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C0BC14" w14:textId="77777777" w:rsidR="004D1738" w:rsidRPr="00835AA1" w:rsidRDefault="004D1738" w:rsidP="00BB75EF">
      <w:pPr>
        <w:spacing w:after="120"/>
        <w:jc w:val="center"/>
        <w:rPr>
          <w:lang w:val="fr-FR"/>
        </w:rPr>
      </w:pPr>
      <w:r w:rsidRPr="00835AA1">
        <w:rPr>
          <w:noProof/>
          <w:lang w:eastAsia="en-US"/>
        </w:rPr>
        <w:drawing>
          <wp:inline distT="0" distB="0" distL="0" distR="0" wp14:anchorId="0CEBE5AB" wp14:editId="50D68173">
            <wp:extent cx="3103584" cy="1334077"/>
            <wp:effectExtent l="0" t="0" r="1905" b="0"/>
            <wp:docPr id="1" name="Picture 1"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14:paraId="28FC0B08" w14:textId="77777777" w:rsidR="004D1738" w:rsidRPr="00835AA1" w:rsidRDefault="004D1738" w:rsidP="004D1738">
      <w:pPr>
        <w:pBdr>
          <w:top w:val="single" w:sz="4" w:space="9" w:color="auto"/>
        </w:pBdr>
        <w:jc w:val="right"/>
        <w:rPr>
          <w:rFonts w:ascii="Arial Black" w:hAnsi="Arial Black"/>
          <w:caps/>
          <w:sz w:val="15"/>
          <w:lang w:val="fr-FR"/>
        </w:rPr>
      </w:pPr>
      <w:r w:rsidRPr="00835AA1">
        <w:rPr>
          <w:rFonts w:ascii="Arial Black" w:hAnsi="Arial Black"/>
          <w:caps/>
          <w:sz w:val="15"/>
          <w:lang w:val="fr-FR"/>
        </w:rPr>
        <w:t>H/LD/WG/9/4</w:t>
      </w:r>
    </w:p>
    <w:p w14:paraId="683FFB7C" w14:textId="77777777" w:rsidR="004D1738" w:rsidRPr="00835AA1" w:rsidRDefault="004D1738" w:rsidP="004D1738">
      <w:pPr>
        <w:jc w:val="right"/>
        <w:rPr>
          <w:lang w:val="fr-FR"/>
        </w:rPr>
      </w:pPr>
      <w:r w:rsidRPr="00835AA1">
        <w:rPr>
          <w:rFonts w:ascii="Arial Black" w:hAnsi="Arial Black"/>
          <w:caps/>
          <w:sz w:val="15"/>
          <w:lang w:val="fr-FR"/>
        </w:rPr>
        <w:t>ORIGINAL : anglais</w:t>
      </w:r>
    </w:p>
    <w:p w14:paraId="799FAC1E" w14:textId="77777777" w:rsidR="004D1738" w:rsidRPr="00835AA1" w:rsidRDefault="004D1738" w:rsidP="004D1738">
      <w:pPr>
        <w:spacing w:after="1200"/>
        <w:jc w:val="right"/>
        <w:rPr>
          <w:lang w:val="fr-FR"/>
        </w:rPr>
      </w:pPr>
      <w:r w:rsidRPr="00835AA1">
        <w:rPr>
          <w:rFonts w:ascii="Arial Black" w:hAnsi="Arial Black"/>
          <w:caps/>
          <w:sz w:val="15"/>
          <w:lang w:val="fr-FR"/>
        </w:rPr>
        <w:t>DATE : 6 novembre 2020</w:t>
      </w:r>
    </w:p>
    <w:p w14:paraId="7D9B0690" w14:textId="77777777" w:rsidR="008844A6" w:rsidRPr="00835AA1" w:rsidRDefault="007A53DD" w:rsidP="004D1738">
      <w:pPr>
        <w:spacing w:after="480"/>
        <w:rPr>
          <w:b/>
          <w:sz w:val="28"/>
          <w:szCs w:val="28"/>
          <w:lang w:val="fr-FR"/>
        </w:rPr>
      </w:pPr>
      <w:r w:rsidRPr="00835AA1">
        <w:rPr>
          <w:b/>
          <w:sz w:val="28"/>
          <w:szCs w:val="28"/>
          <w:lang w:val="fr-FR"/>
        </w:rPr>
        <w:t xml:space="preserve">Groupe de travail sur le développement juridique du système de </w:t>
      </w:r>
      <w:r w:rsidR="002E3178" w:rsidRPr="00835AA1">
        <w:rPr>
          <w:b/>
          <w:sz w:val="28"/>
          <w:szCs w:val="28"/>
          <w:lang w:val="fr-FR"/>
        </w:rPr>
        <w:t>La Haye</w:t>
      </w:r>
      <w:r w:rsidRPr="00835AA1">
        <w:rPr>
          <w:b/>
          <w:sz w:val="28"/>
          <w:szCs w:val="28"/>
          <w:lang w:val="fr-FR"/>
        </w:rPr>
        <w:t xml:space="preserve"> concernant l</w:t>
      </w:r>
      <w:r w:rsidR="002E3178" w:rsidRPr="00835AA1">
        <w:rPr>
          <w:b/>
          <w:sz w:val="28"/>
          <w:szCs w:val="28"/>
          <w:lang w:val="fr-FR"/>
        </w:rPr>
        <w:t>’</w:t>
      </w:r>
      <w:r w:rsidRPr="00835AA1">
        <w:rPr>
          <w:b/>
          <w:sz w:val="28"/>
          <w:szCs w:val="28"/>
          <w:lang w:val="fr-FR"/>
        </w:rPr>
        <w:t>enregistrement international des dessins et modèles industriels</w:t>
      </w:r>
    </w:p>
    <w:p w14:paraId="3F57B255" w14:textId="77777777" w:rsidR="008844A6" w:rsidRPr="00835AA1" w:rsidRDefault="007A53DD" w:rsidP="004D1738">
      <w:pPr>
        <w:spacing w:after="720"/>
        <w:rPr>
          <w:b/>
          <w:sz w:val="24"/>
          <w:szCs w:val="24"/>
          <w:lang w:val="fr-FR"/>
        </w:rPr>
      </w:pPr>
      <w:r w:rsidRPr="00835AA1">
        <w:rPr>
          <w:b/>
          <w:sz w:val="24"/>
          <w:szCs w:val="24"/>
          <w:lang w:val="fr-FR"/>
        </w:rPr>
        <w:t>Neuv</w:t>
      </w:r>
      <w:r w:rsidR="002E3178" w:rsidRPr="00835AA1">
        <w:rPr>
          <w:b/>
          <w:sz w:val="24"/>
          <w:szCs w:val="24"/>
          <w:lang w:val="fr-FR"/>
        </w:rPr>
        <w:t>ième session</w:t>
      </w:r>
      <w:r w:rsidR="004D1738" w:rsidRPr="00835AA1">
        <w:rPr>
          <w:b/>
          <w:sz w:val="24"/>
          <w:szCs w:val="24"/>
          <w:lang w:val="fr-FR"/>
        </w:rPr>
        <w:br/>
      </w:r>
      <w:r w:rsidRPr="00835AA1">
        <w:rPr>
          <w:b/>
          <w:sz w:val="24"/>
          <w:szCs w:val="24"/>
          <w:lang w:val="fr-FR"/>
        </w:rPr>
        <w:t>Genève, 14 – 16 décembre 2020</w:t>
      </w:r>
    </w:p>
    <w:p w14:paraId="22612FA3" w14:textId="39A4BA98" w:rsidR="008844A6" w:rsidRPr="00835AA1" w:rsidRDefault="003247A9" w:rsidP="003247A9">
      <w:pPr>
        <w:spacing w:after="360"/>
        <w:rPr>
          <w:caps/>
          <w:sz w:val="24"/>
          <w:lang w:val="fr-FR"/>
        </w:rPr>
      </w:pPr>
      <w:r w:rsidRPr="00835AA1">
        <w:rPr>
          <w:caps/>
          <w:sz w:val="24"/>
          <w:lang w:val="fr-FR"/>
        </w:rPr>
        <w:t>Étude approfondie des incidences financi</w:t>
      </w:r>
      <w:r w:rsidR="006C468D">
        <w:rPr>
          <w:caps/>
          <w:sz w:val="24"/>
          <w:lang w:val="fr-FR"/>
        </w:rPr>
        <w:t>È</w:t>
      </w:r>
      <w:r w:rsidRPr="00835AA1">
        <w:rPr>
          <w:caps/>
          <w:sz w:val="24"/>
          <w:lang w:val="fr-FR"/>
        </w:rPr>
        <w:t>res et de la faisabilit</w:t>
      </w:r>
      <w:r w:rsidR="006C468D">
        <w:rPr>
          <w:caps/>
          <w:sz w:val="24"/>
          <w:lang w:val="fr-FR"/>
        </w:rPr>
        <w:t>É</w:t>
      </w:r>
      <w:r w:rsidRPr="00835AA1">
        <w:rPr>
          <w:caps/>
          <w:sz w:val="24"/>
          <w:lang w:val="fr-FR"/>
        </w:rPr>
        <w:t xml:space="preserve"> technique de l’introduction du chinois et du russe dans le syst</w:t>
      </w:r>
      <w:r w:rsidR="006C468D">
        <w:rPr>
          <w:caps/>
          <w:sz w:val="24"/>
          <w:lang w:val="fr-FR"/>
        </w:rPr>
        <w:t>È</w:t>
      </w:r>
      <w:r w:rsidRPr="00835AA1">
        <w:rPr>
          <w:caps/>
          <w:sz w:val="24"/>
          <w:lang w:val="fr-FR"/>
        </w:rPr>
        <w:t>me de La Haye</w:t>
      </w:r>
    </w:p>
    <w:p w14:paraId="056D4201" w14:textId="25ED2FA0" w:rsidR="008844A6" w:rsidRPr="00835AA1" w:rsidRDefault="007A53DD" w:rsidP="004D1738">
      <w:pPr>
        <w:spacing w:after="960"/>
        <w:rPr>
          <w:i/>
          <w:lang w:val="fr-FR"/>
        </w:rPr>
      </w:pPr>
      <w:r w:rsidRPr="00835AA1">
        <w:rPr>
          <w:i/>
          <w:lang w:val="fr-FR"/>
        </w:rPr>
        <w:t>établi</w:t>
      </w:r>
      <w:r w:rsidR="0051175B">
        <w:rPr>
          <w:i/>
          <w:lang w:val="fr-FR"/>
        </w:rPr>
        <w:t>e</w:t>
      </w:r>
      <w:r w:rsidRPr="00835AA1">
        <w:rPr>
          <w:i/>
          <w:lang w:val="fr-FR"/>
        </w:rPr>
        <w:t xml:space="preserve"> par le Bureau international</w:t>
      </w:r>
    </w:p>
    <w:p w14:paraId="4B89E645" w14:textId="77777777" w:rsidR="008844A6" w:rsidRPr="00835AA1" w:rsidRDefault="007A53DD" w:rsidP="003813B1">
      <w:pPr>
        <w:pStyle w:val="Heading1"/>
        <w:rPr>
          <w:lang w:val="fr-FR"/>
        </w:rPr>
      </w:pPr>
      <w:r w:rsidRPr="00835AA1">
        <w:rPr>
          <w:lang w:val="fr-FR"/>
        </w:rPr>
        <w:t>Introduction</w:t>
      </w:r>
    </w:p>
    <w:p w14:paraId="0453D0F8" w14:textId="77777777" w:rsidR="008844A6" w:rsidRPr="00835AA1" w:rsidRDefault="007A53DD" w:rsidP="003813B1">
      <w:pPr>
        <w:pStyle w:val="ONUMFS"/>
        <w:rPr>
          <w:lang w:val="fr-FR"/>
        </w:rPr>
      </w:pPr>
      <w:r w:rsidRPr="00835AA1">
        <w:rPr>
          <w:lang w:val="fr-FR"/>
        </w:rPr>
        <w:t>À sa huit</w:t>
      </w:r>
      <w:r w:rsidR="002E3178" w:rsidRPr="00835AA1">
        <w:rPr>
          <w:lang w:val="fr-FR"/>
        </w:rPr>
        <w:t>ième session</w:t>
      </w:r>
      <w:r w:rsidRPr="00835AA1">
        <w:rPr>
          <w:lang w:val="fr-FR"/>
        </w:rPr>
        <w:t>, tenue du 30</w:t>
      </w:r>
      <w:r w:rsidR="001D2116" w:rsidRPr="00835AA1">
        <w:rPr>
          <w:lang w:val="fr-FR"/>
        </w:rPr>
        <w:t> </w:t>
      </w:r>
      <w:r w:rsidRPr="00835AA1">
        <w:rPr>
          <w:lang w:val="fr-FR"/>
        </w:rPr>
        <w:t>octobre au</w:t>
      </w:r>
      <w:r w:rsidR="002E3178" w:rsidRPr="00835AA1">
        <w:rPr>
          <w:lang w:val="fr-FR"/>
        </w:rPr>
        <w:t xml:space="preserve"> 1</w:t>
      </w:r>
      <w:r w:rsidR="002E3178" w:rsidRPr="00835AA1">
        <w:rPr>
          <w:vertAlign w:val="superscript"/>
          <w:lang w:val="fr-FR"/>
        </w:rPr>
        <w:t>er</w:t>
      </w:r>
      <w:r w:rsidR="002E3178" w:rsidRPr="00835AA1">
        <w:rPr>
          <w:lang w:val="fr-FR"/>
        </w:rPr>
        <w:t> </w:t>
      </w:r>
      <w:r w:rsidRPr="00835AA1">
        <w:rPr>
          <w:lang w:val="fr-FR"/>
        </w:rPr>
        <w:t>novembre</w:t>
      </w:r>
      <w:r w:rsidR="001D2116" w:rsidRPr="00835AA1">
        <w:rPr>
          <w:lang w:val="fr-FR"/>
        </w:rPr>
        <w:t> </w:t>
      </w:r>
      <w:r w:rsidRPr="00835AA1">
        <w:rPr>
          <w:lang w:val="fr-FR"/>
        </w:rPr>
        <w:t xml:space="preserve">2019, le Groupe de travail sur le développement juridique du système de </w:t>
      </w:r>
      <w:r w:rsidR="002E3178" w:rsidRPr="00835AA1">
        <w:rPr>
          <w:lang w:val="fr-FR"/>
        </w:rPr>
        <w:t>La Haye</w:t>
      </w:r>
      <w:r w:rsidRPr="00835AA1">
        <w:rPr>
          <w:lang w:val="fr-FR"/>
        </w:rPr>
        <w:t xml:space="preserve"> concernant l</w:t>
      </w:r>
      <w:r w:rsidR="002E3178" w:rsidRPr="00835AA1">
        <w:rPr>
          <w:lang w:val="fr-FR"/>
        </w:rPr>
        <w:t>’</w:t>
      </w:r>
      <w:r w:rsidRPr="00835AA1">
        <w:rPr>
          <w:lang w:val="fr-FR"/>
        </w:rPr>
        <w:t>enregistrement international des dessins et modèles industriels (ci</w:t>
      </w:r>
      <w:r w:rsidR="003813B1" w:rsidRPr="00835AA1">
        <w:rPr>
          <w:lang w:val="fr-FR"/>
        </w:rPr>
        <w:noBreakHyphen/>
      </w:r>
      <w:r w:rsidRPr="00835AA1">
        <w:rPr>
          <w:lang w:val="fr-FR"/>
        </w:rPr>
        <w:t xml:space="preserve">après dénommés </w:t>
      </w:r>
      <w:r w:rsidR="001D2116" w:rsidRPr="00835AA1">
        <w:rPr>
          <w:lang w:val="fr-FR"/>
        </w:rPr>
        <w:t>“</w:t>
      </w:r>
      <w:r w:rsidRPr="00835AA1">
        <w:rPr>
          <w:lang w:val="fr-FR"/>
        </w:rPr>
        <w:t>groupe de travail</w:t>
      </w:r>
      <w:r w:rsidR="001D2116" w:rsidRPr="00835AA1">
        <w:rPr>
          <w:lang w:val="fr-FR"/>
        </w:rPr>
        <w:t>”</w:t>
      </w:r>
      <w:r w:rsidRPr="00835AA1">
        <w:rPr>
          <w:lang w:val="fr-FR"/>
        </w:rPr>
        <w:t xml:space="preserve"> et </w:t>
      </w:r>
      <w:r w:rsidR="001D2116" w:rsidRPr="00835AA1">
        <w:rPr>
          <w:lang w:val="fr-FR"/>
        </w:rPr>
        <w:t>“</w:t>
      </w:r>
      <w:r w:rsidRPr="00835AA1">
        <w:rPr>
          <w:lang w:val="fr-FR"/>
        </w:rPr>
        <w:t xml:space="preserve">système de </w:t>
      </w:r>
      <w:r w:rsidR="002E3178" w:rsidRPr="00835AA1">
        <w:rPr>
          <w:lang w:val="fr-FR"/>
        </w:rPr>
        <w:t>La Haye</w:t>
      </w:r>
      <w:r w:rsidR="001D2116" w:rsidRPr="00835AA1">
        <w:rPr>
          <w:lang w:val="fr-FR"/>
        </w:rPr>
        <w:t>”</w:t>
      </w:r>
      <w:r w:rsidRPr="00835AA1">
        <w:rPr>
          <w:lang w:val="fr-FR"/>
        </w:rPr>
        <w:t xml:space="preserve">) a examiné le document H/LD/WG/8/5, intitulé </w:t>
      </w:r>
      <w:r w:rsidR="001D2116" w:rsidRPr="00835AA1">
        <w:rPr>
          <w:lang w:val="fr-FR"/>
        </w:rPr>
        <w:t>“</w:t>
      </w:r>
      <w:r w:rsidRPr="00835AA1">
        <w:rPr>
          <w:lang w:val="fr-FR"/>
        </w:rPr>
        <w:t>Options possibles concernant l</w:t>
      </w:r>
      <w:r w:rsidR="002E3178" w:rsidRPr="00835AA1">
        <w:rPr>
          <w:lang w:val="fr-FR"/>
        </w:rPr>
        <w:t>’</w:t>
      </w:r>
      <w:r w:rsidR="00600D7F" w:rsidRPr="00835AA1">
        <w:rPr>
          <w:lang w:val="fr-FR"/>
        </w:rPr>
        <w:t>i</w:t>
      </w:r>
      <w:r w:rsidRPr="00835AA1">
        <w:rPr>
          <w:lang w:val="fr-FR"/>
        </w:rPr>
        <w:t xml:space="preserve">ntroduction de nouvelles langues dans le système de </w:t>
      </w:r>
      <w:r w:rsidR="002E3178" w:rsidRPr="00835AA1">
        <w:rPr>
          <w:lang w:val="fr-FR"/>
        </w:rPr>
        <w:t>La Haye</w:t>
      </w:r>
      <w:r w:rsidR="001D2116" w:rsidRPr="00835AA1">
        <w:rPr>
          <w:lang w:val="fr-FR"/>
        </w:rPr>
        <w:t>”</w:t>
      </w:r>
      <w:r w:rsidRPr="00835AA1">
        <w:rPr>
          <w:lang w:val="fr-FR"/>
        </w:rPr>
        <w:t>.</w:t>
      </w:r>
    </w:p>
    <w:p w14:paraId="1E845CCA" w14:textId="77777777" w:rsidR="008844A6" w:rsidRPr="00835AA1" w:rsidRDefault="007A53DD" w:rsidP="003813B1">
      <w:pPr>
        <w:pStyle w:val="ONUMFS"/>
        <w:rPr>
          <w:lang w:val="fr-FR"/>
        </w:rPr>
      </w:pPr>
      <w:r w:rsidRPr="00835AA1">
        <w:rPr>
          <w:lang w:val="fr-FR"/>
        </w:rPr>
        <w:t>Le groupe de travail a prié le Bureau international d</w:t>
      </w:r>
      <w:r w:rsidR="002E3178" w:rsidRPr="00835AA1">
        <w:rPr>
          <w:lang w:val="fr-FR"/>
        </w:rPr>
        <w:t>’</w:t>
      </w:r>
      <w:r w:rsidRPr="00835AA1">
        <w:rPr>
          <w:lang w:val="fr-FR"/>
        </w:rPr>
        <w:t>établir, pour examen à sa prochaine session, une étude approfondie sur les incidences financières et la faisabilité technique de l</w:t>
      </w:r>
      <w:r w:rsidR="002E3178" w:rsidRPr="00835AA1">
        <w:rPr>
          <w:lang w:val="fr-FR"/>
        </w:rPr>
        <w:t>’</w:t>
      </w:r>
      <w:r w:rsidRPr="00835AA1">
        <w:rPr>
          <w:lang w:val="fr-FR"/>
        </w:rPr>
        <w:t xml:space="preserve">introduction du chinois et du russe dans le système de </w:t>
      </w:r>
      <w:r w:rsidR="002E3178" w:rsidRPr="00835AA1">
        <w:rPr>
          <w:lang w:val="fr-FR"/>
        </w:rPr>
        <w:t>La Haye</w:t>
      </w:r>
      <w:r w:rsidRPr="00835AA1">
        <w:rPr>
          <w:rStyle w:val="FootnoteReference"/>
          <w:lang w:val="fr-FR"/>
        </w:rPr>
        <w:footnoteReference w:id="2"/>
      </w:r>
      <w:r w:rsidRPr="00835AA1">
        <w:rPr>
          <w:lang w:val="fr-FR"/>
        </w:rPr>
        <w:t>.</w:t>
      </w:r>
    </w:p>
    <w:p w14:paraId="56E868AE" w14:textId="77777777" w:rsidR="008844A6" w:rsidRPr="00835AA1" w:rsidRDefault="00AE7AAC" w:rsidP="003813B1">
      <w:pPr>
        <w:pStyle w:val="ONUMFS"/>
        <w:rPr>
          <w:lang w:val="fr-FR"/>
        </w:rPr>
      </w:pPr>
      <w:r w:rsidRPr="00835AA1">
        <w:rPr>
          <w:lang w:val="fr-FR"/>
        </w:rPr>
        <w:t>Le présent document présente les incidences financières et la faisabilité technique de l</w:t>
      </w:r>
      <w:r w:rsidR="002E3178" w:rsidRPr="00835AA1">
        <w:rPr>
          <w:lang w:val="fr-FR"/>
        </w:rPr>
        <w:t>’</w:t>
      </w:r>
      <w:r w:rsidRPr="00835AA1">
        <w:rPr>
          <w:lang w:val="fr-FR"/>
        </w:rPr>
        <w:t>introduction simultanée des deux</w:t>
      </w:r>
      <w:r w:rsidR="00CE11BA" w:rsidRPr="00835AA1">
        <w:rPr>
          <w:lang w:val="fr-FR"/>
        </w:rPr>
        <w:t> </w:t>
      </w:r>
      <w:r w:rsidRPr="00835AA1">
        <w:rPr>
          <w:lang w:val="fr-FR"/>
        </w:rPr>
        <w:t xml:space="preserve">langues susmentionnées et évalue la disponibilité des supports et outils </w:t>
      </w:r>
      <w:r w:rsidR="00600D7F" w:rsidRPr="00835AA1">
        <w:rPr>
          <w:lang w:val="fr-FR"/>
        </w:rPr>
        <w:t xml:space="preserve">en français, anglais, chinois, espagnol et russe </w:t>
      </w:r>
      <w:r w:rsidRPr="00835AA1">
        <w:rPr>
          <w:lang w:val="fr-FR"/>
        </w:rPr>
        <w:t xml:space="preserve">pour les utilisateurs du système de </w:t>
      </w:r>
      <w:r w:rsidR="002E3178" w:rsidRPr="00835AA1">
        <w:rPr>
          <w:lang w:val="fr-FR"/>
        </w:rPr>
        <w:t>La Haye</w:t>
      </w:r>
      <w:r w:rsidRPr="00835AA1">
        <w:rPr>
          <w:lang w:val="fr-FR"/>
        </w:rPr>
        <w:t>.</w:t>
      </w:r>
    </w:p>
    <w:p w14:paraId="2D04B700" w14:textId="46E94B7B" w:rsidR="008844A6" w:rsidRPr="00835AA1" w:rsidRDefault="003813B1" w:rsidP="003813B1">
      <w:pPr>
        <w:pStyle w:val="Heading1"/>
        <w:rPr>
          <w:lang w:val="fr-FR"/>
        </w:rPr>
      </w:pPr>
      <w:r w:rsidRPr="00835AA1">
        <w:rPr>
          <w:lang w:val="fr-FR"/>
        </w:rPr>
        <w:lastRenderedPageBreak/>
        <w:t>R</w:t>
      </w:r>
      <w:r w:rsidR="00015994">
        <w:rPr>
          <w:lang w:val="fr-FR"/>
        </w:rPr>
        <w:t>É</w:t>
      </w:r>
      <w:r w:rsidRPr="00835AA1">
        <w:rPr>
          <w:lang w:val="fr-FR"/>
        </w:rPr>
        <w:t>sum</w:t>
      </w:r>
      <w:r w:rsidR="00015994">
        <w:rPr>
          <w:lang w:val="fr-FR"/>
        </w:rPr>
        <w:t>É</w:t>
      </w:r>
      <w:r w:rsidRPr="00835AA1">
        <w:rPr>
          <w:lang w:val="fr-FR"/>
        </w:rPr>
        <w:t xml:space="preserve"> des options de mise en œuvre</w:t>
      </w:r>
    </w:p>
    <w:p w14:paraId="28ED4209" w14:textId="77777777" w:rsidR="008844A6" w:rsidRPr="00835AA1" w:rsidRDefault="00AE7AAC" w:rsidP="003813B1">
      <w:pPr>
        <w:pStyle w:val="ONUMFS"/>
        <w:rPr>
          <w:lang w:val="fr-FR"/>
        </w:rPr>
      </w:pPr>
      <w:r w:rsidRPr="00835AA1">
        <w:rPr>
          <w:lang w:val="fr-FR"/>
        </w:rPr>
        <w:t>Les options de mise en œuvre envisageables pour l</w:t>
      </w:r>
      <w:r w:rsidR="002E3178" w:rsidRPr="00835AA1">
        <w:rPr>
          <w:lang w:val="fr-FR"/>
        </w:rPr>
        <w:t>’</w:t>
      </w:r>
      <w:r w:rsidRPr="00835AA1">
        <w:rPr>
          <w:lang w:val="fr-FR"/>
        </w:rPr>
        <w:t xml:space="preserve">introduction de nouvelles langues dans le système de </w:t>
      </w:r>
      <w:r w:rsidR="002E3178" w:rsidRPr="00835AA1">
        <w:rPr>
          <w:lang w:val="fr-FR"/>
        </w:rPr>
        <w:t>La Haye</w:t>
      </w:r>
      <w:r w:rsidRPr="00835AA1">
        <w:rPr>
          <w:lang w:val="fr-FR"/>
        </w:rPr>
        <w:t xml:space="preserve"> ont déjà été présentées dans le document H/LD/WG/8/5.  </w:t>
      </w:r>
      <w:r w:rsidR="00600D7F" w:rsidRPr="00835AA1">
        <w:rPr>
          <w:lang w:val="fr-FR"/>
        </w:rPr>
        <w:t>Le présent document</w:t>
      </w:r>
      <w:r w:rsidRPr="00835AA1">
        <w:rPr>
          <w:lang w:val="fr-FR"/>
        </w:rPr>
        <w:t xml:space="preserve"> </w:t>
      </w:r>
      <w:r w:rsidR="00600D7F" w:rsidRPr="00835AA1">
        <w:rPr>
          <w:lang w:val="fr-FR"/>
        </w:rPr>
        <w:t>contient une</w:t>
      </w:r>
      <w:r w:rsidRPr="00835AA1">
        <w:rPr>
          <w:lang w:val="fr-FR"/>
        </w:rPr>
        <w:t xml:space="preserve"> option </w:t>
      </w:r>
      <w:r w:rsidR="00600D7F" w:rsidRPr="00835AA1">
        <w:rPr>
          <w:lang w:val="fr-FR"/>
        </w:rPr>
        <w:t>supplémentaire</w:t>
      </w:r>
      <w:r w:rsidRPr="00835AA1">
        <w:rPr>
          <w:lang w:val="fr-FR"/>
        </w:rPr>
        <w:t>,</w:t>
      </w:r>
      <w:r w:rsidR="00600D7F" w:rsidRPr="00835AA1">
        <w:rPr>
          <w:lang w:val="fr-FR"/>
        </w:rPr>
        <w:t xml:space="preserve"> </w:t>
      </w:r>
      <w:r w:rsidR="006F11CE" w:rsidRPr="00835AA1">
        <w:rPr>
          <w:lang w:val="fr-FR"/>
        </w:rPr>
        <w:t>puisqu</w:t>
      </w:r>
      <w:r w:rsidR="002E3178" w:rsidRPr="00835AA1">
        <w:rPr>
          <w:lang w:val="fr-FR"/>
        </w:rPr>
        <w:t>’</w:t>
      </w:r>
      <w:r w:rsidR="00600D7F" w:rsidRPr="00835AA1">
        <w:rPr>
          <w:lang w:val="fr-FR"/>
        </w:rPr>
        <w:t>une</w:t>
      </w:r>
      <w:r w:rsidRPr="00835AA1">
        <w:rPr>
          <w:lang w:val="fr-FR"/>
        </w:rPr>
        <w:t xml:space="preserve"> analyse approfondie des incidences de la mise en œuvre </w:t>
      </w:r>
      <w:r w:rsidR="006F11CE" w:rsidRPr="00835AA1">
        <w:rPr>
          <w:lang w:val="fr-FR"/>
        </w:rPr>
        <w:t>a</w:t>
      </w:r>
      <w:r w:rsidR="009F15C9" w:rsidRPr="00835AA1">
        <w:rPr>
          <w:lang w:val="fr-FR"/>
        </w:rPr>
        <w:t xml:space="preserve"> démontré l</w:t>
      </w:r>
      <w:r w:rsidR="002E3178" w:rsidRPr="00835AA1">
        <w:rPr>
          <w:lang w:val="fr-FR"/>
        </w:rPr>
        <w:t>’</w:t>
      </w:r>
      <w:r w:rsidR="009F15C9" w:rsidRPr="00835AA1">
        <w:rPr>
          <w:lang w:val="fr-FR"/>
        </w:rPr>
        <w:t xml:space="preserve">intérêt de </w:t>
      </w:r>
      <w:r w:rsidR="00600D7F" w:rsidRPr="00835AA1">
        <w:rPr>
          <w:lang w:val="fr-FR"/>
        </w:rPr>
        <w:t>soumettre</w:t>
      </w:r>
      <w:r w:rsidR="009F15C9" w:rsidRPr="00835AA1">
        <w:rPr>
          <w:lang w:val="fr-FR"/>
        </w:rPr>
        <w:t xml:space="preserve"> cette </w:t>
      </w:r>
      <w:r w:rsidR="007B0BAD" w:rsidRPr="00835AA1">
        <w:rPr>
          <w:lang w:val="fr-FR"/>
        </w:rPr>
        <w:t xml:space="preserve">option </w:t>
      </w:r>
      <w:r w:rsidR="009F15C9" w:rsidRPr="00835AA1">
        <w:rPr>
          <w:lang w:val="fr-FR"/>
        </w:rPr>
        <w:t>à l</w:t>
      </w:r>
      <w:r w:rsidR="002E3178" w:rsidRPr="00835AA1">
        <w:rPr>
          <w:lang w:val="fr-FR"/>
        </w:rPr>
        <w:t>’</w:t>
      </w:r>
      <w:r w:rsidR="009F15C9" w:rsidRPr="00835AA1">
        <w:rPr>
          <w:lang w:val="fr-FR"/>
        </w:rPr>
        <w:t>examen du groupe de trava</w:t>
      </w:r>
      <w:r w:rsidR="00A541B2" w:rsidRPr="00835AA1">
        <w:rPr>
          <w:lang w:val="fr-FR"/>
        </w:rPr>
        <w:t>il.  On</w:t>
      </w:r>
      <w:r w:rsidR="009F15C9" w:rsidRPr="00835AA1">
        <w:rPr>
          <w:lang w:val="fr-FR"/>
        </w:rPr>
        <w:t xml:space="preserve"> trouvera ci</w:t>
      </w:r>
      <w:r w:rsidR="003813B1" w:rsidRPr="00835AA1">
        <w:rPr>
          <w:lang w:val="fr-FR"/>
        </w:rPr>
        <w:noBreakHyphen/>
      </w:r>
      <w:r w:rsidR="009F15C9" w:rsidRPr="00835AA1">
        <w:rPr>
          <w:lang w:val="fr-FR"/>
        </w:rPr>
        <w:t>après un résumé des options</w:t>
      </w:r>
      <w:r w:rsidR="00600D7F" w:rsidRPr="00835AA1">
        <w:rPr>
          <w:lang w:val="fr-FR"/>
        </w:rPr>
        <w:t>, classées de la plus simple à la plus complexe,</w:t>
      </w:r>
      <w:r w:rsidR="009F15C9" w:rsidRPr="00835AA1">
        <w:rPr>
          <w:lang w:val="fr-FR"/>
        </w:rPr>
        <w:t xml:space="preserve"> et de leurs principales caractéristiqu</w:t>
      </w:r>
      <w:r w:rsidR="00A541B2" w:rsidRPr="00835AA1">
        <w:rPr>
          <w:lang w:val="fr-FR"/>
        </w:rPr>
        <w:t>es.  Le</w:t>
      </w:r>
      <w:r w:rsidR="009F15C9" w:rsidRPr="00835AA1">
        <w:rPr>
          <w:lang w:val="fr-FR"/>
        </w:rPr>
        <w:t xml:space="preserve"> nom donné à chaque option est purement descriptif et doit donc être considéré comme provisoire.</w:t>
      </w:r>
    </w:p>
    <w:p w14:paraId="310B0E3D" w14:textId="77777777" w:rsidR="008844A6" w:rsidRPr="00835AA1" w:rsidRDefault="003813B1" w:rsidP="00B34648">
      <w:pPr>
        <w:pStyle w:val="Heading2"/>
      </w:pPr>
      <w:r w:rsidRPr="00835AA1">
        <w:t>Option “A” : langue de dépôt</w:t>
      </w:r>
    </w:p>
    <w:p w14:paraId="102E1221" w14:textId="77777777" w:rsidR="008844A6" w:rsidRPr="00835AA1" w:rsidRDefault="009F15C9" w:rsidP="003813B1">
      <w:pPr>
        <w:pStyle w:val="ONUMFS"/>
        <w:rPr>
          <w:lang w:val="fr-FR"/>
        </w:rPr>
      </w:pPr>
      <w:r w:rsidRPr="00835AA1">
        <w:rPr>
          <w:lang w:val="fr-FR"/>
        </w:rPr>
        <w:t>Il s</w:t>
      </w:r>
      <w:r w:rsidR="002E3178" w:rsidRPr="00835AA1">
        <w:rPr>
          <w:lang w:val="fr-FR"/>
        </w:rPr>
        <w:t>’</w:t>
      </w:r>
      <w:r w:rsidRPr="00835AA1">
        <w:rPr>
          <w:lang w:val="fr-FR"/>
        </w:rPr>
        <w:t>agit d</w:t>
      </w:r>
      <w:r w:rsidR="002E3178" w:rsidRPr="00835AA1">
        <w:rPr>
          <w:lang w:val="fr-FR"/>
        </w:rPr>
        <w:t>’</w:t>
      </w:r>
      <w:r w:rsidRPr="00835AA1">
        <w:rPr>
          <w:lang w:val="fr-FR"/>
        </w:rPr>
        <w:t>une nouvelle option légèrement modifiée par rapport à l</w:t>
      </w:r>
      <w:r w:rsidR="002E3178" w:rsidRPr="00835AA1">
        <w:rPr>
          <w:lang w:val="fr-FR"/>
        </w:rPr>
        <w:t>’</w:t>
      </w:r>
      <w:r w:rsidRPr="00835AA1">
        <w:rPr>
          <w:lang w:val="fr-FR"/>
        </w:rPr>
        <w:t>option de la langue de dépôt présentée dans le document H/LD/WG/8/5.</w:t>
      </w:r>
      <w:r w:rsidR="00600D7F" w:rsidRPr="00835AA1">
        <w:rPr>
          <w:lang w:val="fr-FR"/>
        </w:rPr>
        <w:t xml:space="preserve"> </w:t>
      </w:r>
      <w:r w:rsidRPr="00835AA1">
        <w:rPr>
          <w:lang w:val="fr-FR"/>
        </w:rPr>
        <w:t xml:space="preserve"> C</w:t>
      </w:r>
      <w:r w:rsidR="002E3178" w:rsidRPr="00835AA1">
        <w:rPr>
          <w:lang w:val="fr-FR"/>
        </w:rPr>
        <w:t>’</w:t>
      </w:r>
      <w:r w:rsidRPr="00835AA1">
        <w:rPr>
          <w:lang w:val="fr-FR"/>
        </w:rPr>
        <w:t>est la solution la moins complexe.</w:t>
      </w:r>
    </w:p>
    <w:p w14:paraId="527A38E7" w14:textId="77777777" w:rsidR="008844A6" w:rsidRPr="00835AA1" w:rsidRDefault="009F15C9" w:rsidP="003813B1">
      <w:pPr>
        <w:pStyle w:val="ONUMFS"/>
        <w:rPr>
          <w:lang w:val="fr-FR"/>
        </w:rPr>
      </w:pPr>
      <w:r w:rsidRPr="00835AA1">
        <w:rPr>
          <w:lang w:val="fr-FR"/>
        </w:rPr>
        <w:t>Selon cette option, les déposants pourraient déposer des demandes internationales dans l</w:t>
      </w:r>
      <w:r w:rsidR="002E3178" w:rsidRPr="00835AA1">
        <w:rPr>
          <w:lang w:val="fr-FR"/>
        </w:rPr>
        <w:t>’</w:t>
      </w:r>
      <w:r w:rsidRPr="00835AA1">
        <w:rPr>
          <w:lang w:val="fr-FR"/>
        </w:rPr>
        <w:t>une quelconque des nouvelles langues.</w:t>
      </w:r>
    </w:p>
    <w:p w14:paraId="35E5E99C" w14:textId="7FB6CB6C" w:rsidR="008844A6" w:rsidRPr="00835AA1" w:rsidRDefault="009F15C9" w:rsidP="003813B1">
      <w:pPr>
        <w:pStyle w:val="ONUMFS"/>
        <w:rPr>
          <w:lang w:val="fr-FR"/>
        </w:rPr>
      </w:pPr>
      <w:r w:rsidRPr="00835AA1">
        <w:rPr>
          <w:lang w:val="fr-FR"/>
        </w:rPr>
        <w:t>En cas de dépôt de la demande internationale dans la nouvelle langue, le Bureau</w:t>
      </w:r>
      <w:r w:rsidR="00C6135C">
        <w:rPr>
          <w:lang w:val="fr-FR"/>
        </w:rPr>
        <w:t> </w:t>
      </w:r>
      <w:r w:rsidRPr="00835AA1">
        <w:rPr>
          <w:lang w:val="fr-FR"/>
        </w:rPr>
        <w:t>international traduirait les éléments pertinents de la demande internationale dans l</w:t>
      </w:r>
      <w:r w:rsidR="002E3178" w:rsidRPr="00835AA1">
        <w:rPr>
          <w:lang w:val="fr-FR"/>
        </w:rPr>
        <w:t>’</w:t>
      </w:r>
      <w:r w:rsidRPr="00835AA1">
        <w:rPr>
          <w:lang w:val="fr-FR"/>
        </w:rPr>
        <w:t>une des trois</w:t>
      </w:r>
      <w:r w:rsidR="00CE11BA" w:rsidRPr="00835AA1">
        <w:rPr>
          <w:lang w:val="fr-FR"/>
        </w:rPr>
        <w:t> </w:t>
      </w:r>
      <w:r w:rsidRPr="00835AA1">
        <w:rPr>
          <w:lang w:val="fr-FR"/>
        </w:rPr>
        <w:t>langues actuelles (français, anglais ou espagnol), choisie par le déposant.</w:t>
      </w:r>
    </w:p>
    <w:p w14:paraId="503FCA88" w14:textId="77777777" w:rsidR="008844A6" w:rsidRPr="00835AA1" w:rsidRDefault="009F15C9" w:rsidP="003813B1">
      <w:pPr>
        <w:pStyle w:val="ONUMFS"/>
        <w:rPr>
          <w:lang w:val="fr-FR"/>
        </w:rPr>
      </w:pPr>
      <w:r w:rsidRPr="00835AA1">
        <w:rPr>
          <w:lang w:val="fr-FR"/>
        </w:rPr>
        <w:t>Par conséquent, le Bureau international examinerait la demande internationale et communiquerait avec le déposant en français, anglais ou espagnol.</w:t>
      </w:r>
    </w:p>
    <w:p w14:paraId="3A499A79" w14:textId="76F5A5A7" w:rsidR="008844A6" w:rsidRPr="00835AA1" w:rsidRDefault="009F15C9" w:rsidP="003813B1">
      <w:pPr>
        <w:pStyle w:val="ONUMFS"/>
        <w:rPr>
          <w:lang w:val="fr-FR"/>
        </w:rPr>
      </w:pPr>
      <w:r w:rsidRPr="00835AA1">
        <w:rPr>
          <w:lang w:val="fr-FR"/>
        </w:rPr>
        <w:t>Ainsi, l</w:t>
      </w:r>
      <w:r w:rsidR="002E3178" w:rsidRPr="00835AA1">
        <w:rPr>
          <w:lang w:val="fr-FR"/>
        </w:rPr>
        <w:t>’</w:t>
      </w:r>
      <w:r w:rsidRPr="00835AA1">
        <w:rPr>
          <w:lang w:val="fr-FR"/>
        </w:rPr>
        <w:t>enregistrement international serait inscrit et publié en français, en anglais et en espagnol uniqueme</w:t>
      </w:r>
      <w:r w:rsidR="00A541B2" w:rsidRPr="00835AA1">
        <w:rPr>
          <w:lang w:val="fr-FR"/>
        </w:rPr>
        <w:t>nt.  To</w:t>
      </w:r>
      <w:r w:rsidRPr="00835AA1">
        <w:rPr>
          <w:lang w:val="fr-FR"/>
        </w:rPr>
        <w:t>utes les autres communications concernant l</w:t>
      </w:r>
      <w:r w:rsidR="002E3178" w:rsidRPr="00835AA1">
        <w:rPr>
          <w:lang w:val="fr-FR"/>
        </w:rPr>
        <w:t>’</w:t>
      </w:r>
      <w:r w:rsidRPr="00835AA1">
        <w:rPr>
          <w:lang w:val="fr-FR"/>
        </w:rPr>
        <w:t xml:space="preserve">enregistrement international avec le titulaire et </w:t>
      </w:r>
      <w:r w:rsidR="00600D7F" w:rsidRPr="00835AA1">
        <w:rPr>
          <w:lang w:val="fr-FR"/>
        </w:rPr>
        <w:t>l</w:t>
      </w:r>
      <w:r w:rsidRPr="00835AA1">
        <w:rPr>
          <w:lang w:val="fr-FR"/>
        </w:rPr>
        <w:t>es offices continueraient de se faire en français, en anglais ou en espagnol.</w:t>
      </w:r>
    </w:p>
    <w:p w14:paraId="34B7F058" w14:textId="77777777" w:rsidR="008844A6" w:rsidRPr="00835AA1" w:rsidRDefault="003813B1" w:rsidP="00B34648">
      <w:pPr>
        <w:pStyle w:val="Heading2"/>
      </w:pPr>
      <w:r w:rsidRPr="00835AA1">
        <w:t>Option “B” : langue de dépôt et de communication</w:t>
      </w:r>
    </w:p>
    <w:p w14:paraId="0F8C3863" w14:textId="77777777" w:rsidR="008844A6" w:rsidRPr="00835AA1" w:rsidRDefault="00EA3618" w:rsidP="003813B1">
      <w:pPr>
        <w:pStyle w:val="ONUMFS"/>
        <w:rPr>
          <w:lang w:val="fr-FR"/>
        </w:rPr>
      </w:pPr>
      <w:r w:rsidRPr="00835AA1">
        <w:rPr>
          <w:lang w:val="fr-FR"/>
        </w:rPr>
        <w:t>Cette option est l</w:t>
      </w:r>
      <w:r w:rsidR="002E3178" w:rsidRPr="00835AA1">
        <w:rPr>
          <w:lang w:val="fr-FR"/>
        </w:rPr>
        <w:t>’</w:t>
      </w:r>
      <w:r w:rsidRPr="00835AA1">
        <w:rPr>
          <w:lang w:val="fr-FR"/>
        </w:rPr>
        <w:t>équivalent de l</w:t>
      </w:r>
      <w:r w:rsidR="002E3178" w:rsidRPr="00835AA1">
        <w:rPr>
          <w:lang w:val="fr-FR"/>
        </w:rPr>
        <w:t>’</w:t>
      </w:r>
      <w:r w:rsidRPr="00835AA1">
        <w:rPr>
          <w:lang w:val="fr-FR"/>
        </w:rPr>
        <w:t>option de la langue de dépôt (option</w:t>
      </w:r>
      <w:r w:rsidR="00A10088" w:rsidRPr="00835AA1">
        <w:rPr>
          <w:lang w:val="fr-FR"/>
        </w:rPr>
        <w:t> </w:t>
      </w:r>
      <w:r w:rsidR="001D2116" w:rsidRPr="00835AA1">
        <w:rPr>
          <w:lang w:val="fr-FR"/>
        </w:rPr>
        <w:t>“</w:t>
      </w:r>
      <w:r w:rsidRPr="00835AA1">
        <w:rPr>
          <w:lang w:val="fr-FR"/>
        </w:rPr>
        <w:t>A</w:t>
      </w:r>
      <w:r w:rsidR="001D2116" w:rsidRPr="00835AA1">
        <w:rPr>
          <w:lang w:val="fr-FR"/>
        </w:rPr>
        <w:t>”</w:t>
      </w:r>
      <w:r w:rsidRPr="00835AA1">
        <w:rPr>
          <w:lang w:val="fr-FR"/>
        </w:rPr>
        <w:t xml:space="preserve">) présentée dans le document H/LD/WG/8/5, mais a été renommée </w:t>
      </w:r>
      <w:r w:rsidR="001D2116" w:rsidRPr="00835AA1">
        <w:rPr>
          <w:lang w:val="fr-FR"/>
        </w:rPr>
        <w:t>“</w:t>
      </w:r>
      <w:r w:rsidRPr="00835AA1">
        <w:rPr>
          <w:lang w:val="fr-FR"/>
        </w:rPr>
        <w:t>langue de dépôt et de communication</w:t>
      </w:r>
      <w:r w:rsidR="001D2116" w:rsidRPr="00835AA1">
        <w:rPr>
          <w:lang w:val="fr-FR"/>
        </w:rPr>
        <w:t>”</w:t>
      </w:r>
      <w:r w:rsidRPr="00835AA1">
        <w:rPr>
          <w:lang w:val="fr-FR"/>
        </w:rPr>
        <w:t xml:space="preserve"> (option</w:t>
      </w:r>
      <w:r w:rsidR="00A10088" w:rsidRPr="00835AA1">
        <w:rPr>
          <w:lang w:val="fr-FR"/>
        </w:rPr>
        <w:t> </w:t>
      </w:r>
      <w:r w:rsidR="001D2116" w:rsidRPr="00835AA1">
        <w:rPr>
          <w:lang w:val="fr-FR"/>
        </w:rPr>
        <w:t>“</w:t>
      </w:r>
      <w:r w:rsidRPr="00835AA1">
        <w:rPr>
          <w:lang w:val="fr-FR"/>
        </w:rPr>
        <w:t>B</w:t>
      </w:r>
      <w:r w:rsidR="001D2116" w:rsidRPr="00835AA1">
        <w:rPr>
          <w:lang w:val="fr-FR"/>
        </w:rPr>
        <w:t>”</w:t>
      </w:r>
      <w:r w:rsidRPr="00835AA1">
        <w:rPr>
          <w:lang w:val="fr-FR"/>
        </w:rPr>
        <w:t>) aux fins du présent document.</w:t>
      </w:r>
    </w:p>
    <w:p w14:paraId="115BEE55" w14:textId="77777777" w:rsidR="008844A6" w:rsidRPr="00835AA1" w:rsidRDefault="00EA3618" w:rsidP="003813B1">
      <w:pPr>
        <w:pStyle w:val="ONUMFS"/>
        <w:rPr>
          <w:lang w:val="fr-FR"/>
        </w:rPr>
      </w:pPr>
      <w:r w:rsidRPr="00835AA1">
        <w:rPr>
          <w:lang w:val="fr-FR"/>
        </w:rPr>
        <w:t>Dans le cadre de cette option, les déposants pourraient déposer des demandes internationales dans la nouvelle lang</w:t>
      </w:r>
      <w:r w:rsidR="00A541B2" w:rsidRPr="00835AA1">
        <w:rPr>
          <w:lang w:val="fr-FR"/>
        </w:rPr>
        <w:t>ue.  En</w:t>
      </w:r>
      <w:r w:rsidRPr="00835AA1">
        <w:rPr>
          <w:lang w:val="fr-FR"/>
        </w:rPr>
        <w:t xml:space="preserve"> outre, l</w:t>
      </w:r>
      <w:r w:rsidR="002E3178" w:rsidRPr="00835AA1">
        <w:rPr>
          <w:lang w:val="fr-FR"/>
        </w:rPr>
        <w:t>’</w:t>
      </w:r>
      <w:r w:rsidRPr="00835AA1">
        <w:rPr>
          <w:lang w:val="fr-FR"/>
        </w:rPr>
        <w:t>examen de la demande internationale et la communication entre le Bureau international et le déposant se feraient dans la nouvelle langue.</w:t>
      </w:r>
    </w:p>
    <w:p w14:paraId="0ED2E77B" w14:textId="78BD4153" w:rsidR="008844A6" w:rsidRPr="00835AA1" w:rsidRDefault="00E313E4" w:rsidP="003813B1">
      <w:pPr>
        <w:pStyle w:val="ONUMFS"/>
        <w:rPr>
          <w:lang w:val="fr-FR"/>
        </w:rPr>
      </w:pPr>
      <w:r w:rsidRPr="00835AA1">
        <w:rPr>
          <w:lang w:val="fr-FR"/>
        </w:rPr>
        <w:t>L</w:t>
      </w:r>
      <w:r w:rsidR="002E3178" w:rsidRPr="00835AA1">
        <w:rPr>
          <w:lang w:val="fr-FR"/>
        </w:rPr>
        <w:t>’</w:t>
      </w:r>
      <w:r w:rsidR="00EA3618" w:rsidRPr="00835AA1">
        <w:rPr>
          <w:lang w:val="fr-FR"/>
        </w:rPr>
        <w:t xml:space="preserve">enregistrement international serait </w:t>
      </w:r>
      <w:r w:rsidRPr="00835AA1">
        <w:rPr>
          <w:lang w:val="fr-FR"/>
        </w:rPr>
        <w:t xml:space="preserve">néanmoins </w:t>
      </w:r>
      <w:r w:rsidR="00EA3618" w:rsidRPr="00835AA1">
        <w:rPr>
          <w:lang w:val="fr-FR"/>
        </w:rPr>
        <w:t>inscrit et publié en français, en anglais et en espagnol uniqueme</w:t>
      </w:r>
      <w:r w:rsidR="00A541B2" w:rsidRPr="00835AA1">
        <w:rPr>
          <w:lang w:val="fr-FR"/>
        </w:rPr>
        <w:t>nt.  To</w:t>
      </w:r>
      <w:r w:rsidR="00EA3618" w:rsidRPr="00835AA1">
        <w:rPr>
          <w:lang w:val="fr-FR"/>
        </w:rPr>
        <w:t>utes les autres communications concernant l</w:t>
      </w:r>
      <w:r w:rsidR="002E3178" w:rsidRPr="00835AA1">
        <w:rPr>
          <w:lang w:val="fr-FR"/>
        </w:rPr>
        <w:t>’</w:t>
      </w:r>
      <w:r w:rsidR="00EA3618" w:rsidRPr="00835AA1">
        <w:rPr>
          <w:lang w:val="fr-FR"/>
        </w:rPr>
        <w:t>enregistrement international avec le titulaire et les offices continueraient de se faire en français, en anglais ou en espagnol uniquement.</w:t>
      </w:r>
    </w:p>
    <w:p w14:paraId="4C0720CA" w14:textId="77777777" w:rsidR="008844A6" w:rsidRPr="00835AA1" w:rsidRDefault="003813B1" w:rsidP="00B34648">
      <w:pPr>
        <w:pStyle w:val="Heading2"/>
      </w:pPr>
      <w:r w:rsidRPr="00835AA1">
        <w:t>Option “C” : langue de publication</w:t>
      </w:r>
    </w:p>
    <w:p w14:paraId="4881CDAF" w14:textId="77777777" w:rsidR="008844A6" w:rsidRPr="00835AA1" w:rsidRDefault="00E313E4" w:rsidP="003813B1">
      <w:pPr>
        <w:pStyle w:val="ONUMFS"/>
        <w:rPr>
          <w:lang w:val="fr-FR"/>
        </w:rPr>
      </w:pPr>
      <w:r w:rsidRPr="00835AA1">
        <w:rPr>
          <w:lang w:val="fr-FR"/>
        </w:rPr>
        <w:t>Outre</w:t>
      </w:r>
      <w:r w:rsidR="00EA3618" w:rsidRPr="00835AA1">
        <w:rPr>
          <w:lang w:val="fr-FR"/>
        </w:rPr>
        <w:t xml:space="preserve"> le dépôt, l</w:t>
      </w:r>
      <w:r w:rsidR="002E3178" w:rsidRPr="00835AA1">
        <w:rPr>
          <w:lang w:val="fr-FR"/>
        </w:rPr>
        <w:t>’</w:t>
      </w:r>
      <w:r w:rsidR="00EA3618" w:rsidRPr="00835AA1">
        <w:rPr>
          <w:lang w:val="fr-FR"/>
        </w:rPr>
        <w:t>examen et la communication avec le déposant dans la nouvelle langue</w:t>
      </w:r>
      <w:r w:rsidRPr="00835AA1">
        <w:rPr>
          <w:lang w:val="fr-FR"/>
        </w:rPr>
        <w:t xml:space="preserve"> prévus par l</w:t>
      </w:r>
      <w:r w:rsidR="002E3178" w:rsidRPr="00835AA1">
        <w:rPr>
          <w:lang w:val="fr-FR"/>
        </w:rPr>
        <w:t>’</w:t>
      </w:r>
      <w:r w:rsidRPr="00835AA1">
        <w:rPr>
          <w:lang w:val="fr-FR"/>
        </w:rPr>
        <w:t>option</w:t>
      </w:r>
      <w:r w:rsidR="00A10088" w:rsidRPr="00835AA1">
        <w:rPr>
          <w:lang w:val="fr-FR"/>
        </w:rPr>
        <w:t> </w:t>
      </w:r>
      <w:r w:rsidR="001D2116" w:rsidRPr="00835AA1">
        <w:rPr>
          <w:lang w:val="fr-FR"/>
        </w:rPr>
        <w:t>“</w:t>
      </w:r>
      <w:r w:rsidRPr="00835AA1">
        <w:rPr>
          <w:lang w:val="fr-FR"/>
        </w:rPr>
        <w:t>B</w:t>
      </w:r>
      <w:r w:rsidR="001D2116" w:rsidRPr="00835AA1">
        <w:rPr>
          <w:lang w:val="fr-FR"/>
        </w:rPr>
        <w:t>”</w:t>
      </w:r>
      <w:r w:rsidRPr="00835AA1">
        <w:rPr>
          <w:lang w:val="fr-FR"/>
        </w:rPr>
        <w:t>,</w:t>
      </w:r>
      <w:r w:rsidR="00EA3618" w:rsidRPr="00835AA1">
        <w:rPr>
          <w:lang w:val="fr-FR"/>
        </w:rPr>
        <w:t xml:space="preserve"> le Bureau international inscrirait l</w:t>
      </w:r>
      <w:r w:rsidR="002E3178" w:rsidRPr="00835AA1">
        <w:rPr>
          <w:lang w:val="fr-FR"/>
        </w:rPr>
        <w:t>’</w:t>
      </w:r>
      <w:r w:rsidR="00EA3618" w:rsidRPr="00835AA1">
        <w:rPr>
          <w:lang w:val="fr-FR"/>
        </w:rPr>
        <w:t>enregistrement international dans cette lang</w:t>
      </w:r>
      <w:r w:rsidR="00A541B2" w:rsidRPr="00835AA1">
        <w:rPr>
          <w:lang w:val="fr-FR"/>
        </w:rPr>
        <w:t>ue.  En</w:t>
      </w:r>
      <w:r w:rsidR="00EA3618" w:rsidRPr="00835AA1">
        <w:rPr>
          <w:lang w:val="fr-FR"/>
        </w:rPr>
        <w:t xml:space="preserve"> conséquence, l</w:t>
      </w:r>
      <w:r w:rsidR="002E3178" w:rsidRPr="00835AA1">
        <w:rPr>
          <w:lang w:val="fr-FR"/>
        </w:rPr>
        <w:t>’</w:t>
      </w:r>
      <w:r w:rsidR="00EA3618" w:rsidRPr="00835AA1">
        <w:rPr>
          <w:lang w:val="fr-FR"/>
        </w:rPr>
        <w:t>enregistrement international serait inscrit et publié dans la nouvelle langue en plus des trois</w:t>
      </w:r>
      <w:r w:rsidR="00CE11BA" w:rsidRPr="00835AA1">
        <w:rPr>
          <w:lang w:val="fr-FR"/>
        </w:rPr>
        <w:t> </w:t>
      </w:r>
      <w:r w:rsidR="00EA3618" w:rsidRPr="00835AA1">
        <w:rPr>
          <w:lang w:val="fr-FR"/>
        </w:rPr>
        <w:t>langues actuelles (quatre langues au total).</w:t>
      </w:r>
    </w:p>
    <w:p w14:paraId="36BC866B" w14:textId="77777777" w:rsidR="008844A6" w:rsidRPr="00835AA1" w:rsidRDefault="00E313E4" w:rsidP="003813B1">
      <w:pPr>
        <w:pStyle w:val="ONUMFS"/>
        <w:rPr>
          <w:lang w:val="fr-FR"/>
        </w:rPr>
      </w:pPr>
      <w:r w:rsidRPr="00835AA1">
        <w:rPr>
          <w:lang w:val="fr-FR"/>
        </w:rPr>
        <w:t>Par ailleurs</w:t>
      </w:r>
      <w:r w:rsidR="005C50A8" w:rsidRPr="00835AA1">
        <w:rPr>
          <w:lang w:val="fr-FR"/>
        </w:rPr>
        <w:t xml:space="preserve">, pour les enregistrements internationaux publiés dans cette nouvelle langue uniquement, les offices des parties contractantes désignées </w:t>
      </w:r>
      <w:r w:rsidRPr="00835AA1">
        <w:rPr>
          <w:lang w:val="fr-FR"/>
        </w:rPr>
        <w:t xml:space="preserve">pourraient </w:t>
      </w:r>
      <w:r w:rsidR="005C50A8" w:rsidRPr="00835AA1">
        <w:rPr>
          <w:lang w:val="fr-FR"/>
        </w:rPr>
        <w:t xml:space="preserve">envoyer des communications (par exemple, des notifications de refus </w:t>
      </w:r>
      <w:r w:rsidRPr="00835AA1">
        <w:rPr>
          <w:lang w:val="fr-FR"/>
        </w:rPr>
        <w:t>ou</w:t>
      </w:r>
      <w:r w:rsidR="005C50A8" w:rsidRPr="00835AA1">
        <w:rPr>
          <w:lang w:val="fr-FR"/>
        </w:rPr>
        <w:t xml:space="preserve"> des déclarations d</w:t>
      </w:r>
      <w:r w:rsidR="002E3178" w:rsidRPr="00835AA1">
        <w:rPr>
          <w:lang w:val="fr-FR"/>
        </w:rPr>
        <w:t>’</w:t>
      </w:r>
      <w:r w:rsidR="005C50A8" w:rsidRPr="00835AA1">
        <w:rPr>
          <w:lang w:val="fr-FR"/>
        </w:rPr>
        <w:t xml:space="preserve">octroi de la protection) dans la nouvelle langue, en plus </w:t>
      </w:r>
      <w:r w:rsidRPr="00835AA1">
        <w:rPr>
          <w:lang w:val="fr-FR"/>
        </w:rPr>
        <w:t>du</w:t>
      </w:r>
      <w:r w:rsidR="005C50A8" w:rsidRPr="00835AA1">
        <w:rPr>
          <w:lang w:val="fr-FR"/>
        </w:rPr>
        <w:t xml:space="preserve"> français, </w:t>
      </w:r>
      <w:r w:rsidRPr="00835AA1">
        <w:rPr>
          <w:lang w:val="fr-FR"/>
        </w:rPr>
        <w:t>de l</w:t>
      </w:r>
      <w:r w:rsidR="002E3178" w:rsidRPr="00835AA1">
        <w:rPr>
          <w:lang w:val="fr-FR"/>
        </w:rPr>
        <w:t>’</w:t>
      </w:r>
      <w:r w:rsidR="005C50A8" w:rsidRPr="00835AA1">
        <w:rPr>
          <w:lang w:val="fr-FR"/>
        </w:rPr>
        <w:t xml:space="preserve">anglais ou </w:t>
      </w:r>
      <w:r w:rsidRPr="00835AA1">
        <w:rPr>
          <w:lang w:val="fr-FR"/>
        </w:rPr>
        <w:t>de l</w:t>
      </w:r>
      <w:r w:rsidR="002E3178" w:rsidRPr="00835AA1">
        <w:rPr>
          <w:lang w:val="fr-FR"/>
        </w:rPr>
        <w:t>’</w:t>
      </w:r>
      <w:r w:rsidR="005C50A8" w:rsidRPr="00835AA1">
        <w:rPr>
          <w:lang w:val="fr-FR"/>
        </w:rPr>
        <w:t>espagnol.</w:t>
      </w:r>
    </w:p>
    <w:p w14:paraId="797D9A86" w14:textId="77777777" w:rsidR="008844A6" w:rsidRPr="00835AA1" w:rsidRDefault="005C50A8" w:rsidP="003813B1">
      <w:pPr>
        <w:pStyle w:val="ONUMFS"/>
        <w:rPr>
          <w:lang w:val="fr-FR"/>
        </w:rPr>
      </w:pPr>
      <w:r w:rsidRPr="00835AA1">
        <w:rPr>
          <w:lang w:val="fr-FR"/>
        </w:rPr>
        <w:lastRenderedPageBreak/>
        <w:t>Les titulaires d</w:t>
      </w:r>
      <w:r w:rsidR="002E3178" w:rsidRPr="00835AA1">
        <w:rPr>
          <w:lang w:val="fr-FR"/>
        </w:rPr>
        <w:t>’</w:t>
      </w:r>
      <w:r w:rsidRPr="00835AA1">
        <w:rPr>
          <w:lang w:val="fr-FR"/>
        </w:rPr>
        <w:t>enregistrements internationaux publiés dans la nouvelle langue pourraient envoyer des communications au Bureau international dans la nouvelle langue (par exemple, une demande d</w:t>
      </w:r>
      <w:r w:rsidR="002E3178" w:rsidRPr="00835AA1">
        <w:rPr>
          <w:lang w:val="fr-FR"/>
        </w:rPr>
        <w:t>’</w:t>
      </w:r>
      <w:r w:rsidRPr="00835AA1">
        <w:rPr>
          <w:lang w:val="fr-FR"/>
        </w:rPr>
        <w:t>inscription d</w:t>
      </w:r>
      <w:r w:rsidR="002E3178" w:rsidRPr="00835AA1">
        <w:rPr>
          <w:lang w:val="fr-FR"/>
        </w:rPr>
        <w:t>’</w:t>
      </w:r>
      <w:r w:rsidRPr="00835AA1">
        <w:rPr>
          <w:lang w:val="fr-FR"/>
        </w:rPr>
        <w:t>une modification ou d</w:t>
      </w:r>
      <w:r w:rsidR="002E3178" w:rsidRPr="00835AA1">
        <w:rPr>
          <w:lang w:val="fr-FR"/>
        </w:rPr>
        <w:t>’</w:t>
      </w:r>
      <w:r w:rsidRPr="00835AA1">
        <w:rPr>
          <w:lang w:val="fr-FR"/>
        </w:rPr>
        <w:t>un renouvellement) et recevoir les communications du Bureau international également dans cette lang</w:t>
      </w:r>
      <w:r w:rsidR="00A541B2" w:rsidRPr="00835AA1">
        <w:rPr>
          <w:lang w:val="fr-FR"/>
        </w:rPr>
        <w:t>ue.  En</w:t>
      </w:r>
      <w:r w:rsidR="0060221C" w:rsidRPr="00835AA1">
        <w:rPr>
          <w:lang w:val="fr-FR"/>
        </w:rPr>
        <w:t xml:space="preserve"> conséquence, toute opération pouvant en résulter serait inscrite et publiée dans les quatre</w:t>
      </w:r>
      <w:r w:rsidR="00CE11BA" w:rsidRPr="00835AA1">
        <w:rPr>
          <w:lang w:val="fr-FR"/>
        </w:rPr>
        <w:t> </w:t>
      </w:r>
      <w:r w:rsidR="0060221C" w:rsidRPr="00835AA1">
        <w:rPr>
          <w:lang w:val="fr-FR"/>
        </w:rPr>
        <w:t>langues (la nouvelle langue, le français, l</w:t>
      </w:r>
      <w:r w:rsidR="002E3178" w:rsidRPr="00835AA1">
        <w:rPr>
          <w:lang w:val="fr-FR"/>
        </w:rPr>
        <w:t>’</w:t>
      </w:r>
      <w:r w:rsidR="0060221C" w:rsidRPr="00835AA1">
        <w:rPr>
          <w:lang w:val="fr-FR"/>
        </w:rPr>
        <w:t>anglais et l</w:t>
      </w:r>
      <w:r w:rsidR="002E3178" w:rsidRPr="00835AA1">
        <w:rPr>
          <w:lang w:val="fr-FR"/>
        </w:rPr>
        <w:t>’</w:t>
      </w:r>
      <w:r w:rsidR="0060221C" w:rsidRPr="00835AA1">
        <w:rPr>
          <w:lang w:val="fr-FR"/>
        </w:rPr>
        <w:t>espagnol).</w:t>
      </w:r>
    </w:p>
    <w:p w14:paraId="629DF6D8" w14:textId="77777777" w:rsidR="008844A6" w:rsidRPr="00835AA1" w:rsidRDefault="0060221C" w:rsidP="003813B1">
      <w:pPr>
        <w:pStyle w:val="ONUMFS"/>
        <w:rPr>
          <w:lang w:val="fr-FR"/>
        </w:rPr>
      </w:pPr>
      <w:r w:rsidRPr="00835AA1">
        <w:rPr>
          <w:lang w:val="fr-FR"/>
        </w:rPr>
        <w:t>L</w:t>
      </w:r>
      <w:r w:rsidR="002E3178" w:rsidRPr="00835AA1">
        <w:rPr>
          <w:lang w:val="fr-FR"/>
        </w:rPr>
        <w:t>’</w:t>
      </w:r>
      <w:r w:rsidRPr="00835AA1">
        <w:rPr>
          <w:lang w:val="fr-FR"/>
        </w:rPr>
        <w:t>inscription, la publication et les communications concernant des enregistrements internationaux résultant d</w:t>
      </w:r>
      <w:r w:rsidR="002E3178" w:rsidRPr="00835AA1">
        <w:rPr>
          <w:lang w:val="fr-FR"/>
        </w:rPr>
        <w:t>’</w:t>
      </w:r>
      <w:r w:rsidRPr="00835AA1">
        <w:rPr>
          <w:lang w:val="fr-FR"/>
        </w:rPr>
        <w:t>une demande déposée en français, en anglais ou en espagnol continueraient de se faire uniquement dans ces langues.</w:t>
      </w:r>
    </w:p>
    <w:p w14:paraId="6113B986" w14:textId="77777777" w:rsidR="008844A6" w:rsidRPr="00835AA1" w:rsidRDefault="003813B1" w:rsidP="00B34648">
      <w:pPr>
        <w:pStyle w:val="Heading2"/>
      </w:pPr>
      <w:r w:rsidRPr="00835AA1">
        <w:t>Option “D” : langue de publication et de communication de l’office</w:t>
      </w:r>
    </w:p>
    <w:p w14:paraId="4CC12996" w14:textId="0F8011EE" w:rsidR="008844A6" w:rsidRPr="00835AA1" w:rsidRDefault="0060221C" w:rsidP="003813B1">
      <w:pPr>
        <w:pStyle w:val="ONUMFS"/>
        <w:rPr>
          <w:lang w:val="fr-FR"/>
        </w:rPr>
      </w:pPr>
      <w:r w:rsidRPr="00835AA1">
        <w:rPr>
          <w:lang w:val="fr-FR"/>
        </w:rPr>
        <w:t>Il s</w:t>
      </w:r>
      <w:r w:rsidR="002E3178" w:rsidRPr="00835AA1">
        <w:rPr>
          <w:lang w:val="fr-FR"/>
        </w:rPr>
        <w:t>’</w:t>
      </w:r>
      <w:r w:rsidRPr="00835AA1">
        <w:rPr>
          <w:lang w:val="fr-FR"/>
        </w:rPr>
        <w:t>agit d</w:t>
      </w:r>
      <w:r w:rsidR="002E3178" w:rsidRPr="00835AA1">
        <w:rPr>
          <w:lang w:val="fr-FR"/>
        </w:rPr>
        <w:t>’</w:t>
      </w:r>
      <w:r w:rsidRPr="00835AA1">
        <w:rPr>
          <w:lang w:val="fr-FR"/>
        </w:rPr>
        <w:t>une version étendue de l</w:t>
      </w:r>
      <w:r w:rsidR="002E3178" w:rsidRPr="00835AA1">
        <w:rPr>
          <w:lang w:val="fr-FR"/>
        </w:rPr>
        <w:t>’</w:t>
      </w:r>
      <w:r w:rsidRPr="00835AA1">
        <w:rPr>
          <w:lang w:val="fr-FR"/>
        </w:rPr>
        <w:t>option</w:t>
      </w:r>
      <w:r w:rsidR="00A10088" w:rsidRPr="00835AA1">
        <w:rPr>
          <w:lang w:val="fr-FR"/>
        </w:rPr>
        <w:t> </w:t>
      </w:r>
      <w:r w:rsidR="001D2116" w:rsidRPr="00835AA1">
        <w:rPr>
          <w:lang w:val="fr-FR"/>
        </w:rPr>
        <w:t>“</w:t>
      </w:r>
      <w:r w:rsidRPr="00835AA1">
        <w:rPr>
          <w:lang w:val="fr-FR"/>
        </w:rPr>
        <w:t>C</w:t>
      </w:r>
      <w:r w:rsidR="001D2116" w:rsidRPr="00835AA1">
        <w:rPr>
          <w:lang w:val="fr-FR"/>
        </w:rPr>
        <w:t>”</w:t>
      </w:r>
      <w:r w:rsidRPr="00835AA1">
        <w:rPr>
          <w:lang w:val="fr-FR"/>
        </w:rPr>
        <w:t>.</w:t>
      </w:r>
      <w:r w:rsidR="006D78CC" w:rsidRPr="00835AA1">
        <w:rPr>
          <w:lang w:val="fr-FR"/>
        </w:rPr>
        <w:t xml:space="preserve"> </w:t>
      </w:r>
      <w:r w:rsidR="00E313E4" w:rsidRPr="00835AA1">
        <w:rPr>
          <w:lang w:val="fr-FR"/>
        </w:rPr>
        <w:t xml:space="preserve"> </w:t>
      </w:r>
      <w:r w:rsidR="003330E7" w:rsidRPr="00835AA1">
        <w:rPr>
          <w:lang w:val="fr-FR"/>
        </w:rPr>
        <w:t>Outre ce qui est prévu dans l</w:t>
      </w:r>
      <w:r w:rsidR="002E3178" w:rsidRPr="00835AA1">
        <w:rPr>
          <w:lang w:val="fr-FR"/>
        </w:rPr>
        <w:t>’</w:t>
      </w:r>
      <w:r w:rsidR="00A10088" w:rsidRPr="00835AA1">
        <w:rPr>
          <w:lang w:val="fr-FR"/>
        </w:rPr>
        <w:t>option </w:t>
      </w:r>
      <w:r w:rsidR="001D2116" w:rsidRPr="00835AA1">
        <w:rPr>
          <w:lang w:val="fr-FR"/>
        </w:rPr>
        <w:t>“</w:t>
      </w:r>
      <w:r w:rsidR="003330E7" w:rsidRPr="00835AA1">
        <w:rPr>
          <w:lang w:val="fr-FR"/>
        </w:rPr>
        <w:t>C</w:t>
      </w:r>
      <w:r w:rsidR="001D2116" w:rsidRPr="00835AA1">
        <w:rPr>
          <w:lang w:val="fr-FR"/>
        </w:rPr>
        <w:t>”</w:t>
      </w:r>
      <w:r w:rsidR="003330E7" w:rsidRPr="00835AA1">
        <w:rPr>
          <w:lang w:val="fr-FR"/>
        </w:rPr>
        <w:t xml:space="preserve">, le Bureau </w:t>
      </w:r>
      <w:r w:rsidR="00E313E4" w:rsidRPr="00835AA1">
        <w:rPr>
          <w:lang w:val="fr-FR"/>
        </w:rPr>
        <w:t>i</w:t>
      </w:r>
      <w:r w:rsidR="003330E7" w:rsidRPr="00835AA1">
        <w:rPr>
          <w:lang w:val="fr-FR"/>
        </w:rPr>
        <w:t>nternational effectuerait les traductions nécessaires dans l</w:t>
      </w:r>
      <w:r w:rsidR="002E3178" w:rsidRPr="00835AA1">
        <w:rPr>
          <w:lang w:val="fr-FR"/>
        </w:rPr>
        <w:t>’</w:t>
      </w:r>
      <w:r w:rsidR="003330E7" w:rsidRPr="00835AA1">
        <w:rPr>
          <w:lang w:val="fr-FR"/>
        </w:rPr>
        <w:t>une quelconque des nouvelles langues</w:t>
      </w:r>
      <w:r w:rsidR="00E313E4" w:rsidRPr="00835AA1">
        <w:rPr>
          <w:lang w:val="fr-FR"/>
        </w:rPr>
        <w:t>,</w:t>
      </w:r>
      <w:r w:rsidR="003330E7" w:rsidRPr="00835AA1">
        <w:rPr>
          <w:lang w:val="fr-FR"/>
        </w:rPr>
        <w:t xml:space="preserve"> choisie par l</w:t>
      </w:r>
      <w:r w:rsidR="002E3178" w:rsidRPr="00835AA1">
        <w:rPr>
          <w:lang w:val="fr-FR"/>
        </w:rPr>
        <w:t>’</w:t>
      </w:r>
      <w:r w:rsidR="003330E7" w:rsidRPr="00835AA1">
        <w:rPr>
          <w:lang w:val="fr-FR"/>
        </w:rPr>
        <w:t xml:space="preserve">office </w:t>
      </w:r>
      <w:r w:rsidR="00E313E4" w:rsidRPr="00835AA1">
        <w:rPr>
          <w:lang w:val="fr-FR"/>
        </w:rPr>
        <w:t>d</w:t>
      </w:r>
      <w:r w:rsidR="00BB75EF">
        <w:rPr>
          <w:lang w:val="fr-FR"/>
        </w:rPr>
        <w:t>’une</w:t>
      </w:r>
      <w:r w:rsidR="003330E7" w:rsidRPr="00835AA1">
        <w:rPr>
          <w:lang w:val="fr-FR"/>
        </w:rPr>
        <w:t xml:space="preserve"> partie contractante désignée.</w:t>
      </w:r>
    </w:p>
    <w:p w14:paraId="29654C84" w14:textId="77777777" w:rsidR="008844A6" w:rsidRPr="00835AA1" w:rsidRDefault="00E313E4" w:rsidP="003813B1">
      <w:pPr>
        <w:pStyle w:val="ONUMFS"/>
        <w:rPr>
          <w:lang w:val="fr-FR"/>
        </w:rPr>
      </w:pPr>
      <w:r w:rsidRPr="00835AA1">
        <w:rPr>
          <w:lang w:val="fr-FR"/>
        </w:rPr>
        <w:t xml:space="preserve">Les </w:t>
      </w:r>
      <w:r w:rsidR="003330E7" w:rsidRPr="00835AA1">
        <w:rPr>
          <w:lang w:val="fr-FR"/>
        </w:rPr>
        <w:t>office</w:t>
      </w:r>
      <w:r w:rsidRPr="00835AA1">
        <w:rPr>
          <w:lang w:val="fr-FR"/>
        </w:rPr>
        <w:t>s</w:t>
      </w:r>
      <w:r w:rsidR="003330E7" w:rsidRPr="00835AA1">
        <w:rPr>
          <w:lang w:val="fr-FR"/>
        </w:rPr>
        <w:t xml:space="preserve"> pourrai</w:t>
      </w:r>
      <w:r w:rsidRPr="00835AA1">
        <w:rPr>
          <w:lang w:val="fr-FR"/>
        </w:rPr>
        <w:t>en</w:t>
      </w:r>
      <w:r w:rsidR="003330E7" w:rsidRPr="00835AA1">
        <w:rPr>
          <w:lang w:val="fr-FR"/>
        </w:rPr>
        <w:t>t envoyer des communications (c</w:t>
      </w:r>
      <w:r w:rsidR="002E3178" w:rsidRPr="00835AA1">
        <w:rPr>
          <w:lang w:val="fr-FR"/>
        </w:rPr>
        <w:t>’</w:t>
      </w:r>
      <w:r w:rsidR="003330E7" w:rsidRPr="00835AA1">
        <w:rPr>
          <w:lang w:val="fr-FR"/>
        </w:rPr>
        <w:t>est</w:t>
      </w:r>
      <w:r w:rsidR="003813B1" w:rsidRPr="00835AA1">
        <w:rPr>
          <w:lang w:val="fr-FR"/>
        </w:rPr>
        <w:noBreakHyphen/>
      </w:r>
      <w:r w:rsidR="003330E7" w:rsidRPr="00835AA1">
        <w:rPr>
          <w:lang w:val="fr-FR"/>
        </w:rPr>
        <w:t>à</w:t>
      </w:r>
      <w:r w:rsidR="003813B1" w:rsidRPr="00835AA1">
        <w:rPr>
          <w:lang w:val="fr-FR"/>
        </w:rPr>
        <w:noBreakHyphen/>
      </w:r>
      <w:r w:rsidR="003330E7" w:rsidRPr="00835AA1">
        <w:rPr>
          <w:lang w:val="fr-FR"/>
        </w:rPr>
        <w:t xml:space="preserve">dire des notifications de refus </w:t>
      </w:r>
      <w:r w:rsidRPr="00835AA1">
        <w:rPr>
          <w:lang w:val="fr-FR"/>
        </w:rPr>
        <w:t>ou</w:t>
      </w:r>
      <w:r w:rsidR="003330E7" w:rsidRPr="00835AA1">
        <w:rPr>
          <w:lang w:val="fr-FR"/>
        </w:rPr>
        <w:t xml:space="preserve"> des déclarations d</w:t>
      </w:r>
      <w:r w:rsidR="002E3178" w:rsidRPr="00835AA1">
        <w:rPr>
          <w:lang w:val="fr-FR"/>
        </w:rPr>
        <w:t>’</w:t>
      </w:r>
      <w:r w:rsidR="003330E7" w:rsidRPr="00835AA1">
        <w:rPr>
          <w:lang w:val="fr-FR"/>
        </w:rPr>
        <w:t>octroi de la protection) dans la nouvelle langue, quelle que soit la langue dans laquelle la demande internationale a été déposée.</w:t>
      </w:r>
    </w:p>
    <w:p w14:paraId="2E352272" w14:textId="77777777" w:rsidR="008844A6" w:rsidRPr="00835AA1" w:rsidRDefault="003813B1" w:rsidP="00B34648">
      <w:pPr>
        <w:pStyle w:val="Heading2"/>
      </w:pPr>
      <w:r w:rsidRPr="00835AA1">
        <w:t>Option “E” : langue de travail</w:t>
      </w:r>
    </w:p>
    <w:p w14:paraId="4777359F" w14:textId="77777777" w:rsidR="008844A6" w:rsidRPr="00835AA1" w:rsidRDefault="003330E7" w:rsidP="003813B1">
      <w:pPr>
        <w:pStyle w:val="ONUMFS"/>
        <w:rPr>
          <w:lang w:val="fr-FR"/>
        </w:rPr>
      </w:pPr>
      <w:r w:rsidRPr="00835AA1">
        <w:rPr>
          <w:lang w:val="fr-FR"/>
        </w:rPr>
        <w:t>Selon cette option, le régime linguistique actuellement prévu à la règle</w:t>
      </w:r>
      <w:r w:rsidR="001D2116" w:rsidRPr="00835AA1">
        <w:rPr>
          <w:lang w:val="fr-FR"/>
        </w:rPr>
        <w:t> </w:t>
      </w:r>
      <w:r w:rsidRPr="00835AA1">
        <w:rPr>
          <w:lang w:val="fr-FR"/>
        </w:rPr>
        <w:t>6 du règlement d</w:t>
      </w:r>
      <w:r w:rsidR="002E3178" w:rsidRPr="00835AA1">
        <w:rPr>
          <w:lang w:val="fr-FR"/>
        </w:rPr>
        <w:t>’</w:t>
      </w:r>
      <w:r w:rsidRPr="00835AA1">
        <w:rPr>
          <w:lang w:val="fr-FR"/>
        </w:rPr>
        <w:t>exécution commun s</w:t>
      </w:r>
      <w:r w:rsidR="002E3178" w:rsidRPr="00835AA1">
        <w:rPr>
          <w:lang w:val="fr-FR"/>
        </w:rPr>
        <w:t>’</w:t>
      </w:r>
      <w:r w:rsidRPr="00835AA1">
        <w:rPr>
          <w:lang w:val="fr-FR"/>
        </w:rPr>
        <w:t>appliquerait également à la nouvelle lang</w:t>
      </w:r>
      <w:r w:rsidR="00A541B2" w:rsidRPr="00835AA1">
        <w:rPr>
          <w:lang w:val="fr-FR"/>
        </w:rPr>
        <w:t>ue.  En</w:t>
      </w:r>
      <w:r w:rsidRPr="00835AA1">
        <w:rPr>
          <w:lang w:val="fr-FR"/>
        </w:rPr>
        <w:t xml:space="preserve"> d</w:t>
      </w:r>
      <w:r w:rsidR="002E3178" w:rsidRPr="00835AA1">
        <w:rPr>
          <w:lang w:val="fr-FR"/>
        </w:rPr>
        <w:t>’</w:t>
      </w:r>
      <w:r w:rsidRPr="00835AA1">
        <w:rPr>
          <w:lang w:val="fr-FR"/>
        </w:rPr>
        <w:t>autres termes, contrairement aux options</w:t>
      </w:r>
      <w:r w:rsidR="00A10088" w:rsidRPr="00835AA1">
        <w:rPr>
          <w:lang w:val="fr-FR"/>
        </w:rPr>
        <w:t> </w:t>
      </w:r>
      <w:r w:rsidR="001D2116" w:rsidRPr="00835AA1">
        <w:rPr>
          <w:lang w:val="fr-FR"/>
        </w:rPr>
        <w:t>“</w:t>
      </w:r>
      <w:r w:rsidRPr="00835AA1">
        <w:rPr>
          <w:lang w:val="fr-FR"/>
        </w:rPr>
        <w:t>A</w:t>
      </w:r>
      <w:r w:rsidR="001D2116" w:rsidRPr="00835AA1">
        <w:rPr>
          <w:lang w:val="fr-FR"/>
        </w:rPr>
        <w:t>”</w:t>
      </w:r>
      <w:r w:rsidR="00A10088" w:rsidRPr="00835AA1">
        <w:rPr>
          <w:lang w:val="fr-FR"/>
        </w:rPr>
        <w:t xml:space="preserve"> à </w:t>
      </w:r>
      <w:r w:rsidR="001D2116" w:rsidRPr="00835AA1">
        <w:rPr>
          <w:lang w:val="fr-FR"/>
        </w:rPr>
        <w:t>“</w:t>
      </w:r>
      <w:r w:rsidRPr="00835AA1">
        <w:rPr>
          <w:lang w:val="fr-FR"/>
        </w:rPr>
        <w:t>D</w:t>
      </w:r>
      <w:r w:rsidR="001D2116" w:rsidRPr="00835AA1">
        <w:rPr>
          <w:lang w:val="fr-FR"/>
        </w:rPr>
        <w:t>”</w:t>
      </w:r>
      <w:r w:rsidRPr="00835AA1">
        <w:rPr>
          <w:lang w:val="fr-FR"/>
        </w:rPr>
        <w:t xml:space="preserve">, le Bureau international </w:t>
      </w:r>
      <w:r w:rsidR="00E313E4" w:rsidRPr="00835AA1">
        <w:rPr>
          <w:lang w:val="fr-FR"/>
        </w:rPr>
        <w:t>inscrirait</w:t>
      </w:r>
      <w:r w:rsidRPr="00835AA1">
        <w:rPr>
          <w:lang w:val="fr-FR"/>
        </w:rPr>
        <w:t xml:space="preserve"> et publierait dans tous les cas les enregistrements internationaux dans </w:t>
      </w:r>
      <w:r w:rsidR="00E313E4" w:rsidRPr="00835AA1">
        <w:rPr>
          <w:lang w:val="fr-FR"/>
        </w:rPr>
        <w:t>la</w:t>
      </w:r>
      <w:r w:rsidRPr="00835AA1">
        <w:rPr>
          <w:lang w:val="fr-FR"/>
        </w:rPr>
        <w:t xml:space="preserve"> nouvelle langue, en plus du français, de l</w:t>
      </w:r>
      <w:r w:rsidR="002E3178" w:rsidRPr="00835AA1">
        <w:rPr>
          <w:lang w:val="fr-FR"/>
        </w:rPr>
        <w:t>’</w:t>
      </w:r>
      <w:r w:rsidRPr="00835AA1">
        <w:rPr>
          <w:lang w:val="fr-FR"/>
        </w:rPr>
        <w:t>anglais et de l</w:t>
      </w:r>
      <w:r w:rsidR="002E3178" w:rsidRPr="00835AA1">
        <w:rPr>
          <w:lang w:val="fr-FR"/>
        </w:rPr>
        <w:t>’</w:t>
      </w:r>
      <w:r w:rsidRPr="00835AA1">
        <w:rPr>
          <w:lang w:val="fr-FR"/>
        </w:rPr>
        <w:t>espagnol.</w:t>
      </w:r>
    </w:p>
    <w:p w14:paraId="4350F62B" w14:textId="0FE773A8" w:rsidR="008844A6" w:rsidRPr="00835AA1" w:rsidRDefault="003813B1" w:rsidP="003813B1">
      <w:pPr>
        <w:pStyle w:val="Heading1"/>
        <w:rPr>
          <w:lang w:val="fr-FR"/>
        </w:rPr>
      </w:pPr>
      <w:r w:rsidRPr="00835AA1">
        <w:rPr>
          <w:lang w:val="fr-FR"/>
        </w:rPr>
        <w:t>É</w:t>
      </w:r>
      <w:r w:rsidR="003330E7" w:rsidRPr="00835AA1">
        <w:rPr>
          <w:lang w:val="fr-FR"/>
        </w:rPr>
        <w:t>valuation de la disponibilit</w:t>
      </w:r>
      <w:r w:rsidR="00015994">
        <w:rPr>
          <w:lang w:val="fr-FR"/>
        </w:rPr>
        <w:t>É</w:t>
      </w:r>
      <w:r w:rsidR="003330E7" w:rsidRPr="00835AA1">
        <w:rPr>
          <w:lang w:val="fr-FR"/>
        </w:rPr>
        <w:t xml:space="preserve"> des supports et des outils concernant le syst</w:t>
      </w:r>
      <w:r w:rsidR="00015994">
        <w:rPr>
          <w:lang w:val="fr-FR"/>
        </w:rPr>
        <w:t>È</w:t>
      </w:r>
      <w:r w:rsidR="003330E7" w:rsidRPr="00835AA1">
        <w:rPr>
          <w:lang w:val="fr-FR"/>
        </w:rPr>
        <w:t xml:space="preserve">me de </w:t>
      </w:r>
      <w:r w:rsidR="002E3178" w:rsidRPr="00835AA1">
        <w:rPr>
          <w:lang w:val="fr-FR"/>
        </w:rPr>
        <w:t>La Haye</w:t>
      </w:r>
    </w:p>
    <w:p w14:paraId="1400AE8F" w14:textId="41828988" w:rsidR="008844A6" w:rsidRPr="00835AA1" w:rsidRDefault="003330E7" w:rsidP="003813B1">
      <w:pPr>
        <w:pStyle w:val="ONUMFS"/>
        <w:rPr>
          <w:lang w:val="fr-FR"/>
        </w:rPr>
      </w:pPr>
      <w:r w:rsidRPr="00835AA1">
        <w:rPr>
          <w:lang w:val="fr-FR"/>
        </w:rPr>
        <w:t>L</w:t>
      </w:r>
      <w:r w:rsidR="002E3178" w:rsidRPr="00835AA1">
        <w:rPr>
          <w:lang w:val="fr-FR"/>
        </w:rPr>
        <w:t>’</w:t>
      </w:r>
      <w:r w:rsidR="001D2116" w:rsidRPr="00835AA1">
        <w:rPr>
          <w:lang w:val="fr-FR"/>
        </w:rPr>
        <w:t>annexe I</w:t>
      </w:r>
      <w:r w:rsidRPr="00835AA1">
        <w:rPr>
          <w:lang w:val="fr-FR"/>
        </w:rPr>
        <w:t xml:space="preserve"> du présent document donne un aperçu de la disponibilité des supports et </w:t>
      </w:r>
      <w:r w:rsidR="00E313E4" w:rsidRPr="00835AA1">
        <w:rPr>
          <w:lang w:val="fr-FR"/>
        </w:rPr>
        <w:t xml:space="preserve">des </w:t>
      </w:r>
      <w:r w:rsidRPr="00835AA1">
        <w:rPr>
          <w:lang w:val="fr-FR"/>
        </w:rPr>
        <w:t xml:space="preserve">outils concernant le système de </w:t>
      </w:r>
      <w:r w:rsidR="002E3178" w:rsidRPr="00835AA1">
        <w:rPr>
          <w:lang w:val="fr-FR"/>
        </w:rPr>
        <w:t>La Haye</w:t>
      </w:r>
      <w:r w:rsidR="00101BCD">
        <w:rPr>
          <w:lang w:val="fr-FR"/>
        </w:rPr>
        <w:t xml:space="preserve"> en français, anglais, </w:t>
      </w:r>
      <w:r w:rsidR="00870325" w:rsidRPr="00835AA1">
        <w:rPr>
          <w:lang w:val="fr-FR"/>
        </w:rPr>
        <w:t>chinois, espagnol et russe</w:t>
      </w:r>
      <w:r w:rsidRPr="00835AA1">
        <w:rPr>
          <w:lang w:val="fr-FR"/>
        </w:rPr>
        <w:t>.</w:t>
      </w:r>
    </w:p>
    <w:p w14:paraId="79355CBE" w14:textId="77777777" w:rsidR="008844A6" w:rsidRPr="00835AA1" w:rsidRDefault="00E313E4" w:rsidP="003813B1">
      <w:pPr>
        <w:pStyle w:val="ONUMFS"/>
        <w:rPr>
          <w:lang w:val="fr-FR"/>
        </w:rPr>
      </w:pPr>
      <w:r w:rsidRPr="00835AA1">
        <w:rPr>
          <w:lang w:val="fr-FR"/>
        </w:rPr>
        <w:t>L</w:t>
      </w:r>
      <w:r w:rsidR="003330E7" w:rsidRPr="00835AA1">
        <w:rPr>
          <w:lang w:val="fr-FR"/>
        </w:rPr>
        <w:t>es informations telles que les documents de l</w:t>
      </w:r>
      <w:r w:rsidR="002E3178" w:rsidRPr="00835AA1">
        <w:rPr>
          <w:lang w:val="fr-FR"/>
        </w:rPr>
        <w:t>’</w:t>
      </w:r>
      <w:r w:rsidR="003330E7" w:rsidRPr="00835AA1">
        <w:rPr>
          <w:lang w:val="fr-FR"/>
        </w:rPr>
        <w:t>Assemblée de l</w:t>
      </w:r>
      <w:r w:rsidR="002E3178" w:rsidRPr="00835AA1">
        <w:rPr>
          <w:lang w:val="fr-FR"/>
        </w:rPr>
        <w:t>’</w:t>
      </w:r>
      <w:r w:rsidR="003330E7" w:rsidRPr="00835AA1">
        <w:rPr>
          <w:lang w:val="fr-FR"/>
        </w:rPr>
        <w:t xml:space="preserve">Union de </w:t>
      </w:r>
      <w:r w:rsidR="002E3178" w:rsidRPr="00835AA1">
        <w:rPr>
          <w:lang w:val="fr-FR"/>
        </w:rPr>
        <w:t>La Haye</w:t>
      </w:r>
      <w:r w:rsidR="003330E7" w:rsidRPr="00835AA1">
        <w:rPr>
          <w:lang w:val="fr-FR"/>
        </w:rPr>
        <w:t xml:space="preserve"> et du groupe de travail, le site</w:t>
      </w:r>
      <w:r w:rsidR="00CE11BA" w:rsidRPr="00835AA1">
        <w:rPr>
          <w:lang w:val="fr-FR"/>
        </w:rPr>
        <w:t> </w:t>
      </w:r>
      <w:r w:rsidR="003330E7" w:rsidRPr="00835AA1">
        <w:rPr>
          <w:lang w:val="fr-FR"/>
        </w:rPr>
        <w:t xml:space="preserve">Web du système de </w:t>
      </w:r>
      <w:r w:rsidR="002E3178" w:rsidRPr="00835AA1">
        <w:rPr>
          <w:lang w:val="fr-FR"/>
        </w:rPr>
        <w:t>La Haye</w:t>
      </w:r>
      <w:r w:rsidR="003330E7" w:rsidRPr="00835AA1">
        <w:rPr>
          <w:lang w:val="fr-FR"/>
        </w:rPr>
        <w:t xml:space="preserve"> et les textes juridiques sont disponibles dans toutes les langues susmentionné</w:t>
      </w:r>
      <w:r w:rsidR="00A541B2" w:rsidRPr="00835AA1">
        <w:rPr>
          <w:lang w:val="fr-FR"/>
        </w:rPr>
        <w:t>es.  Né</w:t>
      </w:r>
      <w:r w:rsidR="003330E7" w:rsidRPr="00835AA1">
        <w:rPr>
          <w:lang w:val="fr-FR"/>
        </w:rPr>
        <w:t xml:space="preserve">anmoins, les supports et outils en ligne utilisés </w:t>
      </w:r>
      <w:r w:rsidRPr="00835AA1">
        <w:rPr>
          <w:lang w:val="fr-FR"/>
        </w:rPr>
        <w:t>pour</w:t>
      </w:r>
      <w:r w:rsidR="003330E7" w:rsidRPr="00835AA1">
        <w:rPr>
          <w:lang w:val="fr-FR"/>
        </w:rPr>
        <w:t xml:space="preserve"> le fonctionnement du système de </w:t>
      </w:r>
      <w:r w:rsidR="002E3178" w:rsidRPr="00835AA1">
        <w:rPr>
          <w:lang w:val="fr-FR"/>
        </w:rPr>
        <w:t>La Haye</w:t>
      </w:r>
      <w:r w:rsidR="003330E7" w:rsidRPr="00835AA1">
        <w:rPr>
          <w:lang w:val="fr-FR"/>
        </w:rPr>
        <w:t xml:space="preserve">, tels que les interfaces électroniques </w:t>
      </w:r>
      <w:r w:rsidR="003330E7" w:rsidRPr="00F21006">
        <w:rPr>
          <w:i/>
          <w:lang w:val="fr-FR"/>
        </w:rPr>
        <w:t>eHague</w:t>
      </w:r>
      <w:r w:rsidR="003330E7" w:rsidRPr="00835AA1">
        <w:rPr>
          <w:lang w:val="fr-FR"/>
        </w:rPr>
        <w:t xml:space="preserve"> et </w:t>
      </w:r>
      <w:r w:rsidR="003330E7" w:rsidRPr="00F21006">
        <w:rPr>
          <w:i/>
          <w:lang w:val="fr-FR"/>
        </w:rPr>
        <w:t>eRenewal</w:t>
      </w:r>
      <w:r w:rsidR="003330E7" w:rsidRPr="00835AA1">
        <w:rPr>
          <w:lang w:val="fr-FR"/>
        </w:rPr>
        <w:t xml:space="preserve">, le </w:t>
      </w:r>
      <w:r w:rsidR="003330E7" w:rsidRPr="00F21006">
        <w:rPr>
          <w:i/>
          <w:lang w:val="fr-FR"/>
        </w:rPr>
        <w:t>Bulletin des dessins et modèles internationaux</w:t>
      </w:r>
      <w:r w:rsidR="003330E7" w:rsidRPr="00835AA1">
        <w:rPr>
          <w:lang w:val="fr-FR"/>
        </w:rPr>
        <w:t>, les formulaires et le calculateur de taxes, ne sont disponibles qu</w:t>
      </w:r>
      <w:r w:rsidR="002E3178" w:rsidRPr="00835AA1">
        <w:rPr>
          <w:lang w:val="fr-FR"/>
        </w:rPr>
        <w:t>’</w:t>
      </w:r>
      <w:r w:rsidR="003330E7" w:rsidRPr="00835AA1">
        <w:rPr>
          <w:lang w:val="fr-FR"/>
        </w:rPr>
        <w:t>en français, anglais et espagnol.</w:t>
      </w:r>
    </w:p>
    <w:p w14:paraId="0F33D917" w14:textId="18626E93" w:rsidR="008844A6" w:rsidRDefault="003330E7" w:rsidP="003813B1">
      <w:pPr>
        <w:pStyle w:val="ONUMFS"/>
        <w:rPr>
          <w:lang w:val="fr-FR"/>
        </w:rPr>
      </w:pPr>
      <w:r w:rsidRPr="00835AA1">
        <w:rPr>
          <w:lang w:val="fr-FR"/>
        </w:rPr>
        <w:t xml:space="preserve">Si les nouvelles langues étaient introduites dans le système de </w:t>
      </w:r>
      <w:r w:rsidR="002E3178" w:rsidRPr="00835AA1">
        <w:rPr>
          <w:lang w:val="fr-FR"/>
        </w:rPr>
        <w:t>La Haye</w:t>
      </w:r>
      <w:r w:rsidRPr="00835AA1">
        <w:rPr>
          <w:lang w:val="fr-FR"/>
        </w:rPr>
        <w:t>, le Bureau</w:t>
      </w:r>
      <w:r w:rsidR="00C6135C">
        <w:rPr>
          <w:lang w:val="fr-FR"/>
        </w:rPr>
        <w:t> </w:t>
      </w:r>
      <w:r w:rsidRPr="00835AA1">
        <w:rPr>
          <w:lang w:val="fr-FR"/>
        </w:rPr>
        <w:t>international devrait s</w:t>
      </w:r>
      <w:r w:rsidR="002E3178" w:rsidRPr="00835AA1">
        <w:rPr>
          <w:lang w:val="fr-FR"/>
        </w:rPr>
        <w:t>’</w:t>
      </w:r>
      <w:r w:rsidRPr="00835AA1">
        <w:rPr>
          <w:lang w:val="fr-FR"/>
        </w:rPr>
        <w:t>assurer que les informations et les services pertinents soient disponibles dans les nouvelles langu</w:t>
      </w:r>
      <w:r w:rsidR="00A541B2" w:rsidRPr="00835AA1">
        <w:rPr>
          <w:lang w:val="fr-FR"/>
        </w:rPr>
        <w:t>es.  Da</w:t>
      </w:r>
      <w:r w:rsidRPr="00835AA1">
        <w:rPr>
          <w:lang w:val="fr-FR"/>
        </w:rPr>
        <w:t>ns toutes les options de mise en œuvre, le Bureau</w:t>
      </w:r>
      <w:r w:rsidR="00246B98">
        <w:rPr>
          <w:lang w:val="fr-FR"/>
        </w:rPr>
        <w:t> </w:t>
      </w:r>
      <w:r w:rsidRPr="00835AA1">
        <w:rPr>
          <w:lang w:val="fr-FR"/>
        </w:rPr>
        <w:t xml:space="preserve">international devrait rendre </w:t>
      </w:r>
      <w:r w:rsidRPr="00F21006">
        <w:rPr>
          <w:i/>
          <w:lang w:val="fr-FR"/>
        </w:rPr>
        <w:t>eHague</w:t>
      </w:r>
      <w:r w:rsidRPr="00835AA1">
        <w:rPr>
          <w:lang w:val="fr-FR"/>
        </w:rPr>
        <w:t>, le formulaire de demande sur papier et les autres formulaires pertinents disponibles dans ces langu</w:t>
      </w:r>
      <w:r w:rsidR="00A541B2" w:rsidRPr="00835AA1">
        <w:rPr>
          <w:lang w:val="fr-FR"/>
        </w:rPr>
        <w:t>es.  Av</w:t>
      </w:r>
      <w:r w:rsidR="00A10088" w:rsidRPr="00835AA1">
        <w:rPr>
          <w:lang w:val="fr-FR"/>
        </w:rPr>
        <w:t>ec les options </w:t>
      </w:r>
      <w:r w:rsidR="001D2116" w:rsidRPr="00835AA1">
        <w:rPr>
          <w:lang w:val="fr-FR"/>
        </w:rPr>
        <w:t>“</w:t>
      </w:r>
      <w:r w:rsidRPr="00835AA1">
        <w:rPr>
          <w:lang w:val="fr-FR"/>
        </w:rPr>
        <w:t>C</w:t>
      </w:r>
      <w:r w:rsidR="001D2116" w:rsidRPr="00835AA1">
        <w:rPr>
          <w:lang w:val="fr-FR"/>
        </w:rPr>
        <w:t>”</w:t>
      </w:r>
      <w:r w:rsidR="00A10088" w:rsidRPr="00835AA1">
        <w:rPr>
          <w:lang w:val="fr-FR"/>
        </w:rPr>
        <w:t xml:space="preserve"> à </w:t>
      </w:r>
      <w:r w:rsidR="001D2116" w:rsidRPr="00835AA1">
        <w:rPr>
          <w:lang w:val="fr-FR"/>
        </w:rPr>
        <w:t>“</w:t>
      </w:r>
      <w:r w:rsidRPr="00835AA1">
        <w:rPr>
          <w:lang w:val="fr-FR"/>
        </w:rPr>
        <w:t>E</w:t>
      </w:r>
      <w:r w:rsidR="001D2116" w:rsidRPr="00835AA1">
        <w:rPr>
          <w:lang w:val="fr-FR"/>
        </w:rPr>
        <w:t>”</w:t>
      </w:r>
      <w:r w:rsidRPr="00835AA1">
        <w:rPr>
          <w:lang w:val="fr-FR"/>
        </w:rPr>
        <w:t>, il serait en outre nécessaire que d</w:t>
      </w:r>
      <w:r w:rsidR="002E3178" w:rsidRPr="00835AA1">
        <w:rPr>
          <w:lang w:val="fr-FR"/>
        </w:rPr>
        <w:t>’</w:t>
      </w:r>
      <w:r w:rsidRPr="00835AA1">
        <w:rPr>
          <w:lang w:val="fr-FR"/>
        </w:rPr>
        <w:t xml:space="preserve">autres supports, </w:t>
      </w:r>
      <w:r w:rsidR="00E313E4" w:rsidRPr="00835AA1">
        <w:rPr>
          <w:lang w:val="fr-FR"/>
        </w:rPr>
        <w:t>notamment</w:t>
      </w:r>
      <w:r w:rsidRPr="00835AA1">
        <w:rPr>
          <w:lang w:val="fr-FR"/>
        </w:rPr>
        <w:t xml:space="preserve"> le </w:t>
      </w:r>
      <w:r w:rsidRPr="00F21006">
        <w:rPr>
          <w:i/>
          <w:lang w:val="fr-FR"/>
        </w:rPr>
        <w:t>Bulletin des dessins et modèles internationaux</w:t>
      </w:r>
      <w:r w:rsidRPr="00835AA1">
        <w:rPr>
          <w:lang w:val="fr-FR"/>
        </w:rPr>
        <w:t>, ainsi que tous les autres formulaires associés à l</w:t>
      </w:r>
      <w:r w:rsidR="002E3178" w:rsidRPr="00835AA1">
        <w:rPr>
          <w:lang w:val="fr-FR"/>
        </w:rPr>
        <w:t>’</w:t>
      </w:r>
      <w:r w:rsidRPr="00835AA1">
        <w:rPr>
          <w:lang w:val="fr-FR"/>
        </w:rPr>
        <w:t>inscription d</w:t>
      </w:r>
      <w:r w:rsidR="002E3178" w:rsidRPr="00835AA1">
        <w:rPr>
          <w:lang w:val="fr-FR"/>
        </w:rPr>
        <w:t>’</w:t>
      </w:r>
      <w:r w:rsidRPr="00835AA1">
        <w:rPr>
          <w:lang w:val="fr-FR"/>
        </w:rPr>
        <w:t>une modification ou d</w:t>
      </w:r>
      <w:r w:rsidR="002E3178" w:rsidRPr="00835AA1">
        <w:rPr>
          <w:lang w:val="fr-FR"/>
        </w:rPr>
        <w:t>’</w:t>
      </w:r>
      <w:r w:rsidRPr="00835AA1">
        <w:rPr>
          <w:lang w:val="fr-FR"/>
        </w:rPr>
        <w:t>un renouvellement</w:t>
      </w:r>
      <w:r w:rsidR="00E313E4" w:rsidRPr="00835AA1">
        <w:rPr>
          <w:lang w:val="fr-FR"/>
        </w:rPr>
        <w:t>,</w:t>
      </w:r>
      <w:r w:rsidRPr="00835AA1">
        <w:rPr>
          <w:lang w:val="fr-FR"/>
        </w:rPr>
        <w:t xml:space="preserve"> soient disponibles dans ces langues.</w:t>
      </w:r>
    </w:p>
    <w:p w14:paraId="055A8CA3" w14:textId="48E69D05" w:rsidR="00A419D0" w:rsidRDefault="00A419D0" w:rsidP="00A419D0">
      <w:pPr>
        <w:pStyle w:val="ONUMFS"/>
        <w:numPr>
          <w:ilvl w:val="0"/>
          <w:numId w:val="0"/>
        </w:numPr>
        <w:rPr>
          <w:lang w:val="fr-FR"/>
        </w:rPr>
      </w:pPr>
    </w:p>
    <w:p w14:paraId="52229F95" w14:textId="77777777" w:rsidR="00A419D0" w:rsidRPr="00835AA1" w:rsidRDefault="00A419D0" w:rsidP="00A419D0">
      <w:pPr>
        <w:pStyle w:val="ONUMFS"/>
        <w:numPr>
          <w:ilvl w:val="0"/>
          <w:numId w:val="0"/>
        </w:numPr>
        <w:rPr>
          <w:lang w:val="fr-FR"/>
        </w:rPr>
      </w:pPr>
    </w:p>
    <w:p w14:paraId="531C08C4" w14:textId="77777777" w:rsidR="008844A6" w:rsidRPr="00835AA1" w:rsidRDefault="003330E7" w:rsidP="003813B1">
      <w:pPr>
        <w:pStyle w:val="ONUMFS"/>
        <w:rPr>
          <w:lang w:val="fr-FR"/>
        </w:rPr>
      </w:pPr>
      <w:r w:rsidRPr="00835AA1">
        <w:rPr>
          <w:lang w:val="fr-FR"/>
        </w:rPr>
        <w:lastRenderedPageBreak/>
        <w:t>En outre, certains des supports et outils d</w:t>
      </w:r>
      <w:r w:rsidR="002E3178" w:rsidRPr="00835AA1">
        <w:rPr>
          <w:lang w:val="fr-FR"/>
        </w:rPr>
        <w:t>’</w:t>
      </w:r>
      <w:r w:rsidRPr="00835AA1">
        <w:rPr>
          <w:lang w:val="fr-FR"/>
        </w:rPr>
        <w:t>information ne sont pas strictement liés à l</w:t>
      </w:r>
      <w:r w:rsidR="002E3178" w:rsidRPr="00835AA1">
        <w:rPr>
          <w:lang w:val="fr-FR"/>
        </w:rPr>
        <w:t>’</w:t>
      </w:r>
      <w:r w:rsidRPr="00835AA1">
        <w:rPr>
          <w:lang w:val="fr-FR"/>
        </w:rPr>
        <w:t xml:space="preserve">une </w:t>
      </w:r>
      <w:r w:rsidR="00E313E4" w:rsidRPr="00835AA1">
        <w:rPr>
          <w:lang w:val="fr-FR"/>
        </w:rPr>
        <w:t>ou l</w:t>
      </w:r>
      <w:r w:rsidR="002E3178" w:rsidRPr="00835AA1">
        <w:rPr>
          <w:lang w:val="fr-FR"/>
        </w:rPr>
        <w:t>’</w:t>
      </w:r>
      <w:r w:rsidR="00E313E4" w:rsidRPr="00835AA1">
        <w:rPr>
          <w:lang w:val="fr-FR"/>
        </w:rPr>
        <w:t xml:space="preserve">autre </w:t>
      </w:r>
      <w:r w:rsidRPr="00835AA1">
        <w:rPr>
          <w:lang w:val="fr-FR"/>
        </w:rPr>
        <w:t>des optio</w:t>
      </w:r>
      <w:r w:rsidR="00A541B2" w:rsidRPr="00835AA1">
        <w:rPr>
          <w:lang w:val="fr-FR"/>
        </w:rPr>
        <w:t>ns.  Pa</w:t>
      </w:r>
      <w:r w:rsidRPr="00835AA1">
        <w:rPr>
          <w:lang w:val="fr-FR"/>
        </w:rPr>
        <w:t xml:space="preserve">r exemple, </w:t>
      </w:r>
      <w:r w:rsidR="00E313E4" w:rsidRPr="00835AA1">
        <w:rPr>
          <w:lang w:val="fr-FR"/>
        </w:rPr>
        <w:t xml:space="preserve">il serait idéal que les avis </w:t>
      </w:r>
      <w:r w:rsidR="00BB75EF">
        <w:rPr>
          <w:lang w:val="fr-FR"/>
        </w:rPr>
        <w:t xml:space="preserve">d’information </w:t>
      </w:r>
      <w:r w:rsidRPr="00835AA1">
        <w:rPr>
          <w:lang w:val="fr-FR"/>
        </w:rPr>
        <w:t xml:space="preserve">et la </w:t>
      </w:r>
      <w:r w:rsidRPr="00F21006">
        <w:rPr>
          <w:i/>
          <w:lang w:val="fr-FR"/>
        </w:rPr>
        <w:t>Base de données mondiale sur les dessins et modèles</w:t>
      </w:r>
      <w:r w:rsidRPr="00835AA1">
        <w:rPr>
          <w:lang w:val="fr-FR"/>
        </w:rPr>
        <w:t xml:space="preserve"> soient mis à disposition dans </w:t>
      </w:r>
      <w:r w:rsidR="00E313E4" w:rsidRPr="00835AA1">
        <w:rPr>
          <w:lang w:val="fr-FR"/>
        </w:rPr>
        <w:t>un plus grand nombre</w:t>
      </w:r>
      <w:r w:rsidRPr="00835AA1">
        <w:rPr>
          <w:lang w:val="fr-FR"/>
        </w:rPr>
        <w:t xml:space="preserve"> de langues afin de mieux aider les clien</w:t>
      </w:r>
      <w:r w:rsidR="00A541B2" w:rsidRPr="00835AA1">
        <w:rPr>
          <w:lang w:val="fr-FR"/>
        </w:rPr>
        <w:t>ts.  To</w:t>
      </w:r>
      <w:r w:rsidRPr="00835AA1">
        <w:rPr>
          <w:lang w:val="fr-FR"/>
        </w:rPr>
        <w:t>utefois, la mise à disposition d</w:t>
      </w:r>
      <w:r w:rsidR="002E3178" w:rsidRPr="00835AA1">
        <w:rPr>
          <w:lang w:val="fr-FR"/>
        </w:rPr>
        <w:t>’</w:t>
      </w:r>
      <w:r w:rsidRPr="00835AA1">
        <w:rPr>
          <w:lang w:val="fr-FR"/>
        </w:rPr>
        <w:t>un plus grand nombre de documents dans un plus grand nombre de langues impliquerait des coûts préparatoires et de maintenance plus élevés et influerait sur la qualité</w:t>
      </w:r>
      <w:r w:rsidRPr="00835AA1">
        <w:rPr>
          <w:rStyle w:val="FootnoteReference"/>
          <w:lang w:val="fr-FR"/>
        </w:rPr>
        <w:footnoteReference w:id="3"/>
      </w:r>
      <w:r w:rsidRPr="00835AA1">
        <w:rPr>
          <w:lang w:val="fr-FR"/>
        </w:rPr>
        <w:t>.</w:t>
      </w:r>
    </w:p>
    <w:p w14:paraId="758936FE" w14:textId="02670F8F" w:rsidR="008844A6" w:rsidRPr="00835AA1" w:rsidRDefault="003813B1" w:rsidP="003813B1">
      <w:pPr>
        <w:pStyle w:val="Heading1"/>
        <w:rPr>
          <w:lang w:val="fr-FR"/>
        </w:rPr>
      </w:pPr>
      <w:r w:rsidRPr="00835AA1">
        <w:rPr>
          <w:lang w:val="fr-FR"/>
        </w:rPr>
        <w:t>Faisabilit</w:t>
      </w:r>
      <w:r w:rsidR="008B3072">
        <w:rPr>
          <w:lang w:val="fr-FR"/>
        </w:rPr>
        <w:t>É</w:t>
      </w:r>
      <w:r w:rsidRPr="00835AA1">
        <w:rPr>
          <w:lang w:val="fr-FR"/>
        </w:rPr>
        <w:t xml:space="preserve"> technique et incidences financi</w:t>
      </w:r>
      <w:r w:rsidR="008B3072">
        <w:rPr>
          <w:lang w:val="fr-FR"/>
        </w:rPr>
        <w:t>È</w:t>
      </w:r>
      <w:r w:rsidRPr="00835AA1">
        <w:rPr>
          <w:lang w:val="fr-FR"/>
        </w:rPr>
        <w:t>res et op</w:t>
      </w:r>
      <w:r w:rsidR="008B3072">
        <w:rPr>
          <w:lang w:val="fr-FR"/>
        </w:rPr>
        <w:t>É</w:t>
      </w:r>
      <w:r w:rsidRPr="00835AA1">
        <w:rPr>
          <w:lang w:val="fr-FR"/>
        </w:rPr>
        <w:t>rationnelles</w:t>
      </w:r>
    </w:p>
    <w:p w14:paraId="2C0FAEC7" w14:textId="77777777" w:rsidR="008844A6" w:rsidRPr="00835AA1" w:rsidRDefault="003330E7" w:rsidP="00B34648">
      <w:pPr>
        <w:pStyle w:val="Heading2"/>
      </w:pPr>
      <w:r w:rsidRPr="00835AA1">
        <w:t>Faisabilité technique</w:t>
      </w:r>
    </w:p>
    <w:p w14:paraId="70B0CF8C" w14:textId="77777777" w:rsidR="008844A6" w:rsidRPr="00835AA1" w:rsidRDefault="002310ED" w:rsidP="003813B1">
      <w:pPr>
        <w:pStyle w:val="ONUMFS"/>
        <w:rPr>
          <w:lang w:val="fr-FR"/>
        </w:rPr>
      </w:pPr>
      <w:r w:rsidRPr="00835AA1">
        <w:rPr>
          <w:lang w:val="fr-FR"/>
        </w:rPr>
        <w:t>D</w:t>
      </w:r>
      <w:r w:rsidR="002E3178" w:rsidRPr="00835AA1">
        <w:rPr>
          <w:lang w:val="fr-FR"/>
        </w:rPr>
        <w:t>’</w:t>
      </w:r>
      <w:r w:rsidRPr="00835AA1">
        <w:rPr>
          <w:lang w:val="fr-FR"/>
        </w:rPr>
        <w:t xml:space="preserve">un point de vue purement technique, toutes les options de mise en </w:t>
      </w:r>
      <w:r w:rsidR="00E51A10" w:rsidRPr="00835AA1">
        <w:rPr>
          <w:lang w:val="fr-FR"/>
        </w:rPr>
        <w:t>œuvre</w:t>
      </w:r>
      <w:r w:rsidRPr="00835AA1">
        <w:rPr>
          <w:lang w:val="fr-FR"/>
        </w:rPr>
        <w:t xml:space="preserve"> pour l</w:t>
      </w:r>
      <w:r w:rsidR="002E3178" w:rsidRPr="00835AA1">
        <w:rPr>
          <w:lang w:val="fr-FR"/>
        </w:rPr>
        <w:t>’</w:t>
      </w:r>
      <w:r w:rsidRPr="00835AA1">
        <w:rPr>
          <w:lang w:val="fr-FR"/>
        </w:rPr>
        <w:t>introduction simultanée du chinois et du russe sont réalisables, comme cela a déjà été mentionné dans les documents antérieurs</w:t>
      </w:r>
      <w:r w:rsidRPr="00835AA1">
        <w:rPr>
          <w:rStyle w:val="FootnoteReference"/>
          <w:lang w:val="fr-FR"/>
        </w:rPr>
        <w:footnoteReference w:id="4"/>
      </w:r>
      <w:r w:rsidRPr="00835AA1">
        <w:rPr>
          <w:lang w:val="fr-FR"/>
        </w:rPr>
        <w:t xml:space="preserve"> (voir également la </w:t>
      </w:r>
      <w:r w:rsidR="001D2116" w:rsidRPr="00835AA1">
        <w:rPr>
          <w:lang w:val="fr-FR"/>
        </w:rPr>
        <w:t>section I</w:t>
      </w:r>
      <w:r w:rsidRPr="00835AA1">
        <w:rPr>
          <w:lang w:val="fr-FR"/>
        </w:rPr>
        <w:t xml:space="preserve"> de l</w:t>
      </w:r>
      <w:r w:rsidR="002E3178" w:rsidRPr="00835AA1">
        <w:rPr>
          <w:lang w:val="fr-FR"/>
        </w:rPr>
        <w:t>’</w:t>
      </w:r>
      <w:r w:rsidRPr="00835AA1">
        <w:rPr>
          <w:lang w:val="fr-FR"/>
        </w:rPr>
        <w:t>annexe</w:t>
      </w:r>
      <w:r w:rsidR="001D2116" w:rsidRPr="00835AA1">
        <w:rPr>
          <w:lang w:val="fr-FR"/>
        </w:rPr>
        <w:t> </w:t>
      </w:r>
      <w:r w:rsidRPr="00835AA1">
        <w:rPr>
          <w:lang w:val="fr-FR"/>
        </w:rPr>
        <w:t>II).</w:t>
      </w:r>
    </w:p>
    <w:p w14:paraId="4A172419" w14:textId="77777777" w:rsidR="008844A6" w:rsidRPr="00835AA1" w:rsidRDefault="00F77726" w:rsidP="003813B1">
      <w:pPr>
        <w:pStyle w:val="ONUMFS"/>
        <w:rPr>
          <w:lang w:val="fr-FR"/>
        </w:rPr>
      </w:pPr>
      <w:r w:rsidRPr="00835AA1">
        <w:rPr>
          <w:lang w:val="fr-FR"/>
        </w:rPr>
        <w:t>Néanmoins, ainsi qu</w:t>
      </w:r>
      <w:r w:rsidR="002E3178" w:rsidRPr="00835AA1">
        <w:rPr>
          <w:lang w:val="fr-FR"/>
        </w:rPr>
        <w:t>’</w:t>
      </w:r>
      <w:r w:rsidRPr="00835AA1">
        <w:rPr>
          <w:lang w:val="fr-FR"/>
        </w:rPr>
        <w:t xml:space="preserve">il est indiqué dans les chapitres précédents, les différentes options de mise en œuvre </w:t>
      </w:r>
      <w:r w:rsidR="00BB1401" w:rsidRPr="00835AA1">
        <w:rPr>
          <w:lang w:val="fr-FR"/>
        </w:rPr>
        <w:t>comportent des</w:t>
      </w:r>
      <w:r w:rsidRPr="00835AA1">
        <w:rPr>
          <w:lang w:val="fr-FR"/>
        </w:rPr>
        <w:t xml:space="preserve"> caractéristiques ayant leurs propres incidences financières et opérationnell</w:t>
      </w:r>
      <w:r w:rsidR="00A541B2" w:rsidRPr="00835AA1">
        <w:rPr>
          <w:lang w:val="fr-FR"/>
        </w:rPr>
        <w:t>es.  L’a</w:t>
      </w:r>
      <w:r w:rsidRPr="00835AA1">
        <w:rPr>
          <w:lang w:val="fr-FR"/>
        </w:rPr>
        <w:t>nnexe</w:t>
      </w:r>
      <w:r w:rsidR="001D2116" w:rsidRPr="00835AA1">
        <w:rPr>
          <w:lang w:val="fr-FR"/>
        </w:rPr>
        <w:t> </w:t>
      </w:r>
      <w:r w:rsidRPr="00835AA1">
        <w:rPr>
          <w:lang w:val="fr-FR"/>
        </w:rPr>
        <w:t>II du présent document présente les incidences financières de l</w:t>
      </w:r>
      <w:r w:rsidR="002E3178" w:rsidRPr="00835AA1">
        <w:rPr>
          <w:lang w:val="fr-FR"/>
        </w:rPr>
        <w:t>’</w:t>
      </w:r>
      <w:r w:rsidRPr="00835AA1">
        <w:rPr>
          <w:lang w:val="fr-FR"/>
        </w:rPr>
        <w:t>introduction simultanée du chinois et du russe.</w:t>
      </w:r>
    </w:p>
    <w:p w14:paraId="74D09ED5" w14:textId="77777777" w:rsidR="008844A6" w:rsidRPr="00835AA1" w:rsidRDefault="00F77726" w:rsidP="00B34648">
      <w:pPr>
        <w:pStyle w:val="Heading2"/>
      </w:pPr>
      <w:r w:rsidRPr="00835AA1">
        <w:t>Coûts de lancement</w:t>
      </w:r>
    </w:p>
    <w:p w14:paraId="026A43B9" w14:textId="0103381F" w:rsidR="008844A6" w:rsidRPr="00835AA1" w:rsidRDefault="00F77726" w:rsidP="003813B1">
      <w:pPr>
        <w:pStyle w:val="ONUMFS"/>
        <w:rPr>
          <w:lang w:val="fr-FR"/>
        </w:rPr>
      </w:pPr>
      <w:r w:rsidRPr="00835AA1">
        <w:rPr>
          <w:lang w:val="fr-FR"/>
        </w:rPr>
        <w:t>L</w:t>
      </w:r>
      <w:r w:rsidR="002E3178" w:rsidRPr="00835AA1">
        <w:rPr>
          <w:lang w:val="fr-FR"/>
        </w:rPr>
        <w:t>’</w:t>
      </w:r>
      <w:r w:rsidRPr="00835AA1">
        <w:rPr>
          <w:lang w:val="fr-FR"/>
        </w:rPr>
        <w:t>optio</w:t>
      </w:r>
      <w:r w:rsidR="00A10088" w:rsidRPr="00835AA1">
        <w:rPr>
          <w:lang w:val="fr-FR"/>
        </w:rPr>
        <w:t>n de la langue de dépôt (option </w:t>
      </w:r>
      <w:r w:rsidR="001D2116" w:rsidRPr="00835AA1">
        <w:rPr>
          <w:lang w:val="fr-FR"/>
        </w:rPr>
        <w:t>“</w:t>
      </w:r>
      <w:r w:rsidRPr="00835AA1">
        <w:rPr>
          <w:lang w:val="fr-FR"/>
        </w:rPr>
        <w:t>A</w:t>
      </w:r>
      <w:r w:rsidR="001D2116" w:rsidRPr="00835AA1">
        <w:rPr>
          <w:lang w:val="fr-FR"/>
        </w:rPr>
        <w:t>”</w:t>
      </w:r>
      <w:r w:rsidRPr="00835AA1">
        <w:rPr>
          <w:lang w:val="fr-FR"/>
        </w:rPr>
        <w:t>) nécessiterait un investissement initial d</w:t>
      </w:r>
      <w:r w:rsidR="002E3178" w:rsidRPr="00835AA1">
        <w:rPr>
          <w:lang w:val="fr-FR"/>
        </w:rPr>
        <w:t>’</w:t>
      </w:r>
      <w:r w:rsidRPr="00835AA1">
        <w:rPr>
          <w:lang w:val="fr-FR"/>
        </w:rPr>
        <w:t>environ</w:t>
      </w:r>
      <w:r w:rsidR="00246B98">
        <w:rPr>
          <w:lang w:val="fr-FR"/>
        </w:rPr>
        <w:t> </w:t>
      </w:r>
      <w:r w:rsidRPr="00835AA1">
        <w:rPr>
          <w:lang w:val="fr-FR"/>
        </w:rPr>
        <w:t>550</w:t>
      </w:r>
      <w:r w:rsidR="001D2116" w:rsidRPr="00835AA1">
        <w:rPr>
          <w:lang w:val="fr-FR"/>
        </w:rPr>
        <w:t> </w:t>
      </w:r>
      <w:r w:rsidRPr="00835AA1">
        <w:rPr>
          <w:lang w:val="fr-FR"/>
        </w:rPr>
        <w:t>000</w:t>
      </w:r>
      <w:r w:rsidR="001D2116" w:rsidRPr="00835AA1">
        <w:rPr>
          <w:lang w:val="fr-FR"/>
        </w:rPr>
        <w:t> </w:t>
      </w:r>
      <w:r w:rsidRPr="00835AA1">
        <w:rPr>
          <w:lang w:val="fr-FR"/>
        </w:rPr>
        <w:t>francs suiss</w:t>
      </w:r>
      <w:r w:rsidR="00A541B2" w:rsidRPr="00835AA1">
        <w:rPr>
          <w:lang w:val="fr-FR"/>
        </w:rPr>
        <w:t>es.  Ce</w:t>
      </w:r>
      <w:r w:rsidRPr="00835AA1">
        <w:rPr>
          <w:lang w:val="fr-FR"/>
        </w:rPr>
        <w:t xml:space="preserve"> montant inclurait la traduction des supports pertinents, les coûts de développement et l</w:t>
      </w:r>
      <w:r w:rsidR="002E3178" w:rsidRPr="00835AA1">
        <w:rPr>
          <w:lang w:val="fr-FR"/>
        </w:rPr>
        <w:t>’</w:t>
      </w:r>
      <w:r w:rsidRPr="00835AA1">
        <w:rPr>
          <w:lang w:val="fr-FR"/>
        </w:rPr>
        <w:t>ajustement du système informatiq</w:t>
      </w:r>
      <w:r w:rsidR="00A541B2" w:rsidRPr="00835AA1">
        <w:rPr>
          <w:lang w:val="fr-FR"/>
        </w:rPr>
        <w:t>ue.  Ce</w:t>
      </w:r>
      <w:r w:rsidRPr="00835AA1">
        <w:rPr>
          <w:lang w:val="fr-FR"/>
        </w:rPr>
        <w:t>s coûts passeraient à</w:t>
      </w:r>
      <w:r w:rsidR="00246B98">
        <w:rPr>
          <w:lang w:val="fr-FR"/>
        </w:rPr>
        <w:t> </w:t>
      </w:r>
      <w:r w:rsidRPr="00835AA1">
        <w:rPr>
          <w:lang w:val="fr-FR"/>
        </w:rPr>
        <w:t>675</w:t>
      </w:r>
      <w:r w:rsidR="001D2116" w:rsidRPr="00835AA1">
        <w:rPr>
          <w:lang w:val="fr-FR"/>
        </w:rPr>
        <w:t> </w:t>
      </w:r>
      <w:r w:rsidRPr="00835AA1">
        <w:rPr>
          <w:lang w:val="fr-FR"/>
        </w:rPr>
        <w:t>000</w:t>
      </w:r>
      <w:r w:rsidR="001D2116" w:rsidRPr="00835AA1">
        <w:rPr>
          <w:lang w:val="fr-FR"/>
        </w:rPr>
        <w:t> </w:t>
      </w:r>
      <w:r w:rsidRPr="00835AA1">
        <w:rPr>
          <w:lang w:val="fr-FR"/>
        </w:rPr>
        <w:t>francs suisses pour l</w:t>
      </w:r>
      <w:r w:rsidR="002E3178" w:rsidRPr="00835AA1">
        <w:rPr>
          <w:lang w:val="fr-FR"/>
        </w:rPr>
        <w:t>’</w:t>
      </w:r>
      <w:r w:rsidRPr="00835AA1">
        <w:rPr>
          <w:lang w:val="fr-FR"/>
        </w:rPr>
        <w:t>option de la langue de dépôt et de communication (option</w:t>
      </w:r>
      <w:r w:rsidR="00A10088" w:rsidRPr="00835AA1">
        <w:rPr>
          <w:lang w:val="fr-FR"/>
        </w:rPr>
        <w:t> </w:t>
      </w:r>
      <w:r w:rsidR="001D2116" w:rsidRPr="00835AA1">
        <w:rPr>
          <w:lang w:val="fr-FR"/>
        </w:rPr>
        <w:t>“</w:t>
      </w:r>
      <w:r w:rsidRPr="00835AA1">
        <w:rPr>
          <w:lang w:val="fr-FR"/>
        </w:rPr>
        <w:t>B</w:t>
      </w:r>
      <w:r w:rsidR="001D2116" w:rsidRPr="00835AA1">
        <w:rPr>
          <w:lang w:val="fr-FR"/>
        </w:rPr>
        <w:t>”</w:t>
      </w:r>
      <w:r w:rsidRPr="00835AA1">
        <w:rPr>
          <w:lang w:val="fr-FR"/>
        </w:rPr>
        <w:t>) et à 800</w:t>
      </w:r>
      <w:r w:rsidR="001D2116" w:rsidRPr="00835AA1">
        <w:rPr>
          <w:lang w:val="fr-FR"/>
        </w:rPr>
        <w:t> </w:t>
      </w:r>
      <w:r w:rsidRPr="00835AA1">
        <w:rPr>
          <w:lang w:val="fr-FR"/>
        </w:rPr>
        <w:t>000</w:t>
      </w:r>
      <w:r w:rsidR="001D2116" w:rsidRPr="00835AA1">
        <w:rPr>
          <w:lang w:val="fr-FR"/>
        </w:rPr>
        <w:t> </w:t>
      </w:r>
      <w:r w:rsidRPr="00835AA1">
        <w:rPr>
          <w:lang w:val="fr-FR"/>
        </w:rPr>
        <w:t>francs suisses pour les trois</w:t>
      </w:r>
      <w:r w:rsidR="00CE11BA" w:rsidRPr="00835AA1">
        <w:rPr>
          <w:lang w:val="fr-FR"/>
        </w:rPr>
        <w:t> </w:t>
      </w:r>
      <w:r w:rsidRPr="00835AA1">
        <w:rPr>
          <w:lang w:val="fr-FR"/>
        </w:rPr>
        <w:t>autres options (options</w:t>
      </w:r>
      <w:r w:rsidR="00A10088" w:rsidRPr="00835AA1">
        <w:rPr>
          <w:lang w:val="fr-FR"/>
        </w:rPr>
        <w:t> </w:t>
      </w:r>
      <w:r w:rsidR="001D2116" w:rsidRPr="00835AA1">
        <w:rPr>
          <w:lang w:val="fr-FR"/>
        </w:rPr>
        <w:t>“</w:t>
      </w:r>
      <w:r w:rsidRPr="00835AA1">
        <w:rPr>
          <w:lang w:val="fr-FR"/>
        </w:rPr>
        <w:t>C</w:t>
      </w:r>
      <w:r w:rsidR="001D2116" w:rsidRPr="00835AA1">
        <w:rPr>
          <w:lang w:val="fr-FR"/>
        </w:rPr>
        <w:t>”</w:t>
      </w:r>
      <w:r w:rsidR="00A10088" w:rsidRPr="00835AA1">
        <w:rPr>
          <w:lang w:val="fr-FR"/>
        </w:rPr>
        <w:t xml:space="preserve"> à </w:t>
      </w:r>
      <w:r w:rsidR="001D2116" w:rsidRPr="00835AA1">
        <w:rPr>
          <w:lang w:val="fr-FR"/>
        </w:rPr>
        <w:t>“</w:t>
      </w:r>
      <w:r w:rsidRPr="00835AA1">
        <w:rPr>
          <w:lang w:val="fr-FR"/>
        </w:rPr>
        <w:t>E</w:t>
      </w:r>
      <w:r w:rsidR="001D2116" w:rsidRPr="00835AA1">
        <w:rPr>
          <w:lang w:val="fr-FR"/>
        </w:rPr>
        <w:t>”</w:t>
      </w:r>
      <w:r w:rsidRPr="00835AA1">
        <w:rPr>
          <w:lang w:val="fr-FR"/>
        </w:rPr>
        <w:t xml:space="preserve">) (voir la </w:t>
      </w:r>
      <w:r w:rsidR="00A10088" w:rsidRPr="00835AA1">
        <w:rPr>
          <w:lang w:val="fr-FR"/>
        </w:rPr>
        <w:t>s</w:t>
      </w:r>
      <w:r w:rsidR="001D2116" w:rsidRPr="00835AA1">
        <w:rPr>
          <w:lang w:val="fr-FR"/>
        </w:rPr>
        <w:t>ection I</w:t>
      </w:r>
      <w:r w:rsidRPr="00835AA1">
        <w:rPr>
          <w:lang w:val="fr-FR"/>
        </w:rPr>
        <w:t xml:space="preserve"> de l</w:t>
      </w:r>
      <w:r w:rsidR="002E3178" w:rsidRPr="00835AA1">
        <w:rPr>
          <w:lang w:val="fr-FR"/>
        </w:rPr>
        <w:t>’</w:t>
      </w:r>
      <w:r w:rsidRPr="00835AA1">
        <w:rPr>
          <w:lang w:val="fr-FR"/>
        </w:rPr>
        <w:t>annexe</w:t>
      </w:r>
      <w:r w:rsidR="001D2116" w:rsidRPr="00835AA1">
        <w:rPr>
          <w:lang w:val="fr-FR"/>
        </w:rPr>
        <w:t> </w:t>
      </w:r>
      <w:r w:rsidRPr="00835AA1">
        <w:rPr>
          <w:lang w:val="fr-FR"/>
        </w:rPr>
        <w:t>II).</w:t>
      </w:r>
      <w:r w:rsidR="009F5228" w:rsidRPr="00835AA1">
        <w:rPr>
          <w:lang w:val="fr-FR"/>
        </w:rPr>
        <w:t xml:space="preserve">  </w:t>
      </w:r>
      <w:r w:rsidRPr="00835AA1">
        <w:rPr>
          <w:lang w:val="fr-FR"/>
        </w:rPr>
        <w:t>L</w:t>
      </w:r>
      <w:r w:rsidR="002E3178" w:rsidRPr="00835AA1">
        <w:rPr>
          <w:lang w:val="fr-FR"/>
        </w:rPr>
        <w:t>’</w:t>
      </w:r>
      <w:r w:rsidRPr="00835AA1">
        <w:rPr>
          <w:lang w:val="fr-FR"/>
        </w:rPr>
        <w:t xml:space="preserve">objectif est de faire en sorte que toutes les informations et tous les services pertinents soient disponibles dans les nouvelles langues dans le cadre des options de mise en </w:t>
      </w:r>
      <w:r w:rsidR="00BB1401" w:rsidRPr="00835AA1">
        <w:rPr>
          <w:lang w:val="fr-FR"/>
        </w:rPr>
        <w:t>œuvre</w:t>
      </w:r>
      <w:r w:rsidRPr="00835AA1">
        <w:rPr>
          <w:lang w:val="fr-FR"/>
        </w:rPr>
        <w:t xml:space="preserve"> correspondantes.</w:t>
      </w:r>
    </w:p>
    <w:p w14:paraId="41B4CAE0" w14:textId="77777777" w:rsidR="008844A6" w:rsidRPr="00835AA1" w:rsidRDefault="00F77726" w:rsidP="00B34648">
      <w:pPr>
        <w:pStyle w:val="Heading2"/>
      </w:pPr>
      <w:r w:rsidRPr="00835AA1">
        <w:t>Coûts récurrents</w:t>
      </w:r>
    </w:p>
    <w:p w14:paraId="4FD7D5D5" w14:textId="77777777" w:rsidR="008844A6" w:rsidRPr="00835AA1" w:rsidRDefault="005107E4" w:rsidP="00A10088">
      <w:pPr>
        <w:pStyle w:val="ONUMFS"/>
        <w:rPr>
          <w:lang w:val="fr-FR"/>
        </w:rPr>
      </w:pPr>
      <w:r w:rsidRPr="00835AA1">
        <w:rPr>
          <w:lang w:val="fr-FR"/>
        </w:rPr>
        <w:t>Les travaux supplémentaires visant à actualiser le système informatique dans les nouvelles langues nécessiteraient environ 120</w:t>
      </w:r>
      <w:r w:rsidR="001D2116" w:rsidRPr="00835AA1">
        <w:rPr>
          <w:lang w:val="fr-FR"/>
        </w:rPr>
        <w:t> </w:t>
      </w:r>
      <w:r w:rsidRPr="00835AA1">
        <w:rPr>
          <w:lang w:val="fr-FR"/>
        </w:rPr>
        <w:t>000</w:t>
      </w:r>
      <w:r w:rsidR="001D2116" w:rsidRPr="00835AA1">
        <w:rPr>
          <w:lang w:val="fr-FR"/>
        </w:rPr>
        <w:t> </w:t>
      </w:r>
      <w:r w:rsidRPr="00835AA1">
        <w:rPr>
          <w:lang w:val="fr-FR"/>
        </w:rPr>
        <w:t xml:space="preserve">francs suisses par </w:t>
      </w:r>
      <w:r w:rsidR="00A541B2" w:rsidRPr="00835AA1">
        <w:rPr>
          <w:lang w:val="fr-FR"/>
        </w:rPr>
        <w:t>an.  Ce</w:t>
      </w:r>
      <w:r w:rsidRPr="00835AA1">
        <w:rPr>
          <w:lang w:val="fr-FR"/>
        </w:rPr>
        <w:t xml:space="preserve">s coûts </w:t>
      </w:r>
      <w:r w:rsidR="00BB1401" w:rsidRPr="00835AA1">
        <w:rPr>
          <w:lang w:val="fr-FR"/>
        </w:rPr>
        <w:t>exister</w:t>
      </w:r>
      <w:r w:rsidRPr="00835AA1">
        <w:rPr>
          <w:lang w:val="fr-FR"/>
        </w:rPr>
        <w:t>aient indépendamment de l</w:t>
      </w:r>
      <w:r w:rsidR="002E3178" w:rsidRPr="00835AA1">
        <w:rPr>
          <w:lang w:val="fr-FR"/>
        </w:rPr>
        <w:t>’</w:t>
      </w:r>
      <w:r w:rsidRPr="00835AA1">
        <w:rPr>
          <w:lang w:val="fr-FR"/>
        </w:rPr>
        <w:t>option de mise en œuvre</w:t>
      </w:r>
      <w:r w:rsidR="00BB1401" w:rsidRPr="00835AA1">
        <w:rPr>
          <w:lang w:val="fr-FR"/>
        </w:rPr>
        <w:t xml:space="preserve"> choisie</w:t>
      </w:r>
      <w:r w:rsidRPr="00835AA1">
        <w:rPr>
          <w:lang w:val="fr-FR"/>
        </w:rPr>
        <w:t xml:space="preserve"> (voir la </w:t>
      </w:r>
      <w:r w:rsidR="00A10088" w:rsidRPr="00835AA1">
        <w:rPr>
          <w:lang w:val="fr-FR"/>
        </w:rPr>
        <w:t>s</w:t>
      </w:r>
      <w:r w:rsidRPr="00835AA1">
        <w:rPr>
          <w:lang w:val="fr-FR"/>
        </w:rPr>
        <w:t>ection</w:t>
      </w:r>
      <w:r w:rsidR="001D2116" w:rsidRPr="00835AA1">
        <w:rPr>
          <w:lang w:val="fr-FR"/>
        </w:rPr>
        <w:t> </w:t>
      </w:r>
      <w:r w:rsidRPr="00835AA1">
        <w:rPr>
          <w:lang w:val="fr-FR"/>
        </w:rPr>
        <w:t>II de l</w:t>
      </w:r>
      <w:r w:rsidR="002E3178" w:rsidRPr="00835AA1">
        <w:rPr>
          <w:lang w:val="fr-FR"/>
        </w:rPr>
        <w:t>’</w:t>
      </w:r>
      <w:r w:rsidRPr="00835AA1">
        <w:rPr>
          <w:lang w:val="fr-FR"/>
        </w:rPr>
        <w:t>annexe</w:t>
      </w:r>
      <w:r w:rsidR="001D2116" w:rsidRPr="00835AA1">
        <w:rPr>
          <w:lang w:val="fr-FR"/>
        </w:rPr>
        <w:t> </w:t>
      </w:r>
      <w:r w:rsidRPr="00835AA1">
        <w:rPr>
          <w:lang w:val="fr-FR"/>
        </w:rPr>
        <w:t>II).</w:t>
      </w:r>
    </w:p>
    <w:p w14:paraId="263330C9" w14:textId="77777777" w:rsidR="008844A6" w:rsidRPr="00835AA1" w:rsidRDefault="005107E4" w:rsidP="003813B1">
      <w:pPr>
        <w:pStyle w:val="ONUMFS"/>
        <w:rPr>
          <w:lang w:val="fr-FR"/>
        </w:rPr>
      </w:pPr>
      <w:r w:rsidRPr="00835AA1">
        <w:rPr>
          <w:lang w:val="fr-FR"/>
        </w:rPr>
        <w:t>En outre, la traduction des textes contenus dans les demandes internationales est actuellement assurée par des traducteurs internes du Service d</w:t>
      </w:r>
      <w:r w:rsidR="002E3178" w:rsidRPr="00835AA1">
        <w:rPr>
          <w:lang w:val="fr-FR"/>
        </w:rPr>
        <w:t>’</w:t>
      </w:r>
      <w:r w:rsidRPr="00835AA1">
        <w:rPr>
          <w:lang w:val="fr-FR"/>
        </w:rPr>
        <w:t>enregistrement de Madr</w:t>
      </w:r>
      <w:r w:rsidR="00A541B2" w:rsidRPr="00835AA1">
        <w:rPr>
          <w:lang w:val="fr-FR"/>
        </w:rPr>
        <w:t>id.  Ni</w:t>
      </w:r>
      <w:r w:rsidRPr="00835AA1">
        <w:rPr>
          <w:lang w:val="fr-FR"/>
        </w:rPr>
        <w:t xml:space="preserve"> le Service d</w:t>
      </w:r>
      <w:r w:rsidR="002E3178" w:rsidRPr="00835AA1">
        <w:rPr>
          <w:lang w:val="fr-FR"/>
        </w:rPr>
        <w:t>’</w:t>
      </w:r>
      <w:r w:rsidRPr="00835AA1">
        <w:rPr>
          <w:lang w:val="fr-FR"/>
        </w:rPr>
        <w:t>enregistrement de Madrid ni le Service d</w:t>
      </w:r>
      <w:r w:rsidR="002E3178" w:rsidRPr="00835AA1">
        <w:rPr>
          <w:lang w:val="fr-FR"/>
        </w:rPr>
        <w:t>’</w:t>
      </w:r>
      <w:r w:rsidRPr="00835AA1">
        <w:rPr>
          <w:lang w:val="fr-FR"/>
        </w:rPr>
        <w:t xml:space="preserve">enregistrement de </w:t>
      </w:r>
      <w:r w:rsidR="002E3178" w:rsidRPr="00835AA1">
        <w:rPr>
          <w:lang w:val="fr-FR"/>
        </w:rPr>
        <w:t>La Haye</w:t>
      </w:r>
      <w:r w:rsidRPr="00835AA1">
        <w:rPr>
          <w:lang w:val="fr-FR"/>
        </w:rPr>
        <w:t xml:space="preserve"> n</w:t>
      </w:r>
      <w:r w:rsidR="002E3178" w:rsidRPr="00835AA1">
        <w:rPr>
          <w:lang w:val="fr-FR"/>
        </w:rPr>
        <w:t>’</w:t>
      </w:r>
      <w:r w:rsidRPr="00835AA1">
        <w:rPr>
          <w:lang w:val="fr-FR"/>
        </w:rPr>
        <w:t>ont les ressources nécessaires pour assurer la traduction des textes en chinois et en rus</w:t>
      </w:r>
      <w:r w:rsidR="00A541B2" w:rsidRPr="00835AA1">
        <w:rPr>
          <w:lang w:val="fr-FR"/>
        </w:rPr>
        <w:t>se.  En</w:t>
      </w:r>
      <w:r w:rsidRPr="00835AA1">
        <w:rPr>
          <w:lang w:val="fr-FR"/>
        </w:rPr>
        <w:t xml:space="preserve"> conséquence, le Bureau international devrait sous</w:t>
      </w:r>
      <w:r w:rsidR="003813B1" w:rsidRPr="00835AA1">
        <w:rPr>
          <w:lang w:val="fr-FR"/>
        </w:rPr>
        <w:noBreakHyphen/>
      </w:r>
      <w:r w:rsidRPr="00835AA1">
        <w:rPr>
          <w:lang w:val="fr-FR"/>
        </w:rPr>
        <w:t>traiter la traduction de ces textes et contrôler la qualité des traductions sous</w:t>
      </w:r>
      <w:r w:rsidR="003813B1" w:rsidRPr="00835AA1">
        <w:rPr>
          <w:lang w:val="fr-FR"/>
        </w:rPr>
        <w:noBreakHyphen/>
      </w:r>
      <w:r w:rsidRPr="00835AA1">
        <w:rPr>
          <w:lang w:val="fr-FR"/>
        </w:rPr>
        <w:t>traité</w:t>
      </w:r>
      <w:r w:rsidR="00A541B2" w:rsidRPr="00835AA1">
        <w:rPr>
          <w:lang w:val="fr-FR"/>
        </w:rPr>
        <w:t>es.  Si</w:t>
      </w:r>
      <w:r w:rsidRPr="00835AA1">
        <w:rPr>
          <w:lang w:val="fr-FR"/>
        </w:rPr>
        <w:t xml:space="preserve"> le Service d</w:t>
      </w:r>
      <w:r w:rsidR="002E3178" w:rsidRPr="00835AA1">
        <w:rPr>
          <w:lang w:val="fr-FR"/>
        </w:rPr>
        <w:t>’</w:t>
      </w:r>
      <w:r w:rsidRPr="00835AA1">
        <w:rPr>
          <w:lang w:val="fr-FR"/>
        </w:rPr>
        <w:t xml:space="preserve">enregistrement de </w:t>
      </w:r>
      <w:r w:rsidR="002E3178" w:rsidRPr="00835AA1">
        <w:rPr>
          <w:lang w:val="fr-FR"/>
        </w:rPr>
        <w:t>La Haye</w:t>
      </w:r>
      <w:r w:rsidRPr="00835AA1">
        <w:rPr>
          <w:lang w:val="fr-FR"/>
        </w:rPr>
        <w:t xml:space="preserve"> établissait ses propres ressources pour mener à bien ce</w:t>
      </w:r>
      <w:r w:rsidR="00BB1401" w:rsidRPr="00835AA1">
        <w:rPr>
          <w:lang w:val="fr-FR"/>
        </w:rPr>
        <w:t>tte tâche</w:t>
      </w:r>
      <w:r w:rsidRPr="00835AA1">
        <w:rPr>
          <w:lang w:val="fr-FR"/>
        </w:rPr>
        <w:t xml:space="preserve"> de contrôle de la qualité, le coût annuel supplémentaire serait d</w:t>
      </w:r>
      <w:r w:rsidR="002E3178" w:rsidRPr="00835AA1">
        <w:rPr>
          <w:lang w:val="fr-FR"/>
        </w:rPr>
        <w:t>’</w:t>
      </w:r>
      <w:r w:rsidRPr="00835AA1">
        <w:rPr>
          <w:lang w:val="fr-FR"/>
        </w:rPr>
        <w:t>environ 500</w:t>
      </w:r>
      <w:r w:rsidR="001D2116" w:rsidRPr="00835AA1">
        <w:rPr>
          <w:lang w:val="fr-FR"/>
        </w:rPr>
        <w:t> </w:t>
      </w:r>
      <w:r w:rsidRPr="00835AA1">
        <w:rPr>
          <w:lang w:val="fr-FR"/>
        </w:rPr>
        <w:t>000</w:t>
      </w:r>
      <w:r w:rsidR="001D2116" w:rsidRPr="00835AA1">
        <w:rPr>
          <w:lang w:val="fr-FR"/>
        </w:rPr>
        <w:t> </w:t>
      </w:r>
      <w:r w:rsidRPr="00835AA1">
        <w:rPr>
          <w:lang w:val="fr-FR"/>
        </w:rPr>
        <w:t>francs suisses, indépendamment de l</w:t>
      </w:r>
      <w:r w:rsidR="002E3178" w:rsidRPr="00835AA1">
        <w:rPr>
          <w:lang w:val="fr-FR"/>
        </w:rPr>
        <w:t>’</w:t>
      </w:r>
      <w:r w:rsidRPr="00835AA1">
        <w:rPr>
          <w:lang w:val="fr-FR"/>
        </w:rPr>
        <w:t xml:space="preserve">option de mise en </w:t>
      </w:r>
      <w:r w:rsidR="0001085B" w:rsidRPr="00835AA1">
        <w:rPr>
          <w:lang w:val="fr-FR"/>
        </w:rPr>
        <w:t>œuvre</w:t>
      </w:r>
      <w:r w:rsidR="00BB1401" w:rsidRPr="00835AA1">
        <w:rPr>
          <w:lang w:val="fr-FR"/>
        </w:rPr>
        <w:t xml:space="preserve"> choisis</w:t>
      </w:r>
      <w:r w:rsidRPr="00835AA1">
        <w:rPr>
          <w:lang w:val="fr-FR"/>
        </w:rPr>
        <w:t xml:space="preserve"> (voir la </w:t>
      </w:r>
      <w:r w:rsidR="00A10088" w:rsidRPr="00835AA1">
        <w:rPr>
          <w:lang w:val="fr-FR"/>
        </w:rPr>
        <w:t>s</w:t>
      </w:r>
      <w:r w:rsidRPr="00835AA1">
        <w:rPr>
          <w:lang w:val="fr-FR"/>
        </w:rPr>
        <w:t>ection</w:t>
      </w:r>
      <w:r w:rsidR="001D2116" w:rsidRPr="00835AA1">
        <w:rPr>
          <w:lang w:val="fr-FR"/>
        </w:rPr>
        <w:t> </w:t>
      </w:r>
      <w:r w:rsidRPr="00835AA1">
        <w:rPr>
          <w:lang w:val="fr-FR"/>
        </w:rPr>
        <w:t>II de l</w:t>
      </w:r>
      <w:r w:rsidR="002E3178" w:rsidRPr="00835AA1">
        <w:rPr>
          <w:lang w:val="fr-FR"/>
        </w:rPr>
        <w:t>’</w:t>
      </w:r>
      <w:r w:rsidRPr="00835AA1">
        <w:rPr>
          <w:lang w:val="fr-FR"/>
        </w:rPr>
        <w:t>annexe</w:t>
      </w:r>
      <w:r w:rsidR="001D2116" w:rsidRPr="00835AA1">
        <w:rPr>
          <w:lang w:val="fr-FR"/>
        </w:rPr>
        <w:t> </w:t>
      </w:r>
      <w:r w:rsidRPr="00835AA1">
        <w:rPr>
          <w:lang w:val="fr-FR"/>
        </w:rPr>
        <w:t>II).</w:t>
      </w:r>
    </w:p>
    <w:p w14:paraId="14E351C9" w14:textId="738CAD70" w:rsidR="008844A6" w:rsidRPr="00835AA1" w:rsidRDefault="005107E4" w:rsidP="003813B1">
      <w:pPr>
        <w:pStyle w:val="ONUMFS"/>
        <w:rPr>
          <w:lang w:val="fr-FR"/>
        </w:rPr>
      </w:pPr>
      <w:r w:rsidRPr="00835AA1">
        <w:rPr>
          <w:lang w:val="fr-FR"/>
        </w:rPr>
        <w:lastRenderedPageBreak/>
        <w:t xml:space="preserve">Les coûts </w:t>
      </w:r>
      <w:r w:rsidR="00BB1401" w:rsidRPr="00835AA1">
        <w:rPr>
          <w:lang w:val="fr-FR"/>
        </w:rPr>
        <w:t>de traduction opérationnels (</w:t>
      </w:r>
      <w:r w:rsidRPr="00835AA1">
        <w:rPr>
          <w:lang w:val="fr-FR"/>
        </w:rPr>
        <w:t>sous</w:t>
      </w:r>
      <w:r w:rsidR="003813B1" w:rsidRPr="00835AA1">
        <w:rPr>
          <w:lang w:val="fr-FR"/>
        </w:rPr>
        <w:noBreakHyphen/>
      </w:r>
      <w:r w:rsidRPr="00835AA1">
        <w:rPr>
          <w:lang w:val="fr-FR"/>
        </w:rPr>
        <w:t>traitance</w:t>
      </w:r>
      <w:r w:rsidR="00BB1401" w:rsidRPr="00835AA1">
        <w:rPr>
          <w:lang w:val="fr-FR"/>
        </w:rPr>
        <w:t>)</w:t>
      </w:r>
      <w:r w:rsidRPr="00835AA1">
        <w:rPr>
          <w:lang w:val="fr-FR"/>
        </w:rPr>
        <w:t xml:space="preserve"> seraient différents selon l</w:t>
      </w:r>
      <w:r w:rsidR="002E3178" w:rsidRPr="00835AA1">
        <w:rPr>
          <w:lang w:val="fr-FR"/>
        </w:rPr>
        <w:t>’</w:t>
      </w:r>
      <w:r w:rsidRPr="00835AA1">
        <w:rPr>
          <w:lang w:val="fr-FR"/>
        </w:rPr>
        <w:t xml:space="preserve">option de mise en </w:t>
      </w:r>
      <w:r w:rsidR="0001085B" w:rsidRPr="00835AA1">
        <w:rPr>
          <w:lang w:val="fr-FR"/>
        </w:rPr>
        <w:t>œuvre</w:t>
      </w:r>
      <w:r w:rsidRPr="00835AA1">
        <w:rPr>
          <w:lang w:val="fr-FR"/>
        </w:rPr>
        <w:t xml:space="preserve"> chois</w:t>
      </w:r>
      <w:r w:rsidR="00A541B2" w:rsidRPr="00835AA1">
        <w:rPr>
          <w:lang w:val="fr-FR"/>
        </w:rPr>
        <w:t>ie.  Le</w:t>
      </w:r>
      <w:r w:rsidR="0001085B" w:rsidRPr="00835AA1">
        <w:rPr>
          <w:lang w:val="fr-FR"/>
        </w:rPr>
        <w:t xml:space="preserve"> Bureau international estime que, si l</w:t>
      </w:r>
      <w:r w:rsidR="002E3178" w:rsidRPr="00835AA1">
        <w:rPr>
          <w:lang w:val="fr-FR"/>
        </w:rPr>
        <w:t>’</w:t>
      </w:r>
      <w:r w:rsidR="0001085B" w:rsidRPr="00835AA1">
        <w:rPr>
          <w:lang w:val="fr-FR"/>
        </w:rPr>
        <w:t xml:space="preserve">introduction du chinois et du russe débutait </w:t>
      </w:r>
      <w:r w:rsidR="001D2116" w:rsidRPr="00835AA1">
        <w:rPr>
          <w:lang w:val="fr-FR"/>
        </w:rPr>
        <w:t>en 2021</w:t>
      </w:r>
      <w:r w:rsidR="0001085B" w:rsidRPr="00835AA1">
        <w:rPr>
          <w:lang w:val="fr-FR"/>
        </w:rPr>
        <w:t>, les coûts de traduction opérationnels supplémentaires s</w:t>
      </w:r>
      <w:r w:rsidR="002E3178" w:rsidRPr="00835AA1">
        <w:rPr>
          <w:lang w:val="fr-FR"/>
        </w:rPr>
        <w:t>’</w:t>
      </w:r>
      <w:r w:rsidR="0001085B" w:rsidRPr="00835AA1">
        <w:rPr>
          <w:lang w:val="fr-FR"/>
        </w:rPr>
        <w:t xml:space="preserve">élèveraient chaque année à </w:t>
      </w:r>
      <w:r w:rsidR="00CE11BA" w:rsidRPr="00835AA1">
        <w:rPr>
          <w:lang w:val="fr-FR"/>
        </w:rPr>
        <w:t>6200</w:t>
      </w:r>
      <w:r w:rsidR="001D2116" w:rsidRPr="00835AA1">
        <w:rPr>
          <w:lang w:val="fr-FR"/>
        </w:rPr>
        <w:t> </w:t>
      </w:r>
      <w:r w:rsidR="0001085B" w:rsidRPr="00835AA1">
        <w:rPr>
          <w:lang w:val="fr-FR"/>
        </w:rPr>
        <w:t>francs suisses pour l</w:t>
      </w:r>
      <w:r w:rsidR="002E3178" w:rsidRPr="00835AA1">
        <w:rPr>
          <w:lang w:val="fr-FR"/>
        </w:rPr>
        <w:t>’</w:t>
      </w:r>
      <w:r w:rsidR="0001085B" w:rsidRPr="00835AA1">
        <w:rPr>
          <w:lang w:val="fr-FR"/>
        </w:rPr>
        <w:t>option de la langue de dépôt, l</w:t>
      </w:r>
      <w:r w:rsidR="002E3178" w:rsidRPr="00835AA1">
        <w:rPr>
          <w:lang w:val="fr-FR"/>
        </w:rPr>
        <w:t>’</w:t>
      </w:r>
      <w:r w:rsidR="0001085B" w:rsidRPr="00835AA1">
        <w:rPr>
          <w:lang w:val="fr-FR"/>
        </w:rPr>
        <w:t xml:space="preserve">option de la langue de dépôt et de </w:t>
      </w:r>
      <w:r w:rsidR="00BB1401" w:rsidRPr="00835AA1">
        <w:rPr>
          <w:lang w:val="fr-FR"/>
        </w:rPr>
        <w:t>communication</w:t>
      </w:r>
      <w:r w:rsidR="0001085B" w:rsidRPr="00835AA1">
        <w:rPr>
          <w:lang w:val="fr-FR"/>
        </w:rPr>
        <w:t xml:space="preserve"> ou l</w:t>
      </w:r>
      <w:r w:rsidR="002E3178" w:rsidRPr="00835AA1">
        <w:rPr>
          <w:lang w:val="fr-FR"/>
        </w:rPr>
        <w:t>’</w:t>
      </w:r>
      <w:r w:rsidR="0001085B" w:rsidRPr="00835AA1">
        <w:rPr>
          <w:lang w:val="fr-FR"/>
        </w:rPr>
        <w:t>option de la langue de publication (options</w:t>
      </w:r>
      <w:r w:rsidR="00A10088" w:rsidRPr="00835AA1">
        <w:rPr>
          <w:lang w:val="fr-FR"/>
        </w:rPr>
        <w:t> </w:t>
      </w:r>
      <w:r w:rsidR="001D2116" w:rsidRPr="00835AA1">
        <w:rPr>
          <w:lang w:val="fr-FR"/>
        </w:rPr>
        <w:t>“</w:t>
      </w:r>
      <w:r w:rsidR="0001085B" w:rsidRPr="00835AA1">
        <w:rPr>
          <w:lang w:val="fr-FR"/>
        </w:rPr>
        <w:t>A</w:t>
      </w:r>
      <w:r w:rsidR="001D2116" w:rsidRPr="00835AA1">
        <w:rPr>
          <w:lang w:val="fr-FR"/>
        </w:rPr>
        <w:t>”</w:t>
      </w:r>
      <w:r w:rsidR="0001085B" w:rsidRPr="00835AA1">
        <w:rPr>
          <w:lang w:val="fr-FR"/>
        </w:rPr>
        <w:t xml:space="preserve"> à</w:t>
      </w:r>
      <w:r w:rsidR="00A10088" w:rsidRPr="00835AA1">
        <w:rPr>
          <w:lang w:val="fr-FR"/>
        </w:rPr>
        <w:t> </w:t>
      </w:r>
      <w:r w:rsidR="001D2116" w:rsidRPr="00835AA1">
        <w:rPr>
          <w:lang w:val="fr-FR"/>
        </w:rPr>
        <w:t>“</w:t>
      </w:r>
      <w:r w:rsidR="0001085B" w:rsidRPr="00835AA1">
        <w:rPr>
          <w:lang w:val="fr-FR"/>
        </w:rPr>
        <w:t>C</w:t>
      </w:r>
      <w:r w:rsidR="001D2116" w:rsidRPr="00835AA1">
        <w:rPr>
          <w:lang w:val="fr-FR"/>
        </w:rPr>
        <w:t>”</w:t>
      </w:r>
      <w:r w:rsidR="0001085B" w:rsidRPr="00835AA1">
        <w:rPr>
          <w:lang w:val="fr-FR"/>
        </w:rPr>
        <w:t xml:space="preserve">); </w:t>
      </w:r>
      <w:r w:rsidR="007B26C3" w:rsidRPr="00835AA1">
        <w:rPr>
          <w:lang w:val="fr-FR"/>
        </w:rPr>
        <w:t xml:space="preserve"> </w:t>
      </w:r>
      <w:r w:rsidR="0001085B" w:rsidRPr="00835AA1">
        <w:rPr>
          <w:lang w:val="fr-FR"/>
        </w:rPr>
        <w:t>à</w:t>
      </w:r>
      <w:r w:rsidR="00246B98">
        <w:rPr>
          <w:lang w:val="fr-FR"/>
        </w:rPr>
        <w:t> </w:t>
      </w:r>
      <w:r w:rsidR="0001085B" w:rsidRPr="00835AA1">
        <w:rPr>
          <w:lang w:val="fr-FR"/>
        </w:rPr>
        <w:t>36</w:t>
      </w:r>
      <w:r w:rsidR="001D2116" w:rsidRPr="00835AA1">
        <w:rPr>
          <w:lang w:val="fr-FR"/>
        </w:rPr>
        <w:t> </w:t>
      </w:r>
      <w:r w:rsidR="0001085B" w:rsidRPr="00835AA1">
        <w:rPr>
          <w:lang w:val="fr-FR"/>
        </w:rPr>
        <w:t>100</w:t>
      </w:r>
      <w:r w:rsidR="001D2116" w:rsidRPr="00835AA1">
        <w:rPr>
          <w:lang w:val="fr-FR"/>
        </w:rPr>
        <w:t> </w:t>
      </w:r>
      <w:r w:rsidR="0001085B" w:rsidRPr="00835AA1">
        <w:rPr>
          <w:lang w:val="fr-FR"/>
        </w:rPr>
        <w:t>francs suisses pour l</w:t>
      </w:r>
      <w:r w:rsidR="002E3178" w:rsidRPr="00835AA1">
        <w:rPr>
          <w:lang w:val="fr-FR"/>
        </w:rPr>
        <w:t>’</w:t>
      </w:r>
      <w:r w:rsidR="0001085B" w:rsidRPr="00835AA1">
        <w:rPr>
          <w:lang w:val="fr-FR"/>
        </w:rPr>
        <w:t>option de la langue de publication et de communication de l</w:t>
      </w:r>
      <w:r w:rsidR="002E3178" w:rsidRPr="00835AA1">
        <w:rPr>
          <w:lang w:val="fr-FR"/>
        </w:rPr>
        <w:t>’</w:t>
      </w:r>
      <w:r w:rsidR="0001085B" w:rsidRPr="00835AA1">
        <w:rPr>
          <w:lang w:val="fr-FR"/>
        </w:rPr>
        <w:t>office (option</w:t>
      </w:r>
      <w:r w:rsidR="009B254D">
        <w:rPr>
          <w:lang w:val="fr-FR"/>
        </w:rPr>
        <w:t> </w:t>
      </w:r>
      <w:r w:rsidR="001D2116" w:rsidRPr="00835AA1">
        <w:rPr>
          <w:lang w:val="fr-FR"/>
        </w:rPr>
        <w:t>“</w:t>
      </w:r>
      <w:r w:rsidR="0001085B" w:rsidRPr="00835AA1">
        <w:rPr>
          <w:lang w:val="fr-FR"/>
        </w:rPr>
        <w:t>D</w:t>
      </w:r>
      <w:r w:rsidR="001D2116" w:rsidRPr="00835AA1">
        <w:rPr>
          <w:lang w:val="fr-FR"/>
        </w:rPr>
        <w:t>”</w:t>
      </w:r>
      <w:r w:rsidR="0001085B" w:rsidRPr="00835AA1">
        <w:rPr>
          <w:lang w:val="fr-FR"/>
        </w:rPr>
        <w:t>);</w:t>
      </w:r>
      <w:r w:rsidR="007B26C3" w:rsidRPr="00835AA1">
        <w:rPr>
          <w:lang w:val="fr-FR"/>
        </w:rPr>
        <w:t xml:space="preserve"> </w:t>
      </w:r>
      <w:r w:rsidR="0001085B" w:rsidRPr="00835AA1">
        <w:rPr>
          <w:lang w:val="fr-FR"/>
        </w:rPr>
        <w:t xml:space="preserve"> et à 127</w:t>
      </w:r>
      <w:r w:rsidR="001D2116" w:rsidRPr="00835AA1">
        <w:rPr>
          <w:lang w:val="fr-FR"/>
        </w:rPr>
        <w:t> </w:t>
      </w:r>
      <w:r w:rsidR="0001085B" w:rsidRPr="00835AA1">
        <w:rPr>
          <w:lang w:val="fr-FR"/>
        </w:rPr>
        <w:t>700</w:t>
      </w:r>
      <w:r w:rsidR="001D2116" w:rsidRPr="00835AA1">
        <w:rPr>
          <w:lang w:val="fr-FR"/>
        </w:rPr>
        <w:t> </w:t>
      </w:r>
      <w:r w:rsidR="0001085B" w:rsidRPr="00835AA1">
        <w:rPr>
          <w:lang w:val="fr-FR"/>
        </w:rPr>
        <w:t>francs suisses pour l</w:t>
      </w:r>
      <w:r w:rsidR="002E3178" w:rsidRPr="00835AA1">
        <w:rPr>
          <w:lang w:val="fr-FR"/>
        </w:rPr>
        <w:t>’</w:t>
      </w:r>
      <w:r w:rsidR="0001085B" w:rsidRPr="00835AA1">
        <w:rPr>
          <w:lang w:val="fr-FR"/>
        </w:rPr>
        <w:t>option de la langue de travail (option</w:t>
      </w:r>
      <w:r w:rsidR="00A10088" w:rsidRPr="00835AA1">
        <w:rPr>
          <w:lang w:val="fr-FR"/>
        </w:rPr>
        <w:t> </w:t>
      </w:r>
      <w:r w:rsidR="001D2116" w:rsidRPr="00835AA1">
        <w:rPr>
          <w:lang w:val="fr-FR"/>
        </w:rPr>
        <w:t>“</w:t>
      </w:r>
      <w:r w:rsidR="0001085B" w:rsidRPr="00835AA1">
        <w:rPr>
          <w:lang w:val="fr-FR"/>
        </w:rPr>
        <w:t>E</w:t>
      </w:r>
      <w:r w:rsidR="001D2116" w:rsidRPr="00835AA1">
        <w:rPr>
          <w:lang w:val="fr-FR"/>
        </w:rPr>
        <w:t>”</w:t>
      </w:r>
      <w:r w:rsidR="0001085B" w:rsidRPr="00835AA1">
        <w:rPr>
          <w:lang w:val="fr-FR"/>
        </w:rPr>
        <w:t xml:space="preserve">) (voir la </w:t>
      </w:r>
      <w:r w:rsidR="00A10088" w:rsidRPr="00835AA1">
        <w:rPr>
          <w:lang w:val="fr-FR"/>
        </w:rPr>
        <w:t>s</w:t>
      </w:r>
      <w:r w:rsidR="0001085B" w:rsidRPr="00835AA1">
        <w:rPr>
          <w:lang w:val="fr-FR"/>
        </w:rPr>
        <w:t>ection</w:t>
      </w:r>
      <w:r w:rsidR="001D2116" w:rsidRPr="00835AA1">
        <w:rPr>
          <w:lang w:val="fr-FR"/>
        </w:rPr>
        <w:t> </w:t>
      </w:r>
      <w:r w:rsidR="0001085B" w:rsidRPr="00835AA1">
        <w:rPr>
          <w:lang w:val="fr-FR"/>
        </w:rPr>
        <w:t>III de l</w:t>
      </w:r>
      <w:r w:rsidR="002E3178" w:rsidRPr="00835AA1">
        <w:rPr>
          <w:lang w:val="fr-FR"/>
        </w:rPr>
        <w:t>’</w:t>
      </w:r>
      <w:r w:rsidR="0001085B" w:rsidRPr="00835AA1">
        <w:rPr>
          <w:lang w:val="fr-FR"/>
        </w:rPr>
        <w:t>annexe</w:t>
      </w:r>
      <w:r w:rsidR="001D2116" w:rsidRPr="00835AA1">
        <w:rPr>
          <w:lang w:val="fr-FR"/>
        </w:rPr>
        <w:t> </w:t>
      </w:r>
      <w:r w:rsidR="0001085B" w:rsidRPr="00835AA1">
        <w:rPr>
          <w:lang w:val="fr-FR"/>
        </w:rPr>
        <w:t>II).</w:t>
      </w:r>
    </w:p>
    <w:p w14:paraId="6FC5396C" w14:textId="07AFB29F" w:rsidR="008844A6" w:rsidRPr="00835AA1" w:rsidRDefault="0001085B" w:rsidP="003813B1">
      <w:pPr>
        <w:pStyle w:val="ONUMFS"/>
        <w:rPr>
          <w:lang w:val="fr-FR"/>
        </w:rPr>
      </w:pPr>
      <w:r w:rsidRPr="00835AA1">
        <w:rPr>
          <w:lang w:val="fr-FR"/>
        </w:rPr>
        <w:t>Enfin, si, en vertu de l</w:t>
      </w:r>
      <w:r w:rsidR="002E3178" w:rsidRPr="00835AA1">
        <w:rPr>
          <w:lang w:val="fr-FR"/>
        </w:rPr>
        <w:t>’</w:t>
      </w:r>
      <w:r w:rsidRPr="00835AA1">
        <w:rPr>
          <w:lang w:val="fr-FR"/>
        </w:rPr>
        <w:t>une ou l</w:t>
      </w:r>
      <w:r w:rsidR="002E3178" w:rsidRPr="00835AA1">
        <w:rPr>
          <w:lang w:val="fr-FR"/>
        </w:rPr>
        <w:t>’</w:t>
      </w:r>
      <w:r w:rsidRPr="00835AA1">
        <w:rPr>
          <w:lang w:val="fr-FR"/>
        </w:rPr>
        <w:t xml:space="preserve">autre des options de mise en </w:t>
      </w:r>
      <w:r w:rsidR="00BB1401" w:rsidRPr="00835AA1">
        <w:rPr>
          <w:lang w:val="fr-FR"/>
        </w:rPr>
        <w:t>œuvre</w:t>
      </w:r>
      <w:r w:rsidRPr="00835AA1">
        <w:rPr>
          <w:lang w:val="fr-FR"/>
        </w:rPr>
        <w:t>, le Bureau</w:t>
      </w:r>
      <w:r w:rsidR="00246B98">
        <w:rPr>
          <w:lang w:val="fr-FR"/>
        </w:rPr>
        <w:t> </w:t>
      </w:r>
      <w:r w:rsidRPr="00835AA1">
        <w:rPr>
          <w:lang w:val="fr-FR"/>
        </w:rPr>
        <w:t xml:space="preserve">international devait traiter tous les types de demandes de renseignements concernant le système de </w:t>
      </w:r>
      <w:r w:rsidR="002E3178" w:rsidRPr="00835AA1">
        <w:rPr>
          <w:lang w:val="fr-FR"/>
        </w:rPr>
        <w:t>La Haye</w:t>
      </w:r>
      <w:r w:rsidRPr="00835AA1">
        <w:rPr>
          <w:lang w:val="fr-FR"/>
        </w:rPr>
        <w:t xml:space="preserve"> dans les nouvelles langues, le maintien de deux</w:t>
      </w:r>
      <w:r w:rsidR="00CE11BA" w:rsidRPr="00835AA1">
        <w:rPr>
          <w:lang w:val="fr-FR"/>
        </w:rPr>
        <w:t> </w:t>
      </w:r>
      <w:r w:rsidRPr="00835AA1">
        <w:rPr>
          <w:lang w:val="fr-FR"/>
        </w:rPr>
        <w:t>fonctionnaires à plein temps pour fournir cet appui à la clientèle nécessiterait un investissement d</w:t>
      </w:r>
      <w:r w:rsidR="002E3178" w:rsidRPr="00835AA1">
        <w:rPr>
          <w:lang w:val="fr-FR"/>
        </w:rPr>
        <w:t>’</w:t>
      </w:r>
      <w:r w:rsidRPr="00835AA1">
        <w:rPr>
          <w:lang w:val="fr-FR"/>
        </w:rPr>
        <w:t>environ</w:t>
      </w:r>
      <w:r w:rsidR="00246B98">
        <w:rPr>
          <w:lang w:val="fr-FR"/>
        </w:rPr>
        <w:t> </w:t>
      </w:r>
      <w:r w:rsidRPr="00835AA1">
        <w:rPr>
          <w:lang w:val="fr-FR"/>
        </w:rPr>
        <w:t>237</w:t>
      </w:r>
      <w:r w:rsidR="001D2116" w:rsidRPr="00835AA1">
        <w:rPr>
          <w:lang w:val="fr-FR"/>
        </w:rPr>
        <w:t> </w:t>
      </w:r>
      <w:r w:rsidRPr="00835AA1">
        <w:rPr>
          <w:lang w:val="fr-FR"/>
        </w:rPr>
        <w:t>000</w:t>
      </w:r>
      <w:r w:rsidR="001D2116" w:rsidRPr="00835AA1">
        <w:rPr>
          <w:lang w:val="fr-FR"/>
        </w:rPr>
        <w:t> </w:t>
      </w:r>
      <w:r w:rsidRPr="00835AA1">
        <w:rPr>
          <w:lang w:val="fr-FR"/>
        </w:rPr>
        <w:t xml:space="preserve">francs suisses par an (se référer à la </w:t>
      </w:r>
      <w:r w:rsidR="00A10088" w:rsidRPr="00835AA1">
        <w:rPr>
          <w:lang w:val="fr-FR"/>
        </w:rPr>
        <w:t>s</w:t>
      </w:r>
      <w:r w:rsidRPr="00835AA1">
        <w:rPr>
          <w:lang w:val="fr-FR"/>
        </w:rPr>
        <w:t>ection</w:t>
      </w:r>
      <w:r w:rsidR="001D2116" w:rsidRPr="00835AA1">
        <w:rPr>
          <w:lang w:val="fr-FR"/>
        </w:rPr>
        <w:t> </w:t>
      </w:r>
      <w:r w:rsidRPr="00835AA1">
        <w:rPr>
          <w:lang w:val="fr-FR"/>
        </w:rPr>
        <w:t>II de l</w:t>
      </w:r>
      <w:r w:rsidR="002E3178" w:rsidRPr="00835AA1">
        <w:rPr>
          <w:lang w:val="fr-FR"/>
        </w:rPr>
        <w:t>’</w:t>
      </w:r>
      <w:r w:rsidRPr="00835AA1">
        <w:rPr>
          <w:lang w:val="fr-FR"/>
        </w:rPr>
        <w:t>annexe</w:t>
      </w:r>
      <w:r w:rsidR="001D2116" w:rsidRPr="00835AA1">
        <w:rPr>
          <w:lang w:val="fr-FR"/>
        </w:rPr>
        <w:t> </w:t>
      </w:r>
      <w:r w:rsidRPr="00835AA1">
        <w:rPr>
          <w:lang w:val="fr-FR"/>
        </w:rPr>
        <w:t>II).</w:t>
      </w:r>
    </w:p>
    <w:p w14:paraId="7C38E748" w14:textId="7A643A86" w:rsidR="008844A6" w:rsidRPr="00835AA1" w:rsidRDefault="0001085B" w:rsidP="003813B1">
      <w:pPr>
        <w:pStyle w:val="ONUMFS"/>
        <w:rPr>
          <w:lang w:val="fr-FR"/>
        </w:rPr>
      </w:pPr>
      <w:r w:rsidRPr="00835AA1">
        <w:rPr>
          <w:lang w:val="fr-FR"/>
        </w:rPr>
        <w:t>Par conséquent, il est estimé que les coûts opérationnels annuels se situeraient entre</w:t>
      </w:r>
      <w:r w:rsidR="00246B98">
        <w:rPr>
          <w:lang w:val="fr-FR"/>
        </w:rPr>
        <w:t> </w:t>
      </w:r>
      <w:r w:rsidRPr="00835AA1">
        <w:rPr>
          <w:lang w:val="fr-FR"/>
        </w:rPr>
        <w:t>863</w:t>
      </w:r>
      <w:r w:rsidR="001D2116" w:rsidRPr="00835AA1">
        <w:rPr>
          <w:lang w:val="fr-FR"/>
        </w:rPr>
        <w:t> </w:t>
      </w:r>
      <w:r w:rsidRPr="00835AA1">
        <w:rPr>
          <w:lang w:val="fr-FR"/>
        </w:rPr>
        <w:t>200</w:t>
      </w:r>
      <w:r w:rsidR="001D2116" w:rsidRPr="00835AA1">
        <w:rPr>
          <w:lang w:val="fr-FR"/>
        </w:rPr>
        <w:t> </w:t>
      </w:r>
      <w:r w:rsidRPr="00835AA1">
        <w:rPr>
          <w:lang w:val="fr-FR"/>
        </w:rPr>
        <w:t>francs suisses</w:t>
      </w:r>
      <w:r w:rsidRPr="00835AA1">
        <w:rPr>
          <w:rStyle w:val="FootnoteReference"/>
          <w:lang w:val="fr-FR"/>
        </w:rPr>
        <w:footnoteReference w:id="5"/>
      </w:r>
      <w:r w:rsidRPr="00835AA1">
        <w:rPr>
          <w:lang w:val="fr-FR"/>
        </w:rPr>
        <w:t xml:space="preserve"> (pour les options</w:t>
      </w:r>
      <w:r w:rsidR="00A10088" w:rsidRPr="00835AA1">
        <w:rPr>
          <w:lang w:val="fr-FR"/>
        </w:rPr>
        <w:t> </w:t>
      </w:r>
      <w:r w:rsidR="001D2116" w:rsidRPr="00835AA1">
        <w:rPr>
          <w:lang w:val="fr-FR"/>
        </w:rPr>
        <w:t>“</w:t>
      </w:r>
      <w:r w:rsidRPr="00835AA1">
        <w:rPr>
          <w:lang w:val="fr-FR"/>
        </w:rPr>
        <w:t>A</w:t>
      </w:r>
      <w:r w:rsidR="001D2116" w:rsidRPr="00835AA1">
        <w:rPr>
          <w:lang w:val="fr-FR"/>
        </w:rPr>
        <w:t>”</w:t>
      </w:r>
      <w:r w:rsidR="00A10088" w:rsidRPr="00835AA1">
        <w:rPr>
          <w:lang w:val="fr-FR"/>
        </w:rPr>
        <w:t xml:space="preserve"> à </w:t>
      </w:r>
      <w:r w:rsidR="001D2116" w:rsidRPr="00835AA1">
        <w:rPr>
          <w:lang w:val="fr-FR"/>
        </w:rPr>
        <w:t>“</w:t>
      </w:r>
      <w:r w:rsidRPr="00835AA1">
        <w:rPr>
          <w:lang w:val="fr-FR"/>
        </w:rPr>
        <w:t>C</w:t>
      </w:r>
      <w:r w:rsidR="001D2116" w:rsidRPr="00835AA1">
        <w:rPr>
          <w:lang w:val="fr-FR"/>
        </w:rPr>
        <w:t>”</w:t>
      </w:r>
      <w:r w:rsidRPr="00835AA1">
        <w:rPr>
          <w:lang w:val="fr-FR"/>
        </w:rPr>
        <w:t>), 893</w:t>
      </w:r>
      <w:r w:rsidR="001D2116" w:rsidRPr="00835AA1">
        <w:rPr>
          <w:lang w:val="fr-FR"/>
        </w:rPr>
        <w:t> </w:t>
      </w:r>
      <w:r w:rsidRPr="00835AA1">
        <w:rPr>
          <w:lang w:val="fr-FR"/>
        </w:rPr>
        <w:t>100</w:t>
      </w:r>
      <w:r w:rsidR="001D2116" w:rsidRPr="00835AA1">
        <w:rPr>
          <w:lang w:val="fr-FR"/>
        </w:rPr>
        <w:t> </w:t>
      </w:r>
      <w:r w:rsidRPr="00835AA1">
        <w:rPr>
          <w:lang w:val="fr-FR"/>
        </w:rPr>
        <w:t>francs suisses</w:t>
      </w:r>
      <w:r w:rsidRPr="00835AA1">
        <w:rPr>
          <w:rStyle w:val="FootnoteReference"/>
          <w:lang w:val="fr-FR"/>
        </w:rPr>
        <w:footnoteReference w:id="6"/>
      </w:r>
      <w:r w:rsidRPr="00835AA1">
        <w:rPr>
          <w:lang w:val="fr-FR"/>
        </w:rPr>
        <w:t xml:space="preserve"> (pour </w:t>
      </w:r>
      <w:r w:rsidR="00BB1401" w:rsidRPr="00835AA1">
        <w:rPr>
          <w:lang w:val="fr-FR"/>
        </w:rPr>
        <w:t>l</w:t>
      </w:r>
      <w:r w:rsidR="002E3178" w:rsidRPr="00835AA1">
        <w:rPr>
          <w:lang w:val="fr-FR"/>
        </w:rPr>
        <w:t>’</w:t>
      </w:r>
      <w:r w:rsidR="00BB1401" w:rsidRPr="00835AA1">
        <w:rPr>
          <w:lang w:val="fr-FR"/>
        </w:rPr>
        <w:t>option</w:t>
      </w:r>
      <w:r w:rsidR="00A10088" w:rsidRPr="00835AA1">
        <w:rPr>
          <w:lang w:val="fr-FR"/>
        </w:rPr>
        <w:t> </w:t>
      </w:r>
      <w:r w:rsidR="001D2116" w:rsidRPr="00835AA1">
        <w:rPr>
          <w:lang w:val="fr-FR"/>
        </w:rPr>
        <w:t>“</w:t>
      </w:r>
      <w:r w:rsidR="00BB1401" w:rsidRPr="00835AA1">
        <w:rPr>
          <w:lang w:val="fr-FR"/>
        </w:rPr>
        <w:t>D</w:t>
      </w:r>
      <w:r w:rsidR="001D2116" w:rsidRPr="00835AA1">
        <w:rPr>
          <w:lang w:val="fr-FR"/>
        </w:rPr>
        <w:t>”</w:t>
      </w:r>
      <w:r w:rsidRPr="00835AA1">
        <w:rPr>
          <w:lang w:val="fr-FR"/>
        </w:rPr>
        <w:t>) et 984</w:t>
      </w:r>
      <w:r w:rsidR="001D2116" w:rsidRPr="00835AA1">
        <w:rPr>
          <w:lang w:val="fr-FR"/>
        </w:rPr>
        <w:t> </w:t>
      </w:r>
      <w:r w:rsidRPr="00835AA1">
        <w:rPr>
          <w:lang w:val="fr-FR"/>
        </w:rPr>
        <w:t>700</w:t>
      </w:r>
      <w:r w:rsidR="001D2116" w:rsidRPr="00835AA1">
        <w:rPr>
          <w:lang w:val="fr-FR"/>
        </w:rPr>
        <w:t> </w:t>
      </w:r>
      <w:r w:rsidRPr="00835AA1">
        <w:rPr>
          <w:lang w:val="fr-FR"/>
        </w:rPr>
        <w:t>francs suisses</w:t>
      </w:r>
      <w:r w:rsidRPr="00835AA1">
        <w:rPr>
          <w:rStyle w:val="FootnoteReference"/>
          <w:lang w:val="fr-FR"/>
        </w:rPr>
        <w:footnoteReference w:id="7"/>
      </w:r>
      <w:r w:rsidRPr="00835AA1">
        <w:rPr>
          <w:lang w:val="fr-FR"/>
        </w:rPr>
        <w:t xml:space="preserve"> (pour </w:t>
      </w:r>
      <w:r w:rsidR="00BB1401" w:rsidRPr="00835AA1">
        <w:rPr>
          <w:lang w:val="fr-FR"/>
        </w:rPr>
        <w:t>l</w:t>
      </w:r>
      <w:r w:rsidR="002E3178" w:rsidRPr="00835AA1">
        <w:rPr>
          <w:lang w:val="fr-FR"/>
        </w:rPr>
        <w:t>’</w:t>
      </w:r>
      <w:r w:rsidR="00A10088" w:rsidRPr="00835AA1">
        <w:rPr>
          <w:lang w:val="fr-FR"/>
        </w:rPr>
        <w:t>option </w:t>
      </w:r>
      <w:r w:rsidR="001D2116" w:rsidRPr="00835AA1">
        <w:rPr>
          <w:lang w:val="fr-FR"/>
        </w:rPr>
        <w:t>“</w:t>
      </w:r>
      <w:r w:rsidR="00BB1401" w:rsidRPr="00835AA1">
        <w:rPr>
          <w:lang w:val="fr-FR"/>
        </w:rPr>
        <w:t>E</w:t>
      </w:r>
      <w:r w:rsidR="001D2116" w:rsidRPr="00835AA1">
        <w:rPr>
          <w:lang w:val="fr-FR"/>
        </w:rPr>
        <w:t>”</w:t>
      </w:r>
      <w:r w:rsidR="00BB1401" w:rsidRPr="00835AA1">
        <w:rPr>
          <w:lang w:val="fr-FR"/>
        </w:rPr>
        <w:t>)</w:t>
      </w:r>
      <w:r w:rsidRPr="00835AA1">
        <w:rPr>
          <w:lang w:val="fr-FR"/>
        </w:rPr>
        <w:t xml:space="preserve"> si le Service d</w:t>
      </w:r>
      <w:r w:rsidR="002E3178" w:rsidRPr="00835AA1">
        <w:rPr>
          <w:lang w:val="fr-FR"/>
        </w:rPr>
        <w:t>’</w:t>
      </w:r>
      <w:r w:rsidRPr="00835AA1">
        <w:rPr>
          <w:lang w:val="fr-FR"/>
        </w:rPr>
        <w:t xml:space="preserve">enregistrement de </w:t>
      </w:r>
      <w:r w:rsidR="002E3178" w:rsidRPr="00835AA1">
        <w:rPr>
          <w:lang w:val="fr-FR"/>
        </w:rPr>
        <w:t>La Haye</w:t>
      </w:r>
      <w:r w:rsidRPr="00835AA1">
        <w:rPr>
          <w:lang w:val="fr-FR"/>
        </w:rPr>
        <w:t xml:space="preserve"> devait mettre en place ses propres ressources de traduction pour les nouvelles langues et assurer un appui à la clientèle à plein temps dans ces langues.</w:t>
      </w:r>
    </w:p>
    <w:p w14:paraId="2E0DA985" w14:textId="77777777" w:rsidR="008844A6" w:rsidRPr="00835AA1" w:rsidRDefault="00BB1401" w:rsidP="00B34648">
      <w:pPr>
        <w:pStyle w:val="Heading2"/>
      </w:pPr>
      <w:r w:rsidRPr="00835AA1">
        <w:t>Incidences au niveau des opérations</w:t>
      </w:r>
    </w:p>
    <w:p w14:paraId="5D2D309A" w14:textId="77777777" w:rsidR="008844A6" w:rsidRPr="00835AA1" w:rsidRDefault="00BB1401" w:rsidP="003813B1">
      <w:pPr>
        <w:pStyle w:val="ONUMFS"/>
        <w:rPr>
          <w:lang w:val="fr-FR"/>
        </w:rPr>
      </w:pPr>
      <w:r w:rsidRPr="00835AA1">
        <w:rPr>
          <w:lang w:val="fr-FR"/>
        </w:rPr>
        <w:t>Toutes les options de mise en œuvre autres que l</w:t>
      </w:r>
      <w:r w:rsidR="002E3178" w:rsidRPr="00835AA1">
        <w:rPr>
          <w:lang w:val="fr-FR"/>
        </w:rPr>
        <w:t>’</w:t>
      </w:r>
      <w:r w:rsidRPr="00835AA1">
        <w:rPr>
          <w:lang w:val="fr-FR"/>
        </w:rPr>
        <w:t>optio</w:t>
      </w:r>
      <w:r w:rsidR="00A10088" w:rsidRPr="00835AA1">
        <w:rPr>
          <w:lang w:val="fr-FR"/>
        </w:rPr>
        <w:t>n de la langue de dépôt (option </w:t>
      </w:r>
      <w:r w:rsidR="001D2116" w:rsidRPr="00835AA1">
        <w:rPr>
          <w:lang w:val="fr-FR"/>
        </w:rPr>
        <w:t>“</w:t>
      </w:r>
      <w:r w:rsidRPr="00835AA1">
        <w:rPr>
          <w:lang w:val="fr-FR"/>
        </w:rPr>
        <w:t>A</w:t>
      </w:r>
      <w:r w:rsidR="001D2116" w:rsidRPr="00835AA1">
        <w:rPr>
          <w:lang w:val="fr-FR"/>
        </w:rPr>
        <w:t>”</w:t>
      </w:r>
      <w:r w:rsidRPr="00835AA1">
        <w:rPr>
          <w:lang w:val="fr-FR"/>
        </w:rPr>
        <w:t xml:space="preserve">) </w:t>
      </w:r>
      <w:r w:rsidR="00B111B4" w:rsidRPr="00835AA1">
        <w:rPr>
          <w:lang w:val="fr-FR"/>
        </w:rPr>
        <w:t>supposent</w:t>
      </w:r>
      <w:r w:rsidRPr="00835AA1">
        <w:rPr>
          <w:lang w:val="fr-FR"/>
        </w:rPr>
        <w:t xml:space="preserve"> que les examinateurs maîtrisent les nouvelles langu</w:t>
      </w:r>
      <w:r w:rsidR="00A541B2" w:rsidRPr="00835AA1">
        <w:rPr>
          <w:lang w:val="fr-FR"/>
        </w:rPr>
        <w:t>es.  Le</w:t>
      </w:r>
      <w:r w:rsidRPr="00835AA1">
        <w:rPr>
          <w:lang w:val="fr-FR"/>
        </w:rPr>
        <w:t xml:space="preserve"> présent document ne traite pas </w:t>
      </w:r>
      <w:r w:rsidR="00B111B4" w:rsidRPr="00835AA1">
        <w:rPr>
          <w:lang w:val="fr-FR"/>
        </w:rPr>
        <w:t>des</w:t>
      </w:r>
      <w:r w:rsidRPr="00835AA1">
        <w:rPr>
          <w:lang w:val="fr-FR"/>
        </w:rPr>
        <w:t xml:space="preserve"> coûts d</w:t>
      </w:r>
      <w:r w:rsidR="002E3178" w:rsidRPr="00835AA1">
        <w:rPr>
          <w:lang w:val="fr-FR"/>
        </w:rPr>
        <w:t>’</w:t>
      </w:r>
      <w:r w:rsidRPr="00835AA1">
        <w:rPr>
          <w:lang w:val="fr-FR"/>
        </w:rPr>
        <w:t xml:space="preserve">examen associés à des langues particulières, la raison étant que le Bureau international </w:t>
      </w:r>
      <w:r w:rsidR="00042A75" w:rsidRPr="00835AA1">
        <w:rPr>
          <w:lang w:val="fr-FR"/>
        </w:rPr>
        <w:t>a</w:t>
      </w:r>
      <w:r w:rsidRPr="00835AA1">
        <w:rPr>
          <w:lang w:val="fr-FR"/>
        </w:rPr>
        <w:t xml:space="preserve"> déjà </w:t>
      </w:r>
      <w:r w:rsidR="00042A75" w:rsidRPr="00835AA1">
        <w:rPr>
          <w:lang w:val="fr-FR"/>
        </w:rPr>
        <w:t xml:space="preserve">la capacité de </w:t>
      </w:r>
      <w:r w:rsidRPr="00835AA1">
        <w:rPr>
          <w:lang w:val="fr-FR"/>
        </w:rPr>
        <w:t>procéder à l</w:t>
      </w:r>
      <w:r w:rsidR="002E3178" w:rsidRPr="00835AA1">
        <w:rPr>
          <w:lang w:val="fr-FR"/>
        </w:rPr>
        <w:t>’</w:t>
      </w:r>
      <w:r w:rsidRPr="00835AA1">
        <w:rPr>
          <w:lang w:val="fr-FR"/>
        </w:rPr>
        <w:t>examen en chinois et en russe et qu</w:t>
      </w:r>
      <w:r w:rsidR="002E3178" w:rsidRPr="00835AA1">
        <w:rPr>
          <w:lang w:val="fr-FR"/>
        </w:rPr>
        <w:t>’</w:t>
      </w:r>
      <w:r w:rsidRPr="00835AA1">
        <w:rPr>
          <w:lang w:val="fr-FR"/>
        </w:rPr>
        <w:t>il serait normal que la capacité d</w:t>
      </w:r>
      <w:r w:rsidR="002E3178" w:rsidRPr="00835AA1">
        <w:rPr>
          <w:lang w:val="fr-FR"/>
        </w:rPr>
        <w:t>’</w:t>
      </w:r>
      <w:r w:rsidRPr="00835AA1">
        <w:rPr>
          <w:lang w:val="fr-FR"/>
        </w:rPr>
        <w:t>examen</w:t>
      </w:r>
      <w:r w:rsidR="00042A75" w:rsidRPr="00835AA1">
        <w:rPr>
          <w:lang w:val="fr-FR"/>
        </w:rPr>
        <w:t>,</w:t>
      </w:r>
      <w:r w:rsidRPr="00835AA1">
        <w:rPr>
          <w:lang w:val="fr-FR"/>
        </w:rPr>
        <w:t xml:space="preserve"> d</w:t>
      </w:r>
      <w:r w:rsidR="002E3178" w:rsidRPr="00835AA1">
        <w:rPr>
          <w:lang w:val="fr-FR"/>
        </w:rPr>
        <w:t>’</w:t>
      </w:r>
      <w:r w:rsidRPr="00835AA1">
        <w:rPr>
          <w:lang w:val="fr-FR"/>
        </w:rPr>
        <w:t>une manière générale</w:t>
      </w:r>
      <w:r w:rsidR="00042A75" w:rsidRPr="00835AA1">
        <w:rPr>
          <w:lang w:val="fr-FR"/>
        </w:rPr>
        <w:t>,</w:t>
      </w:r>
      <w:r w:rsidRPr="00835AA1">
        <w:rPr>
          <w:lang w:val="fr-FR"/>
        </w:rPr>
        <w:t xml:space="preserve"> évolue avec le temps </w:t>
      </w:r>
      <w:r w:rsidR="00B111B4" w:rsidRPr="00835AA1">
        <w:rPr>
          <w:lang w:val="fr-FR"/>
        </w:rPr>
        <w:t>en fonction</w:t>
      </w:r>
      <w:r w:rsidRPr="00835AA1">
        <w:rPr>
          <w:lang w:val="fr-FR"/>
        </w:rPr>
        <w:t xml:space="preserve"> du volume</w:t>
      </w:r>
      <w:r w:rsidR="00042A75" w:rsidRPr="00835AA1">
        <w:rPr>
          <w:lang w:val="fr-FR"/>
        </w:rPr>
        <w:t xml:space="preserve"> de trava</w:t>
      </w:r>
      <w:r w:rsidR="00A541B2" w:rsidRPr="00835AA1">
        <w:rPr>
          <w:lang w:val="fr-FR"/>
        </w:rPr>
        <w:t>il.  Il</w:t>
      </w:r>
      <w:r w:rsidR="00B111B4" w:rsidRPr="00835AA1">
        <w:rPr>
          <w:lang w:val="fr-FR"/>
        </w:rPr>
        <w:t xml:space="preserve"> convient toutefois de noter que plus le nombre de langues introduites sera élevé, moins le Bureau international disposera de la souplesse nécessaire pour augmenter la capacité d</w:t>
      </w:r>
      <w:r w:rsidR="002E3178" w:rsidRPr="00835AA1">
        <w:rPr>
          <w:lang w:val="fr-FR"/>
        </w:rPr>
        <w:t>’</w:t>
      </w:r>
      <w:r w:rsidR="00B111B4" w:rsidRPr="00835AA1">
        <w:rPr>
          <w:lang w:val="fr-FR"/>
        </w:rPr>
        <w:t>exam</w:t>
      </w:r>
      <w:r w:rsidR="00A541B2" w:rsidRPr="00835AA1">
        <w:rPr>
          <w:lang w:val="fr-FR"/>
        </w:rPr>
        <w:t>en.  Ce</w:t>
      </w:r>
      <w:r w:rsidRPr="00835AA1">
        <w:rPr>
          <w:lang w:val="fr-FR"/>
        </w:rPr>
        <w:t xml:space="preserve">la serait le cas </w:t>
      </w:r>
      <w:r w:rsidR="00B111B4" w:rsidRPr="00835AA1">
        <w:rPr>
          <w:lang w:val="fr-FR"/>
        </w:rPr>
        <w:t>pour</w:t>
      </w:r>
      <w:r w:rsidRPr="00835AA1">
        <w:rPr>
          <w:lang w:val="fr-FR"/>
        </w:rPr>
        <w:t xml:space="preserve"> toutes les options de mise en œuvre, à l</w:t>
      </w:r>
      <w:r w:rsidR="002E3178" w:rsidRPr="00835AA1">
        <w:rPr>
          <w:lang w:val="fr-FR"/>
        </w:rPr>
        <w:t>’</w:t>
      </w:r>
      <w:r w:rsidRPr="00835AA1">
        <w:rPr>
          <w:lang w:val="fr-FR"/>
        </w:rPr>
        <w:t>exception de l</w:t>
      </w:r>
      <w:r w:rsidR="002E3178" w:rsidRPr="00835AA1">
        <w:rPr>
          <w:lang w:val="fr-FR"/>
        </w:rPr>
        <w:t>’</w:t>
      </w:r>
      <w:r w:rsidRPr="00835AA1">
        <w:rPr>
          <w:lang w:val="fr-FR"/>
        </w:rPr>
        <w:t>option</w:t>
      </w:r>
      <w:r w:rsidR="007A7ECE" w:rsidRPr="00835AA1">
        <w:rPr>
          <w:lang w:val="fr-FR"/>
        </w:rPr>
        <w:t> </w:t>
      </w:r>
      <w:r w:rsidR="001D2116" w:rsidRPr="00835AA1">
        <w:rPr>
          <w:lang w:val="fr-FR"/>
        </w:rPr>
        <w:t>“</w:t>
      </w:r>
      <w:r w:rsidRPr="00835AA1">
        <w:rPr>
          <w:lang w:val="fr-FR"/>
        </w:rPr>
        <w:t>A</w:t>
      </w:r>
      <w:r w:rsidR="001D2116" w:rsidRPr="00835AA1">
        <w:rPr>
          <w:lang w:val="fr-FR"/>
        </w:rPr>
        <w:t>”</w:t>
      </w:r>
      <w:r w:rsidRPr="00835AA1">
        <w:rPr>
          <w:lang w:val="fr-FR"/>
        </w:rPr>
        <w:t xml:space="preserve"> (voir la </w:t>
      </w:r>
      <w:r w:rsidR="00A10088" w:rsidRPr="00835AA1">
        <w:rPr>
          <w:lang w:val="fr-FR"/>
        </w:rPr>
        <w:t>s</w:t>
      </w:r>
      <w:r w:rsidRPr="00835AA1">
        <w:rPr>
          <w:lang w:val="fr-FR"/>
        </w:rPr>
        <w:t>ection</w:t>
      </w:r>
      <w:r w:rsidR="001D2116" w:rsidRPr="00835AA1">
        <w:rPr>
          <w:lang w:val="fr-FR"/>
        </w:rPr>
        <w:t> </w:t>
      </w:r>
      <w:r w:rsidRPr="00835AA1">
        <w:rPr>
          <w:lang w:val="fr-FR"/>
        </w:rPr>
        <w:t>II de l</w:t>
      </w:r>
      <w:r w:rsidR="002E3178" w:rsidRPr="00835AA1">
        <w:rPr>
          <w:lang w:val="fr-FR"/>
        </w:rPr>
        <w:t>’</w:t>
      </w:r>
      <w:r w:rsidR="001D2116" w:rsidRPr="00835AA1">
        <w:rPr>
          <w:lang w:val="fr-FR"/>
        </w:rPr>
        <w:t>annexe I</w:t>
      </w:r>
      <w:r w:rsidRPr="00835AA1">
        <w:rPr>
          <w:lang w:val="fr-FR"/>
        </w:rPr>
        <w:t>).</w:t>
      </w:r>
    </w:p>
    <w:p w14:paraId="29AE6341" w14:textId="46CC8F2E" w:rsidR="008844A6" w:rsidRPr="00835AA1" w:rsidRDefault="00BB1401" w:rsidP="007A7ECE">
      <w:pPr>
        <w:pStyle w:val="Heading1"/>
        <w:rPr>
          <w:lang w:val="fr-FR"/>
        </w:rPr>
      </w:pPr>
      <w:r w:rsidRPr="00835AA1">
        <w:rPr>
          <w:lang w:val="fr-FR"/>
        </w:rPr>
        <w:t>Autres consid</w:t>
      </w:r>
      <w:r w:rsidR="00015994">
        <w:rPr>
          <w:lang w:val="fr-FR"/>
        </w:rPr>
        <w:t>É</w:t>
      </w:r>
      <w:r w:rsidRPr="00835AA1">
        <w:rPr>
          <w:lang w:val="fr-FR"/>
        </w:rPr>
        <w:t>rations</w:t>
      </w:r>
    </w:p>
    <w:p w14:paraId="22229041" w14:textId="77777777" w:rsidR="008844A6" w:rsidRPr="00835AA1" w:rsidRDefault="00042A75" w:rsidP="00B34648">
      <w:pPr>
        <w:pStyle w:val="Heading2"/>
      </w:pPr>
      <w:r w:rsidRPr="00835AA1">
        <w:t>Groupe de travail sur le développement juridique du système de Madrid</w:t>
      </w:r>
    </w:p>
    <w:p w14:paraId="2304C6B6" w14:textId="0C716829" w:rsidR="008844A6" w:rsidRDefault="00EF1F35" w:rsidP="003813B1">
      <w:pPr>
        <w:pStyle w:val="ONUMFS"/>
        <w:rPr>
          <w:lang w:val="fr-FR"/>
        </w:rPr>
      </w:pPr>
      <w:r w:rsidRPr="00835AA1">
        <w:rPr>
          <w:lang w:val="fr-FR"/>
        </w:rPr>
        <w:t>À sa dix</w:t>
      </w:r>
      <w:r w:rsidR="003813B1" w:rsidRPr="00835AA1">
        <w:rPr>
          <w:lang w:val="fr-FR"/>
        </w:rPr>
        <w:noBreakHyphen/>
      </w:r>
      <w:r w:rsidRPr="00835AA1">
        <w:rPr>
          <w:lang w:val="fr-FR"/>
        </w:rPr>
        <w:t>sept</w:t>
      </w:r>
      <w:r w:rsidR="002E3178" w:rsidRPr="00835AA1">
        <w:rPr>
          <w:lang w:val="fr-FR"/>
        </w:rPr>
        <w:t>ième session</w:t>
      </w:r>
      <w:r w:rsidRPr="00835AA1">
        <w:rPr>
          <w:lang w:val="fr-FR"/>
        </w:rPr>
        <w:t>, tenue en juillet</w:t>
      </w:r>
      <w:r w:rsidR="001D2116" w:rsidRPr="00835AA1">
        <w:rPr>
          <w:lang w:val="fr-FR"/>
        </w:rPr>
        <w:t> </w:t>
      </w:r>
      <w:r w:rsidRPr="00835AA1">
        <w:rPr>
          <w:lang w:val="fr-FR"/>
        </w:rPr>
        <w:t>2019, le Groupe de travail sur le développement juridique du système de Madrid concernant l</w:t>
      </w:r>
      <w:r w:rsidR="002E3178" w:rsidRPr="00835AA1">
        <w:rPr>
          <w:lang w:val="fr-FR"/>
        </w:rPr>
        <w:t>’</w:t>
      </w:r>
      <w:r w:rsidRPr="00835AA1">
        <w:rPr>
          <w:lang w:val="fr-FR"/>
        </w:rPr>
        <w:t>enregistrement international des marques a examiné l</w:t>
      </w:r>
      <w:r w:rsidR="002E3178" w:rsidRPr="00835AA1">
        <w:rPr>
          <w:lang w:val="fr-FR"/>
        </w:rPr>
        <w:t>’</w:t>
      </w:r>
      <w:r w:rsidRPr="00835AA1">
        <w:rPr>
          <w:lang w:val="fr-FR"/>
        </w:rPr>
        <w:t>introduction éventuelle de l</w:t>
      </w:r>
      <w:r w:rsidR="002E3178" w:rsidRPr="00835AA1">
        <w:rPr>
          <w:lang w:val="fr-FR"/>
        </w:rPr>
        <w:t>’</w:t>
      </w:r>
      <w:r w:rsidRPr="00835AA1">
        <w:rPr>
          <w:lang w:val="fr-FR"/>
        </w:rPr>
        <w:t>arabe, du chinois et du russe dans le système de Madr</w:t>
      </w:r>
      <w:r w:rsidR="00A541B2" w:rsidRPr="00835AA1">
        <w:rPr>
          <w:lang w:val="fr-FR"/>
        </w:rPr>
        <w:t>id.  Le</w:t>
      </w:r>
      <w:r w:rsidRPr="00835AA1">
        <w:rPr>
          <w:lang w:val="fr-FR"/>
        </w:rPr>
        <w:t xml:space="preserve"> Groupe de travail sur le développement juridique du système de Madrid a demandé au Bureau international d</w:t>
      </w:r>
      <w:r w:rsidR="002E3178" w:rsidRPr="00835AA1">
        <w:rPr>
          <w:lang w:val="fr-FR"/>
        </w:rPr>
        <w:t>’</w:t>
      </w:r>
      <w:r w:rsidRPr="00835AA1">
        <w:rPr>
          <w:lang w:val="fr-FR"/>
        </w:rPr>
        <w:t>établir une étude détaillée des incidences financières et de la faisabilité technique de l</w:t>
      </w:r>
      <w:r w:rsidR="002E3178" w:rsidRPr="00835AA1">
        <w:rPr>
          <w:lang w:val="fr-FR"/>
        </w:rPr>
        <w:t>’</w:t>
      </w:r>
      <w:r w:rsidRPr="00835AA1">
        <w:rPr>
          <w:lang w:val="fr-FR"/>
        </w:rPr>
        <w:t>introduction progressive de ces langues dans le système de Madr</w:t>
      </w:r>
      <w:r w:rsidR="00A541B2" w:rsidRPr="00835AA1">
        <w:rPr>
          <w:lang w:val="fr-FR"/>
        </w:rPr>
        <w:t xml:space="preserve">id.  À </w:t>
      </w:r>
      <w:r w:rsidRPr="00835AA1">
        <w:rPr>
          <w:lang w:val="fr-FR"/>
        </w:rPr>
        <w:t>sa dix</w:t>
      </w:r>
      <w:r w:rsidR="003813B1" w:rsidRPr="00835AA1">
        <w:rPr>
          <w:lang w:val="fr-FR"/>
        </w:rPr>
        <w:noBreakHyphen/>
      </w:r>
      <w:r w:rsidRPr="00835AA1">
        <w:rPr>
          <w:lang w:val="fr-FR"/>
        </w:rPr>
        <w:t>huit</w:t>
      </w:r>
      <w:r w:rsidR="002E3178" w:rsidRPr="00835AA1">
        <w:rPr>
          <w:lang w:val="fr-FR"/>
        </w:rPr>
        <w:t>ième session</w:t>
      </w:r>
      <w:r w:rsidRPr="00835AA1">
        <w:rPr>
          <w:lang w:val="fr-FR"/>
        </w:rPr>
        <w:t xml:space="preserve"> en octobre</w:t>
      </w:r>
      <w:r w:rsidR="001D2116" w:rsidRPr="00835AA1">
        <w:rPr>
          <w:lang w:val="fr-FR"/>
        </w:rPr>
        <w:t> </w:t>
      </w:r>
      <w:r w:rsidRPr="00835AA1">
        <w:rPr>
          <w:lang w:val="fr-FR"/>
        </w:rPr>
        <w:t>2020, le Groupe de travail sur le développement juridique du système de Madrid a examiné cette étude détaillée (</w:t>
      </w:r>
      <w:r w:rsidR="002E3178" w:rsidRPr="00835AA1">
        <w:rPr>
          <w:lang w:val="fr-FR"/>
        </w:rPr>
        <w:t>document MM</w:t>
      </w:r>
      <w:r w:rsidRPr="00835AA1">
        <w:rPr>
          <w:lang w:val="fr-FR"/>
        </w:rPr>
        <w:t>/LD/WG/18/5).</w:t>
      </w:r>
    </w:p>
    <w:p w14:paraId="75B59940" w14:textId="36EB179E" w:rsidR="00A419D0" w:rsidRDefault="00A419D0" w:rsidP="00A419D0">
      <w:pPr>
        <w:pStyle w:val="ONUMFS"/>
        <w:numPr>
          <w:ilvl w:val="0"/>
          <w:numId w:val="0"/>
        </w:numPr>
        <w:rPr>
          <w:lang w:val="fr-FR"/>
        </w:rPr>
      </w:pPr>
    </w:p>
    <w:p w14:paraId="73F5C6D0" w14:textId="77777777" w:rsidR="00A419D0" w:rsidRPr="00835AA1" w:rsidRDefault="00A419D0" w:rsidP="00A419D0">
      <w:pPr>
        <w:pStyle w:val="ONUMFS"/>
        <w:numPr>
          <w:ilvl w:val="0"/>
          <w:numId w:val="0"/>
        </w:numPr>
        <w:rPr>
          <w:lang w:val="fr-FR"/>
        </w:rPr>
      </w:pPr>
    </w:p>
    <w:p w14:paraId="0947F755" w14:textId="77777777" w:rsidR="008844A6" w:rsidRPr="00835AA1" w:rsidRDefault="00EF1F35" w:rsidP="003813B1">
      <w:pPr>
        <w:pStyle w:val="ONUMFS"/>
        <w:rPr>
          <w:lang w:val="fr-FR"/>
        </w:rPr>
      </w:pPr>
      <w:r w:rsidRPr="00835AA1">
        <w:rPr>
          <w:lang w:val="fr-FR"/>
        </w:rPr>
        <w:lastRenderedPageBreak/>
        <w:t>Ce document proposait l</w:t>
      </w:r>
      <w:r w:rsidR="002E3178" w:rsidRPr="00835AA1">
        <w:rPr>
          <w:lang w:val="fr-FR"/>
        </w:rPr>
        <w:t>’</w:t>
      </w:r>
      <w:r w:rsidRPr="00835AA1">
        <w:rPr>
          <w:lang w:val="fr-FR"/>
        </w:rPr>
        <w:t>ajout de ces trois</w:t>
      </w:r>
      <w:r w:rsidR="00CE11BA" w:rsidRPr="00835AA1">
        <w:rPr>
          <w:lang w:val="fr-FR"/>
        </w:rPr>
        <w:t> </w:t>
      </w:r>
      <w:r w:rsidRPr="00835AA1">
        <w:rPr>
          <w:lang w:val="fr-FR"/>
        </w:rPr>
        <w:t>langues en tant que langues de dép</w:t>
      </w:r>
      <w:r w:rsidR="00A541B2" w:rsidRPr="00835AA1">
        <w:rPr>
          <w:lang w:val="fr-FR"/>
        </w:rPr>
        <w:t>ôt.  Il</w:t>
      </w:r>
      <w:r w:rsidR="00E70820" w:rsidRPr="00835AA1">
        <w:rPr>
          <w:lang w:val="fr-FR"/>
        </w:rPr>
        <w:t xml:space="preserve"> convient de noter que l</w:t>
      </w:r>
      <w:r w:rsidR="002E3178" w:rsidRPr="00835AA1">
        <w:rPr>
          <w:lang w:val="fr-FR"/>
        </w:rPr>
        <w:t>’</w:t>
      </w:r>
      <w:r w:rsidR="00E70820" w:rsidRPr="00835AA1">
        <w:rPr>
          <w:lang w:val="fr-FR"/>
        </w:rPr>
        <w:t>option de la langue de dépôt (option</w:t>
      </w:r>
      <w:r w:rsidR="007A7ECE" w:rsidRPr="00835AA1">
        <w:rPr>
          <w:lang w:val="fr-FR"/>
        </w:rPr>
        <w:t> </w:t>
      </w:r>
      <w:r w:rsidR="001D2116" w:rsidRPr="00835AA1">
        <w:rPr>
          <w:lang w:val="fr-FR"/>
        </w:rPr>
        <w:t>“</w:t>
      </w:r>
      <w:r w:rsidR="00E70820" w:rsidRPr="00835AA1">
        <w:rPr>
          <w:lang w:val="fr-FR"/>
        </w:rPr>
        <w:t>A</w:t>
      </w:r>
      <w:r w:rsidR="001D2116" w:rsidRPr="00835AA1">
        <w:rPr>
          <w:lang w:val="fr-FR"/>
        </w:rPr>
        <w:t>”</w:t>
      </w:r>
      <w:r w:rsidR="00E70820" w:rsidRPr="00835AA1">
        <w:rPr>
          <w:lang w:val="fr-FR"/>
        </w:rPr>
        <w:t>) correspond dans une large mesure à cette opti</w:t>
      </w:r>
      <w:r w:rsidR="00A541B2" w:rsidRPr="00835AA1">
        <w:rPr>
          <w:lang w:val="fr-FR"/>
        </w:rPr>
        <w:t>on.  Ap</w:t>
      </w:r>
      <w:r w:rsidR="00E70820" w:rsidRPr="00835AA1">
        <w:rPr>
          <w:lang w:val="fr-FR"/>
        </w:rPr>
        <w:t>rès l</w:t>
      </w:r>
      <w:r w:rsidR="002E3178" w:rsidRPr="00835AA1">
        <w:rPr>
          <w:lang w:val="fr-FR"/>
        </w:rPr>
        <w:t>’</w:t>
      </w:r>
      <w:r w:rsidR="00E70820" w:rsidRPr="00835AA1">
        <w:rPr>
          <w:lang w:val="fr-FR"/>
        </w:rPr>
        <w:t>examen dudit document, le Groupe de travail sur le développement juridique du système de Madrid a demandé au Bureau international d</w:t>
      </w:r>
      <w:r w:rsidR="002E3178" w:rsidRPr="00835AA1">
        <w:rPr>
          <w:lang w:val="fr-FR"/>
        </w:rPr>
        <w:t>’</w:t>
      </w:r>
      <w:r w:rsidR="00E70820" w:rsidRPr="00835AA1">
        <w:rPr>
          <w:lang w:val="fr-FR"/>
        </w:rPr>
        <w:t>établir une étude révisée afin de traiter les questions soulevées par les délégations, et de tenir des consultations avant sa prochaine session.</w:t>
      </w:r>
    </w:p>
    <w:p w14:paraId="28E828BC" w14:textId="77777777" w:rsidR="008844A6" w:rsidRPr="00835AA1" w:rsidRDefault="00E70820" w:rsidP="00B34648">
      <w:pPr>
        <w:pStyle w:val="Heading2"/>
      </w:pPr>
      <w:r w:rsidRPr="00835AA1">
        <w:t>Proposition présentée par la délégation de la République de Corée</w:t>
      </w:r>
    </w:p>
    <w:p w14:paraId="6D6F7841" w14:textId="77777777" w:rsidR="008844A6" w:rsidRPr="00835AA1" w:rsidRDefault="00E70820" w:rsidP="003813B1">
      <w:pPr>
        <w:pStyle w:val="ONUMFS"/>
        <w:rPr>
          <w:lang w:val="fr-FR"/>
        </w:rPr>
      </w:pPr>
      <w:r w:rsidRPr="00835AA1">
        <w:rPr>
          <w:lang w:val="fr-FR"/>
        </w:rPr>
        <w:t>Il est également rappelé que, à la précédente session du groupe de travail, la délégation de la République de Corée a proposé d</w:t>
      </w:r>
      <w:r w:rsidR="002E3178" w:rsidRPr="00835AA1">
        <w:rPr>
          <w:lang w:val="fr-FR"/>
        </w:rPr>
        <w:t>’</w:t>
      </w:r>
      <w:r w:rsidRPr="00835AA1">
        <w:rPr>
          <w:lang w:val="fr-FR"/>
        </w:rPr>
        <w:t xml:space="preserve">inclure le coréen comme langue de dépôt dans le système de </w:t>
      </w:r>
      <w:r w:rsidR="002E3178" w:rsidRPr="00835AA1">
        <w:rPr>
          <w:lang w:val="fr-FR"/>
        </w:rPr>
        <w:t>La Ha</w:t>
      </w:r>
      <w:r w:rsidR="00A541B2" w:rsidRPr="00835AA1">
        <w:rPr>
          <w:lang w:val="fr-FR"/>
        </w:rPr>
        <w:t>ye.  Su</w:t>
      </w:r>
      <w:r w:rsidRPr="00835AA1">
        <w:rPr>
          <w:lang w:val="fr-FR"/>
        </w:rPr>
        <w:t>r instruction du groupe de travail, le Bureau international a établi le document H/LD/WG/9/5</w:t>
      </w:r>
      <w:r w:rsidR="001D2116" w:rsidRPr="00835AA1">
        <w:rPr>
          <w:lang w:val="fr-FR"/>
        </w:rPr>
        <w:t> </w:t>
      </w:r>
      <w:r w:rsidRPr="00835AA1">
        <w:rPr>
          <w:lang w:val="fr-FR"/>
        </w:rPr>
        <w:t xml:space="preserve">intitulé </w:t>
      </w:r>
      <w:r w:rsidR="001D2116" w:rsidRPr="00835AA1">
        <w:rPr>
          <w:lang w:val="fr-FR"/>
        </w:rPr>
        <w:t>“</w:t>
      </w:r>
      <w:r w:rsidRPr="00835AA1">
        <w:rPr>
          <w:lang w:val="fr-FR"/>
        </w:rPr>
        <w:t xml:space="preserve">Critères de sélection de langues supplémentaires à introduire dans le système de </w:t>
      </w:r>
      <w:r w:rsidR="002E3178" w:rsidRPr="00835AA1">
        <w:rPr>
          <w:lang w:val="fr-FR"/>
        </w:rPr>
        <w:t>La Haye</w:t>
      </w:r>
      <w:r w:rsidR="001D2116" w:rsidRPr="00835AA1">
        <w:rPr>
          <w:lang w:val="fr-FR"/>
        </w:rPr>
        <w:t>”</w:t>
      </w:r>
      <w:r w:rsidRPr="00835AA1">
        <w:rPr>
          <w:lang w:val="fr-FR"/>
        </w:rPr>
        <w:t xml:space="preserve"> pour examen à la présente session.</w:t>
      </w:r>
    </w:p>
    <w:p w14:paraId="68654C26" w14:textId="77777777" w:rsidR="008844A6" w:rsidRPr="00835AA1" w:rsidRDefault="00D241BF" w:rsidP="007A7ECE">
      <w:pPr>
        <w:pStyle w:val="ONUMFS"/>
        <w:tabs>
          <w:tab w:val="left" w:pos="6096"/>
        </w:tabs>
        <w:ind w:left="5533"/>
        <w:rPr>
          <w:i/>
          <w:lang w:val="fr-FR"/>
        </w:rPr>
      </w:pPr>
      <w:r w:rsidRPr="00835AA1">
        <w:rPr>
          <w:i/>
          <w:lang w:val="fr-FR"/>
        </w:rPr>
        <w:t>Le groupe de travail est invité</w:t>
      </w:r>
    </w:p>
    <w:p w14:paraId="1127356F" w14:textId="722632CB" w:rsidR="008844A6" w:rsidRPr="00835AA1" w:rsidRDefault="00D241BF" w:rsidP="007A7ECE">
      <w:pPr>
        <w:pStyle w:val="ONUMFS"/>
        <w:numPr>
          <w:ilvl w:val="2"/>
          <w:numId w:val="3"/>
        </w:numPr>
        <w:tabs>
          <w:tab w:val="left" w:pos="6663"/>
        </w:tabs>
        <w:ind w:left="6096"/>
        <w:rPr>
          <w:i/>
          <w:lang w:val="fr-FR"/>
        </w:rPr>
      </w:pPr>
      <w:r w:rsidRPr="00835AA1">
        <w:rPr>
          <w:i/>
          <w:lang w:val="fr-FR"/>
        </w:rPr>
        <w:t>à examiner le contenu présenté dans le présent document et à faire part de ses observations à cet égard</w:t>
      </w:r>
      <w:r w:rsidR="002B067A">
        <w:rPr>
          <w:i/>
          <w:lang w:val="fr-FR"/>
        </w:rPr>
        <w:t xml:space="preserve"> ; </w:t>
      </w:r>
      <w:r w:rsidR="007B26C3" w:rsidRPr="00835AA1">
        <w:rPr>
          <w:i/>
          <w:lang w:val="fr-FR"/>
        </w:rPr>
        <w:t xml:space="preserve"> </w:t>
      </w:r>
      <w:r w:rsidRPr="00835AA1">
        <w:rPr>
          <w:i/>
          <w:lang w:val="fr-FR"/>
        </w:rPr>
        <w:t>et</w:t>
      </w:r>
    </w:p>
    <w:p w14:paraId="28399ED2" w14:textId="77777777" w:rsidR="008844A6" w:rsidRPr="00835AA1" w:rsidRDefault="00D241BF" w:rsidP="007A7ECE">
      <w:pPr>
        <w:pStyle w:val="ONUMFS"/>
        <w:numPr>
          <w:ilvl w:val="2"/>
          <w:numId w:val="3"/>
        </w:numPr>
        <w:tabs>
          <w:tab w:val="left" w:pos="6663"/>
        </w:tabs>
        <w:ind w:left="6096"/>
        <w:rPr>
          <w:i/>
          <w:lang w:val="fr-FR"/>
        </w:rPr>
      </w:pPr>
      <w:r w:rsidRPr="00835AA1">
        <w:rPr>
          <w:i/>
          <w:lang w:val="fr-FR"/>
        </w:rPr>
        <w:t>à donner des orientations au Bureau international sur une manière possible de procéder pour l</w:t>
      </w:r>
      <w:r w:rsidR="002E3178" w:rsidRPr="00835AA1">
        <w:rPr>
          <w:i/>
          <w:lang w:val="fr-FR"/>
        </w:rPr>
        <w:t>’</w:t>
      </w:r>
      <w:r w:rsidRPr="00835AA1">
        <w:rPr>
          <w:i/>
          <w:lang w:val="fr-FR"/>
        </w:rPr>
        <w:t>avenir.</w:t>
      </w:r>
    </w:p>
    <w:p w14:paraId="458E9A4E" w14:textId="77777777" w:rsidR="008844A6" w:rsidRPr="00835AA1" w:rsidRDefault="00D241BF" w:rsidP="00D241BF">
      <w:pPr>
        <w:pStyle w:val="Endofdocument-Annex"/>
        <w:rPr>
          <w:lang w:val="fr-FR"/>
        </w:rPr>
      </w:pPr>
      <w:r w:rsidRPr="00835AA1">
        <w:rPr>
          <w:lang w:val="fr-FR"/>
        </w:rPr>
        <w:t>[Les annexes suivent]</w:t>
      </w:r>
    </w:p>
    <w:p w14:paraId="0AC28F23" w14:textId="77777777" w:rsidR="00E7402F" w:rsidRPr="00835AA1" w:rsidRDefault="00DF78FD">
      <w:pPr>
        <w:rPr>
          <w:b/>
          <w:bCs/>
          <w:caps/>
          <w:kern w:val="32"/>
          <w:szCs w:val="32"/>
          <w:lang w:val="fr-FR"/>
        </w:rPr>
        <w:sectPr w:rsidR="00E7402F" w:rsidRPr="00835AA1" w:rsidSect="004D1738">
          <w:headerReference w:type="default" r:id="rId9"/>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r w:rsidRPr="00835AA1">
        <w:rPr>
          <w:b/>
          <w:bCs/>
          <w:caps/>
          <w:kern w:val="32"/>
          <w:szCs w:val="32"/>
          <w:lang w:val="fr-FR"/>
        </w:rPr>
        <w:br w:type="page"/>
      </w:r>
    </w:p>
    <w:p w14:paraId="64F9DB4C" w14:textId="1A8CD3D6" w:rsidR="00790512" w:rsidRPr="00835AA1" w:rsidRDefault="001D2116" w:rsidP="00D241BF">
      <w:pPr>
        <w:pStyle w:val="Heading1"/>
        <w:numPr>
          <w:ilvl w:val="0"/>
          <w:numId w:val="0"/>
        </w:numPr>
        <w:spacing w:before="0"/>
        <w:rPr>
          <w:lang w:val="fr-FR"/>
        </w:rPr>
      </w:pPr>
      <w:r w:rsidRPr="00835AA1">
        <w:rPr>
          <w:lang w:val="fr-FR"/>
        </w:rPr>
        <w:lastRenderedPageBreak/>
        <w:t>Annexe I</w:t>
      </w:r>
      <w:r w:rsidR="002E3178" w:rsidRPr="00835AA1">
        <w:rPr>
          <w:lang w:val="fr-FR"/>
        </w:rPr>
        <w:t> :</w:t>
      </w:r>
      <w:r w:rsidR="00D241BF" w:rsidRPr="00835AA1">
        <w:rPr>
          <w:lang w:val="fr-FR"/>
        </w:rPr>
        <w:t xml:space="preserve"> </w:t>
      </w:r>
      <w:r w:rsidR="0032283C">
        <w:rPr>
          <w:lang w:val="fr-FR"/>
        </w:rPr>
        <w:t>É</w:t>
      </w:r>
      <w:r w:rsidR="00D241BF" w:rsidRPr="00835AA1">
        <w:rPr>
          <w:lang w:val="fr-FR"/>
        </w:rPr>
        <w:t>valuation de la disponibilit</w:t>
      </w:r>
      <w:r w:rsidR="0032283C">
        <w:rPr>
          <w:lang w:val="fr-FR"/>
        </w:rPr>
        <w:t>É</w:t>
      </w:r>
      <w:r w:rsidR="00D241BF" w:rsidRPr="00835AA1">
        <w:rPr>
          <w:lang w:val="fr-FR"/>
        </w:rPr>
        <w:t xml:space="preserve"> des supports et outils concernant le syst</w:t>
      </w:r>
      <w:r w:rsidR="0032283C">
        <w:rPr>
          <w:lang w:val="fr-FR"/>
        </w:rPr>
        <w:t>È</w:t>
      </w:r>
      <w:r w:rsidR="00D241BF" w:rsidRPr="00835AA1">
        <w:rPr>
          <w:lang w:val="fr-FR"/>
        </w:rPr>
        <w:t xml:space="preserve">me de </w:t>
      </w:r>
      <w:r w:rsidR="002E3178" w:rsidRPr="00835AA1">
        <w:rPr>
          <w:lang w:val="fr-FR"/>
        </w:rPr>
        <w:t>La Haye</w:t>
      </w:r>
      <w:r w:rsidR="00D241BF" w:rsidRPr="00835AA1">
        <w:rPr>
          <w:lang w:val="fr-FR"/>
        </w:rPr>
        <w:t xml:space="preserve"> en français, anglais, chinois, espagnol et russe </w:t>
      </w:r>
    </w:p>
    <w:tbl>
      <w:tblPr>
        <w:tblW w:w="9795" w:type="dxa"/>
        <w:tblInd w:w="-365" w:type="dxa"/>
        <w:tblLayout w:type="fixed"/>
        <w:tblLook w:val="04A0" w:firstRow="1" w:lastRow="0" w:firstColumn="1" w:lastColumn="0" w:noHBand="0" w:noVBand="1"/>
      </w:tblPr>
      <w:tblGrid>
        <w:gridCol w:w="704"/>
        <w:gridCol w:w="3151"/>
        <w:gridCol w:w="1260"/>
        <w:gridCol w:w="1260"/>
        <w:gridCol w:w="1170"/>
        <w:gridCol w:w="955"/>
        <w:gridCol w:w="1295"/>
      </w:tblGrid>
      <w:tr w:rsidR="00A541B2" w:rsidRPr="00835AA1" w14:paraId="7D94EF93" w14:textId="77777777" w:rsidTr="00A419D0">
        <w:trPr>
          <w:trHeight w:val="810"/>
          <w:tblHeader/>
        </w:trPr>
        <w:tc>
          <w:tcPr>
            <w:tcW w:w="3855"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5EEB8B" w14:textId="77777777" w:rsidR="00E11F83" w:rsidRPr="00835AA1" w:rsidRDefault="00D241BF" w:rsidP="00D241BF">
            <w:pPr>
              <w:rPr>
                <w:b/>
                <w:szCs w:val="22"/>
                <w:lang w:val="fr-FR"/>
              </w:rPr>
            </w:pPr>
            <w:r w:rsidRPr="00835AA1">
              <w:rPr>
                <w:b/>
                <w:szCs w:val="22"/>
                <w:lang w:val="fr-FR"/>
              </w:rPr>
              <w:t>Supports ou outils</w:t>
            </w:r>
          </w:p>
        </w:tc>
        <w:tc>
          <w:tcPr>
            <w:tcW w:w="1260" w:type="dxa"/>
            <w:tcBorders>
              <w:top w:val="single" w:sz="4" w:space="0" w:color="auto"/>
              <w:left w:val="nil"/>
              <w:bottom w:val="single" w:sz="4" w:space="0" w:color="auto"/>
              <w:right w:val="single" w:sz="4" w:space="0" w:color="auto"/>
            </w:tcBorders>
            <w:shd w:val="clear" w:color="000000" w:fill="FFFFFF"/>
            <w:noWrap/>
            <w:vAlign w:val="center"/>
            <w:hideMark/>
          </w:tcPr>
          <w:p w14:paraId="347F13C8" w14:textId="77777777" w:rsidR="00E11F83" w:rsidRPr="00835AA1" w:rsidRDefault="00D241BF" w:rsidP="00D241BF">
            <w:pPr>
              <w:jc w:val="center"/>
              <w:rPr>
                <w:b/>
                <w:bCs/>
                <w:szCs w:val="22"/>
                <w:lang w:val="fr-FR"/>
              </w:rPr>
            </w:pPr>
            <w:r w:rsidRPr="00835AA1">
              <w:rPr>
                <w:b/>
                <w:bCs/>
                <w:szCs w:val="22"/>
                <w:lang w:val="fr-FR"/>
              </w:rPr>
              <w:t>Anglais</w:t>
            </w:r>
          </w:p>
        </w:tc>
        <w:tc>
          <w:tcPr>
            <w:tcW w:w="1260" w:type="dxa"/>
            <w:tcBorders>
              <w:top w:val="single" w:sz="4" w:space="0" w:color="auto"/>
              <w:left w:val="nil"/>
              <w:bottom w:val="single" w:sz="4" w:space="0" w:color="auto"/>
              <w:right w:val="single" w:sz="4" w:space="0" w:color="auto"/>
            </w:tcBorders>
            <w:shd w:val="clear" w:color="000000" w:fill="FFFFFF"/>
            <w:noWrap/>
            <w:vAlign w:val="center"/>
            <w:hideMark/>
          </w:tcPr>
          <w:p w14:paraId="0A26A2CC" w14:textId="77777777" w:rsidR="00E11F83" w:rsidRPr="00835AA1" w:rsidRDefault="00835AA1" w:rsidP="00D241BF">
            <w:pPr>
              <w:jc w:val="center"/>
              <w:rPr>
                <w:b/>
                <w:bCs/>
                <w:szCs w:val="22"/>
                <w:lang w:val="fr-FR"/>
              </w:rPr>
            </w:pPr>
            <w:r w:rsidRPr="00835AA1">
              <w:rPr>
                <w:b/>
                <w:bCs/>
                <w:szCs w:val="22"/>
                <w:lang w:val="fr-FR"/>
              </w:rPr>
              <w:t>Chinois</w:t>
            </w:r>
          </w:p>
        </w:tc>
        <w:tc>
          <w:tcPr>
            <w:tcW w:w="1170" w:type="dxa"/>
            <w:tcBorders>
              <w:top w:val="single" w:sz="4" w:space="0" w:color="auto"/>
              <w:left w:val="nil"/>
              <w:bottom w:val="single" w:sz="4" w:space="0" w:color="auto"/>
              <w:right w:val="single" w:sz="4" w:space="0" w:color="auto"/>
            </w:tcBorders>
            <w:shd w:val="clear" w:color="000000" w:fill="FFFFFF"/>
            <w:noWrap/>
            <w:vAlign w:val="center"/>
            <w:hideMark/>
          </w:tcPr>
          <w:p w14:paraId="07401600" w14:textId="77777777" w:rsidR="00E11F83" w:rsidRPr="00835AA1" w:rsidRDefault="00D241BF" w:rsidP="00D241BF">
            <w:pPr>
              <w:jc w:val="center"/>
              <w:rPr>
                <w:b/>
                <w:bCs/>
                <w:szCs w:val="22"/>
                <w:lang w:val="fr-FR"/>
              </w:rPr>
            </w:pPr>
            <w:r w:rsidRPr="00835AA1">
              <w:rPr>
                <w:b/>
                <w:bCs/>
                <w:szCs w:val="22"/>
                <w:lang w:val="fr-FR"/>
              </w:rPr>
              <w:t>Français</w:t>
            </w:r>
          </w:p>
        </w:tc>
        <w:tc>
          <w:tcPr>
            <w:tcW w:w="955" w:type="dxa"/>
            <w:tcBorders>
              <w:top w:val="single" w:sz="4" w:space="0" w:color="auto"/>
              <w:left w:val="nil"/>
              <w:bottom w:val="single" w:sz="4" w:space="0" w:color="auto"/>
              <w:right w:val="single" w:sz="4" w:space="0" w:color="auto"/>
            </w:tcBorders>
            <w:shd w:val="clear" w:color="000000" w:fill="FFFFFF"/>
            <w:noWrap/>
            <w:vAlign w:val="center"/>
            <w:hideMark/>
          </w:tcPr>
          <w:p w14:paraId="40989FB8" w14:textId="77777777" w:rsidR="00E11F83" w:rsidRPr="00835AA1" w:rsidRDefault="00D241BF" w:rsidP="005F577F">
            <w:pPr>
              <w:jc w:val="center"/>
              <w:rPr>
                <w:b/>
                <w:bCs/>
                <w:szCs w:val="22"/>
                <w:lang w:val="fr-FR"/>
              </w:rPr>
            </w:pPr>
            <w:r w:rsidRPr="00835AA1">
              <w:rPr>
                <w:b/>
                <w:bCs/>
                <w:szCs w:val="22"/>
                <w:lang w:val="fr-FR"/>
              </w:rPr>
              <w:t>Russe</w:t>
            </w:r>
          </w:p>
        </w:tc>
        <w:tc>
          <w:tcPr>
            <w:tcW w:w="1295" w:type="dxa"/>
            <w:tcBorders>
              <w:top w:val="single" w:sz="4" w:space="0" w:color="auto"/>
              <w:left w:val="nil"/>
              <w:bottom w:val="single" w:sz="4" w:space="0" w:color="auto"/>
              <w:right w:val="single" w:sz="4" w:space="0" w:color="auto"/>
            </w:tcBorders>
            <w:shd w:val="clear" w:color="000000" w:fill="FFFFFF"/>
            <w:noWrap/>
            <w:vAlign w:val="center"/>
            <w:hideMark/>
          </w:tcPr>
          <w:p w14:paraId="3A3425A5" w14:textId="77777777" w:rsidR="00E11F83" w:rsidRPr="00835AA1" w:rsidRDefault="00D241BF" w:rsidP="00D241BF">
            <w:pPr>
              <w:jc w:val="center"/>
              <w:rPr>
                <w:b/>
                <w:bCs/>
                <w:szCs w:val="22"/>
                <w:lang w:val="fr-FR"/>
              </w:rPr>
            </w:pPr>
            <w:r w:rsidRPr="00835AA1">
              <w:rPr>
                <w:b/>
                <w:bCs/>
                <w:szCs w:val="22"/>
                <w:lang w:val="fr-FR"/>
              </w:rPr>
              <w:t>Espagnol</w:t>
            </w:r>
          </w:p>
        </w:tc>
      </w:tr>
      <w:tr w:rsidR="00A541B2" w:rsidRPr="00A50943" w14:paraId="05BDE6ED" w14:textId="77777777" w:rsidTr="00A419D0">
        <w:trPr>
          <w:trHeight w:val="405"/>
        </w:trPr>
        <w:tc>
          <w:tcPr>
            <w:tcW w:w="9795" w:type="dxa"/>
            <w:gridSpan w:val="7"/>
            <w:tcBorders>
              <w:top w:val="nil"/>
              <w:left w:val="single" w:sz="4" w:space="0" w:color="auto"/>
              <w:bottom w:val="single" w:sz="4" w:space="0" w:color="auto"/>
              <w:right w:val="single" w:sz="4" w:space="0" w:color="auto"/>
            </w:tcBorders>
            <w:shd w:val="clear" w:color="000000" w:fill="FFFFFF"/>
            <w:noWrap/>
            <w:vAlign w:val="center"/>
          </w:tcPr>
          <w:p w14:paraId="55B7C2ED" w14:textId="77777777" w:rsidR="00E11F83" w:rsidRPr="00835AA1" w:rsidRDefault="00D241BF" w:rsidP="005F577F">
            <w:pPr>
              <w:rPr>
                <w:b/>
                <w:szCs w:val="22"/>
                <w:lang w:val="fr-FR"/>
              </w:rPr>
            </w:pPr>
            <w:r w:rsidRPr="00835AA1">
              <w:rPr>
                <w:b/>
                <w:szCs w:val="22"/>
                <w:lang w:val="fr-FR"/>
              </w:rPr>
              <w:t xml:space="preserve">Toutes les options nécessitent </w:t>
            </w:r>
            <w:r w:rsidR="005F577F" w:rsidRPr="00835AA1">
              <w:rPr>
                <w:b/>
                <w:szCs w:val="22"/>
                <w:lang w:val="fr-FR"/>
              </w:rPr>
              <w:t>qu</w:t>
            </w:r>
            <w:r w:rsidRPr="00835AA1">
              <w:rPr>
                <w:b/>
                <w:szCs w:val="22"/>
                <w:lang w:val="fr-FR"/>
              </w:rPr>
              <w:t>e ces éléments</w:t>
            </w:r>
            <w:r w:rsidR="005F577F" w:rsidRPr="00835AA1">
              <w:rPr>
                <w:b/>
                <w:szCs w:val="22"/>
                <w:lang w:val="fr-FR"/>
              </w:rPr>
              <w:t xml:space="preserve"> soient disponibles</w:t>
            </w:r>
            <w:r w:rsidRPr="00835AA1">
              <w:rPr>
                <w:b/>
                <w:szCs w:val="22"/>
                <w:lang w:val="fr-FR"/>
              </w:rPr>
              <w:t xml:space="preserve"> dans les nouvelles langues pour </w:t>
            </w:r>
            <w:r w:rsidR="005F577F" w:rsidRPr="00835AA1">
              <w:rPr>
                <w:b/>
                <w:szCs w:val="22"/>
                <w:lang w:val="fr-FR"/>
              </w:rPr>
              <w:t xml:space="preserve">être </w:t>
            </w:r>
            <w:r w:rsidRPr="00835AA1">
              <w:rPr>
                <w:b/>
                <w:szCs w:val="22"/>
                <w:lang w:val="fr-FR"/>
              </w:rPr>
              <w:t>mise</w:t>
            </w:r>
            <w:r w:rsidR="005F577F" w:rsidRPr="00835AA1">
              <w:rPr>
                <w:b/>
                <w:szCs w:val="22"/>
                <w:lang w:val="fr-FR"/>
              </w:rPr>
              <w:t>s</w:t>
            </w:r>
            <w:r w:rsidRPr="00835AA1">
              <w:rPr>
                <w:b/>
                <w:szCs w:val="22"/>
                <w:lang w:val="fr-FR"/>
              </w:rPr>
              <w:t xml:space="preserve"> en </w:t>
            </w:r>
            <w:r w:rsidR="005F577F" w:rsidRPr="00835AA1">
              <w:rPr>
                <w:b/>
                <w:szCs w:val="22"/>
                <w:lang w:val="fr-FR"/>
              </w:rPr>
              <w:t>œuvre</w:t>
            </w:r>
          </w:p>
        </w:tc>
      </w:tr>
      <w:tr w:rsidR="00A541B2" w:rsidRPr="00835AA1" w14:paraId="63A599ED" w14:textId="77777777" w:rsidTr="00A419D0">
        <w:trPr>
          <w:trHeight w:val="405"/>
        </w:trPr>
        <w:tc>
          <w:tcPr>
            <w:tcW w:w="704" w:type="dxa"/>
            <w:tcBorders>
              <w:top w:val="nil"/>
              <w:left w:val="single" w:sz="4" w:space="0" w:color="auto"/>
              <w:bottom w:val="single" w:sz="4" w:space="0" w:color="auto"/>
              <w:right w:val="single" w:sz="4" w:space="0" w:color="auto"/>
            </w:tcBorders>
            <w:shd w:val="clear" w:color="000000" w:fill="FFFFFF"/>
            <w:noWrap/>
            <w:vAlign w:val="center"/>
          </w:tcPr>
          <w:p w14:paraId="6150C9FE" w14:textId="77777777" w:rsidR="00E11F83" w:rsidRPr="00835AA1" w:rsidRDefault="00E11F83" w:rsidP="001D52BE">
            <w:pPr>
              <w:jc w:val="center"/>
              <w:rPr>
                <w:szCs w:val="22"/>
                <w:lang w:val="fr-FR"/>
              </w:rPr>
            </w:pPr>
            <w:r w:rsidRPr="00835AA1">
              <w:rPr>
                <w:szCs w:val="22"/>
                <w:lang w:val="fr-FR"/>
              </w:rPr>
              <w:t>1)</w:t>
            </w:r>
          </w:p>
        </w:tc>
        <w:tc>
          <w:tcPr>
            <w:tcW w:w="3151" w:type="dxa"/>
            <w:tcBorders>
              <w:top w:val="nil"/>
              <w:left w:val="nil"/>
              <w:bottom w:val="single" w:sz="4" w:space="0" w:color="auto"/>
              <w:right w:val="single" w:sz="4" w:space="0" w:color="auto"/>
            </w:tcBorders>
            <w:shd w:val="clear" w:color="000000" w:fill="FFFFFF"/>
            <w:noWrap/>
            <w:vAlign w:val="center"/>
          </w:tcPr>
          <w:p w14:paraId="73620271" w14:textId="77777777" w:rsidR="00E11F83" w:rsidRPr="00835AA1" w:rsidRDefault="00D241BF" w:rsidP="00D241BF">
            <w:pPr>
              <w:rPr>
                <w:szCs w:val="22"/>
                <w:lang w:val="fr-FR"/>
              </w:rPr>
            </w:pPr>
            <w:r w:rsidRPr="00835AA1">
              <w:rPr>
                <w:szCs w:val="22"/>
                <w:lang w:val="fr-FR"/>
              </w:rPr>
              <w:t>Site</w:t>
            </w:r>
            <w:r w:rsidR="00CE11BA" w:rsidRPr="00835AA1">
              <w:rPr>
                <w:szCs w:val="22"/>
                <w:lang w:val="fr-FR"/>
              </w:rPr>
              <w:t> </w:t>
            </w:r>
            <w:r w:rsidRPr="00835AA1">
              <w:rPr>
                <w:szCs w:val="22"/>
                <w:lang w:val="fr-FR"/>
              </w:rPr>
              <w:t xml:space="preserve">Web du système de </w:t>
            </w:r>
            <w:r w:rsidR="002E3178" w:rsidRPr="00835AA1">
              <w:rPr>
                <w:szCs w:val="22"/>
                <w:lang w:val="fr-FR"/>
              </w:rPr>
              <w:t>La Haye</w:t>
            </w:r>
            <w:r w:rsidRPr="00835AA1">
              <w:rPr>
                <w:szCs w:val="22"/>
                <w:lang w:val="fr-FR"/>
              </w:rPr>
              <w:t xml:space="preserve"> (contenu général)</w:t>
            </w:r>
          </w:p>
        </w:tc>
        <w:tc>
          <w:tcPr>
            <w:tcW w:w="1260" w:type="dxa"/>
            <w:tcBorders>
              <w:top w:val="nil"/>
              <w:left w:val="nil"/>
              <w:bottom w:val="single" w:sz="4" w:space="0" w:color="auto"/>
              <w:right w:val="single" w:sz="4" w:space="0" w:color="auto"/>
            </w:tcBorders>
            <w:shd w:val="clear" w:color="000000" w:fill="FFFFFF"/>
            <w:noWrap/>
            <w:vAlign w:val="center"/>
          </w:tcPr>
          <w:p w14:paraId="12049BD8" w14:textId="77777777" w:rsidR="00E11F83" w:rsidRPr="00835AA1" w:rsidRDefault="00E11F83" w:rsidP="001D52BE">
            <w:pPr>
              <w:jc w:val="center"/>
              <w:rPr>
                <w:szCs w:val="22"/>
                <w:lang w:val="fr-FR"/>
              </w:rPr>
            </w:pPr>
            <w:r w:rsidRPr="00835AA1">
              <w:rPr>
                <w:szCs w:val="22"/>
                <w:lang w:val="fr-FR"/>
              </w:rPr>
              <w:t>X</w:t>
            </w:r>
          </w:p>
        </w:tc>
        <w:tc>
          <w:tcPr>
            <w:tcW w:w="1260" w:type="dxa"/>
            <w:tcBorders>
              <w:top w:val="nil"/>
              <w:left w:val="nil"/>
              <w:bottom w:val="single" w:sz="4" w:space="0" w:color="auto"/>
              <w:right w:val="single" w:sz="4" w:space="0" w:color="auto"/>
            </w:tcBorders>
            <w:shd w:val="clear" w:color="000000" w:fill="FFFFFF"/>
            <w:noWrap/>
            <w:vAlign w:val="center"/>
          </w:tcPr>
          <w:p w14:paraId="55DB6B6F" w14:textId="77777777" w:rsidR="00E11F83" w:rsidRPr="00835AA1" w:rsidRDefault="00E11F83" w:rsidP="001D52BE">
            <w:pPr>
              <w:jc w:val="center"/>
              <w:rPr>
                <w:szCs w:val="22"/>
                <w:lang w:val="fr-FR"/>
              </w:rPr>
            </w:pPr>
            <w:r w:rsidRPr="00835AA1">
              <w:rPr>
                <w:szCs w:val="22"/>
                <w:lang w:val="fr-FR"/>
              </w:rPr>
              <w:t>X</w:t>
            </w:r>
          </w:p>
        </w:tc>
        <w:tc>
          <w:tcPr>
            <w:tcW w:w="1170" w:type="dxa"/>
            <w:tcBorders>
              <w:top w:val="nil"/>
              <w:left w:val="nil"/>
              <w:bottom w:val="single" w:sz="4" w:space="0" w:color="auto"/>
              <w:right w:val="single" w:sz="4" w:space="0" w:color="auto"/>
            </w:tcBorders>
            <w:shd w:val="clear" w:color="000000" w:fill="FFFFFF"/>
            <w:noWrap/>
            <w:vAlign w:val="center"/>
          </w:tcPr>
          <w:p w14:paraId="5DB5637B" w14:textId="77777777" w:rsidR="00E11F83" w:rsidRPr="00835AA1" w:rsidRDefault="00E11F83" w:rsidP="001D52BE">
            <w:pPr>
              <w:jc w:val="center"/>
              <w:rPr>
                <w:szCs w:val="22"/>
                <w:lang w:val="fr-FR"/>
              </w:rPr>
            </w:pPr>
            <w:r w:rsidRPr="00835AA1">
              <w:rPr>
                <w:szCs w:val="22"/>
                <w:lang w:val="fr-FR"/>
              </w:rPr>
              <w:t>X</w:t>
            </w:r>
          </w:p>
        </w:tc>
        <w:tc>
          <w:tcPr>
            <w:tcW w:w="955" w:type="dxa"/>
            <w:tcBorders>
              <w:top w:val="nil"/>
              <w:left w:val="nil"/>
              <w:bottom w:val="single" w:sz="4" w:space="0" w:color="auto"/>
              <w:right w:val="single" w:sz="4" w:space="0" w:color="auto"/>
            </w:tcBorders>
            <w:shd w:val="clear" w:color="000000" w:fill="FFFFFF"/>
            <w:noWrap/>
            <w:vAlign w:val="center"/>
          </w:tcPr>
          <w:p w14:paraId="12B63D94" w14:textId="77777777" w:rsidR="00E11F83" w:rsidRPr="00835AA1" w:rsidRDefault="00E11F83" w:rsidP="001D52BE">
            <w:pPr>
              <w:jc w:val="center"/>
              <w:rPr>
                <w:szCs w:val="22"/>
                <w:lang w:val="fr-FR"/>
              </w:rPr>
            </w:pPr>
            <w:r w:rsidRPr="00835AA1">
              <w:rPr>
                <w:szCs w:val="22"/>
                <w:lang w:val="fr-FR"/>
              </w:rPr>
              <w:t>X</w:t>
            </w:r>
          </w:p>
        </w:tc>
        <w:tc>
          <w:tcPr>
            <w:tcW w:w="1295" w:type="dxa"/>
            <w:tcBorders>
              <w:top w:val="nil"/>
              <w:left w:val="nil"/>
              <w:bottom w:val="single" w:sz="4" w:space="0" w:color="auto"/>
              <w:right w:val="single" w:sz="4" w:space="0" w:color="auto"/>
            </w:tcBorders>
            <w:shd w:val="clear" w:color="000000" w:fill="FFFFFF"/>
            <w:noWrap/>
            <w:vAlign w:val="center"/>
          </w:tcPr>
          <w:p w14:paraId="74650CB6" w14:textId="77777777" w:rsidR="00E11F83" w:rsidRPr="00835AA1" w:rsidRDefault="00E11F83" w:rsidP="001D52BE">
            <w:pPr>
              <w:jc w:val="center"/>
              <w:rPr>
                <w:szCs w:val="22"/>
                <w:lang w:val="fr-FR"/>
              </w:rPr>
            </w:pPr>
            <w:r w:rsidRPr="00835AA1">
              <w:rPr>
                <w:szCs w:val="22"/>
                <w:lang w:val="fr-FR"/>
              </w:rPr>
              <w:t>X</w:t>
            </w:r>
          </w:p>
        </w:tc>
      </w:tr>
      <w:tr w:rsidR="00A541B2" w:rsidRPr="00835AA1" w14:paraId="59182D8F" w14:textId="77777777" w:rsidTr="00A419D0">
        <w:trPr>
          <w:trHeight w:val="40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630F0405" w14:textId="77777777" w:rsidR="00E11F83" w:rsidRPr="00835AA1" w:rsidRDefault="00E11F83" w:rsidP="001D52BE">
            <w:pPr>
              <w:jc w:val="center"/>
              <w:rPr>
                <w:szCs w:val="22"/>
                <w:lang w:val="fr-FR"/>
              </w:rPr>
            </w:pPr>
            <w:r w:rsidRPr="00835AA1">
              <w:rPr>
                <w:szCs w:val="22"/>
                <w:lang w:val="fr-FR"/>
              </w:rPr>
              <w:t>2)</w:t>
            </w:r>
          </w:p>
        </w:tc>
        <w:tc>
          <w:tcPr>
            <w:tcW w:w="3151" w:type="dxa"/>
            <w:tcBorders>
              <w:top w:val="nil"/>
              <w:left w:val="nil"/>
              <w:bottom w:val="single" w:sz="4" w:space="0" w:color="auto"/>
              <w:right w:val="single" w:sz="4" w:space="0" w:color="auto"/>
            </w:tcBorders>
            <w:shd w:val="clear" w:color="000000" w:fill="FFFFFF"/>
            <w:noWrap/>
            <w:vAlign w:val="center"/>
            <w:hideMark/>
          </w:tcPr>
          <w:p w14:paraId="521A155F" w14:textId="77777777" w:rsidR="00E11F83" w:rsidRPr="0005318F" w:rsidRDefault="00E11F83" w:rsidP="001D52BE">
            <w:pPr>
              <w:rPr>
                <w:i/>
                <w:szCs w:val="22"/>
                <w:lang w:val="fr-FR"/>
              </w:rPr>
            </w:pPr>
            <w:r w:rsidRPr="0005318F">
              <w:rPr>
                <w:i/>
                <w:szCs w:val="22"/>
                <w:lang w:val="fr-FR"/>
              </w:rPr>
              <w:t>eHague</w:t>
            </w:r>
          </w:p>
        </w:tc>
        <w:tc>
          <w:tcPr>
            <w:tcW w:w="1260" w:type="dxa"/>
            <w:tcBorders>
              <w:top w:val="nil"/>
              <w:left w:val="nil"/>
              <w:bottom w:val="single" w:sz="4" w:space="0" w:color="auto"/>
              <w:right w:val="single" w:sz="4" w:space="0" w:color="auto"/>
            </w:tcBorders>
            <w:shd w:val="clear" w:color="000000" w:fill="FFFFFF"/>
            <w:noWrap/>
            <w:vAlign w:val="center"/>
            <w:hideMark/>
          </w:tcPr>
          <w:p w14:paraId="4DB2CA62" w14:textId="77777777" w:rsidR="00E11F83" w:rsidRPr="00835AA1" w:rsidRDefault="00A47D79" w:rsidP="001D52BE">
            <w:pPr>
              <w:jc w:val="center"/>
              <w:rPr>
                <w:szCs w:val="22"/>
                <w:lang w:val="fr-FR"/>
              </w:rPr>
            </w:pPr>
            <w:r w:rsidRPr="00835AA1">
              <w:rPr>
                <w:szCs w:val="22"/>
                <w:lang w:val="fr-FR"/>
              </w:rPr>
              <w:t>X</w:t>
            </w:r>
          </w:p>
        </w:tc>
        <w:tc>
          <w:tcPr>
            <w:tcW w:w="1260" w:type="dxa"/>
            <w:tcBorders>
              <w:top w:val="nil"/>
              <w:left w:val="nil"/>
              <w:bottom w:val="single" w:sz="4" w:space="0" w:color="auto"/>
              <w:right w:val="single" w:sz="4" w:space="0" w:color="auto"/>
            </w:tcBorders>
            <w:shd w:val="clear" w:color="000000" w:fill="FFFFFF"/>
            <w:noWrap/>
            <w:vAlign w:val="center"/>
            <w:hideMark/>
          </w:tcPr>
          <w:p w14:paraId="5F0AE884" w14:textId="77777777" w:rsidR="00E11F83" w:rsidRPr="00835AA1" w:rsidRDefault="00E11F83" w:rsidP="001D52BE">
            <w:pPr>
              <w:jc w:val="center"/>
              <w:rPr>
                <w:szCs w:val="22"/>
                <w:lang w:val="fr-FR"/>
              </w:rPr>
            </w:pPr>
          </w:p>
        </w:tc>
        <w:tc>
          <w:tcPr>
            <w:tcW w:w="1170" w:type="dxa"/>
            <w:tcBorders>
              <w:top w:val="nil"/>
              <w:left w:val="nil"/>
              <w:bottom w:val="single" w:sz="4" w:space="0" w:color="auto"/>
              <w:right w:val="single" w:sz="4" w:space="0" w:color="auto"/>
            </w:tcBorders>
            <w:shd w:val="clear" w:color="000000" w:fill="FFFFFF"/>
            <w:noWrap/>
            <w:vAlign w:val="center"/>
            <w:hideMark/>
          </w:tcPr>
          <w:p w14:paraId="408704C4" w14:textId="77777777" w:rsidR="00E11F83" w:rsidRPr="00835AA1" w:rsidRDefault="00E11F83" w:rsidP="001D52BE">
            <w:pPr>
              <w:jc w:val="center"/>
              <w:rPr>
                <w:szCs w:val="22"/>
                <w:lang w:val="fr-FR"/>
              </w:rPr>
            </w:pPr>
            <w:r w:rsidRPr="00835AA1">
              <w:rPr>
                <w:szCs w:val="22"/>
                <w:lang w:val="fr-FR"/>
              </w:rPr>
              <w:t>X</w:t>
            </w:r>
          </w:p>
        </w:tc>
        <w:tc>
          <w:tcPr>
            <w:tcW w:w="955" w:type="dxa"/>
            <w:tcBorders>
              <w:top w:val="nil"/>
              <w:left w:val="nil"/>
              <w:bottom w:val="single" w:sz="4" w:space="0" w:color="auto"/>
              <w:right w:val="single" w:sz="4" w:space="0" w:color="auto"/>
            </w:tcBorders>
            <w:shd w:val="clear" w:color="000000" w:fill="FFFFFF"/>
            <w:noWrap/>
            <w:vAlign w:val="center"/>
            <w:hideMark/>
          </w:tcPr>
          <w:p w14:paraId="16CEB3DD" w14:textId="77777777" w:rsidR="00E11F83" w:rsidRPr="00835AA1" w:rsidRDefault="00E11F83" w:rsidP="001D52BE">
            <w:pPr>
              <w:jc w:val="center"/>
              <w:rPr>
                <w:szCs w:val="22"/>
                <w:lang w:val="fr-FR"/>
              </w:rPr>
            </w:pPr>
          </w:p>
        </w:tc>
        <w:tc>
          <w:tcPr>
            <w:tcW w:w="1295" w:type="dxa"/>
            <w:tcBorders>
              <w:top w:val="nil"/>
              <w:left w:val="nil"/>
              <w:bottom w:val="single" w:sz="4" w:space="0" w:color="auto"/>
              <w:right w:val="single" w:sz="4" w:space="0" w:color="auto"/>
            </w:tcBorders>
            <w:shd w:val="clear" w:color="000000" w:fill="FFFFFF"/>
            <w:noWrap/>
            <w:vAlign w:val="center"/>
            <w:hideMark/>
          </w:tcPr>
          <w:p w14:paraId="12D6E4E7" w14:textId="77777777" w:rsidR="00E11F83" w:rsidRPr="00835AA1" w:rsidRDefault="006F68E2" w:rsidP="001D52BE">
            <w:pPr>
              <w:jc w:val="center"/>
              <w:rPr>
                <w:szCs w:val="22"/>
                <w:lang w:val="fr-FR"/>
              </w:rPr>
            </w:pPr>
            <w:r w:rsidRPr="00835AA1">
              <w:rPr>
                <w:szCs w:val="22"/>
                <w:lang w:val="fr-FR"/>
              </w:rPr>
              <w:t>X</w:t>
            </w:r>
          </w:p>
        </w:tc>
      </w:tr>
      <w:tr w:rsidR="00A541B2" w:rsidRPr="00835AA1" w14:paraId="77161025" w14:textId="77777777" w:rsidTr="00A419D0">
        <w:trPr>
          <w:trHeight w:val="40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0F98B745" w14:textId="77777777" w:rsidR="00E11F83" w:rsidRPr="00835AA1" w:rsidRDefault="00E11F83" w:rsidP="001D52BE">
            <w:pPr>
              <w:jc w:val="center"/>
              <w:rPr>
                <w:szCs w:val="22"/>
                <w:lang w:val="fr-FR"/>
              </w:rPr>
            </w:pPr>
            <w:r w:rsidRPr="00835AA1">
              <w:rPr>
                <w:szCs w:val="22"/>
                <w:lang w:val="fr-FR"/>
              </w:rPr>
              <w:t>3)</w:t>
            </w:r>
          </w:p>
        </w:tc>
        <w:tc>
          <w:tcPr>
            <w:tcW w:w="3151" w:type="dxa"/>
            <w:tcBorders>
              <w:top w:val="nil"/>
              <w:left w:val="nil"/>
              <w:bottom w:val="single" w:sz="4" w:space="0" w:color="auto"/>
              <w:right w:val="single" w:sz="4" w:space="0" w:color="auto"/>
            </w:tcBorders>
            <w:shd w:val="clear" w:color="000000" w:fill="FFFFFF"/>
            <w:noWrap/>
            <w:vAlign w:val="center"/>
            <w:hideMark/>
          </w:tcPr>
          <w:p w14:paraId="70BB9041" w14:textId="77777777" w:rsidR="00E11F83" w:rsidRPr="00835AA1" w:rsidRDefault="00D241BF" w:rsidP="00D241BF">
            <w:pPr>
              <w:rPr>
                <w:szCs w:val="22"/>
                <w:lang w:val="fr-FR"/>
              </w:rPr>
            </w:pPr>
            <w:r w:rsidRPr="00835AA1">
              <w:rPr>
                <w:szCs w:val="22"/>
                <w:lang w:val="fr-FR"/>
              </w:rPr>
              <w:t>Formulaire de demande sur papier et autres formulaires pertinents</w:t>
            </w:r>
          </w:p>
        </w:tc>
        <w:tc>
          <w:tcPr>
            <w:tcW w:w="1260" w:type="dxa"/>
            <w:tcBorders>
              <w:top w:val="nil"/>
              <w:left w:val="nil"/>
              <w:bottom w:val="single" w:sz="4" w:space="0" w:color="auto"/>
              <w:right w:val="single" w:sz="4" w:space="0" w:color="auto"/>
            </w:tcBorders>
            <w:shd w:val="clear" w:color="000000" w:fill="FFFFFF"/>
            <w:noWrap/>
            <w:vAlign w:val="center"/>
            <w:hideMark/>
          </w:tcPr>
          <w:p w14:paraId="669A04AC" w14:textId="77777777" w:rsidR="00E11F83" w:rsidRPr="00835AA1" w:rsidRDefault="00A47D79" w:rsidP="001D52BE">
            <w:pPr>
              <w:jc w:val="center"/>
              <w:rPr>
                <w:szCs w:val="22"/>
                <w:lang w:val="fr-FR"/>
              </w:rPr>
            </w:pPr>
            <w:r w:rsidRPr="00835AA1">
              <w:rPr>
                <w:szCs w:val="22"/>
                <w:lang w:val="fr-FR"/>
              </w:rPr>
              <w:t>X</w:t>
            </w:r>
          </w:p>
        </w:tc>
        <w:tc>
          <w:tcPr>
            <w:tcW w:w="1260" w:type="dxa"/>
            <w:tcBorders>
              <w:top w:val="nil"/>
              <w:left w:val="nil"/>
              <w:bottom w:val="single" w:sz="4" w:space="0" w:color="auto"/>
              <w:right w:val="single" w:sz="4" w:space="0" w:color="auto"/>
            </w:tcBorders>
            <w:shd w:val="clear" w:color="000000" w:fill="FFFFFF"/>
            <w:noWrap/>
            <w:vAlign w:val="center"/>
            <w:hideMark/>
          </w:tcPr>
          <w:p w14:paraId="3DB22C73" w14:textId="77777777" w:rsidR="00E11F83" w:rsidRPr="00835AA1" w:rsidRDefault="00E11F83" w:rsidP="001D52BE">
            <w:pPr>
              <w:jc w:val="center"/>
              <w:rPr>
                <w:szCs w:val="22"/>
                <w:lang w:val="fr-FR"/>
              </w:rPr>
            </w:pPr>
          </w:p>
        </w:tc>
        <w:tc>
          <w:tcPr>
            <w:tcW w:w="1170" w:type="dxa"/>
            <w:tcBorders>
              <w:top w:val="nil"/>
              <w:left w:val="nil"/>
              <w:bottom w:val="single" w:sz="4" w:space="0" w:color="auto"/>
              <w:right w:val="single" w:sz="4" w:space="0" w:color="auto"/>
            </w:tcBorders>
            <w:shd w:val="clear" w:color="000000" w:fill="FFFFFF"/>
            <w:noWrap/>
            <w:vAlign w:val="center"/>
            <w:hideMark/>
          </w:tcPr>
          <w:p w14:paraId="77601C2E" w14:textId="77777777" w:rsidR="00E11F83" w:rsidRPr="00835AA1" w:rsidRDefault="00E11F83" w:rsidP="001D52BE">
            <w:pPr>
              <w:jc w:val="center"/>
              <w:rPr>
                <w:szCs w:val="22"/>
                <w:lang w:val="fr-FR"/>
              </w:rPr>
            </w:pPr>
            <w:r w:rsidRPr="00835AA1">
              <w:rPr>
                <w:szCs w:val="22"/>
                <w:lang w:val="fr-FR"/>
              </w:rPr>
              <w:t>X</w:t>
            </w:r>
          </w:p>
        </w:tc>
        <w:tc>
          <w:tcPr>
            <w:tcW w:w="955" w:type="dxa"/>
            <w:tcBorders>
              <w:top w:val="nil"/>
              <w:left w:val="nil"/>
              <w:bottom w:val="single" w:sz="4" w:space="0" w:color="auto"/>
              <w:right w:val="single" w:sz="4" w:space="0" w:color="auto"/>
            </w:tcBorders>
            <w:shd w:val="clear" w:color="000000" w:fill="FFFFFF"/>
            <w:noWrap/>
            <w:vAlign w:val="center"/>
            <w:hideMark/>
          </w:tcPr>
          <w:p w14:paraId="3D25F9D6" w14:textId="77777777" w:rsidR="00E11F83" w:rsidRPr="00835AA1" w:rsidRDefault="00E11F83" w:rsidP="001D52BE">
            <w:pPr>
              <w:jc w:val="center"/>
              <w:rPr>
                <w:szCs w:val="22"/>
                <w:lang w:val="fr-FR"/>
              </w:rPr>
            </w:pPr>
          </w:p>
        </w:tc>
        <w:tc>
          <w:tcPr>
            <w:tcW w:w="1295" w:type="dxa"/>
            <w:tcBorders>
              <w:top w:val="nil"/>
              <w:left w:val="nil"/>
              <w:bottom w:val="single" w:sz="4" w:space="0" w:color="auto"/>
              <w:right w:val="single" w:sz="4" w:space="0" w:color="auto"/>
            </w:tcBorders>
            <w:shd w:val="clear" w:color="000000" w:fill="FFFFFF"/>
            <w:noWrap/>
            <w:vAlign w:val="center"/>
            <w:hideMark/>
          </w:tcPr>
          <w:p w14:paraId="74EE5A96" w14:textId="77777777" w:rsidR="00E11F83" w:rsidRPr="00835AA1" w:rsidRDefault="006F68E2" w:rsidP="001D52BE">
            <w:pPr>
              <w:jc w:val="center"/>
              <w:rPr>
                <w:szCs w:val="22"/>
                <w:lang w:val="fr-FR"/>
              </w:rPr>
            </w:pPr>
            <w:r w:rsidRPr="00835AA1">
              <w:rPr>
                <w:szCs w:val="22"/>
                <w:lang w:val="fr-FR"/>
              </w:rPr>
              <w:t>X</w:t>
            </w:r>
          </w:p>
        </w:tc>
      </w:tr>
      <w:tr w:rsidR="00A541B2" w:rsidRPr="00835AA1" w14:paraId="6F872965" w14:textId="77777777" w:rsidTr="00A419D0">
        <w:trPr>
          <w:trHeight w:val="405"/>
        </w:trPr>
        <w:tc>
          <w:tcPr>
            <w:tcW w:w="704" w:type="dxa"/>
            <w:tcBorders>
              <w:top w:val="nil"/>
              <w:left w:val="single" w:sz="4" w:space="0" w:color="auto"/>
              <w:bottom w:val="single" w:sz="4" w:space="0" w:color="auto"/>
              <w:right w:val="single" w:sz="4" w:space="0" w:color="auto"/>
            </w:tcBorders>
            <w:shd w:val="clear" w:color="000000" w:fill="FFFFFF"/>
            <w:noWrap/>
            <w:vAlign w:val="center"/>
          </w:tcPr>
          <w:p w14:paraId="24764BC3" w14:textId="77777777" w:rsidR="00E11F83" w:rsidRPr="00835AA1" w:rsidRDefault="00E11F83" w:rsidP="001D52BE">
            <w:pPr>
              <w:jc w:val="center"/>
              <w:rPr>
                <w:szCs w:val="22"/>
                <w:lang w:val="fr-FR"/>
              </w:rPr>
            </w:pPr>
            <w:r w:rsidRPr="00835AA1">
              <w:rPr>
                <w:szCs w:val="22"/>
                <w:lang w:val="fr-FR"/>
              </w:rPr>
              <w:t>4)</w:t>
            </w:r>
          </w:p>
        </w:tc>
        <w:tc>
          <w:tcPr>
            <w:tcW w:w="3151" w:type="dxa"/>
            <w:tcBorders>
              <w:top w:val="nil"/>
              <w:left w:val="nil"/>
              <w:bottom w:val="single" w:sz="4" w:space="0" w:color="auto"/>
              <w:right w:val="single" w:sz="4" w:space="0" w:color="auto"/>
            </w:tcBorders>
            <w:shd w:val="clear" w:color="000000" w:fill="FFFFFF"/>
            <w:noWrap/>
            <w:vAlign w:val="center"/>
          </w:tcPr>
          <w:p w14:paraId="6945361A" w14:textId="77777777" w:rsidR="00E11F83" w:rsidRPr="00835AA1" w:rsidRDefault="001D2116" w:rsidP="00835AA1">
            <w:pPr>
              <w:rPr>
                <w:szCs w:val="22"/>
                <w:lang w:val="fr-FR"/>
              </w:rPr>
            </w:pPr>
            <w:r w:rsidRPr="00835AA1">
              <w:rPr>
                <w:szCs w:val="22"/>
                <w:lang w:val="fr-FR"/>
              </w:rPr>
              <w:t>Page W</w:t>
            </w:r>
            <w:r w:rsidR="00D241BF" w:rsidRPr="00835AA1">
              <w:rPr>
                <w:szCs w:val="22"/>
                <w:lang w:val="fr-FR"/>
              </w:rPr>
              <w:t>eb consacrée aux taxes et aux paiements</w:t>
            </w:r>
          </w:p>
        </w:tc>
        <w:tc>
          <w:tcPr>
            <w:tcW w:w="1260" w:type="dxa"/>
            <w:tcBorders>
              <w:top w:val="nil"/>
              <w:left w:val="nil"/>
              <w:bottom w:val="single" w:sz="4" w:space="0" w:color="auto"/>
              <w:right w:val="single" w:sz="4" w:space="0" w:color="auto"/>
            </w:tcBorders>
            <w:shd w:val="clear" w:color="000000" w:fill="FFFFFF"/>
            <w:noWrap/>
            <w:vAlign w:val="center"/>
          </w:tcPr>
          <w:p w14:paraId="1F39817A" w14:textId="77777777" w:rsidR="00E11F83" w:rsidRPr="00835AA1" w:rsidRDefault="00E11F83" w:rsidP="001D52BE">
            <w:pPr>
              <w:jc w:val="center"/>
              <w:rPr>
                <w:szCs w:val="22"/>
                <w:lang w:val="fr-FR"/>
              </w:rPr>
            </w:pPr>
            <w:r w:rsidRPr="00835AA1">
              <w:rPr>
                <w:szCs w:val="22"/>
                <w:lang w:val="fr-FR"/>
              </w:rPr>
              <w:t>X</w:t>
            </w:r>
          </w:p>
        </w:tc>
        <w:tc>
          <w:tcPr>
            <w:tcW w:w="1260" w:type="dxa"/>
            <w:tcBorders>
              <w:top w:val="nil"/>
              <w:left w:val="nil"/>
              <w:bottom w:val="single" w:sz="4" w:space="0" w:color="auto"/>
              <w:right w:val="single" w:sz="4" w:space="0" w:color="auto"/>
            </w:tcBorders>
            <w:shd w:val="clear" w:color="000000" w:fill="FFFFFF"/>
            <w:noWrap/>
            <w:vAlign w:val="center"/>
          </w:tcPr>
          <w:p w14:paraId="7C28ECB9" w14:textId="77777777" w:rsidR="00E11F83" w:rsidRPr="00835AA1" w:rsidRDefault="00E11F83" w:rsidP="001D52BE">
            <w:pPr>
              <w:jc w:val="center"/>
              <w:rPr>
                <w:szCs w:val="22"/>
                <w:lang w:val="fr-FR"/>
              </w:rPr>
            </w:pPr>
            <w:r w:rsidRPr="00835AA1">
              <w:rPr>
                <w:szCs w:val="22"/>
                <w:lang w:val="fr-FR"/>
              </w:rPr>
              <w:t>X</w:t>
            </w:r>
          </w:p>
        </w:tc>
        <w:tc>
          <w:tcPr>
            <w:tcW w:w="1170" w:type="dxa"/>
            <w:tcBorders>
              <w:top w:val="nil"/>
              <w:left w:val="nil"/>
              <w:bottom w:val="single" w:sz="4" w:space="0" w:color="auto"/>
              <w:right w:val="single" w:sz="4" w:space="0" w:color="auto"/>
            </w:tcBorders>
            <w:shd w:val="clear" w:color="000000" w:fill="FFFFFF"/>
            <w:noWrap/>
            <w:vAlign w:val="center"/>
          </w:tcPr>
          <w:p w14:paraId="490E7961" w14:textId="77777777" w:rsidR="00E11F83" w:rsidRPr="00835AA1" w:rsidRDefault="00E11F83" w:rsidP="001D52BE">
            <w:pPr>
              <w:jc w:val="center"/>
              <w:rPr>
                <w:szCs w:val="22"/>
                <w:lang w:val="fr-FR"/>
              </w:rPr>
            </w:pPr>
            <w:r w:rsidRPr="00835AA1">
              <w:rPr>
                <w:szCs w:val="22"/>
                <w:lang w:val="fr-FR"/>
              </w:rPr>
              <w:t>X</w:t>
            </w:r>
          </w:p>
        </w:tc>
        <w:tc>
          <w:tcPr>
            <w:tcW w:w="955" w:type="dxa"/>
            <w:tcBorders>
              <w:top w:val="nil"/>
              <w:left w:val="nil"/>
              <w:bottom w:val="single" w:sz="4" w:space="0" w:color="auto"/>
              <w:right w:val="single" w:sz="4" w:space="0" w:color="auto"/>
            </w:tcBorders>
            <w:shd w:val="clear" w:color="000000" w:fill="FFFFFF"/>
            <w:noWrap/>
            <w:vAlign w:val="center"/>
          </w:tcPr>
          <w:p w14:paraId="4B5367F6" w14:textId="77777777" w:rsidR="00E11F83" w:rsidRPr="00835AA1" w:rsidRDefault="00E11F83" w:rsidP="001D52BE">
            <w:pPr>
              <w:jc w:val="center"/>
              <w:rPr>
                <w:szCs w:val="22"/>
                <w:lang w:val="fr-FR"/>
              </w:rPr>
            </w:pPr>
            <w:r w:rsidRPr="00835AA1">
              <w:rPr>
                <w:szCs w:val="22"/>
                <w:lang w:val="fr-FR"/>
              </w:rPr>
              <w:t>X</w:t>
            </w:r>
          </w:p>
        </w:tc>
        <w:tc>
          <w:tcPr>
            <w:tcW w:w="1295" w:type="dxa"/>
            <w:tcBorders>
              <w:top w:val="nil"/>
              <w:left w:val="nil"/>
              <w:bottom w:val="single" w:sz="4" w:space="0" w:color="auto"/>
              <w:right w:val="single" w:sz="4" w:space="0" w:color="auto"/>
            </w:tcBorders>
            <w:shd w:val="clear" w:color="000000" w:fill="FFFFFF"/>
            <w:noWrap/>
            <w:vAlign w:val="center"/>
          </w:tcPr>
          <w:p w14:paraId="59C82D85" w14:textId="77777777" w:rsidR="00E11F83" w:rsidRPr="00835AA1" w:rsidRDefault="00E11F83" w:rsidP="001D52BE">
            <w:pPr>
              <w:jc w:val="center"/>
              <w:rPr>
                <w:szCs w:val="22"/>
                <w:lang w:val="fr-FR"/>
              </w:rPr>
            </w:pPr>
            <w:r w:rsidRPr="00835AA1">
              <w:rPr>
                <w:szCs w:val="22"/>
                <w:lang w:val="fr-FR"/>
              </w:rPr>
              <w:t>X</w:t>
            </w:r>
          </w:p>
        </w:tc>
      </w:tr>
      <w:tr w:rsidR="00A541B2" w:rsidRPr="00835AA1" w14:paraId="6CD31C57" w14:textId="77777777" w:rsidTr="00A419D0">
        <w:trPr>
          <w:trHeight w:val="405"/>
        </w:trPr>
        <w:tc>
          <w:tcPr>
            <w:tcW w:w="704" w:type="dxa"/>
            <w:tcBorders>
              <w:top w:val="nil"/>
              <w:left w:val="single" w:sz="4" w:space="0" w:color="auto"/>
              <w:bottom w:val="single" w:sz="4" w:space="0" w:color="auto"/>
              <w:right w:val="single" w:sz="4" w:space="0" w:color="auto"/>
            </w:tcBorders>
            <w:shd w:val="clear" w:color="000000" w:fill="FFFFFF"/>
            <w:noWrap/>
            <w:vAlign w:val="center"/>
          </w:tcPr>
          <w:p w14:paraId="2F4BFEFB" w14:textId="77777777" w:rsidR="00E11F83" w:rsidRPr="00835AA1" w:rsidRDefault="00E11F83" w:rsidP="001D52BE">
            <w:pPr>
              <w:jc w:val="center"/>
              <w:rPr>
                <w:szCs w:val="22"/>
                <w:lang w:val="fr-FR"/>
              </w:rPr>
            </w:pPr>
            <w:r w:rsidRPr="00835AA1">
              <w:rPr>
                <w:szCs w:val="22"/>
                <w:lang w:val="fr-FR"/>
              </w:rPr>
              <w:t>5)</w:t>
            </w:r>
          </w:p>
        </w:tc>
        <w:tc>
          <w:tcPr>
            <w:tcW w:w="3151" w:type="dxa"/>
            <w:tcBorders>
              <w:top w:val="nil"/>
              <w:left w:val="nil"/>
              <w:bottom w:val="single" w:sz="4" w:space="0" w:color="auto"/>
              <w:right w:val="single" w:sz="4" w:space="0" w:color="auto"/>
            </w:tcBorders>
            <w:shd w:val="clear" w:color="000000" w:fill="FFFFFF"/>
            <w:noWrap/>
            <w:vAlign w:val="center"/>
          </w:tcPr>
          <w:p w14:paraId="11819D42" w14:textId="77777777" w:rsidR="00E11F83" w:rsidRPr="0005318F" w:rsidRDefault="00E11F83" w:rsidP="001D52BE">
            <w:pPr>
              <w:rPr>
                <w:i/>
                <w:szCs w:val="22"/>
                <w:lang w:val="fr-FR"/>
              </w:rPr>
            </w:pPr>
            <w:bookmarkStart w:id="0" w:name="_GoBack"/>
            <w:r w:rsidRPr="0005318F">
              <w:rPr>
                <w:i/>
                <w:szCs w:val="22"/>
                <w:lang w:val="fr-FR"/>
              </w:rPr>
              <w:t>ePay</w:t>
            </w:r>
            <w:bookmarkEnd w:id="0"/>
          </w:p>
        </w:tc>
        <w:tc>
          <w:tcPr>
            <w:tcW w:w="1260" w:type="dxa"/>
            <w:tcBorders>
              <w:top w:val="nil"/>
              <w:left w:val="nil"/>
              <w:bottom w:val="single" w:sz="4" w:space="0" w:color="auto"/>
              <w:right w:val="single" w:sz="4" w:space="0" w:color="auto"/>
            </w:tcBorders>
            <w:shd w:val="clear" w:color="000000" w:fill="FFFFFF"/>
            <w:noWrap/>
            <w:vAlign w:val="center"/>
          </w:tcPr>
          <w:p w14:paraId="347A97B0" w14:textId="77777777" w:rsidR="00E11F83" w:rsidRPr="00835AA1" w:rsidRDefault="00E11F83" w:rsidP="001D52BE">
            <w:pPr>
              <w:jc w:val="center"/>
              <w:rPr>
                <w:szCs w:val="22"/>
                <w:lang w:val="fr-FR"/>
              </w:rPr>
            </w:pPr>
            <w:r w:rsidRPr="00835AA1">
              <w:rPr>
                <w:szCs w:val="22"/>
                <w:lang w:val="fr-FR"/>
              </w:rPr>
              <w:t>X</w:t>
            </w:r>
          </w:p>
        </w:tc>
        <w:tc>
          <w:tcPr>
            <w:tcW w:w="1260" w:type="dxa"/>
            <w:tcBorders>
              <w:top w:val="nil"/>
              <w:left w:val="nil"/>
              <w:bottom w:val="single" w:sz="4" w:space="0" w:color="auto"/>
              <w:right w:val="single" w:sz="4" w:space="0" w:color="auto"/>
            </w:tcBorders>
            <w:shd w:val="clear" w:color="000000" w:fill="FFFFFF"/>
            <w:noWrap/>
            <w:vAlign w:val="center"/>
          </w:tcPr>
          <w:p w14:paraId="5E1A02F1" w14:textId="77777777" w:rsidR="00E11F83" w:rsidRPr="00835AA1" w:rsidRDefault="00E11F83" w:rsidP="001D52BE">
            <w:pPr>
              <w:jc w:val="center"/>
              <w:rPr>
                <w:szCs w:val="22"/>
                <w:lang w:val="fr-FR"/>
              </w:rPr>
            </w:pPr>
            <w:r w:rsidRPr="00835AA1">
              <w:rPr>
                <w:szCs w:val="22"/>
                <w:lang w:val="fr-FR"/>
              </w:rPr>
              <w:t>X</w:t>
            </w:r>
          </w:p>
        </w:tc>
        <w:tc>
          <w:tcPr>
            <w:tcW w:w="1170" w:type="dxa"/>
            <w:tcBorders>
              <w:top w:val="nil"/>
              <w:left w:val="nil"/>
              <w:bottom w:val="single" w:sz="4" w:space="0" w:color="auto"/>
              <w:right w:val="single" w:sz="4" w:space="0" w:color="auto"/>
            </w:tcBorders>
            <w:shd w:val="clear" w:color="000000" w:fill="FFFFFF"/>
            <w:noWrap/>
            <w:vAlign w:val="center"/>
          </w:tcPr>
          <w:p w14:paraId="26EFC6BF" w14:textId="77777777" w:rsidR="00E11F83" w:rsidRPr="00835AA1" w:rsidRDefault="00E11F83" w:rsidP="001D52BE">
            <w:pPr>
              <w:jc w:val="center"/>
              <w:rPr>
                <w:szCs w:val="22"/>
                <w:lang w:val="fr-FR"/>
              </w:rPr>
            </w:pPr>
            <w:r w:rsidRPr="00835AA1">
              <w:rPr>
                <w:szCs w:val="22"/>
                <w:lang w:val="fr-FR"/>
              </w:rPr>
              <w:t>X</w:t>
            </w:r>
          </w:p>
        </w:tc>
        <w:tc>
          <w:tcPr>
            <w:tcW w:w="955" w:type="dxa"/>
            <w:tcBorders>
              <w:top w:val="nil"/>
              <w:left w:val="nil"/>
              <w:bottom w:val="single" w:sz="4" w:space="0" w:color="auto"/>
              <w:right w:val="single" w:sz="4" w:space="0" w:color="auto"/>
            </w:tcBorders>
            <w:shd w:val="clear" w:color="000000" w:fill="FFFFFF"/>
            <w:noWrap/>
            <w:vAlign w:val="center"/>
          </w:tcPr>
          <w:p w14:paraId="57A85624" w14:textId="77777777" w:rsidR="00E11F83" w:rsidRPr="00835AA1" w:rsidRDefault="00E11F83" w:rsidP="001D52BE">
            <w:pPr>
              <w:jc w:val="center"/>
              <w:rPr>
                <w:szCs w:val="22"/>
                <w:lang w:val="fr-FR"/>
              </w:rPr>
            </w:pPr>
            <w:r w:rsidRPr="00835AA1">
              <w:rPr>
                <w:szCs w:val="22"/>
                <w:lang w:val="fr-FR"/>
              </w:rPr>
              <w:t>X</w:t>
            </w:r>
          </w:p>
        </w:tc>
        <w:tc>
          <w:tcPr>
            <w:tcW w:w="1295" w:type="dxa"/>
            <w:tcBorders>
              <w:top w:val="nil"/>
              <w:left w:val="nil"/>
              <w:bottom w:val="single" w:sz="4" w:space="0" w:color="auto"/>
              <w:right w:val="single" w:sz="4" w:space="0" w:color="auto"/>
            </w:tcBorders>
            <w:shd w:val="clear" w:color="000000" w:fill="FFFFFF"/>
            <w:noWrap/>
            <w:vAlign w:val="center"/>
          </w:tcPr>
          <w:p w14:paraId="6FFD8B3A" w14:textId="77777777" w:rsidR="00E11F83" w:rsidRPr="00835AA1" w:rsidRDefault="00E11F83" w:rsidP="001D52BE">
            <w:pPr>
              <w:jc w:val="center"/>
              <w:rPr>
                <w:szCs w:val="22"/>
                <w:lang w:val="fr-FR"/>
              </w:rPr>
            </w:pPr>
            <w:r w:rsidRPr="00835AA1">
              <w:rPr>
                <w:szCs w:val="22"/>
                <w:lang w:val="fr-FR"/>
              </w:rPr>
              <w:t>X</w:t>
            </w:r>
          </w:p>
        </w:tc>
      </w:tr>
      <w:tr w:rsidR="00A541B2" w:rsidRPr="00A50943" w14:paraId="7F5BFADC" w14:textId="77777777" w:rsidTr="00A419D0">
        <w:trPr>
          <w:trHeight w:val="405"/>
        </w:trPr>
        <w:tc>
          <w:tcPr>
            <w:tcW w:w="9795" w:type="dxa"/>
            <w:gridSpan w:val="7"/>
            <w:tcBorders>
              <w:top w:val="nil"/>
              <w:left w:val="single" w:sz="4" w:space="0" w:color="auto"/>
              <w:bottom w:val="single" w:sz="4" w:space="0" w:color="auto"/>
              <w:right w:val="single" w:sz="4" w:space="0" w:color="auto"/>
            </w:tcBorders>
            <w:shd w:val="clear" w:color="000000" w:fill="FFFFFF"/>
            <w:noWrap/>
            <w:vAlign w:val="center"/>
          </w:tcPr>
          <w:p w14:paraId="79F32193" w14:textId="77777777" w:rsidR="00E11F83" w:rsidRPr="00835AA1" w:rsidRDefault="00D241BF" w:rsidP="005F577F">
            <w:pPr>
              <w:rPr>
                <w:b/>
                <w:szCs w:val="22"/>
                <w:lang w:val="fr-FR"/>
              </w:rPr>
            </w:pPr>
            <w:r w:rsidRPr="00835AA1">
              <w:rPr>
                <w:b/>
                <w:szCs w:val="22"/>
                <w:lang w:val="fr-FR"/>
              </w:rPr>
              <w:t xml:space="preserve">Les options </w:t>
            </w:r>
            <w:r w:rsidR="001D2116" w:rsidRPr="00835AA1">
              <w:rPr>
                <w:b/>
                <w:szCs w:val="22"/>
                <w:lang w:val="fr-FR"/>
              </w:rPr>
              <w:t>“</w:t>
            </w:r>
            <w:r w:rsidRPr="00835AA1">
              <w:rPr>
                <w:b/>
                <w:szCs w:val="22"/>
                <w:lang w:val="fr-FR"/>
              </w:rPr>
              <w:t>C</w:t>
            </w:r>
            <w:r w:rsidR="001D2116" w:rsidRPr="00835AA1">
              <w:rPr>
                <w:b/>
                <w:szCs w:val="22"/>
                <w:lang w:val="fr-FR"/>
              </w:rPr>
              <w:t>”</w:t>
            </w:r>
            <w:r w:rsidRPr="00835AA1">
              <w:rPr>
                <w:b/>
                <w:szCs w:val="22"/>
                <w:lang w:val="fr-FR"/>
              </w:rPr>
              <w:t xml:space="preserve"> à </w:t>
            </w:r>
            <w:r w:rsidR="001D2116" w:rsidRPr="00835AA1">
              <w:rPr>
                <w:b/>
                <w:szCs w:val="22"/>
                <w:lang w:val="fr-FR"/>
              </w:rPr>
              <w:t>“</w:t>
            </w:r>
            <w:r w:rsidRPr="00835AA1">
              <w:rPr>
                <w:b/>
                <w:szCs w:val="22"/>
                <w:lang w:val="fr-FR"/>
              </w:rPr>
              <w:t>E</w:t>
            </w:r>
            <w:r w:rsidR="001D2116" w:rsidRPr="00835AA1">
              <w:rPr>
                <w:b/>
                <w:szCs w:val="22"/>
                <w:lang w:val="fr-FR"/>
              </w:rPr>
              <w:t>”</w:t>
            </w:r>
            <w:r w:rsidRPr="00835AA1">
              <w:rPr>
                <w:b/>
                <w:szCs w:val="22"/>
                <w:lang w:val="fr-FR"/>
              </w:rPr>
              <w:t xml:space="preserve"> nécessitent en outre </w:t>
            </w:r>
            <w:r w:rsidR="005F577F" w:rsidRPr="00835AA1">
              <w:rPr>
                <w:b/>
                <w:szCs w:val="22"/>
                <w:lang w:val="fr-FR"/>
              </w:rPr>
              <w:t xml:space="preserve">que ces éléments soient disponibles </w:t>
            </w:r>
            <w:r w:rsidRPr="00835AA1">
              <w:rPr>
                <w:b/>
                <w:szCs w:val="22"/>
                <w:lang w:val="fr-FR"/>
              </w:rPr>
              <w:t xml:space="preserve">dans les nouvelles langues pour </w:t>
            </w:r>
            <w:r w:rsidR="005F577F" w:rsidRPr="00835AA1">
              <w:rPr>
                <w:b/>
                <w:szCs w:val="22"/>
                <w:lang w:val="fr-FR"/>
              </w:rPr>
              <w:t xml:space="preserve">être </w:t>
            </w:r>
            <w:r w:rsidRPr="00835AA1">
              <w:rPr>
                <w:b/>
                <w:szCs w:val="22"/>
                <w:lang w:val="fr-FR"/>
              </w:rPr>
              <w:t>mise</w:t>
            </w:r>
            <w:r w:rsidR="005F577F" w:rsidRPr="00835AA1">
              <w:rPr>
                <w:b/>
                <w:szCs w:val="22"/>
                <w:lang w:val="fr-FR"/>
              </w:rPr>
              <w:t>s</w:t>
            </w:r>
            <w:r w:rsidRPr="00835AA1">
              <w:rPr>
                <w:b/>
                <w:szCs w:val="22"/>
                <w:lang w:val="fr-FR"/>
              </w:rPr>
              <w:t xml:space="preserve"> en </w:t>
            </w:r>
            <w:r w:rsidR="005F577F" w:rsidRPr="00835AA1">
              <w:rPr>
                <w:b/>
                <w:szCs w:val="22"/>
                <w:lang w:val="fr-FR"/>
              </w:rPr>
              <w:t>œuvre</w:t>
            </w:r>
          </w:p>
        </w:tc>
      </w:tr>
      <w:tr w:rsidR="00A541B2" w:rsidRPr="00835AA1" w14:paraId="70A72D43" w14:textId="77777777" w:rsidTr="00A419D0">
        <w:trPr>
          <w:trHeight w:val="405"/>
        </w:trPr>
        <w:tc>
          <w:tcPr>
            <w:tcW w:w="704" w:type="dxa"/>
            <w:tcBorders>
              <w:top w:val="nil"/>
              <w:left w:val="single" w:sz="4" w:space="0" w:color="auto"/>
              <w:bottom w:val="single" w:sz="4" w:space="0" w:color="auto"/>
              <w:right w:val="single" w:sz="4" w:space="0" w:color="auto"/>
            </w:tcBorders>
            <w:shd w:val="clear" w:color="000000" w:fill="FFFFFF"/>
            <w:noWrap/>
            <w:vAlign w:val="center"/>
          </w:tcPr>
          <w:p w14:paraId="06B3D0DF" w14:textId="77777777" w:rsidR="006F68E2" w:rsidRPr="00835AA1" w:rsidRDefault="006F68E2" w:rsidP="006F68E2">
            <w:pPr>
              <w:jc w:val="center"/>
              <w:rPr>
                <w:szCs w:val="22"/>
                <w:lang w:val="fr-FR"/>
              </w:rPr>
            </w:pPr>
            <w:r w:rsidRPr="00835AA1">
              <w:rPr>
                <w:szCs w:val="22"/>
                <w:lang w:val="fr-FR"/>
              </w:rPr>
              <w:t>6)</w:t>
            </w:r>
          </w:p>
        </w:tc>
        <w:tc>
          <w:tcPr>
            <w:tcW w:w="3151" w:type="dxa"/>
            <w:tcBorders>
              <w:top w:val="nil"/>
              <w:left w:val="nil"/>
              <w:bottom w:val="single" w:sz="4" w:space="0" w:color="auto"/>
              <w:right w:val="single" w:sz="4" w:space="0" w:color="auto"/>
            </w:tcBorders>
            <w:shd w:val="clear" w:color="000000" w:fill="FFFFFF"/>
            <w:noWrap/>
            <w:vAlign w:val="center"/>
          </w:tcPr>
          <w:p w14:paraId="3B60B3BC" w14:textId="77777777" w:rsidR="006F68E2" w:rsidRPr="00835AA1" w:rsidRDefault="00D241BF" w:rsidP="00D241BF">
            <w:pPr>
              <w:rPr>
                <w:szCs w:val="22"/>
                <w:lang w:val="fr-FR"/>
              </w:rPr>
            </w:pPr>
            <w:r w:rsidRPr="00835AA1">
              <w:rPr>
                <w:szCs w:val="22"/>
                <w:lang w:val="fr-FR"/>
              </w:rPr>
              <w:t>Bulletin des dessins et modèles internationaux</w:t>
            </w:r>
          </w:p>
        </w:tc>
        <w:tc>
          <w:tcPr>
            <w:tcW w:w="1260" w:type="dxa"/>
            <w:tcBorders>
              <w:top w:val="nil"/>
              <w:left w:val="nil"/>
              <w:bottom w:val="single" w:sz="4" w:space="0" w:color="auto"/>
              <w:right w:val="single" w:sz="4" w:space="0" w:color="auto"/>
            </w:tcBorders>
            <w:shd w:val="clear" w:color="000000" w:fill="FFFFFF"/>
            <w:noWrap/>
            <w:vAlign w:val="center"/>
          </w:tcPr>
          <w:p w14:paraId="07DBFA08" w14:textId="77777777" w:rsidR="006F68E2" w:rsidRPr="00835AA1" w:rsidRDefault="00A47D79" w:rsidP="006F68E2">
            <w:pPr>
              <w:jc w:val="center"/>
              <w:rPr>
                <w:szCs w:val="22"/>
                <w:lang w:val="fr-FR"/>
              </w:rPr>
            </w:pPr>
            <w:r w:rsidRPr="00835AA1">
              <w:rPr>
                <w:szCs w:val="22"/>
                <w:lang w:val="fr-FR"/>
              </w:rPr>
              <w:t>X</w:t>
            </w:r>
          </w:p>
        </w:tc>
        <w:tc>
          <w:tcPr>
            <w:tcW w:w="1260" w:type="dxa"/>
            <w:tcBorders>
              <w:top w:val="nil"/>
              <w:left w:val="nil"/>
              <w:bottom w:val="single" w:sz="4" w:space="0" w:color="auto"/>
              <w:right w:val="single" w:sz="4" w:space="0" w:color="auto"/>
            </w:tcBorders>
            <w:shd w:val="clear" w:color="000000" w:fill="FFFFFF"/>
            <w:noWrap/>
            <w:vAlign w:val="center"/>
          </w:tcPr>
          <w:p w14:paraId="1D13CA5E" w14:textId="77777777" w:rsidR="006F68E2" w:rsidRPr="00835AA1" w:rsidRDefault="006F68E2" w:rsidP="006F68E2">
            <w:pPr>
              <w:jc w:val="center"/>
              <w:rPr>
                <w:szCs w:val="22"/>
                <w:lang w:val="fr-FR"/>
              </w:rPr>
            </w:pPr>
          </w:p>
        </w:tc>
        <w:tc>
          <w:tcPr>
            <w:tcW w:w="1170" w:type="dxa"/>
            <w:tcBorders>
              <w:top w:val="nil"/>
              <w:left w:val="nil"/>
              <w:bottom w:val="single" w:sz="4" w:space="0" w:color="auto"/>
              <w:right w:val="single" w:sz="4" w:space="0" w:color="auto"/>
            </w:tcBorders>
            <w:shd w:val="clear" w:color="000000" w:fill="FFFFFF"/>
            <w:noWrap/>
            <w:vAlign w:val="center"/>
          </w:tcPr>
          <w:p w14:paraId="1B473A3D" w14:textId="77777777" w:rsidR="006F68E2" w:rsidRPr="00835AA1" w:rsidRDefault="006F68E2" w:rsidP="006F68E2">
            <w:pPr>
              <w:jc w:val="center"/>
              <w:rPr>
                <w:szCs w:val="22"/>
                <w:lang w:val="fr-FR"/>
              </w:rPr>
            </w:pPr>
            <w:r w:rsidRPr="00835AA1">
              <w:rPr>
                <w:szCs w:val="22"/>
                <w:lang w:val="fr-FR"/>
              </w:rPr>
              <w:t>X</w:t>
            </w:r>
          </w:p>
        </w:tc>
        <w:tc>
          <w:tcPr>
            <w:tcW w:w="955" w:type="dxa"/>
            <w:tcBorders>
              <w:top w:val="nil"/>
              <w:left w:val="nil"/>
              <w:bottom w:val="single" w:sz="4" w:space="0" w:color="auto"/>
              <w:right w:val="single" w:sz="4" w:space="0" w:color="auto"/>
            </w:tcBorders>
            <w:shd w:val="clear" w:color="000000" w:fill="FFFFFF"/>
            <w:noWrap/>
            <w:vAlign w:val="center"/>
          </w:tcPr>
          <w:p w14:paraId="1691F195" w14:textId="77777777" w:rsidR="006F68E2" w:rsidRPr="00835AA1" w:rsidRDefault="006F68E2" w:rsidP="006F68E2">
            <w:pPr>
              <w:jc w:val="center"/>
              <w:rPr>
                <w:szCs w:val="22"/>
                <w:lang w:val="fr-FR"/>
              </w:rPr>
            </w:pPr>
          </w:p>
        </w:tc>
        <w:tc>
          <w:tcPr>
            <w:tcW w:w="1295" w:type="dxa"/>
            <w:tcBorders>
              <w:top w:val="nil"/>
              <w:left w:val="nil"/>
              <w:bottom w:val="single" w:sz="4" w:space="0" w:color="auto"/>
              <w:right w:val="single" w:sz="4" w:space="0" w:color="auto"/>
            </w:tcBorders>
            <w:shd w:val="clear" w:color="000000" w:fill="FFFFFF"/>
            <w:noWrap/>
            <w:vAlign w:val="center"/>
          </w:tcPr>
          <w:p w14:paraId="77ED962D" w14:textId="77777777" w:rsidR="006F68E2" w:rsidRPr="00835AA1" w:rsidRDefault="006F68E2" w:rsidP="006F68E2">
            <w:pPr>
              <w:jc w:val="center"/>
              <w:rPr>
                <w:szCs w:val="22"/>
                <w:lang w:val="fr-FR"/>
              </w:rPr>
            </w:pPr>
            <w:r w:rsidRPr="00835AA1">
              <w:rPr>
                <w:szCs w:val="22"/>
                <w:lang w:val="fr-FR"/>
              </w:rPr>
              <w:t>X</w:t>
            </w:r>
          </w:p>
        </w:tc>
      </w:tr>
      <w:tr w:rsidR="00A541B2" w:rsidRPr="00835AA1" w14:paraId="1CE21BDB" w14:textId="77777777" w:rsidTr="00A419D0">
        <w:trPr>
          <w:trHeight w:val="405"/>
        </w:trPr>
        <w:tc>
          <w:tcPr>
            <w:tcW w:w="704" w:type="dxa"/>
            <w:tcBorders>
              <w:top w:val="nil"/>
              <w:left w:val="single" w:sz="4" w:space="0" w:color="auto"/>
              <w:bottom w:val="single" w:sz="4" w:space="0" w:color="auto"/>
              <w:right w:val="single" w:sz="4" w:space="0" w:color="auto"/>
            </w:tcBorders>
            <w:shd w:val="clear" w:color="000000" w:fill="FFFFFF"/>
            <w:noWrap/>
            <w:vAlign w:val="center"/>
          </w:tcPr>
          <w:p w14:paraId="5880595A" w14:textId="77777777" w:rsidR="006F68E2" w:rsidRPr="00835AA1" w:rsidRDefault="006F68E2" w:rsidP="006F68E2">
            <w:pPr>
              <w:jc w:val="center"/>
              <w:rPr>
                <w:szCs w:val="22"/>
                <w:lang w:val="fr-FR"/>
              </w:rPr>
            </w:pPr>
            <w:r w:rsidRPr="00835AA1">
              <w:rPr>
                <w:szCs w:val="22"/>
                <w:lang w:val="fr-FR"/>
              </w:rPr>
              <w:t>7)</w:t>
            </w:r>
          </w:p>
        </w:tc>
        <w:tc>
          <w:tcPr>
            <w:tcW w:w="3151" w:type="dxa"/>
            <w:tcBorders>
              <w:top w:val="nil"/>
              <w:left w:val="nil"/>
              <w:bottom w:val="single" w:sz="4" w:space="0" w:color="auto"/>
              <w:right w:val="single" w:sz="4" w:space="0" w:color="auto"/>
            </w:tcBorders>
            <w:shd w:val="clear" w:color="000000" w:fill="FFFFFF"/>
            <w:noWrap/>
            <w:vAlign w:val="center"/>
          </w:tcPr>
          <w:p w14:paraId="4EF0AED5" w14:textId="77777777" w:rsidR="006F68E2" w:rsidRPr="00835AA1" w:rsidRDefault="00D241BF" w:rsidP="00D241BF">
            <w:pPr>
              <w:rPr>
                <w:szCs w:val="22"/>
                <w:lang w:val="fr-FR"/>
              </w:rPr>
            </w:pPr>
            <w:r w:rsidRPr="00835AA1">
              <w:rPr>
                <w:szCs w:val="22"/>
                <w:lang w:val="fr-FR"/>
              </w:rPr>
              <w:t>Tous les autres formulaires</w:t>
            </w:r>
          </w:p>
        </w:tc>
        <w:tc>
          <w:tcPr>
            <w:tcW w:w="1260" w:type="dxa"/>
            <w:tcBorders>
              <w:top w:val="nil"/>
              <w:left w:val="nil"/>
              <w:bottom w:val="single" w:sz="4" w:space="0" w:color="auto"/>
              <w:right w:val="single" w:sz="4" w:space="0" w:color="auto"/>
            </w:tcBorders>
            <w:shd w:val="clear" w:color="000000" w:fill="FFFFFF"/>
            <w:noWrap/>
            <w:vAlign w:val="center"/>
          </w:tcPr>
          <w:p w14:paraId="026FF2C1" w14:textId="77777777" w:rsidR="006F68E2" w:rsidRPr="00835AA1" w:rsidRDefault="00A47D79" w:rsidP="006F68E2">
            <w:pPr>
              <w:jc w:val="center"/>
              <w:rPr>
                <w:szCs w:val="22"/>
                <w:lang w:val="fr-FR"/>
              </w:rPr>
            </w:pPr>
            <w:r w:rsidRPr="00835AA1">
              <w:rPr>
                <w:szCs w:val="22"/>
                <w:lang w:val="fr-FR"/>
              </w:rPr>
              <w:t>X</w:t>
            </w:r>
          </w:p>
        </w:tc>
        <w:tc>
          <w:tcPr>
            <w:tcW w:w="1260" w:type="dxa"/>
            <w:tcBorders>
              <w:top w:val="nil"/>
              <w:left w:val="nil"/>
              <w:bottom w:val="single" w:sz="4" w:space="0" w:color="auto"/>
              <w:right w:val="single" w:sz="4" w:space="0" w:color="auto"/>
            </w:tcBorders>
            <w:shd w:val="clear" w:color="000000" w:fill="FFFFFF"/>
            <w:noWrap/>
            <w:vAlign w:val="center"/>
          </w:tcPr>
          <w:p w14:paraId="1BC093A2" w14:textId="77777777" w:rsidR="006F68E2" w:rsidRPr="00835AA1" w:rsidRDefault="006F68E2" w:rsidP="006F68E2">
            <w:pPr>
              <w:jc w:val="center"/>
              <w:rPr>
                <w:szCs w:val="22"/>
                <w:lang w:val="fr-FR"/>
              </w:rPr>
            </w:pPr>
          </w:p>
        </w:tc>
        <w:tc>
          <w:tcPr>
            <w:tcW w:w="1170" w:type="dxa"/>
            <w:tcBorders>
              <w:top w:val="nil"/>
              <w:left w:val="nil"/>
              <w:bottom w:val="single" w:sz="4" w:space="0" w:color="auto"/>
              <w:right w:val="single" w:sz="4" w:space="0" w:color="auto"/>
            </w:tcBorders>
            <w:shd w:val="clear" w:color="000000" w:fill="FFFFFF"/>
            <w:noWrap/>
            <w:vAlign w:val="center"/>
          </w:tcPr>
          <w:p w14:paraId="45EC6633" w14:textId="77777777" w:rsidR="006F68E2" w:rsidRPr="00835AA1" w:rsidRDefault="006F68E2" w:rsidP="006F68E2">
            <w:pPr>
              <w:jc w:val="center"/>
              <w:rPr>
                <w:szCs w:val="22"/>
                <w:lang w:val="fr-FR"/>
              </w:rPr>
            </w:pPr>
            <w:r w:rsidRPr="00835AA1">
              <w:rPr>
                <w:szCs w:val="22"/>
                <w:lang w:val="fr-FR"/>
              </w:rPr>
              <w:t>X</w:t>
            </w:r>
          </w:p>
        </w:tc>
        <w:tc>
          <w:tcPr>
            <w:tcW w:w="955" w:type="dxa"/>
            <w:tcBorders>
              <w:top w:val="nil"/>
              <w:left w:val="nil"/>
              <w:bottom w:val="single" w:sz="4" w:space="0" w:color="auto"/>
              <w:right w:val="single" w:sz="4" w:space="0" w:color="auto"/>
            </w:tcBorders>
            <w:shd w:val="clear" w:color="000000" w:fill="FFFFFF"/>
            <w:noWrap/>
            <w:vAlign w:val="center"/>
          </w:tcPr>
          <w:p w14:paraId="191993C9" w14:textId="77777777" w:rsidR="006F68E2" w:rsidRPr="00835AA1" w:rsidRDefault="006F68E2" w:rsidP="006F68E2">
            <w:pPr>
              <w:jc w:val="center"/>
              <w:rPr>
                <w:szCs w:val="22"/>
                <w:lang w:val="fr-FR"/>
              </w:rPr>
            </w:pPr>
          </w:p>
        </w:tc>
        <w:tc>
          <w:tcPr>
            <w:tcW w:w="1295" w:type="dxa"/>
            <w:tcBorders>
              <w:top w:val="nil"/>
              <w:left w:val="nil"/>
              <w:bottom w:val="single" w:sz="4" w:space="0" w:color="auto"/>
              <w:right w:val="single" w:sz="4" w:space="0" w:color="auto"/>
            </w:tcBorders>
            <w:shd w:val="clear" w:color="000000" w:fill="FFFFFF"/>
            <w:noWrap/>
            <w:vAlign w:val="center"/>
          </w:tcPr>
          <w:p w14:paraId="05475705" w14:textId="77777777" w:rsidR="006F68E2" w:rsidRPr="00835AA1" w:rsidRDefault="006F68E2" w:rsidP="006F68E2">
            <w:pPr>
              <w:jc w:val="center"/>
              <w:rPr>
                <w:szCs w:val="22"/>
                <w:lang w:val="fr-FR"/>
              </w:rPr>
            </w:pPr>
            <w:r w:rsidRPr="00835AA1">
              <w:rPr>
                <w:szCs w:val="22"/>
                <w:lang w:val="fr-FR"/>
              </w:rPr>
              <w:t>X</w:t>
            </w:r>
          </w:p>
        </w:tc>
      </w:tr>
      <w:tr w:rsidR="00A541B2" w:rsidRPr="00835AA1" w14:paraId="0C6BCF13" w14:textId="77777777" w:rsidTr="00A419D0">
        <w:trPr>
          <w:trHeight w:val="405"/>
        </w:trPr>
        <w:tc>
          <w:tcPr>
            <w:tcW w:w="704" w:type="dxa"/>
            <w:tcBorders>
              <w:top w:val="nil"/>
              <w:left w:val="single" w:sz="4" w:space="0" w:color="auto"/>
              <w:bottom w:val="single" w:sz="4" w:space="0" w:color="auto"/>
              <w:right w:val="single" w:sz="4" w:space="0" w:color="auto"/>
            </w:tcBorders>
            <w:shd w:val="clear" w:color="000000" w:fill="FFFFFF"/>
            <w:noWrap/>
            <w:vAlign w:val="center"/>
          </w:tcPr>
          <w:p w14:paraId="29536D83" w14:textId="77777777" w:rsidR="006F68E2" w:rsidRPr="00835AA1" w:rsidRDefault="006F68E2" w:rsidP="006F68E2">
            <w:pPr>
              <w:jc w:val="center"/>
              <w:rPr>
                <w:szCs w:val="22"/>
                <w:lang w:val="fr-FR"/>
              </w:rPr>
            </w:pPr>
            <w:r w:rsidRPr="00835AA1">
              <w:rPr>
                <w:szCs w:val="22"/>
                <w:lang w:val="fr-FR"/>
              </w:rPr>
              <w:t>8)</w:t>
            </w:r>
          </w:p>
        </w:tc>
        <w:tc>
          <w:tcPr>
            <w:tcW w:w="3151" w:type="dxa"/>
            <w:tcBorders>
              <w:top w:val="nil"/>
              <w:left w:val="nil"/>
              <w:bottom w:val="single" w:sz="4" w:space="0" w:color="auto"/>
              <w:right w:val="single" w:sz="4" w:space="0" w:color="auto"/>
            </w:tcBorders>
            <w:shd w:val="clear" w:color="000000" w:fill="FFFFFF"/>
            <w:noWrap/>
            <w:vAlign w:val="center"/>
          </w:tcPr>
          <w:p w14:paraId="009D02FA" w14:textId="77777777" w:rsidR="006F68E2" w:rsidRPr="0005318F" w:rsidRDefault="006F68E2" w:rsidP="006F68E2">
            <w:pPr>
              <w:rPr>
                <w:i/>
                <w:szCs w:val="22"/>
                <w:lang w:val="fr-FR"/>
              </w:rPr>
            </w:pPr>
            <w:r w:rsidRPr="0005318F">
              <w:rPr>
                <w:i/>
                <w:szCs w:val="22"/>
                <w:lang w:val="fr-FR"/>
              </w:rPr>
              <w:t>eRenewal</w:t>
            </w:r>
          </w:p>
        </w:tc>
        <w:tc>
          <w:tcPr>
            <w:tcW w:w="1260" w:type="dxa"/>
            <w:tcBorders>
              <w:top w:val="nil"/>
              <w:left w:val="nil"/>
              <w:bottom w:val="single" w:sz="4" w:space="0" w:color="auto"/>
              <w:right w:val="single" w:sz="4" w:space="0" w:color="auto"/>
            </w:tcBorders>
            <w:shd w:val="clear" w:color="000000" w:fill="FFFFFF"/>
            <w:noWrap/>
            <w:vAlign w:val="center"/>
          </w:tcPr>
          <w:p w14:paraId="2287CFC5" w14:textId="77777777" w:rsidR="006F68E2" w:rsidRPr="00835AA1" w:rsidRDefault="00A47D79" w:rsidP="006F68E2">
            <w:pPr>
              <w:jc w:val="center"/>
              <w:rPr>
                <w:szCs w:val="22"/>
                <w:lang w:val="fr-FR"/>
              </w:rPr>
            </w:pPr>
            <w:r w:rsidRPr="00835AA1">
              <w:rPr>
                <w:szCs w:val="22"/>
                <w:lang w:val="fr-FR"/>
              </w:rPr>
              <w:t>X</w:t>
            </w:r>
          </w:p>
        </w:tc>
        <w:tc>
          <w:tcPr>
            <w:tcW w:w="1260" w:type="dxa"/>
            <w:tcBorders>
              <w:top w:val="nil"/>
              <w:left w:val="nil"/>
              <w:bottom w:val="single" w:sz="4" w:space="0" w:color="auto"/>
              <w:right w:val="single" w:sz="4" w:space="0" w:color="auto"/>
            </w:tcBorders>
            <w:shd w:val="clear" w:color="000000" w:fill="FFFFFF"/>
            <w:noWrap/>
            <w:vAlign w:val="center"/>
          </w:tcPr>
          <w:p w14:paraId="4F3A6CB8" w14:textId="77777777" w:rsidR="006F68E2" w:rsidRPr="00835AA1" w:rsidRDefault="006F68E2" w:rsidP="006F68E2">
            <w:pPr>
              <w:jc w:val="center"/>
              <w:rPr>
                <w:szCs w:val="22"/>
                <w:lang w:val="fr-FR"/>
              </w:rPr>
            </w:pPr>
          </w:p>
        </w:tc>
        <w:tc>
          <w:tcPr>
            <w:tcW w:w="1170" w:type="dxa"/>
            <w:tcBorders>
              <w:top w:val="nil"/>
              <w:left w:val="nil"/>
              <w:bottom w:val="single" w:sz="4" w:space="0" w:color="auto"/>
              <w:right w:val="single" w:sz="4" w:space="0" w:color="auto"/>
            </w:tcBorders>
            <w:shd w:val="clear" w:color="000000" w:fill="FFFFFF"/>
            <w:noWrap/>
            <w:vAlign w:val="center"/>
          </w:tcPr>
          <w:p w14:paraId="0F699E02" w14:textId="77777777" w:rsidR="006F68E2" w:rsidRPr="00835AA1" w:rsidRDefault="006F68E2" w:rsidP="006F68E2">
            <w:pPr>
              <w:jc w:val="center"/>
              <w:rPr>
                <w:szCs w:val="22"/>
                <w:lang w:val="fr-FR"/>
              </w:rPr>
            </w:pPr>
            <w:r w:rsidRPr="00835AA1">
              <w:rPr>
                <w:szCs w:val="22"/>
                <w:lang w:val="fr-FR"/>
              </w:rPr>
              <w:t>X</w:t>
            </w:r>
          </w:p>
        </w:tc>
        <w:tc>
          <w:tcPr>
            <w:tcW w:w="955" w:type="dxa"/>
            <w:tcBorders>
              <w:top w:val="nil"/>
              <w:left w:val="nil"/>
              <w:bottom w:val="single" w:sz="4" w:space="0" w:color="auto"/>
              <w:right w:val="single" w:sz="4" w:space="0" w:color="auto"/>
            </w:tcBorders>
            <w:shd w:val="clear" w:color="000000" w:fill="FFFFFF"/>
            <w:noWrap/>
            <w:vAlign w:val="center"/>
          </w:tcPr>
          <w:p w14:paraId="61DF75B6" w14:textId="77777777" w:rsidR="006F68E2" w:rsidRPr="00835AA1" w:rsidRDefault="006F68E2" w:rsidP="006F68E2">
            <w:pPr>
              <w:jc w:val="center"/>
              <w:rPr>
                <w:szCs w:val="22"/>
                <w:lang w:val="fr-FR"/>
              </w:rPr>
            </w:pPr>
          </w:p>
        </w:tc>
        <w:tc>
          <w:tcPr>
            <w:tcW w:w="1295" w:type="dxa"/>
            <w:tcBorders>
              <w:top w:val="nil"/>
              <w:left w:val="nil"/>
              <w:bottom w:val="single" w:sz="4" w:space="0" w:color="auto"/>
              <w:right w:val="single" w:sz="4" w:space="0" w:color="auto"/>
            </w:tcBorders>
            <w:shd w:val="clear" w:color="000000" w:fill="FFFFFF"/>
            <w:noWrap/>
            <w:vAlign w:val="center"/>
          </w:tcPr>
          <w:p w14:paraId="54B3AFCB" w14:textId="77777777" w:rsidR="006F68E2" w:rsidRPr="00835AA1" w:rsidRDefault="006F68E2" w:rsidP="006F68E2">
            <w:pPr>
              <w:jc w:val="center"/>
              <w:rPr>
                <w:szCs w:val="22"/>
                <w:lang w:val="fr-FR"/>
              </w:rPr>
            </w:pPr>
            <w:r w:rsidRPr="00835AA1">
              <w:rPr>
                <w:szCs w:val="22"/>
                <w:lang w:val="fr-FR"/>
              </w:rPr>
              <w:t>X</w:t>
            </w:r>
          </w:p>
        </w:tc>
      </w:tr>
      <w:tr w:rsidR="00A541B2" w:rsidRPr="00A50943" w14:paraId="0663D089" w14:textId="77777777" w:rsidTr="00A419D0">
        <w:trPr>
          <w:trHeight w:val="405"/>
        </w:trPr>
        <w:tc>
          <w:tcPr>
            <w:tcW w:w="9795" w:type="dxa"/>
            <w:gridSpan w:val="7"/>
            <w:tcBorders>
              <w:top w:val="nil"/>
              <w:left w:val="single" w:sz="4" w:space="0" w:color="auto"/>
              <w:bottom w:val="single" w:sz="4" w:space="0" w:color="auto"/>
              <w:right w:val="single" w:sz="4" w:space="0" w:color="auto"/>
            </w:tcBorders>
            <w:shd w:val="clear" w:color="000000" w:fill="FFFFFF"/>
            <w:noWrap/>
            <w:vAlign w:val="center"/>
          </w:tcPr>
          <w:p w14:paraId="1EF3B497" w14:textId="77777777" w:rsidR="00E11F83" w:rsidRPr="00835AA1" w:rsidRDefault="00D241BF" w:rsidP="00D241BF">
            <w:pPr>
              <w:rPr>
                <w:b/>
                <w:szCs w:val="22"/>
                <w:lang w:val="fr-FR"/>
              </w:rPr>
            </w:pPr>
            <w:r w:rsidRPr="00835AA1">
              <w:rPr>
                <w:b/>
                <w:szCs w:val="22"/>
                <w:lang w:val="fr-FR"/>
              </w:rPr>
              <w:t xml:space="preserve">Toutes les options suggèrent </w:t>
            </w:r>
            <w:r w:rsidR="005F577F" w:rsidRPr="00835AA1">
              <w:rPr>
                <w:b/>
                <w:szCs w:val="22"/>
                <w:lang w:val="fr-FR"/>
              </w:rPr>
              <w:t xml:space="preserve">que ces éléments soient disponibles </w:t>
            </w:r>
            <w:r w:rsidRPr="00835AA1">
              <w:rPr>
                <w:b/>
                <w:szCs w:val="22"/>
                <w:lang w:val="fr-FR"/>
              </w:rPr>
              <w:t>dans les nouvelles langues pour aider les utilisateurs</w:t>
            </w:r>
          </w:p>
        </w:tc>
      </w:tr>
      <w:tr w:rsidR="00A541B2" w:rsidRPr="00835AA1" w14:paraId="3C5CC733" w14:textId="77777777" w:rsidTr="00A419D0">
        <w:trPr>
          <w:trHeight w:val="40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3E43DCC7" w14:textId="77777777" w:rsidR="00E11F83" w:rsidRPr="00835AA1" w:rsidRDefault="00E11F83" w:rsidP="001D52BE">
            <w:pPr>
              <w:jc w:val="center"/>
              <w:rPr>
                <w:szCs w:val="22"/>
                <w:lang w:val="fr-FR"/>
              </w:rPr>
            </w:pPr>
            <w:r w:rsidRPr="00835AA1">
              <w:rPr>
                <w:szCs w:val="22"/>
                <w:lang w:val="fr-FR"/>
              </w:rPr>
              <w:t>9)</w:t>
            </w:r>
          </w:p>
        </w:tc>
        <w:tc>
          <w:tcPr>
            <w:tcW w:w="3151" w:type="dxa"/>
            <w:tcBorders>
              <w:top w:val="nil"/>
              <w:left w:val="nil"/>
              <w:bottom w:val="single" w:sz="4" w:space="0" w:color="auto"/>
              <w:right w:val="single" w:sz="4" w:space="0" w:color="auto"/>
            </w:tcBorders>
            <w:shd w:val="clear" w:color="000000" w:fill="FFFFFF"/>
            <w:noWrap/>
            <w:vAlign w:val="center"/>
            <w:hideMark/>
          </w:tcPr>
          <w:p w14:paraId="4C79A34C" w14:textId="77777777" w:rsidR="00E11F83" w:rsidRPr="00835AA1" w:rsidRDefault="00D241BF" w:rsidP="00D241BF">
            <w:pPr>
              <w:rPr>
                <w:szCs w:val="22"/>
                <w:lang w:val="fr-FR"/>
              </w:rPr>
            </w:pPr>
            <w:r w:rsidRPr="00835AA1">
              <w:rPr>
                <w:szCs w:val="22"/>
                <w:lang w:val="fr-FR"/>
              </w:rPr>
              <w:t>Classification de Locarno</w:t>
            </w:r>
          </w:p>
        </w:tc>
        <w:tc>
          <w:tcPr>
            <w:tcW w:w="1260" w:type="dxa"/>
            <w:tcBorders>
              <w:top w:val="nil"/>
              <w:left w:val="nil"/>
              <w:bottom w:val="single" w:sz="4" w:space="0" w:color="auto"/>
              <w:right w:val="single" w:sz="4" w:space="0" w:color="auto"/>
            </w:tcBorders>
            <w:shd w:val="clear" w:color="000000" w:fill="FFFFFF"/>
            <w:noWrap/>
            <w:vAlign w:val="center"/>
            <w:hideMark/>
          </w:tcPr>
          <w:p w14:paraId="717A6EC0" w14:textId="77777777" w:rsidR="00E11F83" w:rsidRPr="00835AA1" w:rsidRDefault="00E11F83" w:rsidP="001D52BE">
            <w:pPr>
              <w:jc w:val="center"/>
              <w:rPr>
                <w:szCs w:val="22"/>
                <w:lang w:val="fr-FR"/>
              </w:rPr>
            </w:pPr>
          </w:p>
        </w:tc>
        <w:tc>
          <w:tcPr>
            <w:tcW w:w="1260" w:type="dxa"/>
            <w:tcBorders>
              <w:top w:val="nil"/>
              <w:left w:val="nil"/>
              <w:bottom w:val="single" w:sz="4" w:space="0" w:color="auto"/>
              <w:right w:val="single" w:sz="4" w:space="0" w:color="auto"/>
            </w:tcBorders>
            <w:shd w:val="clear" w:color="000000" w:fill="FFFFFF"/>
            <w:noWrap/>
            <w:vAlign w:val="center"/>
            <w:hideMark/>
          </w:tcPr>
          <w:p w14:paraId="00F7BB48" w14:textId="77777777" w:rsidR="00E11F83" w:rsidRPr="00835AA1" w:rsidRDefault="00E11F83" w:rsidP="001D52BE">
            <w:pPr>
              <w:jc w:val="center"/>
              <w:rPr>
                <w:szCs w:val="22"/>
                <w:lang w:val="fr-FR"/>
              </w:rPr>
            </w:pPr>
            <w:r w:rsidRPr="00835AA1">
              <w:rPr>
                <w:szCs w:val="22"/>
                <w:lang w:val="fr-FR"/>
              </w:rPr>
              <w:t>X</w:t>
            </w:r>
          </w:p>
        </w:tc>
        <w:tc>
          <w:tcPr>
            <w:tcW w:w="1170" w:type="dxa"/>
            <w:tcBorders>
              <w:top w:val="nil"/>
              <w:left w:val="nil"/>
              <w:bottom w:val="single" w:sz="4" w:space="0" w:color="auto"/>
              <w:right w:val="single" w:sz="4" w:space="0" w:color="auto"/>
            </w:tcBorders>
            <w:shd w:val="clear" w:color="000000" w:fill="FFFFFF"/>
            <w:noWrap/>
            <w:vAlign w:val="center"/>
            <w:hideMark/>
          </w:tcPr>
          <w:p w14:paraId="3AD872A0" w14:textId="77777777" w:rsidR="00E11F83" w:rsidRPr="00835AA1" w:rsidRDefault="00E11F83" w:rsidP="001D52BE">
            <w:pPr>
              <w:jc w:val="center"/>
              <w:rPr>
                <w:szCs w:val="22"/>
                <w:lang w:val="fr-FR"/>
              </w:rPr>
            </w:pPr>
            <w:r w:rsidRPr="00835AA1">
              <w:rPr>
                <w:szCs w:val="22"/>
                <w:lang w:val="fr-FR"/>
              </w:rPr>
              <w:t>X</w:t>
            </w:r>
          </w:p>
        </w:tc>
        <w:tc>
          <w:tcPr>
            <w:tcW w:w="955" w:type="dxa"/>
            <w:tcBorders>
              <w:top w:val="nil"/>
              <w:left w:val="nil"/>
              <w:bottom w:val="single" w:sz="4" w:space="0" w:color="auto"/>
              <w:right w:val="single" w:sz="4" w:space="0" w:color="auto"/>
            </w:tcBorders>
            <w:shd w:val="clear" w:color="000000" w:fill="FFFFFF"/>
            <w:noWrap/>
            <w:vAlign w:val="center"/>
            <w:hideMark/>
          </w:tcPr>
          <w:p w14:paraId="1CB24A2E" w14:textId="77777777" w:rsidR="00E11F83" w:rsidRPr="00835AA1" w:rsidRDefault="00E11F83" w:rsidP="001D52BE">
            <w:pPr>
              <w:jc w:val="center"/>
              <w:rPr>
                <w:szCs w:val="22"/>
                <w:lang w:val="fr-FR"/>
              </w:rPr>
            </w:pPr>
          </w:p>
        </w:tc>
        <w:tc>
          <w:tcPr>
            <w:tcW w:w="1295" w:type="dxa"/>
            <w:tcBorders>
              <w:top w:val="nil"/>
              <w:left w:val="nil"/>
              <w:bottom w:val="single" w:sz="4" w:space="0" w:color="auto"/>
              <w:right w:val="single" w:sz="4" w:space="0" w:color="auto"/>
            </w:tcBorders>
            <w:shd w:val="clear" w:color="000000" w:fill="FFFFFF"/>
            <w:noWrap/>
            <w:vAlign w:val="center"/>
            <w:hideMark/>
          </w:tcPr>
          <w:p w14:paraId="7ED494C8" w14:textId="77777777" w:rsidR="00E11F83" w:rsidRPr="00835AA1" w:rsidRDefault="00E11F83" w:rsidP="001D52BE">
            <w:pPr>
              <w:jc w:val="center"/>
              <w:rPr>
                <w:szCs w:val="22"/>
                <w:lang w:val="fr-FR"/>
              </w:rPr>
            </w:pPr>
          </w:p>
        </w:tc>
      </w:tr>
      <w:tr w:rsidR="00A541B2" w:rsidRPr="00835AA1" w14:paraId="4B9D21B3" w14:textId="77777777" w:rsidTr="00A419D0">
        <w:trPr>
          <w:trHeight w:val="395"/>
        </w:trPr>
        <w:tc>
          <w:tcPr>
            <w:tcW w:w="704" w:type="dxa"/>
            <w:tcBorders>
              <w:top w:val="nil"/>
              <w:left w:val="single" w:sz="4" w:space="0" w:color="auto"/>
              <w:bottom w:val="single" w:sz="4" w:space="0" w:color="auto"/>
              <w:right w:val="single" w:sz="4" w:space="0" w:color="auto"/>
            </w:tcBorders>
            <w:shd w:val="clear" w:color="000000" w:fill="FFFFFF"/>
            <w:noWrap/>
            <w:vAlign w:val="center"/>
          </w:tcPr>
          <w:p w14:paraId="4E52C3D2" w14:textId="77777777" w:rsidR="00E11F83" w:rsidRPr="00835AA1" w:rsidRDefault="00E11F83" w:rsidP="001D52BE">
            <w:pPr>
              <w:jc w:val="center"/>
              <w:rPr>
                <w:szCs w:val="22"/>
                <w:lang w:val="fr-FR"/>
              </w:rPr>
            </w:pPr>
            <w:r w:rsidRPr="00835AA1">
              <w:rPr>
                <w:szCs w:val="22"/>
                <w:lang w:val="fr-FR"/>
              </w:rPr>
              <w:t>10)</w:t>
            </w:r>
          </w:p>
        </w:tc>
        <w:tc>
          <w:tcPr>
            <w:tcW w:w="3151" w:type="dxa"/>
            <w:tcBorders>
              <w:top w:val="nil"/>
              <w:left w:val="nil"/>
              <w:bottom w:val="single" w:sz="4" w:space="0" w:color="auto"/>
              <w:right w:val="single" w:sz="4" w:space="0" w:color="auto"/>
            </w:tcBorders>
            <w:shd w:val="clear" w:color="000000" w:fill="FFFFFF"/>
            <w:noWrap/>
            <w:vAlign w:val="center"/>
          </w:tcPr>
          <w:p w14:paraId="582F3664" w14:textId="77777777" w:rsidR="00E11F83" w:rsidRPr="00835AA1" w:rsidRDefault="00D241BF" w:rsidP="00D241BF">
            <w:pPr>
              <w:rPr>
                <w:szCs w:val="22"/>
                <w:lang w:val="fr-FR"/>
              </w:rPr>
            </w:pPr>
            <w:r w:rsidRPr="00835AA1">
              <w:rPr>
                <w:szCs w:val="22"/>
                <w:lang w:val="fr-FR"/>
              </w:rPr>
              <w:t>Conseils</w:t>
            </w:r>
            <w:r w:rsidR="005F577F" w:rsidRPr="00835AA1">
              <w:rPr>
                <w:szCs w:val="22"/>
                <w:lang w:val="fr-FR"/>
              </w:rPr>
              <w:t xml:space="preserve"> concern</w:t>
            </w:r>
            <w:r w:rsidRPr="00835AA1">
              <w:rPr>
                <w:szCs w:val="22"/>
                <w:lang w:val="fr-FR"/>
              </w:rPr>
              <w:t>ant les reproductions</w:t>
            </w:r>
          </w:p>
        </w:tc>
        <w:tc>
          <w:tcPr>
            <w:tcW w:w="1260" w:type="dxa"/>
            <w:tcBorders>
              <w:top w:val="nil"/>
              <w:left w:val="nil"/>
              <w:bottom w:val="single" w:sz="4" w:space="0" w:color="auto"/>
              <w:right w:val="single" w:sz="4" w:space="0" w:color="auto"/>
            </w:tcBorders>
            <w:shd w:val="clear" w:color="000000" w:fill="FFFFFF"/>
            <w:noWrap/>
            <w:vAlign w:val="center"/>
          </w:tcPr>
          <w:p w14:paraId="264671C5" w14:textId="77777777" w:rsidR="00E11F83" w:rsidRPr="00835AA1" w:rsidRDefault="00E11F83" w:rsidP="001D52BE">
            <w:pPr>
              <w:jc w:val="center"/>
              <w:rPr>
                <w:szCs w:val="22"/>
                <w:lang w:val="fr-FR"/>
              </w:rPr>
            </w:pPr>
            <w:r w:rsidRPr="00835AA1">
              <w:rPr>
                <w:szCs w:val="22"/>
                <w:lang w:val="fr-FR"/>
              </w:rPr>
              <w:t>X</w:t>
            </w:r>
          </w:p>
        </w:tc>
        <w:tc>
          <w:tcPr>
            <w:tcW w:w="1260" w:type="dxa"/>
            <w:tcBorders>
              <w:top w:val="nil"/>
              <w:left w:val="nil"/>
              <w:bottom w:val="single" w:sz="4" w:space="0" w:color="auto"/>
              <w:right w:val="single" w:sz="4" w:space="0" w:color="auto"/>
            </w:tcBorders>
            <w:shd w:val="clear" w:color="000000" w:fill="FFFFFF"/>
            <w:noWrap/>
            <w:vAlign w:val="center"/>
          </w:tcPr>
          <w:p w14:paraId="77876B6E" w14:textId="77777777" w:rsidR="00E11F83" w:rsidRPr="00835AA1" w:rsidRDefault="00E11F83" w:rsidP="001D52BE">
            <w:pPr>
              <w:jc w:val="center"/>
              <w:rPr>
                <w:szCs w:val="22"/>
                <w:lang w:val="fr-FR"/>
              </w:rPr>
            </w:pPr>
            <w:r w:rsidRPr="00835AA1">
              <w:rPr>
                <w:szCs w:val="22"/>
                <w:lang w:val="fr-FR"/>
              </w:rPr>
              <w:t>X</w:t>
            </w:r>
          </w:p>
        </w:tc>
        <w:tc>
          <w:tcPr>
            <w:tcW w:w="1170" w:type="dxa"/>
            <w:tcBorders>
              <w:top w:val="nil"/>
              <w:left w:val="nil"/>
              <w:bottom w:val="single" w:sz="4" w:space="0" w:color="auto"/>
              <w:right w:val="single" w:sz="4" w:space="0" w:color="auto"/>
            </w:tcBorders>
            <w:shd w:val="clear" w:color="000000" w:fill="FFFFFF"/>
            <w:noWrap/>
            <w:vAlign w:val="center"/>
          </w:tcPr>
          <w:p w14:paraId="21314523" w14:textId="77777777" w:rsidR="00E11F83" w:rsidRPr="00835AA1" w:rsidRDefault="00E11F83" w:rsidP="001D52BE">
            <w:pPr>
              <w:jc w:val="center"/>
              <w:rPr>
                <w:szCs w:val="22"/>
                <w:lang w:val="fr-FR"/>
              </w:rPr>
            </w:pPr>
            <w:r w:rsidRPr="00835AA1">
              <w:rPr>
                <w:szCs w:val="22"/>
                <w:lang w:val="fr-FR"/>
              </w:rPr>
              <w:t>X</w:t>
            </w:r>
          </w:p>
        </w:tc>
        <w:tc>
          <w:tcPr>
            <w:tcW w:w="955" w:type="dxa"/>
            <w:tcBorders>
              <w:top w:val="nil"/>
              <w:left w:val="nil"/>
              <w:bottom w:val="single" w:sz="4" w:space="0" w:color="auto"/>
              <w:right w:val="single" w:sz="4" w:space="0" w:color="auto"/>
            </w:tcBorders>
            <w:shd w:val="clear" w:color="000000" w:fill="FFFFFF"/>
            <w:noWrap/>
            <w:vAlign w:val="center"/>
          </w:tcPr>
          <w:p w14:paraId="7A361206" w14:textId="77777777" w:rsidR="00E11F83" w:rsidRPr="00835AA1" w:rsidRDefault="00E11F83" w:rsidP="001D52BE">
            <w:pPr>
              <w:jc w:val="center"/>
              <w:rPr>
                <w:szCs w:val="22"/>
                <w:lang w:val="fr-FR"/>
              </w:rPr>
            </w:pPr>
            <w:r w:rsidRPr="00835AA1">
              <w:rPr>
                <w:szCs w:val="22"/>
                <w:lang w:val="fr-FR"/>
              </w:rPr>
              <w:t>X</w:t>
            </w:r>
          </w:p>
        </w:tc>
        <w:tc>
          <w:tcPr>
            <w:tcW w:w="1295" w:type="dxa"/>
            <w:tcBorders>
              <w:top w:val="nil"/>
              <w:left w:val="nil"/>
              <w:bottom w:val="single" w:sz="4" w:space="0" w:color="auto"/>
              <w:right w:val="single" w:sz="4" w:space="0" w:color="auto"/>
            </w:tcBorders>
            <w:shd w:val="clear" w:color="000000" w:fill="FFFFFF"/>
            <w:noWrap/>
            <w:vAlign w:val="center"/>
          </w:tcPr>
          <w:p w14:paraId="075E66DF" w14:textId="77777777" w:rsidR="00E11F83" w:rsidRPr="00835AA1" w:rsidRDefault="00E11F83" w:rsidP="001D52BE">
            <w:pPr>
              <w:jc w:val="center"/>
              <w:rPr>
                <w:szCs w:val="22"/>
                <w:lang w:val="fr-FR"/>
              </w:rPr>
            </w:pPr>
            <w:r w:rsidRPr="00835AA1">
              <w:rPr>
                <w:szCs w:val="22"/>
                <w:lang w:val="fr-FR"/>
              </w:rPr>
              <w:t>X</w:t>
            </w:r>
          </w:p>
        </w:tc>
      </w:tr>
      <w:tr w:rsidR="00A541B2" w:rsidRPr="00835AA1" w14:paraId="7FA0F426" w14:textId="77777777" w:rsidTr="00A419D0">
        <w:trPr>
          <w:trHeight w:val="395"/>
        </w:trPr>
        <w:tc>
          <w:tcPr>
            <w:tcW w:w="704" w:type="dxa"/>
            <w:tcBorders>
              <w:top w:val="nil"/>
              <w:left w:val="single" w:sz="4" w:space="0" w:color="auto"/>
              <w:bottom w:val="single" w:sz="4" w:space="0" w:color="auto"/>
              <w:right w:val="single" w:sz="4" w:space="0" w:color="auto"/>
            </w:tcBorders>
            <w:shd w:val="clear" w:color="000000" w:fill="FFFFFF"/>
            <w:noWrap/>
            <w:vAlign w:val="center"/>
          </w:tcPr>
          <w:p w14:paraId="66229BB4" w14:textId="77777777" w:rsidR="00E11F83" w:rsidRPr="00835AA1" w:rsidRDefault="00E11F83" w:rsidP="001D52BE">
            <w:pPr>
              <w:jc w:val="center"/>
              <w:rPr>
                <w:szCs w:val="22"/>
                <w:lang w:val="fr-FR"/>
              </w:rPr>
            </w:pPr>
            <w:r w:rsidRPr="00835AA1">
              <w:rPr>
                <w:szCs w:val="22"/>
                <w:lang w:val="fr-FR"/>
              </w:rPr>
              <w:t>11)</w:t>
            </w:r>
          </w:p>
        </w:tc>
        <w:tc>
          <w:tcPr>
            <w:tcW w:w="3151" w:type="dxa"/>
            <w:tcBorders>
              <w:top w:val="nil"/>
              <w:left w:val="nil"/>
              <w:bottom w:val="single" w:sz="4" w:space="0" w:color="auto"/>
              <w:right w:val="single" w:sz="4" w:space="0" w:color="auto"/>
            </w:tcBorders>
            <w:shd w:val="clear" w:color="000000" w:fill="FFFFFF"/>
            <w:noWrap/>
            <w:vAlign w:val="center"/>
          </w:tcPr>
          <w:p w14:paraId="58BC33C3" w14:textId="77777777" w:rsidR="00E11F83" w:rsidRPr="00835AA1" w:rsidRDefault="00870325" w:rsidP="00080010">
            <w:pPr>
              <w:rPr>
                <w:szCs w:val="22"/>
                <w:lang w:val="fr-FR"/>
              </w:rPr>
            </w:pPr>
            <w:r w:rsidRPr="00835AA1">
              <w:rPr>
                <w:szCs w:val="22"/>
                <w:lang w:val="fr-FR"/>
              </w:rPr>
              <w:t>Guide à l</w:t>
            </w:r>
            <w:r w:rsidR="002E3178" w:rsidRPr="00835AA1">
              <w:rPr>
                <w:szCs w:val="22"/>
                <w:lang w:val="fr-FR"/>
              </w:rPr>
              <w:t>’</w:t>
            </w:r>
            <w:r w:rsidRPr="00835AA1">
              <w:rPr>
                <w:szCs w:val="22"/>
                <w:lang w:val="fr-FR"/>
              </w:rPr>
              <w:t xml:space="preserve">intention des utilisateurs du système de </w:t>
            </w:r>
            <w:r w:rsidR="002E3178" w:rsidRPr="00835AA1">
              <w:rPr>
                <w:szCs w:val="22"/>
                <w:lang w:val="fr-FR"/>
              </w:rPr>
              <w:t>La Haye</w:t>
            </w:r>
            <w:r w:rsidR="00080010" w:rsidRPr="00835AA1">
              <w:rPr>
                <w:rStyle w:val="FootnoteReference"/>
                <w:color w:val="000000"/>
                <w:szCs w:val="22"/>
                <w:lang w:val="fr-FR"/>
              </w:rPr>
              <w:footnoteReference w:id="8"/>
            </w:r>
          </w:p>
        </w:tc>
        <w:tc>
          <w:tcPr>
            <w:tcW w:w="1260" w:type="dxa"/>
            <w:tcBorders>
              <w:top w:val="nil"/>
              <w:left w:val="nil"/>
              <w:bottom w:val="single" w:sz="4" w:space="0" w:color="auto"/>
              <w:right w:val="single" w:sz="4" w:space="0" w:color="auto"/>
            </w:tcBorders>
            <w:shd w:val="clear" w:color="000000" w:fill="FFFFFF"/>
            <w:noWrap/>
            <w:vAlign w:val="center"/>
          </w:tcPr>
          <w:p w14:paraId="471AA4D8" w14:textId="77777777" w:rsidR="00E11F83" w:rsidRPr="00835AA1" w:rsidRDefault="00E11F83" w:rsidP="001D52BE">
            <w:pPr>
              <w:jc w:val="center"/>
              <w:rPr>
                <w:szCs w:val="22"/>
                <w:lang w:val="fr-FR"/>
              </w:rPr>
            </w:pPr>
            <w:r w:rsidRPr="00835AA1">
              <w:rPr>
                <w:szCs w:val="22"/>
                <w:lang w:val="fr-FR"/>
              </w:rPr>
              <w:t>X</w:t>
            </w:r>
          </w:p>
        </w:tc>
        <w:tc>
          <w:tcPr>
            <w:tcW w:w="1260" w:type="dxa"/>
            <w:tcBorders>
              <w:top w:val="nil"/>
              <w:left w:val="nil"/>
              <w:bottom w:val="single" w:sz="4" w:space="0" w:color="auto"/>
              <w:right w:val="single" w:sz="4" w:space="0" w:color="auto"/>
            </w:tcBorders>
            <w:shd w:val="clear" w:color="000000" w:fill="FFFFFF"/>
            <w:noWrap/>
            <w:vAlign w:val="center"/>
          </w:tcPr>
          <w:p w14:paraId="6432C69D" w14:textId="77777777" w:rsidR="00E11F83" w:rsidRPr="00835AA1" w:rsidRDefault="00E11F83" w:rsidP="001D52BE">
            <w:pPr>
              <w:jc w:val="center"/>
              <w:rPr>
                <w:szCs w:val="22"/>
                <w:lang w:val="fr-FR"/>
              </w:rPr>
            </w:pPr>
            <w:r w:rsidRPr="00835AA1">
              <w:rPr>
                <w:szCs w:val="22"/>
                <w:lang w:val="fr-FR"/>
              </w:rPr>
              <w:t>X</w:t>
            </w:r>
          </w:p>
        </w:tc>
        <w:tc>
          <w:tcPr>
            <w:tcW w:w="1170" w:type="dxa"/>
            <w:tcBorders>
              <w:top w:val="nil"/>
              <w:left w:val="nil"/>
              <w:bottom w:val="single" w:sz="4" w:space="0" w:color="auto"/>
              <w:right w:val="single" w:sz="4" w:space="0" w:color="auto"/>
            </w:tcBorders>
            <w:shd w:val="clear" w:color="000000" w:fill="FFFFFF"/>
            <w:noWrap/>
            <w:vAlign w:val="center"/>
          </w:tcPr>
          <w:p w14:paraId="0AFA4E34" w14:textId="77777777" w:rsidR="00E11F83" w:rsidRPr="00835AA1" w:rsidRDefault="00E11F83" w:rsidP="001D52BE">
            <w:pPr>
              <w:jc w:val="center"/>
              <w:rPr>
                <w:szCs w:val="22"/>
                <w:lang w:val="fr-FR"/>
              </w:rPr>
            </w:pPr>
            <w:r w:rsidRPr="00835AA1">
              <w:rPr>
                <w:szCs w:val="22"/>
                <w:lang w:val="fr-FR"/>
              </w:rPr>
              <w:t>X</w:t>
            </w:r>
          </w:p>
        </w:tc>
        <w:tc>
          <w:tcPr>
            <w:tcW w:w="955" w:type="dxa"/>
            <w:tcBorders>
              <w:top w:val="nil"/>
              <w:left w:val="nil"/>
              <w:bottom w:val="single" w:sz="4" w:space="0" w:color="auto"/>
              <w:right w:val="single" w:sz="4" w:space="0" w:color="auto"/>
            </w:tcBorders>
            <w:shd w:val="clear" w:color="000000" w:fill="FFFFFF"/>
            <w:noWrap/>
            <w:vAlign w:val="center"/>
          </w:tcPr>
          <w:p w14:paraId="3F96DA36" w14:textId="77777777" w:rsidR="00E11F83" w:rsidRPr="00835AA1" w:rsidRDefault="00E11F83" w:rsidP="001D52BE">
            <w:pPr>
              <w:jc w:val="center"/>
              <w:rPr>
                <w:szCs w:val="22"/>
                <w:lang w:val="fr-FR"/>
              </w:rPr>
            </w:pPr>
            <w:r w:rsidRPr="00835AA1">
              <w:rPr>
                <w:szCs w:val="22"/>
                <w:lang w:val="fr-FR"/>
              </w:rPr>
              <w:t>X</w:t>
            </w:r>
          </w:p>
        </w:tc>
        <w:tc>
          <w:tcPr>
            <w:tcW w:w="1295" w:type="dxa"/>
            <w:tcBorders>
              <w:top w:val="nil"/>
              <w:left w:val="nil"/>
              <w:bottom w:val="single" w:sz="4" w:space="0" w:color="auto"/>
              <w:right w:val="single" w:sz="4" w:space="0" w:color="auto"/>
            </w:tcBorders>
            <w:shd w:val="clear" w:color="000000" w:fill="FFFFFF"/>
            <w:noWrap/>
            <w:vAlign w:val="center"/>
          </w:tcPr>
          <w:p w14:paraId="193E21BC" w14:textId="77777777" w:rsidR="00E11F83" w:rsidRPr="00835AA1" w:rsidRDefault="00E11F83" w:rsidP="001D52BE">
            <w:pPr>
              <w:jc w:val="center"/>
              <w:rPr>
                <w:szCs w:val="22"/>
                <w:lang w:val="fr-FR"/>
              </w:rPr>
            </w:pPr>
            <w:r w:rsidRPr="00835AA1">
              <w:rPr>
                <w:szCs w:val="22"/>
                <w:lang w:val="fr-FR"/>
              </w:rPr>
              <w:t>X</w:t>
            </w:r>
          </w:p>
        </w:tc>
      </w:tr>
      <w:tr w:rsidR="00A541B2" w:rsidRPr="00835AA1" w14:paraId="4EB43E2E" w14:textId="77777777" w:rsidTr="00A419D0">
        <w:trPr>
          <w:trHeight w:val="40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5CC34140" w14:textId="77777777" w:rsidR="00E11F83" w:rsidRPr="00835AA1" w:rsidRDefault="00E11F83" w:rsidP="001D52BE">
            <w:pPr>
              <w:jc w:val="center"/>
              <w:rPr>
                <w:szCs w:val="22"/>
                <w:lang w:val="fr-FR"/>
              </w:rPr>
            </w:pPr>
            <w:r w:rsidRPr="00835AA1">
              <w:rPr>
                <w:szCs w:val="22"/>
                <w:lang w:val="fr-FR"/>
              </w:rPr>
              <w:t>12)</w:t>
            </w:r>
          </w:p>
        </w:tc>
        <w:tc>
          <w:tcPr>
            <w:tcW w:w="3151" w:type="dxa"/>
            <w:tcBorders>
              <w:top w:val="nil"/>
              <w:left w:val="nil"/>
              <w:bottom w:val="single" w:sz="4" w:space="0" w:color="auto"/>
              <w:right w:val="single" w:sz="4" w:space="0" w:color="auto"/>
            </w:tcBorders>
            <w:shd w:val="clear" w:color="000000" w:fill="FFFFFF"/>
            <w:noWrap/>
            <w:vAlign w:val="center"/>
            <w:hideMark/>
          </w:tcPr>
          <w:p w14:paraId="49AB205F" w14:textId="77777777" w:rsidR="00E11F83" w:rsidRPr="00835AA1" w:rsidRDefault="00870325" w:rsidP="00870325">
            <w:pPr>
              <w:rPr>
                <w:szCs w:val="22"/>
                <w:lang w:val="fr-FR"/>
              </w:rPr>
            </w:pPr>
            <w:r w:rsidRPr="00835AA1">
              <w:rPr>
                <w:szCs w:val="22"/>
                <w:lang w:val="fr-FR"/>
              </w:rPr>
              <w:t xml:space="preserve">Profil des membres du système de </w:t>
            </w:r>
            <w:r w:rsidR="002E3178" w:rsidRPr="00835AA1">
              <w:rPr>
                <w:szCs w:val="22"/>
                <w:lang w:val="fr-FR"/>
              </w:rPr>
              <w:t>La Haye</w:t>
            </w:r>
          </w:p>
        </w:tc>
        <w:tc>
          <w:tcPr>
            <w:tcW w:w="1260" w:type="dxa"/>
            <w:tcBorders>
              <w:top w:val="nil"/>
              <w:left w:val="nil"/>
              <w:bottom w:val="single" w:sz="4" w:space="0" w:color="auto"/>
              <w:right w:val="single" w:sz="4" w:space="0" w:color="auto"/>
            </w:tcBorders>
            <w:shd w:val="clear" w:color="000000" w:fill="FFFFFF"/>
            <w:noWrap/>
            <w:vAlign w:val="center"/>
            <w:hideMark/>
          </w:tcPr>
          <w:p w14:paraId="4505BA79" w14:textId="77777777" w:rsidR="00E11F83" w:rsidRPr="00835AA1" w:rsidRDefault="00E11F83" w:rsidP="001D52BE">
            <w:pPr>
              <w:jc w:val="center"/>
              <w:rPr>
                <w:szCs w:val="22"/>
                <w:lang w:val="fr-FR"/>
              </w:rPr>
            </w:pPr>
            <w:r w:rsidRPr="00835AA1">
              <w:rPr>
                <w:szCs w:val="22"/>
                <w:lang w:val="fr-FR"/>
              </w:rPr>
              <w:t> </w:t>
            </w:r>
            <w:r w:rsidR="00A47D79" w:rsidRPr="00835AA1">
              <w:rPr>
                <w:szCs w:val="22"/>
                <w:lang w:val="fr-FR"/>
              </w:rPr>
              <w:t>X</w:t>
            </w:r>
          </w:p>
        </w:tc>
        <w:tc>
          <w:tcPr>
            <w:tcW w:w="1260" w:type="dxa"/>
            <w:tcBorders>
              <w:top w:val="nil"/>
              <w:left w:val="nil"/>
              <w:bottom w:val="single" w:sz="4" w:space="0" w:color="auto"/>
              <w:right w:val="single" w:sz="4" w:space="0" w:color="auto"/>
            </w:tcBorders>
            <w:shd w:val="clear" w:color="000000" w:fill="FFFFFF"/>
            <w:noWrap/>
            <w:vAlign w:val="center"/>
            <w:hideMark/>
          </w:tcPr>
          <w:p w14:paraId="07CF8542" w14:textId="77777777" w:rsidR="00E11F83" w:rsidRPr="00835AA1" w:rsidRDefault="00E11F83" w:rsidP="001D52BE">
            <w:pPr>
              <w:jc w:val="center"/>
              <w:rPr>
                <w:szCs w:val="22"/>
                <w:lang w:val="fr-FR"/>
              </w:rPr>
            </w:pPr>
          </w:p>
        </w:tc>
        <w:tc>
          <w:tcPr>
            <w:tcW w:w="1170" w:type="dxa"/>
            <w:tcBorders>
              <w:top w:val="nil"/>
              <w:left w:val="nil"/>
              <w:bottom w:val="single" w:sz="4" w:space="0" w:color="auto"/>
              <w:right w:val="single" w:sz="4" w:space="0" w:color="auto"/>
            </w:tcBorders>
            <w:shd w:val="clear" w:color="000000" w:fill="FFFFFF"/>
            <w:noWrap/>
            <w:vAlign w:val="center"/>
            <w:hideMark/>
          </w:tcPr>
          <w:p w14:paraId="3F37EB86" w14:textId="77777777" w:rsidR="00E11F83" w:rsidRPr="00835AA1" w:rsidRDefault="00E11F83" w:rsidP="001D52BE">
            <w:pPr>
              <w:jc w:val="center"/>
              <w:rPr>
                <w:szCs w:val="22"/>
                <w:lang w:val="fr-FR"/>
              </w:rPr>
            </w:pPr>
            <w:r w:rsidRPr="00835AA1">
              <w:rPr>
                <w:szCs w:val="22"/>
                <w:lang w:val="fr-FR"/>
              </w:rPr>
              <w:t>X</w:t>
            </w:r>
          </w:p>
        </w:tc>
        <w:tc>
          <w:tcPr>
            <w:tcW w:w="955" w:type="dxa"/>
            <w:tcBorders>
              <w:top w:val="nil"/>
              <w:left w:val="nil"/>
              <w:bottom w:val="single" w:sz="4" w:space="0" w:color="auto"/>
              <w:right w:val="single" w:sz="4" w:space="0" w:color="auto"/>
            </w:tcBorders>
            <w:shd w:val="clear" w:color="000000" w:fill="FFFFFF"/>
            <w:noWrap/>
            <w:vAlign w:val="center"/>
          </w:tcPr>
          <w:p w14:paraId="5F535682" w14:textId="77777777" w:rsidR="00E11F83" w:rsidRPr="00835AA1" w:rsidRDefault="00E11F83" w:rsidP="001D52BE">
            <w:pPr>
              <w:jc w:val="center"/>
              <w:rPr>
                <w:szCs w:val="22"/>
                <w:lang w:val="fr-FR"/>
              </w:rPr>
            </w:pPr>
          </w:p>
        </w:tc>
        <w:tc>
          <w:tcPr>
            <w:tcW w:w="1295" w:type="dxa"/>
            <w:tcBorders>
              <w:top w:val="nil"/>
              <w:left w:val="nil"/>
              <w:bottom w:val="single" w:sz="4" w:space="0" w:color="auto"/>
              <w:right w:val="single" w:sz="4" w:space="0" w:color="auto"/>
            </w:tcBorders>
            <w:shd w:val="clear" w:color="000000" w:fill="FFFFFF"/>
            <w:noWrap/>
            <w:vAlign w:val="center"/>
            <w:hideMark/>
          </w:tcPr>
          <w:p w14:paraId="1B2AA979" w14:textId="77777777" w:rsidR="00E11F83" w:rsidRPr="00835AA1" w:rsidRDefault="006F68E2" w:rsidP="001D52BE">
            <w:pPr>
              <w:jc w:val="center"/>
              <w:rPr>
                <w:szCs w:val="22"/>
                <w:lang w:val="fr-FR"/>
              </w:rPr>
            </w:pPr>
            <w:r w:rsidRPr="00835AA1">
              <w:rPr>
                <w:szCs w:val="22"/>
                <w:lang w:val="fr-FR"/>
              </w:rPr>
              <w:t>X</w:t>
            </w:r>
            <w:r w:rsidR="00E11F83" w:rsidRPr="00835AA1">
              <w:rPr>
                <w:szCs w:val="22"/>
                <w:lang w:val="fr-FR"/>
              </w:rPr>
              <w:t> </w:t>
            </w:r>
          </w:p>
        </w:tc>
      </w:tr>
      <w:tr w:rsidR="00A541B2" w:rsidRPr="00835AA1" w14:paraId="51742866" w14:textId="77777777" w:rsidTr="00A419D0">
        <w:trPr>
          <w:trHeight w:val="40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73C23F87" w14:textId="77777777" w:rsidR="00E11F83" w:rsidRPr="00835AA1" w:rsidRDefault="00E11F83" w:rsidP="001D52BE">
            <w:pPr>
              <w:jc w:val="center"/>
              <w:rPr>
                <w:szCs w:val="22"/>
                <w:lang w:val="fr-FR"/>
              </w:rPr>
            </w:pPr>
            <w:r w:rsidRPr="00835AA1">
              <w:rPr>
                <w:szCs w:val="22"/>
                <w:lang w:val="fr-FR"/>
              </w:rPr>
              <w:t>13)</w:t>
            </w:r>
          </w:p>
        </w:tc>
        <w:tc>
          <w:tcPr>
            <w:tcW w:w="3151" w:type="dxa"/>
            <w:tcBorders>
              <w:top w:val="nil"/>
              <w:left w:val="nil"/>
              <w:bottom w:val="single" w:sz="4" w:space="0" w:color="auto"/>
              <w:right w:val="single" w:sz="4" w:space="0" w:color="auto"/>
            </w:tcBorders>
            <w:shd w:val="clear" w:color="000000" w:fill="FFFFFF"/>
            <w:noWrap/>
            <w:vAlign w:val="center"/>
            <w:hideMark/>
          </w:tcPr>
          <w:p w14:paraId="7E0C0F8E" w14:textId="77777777" w:rsidR="00E11F83" w:rsidRPr="00835AA1" w:rsidRDefault="00870325" w:rsidP="00870325">
            <w:pPr>
              <w:rPr>
                <w:szCs w:val="22"/>
                <w:lang w:val="fr-FR"/>
              </w:rPr>
            </w:pPr>
            <w:r w:rsidRPr="00835AA1">
              <w:rPr>
                <w:szCs w:val="22"/>
                <w:lang w:val="fr-FR"/>
              </w:rPr>
              <w:t xml:space="preserve">Calculateur de taxes </w:t>
            </w:r>
          </w:p>
        </w:tc>
        <w:tc>
          <w:tcPr>
            <w:tcW w:w="1260" w:type="dxa"/>
            <w:tcBorders>
              <w:top w:val="nil"/>
              <w:left w:val="nil"/>
              <w:bottom w:val="single" w:sz="4" w:space="0" w:color="auto"/>
              <w:right w:val="single" w:sz="4" w:space="0" w:color="auto"/>
            </w:tcBorders>
            <w:shd w:val="clear" w:color="000000" w:fill="FFFFFF"/>
            <w:noWrap/>
            <w:vAlign w:val="center"/>
            <w:hideMark/>
          </w:tcPr>
          <w:p w14:paraId="2FBDC1FC" w14:textId="77777777" w:rsidR="00E11F83" w:rsidRPr="00835AA1" w:rsidRDefault="00A47D79" w:rsidP="001D52BE">
            <w:pPr>
              <w:jc w:val="center"/>
              <w:rPr>
                <w:szCs w:val="22"/>
                <w:lang w:val="fr-FR"/>
              </w:rPr>
            </w:pPr>
            <w:r w:rsidRPr="00835AA1">
              <w:rPr>
                <w:szCs w:val="22"/>
                <w:lang w:val="fr-FR"/>
              </w:rPr>
              <w:t>X</w:t>
            </w:r>
          </w:p>
        </w:tc>
        <w:tc>
          <w:tcPr>
            <w:tcW w:w="1260" w:type="dxa"/>
            <w:tcBorders>
              <w:top w:val="nil"/>
              <w:left w:val="nil"/>
              <w:bottom w:val="single" w:sz="4" w:space="0" w:color="auto"/>
              <w:right w:val="single" w:sz="4" w:space="0" w:color="auto"/>
            </w:tcBorders>
            <w:shd w:val="clear" w:color="000000" w:fill="FFFFFF"/>
            <w:noWrap/>
            <w:vAlign w:val="center"/>
            <w:hideMark/>
          </w:tcPr>
          <w:p w14:paraId="1DC79CB7" w14:textId="77777777" w:rsidR="00E11F83" w:rsidRPr="00835AA1" w:rsidRDefault="00E11F83" w:rsidP="001D52BE">
            <w:pPr>
              <w:jc w:val="center"/>
              <w:rPr>
                <w:szCs w:val="22"/>
                <w:lang w:val="fr-FR"/>
              </w:rPr>
            </w:pPr>
          </w:p>
        </w:tc>
        <w:tc>
          <w:tcPr>
            <w:tcW w:w="1170" w:type="dxa"/>
            <w:tcBorders>
              <w:top w:val="nil"/>
              <w:left w:val="nil"/>
              <w:bottom w:val="single" w:sz="4" w:space="0" w:color="auto"/>
              <w:right w:val="single" w:sz="4" w:space="0" w:color="auto"/>
            </w:tcBorders>
            <w:shd w:val="clear" w:color="000000" w:fill="FFFFFF"/>
            <w:noWrap/>
            <w:vAlign w:val="center"/>
            <w:hideMark/>
          </w:tcPr>
          <w:p w14:paraId="0DD3ECDA" w14:textId="77777777" w:rsidR="00E11F83" w:rsidRPr="00835AA1" w:rsidRDefault="00E11F83" w:rsidP="001D52BE">
            <w:pPr>
              <w:jc w:val="center"/>
              <w:rPr>
                <w:szCs w:val="22"/>
                <w:lang w:val="fr-FR"/>
              </w:rPr>
            </w:pPr>
            <w:r w:rsidRPr="00835AA1">
              <w:rPr>
                <w:szCs w:val="22"/>
                <w:lang w:val="fr-FR"/>
              </w:rPr>
              <w:t>X</w:t>
            </w:r>
          </w:p>
        </w:tc>
        <w:tc>
          <w:tcPr>
            <w:tcW w:w="955" w:type="dxa"/>
            <w:tcBorders>
              <w:top w:val="nil"/>
              <w:left w:val="nil"/>
              <w:bottom w:val="single" w:sz="4" w:space="0" w:color="auto"/>
              <w:right w:val="single" w:sz="4" w:space="0" w:color="auto"/>
            </w:tcBorders>
            <w:shd w:val="clear" w:color="000000" w:fill="FFFFFF"/>
            <w:noWrap/>
            <w:vAlign w:val="center"/>
          </w:tcPr>
          <w:p w14:paraId="16322EE8" w14:textId="77777777" w:rsidR="00E11F83" w:rsidRPr="00835AA1" w:rsidRDefault="00E11F83" w:rsidP="001D52BE">
            <w:pPr>
              <w:jc w:val="center"/>
              <w:rPr>
                <w:szCs w:val="22"/>
                <w:lang w:val="fr-FR"/>
              </w:rPr>
            </w:pPr>
          </w:p>
        </w:tc>
        <w:tc>
          <w:tcPr>
            <w:tcW w:w="1295" w:type="dxa"/>
            <w:tcBorders>
              <w:top w:val="nil"/>
              <w:left w:val="nil"/>
              <w:bottom w:val="single" w:sz="4" w:space="0" w:color="auto"/>
              <w:right w:val="single" w:sz="4" w:space="0" w:color="auto"/>
            </w:tcBorders>
            <w:shd w:val="clear" w:color="000000" w:fill="FFFFFF"/>
            <w:noWrap/>
            <w:vAlign w:val="center"/>
            <w:hideMark/>
          </w:tcPr>
          <w:p w14:paraId="1E3E273E" w14:textId="77777777" w:rsidR="00E11F83" w:rsidRPr="00835AA1" w:rsidRDefault="006F68E2" w:rsidP="001D52BE">
            <w:pPr>
              <w:jc w:val="center"/>
              <w:rPr>
                <w:szCs w:val="22"/>
                <w:lang w:val="fr-FR"/>
              </w:rPr>
            </w:pPr>
            <w:r w:rsidRPr="00835AA1">
              <w:rPr>
                <w:szCs w:val="22"/>
                <w:lang w:val="fr-FR"/>
              </w:rPr>
              <w:t>X</w:t>
            </w:r>
          </w:p>
        </w:tc>
      </w:tr>
      <w:tr w:rsidR="00A541B2" w:rsidRPr="00835AA1" w14:paraId="712FA205" w14:textId="77777777" w:rsidTr="00A419D0">
        <w:trPr>
          <w:trHeight w:val="40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703EB7B4" w14:textId="77777777" w:rsidR="00E11F83" w:rsidRPr="00835AA1" w:rsidRDefault="00E11F83" w:rsidP="001D52BE">
            <w:pPr>
              <w:jc w:val="center"/>
              <w:rPr>
                <w:szCs w:val="22"/>
                <w:lang w:val="fr-FR"/>
              </w:rPr>
            </w:pPr>
            <w:r w:rsidRPr="00835AA1">
              <w:rPr>
                <w:szCs w:val="22"/>
                <w:lang w:val="fr-FR"/>
              </w:rPr>
              <w:t>14)</w:t>
            </w:r>
          </w:p>
        </w:tc>
        <w:tc>
          <w:tcPr>
            <w:tcW w:w="3151" w:type="dxa"/>
            <w:tcBorders>
              <w:top w:val="nil"/>
              <w:left w:val="nil"/>
              <w:bottom w:val="single" w:sz="4" w:space="0" w:color="auto"/>
              <w:right w:val="single" w:sz="4" w:space="0" w:color="auto"/>
            </w:tcBorders>
            <w:shd w:val="clear" w:color="000000" w:fill="FFFFFF"/>
            <w:noWrap/>
            <w:vAlign w:val="center"/>
            <w:hideMark/>
          </w:tcPr>
          <w:p w14:paraId="311A6EC0" w14:textId="77777777" w:rsidR="00E11F83" w:rsidRPr="00835AA1" w:rsidRDefault="00870325" w:rsidP="00870325">
            <w:pPr>
              <w:rPr>
                <w:szCs w:val="22"/>
                <w:lang w:val="fr-FR"/>
              </w:rPr>
            </w:pPr>
            <w:r w:rsidRPr="00835AA1">
              <w:rPr>
                <w:szCs w:val="22"/>
                <w:lang w:val="fr-FR"/>
              </w:rPr>
              <w:t>Base de données mondiale sur les dessins et modèles (</w:t>
            </w:r>
            <w:r w:rsidR="002E3178" w:rsidRPr="00835AA1">
              <w:rPr>
                <w:szCs w:val="22"/>
                <w:lang w:val="fr-FR"/>
              </w:rPr>
              <w:t>y compris</w:t>
            </w:r>
            <w:r w:rsidRPr="00835AA1">
              <w:rPr>
                <w:szCs w:val="22"/>
                <w:lang w:val="fr-FR"/>
              </w:rPr>
              <w:t xml:space="preserve"> </w:t>
            </w:r>
            <w:r w:rsidRPr="00A50943">
              <w:rPr>
                <w:i/>
                <w:szCs w:val="22"/>
                <w:lang w:val="fr-FR"/>
              </w:rPr>
              <w:t>Hague Express</w:t>
            </w:r>
            <w:r w:rsidRPr="00835AA1">
              <w:rPr>
                <w:szCs w:val="22"/>
                <w:lang w:val="fr-FR"/>
              </w:rPr>
              <w:t>)</w:t>
            </w:r>
          </w:p>
        </w:tc>
        <w:tc>
          <w:tcPr>
            <w:tcW w:w="1260" w:type="dxa"/>
            <w:tcBorders>
              <w:top w:val="nil"/>
              <w:left w:val="nil"/>
              <w:bottom w:val="single" w:sz="4" w:space="0" w:color="auto"/>
              <w:right w:val="single" w:sz="4" w:space="0" w:color="auto"/>
            </w:tcBorders>
            <w:shd w:val="clear" w:color="000000" w:fill="FFFFFF"/>
            <w:noWrap/>
            <w:vAlign w:val="center"/>
            <w:hideMark/>
          </w:tcPr>
          <w:p w14:paraId="5E17870D" w14:textId="77777777" w:rsidR="00E11F83" w:rsidRPr="00835AA1" w:rsidRDefault="00A47D79" w:rsidP="001D52BE">
            <w:pPr>
              <w:jc w:val="center"/>
              <w:rPr>
                <w:szCs w:val="22"/>
                <w:lang w:val="fr-FR"/>
              </w:rPr>
            </w:pPr>
            <w:r w:rsidRPr="00835AA1">
              <w:rPr>
                <w:szCs w:val="22"/>
                <w:lang w:val="fr-FR"/>
              </w:rPr>
              <w:t>X</w:t>
            </w:r>
          </w:p>
        </w:tc>
        <w:tc>
          <w:tcPr>
            <w:tcW w:w="1260" w:type="dxa"/>
            <w:tcBorders>
              <w:top w:val="nil"/>
              <w:left w:val="nil"/>
              <w:bottom w:val="single" w:sz="4" w:space="0" w:color="auto"/>
              <w:right w:val="single" w:sz="4" w:space="0" w:color="auto"/>
            </w:tcBorders>
            <w:shd w:val="clear" w:color="000000" w:fill="FFFFFF"/>
            <w:noWrap/>
            <w:vAlign w:val="center"/>
            <w:hideMark/>
          </w:tcPr>
          <w:p w14:paraId="47A4EC9E" w14:textId="77777777" w:rsidR="00E11F83" w:rsidRPr="00835AA1" w:rsidRDefault="00E11F83" w:rsidP="001D52BE">
            <w:pPr>
              <w:jc w:val="center"/>
              <w:rPr>
                <w:szCs w:val="22"/>
                <w:lang w:val="fr-FR"/>
              </w:rPr>
            </w:pPr>
          </w:p>
        </w:tc>
        <w:tc>
          <w:tcPr>
            <w:tcW w:w="1170" w:type="dxa"/>
            <w:tcBorders>
              <w:top w:val="nil"/>
              <w:left w:val="nil"/>
              <w:bottom w:val="single" w:sz="4" w:space="0" w:color="auto"/>
              <w:right w:val="single" w:sz="4" w:space="0" w:color="auto"/>
            </w:tcBorders>
            <w:shd w:val="clear" w:color="000000" w:fill="FFFFFF"/>
            <w:noWrap/>
            <w:vAlign w:val="center"/>
            <w:hideMark/>
          </w:tcPr>
          <w:p w14:paraId="1D163CA5" w14:textId="77777777" w:rsidR="00E11F83" w:rsidRPr="00835AA1" w:rsidRDefault="00E11F83" w:rsidP="001D52BE">
            <w:pPr>
              <w:jc w:val="center"/>
              <w:rPr>
                <w:szCs w:val="22"/>
                <w:lang w:val="fr-FR"/>
              </w:rPr>
            </w:pPr>
            <w:r w:rsidRPr="00835AA1">
              <w:rPr>
                <w:szCs w:val="22"/>
                <w:lang w:val="fr-FR"/>
              </w:rPr>
              <w:t>X</w:t>
            </w:r>
          </w:p>
        </w:tc>
        <w:tc>
          <w:tcPr>
            <w:tcW w:w="955" w:type="dxa"/>
            <w:tcBorders>
              <w:top w:val="nil"/>
              <w:left w:val="nil"/>
              <w:bottom w:val="single" w:sz="4" w:space="0" w:color="auto"/>
              <w:right w:val="single" w:sz="4" w:space="0" w:color="auto"/>
            </w:tcBorders>
            <w:shd w:val="clear" w:color="000000" w:fill="FFFFFF"/>
            <w:noWrap/>
            <w:vAlign w:val="center"/>
          </w:tcPr>
          <w:p w14:paraId="79215836" w14:textId="77777777" w:rsidR="00E11F83" w:rsidRPr="00835AA1" w:rsidRDefault="00E11F83" w:rsidP="001D52BE">
            <w:pPr>
              <w:jc w:val="center"/>
              <w:rPr>
                <w:szCs w:val="22"/>
                <w:lang w:val="fr-FR"/>
              </w:rPr>
            </w:pPr>
          </w:p>
        </w:tc>
        <w:tc>
          <w:tcPr>
            <w:tcW w:w="1295" w:type="dxa"/>
            <w:tcBorders>
              <w:top w:val="nil"/>
              <w:left w:val="nil"/>
              <w:bottom w:val="single" w:sz="4" w:space="0" w:color="auto"/>
              <w:right w:val="single" w:sz="4" w:space="0" w:color="auto"/>
            </w:tcBorders>
            <w:shd w:val="clear" w:color="000000" w:fill="FFFFFF"/>
            <w:noWrap/>
            <w:vAlign w:val="center"/>
            <w:hideMark/>
          </w:tcPr>
          <w:p w14:paraId="0F41FA65" w14:textId="77777777" w:rsidR="00E11F83" w:rsidRPr="00835AA1" w:rsidRDefault="00E11F83" w:rsidP="001D52BE">
            <w:pPr>
              <w:jc w:val="center"/>
              <w:rPr>
                <w:szCs w:val="22"/>
                <w:lang w:val="fr-FR"/>
              </w:rPr>
            </w:pPr>
            <w:r w:rsidRPr="00835AA1">
              <w:rPr>
                <w:szCs w:val="22"/>
                <w:lang w:val="fr-FR"/>
              </w:rPr>
              <w:t> </w:t>
            </w:r>
            <w:r w:rsidR="006F68E2" w:rsidRPr="00835AA1">
              <w:rPr>
                <w:szCs w:val="22"/>
                <w:lang w:val="fr-FR"/>
              </w:rPr>
              <w:t>X</w:t>
            </w:r>
          </w:p>
        </w:tc>
      </w:tr>
      <w:tr w:rsidR="00A541B2" w:rsidRPr="00835AA1" w14:paraId="3119340C" w14:textId="77777777" w:rsidTr="00A419D0">
        <w:trPr>
          <w:trHeight w:val="40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4B6795E6" w14:textId="77777777" w:rsidR="00E11F83" w:rsidRPr="00835AA1" w:rsidRDefault="00E11F83" w:rsidP="001D52BE">
            <w:pPr>
              <w:jc w:val="center"/>
              <w:rPr>
                <w:szCs w:val="22"/>
                <w:lang w:val="fr-FR"/>
              </w:rPr>
            </w:pPr>
            <w:r w:rsidRPr="00835AA1">
              <w:rPr>
                <w:szCs w:val="22"/>
                <w:lang w:val="fr-FR"/>
              </w:rPr>
              <w:t>15)</w:t>
            </w:r>
          </w:p>
        </w:tc>
        <w:tc>
          <w:tcPr>
            <w:tcW w:w="3151" w:type="dxa"/>
            <w:tcBorders>
              <w:top w:val="nil"/>
              <w:left w:val="nil"/>
              <w:bottom w:val="single" w:sz="4" w:space="0" w:color="auto"/>
              <w:right w:val="single" w:sz="4" w:space="0" w:color="auto"/>
            </w:tcBorders>
            <w:shd w:val="clear" w:color="000000" w:fill="FFFFFF"/>
            <w:noWrap/>
            <w:vAlign w:val="center"/>
            <w:hideMark/>
          </w:tcPr>
          <w:p w14:paraId="5FEE6A99" w14:textId="77777777" w:rsidR="00E11F83" w:rsidRPr="00835AA1" w:rsidRDefault="00870325" w:rsidP="00870325">
            <w:pPr>
              <w:rPr>
                <w:szCs w:val="22"/>
                <w:lang w:val="fr-FR"/>
              </w:rPr>
            </w:pPr>
            <w:r w:rsidRPr="00835AA1">
              <w:rPr>
                <w:szCs w:val="22"/>
                <w:lang w:val="fr-FR"/>
              </w:rPr>
              <w:t xml:space="preserve">Interface </w:t>
            </w:r>
            <w:r w:rsidRPr="00A50943">
              <w:rPr>
                <w:i/>
                <w:szCs w:val="22"/>
                <w:lang w:val="fr-FR"/>
              </w:rPr>
              <w:t>Contact Hague</w:t>
            </w:r>
          </w:p>
        </w:tc>
        <w:tc>
          <w:tcPr>
            <w:tcW w:w="1260" w:type="dxa"/>
            <w:tcBorders>
              <w:top w:val="nil"/>
              <w:left w:val="nil"/>
              <w:bottom w:val="single" w:sz="4" w:space="0" w:color="auto"/>
              <w:right w:val="single" w:sz="4" w:space="0" w:color="auto"/>
            </w:tcBorders>
            <w:shd w:val="clear" w:color="000000" w:fill="FFFFFF"/>
            <w:noWrap/>
            <w:vAlign w:val="center"/>
            <w:hideMark/>
          </w:tcPr>
          <w:p w14:paraId="587C6BD0" w14:textId="77777777" w:rsidR="00E11F83" w:rsidRPr="00835AA1" w:rsidRDefault="00A47D79" w:rsidP="001D52BE">
            <w:pPr>
              <w:jc w:val="center"/>
              <w:rPr>
                <w:szCs w:val="22"/>
                <w:lang w:val="fr-FR"/>
              </w:rPr>
            </w:pPr>
            <w:r w:rsidRPr="00835AA1">
              <w:rPr>
                <w:szCs w:val="22"/>
                <w:lang w:val="fr-FR"/>
              </w:rPr>
              <w:t>X</w:t>
            </w:r>
          </w:p>
        </w:tc>
        <w:tc>
          <w:tcPr>
            <w:tcW w:w="1260" w:type="dxa"/>
            <w:tcBorders>
              <w:top w:val="nil"/>
              <w:left w:val="nil"/>
              <w:bottom w:val="single" w:sz="4" w:space="0" w:color="auto"/>
              <w:right w:val="single" w:sz="4" w:space="0" w:color="auto"/>
            </w:tcBorders>
            <w:shd w:val="clear" w:color="000000" w:fill="FFFFFF"/>
            <w:noWrap/>
            <w:vAlign w:val="center"/>
            <w:hideMark/>
          </w:tcPr>
          <w:p w14:paraId="3840EA8C" w14:textId="77777777" w:rsidR="00E11F83" w:rsidRPr="00835AA1" w:rsidRDefault="00E11F83" w:rsidP="001D52BE">
            <w:pPr>
              <w:jc w:val="center"/>
              <w:rPr>
                <w:szCs w:val="22"/>
                <w:lang w:val="fr-FR"/>
              </w:rPr>
            </w:pPr>
          </w:p>
        </w:tc>
        <w:tc>
          <w:tcPr>
            <w:tcW w:w="1170" w:type="dxa"/>
            <w:tcBorders>
              <w:top w:val="nil"/>
              <w:left w:val="nil"/>
              <w:bottom w:val="single" w:sz="4" w:space="0" w:color="auto"/>
              <w:right w:val="single" w:sz="4" w:space="0" w:color="auto"/>
            </w:tcBorders>
            <w:shd w:val="clear" w:color="000000" w:fill="FFFFFF"/>
            <w:noWrap/>
            <w:vAlign w:val="center"/>
            <w:hideMark/>
          </w:tcPr>
          <w:p w14:paraId="2D72CA7D" w14:textId="77777777" w:rsidR="00E11F83" w:rsidRPr="00835AA1" w:rsidRDefault="00E11F83" w:rsidP="001D52BE">
            <w:pPr>
              <w:jc w:val="center"/>
              <w:rPr>
                <w:szCs w:val="22"/>
                <w:lang w:val="fr-FR"/>
              </w:rPr>
            </w:pPr>
            <w:r w:rsidRPr="00835AA1">
              <w:rPr>
                <w:szCs w:val="22"/>
                <w:lang w:val="fr-FR"/>
              </w:rPr>
              <w:t>X</w:t>
            </w:r>
          </w:p>
        </w:tc>
        <w:tc>
          <w:tcPr>
            <w:tcW w:w="955" w:type="dxa"/>
            <w:tcBorders>
              <w:top w:val="nil"/>
              <w:left w:val="nil"/>
              <w:bottom w:val="single" w:sz="4" w:space="0" w:color="auto"/>
              <w:right w:val="single" w:sz="4" w:space="0" w:color="auto"/>
            </w:tcBorders>
            <w:shd w:val="clear" w:color="000000" w:fill="FFFFFF"/>
            <w:noWrap/>
            <w:vAlign w:val="center"/>
          </w:tcPr>
          <w:p w14:paraId="27CED7C8" w14:textId="77777777" w:rsidR="00E11F83" w:rsidRPr="00835AA1" w:rsidRDefault="00E11F83" w:rsidP="001D52BE">
            <w:pPr>
              <w:jc w:val="center"/>
              <w:rPr>
                <w:szCs w:val="22"/>
                <w:lang w:val="fr-FR"/>
              </w:rPr>
            </w:pPr>
          </w:p>
        </w:tc>
        <w:tc>
          <w:tcPr>
            <w:tcW w:w="1295" w:type="dxa"/>
            <w:tcBorders>
              <w:top w:val="nil"/>
              <w:left w:val="nil"/>
              <w:bottom w:val="single" w:sz="4" w:space="0" w:color="auto"/>
              <w:right w:val="single" w:sz="4" w:space="0" w:color="auto"/>
            </w:tcBorders>
            <w:shd w:val="clear" w:color="000000" w:fill="FFFFFF"/>
            <w:noWrap/>
            <w:vAlign w:val="center"/>
            <w:hideMark/>
          </w:tcPr>
          <w:p w14:paraId="4538DA3D" w14:textId="77777777" w:rsidR="00E11F83" w:rsidRPr="00835AA1" w:rsidRDefault="006F68E2" w:rsidP="001D52BE">
            <w:pPr>
              <w:jc w:val="center"/>
              <w:rPr>
                <w:szCs w:val="22"/>
                <w:lang w:val="fr-FR"/>
              </w:rPr>
            </w:pPr>
            <w:r w:rsidRPr="00835AA1">
              <w:rPr>
                <w:szCs w:val="22"/>
                <w:lang w:val="fr-FR"/>
              </w:rPr>
              <w:t>X</w:t>
            </w:r>
          </w:p>
        </w:tc>
      </w:tr>
      <w:tr w:rsidR="00A541B2" w:rsidRPr="00835AA1" w14:paraId="62FA6D81" w14:textId="77777777" w:rsidTr="00A419D0">
        <w:trPr>
          <w:trHeight w:val="405"/>
        </w:trPr>
        <w:tc>
          <w:tcPr>
            <w:tcW w:w="704" w:type="dxa"/>
            <w:tcBorders>
              <w:top w:val="nil"/>
              <w:left w:val="single" w:sz="4" w:space="0" w:color="auto"/>
              <w:bottom w:val="single" w:sz="4" w:space="0" w:color="auto"/>
              <w:right w:val="single" w:sz="4" w:space="0" w:color="auto"/>
            </w:tcBorders>
            <w:shd w:val="clear" w:color="000000" w:fill="FFFFFF"/>
            <w:noWrap/>
            <w:vAlign w:val="center"/>
          </w:tcPr>
          <w:p w14:paraId="2EEE7AB1" w14:textId="77777777" w:rsidR="00E11F83" w:rsidRPr="00835AA1" w:rsidRDefault="00E11F83" w:rsidP="001D52BE">
            <w:pPr>
              <w:keepNext/>
              <w:jc w:val="center"/>
              <w:rPr>
                <w:szCs w:val="22"/>
                <w:lang w:val="fr-FR"/>
              </w:rPr>
            </w:pPr>
            <w:r w:rsidRPr="00835AA1">
              <w:rPr>
                <w:szCs w:val="22"/>
                <w:lang w:val="fr-FR"/>
              </w:rPr>
              <w:t>16)</w:t>
            </w:r>
          </w:p>
        </w:tc>
        <w:tc>
          <w:tcPr>
            <w:tcW w:w="3151" w:type="dxa"/>
            <w:tcBorders>
              <w:top w:val="nil"/>
              <w:left w:val="nil"/>
              <w:bottom w:val="single" w:sz="4" w:space="0" w:color="auto"/>
              <w:right w:val="single" w:sz="4" w:space="0" w:color="auto"/>
            </w:tcBorders>
            <w:shd w:val="clear" w:color="000000" w:fill="FFFFFF"/>
            <w:noWrap/>
            <w:vAlign w:val="center"/>
          </w:tcPr>
          <w:p w14:paraId="0DE592F9" w14:textId="77777777" w:rsidR="00E11F83" w:rsidRPr="00835AA1" w:rsidRDefault="00870325" w:rsidP="00870325">
            <w:pPr>
              <w:keepNext/>
              <w:rPr>
                <w:szCs w:val="22"/>
                <w:lang w:val="fr-FR"/>
              </w:rPr>
            </w:pPr>
            <w:r w:rsidRPr="00835AA1">
              <w:rPr>
                <w:szCs w:val="22"/>
                <w:lang w:val="fr-FR"/>
              </w:rPr>
              <w:t>Avis (juridiques)</w:t>
            </w:r>
          </w:p>
        </w:tc>
        <w:tc>
          <w:tcPr>
            <w:tcW w:w="1260" w:type="dxa"/>
            <w:tcBorders>
              <w:top w:val="nil"/>
              <w:left w:val="nil"/>
              <w:bottom w:val="single" w:sz="4" w:space="0" w:color="auto"/>
              <w:right w:val="single" w:sz="4" w:space="0" w:color="auto"/>
            </w:tcBorders>
            <w:shd w:val="clear" w:color="000000" w:fill="FFFFFF"/>
            <w:noWrap/>
            <w:vAlign w:val="center"/>
          </w:tcPr>
          <w:p w14:paraId="3B44168D" w14:textId="77777777" w:rsidR="00E11F83" w:rsidRPr="00835AA1" w:rsidRDefault="00A47D79" w:rsidP="001D52BE">
            <w:pPr>
              <w:keepNext/>
              <w:jc w:val="center"/>
              <w:rPr>
                <w:szCs w:val="22"/>
                <w:lang w:val="fr-FR"/>
              </w:rPr>
            </w:pPr>
            <w:r w:rsidRPr="00835AA1">
              <w:rPr>
                <w:szCs w:val="22"/>
                <w:lang w:val="fr-FR"/>
              </w:rPr>
              <w:t>X</w:t>
            </w:r>
          </w:p>
        </w:tc>
        <w:tc>
          <w:tcPr>
            <w:tcW w:w="1260" w:type="dxa"/>
            <w:tcBorders>
              <w:top w:val="nil"/>
              <w:left w:val="nil"/>
              <w:bottom w:val="single" w:sz="4" w:space="0" w:color="auto"/>
              <w:right w:val="single" w:sz="4" w:space="0" w:color="auto"/>
            </w:tcBorders>
            <w:shd w:val="clear" w:color="000000" w:fill="FFFFFF"/>
            <w:noWrap/>
            <w:vAlign w:val="center"/>
          </w:tcPr>
          <w:p w14:paraId="3E21ECA0" w14:textId="77777777" w:rsidR="00E11F83" w:rsidRPr="00835AA1" w:rsidRDefault="00E11F83" w:rsidP="001D52BE">
            <w:pPr>
              <w:keepNext/>
              <w:jc w:val="center"/>
              <w:rPr>
                <w:szCs w:val="22"/>
                <w:lang w:val="fr-FR"/>
              </w:rPr>
            </w:pPr>
          </w:p>
        </w:tc>
        <w:tc>
          <w:tcPr>
            <w:tcW w:w="1170" w:type="dxa"/>
            <w:tcBorders>
              <w:top w:val="nil"/>
              <w:left w:val="nil"/>
              <w:bottom w:val="single" w:sz="4" w:space="0" w:color="auto"/>
              <w:right w:val="single" w:sz="4" w:space="0" w:color="auto"/>
            </w:tcBorders>
            <w:shd w:val="clear" w:color="000000" w:fill="FFFFFF"/>
            <w:noWrap/>
            <w:vAlign w:val="center"/>
          </w:tcPr>
          <w:p w14:paraId="367F81F4" w14:textId="77777777" w:rsidR="00E11F83" w:rsidRPr="00835AA1" w:rsidRDefault="00E11F83" w:rsidP="001D52BE">
            <w:pPr>
              <w:keepNext/>
              <w:jc w:val="center"/>
              <w:rPr>
                <w:szCs w:val="22"/>
                <w:lang w:val="fr-FR"/>
              </w:rPr>
            </w:pPr>
            <w:r w:rsidRPr="00835AA1">
              <w:rPr>
                <w:szCs w:val="22"/>
                <w:lang w:val="fr-FR"/>
              </w:rPr>
              <w:t>X</w:t>
            </w:r>
          </w:p>
        </w:tc>
        <w:tc>
          <w:tcPr>
            <w:tcW w:w="955" w:type="dxa"/>
            <w:tcBorders>
              <w:top w:val="nil"/>
              <w:left w:val="nil"/>
              <w:bottom w:val="single" w:sz="4" w:space="0" w:color="auto"/>
              <w:right w:val="single" w:sz="4" w:space="0" w:color="auto"/>
            </w:tcBorders>
            <w:shd w:val="clear" w:color="000000" w:fill="FFFFFF"/>
            <w:noWrap/>
            <w:vAlign w:val="center"/>
          </w:tcPr>
          <w:p w14:paraId="54A94096" w14:textId="77777777" w:rsidR="00E11F83" w:rsidRPr="00835AA1" w:rsidRDefault="00E11F83" w:rsidP="001D52BE">
            <w:pPr>
              <w:keepNext/>
              <w:jc w:val="center"/>
              <w:rPr>
                <w:szCs w:val="22"/>
                <w:lang w:val="fr-FR"/>
              </w:rPr>
            </w:pPr>
          </w:p>
        </w:tc>
        <w:tc>
          <w:tcPr>
            <w:tcW w:w="1295" w:type="dxa"/>
            <w:tcBorders>
              <w:top w:val="nil"/>
              <w:left w:val="nil"/>
              <w:bottom w:val="single" w:sz="4" w:space="0" w:color="auto"/>
              <w:right w:val="single" w:sz="4" w:space="0" w:color="auto"/>
            </w:tcBorders>
            <w:shd w:val="clear" w:color="000000" w:fill="FFFFFF"/>
            <w:noWrap/>
            <w:vAlign w:val="center"/>
          </w:tcPr>
          <w:p w14:paraId="7C1F9740" w14:textId="77777777" w:rsidR="00E11F83" w:rsidRPr="00835AA1" w:rsidRDefault="006F68E2" w:rsidP="001D52BE">
            <w:pPr>
              <w:keepNext/>
              <w:jc w:val="center"/>
              <w:rPr>
                <w:szCs w:val="22"/>
                <w:lang w:val="fr-FR"/>
              </w:rPr>
            </w:pPr>
            <w:r w:rsidRPr="00835AA1">
              <w:rPr>
                <w:szCs w:val="22"/>
                <w:lang w:val="fr-FR"/>
              </w:rPr>
              <w:t>X</w:t>
            </w:r>
          </w:p>
        </w:tc>
      </w:tr>
      <w:tr w:rsidR="00A541B2" w:rsidRPr="00835AA1" w14:paraId="578F0DA5" w14:textId="77777777" w:rsidTr="00A419D0">
        <w:trPr>
          <w:trHeight w:val="405"/>
        </w:trPr>
        <w:tc>
          <w:tcPr>
            <w:tcW w:w="704" w:type="dxa"/>
            <w:tcBorders>
              <w:top w:val="nil"/>
              <w:left w:val="single" w:sz="4" w:space="0" w:color="auto"/>
              <w:bottom w:val="single" w:sz="4" w:space="0" w:color="auto"/>
              <w:right w:val="single" w:sz="4" w:space="0" w:color="auto"/>
            </w:tcBorders>
            <w:shd w:val="clear" w:color="000000" w:fill="FFFFFF"/>
            <w:noWrap/>
            <w:vAlign w:val="center"/>
          </w:tcPr>
          <w:p w14:paraId="3C47E66C" w14:textId="77777777" w:rsidR="00E11F83" w:rsidRPr="00835AA1" w:rsidRDefault="00E11F83" w:rsidP="001D52BE">
            <w:pPr>
              <w:jc w:val="center"/>
              <w:rPr>
                <w:szCs w:val="22"/>
                <w:lang w:val="fr-FR"/>
              </w:rPr>
            </w:pPr>
            <w:r w:rsidRPr="00835AA1">
              <w:rPr>
                <w:szCs w:val="22"/>
                <w:lang w:val="fr-FR"/>
              </w:rPr>
              <w:t>17)</w:t>
            </w:r>
          </w:p>
        </w:tc>
        <w:tc>
          <w:tcPr>
            <w:tcW w:w="3151" w:type="dxa"/>
            <w:tcBorders>
              <w:top w:val="nil"/>
              <w:left w:val="nil"/>
              <w:bottom w:val="single" w:sz="4" w:space="0" w:color="auto"/>
              <w:right w:val="single" w:sz="4" w:space="0" w:color="auto"/>
            </w:tcBorders>
            <w:shd w:val="clear" w:color="000000" w:fill="FFFFFF"/>
            <w:noWrap/>
            <w:vAlign w:val="center"/>
          </w:tcPr>
          <w:p w14:paraId="2D5FA10A" w14:textId="77777777" w:rsidR="00E11F83" w:rsidRPr="00835AA1" w:rsidRDefault="00870325" w:rsidP="00870325">
            <w:pPr>
              <w:rPr>
                <w:szCs w:val="22"/>
                <w:lang w:val="fr-FR"/>
              </w:rPr>
            </w:pPr>
            <w:r w:rsidRPr="00835AA1">
              <w:rPr>
                <w:szCs w:val="22"/>
                <w:lang w:val="fr-FR"/>
              </w:rPr>
              <w:t xml:space="preserve">Actualités du système de </w:t>
            </w:r>
            <w:r w:rsidR="002E3178" w:rsidRPr="00835AA1">
              <w:rPr>
                <w:szCs w:val="22"/>
                <w:lang w:val="fr-FR"/>
              </w:rPr>
              <w:t>La Haye</w:t>
            </w:r>
          </w:p>
        </w:tc>
        <w:tc>
          <w:tcPr>
            <w:tcW w:w="1260" w:type="dxa"/>
            <w:tcBorders>
              <w:top w:val="nil"/>
              <w:left w:val="nil"/>
              <w:bottom w:val="single" w:sz="4" w:space="0" w:color="auto"/>
              <w:right w:val="single" w:sz="4" w:space="0" w:color="auto"/>
            </w:tcBorders>
            <w:shd w:val="clear" w:color="000000" w:fill="FFFFFF"/>
            <w:noWrap/>
            <w:vAlign w:val="center"/>
          </w:tcPr>
          <w:p w14:paraId="48B1D460" w14:textId="77777777" w:rsidR="00E11F83" w:rsidRPr="00835AA1" w:rsidRDefault="00E11F83" w:rsidP="001D52BE">
            <w:pPr>
              <w:jc w:val="center"/>
              <w:rPr>
                <w:szCs w:val="22"/>
                <w:lang w:val="fr-FR"/>
              </w:rPr>
            </w:pPr>
            <w:r w:rsidRPr="00835AA1">
              <w:rPr>
                <w:szCs w:val="22"/>
                <w:lang w:val="fr-FR"/>
              </w:rPr>
              <w:t>X</w:t>
            </w:r>
          </w:p>
        </w:tc>
        <w:tc>
          <w:tcPr>
            <w:tcW w:w="1260" w:type="dxa"/>
            <w:tcBorders>
              <w:top w:val="nil"/>
              <w:left w:val="nil"/>
              <w:bottom w:val="single" w:sz="4" w:space="0" w:color="auto"/>
              <w:right w:val="single" w:sz="4" w:space="0" w:color="auto"/>
            </w:tcBorders>
            <w:shd w:val="clear" w:color="000000" w:fill="FFFFFF"/>
            <w:noWrap/>
            <w:vAlign w:val="center"/>
          </w:tcPr>
          <w:p w14:paraId="692D353F" w14:textId="77777777" w:rsidR="00E11F83" w:rsidRPr="00835AA1" w:rsidRDefault="00E11F83" w:rsidP="001D52BE">
            <w:pPr>
              <w:jc w:val="center"/>
              <w:rPr>
                <w:szCs w:val="22"/>
                <w:lang w:val="fr-FR"/>
              </w:rPr>
            </w:pPr>
            <w:r w:rsidRPr="00835AA1">
              <w:rPr>
                <w:szCs w:val="22"/>
                <w:lang w:val="fr-FR"/>
              </w:rPr>
              <w:t>X</w:t>
            </w:r>
          </w:p>
        </w:tc>
        <w:tc>
          <w:tcPr>
            <w:tcW w:w="1170" w:type="dxa"/>
            <w:tcBorders>
              <w:top w:val="nil"/>
              <w:left w:val="nil"/>
              <w:bottom w:val="single" w:sz="4" w:space="0" w:color="auto"/>
              <w:right w:val="single" w:sz="4" w:space="0" w:color="auto"/>
            </w:tcBorders>
            <w:shd w:val="clear" w:color="000000" w:fill="FFFFFF"/>
            <w:noWrap/>
            <w:vAlign w:val="center"/>
          </w:tcPr>
          <w:p w14:paraId="0660B1F1" w14:textId="77777777" w:rsidR="00E11F83" w:rsidRPr="00835AA1" w:rsidRDefault="00E11F83" w:rsidP="001D52BE">
            <w:pPr>
              <w:jc w:val="center"/>
              <w:rPr>
                <w:szCs w:val="22"/>
                <w:lang w:val="fr-FR"/>
              </w:rPr>
            </w:pPr>
            <w:r w:rsidRPr="00835AA1">
              <w:rPr>
                <w:szCs w:val="22"/>
                <w:lang w:val="fr-FR"/>
              </w:rPr>
              <w:t>X</w:t>
            </w:r>
          </w:p>
        </w:tc>
        <w:tc>
          <w:tcPr>
            <w:tcW w:w="955" w:type="dxa"/>
            <w:tcBorders>
              <w:top w:val="nil"/>
              <w:left w:val="nil"/>
              <w:bottom w:val="single" w:sz="4" w:space="0" w:color="auto"/>
              <w:right w:val="single" w:sz="4" w:space="0" w:color="auto"/>
            </w:tcBorders>
            <w:shd w:val="clear" w:color="000000" w:fill="FFFFFF"/>
            <w:noWrap/>
            <w:vAlign w:val="center"/>
          </w:tcPr>
          <w:p w14:paraId="46972E49" w14:textId="77777777" w:rsidR="00E11F83" w:rsidRPr="00835AA1" w:rsidRDefault="00E11F83" w:rsidP="001D52BE">
            <w:pPr>
              <w:jc w:val="center"/>
              <w:rPr>
                <w:szCs w:val="22"/>
                <w:lang w:val="fr-FR"/>
              </w:rPr>
            </w:pPr>
            <w:r w:rsidRPr="00835AA1">
              <w:rPr>
                <w:szCs w:val="22"/>
                <w:lang w:val="fr-FR"/>
              </w:rPr>
              <w:t>X</w:t>
            </w:r>
          </w:p>
        </w:tc>
        <w:tc>
          <w:tcPr>
            <w:tcW w:w="1295" w:type="dxa"/>
            <w:tcBorders>
              <w:top w:val="nil"/>
              <w:left w:val="nil"/>
              <w:bottom w:val="single" w:sz="4" w:space="0" w:color="auto"/>
              <w:right w:val="single" w:sz="4" w:space="0" w:color="auto"/>
            </w:tcBorders>
            <w:shd w:val="clear" w:color="000000" w:fill="FFFFFF"/>
            <w:noWrap/>
            <w:vAlign w:val="center"/>
          </w:tcPr>
          <w:p w14:paraId="30D78827" w14:textId="77777777" w:rsidR="00E11F83" w:rsidRPr="00835AA1" w:rsidRDefault="00E11F83" w:rsidP="001D52BE">
            <w:pPr>
              <w:jc w:val="center"/>
              <w:rPr>
                <w:szCs w:val="22"/>
                <w:lang w:val="fr-FR"/>
              </w:rPr>
            </w:pPr>
            <w:r w:rsidRPr="00835AA1">
              <w:rPr>
                <w:szCs w:val="22"/>
                <w:lang w:val="fr-FR"/>
              </w:rPr>
              <w:t>X</w:t>
            </w:r>
          </w:p>
        </w:tc>
      </w:tr>
      <w:tr w:rsidR="00A541B2" w:rsidRPr="00835AA1" w14:paraId="197F327D" w14:textId="77777777" w:rsidTr="00A419D0">
        <w:trPr>
          <w:trHeight w:val="405"/>
        </w:trPr>
        <w:tc>
          <w:tcPr>
            <w:tcW w:w="9795" w:type="dxa"/>
            <w:gridSpan w:val="7"/>
            <w:tcBorders>
              <w:top w:val="nil"/>
              <w:left w:val="single" w:sz="4" w:space="0" w:color="auto"/>
              <w:bottom w:val="single" w:sz="4" w:space="0" w:color="auto"/>
              <w:right w:val="single" w:sz="4" w:space="0" w:color="auto"/>
            </w:tcBorders>
            <w:shd w:val="clear" w:color="000000" w:fill="FFFFFF"/>
            <w:noWrap/>
            <w:vAlign w:val="center"/>
          </w:tcPr>
          <w:p w14:paraId="260B45BD" w14:textId="77777777" w:rsidR="00E11F83" w:rsidRPr="00835AA1" w:rsidRDefault="00870325" w:rsidP="00835AA1">
            <w:pPr>
              <w:keepNext/>
              <w:rPr>
                <w:b/>
                <w:szCs w:val="22"/>
                <w:lang w:val="fr-FR"/>
              </w:rPr>
            </w:pPr>
            <w:r w:rsidRPr="00835AA1">
              <w:rPr>
                <w:b/>
                <w:szCs w:val="22"/>
                <w:lang w:val="fr-FR"/>
              </w:rPr>
              <w:lastRenderedPageBreak/>
              <w:t>Documents et informations</w:t>
            </w:r>
          </w:p>
        </w:tc>
      </w:tr>
      <w:tr w:rsidR="00A541B2" w:rsidRPr="00835AA1" w14:paraId="371C7DA5" w14:textId="77777777" w:rsidTr="00A419D0">
        <w:trPr>
          <w:trHeight w:val="405"/>
        </w:trPr>
        <w:tc>
          <w:tcPr>
            <w:tcW w:w="704" w:type="dxa"/>
            <w:tcBorders>
              <w:top w:val="nil"/>
              <w:left w:val="single" w:sz="4" w:space="0" w:color="auto"/>
              <w:bottom w:val="single" w:sz="4" w:space="0" w:color="auto"/>
              <w:right w:val="single" w:sz="4" w:space="0" w:color="auto"/>
            </w:tcBorders>
            <w:shd w:val="clear" w:color="000000" w:fill="FFFFFF"/>
            <w:noWrap/>
            <w:vAlign w:val="center"/>
          </w:tcPr>
          <w:p w14:paraId="3FC09C2F" w14:textId="77777777" w:rsidR="00E11F83" w:rsidRPr="00835AA1" w:rsidRDefault="00E11F83" w:rsidP="00835AA1">
            <w:pPr>
              <w:keepNext/>
              <w:jc w:val="center"/>
              <w:rPr>
                <w:szCs w:val="22"/>
                <w:lang w:val="fr-FR"/>
              </w:rPr>
            </w:pPr>
            <w:r w:rsidRPr="00835AA1">
              <w:rPr>
                <w:szCs w:val="22"/>
                <w:lang w:val="fr-FR"/>
              </w:rPr>
              <w:t>18)</w:t>
            </w:r>
          </w:p>
        </w:tc>
        <w:tc>
          <w:tcPr>
            <w:tcW w:w="3151" w:type="dxa"/>
            <w:tcBorders>
              <w:top w:val="nil"/>
              <w:left w:val="nil"/>
              <w:bottom w:val="single" w:sz="4" w:space="0" w:color="auto"/>
              <w:right w:val="single" w:sz="4" w:space="0" w:color="auto"/>
            </w:tcBorders>
            <w:shd w:val="clear" w:color="000000" w:fill="FFFFFF"/>
            <w:noWrap/>
            <w:vAlign w:val="center"/>
          </w:tcPr>
          <w:p w14:paraId="5B348872" w14:textId="77777777" w:rsidR="00E11F83" w:rsidRPr="00835AA1" w:rsidRDefault="00870325" w:rsidP="00835AA1">
            <w:pPr>
              <w:keepNext/>
              <w:rPr>
                <w:szCs w:val="22"/>
                <w:lang w:val="fr-FR"/>
              </w:rPr>
            </w:pPr>
            <w:r w:rsidRPr="00835AA1">
              <w:rPr>
                <w:szCs w:val="22"/>
                <w:lang w:val="fr-FR"/>
              </w:rPr>
              <w:t xml:space="preserve">Textes juridiques du système de </w:t>
            </w:r>
            <w:r w:rsidR="002E3178" w:rsidRPr="00835AA1">
              <w:rPr>
                <w:szCs w:val="22"/>
                <w:lang w:val="fr-FR"/>
              </w:rPr>
              <w:t>La Haye</w:t>
            </w:r>
            <w:r w:rsidRPr="00835AA1">
              <w:rPr>
                <w:szCs w:val="22"/>
                <w:lang w:val="fr-FR"/>
              </w:rPr>
              <w:t xml:space="preserve"> (Publication de l</w:t>
            </w:r>
            <w:r w:rsidR="002E3178" w:rsidRPr="00835AA1">
              <w:rPr>
                <w:szCs w:val="22"/>
                <w:lang w:val="fr-FR"/>
              </w:rPr>
              <w:t>’</w:t>
            </w:r>
            <w:r w:rsidRPr="00835AA1">
              <w:rPr>
                <w:szCs w:val="22"/>
                <w:lang w:val="fr-FR"/>
              </w:rPr>
              <w:t>OMPI n</w:t>
            </w:r>
            <w:r w:rsidR="001D2116" w:rsidRPr="00835AA1">
              <w:rPr>
                <w:szCs w:val="22"/>
                <w:lang w:val="fr-FR"/>
              </w:rPr>
              <w:t>° </w:t>
            </w:r>
            <w:r w:rsidRPr="00835AA1">
              <w:rPr>
                <w:szCs w:val="22"/>
                <w:lang w:val="fr-FR"/>
              </w:rPr>
              <w:t>269)</w:t>
            </w:r>
          </w:p>
        </w:tc>
        <w:tc>
          <w:tcPr>
            <w:tcW w:w="1260" w:type="dxa"/>
            <w:tcBorders>
              <w:top w:val="nil"/>
              <w:left w:val="nil"/>
              <w:bottom w:val="single" w:sz="4" w:space="0" w:color="auto"/>
              <w:right w:val="single" w:sz="4" w:space="0" w:color="auto"/>
            </w:tcBorders>
            <w:shd w:val="clear" w:color="000000" w:fill="FFFFFF"/>
            <w:noWrap/>
            <w:vAlign w:val="center"/>
          </w:tcPr>
          <w:p w14:paraId="0963614C" w14:textId="77777777" w:rsidR="00E11F83" w:rsidRPr="00835AA1" w:rsidRDefault="00E11F83" w:rsidP="00835AA1">
            <w:pPr>
              <w:keepNext/>
              <w:jc w:val="center"/>
              <w:rPr>
                <w:szCs w:val="22"/>
                <w:lang w:val="fr-FR"/>
              </w:rPr>
            </w:pPr>
            <w:r w:rsidRPr="00835AA1">
              <w:rPr>
                <w:szCs w:val="22"/>
                <w:lang w:val="fr-FR"/>
              </w:rPr>
              <w:t>X</w:t>
            </w:r>
          </w:p>
        </w:tc>
        <w:tc>
          <w:tcPr>
            <w:tcW w:w="1260" w:type="dxa"/>
            <w:tcBorders>
              <w:top w:val="nil"/>
              <w:left w:val="nil"/>
              <w:bottom w:val="single" w:sz="4" w:space="0" w:color="auto"/>
              <w:right w:val="single" w:sz="4" w:space="0" w:color="auto"/>
            </w:tcBorders>
            <w:shd w:val="clear" w:color="000000" w:fill="FFFFFF"/>
            <w:noWrap/>
            <w:vAlign w:val="center"/>
          </w:tcPr>
          <w:p w14:paraId="449858F5" w14:textId="77777777" w:rsidR="00E11F83" w:rsidRPr="00835AA1" w:rsidRDefault="00E11F83" w:rsidP="00835AA1">
            <w:pPr>
              <w:keepNext/>
              <w:jc w:val="center"/>
              <w:rPr>
                <w:szCs w:val="22"/>
                <w:lang w:val="fr-FR"/>
              </w:rPr>
            </w:pPr>
            <w:r w:rsidRPr="00835AA1">
              <w:rPr>
                <w:szCs w:val="22"/>
                <w:lang w:val="fr-FR"/>
              </w:rPr>
              <w:t>X</w:t>
            </w:r>
          </w:p>
        </w:tc>
        <w:tc>
          <w:tcPr>
            <w:tcW w:w="1170" w:type="dxa"/>
            <w:tcBorders>
              <w:top w:val="nil"/>
              <w:left w:val="nil"/>
              <w:bottom w:val="single" w:sz="4" w:space="0" w:color="auto"/>
              <w:right w:val="single" w:sz="4" w:space="0" w:color="auto"/>
            </w:tcBorders>
            <w:shd w:val="clear" w:color="000000" w:fill="FFFFFF"/>
            <w:noWrap/>
            <w:vAlign w:val="center"/>
          </w:tcPr>
          <w:p w14:paraId="23997943" w14:textId="77777777" w:rsidR="00E11F83" w:rsidRPr="00835AA1" w:rsidRDefault="00E11F83" w:rsidP="00835AA1">
            <w:pPr>
              <w:keepNext/>
              <w:jc w:val="center"/>
              <w:rPr>
                <w:szCs w:val="22"/>
                <w:lang w:val="fr-FR"/>
              </w:rPr>
            </w:pPr>
            <w:r w:rsidRPr="00835AA1">
              <w:rPr>
                <w:szCs w:val="22"/>
                <w:lang w:val="fr-FR"/>
              </w:rPr>
              <w:t>X</w:t>
            </w:r>
          </w:p>
        </w:tc>
        <w:tc>
          <w:tcPr>
            <w:tcW w:w="955" w:type="dxa"/>
            <w:tcBorders>
              <w:top w:val="nil"/>
              <w:left w:val="nil"/>
              <w:bottom w:val="single" w:sz="4" w:space="0" w:color="auto"/>
              <w:right w:val="single" w:sz="4" w:space="0" w:color="auto"/>
            </w:tcBorders>
            <w:shd w:val="clear" w:color="000000" w:fill="FFFFFF"/>
            <w:noWrap/>
            <w:vAlign w:val="center"/>
          </w:tcPr>
          <w:p w14:paraId="51CDB30A" w14:textId="77777777" w:rsidR="00E11F83" w:rsidRPr="00835AA1" w:rsidRDefault="00E11F83" w:rsidP="00835AA1">
            <w:pPr>
              <w:keepNext/>
              <w:jc w:val="center"/>
              <w:rPr>
                <w:szCs w:val="22"/>
                <w:lang w:val="fr-FR"/>
              </w:rPr>
            </w:pPr>
            <w:r w:rsidRPr="00835AA1">
              <w:rPr>
                <w:szCs w:val="22"/>
                <w:lang w:val="fr-FR"/>
              </w:rPr>
              <w:t>X</w:t>
            </w:r>
          </w:p>
        </w:tc>
        <w:tc>
          <w:tcPr>
            <w:tcW w:w="1295" w:type="dxa"/>
            <w:tcBorders>
              <w:top w:val="nil"/>
              <w:left w:val="nil"/>
              <w:bottom w:val="single" w:sz="4" w:space="0" w:color="auto"/>
              <w:right w:val="single" w:sz="4" w:space="0" w:color="auto"/>
            </w:tcBorders>
            <w:shd w:val="clear" w:color="000000" w:fill="FFFFFF"/>
            <w:noWrap/>
            <w:vAlign w:val="center"/>
          </w:tcPr>
          <w:p w14:paraId="5B5A6D35" w14:textId="77777777" w:rsidR="00E11F83" w:rsidRPr="00835AA1" w:rsidRDefault="00E11F83" w:rsidP="00835AA1">
            <w:pPr>
              <w:keepNext/>
              <w:jc w:val="center"/>
              <w:rPr>
                <w:szCs w:val="22"/>
                <w:lang w:val="fr-FR"/>
              </w:rPr>
            </w:pPr>
            <w:r w:rsidRPr="00835AA1">
              <w:rPr>
                <w:szCs w:val="22"/>
                <w:lang w:val="fr-FR"/>
              </w:rPr>
              <w:t>X</w:t>
            </w:r>
          </w:p>
        </w:tc>
      </w:tr>
      <w:tr w:rsidR="00A541B2" w:rsidRPr="00835AA1" w14:paraId="33701094" w14:textId="77777777" w:rsidTr="00A419D0">
        <w:trPr>
          <w:trHeight w:val="405"/>
        </w:trPr>
        <w:tc>
          <w:tcPr>
            <w:tcW w:w="704" w:type="dxa"/>
            <w:tcBorders>
              <w:top w:val="nil"/>
              <w:left w:val="single" w:sz="4" w:space="0" w:color="auto"/>
              <w:bottom w:val="single" w:sz="4" w:space="0" w:color="auto"/>
              <w:right w:val="single" w:sz="4" w:space="0" w:color="auto"/>
            </w:tcBorders>
            <w:shd w:val="clear" w:color="000000" w:fill="FFFFFF"/>
            <w:noWrap/>
            <w:vAlign w:val="center"/>
          </w:tcPr>
          <w:p w14:paraId="5B0CF24A" w14:textId="77777777" w:rsidR="00E11F83" w:rsidRPr="00835AA1" w:rsidRDefault="00E11F83" w:rsidP="00835AA1">
            <w:pPr>
              <w:keepNext/>
              <w:jc w:val="center"/>
              <w:rPr>
                <w:szCs w:val="22"/>
                <w:lang w:val="fr-FR"/>
              </w:rPr>
            </w:pPr>
            <w:r w:rsidRPr="00835AA1">
              <w:rPr>
                <w:szCs w:val="22"/>
                <w:lang w:val="fr-FR"/>
              </w:rPr>
              <w:t>19)</w:t>
            </w:r>
          </w:p>
        </w:tc>
        <w:tc>
          <w:tcPr>
            <w:tcW w:w="3151" w:type="dxa"/>
            <w:tcBorders>
              <w:top w:val="nil"/>
              <w:left w:val="nil"/>
              <w:bottom w:val="single" w:sz="4" w:space="0" w:color="auto"/>
              <w:right w:val="single" w:sz="4" w:space="0" w:color="auto"/>
            </w:tcBorders>
            <w:shd w:val="clear" w:color="000000" w:fill="FFFFFF"/>
            <w:noWrap/>
            <w:vAlign w:val="center"/>
          </w:tcPr>
          <w:p w14:paraId="1AB7E870" w14:textId="77777777" w:rsidR="00E11F83" w:rsidRPr="00835AA1" w:rsidRDefault="00870325" w:rsidP="00835AA1">
            <w:pPr>
              <w:keepNext/>
              <w:rPr>
                <w:szCs w:val="22"/>
                <w:lang w:val="fr-FR"/>
              </w:rPr>
            </w:pPr>
            <w:r w:rsidRPr="00835AA1">
              <w:rPr>
                <w:szCs w:val="22"/>
                <w:lang w:val="fr-FR"/>
              </w:rPr>
              <w:t>Documents de l</w:t>
            </w:r>
            <w:r w:rsidR="002E3178" w:rsidRPr="00835AA1">
              <w:rPr>
                <w:szCs w:val="22"/>
                <w:lang w:val="fr-FR"/>
              </w:rPr>
              <w:t>’</w:t>
            </w:r>
            <w:r w:rsidRPr="00835AA1">
              <w:rPr>
                <w:szCs w:val="22"/>
                <w:lang w:val="fr-FR"/>
              </w:rPr>
              <w:t>Assemblée de l</w:t>
            </w:r>
            <w:r w:rsidR="002E3178" w:rsidRPr="00835AA1">
              <w:rPr>
                <w:szCs w:val="22"/>
                <w:lang w:val="fr-FR"/>
              </w:rPr>
              <w:t>’</w:t>
            </w:r>
            <w:r w:rsidRPr="00835AA1">
              <w:rPr>
                <w:szCs w:val="22"/>
                <w:lang w:val="fr-FR"/>
              </w:rPr>
              <w:t xml:space="preserve">Union de </w:t>
            </w:r>
            <w:r w:rsidR="002E3178" w:rsidRPr="00835AA1">
              <w:rPr>
                <w:szCs w:val="22"/>
                <w:lang w:val="fr-FR"/>
              </w:rPr>
              <w:t>La Haye</w:t>
            </w:r>
            <w:r w:rsidRPr="00835AA1">
              <w:rPr>
                <w:szCs w:val="22"/>
                <w:lang w:val="fr-FR"/>
              </w:rPr>
              <w:t xml:space="preserve"> et du groupe de travail</w:t>
            </w:r>
          </w:p>
        </w:tc>
        <w:tc>
          <w:tcPr>
            <w:tcW w:w="1260" w:type="dxa"/>
            <w:tcBorders>
              <w:top w:val="nil"/>
              <w:left w:val="nil"/>
              <w:bottom w:val="single" w:sz="4" w:space="0" w:color="auto"/>
              <w:right w:val="single" w:sz="4" w:space="0" w:color="auto"/>
            </w:tcBorders>
            <w:shd w:val="clear" w:color="000000" w:fill="FFFFFF"/>
            <w:noWrap/>
            <w:vAlign w:val="center"/>
          </w:tcPr>
          <w:p w14:paraId="1C5CC537" w14:textId="77777777" w:rsidR="00E11F83" w:rsidRPr="00835AA1" w:rsidRDefault="00E11F83" w:rsidP="00835AA1">
            <w:pPr>
              <w:keepNext/>
              <w:jc w:val="center"/>
              <w:rPr>
                <w:szCs w:val="22"/>
                <w:lang w:val="fr-FR"/>
              </w:rPr>
            </w:pPr>
            <w:r w:rsidRPr="00835AA1">
              <w:rPr>
                <w:szCs w:val="22"/>
                <w:lang w:val="fr-FR"/>
              </w:rPr>
              <w:t>X</w:t>
            </w:r>
          </w:p>
        </w:tc>
        <w:tc>
          <w:tcPr>
            <w:tcW w:w="1260" w:type="dxa"/>
            <w:tcBorders>
              <w:top w:val="nil"/>
              <w:left w:val="nil"/>
              <w:bottom w:val="single" w:sz="4" w:space="0" w:color="auto"/>
              <w:right w:val="single" w:sz="4" w:space="0" w:color="auto"/>
            </w:tcBorders>
            <w:shd w:val="clear" w:color="000000" w:fill="FFFFFF"/>
            <w:noWrap/>
            <w:vAlign w:val="center"/>
          </w:tcPr>
          <w:p w14:paraId="2E068F1F" w14:textId="77777777" w:rsidR="00E11F83" w:rsidRPr="00835AA1" w:rsidRDefault="00E11F83" w:rsidP="00835AA1">
            <w:pPr>
              <w:keepNext/>
              <w:jc w:val="center"/>
              <w:rPr>
                <w:szCs w:val="22"/>
                <w:lang w:val="fr-FR"/>
              </w:rPr>
            </w:pPr>
            <w:r w:rsidRPr="00835AA1">
              <w:rPr>
                <w:szCs w:val="22"/>
                <w:lang w:val="fr-FR"/>
              </w:rPr>
              <w:t>X</w:t>
            </w:r>
          </w:p>
        </w:tc>
        <w:tc>
          <w:tcPr>
            <w:tcW w:w="1170" w:type="dxa"/>
            <w:tcBorders>
              <w:top w:val="nil"/>
              <w:left w:val="nil"/>
              <w:bottom w:val="single" w:sz="4" w:space="0" w:color="auto"/>
              <w:right w:val="single" w:sz="4" w:space="0" w:color="auto"/>
            </w:tcBorders>
            <w:shd w:val="clear" w:color="000000" w:fill="FFFFFF"/>
            <w:noWrap/>
            <w:vAlign w:val="center"/>
          </w:tcPr>
          <w:p w14:paraId="4CAD5E52" w14:textId="77777777" w:rsidR="00E11F83" w:rsidRPr="00835AA1" w:rsidRDefault="00E11F83" w:rsidP="00835AA1">
            <w:pPr>
              <w:keepNext/>
              <w:jc w:val="center"/>
              <w:rPr>
                <w:szCs w:val="22"/>
                <w:lang w:val="fr-FR"/>
              </w:rPr>
            </w:pPr>
            <w:r w:rsidRPr="00835AA1">
              <w:rPr>
                <w:szCs w:val="22"/>
                <w:lang w:val="fr-FR"/>
              </w:rPr>
              <w:t>X</w:t>
            </w:r>
          </w:p>
        </w:tc>
        <w:tc>
          <w:tcPr>
            <w:tcW w:w="955" w:type="dxa"/>
            <w:tcBorders>
              <w:top w:val="nil"/>
              <w:left w:val="nil"/>
              <w:bottom w:val="single" w:sz="4" w:space="0" w:color="auto"/>
              <w:right w:val="single" w:sz="4" w:space="0" w:color="auto"/>
            </w:tcBorders>
            <w:shd w:val="clear" w:color="000000" w:fill="FFFFFF"/>
            <w:noWrap/>
            <w:vAlign w:val="center"/>
          </w:tcPr>
          <w:p w14:paraId="32084343" w14:textId="77777777" w:rsidR="00E11F83" w:rsidRPr="00835AA1" w:rsidRDefault="00E11F83" w:rsidP="00835AA1">
            <w:pPr>
              <w:keepNext/>
              <w:jc w:val="center"/>
              <w:rPr>
                <w:szCs w:val="22"/>
                <w:lang w:val="fr-FR"/>
              </w:rPr>
            </w:pPr>
            <w:r w:rsidRPr="00835AA1">
              <w:rPr>
                <w:szCs w:val="22"/>
                <w:lang w:val="fr-FR"/>
              </w:rPr>
              <w:t>X</w:t>
            </w:r>
          </w:p>
        </w:tc>
        <w:tc>
          <w:tcPr>
            <w:tcW w:w="1295" w:type="dxa"/>
            <w:tcBorders>
              <w:top w:val="nil"/>
              <w:left w:val="nil"/>
              <w:bottom w:val="single" w:sz="4" w:space="0" w:color="auto"/>
              <w:right w:val="single" w:sz="4" w:space="0" w:color="auto"/>
            </w:tcBorders>
            <w:shd w:val="clear" w:color="000000" w:fill="FFFFFF"/>
            <w:noWrap/>
            <w:vAlign w:val="center"/>
          </w:tcPr>
          <w:p w14:paraId="02092228" w14:textId="77777777" w:rsidR="00E11F83" w:rsidRPr="00835AA1" w:rsidRDefault="00E11F83" w:rsidP="00835AA1">
            <w:pPr>
              <w:keepNext/>
              <w:jc w:val="center"/>
              <w:rPr>
                <w:szCs w:val="22"/>
                <w:lang w:val="fr-FR"/>
              </w:rPr>
            </w:pPr>
            <w:r w:rsidRPr="00835AA1">
              <w:rPr>
                <w:szCs w:val="22"/>
                <w:lang w:val="fr-FR"/>
              </w:rPr>
              <w:t>X</w:t>
            </w:r>
          </w:p>
        </w:tc>
      </w:tr>
      <w:tr w:rsidR="00A541B2" w:rsidRPr="00835AA1" w14:paraId="6CC175AC" w14:textId="77777777" w:rsidTr="00A419D0">
        <w:trPr>
          <w:trHeight w:val="395"/>
        </w:trPr>
        <w:tc>
          <w:tcPr>
            <w:tcW w:w="704" w:type="dxa"/>
            <w:tcBorders>
              <w:top w:val="nil"/>
              <w:left w:val="single" w:sz="4" w:space="0" w:color="auto"/>
              <w:bottom w:val="single" w:sz="4" w:space="0" w:color="auto"/>
              <w:right w:val="single" w:sz="4" w:space="0" w:color="auto"/>
            </w:tcBorders>
            <w:shd w:val="clear" w:color="000000" w:fill="FFFFFF"/>
            <w:noWrap/>
            <w:vAlign w:val="center"/>
          </w:tcPr>
          <w:p w14:paraId="6D38D282" w14:textId="77777777" w:rsidR="00E11F83" w:rsidRPr="00835AA1" w:rsidRDefault="00E11F83" w:rsidP="001D52BE">
            <w:pPr>
              <w:jc w:val="center"/>
              <w:rPr>
                <w:szCs w:val="22"/>
                <w:lang w:val="fr-FR"/>
              </w:rPr>
            </w:pPr>
            <w:r w:rsidRPr="00835AA1">
              <w:rPr>
                <w:szCs w:val="22"/>
                <w:lang w:val="fr-FR"/>
              </w:rPr>
              <w:t>20)</w:t>
            </w:r>
          </w:p>
        </w:tc>
        <w:tc>
          <w:tcPr>
            <w:tcW w:w="3151" w:type="dxa"/>
            <w:tcBorders>
              <w:top w:val="nil"/>
              <w:left w:val="nil"/>
              <w:bottom w:val="single" w:sz="4" w:space="0" w:color="auto"/>
              <w:right w:val="single" w:sz="4" w:space="0" w:color="auto"/>
            </w:tcBorders>
            <w:shd w:val="clear" w:color="000000" w:fill="FFFFFF"/>
            <w:noWrap/>
            <w:vAlign w:val="center"/>
          </w:tcPr>
          <w:p w14:paraId="37F0C6C7" w14:textId="77777777" w:rsidR="00E11F83" w:rsidRPr="00835AA1" w:rsidRDefault="00870325" w:rsidP="00870325">
            <w:pPr>
              <w:rPr>
                <w:szCs w:val="22"/>
                <w:lang w:val="fr-FR"/>
              </w:rPr>
            </w:pPr>
            <w:r w:rsidRPr="00835AA1">
              <w:rPr>
                <w:szCs w:val="22"/>
                <w:lang w:val="fr-FR"/>
              </w:rPr>
              <w:t xml:space="preserve">Revue annuelle de </w:t>
            </w:r>
            <w:r w:rsidR="002E3178" w:rsidRPr="00835AA1">
              <w:rPr>
                <w:szCs w:val="22"/>
                <w:lang w:val="fr-FR"/>
              </w:rPr>
              <w:t>La Haye</w:t>
            </w:r>
          </w:p>
        </w:tc>
        <w:tc>
          <w:tcPr>
            <w:tcW w:w="1260" w:type="dxa"/>
            <w:tcBorders>
              <w:top w:val="nil"/>
              <w:left w:val="nil"/>
              <w:bottom w:val="single" w:sz="4" w:space="0" w:color="auto"/>
              <w:right w:val="single" w:sz="4" w:space="0" w:color="auto"/>
            </w:tcBorders>
            <w:shd w:val="clear" w:color="000000" w:fill="FFFFFF"/>
            <w:noWrap/>
            <w:vAlign w:val="center"/>
          </w:tcPr>
          <w:p w14:paraId="2B069C62" w14:textId="77777777" w:rsidR="00E11F83" w:rsidRPr="00835AA1" w:rsidRDefault="00E11F83" w:rsidP="001D52BE">
            <w:pPr>
              <w:jc w:val="center"/>
              <w:rPr>
                <w:szCs w:val="22"/>
                <w:lang w:val="fr-FR"/>
              </w:rPr>
            </w:pPr>
            <w:r w:rsidRPr="00835AA1">
              <w:rPr>
                <w:szCs w:val="22"/>
                <w:lang w:val="fr-FR"/>
              </w:rPr>
              <w:t>X</w:t>
            </w:r>
          </w:p>
        </w:tc>
        <w:tc>
          <w:tcPr>
            <w:tcW w:w="1260" w:type="dxa"/>
            <w:tcBorders>
              <w:top w:val="nil"/>
              <w:left w:val="nil"/>
              <w:bottom w:val="single" w:sz="4" w:space="0" w:color="auto"/>
              <w:right w:val="single" w:sz="4" w:space="0" w:color="auto"/>
            </w:tcBorders>
            <w:shd w:val="clear" w:color="000000" w:fill="FFFFFF"/>
            <w:noWrap/>
            <w:vAlign w:val="center"/>
          </w:tcPr>
          <w:p w14:paraId="37AA1825" w14:textId="77777777" w:rsidR="00E11F83" w:rsidRPr="00835AA1" w:rsidRDefault="00E11F83" w:rsidP="001D52BE">
            <w:pPr>
              <w:jc w:val="center"/>
              <w:rPr>
                <w:szCs w:val="22"/>
                <w:lang w:val="fr-FR"/>
              </w:rPr>
            </w:pPr>
            <w:r w:rsidRPr="00835AA1">
              <w:rPr>
                <w:szCs w:val="22"/>
                <w:lang w:val="fr-FR"/>
              </w:rPr>
              <w:t>X</w:t>
            </w:r>
          </w:p>
        </w:tc>
        <w:tc>
          <w:tcPr>
            <w:tcW w:w="1170" w:type="dxa"/>
            <w:tcBorders>
              <w:top w:val="nil"/>
              <w:left w:val="nil"/>
              <w:bottom w:val="single" w:sz="4" w:space="0" w:color="auto"/>
              <w:right w:val="single" w:sz="4" w:space="0" w:color="auto"/>
            </w:tcBorders>
            <w:shd w:val="clear" w:color="000000" w:fill="FFFFFF"/>
            <w:noWrap/>
            <w:vAlign w:val="center"/>
          </w:tcPr>
          <w:p w14:paraId="136D144B" w14:textId="77777777" w:rsidR="00E11F83" w:rsidRPr="00835AA1" w:rsidRDefault="00E11F83" w:rsidP="001D52BE">
            <w:pPr>
              <w:jc w:val="center"/>
              <w:rPr>
                <w:szCs w:val="22"/>
                <w:lang w:val="fr-FR"/>
              </w:rPr>
            </w:pPr>
            <w:r w:rsidRPr="00835AA1">
              <w:rPr>
                <w:szCs w:val="22"/>
                <w:lang w:val="fr-FR"/>
              </w:rPr>
              <w:t>X</w:t>
            </w:r>
          </w:p>
        </w:tc>
        <w:tc>
          <w:tcPr>
            <w:tcW w:w="955" w:type="dxa"/>
            <w:tcBorders>
              <w:top w:val="nil"/>
              <w:left w:val="nil"/>
              <w:bottom w:val="single" w:sz="4" w:space="0" w:color="auto"/>
              <w:right w:val="single" w:sz="4" w:space="0" w:color="auto"/>
            </w:tcBorders>
            <w:shd w:val="clear" w:color="000000" w:fill="FFFFFF"/>
            <w:noWrap/>
            <w:vAlign w:val="center"/>
          </w:tcPr>
          <w:p w14:paraId="5AB03459" w14:textId="77777777" w:rsidR="00E11F83" w:rsidRPr="00835AA1" w:rsidRDefault="00E11F83" w:rsidP="001D52BE">
            <w:pPr>
              <w:jc w:val="center"/>
              <w:rPr>
                <w:szCs w:val="22"/>
                <w:lang w:val="fr-FR"/>
              </w:rPr>
            </w:pPr>
            <w:r w:rsidRPr="00835AA1">
              <w:rPr>
                <w:szCs w:val="22"/>
                <w:lang w:val="fr-FR"/>
              </w:rPr>
              <w:t>X</w:t>
            </w:r>
          </w:p>
        </w:tc>
        <w:tc>
          <w:tcPr>
            <w:tcW w:w="1295" w:type="dxa"/>
            <w:tcBorders>
              <w:top w:val="nil"/>
              <w:left w:val="nil"/>
              <w:bottom w:val="single" w:sz="4" w:space="0" w:color="auto"/>
              <w:right w:val="single" w:sz="4" w:space="0" w:color="auto"/>
            </w:tcBorders>
            <w:shd w:val="clear" w:color="000000" w:fill="FFFFFF"/>
            <w:noWrap/>
            <w:vAlign w:val="center"/>
          </w:tcPr>
          <w:p w14:paraId="34D50F87" w14:textId="77777777" w:rsidR="00E11F83" w:rsidRPr="00835AA1" w:rsidRDefault="00E11F83" w:rsidP="001D52BE">
            <w:pPr>
              <w:jc w:val="center"/>
              <w:rPr>
                <w:szCs w:val="22"/>
                <w:lang w:val="fr-FR"/>
              </w:rPr>
            </w:pPr>
            <w:r w:rsidRPr="00835AA1">
              <w:rPr>
                <w:szCs w:val="22"/>
                <w:lang w:val="fr-FR"/>
              </w:rPr>
              <w:t>X</w:t>
            </w:r>
          </w:p>
        </w:tc>
      </w:tr>
    </w:tbl>
    <w:p w14:paraId="54CC3A33" w14:textId="77777777" w:rsidR="008844A6" w:rsidRPr="00835AA1" w:rsidRDefault="00870325" w:rsidP="00835AA1">
      <w:pPr>
        <w:pStyle w:val="Endofdocument-Annex"/>
        <w:rPr>
          <w:lang w:val="fr-FR"/>
        </w:rPr>
      </w:pPr>
      <w:r w:rsidRPr="00835AA1">
        <w:rPr>
          <w:lang w:val="fr-FR"/>
        </w:rPr>
        <w:t>[L</w:t>
      </w:r>
      <w:r w:rsidR="002E3178" w:rsidRPr="00835AA1">
        <w:rPr>
          <w:lang w:val="fr-FR"/>
        </w:rPr>
        <w:t>’</w:t>
      </w:r>
      <w:r w:rsidRPr="00835AA1">
        <w:rPr>
          <w:lang w:val="fr-FR"/>
        </w:rPr>
        <w:t>annexe</w:t>
      </w:r>
      <w:r w:rsidR="001D2116" w:rsidRPr="00835AA1">
        <w:rPr>
          <w:lang w:val="fr-FR"/>
        </w:rPr>
        <w:t> </w:t>
      </w:r>
      <w:r w:rsidRPr="00835AA1">
        <w:rPr>
          <w:lang w:val="fr-FR"/>
        </w:rPr>
        <w:t>II suit]</w:t>
      </w:r>
    </w:p>
    <w:p w14:paraId="39E193F7" w14:textId="77777777" w:rsidR="00E11F83" w:rsidRPr="00835AA1" w:rsidRDefault="00E11F83" w:rsidP="00E7402F">
      <w:pPr>
        <w:rPr>
          <w:lang w:val="fr-FR"/>
        </w:rPr>
        <w:sectPr w:rsidR="00E11F83" w:rsidRPr="00835AA1" w:rsidSect="004D1738">
          <w:headerReference w:type="default" r:id="rId10"/>
          <w:headerReference w:type="first" r:id="rId11"/>
          <w:footnotePr>
            <w:numRestart w:val="eachSect"/>
          </w:footnotePr>
          <w:endnotePr>
            <w:numFmt w:val="decimal"/>
          </w:endnotePr>
          <w:pgSz w:w="11907" w:h="16840" w:code="9"/>
          <w:pgMar w:top="567" w:right="1134" w:bottom="851" w:left="1418" w:header="510" w:footer="1021" w:gutter="0"/>
          <w:pgNumType w:start="1"/>
          <w:cols w:space="720"/>
          <w:titlePg/>
          <w:docGrid w:linePitch="299"/>
        </w:sectPr>
      </w:pPr>
    </w:p>
    <w:p w14:paraId="1DF6319D" w14:textId="425EF102" w:rsidR="008844A6" w:rsidRPr="00835AA1" w:rsidRDefault="00870325" w:rsidP="00870325">
      <w:pPr>
        <w:pStyle w:val="Heading1"/>
        <w:numPr>
          <w:ilvl w:val="0"/>
          <w:numId w:val="0"/>
        </w:numPr>
        <w:spacing w:before="0"/>
        <w:rPr>
          <w:lang w:val="fr-FR"/>
        </w:rPr>
      </w:pPr>
      <w:r w:rsidRPr="00835AA1">
        <w:rPr>
          <w:lang w:val="fr-FR"/>
        </w:rPr>
        <w:lastRenderedPageBreak/>
        <w:t>Annexe</w:t>
      </w:r>
      <w:r w:rsidR="001D2116" w:rsidRPr="00835AA1">
        <w:rPr>
          <w:lang w:val="fr-FR"/>
        </w:rPr>
        <w:t> </w:t>
      </w:r>
      <w:r w:rsidRPr="00835AA1">
        <w:rPr>
          <w:lang w:val="fr-FR"/>
        </w:rPr>
        <w:t>II</w:t>
      </w:r>
      <w:r w:rsidR="002E3178" w:rsidRPr="00835AA1">
        <w:rPr>
          <w:lang w:val="fr-FR"/>
        </w:rPr>
        <w:t> :</w:t>
      </w:r>
      <w:r w:rsidRPr="00835AA1">
        <w:rPr>
          <w:lang w:val="fr-FR"/>
        </w:rPr>
        <w:t xml:space="preserve"> co</w:t>
      </w:r>
      <w:r w:rsidR="00015994">
        <w:rPr>
          <w:lang w:val="fr-FR"/>
        </w:rPr>
        <w:t>Û</w:t>
      </w:r>
      <w:r w:rsidRPr="00835AA1">
        <w:rPr>
          <w:lang w:val="fr-FR"/>
        </w:rPr>
        <w:t>ts associ</w:t>
      </w:r>
      <w:r w:rsidR="008B3072">
        <w:rPr>
          <w:lang w:val="fr-FR"/>
        </w:rPr>
        <w:t>É</w:t>
      </w:r>
      <w:r w:rsidRPr="00835AA1">
        <w:rPr>
          <w:lang w:val="fr-FR"/>
        </w:rPr>
        <w:t xml:space="preserve">s </w:t>
      </w:r>
      <w:r w:rsidR="008B3072">
        <w:rPr>
          <w:lang w:val="fr-FR"/>
        </w:rPr>
        <w:t>À</w:t>
      </w:r>
      <w:r w:rsidRPr="00835AA1">
        <w:rPr>
          <w:lang w:val="fr-FR"/>
        </w:rPr>
        <w:t xml:space="preserve"> </w:t>
      </w:r>
      <w:r w:rsidR="00835AA1">
        <w:rPr>
          <w:lang w:val="fr-FR"/>
        </w:rPr>
        <w:t>l</w:t>
      </w:r>
      <w:r w:rsidR="002E3178" w:rsidRPr="00835AA1">
        <w:rPr>
          <w:lang w:val="fr-FR"/>
        </w:rPr>
        <w:t>’</w:t>
      </w:r>
      <w:r w:rsidR="00835AA1">
        <w:rPr>
          <w:lang w:val="fr-FR"/>
        </w:rPr>
        <w:t xml:space="preserve">introduction </w:t>
      </w:r>
      <w:r w:rsidRPr="00835AA1">
        <w:rPr>
          <w:lang w:val="fr-FR"/>
        </w:rPr>
        <w:t>du chinois et du russe dans le syst</w:t>
      </w:r>
      <w:r w:rsidR="008B3072">
        <w:rPr>
          <w:lang w:val="fr-FR"/>
        </w:rPr>
        <w:t>È</w:t>
      </w:r>
      <w:r w:rsidRPr="00835AA1">
        <w:rPr>
          <w:lang w:val="fr-FR"/>
        </w:rPr>
        <w:t xml:space="preserve">me de </w:t>
      </w:r>
      <w:r w:rsidR="002E3178" w:rsidRPr="00835AA1">
        <w:rPr>
          <w:lang w:val="fr-FR"/>
        </w:rPr>
        <w:t>La Haye</w:t>
      </w:r>
    </w:p>
    <w:p w14:paraId="08DA276F" w14:textId="4F50AE8B" w:rsidR="008844A6" w:rsidRPr="00835AA1" w:rsidRDefault="00870325" w:rsidP="00870325">
      <w:pPr>
        <w:pStyle w:val="Heading1"/>
        <w:numPr>
          <w:ilvl w:val="0"/>
          <w:numId w:val="6"/>
        </w:numPr>
        <w:ind w:left="567" w:hanging="567"/>
        <w:rPr>
          <w:lang w:val="fr-FR"/>
        </w:rPr>
      </w:pPr>
      <w:r w:rsidRPr="00835AA1">
        <w:rPr>
          <w:lang w:val="fr-FR"/>
        </w:rPr>
        <w:t>Co</w:t>
      </w:r>
      <w:r w:rsidR="008B3072">
        <w:rPr>
          <w:lang w:val="fr-FR"/>
        </w:rPr>
        <w:t>Û</w:t>
      </w:r>
      <w:r w:rsidRPr="00835AA1">
        <w:rPr>
          <w:lang w:val="fr-FR"/>
        </w:rPr>
        <w:t>ts de lancement</w:t>
      </w:r>
    </w:p>
    <w:p w14:paraId="3427872B" w14:textId="77777777" w:rsidR="008844A6" w:rsidRPr="00835AA1" w:rsidRDefault="00870325" w:rsidP="00B34648">
      <w:pPr>
        <w:pStyle w:val="Heading2"/>
      </w:pPr>
      <w:r w:rsidRPr="00835AA1">
        <w:t>Traduction</w:t>
      </w:r>
    </w:p>
    <w:p w14:paraId="6B795F26" w14:textId="2284E00D" w:rsidR="008844A6" w:rsidRPr="00835AA1" w:rsidRDefault="00915FBF" w:rsidP="00835AA1">
      <w:pPr>
        <w:pStyle w:val="ONUMFS"/>
        <w:numPr>
          <w:ilvl w:val="0"/>
          <w:numId w:val="32"/>
        </w:numPr>
        <w:rPr>
          <w:lang w:val="fr-FR"/>
        </w:rPr>
      </w:pPr>
      <w:r w:rsidRPr="00835AA1">
        <w:rPr>
          <w:lang w:val="fr-FR"/>
        </w:rPr>
        <w:t xml:space="preserve">Dans un premier temps, tous les textes figurant dans le système </w:t>
      </w:r>
      <w:r w:rsidRPr="00F21006">
        <w:rPr>
          <w:i/>
          <w:lang w:val="fr-FR"/>
        </w:rPr>
        <w:t>eHague</w:t>
      </w:r>
      <w:r w:rsidRPr="00835AA1">
        <w:rPr>
          <w:lang w:val="fr-FR"/>
        </w:rPr>
        <w:t>, les formulaires et les modèles de notification</w:t>
      </w:r>
      <w:r w:rsidR="00B1079C" w:rsidRPr="00835AA1">
        <w:rPr>
          <w:lang w:val="fr-FR"/>
        </w:rPr>
        <w:t>,</w:t>
      </w:r>
      <w:r w:rsidRPr="00835AA1">
        <w:rPr>
          <w:lang w:val="fr-FR"/>
        </w:rPr>
        <w:t xml:space="preserve"> ainsi que les textes pertinents pour </w:t>
      </w:r>
      <w:r w:rsidR="00E354F3" w:rsidRPr="00835AA1">
        <w:rPr>
          <w:lang w:val="fr-FR"/>
        </w:rPr>
        <w:t>chac</w:t>
      </w:r>
      <w:r w:rsidR="008B3072">
        <w:rPr>
          <w:lang w:val="fr-FR"/>
        </w:rPr>
        <w:t>u</w:t>
      </w:r>
      <w:r w:rsidR="00E354F3" w:rsidRPr="00835AA1">
        <w:rPr>
          <w:lang w:val="fr-FR"/>
        </w:rPr>
        <w:t>ne des</w:t>
      </w:r>
      <w:r w:rsidRPr="00835AA1">
        <w:rPr>
          <w:lang w:val="fr-FR"/>
        </w:rPr>
        <w:t xml:space="preserve"> options de mise en </w:t>
      </w:r>
      <w:r w:rsidR="00B1079C" w:rsidRPr="00835AA1">
        <w:rPr>
          <w:lang w:val="fr-FR"/>
        </w:rPr>
        <w:t>œuvre</w:t>
      </w:r>
      <w:r w:rsidRPr="00835AA1">
        <w:rPr>
          <w:lang w:val="fr-FR"/>
        </w:rPr>
        <w:t xml:space="preserve"> devront être traduits, afin de veiller à ce que toutes les informations et tous les services pertinents soient disponibles dans les nouvelles langues.</w:t>
      </w:r>
    </w:p>
    <w:p w14:paraId="2A442F8A" w14:textId="3E77895C" w:rsidR="008844A6" w:rsidRPr="00835AA1" w:rsidRDefault="00915FBF" w:rsidP="00835AA1">
      <w:pPr>
        <w:pStyle w:val="ONUMFS"/>
        <w:rPr>
          <w:lang w:val="fr-FR"/>
        </w:rPr>
      </w:pPr>
      <w:r w:rsidRPr="00835AA1">
        <w:rPr>
          <w:lang w:val="fr-FR"/>
        </w:rPr>
        <w:t>Le Bureau international devra engager deux</w:t>
      </w:r>
      <w:r w:rsidR="007B26C3" w:rsidRPr="00835AA1">
        <w:rPr>
          <w:lang w:val="fr-FR"/>
        </w:rPr>
        <w:t> </w:t>
      </w:r>
      <w:r w:rsidRPr="00835AA1">
        <w:rPr>
          <w:lang w:val="fr-FR"/>
        </w:rPr>
        <w:t>traducteurs à plein temps maîtrisant les nouvelles langues (un traducteur par langue, c</w:t>
      </w:r>
      <w:r w:rsidR="002E3178" w:rsidRPr="00835AA1">
        <w:rPr>
          <w:lang w:val="fr-FR"/>
        </w:rPr>
        <w:t>’</w:t>
      </w:r>
      <w:r w:rsidRPr="00835AA1">
        <w:rPr>
          <w:lang w:val="fr-FR"/>
        </w:rPr>
        <w:t>est</w:t>
      </w:r>
      <w:r w:rsidR="003813B1" w:rsidRPr="00835AA1">
        <w:rPr>
          <w:lang w:val="fr-FR"/>
        </w:rPr>
        <w:noBreakHyphen/>
      </w:r>
      <w:r w:rsidRPr="00835AA1">
        <w:rPr>
          <w:lang w:val="fr-FR"/>
        </w:rPr>
        <w:t>à</w:t>
      </w:r>
      <w:r w:rsidR="003813B1" w:rsidRPr="00835AA1">
        <w:rPr>
          <w:lang w:val="fr-FR"/>
        </w:rPr>
        <w:noBreakHyphen/>
      </w:r>
      <w:r w:rsidRPr="00835AA1">
        <w:rPr>
          <w:lang w:val="fr-FR"/>
        </w:rPr>
        <w:t>dire le chinois et le russe), dans le cadre de contrats de prestataire</w:t>
      </w:r>
      <w:r w:rsidR="00E354F3" w:rsidRPr="00835AA1">
        <w:rPr>
          <w:lang w:val="fr-FR"/>
        </w:rPr>
        <w:t>s</w:t>
      </w:r>
      <w:r w:rsidRPr="00835AA1">
        <w:rPr>
          <w:lang w:val="fr-FR"/>
        </w:rPr>
        <w:t xml:space="preserve"> individuel</w:t>
      </w:r>
      <w:r w:rsidR="00E354F3" w:rsidRPr="00835AA1">
        <w:rPr>
          <w:lang w:val="fr-FR"/>
        </w:rPr>
        <w:t>s de services</w:t>
      </w:r>
      <w:r w:rsidRPr="00835AA1">
        <w:rPr>
          <w:rStyle w:val="FootnoteReference"/>
          <w:lang w:val="fr-FR"/>
        </w:rPr>
        <w:footnoteReference w:id="9"/>
      </w:r>
      <w:r w:rsidRPr="00835AA1">
        <w:rPr>
          <w:lang w:val="fr-FR"/>
        </w:rPr>
        <w:t>.</w:t>
      </w:r>
      <w:r w:rsidR="001853A9" w:rsidRPr="00835AA1">
        <w:rPr>
          <w:lang w:val="fr-FR"/>
        </w:rPr>
        <w:t xml:space="preserve">  </w:t>
      </w:r>
      <w:r w:rsidRPr="00835AA1">
        <w:rPr>
          <w:lang w:val="fr-FR"/>
        </w:rPr>
        <w:t xml:space="preserve">Un contrat de prestataire individuel </w:t>
      </w:r>
      <w:r w:rsidR="00E354F3" w:rsidRPr="00835AA1">
        <w:rPr>
          <w:lang w:val="fr-FR"/>
        </w:rPr>
        <w:t xml:space="preserve">de services </w:t>
      </w:r>
      <w:r w:rsidRPr="00835AA1">
        <w:rPr>
          <w:lang w:val="fr-FR"/>
        </w:rPr>
        <w:t>pour un traducteur de niveau</w:t>
      </w:r>
      <w:r w:rsidR="005829EF" w:rsidRPr="00835AA1">
        <w:rPr>
          <w:lang w:val="fr-FR"/>
        </w:rPr>
        <w:t> </w:t>
      </w:r>
      <w:r w:rsidRPr="00835AA1">
        <w:rPr>
          <w:lang w:val="fr-FR"/>
        </w:rPr>
        <w:t>P</w:t>
      </w:r>
      <w:r w:rsidR="003813B1" w:rsidRPr="00835AA1">
        <w:rPr>
          <w:lang w:val="fr-FR"/>
        </w:rPr>
        <w:noBreakHyphen/>
      </w:r>
      <w:r w:rsidRPr="00835AA1">
        <w:rPr>
          <w:lang w:val="fr-FR"/>
        </w:rPr>
        <w:t>3 ou P</w:t>
      </w:r>
      <w:r w:rsidR="003813B1" w:rsidRPr="00835AA1">
        <w:rPr>
          <w:lang w:val="fr-FR"/>
        </w:rPr>
        <w:noBreakHyphen/>
      </w:r>
      <w:r w:rsidRPr="00835AA1">
        <w:rPr>
          <w:lang w:val="fr-FR"/>
        </w:rPr>
        <w:t>4 peut aller de 100</w:t>
      </w:r>
      <w:r w:rsidR="005829EF" w:rsidRPr="00835AA1">
        <w:rPr>
          <w:lang w:val="fr-FR"/>
        </w:rPr>
        <w:t> 000 </w:t>
      </w:r>
      <w:r w:rsidRPr="00835AA1">
        <w:rPr>
          <w:lang w:val="fr-FR"/>
        </w:rPr>
        <w:t>francs suisses à</w:t>
      </w:r>
      <w:r w:rsidR="002B067A">
        <w:rPr>
          <w:lang w:val="fr-FR"/>
        </w:rPr>
        <w:t> </w:t>
      </w:r>
      <w:r w:rsidRPr="00835AA1">
        <w:rPr>
          <w:lang w:val="fr-FR"/>
        </w:rPr>
        <w:t>150</w:t>
      </w:r>
      <w:r w:rsidR="005829EF" w:rsidRPr="00835AA1">
        <w:rPr>
          <w:lang w:val="fr-FR"/>
        </w:rPr>
        <w:t> 000 </w:t>
      </w:r>
      <w:r w:rsidRPr="00835AA1">
        <w:rPr>
          <w:lang w:val="fr-FR"/>
        </w:rPr>
        <w:t>francs suisses par an, en fonction de l</w:t>
      </w:r>
      <w:r w:rsidR="002E3178" w:rsidRPr="00835AA1">
        <w:rPr>
          <w:lang w:val="fr-FR"/>
        </w:rPr>
        <w:t>’</w:t>
      </w:r>
      <w:r w:rsidRPr="00835AA1">
        <w:rPr>
          <w:lang w:val="fr-FR"/>
        </w:rPr>
        <w:t>expérience du traducte</w:t>
      </w:r>
      <w:r w:rsidR="00A541B2" w:rsidRPr="00835AA1">
        <w:rPr>
          <w:lang w:val="fr-FR"/>
        </w:rPr>
        <w:t>ur.  Il</w:t>
      </w:r>
      <w:r w:rsidR="00E354F3" w:rsidRPr="00835AA1">
        <w:rPr>
          <w:lang w:val="fr-FR"/>
        </w:rPr>
        <w:t xml:space="preserve"> est donc estimé, à titre indicatif, </w:t>
      </w:r>
      <w:r w:rsidRPr="00835AA1">
        <w:rPr>
          <w:lang w:val="fr-FR"/>
        </w:rPr>
        <w:t>que chaque contrat de services de prestataire individuel nécessiterait un investissement d</w:t>
      </w:r>
      <w:r w:rsidR="002E3178" w:rsidRPr="00835AA1">
        <w:rPr>
          <w:lang w:val="fr-FR"/>
        </w:rPr>
        <w:t>’</w:t>
      </w:r>
      <w:r w:rsidRPr="00835AA1">
        <w:rPr>
          <w:lang w:val="fr-FR"/>
        </w:rPr>
        <w:t>environ 125</w:t>
      </w:r>
      <w:r w:rsidR="005829EF" w:rsidRPr="00835AA1">
        <w:rPr>
          <w:lang w:val="fr-FR"/>
        </w:rPr>
        <w:t> 000 </w:t>
      </w:r>
      <w:r w:rsidRPr="00835AA1">
        <w:rPr>
          <w:lang w:val="fr-FR"/>
        </w:rPr>
        <w:t>francs suisses par an.</w:t>
      </w:r>
    </w:p>
    <w:p w14:paraId="14E088FE" w14:textId="77777777" w:rsidR="008844A6" w:rsidRPr="00835AA1" w:rsidRDefault="004D133F" w:rsidP="00835AA1">
      <w:pPr>
        <w:pStyle w:val="ONUMFS"/>
        <w:rPr>
          <w:lang w:val="fr-FR"/>
        </w:rPr>
      </w:pPr>
      <w:r w:rsidRPr="00835AA1">
        <w:rPr>
          <w:lang w:val="fr-FR"/>
        </w:rPr>
        <w:t>La nature des modèles de notification et des textes à traduire dans les nouvelles langues varierait en fonction de</w:t>
      </w:r>
      <w:r w:rsidR="00E354F3" w:rsidRPr="00835AA1">
        <w:rPr>
          <w:lang w:val="fr-FR"/>
        </w:rPr>
        <w:t>s différentes</w:t>
      </w:r>
      <w:r w:rsidRPr="00835AA1">
        <w:rPr>
          <w:lang w:val="fr-FR"/>
        </w:rPr>
        <w:t xml:space="preserve"> options de mise en </w:t>
      </w:r>
      <w:r w:rsidR="009725CD" w:rsidRPr="00835AA1">
        <w:rPr>
          <w:lang w:val="fr-FR"/>
        </w:rPr>
        <w:t>œuv</w:t>
      </w:r>
      <w:r w:rsidR="00A541B2" w:rsidRPr="00835AA1">
        <w:rPr>
          <w:lang w:val="fr-FR"/>
        </w:rPr>
        <w:t>re.  Né</w:t>
      </w:r>
      <w:r w:rsidRPr="00835AA1">
        <w:rPr>
          <w:lang w:val="fr-FR"/>
        </w:rPr>
        <w:t xml:space="preserve">anmoins, la nécessité de mettre à disposition certains des supports et outils </w:t>
      </w:r>
      <w:r w:rsidR="00E354F3" w:rsidRPr="00835AA1">
        <w:rPr>
          <w:lang w:val="fr-FR"/>
        </w:rPr>
        <w:t xml:space="preserve">dans les nouvelles langues </w:t>
      </w:r>
      <w:r w:rsidRPr="00835AA1">
        <w:rPr>
          <w:lang w:val="fr-FR"/>
        </w:rPr>
        <w:t>n</w:t>
      </w:r>
      <w:r w:rsidR="002E3178" w:rsidRPr="00835AA1">
        <w:rPr>
          <w:lang w:val="fr-FR"/>
        </w:rPr>
        <w:t>’</w:t>
      </w:r>
      <w:r w:rsidRPr="00835AA1">
        <w:rPr>
          <w:lang w:val="fr-FR"/>
        </w:rPr>
        <w:t>est pas strictement liée à l</w:t>
      </w:r>
      <w:r w:rsidR="002E3178" w:rsidRPr="00835AA1">
        <w:rPr>
          <w:lang w:val="fr-FR"/>
        </w:rPr>
        <w:t>’</w:t>
      </w:r>
      <w:r w:rsidRPr="00835AA1">
        <w:rPr>
          <w:lang w:val="fr-FR"/>
        </w:rPr>
        <w:t>une ou l</w:t>
      </w:r>
      <w:r w:rsidR="002E3178" w:rsidRPr="00835AA1">
        <w:rPr>
          <w:lang w:val="fr-FR"/>
        </w:rPr>
        <w:t>’</w:t>
      </w:r>
      <w:r w:rsidRPr="00835AA1">
        <w:rPr>
          <w:lang w:val="fr-FR"/>
        </w:rPr>
        <w:t>autre des options.</w:t>
      </w:r>
    </w:p>
    <w:p w14:paraId="04F4332C" w14:textId="77777777" w:rsidR="008844A6" w:rsidRPr="00835AA1" w:rsidRDefault="004D133F" w:rsidP="00835AA1">
      <w:pPr>
        <w:pStyle w:val="ONUMFS"/>
        <w:rPr>
          <w:lang w:val="fr-FR"/>
        </w:rPr>
      </w:pPr>
      <w:r w:rsidRPr="00835AA1">
        <w:rPr>
          <w:lang w:val="fr-FR"/>
        </w:rPr>
        <w:t>Contrairement à l</w:t>
      </w:r>
      <w:r w:rsidR="002E3178" w:rsidRPr="00835AA1">
        <w:rPr>
          <w:lang w:val="fr-FR"/>
        </w:rPr>
        <w:t>’</w:t>
      </w:r>
      <w:r w:rsidRPr="00835AA1">
        <w:rPr>
          <w:lang w:val="fr-FR"/>
        </w:rPr>
        <w:t>option de la langue de dépôt (option</w:t>
      </w:r>
      <w:r w:rsidR="003E7B52">
        <w:rPr>
          <w:lang w:val="fr-FR"/>
        </w:rPr>
        <w:t> </w:t>
      </w:r>
      <w:r w:rsidR="005829EF" w:rsidRPr="00835AA1">
        <w:rPr>
          <w:lang w:val="fr-FR"/>
        </w:rPr>
        <w:t>“</w:t>
      </w:r>
      <w:r w:rsidRPr="00835AA1">
        <w:rPr>
          <w:lang w:val="fr-FR"/>
        </w:rPr>
        <w:t>A</w:t>
      </w:r>
      <w:r w:rsidR="005829EF" w:rsidRPr="00835AA1">
        <w:rPr>
          <w:lang w:val="fr-FR"/>
        </w:rPr>
        <w:t>”</w:t>
      </w:r>
      <w:r w:rsidRPr="00835AA1">
        <w:rPr>
          <w:lang w:val="fr-FR"/>
        </w:rPr>
        <w:t>), l</w:t>
      </w:r>
      <w:r w:rsidR="002E3178" w:rsidRPr="00835AA1">
        <w:rPr>
          <w:lang w:val="fr-FR"/>
        </w:rPr>
        <w:t>’</w:t>
      </w:r>
      <w:r w:rsidRPr="00835AA1">
        <w:rPr>
          <w:lang w:val="fr-FR"/>
        </w:rPr>
        <w:t>option de la langue de dé</w:t>
      </w:r>
      <w:r w:rsidR="003E7B52">
        <w:rPr>
          <w:lang w:val="fr-FR"/>
        </w:rPr>
        <w:t>pôt et de communication (option </w:t>
      </w:r>
      <w:r w:rsidR="005829EF" w:rsidRPr="00835AA1">
        <w:rPr>
          <w:lang w:val="fr-FR"/>
        </w:rPr>
        <w:t>“</w:t>
      </w:r>
      <w:r w:rsidRPr="00835AA1">
        <w:rPr>
          <w:lang w:val="fr-FR"/>
        </w:rPr>
        <w:t>B</w:t>
      </w:r>
      <w:r w:rsidR="005829EF" w:rsidRPr="00835AA1">
        <w:rPr>
          <w:lang w:val="fr-FR"/>
        </w:rPr>
        <w:t>”</w:t>
      </w:r>
      <w:r w:rsidRPr="00835AA1">
        <w:rPr>
          <w:lang w:val="fr-FR"/>
        </w:rPr>
        <w:t>) nécessiterait la traduction des modèles de notification et des textes associés à la procédure d</w:t>
      </w:r>
      <w:r w:rsidR="002E3178" w:rsidRPr="00835AA1">
        <w:rPr>
          <w:lang w:val="fr-FR"/>
        </w:rPr>
        <w:t>’</w:t>
      </w:r>
      <w:r w:rsidRPr="00835AA1">
        <w:rPr>
          <w:lang w:val="fr-FR"/>
        </w:rPr>
        <w:t>examen des demandes international</w:t>
      </w:r>
      <w:r w:rsidR="00A541B2" w:rsidRPr="00835AA1">
        <w:rPr>
          <w:lang w:val="fr-FR"/>
        </w:rPr>
        <w:t>es.  Le</w:t>
      </w:r>
      <w:r w:rsidRPr="00835AA1">
        <w:rPr>
          <w:lang w:val="fr-FR"/>
        </w:rPr>
        <w:t>s trois</w:t>
      </w:r>
      <w:r w:rsidR="007B26C3" w:rsidRPr="00835AA1">
        <w:rPr>
          <w:lang w:val="fr-FR"/>
        </w:rPr>
        <w:t> </w:t>
      </w:r>
      <w:r w:rsidRPr="00835AA1">
        <w:rPr>
          <w:lang w:val="fr-FR"/>
        </w:rPr>
        <w:t>autres options (options</w:t>
      </w:r>
      <w:r w:rsidR="003E7B52">
        <w:rPr>
          <w:lang w:val="fr-FR"/>
        </w:rPr>
        <w:t> </w:t>
      </w:r>
      <w:r w:rsidR="005829EF" w:rsidRPr="00835AA1">
        <w:rPr>
          <w:lang w:val="fr-FR"/>
        </w:rPr>
        <w:t>“</w:t>
      </w:r>
      <w:r w:rsidRPr="00835AA1">
        <w:rPr>
          <w:lang w:val="fr-FR"/>
        </w:rPr>
        <w:t>C</w:t>
      </w:r>
      <w:r w:rsidR="005829EF" w:rsidRPr="00835AA1">
        <w:rPr>
          <w:lang w:val="fr-FR"/>
        </w:rPr>
        <w:t>”</w:t>
      </w:r>
      <w:r w:rsidR="003E7B52">
        <w:rPr>
          <w:lang w:val="fr-FR"/>
        </w:rPr>
        <w:t xml:space="preserve"> à </w:t>
      </w:r>
      <w:r w:rsidR="005829EF" w:rsidRPr="00835AA1">
        <w:rPr>
          <w:lang w:val="fr-FR"/>
        </w:rPr>
        <w:t>“</w:t>
      </w:r>
      <w:r w:rsidRPr="00835AA1">
        <w:rPr>
          <w:lang w:val="fr-FR"/>
        </w:rPr>
        <w:t>E</w:t>
      </w:r>
      <w:r w:rsidR="005829EF" w:rsidRPr="00835AA1">
        <w:rPr>
          <w:lang w:val="fr-FR"/>
        </w:rPr>
        <w:t>”</w:t>
      </w:r>
      <w:r w:rsidRPr="00835AA1">
        <w:rPr>
          <w:lang w:val="fr-FR"/>
        </w:rPr>
        <w:t>) exigeraient en outre la traduction de l</w:t>
      </w:r>
      <w:r w:rsidR="002E3178" w:rsidRPr="00835AA1">
        <w:rPr>
          <w:lang w:val="fr-FR"/>
        </w:rPr>
        <w:t>’</w:t>
      </w:r>
      <w:r w:rsidRPr="00835AA1">
        <w:rPr>
          <w:lang w:val="fr-FR"/>
        </w:rPr>
        <w:t xml:space="preserve">interface utilisateur du </w:t>
      </w:r>
      <w:r w:rsidRPr="00F21006">
        <w:rPr>
          <w:i/>
          <w:lang w:val="fr-FR"/>
        </w:rPr>
        <w:t>Bulletin des dessins et modèles internationaux</w:t>
      </w:r>
      <w:r w:rsidRPr="00835AA1">
        <w:rPr>
          <w:lang w:val="fr-FR"/>
        </w:rPr>
        <w:t xml:space="preserve"> et d</w:t>
      </w:r>
      <w:r w:rsidR="002E3178" w:rsidRPr="00835AA1">
        <w:rPr>
          <w:lang w:val="fr-FR"/>
        </w:rPr>
        <w:t>’</w:t>
      </w:r>
      <w:r w:rsidRPr="00835AA1">
        <w:rPr>
          <w:lang w:val="fr-FR"/>
        </w:rPr>
        <w:t>autres supports ainsi que de tous les autres formulaires, modèles de notification et textes.</w:t>
      </w:r>
    </w:p>
    <w:p w14:paraId="275BC99F" w14:textId="77777777" w:rsidR="008844A6" w:rsidRPr="00835AA1" w:rsidRDefault="004D133F" w:rsidP="00835AA1">
      <w:pPr>
        <w:pStyle w:val="ONUMFS"/>
        <w:rPr>
          <w:lang w:val="fr-FR"/>
        </w:rPr>
      </w:pPr>
      <w:r w:rsidRPr="00835AA1">
        <w:rPr>
          <w:lang w:val="fr-FR"/>
        </w:rPr>
        <w:t>Il est donc estimé que les travaux préparatoires de traduction nécessiteraient entre un et deux</w:t>
      </w:r>
      <w:r w:rsidR="007B26C3" w:rsidRPr="00835AA1">
        <w:rPr>
          <w:lang w:val="fr-FR"/>
        </w:rPr>
        <w:t> </w:t>
      </w:r>
      <w:r w:rsidRPr="00835AA1">
        <w:rPr>
          <w:lang w:val="fr-FR"/>
        </w:rPr>
        <w:t>ans pour l</w:t>
      </w:r>
      <w:r w:rsidR="002E3178" w:rsidRPr="00835AA1">
        <w:rPr>
          <w:lang w:val="fr-FR"/>
        </w:rPr>
        <w:t>’</w:t>
      </w:r>
      <w:r w:rsidRPr="00835AA1">
        <w:rPr>
          <w:lang w:val="fr-FR"/>
        </w:rPr>
        <w:t>option</w:t>
      </w:r>
      <w:r w:rsidR="003E7B52">
        <w:rPr>
          <w:lang w:val="fr-FR"/>
        </w:rPr>
        <w:t> </w:t>
      </w:r>
      <w:r w:rsidR="005829EF" w:rsidRPr="00835AA1">
        <w:rPr>
          <w:lang w:val="fr-FR"/>
        </w:rPr>
        <w:t>“</w:t>
      </w:r>
      <w:r w:rsidRPr="00835AA1">
        <w:rPr>
          <w:lang w:val="fr-FR"/>
        </w:rPr>
        <w:t>A</w:t>
      </w:r>
      <w:r w:rsidR="005829EF" w:rsidRPr="00835AA1">
        <w:rPr>
          <w:lang w:val="fr-FR"/>
        </w:rPr>
        <w:t>”</w:t>
      </w:r>
      <w:r w:rsidRPr="00835AA1">
        <w:rPr>
          <w:lang w:val="fr-FR"/>
        </w:rPr>
        <w:t>, l</w:t>
      </w:r>
      <w:r w:rsidR="002E3178" w:rsidRPr="00835AA1">
        <w:rPr>
          <w:lang w:val="fr-FR"/>
        </w:rPr>
        <w:t>’</w:t>
      </w:r>
      <w:r w:rsidR="003E7B52">
        <w:rPr>
          <w:lang w:val="fr-FR"/>
        </w:rPr>
        <w:t>option </w:t>
      </w:r>
      <w:r w:rsidR="005829EF" w:rsidRPr="00835AA1">
        <w:rPr>
          <w:lang w:val="fr-FR"/>
        </w:rPr>
        <w:t>“</w:t>
      </w:r>
      <w:r w:rsidRPr="00835AA1">
        <w:rPr>
          <w:lang w:val="fr-FR"/>
        </w:rPr>
        <w:t>B</w:t>
      </w:r>
      <w:r w:rsidR="005829EF" w:rsidRPr="00835AA1">
        <w:rPr>
          <w:lang w:val="fr-FR"/>
        </w:rPr>
        <w:t>”</w:t>
      </w:r>
      <w:r w:rsidRPr="00835AA1">
        <w:rPr>
          <w:lang w:val="fr-FR"/>
        </w:rPr>
        <w:t xml:space="preserve"> et les trois</w:t>
      </w:r>
      <w:r w:rsidR="007B26C3" w:rsidRPr="00835AA1">
        <w:rPr>
          <w:lang w:val="fr-FR"/>
        </w:rPr>
        <w:t> </w:t>
      </w:r>
      <w:r w:rsidRPr="00835AA1">
        <w:rPr>
          <w:lang w:val="fr-FR"/>
        </w:rPr>
        <w:t>autres options, respectivement.</w:t>
      </w:r>
    </w:p>
    <w:p w14:paraId="075299CE" w14:textId="77777777" w:rsidR="008844A6" w:rsidRPr="00835AA1" w:rsidRDefault="004D133F" w:rsidP="00B34648">
      <w:pPr>
        <w:pStyle w:val="Heading2"/>
      </w:pPr>
      <w:r w:rsidRPr="00835AA1">
        <w:t>Systèmes informatiques</w:t>
      </w:r>
    </w:p>
    <w:p w14:paraId="06E31A6E" w14:textId="77777777" w:rsidR="008844A6" w:rsidRPr="00835AA1" w:rsidRDefault="004D133F" w:rsidP="00835AA1">
      <w:pPr>
        <w:pStyle w:val="ONUMFS"/>
        <w:rPr>
          <w:lang w:val="fr-FR"/>
        </w:rPr>
      </w:pPr>
      <w:r w:rsidRPr="00835AA1">
        <w:rPr>
          <w:lang w:val="fr-FR"/>
        </w:rPr>
        <w:t xml:space="preserve">Toutes les options de mise en </w:t>
      </w:r>
      <w:r w:rsidR="009725CD" w:rsidRPr="00835AA1">
        <w:rPr>
          <w:lang w:val="fr-FR"/>
        </w:rPr>
        <w:t>œuvre</w:t>
      </w:r>
      <w:r w:rsidRPr="00835AA1">
        <w:rPr>
          <w:lang w:val="fr-FR"/>
        </w:rPr>
        <w:t xml:space="preserve"> nécessiteraient des travaux de développement et d</w:t>
      </w:r>
      <w:r w:rsidR="002E3178" w:rsidRPr="00835AA1">
        <w:rPr>
          <w:lang w:val="fr-FR"/>
        </w:rPr>
        <w:t>’</w:t>
      </w:r>
      <w:r w:rsidRPr="00835AA1">
        <w:rPr>
          <w:lang w:val="fr-FR"/>
        </w:rPr>
        <w:t>ajustement du système informatique interne</w:t>
      </w:r>
      <w:r w:rsidR="00E354F3" w:rsidRPr="00835AA1">
        <w:rPr>
          <w:lang w:val="fr-FR"/>
        </w:rPr>
        <w:t>,</w:t>
      </w:r>
      <w:r w:rsidRPr="00835AA1">
        <w:rPr>
          <w:lang w:val="fr-FR"/>
        </w:rPr>
        <w:t xml:space="preserve"> ainsi que l</w:t>
      </w:r>
      <w:r w:rsidR="002E3178" w:rsidRPr="00835AA1">
        <w:rPr>
          <w:lang w:val="fr-FR"/>
        </w:rPr>
        <w:t>’</w:t>
      </w:r>
      <w:r w:rsidRPr="00835AA1">
        <w:rPr>
          <w:lang w:val="fr-FR"/>
        </w:rPr>
        <w:t>introduction des nouvelles langues dans les interfaces utilisateurs.</w:t>
      </w:r>
    </w:p>
    <w:p w14:paraId="51798FFA" w14:textId="77777777" w:rsidR="008844A6" w:rsidRPr="00B34648" w:rsidRDefault="009B60E1" w:rsidP="00B34648">
      <w:pPr>
        <w:pStyle w:val="Heading4"/>
      </w:pPr>
      <w:r w:rsidRPr="00B34648">
        <w:t xml:space="preserve">Option </w:t>
      </w:r>
      <w:r w:rsidR="00706CC5" w:rsidRPr="00B34648">
        <w:t>“</w:t>
      </w:r>
      <w:r w:rsidRPr="00B34648">
        <w:t>A</w:t>
      </w:r>
      <w:r w:rsidR="00706CC5" w:rsidRPr="00B34648">
        <w:t>”</w:t>
      </w:r>
    </w:p>
    <w:p w14:paraId="3F95557E" w14:textId="1B19376E" w:rsidR="008844A6" w:rsidRDefault="004D133F" w:rsidP="00B34648">
      <w:pPr>
        <w:pStyle w:val="ONUMFS"/>
        <w:rPr>
          <w:lang w:val="fr-FR"/>
        </w:rPr>
      </w:pPr>
      <w:r w:rsidRPr="00835AA1">
        <w:rPr>
          <w:lang w:val="fr-FR"/>
        </w:rPr>
        <w:t>L</w:t>
      </w:r>
      <w:r w:rsidR="002E3178" w:rsidRPr="00835AA1">
        <w:rPr>
          <w:lang w:val="fr-FR"/>
        </w:rPr>
        <w:t>’</w:t>
      </w:r>
      <w:r w:rsidRPr="00835AA1">
        <w:rPr>
          <w:lang w:val="fr-FR"/>
        </w:rPr>
        <w:t>option de la langue de dépôt (option</w:t>
      </w:r>
      <w:r w:rsidR="003E7B52">
        <w:rPr>
          <w:lang w:val="fr-FR"/>
        </w:rPr>
        <w:t> </w:t>
      </w:r>
      <w:r w:rsidR="005829EF" w:rsidRPr="00835AA1">
        <w:rPr>
          <w:lang w:val="fr-FR"/>
        </w:rPr>
        <w:t>“</w:t>
      </w:r>
      <w:r w:rsidRPr="00835AA1">
        <w:rPr>
          <w:lang w:val="fr-FR"/>
        </w:rPr>
        <w:t>A</w:t>
      </w:r>
      <w:r w:rsidR="005829EF" w:rsidRPr="00835AA1">
        <w:rPr>
          <w:lang w:val="fr-FR"/>
        </w:rPr>
        <w:t>”</w:t>
      </w:r>
      <w:r w:rsidRPr="00835AA1">
        <w:rPr>
          <w:lang w:val="fr-FR"/>
        </w:rPr>
        <w:t xml:space="preserve">) </w:t>
      </w:r>
      <w:r w:rsidR="00E354F3" w:rsidRPr="00835AA1">
        <w:rPr>
          <w:lang w:val="fr-FR"/>
        </w:rPr>
        <w:t>prévoit</w:t>
      </w:r>
      <w:r w:rsidRPr="00835AA1">
        <w:rPr>
          <w:lang w:val="fr-FR"/>
        </w:rPr>
        <w:t xml:space="preserve"> que l</w:t>
      </w:r>
      <w:r w:rsidR="002E3178" w:rsidRPr="00835AA1">
        <w:rPr>
          <w:lang w:val="fr-FR"/>
        </w:rPr>
        <w:t>’</w:t>
      </w:r>
      <w:r w:rsidRPr="00835AA1">
        <w:rPr>
          <w:lang w:val="fr-FR"/>
        </w:rPr>
        <w:t xml:space="preserve">introduction </w:t>
      </w:r>
      <w:r w:rsidR="00E354F3" w:rsidRPr="00835AA1">
        <w:rPr>
          <w:lang w:val="fr-FR"/>
        </w:rPr>
        <w:t>du concept</w:t>
      </w:r>
      <w:r w:rsidRPr="00835AA1">
        <w:rPr>
          <w:lang w:val="fr-FR"/>
        </w:rPr>
        <w:t xml:space="preserve"> de langue de communication soit limité</w:t>
      </w:r>
      <w:r w:rsidR="00E354F3" w:rsidRPr="00835AA1">
        <w:rPr>
          <w:lang w:val="fr-FR"/>
        </w:rPr>
        <w:t>e</w:t>
      </w:r>
      <w:r w:rsidRPr="00835AA1">
        <w:rPr>
          <w:lang w:val="fr-FR"/>
        </w:rPr>
        <w:t xml:space="preserve"> au français, à l</w:t>
      </w:r>
      <w:r w:rsidR="002E3178" w:rsidRPr="00835AA1">
        <w:rPr>
          <w:lang w:val="fr-FR"/>
        </w:rPr>
        <w:t>’</w:t>
      </w:r>
      <w:r w:rsidRPr="00835AA1">
        <w:rPr>
          <w:lang w:val="fr-FR"/>
        </w:rPr>
        <w:t>anglais ou à l</w:t>
      </w:r>
      <w:r w:rsidR="002E3178" w:rsidRPr="00835AA1">
        <w:rPr>
          <w:lang w:val="fr-FR"/>
        </w:rPr>
        <w:t>’</w:t>
      </w:r>
      <w:r w:rsidRPr="00835AA1">
        <w:rPr>
          <w:lang w:val="fr-FR"/>
        </w:rPr>
        <w:t>espagn</w:t>
      </w:r>
      <w:r w:rsidR="00A541B2" w:rsidRPr="00835AA1">
        <w:rPr>
          <w:lang w:val="fr-FR"/>
        </w:rPr>
        <w:t>ol.  De</w:t>
      </w:r>
      <w:r w:rsidRPr="00835AA1">
        <w:rPr>
          <w:lang w:val="fr-FR"/>
        </w:rPr>
        <w:t xml:space="preserve">s modifications supplémentaires seraient également requises </w:t>
      </w:r>
      <w:r w:rsidR="00E354F3" w:rsidRPr="00835AA1">
        <w:rPr>
          <w:lang w:val="fr-FR"/>
        </w:rPr>
        <w:t xml:space="preserve">au niveau du système informatique interne, afin de </w:t>
      </w:r>
      <w:r w:rsidRPr="00835AA1">
        <w:rPr>
          <w:lang w:val="fr-FR"/>
        </w:rPr>
        <w:t>permettre la traduction des demandes déposées dans la nouvelle langue dans la langue de communication choisie par le déposant avant l</w:t>
      </w:r>
      <w:r w:rsidR="002E3178" w:rsidRPr="00835AA1">
        <w:rPr>
          <w:lang w:val="fr-FR"/>
        </w:rPr>
        <w:t>’</w:t>
      </w:r>
      <w:r w:rsidRPr="00835AA1">
        <w:rPr>
          <w:lang w:val="fr-FR"/>
        </w:rPr>
        <w:t>exam</w:t>
      </w:r>
      <w:r w:rsidR="00A541B2" w:rsidRPr="00835AA1">
        <w:rPr>
          <w:lang w:val="fr-FR"/>
        </w:rPr>
        <w:t>en.  Le</w:t>
      </w:r>
      <w:r w:rsidRPr="00835AA1">
        <w:rPr>
          <w:lang w:val="fr-FR"/>
        </w:rPr>
        <w:t xml:space="preserve">s travaux de développement pour cette option </w:t>
      </w:r>
      <w:r w:rsidR="00E354F3" w:rsidRPr="00835AA1">
        <w:rPr>
          <w:lang w:val="fr-FR"/>
        </w:rPr>
        <w:t>supposent</w:t>
      </w:r>
      <w:r w:rsidRPr="00835AA1">
        <w:rPr>
          <w:lang w:val="fr-FR"/>
        </w:rPr>
        <w:t xml:space="preserve"> un investissement d</w:t>
      </w:r>
      <w:r w:rsidR="002E3178" w:rsidRPr="00835AA1">
        <w:rPr>
          <w:lang w:val="fr-FR"/>
        </w:rPr>
        <w:t>’</w:t>
      </w:r>
      <w:r w:rsidRPr="00835AA1">
        <w:rPr>
          <w:lang w:val="fr-FR"/>
        </w:rPr>
        <w:t>environ 300</w:t>
      </w:r>
      <w:r w:rsidR="005829EF" w:rsidRPr="00835AA1">
        <w:rPr>
          <w:lang w:val="fr-FR"/>
        </w:rPr>
        <w:t> 000 </w:t>
      </w:r>
      <w:r w:rsidRPr="00835AA1">
        <w:rPr>
          <w:lang w:val="fr-FR"/>
        </w:rPr>
        <w:t>francs suisses.</w:t>
      </w:r>
    </w:p>
    <w:p w14:paraId="317046D6" w14:textId="77777777" w:rsidR="00A419D0" w:rsidRPr="00835AA1" w:rsidRDefault="00A419D0" w:rsidP="00A419D0">
      <w:pPr>
        <w:pStyle w:val="ONUMFS"/>
        <w:numPr>
          <w:ilvl w:val="0"/>
          <w:numId w:val="0"/>
        </w:numPr>
        <w:rPr>
          <w:lang w:val="fr-FR"/>
        </w:rPr>
      </w:pPr>
    </w:p>
    <w:p w14:paraId="5EFD9D49" w14:textId="77777777" w:rsidR="008844A6" w:rsidRPr="00835AA1" w:rsidRDefault="00FE7CE6" w:rsidP="00B34648">
      <w:pPr>
        <w:pStyle w:val="Heading4"/>
      </w:pPr>
      <w:r w:rsidRPr="00835AA1">
        <w:lastRenderedPageBreak/>
        <w:t xml:space="preserve">Options </w:t>
      </w:r>
      <w:r w:rsidR="00706CC5" w:rsidRPr="00835AA1">
        <w:t>“</w:t>
      </w:r>
      <w:r w:rsidRPr="00835AA1">
        <w:t>B</w:t>
      </w:r>
      <w:r w:rsidR="00706CC5" w:rsidRPr="00835AA1">
        <w:t>”</w:t>
      </w:r>
      <w:r w:rsidR="00D13052" w:rsidRPr="00835AA1">
        <w:t xml:space="preserve"> </w:t>
      </w:r>
      <w:r w:rsidR="004D133F" w:rsidRPr="00835AA1">
        <w:t>à</w:t>
      </w:r>
      <w:r w:rsidRPr="00835AA1">
        <w:t xml:space="preserve"> </w:t>
      </w:r>
      <w:r w:rsidR="00706CC5" w:rsidRPr="00835AA1">
        <w:t>“</w:t>
      </w:r>
      <w:r w:rsidRPr="00835AA1">
        <w:t>D</w:t>
      </w:r>
      <w:r w:rsidR="00706CC5" w:rsidRPr="00835AA1">
        <w:t>”</w:t>
      </w:r>
    </w:p>
    <w:p w14:paraId="4287E38B" w14:textId="0ADD72C1" w:rsidR="008844A6" w:rsidRPr="00835AA1" w:rsidRDefault="004D133F" w:rsidP="00B34648">
      <w:pPr>
        <w:pStyle w:val="ONUMFS"/>
        <w:rPr>
          <w:lang w:val="fr-FR"/>
        </w:rPr>
      </w:pPr>
      <w:r w:rsidRPr="00835AA1">
        <w:rPr>
          <w:lang w:val="fr-FR"/>
        </w:rPr>
        <w:t>Ces trois</w:t>
      </w:r>
      <w:r w:rsidR="007B26C3" w:rsidRPr="00835AA1">
        <w:rPr>
          <w:lang w:val="fr-FR"/>
        </w:rPr>
        <w:t> </w:t>
      </w:r>
      <w:r w:rsidRPr="00835AA1">
        <w:rPr>
          <w:lang w:val="fr-FR"/>
        </w:rPr>
        <w:t>options nécessiteraient en outre des mises à jour du système informatique interne qui permettraient au Bureau international de procéder à l</w:t>
      </w:r>
      <w:r w:rsidR="002E3178" w:rsidRPr="00835AA1">
        <w:rPr>
          <w:lang w:val="fr-FR"/>
        </w:rPr>
        <w:t>’</w:t>
      </w:r>
      <w:r w:rsidRPr="00835AA1">
        <w:rPr>
          <w:lang w:val="fr-FR"/>
        </w:rPr>
        <w:t xml:space="preserve">examen et de communiquer dans les nouvelles langues, ainsi que </w:t>
      </w:r>
      <w:r w:rsidR="00E354F3" w:rsidRPr="00835AA1">
        <w:rPr>
          <w:lang w:val="fr-FR"/>
        </w:rPr>
        <w:t>la</w:t>
      </w:r>
      <w:r w:rsidRPr="00835AA1">
        <w:rPr>
          <w:lang w:val="fr-FR"/>
        </w:rPr>
        <w:t xml:space="preserve"> mise à jour des textes et modèles types associés à la procédure d</w:t>
      </w:r>
      <w:r w:rsidR="002E3178" w:rsidRPr="00835AA1">
        <w:rPr>
          <w:lang w:val="fr-FR"/>
        </w:rPr>
        <w:t>’</w:t>
      </w:r>
      <w:r w:rsidRPr="00835AA1">
        <w:rPr>
          <w:lang w:val="fr-FR"/>
        </w:rPr>
        <w:t>examen.</w:t>
      </w:r>
    </w:p>
    <w:p w14:paraId="72312628" w14:textId="6C8811E7" w:rsidR="008844A6" w:rsidRPr="00835AA1" w:rsidRDefault="004D133F" w:rsidP="00B34648">
      <w:pPr>
        <w:pStyle w:val="ONUMFS"/>
        <w:rPr>
          <w:lang w:val="fr-FR"/>
        </w:rPr>
      </w:pPr>
      <w:r w:rsidRPr="00835AA1">
        <w:rPr>
          <w:lang w:val="fr-FR"/>
        </w:rPr>
        <w:t>Par ailleurs, l</w:t>
      </w:r>
      <w:r w:rsidR="002E3178" w:rsidRPr="00835AA1">
        <w:rPr>
          <w:lang w:val="fr-FR"/>
        </w:rPr>
        <w:t>’</w:t>
      </w:r>
      <w:r w:rsidRPr="00835AA1">
        <w:rPr>
          <w:lang w:val="fr-FR"/>
        </w:rPr>
        <w:t>option</w:t>
      </w:r>
      <w:r w:rsidR="003E7B52">
        <w:rPr>
          <w:lang w:val="fr-FR"/>
        </w:rPr>
        <w:t> </w:t>
      </w:r>
      <w:r w:rsidR="005829EF" w:rsidRPr="00835AA1">
        <w:rPr>
          <w:lang w:val="fr-FR"/>
        </w:rPr>
        <w:t>“</w:t>
      </w:r>
      <w:r w:rsidRPr="00835AA1">
        <w:rPr>
          <w:lang w:val="fr-FR"/>
        </w:rPr>
        <w:t>B</w:t>
      </w:r>
      <w:r w:rsidR="005829EF" w:rsidRPr="00835AA1">
        <w:rPr>
          <w:lang w:val="fr-FR"/>
        </w:rPr>
        <w:t>”</w:t>
      </w:r>
      <w:r w:rsidRPr="00835AA1">
        <w:rPr>
          <w:lang w:val="fr-FR"/>
        </w:rPr>
        <w:t xml:space="preserve"> </w:t>
      </w:r>
      <w:r w:rsidR="00E354F3" w:rsidRPr="00835AA1">
        <w:rPr>
          <w:lang w:val="fr-FR"/>
        </w:rPr>
        <w:t>doit être accompagnée d</w:t>
      </w:r>
      <w:r w:rsidR="002E3178" w:rsidRPr="00835AA1">
        <w:rPr>
          <w:lang w:val="fr-FR"/>
        </w:rPr>
        <w:t>’</w:t>
      </w:r>
      <w:r w:rsidRPr="00835AA1">
        <w:rPr>
          <w:lang w:val="fr-FR"/>
        </w:rPr>
        <w:t>un ajustement du processus de demande de traduction afin de maintenir la publication en français, en anglais et en espagnol uniqueme</w:t>
      </w:r>
      <w:r w:rsidR="00A541B2" w:rsidRPr="00835AA1">
        <w:rPr>
          <w:lang w:val="fr-FR"/>
        </w:rPr>
        <w:t>nt.  Le</w:t>
      </w:r>
      <w:r w:rsidRPr="00835AA1">
        <w:rPr>
          <w:lang w:val="fr-FR"/>
        </w:rPr>
        <w:t xml:space="preserve">s travaux de développement pour cette option </w:t>
      </w:r>
      <w:r w:rsidR="00E354F3" w:rsidRPr="00835AA1">
        <w:rPr>
          <w:lang w:val="fr-FR"/>
        </w:rPr>
        <w:t>supposeraient</w:t>
      </w:r>
      <w:r w:rsidRPr="00835AA1">
        <w:rPr>
          <w:lang w:val="fr-FR"/>
        </w:rPr>
        <w:t xml:space="preserve"> un investissement d</w:t>
      </w:r>
      <w:r w:rsidR="002E3178" w:rsidRPr="00835AA1">
        <w:rPr>
          <w:lang w:val="fr-FR"/>
        </w:rPr>
        <w:t>’</w:t>
      </w:r>
      <w:r w:rsidRPr="00835AA1">
        <w:rPr>
          <w:lang w:val="fr-FR"/>
        </w:rPr>
        <w:t>environ 300</w:t>
      </w:r>
      <w:r w:rsidR="005829EF" w:rsidRPr="00835AA1">
        <w:rPr>
          <w:lang w:val="fr-FR"/>
        </w:rPr>
        <w:t> 000 </w:t>
      </w:r>
      <w:r w:rsidRPr="00835AA1">
        <w:rPr>
          <w:lang w:val="fr-FR"/>
        </w:rPr>
        <w:t>francs suiss</w:t>
      </w:r>
      <w:r w:rsidR="00A541B2" w:rsidRPr="00835AA1">
        <w:rPr>
          <w:lang w:val="fr-FR"/>
        </w:rPr>
        <w:t>es.  Le</w:t>
      </w:r>
      <w:r w:rsidRPr="00835AA1">
        <w:rPr>
          <w:lang w:val="fr-FR"/>
        </w:rPr>
        <w:t>s options</w:t>
      </w:r>
      <w:r w:rsidR="003E7B52">
        <w:rPr>
          <w:lang w:val="fr-FR"/>
        </w:rPr>
        <w:t> </w:t>
      </w:r>
      <w:r w:rsidR="005829EF" w:rsidRPr="00835AA1">
        <w:rPr>
          <w:lang w:val="fr-FR"/>
        </w:rPr>
        <w:t>“</w:t>
      </w:r>
      <w:r w:rsidRPr="00835AA1">
        <w:rPr>
          <w:lang w:val="fr-FR"/>
        </w:rPr>
        <w:t>C</w:t>
      </w:r>
      <w:r w:rsidR="005829EF" w:rsidRPr="00835AA1">
        <w:rPr>
          <w:lang w:val="fr-FR"/>
        </w:rPr>
        <w:t>”</w:t>
      </w:r>
      <w:r w:rsidRPr="00835AA1">
        <w:rPr>
          <w:lang w:val="fr-FR"/>
        </w:rPr>
        <w:t xml:space="preserve"> et</w:t>
      </w:r>
      <w:r w:rsidR="003E7B52">
        <w:rPr>
          <w:lang w:val="fr-FR"/>
        </w:rPr>
        <w:t> </w:t>
      </w:r>
      <w:r w:rsidR="005829EF" w:rsidRPr="00835AA1">
        <w:rPr>
          <w:lang w:val="fr-FR"/>
        </w:rPr>
        <w:t>“</w:t>
      </w:r>
      <w:r w:rsidRPr="00835AA1">
        <w:rPr>
          <w:lang w:val="fr-FR"/>
        </w:rPr>
        <w:t>D</w:t>
      </w:r>
      <w:r w:rsidR="005829EF" w:rsidRPr="00835AA1">
        <w:rPr>
          <w:lang w:val="fr-FR"/>
        </w:rPr>
        <w:t>”</w:t>
      </w:r>
      <w:r w:rsidRPr="00835AA1">
        <w:rPr>
          <w:lang w:val="fr-FR"/>
        </w:rPr>
        <w:t xml:space="preserve"> nécessiteraient des mises à jour de l</w:t>
      </w:r>
      <w:r w:rsidR="002E3178" w:rsidRPr="00835AA1">
        <w:rPr>
          <w:lang w:val="fr-FR"/>
        </w:rPr>
        <w:t>’</w:t>
      </w:r>
      <w:r w:rsidRPr="00835AA1">
        <w:rPr>
          <w:lang w:val="fr-FR"/>
        </w:rPr>
        <w:t>interface utilisateur du Bulletin des dessins et modèles internationaux et du processus de demande de traduction pour permettre la publication d</w:t>
      </w:r>
      <w:r w:rsidR="002E3178" w:rsidRPr="00835AA1">
        <w:rPr>
          <w:lang w:val="fr-FR"/>
        </w:rPr>
        <w:t>’</w:t>
      </w:r>
      <w:r w:rsidRPr="00835AA1">
        <w:rPr>
          <w:lang w:val="fr-FR"/>
        </w:rPr>
        <w:t>enregistrements internationaux et d</w:t>
      </w:r>
      <w:r w:rsidR="002E3178" w:rsidRPr="00835AA1">
        <w:rPr>
          <w:lang w:val="fr-FR"/>
        </w:rPr>
        <w:t>’</w:t>
      </w:r>
      <w:r w:rsidRPr="00835AA1">
        <w:rPr>
          <w:lang w:val="fr-FR"/>
        </w:rPr>
        <w:t>autres inscriptions et communications avec certains offices dans les nouvelles langues</w:t>
      </w:r>
      <w:r w:rsidR="00E354F3" w:rsidRPr="00835AA1">
        <w:rPr>
          <w:lang w:val="fr-FR"/>
        </w:rPr>
        <w:t>,</w:t>
      </w:r>
      <w:r w:rsidRPr="00835AA1">
        <w:rPr>
          <w:lang w:val="fr-FR"/>
        </w:rPr>
        <w:t xml:space="preserve"> à certaines conditio</w:t>
      </w:r>
      <w:r w:rsidR="00A541B2" w:rsidRPr="00835AA1">
        <w:rPr>
          <w:lang w:val="fr-FR"/>
        </w:rPr>
        <w:t>ns.  Ce</w:t>
      </w:r>
      <w:r w:rsidRPr="00835AA1">
        <w:rPr>
          <w:lang w:val="fr-FR"/>
        </w:rPr>
        <w:t>s travaux de développement</w:t>
      </w:r>
      <w:r w:rsidR="00883476" w:rsidRPr="00835AA1">
        <w:rPr>
          <w:lang w:val="fr-FR"/>
        </w:rPr>
        <w:t xml:space="preserve"> </w:t>
      </w:r>
      <w:r w:rsidR="00E354F3" w:rsidRPr="00835AA1">
        <w:rPr>
          <w:lang w:val="fr-FR"/>
        </w:rPr>
        <w:t xml:space="preserve">supposeraient </w:t>
      </w:r>
      <w:r w:rsidRPr="00835AA1">
        <w:rPr>
          <w:lang w:val="fr-FR"/>
        </w:rPr>
        <w:t>un investissement d</w:t>
      </w:r>
      <w:r w:rsidR="002E3178" w:rsidRPr="00835AA1">
        <w:rPr>
          <w:lang w:val="fr-FR"/>
        </w:rPr>
        <w:t>’</w:t>
      </w:r>
      <w:r w:rsidRPr="00835AA1">
        <w:rPr>
          <w:lang w:val="fr-FR"/>
        </w:rPr>
        <w:t>environ 300</w:t>
      </w:r>
      <w:r w:rsidR="005829EF" w:rsidRPr="00835AA1">
        <w:rPr>
          <w:lang w:val="fr-FR"/>
        </w:rPr>
        <w:t> </w:t>
      </w:r>
      <w:r w:rsidR="00883476" w:rsidRPr="00835AA1">
        <w:rPr>
          <w:lang w:val="fr-FR"/>
        </w:rPr>
        <w:t>000</w:t>
      </w:r>
      <w:r w:rsidR="00CE0FB2" w:rsidRPr="00835AA1">
        <w:rPr>
          <w:lang w:val="fr-FR"/>
        </w:rPr>
        <w:t> </w:t>
      </w:r>
      <w:r w:rsidRPr="00835AA1">
        <w:rPr>
          <w:lang w:val="fr-FR"/>
        </w:rPr>
        <w:t>francs suiss</w:t>
      </w:r>
      <w:r w:rsidR="00A541B2" w:rsidRPr="00835AA1">
        <w:rPr>
          <w:lang w:val="fr-FR"/>
        </w:rPr>
        <w:t>es.  L’e</w:t>
      </w:r>
      <w:r w:rsidRPr="00835AA1">
        <w:rPr>
          <w:lang w:val="fr-FR"/>
        </w:rPr>
        <w:t>stimation est la mêm</w:t>
      </w:r>
      <w:r w:rsidR="00970190" w:rsidRPr="00835AA1">
        <w:rPr>
          <w:lang w:val="fr-FR"/>
        </w:rPr>
        <w:t>e</w:t>
      </w:r>
      <w:r w:rsidRPr="00835AA1">
        <w:rPr>
          <w:lang w:val="fr-FR"/>
        </w:rPr>
        <w:t xml:space="preserve"> que pour les deux</w:t>
      </w:r>
      <w:r w:rsidR="007B26C3" w:rsidRPr="00835AA1">
        <w:rPr>
          <w:lang w:val="fr-FR"/>
        </w:rPr>
        <w:t> </w:t>
      </w:r>
      <w:r w:rsidRPr="00835AA1">
        <w:rPr>
          <w:lang w:val="fr-FR"/>
        </w:rPr>
        <w:t>options précédentes, compte tenu du coût négligeable de la traduction de l</w:t>
      </w:r>
      <w:r w:rsidR="002E3178" w:rsidRPr="00835AA1">
        <w:rPr>
          <w:lang w:val="fr-FR"/>
        </w:rPr>
        <w:t>’</w:t>
      </w:r>
      <w:r w:rsidRPr="00835AA1">
        <w:rPr>
          <w:lang w:val="fr-FR"/>
        </w:rPr>
        <w:t xml:space="preserve">interface utilisateur du Bulletin des dessins et modèles internationaux et de la complexité équivalente des mises à jour requises pour le processus de demande de traduction par rapport </w:t>
      </w:r>
      <w:r w:rsidR="00E354F3" w:rsidRPr="00835AA1">
        <w:rPr>
          <w:lang w:val="fr-FR"/>
        </w:rPr>
        <w:t>aux</w:t>
      </w:r>
      <w:r w:rsidRPr="00835AA1">
        <w:rPr>
          <w:lang w:val="fr-FR"/>
        </w:rPr>
        <w:t xml:space="preserve"> deux</w:t>
      </w:r>
      <w:r w:rsidR="007B26C3" w:rsidRPr="00835AA1">
        <w:rPr>
          <w:lang w:val="fr-FR"/>
        </w:rPr>
        <w:t> </w:t>
      </w:r>
      <w:r w:rsidRPr="00835AA1">
        <w:rPr>
          <w:lang w:val="fr-FR"/>
        </w:rPr>
        <w:t>options précédentes.</w:t>
      </w:r>
    </w:p>
    <w:p w14:paraId="6291C47D" w14:textId="77777777" w:rsidR="008844A6" w:rsidRPr="00835AA1" w:rsidRDefault="004657E3" w:rsidP="00B34648">
      <w:pPr>
        <w:pStyle w:val="Heading4"/>
      </w:pPr>
      <w:r w:rsidRPr="00835AA1">
        <w:t xml:space="preserve">Option </w:t>
      </w:r>
      <w:r w:rsidR="00706CC5" w:rsidRPr="00835AA1">
        <w:t>“</w:t>
      </w:r>
      <w:r w:rsidRPr="00835AA1">
        <w:t>E</w:t>
      </w:r>
      <w:r w:rsidR="00706CC5" w:rsidRPr="00835AA1">
        <w:t>”</w:t>
      </w:r>
    </w:p>
    <w:p w14:paraId="0D2BE846" w14:textId="77777777" w:rsidR="008844A6" w:rsidRPr="00835AA1" w:rsidRDefault="00970190" w:rsidP="00B34648">
      <w:pPr>
        <w:pStyle w:val="ONUMFS"/>
        <w:rPr>
          <w:lang w:val="fr-FR"/>
        </w:rPr>
      </w:pPr>
      <w:r w:rsidRPr="00835AA1">
        <w:rPr>
          <w:lang w:val="fr-FR"/>
        </w:rPr>
        <w:t>Enfin, l</w:t>
      </w:r>
      <w:r w:rsidR="002E3178" w:rsidRPr="00835AA1">
        <w:rPr>
          <w:lang w:val="fr-FR"/>
        </w:rPr>
        <w:t>’</w:t>
      </w:r>
      <w:r w:rsidRPr="00835AA1">
        <w:rPr>
          <w:lang w:val="fr-FR"/>
        </w:rPr>
        <w:t>opt</w:t>
      </w:r>
      <w:r w:rsidR="003E7B52">
        <w:rPr>
          <w:lang w:val="fr-FR"/>
        </w:rPr>
        <w:t>ion </w:t>
      </w:r>
      <w:r w:rsidR="005829EF" w:rsidRPr="00835AA1">
        <w:rPr>
          <w:lang w:val="fr-FR"/>
        </w:rPr>
        <w:t>“</w:t>
      </w:r>
      <w:r w:rsidRPr="00835AA1">
        <w:rPr>
          <w:lang w:val="fr-FR"/>
        </w:rPr>
        <w:t>E</w:t>
      </w:r>
      <w:r w:rsidR="005829EF" w:rsidRPr="00835AA1">
        <w:rPr>
          <w:lang w:val="fr-FR"/>
        </w:rPr>
        <w:t>”</w:t>
      </w:r>
      <w:r w:rsidRPr="00835AA1">
        <w:rPr>
          <w:lang w:val="fr-FR"/>
        </w:rPr>
        <w:t xml:space="preserve"> </w:t>
      </w:r>
      <w:r w:rsidR="00E354F3" w:rsidRPr="00835AA1">
        <w:rPr>
          <w:lang w:val="fr-FR"/>
        </w:rPr>
        <w:t>exigerait</w:t>
      </w:r>
      <w:r w:rsidRPr="00835AA1">
        <w:rPr>
          <w:lang w:val="fr-FR"/>
        </w:rPr>
        <w:t xml:space="preserve"> l</w:t>
      </w:r>
      <w:r w:rsidR="002E3178" w:rsidRPr="00835AA1">
        <w:rPr>
          <w:lang w:val="fr-FR"/>
        </w:rPr>
        <w:t>’</w:t>
      </w:r>
      <w:r w:rsidRPr="00835AA1">
        <w:rPr>
          <w:lang w:val="fr-FR"/>
        </w:rPr>
        <w:t>introduction de toutes les fonctionnalités utilisateurs, ainsi que l</w:t>
      </w:r>
      <w:r w:rsidR="00E354F3" w:rsidRPr="00835AA1">
        <w:rPr>
          <w:lang w:val="fr-FR"/>
        </w:rPr>
        <w:t>a</w:t>
      </w:r>
      <w:r w:rsidRPr="00835AA1">
        <w:rPr>
          <w:lang w:val="fr-FR"/>
        </w:rPr>
        <w:t xml:space="preserve"> mise à jour des textes et modèles types associés à la procédure d</w:t>
      </w:r>
      <w:r w:rsidR="002E3178" w:rsidRPr="00835AA1">
        <w:rPr>
          <w:lang w:val="fr-FR"/>
        </w:rPr>
        <w:t>’</w:t>
      </w:r>
      <w:r w:rsidRPr="00835AA1">
        <w:rPr>
          <w:lang w:val="fr-FR"/>
        </w:rPr>
        <w:t>exam</w:t>
      </w:r>
      <w:r w:rsidR="00A541B2" w:rsidRPr="00835AA1">
        <w:rPr>
          <w:lang w:val="fr-FR"/>
        </w:rPr>
        <w:t>en.  Ce</w:t>
      </w:r>
      <w:r w:rsidRPr="00835AA1">
        <w:rPr>
          <w:lang w:val="fr-FR"/>
        </w:rPr>
        <w:t xml:space="preserve">la étant, le système informatique actuel pourrait tout simplement être étendu aux nouvelles langues sans </w:t>
      </w:r>
      <w:r w:rsidR="00E354F3" w:rsidRPr="00835AA1">
        <w:rPr>
          <w:lang w:val="fr-FR"/>
        </w:rPr>
        <w:t>qu</w:t>
      </w:r>
      <w:r w:rsidR="002E3178" w:rsidRPr="00835AA1">
        <w:rPr>
          <w:lang w:val="fr-FR"/>
        </w:rPr>
        <w:t>’</w:t>
      </w:r>
      <w:r w:rsidR="00E354F3" w:rsidRPr="00835AA1">
        <w:rPr>
          <w:lang w:val="fr-FR"/>
        </w:rPr>
        <w:t>il soit nécessaire de procéder à</w:t>
      </w:r>
      <w:r w:rsidRPr="00835AA1">
        <w:rPr>
          <w:lang w:val="fr-FR"/>
        </w:rPr>
        <w:t xml:space="preserve"> de</w:t>
      </w:r>
      <w:r w:rsidR="00E354F3" w:rsidRPr="00835AA1">
        <w:rPr>
          <w:lang w:val="fr-FR"/>
        </w:rPr>
        <w:t>s</w:t>
      </w:r>
      <w:r w:rsidRPr="00835AA1">
        <w:rPr>
          <w:lang w:val="fr-FR"/>
        </w:rPr>
        <w:t xml:space="preserve"> mises à jour </w:t>
      </w:r>
      <w:r w:rsidR="00E354F3" w:rsidRPr="00835AA1">
        <w:rPr>
          <w:lang w:val="fr-FR"/>
        </w:rPr>
        <w:t xml:space="preserve">au niveau </w:t>
      </w:r>
      <w:r w:rsidRPr="00835AA1">
        <w:rPr>
          <w:lang w:val="fr-FR"/>
        </w:rPr>
        <w:t>des opératio</w:t>
      </w:r>
      <w:r w:rsidR="00A541B2" w:rsidRPr="00835AA1">
        <w:rPr>
          <w:lang w:val="fr-FR"/>
        </w:rPr>
        <w:t>ns.  Le</w:t>
      </w:r>
      <w:r w:rsidRPr="00835AA1">
        <w:rPr>
          <w:lang w:val="fr-FR"/>
        </w:rPr>
        <w:t xml:space="preserve">s travaux de développement requis pour la mise en œuvre de cette option </w:t>
      </w:r>
      <w:r w:rsidR="00E354F3" w:rsidRPr="00835AA1">
        <w:rPr>
          <w:lang w:val="fr-FR"/>
        </w:rPr>
        <w:t xml:space="preserve">supposeraient </w:t>
      </w:r>
      <w:r w:rsidRPr="00835AA1">
        <w:rPr>
          <w:lang w:val="fr-FR"/>
        </w:rPr>
        <w:t>un investissement d</w:t>
      </w:r>
      <w:r w:rsidR="002E3178" w:rsidRPr="00835AA1">
        <w:rPr>
          <w:lang w:val="fr-FR"/>
        </w:rPr>
        <w:t>’</w:t>
      </w:r>
      <w:r w:rsidRPr="00835AA1">
        <w:rPr>
          <w:lang w:val="fr-FR"/>
        </w:rPr>
        <w:t>environ 300</w:t>
      </w:r>
      <w:r w:rsidR="005829EF" w:rsidRPr="00835AA1">
        <w:rPr>
          <w:lang w:val="fr-FR"/>
        </w:rPr>
        <w:t> 000 </w:t>
      </w:r>
      <w:r w:rsidRPr="00835AA1">
        <w:rPr>
          <w:lang w:val="fr-FR"/>
        </w:rPr>
        <w:t>francs suisses.</w:t>
      </w:r>
    </w:p>
    <w:p w14:paraId="687A7861" w14:textId="77777777" w:rsidR="008844A6" w:rsidRPr="00835AA1" w:rsidRDefault="00B34648" w:rsidP="00B34648">
      <w:pPr>
        <w:pStyle w:val="Heading2"/>
      </w:pPr>
      <w:r>
        <w:t>R</w:t>
      </w:r>
      <w:r w:rsidRPr="00835AA1">
        <w:t>ésumé et coûts totaux</w:t>
      </w:r>
    </w:p>
    <w:p w14:paraId="3D690EDC" w14:textId="77777777" w:rsidR="008844A6" w:rsidRPr="00835AA1" w:rsidRDefault="00E354F3" w:rsidP="00B34648">
      <w:pPr>
        <w:pStyle w:val="ONUMFS"/>
        <w:rPr>
          <w:lang w:val="fr-FR"/>
        </w:rPr>
      </w:pPr>
      <w:r w:rsidRPr="00835AA1">
        <w:rPr>
          <w:lang w:val="fr-FR"/>
        </w:rPr>
        <w:t>Compte tenu de ce qui précède, le</w:t>
      </w:r>
      <w:r w:rsidR="003614E0" w:rsidRPr="00835AA1">
        <w:rPr>
          <w:lang w:val="fr-FR"/>
        </w:rPr>
        <w:t>s</w:t>
      </w:r>
      <w:r w:rsidRPr="00835AA1">
        <w:rPr>
          <w:lang w:val="fr-FR"/>
        </w:rPr>
        <w:t xml:space="preserve"> coût</w:t>
      </w:r>
      <w:r w:rsidR="003614E0" w:rsidRPr="00835AA1">
        <w:rPr>
          <w:lang w:val="fr-FR"/>
        </w:rPr>
        <w:t>s</w:t>
      </w:r>
      <w:r w:rsidRPr="00835AA1">
        <w:rPr>
          <w:lang w:val="fr-FR"/>
        </w:rPr>
        <w:t xml:space="preserve"> tota</w:t>
      </w:r>
      <w:r w:rsidR="003614E0" w:rsidRPr="00835AA1">
        <w:rPr>
          <w:lang w:val="fr-FR"/>
        </w:rPr>
        <w:t>ux</w:t>
      </w:r>
      <w:r w:rsidRPr="00835AA1">
        <w:rPr>
          <w:lang w:val="fr-FR"/>
        </w:rPr>
        <w:t xml:space="preserve"> de lancement, </w:t>
      </w:r>
      <w:r w:rsidR="002E3178" w:rsidRPr="00835AA1">
        <w:rPr>
          <w:lang w:val="fr-FR"/>
        </w:rPr>
        <w:t>y compris</w:t>
      </w:r>
      <w:r w:rsidRPr="00835AA1">
        <w:rPr>
          <w:lang w:val="fr-FR"/>
        </w:rPr>
        <w:t xml:space="preserve"> la traduction des supports pertinents et les travaux de développement et d</w:t>
      </w:r>
      <w:r w:rsidR="002E3178" w:rsidRPr="00835AA1">
        <w:rPr>
          <w:lang w:val="fr-FR"/>
        </w:rPr>
        <w:t>’</w:t>
      </w:r>
      <w:r w:rsidRPr="00835AA1">
        <w:rPr>
          <w:lang w:val="fr-FR"/>
        </w:rPr>
        <w:t xml:space="preserve">ajustement </w:t>
      </w:r>
      <w:r w:rsidR="003614E0" w:rsidRPr="00835AA1">
        <w:rPr>
          <w:lang w:val="fr-FR"/>
        </w:rPr>
        <w:t>du système informatique, seraien</w:t>
      </w:r>
      <w:r w:rsidRPr="00835AA1">
        <w:rPr>
          <w:lang w:val="fr-FR"/>
        </w:rPr>
        <w:t>t les suivants</w:t>
      </w:r>
      <w:r w:rsidR="002E3178" w:rsidRPr="00835AA1">
        <w:rPr>
          <w:lang w:val="fr-FR"/>
        </w:rPr>
        <w:t> :</w:t>
      </w:r>
    </w:p>
    <w:p w14:paraId="026BDDCD" w14:textId="25E209EE" w:rsidR="008844A6" w:rsidRPr="00835AA1" w:rsidRDefault="007C4285" w:rsidP="00B34648">
      <w:pPr>
        <w:pStyle w:val="Bulletedlistlevel2"/>
        <w:tabs>
          <w:tab w:val="clear" w:pos="567"/>
          <w:tab w:val="num" w:pos="1134"/>
        </w:tabs>
        <w:spacing w:after="220"/>
        <w:ind w:left="1134" w:hanging="567"/>
        <w:rPr>
          <w:lang w:val="fr-FR"/>
        </w:rPr>
      </w:pPr>
      <w:r w:rsidRPr="00835AA1">
        <w:rPr>
          <w:lang w:val="fr-FR"/>
        </w:rPr>
        <w:t>pour l</w:t>
      </w:r>
      <w:r w:rsidR="002E3178" w:rsidRPr="00835AA1">
        <w:rPr>
          <w:lang w:val="fr-FR"/>
        </w:rPr>
        <w:t>’</w:t>
      </w:r>
      <w:r w:rsidRPr="00835AA1">
        <w:rPr>
          <w:lang w:val="fr-FR"/>
        </w:rPr>
        <w:t>optio</w:t>
      </w:r>
      <w:r w:rsidR="003E7B52">
        <w:rPr>
          <w:lang w:val="fr-FR"/>
        </w:rPr>
        <w:t>n de la langue de dépôt (option </w:t>
      </w:r>
      <w:r w:rsidR="005829EF" w:rsidRPr="00835AA1">
        <w:rPr>
          <w:lang w:val="fr-FR"/>
        </w:rPr>
        <w:t>“</w:t>
      </w:r>
      <w:r w:rsidRPr="00835AA1">
        <w:rPr>
          <w:lang w:val="fr-FR"/>
        </w:rPr>
        <w:t>A</w:t>
      </w:r>
      <w:r w:rsidR="005829EF" w:rsidRPr="00835AA1">
        <w:rPr>
          <w:lang w:val="fr-FR"/>
        </w:rPr>
        <w:t>”</w:t>
      </w:r>
      <w:r w:rsidRPr="00835AA1">
        <w:rPr>
          <w:lang w:val="fr-FR"/>
        </w:rPr>
        <w:t>)</w:t>
      </w:r>
      <w:r w:rsidR="002E3178" w:rsidRPr="00835AA1">
        <w:rPr>
          <w:lang w:val="fr-FR"/>
        </w:rPr>
        <w:t> :</w:t>
      </w:r>
      <w:r w:rsidRPr="00835AA1">
        <w:rPr>
          <w:lang w:val="fr-FR"/>
        </w:rPr>
        <w:t xml:space="preserve"> environ 550</w:t>
      </w:r>
      <w:r w:rsidR="005829EF" w:rsidRPr="00835AA1">
        <w:rPr>
          <w:lang w:val="fr-FR"/>
        </w:rPr>
        <w:t> 000 </w:t>
      </w:r>
      <w:r w:rsidRPr="00835AA1">
        <w:rPr>
          <w:lang w:val="fr-FR"/>
        </w:rPr>
        <w:t>francs suisses (250</w:t>
      </w:r>
      <w:r w:rsidR="005829EF" w:rsidRPr="00835AA1">
        <w:rPr>
          <w:lang w:val="fr-FR"/>
        </w:rPr>
        <w:t> 000 </w:t>
      </w:r>
      <w:r w:rsidRPr="00835AA1">
        <w:rPr>
          <w:lang w:val="fr-FR"/>
        </w:rPr>
        <w:t>francs suisses (deux contrats de prestataires individuels de services –</w:t>
      </w:r>
      <w:r w:rsidR="00B36454">
        <w:rPr>
          <w:lang w:val="fr-FR"/>
        </w:rPr>
        <w:t> </w:t>
      </w:r>
      <w:r w:rsidR="005829EF" w:rsidRPr="00835AA1">
        <w:rPr>
          <w:lang w:val="fr-FR"/>
        </w:rPr>
        <w:t>125 000 </w:t>
      </w:r>
      <w:r w:rsidRPr="00835AA1">
        <w:rPr>
          <w:lang w:val="fr-FR"/>
        </w:rPr>
        <w:t xml:space="preserve">francs suisses x </w:t>
      </w:r>
      <w:r w:rsidR="00B36454">
        <w:rPr>
          <w:lang w:val="fr-FR"/>
        </w:rPr>
        <w:t>2</w:t>
      </w:r>
      <w:r w:rsidR="007B26C3" w:rsidRPr="00835AA1">
        <w:rPr>
          <w:lang w:val="fr-FR"/>
        </w:rPr>
        <w:t> </w:t>
      </w:r>
      <w:r w:rsidRPr="00835AA1">
        <w:rPr>
          <w:lang w:val="fr-FR"/>
        </w:rPr>
        <w:t xml:space="preserve">x </w:t>
      </w:r>
      <w:r w:rsidR="00B36454">
        <w:rPr>
          <w:lang w:val="fr-FR"/>
        </w:rPr>
        <w:t>1</w:t>
      </w:r>
      <w:r w:rsidRPr="00835AA1">
        <w:rPr>
          <w:lang w:val="fr-FR"/>
        </w:rPr>
        <w:t xml:space="preserve"> an) + 300</w:t>
      </w:r>
      <w:r w:rsidR="005829EF" w:rsidRPr="00835AA1">
        <w:rPr>
          <w:lang w:val="fr-FR"/>
        </w:rPr>
        <w:t> 000 </w:t>
      </w:r>
      <w:r w:rsidRPr="00835AA1">
        <w:rPr>
          <w:lang w:val="fr-FR"/>
        </w:rPr>
        <w:t>francs suisses (TIC);</w:t>
      </w:r>
    </w:p>
    <w:p w14:paraId="7F28A6B5" w14:textId="00F9D0A9" w:rsidR="008844A6" w:rsidRPr="00835AA1" w:rsidRDefault="007C4285" w:rsidP="00B34648">
      <w:pPr>
        <w:pStyle w:val="Bulletedlistlevel2"/>
        <w:tabs>
          <w:tab w:val="clear" w:pos="567"/>
          <w:tab w:val="num" w:pos="1134"/>
        </w:tabs>
        <w:spacing w:after="220"/>
        <w:ind w:left="1134" w:hanging="567"/>
        <w:rPr>
          <w:lang w:val="fr-FR"/>
        </w:rPr>
      </w:pPr>
      <w:r w:rsidRPr="00835AA1">
        <w:rPr>
          <w:lang w:val="fr-FR"/>
        </w:rPr>
        <w:t>pour l</w:t>
      </w:r>
      <w:r w:rsidR="002E3178" w:rsidRPr="00835AA1">
        <w:rPr>
          <w:lang w:val="fr-FR"/>
        </w:rPr>
        <w:t>’</w:t>
      </w:r>
      <w:r w:rsidRPr="00835AA1">
        <w:rPr>
          <w:lang w:val="fr-FR"/>
        </w:rPr>
        <w:t>option de la langue de dé</w:t>
      </w:r>
      <w:r w:rsidR="003E7B52">
        <w:rPr>
          <w:lang w:val="fr-FR"/>
        </w:rPr>
        <w:t>pôt et de communication (option </w:t>
      </w:r>
      <w:r w:rsidR="005829EF" w:rsidRPr="00835AA1">
        <w:rPr>
          <w:lang w:val="fr-FR"/>
        </w:rPr>
        <w:t>“</w:t>
      </w:r>
      <w:r w:rsidRPr="00835AA1">
        <w:rPr>
          <w:lang w:val="fr-FR"/>
        </w:rPr>
        <w:t>B</w:t>
      </w:r>
      <w:r w:rsidR="005829EF" w:rsidRPr="00835AA1">
        <w:rPr>
          <w:lang w:val="fr-FR"/>
        </w:rPr>
        <w:t>”</w:t>
      </w:r>
      <w:r w:rsidRPr="00835AA1">
        <w:rPr>
          <w:lang w:val="fr-FR"/>
        </w:rPr>
        <w:t>)</w:t>
      </w:r>
      <w:r w:rsidR="002E3178" w:rsidRPr="00835AA1">
        <w:rPr>
          <w:lang w:val="fr-FR"/>
        </w:rPr>
        <w:t> :</w:t>
      </w:r>
      <w:r w:rsidRPr="00835AA1">
        <w:rPr>
          <w:lang w:val="fr-FR"/>
        </w:rPr>
        <w:t xml:space="preserve"> environ 675</w:t>
      </w:r>
      <w:r w:rsidR="005829EF" w:rsidRPr="00835AA1">
        <w:rPr>
          <w:lang w:val="fr-FR"/>
        </w:rPr>
        <w:t> 000 </w:t>
      </w:r>
      <w:r w:rsidRPr="00835AA1">
        <w:rPr>
          <w:lang w:val="fr-FR"/>
        </w:rPr>
        <w:t>francs suisses (375</w:t>
      </w:r>
      <w:r w:rsidR="005829EF" w:rsidRPr="00835AA1">
        <w:rPr>
          <w:lang w:val="fr-FR"/>
        </w:rPr>
        <w:t> 000 </w:t>
      </w:r>
      <w:r w:rsidRPr="00835AA1">
        <w:rPr>
          <w:lang w:val="fr-FR"/>
        </w:rPr>
        <w:t xml:space="preserve">francs suisses (deux contrats de prestataires individuels de services – </w:t>
      </w:r>
      <w:r w:rsidR="005829EF" w:rsidRPr="00835AA1">
        <w:rPr>
          <w:lang w:val="fr-FR"/>
        </w:rPr>
        <w:t>125 000 </w:t>
      </w:r>
      <w:r w:rsidRPr="00835AA1">
        <w:rPr>
          <w:lang w:val="fr-FR"/>
        </w:rPr>
        <w:t xml:space="preserve">francs suisses x </w:t>
      </w:r>
      <w:r w:rsidR="00B36454">
        <w:rPr>
          <w:lang w:val="fr-FR"/>
        </w:rPr>
        <w:t>2</w:t>
      </w:r>
      <w:r w:rsidR="007B26C3" w:rsidRPr="00835AA1">
        <w:rPr>
          <w:lang w:val="fr-FR"/>
        </w:rPr>
        <w:t> </w:t>
      </w:r>
      <w:r w:rsidRPr="00835AA1">
        <w:rPr>
          <w:lang w:val="fr-FR"/>
        </w:rPr>
        <w:t xml:space="preserve">x </w:t>
      </w:r>
      <w:r w:rsidR="00B36454">
        <w:rPr>
          <w:lang w:val="fr-FR"/>
        </w:rPr>
        <w:t>1</w:t>
      </w:r>
      <w:r w:rsidRPr="00835AA1">
        <w:rPr>
          <w:lang w:val="fr-FR"/>
        </w:rPr>
        <w:t xml:space="preserve"> an</w:t>
      </w:r>
      <w:r w:rsidR="003B0DB3" w:rsidRPr="00835AA1">
        <w:rPr>
          <w:lang w:val="fr-FR"/>
        </w:rPr>
        <w:t xml:space="preserve"> et demi</w:t>
      </w:r>
      <w:r w:rsidRPr="00835AA1">
        <w:rPr>
          <w:lang w:val="fr-FR"/>
        </w:rPr>
        <w:t>) +</w:t>
      </w:r>
      <w:r w:rsidR="00B36454">
        <w:rPr>
          <w:lang w:val="fr-FR"/>
        </w:rPr>
        <w:t> </w:t>
      </w:r>
      <w:r w:rsidRPr="00835AA1">
        <w:rPr>
          <w:lang w:val="fr-FR"/>
        </w:rPr>
        <w:t>300</w:t>
      </w:r>
      <w:r w:rsidR="005829EF" w:rsidRPr="00835AA1">
        <w:rPr>
          <w:lang w:val="fr-FR"/>
        </w:rPr>
        <w:t> 000 </w:t>
      </w:r>
      <w:r w:rsidRPr="00835AA1">
        <w:rPr>
          <w:lang w:val="fr-FR"/>
        </w:rPr>
        <w:t>francs suisses (TIC);</w:t>
      </w:r>
      <w:r w:rsidR="007B26C3" w:rsidRPr="00835AA1">
        <w:rPr>
          <w:lang w:val="fr-FR"/>
        </w:rPr>
        <w:t xml:space="preserve"> </w:t>
      </w:r>
      <w:r w:rsidRPr="00835AA1">
        <w:rPr>
          <w:lang w:val="fr-FR"/>
        </w:rPr>
        <w:t xml:space="preserve"> ou</w:t>
      </w:r>
    </w:p>
    <w:p w14:paraId="55907886" w14:textId="7E187761" w:rsidR="008844A6" w:rsidRPr="00835AA1" w:rsidRDefault="007C4285" w:rsidP="00B34648">
      <w:pPr>
        <w:pStyle w:val="Bulletedlistlevel2"/>
        <w:tabs>
          <w:tab w:val="clear" w:pos="567"/>
          <w:tab w:val="num" w:pos="1134"/>
        </w:tabs>
        <w:spacing w:after="220"/>
        <w:ind w:left="1134" w:hanging="567"/>
        <w:rPr>
          <w:lang w:val="fr-FR"/>
        </w:rPr>
      </w:pPr>
      <w:r w:rsidRPr="00835AA1">
        <w:rPr>
          <w:lang w:val="fr-FR"/>
        </w:rPr>
        <w:t>pour toutes les autres options (options</w:t>
      </w:r>
      <w:r w:rsidR="003E7B52">
        <w:rPr>
          <w:lang w:val="fr-FR"/>
        </w:rPr>
        <w:t> </w:t>
      </w:r>
      <w:r w:rsidR="005829EF" w:rsidRPr="00835AA1">
        <w:rPr>
          <w:lang w:val="fr-FR"/>
        </w:rPr>
        <w:t>“</w:t>
      </w:r>
      <w:r w:rsidRPr="00835AA1">
        <w:rPr>
          <w:lang w:val="fr-FR"/>
        </w:rPr>
        <w:t>C</w:t>
      </w:r>
      <w:r w:rsidR="005829EF" w:rsidRPr="00835AA1">
        <w:rPr>
          <w:lang w:val="fr-FR"/>
        </w:rPr>
        <w:t>”</w:t>
      </w:r>
      <w:r w:rsidR="003E7B52">
        <w:rPr>
          <w:lang w:val="fr-FR"/>
        </w:rPr>
        <w:t xml:space="preserve"> à </w:t>
      </w:r>
      <w:r w:rsidR="005829EF" w:rsidRPr="00835AA1">
        <w:rPr>
          <w:lang w:val="fr-FR"/>
        </w:rPr>
        <w:t>“</w:t>
      </w:r>
      <w:r w:rsidRPr="00835AA1">
        <w:rPr>
          <w:lang w:val="fr-FR"/>
        </w:rPr>
        <w:t>E</w:t>
      </w:r>
      <w:r w:rsidR="005829EF" w:rsidRPr="00835AA1">
        <w:rPr>
          <w:lang w:val="fr-FR"/>
        </w:rPr>
        <w:t>”</w:t>
      </w:r>
      <w:r w:rsidRPr="00835AA1">
        <w:rPr>
          <w:lang w:val="fr-FR"/>
        </w:rPr>
        <w:t>)</w:t>
      </w:r>
      <w:r w:rsidR="002E3178" w:rsidRPr="00835AA1">
        <w:rPr>
          <w:lang w:val="fr-FR"/>
        </w:rPr>
        <w:t> :</w:t>
      </w:r>
      <w:r w:rsidRPr="00835AA1">
        <w:rPr>
          <w:lang w:val="fr-FR"/>
        </w:rPr>
        <w:t xml:space="preserve"> 800</w:t>
      </w:r>
      <w:r w:rsidR="005829EF" w:rsidRPr="00835AA1">
        <w:rPr>
          <w:lang w:val="fr-FR"/>
        </w:rPr>
        <w:t> 000 </w:t>
      </w:r>
      <w:r w:rsidRPr="00835AA1">
        <w:rPr>
          <w:lang w:val="fr-FR"/>
        </w:rPr>
        <w:t>francs suisses environ (500</w:t>
      </w:r>
      <w:r w:rsidR="005829EF" w:rsidRPr="00835AA1">
        <w:rPr>
          <w:lang w:val="fr-FR"/>
        </w:rPr>
        <w:t> 000 </w:t>
      </w:r>
      <w:r w:rsidRPr="00835AA1">
        <w:rPr>
          <w:lang w:val="fr-FR"/>
        </w:rPr>
        <w:t xml:space="preserve">francs suisses (deux contrats de prestataires individuels de services – </w:t>
      </w:r>
      <w:r w:rsidR="005829EF" w:rsidRPr="00835AA1">
        <w:rPr>
          <w:lang w:val="fr-FR"/>
        </w:rPr>
        <w:t>125 000 </w:t>
      </w:r>
      <w:r w:rsidRPr="00835AA1">
        <w:rPr>
          <w:lang w:val="fr-FR"/>
        </w:rPr>
        <w:t xml:space="preserve">francs suisses x </w:t>
      </w:r>
      <w:r w:rsidR="00B36454">
        <w:rPr>
          <w:lang w:val="fr-FR"/>
        </w:rPr>
        <w:t>2</w:t>
      </w:r>
      <w:r w:rsidR="007B26C3" w:rsidRPr="00835AA1">
        <w:rPr>
          <w:lang w:val="fr-FR"/>
        </w:rPr>
        <w:t> </w:t>
      </w:r>
      <w:r w:rsidRPr="00835AA1">
        <w:rPr>
          <w:lang w:val="fr-FR"/>
        </w:rPr>
        <w:t xml:space="preserve">x </w:t>
      </w:r>
      <w:r w:rsidR="00B36454">
        <w:rPr>
          <w:lang w:val="fr-FR"/>
        </w:rPr>
        <w:t>2</w:t>
      </w:r>
      <w:r w:rsidR="007B26C3" w:rsidRPr="00835AA1">
        <w:rPr>
          <w:lang w:val="fr-FR"/>
        </w:rPr>
        <w:t> </w:t>
      </w:r>
      <w:r w:rsidRPr="00835AA1">
        <w:rPr>
          <w:lang w:val="fr-FR"/>
        </w:rPr>
        <w:t>ans) + 300</w:t>
      </w:r>
      <w:r w:rsidR="005829EF" w:rsidRPr="00835AA1">
        <w:rPr>
          <w:lang w:val="fr-FR"/>
        </w:rPr>
        <w:t> 000 </w:t>
      </w:r>
      <w:r w:rsidRPr="00835AA1">
        <w:rPr>
          <w:lang w:val="fr-FR"/>
        </w:rPr>
        <w:t>francs suisses (TIC).</w:t>
      </w:r>
    </w:p>
    <w:p w14:paraId="226C8685" w14:textId="6FFDE15A" w:rsidR="008844A6" w:rsidRPr="00835AA1" w:rsidRDefault="007C4285" w:rsidP="00B34648">
      <w:pPr>
        <w:pStyle w:val="Heading1"/>
        <w:rPr>
          <w:lang w:val="fr-FR"/>
        </w:rPr>
      </w:pPr>
      <w:r w:rsidRPr="00835AA1">
        <w:rPr>
          <w:lang w:val="fr-FR"/>
        </w:rPr>
        <w:t>Co</w:t>
      </w:r>
      <w:r w:rsidR="008B3072">
        <w:rPr>
          <w:lang w:val="fr-FR"/>
        </w:rPr>
        <w:t>Û</w:t>
      </w:r>
      <w:r w:rsidRPr="00835AA1">
        <w:rPr>
          <w:lang w:val="fr-FR"/>
        </w:rPr>
        <w:t>ts r</w:t>
      </w:r>
      <w:r w:rsidR="008B3072">
        <w:rPr>
          <w:lang w:val="fr-FR"/>
        </w:rPr>
        <w:t>É</w:t>
      </w:r>
      <w:r w:rsidRPr="00835AA1">
        <w:rPr>
          <w:lang w:val="fr-FR"/>
        </w:rPr>
        <w:t>currents</w:t>
      </w:r>
    </w:p>
    <w:p w14:paraId="38716DFD" w14:textId="77777777" w:rsidR="008844A6" w:rsidRPr="00835AA1" w:rsidRDefault="007C4285" w:rsidP="00B34648">
      <w:pPr>
        <w:pStyle w:val="Heading2"/>
      </w:pPr>
      <w:r w:rsidRPr="00835AA1">
        <w:t>Traduction</w:t>
      </w:r>
    </w:p>
    <w:p w14:paraId="6702C432" w14:textId="376C8822" w:rsidR="008844A6" w:rsidRPr="00A419D0" w:rsidRDefault="007C4285" w:rsidP="00F21006">
      <w:pPr>
        <w:pStyle w:val="ONUMFS"/>
        <w:rPr>
          <w:lang w:val="fr-FR"/>
        </w:rPr>
      </w:pPr>
      <w:r w:rsidRPr="00835AA1">
        <w:rPr>
          <w:lang w:val="fr-FR"/>
        </w:rPr>
        <w:t>Dans toutes les options de mise en œuvre, le Bureau international traduirait les éléments pertinents de la demande internationale déposée dans la nouvelle langue vers l</w:t>
      </w:r>
      <w:r w:rsidR="002E3178" w:rsidRPr="00835AA1">
        <w:rPr>
          <w:lang w:val="fr-FR"/>
        </w:rPr>
        <w:t>’</w:t>
      </w:r>
      <w:r w:rsidRPr="00835AA1">
        <w:rPr>
          <w:lang w:val="fr-FR"/>
        </w:rPr>
        <w:t>anglais, qui servirait de langue</w:t>
      </w:r>
      <w:r w:rsidR="003813B1" w:rsidRPr="00835AA1">
        <w:rPr>
          <w:lang w:val="fr-FR"/>
        </w:rPr>
        <w:noBreakHyphen/>
      </w:r>
      <w:r w:rsidRPr="00835AA1">
        <w:rPr>
          <w:lang w:val="fr-FR"/>
        </w:rPr>
        <w:t>relais (chinois ou russe vers l</w:t>
      </w:r>
      <w:r w:rsidR="002E3178" w:rsidRPr="00835AA1">
        <w:rPr>
          <w:lang w:val="fr-FR"/>
        </w:rPr>
        <w:t>’</w:t>
      </w:r>
      <w:r w:rsidRPr="00835AA1">
        <w:rPr>
          <w:lang w:val="fr-FR"/>
        </w:rPr>
        <w:t>angla</w:t>
      </w:r>
      <w:r w:rsidR="00A541B2" w:rsidRPr="00835AA1">
        <w:rPr>
          <w:lang w:val="fr-FR"/>
        </w:rPr>
        <w:t>is).  La</w:t>
      </w:r>
      <w:r w:rsidRPr="00835AA1">
        <w:rPr>
          <w:lang w:val="fr-FR"/>
        </w:rPr>
        <w:t xml:space="preserve"> traduction serait sous</w:t>
      </w:r>
      <w:r w:rsidR="003813B1" w:rsidRPr="00835AA1">
        <w:rPr>
          <w:lang w:val="fr-FR"/>
        </w:rPr>
        <w:noBreakHyphen/>
      </w:r>
      <w:r w:rsidRPr="00835AA1">
        <w:rPr>
          <w:lang w:val="fr-FR"/>
        </w:rPr>
        <w:t>traitée, et deux</w:t>
      </w:r>
      <w:r w:rsidR="007B26C3" w:rsidRPr="00835AA1">
        <w:rPr>
          <w:lang w:val="fr-FR"/>
        </w:rPr>
        <w:t> </w:t>
      </w:r>
      <w:r w:rsidRPr="00835AA1">
        <w:rPr>
          <w:lang w:val="fr-FR"/>
        </w:rPr>
        <w:t>traducteurs (un par langue) seraient donc nécessaires pour contrôler la qualité de la traduction sous</w:t>
      </w:r>
      <w:r w:rsidR="003813B1" w:rsidRPr="00835AA1">
        <w:rPr>
          <w:lang w:val="fr-FR"/>
        </w:rPr>
        <w:noBreakHyphen/>
      </w:r>
      <w:r w:rsidRPr="00835AA1">
        <w:rPr>
          <w:lang w:val="fr-FR"/>
        </w:rPr>
        <w:t>traitée.</w:t>
      </w:r>
    </w:p>
    <w:p w14:paraId="702DA447" w14:textId="77777777" w:rsidR="008844A6" w:rsidRPr="00835AA1" w:rsidRDefault="007C4285" w:rsidP="00B34648">
      <w:pPr>
        <w:pStyle w:val="ONUMFS"/>
        <w:rPr>
          <w:lang w:val="fr-FR"/>
        </w:rPr>
      </w:pPr>
      <w:r w:rsidRPr="00835AA1">
        <w:rPr>
          <w:lang w:val="fr-FR"/>
        </w:rPr>
        <w:lastRenderedPageBreak/>
        <w:t>Normalement, seul un traducteur dont la première langue est la langue cible doit contrôler la qualité de la traduction dans cette lang</w:t>
      </w:r>
      <w:r w:rsidR="00A541B2" w:rsidRPr="00835AA1">
        <w:rPr>
          <w:lang w:val="fr-FR"/>
        </w:rPr>
        <w:t>ue.  De</w:t>
      </w:r>
      <w:r w:rsidRPr="00835AA1">
        <w:rPr>
          <w:lang w:val="fr-FR"/>
        </w:rPr>
        <w:t>ux</w:t>
      </w:r>
      <w:r w:rsidR="007B26C3" w:rsidRPr="00835AA1">
        <w:rPr>
          <w:lang w:val="fr-FR"/>
        </w:rPr>
        <w:t> </w:t>
      </w:r>
      <w:r w:rsidRPr="00835AA1">
        <w:rPr>
          <w:lang w:val="fr-FR"/>
        </w:rPr>
        <w:t>traducteurs seraient donc nécessaires, dont la langue maternelle est l</w:t>
      </w:r>
      <w:r w:rsidR="002E3178" w:rsidRPr="00835AA1">
        <w:rPr>
          <w:lang w:val="fr-FR"/>
        </w:rPr>
        <w:t>’</w:t>
      </w:r>
      <w:r w:rsidRPr="00835AA1">
        <w:rPr>
          <w:lang w:val="fr-FR"/>
        </w:rPr>
        <w:t>anglais et qui parlent couramment le chinois ou le russe (un traducteur pour chaque lang</w:t>
      </w:r>
      <w:r w:rsidR="00A541B2" w:rsidRPr="00835AA1">
        <w:rPr>
          <w:lang w:val="fr-FR"/>
        </w:rPr>
        <w:t>ue).  Né</w:t>
      </w:r>
      <w:r w:rsidR="003E7B52">
        <w:rPr>
          <w:lang w:val="fr-FR"/>
        </w:rPr>
        <w:t>anmoins, les options </w:t>
      </w:r>
      <w:r w:rsidR="005829EF" w:rsidRPr="00835AA1">
        <w:rPr>
          <w:lang w:val="fr-FR"/>
        </w:rPr>
        <w:t>“</w:t>
      </w:r>
      <w:r w:rsidRPr="00835AA1">
        <w:rPr>
          <w:lang w:val="fr-FR"/>
        </w:rPr>
        <w:t>D</w:t>
      </w:r>
      <w:r w:rsidR="005829EF" w:rsidRPr="00835AA1">
        <w:rPr>
          <w:lang w:val="fr-FR"/>
        </w:rPr>
        <w:t>”</w:t>
      </w:r>
      <w:r w:rsidR="003E7B52">
        <w:rPr>
          <w:lang w:val="fr-FR"/>
        </w:rPr>
        <w:t xml:space="preserve"> et </w:t>
      </w:r>
      <w:r w:rsidR="005829EF" w:rsidRPr="00835AA1">
        <w:rPr>
          <w:lang w:val="fr-FR"/>
        </w:rPr>
        <w:t>“</w:t>
      </w:r>
      <w:r w:rsidRPr="00835AA1">
        <w:rPr>
          <w:lang w:val="fr-FR"/>
        </w:rPr>
        <w:t>E</w:t>
      </w:r>
      <w:r w:rsidR="005829EF" w:rsidRPr="00835AA1">
        <w:rPr>
          <w:lang w:val="fr-FR"/>
        </w:rPr>
        <w:t>”</w:t>
      </w:r>
      <w:r w:rsidRPr="00835AA1">
        <w:rPr>
          <w:lang w:val="fr-FR"/>
        </w:rPr>
        <w:t xml:space="preserve"> supposeraient des combinaisons linguistiques supplémentaires (anglais vers le chinois et vers le rus</w:t>
      </w:r>
      <w:r w:rsidR="00A541B2" w:rsidRPr="00835AA1">
        <w:rPr>
          <w:lang w:val="fr-FR"/>
        </w:rPr>
        <w:t>se).  Ce</w:t>
      </w:r>
      <w:r w:rsidRPr="00835AA1">
        <w:rPr>
          <w:lang w:val="fr-FR"/>
        </w:rPr>
        <w:t>la signifie que deux</w:t>
      </w:r>
      <w:r w:rsidR="007B26C3" w:rsidRPr="00835AA1">
        <w:rPr>
          <w:lang w:val="fr-FR"/>
        </w:rPr>
        <w:t> </w:t>
      </w:r>
      <w:r w:rsidRPr="00835AA1">
        <w:rPr>
          <w:lang w:val="fr-FR"/>
        </w:rPr>
        <w:t>traducteurs supplémentaires dont la langue maternelle est le chinois ou le russe (un traducteur pour chaque langue) seraient nécessaires pour ces options, afin d</w:t>
      </w:r>
      <w:r w:rsidR="002E3178" w:rsidRPr="00835AA1">
        <w:rPr>
          <w:lang w:val="fr-FR"/>
        </w:rPr>
        <w:t>’</w:t>
      </w:r>
      <w:r w:rsidRPr="00835AA1">
        <w:rPr>
          <w:lang w:val="fr-FR"/>
        </w:rPr>
        <w:t>assurer au mieux la qualité de la traducti</w:t>
      </w:r>
      <w:r w:rsidR="00A541B2" w:rsidRPr="00835AA1">
        <w:rPr>
          <w:lang w:val="fr-FR"/>
        </w:rPr>
        <w:t>on.  De</w:t>
      </w:r>
      <w:r w:rsidRPr="00835AA1">
        <w:rPr>
          <w:lang w:val="fr-FR"/>
        </w:rPr>
        <w:t>ux</w:t>
      </w:r>
      <w:r w:rsidR="007B26C3" w:rsidRPr="00835AA1">
        <w:rPr>
          <w:lang w:val="fr-FR"/>
        </w:rPr>
        <w:t> </w:t>
      </w:r>
      <w:r w:rsidRPr="00835AA1">
        <w:rPr>
          <w:lang w:val="fr-FR"/>
        </w:rPr>
        <w:t>traducteurs par langue pourraient se relayer et assurer la continuité des opérations.</w:t>
      </w:r>
    </w:p>
    <w:p w14:paraId="22042A23" w14:textId="77777777" w:rsidR="008844A6" w:rsidRPr="00835AA1" w:rsidRDefault="007C4285" w:rsidP="00B34648">
      <w:pPr>
        <w:pStyle w:val="ONUMFS"/>
        <w:rPr>
          <w:lang w:val="fr-FR"/>
        </w:rPr>
      </w:pPr>
      <w:r w:rsidRPr="00835AA1">
        <w:rPr>
          <w:lang w:val="fr-FR"/>
        </w:rPr>
        <w:t>Cela étant, d</w:t>
      </w:r>
      <w:r w:rsidR="002E3178" w:rsidRPr="00835AA1">
        <w:rPr>
          <w:lang w:val="fr-FR"/>
        </w:rPr>
        <w:t>’</w:t>
      </w:r>
      <w:r w:rsidRPr="00835AA1">
        <w:rPr>
          <w:lang w:val="fr-FR"/>
        </w:rPr>
        <w:t>après l</w:t>
      </w:r>
      <w:r w:rsidR="002E3178" w:rsidRPr="00835AA1">
        <w:rPr>
          <w:lang w:val="fr-FR"/>
        </w:rPr>
        <w:t>’</w:t>
      </w:r>
      <w:r w:rsidRPr="00835AA1">
        <w:rPr>
          <w:lang w:val="fr-FR"/>
        </w:rPr>
        <w:t>estimation des coûts de traduction opérationnels présentée dans la présente annexe (</w:t>
      </w:r>
      <w:r w:rsidR="00A10088" w:rsidRPr="00835AA1">
        <w:rPr>
          <w:lang w:val="fr-FR"/>
        </w:rPr>
        <w:t>s</w:t>
      </w:r>
      <w:r w:rsidRPr="00835AA1">
        <w:rPr>
          <w:lang w:val="fr-FR"/>
        </w:rPr>
        <w:t>ection</w:t>
      </w:r>
      <w:r w:rsidR="005829EF" w:rsidRPr="00835AA1">
        <w:rPr>
          <w:lang w:val="fr-FR"/>
        </w:rPr>
        <w:t> </w:t>
      </w:r>
      <w:r w:rsidRPr="00835AA1">
        <w:rPr>
          <w:lang w:val="fr-FR"/>
        </w:rPr>
        <w:t xml:space="preserve">III), la charge de travail requise pour le contrôle de la qualité des traductions serait bien inférieure au volume de travail </w:t>
      </w:r>
      <w:r w:rsidR="00A23954" w:rsidRPr="00835AA1">
        <w:rPr>
          <w:lang w:val="fr-FR"/>
        </w:rPr>
        <w:t>attendu</w:t>
      </w:r>
      <w:r w:rsidRPr="00835AA1">
        <w:rPr>
          <w:lang w:val="fr-FR"/>
        </w:rPr>
        <w:t xml:space="preserve"> d</w:t>
      </w:r>
      <w:r w:rsidR="002E3178" w:rsidRPr="00835AA1">
        <w:rPr>
          <w:lang w:val="fr-FR"/>
        </w:rPr>
        <w:t>’</w:t>
      </w:r>
      <w:r w:rsidRPr="00835AA1">
        <w:rPr>
          <w:lang w:val="fr-FR"/>
        </w:rPr>
        <w:t>un traducteur dans les deux</w:t>
      </w:r>
      <w:r w:rsidR="007B26C3" w:rsidRPr="00835AA1">
        <w:rPr>
          <w:lang w:val="fr-FR"/>
        </w:rPr>
        <w:t> </w:t>
      </w:r>
      <w:r w:rsidRPr="00835AA1">
        <w:rPr>
          <w:lang w:val="fr-FR"/>
        </w:rPr>
        <w:t xml:space="preserve">langues, indépendamment des options de mise en </w:t>
      </w:r>
      <w:r w:rsidR="000E1429" w:rsidRPr="00835AA1">
        <w:rPr>
          <w:lang w:val="fr-FR"/>
        </w:rPr>
        <w:t>œuvre</w:t>
      </w:r>
      <w:r w:rsidR="00623AD2">
        <w:rPr>
          <w:lang w:val="fr-FR"/>
        </w:rPr>
        <w:t>,</w:t>
      </w:r>
      <w:r w:rsidRPr="00835AA1">
        <w:rPr>
          <w:lang w:val="fr-FR"/>
        </w:rPr>
        <w:t xml:space="preserve"> jusqu</w:t>
      </w:r>
      <w:r w:rsidR="002E3178" w:rsidRPr="00835AA1">
        <w:rPr>
          <w:lang w:val="fr-FR"/>
        </w:rPr>
        <w:t>’en 2025</w:t>
      </w:r>
      <w:r w:rsidRPr="00835AA1">
        <w:rPr>
          <w:lang w:val="fr-FR"/>
        </w:rPr>
        <w:t>.</w:t>
      </w:r>
      <w:r w:rsidR="001853A9" w:rsidRPr="00835AA1">
        <w:rPr>
          <w:lang w:val="fr-FR"/>
        </w:rPr>
        <w:t xml:space="preserve">  </w:t>
      </w:r>
      <w:r w:rsidRPr="00835AA1">
        <w:rPr>
          <w:lang w:val="fr-FR"/>
        </w:rPr>
        <w:t xml:space="preserve">Il est rappelé à cet égard que le fonctionnement quotidien du système de </w:t>
      </w:r>
      <w:r w:rsidR="002E3178" w:rsidRPr="00835AA1">
        <w:rPr>
          <w:lang w:val="fr-FR"/>
        </w:rPr>
        <w:t>La Haye</w:t>
      </w:r>
      <w:r w:rsidRPr="00835AA1">
        <w:rPr>
          <w:lang w:val="fr-FR"/>
        </w:rPr>
        <w:t xml:space="preserve"> repose entièrement sur les ressources de traduction du système de Madrid</w:t>
      </w:r>
      <w:r w:rsidRPr="00835AA1">
        <w:rPr>
          <w:rStyle w:val="FootnoteReference"/>
          <w:lang w:val="fr-FR"/>
        </w:rPr>
        <w:footnoteReference w:id="10"/>
      </w:r>
      <w:r w:rsidRPr="00835AA1">
        <w:rPr>
          <w:lang w:val="fr-FR"/>
        </w:rPr>
        <w:t>.</w:t>
      </w:r>
      <w:r w:rsidR="001853A9" w:rsidRPr="00835AA1">
        <w:rPr>
          <w:lang w:val="fr-FR"/>
        </w:rPr>
        <w:t xml:space="preserve">  </w:t>
      </w:r>
      <w:r w:rsidR="000E1429" w:rsidRPr="00835AA1">
        <w:rPr>
          <w:lang w:val="fr-FR"/>
        </w:rPr>
        <w:t>Si tel n</w:t>
      </w:r>
      <w:r w:rsidR="002E3178" w:rsidRPr="00835AA1">
        <w:rPr>
          <w:lang w:val="fr-FR"/>
        </w:rPr>
        <w:t>’</w:t>
      </w:r>
      <w:r w:rsidR="000E1429" w:rsidRPr="00835AA1">
        <w:rPr>
          <w:lang w:val="fr-FR"/>
        </w:rPr>
        <w:t xml:space="preserve">était plus le cas, </w:t>
      </w:r>
      <w:r w:rsidR="00A23954" w:rsidRPr="00835AA1">
        <w:rPr>
          <w:lang w:val="fr-FR"/>
        </w:rPr>
        <w:t>l</w:t>
      </w:r>
      <w:r w:rsidR="002E3178" w:rsidRPr="00835AA1">
        <w:rPr>
          <w:lang w:val="fr-FR"/>
        </w:rPr>
        <w:t>’</w:t>
      </w:r>
      <w:r w:rsidR="000E1429" w:rsidRPr="00835AA1">
        <w:rPr>
          <w:lang w:val="fr-FR"/>
        </w:rPr>
        <w:t>éventuelle introduction de nouvelles langues nécessiterait une solution différente.</w:t>
      </w:r>
    </w:p>
    <w:p w14:paraId="14D13B63" w14:textId="0BA8C6AA" w:rsidR="008844A6" w:rsidRPr="00835AA1" w:rsidRDefault="000E1429" w:rsidP="00B34648">
      <w:pPr>
        <w:pStyle w:val="ONUMFS"/>
        <w:rPr>
          <w:lang w:val="fr-FR"/>
        </w:rPr>
      </w:pPr>
      <w:r w:rsidRPr="00835AA1">
        <w:rPr>
          <w:lang w:val="fr-FR"/>
        </w:rPr>
        <w:t>Dans ce contexte, si le Service d</w:t>
      </w:r>
      <w:r w:rsidR="002E3178" w:rsidRPr="00835AA1">
        <w:rPr>
          <w:lang w:val="fr-FR"/>
        </w:rPr>
        <w:t>’</w:t>
      </w:r>
      <w:r w:rsidRPr="00835AA1">
        <w:rPr>
          <w:lang w:val="fr-FR"/>
        </w:rPr>
        <w:t xml:space="preserve">enregistrement de </w:t>
      </w:r>
      <w:r w:rsidR="002E3178" w:rsidRPr="00835AA1">
        <w:rPr>
          <w:lang w:val="fr-FR"/>
        </w:rPr>
        <w:t>La Haye</w:t>
      </w:r>
      <w:r w:rsidRPr="00835AA1">
        <w:rPr>
          <w:lang w:val="fr-FR"/>
        </w:rPr>
        <w:t xml:space="preserve"> devait mettre en place ses propres ressources de traduction pour tenir compte des nouvelles langues, et pour les raisons énoncées au paragraphe</w:t>
      </w:r>
      <w:r w:rsidR="005829EF" w:rsidRPr="00835AA1">
        <w:rPr>
          <w:lang w:val="fr-FR"/>
        </w:rPr>
        <w:t> </w:t>
      </w:r>
      <w:r w:rsidRPr="00835AA1">
        <w:rPr>
          <w:lang w:val="fr-FR"/>
        </w:rPr>
        <w:t>13, le Bureau international devrait recruter quatre</w:t>
      </w:r>
      <w:r w:rsidR="007B26C3" w:rsidRPr="00835AA1">
        <w:rPr>
          <w:lang w:val="fr-FR"/>
        </w:rPr>
        <w:t> </w:t>
      </w:r>
      <w:r w:rsidRPr="00835AA1">
        <w:rPr>
          <w:lang w:val="fr-FR"/>
        </w:rPr>
        <w:t xml:space="preserve">traducteurs à plein temps maîtrisant les nouvelles langues (deux traducteurs par langue), sur des contrats de prestataires individuels de services </w:t>
      </w:r>
      <w:r w:rsidR="00A23954" w:rsidRPr="00835AA1">
        <w:rPr>
          <w:lang w:val="fr-FR"/>
        </w:rPr>
        <w:t>(</w:t>
      </w:r>
      <w:r w:rsidRPr="00835AA1">
        <w:rPr>
          <w:lang w:val="fr-FR"/>
        </w:rPr>
        <w:t>traducteur</w:t>
      </w:r>
      <w:r w:rsidR="00A23954" w:rsidRPr="00835AA1">
        <w:rPr>
          <w:lang w:val="fr-FR"/>
        </w:rPr>
        <w:t>s</w:t>
      </w:r>
      <w:r w:rsidRPr="00835AA1">
        <w:rPr>
          <w:lang w:val="fr-FR"/>
        </w:rPr>
        <w:t xml:space="preserve"> de niveau</w:t>
      </w:r>
      <w:r w:rsidR="005829EF" w:rsidRPr="00835AA1">
        <w:rPr>
          <w:lang w:val="fr-FR"/>
        </w:rPr>
        <w:t> </w:t>
      </w:r>
      <w:r w:rsidRPr="00835AA1">
        <w:rPr>
          <w:lang w:val="fr-FR"/>
        </w:rPr>
        <w:t>P</w:t>
      </w:r>
      <w:r w:rsidR="003813B1" w:rsidRPr="00835AA1">
        <w:rPr>
          <w:lang w:val="fr-FR"/>
        </w:rPr>
        <w:noBreakHyphen/>
      </w:r>
      <w:r w:rsidRPr="00835AA1">
        <w:rPr>
          <w:lang w:val="fr-FR"/>
        </w:rPr>
        <w:t>3 ou P</w:t>
      </w:r>
      <w:r w:rsidR="003813B1" w:rsidRPr="00835AA1">
        <w:rPr>
          <w:lang w:val="fr-FR"/>
        </w:rPr>
        <w:noBreakHyphen/>
      </w:r>
      <w:r w:rsidRPr="00835AA1">
        <w:rPr>
          <w:lang w:val="fr-FR"/>
        </w:rPr>
        <w:t>4</w:t>
      </w:r>
      <w:r w:rsidR="00A23954" w:rsidRPr="00835AA1">
        <w:rPr>
          <w:lang w:val="fr-FR"/>
        </w:rPr>
        <w:t>)</w:t>
      </w:r>
      <w:r w:rsidRPr="00835AA1">
        <w:rPr>
          <w:lang w:val="fr-FR"/>
        </w:rPr>
        <w:t>.</w:t>
      </w:r>
      <w:r w:rsidR="00915FBF" w:rsidRPr="00835AA1">
        <w:rPr>
          <w:lang w:val="fr-FR"/>
        </w:rPr>
        <w:t xml:space="preserve">  </w:t>
      </w:r>
      <w:r w:rsidRPr="00835AA1">
        <w:rPr>
          <w:lang w:val="fr-FR"/>
        </w:rPr>
        <w:t>Ainsi, à titre indicatif, un investissement d</w:t>
      </w:r>
      <w:r w:rsidR="002E3178" w:rsidRPr="00835AA1">
        <w:rPr>
          <w:lang w:val="fr-FR"/>
        </w:rPr>
        <w:t>’</w:t>
      </w:r>
      <w:r w:rsidRPr="00835AA1">
        <w:rPr>
          <w:lang w:val="fr-FR"/>
        </w:rPr>
        <w:t>environ 500</w:t>
      </w:r>
      <w:r w:rsidR="005829EF" w:rsidRPr="00835AA1">
        <w:rPr>
          <w:lang w:val="fr-FR"/>
        </w:rPr>
        <w:t> 000 </w:t>
      </w:r>
      <w:r w:rsidRPr="00835AA1">
        <w:rPr>
          <w:lang w:val="fr-FR"/>
        </w:rPr>
        <w:t>francs suisses par an devrait être prévu (125</w:t>
      </w:r>
      <w:r w:rsidR="005829EF" w:rsidRPr="00835AA1">
        <w:rPr>
          <w:lang w:val="fr-FR"/>
        </w:rPr>
        <w:t> 000 </w:t>
      </w:r>
      <w:r w:rsidRPr="00835AA1">
        <w:rPr>
          <w:lang w:val="fr-FR"/>
        </w:rPr>
        <w:t xml:space="preserve">francs suisses x </w:t>
      </w:r>
      <w:r w:rsidR="00E11761">
        <w:rPr>
          <w:lang w:val="fr-FR"/>
        </w:rPr>
        <w:t>4</w:t>
      </w:r>
      <w:r w:rsidR="007B26C3" w:rsidRPr="00835AA1">
        <w:rPr>
          <w:lang w:val="fr-FR"/>
        </w:rPr>
        <w:t> </w:t>
      </w:r>
      <w:r w:rsidRPr="00835AA1">
        <w:rPr>
          <w:lang w:val="fr-FR"/>
        </w:rPr>
        <w:t>traducteurs).</w:t>
      </w:r>
    </w:p>
    <w:p w14:paraId="39E0010F" w14:textId="77777777" w:rsidR="008844A6" w:rsidRPr="00835AA1" w:rsidRDefault="000E1429" w:rsidP="00B34648">
      <w:pPr>
        <w:pStyle w:val="Heading2"/>
      </w:pPr>
      <w:r w:rsidRPr="00835AA1">
        <w:t>Systèmes informatiques</w:t>
      </w:r>
    </w:p>
    <w:p w14:paraId="619569D9" w14:textId="77777777" w:rsidR="008844A6" w:rsidRPr="00835AA1" w:rsidRDefault="000E1429" w:rsidP="00B34648">
      <w:pPr>
        <w:pStyle w:val="ONUMFS"/>
        <w:rPr>
          <w:lang w:val="fr-FR"/>
        </w:rPr>
      </w:pPr>
      <w:r w:rsidRPr="00835AA1">
        <w:rPr>
          <w:lang w:val="fr-FR"/>
        </w:rPr>
        <w:t>L</w:t>
      </w:r>
      <w:r w:rsidR="002E3178" w:rsidRPr="00835AA1">
        <w:rPr>
          <w:lang w:val="fr-FR"/>
        </w:rPr>
        <w:t>’</w:t>
      </w:r>
      <w:r w:rsidRPr="00835AA1">
        <w:rPr>
          <w:lang w:val="fr-FR"/>
        </w:rPr>
        <w:t>introduction éventuelle des deux</w:t>
      </w:r>
      <w:r w:rsidR="007B26C3" w:rsidRPr="00835AA1">
        <w:rPr>
          <w:lang w:val="fr-FR"/>
        </w:rPr>
        <w:t> </w:t>
      </w:r>
      <w:r w:rsidRPr="00835AA1">
        <w:rPr>
          <w:lang w:val="fr-FR"/>
        </w:rPr>
        <w:t>nouvelles langues supposerait des travaux de maintenance des systèmes informatiques, qui nécessiterai</w:t>
      </w:r>
      <w:r w:rsidR="00A23954" w:rsidRPr="00835AA1">
        <w:rPr>
          <w:lang w:val="fr-FR"/>
        </w:rPr>
        <w:t>en</w:t>
      </w:r>
      <w:r w:rsidRPr="00835AA1">
        <w:rPr>
          <w:lang w:val="fr-FR"/>
        </w:rPr>
        <w:t>t un membre du personnel supplémentaire (de niveau</w:t>
      </w:r>
      <w:r w:rsidR="005829EF" w:rsidRPr="00835AA1">
        <w:rPr>
          <w:lang w:val="fr-FR"/>
        </w:rPr>
        <w:t> </w:t>
      </w:r>
      <w:r w:rsidRPr="00835AA1">
        <w:rPr>
          <w:lang w:val="fr-FR"/>
        </w:rPr>
        <w:t>P</w:t>
      </w:r>
      <w:r w:rsidR="003813B1" w:rsidRPr="00835AA1">
        <w:rPr>
          <w:lang w:val="fr-FR"/>
        </w:rPr>
        <w:noBreakHyphen/>
      </w:r>
      <w:r w:rsidRPr="00835AA1">
        <w:rPr>
          <w:lang w:val="fr-FR"/>
        </w:rPr>
        <w:t xml:space="preserve">2) dans le </w:t>
      </w:r>
      <w:r w:rsidR="00A23954" w:rsidRPr="00835AA1">
        <w:rPr>
          <w:lang w:val="fr-FR"/>
        </w:rPr>
        <w:t>secteur</w:t>
      </w:r>
      <w:r w:rsidRPr="00835AA1">
        <w:rPr>
          <w:lang w:val="fr-FR"/>
        </w:rPr>
        <w:t xml:space="preserve"> informatique ou la prise en charge du coût correspondant dans le budget annuel</w:t>
      </w:r>
      <w:r w:rsidR="002E3178" w:rsidRPr="00835AA1">
        <w:rPr>
          <w:lang w:val="fr-FR"/>
        </w:rPr>
        <w:t xml:space="preserve"> des </w:t>
      </w:r>
      <w:r w:rsidR="00A541B2" w:rsidRPr="00835AA1">
        <w:rPr>
          <w:lang w:val="fr-FR"/>
        </w:rPr>
        <w:t>TIC.  Ce</w:t>
      </w:r>
      <w:r w:rsidRPr="00835AA1">
        <w:rPr>
          <w:lang w:val="fr-FR"/>
        </w:rPr>
        <w:t xml:space="preserve"> coût de maintenance récurrent est estimé à environ 120</w:t>
      </w:r>
      <w:r w:rsidR="005829EF" w:rsidRPr="00835AA1">
        <w:rPr>
          <w:lang w:val="fr-FR"/>
        </w:rPr>
        <w:t> 000 </w:t>
      </w:r>
      <w:r w:rsidRPr="00835AA1">
        <w:rPr>
          <w:lang w:val="fr-FR"/>
        </w:rPr>
        <w:t>francs suisses par an.</w:t>
      </w:r>
    </w:p>
    <w:p w14:paraId="3C0A9C06" w14:textId="77777777" w:rsidR="008844A6" w:rsidRPr="00835AA1" w:rsidRDefault="000E1429" w:rsidP="00B34648">
      <w:pPr>
        <w:pStyle w:val="Heading2"/>
      </w:pPr>
      <w:r w:rsidRPr="00835AA1">
        <w:t>Examen</w:t>
      </w:r>
    </w:p>
    <w:p w14:paraId="7E10651F" w14:textId="77777777" w:rsidR="008844A6" w:rsidRPr="00835AA1" w:rsidRDefault="00B111B4" w:rsidP="00B34648">
      <w:pPr>
        <w:pStyle w:val="ONUMFS"/>
        <w:rPr>
          <w:lang w:val="fr-FR"/>
        </w:rPr>
      </w:pPr>
      <w:r w:rsidRPr="00835AA1">
        <w:rPr>
          <w:lang w:val="fr-FR"/>
        </w:rPr>
        <w:t>Toutes les options de mise en œuvre, à l</w:t>
      </w:r>
      <w:r w:rsidR="002E3178" w:rsidRPr="00835AA1">
        <w:rPr>
          <w:lang w:val="fr-FR"/>
        </w:rPr>
        <w:t>’</w:t>
      </w:r>
      <w:r w:rsidRPr="00835AA1">
        <w:rPr>
          <w:lang w:val="fr-FR"/>
        </w:rPr>
        <w:t>exception de l</w:t>
      </w:r>
      <w:r w:rsidR="002E3178" w:rsidRPr="00835AA1">
        <w:rPr>
          <w:lang w:val="fr-FR"/>
        </w:rPr>
        <w:t>’</w:t>
      </w:r>
      <w:r w:rsidR="003E7B52">
        <w:rPr>
          <w:lang w:val="fr-FR"/>
        </w:rPr>
        <w:t>option </w:t>
      </w:r>
      <w:r w:rsidR="005829EF" w:rsidRPr="00835AA1">
        <w:rPr>
          <w:lang w:val="fr-FR"/>
        </w:rPr>
        <w:t>“</w:t>
      </w:r>
      <w:r w:rsidRPr="00835AA1">
        <w:rPr>
          <w:lang w:val="fr-FR"/>
        </w:rPr>
        <w:t>A</w:t>
      </w:r>
      <w:r w:rsidR="005829EF" w:rsidRPr="00835AA1">
        <w:rPr>
          <w:lang w:val="fr-FR"/>
        </w:rPr>
        <w:t>”</w:t>
      </w:r>
      <w:r w:rsidRPr="00835AA1">
        <w:rPr>
          <w:lang w:val="fr-FR"/>
        </w:rPr>
        <w:t>, nécessiteraient que les examinateurs maîtrisent les nouvelles langues, puisque le Bureau international examinerait les demandes internationales dans les nouvelles langu</w:t>
      </w:r>
      <w:r w:rsidR="00A541B2" w:rsidRPr="00835AA1">
        <w:rPr>
          <w:lang w:val="fr-FR"/>
        </w:rPr>
        <w:t>es.  Ac</w:t>
      </w:r>
      <w:r w:rsidRPr="00835AA1">
        <w:rPr>
          <w:lang w:val="fr-FR"/>
        </w:rPr>
        <w:t>tuellement, le Service d</w:t>
      </w:r>
      <w:r w:rsidR="002E3178" w:rsidRPr="00835AA1">
        <w:rPr>
          <w:lang w:val="fr-FR"/>
        </w:rPr>
        <w:t>’</w:t>
      </w:r>
      <w:r w:rsidRPr="00835AA1">
        <w:rPr>
          <w:lang w:val="fr-FR"/>
        </w:rPr>
        <w:t xml:space="preserve">enregistrement de </w:t>
      </w:r>
      <w:r w:rsidR="002E3178" w:rsidRPr="00835AA1">
        <w:rPr>
          <w:lang w:val="fr-FR"/>
        </w:rPr>
        <w:t>La Haye</w:t>
      </w:r>
      <w:r w:rsidRPr="00835AA1">
        <w:rPr>
          <w:lang w:val="fr-FR"/>
        </w:rPr>
        <w:t xml:space="preserve"> dispose de ressources minimales pour examiner les demandes internationales dans les nouvelles langu</w:t>
      </w:r>
      <w:r w:rsidR="00A541B2" w:rsidRPr="00835AA1">
        <w:rPr>
          <w:lang w:val="fr-FR"/>
        </w:rPr>
        <w:t>es.  Un</w:t>
      </w:r>
      <w:r w:rsidRPr="00835AA1">
        <w:rPr>
          <w:lang w:val="fr-FR"/>
        </w:rPr>
        <w:t>e augmentation du nombre total de demandes augmenterait le nombre d</w:t>
      </w:r>
      <w:r w:rsidR="002E3178" w:rsidRPr="00835AA1">
        <w:rPr>
          <w:lang w:val="fr-FR"/>
        </w:rPr>
        <w:t>’</w:t>
      </w:r>
      <w:r w:rsidRPr="00835AA1">
        <w:rPr>
          <w:lang w:val="fr-FR"/>
        </w:rPr>
        <w:t>examinateurs requ</w:t>
      </w:r>
      <w:r w:rsidR="00A541B2" w:rsidRPr="00835AA1">
        <w:rPr>
          <w:lang w:val="fr-FR"/>
        </w:rPr>
        <w:t>is.  Né</w:t>
      </w:r>
      <w:r w:rsidRPr="00835AA1">
        <w:rPr>
          <w:lang w:val="fr-FR"/>
        </w:rPr>
        <w:t>anmoins, l</w:t>
      </w:r>
      <w:r w:rsidR="002E3178" w:rsidRPr="00835AA1">
        <w:rPr>
          <w:lang w:val="fr-FR"/>
        </w:rPr>
        <w:t>’</w:t>
      </w:r>
      <w:r w:rsidRPr="00835AA1">
        <w:rPr>
          <w:lang w:val="fr-FR"/>
        </w:rPr>
        <w:t>augmentation du nombre de demandes</w:t>
      </w:r>
      <w:r w:rsidR="00A23954" w:rsidRPr="00835AA1">
        <w:rPr>
          <w:lang w:val="fr-FR"/>
        </w:rPr>
        <w:t xml:space="preserve"> entrainerait une augmentation d</w:t>
      </w:r>
      <w:r w:rsidRPr="00835AA1">
        <w:rPr>
          <w:lang w:val="fr-FR"/>
        </w:rPr>
        <w:t xml:space="preserve">es recettes parallèlement </w:t>
      </w:r>
      <w:r w:rsidR="00A23954" w:rsidRPr="00835AA1">
        <w:rPr>
          <w:lang w:val="fr-FR"/>
        </w:rPr>
        <w:t>à l</w:t>
      </w:r>
      <w:r w:rsidR="002E3178" w:rsidRPr="00835AA1">
        <w:rPr>
          <w:lang w:val="fr-FR"/>
        </w:rPr>
        <w:t>’</w:t>
      </w:r>
      <w:r w:rsidR="00A23954" w:rsidRPr="00835AA1">
        <w:rPr>
          <w:lang w:val="fr-FR"/>
        </w:rPr>
        <w:t>augmentation des</w:t>
      </w:r>
      <w:r w:rsidRPr="00835AA1">
        <w:rPr>
          <w:lang w:val="fr-FR"/>
        </w:rPr>
        <w:t xml:space="preserve"> coûts liés aux examinateurs supplémentaires.</w:t>
      </w:r>
    </w:p>
    <w:p w14:paraId="56045963" w14:textId="1B59578A" w:rsidR="008844A6" w:rsidRDefault="00B111B4" w:rsidP="00B34648">
      <w:pPr>
        <w:pStyle w:val="ONUMFS"/>
        <w:rPr>
          <w:lang w:val="fr-FR"/>
        </w:rPr>
      </w:pPr>
      <w:r w:rsidRPr="00835AA1">
        <w:rPr>
          <w:lang w:val="fr-FR"/>
        </w:rPr>
        <w:t>C</w:t>
      </w:r>
      <w:r w:rsidR="002E3178" w:rsidRPr="00835AA1">
        <w:rPr>
          <w:lang w:val="fr-FR"/>
        </w:rPr>
        <w:t>’</w:t>
      </w:r>
      <w:r w:rsidRPr="00835AA1">
        <w:rPr>
          <w:lang w:val="fr-FR"/>
        </w:rPr>
        <w:t>est pourquoi les estimations actuelles ne tiennent pas compte des coûts d</w:t>
      </w:r>
      <w:r w:rsidR="002E3178" w:rsidRPr="00835AA1">
        <w:rPr>
          <w:lang w:val="fr-FR"/>
        </w:rPr>
        <w:t>’</w:t>
      </w:r>
      <w:r w:rsidRPr="00835AA1">
        <w:rPr>
          <w:lang w:val="fr-FR"/>
        </w:rPr>
        <w:t>examen associés à des langues particulièr</w:t>
      </w:r>
      <w:r w:rsidR="00A541B2" w:rsidRPr="00835AA1">
        <w:rPr>
          <w:lang w:val="fr-FR"/>
        </w:rPr>
        <w:t>es.  Il</w:t>
      </w:r>
      <w:r w:rsidRPr="00835AA1">
        <w:rPr>
          <w:lang w:val="fr-FR"/>
        </w:rPr>
        <w:t xml:space="preserve"> convient toutefois de noter que plus le nombre de langues introduites sera élevé, moins le Bureau international disposera de la souplesse nécessaire pour augmenter la capacité d</w:t>
      </w:r>
      <w:r w:rsidR="002E3178" w:rsidRPr="00835AA1">
        <w:rPr>
          <w:lang w:val="fr-FR"/>
        </w:rPr>
        <w:t>’</w:t>
      </w:r>
      <w:r w:rsidRPr="00835AA1">
        <w:rPr>
          <w:lang w:val="fr-FR"/>
        </w:rPr>
        <w:t>exam</w:t>
      </w:r>
      <w:r w:rsidR="00A541B2" w:rsidRPr="00835AA1">
        <w:rPr>
          <w:lang w:val="fr-FR"/>
        </w:rPr>
        <w:t>en.  Da</w:t>
      </w:r>
      <w:r w:rsidRPr="00835AA1">
        <w:rPr>
          <w:lang w:val="fr-FR"/>
        </w:rPr>
        <w:t>ns l</w:t>
      </w:r>
      <w:r w:rsidR="002E3178" w:rsidRPr="00835AA1">
        <w:rPr>
          <w:lang w:val="fr-FR"/>
        </w:rPr>
        <w:t>’</w:t>
      </w:r>
      <w:r w:rsidRPr="00835AA1">
        <w:rPr>
          <w:lang w:val="fr-FR"/>
        </w:rPr>
        <w:t>idéal, le Bureau international devrait garder au moins deux</w:t>
      </w:r>
      <w:r w:rsidR="007B26C3" w:rsidRPr="00835AA1">
        <w:rPr>
          <w:lang w:val="fr-FR"/>
        </w:rPr>
        <w:t> </w:t>
      </w:r>
      <w:r w:rsidRPr="00835AA1">
        <w:rPr>
          <w:lang w:val="fr-FR"/>
        </w:rPr>
        <w:t>examinateurs par langue pour assurer la continuité des opérations, quel que soit le nombre de demandes dans une langue donnée.</w:t>
      </w:r>
    </w:p>
    <w:p w14:paraId="4D800526" w14:textId="77777777" w:rsidR="00A419D0" w:rsidRPr="00835AA1" w:rsidRDefault="00A419D0" w:rsidP="00A419D0">
      <w:pPr>
        <w:pStyle w:val="ONUMFS"/>
        <w:numPr>
          <w:ilvl w:val="0"/>
          <w:numId w:val="0"/>
        </w:numPr>
        <w:rPr>
          <w:lang w:val="fr-FR"/>
        </w:rPr>
      </w:pPr>
    </w:p>
    <w:p w14:paraId="7FE60001" w14:textId="64DA1D08" w:rsidR="002E3178" w:rsidRPr="00835AA1" w:rsidRDefault="00B111B4" w:rsidP="00B34648">
      <w:pPr>
        <w:pStyle w:val="ONUMFS"/>
        <w:rPr>
          <w:lang w:val="fr-FR"/>
        </w:rPr>
      </w:pPr>
      <w:r w:rsidRPr="00835AA1">
        <w:rPr>
          <w:lang w:val="fr-FR"/>
        </w:rPr>
        <w:lastRenderedPageBreak/>
        <w:t xml:space="preserve">À cet égard, </w:t>
      </w:r>
      <w:r w:rsidR="00A23954" w:rsidRPr="00835AA1">
        <w:rPr>
          <w:lang w:val="fr-FR"/>
        </w:rPr>
        <w:t>l</w:t>
      </w:r>
      <w:r w:rsidR="002E3178" w:rsidRPr="00835AA1">
        <w:rPr>
          <w:lang w:val="fr-FR"/>
        </w:rPr>
        <w:t>’</w:t>
      </w:r>
      <w:r w:rsidR="00A23954" w:rsidRPr="00835AA1">
        <w:rPr>
          <w:lang w:val="fr-FR"/>
        </w:rPr>
        <w:t>option</w:t>
      </w:r>
      <w:r w:rsidR="003E7B52">
        <w:rPr>
          <w:lang w:val="fr-FR"/>
        </w:rPr>
        <w:t> </w:t>
      </w:r>
      <w:r w:rsidR="005829EF" w:rsidRPr="00835AA1">
        <w:rPr>
          <w:lang w:val="fr-FR"/>
        </w:rPr>
        <w:t>“</w:t>
      </w:r>
      <w:r w:rsidR="00A23954" w:rsidRPr="00835AA1">
        <w:rPr>
          <w:lang w:val="fr-FR"/>
        </w:rPr>
        <w:t>A</w:t>
      </w:r>
      <w:r w:rsidR="005829EF" w:rsidRPr="00835AA1">
        <w:rPr>
          <w:lang w:val="fr-FR"/>
        </w:rPr>
        <w:t>”</w:t>
      </w:r>
      <w:r w:rsidR="00A23954" w:rsidRPr="00835AA1">
        <w:rPr>
          <w:lang w:val="fr-FR"/>
        </w:rPr>
        <w:t xml:space="preserve"> suppose que l</w:t>
      </w:r>
      <w:r w:rsidRPr="00835AA1">
        <w:rPr>
          <w:lang w:val="fr-FR"/>
        </w:rPr>
        <w:t>es demandes déposées dans les nouvelles langues s</w:t>
      </w:r>
      <w:r w:rsidR="00A23954" w:rsidRPr="00835AA1">
        <w:rPr>
          <w:lang w:val="fr-FR"/>
        </w:rPr>
        <w:t>o</w:t>
      </w:r>
      <w:r w:rsidRPr="00835AA1">
        <w:rPr>
          <w:lang w:val="fr-FR"/>
        </w:rPr>
        <w:t>ient traduites par le Bureau international dans l</w:t>
      </w:r>
      <w:r w:rsidR="002E3178" w:rsidRPr="00835AA1">
        <w:rPr>
          <w:lang w:val="fr-FR"/>
        </w:rPr>
        <w:t>’</w:t>
      </w:r>
      <w:r w:rsidRPr="00835AA1">
        <w:rPr>
          <w:lang w:val="fr-FR"/>
        </w:rPr>
        <w:t>une des trois</w:t>
      </w:r>
      <w:r w:rsidR="007B26C3" w:rsidRPr="00835AA1">
        <w:rPr>
          <w:lang w:val="fr-FR"/>
        </w:rPr>
        <w:t> </w:t>
      </w:r>
      <w:r w:rsidRPr="00835AA1">
        <w:rPr>
          <w:lang w:val="fr-FR"/>
        </w:rPr>
        <w:t>langues actuellement utilisées pour l</w:t>
      </w:r>
      <w:r w:rsidR="002E3178" w:rsidRPr="00835AA1">
        <w:rPr>
          <w:lang w:val="fr-FR"/>
        </w:rPr>
        <w:t>’</w:t>
      </w:r>
      <w:r w:rsidRPr="00835AA1">
        <w:rPr>
          <w:lang w:val="fr-FR"/>
        </w:rPr>
        <w:t>exam</w:t>
      </w:r>
      <w:r w:rsidR="00A541B2" w:rsidRPr="00835AA1">
        <w:rPr>
          <w:lang w:val="fr-FR"/>
        </w:rPr>
        <w:t>en.  La</w:t>
      </w:r>
      <w:r w:rsidRPr="00835AA1">
        <w:rPr>
          <w:lang w:val="fr-FR"/>
        </w:rPr>
        <w:t xml:space="preserve"> grande majorité des demandes devraient être examinées en anglais, soit en tant que langue de dépôt par défaut, soit en tant que langue choisie par le déposant pour l</w:t>
      </w:r>
      <w:r w:rsidR="002E3178" w:rsidRPr="00835AA1">
        <w:rPr>
          <w:lang w:val="fr-FR"/>
        </w:rPr>
        <w:t>’</w:t>
      </w:r>
      <w:r w:rsidRPr="00835AA1">
        <w:rPr>
          <w:lang w:val="fr-FR"/>
        </w:rPr>
        <w:t>exam</w:t>
      </w:r>
      <w:r w:rsidR="00A541B2" w:rsidRPr="00835AA1">
        <w:rPr>
          <w:lang w:val="fr-FR"/>
        </w:rPr>
        <w:t>en.  Ma</w:t>
      </w:r>
      <w:r w:rsidRPr="00835AA1">
        <w:rPr>
          <w:lang w:val="fr-FR"/>
        </w:rPr>
        <w:t>intenir l</w:t>
      </w:r>
      <w:r w:rsidR="002E3178" w:rsidRPr="00835AA1">
        <w:rPr>
          <w:lang w:val="fr-FR"/>
        </w:rPr>
        <w:t>’</w:t>
      </w:r>
      <w:r w:rsidR="00245CB2" w:rsidRPr="00835AA1">
        <w:rPr>
          <w:lang w:val="fr-FR"/>
        </w:rPr>
        <w:t xml:space="preserve">actuel </w:t>
      </w:r>
      <w:r w:rsidRPr="00835AA1">
        <w:rPr>
          <w:lang w:val="fr-FR"/>
        </w:rPr>
        <w:t xml:space="preserve">système </w:t>
      </w:r>
      <w:r w:rsidR="00A23954" w:rsidRPr="00835AA1">
        <w:rPr>
          <w:lang w:val="fr-FR"/>
        </w:rPr>
        <w:t>d</w:t>
      </w:r>
      <w:r w:rsidR="002E3178" w:rsidRPr="00835AA1">
        <w:rPr>
          <w:lang w:val="fr-FR"/>
        </w:rPr>
        <w:t>’</w:t>
      </w:r>
      <w:r w:rsidR="00A23954" w:rsidRPr="00835AA1">
        <w:rPr>
          <w:lang w:val="fr-FR"/>
        </w:rPr>
        <w:t>examen</w:t>
      </w:r>
      <w:r w:rsidRPr="00835AA1">
        <w:rPr>
          <w:lang w:val="fr-FR"/>
        </w:rPr>
        <w:t xml:space="preserve"> en trois</w:t>
      </w:r>
      <w:r w:rsidR="007B26C3" w:rsidRPr="00835AA1">
        <w:rPr>
          <w:lang w:val="fr-FR"/>
        </w:rPr>
        <w:t> </w:t>
      </w:r>
      <w:r w:rsidRPr="00835AA1">
        <w:rPr>
          <w:lang w:val="fr-FR"/>
        </w:rPr>
        <w:t>langues sans avoir à procéder à de</w:t>
      </w:r>
      <w:r w:rsidR="00A23954" w:rsidRPr="00835AA1">
        <w:rPr>
          <w:lang w:val="fr-FR"/>
        </w:rPr>
        <w:t xml:space="preserve"> quelconque</w:t>
      </w:r>
      <w:r w:rsidRPr="00835AA1">
        <w:rPr>
          <w:lang w:val="fr-FR"/>
        </w:rPr>
        <w:t>s ajustements pour l</w:t>
      </w:r>
      <w:r w:rsidR="002E3178" w:rsidRPr="00835AA1">
        <w:rPr>
          <w:lang w:val="fr-FR"/>
        </w:rPr>
        <w:t>’</w:t>
      </w:r>
      <w:r w:rsidRPr="00835AA1">
        <w:rPr>
          <w:lang w:val="fr-FR"/>
        </w:rPr>
        <w:t xml:space="preserve">adjonction de nouvelles langues – ainsi que le </w:t>
      </w:r>
      <w:r w:rsidR="00A23954" w:rsidRPr="00835AA1">
        <w:rPr>
          <w:lang w:val="fr-FR"/>
        </w:rPr>
        <w:t>suppose</w:t>
      </w:r>
      <w:r w:rsidRPr="00835AA1">
        <w:rPr>
          <w:lang w:val="fr-FR"/>
        </w:rPr>
        <w:t xml:space="preserve"> l</w:t>
      </w:r>
      <w:r w:rsidR="002E3178" w:rsidRPr="00835AA1">
        <w:rPr>
          <w:lang w:val="fr-FR"/>
        </w:rPr>
        <w:t>’</w:t>
      </w:r>
      <w:r w:rsidR="00A23954" w:rsidRPr="00835AA1">
        <w:rPr>
          <w:lang w:val="fr-FR"/>
        </w:rPr>
        <w:t>o</w:t>
      </w:r>
      <w:r w:rsidRPr="00835AA1">
        <w:rPr>
          <w:lang w:val="fr-FR"/>
        </w:rPr>
        <w:t>ption</w:t>
      </w:r>
      <w:r w:rsidR="00B34648">
        <w:rPr>
          <w:lang w:val="fr-FR"/>
        </w:rPr>
        <w:t> </w:t>
      </w:r>
      <w:r w:rsidR="005829EF" w:rsidRPr="00835AA1">
        <w:rPr>
          <w:lang w:val="fr-FR"/>
        </w:rPr>
        <w:t>“</w:t>
      </w:r>
      <w:r w:rsidRPr="00835AA1">
        <w:rPr>
          <w:lang w:val="fr-FR"/>
        </w:rPr>
        <w:t>A</w:t>
      </w:r>
      <w:r w:rsidR="005829EF" w:rsidRPr="00835AA1">
        <w:rPr>
          <w:lang w:val="fr-FR"/>
        </w:rPr>
        <w:t>”</w:t>
      </w:r>
      <w:r w:rsidR="00A23954" w:rsidRPr="00835AA1">
        <w:rPr>
          <w:lang w:val="fr-FR"/>
        </w:rPr>
        <w:t xml:space="preserve"> </w:t>
      </w:r>
      <w:r w:rsidRPr="00835AA1">
        <w:rPr>
          <w:lang w:val="fr-FR"/>
        </w:rPr>
        <w:t>– aurait le moins d</w:t>
      </w:r>
      <w:r w:rsidR="002E3178" w:rsidRPr="00835AA1">
        <w:rPr>
          <w:lang w:val="fr-FR"/>
        </w:rPr>
        <w:t>’</w:t>
      </w:r>
      <w:r w:rsidRPr="00835AA1">
        <w:rPr>
          <w:lang w:val="fr-FR"/>
        </w:rPr>
        <w:t>incidence sur la productivité quotidien</w:t>
      </w:r>
      <w:r w:rsidR="00A541B2" w:rsidRPr="00835AA1">
        <w:rPr>
          <w:lang w:val="fr-FR"/>
        </w:rPr>
        <w:t>ne.  On</w:t>
      </w:r>
      <w:r w:rsidRPr="00835AA1">
        <w:rPr>
          <w:lang w:val="fr-FR"/>
        </w:rPr>
        <w:t xml:space="preserve"> estime que plus de</w:t>
      </w:r>
      <w:r w:rsidR="00E11761">
        <w:rPr>
          <w:lang w:val="fr-FR"/>
        </w:rPr>
        <w:t> </w:t>
      </w:r>
      <w:r w:rsidRPr="00835AA1">
        <w:rPr>
          <w:lang w:val="fr-FR"/>
        </w:rPr>
        <w:t>95% du travail</w:t>
      </w:r>
      <w:r w:rsidR="00A23954" w:rsidRPr="00835AA1">
        <w:rPr>
          <w:lang w:val="fr-FR"/>
        </w:rPr>
        <w:t xml:space="preserve"> d</w:t>
      </w:r>
      <w:r w:rsidR="002E3178" w:rsidRPr="00835AA1">
        <w:rPr>
          <w:lang w:val="fr-FR"/>
        </w:rPr>
        <w:t>’</w:t>
      </w:r>
      <w:r w:rsidRPr="00835AA1">
        <w:rPr>
          <w:lang w:val="fr-FR"/>
        </w:rPr>
        <w:t xml:space="preserve">examen et de coordination du système de </w:t>
      </w:r>
      <w:r w:rsidR="002E3178" w:rsidRPr="00835AA1">
        <w:rPr>
          <w:lang w:val="fr-FR"/>
        </w:rPr>
        <w:t>La Haye</w:t>
      </w:r>
      <w:r w:rsidRPr="00835AA1">
        <w:rPr>
          <w:lang w:val="fr-FR"/>
        </w:rPr>
        <w:t xml:space="preserve"> </w:t>
      </w:r>
      <w:r w:rsidR="00A23954" w:rsidRPr="00835AA1">
        <w:rPr>
          <w:lang w:val="fr-FR"/>
        </w:rPr>
        <w:t xml:space="preserve">est effectué </w:t>
      </w:r>
      <w:r w:rsidRPr="00835AA1">
        <w:rPr>
          <w:lang w:val="fr-FR"/>
        </w:rPr>
        <w:t>en anglais, puisque l</w:t>
      </w:r>
      <w:r w:rsidR="002E3178" w:rsidRPr="00835AA1">
        <w:rPr>
          <w:lang w:val="fr-FR"/>
        </w:rPr>
        <w:t>’</w:t>
      </w:r>
      <w:r w:rsidRPr="00835AA1">
        <w:rPr>
          <w:lang w:val="fr-FR"/>
        </w:rPr>
        <w:t>anglais est la première ou la seconde langue de tous les examinateurs.</w:t>
      </w:r>
    </w:p>
    <w:p w14:paraId="359B2CC9" w14:textId="77777777" w:rsidR="008844A6" w:rsidRPr="00B34648" w:rsidRDefault="00B34648" w:rsidP="00B34648">
      <w:pPr>
        <w:pStyle w:val="Heading2"/>
      </w:pPr>
      <w:r>
        <w:t>S</w:t>
      </w:r>
      <w:r w:rsidRPr="00B34648">
        <w:t>ervice à la clientèle et relations avec les clients</w:t>
      </w:r>
    </w:p>
    <w:p w14:paraId="1D11EFC4" w14:textId="77777777" w:rsidR="008844A6" w:rsidRPr="00835AA1" w:rsidRDefault="00B111B4" w:rsidP="00B34648">
      <w:pPr>
        <w:pStyle w:val="ONUMFS"/>
        <w:rPr>
          <w:lang w:val="fr-FR"/>
        </w:rPr>
      </w:pPr>
      <w:r w:rsidRPr="00835AA1">
        <w:rPr>
          <w:lang w:val="fr-FR"/>
        </w:rPr>
        <w:t>En</w:t>
      </w:r>
      <w:r w:rsidR="00A23954" w:rsidRPr="00835AA1">
        <w:rPr>
          <w:lang w:val="fr-FR"/>
        </w:rPr>
        <w:t>tre</w:t>
      </w:r>
      <w:r w:rsidRPr="00835AA1">
        <w:rPr>
          <w:lang w:val="fr-FR"/>
        </w:rPr>
        <w:t xml:space="preserve"> </w:t>
      </w:r>
      <w:r w:rsidR="00A23954" w:rsidRPr="00835AA1">
        <w:rPr>
          <w:lang w:val="fr-FR"/>
        </w:rPr>
        <w:t>janvier et septembre</w:t>
      </w:r>
      <w:r w:rsidR="005829EF" w:rsidRPr="00835AA1">
        <w:rPr>
          <w:lang w:val="fr-FR"/>
        </w:rPr>
        <w:t> </w:t>
      </w:r>
      <w:r w:rsidR="00A23954" w:rsidRPr="00835AA1">
        <w:rPr>
          <w:lang w:val="fr-FR"/>
        </w:rPr>
        <w:t xml:space="preserve">2020 </w:t>
      </w:r>
      <w:r w:rsidRPr="00835AA1">
        <w:rPr>
          <w:lang w:val="fr-FR"/>
        </w:rPr>
        <w:t>(neuf mois), le Service d</w:t>
      </w:r>
      <w:r w:rsidR="002E3178" w:rsidRPr="00835AA1">
        <w:rPr>
          <w:lang w:val="fr-FR"/>
        </w:rPr>
        <w:t>’</w:t>
      </w:r>
      <w:r w:rsidRPr="00835AA1">
        <w:rPr>
          <w:lang w:val="fr-FR"/>
        </w:rPr>
        <w:t xml:space="preserve">enregistrement de </w:t>
      </w:r>
      <w:r w:rsidR="002E3178" w:rsidRPr="00835AA1">
        <w:rPr>
          <w:lang w:val="fr-FR"/>
        </w:rPr>
        <w:t>La Haye</w:t>
      </w:r>
      <w:r w:rsidRPr="00835AA1">
        <w:rPr>
          <w:lang w:val="fr-FR"/>
        </w:rPr>
        <w:t xml:space="preserve"> a reçu environ 5853</w:t>
      </w:r>
      <w:r w:rsidR="005829EF" w:rsidRPr="00835AA1">
        <w:rPr>
          <w:lang w:val="fr-FR"/>
        </w:rPr>
        <w:t> </w:t>
      </w:r>
      <w:r w:rsidRPr="00835AA1">
        <w:rPr>
          <w:lang w:val="fr-FR"/>
        </w:rPr>
        <w:t>demandes, soit une moyenne mensuelle de 650</w:t>
      </w:r>
      <w:r w:rsidR="005829EF" w:rsidRPr="00835AA1">
        <w:rPr>
          <w:lang w:val="fr-FR"/>
        </w:rPr>
        <w:t> </w:t>
      </w:r>
      <w:r w:rsidRPr="00835AA1">
        <w:rPr>
          <w:lang w:val="fr-FR"/>
        </w:rPr>
        <w:t>demandes, par l</w:t>
      </w:r>
      <w:r w:rsidR="002E3178" w:rsidRPr="00835AA1">
        <w:rPr>
          <w:lang w:val="fr-FR"/>
        </w:rPr>
        <w:t>’</w:t>
      </w:r>
      <w:r w:rsidRPr="00835AA1">
        <w:rPr>
          <w:lang w:val="fr-FR"/>
        </w:rPr>
        <w:t>intermédiaire de trois</w:t>
      </w:r>
      <w:r w:rsidR="007B26C3" w:rsidRPr="00835AA1">
        <w:rPr>
          <w:lang w:val="fr-FR"/>
        </w:rPr>
        <w:t> </w:t>
      </w:r>
      <w:r w:rsidRPr="00835AA1">
        <w:rPr>
          <w:lang w:val="fr-FR"/>
        </w:rPr>
        <w:t>voies de communication</w:t>
      </w:r>
      <w:r w:rsidR="002E3178" w:rsidRPr="00835AA1">
        <w:rPr>
          <w:lang w:val="fr-FR"/>
        </w:rPr>
        <w:t> :</w:t>
      </w:r>
      <w:r w:rsidRPr="00835AA1">
        <w:rPr>
          <w:lang w:val="fr-FR"/>
        </w:rPr>
        <w:t xml:space="preserve"> i)</w:t>
      </w:r>
      <w:r w:rsidR="007B26C3" w:rsidRPr="00835AA1">
        <w:rPr>
          <w:lang w:val="fr-FR"/>
        </w:rPr>
        <w:t> </w:t>
      </w:r>
      <w:r w:rsidRPr="00835AA1">
        <w:rPr>
          <w:lang w:val="fr-FR"/>
        </w:rPr>
        <w:t>en ligne</w:t>
      </w:r>
      <w:r w:rsidR="003614E0" w:rsidRPr="00835AA1">
        <w:rPr>
          <w:lang w:val="fr-FR"/>
        </w:rPr>
        <w:t>,</w:t>
      </w:r>
      <w:r w:rsidRPr="00835AA1">
        <w:rPr>
          <w:lang w:val="fr-FR"/>
        </w:rPr>
        <w:t xml:space="preserve"> par </w:t>
      </w:r>
      <w:r w:rsidR="00A23954" w:rsidRPr="00835AA1">
        <w:rPr>
          <w:lang w:val="fr-FR"/>
        </w:rPr>
        <w:t>l</w:t>
      </w:r>
      <w:r w:rsidRPr="00835AA1">
        <w:rPr>
          <w:lang w:val="fr-FR"/>
        </w:rPr>
        <w:t>e</w:t>
      </w:r>
      <w:r w:rsidR="00A23954" w:rsidRPr="00835AA1">
        <w:rPr>
          <w:lang w:val="fr-FR"/>
        </w:rPr>
        <w:t xml:space="preserve"> service</w:t>
      </w:r>
      <w:r w:rsidRPr="00835AA1">
        <w:rPr>
          <w:lang w:val="fr-FR"/>
        </w:rPr>
        <w:t xml:space="preserve"> </w:t>
      </w:r>
      <w:r w:rsidRPr="00171D46">
        <w:rPr>
          <w:i/>
          <w:lang w:val="fr-FR"/>
        </w:rPr>
        <w:t>Contact Hague</w:t>
      </w:r>
      <w:r w:rsidRPr="00835AA1">
        <w:rPr>
          <w:lang w:val="fr-FR"/>
        </w:rPr>
        <w:t>, ii)</w:t>
      </w:r>
      <w:r w:rsidR="007B26C3" w:rsidRPr="00835AA1">
        <w:rPr>
          <w:lang w:val="fr-FR"/>
        </w:rPr>
        <w:t> </w:t>
      </w:r>
      <w:r w:rsidRPr="00835AA1">
        <w:rPr>
          <w:lang w:val="fr-FR"/>
        </w:rPr>
        <w:t>par téléphone et iii)</w:t>
      </w:r>
      <w:r w:rsidR="007B26C3" w:rsidRPr="00835AA1">
        <w:rPr>
          <w:lang w:val="fr-FR"/>
        </w:rPr>
        <w:t> </w:t>
      </w:r>
      <w:r w:rsidRPr="00835AA1">
        <w:rPr>
          <w:lang w:val="fr-FR"/>
        </w:rPr>
        <w:t>par courrier électronique.</w:t>
      </w:r>
    </w:p>
    <w:p w14:paraId="5427F663" w14:textId="77777777" w:rsidR="008844A6" w:rsidRPr="00835AA1" w:rsidRDefault="00245CB2" w:rsidP="00B34648">
      <w:pPr>
        <w:pStyle w:val="ONUMFS"/>
        <w:rPr>
          <w:lang w:val="fr-FR"/>
        </w:rPr>
      </w:pPr>
      <w:r w:rsidRPr="00835AA1">
        <w:rPr>
          <w:lang w:val="fr-FR"/>
        </w:rPr>
        <w:t>Les réponses et autres</w:t>
      </w:r>
      <w:r w:rsidR="003614E0" w:rsidRPr="00835AA1">
        <w:rPr>
          <w:lang w:val="fr-FR"/>
        </w:rPr>
        <w:t xml:space="preserve"> échanges avec les clients par c</w:t>
      </w:r>
      <w:r w:rsidRPr="00835AA1">
        <w:rPr>
          <w:lang w:val="fr-FR"/>
        </w:rPr>
        <w:t xml:space="preserve">es voies de communication sont effectués par le Service à la clientèle du système de </w:t>
      </w:r>
      <w:r w:rsidR="002E3178" w:rsidRPr="00835AA1">
        <w:rPr>
          <w:lang w:val="fr-FR"/>
        </w:rPr>
        <w:t>La Haye</w:t>
      </w:r>
      <w:r w:rsidRPr="00835AA1">
        <w:rPr>
          <w:lang w:val="fr-FR"/>
        </w:rPr>
        <w:t xml:space="preserve"> (qui relève du Service d</w:t>
      </w:r>
      <w:r w:rsidR="002E3178" w:rsidRPr="00835AA1">
        <w:rPr>
          <w:lang w:val="fr-FR"/>
        </w:rPr>
        <w:t>’</w:t>
      </w:r>
      <w:r w:rsidRPr="00835AA1">
        <w:rPr>
          <w:lang w:val="fr-FR"/>
        </w:rPr>
        <w:t xml:space="preserve">enregistrement de </w:t>
      </w:r>
      <w:r w:rsidR="002E3178" w:rsidRPr="00835AA1">
        <w:rPr>
          <w:lang w:val="fr-FR"/>
        </w:rPr>
        <w:t>La Haye</w:t>
      </w:r>
      <w:r w:rsidRPr="00835AA1">
        <w:rPr>
          <w:lang w:val="fr-FR"/>
        </w:rPr>
        <w:t xml:space="preserve">) dans la langue </w:t>
      </w:r>
      <w:r w:rsidR="003614E0" w:rsidRPr="00835AA1">
        <w:rPr>
          <w:lang w:val="fr-FR"/>
        </w:rPr>
        <w:t>de réception des</w:t>
      </w:r>
      <w:r w:rsidRPr="00835AA1">
        <w:rPr>
          <w:lang w:val="fr-FR"/>
        </w:rPr>
        <w:t xml:space="preserve"> demandes, c</w:t>
      </w:r>
      <w:r w:rsidR="002E3178" w:rsidRPr="00835AA1">
        <w:rPr>
          <w:lang w:val="fr-FR"/>
        </w:rPr>
        <w:t>’</w:t>
      </w:r>
      <w:r w:rsidRPr="00835AA1">
        <w:rPr>
          <w:lang w:val="fr-FR"/>
        </w:rPr>
        <w:t>est</w:t>
      </w:r>
      <w:r w:rsidR="003813B1" w:rsidRPr="00835AA1">
        <w:rPr>
          <w:lang w:val="fr-FR"/>
        </w:rPr>
        <w:noBreakHyphen/>
      </w:r>
      <w:r w:rsidRPr="00835AA1">
        <w:rPr>
          <w:lang w:val="fr-FR"/>
        </w:rPr>
        <w:t>à</w:t>
      </w:r>
      <w:r w:rsidR="003813B1" w:rsidRPr="00835AA1">
        <w:rPr>
          <w:lang w:val="fr-FR"/>
        </w:rPr>
        <w:noBreakHyphen/>
      </w:r>
      <w:r w:rsidRPr="00835AA1">
        <w:rPr>
          <w:lang w:val="fr-FR"/>
        </w:rPr>
        <w:t xml:space="preserve">dire principalement </w:t>
      </w:r>
      <w:r w:rsidR="003614E0" w:rsidRPr="00835AA1">
        <w:rPr>
          <w:lang w:val="fr-FR"/>
        </w:rPr>
        <w:t>l</w:t>
      </w:r>
      <w:r w:rsidR="002E3178" w:rsidRPr="00835AA1">
        <w:rPr>
          <w:lang w:val="fr-FR"/>
        </w:rPr>
        <w:t>’</w:t>
      </w:r>
      <w:r w:rsidRPr="00835AA1">
        <w:rPr>
          <w:lang w:val="fr-FR"/>
        </w:rPr>
        <w:t xml:space="preserve">anglais et </w:t>
      </w:r>
      <w:r w:rsidR="003614E0" w:rsidRPr="00835AA1">
        <w:rPr>
          <w:lang w:val="fr-FR"/>
        </w:rPr>
        <w:t>le</w:t>
      </w:r>
      <w:r w:rsidRPr="00835AA1">
        <w:rPr>
          <w:lang w:val="fr-FR"/>
        </w:rPr>
        <w:t xml:space="preserve"> frança</w:t>
      </w:r>
      <w:r w:rsidR="00A541B2" w:rsidRPr="00835AA1">
        <w:rPr>
          <w:lang w:val="fr-FR"/>
        </w:rPr>
        <w:t>is.  De</w:t>
      </w:r>
      <w:r w:rsidRPr="00835AA1">
        <w:rPr>
          <w:lang w:val="fr-FR"/>
        </w:rPr>
        <w:t>ux</w:t>
      </w:r>
      <w:r w:rsidR="007B26C3" w:rsidRPr="00835AA1">
        <w:rPr>
          <w:lang w:val="fr-FR"/>
        </w:rPr>
        <w:t> </w:t>
      </w:r>
      <w:r w:rsidRPr="00835AA1">
        <w:rPr>
          <w:lang w:val="fr-FR"/>
        </w:rPr>
        <w:t>fonctionnaires à plein temps</w:t>
      </w:r>
      <w:r w:rsidR="003614E0" w:rsidRPr="00835AA1">
        <w:rPr>
          <w:lang w:val="fr-FR"/>
        </w:rPr>
        <w:t>, avec des compétences linguistiques en français et en anglais,</w:t>
      </w:r>
      <w:r w:rsidRPr="00835AA1">
        <w:rPr>
          <w:lang w:val="fr-FR"/>
        </w:rPr>
        <w:t xml:space="preserve"> sont actuellement chargés de traiter </w:t>
      </w:r>
      <w:r w:rsidR="003614E0" w:rsidRPr="00835AA1">
        <w:rPr>
          <w:lang w:val="fr-FR"/>
        </w:rPr>
        <w:t>ces demand</w:t>
      </w:r>
      <w:r w:rsidR="00A541B2" w:rsidRPr="00835AA1">
        <w:rPr>
          <w:lang w:val="fr-FR"/>
        </w:rPr>
        <w:t>es.  En</w:t>
      </w:r>
      <w:r w:rsidRPr="00835AA1">
        <w:rPr>
          <w:lang w:val="fr-FR"/>
        </w:rPr>
        <w:t xml:space="preserve"> outre, </w:t>
      </w:r>
      <w:r w:rsidR="003614E0" w:rsidRPr="00835AA1">
        <w:rPr>
          <w:lang w:val="fr-FR"/>
        </w:rPr>
        <w:t>la moitié</w:t>
      </w:r>
      <w:r w:rsidRPr="00835AA1">
        <w:rPr>
          <w:lang w:val="fr-FR"/>
        </w:rPr>
        <w:t xml:space="preserve"> d</w:t>
      </w:r>
      <w:r w:rsidR="002E3178" w:rsidRPr="00835AA1">
        <w:rPr>
          <w:lang w:val="fr-FR"/>
        </w:rPr>
        <w:t>’</w:t>
      </w:r>
      <w:r w:rsidRPr="00835AA1">
        <w:rPr>
          <w:lang w:val="fr-FR"/>
        </w:rPr>
        <w:t xml:space="preserve">un poste à plein temps </w:t>
      </w:r>
      <w:r w:rsidR="003614E0" w:rsidRPr="00835AA1">
        <w:rPr>
          <w:lang w:val="fr-FR"/>
        </w:rPr>
        <w:t>de niveau</w:t>
      </w:r>
      <w:r w:rsidR="005829EF" w:rsidRPr="00835AA1">
        <w:rPr>
          <w:lang w:val="fr-FR"/>
        </w:rPr>
        <w:t> </w:t>
      </w:r>
      <w:r w:rsidR="003614E0" w:rsidRPr="00835AA1">
        <w:rPr>
          <w:lang w:val="fr-FR"/>
        </w:rPr>
        <w:t>P</w:t>
      </w:r>
      <w:r w:rsidR="003813B1" w:rsidRPr="00835AA1">
        <w:rPr>
          <w:lang w:val="fr-FR"/>
        </w:rPr>
        <w:noBreakHyphen/>
      </w:r>
      <w:r w:rsidR="003614E0" w:rsidRPr="00835AA1">
        <w:rPr>
          <w:lang w:val="fr-FR"/>
        </w:rPr>
        <w:t>2 est</w:t>
      </w:r>
      <w:r w:rsidRPr="00835AA1">
        <w:rPr>
          <w:lang w:val="fr-FR"/>
        </w:rPr>
        <w:t xml:space="preserve"> consacré</w:t>
      </w:r>
      <w:r w:rsidR="003614E0" w:rsidRPr="00835AA1">
        <w:rPr>
          <w:lang w:val="fr-FR"/>
        </w:rPr>
        <w:t>e</w:t>
      </w:r>
      <w:r w:rsidRPr="00835AA1">
        <w:rPr>
          <w:lang w:val="fr-FR"/>
        </w:rPr>
        <w:t xml:space="preserve"> à l</w:t>
      </w:r>
      <w:r w:rsidR="002E3178" w:rsidRPr="00835AA1">
        <w:rPr>
          <w:lang w:val="fr-FR"/>
        </w:rPr>
        <w:t>’</w:t>
      </w:r>
      <w:r w:rsidRPr="00835AA1">
        <w:rPr>
          <w:lang w:val="fr-FR"/>
        </w:rPr>
        <w:t xml:space="preserve">appui aux clients (par exemple, collecte et analyse de données, maintenance du service en ligne </w:t>
      </w:r>
      <w:r w:rsidRPr="00171D46">
        <w:rPr>
          <w:i/>
          <w:lang w:val="fr-FR"/>
        </w:rPr>
        <w:t>Contact Hague</w:t>
      </w:r>
      <w:r w:rsidRPr="00835AA1">
        <w:rPr>
          <w:lang w:val="fr-FR"/>
        </w:rPr>
        <w:t xml:space="preserve">, coordination concernant le matériel et la logistique, appui technique de premier niveau concernant les demandes </w:t>
      </w:r>
      <w:r w:rsidR="003614E0" w:rsidRPr="00835AA1">
        <w:rPr>
          <w:lang w:val="fr-FR"/>
        </w:rPr>
        <w:t>des clients</w:t>
      </w:r>
      <w:r w:rsidRPr="00835AA1">
        <w:rPr>
          <w:lang w:val="fr-FR"/>
        </w:rPr>
        <w:t>, etc.).</w:t>
      </w:r>
    </w:p>
    <w:p w14:paraId="1C24190C" w14:textId="77777777" w:rsidR="008844A6" w:rsidRPr="00835AA1" w:rsidRDefault="00245CB2" w:rsidP="00B34648">
      <w:pPr>
        <w:pStyle w:val="ONUMFS"/>
        <w:rPr>
          <w:lang w:val="fr-FR"/>
        </w:rPr>
      </w:pPr>
      <w:r w:rsidRPr="00835AA1">
        <w:rPr>
          <w:lang w:val="fr-FR"/>
        </w:rPr>
        <w:t xml:space="preserve">Si des langues supplémentaires devaient être introduites dans le système de </w:t>
      </w:r>
      <w:r w:rsidR="002E3178" w:rsidRPr="00835AA1">
        <w:rPr>
          <w:lang w:val="fr-FR"/>
        </w:rPr>
        <w:t>La Haye</w:t>
      </w:r>
      <w:r w:rsidRPr="00835AA1">
        <w:rPr>
          <w:lang w:val="fr-FR"/>
        </w:rPr>
        <w:t>, sous l</w:t>
      </w:r>
      <w:r w:rsidR="002E3178" w:rsidRPr="00835AA1">
        <w:rPr>
          <w:lang w:val="fr-FR"/>
        </w:rPr>
        <w:t>’</w:t>
      </w:r>
      <w:r w:rsidR="003E7B52">
        <w:rPr>
          <w:lang w:val="fr-FR"/>
        </w:rPr>
        <w:t>une quelconque des options </w:t>
      </w:r>
      <w:r w:rsidR="005829EF" w:rsidRPr="00835AA1">
        <w:rPr>
          <w:lang w:val="fr-FR"/>
        </w:rPr>
        <w:t>“</w:t>
      </w:r>
      <w:r w:rsidRPr="00835AA1">
        <w:rPr>
          <w:lang w:val="fr-FR"/>
        </w:rPr>
        <w:t>A</w:t>
      </w:r>
      <w:r w:rsidR="005829EF" w:rsidRPr="00835AA1">
        <w:rPr>
          <w:lang w:val="fr-FR"/>
        </w:rPr>
        <w:t>”</w:t>
      </w:r>
      <w:r w:rsidR="003E7B52">
        <w:rPr>
          <w:lang w:val="fr-FR"/>
        </w:rPr>
        <w:t xml:space="preserve"> à </w:t>
      </w:r>
      <w:r w:rsidR="005829EF" w:rsidRPr="00835AA1">
        <w:rPr>
          <w:lang w:val="fr-FR"/>
        </w:rPr>
        <w:t>“</w:t>
      </w:r>
      <w:r w:rsidRPr="00835AA1">
        <w:rPr>
          <w:lang w:val="fr-FR"/>
        </w:rPr>
        <w:t>E</w:t>
      </w:r>
      <w:r w:rsidR="005829EF" w:rsidRPr="00835AA1">
        <w:rPr>
          <w:lang w:val="fr-FR"/>
        </w:rPr>
        <w:t>”</w:t>
      </w:r>
      <w:r w:rsidRPr="00835AA1">
        <w:rPr>
          <w:lang w:val="fr-FR"/>
        </w:rPr>
        <w:t xml:space="preserve">, </w:t>
      </w:r>
      <w:r w:rsidR="003614E0" w:rsidRPr="00835AA1">
        <w:rPr>
          <w:lang w:val="fr-FR"/>
        </w:rPr>
        <w:t>un service à</w:t>
      </w:r>
      <w:r w:rsidRPr="00835AA1">
        <w:rPr>
          <w:lang w:val="fr-FR"/>
        </w:rPr>
        <w:t xml:space="preserve"> la clientèle devrait également être fourni dans ces langu</w:t>
      </w:r>
      <w:r w:rsidR="00A541B2" w:rsidRPr="00835AA1">
        <w:rPr>
          <w:lang w:val="fr-FR"/>
        </w:rPr>
        <w:t>es.  Bi</w:t>
      </w:r>
      <w:r w:rsidR="000F1687" w:rsidRPr="00835AA1">
        <w:rPr>
          <w:lang w:val="fr-FR"/>
        </w:rPr>
        <w:t>en que l</w:t>
      </w:r>
      <w:r w:rsidR="002E3178" w:rsidRPr="00835AA1">
        <w:rPr>
          <w:lang w:val="fr-FR"/>
        </w:rPr>
        <w:t>’</w:t>
      </w:r>
      <w:r w:rsidR="000F1687" w:rsidRPr="00835AA1">
        <w:rPr>
          <w:lang w:val="fr-FR"/>
        </w:rPr>
        <w:t xml:space="preserve">essentiel (environ 76%) des demandes des clients du système de </w:t>
      </w:r>
      <w:r w:rsidR="002E3178" w:rsidRPr="00835AA1">
        <w:rPr>
          <w:lang w:val="fr-FR"/>
        </w:rPr>
        <w:t>La Haye</w:t>
      </w:r>
      <w:r w:rsidR="000F1687" w:rsidRPr="00835AA1">
        <w:rPr>
          <w:lang w:val="fr-FR"/>
        </w:rPr>
        <w:t xml:space="preserve"> concernent des cas particuliers (demandes, enregistrements ou renouvellements) et que les autres </w:t>
      </w:r>
      <w:r w:rsidR="003614E0" w:rsidRPr="00835AA1">
        <w:rPr>
          <w:lang w:val="fr-FR"/>
        </w:rPr>
        <w:t xml:space="preserve">demandes </w:t>
      </w:r>
      <w:r w:rsidR="000F1687" w:rsidRPr="00835AA1">
        <w:rPr>
          <w:lang w:val="fr-FR"/>
        </w:rPr>
        <w:t>soient de nature générale (par exemple, demandes d</w:t>
      </w:r>
      <w:r w:rsidR="002E3178" w:rsidRPr="00835AA1">
        <w:rPr>
          <w:lang w:val="fr-FR"/>
        </w:rPr>
        <w:t>’</w:t>
      </w:r>
      <w:r w:rsidR="000F1687" w:rsidRPr="00835AA1">
        <w:rPr>
          <w:lang w:val="fr-FR"/>
        </w:rPr>
        <w:t xml:space="preserve">information, questions juridiques et techniques), il serait très difficile, compliqué, </w:t>
      </w:r>
      <w:r w:rsidR="003614E0" w:rsidRPr="00835AA1">
        <w:rPr>
          <w:lang w:val="fr-FR"/>
        </w:rPr>
        <w:t>voire</w:t>
      </w:r>
      <w:r w:rsidR="000F1687" w:rsidRPr="00835AA1">
        <w:rPr>
          <w:lang w:val="fr-FR"/>
        </w:rPr>
        <w:t xml:space="preserve"> impossible de faire la distinction entre les demandes concernant des cas particuliers et les demandes générales</w:t>
      </w:r>
      <w:r w:rsidR="003614E0" w:rsidRPr="00835AA1">
        <w:rPr>
          <w:lang w:val="fr-FR"/>
        </w:rPr>
        <w:t>,</w:t>
      </w:r>
      <w:r w:rsidR="000F1687" w:rsidRPr="00835AA1">
        <w:rPr>
          <w:lang w:val="fr-FR"/>
        </w:rPr>
        <w:t xml:space="preserve"> afin de déterminer la langue à utiliser pour aider les clien</w:t>
      </w:r>
      <w:r w:rsidR="00A541B2" w:rsidRPr="00835AA1">
        <w:rPr>
          <w:lang w:val="fr-FR"/>
        </w:rPr>
        <w:t>ts.  Pa</w:t>
      </w:r>
      <w:r w:rsidR="000F1687" w:rsidRPr="00835AA1">
        <w:rPr>
          <w:lang w:val="fr-FR"/>
        </w:rPr>
        <w:t>r exemple, si deux</w:t>
      </w:r>
      <w:r w:rsidR="007B26C3" w:rsidRPr="00835AA1">
        <w:rPr>
          <w:lang w:val="fr-FR"/>
        </w:rPr>
        <w:t> </w:t>
      </w:r>
      <w:r w:rsidR="000F1687" w:rsidRPr="00835AA1">
        <w:rPr>
          <w:lang w:val="fr-FR"/>
        </w:rPr>
        <w:t>nouvelles langues étaient ajoutées, sous l</w:t>
      </w:r>
      <w:r w:rsidR="002E3178" w:rsidRPr="00835AA1">
        <w:rPr>
          <w:lang w:val="fr-FR"/>
        </w:rPr>
        <w:t>’</w:t>
      </w:r>
      <w:r w:rsidR="000F1687" w:rsidRPr="00835AA1">
        <w:rPr>
          <w:lang w:val="fr-FR"/>
        </w:rPr>
        <w:t>une quelconque des</w:t>
      </w:r>
      <w:r w:rsidR="003E7B52">
        <w:rPr>
          <w:lang w:val="fr-FR"/>
        </w:rPr>
        <w:t xml:space="preserve"> options </w:t>
      </w:r>
      <w:r w:rsidR="005829EF" w:rsidRPr="00835AA1">
        <w:rPr>
          <w:lang w:val="fr-FR"/>
        </w:rPr>
        <w:t>“</w:t>
      </w:r>
      <w:r w:rsidR="000F1687" w:rsidRPr="00835AA1">
        <w:rPr>
          <w:lang w:val="fr-FR"/>
        </w:rPr>
        <w:t>A</w:t>
      </w:r>
      <w:r w:rsidR="005829EF" w:rsidRPr="00835AA1">
        <w:rPr>
          <w:lang w:val="fr-FR"/>
        </w:rPr>
        <w:t>”</w:t>
      </w:r>
      <w:r w:rsidR="003E7B52">
        <w:rPr>
          <w:lang w:val="fr-FR"/>
        </w:rPr>
        <w:t xml:space="preserve"> à </w:t>
      </w:r>
      <w:r w:rsidR="005829EF" w:rsidRPr="00835AA1">
        <w:rPr>
          <w:lang w:val="fr-FR"/>
        </w:rPr>
        <w:t>“</w:t>
      </w:r>
      <w:r w:rsidR="000F1687" w:rsidRPr="00835AA1">
        <w:rPr>
          <w:lang w:val="fr-FR"/>
        </w:rPr>
        <w:t>E</w:t>
      </w:r>
      <w:r w:rsidR="005829EF" w:rsidRPr="00835AA1">
        <w:rPr>
          <w:lang w:val="fr-FR"/>
        </w:rPr>
        <w:t>”</w:t>
      </w:r>
      <w:r w:rsidR="000F1687" w:rsidRPr="00835AA1">
        <w:rPr>
          <w:lang w:val="fr-FR"/>
        </w:rPr>
        <w:t>, l</w:t>
      </w:r>
      <w:r w:rsidR="002E3178" w:rsidRPr="00835AA1">
        <w:rPr>
          <w:lang w:val="fr-FR"/>
        </w:rPr>
        <w:t>’</w:t>
      </w:r>
      <w:r w:rsidR="000F1687" w:rsidRPr="00835AA1">
        <w:rPr>
          <w:lang w:val="fr-FR"/>
        </w:rPr>
        <w:t xml:space="preserve">interface </w:t>
      </w:r>
      <w:r w:rsidR="000F1687" w:rsidRPr="00171D46">
        <w:rPr>
          <w:i/>
          <w:lang w:val="fr-FR"/>
        </w:rPr>
        <w:t>Contact Hague</w:t>
      </w:r>
      <w:r w:rsidR="000F1687" w:rsidRPr="00835AA1">
        <w:rPr>
          <w:lang w:val="fr-FR"/>
        </w:rPr>
        <w:t xml:space="preserve"> devrait être </w:t>
      </w:r>
      <w:r w:rsidR="003614E0" w:rsidRPr="00835AA1">
        <w:rPr>
          <w:lang w:val="fr-FR"/>
        </w:rPr>
        <w:t>étendue</w:t>
      </w:r>
      <w:r w:rsidR="000F1687" w:rsidRPr="00835AA1">
        <w:rPr>
          <w:lang w:val="fr-FR"/>
        </w:rPr>
        <w:t xml:space="preserve"> pour inclure ces deux</w:t>
      </w:r>
      <w:r w:rsidR="007B26C3" w:rsidRPr="00835AA1">
        <w:rPr>
          <w:lang w:val="fr-FR"/>
        </w:rPr>
        <w:t> </w:t>
      </w:r>
      <w:r w:rsidR="000F1687" w:rsidRPr="00835AA1">
        <w:rPr>
          <w:lang w:val="fr-FR"/>
        </w:rPr>
        <w:t>langues supplémentaires, de manière à couvrir tous les types de demandes.</w:t>
      </w:r>
    </w:p>
    <w:p w14:paraId="2FE1961C" w14:textId="77777777" w:rsidR="008844A6" w:rsidRPr="00835AA1" w:rsidRDefault="000F1687" w:rsidP="00B34648">
      <w:pPr>
        <w:pStyle w:val="ONUMFS"/>
        <w:rPr>
          <w:lang w:val="fr-FR"/>
        </w:rPr>
      </w:pPr>
      <w:r w:rsidRPr="00835AA1">
        <w:rPr>
          <w:lang w:val="fr-FR"/>
        </w:rPr>
        <w:t>Cela étant, au titre de l</w:t>
      </w:r>
      <w:r w:rsidR="002E3178" w:rsidRPr="00835AA1">
        <w:rPr>
          <w:lang w:val="fr-FR"/>
        </w:rPr>
        <w:t>’</w:t>
      </w:r>
      <w:r w:rsidRPr="00835AA1">
        <w:rPr>
          <w:lang w:val="fr-FR"/>
        </w:rPr>
        <w:t>option de la langue de dépôt (option</w:t>
      </w:r>
      <w:r w:rsidR="003E7B52">
        <w:rPr>
          <w:lang w:val="fr-FR"/>
        </w:rPr>
        <w:t> </w:t>
      </w:r>
      <w:r w:rsidR="005829EF" w:rsidRPr="00835AA1">
        <w:rPr>
          <w:lang w:val="fr-FR"/>
        </w:rPr>
        <w:t>“</w:t>
      </w:r>
      <w:r w:rsidRPr="00835AA1">
        <w:rPr>
          <w:lang w:val="fr-FR"/>
        </w:rPr>
        <w:t>A</w:t>
      </w:r>
      <w:r w:rsidR="005829EF" w:rsidRPr="00835AA1">
        <w:rPr>
          <w:lang w:val="fr-FR"/>
        </w:rPr>
        <w:t>”</w:t>
      </w:r>
      <w:r w:rsidRPr="00835AA1">
        <w:rPr>
          <w:lang w:val="fr-FR"/>
        </w:rPr>
        <w:t>), même si la demande était déposée dans la nouvelle langue, le Bureau international examinerait et communiquerait avec le déposant dans la langue choisie par le déposant entre le français, l</w:t>
      </w:r>
      <w:r w:rsidR="002E3178" w:rsidRPr="00835AA1">
        <w:rPr>
          <w:lang w:val="fr-FR"/>
        </w:rPr>
        <w:t>’</w:t>
      </w:r>
      <w:r w:rsidRPr="00835AA1">
        <w:rPr>
          <w:lang w:val="fr-FR"/>
        </w:rPr>
        <w:t>anglais et l</w:t>
      </w:r>
      <w:r w:rsidR="002E3178" w:rsidRPr="00835AA1">
        <w:rPr>
          <w:lang w:val="fr-FR"/>
        </w:rPr>
        <w:t>’</w:t>
      </w:r>
      <w:r w:rsidRPr="00835AA1">
        <w:rPr>
          <w:lang w:val="fr-FR"/>
        </w:rPr>
        <w:t xml:space="preserve">espagnol </w:t>
      </w:r>
      <w:r w:rsidR="002E3178" w:rsidRPr="00835AA1">
        <w:rPr>
          <w:lang w:val="fr-FR"/>
        </w:rPr>
        <w:t>à l’égard</w:t>
      </w:r>
      <w:r w:rsidRPr="00835AA1">
        <w:rPr>
          <w:lang w:val="fr-FR"/>
        </w:rPr>
        <w:t xml:space="preserve"> de cette demande ou de l</w:t>
      </w:r>
      <w:r w:rsidR="002E3178" w:rsidRPr="00835AA1">
        <w:rPr>
          <w:lang w:val="fr-FR"/>
        </w:rPr>
        <w:t>’</w:t>
      </w:r>
      <w:r w:rsidRPr="00835AA1">
        <w:rPr>
          <w:lang w:val="fr-FR"/>
        </w:rPr>
        <w:t>enregistrement international en découla</w:t>
      </w:r>
      <w:r w:rsidR="00A541B2" w:rsidRPr="00835AA1">
        <w:rPr>
          <w:lang w:val="fr-FR"/>
        </w:rPr>
        <w:t>nt.  Co</w:t>
      </w:r>
      <w:r w:rsidRPr="00835AA1">
        <w:rPr>
          <w:lang w:val="fr-FR"/>
        </w:rPr>
        <w:t>mpte tenu de cette particularité, il serait utile d</w:t>
      </w:r>
      <w:r w:rsidR="002E3178" w:rsidRPr="00835AA1">
        <w:rPr>
          <w:lang w:val="fr-FR"/>
        </w:rPr>
        <w:t>’</w:t>
      </w:r>
      <w:r w:rsidRPr="00835AA1">
        <w:rPr>
          <w:lang w:val="fr-FR"/>
        </w:rPr>
        <w:t>examiner cette option de mise en œuvre avec ou sans mise à disposition d</w:t>
      </w:r>
      <w:r w:rsidR="002E3178" w:rsidRPr="00835AA1">
        <w:rPr>
          <w:lang w:val="fr-FR"/>
        </w:rPr>
        <w:t>’</w:t>
      </w:r>
      <w:r w:rsidRPr="00835AA1">
        <w:rPr>
          <w:lang w:val="fr-FR"/>
        </w:rPr>
        <w:t xml:space="preserve">un </w:t>
      </w:r>
      <w:r w:rsidR="003614E0" w:rsidRPr="00835AA1">
        <w:rPr>
          <w:lang w:val="fr-FR"/>
        </w:rPr>
        <w:t>service</w:t>
      </w:r>
      <w:r w:rsidRPr="00835AA1">
        <w:rPr>
          <w:lang w:val="fr-FR"/>
        </w:rPr>
        <w:t xml:space="preserve"> à la clientèle dans les nouvelles langues.</w:t>
      </w:r>
    </w:p>
    <w:p w14:paraId="7FE3188D" w14:textId="5F8D285C" w:rsidR="00E11761" w:rsidRDefault="000F1687" w:rsidP="00E11761">
      <w:pPr>
        <w:pStyle w:val="ONUMFS"/>
        <w:rPr>
          <w:lang w:val="fr-FR"/>
        </w:rPr>
      </w:pPr>
      <w:r w:rsidRPr="00835AA1">
        <w:rPr>
          <w:lang w:val="fr-FR"/>
        </w:rPr>
        <w:t>Ainsi qu</w:t>
      </w:r>
      <w:r w:rsidR="002E3178" w:rsidRPr="00835AA1">
        <w:rPr>
          <w:lang w:val="fr-FR"/>
        </w:rPr>
        <w:t>’</w:t>
      </w:r>
      <w:r w:rsidRPr="00835AA1">
        <w:rPr>
          <w:lang w:val="fr-FR"/>
        </w:rPr>
        <w:t>il est indiqué au paragraphe</w:t>
      </w:r>
      <w:r w:rsidR="005829EF" w:rsidRPr="00835AA1">
        <w:rPr>
          <w:lang w:val="fr-FR"/>
        </w:rPr>
        <w:t> </w:t>
      </w:r>
      <w:r w:rsidRPr="00835AA1">
        <w:rPr>
          <w:lang w:val="fr-FR"/>
        </w:rPr>
        <w:t>21, le Service d</w:t>
      </w:r>
      <w:r w:rsidR="002E3178" w:rsidRPr="00835AA1">
        <w:rPr>
          <w:lang w:val="fr-FR"/>
        </w:rPr>
        <w:t>’</w:t>
      </w:r>
      <w:r w:rsidRPr="00835AA1">
        <w:rPr>
          <w:lang w:val="fr-FR"/>
        </w:rPr>
        <w:t xml:space="preserve">enregistrement de </w:t>
      </w:r>
      <w:r w:rsidR="002E3178" w:rsidRPr="00835AA1">
        <w:rPr>
          <w:lang w:val="fr-FR"/>
        </w:rPr>
        <w:t>La Haye</w:t>
      </w:r>
      <w:r w:rsidRPr="00835AA1">
        <w:rPr>
          <w:lang w:val="fr-FR"/>
        </w:rPr>
        <w:t xml:space="preserve"> compte actuellement deux</w:t>
      </w:r>
      <w:r w:rsidR="007B26C3" w:rsidRPr="00835AA1">
        <w:rPr>
          <w:lang w:val="fr-FR"/>
        </w:rPr>
        <w:t> </w:t>
      </w:r>
      <w:r w:rsidRPr="00835AA1">
        <w:rPr>
          <w:lang w:val="fr-FR"/>
        </w:rPr>
        <w:t>fonctionnaires et demi exclusivement chargés de fournir un appui à la clientèle (un poste de grade</w:t>
      </w:r>
      <w:r w:rsidR="005829EF" w:rsidRPr="00835AA1">
        <w:rPr>
          <w:lang w:val="fr-FR"/>
        </w:rPr>
        <w:t> </w:t>
      </w:r>
      <w:r w:rsidRPr="00835AA1">
        <w:rPr>
          <w:lang w:val="fr-FR"/>
        </w:rPr>
        <w:t>G</w:t>
      </w:r>
      <w:r w:rsidR="00E11761">
        <w:rPr>
          <w:lang w:val="fr-FR"/>
        </w:rPr>
        <w:t>-</w:t>
      </w:r>
      <w:r w:rsidRPr="00835AA1">
        <w:rPr>
          <w:lang w:val="fr-FR"/>
        </w:rPr>
        <w:t>6 inscrit au budget ordinaire, un intérimaire et la moitié d</w:t>
      </w:r>
      <w:r w:rsidR="002E3178" w:rsidRPr="00835AA1">
        <w:rPr>
          <w:lang w:val="fr-FR"/>
        </w:rPr>
        <w:t>’</w:t>
      </w:r>
      <w:r w:rsidRPr="00835AA1">
        <w:rPr>
          <w:lang w:val="fr-FR"/>
        </w:rPr>
        <w:t>un poste temporaire de niveau</w:t>
      </w:r>
      <w:r w:rsidR="005829EF" w:rsidRPr="00835AA1">
        <w:rPr>
          <w:lang w:val="fr-FR"/>
        </w:rPr>
        <w:t> </w:t>
      </w:r>
      <w:r w:rsidRPr="00835AA1">
        <w:rPr>
          <w:lang w:val="fr-FR"/>
        </w:rPr>
        <w:t>P</w:t>
      </w:r>
      <w:r w:rsidR="003813B1" w:rsidRPr="00835AA1">
        <w:rPr>
          <w:lang w:val="fr-FR"/>
        </w:rPr>
        <w:noBreakHyphen/>
      </w:r>
      <w:r w:rsidRPr="00835AA1">
        <w:rPr>
          <w:lang w:val="fr-FR"/>
        </w:rPr>
        <w:t>2).</w:t>
      </w:r>
      <w:r w:rsidR="00915FBF" w:rsidRPr="00835AA1">
        <w:rPr>
          <w:lang w:val="fr-FR"/>
        </w:rPr>
        <w:t xml:space="preserve">  </w:t>
      </w:r>
      <w:r w:rsidRPr="00835AA1">
        <w:rPr>
          <w:lang w:val="fr-FR"/>
        </w:rPr>
        <w:t>Le coût standard annuel du poste</w:t>
      </w:r>
      <w:r w:rsidR="005829EF" w:rsidRPr="00835AA1">
        <w:rPr>
          <w:lang w:val="fr-FR"/>
        </w:rPr>
        <w:t> </w:t>
      </w:r>
      <w:r w:rsidRPr="00835AA1">
        <w:rPr>
          <w:lang w:val="fr-FR"/>
        </w:rPr>
        <w:t>G</w:t>
      </w:r>
      <w:r w:rsidR="00E11761">
        <w:rPr>
          <w:lang w:val="fr-FR"/>
        </w:rPr>
        <w:t>-</w:t>
      </w:r>
      <w:r w:rsidRPr="00835AA1">
        <w:rPr>
          <w:lang w:val="fr-FR"/>
        </w:rPr>
        <w:t>6 s</w:t>
      </w:r>
      <w:r w:rsidR="002E3178" w:rsidRPr="00835AA1">
        <w:rPr>
          <w:lang w:val="fr-FR"/>
        </w:rPr>
        <w:t>’</w:t>
      </w:r>
      <w:r w:rsidRPr="00835AA1">
        <w:rPr>
          <w:lang w:val="fr-FR"/>
        </w:rPr>
        <w:t>élève à environ</w:t>
      </w:r>
      <w:r w:rsidR="00E11761">
        <w:rPr>
          <w:lang w:val="fr-FR"/>
        </w:rPr>
        <w:t> </w:t>
      </w:r>
      <w:r w:rsidRPr="00835AA1">
        <w:rPr>
          <w:lang w:val="fr-FR"/>
        </w:rPr>
        <w:t>133</w:t>
      </w:r>
      <w:r w:rsidR="005829EF" w:rsidRPr="00835AA1">
        <w:rPr>
          <w:lang w:val="fr-FR"/>
        </w:rPr>
        <w:t> 000 </w:t>
      </w:r>
      <w:r w:rsidRPr="00835AA1">
        <w:rPr>
          <w:lang w:val="fr-FR"/>
        </w:rPr>
        <w:t>francs suisses</w:t>
      </w:r>
      <w:r w:rsidRPr="00835AA1">
        <w:rPr>
          <w:rStyle w:val="FootnoteReference"/>
          <w:lang w:val="fr-FR"/>
        </w:rPr>
        <w:footnoteReference w:id="11"/>
      </w:r>
      <w:r w:rsidRPr="00835AA1">
        <w:rPr>
          <w:lang w:val="fr-FR"/>
        </w:rPr>
        <w:t>, tandis que celui de l</w:t>
      </w:r>
      <w:r w:rsidR="002E3178" w:rsidRPr="00835AA1">
        <w:rPr>
          <w:lang w:val="fr-FR"/>
        </w:rPr>
        <w:t>’</w:t>
      </w:r>
      <w:r w:rsidRPr="00835AA1">
        <w:rPr>
          <w:lang w:val="fr-FR"/>
        </w:rPr>
        <w:t>intérimaire s</w:t>
      </w:r>
      <w:r w:rsidR="002E3178" w:rsidRPr="00835AA1">
        <w:rPr>
          <w:lang w:val="fr-FR"/>
        </w:rPr>
        <w:t>’</w:t>
      </w:r>
      <w:r w:rsidRPr="00835AA1">
        <w:rPr>
          <w:lang w:val="fr-FR"/>
        </w:rPr>
        <w:t>élève à environ</w:t>
      </w:r>
      <w:r w:rsidR="00E11761">
        <w:rPr>
          <w:lang w:val="fr-FR"/>
        </w:rPr>
        <w:t> </w:t>
      </w:r>
      <w:r w:rsidRPr="00835AA1">
        <w:rPr>
          <w:lang w:val="fr-FR"/>
        </w:rPr>
        <w:t>104</w:t>
      </w:r>
      <w:r w:rsidR="005829EF" w:rsidRPr="00835AA1">
        <w:rPr>
          <w:lang w:val="fr-FR"/>
        </w:rPr>
        <w:t> 000 </w:t>
      </w:r>
      <w:r w:rsidRPr="00835AA1">
        <w:rPr>
          <w:lang w:val="fr-FR"/>
        </w:rPr>
        <w:t>francs suiss</w:t>
      </w:r>
      <w:r w:rsidR="00A541B2" w:rsidRPr="00835AA1">
        <w:rPr>
          <w:lang w:val="fr-FR"/>
        </w:rPr>
        <w:t>es.  Ai</w:t>
      </w:r>
      <w:r w:rsidRPr="00835AA1">
        <w:rPr>
          <w:lang w:val="fr-FR"/>
        </w:rPr>
        <w:t xml:space="preserve">nsi, la </w:t>
      </w:r>
      <w:r w:rsidR="003614E0" w:rsidRPr="00835AA1">
        <w:rPr>
          <w:lang w:val="fr-FR"/>
        </w:rPr>
        <w:t>mise à disposition</w:t>
      </w:r>
      <w:r w:rsidRPr="00835AA1">
        <w:rPr>
          <w:lang w:val="fr-FR"/>
        </w:rPr>
        <w:t xml:space="preserve"> d</w:t>
      </w:r>
      <w:r w:rsidR="002E3178" w:rsidRPr="00835AA1">
        <w:rPr>
          <w:lang w:val="fr-FR"/>
        </w:rPr>
        <w:t>’</w:t>
      </w:r>
      <w:r w:rsidRPr="00835AA1">
        <w:rPr>
          <w:lang w:val="fr-FR"/>
        </w:rPr>
        <w:t xml:space="preserve">un service à la clientèle </w:t>
      </w:r>
      <w:r w:rsidR="003614E0" w:rsidRPr="00835AA1">
        <w:rPr>
          <w:lang w:val="fr-FR"/>
        </w:rPr>
        <w:t>à plein</w:t>
      </w:r>
    </w:p>
    <w:p w14:paraId="011E7FF8" w14:textId="77777777" w:rsidR="00E11761" w:rsidRDefault="00E11761">
      <w:pPr>
        <w:rPr>
          <w:lang w:val="fr-FR"/>
        </w:rPr>
      </w:pPr>
      <w:r>
        <w:rPr>
          <w:lang w:val="fr-FR"/>
        </w:rPr>
        <w:br w:type="page"/>
      </w:r>
    </w:p>
    <w:p w14:paraId="7C488536" w14:textId="4DC20FAE" w:rsidR="008844A6" w:rsidRPr="00835AA1" w:rsidRDefault="003614E0" w:rsidP="00A419D0">
      <w:pPr>
        <w:pStyle w:val="ONUMFS"/>
        <w:numPr>
          <w:ilvl w:val="0"/>
          <w:numId w:val="0"/>
        </w:numPr>
        <w:rPr>
          <w:lang w:val="fr-FR"/>
        </w:rPr>
      </w:pPr>
      <w:r w:rsidRPr="00E11761">
        <w:rPr>
          <w:lang w:val="fr-FR"/>
        </w:rPr>
        <w:lastRenderedPageBreak/>
        <w:t xml:space="preserve">temps </w:t>
      </w:r>
      <w:r w:rsidR="00A419D0" w:rsidRPr="00E11761">
        <w:rPr>
          <w:lang w:val="fr-FR"/>
        </w:rPr>
        <w:t>pour chaque</w:t>
      </w:r>
      <w:r w:rsidR="00E11761">
        <w:rPr>
          <w:lang w:val="fr-FR"/>
        </w:rPr>
        <w:t xml:space="preserve"> </w:t>
      </w:r>
      <w:r w:rsidR="000F1687" w:rsidRPr="00835AA1">
        <w:rPr>
          <w:lang w:val="fr-FR"/>
        </w:rPr>
        <w:t>langue nécessiterait un investissement compris entre 208</w:t>
      </w:r>
      <w:r w:rsidR="005829EF" w:rsidRPr="00835AA1">
        <w:rPr>
          <w:lang w:val="fr-FR"/>
        </w:rPr>
        <w:t> 000 </w:t>
      </w:r>
      <w:r w:rsidR="000F1687" w:rsidRPr="00835AA1">
        <w:rPr>
          <w:lang w:val="fr-FR"/>
        </w:rPr>
        <w:t>francs suisses (104</w:t>
      </w:r>
      <w:r w:rsidR="005829EF" w:rsidRPr="00835AA1">
        <w:rPr>
          <w:lang w:val="fr-FR"/>
        </w:rPr>
        <w:t> 000 </w:t>
      </w:r>
      <w:r w:rsidR="000F1687" w:rsidRPr="00835AA1">
        <w:rPr>
          <w:lang w:val="fr-FR"/>
        </w:rPr>
        <w:t>francs suisses x deux</w:t>
      </w:r>
      <w:r w:rsidR="007B26C3" w:rsidRPr="00835AA1">
        <w:rPr>
          <w:lang w:val="fr-FR"/>
        </w:rPr>
        <w:t> </w:t>
      </w:r>
      <w:r w:rsidR="000F1687" w:rsidRPr="00835AA1">
        <w:rPr>
          <w:lang w:val="fr-FR"/>
        </w:rPr>
        <w:t>intérimaires) et 266</w:t>
      </w:r>
      <w:r w:rsidR="005829EF" w:rsidRPr="00835AA1">
        <w:rPr>
          <w:lang w:val="fr-FR"/>
        </w:rPr>
        <w:t> 000 </w:t>
      </w:r>
      <w:r w:rsidR="000F1687" w:rsidRPr="00835AA1">
        <w:rPr>
          <w:lang w:val="fr-FR"/>
        </w:rPr>
        <w:t>francs suisses par</w:t>
      </w:r>
      <w:r w:rsidR="00E11761">
        <w:rPr>
          <w:lang w:val="fr-FR"/>
        </w:rPr>
        <w:t> </w:t>
      </w:r>
      <w:r w:rsidR="000F1687" w:rsidRPr="00835AA1">
        <w:rPr>
          <w:lang w:val="fr-FR"/>
        </w:rPr>
        <w:t>an</w:t>
      </w:r>
      <w:r w:rsidR="00E11761">
        <w:rPr>
          <w:lang w:val="fr-FR"/>
        </w:rPr>
        <w:t> </w:t>
      </w:r>
      <w:r w:rsidR="000F1687" w:rsidRPr="00835AA1">
        <w:rPr>
          <w:lang w:val="fr-FR"/>
        </w:rPr>
        <w:t>(133</w:t>
      </w:r>
      <w:r w:rsidR="005829EF" w:rsidRPr="00835AA1">
        <w:rPr>
          <w:lang w:val="fr-FR"/>
        </w:rPr>
        <w:t> 000 </w:t>
      </w:r>
      <w:r w:rsidR="000F1687" w:rsidRPr="00835AA1">
        <w:rPr>
          <w:lang w:val="fr-FR"/>
        </w:rPr>
        <w:t>francs suisses x deux</w:t>
      </w:r>
      <w:r w:rsidR="007B26C3" w:rsidRPr="00835AA1">
        <w:rPr>
          <w:lang w:val="fr-FR"/>
        </w:rPr>
        <w:t> </w:t>
      </w:r>
      <w:r w:rsidR="000F1687" w:rsidRPr="00835AA1">
        <w:rPr>
          <w:lang w:val="fr-FR"/>
        </w:rPr>
        <w:t>fonctionnaires de grade</w:t>
      </w:r>
      <w:r w:rsidR="005829EF" w:rsidRPr="00835AA1">
        <w:rPr>
          <w:lang w:val="fr-FR"/>
        </w:rPr>
        <w:t> </w:t>
      </w:r>
      <w:r w:rsidR="000F1687" w:rsidRPr="00835AA1">
        <w:rPr>
          <w:lang w:val="fr-FR"/>
        </w:rPr>
        <w:t>G</w:t>
      </w:r>
      <w:r w:rsidR="00864C45">
        <w:rPr>
          <w:lang w:val="fr-FR"/>
        </w:rPr>
        <w:t>-</w:t>
      </w:r>
      <w:r w:rsidR="000F1687" w:rsidRPr="00835AA1">
        <w:rPr>
          <w:lang w:val="fr-FR"/>
        </w:rPr>
        <w:t>6).</w:t>
      </w:r>
      <w:r w:rsidR="00915FBF" w:rsidRPr="00835AA1">
        <w:rPr>
          <w:lang w:val="fr-FR"/>
        </w:rPr>
        <w:t xml:space="preserve">  </w:t>
      </w:r>
      <w:r w:rsidRPr="00835AA1">
        <w:rPr>
          <w:lang w:val="fr-FR"/>
        </w:rPr>
        <w:t>À</w:t>
      </w:r>
      <w:r w:rsidR="000F1687" w:rsidRPr="00835AA1">
        <w:rPr>
          <w:lang w:val="fr-FR"/>
        </w:rPr>
        <w:t xml:space="preserve"> ti</w:t>
      </w:r>
      <w:r w:rsidR="0095537A" w:rsidRPr="00835AA1">
        <w:rPr>
          <w:lang w:val="fr-FR"/>
        </w:rPr>
        <w:t>t</w:t>
      </w:r>
      <w:r w:rsidR="000F1687" w:rsidRPr="00835AA1">
        <w:rPr>
          <w:lang w:val="fr-FR"/>
        </w:rPr>
        <w:t>re indicatif, le montant moyen serait de 237</w:t>
      </w:r>
      <w:r w:rsidR="005829EF" w:rsidRPr="00835AA1">
        <w:rPr>
          <w:lang w:val="fr-FR"/>
        </w:rPr>
        <w:t> 000 </w:t>
      </w:r>
      <w:r w:rsidR="000F1687" w:rsidRPr="00835AA1">
        <w:rPr>
          <w:lang w:val="fr-FR"/>
        </w:rPr>
        <w:t>francs suisses.</w:t>
      </w:r>
    </w:p>
    <w:p w14:paraId="052B6F0B" w14:textId="77777777" w:rsidR="008844A6" w:rsidRPr="00835AA1" w:rsidRDefault="00B34648" w:rsidP="00B34648">
      <w:pPr>
        <w:pStyle w:val="Heading2"/>
      </w:pPr>
      <w:r>
        <w:t>R</w:t>
      </w:r>
      <w:r w:rsidRPr="00835AA1">
        <w:t>ésumé et coûts totaux</w:t>
      </w:r>
    </w:p>
    <w:p w14:paraId="6E4FA760" w14:textId="77777777" w:rsidR="008844A6" w:rsidRPr="00835AA1" w:rsidRDefault="0095537A" w:rsidP="00B34648">
      <w:pPr>
        <w:pStyle w:val="ONUMFS"/>
        <w:rPr>
          <w:lang w:val="fr-FR"/>
        </w:rPr>
      </w:pPr>
      <w:r w:rsidRPr="00835AA1">
        <w:rPr>
          <w:lang w:val="fr-FR"/>
        </w:rPr>
        <w:t>Compte tenu de ce qui précède, si l</w:t>
      </w:r>
      <w:r w:rsidR="002E3178" w:rsidRPr="00835AA1">
        <w:rPr>
          <w:lang w:val="fr-FR"/>
        </w:rPr>
        <w:t>’</w:t>
      </w:r>
      <w:r w:rsidRPr="00835AA1">
        <w:rPr>
          <w:lang w:val="fr-FR"/>
        </w:rPr>
        <w:t>introduction du chinois et du russe devenait effective, les coûts opérationnels ci</w:t>
      </w:r>
      <w:r w:rsidR="003813B1" w:rsidRPr="00835AA1">
        <w:rPr>
          <w:lang w:val="fr-FR"/>
        </w:rPr>
        <w:noBreakHyphen/>
      </w:r>
      <w:r w:rsidRPr="00835AA1">
        <w:rPr>
          <w:lang w:val="fr-FR"/>
        </w:rPr>
        <w:t>après seraient encourus de manière récurrente sur une base annuelle, avec effet immédiat</w:t>
      </w:r>
      <w:r w:rsidR="002E3178" w:rsidRPr="00835AA1">
        <w:rPr>
          <w:lang w:val="fr-FR"/>
        </w:rPr>
        <w:t> :</w:t>
      </w:r>
    </w:p>
    <w:p w14:paraId="00D4F86D" w14:textId="7BEDDF89" w:rsidR="008844A6" w:rsidRPr="00835AA1" w:rsidRDefault="0095537A" w:rsidP="00B34648">
      <w:pPr>
        <w:pStyle w:val="ONUMFS"/>
        <w:numPr>
          <w:ilvl w:val="0"/>
          <w:numId w:val="34"/>
        </w:numPr>
        <w:tabs>
          <w:tab w:val="clear" w:pos="567"/>
          <w:tab w:val="num" w:pos="1134"/>
        </w:tabs>
        <w:ind w:left="1134" w:hanging="567"/>
        <w:rPr>
          <w:lang w:val="fr-FR"/>
        </w:rPr>
      </w:pPr>
      <w:r w:rsidRPr="00835AA1">
        <w:rPr>
          <w:lang w:val="fr-FR"/>
        </w:rPr>
        <w:t>pour le contrôle de la qualité des travaux de traduction sous</w:t>
      </w:r>
      <w:r w:rsidR="003813B1" w:rsidRPr="00835AA1">
        <w:rPr>
          <w:lang w:val="fr-FR"/>
        </w:rPr>
        <w:noBreakHyphen/>
      </w:r>
      <w:r w:rsidRPr="00835AA1">
        <w:rPr>
          <w:lang w:val="fr-FR"/>
        </w:rPr>
        <w:t>traités</w:t>
      </w:r>
      <w:r w:rsidR="002E3178" w:rsidRPr="00835AA1">
        <w:rPr>
          <w:lang w:val="fr-FR"/>
        </w:rPr>
        <w:t> :</w:t>
      </w:r>
      <w:r w:rsidRPr="00835AA1">
        <w:rPr>
          <w:lang w:val="fr-FR"/>
        </w:rPr>
        <w:t xml:space="preserve"> environ</w:t>
      </w:r>
      <w:r w:rsidR="00864C45">
        <w:rPr>
          <w:lang w:val="fr-FR"/>
        </w:rPr>
        <w:t> </w:t>
      </w:r>
      <w:r w:rsidRPr="00835AA1">
        <w:rPr>
          <w:lang w:val="fr-FR"/>
        </w:rPr>
        <w:t>500</w:t>
      </w:r>
      <w:r w:rsidR="005829EF" w:rsidRPr="00835AA1">
        <w:rPr>
          <w:lang w:val="fr-FR"/>
        </w:rPr>
        <w:t> 000 </w:t>
      </w:r>
      <w:r w:rsidRPr="00835AA1">
        <w:rPr>
          <w:lang w:val="fr-FR"/>
        </w:rPr>
        <w:t xml:space="preserve">francs suisses (quatre contrats de prestataires individuels de services – </w:t>
      </w:r>
      <w:r w:rsidR="005829EF" w:rsidRPr="00835AA1">
        <w:rPr>
          <w:lang w:val="fr-FR"/>
        </w:rPr>
        <w:t>125 000 </w:t>
      </w:r>
      <w:r w:rsidRPr="00835AA1">
        <w:rPr>
          <w:lang w:val="fr-FR"/>
        </w:rPr>
        <w:t xml:space="preserve">francs suisses x </w:t>
      </w:r>
      <w:r w:rsidR="00864C45">
        <w:rPr>
          <w:lang w:val="fr-FR"/>
        </w:rPr>
        <w:t>4</w:t>
      </w:r>
      <w:r w:rsidRPr="00835AA1">
        <w:rPr>
          <w:lang w:val="fr-FR"/>
        </w:rPr>
        <w:t>), si le Service d</w:t>
      </w:r>
      <w:r w:rsidR="002E3178" w:rsidRPr="00835AA1">
        <w:rPr>
          <w:lang w:val="fr-FR"/>
        </w:rPr>
        <w:t>’</w:t>
      </w:r>
      <w:r w:rsidRPr="00835AA1">
        <w:rPr>
          <w:lang w:val="fr-FR"/>
        </w:rPr>
        <w:t xml:space="preserve">enregistrement de </w:t>
      </w:r>
      <w:r w:rsidR="002E3178" w:rsidRPr="00835AA1">
        <w:rPr>
          <w:lang w:val="fr-FR"/>
        </w:rPr>
        <w:t>La Haye</w:t>
      </w:r>
      <w:r w:rsidRPr="00835AA1">
        <w:rPr>
          <w:lang w:val="fr-FR"/>
        </w:rPr>
        <w:t xml:space="preserve"> devait mettre en place ses propres ressources de traduction pour le contrôle de la qualité;</w:t>
      </w:r>
    </w:p>
    <w:p w14:paraId="054B2C77" w14:textId="77777777" w:rsidR="008844A6" w:rsidRPr="004516D6" w:rsidRDefault="0095537A" w:rsidP="00B34648">
      <w:pPr>
        <w:pStyle w:val="ONUMFS"/>
        <w:numPr>
          <w:ilvl w:val="0"/>
          <w:numId w:val="34"/>
        </w:numPr>
        <w:tabs>
          <w:tab w:val="clear" w:pos="567"/>
          <w:tab w:val="num" w:pos="1134"/>
        </w:tabs>
        <w:ind w:left="1134" w:hanging="567"/>
        <w:rPr>
          <w:lang w:val="fr-FR"/>
        </w:rPr>
      </w:pPr>
      <w:r w:rsidRPr="004516D6">
        <w:rPr>
          <w:lang w:val="fr-FR"/>
        </w:rPr>
        <w:t>pour la maintenance des systèmes informatiques</w:t>
      </w:r>
      <w:r w:rsidR="002E3178" w:rsidRPr="004516D6">
        <w:rPr>
          <w:lang w:val="fr-FR"/>
        </w:rPr>
        <w:t> :</w:t>
      </w:r>
      <w:r w:rsidRPr="004516D6">
        <w:rPr>
          <w:lang w:val="fr-FR"/>
        </w:rPr>
        <w:t xml:space="preserve"> environ 120</w:t>
      </w:r>
      <w:r w:rsidR="005829EF" w:rsidRPr="004516D6">
        <w:rPr>
          <w:lang w:val="fr-FR"/>
        </w:rPr>
        <w:t> 000 </w:t>
      </w:r>
      <w:r w:rsidRPr="004516D6">
        <w:rPr>
          <w:lang w:val="fr-FR"/>
        </w:rPr>
        <w:t>francs suisses (un personnel informatique de niveau</w:t>
      </w:r>
      <w:r w:rsidR="005829EF" w:rsidRPr="004516D6">
        <w:rPr>
          <w:lang w:val="fr-FR"/>
        </w:rPr>
        <w:t> </w:t>
      </w:r>
      <w:r w:rsidRPr="004516D6">
        <w:rPr>
          <w:lang w:val="fr-FR"/>
        </w:rPr>
        <w:t>P</w:t>
      </w:r>
      <w:r w:rsidR="003813B1" w:rsidRPr="004516D6">
        <w:rPr>
          <w:lang w:val="fr-FR"/>
        </w:rPr>
        <w:noBreakHyphen/>
      </w:r>
      <w:r w:rsidRPr="004516D6">
        <w:rPr>
          <w:lang w:val="fr-FR"/>
        </w:rPr>
        <w:t xml:space="preserve">2) dans toutes les options de mise en </w:t>
      </w:r>
      <w:r w:rsidR="005829EF" w:rsidRPr="004516D6">
        <w:rPr>
          <w:lang w:val="fr-FR"/>
        </w:rPr>
        <w:t>œ</w:t>
      </w:r>
      <w:r w:rsidRPr="004516D6">
        <w:rPr>
          <w:lang w:val="fr-FR"/>
        </w:rPr>
        <w:t xml:space="preserve">uvre; </w:t>
      </w:r>
      <w:r w:rsidR="007B26C3" w:rsidRPr="004516D6">
        <w:rPr>
          <w:lang w:val="fr-FR"/>
        </w:rPr>
        <w:t xml:space="preserve"> </w:t>
      </w:r>
      <w:r w:rsidRPr="004516D6">
        <w:rPr>
          <w:lang w:val="fr-FR"/>
        </w:rPr>
        <w:t>et</w:t>
      </w:r>
    </w:p>
    <w:p w14:paraId="2FF593EB" w14:textId="77777777" w:rsidR="008844A6" w:rsidRPr="00835AA1" w:rsidRDefault="0095537A" w:rsidP="00B34648">
      <w:pPr>
        <w:pStyle w:val="ONUMFS"/>
        <w:numPr>
          <w:ilvl w:val="0"/>
          <w:numId w:val="34"/>
        </w:numPr>
        <w:tabs>
          <w:tab w:val="clear" w:pos="567"/>
          <w:tab w:val="num" w:pos="1134"/>
        </w:tabs>
        <w:ind w:left="1134" w:hanging="567"/>
        <w:rPr>
          <w:lang w:val="fr-FR"/>
        </w:rPr>
      </w:pPr>
      <w:r w:rsidRPr="00835AA1">
        <w:rPr>
          <w:lang w:val="fr-FR"/>
        </w:rPr>
        <w:t>pour la mise à disposit</w:t>
      </w:r>
      <w:r w:rsidR="00A541B2" w:rsidRPr="00835AA1">
        <w:rPr>
          <w:lang w:val="fr-FR"/>
        </w:rPr>
        <w:t>i</w:t>
      </w:r>
      <w:r w:rsidRPr="00835AA1">
        <w:rPr>
          <w:lang w:val="fr-FR"/>
        </w:rPr>
        <w:t>on d</w:t>
      </w:r>
      <w:r w:rsidR="002E3178" w:rsidRPr="00835AA1">
        <w:rPr>
          <w:lang w:val="fr-FR"/>
        </w:rPr>
        <w:t>’</w:t>
      </w:r>
      <w:r w:rsidRPr="00835AA1">
        <w:rPr>
          <w:lang w:val="fr-FR"/>
        </w:rPr>
        <w:t>un service à la clientèle à plein temps, par langue</w:t>
      </w:r>
      <w:r w:rsidR="002E3178" w:rsidRPr="00835AA1">
        <w:rPr>
          <w:lang w:val="fr-FR"/>
        </w:rPr>
        <w:t> :</w:t>
      </w:r>
      <w:r w:rsidRPr="00835AA1">
        <w:rPr>
          <w:lang w:val="fr-FR"/>
        </w:rPr>
        <w:t xml:space="preserve"> environ 237</w:t>
      </w:r>
      <w:r w:rsidR="005829EF" w:rsidRPr="00835AA1">
        <w:rPr>
          <w:lang w:val="fr-FR"/>
        </w:rPr>
        <w:t> 000 </w:t>
      </w:r>
      <w:r w:rsidRPr="00835AA1">
        <w:rPr>
          <w:lang w:val="fr-FR"/>
        </w:rPr>
        <w:t>francs suisses (un poste de grade</w:t>
      </w:r>
      <w:r w:rsidR="005829EF" w:rsidRPr="00835AA1">
        <w:rPr>
          <w:lang w:val="fr-FR"/>
        </w:rPr>
        <w:t> </w:t>
      </w:r>
      <w:r w:rsidRPr="00835AA1">
        <w:rPr>
          <w:lang w:val="fr-FR"/>
        </w:rPr>
        <w:t>G6 inscrit au budget ordinaire (133</w:t>
      </w:r>
      <w:r w:rsidR="005829EF" w:rsidRPr="00835AA1">
        <w:rPr>
          <w:lang w:val="fr-FR"/>
        </w:rPr>
        <w:t> 000 </w:t>
      </w:r>
      <w:r w:rsidRPr="00835AA1">
        <w:rPr>
          <w:lang w:val="fr-FR"/>
        </w:rPr>
        <w:t>francs suisses) + un intérimaire (104</w:t>
      </w:r>
      <w:r w:rsidR="005829EF" w:rsidRPr="00835AA1">
        <w:rPr>
          <w:lang w:val="fr-FR"/>
        </w:rPr>
        <w:t> 000 </w:t>
      </w:r>
      <w:r w:rsidRPr="00835AA1">
        <w:rPr>
          <w:lang w:val="fr-FR"/>
        </w:rPr>
        <w:t xml:space="preserve">francs suisses) pour toutes les options de mise en </w:t>
      </w:r>
      <w:r w:rsidR="005829EF" w:rsidRPr="00835AA1">
        <w:rPr>
          <w:lang w:val="fr-FR"/>
        </w:rPr>
        <w:t>œ</w:t>
      </w:r>
      <w:r w:rsidRPr="00835AA1">
        <w:rPr>
          <w:lang w:val="fr-FR"/>
        </w:rPr>
        <w:t>uvre.</w:t>
      </w:r>
    </w:p>
    <w:p w14:paraId="7B3876AB" w14:textId="1C811722" w:rsidR="008844A6" w:rsidRPr="00835AA1" w:rsidRDefault="0095537A" w:rsidP="00B34648">
      <w:pPr>
        <w:pStyle w:val="Heading1"/>
        <w:rPr>
          <w:lang w:val="fr-FR"/>
        </w:rPr>
      </w:pPr>
      <w:r w:rsidRPr="00835AA1">
        <w:rPr>
          <w:lang w:val="fr-FR"/>
        </w:rPr>
        <w:t>Co</w:t>
      </w:r>
      <w:r w:rsidR="00CC71B8">
        <w:rPr>
          <w:lang w:val="fr-FR"/>
        </w:rPr>
        <w:t>Û</w:t>
      </w:r>
      <w:r w:rsidRPr="00835AA1">
        <w:rPr>
          <w:lang w:val="fr-FR"/>
        </w:rPr>
        <w:t>ts de traduction op</w:t>
      </w:r>
      <w:r w:rsidR="00CC71B8">
        <w:rPr>
          <w:lang w:val="fr-FR"/>
        </w:rPr>
        <w:t>É</w:t>
      </w:r>
      <w:r w:rsidRPr="00835AA1">
        <w:rPr>
          <w:lang w:val="fr-FR"/>
        </w:rPr>
        <w:t>rationnels</w:t>
      </w:r>
    </w:p>
    <w:p w14:paraId="402D65EF" w14:textId="77777777" w:rsidR="008844A6" w:rsidRPr="00835AA1" w:rsidRDefault="0095537A" w:rsidP="00B34648">
      <w:pPr>
        <w:pStyle w:val="ONUMFS"/>
        <w:rPr>
          <w:lang w:val="fr-FR"/>
        </w:rPr>
      </w:pPr>
      <w:r w:rsidRPr="00835AA1">
        <w:rPr>
          <w:lang w:val="fr-FR"/>
        </w:rPr>
        <w:t>La présente estimation repose sur une prévision quinquennale du nombre de demandes internationales établie par la Département des statistiques et de l</w:t>
      </w:r>
      <w:r w:rsidR="002E3178" w:rsidRPr="00835AA1">
        <w:rPr>
          <w:lang w:val="fr-FR"/>
        </w:rPr>
        <w:t>’</w:t>
      </w:r>
      <w:r w:rsidRPr="00835AA1">
        <w:rPr>
          <w:lang w:val="fr-FR"/>
        </w:rPr>
        <w:t>analyse des données de l</w:t>
      </w:r>
      <w:r w:rsidR="002E3178" w:rsidRPr="00835AA1">
        <w:rPr>
          <w:lang w:val="fr-FR"/>
        </w:rPr>
        <w:t>’</w:t>
      </w:r>
      <w:r w:rsidRPr="00835AA1">
        <w:rPr>
          <w:lang w:val="fr-FR"/>
        </w:rPr>
        <w:t>Organisation Mondiale de la Propriété Intellectuelle (OMPI).</w:t>
      </w:r>
      <w:r w:rsidR="00BA0E14" w:rsidRPr="00835AA1">
        <w:rPr>
          <w:lang w:val="fr-FR"/>
        </w:rPr>
        <w:t xml:space="preserve">  </w:t>
      </w:r>
      <w:r w:rsidRPr="00835AA1">
        <w:rPr>
          <w:lang w:val="fr-FR"/>
        </w:rPr>
        <w:t>Elle indique les coûts supplémentaires de traduction liés à l</w:t>
      </w:r>
      <w:r w:rsidR="002E3178" w:rsidRPr="00835AA1">
        <w:rPr>
          <w:lang w:val="fr-FR"/>
        </w:rPr>
        <w:t>’</w:t>
      </w:r>
      <w:r w:rsidRPr="00835AA1">
        <w:rPr>
          <w:lang w:val="fr-FR"/>
        </w:rPr>
        <w:t>ajout simultané du chinois et du russe uniquement, selon une approche de traduction indirecte passant par l</w:t>
      </w:r>
      <w:r w:rsidR="002E3178" w:rsidRPr="00835AA1">
        <w:rPr>
          <w:lang w:val="fr-FR"/>
        </w:rPr>
        <w:t>’</w:t>
      </w:r>
      <w:r w:rsidRPr="00835AA1">
        <w:rPr>
          <w:lang w:val="fr-FR"/>
        </w:rPr>
        <w:t>anglais comme langue relais</w:t>
      </w:r>
      <w:r w:rsidRPr="00835AA1">
        <w:rPr>
          <w:rStyle w:val="FootnoteReference"/>
          <w:lang w:val="fr-FR"/>
        </w:rPr>
        <w:footnoteReference w:id="12"/>
      </w:r>
      <w:r w:rsidRPr="00835AA1">
        <w:rPr>
          <w:lang w:val="fr-FR"/>
        </w:rPr>
        <w:t>.</w:t>
      </w:r>
    </w:p>
    <w:p w14:paraId="28AC61F5" w14:textId="77777777" w:rsidR="008844A6" w:rsidRPr="00835AA1" w:rsidRDefault="0095537A" w:rsidP="00B34648">
      <w:pPr>
        <w:pStyle w:val="ONUMFS"/>
        <w:rPr>
          <w:lang w:val="fr-FR"/>
        </w:rPr>
      </w:pPr>
      <w:r w:rsidRPr="00835AA1">
        <w:rPr>
          <w:lang w:val="fr-FR"/>
        </w:rPr>
        <w:t>Les déposants de la Chine sont susceptibles de déposer des demandes internationales en chino</w:t>
      </w:r>
      <w:r w:rsidR="00A541B2" w:rsidRPr="00835AA1">
        <w:rPr>
          <w:lang w:val="fr-FR"/>
        </w:rPr>
        <w:t>is.  Le</w:t>
      </w:r>
      <w:r w:rsidRPr="00835AA1">
        <w:rPr>
          <w:lang w:val="fr-FR"/>
        </w:rPr>
        <w:t>s déposants et les titulaires de la Chine ainsi que l</w:t>
      </w:r>
      <w:r w:rsidR="002E3178" w:rsidRPr="00835AA1">
        <w:rPr>
          <w:lang w:val="fr-FR"/>
        </w:rPr>
        <w:t>’</w:t>
      </w:r>
      <w:r w:rsidRPr="00835AA1">
        <w:rPr>
          <w:lang w:val="fr-FR"/>
        </w:rPr>
        <w:t>Office de la Chine sont susceptibles de communiquer en chino</w:t>
      </w:r>
      <w:r w:rsidR="00A541B2" w:rsidRPr="00835AA1">
        <w:rPr>
          <w:lang w:val="fr-FR"/>
        </w:rPr>
        <w:t>is.  Le</w:t>
      </w:r>
      <w:r w:rsidRPr="00835AA1">
        <w:rPr>
          <w:lang w:val="fr-FR"/>
        </w:rPr>
        <w:t>s déposants de l</w:t>
      </w:r>
      <w:r w:rsidR="002E3178" w:rsidRPr="00835AA1">
        <w:rPr>
          <w:lang w:val="fr-FR"/>
        </w:rPr>
        <w:t>’</w:t>
      </w:r>
      <w:r w:rsidRPr="00835AA1">
        <w:rPr>
          <w:lang w:val="fr-FR"/>
        </w:rPr>
        <w:t>Arménie, de l</w:t>
      </w:r>
      <w:r w:rsidR="002E3178" w:rsidRPr="00835AA1">
        <w:rPr>
          <w:lang w:val="fr-FR"/>
        </w:rPr>
        <w:t>’</w:t>
      </w:r>
      <w:r w:rsidRPr="00835AA1">
        <w:rPr>
          <w:lang w:val="fr-FR"/>
        </w:rPr>
        <w:t>Azerbaïdjan, de la Fédération de Russie, du Kirghizistan, du Tadjikistan, du Turkménistan et de l</w:t>
      </w:r>
      <w:r w:rsidR="002E3178" w:rsidRPr="00835AA1">
        <w:rPr>
          <w:lang w:val="fr-FR"/>
        </w:rPr>
        <w:t>’</w:t>
      </w:r>
      <w:r w:rsidRPr="00835AA1">
        <w:rPr>
          <w:lang w:val="fr-FR"/>
        </w:rPr>
        <w:t>Ukraine sont susceptibles de déposer des demandes internationales en russe</w:t>
      </w:r>
      <w:r w:rsidRPr="00835AA1">
        <w:rPr>
          <w:rStyle w:val="FootnoteReference"/>
          <w:lang w:val="fr-FR"/>
        </w:rPr>
        <w:footnoteReference w:id="13"/>
      </w:r>
      <w:r w:rsidRPr="00835AA1">
        <w:rPr>
          <w:lang w:val="fr-FR"/>
        </w:rPr>
        <w:t>.</w:t>
      </w:r>
      <w:r w:rsidR="007923CC" w:rsidRPr="00835AA1">
        <w:rPr>
          <w:lang w:val="fr-FR"/>
        </w:rPr>
        <w:t xml:space="preserve">  </w:t>
      </w:r>
      <w:r w:rsidRPr="00835AA1">
        <w:rPr>
          <w:lang w:val="fr-FR"/>
        </w:rPr>
        <w:t>Les déposants, les titulaires et les Offices de ces parties contractantes sont susceptibles de communiquer en rus</w:t>
      </w:r>
      <w:r w:rsidR="00A541B2" w:rsidRPr="00835AA1">
        <w:rPr>
          <w:lang w:val="fr-FR"/>
        </w:rPr>
        <w:t>se.  L’e</w:t>
      </w:r>
      <w:r w:rsidRPr="00835AA1">
        <w:rPr>
          <w:lang w:val="fr-FR"/>
        </w:rPr>
        <w:t>stimation suppose donc que, dans la mesure du possible dans le cadre d</w:t>
      </w:r>
      <w:r w:rsidR="002E3178" w:rsidRPr="00835AA1">
        <w:rPr>
          <w:lang w:val="fr-FR"/>
        </w:rPr>
        <w:t>’</w:t>
      </w:r>
      <w:r w:rsidRPr="00835AA1">
        <w:rPr>
          <w:lang w:val="fr-FR"/>
        </w:rPr>
        <w:t>une option particu</w:t>
      </w:r>
      <w:r w:rsidR="00A541B2" w:rsidRPr="00835AA1">
        <w:rPr>
          <w:lang w:val="fr-FR"/>
        </w:rPr>
        <w:t>l</w:t>
      </w:r>
      <w:r w:rsidRPr="00835AA1">
        <w:rPr>
          <w:lang w:val="fr-FR"/>
        </w:rPr>
        <w:t>ière, les déposants, les titulaires et les offices de ces parties contractantes sélectionnées choisiraient de communiquer avec le Bureau international en chinois ou en russe.</w:t>
      </w:r>
    </w:p>
    <w:p w14:paraId="7836CF90" w14:textId="68903838" w:rsidR="008844A6" w:rsidRPr="00864C45" w:rsidRDefault="0095537A" w:rsidP="00864C45">
      <w:pPr>
        <w:pStyle w:val="ONUMFS"/>
        <w:rPr>
          <w:lang w:val="fr-FR"/>
        </w:rPr>
      </w:pPr>
      <w:r w:rsidRPr="00864C45">
        <w:rPr>
          <w:lang w:val="fr-FR"/>
        </w:rPr>
        <w:t>Le Bureau international confierait la traduction de textes qu</w:t>
      </w:r>
      <w:r w:rsidR="002E3178" w:rsidRPr="00864C45">
        <w:rPr>
          <w:lang w:val="fr-FR"/>
        </w:rPr>
        <w:t>’</w:t>
      </w:r>
      <w:r w:rsidRPr="00864C45">
        <w:rPr>
          <w:lang w:val="fr-FR"/>
        </w:rPr>
        <w:t>il ne serait pas en mesure de traduire automatiquement, sans intervention humai</w:t>
      </w:r>
      <w:r w:rsidR="00A541B2" w:rsidRPr="00864C45">
        <w:rPr>
          <w:lang w:val="fr-FR"/>
        </w:rPr>
        <w:t>ne.  Au</w:t>
      </w:r>
      <w:r w:rsidRPr="00864C45">
        <w:rPr>
          <w:lang w:val="fr-FR"/>
        </w:rPr>
        <w:t xml:space="preserve"> moment de l</w:t>
      </w:r>
      <w:r w:rsidR="002E3178" w:rsidRPr="00864C45">
        <w:rPr>
          <w:lang w:val="fr-FR"/>
        </w:rPr>
        <w:t>’</w:t>
      </w:r>
      <w:r w:rsidRPr="00864C45">
        <w:rPr>
          <w:lang w:val="fr-FR"/>
        </w:rPr>
        <w:t xml:space="preserve">introduction des nouvelles langues </w:t>
      </w:r>
      <w:r w:rsidR="002E3178" w:rsidRPr="00864C45">
        <w:rPr>
          <w:lang w:val="fr-FR"/>
        </w:rPr>
        <w:t>en 2021</w:t>
      </w:r>
      <w:r w:rsidRPr="00864C45">
        <w:rPr>
          <w:lang w:val="fr-FR"/>
        </w:rPr>
        <w:t>, le Bureau international disposerait de données de référence pour les nouvelles langu</w:t>
      </w:r>
      <w:r w:rsidR="00A541B2" w:rsidRPr="00864C45">
        <w:rPr>
          <w:lang w:val="fr-FR"/>
        </w:rPr>
        <w:t>es.  Il</w:t>
      </w:r>
      <w:r w:rsidRPr="00864C45">
        <w:rPr>
          <w:lang w:val="fr-FR"/>
        </w:rPr>
        <w:t xml:space="preserve"> devrait toutefois pouvoir bénéficier progressivement de la compilation des données de traducti</w:t>
      </w:r>
      <w:r w:rsidR="00A541B2" w:rsidRPr="00864C45">
        <w:rPr>
          <w:lang w:val="fr-FR"/>
        </w:rPr>
        <w:t>on.  Ai</w:t>
      </w:r>
      <w:r w:rsidRPr="00864C45">
        <w:rPr>
          <w:lang w:val="fr-FR"/>
        </w:rPr>
        <w:t>nsi, l</w:t>
      </w:r>
      <w:r w:rsidR="002E3178" w:rsidRPr="00864C45">
        <w:rPr>
          <w:lang w:val="fr-FR"/>
        </w:rPr>
        <w:t>’</w:t>
      </w:r>
      <w:r w:rsidRPr="00864C45">
        <w:rPr>
          <w:lang w:val="fr-FR"/>
        </w:rPr>
        <w:t>estimation repose sur l</w:t>
      </w:r>
      <w:r w:rsidR="002E3178" w:rsidRPr="00864C45">
        <w:rPr>
          <w:lang w:val="fr-FR"/>
        </w:rPr>
        <w:t>’</w:t>
      </w:r>
      <w:r w:rsidRPr="00864C45">
        <w:rPr>
          <w:lang w:val="fr-FR"/>
        </w:rPr>
        <w:t xml:space="preserve">hypothèse que, à partir </w:t>
      </w:r>
      <w:r w:rsidR="002E3178" w:rsidRPr="00864C45">
        <w:rPr>
          <w:lang w:val="fr-FR"/>
        </w:rPr>
        <w:t>de 2022</w:t>
      </w:r>
      <w:r w:rsidRPr="00864C45">
        <w:rPr>
          <w:lang w:val="fr-FR"/>
        </w:rPr>
        <w:t xml:space="preserve">, le Bureau international serait en mesure de traduire 2,5% du nombre de mots dans les nouvelles langues au moyen de la traduction automatique, et que ce pourcentage augmenterait de 2,5% par </w:t>
      </w:r>
      <w:r w:rsidR="00A541B2" w:rsidRPr="00864C45">
        <w:rPr>
          <w:lang w:val="fr-FR"/>
        </w:rPr>
        <w:t>an.  Le</w:t>
      </w:r>
      <w:r w:rsidRPr="00864C45">
        <w:rPr>
          <w:lang w:val="fr-FR"/>
        </w:rPr>
        <w:t xml:space="preserve"> prix au mot pour la traduction est de 0,15</w:t>
      </w:r>
      <w:r w:rsidR="005829EF" w:rsidRPr="00864C45">
        <w:rPr>
          <w:lang w:val="fr-FR"/>
        </w:rPr>
        <w:t> </w:t>
      </w:r>
      <w:r w:rsidRPr="00864C45">
        <w:rPr>
          <w:lang w:val="fr-FR"/>
        </w:rPr>
        <w:t>franc suisse entre l</w:t>
      </w:r>
      <w:r w:rsidR="002E3178" w:rsidRPr="00864C45">
        <w:rPr>
          <w:lang w:val="fr-FR"/>
        </w:rPr>
        <w:t>’</w:t>
      </w:r>
      <w:r w:rsidRPr="00864C45">
        <w:rPr>
          <w:lang w:val="fr-FR"/>
        </w:rPr>
        <w:t>anglais et le chinois, et de 0,24</w:t>
      </w:r>
      <w:r w:rsidR="005829EF" w:rsidRPr="00864C45">
        <w:rPr>
          <w:lang w:val="fr-FR"/>
        </w:rPr>
        <w:t> </w:t>
      </w:r>
      <w:r w:rsidRPr="00864C45">
        <w:rPr>
          <w:lang w:val="fr-FR"/>
        </w:rPr>
        <w:t>franc suisse entre l</w:t>
      </w:r>
      <w:r w:rsidR="002E3178" w:rsidRPr="00864C45">
        <w:rPr>
          <w:lang w:val="fr-FR"/>
        </w:rPr>
        <w:t>’</w:t>
      </w:r>
      <w:r w:rsidRPr="00864C45">
        <w:rPr>
          <w:lang w:val="fr-FR"/>
        </w:rPr>
        <w:t>anglais et le russe</w:t>
      </w:r>
      <w:r w:rsidRPr="00835AA1">
        <w:rPr>
          <w:rStyle w:val="FootnoteReference"/>
          <w:lang w:val="fr-FR"/>
        </w:rPr>
        <w:footnoteReference w:id="14"/>
      </w:r>
      <w:r w:rsidRPr="00864C45">
        <w:rPr>
          <w:lang w:val="fr-FR"/>
        </w:rPr>
        <w:t>.</w:t>
      </w:r>
      <w:r w:rsidR="00BA0E14" w:rsidRPr="00864C45">
        <w:rPr>
          <w:lang w:val="fr-FR"/>
        </w:rPr>
        <w:t xml:space="preserve">  </w:t>
      </w:r>
      <w:r w:rsidR="008844A6" w:rsidRPr="00864C45">
        <w:rPr>
          <w:lang w:val="fr-FR"/>
        </w:rPr>
        <w:t>Sept</w:t>
      </w:r>
      <w:r w:rsidR="007B26C3" w:rsidRPr="00864C45">
        <w:rPr>
          <w:lang w:val="fr-FR"/>
        </w:rPr>
        <w:t> </w:t>
      </w:r>
      <w:r w:rsidR="008844A6" w:rsidRPr="00864C45">
        <w:rPr>
          <w:lang w:val="fr-FR"/>
        </w:rPr>
        <w:t xml:space="preserve">pour cent du travail traduit en externe </w:t>
      </w:r>
      <w:r w:rsidR="008844A6" w:rsidRPr="00864C45">
        <w:rPr>
          <w:lang w:val="fr-FR"/>
        </w:rPr>
        <w:lastRenderedPageBreak/>
        <w:t>serait soumis à un contrôle de qualité par un traducteur interne de l</w:t>
      </w:r>
      <w:r w:rsidR="002E3178" w:rsidRPr="00864C45">
        <w:rPr>
          <w:lang w:val="fr-FR"/>
        </w:rPr>
        <w:t>’</w:t>
      </w:r>
      <w:r w:rsidR="008844A6" w:rsidRPr="00864C45">
        <w:rPr>
          <w:lang w:val="fr-FR"/>
        </w:rPr>
        <w:t>OMPI (contrat de prestataire individuel de servic</w:t>
      </w:r>
      <w:r w:rsidR="00A541B2" w:rsidRPr="00864C45">
        <w:rPr>
          <w:lang w:val="fr-FR"/>
        </w:rPr>
        <w:t>es).  La</w:t>
      </w:r>
      <w:r w:rsidR="008844A6" w:rsidRPr="00864C45">
        <w:rPr>
          <w:lang w:val="fr-FR"/>
        </w:rPr>
        <w:t xml:space="preserve"> méthodologie et le format suivent essentiellement l</w:t>
      </w:r>
      <w:r w:rsidR="002E3178" w:rsidRPr="00864C45">
        <w:rPr>
          <w:lang w:val="fr-FR"/>
        </w:rPr>
        <w:t>’</w:t>
      </w:r>
      <w:r w:rsidR="008844A6" w:rsidRPr="00864C45">
        <w:rPr>
          <w:lang w:val="fr-FR"/>
        </w:rPr>
        <w:t>estimation des coûts présentée dans l</w:t>
      </w:r>
      <w:r w:rsidR="002E3178" w:rsidRPr="00864C45">
        <w:rPr>
          <w:lang w:val="fr-FR"/>
        </w:rPr>
        <w:t>’</w:t>
      </w:r>
      <w:r w:rsidR="008844A6" w:rsidRPr="00864C45">
        <w:rPr>
          <w:lang w:val="fr-FR"/>
        </w:rPr>
        <w:t xml:space="preserve">annexe du document H/LD/WG/8/5. </w:t>
      </w:r>
      <w:r w:rsidR="005829EF" w:rsidRPr="00864C45">
        <w:rPr>
          <w:lang w:val="fr-FR"/>
        </w:rPr>
        <w:t xml:space="preserve"> </w:t>
      </w:r>
      <w:r w:rsidR="008844A6" w:rsidRPr="00864C45">
        <w:rPr>
          <w:lang w:val="fr-FR"/>
        </w:rPr>
        <w:t>Pour le chinois, les coûts sont estimés en prévision de l</w:t>
      </w:r>
      <w:r w:rsidR="002E3178" w:rsidRPr="00864C45">
        <w:rPr>
          <w:lang w:val="fr-FR"/>
        </w:rPr>
        <w:t>’</w:t>
      </w:r>
      <w:r w:rsidR="008844A6" w:rsidRPr="00864C45">
        <w:rPr>
          <w:lang w:val="fr-FR"/>
        </w:rPr>
        <w:t xml:space="preserve">adhésion de la Chine au début </w:t>
      </w:r>
      <w:r w:rsidR="002E3178" w:rsidRPr="00864C45">
        <w:rPr>
          <w:lang w:val="fr-FR"/>
        </w:rPr>
        <w:t>de 2021</w:t>
      </w:r>
      <w:r w:rsidR="008844A6" w:rsidRPr="00864C45">
        <w:rPr>
          <w:lang w:val="fr-FR"/>
        </w:rPr>
        <w:t>.</w:t>
      </w:r>
    </w:p>
    <w:p w14:paraId="69C5C62A" w14:textId="77777777" w:rsidR="008844A6" w:rsidRPr="00835AA1" w:rsidRDefault="008844A6" w:rsidP="00B34648">
      <w:pPr>
        <w:pStyle w:val="ONUMFS"/>
        <w:rPr>
          <w:lang w:val="fr-FR"/>
        </w:rPr>
      </w:pPr>
      <w:r w:rsidRPr="00835AA1">
        <w:rPr>
          <w:lang w:val="fr-FR"/>
        </w:rPr>
        <w:t>En ce qui concerne les coûts de traduction opérationnels, les options</w:t>
      </w:r>
      <w:r w:rsidR="003E7B52">
        <w:rPr>
          <w:lang w:val="fr-FR"/>
        </w:rPr>
        <w:t> </w:t>
      </w:r>
      <w:r w:rsidR="005829EF" w:rsidRPr="00835AA1">
        <w:rPr>
          <w:lang w:val="fr-FR"/>
        </w:rPr>
        <w:t>“</w:t>
      </w:r>
      <w:r w:rsidRPr="00835AA1">
        <w:rPr>
          <w:lang w:val="fr-FR"/>
        </w:rPr>
        <w:t>A</w:t>
      </w:r>
      <w:r w:rsidR="005829EF" w:rsidRPr="00835AA1">
        <w:rPr>
          <w:lang w:val="fr-FR"/>
        </w:rPr>
        <w:t>”</w:t>
      </w:r>
      <w:r w:rsidR="003E7B52">
        <w:rPr>
          <w:lang w:val="fr-FR"/>
        </w:rPr>
        <w:t xml:space="preserve"> à </w:t>
      </w:r>
      <w:r w:rsidR="005829EF" w:rsidRPr="00835AA1">
        <w:rPr>
          <w:lang w:val="fr-FR"/>
        </w:rPr>
        <w:t>“</w:t>
      </w:r>
      <w:r w:rsidRPr="00835AA1">
        <w:rPr>
          <w:lang w:val="fr-FR"/>
        </w:rPr>
        <w:t>C</w:t>
      </w:r>
      <w:r w:rsidR="005829EF" w:rsidRPr="00835AA1">
        <w:rPr>
          <w:lang w:val="fr-FR"/>
        </w:rPr>
        <w:t>”</w:t>
      </w:r>
      <w:r w:rsidRPr="00835AA1">
        <w:rPr>
          <w:lang w:val="fr-FR"/>
        </w:rPr>
        <w:t xml:space="preserve"> sont fondamentalement les mêm</w:t>
      </w:r>
      <w:r w:rsidR="00A541B2" w:rsidRPr="00835AA1">
        <w:rPr>
          <w:lang w:val="fr-FR"/>
        </w:rPr>
        <w:t>es.  Ch</w:t>
      </w:r>
      <w:r w:rsidRPr="00835AA1">
        <w:rPr>
          <w:lang w:val="fr-FR"/>
        </w:rPr>
        <w:t>oisir l</w:t>
      </w:r>
      <w:r w:rsidR="002E3178" w:rsidRPr="00835AA1">
        <w:rPr>
          <w:lang w:val="fr-FR"/>
        </w:rPr>
        <w:t>’</w:t>
      </w:r>
      <w:r w:rsidRPr="00835AA1">
        <w:rPr>
          <w:lang w:val="fr-FR"/>
        </w:rPr>
        <w:t>option</w:t>
      </w:r>
      <w:r w:rsidR="003E7B52">
        <w:rPr>
          <w:lang w:val="fr-FR"/>
        </w:rPr>
        <w:t> </w:t>
      </w:r>
      <w:r w:rsidR="005829EF" w:rsidRPr="00835AA1">
        <w:rPr>
          <w:lang w:val="fr-FR"/>
        </w:rPr>
        <w:t>“</w:t>
      </w:r>
      <w:r w:rsidRPr="00835AA1">
        <w:rPr>
          <w:lang w:val="fr-FR"/>
        </w:rPr>
        <w:t>D</w:t>
      </w:r>
      <w:r w:rsidR="005829EF" w:rsidRPr="00835AA1">
        <w:rPr>
          <w:lang w:val="fr-FR"/>
        </w:rPr>
        <w:t>”</w:t>
      </w:r>
      <w:r w:rsidRPr="00835AA1">
        <w:rPr>
          <w:lang w:val="fr-FR"/>
        </w:rPr>
        <w:t xml:space="preserve"> ou</w:t>
      </w:r>
      <w:r w:rsidR="003E7B52">
        <w:rPr>
          <w:lang w:val="fr-FR"/>
        </w:rPr>
        <w:t> </w:t>
      </w:r>
      <w:r w:rsidR="005829EF" w:rsidRPr="00835AA1">
        <w:rPr>
          <w:lang w:val="fr-FR"/>
        </w:rPr>
        <w:t>“</w:t>
      </w:r>
      <w:r w:rsidRPr="00835AA1">
        <w:rPr>
          <w:lang w:val="fr-FR"/>
        </w:rPr>
        <w:t>E</w:t>
      </w:r>
      <w:r w:rsidR="005829EF" w:rsidRPr="00835AA1">
        <w:rPr>
          <w:lang w:val="fr-FR"/>
        </w:rPr>
        <w:t>”</w:t>
      </w:r>
      <w:r w:rsidRPr="00835AA1">
        <w:rPr>
          <w:lang w:val="fr-FR"/>
        </w:rPr>
        <w:t xml:space="preserve"> augmenterait ces coûts car, dans le cadre de ces options, le Bureau international devrait également traduire les éléments pertinents de la demande internationale dans les nouvelles langues.</w:t>
      </w:r>
    </w:p>
    <w:p w14:paraId="63502707" w14:textId="77777777" w:rsidR="008844A6" w:rsidRPr="00835AA1" w:rsidRDefault="00B34648" w:rsidP="00B34648">
      <w:pPr>
        <w:pStyle w:val="Heading2"/>
      </w:pPr>
      <w:r>
        <w:t>L</w:t>
      </w:r>
      <w:r w:rsidRPr="00835AA1">
        <w:t>angue de dépôt;  langue de dépôt et de communication;  et l</w:t>
      </w:r>
      <w:r>
        <w:t>angue de publication (options “A” à </w:t>
      </w:r>
      <w:r w:rsidRPr="00835AA1">
        <w:t>“</w:t>
      </w:r>
      <w:r>
        <w:t>C</w:t>
      </w:r>
      <w:r w:rsidRPr="00835AA1">
        <w:t>”)</w:t>
      </w:r>
    </w:p>
    <w:p w14:paraId="14F6155B" w14:textId="77777777" w:rsidR="008844A6" w:rsidRPr="00835AA1" w:rsidRDefault="008844A6" w:rsidP="00B34648">
      <w:pPr>
        <w:pStyle w:val="ONUMFS"/>
        <w:rPr>
          <w:lang w:val="fr-FR"/>
        </w:rPr>
      </w:pPr>
      <w:r w:rsidRPr="00835AA1">
        <w:rPr>
          <w:lang w:val="fr-FR"/>
        </w:rPr>
        <w:t>Dans le cadre de ces trois</w:t>
      </w:r>
      <w:r w:rsidR="007B26C3" w:rsidRPr="00835AA1">
        <w:rPr>
          <w:lang w:val="fr-FR"/>
        </w:rPr>
        <w:t> </w:t>
      </w:r>
      <w:r w:rsidRPr="00835AA1">
        <w:rPr>
          <w:lang w:val="fr-FR"/>
        </w:rPr>
        <w:t>options, les déposants pourraient déposer des demandes internationales dans la nouvelle lang</w:t>
      </w:r>
      <w:r w:rsidR="00A541B2" w:rsidRPr="00835AA1">
        <w:rPr>
          <w:lang w:val="fr-FR"/>
        </w:rPr>
        <w:t>ue.  Le</w:t>
      </w:r>
      <w:r w:rsidRPr="00835AA1">
        <w:rPr>
          <w:lang w:val="fr-FR"/>
        </w:rPr>
        <w:t xml:space="preserve"> Bureau international traduirait les éléments pertinents de la demande internationale en anglais.</w:t>
      </w:r>
    </w:p>
    <w:p w14:paraId="3F9E076B" w14:textId="77777777" w:rsidR="00497FD3" w:rsidRPr="00835AA1" w:rsidRDefault="008844A6" w:rsidP="00B34648">
      <w:pPr>
        <w:pStyle w:val="ONUMFS"/>
        <w:rPr>
          <w:lang w:val="fr-FR"/>
        </w:rPr>
      </w:pPr>
      <w:r w:rsidRPr="00835AA1">
        <w:rPr>
          <w:lang w:val="fr-FR"/>
        </w:rPr>
        <w:t>Le coût de la sous</w:t>
      </w:r>
      <w:r w:rsidR="003813B1" w:rsidRPr="00835AA1">
        <w:rPr>
          <w:lang w:val="fr-FR"/>
        </w:rPr>
        <w:noBreakHyphen/>
      </w:r>
      <w:r w:rsidRPr="00835AA1">
        <w:rPr>
          <w:lang w:val="fr-FR"/>
        </w:rPr>
        <w:t>traitance du travail de traduction et les ressources nécessaires pour le contrôle de la qualité de ce travail seraient les mêmes que dans le cadre de ces trois</w:t>
      </w:r>
      <w:r w:rsidR="007B26C3" w:rsidRPr="00835AA1">
        <w:rPr>
          <w:lang w:val="fr-FR"/>
        </w:rPr>
        <w:t> </w:t>
      </w:r>
      <w:r w:rsidRPr="00835AA1">
        <w:rPr>
          <w:lang w:val="fr-FR"/>
        </w:rPr>
        <w:t>options.</w:t>
      </w:r>
    </w:p>
    <w:tbl>
      <w:tblPr>
        <w:tblW w:w="4813" w:type="pct"/>
        <w:jc w:val="center"/>
        <w:tblLook w:val="04A0" w:firstRow="1" w:lastRow="0" w:firstColumn="1" w:lastColumn="0" w:noHBand="0" w:noVBand="1"/>
      </w:tblPr>
      <w:tblGrid>
        <w:gridCol w:w="795"/>
        <w:gridCol w:w="1371"/>
        <w:gridCol w:w="1366"/>
        <w:gridCol w:w="1554"/>
        <w:gridCol w:w="2093"/>
        <w:gridCol w:w="1816"/>
      </w:tblGrid>
      <w:tr w:rsidR="00A541B2" w:rsidRPr="00A50943" w14:paraId="29B5DEC6" w14:textId="77777777" w:rsidTr="0047019B">
        <w:trPr>
          <w:trHeight w:val="368"/>
          <w:jc w:val="center"/>
        </w:trPr>
        <w:tc>
          <w:tcPr>
            <w:tcW w:w="419" w:type="pct"/>
            <w:vMerge w:val="restart"/>
            <w:tcBorders>
              <w:top w:val="single" w:sz="4" w:space="0" w:color="auto"/>
              <w:left w:val="single" w:sz="4" w:space="0" w:color="auto"/>
              <w:right w:val="single" w:sz="4" w:space="0" w:color="auto"/>
            </w:tcBorders>
            <w:shd w:val="clear" w:color="000000" w:fill="FFFFFF"/>
            <w:vAlign w:val="center"/>
            <w:hideMark/>
          </w:tcPr>
          <w:p w14:paraId="2C8F7907" w14:textId="77777777" w:rsidR="00D449F3" w:rsidRPr="00835AA1" w:rsidRDefault="005F577F" w:rsidP="003926E8">
            <w:pPr>
              <w:jc w:val="center"/>
              <w:rPr>
                <w:sz w:val="20"/>
                <w:lang w:val="fr-FR"/>
              </w:rPr>
            </w:pPr>
            <w:r w:rsidRPr="00835AA1">
              <w:rPr>
                <w:sz w:val="20"/>
                <w:lang w:val="fr-FR"/>
              </w:rPr>
              <w:t>Année</w:t>
            </w:r>
          </w:p>
        </w:tc>
        <w:tc>
          <w:tcPr>
            <w:tcW w:w="2399" w:type="pct"/>
            <w:gridSpan w:val="3"/>
            <w:tcBorders>
              <w:top w:val="single" w:sz="4" w:space="0" w:color="auto"/>
              <w:left w:val="nil"/>
              <w:bottom w:val="single" w:sz="4" w:space="0" w:color="auto"/>
              <w:right w:val="single" w:sz="4" w:space="0" w:color="auto"/>
            </w:tcBorders>
            <w:shd w:val="clear" w:color="000000" w:fill="FFFFFF"/>
            <w:vAlign w:val="center"/>
            <w:hideMark/>
          </w:tcPr>
          <w:p w14:paraId="1722BD43" w14:textId="77777777" w:rsidR="00D449F3" w:rsidRPr="00835AA1" w:rsidRDefault="008844A6" w:rsidP="008844A6">
            <w:pPr>
              <w:jc w:val="center"/>
              <w:rPr>
                <w:sz w:val="20"/>
                <w:lang w:val="fr-FR"/>
              </w:rPr>
            </w:pPr>
            <w:r w:rsidRPr="00835AA1">
              <w:rPr>
                <w:sz w:val="20"/>
                <w:lang w:val="fr-FR"/>
              </w:rPr>
              <w:t>Traduction sous</w:t>
            </w:r>
            <w:r w:rsidR="003813B1" w:rsidRPr="00835AA1">
              <w:rPr>
                <w:sz w:val="20"/>
                <w:lang w:val="fr-FR"/>
              </w:rPr>
              <w:noBreakHyphen/>
            </w:r>
            <w:r w:rsidRPr="00835AA1">
              <w:rPr>
                <w:sz w:val="20"/>
                <w:lang w:val="fr-FR"/>
              </w:rPr>
              <w:t>traitée (francs suisses)</w:t>
            </w:r>
          </w:p>
        </w:tc>
        <w:tc>
          <w:tcPr>
            <w:tcW w:w="2182" w:type="pct"/>
            <w:gridSpan w:val="2"/>
            <w:tcBorders>
              <w:top w:val="single" w:sz="4" w:space="0" w:color="auto"/>
              <w:left w:val="nil"/>
              <w:bottom w:val="single" w:sz="4" w:space="0" w:color="auto"/>
              <w:right w:val="single" w:sz="4" w:space="0" w:color="auto"/>
            </w:tcBorders>
            <w:shd w:val="clear" w:color="000000" w:fill="FFFFFF"/>
            <w:vAlign w:val="center"/>
            <w:hideMark/>
          </w:tcPr>
          <w:p w14:paraId="2AC38444" w14:textId="77777777" w:rsidR="00D449F3" w:rsidRPr="00835AA1" w:rsidRDefault="008844A6" w:rsidP="008844A6">
            <w:pPr>
              <w:jc w:val="center"/>
              <w:rPr>
                <w:sz w:val="20"/>
                <w:lang w:val="fr-FR"/>
              </w:rPr>
            </w:pPr>
            <w:r w:rsidRPr="00835AA1">
              <w:rPr>
                <w:sz w:val="20"/>
                <w:lang w:val="fr-FR"/>
              </w:rPr>
              <w:t>Contrôle de la qualité des traductions (jours de travail)</w:t>
            </w:r>
            <w:r w:rsidRPr="00835AA1">
              <w:rPr>
                <w:rStyle w:val="FootnoteReference"/>
                <w:sz w:val="20"/>
                <w:lang w:val="fr-FR"/>
              </w:rPr>
              <w:footnoteReference w:id="15"/>
            </w:r>
          </w:p>
        </w:tc>
      </w:tr>
      <w:tr w:rsidR="00A541B2" w:rsidRPr="00835AA1" w14:paraId="25F48C6A" w14:textId="77777777" w:rsidTr="00D33D61">
        <w:trPr>
          <w:trHeight w:val="251"/>
          <w:jc w:val="center"/>
        </w:trPr>
        <w:tc>
          <w:tcPr>
            <w:tcW w:w="419" w:type="pct"/>
            <w:vMerge/>
            <w:tcBorders>
              <w:left w:val="single" w:sz="4" w:space="0" w:color="auto"/>
              <w:bottom w:val="single" w:sz="4" w:space="0" w:color="auto"/>
              <w:right w:val="single" w:sz="4" w:space="0" w:color="auto"/>
            </w:tcBorders>
            <w:shd w:val="clear" w:color="000000" w:fill="FFFFFF"/>
            <w:vAlign w:val="center"/>
          </w:tcPr>
          <w:p w14:paraId="41302301" w14:textId="77777777" w:rsidR="00D449F3" w:rsidRPr="00835AA1" w:rsidRDefault="00D449F3" w:rsidP="003926E8">
            <w:pPr>
              <w:jc w:val="center"/>
              <w:rPr>
                <w:sz w:val="20"/>
                <w:lang w:val="fr-FR"/>
              </w:rPr>
            </w:pPr>
          </w:p>
        </w:tc>
        <w:tc>
          <w:tcPr>
            <w:tcW w:w="767" w:type="pct"/>
            <w:tcBorders>
              <w:top w:val="single" w:sz="4" w:space="0" w:color="auto"/>
              <w:left w:val="nil"/>
              <w:bottom w:val="single" w:sz="4" w:space="0" w:color="auto"/>
              <w:right w:val="dotted" w:sz="4" w:space="0" w:color="auto"/>
            </w:tcBorders>
            <w:shd w:val="clear" w:color="000000" w:fill="FFFFFF"/>
            <w:vAlign w:val="center"/>
          </w:tcPr>
          <w:p w14:paraId="6EBBA55E" w14:textId="77777777" w:rsidR="00D449F3" w:rsidRPr="00835AA1" w:rsidRDefault="00D449F3" w:rsidP="005F577F">
            <w:pPr>
              <w:jc w:val="center"/>
              <w:rPr>
                <w:sz w:val="20"/>
                <w:lang w:val="fr-FR"/>
              </w:rPr>
            </w:pPr>
            <w:r w:rsidRPr="00835AA1">
              <w:rPr>
                <w:sz w:val="20"/>
                <w:lang w:val="fr-FR"/>
              </w:rPr>
              <w:t>Chin</w:t>
            </w:r>
            <w:r w:rsidR="005F577F" w:rsidRPr="00835AA1">
              <w:rPr>
                <w:sz w:val="20"/>
                <w:lang w:val="fr-FR"/>
              </w:rPr>
              <w:t>ois</w:t>
            </w:r>
            <w:r w:rsidRPr="00835AA1">
              <w:rPr>
                <w:rStyle w:val="FootnoteReference"/>
                <w:sz w:val="20"/>
                <w:lang w:val="fr-FR"/>
              </w:rPr>
              <w:footnoteReference w:id="16"/>
            </w:r>
          </w:p>
        </w:tc>
        <w:tc>
          <w:tcPr>
            <w:tcW w:w="764" w:type="pct"/>
            <w:tcBorders>
              <w:top w:val="single" w:sz="4" w:space="0" w:color="auto"/>
              <w:left w:val="dotted" w:sz="4" w:space="0" w:color="auto"/>
              <w:bottom w:val="single" w:sz="4" w:space="0" w:color="auto"/>
              <w:right w:val="dotted" w:sz="4" w:space="0" w:color="auto"/>
            </w:tcBorders>
            <w:shd w:val="clear" w:color="000000" w:fill="FFFFFF"/>
            <w:vAlign w:val="center"/>
          </w:tcPr>
          <w:p w14:paraId="2FC3F658" w14:textId="77777777" w:rsidR="00D449F3" w:rsidRPr="00835AA1" w:rsidRDefault="00D449F3" w:rsidP="005F577F">
            <w:pPr>
              <w:jc w:val="center"/>
              <w:rPr>
                <w:sz w:val="20"/>
                <w:lang w:val="fr-FR"/>
              </w:rPr>
            </w:pPr>
            <w:r w:rsidRPr="00835AA1">
              <w:rPr>
                <w:sz w:val="20"/>
                <w:lang w:val="fr-FR"/>
              </w:rPr>
              <w:t>Russ</w:t>
            </w:r>
            <w:r w:rsidR="005F577F" w:rsidRPr="00835AA1">
              <w:rPr>
                <w:sz w:val="20"/>
                <w:lang w:val="fr-FR"/>
              </w:rPr>
              <w:t>e</w:t>
            </w:r>
            <w:r w:rsidRPr="00835AA1">
              <w:rPr>
                <w:rStyle w:val="FootnoteReference"/>
                <w:sz w:val="20"/>
                <w:lang w:val="fr-FR"/>
              </w:rPr>
              <w:footnoteReference w:id="17"/>
            </w:r>
          </w:p>
        </w:tc>
        <w:tc>
          <w:tcPr>
            <w:tcW w:w="868" w:type="pct"/>
            <w:tcBorders>
              <w:top w:val="single" w:sz="4" w:space="0" w:color="auto"/>
              <w:left w:val="dotted" w:sz="4" w:space="0" w:color="auto"/>
              <w:bottom w:val="single" w:sz="4" w:space="0" w:color="auto"/>
              <w:right w:val="single" w:sz="4" w:space="0" w:color="auto"/>
            </w:tcBorders>
            <w:shd w:val="clear" w:color="000000" w:fill="FFFFFF"/>
            <w:vAlign w:val="center"/>
          </w:tcPr>
          <w:p w14:paraId="0BCE56BA" w14:textId="77777777" w:rsidR="00D449F3" w:rsidRPr="00835AA1" w:rsidRDefault="00D449F3" w:rsidP="003926E8">
            <w:pPr>
              <w:jc w:val="center"/>
              <w:rPr>
                <w:sz w:val="20"/>
                <w:lang w:val="fr-FR"/>
              </w:rPr>
            </w:pPr>
            <w:r w:rsidRPr="00835AA1">
              <w:rPr>
                <w:sz w:val="20"/>
                <w:lang w:val="fr-FR"/>
              </w:rPr>
              <w:t>Total</w:t>
            </w:r>
          </w:p>
        </w:tc>
        <w:tc>
          <w:tcPr>
            <w:tcW w:w="1168" w:type="pct"/>
            <w:tcBorders>
              <w:top w:val="single" w:sz="4" w:space="0" w:color="auto"/>
              <w:left w:val="nil"/>
              <w:bottom w:val="single" w:sz="4" w:space="0" w:color="auto"/>
              <w:right w:val="dotted" w:sz="4" w:space="0" w:color="auto"/>
            </w:tcBorders>
            <w:shd w:val="clear" w:color="000000" w:fill="FFFFFF"/>
            <w:vAlign w:val="center"/>
          </w:tcPr>
          <w:p w14:paraId="05E1DF5C" w14:textId="77777777" w:rsidR="00D449F3" w:rsidRPr="00835AA1" w:rsidRDefault="005F577F" w:rsidP="003926E8">
            <w:pPr>
              <w:jc w:val="center"/>
              <w:rPr>
                <w:sz w:val="20"/>
                <w:lang w:val="fr-FR"/>
              </w:rPr>
            </w:pPr>
            <w:r w:rsidRPr="00835AA1">
              <w:rPr>
                <w:sz w:val="20"/>
                <w:lang w:val="fr-FR"/>
              </w:rPr>
              <w:t>Chinois</w:t>
            </w:r>
          </w:p>
        </w:tc>
        <w:tc>
          <w:tcPr>
            <w:tcW w:w="1014" w:type="pct"/>
            <w:tcBorders>
              <w:top w:val="single" w:sz="4" w:space="0" w:color="auto"/>
              <w:left w:val="dotted" w:sz="4" w:space="0" w:color="auto"/>
              <w:bottom w:val="single" w:sz="4" w:space="0" w:color="auto"/>
              <w:right w:val="single" w:sz="4" w:space="0" w:color="auto"/>
            </w:tcBorders>
            <w:shd w:val="clear" w:color="000000" w:fill="FFFFFF"/>
            <w:vAlign w:val="center"/>
          </w:tcPr>
          <w:p w14:paraId="45429254" w14:textId="77777777" w:rsidR="00D449F3" w:rsidRPr="00835AA1" w:rsidRDefault="005F577F" w:rsidP="003926E8">
            <w:pPr>
              <w:jc w:val="center"/>
              <w:rPr>
                <w:sz w:val="20"/>
                <w:lang w:val="fr-FR"/>
              </w:rPr>
            </w:pPr>
            <w:r w:rsidRPr="00835AA1">
              <w:rPr>
                <w:sz w:val="20"/>
                <w:lang w:val="fr-FR"/>
              </w:rPr>
              <w:t>Russe</w:t>
            </w:r>
          </w:p>
        </w:tc>
      </w:tr>
      <w:tr w:rsidR="00A541B2" w:rsidRPr="00835AA1" w14:paraId="117312DA" w14:textId="77777777" w:rsidTr="00D33D61">
        <w:trPr>
          <w:trHeight w:val="600"/>
          <w:jc w:val="center"/>
        </w:trPr>
        <w:tc>
          <w:tcPr>
            <w:tcW w:w="419" w:type="pct"/>
            <w:tcBorders>
              <w:top w:val="nil"/>
              <w:left w:val="single" w:sz="4" w:space="0" w:color="auto"/>
              <w:bottom w:val="single" w:sz="4" w:space="0" w:color="auto"/>
              <w:right w:val="single" w:sz="4" w:space="0" w:color="auto"/>
            </w:tcBorders>
            <w:shd w:val="clear" w:color="000000" w:fill="FFFFFF"/>
            <w:noWrap/>
            <w:vAlign w:val="center"/>
            <w:hideMark/>
          </w:tcPr>
          <w:p w14:paraId="31BB8790" w14:textId="77777777" w:rsidR="0047019B" w:rsidRPr="00835AA1" w:rsidRDefault="0047019B" w:rsidP="0047019B">
            <w:pPr>
              <w:jc w:val="center"/>
              <w:rPr>
                <w:szCs w:val="22"/>
                <w:lang w:val="fr-FR"/>
              </w:rPr>
            </w:pPr>
            <w:r w:rsidRPr="00835AA1">
              <w:rPr>
                <w:szCs w:val="22"/>
                <w:lang w:val="fr-FR"/>
              </w:rPr>
              <w:t>2021</w:t>
            </w:r>
          </w:p>
        </w:tc>
        <w:tc>
          <w:tcPr>
            <w:tcW w:w="767" w:type="pct"/>
            <w:tcBorders>
              <w:top w:val="nil"/>
              <w:left w:val="nil"/>
              <w:bottom w:val="single" w:sz="4" w:space="0" w:color="auto"/>
              <w:right w:val="dotted" w:sz="4" w:space="0" w:color="auto"/>
            </w:tcBorders>
            <w:shd w:val="clear" w:color="000000" w:fill="FFFFFF"/>
            <w:noWrap/>
            <w:vAlign w:val="center"/>
          </w:tcPr>
          <w:p w14:paraId="024C7CFA" w14:textId="77777777" w:rsidR="0047019B" w:rsidRPr="00835AA1" w:rsidRDefault="008844A6" w:rsidP="0047019B">
            <w:pPr>
              <w:jc w:val="center"/>
              <w:rPr>
                <w:szCs w:val="22"/>
                <w:lang w:val="fr-FR"/>
              </w:rPr>
            </w:pPr>
            <w:r w:rsidRPr="00835AA1">
              <w:rPr>
                <w:bCs/>
                <w:szCs w:val="22"/>
                <w:lang w:val="fr-FR"/>
              </w:rPr>
              <w:t>4</w:t>
            </w:r>
            <w:r w:rsidR="0047019B" w:rsidRPr="00835AA1">
              <w:rPr>
                <w:bCs/>
                <w:szCs w:val="22"/>
                <w:lang w:val="fr-FR"/>
              </w:rPr>
              <w:t>917</w:t>
            </w:r>
          </w:p>
        </w:tc>
        <w:tc>
          <w:tcPr>
            <w:tcW w:w="764" w:type="pct"/>
            <w:tcBorders>
              <w:top w:val="single" w:sz="4" w:space="0" w:color="auto"/>
              <w:left w:val="dotted" w:sz="4" w:space="0" w:color="auto"/>
              <w:bottom w:val="single" w:sz="4" w:space="0" w:color="auto"/>
              <w:right w:val="dotted" w:sz="4" w:space="0" w:color="auto"/>
            </w:tcBorders>
            <w:shd w:val="clear" w:color="000000" w:fill="FFFFFF"/>
            <w:vAlign w:val="center"/>
          </w:tcPr>
          <w:p w14:paraId="4B63383E" w14:textId="77777777" w:rsidR="0047019B" w:rsidRPr="00835AA1" w:rsidRDefault="008844A6" w:rsidP="0047019B">
            <w:pPr>
              <w:jc w:val="center"/>
              <w:rPr>
                <w:szCs w:val="22"/>
                <w:lang w:val="fr-FR"/>
              </w:rPr>
            </w:pPr>
            <w:r w:rsidRPr="00835AA1">
              <w:rPr>
                <w:bCs/>
                <w:szCs w:val="22"/>
                <w:lang w:val="fr-FR"/>
              </w:rPr>
              <w:t>1</w:t>
            </w:r>
            <w:r w:rsidR="0047019B" w:rsidRPr="00835AA1">
              <w:rPr>
                <w:bCs/>
                <w:szCs w:val="22"/>
                <w:lang w:val="fr-FR"/>
              </w:rPr>
              <w:t>263</w:t>
            </w:r>
          </w:p>
        </w:tc>
        <w:tc>
          <w:tcPr>
            <w:tcW w:w="868" w:type="pct"/>
            <w:tcBorders>
              <w:top w:val="nil"/>
              <w:left w:val="dotted" w:sz="4" w:space="0" w:color="auto"/>
              <w:bottom w:val="single" w:sz="4" w:space="0" w:color="auto"/>
              <w:right w:val="single" w:sz="4" w:space="0" w:color="auto"/>
            </w:tcBorders>
            <w:shd w:val="clear" w:color="000000" w:fill="FFFFFF"/>
            <w:vAlign w:val="center"/>
          </w:tcPr>
          <w:p w14:paraId="38718FEC" w14:textId="77777777" w:rsidR="0047019B" w:rsidRPr="00835AA1" w:rsidRDefault="0047019B" w:rsidP="0047019B">
            <w:pPr>
              <w:jc w:val="center"/>
              <w:rPr>
                <w:szCs w:val="22"/>
                <w:lang w:val="fr-FR"/>
              </w:rPr>
            </w:pPr>
            <w:r w:rsidRPr="00835AA1">
              <w:rPr>
                <w:bCs/>
                <w:szCs w:val="22"/>
                <w:lang w:val="fr-FR"/>
              </w:rPr>
              <w:t>6181</w:t>
            </w:r>
          </w:p>
        </w:tc>
        <w:tc>
          <w:tcPr>
            <w:tcW w:w="1168" w:type="pct"/>
            <w:tcBorders>
              <w:top w:val="nil"/>
              <w:left w:val="nil"/>
              <w:bottom w:val="single" w:sz="4" w:space="0" w:color="auto"/>
              <w:right w:val="dotted" w:sz="4" w:space="0" w:color="auto"/>
            </w:tcBorders>
            <w:shd w:val="clear" w:color="000000" w:fill="FFFFFF"/>
            <w:noWrap/>
            <w:vAlign w:val="center"/>
          </w:tcPr>
          <w:p w14:paraId="77AB22B4" w14:textId="77777777" w:rsidR="0047019B" w:rsidRPr="00835AA1" w:rsidRDefault="0047019B" w:rsidP="008844A6">
            <w:pPr>
              <w:jc w:val="center"/>
              <w:rPr>
                <w:szCs w:val="22"/>
                <w:lang w:val="fr-FR"/>
              </w:rPr>
            </w:pPr>
            <w:r w:rsidRPr="00835AA1">
              <w:rPr>
                <w:bCs/>
                <w:szCs w:val="22"/>
                <w:lang w:val="fr-FR"/>
              </w:rPr>
              <w:t>0</w:t>
            </w:r>
            <w:r w:rsidR="008844A6" w:rsidRPr="00835AA1">
              <w:rPr>
                <w:bCs/>
                <w:szCs w:val="22"/>
                <w:lang w:val="fr-FR"/>
              </w:rPr>
              <w:t>,</w:t>
            </w:r>
            <w:r w:rsidRPr="00835AA1">
              <w:rPr>
                <w:bCs/>
                <w:szCs w:val="22"/>
                <w:lang w:val="fr-FR"/>
              </w:rPr>
              <w:t>62</w:t>
            </w:r>
          </w:p>
        </w:tc>
        <w:tc>
          <w:tcPr>
            <w:tcW w:w="1014" w:type="pct"/>
            <w:tcBorders>
              <w:top w:val="nil"/>
              <w:left w:val="dotted" w:sz="4" w:space="0" w:color="auto"/>
              <w:bottom w:val="single" w:sz="4" w:space="0" w:color="auto"/>
              <w:right w:val="single" w:sz="4" w:space="0" w:color="auto"/>
            </w:tcBorders>
            <w:shd w:val="clear" w:color="000000" w:fill="FFFFFF"/>
            <w:vAlign w:val="center"/>
          </w:tcPr>
          <w:p w14:paraId="7B5F48A6" w14:textId="77777777" w:rsidR="0047019B" w:rsidRPr="00835AA1" w:rsidRDefault="0047019B" w:rsidP="008844A6">
            <w:pPr>
              <w:jc w:val="center"/>
              <w:rPr>
                <w:szCs w:val="22"/>
                <w:lang w:val="fr-FR"/>
              </w:rPr>
            </w:pPr>
            <w:r w:rsidRPr="00835AA1">
              <w:rPr>
                <w:bCs/>
                <w:szCs w:val="22"/>
                <w:lang w:val="fr-FR"/>
              </w:rPr>
              <w:t>0</w:t>
            </w:r>
            <w:r w:rsidR="008844A6" w:rsidRPr="00835AA1">
              <w:rPr>
                <w:bCs/>
                <w:szCs w:val="22"/>
                <w:lang w:val="fr-FR"/>
              </w:rPr>
              <w:t>,</w:t>
            </w:r>
            <w:r w:rsidRPr="00835AA1">
              <w:rPr>
                <w:bCs/>
                <w:szCs w:val="22"/>
                <w:lang w:val="fr-FR"/>
              </w:rPr>
              <w:t>10</w:t>
            </w:r>
          </w:p>
        </w:tc>
      </w:tr>
      <w:tr w:rsidR="00A541B2" w:rsidRPr="00835AA1" w14:paraId="4C87F59D" w14:textId="77777777" w:rsidTr="00D33D61">
        <w:trPr>
          <w:trHeight w:val="600"/>
          <w:jc w:val="center"/>
        </w:trPr>
        <w:tc>
          <w:tcPr>
            <w:tcW w:w="419" w:type="pct"/>
            <w:tcBorders>
              <w:top w:val="nil"/>
              <w:left w:val="single" w:sz="4" w:space="0" w:color="auto"/>
              <w:bottom w:val="single" w:sz="4" w:space="0" w:color="auto"/>
              <w:right w:val="single" w:sz="4" w:space="0" w:color="auto"/>
            </w:tcBorders>
            <w:shd w:val="clear" w:color="000000" w:fill="FFFFFF"/>
            <w:noWrap/>
            <w:vAlign w:val="center"/>
            <w:hideMark/>
          </w:tcPr>
          <w:p w14:paraId="06A6E321" w14:textId="77777777" w:rsidR="0047019B" w:rsidRPr="00835AA1" w:rsidRDefault="0047019B" w:rsidP="0047019B">
            <w:pPr>
              <w:jc w:val="center"/>
              <w:rPr>
                <w:szCs w:val="22"/>
                <w:lang w:val="fr-FR"/>
              </w:rPr>
            </w:pPr>
            <w:r w:rsidRPr="00835AA1">
              <w:rPr>
                <w:szCs w:val="22"/>
                <w:lang w:val="fr-FR"/>
              </w:rPr>
              <w:t>2022</w:t>
            </w:r>
          </w:p>
        </w:tc>
        <w:tc>
          <w:tcPr>
            <w:tcW w:w="767" w:type="pct"/>
            <w:tcBorders>
              <w:top w:val="nil"/>
              <w:left w:val="nil"/>
              <w:bottom w:val="single" w:sz="4" w:space="0" w:color="auto"/>
              <w:right w:val="dotted" w:sz="4" w:space="0" w:color="auto"/>
            </w:tcBorders>
            <w:shd w:val="clear" w:color="000000" w:fill="FFFFFF"/>
            <w:noWrap/>
            <w:vAlign w:val="center"/>
          </w:tcPr>
          <w:p w14:paraId="4B6429BA" w14:textId="77777777" w:rsidR="0047019B" w:rsidRPr="00835AA1" w:rsidRDefault="008844A6" w:rsidP="0047019B">
            <w:pPr>
              <w:jc w:val="center"/>
              <w:rPr>
                <w:szCs w:val="22"/>
                <w:lang w:val="fr-FR"/>
              </w:rPr>
            </w:pPr>
            <w:r w:rsidRPr="00835AA1">
              <w:rPr>
                <w:bCs/>
                <w:szCs w:val="22"/>
                <w:lang w:val="fr-FR"/>
              </w:rPr>
              <w:t>6</w:t>
            </w:r>
            <w:r w:rsidR="0047019B" w:rsidRPr="00835AA1">
              <w:rPr>
                <w:bCs/>
                <w:szCs w:val="22"/>
                <w:lang w:val="fr-FR"/>
              </w:rPr>
              <w:t>326</w:t>
            </w:r>
          </w:p>
        </w:tc>
        <w:tc>
          <w:tcPr>
            <w:tcW w:w="764" w:type="pct"/>
            <w:tcBorders>
              <w:top w:val="single" w:sz="4" w:space="0" w:color="auto"/>
              <w:left w:val="dotted" w:sz="4" w:space="0" w:color="auto"/>
              <w:bottom w:val="single" w:sz="4" w:space="0" w:color="auto"/>
              <w:right w:val="dotted" w:sz="4" w:space="0" w:color="auto"/>
            </w:tcBorders>
            <w:shd w:val="clear" w:color="000000" w:fill="FFFFFF"/>
            <w:vAlign w:val="center"/>
          </w:tcPr>
          <w:p w14:paraId="5CA19C03" w14:textId="77777777" w:rsidR="0047019B" w:rsidRPr="00835AA1" w:rsidRDefault="008844A6" w:rsidP="0047019B">
            <w:pPr>
              <w:jc w:val="center"/>
              <w:rPr>
                <w:szCs w:val="22"/>
                <w:lang w:val="fr-FR"/>
              </w:rPr>
            </w:pPr>
            <w:r w:rsidRPr="00835AA1">
              <w:rPr>
                <w:bCs/>
                <w:szCs w:val="22"/>
                <w:lang w:val="fr-FR"/>
              </w:rPr>
              <w:t>1</w:t>
            </w:r>
            <w:r w:rsidR="0047019B" w:rsidRPr="00835AA1">
              <w:rPr>
                <w:bCs/>
                <w:szCs w:val="22"/>
                <w:lang w:val="fr-FR"/>
              </w:rPr>
              <w:t>427</w:t>
            </w:r>
          </w:p>
        </w:tc>
        <w:tc>
          <w:tcPr>
            <w:tcW w:w="868" w:type="pct"/>
            <w:tcBorders>
              <w:top w:val="nil"/>
              <w:left w:val="dotted" w:sz="4" w:space="0" w:color="auto"/>
              <w:bottom w:val="single" w:sz="4" w:space="0" w:color="auto"/>
              <w:right w:val="single" w:sz="4" w:space="0" w:color="auto"/>
            </w:tcBorders>
            <w:shd w:val="clear" w:color="000000" w:fill="FFFFFF"/>
            <w:vAlign w:val="center"/>
          </w:tcPr>
          <w:p w14:paraId="3EEAF7F5" w14:textId="77777777" w:rsidR="0047019B" w:rsidRPr="00835AA1" w:rsidRDefault="008844A6" w:rsidP="0047019B">
            <w:pPr>
              <w:jc w:val="center"/>
              <w:rPr>
                <w:szCs w:val="22"/>
                <w:lang w:val="fr-FR"/>
              </w:rPr>
            </w:pPr>
            <w:r w:rsidRPr="00835AA1">
              <w:rPr>
                <w:bCs/>
                <w:szCs w:val="22"/>
                <w:lang w:val="fr-FR"/>
              </w:rPr>
              <w:t>7</w:t>
            </w:r>
            <w:r w:rsidR="0047019B" w:rsidRPr="00835AA1">
              <w:rPr>
                <w:bCs/>
                <w:szCs w:val="22"/>
                <w:lang w:val="fr-FR"/>
              </w:rPr>
              <w:t>753</w:t>
            </w:r>
          </w:p>
        </w:tc>
        <w:tc>
          <w:tcPr>
            <w:tcW w:w="1168" w:type="pct"/>
            <w:tcBorders>
              <w:top w:val="nil"/>
              <w:left w:val="nil"/>
              <w:bottom w:val="single" w:sz="4" w:space="0" w:color="auto"/>
              <w:right w:val="dotted" w:sz="4" w:space="0" w:color="auto"/>
            </w:tcBorders>
            <w:shd w:val="clear" w:color="000000" w:fill="FFFFFF"/>
            <w:noWrap/>
            <w:vAlign w:val="center"/>
          </w:tcPr>
          <w:p w14:paraId="573735D0" w14:textId="77777777" w:rsidR="0047019B" w:rsidRPr="00835AA1" w:rsidRDefault="0047019B" w:rsidP="008844A6">
            <w:pPr>
              <w:jc w:val="center"/>
              <w:rPr>
                <w:szCs w:val="22"/>
                <w:lang w:val="fr-FR"/>
              </w:rPr>
            </w:pPr>
            <w:r w:rsidRPr="00835AA1">
              <w:rPr>
                <w:bCs/>
                <w:szCs w:val="22"/>
                <w:lang w:val="fr-FR"/>
              </w:rPr>
              <w:t>0</w:t>
            </w:r>
            <w:r w:rsidR="008844A6" w:rsidRPr="00835AA1">
              <w:rPr>
                <w:bCs/>
                <w:szCs w:val="22"/>
                <w:lang w:val="fr-FR"/>
              </w:rPr>
              <w:t>,</w:t>
            </w:r>
            <w:r w:rsidRPr="00835AA1">
              <w:rPr>
                <w:bCs/>
                <w:szCs w:val="22"/>
                <w:lang w:val="fr-FR"/>
              </w:rPr>
              <w:t>82</w:t>
            </w:r>
          </w:p>
        </w:tc>
        <w:tc>
          <w:tcPr>
            <w:tcW w:w="1014" w:type="pct"/>
            <w:tcBorders>
              <w:top w:val="nil"/>
              <w:left w:val="dotted" w:sz="4" w:space="0" w:color="auto"/>
              <w:bottom w:val="single" w:sz="4" w:space="0" w:color="auto"/>
              <w:right w:val="single" w:sz="4" w:space="0" w:color="auto"/>
            </w:tcBorders>
            <w:shd w:val="clear" w:color="000000" w:fill="FFFFFF"/>
            <w:vAlign w:val="center"/>
          </w:tcPr>
          <w:p w14:paraId="7C185529" w14:textId="77777777" w:rsidR="0047019B" w:rsidRPr="00835AA1" w:rsidRDefault="0047019B" w:rsidP="008844A6">
            <w:pPr>
              <w:jc w:val="center"/>
              <w:rPr>
                <w:szCs w:val="22"/>
                <w:lang w:val="fr-FR"/>
              </w:rPr>
            </w:pPr>
            <w:r w:rsidRPr="00835AA1">
              <w:rPr>
                <w:bCs/>
                <w:szCs w:val="22"/>
                <w:lang w:val="fr-FR"/>
              </w:rPr>
              <w:t>0</w:t>
            </w:r>
            <w:r w:rsidR="008844A6" w:rsidRPr="00835AA1">
              <w:rPr>
                <w:bCs/>
                <w:szCs w:val="22"/>
                <w:lang w:val="fr-FR"/>
              </w:rPr>
              <w:t>,</w:t>
            </w:r>
            <w:r w:rsidRPr="00835AA1">
              <w:rPr>
                <w:bCs/>
                <w:szCs w:val="22"/>
                <w:lang w:val="fr-FR"/>
              </w:rPr>
              <w:t>12</w:t>
            </w:r>
          </w:p>
        </w:tc>
      </w:tr>
      <w:tr w:rsidR="00A541B2" w:rsidRPr="00835AA1" w14:paraId="22168988" w14:textId="77777777" w:rsidTr="00D33D61">
        <w:trPr>
          <w:trHeight w:val="600"/>
          <w:jc w:val="center"/>
        </w:trPr>
        <w:tc>
          <w:tcPr>
            <w:tcW w:w="419" w:type="pct"/>
            <w:tcBorders>
              <w:top w:val="nil"/>
              <w:left w:val="single" w:sz="4" w:space="0" w:color="auto"/>
              <w:bottom w:val="single" w:sz="4" w:space="0" w:color="auto"/>
              <w:right w:val="single" w:sz="4" w:space="0" w:color="auto"/>
            </w:tcBorders>
            <w:shd w:val="clear" w:color="000000" w:fill="FFFFFF"/>
            <w:noWrap/>
            <w:vAlign w:val="center"/>
            <w:hideMark/>
          </w:tcPr>
          <w:p w14:paraId="16E65B49" w14:textId="77777777" w:rsidR="0047019B" w:rsidRPr="00835AA1" w:rsidRDefault="0047019B" w:rsidP="0047019B">
            <w:pPr>
              <w:jc w:val="center"/>
              <w:rPr>
                <w:szCs w:val="22"/>
                <w:lang w:val="fr-FR"/>
              </w:rPr>
            </w:pPr>
            <w:r w:rsidRPr="00835AA1">
              <w:rPr>
                <w:szCs w:val="22"/>
                <w:lang w:val="fr-FR"/>
              </w:rPr>
              <w:t>2023</w:t>
            </w:r>
          </w:p>
        </w:tc>
        <w:tc>
          <w:tcPr>
            <w:tcW w:w="767" w:type="pct"/>
            <w:tcBorders>
              <w:top w:val="nil"/>
              <w:left w:val="nil"/>
              <w:bottom w:val="single" w:sz="4" w:space="0" w:color="auto"/>
              <w:right w:val="dotted" w:sz="4" w:space="0" w:color="auto"/>
            </w:tcBorders>
            <w:shd w:val="clear" w:color="000000" w:fill="FFFFFF"/>
            <w:noWrap/>
            <w:vAlign w:val="center"/>
          </w:tcPr>
          <w:p w14:paraId="1E48AB6E" w14:textId="77777777" w:rsidR="0047019B" w:rsidRPr="00835AA1" w:rsidRDefault="008844A6" w:rsidP="0047019B">
            <w:pPr>
              <w:jc w:val="center"/>
              <w:rPr>
                <w:szCs w:val="22"/>
                <w:lang w:val="fr-FR"/>
              </w:rPr>
            </w:pPr>
            <w:r w:rsidRPr="00835AA1">
              <w:rPr>
                <w:bCs/>
                <w:szCs w:val="22"/>
                <w:lang w:val="fr-FR"/>
              </w:rPr>
              <w:t>7</w:t>
            </w:r>
            <w:r w:rsidR="0047019B" w:rsidRPr="00835AA1">
              <w:rPr>
                <w:bCs/>
                <w:szCs w:val="22"/>
                <w:lang w:val="fr-FR"/>
              </w:rPr>
              <w:t>881</w:t>
            </w:r>
          </w:p>
        </w:tc>
        <w:tc>
          <w:tcPr>
            <w:tcW w:w="764" w:type="pct"/>
            <w:tcBorders>
              <w:top w:val="single" w:sz="4" w:space="0" w:color="auto"/>
              <w:left w:val="dotted" w:sz="4" w:space="0" w:color="auto"/>
              <w:bottom w:val="single" w:sz="4" w:space="0" w:color="auto"/>
              <w:right w:val="dotted" w:sz="4" w:space="0" w:color="auto"/>
            </w:tcBorders>
            <w:shd w:val="clear" w:color="000000" w:fill="FFFFFF"/>
            <w:vAlign w:val="center"/>
          </w:tcPr>
          <w:p w14:paraId="64E55F5E" w14:textId="77777777" w:rsidR="0047019B" w:rsidRPr="00835AA1" w:rsidRDefault="008844A6" w:rsidP="0047019B">
            <w:pPr>
              <w:jc w:val="center"/>
              <w:rPr>
                <w:szCs w:val="22"/>
                <w:lang w:val="fr-FR"/>
              </w:rPr>
            </w:pPr>
            <w:r w:rsidRPr="00835AA1">
              <w:rPr>
                <w:bCs/>
                <w:szCs w:val="22"/>
                <w:lang w:val="fr-FR"/>
              </w:rPr>
              <w:t>1</w:t>
            </w:r>
            <w:r w:rsidR="0047019B" w:rsidRPr="00835AA1">
              <w:rPr>
                <w:bCs/>
                <w:szCs w:val="22"/>
                <w:lang w:val="fr-FR"/>
              </w:rPr>
              <w:t>580</w:t>
            </w:r>
          </w:p>
        </w:tc>
        <w:tc>
          <w:tcPr>
            <w:tcW w:w="868" w:type="pct"/>
            <w:tcBorders>
              <w:top w:val="nil"/>
              <w:left w:val="dotted" w:sz="4" w:space="0" w:color="auto"/>
              <w:bottom w:val="single" w:sz="4" w:space="0" w:color="auto"/>
              <w:right w:val="single" w:sz="4" w:space="0" w:color="auto"/>
            </w:tcBorders>
            <w:shd w:val="clear" w:color="000000" w:fill="FFFFFF"/>
            <w:vAlign w:val="center"/>
          </w:tcPr>
          <w:p w14:paraId="4E889322" w14:textId="77777777" w:rsidR="0047019B" w:rsidRPr="00835AA1" w:rsidRDefault="008844A6" w:rsidP="0047019B">
            <w:pPr>
              <w:jc w:val="center"/>
              <w:rPr>
                <w:szCs w:val="22"/>
                <w:lang w:val="fr-FR"/>
              </w:rPr>
            </w:pPr>
            <w:r w:rsidRPr="00835AA1">
              <w:rPr>
                <w:bCs/>
                <w:szCs w:val="22"/>
                <w:lang w:val="fr-FR"/>
              </w:rPr>
              <w:t>9</w:t>
            </w:r>
            <w:r w:rsidR="0047019B" w:rsidRPr="00835AA1">
              <w:rPr>
                <w:bCs/>
                <w:szCs w:val="22"/>
                <w:lang w:val="fr-FR"/>
              </w:rPr>
              <w:t>461</w:t>
            </w:r>
          </w:p>
        </w:tc>
        <w:tc>
          <w:tcPr>
            <w:tcW w:w="1168" w:type="pct"/>
            <w:tcBorders>
              <w:top w:val="nil"/>
              <w:left w:val="nil"/>
              <w:bottom w:val="single" w:sz="4" w:space="0" w:color="auto"/>
              <w:right w:val="dotted" w:sz="4" w:space="0" w:color="auto"/>
            </w:tcBorders>
            <w:shd w:val="clear" w:color="000000" w:fill="FFFFFF"/>
            <w:noWrap/>
            <w:vAlign w:val="center"/>
          </w:tcPr>
          <w:p w14:paraId="68814E19" w14:textId="77777777" w:rsidR="0047019B" w:rsidRPr="00835AA1" w:rsidRDefault="0047019B" w:rsidP="008844A6">
            <w:pPr>
              <w:jc w:val="center"/>
              <w:rPr>
                <w:szCs w:val="22"/>
                <w:lang w:val="fr-FR"/>
              </w:rPr>
            </w:pPr>
            <w:r w:rsidRPr="00835AA1">
              <w:rPr>
                <w:bCs/>
                <w:szCs w:val="22"/>
                <w:lang w:val="fr-FR"/>
              </w:rPr>
              <w:t>1</w:t>
            </w:r>
            <w:r w:rsidR="008844A6" w:rsidRPr="00835AA1">
              <w:rPr>
                <w:bCs/>
                <w:szCs w:val="22"/>
                <w:lang w:val="fr-FR"/>
              </w:rPr>
              <w:t>,</w:t>
            </w:r>
            <w:r w:rsidRPr="00835AA1">
              <w:rPr>
                <w:bCs/>
                <w:szCs w:val="22"/>
                <w:lang w:val="fr-FR"/>
              </w:rPr>
              <w:t>05</w:t>
            </w:r>
          </w:p>
        </w:tc>
        <w:tc>
          <w:tcPr>
            <w:tcW w:w="1014" w:type="pct"/>
            <w:tcBorders>
              <w:top w:val="nil"/>
              <w:left w:val="dotted" w:sz="4" w:space="0" w:color="auto"/>
              <w:bottom w:val="single" w:sz="4" w:space="0" w:color="auto"/>
              <w:right w:val="single" w:sz="4" w:space="0" w:color="auto"/>
            </w:tcBorders>
            <w:shd w:val="clear" w:color="000000" w:fill="FFFFFF"/>
            <w:vAlign w:val="center"/>
          </w:tcPr>
          <w:p w14:paraId="439E119D" w14:textId="77777777" w:rsidR="0047019B" w:rsidRPr="00835AA1" w:rsidRDefault="0047019B" w:rsidP="008844A6">
            <w:pPr>
              <w:jc w:val="center"/>
              <w:rPr>
                <w:szCs w:val="22"/>
                <w:lang w:val="fr-FR"/>
              </w:rPr>
            </w:pPr>
            <w:r w:rsidRPr="00835AA1">
              <w:rPr>
                <w:bCs/>
                <w:szCs w:val="22"/>
                <w:lang w:val="fr-FR"/>
              </w:rPr>
              <w:t>0</w:t>
            </w:r>
            <w:r w:rsidR="008844A6" w:rsidRPr="00835AA1">
              <w:rPr>
                <w:bCs/>
                <w:szCs w:val="22"/>
                <w:lang w:val="fr-FR"/>
              </w:rPr>
              <w:t>,</w:t>
            </w:r>
            <w:r w:rsidRPr="00835AA1">
              <w:rPr>
                <w:bCs/>
                <w:szCs w:val="22"/>
                <w:lang w:val="fr-FR"/>
              </w:rPr>
              <w:t>13</w:t>
            </w:r>
          </w:p>
        </w:tc>
      </w:tr>
      <w:tr w:rsidR="00A541B2" w:rsidRPr="00835AA1" w14:paraId="709D63A5" w14:textId="77777777" w:rsidTr="00D33D61">
        <w:trPr>
          <w:trHeight w:val="600"/>
          <w:jc w:val="center"/>
        </w:trPr>
        <w:tc>
          <w:tcPr>
            <w:tcW w:w="41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A6E38C" w14:textId="77777777" w:rsidR="0047019B" w:rsidRPr="00835AA1" w:rsidRDefault="0047019B" w:rsidP="0047019B">
            <w:pPr>
              <w:jc w:val="center"/>
              <w:rPr>
                <w:szCs w:val="22"/>
                <w:lang w:val="fr-FR"/>
              </w:rPr>
            </w:pPr>
            <w:r w:rsidRPr="00835AA1">
              <w:rPr>
                <w:szCs w:val="22"/>
                <w:lang w:val="fr-FR"/>
              </w:rPr>
              <w:t>2024</w:t>
            </w:r>
          </w:p>
        </w:tc>
        <w:tc>
          <w:tcPr>
            <w:tcW w:w="767" w:type="pct"/>
            <w:tcBorders>
              <w:top w:val="single" w:sz="4" w:space="0" w:color="auto"/>
              <w:left w:val="nil"/>
              <w:bottom w:val="single" w:sz="4" w:space="0" w:color="auto"/>
              <w:right w:val="dotted" w:sz="4" w:space="0" w:color="auto"/>
            </w:tcBorders>
            <w:shd w:val="clear" w:color="000000" w:fill="FFFFFF"/>
            <w:noWrap/>
            <w:vAlign w:val="center"/>
          </w:tcPr>
          <w:p w14:paraId="7E745416" w14:textId="77777777" w:rsidR="0047019B" w:rsidRPr="00835AA1" w:rsidRDefault="008844A6" w:rsidP="0047019B">
            <w:pPr>
              <w:jc w:val="center"/>
              <w:rPr>
                <w:szCs w:val="22"/>
                <w:lang w:val="fr-FR"/>
              </w:rPr>
            </w:pPr>
            <w:r w:rsidRPr="00835AA1">
              <w:rPr>
                <w:bCs/>
                <w:szCs w:val="22"/>
                <w:lang w:val="fr-FR"/>
              </w:rPr>
              <w:t>9</w:t>
            </w:r>
            <w:r w:rsidR="0047019B" w:rsidRPr="00835AA1">
              <w:rPr>
                <w:bCs/>
                <w:szCs w:val="22"/>
                <w:lang w:val="fr-FR"/>
              </w:rPr>
              <w:t>563</w:t>
            </w:r>
          </w:p>
        </w:tc>
        <w:tc>
          <w:tcPr>
            <w:tcW w:w="764" w:type="pct"/>
            <w:tcBorders>
              <w:top w:val="single" w:sz="4" w:space="0" w:color="auto"/>
              <w:left w:val="dotted" w:sz="4" w:space="0" w:color="auto"/>
              <w:bottom w:val="single" w:sz="4" w:space="0" w:color="auto"/>
              <w:right w:val="dotted" w:sz="4" w:space="0" w:color="auto"/>
            </w:tcBorders>
            <w:shd w:val="clear" w:color="000000" w:fill="FFFFFF"/>
            <w:vAlign w:val="center"/>
          </w:tcPr>
          <w:p w14:paraId="4FCAD537" w14:textId="77777777" w:rsidR="0047019B" w:rsidRPr="00835AA1" w:rsidRDefault="008844A6" w:rsidP="0047019B">
            <w:pPr>
              <w:jc w:val="center"/>
              <w:rPr>
                <w:szCs w:val="22"/>
                <w:lang w:val="fr-FR"/>
              </w:rPr>
            </w:pPr>
            <w:r w:rsidRPr="00835AA1">
              <w:rPr>
                <w:bCs/>
                <w:szCs w:val="22"/>
                <w:lang w:val="fr-FR"/>
              </w:rPr>
              <w:t>1</w:t>
            </w:r>
            <w:r w:rsidR="0047019B" w:rsidRPr="00835AA1">
              <w:rPr>
                <w:bCs/>
                <w:szCs w:val="22"/>
                <w:lang w:val="fr-FR"/>
              </w:rPr>
              <w:t>724</w:t>
            </w:r>
          </w:p>
        </w:tc>
        <w:tc>
          <w:tcPr>
            <w:tcW w:w="868" w:type="pct"/>
            <w:tcBorders>
              <w:top w:val="single" w:sz="4" w:space="0" w:color="auto"/>
              <w:left w:val="dotted" w:sz="4" w:space="0" w:color="auto"/>
              <w:bottom w:val="single" w:sz="4" w:space="0" w:color="auto"/>
              <w:right w:val="single" w:sz="4" w:space="0" w:color="auto"/>
            </w:tcBorders>
            <w:shd w:val="clear" w:color="000000" w:fill="FFFFFF"/>
            <w:vAlign w:val="center"/>
          </w:tcPr>
          <w:p w14:paraId="33627752" w14:textId="77777777" w:rsidR="0047019B" w:rsidRPr="00835AA1" w:rsidRDefault="0047019B" w:rsidP="008844A6">
            <w:pPr>
              <w:jc w:val="center"/>
              <w:rPr>
                <w:szCs w:val="22"/>
                <w:lang w:val="fr-FR"/>
              </w:rPr>
            </w:pPr>
            <w:r w:rsidRPr="00835AA1">
              <w:rPr>
                <w:bCs/>
                <w:szCs w:val="22"/>
                <w:lang w:val="fr-FR"/>
              </w:rPr>
              <w:t>11</w:t>
            </w:r>
            <w:r w:rsidR="005829EF" w:rsidRPr="00835AA1">
              <w:rPr>
                <w:bCs/>
                <w:szCs w:val="22"/>
                <w:lang w:val="fr-FR"/>
              </w:rPr>
              <w:t> </w:t>
            </w:r>
            <w:r w:rsidRPr="00835AA1">
              <w:rPr>
                <w:bCs/>
                <w:szCs w:val="22"/>
                <w:lang w:val="fr-FR"/>
              </w:rPr>
              <w:t>287</w:t>
            </w:r>
          </w:p>
        </w:tc>
        <w:tc>
          <w:tcPr>
            <w:tcW w:w="1168" w:type="pct"/>
            <w:tcBorders>
              <w:top w:val="single" w:sz="4" w:space="0" w:color="auto"/>
              <w:left w:val="nil"/>
              <w:bottom w:val="single" w:sz="4" w:space="0" w:color="auto"/>
              <w:right w:val="dotted" w:sz="4" w:space="0" w:color="auto"/>
            </w:tcBorders>
            <w:shd w:val="clear" w:color="000000" w:fill="FFFFFF"/>
            <w:noWrap/>
            <w:vAlign w:val="center"/>
          </w:tcPr>
          <w:p w14:paraId="6388648C" w14:textId="77777777" w:rsidR="0047019B" w:rsidRPr="00835AA1" w:rsidRDefault="0047019B" w:rsidP="008844A6">
            <w:pPr>
              <w:jc w:val="center"/>
              <w:rPr>
                <w:szCs w:val="22"/>
                <w:lang w:val="fr-FR"/>
              </w:rPr>
            </w:pPr>
            <w:r w:rsidRPr="00835AA1">
              <w:rPr>
                <w:bCs/>
                <w:szCs w:val="22"/>
                <w:lang w:val="fr-FR"/>
              </w:rPr>
              <w:t>1</w:t>
            </w:r>
            <w:r w:rsidR="008844A6" w:rsidRPr="00835AA1">
              <w:rPr>
                <w:bCs/>
                <w:szCs w:val="22"/>
                <w:lang w:val="fr-FR"/>
              </w:rPr>
              <w:t>,</w:t>
            </w:r>
            <w:r w:rsidRPr="00835AA1">
              <w:rPr>
                <w:bCs/>
                <w:szCs w:val="22"/>
                <w:lang w:val="fr-FR"/>
              </w:rPr>
              <w:t>30</w:t>
            </w:r>
          </w:p>
        </w:tc>
        <w:tc>
          <w:tcPr>
            <w:tcW w:w="1014" w:type="pct"/>
            <w:tcBorders>
              <w:top w:val="single" w:sz="4" w:space="0" w:color="auto"/>
              <w:left w:val="dotted" w:sz="4" w:space="0" w:color="auto"/>
              <w:bottom w:val="single" w:sz="4" w:space="0" w:color="auto"/>
              <w:right w:val="single" w:sz="4" w:space="0" w:color="auto"/>
            </w:tcBorders>
            <w:shd w:val="clear" w:color="000000" w:fill="FFFFFF"/>
            <w:vAlign w:val="center"/>
          </w:tcPr>
          <w:p w14:paraId="02862DF3" w14:textId="77777777" w:rsidR="0047019B" w:rsidRPr="00835AA1" w:rsidRDefault="0047019B" w:rsidP="008844A6">
            <w:pPr>
              <w:jc w:val="center"/>
              <w:rPr>
                <w:szCs w:val="22"/>
                <w:lang w:val="fr-FR"/>
              </w:rPr>
            </w:pPr>
            <w:r w:rsidRPr="00835AA1">
              <w:rPr>
                <w:bCs/>
                <w:szCs w:val="22"/>
                <w:lang w:val="fr-FR"/>
              </w:rPr>
              <w:t>0</w:t>
            </w:r>
            <w:r w:rsidR="008844A6" w:rsidRPr="00835AA1">
              <w:rPr>
                <w:bCs/>
                <w:szCs w:val="22"/>
                <w:lang w:val="fr-FR"/>
              </w:rPr>
              <w:t>,</w:t>
            </w:r>
            <w:r w:rsidRPr="00835AA1">
              <w:rPr>
                <w:bCs/>
                <w:szCs w:val="22"/>
                <w:lang w:val="fr-FR"/>
              </w:rPr>
              <w:t>15</w:t>
            </w:r>
          </w:p>
        </w:tc>
      </w:tr>
      <w:tr w:rsidR="00A541B2" w:rsidRPr="00835AA1" w14:paraId="06057721" w14:textId="77777777" w:rsidTr="00D33D61">
        <w:trPr>
          <w:trHeight w:val="600"/>
          <w:jc w:val="center"/>
        </w:trPr>
        <w:tc>
          <w:tcPr>
            <w:tcW w:w="41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049CC4" w14:textId="77777777" w:rsidR="0047019B" w:rsidRPr="00835AA1" w:rsidRDefault="0047019B" w:rsidP="0047019B">
            <w:pPr>
              <w:jc w:val="center"/>
              <w:rPr>
                <w:szCs w:val="22"/>
                <w:lang w:val="fr-FR"/>
              </w:rPr>
            </w:pPr>
            <w:r w:rsidRPr="00835AA1">
              <w:rPr>
                <w:szCs w:val="22"/>
                <w:lang w:val="fr-FR"/>
              </w:rPr>
              <w:t>2025</w:t>
            </w:r>
          </w:p>
        </w:tc>
        <w:tc>
          <w:tcPr>
            <w:tcW w:w="767" w:type="pct"/>
            <w:tcBorders>
              <w:top w:val="single" w:sz="4" w:space="0" w:color="auto"/>
              <w:left w:val="nil"/>
              <w:bottom w:val="single" w:sz="4" w:space="0" w:color="auto"/>
              <w:right w:val="dotted" w:sz="4" w:space="0" w:color="auto"/>
            </w:tcBorders>
            <w:shd w:val="clear" w:color="000000" w:fill="FFFFFF"/>
            <w:noWrap/>
            <w:vAlign w:val="center"/>
          </w:tcPr>
          <w:p w14:paraId="08FEE44C" w14:textId="77777777" w:rsidR="0047019B" w:rsidRPr="00835AA1" w:rsidRDefault="008844A6" w:rsidP="0047019B">
            <w:pPr>
              <w:jc w:val="center"/>
              <w:rPr>
                <w:szCs w:val="22"/>
                <w:lang w:val="fr-FR"/>
              </w:rPr>
            </w:pPr>
            <w:r w:rsidRPr="00835AA1">
              <w:rPr>
                <w:bCs/>
                <w:szCs w:val="22"/>
                <w:lang w:val="fr-FR"/>
              </w:rPr>
              <w:t>11</w:t>
            </w:r>
            <w:r w:rsidR="005829EF" w:rsidRPr="00835AA1">
              <w:rPr>
                <w:bCs/>
                <w:szCs w:val="22"/>
                <w:lang w:val="fr-FR"/>
              </w:rPr>
              <w:t> </w:t>
            </w:r>
            <w:r w:rsidR="0047019B" w:rsidRPr="00835AA1">
              <w:rPr>
                <w:bCs/>
                <w:szCs w:val="22"/>
                <w:lang w:val="fr-FR"/>
              </w:rPr>
              <w:t>356</w:t>
            </w:r>
          </w:p>
        </w:tc>
        <w:tc>
          <w:tcPr>
            <w:tcW w:w="764" w:type="pct"/>
            <w:tcBorders>
              <w:top w:val="single" w:sz="4" w:space="0" w:color="auto"/>
              <w:left w:val="dotted" w:sz="4" w:space="0" w:color="auto"/>
              <w:bottom w:val="single" w:sz="4" w:space="0" w:color="auto"/>
              <w:right w:val="dotted" w:sz="4" w:space="0" w:color="auto"/>
            </w:tcBorders>
            <w:shd w:val="clear" w:color="000000" w:fill="FFFFFF"/>
            <w:vAlign w:val="center"/>
          </w:tcPr>
          <w:p w14:paraId="3588E9F6" w14:textId="77777777" w:rsidR="0047019B" w:rsidRPr="00835AA1" w:rsidRDefault="008844A6" w:rsidP="0047019B">
            <w:pPr>
              <w:jc w:val="center"/>
              <w:rPr>
                <w:szCs w:val="22"/>
                <w:lang w:val="fr-FR"/>
              </w:rPr>
            </w:pPr>
            <w:r w:rsidRPr="00835AA1">
              <w:rPr>
                <w:bCs/>
                <w:szCs w:val="22"/>
                <w:lang w:val="fr-FR"/>
              </w:rPr>
              <w:t>1</w:t>
            </w:r>
            <w:r w:rsidR="0047019B" w:rsidRPr="00835AA1">
              <w:rPr>
                <w:bCs/>
                <w:szCs w:val="22"/>
                <w:lang w:val="fr-FR"/>
              </w:rPr>
              <w:t>857</w:t>
            </w:r>
          </w:p>
        </w:tc>
        <w:tc>
          <w:tcPr>
            <w:tcW w:w="868" w:type="pct"/>
            <w:tcBorders>
              <w:top w:val="single" w:sz="4" w:space="0" w:color="auto"/>
              <w:left w:val="dotted" w:sz="4" w:space="0" w:color="auto"/>
              <w:bottom w:val="single" w:sz="4" w:space="0" w:color="auto"/>
              <w:right w:val="single" w:sz="4" w:space="0" w:color="auto"/>
            </w:tcBorders>
            <w:shd w:val="clear" w:color="000000" w:fill="FFFFFF"/>
            <w:vAlign w:val="center"/>
          </w:tcPr>
          <w:p w14:paraId="60845E9A" w14:textId="77777777" w:rsidR="0047019B" w:rsidRPr="00835AA1" w:rsidRDefault="0047019B" w:rsidP="008844A6">
            <w:pPr>
              <w:jc w:val="center"/>
              <w:rPr>
                <w:szCs w:val="22"/>
                <w:lang w:val="fr-FR"/>
              </w:rPr>
            </w:pPr>
            <w:r w:rsidRPr="00835AA1">
              <w:rPr>
                <w:bCs/>
                <w:szCs w:val="22"/>
                <w:lang w:val="fr-FR"/>
              </w:rPr>
              <w:t>13</w:t>
            </w:r>
            <w:r w:rsidR="005829EF" w:rsidRPr="00835AA1">
              <w:rPr>
                <w:bCs/>
                <w:szCs w:val="22"/>
                <w:lang w:val="fr-FR"/>
              </w:rPr>
              <w:t> </w:t>
            </w:r>
            <w:r w:rsidRPr="00835AA1">
              <w:rPr>
                <w:bCs/>
                <w:szCs w:val="22"/>
                <w:lang w:val="fr-FR"/>
              </w:rPr>
              <w:t>213</w:t>
            </w:r>
          </w:p>
        </w:tc>
        <w:tc>
          <w:tcPr>
            <w:tcW w:w="1168" w:type="pct"/>
            <w:tcBorders>
              <w:top w:val="single" w:sz="4" w:space="0" w:color="auto"/>
              <w:left w:val="nil"/>
              <w:bottom w:val="single" w:sz="4" w:space="0" w:color="auto"/>
              <w:right w:val="dotted" w:sz="4" w:space="0" w:color="auto"/>
            </w:tcBorders>
            <w:shd w:val="clear" w:color="000000" w:fill="FFFFFF"/>
            <w:noWrap/>
            <w:vAlign w:val="center"/>
          </w:tcPr>
          <w:p w14:paraId="512E2AC9" w14:textId="77777777" w:rsidR="0047019B" w:rsidRPr="00835AA1" w:rsidRDefault="0047019B" w:rsidP="008844A6">
            <w:pPr>
              <w:jc w:val="center"/>
              <w:rPr>
                <w:szCs w:val="22"/>
                <w:lang w:val="fr-FR"/>
              </w:rPr>
            </w:pPr>
            <w:r w:rsidRPr="00835AA1">
              <w:rPr>
                <w:bCs/>
                <w:szCs w:val="22"/>
                <w:lang w:val="fr-FR"/>
              </w:rPr>
              <w:t>1</w:t>
            </w:r>
            <w:r w:rsidR="008844A6" w:rsidRPr="00835AA1">
              <w:rPr>
                <w:bCs/>
                <w:szCs w:val="22"/>
                <w:lang w:val="fr-FR"/>
              </w:rPr>
              <w:t>,</w:t>
            </w:r>
            <w:r w:rsidRPr="00835AA1">
              <w:rPr>
                <w:bCs/>
                <w:szCs w:val="22"/>
                <w:lang w:val="fr-FR"/>
              </w:rPr>
              <w:t>59</w:t>
            </w:r>
          </w:p>
        </w:tc>
        <w:tc>
          <w:tcPr>
            <w:tcW w:w="1014" w:type="pct"/>
            <w:tcBorders>
              <w:top w:val="single" w:sz="4" w:space="0" w:color="auto"/>
              <w:left w:val="dotted" w:sz="4" w:space="0" w:color="auto"/>
              <w:bottom w:val="single" w:sz="4" w:space="0" w:color="auto"/>
              <w:right w:val="single" w:sz="4" w:space="0" w:color="auto"/>
            </w:tcBorders>
            <w:shd w:val="clear" w:color="000000" w:fill="FFFFFF"/>
            <w:vAlign w:val="center"/>
          </w:tcPr>
          <w:p w14:paraId="732C4FFC" w14:textId="77777777" w:rsidR="0047019B" w:rsidRPr="00835AA1" w:rsidRDefault="0047019B" w:rsidP="0047019B">
            <w:pPr>
              <w:jc w:val="center"/>
              <w:rPr>
                <w:szCs w:val="22"/>
                <w:lang w:val="fr-FR"/>
              </w:rPr>
            </w:pPr>
            <w:r w:rsidRPr="00835AA1">
              <w:rPr>
                <w:bCs/>
                <w:szCs w:val="22"/>
                <w:lang w:val="fr-FR"/>
              </w:rPr>
              <w:t>0</w:t>
            </w:r>
            <w:r w:rsidR="008844A6" w:rsidRPr="00835AA1">
              <w:rPr>
                <w:bCs/>
                <w:szCs w:val="22"/>
                <w:lang w:val="fr-FR"/>
              </w:rPr>
              <w:t>,</w:t>
            </w:r>
            <w:r w:rsidRPr="00835AA1">
              <w:rPr>
                <w:bCs/>
                <w:szCs w:val="22"/>
                <w:lang w:val="fr-FR"/>
              </w:rPr>
              <w:t>16</w:t>
            </w:r>
          </w:p>
        </w:tc>
      </w:tr>
    </w:tbl>
    <w:p w14:paraId="1AB7D4C7" w14:textId="77777777" w:rsidR="008844A6" w:rsidRPr="00B34648" w:rsidRDefault="00B34648" w:rsidP="00E839DD">
      <w:pPr>
        <w:pStyle w:val="Heading2"/>
        <w:spacing w:before="280"/>
      </w:pPr>
      <w:r w:rsidRPr="00B34648">
        <w:t>Langue de publication et de communication de l’office (option “D”)</w:t>
      </w:r>
    </w:p>
    <w:p w14:paraId="196A9B14" w14:textId="07A24060" w:rsidR="008844A6" w:rsidRDefault="005829EF" w:rsidP="00B34648">
      <w:pPr>
        <w:pStyle w:val="ONUMFS"/>
        <w:rPr>
          <w:lang w:val="fr-FR"/>
        </w:rPr>
      </w:pPr>
      <w:r w:rsidRPr="00835AA1">
        <w:rPr>
          <w:lang w:val="fr-FR"/>
        </w:rPr>
        <w:t>Outre les travaux de traduction requis en vertu des options précédentes, le Bureau international traduirait également les éléments pertinents dans une autre nouvelle langue si la demande internationale désignait une partie contractante ayant sélectionné cette langue aux fins de communication.</w:t>
      </w:r>
    </w:p>
    <w:p w14:paraId="768C5287" w14:textId="2E12B4C3" w:rsidR="00A419D0" w:rsidRDefault="00A419D0" w:rsidP="00A419D0">
      <w:pPr>
        <w:pStyle w:val="ONUMFS"/>
        <w:numPr>
          <w:ilvl w:val="0"/>
          <w:numId w:val="0"/>
        </w:numPr>
        <w:rPr>
          <w:lang w:val="fr-FR"/>
        </w:rPr>
      </w:pPr>
    </w:p>
    <w:p w14:paraId="51946966" w14:textId="597965C8" w:rsidR="00A419D0" w:rsidRPr="00835AA1" w:rsidRDefault="00A419D0" w:rsidP="00A419D0">
      <w:pPr>
        <w:pStyle w:val="ONUMFS"/>
        <w:numPr>
          <w:ilvl w:val="0"/>
          <w:numId w:val="0"/>
        </w:numPr>
        <w:rPr>
          <w:lang w:val="fr-FR"/>
        </w:rPr>
      </w:pPr>
    </w:p>
    <w:p w14:paraId="29CC1E5E" w14:textId="77777777" w:rsidR="008844A6" w:rsidRPr="00835AA1" w:rsidRDefault="005829EF" w:rsidP="00B34648">
      <w:pPr>
        <w:pStyle w:val="ONUMFS"/>
        <w:rPr>
          <w:lang w:val="fr-FR"/>
        </w:rPr>
      </w:pPr>
      <w:r w:rsidRPr="00835AA1">
        <w:rPr>
          <w:lang w:val="fr-FR"/>
        </w:rPr>
        <w:lastRenderedPageBreak/>
        <w:t>En conséquence, l</w:t>
      </w:r>
      <w:r w:rsidR="002E3178" w:rsidRPr="00835AA1">
        <w:rPr>
          <w:lang w:val="fr-FR"/>
        </w:rPr>
        <w:t>’</w:t>
      </w:r>
      <w:r w:rsidRPr="00835AA1">
        <w:rPr>
          <w:lang w:val="fr-FR"/>
        </w:rPr>
        <w:t>estimation des coûts tient également compte du nombre prévu de demandes internationales déposées en français, en anglais ou en espagnol et qui désignent des parties contractantes potentielles</w:t>
      </w:r>
      <w:r w:rsidRPr="00835AA1">
        <w:rPr>
          <w:rStyle w:val="FootnoteReference"/>
          <w:lang w:val="fr-FR"/>
        </w:rPr>
        <w:footnoteReference w:id="18"/>
      </w:r>
      <w:r w:rsidRPr="00835AA1">
        <w:rPr>
          <w:lang w:val="fr-FR"/>
        </w:rPr>
        <w:t>.</w:t>
      </w:r>
    </w:p>
    <w:tbl>
      <w:tblPr>
        <w:tblW w:w="4861" w:type="pct"/>
        <w:tblInd w:w="-5" w:type="dxa"/>
        <w:tblLayout w:type="fixed"/>
        <w:tblLook w:val="04A0" w:firstRow="1" w:lastRow="0" w:firstColumn="1" w:lastColumn="0" w:noHBand="0" w:noVBand="1"/>
      </w:tblPr>
      <w:tblGrid>
        <w:gridCol w:w="989"/>
        <w:gridCol w:w="1266"/>
        <w:gridCol w:w="1441"/>
        <w:gridCol w:w="1259"/>
        <w:gridCol w:w="2162"/>
        <w:gridCol w:w="1968"/>
      </w:tblGrid>
      <w:tr w:rsidR="00A541B2" w:rsidRPr="00A50943" w14:paraId="1F568BC6" w14:textId="77777777" w:rsidTr="00A419D0">
        <w:trPr>
          <w:trHeight w:val="204"/>
        </w:trPr>
        <w:tc>
          <w:tcPr>
            <w:tcW w:w="544" w:type="pct"/>
            <w:vMerge w:val="restart"/>
            <w:tcBorders>
              <w:top w:val="single" w:sz="4" w:space="0" w:color="auto"/>
              <w:left w:val="single" w:sz="4" w:space="0" w:color="auto"/>
              <w:right w:val="single" w:sz="4" w:space="0" w:color="auto"/>
            </w:tcBorders>
            <w:shd w:val="clear" w:color="000000" w:fill="FFFFFF"/>
            <w:vAlign w:val="center"/>
            <w:hideMark/>
          </w:tcPr>
          <w:p w14:paraId="16B5B64C" w14:textId="77777777" w:rsidR="00D449F3" w:rsidRPr="00835AA1" w:rsidRDefault="008844A6" w:rsidP="004516D6">
            <w:pPr>
              <w:keepNext/>
              <w:jc w:val="center"/>
              <w:rPr>
                <w:szCs w:val="22"/>
                <w:lang w:val="fr-FR"/>
              </w:rPr>
            </w:pPr>
            <w:r w:rsidRPr="00835AA1">
              <w:rPr>
                <w:szCs w:val="22"/>
                <w:lang w:val="fr-FR"/>
              </w:rPr>
              <w:t xml:space="preserve">Année </w:t>
            </w:r>
          </w:p>
        </w:tc>
        <w:tc>
          <w:tcPr>
            <w:tcW w:w="2183" w:type="pct"/>
            <w:gridSpan w:val="3"/>
            <w:tcBorders>
              <w:top w:val="single" w:sz="4" w:space="0" w:color="auto"/>
              <w:left w:val="nil"/>
              <w:bottom w:val="single" w:sz="4" w:space="0" w:color="auto"/>
              <w:right w:val="single" w:sz="4" w:space="0" w:color="auto"/>
            </w:tcBorders>
            <w:shd w:val="clear" w:color="000000" w:fill="FFFFFF"/>
            <w:vAlign w:val="center"/>
            <w:hideMark/>
          </w:tcPr>
          <w:p w14:paraId="541F3349" w14:textId="77777777" w:rsidR="00D449F3" w:rsidRPr="00835AA1" w:rsidRDefault="008844A6" w:rsidP="004516D6">
            <w:pPr>
              <w:keepNext/>
              <w:jc w:val="center"/>
              <w:rPr>
                <w:sz w:val="20"/>
                <w:lang w:val="fr-FR"/>
              </w:rPr>
            </w:pPr>
            <w:r w:rsidRPr="00835AA1">
              <w:rPr>
                <w:sz w:val="20"/>
                <w:lang w:val="fr-FR"/>
              </w:rPr>
              <w:t>Traduction sous</w:t>
            </w:r>
            <w:r w:rsidR="003813B1" w:rsidRPr="00835AA1">
              <w:rPr>
                <w:sz w:val="20"/>
                <w:lang w:val="fr-FR"/>
              </w:rPr>
              <w:noBreakHyphen/>
            </w:r>
            <w:r w:rsidRPr="00835AA1">
              <w:rPr>
                <w:sz w:val="20"/>
                <w:lang w:val="fr-FR"/>
              </w:rPr>
              <w:t>traitée (francs suisses)</w:t>
            </w:r>
          </w:p>
        </w:tc>
        <w:tc>
          <w:tcPr>
            <w:tcW w:w="2273" w:type="pct"/>
            <w:gridSpan w:val="2"/>
            <w:tcBorders>
              <w:top w:val="single" w:sz="4" w:space="0" w:color="auto"/>
              <w:left w:val="nil"/>
              <w:bottom w:val="single" w:sz="4" w:space="0" w:color="auto"/>
              <w:right w:val="single" w:sz="4" w:space="0" w:color="auto"/>
            </w:tcBorders>
            <w:shd w:val="clear" w:color="000000" w:fill="FFFFFF"/>
            <w:vAlign w:val="center"/>
            <w:hideMark/>
          </w:tcPr>
          <w:p w14:paraId="4BFF61C4" w14:textId="77777777" w:rsidR="00D449F3" w:rsidRPr="00835AA1" w:rsidRDefault="008844A6" w:rsidP="004516D6">
            <w:pPr>
              <w:keepNext/>
              <w:jc w:val="center"/>
              <w:rPr>
                <w:sz w:val="20"/>
                <w:lang w:val="fr-FR"/>
              </w:rPr>
            </w:pPr>
            <w:r w:rsidRPr="00835AA1">
              <w:rPr>
                <w:sz w:val="20"/>
                <w:lang w:val="fr-FR"/>
              </w:rPr>
              <w:t>Contrôle de la qualité des traductions (jours de travail</w:t>
            </w:r>
            <w:r w:rsidR="00D449F3" w:rsidRPr="00835AA1">
              <w:rPr>
                <w:sz w:val="20"/>
                <w:lang w:val="fr-FR"/>
              </w:rPr>
              <w:t>)</w:t>
            </w:r>
          </w:p>
        </w:tc>
      </w:tr>
      <w:tr w:rsidR="00A541B2" w:rsidRPr="00835AA1" w14:paraId="714FC569" w14:textId="77777777" w:rsidTr="00A419D0">
        <w:trPr>
          <w:trHeight w:val="251"/>
        </w:trPr>
        <w:tc>
          <w:tcPr>
            <w:tcW w:w="544" w:type="pct"/>
            <w:vMerge/>
            <w:tcBorders>
              <w:left w:val="single" w:sz="4" w:space="0" w:color="auto"/>
              <w:bottom w:val="single" w:sz="4" w:space="0" w:color="auto"/>
              <w:right w:val="single" w:sz="4" w:space="0" w:color="auto"/>
            </w:tcBorders>
            <w:shd w:val="clear" w:color="000000" w:fill="FFFFFF"/>
            <w:vAlign w:val="center"/>
          </w:tcPr>
          <w:p w14:paraId="563CF02A" w14:textId="77777777" w:rsidR="00D449F3" w:rsidRPr="00835AA1" w:rsidRDefault="00D449F3" w:rsidP="004516D6">
            <w:pPr>
              <w:keepNext/>
              <w:jc w:val="center"/>
              <w:rPr>
                <w:szCs w:val="22"/>
                <w:lang w:val="fr-FR"/>
              </w:rPr>
            </w:pPr>
          </w:p>
        </w:tc>
        <w:tc>
          <w:tcPr>
            <w:tcW w:w="697" w:type="pct"/>
            <w:tcBorders>
              <w:top w:val="single" w:sz="4" w:space="0" w:color="auto"/>
              <w:left w:val="nil"/>
              <w:bottom w:val="single" w:sz="4" w:space="0" w:color="auto"/>
              <w:right w:val="dotted" w:sz="4" w:space="0" w:color="auto"/>
            </w:tcBorders>
            <w:shd w:val="clear" w:color="000000" w:fill="FFFFFF"/>
            <w:vAlign w:val="center"/>
          </w:tcPr>
          <w:p w14:paraId="7AD64ECD" w14:textId="77777777" w:rsidR="00D449F3" w:rsidRPr="00835AA1" w:rsidRDefault="005F577F" w:rsidP="004516D6">
            <w:pPr>
              <w:keepNext/>
              <w:jc w:val="center"/>
              <w:rPr>
                <w:sz w:val="20"/>
                <w:lang w:val="fr-FR"/>
              </w:rPr>
            </w:pPr>
            <w:r w:rsidRPr="00835AA1">
              <w:rPr>
                <w:sz w:val="20"/>
                <w:lang w:val="fr-FR"/>
              </w:rPr>
              <w:t>Chinois</w:t>
            </w:r>
          </w:p>
        </w:tc>
        <w:tc>
          <w:tcPr>
            <w:tcW w:w="793" w:type="pct"/>
            <w:tcBorders>
              <w:top w:val="single" w:sz="4" w:space="0" w:color="auto"/>
              <w:left w:val="dotted" w:sz="4" w:space="0" w:color="auto"/>
              <w:bottom w:val="single" w:sz="4" w:space="0" w:color="auto"/>
              <w:right w:val="dotted" w:sz="4" w:space="0" w:color="auto"/>
            </w:tcBorders>
            <w:shd w:val="clear" w:color="000000" w:fill="FFFFFF"/>
            <w:vAlign w:val="center"/>
          </w:tcPr>
          <w:p w14:paraId="0A99FC9F" w14:textId="77777777" w:rsidR="00D449F3" w:rsidRPr="00835AA1" w:rsidRDefault="005F577F" w:rsidP="004516D6">
            <w:pPr>
              <w:keepNext/>
              <w:jc w:val="center"/>
              <w:rPr>
                <w:sz w:val="20"/>
                <w:lang w:val="fr-FR"/>
              </w:rPr>
            </w:pPr>
            <w:r w:rsidRPr="00835AA1">
              <w:rPr>
                <w:sz w:val="20"/>
                <w:lang w:val="fr-FR"/>
              </w:rPr>
              <w:t>Russe</w:t>
            </w:r>
          </w:p>
        </w:tc>
        <w:tc>
          <w:tcPr>
            <w:tcW w:w="693" w:type="pct"/>
            <w:tcBorders>
              <w:top w:val="single" w:sz="4" w:space="0" w:color="auto"/>
              <w:left w:val="dotted" w:sz="4" w:space="0" w:color="auto"/>
              <w:bottom w:val="single" w:sz="4" w:space="0" w:color="auto"/>
              <w:right w:val="single" w:sz="4" w:space="0" w:color="auto"/>
            </w:tcBorders>
            <w:shd w:val="clear" w:color="000000" w:fill="FFFFFF"/>
            <w:vAlign w:val="center"/>
          </w:tcPr>
          <w:p w14:paraId="507D13D6" w14:textId="77777777" w:rsidR="00D449F3" w:rsidRPr="00835AA1" w:rsidRDefault="00D449F3" w:rsidP="004516D6">
            <w:pPr>
              <w:keepNext/>
              <w:jc w:val="center"/>
              <w:rPr>
                <w:sz w:val="20"/>
                <w:lang w:val="fr-FR"/>
              </w:rPr>
            </w:pPr>
            <w:r w:rsidRPr="00835AA1">
              <w:rPr>
                <w:sz w:val="20"/>
                <w:lang w:val="fr-FR"/>
              </w:rPr>
              <w:t>Total</w:t>
            </w:r>
          </w:p>
        </w:tc>
        <w:tc>
          <w:tcPr>
            <w:tcW w:w="1190" w:type="pct"/>
            <w:tcBorders>
              <w:top w:val="single" w:sz="4" w:space="0" w:color="auto"/>
              <w:left w:val="nil"/>
              <w:bottom w:val="single" w:sz="4" w:space="0" w:color="auto"/>
              <w:right w:val="dotted" w:sz="4" w:space="0" w:color="auto"/>
            </w:tcBorders>
            <w:shd w:val="clear" w:color="000000" w:fill="FFFFFF"/>
            <w:vAlign w:val="center"/>
          </w:tcPr>
          <w:p w14:paraId="696EDBCC" w14:textId="77777777" w:rsidR="00D449F3" w:rsidRPr="00835AA1" w:rsidRDefault="005F577F" w:rsidP="004516D6">
            <w:pPr>
              <w:keepNext/>
              <w:jc w:val="center"/>
              <w:rPr>
                <w:sz w:val="20"/>
                <w:lang w:val="fr-FR"/>
              </w:rPr>
            </w:pPr>
            <w:r w:rsidRPr="00835AA1">
              <w:rPr>
                <w:sz w:val="20"/>
                <w:lang w:val="fr-FR"/>
              </w:rPr>
              <w:t>Chinois</w:t>
            </w:r>
          </w:p>
        </w:tc>
        <w:tc>
          <w:tcPr>
            <w:tcW w:w="1083" w:type="pct"/>
            <w:tcBorders>
              <w:top w:val="single" w:sz="4" w:space="0" w:color="auto"/>
              <w:left w:val="dotted" w:sz="4" w:space="0" w:color="auto"/>
              <w:bottom w:val="single" w:sz="4" w:space="0" w:color="auto"/>
              <w:right w:val="single" w:sz="4" w:space="0" w:color="auto"/>
            </w:tcBorders>
            <w:shd w:val="clear" w:color="000000" w:fill="FFFFFF"/>
            <w:vAlign w:val="center"/>
          </w:tcPr>
          <w:p w14:paraId="5CF2FFE4" w14:textId="77777777" w:rsidR="00D449F3" w:rsidRPr="00835AA1" w:rsidRDefault="005F577F" w:rsidP="004516D6">
            <w:pPr>
              <w:keepNext/>
              <w:jc w:val="center"/>
              <w:rPr>
                <w:sz w:val="20"/>
                <w:lang w:val="fr-FR"/>
              </w:rPr>
            </w:pPr>
            <w:r w:rsidRPr="00835AA1">
              <w:rPr>
                <w:sz w:val="20"/>
                <w:lang w:val="fr-FR"/>
              </w:rPr>
              <w:t>Russe</w:t>
            </w:r>
          </w:p>
        </w:tc>
      </w:tr>
      <w:tr w:rsidR="00A541B2" w:rsidRPr="00835AA1" w14:paraId="226C20E4" w14:textId="77777777" w:rsidTr="00A419D0">
        <w:trPr>
          <w:trHeight w:val="600"/>
        </w:trPr>
        <w:tc>
          <w:tcPr>
            <w:tcW w:w="544" w:type="pct"/>
            <w:tcBorders>
              <w:top w:val="nil"/>
              <w:left w:val="single" w:sz="4" w:space="0" w:color="auto"/>
              <w:bottom w:val="single" w:sz="4" w:space="0" w:color="auto"/>
              <w:right w:val="single" w:sz="4" w:space="0" w:color="auto"/>
            </w:tcBorders>
            <w:shd w:val="clear" w:color="000000" w:fill="FFFFFF"/>
            <w:noWrap/>
            <w:vAlign w:val="center"/>
            <w:hideMark/>
          </w:tcPr>
          <w:p w14:paraId="1C554974" w14:textId="77777777" w:rsidR="00287074" w:rsidRPr="00835AA1" w:rsidRDefault="00287074" w:rsidP="004516D6">
            <w:pPr>
              <w:keepNext/>
              <w:jc w:val="center"/>
              <w:rPr>
                <w:szCs w:val="22"/>
                <w:lang w:val="fr-FR"/>
              </w:rPr>
            </w:pPr>
            <w:r w:rsidRPr="00835AA1">
              <w:rPr>
                <w:szCs w:val="22"/>
                <w:lang w:val="fr-FR"/>
              </w:rPr>
              <w:t>2021</w:t>
            </w:r>
          </w:p>
        </w:tc>
        <w:tc>
          <w:tcPr>
            <w:tcW w:w="697" w:type="pct"/>
            <w:tcBorders>
              <w:top w:val="nil"/>
              <w:left w:val="nil"/>
              <w:bottom w:val="single" w:sz="4" w:space="0" w:color="auto"/>
              <w:right w:val="dotted" w:sz="4" w:space="0" w:color="auto"/>
            </w:tcBorders>
            <w:shd w:val="clear" w:color="000000" w:fill="FFFFFF"/>
            <w:noWrap/>
            <w:vAlign w:val="center"/>
          </w:tcPr>
          <w:p w14:paraId="0EEFA7CF" w14:textId="77777777" w:rsidR="00287074" w:rsidRPr="00835AA1" w:rsidRDefault="00287074" w:rsidP="004516D6">
            <w:pPr>
              <w:keepNext/>
              <w:jc w:val="center"/>
              <w:rPr>
                <w:szCs w:val="22"/>
                <w:lang w:val="fr-FR"/>
              </w:rPr>
            </w:pPr>
            <w:r w:rsidRPr="00835AA1">
              <w:rPr>
                <w:bCs/>
                <w:szCs w:val="22"/>
                <w:lang w:val="fr-FR"/>
              </w:rPr>
              <w:t>16</w:t>
            </w:r>
            <w:r w:rsidR="005829EF" w:rsidRPr="00835AA1">
              <w:rPr>
                <w:bCs/>
                <w:szCs w:val="22"/>
                <w:lang w:val="fr-FR"/>
              </w:rPr>
              <w:t> </w:t>
            </w:r>
            <w:r w:rsidRPr="00835AA1">
              <w:rPr>
                <w:bCs/>
                <w:szCs w:val="22"/>
                <w:lang w:val="fr-FR"/>
              </w:rPr>
              <w:t>428</w:t>
            </w:r>
          </w:p>
        </w:tc>
        <w:tc>
          <w:tcPr>
            <w:tcW w:w="793" w:type="pct"/>
            <w:tcBorders>
              <w:top w:val="single" w:sz="4" w:space="0" w:color="auto"/>
              <w:left w:val="dotted" w:sz="4" w:space="0" w:color="auto"/>
              <w:bottom w:val="single" w:sz="4" w:space="0" w:color="auto"/>
              <w:right w:val="dotted" w:sz="4" w:space="0" w:color="auto"/>
            </w:tcBorders>
            <w:shd w:val="clear" w:color="000000" w:fill="FFFFFF"/>
            <w:vAlign w:val="center"/>
          </w:tcPr>
          <w:p w14:paraId="1B055A50" w14:textId="77777777" w:rsidR="00287074" w:rsidRPr="00835AA1" w:rsidRDefault="00287074" w:rsidP="004516D6">
            <w:pPr>
              <w:keepNext/>
              <w:jc w:val="center"/>
              <w:rPr>
                <w:szCs w:val="22"/>
                <w:lang w:val="fr-FR"/>
              </w:rPr>
            </w:pPr>
            <w:r w:rsidRPr="00835AA1">
              <w:rPr>
                <w:bCs/>
                <w:szCs w:val="22"/>
                <w:lang w:val="fr-FR"/>
              </w:rPr>
              <w:t>19</w:t>
            </w:r>
            <w:r w:rsidR="005829EF" w:rsidRPr="00835AA1">
              <w:rPr>
                <w:bCs/>
                <w:szCs w:val="22"/>
                <w:lang w:val="fr-FR"/>
              </w:rPr>
              <w:t> </w:t>
            </w:r>
            <w:r w:rsidRPr="00835AA1">
              <w:rPr>
                <w:bCs/>
                <w:szCs w:val="22"/>
                <w:lang w:val="fr-FR"/>
              </w:rPr>
              <w:t>681</w:t>
            </w:r>
          </w:p>
        </w:tc>
        <w:tc>
          <w:tcPr>
            <w:tcW w:w="693" w:type="pct"/>
            <w:tcBorders>
              <w:top w:val="nil"/>
              <w:left w:val="dotted" w:sz="4" w:space="0" w:color="auto"/>
              <w:bottom w:val="single" w:sz="4" w:space="0" w:color="auto"/>
              <w:right w:val="single" w:sz="4" w:space="0" w:color="auto"/>
            </w:tcBorders>
            <w:shd w:val="clear" w:color="000000" w:fill="FFFFFF"/>
            <w:vAlign w:val="center"/>
          </w:tcPr>
          <w:p w14:paraId="376665B0" w14:textId="77777777" w:rsidR="00287074" w:rsidRPr="00835AA1" w:rsidRDefault="00287074" w:rsidP="004516D6">
            <w:pPr>
              <w:keepNext/>
              <w:jc w:val="center"/>
              <w:rPr>
                <w:szCs w:val="22"/>
                <w:lang w:val="fr-FR"/>
              </w:rPr>
            </w:pPr>
            <w:r w:rsidRPr="00835AA1">
              <w:rPr>
                <w:bCs/>
                <w:szCs w:val="22"/>
                <w:lang w:val="fr-FR"/>
              </w:rPr>
              <w:t>36</w:t>
            </w:r>
            <w:r w:rsidR="005829EF" w:rsidRPr="00835AA1">
              <w:rPr>
                <w:bCs/>
                <w:szCs w:val="22"/>
                <w:lang w:val="fr-FR"/>
              </w:rPr>
              <w:t> </w:t>
            </w:r>
            <w:r w:rsidRPr="00835AA1">
              <w:rPr>
                <w:bCs/>
                <w:szCs w:val="22"/>
                <w:lang w:val="fr-FR"/>
              </w:rPr>
              <w:t>108</w:t>
            </w:r>
          </w:p>
        </w:tc>
        <w:tc>
          <w:tcPr>
            <w:tcW w:w="1190" w:type="pct"/>
            <w:tcBorders>
              <w:top w:val="nil"/>
              <w:left w:val="nil"/>
              <w:bottom w:val="single" w:sz="4" w:space="0" w:color="auto"/>
              <w:right w:val="dotted" w:sz="4" w:space="0" w:color="auto"/>
            </w:tcBorders>
            <w:shd w:val="clear" w:color="000000" w:fill="FFFFFF"/>
            <w:noWrap/>
            <w:vAlign w:val="center"/>
          </w:tcPr>
          <w:p w14:paraId="6E57D45F" w14:textId="77777777" w:rsidR="00287074" w:rsidRPr="00835AA1" w:rsidRDefault="00287074" w:rsidP="004516D6">
            <w:pPr>
              <w:keepNext/>
              <w:jc w:val="center"/>
              <w:rPr>
                <w:szCs w:val="22"/>
                <w:lang w:val="fr-FR"/>
              </w:rPr>
            </w:pPr>
            <w:r w:rsidRPr="00835AA1">
              <w:rPr>
                <w:bCs/>
                <w:szCs w:val="22"/>
                <w:lang w:val="fr-FR"/>
              </w:rPr>
              <w:t>2</w:t>
            </w:r>
            <w:r w:rsidR="008844A6" w:rsidRPr="00835AA1">
              <w:rPr>
                <w:bCs/>
                <w:szCs w:val="22"/>
                <w:lang w:val="fr-FR"/>
              </w:rPr>
              <w:t>,</w:t>
            </w:r>
            <w:r w:rsidRPr="00835AA1">
              <w:rPr>
                <w:bCs/>
                <w:szCs w:val="22"/>
                <w:lang w:val="fr-FR"/>
              </w:rPr>
              <w:t>07</w:t>
            </w:r>
          </w:p>
        </w:tc>
        <w:tc>
          <w:tcPr>
            <w:tcW w:w="1083" w:type="pct"/>
            <w:tcBorders>
              <w:top w:val="nil"/>
              <w:left w:val="dotted" w:sz="4" w:space="0" w:color="auto"/>
              <w:bottom w:val="single" w:sz="4" w:space="0" w:color="auto"/>
              <w:right w:val="single" w:sz="4" w:space="0" w:color="auto"/>
            </w:tcBorders>
            <w:shd w:val="clear" w:color="000000" w:fill="FFFFFF"/>
            <w:vAlign w:val="center"/>
          </w:tcPr>
          <w:p w14:paraId="3A7B2CA2" w14:textId="77777777" w:rsidR="00287074" w:rsidRPr="00835AA1" w:rsidRDefault="00287074" w:rsidP="004516D6">
            <w:pPr>
              <w:keepNext/>
              <w:jc w:val="center"/>
              <w:rPr>
                <w:szCs w:val="22"/>
                <w:lang w:val="fr-FR"/>
              </w:rPr>
            </w:pPr>
            <w:r w:rsidRPr="00835AA1">
              <w:rPr>
                <w:bCs/>
                <w:szCs w:val="22"/>
                <w:lang w:val="fr-FR"/>
              </w:rPr>
              <w:t>1</w:t>
            </w:r>
            <w:r w:rsidR="008844A6" w:rsidRPr="00835AA1">
              <w:rPr>
                <w:bCs/>
                <w:szCs w:val="22"/>
                <w:lang w:val="fr-FR"/>
              </w:rPr>
              <w:t>,</w:t>
            </w:r>
            <w:r w:rsidRPr="00835AA1">
              <w:rPr>
                <w:bCs/>
                <w:szCs w:val="22"/>
                <w:lang w:val="fr-FR"/>
              </w:rPr>
              <w:t>55</w:t>
            </w:r>
          </w:p>
        </w:tc>
      </w:tr>
      <w:tr w:rsidR="00A541B2" w:rsidRPr="00835AA1" w14:paraId="2696FA9F" w14:textId="77777777" w:rsidTr="00A419D0">
        <w:trPr>
          <w:trHeight w:val="600"/>
        </w:trPr>
        <w:tc>
          <w:tcPr>
            <w:tcW w:w="544" w:type="pct"/>
            <w:tcBorders>
              <w:top w:val="nil"/>
              <w:left w:val="single" w:sz="4" w:space="0" w:color="auto"/>
              <w:bottom w:val="single" w:sz="4" w:space="0" w:color="auto"/>
              <w:right w:val="single" w:sz="4" w:space="0" w:color="auto"/>
            </w:tcBorders>
            <w:shd w:val="clear" w:color="000000" w:fill="FFFFFF"/>
            <w:noWrap/>
            <w:vAlign w:val="center"/>
            <w:hideMark/>
          </w:tcPr>
          <w:p w14:paraId="29367CBB" w14:textId="77777777" w:rsidR="00287074" w:rsidRPr="00835AA1" w:rsidRDefault="00287074" w:rsidP="004516D6">
            <w:pPr>
              <w:keepNext/>
              <w:jc w:val="center"/>
              <w:rPr>
                <w:szCs w:val="22"/>
                <w:lang w:val="fr-FR"/>
              </w:rPr>
            </w:pPr>
            <w:r w:rsidRPr="00835AA1">
              <w:rPr>
                <w:szCs w:val="22"/>
                <w:lang w:val="fr-FR"/>
              </w:rPr>
              <w:t>2022</w:t>
            </w:r>
          </w:p>
        </w:tc>
        <w:tc>
          <w:tcPr>
            <w:tcW w:w="697" w:type="pct"/>
            <w:tcBorders>
              <w:top w:val="nil"/>
              <w:left w:val="nil"/>
              <w:bottom w:val="single" w:sz="4" w:space="0" w:color="auto"/>
              <w:right w:val="dotted" w:sz="4" w:space="0" w:color="auto"/>
            </w:tcBorders>
            <w:shd w:val="clear" w:color="000000" w:fill="FFFFFF"/>
            <w:noWrap/>
            <w:vAlign w:val="center"/>
          </w:tcPr>
          <w:p w14:paraId="2A5BEABA" w14:textId="77777777" w:rsidR="00287074" w:rsidRPr="00835AA1" w:rsidRDefault="00287074" w:rsidP="004516D6">
            <w:pPr>
              <w:keepNext/>
              <w:jc w:val="center"/>
              <w:rPr>
                <w:szCs w:val="22"/>
                <w:lang w:val="fr-FR"/>
              </w:rPr>
            </w:pPr>
            <w:r w:rsidRPr="00835AA1">
              <w:rPr>
                <w:bCs/>
                <w:szCs w:val="22"/>
                <w:lang w:val="fr-FR"/>
              </w:rPr>
              <w:t>18</w:t>
            </w:r>
            <w:r w:rsidR="005829EF" w:rsidRPr="00835AA1">
              <w:rPr>
                <w:bCs/>
                <w:szCs w:val="22"/>
                <w:lang w:val="fr-FR"/>
              </w:rPr>
              <w:t> </w:t>
            </w:r>
            <w:r w:rsidRPr="00835AA1">
              <w:rPr>
                <w:bCs/>
                <w:szCs w:val="22"/>
                <w:lang w:val="fr-FR"/>
              </w:rPr>
              <w:t>231</w:t>
            </w:r>
          </w:p>
        </w:tc>
        <w:tc>
          <w:tcPr>
            <w:tcW w:w="793" w:type="pct"/>
            <w:tcBorders>
              <w:top w:val="single" w:sz="4" w:space="0" w:color="auto"/>
              <w:left w:val="dotted" w:sz="4" w:space="0" w:color="auto"/>
              <w:bottom w:val="single" w:sz="4" w:space="0" w:color="auto"/>
              <w:right w:val="dotted" w:sz="4" w:space="0" w:color="auto"/>
            </w:tcBorders>
            <w:shd w:val="clear" w:color="000000" w:fill="FFFFFF"/>
            <w:vAlign w:val="center"/>
          </w:tcPr>
          <w:p w14:paraId="23489E6A" w14:textId="77777777" w:rsidR="00287074" w:rsidRPr="00835AA1" w:rsidRDefault="00287074" w:rsidP="004516D6">
            <w:pPr>
              <w:keepNext/>
              <w:jc w:val="center"/>
              <w:rPr>
                <w:szCs w:val="22"/>
                <w:lang w:val="fr-FR"/>
              </w:rPr>
            </w:pPr>
            <w:r w:rsidRPr="00835AA1">
              <w:rPr>
                <w:bCs/>
                <w:szCs w:val="22"/>
                <w:lang w:val="fr-FR"/>
              </w:rPr>
              <w:t>20</w:t>
            </w:r>
            <w:r w:rsidR="005829EF" w:rsidRPr="00835AA1">
              <w:rPr>
                <w:bCs/>
                <w:szCs w:val="22"/>
                <w:lang w:val="fr-FR"/>
              </w:rPr>
              <w:t> </w:t>
            </w:r>
            <w:r w:rsidRPr="00835AA1">
              <w:rPr>
                <w:bCs/>
                <w:szCs w:val="22"/>
                <w:lang w:val="fr-FR"/>
              </w:rPr>
              <w:t>919</w:t>
            </w:r>
          </w:p>
        </w:tc>
        <w:tc>
          <w:tcPr>
            <w:tcW w:w="693" w:type="pct"/>
            <w:tcBorders>
              <w:top w:val="nil"/>
              <w:left w:val="dotted" w:sz="4" w:space="0" w:color="auto"/>
              <w:bottom w:val="single" w:sz="4" w:space="0" w:color="auto"/>
              <w:right w:val="single" w:sz="4" w:space="0" w:color="auto"/>
            </w:tcBorders>
            <w:shd w:val="clear" w:color="000000" w:fill="FFFFFF"/>
            <w:vAlign w:val="center"/>
          </w:tcPr>
          <w:p w14:paraId="33F20EDE" w14:textId="77777777" w:rsidR="00287074" w:rsidRPr="00835AA1" w:rsidRDefault="00287074" w:rsidP="004516D6">
            <w:pPr>
              <w:keepNext/>
              <w:jc w:val="center"/>
              <w:rPr>
                <w:szCs w:val="22"/>
                <w:lang w:val="fr-FR"/>
              </w:rPr>
            </w:pPr>
            <w:r w:rsidRPr="00835AA1">
              <w:rPr>
                <w:bCs/>
                <w:szCs w:val="22"/>
                <w:lang w:val="fr-FR"/>
              </w:rPr>
              <w:t>39</w:t>
            </w:r>
            <w:r w:rsidR="005829EF" w:rsidRPr="00835AA1">
              <w:rPr>
                <w:bCs/>
                <w:szCs w:val="22"/>
                <w:lang w:val="fr-FR"/>
              </w:rPr>
              <w:t> </w:t>
            </w:r>
            <w:r w:rsidRPr="00835AA1">
              <w:rPr>
                <w:bCs/>
                <w:szCs w:val="22"/>
                <w:lang w:val="fr-FR"/>
              </w:rPr>
              <w:t>150</w:t>
            </w:r>
          </w:p>
        </w:tc>
        <w:tc>
          <w:tcPr>
            <w:tcW w:w="1190" w:type="pct"/>
            <w:tcBorders>
              <w:top w:val="nil"/>
              <w:left w:val="nil"/>
              <w:bottom w:val="single" w:sz="4" w:space="0" w:color="auto"/>
              <w:right w:val="dotted" w:sz="4" w:space="0" w:color="auto"/>
            </w:tcBorders>
            <w:shd w:val="clear" w:color="000000" w:fill="FFFFFF"/>
            <w:noWrap/>
            <w:vAlign w:val="center"/>
          </w:tcPr>
          <w:p w14:paraId="683123A0" w14:textId="77777777" w:rsidR="00287074" w:rsidRPr="00835AA1" w:rsidRDefault="00287074" w:rsidP="004516D6">
            <w:pPr>
              <w:keepNext/>
              <w:jc w:val="center"/>
              <w:rPr>
                <w:szCs w:val="22"/>
                <w:lang w:val="fr-FR"/>
              </w:rPr>
            </w:pPr>
            <w:r w:rsidRPr="00835AA1">
              <w:rPr>
                <w:bCs/>
                <w:szCs w:val="22"/>
                <w:lang w:val="fr-FR"/>
              </w:rPr>
              <w:t>2</w:t>
            </w:r>
            <w:r w:rsidR="008844A6" w:rsidRPr="00835AA1">
              <w:rPr>
                <w:bCs/>
                <w:szCs w:val="22"/>
                <w:lang w:val="fr-FR"/>
              </w:rPr>
              <w:t>,</w:t>
            </w:r>
            <w:r w:rsidRPr="00835AA1">
              <w:rPr>
                <w:bCs/>
                <w:szCs w:val="22"/>
                <w:lang w:val="fr-FR"/>
              </w:rPr>
              <w:t>36</w:t>
            </w:r>
          </w:p>
        </w:tc>
        <w:tc>
          <w:tcPr>
            <w:tcW w:w="1083" w:type="pct"/>
            <w:tcBorders>
              <w:top w:val="nil"/>
              <w:left w:val="dotted" w:sz="4" w:space="0" w:color="auto"/>
              <w:bottom w:val="single" w:sz="4" w:space="0" w:color="auto"/>
              <w:right w:val="single" w:sz="4" w:space="0" w:color="auto"/>
            </w:tcBorders>
            <w:shd w:val="clear" w:color="000000" w:fill="FFFFFF"/>
            <w:vAlign w:val="center"/>
          </w:tcPr>
          <w:p w14:paraId="4030AE2E" w14:textId="77777777" w:rsidR="00287074" w:rsidRPr="00835AA1" w:rsidRDefault="00287074" w:rsidP="004516D6">
            <w:pPr>
              <w:keepNext/>
              <w:jc w:val="center"/>
              <w:rPr>
                <w:szCs w:val="22"/>
                <w:lang w:val="fr-FR"/>
              </w:rPr>
            </w:pPr>
            <w:r w:rsidRPr="00835AA1">
              <w:rPr>
                <w:bCs/>
                <w:szCs w:val="22"/>
                <w:lang w:val="fr-FR"/>
              </w:rPr>
              <w:t>1</w:t>
            </w:r>
            <w:r w:rsidR="008844A6" w:rsidRPr="00835AA1">
              <w:rPr>
                <w:bCs/>
                <w:szCs w:val="22"/>
                <w:lang w:val="fr-FR"/>
              </w:rPr>
              <w:t>,</w:t>
            </w:r>
            <w:r w:rsidRPr="00835AA1">
              <w:rPr>
                <w:bCs/>
                <w:szCs w:val="22"/>
                <w:lang w:val="fr-FR"/>
              </w:rPr>
              <w:t>69</w:t>
            </w:r>
          </w:p>
        </w:tc>
      </w:tr>
      <w:tr w:rsidR="00A541B2" w:rsidRPr="00835AA1" w14:paraId="353F76BF" w14:textId="77777777" w:rsidTr="00A419D0">
        <w:trPr>
          <w:trHeight w:val="600"/>
        </w:trPr>
        <w:tc>
          <w:tcPr>
            <w:tcW w:w="544" w:type="pct"/>
            <w:tcBorders>
              <w:top w:val="nil"/>
              <w:left w:val="single" w:sz="4" w:space="0" w:color="auto"/>
              <w:bottom w:val="single" w:sz="4" w:space="0" w:color="auto"/>
              <w:right w:val="single" w:sz="4" w:space="0" w:color="auto"/>
            </w:tcBorders>
            <w:shd w:val="clear" w:color="000000" w:fill="FFFFFF"/>
            <w:noWrap/>
            <w:vAlign w:val="center"/>
            <w:hideMark/>
          </w:tcPr>
          <w:p w14:paraId="09196C6C" w14:textId="77777777" w:rsidR="00287074" w:rsidRPr="00835AA1" w:rsidRDefault="00287074" w:rsidP="004516D6">
            <w:pPr>
              <w:keepNext/>
              <w:jc w:val="center"/>
              <w:rPr>
                <w:szCs w:val="22"/>
                <w:lang w:val="fr-FR"/>
              </w:rPr>
            </w:pPr>
            <w:r w:rsidRPr="00835AA1">
              <w:rPr>
                <w:szCs w:val="22"/>
                <w:lang w:val="fr-FR"/>
              </w:rPr>
              <w:t>2023</w:t>
            </w:r>
          </w:p>
        </w:tc>
        <w:tc>
          <w:tcPr>
            <w:tcW w:w="697" w:type="pct"/>
            <w:tcBorders>
              <w:top w:val="nil"/>
              <w:left w:val="nil"/>
              <w:bottom w:val="single" w:sz="4" w:space="0" w:color="auto"/>
              <w:right w:val="dotted" w:sz="4" w:space="0" w:color="auto"/>
            </w:tcBorders>
            <w:shd w:val="clear" w:color="000000" w:fill="FFFFFF"/>
            <w:noWrap/>
            <w:vAlign w:val="center"/>
          </w:tcPr>
          <w:p w14:paraId="2F6129BA" w14:textId="77777777" w:rsidR="00287074" w:rsidRPr="00835AA1" w:rsidRDefault="00287074" w:rsidP="004516D6">
            <w:pPr>
              <w:keepNext/>
              <w:jc w:val="center"/>
              <w:rPr>
                <w:szCs w:val="22"/>
                <w:lang w:val="fr-FR"/>
              </w:rPr>
            </w:pPr>
            <w:r w:rsidRPr="00835AA1">
              <w:rPr>
                <w:bCs/>
                <w:szCs w:val="22"/>
                <w:lang w:val="fr-FR"/>
              </w:rPr>
              <w:t>20</w:t>
            </w:r>
            <w:r w:rsidR="005829EF" w:rsidRPr="00835AA1">
              <w:rPr>
                <w:bCs/>
                <w:szCs w:val="22"/>
                <w:lang w:val="fr-FR"/>
              </w:rPr>
              <w:t> </w:t>
            </w:r>
            <w:r w:rsidRPr="00835AA1">
              <w:rPr>
                <w:bCs/>
                <w:szCs w:val="22"/>
                <w:lang w:val="fr-FR"/>
              </w:rPr>
              <w:t>144</w:t>
            </w:r>
          </w:p>
        </w:tc>
        <w:tc>
          <w:tcPr>
            <w:tcW w:w="793" w:type="pct"/>
            <w:tcBorders>
              <w:top w:val="single" w:sz="4" w:space="0" w:color="auto"/>
              <w:left w:val="dotted" w:sz="4" w:space="0" w:color="auto"/>
              <w:bottom w:val="single" w:sz="4" w:space="0" w:color="auto"/>
              <w:right w:val="dotted" w:sz="4" w:space="0" w:color="auto"/>
            </w:tcBorders>
            <w:shd w:val="clear" w:color="000000" w:fill="FFFFFF"/>
            <w:vAlign w:val="center"/>
          </w:tcPr>
          <w:p w14:paraId="3D8A8AC7" w14:textId="77777777" w:rsidR="00287074" w:rsidRPr="00835AA1" w:rsidRDefault="00287074" w:rsidP="004516D6">
            <w:pPr>
              <w:keepNext/>
              <w:jc w:val="center"/>
              <w:rPr>
                <w:szCs w:val="22"/>
                <w:lang w:val="fr-FR"/>
              </w:rPr>
            </w:pPr>
            <w:r w:rsidRPr="00835AA1">
              <w:rPr>
                <w:bCs/>
                <w:szCs w:val="22"/>
                <w:lang w:val="fr-FR"/>
              </w:rPr>
              <w:t>22</w:t>
            </w:r>
            <w:r w:rsidR="005829EF" w:rsidRPr="00835AA1">
              <w:rPr>
                <w:bCs/>
                <w:szCs w:val="22"/>
                <w:lang w:val="fr-FR"/>
              </w:rPr>
              <w:t> </w:t>
            </w:r>
            <w:r w:rsidRPr="00835AA1">
              <w:rPr>
                <w:bCs/>
                <w:szCs w:val="22"/>
                <w:lang w:val="fr-FR"/>
              </w:rPr>
              <w:t>153</w:t>
            </w:r>
          </w:p>
        </w:tc>
        <w:tc>
          <w:tcPr>
            <w:tcW w:w="693" w:type="pct"/>
            <w:tcBorders>
              <w:top w:val="nil"/>
              <w:left w:val="dotted" w:sz="4" w:space="0" w:color="auto"/>
              <w:bottom w:val="single" w:sz="4" w:space="0" w:color="auto"/>
              <w:right w:val="single" w:sz="4" w:space="0" w:color="auto"/>
            </w:tcBorders>
            <w:shd w:val="clear" w:color="000000" w:fill="FFFFFF"/>
            <w:vAlign w:val="center"/>
          </w:tcPr>
          <w:p w14:paraId="06FAD5B4" w14:textId="77777777" w:rsidR="00287074" w:rsidRPr="00835AA1" w:rsidRDefault="00287074" w:rsidP="004516D6">
            <w:pPr>
              <w:keepNext/>
              <w:jc w:val="center"/>
              <w:rPr>
                <w:szCs w:val="22"/>
                <w:lang w:val="fr-FR"/>
              </w:rPr>
            </w:pPr>
            <w:r w:rsidRPr="00835AA1">
              <w:rPr>
                <w:bCs/>
                <w:szCs w:val="22"/>
                <w:lang w:val="fr-FR"/>
              </w:rPr>
              <w:t>42</w:t>
            </w:r>
            <w:r w:rsidR="005829EF" w:rsidRPr="00835AA1">
              <w:rPr>
                <w:bCs/>
                <w:szCs w:val="22"/>
                <w:lang w:val="fr-FR"/>
              </w:rPr>
              <w:t> </w:t>
            </w:r>
            <w:r w:rsidRPr="00835AA1">
              <w:rPr>
                <w:bCs/>
                <w:szCs w:val="22"/>
                <w:lang w:val="fr-FR"/>
              </w:rPr>
              <w:t>298</w:t>
            </w:r>
          </w:p>
        </w:tc>
        <w:tc>
          <w:tcPr>
            <w:tcW w:w="1190" w:type="pct"/>
            <w:tcBorders>
              <w:top w:val="nil"/>
              <w:left w:val="nil"/>
              <w:bottom w:val="single" w:sz="4" w:space="0" w:color="auto"/>
              <w:right w:val="dotted" w:sz="4" w:space="0" w:color="auto"/>
            </w:tcBorders>
            <w:shd w:val="clear" w:color="000000" w:fill="FFFFFF"/>
            <w:noWrap/>
            <w:vAlign w:val="center"/>
          </w:tcPr>
          <w:p w14:paraId="5FE512F6" w14:textId="77777777" w:rsidR="00287074" w:rsidRPr="00835AA1" w:rsidRDefault="00287074" w:rsidP="004516D6">
            <w:pPr>
              <w:keepNext/>
              <w:jc w:val="center"/>
              <w:rPr>
                <w:szCs w:val="22"/>
                <w:lang w:val="fr-FR"/>
              </w:rPr>
            </w:pPr>
            <w:r w:rsidRPr="00835AA1">
              <w:rPr>
                <w:bCs/>
                <w:szCs w:val="22"/>
                <w:lang w:val="fr-FR"/>
              </w:rPr>
              <w:t>2</w:t>
            </w:r>
            <w:r w:rsidR="008844A6" w:rsidRPr="00835AA1">
              <w:rPr>
                <w:bCs/>
                <w:szCs w:val="22"/>
                <w:lang w:val="fr-FR"/>
              </w:rPr>
              <w:t>,</w:t>
            </w:r>
            <w:r w:rsidRPr="00835AA1">
              <w:rPr>
                <w:bCs/>
                <w:szCs w:val="22"/>
                <w:lang w:val="fr-FR"/>
              </w:rPr>
              <w:t>67</w:t>
            </w:r>
          </w:p>
        </w:tc>
        <w:tc>
          <w:tcPr>
            <w:tcW w:w="1083" w:type="pct"/>
            <w:tcBorders>
              <w:top w:val="nil"/>
              <w:left w:val="dotted" w:sz="4" w:space="0" w:color="auto"/>
              <w:bottom w:val="single" w:sz="4" w:space="0" w:color="auto"/>
              <w:right w:val="single" w:sz="4" w:space="0" w:color="auto"/>
            </w:tcBorders>
            <w:shd w:val="clear" w:color="000000" w:fill="FFFFFF"/>
            <w:vAlign w:val="center"/>
          </w:tcPr>
          <w:p w14:paraId="72154686" w14:textId="77777777" w:rsidR="00287074" w:rsidRPr="00835AA1" w:rsidRDefault="00287074" w:rsidP="004516D6">
            <w:pPr>
              <w:keepNext/>
              <w:jc w:val="center"/>
              <w:rPr>
                <w:szCs w:val="22"/>
                <w:lang w:val="fr-FR"/>
              </w:rPr>
            </w:pPr>
            <w:r w:rsidRPr="00835AA1">
              <w:rPr>
                <w:bCs/>
                <w:szCs w:val="22"/>
                <w:lang w:val="fr-FR"/>
              </w:rPr>
              <w:t>1</w:t>
            </w:r>
            <w:r w:rsidR="008844A6" w:rsidRPr="00835AA1">
              <w:rPr>
                <w:bCs/>
                <w:szCs w:val="22"/>
                <w:lang w:val="fr-FR"/>
              </w:rPr>
              <w:t>,</w:t>
            </w:r>
            <w:r w:rsidRPr="00835AA1">
              <w:rPr>
                <w:bCs/>
                <w:szCs w:val="22"/>
                <w:lang w:val="fr-FR"/>
              </w:rPr>
              <w:t>84</w:t>
            </w:r>
          </w:p>
        </w:tc>
      </w:tr>
      <w:tr w:rsidR="00A541B2" w:rsidRPr="00835AA1" w14:paraId="6FB5DA6D" w14:textId="77777777" w:rsidTr="00A419D0">
        <w:trPr>
          <w:trHeight w:val="600"/>
        </w:trPr>
        <w:tc>
          <w:tcPr>
            <w:tcW w:w="544"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BB3ECC" w14:textId="77777777" w:rsidR="00287074" w:rsidRPr="00835AA1" w:rsidRDefault="00287074" w:rsidP="004516D6">
            <w:pPr>
              <w:keepNext/>
              <w:jc w:val="center"/>
              <w:rPr>
                <w:szCs w:val="22"/>
                <w:lang w:val="fr-FR"/>
              </w:rPr>
            </w:pPr>
            <w:r w:rsidRPr="00835AA1">
              <w:rPr>
                <w:szCs w:val="22"/>
                <w:lang w:val="fr-FR"/>
              </w:rPr>
              <w:t>2024</w:t>
            </w:r>
          </w:p>
        </w:tc>
        <w:tc>
          <w:tcPr>
            <w:tcW w:w="697" w:type="pct"/>
            <w:tcBorders>
              <w:top w:val="single" w:sz="4" w:space="0" w:color="auto"/>
              <w:left w:val="nil"/>
              <w:bottom w:val="single" w:sz="4" w:space="0" w:color="auto"/>
              <w:right w:val="dotted" w:sz="4" w:space="0" w:color="auto"/>
            </w:tcBorders>
            <w:shd w:val="clear" w:color="000000" w:fill="FFFFFF"/>
            <w:noWrap/>
            <w:vAlign w:val="center"/>
          </w:tcPr>
          <w:p w14:paraId="506507E7" w14:textId="77777777" w:rsidR="00287074" w:rsidRPr="00835AA1" w:rsidRDefault="00287074" w:rsidP="004516D6">
            <w:pPr>
              <w:keepNext/>
              <w:jc w:val="center"/>
              <w:rPr>
                <w:szCs w:val="22"/>
                <w:lang w:val="fr-FR"/>
              </w:rPr>
            </w:pPr>
            <w:r w:rsidRPr="00835AA1">
              <w:rPr>
                <w:bCs/>
                <w:szCs w:val="22"/>
                <w:lang w:val="fr-FR"/>
              </w:rPr>
              <w:t>22</w:t>
            </w:r>
            <w:r w:rsidR="005829EF" w:rsidRPr="00835AA1">
              <w:rPr>
                <w:bCs/>
                <w:szCs w:val="22"/>
                <w:lang w:val="fr-FR"/>
              </w:rPr>
              <w:t> </w:t>
            </w:r>
            <w:r w:rsidRPr="00835AA1">
              <w:rPr>
                <w:bCs/>
                <w:szCs w:val="22"/>
                <w:lang w:val="fr-FR"/>
              </w:rPr>
              <w:t>151</w:t>
            </w:r>
          </w:p>
        </w:tc>
        <w:tc>
          <w:tcPr>
            <w:tcW w:w="793" w:type="pct"/>
            <w:tcBorders>
              <w:top w:val="single" w:sz="4" w:space="0" w:color="auto"/>
              <w:left w:val="dotted" w:sz="4" w:space="0" w:color="auto"/>
              <w:bottom w:val="single" w:sz="4" w:space="0" w:color="auto"/>
              <w:right w:val="dotted" w:sz="4" w:space="0" w:color="auto"/>
            </w:tcBorders>
            <w:shd w:val="clear" w:color="000000" w:fill="FFFFFF"/>
            <w:vAlign w:val="center"/>
          </w:tcPr>
          <w:p w14:paraId="4EED030E" w14:textId="77777777" w:rsidR="00287074" w:rsidRPr="00835AA1" w:rsidRDefault="00287074" w:rsidP="004516D6">
            <w:pPr>
              <w:keepNext/>
              <w:jc w:val="center"/>
              <w:rPr>
                <w:szCs w:val="22"/>
                <w:lang w:val="fr-FR"/>
              </w:rPr>
            </w:pPr>
            <w:r w:rsidRPr="00835AA1">
              <w:rPr>
                <w:bCs/>
                <w:szCs w:val="22"/>
                <w:lang w:val="fr-FR"/>
              </w:rPr>
              <w:t>23</w:t>
            </w:r>
            <w:r w:rsidR="005829EF" w:rsidRPr="00835AA1">
              <w:rPr>
                <w:bCs/>
                <w:szCs w:val="22"/>
                <w:lang w:val="fr-FR"/>
              </w:rPr>
              <w:t> </w:t>
            </w:r>
            <w:r w:rsidRPr="00835AA1">
              <w:rPr>
                <w:bCs/>
                <w:szCs w:val="22"/>
                <w:lang w:val="fr-FR"/>
              </w:rPr>
              <w:t>378</w:t>
            </w:r>
          </w:p>
        </w:tc>
        <w:tc>
          <w:tcPr>
            <w:tcW w:w="693" w:type="pct"/>
            <w:tcBorders>
              <w:top w:val="single" w:sz="4" w:space="0" w:color="auto"/>
              <w:left w:val="dotted" w:sz="4" w:space="0" w:color="auto"/>
              <w:bottom w:val="single" w:sz="4" w:space="0" w:color="auto"/>
              <w:right w:val="single" w:sz="4" w:space="0" w:color="auto"/>
            </w:tcBorders>
            <w:shd w:val="clear" w:color="000000" w:fill="FFFFFF"/>
            <w:vAlign w:val="center"/>
          </w:tcPr>
          <w:p w14:paraId="759B1DA1" w14:textId="77777777" w:rsidR="00287074" w:rsidRPr="00835AA1" w:rsidRDefault="00287074" w:rsidP="004516D6">
            <w:pPr>
              <w:keepNext/>
              <w:jc w:val="center"/>
              <w:rPr>
                <w:szCs w:val="22"/>
                <w:lang w:val="fr-FR"/>
              </w:rPr>
            </w:pPr>
            <w:r w:rsidRPr="00835AA1">
              <w:rPr>
                <w:bCs/>
                <w:szCs w:val="22"/>
                <w:lang w:val="fr-FR"/>
              </w:rPr>
              <w:t>4</w:t>
            </w:r>
            <w:r w:rsidR="008844A6" w:rsidRPr="00835AA1">
              <w:rPr>
                <w:bCs/>
                <w:szCs w:val="22"/>
                <w:lang w:val="fr-FR"/>
              </w:rPr>
              <w:t>5</w:t>
            </w:r>
            <w:r w:rsidR="005829EF" w:rsidRPr="00835AA1">
              <w:rPr>
                <w:bCs/>
                <w:szCs w:val="22"/>
                <w:lang w:val="fr-FR"/>
              </w:rPr>
              <w:t> </w:t>
            </w:r>
            <w:r w:rsidRPr="00835AA1">
              <w:rPr>
                <w:bCs/>
                <w:szCs w:val="22"/>
                <w:lang w:val="fr-FR"/>
              </w:rPr>
              <w:t>529</w:t>
            </w:r>
          </w:p>
        </w:tc>
        <w:tc>
          <w:tcPr>
            <w:tcW w:w="1190" w:type="pct"/>
            <w:tcBorders>
              <w:top w:val="single" w:sz="4" w:space="0" w:color="auto"/>
              <w:left w:val="nil"/>
              <w:bottom w:val="single" w:sz="4" w:space="0" w:color="auto"/>
              <w:right w:val="dotted" w:sz="4" w:space="0" w:color="auto"/>
            </w:tcBorders>
            <w:shd w:val="clear" w:color="000000" w:fill="FFFFFF"/>
            <w:noWrap/>
            <w:vAlign w:val="center"/>
          </w:tcPr>
          <w:p w14:paraId="5ACC98C1" w14:textId="77777777" w:rsidR="00287074" w:rsidRPr="00835AA1" w:rsidRDefault="00287074" w:rsidP="004516D6">
            <w:pPr>
              <w:keepNext/>
              <w:jc w:val="center"/>
              <w:rPr>
                <w:szCs w:val="22"/>
                <w:lang w:val="fr-FR"/>
              </w:rPr>
            </w:pPr>
            <w:r w:rsidRPr="00835AA1">
              <w:rPr>
                <w:bCs/>
                <w:szCs w:val="22"/>
                <w:lang w:val="fr-FR"/>
              </w:rPr>
              <w:t>3</w:t>
            </w:r>
            <w:r w:rsidR="008844A6" w:rsidRPr="00835AA1">
              <w:rPr>
                <w:bCs/>
                <w:szCs w:val="22"/>
                <w:lang w:val="fr-FR"/>
              </w:rPr>
              <w:t>,</w:t>
            </w:r>
            <w:r w:rsidRPr="00835AA1">
              <w:rPr>
                <w:bCs/>
                <w:szCs w:val="22"/>
                <w:lang w:val="fr-FR"/>
              </w:rPr>
              <w:t>02</w:t>
            </w:r>
          </w:p>
        </w:tc>
        <w:tc>
          <w:tcPr>
            <w:tcW w:w="1083" w:type="pct"/>
            <w:tcBorders>
              <w:top w:val="single" w:sz="4" w:space="0" w:color="auto"/>
              <w:left w:val="dotted" w:sz="4" w:space="0" w:color="auto"/>
              <w:bottom w:val="single" w:sz="4" w:space="0" w:color="auto"/>
              <w:right w:val="single" w:sz="4" w:space="0" w:color="auto"/>
            </w:tcBorders>
            <w:shd w:val="clear" w:color="000000" w:fill="FFFFFF"/>
            <w:vAlign w:val="center"/>
          </w:tcPr>
          <w:p w14:paraId="760D1A46" w14:textId="77777777" w:rsidR="00287074" w:rsidRPr="00835AA1" w:rsidRDefault="00287074" w:rsidP="004516D6">
            <w:pPr>
              <w:keepNext/>
              <w:jc w:val="center"/>
              <w:rPr>
                <w:szCs w:val="22"/>
                <w:lang w:val="fr-FR"/>
              </w:rPr>
            </w:pPr>
            <w:r w:rsidRPr="00835AA1">
              <w:rPr>
                <w:bCs/>
                <w:szCs w:val="22"/>
                <w:lang w:val="fr-FR"/>
              </w:rPr>
              <w:t>1</w:t>
            </w:r>
            <w:r w:rsidR="008844A6" w:rsidRPr="00835AA1">
              <w:rPr>
                <w:bCs/>
                <w:szCs w:val="22"/>
                <w:lang w:val="fr-FR"/>
              </w:rPr>
              <w:t>,</w:t>
            </w:r>
            <w:r w:rsidRPr="00835AA1">
              <w:rPr>
                <w:bCs/>
                <w:szCs w:val="22"/>
                <w:lang w:val="fr-FR"/>
              </w:rPr>
              <w:t>99</w:t>
            </w:r>
          </w:p>
        </w:tc>
      </w:tr>
      <w:tr w:rsidR="00A541B2" w:rsidRPr="00835AA1" w14:paraId="39E1ED5D" w14:textId="77777777" w:rsidTr="00A419D0">
        <w:trPr>
          <w:trHeight w:val="600"/>
        </w:trPr>
        <w:tc>
          <w:tcPr>
            <w:tcW w:w="54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E897020" w14:textId="77777777" w:rsidR="00287074" w:rsidRPr="00835AA1" w:rsidRDefault="00287074" w:rsidP="004516D6">
            <w:pPr>
              <w:keepNext/>
              <w:jc w:val="center"/>
              <w:rPr>
                <w:szCs w:val="22"/>
                <w:lang w:val="fr-FR"/>
              </w:rPr>
            </w:pPr>
            <w:r w:rsidRPr="00835AA1">
              <w:rPr>
                <w:szCs w:val="22"/>
                <w:lang w:val="fr-FR"/>
              </w:rPr>
              <w:t>2025</w:t>
            </w:r>
          </w:p>
        </w:tc>
        <w:tc>
          <w:tcPr>
            <w:tcW w:w="697" w:type="pct"/>
            <w:tcBorders>
              <w:top w:val="single" w:sz="4" w:space="0" w:color="auto"/>
              <w:left w:val="nil"/>
              <w:bottom w:val="single" w:sz="4" w:space="0" w:color="auto"/>
              <w:right w:val="dotted" w:sz="4" w:space="0" w:color="auto"/>
            </w:tcBorders>
            <w:shd w:val="clear" w:color="000000" w:fill="FFFFFF"/>
            <w:noWrap/>
            <w:vAlign w:val="center"/>
          </w:tcPr>
          <w:p w14:paraId="699F3E16" w14:textId="77777777" w:rsidR="00287074" w:rsidRPr="00835AA1" w:rsidRDefault="00287074" w:rsidP="004516D6">
            <w:pPr>
              <w:keepNext/>
              <w:jc w:val="center"/>
              <w:rPr>
                <w:bCs/>
                <w:szCs w:val="22"/>
                <w:lang w:val="fr-FR"/>
              </w:rPr>
            </w:pPr>
            <w:r w:rsidRPr="00835AA1">
              <w:rPr>
                <w:bCs/>
                <w:szCs w:val="22"/>
                <w:lang w:val="fr-FR"/>
              </w:rPr>
              <w:t>24</w:t>
            </w:r>
            <w:r w:rsidR="005829EF" w:rsidRPr="00835AA1">
              <w:rPr>
                <w:bCs/>
                <w:szCs w:val="22"/>
                <w:lang w:val="fr-FR"/>
              </w:rPr>
              <w:t> </w:t>
            </w:r>
            <w:r w:rsidRPr="00835AA1">
              <w:rPr>
                <w:bCs/>
                <w:szCs w:val="22"/>
                <w:lang w:val="fr-FR"/>
              </w:rPr>
              <w:t>247</w:t>
            </w:r>
          </w:p>
        </w:tc>
        <w:tc>
          <w:tcPr>
            <w:tcW w:w="793" w:type="pct"/>
            <w:tcBorders>
              <w:top w:val="single" w:sz="4" w:space="0" w:color="auto"/>
              <w:left w:val="dotted" w:sz="4" w:space="0" w:color="auto"/>
              <w:bottom w:val="single" w:sz="4" w:space="0" w:color="auto"/>
              <w:right w:val="dotted" w:sz="4" w:space="0" w:color="auto"/>
            </w:tcBorders>
            <w:shd w:val="clear" w:color="000000" w:fill="FFFFFF"/>
            <w:vAlign w:val="center"/>
          </w:tcPr>
          <w:p w14:paraId="1D1DB041" w14:textId="77777777" w:rsidR="00287074" w:rsidRPr="00835AA1" w:rsidRDefault="00287074" w:rsidP="004516D6">
            <w:pPr>
              <w:keepNext/>
              <w:jc w:val="center"/>
              <w:rPr>
                <w:bCs/>
                <w:szCs w:val="22"/>
                <w:lang w:val="fr-FR"/>
              </w:rPr>
            </w:pPr>
            <w:r w:rsidRPr="00835AA1">
              <w:rPr>
                <w:bCs/>
                <w:szCs w:val="22"/>
                <w:lang w:val="fr-FR"/>
              </w:rPr>
              <w:t>24</w:t>
            </w:r>
            <w:r w:rsidR="005829EF" w:rsidRPr="00835AA1">
              <w:rPr>
                <w:bCs/>
                <w:szCs w:val="22"/>
                <w:lang w:val="fr-FR"/>
              </w:rPr>
              <w:t> </w:t>
            </w:r>
            <w:r w:rsidRPr="00835AA1">
              <w:rPr>
                <w:bCs/>
                <w:szCs w:val="22"/>
                <w:lang w:val="fr-FR"/>
              </w:rPr>
              <w:t>608</w:t>
            </w:r>
          </w:p>
        </w:tc>
        <w:tc>
          <w:tcPr>
            <w:tcW w:w="693" w:type="pct"/>
            <w:tcBorders>
              <w:top w:val="single" w:sz="4" w:space="0" w:color="auto"/>
              <w:left w:val="dotted" w:sz="4" w:space="0" w:color="auto"/>
              <w:bottom w:val="single" w:sz="4" w:space="0" w:color="auto"/>
              <w:right w:val="single" w:sz="4" w:space="0" w:color="auto"/>
            </w:tcBorders>
            <w:shd w:val="clear" w:color="000000" w:fill="FFFFFF"/>
            <w:vAlign w:val="center"/>
          </w:tcPr>
          <w:p w14:paraId="16FF746C" w14:textId="77777777" w:rsidR="00287074" w:rsidRPr="00835AA1" w:rsidRDefault="00287074" w:rsidP="004516D6">
            <w:pPr>
              <w:keepNext/>
              <w:jc w:val="center"/>
              <w:rPr>
                <w:bCs/>
                <w:szCs w:val="22"/>
                <w:lang w:val="fr-FR"/>
              </w:rPr>
            </w:pPr>
            <w:r w:rsidRPr="00835AA1">
              <w:rPr>
                <w:bCs/>
                <w:szCs w:val="22"/>
                <w:lang w:val="fr-FR"/>
              </w:rPr>
              <w:t>48</w:t>
            </w:r>
            <w:r w:rsidR="005829EF" w:rsidRPr="00835AA1">
              <w:rPr>
                <w:bCs/>
                <w:szCs w:val="22"/>
                <w:lang w:val="fr-FR"/>
              </w:rPr>
              <w:t> </w:t>
            </w:r>
            <w:r w:rsidRPr="00835AA1">
              <w:rPr>
                <w:bCs/>
                <w:szCs w:val="22"/>
                <w:lang w:val="fr-FR"/>
              </w:rPr>
              <w:t>856</w:t>
            </w:r>
          </w:p>
        </w:tc>
        <w:tc>
          <w:tcPr>
            <w:tcW w:w="1190" w:type="pct"/>
            <w:tcBorders>
              <w:top w:val="single" w:sz="4" w:space="0" w:color="auto"/>
              <w:left w:val="nil"/>
              <w:bottom w:val="single" w:sz="4" w:space="0" w:color="auto"/>
              <w:right w:val="dotted" w:sz="4" w:space="0" w:color="auto"/>
            </w:tcBorders>
            <w:shd w:val="clear" w:color="000000" w:fill="FFFFFF"/>
            <w:noWrap/>
            <w:vAlign w:val="center"/>
          </w:tcPr>
          <w:p w14:paraId="61221FA9" w14:textId="77777777" w:rsidR="00287074" w:rsidRPr="00835AA1" w:rsidRDefault="00287074" w:rsidP="004516D6">
            <w:pPr>
              <w:keepNext/>
              <w:jc w:val="center"/>
              <w:rPr>
                <w:bCs/>
                <w:szCs w:val="22"/>
                <w:lang w:val="fr-FR"/>
              </w:rPr>
            </w:pPr>
            <w:r w:rsidRPr="00835AA1">
              <w:rPr>
                <w:bCs/>
                <w:szCs w:val="22"/>
                <w:lang w:val="fr-FR"/>
              </w:rPr>
              <w:t>3</w:t>
            </w:r>
            <w:r w:rsidR="008844A6" w:rsidRPr="00835AA1">
              <w:rPr>
                <w:bCs/>
                <w:szCs w:val="22"/>
                <w:lang w:val="fr-FR"/>
              </w:rPr>
              <w:t>,</w:t>
            </w:r>
            <w:r w:rsidRPr="00835AA1">
              <w:rPr>
                <w:bCs/>
                <w:szCs w:val="22"/>
                <w:lang w:val="fr-FR"/>
              </w:rPr>
              <w:t>40</w:t>
            </w:r>
          </w:p>
        </w:tc>
        <w:tc>
          <w:tcPr>
            <w:tcW w:w="1083" w:type="pct"/>
            <w:tcBorders>
              <w:top w:val="single" w:sz="4" w:space="0" w:color="auto"/>
              <w:left w:val="dotted" w:sz="4" w:space="0" w:color="auto"/>
              <w:bottom w:val="single" w:sz="4" w:space="0" w:color="auto"/>
              <w:right w:val="single" w:sz="4" w:space="0" w:color="auto"/>
            </w:tcBorders>
            <w:shd w:val="clear" w:color="000000" w:fill="FFFFFF"/>
            <w:vAlign w:val="center"/>
          </w:tcPr>
          <w:p w14:paraId="75257AB8" w14:textId="77777777" w:rsidR="00287074" w:rsidRPr="00835AA1" w:rsidRDefault="00287074" w:rsidP="004516D6">
            <w:pPr>
              <w:keepNext/>
              <w:jc w:val="center"/>
              <w:rPr>
                <w:bCs/>
                <w:szCs w:val="22"/>
                <w:lang w:val="fr-FR"/>
              </w:rPr>
            </w:pPr>
            <w:r w:rsidRPr="00835AA1">
              <w:rPr>
                <w:bCs/>
                <w:szCs w:val="22"/>
                <w:lang w:val="fr-FR"/>
              </w:rPr>
              <w:t>2</w:t>
            </w:r>
            <w:r w:rsidR="008844A6" w:rsidRPr="00835AA1">
              <w:rPr>
                <w:bCs/>
                <w:szCs w:val="22"/>
                <w:lang w:val="fr-FR"/>
              </w:rPr>
              <w:t>,</w:t>
            </w:r>
            <w:r w:rsidRPr="00835AA1">
              <w:rPr>
                <w:bCs/>
                <w:szCs w:val="22"/>
                <w:lang w:val="fr-FR"/>
              </w:rPr>
              <w:t>16</w:t>
            </w:r>
          </w:p>
        </w:tc>
      </w:tr>
    </w:tbl>
    <w:p w14:paraId="2B5BE0D4" w14:textId="77777777" w:rsidR="008844A6" w:rsidRPr="00835AA1" w:rsidRDefault="00B34648" w:rsidP="00E839DD">
      <w:pPr>
        <w:pStyle w:val="Heading2"/>
        <w:spacing w:before="280"/>
      </w:pPr>
      <w:r>
        <w:t>L</w:t>
      </w:r>
      <w:r w:rsidRPr="00835AA1">
        <w:t>angue de travail (option “</w:t>
      </w:r>
      <w:r>
        <w:t>E</w:t>
      </w:r>
      <w:r w:rsidRPr="00835AA1">
        <w:t>”)</w:t>
      </w:r>
    </w:p>
    <w:p w14:paraId="7ECCE8E6" w14:textId="77777777" w:rsidR="008844A6" w:rsidRPr="00835AA1" w:rsidRDefault="005829EF" w:rsidP="00B34648">
      <w:pPr>
        <w:pStyle w:val="ONUMFS"/>
        <w:rPr>
          <w:lang w:val="fr-FR"/>
        </w:rPr>
      </w:pPr>
      <w:r w:rsidRPr="00835AA1">
        <w:rPr>
          <w:lang w:val="fr-FR"/>
        </w:rPr>
        <w:t>Selon cette option, le régime linguistique actuellement prévu à la règle 6 du règlement d</w:t>
      </w:r>
      <w:r w:rsidR="002E3178" w:rsidRPr="00835AA1">
        <w:rPr>
          <w:lang w:val="fr-FR"/>
        </w:rPr>
        <w:t>’</w:t>
      </w:r>
      <w:r w:rsidRPr="00835AA1">
        <w:rPr>
          <w:lang w:val="fr-FR"/>
        </w:rPr>
        <w:t>exécution commun s</w:t>
      </w:r>
      <w:r w:rsidR="002E3178" w:rsidRPr="00835AA1">
        <w:rPr>
          <w:lang w:val="fr-FR"/>
        </w:rPr>
        <w:t>’</w:t>
      </w:r>
      <w:r w:rsidRPr="00835AA1">
        <w:rPr>
          <w:lang w:val="fr-FR"/>
        </w:rPr>
        <w:t>appliquerait également à la nouvelle lang</w:t>
      </w:r>
      <w:r w:rsidR="00A541B2" w:rsidRPr="00835AA1">
        <w:rPr>
          <w:lang w:val="fr-FR"/>
        </w:rPr>
        <w:t>ue.  En</w:t>
      </w:r>
      <w:r w:rsidRPr="00835AA1">
        <w:rPr>
          <w:lang w:val="fr-FR"/>
        </w:rPr>
        <w:t xml:space="preserve"> d</w:t>
      </w:r>
      <w:r w:rsidR="002E3178" w:rsidRPr="00835AA1">
        <w:rPr>
          <w:lang w:val="fr-FR"/>
        </w:rPr>
        <w:t>’</w:t>
      </w:r>
      <w:r w:rsidRPr="00835AA1">
        <w:rPr>
          <w:lang w:val="fr-FR"/>
        </w:rPr>
        <w:t>autres termes, contrairement aux options précédentes, le Bureau international effectuerait la traduction nécessaire pour tous les enregistrements internationaux, dans n</w:t>
      </w:r>
      <w:r w:rsidR="002E3178" w:rsidRPr="00835AA1">
        <w:rPr>
          <w:lang w:val="fr-FR"/>
        </w:rPr>
        <w:t>’</w:t>
      </w:r>
      <w:r w:rsidR="00A541B2" w:rsidRPr="00835AA1">
        <w:rPr>
          <w:lang w:val="fr-FR"/>
        </w:rPr>
        <w:t>i</w:t>
      </w:r>
      <w:r w:rsidRPr="00835AA1">
        <w:rPr>
          <w:lang w:val="fr-FR"/>
        </w:rPr>
        <w:t>mporte quelle nouvelle langue, en plus du français, de l</w:t>
      </w:r>
      <w:r w:rsidR="002E3178" w:rsidRPr="00835AA1">
        <w:rPr>
          <w:lang w:val="fr-FR"/>
        </w:rPr>
        <w:t>’</w:t>
      </w:r>
      <w:r w:rsidRPr="00835AA1">
        <w:rPr>
          <w:lang w:val="fr-FR"/>
        </w:rPr>
        <w:t>anglais et de l</w:t>
      </w:r>
      <w:r w:rsidR="002E3178" w:rsidRPr="00835AA1">
        <w:rPr>
          <w:lang w:val="fr-FR"/>
        </w:rPr>
        <w:t>’</w:t>
      </w:r>
      <w:r w:rsidRPr="00835AA1">
        <w:rPr>
          <w:lang w:val="fr-FR"/>
        </w:rPr>
        <w:t>espagnol.</w:t>
      </w:r>
    </w:p>
    <w:p w14:paraId="160FAF20" w14:textId="77777777" w:rsidR="00D449F3" w:rsidRPr="00835AA1" w:rsidRDefault="005829EF" w:rsidP="00B34648">
      <w:pPr>
        <w:pStyle w:val="ONUMFS"/>
        <w:rPr>
          <w:lang w:val="fr-FR"/>
        </w:rPr>
      </w:pPr>
      <w:r w:rsidRPr="00835AA1">
        <w:rPr>
          <w:lang w:val="fr-FR"/>
        </w:rPr>
        <w:t>La charge de travail supplémentaire, pour la traduction, résultant de l</w:t>
      </w:r>
      <w:r w:rsidR="002E3178" w:rsidRPr="00835AA1">
        <w:rPr>
          <w:lang w:val="fr-FR"/>
        </w:rPr>
        <w:t>’</w:t>
      </w:r>
      <w:r w:rsidRPr="00835AA1">
        <w:rPr>
          <w:lang w:val="fr-FR"/>
        </w:rPr>
        <w:t>ajout d</w:t>
      </w:r>
      <w:r w:rsidR="002E3178" w:rsidRPr="00835AA1">
        <w:rPr>
          <w:lang w:val="fr-FR"/>
        </w:rPr>
        <w:t>’</w:t>
      </w:r>
      <w:r w:rsidRPr="00835AA1">
        <w:rPr>
          <w:lang w:val="fr-FR"/>
        </w:rPr>
        <w:t>une nouvelle langue de travail serait pratiquement la même pour toutes les langu</w:t>
      </w:r>
      <w:r w:rsidR="00A541B2" w:rsidRPr="00835AA1">
        <w:rPr>
          <w:lang w:val="fr-FR"/>
        </w:rPr>
        <w:t>es.  Pa</w:t>
      </w:r>
      <w:r w:rsidRPr="00835AA1">
        <w:rPr>
          <w:lang w:val="fr-FR"/>
        </w:rPr>
        <w:t>r conséquent, les ressources requises pour effectuer le contrôle de la qualité seraient les mêm</w:t>
      </w:r>
      <w:r w:rsidR="00A541B2" w:rsidRPr="00835AA1">
        <w:rPr>
          <w:lang w:val="fr-FR"/>
        </w:rPr>
        <w:t>es.  To</w:t>
      </w:r>
      <w:r w:rsidRPr="00835AA1">
        <w:rPr>
          <w:lang w:val="fr-FR"/>
        </w:rPr>
        <w:t>utefois, le coût des traductions sous</w:t>
      </w:r>
      <w:r w:rsidR="003813B1" w:rsidRPr="00835AA1">
        <w:rPr>
          <w:lang w:val="fr-FR"/>
        </w:rPr>
        <w:noBreakHyphen/>
      </w:r>
      <w:r w:rsidRPr="00835AA1">
        <w:rPr>
          <w:lang w:val="fr-FR"/>
        </w:rPr>
        <w:t>traitées serait différent en raison des tarifs différents pour traduction depuis et vers ces langues.</w:t>
      </w:r>
    </w:p>
    <w:tbl>
      <w:tblPr>
        <w:tblW w:w="4768" w:type="pct"/>
        <w:tblInd w:w="-5" w:type="dxa"/>
        <w:tblLook w:val="04A0" w:firstRow="1" w:lastRow="0" w:firstColumn="1" w:lastColumn="0" w:noHBand="0" w:noVBand="1"/>
      </w:tblPr>
      <w:tblGrid>
        <w:gridCol w:w="853"/>
        <w:gridCol w:w="1501"/>
        <w:gridCol w:w="1493"/>
        <w:gridCol w:w="1166"/>
        <w:gridCol w:w="2041"/>
        <w:gridCol w:w="1857"/>
      </w:tblGrid>
      <w:tr w:rsidR="00A541B2" w:rsidRPr="00A50943" w14:paraId="4668765E" w14:textId="77777777" w:rsidTr="00A419D0">
        <w:trPr>
          <w:trHeight w:val="287"/>
        </w:trPr>
        <w:tc>
          <w:tcPr>
            <w:tcW w:w="479" w:type="pct"/>
            <w:vMerge w:val="restart"/>
            <w:tcBorders>
              <w:top w:val="single" w:sz="4" w:space="0" w:color="auto"/>
              <w:left w:val="single" w:sz="4" w:space="0" w:color="auto"/>
              <w:right w:val="single" w:sz="4" w:space="0" w:color="auto"/>
            </w:tcBorders>
            <w:shd w:val="clear" w:color="000000" w:fill="FFFFFF"/>
            <w:vAlign w:val="center"/>
            <w:hideMark/>
          </w:tcPr>
          <w:p w14:paraId="72BE23EE" w14:textId="77777777" w:rsidR="005829EF" w:rsidRPr="00835AA1" w:rsidRDefault="005829EF" w:rsidP="005829EF">
            <w:pPr>
              <w:jc w:val="center"/>
              <w:rPr>
                <w:szCs w:val="22"/>
                <w:lang w:val="fr-FR"/>
              </w:rPr>
            </w:pPr>
            <w:r w:rsidRPr="00835AA1">
              <w:rPr>
                <w:szCs w:val="22"/>
                <w:lang w:val="fr-FR"/>
              </w:rPr>
              <w:t>Année</w:t>
            </w:r>
          </w:p>
        </w:tc>
        <w:tc>
          <w:tcPr>
            <w:tcW w:w="2334" w:type="pct"/>
            <w:gridSpan w:val="3"/>
            <w:tcBorders>
              <w:top w:val="single" w:sz="4" w:space="0" w:color="auto"/>
              <w:left w:val="nil"/>
              <w:bottom w:val="single" w:sz="4" w:space="0" w:color="auto"/>
              <w:right w:val="single" w:sz="4" w:space="0" w:color="auto"/>
            </w:tcBorders>
            <w:shd w:val="clear" w:color="000000" w:fill="FFFFFF"/>
            <w:vAlign w:val="center"/>
            <w:hideMark/>
          </w:tcPr>
          <w:p w14:paraId="03756257" w14:textId="77777777" w:rsidR="005829EF" w:rsidRPr="00835AA1" w:rsidRDefault="005829EF" w:rsidP="005829EF">
            <w:pPr>
              <w:jc w:val="center"/>
              <w:rPr>
                <w:sz w:val="20"/>
                <w:lang w:val="fr-FR"/>
              </w:rPr>
            </w:pPr>
            <w:r w:rsidRPr="00835AA1">
              <w:rPr>
                <w:sz w:val="20"/>
                <w:lang w:val="fr-FR"/>
              </w:rPr>
              <w:t>Traduction sous</w:t>
            </w:r>
            <w:r w:rsidR="003813B1" w:rsidRPr="00835AA1">
              <w:rPr>
                <w:sz w:val="20"/>
                <w:lang w:val="fr-FR"/>
              </w:rPr>
              <w:noBreakHyphen/>
            </w:r>
            <w:r w:rsidRPr="00835AA1">
              <w:rPr>
                <w:sz w:val="20"/>
                <w:lang w:val="fr-FR"/>
              </w:rPr>
              <w:t>traitée (francs suisses)</w:t>
            </w:r>
          </w:p>
        </w:tc>
        <w:tc>
          <w:tcPr>
            <w:tcW w:w="2187" w:type="pct"/>
            <w:gridSpan w:val="2"/>
            <w:tcBorders>
              <w:top w:val="single" w:sz="4" w:space="0" w:color="auto"/>
              <w:left w:val="nil"/>
              <w:bottom w:val="single" w:sz="4" w:space="0" w:color="auto"/>
              <w:right w:val="single" w:sz="4" w:space="0" w:color="auto"/>
            </w:tcBorders>
            <w:shd w:val="clear" w:color="000000" w:fill="FFFFFF"/>
            <w:vAlign w:val="center"/>
            <w:hideMark/>
          </w:tcPr>
          <w:p w14:paraId="494A6744" w14:textId="77777777" w:rsidR="005829EF" w:rsidRPr="00835AA1" w:rsidRDefault="005829EF" w:rsidP="005829EF">
            <w:pPr>
              <w:jc w:val="center"/>
              <w:rPr>
                <w:sz w:val="20"/>
                <w:lang w:val="fr-FR"/>
              </w:rPr>
            </w:pPr>
            <w:r w:rsidRPr="00835AA1">
              <w:rPr>
                <w:sz w:val="20"/>
                <w:lang w:val="fr-FR"/>
              </w:rPr>
              <w:t>Contrôle de la qualité des traductions (jours de travail)</w:t>
            </w:r>
          </w:p>
        </w:tc>
      </w:tr>
      <w:tr w:rsidR="00A541B2" w:rsidRPr="00835AA1" w14:paraId="1EF424F7" w14:textId="77777777" w:rsidTr="00A419D0">
        <w:trPr>
          <w:trHeight w:val="251"/>
        </w:trPr>
        <w:tc>
          <w:tcPr>
            <w:tcW w:w="479" w:type="pct"/>
            <w:vMerge/>
            <w:tcBorders>
              <w:left w:val="single" w:sz="4" w:space="0" w:color="auto"/>
              <w:bottom w:val="single" w:sz="4" w:space="0" w:color="auto"/>
              <w:right w:val="single" w:sz="4" w:space="0" w:color="auto"/>
            </w:tcBorders>
            <w:shd w:val="clear" w:color="000000" w:fill="FFFFFF"/>
            <w:vAlign w:val="center"/>
          </w:tcPr>
          <w:p w14:paraId="3091C5BF" w14:textId="77777777" w:rsidR="00D449F3" w:rsidRPr="00835AA1" w:rsidRDefault="00D449F3" w:rsidP="003926E8">
            <w:pPr>
              <w:jc w:val="center"/>
              <w:rPr>
                <w:szCs w:val="22"/>
                <w:lang w:val="fr-FR"/>
              </w:rPr>
            </w:pPr>
          </w:p>
        </w:tc>
        <w:tc>
          <w:tcPr>
            <w:tcW w:w="842" w:type="pct"/>
            <w:tcBorders>
              <w:top w:val="single" w:sz="4" w:space="0" w:color="auto"/>
              <w:left w:val="nil"/>
              <w:bottom w:val="single" w:sz="4" w:space="0" w:color="auto"/>
              <w:right w:val="dotted" w:sz="4" w:space="0" w:color="auto"/>
            </w:tcBorders>
            <w:shd w:val="clear" w:color="000000" w:fill="FFFFFF"/>
            <w:vAlign w:val="center"/>
          </w:tcPr>
          <w:p w14:paraId="635C02CE" w14:textId="77777777" w:rsidR="00D449F3" w:rsidRPr="00835AA1" w:rsidRDefault="005F577F" w:rsidP="003926E8">
            <w:pPr>
              <w:jc w:val="center"/>
              <w:rPr>
                <w:sz w:val="20"/>
                <w:lang w:val="fr-FR"/>
              </w:rPr>
            </w:pPr>
            <w:r w:rsidRPr="00835AA1">
              <w:rPr>
                <w:sz w:val="20"/>
                <w:lang w:val="fr-FR"/>
              </w:rPr>
              <w:t>Chinois</w:t>
            </w:r>
          </w:p>
        </w:tc>
        <w:tc>
          <w:tcPr>
            <w:tcW w:w="838" w:type="pct"/>
            <w:tcBorders>
              <w:top w:val="single" w:sz="4" w:space="0" w:color="auto"/>
              <w:left w:val="dotted" w:sz="4" w:space="0" w:color="auto"/>
              <w:bottom w:val="single" w:sz="4" w:space="0" w:color="auto"/>
              <w:right w:val="dotted" w:sz="4" w:space="0" w:color="auto"/>
            </w:tcBorders>
            <w:shd w:val="clear" w:color="000000" w:fill="FFFFFF"/>
            <w:vAlign w:val="center"/>
          </w:tcPr>
          <w:p w14:paraId="5BE4918B" w14:textId="77777777" w:rsidR="00D449F3" w:rsidRPr="00835AA1" w:rsidRDefault="005F577F" w:rsidP="003926E8">
            <w:pPr>
              <w:jc w:val="center"/>
              <w:rPr>
                <w:sz w:val="20"/>
                <w:lang w:val="fr-FR"/>
              </w:rPr>
            </w:pPr>
            <w:r w:rsidRPr="00835AA1">
              <w:rPr>
                <w:sz w:val="20"/>
                <w:lang w:val="fr-FR"/>
              </w:rPr>
              <w:t>Russe</w:t>
            </w:r>
          </w:p>
        </w:tc>
        <w:tc>
          <w:tcPr>
            <w:tcW w:w="654" w:type="pct"/>
            <w:tcBorders>
              <w:top w:val="single" w:sz="4" w:space="0" w:color="auto"/>
              <w:left w:val="dotted" w:sz="4" w:space="0" w:color="auto"/>
              <w:bottom w:val="single" w:sz="4" w:space="0" w:color="auto"/>
              <w:right w:val="single" w:sz="4" w:space="0" w:color="auto"/>
            </w:tcBorders>
            <w:shd w:val="clear" w:color="000000" w:fill="FFFFFF"/>
            <w:vAlign w:val="center"/>
          </w:tcPr>
          <w:p w14:paraId="6AB0733C" w14:textId="77777777" w:rsidR="00D449F3" w:rsidRPr="00835AA1" w:rsidRDefault="00D449F3" w:rsidP="003926E8">
            <w:pPr>
              <w:jc w:val="center"/>
              <w:rPr>
                <w:sz w:val="20"/>
                <w:lang w:val="fr-FR"/>
              </w:rPr>
            </w:pPr>
            <w:r w:rsidRPr="00835AA1">
              <w:rPr>
                <w:sz w:val="20"/>
                <w:lang w:val="fr-FR"/>
              </w:rPr>
              <w:t>Total</w:t>
            </w:r>
          </w:p>
        </w:tc>
        <w:tc>
          <w:tcPr>
            <w:tcW w:w="1145" w:type="pct"/>
            <w:tcBorders>
              <w:top w:val="single" w:sz="4" w:space="0" w:color="auto"/>
              <w:left w:val="nil"/>
              <w:bottom w:val="single" w:sz="4" w:space="0" w:color="auto"/>
              <w:right w:val="dotted" w:sz="4" w:space="0" w:color="auto"/>
            </w:tcBorders>
            <w:shd w:val="clear" w:color="000000" w:fill="FFFFFF"/>
            <w:vAlign w:val="center"/>
          </w:tcPr>
          <w:p w14:paraId="0E41BAAA" w14:textId="77777777" w:rsidR="00D449F3" w:rsidRPr="00835AA1" w:rsidRDefault="005F577F" w:rsidP="003926E8">
            <w:pPr>
              <w:jc w:val="center"/>
              <w:rPr>
                <w:sz w:val="20"/>
                <w:lang w:val="fr-FR"/>
              </w:rPr>
            </w:pPr>
            <w:r w:rsidRPr="00835AA1">
              <w:rPr>
                <w:sz w:val="20"/>
                <w:lang w:val="fr-FR"/>
              </w:rPr>
              <w:t>Chinois</w:t>
            </w:r>
          </w:p>
        </w:tc>
        <w:tc>
          <w:tcPr>
            <w:tcW w:w="1042" w:type="pct"/>
            <w:tcBorders>
              <w:top w:val="single" w:sz="4" w:space="0" w:color="auto"/>
              <w:left w:val="dotted" w:sz="4" w:space="0" w:color="auto"/>
              <w:bottom w:val="single" w:sz="4" w:space="0" w:color="auto"/>
              <w:right w:val="single" w:sz="4" w:space="0" w:color="auto"/>
            </w:tcBorders>
            <w:shd w:val="clear" w:color="000000" w:fill="FFFFFF"/>
            <w:vAlign w:val="center"/>
          </w:tcPr>
          <w:p w14:paraId="0AA2B486" w14:textId="77777777" w:rsidR="00D449F3" w:rsidRPr="00835AA1" w:rsidRDefault="005F577F" w:rsidP="003926E8">
            <w:pPr>
              <w:jc w:val="center"/>
              <w:rPr>
                <w:sz w:val="20"/>
                <w:lang w:val="fr-FR"/>
              </w:rPr>
            </w:pPr>
            <w:r w:rsidRPr="00835AA1">
              <w:rPr>
                <w:sz w:val="20"/>
                <w:lang w:val="fr-FR"/>
              </w:rPr>
              <w:t>Russe</w:t>
            </w:r>
          </w:p>
        </w:tc>
      </w:tr>
      <w:tr w:rsidR="00A541B2" w:rsidRPr="00835AA1" w14:paraId="13B75A75" w14:textId="77777777" w:rsidTr="00A419D0">
        <w:trPr>
          <w:trHeight w:val="600"/>
        </w:trPr>
        <w:tc>
          <w:tcPr>
            <w:tcW w:w="479" w:type="pct"/>
            <w:tcBorders>
              <w:top w:val="nil"/>
              <w:left w:val="single" w:sz="4" w:space="0" w:color="auto"/>
              <w:bottom w:val="single" w:sz="4" w:space="0" w:color="auto"/>
              <w:right w:val="single" w:sz="4" w:space="0" w:color="auto"/>
            </w:tcBorders>
            <w:shd w:val="clear" w:color="000000" w:fill="FFFFFF"/>
            <w:noWrap/>
            <w:vAlign w:val="center"/>
            <w:hideMark/>
          </w:tcPr>
          <w:p w14:paraId="173AD89F" w14:textId="77777777" w:rsidR="00497FD3" w:rsidRPr="00835AA1" w:rsidRDefault="00497FD3" w:rsidP="00497FD3">
            <w:pPr>
              <w:jc w:val="center"/>
              <w:rPr>
                <w:szCs w:val="22"/>
                <w:lang w:val="fr-FR"/>
              </w:rPr>
            </w:pPr>
            <w:r w:rsidRPr="00835AA1">
              <w:rPr>
                <w:szCs w:val="22"/>
                <w:lang w:val="fr-FR"/>
              </w:rPr>
              <w:t>2021</w:t>
            </w:r>
          </w:p>
        </w:tc>
        <w:tc>
          <w:tcPr>
            <w:tcW w:w="842" w:type="pct"/>
            <w:tcBorders>
              <w:top w:val="nil"/>
              <w:left w:val="nil"/>
              <w:bottom w:val="single" w:sz="4" w:space="0" w:color="auto"/>
              <w:right w:val="dotted" w:sz="4" w:space="0" w:color="auto"/>
            </w:tcBorders>
            <w:shd w:val="clear" w:color="000000" w:fill="FFFFFF"/>
            <w:noWrap/>
            <w:vAlign w:val="center"/>
          </w:tcPr>
          <w:p w14:paraId="47950AC7" w14:textId="77777777" w:rsidR="00497FD3" w:rsidRPr="00835AA1" w:rsidRDefault="00497FD3" w:rsidP="005829EF">
            <w:pPr>
              <w:jc w:val="center"/>
              <w:rPr>
                <w:szCs w:val="22"/>
                <w:lang w:val="fr-FR"/>
              </w:rPr>
            </w:pPr>
            <w:r w:rsidRPr="00835AA1">
              <w:rPr>
                <w:bCs/>
                <w:szCs w:val="22"/>
                <w:lang w:val="fr-FR"/>
              </w:rPr>
              <w:t>49</w:t>
            </w:r>
            <w:r w:rsidR="005829EF" w:rsidRPr="00835AA1">
              <w:rPr>
                <w:bCs/>
                <w:szCs w:val="22"/>
                <w:lang w:val="fr-FR"/>
              </w:rPr>
              <w:t> </w:t>
            </w:r>
            <w:r w:rsidRPr="00835AA1">
              <w:rPr>
                <w:bCs/>
                <w:szCs w:val="22"/>
                <w:lang w:val="fr-FR"/>
              </w:rPr>
              <w:t>114</w:t>
            </w:r>
          </w:p>
        </w:tc>
        <w:tc>
          <w:tcPr>
            <w:tcW w:w="838" w:type="pct"/>
            <w:tcBorders>
              <w:top w:val="single" w:sz="4" w:space="0" w:color="auto"/>
              <w:left w:val="dotted" w:sz="4" w:space="0" w:color="auto"/>
              <w:bottom w:val="single" w:sz="4" w:space="0" w:color="auto"/>
              <w:right w:val="dotted" w:sz="4" w:space="0" w:color="auto"/>
            </w:tcBorders>
            <w:shd w:val="clear" w:color="000000" w:fill="FFFFFF"/>
            <w:vAlign w:val="center"/>
          </w:tcPr>
          <w:p w14:paraId="3BCB44EB" w14:textId="77777777" w:rsidR="00497FD3" w:rsidRPr="00835AA1" w:rsidRDefault="00497FD3" w:rsidP="005829EF">
            <w:pPr>
              <w:jc w:val="center"/>
              <w:rPr>
                <w:szCs w:val="22"/>
                <w:lang w:val="fr-FR"/>
              </w:rPr>
            </w:pPr>
            <w:r w:rsidRPr="00835AA1">
              <w:rPr>
                <w:bCs/>
                <w:szCs w:val="22"/>
                <w:lang w:val="fr-FR"/>
              </w:rPr>
              <w:t>78</w:t>
            </w:r>
            <w:r w:rsidR="005829EF" w:rsidRPr="00835AA1">
              <w:rPr>
                <w:bCs/>
                <w:szCs w:val="22"/>
                <w:lang w:val="fr-FR"/>
              </w:rPr>
              <w:t> </w:t>
            </w:r>
            <w:r w:rsidRPr="00835AA1">
              <w:rPr>
                <w:bCs/>
                <w:szCs w:val="22"/>
                <w:lang w:val="fr-FR"/>
              </w:rPr>
              <w:t>582</w:t>
            </w:r>
          </w:p>
        </w:tc>
        <w:tc>
          <w:tcPr>
            <w:tcW w:w="654" w:type="pct"/>
            <w:tcBorders>
              <w:top w:val="nil"/>
              <w:left w:val="dotted" w:sz="4" w:space="0" w:color="auto"/>
              <w:bottom w:val="single" w:sz="4" w:space="0" w:color="auto"/>
              <w:right w:val="single" w:sz="4" w:space="0" w:color="auto"/>
            </w:tcBorders>
            <w:shd w:val="clear" w:color="000000" w:fill="FFFFFF"/>
            <w:vAlign w:val="center"/>
          </w:tcPr>
          <w:p w14:paraId="001FAFEF" w14:textId="77777777" w:rsidR="00497FD3" w:rsidRPr="00835AA1" w:rsidRDefault="00497FD3" w:rsidP="005829EF">
            <w:pPr>
              <w:jc w:val="center"/>
              <w:rPr>
                <w:szCs w:val="22"/>
                <w:lang w:val="fr-FR"/>
              </w:rPr>
            </w:pPr>
            <w:r w:rsidRPr="00835AA1">
              <w:rPr>
                <w:bCs/>
                <w:szCs w:val="22"/>
                <w:lang w:val="fr-FR"/>
              </w:rPr>
              <w:t>127</w:t>
            </w:r>
            <w:r w:rsidR="005829EF" w:rsidRPr="00835AA1">
              <w:rPr>
                <w:bCs/>
                <w:szCs w:val="22"/>
                <w:lang w:val="fr-FR"/>
              </w:rPr>
              <w:t> </w:t>
            </w:r>
            <w:r w:rsidRPr="00835AA1">
              <w:rPr>
                <w:bCs/>
                <w:szCs w:val="22"/>
                <w:lang w:val="fr-FR"/>
              </w:rPr>
              <w:t>695</w:t>
            </w:r>
          </w:p>
        </w:tc>
        <w:tc>
          <w:tcPr>
            <w:tcW w:w="1145" w:type="pct"/>
            <w:tcBorders>
              <w:top w:val="nil"/>
              <w:left w:val="nil"/>
              <w:bottom w:val="single" w:sz="4" w:space="0" w:color="auto"/>
              <w:right w:val="dotted" w:sz="4" w:space="0" w:color="auto"/>
            </w:tcBorders>
            <w:shd w:val="clear" w:color="000000" w:fill="FFFFFF"/>
            <w:noWrap/>
            <w:vAlign w:val="center"/>
          </w:tcPr>
          <w:p w14:paraId="5AAD1F04" w14:textId="77777777" w:rsidR="00497FD3" w:rsidRPr="00835AA1" w:rsidRDefault="00497FD3" w:rsidP="005829EF">
            <w:pPr>
              <w:jc w:val="center"/>
              <w:rPr>
                <w:szCs w:val="22"/>
                <w:lang w:val="fr-FR"/>
              </w:rPr>
            </w:pPr>
            <w:r w:rsidRPr="00835AA1">
              <w:rPr>
                <w:bCs/>
                <w:szCs w:val="22"/>
                <w:lang w:val="fr-FR"/>
              </w:rPr>
              <w:t>6</w:t>
            </w:r>
            <w:r w:rsidR="005829EF" w:rsidRPr="00835AA1">
              <w:rPr>
                <w:bCs/>
                <w:szCs w:val="22"/>
                <w:lang w:val="fr-FR"/>
              </w:rPr>
              <w:t>,</w:t>
            </w:r>
            <w:r w:rsidRPr="00835AA1">
              <w:rPr>
                <w:bCs/>
                <w:szCs w:val="22"/>
                <w:lang w:val="fr-FR"/>
              </w:rPr>
              <w:t>19</w:t>
            </w:r>
          </w:p>
        </w:tc>
        <w:tc>
          <w:tcPr>
            <w:tcW w:w="1042" w:type="pct"/>
            <w:tcBorders>
              <w:top w:val="nil"/>
              <w:left w:val="dotted" w:sz="4" w:space="0" w:color="auto"/>
              <w:bottom w:val="single" w:sz="4" w:space="0" w:color="auto"/>
              <w:right w:val="single" w:sz="4" w:space="0" w:color="auto"/>
            </w:tcBorders>
            <w:shd w:val="clear" w:color="000000" w:fill="FFFFFF"/>
            <w:vAlign w:val="center"/>
          </w:tcPr>
          <w:p w14:paraId="3E8BC953" w14:textId="77777777" w:rsidR="00497FD3" w:rsidRPr="00835AA1" w:rsidRDefault="00497FD3" w:rsidP="005829EF">
            <w:pPr>
              <w:jc w:val="center"/>
              <w:rPr>
                <w:szCs w:val="22"/>
                <w:lang w:val="fr-FR"/>
              </w:rPr>
            </w:pPr>
            <w:r w:rsidRPr="00835AA1">
              <w:rPr>
                <w:bCs/>
                <w:szCs w:val="22"/>
                <w:lang w:val="fr-FR"/>
              </w:rPr>
              <w:t>6</w:t>
            </w:r>
            <w:r w:rsidR="005829EF" w:rsidRPr="00835AA1">
              <w:rPr>
                <w:bCs/>
                <w:szCs w:val="22"/>
                <w:lang w:val="fr-FR"/>
              </w:rPr>
              <w:t>,</w:t>
            </w:r>
            <w:r w:rsidRPr="00835AA1">
              <w:rPr>
                <w:bCs/>
                <w:szCs w:val="22"/>
                <w:lang w:val="fr-FR"/>
              </w:rPr>
              <w:t>19</w:t>
            </w:r>
          </w:p>
        </w:tc>
      </w:tr>
      <w:tr w:rsidR="00A541B2" w:rsidRPr="00835AA1" w14:paraId="2346626B" w14:textId="77777777" w:rsidTr="00A419D0">
        <w:trPr>
          <w:trHeight w:val="600"/>
        </w:trPr>
        <w:tc>
          <w:tcPr>
            <w:tcW w:w="479" w:type="pct"/>
            <w:tcBorders>
              <w:top w:val="nil"/>
              <w:left w:val="single" w:sz="4" w:space="0" w:color="auto"/>
              <w:bottom w:val="single" w:sz="4" w:space="0" w:color="auto"/>
              <w:right w:val="single" w:sz="4" w:space="0" w:color="auto"/>
            </w:tcBorders>
            <w:shd w:val="clear" w:color="000000" w:fill="FFFFFF"/>
            <w:noWrap/>
            <w:vAlign w:val="center"/>
            <w:hideMark/>
          </w:tcPr>
          <w:p w14:paraId="7C160428" w14:textId="77777777" w:rsidR="00497FD3" w:rsidRPr="00835AA1" w:rsidRDefault="00497FD3" w:rsidP="00497FD3">
            <w:pPr>
              <w:jc w:val="center"/>
              <w:rPr>
                <w:szCs w:val="22"/>
                <w:lang w:val="fr-FR"/>
              </w:rPr>
            </w:pPr>
            <w:r w:rsidRPr="00835AA1">
              <w:rPr>
                <w:szCs w:val="22"/>
                <w:lang w:val="fr-FR"/>
              </w:rPr>
              <w:t>2022</w:t>
            </w:r>
          </w:p>
        </w:tc>
        <w:tc>
          <w:tcPr>
            <w:tcW w:w="842" w:type="pct"/>
            <w:tcBorders>
              <w:top w:val="nil"/>
              <w:left w:val="nil"/>
              <w:bottom w:val="single" w:sz="4" w:space="0" w:color="auto"/>
              <w:right w:val="dotted" w:sz="4" w:space="0" w:color="auto"/>
            </w:tcBorders>
            <w:shd w:val="clear" w:color="000000" w:fill="FFFFFF"/>
            <w:noWrap/>
            <w:vAlign w:val="center"/>
          </w:tcPr>
          <w:p w14:paraId="73AA6192" w14:textId="77777777" w:rsidR="00497FD3" w:rsidRPr="00835AA1" w:rsidRDefault="00497FD3" w:rsidP="005829EF">
            <w:pPr>
              <w:jc w:val="center"/>
              <w:rPr>
                <w:szCs w:val="22"/>
                <w:lang w:val="fr-FR"/>
              </w:rPr>
            </w:pPr>
            <w:r w:rsidRPr="00835AA1">
              <w:rPr>
                <w:bCs/>
                <w:szCs w:val="22"/>
                <w:lang w:val="fr-FR"/>
              </w:rPr>
              <w:t>52</w:t>
            </w:r>
            <w:r w:rsidR="005829EF" w:rsidRPr="00835AA1">
              <w:rPr>
                <w:bCs/>
                <w:szCs w:val="22"/>
                <w:lang w:val="fr-FR"/>
              </w:rPr>
              <w:t> </w:t>
            </w:r>
            <w:r w:rsidRPr="00835AA1">
              <w:rPr>
                <w:bCs/>
                <w:szCs w:val="22"/>
                <w:lang w:val="fr-FR"/>
              </w:rPr>
              <w:t>035</w:t>
            </w:r>
          </w:p>
        </w:tc>
        <w:tc>
          <w:tcPr>
            <w:tcW w:w="838" w:type="pct"/>
            <w:tcBorders>
              <w:top w:val="single" w:sz="4" w:space="0" w:color="auto"/>
              <w:left w:val="dotted" w:sz="4" w:space="0" w:color="auto"/>
              <w:bottom w:val="single" w:sz="4" w:space="0" w:color="auto"/>
              <w:right w:val="dotted" w:sz="4" w:space="0" w:color="auto"/>
            </w:tcBorders>
            <w:shd w:val="clear" w:color="000000" w:fill="FFFFFF"/>
            <w:vAlign w:val="center"/>
          </w:tcPr>
          <w:p w14:paraId="6A6E25BB" w14:textId="77777777" w:rsidR="00497FD3" w:rsidRPr="00835AA1" w:rsidRDefault="00497FD3" w:rsidP="005829EF">
            <w:pPr>
              <w:jc w:val="center"/>
              <w:rPr>
                <w:szCs w:val="22"/>
                <w:lang w:val="fr-FR"/>
              </w:rPr>
            </w:pPr>
            <w:r w:rsidRPr="00835AA1">
              <w:rPr>
                <w:bCs/>
                <w:szCs w:val="22"/>
                <w:lang w:val="fr-FR"/>
              </w:rPr>
              <w:t>83</w:t>
            </w:r>
            <w:r w:rsidR="005829EF" w:rsidRPr="00835AA1">
              <w:rPr>
                <w:bCs/>
                <w:szCs w:val="22"/>
                <w:lang w:val="fr-FR"/>
              </w:rPr>
              <w:t> </w:t>
            </w:r>
            <w:r w:rsidRPr="00835AA1">
              <w:rPr>
                <w:bCs/>
                <w:szCs w:val="22"/>
                <w:lang w:val="fr-FR"/>
              </w:rPr>
              <w:t>256</w:t>
            </w:r>
          </w:p>
        </w:tc>
        <w:tc>
          <w:tcPr>
            <w:tcW w:w="654" w:type="pct"/>
            <w:tcBorders>
              <w:top w:val="nil"/>
              <w:left w:val="dotted" w:sz="4" w:space="0" w:color="auto"/>
              <w:bottom w:val="single" w:sz="4" w:space="0" w:color="auto"/>
              <w:right w:val="single" w:sz="4" w:space="0" w:color="auto"/>
            </w:tcBorders>
            <w:shd w:val="clear" w:color="000000" w:fill="FFFFFF"/>
            <w:vAlign w:val="center"/>
          </w:tcPr>
          <w:p w14:paraId="1EAA7557" w14:textId="77777777" w:rsidR="00497FD3" w:rsidRPr="00835AA1" w:rsidRDefault="00497FD3" w:rsidP="005829EF">
            <w:pPr>
              <w:jc w:val="center"/>
              <w:rPr>
                <w:szCs w:val="22"/>
                <w:lang w:val="fr-FR"/>
              </w:rPr>
            </w:pPr>
            <w:r w:rsidRPr="00835AA1">
              <w:rPr>
                <w:bCs/>
                <w:szCs w:val="22"/>
                <w:lang w:val="fr-FR"/>
              </w:rPr>
              <w:t>135</w:t>
            </w:r>
            <w:r w:rsidR="005829EF" w:rsidRPr="00835AA1">
              <w:rPr>
                <w:bCs/>
                <w:szCs w:val="22"/>
                <w:lang w:val="fr-FR"/>
              </w:rPr>
              <w:t> </w:t>
            </w:r>
            <w:r w:rsidRPr="00835AA1">
              <w:rPr>
                <w:bCs/>
                <w:szCs w:val="22"/>
                <w:lang w:val="fr-FR"/>
              </w:rPr>
              <w:t>292</w:t>
            </w:r>
          </w:p>
        </w:tc>
        <w:tc>
          <w:tcPr>
            <w:tcW w:w="1145" w:type="pct"/>
            <w:tcBorders>
              <w:top w:val="nil"/>
              <w:left w:val="nil"/>
              <w:bottom w:val="single" w:sz="4" w:space="0" w:color="auto"/>
              <w:right w:val="dotted" w:sz="4" w:space="0" w:color="auto"/>
            </w:tcBorders>
            <w:shd w:val="clear" w:color="000000" w:fill="FFFFFF"/>
            <w:noWrap/>
            <w:vAlign w:val="center"/>
          </w:tcPr>
          <w:p w14:paraId="0C644E7E" w14:textId="77777777" w:rsidR="00497FD3" w:rsidRPr="00835AA1" w:rsidRDefault="00497FD3" w:rsidP="005829EF">
            <w:pPr>
              <w:jc w:val="center"/>
              <w:rPr>
                <w:szCs w:val="22"/>
                <w:lang w:val="fr-FR"/>
              </w:rPr>
            </w:pPr>
            <w:r w:rsidRPr="00835AA1">
              <w:rPr>
                <w:bCs/>
                <w:szCs w:val="22"/>
                <w:lang w:val="fr-FR"/>
              </w:rPr>
              <w:t>6</w:t>
            </w:r>
            <w:r w:rsidR="005829EF" w:rsidRPr="00835AA1">
              <w:rPr>
                <w:bCs/>
                <w:szCs w:val="22"/>
                <w:lang w:val="fr-FR"/>
              </w:rPr>
              <w:t>,</w:t>
            </w:r>
            <w:r w:rsidRPr="00835AA1">
              <w:rPr>
                <w:bCs/>
                <w:szCs w:val="22"/>
                <w:lang w:val="fr-FR"/>
              </w:rPr>
              <w:t>73</w:t>
            </w:r>
          </w:p>
        </w:tc>
        <w:tc>
          <w:tcPr>
            <w:tcW w:w="1042" w:type="pct"/>
            <w:tcBorders>
              <w:top w:val="nil"/>
              <w:left w:val="dotted" w:sz="4" w:space="0" w:color="auto"/>
              <w:bottom w:val="single" w:sz="4" w:space="0" w:color="auto"/>
              <w:right w:val="single" w:sz="4" w:space="0" w:color="auto"/>
            </w:tcBorders>
            <w:shd w:val="clear" w:color="000000" w:fill="FFFFFF"/>
            <w:vAlign w:val="center"/>
          </w:tcPr>
          <w:p w14:paraId="7F2400FA" w14:textId="77777777" w:rsidR="00497FD3" w:rsidRPr="00835AA1" w:rsidRDefault="00497FD3" w:rsidP="005829EF">
            <w:pPr>
              <w:jc w:val="center"/>
              <w:rPr>
                <w:szCs w:val="22"/>
                <w:lang w:val="fr-FR"/>
              </w:rPr>
            </w:pPr>
            <w:r w:rsidRPr="00835AA1">
              <w:rPr>
                <w:bCs/>
                <w:szCs w:val="22"/>
                <w:lang w:val="fr-FR"/>
              </w:rPr>
              <w:t>6</w:t>
            </w:r>
            <w:r w:rsidR="005829EF" w:rsidRPr="00835AA1">
              <w:rPr>
                <w:bCs/>
                <w:szCs w:val="22"/>
                <w:lang w:val="fr-FR"/>
              </w:rPr>
              <w:t>,</w:t>
            </w:r>
            <w:r w:rsidRPr="00835AA1">
              <w:rPr>
                <w:bCs/>
                <w:szCs w:val="22"/>
                <w:lang w:val="fr-FR"/>
              </w:rPr>
              <w:t>73</w:t>
            </w:r>
          </w:p>
        </w:tc>
      </w:tr>
      <w:tr w:rsidR="00A541B2" w:rsidRPr="00835AA1" w14:paraId="549C0932" w14:textId="77777777" w:rsidTr="00A419D0">
        <w:trPr>
          <w:trHeight w:val="600"/>
        </w:trPr>
        <w:tc>
          <w:tcPr>
            <w:tcW w:w="479" w:type="pct"/>
            <w:tcBorders>
              <w:top w:val="nil"/>
              <w:left w:val="single" w:sz="4" w:space="0" w:color="auto"/>
              <w:bottom w:val="single" w:sz="4" w:space="0" w:color="auto"/>
              <w:right w:val="single" w:sz="4" w:space="0" w:color="auto"/>
            </w:tcBorders>
            <w:shd w:val="clear" w:color="000000" w:fill="FFFFFF"/>
            <w:noWrap/>
            <w:vAlign w:val="center"/>
            <w:hideMark/>
          </w:tcPr>
          <w:p w14:paraId="5E3A766A" w14:textId="77777777" w:rsidR="00497FD3" w:rsidRPr="00835AA1" w:rsidRDefault="00497FD3" w:rsidP="00497FD3">
            <w:pPr>
              <w:jc w:val="center"/>
              <w:rPr>
                <w:szCs w:val="22"/>
                <w:lang w:val="fr-FR"/>
              </w:rPr>
            </w:pPr>
            <w:r w:rsidRPr="00835AA1">
              <w:rPr>
                <w:szCs w:val="22"/>
                <w:lang w:val="fr-FR"/>
              </w:rPr>
              <w:t>2023</w:t>
            </w:r>
          </w:p>
        </w:tc>
        <w:tc>
          <w:tcPr>
            <w:tcW w:w="842" w:type="pct"/>
            <w:tcBorders>
              <w:top w:val="nil"/>
              <w:left w:val="nil"/>
              <w:bottom w:val="single" w:sz="4" w:space="0" w:color="auto"/>
              <w:right w:val="dotted" w:sz="4" w:space="0" w:color="auto"/>
            </w:tcBorders>
            <w:shd w:val="clear" w:color="000000" w:fill="FFFFFF"/>
            <w:noWrap/>
            <w:vAlign w:val="center"/>
          </w:tcPr>
          <w:p w14:paraId="03DDAEA8" w14:textId="77777777" w:rsidR="00497FD3" w:rsidRPr="00835AA1" w:rsidRDefault="005829EF" w:rsidP="00497FD3">
            <w:pPr>
              <w:jc w:val="center"/>
              <w:rPr>
                <w:szCs w:val="22"/>
                <w:lang w:val="fr-FR"/>
              </w:rPr>
            </w:pPr>
            <w:r w:rsidRPr="00835AA1">
              <w:rPr>
                <w:bCs/>
                <w:szCs w:val="22"/>
                <w:lang w:val="fr-FR"/>
              </w:rPr>
              <w:t>54 </w:t>
            </w:r>
            <w:r w:rsidR="00497FD3" w:rsidRPr="00835AA1">
              <w:rPr>
                <w:bCs/>
                <w:szCs w:val="22"/>
                <w:lang w:val="fr-FR"/>
              </w:rPr>
              <w:t>968</w:t>
            </w:r>
          </w:p>
        </w:tc>
        <w:tc>
          <w:tcPr>
            <w:tcW w:w="838" w:type="pct"/>
            <w:tcBorders>
              <w:top w:val="single" w:sz="4" w:space="0" w:color="auto"/>
              <w:left w:val="dotted" w:sz="4" w:space="0" w:color="auto"/>
              <w:bottom w:val="single" w:sz="4" w:space="0" w:color="auto"/>
              <w:right w:val="dotted" w:sz="4" w:space="0" w:color="auto"/>
            </w:tcBorders>
            <w:shd w:val="clear" w:color="000000" w:fill="FFFFFF"/>
            <w:vAlign w:val="center"/>
          </w:tcPr>
          <w:p w14:paraId="6A8216F4" w14:textId="77777777" w:rsidR="00497FD3" w:rsidRPr="00835AA1" w:rsidRDefault="00497FD3" w:rsidP="005829EF">
            <w:pPr>
              <w:jc w:val="center"/>
              <w:rPr>
                <w:szCs w:val="22"/>
                <w:lang w:val="fr-FR"/>
              </w:rPr>
            </w:pPr>
            <w:r w:rsidRPr="00835AA1">
              <w:rPr>
                <w:bCs/>
                <w:szCs w:val="22"/>
                <w:lang w:val="fr-FR"/>
              </w:rPr>
              <w:t>87</w:t>
            </w:r>
            <w:r w:rsidR="005829EF" w:rsidRPr="00835AA1">
              <w:rPr>
                <w:bCs/>
                <w:szCs w:val="22"/>
                <w:lang w:val="fr-FR"/>
              </w:rPr>
              <w:t> </w:t>
            </w:r>
            <w:r w:rsidRPr="00835AA1">
              <w:rPr>
                <w:bCs/>
                <w:szCs w:val="22"/>
                <w:lang w:val="fr-FR"/>
              </w:rPr>
              <w:t>949</w:t>
            </w:r>
          </w:p>
        </w:tc>
        <w:tc>
          <w:tcPr>
            <w:tcW w:w="654" w:type="pct"/>
            <w:tcBorders>
              <w:top w:val="nil"/>
              <w:left w:val="dotted" w:sz="4" w:space="0" w:color="auto"/>
              <w:bottom w:val="single" w:sz="4" w:space="0" w:color="auto"/>
              <w:right w:val="single" w:sz="4" w:space="0" w:color="auto"/>
            </w:tcBorders>
            <w:shd w:val="clear" w:color="000000" w:fill="FFFFFF"/>
            <w:vAlign w:val="center"/>
          </w:tcPr>
          <w:p w14:paraId="1BB78A20" w14:textId="77777777" w:rsidR="00497FD3" w:rsidRPr="00835AA1" w:rsidRDefault="00497FD3" w:rsidP="005829EF">
            <w:pPr>
              <w:jc w:val="center"/>
              <w:rPr>
                <w:szCs w:val="22"/>
                <w:lang w:val="fr-FR"/>
              </w:rPr>
            </w:pPr>
            <w:r w:rsidRPr="00835AA1">
              <w:rPr>
                <w:bCs/>
                <w:szCs w:val="22"/>
                <w:lang w:val="fr-FR"/>
              </w:rPr>
              <w:t>142</w:t>
            </w:r>
            <w:r w:rsidR="005829EF" w:rsidRPr="00835AA1">
              <w:rPr>
                <w:bCs/>
                <w:szCs w:val="22"/>
                <w:lang w:val="fr-FR"/>
              </w:rPr>
              <w:t> </w:t>
            </w:r>
            <w:r w:rsidRPr="00835AA1">
              <w:rPr>
                <w:bCs/>
                <w:szCs w:val="22"/>
                <w:lang w:val="fr-FR"/>
              </w:rPr>
              <w:t>917</w:t>
            </w:r>
          </w:p>
        </w:tc>
        <w:tc>
          <w:tcPr>
            <w:tcW w:w="1145" w:type="pct"/>
            <w:tcBorders>
              <w:top w:val="nil"/>
              <w:left w:val="nil"/>
              <w:bottom w:val="single" w:sz="4" w:space="0" w:color="auto"/>
              <w:right w:val="dotted" w:sz="4" w:space="0" w:color="auto"/>
            </w:tcBorders>
            <w:shd w:val="clear" w:color="000000" w:fill="FFFFFF"/>
            <w:noWrap/>
            <w:vAlign w:val="center"/>
          </w:tcPr>
          <w:p w14:paraId="6B3AAE49" w14:textId="77777777" w:rsidR="00497FD3" w:rsidRPr="00835AA1" w:rsidRDefault="00497FD3" w:rsidP="005829EF">
            <w:pPr>
              <w:jc w:val="center"/>
              <w:rPr>
                <w:szCs w:val="22"/>
                <w:lang w:val="fr-FR"/>
              </w:rPr>
            </w:pPr>
            <w:r w:rsidRPr="00835AA1">
              <w:rPr>
                <w:bCs/>
                <w:szCs w:val="22"/>
                <w:lang w:val="fr-FR"/>
              </w:rPr>
              <w:t>7</w:t>
            </w:r>
            <w:r w:rsidR="005829EF" w:rsidRPr="00835AA1">
              <w:rPr>
                <w:bCs/>
                <w:szCs w:val="22"/>
                <w:lang w:val="fr-FR"/>
              </w:rPr>
              <w:t>,</w:t>
            </w:r>
            <w:r w:rsidRPr="00835AA1">
              <w:rPr>
                <w:bCs/>
                <w:szCs w:val="22"/>
                <w:lang w:val="fr-FR"/>
              </w:rPr>
              <w:t>30</w:t>
            </w:r>
          </w:p>
        </w:tc>
        <w:tc>
          <w:tcPr>
            <w:tcW w:w="1042" w:type="pct"/>
            <w:tcBorders>
              <w:top w:val="nil"/>
              <w:left w:val="dotted" w:sz="4" w:space="0" w:color="auto"/>
              <w:bottom w:val="single" w:sz="4" w:space="0" w:color="auto"/>
              <w:right w:val="single" w:sz="4" w:space="0" w:color="auto"/>
            </w:tcBorders>
            <w:shd w:val="clear" w:color="000000" w:fill="FFFFFF"/>
            <w:vAlign w:val="center"/>
          </w:tcPr>
          <w:p w14:paraId="453D1D5B" w14:textId="77777777" w:rsidR="00497FD3" w:rsidRPr="00835AA1" w:rsidRDefault="00497FD3" w:rsidP="005829EF">
            <w:pPr>
              <w:jc w:val="center"/>
              <w:rPr>
                <w:szCs w:val="22"/>
                <w:lang w:val="fr-FR"/>
              </w:rPr>
            </w:pPr>
            <w:r w:rsidRPr="00835AA1">
              <w:rPr>
                <w:bCs/>
                <w:szCs w:val="22"/>
                <w:lang w:val="fr-FR"/>
              </w:rPr>
              <w:t>7</w:t>
            </w:r>
            <w:r w:rsidR="005829EF" w:rsidRPr="00835AA1">
              <w:rPr>
                <w:bCs/>
                <w:szCs w:val="22"/>
                <w:lang w:val="fr-FR"/>
              </w:rPr>
              <w:t>,</w:t>
            </w:r>
            <w:r w:rsidRPr="00835AA1">
              <w:rPr>
                <w:bCs/>
                <w:szCs w:val="22"/>
                <w:lang w:val="fr-FR"/>
              </w:rPr>
              <w:t>30</w:t>
            </w:r>
          </w:p>
        </w:tc>
      </w:tr>
      <w:tr w:rsidR="00A541B2" w:rsidRPr="00835AA1" w14:paraId="18DC4AEA" w14:textId="77777777" w:rsidTr="00A419D0">
        <w:trPr>
          <w:trHeight w:val="600"/>
        </w:trPr>
        <w:tc>
          <w:tcPr>
            <w:tcW w:w="47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19948A" w14:textId="77777777" w:rsidR="00497FD3" w:rsidRPr="00835AA1" w:rsidRDefault="00497FD3" w:rsidP="00497FD3">
            <w:pPr>
              <w:jc w:val="center"/>
              <w:rPr>
                <w:szCs w:val="22"/>
                <w:lang w:val="fr-FR"/>
              </w:rPr>
            </w:pPr>
            <w:r w:rsidRPr="00835AA1">
              <w:rPr>
                <w:szCs w:val="22"/>
                <w:lang w:val="fr-FR"/>
              </w:rPr>
              <w:t>2024</w:t>
            </w:r>
          </w:p>
        </w:tc>
        <w:tc>
          <w:tcPr>
            <w:tcW w:w="842" w:type="pct"/>
            <w:tcBorders>
              <w:top w:val="single" w:sz="4" w:space="0" w:color="auto"/>
              <w:left w:val="nil"/>
              <w:bottom w:val="single" w:sz="4" w:space="0" w:color="auto"/>
              <w:right w:val="dotted" w:sz="4" w:space="0" w:color="auto"/>
            </w:tcBorders>
            <w:shd w:val="clear" w:color="000000" w:fill="FFFFFF"/>
            <w:noWrap/>
            <w:vAlign w:val="center"/>
          </w:tcPr>
          <w:p w14:paraId="4D642FA6" w14:textId="77777777" w:rsidR="00497FD3" w:rsidRPr="00835AA1" w:rsidRDefault="00497FD3" w:rsidP="005829EF">
            <w:pPr>
              <w:jc w:val="center"/>
              <w:rPr>
                <w:szCs w:val="22"/>
                <w:lang w:val="fr-FR"/>
              </w:rPr>
            </w:pPr>
            <w:r w:rsidRPr="00835AA1">
              <w:rPr>
                <w:bCs/>
                <w:szCs w:val="22"/>
                <w:lang w:val="fr-FR"/>
              </w:rPr>
              <w:t>57</w:t>
            </w:r>
            <w:r w:rsidR="005829EF" w:rsidRPr="00835AA1">
              <w:rPr>
                <w:bCs/>
                <w:szCs w:val="22"/>
                <w:lang w:val="fr-FR"/>
              </w:rPr>
              <w:t> </w:t>
            </w:r>
            <w:r w:rsidRPr="00835AA1">
              <w:rPr>
                <w:bCs/>
                <w:szCs w:val="22"/>
                <w:lang w:val="fr-FR"/>
              </w:rPr>
              <w:t>894</w:t>
            </w:r>
          </w:p>
        </w:tc>
        <w:tc>
          <w:tcPr>
            <w:tcW w:w="838" w:type="pct"/>
            <w:tcBorders>
              <w:top w:val="single" w:sz="4" w:space="0" w:color="auto"/>
              <w:left w:val="dotted" w:sz="4" w:space="0" w:color="auto"/>
              <w:bottom w:val="single" w:sz="4" w:space="0" w:color="auto"/>
              <w:right w:val="dotted" w:sz="4" w:space="0" w:color="auto"/>
            </w:tcBorders>
            <w:shd w:val="clear" w:color="000000" w:fill="FFFFFF"/>
            <w:vAlign w:val="center"/>
          </w:tcPr>
          <w:p w14:paraId="1784D205" w14:textId="77777777" w:rsidR="00497FD3" w:rsidRPr="00835AA1" w:rsidRDefault="00497FD3" w:rsidP="005829EF">
            <w:pPr>
              <w:jc w:val="center"/>
              <w:rPr>
                <w:szCs w:val="22"/>
                <w:lang w:val="fr-FR"/>
              </w:rPr>
            </w:pPr>
            <w:r w:rsidRPr="00835AA1">
              <w:rPr>
                <w:bCs/>
                <w:szCs w:val="22"/>
                <w:lang w:val="fr-FR"/>
              </w:rPr>
              <w:t>92</w:t>
            </w:r>
            <w:r w:rsidR="005829EF" w:rsidRPr="00835AA1">
              <w:rPr>
                <w:bCs/>
                <w:szCs w:val="22"/>
                <w:lang w:val="fr-FR"/>
              </w:rPr>
              <w:t> </w:t>
            </w:r>
            <w:r w:rsidRPr="00835AA1">
              <w:rPr>
                <w:bCs/>
                <w:szCs w:val="22"/>
                <w:lang w:val="fr-FR"/>
              </w:rPr>
              <w:t>631</w:t>
            </w:r>
          </w:p>
        </w:tc>
        <w:tc>
          <w:tcPr>
            <w:tcW w:w="654" w:type="pct"/>
            <w:tcBorders>
              <w:top w:val="single" w:sz="4" w:space="0" w:color="auto"/>
              <w:left w:val="dotted" w:sz="4" w:space="0" w:color="auto"/>
              <w:bottom w:val="single" w:sz="4" w:space="0" w:color="auto"/>
              <w:right w:val="single" w:sz="4" w:space="0" w:color="auto"/>
            </w:tcBorders>
            <w:shd w:val="clear" w:color="000000" w:fill="FFFFFF"/>
            <w:vAlign w:val="center"/>
          </w:tcPr>
          <w:p w14:paraId="5D79B92B" w14:textId="77777777" w:rsidR="00497FD3" w:rsidRPr="00835AA1" w:rsidRDefault="00497FD3" w:rsidP="005829EF">
            <w:pPr>
              <w:jc w:val="center"/>
              <w:rPr>
                <w:szCs w:val="22"/>
                <w:lang w:val="fr-FR"/>
              </w:rPr>
            </w:pPr>
            <w:r w:rsidRPr="00835AA1">
              <w:rPr>
                <w:bCs/>
                <w:szCs w:val="22"/>
                <w:lang w:val="fr-FR"/>
              </w:rPr>
              <w:t>150</w:t>
            </w:r>
            <w:r w:rsidR="005829EF" w:rsidRPr="00835AA1">
              <w:rPr>
                <w:bCs/>
                <w:szCs w:val="22"/>
                <w:lang w:val="fr-FR"/>
              </w:rPr>
              <w:t> </w:t>
            </w:r>
            <w:r w:rsidRPr="00835AA1">
              <w:rPr>
                <w:bCs/>
                <w:szCs w:val="22"/>
                <w:lang w:val="fr-FR"/>
              </w:rPr>
              <w:t>525</w:t>
            </w:r>
          </w:p>
        </w:tc>
        <w:tc>
          <w:tcPr>
            <w:tcW w:w="1145" w:type="pct"/>
            <w:tcBorders>
              <w:top w:val="single" w:sz="4" w:space="0" w:color="auto"/>
              <w:left w:val="nil"/>
              <w:bottom w:val="single" w:sz="4" w:space="0" w:color="auto"/>
              <w:right w:val="dotted" w:sz="4" w:space="0" w:color="auto"/>
            </w:tcBorders>
            <w:shd w:val="clear" w:color="000000" w:fill="FFFFFF"/>
            <w:noWrap/>
            <w:vAlign w:val="center"/>
          </w:tcPr>
          <w:p w14:paraId="21C19F08" w14:textId="77777777" w:rsidR="00497FD3" w:rsidRPr="00835AA1" w:rsidRDefault="00497FD3" w:rsidP="005829EF">
            <w:pPr>
              <w:jc w:val="center"/>
              <w:rPr>
                <w:szCs w:val="22"/>
                <w:lang w:val="fr-FR"/>
              </w:rPr>
            </w:pPr>
            <w:r w:rsidRPr="00835AA1">
              <w:rPr>
                <w:bCs/>
                <w:szCs w:val="22"/>
                <w:lang w:val="fr-FR"/>
              </w:rPr>
              <w:t>7</w:t>
            </w:r>
            <w:r w:rsidR="005829EF" w:rsidRPr="00835AA1">
              <w:rPr>
                <w:bCs/>
                <w:szCs w:val="22"/>
                <w:lang w:val="fr-FR"/>
              </w:rPr>
              <w:t>,</w:t>
            </w:r>
            <w:r w:rsidRPr="00835AA1">
              <w:rPr>
                <w:bCs/>
                <w:szCs w:val="22"/>
                <w:lang w:val="fr-FR"/>
              </w:rPr>
              <w:t>89</w:t>
            </w:r>
          </w:p>
        </w:tc>
        <w:tc>
          <w:tcPr>
            <w:tcW w:w="1042" w:type="pct"/>
            <w:tcBorders>
              <w:top w:val="single" w:sz="4" w:space="0" w:color="auto"/>
              <w:left w:val="dotted" w:sz="4" w:space="0" w:color="auto"/>
              <w:bottom w:val="single" w:sz="4" w:space="0" w:color="auto"/>
              <w:right w:val="single" w:sz="4" w:space="0" w:color="auto"/>
            </w:tcBorders>
            <w:shd w:val="clear" w:color="000000" w:fill="FFFFFF"/>
            <w:vAlign w:val="center"/>
          </w:tcPr>
          <w:p w14:paraId="1BFECBC7" w14:textId="77777777" w:rsidR="00497FD3" w:rsidRPr="00835AA1" w:rsidRDefault="00497FD3" w:rsidP="005829EF">
            <w:pPr>
              <w:jc w:val="center"/>
              <w:rPr>
                <w:szCs w:val="22"/>
                <w:lang w:val="fr-FR"/>
              </w:rPr>
            </w:pPr>
            <w:r w:rsidRPr="00835AA1">
              <w:rPr>
                <w:bCs/>
                <w:szCs w:val="22"/>
                <w:lang w:val="fr-FR"/>
              </w:rPr>
              <w:t>7</w:t>
            </w:r>
            <w:r w:rsidR="005829EF" w:rsidRPr="00835AA1">
              <w:rPr>
                <w:bCs/>
                <w:szCs w:val="22"/>
                <w:lang w:val="fr-FR"/>
              </w:rPr>
              <w:t>,</w:t>
            </w:r>
            <w:r w:rsidRPr="00835AA1">
              <w:rPr>
                <w:bCs/>
                <w:szCs w:val="22"/>
                <w:lang w:val="fr-FR"/>
              </w:rPr>
              <w:t>89</w:t>
            </w:r>
          </w:p>
        </w:tc>
      </w:tr>
      <w:tr w:rsidR="00A541B2" w:rsidRPr="00835AA1" w14:paraId="5E58A0AA" w14:textId="77777777" w:rsidTr="00A419D0">
        <w:trPr>
          <w:trHeight w:val="600"/>
        </w:trPr>
        <w:tc>
          <w:tcPr>
            <w:tcW w:w="47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632C0A2" w14:textId="77777777" w:rsidR="00497FD3" w:rsidRPr="00835AA1" w:rsidRDefault="00497FD3" w:rsidP="00497FD3">
            <w:pPr>
              <w:jc w:val="center"/>
              <w:rPr>
                <w:szCs w:val="22"/>
                <w:lang w:val="fr-FR"/>
              </w:rPr>
            </w:pPr>
            <w:r w:rsidRPr="00835AA1">
              <w:rPr>
                <w:szCs w:val="22"/>
                <w:lang w:val="fr-FR"/>
              </w:rPr>
              <w:t>2025</w:t>
            </w:r>
          </w:p>
        </w:tc>
        <w:tc>
          <w:tcPr>
            <w:tcW w:w="842" w:type="pct"/>
            <w:tcBorders>
              <w:top w:val="single" w:sz="4" w:space="0" w:color="auto"/>
              <w:left w:val="nil"/>
              <w:bottom w:val="single" w:sz="4" w:space="0" w:color="auto"/>
              <w:right w:val="dotted" w:sz="4" w:space="0" w:color="auto"/>
            </w:tcBorders>
            <w:shd w:val="clear" w:color="000000" w:fill="FFFFFF"/>
            <w:noWrap/>
            <w:vAlign w:val="center"/>
          </w:tcPr>
          <w:p w14:paraId="7414E795" w14:textId="77777777" w:rsidR="00497FD3" w:rsidRPr="00835AA1" w:rsidRDefault="00497FD3" w:rsidP="005829EF">
            <w:pPr>
              <w:jc w:val="center"/>
              <w:rPr>
                <w:bCs/>
                <w:szCs w:val="22"/>
                <w:lang w:val="fr-FR"/>
              </w:rPr>
            </w:pPr>
            <w:r w:rsidRPr="00835AA1">
              <w:rPr>
                <w:bCs/>
                <w:szCs w:val="22"/>
                <w:lang w:val="fr-FR"/>
              </w:rPr>
              <w:t>60</w:t>
            </w:r>
            <w:r w:rsidR="005829EF" w:rsidRPr="00835AA1">
              <w:rPr>
                <w:bCs/>
                <w:szCs w:val="22"/>
                <w:lang w:val="fr-FR"/>
              </w:rPr>
              <w:t> </w:t>
            </w:r>
            <w:r w:rsidRPr="00835AA1">
              <w:rPr>
                <w:bCs/>
                <w:szCs w:val="22"/>
                <w:lang w:val="fr-FR"/>
              </w:rPr>
              <w:t>855</w:t>
            </w:r>
          </w:p>
        </w:tc>
        <w:tc>
          <w:tcPr>
            <w:tcW w:w="838" w:type="pct"/>
            <w:tcBorders>
              <w:top w:val="single" w:sz="4" w:space="0" w:color="auto"/>
              <w:left w:val="dotted" w:sz="4" w:space="0" w:color="auto"/>
              <w:bottom w:val="single" w:sz="4" w:space="0" w:color="auto"/>
              <w:right w:val="dotted" w:sz="4" w:space="0" w:color="auto"/>
            </w:tcBorders>
            <w:shd w:val="clear" w:color="000000" w:fill="FFFFFF"/>
            <w:vAlign w:val="center"/>
          </w:tcPr>
          <w:p w14:paraId="61052C13" w14:textId="77777777" w:rsidR="00497FD3" w:rsidRPr="00835AA1" w:rsidRDefault="00497FD3" w:rsidP="005829EF">
            <w:pPr>
              <w:jc w:val="center"/>
              <w:rPr>
                <w:bCs/>
                <w:szCs w:val="22"/>
                <w:lang w:val="fr-FR"/>
              </w:rPr>
            </w:pPr>
            <w:r w:rsidRPr="00835AA1">
              <w:rPr>
                <w:bCs/>
                <w:szCs w:val="22"/>
                <w:lang w:val="fr-FR"/>
              </w:rPr>
              <w:t>97</w:t>
            </w:r>
            <w:r w:rsidR="005829EF" w:rsidRPr="00835AA1">
              <w:rPr>
                <w:bCs/>
                <w:szCs w:val="22"/>
                <w:lang w:val="fr-FR"/>
              </w:rPr>
              <w:t> </w:t>
            </w:r>
            <w:r w:rsidRPr="00835AA1">
              <w:rPr>
                <w:bCs/>
                <w:szCs w:val="22"/>
                <w:lang w:val="fr-FR"/>
              </w:rPr>
              <w:t>369</w:t>
            </w:r>
          </w:p>
        </w:tc>
        <w:tc>
          <w:tcPr>
            <w:tcW w:w="654" w:type="pct"/>
            <w:tcBorders>
              <w:top w:val="single" w:sz="4" w:space="0" w:color="auto"/>
              <w:left w:val="dotted" w:sz="4" w:space="0" w:color="auto"/>
              <w:bottom w:val="single" w:sz="4" w:space="0" w:color="auto"/>
              <w:right w:val="single" w:sz="4" w:space="0" w:color="auto"/>
            </w:tcBorders>
            <w:shd w:val="clear" w:color="000000" w:fill="FFFFFF"/>
            <w:vAlign w:val="center"/>
          </w:tcPr>
          <w:p w14:paraId="1E78B2F1" w14:textId="77777777" w:rsidR="00497FD3" w:rsidRPr="00835AA1" w:rsidRDefault="00497FD3" w:rsidP="005829EF">
            <w:pPr>
              <w:jc w:val="center"/>
              <w:rPr>
                <w:rFonts w:eastAsiaTheme="minorEastAsia"/>
                <w:bCs/>
                <w:szCs w:val="22"/>
                <w:lang w:val="fr-FR" w:eastAsia="ja-JP"/>
              </w:rPr>
            </w:pPr>
            <w:r w:rsidRPr="00835AA1">
              <w:rPr>
                <w:bCs/>
                <w:szCs w:val="22"/>
                <w:lang w:val="fr-FR"/>
              </w:rPr>
              <w:t>158</w:t>
            </w:r>
            <w:r w:rsidR="005829EF" w:rsidRPr="00835AA1">
              <w:rPr>
                <w:bCs/>
                <w:szCs w:val="22"/>
                <w:lang w:val="fr-FR"/>
              </w:rPr>
              <w:t> </w:t>
            </w:r>
            <w:r w:rsidRPr="00835AA1">
              <w:rPr>
                <w:bCs/>
                <w:szCs w:val="22"/>
                <w:lang w:val="fr-FR"/>
              </w:rPr>
              <w:t>224</w:t>
            </w:r>
          </w:p>
        </w:tc>
        <w:tc>
          <w:tcPr>
            <w:tcW w:w="1145" w:type="pct"/>
            <w:tcBorders>
              <w:top w:val="single" w:sz="4" w:space="0" w:color="auto"/>
              <w:left w:val="nil"/>
              <w:bottom w:val="single" w:sz="4" w:space="0" w:color="auto"/>
              <w:right w:val="dotted" w:sz="4" w:space="0" w:color="auto"/>
            </w:tcBorders>
            <w:shd w:val="clear" w:color="000000" w:fill="FFFFFF"/>
            <w:noWrap/>
            <w:vAlign w:val="center"/>
          </w:tcPr>
          <w:p w14:paraId="17757975" w14:textId="77777777" w:rsidR="00497FD3" w:rsidRPr="00835AA1" w:rsidRDefault="00497FD3" w:rsidP="005829EF">
            <w:pPr>
              <w:jc w:val="center"/>
              <w:rPr>
                <w:bCs/>
                <w:szCs w:val="22"/>
                <w:lang w:val="fr-FR"/>
              </w:rPr>
            </w:pPr>
            <w:r w:rsidRPr="00835AA1">
              <w:rPr>
                <w:bCs/>
                <w:szCs w:val="22"/>
                <w:lang w:val="fr-FR"/>
              </w:rPr>
              <w:t>8</w:t>
            </w:r>
            <w:r w:rsidR="005829EF" w:rsidRPr="00835AA1">
              <w:rPr>
                <w:bCs/>
                <w:szCs w:val="22"/>
                <w:lang w:val="fr-FR"/>
              </w:rPr>
              <w:t>,</w:t>
            </w:r>
            <w:r w:rsidRPr="00835AA1">
              <w:rPr>
                <w:bCs/>
                <w:szCs w:val="22"/>
                <w:lang w:val="fr-FR"/>
              </w:rPr>
              <w:t>53</w:t>
            </w:r>
          </w:p>
        </w:tc>
        <w:tc>
          <w:tcPr>
            <w:tcW w:w="1042" w:type="pct"/>
            <w:tcBorders>
              <w:top w:val="single" w:sz="4" w:space="0" w:color="auto"/>
              <w:left w:val="dotted" w:sz="4" w:space="0" w:color="auto"/>
              <w:bottom w:val="single" w:sz="4" w:space="0" w:color="auto"/>
              <w:right w:val="single" w:sz="4" w:space="0" w:color="auto"/>
            </w:tcBorders>
            <w:shd w:val="clear" w:color="000000" w:fill="FFFFFF"/>
            <w:vAlign w:val="center"/>
          </w:tcPr>
          <w:p w14:paraId="10C12FEF" w14:textId="77777777" w:rsidR="00497FD3" w:rsidRPr="00835AA1" w:rsidRDefault="00497FD3" w:rsidP="005829EF">
            <w:pPr>
              <w:jc w:val="center"/>
              <w:rPr>
                <w:bCs/>
                <w:szCs w:val="22"/>
                <w:lang w:val="fr-FR"/>
              </w:rPr>
            </w:pPr>
            <w:r w:rsidRPr="00835AA1">
              <w:rPr>
                <w:bCs/>
                <w:szCs w:val="22"/>
                <w:lang w:val="fr-FR"/>
              </w:rPr>
              <w:t>8</w:t>
            </w:r>
            <w:r w:rsidR="005829EF" w:rsidRPr="00835AA1">
              <w:rPr>
                <w:bCs/>
                <w:szCs w:val="22"/>
                <w:lang w:val="fr-FR"/>
              </w:rPr>
              <w:t>,</w:t>
            </w:r>
            <w:r w:rsidRPr="00835AA1">
              <w:rPr>
                <w:bCs/>
                <w:szCs w:val="22"/>
                <w:lang w:val="fr-FR"/>
              </w:rPr>
              <w:t>53</w:t>
            </w:r>
          </w:p>
        </w:tc>
      </w:tr>
    </w:tbl>
    <w:p w14:paraId="0918867C" w14:textId="77777777" w:rsidR="008844A6" w:rsidRPr="00B34648" w:rsidRDefault="003E50AD" w:rsidP="00B34648">
      <w:pPr>
        <w:pStyle w:val="Endofdocument-Annex"/>
        <w:rPr>
          <w:bCs/>
          <w:caps/>
          <w:kern w:val="32"/>
          <w:szCs w:val="32"/>
          <w:lang w:val="fr-FR"/>
        </w:rPr>
      </w:pPr>
      <w:r w:rsidRPr="00835AA1">
        <w:rPr>
          <w:lang w:val="fr-FR"/>
        </w:rPr>
        <w:t>[</w:t>
      </w:r>
      <w:r w:rsidR="005F577F" w:rsidRPr="00835AA1">
        <w:rPr>
          <w:lang w:val="fr-FR"/>
        </w:rPr>
        <w:t>Fin de l</w:t>
      </w:r>
      <w:r w:rsidR="002E3178" w:rsidRPr="00835AA1">
        <w:rPr>
          <w:lang w:val="fr-FR"/>
        </w:rPr>
        <w:t>’</w:t>
      </w:r>
      <w:r w:rsidR="005F577F" w:rsidRPr="00835AA1">
        <w:rPr>
          <w:lang w:val="fr-FR"/>
        </w:rPr>
        <w:t>a</w:t>
      </w:r>
      <w:r w:rsidR="00F72179" w:rsidRPr="00835AA1">
        <w:rPr>
          <w:lang w:val="fr-FR"/>
        </w:rPr>
        <w:t>nnex</w:t>
      </w:r>
      <w:r w:rsidR="005F577F" w:rsidRPr="00835AA1">
        <w:rPr>
          <w:lang w:val="fr-FR"/>
        </w:rPr>
        <w:t>e</w:t>
      </w:r>
      <w:r w:rsidR="00F72179" w:rsidRPr="00835AA1">
        <w:rPr>
          <w:lang w:val="fr-FR"/>
        </w:rPr>
        <w:t> II</w:t>
      </w:r>
      <w:r w:rsidR="005F577F" w:rsidRPr="00835AA1">
        <w:rPr>
          <w:lang w:val="fr-FR"/>
        </w:rPr>
        <w:t xml:space="preserve"> et du</w:t>
      </w:r>
      <w:r w:rsidR="00F72179" w:rsidRPr="00835AA1">
        <w:rPr>
          <w:lang w:val="fr-FR"/>
        </w:rPr>
        <w:t xml:space="preserve"> </w:t>
      </w:r>
      <w:r w:rsidR="000A7D3E" w:rsidRPr="00835AA1">
        <w:rPr>
          <w:lang w:val="fr-FR"/>
        </w:rPr>
        <w:t>document]</w:t>
      </w:r>
    </w:p>
    <w:sectPr w:rsidR="008844A6" w:rsidRPr="00B34648" w:rsidSect="00291E9B">
      <w:headerReference w:type="default" r:id="rId12"/>
      <w:headerReference w:type="first" r:id="rId13"/>
      <w:footnotePr>
        <w:numRestart w:val="eachSect"/>
      </w:footnotePr>
      <w:endnotePr>
        <w:numFmt w:val="decimal"/>
      </w:endnotePr>
      <w:pgSz w:w="11907" w:h="16840" w:code="9"/>
      <w:pgMar w:top="567" w:right="1134" w:bottom="851" w:left="1418" w:header="510" w:footer="1021" w:gutter="0"/>
      <w:pgNumType w:start="1"/>
      <w:cols w:space="720"/>
      <w:titlePg/>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C8A4066" w16cid:durableId="23294711"/>
  <w16cid:commentId w16cid:paraId="4EB8ED3A" w16cid:durableId="23294712"/>
  <w16cid:commentId w16cid:paraId="74BEDBD3" w16cid:durableId="23294713"/>
  <w16cid:commentId w16cid:paraId="03EA15CF" w16cid:durableId="2329471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C9EFA6" w14:textId="77777777" w:rsidR="00246B98" w:rsidRDefault="00246B98">
      <w:r>
        <w:separator/>
      </w:r>
    </w:p>
  </w:endnote>
  <w:endnote w:type="continuationSeparator" w:id="0">
    <w:p w14:paraId="67600D43" w14:textId="77777777" w:rsidR="00246B98" w:rsidRDefault="00246B98" w:rsidP="003B38C1">
      <w:r>
        <w:separator/>
      </w:r>
    </w:p>
    <w:p w14:paraId="6AE9A57E" w14:textId="77777777" w:rsidR="00246B98" w:rsidRPr="003B38C1" w:rsidRDefault="00246B98" w:rsidP="003B38C1">
      <w:pPr>
        <w:spacing w:after="60"/>
        <w:rPr>
          <w:sz w:val="17"/>
        </w:rPr>
      </w:pPr>
      <w:r>
        <w:rPr>
          <w:sz w:val="17"/>
        </w:rPr>
        <w:t>[Endnote continued from previous page]</w:t>
      </w:r>
    </w:p>
  </w:endnote>
  <w:endnote w:type="continuationNotice" w:id="1">
    <w:p w14:paraId="3C25D5EE" w14:textId="77777777" w:rsidR="00246B98" w:rsidRPr="003B38C1" w:rsidRDefault="00246B9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embedRegular r:id="rId1" w:fontKey="{83819619-E98A-46C6-A2F5-645EE06A9256}"/>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8C2F95" w14:textId="77777777" w:rsidR="00246B98" w:rsidRDefault="00246B98">
      <w:r>
        <w:separator/>
      </w:r>
    </w:p>
  </w:footnote>
  <w:footnote w:type="continuationSeparator" w:id="0">
    <w:p w14:paraId="69D2E29E" w14:textId="77777777" w:rsidR="00246B98" w:rsidRDefault="00246B98" w:rsidP="008B60B2">
      <w:r>
        <w:separator/>
      </w:r>
    </w:p>
    <w:p w14:paraId="5A4CBB76" w14:textId="77777777" w:rsidR="00246B98" w:rsidRPr="00ED77FB" w:rsidRDefault="00246B98" w:rsidP="008B60B2">
      <w:pPr>
        <w:spacing w:after="60"/>
        <w:rPr>
          <w:sz w:val="17"/>
          <w:szCs w:val="17"/>
        </w:rPr>
      </w:pPr>
      <w:r w:rsidRPr="00ED77FB">
        <w:rPr>
          <w:sz w:val="17"/>
          <w:szCs w:val="17"/>
        </w:rPr>
        <w:t>[Footnote continued from previous page]</w:t>
      </w:r>
    </w:p>
  </w:footnote>
  <w:footnote w:type="continuationNotice" w:id="1">
    <w:p w14:paraId="10D0F481" w14:textId="77777777" w:rsidR="00246B98" w:rsidRPr="00ED77FB" w:rsidRDefault="00246B98" w:rsidP="008B60B2">
      <w:pPr>
        <w:spacing w:before="60"/>
        <w:jc w:val="right"/>
        <w:rPr>
          <w:sz w:val="17"/>
          <w:szCs w:val="17"/>
        </w:rPr>
      </w:pPr>
      <w:r w:rsidRPr="00ED77FB">
        <w:rPr>
          <w:sz w:val="17"/>
          <w:szCs w:val="17"/>
        </w:rPr>
        <w:t>[Footnote continued on next page]</w:t>
      </w:r>
    </w:p>
  </w:footnote>
  <w:footnote w:id="2">
    <w:p w14:paraId="322A6306" w14:textId="77777777" w:rsidR="00246B98" w:rsidRPr="00E313E4" w:rsidRDefault="00246B98" w:rsidP="00AE7AAC">
      <w:pPr>
        <w:pStyle w:val="FootnoteText"/>
        <w:rPr>
          <w:lang w:val="fr-CH"/>
        </w:rPr>
      </w:pPr>
      <w:r w:rsidRPr="00E313E4">
        <w:rPr>
          <w:rStyle w:val="FootnoteReference"/>
        </w:rPr>
        <w:footnoteRef/>
      </w:r>
      <w:r w:rsidRPr="00E313E4">
        <w:rPr>
          <w:lang w:val="fr-CH"/>
        </w:rPr>
        <w:t xml:space="preserve"> </w:t>
      </w:r>
      <w:r w:rsidRPr="00E313E4">
        <w:rPr>
          <w:lang w:val="fr-CH"/>
        </w:rPr>
        <w:tab/>
        <w:t>Voir le paragraphe</w:t>
      </w:r>
      <w:r>
        <w:rPr>
          <w:lang w:val="fr-CH"/>
        </w:rPr>
        <w:t> </w:t>
      </w:r>
      <w:r w:rsidRPr="00E313E4">
        <w:rPr>
          <w:lang w:val="fr-CH"/>
        </w:rPr>
        <w:t>29 du document H/LD/WG/8/8</w:t>
      </w:r>
      <w:r>
        <w:rPr>
          <w:lang w:val="fr-CH"/>
        </w:rPr>
        <w:t> </w:t>
      </w:r>
      <w:r w:rsidRPr="00E313E4">
        <w:rPr>
          <w:lang w:val="fr-CH"/>
        </w:rPr>
        <w:t xml:space="preserve">intitulé </w:t>
      </w:r>
      <w:r>
        <w:rPr>
          <w:lang w:val="fr-CH"/>
        </w:rPr>
        <w:t>“</w:t>
      </w:r>
      <w:r w:rsidRPr="00E313E4">
        <w:rPr>
          <w:lang w:val="fr-CH"/>
        </w:rPr>
        <w:t>Résumé présenté par le président</w:t>
      </w:r>
      <w:r>
        <w:rPr>
          <w:lang w:val="fr-CH"/>
        </w:rPr>
        <w:t>”</w:t>
      </w:r>
      <w:r w:rsidRPr="00E313E4">
        <w:rPr>
          <w:lang w:val="fr-CH"/>
        </w:rPr>
        <w:t>.</w:t>
      </w:r>
    </w:p>
  </w:footnote>
  <w:footnote w:id="3">
    <w:p w14:paraId="1F259CA5" w14:textId="77777777" w:rsidR="00246B98" w:rsidRPr="003330E7" w:rsidRDefault="00246B98">
      <w:pPr>
        <w:pStyle w:val="FootnoteText"/>
        <w:rPr>
          <w:lang w:val="fr-CH"/>
        </w:rPr>
      </w:pPr>
      <w:r w:rsidRPr="00E51A10">
        <w:rPr>
          <w:rStyle w:val="FootnoteReference"/>
        </w:rPr>
        <w:footnoteRef/>
      </w:r>
      <w:r w:rsidRPr="00E51A10">
        <w:rPr>
          <w:lang w:val="fr-CH"/>
        </w:rPr>
        <w:t xml:space="preserve"> </w:t>
      </w:r>
      <w:r w:rsidRPr="00E51A10">
        <w:rPr>
          <w:lang w:val="fr-CH"/>
        </w:rPr>
        <w:tab/>
        <w:t>Par exemple, il existe 10</w:t>
      </w:r>
      <w:r>
        <w:rPr>
          <w:lang w:val="fr-CH"/>
        </w:rPr>
        <w:t> </w:t>
      </w:r>
      <w:r w:rsidRPr="00E51A10">
        <w:rPr>
          <w:lang w:val="fr-CH"/>
        </w:rPr>
        <w:t>langues de publication dans le système du</w:t>
      </w:r>
      <w:r>
        <w:rPr>
          <w:lang w:val="fr-CH"/>
        </w:rPr>
        <w:t> </w:t>
      </w:r>
      <w:r w:rsidRPr="00E51A10">
        <w:rPr>
          <w:lang w:val="fr-CH"/>
        </w:rPr>
        <w:t>PCT.  Toutefois, au moment de la rédaction du présent document, le Guide du déposant du</w:t>
      </w:r>
      <w:r>
        <w:rPr>
          <w:lang w:val="fr-CH"/>
        </w:rPr>
        <w:t> </w:t>
      </w:r>
      <w:r w:rsidRPr="00E51A10">
        <w:rPr>
          <w:lang w:val="fr-CH"/>
        </w:rPr>
        <w:t>PCT (Introduction à la phase internationale et Introduction à la phase nationale) est disponible uniquement en français, en anglais, en espagnol, en japonais et en russe, tandis que les Directives à l</w:t>
      </w:r>
      <w:r>
        <w:rPr>
          <w:lang w:val="fr-CH"/>
        </w:rPr>
        <w:t>’</w:t>
      </w:r>
      <w:r w:rsidRPr="00E51A10">
        <w:rPr>
          <w:lang w:val="fr-CH"/>
        </w:rPr>
        <w:t>usage des offices récepteurs du</w:t>
      </w:r>
      <w:r>
        <w:rPr>
          <w:lang w:val="fr-CH"/>
        </w:rPr>
        <w:t> </w:t>
      </w:r>
      <w:r w:rsidRPr="00E51A10">
        <w:rPr>
          <w:lang w:val="fr-CH"/>
        </w:rPr>
        <w:t>PCT ne sont disponibles qu</w:t>
      </w:r>
      <w:r>
        <w:rPr>
          <w:lang w:val="fr-CH"/>
        </w:rPr>
        <w:t>’</w:t>
      </w:r>
      <w:r w:rsidRPr="00E51A10">
        <w:rPr>
          <w:lang w:val="fr-CH"/>
        </w:rPr>
        <w:t>en français et en anglais.  Le Bulletin d</w:t>
      </w:r>
      <w:r>
        <w:rPr>
          <w:lang w:val="fr-CH"/>
        </w:rPr>
        <w:t>’</w:t>
      </w:r>
      <w:r w:rsidRPr="00E51A10">
        <w:rPr>
          <w:lang w:val="fr-CH"/>
        </w:rPr>
        <w:t>information du</w:t>
      </w:r>
      <w:r>
        <w:rPr>
          <w:lang w:val="fr-CH"/>
        </w:rPr>
        <w:t> </w:t>
      </w:r>
      <w:r w:rsidRPr="00E51A10">
        <w:rPr>
          <w:lang w:val="fr-CH"/>
        </w:rPr>
        <w:t>PCT est disponible uniquement en anglais et des extraits sont disponibles en chinois, en coréen et en japonais.</w:t>
      </w:r>
    </w:p>
  </w:footnote>
  <w:footnote w:id="4">
    <w:p w14:paraId="00F73A04" w14:textId="77777777" w:rsidR="00246B98" w:rsidRPr="002310ED" w:rsidRDefault="00246B98" w:rsidP="002310ED">
      <w:pPr>
        <w:pStyle w:val="FootnoteText"/>
        <w:rPr>
          <w:lang w:val="fr-CH"/>
        </w:rPr>
      </w:pPr>
      <w:r w:rsidRPr="00BB1401">
        <w:rPr>
          <w:rStyle w:val="FootnoteReference"/>
        </w:rPr>
        <w:footnoteRef/>
      </w:r>
      <w:r w:rsidRPr="00BB1401">
        <w:rPr>
          <w:lang w:val="fr-CH"/>
        </w:rPr>
        <w:t xml:space="preserve"> </w:t>
      </w:r>
      <w:r w:rsidRPr="00BB1401">
        <w:rPr>
          <w:lang w:val="fr-CH"/>
        </w:rPr>
        <w:tab/>
        <w:t>Voir le paragraphe</w:t>
      </w:r>
      <w:r>
        <w:rPr>
          <w:lang w:val="fr-CH"/>
        </w:rPr>
        <w:t> </w:t>
      </w:r>
      <w:r w:rsidRPr="00BB1401">
        <w:rPr>
          <w:lang w:val="fr-CH"/>
        </w:rPr>
        <w:t>46 du document H/LD/WG/7/INF/2 et le paragraphe</w:t>
      </w:r>
      <w:r>
        <w:rPr>
          <w:lang w:val="fr-CH"/>
        </w:rPr>
        <w:t> </w:t>
      </w:r>
      <w:r w:rsidRPr="00BB1401">
        <w:rPr>
          <w:lang w:val="fr-CH"/>
        </w:rPr>
        <w:t>21 du document H/LD/WG/8/5, en particulier.</w:t>
      </w:r>
    </w:p>
  </w:footnote>
  <w:footnote w:id="5">
    <w:p w14:paraId="2779574A" w14:textId="77777777" w:rsidR="00246B98" w:rsidRPr="0001085B" w:rsidRDefault="00246B98">
      <w:pPr>
        <w:pStyle w:val="FootnoteText"/>
        <w:rPr>
          <w:lang w:val="fr-CH"/>
        </w:rPr>
      </w:pPr>
      <w:r>
        <w:rPr>
          <w:rStyle w:val="FootnoteReference"/>
        </w:rPr>
        <w:footnoteRef/>
      </w:r>
      <w:r w:rsidRPr="0001085B">
        <w:rPr>
          <w:lang w:val="fr-CH"/>
        </w:rPr>
        <w:t xml:space="preserve"> </w:t>
      </w:r>
      <w:r w:rsidRPr="0001085B">
        <w:rPr>
          <w:lang w:val="fr-CH"/>
        </w:rPr>
        <w:tab/>
        <w:t>120</w:t>
      </w:r>
      <w:r>
        <w:rPr>
          <w:lang w:val="fr-CH"/>
        </w:rPr>
        <w:t> </w:t>
      </w:r>
      <w:r w:rsidRPr="0001085B">
        <w:rPr>
          <w:lang w:val="fr-CH"/>
        </w:rPr>
        <w:t>000</w:t>
      </w:r>
      <w:r>
        <w:rPr>
          <w:lang w:val="fr-CH"/>
        </w:rPr>
        <w:t> </w:t>
      </w:r>
      <w:r w:rsidRPr="0001085B">
        <w:rPr>
          <w:lang w:val="fr-CH"/>
        </w:rPr>
        <w:t>francs suisses (TIC) + 500</w:t>
      </w:r>
      <w:r>
        <w:rPr>
          <w:lang w:val="fr-CH"/>
        </w:rPr>
        <w:t> </w:t>
      </w:r>
      <w:r w:rsidRPr="0001085B">
        <w:rPr>
          <w:lang w:val="fr-CH"/>
        </w:rPr>
        <w:t>000 (traducteurs) + 6200</w:t>
      </w:r>
      <w:r>
        <w:rPr>
          <w:lang w:val="fr-CH"/>
        </w:rPr>
        <w:t> </w:t>
      </w:r>
      <w:r w:rsidRPr="0001085B">
        <w:rPr>
          <w:lang w:val="fr-CH"/>
        </w:rPr>
        <w:t>francs suisses (sous</w:t>
      </w:r>
      <w:r>
        <w:rPr>
          <w:lang w:val="fr-CH"/>
        </w:rPr>
        <w:noBreakHyphen/>
      </w:r>
      <w:r w:rsidRPr="0001085B">
        <w:rPr>
          <w:lang w:val="fr-CH"/>
        </w:rPr>
        <w:t>traitance de travaux de traduction) + 237</w:t>
      </w:r>
      <w:r>
        <w:rPr>
          <w:lang w:val="fr-CH"/>
        </w:rPr>
        <w:t> </w:t>
      </w:r>
      <w:r w:rsidRPr="0001085B">
        <w:rPr>
          <w:lang w:val="fr-CH"/>
        </w:rPr>
        <w:t>000 francs suisses (appui à la clientèle) = 863</w:t>
      </w:r>
      <w:r>
        <w:rPr>
          <w:lang w:val="fr-CH"/>
        </w:rPr>
        <w:t> </w:t>
      </w:r>
      <w:r w:rsidRPr="0001085B">
        <w:rPr>
          <w:lang w:val="fr-CH"/>
        </w:rPr>
        <w:t>200 francs suisses.</w:t>
      </w:r>
    </w:p>
  </w:footnote>
  <w:footnote w:id="6">
    <w:p w14:paraId="75166F53" w14:textId="77777777" w:rsidR="00246B98" w:rsidRPr="0001085B" w:rsidRDefault="00246B98">
      <w:pPr>
        <w:pStyle w:val="FootnoteText"/>
        <w:rPr>
          <w:lang w:val="fr-CH"/>
        </w:rPr>
      </w:pPr>
      <w:r w:rsidRPr="0001085B">
        <w:rPr>
          <w:rStyle w:val="FootnoteReference"/>
        </w:rPr>
        <w:footnoteRef/>
      </w:r>
      <w:r w:rsidRPr="0001085B">
        <w:rPr>
          <w:lang w:val="fr-CH"/>
        </w:rPr>
        <w:t xml:space="preserve"> </w:t>
      </w:r>
      <w:r>
        <w:rPr>
          <w:lang w:val="fr-CH"/>
        </w:rPr>
        <w:tab/>
        <w:t>120 </w:t>
      </w:r>
      <w:r w:rsidRPr="0001085B">
        <w:rPr>
          <w:lang w:val="fr-CH"/>
        </w:rPr>
        <w:t>000 francs suisses (TIC</w:t>
      </w:r>
      <w:r>
        <w:rPr>
          <w:lang w:val="fr-CH"/>
        </w:rPr>
        <w:t>) + 500 </w:t>
      </w:r>
      <w:r w:rsidRPr="0001085B">
        <w:rPr>
          <w:lang w:val="fr-CH"/>
        </w:rPr>
        <w:t>000 (traducteurs) + 36</w:t>
      </w:r>
      <w:r>
        <w:rPr>
          <w:lang w:val="fr-CH"/>
        </w:rPr>
        <w:t> </w:t>
      </w:r>
      <w:r w:rsidRPr="0001085B">
        <w:rPr>
          <w:lang w:val="fr-CH"/>
        </w:rPr>
        <w:t>100 francs suisses (sous</w:t>
      </w:r>
      <w:r>
        <w:rPr>
          <w:lang w:val="fr-CH"/>
        </w:rPr>
        <w:noBreakHyphen/>
      </w:r>
      <w:r w:rsidRPr="0001085B">
        <w:rPr>
          <w:lang w:val="fr-CH"/>
        </w:rPr>
        <w:t xml:space="preserve">traitance de travaux de traduction) </w:t>
      </w:r>
      <w:r>
        <w:rPr>
          <w:lang w:val="fr-CH"/>
        </w:rPr>
        <w:t>+ 237 </w:t>
      </w:r>
      <w:r w:rsidRPr="0001085B">
        <w:rPr>
          <w:lang w:val="fr-CH"/>
        </w:rPr>
        <w:t>000 francs suisses (appui à la clientèle) = 893</w:t>
      </w:r>
      <w:r>
        <w:rPr>
          <w:lang w:val="fr-CH"/>
        </w:rPr>
        <w:t> </w:t>
      </w:r>
      <w:r w:rsidRPr="0001085B">
        <w:rPr>
          <w:lang w:val="fr-CH"/>
        </w:rPr>
        <w:t>100 francs suisses.</w:t>
      </w:r>
    </w:p>
  </w:footnote>
  <w:footnote w:id="7">
    <w:p w14:paraId="78B9A664" w14:textId="77777777" w:rsidR="00246B98" w:rsidRPr="0001085B" w:rsidRDefault="00246B98">
      <w:pPr>
        <w:pStyle w:val="FootnoteText"/>
        <w:rPr>
          <w:lang w:val="fr-CH"/>
        </w:rPr>
      </w:pPr>
      <w:r w:rsidRPr="0001085B">
        <w:rPr>
          <w:rStyle w:val="FootnoteReference"/>
        </w:rPr>
        <w:footnoteRef/>
      </w:r>
      <w:r w:rsidRPr="0001085B">
        <w:rPr>
          <w:lang w:val="fr-CH"/>
        </w:rPr>
        <w:t xml:space="preserve"> </w:t>
      </w:r>
      <w:r w:rsidRPr="0001085B">
        <w:rPr>
          <w:lang w:val="fr-CH"/>
        </w:rPr>
        <w:tab/>
        <w:t>120</w:t>
      </w:r>
      <w:r>
        <w:rPr>
          <w:lang w:val="fr-CH"/>
        </w:rPr>
        <w:t> </w:t>
      </w:r>
      <w:r w:rsidRPr="0001085B">
        <w:rPr>
          <w:lang w:val="fr-CH"/>
        </w:rPr>
        <w:t>000 francs suisses (TIC</w:t>
      </w:r>
      <w:r>
        <w:rPr>
          <w:lang w:val="fr-CH"/>
        </w:rPr>
        <w:t>) + 500 </w:t>
      </w:r>
      <w:r w:rsidRPr="0001085B">
        <w:rPr>
          <w:lang w:val="fr-CH"/>
        </w:rPr>
        <w:t>000 (traducteurs) + 127</w:t>
      </w:r>
      <w:r>
        <w:rPr>
          <w:lang w:val="fr-CH"/>
        </w:rPr>
        <w:t> </w:t>
      </w:r>
      <w:r w:rsidRPr="0001085B">
        <w:rPr>
          <w:lang w:val="fr-CH"/>
        </w:rPr>
        <w:t>700 francs suisses (sous</w:t>
      </w:r>
      <w:r>
        <w:rPr>
          <w:lang w:val="fr-CH"/>
        </w:rPr>
        <w:noBreakHyphen/>
      </w:r>
      <w:r w:rsidRPr="0001085B">
        <w:rPr>
          <w:lang w:val="fr-CH"/>
        </w:rPr>
        <w:t>traitance de travaux de traduction) + 237</w:t>
      </w:r>
      <w:r>
        <w:rPr>
          <w:lang w:val="fr-CH"/>
        </w:rPr>
        <w:t> </w:t>
      </w:r>
      <w:r w:rsidRPr="0001085B">
        <w:rPr>
          <w:lang w:val="fr-CH"/>
        </w:rPr>
        <w:t>000 francs suisses (appui à la clientèle) = 984</w:t>
      </w:r>
      <w:r>
        <w:rPr>
          <w:lang w:val="fr-CH"/>
        </w:rPr>
        <w:t> </w:t>
      </w:r>
      <w:r w:rsidRPr="0001085B">
        <w:rPr>
          <w:lang w:val="fr-CH"/>
        </w:rPr>
        <w:t>700 francs suisses.</w:t>
      </w:r>
    </w:p>
  </w:footnote>
  <w:footnote w:id="8">
    <w:p w14:paraId="05314DD5" w14:textId="77777777" w:rsidR="00246B98" w:rsidRPr="00080010" w:rsidRDefault="00246B98" w:rsidP="00080010">
      <w:pPr>
        <w:pStyle w:val="FootnoteText"/>
        <w:rPr>
          <w:lang w:val="fr-CH"/>
        </w:rPr>
      </w:pPr>
      <w:r w:rsidRPr="00AD3650">
        <w:rPr>
          <w:rStyle w:val="FootnoteReference"/>
          <w:szCs w:val="18"/>
        </w:rPr>
        <w:footnoteRef/>
      </w:r>
      <w:r w:rsidRPr="00080010">
        <w:rPr>
          <w:szCs w:val="18"/>
          <w:lang w:val="fr-CH"/>
        </w:rPr>
        <w:t xml:space="preserve"> </w:t>
      </w:r>
      <w:r w:rsidRPr="00080010">
        <w:rPr>
          <w:lang w:val="fr-CH"/>
        </w:rPr>
        <w:tab/>
        <w:t xml:space="preserve">Les versions chinoise et russe n’ont pas été actualisées aussi </w:t>
      </w:r>
      <w:r>
        <w:rPr>
          <w:lang w:val="fr-CH"/>
        </w:rPr>
        <w:t>régulièrement</w:t>
      </w:r>
      <w:r w:rsidRPr="00080010">
        <w:rPr>
          <w:lang w:val="fr-CH"/>
        </w:rPr>
        <w:t xml:space="preserve"> que les versions </w:t>
      </w:r>
      <w:r>
        <w:rPr>
          <w:lang w:val="fr-CH"/>
        </w:rPr>
        <w:t>française, anglaise et es</w:t>
      </w:r>
      <w:r w:rsidRPr="00080010">
        <w:rPr>
          <w:lang w:val="fr-CH"/>
        </w:rPr>
        <w:t>pa</w:t>
      </w:r>
      <w:r>
        <w:rPr>
          <w:lang w:val="fr-CH"/>
        </w:rPr>
        <w:t>g</w:t>
      </w:r>
      <w:r w:rsidRPr="00080010">
        <w:rPr>
          <w:lang w:val="fr-CH"/>
        </w:rPr>
        <w:t>n</w:t>
      </w:r>
      <w:r>
        <w:rPr>
          <w:lang w:val="fr-CH"/>
        </w:rPr>
        <w:t>ole</w:t>
      </w:r>
      <w:r w:rsidRPr="00080010">
        <w:rPr>
          <w:lang w:val="fr-CH"/>
        </w:rPr>
        <w:t>.</w:t>
      </w:r>
    </w:p>
  </w:footnote>
  <w:footnote w:id="9">
    <w:p w14:paraId="4F838F76" w14:textId="77777777" w:rsidR="00246B98" w:rsidRPr="00915FBF" w:rsidRDefault="00246B98" w:rsidP="00915FBF">
      <w:pPr>
        <w:pStyle w:val="FootnoteText"/>
        <w:rPr>
          <w:lang w:val="fr-CH"/>
        </w:rPr>
      </w:pPr>
      <w:r w:rsidRPr="00080010">
        <w:rPr>
          <w:rStyle w:val="FootnoteReference"/>
          <w:szCs w:val="18"/>
        </w:rPr>
        <w:footnoteRef/>
      </w:r>
      <w:r w:rsidRPr="00080010">
        <w:rPr>
          <w:szCs w:val="18"/>
          <w:lang w:val="fr-CH"/>
        </w:rPr>
        <w:t xml:space="preserve"> </w:t>
      </w:r>
      <w:r w:rsidRPr="00A541B2">
        <w:rPr>
          <w:lang w:val="fr-CH"/>
        </w:rPr>
        <w:tab/>
        <w:t>En principe, seul un traducteur dont la première langue est la langue cible doit traduire dans cette langue.  Dans la plupart des cas, l’anglais serait la langue source, tandis que le chinois et le russe seraient les langues cibles, respectivement.  Ainsi, deux traducteurs dont la langue maternelle est le chinois ou le russe (un pour chaque langue) seraient en principe nécessaires.</w:t>
      </w:r>
    </w:p>
  </w:footnote>
  <w:footnote w:id="10">
    <w:p w14:paraId="05238CB8" w14:textId="77777777" w:rsidR="00246B98" w:rsidRPr="000E1429" w:rsidRDefault="00246B98" w:rsidP="000E1429">
      <w:pPr>
        <w:pStyle w:val="FootnoteText"/>
        <w:rPr>
          <w:lang w:val="fr-CH"/>
        </w:rPr>
      </w:pPr>
      <w:r w:rsidRPr="000E1429">
        <w:rPr>
          <w:rStyle w:val="FootnoteReference"/>
        </w:rPr>
        <w:footnoteRef/>
      </w:r>
      <w:r w:rsidRPr="000E1429">
        <w:rPr>
          <w:lang w:val="fr-CH"/>
        </w:rPr>
        <w:t xml:space="preserve"> </w:t>
      </w:r>
      <w:r w:rsidRPr="000E1429">
        <w:rPr>
          <w:lang w:val="fr-CH"/>
        </w:rPr>
        <w:tab/>
        <w:t xml:space="preserve">En ce qui concerne le nombre de mots, la part constituée par le système de </w:t>
      </w:r>
      <w:r>
        <w:rPr>
          <w:lang w:val="fr-CH"/>
        </w:rPr>
        <w:t>La Haye</w:t>
      </w:r>
      <w:r w:rsidRPr="000E1429">
        <w:rPr>
          <w:lang w:val="fr-CH"/>
        </w:rPr>
        <w:t xml:space="preserve"> correspond à 0,9% du nombre total de mots que la Section de la traduction et de la terminologie du Service d</w:t>
      </w:r>
      <w:r>
        <w:rPr>
          <w:lang w:val="fr-CH"/>
        </w:rPr>
        <w:t>’</w:t>
      </w:r>
      <w:r w:rsidRPr="000E1429">
        <w:rPr>
          <w:lang w:val="fr-CH"/>
        </w:rPr>
        <w:t>enregistrement de Madrid a traité en</w:t>
      </w:r>
      <w:r>
        <w:rPr>
          <w:lang w:val="fr-CH"/>
        </w:rPr>
        <w:t> </w:t>
      </w:r>
      <w:r w:rsidRPr="000E1429">
        <w:rPr>
          <w:lang w:val="fr-CH"/>
        </w:rPr>
        <w:t>2018</w:t>
      </w:r>
      <w:r>
        <w:rPr>
          <w:lang w:val="fr-CH"/>
        </w:rPr>
        <w:t>.</w:t>
      </w:r>
    </w:p>
  </w:footnote>
  <w:footnote w:id="11">
    <w:p w14:paraId="3FDA2312" w14:textId="431B92D3" w:rsidR="00246B98" w:rsidRPr="000F1687" w:rsidRDefault="00246B98" w:rsidP="000F1687">
      <w:pPr>
        <w:pStyle w:val="FootnoteText"/>
        <w:rPr>
          <w:lang w:val="fr-CH"/>
        </w:rPr>
      </w:pPr>
      <w:r>
        <w:rPr>
          <w:rStyle w:val="FootnoteReference"/>
        </w:rPr>
        <w:footnoteRef/>
      </w:r>
      <w:r w:rsidRPr="000F1687">
        <w:rPr>
          <w:lang w:val="fr-CH"/>
        </w:rPr>
        <w:t xml:space="preserve"> </w:t>
      </w:r>
      <w:r w:rsidRPr="000F1687">
        <w:rPr>
          <w:lang w:val="fr-CH"/>
        </w:rPr>
        <w:tab/>
      </w:r>
      <w:r w:rsidRPr="00A541B2">
        <w:rPr>
          <w:lang w:val="fr-CH"/>
        </w:rPr>
        <w:t>132 900 francs suisses pour un poste G</w:t>
      </w:r>
      <w:r w:rsidR="00E11761">
        <w:rPr>
          <w:lang w:val="fr-CH"/>
        </w:rPr>
        <w:t>-</w:t>
      </w:r>
      <w:r w:rsidRPr="00A541B2">
        <w:rPr>
          <w:lang w:val="fr-CH"/>
        </w:rPr>
        <w:t>6 inscrit au budget ordinaire à Genève en 2021, selon le coût standard annuel pour l’exercice biennal 2020</w:t>
      </w:r>
      <w:r>
        <w:rPr>
          <w:lang w:val="fr-CH"/>
        </w:rPr>
        <w:noBreakHyphen/>
      </w:r>
      <w:r w:rsidRPr="00A541B2">
        <w:rPr>
          <w:lang w:val="fr-CH"/>
        </w:rPr>
        <w:t>2021.</w:t>
      </w:r>
    </w:p>
  </w:footnote>
  <w:footnote w:id="12">
    <w:p w14:paraId="2E80342B" w14:textId="77777777" w:rsidR="00246B98" w:rsidRPr="00A541B2" w:rsidRDefault="00246B98" w:rsidP="0095537A">
      <w:pPr>
        <w:pStyle w:val="FootnoteText"/>
        <w:rPr>
          <w:lang w:val="fr-CH"/>
        </w:rPr>
      </w:pPr>
      <w:r>
        <w:rPr>
          <w:rStyle w:val="FootnoteReference"/>
        </w:rPr>
        <w:footnoteRef/>
      </w:r>
      <w:r w:rsidRPr="0095537A">
        <w:rPr>
          <w:lang w:val="fr-CH"/>
        </w:rPr>
        <w:t xml:space="preserve"> </w:t>
      </w:r>
      <w:r w:rsidRPr="0095537A">
        <w:rPr>
          <w:lang w:val="fr-CH"/>
        </w:rPr>
        <w:tab/>
      </w:r>
      <w:r w:rsidRPr="00A541B2">
        <w:rPr>
          <w:lang w:val="fr-CH"/>
        </w:rPr>
        <w:t>Voir les paragraphes 24 à 29 du document H/LD/WG/8/5 et les paragraphes 25 à 44 du document MM/LD/WG/17/7 Rev.</w:t>
      </w:r>
    </w:p>
  </w:footnote>
  <w:footnote w:id="13">
    <w:p w14:paraId="075E2C2B" w14:textId="77777777" w:rsidR="00246B98" w:rsidRPr="00A541B2" w:rsidRDefault="00246B98" w:rsidP="0095537A">
      <w:pPr>
        <w:pStyle w:val="FootnoteText"/>
        <w:rPr>
          <w:lang w:val="fr-CH"/>
        </w:rPr>
      </w:pPr>
      <w:r w:rsidRPr="00A541B2">
        <w:rPr>
          <w:rStyle w:val="FootnoteReference"/>
        </w:rPr>
        <w:footnoteRef/>
      </w:r>
      <w:r w:rsidRPr="00A541B2">
        <w:rPr>
          <w:lang w:val="fr-CH"/>
        </w:rPr>
        <w:t xml:space="preserve"> </w:t>
      </w:r>
      <w:r w:rsidRPr="00A541B2">
        <w:rPr>
          <w:lang w:val="fr-CH"/>
        </w:rPr>
        <w:tab/>
        <w:t>Ces parties contractantes sont mentionnées dans la proposition, soumise par la délégation de la Fédération de Russie, d’inclure le russe comme langue officielle du système de La Haye (se réf</w:t>
      </w:r>
      <w:r>
        <w:rPr>
          <w:lang w:val="fr-CH"/>
        </w:rPr>
        <w:t>érer au document H/LD/WG/7/5).</w:t>
      </w:r>
    </w:p>
  </w:footnote>
  <w:footnote w:id="14">
    <w:p w14:paraId="42D1193B" w14:textId="77777777" w:rsidR="00246B98" w:rsidRPr="008844A6" w:rsidRDefault="00246B98" w:rsidP="008844A6">
      <w:pPr>
        <w:pStyle w:val="FootnoteText"/>
        <w:rPr>
          <w:lang w:val="fr-CH"/>
        </w:rPr>
      </w:pPr>
      <w:r w:rsidRPr="00A541B2">
        <w:rPr>
          <w:rStyle w:val="FootnoteReference"/>
        </w:rPr>
        <w:footnoteRef/>
      </w:r>
      <w:r w:rsidRPr="00A541B2">
        <w:rPr>
          <w:lang w:val="fr-CH"/>
        </w:rPr>
        <w:t xml:space="preserve"> </w:t>
      </w:r>
      <w:r w:rsidRPr="00A541B2">
        <w:rPr>
          <w:lang w:val="fr-CH"/>
        </w:rPr>
        <w:tab/>
        <w:t>Selon les taux applicables au fonctionnement du système du PCT en 2019.</w:t>
      </w:r>
    </w:p>
  </w:footnote>
  <w:footnote w:id="15">
    <w:p w14:paraId="6AC1BB55" w14:textId="77777777" w:rsidR="00246B98" w:rsidRPr="008844A6" w:rsidRDefault="00246B98" w:rsidP="008844A6">
      <w:pPr>
        <w:pStyle w:val="FootnoteText"/>
        <w:rPr>
          <w:szCs w:val="18"/>
          <w:lang w:val="fr-CH"/>
        </w:rPr>
      </w:pPr>
      <w:r w:rsidRPr="008844A6">
        <w:rPr>
          <w:rStyle w:val="FootnoteReference"/>
        </w:rPr>
        <w:footnoteRef/>
      </w:r>
      <w:r w:rsidRPr="008844A6">
        <w:rPr>
          <w:lang w:val="fr-CH"/>
        </w:rPr>
        <w:t xml:space="preserve"> </w:t>
      </w:r>
      <w:r w:rsidRPr="008844A6">
        <w:rPr>
          <w:lang w:val="fr-CH"/>
        </w:rPr>
        <w:tab/>
      </w:r>
      <w:r w:rsidRPr="008844A6">
        <w:rPr>
          <w:szCs w:val="18"/>
          <w:lang w:val="fr-CH"/>
        </w:rPr>
        <w:t>Le contrôle de la qualité consiste à réviser un échantillon aléatoire d</w:t>
      </w:r>
      <w:r>
        <w:rPr>
          <w:szCs w:val="18"/>
          <w:lang w:val="fr-CH"/>
        </w:rPr>
        <w:t>’</w:t>
      </w:r>
      <w:r w:rsidRPr="008844A6">
        <w:rPr>
          <w:szCs w:val="18"/>
          <w:lang w:val="fr-CH"/>
        </w:rPr>
        <w:t xml:space="preserve">environ 7% du travail révisé.  Il devrait être effectué par un traducteur dont la première langue est la langue cible.  </w:t>
      </w:r>
      <w:r w:rsidRPr="008844A6">
        <w:rPr>
          <w:rFonts w:eastAsiaTheme="minorEastAsia"/>
          <w:szCs w:val="18"/>
          <w:lang w:val="fr-CH" w:eastAsia="fr-CH"/>
        </w:rPr>
        <w:t>Un traducteur chevronné traite 3700</w:t>
      </w:r>
      <w:r>
        <w:rPr>
          <w:rFonts w:eastAsiaTheme="minorEastAsia"/>
          <w:szCs w:val="18"/>
          <w:lang w:val="fr-CH" w:eastAsia="fr-CH"/>
        </w:rPr>
        <w:t> </w:t>
      </w:r>
      <w:r w:rsidRPr="008844A6">
        <w:rPr>
          <w:rFonts w:eastAsiaTheme="minorEastAsia"/>
          <w:szCs w:val="18"/>
          <w:lang w:val="fr-CH" w:eastAsia="fr-CH"/>
        </w:rPr>
        <w:t>mots par jour</w:t>
      </w:r>
      <w:r>
        <w:rPr>
          <w:rFonts w:eastAsiaTheme="minorEastAsia"/>
          <w:szCs w:val="18"/>
          <w:lang w:val="fr-CH" w:eastAsia="fr-CH"/>
        </w:rPr>
        <w:t>.</w:t>
      </w:r>
    </w:p>
  </w:footnote>
  <w:footnote w:id="16">
    <w:p w14:paraId="253C8FFC" w14:textId="77777777" w:rsidR="00246B98" w:rsidRPr="008844A6" w:rsidRDefault="00246B98" w:rsidP="008844A6">
      <w:pPr>
        <w:pStyle w:val="FootnoteText"/>
        <w:rPr>
          <w:rFonts w:eastAsiaTheme="minorEastAsia"/>
          <w:szCs w:val="18"/>
          <w:lang w:val="fr-CH" w:eastAsia="ja-JP"/>
        </w:rPr>
      </w:pPr>
      <w:r w:rsidRPr="008844A6">
        <w:rPr>
          <w:rStyle w:val="FootnoteReference"/>
          <w:szCs w:val="18"/>
        </w:rPr>
        <w:footnoteRef/>
      </w:r>
      <w:r w:rsidRPr="008844A6">
        <w:rPr>
          <w:szCs w:val="18"/>
          <w:lang w:val="fr-CH"/>
        </w:rPr>
        <w:t xml:space="preserve"> </w:t>
      </w:r>
      <w:r w:rsidRPr="008844A6">
        <w:rPr>
          <w:rFonts w:eastAsiaTheme="minorEastAsia"/>
          <w:szCs w:val="18"/>
          <w:lang w:val="fr-CH" w:eastAsia="ja-JP"/>
        </w:rPr>
        <w:tab/>
        <w:t>Les coûts sont estimés en prévision de l</w:t>
      </w:r>
      <w:r>
        <w:rPr>
          <w:rFonts w:eastAsiaTheme="minorEastAsia"/>
          <w:szCs w:val="18"/>
          <w:lang w:val="fr-CH" w:eastAsia="ja-JP"/>
        </w:rPr>
        <w:t>’</w:t>
      </w:r>
      <w:r w:rsidRPr="008844A6">
        <w:rPr>
          <w:rFonts w:eastAsiaTheme="minorEastAsia"/>
          <w:szCs w:val="18"/>
          <w:lang w:val="fr-CH" w:eastAsia="ja-JP"/>
        </w:rPr>
        <w:t>adhésion de la Chine au début de l</w:t>
      </w:r>
      <w:r>
        <w:rPr>
          <w:rFonts w:eastAsiaTheme="minorEastAsia"/>
          <w:szCs w:val="18"/>
          <w:lang w:val="fr-CH" w:eastAsia="ja-JP"/>
        </w:rPr>
        <w:t>’</w:t>
      </w:r>
      <w:r w:rsidRPr="008844A6">
        <w:rPr>
          <w:rFonts w:eastAsiaTheme="minorEastAsia"/>
          <w:szCs w:val="18"/>
          <w:lang w:val="fr-CH" w:eastAsia="ja-JP"/>
        </w:rPr>
        <w:t>année</w:t>
      </w:r>
      <w:r>
        <w:rPr>
          <w:rFonts w:eastAsiaTheme="minorEastAsia"/>
          <w:szCs w:val="18"/>
          <w:lang w:val="fr-CH" w:eastAsia="ja-JP"/>
        </w:rPr>
        <w:t> </w:t>
      </w:r>
      <w:r w:rsidRPr="008844A6">
        <w:rPr>
          <w:rFonts w:eastAsiaTheme="minorEastAsia"/>
          <w:szCs w:val="18"/>
          <w:lang w:val="fr-CH" w:eastAsia="ja-JP"/>
        </w:rPr>
        <w:t>2021.</w:t>
      </w:r>
    </w:p>
  </w:footnote>
  <w:footnote w:id="17">
    <w:p w14:paraId="1F6C83CD" w14:textId="77777777" w:rsidR="00246B98" w:rsidRPr="008844A6" w:rsidRDefault="00246B98" w:rsidP="008844A6">
      <w:pPr>
        <w:pStyle w:val="FootnoteText"/>
        <w:rPr>
          <w:rFonts w:eastAsiaTheme="minorEastAsia"/>
          <w:szCs w:val="18"/>
          <w:lang w:val="fr-CH" w:eastAsia="ja-JP"/>
        </w:rPr>
      </w:pPr>
      <w:r w:rsidRPr="008844A6">
        <w:rPr>
          <w:rStyle w:val="FootnoteReference"/>
          <w:szCs w:val="18"/>
        </w:rPr>
        <w:footnoteRef/>
      </w:r>
      <w:r w:rsidRPr="008844A6">
        <w:rPr>
          <w:szCs w:val="18"/>
          <w:lang w:val="fr-CH"/>
        </w:rPr>
        <w:t xml:space="preserve"> </w:t>
      </w:r>
      <w:r w:rsidRPr="008844A6">
        <w:rPr>
          <w:szCs w:val="18"/>
          <w:lang w:val="fr-CH"/>
        </w:rPr>
        <w:tab/>
        <w:t>Le taux de croissance est calculé à partir de la tendance des demandes internationales déposées par des déposants des parties contractantes russophones entre 2016 à 2019.</w:t>
      </w:r>
    </w:p>
  </w:footnote>
  <w:footnote w:id="18">
    <w:p w14:paraId="21090D5E" w14:textId="3B5E74F6" w:rsidR="00246B98" w:rsidRPr="005829EF" w:rsidRDefault="00246B98">
      <w:pPr>
        <w:pStyle w:val="FootnoteText"/>
        <w:rPr>
          <w:lang w:val="fr-CH"/>
        </w:rPr>
      </w:pPr>
      <w:r>
        <w:rPr>
          <w:rStyle w:val="FootnoteReference"/>
        </w:rPr>
        <w:footnoteRef/>
      </w:r>
      <w:r w:rsidRPr="005829EF">
        <w:rPr>
          <w:lang w:val="fr-CH"/>
        </w:rPr>
        <w:t xml:space="preserve"> </w:t>
      </w:r>
      <w:r>
        <w:rPr>
          <w:lang w:val="fr-CH"/>
        </w:rPr>
        <w:tab/>
        <w:t>En 2019, 23,8% des demandes internationales désignaient au moins une partie contractante russophone.  Ce taux de désignation est donc utilisé pour les parties contractantes russophones.  S’agissant de la Chine, le taux de</w:t>
      </w:r>
      <w:r w:rsidR="00864C45">
        <w:rPr>
          <w:lang w:val="fr-CH"/>
        </w:rPr>
        <w:t> </w:t>
      </w:r>
      <w:r>
        <w:rPr>
          <w:lang w:val="fr-CH"/>
        </w:rPr>
        <w:t>26%, qui correspond au taux de désignation du Japon en 2019, est utilisé.  En 2019, le Japon a été le plus fréquemment désigné parmi les parties contractantes actuelles de la même région, suivi de la République de Corée</w:t>
      </w:r>
      <w:r w:rsidR="00864C45">
        <w:rPr>
          <w:lang w:val="fr-CH"/>
        </w:rPr>
        <w:t> </w:t>
      </w:r>
      <w:r>
        <w:rPr>
          <w:lang w:val="fr-CH"/>
        </w:rPr>
        <w:t>(20,4%) et de Singapour (16,1%).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EEF1A" w14:textId="77777777" w:rsidR="00246B98" w:rsidRDefault="00246B98" w:rsidP="004D1738">
    <w:pPr>
      <w:pStyle w:val="Header"/>
      <w:tabs>
        <w:tab w:val="clear" w:pos="9072"/>
        <w:tab w:val="right" w:pos="9270"/>
      </w:tabs>
      <w:jc w:val="right"/>
    </w:pPr>
    <w:r w:rsidRPr="00172326">
      <w:t>H/LD/WG/9/</w:t>
    </w:r>
    <w:r w:rsidRPr="00664212">
      <w:t>4</w:t>
    </w:r>
  </w:p>
  <w:p w14:paraId="51F79368" w14:textId="662AD97E" w:rsidR="00246B98" w:rsidRDefault="00246B98" w:rsidP="004D1738">
    <w:pPr>
      <w:pStyle w:val="Header"/>
      <w:tabs>
        <w:tab w:val="clear" w:pos="9072"/>
        <w:tab w:val="right" w:pos="9270"/>
      </w:tabs>
      <w:jc w:val="right"/>
      <w:rPr>
        <w:noProof/>
      </w:rPr>
    </w:pPr>
    <w:r>
      <w:t>page </w:t>
    </w:r>
    <w:r>
      <w:fldChar w:fldCharType="begin"/>
    </w:r>
    <w:r>
      <w:instrText xml:space="preserve"> PAGE   \* MERGEFORMAT </w:instrText>
    </w:r>
    <w:r>
      <w:fldChar w:fldCharType="separate"/>
    </w:r>
    <w:r w:rsidR="00A50943">
      <w:rPr>
        <w:noProof/>
      </w:rPr>
      <w:t>6</w:t>
    </w:r>
    <w:r>
      <w:rPr>
        <w:noProof/>
      </w:rPr>
      <w:fldChar w:fldCharType="end"/>
    </w:r>
  </w:p>
  <w:p w14:paraId="21DEEA41" w14:textId="77777777" w:rsidR="00246B98" w:rsidRDefault="00246B98" w:rsidP="004D1738">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FD212" w14:textId="77777777" w:rsidR="00246B98" w:rsidRDefault="00246B98" w:rsidP="00456E02">
    <w:pPr>
      <w:pStyle w:val="Header"/>
      <w:jc w:val="right"/>
    </w:pPr>
    <w:r w:rsidRPr="00172326">
      <w:t>H/LD/WG/9/</w:t>
    </w:r>
    <w:r w:rsidRPr="00664212">
      <w:t>4</w:t>
    </w:r>
  </w:p>
  <w:p w14:paraId="505AB9E8" w14:textId="4F6C5D4D" w:rsidR="00246B98" w:rsidRDefault="00246B98" w:rsidP="00456E02">
    <w:pPr>
      <w:pStyle w:val="Header"/>
      <w:jc w:val="right"/>
    </w:pPr>
    <w:r>
      <w:t>Annexe I, page </w:t>
    </w:r>
    <w:r>
      <w:fldChar w:fldCharType="begin"/>
    </w:r>
    <w:r>
      <w:instrText xml:space="preserve"> PAGE   \* MERGEFORMAT </w:instrText>
    </w:r>
    <w:r>
      <w:fldChar w:fldCharType="separate"/>
    </w:r>
    <w:r w:rsidR="00A50943">
      <w:rPr>
        <w:noProof/>
      </w:rPr>
      <w:t>2</w:t>
    </w:r>
    <w:r>
      <w:rPr>
        <w:noProof/>
      </w:rPr>
      <w:fldChar w:fldCharType="end"/>
    </w:r>
  </w:p>
  <w:p w14:paraId="439ACA0E" w14:textId="77777777" w:rsidR="00246B98" w:rsidRDefault="00246B98" w:rsidP="004D1738">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B2672" w14:textId="77777777" w:rsidR="00246B98" w:rsidRDefault="00246B98" w:rsidP="004D1738">
    <w:pPr>
      <w:pStyle w:val="Header"/>
      <w:jc w:val="right"/>
    </w:pPr>
    <w:r w:rsidRPr="00172326">
      <w:t>H/LD/WG/9/</w:t>
    </w:r>
    <w:r w:rsidRPr="00664212">
      <w:t>4</w:t>
    </w:r>
  </w:p>
  <w:p w14:paraId="049EAAAD" w14:textId="77777777" w:rsidR="00246B98" w:rsidRDefault="00246B98" w:rsidP="004D1738">
    <w:pPr>
      <w:pStyle w:val="Header"/>
      <w:jc w:val="right"/>
    </w:pPr>
    <w:r>
      <w:t>ANNEXE I</w:t>
    </w:r>
  </w:p>
  <w:p w14:paraId="5606585B" w14:textId="77777777" w:rsidR="00246B98" w:rsidRDefault="00246B98" w:rsidP="004D1738">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70395" w14:textId="77777777" w:rsidR="00246B98" w:rsidRPr="007A53DD" w:rsidRDefault="00246B98" w:rsidP="00456E02">
    <w:pPr>
      <w:pStyle w:val="Header"/>
      <w:jc w:val="right"/>
      <w:rPr>
        <w:lang w:val="fr-CH"/>
      </w:rPr>
    </w:pPr>
    <w:r w:rsidRPr="007A53DD">
      <w:rPr>
        <w:lang w:val="fr-CH"/>
      </w:rPr>
      <w:t>H/LD/WG/9/4</w:t>
    </w:r>
  </w:p>
  <w:p w14:paraId="38E15441" w14:textId="5D6DD44A" w:rsidR="00246B98" w:rsidRPr="007A53DD" w:rsidRDefault="00246B98" w:rsidP="00456E02">
    <w:pPr>
      <w:pStyle w:val="Header"/>
      <w:jc w:val="right"/>
      <w:rPr>
        <w:i/>
        <w:lang w:val="fr-CH"/>
      </w:rPr>
    </w:pPr>
    <w:r w:rsidRPr="007A53DD">
      <w:rPr>
        <w:lang w:val="fr-CH"/>
      </w:rPr>
      <w:t>Annex</w:t>
    </w:r>
    <w:r>
      <w:rPr>
        <w:lang w:val="fr-CH"/>
      </w:rPr>
      <w:t>e</w:t>
    </w:r>
    <w:r w:rsidRPr="007A53DD">
      <w:rPr>
        <w:lang w:val="fr-CH"/>
      </w:rPr>
      <w:t xml:space="preserve"> II, page </w:t>
    </w:r>
    <w:r>
      <w:fldChar w:fldCharType="begin"/>
    </w:r>
    <w:r w:rsidRPr="007A53DD">
      <w:rPr>
        <w:lang w:val="fr-CH"/>
      </w:rPr>
      <w:instrText xml:space="preserve"> PAGE   \* MERGEFORMAT </w:instrText>
    </w:r>
    <w:r>
      <w:fldChar w:fldCharType="separate"/>
    </w:r>
    <w:r w:rsidR="00A50943">
      <w:rPr>
        <w:noProof/>
        <w:lang w:val="fr-CH"/>
      </w:rPr>
      <w:t>7</w:t>
    </w:r>
    <w:r>
      <w:rPr>
        <w:noProof/>
      </w:rPr>
      <w:fldChar w:fldCharType="end"/>
    </w:r>
  </w:p>
  <w:p w14:paraId="376A1562" w14:textId="77777777" w:rsidR="00246B98" w:rsidRPr="007A53DD" w:rsidRDefault="00246B98" w:rsidP="004D1738">
    <w:pPr>
      <w:pStyle w:val="Header"/>
      <w:jc w:val="right"/>
      <w:rPr>
        <w:lang w:val="fr-CH"/>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AD3DD0" w14:textId="77777777" w:rsidR="00246B98" w:rsidRDefault="00246B98" w:rsidP="000D5B71">
    <w:pPr>
      <w:pStyle w:val="Header"/>
      <w:jc w:val="right"/>
    </w:pPr>
    <w:r w:rsidRPr="007E510E">
      <w:t>H/LD/WG/9/4</w:t>
    </w:r>
  </w:p>
  <w:p w14:paraId="56290471" w14:textId="77777777" w:rsidR="00246B98" w:rsidRDefault="00246B98" w:rsidP="000D5B71">
    <w:pPr>
      <w:pStyle w:val="Header"/>
      <w:jc w:val="right"/>
    </w:pPr>
    <w:r>
      <w:t>ANNEXE II</w:t>
    </w:r>
  </w:p>
  <w:p w14:paraId="7E9C3F82" w14:textId="77777777" w:rsidR="00246B98" w:rsidRDefault="00246B98" w:rsidP="00456E0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1DCC9C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4B1416"/>
    <w:multiLevelType w:val="hybridMultilevel"/>
    <w:tmpl w:val="65062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3A862CA"/>
    <w:multiLevelType w:val="multilevel"/>
    <w:tmpl w:val="1A9E7794"/>
    <w:lvl w:ilvl="0">
      <w:start w:val="1"/>
      <w:numFmt w:val="decimal"/>
      <w:lvlText w:val="(%1)"/>
      <w:lvlJc w:val="left"/>
      <w:pPr>
        <w:ind w:left="567" w:hanging="567"/>
      </w:pPr>
      <w:rPr>
        <w:rFonts w:hint="default"/>
        <w:b w:val="0"/>
        <w:i w:val="0"/>
        <w:sz w:val="20"/>
      </w:rPr>
    </w:lvl>
    <w:lvl w:ilvl="1">
      <w:start w:val="1"/>
      <w:numFmt w:val="lowerLetter"/>
      <w:lvlText w:val="(%2)"/>
      <w:lvlJc w:val="left"/>
      <w:pPr>
        <w:ind w:left="1134" w:hanging="567"/>
      </w:pPr>
      <w:rPr>
        <w:rFonts w:hint="default"/>
        <w:b w:val="0"/>
        <w:i w:val="0"/>
        <w:sz w:val="20"/>
      </w:rPr>
    </w:lvl>
    <w:lvl w:ilvl="2">
      <w:start w:val="14"/>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6CD29E3"/>
    <w:multiLevelType w:val="multilevel"/>
    <w:tmpl w:val="5510B166"/>
    <w:lvl w:ilvl="0">
      <w:start w:val="28"/>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576"/>
        </w:tabs>
        <w:ind w:left="-1143" w:firstLine="0"/>
      </w:pPr>
      <w:rPr>
        <w:rFonts w:hint="default"/>
      </w:rPr>
    </w:lvl>
    <w:lvl w:ilvl="2">
      <w:start w:val="1"/>
      <w:numFmt w:val="lowerRoman"/>
      <w:lvlText w:val="(%3)"/>
      <w:lvlJc w:val="left"/>
      <w:pPr>
        <w:tabs>
          <w:tab w:val="num" w:pos="-9"/>
        </w:tabs>
        <w:ind w:left="-576" w:firstLine="0"/>
      </w:pPr>
      <w:rPr>
        <w:rFonts w:hint="default"/>
      </w:rPr>
    </w:lvl>
    <w:lvl w:ilvl="3">
      <w:start w:val="1"/>
      <w:numFmt w:val="bullet"/>
      <w:lvlText w:val=""/>
      <w:lvlJc w:val="left"/>
      <w:pPr>
        <w:tabs>
          <w:tab w:val="num" w:pos="558"/>
        </w:tabs>
        <w:ind w:left="-9" w:firstLine="0"/>
      </w:pPr>
      <w:rPr>
        <w:rFonts w:hint="default"/>
      </w:rPr>
    </w:lvl>
    <w:lvl w:ilvl="4">
      <w:start w:val="1"/>
      <w:numFmt w:val="bullet"/>
      <w:lvlText w:val=""/>
      <w:lvlJc w:val="left"/>
      <w:pPr>
        <w:tabs>
          <w:tab w:val="num" w:pos="1125"/>
        </w:tabs>
        <w:ind w:left="558" w:firstLine="0"/>
      </w:pPr>
      <w:rPr>
        <w:rFonts w:hint="default"/>
      </w:rPr>
    </w:lvl>
    <w:lvl w:ilvl="5">
      <w:start w:val="1"/>
      <w:numFmt w:val="bullet"/>
      <w:lvlText w:val=""/>
      <w:lvlJc w:val="left"/>
      <w:pPr>
        <w:tabs>
          <w:tab w:val="num" w:pos="1692"/>
        </w:tabs>
        <w:ind w:left="1125" w:firstLine="0"/>
      </w:pPr>
      <w:rPr>
        <w:rFonts w:hint="default"/>
      </w:rPr>
    </w:lvl>
    <w:lvl w:ilvl="6">
      <w:start w:val="1"/>
      <w:numFmt w:val="bullet"/>
      <w:lvlText w:val=""/>
      <w:lvlJc w:val="left"/>
      <w:pPr>
        <w:tabs>
          <w:tab w:val="num" w:pos="2259"/>
        </w:tabs>
        <w:ind w:left="1692" w:firstLine="0"/>
      </w:pPr>
      <w:rPr>
        <w:rFonts w:hint="default"/>
      </w:rPr>
    </w:lvl>
    <w:lvl w:ilvl="7">
      <w:start w:val="1"/>
      <w:numFmt w:val="bullet"/>
      <w:lvlText w:val=""/>
      <w:lvlJc w:val="left"/>
      <w:pPr>
        <w:tabs>
          <w:tab w:val="num" w:pos="2825"/>
        </w:tabs>
        <w:ind w:left="2259" w:firstLine="0"/>
      </w:pPr>
      <w:rPr>
        <w:rFonts w:hint="default"/>
      </w:rPr>
    </w:lvl>
    <w:lvl w:ilvl="8">
      <w:start w:val="1"/>
      <w:numFmt w:val="bullet"/>
      <w:lvlText w:val=""/>
      <w:lvlJc w:val="left"/>
      <w:pPr>
        <w:tabs>
          <w:tab w:val="num" w:pos="3392"/>
        </w:tabs>
        <w:ind w:left="2825" w:firstLine="0"/>
      </w:pPr>
      <w:rPr>
        <w:rFonts w:hint="default"/>
      </w:r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0F76D4D"/>
    <w:multiLevelType w:val="hybridMultilevel"/>
    <w:tmpl w:val="A698C5CE"/>
    <w:lvl w:ilvl="0" w:tplc="76B6AFD8">
      <w:start w:val="1"/>
      <w:numFmt w:val="upperRoman"/>
      <w:pStyle w:val="Heading1"/>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6D5550"/>
    <w:multiLevelType w:val="multilevel"/>
    <w:tmpl w:val="B4FCCE78"/>
    <w:lvl w:ilvl="0">
      <w:start w:val="1"/>
      <w:numFmt w:val="decimal"/>
      <w:lvlText w:val="(%1)"/>
      <w:lvlJc w:val="left"/>
      <w:pPr>
        <w:ind w:left="567" w:hanging="567"/>
      </w:pPr>
      <w:rPr>
        <w:rFonts w:hint="default"/>
        <w:b w:val="0"/>
        <w:i w:val="0"/>
        <w:sz w:val="20"/>
      </w:rPr>
    </w:lvl>
    <w:lvl w:ilvl="1">
      <w:start w:val="1"/>
      <w:numFmt w:val="lowerLetter"/>
      <w:lvlText w:val="(%2)"/>
      <w:lvlJc w:val="left"/>
      <w:pPr>
        <w:ind w:left="1134" w:hanging="567"/>
      </w:pPr>
      <w:rPr>
        <w:rFonts w:hint="default"/>
        <w:b w:val="0"/>
        <w:i w:val="0"/>
        <w:sz w:val="20"/>
      </w:rPr>
    </w:lvl>
    <w:lvl w:ilvl="2">
      <w:start w:val="12"/>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D9A27B7"/>
    <w:multiLevelType w:val="multilevel"/>
    <w:tmpl w:val="594655A0"/>
    <w:lvl w:ilvl="0">
      <w:start w:val="1"/>
      <w:numFmt w:val="decimal"/>
      <w:lvlText w:val="(%1)"/>
      <w:lvlJc w:val="left"/>
      <w:pPr>
        <w:ind w:left="567" w:hanging="567"/>
      </w:pPr>
      <w:rPr>
        <w:rFonts w:hint="default"/>
        <w:b w:val="0"/>
        <w:i w:val="0"/>
        <w:sz w:val="20"/>
      </w:rPr>
    </w:lvl>
    <w:lvl w:ilvl="1">
      <w:start w:val="1"/>
      <w:numFmt w:val="lowerLetter"/>
      <w:lvlText w:val="(%2)"/>
      <w:lvlJc w:val="left"/>
      <w:pPr>
        <w:ind w:left="1134" w:hanging="567"/>
      </w:pPr>
      <w:rPr>
        <w:rFonts w:hint="default"/>
        <w:b w:val="0"/>
        <w:i w:val="0"/>
        <w:sz w:val="20"/>
      </w:rPr>
    </w:lvl>
    <w:lvl w:ilvl="2">
      <w:start w:val="3"/>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E341DED"/>
    <w:multiLevelType w:val="hybridMultilevel"/>
    <w:tmpl w:val="AFA6F3C6"/>
    <w:lvl w:ilvl="0" w:tplc="5E3CB98C">
      <w:start w:val="3"/>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75D6E35"/>
    <w:multiLevelType w:val="hybridMultilevel"/>
    <w:tmpl w:val="7AA4498C"/>
    <w:lvl w:ilvl="0" w:tplc="0409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1A32826"/>
    <w:multiLevelType w:val="multilevel"/>
    <w:tmpl w:val="7C1E232C"/>
    <w:lvl w:ilvl="0">
      <w:start w:val="4"/>
      <w:numFmt w:val="decimal"/>
      <w:lvlText w:val="(%1)"/>
      <w:lvlJc w:val="left"/>
      <w:pPr>
        <w:ind w:left="567" w:hanging="567"/>
      </w:pPr>
      <w:rPr>
        <w:rFonts w:hint="default"/>
        <w:b w:val="0"/>
        <w:i w:val="0"/>
        <w:sz w:val="20"/>
      </w:rPr>
    </w:lvl>
    <w:lvl w:ilvl="1">
      <w:start w:val="1"/>
      <w:numFmt w:val="lowerLetter"/>
      <w:lvlText w:val="(%2)"/>
      <w:lvlJc w:val="left"/>
      <w:pPr>
        <w:ind w:left="1134" w:hanging="567"/>
      </w:pPr>
      <w:rPr>
        <w:rFonts w:hint="default"/>
        <w:b w:val="0"/>
        <w:i w:val="0"/>
        <w:sz w:val="20"/>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D514785"/>
    <w:multiLevelType w:val="multilevel"/>
    <w:tmpl w:val="739830AA"/>
    <w:lvl w:ilvl="0">
      <w:start w:val="1"/>
      <w:numFmt w:val="decimal"/>
      <w:lvlText w:val="(%1)"/>
      <w:lvlJc w:val="left"/>
      <w:pPr>
        <w:ind w:left="567" w:hanging="567"/>
      </w:pPr>
      <w:rPr>
        <w:rFonts w:hint="default"/>
        <w:b w:val="0"/>
        <w:i w:val="0"/>
        <w:sz w:val="20"/>
      </w:rPr>
    </w:lvl>
    <w:lvl w:ilvl="1">
      <w:start w:val="1"/>
      <w:numFmt w:val="lowerLetter"/>
      <w:lvlText w:val="(%2)"/>
      <w:lvlJc w:val="left"/>
      <w:pPr>
        <w:ind w:left="1134" w:hanging="567"/>
      </w:pPr>
      <w:rPr>
        <w:rFonts w:hint="default"/>
        <w:b w:val="0"/>
        <w:i w:val="0"/>
        <w:sz w:val="20"/>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D623FC7"/>
    <w:multiLevelType w:val="multilevel"/>
    <w:tmpl w:val="E9FAD7DC"/>
    <w:lvl w:ilvl="0">
      <w:numFmt w:val="bullet"/>
      <w:lvlText w:val="–"/>
      <w:lvlJc w:val="left"/>
      <w:pPr>
        <w:tabs>
          <w:tab w:val="num" w:pos="567"/>
        </w:tabs>
        <w:ind w:left="0" w:firstLine="0"/>
      </w:pPr>
      <w:rPr>
        <w:rFonts w:ascii="Arial" w:eastAsia="Arial" w:hAnsi="Arial" w:hint="default"/>
        <w:color w:val="2D4C61"/>
        <w:w w:val="83"/>
        <w:sz w:val="18"/>
        <w:szCs w:val="18"/>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5EAC2943"/>
    <w:multiLevelType w:val="hybridMultilevel"/>
    <w:tmpl w:val="43A0C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B21A34"/>
    <w:multiLevelType w:val="multilevel"/>
    <w:tmpl w:val="C3DEA398"/>
    <w:lvl w:ilvl="0">
      <w:start w:val="1"/>
      <w:numFmt w:val="lowerRoman"/>
      <w:pStyle w:val="indentihang"/>
      <w:lvlText w:val="(%1)"/>
      <w:lvlJc w:val="right"/>
      <w:pPr>
        <w:tabs>
          <w:tab w:val="num" w:pos="1985"/>
        </w:tabs>
        <w:ind w:left="-424" w:firstLine="2268"/>
      </w:pPr>
      <w:rPr>
        <w:rFonts w:hint="default"/>
        <w:i w:val="0"/>
      </w:rPr>
    </w:lvl>
    <w:lvl w:ilvl="1">
      <w:start w:val="1"/>
      <w:numFmt w:val="lowerLetter"/>
      <w:lvlText w:val="(%2)"/>
      <w:lvlJc w:val="left"/>
      <w:pPr>
        <w:tabs>
          <w:tab w:val="num" w:pos="710"/>
        </w:tabs>
        <w:ind w:left="-424" w:firstLine="567"/>
      </w:pPr>
      <w:rPr>
        <w:rFonts w:hint="default"/>
      </w:rPr>
    </w:lvl>
    <w:lvl w:ilvl="2">
      <w:start w:val="1"/>
      <w:numFmt w:val="lowerRoman"/>
      <w:pStyle w:val="indenti"/>
      <w:lvlText w:val="(%3)"/>
      <w:lvlJc w:val="right"/>
      <w:pPr>
        <w:tabs>
          <w:tab w:val="num" w:pos="1277"/>
        </w:tabs>
        <w:ind w:left="-424" w:firstLine="1134"/>
      </w:pPr>
      <w:rPr>
        <w:rFonts w:hint="default"/>
      </w:rPr>
    </w:lvl>
    <w:lvl w:ilvl="3">
      <w:start w:val="1"/>
      <w:numFmt w:val="bullet"/>
      <w:lvlText w:val=""/>
      <w:lvlJc w:val="left"/>
      <w:pPr>
        <w:tabs>
          <w:tab w:val="num" w:pos="1844"/>
        </w:tabs>
        <w:ind w:left="-424" w:firstLine="1701"/>
      </w:pPr>
      <w:rPr>
        <w:rFonts w:hint="default"/>
      </w:rPr>
    </w:lvl>
    <w:lvl w:ilvl="4">
      <w:start w:val="1"/>
      <w:numFmt w:val="bullet"/>
      <w:lvlText w:val=""/>
      <w:lvlJc w:val="left"/>
      <w:pPr>
        <w:tabs>
          <w:tab w:val="num" w:pos="2411"/>
        </w:tabs>
        <w:ind w:left="-424" w:firstLine="2268"/>
      </w:pPr>
      <w:rPr>
        <w:rFonts w:hint="default"/>
      </w:rPr>
    </w:lvl>
    <w:lvl w:ilvl="5">
      <w:start w:val="1"/>
      <w:numFmt w:val="bullet"/>
      <w:lvlText w:val=""/>
      <w:lvlJc w:val="left"/>
      <w:pPr>
        <w:tabs>
          <w:tab w:val="num" w:pos="2978"/>
        </w:tabs>
        <w:ind w:left="-424" w:firstLine="2835"/>
      </w:pPr>
      <w:rPr>
        <w:rFonts w:hint="default"/>
      </w:rPr>
    </w:lvl>
    <w:lvl w:ilvl="6">
      <w:start w:val="1"/>
      <w:numFmt w:val="bullet"/>
      <w:lvlText w:val=""/>
      <w:lvlJc w:val="left"/>
      <w:pPr>
        <w:tabs>
          <w:tab w:val="num" w:pos="3545"/>
        </w:tabs>
        <w:ind w:left="-424" w:firstLine="3402"/>
      </w:pPr>
      <w:rPr>
        <w:rFonts w:hint="default"/>
      </w:rPr>
    </w:lvl>
    <w:lvl w:ilvl="7">
      <w:start w:val="1"/>
      <w:numFmt w:val="bullet"/>
      <w:lvlText w:val=""/>
      <w:lvlJc w:val="left"/>
      <w:pPr>
        <w:tabs>
          <w:tab w:val="num" w:pos="4111"/>
        </w:tabs>
        <w:ind w:left="-424" w:firstLine="3969"/>
      </w:pPr>
      <w:rPr>
        <w:rFonts w:hint="default"/>
      </w:rPr>
    </w:lvl>
    <w:lvl w:ilvl="8">
      <w:start w:val="1"/>
      <w:numFmt w:val="bullet"/>
      <w:lvlText w:val=""/>
      <w:lvlJc w:val="left"/>
      <w:pPr>
        <w:tabs>
          <w:tab w:val="num" w:pos="4678"/>
        </w:tabs>
        <w:ind w:left="-424" w:firstLine="4535"/>
      </w:pPr>
      <w:rPr>
        <w:rFonts w:hint="default"/>
      </w:rPr>
    </w:lvl>
  </w:abstractNum>
  <w:abstractNum w:abstractNumId="17"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8" w15:restartNumberingAfterBreak="0">
    <w:nsid w:val="6E516502"/>
    <w:multiLevelType w:val="hybridMultilevel"/>
    <w:tmpl w:val="A20E7B02"/>
    <w:lvl w:ilvl="0" w:tplc="0409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70567371"/>
    <w:multiLevelType w:val="multilevel"/>
    <w:tmpl w:val="739830AA"/>
    <w:lvl w:ilvl="0">
      <w:start w:val="1"/>
      <w:numFmt w:val="decimal"/>
      <w:lvlText w:val="(%1)"/>
      <w:lvlJc w:val="left"/>
      <w:pPr>
        <w:ind w:left="567" w:hanging="567"/>
      </w:pPr>
      <w:rPr>
        <w:rFonts w:hint="default"/>
        <w:b w:val="0"/>
        <w:i w:val="0"/>
        <w:sz w:val="20"/>
      </w:rPr>
    </w:lvl>
    <w:lvl w:ilvl="1">
      <w:start w:val="1"/>
      <w:numFmt w:val="lowerLetter"/>
      <w:lvlText w:val="(%2)"/>
      <w:lvlJc w:val="left"/>
      <w:pPr>
        <w:ind w:left="1134" w:hanging="567"/>
      </w:pPr>
      <w:rPr>
        <w:rFonts w:hint="default"/>
        <w:b w:val="0"/>
        <w:i w:val="0"/>
        <w:sz w:val="20"/>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1" w15:restartNumberingAfterBreak="0">
    <w:nsid w:val="7A15530A"/>
    <w:multiLevelType w:val="hybridMultilevel"/>
    <w:tmpl w:val="81E48966"/>
    <w:lvl w:ilvl="0" w:tplc="7988D5A4">
      <w:start w:val="4"/>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1B4DA6"/>
    <w:multiLevelType w:val="multilevel"/>
    <w:tmpl w:val="4CFCCA7C"/>
    <w:lvl w:ilvl="0">
      <w:numFmt w:val="bullet"/>
      <w:pStyle w:val="Bulletedlistlevel2"/>
      <w:lvlText w:val="–"/>
      <w:lvlJc w:val="left"/>
      <w:pPr>
        <w:tabs>
          <w:tab w:val="num" w:pos="567"/>
        </w:tabs>
        <w:ind w:left="0" w:firstLine="0"/>
      </w:pPr>
      <w:rPr>
        <w:rFonts w:ascii="Arial" w:eastAsia="Arial" w:hAnsi="Arial" w:hint="default"/>
        <w:color w:val="2D4C61"/>
        <w:w w:val="83"/>
        <w:sz w:val="18"/>
        <w:szCs w:val="18"/>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11"/>
  </w:num>
  <w:num w:numId="2">
    <w:abstractNumId w:val="3"/>
  </w:num>
  <w:num w:numId="3">
    <w:abstractNumId w:val="4"/>
  </w:num>
  <w:num w:numId="4">
    <w:abstractNumId w:val="16"/>
  </w:num>
  <w:num w:numId="5">
    <w:abstractNumId w:val="5"/>
  </w:num>
  <w:num w:numId="6">
    <w:abstractNumId w:val="5"/>
    <w:lvlOverride w:ilvl="0">
      <w:startOverride w:val="1"/>
    </w:lvlOverride>
  </w:num>
  <w:num w:numId="7">
    <w:abstractNumId w:val="19"/>
  </w:num>
  <w:num w:numId="8">
    <w:abstractNumId w:val="13"/>
  </w:num>
  <w:num w:numId="9">
    <w:abstractNumId w:val="12"/>
  </w:num>
  <w:num w:numId="10">
    <w:abstractNumId w:val="2"/>
  </w:num>
  <w:num w:numId="11">
    <w:abstractNumId w:val="6"/>
  </w:num>
  <w:num w:numId="12">
    <w:abstractNumId w:val="7"/>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3"/>
  </w:num>
  <w:num w:numId="16">
    <w:abstractNumId w:val="9"/>
  </w:num>
  <w:num w:numId="17">
    <w:abstractNumId w:val="8"/>
  </w:num>
  <w:num w:numId="18">
    <w:abstractNumId w:val="0"/>
  </w:num>
  <w:num w:numId="19">
    <w:abstractNumId w:val="15"/>
  </w:num>
  <w:num w:numId="20">
    <w:abstractNumId w:val="21"/>
  </w:num>
  <w:num w:numId="21">
    <w:abstractNumId w:val="20"/>
  </w:num>
  <w:num w:numId="22">
    <w:abstractNumId w:val="17"/>
  </w:num>
  <w:num w:numId="23">
    <w:abstractNumId w:val="3"/>
  </w:num>
  <w:num w:numId="24">
    <w:abstractNumId w:val="3"/>
  </w:num>
  <w:num w:numId="25">
    <w:abstractNumId w:val="10"/>
  </w:num>
  <w:num w:numId="26">
    <w:abstractNumId w:val="18"/>
  </w:num>
  <w:num w:numId="27">
    <w:abstractNumId w:val="1"/>
  </w:num>
  <w:num w:numId="28">
    <w:abstractNumId w:val="3"/>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3"/>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activeWritingStyle w:appName="MSWord" w:lang="fr-CH"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131078" w:nlCheck="1" w:checkStyle="1"/>
  <w:activeWritingStyle w:appName="MSWord" w:lang="fr-CH" w:vendorID="64" w:dllVersion="131078" w:nlCheck="1" w:checkStyle="0"/>
  <w:activeWritingStyle w:appName="MSWord" w:lang="fr-FR" w:vendorID="64" w:dllVersion="131078"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numRestart w:val="eachSect"/>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
    <w:docVar w:name="TermBaseURL" w:val="empty"/>
    <w:docVar w:name="TextBases" w:val="TextBase TMs\WorkspaceFTS\Brands, Designs &amp; DN\AMC|TextBase TMs\WorkspaceFTS\Brands, Designs &amp; DN\Lisbon|TextBase TMs\WorkspaceFTS\Administration &amp; Finance\Administration|TextBase TMs\WorkspaceFTS\Administration &amp; Finance\PBC|TextBase TMs\WorkspaceFTS\Brands, Designs &amp; DN\AMC|TextBase TMs\WorkspaceFTS\Brands, Designs &amp; DN\Brands|TextBase TMs\WorkspaceFTS\Brands, Designs &amp; DN\Madrid|TextBase TMs\WorkspaceFTS\Copyright\Copyright|TextBase TMs\WorkspaceFTS\Development\Development|TextBase TMs\WorkspaceFTS\GRTKF\GRTKF|TextBase TMs\WorkspaceFTS\Outreach\ACE|TextBase TMs\WorkspaceFTS\Outreach\Outreach|TextBase TMs\WorkspaceFTS\Outreach\Publications|TextBase TMs\WorkspaceFTS\Patents &amp; Innovation\CWS|TextBase TMs\WorkspaceFTS\Patents &amp; Innovation\IPC|TextBase TMs\WorkspaceFTS\Patents &amp; Innovation\Patents|TextBase TMs\WorkspaceFTS\xLegacy\Academy|TextBase TMs\WorkspaceFTS\Administration &amp; Finance\Administration|TextBase TMs\WorkspaceFTS\GRTKF\GRTKF|TextBase TMs\WorkspaceFTS\Outreach\Academy|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SCP|TextBase TMs\WorkspaceFTS\Treaties &amp; Laws\WIPO Lex|TextBase TMs\WorkspaceFTS\Treaties &amp; Laws\WIPO Treaties|TextBase TMs\WorkspaceFTS\xLegacy\Academy|TextBase TMs\WorkspaceFTS\xLegacy\UPOV|TextBase TMs\WorkspaceFTS\UPOV\TGs|TextBase TMs\WorkspaceFTS\UPOV\UPOV|Team Server TMs\French"/>
    <w:docVar w:name="TextBaseURL" w:val="empty"/>
    <w:docVar w:name="UILng" w:val="en"/>
  </w:docVars>
  <w:rsids>
    <w:rsidRoot w:val="00542F78"/>
    <w:rsid w:val="00000892"/>
    <w:rsid w:val="000008C3"/>
    <w:rsid w:val="00000F01"/>
    <w:rsid w:val="0000297F"/>
    <w:rsid w:val="00003E5B"/>
    <w:rsid w:val="00004585"/>
    <w:rsid w:val="0001085B"/>
    <w:rsid w:val="0001191C"/>
    <w:rsid w:val="00011D22"/>
    <w:rsid w:val="00013855"/>
    <w:rsid w:val="000155F3"/>
    <w:rsid w:val="00015994"/>
    <w:rsid w:val="0002050C"/>
    <w:rsid w:val="00022BB9"/>
    <w:rsid w:val="00022C93"/>
    <w:rsid w:val="00025E1C"/>
    <w:rsid w:val="00030A9F"/>
    <w:rsid w:val="00033AB1"/>
    <w:rsid w:val="00034A79"/>
    <w:rsid w:val="0003519F"/>
    <w:rsid w:val="00036ACF"/>
    <w:rsid w:val="00037AB2"/>
    <w:rsid w:val="000403CF"/>
    <w:rsid w:val="00042A75"/>
    <w:rsid w:val="00042B9A"/>
    <w:rsid w:val="00043317"/>
    <w:rsid w:val="00043CAA"/>
    <w:rsid w:val="00045788"/>
    <w:rsid w:val="00045E29"/>
    <w:rsid w:val="0005318F"/>
    <w:rsid w:val="0005525C"/>
    <w:rsid w:val="00055277"/>
    <w:rsid w:val="00056816"/>
    <w:rsid w:val="00056C7C"/>
    <w:rsid w:val="0005780E"/>
    <w:rsid w:val="0006136B"/>
    <w:rsid w:val="00063830"/>
    <w:rsid w:val="000642D5"/>
    <w:rsid w:val="000660B4"/>
    <w:rsid w:val="00066203"/>
    <w:rsid w:val="000665EA"/>
    <w:rsid w:val="0006733D"/>
    <w:rsid w:val="000679A0"/>
    <w:rsid w:val="0007084E"/>
    <w:rsid w:val="00070B3C"/>
    <w:rsid w:val="00072C3B"/>
    <w:rsid w:val="00075432"/>
    <w:rsid w:val="0007670B"/>
    <w:rsid w:val="00076E3D"/>
    <w:rsid w:val="00076F68"/>
    <w:rsid w:val="00080010"/>
    <w:rsid w:val="0008034C"/>
    <w:rsid w:val="000819B8"/>
    <w:rsid w:val="00083FBD"/>
    <w:rsid w:val="00087BC2"/>
    <w:rsid w:val="000909BE"/>
    <w:rsid w:val="000912DA"/>
    <w:rsid w:val="00091422"/>
    <w:rsid w:val="000918A2"/>
    <w:rsid w:val="000943D8"/>
    <w:rsid w:val="000968ED"/>
    <w:rsid w:val="00097887"/>
    <w:rsid w:val="000A04BA"/>
    <w:rsid w:val="000A1CC7"/>
    <w:rsid w:val="000A264E"/>
    <w:rsid w:val="000A3D97"/>
    <w:rsid w:val="000A4C81"/>
    <w:rsid w:val="000A60FF"/>
    <w:rsid w:val="000A775B"/>
    <w:rsid w:val="000A7826"/>
    <w:rsid w:val="000A7D3E"/>
    <w:rsid w:val="000B26D1"/>
    <w:rsid w:val="000B2AE2"/>
    <w:rsid w:val="000B37EC"/>
    <w:rsid w:val="000B4D8E"/>
    <w:rsid w:val="000B70A5"/>
    <w:rsid w:val="000C0D51"/>
    <w:rsid w:val="000C40B9"/>
    <w:rsid w:val="000C561F"/>
    <w:rsid w:val="000C6860"/>
    <w:rsid w:val="000C77CA"/>
    <w:rsid w:val="000C7FE1"/>
    <w:rsid w:val="000D1A21"/>
    <w:rsid w:val="000D44AB"/>
    <w:rsid w:val="000D4B60"/>
    <w:rsid w:val="000D5B71"/>
    <w:rsid w:val="000D6624"/>
    <w:rsid w:val="000D665D"/>
    <w:rsid w:val="000E1429"/>
    <w:rsid w:val="000E2FFA"/>
    <w:rsid w:val="000E5962"/>
    <w:rsid w:val="000F1687"/>
    <w:rsid w:val="000F1C9F"/>
    <w:rsid w:val="000F28BB"/>
    <w:rsid w:val="000F4819"/>
    <w:rsid w:val="000F580A"/>
    <w:rsid w:val="000F5E56"/>
    <w:rsid w:val="000F613A"/>
    <w:rsid w:val="000F779C"/>
    <w:rsid w:val="000F7AFF"/>
    <w:rsid w:val="001008ED"/>
    <w:rsid w:val="001011A3"/>
    <w:rsid w:val="00101BCD"/>
    <w:rsid w:val="00111874"/>
    <w:rsid w:val="00112BED"/>
    <w:rsid w:val="00112FBE"/>
    <w:rsid w:val="001134A8"/>
    <w:rsid w:val="001155FF"/>
    <w:rsid w:val="0011611C"/>
    <w:rsid w:val="0011763C"/>
    <w:rsid w:val="00123C01"/>
    <w:rsid w:val="001256DB"/>
    <w:rsid w:val="00125A87"/>
    <w:rsid w:val="0012706C"/>
    <w:rsid w:val="00132873"/>
    <w:rsid w:val="00132CFC"/>
    <w:rsid w:val="00132F72"/>
    <w:rsid w:val="0013315E"/>
    <w:rsid w:val="00133B13"/>
    <w:rsid w:val="00133D6C"/>
    <w:rsid w:val="00135F0D"/>
    <w:rsid w:val="001362EE"/>
    <w:rsid w:val="00140C49"/>
    <w:rsid w:val="001416B5"/>
    <w:rsid w:val="001418DA"/>
    <w:rsid w:val="00141DBB"/>
    <w:rsid w:val="00142686"/>
    <w:rsid w:val="001427BD"/>
    <w:rsid w:val="00142F3D"/>
    <w:rsid w:val="0014523F"/>
    <w:rsid w:val="00145848"/>
    <w:rsid w:val="0014585A"/>
    <w:rsid w:val="001459FB"/>
    <w:rsid w:val="001502D6"/>
    <w:rsid w:val="00151AA9"/>
    <w:rsid w:val="001566C8"/>
    <w:rsid w:val="00156E09"/>
    <w:rsid w:val="0016209F"/>
    <w:rsid w:val="00162110"/>
    <w:rsid w:val="00162741"/>
    <w:rsid w:val="001647D5"/>
    <w:rsid w:val="0016520C"/>
    <w:rsid w:val="00166017"/>
    <w:rsid w:val="00166617"/>
    <w:rsid w:val="0016764E"/>
    <w:rsid w:val="0017116C"/>
    <w:rsid w:val="00171D46"/>
    <w:rsid w:val="00172326"/>
    <w:rsid w:val="00173012"/>
    <w:rsid w:val="001737FC"/>
    <w:rsid w:val="00174D01"/>
    <w:rsid w:val="001763AA"/>
    <w:rsid w:val="00177CC2"/>
    <w:rsid w:val="001814CD"/>
    <w:rsid w:val="001832A6"/>
    <w:rsid w:val="001853A9"/>
    <w:rsid w:val="001855AB"/>
    <w:rsid w:val="00187708"/>
    <w:rsid w:val="001A0CCA"/>
    <w:rsid w:val="001A3588"/>
    <w:rsid w:val="001A6850"/>
    <w:rsid w:val="001A6B8B"/>
    <w:rsid w:val="001B05DF"/>
    <w:rsid w:val="001C18E7"/>
    <w:rsid w:val="001D056C"/>
    <w:rsid w:val="001D1E05"/>
    <w:rsid w:val="001D2116"/>
    <w:rsid w:val="001D212D"/>
    <w:rsid w:val="001D4107"/>
    <w:rsid w:val="001D519E"/>
    <w:rsid w:val="001D52BE"/>
    <w:rsid w:val="001D6646"/>
    <w:rsid w:val="001D749C"/>
    <w:rsid w:val="001E0519"/>
    <w:rsid w:val="001E0999"/>
    <w:rsid w:val="001E1191"/>
    <w:rsid w:val="001E135C"/>
    <w:rsid w:val="001E6A40"/>
    <w:rsid w:val="001E6EE5"/>
    <w:rsid w:val="001E795B"/>
    <w:rsid w:val="001E7D53"/>
    <w:rsid w:val="001F0B8A"/>
    <w:rsid w:val="001F2F52"/>
    <w:rsid w:val="001F6C2F"/>
    <w:rsid w:val="001F7519"/>
    <w:rsid w:val="001F75EF"/>
    <w:rsid w:val="00201F19"/>
    <w:rsid w:val="00203D24"/>
    <w:rsid w:val="00207DAE"/>
    <w:rsid w:val="00211544"/>
    <w:rsid w:val="0021217E"/>
    <w:rsid w:val="00217ED4"/>
    <w:rsid w:val="00221B92"/>
    <w:rsid w:val="00222E5C"/>
    <w:rsid w:val="00222EEA"/>
    <w:rsid w:val="00230088"/>
    <w:rsid w:val="002308ED"/>
    <w:rsid w:val="002310ED"/>
    <w:rsid w:val="002313B5"/>
    <w:rsid w:val="00234A90"/>
    <w:rsid w:val="002361FD"/>
    <w:rsid w:val="00237CC9"/>
    <w:rsid w:val="00241EE9"/>
    <w:rsid w:val="002432F7"/>
    <w:rsid w:val="00243430"/>
    <w:rsid w:val="0024397B"/>
    <w:rsid w:val="00245CB2"/>
    <w:rsid w:val="00246B98"/>
    <w:rsid w:val="00251ACB"/>
    <w:rsid w:val="00256ED1"/>
    <w:rsid w:val="002606F8"/>
    <w:rsid w:val="002634C4"/>
    <w:rsid w:val="002635C5"/>
    <w:rsid w:val="00263FDC"/>
    <w:rsid w:val="0026706B"/>
    <w:rsid w:val="00267E9F"/>
    <w:rsid w:val="002704F1"/>
    <w:rsid w:val="00270ED3"/>
    <w:rsid w:val="002732A4"/>
    <w:rsid w:val="002765FC"/>
    <w:rsid w:val="0027715D"/>
    <w:rsid w:val="00283E31"/>
    <w:rsid w:val="00285553"/>
    <w:rsid w:val="0028668A"/>
    <w:rsid w:val="00287074"/>
    <w:rsid w:val="00291E9B"/>
    <w:rsid w:val="002925C4"/>
    <w:rsid w:val="002928D3"/>
    <w:rsid w:val="00292ACA"/>
    <w:rsid w:val="00292F17"/>
    <w:rsid w:val="00294C2E"/>
    <w:rsid w:val="00297517"/>
    <w:rsid w:val="00297806"/>
    <w:rsid w:val="002A0025"/>
    <w:rsid w:val="002A077A"/>
    <w:rsid w:val="002A3678"/>
    <w:rsid w:val="002A3C3C"/>
    <w:rsid w:val="002A74E6"/>
    <w:rsid w:val="002A7FC2"/>
    <w:rsid w:val="002B067A"/>
    <w:rsid w:val="002B443A"/>
    <w:rsid w:val="002B4D17"/>
    <w:rsid w:val="002B5869"/>
    <w:rsid w:val="002B7AFC"/>
    <w:rsid w:val="002C01BA"/>
    <w:rsid w:val="002C01CB"/>
    <w:rsid w:val="002C1FA2"/>
    <w:rsid w:val="002C2241"/>
    <w:rsid w:val="002C2885"/>
    <w:rsid w:val="002C429D"/>
    <w:rsid w:val="002C4447"/>
    <w:rsid w:val="002C53CC"/>
    <w:rsid w:val="002C59F0"/>
    <w:rsid w:val="002C7AC3"/>
    <w:rsid w:val="002D2E4A"/>
    <w:rsid w:val="002D343F"/>
    <w:rsid w:val="002D40B5"/>
    <w:rsid w:val="002E0FC0"/>
    <w:rsid w:val="002E2ADC"/>
    <w:rsid w:val="002E2BE4"/>
    <w:rsid w:val="002E2D0F"/>
    <w:rsid w:val="002E3178"/>
    <w:rsid w:val="002E380F"/>
    <w:rsid w:val="002F0016"/>
    <w:rsid w:val="002F1FE6"/>
    <w:rsid w:val="002F3B55"/>
    <w:rsid w:val="002F4E68"/>
    <w:rsid w:val="002F716D"/>
    <w:rsid w:val="0030654F"/>
    <w:rsid w:val="00306845"/>
    <w:rsid w:val="003069CB"/>
    <w:rsid w:val="003079EB"/>
    <w:rsid w:val="00311DAC"/>
    <w:rsid w:val="00312F7F"/>
    <w:rsid w:val="00312FCE"/>
    <w:rsid w:val="003148F7"/>
    <w:rsid w:val="003155EF"/>
    <w:rsid w:val="003211FA"/>
    <w:rsid w:val="003217D4"/>
    <w:rsid w:val="003218DB"/>
    <w:rsid w:val="0032283C"/>
    <w:rsid w:val="003247A9"/>
    <w:rsid w:val="00324C35"/>
    <w:rsid w:val="00326C14"/>
    <w:rsid w:val="00327709"/>
    <w:rsid w:val="003330E7"/>
    <w:rsid w:val="0033353D"/>
    <w:rsid w:val="00336B90"/>
    <w:rsid w:val="0033756D"/>
    <w:rsid w:val="00342B2F"/>
    <w:rsid w:val="003436F2"/>
    <w:rsid w:val="003467CB"/>
    <w:rsid w:val="00346DCB"/>
    <w:rsid w:val="00351B20"/>
    <w:rsid w:val="00353D7D"/>
    <w:rsid w:val="00354B85"/>
    <w:rsid w:val="00354FAE"/>
    <w:rsid w:val="003601E2"/>
    <w:rsid w:val="00361450"/>
    <w:rsid w:val="003614E0"/>
    <w:rsid w:val="003673CF"/>
    <w:rsid w:val="00372ED7"/>
    <w:rsid w:val="0037410C"/>
    <w:rsid w:val="003758C3"/>
    <w:rsid w:val="00376222"/>
    <w:rsid w:val="00376D37"/>
    <w:rsid w:val="003813B1"/>
    <w:rsid w:val="0038329C"/>
    <w:rsid w:val="003845C1"/>
    <w:rsid w:val="00384EF6"/>
    <w:rsid w:val="003861D5"/>
    <w:rsid w:val="003869E9"/>
    <w:rsid w:val="00386F89"/>
    <w:rsid w:val="00387D66"/>
    <w:rsid w:val="003919C3"/>
    <w:rsid w:val="00392573"/>
    <w:rsid w:val="003926E8"/>
    <w:rsid w:val="00392962"/>
    <w:rsid w:val="00392FE0"/>
    <w:rsid w:val="0039441F"/>
    <w:rsid w:val="003961B7"/>
    <w:rsid w:val="00396739"/>
    <w:rsid w:val="003972C0"/>
    <w:rsid w:val="003A189D"/>
    <w:rsid w:val="003A2A5D"/>
    <w:rsid w:val="003A505E"/>
    <w:rsid w:val="003A5793"/>
    <w:rsid w:val="003A6243"/>
    <w:rsid w:val="003A6F89"/>
    <w:rsid w:val="003A74B9"/>
    <w:rsid w:val="003A7876"/>
    <w:rsid w:val="003B0DB3"/>
    <w:rsid w:val="003B38C1"/>
    <w:rsid w:val="003B4B81"/>
    <w:rsid w:val="003C0BA8"/>
    <w:rsid w:val="003C34E9"/>
    <w:rsid w:val="003C46A9"/>
    <w:rsid w:val="003C6B51"/>
    <w:rsid w:val="003C73DA"/>
    <w:rsid w:val="003D083F"/>
    <w:rsid w:val="003D0911"/>
    <w:rsid w:val="003D3D9B"/>
    <w:rsid w:val="003D4895"/>
    <w:rsid w:val="003D566A"/>
    <w:rsid w:val="003E0715"/>
    <w:rsid w:val="003E1341"/>
    <w:rsid w:val="003E340C"/>
    <w:rsid w:val="003E477C"/>
    <w:rsid w:val="003E50AD"/>
    <w:rsid w:val="003E5757"/>
    <w:rsid w:val="003E5E20"/>
    <w:rsid w:val="003E7B52"/>
    <w:rsid w:val="003F790B"/>
    <w:rsid w:val="0040225F"/>
    <w:rsid w:val="00402CD8"/>
    <w:rsid w:val="00403E96"/>
    <w:rsid w:val="00404417"/>
    <w:rsid w:val="00405916"/>
    <w:rsid w:val="00406A52"/>
    <w:rsid w:val="00410E98"/>
    <w:rsid w:val="00411018"/>
    <w:rsid w:val="00414146"/>
    <w:rsid w:val="00414392"/>
    <w:rsid w:val="00415AD9"/>
    <w:rsid w:val="00415C36"/>
    <w:rsid w:val="00421268"/>
    <w:rsid w:val="00423973"/>
    <w:rsid w:val="00423E3E"/>
    <w:rsid w:val="004243F5"/>
    <w:rsid w:val="0042460A"/>
    <w:rsid w:val="00426BF9"/>
    <w:rsid w:val="00427AF4"/>
    <w:rsid w:val="00430D58"/>
    <w:rsid w:val="00430F9F"/>
    <w:rsid w:val="0043156E"/>
    <w:rsid w:val="00435E97"/>
    <w:rsid w:val="00435ED7"/>
    <w:rsid w:val="004362D2"/>
    <w:rsid w:val="00436377"/>
    <w:rsid w:val="004373C2"/>
    <w:rsid w:val="00437AD8"/>
    <w:rsid w:val="00437C06"/>
    <w:rsid w:val="00443120"/>
    <w:rsid w:val="00444568"/>
    <w:rsid w:val="00444580"/>
    <w:rsid w:val="00444C06"/>
    <w:rsid w:val="004516D6"/>
    <w:rsid w:val="00452E43"/>
    <w:rsid w:val="004537B6"/>
    <w:rsid w:val="00456E02"/>
    <w:rsid w:val="00457A4F"/>
    <w:rsid w:val="004647DA"/>
    <w:rsid w:val="004657E3"/>
    <w:rsid w:val="0047019B"/>
    <w:rsid w:val="00471BCF"/>
    <w:rsid w:val="00474062"/>
    <w:rsid w:val="00474ABA"/>
    <w:rsid w:val="00475D83"/>
    <w:rsid w:val="00477D6B"/>
    <w:rsid w:val="00483F73"/>
    <w:rsid w:val="00484465"/>
    <w:rsid w:val="00487482"/>
    <w:rsid w:val="00490F99"/>
    <w:rsid w:val="004919F3"/>
    <w:rsid w:val="00492032"/>
    <w:rsid w:val="0049411C"/>
    <w:rsid w:val="00495216"/>
    <w:rsid w:val="0049561B"/>
    <w:rsid w:val="004971C9"/>
    <w:rsid w:val="00497752"/>
    <w:rsid w:val="00497FD3"/>
    <w:rsid w:val="004A04CC"/>
    <w:rsid w:val="004A1923"/>
    <w:rsid w:val="004A1A75"/>
    <w:rsid w:val="004A1CAA"/>
    <w:rsid w:val="004A2F39"/>
    <w:rsid w:val="004A7C3A"/>
    <w:rsid w:val="004B254F"/>
    <w:rsid w:val="004B294B"/>
    <w:rsid w:val="004B2AA0"/>
    <w:rsid w:val="004B420C"/>
    <w:rsid w:val="004C04AE"/>
    <w:rsid w:val="004C0946"/>
    <w:rsid w:val="004C4104"/>
    <w:rsid w:val="004C5B4C"/>
    <w:rsid w:val="004C7ECA"/>
    <w:rsid w:val="004D1215"/>
    <w:rsid w:val="004D133F"/>
    <w:rsid w:val="004D1738"/>
    <w:rsid w:val="004D385F"/>
    <w:rsid w:val="004D65EA"/>
    <w:rsid w:val="004E1708"/>
    <w:rsid w:val="004E28A6"/>
    <w:rsid w:val="004E380F"/>
    <w:rsid w:val="004E73E5"/>
    <w:rsid w:val="004F0957"/>
    <w:rsid w:val="004F2895"/>
    <w:rsid w:val="004F465E"/>
    <w:rsid w:val="004F46F2"/>
    <w:rsid w:val="004F53F3"/>
    <w:rsid w:val="004F6068"/>
    <w:rsid w:val="004F6240"/>
    <w:rsid w:val="005019FF"/>
    <w:rsid w:val="00504BB1"/>
    <w:rsid w:val="00505691"/>
    <w:rsid w:val="005107E4"/>
    <w:rsid w:val="00511390"/>
    <w:rsid w:val="0051175B"/>
    <w:rsid w:val="00511FF4"/>
    <w:rsid w:val="00514178"/>
    <w:rsid w:val="00515B76"/>
    <w:rsid w:val="00516D54"/>
    <w:rsid w:val="00517FBC"/>
    <w:rsid w:val="005200DD"/>
    <w:rsid w:val="00520188"/>
    <w:rsid w:val="005250FE"/>
    <w:rsid w:val="005252CC"/>
    <w:rsid w:val="00525AD3"/>
    <w:rsid w:val="0052722C"/>
    <w:rsid w:val="00527F9C"/>
    <w:rsid w:val="0053057A"/>
    <w:rsid w:val="005348BA"/>
    <w:rsid w:val="005360DD"/>
    <w:rsid w:val="00536BD8"/>
    <w:rsid w:val="005422E6"/>
    <w:rsid w:val="00542F78"/>
    <w:rsid w:val="0054695B"/>
    <w:rsid w:val="0055091D"/>
    <w:rsid w:val="0055123A"/>
    <w:rsid w:val="00552228"/>
    <w:rsid w:val="00552761"/>
    <w:rsid w:val="0055290C"/>
    <w:rsid w:val="00553A93"/>
    <w:rsid w:val="00554C55"/>
    <w:rsid w:val="00554C94"/>
    <w:rsid w:val="00555FC4"/>
    <w:rsid w:val="00555FC5"/>
    <w:rsid w:val="00556076"/>
    <w:rsid w:val="00556656"/>
    <w:rsid w:val="00557C9D"/>
    <w:rsid w:val="00560A29"/>
    <w:rsid w:val="00563B0D"/>
    <w:rsid w:val="00563B40"/>
    <w:rsid w:val="00564A7B"/>
    <w:rsid w:val="00564C3A"/>
    <w:rsid w:val="005667F4"/>
    <w:rsid w:val="00567020"/>
    <w:rsid w:val="005672E3"/>
    <w:rsid w:val="00573300"/>
    <w:rsid w:val="00575BD9"/>
    <w:rsid w:val="00577FE1"/>
    <w:rsid w:val="00580F79"/>
    <w:rsid w:val="00581876"/>
    <w:rsid w:val="005829EF"/>
    <w:rsid w:val="00584163"/>
    <w:rsid w:val="00587726"/>
    <w:rsid w:val="00592E14"/>
    <w:rsid w:val="00593E53"/>
    <w:rsid w:val="00594030"/>
    <w:rsid w:val="005A1683"/>
    <w:rsid w:val="005B19DA"/>
    <w:rsid w:val="005B34EC"/>
    <w:rsid w:val="005B5CA1"/>
    <w:rsid w:val="005B771C"/>
    <w:rsid w:val="005C41F3"/>
    <w:rsid w:val="005C4F91"/>
    <w:rsid w:val="005C50A8"/>
    <w:rsid w:val="005C6649"/>
    <w:rsid w:val="005D1336"/>
    <w:rsid w:val="005D19C3"/>
    <w:rsid w:val="005D5697"/>
    <w:rsid w:val="005E0C04"/>
    <w:rsid w:val="005E26FE"/>
    <w:rsid w:val="005E43F0"/>
    <w:rsid w:val="005E4442"/>
    <w:rsid w:val="005E44DD"/>
    <w:rsid w:val="005E5EC7"/>
    <w:rsid w:val="005E7885"/>
    <w:rsid w:val="005E7B6C"/>
    <w:rsid w:val="005F35D8"/>
    <w:rsid w:val="005F577F"/>
    <w:rsid w:val="005F7A9B"/>
    <w:rsid w:val="00600D7F"/>
    <w:rsid w:val="0060221C"/>
    <w:rsid w:val="00605827"/>
    <w:rsid w:val="00606BDE"/>
    <w:rsid w:val="00607409"/>
    <w:rsid w:val="00607C65"/>
    <w:rsid w:val="00607CD3"/>
    <w:rsid w:val="00610874"/>
    <w:rsid w:val="006130FA"/>
    <w:rsid w:val="006138AF"/>
    <w:rsid w:val="006142AA"/>
    <w:rsid w:val="00617478"/>
    <w:rsid w:val="0062119F"/>
    <w:rsid w:val="00621780"/>
    <w:rsid w:val="00622642"/>
    <w:rsid w:val="00623AD2"/>
    <w:rsid w:val="00624285"/>
    <w:rsid w:val="0063059E"/>
    <w:rsid w:val="00631277"/>
    <w:rsid w:val="00632D7F"/>
    <w:rsid w:val="0063405E"/>
    <w:rsid w:val="00635015"/>
    <w:rsid w:val="00637936"/>
    <w:rsid w:val="00637F8D"/>
    <w:rsid w:val="00640ACD"/>
    <w:rsid w:val="00642488"/>
    <w:rsid w:val="0064479B"/>
    <w:rsid w:val="00646050"/>
    <w:rsid w:val="00646270"/>
    <w:rsid w:val="006462D9"/>
    <w:rsid w:val="00652385"/>
    <w:rsid w:val="00652660"/>
    <w:rsid w:val="00654010"/>
    <w:rsid w:val="006540FD"/>
    <w:rsid w:val="00654517"/>
    <w:rsid w:val="006550B8"/>
    <w:rsid w:val="00655BE0"/>
    <w:rsid w:val="00655EE0"/>
    <w:rsid w:val="00656457"/>
    <w:rsid w:val="0066138A"/>
    <w:rsid w:val="006624AB"/>
    <w:rsid w:val="00664212"/>
    <w:rsid w:val="006650D0"/>
    <w:rsid w:val="0066593C"/>
    <w:rsid w:val="00667B16"/>
    <w:rsid w:val="006710BB"/>
    <w:rsid w:val="006713CA"/>
    <w:rsid w:val="00674EAE"/>
    <w:rsid w:val="0067514F"/>
    <w:rsid w:val="00676C5C"/>
    <w:rsid w:val="00680ADF"/>
    <w:rsid w:val="00682960"/>
    <w:rsid w:val="00683187"/>
    <w:rsid w:val="00685D23"/>
    <w:rsid w:val="0069039A"/>
    <w:rsid w:val="00690C35"/>
    <w:rsid w:val="00693D82"/>
    <w:rsid w:val="00694289"/>
    <w:rsid w:val="006A409A"/>
    <w:rsid w:val="006A4B3E"/>
    <w:rsid w:val="006A51AA"/>
    <w:rsid w:val="006B29F2"/>
    <w:rsid w:val="006B2BF7"/>
    <w:rsid w:val="006B310D"/>
    <w:rsid w:val="006B3E13"/>
    <w:rsid w:val="006C095A"/>
    <w:rsid w:val="006C468D"/>
    <w:rsid w:val="006C5864"/>
    <w:rsid w:val="006C5A62"/>
    <w:rsid w:val="006D5BE7"/>
    <w:rsid w:val="006D6A5F"/>
    <w:rsid w:val="006D78CC"/>
    <w:rsid w:val="006E1B1D"/>
    <w:rsid w:val="006F11CE"/>
    <w:rsid w:val="006F13D4"/>
    <w:rsid w:val="006F1FFA"/>
    <w:rsid w:val="006F2488"/>
    <w:rsid w:val="006F68E2"/>
    <w:rsid w:val="00702349"/>
    <w:rsid w:val="007025E6"/>
    <w:rsid w:val="00703421"/>
    <w:rsid w:val="0070362D"/>
    <w:rsid w:val="00703C43"/>
    <w:rsid w:val="00704D3F"/>
    <w:rsid w:val="00706CC5"/>
    <w:rsid w:val="00706E96"/>
    <w:rsid w:val="00707ADC"/>
    <w:rsid w:val="007112FC"/>
    <w:rsid w:val="0071294A"/>
    <w:rsid w:val="00712DE6"/>
    <w:rsid w:val="00714C22"/>
    <w:rsid w:val="00720035"/>
    <w:rsid w:val="00720DC2"/>
    <w:rsid w:val="00720EFD"/>
    <w:rsid w:val="00721838"/>
    <w:rsid w:val="007228C6"/>
    <w:rsid w:val="007254DB"/>
    <w:rsid w:val="00727D71"/>
    <w:rsid w:val="00730243"/>
    <w:rsid w:val="00730570"/>
    <w:rsid w:val="00731562"/>
    <w:rsid w:val="007335B8"/>
    <w:rsid w:val="00733600"/>
    <w:rsid w:val="007343CE"/>
    <w:rsid w:val="00737D47"/>
    <w:rsid w:val="00740A0B"/>
    <w:rsid w:val="00741E79"/>
    <w:rsid w:val="00742151"/>
    <w:rsid w:val="00742AB9"/>
    <w:rsid w:val="007431D7"/>
    <w:rsid w:val="007434E1"/>
    <w:rsid w:val="00743803"/>
    <w:rsid w:val="007478F7"/>
    <w:rsid w:val="00753206"/>
    <w:rsid w:val="0075521B"/>
    <w:rsid w:val="007568E2"/>
    <w:rsid w:val="00756D72"/>
    <w:rsid w:val="00761C0A"/>
    <w:rsid w:val="00764308"/>
    <w:rsid w:val="00764870"/>
    <w:rsid w:val="00764940"/>
    <w:rsid w:val="00765019"/>
    <w:rsid w:val="00766F06"/>
    <w:rsid w:val="007706DA"/>
    <w:rsid w:val="0077147B"/>
    <w:rsid w:val="00771FCF"/>
    <w:rsid w:val="007724FC"/>
    <w:rsid w:val="007737AA"/>
    <w:rsid w:val="00773957"/>
    <w:rsid w:val="007763BA"/>
    <w:rsid w:val="00777009"/>
    <w:rsid w:val="00777F2F"/>
    <w:rsid w:val="00780ED6"/>
    <w:rsid w:val="007863F5"/>
    <w:rsid w:val="00786EFB"/>
    <w:rsid w:val="00787F9C"/>
    <w:rsid w:val="00790512"/>
    <w:rsid w:val="007923CC"/>
    <w:rsid w:val="00792BBA"/>
    <w:rsid w:val="007933B9"/>
    <w:rsid w:val="00793A7C"/>
    <w:rsid w:val="0079434F"/>
    <w:rsid w:val="00794AF3"/>
    <w:rsid w:val="007A398A"/>
    <w:rsid w:val="007A3FBF"/>
    <w:rsid w:val="007A4C2A"/>
    <w:rsid w:val="007A53DD"/>
    <w:rsid w:val="007A5F5F"/>
    <w:rsid w:val="007A7ECE"/>
    <w:rsid w:val="007B0BAD"/>
    <w:rsid w:val="007B1A5C"/>
    <w:rsid w:val="007B1BFF"/>
    <w:rsid w:val="007B26C3"/>
    <w:rsid w:val="007B4185"/>
    <w:rsid w:val="007B4258"/>
    <w:rsid w:val="007B435D"/>
    <w:rsid w:val="007B448F"/>
    <w:rsid w:val="007B500D"/>
    <w:rsid w:val="007B6179"/>
    <w:rsid w:val="007C01F7"/>
    <w:rsid w:val="007C04E1"/>
    <w:rsid w:val="007C2071"/>
    <w:rsid w:val="007C4285"/>
    <w:rsid w:val="007C7DA7"/>
    <w:rsid w:val="007D139C"/>
    <w:rsid w:val="007D1613"/>
    <w:rsid w:val="007D1B48"/>
    <w:rsid w:val="007D4814"/>
    <w:rsid w:val="007D59BD"/>
    <w:rsid w:val="007D7787"/>
    <w:rsid w:val="007D7E7F"/>
    <w:rsid w:val="007E0189"/>
    <w:rsid w:val="007E1097"/>
    <w:rsid w:val="007E32EC"/>
    <w:rsid w:val="007E3C41"/>
    <w:rsid w:val="007E3D6E"/>
    <w:rsid w:val="007E4C0E"/>
    <w:rsid w:val="007E510E"/>
    <w:rsid w:val="007F13D8"/>
    <w:rsid w:val="007F1911"/>
    <w:rsid w:val="007F2022"/>
    <w:rsid w:val="007F5EDA"/>
    <w:rsid w:val="007F7E88"/>
    <w:rsid w:val="00802BD1"/>
    <w:rsid w:val="00803EAC"/>
    <w:rsid w:val="00804446"/>
    <w:rsid w:val="008044C5"/>
    <w:rsid w:val="00805A35"/>
    <w:rsid w:val="00810571"/>
    <w:rsid w:val="008116DF"/>
    <w:rsid w:val="00811E66"/>
    <w:rsid w:val="008133FF"/>
    <w:rsid w:val="00813914"/>
    <w:rsid w:val="0081539E"/>
    <w:rsid w:val="00822530"/>
    <w:rsid w:val="008231CA"/>
    <w:rsid w:val="00824B08"/>
    <w:rsid w:val="0082503B"/>
    <w:rsid w:val="008301FB"/>
    <w:rsid w:val="008317E8"/>
    <w:rsid w:val="0083259D"/>
    <w:rsid w:val="00835AA1"/>
    <w:rsid w:val="00835EE0"/>
    <w:rsid w:val="008379A3"/>
    <w:rsid w:val="008419F0"/>
    <w:rsid w:val="00842C3A"/>
    <w:rsid w:val="00842EE1"/>
    <w:rsid w:val="008436D5"/>
    <w:rsid w:val="00844A71"/>
    <w:rsid w:val="00847CBC"/>
    <w:rsid w:val="00855A90"/>
    <w:rsid w:val="00860155"/>
    <w:rsid w:val="00864C45"/>
    <w:rsid w:val="00870325"/>
    <w:rsid w:val="00871EF0"/>
    <w:rsid w:val="00872243"/>
    <w:rsid w:val="00872FA1"/>
    <w:rsid w:val="008743D8"/>
    <w:rsid w:val="008765E4"/>
    <w:rsid w:val="008771BD"/>
    <w:rsid w:val="00882802"/>
    <w:rsid w:val="00883476"/>
    <w:rsid w:val="00883A31"/>
    <w:rsid w:val="008844A6"/>
    <w:rsid w:val="00886C48"/>
    <w:rsid w:val="00887200"/>
    <w:rsid w:val="008875DE"/>
    <w:rsid w:val="00891741"/>
    <w:rsid w:val="0089420B"/>
    <w:rsid w:val="008953E2"/>
    <w:rsid w:val="00896907"/>
    <w:rsid w:val="00896C9F"/>
    <w:rsid w:val="00897CA4"/>
    <w:rsid w:val="008A015A"/>
    <w:rsid w:val="008A134B"/>
    <w:rsid w:val="008A725C"/>
    <w:rsid w:val="008A75FD"/>
    <w:rsid w:val="008B2CC1"/>
    <w:rsid w:val="008B3072"/>
    <w:rsid w:val="008B4738"/>
    <w:rsid w:val="008B60B2"/>
    <w:rsid w:val="008B7D37"/>
    <w:rsid w:val="008C0C24"/>
    <w:rsid w:val="008C2F85"/>
    <w:rsid w:val="008C477B"/>
    <w:rsid w:val="008C5FEB"/>
    <w:rsid w:val="008C70AA"/>
    <w:rsid w:val="008D2F93"/>
    <w:rsid w:val="008D5C87"/>
    <w:rsid w:val="008E079A"/>
    <w:rsid w:val="008E137E"/>
    <w:rsid w:val="008E2CF3"/>
    <w:rsid w:val="008E5B08"/>
    <w:rsid w:val="008E614F"/>
    <w:rsid w:val="008F3EE7"/>
    <w:rsid w:val="008F43EF"/>
    <w:rsid w:val="008F45FD"/>
    <w:rsid w:val="008F6958"/>
    <w:rsid w:val="00900B2E"/>
    <w:rsid w:val="009044E4"/>
    <w:rsid w:val="00905135"/>
    <w:rsid w:val="0090731E"/>
    <w:rsid w:val="00914D64"/>
    <w:rsid w:val="00915FBF"/>
    <w:rsid w:val="00916EE2"/>
    <w:rsid w:val="009172D1"/>
    <w:rsid w:val="00920B48"/>
    <w:rsid w:val="00921638"/>
    <w:rsid w:val="0092172F"/>
    <w:rsid w:val="00922B2A"/>
    <w:rsid w:val="00923B95"/>
    <w:rsid w:val="00924711"/>
    <w:rsid w:val="00924CB1"/>
    <w:rsid w:val="009367D8"/>
    <w:rsid w:val="0093767F"/>
    <w:rsid w:val="00941733"/>
    <w:rsid w:val="00943008"/>
    <w:rsid w:val="00950E75"/>
    <w:rsid w:val="009524C9"/>
    <w:rsid w:val="00953968"/>
    <w:rsid w:val="00954276"/>
    <w:rsid w:val="0095537A"/>
    <w:rsid w:val="0095648C"/>
    <w:rsid w:val="0095752D"/>
    <w:rsid w:val="0096262D"/>
    <w:rsid w:val="0096358D"/>
    <w:rsid w:val="00966A22"/>
    <w:rsid w:val="0096722F"/>
    <w:rsid w:val="00970190"/>
    <w:rsid w:val="0097021D"/>
    <w:rsid w:val="00971AFB"/>
    <w:rsid w:val="00971FF3"/>
    <w:rsid w:val="009723B8"/>
    <w:rsid w:val="009725CD"/>
    <w:rsid w:val="00973867"/>
    <w:rsid w:val="00974B39"/>
    <w:rsid w:val="00974C06"/>
    <w:rsid w:val="00974D2C"/>
    <w:rsid w:val="00974F7C"/>
    <w:rsid w:val="009755F6"/>
    <w:rsid w:val="00975798"/>
    <w:rsid w:val="009765F7"/>
    <w:rsid w:val="00977BFA"/>
    <w:rsid w:val="00980843"/>
    <w:rsid w:val="00981655"/>
    <w:rsid w:val="009819E8"/>
    <w:rsid w:val="009824BA"/>
    <w:rsid w:val="00982DEF"/>
    <w:rsid w:val="00984935"/>
    <w:rsid w:val="009863FC"/>
    <w:rsid w:val="00986F96"/>
    <w:rsid w:val="009902EC"/>
    <w:rsid w:val="00992D32"/>
    <w:rsid w:val="00993337"/>
    <w:rsid w:val="00993E2D"/>
    <w:rsid w:val="00994311"/>
    <w:rsid w:val="009955D6"/>
    <w:rsid w:val="00995834"/>
    <w:rsid w:val="00996196"/>
    <w:rsid w:val="009A4483"/>
    <w:rsid w:val="009A4B10"/>
    <w:rsid w:val="009A4B93"/>
    <w:rsid w:val="009A56CC"/>
    <w:rsid w:val="009B025F"/>
    <w:rsid w:val="009B254D"/>
    <w:rsid w:val="009B3C41"/>
    <w:rsid w:val="009B60E1"/>
    <w:rsid w:val="009B7FDD"/>
    <w:rsid w:val="009C0468"/>
    <w:rsid w:val="009C38E1"/>
    <w:rsid w:val="009C4CCE"/>
    <w:rsid w:val="009C5684"/>
    <w:rsid w:val="009C5735"/>
    <w:rsid w:val="009C6581"/>
    <w:rsid w:val="009E08AF"/>
    <w:rsid w:val="009E2791"/>
    <w:rsid w:val="009E3F6F"/>
    <w:rsid w:val="009E5784"/>
    <w:rsid w:val="009E5E9D"/>
    <w:rsid w:val="009E7324"/>
    <w:rsid w:val="009F15C9"/>
    <w:rsid w:val="009F33EB"/>
    <w:rsid w:val="009F471A"/>
    <w:rsid w:val="009F499F"/>
    <w:rsid w:val="009F5228"/>
    <w:rsid w:val="009F5A9B"/>
    <w:rsid w:val="00A00F8B"/>
    <w:rsid w:val="00A0347E"/>
    <w:rsid w:val="00A04926"/>
    <w:rsid w:val="00A04C4A"/>
    <w:rsid w:val="00A05B0A"/>
    <w:rsid w:val="00A10088"/>
    <w:rsid w:val="00A1185B"/>
    <w:rsid w:val="00A1276A"/>
    <w:rsid w:val="00A16120"/>
    <w:rsid w:val="00A21808"/>
    <w:rsid w:val="00A23954"/>
    <w:rsid w:val="00A24CCF"/>
    <w:rsid w:val="00A26029"/>
    <w:rsid w:val="00A26111"/>
    <w:rsid w:val="00A26664"/>
    <w:rsid w:val="00A30A61"/>
    <w:rsid w:val="00A319F3"/>
    <w:rsid w:val="00A34F2B"/>
    <w:rsid w:val="00A35FFC"/>
    <w:rsid w:val="00A36AB3"/>
    <w:rsid w:val="00A36E0E"/>
    <w:rsid w:val="00A37305"/>
    <w:rsid w:val="00A37342"/>
    <w:rsid w:val="00A419D0"/>
    <w:rsid w:val="00A428C5"/>
    <w:rsid w:val="00A42DAF"/>
    <w:rsid w:val="00A4408D"/>
    <w:rsid w:val="00A458CA"/>
    <w:rsid w:val="00A45BD8"/>
    <w:rsid w:val="00A46894"/>
    <w:rsid w:val="00A47D79"/>
    <w:rsid w:val="00A50943"/>
    <w:rsid w:val="00A53031"/>
    <w:rsid w:val="00A541B2"/>
    <w:rsid w:val="00A555CF"/>
    <w:rsid w:val="00A55989"/>
    <w:rsid w:val="00A66536"/>
    <w:rsid w:val="00A67BA9"/>
    <w:rsid w:val="00A70344"/>
    <w:rsid w:val="00A74224"/>
    <w:rsid w:val="00A759CD"/>
    <w:rsid w:val="00A77773"/>
    <w:rsid w:val="00A836B6"/>
    <w:rsid w:val="00A8430E"/>
    <w:rsid w:val="00A849D8"/>
    <w:rsid w:val="00A869B7"/>
    <w:rsid w:val="00A91757"/>
    <w:rsid w:val="00A92E96"/>
    <w:rsid w:val="00A93167"/>
    <w:rsid w:val="00A94522"/>
    <w:rsid w:val="00A95A35"/>
    <w:rsid w:val="00AA05B2"/>
    <w:rsid w:val="00AA4977"/>
    <w:rsid w:val="00AA5699"/>
    <w:rsid w:val="00AA6E22"/>
    <w:rsid w:val="00AB2645"/>
    <w:rsid w:val="00AB5C3D"/>
    <w:rsid w:val="00AB6323"/>
    <w:rsid w:val="00AC205C"/>
    <w:rsid w:val="00AC337A"/>
    <w:rsid w:val="00AC7EA9"/>
    <w:rsid w:val="00AD056E"/>
    <w:rsid w:val="00AD273D"/>
    <w:rsid w:val="00AD4896"/>
    <w:rsid w:val="00AE24D4"/>
    <w:rsid w:val="00AE280B"/>
    <w:rsid w:val="00AE38DE"/>
    <w:rsid w:val="00AE3EC6"/>
    <w:rsid w:val="00AE5FA0"/>
    <w:rsid w:val="00AE725B"/>
    <w:rsid w:val="00AE739A"/>
    <w:rsid w:val="00AE7AAC"/>
    <w:rsid w:val="00AF04DB"/>
    <w:rsid w:val="00AF0A6B"/>
    <w:rsid w:val="00AF3212"/>
    <w:rsid w:val="00AF4786"/>
    <w:rsid w:val="00AF4FD6"/>
    <w:rsid w:val="00AF59F3"/>
    <w:rsid w:val="00AF65D9"/>
    <w:rsid w:val="00B0098F"/>
    <w:rsid w:val="00B05A69"/>
    <w:rsid w:val="00B05E4F"/>
    <w:rsid w:val="00B05F2B"/>
    <w:rsid w:val="00B067AC"/>
    <w:rsid w:val="00B07593"/>
    <w:rsid w:val="00B10143"/>
    <w:rsid w:val="00B1079C"/>
    <w:rsid w:val="00B111B4"/>
    <w:rsid w:val="00B123D8"/>
    <w:rsid w:val="00B14292"/>
    <w:rsid w:val="00B14DAF"/>
    <w:rsid w:val="00B22B54"/>
    <w:rsid w:val="00B237ED"/>
    <w:rsid w:val="00B23BBD"/>
    <w:rsid w:val="00B24AC6"/>
    <w:rsid w:val="00B24CBF"/>
    <w:rsid w:val="00B24DE4"/>
    <w:rsid w:val="00B25737"/>
    <w:rsid w:val="00B3252F"/>
    <w:rsid w:val="00B34648"/>
    <w:rsid w:val="00B3553E"/>
    <w:rsid w:val="00B36454"/>
    <w:rsid w:val="00B36FAA"/>
    <w:rsid w:val="00B410FF"/>
    <w:rsid w:val="00B41515"/>
    <w:rsid w:val="00B430B6"/>
    <w:rsid w:val="00B447CF"/>
    <w:rsid w:val="00B44AB7"/>
    <w:rsid w:val="00B44BD8"/>
    <w:rsid w:val="00B467EA"/>
    <w:rsid w:val="00B47E6D"/>
    <w:rsid w:val="00B521C2"/>
    <w:rsid w:val="00B57984"/>
    <w:rsid w:val="00B61ABD"/>
    <w:rsid w:val="00B62A6D"/>
    <w:rsid w:val="00B63029"/>
    <w:rsid w:val="00B71B3C"/>
    <w:rsid w:val="00B71BAC"/>
    <w:rsid w:val="00B7308E"/>
    <w:rsid w:val="00B75281"/>
    <w:rsid w:val="00B758B6"/>
    <w:rsid w:val="00B7640A"/>
    <w:rsid w:val="00B766E7"/>
    <w:rsid w:val="00B819FD"/>
    <w:rsid w:val="00B85720"/>
    <w:rsid w:val="00B91555"/>
    <w:rsid w:val="00B92F1F"/>
    <w:rsid w:val="00B93475"/>
    <w:rsid w:val="00B93559"/>
    <w:rsid w:val="00B963E6"/>
    <w:rsid w:val="00B9734B"/>
    <w:rsid w:val="00BA03E2"/>
    <w:rsid w:val="00BA0E14"/>
    <w:rsid w:val="00BA30E2"/>
    <w:rsid w:val="00BA489D"/>
    <w:rsid w:val="00BA7E5F"/>
    <w:rsid w:val="00BB1401"/>
    <w:rsid w:val="00BB4AF9"/>
    <w:rsid w:val="00BB4E71"/>
    <w:rsid w:val="00BB4FDA"/>
    <w:rsid w:val="00BB52D7"/>
    <w:rsid w:val="00BB75EF"/>
    <w:rsid w:val="00BB7F96"/>
    <w:rsid w:val="00BC01A4"/>
    <w:rsid w:val="00BC01B8"/>
    <w:rsid w:val="00BC1421"/>
    <w:rsid w:val="00BC1E34"/>
    <w:rsid w:val="00BC3411"/>
    <w:rsid w:val="00BC39DE"/>
    <w:rsid w:val="00BC39E9"/>
    <w:rsid w:val="00BC3A19"/>
    <w:rsid w:val="00BC74F9"/>
    <w:rsid w:val="00BD043A"/>
    <w:rsid w:val="00BD3661"/>
    <w:rsid w:val="00BD3C64"/>
    <w:rsid w:val="00BD4216"/>
    <w:rsid w:val="00BD6BCD"/>
    <w:rsid w:val="00BD75F2"/>
    <w:rsid w:val="00BE043B"/>
    <w:rsid w:val="00BE26AD"/>
    <w:rsid w:val="00BE6AC1"/>
    <w:rsid w:val="00BE7246"/>
    <w:rsid w:val="00BF3B0A"/>
    <w:rsid w:val="00BF6100"/>
    <w:rsid w:val="00BF628F"/>
    <w:rsid w:val="00C047CF"/>
    <w:rsid w:val="00C04F74"/>
    <w:rsid w:val="00C0534A"/>
    <w:rsid w:val="00C10F8E"/>
    <w:rsid w:val="00C11BFE"/>
    <w:rsid w:val="00C14910"/>
    <w:rsid w:val="00C22D49"/>
    <w:rsid w:val="00C23ECB"/>
    <w:rsid w:val="00C25709"/>
    <w:rsid w:val="00C35D3D"/>
    <w:rsid w:val="00C44389"/>
    <w:rsid w:val="00C45416"/>
    <w:rsid w:val="00C46616"/>
    <w:rsid w:val="00C4733D"/>
    <w:rsid w:val="00C5044D"/>
    <w:rsid w:val="00C505F3"/>
    <w:rsid w:val="00C5068F"/>
    <w:rsid w:val="00C50F5A"/>
    <w:rsid w:val="00C514B3"/>
    <w:rsid w:val="00C5157A"/>
    <w:rsid w:val="00C51AE2"/>
    <w:rsid w:val="00C55EF4"/>
    <w:rsid w:val="00C56A95"/>
    <w:rsid w:val="00C57029"/>
    <w:rsid w:val="00C60953"/>
    <w:rsid w:val="00C60B36"/>
    <w:rsid w:val="00C6135C"/>
    <w:rsid w:val="00C63614"/>
    <w:rsid w:val="00C660C3"/>
    <w:rsid w:val="00C72B11"/>
    <w:rsid w:val="00C73D69"/>
    <w:rsid w:val="00C76179"/>
    <w:rsid w:val="00C76507"/>
    <w:rsid w:val="00C769CB"/>
    <w:rsid w:val="00C77009"/>
    <w:rsid w:val="00C80923"/>
    <w:rsid w:val="00C81707"/>
    <w:rsid w:val="00C85DDA"/>
    <w:rsid w:val="00C86463"/>
    <w:rsid w:val="00C86D74"/>
    <w:rsid w:val="00C871F1"/>
    <w:rsid w:val="00C87AAE"/>
    <w:rsid w:val="00C90EC0"/>
    <w:rsid w:val="00C93398"/>
    <w:rsid w:val="00C97B1E"/>
    <w:rsid w:val="00CA0817"/>
    <w:rsid w:val="00CA3392"/>
    <w:rsid w:val="00CA3BAA"/>
    <w:rsid w:val="00CA5AC0"/>
    <w:rsid w:val="00CA6567"/>
    <w:rsid w:val="00CA6F81"/>
    <w:rsid w:val="00CA71F2"/>
    <w:rsid w:val="00CB2D98"/>
    <w:rsid w:val="00CB3A8F"/>
    <w:rsid w:val="00CB5BFD"/>
    <w:rsid w:val="00CB68FA"/>
    <w:rsid w:val="00CB69C6"/>
    <w:rsid w:val="00CC0534"/>
    <w:rsid w:val="00CC0B3E"/>
    <w:rsid w:val="00CC42CB"/>
    <w:rsid w:val="00CC71B8"/>
    <w:rsid w:val="00CD04F1"/>
    <w:rsid w:val="00CD265E"/>
    <w:rsid w:val="00CD580A"/>
    <w:rsid w:val="00CD60DE"/>
    <w:rsid w:val="00CD6D61"/>
    <w:rsid w:val="00CE04A8"/>
    <w:rsid w:val="00CE0FB2"/>
    <w:rsid w:val="00CE11BA"/>
    <w:rsid w:val="00CE2C0E"/>
    <w:rsid w:val="00CE4057"/>
    <w:rsid w:val="00CE512E"/>
    <w:rsid w:val="00CE7ABB"/>
    <w:rsid w:val="00CE7C4C"/>
    <w:rsid w:val="00CF0777"/>
    <w:rsid w:val="00CF1971"/>
    <w:rsid w:val="00CF23C6"/>
    <w:rsid w:val="00CF47E9"/>
    <w:rsid w:val="00CF4F22"/>
    <w:rsid w:val="00CF681A"/>
    <w:rsid w:val="00CF75BF"/>
    <w:rsid w:val="00D00FFD"/>
    <w:rsid w:val="00D02535"/>
    <w:rsid w:val="00D04CB0"/>
    <w:rsid w:val="00D06A0E"/>
    <w:rsid w:val="00D07C78"/>
    <w:rsid w:val="00D13052"/>
    <w:rsid w:val="00D13A8D"/>
    <w:rsid w:val="00D13EDB"/>
    <w:rsid w:val="00D14057"/>
    <w:rsid w:val="00D15032"/>
    <w:rsid w:val="00D21FED"/>
    <w:rsid w:val="00D23963"/>
    <w:rsid w:val="00D23DC9"/>
    <w:rsid w:val="00D241BF"/>
    <w:rsid w:val="00D25D29"/>
    <w:rsid w:val="00D27970"/>
    <w:rsid w:val="00D27EB3"/>
    <w:rsid w:val="00D30767"/>
    <w:rsid w:val="00D32926"/>
    <w:rsid w:val="00D33CFF"/>
    <w:rsid w:val="00D33D61"/>
    <w:rsid w:val="00D347B2"/>
    <w:rsid w:val="00D34E09"/>
    <w:rsid w:val="00D36B48"/>
    <w:rsid w:val="00D418C7"/>
    <w:rsid w:val="00D438AA"/>
    <w:rsid w:val="00D449F3"/>
    <w:rsid w:val="00D45252"/>
    <w:rsid w:val="00D45E2A"/>
    <w:rsid w:val="00D46030"/>
    <w:rsid w:val="00D469D2"/>
    <w:rsid w:val="00D47D41"/>
    <w:rsid w:val="00D52C02"/>
    <w:rsid w:val="00D543BE"/>
    <w:rsid w:val="00D5496F"/>
    <w:rsid w:val="00D55023"/>
    <w:rsid w:val="00D55406"/>
    <w:rsid w:val="00D56485"/>
    <w:rsid w:val="00D569C4"/>
    <w:rsid w:val="00D56B1B"/>
    <w:rsid w:val="00D578DC"/>
    <w:rsid w:val="00D63BD1"/>
    <w:rsid w:val="00D644E2"/>
    <w:rsid w:val="00D653B0"/>
    <w:rsid w:val="00D67BFA"/>
    <w:rsid w:val="00D71B4D"/>
    <w:rsid w:val="00D723E7"/>
    <w:rsid w:val="00D73127"/>
    <w:rsid w:val="00D7451E"/>
    <w:rsid w:val="00D74A49"/>
    <w:rsid w:val="00D7528A"/>
    <w:rsid w:val="00D807A6"/>
    <w:rsid w:val="00D82C6F"/>
    <w:rsid w:val="00D844B4"/>
    <w:rsid w:val="00D84B59"/>
    <w:rsid w:val="00D85831"/>
    <w:rsid w:val="00D870D3"/>
    <w:rsid w:val="00D902EC"/>
    <w:rsid w:val="00D91B18"/>
    <w:rsid w:val="00D930E8"/>
    <w:rsid w:val="00D93C08"/>
    <w:rsid w:val="00D93D55"/>
    <w:rsid w:val="00D96117"/>
    <w:rsid w:val="00D9628A"/>
    <w:rsid w:val="00D96372"/>
    <w:rsid w:val="00D97415"/>
    <w:rsid w:val="00DA345E"/>
    <w:rsid w:val="00DA4168"/>
    <w:rsid w:val="00DA654B"/>
    <w:rsid w:val="00DA6984"/>
    <w:rsid w:val="00DB3A45"/>
    <w:rsid w:val="00DB3AEA"/>
    <w:rsid w:val="00DC009F"/>
    <w:rsid w:val="00DC0D32"/>
    <w:rsid w:val="00DC2A48"/>
    <w:rsid w:val="00DD252F"/>
    <w:rsid w:val="00DD28F0"/>
    <w:rsid w:val="00DD29D0"/>
    <w:rsid w:val="00DD758B"/>
    <w:rsid w:val="00DD7B7F"/>
    <w:rsid w:val="00DE3D74"/>
    <w:rsid w:val="00DE6CA6"/>
    <w:rsid w:val="00DF291E"/>
    <w:rsid w:val="00DF58BE"/>
    <w:rsid w:val="00DF78FD"/>
    <w:rsid w:val="00E00955"/>
    <w:rsid w:val="00E03158"/>
    <w:rsid w:val="00E05623"/>
    <w:rsid w:val="00E07B56"/>
    <w:rsid w:val="00E103E1"/>
    <w:rsid w:val="00E11761"/>
    <w:rsid w:val="00E11F83"/>
    <w:rsid w:val="00E1292E"/>
    <w:rsid w:val="00E13809"/>
    <w:rsid w:val="00E15015"/>
    <w:rsid w:val="00E16197"/>
    <w:rsid w:val="00E163D7"/>
    <w:rsid w:val="00E1740E"/>
    <w:rsid w:val="00E175A7"/>
    <w:rsid w:val="00E205D1"/>
    <w:rsid w:val="00E21411"/>
    <w:rsid w:val="00E21F33"/>
    <w:rsid w:val="00E27D0B"/>
    <w:rsid w:val="00E30E47"/>
    <w:rsid w:val="00E313E4"/>
    <w:rsid w:val="00E335FE"/>
    <w:rsid w:val="00E33F43"/>
    <w:rsid w:val="00E354F3"/>
    <w:rsid w:val="00E40CA6"/>
    <w:rsid w:val="00E40E7A"/>
    <w:rsid w:val="00E441B3"/>
    <w:rsid w:val="00E444CB"/>
    <w:rsid w:val="00E46D7B"/>
    <w:rsid w:val="00E504DD"/>
    <w:rsid w:val="00E50E5A"/>
    <w:rsid w:val="00E5106C"/>
    <w:rsid w:val="00E51A10"/>
    <w:rsid w:val="00E54CA3"/>
    <w:rsid w:val="00E55FDF"/>
    <w:rsid w:val="00E610A3"/>
    <w:rsid w:val="00E6350D"/>
    <w:rsid w:val="00E63D22"/>
    <w:rsid w:val="00E641FF"/>
    <w:rsid w:val="00E647E7"/>
    <w:rsid w:val="00E64877"/>
    <w:rsid w:val="00E70820"/>
    <w:rsid w:val="00E71946"/>
    <w:rsid w:val="00E7402F"/>
    <w:rsid w:val="00E8229D"/>
    <w:rsid w:val="00E822E6"/>
    <w:rsid w:val="00E839DD"/>
    <w:rsid w:val="00E83EFD"/>
    <w:rsid w:val="00E84A94"/>
    <w:rsid w:val="00E8725C"/>
    <w:rsid w:val="00E94EBA"/>
    <w:rsid w:val="00E97FD9"/>
    <w:rsid w:val="00EA2476"/>
    <w:rsid w:val="00EA2BD6"/>
    <w:rsid w:val="00EA3225"/>
    <w:rsid w:val="00EA3572"/>
    <w:rsid w:val="00EA3618"/>
    <w:rsid w:val="00EA3878"/>
    <w:rsid w:val="00EA3FF4"/>
    <w:rsid w:val="00EA44AA"/>
    <w:rsid w:val="00EA6A5D"/>
    <w:rsid w:val="00EA7D6E"/>
    <w:rsid w:val="00EA7EE7"/>
    <w:rsid w:val="00EB1ABB"/>
    <w:rsid w:val="00EB2F76"/>
    <w:rsid w:val="00EB6B7B"/>
    <w:rsid w:val="00EC064B"/>
    <w:rsid w:val="00EC2D89"/>
    <w:rsid w:val="00EC35A2"/>
    <w:rsid w:val="00EC4A6B"/>
    <w:rsid w:val="00EC4E49"/>
    <w:rsid w:val="00EC4F4F"/>
    <w:rsid w:val="00EC6099"/>
    <w:rsid w:val="00EC6C8C"/>
    <w:rsid w:val="00EC720B"/>
    <w:rsid w:val="00EC7933"/>
    <w:rsid w:val="00ED34DF"/>
    <w:rsid w:val="00ED4C2E"/>
    <w:rsid w:val="00ED56F7"/>
    <w:rsid w:val="00ED77FB"/>
    <w:rsid w:val="00ED7823"/>
    <w:rsid w:val="00EE0917"/>
    <w:rsid w:val="00EE1020"/>
    <w:rsid w:val="00EE39E4"/>
    <w:rsid w:val="00EE45FA"/>
    <w:rsid w:val="00EE468E"/>
    <w:rsid w:val="00EE488F"/>
    <w:rsid w:val="00EE4D02"/>
    <w:rsid w:val="00EE5045"/>
    <w:rsid w:val="00EF0B5A"/>
    <w:rsid w:val="00EF1007"/>
    <w:rsid w:val="00EF1F35"/>
    <w:rsid w:val="00EF390A"/>
    <w:rsid w:val="00EF52E8"/>
    <w:rsid w:val="00EF7083"/>
    <w:rsid w:val="00F01BBD"/>
    <w:rsid w:val="00F043DE"/>
    <w:rsid w:val="00F07DA8"/>
    <w:rsid w:val="00F1085F"/>
    <w:rsid w:val="00F13824"/>
    <w:rsid w:val="00F14743"/>
    <w:rsid w:val="00F14B0D"/>
    <w:rsid w:val="00F20CEB"/>
    <w:rsid w:val="00F20D31"/>
    <w:rsid w:val="00F21006"/>
    <w:rsid w:val="00F21F3B"/>
    <w:rsid w:val="00F230F3"/>
    <w:rsid w:val="00F256B6"/>
    <w:rsid w:val="00F279A7"/>
    <w:rsid w:val="00F27B50"/>
    <w:rsid w:val="00F326F6"/>
    <w:rsid w:val="00F32D06"/>
    <w:rsid w:val="00F348B2"/>
    <w:rsid w:val="00F34C24"/>
    <w:rsid w:val="00F3534D"/>
    <w:rsid w:val="00F3644D"/>
    <w:rsid w:val="00F36B04"/>
    <w:rsid w:val="00F401AE"/>
    <w:rsid w:val="00F411B1"/>
    <w:rsid w:val="00F4235A"/>
    <w:rsid w:val="00F4485A"/>
    <w:rsid w:val="00F456AD"/>
    <w:rsid w:val="00F45F9D"/>
    <w:rsid w:val="00F50FE5"/>
    <w:rsid w:val="00F51C27"/>
    <w:rsid w:val="00F5239D"/>
    <w:rsid w:val="00F53394"/>
    <w:rsid w:val="00F53928"/>
    <w:rsid w:val="00F544FE"/>
    <w:rsid w:val="00F555DB"/>
    <w:rsid w:val="00F61BF9"/>
    <w:rsid w:val="00F6213C"/>
    <w:rsid w:val="00F633FE"/>
    <w:rsid w:val="00F63C31"/>
    <w:rsid w:val="00F65388"/>
    <w:rsid w:val="00F660E1"/>
    <w:rsid w:val="00F66152"/>
    <w:rsid w:val="00F677DE"/>
    <w:rsid w:val="00F67AF5"/>
    <w:rsid w:val="00F7116F"/>
    <w:rsid w:val="00F717FA"/>
    <w:rsid w:val="00F72179"/>
    <w:rsid w:val="00F739CC"/>
    <w:rsid w:val="00F7566D"/>
    <w:rsid w:val="00F77726"/>
    <w:rsid w:val="00F8137D"/>
    <w:rsid w:val="00F83B14"/>
    <w:rsid w:val="00F849DD"/>
    <w:rsid w:val="00F874D6"/>
    <w:rsid w:val="00F9094E"/>
    <w:rsid w:val="00F90FBF"/>
    <w:rsid w:val="00F9165B"/>
    <w:rsid w:val="00F9178B"/>
    <w:rsid w:val="00F9308C"/>
    <w:rsid w:val="00F93AB5"/>
    <w:rsid w:val="00F93BB2"/>
    <w:rsid w:val="00F97957"/>
    <w:rsid w:val="00FA0D35"/>
    <w:rsid w:val="00FA189C"/>
    <w:rsid w:val="00FA638B"/>
    <w:rsid w:val="00FA7CBE"/>
    <w:rsid w:val="00FB15CE"/>
    <w:rsid w:val="00FB2AFE"/>
    <w:rsid w:val="00FB5A2E"/>
    <w:rsid w:val="00FC1082"/>
    <w:rsid w:val="00FC2D4B"/>
    <w:rsid w:val="00FC3EAA"/>
    <w:rsid w:val="00FC5526"/>
    <w:rsid w:val="00FC5717"/>
    <w:rsid w:val="00FD24BB"/>
    <w:rsid w:val="00FD5395"/>
    <w:rsid w:val="00FE040C"/>
    <w:rsid w:val="00FE1ACA"/>
    <w:rsid w:val="00FE4EFF"/>
    <w:rsid w:val="00FE633B"/>
    <w:rsid w:val="00FE7362"/>
    <w:rsid w:val="00FE7CE6"/>
    <w:rsid w:val="00FF2DCA"/>
    <w:rsid w:val="00FF5F5E"/>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2260AE88"/>
  <w15:docId w15:val="{D0175B0B-81A1-449D-BF11-191BD8C0C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5E0C04"/>
    <w:pPr>
      <w:keepNext/>
      <w:numPr>
        <w:numId w:val="5"/>
      </w:numPr>
      <w:spacing w:before="480" w:after="240"/>
      <w:ind w:left="567" w:hanging="567"/>
      <w:outlineLvl w:val="0"/>
    </w:pPr>
    <w:rPr>
      <w:b/>
      <w:bCs/>
      <w:caps/>
      <w:kern w:val="32"/>
      <w:szCs w:val="32"/>
    </w:rPr>
  </w:style>
  <w:style w:type="paragraph" w:styleId="Heading2">
    <w:name w:val="heading 2"/>
    <w:basedOn w:val="Normal"/>
    <w:next w:val="Normal"/>
    <w:qFormat/>
    <w:rsid w:val="00B34648"/>
    <w:pPr>
      <w:keepNext/>
      <w:spacing w:before="220" w:after="220"/>
      <w:outlineLvl w:val="1"/>
    </w:pPr>
    <w:rPr>
      <w:bCs/>
      <w:iCs/>
      <w:caps/>
      <w:szCs w:val="28"/>
      <w:lang w:val="fr-CH"/>
    </w:rPr>
  </w:style>
  <w:style w:type="paragraph" w:styleId="Heading3">
    <w:name w:val="heading 3"/>
    <w:basedOn w:val="Normal"/>
    <w:next w:val="Normal"/>
    <w:qFormat/>
    <w:rsid w:val="002C7AC3"/>
    <w:pPr>
      <w:keepNext/>
      <w:spacing w:before="480" w:after="240"/>
      <w:outlineLvl w:val="2"/>
    </w:pPr>
    <w:rPr>
      <w:bCs/>
      <w:szCs w:val="26"/>
      <w:u w:val="single"/>
    </w:rPr>
  </w:style>
  <w:style w:type="paragraph" w:styleId="Heading4">
    <w:name w:val="heading 4"/>
    <w:basedOn w:val="Normal"/>
    <w:next w:val="Normal"/>
    <w:qFormat/>
    <w:rsid w:val="00B34648"/>
    <w:pPr>
      <w:keepNext/>
      <w:spacing w:before="240" w:after="240"/>
      <w:outlineLvl w:val="3"/>
    </w:pPr>
    <w:rPr>
      <w:bCs/>
      <w:i/>
      <w:szCs w:val="28"/>
      <w:u w:val="single"/>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306845"/>
    <w:pPr>
      <w:spacing w:before="720"/>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9"/>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uiPriority w:val="99"/>
    <w:unhideWhenUsed/>
    <w:rsid w:val="008E137E"/>
    <w:rPr>
      <w:vertAlign w:val="superscript"/>
    </w:rPr>
  </w:style>
  <w:style w:type="paragraph" w:customStyle="1" w:styleId="Default">
    <w:name w:val="Default"/>
    <w:rsid w:val="004C0946"/>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uiPriority w:val="34"/>
    <w:qFormat/>
    <w:rsid w:val="0002050C"/>
    <w:pPr>
      <w:ind w:left="720"/>
      <w:contextualSpacing/>
    </w:pPr>
  </w:style>
  <w:style w:type="paragraph" w:customStyle="1" w:styleId="TreatyDates">
    <w:name w:val="TreatyDates"/>
    <w:basedOn w:val="Normal"/>
    <w:qFormat/>
    <w:rsid w:val="00CD580A"/>
    <w:pPr>
      <w:spacing w:line="300" w:lineRule="exact"/>
      <w:ind w:left="567" w:right="-23"/>
    </w:pPr>
    <w:rPr>
      <w:rFonts w:eastAsia="Arial"/>
      <w:sz w:val="24"/>
      <w:szCs w:val="24"/>
      <w:lang w:eastAsia="en-US"/>
    </w:rPr>
  </w:style>
  <w:style w:type="paragraph" w:customStyle="1" w:styleId="1TreatyHeading1">
    <w:name w:val="1 Treaty Heading 1"/>
    <w:basedOn w:val="Normal"/>
    <w:qFormat/>
    <w:rsid w:val="00CD580A"/>
    <w:pPr>
      <w:spacing w:before="57" w:after="300" w:line="300" w:lineRule="exact"/>
      <w:jc w:val="both"/>
      <w:outlineLvl w:val="0"/>
    </w:pPr>
    <w:rPr>
      <w:rFonts w:eastAsia="Times New Roman"/>
      <w:b/>
      <w:bCs/>
      <w:sz w:val="24"/>
      <w:lang w:eastAsia="en-US"/>
    </w:rPr>
  </w:style>
  <w:style w:type="paragraph" w:customStyle="1" w:styleId="indenti">
    <w:name w:val="indent_i"/>
    <w:basedOn w:val="Normal"/>
    <w:link w:val="indentiChar"/>
    <w:rsid w:val="00607C65"/>
    <w:pPr>
      <w:numPr>
        <w:ilvl w:val="2"/>
        <w:numId w:val="4"/>
      </w:numPr>
      <w:jc w:val="both"/>
    </w:pPr>
    <w:rPr>
      <w:rFonts w:ascii="Times New Roman" w:eastAsia="Times New Roman" w:hAnsi="Times New Roman" w:cs="Times New Roman"/>
      <w:sz w:val="30"/>
      <w:lang w:eastAsia="en-US"/>
    </w:rPr>
  </w:style>
  <w:style w:type="paragraph" w:customStyle="1" w:styleId="indenta">
    <w:name w:val="indent_a"/>
    <w:basedOn w:val="Normal"/>
    <w:rsid w:val="00607C65"/>
    <w:pPr>
      <w:tabs>
        <w:tab w:val="left" w:pos="1701"/>
      </w:tabs>
      <w:ind w:firstLine="1134"/>
      <w:jc w:val="both"/>
    </w:pPr>
    <w:rPr>
      <w:rFonts w:ascii="Times New Roman" w:eastAsia="Times New Roman" w:hAnsi="Times New Roman" w:cs="Times New Roman"/>
      <w:sz w:val="30"/>
      <w:szCs w:val="30"/>
      <w:lang w:eastAsia="en-US"/>
    </w:rPr>
  </w:style>
  <w:style w:type="paragraph" w:customStyle="1" w:styleId="indent1">
    <w:name w:val="indent_1"/>
    <w:basedOn w:val="Normal"/>
    <w:link w:val="indent1Char"/>
    <w:rsid w:val="00607C65"/>
    <w:pPr>
      <w:autoSpaceDE w:val="0"/>
      <w:autoSpaceDN w:val="0"/>
      <w:adjustRightInd w:val="0"/>
      <w:ind w:firstLine="567"/>
      <w:jc w:val="both"/>
    </w:pPr>
    <w:rPr>
      <w:rFonts w:ascii="Times New Roman" w:eastAsia="Times New Roman" w:hAnsi="Times New Roman" w:cs="Times New Roman"/>
      <w:sz w:val="30"/>
      <w:szCs w:val="30"/>
      <w:lang w:eastAsia="en-US"/>
    </w:rPr>
  </w:style>
  <w:style w:type="character" w:customStyle="1" w:styleId="indent1Char">
    <w:name w:val="indent_1 Char"/>
    <w:basedOn w:val="DefaultParagraphFont"/>
    <w:link w:val="indent1"/>
    <w:rsid w:val="00607C65"/>
    <w:rPr>
      <w:sz w:val="30"/>
      <w:szCs w:val="30"/>
      <w:lang w:val="en-US" w:eastAsia="en-US"/>
    </w:rPr>
  </w:style>
  <w:style w:type="paragraph" w:customStyle="1" w:styleId="indentihang">
    <w:name w:val="indent_i_hang"/>
    <w:basedOn w:val="Normal"/>
    <w:link w:val="indentihangChar"/>
    <w:rsid w:val="00607C65"/>
    <w:pPr>
      <w:numPr>
        <w:numId w:val="4"/>
      </w:numPr>
      <w:jc w:val="both"/>
    </w:pPr>
    <w:rPr>
      <w:rFonts w:ascii="Times New Roman" w:eastAsia="Times New Roman" w:hAnsi="Times New Roman" w:cs="Times New Roman"/>
      <w:sz w:val="30"/>
      <w:lang w:eastAsia="en-US"/>
    </w:rPr>
  </w:style>
  <w:style w:type="character" w:customStyle="1" w:styleId="indentihangChar">
    <w:name w:val="indent_i_hang Char"/>
    <w:basedOn w:val="DefaultParagraphFont"/>
    <w:link w:val="indentihang"/>
    <w:rsid w:val="00607C65"/>
    <w:rPr>
      <w:sz w:val="30"/>
      <w:lang w:val="en-US" w:eastAsia="en-US"/>
    </w:rPr>
  </w:style>
  <w:style w:type="paragraph" w:customStyle="1" w:styleId="4TreatyHeading4">
    <w:name w:val="4 Treaty Heading 4"/>
    <w:basedOn w:val="Normal"/>
    <w:qFormat/>
    <w:rsid w:val="00607C65"/>
    <w:pPr>
      <w:spacing w:before="480" w:after="240" w:line="240" w:lineRule="exact"/>
      <w:outlineLvl w:val="3"/>
    </w:pPr>
    <w:rPr>
      <w:rFonts w:eastAsia="Times New Roman"/>
      <w:b/>
      <w:bCs/>
      <w:sz w:val="20"/>
      <w:lang w:eastAsia="en-US"/>
    </w:rPr>
  </w:style>
  <w:style w:type="character" w:customStyle="1" w:styleId="indentiChar">
    <w:name w:val="indent_i Char"/>
    <w:basedOn w:val="DefaultParagraphFont"/>
    <w:link w:val="indenti"/>
    <w:rsid w:val="00607C65"/>
    <w:rPr>
      <w:sz w:val="30"/>
      <w:lang w:val="en-US" w:eastAsia="en-US"/>
    </w:rPr>
  </w:style>
  <w:style w:type="paragraph" w:customStyle="1" w:styleId="3TreatyHeading3">
    <w:name w:val="3 Treaty Heading 3"/>
    <w:basedOn w:val="Normal"/>
    <w:qFormat/>
    <w:rsid w:val="00C505F3"/>
    <w:pPr>
      <w:spacing w:before="480" w:after="240" w:line="240" w:lineRule="exact"/>
      <w:outlineLvl w:val="2"/>
    </w:pPr>
    <w:rPr>
      <w:rFonts w:eastAsia="Times New Roman"/>
      <w:b/>
      <w:bCs/>
      <w:i/>
      <w:sz w:val="20"/>
      <w:lang w:eastAsia="en-US"/>
    </w:rPr>
  </w:style>
  <w:style w:type="table" w:styleId="TableGrid">
    <w:name w:val="Table Grid"/>
    <w:basedOn w:val="TableNormal"/>
    <w:rsid w:val="00C8646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rsid w:val="00C86463"/>
    <w:rPr>
      <w:rFonts w:ascii="Arial" w:eastAsia="SimSun" w:hAnsi="Arial" w:cs="Arial"/>
      <w:sz w:val="18"/>
      <w:lang w:val="en-US" w:eastAsia="zh-CN"/>
    </w:rPr>
  </w:style>
  <w:style w:type="character" w:customStyle="1" w:styleId="HeaderChar">
    <w:name w:val="Header Char"/>
    <w:basedOn w:val="DefaultParagraphFont"/>
    <w:link w:val="Header"/>
    <w:uiPriority w:val="99"/>
    <w:rsid w:val="00A26111"/>
    <w:rPr>
      <w:rFonts w:ascii="Arial" w:eastAsia="SimSun" w:hAnsi="Arial" w:cs="Arial"/>
      <w:sz w:val="22"/>
      <w:lang w:val="en-US" w:eastAsia="zh-CN"/>
    </w:rPr>
  </w:style>
  <w:style w:type="character" w:styleId="EndnoteReference">
    <w:name w:val="endnote reference"/>
    <w:basedOn w:val="DefaultParagraphFont"/>
    <w:semiHidden/>
    <w:unhideWhenUsed/>
    <w:rsid w:val="005C41F3"/>
    <w:rPr>
      <w:vertAlign w:val="superscript"/>
    </w:rPr>
  </w:style>
  <w:style w:type="paragraph" w:styleId="Revision">
    <w:name w:val="Revision"/>
    <w:hidden/>
    <w:uiPriority w:val="99"/>
    <w:semiHidden/>
    <w:rsid w:val="00567020"/>
    <w:rPr>
      <w:rFonts w:ascii="Arial" w:eastAsia="SimSun" w:hAnsi="Arial" w:cs="Arial"/>
      <w:sz w:val="22"/>
      <w:lang w:val="en-US" w:eastAsia="zh-CN"/>
    </w:rPr>
  </w:style>
  <w:style w:type="paragraph" w:styleId="BalloonText">
    <w:name w:val="Balloon Text"/>
    <w:basedOn w:val="Normal"/>
    <w:link w:val="BalloonTextChar"/>
    <w:semiHidden/>
    <w:unhideWhenUsed/>
    <w:rsid w:val="00567020"/>
    <w:rPr>
      <w:rFonts w:ascii="Segoe UI" w:hAnsi="Segoe UI" w:cs="Segoe UI"/>
      <w:sz w:val="18"/>
      <w:szCs w:val="18"/>
    </w:rPr>
  </w:style>
  <w:style w:type="character" w:customStyle="1" w:styleId="BalloonTextChar">
    <w:name w:val="Balloon Text Char"/>
    <w:basedOn w:val="DefaultParagraphFont"/>
    <w:link w:val="BalloonText"/>
    <w:semiHidden/>
    <w:rsid w:val="00567020"/>
    <w:rPr>
      <w:rFonts w:ascii="Segoe UI" w:eastAsia="SimSun" w:hAnsi="Segoe UI" w:cs="Segoe UI"/>
      <w:sz w:val="18"/>
      <w:szCs w:val="18"/>
      <w:lang w:val="en-US" w:eastAsia="zh-CN"/>
    </w:rPr>
  </w:style>
  <w:style w:type="character" w:styleId="CommentReference">
    <w:name w:val="annotation reference"/>
    <w:basedOn w:val="DefaultParagraphFont"/>
    <w:semiHidden/>
    <w:unhideWhenUsed/>
    <w:rsid w:val="002B443A"/>
    <w:rPr>
      <w:sz w:val="16"/>
      <w:szCs w:val="16"/>
    </w:rPr>
  </w:style>
  <w:style w:type="paragraph" w:styleId="CommentSubject">
    <w:name w:val="annotation subject"/>
    <w:basedOn w:val="CommentText"/>
    <w:next w:val="CommentText"/>
    <w:link w:val="CommentSubjectChar"/>
    <w:semiHidden/>
    <w:unhideWhenUsed/>
    <w:rsid w:val="002B443A"/>
    <w:rPr>
      <w:b/>
      <w:bCs/>
      <w:sz w:val="20"/>
    </w:rPr>
  </w:style>
  <w:style w:type="character" w:customStyle="1" w:styleId="CommentTextChar">
    <w:name w:val="Comment Text Char"/>
    <w:basedOn w:val="DefaultParagraphFont"/>
    <w:link w:val="CommentText"/>
    <w:semiHidden/>
    <w:rsid w:val="002B443A"/>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2B443A"/>
    <w:rPr>
      <w:rFonts w:ascii="Arial" w:eastAsia="SimSun" w:hAnsi="Arial" w:cs="Arial"/>
      <w:b/>
      <w:bCs/>
      <w:sz w:val="18"/>
      <w:lang w:val="en-US" w:eastAsia="zh-CN"/>
    </w:rPr>
  </w:style>
  <w:style w:type="character" w:customStyle="1" w:styleId="CommentTextChar1">
    <w:name w:val="Comment Text Char1"/>
    <w:basedOn w:val="DefaultParagraphFont"/>
    <w:semiHidden/>
    <w:rsid w:val="00BE26AD"/>
    <w:rPr>
      <w:rFonts w:ascii="Arial" w:eastAsia="SimSun" w:hAnsi="Arial" w:cs="Arial"/>
      <w:sz w:val="18"/>
      <w:lang w:eastAsia="zh-CN"/>
    </w:rPr>
  </w:style>
  <w:style w:type="paragraph" w:styleId="ListBullet">
    <w:name w:val="List Bullet"/>
    <w:basedOn w:val="Normal"/>
    <w:unhideWhenUsed/>
    <w:rsid w:val="00BA0E14"/>
    <w:pPr>
      <w:numPr>
        <w:numId w:val="18"/>
      </w:numPr>
      <w:contextualSpacing/>
    </w:pPr>
  </w:style>
  <w:style w:type="character" w:styleId="Hyperlink">
    <w:name w:val="Hyperlink"/>
    <w:basedOn w:val="DefaultParagraphFont"/>
    <w:unhideWhenUsed/>
    <w:rsid w:val="00690C35"/>
    <w:rPr>
      <w:color w:val="0000FF" w:themeColor="hyperlink"/>
      <w:u w:val="single"/>
    </w:rPr>
  </w:style>
  <w:style w:type="paragraph" w:customStyle="1" w:styleId="Bulletedlistlevel2">
    <w:name w:val="Bulleted list level 2"/>
    <w:basedOn w:val="Normal"/>
    <w:rsid w:val="00B34648"/>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06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CB0902-FB38-4DC8-B06D-1EBCF60CD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5876</Words>
  <Characters>31912</Characters>
  <Application>Microsoft Office Word</Application>
  <DocSecurity>0</DocSecurity>
  <Lines>764</Lines>
  <Paragraphs>366</Paragraphs>
  <ScaleCrop>false</ScaleCrop>
  <HeadingPairs>
    <vt:vector size="2" baseType="variant">
      <vt:variant>
        <vt:lpstr>Title</vt:lpstr>
      </vt:variant>
      <vt:variant>
        <vt:i4>1</vt:i4>
      </vt:variant>
    </vt:vector>
  </HeadingPairs>
  <TitlesOfParts>
    <vt:vector size="1" baseType="lpstr">
      <vt:lpstr>MM/LD/WG</vt:lpstr>
    </vt:vector>
  </TitlesOfParts>
  <Company>WIPO</Company>
  <LinksUpToDate>false</LinksUpToDate>
  <CharactersWithSpaces>37524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MM/LD/WG</dc:title>
  <dc:subject/>
  <dc:creator>Madrid Legal Division</dc:creator>
  <cp:keywords>FOR OFFICIAL USE ONLY</cp:keywords>
  <dc:description/>
  <cp:lastModifiedBy>ST LEGER Nathalie</cp:lastModifiedBy>
  <cp:revision>6</cp:revision>
  <cp:lastPrinted>2020-10-16T17:18:00Z</cp:lastPrinted>
  <dcterms:created xsi:type="dcterms:W3CDTF">2020-11-26T11:06:00Z</dcterms:created>
  <dcterms:modified xsi:type="dcterms:W3CDTF">2020-11-26T13:43:00Z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fc579412-bc66-48ba-a05f-1927b3e1f2e4</vt:lpwstr>
  </property>
  <property fmtid="{D5CDD505-2E9C-101B-9397-08002B2CF9AE}" pid="3" name="_DocHome">
    <vt:i4>-1521734211</vt:i4>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