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E2056" w:rsidTr="00BE2056">
        <w:tc>
          <w:tcPr>
            <w:tcW w:w="4513" w:type="dxa"/>
            <w:tcBorders>
              <w:bottom w:val="single" w:sz="4" w:space="0" w:color="auto"/>
            </w:tcBorders>
            <w:tcMar>
              <w:bottom w:w="170" w:type="dxa"/>
            </w:tcMar>
          </w:tcPr>
          <w:p w:rsidR="00EC4E49" w:rsidRPr="00BE2056" w:rsidRDefault="00EC4E49" w:rsidP="00916EE2">
            <w:pPr>
              <w:rPr>
                <w:lang w:val="fr-FR"/>
              </w:rPr>
            </w:pPr>
          </w:p>
        </w:tc>
        <w:tc>
          <w:tcPr>
            <w:tcW w:w="4337" w:type="dxa"/>
            <w:tcBorders>
              <w:bottom w:val="single" w:sz="4" w:space="0" w:color="auto"/>
            </w:tcBorders>
            <w:tcMar>
              <w:left w:w="0" w:type="dxa"/>
              <w:right w:w="0" w:type="dxa"/>
            </w:tcMar>
          </w:tcPr>
          <w:p w:rsidR="00EC4E49" w:rsidRPr="00BE2056" w:rsidRDefault="00BE2056" w:rsidP="00916EE2">
            <w:pPr>
              <w:rPr>
                <w:lang w:val="fr-FR"/>
              </w:rPr>
            </w:pPr>
            <w:r w:rsidRPr="00BE2056">
              <w:rPr>
                <w:noProof/>
                <w:lang w:eastAsia="en-US"/>
              </w:rPr>
              <w:drawing>
                <wp:inline distT="0" distB="0" distL="0" distR="0" wp14:anchorId="1D443767" wp14:editId="5D0E36C5">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BE2056" w:rsidRDefault="00BE2056" w:rsidP="00916EE2">
            <w:pPr>
              <w:jc w:val="right"/>
              <w:rPr>
                <w:lang w:val="fr-FR"/>
              </w:rPr>
            </w:pPr>
            <w:r w:rsidRPr="00BE2056">
              <w:rPr>
                <w:b/>
                <w:sz w:val="40"/>
                <w:szCs w:val="40"/>
                <w:lang w:val="fr-FR"/>
              </w:rPr>
              <w:t>F</w:t>
            </w:r>
          </w:p>
        </w:tc>
      </w:tr>
      <w:tr w:rsidR="00BE2056" w:rsidRPr="00BE2056" w:rsidTr="00C5068F">
        <w:trPr>
          <w:trHeight w:hRule="exact" w:val="357"/>
        </w:trPr>
        <w:tc>
          <w:tcPr>
            <w:tcW w:w="9356" w:type="dxa"/>
            <w:gridSpan w:val="3"/>
            <w:tcBorders>
              <w:top w:val="single" w:sz="4" w:space="0" w:color="auto"/>
            </w:tcBorders>
            <w:tcMar>
              <w:top w:w="170" w:type="dxa"/>
              <w:left w:w="0" w:type="dxa"/>
              <w:right w:w="0" w:type="dxa"/>
            </w:tcMar>
            <w:vAlign w:val="bottom"/>
          </w:tcPr>
          <w:p w:rsidR="00BE2056" w:rsidRPr="00BE2056" w:rsidRDefault="00BE2056" w:rsidP="006D1CD9">
            <w:pPr>
              <w:jc w:val="right"/>
              <w:rPr>
                <w:rFonts w:ascii="Arial Black" w:hAnsi="Arial Black"/>
                <w:caps/>
                <w:sz w:val="15"/>
                <w:lang w:val="fr-FR"/>
              </w:rPr>
            </w:pPr>
            <w:r w:rsidRPr="00BE2056">
              <w:rPr>
                <w:rFonts w:ascii="Arial Black" w:hAnsi="Arial Black"/>
                <w:caps/>
                <w:sz w:val="15"/>
                <w:lang w:val="fr-FR"/>
              </w:rPr>
              <w:t>H/LD/WG/7/</w:t>
            </w:r>
            <w:bookmarkStart w:id="0" w:name="Code"/>
            <w:bookmarkEnd w:id="0"/>
            <w:r w:rsidRPr="00BE2056">
              <w:rPr>
                <w:rFonts w:ascii="Arial Black" w:hAnsi="Arial Black"/>
                <w:caps/>
                <w:sz w:val="15"/>
                <w:lang w:val="fr-FR"/>
              </w:rPr>
              <w:t xml:space="preserve">9 </w:t>
            </w:r>
          </w:p>
        </w:tc>
      </w:tr>
      <w:tr w:rsidR="00BE2056" w:rsidRPr="00BE2056" w:rsidTr="00916EE2">
        <w:trPr>
          <w:trHeight w:hRule="exact" w:val="170"/>
        </w:trPr>
        <w:tc>
          <w:tcPr>
            <w:tcW w:w="9356" w:type="dxa"/>
            <w:gridSpan w:val="3"/>
            <w:noWrap/>
            <w:tcMar>
              <w:left w:w="0" w:type="dxa"/>
              <w:right w:w="0" w:type="dxa"/>
            </w:tcMar>
            <w:vAlign w:val="bottom"/>
          </w:tcPr>
          <w:p w:rsidR="00BE2056" w:rsidRPr="00BE2056" w:rsidRDefault="00BE2056" w:rsidP="006D1CD9">
            <w:pPr>
              <w:jc w:val="right"/>
              <w:rPr>
                <w:rFonts w:ascii="Arial Black" w:hAnsi="Arial Black"/>
                <w:caps/>
                <w:sz w:val="15"/>
                <w:lang w:val="fr-FR"/>
              </w:rPr>
            </w:pPr>
            <w:r w:rsidRPr="00BE2056">
              <w:rPr>
                <w:rFonts w:ascii="Arial Black" w:hAnsi="Arial Black"/>
                <w:caps/>
                <w:sz w:val="15"/>
                <w:lang w:val="fr-FR"/>
              </w:rPr>
              <w:t>ORIGINAL</w:t>
            </w:r>
            <w:r>
              <w:rPr>
                <w:rFonts w:ascii="Arial Black" w:hAnsi="Arial Black"/>
                <w:caps/>
                <w:sz w:val="15"/>
                <w:lang w:val="fr-FR"/>
              </w:rPr>
              <w:t> :</w:t>
            </w:r>
            <w:r w:rsidRPr="00BE2056">
              <w:rPr>
                <w:rFonts w:ascii="Arial Black" w:hAnsi="Arial Black"/>
                <w:caps/>
                <w:sz w:val="15"/>
                <w:lang w:val="fr-FR"/>
              </w:rPr>
              <w:t xml:space="preserve"> </w:t>
            </w:r>
            <w:bookmarkStart w:id="1" w:name="Original"/>
            <w:bookmarkEnd w:id="1"/>
            <w:r w:rsidRPr="00BE2056">
              <w:rPr>
                <w:rFonts w:ascii="Arial Black" w:hAnsi="Arial Black"/>
                <w:caps/>
                <w:sz w:val="15"/>
                <w:lang w:val="fr-FR"/>
              </w:rPr>
              <w:t xml:space="preserve">anglais </w:t>
            </w:r>
          </w:p>
        </w:tc>
      </w:tr>
      <w:tr w:rsidR="00BE2056" w:rsidRPr="00BE2056" w:rsidTr="00916EE2">
        <w:trPr>
          <w:trHeight w:hRule="exact" w:val="198"/>
        </w:trPr>
        <w:tc>
          <w:tcPr>
            <w:tcW w:w="9356" w:type="dxa"/>
            <w:gridSpan w:val="3"/>
            <w:tcMar>
              <w:left w:w="0" w:type="dxa"/>
              <w:right w:w="0" w:type="dxa"/>
            </w:tcMar>
            <w:vAlign w:val="bottom"/>
          </w:tcPr>
          <w:p w:rsidR="00BE2056" w:rsidRPr="00BE2056" w:rsidRDefault="00BE2056" w:rsidP="006D1CD9">
            <w:pPr>
              <w:jc w:val="right"/>
              <w:rPr>
                <w:rFonts w:ascii="Arial Black" w:hAnsi="Arial Black"/>
                <w:caps/>
                <w:sz w:val="15"/>
                <w:lang w:val="fr-FR"/>
              </w:rPr>
            </w:pPr>
            <w:r w:rsidRPr="00BE2056">
              <w:rPr>
                <w:rFonts w:ascii="Arial Black" w:hAnsi="Arial Black"/>
                <w:caps/>
                <w:sz w:val="15"/>
                <w:lang w:val="fr-FR"/>
              </w:rPr>
              <w:t>DATE</w:t>
            </w:r>
            <w:r>
              <w:rPr>
                <w:rFonts w:ascii="Arial Black" w:hAnsi="Arial Black"/>
                <w:caps/>
                <w:sz w:val="15"/>
                <w:lang w:val="fr-FR"/>
              </w:rPr>
              <w:t> :</w:t>
            </w:r>
            <w:r w:rsidRPr="00BE2056">
              <w:rPr>
                <w:rFonts w:ascii="Arial Black" w:hAnsi="Arial Black"/>
                <w:caps/>
                <w:sz w:val="15"/>
                <w:lang w:val="fr-FR"/>
              </w:rPr>
              <w:t xml:space="preserve"> </w:t>
            </w:r>
            <w:bookmarkStart w:id="2" w:name="Date"/>
            <w:bookmarkEnd w:id="2"/>
            <w:r w:rsidRPr="00BE2056">
              <w:rPr>
                <w:rFonts w:ascii="Arial Black" w:hAnsi="Arial Black"/>
                <w:caps/>
                <w:sz w:val="15"/>
                <w:lang w:val="fr-FR"/>
              </w:rPr>
              <w:t>16</w:t>
            </w:r>
            <w:r>
              <w:rPr>
                <w:rFonts w:ascii="Arial Black" w:hAnsi="Arial Black"/>
                <w:caps/>
                <w:sz w:val="15"/>
                <w:lang w:val="fr-FR"/>
              </w:rPr>
              <w:t> </w:t>
            </w:r>
            <w:r w:rsidRPr="00BE2056">
              <w:rPr>
                <w:rFonts w:ascii="Arial Black" w:hAnsi="Arial Black"/>
                <w:caps/>
                <w:sz w:val="15"/>
                <w:lang w:val="fr-FR"/>
              </w:rPr>
              <w:t>juillet</w:t>
            </w:r>
            <w:r>
              <w:rPr>
                <w:rFonts w:ascii="Arial Black" w:hAnsi="Arial Black"/>
                <w:caps/>
                <w:sz w:val="15"/>
                <w:lang w:val="fr-FR"/>
              </w:rPr>
              <w:t> </w:t>
            </w:r>
            <w:r w:rsidRPr="00BE2056">
              <w:rPr>
                <w:rFonts w:ascii="Arial Black" w:hAnsi="Arial Black"/>
                <w:caps/>
                <w:sz w:val="15"/>
                <w:lang w:val="fr-FR"/>
              </w:rPr>
              <w:t xml:space="preserve">2018 </w:t>
            </w:r>
          </w:p>
        </w:tc>
      </w:tr>
    </w:tbl>
    <w:p w:rsidR="00E7329B" w:rsidRPr="00BE2056" w:rsidRDefault="00BE2056" w:rsidP="005A0D6D">
      <w:pPr>
        <w:spacing w:before="1200"/>
        <w:rPr>
          <w:b/>
          <w:sz w:val="28"/>
          <w:szCs w:val="28"/>
          <w:lang w:val="fr-FR"/>
        </w:rPr>
      </w:pPr>
      <w:r w:rsidRPr="00BE2056">
        <w:rPr>
          <w:b/>
          <w:sz w:val="28"/>
          <w:szCs w:val="28"/>
          <w:lang w:val="fr-FR"/>
        </w:rPr>
        <w:t xml:space="preserve">Groupe de travail sur le développement juridique du système de </w:t>
      </w:r>
      <w:r>
        <w:rPr>
          <w:b/>
          <w:sz w:val="28"/>
          <w:szCs w:val="28"/>
          <w:lang w:val="fr-FR"/>
        </w:rPr>
        <w:t>La Haye</w:t>
      </w:r>
      <w:r w:rsidRPr="00BE2056">
        <w:rPr>
          <w:b/>
          <w:sz w:val="28"/>
          <w:szCs w:val="28"/>
          <w:lang w:val="fr-FR"/>
        </w:rPr>
        <w:t xml:space="preserve"> concernant l</w:t>
      </w:r>
      <w:r>
        <w:rPr>
          <w:b/>
          <w:sz w:val="28"/>
          <w:szCs w:val="28"/>
          <w:lang w:val="fr-FR"/>
        </w:rPr>
        <w:t>’</w:t>
      </w:r>
      <w:r w:rsidRPr="00BE2056">
        <w:rPr>
          <w:b/>
          <w:sz w:val="28"/>
          <w:szCs w:val="28"/>
          <w:lang w:val="fr-FR"/>
        </w:rPr>
        <w:t>enregistrement international des dessins et modèles industriels</w:t>
      </w:r>
    </w:p>
    <w:p w:rsidR="00E7329B" w:rsidRPr="00BE2056" w:rsidRDefault="00BE2056" w:rsidP="005A0D6D">
      <w:pPr>
        <w:spacing w:before="480"/>
        <w:rPr>
          <w:b/>
          <w:sz w:val="24"/>
          <w:szCs w:val="24"/>
          <w:lang w:val="fr-FR"/>
        </w:rPr>
      </w:pPr>
      <w:r w:rsidRPr="00BE2056">
        <w:rPr>
          <w:b/>
          <w:sz w:val="24"/>
          <w:szCs w:val="24"/>
          <w:lang w:val="fr-FR"/>
        </w:rPr>
        <w:t>Sept</w:t>
      </w:r>
      <w:r>
        <w:rPr>
          <w:b/>
          <w:sz w:val="24"/>
          <w:szCs w:val="24"/>
          <w:lang w:val="fr-FR"/>
        </w:rPr>
        <w:t>ième session</w:t>
      </w:r>
    </w:p>
    <w:p w:rsidR="00E7329B" w:rsidRPr="00BE2056" w:rsidRDefault="00BE2056" w:rsidP="008B2CC1">
      <w:pPr>
        <w:rPr>
          <w:b/>
          <w:sz w:val="24"/>
          <w:szCs w:val="24"/>
          <w:lang w:val="fr-FR"/>
        </w:rPr>
      </w:pPr>
      <w:r>
        <w:rPr>
          <w:b/>
          <w:sz w:val="24"/>
          <w:szCs w:val="24"/>
          <w:lang w:val="fr-FR"/>
        </w:rPr>
        <w:t>Genève</w:t>
      </w:r>
      <w:r w:rsidR="00ED24D1" w:rsidRPr="00BE2056">
        <w:rPr>
          <w:b/>
          <w:sz w:val="24"/>
          <w:szCs w:val="24"/>
          <w:lang w:val="fr-FR"/>
        </w:rPr>
        <w:t xml:space="preserve">, </w:t>
      </w:r>
      <w:r>
        <w:rPr>
          <w:b/>
          <w:sz w:val="24"/>
          <w:szCs w:val="24"/>
          <w:lang w:val="fr-FR"/>
        </w:rPr>
        <w:t>16 – 18 juillet </w:t>
      </w:r>
      <w:r w:rsidRPr="00BE2056">
        <w:rPr>
          <w:b/>
          <w:sz w:val="24"/>
          <w:szCs w:val="24"/>
          <w:lang w:val="fr-FR"/>
        </w:rPr>
        <w:t>20</w:t>
      </w:r>
      <w:r w:rsidR="00ED24D1" w:rsidRPr="00BE2056">
        <w:rPr>
          <w:b/>
          <w:sz w:val="24"/>
          <w:szCs w:val="24"/>
          <w:lang w:val="fr-FR"/>
        </w:rPr>
        <w:t>18</w:t>
      </w:r>
    </w:p>
    <w:p w:rsidR="00E7329B" w:rsidRPr="00BE2056" w:rsidRDefault="00E7329B" w:rsidP="00E7329B">
      <w:pPr>
        <w:spacing w:before="720"/>
        <w:rPr>
          <w:sz w:val="24"/>
          <w:lang w:val="fr-FR"/>
        </w:rPr>
      </w:pPr>
      <w:bookmarkStart w:id="3" w:name="TitleOfDoc"/>
      <w:bookmarkEnd w:id="3"/>
      <w:r w:rsidRPr="00BE2056">
        <w:rPr>
          <w:sz w:val="24"/>
          <w:lang w:val="fr-FR"/>
        </w:rPr>
        <w:t>COMMUNICATION DE LA DÉLÉGATION DES ÉTATS</w:t>
      </w:r>
      <w:r w:rsidR="00891EAC">
        <w:rPr>
          <w:sz w:val="24"/>
          <w:lang w:val="fr-FR"/>
        </w:rPr>
        <w:noBreakHyphen/>
      </w:r>
      <w:r w:rsidRPr="00BE2056">
        <w:rPr>
          <w:sz w:val="24"/>
          <w:lang w:val="fr-FR"/>
        </w:rPr>
        <w:t>UNIS D</w:t>
      </w:r>
      <w:r w:rsidR="00BE2056">
        <w:rPr>
          <w:sz w:val="24"/>
          <w:lang w:val="fr-FR"/>
        </w:rPr>
        <w:t>’</w:t>
      </w:r>
      <w:r w:rsidRPr="00BE2056">
        <w:rPr>
          <w:sz w:val="24"/>
          <w:lang w:val="fr-FR"/>
        </w:rPr>
        <w:t>AMÉRIQUE</w:t>
      </w:r>
    </w:p>
    <w:p w:rsidR="00E7329B" w:rsidRPr="00BE2056" w:rsidRDefault="00E7329B" w:rsidP="00E7329B">
      <w:pPr>
        <w:spacing w:before="240" w:after="960"/>
        <w:rPr>
          <w:i/>
          <w:lang w:val="fr-FR"/>
        </w:rPr>
      </w:pPr>
      <w:bookmarkStart w:id="4" w:name="Prepared"/>
      <w:bookmarkEnd w:id="4"/>
      <w:r w:rsidRPr="00BE2056">
        <w:rPr>
          <w:i/>
          <w:lang w:val="fr-FR"/>
        </w:rPr>
        <w:t>Document établi par le Secrétariat</w:t>
      </w:r>
    </w:p>
    <w:p w:rsidR="00E7329B" w:rsidRPr="00BE2056" w:rsidRDefault="00E7329B" w:rsidP="00E7329B">
      <w:pPr>
        <w:rPr>
          <w:lang w:val="fr-FR"/>
        </w:rPr>
      </w:pPr>
      <w:r w:rsidRPr="00BE2056">
        <w:rPr>
          <w:lang w:val="fr-FR"/>
        </w:rPr>
        <w:t>Dans une communication datée du 1</w:t>
      </w:r>
      <w:r w:rsidR="00BE2056" w:rsidRPr="00BE2056">
        <w:rPr>
          <w:lang w:val="fr-FR"/>
        </w:rPr>
        <w:t>3</w:t>
      </w:r>
      <w:r w:rsidR="00BE2056">
        <w:rPr>
          <w:lang w:val="fr-FR"/>
        </w:rPr>
        <w:t> </w:t>
      </w:r>
      <w:r w:rsidR="00BE2056" w:rsidRPr="00BE2056">
        <w:rPr>
          <w:lang w:val="fr-FR"/>
        </w:rPr>
        <w:t>juillet</w:t>
      </w:r>
      <w:r w:rsidR="00BE2056">
        <w:rPr>
          <w:lang w:val="fr-FR"/>
        </w:rPr>
        <w:t> </w:t>
      </w:r>
      <w:r w:rsidR="00BE2056" w:rsidRPr="00BE2056">
        <w:rPr>
          <w:lang w:val="fr-FR"/>
        </w:rPr>
        <w:t>20</w:t>
      </w:r>
      <w:r w:rsidRPr="00BE2056">
        <w:rPr>
          <w:lang w:val="fr-FR"/>
        </w:rPr>
        <w:t>18, la délégation des États</w:t>
      </w:r>
      <w:r w:rsidR="00891EAC">
        <w:rPr>
          <w:lang w:val="fr-FR"/>
        </w:rPr>
        <w:noBreakHyphen/>
      </w:r>
      <w:r w:rsidRPr="00BE2056">
        <w:rPr>
          <w:lang w:val="fr-FR"/>
        </w:rPr>
        <w:t>Unis d</w:t>
      </w:r>
      <w:r w:rsidR="00BE2056">
        <w:rPr>
          <w:lang w:val="fr-FR"/>
        </w:rPr>
        <w:t>’</w:t>
      </w:r>
      <w:r w:rsidRPr="00BE2056">
        <w:rPr>
          <w:lang w:val="fr-FR"/>
        </w:rPr>
        <w:t>Amérique a transmis au Bureau international de l</w:t>
      </w:r>
      <w:r w:rsidR="00BE2056">
        <w:rPr>
          <w:lang w:val="fr-FR"/>
        </w:rPr>
        <w:t>’</w:t>
      </w:r>
      <w:r w:rsidRPr="00BE2056">
        <w:rPr>
          <w:lang w:val="fr-FR"/>
        </w:rPr>
        <w:t xml:space="preserve">Organisation Mondiale de la Propriété </w:t>
      </w:r>
      <w:r w:rsidR="00042960">
        <w:rPr>
          <w:lang w:val="fr-FR"/>
        </w:rPr>
        <w:t>I</w:t>
      </w:r>
      <w:r w:rsidRPr="00BE2056">
        <w:rPr>
          <w:lang w:val="fr-FR"/>
        </w:rPr>
        <w:t>ntellectuelle</w:t>
      </w:r>
      <w:r w:rsidR="00042960">
        <w:rPr>
          <w:lang w:val="fr-FR"/>
        </w:rPr>
        <w:t xml:space="preserve"> </w:t>
      </w:r>
      <w:r w:rsidRPr="00BE2056">
        <w:rPr>
          <w:lang w:val="fr-FR"/>
        </w:rPr>
        <w:t>(OMPI) le texte reproduit en annexe du présent document.</w:t>
      </w:r>
    </w:p>
    <w:p w:rsidR="00E7329B" w:rsidRPr="00BE2056" w:rsidRDefault="00E7329B" w:rsidP="00E7329B">
      <w:pPr>
        <w:pStyle w:val="Endofdocument-Annex"/>
        <w:spacing w:before="720"/>
        <w:rPr>
          <w:lang w:val="fr-FR"/>
        </w:rPr>
      </w:pPr>
      <w:r w:rsidRPr="00BE2056">
        <w:rPr>
          <w:lang w:val="fr-FR"/>
        </w:rPr>
        <w:t>[L</w:t>
      </w:r>
      <w:r w:rsidR="00BE2056">
        <w:rPr>
          <w:lang w:val="fr-FR"/>
        </w:rPr>
        <w:t>’</w:t>
      </w:r>
      <w:r w:rsidRPr="00BE2056">
        <w:rPr>
          <w:lang w:val="fr-FR"/>
        </w:rPr>
        <w:t>annexe suit]</w:t>
      </w:r>
    </w:p>
    <w:p w:rsidR="005A0D6D" w:rsidRPr="00BE2056" w:rsidRDefault="005A0D6D" w:rsidP="005A0D6D">
      <w:pPr>
        <w:pStyle w:val="Endofdocument-Annex"/>
        <w:spacing w:before="720"/>
        <w:rPr>
          <w:lang w:val="fr-FR"/>
        </w:rPr>
        <w:sectPr w:rsidR="005A0D6D" w:rsidRPr="00BE2056" w:rsidSect="00891EAC">
          <w:headerReference w:type="default" r:id="rId9"/>
          <w:endnotePr>
            <w:numFmt w:val="decimal"/>
          </w:endnotePr>
          <w:pgSz w:w="11907" w:h="16840" w:code="9"/>
          <w:pgMar w:top="567" w:right="1134" w:bottom="1418" w:left="1418" w:header="510" w:footer="1021" w:gutter="0"/>
          <w:cols w:space="720"/>
          <w:titlePg/>
          <w:docGrid w:linePitch="299"/>
        </w:sectPr>
      </w:pPr>
    </w:p>
    <w:p w:rsidR="00E7329B" w:rsidRPr="004F5953" w:rsidRDefault="00E7329B" w:rsidP="00E7329B">
      <w:pPr>
        <w:jc w:val="center"/>
        <w:rPr>
          <w:b/>
          <w:sz w:val="24"/>
          <w:szCs w:val="24"/>
          <w:lang w:val="fr-FR"/>
        </w:rPr>
      </w:pPr>
      <w:r w:rsidRPr="004F5953">
        <w:rPr>
          <w:b/>
          <w:sz w:val="24"/>
          <w:szCs w:val="24"/>
          <w:lang w:val="fr-FR"/>
        </w:rPr>
        <w:lastRenderedPageBreak/>
        <w:t>Contribution à la prospérité financière de l</w:t>
      </w:r>
      <w:r w:rsidR="00BE2056" w:rsidRPr="004F5953">
        <w:rPr>
          <w:b/>
          <w:sz w:val="24"/>
          <w:szCs w:val="24"/>
          <w:lang w:val="fr-FR"/>
        </w:rPr>
        <w:t>’</w:t>
      </w:r>
      <w:r w:rsidRPr="004F5953">
        <w:rPr>
          <w:b/>
          <w:sz w:val="24"/>
          <w:szCs w:val="24"/>
          <w:lang w:val="fr-FR"/>
        </w:rPr>
        <w:t>Organisation</w:t>
      </w:r>
    </w:p>
    <w:p w:rsidR="00E7329B" w:rsidRPr="004F5953" w:rsidRDefault="00E7329B" w:rsidP="005A0D6D">
      <w:pPr>
        <w:jc w:val="center"/>
        <w:rPr>
          <w:b/>
          <w:sz w:val="24"/>
          <w:szCs w:val="24"/>
          <w:lang w:val="fr-FR"/>
        </w:rPr>
      </w:pPr>
    </w:p>
    <w:p w:rsidR="00E7329B" w:rsidRPr="004F5953" w:rsidRDefault="00E7329B" w:rsidP="00E7329B">
      <w:pPr>
        <w:jc w:val="center"/>
        <w:rPr>
          <w:b/>
          <w:sz w:val="24"/>
          <w:szCs w:val="24"/>
          <w:lang w:val="fr-FR"/>
        </w:rPr>
      </w:pPr>
      <w:r w:rsidRPr="004F5953">
        <w:rPr>
          <w:b/>
          <w:sz w:val="24"/>
          <w:szCs w:val="24"/>
          <w:lang w:val="fr-FR"/>
        </w:rPr>
        <w:t>Communication des États</w:t>
      </w:r>
      <w:r w:rsidR="00891EAC" w:rsidRPr="004F5953">
        <w:rPr>
          <w:b/>
          <w:sz w:val="24"/>
          <w:szCs w:val="24"/>
          <w:lang w:val="fr-FR"/>
        </w:rPr>
        <w:noBreakHyphen/>
      </w:r>
      <w:r w:rsidRPr="004F5953">
        <w:rPr>
          <w:b/>
          <w:sz w:val="24"/>
          <w:szCs w:val="24"/>
          <w:lang w:val="fr-FR"/>
        </w:rPr>
        <w:t>Unis d</w:t>
      </w:r>
      <w:r w:rsidR="00BE2056" w:rsidRPr="004F5953">
        <w:rPr>
          <w:b/>
          <w:sz w:val="24"/>
          <w:szCs w:val="24"/>
          <w:lang w:val="fr-FR"/>
        </w:rPr>
        <w:t>’</w:t>
      </w:r>
      <w:r w:rsidRPr="004F5953">
        <w:rPr>
          <w:b/>
          <w:sz w:val="24"/>
          <w:szCs w:val="24"/>
          <w:lang w:val="fr-FR"/>
        </w:rPr>
        <w:t xml:space="preserve">Amérique au Groupe de travail </w:t>
      </w:r>
      <w:r w:rsidR="004F5953" w:rsidRPr="004F5953">
        <w:rPr>
          <w:b/>
          <w:sz w:val="24"/>
          <w:szCs w:val="24"/>
          <w:lang w:val="fr-FR"/>
        </w:rPr>
        <w:t xml:space="preserve">du système </w:t>
      </w:r>
      <w:r w:rsidRPr="004F5953">
        <w:rPr>
          <w:b/>
          <w:sz w:val="24"/>
          <w:szCs w:val="24"/>
          <w:lang w:val="fr-FR"/>
        </w:rPr>
        <w:t xml:space="preserve">de </w:t>
      </w:r>
      <w:r w:rsidR="00BE2056" w:rsidRPr="004F5953">
        <w:rPr>
          <w:b/>
          <w:sz w:val="24"/>
          <w:szCs w:val="24"/>
          <w:lang w:val="fr-FR"/>
        </w:rPr>
        <w:t>La Haye</w:t>
      </w:r>
    </w:p>
    <w:p w:rsidR="00E7329B" w:rsidRPr="004F5953" w:rsidRDefault="00E7329B" w:rsidP="005A0D6D">
      <w:pPr>
        <w:jc w:val="center"/>
        <w:rPr>
          <w:b/>
          <w:sz w:val="24"/>
          <w:szCs w:val="24"/>
          <w:lang w:val="fr-FR"/>
        </w:rPr>
      </w:pPr>
    </w:p>
    <w:p w:rsidR="00E7329B" w:rsidRPr="004F5953" w:rsidRDefault="003A6489" w:rsidP="00042960">
      <w:pPr>
        <w:ind w:firstLine="567"/>
        <w:rPr>
          <w:sz w:val="24"/>
          <w:szCs w:val="24"/>
          <w:lang w:val="fr-FR"/>
        </w:rPr>
      </w:pPr>
      <w:r w:rsidRPr="004F5953">
        <w:rPr>
          <w:sz w:val="24"/>
          <w:szCs w:val="24"/>
          <w:lang w:val="fr-FR"/>
        </w:rPr>
        <w:t xml:space="preserve">Conformément à la décision prise en </w:t>
      </w:r>
      <w:r w:rsidR="00BE2056" w:rsidRPr="004F5953">
        <w:rPr>
          <w:sz w:val="24"/>
          <w:szCs w:val="24"/>
          <w:lang w:val="fr-FR"/>
        </w:rPr>
        <w:t>octobre 20</w:t>
      </w:r>
      <w:r w:rsidRPr="004F5953">
        <w:rPr>
          <w:sz w:val="24"/>
          <w:szCs w:val="24"/>
          <w:lang w:val="fr-FR"/>
        </w:rPr>
        <w:t>17 par les assemblées des États membres de l</w:t>
      </w:r>
      <w:r w:rsidR="00BE2056" w:rsidRPr="004F5953">
        <w:rPr>
          <w:sz w:val="24"/>
          <w:szCs w:val="24"/>
          <w:lang w:val="fr-FR"/>
        </w:rPr>
        <w:t>’</w:t>
      </w:r>
      <w:r w:rsidRPr="004F5953">
        <w:rPr>
          <w:sz w:val="24"/>
          <w:szCs w:val="24"/>
          <w:lang w:val="fr-FR"/>
        </w:rPr>
        <w:t>OMPI en ce qui concerne le programme et budget de l</w:t>
      </w:r>
      <w:r w:rsidR="00BE2056" w:rsidRPr="004F5953">
        <w:rPr>
          <w:sz w:val="24"/>
          <w:szCs w:val="24"/>
          <w:lang w:val="fr-FR"/>
        </w:rPr>
        <w:t>’</w:t>
      </w:r>
      <w:r w:rsidRPr="004F5953">
        <w:rPr>
          <w:sz w:val="24"/>
          <w:szCs w:val="24"/>
          <w:lang w:val="fr-FR"/>
        </w:rPr>
        <w:t>Organisation pour l</w:t>
      </w:r>
      <w:r w:rsidR="00BE2056" w:rsidRPr="004F5953">
        <w:rPr>
          <w:sz w:val="24"/>
          <w:szCs w:val="24"/>
          <w:lang w:val="fr-FR"/>
        </w:rPr>
        <w:t>’</w:t>
      </w:r>
      <w:r w:rsidRPr="004F5953">
        <w:rPr>
          <w:sz w:val="24"/>
          <w:szCs w:val="24"/>
          <w:lang w:val="fr-FR"/>
        </w:rPr>
        <w:t>exercice 2018</w:t>
      </w:r>
      <w:r w:rsidR="00891EAC" w:rsidRPr="004F5953">
        <w:rPr>
          <w:sz w:val="24"/>
          <w:szCs w:val="24"/>
          <w:lang w:val="fr-FR"/>
        </w:rPr>
        <w:noBreakHyphen/>
      </w:r>
      <w:r w:rsidRPr="004F5953">
        <w:rPr>
          <w:sz w:val="24"/>
          <w:szCs w:val="24"/>
          <w:lang w:val="fr-FR"/>
        </w:rPr>
        <w:t>2019</w:t>
      </w:r>
      <w:r w:rsidRPr="004F5953">
        <w:rPr>
          <w:rStyle w:val="FootnoteReference"/>
          <w:sz w:val="24"/>
          <w:szCs w:val="24"/>
          <w:lang w:val="fr-FR"/>
        </w:rPr>
        <w:footnoteReference w:id="2"/>
      </w:r>
      <w:r w:rsidRPr="004F5953">
        <w:rPr>
          <w:sz w:val="24"/>
          <w:szCs w:val="24"/>
          <w:lang w:val="fr-FR"/>
        </w:rPr>
        <w:t>, chaque union financée par des taxes qui a un déficit prévu doit envisager des mesures conformément à son propre traité afin de combler ce défic</w:t>
      </w:r>
      <w:r w:rsidR="00891EAC" w:rsidRPr="004F5953">
        <w:rPr>
          <w:sz w:val="24"/>
          <w:szCs w:val="24"/>
          <w:lang w:val="fr-FR"/>
        </w:rPr>
        <w:t>it.  Le</w:t>
      </w:r>
      <w:r w:rsidR="00D92B79" w:rsidRPr="004F5953">
        <w:rPr>
          <w:sz w:val="24"/>
          <w:szCs w:val="24"/>
          <w:lang w:val="fr-FR"/>
        </w:rPr>
        <w:t>s États</w:t>
      </w:r>
      <w:r w:rsidR="00891EAC" w:rsidRPr="004F5953">
        <w:rPr>
          <w:sz w:val="24"/>
          <w:szCs w:val="24"/>
          <w:lang w:val="fr-FR"/>
        </w:rPr>
        <w:noBreakHyphen/>
      </w:r>
      <w:r w:rsidR="00D92B79" w:rsidRPr="004F5953">
        <w:rPr>
          <w:sz w:val="24"/>
          <w:szCs w:val="24"/>
          <w:lang w:val="fr-FR"/>
        </w:rPr>
        <w:t>Unis estiment que la viabilité à long terme de l</w:t>
      </w:r>
      <w:r w:rsidR="00BE2056" w:rsidRPr="004F5953">
        <w:rPr>
          <w:sz w:val="24"/>
          <w:szCs w:val="24"/>
          <w:lang w:val="fr-FR"/>
        </w:rPr>
        <w:t>’</w:t>
      </w:r>
      <w:r w:rsidR="00D92B79" w:rsidRPr="004F5953">
        <w:rPr>
          <w:sz w:val="24"/>
          <w:szCs w:val="24"/>
          <w:lang w:val="fr-FR"/>
        </w:rPr>
        <w:t>OMPI dépend de la capacité de chacune des unions financées par des taxes de couvrir leurs propres dépenses et de contribuer aux dépenses communes de l</w:t>
      </w:r>
      <w:r w:rsidR="00BE2056" w:rsidRPr="004F5953">
        <w:rPr>
          <w:sz w:val="24"/>
          <w:szCs w:val="24"/>
          <w:lang w:val="fr-FR"/>
        </w:rPr>
        <w:t>’</w:t>
      </w:r>
      <w:r w:rsidR="00D92B79" w:rsidRPr="004F5953">
        <w:rPr>
          <w:sz w:val="24"/>
          <w:szCs w:val="24"/>
          <w:lang w:val="fr-FR"/>
        </w:rPr>
        <w:t>Organisation, comme le prescrivent leurs traités respectifs.</w:t>
      </w:r>
    </w:p>
    <w:p w:rsidR="00E7329B" w:rsidRPr="004F5953" w:rsidRDefault="00E7329B" w:rsidP="005A0D6D">
      <w:pPr>
        <w:rPr>
          <w:sz w:val="24"/>
          <w:szCs w:val="24"/>
          <w:lang w:val="fr-FR"/>
        </w:rPr>
      </w:pPr>
    </w:p>
    <w:p w:rsidR="00E7329B" w:rsidRPr="004F5953" w:rsidRDefault="00BE2056" w:rsidP="00042960">
      <w:pPr>
        <w:ind w:firstLine="567"/>
        <w:rPr>
          <w:sz w:val="24"/>
          <w:szCs w:val="24"/>
          <w:lang w:val="fr-FR"/>
        </w:rPr>
      </w:pPr>
      <w:r w:rsidRPr="004F5953">
        <w:rPr>
          <w:sz w:val="24"/>
          <w:szCs w:val="24"/>
          <w:lang w:val="fr-FR"/>
        </w:rPr>
        <w:t>En 2017</w:t>
      </w:r>
      <w:r w:rsidR="00D92B79" w:rsidRPr="004F5953">
        <w:rPr>
          <w:sz w:val="24"/>
          <w:szCs w:val="24"/>
          <w:lang w:val="fr-FR"/>
        </w:rPr>
        <w:t>, l</w:t>
      </w:r>
      <w:r w:rsidRPr="004F5953">
        <w:rPr>
          <w:sz w:val="24"/>
          <w:szCs w:val="24"/>
          <w:lang w:val="fr-FR"/>
        </w:rPr>
        <w:t>’</w:t>
      </w:r>
      <w:r w:rsidR="00D92B79" w:rsidRPr="004F5953">
        <w:rPr>
          <w:sz w:val="24"/>
          <w:szCs w:val="24"/>
          <w:lang w:val="fr-FR"/>
        </w:rPr>
        <w:t>Assemblée de l</w:t>
      </w:r>
      <w:r w:rsidRPr="004F5953">
        <w:rPr>
          <w:sz w:val="24"/>
          <w:szCs w:val="24"/>
          <w:lang w:val="fr-FR"/>
        </w:rPr>
        <w:t>’</w:t>
      </w:r>
      <w:r w:rsidR="00D92B79" w:rsidRPr="004F5953">
        <w:rPr>
          <w:sz w:val="24"/>
          <w:szCs w:val="24"/>
          <w:lang w:val="fr-FR"/>
        </w:rPr>
        <w:t xml:space="preserve">Union de </w:t>
      </w:r>
      <w:r w:rsidRPr="004F5953">
        <w:rPr>
          <w:sz w:val="24"/>
          <w:szCs w:val="24"/>
          <w:lang w:val="fr-FR"/>
        </w:rPr>
        <w:t>La Haye</w:t>
      </w:r>
      <w:r w:rsidR="00D92B79" w:rsidRPr="004F5953">
        <w:rPr>
          <w:sz w:val="24"/>
          <w:szCs w:val="24"/>
          <w:lang w:val="fr-FR"/>
        </w:rPr>
        <w:t xml:space="preserve"> et toutes les </w:t>
      </w:r>
      <w:r w:rsidR="00626B78" w:rsidRPr="004F5953">
        <w:rPr>
          <w:sz w:val="24"/>
          <w:szCs w:val="24"/>
          <w:lang w:val="fr-FR"/>
        </w:rPr>
        <w:t>autres</w:t>
      </w:r>
      <w:r w:rsidR="00D92B79" w:rsidRPr="004F5953">
        <w:rPr>
          <w:sz w:val="24"/>
          <w:szCs w:val="24"/>
          <w:lang w:val="fr-FR"/>
        </w:rPr>
        <w:t xml:space="preserve"> assemblées de l</w:t>
      </w:r>
      <w:r w:rsidRPr="004F5953">
        <w:rPr>
          <w:sz w:val="24"/>
          <w:szCs w:val="24"/>
          <w:lang w:val="fr-FR"/>
        </w:rPr>
        <w:t>’</w:t>
      </w:r>
      <w:r w:rsidR="00D92B79" w:rsidRPr="004F5953">
        <w:rPr>
          <w:sz w:val="24"/>
          <w:szCs w:val="24"/>
          <w:lang w:val="fr-FR"/>
        </w:rPr>
        <w:t xml:space="preserve">OMPI </w:t>
      </w:r>
      <w:r w:rsidRPr="004F5953">
        <w:rPr>
          <w:sz w:val="24"/>
          <w:szCs w:val="24"/>
          <w:lang w:val="fr-FR"/>
        </w:rPr>
        <w:t>ont décidé</w:t>
      </w:r>
      <w:r w:rsidR="00D92B79" w:rsidRPr="004F5953">
        <w:rPr>
          <w:sz w:val="24"/>
          <w:szCs w:val="24"/>
          <w:lang w:val="fr-FR"/>
        </w:rPr>
        <w:t xml:space="preserve"> ce qui suit</w:t>
      </w:r>
      <w:r w:rsidR="00D92B79" w:rsidRPr="004F5953">
        <w:rPr>
          <w:rStyle w:val="FootnoteReference"/>
          <w:sz w:val="24"/>
          <w:szCs w:val="24"/>
          <w:lang w:val="fr-FR"/>
        </w:rPr>
        <w:footnoteReference w:id="3"/>
      </w:r>
      <w:r w:rsidRPr="004F5953">
        <w:rPr>
          <w:sz w:val="24"/>
          <w:szCs w:val="24"/>
          <w:lang w:val="fr-FR"/>
        </w:rPr>
        <w:t> :</w:t>
      </w:r>
    </w:p>
    <w:p w:rsidR="00E7329B" w:rsidRPr="004F5953" w:rsidRDefault="00E7329B" w:rsidP="005A0D6D">
      <w:pPr>
        <w:autoSpaceDE w:val="0"/>
        <w:autoSpaceDN w:val="0"/>
        <w:adjustRightInd w:val="0"/>
        <w:ind w:right="720"/>
        <w:rPr>
          <w:rFonts w:eastAsia="Calibri"/>
          <w:sz w:val="24"/>
          <w:szCs w:val="24"/>
          <w:lang w:val="fr-FR" w:eastAsia="en-US"/>
        </w:rPr>
      </w:pPr>
    </w:p>
    <w:p w:rsidR="00BE2056" w:rsidRPr="004F5953" w:rsidRDefault="00626B78" w:rsidP="00891EAC">
      <w:pPr>
        <w:autoSpaceDE w:val="0"/>
        <w:autoSpaceDN w:val="0"/>
        <w:adjustRightInd w:val="0"/>
        <w:ind w:left="567"/>
        <w:rPr>
          <w:rFonts w:eastAsia="Calibri"/>
          <w:sz w:val="24"/>
          <w:szCs w:val="24"/>
          <w:lang w:val="fr-FR" w:eastAsia="en-US"/>
        </w:rPr>
      </w:pPr>
      <w:r w:rsidRPr="004F5953">
        <w:rPr>
          <w:rFonts w:eastAsia="Calibri"/>
          <w:sz w:val="24"/>
          <w:szCs w:val="24"/>
          <w:lang w:val="fr-FR" w:eastAsia="en-US"/>
        </w:rPr>
        <w:t>“</w:t>
      </w:r>
      <w:r w:rsidR="00D92B79" w:rsidRPr="004F5953">
        <w:rPr>
          <w:rFonts w:eastAsia="Calibri"/>
          <w:sz w:val="24"/>
          <w:szCs w:val="24"/>
          <w:lang w:val="fr-FR" w:eastAsia="en-US"/>
        </w:rPr>
        <w:t>Les assemblées de l</w:t>
      </w:r>
      <w:r w:rsidR="00BE2056" w:rsidRPr="004F5953">
        <w:rPr>
          <w:rFonts w:eastAsia="Calibri"/>
          <w:sz w:val="24"/>
          <w:szCs w:val="24"/>
          <w:lang w:val="fr-FR" w:eastAsia="en-US"/>
        </w:rPr>
        <w:t>’</w:t>
      </w:r>
      <w:r w:rsidR="00D92B79" w:rsidRPr="004F5953">
        <w:rPr>
          <w:rFonts w:eastAsia="Calibri"/>
          <w:sz w:val="24"/>
          <w:szCs w:val="24"/>
          <w:lang w:val="fr-FR" w:eastAsia="en-US"/>
        </w:rPr>
        <w:t>OMPI, chacune pour ce qui la concerne,</w:t>
      </w:r>
    </w:p>
    <w:p w:rsidR="00E7329B" w:rsidRPr="004F5953" w:rsidRDefault="00E7329B" w:rsidP="00891EAC">
      <w:pPr>
        <w:autoSpaceDE w:val="0"/>
        <w:autoSpaceDN w:val="0"/>
        <w:adjustRightInd w:val="0"/>
        <w:ind w:left="567"/>
        <w:rPr>
          <w:rFonts w:eastAsia="Calibri"/>
          <w:sz w:val="24"/>
          <w:szCs w:val="24"/>
          <w:lang w:val="fr-FR" w:eastAsia="en-US"/>
        </w:rPr>
      </w:pPr>
    </w:p>
    <w:p w:rsidR="00E7329B" w:rsidRPr="004F5953" w:rsidRDefault="00626B78" w:rsidP="00891EAC">
      <w:pPr>
        <w:autoSpaceDE w:val="0"/>
        <w:autoSpaceDN w:val="0"/>
        <w:adjustRightInd w:val="0"/>
        <w:ind w:left="567"/>
        <w:rPr>
          <w:rFonts w:eastAsia="Calibri"/>
          <w:sz w:val="24"/>
          <w:szCs w:val="24"/>
          <w:lang w:val="fr-FR" w:eastAsia="en-US"/>
        </w:rPr>
      </w:pPr>
      <w:r w:rsidRPr="004F5953">
        <w:rPr>
          <w:rFonts w:eastAsia="Calibri"/>
          <w:sz w:val="24"/>
          <w:szCs w:val="24"/>
          <w:lang w:val="fr-FR" w:eastAsia="en-US"/>
        </w:rPr>
        <w:t>“</w:t>
      </w:r>
      <w:r w:rsidR="00D92B79" w:rsidRPr="004F5953">
        <w:rPr>
          <w:rFonts w:eastAsia="Calibri"/>
          <w:sz w:val="24"/>
          <w:szCs w:val="24"/>
          <w:lang w:val="fr-FR" w:eastAsia="en-US"/>
        </w:rPr>
        <w:t>i)</w:t>
      </w:r>
      <w:r w:rsidR="00D92B79" w:rsidRPr="004F5953">
        <w:rPr>
          <w:rFonts w:eastAsia="Calibri"/>
          <w:sz w:val="24"/>
          <w:szCs w:val="24"/>
          <w:lang w:val="fr-FR" w:eastAsia="en-US"/>
        </w:rPr>
        <w:tab/>
        <w:t>sont convenues d</w:t>
      </w:r>
      <w:r w:rsidR="00BE2056" w:rsidRPr="004F5953">
        <w:rPr>
          <w:rFonts w:eastAsia="Calibri"/>
          <w:sz w:val="24"/>
          <w:szCs w:val="24"/>
          <w:lang w:val="fr-FR" w:eastAsia="en-US"/>
        </w:rPr>
        <w:t>’</w:t>
      </w:r>
      <w:r w:rsidR="00D92B79" w:rsidRPr="004F5953">
        <w:rPr>
          <w:rFonts w:eastAsia="Calibri"/>
          <w:sz w:val="24"/>
          <w:szCs w:val="24"/>
          <w:lang w:val="fr-FR" w:eastAsia="en-US"/>
        </w:rPr>
        <w:t>approuver le programme et budget proposé pour l</w:t>
      </w:r>
      <w:r w:rsidR="00BE2056" w:rsidRPr="004F5953">
        <w:rPr>
          <w:rFonts w:eastAsia="Calibri"/>
          <w:sz w:val="24"/>
          <w:szCs w:val="24"/>
          <w:lang w:val="fr-FR" w:eastAsia="en-US"/>
        </w:rPr>
        <w:t>’</w:t>
      </w:r>
      <w:r w:rsidR="00D92B79" w:rsidRPr="004F5953">
        <w:rPr>
          <w:rFonts w:eastAsia="Calibri"/>
          <w:sz w:val="24"/>
          <w:szCs w:val="24"/>
          <w:lang w:val="fr-FR" w:eastAsia="en-US"/>
        </w:rPr>
        <w:t xml:space="preserve">exercice </w:t>
      </w:r>
      <w:r w:rsidR="00BE2056" w:rsidRPr="004F5953">
        <w:rPr>
          <w:rFonts w:eastAsia="Calibri"/>
          <w:sz w:val="24"/>
          <w:szCs w:val="24"/>
          <w:lang w:val="fr-FR" w:eastAsia="en-US"/>
        </w:rPr>
        <w:t>biennal 2018</w:t>
      </w:r>
      <w:r w:rsidR="00891EAC" w:rsidRPr="004F5953">
        <w:rPr>
          <w:rFonts w:eastAsia="Calibri"/>
          <w:sz w:val="24"/>
          <w:szCs w:val="24"/>
          <w:lang w:val="fr-FR" w:eastAsia="en-US"/>
        </w:rPr>
        <w:noBreakHyphen/>
      </w:r>
      <w:r w:rsidR="00D92B79" w:rsidRPr="004F5953">
        <w:rPr>
          <w:rFonts w:eastAsia="Calibri"/>
          <w:sz w:val="24"/>
          <w:szCs w:val="24"/>
          <w:lang w:val="fr-FR" w:eastAsia="en-US"/>
        </w:rPr>
        <w:t>2019 (document A/57/6);</w:t>
      </w:r>
    </w:p>
    <w:p w:rsidR="00E7329B" w:rsidRPr="004F5953" w:rsidRDefault="00E7329B" w:rsidP="00891EAC">
      <w:pPr>
        <w:autoSpaceDE w:val="0"/>
        <w:autoSpaceDN w:val="0"/>
        <w:adjustRightInd w:val="0"/>
        <w:ind w:left="567"/>
        <w:rPr>
          <w:rFonts w:eastAsia="Calibri"/>
          <w:sz w:val="24"/>
          <w:szCs w:val="24"/>
          <w:lang w:val="fr-FR" w:eastAsia="en-US"/>
        </w:rPr>
      </w:pPr>
    </w:p>
    <w:p w:rsidR="00E7329B" w:rsidRPr="004F5953" w:rsidRDefault="00891EAC" w:rsidP="00891EAC">
      <w:pPr>
        <w:autoSpaceDE w:val="0"/>
        <w:autoSpaceDN w:val="0"/>
        <w:adjustRightInd w:val="0"/>
        <w:ind w:left="567"/>
        <w:rPr>
          <w:rFonts w:eastAsia="Calibri"/>
          <w:sz w:val="24"/>
          <w:szCs w:val="24"/>
          <w:lang w:val="fr-FR" w:eastAsia="en-US"/>
        </w:rPr>
      </w:pPr>
      <w:r w:rsidRPr="004F5953">
        <w:rPr>
          <w:rFonts w:eastAsia="Calibri"/>
          <w:sz w:val="24"/>
          <w:szCs w:val="24"/>
          <w:lang w:val="fr-FR" w:eastAsia="en-US"/>
        </w:rPr>
        <w:t>“</w:t>
      </w:r>
      <w:r w:rsidR="00D92B79" w:rsidRPr="004F5953">
        <w:rPr>
          <w:rFonts w:eastAsia="Calibri"/>
          <w:sz w:val="24"/>
          <w:szCs w:val="24"/>
          <w:lang w:val="fr-FR" w:eastAsia="en-US"/>
        </w:rPr>
        <w:t>ii)</w:t>
      </w:r>
      <w:r w:rsidR="00D92B79" w:rsidRPr="004F5953">
        <w:rPr>
          <w:rFonts w:eastAsia="Calibri"/>
          <w:sz w:val="24"/>
          <w:szCs w:val="24"/>
          <w:lang w:val="fr-FR" w:eastAsia="en-US"/>
        </w:rPr>
        <w:tab/>
        <w:t>ont rappelé que, en vertu des traités régissant les unions financées par des taxes, chaque union doit disposer de recettes suffisantes pour couvrir ses propres dépenses;</w:t>
      </w:r>
    </w:p>
    <w:p w:rsidR="00E7329B" w:rsidRPr="004F5953" w:rsidRDefault="00E7329B" w:rsidP="00891EAC">
      <w:pPr>
        <w:autoSpaceDE w:val="0"/>
        <w:autoSpaceDN w:val="0"/>
        <w:adjustRightInd w:val="0"/>
        <w:ind w:left="567"/>
        <w:rPr>
          <w:rFonts w:eastAsia="Calibri"/>
          <w:sz w:val="24"/>
          <w:szCs w:val="24"/>
          <w:lang w:val="fr-FR" w:eastAsia="en-US"/>
        </w:rPr>
      </w:pPr>
    </w:p>
    <w:p w:rsidR="00E7329B" w:rsidRPr="004F5953" w:rsidRDefault="00891EAC" w:rsidP="00891EAC">
      <w:pPr>
        <w:autoSpaceDE w:val="0"/>
        <w:autoSpaceDN w:val="0"/>
        <w:adjustRightInd w:val="0"/>
        <w:ind w:left="567"/>
        <w:rPr>
          <w:rFonts w:eastAsia="Calibri"/>
          <w:sz w:val="24"/>
          <w:szCs w:val="24"/>
          <w:lang w:val="fr-FR" w:eastAsia="en-US"/>
        </w:rPr>
      </w:pPr>
      <w:r w:rsidRPr="004F5953">
        <w:rPr>
          <w:rFonts w:eastAsia="Calibri"/>
          <w:sz w:val="24"/>
          <w:szCs w:val="24"/>
          <w:lang w:val="fr-FR" w:eastAsia="en-US"/>
        </w:rPr>
        <w:t>“</w:t>
      </w:r>
      <w:r w:rsidR="00D92B79" w:rsidRPr="004F5953">
        <w:rPr>
          <w:rFonts w:eastAsia="Calibri"/>
          <w:sz w:val="24"/>
          <w:szCs w:val="24"/>
          <w:lang w:val="fr-FR" w:eastAsia="en-US"/>
        </w:rPr>
        <w:t>iii)</w:t>
      </w:r>
      <w:r w:rsidR="00D92B79" w:rsidRPr="004F5953">
        <w:rPr>
          <w:rFonts w:eastAsia="Calibri"/>
          <w:sz w:val="24"/>
          <w:szCs w:val="24"/>
          <w:lang w:val="fr-FR" w:eastAsia="en-US"/>
        </w:rPr>
        <w:tab/>
      </w:r>
      <w:r w:rsidR="00D92B79" w:rsidRPr="004F5953">
        <w:rPr>
          <w:rFonts w:eastAsia="Calibri"/>
          <w:b/>
          <w:i/>
          <w:sz w:val="24"/>
          <w:szCs w:val="24"/>
          <w:lang w:val="fr-FR" w:eastAsia="en-US"/>
        </w:rPr>
        <w:t>ont pris note du fait que les unions financées par des taxes avec un déficit biennal prévu au cours de l</w:t>
      </w:r>
      <w:r w:rsidR="00BE2056" w:rsidRPr="004F5953">
        <w:rPr>
          <w:rFonts w:eastAsia="Calibri"/>
          <w:b/>
          <w:i/>
          <w:sz w:val="24"/>
          <w:szCs w:val="24"/>
          <w:lang w:val="fr-FR" w:eastAsia="en-US"/>
        </w:rPr>
        <w:t>’</w:t>
      </w:r>
      <w:r w:rsidR="00D92B79" w:rsidRPr="004F5953">
        <w:rPr>
          <w:rFonts w:eastAsia="Calibri"/>
          <w:b/>
          <w:i/>
          <w:sz w:val="24"/>
          <w:szCs w:val="24"/>
          <w:lang w:val="fr-FR" w:eastAsia="en-US"/>
        </w:rPr>
        <w:t xml:space="preserve">exercice </w:t>
      </w:r>
      <w:r w:rsidR="00BE2056" w:rsidRPr="004F5953">
        <w:rPr>
          <w:rFonts w:eastAsia="Calibri"/>
          <w:b/>
          <w:i/>
          <w:sz w:val="24"/>
          <w:szCs w:val="24"/>
          <w:lang w:val="fr-FR" w:eastAsia="en-US"/>
        </w:rPr>
        <w:t>biennal 2018</w:t>
      </w:r>
      <w:r w:rsidRPr="004F5953">
        <w:rPr>
          <w:rFonts w:eastAsia="Calibri"/>
          <w:b/>
          <w:i/>
          <w:sz w:val="24"/>
          <w:szCs w:val="24"/>
          <w:lang w:val="fr-FR" w:eastAsia="en-US"/>
        </w:rPr>
        <w:noBreakHyphen/>
      </w:r>
      <w:r w:rsidR="00D92B79" w:rsidRPr="004F5953">
        <w:rPr>
          <w:rFonts w:eastAsia="Calibri"/>
          <w:b/>
          <w:i/>
          <w:sz w:val="24"/>
          <w:szCs w:val="24"/>
          <w:lang w:val="fr-FR" w:eastAsia="en-US"/>
        </w:rPr>
        <w:t>2019 devraient envisager des mesures conformément à leur propre traité afin de combler ce déficit;</w:t>
      </w:r>
    </w:p>
    <w:p w:rsidR="00E7329B" w:rsidRPr="004F5953" w:rsidRDefault="00E7329B" w:rsidP="00891EAC">
      <w:pPr>
        <w:autoSpaceDE w:val="0"/>
        <w:autoSpaceDN w:val="0"/>
        <w:adjustRightInd w:val="0"/>
        <w:ind w:left="567"/>
        <w:rPr>
          <w:rFonts w:eastAsia="Calibri"/>
          <w:sz w:val="24"/>
          <w:szCs w:val="24"/>
          <w:lang w:val="fr-FR" w:eastAsia="en-US"/>
        </w:rPr>
      </w:pPr>
    </w:p>
    <w:p w:rsidR="00E7329B" w:rsidRPr="004F5953" w:rsidRDefault="00626B78" w:rsidP="00891EAC">
      <w:pPr>
        <w:autoSpaceDE w:val="0"/>
        <w:autoSpaceDN w:val="0"/>
        <w:adjustRightInd w:val="0"/>
        <w:ind w:left="567"/>
        <w:rPr>
          <w:rFonts w:eastAsia="Calibri"/>
          <w:sz w:val="24"/>
          <w:szCs w:val="24"/>
          <w:lang w:val="fr-FR" w:eastAsia="en-US"/>
        </w:rPr>
      </w:pPr>
      <w:r w:rsidRPr="004F5953">
        <w:rPr>
          <w:rFonts w:eastAsia="Calibri"/>
          <w:sz w:val="24"/>
          <w:szCs w:val="24"/>
          <w:lang w:val="fr-FR" w:eastAsia="en-US"/>
        </w:rPr>
        <w:t>“</w:t>
      </w:r>
      <w:r w:rsidR="00D92B79" w:rsidRPr="004F5953">
        <w:rPr>
          <w:rFonts w:eastAsia="Calibri"/>
          <w:sz w:val="24"/>
          <w:szCs w:val="24"/>
          <w:lang w:val="fr-FR" w:eastAsia="en-US"/>
        </w:rPr>
        <w:t>iv)</w:t>
      </w:r>
      <w:r w:rsidR="00D92B79" w:rsidRPr="004F5953">
        <w:rPr>
          <w:rFonts w:eastAsia="Calibri"/>
          <w:sz w:val="24"/>
          <w:szCs w:val="24"/>
          <w:lang w:val="fr-FR" w:eastAsia="en-US"/>
        </w:rPr>
        <w:tab/>
        <w:t>ont pris note du fait que, si une union au cours d</w:t>
      </w:r>
      <w:r w:rsidR="00BE2056" w:rsidRPr="004F5953">
        <w:rPr>
          <w:rFonts w:eastAsia="Calibri"/>
          <w:sz w:val="24"/>
          <w:szCs w:val="24"/>
          <w:lang w:val="fr-FR" w:eastAsia="en-US"/>
        </w:rPr>
        <w:t>’</w:t>
      </w:r>
      <w:r w:rsidR="00D92B79" w:rsidRPr="004F5953">
        <w:rPr>
          <w:rFonts w:eastAsia="Calibri"/>
          <w:sz w:val="24"/>
          <w:szCs w:val="24"/>
          <w:lang w:val="fr-FR" w:eastAsia="en-US"/>
        </w:rPr>
        <w:t>un exercice biennal donné ne dispose pas de recettes et de réserves suffisantes pour couvrir les dépenses prévues, le montant nécessaire pour financer les opérations de cette union est prélevé sur les actifs nets de l</w:t>
      </w:r>
      <w:r w:rsidR="00BE2056" w:rsidRPr="004F5953">
        <w:rPr>
          <w:rFonts w:eastAsia="Calibri"/>
          <w:sz w:val="24"/>
          <w:szCs w:val="24"/>
          <w:lang w:val="fr-FR" w:eastAsia="en-US"/>
        </w:rPr>
        <w:t>’</w:t>
      </w:r>
      <w:r w:rsidR="00D92B79" w:rsidRPr="004F5953">
        <w:rPr>
          <w:rFonts w:eastAsia="Calibri"/>
          <w:sz w:val="24"/>
          <w:szCs w:val="24"/>
          <w:lang w:val="fr-FR" w:eastAsia="en-US"/>
        </w:rPr>
        <w:t>Organisation et comptabilisé dans les états financiers de l</w:t>
      </w:r>
      <w:r w:rsidR="00BE2056" w:rsidRPr="004F5953">
        <w:rPr>
          <w:rFonts w:eastAsia="Calibri"/>
          <w:sz w:val="24"/>
          <w:szCs w:val="24"/>
          <w:lang w:val="fr-FR" w:eastAsia="en-US"/>
        </w:rPr>
        <w:t>’</w:t>
      </w:r>
      <w:r w:rsidR="00D92B79" w:rsidRPr="004F5953">
        <w:rPr>
          <w:rFonts w:eastAsia="Calibri"/>
          <w:sz w:val="24"/>
          <w:szCs w:val="24"/>
          <w:lang w:val="fr-FR" w:eastAsia="en-US"/>
        </w:rPr>
        <w:t>Organisation et doit être remboursé lorsque les réserves de cette union le permettent;</w:t>
      </w:r>
    </w:p>
    <w:p w:rsidR="00E7329B" w:rsidRPr="004F5953" w:rsidRDefault="00E7329B" w:rsidP="00891EAC">
      <w:pPr>
        <w:autoSpaceDE w:val="0"/>
        <w:autoSpaceDN w:val="0"/>
        <w:adjustRightInd w:val="0"/>
        <w:ind w:left="567"/>
        <w:rPr>
          <w:rFonts w:eastAsia="Calibri"/>
          <w:sz w:val="24"/>
          <w:szCs w:val="24"/>
          <w:lang w:val="fr-FR" w:eastAsia="en-US"/>
        </w:rPr>
      </w:pPr>
    </w:p>
    <w:p w:rsidR="00E7329B" w:rsidRPr="004F5953" w:rsidRDefault="00626B78" w:rsidP="00891EAC">
      <w:pPr>
        <w:autoSpaceDE w:val="0"/>
        <w:autoSpaceDN w:val="0"/>
        <w:adjustRightInd w:val="0"/>
        <w:ind w:left="567"/>
        <w:rPr>
          <w:rFonts w:eastAsia="Calibri"/>
          <w:sz w:val="24"/>
          <w:szCs w:val="24"/>
          <w:lang w:val="fr-FR" w:eastAsia="en-US"/>
        </w:rPr>
      </w:pPr>
      <w:r w:rsidRPr="004F5953">
        <w:rPr>
          <w:rFonts w:eastAsia="Calibri"/>
          <w:sz w:val="24"/>
          <w:szCs w:val="24"/>
          <w:lang w:val="fr-FR" w:eastAsia="en-US"/>
        </w:rPr>
        <w:t>“</w:t>
      </w:r>
      <w:r w:rsidR="00D92B79" w:rsidRPr="004F5953">
        <w:rPr>
          <w:rFonts w:eastAsia="Calibri"/>
          <w:sz w:val="24"/>
          <w:szCs w:val="24"/>
          <w:lang w:val="fr-FR" w:eastAsia="en-US"/>
        </w:rPr>
        <w:t>v)</w:t>
      </w:r>
      <w:r w:rsidR="00D92B79" w:rsidRPr="004F5953">
        <w:rPr>
          <w:rFonts w:eastAsia="Calibri"/>
          <w:sz w:val="24"/>
          <w:szCs w:val="24"/>
          <w:lang w:val="fr-FR" w:eastAsia="en-US"/>
        </w:rPr>
        <w:tab/>
        <w:t xml:space="preserve">ont décidé que, conformément au </w:t>
      </w:r>
      <w:r w:rsidR="00BE2056" w:rsidRPr="004F5953">
        <w:rPr>
          <w:rFonts w:eastAsia="Calibri"/>
          <w:sz w:val="24"/>
          <w:szCs w:val="24"/>
          <w:lang w:val="fr-FR" w:eastAsia="en-US"/>
        </w:rPr>
        <w:t>point iv)</w:t>
      </w:r>
      <w:r w:rsidR="00D92B79" w:rsidRPr="004F5953">
        <w:rPr>
          <w:rFonts w:eastAsia="Calibri"/>
          <w:sz w:val="24"/>
          <w:szCs w:val="24"/>
          <w:lang w:val="fr-FR" w:eastAsia="en-US"/>
        </w:rPr>
        <w:t>, pour l</w:t>
      </w:r>
      <w:r w:rsidR="00BE2056" w:rsidRPr="004F5953">
        <w:rPr>
          <w:rFonts w:eastAsia="Calibri"/>
          <w:sz w:val="24"/>
          <w:szCs w:val="24"/>
          <w:lang w:val="fr-FR" w:eastAsia="en-US"/>
        </w:rPr>
        <w:t>’</w:t>
      </w:r>
      <w:r w:rsidR="00D92B79" w:rsidRPr="004F5953">
        <w:rPr>
          <w:rFonts w:eastAsia="Calibri"/>
          <w:sz w:val="24"/>
          <w:szCs w:val="24"/>
          <w:lang w:val="fr-FR" w:eastAsia="en-US"/>
        </w:rPr>
        <w:t xml:space="preserve">exercice </w:t>
      </w:r>
      <w:r w:rsidR="00BE2056" w:rsidRPr="004F5953">
        <w:rPr>
          <w:rFonts w:eastAsia="Calibri"/>
          <w:sz w:val="24"/>
          <w:szCs w:val="24"/>
          <w:lang w:val="fr-FR" w:eastAsia="en-US"/>
        </w:rPr>
        <w:t>biennal 2018</w:t>
      </w:r>
      <w:r w:rsidR="00891EAC" w:rsidRPr="004F5953">
        <w:rPr>
          <w:rFonts w:eastAsia="Calibri"/>
          <w:sz w:val="24"/>
          <w:szCs w:val="24"/>
          <w:lang w:val="fr-FR" w:eastAsia="en-US"/>
        </w:rPr>
        <w:noBreakHyphen/>
      </w:r>
      <w:r w:rsidR="00D92B79" w:rsidRPr="004F5953">
        <w:rPr>
          <w:rFonts w:eastAsia="Calibri"/>
          <w:sz w:val="24"/>
          <w:szCs w:val="24"/>
          <w:lang w:val="fr-FR" w:eastAsia="en-US"/>
        </w:rPr>
        <w:t xml:space="preserve">2019, si une union financée par des taxes ne dispose pas de recettes suffisantes pour couvrir ses dépenses, le montant nécessaire mentionné au </w:t>
      </w:r>
      <w:r w:rsidR="00BE2056" w:rsidRPr="004F5953">
        <w:rPr>
          <w:rFonts w:eastAsia="Calibri"/>
          <w:sz w:val="24"/>
          <w:szCs w:val="24"/>
          <w:lang w:val="fr-FR" w:eastAsia="en-US"/>
        </w:rPr>
        <w:t>point iv)</w:t>
      </w:r>
      <w:r w:rsidR="00D92B79" w:rsidRPr="004F5953">
        <w:rPr>
          <w:rFonts w:eastAsia="Calibri"/>
          <w:sz w:val="24"/>
          <w:szCs w:val="24"/>
          <w:lang w:val="fr-FR" w:eastAsia="en-US"/>
        </w:rPr>
        <w:t xml:space="preserve"> sera imputé aux réserves des unions financées par des contributions si ces réserves sont suffisantes;  dans le cas contraire, il sera prélevé sur les réserves des autres unions financées par des taxes.</w:t>
      </w:r>
      <w:r w:rsidR="00891EAC" w:rsidRPr="004F5953">
        <w:rPr>
          <w:rFonts w:eastAsia="Calibri"/>
          <w:sz w:val="24"/>
          <w:szCs w:val="24"/>
          <w:lang w:val="fr-FR" w:eastAsia="en-US"/>
        </w:rPr>
        <w:t>”</w:t>
      </w:r>
      <w:r w:rsidR="004F5953">
        <w:rPr>
          <w:rFonts w:eastAsia="Calibri"/>
          <w:sz w:val="24"/>
          <w:szCs w:val="24"/>
          <w:lang w:val="fr-FR" w:eastAsia="en-US"/>
        </w:rPr>
        <w:t xml:space="preserve"> </w:t>
      </w:r>
      <w:r w:rsidR="00D92B79" w:rsidRPr="004F5953">
        <w:rPr>
          <w:rFonts w:eastAsia="Calibri"/>
          <w:sz w:val="24"/>
          <w:szCs w:val="24"/>
          <w:lang w:val="fr-FR" w:eastAsia="en-US"/>
        </w:rPr>
        <w:t>(</w:t>
      </w:r>
      <w:proofErr w:type="gramStart"/>
      <w:r w:rsidR="00D92B79" w:rsidRPr="004F5953">
        <w:rPr>
          <w:rFonts w:eastAsia="Calibri"/>
          <w:sz w:val="24"/>
          <w:szCs w:val="24"/>
          <w:lang w:val="fr-FR" w:eastAsia="en-US"/>
        </w:rPr>
        <w:t>sans</w:t>
      </w:r>
      <w:proofErr w:type="gramEnd"/>
      <w:r w:rsidR="00D92B79" w:rsidRPr="004F5953">
        <w:rPr>
          <w:rFonts w:eastAsia="Calibri"/>
          <w:sz w:val="24"/>
          <w:szCs w:val="24"/>
          <w:lang w:val="fr-FR" w:eastAsia="en-US"/>
        </w:rPr>
        <w:t xml:space="preserve"> </w:t>
      </w:r>
      <w:r w:rsidRPr="004F5953">
        <w:rPr>
          <w:rFonts w:eastAsia="Calibri"/>
          <w:sz w:val="24"/>
          <w:szCs w:val="24"/>
          <w:lang w:val="fr-FR" w:eastAsia="en-US"/>
        </w:rPr>
        <w:t xml:space="preserve">caractères gras ni </w:t>
      </w:r>
      <w:r w:rsidR="00D92B79" w:rsidRPr="004F5953">
        <w:rPr>
          <w:rFonts w:eastAsia="Calibri"/>
          <w:sz w:val="24"/>
          <w:szCs w:val="24"/>
          <w:lang w:val="fr-FR" w:eastAsia="en-US"/>
        </w:rPr>
        <w:t>italiques dans l</w:t>
      </w:r>
      <w:r w:rsidR="00BE2056" w:rsidRPr="004F5953">
        <w:rPr>
          <w:rFonts w:eastAsia="Calibri"/>
          <w:sz w:val="24"/>
          <w:szCs w:val="24"/>
          <w:lang w:val="fr-FR" w:eastAsia="en-US"/>
        </w:rPr>
        <w:t>’</w:t>
      </w:r>
      <w:r w:rsidR="004F5953">
        <w:rPr>
          <w:rFonts w:eastAsia="Calibri"/>
          <w:sz w:val="24"/>
          <w:szCs w:val="24"/>
          <w:lang w:val="fr-FR" w:eastAsia="en-US"/>
        </w:rPr>
        <w:t>original)</w:t>
      </w:r>
      <w:bookmarkStart w:id="6" w:name="_GoBack"/>
      <w:bookmarkEnd w:id="6"/>
    </w:p>
    <w:p w:rsidR="00E7329B" w:rsidRPr="004F5953" w:rsidRDefault="00E7329B" w:rsidP="00891EAC">
      <w:pPr>
        <w:autoSpaceDE w:val="0"/>
        <w:autoSpaceDN w:val="0"/>
        <w:adjustRightInd w:val="0"/>
        <w:ind w:left="567"/>
        <w:rPr>
          <w:rFonts w:eastAsia="Calibri"/>
          <w:sz w:val="24"/>
          <w:szCs w:val="24"/>
          <w:lang w:val="fr-FR" w:eastAsia="en-US"/>
        </w:rPr>
      </w:pPr>
    </w:p>
    <w:p w:rsidR="00BE2056" w:rsidRPr="004F5953" w:rsidRDefault="00D92B79" w:rsidP="00042960">
      <w:pPr>
        <w:rPr>
          <w:sz w:val="24"/>
          <w:szCs w:val="24"/>
          <w:lang w:val="fr-FR"/>
        </w:rPr>
      </w:pPr>
      <w:r w:rsidRPr="004F5953">
        <w:rPr>
          <w:rFonts w:eastAsia="Calibri"/>
          <w:sz w:val="24"/>
          <w:szCs w:val="24"/>
          <w:lang w:val="fr-FR" w:eastAsia="en-US"/>
        </w:rPr>
        <w:lastRenderedPageBreak/>
        <w:t>L</w:t>
      </w:r>
      <w:r w:rsidR="00BE2056" w:rsidRPr="004F5953">
        <w:rPr>
          <w:rFonts w:eastAsia="Calibri"/>
          <w:sz w:val="24"/>
          <w:szCs w:val="24"/>
          <w:lang w:val="fr-FR" w:eastAsia="en-US"/>
        </w:rPr>
        <w:t>’annexe I</w:t>
      </w:r>
      <w:r w:rsidRPr="004F5953">
        <w:rPr>
          <w:rFonts w:eastAsia="Calibri"/>
          <w:sz w:val="24"/>
          <w:szCs w:val="24"/>
          <w:lang w:val="fr-FR" w:eastAsia="en-US"/>
        </w:rPr>
        <w:t>II du programme et budget pour l</w:t>
      </w:r>
      <w:r w:rsidR="00BE2056" w:rsidRPr="004F5953">
        <w:rPr>
          <w:rFonts w:eastAsia="Calibri"/>
          <w:sz w:val="24"/>
          <w:szCs w:val="24"/>
          <w:lang w:val="fr-FR" w:eastAsia="en-US"/>
        </w:rPr>
        <w:t>’</w:t>
      </w:r>
      <w:r w:rsidRPr="004F5953">
        <w:rPr>
          <w:rFonts w:eastAsia="Calibri"/>
          <w:sz w:val="24"/>
          <w:szCs w:val="24"/>
          <w:lang w:val="fr-FR" w:eastAsia="en-US"/>
        </w:rPr>
        <w:t xml:space="preserve">exercice </w:t>
      </w:r>
      <w:r w:rsidR="00BE2056" w:rsidRPr="004F5953">
        <w:rPr>
          <w:rFonts w:eastAsia="Calibri"/>
          <w:sz w:val="24"/>
          <w:szCs w:val="24"/>
          <w:lang w:val="fr-FR" w:eastAsia="en-US"/>
        </w:rPr>
        <w:t>biennal 2018</w:t>
      </w:r>
      <w:r w:rsidR="00891EAC" w:rsidRPr="004F5953">
        <w:rPr>
          <w:rFonts w:eastAsia="Calibri"/>
          <w:sz w:val="24"/>
          <w:szCs w:val="24"/>
          <w:lang w:val="fr-FR" w:eastAsia="en-US"/>
        </w:rPr>
        <w:noBreakHyphen/>
      </w:r>
      <w:r w:rsidRPr="004F5953">
        <w:rPr>
          <w:rFonts w:eastAsia="Calibri"/>
          <w:sz w:val="24"/>
          <w:szCs w:val="24"/>
          <w:lang w:val="fr-FR" w:eastAsia="en-US"/>
        </w:rPr>
        <w:t>2019, consacré au budget des unions, indique clairement que l</w:t>
      </w:r>
      <w:r w:rsidR="00BE2056" w:rsidRPr="004F5953">
        <w:rPr>
          <w:rFonts w:eastAsia="Calibri"/>
          <w:sz w:val="24"/>
          <w:szCs w:val="24"/>
          <w:lang w:val="fr-FR" w:eastAsia="en-US"/>
        </w:rPr>
        <w:t>’</w:t>
      </w:r>
      <w:r w:rsidRPr="004F5953">
        <w:rPr>
          <w:rFonts w:eastAsia="Calibri"/>
          <w:sz w:val="24"/>
          <w:szCs w:val="24"/>
          <w:lang w:val="fr-FR" w:eastAsia="en-US"/>
        </w:rPr>
        <w:t xml:space="preserve">Union de </w:t>
      </w:r>
      <w:r w:rsidR="00BE2056" w:rsidRPr="004F5953">
        <w:rPr>
          <w:rFonts w:eastAsia="Calibri"/>
          <w:sz w:val="24"/>
          <w:szCs w:val="24"/>
          <w:lang w:val="fr-FR" w:eastAsia="en-US"/>
        </w:rPr>
        <w:t>La Haye</w:t>
      </w:r>
      <w:r w:rsidRPr="004F5953">
        <w:rPr>
          <w:rFonts w:eastAsia="Calibri"/>
          <w:sz w:val="24"/>
          <w:szCs w:val="24"/>
          <w:lang w:val="fr-FR" w:eastAsia="en-US"/>
        </w:rPr>
        <w:t xml:space="preserve"> a un déficit prévu pour l</w:t>
      </w:r>
      <w:r w:rsidR="00BE2056" w:rsidRPr="004F5953">
        <w:rPr>
          <w:rFonts w:eastAsia="Calibri"/>
          <w:sz w:val="24"/>
          <w:szCs w:val="24"/>
          <w:lang w:val="fr-FR" w:eastAsia="en-US"/>
        </w:rPr>
        <w:t>’</w:t>
      </w:r>
      <w:r w:rsidRPr="004F5953">
        <w:rPr>
          <w:rFonts w:eastAsia="Calibri"/>
          <w:sz w:val="24"/>
          <w:szCs w:val="24"/>
          <w:lang w:val="fr-FR" w:eastAsia="en-US"/>
        </w:rPr>
        <w:t>exercice bienn</w:t>
      </w:r>
      <w:r w:rsidR="00891EAC" w:rsidRPr="004F5953">
        <w:rPr>
          <w:rFonts w:eastAsia="Calibri"/>
          <w:sz w:val="24"/>
          <w:szCs w:val="24"/>
          <w:lang w:val="fr-FR" w:eastAsia="en-US"/>
        </w:rPr>
        <w:t>al.  El</w:t>
      </w:r>
      <w:r w:rsidRPr="004F5953">
        <w:rPr>
          <w:rFonts w:eastAsia="Calibri"/>
          <w:sz w:val="24"/>
          <w:szCs w:val="24"/>
          <w:lang w:val="fr-FR" w:eastAsia="en-US"/>
        </w:rPr>
        <w:t>le fait état pour l</w:t>
      </w:r>
      <w:r w:rsidR="00BE2056" w:rsidRPr="004F5953">
        <w:rPr>
          <w:rFonts w:eastAsia="Calibri"/>
          <w:sz w:val="24"/>
          <w:szCs w:val="24"/>
          <w:lang w:val="fr-FR" w:eastAsia="en-US"/>
        </w:rPr>
        <w:t>’</w:t>
      </w:r>
      <w:r w:rsidRPr="004F5953">
        <w:rPr>
          <w:rFonts w:eastAsia="Calibri"/>
          <w:sz w:val="24"/>
          <w:szCs w:val="24"/>
          <w:lang w:val="fr-FR" w:eastAsia="en-US"/>
        </w:rPr>
        <w:t xml:space="preserve">Union de </w:t>
      </w:r>
      <w:r w:rsidR="00BE2056" w:rsidRPr="004F5953">
        <w:rPr>
          <w:rFonts w:eastAsia="Calibri"/>
          <w:sz w:val="24"/>
          <w:szCs w:val="24"/>
          <w:lang w:val="fr-FR" w:eastAsia="en-US"/>
        </w:rPr>
        <w:t>La Haye</w:t>
      </w:r>
      <w:r w:rsidRPr="004F5953">
        <w:rPr>
          <w:rFonts w:eastAsia="Calibri"/>
          <w:sz w:val="24"/>
          <w:szCs w:val="24"/>
          <w:lang w:val="fr-FR" w:eastAsia="en-US"/>
        </w:rPr>
        <w:t xml:space="preserve"> de recettes à hauteur de 12</w:t>
      </w:r>
      <w:r w:rsidR="00960248" w:rsidRPr="004F5953">
        <w:rPr>
          <w:rFonts w:eastAsia="Calibri"/>
          <w:sz w:val="24"/>
          <w:szCs w:val="24"/>
          <w:lang w:val="fr-FR" w:eastAsia="en-US"/>
        </w:rPr>
        <w:t> </w:t>
      </w:r>
      <w:r w:rsidRPr="004F5953">
        <w:rPr>
          <w:rFonts w:eastAsia="Calibri"/>
          <w:sz w:val="24"/>
          <w:szCs w:val="24"/>
          <w:lang w:val="fr-FR" w:eastAsia="en-US"/>
        </w:rPr>
        <w:t>324</w:t>
      </w:r>
      <w:r w:rsidR="00960248" w:rsidRPr="004F5953">
        <w:rPr>
          <w:rFonts w:eastAsia="Calibri"/>
          <w:sz w:val="24"/>
          <w:szCs w:val="24"/>
          <w:lang w:val="fr-FR" w:eastAsia="en-US"/>
        </w:rPr>
        <w:t> </w:t>
      </w:r>
      <w:r w:rsidRPr="004F5953">
        <w:rPr>
          <w:rFonts w:eastAsia="Calibri"/>
          <w:sz w:val="24"/>
          <w:szCs w:val="24"/>
          <w:lang w:val="fr-FR" w:eastAsia="en-US"/>
        </w:rPr>
        <w:t>00</w:t>
      </w:r>
      <w:r w:rsidR="00BE2056" w:rsidRPr="004F5953">
        <w:rPr>
          <w:rFonts w:eastAsia="Calibri"/>
          <w:sz w:val="24"/>
          <w:szCs w:val="24"/>
          <w:lang w:val="fr-FR" w:eastAsia="en-US"/>
        </w:rPr>
        <w:t>0 franc</w:t>
      </w:r>
      <w:r w:rsidRPr="004F5953">
        <w:rPr>
          <w:rFonts w:eastAsia="Calibri"/>
          <w:sz w:val="24"/>
          <w:szCs w:val="24"/>
          <w:lang w:val="fr-FR" w:eastAsia="en-US"/>
        </w:rPr>
        <w:t>s suisses, bien en</w:t>
      </w:r>
      <w:r w:rsidR="00891EAC" w:rsidRPr="004F5953">
        <w:rPr>
          <w:rFonts w:eastAsia="Calibri"/>
          <w:sz w:val="24"/>
          <w:szCs w:val="24"/>
          <w:lang w:val="fr-FR" w:eastAsia="en-US"/>
        </w:rPr>
        <w:t xml:space="preserve"> </w:t>
      </w:r>
      <w:r w:rsidRPr="004F5953">
        <w:rPr>
          <w:rFonts w:eastAsia="Calibri"/>
          <w:sz w:val="24"/>
          <w:szCs w:val="24"/>
          <w:lang w:val="fr-FR" w:eastAsia="en-US"/>
        </w:rPr>
        <w:t>deçà de ses dépenses estimées à 26</w:t>
      </w:r>
      <w:r w:rsidR="00960248" w:rsidRPr="004F5953">
        <w:rPr>
          <w:rFonts w:eastAsia="Calibri"/>
          <w:sz w:val="24"/>
          <w:szCs w:val="24"/>
          <w:lang w:val="fr-FR" w:eastAsia="en-US"/>
        </w:rPr>
        <w:t> </w:t>
      </w:r>
      <w:r w:rsidRPr="004F5953">
        <w:rPr>
          <w:rFonts w:eastAsia="Calibri"/>
          <w:sz w:val="24"/>
          <w:szCs w:val="24"/>
          <w:lang w:val="fr-FR" w:eastAsia="en-US"/>
        </w:rPr>
        <w:t>238</w:t>
      </w:r>
      <w:r w:rsidR="00960248" w:rsidRPr="004F5953">
        <w:rPr>
          <w:rFonts w:eastAsia="Calibri"/>
          <w:sz w:val="24"/>
          <w:szCs w:val="24"/>
          <w:lang w:val="fr-FR" w:eastAsia="en-US"/>
        </w:rPr>
        <w:t> </w:t>
      </w:r>
      <w:r w:rsidRPr="004F5953">
        <w:rPr>
          <w:rFonts w:eastAsia="Calibri"/>
          <w:sz w:val="24"/>
          <w:szCs w:val="24"/>
          <w:lang w:val="fr-FR" w:eastAsia="en-US"/>
        </w:rPr>
        <w:t>00</w:t>
      </w:r>
      <w:r w:rsidR="00BE2056" w:rsidRPr="004F5953">
        <w:rPr>
          <w:rFonts w:eastAsia="Calibri"/>
          <w:sz w:val="24"/>
          <w:szCs w:val="24"/>
          <w:lang w:val="fr-FR" w:eastAsia="en-US"/>
        </w:rPr>
        <w:t>0 franc</w:t>
      </w:r>
      <w:r w:rsidRPr="004F5953">
        <w:rPr>
          <w:rFonts w:eastAsia="Calibri"/>
          <w:sz w:val="24"/>
          <w:szCs w:val="24"/>
          <w:lang w:val="fr-FR" w:eastAsia="en-US"/>
        </w:rPr>
        <w:t>s suiss</w:t>
      </w:r>
      <w:r w:rsidR="00891EAC" w:rsidRPr="004F5953">
        <w:rPr>
          <w:rFonts w:eastAsia="Calibri"/>
          <w:sz w:val="24"/>
          <w:szCs w:val="24"/>
          <w:lang w:val="fr-FR" w:eastAsia="en-US"/>
        </w:rPr>
        <w:t>es.  Co</w:t>
      </w:r>
      <w:r w:rsidRPr="004F5953">
        <w:rPr>
          <w:rFonts w:eastAsia="Calibri"/>
          <w:sz w:val="24"/>
          <w:szCs w:val="24"/>
          <w:lang w:val="fr-FR" w:eastAsia="en-US"/>
        </w:rPr>
        <w:t>mme le montre le tableau ci</w:t>
      </w:r>
      <w:r w:rsidR="00891EAC" w:rsidRPr="004F5953">
        <w:rPr>
          <w:rFonts w:eastAsia="Calibri"/>
          <w:sz w:val="24"/>
          <w:szCs w:val="24"/>
          <w:lang w:val="fr-FR" w:eastAsia="en-US"/>
        </w:rPr>
        <w:noBreakHyphen/>
      </w:r>
      <w:r w:rsidRPr="004F5953">
        <w:rPr>
          <w:rFonts w:eastAsia="Calibri"/>
          <w:sz w:val="24"/>
          <w:szCs w:val="24"/>
          <w:lang w:val="fr-FR" w:eastAsia="en-US"/>
        </w:rPr>
        <w:t>dessous, l</w:t>
      </w:r>
      <w:r w:rsidR="00BE2056" w:rsidRPr="004F5953">
        <w:rPr>
          <w:rFonts w:eastAsia="Calibri"/>
          <w:sz w:val="24"/>
          <w:szCs w:val="24"/>
          <w:lang w:val="fr-FR" w:eastAsia="en-US"/>
        </w:rPr>
        <w:t>’</w:t>
      </w:r>
      <w:r w:rsidRPr="004F5953">
        <w:rPr>
          <w:rFonts w:eastAsia="Calibri"/>
          <w:sz w:val="24"/>
          <w:szCs w:val="24"/>
          <w:lang w:val="fr-FR" w:eastAsia="en-US"/>
        </w:rPr>
        <w:t>Union de</w:t>
      </w:r>
      <w:r w:rsidR="004F5953">
        <w:rPr>
          <w:rFonts w:eastAsia="Calibri"/>
          <w:sz w:val="24"/>
          <w:szCs w:val="24"/>
          <w:lang w:val="fr-FR" w:eastAsia="en-US"/>
        </w:rPr>
        <w:t> </w:t>
      </w:r>
      <w:r w:rsidR="00BE2056" w:rsidRPr="004F5953">
        <w:rPr>
          <w:rFonts w:eastAsia="Calibri"/>
          <w:sz w:val="24"/>
          <w:szCs w:val="24"/>
          <w:lang w:val="fr-FR" w:eastAsia="en-US"/>
        </w:rPr>
        <w:t>La Haye</w:t>
      </w:r>
      <w:r w:rsidRPr="004F5953">
        <w:rPr>
          <w:rFonts w:eastAsia="Calibri"/>
          <w:sz w:val="24"/>
          <w:szCs w:val="24"/>
          <w:lang w:val="fr-FR" w:eastAsia="en-US"/>
        </w:rPr>
        <w:t xml:space="preserve"> n</w:t>
      </w:r>
      <w:r w:rsidR="00BE2056" w:rsidRPr="004F5953">
        <w:rPr>
          <w:rFonts w:eastAsia="Calibri"/>
          <w:sz w:val="24"/>
          <w:szCs w:val="24"/>
          <w:lang w:val="fr-FR" w:eastAsia="en-US"/>
        </w:rPr>
        <w:t>’</w:t>
      </w:r>
      <w:r w:rsidRPr="004F5953">
        <w:rPr>
          <w:rFonts w:eastAsia="Calibri"/>
          <w:sz w:val="24"/>
          <w:szCs w:val="24"/>
          <w:lang w:val="fr-FR" w:eastAsia="en-US"/>
        </w:rPr>
        <w:t>est pas la seule à avoir un défic</w:t>
      </w:r>
      <w:r w:rsidR="00891EAC" w:rsidRPr="004F5953">
        <w:rPr>
          <w:rFonts w:eastAsia="Calibri"/>
          <w:sz w:val="24"/>
          <w:szCs w:val="24"/>
          <w:lang w:val="fr-FR" w:eastAsia="en-US"/>
        </w:rPr>
        <w:t xml:space="preserve">it.  </w:t>
      </w:r>
      <w:r w:rsidR="00891EAC" w:rsidRPr="004F5953">
        <w:rPr>
          <w:sz w:val="24"/>
          <w:szCs w:val="24"/>
          <w:lang w:val="fr-FR"/>
        </w:rPr>
        <w:t>Un</w:t>
      </w:r>
      <w:r w:rsidRPr="004F5953">
        <w:rPr>
          <w:sz w:val="24"/>
          <w:szCs w:val="24"/>
          <w:lang w:val="fr-FR"/>
        </w:rPr>
        <w:t xml:space="preserve"> déficit est aussi prévu pour l</w:t>
      </w:r>
      <w:r w:rsidR="00BE2056" w:rsidRPr="004F5953">
        <w:rPr>
          <w:sz w:val="24"/>
          <w:szCs w:val="24"/>
          <w:lang w:val="fr-FR"/>
        </w:rPr>
        <w:t>’</w:t>
      </w:r>
      <w:r w:rsidRPr="004F5953">
        <w:rPr>
          <w:sz w:val="24"/>
          <w:szCs w:val="24"/>
          <w:lang w:val="fr-FR"/>
        </w:rPr>
        <w:t>Union de Lisbonne et pour les unions financées par des contributions.</w:t>
      </w:r>
    </w:p>
    <w:p w:rsidR="00E7329B" w:rsidRPr="004F5953" w:rsidRDefault="00E7329B" w:rsidP="00891EAC">
      <w:pPr>
        <w:rPr>
          <w:sz w:val="24"/>
          <w:szCs w:val="24"/>
          <w:lang w:val="fr-FR"/>
        </w:rPr>
      </w:pPr>
    </w:p>
    <w:p w:rsidR="00E7329B" w:rsidRPr="004F5953" w:rsidRDefault="00E7329B" w:rsidP="005A0D6D">
      <w:pPr>
        <w:jc w:val="center"/>
        <w:rPr>
          <w:b/>
          <w:sz w:val="24"/>
          <w:szCs w:val="24"/>
          <w:lang w:val="fr-FR"/>
        </w:rPr>
      </w:pPr>
    </w:p>
    <w:p w:rsidR="00E7329B" w:rsidRPr="004F5953" w:rsidRDefault="00D92B79" w:rsidP="00891EAC">
      <w:pPr>
        <w:keepNext/>
        <w:jc w:val="center"/>
        <w:rPr>
          <w:b/>
          <w:sz w:val="24"/>
          <w:szCs w:val="24"/>
          <w:lang w:val="fr-FR"/>
        </w:rPr>
      </w:pPr>
      <w:r w:rsidRPr="004F5953">
        <w:rPr>
          <w:b/>
          <w:sz w:val="24"/>
          <w:szCs w:val="24"/>
          <w:lang w:val="fr-FR"/>
        </w:rPr>
        <w:t>Tableau</w:t>
      </w:r>
      <w:r w:rsidR="00960248" w:rsidRPr="004F5953">
        <w:rPr>
          <w:b/>
          <w:sz w:val="24"/>
          <w:szCs w:val="24"/>
          <w:lang w:val="fr-FR"/>
        </w:rPr>
        <w:t> </w:t>
      </w:r>
      <w:r w:rsidRPr="004F5953">
        <w:rPr>
          <w:b/>
          <w:sz w:val="24"/>
          <w:szCs w:val="24"/>
          <w:lang w:val="fr-FR"/>
        </w:rPr>
        <w:t>11</w:t>
      </w:r>
      <w:r w:rsidR="00BE2056" w:rsidRPr="004F5953">
        <w:rPr>
          <w:b/>
          <w:sz w:val="24"/>
          <w:szCs w:val="24"/>
          <w:lang w:val="fr-FR"/>
        </w:rPr>
        <w:t> :</w:t>
      </w:r>
      <w:r w:rsidRPr="004F5953">
        <w:rPr>
          <w:b/>
          <w:sz w:val="24"/>
          <w:szCs w:val="24"/>
          <w:lang w:val="fr-FR"/>
        </w:rPr>
        <w:t xml:space="preserve"> Scénario global par union</w:t>
      </w:r>
    </w:p>
    <w:p w:rsidR="00E7329B" w:rsidRPr="004F5953" w:rsidRDefault="00D92B79" w:rsidP="00D92B79">
      <w:pPr>
        <w:keepNext/>
        <w:keepLines/>
        <w:jc w:val="center"/>
        <w:rPr>
          <w:i/>
          <w:sz w:val="24"/>
          <w:szCs w:val="24"/>
          <w:lang w:val="fr-FR"/>
        </w:rPr>
      </w:pPr>
      <w:r w:rsidRPr="004F5953">
        <w:rPr>
          <w:i/>
          <w:sz w:val="24"/>
          <w:szCs w:val="24"/>
          <w:lang w:val="fr-FR"/>
        </w:rPr>
        <w:t>(</w:t>
      </w:r>
      <w:proofErr w:type="gramStart"/>
      <w:r w:rsidRPr="004F5953">
        <w:rPr>
          <w:i/>
          <w:sz w:val="24"/>
          <w:szCs w:val="24"/>
          <w:lang w:val="fr-FR"/>
        </w:rPr>
        <w:t>en</w:t>
      </w:r>
      <w:proofErr w:type="gramEnd"/>
      <w:r w:rsidRPr="004F5953">
        <w:rPr>
          <w:i/>
          <w:sz w:val="24"/>
          <w:szCs w:val="24"/>
          <w:lang w:val="fr-FR"/>
        </w:rPr>
        <w:t xml:space="preserve"> milliers de francs suisses)</w:t>
      </w:r>
    </w:p>
    <w:p w:rsidR="00E7329B" w:rsidRPr="00891EAC" w:rsidRDefault="003F3C95" w:rsidP="005A0D6D">
      <w:pPr>
        <w:jc w:val="center"/>
        <w:rPr>
          <w:rFonts w:ascii="Times New Roman" w:eastAsia="Times New Roman" w:hAnsi="Times New Roman" w:cs="Times New Roman"/>
          <w:bCs/>
          <w:szCs w:val="22"/>
          <w:lang w:val="fr-FR" w:eastAsia="ja-JP"/>
        </w:rPr>
      </w:pPr>
      <w:r w:rsidRPr="003F3C95">
        <w:rPr>
          <w:noProof/>
          <w:lang w:eastAsia="en-US"/>
        </w:rPr>
        <w:drawing>
          <wp:inline distT="0" distB="0" distL="0" distR="0" wp14:anchorId="09882214" wp14:editId="46900CBE">
            <wp:extent cx="5940425" cy="2127117"/>
            <wp:effectExtent l="0" t="0" r="317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127117"/>
                    </a:xfrm>
                    <a:prstGeom prst="rect">
                      <a:avLst/>
                    </a:prstGeom>
                    <a:noFill/>
                    <a:ln>
                      <a:noFill/>
                    </a:ln>
                  </pic:spPr>
                </pic:pic>
              </a:graphicData>
            </a:graphic>
          </wp:inline>
        </w:drawing>
      </w:r>
    </w:p>
    <w:p w:rsidR="00E7329B" w:rsidRPr="004F5953" w:rsidRDefault="004F5953" w:rsidP="00D92B79">
      <w:pPr>
        <w:spacing w:before="120"/>
        <w:rPr>
          <w:rFonts w:eastAsia="Times New Roman"/>
          <w:i/>
          <w:iCs/>
          <w:sz w:val="20"/>
          <w:lang w:val="fr-FR" w:eastAsia="en-US"/>
        </w:rPr>
      </w:pPr>
      <w:r>
        <w:rPr>
          <w:rFonts w:eastAsia="Times New Roman"/>
          <w:i/>
          <w:iCs/>
          <w:sz w:val="20"/>
          <w:lang w:val="fr-FR" w:eastAsia="en-US"/>
        </w:rPr>
        <w:t>*</w:t>
      </w:r>
      <w:r w:rsidR="00D92B79" w:rsidRPr="004F5953">
        <w:rPr>
          <w:rFonts w:eastAsia="Times New Roman"/>
          <w:i/>
          <w:iCs/>
          <w:sz w:val="20"/>
          <w:lang w:val="fr-FR" w:eastAsia="en-US"/>
        </w:rPr>
        <w:t>Les montants recommandés pour</w:t>
      </w:r>
      <w:r w:rsidR="00BE2056" w:rsidRPr="004F5953">
        <w:rPr>
          <w:rFonts w:eastAsia="Times New Roman"/>
          <w:i/>
          <w:iCs/>
          <w:sz w:val="20"/>
          <w:lang w:val="fr-FR" w:eastAsia="en-US"/>
        </w:rPr>
        <w:t xml:space="preserve"> les FRR</w:t>
      </w:r>
      <w:r w:rsidR="00D92B79" w:rsidRPr="004F5953">
        <w:rPr>
          <w:rFonts w:eastAsia="Times New Roman"/>
          <w:i/>
          <w:iCs/>
          <w:sz w:val="20"/>
          <w:lang w:val="fr-FR" w:eastAsia="en-US"/>
        </w:rPr>
        <w:t xml:space="preserve"> sont calculés en pourcentage des dépenses prévues au budget biennal de chaque union.</w:t>
      </w:r>
    </w:p>
    <w:p w:rsidR="00E7329B" w:rsidRPr="00891EAC" w:rsidRDefault="00E7329B" w:rsidP="004F5953">
      <w:pPr>
        <w:autoSpaceDE w:val="0"/>
        <w:autoSpaceDN w:val="0"/>
        <w:adjustRightInd w:val="0"/>
        <w:spacing w:before="120"/>
        <w:ind w:firstLine="720"/>
        <w:rPr>
          <w:rFonts w:eastAsia="Calibri"/>
          <w:szCs w:val="22"/>
          <w:lang w:val="fr-FR" w:eastAsia="en-US"/>
        </w:rPr>
      </w:pPr>
    </w:p>
    <w:p w:rsidR="00E7329B" w:rsidRPr="004F5953" w:rsidRDefault="00D92B79" w:rsidP="00D92B79">
      <w:pPr>
        <w:autoSpaceDE w:val="0"/>
        <w:autoSpaceDN w:val="0"/>
        <w:adjustRightInd w:val="0"/>
        <w:rPr>
          <w:rFonts w:eastAsia="Calibri"/>
          <w:i/>
          <w:sz w:val="24"/>
          <w:szCs w:val="24"/>
          <w:lang w:val="fr-FR" w:eastAsia="en-US"/>
        </w:rPr>
      </w:pPr>
      <w:r w:rsidRPr="004F5953">
        <w:rPr>
          <w:rFonts w:eastAsia="Calibri"/>
          <w:i/>
          <w:sz w:val="24"/>
          <w:szCs w:val="24"/>
          <w:lang w:val="fr-FR" w:eastAsia="en-US"/>
        </w:rPr>
        <w:t>Examen des taxes au sein du Groupe de travail sur le développement juridique du système de</w:t>
      </w:r>
      <w:r w:rsidR="00042960" w:rsidRPr="004F5953">
        <w:rPr>
          <w:rFonts w:eastAsia="Calibri"/>
          <w:i/>
          <w:sz w:val="24"/>
          <w:szCs w:val="24"/>
          <w:lang w:val="fr-FR" w:eastAsia="en-US"/>
        </w:rPr>
        <w:t> </w:t>
      </w:r>
      <w:r w:rsidR="00BE2056" w:rsidRPr="004F5953">
        <w:rPr>
          <w:rFonts w:eastAsia="Calibri"/>
          <w:i/>
          <w:sz w:val="24"/>
          <w:szCs w:val="24"/>
          <w:lang w:val="fr-FR" w:eastAsia="en-US"/>
        </w:rPr>
        <w:t>La Haye</w:t>
      </w:r>
    </w:p>
    <w:p w:rsidR="00E7329B" w:rsidRPr="004F5953" w:rsidRDefault="00E7329B" w:rsidP="005A0D6D">
      <w:pPr>
        <w:rPr>
          <w:sz w:val="24"/>
          <w:szCs w:val="24"/>
          <w:lang w:val="fr-FR"/>
        </w:rPr>
      </w:pPr>
    </w:p>
    <w:p w:rsidR="00BE2056" w:rsidRPr="004F5953" w:rsidRDefault="00D92B79" w:rsidP="00042960">
      <w:pPr>
        <w:ind w:firstLine="567"/>
        <w:rPr>
          <w:sz w:val="24"/>
          <w:szCs w:val="24"/>
          <w:lang w:val="fr-FR"/>
        </w:rPr>
      </w:pPr>
      <w:r w:rsidRPr="004F5953">
        <w:rPr>
          <w:sz w:val="24"/>
          <w:szCs w:val="24"/>
          <w:lang w:val="fr-FR"/>
        </w:rPr>
        <w:t>Un point consacré à l</w:t>
      </w:r>
      <w:r w:rsidR="00BE2056" w:rsidRPr="004F5953">
        <w:rPr>
          <w:sz w:val="24"/>
          <w:szCs w:val="24"/>
          <w:lang w:val="fr-FR"/>
        </w:rPr>
        <w:t>’</w:t>
      </w:r>
      <w:r w:rsidRPr="004F5953">
        <w:rPr>
          <w:sz w:val="24"/>
          <w:szCs w:val="24"/>
          <w:lang w:val="fr-FR"/>
        </w:rPr>
        <w:t xml:space="preserve">examen des taxes dans le cadre du système de </w:t>
      </w:r>
      <w:r w:rsidR="00BE2056" w:rsidRPr="004F5953">
        <w:rPr>
          <w:sz w:val="24"/>
          <w:szCs w:val="24"/>
          <w:lang w:val="fr-FR"/>
        </w:rPr>
        <w:t>La Haye</w:t>
      </w:r>
      <w:r w:rsidRPr="004F5953">
        <w:rPr>
          <w:sz w:val="24"/>
          <w:szCs w:val="24"/>
          <w:lang w:val="fr-FR"/>
        </w:rPr>
        <w:t xml:space="preserve"> figurait dans les versions précédentes du projet d</w:t>
      </w:r>
      <w:r w:rsidR="00BE2056" w:rsidRPr="004F5953">
        <w:rPr>
          <w:sz w:val="24"/>
          <w:szCs w:val="24"/>
          <w:lang w:val="fr-FR"/>
        </w:rPr>
        <w:t>’</w:t>
      </w:r>
      <w:r w:rsidRPr="004F5953">
        <w:rPr>
          <w:sz w:val="24"/>
          <w:szCs w:val="24"/>
          <w:lang w:val="fr-FR"/>
        </w:rPr>
        <w:t>ordre du jour de la sept</w:t>
      </w:r>
      <w:r w:rsidR="00BE2056" w:rsidRPr="004F5953">
        <w:rPr>
          <w:sz w:val="24"/>
          <w:szCs w:val="24"/>
          <w:lang w:val="fr-FR"/>
        </w:rPr>
        <w:t>ième session</w:t>
      </w:r>
      <w:r w:rsidRPr="004F5953">
        <w:rPr>
          <w:sz w:val="24"/>
          <w:szCs w:val="24"/>
          <w:lang w:val="fr-FR"/>
        </w:rPr>
        <w:t xml:space="preserve"> du groupe de travail mais a été retiré de la version la plus récente</w:t>
      </w:r>
      <w:r w:rsidRPr="004F5953">
        <w:rPr>
          <w:rStyle w:val="FootnoteReference"/>
          <w:sz w:val="24"/>
          <w:szCs w:val="24"/>
          <w:lang w:val="fr-FR"/>
        </w:rPr>
        <w:footnoteReference w:id="4"/>
      </w:r>
      <w:r w:rsidRPr="004F5953">
        <w:rPr>
          <w:sz w:val="24"/>
          <w:szCs w:val="24"/>
          <w:lang w:val="fr-FR"/>
        </w:rPr>
        <w:t>.</w:t>
      </w:r>
    </w:p>
    <w:p w:rsidR="00E7329B" w:rsidRPr="004F5953" w:rsidRDefault="00E7329B" w:rsidP="005A0D6D">
      <w:pPr>
        <w:rPr>
          <w:sz w:val="24"/>
          <w:szCs w:val="24"/>
          <w:lang w:val="fr-FR"/>
        </w:rPr>
      </w:pPr>
    </w:p>
    <w:p w:rsidR="00E7329B" w:rsidRPr="004F5953" w:rsidRDefault="001D5C78" w:rsidP="00042960">
      <w:pPr>
        <w:ind w:firstLine="567"/>
        <w:rPr>
          <w:sz w:val="24"/>
          <w:szCs w:val="24"/>
          <w:lang w:val="fr-FR"/>
        </w:rPr>
      </w:pPr>
      <w:r w:rsidRPr="004F5953">
        <w:rPr>
          <w:sz w:val="24"/>
          <w:szCs w:val="24"/>
          <w:lang w:val="fr-FR"/>
        </w:rPr>
        <w:t>Pour s</w:t>
      </w:r>
      <w:r w:rsidR="00BE2056" w:rsidRPr="004F5953">
        <w:rPr>
          <w:sz w:val="24"/>
          <w:szCs w:val="24"/>
          <w:lang w:val="fr-FR"/>
        </w:rPr>
        <w:t>’</w:t>
      </w:r>
      <w:r w:rsidRPr="004F5953">
        <w:rPr>
          <w:sz w:val="24"/>
          <w:szCs w:val="24"/>
          <w:lang w:val="fr-FR"/>
        </w:rPr>
        <w:t>assurer que le mandat confié par les assemblées de l</w:t>
      </w:r>
      <w:r w:rsidR="00BE2056" w:rsidRPr="004F5953">
        <w:rPr>
          <w:sz w:val="24"/>
          <w:szCs w:val="24"/>
          <w:lang w:val="fr-FR"/>
        </w:rPr>
        <w:t>’</w:t>
      </w:r>
      <w:r w:rsidRPr="004F5953">
        <w:rPr>
          <w:sz w:val="24"/>
          <w:szCs w:val="24"/>
          <w:lang w:val="fr-FR"/>
        </w:rPr>
        <w:t xml:space="preserve">OMPI, </w:t>
      </w:r>
      <w:r w:rsidR="00BE2056" w:rsidRPr="004F5953">
        <w:rPr>
          <w:sz w:val="24"/>
          <w:szCs w:val="24"/>
          <w:lang w:val="fr-FR"/>
        </w:rPr>
        <w:t>y compris</w:t>
      </w:r>
      <w:r w:rsidRPr="004F5953">
        <w:rPr>
          <w:sz w:val="24"/>
          <w:szCs w:val="24"/>
          <w:lang w:val="fr-FR"/>
        </w:rPr>
        <w:t xml:space="preserve"> l</w:t>
      </w:r>
      <w:r w:rsidR="00BE2056" w:rsidRPr="004F5953">
        <w:rPr>
          <w:sz w:val="24"/>
          <w:szCs w:val="24"/>
          <w:lang w:val="fr-FR"/>
        </w:rPr>
        <w:t>’</w:t>
      </w:r>
      <w:r w:rsidRPr="004F5953">
        <w:rPr>
          <w:sz w:val="24"/>
          <w:szCs w:val="24"/>
          <w:lang w:val="fr-FR"/>
        </w:rPr>
        <w:t>Assemblée de l</w:t>
      </w:r>
      <w:r w:rsidR="00BE2056" w:rsidRPr="004F5953">
        <w:rPr>
          <w:sz w:val="24"/>
          <w:szCs w:val="24"/>
          <w:lang w:val="fr-FR"/>
        </w:rPr>
        <w:t>’</w:t>
      </w:r>
      <w:r w:rsidRPr="004F5953">
        <w:rPr>
          <w:sz w:val="24"/>
          <w:szCs w:val="24"/>
          <w:lang w:val="fr-FR"/>
        </w:rPr>
        <w:t xml:space="preserve">Union de </w:t>
      </w:r>
      <w:r w:rsidR="00BE2056" w:rsidRPr="004F5953">
        <w:rPr>
          <w:sz w:val="24"/>
          <w:szCs w:val="24"/>
          <w:lang w:val="fr-FR"/>
        </w:rPr>
        <w:t>La Haye</w:t>
      </w:r>
      <w:r w:rsidRPr="004F5953">
        <w:rPr>
          <w:sz w:val="24"/>
          <w:szCs w:val="24"/>
          <w:lang w:val="fr-FR"/>
        </w:rPr>
        <w:t xml:space="preserve">, est mis en </w:t>
      </w:r>
      <w:r w:rsidR="00626B78" w:rsidRPr="004F5953">
        <w:rPr>
          <w:sz w:val="24"/>
          <w:szCs w:val="24"/>
          <w:lang w:val="fr-FR"/>
        </w:rPr>
        <w:t>œuvre</w:t>
      </w:r>
      <w:r w:rsidRPr="004F5953">
        <w:rPr>
          <w:sz w:val="24"/>
          <w:szCs w:val="24"/>
          <w:lang w:val="fr-FR"/>
        </w:rPr>
        <w:t xml:space="preserve"> – </w:t>
      </w:r>
      <w:r w:rsidR="00BE2056" w:rsidRPr="004F5953">
        <w:rPr>
          <w:sz w:val="24"/>
          <w:szCs w:val="24"/>
          <w:lang w:val="fr-FR"/>
        </w:rPr>
        <w:t>à savoir</w:t>
      </w:r>
      <w:r w:rsidRPr="004F5953">
        <w:rPr>
          <w:sz w:val="24"/>
          <w:szCs w:val="24"/>
          <w:lang w:val="fr-FR"/>
        </w:rPr>
        <w:t>, envisager des mesures conformément à l</w:t>
      </w:r>
      <w:r w:rsidR="00BE2056" w:rsidRPr="004F5953">
        <w:rPr>
          <w:sz w:val="24"/>
          <w:szCs w:val="24"/>
          <w:lang w:val="fr-FR"/>
        </w:rPr>
        <w:t>’</w:t>
      </w:r>
      <w:r w:rsidRPr="004F5953">
        <w:rPr>
          <w:sz w:val="24"/>
          <w:szCs w:val="24"/>
          <w:lang w:val="fr-FR"/>
        </w:rPr>
        <w:t xml:space="preserve">Arrangement de </w:t>
      </w:r>
      <w:r w:rsidR="00BE2056" w:rsidRPr="004F5953">
        <w:rPr>
          <w:sz w:val="24"/>
          <w:szCs w:val="24"/>
          <w:lang w:val="fr-FR"/>
        </w:rPr>
        <w:t>La Haye</w:t>
      </w:r>
      <w:r w:rsidRPr="004F5953">
        <w:rPr>
          <w:sz w:val="24"/>
          <w:szCs w:val="24"/>
          <w:lang w:val="fr-FR"/>
        </w:rPr>
        <w:t xml:space="preserve"> afin de remédier au déficit budgétaire de l</w:t>
      </w:r>
      <w:r w:rsidR="00BE2056" w:rsidRPr="004F5953">
        <w:rPr>
          <w:sz w:val="24"/>
          <w:szCs w:val="24"/>
          <w:lang w:val="fr-FR"/>
        </w:rPr>
        <w:t>’</w:t>
      </w:r>
      <w:r w:rsidRPr="004F5953">
        <w:rPr>
          <w:sz w:val="24"/>
          <w:szCs w:val="24"/>
          <w:lang w:val="fr-FR"/>
        </w:rPr>
        <w:t xml:space="preserve">Union de </w:t>
      </w:r>
      <w:r w:rsidR="00BE2056" w:rsidRPr="004F5953">
        <w:rPr>
          <w:sz w:val="24"/>
          <w:szCs w:val="24"/>
          <w:lang w:val="fr-FR"/>
        </w:rPr>
        <w:t>La Haye</w:t>
      </w:r>
      <w:r w:rsidRPr="004F5953">
        <w:rPr>
          <w:sz w:val="24"/>
          <w:szCs w:val="24"/>
          <w:lang w:val="fr-FR"/>
        </w:rPr>
        <w:t xml:space="preserve"> – les États</w:t>
      </w:r>
      <w:r w:rsidR="00891EAC" w:rsidRPr="004F5953">
        <w:rPr>
          <w:sz w:val="24"/>
          <w:szCs w:val="24"/>
          <w:lang w:val="fr-FR"/>
        </w:rPr>
        <w:noBreakHyphen/>
      </w:r>
      <w:r w:rsidRPr="004F5953">
        <w:rPr>
          <w:sz w:val="24"/>
          <w:szCs w:val="24"/>
          <w:lang w:val="fr-FR"/>
        </w:rPr>
        <w:t>Unis d</w:t>
      </w:r>
      <w:r w:rsidR="00BE2056" w:rsidRPr="004F5953">
        <w:rPr>
          <w:sz w:val="24"/>
          <w:szCs w:val="24"/>
          <w:lang w:val="fr-FR"/>
        </w:rPr>
        <w:t>’</w:t>
      </w:r>
      <w:r w:rsidRPr="004F5953">
        <w:rPr>
          <w:sz w:val="24"/>
          <w:szCs w:val="24"/>
          <w:lang w:val="fr-FR"/>
        </w:rPr>
        <w:t xml:space="preserve">Amérique proposent que le Groupe de travail sur le développement juridique du système de </w:t>
      </w:r>
      <w:r w:rsidR="00BE2056" w:rsidRPr="004F5953">
        <w:rPr>
          <w:sz w:val="24"/>
          <w:szCs w:val="24"/>
          <w:lang w:val="fr-FR"/>
        </w:rPr>
        <w:t>La Haye</w:t>
      </w:r>
      <w:r w:rsidRPr="004F5953">
        <w:rPr>
          <w:sz w:val="24"/>
          <w:szCs w:val="24"/>
          <w:lang w:val="fr-FR"/>
        </w:rPr>
        <w:t xml:space="preserve"> procède, à titre de priorité absolue, à un examen détaillé de la structure et du montant des taxes actuelles du système de </w:t>
      </w:r>
      <w:r w:rsidR="00BE2056" w:rsidRPr="004F5953">
        <w:rPr>
          <w:sz w:val="24"/>
          <w:szCs w:val="24"/>
          <w:lang w:val="fr-FR"/>
        </w:rPr>
        <w:t>La Haye</w:t>
      </w:r>
      <w:r w:rsidRPr="004F5953">
        <w:rPr>
          <w:sz w:val="24"/>
          <w:szCs w:val="24"/>
          <w:lang w:val="fr-FR"/>
        </w:rPr>
        <w:t>, ainsi que des mesures visant à combler ce déficit.</w:t>
      </w:r>
    </w:p>
    <w:p w:rsidR="00E7329B" w:rsidRPr="004F5953" w:rsidRDefault="00E7329B" w:rsidP="005A0D6D">
      <w:pPr>
        <w:rPr>
          <w:sz w:val="24"/>
          <w:szCs w:val="24"/>
          <w:lang w:val="fr-FR"/>
        </w:rPr>
      </w:pPr>
    </w:p>
    <w:p w:rsidR="004F5953" w:rsidRDefault="004F5953">
      <w:pPr>
        <w:rPr>
          <w:sz w:val="24"/>
          <w:szCs w:val="24"/>
          <w:lang w:val="fr-FR"/>
        </w:rPr>
      </w:pPr>
      <w:r>
        <w:rPr>
          <w:sz w:val="24"/>
          <w:szCs w:val="24"/>
          <w:lang w:val="fr-FR"/>
        </w:rPr>
        <w:br w:type="page"/>
      </w:r>
    </w:p>
    <w:p w:rsidR="00E7329B" w:rsidRPr="004F5953" w:rsidRDefault="001D5C78" w:rsidP="00042960">
      <w:pPr>
        <w:ind w:firstLine="567"/>
        <w:rPr>
          <w:sz w:val="24"/>
          <w:szCs w:val="24"/>
          <w:lang w:val="fr-FR"/>
        </w:rPr>
      </w:pPr>
      <w:r w:rsidRPr="004F5953">
        <w:rPr>
          <w:sz w:val="24"/>
          <w:szCs w:val="24"/>
          <w:lang w:val="fr-FR"/>
        </w:rPr>
        <w:lastRenderedPageBreak/>
        <w:t>Les États</w:t>
      </w:r>
      <w:r w:rsidR="00891EAC" w:rsidRPr="004F5953">
        <w:rPr>
          <w:sz w:val="24"/>
          <w:szCs w:val="24"/>
          <w:lang w:val="fr-FR"/>
        </w:rPr>
        <w:noBreakHyphen/>
      </w:r>
      <w:r w:rsidRPr="004F5953">
        <w:rPr>
          <w:sz w:val="24"/>
          <w:szCs w:val="24"/>
          <w:lang w:val="fr-FR"/>
        </w:rPr>
        <w:t>Unis estiment que de telles mesures pourraient être prises, au fil du temps, afin de combler le déficit budgétaire de l</w:t>
      </w:r>
      <w:r w:rsidR="00BE2056" w:rsidRPr="004F5953">
        <w:rPr>
          <w:sz w:val="24"/>
          <w:szCs w:val="24"/>
          <w:lang w:val="fr-FR"/>
        </w:rPr>
        <w:t>’</w:t>
      </w:r>
      <w:r w:rsidRPr="004F5953">
        <w:rPr>
          <w:sz w:val="24"/>
          <w:szCs w:val="24"/>
          <w:lang w:val="fr-FR"/>
        </w:rPr>
        <w:t xml:space="preserve">Union de </w:t>
      </w:r>
      <w:r w:rsidR="00BE2056" w:rsidRPr="004F5953">
        <w:rPr>
          <w:sz w:val="24"/>
          <w:szCs w:val="24"/>
          <w:lang w:val="fr-FR"/>
        </w:rPr>
        <w:t>La Haye</w:t>
      </w:r>
      <w:r w:rsidRPr="004F5953">
        <w:rPr>
          <w:sz w:val="24"/>
          <w:szCs w:val="24"/>
          <w:lang w:val="fr-FR"/>
        </w:rPr>
        <w:t xml:space="preserve"> conformément au mandat confié par les assemblées des États </w:t>
      </w:r>
      <w:r w:rsidR="00960248" w:rsidRPr="004F5953">
        <w:rPr>
          <w:sz w:val="24"/>
          <w:szCs w:val="24"/>
          <w:lang w:val="fr-FR"/>
        </w:rPr>
        <w:t>membres</w:t>
      </w:r>
      <w:r w:rsidRPr="004F5953">
        <w:rPr>
          <w:sz w:val="24"/>
          <w:szCs w:val="24"/>
          <w:lang w:val="fr-FR"/>
        </w:rPr>
        <w:t xml:space="preserve"> de l</w:t>
      </w:r>
      <w:r w:rsidR="00BE2056" w:rsidRPr="004F5953">
        <w:rPr>
          <w:sz w:val="24"/>
          <w:szCs w:val="24"/>
          <w:lang w:val="fr-FR"/>
        </w:rPr>
        <w:t>’</w:t>
      </w:r>
      <w:r w:rsidRPr="004F5953">
        <w:rPr>
          <w:sz w:val="24"/>
          <w:szCs w:val="24"/>
          <w:lang w:val="fr-FR"/>
        </w:rPr>
        <w:t xml:space="preserve">OMPI et aux dispositions financières de la Convention de </w:t>
      </w:r>
      <w:r w:rsidR="00BE2056" w:rsidRPr="004F5953">
        <w:rPr>
          <w:sz w:val="24"/>
          <w:szCs w:val="24"/>
          <w:lang w:val="fr-FR"/>
        </w:rPr>
        <w:t>La Haye</w:t>
      </w:r>
      <w:r w:rsidRPr="004F5953">
        <w:rPr>
          <w:sz w:val="24"/>
          <w:szCs w:val="24"/>
          <w:lang w:val="fr-FR"/>
        </w:rPr>
        <w:t>.</w:t>
      </w:r>
    </w:p>
    <w:p w:rsidR="00E7329B" w:rsidRPr="00891EAC" w:rsidRDefault="001D5C78" w:rsidP="001D5C78">
      <w:pPr>
        <w:pStyle w:val="Endofdocument-Annex"/>
        <w:spacing w:before="720"/>
        <w:rPr>
          <w:szCs w:val="22"/>
          <w:lang w:val="fr-FR"/>
        </w:rPr>
      </w:pPr>
      <w:r w:rsidRPr="00891EAC">
        <w:rPr>
          <w:szCs w:val="22"/>
          <w:lang w:val="fr-FR"/>
        </w:rPr>
        <w:t>[Fin de l</w:t>
      </w:r>
      <w:r w:rsidR="00BE2056" w:rsidRPr="00891EAC">
        <w:rPr>
          <w:szCs w:val="22"/>
          <w:lang w:val="fr-FR"/>
        </w:rPr>
        <w:t>’</w:t>
      </w:r>
      <w:r w:rsidRPr="00891EAC">
        <w:rPr>
          <w:szCs w:val="22"/>
          <w:lang w:val="fr-FR"/>
        </w:rPr>
        <w:t>annexe et du document]</w:t>
      </w:r>
    </w:p>
    <w:sectPr w:rsidR="00E7329B" w:rsidRPr="00891EAC" w:rsidSect="004F5953">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6D" w:rsidRDefault="005A0D6D">
      <w:r>
        <w:separator/>
      </w:r>
    </w:p>
  </w:endnote>
  <w:endnote w:type="continuationSeparator" w:id="0">
    <w:p w:rsidR="005A0D6D" w:rsidRDefault="005A0D6D" w:rsidP="003B38C1">
      <w:r>
        <w:separator/>
      </w:r>
    </w:p>
    <w:p w:rsidR="005A0D6D" w:rsidRPr="003B38C1" w:rsidRDefault="005A0D6D" w:rsidP="003B38C1">
      <w:pPr>
        <w:spacing w:after="60"/>
        <w:rPr>
          <w:sz w:val="17"/>
        </w:rPr>
      </w:pPr>
      <w:r>
        <w:rPr>
          <w:sz w:val="17"/>
        </w:rPr>
        <w:t>[Endnote continued from previous page]</w:t>
      </w:r>
    </w:p>
  </w:endnote>
  <w:endnote w:type="continuationNotice" w:id="1">
    <w:p w:rsidR="005A0D6D" w:rsidRPr="003B38C1" w:rsidRDefault="005A0D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8D0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505" w:rsidRPr="004F5953" w:rsidRDefault="008D03E6" w:rsidP="004F59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8D0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6D" w:rsidRDefault="005A0D6D">
      <w:r>
        <w:separator/>
      </w:r>
    </w:p>
  </w:footnote>
  <w:footnote w:type="continuationSeparator" w:id="0">
    <w:p w:rsidR="005A0D6D" w:rsidRDefault="005A0D6D" w:rsidP="008B60B2">
      <w:r>
        <w:separator/>
      </w:r>
    </w:p>
    <w:p w:rsidR="005A0D6D" w:rsidRPr="00ED77FB" w:rsidRDefault="005A0D6D" w:rsidP="008B60B2">
      <w:pPr>
        <w:spacing w:after="60"/>
        <w:rPr>
          <w:sz w:val="17"/>
          <w:szCs w:val="17"/>
        </w:rPr>
      </w:pPr>
      <w:r w:rsidRPr="00ED77FB">
        <w:rPr>
          <w:sz w:val="17"/>
          <w:szCs w:val="17"/>
        </w:rPr>
        <w:t>[Footnote continued from previous page]</w:t>
      </w:r>
    </w:p>
  </w:footnote>
  <w:footnote w:type="continuationNotice" w:id="1">
    <w:p w:rsidR="005A0D6D" w:rsidRPr="00ED77FB" w:rsidRDefault="005A0D6D" w:rsidP="008B60B2">
      <w:pPr>
        <w:spacing w:before="60"/>
        <w:jc w:val="right"/>
        <w:rPr>
          <w:sz w:val="17"/>
          <w:szCs w:val="17"/>
        </w:rPr>
      </w:pPr>
      <w:r w:rsidRPr="00ED77FB">
        <w:rPr>
          <w:sz w:val="17"/>
          <w:szCs w:val="17"/>
        </w:rPr>
        <w:t>[Footnote continued on next page]</w:t>
      </w:r>
    </w:p>
  </w:footnote>
  <w:footnote w:id="2">
    <w:p w:rsidR="003A6489" w:rsidRPr="001D5C78" w:rsidRDefault="003A6489" w:rsidP="00D92B79">
      <w:pPr>
        <w:pStyle w:val="FootnoteText"/>
        <w:rPr>
          <w:lang w:val="fr-FR"/>
        </w:rPr>
      </w:pPr>
      <w:r w:rsidRPr="001D5C78">
        <w:rPr>
          <w:rStyle w:val="FootnoteReference"/>
          <w:lang w:val="fr-FR"/>
        </w:rPr>
        <w:footnoteRef/>
      </w:r>
      <w:r w:rsidRPr="001D5C78">
        <w:rPr>
          <w:lang w:val="fr-FR"/>
        </w:rPr>
        <w:t xml:space="preserve"> </w:t>
      </w:r>
      <w:r w:rsidR="00D92B79" w:rsidRPr="001D5C78">
        <w:rPr>
          <w:lang w:val="fr-FR"/>
        </w:rPr>
        <w:t xml:space="preserve">Voir le </w:t>
      </w:r>
      <w:r w:rsidR="00FF1DF5" w:rsidRPr="001D5C78">
        <w:rPr>
          <w:lang w:val="fr-FR"/>
        </w:rPr>
        <w:t>paragraphe</w:t>
      </w:r>
      <w:r w:rsidR="00FF1DF5">
        <w:rPr>
          <w:lang w:val="fr-FR"/>
        </w:rPr>
        <w:t> </w:t>
      </w:r>
      <w:r w:rsidR="00FF1DF5" w:rsidRPr="001D5C78">
        <w:rPr>
          <w:lang w:val="fr-FR"/>
        </w:rPr>
        <w:t>8</w:t>
      </w:r>
      <w:r w:rsidR="00D92B79" w:rsidRPr="001D5C78">
        <w:rPr>
          <w:lang w:val="fr-FR"/>
        </w:rPr>
        <w:t xml:space="preserve">8 du document A/57/12 (Rapport </w:t>
      </w:r>
      <w:r w:rsidR="00891EAC">
        <w:rPr>
          <w:lang w:val="fr-FR"/>
        </w:rPr>
        <w:t>g</w:t>
      </w:r>
      <w:r w:rsidR="00D92B79" w:rsidRPr="001D5C78">
        <w:rPr>
          <w:lang w:val="fr-FR"/>
        </w:rPr>
        <w:t>énéral).</w:t>
      </w:r>
    </w:p>
  </w:footnote>
  <w:footnote w:id="3">
    <w:p w:rsidR="00D92B79" w:rsidRPr="001D5C78" w:rsidRDefault="00D92B79">
      <w:pPr>
        <w:pStyle w:val="FootnoteText"/>
        <w:rPr>
          <w:lang w:val="fr-FR"/>
        </w:rPr>
      </w:pPr>
      <w:r w:rsidRPr="001D5C78">
        <w:rPr>
          <w:rStyle w:val="FootnoteReference"/>
          <w:lang w:val="fr-FR"/>
        </w:rPr>
        <w:footnoteRef/>
      </w:r>
      <w:r w:rsidR="004F5953">
        <w:rPr>
          <w:lang w:val="fr-FR"/>
        </w:rPr>
        <w:t xml:space="preserve"> </w:t>
      </w:r>
      <w:r w:rsidRPr="001D5C78">
        <w:rPr>
          <w:lang w:val="fr-FR"/>
        </w:rPr>
        <w:t>Id.</w:t>
      </w:r>
    </w:p>
  </w:footnote>
  <w:footnote w:id="4">
    <w:p w:rsidR="00D92B79" w:rsidRPr="001D5C78" w:rsidRDefault="00D92B79" w:rsidP="001D5C78">
      <w:pPr>
        <w:pStyle w:val="FootnoteText"/>
        <w:rPr>
          <w:lang w:val="fr-FR"/>
        </w:rPr>
      </w:pPr>
      <w:r w:rsidRPr="001D5C78">
        <w:rPr>
          <w:rStyle w:val="FootnoteReference"/>
          <w:lang w:val="fr-FR"/>
        </w:rPr>
        <w:footnoteRef/>
      </w:r>
      <w:r w:rsidRPr="001D5C78">
        <w:rPr>
          <w:lang w:val="fr-FR"/>
        </w:rPr>
        <w:t xml:space="preserve"> La question des dépenses budgétaires est toutefois inscrite à l</w:t>
      </w:r>
      <w:r w:rsidR="00FF1DF5">
        <w:rPr>
          <w:lang w:val="fr-FR"/>
        </w:rPr>
        <w:t>’</w:t>
      </w:r>
      <w:r w:rsidRPr="001D5C78">
        <w:rPr>
          <w:lang w:val="fr-FR"/>
        </w:rPr>
        <w:t xml:space="preserve">ordre du jour de cette session en ce qui concerne le régime linguistique du système de </w:t>
      </w:r>
      <w:r w:rsidR="00FF1DF5">
        <w:rPr>
          <w:lang w:val="fr-FR"/>
        </w:rPr>
        <w:t>La Haye</w:t>
      </w:r>
      <w:r w:rsidRPr="001D5C78">
        <w:rPr>
          <w:lang w:val="fr-FR"/>
        </w:rPr>
        <w:t xml:space="preserve">.  </w:t>
      </w:r>
      <w:r w:rsidR="001D5C78" w:rsidRPr="001D5C78">
        <w:rPr>
          <w:lang w:val="fr-FR"/>
        </w:rPr>
        <w:t>Les mesures prévues dans le document H/LD/WG/7/INF/2, visant à envisager l</w:t>
      </w:r>
      <w:r w:rsidR="00FF1DF5">
        <w:rPr>
          <w:lang w:val="fr-FR"/>
        </w:rPr>
        <w:t>’</w:t>
      </w:r>
      <w:r w:rsidR="001D5C78" w:rsidRPr="001D5C78">
        <w:rPr>
          <w:lang w:val="fr-FR"/>
        </w:rPr>
        <w:t>introduction examen de langues supplémentaires, sont de nature à aggraver plutôt qu</w:t>
      </w:r>
      <w:r w:rsidR="00FF1DF5">
        <w:rPr>
          <w:lang w:val="fr-FR"/>
        </w:rPr>
        <w:t>’</w:t>
      </w:r>
      <w:r w:rsidR="001D5C78" w:rsidRPr="001D5C78">
        <w:rPr>
          <w:lang w:val="fr-FR"/>
        </w:rPr>
        <w:t>améliorer le déficit budgétaire de l</w:t>
      </w:r>
      <w:r w:rsidR="00FF1DF5">
        <w:rPr>
          <w:lang w:val="fr-FR"/>
        </w:rPr>
        <w:t>’</w:t>
      </w:r>
      <w:r w:rsidR="001D5C78" w:rsidRPr="001D5C78">
        <w:rPr>
          <w:lang w:val="fr-FR"/>
        </w:rPr>
        <w:t xml:space="preserve">Union de </w:t>
      </w:r>
      <w:r w:rsidR="00FF1DF5">
        <w:rPr>
          <w:lang w:val="fr-FR"/>
        </w:rPr>
        <w:t>La Haye</w:t>
      </w:r>
      <w:r w:rsidR="001D5C78" w:rsidRPr="001D5C78">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A0D6D" w:rsidP="00477D6B">
    <w:pPr>
      <w:jc w:val="right"/>
    </w:pPr>
    <w:bookmarkStart w:id="5" w:name="Code2"/>
    <w:bookmarkEnd w:id="5"/>
    <w:r>
      <w:t>H/LD/WG/7/9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7329B">
      <w:rPr>
        <w:noProof/>
      </w:rPr>
      <w:t>1</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8D03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5A0D6D" w:rsidP="005A0D6D">
    <w:pPr>
      <w:pStyle w:val="Header"/>
      <w:jc w:val="right"/>
    </w:pPr>
    <w:r>
      <w:t>H/LD/WG/7/9</w:t>
    </w:r>
  </w:p>
  <w:p w:rsidR="005A0D6D" w:rsidRDefault="005A0D6D" w:rsidP="005A0D6D">
    <w:pPr>
      <w:pStyle w:val="Header"/>
      <w:jc w:val="right"/>
    </w:pPr>
    <w:proofErr w:type="spellStart"/>
    <w:r>
      <w:t>Annex</w:t>
    </w:r>
    <w:r w:rsidR="00891EAC">
      <w:t>e</w:t>
    </w:r>
    <w:proofErr w:type="spellEnd"/>
    <w:r>
      <w:t xml:space="preserve">, page </w:t>
    </w:r>
    <w:r>
      <w:fldChar w:fldCharType="begin"/>
    </w:r>
    <w:r>
      <w:instrText xml:space="preserve"> PAGE   \* MERGEFORMAT </w:instrText>
    </w:r>
    <w:r>
      <w:fldChar w:fldCharType="separate"/>
    </w:r>
    <w:r w:rsidR="008D03E6">
      <w:rPr>
        <w:noProof/>
      </w:rPr>
      <w:t>3</w:t>
    </w:r>
    <w:r>
      <w:rPr>
        <w:noProof/>
      </w:rPr>
      <w:fldChar w:fldCharType="end"/>
    </w:r>
  </w:p>
  <w:p w:rsidR="005A0D6D" w:rsidRDefault="005A0D6D" w:rsidP="005A0D6D">
    <w:pPr>
      <w:pStyle w:val="Header"/>
      <w:jc w:val="right"/>
    </w:pPr>
  </w:p>
  <w:p w:rsidR="005A0D6D" w:rsidRDefault="005A0D6D" w:rsidP="005A0D6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5CA" w:rsidRDefault="005A0D6D" w:rsidP="005A0D6D">
    <w:pPr>
      <w:pStyle w:val="Header"/>
      <w:jc w:val="right"/>
    </w:pPr>
    <w:r>
      <w:t>H/LD/WG/7/9</w:t>
    </w:r>
  </w:p>
  <w:p w:rsidR="005A0D6D" w:rsidRDefault="005A0D6D" w:rsidP="005A0D6D">
    <w:pPr>
      <w:pStyle w:val="Header"/>
      <w:jc w:val="right"/>
    </w:pPr>
    <w:r>
      <w:t>ANNEX</w:t>
    </w:r>
    <w:r w:rsidR="00891EAC">
      <w:t>E</w:t>
    </w:r>
  </w:p>
  <w:p w:rsidR="005A0D6D" w:rsidRDefault="005A0D6D" w:rsidP="005A0D6D">
    <w:pPr>
      <w:pStyle w:val="Header"/>
      <w:jc w:val="right"/>
    </w:pPr>
  </w:p>
  <w:p w:rsidR="005A0D6D" w:rsidRDefault="005A0D6D" w:rsidP="005A0D6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am Server TMs\Default"/>
    <w:docVar w:name="TextBaseURL" w:val="empty"/>
    <w:docVar w:name="UILng" w:val="en"/>
  </w:docVars>
  <w:rsids>
    <w:rsidRoot w:val="005A0D6D"/>
    <w:rsid w:val="00042960"/>
    <w:rsid w:val="00043CAA"/>
    <w:rsid w:val="00075432"/>
    <w:rsid w:val="000968ED"/>
    <w:rsid w:val="000F5E56"/>
    <w:rsid w:val="001362EE"/>
    <w:rsid w:val="001647D5"/>
    <w:rsid w:val="001832A6"/>
    <w:rsid w:val="001D5C78"/>
    <w:rsid w:val="0021217E"/>
    <w:rsid w:val="002634C4"/>
    <w:rsid w:val="002928D3"/>
    <w:rsid w:val="002C19A2"/>
    <w:rsid w:val="002F1FE6"/>
    <w:rsid w:val="002F4E68"/>
    <w:rsid w:val="00312F7F"/>
    <w:rsid w:val="00361450"/>
    <w:rsid w:val="003673CF"/>
    <w:rsid w:val="003845C1"/>
    <w:rsid w:val="003A6489"/>
    <w:rsid w:val="003A6F89"/>
    <w:rsid w:val="003B32F4"/>
    <w:rsid w:val="003B38C1"/>
    <w:rsid w:val="003F3C95"/>
    <w:rsid w:val="00423E3E"/>
    <w:rsid w:val="00427AF4"/>
    <w:rsid w:val="004647DA"/>
    <w:rsid w:val="00474062"/>
    <w:rsid w:val="00477D6B"/>
    <w:rsid w:val="004F5953"/>
    <w:rsid w:val="005019FF"/>
    <w:rsid w:val="0053057A"/>
    <w:rsid w:val="00560A29"/>
    <w:rsid w:val="005A0D6D"/>
    <w:rsid w:val="005C6649"/>
    <w:rsid w:val="005F29C7"/>
    <w:rsid w:val="00605827"/>
    <w:rsid w:val="00626B78"/>
    <w:rsid w:val="00646050"/>
    <w:rsid w:val="006713CA"/>
    <w:rsid w:val="00676C5C"/>
    <w:rsid w:val="0068689B"/>
    <w:rsid w:val="00797CB1"/>
    <w:rsid w:val="007D1613"/>
    <w:rsid w:val="007E4C0E"/>
    <w:rsid w:val="00891EAC"/>
    <w:rsid w:val="008A134B"/>
    <w:rsid w:val="008B2CC1"/>
    <w:rsid w:val="008B60B2"/>
    <w:rsid w:val="008D03E6"/>
    <w:rsid w:val="0090731E"/>
    <w:rsid w:val="00916EE2"/>
    <w:rsid w:val="00931644"/>
    <w:rsid w:val="00960248"/>
    <w:rsid w:val="00966A22"/>
    <w:rsid w:val="0096722F"/>
    <w:rsid w:val="00980843"/>
    <w:rsid w:val="009E2791"/>
    <w:rsid w:val="009E3F6F"/>
    <w:rsid w:val="009F499F"/>
    <w:rsid w:val="00A37342"/>
    <w:rsid w:val="00A42DAF"/>
    <w:rsid w:val="00A45BD8"/>
    <w:rsid w:val="00A869B7"/>
    <w:rsid w:val="00A95BA3"/>
    <w:rsid w:val="00AC205C"/>
    <w:rsid w:val="00AF0A6B"/>
    <w:rsid w:val="00B05A69"/>
    <w:rsid w:val="00B9734B"/>
    <w:rsid w:val="00BA30E2"/>
    <w:rsid w:val="00BE2056"/>
    <w:rsid w:val="00C11BFE"/>
    <w:rsid w:val="00C5068F"/>
    <w:rsid w:val="00C86D74"/>
    <w:rsid w:val="00C9449F"/>
    <w:rsid w:val="00CD04F1"/>
    <w:rsid w:val="00D45252"/>
    <w:rsid w:val="00D71B4D"/>
    <w:rsid w:val="00D92B79"/>
    <w:rsid w:val="00D93D55"/>
    <w:rsid w:val="00E15015"/>
    <w:rsid w:val="00E335FE"/>
    <w:rsid w:val="00E7329B"/>
    <w:rsid w:val="00EA7D6E"/>
    <w:rsid w:val="00EC3233"/>
    <w:rsid w:val="00EC4E49"/>
    <w:rsid w:val="00ED24D1"/>
    <w:rsid w:val="00ED77FB"/>
    <w:rsid w:val="00EE45FA"/>
    <w:rsid w:val="00F42CDC"/>
    <w:rsid w:val="00F66152"/>
    <w:rsid w:val="00FF1DF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 w:val="num" w:pos="360"/>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A0D6D"/>
    <w:rPr>
      <w:rFonts w:ascii="Tahoma" w:hAnsi="Tahoma" w:cs="Tahoma"/>
      <w:sz w:val="16"/>
      <w:szCs w:val="16"/>
    </w:rPr>
  </w:style>
  <w:style w:type="character" w:customStyle="1" w:styleId="BalloonTextChar">
    <w:name w:val="Balloon Text Char"/>
    <w:basedOn w:val="DefaultParagraphFont"/>
    <w:link w:val="BalloonText"/>
    <w:semiHidden/>
    <w:rsid w:val="005A0D6D"/>
    <w:rPr>
      <w:rFonts w:ascii="Tahoma" w:eastAsia="SimSun" w:hAnsi="Tahoma" w:cs="Tahoma"/>
      <w:sz w:val="16"/>
      <w:szCs w:val="16"/>
      <w:lang w:val="en-US" w:eastAsia="zh-CN"/>
    </w:rPr>
  </w:style>
  <w:style w:type="character" w:styleId="FootnoteReference">
    <w:name w:val="footnote reference"/>
    <w:basedOn w:val="DefaultParagraphFont"/>
    <w:uiPriority w:val="99"/>
    <w:semiHidden/>
    <w:unhideWhenUsed/>
    <w:rsid w:val="005A0D6D"/>
    <w:rPr>
      <w:vertAlign w:val="superscript"/>
    </w:rPr>
  </w:style>
  <w:style w:type="character" w:styleId="Hyperlink">
    <w:name w:val="Hyperlink"/>
    <w:basedOn w:val="DefaultParagraphFont"/>
    <w:semiHidden/>
    <w:unhideWhenUsed/>
    <w:rsid w:val="00891E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 w:val="num" w:pos="360"/>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5A0D6D"/>
    <w:rPr>
      <w:rFonts w:ascii="Tahoma" w:hAnsi="Tahoma" w:cs="Tahoma"/>
      <w:sz w:val="16"/>
      <w:szCs w:val="16"/>
    </w:rPr>
  </w:style>
  <w:style w:type="character" w:customStyle="1" w:styleId="BalloonTextChar">
    <w:name w:val="Balloon Text Char"/>
    <w:basedOn w:val="DefaultParagraphFont"/>
    <w:link w:val="BalloonText"/>
    <w:semiHidden/>
    <w:rsid w:val="005A0D6D"/>
    <w:rPr>
      <w:rFonts w:ascii="Tahoma" w:eastAsia="SimSun" w:hAnsi="Tahoma" w:cs="Tahoma"/>
      <w:sz w:val="16"/>
      <w:szCs w:val="16"/>
      <w:lang w:val="en-US" w:eastAsia="zh-CN"/>
    </w:rPr>
  </w:style>
  <w:style w:type="character" w:styleId="FootnoteReference">
    <w:name w:val="footnote reference"/>
    <w:basedOn w:val="DefaultParagraphFont"/>
    <w:uiPriority w:val="99"/>
    <w:semiHidden/>
    <w:unhideWhenUsed/>
    <w:rsid w:val="005A0D6D"/>
    <w:rPr>
      <w:vertAlign w:val="superscript"/>
    </w:rPr>
  </w:style>
  <w:style w:type="character" w:styleId="Hyperlink">
    <w:name w:val="Hyperlink"/>
    <w:basedOn w:val="DefaultParagraphFont"/>
    <w:semiHidden/>
    <w:unhideWhenUsed/>
    <w:rsid w:val="00891E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2620">
      <w:bodyDiv w:val="1"/>
      <w:marLeft w:val="0"/>
      <w:marRight w:val="0"/>
      <w:marTop w:val="0"/>
      <w:marBottom w:val="0"/>
      <w:divBdr>
        <w:top w:val="none" w:sz="0" w:space="0" w:color="auto"/>
        <w:left w:val="none" w:sz="0" w:space="0" w:color="auto"/>
        <w:bottom w:val="none" w:sz="0" w:space="0" w:color="auto"/>
        <w:right w:val="none" w:sz="0" w:space="0" w:color="auto"/>
      </w:divBdr>
      <w:divsChild>
        <w:div w:id="1808205489">
          <w:marLeft w:val="0"/>
          <w:marRight w:val="0"/>
          <w:marTop w:val="0"/>
          <w:marBottom w:val="0"/>
          <w:divBdr>
            <w:top w:val="none" w:sz="0" w:space="0" w:color="auto"/>
            <w:left w:val="none" w:sz="0" w:space="0" w:color="auto"/>
            <w:bottom w:val="none" w:sz="0" w:space="0" w:color="auto"/>
            <w:right w:val="none" w:sz="0" w:space="0" w:color="auto"/>
          </w:divBdr>
        </w:div>
        <w:div w:id="1224869857">
          <w:marLeft w:val="0"/>
          <w:marRight w:val="0"/>
          <w:marTop w:val="0"/>
          <w:marBottom w:val="0"/>
          <w:divBdr>
            <w:top w:val="none" w:sz="0" w:space="0" w:color="auto"/>
            <w:left w:val="none" w:sz="0" w:space="0" w:color="auto"/>
            <w:bottom w:val="none" w:sz="0" w:space="0" w:color="auto"/>
            <w:right w:val="none" w:sz="0" w:space="0" w:color="auto"/>
          </w:divBdr>
        </w:div>
        <w:div w:id="1515531752">
          <w:marLeft w:val="0"/>
          <w:marRight w:val="0"/>
          <w:marTop w:val="0"/>
          <w:marBottom w:val="0"/>
          <w:divBdr>
            <w:top w:val="none" w:sz="0" w:space="0" w:color="auto"/>
            <w:left w:val="none" w:sz="0" w:space="0" w:color="auto"/>
            <w:bottom w:val="none" w:sz="0" w:space="0" w:color="auto"/>
            <w:right w:val="none" w:sz="0" w:space="0" w:color="auto"/>
          </w:divBdr>
        </w:div>
        <w:div w:id="784270261">
          <w:marLeft w:val="0"/>
          <w:marRight w:val="0"/>
          <w:marTop w:val="0"/>
          <w:marBottom w:val="0"/>
          <w:divBdr>
            <w:top w:val="none" w:sz="0" w:space="0" w:color="auto"/>
            <w:left w:val="none" w:sz="0" w:space="0" w:color="auto"/>
            <w:bottom w:val="none" w:sz="0" w:space="0" w:color="auto"/>
            <w:right w:val="none" w:sz="0" w:space="0" w:color="auto"/>
          </w:divBdr>
        </w:div>
        <w:div w:id="946696377">
          <w:marLeft w:val="0"/>
          <w:marRight w:val="0"/>
          <w:marTop w:val="0"/>
          <w:marBottom w:val="0"/>
          <w:divBdr>
            <w:top w:val="none" w:sz="0" w:space="0" w:color="auto"/>
            <w:left w:val="none" w:sz="0" w:space="0" w:color="auto"/>
            <w:bottom w:val="none" w:sz="0" w:space="0" w:color="auto"/>
            <w:right w:val="none" w:sz="0" w:space="0" w:color="auto"/>
          </w:divBdr>
        </w:div>
        <w:div w:id="297609697">
          <w:marLeft w:val="0"/>
          <w:marRight w:val="0"/>
          <w:marTop w:val="0"/>
          <w:marBottom w:val="0"/>
          <w:divBdr>
            <w:top w:val="none" w:sz="0" w:space="0" w:color="auto"/>
            <w:left w:val="none" w:sz="0" w:space="0" w:color="auto"/>
            <w:bottom w:val="none" w:sz="0" w:space="0" w:color="auto"/>
            <w:right w:val="none" w:sz="0" w:space="0" w:color="auto"/>
          </w:divBdr>
        </w:div>
        <w:div w:id="949430402">
          <w:marLeft w:val="0"/>
          <w:marRight w:val="0"/>
          <w:marTop w:val="0"/>
          <w:marBottom w:val="0"/>
          <w:divBdr>
            <w:top w:val="none" w:sz="0" w:space="0" w:color="auto"/>
            <w:left w:val="none" w:sz="0" w:space="0" w:color="auto"/>
            <w:bottom w:val="none" w:sz="0" w:space="0" w:color="auto"/>
            <w:right w:val="none" w:sz="0" w:space="0" w:color="auto"/>
          </w:divBdr>
        </w:div>
      </w:divsChild>
    </w:div>
    <w:div w:id="284193259">
      <w:bodyDiv w:val="1"/>
      <w:marLeft w:val="0"/>
      <w:marRight w:val="0"/>
      <w:marTop w:val="0"/>
      <w:marBottom w:val="0"/>
      <w:divBdr>
        <w:top w:val="none" w:sz="0" w:space="0" w:color="auto"/>
        <w:left w:val="none" w:sz="0" w:space="0" w:color="auto"/>
        <w:bottom w:val="none" w:sz="0" w:space="0" w:color="auto"/>
        <w:right w:val="none" w:sz="0" w:space="0" w:color="auto"/>
      </w:divBdr>
      <w:divsChild>
        <w:div w:id="975335161">
          <w:marLeft w:val="0"/>
          <w:marRight w:val="0"/>
          <w:marTop w:val="0"/>
          <w:marBottom w:val="0"/>
          <w:divBdr>
            <w:top w:val="none" w:sz="0" w:space="0" w:color="auto"/>
            <w:left w:val="none" w:sz="0" w:space="0" w:color="auto"/>
            <w:bottom w:val="none" w:sz="0" w:space="0" w:color="auto"/>
            <w:right w:val="none" w:sz="0" w:space="0" w:color="auto"/>
          </w:divBdr>
        </w:div>
        <w:div w:id="2022511593">
          <w:marLeft w:val="0"/>
          <w:marRight w:val="0"/>
          <w:marTop w:val="0"/>
          <w:marBottom w:val="0"/>
          <w:divBdr>
            <w:top w:val="none" w:sz="0" w:space="0" w:color="auto"/>
            <w:left w:val="none" w:sz="0" w:space="0" w:color="auto"/>
            <w:bottom w:val="none" w:sz="0" w:space="0" w:color="auto"/>
            <w:right w:val="none" w:sz="0" w:space="0" w:color="auto"/>
          </w:divBdr>
        </w:div>
        <w:div w:id="1407652201">
          <w:marLeft w:val="0"/>
          <w:marRight w:val="0"/>
          <w:marTop w:val="0"/>
          <w:marBottom w:val="0"/>
          <w:divBdr>
            <w:top w:val="none" w:sz="0" w:space="0" w:color="auto"/>
            <w:left w:val="none" w:sz="0" w:space="0" w:color="auto"/>
            <w:bottom w:val="none" w:sz="0" w:space="0" w:color="auto"/>
            <w:right w:val="none" w:sz="0" w:space="0" w:color="auto"/>
          </w:divBdr>
        </w:div>
        <w:div w:id="1915818394">
          <w:marLeft w:val="0"/>
          <w:marRight w:val="0"/>
          <w:marTop w:val="0"/>
          <w:marBottom w:val="0"/>
          <w:divBdr>
            <w:top w:val="none" w:sz="0" w:space="0" w:color="auto"/>
            <w:left w:val="none" w:sz="0" w:space="0" w:color="auto"/>
            <w:bottom w:val="none" w:sz="0" w:space="0" w:color="auto"/>
            <w:right w:val="none" w:sz="0" w:space="0" w:color="auto"/>
          </w:divBdr>
        </w:div>
        <w:div w:id="1126394603">
          <w:marLeft w:val="0"/>
          <w:marRight w:val="0"/>
          <w:marTop w:val="0"/>
          <w:marBottom w:val="0"/>
          <w:divBdr>
            <w:top w:val="none" w:sz="0" w:space="0" w:color="auto"/>
            <w:left w:val="none" w:sz="0" w:space="0" w:color="auto"/>
            <w:bottom w:val="none" w:sz="0" w:space="0" w:color="auto"/>
            <w:right w:val="none" w:sz="0" w:space="0" w:color="auto"/>
          </w:divBdr>
        </w:div>
        <w:div w:id="1886526785">
          <w:marLeft w:val="0"/>
          <w:marRight w:val="0"/>
          <w:marTop w:val="0"/>
          <w:marBottom w:val="0"/>
          <w:divBdr>
            <w:top w:val="none" w:sz="0" w:space="0" w:color="auto"/>
            <w:left w:val="none" w:sz="0" w:space="0" w:color="auto"/>
            <w:bottom w:val="none" w:sz="0" w:space="0" w:color="auto"/>
            <w:right w:val="none" w:sz="0" w:space="0" w:color="auto"/>
          </w:divBdr>
        </w:div>
        <w:div w:id="1534080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Regist\H%20LD%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 LD WG 7 (E)</Template>
  <TotalTime>9</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H/LD/WG/7/</vt:lpstr>
    </vt:vector>
  </TitlesOfParts>
  <Company>WIPO</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dc:title>
  <dc:creator>MAILLARD Amber</dc:creator>
  <cp:lastModifiedBy>MAILLARD Amber</cp:lastModifiedBy>
  <cp:revision>5</cp:revision>
  <cp:lastPrinted>2018-07-16T15:42:00Z</cp:lastPrinted>
  <dcterms:created xsi:type="dcterms:W3CDTF">2018-07-16T10:04:00Z</dcterms:created>
  <dcterms:modified xsi:type="dcterms:W3CDTF">2018-07-16T15:42:00Z</dcterms:modified>
</cp:coreProperties>
</file>