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17366" w:rsidRPr="008B2CC1" w:rsidTr="0001736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17366" w:rsidRPr="008B2CC1" w:rsidRDefault="00017366" w:rsidP="00F036F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17366" w:rsidRPr="008B2CC1" w:rsidRDefault="00017366" w:rsidP="00F036FF">
            <w:r>
              <w:rPr>
                <w:noProof/>
                <w:lang w:val="en-US" w:eastAsia="en-US"/>
              </w:rPr>
              <w:drawing>
                <wp:inline distT="0" distB="0" distL="0" distR="0" wp14:anchorId="15916CAA" wp14:editId="0702801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17366" w:rsidRPr="008B2CC1" w:rsidRDefault="00017366" w:rsidP="00F036FF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017366" w:rsidRPr="001832A6" w:rsidTr="00F036F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17366" w:rsidRPr="0090731E" w:rsidRDefault="00017366" w:rsidP="00F036F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H/LD/WG/6/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4 </w:t>
            </w:r>
          </w:p>
        </w:tc>
      </w:tr>
      <w:tr w:rsidR="00017366" w:rsidRPr="001832A6" w:rsidTr="00F036F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17366" w:rsidRPr="0090731E" w:rsidRDefault="00017366" w:rsidP="00F036F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3A749C" w:rsidRPr="003A749C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017366" w:rsidRPr="001832A6" w:rsidTr="00F036F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17366" w:rsidRPr="0090731E" w:rsidRDefault="00017366" w:rsidP="00F036F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3A749C" w:rsidRPr="003A749C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15 avril 2016</w:t>
            </w:r>
          </w:p>
        </w:tc>
      </w:tr>
    </w:tbl>
    <w:p w:rsidR="00017366" w:rsidRPr="008B2CC1" w:rsidRDefault="00017366" w:rsidP="00017366"/>
    <w:p w:rsidR="00017366" w:rsidRPr="008B2CC1" w:rsidRDefault="00017366" w:rsidP="00017366"/>
    <w:p w:rsidR="00017366" w:rsidRPr="008B2CC1" w:rsidRDefault="00017366" w:rsidP="00017366"/>
    <w:p w:rsidR="00017366" w:rsidRPr="008B2CC1" w:rsidRDefault="00017366" w:rsidP="00017366"/>
    <w:p w:rsidR="00017366" w:rsidRPr="008B2CC1" w:rsidRDefault="00017366" w:rsidP="00017366"/>
    <w:p w:rsidR="00017366" w:rsidRDefault="00017366" w:rsidP="00017366">
      <w:r w:rsidRPr="00324C03">
        <w:rPr>
          <w:b/>
          <w:sz w:val="28"/>
          <w:szCs w:val="28"/>
        </w:rPr>
        <w:t>Groupe de travail sur le développement juridique du système de</w:t>
      </w:r>
      <w:r>
        <w:rPr>
          <w:b/>
          <w:sz w:val="28"/>
          <w:szCs w:val="28"/>
        </w:rPr>
        <w:t> La Haye</w:t>
      </w:r>
      <w:r w:rsidRPr="00324C03">
        <w:rPr>
          <w:b/>
          <w:sz w:val="28"/>
          <w:szCs w:val="28"/>
        </w:rPr>
        <w:t xml:space="preserve"> concernant l</w:t>
      </w:r>
      <w:r>
        <w:rPr>
          <w:b/>
          <w:sz w:val="28"/>
          <w:szCs w:val="28"/>
        </w:rPr>
        <w:t>’</w:t>
      </w:r>
      <w:r w:rsidRPr="00324C03">
        <w:rPr>
          <w:b/>
          <w:sz w:val="28"/>
          <w:szCs w:val="28"/>
        </w:rPr>
        <w:t>enregistrement international des dessins et</w:t>
      </w:r>
      <w:r>
        <w:rPr>
          <w:b/>
          <w:sz w:val="28"/>
          <w:szCs w:val="28"/>
        </w:rPr>
        <w:t> </w:t>
      </w:r>
      <w:r w:rsidRPr="00324C03">
        <w:rPr>
          <w:b/>
          <w:sz w:val="28"/>
          <w:szCs w:val="28"/>
        </w:rPr>
        <w:t>modèles industriels</w:t>
      </w:r>
    </w:p>
    <w:p w:rsidR="00017366" w:rsidRDefault="00017366" w:rsidP="00017366"/>
    <w:p w:rsidR="00017366" w:rsidRDefault="00017366" w:rsidP="00017366"/>
    <w:p w:rsidR="00017366" w:rsidRPr="00324C03" w:rsidRDefault="00017366" w:rsidP="00017366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Sixième</w:t>
      </w:r>
      <w:r w:rsidR="003A749C">
        <w:rPr>
          <w:b/>
          <w:sz w:val="24"/>
          <w:szCs w:val="24"/>
        </w:rPr>
        <w:t> </w:t>
      </w:r>
      <w:r w:rsidRPr="00324C03">
        <w:rPr>
          <w:b/>
          <w:sz w:val="24"/>
          <w:szCs w:val="24"/>
        </w:rPr>
        <w:t>session</w:t>
      </w:r>
    </w:p>
    <w:p w:rsidR="00017366" w:rsidRPr="008B2CC1" w:rsidRDefault="00017366" w:rsidP="00017366">
      <w:r>
        <w:rPr>
          <w:b/>
          <w:sz w:val="24"/>
          <w:szCs w:val="24"/>
        </w:rPr>
        <w:t>Genève, 20</w:t>
      </w:r>
      <w:r w:rsidRPr="00480F6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22 juin 2016</w:t>
      </w:r>
    </w:p>
    <w:p w:rsidR="00017366" w:rsidRPr="008B2CC1" w:rsidRDefault="00017366" w:rsidP="00017366"/>
    <w:p w:rsidR="00017366" w:rsidRPr="008B2CC1" w:rsidRDefault="00017366" w:rsidP="00017366"/>
    <w:p w:rsidR="001F550A" w:rsidRPr="00541E9E" w:rsidRDefault="001F550A" w:rsidP="001F550A">
      <w:pPr>
        <w:rPr>
          <w:caps/>
          <w:sz w:val="24"/>
        </w:rPr>
      </w:pPr>
      <w:r w:rsidRPr="00541E9E">
        <w:rPr>
          <w:caps/>
          <w:sz w:val="24"/>
        </w:rPr>
        <w:t xml:space="preserve">PROJET </w:t>
      </w:r>
      <w:r w:rsidR="00541E9E" w:rsidRPr="00541E9E">
        <w:rPr>
          <w:caps/>
          <w:sz w:val="24"/>
        </w:rPr>
        <w:t xml:space="preserve">relatif </w:t>
      </w:r>
      <w:r w:rsidR="00541E9E">
        <w:rPr>
          <w:caps/>
          <w:sz w:val="24"/>
        </w:rPr>
        <w:t>À</w:t>
      </w:r>
      <w:r w:rsidR="00541E9E" w:rsidRPr="00541E9E">
        <w:rPr>
          <w:caps/>
          <w:sz w:val="24"/>
        </w:rPr>
        <w:t xml:space="preserve"> l</w:t>
      </w:r>
      <w:r w:rsidR="00017366">
        <w:rPr>
          <w:caps/>
          <w:sz w:val="24"/>
        </w:rPr>
        <w:t>’</w:t>
      </w:r>
      <w:r w:rsidR="00541E9E" w:rsidRPr="00541E9E">
        <w:rPr>
          <w:caps/>
          <w:sz w:val="24"/>
        </w:rPr>
        <w:t>am</w:t>
      </w:r>
      <w:r w:rsidR="00541E9E">
        <w:rPr>
          <w:caps/>
          <w:sz w:val="24"/>
        </w:rPr>
        <w:t>É</w:t>
      </w:r>
      <w:r w:rsidR="00541E9E" w:rsidRPr="00541E9E">
        <w:rPr>
          <w:caps/>
          <w:sz w:val="24"/>
        </w:rPr>
        <w:t>lioration de la pr</w:t>
      </w:r>
      <w:r w:rsidR="00541E9E">
        <w:rPr>
          <w:caps/>
          <w:sz w:val="24"/>
        </w:rPr>
        <w:t>É</w:t>
      </w:r>
      <w:r w:rsidR="00541E9E" w:rsidRPr="00541E9E">
        <w:rPr>
          <w:caps/>
          <w:sz w:val="24"/>
        </w:rPr>
        <w:t>cision des donn</w:t>
      </w:r>
      <w:r w:rsidR="00541E9E">
        <w:rPr>
          <w:caps/>
          <w:sz w:val="24"/>
        </w:rPr>
        <w:t>É</w:t>
      </w:r>
      <w:r w:rsidR="00541E9E" w:rsidRPr="00541E9E">
        <w:rPr>
          <w:caps/>
          <w:sz w:val="24"/>
        </w:rPr>
        <w:t xml:space="preserve">es inscrites au registre international : </w:t>
      </w:r>
      <w:r w:rsidR="00602656" w:rsidRPr="00541E9E">
        <w:rPr>
          <w:caps/>
          <w:sz w:val="24"/>
        </w:rPr>
        <w:t>propos</w:t>
      </w:r>
      <w:r w:rsidR="00541E9E" w:rsidRPr="00541E9E">
        <w:rPr>
          <w:caps/>
          <w:sz w:val="24"/>
        </w:rPr>
        <w:t xml:space="preserve">ition </w:t>
      </w:r>
      <w:r w:rsidR="00541E9E">
        <w:rPr>
          <w:caps/>
          <w:sz w:val="24"/>
        </w:rPr>
        <w:t xml:space="preserve">concernant </w:t>
      </w:r>
      <w:r w:rsidR="004E4BCD">
        <w:rPr>
          <w:caps/>
          <w:sz w:val="24"/>
        </w:rPr>
        <w:t>l</w:t>
      </w:r>
      <w:r w:rsidR="00017366">
        <w:rPr>
          <w:caps/>
          <w:sz w:val="24"/>
        </w:rPr>
        <w:t>’</w:t>
      </w:r>
      <w:r w:rsidR="004E4BCD">
        <w:rPr>
          <w:caps/>
          <w:sz w:val="24"/>
        </w:rPr>
        <w:t xml:space="preserve">amÉlioration de </w:t>
      </w:r>
      <w:r w:rsidR="00602656" w:rsidRPr="00541E9E">
        <w:rPr>
          <w:caps/>
          <w:sz w:val="24"/>
        </w:rPr>
        <w:t>l</w:t>
      </w:r>
      <w:r w:rsidR="004E4BCD">
        <w:rPr>
          <w:caps/>
          <w:sz w:val="24"/>
        </w:rPr>
        <w:t>a structure</w:t>
      </w:r>
      <w:r w:rsidR="00602656" w:rsidRPr="00541E9E">
        <w:rPr>
          <w:caps/>
          <w:sz w:val="24"/>
        </w:rPr>
        <w:t xml:space="preserve"> </w:t>
      </w:r>
      <w:r w:rsidR="004E4BCD">
        <w:rPr>
          <w:caps/>
          <w:sz w:val="24"/>
        </w:rPr>
        <w:t>des donnÉes relatives aux enregistrements internationaux</w:t>
      </w:r>
    </w:p>
    <w:p w:rsidR="001F550A" w:rsidRPr="00541E9E" w:rsidRDefault="001F550A" w:rsidP="001F550A"/>
    <w:p w:rsidR="001F550A" w:rsidRPr="00541E9E" w:rsidRDefault="001F550A" w:rsidP="001F550A">
      <w:pPr>
        <w:rPr>
          <w:i/>
        </w:rPr>
      </w:pPr>
      <w:bookmarkStart w:id="4" w:name="Prepared"/>
      <w:bookmarkEnd w:id="4"/>
      <w:r w:rsidRPr="00541E9E">
        <w:rPr>
          <w:i/>
        </w:rPr>
        <w:t xml:space="preserve">Document </w:t>
      </w:r>
      <w:r w:rsidR="004E4BCD">
        <w:rPr>
          <w:i/>
        </w:rPr>
        <w:t>établi par le Bureau i</w:t>
      </w:r>
      <w:r w:rsidRPr="00541E9E">
        <w:rPr>
          <w:i/>
        </w:rPr>
        <w:t>nternational</w:t>
      </w:r>
    </w:p>
    <w:p w:rsidR="001F550A" w:rsidRPr="00541E9E" w:rsidRDefault="001F550A" w:rsidP="001F550A"/>
    <w:p w:rsidR="001F550A" w:rsidRPr="00541E9E" w:rsidRDefault="001F550A" w:rsidP="001F550A"/>
    <w:p w:rsidR="001F550A" w:rsidRPr="00541E9E" w:rsidRDefault="001F550A" w:rsidP="006B0A8F">
      <w:pPr>
        <w:pStyle w:val="Heading1"/>
        <w:rPr>
          <w:lang w:eastAsia="en-US"/>
        </w:rPr>
      </w:pPr>
      <w:r w:rsidRPr="00541E9E">
        <w:rPr>
          <w:lang w:eastAsia="en-US"/>
        </w:rPr>
        <w:t>I.</w:t>
      </w:r>
      <w:r w:rsidRPr="00541E9E">
        <w:rPr>
          <w:lang w:eastAsia="en-US"/>
        </w:rPr>
        <w:tab/>
      </w:r>
      <w:r w:rsidR="006B0A8F">
        <w:rPr>
          <w:lang w:eastAsia="en-US"/>
        </w:rPr>
        <w:t>Rappel</w:t>
      </w:r>
    </w:p>
    <w:p w:rsidR="001F550A" w:rsidRPr="00541E9E" w:rsidRDefault="001F550A" w:rsidP="001F550A">
      <w:pPr>
        <w:rPr>
          <w:lang w:eastAsia="en-US"/>
        </w:rPr>
      </w:pPr>
    </w:p>
    <w:p w:rsidR="00017366" w:rsidRDefault="004E4BCD" w:rsidP="006B0A8F">
      <w:pPr>
        <w:pStyle w:val="ONUMFS"/>
      </w:pPr>
      <w:r>
        <w:t>Conformément à l</w:t>
      </w:r>
      <w:r w:rsidR="00017366">
        <w:t>’</w:t>
      </w:r>
      <w:r>
        <w:t>article </w:t>
      </w:r>
      <w:r w:rsidR="001F550A" w:rsidRPr="00541E9E">
        <w:t>5</w:t>
      </w:r>
      <w:r>
        <w:t>.</w:t>
      </w:r>
      <w:r w:rsidR="001F550A" w:rsidRPr="00541E9E">
        <w:t xml:space="preserve">4) </w:t>
      </w:r>
      <w:r>
        <w:t>de l</w:t>
      </w:r>
      <w:r w:rsidR="00017366">
        <w:t>’</w:t>
      </w:r>
      <w:r>
        <w:t>Acte de</w:t>
      </w:r>
      <w:r w:rsidR="003A749C">
        <w:t> </w:t>
      </w:r>
      <w:r w:rsidR="001F550A" w:rsidRPr="00541E9E">
        <w:t>1999</w:t>
      </w:r>
      <w:r>
        <w:t xml:space="preserve"> de l</w:t>
      </w:r>
      <w:r w:rsidR="00017366">
        <w:t>’</w:t>
      </w:r>
      <w:r>
        <w:t xml:space="preserve">Arrangement de </w:t>
      </w:r>
      <w:r w:rsidR="00017366">
        <w:t>La Haye</w:t>
      </w:r>
      <w:r>
        <w:t xml:space="preserve"> concernant l</w:t>
      </w:r>
      <w:r w:rsidR="00017366">
        <w:t>’</w:t>
      </w:r>
      <w:r>
        <w:t>enregistrement international des dessins et modèles industriels (ci</w:t>
      </w:r>
      <w:r w:rsidR="006B0A8F">
        <w:noBreakHyphen/>
      </w:r>
      <w:r>
        <w:t>après dénommé “Acte de</w:t>
      </w:r>
      <w:r w:rsidR="003A749C">
        <w:t> </w:t>
      </w:r>
      <w:r>
        <w:t>1999”) et à la règle </w:t>
      </w:r>
      <w:r w:rsidR="001F550A" w:rsidRPr="00541E9E">
        <w:t>7</w:t>
      </w:r>
      <w:r>
        <w:t>.</w:t>
      </w:r>
      <w:r w:rsidR="001F550A" w:rsidRPr="00541E9E">
        <w:t xml:space="preserve">3)v) </w:t>
      </w:r>
      <w:r>
        <w:t>du Règlement d</w:t>
      </w:r>
      <w:r w:rsidR="00017366">
        <w:t>’</w:t>
      </w:r>
      <w:r>
        <w:t>exécution commun à l</w:t>
      </w:r>
      <w:r w:rsidR="00017366">
        <w:t>’</w:t>
      </w:r>
      <w:r>
        <w:t>Acte de</w:t>
      </w:r>
      <w:r w:rsidR="003A749C">
        <w:t> </w:t>
      </w:r>
      <w:r>
        <w:t>1999 et l</w:t>
      </w:r>
      <w:r w:rsidR="00017366">
        <w:t>’</w:t>
      </w:r>
      <w:r>
        <w:t>Acte de</w:t>
      </w:r>
      <w:r w:rsidR="003A749C">
        <w:t> </w:t>
      </w:r>
      <w:r>
        <w:t>1960 de l</w:t>
      </w:r>
      <w:r w:rsidR="00017366">
        <w:t>’</w:t>
      </w:r>
      <w:r>
        <w:t xml:space="preserve">Arrangement de </w:t>
      </w:r>
      <w:r w:rsidR="00017366">
        <w:t>La Haye</w:t>
      </w:r>
      <w:r>
        <w:t xml:space="preserve"> </w:t>
      </w:r>
      <w:r w:rsidR="001F550A" w:rsidRPr="00541E9E">
        <w:t>(</w:t>
      </w:r>
      <w:r>
        <w:t>ci</w:t>
      </w:r>
      <w:r w:rsidR="006B0A8F">
        <w:noBreakHyphen/>
      </w:r>
      <w:r>
        <w:t>après dénommé “règlement d</w:t>
      </w:r>
      <w:r w:rsidR="00017366">
        <w:t>’</w:t>
      </w:r>
      <w:r>
        <w:t>exécution commun”), une demande internationale peut contenir jusqu</w:t>
      </w:r>
      <w:r w:rsidR="00017366">
        <w:t>’</w:t>
      </w:r>
      <w:r>
        <w:t xml:space="preserve">à 100 dessins </w:t>
      </w:r>
      <w:r w:rsidR="007D7FF5">
        <w:t>ou modèles à condition qu</w:t>
      </w:r>
      <w:r w:rsidR="00017366">
        <w:t>’</w:t>
      </w:r>
      <w:r w:rsidR="007D7FF5">
        <w:t xml:space="preserve">ils se rapportent à des produits </w:t>
      </w:r>
      <w:r w:rsidR="007D7FF5" w:rsidRPr="007D7FF5">
        <w:t xml:space="preserve">appartenant à la même classe de la classification </w:t>
      </w:r>
      <w:r w:rsidR="007D7FF5">
        <w:t xml:space="preserve">internationale pour les dessins et modèles industriels </w:t>
      </w:r>
      <w:r w:rsidR="001F550A" w:rsidRPr="00541E9E">
        <w:t>(</w:t>
      </w:r>
      <w:r w:rsidR="007D7FF5">
        <w:t>ci</w:t>
      </w:r>
      <w:r w:rsidR="006B0A8F">
        <w:noBreakHyphen/>
      </w:r>
      <w:r w:rsidR="007D7FF5">
        <w:t>après dénommée “classification de Locarno”</w:t>
      </w:r>
      <w:r w:rsidR="001F550A" w:rsidRPr="00541E9E">
        <w:t xml:space="preserve">).  </w:t>
      </w:r>
      <w:r w:rsidR="007D7FF5">
        <w:t>La possibilité d</w:t>
      </w:r>
      <w:r w:rsidR="00017366">
        <w:t>’</w:t>
      </w:r>
      <w:r w:rsidR="007D7FF5">
        <w:t>inclure plusieurs dessins ou modèles dans une seule demande internationale est largement utilisée par les déposants et, en</w:t>
      </w:r>
      <w:r w:rsidR="003A749C">
        <w:t> </w:t>
      </w:r>
      <w:r w:rsidR="007D7FF5">
        <w:t xml:space="preserve">2015, 55% des enregistrements internationaux contenaient plusieurs dessins ou modèles, alors que 45% des enregistrements internationaux ne </w:t>
      </w:r>
      <w:r w:rsidR="0088473A">
        <w:t>concernai</w:t>
      </w:r>
      <w:r w:rsidR="007D7FF5">
        <w:t>ent qu</w:t>
      </w:r>
      <w:r w:rsidR="00017366">
        <w:t>’</w:t>
      </w:r>
      <w:r w:rsidR="007D7FF5">
        <w:t>un s</w:t>
      </w:r>
      <w:r w:rsidR="0088473A">
        <w:t>eul dessin ou modèle.</w:t>
      </w:r>
    </w:p>
    <w:p w:rsidR="001F550A" w:rsidRPr="00541E9E" w:rsidRDefault="0088473A" w:rsidP="006B0A8F">
      <w:pPr>
        <w:pStyle w:val="ONUMFS"/>
      </w:pPr>
      <w:r>
        <w:t>À l</w:t>
      </w:r>
      <w:r w:rsidR="00017366">
        <w:t>’</w:t>
      </w:r>
      <w:r>
        <w:t xml:space="preserve">heure actuelle, les données inscrites au registre international </w:t>
      </w:r>
      <w:r w:rsidR="0034266A">
        <w:t>sont structurées et enregistrées de telle sorte qu</w:t>
      </w:r>
      <w:r w:rsidR="00017366">
        <w:t>’</w:t>
      </w:r>
      <w:r w:rsidR="0034266A">
        <w:t>elles décrivent l</w:t>
      </w:r>
      <w:r w:rsidR="00017366">
        <w:t>’</w:t>
      </w:r>
      <w:r w:rsidR="0034266A">
        <w:t xml:space="preserve">enregistrement international dans </w:t>
      </w:r>
      <w:r w:rsidR="00E201E0">
        <w:t>son ensemb</w:t>
      </w:r>
      <w:r w:rsidR="00042937">
        <w:t>le.  Ce</w:t>
      </w:r>
      <w:r w:rsidR="00E201E0">
        <w:t xml:space="preserve"> mode d</w:t>
      </w:r>
      <w:r w:rsidR="00017366">
        <w:t>’</w:t>
      </w:r>
      <w:r w:rsidR="00E201E0">
        <w:t>enregistrement des données implique que, en cas de demande multiple d</w:t>
      </w:r>
      <w:r w:rsidR="00017366">
        <w:t>’</w:t>
      </w:r>
      <w:r w:rsidR="00E201E0">
        <w:t>enregistrement de dessin</w:t>
      </w:r>
      <w:r w:rsidR="00205242">
        <w:t>s</w:t>
      </w:r>
      <w:r w:rsidR="00E201E0">
        <w:t xml:space="preserve"> ou modèle</w:t>
      </w:r>
      <w:r w:rsidR="00205242">
        <w:t>s</w:t>
      </w:r>
      <w:r w:rsidR="00E201E0">
        <w:t xml:space="preserve">, les dessins ou modèles ne sont pas décrits </w:t>
      </w:r>
      <w:r w:rsidR="00E201E0">
        <w:lastRenderedPageBreak/>
        <w:t>individuelleme</w:t>
      </w:r>
      <w:r w:rsidR="00042937">
        <w:t>nt.  Ce</w:t>
      </w:r>
      <w:r w:rsidR="00E201E0">
        <w:t>tte situation s</w:t>
      </w:r>
      <w:r w:rsidR="00017366">
        <w:t>’</w:t>
      </w:r>
      <w:r w:rsidR="00E201E0">
        <w:t>explique par le fait que, jusqu</w:t>
      </w:r>
      <w:r w:rsidR="00017366">
        <w:t>’</w:t>
      </w:r>
      <w:r w:rsidR="00E201E0">
        <w:t>en mars 2016</w:t>
      </w:r>
      <w:r w:rsidR="001F550A" w:rsidRPr="00541E9E">
        <w:rPr>
          <w:rStyle w:val="FootnoteReference"/>
        </w:rPr>
        <w:footnoteReference w:id="2"/>
      </w:r>
      <w:r w:rsidR="001F550A" w:rsidRPr="00541E9E">
        <w:t xml:space="preserve">, </w:t>
      </w:r>
      <w:r w:rsidR="00E201E0">
        <w:t xml:space="preserve">le système de </w:t>
      </w:r>
      <w:r w:rsidR="00017366">
        <w:t>La Haye</w:t>
      </w:r>
      <w:r w:rsidR="00E201E0">
        <w:t xml:space="preserve"> </w:t>
      </w:r>
      <w:r w:rsidR="002E7F43">
        <w:t>partageait une infrastructure informatique commune avec le système de Madrid concernant l</w:t>
      </w:r>
      <w:r w:rsidR="00017366">
        <w:t>’</w:t>
      </w:r>
      <w:r w:rsidR="002E7F43">
        <w:t>enregistrement international des marqu</w:t>
      </w:r>
      <w:r w:rsidR="00042937">
        <w:t>es.  Il</w:t>
      </w:r>
      <w:r w:rsidR="002E7F43">
        <w:t xml:space="preserve"> convient de rappeler que la différence fondamentale entre le système de </w:t>
      </w:r>
      <w:r w:rsidR="00017366">
        <w:t>La Haye</w:t>
      </w:r>
      <w:r w:rsidR="002E7F43">
        <w:t xml:space="preserve"> et le système de Madrid est qu</w:t>
      </w:r>
      <w:r w:rsidR="00017366">
        <w:t>’</w:t>
      </w:r>
      <w:r w:rsidR="002E7F43">
        <w:t>un enregistrement international en vertu du système de Madrid ne peut contenir qu</w:t>
      </w:r>
      <w:r w:rsidR="00017366">
        <w:t>’</w:t>
      </w:r>
      <w:r w:rsidR="002E7F43">
        <w:t>une seule marq</w:t>
      </w:r>
      <w:r w:rsidR="00042937">
        <w:t>ue.  La</w:t>
      </w:r>
      <w:r w:rsidR="002E7F43">
        <w:t xml:space="preserve"> structure de</w:t>
      </w:r>
      <w:r w:rsidR="001033D8">
        <w:t>s</w:t>
      </w:r>
      <w:r w:rsidR="002E7F43">
        <w:t xml:space="preserve"> données actuelle</w:t>
      </w:r>
      <w:r w:rsidR="000F38EE">
        <w:t>ment en vigueur</w:t>
      </w:r>
      <w:r w:rsidR="002E7F43">
        <w:t xml:space="preserve"> dans le cadre du système de </w:t>
      </w:r>
      <w:r w:rsidR="00017366">
        <w:t>La Haye</w:t>
      </w:r>
      <w:r w:rsidR="001F550A" w:rsidRPr="00541E9E">
        <w:t xml:space="preserve"> </w:t>
      </w:r>
      <w:r w:rsidR="002E7F43">
        <w:t>est reproduite à l</w:t>
      </w:r>
      <w:r w:rsidR="00017366">
        <w:t>’</w:t>
      </w:r>
      <w:r w:rsidR="002E7F43">
        <w:t>annexe I du présent document</w:t>
      </w:r>
      <w:r w:rsidR="001F550A" w:rsidRPr="00541E9E">
        <w:t>.</w:t>
      </w:r>
    </w:p>
    <w:p w:rsidR="001F550A" w:rsidRPr="00541E9E" w:rsidRDefault="0060029F" w:rsidP="006B0A8F">
      <w:pPr>
        <w:pStyle w:val="ONUMFS"/>
      </w:pPr>
      <w:r>
        <w:t>Il est prévu de mettre en place</w:t>
      </w:r>
      <w:r w:rsidR="001F550A" w:rsidRPr="00541E9E">
        <w:rPr>
          <w:rStyle w:val="FootnoteReference"/>
        </w:rPr>
        <w:footnoteReference w:id="3"/>
      </w:r>
      <w:r>
        <w:t>, dans le courant de</w:t>
      </w:r>
      <w:r w:rsidR="003A749C">
        <w:t> </w:t>
      </w:r>
      <w:r>
        <w:t xml:space="preserve">2016, un nouveau système informatique </w:t>
      </w:r>
      <w:r w:rsidR="00D45221">
        <w:t>principal</w:t>
      </w:r>
      <w:r>
        <w:t>, le système DIRIS (</w:t>
      </w:r>
      <w:r w:rsidRPr="00D07029">
        <w:rPr>
          <w:i/>
        </w:rPr>
        <w:t>Design International Registration Information Syst</w:t>
      </w:r>
      <w:r w:rsidR="00042937" w:rsidRPr="00D07029">
        <w:rPr>
          <w:i/>
        </w:rPr>
        <w:t>em</w:t>
      </w:r>
      <w:r w:rsidR="00042937">
        <w:t>).  Ce</w:t>
      </w:r>
      <w:r>
        <w:t xml:space="preserve"> nouveau système informatique s</w:t>
      </w:r>
      <w:r w:rsidR="00017366">
        <w:t>’</w:t>
      </w:r>
      <w:r>
        <w:t xml:space="preserve">appuie sur des technologies modernes </w:t>
      </w:r>
      <w:r w:rsidR="004906CA">
        <w:t xml:space="preserve">et </w:t>
      </w:r>
      <w:r w:rsidR="004906CA" w:rsidRPr="00205242">
        <w:t>activement prises en charge</w:t>
      </w:r>
      <w:r w:rsidR="004906CA">
        <w:t xml:space="preserve"> et permettra de remanier la structure des données inscrites au registre international tenu au titre du système de </w:t>
      </w:r>
      <w:r w:rsidR="00017366">
        <w:t>La Haye</w:t>
      </w:r>
      <w:r w:rsidR="001F550A" w:rsidRPr="00541E9E">
        <w:t>.</w:t>
      </w:r>
    </w:p>
    <w:p w:rsidR="00017366" w:rsidRDefault="004906CA" w:rsidP="006B0A8F">
      <w:pPr>
        <w:pStyle w:val="ONUMFS"/>
      </w:pPr>
      <w:r>
        <w:t>La nouvelle structure de</w:t>
      </w:r>
      <w:r w:rsidR="001033D8">
        <w:t>s</w:t>
      </w:r>
      <w:r>
        <w:t xml:space="preserve"> données qu</w:t>
      </w:r>
      <w:r w:rsidR="00017366">
        <w:t>’</w:t>
      </w:r>
      <w:r>
        <w:t>il est prévu de mettre en place, telle qu</w:t>
      </w:r>
      <w:r w:rsidR="00017366">
        <w:t>’</w:t>
      </w:r>
      <w:r>
        <w:t>elle est décrite au chapitre II</w:t>
      </w:r>
      <w:r w:rsidR="00340A82">
        <w:t>I</w:t>
      </w:r>
      <w:r>
        <w:t xml:space="preserve"> et reproduite à l</w:t>
      </w:r>
      <w:r w:rsidR="00017366">
        <w:t>’</w:t>
      </w:r>
      <w:r>
        <w:t>annexe</w:t>
      </w:r>
      <w:r w:rsidR="001F550A" w:rsidRPr="00541E9E">
        <w:t xml:space="preserve"> II </w:t>
      </w:r>
      <w:r>
        <w:t>du</w:t>
      </w:r>
      <w:r w:rsidR="001F550A" w:rsidRPr="00541E9E">
        <w:t xml:space="preserve"> pr</w:t>
      </w:r>
      <w:r>
        <w:t>é</w:t>
      </w:r>
      <w:r w:rsidR="001F550A" w:rsidRPr="00541E9E">
        <w:t xml:space="preserve">sent document, </w:t>
      </w:r>
      <w:r w:rsidR="00C46215">
        <w:t xml:space="preserve">remédie à un certain nombre de </w:t>
      </w:r>
      <w:r w:rsidR="00F645F1">
        <w:t>problèmes</w:t>
      </w:r>
      <w:r w:rsidR="00C46215">
        <w:t xml:space="preserve"> </w:t>
      </w:r>
      <w:r w:rsidR="00F645F1">
        <w:t xml:space="preserve">existant </w:t>
      </w:r>
      <w:r w:rsidR="00C46215">
        <w:t xml:space="preserve">dans la structure actuelle </w:t>
      </w:r>
      <w:r w:rsidR="00C46215" w:rsidRPr="00C46215">
        <w:t xml:space="preserve">dans le cadre du système de </w:t>
      </w:r>
      <w:r w:rsidR="00017366">
        <w:t>La Ha</w:t>
      </w:r>
      <w:r w:rsidR="00042937">
        <w:t>ye.  Ce</w:t>
      </w:r>
      <w:r w:rsidR="00205242">
        <w:t xml:space="preserve">tte </w:t>
      </w:r>
      <w:r w:rsidR="00C46215">
        <w:t xml:space="preserve">nouvelle structure permettrait </w:t>
      </w:r>
      <w:r w:rsidR="00580A01">
        <w:t>d</w:t>
      </w:r>
      <w:r w:rsidR="00017366">
        <w:t>’</w:t>
      </w:r>
      <w:r w:rsidR="00580A01">
        <w:t xml:space="preserve">inscrire au registre international des données se rapportant expressément aux dessins ou modèles et ouvrirait de nouvelles perspectives au regard du développement juridique du système de </w:t>
      </w:r>
      <w:r w:rsidR="00017366">
        <w:t>La Haye</w:t>
      </w:r>
      <w:r w:rsidR="00580A01">
        <w:t>, tout en améliorant l</w:t>
      </w:r>
      <w:r w:rsidR="00017366">
        <w:t>’</w:t>
      </w:r>
      <w:r w:rsidR="00580A01">
        <w:t xml:space="preserve">interaction entre le Bureau international et les </w:t>
      </w:r>
      <w:r w:rsidR="001326D1">
        <w:t>O</w:t>
      </w:r>
      <w:r w:rsidR="00580A01">
        <w:t>ffices des parties contractantes et entre le Bureau international et les utilisateurs du système.</w:t>
      </w:r>
    </w:p>
    <w:p w:rsidR="001F550A" w:rsidRPr="00541E9E" w:rsidRDefault="00580A01" w:rsidP="006B0A8F">
      <w:pPr>
        <w:pStyle w:val="ONUMFS"/>
      </w:pPr>
      <w:r>
        <w:t>Dans ce contexte, le Secrétariat a proposé, lors de la cinquième session du groupe de travail, que le Bureau international diffuse un questionnaire visant à établir jusqu</w:t>
      </w:r>
      <w:r w:rsidR="00017366">
        <w:t>’</w:t>
      </w:r>
      <w:r>
        <w:t xml:space="preserve">à quel point </w:t>
      </w:r>
      <w:r w:rsidR="00A47183">
        <w:t xml:space="preserve">il convenait de détailler </w:t>
      </w:r>
      <w:r>
        <w:t>les données inscrites au registre internation</w:t>
      </w:r>
      <w:r w:rsidR="00042937">
        <w:t>al.  To</w:t>
      </w:r>
      <w:r w:rsidR="000F38EE">
        <w:t xml:space="preserve">utefois, après avoir fait la synthèse des observations formulées par des </w:t>
      </w:r>
      <w:r w:rsidR="001326D1">
        <w:t>O</w:t>
      </w:r>
      <w:r w:rsidR="000F38EE">
        <w:t xml:space="preserve">ffices lors de précédentes réunions et des </w:t>
      </w:r>
      <w:r w:rsidR="001F550A" w:rsidRPr="00541E9E">
        <w:t xml:space="preserve">discussions </w:t>
      </w:r>
      <w:r w:rsidR="000F38EE">
        <w:t>au niveau opérationnel</w:t>
      </w:r>
      <w:r w:rsidR="001F550A" w:rsidRPr="00541E9E">
        <w:t xml:space="preserve">, </w:t>
      </w:r>
      <w:r w:rsidR="000F38EE">
        <w:t>le Bureau international a estimé qu</w:t>
      </w:r>
      <w:r w:rsidR="00017366">
        <w:t>’</w:t>
      </w:r>
      <w:r w:rsidR="000F38EE">
        <w:t xml:space="preserve">il disposait de suffisamment de matière pour pouvoir soumettre la présente proposition relative à une </w:t>
      </w:r>
      <w:r w:rsidR="00F645F1">
        <w:t xml:space="preserve">éventuelle </w:t>
      </w:r>
      <w:r w:rsidR="000F38EE">
        <w:t>nouvelle structure de</w:t>
      </w:r>
      <w:r w:rsidR="001033D8">
        <w:t>s</w:t>
      </w:r>
      <w:r w:rsidR="000F38EE">
        <w:t xml:space="preserve"> données</w:t>
      </w:r>
      <w:r w:rsidR="001F550A" w:rsidRPr="00541E9E">
        <w:t>.</w:t>
      </w:r>
    </w:p>
    <w:p w:rsidR="001F550A" w:rsidRPr="00541E9E" w:rsidRDefault="001F550A" w:rsidP="002A519D">
      <w:pPr>
        <w:pStyle w:val="Heading1"/>
        <w:spacing w:before="480"/>
      </w:pPr>
      <w:r w:rsidRPr="00541E9E">
        <w:t>II.</w:t>
      </w:r>
      <w:r w:rsidRPr="00541E9E">
        <w:tab/>
      </w:r>
      <w:r w:rsidR="006B0A8F">
        <w:t>Problèmes recensés dans la structure des données actuelle</w:t>
      </w:r>
    </w:p>
    <w:p w:rsidR="001F550A" w:rsidRPr="00541E9E" w:rsidRDefault="001F550A" w:rsidP="001F550A"/>
    <w:p w:rsidR="00017366" w:rsidRDefault="000F38EE" w:rsidP="006B0A8F">
      <w:pPr>
        <w:pStyle w:val="ONUMFS"/>
      </w:pPr>
      <w:r>
        <w:t xml:space="preserve">Les </w:t>
      </w:r>
      <w:r w:rsidR="001326D1">
        <w:t>O</w:t>
      </w:r>
      <w:r>
        <w:t xml:space="preserve">ffices de certaines parties </w:t>
      </w:r>
      <w:r w:rsidR="00F645F1">
        <w:t>contractantes de l</w:t>
      </w:r>
      <w:r w:rsidR="00017366">
        <w:t>’</w:t>
      </w:r>
      <w:r w:rsidR="00F645F1">
        <w:t>Arrangement</w:t>
      </w:r>
      <w:r>
        <w:t xml:space="preserve"> de </w:t>
      </w:r>
      <w:r w:rsidR="00017366">
        <w:t>La Haye</w:t>
      </w:r>
      <w:r>
        <w:t xml:space="preserve"> ont indiqué au Bureau international </w:t>
      </w:r>
      <w:r w:rsidR="00F645F1">
        <w:t>qu</w:t>
      </w:r>
      <w:r w:rsidR="00017366">
        <w:t>’</w:t>
      </w:r>
      <w:r w:rsidR="00F645F1">
        <w:t>ils se heurtaient à des problèmes découlant de la structure de</w:t>
      </w:r>
      <w:r w:rsidR="001033D8">
        <w:t>s</w:t>
      </w:r>
      <w:r w:rsidR="00F645F1">
        <w:t xml:space="preserve"> données actuellement en vigueur lorsqu</w:t>
      </w:r>
      <w:r w:rsidR="00017366">
        <w:t>’</w:t>
      </w:r>
      <w:r w:rsidR="00F645F1">
        <w:t xml:space="preserve">ils importaient les enregistrements internationaux dans leur propre système, et </w:t>
      </w:r>
      <w:r w:rsidR="00205242">
        <w:t xml:space="preserve">ils </w:t>
      </w:r>
      <w:r w:rsidR="00F645F1">
        <w:t>ont proposé d</w:t>
      </w:r>
      <w:r w:rsidR="00017366">
        <w:t>’</w:t>
      </w:r>
      <w:r w:rsidR="00F645F1">
        <w:t>apporter des améliorations au système actuellement en vigue</w:t>
      </w:r>
      <w:r w:rsidR="00042937">
        <w:t>ur.  Ai</w:t>
      </w:r>
      <w:r w:rsidR="00F645F1">
        <w:t>nsi,</w:t>
      </w:r>
    </w:p>
    <w:p w:rsidR="00017366" w:rsidRDefault="00502864" w:rsidP="002A519D">
      <w:pPr>
        <w:pStyle w:val="ONUMFS"/>
        <w:numPr>
          <w:ilvl w:val="1"/>
          <w:numId w:val="6"/>
        </w:numPr>
        <w:ind w:left="0" w:firstLine="567"/>
      </w:pPr>
      <w:r>
        <w:t>e</w:t>
      </w:r>
      <w:r w:rsidR="00A47183">
        <w:t xml:space="preserve">n ce qui concerne les enregistrements </w:t>
      </w:r>
      <w:r w:rsidR="001F550A" w:rsidRPr="00541E9E">
        <w:t>in</w:t>
      </w:r>
      <w:r w:rsidR="00DD2CED">
        <w:t xml:space="preserve">ternationaux </w:t>
      </w:r>
      <w:r>
        <w:t>contenant plusieurs dessins ou modèles</w:t>
      </w:r>
      <w:r w:rsidR="00DD2CED">
        <w:t>, un certain nombre d</w:t>
      </w:r>
      <w:r w:rsidR="00017366">
        <w:t>’</w:t>
      </w:r>
      <w:r w:rsidR="001326D1">
        <w:t>O</w:t>
      </w:r>
      <w:r w:rsidR="00DD2CED">
        <w:t>ffices ont déclaré qu</w:t>
      </w:r>
      <w:r w:rsidR="00017366">
        <w:t>’</w:t>
      </w:r>
      <w:r w:rsidR="00DD2CED">
        <w:t>une indication du produit et de la sous</w:t>
      </w:r>
      <w:r w:rsidR="006B0A8F">
        <w:noBreakHyphen/>
      </w:r>
      <w:r w:rsidR="00DD2CED">
        <w:t xml:space="preserve">classe de la classification de Locarno devait être associée à chaque </w:t>
      </w:r>
      <w:r>
        <w:t>dessin ou modèle</w:t>
      </w:r>
      <w:r w:rsidR="001F550A" w:rsidRPr="00541E9E">
        <w:t>;</w:t>
      </w:r>
    </w:p>
    <w:p w:rsidR="00017366" w:rsidRDefault="00502864" w:rsidP="002A519D">
      <w:pPr>
        <w:pStyle w:val="ONUMFS"/>
        <w:numPr>
          <w:ilvl w:val="1"/>
          <w:numId w:val="6"/>
        </w:numPr>
        <w:ind w:left="0" w:firstLine="567"/>
      </w:pPr>
      <w:r>
        <w:t xml:space="preserve">en ce qui concerne les enregistrements internationaux </w:t>
      </w:r>
      <w:r w:rsidR="00205242">
        <w:t xml:space="preserve">multiples </w:t>
      </w:r>
      <w:r>
        <w:t xml:space="preserve">de dessins ou modèles contenant des </w:t>
      </w:r>
      <w:r w:rsidR="001F550A" w:rsidRPr="00541E9E">
        <w:t xml:space="preserve">descriptions, </w:t>
      </w:r>
      <w:r>
        <w:t>la délégation du Japon, à la cinquième session du groupe de travail, a proposé, pour l</w:t>
      </w:r>
      <w:r w:rsidR="00017366">
        <w:t>’</w:t>
      </w:r>
      <w:r>
        <w:t xml:space="preserve">essentiel, que chaque </w:t>
      </w:r>
      <w:r w:rsidR="001F550A" w:rsidRPr="00541E9E">
        <w:t xml:space="preserve">description </w:t>
      </w:r>
      <w:r>
        <w:t>soit précisément associée au dessin ou modèle concerné</w:t>
      </w:r>
      <w:r w:rsidR="001F550A" w:rsidRPr="00541E9E">
        <w:t>;</w:t>
      </w:r>
    </w:p>
    <w:p w:rsidR="001F550A" w:rsidRPr="00541E9E" w:rsidRDefault="004E505B" w:rsidP="002A519D">
      <w:pPr>
        <w:pStyle w:val="ONUMFS"/>
        <w:numPr>
          <w:ilvl w:val="1"/>
          <w:numId w:val="6"/>
        </w:numPr>
        <w:ind w:left="0" w:firstLine="567"/>
      </w:pPr>
      <w:r>
        <w:lastRenderedPageBreak/>
        <w:t xml:space="preserve">un </w:t>
      </w:r>
      <w:r w:rsidR="001F550A" w:rsidRPr="00541E9E">
        <w:t>certain</w:t>
      </w:r>
      <w:r>
        <w:t xml:space="preserve"> nombre </w:t>
      </w:r>
      <w:proofErr w:type="gramStart"/>
      <w:r>
        <w:t>d</w:t>
      </w:r>
      <w:r w:rsidR="00017366">
        <w:t>’</w:t>
      </w:r>
      <w:r w:rsidR="001326D1">
        <w:t>O</w:t>
      </w:r>
      <w:r w:rsidR="001F550A" w:rsidRPr="00541E9E">
        <w:t xml:space="preserve">ffices </w:t>
      </w:r>
      <w:r w:rsidR="006B78DB">
        <w:t>ont</w:t>
      </w:r>
      <w:proofErr w:type="gramEnd"/>
      <w:r w:rsidR="006B78DB">
        <w:t xml:space="preserve"> souligné que certains champs, tels que le nom et l</w:t>
      </w:r>
      <w:r w:rsidR="00017366">
        <w:t>’</w:t>
      </w:r>
      <w:r w:rsidR="006B78DB">
        <w:t>adresse du créateur</w:t>
      </w:r>
      <w:r>
        <w:t>,</w:t>
      </w:r>
      <w:r w:rsidR="006B78DB">
        <w:t xml:space="preserve"> ne sont pas indiqués avec suffisamment de précisi</w:t>
      </w:r>
      <w:r w:rsidR="00042937">
        <w:t>on.  Ce</w:t>
      </w:r>
      <w:r w:rsidR="006B78DB">
        <w:t xml:space="preserve">la rend plus difficile pour un </w:t>
      </w:r>
      <w:r w:rsidR="001326D1">
        <w:t>O</w:t>
      </w:r>
      <w:r w:rsidR="006B78DB">
        <w:t>ffice d</w:t>
      </w:r>
      <w:r w:rsidR="00017366">
        <w:t>’</w:t>
      </w:r>
      <w:r w:rsidR="006B78DB">
        <w:t>automatiser l</w:t>
      </w:r>
      <w:r w:rsidR="00017366">
        <w:t>’</w:t>
      </w:r>
      <w:r w:rsidR="006B78DB">
        <w:t xml:space="preserve">importation </w:t>
      </w:r>
      <w:r w:rsidR="00CC6A29">
        <w:t xml:space="preserve">et le traitement des enregistrements </w:t>
      </w:r>
      <w:r w:rsidR="001F550A" w:rsidRPr="00541E9E">
        <w:t>internationa</w:t>
      </w:r>
      <w:r w:rsidR="00CC6A29">
        <w:t>ux de dessins ou modèles</w:t>
      </w:r>
      <w:r w:rsidR="001F550A" w:rsidRPr="00541E9E">
        <w:t>.</w:t>
      </w:r>
    </w:p>
    <w:p w:rsidR="001F550A" w:rsidRPr="00541E9E" w:rsidRDefault="00CC6A29" w:rsidP="006B0A8F">
      <w:pPr>
        <w:pStyle w:val="ONUMFS"/>
      </w:pPr>
      <w:r>
        <w:t>Les problèmes</w:t>
      </w:r>
      <w:r w:rsidR="001F550A" w:rsidRPr="00541E9E">
        <w:t xml:space="preserve"> inh</w:t>
      </w:r>
      <w:r>
        <w:t>é</w:t>
      </w:r>
      <w:r w:rsidR="001F550A" w:rsidRPr="00541E9E">
        <w:t>rent</w:t>
      </w:r>
      <w:r>
        <w:t>s à la structure de</w:t>
      </w:r>
      <w:r w:rsidR="00205242">
        <w:t>s</w:t>
      </w:r>
      <w:r>
        <w:t xml:space="preserve"> données actuelle ont également des implications pour les utilisateu</w:t>
      </w:r>
      <w:r w:rsidR="00042937">
        <w:t>rs.  Pa</w:t>
      </w:r>
      <w:r w:rsidR="00A36E54">
        <w:t xml:space="preserve">r exemple, </w:t>
      </w:r>
      <w:r w:rsidR="00017366">
        <w:t>à l’égard</w:t>
      </w:r>
      <w:r w:rsidR="00A36E54">
        <w:t xml:space="preserve"> d</w:t>
      </w:r>
      <w:r w:rsidR="00017366">
        <w:t>’</w:t>
      </w:r>
      <w:r w:rsidR="00A36E54">
        <w:t xml:space="preserve">un enregistrement international </w:t>
      </w:r>
      <w:r w:rsidR="00205242">
        <w:t>multiple de</w:t>
      </w:r>
      <w:r w:rsidR="00A36E54">
        <w:t xml:space="preserve"> dessins ou modèles, une requête au titre de l</w:t>
      </w:r>
      <w:r w:rsidR="00017366">
        <w:t>’</w:t>
      </w:r>
      <w:r w:rsidR="00A36E54">
        <w:t>article 11.4) de l</w:t>
      </w:r>
      <w:r w:rsidR="00017366">
        <w:t>’</w:t>
      </w:r>
      <w:r w:rsidR="00A36E54">
        <w:t>Acte de</w:t>
      </w:r>
      <w:r w:rsidR="003A749C">
        <w:t> </w:t>
      </w:r>
      <w:r w:rsidR="00015B59">
        <w:t>1999 concernant la publication anticipée de quelques</w:t>
      </w:r>
      <w:r w:rsidR="006B0A8F">
        <w:noBreakHyphen/>
      </w:r>
      <w:r w:rsidR="00015B59">
        <w:t>uns seulement des dessins ou modèles faisant l</w:t>
      </w:r>
      <w:r w:rsidR="00017366">
        <w:t>’</w:t>
      </w:r>
      <w:r w:rsidR="00015B59">
        <w:t>objet de cet enregistrement international</w:t>
      </w:r>
      <w:r w:rsidR="001F550A" w:rsidRPr="00541E9E">
        <w:t xml:space="preserve"> </w:t>
      </w:r>
      <w:r w:rsidR="00015B59">
        <w:t xml:space="preserve">implique nécessairement une </w:t>
      </w:r>
      <w:r w:rsidR="001F550A" w:rsidRPr="00541E9E">
        <w:t>ren</w:t>
      </w:r>
      <w:r w:rsidR="00015B59">
        <w:t>o</w:t>
      </w:r>
      <w:r w:rsidR="001F550A" w:rsidRPr="00541E9E">
        <w:t>nciation</w:t>
      </w:r>
      <w:r w:rsidR="00015B59">
        <w:t xml:space="preserve"> aux autres dessins ou modèles sur lesquels porte ledit enregistrement, puisque la structure actuelle ne permet pas de donner des dates de publication se rapportant expressément aux </w:t>
      </w:r>
      <w:r w:rsidR="009944B9">
        <w:t xml:space="preserve">différents </w:t>
      </w:r>
      <w:r w:rsidR="00015B59">
        <w:t xml:space="preserve">dessins ou modèles, mais </w:t>
      </w:r>
      <w:r w:rsidR="00AA02A8">
        <w:t xml:space="preserve">prévoit </w:t>
      </w:r>
      <w:r w:rsidR="00015B59">
        <w:t xml:space="preserve">une </w:t>
      </w:r>
      <w:r w:rsidR="00F34C58">
        <w:t xml:space="preserve">seule </w:t>
      </w:r>
      <w:r w:rsidR="00015B59">
        <w:t xml:space="preserve">date de </w:t>
      </w:r>
      <w:r w:rsidR="001F550A" w:rsidRPr="00541E9E">
        <w:t xml:space="preserve">publication </w:t>
      </w:r>
      <w:r w:rsidR="00F34C58">
        <w:t>pour l</w:t>
      </w:r>
      <w:r w:rsidR="00017366">
        <w:t>’</w:t>
      </w:r>
      <w:r w:rsidR="00F34C58">
        <w:t>ensemble de l</w:t>
      </w:r>
      <w:r w:rsidR="00017366">
        <w:t>’</w:t>
      </w:r>
      <w:r w:rsidR="00F34C58">
        <w:t xml:space="preserve">enregistrement </w:t>
      </w:r>
      <w:r w:rsidR="001F550A" w:rsidRPr="00541E9E">
        <w:t>international.</w:t>
      </w:r>
    </w:p>
    <w:p w:rsidR="001F550A" w:rsidRPr="00541E9E" w:rsidRDefault="001F550A" w:rsidP="002A519D">
      <w:pPr>
        <w:pStyle w:val="Heading1"/>
        <w:spacing w:before="480"/>
      </w:pPr>
      <w:r w:rsidRPr="00541E9E">
        <w:t>III.</w:t>
      </w:r>
      <w:r w:rsidRPr="00541E9E">
        <w:tab/>
      </w:r>
      <w:r w:rsidR="006B0A8F">
        <w:t>Nouvelle structure éventuelle des données inscrites au registre international</w:t>
      </w:r>
    </w:p>
    <w:p w:rsidR="001F550A" w:rsidRPr="00541E9E" w:rsidRDefault="001F550A" w:rsidP="001F550A"/>
    <w:p w:rsidR="001F550A" w:rsidRPr="00541E9E" w:rsidRDefault="00F34C58" w:rsidP="003E527D">
      <w:pPr>
        <w:pStyle w:val="ONUMFS"/>
      </w:pPr>
      <w:r>
        <w:t>Afin d</w:t>
      </w:r>
      <w:r w:rsidR="00017366">
        <w:t>’</w:t>
      </w:r>
      <w:r>
        <w:t>apporter une solution aux problèmes recensés par un certain nombre d</w:t>
      </w:r>
      <w:r w:rsidR="00017366">
        <w:t>’</w:t>
      </w:r>
      <w:r w:rsidR="001326D1">
        <w:t>O</w:t>
      </w:r>
      <w:r>
        <w:t>ffices et d</w:t>
      </w:r>
      <w:r w:rsidR="00017366">
        <w:t>’</w:t>
      </w:r>
      <w:r>
        <w:t>utilisateurs, il est proposé d</w:t>
      </w:r>
      <w:r w:rsidR="00017366">
        <w:t>’</w:t>
      </w:r>
      <w:r>
        <w:t xml:space="preserve">envisager </w:t>
      </w:r>
      <w:r w:rsidR="002D18D8">
        <w:t>de</w:t>
      </w:r>
      <w:r>
        <w:t xml:space="preserve"> modifi</w:t>
      </w:r>
      <w:r w:rsidR="002D18D8">
        <w:t xml:space="preserve">er comme suit </w:t>
      </w:r>
      <w:r>
        <w:t xml:space="preserve">la </w:t>
      </w:r>
      <w:r w:rsidR="00042937">
        <w:t>structure</w:t>
      </w:r>
      <w:r>
        <w:t xml:space="preserve"> de</w:t>
      </w:r>
      <w:r w:rsidR="00AA02A8">
        <w:t>s</w:t>
      </w:r>
      <w:r>
        <w:t xml:space="preserve"> données</w:t>
      </w:r>
      <w:r w:rsidR="002D18D8">
        <w:t> </w:t>
      </w:r>
      <w:r w:rsidR="001F550A" w:rsidRPr="00541E9E">
        <w:t>:</w:t>
      </w:r>
    </w:p>
    <w:p w:rsidR="001F550A" w:rsidRPr="00541E9E" w:rsidRDefault="002D18D8" w:rsidP="002A519D">
      <w:pPr>
        <w:pStyle w:val="ONUMFS"/>
        <w:numPr>
          <w:ilvl w:val="1"/>
          <w:numId w:val="6"/>
        </w:numPr>
        <w:ind w:left="0" w:firstLine="567"/>
      </w:pPr>
      <w:r>
        <w:t xml:space="preserve">ajouter </w:t>
      </w:r>
      <w:r w:rsidR="00AE4892">
        <w:t>un</w:t>
      </w:r>
      <w:r w:rsidR="00340A82">
        <w:t xml:space="preserve"> identifiant du</w:t>
      </w:r>
      <w:r w:rsidR="00AE4892">
        <w:t xml:space="preserve"> dessin ou modèle</w:t>
      </w:r>
      <w:r w:rsidR="001F550A" w:rsidRPr="00541E9E">
        <w:t>;</w:t>
      </w:r>
    </w:p>
    <w:p w:rsidR="00017366" w:rsidRDefault="00AE4892" w:rsidP="002A519D">
      <w:pPr>
        <w:pStyle w:val="ONUMFS"/>
        <w:numPr>
          <w:ilvl w:val="1"/>
          <w:numId w:val="6"/>
        </w:numPr>
        <w:ind w:left="0" w:firstLine="567"/>
      </w:pPr>
      <w:r>
        <w:t>transférer les éléments ci</w:t>
      </w:r>
      <w:r w:rsidR="006B0A8F">
        <w:noBreakHyphen/>
      </w:r>
      <w:r>
        <w:t>après à un niveau expressément dédié</w:t>
      </w:r>
      <w:r w:rsidR="00B836F9">
        <w:t xml:space="preserve"> à chaque</w:t>
      </w:r>
      <w:r>
        <w:t xml:space="preserve"> dessin ou modèle : description, </w:t>
      </w:r>
      <w:r w:rsidR="001F550A" w:rsidRPr="00541E9E">
        <w:t>indication</w:t>
      </w:r>
      <w:r>
        <w:t xml:space="preserve"> du produit</w:t>
      </w:r>
      <w:r w:rsidR="001F550A" w:rsidRPr="00541E9E">
        <w:t xml:space="preserve">, </w:t>
      </w:r>
      <w:r>
        <w:t>sous</w:t>
      </w:r>
      <w:r w:rsidR="006B0A8F">
        <w:noBreakHyphen/>
      </w:r>
      <w:r>
        <w:t xml:space="preserve">classe de la classification de </w:t>
      </w:r>
      <w:r w:rsidR="001F550A" w:rsidRPr="00541E9E">
        <w:t xml:space="preserve">Locarno, </w:t>
      </w:r>
      <w:r>
        <w:t xml:space="preserve">revendication, revendication(s) de </w:t>
      </w:r>
      <w:r w:rsidR="00C82230">
        <w:t>priorité, exposition internationale, lien avec un dessin ou modèle</w:t>
      </w:r>
      <w:r w:rsidR="001F550A" w:rsidRPr="00541E9E">
        <w:t xml:space="preserve"> principal, </w:t>
      </w:r>
      <w:r w:rsidR="00C82230">
        <w:t>déclaration relative à l</w:t>
      </w:r>
      <w:r w:rsidR="00017366">
        <w:t>’</w:t>
      </w:r>
      <w:r w:rsidR="00C82230">
        <w:t>exception au défaut de nouveauté</w:t>
      </w:r>
      <w:r w:rsidR="001F550A" w:rsidRPr="00541E9E">
        <w:t>;</w:t>
      </w:r>
    </w:p>
    <w:p w:rsidR="00017366" w:rsidRDefault="00C82230" w:rsidP="002A519D">
      <w:pPr>
        <w:pStyle w:val="ONUMFS"/>
        <w:numPr>
          <w:ilvl w:val="1"/>
          <w:numId w:val="6"/>
        </w:numPr>
        <w:ind w:left="0" w:firstLine="567"/>
      </w:pPr>
      <w:r>
        <w:t>transférer les légendes à un niveau expressément dédié</w:t>
      </w:r>
      <w:r w:rsidR="00B836F9">
        <w:t xml:space="preserve"> à chaque</w:t>
      </w:r>
      <w:r>
        <w:t xml:space="preserve"> </w:t>
      </w:r>
      <w:r w:rsidR="001F550A" w:rsidRPr="00541E9E">
        <w:t>reproduction;</w:t>
      </w:r>
    </w:p>
    <w:p w:rsidR="001F550A" w:rsidRPr="00541E9E" w:rsidRDefault="00C82230" w:rsidP="002A519D">
      <w:pPr>
        <w:pStyle w:val="ONUMFS"/>
        <w:numPr>
          <w:ilvl w:val="1"/>
          <w:numId w:val="6"/>
        </w:numPr>
        <w:ind w:left="0" w:firstLine="567"/>
      </w:pPr>
      <w:r>
        <w:t xml:space="preserve">ajouter une date de </w:t>
      </w:r>
      <w:r w:rsidR="001F550A" w:rsidRPr="00541E9E">
        <w:t xml:space="preserve">publication </w:t>
      </w:r>
      <w:r>
        <w:t xml:space="preserve">se rapportant expressément </w:t>
      </w:r>
      <w:r w:rsidR="002B7D5C">
        <w:t xml:space="preserve">à chaque </w:t>
      </w:r>
      <w:r>
        <w:t>dessin ou modèle</w:t>
      </w:r>
      <w:r w:rsidR="001F550A" w:rsidRPr="00541E9E">
        <w:t>;</w:t>
      </w:r>
    </w:p>
    <w:p w:rsidR="00017366" w:rsidRDefault="00C82230" w:rsidP="002A519D">
      <w:pPr>
        <w:pStyle w:val="ONUMFS"/>
        <w:numPr>
          <w:ilvl w:val="1"/>
          <w:numId w:val="6"/>
        </w:numPr>
        <w:ind w:left="0" w:firstLine="567"/>
      </w:pPr>
      <w:r>
        <w:t>ajouter des désignations se rapportant expressément</w:t>
      </w:r>
      <w:r w:rsidR="00B836F9">
        <w:t xml:space="preserve"> à chaque</w:t>
      </w:r>
      <w:r>
        <w:t xml:space="preserve"> dessin ou modèle</w:t>
      </w:r>
      <w:r w:rsidR="001F550A" w:rsidRPr="00541E9E">
        <w:t>.</w:t>
      </w:r>
    </w:p>
    <w:p w:rsidR="001F550A" w:rsidRPr="00541E9E" w:rsidRDefault="001F550A" w:rsidP="002A519D">
      <w:pPr>
        <w:pStyle w:val="Heading1"/>
        <w:spacing w:before="480"/>
        <w:rPr>
          <w:lang w:eastAsia="en-US"/>
        </w:rPr>
      </w:pPr>
      <w:r w:rsidRPr="00541E9E">
        <w:rPr>
          <w:lang w:eastAsia="en-US"/>
        </w:rPr>
        <w:t>IV.</w:t>
      </w:r>
      <w:r w:rsidRPr="00541E9E">
        <w:rPr>
          <w:lang w:eastAsia="en-US"/>
        </w:rPr>
        <w:tab/>
        <w:t xml:space="preserve">Avantages </w:t>
      </w:r>
      <w:r w:rsidR="003E527D">
        <w:rPr>
          <w:lang w:eastAsia="en-US"/>
        </w:rPr>
        <w:t>de</w:t>
      </w:r>
      <w:r w:rsidR="003E527D" w:rsidRPr="00017366">
        <w:rPr>
          <w:lang w:eastAsia="en-US"/>
        </w:rPr>
        <w:t xml:space="preserve"> la nou</w:t>
      </w:r>
      <w:r w:rsidR="003E527D" w:rsidRPr="00C82230">
        <w:rPr>
          <w:lang w:eastAsia="en-US"/>
        </w:rPr>
        <w:t>velle structure éventuelle des données</w:t>
      </w:r>
    </w:p>
    <w:p w:rsidR="001F550A" w:rsidRPr="00541E9E" w:rsidRDefault="001F550A" w:rsidP="001F550A">
      <w:pPr>
        <w:rPr>
          <w:lang w:eastAsia="en-US"/>
        </w:rPr>
      </w:pPr>
    </w:p>
    <w:p w:rsidR="00017366" w:rsidRPr="003E527D" w:rsidRDefault="00C82230" w:rsidP="003E527D">
      <w:pPr>
        <w:pStyle w:val="ONUMFS"/>
      </w:pPr>
      <w:r w:rsidRPr="003E527D">
        <w:t>Pour les utilisateurs, l</w:t>
      </w:r>
      <w:r w:rsidR="00017366" w:rsidRPr="003E527D">
        <w:t>’</w:t>
      </w:r>
      <w:r w:rsidR="001F550A" w:rsidRPr="003E527D">
        <w:t xml:space="preserve">association </w:t>
      </w:r>
      <w:r w:rsidR="002B7D5C" w:rsidRPr="003E527D">
        <w:t xml:space="preserve">de la date de </w:t>
      </w:r>
      <w:r w:rsidR="001F550A" w:rsidRPr="003E527D">
        <w:t xml:space="preserve">publication </w:t>
      </w:r>
      <w:r w:rsidR="002B7D5C" w:rsidRPr="003E527D">
        <w:t xml:space="preserve">avec chaque dessin ou modèle faciliterait la gestion de la publication anticipée </w:t>
      </w:r>
      <w:r w:rsidR="009944B9" w:rsidRPr="003E527D">
        <w:t>visée</w:t>
      </w:r>
      <w:r w:rsidR="002B7D5C" w:rsidRPr="003E527D">
        <w:t xml:space="preserve"> à l</w:t>
      </w:r>
      <w:r w:rsidR="00017366" w:rsidRPr="003E527D">
        <w:t>’</w:t>
      </w:r>
      <w:r w:rsidR="002B7D5C" w:rsidRPr="003E527D">
        <w:t>article </w:t>
      </w:r>
      <w:r w:rsidR="001F550A" w:rsidRPr="003E527D">
        <w:t>11</w:t>
      </w:r>
      <w:r w:rsidR="00C431F0" w:rsidRPr="003E527D">
        <w:t>.</w:t>
      </w:r>
      <w:r w:rsidR="001F550A" w:rsidRPr="003E527D">
        <w:t xml:space="preserve">4) </w:t>
      </w:r>
      <w:r w:rsidR="00C431F0" w:rsidRPr="003E527D">
        <w:t>de l</w:t>
      </w:r>
      <w:r w:rsidR="00017366" w:rsidRPr="003E527D">
        <w:t>’</w:t>
      </w:r>
      <w:r w:rsidR="00C431F0" w:rsidRPr="003E527D">
        <w:t>Acte de</w:t>
      </w:r>
      <w:r w:rsidR="003A749C" w:rsidRPr="003E527D">
        <w:t> </w:t>
      </w:r>
      <w:r w:rsidR="00C431F0" w:rsidRPr="003E527D">
        <w:t>1999.  Les utilisateurs n</w:t>
      </w:r>
      <w:r w:rsidR="00017366" w:rsidRPr="003E527D">
        <w:t>’</w:t>
      </w:r>
      <w:r w:rsidR="00C431F0" w:rsidRPr="003E527D">
        <w:t>auraient pas, comme c</w:t>
      </w:r>
      <w:r w:rsidR="00017366" w:rsidRPr="003E527D">
        <w:t>’</w:t>
      </w:r>
      <w:r w:rsidR="00C431F0" w:rsidRPr="003E527D">
        <w:t>est actuellement le cas, à renoncer aux autres dessins ou modèles mais, tout au contraire, pourraient les laisser de côté aux fins de leur publication à une date ultérieure, soit dans le cadre d</w:t>
      </w:r>
      <w:r w:rsidR="00017366" w:rsidRPr="003E527D">
        <w:t>’</w:t>
      </w:r>
      <w:r w:rsidR="00C431F0" w:rsidRPr="003E527D">
        <w:t>autres demandes de publication anticipée ou, plus simplement, à l</w:t>
      </w:r>
      <w:r w:rsidR="00017366" w:rsidRPr="003E527D">
        <w:t>’</w:t>
      </w:r>
      <w:r w:rsidR="00C431F0" w:rsidRPr="003E527D">
        <w:t>issue de la période d</w:t>
      </w:r>
      <w:r w:rsidR="00017366" w:rsidRPr="003E527D">
        <w:t>’</w:t>
      </w:r>
      <w:r w:rsidR="00C431F0" w:rsidRPr="003E527D">
        <w:t>ajourneme</w:t>
      </w:r>
      <w:r w:rsidR="00042937" w:rsidRPr="003E527D">
        <w:t>nt.  Ce</w:t>
      </w:r>
      <w:r w:rsidR="00C431F0" w:rsidRPr="003E527D">
        <w:t xml:space="preserve">la permettrait </w:t>
      </w:r>
      <w:r w:rsidR="00665F4B" w:rsidRPr="003E527D">
        <w:t>de définir</w:t>
      </w:r>
      <w:r w:rsidR="00C431F0" w:rsidRPr="003E527D">
        <w:t xml:space="preserve"> des stratégies de publication </w:t>
      </w:r>
      <w:r w:rsidR="00665F4B" w:rsidRPr="003E527D">
        <w:t>plus élaborées.</w:t>
      </w:r>
    </w:p>
    <w:p w:rsidR="001F550A" w:rsidRPr="003E527D" w:rsidRDefault="00665F4B" w:rsidP="003E527D">
      <w:pPr>
        <w:pStyle w:val="ONUMFS"/>
      </w:pPr>
      <w:r w:rsidRPr="003E527D">
        <w:t xml:space="preserve">Pour les </w:t>
      </w:r>
      <w:r w:rsidR="001326D1">
        <w:t>O</w:t>
      </w:r>
      <w:r w:rsidR="001F550A" w:rsidRPr="003E527D">
        <w:t xml:space="preserve">ffices </w:t>
      </w:r>
      <w:r w:rsidRPr="003E527D">
        <w:t>qui importent les données inscrites au registre</w:t>
      </w:r>
      <w:r w:rsidR="001F550A" w:rsidRPr="003E527D">
        <w:t xml:space="preserve">, </w:t>
      </w:r>
      <w:r w:rsidRPr="003E527D">
        <w:t xml:space="preserve">le principal </w:t>
      </w:r>
      <w:r w:rsidR="001F550A" w:rsidRPr="003E527D">
        <w:t xml:space="preserve">avantage </w:t>
      </w:r>
      <w:r w:rsidRPr="003E527D">
        <w:t>consisterait en une importation généralement facilit</w:t>
      </w:r>
      <w:r w:rsidR="00042937" w:rsidRPr="003E527D">
        <w:t>ée.  Pl</w:t>
      </w:r>
      <w:r w:rsidRPr="003E527D">
        <w:t xml:space="preserve">us précisément, les </w:t>
      </w:r>
      <w:r w:rsidR="001326D1">
        <w:t>O</w:t>
      </w:r>
      <w:r w:rsidRPr="003E527D">
        <w:t xml:space="preserve">ffices qui sont obligés de scinder les enregistrements </w:t>
      </w:r>
      <w:r w:rsidR="009944B9" w:rsidRPr="003E527D">
        <w:t>multiples de</w:t>
      </w:r>
      <w:r w:rsidRPr="003E527D">
        <w:t xml:space="preserve"> dessins ou modèles (par exemple, afin de les attribuer à différents examinateurs selon l</w:t>
      </w:r>
      <w:r w:rsidR="00017366" w:rsidRPr="003E527D">
        <w:t>’</w:t>
      </w:r>
      <w:r w:rsidR="001F550A" w:rsidRPr="003E527D">
        <w:t>indication</w:t>
      </w:r>
      <w:r w:rsidRPr="003E527D">
        <w:t xml:space="preserve"> du produit</w:t>
      </w:r>
      <w:r w:rsidR="00042937" w:rsidRPr="003E527D">
        <w:t>)</w:t>
      </w:r>
      <w:r w:rsidRPr="003E527D">
        <w:t xml:space="preserve"> ne seraient plus tenus de procéder à des</w:t>
      </w:r>
      <w:r w:rsidR="00B836F9">
        <w:t xml:space="preserve"> réconciliations</w:t>
      </w:r>
      <w:r w:rsidRPr="003E527D">
        <w:t xml:space="preserve"> manue</w:t>
      </w:r>
      <w:r w:rsidR="001F550A" w:rsidRPr="003E527D">
        <w:t>l</w:t>
      </w:r>
      <w:r w:rsidR="00B836F9">
        <w:t>le</w:t>
      </w:r>
      <w:r w:rsidR="001F550A" w:rsidRPr="003E527D">
        <w:t>s.</w:t>
      </w:r>
    </w:p>
    <w:p w:rsidR="001F550A" w:rsidRPr="003E527D" w:rsidRDefault="00665F4B" w:rsidP="003E527D">
      <w:pPr>
        <w:pStyle w:val="ONUMFS"/>
      </w:pPr>
      <w:r w:rsidRPr="003E527D">
        <w:t xml:space="preserve">Pour les </w:t>
      </w:r>
      <w:r w:rsidR="001326D1">
        <w:t>O</w:t>
      </w:r>
      <w:r w:rsidR="001F550A" w:rsidRPr="003E527D">
        <w:t>ffices</w:t>
      </w:r>
      <w:r w:rsidR="00765EE6" w:rsidRPr="003E527D">
        <w:t xml:space="preserve"> </w:t>
      </w:r>
      <w:r w:rsidRPr="003E527D">
        <w:t>qui n</w:t>
      </w:r>
      <w:r w:rsidR="00017366" w:rsidRPr="003E527D">
        <w:t>’</w:t>
      </w:r>
      <w:r w:rsidRPr="003E527D">
        <w:t xml:space="preserve">importent pas les données inscrites au registre international, </w:t>
      </w:r>
      <w:r w:rsidR="00C30885" w:rsidRPr="003E527D">
        <w:t>cette proposition n</w:t>
      </w:r>
      <w:r w:rsidR="00017366" w:rsidRPr="003E527D">
        <w:t>’</w:t>
      </w:r>
      <w:r w:rsidR="00C30885" w:rsidRPr="003E527D">
        <w:t>induirait aucun changement</w:t>
      </w:r>
      <w:r w:rsidR="001F550A" w:rsidRPr="003E527D">
        <w:t>.</w:t>
      </w:r>
    </w:p>
    <w:p w:rsidR="00017366" w:rsidRPr="003E527D" w:rsidRDefault="00C30885" w:rsidP="00B836F9">
      <w:pPr>
        <w:pStyle w:val="ONUMFS"/>
      </w:pPr>
      <w:r w:rsidRPr="003E527D">
        <w:lastRenderedPageBreak/>
        <w:t>Pour le Bureau international, un</w:t>
      </w:r>
      <w:r w:rsidR="00340A82">
        <w:t xml:space="preserve"> identifiant du</w:t>
      </w:r>
      <w:r w:rsidRPr="003E527D">
        <w:t xml:space="preserve"> dessin ou modèle permettrait de</w:t>
      </w:r>
      <w:r w:rsidR="00B836F9">
        <w:t xml:space="preserve"> se référer précisément à chaque</w:t>
      </w:r>
      <w:r w:rsidRPr="003E527D">
        <w:t xml:space="preserve"> dessin ou modèle contenu dans un enregistrement international don</w:t>
      </w:r>
      <w:r w:rsidR="00042937" w:rsidRPr="003E527D">
        <w:t>né.  Ce</w:t>
      </w:r>
      <w:r w:rsidRPr="003E527D">
        <w:t xml:space="preserve">la faciliterait le traitement des </w:t>
      </w:r>
      <w:r w:rsidR="00AE7676" w:rsidRPr="003E527D">
        <w:t>opérations</w:t>
      </w:r>
      <w:r w:rsidR="001F550A" w:rsidRPr="003E527D">
        <w:t xml:space="preserve"> </w:t>
      </w:r>
      <w:r w:rsidRPr="003E527D">
        <w:t>partielles, telles que les limitations ou les renouvellements partie</w:t>
      </w:r>
      <w:r w:rsidR="00042937" w:rsidRPr="003E527D">
        <w:t>ls.  La</w:t>
      </w:r>
      <w:r w:rsidR="004E505B" w:rsidRPr="003E527D">
        <w:t xml:space="preserve"> nouvelle structure des données </w:t>
      </w:r>
      <w:r w:rsidR="009E224A" w:rsidRPr="003E527D">
        <w:t>se prêterait plus facilement à ce type d</w:t>
      </w:r>
      <w:r w:rsidR="00017366" w:rsidRPr="003E527D">
        <w:t>’</w:t>
      </w:r>
      <w:r w:rsidR="009E224A" w:rsidRPr="003E527D">
        <w:t>opératio</w:t>
      </w:r>
      <w:r w:rsidR="00042937" w:rsidRPr="003E527D">
        <w:t xml:space="preserve">ns.  À </w:t>
      </w:r>
      <w:r w:rsidR="009E224A" w:rsidRPr="003E527D">
        <w:t xml:space="preserve">cet égard, il est fait référence </w:t>
      </w:r>
      <w:r w:rsidR="001A3A47" w:rsidRPr="003E527D">
        <w:t>aux délibérations tenues lors de la cinquième session du groupe de travail en ce qui concerne la notion de limitations simultanées dans les demandes internationale</w:t>
      </w:r>
      <w:r w:rsidR="001F550A" w:rsidRPr="003E527D">
        <w:t>s</w:t>
      </w:r>
      <w:r w:rsidR="001F550A" w:rsidRPr="003E527D">
        <w:rPr>
          <w:rStyle w:val="FootnoteReference"/>
        </w:rPr>
        <w:footnoteReference w:id="4"/>
      </w:r>
      <w:r w:rsidR="001F550A" w:rsidRPr="003E527D">
        <w:t>.  S</w:t>
      </w:r>
      <w:r w:rsidR="003130CB" w:rsidRPr="003E527D">
        <w:t xml:space="preserve">i cette notion devait être introduite dans le système de </w:t>
      </w:r>
      <w:r w:rsidR="00017366" w:rsidRPr="003E527D">
        <w:t>La Haye</w:t>
      </w:r>
      <w:r w:rsidR="003130CB" w:rsidRPr="003E527D">
        <w:t xml:space="preserve">, la présente </w:t>
      </w:r>
      <w:r w:rsidR="001F550A" w:rsidRPr="003E527D">
        <w:t>propos</w:t>
      </w:r>
      <w:r w:rsidR="003130CB" w:rsidRPr="003E527D">
        <w:t>ition faciliterait sa mise en œuvre.</w:t>
      </w:r>
    </w:p>
    <w:p w:rsidR="001122B2" w:rsidRPr="003E527D" w:rsidRDefault="00AE7676" w:rsidP="003E527D">
      <w:pPr>
        <w:pStyle w:val="ONUMFS"/>
        <w:rPr>
          <w:bCs/>
          <w:caps/>
          <w:kern w:val="32"/>
          <w:szCs w:val="32"/>
          <w:lang w:eastAsia="en-US"/>
        </w:rPr>
      </w:pPr>
      <w:r w:rsidRPr="003E527D">
        <w:t>En outre</w:t>
      </w:r>
      <w:r w:rsidR="003130CB" w:rsidRPr="003E527D">
        <w:t>, les instruments de recherche et d</w:t>
      </w:r>
      <w:r w:rsidR="00017366" w:rsidRPr="003E527D">
        <w:t>’</w:t>
      </w:r>
      <w:r w:rsidR="003130CB" w:rsidRPr="003E527D">
        <w:t>analyse</w:t>
      </w:r>
      <w:r w:rsidR="00340A82">
        <w:t xml:space="preserve"> statistiques</w:t>
      </w:r>
      <w:r w:rsidR="003130CB" w:rsidRPr="003E527D">
        <w:t xml:space="preserve"> pourraient permettre d</w:t>
      </w:r>
      <w:r w:rsidR="00017366" w:rsidRPr="003E527D">
        <w:t>’</w:t>
      </w:r>
      <w:r w:rsidR="003130CB" w:rsidRPr="003E527D">
        <w:t>améliorer la précision et l</w:t>
      </w:r>
      <w:r w:rsidR="00017366" w:rsidRPr="003E527D">
        <w:t>’</w:t>
      </w:r>
      <w:r w:rsidR="003130CB" w:rsidRPr="003E527D">
        <w:t>exactitude des rapports</w:t>
      </w:r>
      <w:r w:rsidR="001F550A" w:rsidRPr="003E527D">
        <w:t>.</w:t>
      </w:r>
    </w:p>
    <w:p w:rsidR="001F550A" w:rsidRPr="00541E9E" w:rsidRDefault="001F550A" w:rsidP="008A6B69">
      <w:pPr>
        <w:pStyle w:val="Heading1"/>
        <w:spacing w:before="480"/>
        <w:rPr>
          <w:lang w:eastAsia="en-US"/>
        </w:rPr>
      </w:pPr>
      <w:r w:rsidRPr="00541E9E">
        <w:rPr>
          <w:lang w:eastAsia="en-US"/>
        </w:rPr>
        <w:t>V.</w:t>
      </w:r>
      <w:r w:rsidRPr="00541E9E">
        <w:rPr>
          <w:lang w:eastAsia="en-US"/>
        </w:rPr>
        <w:tab/>
      </w:r>
      <w:r w:rsidR="003E527D">
        <w:rPr>
          <w:lang w:eastAsia="en-US"/>
        </w:rPr>
        <w:t>Mise en œuvre</w:t>
      </w:r>
    </w:p>
    <w:p w:rsidR="00CB5FE7" w:rsidRPr="00541E9E" w:rsidRDefault="00CB5FE7" w:rsidP="00CB5FE7">
      <w:pPr>
        <w:rPr>
          <w:lang w:eastAsia="en-US"/>
        </w:rPr>
      </w:pPr>
    </w:p>
    <w:p w:rsidR="001F550A" w:rsidRPr="00541E9E" w:rsidRDefault="003130CB" w:rsidP="003E527D">
      <w:pPr>
        <w:pStyle w:val="ONUMFS"/>
      </w:pPr>
      <w:r>
        <w:t>En ce qui concerne le Bureau</w:t>
      </w:r>
      <w:r w:rsidR="00AE7676">
        <w:t xml:space="preserve"> international, les changements fondamentaux qu</w:t>
      </w:r>
      <w:r w:rsidR="00017366">
        <w:t>’</w:t>
      </w:r>
      <w:r w:rsidR="00AE7676">
        <w:t>il est proposé d</w:t>
      </w:r>
      <w:r w:rsidR="00017366">
        <w:t>’</w:t>
      </w:r>
      <w:r w:rsidR="00AE7676">
        <w:t>apporter à la structure des données auraient une incidence sur tous les autres systèmes connectés au système informatique</w:t>
      </w:r>
      <w:r w:rsidR="00B836F9">
        <w:t xml:space="preserve"> principal</w:t>
      </w:r>
      <w:r w:rsidR="00042937">
        <w:t>.  Du</w:t>
      </w:r>
      <w:r w:rsidR="00AE7676">
        <w:t xml:space="preserve"> dépôt (interface de dépôt électronique</w:t>
      </w:r>
      <w:r w:rsidR="00B836F9">
        <w:t xml:space="preserve"> “</w:t>
      </w:r>
      <w:r w:rsidR="00B836F9" w:rsidRPr="00B836F9">
        <w:rPr>
          <w:i/>
        </w:rPr>
        <w:t>E-</w:t>
      </w:r>
      <w:proofErr w:type="spellStart"/>
      <w:r w:rsidR="00B836F9" w:rsidRPr="00B836F9">
        <w:rPr>
          <w:i/>
        </w:rPr>
        <w:t>filing</w:t>
      </w:r>
      <w:proofErr w:type="spellEnd"/>
      <w:r w:rsidR="00B836F9">
        <w:t>”</w:t>
      </w:r>
      <w:r w:rsidR="00AE7676">
        <w:t xml:space="preserve">) à la publication </w:t>
      </w:r>
      <w:r w:rsidR="001F550A" w:rsidRPr="00541E9E">
        <w:t>(</w:t>
      </w:r>
      <w:r w:rsidR="00AE7676" w:rsidRPr="00AE7676">
        <w:rPr>
          <w:i/>
        </w:rPr>
        <w:t xml:space="preserve">Bulletin des dessins et modèles internationaux </w:t>
      </w:r>
      <w:r w:rsidR="001F550A" w:rsidRPr="00541E9E">
        <w:t>(</w:t>
      </w:r>
      <w:r w:rsidR="00AE7676">
        <w:t>ci</w:t>
      </w:r>
      <w:r w:rsidR="006B0A8F">
        <w:noBreakHyphen/>
      </w:r>
      <w:r w:rsidR="00AE7676">
        <w:t>après dénommé “bulletin”)), toutes les interfaces devr</w:t>
      </w:r>
      <w:r w:rsidR="00AA02A8">
        <w:t>aie</w:t>
      </w:r>
      <w:r w:rsidR="00AE7676">
        <w:t>nt être remaniées de façon à afficher correctement la nouvelle structure des données</w:t>
      </w:r>
      <w:r w:rsidR="001F550A" w:rsidRPr="00541E9E">
        <w:t>.</w:t>
      </w:r>
    </w:p>
    <w:p w:rsidR="001F550A" w:rsidRPr="00541E9E" w:rsidRDefault="00AE7676" w:rsidP="003E527D">
      <w:pPr>
        <w:pStyle w:val="ONUMFS"/>
      </w:pPr>
      <w:r>
        <w:t>Un tel projet ne pourrait être mené à bien qu</w:t>
      </w:r>
      <w:r w:rsidR="00017366">
        <w:t>’</w:t>
      </w:r>
      <w:r>
        <w:t>après une période de stabilisation du nouveau système informatique</w:t>
      </w:r>
      <w:r w:rsidR="00B836F9">
        <w:t xml:space="preserve"> principal</w:t>
      </w:r>
      <w:r>
        <w:t xml:space="preserve"> mentionné au paragraphe 3 et la conception intégrale de la nouvelle </w:t>
      </w:r>
      <w:r w:rsidR="001F550A" w:rsidRPr="00541E9E">
        <w:t>structure</w:t>
      </w:r>
      <w:r>
        <w:t xml:space="preserve"> des donné</w:t>
      </w:r>
      <w:r w:rsidR="00042937">
        <w:t>es.  La</w:t>
      </w:r>
      <w:r w:rsidR="00D06347">
        <w:t xml:space="preserve"> mise en place ne pourrait pas être envisagée avant le début de</w:t>
      </w:r>
      <w:r w:rsidR="003A749C">
        <w:t> </w:t>
      </w:r>
      <w:r w:rsidR="00D06347">
        <w:t xml:space="preserve">2018.  Parallèlement, les </w:t>
      </w:r>
      <w:r w:rsidR="001326D1">
        <w:t>O</w:t>
      </w:r>
      <w:r w:rsidR="00D06347">
        <w:t>ffices qui importent les données du bulletin directement dans leur système et qui souhaiteraient bénéficier des améliorations apportées à la structure des données du bulletin</w:t>
      </w:r>
      <w:r w:rsidR="001F550A" w:rsidRPr="00541E9E">
        <w:rPr>
          <w:rStyle w:val="FootnoteReference"/>
        </w:rPr>
        <w:footnoteReference w:id="5"/>
      </w:r>
      <w:r w:rsidR="001F550A" w:rsidRPr="00541E9E">
        <w:t xml:space="preserve"> </w:t>
      </w:r>
      <w:r w:rsidR="00D06347">
        <w:t>devraient aussi procéder à leurs propres ajustements informatiqu</w:t>
      </w:r>
      <w:r w:rsidR="00042937">
        <w:t>es.  Il</w:t>
      </w:r>
      <w:r w:rsidR="00D06347">
        <w:t xml:space="preserve"> est dès lors essentiel que la conception de la structure des données </w:t>
      </w:r>
      <w:r w:rsidR="001F550A" w:rsidRPr="00541E9E">
        <w:t>s</w:t>
      </w:r>
      <w:r w:rsidR="00D06347">
        <w:t>oit achevée bien à l</w:t>
      </w:r>
      <w:r w:rsidR="00017366">
        <w:t>’</w:t>
      </w:r>
      <w:r w:rsidR="00D06347">
        <w:t>avance</w:t>
      </w:r>
      <w:r w:rsidR="00CB5FE7" w:rsidRPr="00541E9E">
        <w:t>.</w:t>
      </w:r>
    </w:p>
    <w:p w:rsidR="00017366" w:rsidRPr="008A6B69" w:rsidRDefault="00D06347" w:rsidP="008A6B69">
      <w:pPr>
        <w:pStyle w:val="ONUMFS"/>
        <w:ind w:left="5533"/>
        <w:rPr>
          <w:i/>
        </w:rPr>
      </w:pPr>
      <w:r w:rsidRPr="008A6B69">
        <w:rPr>
          <w:i/>
        </w:rPr>
        <w:t>Le groupe de travail est invité</w:t>
      </w:r>
    </w:p>
    <w:p w:rsidR="001F550A" w:rsidRPr="008A6B69" w:rsidRDefault="00D06347" w:rsidP="008A6B69">
      <w:pPr>
        <w:pStyle w:val="ONUMFS"/>
        <w:numPr>
          <w:ilvl w:val="2"/>
          <w:numId w:val="6"/>
        </w:numPr>
        <w:tabs>
          <w:tab w:val="left" w:pos="6237"/>
        </w:tabs>
        <w:ind w:left="5533"/>
        <w:rPr>
          <w:i/>
          <w:lang w:eastAsia="en-US"/>
        </w:rPr>
      </w:pPr>
      <w:r w:rsidRPr="008A6B69">
        <w:rPr>
          <w:i/>
          <w:lang w:eastAsia="en-US"/>
        </w:rPr>
        <w:t xml:space="preserve">à examiner la structure proposée </w:t>
      </w:r>
      <w:r w:rsidR="000A1EDD" w:rsidRPr="008A6B69">
        <w:rPr>
          <w:i/>
          <w:lang w:eastAsia="en-US"/>
        </w:rPr>
        <w:t xml:space="preserve">des données relatives aux </w:t>
      </w:r>
      <w:r w:rsidRPr="008A6B69">
        <w:rPr>
          <w:i/>
          <w:lang w:eastAsia="en-US"/>
        </w:rPr>
        <w:t>enregistrements internationaux</w:t>
      </w:r>
      <w:r w:rsidR="001F550A" w:rsidRPr="008A6B69">
        <w:rPr>
          <w:i/>
          <w:lang w:eastAsia="en-US"/>
        </w:rPr>
        <w:t xml:space="preserve">;  </w:t>
      </w:r>
      <w:r w:rsidRPr="008A6B69">
        <w:rPr>
          <w:i/>
          <w:lang w:eastAsia="en-US"/>
        </w:rPr>
        <w:t>et</w:t>
      </w:r>
    </w:p>
    <w:p w:rsidR="00017366" w:rsidRPr="008A6B69" w:rsidRDefault="00D06347" w:rsidP="008A6B69">
      <w:pPr>
        <w:pStyle w:val="ONUMFS"/>
        <w:numPr>
          <w:ilvl w:val="2"/>
          <w:numId w:val="6"/>
        </w:numPr>
        <w:ind w:left="5533"/>
        <w:rPr>
          <w:i/>
          <w:lang w:eastAsia="en-US"/>
        </w:rPr>
      </w:pPr>
      <w:r w:rsidRPr="008A6B69">
        <w:rPr>
          <w:i/>
          <w:lang w:eastAsia="en-US"/>
        </w:rPr>
        <w:t>à indiquer s</w:t>
      </w:r>
      <w:r w:rsidR="00017366" w:rsidRPr="008A6B69">
        <w:rPr>
          <w:i/>
          <w:lang w:eastAsia="en-US"/>
        </w:rPr>
        <w:t>’</w:t>
      </w:r>
      <w:r w:rsidRPr="008A6B69">
        <w:rPr>
          <w:i/>
          <w:lang w:eastAsia="en-US"/>
        </w:rPr>
        <w:t xml:space="preserve">il convient de diffuser un autre questionnaire ou de mener un autre type de </w:t>
      </w:r>
      <w:r w:rsidR="00CB5FE7" w:rsidRPr="008A6B69">
        <w:rPr>
          <w:i/>
          <w:lang w:eastAsia="en-US"/>
        </w:rPr>
        <w:t xml:space="preserve">consultation </w:t>
      </w:r>
      <w:r w:rsidRPr="008A6B69">
        <w:rPr>
          <w:i/>
          <w:lang w:eastAsia="en-US"/>
        </w:rPr>
        <w:t xml:space="preserve">en vue de recueillir davantage </w:t>
      </w:r>
      <w:r w:rsidR="009944B9" w:rsidRPr="008A6B69">
        <w:rPr>
          <w:i/>
          <w:lang w:eastAsia="en-US"/>
        </w:rPr>
        <w:t>d</w:t>
      </w:r>
      <w:r w:rsidR="00017366" w:rsidRPr="008A6B69">
        <w:rPr>
          <w:i/>
          <w:lang w:eastAsia="en-US"/>
        </w:rPr>
        <w:t>’</w:t>
      </w:r>
      <w:r w:rsidR="009944B9" w:rsidRPr="008A6B69">
        <w:rPr>
          <w:i/>
          <w:lang w:eastAsia="en-US"/>
        </w:rPr>
        <w:t>informations</w:t>
      </w:r>
      <w:r w:rsidRPr="008A6B69">
        <w:rPr>
          <w:i/>
          <w:lang w:eastAsia="en-US"/>
        </w:rPr>
        <w:t xml:space="preserve"> sur l</w:t>
      </w:r>
      <w:r w:rsidR="00017366" w:rsidRPr="008A6B69">
        <w:rPr>
          <w:i/>
          <w:lang w:eastAsia="en-US"/>
        </w:rPr>
        <w:t>’</w:t>
      </w:r>
      <w:r w:rsidRPr="008A6B69">
        <w:rPr>
          <w:i/>
          <w:lang w:eastAsia="en-US"/>
        </w:rPr>
        <w:t>amélioration de la structure des données.</w:t>
      </w:r>
    </w:p>
    <w:p w:rsidR="001F550A" w:rsidRPr="00541E9E" w:rsidRDefault="001F550A" w:rsidP="001F550A">
      <w:pPr>
        <w:pStyle w:val="Endofdocument-Annex"/>
        <w:rPr>
          <w:lang w:eastAsia="en-US"/>
        </w:rPr>
      </w:pPr>
    </w:p>
    <w:p w:rsidR="001F550A" w:rsidRPr="00541E9E" w:rsidRDefault="001F550A" w:rsidP="001F550A">
      <w:pPr>
        <w:pStyle w:val="Endofdocument-Annex"/>
        <w:rPr>
          <w:lang w:eastAsia="en-US"/>
        </w:rPr>
      </w:pPr>
    </w:p>
    <w:p w:rsidR="001F550A" w:rsidRPr="00541E9E" w:rsidRDefault="001F550A" w:rsidP="001F550A">
      <w:pPr>
        <w:pStyle w:val="Endofdocument-Annex"/>
        <w:rPr>
          <w:lang w:eastAsia="en-US"/>
        </w:rPr>
      </w:pPr>
      <w:r w:rsidRPr="00541E9E">
        <w:rPr>
          <w:lang w:eastAsia="en-US"/>
        </w:rPr>
        <w:t>[</w:t>
      </w:r>
      <w:r w:rsidR="00D06347">
        <w:rPr>
          <w:lang w:eastAsia="en-US"/>
        </w:rPr>
        <w:t>Les a</w:t>
      </w:r>
      <w:r w:rsidRPr="00541E9E">
        <w:rPr>
          <w:lang w:eastAsia="en-US"/>
        </w:rPr>
        <w:t>nnex</w:t>
      </w:r>
      <w:r w:rsidR="00765EE6" w:rsidRPr="00541E9E">
        <w:rPr>
          <w:lang w:eastAsia="en-US"/>
        </w:rPr>
        <w:t>es</w:t>
      </w:r>
      <w:r w:rsidRPr="00541E9E">
        <w:rPr>
          <w:lang w:eastAsia="en-US"/>
        </w:rPr>
        <w:t xml:space="preserve"> </w:t>
      </w:r>
      <w:r w:rsidR="00D06347">
        <w:rPr>
          <w:lang w:eastAsia="en-US"/>
        </w:rPr>
        <w:t>suivent</w:t>
      </w:r>
      <w:r w:rsidRPr="00541E9E">
        <w:rPr>
          <w:lang w:eastAsia="en-US"/>
        </w:rPr>
        <w:t>]</w:t>
      </w:r>
    </w:p>
    <w:p w:rsidR="001F550A" w:rsidRPr="00541E9E" w:rsidRDefault="001F550A" w:rsidP="001F550A">
      <w:pPr>
        <w:rPr>
          <w:lang w:eastAsia="en-US"/>
        </w:rPr>
      </w:pPr>
    </w:p>
    <w:p w:rsidR="001F550A" w:rsidRPr="00541E9E" w:rsidRDefault="001F550A" w:rsidP="001F550A">
      <w:pPr>
        <w:rPr>
          <w:lang w:eastAsia="en-US"/>
        </w:rPr>
        <w:sectPr w:rsidR="001F550A" w:rsidRPr="00541E9E" w:rsidSect="003E527D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1F550A" w:rsidRPr="003B22D9" w:rsidRDefault="003B22D9" w:rsidP="003B22D9">
      <w:pPr>
        <w:pStyle w:val="ONUMFS"/>
        <w:numPr>
          <w:ilvl w:val="0"/>
          <w:numId w:val="0"/>
        </w:numPr>
        <w:jc w:val="center"/>
        <w:rPr>
          <w:b/>
          <w:caps/>
        </w:rPr>
      </w:pPr>
      <w:r w:rsidRPr="003B22D9">
        <w:rPr>
          <w:b/>
          <w:caps/>
        </w:rPr>
        <w:lastRenderedPageBreak/>
        <w:t>S</w:t>
      </w:r>
      <w:r w:rsidR="00D06347" w:rsidRPr="003B22D9">
        <w:rPr>
          <w:b/>
          <w:caps/>
        </w:rPr>
        <w:t xml:space="preserve">tructure </w:t>
      </w:r>
      <w:r w:rsidRPr="003B22D9">
        <w:rPr>
          <w:b/>
          <w:caps/>
        </w:rPr>
        <w:t>actuelle des données relatives à un enregistrement international (représentation simplifiée</w:t>
      </w:r>
      <w:r w:rsidR="001F550A" w:rsidRPr="003B22D9">
        <w:rPr>
          <w:b/>
          <w:caps/>
        </w:rPr>
        <w:t>)</w:t>
      </w:r>
    </w:p>
    <w:p w:rsidR="001F550A" w:rsidRPr="00541E9E" w:rsidRDefault="00DE34CE" w:rsidP="00AA02A8">
      <w:pPr>
        <w:pStyle w:val="ONUMFS"/>
        <w:numPr>
          <w:ilvl w:val="0"/>
          <w:numId w:val="0"/>
        </w:numPr>
        <w:jc w:val="center"/>
      </w:pPr>
      <w:r w:rsidRPr="00541E9E">
        <w:object w:dxaOrig="10791" w:dyaOrig="13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pt;height:513.65pt" o:ole="">
            <v:imagedata r:id="rId12" o:title=""/>
          </v:shape>
          <o:OLEObject Type="Embed" ProgID="Visio.Drawing.11" ShapeID="_x0000_i1025" DrawAspect="Content" ObjectID="_1523879999" r:id="rId13"/>
        </w:object>
      </w:r>
    </w:p>
    <w:p w:rsidR="00017366" w:rsidRDefault="001F550A" w:rsidP="003B22D9">
      <w:pPr>
        <w:pStyle w:val="ONUMFS"/>
        <w:numPr>
          <w:ilvl w:val="0"/>
          <w:numId w:val="0"/>
        </w:numPr>
      </w:pPr>
      <w:r w:rsidRPr="00541E9E">
        <w:t>Note</w:t>
      </w:r>
      <w:r w:rsidR="000A1EDD">
        <w:t> </w:t>
      </w:r>
      <w:r w:rsidRPr="00541E9E">
        <w:t xml:space="preserve">: </w:t>
      </w:r>
      <w:r w:rsidR="000A1EDD">
        <w:t>le présent graphique constitue une représentation simplifiée de la structure des donné</w:t>
      </w:r>
      <w:r w:rsidR="00042937">
        <w:t>es.  Il</w:t>
      </w:r>
      <w:r w:rsidR="000A1EDD">
        <w:t xml:space="preserve"> vise à illustrer la façon dont chaque élément se rapporte à l</w:t>
      </w:r>
      <w:r w:rsidR="00017366">
        <w:t>’</w:t>
      </w:r>
      <w:r w:rsidR="000A1EDD">
        <w:t>enregistrement internation</w:t>
      </w:r>
      <w:r w:rsidR="00042937">
        <w:t>al.  Da</w:t>
      </w:r>
      <w:r w:rsidR="000A1EDD">
        <w:t>ns toute sa complexité, la structure comporte plusieurs niveaux de déta</w:t>
      </w:r>
      <w:r w:rsidR="00042937">
        <w:t>il.  Pa</w:t>
      </w:r>
      <w:r w:rsidR="000A1EDD">
        <w:t xml:space="preserve">r exemple, une adresse peut </w:t>
      </w:r>
      <w:r w:rsidR="00602B2A">
        <w:t>être décomposée en rue, ville, pays, etc.</w:t>
      </w:r>
    </w:p>
    <w:p w:rsidR="001F550A" w:rsidRDefault="001F550A" w:rsidP="003B22D9"/>
    <w:p w:rsidR="00AA02A8" w:rsidRPr="00541E9E" w:rsidRDefault="00AA02A8" w:rsidP="003B22D9"/>
    <w:p w:rsidR="001F550A" w:rsidRPr="00541E9E" w:rsidRDefault="001F550A" w:rsidP="001F550A">
      <w:pPr>
        <w:pStyle w:val="Endofdocument-Annex"/>
      </w:pPr>
      <w:r w:rsidRPr="00541E9E">
        <w:t>[</w:t>
      </w:r>
      <w:r w:rsidR="00602B2A">
        <w:t>L</w:t>
      </w:r>
      <w:r w:rsidR="00017366">
        <w:t>’</w:t>
      </w:r>
      <w:r w:rsidR="00602B2A">
        <w:t>annexe </w:t>
      </w:r>
      <w:r w:rsidRPr="00541E9E">
        <w:t xml:space="preserve">II </w:t>
      </w:r>
      <w:r w:rsidR="00602B2A">
        <w:t>suit</w:t>
      </w:r>
      <w:r w:rsidRPr="00541E9E">
        <w:t>]</w:t>
      </w:r>
    </w:p>
    <w:p w:rsidR="001F550A" w:rsidRPr="00541E9E" w:rsidRDefault="001F550A" w:rsidP="001F550A">
      <w:pPr>
        <w:sectPr w:rsidR="001F550A" w:rsidRPr="00541E9E" w:rsidSect="003E527D">
          <w:head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1F550A" w:rsidRPr="003B22D9" w:rsidRDefault="003B22D9" w:rsidP="003B22D9">
      <w:pPr>
        <w:pStyle w:val="ONUMFS"/>
        <w:numPr>
          <w:ilvl w:val="0"/>
          <w:numId w:val="0"/>
        </w:numPr>
        <w:jc w:val="center"/>
        <w:rPr>
          <w:b/>
          <w:caps/>
        </w:rPr>
      </w:pPr>
      <w:r w:rsidRPr="003B22D9">
        <w:rPr>
          <w:b/>
          <w:caps/>
        </w:rPr>
        <w:lastRenderedPageBreak/>
        <w:t xml:space="preserve">Éventuelle structure des données améliorée </w:t>
      </w:r>
      <w:r>
        <w:rPr>
          <w:b/>
          <w:caps/>
        </w:rPr>
        <w:br/>
      </w:r>
      <w:r w:rsidRPr="003B22D9">
        <w:rPr>
          <w:b/>
          <w:caps/>
        </w:rPr>
        <w:t>(représentation simplifiée)</w:t>
      </w:r>
    </w:p>
    <w:p w:rsidR="001F550A" w:rsidRPr="00541E9E" w:rsidRDefault="00A4110C" w:rsidP="00AA02A8">
      <w:pPr>
        <w:pStyle w:val="ONUMFS"/>
        <w:numPr>
          <w:ilvl w:val="0"/>
          <w:numId w:val="0"/>
        </w:numPr>
        <w:jc w:val="center"/>
      </w:pPr>
      <w:r w:rsidRPr="00541E9E">
        <w:object w:dxaOrig="10480" w:dyaOrig="14859">
          <v:shape id="_x0000_i1026" type="#_x0000_t75" style="width:410.2pt;height:583.1pt" o:ole="">
            <v:imagedata r:id="rId17" o:title=""/>
          </v:shape>
          <o:OLEObject Type="Embed" ProgID="Visio.Drawing.11" ShapeID="_x0000_i1026" DrawAspect="Content" ObjectID="_1523880000" r:id="rId18"/>
        </w:object>
      </w:r>
    </w:p>
    <w:p w:rsidR="001F550A" w:rsidRPr="00541E9E" w:rsidRDefault="00602B2A" w:rsidP="003B22D9">
      <w:pPr>
        <w:pStyle w:val="ONUMFS"/>
        <w:numPr>
          <w:ilvl w:val="0"/>
          <w:numId w:val="0"/>
        </w:numPr>
      </w:pPr>
      <w:r w:rsidRPr="00602B2A">
        <w:t>Note</w:t>
      </w:r>
      <w:r w:rsidR="003A749C" w:rsidRPr="003A749C">
        <w:t> </w:t>
      </w:r>
      <w:r w:rsidRPr="00602B2A">
        <w:t>: le présent graphique constitue une représentation simplifiée de la structure des donné</w:t>
      </w:r>
      <w:r w:rsidR="00042937" w:rsidRPr="00602B2A">
        <w:t>es</w:t>
      </w:r>
      <w:r w:rsidR="00042937">
        <w:t xml:space="preserve">.  </w:t>
      </w:r>
      <w:r w:rsidR="00042937" w:rsidRPr="00602B2A">
        <w:t>Il</w:t>
      </w:r>
      <w:r w:rsidRPr="00602B2A">
        <w:t xml:space="preserve"> vise à illustrer la façon dont chaque élément se rapporte à l</w:t>
      </w:r>
      <w:r w:rsidR="00017366">
        <w:t>’</w:t>
      </w:r>
      <w:r w:rsidRPr="00602B2A">
        <w:t>enregistrement internation</w:t>
      </w:r>
      <w:r w:rsidR="00042937" w:rsidRPr="00602B2A">
        <w:t>al</w:t>
      </w:r>
      <w:r w:rsidR="00042937">
        <w:t xml:space="preserve">.  </w:t>
      </w:r>
      <w:r w:rsidR="00042937" w:rsidRPr="00602B2A">
        <w:t>Da</w:t>
      </w:r>
      <w:r w:rsidRPr="00602B2A">
        <w:t>ns toute sa complexité, la structure comporte plusieurs niveaux de déta</w:t>
      </w:r>
      <w:r w:rsidR="00042937" w:rsidRPr="00602B2A">
        <w:t>il</w:t>
      </w:r>
      <w:r w:rsidR="00042937">
        <w:t xml:space="preserve">.  </w:t>
      </w:r>
      <w:r w:rsidR="00042937" w:rsidRPr="00602B2A">
        <w:t>Pa</w:t>
      </w:r>
      <w:r w:rsidRPr="00602B2A">
        <w:t>r exemple, une adresse peut être décomposée en rue, ville, pays, etc</w:t>
      </w:r>
      <w:r w:rsidR="001F550A" w:rsidRPr="00541E9E">
        <w:t>.</w:t>
      </w:r>
    </w:p>
    <w:p w:rsidR="002928D3" w:rsidRPr="00541E9E" w:rsidRDefault="001F550A" w:rsidP="001F550A">
      <w:pPr>
        <w:pStyle w:val="Endofdocument-Annex"/>
      </w:pPr>
      <w:r w:rsidRPr="00541E9E">
        <w:t>[</w:t>
      </w:r>
      <w:r w:rsidR="00602B2A">
        <w:t xml:space="preserve">Fin </w:t>
      </w:r>
      <w:r w:rsidR="003B22D9">
        <w:t>de l’annexe II</w:t>
      </w:r>
      <w:r w:rsidRPr="00541E9E">
        <w:t xml:space="preserve"> </w:t>
      </w:r>
      <w:r w:rsidR="00602B2A">
        <w:t xml:space="preserve">et du </w:t>
      </w:r>
      <w:r w:rsidRPr="00541E9E">
        <w:t>document]</w:t>
      </w:r>
    </w:p>
    <w:sectPr w:rsidR="002928D3" w:rsidRPr="00541E9E" w:rsidSect="003E527D">
      <w:headerReference w:type="default" r:id="rId19"/>
      <w:headerReference w:type="first" r:id="rId2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31" w:rsidRDefault="00AD2E31">
      <w:r>
        <w:separator/>
      </w:r>
    </w:p>
  </w:endnote>
  <w:endnote w:type="continuationSeparator" w:id="0">
    <w:p w:rsidR="00AD2E31" w:rsidRDefault="00AD2E31" w:rsidP="003B38C1">
      <w:r>
        <w:separator/>
      </w:r>
    </w:p>
    <w:p w:rsidR="00AD2E31" w:rsidRPr="00A4110C" w:rsidRDefault="00AD2E31" w:rsidP="003B38C1">
      <w:pPr>
        <w:spacing w:after="60"/>
        <w:rPr>
          <w:sz w:val="17"/>
          <w:lang w:val="en-US"/>
        </w:rPr>
      </w:pPr>
      <w:r w:rsidRPr="00A4110C">
        <w:rPr>
          <w:sz w:val="17"/>
          <w:lang w:val="en-US"/>
        </w:rPr>
        <w:t>[Endnote continued from previous page]</w:t>
      </w:r>
    </w:p>
  </w:endnote>
  <w:endnote w:type="continuationNotice" w:id="1">
    <w:p w:rsidR="00AD2E31" w:rsidRPr="00A4110C" w:rsidRDefault="00AD2E31" w:rsidP="003B38C1">
      <w:pPr>
        <w:spacing w:before="60"/>
        <w:jc w:val="right"/>
        <w:rPr>
          <w:sz w:val="17"/>
          <w:szCs w:val="17"/>
          <w:lang w:val="en-US"/>
        </w:rPr>
      </w:pPr>
      <w:r w:rsidRPr="00A4110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66" w:rsidRPr="00017366" w:rsidRDefault="00017366" w:rsidP="00017366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D9" w:rsidRPr="003B22D9" w:rsidRDefault="003B22D9" w:rsidP="003B2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31" w:rsidRDefault="00AD2E31">
      <w:r>
        <w:separator/>
      </w:r>
    </w:p>
  </w:footnote>
  <w:footnote w:type="continuationSeparator" w:id="0">
    <w:p w:rsidR="00AD2E31" w:rsidRDefault="00AD2E31" w:rsidP="008B60B2">
      <w:r>
        <w:separator/>
      </w:r>
    </w:p>
    <w:p w:rsidR="00AD2E31" w:rsidRPr="00A4110C" w:rsidRDefault="00AD2E31" w:rsidP="008B60B2">
      <w:pPr>
        <w:spacing w:after="60"/>
        <w:rPr>
          <w:sz w:val="17"/>
          <w:szCs w:val="17"/>
          <w:lang w:val="en-US"/>
        </w:rPr>
      </w:pPr>
      <w:r w:rsidRPr="00A4110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D2E31" w:rsidRPr="00A4110C" w:rsidRDefault="00AD2E31" w:rsidP="008B60B2">
      <w:pPr>
        <w:spacing w:before="60"/>
        <w:jc w:val="right"/>
        <w:rPr>
          <w:sz w:val="17"/>
          <w:szCs w:val="17"/>
          <w:lang w:val="en-US"/>
        </w:rPr>
      </w:pPr>
      <w:r w:rsidRPr="00A4110C">
        <w:rPr>
          <w:sz w:val="17"/>
          <w:szCs w:val="17"/>
          <w:lang w:val="en-US"/>
        </w:rPr>
        <w:t>[Footnote continued on next page]</w:t>
      </w:r>
    </w:p>
  </w:footnote>
  <w:footnote w:id="2">
    <w:p w:rsidR="001F550A" w:rsidRPr="00760142" w:rsidRDefault="001F550A" w:rsidP="001F550A">
      <w:pPr>
        <w:pStyle w:val="FootnoteText"/>
      </w:pPr>
      <w:r>
        <w:rPr>
          <w:rStyle w:val="FootnoteReference"/>
        </w:rPr>
        <w:footnoteRef/>
      </w:r>
      <w:r>
        <w:rPr>
          <w:lang w:val="fr-CH"/>
        </w:rPr>
        <w:tab/>
      </w:r>
      <w:r w:rsidR="00760142" w:rsidRPr="00760142">
        <w:t xml:space="preserve">Le système de </w:t>
      </w:r>
      <w:r w:rsidRPr="00760142">
        <w:t xml:space="preserve">Madrid </w:t>
      </w:r>
      <w:r w:rsidR="00760142" w:rsidRPr="00760142">
        <w:t>a cessé de fonctionner sur cette infrastructure commune depuis le 21 mars </w:t>
      </w:r>
      <w:r w:rsidR="00760142">
        <w:t>2016, à la suite de la mise en place d</w:t>
      </w:r>
      <w:r w:rsidR="00042937">
        <w:t>’</w:t>
      </w:r>
      <w:r w:rsidR="00760142">
        <w:t xml:space="preserve">un nouveau système de base, </w:t>
      </w:r>
      <w:r w:rsidR="00042937">
        <w:t>à savoir</w:t>
      </w:r>
      <w:r w:rsidR="00760142">
        <w:t xml:space="preserve"> le système MIRIS (</w:t>
      </w:r>
      <w:r w:rsidRPr="00D07029">
        <w:rPr>
          <w:i/>
        </w:rPr>
        <w:t>Madrid International Registration Information System</w:t>
      </w:r>
      <w:r w:rsidRPr="00760142">
        <w:t>).</w:t>
      </w:r>
    </w:p>
  </w:footnote>
  <w:footnote w:id="3">
    <w:p w:rsidR="001F550A" w:rsidRPr="00760142" w:rsidRDefault="001F550A" w:rsidP="001F550A">
      <w:pPr>
        <w:rPr>
          <w:sz w:val="18"/>
          <w:szCs w:val="18"/>
        </w:rPr>
      </w:pPr>
      <w:r w:rsidRPr="00760142">
        <w:rPr>
          <w:sz w:val="18"/>
          <w:szCs w:val="18"/>
          <w:vertAlign w:val="superscript"/>
        </w:rPr>
        <w:footnoteRef/>
      </w:r>
      <w:r w:rsidRPr="00760142">
        <w:rPr>
          <w:sz w:val="18"/>
          <w:szCs w:val="18"/>
        </w:rPr>
        <w:tab/>
      </w:r>
      <w:r w:rsidR="0060029F">
        <w:rPr>
          <w:sz w:val="18"/>
          <w:szCs w:val="18"/>
        </w:rPr>
        <w:t xml:space="preserve">Se reporter au </w:t>
      </w:r>
      <w:r w:rsidRPr="00760142">
        <w:rPr>
          <w:sz w:val="18"/>
          <w:szCs w:val="18"/>
        </w:rPr>
        <w:t>document H/A/35/1, “</w:t>
      </w:r>
      <w:r w:rsidR="0060029F" w:rsidRPr="0060029F">
        <w:rPr>
          <w:sz w:val="18"/>
          <w:szCs w:val="18"/>
        </w:rPr>
        <w:t>Rapport final sur le programme de modernisation informatique (système d</w:t>
      </w:r>
      <w:r w:rsidR="00042937">
        <w:rPr>
          <w:sz w:val="18"/>
          <w:szCs w:val="18"/>
        </w:rPr>
        <w:t>’</w:t>
      </w:r>
      <w:r w:rsidR="0060029F" w:rsidRPr="0060029F">
        <w:rPr>
          <w:sz w:val="18"/>
          <w:szCs w:val="18"/>
        </w:rPr>
        <w:t xml:space="preserve">enregistrement international de </w:t>
      </w:r>
      <w:r w:rsidR="00042937">
        <w:rPr>
          <w:sz w:val="18"/>
          <w:szCs w:val="18"/>
        </w:rPr>
        <w:t>La Haye</w:t>
      </w:r>
      <w:r w:rsidR="0060029F" w:rsidRPr="0060029F">
        <w:rPr>
          <w:sz w:val="18"/>
          <w:szCs w:val="18"/>
        </w:rPr>
        <w:t>)</w:t>
      </w:r>
      <w:r w:rsidRPr="00760142">
        <w:rPr>
          <w:sz w:val="18"/>
          <w:szCs w:val="18"/>
        </w:rPr>
        <w:t xml:space="preserve">”, </w:t>
      </w:r>
      <w:r w:rsidR="0060029F">
        <w:rPr>
          <w:sz w:val="18"/>
          <w:szCs w:val="18"/>
        </w:rPr>
        <w:t>à l</w:t>
      </w:r>
      <w:r w:rsidR="00042937">
        <w:rPr>
          <w:sz w:val="18"/>
          <w:szCs w:val="18"/>
        </w:rPr>
        <w:t>’</w:t>
      </w:r>
      <w:r w:rsidR="0060029F">
        <w:rPr>
          <w:sz w:val="18"/>
          <w:szCs w:val="18"/>
        </w:rPr>
        <w:t>adresse w</w:t>
      </w:r>
      <w:r w:rsidRPr="00760142">
        <w:rPr>
          <w:sz w:val="18"/>
          <w:szCs w:val="18"/>
        </w:rPr>
        <w:t>ww.wipo.int/edocs/mdocs/govbody/</w:t>
      </w:r>
      <w:r w:rsidR="00340A82">
        <w:rPr>
          <w:sz w:val="18"/>
          <w:szCs w:val="18"/>
        </w:rPr>
        <w:t>fr</w:t>
      </w:r>
      <w:r w:rsidRPr="00760142">
        <w:rPr>
          <w:sz w:val="18"/>
          <w:szCs w:val="18"/>
        </w:rPr>
        <w:t>/h_a_35/h_a_35_1.pdf.</w:t>
      </w:r>
    </w:p>
  </w:footnote>
  <w:footnote w:id="4">
    <w:p w:rsidR="001F550A" w:rsidRPr="00AE7676" w:rsidRDefault="001F550A" w:rsidP="001F550A">
      <w:pPr>
        <w:pStyle w:val="FootnoteText"/>
      </w:pPr>
      <w:r w:rsidRPr="00760142">
        <w:rPr>
          <w:rStyle w:val="FootnoteReference"/>
        </w:rPr>
        <w:footnoteRef/>
      </w:r>
      <w:r w:rsidRPr="00760142">
        <w:tab/>
      </w:r>
      <w:r w:rsidR="001A3A47" w:rsidRPr="00AE7676">
        <w:t xml:space="preserve">Se reporter au </w:t>
      </w:r>
      <w:r w:rsidRPr="00AE7676">
        <w:t>document H/LD/WG/5/5, “</w:t>
      </w:r>
      <w:r w:rsidR="001A3A47" w:rsidRPr="00AE7676">
        <w:t>Considérations relatives à l</w:t>
      </w:r>
      <w:r w:rsidR="00042937">
        <w:t>’</w:t>
      </w:r>
      <w:r w:rsidR="001A3A47" w:rsidRPr="00AE7676">
        <w:t>éventuelle introduction de limitations simultanées dans les demandes internationales et autres modifications du règlement d</w:t>
      </w:r>
      <w:r w:rsidR="00042937">
        <w:t>’</w:t>
      </w:r>
      <w:r w:rsidR="001A3A47" w:rsidRPr="00AE7676">
        <w:t>exécution commun</w:t>
      </w:r>
      <w:r w:rsidRPr="00AE7676">
        <w:t>”.</w:t>
      </w:r>
    </w:p>
  </w:footnote>
  <w:footnote w:id="5">
    <w:p w:rsidR="001F550A" w:rsidRPr="00760142" w:rsidRDefault="001F550A" w:rsidP="001F550A">
      <w:pPr>
        <w:pStyle w:val="FootnoteText"/>
      </w:pPr>
      <w:r w:rsidRPr="00AE7676">
        <w:rPr>
          <w:rStyle w:val="FootnoteReference"/>
        </w:rPr>
        <w:footnoteRef/>
      </w:r>
      <w:r w:rsidRPr="00AE7676">
        <w:tab/>
        <w:t>O</w:t>
      </w:r>
      <w:r w:rsidR="001A3A47" w:rsidRPr="00AE7676">
        <w:t xml:space="preserve">u les </w:t>
      </w:r>
      <w:r w:rsidR="001326D1">
        <w:t>O</w:t>
      </w:r>
      <w:r w:rsidRPr="00AE7676">
        <w:t xml:space="preserve">ffices </w:t>
      </w:r>
      <w:r w:rsidR="001A3A47" w:rsidRPr="00AE7676">
        <w:t>ayant notif</w:t>
      </w:r>
      <w:r w:rsidR="00AE7676">
        <w:t>i</w:t>
      </w:r>
      <w:r w:rsidR="001A3A47" w:rsidRPr="00AE7676">
        <w:t>é au Bureau international qu</w:t>
      </w:r>
      <w:r w:rsidR="00042937">
        <w:t>’</w:t>
      </w:r>
      <w:r w:rsidR="001A3A47" w:rsidRPr="00AE7676">
        <w:t>ils souhaitent recevoir des copies confidentielles</w:t>
      </w:r>
      <w:r w:rsidRPr="0076014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0A" w:rsidRDefault="001F550A" w:rsidP="00EF6AEF">
    <w:pPr>
      <w:pStyle w:val="Header"/>
      <w:jc w:val="right"/>
    </w:pPr>
    <w:r>
      <w:t>H/LD/WG/6/4</w:t>
    </w:r>
  </w:p>
  <w:p w:rsidR="001F550A" w:rsidRDefault="001F550A" w:rsidP="00EF6AEF">
    <w:pPr>
      <w:pStyle w:val="Header"/>
      <w:jc w:val="right"/>
      <w:rPr>
        <w:noProof/>
      </w:rPr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306D6">
      <w:rPr>
        <w:noProof/>
      </w:rPr>
      <w:t>4</w:t>
    </w:r>
    <w:r>
      <w:rPr>
        <w:noProof/>
      </w:rPr>
      <w:fldChar w:fldCharType="end"/>
    </w:r>
  </w:p>
  <w:p w:rsidR="001F550A" w:rsidRDefault="001F550A" w:rsidP="00EF6AE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0A" w:rsidRDefault="001F550A" w:rsidP="00EF6AEF">
    <w:pPr>
      <w:pStyle w:val="Header"/>
      <w:jc w:val="right"/>
    </w:pPr>
    <w:r>
      <w:t>H/LD/WG/6/4</w:t>
    </w:r>
  </w:p>
  <w:p w:rsidR="001F550A" w:rsidRDefault="001F550A" w:rsidP="00EF6AEF">
    <w:pPr>
      <w:pStyle w:val="Header"/>
      <w:jc w:val="right"/>
    </w:pPr>
    <w:proofErr w:type="spellStart"/>
    <w:r>
      <w:t>Annex</w:t>
    </w:r>
    <w:proofErr w:type="spellEnd"/>
    <w:r>
      <w:t xml:space="preserve">, page </w:t>
    </w:r>
    <w:r>
      <w:fldChar w:fldCharType="begin"/>
    </w:r>
    <w:r>
      <w:instrText xml:space="preserve"> PAGE   \* MERGEFORMAT </w:instrText>
    </w:r>
    <w:r>
      <w:fldChar w:fldCharType="separate"/>
    </w:r>
    <w:r w:rsidR="001306D6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0A" w:rsidRDefault="001F550A" w:rsidP="005078EB">
    <w:pPr>
      <w:pStyle w:val="Header"/>
      <w:jc w:val="right"/>
    </w:pPr>
    <w:r>
      <w:t>H/LD/WG/6/4</w:t>
    </w:r>
  </w:p>
  <w:p w:rsidR="001F550A" w:rsidRDefault="001F550A" w:rsidP="005078EB">
    <w:pPr>
      <w:pStyle w:val="Header"/>
      <w:jc w:val="right"/>
    </w:pPr>
    <w:r>
      <w:t>ANNEX</w:t>
    </w:r>
    <w:r w:rsidR="000A1EDD">
      <w:t>E</w:t>
    </w:r>
    <w:r>
      <w:t xml:space="preserve"> I</w:t>
    </w:r>
  </w:p>
  <w:p w:rsidR="001F550A" w:rsidRDefault="001F550A" w:rsidP="005078EB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F550A" w:rsidP="00477D6B">
    <w:pPr>
      <w:jc w:val="right"/>
    </w:pPr>
    <w:bookmarkStart w:id="5" w:name="Code2"/>
    <w:bookmarkEnd w:id="5"/>
    <w:r>
      <w:t>H/LD/WG/</w:t>
    </w:r>
    <w:r w:rsidR="003E527D">
      <w:t>6/</w:t>
    </w:r>
    <w:r>
      <w:t>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306D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0A" w:rsidRDefault="001F550A" w:rsidP="005078EB">
    <w:pPr>
      <w:pStyle w:val="Header"/>
      <w:jc w:val="right"/>
    </w:pPr>
    <w:r>
      <w:t>H/LD/WG/6/4</w:t>
    </w:r>
  </w:p>
  <w:p w:rsidR="001F550A" w:rsidRDefault="001F550A" w:rsidP="005078EB">
    <w:pPr>
      <w:pStyle w:val="Header"/>
      <w:jc w:val="right"/>
    </w:pPr>
    <w:r>
      <w:t>ANNEX</w:t>
    </w:r>
    <w:r w:rsidR="000A1EDD">
      <w:t>E</w:t>
    </w:r>
    <w:r>
      <w:t xml:space="preserve"> II</w:t>
    </w:r>
  </w:p>
  <w:p w:rsidR="001F550A" w:rsidRDefault="001F550A" w:rsidP="005078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C0B1B"/>
    <w:multiLevelType w:val="multilevel"/>
    <w:tmpl w:val="78F016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DF3C10"/>
    <w:multiLevelType w:val="multilevel"/>
    <w:tmpl w:val="60E6BD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0A"/>
    <w:rsid w:val="00015B59"/>
    <w:rsid w:val="00017366"/>
    <w:rsid w:val="00042937"/>
    <w:rsid w:val="00043CAA"/>
    <w:rsid w:val="000555B2"/>
    <w:rsid w:val="00075432"/>
    <w:rsid w:val="000968ED"/>
    <w:rsid w:val="000A1EDD"/>
    <w:rsid w:val="000D670A"/>
    <w:rsid w:val="000F38EE"/>
    <w:rsid w:val="000F5E56"/>
    <w:rsid w:val="001033D8"/>
    <w:rsid w:val="001122B2"/>
    <w:rsid w:val="00125D35"/>
    <w:rsid w:val="001300FD"/>
    <w:rsid w:val="001306D6"/>
    <w:rsid w:val="001326D1"/>
    <w:rsid w:val="001362EE"/>
    <w:rsid w:val="001832A6"/>
    <w:rsid w:val="00195FF3"/>
    <w:rsid w:val="001A3A47"/>
    <w:rsid w:val="001C509E"/>
    <w:rsid w:val="001E46C8"/>
    <w:rsid w:val="001F550A"/>
    <w:rsid w:val="00200CCF"/>
    <w:rsid w:val="00205242"/>
    <w:rsid w:val="002634C4"/>
    <w:rsid w:val="002928D3"/>
    <w:rsid w:val="002A519D"/>
    <w:rsid w:val="002B4ACD"/>
    <w:rsid w:val="002B7D5C"/>
    <w:rsid w:val="002D18D8"/>
    <w:rsid w:val="002E7F43"/>
    <w:rsid w:val="002F1FE6"/>
    <w:rsid w:val="002F4E68"/>
    <w:rsid w:val="00312F7F"/>
    <w:rsid w:val="003130CB"/>
    <w:rsid w:val="00322C91"/>
    <w:rsid w:val="00340A82"/>
    <w:rsid w:val="0034266A"/>
    <w:rsid w:val="00354A28"/>
    <w:rsid w:val="00361450"/>
    <w:rsid w:val="003673CF"/>
    <w:rsid w:val="003845C1"/>
    <w:rsid w:val="003856A5"/>
    <w:rsid w:val="003958E8"/>
    <w:rsid w:val="003A6F89"/>
    <w:rsid w:val="003A749C"/>
    <w:rsid w:val="003B22D9"/>
    <w:rsid w:val="003B38C1"/>
    <w:rsid w:val="003B5804"/>
    <w:rsid w:val="003D2D64"/>
    <w:rsid w:val="003E527D"/>
    <w:rsid w:val="00423E3E"/>
    <w:rsid w:val="00427AF4"/>
    <w:rsid w:val="004403C7"/>
    <w:rsid w:val="004647DA"/>
    <w:rsid w:val="0047082C"/>
    <w:rsid w:val="00474062"/>
    <w:rsid w:val="00477D6B"/>
    <w:rsid w:val="004906CA"/>
    <w:rsid w:val="004B2A54"/>
    <w:rsid w:val="004E4BCD"/>
    <w:rsid w:val="004E505B"/>
    <w:rsid w:val="005019FF"/>
    <w:rsid w:val="00502864"/>
    <w:rsid w:val="0053057A"/>
    <w:rsid w:val="00541E9E"/>
    <w:rsid w:val="00560A29"/>
    <w:rsid w:val="00580A01"/>
    <w:rsid w:val="005C6649"/>
    <w:rsid w:val="0060029F"/>
    <w:rsid w:val="00602656"/>
    <w:rsid w:val="00602B2A"/>
    <w:rsid w:val="00605827"/>
    <w:rsid w:val="00646050"/>
    <w:rsid w:val="00665F4B"/>
    <w:rsid w:val="006713CA"/>
    <w:rsid w:val="00676C5C"/>
    <w:rsid w:val="006B0A8F"/>
    <w:rsid w:val="006B78DB"/>
    <w:rsid w:val="006D45DA"/>
    <w:rsid w:val="006E661E"/>
    <w:rsid w:val="0073333B"/>
    <w:rsid w:val="00760142"/>
    <w:rsid w:val="00764889"/>
    <w:rsid w:val="00765EE6"/>
    <w:rsid w:val="007D1613"/>
    <w:rsid w:val="007D7FF5"/>
    <w:rsid w:val="008444FF"/>
    <w:rsid w:val="0088473A"/>
    <w:rsid w:val="00885749"/>
    <w:rsid w:val="008A3C32"/>
    <w:rsid w:val="008A6B69"/>
    <w:rsid w:val="008B2CC1"/>
    <w:rsid w:val="008B60B2"/>
    <w:rsid w:val="008F6992"/>
    <w:rsid w:val="0090731E"/>
    <w:rsid w:val="00916EE2"/>
    <w:rsid w:val="00953FB1"/>
    <w:rsid w:val="00966A22"/>
    <w:rsid w:val="0096722F"/>
    <w:rsid w:val="00980843"/>
    <w:rsid w:val="009944B9"/>
    <w:rsid w:val="009C6287"/>
    <w:rsid w:val="009E224A"/>
    <w:rsid w:val="009E2791"/>
    <w:rsid w:val="009E3F6F"/>
    <w:rsid w:val="009F499F"/>
    <w:rsid w:val="00A36762"/>
    <w:rsid w:val="00A36E54"/>
    <w:rsid w:val="00A4110C"/>
    <w:rsid w:val="00A42DAF"/>
    <w:rsid w:val="00A45BD8"/>
    <w:rsid w:val="00A47183"/>
    <w:rsid w:val="00A57453"/>
    <w:rsid w:val="00A60D6E"/>
    <w:rsid w:val="00A869B7"/>
    <w:rsid w:val="00AA02A8"/>
    <w:rsid w:val="00AC205C"/>
    <w:rsid w:val="00AD2E31"/>
    <w:rsid w:val="00AE4892"/>
    <w:rsid w:val="00AE7676"/>
    <w:rsid w:val="00AF0A6B"/>
    <w:rsid w:val="00B05A69"/>
    <w:rsid w:val="00B6139C"/>
    <w:rsid w:val="00B836F9"/>
    <w:rsid w:val="00B9734B"/>
    <w:rsid w:val="00C11BFE"/>
    <w:rsid w:val="00C30885"/>
    <w:rsid w:val="00C431F0"/>
    <w:rsid w:val="00C46215"/>
    <w:rsid w:val="00C62612"/>
    <w:rsid w:val="00C82230"/>
    <w:rsid w:val="00C87866"/>
    <w:rsid w:val="00CB5FE7"/>
    <w:rsid w:val="00CC6A29"/>
    <w:rsid w:val="00D06347"/>
    <w:rsid w:val="00D07029"/>
    <w:rsid w:val="00D45221"/>
    <w:rsid w:val="00D45252"/>
    <w:rsid w:val="00D71B4D"/>
    <w:rsid w:val="00D93D55"/>
    <w:rsid w:val="00DD2CED"/>
    <w:rsid w:val="00DD68CE"/>
    <w:rsid w:val="00DE34CE"/>
    <w:rsid w:val="00E201E0"/>
    <w:rsid w:val="00E335FE"/>
    <w:rsid w:val="00E70323"/>
    <w:rsid w:val="00E7636F"/>
    <w:rsid w:val="00EC4E49"/>
    <w:rsid w:val="00ED77FB"/>
    <w:rsid w:val="00EE45FA"/>
    <w:rsid w:val="00F34C58"/>
    <w:rsid w:val="00F645F1"/>
    <w:rsid w:val="00F66152"/>
    <w:rsid w:val="00F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36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B0A8F"/>
    <w:pPr>
      <w:keepNext/>
      <w:spacing w:before="240" w:after="60"/>
      <w:ind w:left="567" w:hanging="567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1F550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0A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D06347"/>
    <w:pPr>
      <w:ind w:left="720"/>
      <w:contextualSpacing/>
    </w:pPr>
  </w:style>
  <w:style w:type="character" w:styleId="Hyperlink">
    <w:name w:val="Hyperlink"/>
    <w:basedOn w:val="DefaultParagraphFont"/>
    <w:rsid w:val="000429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366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B0A8F"/>
    <w:pPr>
      <w:keepNext/>
      <w:spacing w:before="240" w:after="60"/>
      <w:ind w:left="567" w:hanging="567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1F550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0A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D06347"/>
    <w:pPr>
      <w:ind w:left="720"/>
      <w:contextualSpacing/>
    </w:pPr>
  </w:style>
  <w:style w:type="character" w:styleId="Hyperlink">
    <w:name w:val="Hyperlink"/>
    <w:basedOn w:val="DefaultParagraphFont"/>
    <w:rsid w:val="00042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43D3-9E7F-4917-AF14-931B2FA7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5 (E)</Template>
  <TotalTime>8</TotalTime>
  <Pages>6</Pages>
  <Words>1685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</vt:lpstr>
    </vt:vector>
  </TitlesOfParts>
  <Company>WIPO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keywords>ST/sc</cp:keywords>
  <cp:lastModifiedBy>MAILLARD Amber</cp:lastModifiedBy>
  <cp:revision>7</cp:revision>
  <cp:lastPrinted>2016-05-04T13:13:00Z</cp:lastPrinted>
  <dcterms:created xsi:type="dcterms:W3CDTF">2016-04-28T14:15:00Z</dcterms:created>
  <dcterms:modified xsi:type="dcterms:W3CDTF">2016-05-04T13:13:00Z</dcterms:modified>
</cp:coreProperties>
</file>