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EF2BEE" w14:paraId="6B0CABD5" w14:textId="77777777" w:rsidTr="00D42C2A">
        <w:tc>
          <w:tcPr>
            <w:tcW w:w="4513" w:type="dxa"/>
            <w:tcBorders>
              <w:bottom w:val="single" w:sz="4" w:space="0" w:color="auto"/>
            </w:tcBorders>
            <w:tcMar>
              <w:bottom w:w="170" w:type="dxa"/>
            </w:tcMar>
          </w:tcPr>
          <w:p w14:paraId="0E3B8239" w14:textId="77777777" w:rsidR="009E0904" w:rsidRPr="00892ADF" w:rsidRDefault="009E0904" w:rsidP="00813F49">
            <w:pPr>
              <w:rPr>
                <w:rFonts w:eastAsiaTheme="minorEastAsia"/>
                <w:lang w:val="fr-FR" w:eastAsia="ja-JP"/>
              </w:rPr>
            </w:pPr>
            <w:bookmarkStart w:id="0" w:name="_GoBack"/>
            <w:bookmarkEnd w:id="0"/>
          </w:p>
        </w:tc>
        <w:tc>
          <w:tcPr>
            <w:tcW w:w="4337" w:type="dxa"/>
            <w:tcBorders>
              <w:bottom w:val="single" w:sz="4" w:space="0" w:color="auto"/>
            </w:tcBorders>
            <w:tcMar>
              <w:left w:w="0" w:type="dxa"/>
              <w:right w:w="0" w:type="dxa"/>
            </w:tcMar>
          </w:tcPr>
          <w:p w14:paraId="1BFF8D64" w14:textId="5A92738A" w:rsidR="009E0904" w:rsidRPr="00EF2BEE" w:rsidRDefault="00D42C2A" w:rsidP="00813F49">
            <w:pPr>
              <w:rPr>
                <w:lang w:val="fr-FR"/>
              </w:rPr>
            </w:pPr>
            <w:r w:rsidRPr="00EF2BEE">
              <w:rPr>
                <w:noProof/>
                <w:lang w:eastAsia="en-US"/>
              </w:rPr>
              <w:drawing>
                <wp:inline distT="0" distB="0" distL="0" distR="0" wp14:anchorId="3F675F15" wp14:editId="7BB77C52">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5DFF026" w14:textId="5136AA0F" w:rsidR="009E0904" w:rsidRPr="00EF2BEE" w:rsidRDefault="00D42C2A" w:rsidP="00813F49">
            <w:pPr>
              <w:jc w:val="right"/>
              <w:rPr>
                <w:lang w:val="fr-FR"/>
              </w:rPr>
            </w:pPr>
            <w:r w:rsidRPr="00EF2BEE">
              <w:rPr>
                <w:b/>
                <w:sz w:val="40"/>
                <w:szCs w:val="40"/>
                <w:lang w:val="fr-FR"/>
              </w:rPr>
              <w:t>F</w:t>
            </w:r>
          </w:p>
        </w:tc>
      </w:tr>
      <w:tr w:rsidR="009E0904" w:rsidRPr="00EF2BEE" w14:paraId="1E6E6B92" w14:textId="77777777" w:rsidTr="006D0173">
        <w:trPr>
          <w:trHeight w:hRule="exact" w:val="369"/>
        </w:trPr>
        <w:tc>
          <w:tcPr>
            <w:tcW w:w="9356" w:type="dxa"/>
            <w:gridSpan w:val="3"/>
            <w:tcBorders>
              <w:top w:val="single" w:sz="4" w:space="0" w:color="auto"/>
            </w:tcBorders>
            <w:tcMar>
              <w:top w:w="170" w:type="dxa"/>
              <w:left w:w="0" w:type="dxa"/>
              <w:right w:w="0" w:type="dxa"/>
            </w:tcMar>
            <w:vAlign w:val="bottom"/>
          </w:tcPr>
          <w:p w14:paraId="6028F5E6" w14:textId="700CE31B" w:rsidR="009E0904" w:rsidRPr="00EF2BEE" w:rsidRDefault="00820D5E" w:rsidP="00AF12DD">
            <w:pPr>
              <w:jc w:val="right"/>
              <w:rPr>
                <w:rFonts w:ascii="Arial Black" w:hAnsi="Arial Black"/>
                <w:caps/>
                <w:sz w:val="15"/>
                <w:lang w:val="fr-FR"/>
              </w:rPr>
            </w:pPr>
            <w:bookmarkStart w:id="1" w:name="Code"/>
            <w:bookmarkEnd w:id="1"/>
            <w:r w:rsidRPr="00EF2BEE">
              <w:rPr>
                <w:rFonts w:ascii="Arial Black" w:hAnsi="Arial Black"/>
                <w:caps/>
                <w:sz w:val="15"/>
                <w:lang w:val="fr-FR"/>
              </w:rPr>
              <w:t>H</w:t>
            </w:r>
            <w:r w:rsidR="009E0904" w:rsidRPr="00EF2BEE">
              <w:rPr>
                <w:rFonts w:ascii="Arial Black" w:hAnsi="Arial Black"/>
                <w:caps/>
                <w:sz w:val="15"/>
                <w:lang w:val="fr-FR"/>
              </w:rPr>
              <w:t>/LD/WG/</w:t>
            </w:r>
            <w:r w:rsidR="00C70F7C" w:rsidRPr="00EF2BEE">
              <w:rPr>
                <w:rFonts w:ascii="Arial Black" w:hAnsi="Arial Black"/>
                <w:caps/>
                <w:sz w:val="15"/>
                <w:lang w:val="fr-FR"/>
              </w:rPr>
              <w:t>9</w:t>
            </w:r>
            <w:r w:rsidR="009E0904" w:rsidRPr="00EF2BEE">
              <w:rPr>
                <w:rFonts w:ascii="Arial Black" w:hAnsi="Arial Black"/>
                <w:caps/>
                <w:sz w:val="15"/>
                <w:lang w:val="fr-FR"/>
              </w:rPr>
              <w:t>/</w:t>
            </w:r>
            <w:r w:rsidR="00F33BB0" w:rsidRPr="00EF2BEE">
              <w:rPr>
                <w:rFonts w:ascii="Arial Black" w:hAnsi="Arial Black"/>
                <w:caps/>
                <w:sz w:val="15"/>
                <w:lang w:val="fr-FR"/>
              </w:rPr>
              <w:t>INF/</w:t>
            </w:r>
            <w:r w:rsidR="00AF12DD" w:rsidRPr="00EF2BEE">
              <w:rPr>
                <w:rFonts w:ascii="Arial Black" w:hAnsi="Arial Black"/>
                <w:caps/>
                <w:sz w:val="15"/>
                <w:lang w:val="fr-FR"/>
              </w:rPr>
              <w:t>1</w:t>
            </w:r>
            <w:r w:rsidR="009E0904" w:rsidRPr="00EF2BEE">
              <w:rPr>
                <w:rFonts w:ascii="Arial Black" w:hAnsi="Arial Black"/>
                <w:caps/>
                <w:sz w:val="15"/>
                <w:lang w:val="fr-FR"/>
              </w:rPr>
              <w:t xml:space="preserve"> </w:t>
            </w:r>
          </w:p>
        </w:tc>
      </w:tr>
      <w:tr w:rsidR="009E0904" w:rsidRPr="00EF2BEE" w14:paraId="5C0DCA70" w14:textId="77777777" w:rsidTr="00813F49">
        <w:trPr>
          <w:trHeight w:hRule="exact" w:val="170"/>
        </w:trPr>
        <w:tc>
          <w:tcPr>
            <w:tcW w:w="9356" w:type="dxa"/>
            <w:gridSpan w:val="3"/>
            <w:noWrap/>
            <w:tcMar>
              <w:left w:w="0" w:type="dxa"/>
              <w:right w:w="0" w:type="dxa"/>
            </w:tcMar>
            <w:vAlign w:val="bottom"/>
          </w:tcPr>
          <w:p w14:paraId="0D2192EA" w14:textId="06144FF4" w:rsidR="009E0904" w:rsidRPr="00EF2BEE" w:rsidRDefault="009E0904" w:rsidP="00D42C2A">
            <w:pPr>
              <w:jc w:val="right"/>
              <w:rPr>
                <w:rFonts w:ascii="Arial Black" w:hAnsi="Arial Black"/>
                <w:caps/>
                <w:sz w:val="15"/>
                <w:lang w:val="fr-FR"/>
              </w:rPr>
            </w:pPr>
            <w:r w:rsidRPr="00EF2BEE">
              <w:rPr>
                <w:rFonts w:ascii="Arial Black" w:hAnsi="Arial Black"/>
                <w:caps/>
                <w:sz w:val="15"/>
                <w:lang w:val="fr-FR"/>
              </w:rPr>
              <w:t>ORIGINAL</w:t>
            </w:r>
            <w:r w:rsidR="00507887" w:rsidRPr="00EF2BEE">
              <w:rPr>
                <w:rFonts w:ascii="Arial Black" w:hAnsi="Arial Black"/>
                <w:caps/>
                <w:sz w:val="15"/>
                <w:lang w:val="fr-FR"/>
              </w:rPr>
              <w:t> :</w:t>
            </w:r>
            <w:r w:rsidRPr="00EF2BEE">
              <w:rPr>
                <w:rFonts w:ascii="Arial Black" w:hAnsi="Arial Black"/>
                <w:caps/>
                <w:sz w:val="15"/>
                <w:lang w:val="fr-FR"/>
              </w:rPr>
              <w:t xml:space="preserve"> </w:t>
            </w:r>
            <w:bookmarkStart w:id="2" w:name="Original"/>
            <w:bookmarkEnd w:id="2"/>
            <w:r w:rsidR="00D42C2A" w:rsidRPr="00EF2BEE">
              <w:rPr>
                <w:rFonts w:ascii="Arial Black" w:hAnsi="Arial Black"/>
                <w:caps/>
                <w:sz w:val="15"/>
                <w:lang w:val="fr-FR"/>
              </w:rPr>
              <w:t>anglais</w:t>
            </w:r>
          </w:p>
        </w:tc>
      </w:tr>
      <w:tr w:rsidR="009E0904" w:rsidRPr="00EF2BEE" w14:paraId="05C6E224" w14:textId="77777777" w:rsidTr="00813F49">
        <w:trPr>
          <w:trHeight w:hRule="exact" w:val="198"/>
        </w:trPr>
        <w:tc>
          <w:tcPr>
            <w:tcW w:w="9356" w:type="dxa"/>
            <w:gridSpan w:val="3"/>
            <w:tcMar>
              <w:left w:w="0" w:type="dxa"/>
              <w:right w:w="0" w:type="dxa"/>
            </w:tcMar>
            <w:vAlign w:val="bottom"/>
          </w:tcPr>
          <w:p w14:paraId="181C03B4" w14:textId="0BB4DBE1" w:rsidR="009E0904" w:rsidRPr="00EF2BEE" w:rsidRDefault="009E0904" w:rsidP="00D42C2A">
            <w:pPr>
              <w:jc w:val="right"/>
              <w:rPr>
                <w:rFonts w:ascii="Arial Black" w:hAnsi="Arial Black"/>
                <w:caps/>
                <w:sz w:val="15"/>
                <w:lang w:val="fr-FR"/>
              </w:rPr>
            </w:pPr>
            <w:r w:rsidRPr="00EF2BEE">
              <w:rPr>
                <w:rFonts w:ascii="Arial Black" w:hAnsi="Arial Black"/>
                <w:caps/>
                <w:sz w:val="15"/>
                <w:lang w:val="fr-FR"/>
              </w:rPr>
              <w:t>DATE</w:t>
            </w:r>
            <w:r w:rsidR="00507887" w:rsidRPr="00EF2BEE">
              <w:rPr>
                <w:rFonts w:ascii="Arial Black" w:hAnsi="Arial Black"/>
                <w:caps/>
                <w:sz w:val="15"/>
                <w:lang w:val="fr-FR"/>
              </w:rPr>
              <w:t> :</w:t>
            </w:r>
            <w:r w:rsidR="00036D8F" w:rsidRPr="00EF2BEE">
              <w:rPr>
                <w:rFonts w:ascii="Arial Black" w:hAnsi="Arial Black"/>
                <w:caps/>
                <w:sz w:val="15"/>
                <w:lang w:val="fr-FR"/>
              </w:rPr>
              <w:t xml:space="preserve"> </w:t>
            </w:r>
            <w:r w:rsidR="00EF2BEE" w:rsidRPr="00EF2BEE">
              <w:rPr>
                <w:rFonts w:ascii="Arial Black" w:hAnsi="Arial Black"/>
                <w:caps/>
                <w:sz w:val="15"/>
                <w:lang w:val="fr-FR"/>
              </w:rPr>
              <w:t>14</w:t>
            </w:r>
            <w:r w:rsidR="00D42C2A" w:rsidRPr="00EF2BEE">
              <w:rPr>
                <w:rFonts w:ascii="Arial Black" w:hAnsi="Arial Black"/>
                <w:caps/>
                <w:sz w:val="15"/>
                <w:lang w:val="fr-FR"/>
              </w:rPr>
              <w:t> octobre </w:t>
            </w:r>
            <w:r w:rsidR="00C834A3" w:rsidRPr="00EF2BEE">
              <w:rPr>
                <w:rFonts w:ascii="Arial Black" w:hAnsi="Arial Black"/>
                <w:caps/>
                <w:sz w:val="15"/>
                <w:lang w:val="fr-FR"/>
              </w:rPr>
              <w:t>2020</w:t>
            </w:r>
            <w:r w:rsidRPr="00EF2BEE">
              <w:rPr>
                <w:rFonts w:ascii="Arial Black" w:hAnsi="Arial Black"/>
                <w:caps/>
                <w:sz w:val="15"/>
                <w:lang w:val="fr-FR"/>
              </w:rPr>
              <w:t xml:space="preserve"> </w:t>
            </w:r>
            <w:bookmarkStart w:id="3" w:name="Date"/>
            <w:bookmarkEnd w:id="3"/>
          </w:p>
        </w:tc>
      </w:tr>
    </w:tbl>
    <w:p w14:paraId="2275C754" w14:textId="04412C2A" w:rsidR="009E0904" w:rsidRPr="00EF2BEE" w:rsidRDefault="00D42C2A" w:rsidP="006D0173">
      <w:pPr>
        <w:spacing w:before="1200"/>
        <w:rPr>
          <w:b/>
          <w:sz w:val="28"/>
          <w:szCs w:val="28"/>
          <w:lang w:val="fr-FR"/>
        </w:rPr>
      </w:pPr>
      <w:r w:rsidRPr="00EF2BEE">
        <w:rPr>
          <w:b/>
          <w:sz w:val="28"/>
          <w:szCs w:val="28"/>
          <w:lang w:val="fr-FR"/>
        </w:rPr>
        <w:t xml:space="preserve">Groupe de travail sur le développement juridique du système de </w:t>
      </w:r>
      <w:r w:rsidR="00507887" w:rsidRPr="00EF2BEE">
        <w:rPr>
          <w:b/>
          <w:sz w:val="28"/>
          <w:szCs w:val="28"/>
          <w:lang w:val="fr-FR"/>
        </w:rPr>
        <w:t>La Haye</w:t>
      </w:r>
      <w:r w:rsidRPr="00EF2BEE">
        <w:rPr>
          <w:b/>
          <w:sz w:val="28"/>
          <w:szCs w:val="28"/>
          <w:lang w:val="fr-FR"/>
        </w:rPr>
        <w:t xml:space="preserve"> concernant l</w:t>
      </w:r>
      <w:r w:rsidR="00507887" w:rsidRPr="00EF2BEE">
        <w:rPr>
          <w:b/>
          <w:sz w:val="28"/>
          <w:szCs w:val="28"/>
          <w:lang w:val="fr-FR"/>
        </w:rPr>
        <w:t>’</w:t>
      </w:r>
      <w:r w:rsidRPr="00EF2BEE">
        <w:rPr>
          <w:b/>
          <w:sz w:val="28"/>
          <w:szCs w:val="28"/>
          <w:lang w:val="fr-FR"/>
        </w:rPr>
        <w:t>enregistrement international des dessins et modèles industriels</w:t>
      </w:r>
    </w:p>
    <w:p w14:paraId="1F029532" w14:textId="56EB3BBD" w:rsidR="009E0904" w:rsidRPr="00EF2BEE" w:rsidRDefault="00C86702" w:rsidP="006D0173">
      <w:pPr>
        <w:spacing w:before="480"/>
        <w:rPr>
          <w:b/>
          <w:sz w:val="24"/>
          <w:szCs w:val="24"/>
          <w:lang w:val="fr-FR"/>
        </w:rPr>
      </w:pPr>
      <w:r w:rsidRPr="00EF2BEE">
        <w:rPr>
          <w:b/>
          <w:sz w:val="24"/>
          <w:szCs w:val="24"/>
          <w:lang w:val="fr-FR"/>
        </w:rPr>
        <w:t>N</w:t>
      </w:r>
      <w:r w:rsidR="00D42C2A" w:rsidRPr="00EF2BEE">
        <w:rPr>
          <w:b/>
          <w:sz w:val="24"/>
          <w:szCs w:val="24"/>
          <w:lang w:val="fr-FR"/>
        </w:rPr>
        <w:t>euv</w:t>
      </w:r>
      <w:r w:rsidR="00507887" w:rsidRPr="00EF2BEE">
        <w:rPr>
          <w:b/>
          <w:sz w:val="24"/>
          <w:szCs w:val="24"/>
          <w:lang w:val="fr-FR"/>
        </w:rPr>
        <w:t>ième session</w:t>
      </w:r>
    </w:p>
    <w:p w14:paraId="412260CD" w14:textId="16F7EB3B" w:rsidR="009E0904" w:rsidRPr="00EF2BEE" w:rsidRDefault="009E0904" w:rsidP="009E0904">
      <w:pPr>
        <w:rPr>
          <w:b/>
          <w:sz w:val="24"/>
          <w:szCs w:val="24"/>
          <w:lang w:val="fr-FR"/>
        </w:rPr>
      </w:pPr>
      <w:r w:rsidRPr="00EF2BEE">
        <w:rPr>
          <w:b/>
          <w:sz w:val="24"/>
          <w:szCs w:val="24"/>
          <w:lang w:val="fr-FR"/>
        </w:rPr>
        <w:t>Gen</w:t>
      </w:r>
      <w:r w:rsidR="00D42C2A" w:rsidRPr="00EF2BEE">
        <w:rPr>
          <w:b/>
          <w:sz w:val="24"/>
          <w:szCs w:val="24"/>
          <w:lang w:val="fr-FR"/>
        </w:rPr>
        <w:t>ève, 14 – 16 décembre </w:t>
      </w:r>
      <w:r w:rsidR="00DC046F" w:rsidRPr="00EF2BEE">
        <w:rPr>
          <w:b/>
          <w:sz w:val="24"/>
          <w:szCs w:val="24"/>
          <w:lang w:val="fr-FR"/>
        </w:rPr>
        <w:t>2020</w:t>
      </w:r>
    </w:p>
    <w:p w14:paraId="07D8C355" w14:textId="432218CF" w:rsidR="009E0904" w:rsidRPr="00EF2BEE" w:rsidRDefault="00491F61" w:rsidP="006D0173">
      <w:pPr>
        <w:spacing w:before="720"/>
        <w:rPr>
          <w:caps/>
          <w:sz w:val="24"/>
          <w:lang w:val="fr-FR"/>
        </w:rPr>
      </w:pPr>
      <w:bookmarkStart w:id="4" w:name="TitleOfDoc"/>
      <w:bookmarkEnd w:id="4"/>
      <w:r w:rsidRPr="00EF2BEE">
        <w:rPr>
          <w:caps/>
          <w:sz w:val="24"/>
          <w:lang w:val="fr-FR"/>
        </w:rPr>
        <w:t>Étude des taxes de renouvellement et des montants applicables dans les systèmes nationaux ou régionaux permettant le dépôt de plusieurs dessins ou modèles par demande</w:t>
      </w:r>
    </w:p>
    <w:p w14:paraId="635187FD" w14:textId="13D1CE2E" w:rsidR="00A53CA0" w:rsidRPr="00EF2BEE" w:rsidRDefault="00491F61" w:rsidP="005D6720">
      <w:pPr>
        <w:spacing w:before="240" w:after="960"/>
        <w:rPr>
          <w:i/>
          <w:lang w:val="fr-FR"/>
        </w:rPr>
      </w:pPr>
      <w:bookmarkStart w:id="5" w:name="Prepared"/>
      <w:bookmarkEnd w:id="5"/>
      <w:proofErr w:type="gramStart"/>
      <w:r w:rsidRPr="00EF2BEE">
        <w:rPr>
          <w:i/>
          <w:lang w:val="fr-FR"/>
        </w:rPr>
        <w:t>établi</w:t>
      </w:r>
      <w:proofErr w:type="gramEnd"/>
      <w:r w:rsidRPr="00EF2BEE">
        <w:rPr>
          <w:i/>
          <w:lang w:val="fr-FR"/>
        </w:rPr>
        <w:t xml:space="preserve"> par le Bureau i</w:t>
      </w:r>
      <w:r w:rsidR="009E0904" w:rsidRPr="00EF2BEE">
        <w:rPr>
          <w:i/>
          <w:lang w:val="fr-FR"/>
        </w:rPr>
        <w:t>nternational</w:t>
      </w:r>
    </w:p>
    <w:p w14:paraId="5A711E54" w14:textId="4E122FE5" w:rsidR="00306FC3" w:rsidRPr="00EF2BEE" w:rsidRDefault="006A688F" w:rsidP="00531EE8">
      <w:pPr>
        <w:pStyle w:val="Heading1"/>
      </w:pPr>
      <w:r w:rsidRPr="00EF2BEE">
        <w:t>I.</w:t>
      </w:r>
      <w:r w:rsidRPr="00EF2BEE">
        <w:tab/>
        <w:t>I</w:t>
      </w:r>
      <w:r w:rsidR="00306FC3" w:rsidRPr="00EF2BEE">
        <w:t>ntroduction</w:t>
      </w:r>
    </w:p>
    <w:p w14:paraId="252EB008" w14:textId="05435995" w:rsidR="000D57B7" w:rsidRPr="00EF2BEE" w:rsidRDefault="00491F61" w:rsidP="006A688F">
      <w:pPr>
        <w:pStyle w:val="ONUMFS"/>
        <w:rPr>
          <w:lang w:val="fr-FR" w:eastAsia="en-US"/>
        </w:rPr>
      </w:pPr>
      <w:r w:rsidRPr="00EF2BEE">
        <w:rPr>
          <w:lang w:val="fr-FR"/>
        </w:rPr>
        <w:t>À sa huit</w:t>
      </w:r>
      <w:r w:rsidR="00507887" w:rsidRPr="00EF2BEE">
        <w:rPr>
          <w:lang w:val="fr-FR"/>
        </w:rPr>
        <w:t>ième session</w:t>
      </w:r>
      <w:r w:rsidRPr="00EF2BEE">
        <w:rPr>
          <w:lang w:val="fr-FR"/>
        </w:rPr>
        <w:t xml:space="preserve"> tenue du 30 octobre au</w:t>
      </w:r>
      <w:r w:rsidR="00507887" w:rsidRPr="00EF2BEE">
        <w:rPr>
          <w:lang w:val="fr-FR"/>
        </w:rPr>
        <w:t xml:space="preserve"> 1</w:t>
      </w:r>
      <w:r w:rsidR="00507887" w:rsidRPr="00EF2BEE">
        <w:rPr>
          <w:vertAlign w:val="superscript"/>
          <w:lang w:val="fr-FR"/>
        </w:rPr>
        <w:t>er</w:t>
      </w:r>
      <w:r w:rsidR="00507887" w:rsidRPr="00EF2BEE">
        <w:rPr>
          <w:lang w:val="fr-FR"/>
        </w:rPr>
        <w:t> </w:t>
      </w:r>
      <w:r w:rsidRPr="00EF2BEE">
        <w:rPr>
          <w:lang w:val="fr-FR"/>
        </w:rPr>
        <w:t>novembre </w:t>
      </w:r>
      <w:r w:rsidR="000D57B7" w:rsidRPr="00EF2BEE">
        <w:rPr>
          <w:lang w:val="fr-FR"/>
        </w:rPr>
        <w:t xml:space="preserve">2019, </w:t>
      </w:r>
      <w:r w:rsidRPr="00EF2BEE">
        <w:rPr>
          <w:lang w:val="fr-FR"/>
        </w:rPr>
        <w:t xml:space="preserve">le Groupe de travail sur le développement </w:t>
      </w:r>
      <w:r w:rsidR="005166F8" w:rsidRPr="00EF2BEE">
        <w:rPr>
          <w:lang w:val="fr-FR"/>
        </w:rPr>
        <w:t xml:space="preserve">juridique du système de </w:t>
      </w:r>
      <w:r w:rsidR="00507887" w:rsidRPr="00EF2BEE">
        <w:rPr>
          <w:lang w:val="fr-FR"/>
        </w:rPr>
        <w:t>La Haye</w:t>
      </w:r>
      <w:r w:rsidR="005166F8" w:rsidRPr="00EF2BEE">
        <w:rPr>
          <w:lang w:val="fr-FR"/>
        </w:rPr>
        <w:t xml:space="preserve"> concernant l</w:t>
      </w:r>
      <w:r w:rsidR="00507887" w:rsidRPr="00EF2BEE">
        <w:rPr>
          <w:lang w:val="fr-FR"/>
        </w:rPr>
        <w:t>’</w:t>
      </w:r>
      <w:r w:rsidR="005166F8" w:rsidRPr="00EF2BEE">
        <w:rPr>
          <w:lang w:val="fr-FR"/>
        </w:rPr>
        <w:t>enregistrement international des dessins et modèles industriels (ci</w:t>
      </w:r>
      <w:r w:rsidR="00466F96" w:rsidRPr="00EF2BEE">
        <w:rPr>
          <w:lang w:val="fr-FR"/>
        </w:rPr>
        <w:noBreakHyphen/>
      </w:r>
      <w:r w:rsidR="005166F8" w:rsidRPr="00EF2BEE">
        <w:rPr>
          <w:lang w:val="fr-FR"/>
        </w:rPr>
        <w:t xml:space="preserve">après dénommés </w:t>
      </w:r>
      <w:r w:rsidR="000D57B7" w:rsidRPr="00EF2BEE">
        <w:rPr>
          <w:lang w:val="fr-FR"/>
        </w:rPr>
        <w:t>“</w:t>
      </w:r>
      <w:r w:rsidR="005166F8" w:rsidRPr="00EF2BEE">
        <w:rPr>
          <w:lang w:val="fr-FR"/>
        </w:rPr>
        <w:t>groupe de travail</w:t>
      </w:r>
      <w:r w:rsidR="000D57B7" w:rsidRPr="00EF2BEE">
        <w:rPr>
          <w:lang w:val="fr-FR"/>
        </w:rPr>
        <w:t xml:space="preserve">” </w:t>
      </w:r>
      <w:r w:rsidR="005166F8" w:rsidRPr="00EF2BEE">
        <w:rPr>
          <w:lang w:val="fr-FR"/>
        </w:rPr>
        <w:t xml:space="preserve">et </w:t>
      </w:r>
      <w:r w:rsidR="000D57B7" w:rsidRPr="00EF2BEE">
        <w:rPr>
          <w:lang w:val="fr-FR"/>
        </w:rPr>
        <w:t>“</w:t>
      </w:r>
      <w:r w:rsidR="005166F8" w:rsidRPr="00EF2BEE">
        <w:rPr>
          <w:lang w:val="fr-FR"/>
        </w:rPr>
        <w:t xml:space="preserve">système de </w:t>
      </w:r>
      <w:r w:rsidR="00507887" w:rsidRPr="00EF2BEE">
        <w:rPr>
          <w:lang w:val="fr-FR"/>
        </w:rPr>
        <w:t>La Haye</w:t>
      </w:r>
      <w:r w:rsidR="000D57B7" w:rsidRPr="00EF2BEE">
        <w:rPr>
          <w:lang w:val="fr-FR"/>
        </w:rPr>
        <w:t xml:space="preserve">”) </w:t>
      </w:r>
      <w:r w:rsidR="005166F8" w:rsidRPr="00EF2BEE">
        <w:rPr>
          <w:lang w:val="fr-FR"/>
        </w:rPr>
        <w:t>a examiné le</w:t>
      </w:r>
      <w:r w:rsidR="000D57B7" w:rsidRPr="00EF2BEE">
        <w:rPr>
          <w:lang w:val="fr-FR"/>
        </w:rPr>
        <w:t xml:space="preserve"> document H/LD/WG/8/4</w:t>
      </w:r>
      <w:r w:rsidR="005166F8" w:rsidRPr="00EF2BEE">
        <w:rPr>
          <w:lang w:val="fr-FR"/>
        </w:rPr>
        <w:t xml:space="preserve"> intitulé </w:t>
      </w:r>
      <w:r w:rsidR="00016F4F" w:rsidRPr="00EF2BEE">
        <w:rPr>
          <w:lang w:val="fr-FR"/>
        </w:rPr>
        <w:t>“</w:t>
      </w:r>
      <w:r w:rsidR="005166F8" w:rsidRPr="00EF2BEE">
        <w:rPr>
          <w:lang w:val="fr-FR"/>
        </w:rPr>
        <w:t xml:space="preserve">Viabilité financière du système de </w:t>
      </w:r>
      <w:r w:rsidR="00507887" w:rsidRPr="00EF2BEE">
        <w:rPr>
          <w:lang w:val="fr-FR"/>
        </w:rPr>
        <w:t>La Haye</w:t>
      </w:r>
      <w:r w:rsidR="000D57B7" w:rsidRPr="00EF2BEE">
        <w:rPr>
          <w:lang w:val="fr-FR"/>
        </w:rPr>
        <w:t xml:space="preserve"> </w:t>
      </w:r>
      <w:r w:rsidR="005166F8" w:rsidRPr="00EF2BEE">
        <w:rPr>
          <w:lang w:val="fr-FR"/>
        </w:rPr>
        <w:t>– Éventuelle révision du barème des taxes</w:t>
      </w:r>
      <w:r w:rsidR="00016F4F" w:rsidRPr="00EF2BEE">
        <w:rPr>
          <w:lang w:val="fr-FR"/>
        </w:rPr>
        <w:t>”</w:t>
      </w:r>
      <w:r w:rsidR="000D57B7" w:rsidRPr="00EF2BEE">
        <w:rPr>
          <w:lang w:val="fr-FR"/>
        </w:rPr>
        <w:t>.</w:t>
      </w:r>
    </w:p>
    <w:p w14:paraId="1BAE8E1D" w14:textId="64886E1A" w:rsidR="00910B78" w:rsidRPr="00EF2BEE" w:rsidRDefault="005F5694" w:rsidP="006A688F">
      <w:pPr>
        <w:pStyle w:val="ONUMFS"/>
        <w:rPr>
          <w:lang w:val="fr-FR" w:eastAsia="en-US"/>
        </w:rPr>
      </w:pPr>
      <w:r w:rsidRPr="00EF2BEE">
        <w:rPr>
          <w:lang w:val="fr-FR"/>
        </w:rPr>
        <w:t>Le groupe de travail s</w:t>
      </w:r>
      <w:r w:rsidR="00507887" w:rsidRPr="00EF2BEE">
        <w:rPr>
          <w:lang w:val="fr-FR"/>
        </w:rPr>
        <w:t>’</w:t>
      </w:r>
      <w:r w:rsidRPr="00EF2BEE">
        <w:rPr>
          <w:lang w:val="fr-FR"/>
        </w:rPr>
        <w:t>est déclaré favorable à la présentation d</w:t>
      </w:r>
      <w:r w:rsidR="00507887" w:rsidRPr="00EF2BEE">
        <w:rPr>
          <w:lang w:val="fr-FR"/>
        </w:rPr>
        <w:t>’</w:t>
      </w:r>
      <w:r w:rsidRPr="00EF2BEE">
        <w:rPr>
          <w:lang w:val="fr-FR"/>
        </w:rPr>
        <w:t xml:space="preserve">une proposition visant à modifier le montant de la taxe de base pour chaque dessin ou modèle supplémentaire </w:t>
      </w:r>
      <w:r w:rsidR="00416498" w:rsidRPr="00EF2BEE">
        <w:rPr>
          <w:lang w:val="fr-FR"/>
        </w:rPr>
        <w:t>compris</w:t>
      </w:r>
      <w:r w:rsidRPr="00EF2BEE">
        <w:rPr>
          <w:lang w:val="fr-FR"/>
        </w:rPr>
        <w:t xml:space="preserve"> dans la même demande internationale, telle qu</w:t>
      </w:r>
      <w:r w:rsidR="00507887" w:rsidRPr="00EF2BEE">
        <w:rPr>
          <w:lang w:val="fr-FR"/>
        </w:rPr>
        <w:t>’</w:t>
      </w:r>
      <w:r w:rsidRPr="00EF2BEE">
        <w:rPr>
          <w:lang w:val="fr-FR"/>
        </w:rPr>
        <w:t>elle figure dans le document susmention</w:t>
      </w:r>
      <w:r w:rsidR="00466F96" w:rsidRPr="00EF2BEE">
        <w:rPr>
          <w:lang w:val="fr-FR"/>
        </w:rPr>
        <w:t>né.  En</w:t>
      </w:r>
      <w:r w:rsidRPr="00EF2BEE">
        <w:rPr>
          <w:lang w:val="fr-FR"/>
        </w:rPr>
        <w:t xml:space="preserve"> outre, constatant une différence significative entre le montant de la taxe de renouvellement pour le premier dessin ou modèle et celui pour chaque dessin ou modèle supplémentaire, le groupe de travail a demandé au Bureau international d</w:t>
      </w:r>
      <w:r w:rsidR="00507887" w:rsidRPr="00EF2BEE">
        <w:rPr>
          <w:lang w:val="fr-FR"/>
        </w:rPr>
        <w:t>’</w:t>
      </w:r>
      <w:r w:rsidRPr="00EF2BEE">
        <w:rPr>
          <w:lang w:val="fr-FR"/>
        </w:rPr>
        <w:t>élaborer, pour examen à sa prochaine session, une étude sur l</w:t>
      </w:r>
      <w:r w:rsidR="00507887" w:rsidRPr="00EF2BEE">
        <w:rPr>
          <w:lang w:val="fr-FR"/>
        </w:rPr>
        <w:t>’</w:t>
      </w:r>
      <w:r w:rsidRPr="00EF2BEE">
        <w:rPr>
          <w:lang w:val="fr-FR"/>
        </w:rPr>
        <w:t>éventuelle augmentation du montant de la taxe de base pour chaque dessin ou modèle supplémentaire aux fins du renouvellement d</w:t>
      </w:r>
      <w:r w:rsidR="00507887" w:rsidRPr="00EF2BEE">
        <w:rPr>
          <w:lang w:val="fr-FR"/>
        </w:rPr>
        <w:t>’</w:t>
      </w:r>
      <w:r w:rsidRPr="00EF2BEE">
        <w:rPr>
          <w:lang w:val="fr-FR"/>
        </w:rPr>
        <w:t>un enregistrement international</w:t>
      </w:r>
      <w:r w:rsidR="0089020D" w:rsidRPr="00EF2BEE">
        <w:rPr>
          <w:rStyle w:val="FootnoteReference"/>
          <w:lang w:val="fr-FR" w:eastAsia="en-US"/>
        </w:rPr>
        <w:footnoteReference w:id="2"/>
      </w:r>
      <w:r w:rsidR="00C25398" w:rsidRPr="00EF2BEE">
        <w:rPr>
          <w:lang w:val="fr-FR" w:eastAsia="en-US"/>
        </w:rPr>
        <w:t>.</w:t>
      </w:r>
    </w:p>
    <w:p w14:paraId="72EB524C" w14:textId="4004A569" w:rsidR="00A32C2A" w:rsidRPr="00EF2BEE" w:rsidRDefault="00301BE5" w:rsidP="006A688F">
      <w:pPr>
        <w:pStyle w:val="ONUMFS"/>
        <w:rPr>
          <w:lang w:val="fr-FR" w:eastAsia="en-US"/>
        </w:rPr>
      </w:pPr>
      <w:r w:rsidRPr="00EF2BEE">
        <w:rPr>
          <w:lang w:val="fr-FR" w:eastAsia="en-US"/>
        </w:rPr>
        <w:t>Co</w:t>
      </w:r>
      <w:r w:rsidR="00696049" w:rsidRPr="00EF2BEE">
        <w:rPr>
          <w:lang w:val="fr-FR" w:eastAsia="en-US"/>
        </w:rPr>
        <w:t xml:space="preserve">mme suite </w:t>
      </w:r>
      <w:r w:rsidRPr="00EF2BEE">
        <w:rPr>
          <w:lang w:val="fr-FR" w:eastAsia="en-US"/>
        </w:rPr>
        <w:t xml:space="preserve">à la demande du groupe de travail, </w:t>
      </w:r>
      <w:r w:rsidR="00813E4F" w:rsidRPr="00EF2BEE">
        <w:rPr>
          <w:lang w:val="fr-FR" w:eastAsia="en-US"/>
        </w:rPr>
        <w:t xml:space="preserve">il est procédé dans </w:t>
      </w:r>
      <w:r w:rsidRPr="00EF2BEE">
        <w:rPr>
          <w:lang w:val="fr-FR" w:eastAsia="en-US"/>
        </w:rPr>
        <w:t xml:space="preserve">le présent document </w:t>
      </w:r>
      <w:r w:rsidR="00813E4F" w:rsidRPr="00EF2BEE">
        <w:rPr>
          <w:lang w:val="fr-FR" w:eastAsia="en-US"/>
        </w:rPr>
        <w:t>à</w:t>
      </w:r>
      <w:r w:rsidRPr="00EF2BEE">
        <w:rPr>
          <w:lang w:val="fr-FR" w:eastAsia="en-US"/>
        </w:rPr>
        <w:t xml:space="preserve"> une analyse comparative des structures et des montants des taxes de renouvellement dans les systèmes nationaux ou régionaux permettant le dépôt de plusieurs dessins ou modèles </w:t>
      </w:r>
      <w:r w:rsidR="00813E4F" w:rsidRPr="00EF2BEE">
        <w:rPr>
          <w:lang w:val="fr-FR" w:eastAsia="en-US"/>
        </w:rPr>
        <w:lastRenderedPageBreak/>
        <w:t xml:space="preserve">dans la même demande </w:t>
      </w:r>
      <w:r w:rsidRPr="00EF2BEE">
        <w:rPr>
          <w:lang w:val="fr-FR" w:eastAsia="en-US"/>
        </w:rPr>
        <w:t xml:space="preserve">tels que le système de </w:t>
      </w:r>
      <w:r w:rsidR="00507887" w:rsidRPr="00EF2BEE">
        <w:rPr>
          <w:lang w:val="fr-FR" w:eastAsia="en-US"/>
        </w:rPr>
        <w:t>La Ha</w:t>
      </w:r>
      <w:r w:rsidR="00466F96" w:rsidRPr="00EF2BEE">
        <w:rPr>
          <w:lang w:val="fr-FR" w:eastAsia="en-US"/>
        </w:rPr>
        <w:t>ye.  Il</w:t>
      </w:r>
      <w:r w:rsidRPr="00EF2BEE">
        <w:rPr>
          <w:lang w:val="fr-FR" w:eastAsia="en-US"/>
        </w:rPr>
        <w:t xml:space="preserve"> n</w:t>
      </w:r>
      <w:r w:rsidR="00507887" w:rsidRPr="00EF2BEE">
        <w:rPr>
          <w:lang w:val="fr-FR" w:eastAsia="en-US"/>
        </w:rPr>
        <w:t>’</w:t>
      </w:r>
      <w:r w:rsidRPr="00EF2BEE">
        <w:rPr>
          <w:lang w:val="fr-FR" w:eastAsia="en-US"/>
        </w:rPr>
        <w:t xml:space="preserve">est toutefois pas proposé, à ce stade, </w:t>
      </w:r>
      <w:r w:rsidR="00416498" w:rsidRPr="00EF2BEE">
        <w:rPr>
          <w:lang w:val="fr-FR" w:eastAsia="en-US"/>
        </w:rPr>
        <w:t>de modifier le</w:t>
      </w:r>
      <w:r w:rsidRPr="00EF2BEE">
        <w:rPr>
          <w:lang w:val="fr-FR" w:eastAsia="en-US"/>
        </w:rPr>
        <w:t xml:space="preserve"> barème des taxes</w:t>
      </w:r>
      <w:r w:rsidR="00110E25" w:rsidRPr="00EF2BEE">
        <w:rPr>
          <w:lang w:val="fr-FR" w:eastAsia="en-US"/>
        </w:rPr>
        <w:t>.</w:t>
      </w:r>
    </w:p>
    <w:p w14:paraId="79867CA7" w14:textId="3919D0E3" w:rsidR="001A4488" w:rsidRPr="00EF2BEE" w:rsidRDefault="004A4F56" w:rsidP="00531EE8">
      <w:pPr>
        <w:pStyle w:val="Heading1"/>
      </w:pPr>
      <w:r w:rsidRPr="00EF2BEE">
        <w:t>I</w:t>
      </w:r>
      <w:r w:rsidR="006A688F" w:rsidRPr="00EF2BEE">
        <w:t>I</w:t>
      </w:r>
      <w:r w:rsidR="00637680" w:rsidRPr="00EF2BEE">
        <w:t>.</w:t>
      </w:r>
      <w:r w:rsidR="00637680" w:rsidRPr="00EF2BEE">
        <w:tab/>
      </w:r>
      <w:r w:rsidR="001A4488" w:rsidRPr="00EF2BEE">
        <w:t>S</w:t>
      </w:r>
      <w:r w:rsidR="006A688F" w:rsidRPr="00EF2BEE">
        <w:t>tructure</w:t>
      </w:r>
      <w:r w:rsidR="00306FC3" w:rsidRPr="00EF2BEE">
        <w:t xml:space="preserve"> </w:t>
      </w:r>
      <w:r w:rsidR="00416498" w:rsidRPr="00EF2BEE">
        <w:t xml:space="preserve">actuelle des taxes et principales </w:t>
      </w:r>
      <w:r w:rsidR="00306FC3" w:rsidRPr="00EF2BEE">
        <w:t xml:space="preserve">sources </w:t>
      </w:r>
      <w:r w:rsidR="00416498" w:rsidRPr="00EF2BEE">
        <w:t>de re</w:t>
      </w:r>
      <w:r w:rsidR="00813E4F" w:rsidRPr="00EF2BEE">
        <w:t>cette</w:t>
      </w:r>
      <w:r w:rsidR="00416498" w:rsidRPr="00EF2BEE">
        <w:t>s</w:t>
      </w:r>
    </w:p>
    <w:p w14:paraId="22F3B4F0" w14:textId="6A727F2F" w:rsidR="006827C2" w:rsidRPr="00EF2BEE" w:rsidRDefault="00416498" w:rsidP="006A688F">
      <w:pPr>
        <w:pStyle w:val="ONUMFS"/>
        <w:rPr>
          <w:szCs w:val="22"/>
          <w:lang w:val="fr-FR"/>
        </w:rPr>
      </w:pPr>
      <w:r w:rsidRPr="00EF2BEE">
        <w:rPr>
          <w:lang w:val="fr-FR"/>
        </w:rPr>
        <w:t>Le barème des taxes comprend plusieurs éléments, parmi lesquels les taxes destinées au Bureau international sont les suivantes</w:t>
      </w:r>
      <w:r w:rsidR="00507887" w:rsidRPr="00EF2BEE">
        <w:rPr>
          <w:lang w:val="fr-FR"/>
        </w:rPr>
        <w:t> :</w:t>
      </w:r>
    </w:p>
    <w:p w14:paraId="500986B7" w14:textId="7E2CBFD5" w:rsidR="001A4488" w:rsidRPr="00EF2BEE" w:rsidRDefault="000B0397" w:rsidP="00C36DC7">
      <w:pPr>
        <w:pStyle w:val="Bulletedlistlevel2"/>
        <w:ind w:left="567"/>
        <w:rPr>
          <w:szCs w:val="22"/>
          <w:lang w:val="fr-FR"/>
        </w:rPr>
      </w:pPr>
      <w:proofErr w:type="gramStart"/>
      <w:r w:rsidRPr="00EF2BEE">
        <w:rPr>
          <w:lang w:val="fr-FR"/>
        </w:rPr>
        <w:t>t</w:t>
      </w:r>
      <w:r w:rsidR="00416498" w:rsidRPr="00EF2BEE">
        <w:rPr>
          <w:lang w:val="fr-FR"/>
        </w:rPr>
        <w:t>axe</w:t>
      </w:r>
      <w:proofErr w:type="gramEnd"/>
      <w:r w:rsidR="00416498" w:rsidRPr="00EF2BEE">
        <w:rPr>
          <w:lang w:val="fr-FR"/>
        </w:rPr>
        <w:t xml:space="preserve"> </w:t>
      </w:r>
      <w:r w:rsidRPr="00EF2BEE">
        <w:rPr>
          <w:lang w:val="fr-FR"/>
        </w:rPr>
        <w:t xml:space="preserve">de base pour le </w:t>
      </w:r>
      <w:r w:rsidR="00416498" w:rsidRPr="00EF2BEE">
        <w:rPr>
          <w:lang w:val="fr-FR"/>
        </w:rPr>
        <w:t xml:space="preserve">dépôt </w:t>
      </w:r>
      <w:r w:rsidRPr="00EF2BEE">
        <w:rPr>
          <w:lang w:val="fr-FR"/>
        </w:rPr>
        <w:t>d</w:t>
      </w:r>
      <w:r w:rsidR="00507887" w:rsidRPr="00EF2BEE">
        <w:rPr>
          <w:lang w:val="fr-FR"/>
        </w:rPr>
        <w:t>’</w:t>
      </w:r>
      <w:r w:rsidRPr="00EF2BEE">
        <w:rPr>
          <w:lang w:val="fr-FR"/>
        </w:rPr>
        <w:t>une demande internationale</w:t>
      </w:r>
      <w:r w:rsidR="001A4488" w:rsidRPr="00EF2BEE">
        <w:rPr>
          <w:lang w:val="fr-FR"/>
        </w:rPr>
        <w:t xml:space="preserve"> (</w:t>
      </w:r>
      <w:r w:rsidRPr="00EF2BEE">
        <w:rPr>
          <w:lang w:val="fr-FR"/>
        </w:rPr>
        <w:t>points </w:t>
      </w:r>
      <w:r w:rsidR="001A4488" w:rsidRPr="00EF2BEE">
        <w:rPr>
          <w:szCs w:val="22"/>
          <w:lang w:val="fr-FR"/>
        </w:rPr>
        <w:t xml:space="preserve">I.1 </w:t>
      </w:r>
      <w:proofErr w:type="spellStart"/>
      <w:r w:rsidRPr="00EF2BEE">
        <w:rPr>
          <w:szCs w:val="22"/>
          <w:lang w:val="fr-FR"/>
        </w:rPr>
        <w:t>à</w:t>
      </w:r>
      <w:proofErr w:type="spellEnd"/>
      <w:r w:rsidRPr="00EF2BEE">
        <w:rPr>
          <w:szCs w:val="22"/>
          <w:lang w:val="fr-FR"/>
        </w:rPr>
        <w:t xml:space="preserve"> </w:t>
      </w:r>
      <w:r w:rsidR="001A4488" w:rsidRPr="00EF2BEE">
        <w:rPr>
          <w:szCs w:val="22"/>
          <w:lang w:val="fr-FR"/>
        </w:rPr>
        <w:t>I.3);</w:t>
      </w:r>
    </w:p>
    <w:p w14:paraId="458E86BE" w14:textId="6E80DF42" w:rsidR="001A4488" w:rsidRPr="00EF2BEE" w:rsidRDefault="000B0397" w:rsidP="00C36DC7">
      <w:pPr>
        <w:pStyle w:val="Bulletedlistlevel2"/>
        <w:tabs>
          <w:tab w:val="clear" w:pos="567"/>
          <w:tab w:val="num" w:pos="1134"/>
        </w:tabs>
        <w:spacing w:before="240" w:after="220"/>
        <w:ind w:left="567"/>
        <w:rPr>
          <w:u w:val="single"/>
          <w:lang w:val="fr-FR"/>
        </w:rPr>
      </w:pPr>
      <w:proofErr w:type="gramStart"/>
      <w:r w:rsidRPr="00EF2BEE">
        <w:rPr>
          <w:lang w:val="fr-FR"/>
        </w:rPr>
        <w:t>taxe</w:t>
      </w:r>
      <w:proofErr w:type="gramEnd"/>
      <w:r w:rsidRPr="00EF2BEE">
        <w:rPr>
          <w:lang w:val="fr-FR"/>
        </w:rPr>
        <w:t xml:space="preserve"> de renouvellement de base</w:t>
      </w:r>
      <w:r w:rsidR="001A4488" w:rsidRPr="00EF2BEE">
        <w:rPr>
          <w:lang w:val="fr-FR"/>
        </w:rPr>
        <w:t xml:space="preserve"> (</w:t>
      </w:r>
      <w:r w:rsidRPr="00EF2BEE">
        <w:rPr>
          <w:lang w:val="fr-FR"/>
        </w:rPr>
        <w:t>point </w:t>
      </w:r>
      <w:r w:rsidR="001A4488" w:rsidRPr="00EF2BEE">
        <w:rPr>
          <w:lang w:val="fr-FR"/>
        </w:rPr>
        <w:t xml:space="preserve">III.7); </w:t>
      </w:r>
      <w:r w:rsidR="00854813" w:rsidRPr="00EF2BEE">
        <w:rPr>
          <w:lang w:val="fr-FR"/>
        </w:rPr>
        <w:t xml:space="preserve"> </w:t>
      </w:r>
      <w:r w:rsidRPr="00EF2BEE">
        <w:rPr>
          <w:lang w:val="fr-FR"/>
        </w:rPr>
        <w:t>et</w:t>
      </w:r>
    </w:p>
    <w:p w14:paraId="25666368" w14:textId="4A1A7E17" w:rsidR="001A4488" w:rsidRPr="00EF2BEE" w:rsidRDefault="000B0397" w:rsidP="00C36DC7">
      <w:pPr>
        <w:pStyle w:val="Bulletedlistlevel2"/>
        <w:tabs>
          <w:tab w:val="clear" w:pos="567"/>
          <w:tab w:val="num" w:pos="1134"/>
        </w:tabs>
        <w:spacing w:after="220"/>
        <w:ind w:left="567"/>
        <w:rPr>
          <w:lang w:val="fr-FR"/>
        </w:rPr>
      </w:pPr>
      <w:proofErr w:type="gramStart"/>
      <w:r w:rsidRPr="00EF2BEE">
        <w:rPr>
          <w:lang w:val="fr-FR"/>
        </w:rPr>
        <w:t>autres</w:t>
      </w:r>
      <w:proofErr w:type="gramEnd"/>
      <w:r w:rsidRPr="00EF2BEE">
        <w:rPr>
          <w:lang w:val="fr-FR"/>
        </w:rPr>
        <w:t xml:space="preserve"> taxes</w:t>
      </w:r>
      <w:r w:rsidR="001A4488" w:rsidRPr="00EF2BEE">
        <w:rPr>
          <w:lang w:val="fr-FR"/>
        </w:rPr>
        <w:t xml:space="preserve"> (</w:t>
      </w:r>
      <w:r w:rsidRPr="00EF2BEE">
        <w:rPr>
          <w:lang w:val="fr-FR"/>
        </w:rPr>
        <w:t>points </w:t>
      </w:r>
      <w:r w:rsidR="001A4488" w:rsidRPr="00EF2BEE">
        <w:rPr>
          <w:lang w:val="fr-FR"/>
        </w:rPr>
        <w:t xml:space="preserve">V </w:t>
      </w:r>
      <w:r w:rsidRPr="00EF2BEE">
        <w:rPr>
          <w:lang w:val="fr-FR"/>
        </w:rPr>
        <w:t xml:space="preserve">et </w:t>
      </w:r>
      <w:r w:rsidR="001A4488" w:rsidRPr="00EF2BEE">
        <w:rPr>
          <w:lang w:val="fr-FR"/>
        </w:rPr>
        <w:t>VI).</w:t>
      </w:r>
    </w:p>
    <w:p w14:paraId="2748740A" w14:textId="76936700" w:rsidR="00507887" w:rsidRPr="00EF2BEE" w:rsidRDefault="002A2646" w:rsidP="006A688F">
      <w:pPr>
        <w:pStyle w:val="ONUMFS"/>
        <w:rPr>
          <w:lang w:val="fr-FR"/>
        </w:rPr>
      </w:pPr>
      <w:r w:rsidRPr="00EF2BEE">
        <w:rPr>
          <w:lang w:val="fr-FR"/>
        </w:rPr>
        <w:t>Comme la taxe de base pour le dépôt d</w:t>
      </w:r>
      <w:r w:rsidR="00507887" w:rsidRPr="00EF2BEE">
        <w:rPr>
          <w:lang w:val="fr-FR"/>
        </w:rPr>
        <w:t>’</w:t>
      </w:r>
      <w:r w:rsidRPr="00EF2BEE">
        <w:rPr>
          <w:lang w:val="fr-FR"/>
        </w:rPr>
        <w:t>une demande internationale, la taxe de renouvellement de base est perçue par dessin ou modèle, ce qui est également courant dans les systèmes nationaux ou régionaux permettant le dépôt de plusieurs dessins ou modèles</w:t>
      </w:r>
      <w:r w:rsidR="00813E4F" w:rsidRPr="00EF2BEE">
        <w:rPr>
          <w:lang w:val="fr-FR"/>
        </w:rPr>
        <w:t xml:space="preserve"> dans la même deman</w:t>
      </w:r>
      <w:r w:rsidR="00466F96" w:rsidRPr="00EF2BEE">
        <w:rPr>
          <w:lang w:val="fr-FR"/>
        </w:rPr>
        <w:t>de.  Le</w:t>
      </w:r>
      <w:r w:rsidRPr="00EF2BEE">
        <w:rPr>
          <w:lang w:val="fr-FR"/>
        </w:rPr>
        <w:t>s montants actuels de la taxe de base sont de 200 francs suisses pour un dessin ou modèle et de 17</w:t>
      </w:r>
      <w:r w:rsidR="00813E4F" w:rsidRPr="00EF2BEE">
        <w:rPr>
          <w:lang w:val="fr-FR"/>
        </w:rPr>
        <w:t> </w:t>
      </w:r>
      <w:r w:rsidRPr="00EF2BEE">
        <w:rPr>
          <w:lang w:val="fr-FR"/>
        </w:rPr>
        <w:t>francs suisses pour chaque dessin ou modèle supplémentaire</w:t>
      </w:r>
      <w:r w:rsidR="006827C2" w:rsidRPr="00EF2BEE">
        <w:rPr>
          <w:lang w:val="fr-FR"/>
        </w:rPr>
        <w:t>.</w:t>
      </w:r>
    </w:p>
    <w:p w14:paraId="6E0A6B0E" w14:textId="692792E1" w:rsidR="00507887" w:rsidRPr="00EF2BEE" w:rsidRDefault="002A2646" w:rsidP="006A688F">
      <w:pPr>
        <w:pStyle w:val="ONUMFS"/>
        <w:rPr>
          <w:lang w:val="fr-FR"/>
        </w:rPr>
      </w:pPr>
      <w:r w:rsidRPr="00EF2BEE">
        <w:rPr>
          <w:lang w:val="fr-FR"/>
        </w:rPr>
        <w:t>Comme indiqué dans le tableau ci</w:t>
      </w:r>
      <w:r w:rsidR="00466F96" w:rsidRPr="00EF2BEE">
        <w:rPr>
          <w:lang w:val="fr-FR"/>
        </w:rPr>
        <w:noBreakHyphen/>
      </w:r>
      <w:r w:rsidRPr="00EF2BEE">
        <w:rPr>
          <w:lang w:val="fr-FR"/>
        </w:rPr>
        <w:t xml:space="preserve">dessous, les recettes perçues au titre de la taxe de renouvellement de base </w:t>
      </w:r>
      <w:r w:rsidR="00507887" w:rsidRPr="00EF2BEE">
        <w:rPr>
          <w:lang w:val="fr-FR"/>
        </w:rPr>
        <w:t>en 2019</w:t>
      </w:r>
      <w:r w:rsidRPr="00EF2BEE">
        <w:rPr>
          <w:lang w:val="fr-FR"/>
        </w:rPr>
        <w:t xml:space="preserve"> s</w:t>
      </w:r>
      <w:r w:rsidR="00507887" w:rsidRPr="00EF2BEE">
        <w:rPr>
          <w:lang w:val="fr-FR"/>
        </w:rPr>
        <w:t>’</w:t>
      </w:r>
      <w:r w:rsidRPr="00EF2BEE">
        <w:rPr>
          <w:lang w:val="fr-FR"/>
        </w:rPr>
        <w:t xml:space="preserve">élevaient à environ 939 000 francs suisses, soit 18,2% des recettes totales du système de </w:t>
      </w:r>
      <w:r w:rsidR="00507887" w:rsidRPr="00EF2BEE">
        <w:rPr>
          <w:lang w:val="fr-FR"/>
        </w:rPr>
        <w:t>La Ha</w:t>
      </w:r>
      <w:r w:rsidR="00466F96" w:rsidRPr="00EF2BEE">
        <w:rPr>
          <w:lang w:val="fr-FR"/>
        </w:rPr>
        <w:t>ye.  Ap</w:t>
      </w:r>
      <w:r w:rsidRPr="00EF2BEE">
        <w:rPr>
          <w:lang w:val="fr-FR"/>
        </w:rPr>
        <w:t>rès la taxe de base pour le dépôt d</w:t>
      </w:r>
      <w:r w:rsidR="00507887" w:rsidRPr="00EF2BEE">
        <w:rPr>
          <w:lang w:val="fr-FR"/>
        </w:rPr>
        <w:t>’</w:t>
      </w:r>
      <w:r w:rsidRPr="00EF2BEE">
        <w:rPr>
          <w:lang w:val="fr-FR"/>
        </w:rPr>
        <w:t>une demande internationale (qui représente 77,2% des recettes totales), la taxe de renouvellement de base constitue la deuxième source principale de recettes</w:t>
      </w:r>
      <w:r w:rsidR="004F0E54" w:rsidRPr="00EF2BEE">
        <w:rPr>
          <w:lang w:val="fr-FR"/>
        </w:rPr>
        <w:t>.</w:t>
      </w:r>
    </w:p>
    <w:p w14:paraId="44C82306" w14:textId="36DC2086" w:rsidR="006827C2" w:rsidRPr="00EF2BEE" w:rsidRDefault="002A2646" w:rsidP="00D85552">
      <w:pPr>
        <w:pStyle w:val="ONUME"/>
        <w:numPr>
          <w:ilvl w:val="0"/>
          <w:numId w:val="0"/>
        </w:numPr>
        <w:spacing w:after="240"/>
        <w:jc w:val="center"/>
        <w:rPr>
          <w:lang w:val="fr-FR"/>
        </w:rPr>
      </w:pPr>
      <w:r w:rsidRPr="00EF2BEE">
        <w:rPr>
          <w:lang w:val="fr-FR"/>
        </w:rPr>
        <w:t xml:space="preserve">Système de </w:t>
      </w:r>
      <w:r w:rsidR="00507887" w:rsidRPr="00EF2BEE">
        <w:rPr>
          <w:lang w:val="fr-FR"/>
        </w:rPr>
        <w:t>La Haye</w:t>
      </w:r>
      <w:r w:rsidR="006827C2" w:rsidRPr="00EF2BEE">
        <w:rPr>
          <w:lang w:val="fr-FR"/>
        </w:rPr>
        <w:t xml:space="preserve"> – </w:t>
      </w:r>
      <w:r w:rsidR="009F062A" w:rsidRPr="00EF2BEE">
        <w:rPr>
          <w:lang w:val="fr-FR"/>
        </w:rPr>
        <w:t xml:space="preserve">Taxes et recettes </w:t>
      </w:r>
      <w:r w:rsidR="00507887" w:rsidRPr="00EF2BEE">
        <w:rPr>
          <w:lang w:val="fr-FR"/>
        </w:rPr>
        <w:t>en 2019</w:t>
      </w:r>
      <w:r w:rsidR="004F0E54" w:rsidRPr="00EF2BEE">
        <w:rPr>
          <w:vertAlign w:val="superscript"/>
          <w:lang w:val="fr-FR"/>
        </w:rPr>
        <w:footnoteReference w:id="3"/>
      </w:r>
    </w:p>
    <w:tbl>
      <w:tblPr>
        <w:tblStyle w:val="TableGrid"/>
        <w:tblW w:w="9356" w:type="dxa"/>
        <w:tblInd w:w="-5" w:type="dxa"/>
        <w:tblLayout w:type="fixed"/>
        <w:tblLook w:val="04A0" w:firstRow="1" w:lastRow="0" w:firstColumn="1" w:lastColumn="0" w:noHBand="0" w:noVBand="1"/>
      </w:tblPr>
      <w:tblGrid>
        <w:gridCol w:w="450"/>
        <w:gridCol w:w="4410"/>
        <w:gridCol w:w="2430"/>
        <w:gridCol w:w="1080"/>
        <w:gridCol w:w="986"/>
      </w:tblGrid>
      <w:tr w:rsidR="006827C2" w:rsidRPr="00EF2BEE" w14:paraId="5A33F72A" w14:textId="77777777" w:rsidTr="006A73A1">
        <w:tc>
          <w:tcPr>
            <w:tcW w:w="4860" w:type="dxa"/>
            <w:gridSpan w:val="2"/>
          </w:tcPr>
          <w:p w14:paraId="4CF4803C" w14:textId="7FBB9E15" w:rsidR="006827C2" w:rsidRPr="00EF2BEE" w:rsidRDefault="009F062A" w:rsidP="0078787E">
            <w:pPr>
              <w:rPr>
                <w:sz w:val="18"/>
                <w:lang w:val="fr-FR"/>
              </w:rPr>
            </w:pPr>
            <w:r w:rsidRPr="00EF2BEE">
              <w:rPr>
                <w:sz w:val="18"/>
                <w:lang w:val="fr-FR"/>
              </w:rPr>
              <w:t xml:space="preserve">Taxes </w:t>
            </w:r>
            <w:r w:rsidR="0078787E" w:rsidRPr="00EF2BEE">
              <w:rPr>
                <w:sz w:val="18"/>
                <w:lang w:val="fr-FR"/>
              </w:rPr>
              <w:t>revenant au</w:t>
            </w:r>
            <w:r w:rsidRPr="00EF2BEE">
              <w:rPr>
                <w:sz w:val="18"/>
                <w:lang w:val="fr-FR"/>
              </w:rPr>
              <w:t xml:space="preserve"> Bureau i</w:t>
            </w:r>
            <w:r w:rsidR="006827C2" w:rsidRPr="00EF2BEE">
              <w:rPr>
                <w:sz w:val="18"/>
                <w:lang w:val="fr-FR"/>
              </w:rPr>
              <w:t>nternational</w:t>
            </w:r>
          </w:p>
        </w:tc>
        <w:tc>
          <w:tcPr>
            <w:tcW w:w="2430" w:type="dxa"/>
          </w:tcPr>
          <w:p w14:paraId="5AE85C94" w14:textId="284AD6DC" w:rsidR="006827C2" w:rsidRPr="00EF2BEE" w:rsidRDefault="00E03442" w:rsidP="00E03442">
            <w:pPr>
              <w:jc w:val="center"/>
              <w:rPr>
                <w:sz w:val="18"/>
                <w:lang w:val="fr-FR"/>
              </w:rPr>
            </w:pPr>
            <w:r w:rsidRPr="00EF2BEE">
              <w:rPr>
                <w:sz w:val="18"/>
                <w:lang w:val="fr-FR"/>
              </w:rPr>
              <w:t>Nombre</w:t>
            </w:r>
            <w:r w:rsidR="006A73A1" w:rsidRPr="00EF2BEE">
              <w:rPr>
                <w:sz w:val="18"/>
                <w:lang w:val="fr-FR"/>
              </w:rPr>
              <w:t xml:space="preserve"> de cas</w:t>
            </w:r>
            <w:r w:rsidR="006827C2" w:rsidRPr="00EF2BEE">
              <w:rPr>
                <w:rStyle w:val="FootnoteReference"/>
                <w:rFonts w:eastAsia="MS Mincho"/>
                <w:color w:val="000000"/>
                <w:lang w:val="fr-FR" w:eastAsia="en-US"/>
              </w:rPr>
              <w:footnoteReference w:id="4"/>
            </w:r>
          </w:p>
        </w:tc>
        <w:tc>
          <w:tcPr>
            <w:tcW w:w="1080" w:type="dxa"/>
          </w:tcPr>
          <w:p w14:paraId="1F34915A" w14:textId="34E4A776" w:rsidR="006827C2" w:rsidRPr="00EF2BEE" w:rsidRDefault="009F062A" w:rsidP="00910B78">
            <w:pPr>
              <w:jc w:val="center"/>
              <w:rPr>
                <w:sz w:val="18"/>
                <w:lang w:val="fr-FR"/>
              </w:rPr>
            </w:pPr>
            <w:r w:rsidRPr="00EF2BEE">
              <w:rPr>
                <w:sz w:val="18"/>
                <w:lang w:val="fr-FR"/>
              </w:rPr>
              <w:t>Montant</w:t>
            </w:r>
            <w:r w:rsidR="006827C2" w:rsidRPr="00EF2BEE">
              <w:rPr>
                <w:rStyle w:val="FootnoteReference"/>
                <w:rFonts w:eastAsia="MS Mincho"/>
                <w:color w:val="000000"/>
                <w:lang w:val="fr-FR" w:eastAsia="en-US"/>
              </w:rPr>
              <w:footnoteReference w:id="5"/>
            </w:r>
          </w:p>
        </w:tc>
        <w:tc>
          <w:tcPr>
            <w:tcW w:w="986" w:type="dxa"/>
          </w:tcPr>
          <w:p w14:paraId="3EB8FFA3" w14:textId="1C60B848" w:rsidR="006827C2" w:rsidRPr="00EF2BEE" w:rsidRDefault="009F062A" w:rsidP="009F062A">
            <w:pPr>
              <w:jc w:val="center"/>
              <w:rPr>
                <w:sz w:val="18"/>
                <w:lang w:val="fr-FR"/>
              </w:rPr>
            </w:pPr>
            <w:r w:rsidRPr="00EF2BEE">
              <w:rPr>
                <w:sz w:val="18"/>
                <w:lang w:val="fr-FR"/>
              </w:rPr>
              <w:t>Part</w:t>
            </w:r>
          </w:p>
        </w:tc>
      </w:tr>
      <w:tr w:rsidR="006827C2" w:rsidRPr="00EF2BEE" w14:paraId="20B9A8BF" w14:textId="77777777" w:rsidTr="006A73A1">
        <w:tc>
          <w:tcPr>
            <w:tcW w:w="4860" w:type="dxa"/>
            <w:gridSpan w:val="2"/>
            <w:tcBorders>
              <w:bottom w:val="nil"/>
            </w:tcBorders>
            <w:shd w:val="clear" w:color="auto" w:fill="C6D9F1" w:themeFill="text2" w:themeFillTint="33"/>
          </w:tcPr>
          <w:p w14:paraId="169DF621" w14:textId="6BCD3844" w:rsidR="006827C2" w:rsidRPr="00EF2BEE" w:rsidRDefault="00E03442" w:rsidP="00E03442">
            <w:pPr>
              <w:rPr>
                <w:sz w:val="18"/>
                <w:lang w:val="fr-FR"/>
              </w:rPr>
            </w:pPr>
            <w:r w:rsidRPr="00EF2BEE">
              <w:rPr>
                <w:sz w:val="18"/>
                <w:lang w:val="fr-FR"/>
              </w:rPr>
              <w:t>Demandes i</w:t>
            </w:r>
            <w:r w:rsidR="006827C2" w:rsidRPr="00EF2BEE">
              <w:rPr>
                <w:sz w:val="18"/>
                <w:lang w:val="fr-FR"/>
              </w:rPr>
              <w:t>nternational</w:t>
            </w:r>
            <w:r w:rsidRPr="00EF2BEE">
              <w:rPr>
                <w:sz w:val="18"/>
                <w:lang w:val="fr-FR"/>
              </w:rPr>
              <w:t>es</w:t>
            </w:r>
            <w:r w:rsidR="006827C2" w:rsidRPr="00EF2BEE">
              <w:rPr>
                <w:sz w:val="18"/>
                <w:lang w:val="fr-FR"/>
              </w:rPr>
              <w:t xml:space="preserve"> (</w:t>
            </w:r>
            <w:r w:rsidRPr="00EF2BEE">
              <w:rPr>
                <w:sz w:val="18"/>
                <w:lang w:val="fr-FR"/>
              </w:rPr>
              <w:t>points </w:t>
            </w:r>
            <w:r w:rsidR="006827C2" w:rsidRPr="00EF2BEE">
              <w:rPr>
                <w:sz w:val="18"/>
                <w:lang w:val="fr-FR"/>
              </w:rPr>
              <w:t xml:space="preserve">I.1 </w:t>
            </w:r>
            <w:r w:rsidRPr="00EF2BEE">
              <w:rPr>
                <w:sz w:val="18"/>
                <w:lang w:val="fr-FR"/>
              </w:rPr>
              <w:t xml:space="preserve">à </w:t>
            </w:r>
            <w:r w:rsidR="006827C2" w:rsidRPr="00EF2BEE">
              <w:rPr>
                <w:sz w:val="18"/>
                <w:lang w:val="fr-FR"/>
              </w:rPr>
              <w:t>3)</w:t>
            </w:r>
          </w:p>
        </w:tc>
        <w:tc>
          <w:tcPr>
            <w:tcW w:w="2430" w:type="dxa"/>
            <w:shd w:val="clear" w:color="auto" w:fill="C6D9F1" w:themeFill="text2" w:themeFillTint="33"/>
          </w:tcPr>
          <w:p w14:paraId="44F80ABB" w14:textId="72E18206" w:rsidR="006827C2" w:rsidRPr="00EF2BEE" w:rsidRDefault="00447F7B" w:rsidP="00E03442">
            <w:pPr>
              <w:jc w:val="right"/>
              <w:rPr>
                <w:sz w:val="18"/>
                <w:lang w:val="fr-FR"/>
              </w:rPr>
            </w:pPr>
            <w:r w:rsidRPr="00EF2BEE">
              <w:rPr>
                <w:sz w:val="18"/>
                <w:lang w:val="fr-FR"/>
              </w:rPr>
              <w:t>5</w:t>
            </w:r>
            <w:r w:rsidR="00E03442" w:rsidRPr="00EF2BEE">
              <w:rPr>
                <w:sz w:val="18"/>
                <w:lang w:val="fr-FR"/>
              </w:rPr>
              <w:t> </w:t>
            </w:r>
            <w:r w:rsidRPr="00EF2BEE">
              <w:rPr>
                <w:sz w:val="18"/>
                <w:lang w:val="fr-FR"/>
              </w:rPr>
              <w:t>042</w:t>
            </w:r>
            <w:r w:rsidR="006827C2" w:rsidRPr="00EF2BEE">
              <w:rPr>
                <w:sz w:val="18"/>
                <w:lang w:val="fr-FR"/>
              </w:rPr>
              <w:t xml:space="preserve"> </w:t>
            </w:r>
            <w:r w:rsidR="00E03442" w:rsidRPr="00EF2BEE">
              <w:rPr>
                <w:sz w:val="18"/>
                <w:lang w:val="fr-FR"/>
              </w:rPr>
              <w:t>dépôts</w:t>
            </w:r>
          </w:p>
        </w:tc>
        <w:tc>
          <w:tcPr>
            <w:tcW w:w="1080" w:type="dxa"/>
            <w:shd w:val="clear" w:color="auto" w:fill="C6D9F1" w:themeFill="text2" w:themeFillTint="33"/>
          </w:tcPr>
          <w:p w14:paraId="7AC0915B" w14:textId="11741BC2" w:rsidR="006827C2" w:rsidRPr="00EF2BEE" w:rsidRDefault="00447F7B" w:rsidP="00E03442">
            <w:pPr>
              <w:jc w:val="right"/>
              <w:rPr>
                <w:sz w:val="18"/>
                <w:lang w:val="fr-FR"/>
              </w:rPr>
            </w:pPr>
            <w:r w:rsidRPr="00EF2BEE">
              <w:rPr>
                <w:sz w:val="18"/>
                <w:lang w:val="fr-FR"/>
              </w:rPr>
              <w:t>3</w:t>
            </w:r>
            <w:r w:rsidR="00E03442" w:rsidRPr="00EF2BEE">
              <w:rPr>
                <w:sz w:val="18"/>
                <w:lang w:val="fr-FR"/>
              </w:rPr>
              <w:t> </w:t>
            </w:r>
            <w:r w:rsidRPr="00EF2BEE">
              <w:rPr>
                <w:sz w:val="18"/>
                <w:lang w:val="fr-FR"/>
              </w:rPr>
              <w:t>972</w:t>
            </w:r>
          </w:p>
        </w:tc>
        <w:tc>
          <w:tcPr>
            <w:tcW w:w="986" w:type="dxa"/>
            <w:shd w:val="clear" w:color="auto" w:fill="C6D9F1" w:themeFill="text2" w:themeFillTint="33"/>
          </w:tcPr>
          <w:p w14:paraId="48953FB4" w14:textId="25B9A0C1" w:rsidR="006827C2" w:rsidRPr="00EF2BEE" w:rsidRDefault="00BF05B4" w:rsidP="00910B78">
            <w:pPr>
              <w:jc w:val="right"/>
              <w:rPr>
                <w:sz w:val="18"/>
                <w:lang w:val="fr-FR"/>
              </w:rPr>
            </w:pPr>
            <w:r w:rsidRPr="00EF2BEE">
              <w:rPr>
                <w:sz w:val="18"/>
                <w:lang w:val="fr-FR"/>
              </w:rPr>
              <w:t>7</w:t>
            </w:r>
            <w:r w:rsidR="00E03442" w:rsidRPr="00EF2BEE">
              <w:rPr>
                <w:sz w:val="18"/>
                <w:lang w:val="fr-FR"/>
              </w:rPr>
              <w:t>7,</w:t>
            </w:r>
            <w:r w:rsidRPr="00EF2BEE">
              <w:rPr>
                <w:sz w:val="18"/>
                <w:lang w:val="fr-FR"/>
              </w:rPr>
              <w:t>2</w:t>
            </w:r>
            <w:r w:rsidR="006827C2" w:rsidRPr="00EF2BEE">
              <w:rPr>
                <w:sz w:val="18"/>
                <w:lang w:val="fr-FR"/>
              </w:rPr>
              <w:t>%</w:t>
            </w:r>
          </w:p>
        </w:tc>
      </w:tr>
      <w:tr w:rsidR="006827C2" w:rsidRPr="00EF2BEE" w14:paraId="6815A834" w14:textId="77777777" w:rsidTr="006A73A1">
        <w:tc>
          <w:tcPr>
            <w:tcW w:w="450" w:type="dxa"/>
            <w:vMerge w:val="restart"/>
            <w:tcBorders>
              <w:top w:val="nil"/>
            </w:tcBorders>
          </w:tcPr>
          <w:p w14:paraId="0D8B5E63" w14:textId="77777777" w:rsidR="006827C2" w:rsidRPr="00EF2BEE" w:rsidRDefault="006827C2" w:rsidP="00910B78">
            <w:pPr>
              <w:rPr>
                <w:sz w:val="18"/>
                <w:lang w:val="fr-FR"/>
              </w:rPr>
            </w:pPr>
          </w:p>
        </w:tc>
        <w:tc>
          <w:tcPr>
            <w:tcW w:w="4410" w:type="dxa"/>
          </w:tcPr>
          <w:p w14:paraId="36B0BBE1" w14:textId="59429927" w:rsidR="006827C2" w:rsidRPr="00EF2BEE" w:rsidRDefault="00E03442" w:rsidP="00E03442">
            <w:pPr>
              <w:rPr>
                <w:sz w:val="18"/>
                <w:lang w:val="fr-FR"/>
              </w:rPr>
            </w:pPr>
            <w:r w:rsidRPr="00EF2BEE">
              <w:rPr>
                <w:sz w:val="18"/>
                <w:lang w:val="fr-FR"/>
              </w:rPr>
              <w:t>Taxe de base pour le premier dessin ou modèle</w:t>
            </w:r>
          </w:p>
        </w:tc>
        <w:tc>
          <w:tcPr>
            <w:tcW w:w="2430" w:type="dxa"/>
          </w:tcPr>
          <w:p w14:paraId="35247E41" w14:textId="50488A28" w:rsidR="006827C2" w:rsidRPr="00EF2BEE" w:rsidRDefault="00447F7B" w:rsidP="00E03442">
            <w:pPr>
              <w:jc w:val="right"/>
              <w:rPr>
                <w:sz w:val="18"/>
                <w:lang w:val="fr-FR"/>
              </w:rPr>
            </w:pPr>
            <w:r w:rsidRPr="00EF2BEE">
              <w:rPr>
                <w:sz w:val="18"/>
                <w:lang w:val="fr-FR"/>
              </w:rPr>
              <w:t>5</w:t>
            </w:r>
            <w:r w:rsidR="00E03442" w:rsidRPr="00EF2BEE">
              <w:rPr>
                <w:sz w:val="18"/>
                <w:lang w:val="fr-FR"/>
              </w:rPr>
              <w:t> 0</w:t>
            </w:r>
            <w:r w:rsidRPr="00EF2BEE">
              <w:rPr>
                <w:sz w:val="18"/>
                <w:lang w:val="fr-FR"/>
              </w:rPr>
              <w:t>42</w:t>
            </w:r>
            <w:r w:rsidR="006827C2" w:rsidRPr="00EF2BEE">
              <w:rPr>
                <w:sz w:val="18"/>
                <w:lang w:val="fr-FR"/>
              </w:rPr>
              <w:t xml:space="preserve"> des</w:t>
            </w:r>
            <w:r w:rsidR="00E03442" w:rsidRPr="00EF2BEE">
              <w:rPr>
                <w:sz w:val="18"/>
                <w:lang w:val="fr-FR"/>
              </w:rPr>
              <w:t>sins ou modèles</w:t>
            </w:r>
          </w:p>
        </w:tc>
        <w:tc>
          <w:tcPr>
            <w:tcW w:w="1080" w:type="dxa"/>
          </w:tcPr>
          <w:p w14:paraId="540C6372" w14:textId="477AC337" w:rsidR="006827C2" w:rsidRPr="00EF2BEE" w:rsidRDefault="00447F7B" w:rsidP="00E03442">
            <w:pPr>
              <w:jc w:val="right"/>
              <w:rPr>
                <w:sz w:val="18"/>
                <w:lang w:val="fr-FR"/>
              </w:rPr>
            </w:pPr>
            <w:r w:rsidRPr="00EF2BEE">
              <w:rPr>
                <w:sz w:val="18"/>
                <w:lang w:val="fr-FR"/>
              </w:rPr>
              <w:t>1</w:t>
            </w:r>
            <w:r w:rsidR="00E03442" w:rsidRPr="00EF2BEE">
              <w:rPr>
                <w:sz w:val="18"/>
                <w:lang w:val="fr-FR"/>
              </w:rPr>
              <w:t> </w:t>
            </w:r>
            <w:r w:rsidRPr="00EF2BEE">
              <w:rPr>
                <w:sz w:val="18"/>
                <w:lang w:val="fr-FR"/>
              </w:rPr>
              <w:t>998</w:t>
            </w:r>
          </w:p>
        </w:tc>
        <w:tc>
          <w:tcPr>
            <w:tcW w:w="986" w:type="dxa"/>
          </w:tcPr>
          <w:p w14:paraId="7A4FF277" w14:textId="75019817" w:rsidR="006827C2" w:rsidRPr="00EF2BEE" w:rsidRDefault="00D22D6F" w:rsidP="0078787E">
            <w:pPr>
              <w:jc w:val="right"/>
              <w:rPr>
                <w:sz w:val="18"/>
                <w:lang w:val="fr-FR"/>
              </w:rPr>
            </w:pPr>
            <w:r w:rsidRPr="00EF2BEE">
              <w:rPr>
                <w:sz w:val="18"/>
                <w:lang w:val="fr-FR"/>
              </w:rPr>
              <w:t>38</w:t>
            </w:r>
            <w:r w:rsidR="0078787E" w:rsidRPr="00EF2BEE">
              <w:rPr>
                <w:sz w:val="18"/>
                <w:lang w:val="fr-FR"/>
              </w:rPr>
              <w:t>,</w:t>
            </w:r>
            <w:r w:rsidR="006827C2" w:rsidRPr="00EF2BEE">
              <w:rPr>
                <w:sz w:val="18"/>
                <w:lang w:val="fr-FR"/>
              </w:rPr>
              <w:t>4%</w:t>
            </w:r>
          </w:p>
        </w:tc>
      </w:tr>
      <w:tr w:rsidR="006827C2" w:rsidRPr="00EF2BEE" w14:paraId="276D7D1D" w14:textId="77777777" w:rsidTr="006A73A1">
        <w:tc>
          <w:tcPr>
            <w:tcW w:w="450" w:type="dxa"/>
            <w:vMerge/>
          </w:tcPr>
          <w:p w14:paraId="21E2BF2A" w14:textId="77777777" w:rsidR="006827C2" w:rsidRPr="00EF2BEE" w:rsidRDefault="006827C2" w:rsidP="00910B78">
            <w:pPr>
              <w:rPr>
                <w:sz w:val="18"/>
                <w:lang w:val="fr-FR"/>
              </w:rPr>
            </w:pPr>
          </w:p>
        </w:tc>
        <w:tc>
          <w:tcPr>
            <w:tcW w:w="4410" w:type="dxa"/>
          </w:tcPr>
          <w:p w14:paraId="12CC73CB" w14:textId="2B0EB1E6" w:rsidR="006827C2" w:rsidRPr="00EF2BEE" w:rsidRDefault="0078787E" w:rsidP="006A73A1">
            <w:pPr>
              <w:rPr>
                <w:sz w:val="18"/>
                <w:lang w:val="fr-FR"/>
              </w:rPr>
            </w:pPr>
            <w:r w:rsidRPr="00EF2BEE">
              <w:rPr>
                <w:sz w:val="18"/>
                <w:lang w:val="fr-FR"/>
              </w:rPr>
              <w:t xml:space="preserve">Taxe de base pour </w:t>
            </w:r>
            <w:r w:rsidR="006A73A1" w:rsidRPr="00EF2BEE">
              <w:rPr>
                <w:sz w:val="18"/>
                <w:lang w:val="fr-FR"/>
              </w:rPr>
              <w:t>chaque</w:t>
            </w:r>
            <w:r w:rsidRPr="00EF2BEE">
              <w:rPr>
                <w:sz w:val="18"/>
                <w:lang w:val="fr-FR"/>
              </w:rPr>
              <w:t xml:space="preserve"> dessin ou modèle</w:t>
            </w:r>
            <w:r w:rsidR="006A73A1" w:rsidRPr="00EF2BEE">
              <w:rPr>
                <w:sz w:val="18"/>
                <w:lang w:val="fr-FR"/>
              </w:rPr>
              <w:t xml:space="preserve"> supplémentaire</w:t>
            </w:r>
          </w:p>
        </w:tc>
        <w:tc>
          <w:tcPr>
            <w:tcW w:w="2430" w:type="dxa"/>
          </w:tcPr>
          <w:p w14:paraId="4882FBCD" w14:textId="2E9740DD" w:rsidR="006827C2" w:rsidRPr="00EF2BEE" w:rsidRDefault="00447F7B" w:rsidP="0078787E">
            <w:pPr>
              <w:jc w:val="right"/>
              <w:rPr>
                <w:sz w:val="18"/>
                <w:lang w:val="fr-FR"/>
              </w:rPr>
            </w:pPr>
            <w:r w:rsidRPr="00EF2BEE">
              <w:rPr>
                <w:sz w:val="18"/>
                <w:lang w:val="fr-FR"/>
              </w:rPr>
              <w:t>13</w:t>
            </w:r>
            <w:r w:rsidR="0078787E" w:rsidRPr="00EF2BEE">
              <w:rPr>
                <w:sz w:val="18"/>
                <w:lang w:val="fr-FR"/>
              </w:rPr>
              <w:t> </w:t>
            </w:r>
            <w:r w:rsidRPr="00EF2BEE">
              <w:rPr>
                <w:sz w:val="18"/>
                <w:lang w:val="fr-FR"/>
              </w:rPr>
              <w:t>493</w:t>
            </w:r>
            <w:r w:rsidR="006827C2" w:rsidRPr="00EF2BEE">
              <w:rPr>
                <w:sz w:val="18"/>
                <w:lang w:val="fr-FR"/>
              </w:rPr>
              <w:t xml:space="preserve"> </w:t>
            </w:r>
            <w:r w:rsidR="0078787E" w:rsidRPr="00EF2BEE">
              <w:rPr>
                <w:sz w:val="18"/>
                <w:lang w:val="fr-FR"/>
              </w:rPr>
              <w:t>dessins ou modèles</w:t>
            </w:r>
          </w:p>
        </w:tc>
        <w:tc>
          <w:tcPr>
            <w:tcW w:w="1080" w:type="dxa"/>
          </w:tcPr>
          <w:p w14:paraId="6402C522" w14:textId="2D0072E3" w:rsidR="006827C2" w:rsidRPr="00EF2BEE" w:rsidRDefault="00447F7B" w:rsidP="00910B78">
            <w:pPr>
              <w:jc w:val="right"/>
              <w:rPr>
                <w:sz w:val="18"/>
                <w:lang w:val="fr-FR"/>
              </w:rPr>
            </w:pPr>
            <w:r w:rsidRPr="00EF2BEE">
              <w:rPr>
                <w:sz w:val="18"/>
                <w:lang w:val="fr-FR"/>
              </w:rPr>
              <w:t>256</w:t>
            </w:r>
          </w:p>
        </w:tc>
        <w:tc>
          <w:tcPr>
            <w:tcW w:w="986" w:type="dxa"/>
          </w:tcPr>
          <w:p w14:paraId="59518523" w14:textId="2C3CD424" w:rsidR="006827C2" w:rsidRPr="00EF2BEE" w:rsidRDefault="00D22D6F" w:rsidP="0078787E">
            <w:pPr>
              <w:jc w:val="right"/>
              <w:rPr>
                <w:sz w:val="18"/>
                <w:lang w:val="fr-FR"/>
              </w:rPr>
            </w:pPr>
            <w:r w:rsidRPr="00EF2BEE">
              <w:rPr>
                <w:sz w:val="18"/>
                <w:lang w:val="fr-FR"/>
              </w:rPr>
              <w:t>5</w:t>
            </w:r>
            <w:r w:rsidR="0078787E" w:rsidRPr="00EF2BEE">
              <w:rPr>
                <w:sz w:val="18"/>
                <w:lang w:val="fr-FR"/>
              </w:rPr>
              <w:t>,</w:t>
            </w:r>
            <w:r w:rsidRPr="00EF2BEE">
              <w:rPr>
                <w:sz w:val="18"/>
                <w:lang w:val="fr-FR"/>
              </w:rPr>
              <w:t>0</w:t>
            </w:r>
            <w:r w:rsidR="006827C2" w:rsidRPr="00EF2BEE">
              <w:rPr>
                <w:sz w:val="18"/>
                <w:lang w:val="fr-FR"/>
              </w:rPr>
              <w:t>%</w:t>
            </w:r>
          </w:p>
        </w:tc>
      </w:tr>
      <w:tr w:rsidR="006827C2" w:rsidRPr="00EF2BEE" w14:paraId="66339F6D" w14:textId="77777777" w:rsidTr="006A73A1">
        <w:tc>
          <w:tcPr>
            <w:tcW w:w="450" w:type="dxa"/>
            <w:vMerge/>
          </w:tcPr>
          <w:p w14:paraId="2E657C81" w14:textId="77777777" w:rsidR="006827C2" w:rsidRPr="00EF2BEE" w:rsidRDefault="006827C2" w:rsidP="00910B78">
            <w:pPr>
              <w:rPr>
                <w:sz w:val="18"/>
                <w:lang w:val="fr-FR"/>
              </w:rPr>
            </w:pPr>
          </w:p>
        </w:tc>
        <w:tc>
          <w:tcPr>
            <w:tcW w:w="4410" w:type="dxa"/>
          </w:tcPr>
          <w:p w14:paraId="066638D5" w14:textId="63524099" w:rsidR="006827C2" w:rsidRPr="00EF2BEE" w:rsidRDefault="0078787E" w:rsidP="0078787E">
            <w:pPr>
              <w:rPr>
                <w:sz w:val="18"/>
                <w:lang w:val="fr-FR"/>
              </w:rPr>
            </w:pPr>
            <w:r w:rsidRPr="00EF2BEE">
              <w:rPr>
                <w:sz w:val="18"/>
                <w:lang w:val="fr-FR"/>
              </w:rPr>
              <w:t>Taxe de p</w:t>
            </w:r>
            <w:r w:rsidR="006827C2" w:rsidRPr="00EF2BEE">
              <w:rPr>
                <w:sz w:val="18"/>
                <w:lang w:val="fr-FR"/>
              </w:rPr>
              <w:t xml:space="preserve">ublication </w:t>
            </w:r>
            <w:r w:rsidRPr="00EF2BEE">
              <w:rPr>
                <w:sz w:val="18"/>
                <w:lang w:val="fr-FR"/>
              </w:rPr>
              <w:t>par</w:t>
            </w:r>
            <w:r w:rsidR="006827C2" w:rsidRPr="00EF2BEE">
              <w:rPr>
                <w:sz w:val="18"/>
                <w:lang w:val="fr-FR"/>
              </w:rPr>
              <w:t xml:space="preserve"> reproduction</w:t>
            </w:r>
          </w:p>
        </w:tc>
        <w:tc>
          <w:tcPr>
            <w:tcW w:w="2430" w:type="dxa"/>
          </w:tcPr>
          <w:p w14:paraId="1A9F004C" w14:textId="4A5F19E8" w:rsidR="006827C2" w:rsidRPr="00EF2BEE" w:rsidRDefault="00447F7B" w:rsidP="0078787E">
            <w:pPr>
              <w:jc w:val="right"/>
              <w:rPr>
                <w:sz w:val="18"/>
                <w:lang w:val="fr-FR"/>
              </w:rPr>
            </w:pPr>
            <w:r w:rsidRPr="00EF2BEE">
              <w:rPr>
                <w:sz w:val="18"/>
                <w:lang w:val="fr-FR"/>
              </w:rPr>
              <w:t>94</w:t>
            </w:r>
            <w:r w:rsidR="0078787E" w:rsidRPr="00EF2BEE">
              <w:rPr>
                <w:sz w:val="18"/>
                <w:lang w:val="fr-FR"/>
              </w:rPr>
              <w:t> </w:t>
            </w:r>
            <w:r w:rsidRPr="00EF2BEE">
              <w:rPr>
                <w:sz w:val="18"/>
                <w:lang w:val="fr-FR"/>
              </w:rPr>
              <w:t>765</w:t>
            </w:r>
            <w:r w:rsidR="006827C2" w:rsidRPr="00EF2BEE">
              <w:rPr>
                <w:sz w:val="18"/>
                <w:lang w:val="fr-FR"/>
              </w:rPr>
              <w:t xml:space="preserve"> reproductions</w:t>
            </w:r>
          </w:p>
        </w:tc>
        <w:tc>
          <w:tcPr>
            <w:tcW w:w="1080" w:type="dxa"/>
          </w:tcPr>
          <w:p w14:paraId="60DB30EF" w14:textId="1A13F03A" w:rsidR="006827C2" w:rsidRPr="00EF2BEE" w:rsidRDefault="00447F7B" w:rsidP="0078787E">
            <w:pPr>
              <w:jc w:val="right"/>
              <w:rPr>
                <w:sz w:val="18"/>
                <w:lang w:val="fr-FR"/>
              </w:rPr>
            </w:pPr>
            <w:r w:rsidRPr="00EF2BEE">
              <w:rPr>
                <w:sz w:val="18"/>
                <w:lang w:val="fr-FR"/>
              </w:rPr>
              <w:t>1</w:t>
            </w:r>
            <w:r w:rsidR="0078787E" w:rsidRPr="00EF2BEE">
              <w:rPr>
                <w:sz w:val="18"/>
                <w:lang w:val="fr-FR"/>
              </w:rPr>
              <w:t> </w:t>
            </w:r>
            <w:r w:rsidRPr="00EF2BEE">
              <w:rPr>
                <w:sz w:val="18"/>
                <w:lang w:val="fr-FR"/>
              </w:rPr>
              <w:t>611</w:t>
            </w:r>
          </w:p>
        </w:tc>
        <w:tc>
          <w:tcPr>
            <w:tcW w:w="986" w:type="dxa"/>
          </w:tcPr>
          <w:p w14:paraId="53F12C0C" w14:textId="78096AD7" w:rsidR="006827C2" w:rsidRPr="00EF2BEE" w:rsidRDefault="00D22D6F" w:rsidP="0078787E">
            <w:pPr>
              <w:jc w:val="right"/>
              <w:rPr>
                <w:sz w:val="18"/>
                <w:lang w:val="fr-FR"/>
              </w:rPr>
            </w:pPr>
            <w:r w:rsidRPr="00EF2BEE">
              <w:rPr>
                <w:sz w:val="18"/>
                <w:lang w:val="fr-FR"/>
              </w:rPr>
              <w:t>31</w:t>
            </w:r>
            <w:r w:rsidR="0078787E" w:rsidRPr="00EF2BEE">
              <w:rPr>
                <w:sz w:val="18"/>
                <w:lang w:val="fr-FR"/>
              </w:rPr>
              <w:t>,</w:t>
            </w:r>
            <w:r w:rsidRPr="00EF2BEE">
              <w:rPr>
                <w:sz w:val="18"/>
                <w:lang w:val="fr-FR"/>
              </w:rPr>
              <w:t>3</w:t>
            </w:r>
            <w:r w:rsidR="006827C2" w:rsidRPr="00EF2BEE">
              <w:rPr>
                <w:sz w:val="18"/>
                <w:lang w:val="fr-FR"/>
              </w:rPr>
              <w:t>%</w:t>
            </w:r>
          </w:p>
        </w:tc>
      </w:tr>
      <w:tr w:rsidR="006827C2" w:rsidRPr="00EF2BEE" w14:paraId="39268983" w14:textId="77777777" w:rsidTr="006A73A1">
        <w:trPr>
          <w:trHeight w:val="285"/>
        </w:trPr>
        <w:tc>
          <w:tcPr>
            <w:tcW w:w="450" w:type="dxa"/>
            <w:vMerge/>
          </w:tcPr>
          <w:p w14:paraId="6577F4FB" w14:textId="77777777" w:rsidR="006827C2" w:rsidRPr="00EF2BEE" w:rsidRDefault="006827C2" w:rsidP="00910B78">
            <w:pPr>
              <w:rPr>
                <w:sz w:val="18"/>
                <w:lang w:val="fr-FR"/>
              </w:rPr>
            </w:pPr>
          </w:p>
        </w:tc>
        <w:tc>
          <w:tcPr>
            <w:tcW w:w="4410" w:type="dxa"/>
          </w:tcPr>
          <w:p w14:paraId="45FE3FF6" w14:textId="23BA8E0C" w:rsidR="006827C2" w:rsidRPr="00EF2BEE" w:rsidRDefault="0078787E" w:rsidP="0078787E">
            <w:pPr>
              <w:rPr>
                <w:sz w:val="18"/>
                <w:lang w:val="fr-FR"/>
              </w:rPr>
            </w:pPr>
            <w:r w:rsidRPr="00EF2BEE">
              <w:rPr>
                <w:sz w:val="18"/>
                <w:lang w:val="fr-FR"/>
              </w:rPr>
              <w:t>Taxe de p</w:t>
            </w:r>
            <w:r w:rsidR="006827C2" w:rsidRPr="00EF2BEE">
              <w:rPr>
                <w:sz w:val="18"/>
                <w:lang w:val="fr-FR"/>
              </w:rPr>
              <w:t xml:space="preserve">ublication </w:t>
            </w:r>
            <w:r w:rsidRPr="00EF2BEE">
              <w:rPr>
                <w:sz w:val="18"/>
                <w:lang w:val="fr-FR"/>
              </w:rPr>
              <w:t xml:space="preserve">par </w:t>
            </w:r>
            <w:r w:rsidR="006827C2" w:rsidRPr="00EF2BEE">
              <w:rPr>
                <w:sz w:val="18"/>
                <w:lang w:val="fr-FR"/>
              </w:rPr>
              <w:t>page (</w:t>
            </w:r>
            <w:r w:rsidRPr="00EF2BEE">
              <w:rPr>
                <w:sz w:val="18"/>
                <w:lang w:val="fr-FR"/>
              </w:rPr>
              <w:t>dépôts sur papier</w:t>
            </w:r>
            <w:r w:rsidR="006827C2" w:rsidRPr="00EF2BEE">
              <w:rPr>
                <w:sz w:val="18"/>
                <w:lang w:val="fr-FR"/>
              </w:rPr>
              <w:t>)</w:t>
            </w:r>
          </w:p>
        </w:tc>
        <w:tc>
          <w:tcPr>
            <w:tcW w:w="2430" w:type="dxa"/>
          </w:tcPr>
          <w:p w14:paraId="45E8A718" w14:textId="57AD1C42" w:rsidR="006827C2" w:rsidRPr="00EF2BEE" w:rsidRDefault="00447F7B" w:rsidP="00910B78">
            <w:pPr>
              <w:jc w:val="right"/>
              <w:rPr>
                <w:sz w:val="18"/>
                <w:lang w:val="fr-FR"/>
              </w:rPr>
            </w:pPr>
            <w:r w:rsidRPr="00EF2BEE">
              <w:rPr>
                <w:sz w:val="18"/>
                <w:lang w:val="fr-FR"/>
              </w:rPr>
              <w:t>233</w:t>
            </w:r>
            <w:r w:rsidR="006827C2" w:rsidRPr="00EF2BEE">
              <w:rPr>
                <w:sz w:val="18"/>
                <w:lang w:val="fr-FR"/>
              </w:rPr>
              <w:t xml:space="preserve"> pages</w:t>
            </w:r>
          </w:p>
        </w:tc>
        <w:tc>
          <w:tcPr>
            <w:tcW w:w="1080" w:type="dxa"/>
          </w:tcPr>
          <w:p w14:paraId="095F1EAF" w14:textId="734C09BF" w:rsidR="006827C2" w:rsidRPr="00EF2BEE" w:rsidRDefault="00447F7B" w:rsidP="00910B78">
            <w:pPr>
              <w:jc w:val="right"/>
              <w:rPr>
                <w:sz w:val="18"/>
                <w:lang w:val="fr-FR"/>
              </w:rPr>
            </w:pPr>
            <w:r w:rsidRPr="00EF2BEE">
              <w:rPr>
                <w:sz w:val="18"/>
                <w:lang w:val="fr-FR"/>
              </w:rPr>
              <w:t>35</w:t>
            </w:r>
          </w:p>
        </w:tc>
        <w:tc>
          <w:tcPr>
            <w:tcW w:w="986" w:type="dxa"/>
          </w:tcPr>
          <w:p w14:paraId="2128E6AF" w14:textId="3514FC52" w:rsidR="006827C2" w:rsidRPr="00EF2BEE" w:rsidRDefault="00D22D6F" w:rsidP="0078787E">
            <w:pPr>
              <w:jc w:val="right"/>
              <w:rPr>
                <w:sz w:val="18"/>
                <w:lang w:val="fr-FR"/>
              </w:rPr>
            </w:pPr>
            <w:r w:rsidRPr="00EF2BEE">
              <w:rPr>
                <w:sz w:val="18"/>
                <w:lang w:val="fr-FR"/>
              </w:rPr>
              <w:t>0</w:t>
            </w:r>
            <w:r w:rsidR="0078787E" w:rsidRPr="00EF2BEE">
              <w:rPr>
                <w:sz w:val="18"/>
                <w:lang w:val="fr-FR"/>
              </w:rPr>
              <w:t>,</w:t>
            </w:r>
            <w:r w:rsidRPr="00EF2BEE">
              <w:rPr>
                <w:sz w:val="18"/>
                <w:lang w:val="fr-FR"/>
              </w:rPr>
              <w:t>7</w:t>
            </w:r>
            <w:r w:rsidR="006827C2" w:rsidRPr="00EF2BEE">
              <w:rPr>
                <w:sz w:val="18"/>
                <w:lang w:val="fr-FR"/>
              </w:rPr>
              <w:t>%</w:t>
            </w:r>
          </w:p>
        </w:tc>
      </w:tr>
      <w:tr w:rsidR="006827C2" w:rsidRPr="00EF2BEE" w14:paraId="18F57A54" w14:textId="77777777" w:rsidTr="006A73A1">
        <w:trPr>
          <w:trHeight w:val="221"/>
        </w:trPr>
        <w:tc>
          <w:tcPr>
            <w:tcW w:w="450" w:type="dxa"/>
            <w:vMerge/>
          </w:tcPr>
          <w:p w14:paraId="16763A70" w14:textId="77777777" w:rsidR="006827C2" w:rsidRPr="00EF2BEE" w:rsidRDefault="006827C2" w:rsidP="00910B78">
            <w:pPr>
              <w:rPr>
                <w:sz w:val="18"/>
                <w:lang w:val="fr-FR"/>
              </w:rPr>
            </w:pPr>
          </w:p>
        </w:tc>
        <w:tc>
          <w:tcPr>
            <w:tcW w:w="4410" w:type="dxa"/>
          </w:tcPr>
          <w:p w14:paraId="50AC97FA" w14:textId="484BEDD5" w:rsidR="006827C2" w:rsidRPr="00EF2BEE" w:rsidRDefault="0078787E" w:rsidP="00910B78">
            <w:pPr>
              <w:rPr>
                <w:sz w:val="18"/>
                <w:lang w:val="fr-FR"/>
              </w:rPr>
            </w:pPr>
            <w:r w:rsidRPr="00EF2BEE">
              <w:rPr>
                <w:sz w:val="18"/>
                <w:lang w:val="fr-FR"/>
              </w:rPr>
              <w:t>Taxe supplémentaire pour une description par mot excédant 100 mots</w:t>
            </w:r>
          </w:p>
        </w:tc>
        <w:tc>
          <w:tcPr>
            <w:tcW w:w="2430" w:type="dxa"/>
          </w:tcPr>
          <w:p w14:paraId="084F41FE" w14:textId="43A6EA2D" w:rsidR="006827C2" w:rsidRPr="00EF2BEE" w:rsidRDefault="00447F7B" w:rsidP="0078787E">
            <w:pPr>
              <w:jc w:val="right"/>
              <w:rPr>
                <w:sz w:val="18"/>
                <w:lang w:val="fr-FR"/>
              </w:rPr>
            </w:pPr>
            <w:r w:rsidRPr="00EF2BEE">
              <w:rPr>
                <w:sz w:val="18"/>
                <w:lang w:val="fr-FR"/>
              </w:rPr>
              <w:t>28</w:t>
            </w:r>
            <w:r w:rsidR="0078787E" w:rsidRPr="00EF2BEE">
              <w:rPr>
                <w:sz w:val="18"/>
                <w:lang w:val="fr-FR"/>
              </w:rPr>
              <w:t> </w:t>
            </w:r>
            <w:r w:rsidRPr="00EF2BEE">
              <w:rPr>
                <w:sz w:val="18"/>
                <w:lang w:val="fr-FR"/>
              </w:rPr>
              <w:t>500</w:t>
            </w:r>
            <w:r w:rsidR="006827C2" w:rsidRPr="00EF2BEE">
              <w:rPr>
                <w:sz w:val="18"/>
                <w:lang w:val="fr-FR"/>
              </w:rPr>
              <w:t xml:space="preserve"> </w:t>
            </w:r>
            <w:r w:rsidR="0078787E" w:rsidRPr="00EF2BEE">
              <w:rPr>
                <w:sz w:val="18"/>
                <w:lang w:val="fr-FR"/>
              </w:rPr>
              <w:t>mots</w:t>
            </w:r>
          </w:p>
        </w:tc>
        <w:tc>
          <w:tcPr>
            <w:tcW w:w="1080" w:type="dxa"/>
          </w:tcPr>
          <w:p w14:paraId="63A35D87" w14:textId="03DBA134" w:rsidR="006827C2" w:rsidRPr="00EF2BEE" w:rsidRDefault="00447F7B" w:rsidP="00910B78">
            <w:pPr>
              <w:jc w:val="right"/>
              <w:rPr>
                <w:sz w:val="18"/>
                <w:lang w:val="fr-FR"/>
              </w:rPr>
            </w:pPr>
            <w:r w:rsidRPr="00EF2BEE">
              <w:rPr>
                <w:sz w:val="18"/>
                <w:lang w:val="fr-FR"/>
              </w:rPr>
              <w:t>57</w:t>
            </w:r>
          </w:p>
        </w:tc>
        <w:tc>
          <w:tcPr>
            <w:tcW w:w="986" w:type="dxa"/>
          </w:tcPr>
          <w:p w14:paraId="0D47DCFC" w14:textId="0DE66D2D" w:rsidR="006827C2" w:rsidRPr="00EF2BEE" w:rsidRDefault="00D82E6E" w:rsidP="0078787E">
            <w:pPr>
              <w:jc w:val="right"/>
              <w:rPr>
                <w:sz w:val="18"/>
                <w:lang w:val="fr-FR"/>
              </w:rPr>
            </w:pPr>
            <w:r w:rsidRPr="00EF2BEE">
              <w:rPr>
                <w:sz w:val="18"/>
                <w:lang w:val="fr-FR"/>
              </w:rPr>
              <w:t>1</w:t>
            </w:r>
            <w:r w:rsidR="0078787E" w:rsidRPr="00EF2BEE">
              <w:rPr>
                <w:sz w:val="18"/>
                <w:lang w:val="fr-FR"/>
              </w:rPr>
              <w:t>,</w:t>
            </w:r>
            <w:r w:rsidRPr="00EF2BEE">
              <w:rPr>
                <w:sz w:val="18"/>
                <w:lang w:val="fr-FR"/>
              </w:rPr>
              <w:t>1</w:t>
            </w:r>
            <w:r w:rsidR="006827C2" w:rsidRPr="00EF2BEE">
              <w:rPr>
                <w:sz w:val="18"/>
                <w:lang w:val="fr-FR"/>
              </w:rPr>
              <w:t>%</w:t>
            </w:r>
          </w:p>
        </w:tc>
      </w:tr>
      <w:tr w:rsidR="006827C2" w:rsidRPr="00EF2BEE" w14:paraId="3C97C39C" w14:textId="77777777" w:rsidTr="006A73A1">
        <w:trPr>
          <w:trHeight w:val="208"/>
        </w:trPr>
        <w:tc>
          <w:tcPr>
            <w:tcW w:w="450" w:type="dxa"/>
            <w:vMerge/>
          </w:tcPr>
          <w:p w14:paraId="1C62A6A2" w14:textId="77777777" w:rsidR="006827C2" w:rsidRPr="00EF2BEE" w:rsidRDefault="006827C2" w:rsidP="00910B78">
            <w:pPr>
              <w:rPr>
                <w:sz w:val="18"/>
                <w:lang w:val="fr-FR"/>
              </w:rPr>
            </w:pPr>
          </w:p>
        </w:tc>
        <w:tc>
          <w:tcPr>
            <w:tcW w:w="4410" w:type="dxa"/>
          </w:tcPr>
          <w:p w14:paraId="0F9F5E96" w14:textId="76C403D7" w:rsidR="006827C2" w:rsidRPr="00EF2BEE" w:rsidRDefault="0078787E" w:rsidP="0078787E">
            <w:pPr>
              <w:rPr>
                <w:sz w:val="18"/>
                <w:lang w:val="fr-FR"/>
              </w:rPr>
            </w:pPr>
            <w:r w:rsidRPr="00EF2BEE">
              <w:rPr>
                <w:sz w:val="18"/>
                <w:lang w:val="fr-FR"/>
              </w:rPr>
              <w:t xml:space="preserve">Demandes abandonnées </w:t>
            </w:r>
            <w:r w:rsidR="006827C2" w:rsidRPr="00EF2BEE">
              <w:rPr>
                <w:sz w:val="18"/>
                <w:lang w:val="fr-FR"/>
              </w:rPr>
              <w:t>(</w:t>
            </w:r>
            <w:r w:rsidRPr="00EF2BEE">
              <w:rPr>
                <w:sz w:val="18"/>
                <w:lang w:val="fr-FR"/>
              </w:rPr>
              <w:t>règle </w:t>
            </w:r>
            <w:r w:rsidR="006827C2" w:rsidRPr="00EF2BEE">
              <w:rPr>
                <w:sz w:val="18"/>
                <w:lang w:val="fr-FR"/>
              </w:rPr>
              <w:t>14</w:t>
            </w:r>
            <w:r w:rsidRPr="00EF2BEE">
              <w:rPr>
                <w:sz w:val="18"/>
                <w:lang w:val="fr-FR"/>
              </w:rPr>
              <w:t>.</w:t>
            </w:r>
            <w:r w:rsidR="006827C2" w:rsidRPr="00EF2BEE">
              <w:rPr>
                <w:sz w:val="18"/>
                <w:lang w:val="fr-FR"/>
              </w:rPr>
              <w:t>3))</w:t>
            </w:r>
          </w:p>
        </w:tc>
        <w:tc>
          <w:tcPr>
            <w:tcW w:w="2430" w:type="dxa"/>
          </w:tcPr>
          <w:p w14:paraId="6FFC49C6" w14:textId="15B51F92" w:rsidR="006827C2" w:rsidRPr="00EF2BEE" w:rsidRDefault="00447F7B" w:rsidP="0078787E">
            <w:pPr>
              <w:jc w:val="right"/>
              <w:rPr>
                <w:sz w:val="18"/>
                <w:lang w:val="fr-FR"/>
              </w:rPr>
            </w:pPr>
            <w:r w:rsidRPr="00EF2BEE">
              <w:rPr>
                <w:sz w:val="18"/>
                <w:lang w:val="fr-FR"/>
              </w:rPr>
              <w:t>70</w:t>
            </w:r>
            <w:r w:rsidR="006827C2" w:rsidRPr="00EF2BEE">
              <w:rPr>
                <w:sz w:val="18"/>
                <w:lang w:val="fr-FR"/>
              </w:rPr>
              <w:t xml:space="preserve"> </w:t>
            </w:r>
            <w:r w:rsidR="0078787E" w:rsidRPr="00EF2BEE">
              <w:rPr>
                <w:sz w:val="18"/>
                <w:lang w:val="fr-FR"/>
              </w:rPr>
              <w:t>dépôt</w:t>
            </w:r>
            <w:r w:rsidR="006827C2" w:rsidRPr="00EF2BEE">
              <w:rPr>
                <w:sz w:val="18"/>
                <w:lang w:val="fr-FR"/>
              </w:rPr>
              <w:t>s</w:t>
            </w:r>
          </w:p>
        </w:tc>
        <w:tc>
          <w:tcPr>
            <w:tcW w:w="1080" w:type="dxa"/>
          </w:tcPr>
          <w:p w14:paraId="3CA7345B" w14:textId="23083C69" w:rsidR="006827C2" w:rsidRPr="00EF2BEE" w:rsidRDefault="00447F7B" w:rsidP="00910B78">
            <w:pPr>
              <w:jc w:val="right"/>
              <w:rPr>
                <w:sz w:val="18"/>
                <w:lang w:val="fr-FR"/>
              </w:rPr>
            </w:pPr>
            <w:r w:rsidRPr="00EF2BEE">
              <w:rPr>
                <w:sz w:val="18"/>
                <w:lang w:val="fr-FR"/>
              </w:rPr>
              <w:t>15</w:t>
            </w:r>
          </w:p>
        </w:tc>
        <w:tc>
          <w:tcPr>
            <w:tcW w:w="986" w:type="dxa"/>
          </w:tcPr>
          <w:p w14:paraId="7590519C" w14:textId="6FCFB75A" w:rsidR="006827C2" w:rsidRPr="00EF2BEE" w:rsidRDefault="00D82E6E" w:rsidP="0078787E">
            <w:pPr>
              <w:jc w:val="right"/>
              <w:rPr>
                <w:sz w:val="18"/>
                <w:lang w:val="fr-FR"/>
              </w:rPr>
            </w:pPr>
            <w:r w:rsidRPr="00EF2BEE">
              <w:rPr>
                <w:sz w:val="18"/>
                <w:lang w:val="fr-FR"/>
              </w:rPr>
              <w:t>0</w:t>
            </w:r>
            <w:r w:rsidR="0078787E" w:rsidRPr="00EF2BEE">
              <w:rPr>
                <w:sz w:val="18"/>
                <w:lang w:val="fr-FR"/>
              </w:rPr>
              <w:t>,</w:t>
            </w:r>
            <w:r w:rsidRPr="00EF2BEE">
              <w:rPr>
                <w:sz w:val="18"/>
                <w:lang w:val="fr-FR"/>
              </w:rPr>
              <w:t>3</w:t>
            </w:r>
            <w:r w:rsidR="006827C2" w:rsidRPr="00EF2BEE">
              <w:rPr>
                <w:sz w:val="18"/>
                <w:lang w:val="fr-FR"/>
              </w:rPr>
              <w:t>%</w:t>
            </w:r>
          </w:p>
        </w:tc>
      </w:tr>
      <w:tr w:rsidR="006827C2" w:rsidRPr="00EF2BEE" w14:paraId="0DE0CDCF" w14:textId="77777777" w:rsidTr="006A73A1">
        <w:trPr>
          <w:trHeight w:val="125"/>
        </w:trPr>
        <w:tc>
          <w:tcPr>
            <w:tcW w:w="4860" w:type="dxa"/>
            <w:gridSpan w:val="2"/>
            <w:tcBorders>
              <w:bottom w:val="nil"/>
            </w:tcBorders>
            <w:shd w:val="clear" w:color="auto" w:fill="C6D9F1" w:themeFill="text2" w:themeFillTint="33"/>
          </w:tcPr>
          <w:p w14:paraId="25380DEB" w14:textId="127A6E24" w:rsidR="006827C2" w:rsidRPr="00EF2BEE" w:rsidRDefault="006827C2" w:rsidP="0078787E">
            <w:pPr>
              <w:rPr>
                <w:sz w:val="18"/>
                <w:lang w:val="fr-FR"/>
              </w:rPr>
            </w:pPr>
            <w:r w:rsidRPr="00EF2BEE">
              <w:rPr>
                <w:sz w:val="18"/>
                <w:lang w:val="fr-FR"/>
              </w:rPr>
              <w:t>Ren</w:t>
            </w:r>
            <w:r w:rsidR="0078787E" w:rsidRPr="00EF2BEE">
              <w:rPr>
                <w:sz w:val="18"/>
                <w:lang w:val="fr-FR"/>
              </w:rPr>
              <w:t>ouvellement</w:t>
            </w:r>
            <w:r w:rsidRPr="00EF2BEE">
              <w:rPr>
                <w:sz w:val="18"/>
                <w:lang w:val="fr-FR"/>
              </w:rPr>
              <w:t xml:space="preserve"> (</w:t>
            </w:r>
            <w:r w:rsidR="00507887" w:rsidRPr="00EF2BEE">
              <w:rPr>
                <w:sz w:val="18"/>
                <w:lang w:val="fr-FR"/>
              </w:rPr>
              <w:t>point I</w:t>
            </w:r>
            <w:r w:rsidRPr="00EF2BEE">
              <w:rPr>
                <w:sz w:val="18"/>
                <w:lang w:val="fr-FR"/>
              </w:rPr>
              <w:t>II.7)</w:t>
            </w:r>
          </w:p>
        </w:tc>
        <w:tc>
          <w:tcPr>
            <w:tcW w:w="2430" w:type="dxa"/>
            <w:shd w:val="clear" w:color="auto" w:fill="C6D9F1" w:themeFill="text2" w:themeFillTint="33"/>
          </w:tcPr>
          <w:p w14:paraId="727AA677" w14:textId="483E3D23" w:rsidR="006827C2" w:rsidRPr="00EF2BEE" w:rsidRDefault="00447F7B" w:rsidP="0078787E">
            <w:pPr>
              <w:jc w:val="right"/>
              <w:rPr>
                <w:sz w:val="18"/>
                <w:lang w:val="fr-FR"/>
              </w:rPr>
            </w:pPr>
            <w:r w:rsidRPr="00EF2BEE">
              <w:rPr>
                <w:sz w:val="18"/>
                <w:lang w:val="fr-FR"/>
              </w:rPr>
              <w:t>3</w:t>
            </w:r>
            <w:r w:rsidR="0078787E" w:rsidRPr="00EF2BEE">
              <w:rPr>
                <w:sz w:val="18"/>
                <w:lang w:val="fr-FR"/>
              </w:rPr>
              <w:t> </w:t>
            </w:r>
            <w:r w:rsidRPr="00EF2BEE">
              <w:rPr>
                <w:sz w:val="18"/>
                <w:lang w:val="fr-FR"/>
              </w:rPr>
              <w:t>547</w:t>
            </w:r>
            <w:r w:rsidR="006827C2" w:rsidRPr="00EF2BEE">
              <w:rPr>
                <w:sz w:val="18"/>
                <w:lang w:val="fr-FR"/>
              </w:rPr>
              <w:t xml:space="preserve"> ren</w:t>
            </w:r>
            <w:r w:rsidR="0078787E" w:rsidRPr="00EF2BEE">
              <w:rPr>
                <w:sz w:val="18"/>
                <w:lang w:val="fr-FR"/>
              </w:rPr>
              <w:t>ouvellements</w:t>
            </w:r>
          </w:p>
        </w:tc>
        <w:tc>
          <w:tcPr>
            <w:tcW w:w="1080" w:type="dxa"/>
            <w:shd w:val="clear" w:color="auto" w:fill="C6D9F1" w:themeFill="text2" w:themeFillTint="33"/>
          </w:tcPr>
          <w:p w14:paraId="665128FA" w14:textId="2DDEE72C" w:rsidR="006827C2" w:rsidRPr="00EF2BEE" w:rsidRDefault="00447F7B" w:rsidP="00910B78">
            <w:pPr>
              <w:jc w:val="right"/>
              <w:rPr>
                <w:sz w:val="18"/>
                <w:lang w:val="fr-FR"/>
              </w:rPr>
            </w:pPr>
            <w:r w:rsidRPr="00EF2BEE">
              <w:rPr>
                <w:sz w:val="18"/>
                <w:lang w:val="fr-FR"/>
              </w:rPr>
              <w:t>939</w:t>
            </w:r>
          </w:p>
        </w:tc>
        <w:tc>
          <w:tcPr>
            <w:tcW w:w="986" w:type="dxa"/>
            <w:shd w:val="clear" w:color="auto" w:fill="C6D9F1" w:themeFill="text2" w:themeFillTint="33"/>
          </w:tcPr>
          <w:p w14:paraId="529DE180" w14:textId="1C3BB46A" w:rsidR="006827C2" w:rsidRPr="00EF2BEE" w:rsidRDefault="00D82E6E" w:rsidP="0078787E">
            <w:pPr>
              <w:jc w:val="right"/>
              <w:rPr>
                <w:sz w:val="18"/>
                <w:lang w:val="fr-FR"/>
              </w:rPr>
            </w:pPr>
            <w:r w:rsidRPr="00EF2BEE">
              <w:rPr>
                <w:sz w:val="18"/>
                <w:lang w:val="fr-FR"/>
              </w:rPr>
              <w:t>18</w:t>
            </w:r>
            <w:r w:rsidR="0078787E" w:rsidRPr="00EF2BEE">
              <w:rPr>
                <w:sz w:val="18"/>
                <w:lang w:val="fr-FR"/>
              </w:rPr>
              <w:t>,</w:t>
            </w:r>
            <w:r w:rsidRPr="00EF2BEE">
              <w:rPr>
                <w:sz w:val="18"/>
                <w:lang w:val="fr-FR"/>
              </w:rPr>
              <w:t>2</w:t>
            </w:r>
            <w:r w:rsidR="006827C2" w:rsidRPr="00EF2BEE">
              <w:rPr>
                <w:sz w:val="18"/>
                <w:lang w:val="fr-FR"/>
              </w:rPr>
              <w:t>%</w:t>
            </w:r>
          </w:p>
        </w:tc>
      </w:tr>
      <w:tr w:rsidR="006827C2" w:rsidRPr="00EF2BEE" w14:paraId="5578CF32" w14:textId="77777777" w:rsidTr="006A73A1">
        <w:tc>
          <w:tcPr>
            <w:tcW w:w="450" w:type="dxa"/>
            <w:vMerge w:val="restart"/>
            <w:tcBorders>
              <w:top w:val="nil"/>
            </w:tcBorders>
          </w:tcPr>
          <w:p w14:paraId="04443DAB" w14:textId="77777777" w:rsidR="006827C2" w:rsidRPr="00EF2BEE" w:rsidRDefault="006827C2" w:rsidP="00910B78">
            <w:pPr>
              <w:rPr>
                <w:sz w:val="18"/>
                <w:lang w:val="fr-FR"/>
              </w:rPr>
            </w:pPr>
          </w:p>
        </w:tc>
        <w:tc>
          <w:tcPr>
            <w:tcW w:w="4410" w:type="dxa"/>
          </w:tcPr>
          <w:tbl>
            <w:tblPr>
              <w:tblW w:w="0" w:type="auto"/>
              <w:tblBorders>
                <w:top w:val="nil"/>
                <w:left w:val="nil"/>
                <w:bottom w:val="nil"/>
                <w:right w:val="nil"/>
              </w:tblBorders>
              <w:tblLayout w:type="fixed"/>
              <w:tblLook w:val="0000" w:firstRow="0" w:lastRow="0" w:firstColumn="0" w:lastColumn="0" w:noHBand="0" w:noVBand="0"/>
            </w:tblPr>
            <w:tblGrid>
              <w:gridCol w:w="3812"/>
            </w:tblGrid>
            <w:tr w:rsidR="006A73A1" w:rsidRPr="00EF2BEE" w14:paraId="10E8B5CF" w14:textId="77777777">
              <w:trPr>
                <w:trHeight w:val="84"/>
              </w:trPr>
              <w:tc>
                <w:tcPr>
                  <w:tcW w:w="3812" w:type="dxa"/>
                </w:tcPr>
                <w:p w14:paraId="6F22461D" w14:textId="77777777" w:rsidR="006A73A1" w:rsidRPr="00EF2BEE" w:rsidRDefault="006A73A1" w:rsidP="006A73A1">
                  <w:pPr>
                    <w:rPr>
                      <w:sz w:val="18"/>
                      <w:szCs w:val="22"/>
                      <w:lang w:val="fr-FR"/>
                    </w:rPr>
                  </w:pPr>
                  <w:r w:rsidRPr="00EF2BEE">
                    <w:rPr>
                      <w:sz w:val="18"/>
                      <w:szCs w:val="22"/>
                      <w:lang w:val="fr-FR"/>
                    </w:rPr>
                    <w:t xml:space="preserve">Taxe de base pour le premier dessin ou modèle </w:t>
                  </w:r>
                </w:p>
              </w:tc>
            </w:tr>
          </w:tbl>
          <w:p w14:paraId="48FE76D4" w14:textId="710BDCCB" w:rsidR="006827C2" w:rsidRPr="00EF2BEE" w:rsidRDefault="006827C2" w:rsidP="00910B78">
            <w:pPr>
              <w:rPr>
                <w:sz w:val="18"/>
                <w:lang w:val="fr-FR"/>
              </w:rPr>
            </w:pPr>
          </w:p>
        </w:tc>
        <w:tc>
          <w:tcPr>
            <w:tcW w:w="2430" w:type="dxa"/>
          </w:tcPr>
          <w:p w14:paraId="65217536" w14:textId="2BEE09AE" w:rsidR="006827C2" w:rsidRPr="00EF2BEE" w:rsidRDefault="00447F7B" w:rsidP="0078787E">
            <w:pPr>
              <w:jc w:val="right"/>
              <w:rPr>
                <w:sz w:val="18"/>
                <w:lang w:val="fr-FR"/>
              </w:rPr>
            </w:pPr>
            <w:r w:rsidRPr="00EF2BEE">
              <w:rPr>
                <w:sz w:val="18"/>
                <w:lang w:val="fr-FR"/>
              </w:rPr>
              <w:t>3</w:t>
            </w:r>
            <w:r w:rsidR="0078787E" w:rsidRPr="00EF2BEE">
              <w:rPr>
                <w:sz w:val="18"/>
                <w:lang w:val="fr-FR"/>
              </w:rPr>
              <w:t> </w:t>
            </w:r>
            <w:r w:rsidRPr="00EF2BEE">
              <w:rPr>
                <w:sz w:val="18"/>
                <w:lang w:val="fr-FR"/>
              </w:rPr>
              <w:t>547</w:t>
            </w:r>
            <w:r w:rsidR="006827C2" w:rsidRPr="00EF2BEE">
              <w:rPr>
                <w:sz w:val="18"/>
                <w:lang w:val="fr-FR"/>
              </w:rPr>
              <w:t xml:space="preserve"> </w:t>
            </w:r>
            <w:r w:rsidR="006A73A1" w:rsidRPr="00EF2BEE">
              <w:rPr>
                <w:sz w:val="18"/>
                <w:lang w:val="fr-FR"/>
              </w:rPr>
              <w:t>dessins ou modèles</w:t>
            </w:r>
          </w:p>
        </w:tc>
        <w:tc>
          <w:tcPr>
            <w:tcW w:w="1080" w:type="dxa"/>
          </w:tcPr>
          <w:p w14:paraId="4F9A7C6C" w14:textId="412ED396" w:rsidR="006827C2" w:rsidRPr="00EF2BEE" w:rsidRDefault="00447F7B" w:rsidP="0090509F">
            <w:pPr>
              <w:jc w:val="right"/>
              <w:rPr>
                <w:sz w:val="18"/>
                <w:lang w:val="fr-FR"/>
              </w:rPr>
            </w:pPr>
            <w:r w:rsidRPr="00EF2BEE">
              <w:rPr>
                <w:sz w:val="18"/>
                <w:lang w:val="fr-FR"/>
              </w:rPr>
              <w:t>710</w:t>
            </w:r>
            <w:r w:rsidR="0090509F" w:rsidRPr="00EF2BEE">
              <w:rPr>
                <w:rStyle w:val="FootnoteReference"/>
                <w:sz w:val="18"/>
                <w:lang w:val="fr-FR"/>
              </w:rPr>
              <w:footnoteReference w:id="6"/>
            </w:r>
          </w:p>
        </w:tc>
        <w:tc>
          <w:tcPr>
            <w:tcW w:w="986" w:type="dxa"/>
          </w:tcPr>
          <w:p w14:paraId="74A412F9" w14:textId="34D3A28D" w:rsidR="006827C2" w:rsidRPr="00EF2BEE" w:rsidRDefault="00D82E6E" w:rsidP="0078787E">
            <w:pPr>
              <w:jc w:val="right"/>
              <w:rPr>
                <w:sz w:val="18"/>
                <w:lang w:val="fr-FR"/>
              </w:rPr>
            </w:pPr>
            <w:r w:rsidRPr="00EF2BEE">
              <w:rPr>
                <w:sz w:val="18"/>
                <w:lang w:val="fr-FR"/>
              </w:rPr>
              <w:t>13</w:t>
            </w:r>
            <w:r w:rsidR="0078787E" w:rsidRPr="00EF2BEE">
              <w:rPr>
                <w:sz w:val="18"/>
                <w:lang w:val="fr-FR"/>
              </w:rPr>
              <w:t>,</w:t>
            </w:r>
            <w:r w:rsidRPr="00EF2BEE">
              <w:rPr>
                <w:sz w:val="18"/>
                <w:lang w:val="fr-FR"/>
              </w:rPr>
              <w:t>8</w:t>
            </w:r>
            <w:r w:rsidR="006827C2" w:rsidRPr="00EF2BEE">
              <w:rPr>
                <w:sz w:val="18"/>
                <w:lang w:val="fr-FR"/>
              </w:rPr>
              <w:t>%</w:t>
            </w:r>
          </w:p>
        </w:tc>
      </w:tr>
      <w:tr w:rsidR="006827C2" w:rsidRPr="00EF2BEE" w14:paraId="7D7C60ED" w14:textId="77777777" w:rsidTr="006A73A1">
        <w:trPr>
          <w:trHeight w:val="242"/>
        </w:trPr>
        <w:tc>
          <w:tcPr>
            <w:tcW w:w="450" w:type="dxa"/>
            <w:vMerge/>
            <w:tcBorders>
              <w:bottom w:val="single" w:sz="4" w:space="0" w:color="auto"/>
            </w:tcBorders>
          </w:tcPr>
          <w:p w14:paraId="16B18B02" w14:textId="77777777" w:rsidR="006827C2" w:rsidRPr="00EF2BEE" w:rsidRDefault="006827C2" w:rsidP="00910B78">
            <w:pPr>
              <w:rPr>
                <w:sz w:val="18"/>
                <w:lang w:val="fr-FR"/>
              </w:rPr>
            </w:pPr>
          </w:p>
        </w:tc>
        <w:tc>
          <w:tcPr>
            <w:tcW w:w="4410" w:type="dxa"/>
            <w:tcBorders>
              <w:bottom w:val="single" w:sz="4" w:space="0" w:color="auto"/>
            </w:tcBorders>
          </w:tcPr>
          <w:p w14:paraId="342E7709" w14:textId="0E3506A4" w:rsidR="006827C2" w:rsidRPr="00EF2BEE" w:rsidRDefault="006A73A1" w:rsidP="00910B78">
            <w:pPr>
              <w:rPr>
                <w:sz w:val="18"/>
                <w:lang w:val="fr-FR"/>
              </w:rPr>
            </w:pPr>
            <w:r w:rsidRPr="00EF2BEE">
              <w:rPr>
                <w:sz w:val="18"/>
                <w:lang w:val="fr-FR"/>
              </w:rPr>
              <w:t>Taxe de base pour chaque dessin ou modèle supplémentaire</w:t>
            </w:r>
          </w:p>
        </w:tc>
        <w:tc>
          <w:tcPr>
            <w:tcW w:w="2430" w:type="dxa"/>
          </w:tcPr>
          <w:p w14:paraId="75996DA8" w14:textId="4286C31E" w:rsidR="006827C2" w:rsidRPr="00EF2BEE" w:rsidRDefault="00447F7B" w:rsidP="006A73A1">
            <w:pPr>
              <w:jc w:val="right"/>
              <w:rPr>
                <w:sz w:val="18"/>
                <w:lang w:val="fr-FR"/>
              </w:rPr>
            </w:pPr>
            <w:r w:rsidRPr="00EF2BEE">
              <w:rPr>
                <w:sz w:val="18"/>
                <w:lang w:val="fr-FR"/>
              </w:rPr>
              <w:t>13</w:t>
            </w:r>
            <w:r w:rsidR="006A73A1" w:rsidRPr="00EF2BEE">
              <w:rPr>
                <w:sz w:val="18"/>
                <w:lang w:val="fr-FR"/>
              </w:rPr>
              <w:t> </w:t>
            </w:r>
            <w:r w:rsidRPr="00EF2BEE">
              <w:rPr>
                <w:sz w:val="18"/>
                <w:lang w:val="fr-FR"/>
              </w:rPr>
              <w:t>703</w:t>
            </w:r>
            <w:r w:rsidR="006827C2" w:rsidRPr="00EF2BEE">
              <w:rPr>
                <w:sz w:val="18"/>
                <w:lang w:val="fr-FR"/>
              </w:rPr>
              <w:t xml:space="preserve"> </w:t>
            </w:r>
            <w:r w:rsidR="006A73A1" w:rsidRPr="00EF2BEE">
              <w:rPr>
                <w:sz w:val="18"/>
                <w:lang w:val="fr-FR"/>
              </w:rPr>
              <w:t>dessins ou modèles</w:t>
            </w:r>
          </w:p>
        </w:tc>
        <w:tc>
          <w:tcPr>
            <w:tcW w:w="1080" w:type="dxa"/>
          </w:tcPr>
          <w:p w14:paraId="1A10BA9F" w14:textId="08E7DBF5" w:rsidR="006827C2" w:rsidRPr="00EF2BEE" w:rsidRDefault="00447F7B" w:rsidP="00910B78">
            <w:pPr>
              <w:jc w:val="right"/>
              <w:rPr>
                <w:sz w:val="18"/>
                <w:lang w:val="fr-FR"/>
              </w:rPr>
            </w:pPr>
            <w:r w:rsidRPr="00EF2BEE">
              <w:rPr>
                <w:sz w:val="18"/>
                <w:lang w:val="fr-FR"/>
              </w:rPr>
              <w:t>229</w:t>
            </w:r>
          </w:p>
        </w:tc>
        <w:tc>
          <w:tcPr>
            <w:tcW w:w="986" w:type="dxa"/>
          </w:tcPr>
          <w:p w14:paraId="0ED43184" w14:textId="794654A7" w:rsidR="006827C2" w:rsidRPr="00EF2BEE" w:rsidRDefault="00D82E6E" w:rsidP="006A73A1">
            <w:pPr>
              <w:jc w:val="right"/>
              <w:rPr>
                <w:sz w:val="18"/>
                <w:lang w:val="fr-FR"/>
              </w:rPr>
            </w:pPr>
            <w:r w:rsidRPr="00EF2BEE">
              <w:rPr>
                <w:sz w:val="18"/>
                <w:lang w:val="fr-FR"/>
              </w:rPr>
              <w:t>4</w:t>
            </w:r>
            <w:r w:rsidR="006A73A1" w:rsidRPr="00EF2BEE">
              <w:rPr>
                <w:sz w:val="18"/>
                <w:lang w:val="fr-FR"/>
              </w:rPr>
              <w:t>,</w:t>
            </w:r>
            <w:r w:rsidRPr="00EF2BEE">
              <w:rPr>
                <w:sz w:val="18"/>
                <w:lang w:val="fr-FR"/>
              </w:rPr>
              <w:t>4</w:t>
            </w:r>
            <w:r w:rsidR="006827C2" w:rsidRPr="00EF2BEE">
              <w:rPr>
                <w:sz w:val="18"/>
                <w:lang w:val="fr-FR"/>
              </w:rPr>
              <w:t>%</w:t>
            </w:r>
          </w:p>
        </w:tc>
      </w:tr>
      <w:tr w:rsidR="006827C2" w:rsidRPr="00EF2BEE" w14:paraId="754B9185" w14:textId="77777777" w:rsidTr="006A73A1">
        <w:tc>
          <w:tcPr>
            <w:tcW w:w="4860" w:type="dxa"/>
            <w:gridSpan w:val="2"/>
            <w:tcBorders>
              <w:top w:val="single" w:sz="4" w:space="0" w:color="auto"/>
              <w:left w:val="single" w:sz="4" w:space="0" w:color="auto"/>
              <w:bottom w:val="nil"/>
              <w:right w:val="nil"/>
            </w:tcBorders>
            <w:shd w:val="clear" w:color="auto" w:fill="C6D9F1" w:themeFill="text2" w:themeFillTint="33"/>
          </w:tcPr>
          <w:p w14:paraId="279F6B58" w14:textId="0E66752A" w:rsidR="006827C2" w:rsidRPr="00EF2BEE" w:rsidRDefault="006A73A1" w:rsidP="006A73A1">
            <w:pPr>
              <w:keepNext/>
              <w:rPr>
                <w:sz w:val="18"/>
                <w:lang w:val="fr-FR"/>
              </w:rPr>
            </w:pPr>
            <w:r w:rsidRPr="00EF2BEE">
              <w:rPr>
                <w:sz w:val="18"/>
                <w:lang w:val="fr-FR"/>
              </w:rPr>
              <w:t>Autres taxes</w:t>
            </w:r>
            <w:r w:rsidR="006827C2" w:rsidRPr="00EF2BEE">
              <w:rPr>
                <w:sz w:val="18"/>
                <w:lang w:val="fr-FR"/>
              </w:rPr>
              <w:t xml:space="preserve"> (</w:t>
            </w:r>
            <w:r w:rsidRPr="00EF2BEE">
              <w:rPr>
                <w:sz w:val="18"/>
                <w:lang w:val="fr-FR"/>
              </w:rPr>
              <w:t>points </w:t>
            </w:r>
            <w:r w:rsidR="006827C2" w:rsidRPr="00EF2BEE">
              <w:rPr>
                <w:sz w:val="18"/>
                <w:lang w:val="fr-FR"/>
              </w:rPr>
              <w:t xml:space="preserve">V </w:t>
            </w:r>
            <w:r w:rsidRPr="00EF2BEE">
              <w:rPr>
                <w:sz w:val="18"/>
                <w:lang w:val="fr-FR"/>
              </w:rPr>
              <w:t>et</w:t>
            </w:r>
            <w:r w:rsidR="006827C2" w:rsidRPr="00EF2BEE">
              <w:rPr>
                <w:sz w:val="18"/>
                <w:lang w:val="fr-FR"/>
              </w:rPr>
              <w:t xml:space="preserve"> VI)</w:t>
            </w:r>
          </w:p>
        </w:tc>
        <w:tc>
          <w:tcPr>
            <w:tcW w:w="2430" w:type="dxa"/>
            <w:tcBorders>
              <w:left w:val="nil"/>
            </w:tcBorders>
            <w:shd w:val="clear" w:color="auto" w:fill="C6D9F1" w:themeFill="text2" w:themeFillTint="33"/>
          </w:tcPr>
          <w:p w14:paraId="29E5E391" w14:textId="77777777" w:rsidR="006827C2" w:rsidRPr="00EF2BEE" w:rsidRDefault="006827C2" w:rsidP="00910B78">
            <w:pPr>
              <w:keepNext/>
              <w:jc w:val="right"/>
              <w:rPr>
                <w:sz w:val="18"/>
                <w:lang w:val="fr-FR"/>
              </w:rPr>
            </w:pPr>
          </w:p>
        </w:tc>
        <w:tc>
          <w:tcPr>
            <w:tcW w:w="1080" w:type="dxa"/>
            <w:shd w:val="clear" w:color="auto" w:fill="C6D9F1" w:themeFill="text2" w:themeFillTint="33"/>
          </w:tcPr>
          <w:p w14:paraId="7357E7EC" w14:textId="60C8C132" w:rsidR="006827C2" w:rsidRPr="00EF2BEE" w:rsidRDefault="00375320" w:rsidP="00910B78">
            <w:pPr>
              <w:keepNext/>
              <w:jc w:val="right"/>
              <w:rPr>
                <w:sz w:val="18"/>
                <w:lang w:val="fr-FR"/>
              </w:rPr>
            </w:pPr>
            <w:r w:rsidRPr="00EF2BEE">
              <w:rPr>
                <w:sz w:val="18"/>
                <w:lang w:val="fr-FR"/>
              </w:rPr>
              <w:t>23</w:t>
            </w:r>
            <w:r w:rsidR="00375DFA" w:rsidRPr="00EF2BEE">
              <w:rPr>
                <w:sz w:val="18"/>
                <w:lang w:val="fr-FR"/>
              </w:rPr>
              <w:t>6</w:t>
            </w:r>
          </w:p>
        </w:tc>
        <w:tc>
          <w:tcPr>
            <w:tcW w:w="986" w:type="dxa"/>
            <w:shd w:val="clear" w:color="auto" w:fill="C6D9F1" w:themeFill="text2" w:themeFillTint="33"/>
          </w:tcPr>
          <w:p w14:paraId="0E69360F" w14:textId="39AF349D" w:rsidR="006827C2" w:rsidRPr="00EF2BEE" w:rsidRDefault="00D82E6E" w:rsidP="006A73A1">
            <w:pPr>
              <w:keepNext/>
              <w:jc w:val="right"/>
              <w:rPr>
                <w:sz w:val="18"/>
                <w:lang w:val="fr-FR"/>
              </w:rPr>
            </w:pPr>
            <w:r w:rsidRPr="00EF2BEE">
              <w:rPr>
                <w:sz w:val="18"/>
                <w:lang w:val="fr-FR"/>
              </w:rPr>
              <w:t>4</w:t>
            </w:r>
            <w:r w:rsidR="006A73A1" w:rsidRPr="00EF2BEE">
              <w:rPr>
                <w:sz w:val="18"/>
                <w:lang w:val="fr-FR"/>
              </w:rPr>
              <w:t>,</w:t>
            </w:r>
            <w:r w:rsidRPr="00EF2BEE">
              <w:rPr>
                <w:sz w:val="18"/>
                <w:lang w:val="fr-FR"/>
              </w:rPr>
              <w:t>6</w:t>
            </w:r>
            <w:r w:rsidR="006827C2" w:rsidRPr="00EF2BEE">
              <w:rPr>
                <w:sz w:val="18"/>
                <w:lang w:val="fr-FR"/>
              </w:rPr>
              <w:t>%</w:t>
            </w:r>
          </w:p>
        </w:tc>
      </w:tr>
      <w:tr w:rsidR="006827C2" w:rsidRPr="00EF2BEE" w14:paraId="04902976" w14:textId="77777777" w:rsidTr="006A73A1">
        <w:trPr>
          <w:trHeight w:val="242"/>
        </w:trPr>
        <w:tc>
          <w:tcPr>
            <w:tcW w:w="450" w:type="dxa"/>
            <w:vMerge w:val="restart"/>
            <w:tcBorders>
              <w:top w:val="nil"/>
              <w:left w:val="single" w:sz="4" w:space="0" w:color="auto"/>
              <w:bottom w:val="nil"/>
              <w:right w:val="single" w:sz="4" w:space="0" w:color="auto"/>
            </w:tcBorders>
          </w:tcPr>
          <w:p w14:paraId="6F1AA4BB" w14:textId="77777777" w:rsidR="006827C2" w:rsidRPr="00EF2BEE" w:rsidRDefault="006827C2" w:rsidP="00910B78">
            <w:pPr>
              <w:keepNext/>
              <w:rPr>
                <w:sz w:val="18"/>
                <w:lang w:val="fr-FR"/>
              </w:rPr>
            </w:pPr>
          </w:p>
        </w:tc>
        <w:tc>
          <w:tcPr>
            <w:tcW w:w="4410" w:type="dxa"/>
            <w:tcBorders>
              <w:lef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395"/>
            </w:tblGrid>
            <w:tr w:rsidR="006A73A1" w:rsidRPr="00EF2BEE" w14:paraId="36AB493C" w14:textId="77777777">
              <w:trPr>
                <w:trHeight w:val="187"/>
              </w:trPr>
              <w:tc>
                <w:tcPr>
                  <w:tcW w:w="3395" w:type="dxa"/>
                </w:tcPr>
                <w:p w14:paraId="10FC35DE" w14:textId="23BE4CFE" w:rsidR="006A73A1" w:rsidRPr="00EF2BEE" w:rsidRDefault="006A73A1" w:rsidP="006A73A1">
                  <w:pPr>
                    <w:keepNext/>
                    <w:rPr>
                      <w:sz w:val="18"/>
                      <w:szCs w:val="22"/>
                      <w:lang w:val="fr-FR"/>
                    </w:rPr>
                  </w:pPr>
                  <w:r w:rsidRPr="00EF2BEE">
                    <w:rPr>
                      <w:sz w:val="18"/>
                      <w:szCs w:val="22"/>
                      <w:lang w:val="fr-FR"/>
                    </w:rPr>
                    <w:t>Changement de titulaire/de nom/d</w:t>
                  </w:r>
                  <w:r w:rsidR="00507887" w:rsidRPr="00EF2BEE">
                    <w:rPr>
                      <w:sz w:val="18"/>
                      <w:szCs w:val="22"/>
                      <w:lang w:val="fr-FR"/>
                    </w:rPr>
                    <w:t>’</w:t>
                  </w:r>
                  <w:r w:rsidRPr="00EF2BEE">
                    <w:rPr>
                      <w:sz w:val="18"/>
                      <w:szCs w:val="22"/>
                      <w:lang w:val="fr-FR"/>
                    </w:rPr>
                    <w:t>adresse (</w:t>
                  </w:r>
                  <w:r w:rsidR="00507887" w:rsidRPr="00EF2BEE">
                    <w:rPr>
                      <w:sz w:val="18"/>
                      <w:szCs w:val="22"/>
                      <w:lang w:val="fr-FR"/>
                    </w:rPr>
                    <w:t>point V</w:t>
                  </w:r>
                  <w:r w:rsidRPr="00EF2BEE">
                    <w:rPr>
                      <w:sz w:val="18"/>
                      <w:szCs w:val="22"/>
                      <w:lang w:val="fr-FR"/>
                    </w:rPr>
                    <w:t>.13 et 14)</w:t>
                  </w:r>
                </w:p>
              </w:tc>
            </w:tr>
          </w:tbl>
          <w:p w14:paraId="6C2E9F3B" w14:textId="197ADFFA" w:rsidR="006827C2" w:rsidRPr="00EF2BEE" w:rsidRDefault="006827C2" w:rsidP="00910B78">
            <w:pPr>
              <w:keepNext/>
              <w:rPr>
                <w:sz w:val="18"/>
                <w:lang w:val="fr-FR"/>
              </w:rPr>
            </w:pPr>
          </w:p>
        </w:tc>
        <w:tc>
          <w:tcPr>
            <w:tcW w:w="2430" w:type="dxa"/>
          </w:tcPr>
          <w:p w14:paraId="539F79AB" w14:textId="10E456EE" w:rsidR="006827C2" w:rsidRPr="00EF2BEE" w:rsidRDefault="00447F7B" w:rsidP="006A73A1">
            <w:pPr>
              <w:keepNext/>
              <w:jc w:val="right"/>
              <w:rPr>
                <w:sz w:val="18"/>
                <w:lang w:val="fr-FR"/>
              </w:rPr>
            </w:pPr>
            <w:r w:rsidRPr="00EF2BEE">
              <w:rPr>
                <w:sz w:val="18"/>
                <w:lang w:val="fr-FR"/>
              </w:rPr>
              <w:t>169</w:t>
            </w:r>
            <w:r w:rsidR="006827C2" w:rsidRPr="00EF2BEE">
              <w:rPr>
                <w:sz w:val="18"/>
                <w:lang w:val="fr-FR"/>
              </w:rPr>
              <w:t xml:space="preserve"> </w:t>
            </w:r>
            <w:r w:rsidR="006A73A1" w:rsidRPr="00EF2BEE">
              <w:rPr>
                <w:sz w:val="18"/>
                <w:lang w:val="fr-FR"/>
              </w:rPr>
              <w:t>enregistrements</w:t>
            </w:r>
          </w:p>
        </w:tc>
        <w:tc>
          <w:tcPr>
            <w:tcW w:w="1080" w:type="dxa"/>
          </w:tcPr>
          <w:p w14:paraId="280B69DE" w14:textId="0EF9544E" w:rsidR="006827C2" w:rsidRPr="00EF2BEE" w:rsidRDefault="00447F7B" w:rsidP="00910B78">
            <w:pPr>
              <w:keepNext/>
              <w:jc w:val="right"/>
              <w:rPr>
                <w:sz w:val="18"/>
                <w:lang w:val="fr-FR"/>
              </w:rPr>
            </w:pPr>
            <w:r w:rsidRPr="00EF2BEE">
              <w:rPr>
                <w:sz w:val="18"/>
                <w:lang w:val="fr-FR"/>
              </w:rPr>
              <w:t>20</w:t>
            </w:r>
          </w:p>
        </w:tc>
        <w:tc>
          <w:tcPr>
            <w:tcW w:w="986" w:type="dxa"/>
          </w:tcPr>
          <w:p w14:paraId="58E92DD5" w14:textId="15625365" w:rsidR="006827C2" w:rsidRPr="00EF2BEE" w:rsidRDefault="00D82E6E" w:rsidP="006A73A1">
            <w:pPr>
              <w:keepNext/>
              <w:jc w:val="right"/>
              <w:rPr>
                <w:sz w:val="18"/>
                <w:lang w:val="fr-FR"/>
              </w:rPr>
            </w:pPr>
            <w:r w:rsidRPr="00EF2BEE">
              <w:rPr>
                <w:sz w:val="18"/>
                <w:lang w:val="fr-FR"/>
              </w:rPr>
              <w:t>0</w:t>
            </w:r>
            <w:r w:rsidR="006A73A1" w:rsidRPr="00EF2BEE">
              <w:rPr>
                <w:sz w:val="18"/>
                <w:lang w:val="fr-FR"/>
              </w:rPr>
              <w:t>,</w:t>
            </w:r>
            <w:r w:rsidRPr="00EF2BEE">
              <w:rPr>
                <w:sz w:val="18"/>
                <w:lang w:val="fr-FR"/>
              </w:rPr>
              <w:t>4</w:t>
            </w:r>
            <w:r w:rsidR="006827C2" w:rsidRPr="00EF2BEE">
              <w:rPr>
                <w:sz w:val="18"/>
                <w:lang w:val="fr-FR"/>
              </w:rPr>
              <w:t>%</w:t>
            </w:r>
          </w:p>
        </w:tc>
      </w:tr>
      <w:tr w:rsidR="006827C2" w:rsidRPr="00EF2BEE" w14:paraId="27B6F2C1" w14:textId="77777777" w:rsidTr="006A73A1">
        <w:trPr>
          <w:trHeight w:val="242"/>
        </w:trPr>
        <w:tc>
          <w:tcPr>
            <w:tcW w:w="450" w:type="dxa"/>
            <w:vMerge/>
            <w:tcBorders>
              <w:top w:val="nil"/>
              <w:left w:val="single" w:sz="4" w:space="0" w:color="auto"/>
              <w:bottom w:val="nil"/>
              <w:right w:val="single" w:sz="4" w:space="0" w:color="auto"/>
            </w:tcBorders>
          </w:tcPr>
          <w:p w14:paraId="2993489E" w14:textId="77777777" w:rsidR="006827C2" w:rsidRPr="00EF2BEE" w:rsidRDefault="006827C2" w:rsidP="00910B78">
            <w:pPr>
              <w:keepNext/>
              <w:rPr>
                <w:sz w:val="18"/>
                <w:lang w:val="fr-FR"/>
              </w:rPr>
            </w:pPr>
          </w:p>
        </w:tc>
        <w:tc>
          <w:tcPr>
            <w:tcW w:w="4410" w:type="dxa"/>
            <w:tcBorders>
              <w:left w:val="single" w:sz="4" w:space="0" w:color="auto"/>
            </w:tcBorders>
          </w:tcPr>
          <w:p w14:paraId="1255AA72" w14:textId="72957ADD" w:rsidR="006827C2" w:rsidRPr="00EF2BEE" w:rsidRDefault="006827C2" w:rsidP="006A73A1">
            <w:pPr>
              <w:keepNext/>
              <w:rPr>
                <w:sz w:val="18"/>
                <w:lang w:val="fr-FR"/>
              </w:rPr>
            </w:pPr>
            <w:r w:rsidRPr="00EF2BEE">
              <w:rPr>
                <w:sz w:val="18"/>
                <w:lang w:val="fr-FR"/>
              </w:rPr>
              <w:t>Ren</w:t>
            </w:r>
            <w:r w:rsidR="006A73A1" w:rsidRPr="00EF2BEE">
              <w:rPr>
                <w:sz w:val="18"/>
                <w:lang w:val="fr-FR"/>
              </w:rPr>
              <w:t>o</w:t>
            </w:r>
            <w:r w:rsidRPr="00EF2BEE">
              <w:rPr>
                <w:sz w:val="18"/>
                <w:lang w:val="fr-FR"/>
              </w:rPr>
              <w:t>nciation/limitation (</w:t>
            </w:r>
            <w:r w:rsidR="006A73A1" w:rsidRPr="00EF2BEE">
              <w:rPr>
                <w:sz w:val="18"/>
                <w:lang w:val="fr-FR"/>
              </w:rPr>
              <w:t>point </w:t>
            </w:r>
            <w:r w:rsidRPr="00EF2BEE">
              <w:rPr>
                <w:sz w:val="18"/>
                <w:lang w:val="fr-FR"/>
              </w:rPr>
              <w:t>V.</w:t>
            </w:r>
            <w:r w:rsidR="006654B4" w:rsidRPr="00EF2BEE">
              <w:rPr>
                <w:sz w:val="18"/>
                <w:lang w:val="fr-FR"/>
              </w:rPr>
              <w:t> </w:t>
            </w:r>
            <w:r w:rsidR="006A73A1" w:rsidRPr="00EF2BEE">
              <w:rPr>
                <w:sz w:val="18"/>
                <w:lang w:val="fr-FR"/>
              </w:rPr>
              <w:t xml:space="preserve">15 et </w:t>
            </w:r>
            <w:r w:rsidRPr="00EF2BEE">
              <w:rPr>
                <w:sz w:val="18"/>
                <w:lang w:val="fr-FR"/>
              </w:rPr>
              <w:t>16)</w:t>
            </w:r>
          </w:p>
        </w:tc>
        <w:tc>
          <w:tcPr>
            <w:tcW w:w="2430" w:type="dxa"/>
          </w:tcPr>
          <w:p w14:paraId="7B78911B" w14:textId="2C669B06" w:rsidR="006827C2" w:rsidRPr="00EF2BEE" w:rsidRDefault="00447F7B" w:rsidP="006A73A1">
            <w:pPr>
              <w:keepNext/>
              <w:jc w:val="right"/>
              <w:rPr>
                <w:sz w:val="18"/>
                <w:lang w:val="fr-FR"/>
              </w:rPr>
            </w:pPr>
            <w:r w:rsidRPr="00EF2BEE">
              <w:rPr>
                <w:sz w:val="18"/>
                <w:lang w:val="fr-FR"/>
              </w:rPr>
              <w:t>31</w:t>
            </w:r>
            <w:r w:rsidR="006827C2" w:rsidRPr="00EF2BEE">
              <w:rPr>
                <w:sz w:val="18"/>
                <w:lang w:val="fr-FR"/>
              </w:rPr>
              <w:t xml:space="preserve"> </w:t>
            </w:r>
            <w:r w:rsidR="006A73A1" w:rsidRPr="00EF2BEE">
              <w:rPr>
                <w:sz w:val="18"/>
                <w:lang w:val="fr-FR"/>
              </w:rPr>
              <w:t>enregistrement</w:t>
            </w:r>
            <w:r w:rsidR="006827C2" w:rsidRPr="00EF2BEE">
              <w:rPr>
                <w:sz w:val="18"/>
                <w:lang w:val="fr-FR"/>
              </w:rPr>
              <w:t>s</w:t>
            </w:r>
          </w:p>
        </w:tc>
        <w:tc>
          <w:tcPr>
            <w:tcW w:w="1080" w:type="dxa"/>
          </w:tcPr>
          <w:p w14:paraId="5B63B3C4" w14:textId="664932ED" w:rsidR="006827C2" w:rsidRPr="00EF2BEE" w:rsidRDefault="00447F7B" w:rsidP="00910B78">
            <w:pPr>
              <w:keepNext/>
              <w:jc w:val="right"/>
              <w:rPr>
                <w:sz w:val="18"/>
                <w:lang w:val="fr-FR"/>
              </w:rPr>
            </w:pPr>
            <w:r w:rsidRPr="00EF2BEE">
              <w:rPr>
                <w:sz w:val="18"/>
                <w:lang w:val="fr-FR"/>
              </w:rPr>
              <w:t>4</w:t>
            </w:r>
          </w:p>
        </w:tc>
        <w:tc>
          <w:tcPr>
            <w:tcW w:w="986" w:type="dxa"/>
          </w:tcPr>
          <w:p w14:paraId="1AF442E4" w14:textId="03E86294" w:rsidR="006827C2" w:rsidRPr="00EF2BEE" w:rsidRDefault="006827C2" w:rsidP="006A73A1">
            <w:pPr>
              <w:keepNext/>
              <w:jc w:val="right"/>
              <w:rPr>
                <w:sz w:val="18"/>
                <w:lang w:val="fr-FR"/>
              </w:rPr>
            </w:pPr>
            <w:r w:rsidRPr="00EF2BEE">
              <w:rPr>
                <w:sz w:val="18"/>
                <w:lang w:val="fr-FR"/>
              </w:rPr>
              <w:t>0</w:t>
            </w:r>
            <w:r w:rsidR="006A73A1" w:rsidRPr="00EF2BEE">
              <w:rPr>
                <w:sz w:val="18"/>
                <w:lang w:val="fr-FR"/>
              </w:rPr>
              <w:t>,</w:t>
            </w:r>
            <w:r w:rsidRPr="00EF2BEE">
              <w:rPr>
                <w:sz w:val="18"/>
                <w:lang w:val="fr-FR"/>
              </w:rPr>
              <w:t>1%</w:t>
            </w:r>
          </w:p>
        </w:tc>
      </w:tr>
      <w:tr w:rsidR="006827C2" w:rsidRPr="00EF2BEE" w14:paraId="4AD9C826" w14:textId="77777777" w:rsidTr="006A73A1">
        <w:trPr>
          <w:trHeight w:val="242"/>
        </w:trPr>
        <w:tc>
          <w:tcPr>
            <w:tcW w:w="450" w:type="dxa"/>
            <w:vMerge/>
            <w:tcBorders>
              <w:top w:val="nil"/>
              <w:left w:val="single" w:sz="4" w:space="0" w:color="auto"/>
              <w:bottom w:val="nil"/>
              <w:right w:val="single" w:sz="4" w:space="0" w:color="auto"/>
            </w:tcBorders>
          </w:tcPr>
          <w:p w14:paraId="308BAC5B" w14:textId="77777777" w:rsidR="006827C2" w:rsidRPr="00EF2BEE" w:rsidRDefault="006827C2" w:rsidP="00910B78">
            <w:pPr>
              <w:keepNext/>
              <w:rPr>
                <w:sz w:val="18"/>
                <w:lang w:val="fr-FR"/>
              </w:rPr>
            </w:pPr>
          </w:p>
        </w:tc>
        <w:tc>
          <w:tcPr>
            <w:tcW w:w="4410" w:type="dxa"/>
            <w:tcBorders>
              <w:left w:val="single" w:sz="4" w:space="0" w:color="auto"/>
            </w:tcBorders>
          </w:tcPr>
          <w:p w14:paraId="795FFB84" w14:textId="6B08BB98" w:rsidR="006827C2" w:rsidRPr="00EF2BEE" w:rsidRDefault="006A73A1" w:rsidP="006A73A1">
            <w:pPr>
              <w:keepNext/>
              <w:rPr>
                <w:sz w:val="18"/>
                <w:lang w:val="fr-FR"/>
              </w:rPr>
            </w:pPr>
            <w:r w:rsidRPr="00EF2BEE">
              <w:rPr>
                <w:sz w:val="18"/>
                <w:lang w:val="fr-FR"/>
              </w:rPr>
              <w:t xml:space="preserve">Copies certifiées conformes, extraits et autres renseignements </w:t>
            </w:r>
            <w:r w:rsidR="006827C2" w:rsidRPr="00EF2BEE">
              <w:rPr>
                <w:sz w:val="18"/>
                <w:lang w:val="fr-FR"/>
              </w:rPr>
              <w:t>(</w:t>
            </w:r>
            <w:r w:rsidR="00507887" w:rsidRPr="00EF2BEE">
              <w:rPr>
                <w:sz w:val="18"/>
                <w:lang w:val="fr-FR"/>
              </w:rPr>
              <w:t>point V</w:t>
            </w:r>
            <w:r w:rsidR="006827C2" w:rsidRPr="00EF2BEE">
              <w:rPr>
                <w:sz w:val="18"/>
                <w:lang w:val="fr-FR"/>
              </w:rPr>
              <w:t>I)</w:t>
            </w:r>
          </w:p>
        </w:tc>
        <w:tc>
          <w:tcPr>
            <w:tcW w:w="2430" w:type="dxa"/>
          </w:tcPr>
          <w:p w14:paraId="7240FCB3" w14:textId="730E4755" w:rsidR="006827C2" w:rsidRPr="00EF2BEE" w:rsidRDefault="00447F7B" w:rsidP="006A73A1">
            <w:pPr>
              <w:keepNext/>
              <w:jc w:val="right"/>
              <w:rPr>
                <w:sz w:val="18"/>
                <w:lang w:val="fr-FR"/>
              </w:rPr>
            </w:pPr>
            <w:r w:rsidRPr="00EF2BEE">
              <w:rPr>
                <w:sz w:val="18"/>
                <w:lang w:val="fr-FR"/>
              </w:rPr>
              <w:t>2</w:t>
            </w:r>
            <w:r w:rsidR="006A73A1" w:rsidRPr="00EF2BEE">
              <w:rPr>
                <w:sz w:val="18"/>
                <w:lang w:val="fr-FR"/>
              </w:rPr>
              <w:t> </w:t>
            </w:r>
            <w:r w:rsidRPr="00EF2BEE">
              <w:rPr>
                <w:sz w:val="18"/>
                <w:lang w:val="fr-FR"/>
              </w:rPr>
              <w:t>284</w:t>
            </w:r>
            <w:r w:rsidR="006827C2" w:rsidRPr="00EF2BEE">
              <w:rPr>
                <w:sz w:val="18"/>
                <w:lang w:val="fr-FR"/>
              </w:rPr>
              <w:t xml:space="preserve"> cas</w:t>
            </w:r>
          </w:p>
        </w:tc>
        <w:tc>
          <w:tcPr>
            <w:tcW w:w="1080" w:type="dxa"/>
          </w:tcPr>
          <w:p w14:paraId="422B41B5" w14:textId="46A52FA0" w:rsidR="006827C2" w:rsidRPr="00EF2BEE" w:rsidRDefault="00447F7B" w:rsidP="00910B78">
            <w:pPr>
              <w:keepNext/>
              <w:jc w:val="right"/>
              <w:rPr>
                <w:sz w:val="18"/>
                <w:lang w:val="fr-FR"/>
              </w:rPr>
            </w:pPr>
            <w:r w:rsidRPr="00EF2BEE">
              <w:rPr>
                <w:sz w:val="18"/>
                <w:lang w:val="fr-FR"/>
              </w:rPr>
              <w:t>212</w:t>
            </w:r>
          </w:p>
        </w:tc>
        <w:tc>
          <w:tcPr>
            <w:tcW w:w="986" w:type="dxa"/>
          </w:tcPr>
          <w:p w14:paraId="10849F23" w14:textId="750E373D" w:rsidR="006827C2" w:rsidRPr="00EF2BEE" w:rsidRDefault="00D82E6E" w:rsidP="006A73A1">
            <w:pPr>
              <w:keepNext/>
              <w:jc w:val="right"/>
              <w:rPr>
                <w:sz w:val="18"/>
                <w:lang w:val="fr-FR"/>
              </w:rPr>
            </w:pPr>
            <w:r w:rsidRPr="00EF2BEE">
              <w:rPr>
                <w:sz w:val="18"/>
                <w:lang w:val="fr-FR"/>
              </w:rPr>
              <w:t>4</w:t>
            </w:r>
            <w:r w:rsidR="006A73A1" w:rsidRPr="00EF2BEE">
              <w:rPr>
                <w:sz w:val="18"/>
                <w:lang w:val="fr-FR"/>
              </w:rPr>
              <w:t>,</w:t>
            </w:r>
            <w:r w:rsidRPr="00EF2BEE">
              <w:rPr>
                <w:sz w:val="18"/>
                <w:lang w:val="fr-FR"/>
              </w:rPr>
              <w:t>1</w:t>
            </w:r>
            <w:r w:rsidR="006827C2" w:rsidRPr="00EF2BEE">
              <w:rPr>
                <w:sz w:val="18"/>
                <w:lang w:val="fr-FR"/>
              </w:rPr>
              <w:t>%</w:t>
            </w:r>
          </w:p>
        </w:tc>
      </w:tr>
      <w:tr w:rsidR="006827C2" w:rsidRPr="00EF2BEE" w14:paraId="2F59AE92" w14:textId="77777777" w:rsidTr="006A73A1">
        <w:trPr>
          <w:trHeight w:val="85"/>
        </w:trPr>
        <w:tc>
          <w:tcPr>
            <w:tcW w:w="4860" w:type="dxa"/>
            <w:gridSpan w:val="2"/>
            <w:shd w:val="clear" w:color="auto" w:fill="C6D9F1" w:themeFill="text2" w:themeFillTint="33"/>
          </w:tcPr>
          <w:p w14:paraId="1FE029C1" w14:textId="36625862" w:rsidR="006827C2" w:rsidRPr="00EF2BEE" w:rsidRDefault="006827C2" w:rsidP="00910B78">
            <w:pPr>
              <w:keepNext/>
              <w:rPr>
                <w:sz w:val="18"/>
                <w:lang w:val="fr-FR"/>
              </w:rPr>
            </w:pPr>
            <w:r w:rsidRPr="00EF2BEE">
              <w:rPr>
                <w:sz w:val="18"/>
                <w:lang w:val="fr-FR"/>
              </w:rPr>
              <w:t>Total</w:t>
            </w:r>
          </w:p>
        </w:tc>
        <w:tc>
          <w:tcPr>
            <w:tcW w:w="2430" w:type="dxa"/>
            <w:shd w:val="clear" w:color="auto" w:fill="C6D9F1" w:themeFill="text2" w:themeFillTint="33"/>
          </w:tcPr>
          <w:p w14:paraId="75AEA3AE" w14:textId="77777777" w:rsidR="006827C2" w:rsidRPr="00EF2BEE" w:rsidRDefault="006827C2" w:rsidP="00910B78">
            <w:pPr>
              <w:keepNext/>
              <w:jc w:val="right"/>
              <w:rPr>
                <w:sz w:val="18"/>
                <w:lang w:val="fr-FR"/>
              </w:rPr>
            </w:pPr>
          </w:p>
        </w:tc>
        <w:tc>
          <w:tcPr>
            <w:tcW w:w="1080" w:type="dxa"/>
            <w:shd w:val="clear" w:color="auto" w:fill="C6D9F1" w:themeFill="text2" w:themeFillTint="33"/>
          </w:tcPr>
          <w:p w14:paraId="47CA50DB" w14:textId="6F76BFB0" w:rsidR="006827C2" w:rsidRPr="00EF2BEE" w:rsidRDefault="00444893" w:rsidP="006A73A1">
            <w:pPr>
              <w:keepNext/>
              <w:jc w:val="right"/>
              <w:rPr>
                <w:sz w:val="18"/>
                <w:lang w:val="fr-FR"/>
              </w:rPr>
            </w:pPr>
            <w:r w:rsidRPr="00EF2BEE">
              <w:rPr>
                <w:sz w:val="18"/>
                <w:lang w:val="fr-FR"/>
              </w:rPr>
              <w:t>5</w:t>
            </w:r>
            <w:r w:rsidR="006A73A1" w:rsidRPr="00EF2BEE">
              <w:rPr>
                <w:sz w:val="18"/>
                <w:lang w:val="fr-FR"/>
              </w:rPr>
              <w:t> </w:t>
            </w:r>
            <w:r w:rsidRPr="00EF2BEE">
              <w:rPr>
                <w:sz w:val="18"/>
                <w:lang w:val="fr-FR"/>
              </w:rPr>
              <w:t>147</w:t>
            </w:r>
          </w:p>
        </w:tc>
        <w:tc>
          <w:tcPr>
            <w:tcW w:w="986" w:type="dxa"/>
            <w:shd w:val="clear" w:color="auto" w:fill="C6D9F1" w:themeFill="text2" w:themeFillTint="33"/>
          </w:tcPr>
          <w:p w14:paraId="378CCB22" w14:textId="77777777" w:rsidR="006827C2" w:rsidRPr="00EF2BEE" w:rsidRDefault="006827C2" w:rsidP="00910B78">
            <w:pPr>
              <w:keepNext/>
              <w:jc w:val="right"/>
              <w:rPr>
                <w:sz w:val="18"/>
                <w:lang w:val="fr-FR"/>
              </w:rPr>
            </w:pPr>
            <w:r w:rsidRPr="00EF2BEE">
              <w:rPr>
                <w:sz w:val="18"/>
                <w:lang w:val="fr-FR"/>
              </w:rPr>
              <w:t>100%</w:t>
            </w:r>
          </w:p>
        </w:tc>
      </w:tr>
    </w:tbl>
    <w:p w14:paraId="5A3087FC" w14:textId="77777777" w:rsidR="00A24EF0" w:rsidRPr="00EF2BEE" w:rsidRDefault="00A24EF0" w:rsidP="006827C2">
      <w:pPr>
        <w:pStyle w:val="ONUME"/>
        <w:numPr>
          <w:ilvl w:val="0"/>
          <w:numId w:val="0"/>
        </w:numPr>
        <w:spacing w:after="0"/>
        <w:rPr>
          <w:sz w:val="16"/>
          <w:szCs w:val="16"/>
          <w:lang w:val="fr-FR"/>
        </w:rPr>
      </w:pPr>
    </w:p>
    <w:p w14:paraId="529A544F" w14:textId="77777777" w:rsidR="007F51E4" w:rsidRPr="00EF2BEE" w:rsidRDefault="007F51E4" w:rsidP="007F51E4">
      <w:pPr>
        <w:spacing w:after="480"/>
        <w:jc w:val="center"/>
      </w:pPr>
      <w:r w:rsidRPr="00EF2BEE">
        <w:rPr>
          <w:noProof/>
          <w:lang w:eastAsia="en-US"/>
        </w:rPr>
        <w:lastRenderedPageBreak/>
        <w:drawing>
          <wp:inline distT="0" distB="0" distL="0" distR="0" wp14:anchorId="53D5AAB4" wp14:editId="2F4F0FC7">
            <wp:extent cx="2206100"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6100" cy="1800000"/>
                    </a:xfrm>
                    <a:prstGeom prst="rect">
                      <a:avLst/>
                    </a:prstGeom>
                    <a:noFill/>
                    <a:ln>
                      <a:noFill/>
                    </a:ln>
                  </pic:spPr>
                </pic:pic>
              </a:graphicData>
            </a:graphic>
          </wp:inline>
        </w:drawing>
      </w:r>
    </w:p>
    <w:p w14:paraId="74FCF8A8" w14:textId="356DDBE9" w:rsidR="00622CE7" w:rsidRPr="00EF2BEE" w:rsidRDefault="008A5FAF" w:rsidP="00531EE8">
      <w:pPr>
        <w:pStyle w:val="Heading1"/>
      </w:pPr>
      <w:r w:rsidRPr="00EF2BEE">
        <w:t>III.</w:t>
      </w:r>
      <w:r w:rsidRPr="00EF2BEE">
        <w:tab/>
      </w:r>
      <w:r w:rsidR="00622CE7" w:rsidRPr="00EF2BEE">
        <w:t>S</w:t>
      </w:r>
      <w:r w:rsidR="006A688F" w:rsidRPr="00EF2BEE">
        <w:t>tructure</w:t>
      </w:r>
      <w:r w:rsidR="00622CE7" w:rsidRPr="00EF2BEE">
        <w:t xml:space="preserve"> </w:t>
      </w:r>
      <w:r w:rsidR="00146E08" w:rsidRPr="00EF2BEE">
        <w:t xml:space="preserve">des taxes de renouvellement et des montants applicables dans les systèmes nationaux ou régionaux permettant le dépôt de plusieurs dessins ou modèles </w:t>
      </w:r>
      <w:r w:rsidR="00813E4F" w:rsidRPr="00EF2BEE">
        <w:t>dans la même</w:t>
      </w:r>
      <w:r w:rsidR="00146E08" w:rsidRPr="00EF2BEE">
        <w:t xml:space="preserve"> demande</w:t>
      </w:r>
    </w:p>
    <w:p w14:paraId="16E4BE53" w14:textId="3BFF6EEE" w:rsidR="00507887" w:rsidRPr="00EF2BEE" w:rsidRDefault="00146E08" w:rsidP="006A688F">
      <w:pPr>
        <w:pStyle w:val="ONUMFS"/>
        <w:rPr>
          <w:lang w:val="fr-FR" w:eastAsia="en-US"/>
        </w:rPr>
      </w:pPr>
      <w:r w:rsidRPr="00EF2BEE">
        <w:rPr>
          <w:lang w:val="fr-FR" w:eastAsia="en-US"/>
        </w:rPr>
        <w:t>La structure des taxes de renouvellement applicables aux dessins et modèles industriels varie d</w:t>
      </w:r>
      <w:r w:rsidR="00507887" w:rsidRPr="00EF2BEE">
        <w:rPr>
          <w:lang w:val="fr-FR" w:eastAsia="en-US"/>
        </w:rPr>
        <w:t>’</w:t>
      </w:r>
      <w:r w:rsidRPr="00EF2BEE">
        <w:rPr>
          <w:lang w:val="fr-FR" w:eastAsia="en-US"/>
        </w:rPr>
        <w:t>un ressort juridique à l</w:t>
      </w:r>
      <w:r w:rsidR="00507887" w:rsidRPr="00EF2BEE">
        <w:rPr>
          <w:lang w:val="fr-FR" w:eastAsia="en-US"/>
        </w:rPr>
        <w:t>’</w:t>
      </w:r>
      <w:r w:rsidRPr="00EF2BEE">
        <w:rPr>
          <w:lang w:val="fr-FR" w:eastAsia="en-US"/>
        </w:rPr>
        <w:t>aut</w:t>
      </w:r>
      <w:r w:rsidR="00466F96" w:rsidRPr="00EF2BEE">
        <w:rPr>
          <w:lang w:val="fr-FR" w:eastAsia="en-US"/>
        </w:rPr>
        <w:t>re.  Da</w:t>
      </w:r>
      <w:r w:rsidRPr="00EF2BEE">
        <w:rPr>
          <w:lang w:val="fr-FR" w:eastAsia="en-US"/>
        </w:rPr>
        <w:t xml:space="preserve">ns certains ressorts juridiques, le montant de la taxe de renouvellement augmente progressivement et </w:t>
      </w:r>
      <w:r w:rsidR="009709CA" w:rsidRPr="00EF2BEE">
        <w:rPr>
          <w:lang w:val="fr-FR" w:eastAsia="en-US"/>
        </w:rPr>
        <w:t>pour</w:t>
      </w:r>
      <w:r w:rsidRPr="00EF2BEE">
        <w:rPr>
          <w:lang w:val="fr-FR" w:eastAsia="en-US"/>
        </w:rPr>
        <w:t xml:space="preserve"> chaque renouvellement</w:t>
      </w:r>
      <w:r w:rsidR="001B4DA4" w:rsidRPr="00EF2BEE">
        <w:rPr>
          <w:rStyle w:val="FootnoteReference"/>
          <w:lang w:val="fr-FR" w:eastAsia="en-US"/>
        </w:rPr>
        <w:footnoteReference w:id="7"/>
      </w:r>
      <w:r w:rsidR="00486CBB" w:rsidRPr="00EF2BEE">
        <w:rPr>
          <w:lang w:val="fr-FR" w:eastAsia="en-US"/>
        </w:rPr>
        <w:t xml:space="preserve">, </w:t>
      </w:r>
      <w:r w:rsidR="00927184" w:rsidRPr="00EF2BEE">
        <w:rPr>
          <w:lang w:val="fr-FR" w:eastAsia="en-US"/>
        </w:rPr>
        <w:t>tandis que dans d</w:t>
      </w:r>
      <w:r w:rsidR="00507887" w:rsidRPr="00EF2BEE">
        <w:rPr>
          <w:lang w:val="fr-FR" w:eastAsia="en-US"/>
        </w:rPr>
        <w:t>’</w:t>
      </w:r>
      <w:r w:rsidR="00927184" w:rsidRPr="00EF2BEE">
        <w:rPr>
          <w:lang w:val="fr-FR" w:eastAsia="en-US"/>
        </w:rPr>
        <w:t xml:space="preserve">autres, le montant reste identique </w:t>
      </w:r>
      <w:r w:rsidR="009709CA" w:rsidRPr="00EF2BEE">
        <w:rPr>
          <w:lang w:val="fr-FR" w:eastAsia="en-US"/>
        </w:rPr>
        <w:t>pour</w:t>
      </w:r>
      <w:r w:rsidR="00927184" w:rsidRPr="00EF2BEE">
        <w:rPr>
          <w:lang w:val="fr-FR" w:eastAsia="en-US"/>
        </w:rPr>
        <w:t xml:space="preserve"> chaque renouvellement</w:t>
      </w:r>
      <w:r w:rsidR="001B4DA4" w:rsidRPr="00EF2BEE">
        <w:rPr>
          <w:rStyle w:val="FootnoteReference"/>
          <w:lang w:val="fr-FR" w:eastAsia="en-US"/>
        </w:rPr>
        <w:footnoteReference w:id="8"/>
      </w:r>
      <w:r w:rsidR="00486CBB" w:rsidRPr="00EF2BEE">
        <w:rPr>
          <w:lang w:val="fr-FR" w:eastAsia="en-US"/>
        </w:rPr>
        <w:t xml:space="preserve">.  </w:t>
      </w:r>
      <w:r w:rsidR="00927184" w:rsidRPr="00EF2BEE">
        <w:rPr>
          <w:lang w:val="fr-FR" w:eastAsia="en-US"/>
        </w:rPr>
        <w:t>S</w:t>
      </w:r>
      <w:r w:rsidR="00507887" w:rsidRPr="00EF2BEE">
        <w:rPr>
          <w:lang w:val="fr-FR" w:eastAsia="en-US"/>
        </w:rPr>
        <w:t>’</w:t>
      </w:r>
      <w:r w:rsidR="00927184" w:rsidRPr="00EF2BEE">
        <w:rPr>
          <w:lang w:val="fr-FR" w:eastAsia="en-US"/>
        </w:rPr>
        <w:t>agissant du renouvellement de plusieurs dessins ou modèles, dans certains ressorts juridiques, une taxe forfaitaire s</w:t>
      </w:r>
      <w:r w:rsidR="00507887" w:rsidRPr="00EF2BEE">
        <w:rPr>
          <w:lang w:val="fr-FR" w:eastAsia="en-US"/>
        </w:rPr>
        <w:t>’</w:t>
      </w:r>
      <w:r w:rsidR="00927184" w:rsidRPr="00EF2BEE">
        <w:rPr>
          <w:lang w:val="fr-FR" w:eastAsia="en-US"/>
        </w:rPr>
        <w:t>applique quel que soit le nombre de dessins ou modèles</w:t>
      </w:r>
      <w:r w:rsidR="007D4002" w:rsidRPr="00EF2BEE">
        <w:rPr>
          <w:rStyle w:val="FootnoteReference"/>
          <w:lang w:val="fr-FR" w:eastAsia="en-US"/>
        </w:rPr>
        <w:footnoteReference w:id="9"/>
      </w:r>
      <w:r w:rsidR="00563CF2" w:rsidRPr="00EF2BEE">
        <w:rPr>
          <w:lang w:val="fr-FR" w:eastAsia="en-US"/>
        </w:rPr>
        <w:t>, ou jusqu</w:t>
      </w:r>
      <w:r w:rsidR="00507887" w:rsidRPr="00EF2BEE">
        <w:rPr>
          <w:lang w:val="fr-FR" w:eastAsia="en-US"/>
        </w:rPr>
        <w:t>’</w:t>
      </w:r>
      <w:r w:rsidR="00563CF2" w:rsidRPr="00EF2BEE">
        <w:rPr>
          <w:lang w:val="fr-FR" w:eastAsia="en-US"/>
        </w:rPr>
        <w:t>à un certain nombre de dessins ou modèles, après quoi une taxe supplémentaire s</w:t>
      </w:r>
      <w:r w:rsidR="00507887" w:rsidRPr="00EF2BEE">
        <w:rPr>
          <w:lang w:val="fr-FR" w:eastAsia="en-US"/>
        </w:rPr>
        <w:t>’</w:t>
      </w:r>
      <w:r w:rsidR="00563CF2" w:rsidRPr="00EF2BEE">
        <w:rPr>
          <w:lang w:val="fr-FR" w:eastAsia="en-US"/>
        </w:rPr>
        <w:t>applique (par exemple, une taxe forfaitaire jusqu</w:t>
      </w:r>
      <w:r w:rsidR="00507887" w:rsidRPr="00EF2BEE">
        <w:rPr>
          <w:lang w:val="fr-FR" w:eastAsia="en-US"/>
        </w:rPr>
        <w:t>’</w:t>
      </w:r>
      <w:r w:rsidR="00563CF2" w:rsidRPr="00EF2BEE">
        <w:rPr>
          <w:lang w:val="fr-FR" w:eastAsia="en-US"/>
        </w:rPr>
        <w:t xml:space="preserve">à 10 dessins ou modèles, </w:t>
      </w:r>
      <w:r w:rsidR="009709CA" w:rsidRPr="00EF2BEE">
        <w:rPr>
          <w:lang w:val="fr-FR" w:eastAsia="en-US"/>
        </w:rPr>
        <w:t>puis</w:t>
      </w:r>
      <w:r w:rsidR="00563CF2" w:rsidRPr="00EF2BEE">
        <w:rPr>
          <w:lang w:val="fr-FR" w:eastAsia="en-US"/>
        </w:rPr>
        <w:t xml:space="preserve"> une taxe supplémentaire jusqu</w:t>
      </w:r>
      <w:r w:rsidR="00507887" w:rsidRPr="00EF2BEE">
        <w:rPr>
          <w:lang w:val="fr-FR" w:eastAsia="en-US"/>
        </w:rPr>
        <w:t>’</w:t>
      </w:r>
      <w:r w:rsidR="00563CF2" w:rsidRPr="00EF2BEE">
        <w:rPr>
          <w:lang w:val="fr-FR" w:eastAsia="en-US"/>
        </w:rPr>
        <w:t>à 20, etc.</w:t>
      </w:r>
      <w:r w:rsidR="008B4AEB" w:rsidRPr="00EF2BEE">
        <w:rPr>
          <w:lang w:val="fr-FR" w:eastAsia="en-US"/>
        </w:rPr>
        <w:t>)</w:t>
      </w:r>
      <w:r w:rsidR="00D15332" w:rsidRPr="00EF2BEE">
        <w:rPr>
          <w:rStyle w:val="FootnoteReference"/>
          <w:lang w:val="fr-FR" w:eastAsia="en-US"/>
        </w:rPr>
        <w:footnoteReference w:id="10"/>
      </w:r>
      <w:r w:rsidR="007A6B2A" w:rsidRPr="00EF2BEE">
        <w:rPr>
          <w:lang w:val="fr-FR" w:eastAsia="en-US"/>
        </w:rPr>
        <w:t>.</w:t>
      </w:r>
      <w:r w:rsidR="000F24F7" w:rsidRPr="00EF2BEE">
        <w:rPr>
          <w:lang w:val="fr-FR" w:eastAsia="en-US"/>
        </w:rPr>
        <w:t xml:space="preserve">  </w:t>
      </w:r>
      <w:r w:rsidR="00563CF2" w:rsidRPr="00EF2BEE">
        <w:rPr>
          <w:lang w:val="fr-FR" w:eastAsia="en-US"/>
        </w:rPr>
        <w:t>Toutefois, dans un grand nombre d</w:t>
      </w:r>
      <w:r w:rsidR="00507887" w:rsidRPr="00EF2BEE">
        <w:rPr>
          <w:lang w:val="fr-FR" w:eastAsia="en-US"/>
        </w:rPr>
        <w:t>’</w:t>
      </w:r>
      <w:r w:rsidR="00563CF2" w:rsidRPr="00EF2BEE">
        <w:rPr>
          <w:lang w:val="fr-FR" w:eastAsia="en-US"/>
        </w:rPr>
        <w:t>autres ressorts juridiques permettant le dépôt de plusieurs dessins ou modèles</w:t>
      </w:r>
      <w:r w:rsidR="00813E4F" w:rsidRPr="00EF2BEE">
        <w:rPr>
          <w:lang w:val="fr-FR" w:eastAsia="en-US"/>
        </w:rPr>
        <w:t xml:space="preserve"> dans la même demande</w:t>
      </w:r>
      <w:r w:rsidR="00563CF2" w:rsidRPr="00EF2BEE">
        <w:rPr>
          <w:lang w:val="fr-FR" w:eastAsia="en-US"/>
        </w:rPr>
        <w:t xml:space="preserve"> la taxe de renouvellement est perçue par dessin ou modèle, comme dans le système de </w:t>
      </w:r>
      <w:r w:rsidR="00507887" w:rsidRPr="00EF2BEE">
        <w:rPr>
          <w:lang w:val="fr-FR" w:eastAsia="en-US"/>
        </w:rPr>
        <w:t>La Haye</w:t>
      </w:r>
      <w:r w:rsidR="005E1499" w:rsidRPr="00EF2BEE">
        <w:rPr>
          <w:lang w:val="fr-FR" w:eastAsia="en-US"/>
        </w:rPr>
        <w:t>.</w:t>
      </w:r>
    </w:p>
    <w:p w14:paraId="3F259B39" w14:textId="6B9755A9" w:rsidR="0024453F" w:rsidRPr="00EF2BEE" w:rsidRDefault="009709CA" w:rsidP="006A688F">
      <w:pPr>
        <w:pStyle w:val="ONUMFS"/>
        <w:rPr>
          <w:lang w:val="fr-FR"/>
        </w:rPr>
      </w:pPr>
      <w:r w:rsidRPr="00EF2BEE">
        <w:rPr>
          <w:lang w:val="fr-FR" w:eastAsia="en-US"/>
        </w:rPr>
        <w:t xml:space="preserve">Compte tenu de ce qui précède, le Secrétariat a procédé à une analyse comparative de la structure des taxes dans </w:t>
      </w:r>
      <w:r w:rsidR="00622CE7" w:rsidRPr="00EF2BEE">
        <w:rPr>
          <w:lang w:val="fr-FR" w:eastAsia="en-US"/>
        </w:rPr>
        <w:t>3</w:t>
      </w:r>
      <w:r w:rsidR="00A32C19" w:rsidRPr="00EF2BEE">
        <w:rPr>
          <w:lang w:val="fr-FR" w:eastAsia="en-US"/>
        </w:rPr>
        <w:t>3</w:t>
      </w:r>
      <w:r w:rsidRPr="00EF2BEE">
        <w:rPr>
          <w:lang w:val="fr-FR" w:eastAsia="en-US"/>
        </w:rPr>
        <w:t> ressorts</w:t>
      </w:r>
      <w:r w:rsidR="00622CE7" w:rsidRPr="00EF2BEE">
        <w:rPr>
          <w:lang w:val="fr-FR" w:eastAsia="en-US"/>
        </w:rPr>
        <w:t xml:space="preserve"> juri</w:t>
      </w:r>
      <w:r w:rsidRPr="00EF2BEE">
        <w:rPr>
          <w:lang w:val="fr-FR" w:eastAsia="en-US"/>
        </w:rPr>
        <w:t>diqu</w:t>
      </w:r>
      <w:r w:rsidR="00466F96" w:rsidRPr="00EF2BEE">
        <w:rPr>
          <w:lang w:val="fr-FR" w:eastAsia="en-US"/>
        </w:rPr>
        <w:t>es.  Ce</w:t>
      </w:r>
      <w:r w:rsidRPr="00EF2BEE">
        <w:rPr>
          <w:lang w:val="fr-FR" w:eastAsia="en-US"/>
        </w:rPr>
        <w:t xml:space="preserve">s ressorts juridiques ont été sélectionnés </w:t>
      </w:r>
      <w:r w:rsidRPr="00EF2BEE">
        <w:rPr>
          <w:lang w:val="fr-FR"/>
        </w:rPr>
        <w:t>en fonction des trois</w:t>
      </w:r>
      <w:r w:rsidR="006654B4" w:rsidRPr="00EF2BEE">
        <w:rPr>
          <w:lang w:val="fr-FR"/>
        </w:rPr>
        <w:t> </w:t>
      </w:r>
      <w:r w:rsidRPr="00EF2BEE">
        <w:rPr>
          <w:lang w:val="fr-FR"/>
        </w:rPr>
        <w:t xml:space="preserve">critères </w:t>
      </w:r>
      <w:r w:rsidR="00892ADF" w:rsidRPr="00EF2BEE">
        <w:rPr>
          <w:lang w:val="fr-FR"/>
        </w:rPr>
        <w:t xml:space="preserve">objectifs </w:t>
      </w:r>
      <w:r w:rsidRPr="00EF2BEE">
        <w:rPr>
          <w:lang w:val="fr-FR"/>
        </w:rPr>
        <w:t xml:space="preserve">suivants </w:t>
      </w:r>
      <w:r w:rsidR="0024453F" w:rsidRPr="00EF2BEE">
        <w:rPr>
          <w:lang w:val="fr-FR"/>
        </w:rPr>
        <w:t>(</w:t>
      </w:r>
      <w:r w:rsidR="00892ADF" w:rsidRPr="00EF2BEE">
        <w:rPr>
          <w:lang w:val="fr-FR"/>
        </w:rPr>
        <w:t>concernant le</w:t>
      </w:r>
      <w:r w:rsidRPr="00EF2BEE">
        <w:rPr>
          <w:lang w:val="fr-FR"/>
        </w:rPr>
        <w:t xml:space="preserve"> nombre de dessins </w:t>
      </w:r>
      <w:r w:rsidR="009B742F" w:rsidRPr="00EF2BEE">
        <w:rPr>
          <w:lang w:val="fr-FR"/>
        </w:rPr>
        <w:t>ou modèles</w:t>
      </w:r>
      <w:r w:rsidR="0024453F" w:rsidRPr="00EF2BEE">
        <w:rPr>
          <w:lang w:val="fr-FR"/>
        </w:rPr>
        <w:t>)</w:t>
      </w:r>
      <w:r w:rsidR="00507887" w:rsidRPr="00EF2BEE">
        <w:rPr>
          <w:lang w:val="fr-FR"/>
        </w:rPr>
        <w:t> :</w:t>
      </w:r>
    </w:p>
    <w:p w14:paraId="0E6FC60D" w14:textId="49512A8D" w:rsidR="007E101A" w:rsidRPr="00EF2BEE" w:rsidRDefault="009B742F" w:rsidP="00595FB6">
      <w:pPr>
        <w:pStyle w:val="Bulletedlistlevel2"/>
        <w:tabs>
          <w:tab w:val="clear" w:pos="567"/>
          <w:tab w:val="num" w:pos="1134"/>
        </w:tabs>
        <w:spacing w:after="120"/>
        <w:ind w:left="1134" w:hanging="567"/>
        <w:rPr>
          <w:lang w:val="fr-FR"/>
        </w:rPr>
      </w:pPr>
      <w:r w:rsidRPr="00EF2BEE">
        <w:rPr>
          <w:lang w:val="fr-FR"/>
        </w:rPr>
        <w:t xml:space="preserve">parties contractantes </w:t>
      </w:r>
      <w:r w:rsidR="0024453F" w:rsidRPr="00EF2BEE">
        <w:rPr>
          <w:lang w:val="fr-FR"/>
        </w:rPr>
        <w:t>fr</w:t>
      </w:r>
      <w:r w:rsidRPr="00EF2BEE">
        <w:rPr>
          <w:lang w:val="fr-FR"/>
        </w:rPr>
        <w:t>équemment désignées</w:t>
      </w:r>
      <w:r w:rsidR="00507887" w:rsidRPr="00EF2BEE">
        <w:rPr>
          <w:lang w:val="fr-FR"/>
        </w:rPr>
        <w:t> :</w:t>
      </w:r>
      <w:r w:rsidR="0024453F" w:rsidRPr="00EF2BEE">
        <w:rPr>
          <w:lang w:val="fr-FR"/>
        </w:rPr>
        <w:t xml:space="preserve"> </w:t>
      </w:r>
      <w:r w:rsidR="00892ADF" w:rsidRPr="00EF2BEE">
        <w:rPr>
          <w:lang w:val="fr-FR"/>
        </w:rPr>
        <w:t xml:space="preserve">les 20 parties contractantes les plus </w:t>
      </w:r>
      <w:r w:rsidR="007E101A" w:rsidRPr="00EF2BEE">
        <w:rPr>
          <w:lang w:val="fr-FR"/>
        </w:rPr>
        <w:br/>
      </w:r>
      <w:r w:rsidR="00892ADF" w:rsidRPr="00EF2BEE">
        <w:rPr>
          <w:lang w:val="fr-FR"/>
        </w:rPr>
        <w:t xml:space="preserve">désignées dans les demandes internationales </w:t>
      </w:r>
      <w:r w:rsidR="00507887" w:rsidRPr="00EF2BEE">
        <w:rPr>
          <w:lang w:val="fr-FR"/>
        </w:rPr>
        <w:t>en 2019</w:t>
      </w:r>
      <w:r w:rsidR="005E453E" w:rsidRPr="00EF2BEE">
        <w:rPr>
          <w:lang w:val="fr-FR"/>
        </w:rPr>
        <w:t>;</w:t>
      </w:r>
    </w:p>
    <w:p w14:paraId="1AB5D89A" w14:textId="5AAF80F0" w:rsidR="00DC73BE" w:rsidRPr="00EF2BEE" w:rsidRDefault="009B742F" w:rsidP="00595FB6">
      <w:pPr>
        <w:pStyle w:val="Bulletedlistlevel2"/>
        <w:tabs>
          <w:tab w:val="clear" w:pos="567"/>
          <w:tab w:val="num" w:pos="1134"/>
        </w:tabs>
        <w:spacing w:before="120"/>
        <w:ind w:left="1134" w:hanging="567"/>
        <w:rPr>
          <w:lang w:val="fr-FR"/>
        </w:rPr>
      </w:pPr>
      <w:proofErr w:type="gramStart"/>
      <w:r w:rsidRPr="00EF2BEE">
        <w:rPr>
          <w:lang w:val="fr-FR"/>
        </w:rPr>
        <w:t>utilisateurs</w:t>
      </w:r>
      <w:proofErr w:type="gramEnd"/>
      <w:r w:rsidRPr="00EF2BEE">
        <w:rPr>
          <w:lang w:val="fr-FR"/>
        </w:rPr>
        <w:t xml:space="preserve"> </w:t>
      </w:r>
      <w:r w:rsidR="0024453F" w:rsidRPr="00EF2BEE">
        <w:rPr>
          <w:lang w:val="fr-FR"/>
        </w:rPr>
        <w:t>acti</w:t>
      </w:r>
      <w:r w:rsidRPr="00EF2BEE">
        <w:rPr>
          <w:lang w:val="fr-FR"/>
        </w:rPr>
        <w:t xml:space="preserve">fs du système de </w:t>
      </w:r>
      <w:r w:rsidR="00507887" w:rsidRPr="00EF2BEE">
        <w:rPr>
          <w:lang w:val="fr-FR"/>
        </w:rPr>
        <w:t>La Haye :</w:t>
      </w:r>
      <w:r w:rsidRPr="00EF2BEE">
        <w:rPr>
          <w:lang w:val="fr-FR"/>
        </w:rPr>
        <w:t xml:space="preserve"> </w:t>
      </w:r>
      <w:r w:rsidR="00892ADF" w:rsidRPr="00EF2BEE">
        <w:rPr>
          <w:lang w:val="fr-FR"/>
        </w:rPr>
        <w:t xml:space="preserve">les 20 principales origines des dépôts de la plupart des demandes internationales </w:t>
      </w:r>
      <w:r w:rsidR="00507887" w:rsidRPr="00EF2BEE">
        <w:rPr>
          <w:lang w:val="fr-FR"/>
        </w:rPr>
        <w:t>en 2019</w:t>
      </w:r>
      <w:r w:rsidR="00854813" w:rsidRPr="00EF2BEE">
        <w:rPr>
          <w:lang w:val="fr-FR"/>
        </w:rPr>
        <w:t>;</w:t>
      </w:r>
      <w:r w:rsidR="0024453F" w:rsidRPr="00EF2BEE">
        <w:rPr>
          <w:lang w:val="fr-FR"/>
        </w:rPr>
        <w:t xml:space="preserve"> </w:t>
      </w:r>
      <w:r w:rsidR="00854813" w:rsidRPr="00EF2BEE">
        <w:rPr>
          <w:lang w:val="fr-FR"/>
        </w:rPr>
        <w:t xml:space="preserve"> </w:t>
      </w:r>
      <w:r w:rsidR="00892ADF" w:rsidRPr="00EF2BEE">
        <w:rPr>
          <w:lang w:val="fr-FR"/>
        </w:rPr>
        <w:t>et</w:t>
      </w:r>
    </w:p>
    <w:p w14:paraId="46DC9151" w14:textId="6801891D" w:rsidR="00D9170E" w:rsidRPr="00EF2BEE" w:rsidRDefault="00892ADF" w:rsidP="00595FB6">
      <w:pPr>
        <w:pStyle w:val="Bulletedlistlevel2"/>
        <w:tabs>
          <w:tab w:val="clear" w:pos="567"/>
          <w:tab w:val="num" w:pos="1134"/>
        </w:tabs>
        <w:spacing w:before="120"/>
        <w:ind w:left="1134" w:hanging="567"/>
        <w:rPr>
          <w:lang w:val="fr-FR"/>
        </w:rPr>
      </w:pPr>
      <w:proofErr w:type="gramStart"/>
      <w:r w:rsidRPr="00EF2BEE">
        <w:rPr>
          <w:lang w:val="fr-FR"/>
        </w:rPr>
        <w:t>ressorts</w:t>
      </w:r>
      <w:proofErr w:type="gramEnd"/>
      <w:r w:rsidRPr="00EF2BEE">
        <w:rPr>
          <w:lang w:val="fr-FR"/>
        </w:rPr>
        <w:t xml:space="preserve"> juridiques dans lesquels les systèmes de dessins ou modèles sont utilisés activement</w:t>
      </w:r>
      <w:r w:rsidR="00507887" w:rsidRPr="00EF2BEE">
        <w:rPr>
          <w:lang w:val="fr-FR"/>
        </w:rPr>
        <w:t> :</w:t>
      </w:r>
      <w:r w:rsidRPr="00EF2BEE">
        <w:rPr>
          <w:lang w:val="fr-FR"/>
        </w:rPr>
        <w:t xml:space="preserve"> les 20 principaux ressorts juridiques ayant reçu le plus de demandes de dessins ou modèles </w:t>
      </w:r>
      <w:r w:rsidR="00507887" w:rsidRPr="00EF2BEE">
        <w:rPr>
          <w:lang w:val="fr-FR"/>
        </w:rPr>
        <w:t>en 2018</w:t>
      </w:r>
      <w:r w:rsidR="0024453F" w:rsidRPr="00EF2BEE">
        <w:rPr>
          <w:lang w:val="fr-FR"/>
        </w:rPr>
        <w:t>.</w:t>
      </w:r>
    </w:p>
    <w:p w14:paraId="1DF619FE" w14:textId="77777777" w:rsidR="007E101A" w:rsidRPr="00EF2BEE" w:rsidRDefault="007E101A" w:rsidP="007E101A">
      <w:pPr>
        <w:pStyle w:val="Bulletedlistlevel2"/>
        <w:numPr>
          <w:ilvl w:val="0"/>
          <w:numId w:val="0"/>
        </w:numPr>
        <w:rPr>
          <w:lang w:val="fr-FR"/>
        </w:rPr>
      </w:pPr>
    </w:p>
    <w:p w14:paraId="0B278F7F" w14:textId="1B57F874" w:rsidR="00D9170E" w:rsidRPr="00EF2BEE" w:rsidRDefault="00490CFF" w:rsidP="006A688F">
      <w:pPr>
        <w:pStyle w:val="ONUMFS"/>
        <w:rPr>
          <w:lang w:val="fr-FR"/>
        </w:rPr>
      </w:pPr>
      <w:r w:rsidRPr="00EF2BEE">
        <w:rPr>
          <w:lang w:val="fr-FR" w:eastAsia="en-US"/>
        </w:rPr>
        <w:t>Il s</w:t>
      </w:r>
      <w:r w:rsidR="00507887" w:rsidRPr="00EF2BEE">
        <w:rPr>
          <w:lang w:val="fr-FR" w:eastAsia="en-US"/>
        </w:rPr>
        <w:t>’</w:t>
      </w:r>
      <w:r w:rsidRPr="00EF2BEE">
        <w:rPr>
          <w:lang w:val="fr-FR" w:eastAsia="en-US"/>
        </w:rPr>
        <w:t xml:space="preserve">avère que, sur ces 33 ressorts juridiques, </w:t>
      </w:r>
      <w:r w:rsidR="00D9170E" w:rsidRPr="00EF2BEE">
        <w:rPr>
          <w:rFonts w:eastAsiaTheme="minorEastAsia"/>
          <w:lang w:val="fr-FR" w:eastAsia="ja-JP"/>
        </w:rPr>
        <w:t>18</w:t>
      </w:r>
      <w:r w:rsidR="00D9170E" w:rsidRPr="00EF2BEE">
        <w:rPr>
          <w:rStyle w:val="FootnoteReference"/>
          <w:lang w:val="fr-FR"/>
        </w:rPr>
        <w:footnoteReference w:id="11"/>
      </w:r>
      <w:r w:rsidR="00D9170E" w:rsidRPr="00EF2BEE">
        <w:rPr>
          <w:rStyle w:val="FootnoteReference"/>
          <w:lang w:val="fr-FR"/>
        </w:rPr>
        <w:t xml:space="preserve"> </w:t>
      </w:r>
      <w:r w:rsidRPr="00EF2BEE">
        <w:rPr>
          <w:lang w:val="fr-FR" w:eastAsia="en-US"/>
        </w:rPr>
        <w:t xml:space="preserve">ont une structure de taxes similaire à celle du système de </w:t>
      </w:r>
      <w:r w:rsidR="00507887" w:rsidRPr="00EF2BEE">
        <w:rPr>
          <w:lang w:val="fr-FR" w:eastAsia="en-US"/>
        </w:rPr>
        <w:t>La Haye</w:t>
      </w:r>
      <w:r w:rsidRPr="00EF2BEE">
        <w:rPr>
          <w:lang w:val="fr-FR" w:eastAsia="en-US"/>
        </w:rPr>
        <w:t>, ce qui signifie que lorsque des dessins ou modèles sont déposés simultanément, une taxe est perçue pour chacun au moment du renouvellement</w:t>
      </w:r>
      <w:r w:rsidR="00D9170E" w:rsidRPr="00EF2BEE">
        <w:rPr>
          <w:rStyle w:val="FootnoteReference"/>
          <w:lang w:val="fr-FR"/>
        </w:rPr>
        <w:footnoteReference w:id="12"/>
      </w:r>
      <w:r w:rsidR="00D9170E" w:rsidRPr="00EF2BEE">
        <w:rPr>
          <w:lang w:val="fr-FR" w:eastAsia="en-US"/>
        </w:rPr>
        <w:t xml:space="preserve">.  </w:t>
      </w:r>
      <w:r w:rsidRPr="00EF2BEE">
        <w:rPr>
          <w:lang w:val="fr-FR" w:eastAsia="en-US"/>
        </w:rPr>
        <w:t>Dans 11 de ces ressorts juridiques, la même taxe est perçue pour chaque dessin ou modèle, tandis que dans les sept</w:t>
      </w:r>
      <w:r w:rsidR="006654B4" w:rsidRPr="00EF2BEE">
        <w:rPr>
          <w:lang w:val="fr-FR" w:eastAsia="en-US"/>
        </w:rPr>
        <w:t> </w:t>
      </w:r>
      <w:r w:rsidRPr="00EF2BEE">
        <w:rPr>
          <w:lang w:val="fr-FR" w:eastAsia="en-US"/>
        </w:rPr>
        <w:t xml:space="preserve">autres, la taxe pour chaque dessin ou modèle supplémentaire reste la même mais </w:t>
      </w:r>
      <w:r w:rsidRPr="00EF2BEE">
        <w:rPr>
          <w:lang w:val="fr-FR" w:eastAsia="en-US"/>
        </w:rPr>
        <w:lastRenderedPageBreak/>
        <w:t xml:space="preserve">est inférieure à celle perçue pour le premier dessin ou modèle (ce qui est exactement le cas dans le système de </w:t>
      </w:r>
      <w:r w:rsidR="00507887" w:rsidRPr="00EF2BEE">
        <w:rPr>
          <w:lang w:val="fr-FR" w:eastAsia="en-US"/>
        </w:rPr>
        <w:t>La Ha</w:t>
      </w:r>
      <w:r w:rsidR="00466F96" w:rsidRPr="00EF2BEE">
        <w:rPr>
          <w:lang w:val="fr-FR" w:eastAsia="en-US"/>
        </w:rPr>
        <w:t>ye).  Le</w:t>
      </w:r>
      <w:r w:rsidRPr="00EF2BEE">
        <w:rPr>
          <w:lang w:val="fr-FR" w:eastAsia="en-US"/>
        </w:rPr>
        <w:t xml:space="preserve"> graphique ci</w:t>
      </w:r>
      <w:r w:rsidR="00466F96" w:rsidRPr="00EF2BEE">
        <w:rPr>
          <w:lang w:val="fr-FR" w:eastAsia="en-US"/>
        </w:rPr>
        <w:noBreakHyphen/>
      </w:r>
      <w:r w:rsidRPr="00EF2BEE">
        <w:rPr>
          <w:lang w:val="fr-FR" w:eastAsia="en-US"/>
        </w:rPr>
        <w:t>dessous illustre les résultats obtenus</w:t>
      </w:r>
      <w:r w:rsidR="006654B4" w:rsidRPr="00EF2BEE">
        <w:rPr>
          <w:lang w:val="fr-FR" w:eastAsia="en-US"/>
        </w:rPr>
        <w:t> </w:t>
      </w:r>
      <w:r w:rsidR="00D9170E" w:rsidRPr="00EF2BEE">
        <w:rPr>
          <w:lang w:val="fr-FR" w:eastAsia="en-US"/>
        </w:rPr>
        <w:t>:</w:t>
      </w:r>
    </w:p>
    <w:p w14:paraId="7790CDF5" w14:textId="34E4D86E" w:rsidR="00910B78" w:rsidRPr="00EF2BEE" w:rsidRDefault="00490CFF" w:rsidP="00531EE8">
      <w:pPr>
        <w:pStyle w:val="BodyText"/>
        <w:numPr>
          <w:ilvl w:val="0"/>
          <w:numId w:val="0"/>
        </w:numPr>
        <w:spacing w:after="0"/>
        <w:ind w:left="284"/>
        <w:jc w:val="center"/>
        <w:rPr>
          <w:lang w:val="fr-FR"/>
        </w:rPr>
      </w:pPr>
      <w:r w:rsidRPr="00EF2BEE">
        <w:rPr>
          <w:lang w:val="fr-FR"/>
        </w:rPr>
        <w:t xml:space="preserve">Taux de la taxe de renouvellement </w:t>
      </w:r>
      <w:r w:rsidR="00477B39" w:rsidRPr="00EF2BEE">
        <w:rPr>
          <w:lang w:val="fr-FR"/>
        </w:rPr>
        <w:t>pour chaque dessin ou modèle supplémentaire par rapport à celui du premier dessin ou modèle</w:t>
      </w:r>
    </w:p>
    <w:p w14:paraId="0FC0FC4F" w14:textId="77777777" w:rsidR="007F51E4" w:rsidRPr="00EF2BEE" w:rsidRDefault="007F51E4" w:rsidP="007F51E4">
      <w:pPr>
        <w:spacing w:after="220"/>
        <w:ind w:left="284"/>
        <w:jc w:val="center"/>
        <w:rPr>
          <w:lang w:val="fr-FR" w:eastAsia="en-US"/>
        </w:rPr>
      </w:pPr>
      <w:r w:rsidRPr="00EF2BEE">
        <w:rPr>
          <w:noProof/>
          <w:lang w:eastAsia="en-US"/>
        </w:rPr>
        <w:drawing>
          <wp:inline distT="0" distB="0" distL="0" distR="0" wp14:anchorId="401A71CB" wp14:editId="20F9A547">
            <wp:extent cx="5663415" cy="25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3415" cy="2520000"/>
                    </a:xfrm>
                    <a:prstGeom prst="rect">
                      <a:avLst/>
                    </a:prstGeom>
                    <a:noFill/>
                    <a:ln>
                      <a:noFill/>
                    </a:ln>
                  </pic:spPr>
                </pic:pic>
              </a:graphicData>
            </a:graphic>
          </wp:inline>
        </w:drawing>
      </w:r>
    </w:p>
    <w:p w14:paraId="14EF2C27" w14:textId="26D3E849" w:rsidR="00D9170E" w:rsidRPr="00EF2BEE" w:rsidRDefault="005D46E4" w:rsidP="00531EE8">
      <w:pPr>
        <w:pStyle w:val="ONUMFS"/>
        <w:tabs>
          <w:tab w:val="clear" w:pos="567"/>
        </w:tabs>
        <w:rPr>
          <w:spacing w:val="-4"/>
          <w:lang w:val="fr-FR" w:eastAsia="en-US"/>
        </w:rPr>
      </w:pPr>
      <w:r w:rsidRPr="00EF2BEE">
        <w:rPr>
          <w:spacing w:val="-4"/>
          <w:lang w:val="fr-FR" w:eastAsia="en-US"/>
        </w:rPr>
        <w:t xml:space="preserve">Dans le système de </w:t>
      </w:r>
      <w:r w:rsidR="00507887" w:rsidRPr="00EF2BEE">
        <w:rPr>
          <w:spacing w:val="-4"/>
          <w:lang w:val="fr-FR" w:eastAsia="en-US"/>
        </w:rPr>
        <w:t>La Haye</w:t>
      </w:r>
      <w:r w:rsidRPr="00EF2BEE">
        <w:rPr>
          <w:spacing w:val="-4"/>
          <w:lang w:val="fr-FR" w:eastAsia="en-US"/>
        </w:rPr>
        <w:t>, le montant de la taxe de renouvellement de base pour le premier dessin ou modèle s</w:t>
      </w:r>
      <w:r w:rsidR="00507887" w:rsidRPr="00EF2BEE">
        <w:rPr>
          <w:spacing w:val="-4"/>
          <w:lang w:val="fr-FR" w:eastAsia="en-US"/>
        </w:rPr>
        <w:t>’</w:t>
      </w:r>
      <w:r w:rsidRPr="00EF2BEE">
        <w:rPr>
          <w:spacing w:val="-4"/>
          <w:lang w:val="fr-FR" w:eastAsia="en-US"/>
        </w:rPr>
        <w:t>élève à 200 francs suisses et pour chaque dessin ou modèle supplémentaire contenu dans le même enregistrement international, il s</w:t>
      </w:r>
      <w:r w:rsidR="00507887" w:rsidRPr="00EF2BEE">
        <w:rPr>
          <w:spacing w:val="-4"/>
          <w:lang w:val="fr-FR" w:eastAsia="en-US"/>
        </w:rPr>
        <w:t>’</w:t>
      </w:r>
      <w:r w:rsidRPr="00EF2BEE">
        <w:rPr>
          <w:spacing w:val="-4"/>
          <w:lang w:val="fr-FR" w:eastAsia="en-US"/>
        </w:rPr>
        <w:t>élève à 17 francs suiss</w:t>
      </w:r>
      <w:r w:rsidR="00466F96" w:rsidRPr="00EF2BEE">
        <w:rPr>
          <w:spacing w:val="-4"/>
          <w:lang w:val="fr-FR" w:eastAsia="en-US"/>
        </w:rPr>
        <w:t>es.  Ce</w:t>
      </w:r>
      <w:r w:rsidRPr="00EF2BEE">
        <w:rPr>
          <w:spacing w:val="-4"/>
          <w:lang w:val="fr-FR" w:eastAsia="en-US"/>
        </w:rPr>
        <w:t>la signifie que le taux de la taxe de renouvellement applicable à chaque dessin ou modèle supplémentaire par rapport à celui du premier dessin ou modèle s</w:t>
      </w:r>
      <w:r w:rsidR="00507887" w:rsidRPr="00EF2BEE">
        <w:rPr>
          <w:spacing w:val="-4"/>
          <w:lang w:val="fr-FR" w:eastAsia="en-US"/>
        </w:rPr>
        <w:t>’</w:t>
      </w:r>
      <w:r w:rsidRPr="00EF2BEE">
        <w:rPr>
          <w:spacing w:val="-4"/>
          <w:lang w:val="fr-FR" w:eastAsia="en-US"/>
        </w:rPr>
        <w:t>établit à 8,5%</w:t>
      </w:r>
      <w:r w:rsidR="001A72E9" w:rsidRPr="00EF2BEE">
        <w:rPr>
          <w:spacing w:val="-4"/>
          <w:lang w:val="fr-FR" w:eastAsia="en-US"/>
        </w:rPr>
        <w:t>.</w:t>
      </w:r>
    </w:p>
    <w:p w14:paraId="21B7D247" w14:textId="628727F6" w:rsidR="001C5339" w:rsidRPr="00EF2BEE" w:rsidRDefault="005D46E4" w:rsidP="006A688F">
      <w:pPr>
        <w:pStyle w:val="ONUMFS"/>
        <w:rPr>
          <w:lang w:val="fr-FR" w:eastAsia="en-US"/>
        </w:rPr>
      </w:pPr>
      <w:r w:rsidRPr="00EF2BEE">
        <w:rPr>
          <w:lang w:val="fr-FR" w:eastAsia="en-US"/>
        </w:rPr>
        <w:t>En conséquence, il ressort de l</w:t>
      </w:r>
      <w:r w:rsidR="00507887" w:rsidRPr="00EF2BEE">
        <w:rPr>
          <w:lang w:val="fr-FR" w:eastAsia="en-US"/>
        </w:rPr>
        <w:t>’</w:t>
      </w:r>
      <w:r w:rsidRPr="00EF2BEE">
        <w:rPr>
          <w:lang w:val="fr-FR" w:eastAsia="en-US"/>
        </w:rPr>
        <w:t xml:space="preserve">analyse tendant à comparer le taux applicable à chaque dessin ou modèle supplémentaire dans les sept ressorts juridiques ayant un barème de taxes similaire à celui du système de </w:t>
      </w:r>
      <w:r w:rsidR="00507887" w:rsidRPr="00EF2BEE">
        <w:rPr>
          <w:lang w:val="fr-FR" w:eastAsia="en-US"/>
        </w:rPr>
        <w:t>La Haye</w:t>
      </w:r>
      <w:r w:rsidRPr="00EF2BEE">
        <w:rPr>
          <w:lang w:val="fr-FR" w:eastAsia="en-US"/>
        </w:rPr>
        <w:t xml:space="preserve"> que le taux moyen est de 50,2</w:t>
      </w:r>
      <w:r w:rsidR="00696049" w:rsidRPr="00EF2BEE">
        <w:rPr>
          <w:lang w:val="fr-FR" w:eastAsia="en-US"/>
        </w:rPr>
        <w:t>%</w:t>
      </w:r>
      <w:r w:rsidR="00490300" w:rsidRPr="00EF2BEE">
        <w:rPr>
          <w:rStyle w:val="FootnoteReference"/>
          <w:lang w:val="fr-FR" w:eastAsia="en-US"/>
        </w:rPr>
        <w:footnoteReference w:id="13"/>
      </w:r>
      <w:r w:rsidR="00ED2235" w:rsidRPr="00EF2BEE">
        <w:rPr>
          <w:lang w:val="fr-FR" w:eastAsia="en-US"/>
        </w:rPr>
        <w:t xml:space="preserve">, </w:t>
      </w:r>
      <w:r w:rsidRPr="00EF2BEE">
        <w:rPr>
          <w:lang w:val="fr-FR" w:eastAsia="en-US"/>
        </w:rPr>
        <w:t>comme le montre le tableau ci</w:t>
      </w:r>
      <w:r w:rsidR="00466F96" w:rsidRPr="00EF2BEE">
        <w:rPr>
          <w:lang w:val="fr-FR" w:eastAsia="en-US"/>
        </w:rPr>
        <w:noBreakHyphen/>
      </w:r>
      <w:r w:rsidRPr="00EF2BEE">
        <w:rPr>
          <w:lang w:val="fr-FR" w:eastAsia="en-US"/>
        </w:rPr>
        <w:t>dessous</w:t>
      </w:r>
      <w:r w:rsidR="00507887" w:rsidRPr="00EF2BEE">
        <w:rPr>
          <w:lang w:val="fr-FR" w:eastAsia="en-US"/>
        </w:rPr>
        <w:t> :</w:t>
      </w:r>
    </w:p>
    <w:p w14:paraId="546C07CF" w14:textId="2F918CB6" w:rsidR="001C5339" w:rsidRPr="00EF2BEE" w:rsidRDefault="005D46E4" w:rsidP="00531EE8">
      <w:pPr>
        <w:pStyle w:val="ONUME"/>
        <w:numPr>
          <w:ilvl w:val="0"/>
          <w:numId w:val="0"/>
        </w:numPr>
        <w:spacing w:after="0"/>
        <w:jc w:val="center"/>
        <w:rPr>
          <w:lang w:val="fr-FR"/>
        </w:rPr>
      </w:pPr>
      <w:r w:rsidRPr="00EF2BEE">
        <w:rPr>
          <w:lang w:val="fr-FR"/>
        </w:rPr>
        <w:t xml:space="preserve">Taux moyen de la taxe de renouvellement pour chaque </w:t>
      </w:r>
      <w:r w:rsidR="006A688F" w:rsidRPr="00EF2BEE">
        <w:rPr>
          <w:lang w:val="fr-FR"/>
        </w:rPr>
        <w:t>dessin ou modèle supplémentaire</w:t>
      </w:r>
    </w:p>
    <w:p w14:paraId="4C86CF82" w14:textId="77777777" w:rsidR="007F51E4" w:rsidRPr="00EF2BEE" w:rsidRDefault="007F51E4" w:rsidP="007F51E4">
      <w:pPr>
        <w:spacing w:after="220"/>
        <w:jc w:val="center"/>
      </w:pPr>
      <w:r w:rsidRPr="00EF2BEE">
        <w:rPr>
          <w:noProof/>
          <w:lang w:eastAsia="en-US"/>
        </w:rPr>
        <w:drawing>
          <wp:inline distT="0" distB="0" distL="0" distR="0" wp14:anchorId="74DC45B1" wp14:editId="01C992D6">
            <wp:extent cx="4184838" cy="25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4838" cy="2520000"/>
                    </a:xfrm>
                    <a:prstGeom prst="rect">
                      <a:avLst/>
                    </a:prstGeom>
                    <a:noFill/>
                    <a:ln>
                      <a:noFill/>
                    </a:ln>
                  </pic:spPr>
                </pic:pic>
              </a:graphicData>
            </a:graphic>
          </wp:inline>
        </w:drawing>
      </w:r>
    </w:p>
    <w:p w14:paraId="40349CDB" w14:textId="505AF571" w:rsidR="009555D3" w:rsidRPr="00EF2BEE" w:rsidRDefault="006A688F" w:rsidP="00531EE8">
      <w:pPr>
        <w:pStyle w:val="Heading1"/>
      </w:pPr>
      <w:r w:rsidRPr="00EF2BEE">
        <w:lastRenderedPageBreak/>
        <w:t>IV.</w:t>
      </w:r>
      <w:r w:rsidRPr="00EF2BEE">
        <w:tab/>
        <w:t>C</w:t>
      </w:r>
      <w:r w:rsidR="009555D3" w:rsidRPr="00EF2BEE">
        <w:t>onclusions</w:t>
      </w:r>
    </w:p>
    <w:p w14:paraId="5AF26A54" w14:textId="15DF077A" w:rsidR="0016754F" w:rsidRPr="00EF2BEE" w:rsidRDefault="0007136F" w:rsidP="006A688F">
      <w:pPr>
        <w:pStyle w:val="ONUMFS"/>
        <w:rPr>
          <w:lang w:val="fr-FR"/>
        </w:rPr>
      </w:pPr>
      <w:r w:rsidRPr="00EF2BEE">
        <w:rPr>
          <w:lang w:val="fr-FR"/>
        </w:rPr>
        <w:t>Comme l</w:t>
      </w:r>
      <w:r w:rsidR="00507887" w:rsidRPr="00EF2BEE">
        <w:rPr>
          <w:lang w:val="fr-FR"/>
        </w:rPr>
        <w:t>’</w:t>
      </w:r>
      <w:r w:rsidRPr="00EF2BEE">
        <w:rPr>
          <w:lang w:val="fr-FR"/>
        </w:rPr>
        <w:t>a noté le groupe de travail à sa huit</w:t>
      </w:r>
      <w:r w:rsidR="00507887" w:rsidRPr="00EF2BEE">
        <w:rPr>
          <w:lang w:val="fr-FR"/>
        </w:rPr>
        <w:t>ième session</w:t>
      </w:r>
      <w:r w:rsidRPr="00EF2BEE">
        <w:rPr>
          <w:lang w:val="fr-FR"/>
        </w:rPr>
        <w:t>, le taux de 8,5% pour chaque dessin ou modèle supplémentaire par rapport au montant de la taxe de renouvellement de base pour le premier dessin ou modèle semble bien inférieur aux taux moyens en vigueur dans d</w:t>
      </w:r>
      <w:r w:rsidR="00507887" w:rsidRPr="00EF2BEE">
        <w:rPr>
          <w:lang w:val="fr-FR"/>
        </w:rPr>
        <w:t>’</w:t>
      </w:r>
      <w:r w:rsidRPr="00EF2BEE">
        <w:rPr>
          <w:lang w:val="fr-FR"/>
        </w:rPr>
        <w:t xml:space="preserve">autres systèmes permettant le dépôt de plusieurs dessins ou modèles </w:t>
      </w:r>
      <w:r w:rsidR="00813E4F" w:rsidRPr="00EF2BEE">
        <w:rPr>
          <w:lang w:val="fr-FR"/>
        </w:rPr>
        <w:t>dans la même</w:t>
      </w:r>
      <w:r w:rsidRPr="00EF2BEE">
        <w:rPr>
          <w:lang w:val="fr-FR"/>
        </w:rPr>
        <w:t xml:space="preserve"> demande, qui ont exactement la même structure de taxes de renouvellement que le système de </w:t>
      </w:r>
      <w:r w:rsidR="00507887" w:rsidRPr="00EF2BEE">
        <w:rPr>
          <w:lang w:val="fr-FR"/>
        </w:rPr>
        <w:t>La Haye</w:t>
      </w:r>
      <w:r w:rsidR="0016754F" w:rsidRPr="00EF2BEE">
        <w:rPr>
          <w:lang w:val="fr-FR" w:eastAsia="en-US"/>
        </w:rPr>
        <w:t>.</w:t>
      </w:r>
    </w:p>
    <w:p w14:paraId="716CBEF4" w14:textId="1AC9AF4C" w:rsidR="00DC73BE" w:rsidRPr="00EF2BEE" w:rsidRDefault="0007136F" w:rsidP="006A688F">
      <w:pPr>
        <w:pStyle w:val="ONUMFS"/>
        <w:rPr>
          <w:lang w:val="fr-FR" w:eastAsia="en-US"/>
        </w:rPr>
      </w:pPr>
      <w:r w:rsidRPr="00EF2BEE">
        <w:rPr>
          <w:lang w:val="fr-FR" w:eastAsia="en-US"/>
        </w:rPr>
        <w:t>Compte tenu du mandat reçu du groupe de travail, le Bureau international poursuivra cette étude en vue de proposer une éventuelle augmentation du montant de la taxe de base de renouvellement pour chaque dessin ou modèle supplémentaire, qui sera examinée lors d</w:t>
      </w:r>
      <w:r w:rsidR="00507887" w:rsidRPr="00EF2BEE">
        <w:rPr>
          <w:lang w:val="fr-FR" w:eastAsia="en-US"/>
        </w:rPr>
        <w:t>’</w:t>
      </w:r>
      <w:r w:rsidRPr="00EF2BEE">
        <w:rPr>
          <w:lang w:val="fr-FR" w:eastAsia="en-US"/>
        </w:rPr>
        <w:t>une prochaine session</w:t>
      </w:r>
      <w:r w:rsidR="006A688F" w:rsidRPr="00EF2BEE">
        <w:rPr>
          <w:lang w:val="fr-FR" w:eastAsia="en-US"/>
        </w:rPr>
        <w:t>.</w:t>
      </w:r>
    </w:p>
    <w:p w14:paraId="460510ED" w14:textId="55AB40F6" w:rsidR="00DC73BE" w:rsidRPr="00892ADF" w:rsidRDefault="00DC73BE" w:rsidP="006A688F">
      <w:pPr>
        <w:pStyle w:val="Endofdocument-Annex"/>
        <w:spacing w:before="720"/>
        <w:rPr>
          <w:lang w:val="fr-FR"/>
        </w:rPr>
      </w:pPr>
      <w:r w:rsidRPr="00EF2BEE">
        <w:rPr>
          <w:lang w:val="fr-FR"/>
        </w:rPr>
        <w:t>[</w:t>
      </w:r>
      <w:r w:rsidR="0007136F" w:rsidRPr="00EF2BEE">
        <w:rPr>
          <w:lang w:val="fr-FR"/>
        </w:rPr>
        <w:t xml:space="preserve">Fin du </w:t>
      </w:r>
      <w:r w:rsidRPr="00EF2BEE">
        <w:rPr>
          <w:lang w:val="fr-FR"/>
        </w:rPr>
        <w:t>document]</w:t>
      </w:r>
    </w:p>
    <w:sectPr w:rsidR="00DC73BE" w:rsidRPr="00892ADF" w:rsidSect="006A688F">
      <w:headerReference w:type="default" r:id="rId12"/>
      <w:footerReference w:type="defaul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D2760" w14:textId="77777777" w:rsidR="00877A59" w:rsidRDefault="00877A59">
      <w:r>
        <w:separator/>
      </w:r>
    </w:p>
  </w:endnote>
  <w:endnote w:type="continuationSeparator" w:id="0">
    <w:p w14:paraId="385A7235" w14:textId="77777777" w:rsidR="00877A59" w:rsidRDefault="00877A59" w:rsidP="003B38C1">
      <w:r>
        <w:separator/>
      </w:r>
    </w:p>
    <w:p w14:paraId="00DC2237" w14:textId="77777777" w:rsidR="00877A59" w:rsidRPr="003B38C1" w:rsidRDefault="00877A59" w:rsidP="003B38C1">
      <w:pPr>
        <w:spacing w:after="60"/>
        <w:rPr>
          <w:sz w:val="17"/>
        </w:rPr>
      </w:pPr>
      <w:r>
        <w:rPr>
          <w:sz w:val="17"/>
        </w:rPr>
        <w:t>[Endnote continued from previous page]</w:t>
      </w:r>
    </w:p>
  </w:endnote>
  <w:endnote w:type="continuationNotice" w:id="1">
    <w:p w14:paraId="1D84B846" w14:textId="77777777" w:rsidR="00877A59" w:rsidRPr="003B38C1" w:rsidRDefault="00877A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1B9E1" w14:textId="77777777" w:rsidR="00466F96" w:rsidRDefault="00466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28D6E" w14:textId="77777777" w:rsidR="00877A59" w:rsidRDefault="00877A59">
      <w:r>
        <w:separator/>
      </w:r>
    </w:p>
  </w:footnote>
  <w:footnote w:type="continuationSeparator" w:id="0">
    <w:p w14:paraId="1659D4B2" w14:textId="77777777" w:rsidR="00877A59" w:rsidRDefault="00877A59" w:rsidP="008B60B2">
      <w:r>
        <w:separator/>
      </w:r>
    </w:p>
    <w:p w14:paraId="0F4174DA" w14:textId="77777777" w:rsidR="00877A59" w:rsidRPr="00ED77FB" w:rsidRDefault="00877A59" w:rsidP="008B60B2">
      <w:pPr>
        <w:spacing w:after="60"/>
        <w:rPr>
          <w:sz w:val="17"/>
          <w:szCs w:val="17"/>
        </w:rPr>
      </w:pPr>
      <w:r w:rsidRPr="00ED77FB">
        <w:rPr>
          <w:sz w:val="17"/>
          <w:szCs w:val="17"/>
        </w:rPr>
        <w:t>[Footnote continued from previous page]</w:t>
      </w:r>
    </w:p>
  </w:footnote>
  <w:footnote w:type="continuationNotice" w:id="1">
    <w:p w14:paraId="114CFEC3" w14:textId="77777777" w:rsidR="00877A59" w:rsidRPr="00ED77FB" w:rsidRDefault="00877A59" w:rsidP="008B60B2">
      <w:pPr>
        <w:spacing w:before="60"/>
        <w:jc w:val="right"/>
        <w:rPr>
          <w:sz w:val="17"/>
          <w:szCs w:val="17"/>
        </w:rPr>
      </w:pPr>
      <w:r w:rsidRPr="00ED77FB">
        <w:rPr>
          <w:sz w:val="17"/>
          <w:szCs w:val="17"/>
        </w:rPr>
        <w:t>[Footnote continued on next page]</w:t>
      </w:r>
    </w:p>
  </w:footnote>
  <w:footnote w:id="2">
    <w:p w14:paraId="0F995700" w14:textId="4CAA311F" w:rsidR="00E853E5" w:rsidRPr="006A688F" w:rsidRDefault="00E853E5">
      <w:pPr>
        <w:pStyle w:val="FootnoteText"/>
        <w:rPr>
          <w:lang w:val="fr-CH"/>
        </w:rPr>
      </w:pPr>
      <w:r>
        <w:rPr>
          <w:rStyle w:val="FootnoteReference"/>
        </w:rPr>
        <w:footnoteRef/>
      </w:r>
      <w:r w:rsidRPr="006A688F">
        <w:rPr>
          <w:lang w:val="fr-CH"/>
        </w:rPr>
        <w:t xml:space="preserve"> </w:t>
      </w:r>
      <w:r w:rsidRPr="006A688F">
        <w:rPr>
          <w:lang w:val="fr-CH"/>
        </w:rPr>
        <w:tab/>
      </w:r>
      <w:r w:rsidR="005F5694" w:rsidRPr="005F5694">
        <w:rPr>
          <w:lang w:val="fr-FR"/>
        </w:rPr>
        <w:t xml:space="preserve">Voir le paragraphe 27 du </w:t>
      </w:r>
      <w:r w:rsidRPr="005F5694">
        <w:rPr>
          <w:lang w:val="fr-FR"/>
        </w:rPr>
        <w:t>document</w:t>
      </w:r>
      <w:r w:rsidR="005F5694" w:rsidRPr="005F5694">
        <w:rPr>
          <w:lang w:val="fr-FR"/>
        </w:rPr>
        <w:t> </w:t>
      </w:r>
      <w:r w:rsidRPr="005F5694">
        <w:rPr>
          <w:lang w:val="fr-FR"/>
        </w:rPr>
        <w:t>H/LD/WG/8/8 “</w:t>
      </w:r>
      <w:r w:rsidR="005F5694" w:rsidRPr="005F5694">
        <w:rPr>
          <w:lang w:val="fr-FR"/>
        </w:rPr>
        <w:t>Résumé présenté par le président</w:t>
      </w:r>
      <w:r w:rsidRPr="006A688F">
        <w:rPr>
          <w:lang w:val="fr-CH"/>
        </w:rPr>
        <w:t>”.</w:t>
      </w:r>
    </w:p>
  </w:footnote>
  <w:footnote w:id="3">
    <w:p w14:paraId="3D554074" w14:textId="3973687E" w:rsidR="00E853E5" w:rsidRPr="001F3C2A" w:rsidRDefault="00E853E5" w:rsidP="004F0E54">
      <w:pPr>
        <w:pStyle w:val="FootnoteText"/>
        <w:ind w:left="567" w:hanging="567"/>
        <w:rPr>
          <w:szCs w:val="18"/>
          <w:lang w:val="fr-FR"/>
        </w:rPr>
      </w:pPr>
      <w:r w:rsidRPr="00644E01">
        <w:rPr>
          <w:rStyle w:val="FootnoteReference"/>
          <w:szCs w:val="18"/>
        </w:rPr>
        <w:footnoteRef/>
      </w:r>
      <w:r w:rsidRPr="006A688F">
        <w:rPr>
          <w:szCs w:val="18"/>
          <w:lang w:val="fr-CH"/>
        </w:rPr>
        <w:tab/>
      </w:r>
      <w:r w:rsidR="006A73A1" w:rsidRPr="001F3C2A">
        <w:rPr>
          <w:szCs w:val="18"/>
          <w:lang w:val="fr-FR"/>
        </w:rPr>
        <w:t>Selon le rapport mensuel établi par la Section des recettes de la Division des finances</w:t>
      </w:r>
      <w:r w:rsidRPr="001F3C2A">
        <w:rPr>
          <w:szCs w:val="18"/>
          <w:lang w:val="fr-FR"/>
        </w:rPr>
        <w:t>.</w:t>
      </w:r>
    </w:p>
  </w:footnote>
  <w:footnote w:id="4">
    <w:p w14:paraId="174A2165" w14:textId="2A56814B" w:rsidR="00E853E5" w:rsidRPr="001F3C2A" w:rsidRDefault="00E853E5" w:rsidP="006A73A1">
      <w:pPr>
        <w:pStyle w:val="FootnoteText"/>
        <w:rPr>
          <w:szCs w:val="18"/>
          <w:lang w:val="fr-FR"/>
        </w:rPr>
      </w:pPr>
      <w:r w:rsidRPr="001F3C2A">
        <w:rPr>
          <w:rStyle w:val="FootnoteReference"/>
          <w:szCs w:val="18"/>
          <w:lang w:val="fr-FR"/>
        </w:rPr>
        <w:footnoteRef/>
      </w:r>
      <w:r w:rsidRPr="001F3C2A">
        <w:rPr>
          <w:szCs w:val="18"/>
          <w:lang w:val="fr-FR"/>
        </w:rPr>
        <w:tab/>
      </w:r>
      <w:r w:rsidR="006A73A1" w:rsidRPr="001F3C2A">
        <w:rPr>
          <w:szCs w:val="18"/>
          <w:lang w:val="fr-FR"/>
        </w:rPr>
        <w:t>Les chiffres relatifs aux demandes internationales sont basés sur les enregistrements internationaux comportant une date d</w:t>
      </w:r>
      <w:r w:rsidR="002E747C">
        <w:rPr>
          <w:szCs w:val="18"/>
          <w:lang w:val="fr-FR"/>
        </w:rPr>
        <w:t>’</w:t>
      </w:r>
      <w:r w:rsidR="006A73A1" w:rsidRPr="001F3C2A">
        <w:rPr>
          <w:szCs w:val="18"/>
          <w:lang w:val="fr-FR"/>
        </w:rPr>
        <w:t xml:space="preserve">enregistrement </w:t>
      </w:r>
      <w:r w:rsidR="002E747C" w:rsidRPr="001F3C2A">
        <w:rPr>
          <w:szCs w:val="18"/>
          <w:lang w:val="fr-FR"/>
        </w:rPr>
        <w:t>en</w:t>
      </w:r>
      <w:r w:rsidR="002E747C">
        <w:rPr>
          <w:szCs w:val="18"/>
          <w:lang w:val="fr-FR"/>
        </w:rPr>
        <w:t> </w:t>
      </w:r>
      <w:r w:rsidR="002E747C" w:rsidRPr="001F3C2A">
        <w:rPr>
          <w:szCs w:val="18"/>
          <w:lang w:val="fr-FR"/>
        </w:rPr>
        <w:t>2019</w:t>
      </w:r>
      <w:r w:rsidR="006A73A1" w:rsidRPr="001F3C2A">
        <w:rPr>
          <w:szCs w:val="18"/>
          <w:lang w:val="fr-FR"/>
        </w:rPr>
        <w:t xml:space="preserve">.  De même, les cas de renouvellement et de changement sont comptés sur </w:t>
      </w:r>
      <w:r w:rsidR="001F3C2A" w:rsidRPr="001F3C2A">
        <w:rPr>
          <w:szCs w:val="18"/>
          <w:lang w:val="fr-FR"/>
        </w:rPr>
        <w:t>la</w:t>
      </w:r>
      <w:r w:rsidR="006A73A1" w:rsidRPr="001F3C2A">
        <w:rPr>
          <w:szCs w:val="18"/>
          <w:lang w:val="fr-FR"/>
        </w:rPr>
        <w:t xml:space="preserve"> base </w:t>
      </w:r>
      <w:r w:rsidR="001F3C2A" w:rsidRPr="001F3C2A">
        <w:rPr>
          <w:szCs w:val="18"/>
          <w:lang w:val="fr-FR"/>
        </w:rPr>
        <w:t xml:space="preserve">des </w:t>
      </w:r>
      <w:r w:rsidR="006A73A1" w:rsidRPr="001F3C2A">
        <w:rPr>
          <w:szCs w:val="18"/>
          <w:lang w:val="fr-FR"/>
        </w:rPr>
        <w:t>enregistr</w:t>
      </w:r>
      <w:r w:rsidR="001F3C2A" w:rsidRPr="001F3C2A">
        <w:rPr>
          <w:szCs w:val="18"/>
          <w:lang w:val="fr-FR"/>
        </w:rPr>
        <w:t>ements</w:t>
      </w:r>
      <w:r w:rsidRPr="001F3C2A">
        <w:rPr>
          <w:szCs w:val="18"/>
          <w:lang w:val="fr-FR"/>
        </w:rPr>
        <w:t>.</w:t>
      </w:r>
    </w:p>
  </w:footnote>
  <w:footnote w:id="5">
    <w:p w14:paraId="11EFDCD6" w14:textId="26E6A8B1" w:rsidR="00E853E5" w:rsidRPr="001F3C2A" w:rsidRDefault="00E853E5" w:rsidP="006827C2">
      <w:pPr>
        <w:pStyle w:val="FootnoteText"/>
        <w:ind w:left="567" w:hanging="567"/>
        <w:rPr>
          <w:szCs w:val="18"/>
          <w:lang w:val="fr-FR"/>
        </w:rPr>
      </w:pPr>
      <w:r w:rsidRPr="001F3C2A">
        <w:rPr>
          <w:rStyle w:val="FootnoteReference"/>
          <w:szCs w:val="18"/>
          <w:lang w:val="fr-FR"/>
        </w:rPr>
        <w:footnoteRef/>
      </w:r>
      <w:r w:rsidRPr="001F3C2A">
        <w:rPr>
          <w:szCs w:val="18"/>
          <w:lang w:val="fr-FR"/>
        </w:rPr>
        <w:tab/>
      </w:r>
      <w:r w:rsidR="001F3C2A" w:rsidRPr="001F3C2A">
        <w:rPr>
          <w:szCs w:val="18"/>
          <w:lang w:val="fr-FR"/>
        </w:rPr>
        <w:t>En milliers de francs suisses</w:t>
      </w:r>
      <w:r w:rsidRPr="001F3C2A">
        <w:rPr>
          <w:szCs w:val="18"/>
          <w:lang w:val="fr-FR"/>
        </w:rPr>
        <w:t>.</w:t>
      </w:r>
    </w:p>
  </w:footnote>
  <w:footnote w:id="6">
    <w:p w14:paraId="3C77EA9F" w14:textId="401A393B" w:rsidR="00E853E5" w:rsidRPr="001F3C2A" w:rsidRDefault="00E853E5">
      <w:pPr>
        <w:pStyle w:val="FootnoteText"/>
        <w:rPr>
          <w:lang w:val="fr-FR"/>
        </w:rPr>
      </w:pPr>
      <w:r w:rsidRPr="001F3C2A">
        <w:rPr>
          <w:rStyle w:val="FootnoteReference"/>
          <w:lang w:val="fr-FR"/>
        </w:rPr>
        <w:footnoteRef/>
      </w:r>
      <w:r w:rsidRPr="001F3C2A">
        <w:rPr>
          <w:lang w:val="fr-FR"/>
        </w:rPr>
        <w:t xml:space="preserve"> </w:t>
      </w:r>
      <w:r w:rsidRPr="001F3C2A">
        <w:rPr>
          <w:lang w:val="fr-FR"/>
        </w:rPr>
        <w:tab/>
      </w:r>
      <w:r w:rsidR="001F3C2A" w:rsidRPr="001F3C2A">
        <w:rPr>
          <w:lang w:val="fr-FR"/>
        </w:rPr>
        <w:t>Ce montant inclut la surtaxe perçue au titre de la règle </w:t>
      </w:r>
      <w:proofErr w:type="gramStart"/>
      <w:r w:rsidRPr="001F3C2A">
        <w:rPr>
          <w:szCs w:val="18"/>
          <w:lang w:val="fr-FR"/>
        </w:rPr>
        <w:t>24</w:t>
      </w:r>
      <w:r w:rsidR="001F3C2A" w:rsidRPr="001F3C2A">
        <w:rPr>
          <w:szCs w:val="18"/>
          <w:lang w:val="fr-FR"/>
        </w:rPr>
        <w:t>.</w:t>
      </w:r>
      <w:r w:rsidRPr="001F3C2A">
        <w:rPr>
          <w:szCs w:val="18"/>
          <w:lang w:val="fr-FR"/>
        </w:rPr>
        <w:t>1)c</w:t>
      </w:r>
      <w:proofErr w:type="gramEnd"/>
      <w:r w:rsidRPr="001F3C2A">
        <w:rPr>
          <w:szCs w:val="18"/>
          <w:lang w:val="fr-FR"/>
        </w:rPr>
        <w:t xml:space="preserve">) </w:t>
      </w:r>
      <w:r w:rsidR="001F3C2A" w:rsidRPr="001F3C2A">
        <w:rPr>
          <w:szCs w:val="18"/>
          <w:lang w:val="fr-FR"/>
        </w:rPr>
        <w:t>pour renouvellement tardif</w:t>
      </w:r>
      <w:r w:rsidRPr="001F3C2A">
        <w:rPr>
          <w:szCs w:val="18"/>
          <w:lang w:val="fr-FR"/>
        </w:rPr>
        <w:t>.</w:t>
      </w:r>
    </w:p>
  </w:footnote>
  <w:footnote w:id="7">
    <w:p w14:paraId="52A9F27A" w14:textId="33BB6982" w:rsidR="00E853E5" w:rsidRPr="003934F3" w:rsidRDefault="00E853E5">
      <w:pPr>
        <w:pStyle w:val="FootnoteText"/>
        <w:rPr>
          <w:lang w:val="fr-FR"/>
        </w:rPr>
      </w:pPr>
      <w:r>
        <w:rPr>
          <w:rStyle w:val="FootnoteReference"/>
        </w:rPr>
        <w:footnoteRef/>
      </w:r>
      <w:r w:rsidRPr="006A688F">
        <w:rPr>
          <w:lang w:val="fr-CH"/>
        </w:rPr>
        <w:t xml:space="preserve"> </w:t>
      </w:r>
      <w:r w:rsidRPr="006A688F">
        <w:rPr>
          <w:lang w:val="fr-CH"/>
        </w:rPr>
        <w:tab/>
      </w:r>
      <w:r w:rsidR="00146E08" w:rsidRPr="003934F3">
        <w:rPr>
          <w:lang w:val="fr-FR"/>
        </w:rPr>
        <w:t xml:space="preserve">Par exemple, </w:t>
      </w:r>
      <w:r w:rsidR="007539FB" w:rsidRPr="003934F3">
        <w:rPr>
          <w:lang w:val="fr-FR"/>
        </w:rPr>
        <w:t>le Japon</w:t>
      </w:r>
      <w:r w:rsidR="007539FB">
        <w:rPr>
          <w:lang w:val="fr-FR"/>
        </w:rPr>
        <w:t>,</w:t>
      </w:r>
      <w:r w:rsidR="007539FB" w:rsidRPr="003934F3">
        <w:rPr>
          <w:lang w:val="fr-FR"/>
        </w:rPr>
        <w:t xml:space="preserve"> la Norvège</w:t>
      </w:r>
      <w:r w:rsidR="007539FB">
        <w:rPr>
          <w:lang w:val="fr-FR"/>
        </w:rPr>
        <w:t>,</w:t>
      </w:r>
      <w:r w:rsidR="007539FB" w:rsidRPr="003934F3">
        <w:rPr>
          <w:lang w:val="fr-FR"/>
        </w:rPr>
        <w:t xml:space="preserve"> la République de Corée</w:t>
      </w:r>
      <w:r w:rsidRPr="003934F3">
        <w:rPr>
          <w:lang w:val="fr-FR"/>
        </w:rPr>
        <w:t xml:space="preserve"> </w:t>
      </w:r>
      <w:r w:rsidR="00146E08" w:rsidRPr="003934F3">
        <w:rPr>
          <w:lang w:val="fr-FR"/>
        </w:rPr>
        <w:t>et</w:t>
      </w:r>
      <w:r w:rsidR="007539FB">
        <w:rPr>
          <w:lang w:val="fr-FR"/>
        </w:rPr>
        <w:t xml:space="preserve"> </w:t>
      </w:r>
      <w:r w:rsidR="007539FB" w:rsidRPr="003934F3">
        <w:rPr>
          <w:lang w:val="fr-FR"/>
        </w:rPr>
        <w:t>l</w:t>
      </w:r>
      <w:r w:rsidR="007539FB">
        <w:rPr>
          <w:lang w:val="fr-FR"/>
        </w:rPr>
        <w:t>’</w:t>
      </w:r>
      <w:r w:rsidR="007539FB" w:rsidRPr="003934F3">
        <w:rPr>
          <w:lang w:val="fr-FR"/>
        </w:rPr>
        <w:t>Union européenne</w:t>
      </w:r>
      <w:r w:rsidRPr="003934F3">
        <w:rPr>
          <w:lang w:val="fr-FR"/>
        </w:rPr>
        <w:t>.</w:t>
      </w:r>
    </w:p>
  </w:footnote>
  <w:footnote w:id="8">
    <w:p w14:paraId="0A8D1498" w14:textId="4D984483" w:rsidR="00E853E5" w:rsidRPr="003934F3" w:rsidRDefault="00E853E5">
      <w:pPr>
        <w:pStyle w:val="FootnoteText"/>
        <w:rPr>
          <w:lang w:val="fr-FR"/>
        </w:rPr>
      </w:pPr>
      <w:r w:rsidRPr="003934F3">
        <w:rPr>
          <w:rStyle w:val="FootnoteReference"/>
          <w:lang w:val="fr-FR"/>
        </w:rPr>
        <w:footnoteRef/>
      </w:r>
      <w:r w:rsidRPr="003934F3">
        <w:rPr>
          <w:lang w:val="fr-FR"/>
        </w:rPr>
        <w:t xml:space="preserve"> </w:t>
      </w:r>
      <w:r w:rsidRPr="003934F3">
        <w:rPr>
          <w:lang w:val="fr-FR"/>
        </w:rPr>
        <w:tab/>
      </w:r>
      <w:r w:rsidR="003934F3" w:rsidRPr="003934F3">
        <w:rPr>
          <w:lang w:val="fr-FR"/>
        </w:rPr>
        <w:t>Par exemple, le Danemark</w:t>
      </w:r>
      <w:r w:rsidRPr="003934F3">
        <w:rPr>
          <w:lang w:val="fr-FR"/>
        </w:rPr>
        <w:t xml:space="preserve">, </w:t>
      </w:r>
      <w:r w:rsidR="003934F3" w:rsidRPr="003934F3">
        <w:rPr>
          <w:lang w:val="fr-FR"/>
        </w:rPr>
        <w:t>la Suède</w:t>
      </w:r>
      <w:r w:rsidRPr="003934F3">
        <w:rPr>
          <w:lang w:val="fr-FR"/>
        </w:rPr>
        <w:t xml:space="preserve">, </w:t>
      </w:r>
      <w:r w:rsidR="003934F3" w:rsidRPr="003934F3">
        <w:rPr>
          <w:lang w:val="fr-FR"/>
        </w:rPr>
        <w:t>la Suisse et la Turquie</w:t>
      </w:r>
      <w:r w:rsidR="0070570D">
        <w:rPr>
          <w:lang w:val="fr-FR"/>
        </w:rPr>
        <w:t>.</w:t>
      </w:r>
    </w:p>
  </w:footnote>
  <w:footnote w:id="9">
    <w:p w14:paraId="29592ABD" w14:textId="5E931A27" w:rsidR="00E853E5" w:rsidRPr="003934F3" w:rsidRDefault="00E853E5">
      <w:pPr>
        <w:pStyle w:val="FootnoteText"/>
        <w:rPr>
          <w:lang w:val="fr-FR"/>
        </w:rPr>
      </w:pPr>
      <w:r w:rsidRPr="003934F3">
        <w:rPr>
          <w:rStyle w:val="FootnoteReference"/>
          <w:lang w:val="fr-FR"/>
        </w:rPr>
        <w:footnoteRef/>
      </w:r>
      <w:r w:rsidRPr="003934F3">
        <w:rPr>
          <w:lang w:val="fr-FR"/>
        </w:rPr>
        <w:t xml:space="preserve"> </w:t>
      </w:r>
      <w:r w:rsidRPr="003934F3">
        <w:rPr>
          <w:lang w:val="fr-FR"/>
        </w:rPr>
        <w:tab/>
      </w:r>
      <w:r w:rsidR="003934F3" w:rsidRPr="003934F3">
        <w:rPr>
          <w:lang w:val="fr-FR"/>
        </w:rPr>
        <w:t>Par exemple, la F</w:t>
      </w:r>
      <w:r w:rsidRPr="003934F3">
        <w:rPr>
          <w:lang w:val="fr-FR"/>
        </w:rPr>
        <w:t>rance.</w:t>
      </w:r>
    </w:p>
  </w:footnote>
  <w:footnote w:id="10">
    <w:p w14:paraId="0194022D" w14:textId="5077DCCC" w:rsidR="00E853E5" w:rsidRPr="003934F3" w:rsidRDefault="00E853E5">
      <w:pPr>
        <w:pStyle w:val="FootnoteText"/>
        <w:rPr>
          <w:lang w:val="fr-FR"/>
        </w:rPr>
      </w:pPr>
      <w:r w:rsidRPr="003934F3">
        <w:rPr>
          <w:rStyle w:val="FootnoteReference"/>
          <w:lang w:val="fr-FR"/>
        </w:rPr>
        <w:footnoteRef/>
      </w:r>
      <w:r w:rsidRPr="003934F3">
        <w:rPr>
          <w:lang w:val="fr-FR"/>
        </w:rPr>
        <w:t xml:space="preserve"> </w:t>
      </w:r>
      <w:r w:rsidRPr="003934F3">
        <w:rPr>
          <w:lang w:val="fr-FR"/>
        </w:rPr>
        <w:tab/>
      </w:r>
      <w:r w:rsidR="003934F3" w:rsidRPr="003934F3">
        <w:rPr>
          <w:lang w:val="fr-FR"/>
        </w:rPr>
        <w:t xml:space="preserve">Par exemple, le </w:t>
      </w:r>
      <w:r w:rsidR="007539FB" w:rsidRPr="003934F3">
        <w:rPr>
          <w:lang w:val="fr-FR"/>
        </w:rPr>
        <w:t>l</w:t>
      </w:r>
      <w:r w:rsidR="007539FB">
        <w:rPr>
          <w:lang w:val="fr-FR"/>
        </w:rPr>
        <w:t>’</w:t>
      </w:r>
      <w:r w:rsidR="007539FB" w:rsidRPr="003934F3">
        <w:rPr>
          <w:lang w:val="fr-FR"/>
        </w:rPr>
        <w:t xml:space="preserve">Espagne </w:t>
      </w:r>
      <w:r w:rsidR="007539FB">
        <w:rPr>
          <w:lang w:val="fr-FR"/>
        </w:rPr>
        <w:t>et Maroc</w:t>
      </w:r>
      <w:r w:rsidRPr="003934F3">
        <w:rPr>
          <w:lang w:val="fr-FR"/>
        </w:rPr>
        <w:t>.</w:t>
      </w:r>
    </w:p>
  </w:footnote>
  <w:footnote w:id="11">
    <w:p w14:paraId="07B8A759" w14:textId="41620260" w:rsidR="00E853E5" w:rsidRPr="003934F3" w:rsidRDefault="00E853E5" w:rsidP="00910B78">
      <w:pPr>
        <w:pStyle w:val="FootnoteText"/>
        <w:rPr>
          <w:szCs w:val="18"/>
          <w:lang w:val="fr-FR"/>
        </w:rPr>
      </w:pPr>
      <w:r w:rsidRPr="003934F3">
        <w:rPr>
          <w:rStyle w:val="FootnoteReference"/>
          <w:szCs w:val="18"/>
          <w:lang w:val="fr-FR"/>
        </w:rPr>
        <w:footnoteRef/>
      </w:r>
      <w:r w:rsidRPr="003934F3">
        <w:rPr>
          <w:szCs w:val="18"/>
          <w:lang w:val="fr-FR"/>
        </w:rPr>
        <w:tab/>
      </w:r>
      <w:r w:rsidR="003934F3">
        <w:rPr>
          <w:szCs w:val="18"/>
          <w:lang w:val="fr-FR"/>
        </w:rPr>
        <w:t>Ces ressorts juridiques sont</w:t>
      </w:r>
      <w:r w:rsidR="002E747C">
        <w:rPr>
          <w:szCs w:val="18"/>
          <w:lang w:val="fr-FR"/>
        </w:rPr>
        <w:t> :</w:t>
      </w:r>
      <w:r w:rsidR="007539FB">
        <w:rPr>
          <w:szCs w:val="18"/>
          <w:lang w:val="fr-FR"/>
        </w:rPr>
        <w:t xml:space="preserve"> Allemagne</w:t>
      </w:r>
      <w:r w:rsidR="007539FB" w:rsidRPr="003934F3">
        <w:rPr>
          <w:szCs w:val="18"/>
          <w:lang w:val="fr-FR"/>
        </w:rPr>
        <w:t>,</w:t>
      </w:r>
      <w:r w:rsidR="007539FB">
        <w:rPr>
          <w:szCs w:val="18"/>
          <w:lang w:val="fr-FR"/>
        </w:rPr>
        <w:t xml:space="preserve"> </w:t>
      </w:r>
      <w:r w:rsidRPr="003934F3">
        <w:rPr>
          <w:szCs w:val="18"/>
          <w:lang w:val="fr-FR"/>
        </w:rPr>
        <w:t>Australi</w:t>
      </w:r>
      <w:r w:rsidR="003934F3">
        <w:rPr>
          <w:szCs w:val="18"/>
          <w:lang w:val="fr-FR"/>
        </w:rPr>
        <w:t>e</w:t>
      </w:r>
      <w:r w:rsidRPr="003934F3">
        <w:rPr>
          <w:szCs w:val="18"/>
          <w:lang w:val="fr-FR"/>
        </w:rPr>
        <w:t xml:space="preserve">, </w:t>
      </w:r>
      <w:r w:rsidR="003934F3">
        <w:rPr>
          <w:szCs w:val="18"/>
          <w:lang w:val="fr-FR"/>
        </w:rPr>
        <w:t>Au</w:t>
      </w:r>
      <w:r w:rsidRPr="003934F3">
        <w:rPr>
          <w:szCs w:val="18"/>
          <w:lang w:val="fr-FR"/>
        </w:rPr>
        <w:t>tri</w:t>
      </w:r>
      <w:r w:rsidR="003934F3">
        <w:rPr>
          <w:szCs w:val="18"/>
          <w:lang w:val="fr-FR"/>
        </w:rPr>
        <w:t>che</w:t>
      </w:r>
      <w:r w:rsidRPr="003934F3">
        <w:rPr>
          <w:szCs w:val="18"/>
          <w:lang w:val="fr-FR"/>
        </w:rPr>
        <w:t>, Benelux, C</w:t>
      </w:r>
      <w:r w:rsidR="003934F3">
        <w:rPr>
          <w:szCs w:val="18"/>
          <w:lang w:val="fr-FR"/>
        </w:rPr>
        <w:t>h</w:t>
      </w:r>
      <w:r w:rsidRPr="003934F3">
        <w:rPr>
          <w:szCs w:val="18"/>
          <w:lang w:val="fr-FR"/>
        </w:rPr>
        <w:t>ypr</w:t>
      </w:r>
      <w:r w:rsidR="003934F3">
        <w:rPr>
          <w:szCs w:val="18"/>
          <w:lang w:val="fr-FR"/>
        </w:rPr>
        <w:t>e</w:t>
      </w:r>
      <w:r w:rsidR="007539FB">
        <w:rPr>
          <w:szCs w:val="18"/>
          <w:lang w:val="fr-FR"/>
        </w:rPr>
        <w:t>,</w:t>
      </w:r>
      <w:r w:rsidR="003934F3">
        <w:rPr>
          <w:szCs w:val="18"/>
          <w:lang w:val="fr-FR"/>
        </w:rPr>
        <w:t xml:space="preserve"> </w:t>
      </w:r>
      <w:r w:rsidR="007539FB">
        <w:rPr>
          <w:szCs w:val="18"/>
          <w:lang w:val="fr-FR"/>
        </w:rPr>
        <w:t>Da</w:t>
      </w:r>
      <w:r w:rsidR="007539FB" w:rsidRPr="003934F3">
        <w:rPr>
          <w:szCs w:val="18"/>
          <w:lang w:val="fr-FR"/>
        </w:rPr>
        <w:t>n</w:t>
      </w:r>
      <w:r w:rsidR="007539FB">
        <w:rPr>
          <w:szCs w:val="18"/>
          <w:lang w:val="fr-FR"/>
        </w:rPr>
        <w:t>e</w:t>
      </w:r>
      <w:r w:rsidR="007539FB" w:rsidRPr="003934F3">
        <w:rPr>
          <w:szCs w:val="18"/>
          <w:lang w:val="fr-FR"/>
        </w:rPr>
        <w:t>mark</w:t>
      </w:r>
      <w:r w:rsidR="0070570D">
        <w:rPr>
          <w:szCs w:val="18"/>
          <w:lang w:val="fr-FR"/>
        </w:rPr>
        <w:t xml:space="preserve">, </w:t>
      </w:r>
      <w:r w:rsidR="007539FB">
        <w:rPr>
          <w:szCs w:val="18"/>
          <w:lang w:val="fr-FR"/>
        </w:rPr>
        <w:t xml:space="preserve">Espagne, </w:t>
      </w:r>
      <w:r w:rsidR="007539FB" w:rsidRPr="003934F3">
        <w:rPr>
          <w:szCs w:val="18"/>
          <w:lang w:val="fr-FR"/>
        </w:rPr>
        <w:t>Ital</w:t>
      </w:r>
      <w:r w:rsidR="007539FB">
        <w:rPr>
          <w:szCs w:val="18"/>
          <w:lang w:val="fr-FR"/>
        </w:rPr>
        <w:t>ie</w:t>
      </w:r>
      <w:r w:rsidRPr="003934F3">
        <w:rPr>
          <w:szCs w:val="18"/>
          <w:lang w:val="fr-FR"/>
        </w:rPr>
        <w:t>, Monaco, Nor</w:t>
      </w:r>
      <w:r w:rsidR="003934F3">
        <w:rPr>
          <w:szCs w:val="18"/>
          <w:lang w:val="fr-FR"/>
        </w:rPr>
        <w:t>vège</w:t>
      </w:r>
      <w:r w:rsidRPr="003934F3">
        <w:rPr>
          <w:szCs w:val="18"/>
          <w:lang w:val="fr-FR"/>
        </w:rPr>
        <w:t xml:space="preserve">, </w:t>
      </w:r>
      <w:r w:rsidR="003934F3">
        <w:rPr>
          <w:szCs w:val="18"/>
          <w:lang w:val="fr-FR"/>
        </w:rPr>
        <w:t>République de Corée</w:t>
      </w:r>
      <w:r w:rsidRPr="003934F3">
        <w:rPr>
          <w:szCs w:val="18"/>
          <w:lang w:val="fr-FR"/>
        </w:rPr>
        <w:t xml:space="preserve">, </w:t>
      </w:r>
      <w:r w:rsidR="007539FB">
        <w:rPr>
          <w:szCs w:val="18"/>
          <w:lang w:val="fr-FR"/>
        </w:rPr>
        <w:t xml:space="preserve">République tchèque, </w:t>
      </w:r>
      <w:r w:rsidRPr="003934F3">
        <w:rPr>
          <w:szCs w:val="18"/>
          <w:lang w:val="fr-FR"/>
        </w:rPr>
        <w:t>Serbi</w:t>
      </w:r>
      <w:r w:rsidR="003934F3">
        <w:rPr>
          <w:szCs w:val="18"/>
          <w:lang w:val="fr-FR"/>
        </w:rPr>
        <w:t>e</w:t>
      </w:r>
      <w:r w:rsidRPr="003934F3">
        <w:rPr>
          <w:szCs w:val="18"/>
          <w:lang w:val="fr-FR"/>
        </w:rPr>
        <w:t>, Singapo</w:t>
      </w:r>
      <w:r w:rsidR="003934F3">
        <w:rPr>
          <w:szCs w:val="18"/>
          <w:lang w:val="fr-FR"/>
        </w:rPr>
        <w:t>u</w:t>
      </w:r>
      <w:r w:rsidR="007539FB">
        <w:rPr>
          <w:szCs w:val="18"/>
          <w:lang w:val="fr-FR"/>
        </w:rPr>
        <w:t>r,</w:t>
      </w:r>
      <w:r w:rsidRPr="003934F3">
        <w:rPr>
          <w:szCs w:val="18"/>
          <w:lang w:val="fr-FR"/>
        </w:rPr>
        <w:t xml:space="preserve"> S</w:t>
      </w:r>
      <w:r w:rsidR="003934F3">
        <w:rPr>
          <w:szCs w:val="18"/>
          <w:lang w:val="fr-FR"/>
        </w:rPr>
        <w:t>uède</w:t>
      </w:r>
      <w:r w:rsidRPr="003934F3">
        <w:rPr>
          <w:szCs w:val="18"/>
          <w:lang w:val="fr-FR"/>
        </w:rPr>
        <w:t>, Tur</w:t>
      </w:r>
      <w:r w:rsidR="007539FB">
        <w:rPr>
          <w:szCs w:val="18"/>
          <w:lang w:val="fr-FR"/>
        </w:rPr>
        <w:t>quie,</w:t>
      </w:r>
      <w:r w:rsidR="003934F3">
        <w:rPr>
          <w:szCs w:val="18"/>
          <w:lang w:val="fr-FR"/>
        </w:rPr>
        <w:t xml:space="preserve"> </w:t>
      </w:r>
      <w:r w:rsidR="007539FB">
        <w:rPr>
          <w:szCs w:val="18"/>
          <w:lang w:val="fr-FR"/>
        </w:rPr>
        <w:br/>
        <w:t>Royaume-Uni et l’Union européenne</w:t>
      </w:r>
      <w:r w:rsidRPr="003934F3">
        <w:rPr>
          <w:szCs w:val="18"/>
          <w:lang w:val="fr-FR"/>
        </w:rPr>
        <w:t>.</w:t>
      </w:r>
    </w:p>
  </w:footnote>
  <w:footnote w:id="12">
    <w:p w14:paraId="51F8BB40" w14:textId="572104FF" w:rsidR="00E853E5" w:rsidRPr="003934F3" w:rsidRDefault="00E853E5" w:rsidP="00910B78">
      <w:pPr>
        <w:pStyle w:val="FootnoteText"/>
        <w:rPr>
          <w:szCs w:val="18"/>
          <w:lang w:val="fr-FR"/>
        </w:rPr>
      </w:pPr>
      <w:r w:rsidRPr="003934F3">
        <w:rPr>
          <w:rStyle w:val="FootnoteReference"/>
          <w:szCs w:val="18"/>
          <w:lang w:val="fr-FR"/>
        </w:rPr>
        <w:footnoteRef/>
      </w:r>
      <w:r w:rsidRPr="003934F3">
        <w:rPr>
          <w:szCs w:val="18"/>
          <w:lang w:val="fr-FR"/>
        </w:rPr>
        <w:tab/>
      </w:r>
      <w:r w:rsidR="003934F3">
        <w:rPr>
          <w:szCs w:val="18"/>
          <w:lang w:val="fr-FR"/>
        </w:rPr>
        <w:t xml:space="preserve">Les données utilisées sont celles qui sont disponibles sur le site Web des offices ou sur la page Web de </w:t>
      </w:r>
      <w:r w:rsidRPr="003934F3">
        <w:rPr>
          <w:szCs w:val="18"/>
          <w:lang w:val="fr-FR"/>
        </w:rPr>
        <w:t>WIPO</w:t>
      </w:r>
      <w:r w:rsidR="003934F3">
        <w:rPr>
          <w:szCs w:val="18"/>
          <w:lang w:val="fr-FR"/>
        </w:rPr>
        <w:t> </w:t>
      </w:r>
      <w:proofErr w:type="spellStart"/>
      <w:r w:rsidRPr="003934F3">
        <w:rPr>
          <w:szCs w:val="18"/>
          <w:lang w:val="fr-FR"/>
        </w:rPr>
        <w:t>Lex</w:t>
      </w:r>
      <w:proofErr w:type="spellEnd"/>
      <w:r w:rsidRPr="003934F3">
        <w:rPr>
          <w:szCs w:val="18"/>
          <w:lang w:val="fr-FR"/>
        </w:rPr>
        <w:t xml:space="preserve"> (</w:t>
      </w:r>
      <w:r w:rsidR="003934F3">
        <w:rPr>
          <w:szCs w:val="18"/>
          <w:lang w:val="fr-FR"/>
        </w:rPr>
        <w:t>à partir de septembre </w:t>
      </w:r>
      <w:r w:rsidRPr="003934F3">
        <w:rPr>
          <w:szCs w:val="18"/>
          <w:lang w:val="fr-FR"/>
        </w:rPr>
        <w:t xml:space="preserve">2020).  </w:t>
      </w:r>
      <w:r w:rsidR="003934F3">
        <w:rPr>
          <w:szCs w:val="18"/>
          <w:lang w:val="fr-FR"/>
        </w:rPr>
        <w:t>À l</w:t>
      </w:r>
      <w:r w:rsidR="002E747C">
        <w:rPr>
          <w:szCs w:val="18"/>
          <w:lang w:val="fr-FR"/>
        </w:rPr>
        <w:t>’</w:t>
      </w:r>
      <w:r w:rsidR="003934F3">
        <w:rPr>
          <w:szCs w:val="18"/>
          <w:lang w:val="fr-FR"/>
        </w:rPr>
        <w:t>exception de la République de Corée</w:t>
      </w:r>
      <w:r w:rsidRPr="003934F3">
        <w:rPr>
          <w:szCs w:val="18"/>
          <w:lang w:val="fr-FR"/>
        </w:rPr>
        <w:t xml:space="preserve">, </w:t>
      </w:r>
      <w:r w:rsidR="003934F3">
        <w:rPr>
          <w:szCs w:val="18"/>
          <w:lang w:val="fr-FR"/>
        </w:rPr>
        <w:t>un enregistrement peut être renouvelé tous les cinq ans</w:t>
      </w:r>
      <w:r w:rsidR="005D0CCE">
        <w:rPr>
          <w:szCs w:val="18"/>
          <w:lang w:val="fr-FR"/>
        </w:rPr>
        <w:t>.</w:t>
      </w:r>
    </w:p>
  </w:footnote>
  <w:footnote w:id="13">
    <w:p w14:paraId="0B9FC324" w14:textId="4634A8D0" w:rsidR="00E853E5" w:rsidRPr="006A688F" w:rsidRDefault="00E853E5">
      <w:pPr>
        <w:pStyle w:val="FootnoteText"/>
        <w:rPr>
          <w:rFonts w:eastAsiaTheme="minorEastAsia"/>
          <w:lang w:val="fr-CH" w:eastAsia="ja-JP"/>
        </w:rPr>
      </w:pPr>
      <w:r>
        <w:rPr>
          <w:rStyle w:val="FootnoteReference"/>
        </w:rPr>
        <w:footnoteRef/>
      </w:r>
      <w:r w:rsidRPr="006A688F">
        <w:rPr>
          <w:lang w:val="fr-CH"/>
        </w:rPr>
        <w:t xml:space="preserve"> </w:t>
      </w:r>
      <w:r w:rsidRPr="006A688F">
        <w:rPr>
          <w:rFonts w:eastAsiaTheme="minorEastAsia"/>
          <w:lang w:val="fr-CH" w:eastAsia="ja-JP"/>
        </w:rPr>
        <w:tab/>
      </w:r>
      <w:r w:rsidR="0007136F" w:rsidRPr="000F18ED">
        <w:rPr>
          <w:rFonts w:eastAsiaTheme="minorEastAsia"/>
          <w:lang w:val="fr-FR" w:eastAsia="ja-JP"/>
        </w:rPr>
        <w:t>Dans le cas de la Norvège, le montant de la taxe de renouvellement augmente progressivement et à chaque renouvellement, uniquement pour le premier dessin ou modèle, et le montant de la taxe applicable à chaque dessin ou modèle supplémentaire reste le même.  Par conséquent, les montants applicables lors du premier renouvellement (</w:t>
      </w:r>
      <w:r w:rsidR="000F18ED" w:rsidRPr="000F18ED">
        <w:rPr>
          <w:rFonts w:eastAsiaTheme="minorEastAsia"/>
          <w:lang w:val="fr-FR" w:eastAsia="ja-JP"/>
        </w:rPr>
        <w:t>de la sixième à la dixième ann</w:t>
      </w:r>
      <w:r w:rsidR="0007136F" w:rsidRPr="000F18ED">
        <w:rPr>
          <w:rFonts w:eastAsiaTheme="minorEastAsia"/>
          <w:lang w:val="fr-FR" w:eastAsia="ja-JP"/>
        </w:rPr>
        <w:t>ée) sont utilisés à des fins de comparaison</w:t>
      </w:r>
      <w:r w:rsidRPr="006A688F">
        <w:rPr>
          <w:rFonts w:eastAsiaTheme="minorEastAsia"/>
          <w:lang w:val="fr-CH" w:eastAsia="ja-JP"/>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527966"/>
      <w:docPartObj>
        <w:docPartGallery w:val="Page Numbers (Top of Page)"/>
        <w:docPartUnique/>
      </w:docPartObj>
    </w:sdtPr>
    <w:sdtEndPr>
      <w:rPr>
        <w:noProof/>
      </w:rPr>
    </w:sdtEndPr>
    <w:sdtContent>
      <w:p w14:paraId="4D998A04" w14:textId="77777777" w:rsidR="006A688F" w:rsidRDefault="006A688F" w:rsidP="006A688F">
        <w:pPr>
          <w:pStyle w:val="Header"/>
          <w:jc w:val="right"/>
        </w:pPr>
        <w:r>
          <w:t>H/LD/WG/9/INF/1</w:t>
        </w:r>
      </w:p>
      <w:p w14:paraId="1650AC4C" w14:textId="342F6F2F" w:rsidR="006A688F" w:rsidRDefault="006A688F" w:rsidP="006A688F">
        <w:pPr>
          <w:pStyle w:val="Header"/>
          <w:jc w:val="right"/>
        </w:pPr>
        <w:proofErr w:type="gramStart"/>
        <w:r>
          <w:t>page</w:t>
        </w:r>
        <w:proofErr w:type="gramEnd"/>
        <w:r>
          <w:t xml:space="preserve"> </w:t>
        </w:r>
        <w:r>
          <w:fldChar w:fldCharType="begin"/>
        </w:r>
        <w:r>
          <w:instrText xml:space="preserve"> PAGE   \* MERGEFORMAT </w:instrText>
        </w:r>
        <w:r>
          <w:fldChar w:fldCharType="separate"/>
        </w:r>
        <w:r w:rsidR="00EA1254">
          <w:rPr>
            <w:noProof/>
          </w:rPr>
          <w:t>4</w:t>
        </w:r>
        <w:r>
          <w:rPr>
            <w:noProof/>
          </w:rPr>
          <w:fldChar w:fldCharType="end"/>
        </w:r>
      </w:p>
    </w:sdtContent>
  </w:sdt>
  <w:p w14:paraId="519F2E90" w14:textId="77777777" w:rsidR="006A688F" w:rsidRDefault="006A688F" w:rsidP="006A68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54693D4"/>
    <w:lvl w:ilvl="0">
      <w:start w:val="1"/>
      <w:numFmt w:val="decimal"/>
      <w:lvlRestart w:val="0"/>
      <w:pStyle w:val="BodyText"/>
      <w:lvlText w:val="%1."/>
      <w:lvlJc w:val="left"/>
      <w:pPr>
        <w:tabs>
          <w:tab w:val="num" w:pos="851"/>
        </w:tabs>
        <w:ind w:left="284"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6"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A46C45"/>
    <w:multiLevelType w:val="multilevel"/>
    <w:tmpl w:val="11B6BFF0"/>
    <w:lvl w:ilvl="0">
      <w:numFmt w:val="bullet"/>
      <w:lvlText w:val="–"/>
      <w:lvlJc w:val="left"/>
      <w:pPr>
        <w:tabs>
          <w:tab w:val="num" w:pos="567"/>
        </w:tabs>
        <w:ind w:left="0" w:firstLine="0"/>
      </w:pPr>
      <w:rPr>
        <w:rFonts w:ascii="Arial"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3" w15:restartNumberingAfterBreak="0">
    <w:nsid w:val="2256743D"/>
    <w:multiLevelType w:val="hybridMultilevel"/>
    <w:tmpl w:val="633ED916"/>
    <w:lvl w:ilvl="0" w:tplc="29F64D7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2DD219CF"/>
    <w:multiLevelType w:val="hybridMultilevel"/>
    <w:tmpl w:val="9DE87624"/>
    <w:lvl w:ilvl="0" w:tplc="A5D8022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C3A40"/>
    <w:multiLevelType w:val="hybridMultilevel"/>
    <w:tmpl w:val="E668E07E"/>
    <w:lvl w:ilvl="0" w:tplc="CCE6076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5E7C82"/>
    <w:multiLevelType w:val="hybridMultilevel"/>
    <w:tmpl w:val="CFB4CC00"/>
    <w:lvl w:ilvl="0" w:tplc="24FC33F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3"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ED51C3"/>
    <w:multiLevelType w:val="hybridMultilevel"/>
    <w:tmpl w:val="DD1892DC"/>
    <w:lvl w:ilvl="0" w:tplc="A5D8022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815E00"/>
    <w:multiLevelType w:val="hybridMultilevel"/>
    <w:tmpl w:val="F66E5C4A"/>
    <w:lvl w:ilvl="0" w:tplc="99D4CB10">
      <w:numFmt w:val="bullet"/>
      <w:lvlText w:val="–"/>
      <w:lvlJc w:val="left"/>
      <w:pPr>
        <w:ind w:left="930" w:hanging="360"/>
      </w:pPr>
      <w:rPr>
        <w:rFonts w:ascii="Arial" w:eastAsia="MS Mincho"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1"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7ED3B79"/>
    <w:multiLevelType w:val="hybridMultilevel"/>
    <w:tmpl w:val="C13EF238"/>
    <w:lvl w:ilvl="0" w:tplc="BA1E8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6" w15:restartNumberingAfterBreak="0">
    <w:nsid w:val="6BC2359A"/>
    <w:multiLevelType w:val="multilevel"/>
    <w:tmpl w:val="72488DF4"/>
    <w:lvl w:ilvl="0">
      <w:numFmt w:val="bullet"/>
      <w:pStyle w:val="Bulletedlistlevel2"/>
      <w:lvlText w:val="―"/>
      <w:lvlJc w:val="left"/>
      <w:pPr>
        <w:tabs>
          <w:tab w:val="num" w:pos="567"/>
        </w:tabs>
        <w:ind w:left="0" w:firstLine="0"/>
      </w:pPr>
      <w:rPr>
        <w:rFonts w:ascii="Arial" w:eastAsia="SimSun" w:hAnsi="Arial" w:hint="default"/>
        <w:color w:val="2D4C61"/>
        <w:w w:val="83"/>
        <w:sz w:val="18"/>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9"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4"/>
  </w:num>
  <w:num w:numId="3">
    <w:abstractNumId w:val="0"/>
  </w:num>
  <w:num w:numId="4">
    <w:abstractNumId w:val="27"/>
  </w:num>
  <w:num w:numId="5">
    <w:abstractNumId w:val="1"/>
  </w:num>
  <w:num w:numId="6">
    <w:abstractNumId w:val="10"/>
  </w:num>
  <w:num w:numId="7">
    <w:abstractNumId w:val="17"/>
  </w:num>
  <w:num w:numId="8">
    <w:abstractNumId w:val="38"/>
  </w:num>
  <w:num w:numId="9">
    <w:abstractNumId w:val="35"/>
  </w:num>
  <w:num w:numId="10">
    <w:abstractNumId w:val="5"/>
  </w:num>
  <w:num w:numId="11">
    <w:abstractNumId w:val="12"/>
  </w:num>
  <w:num w:numId="12">
    <w:abstractNumId w:val="39"/>
  </w:num>
  <w:num w:numId="13">
    <w:abstractNumId w:val="9"/>
  </w:num>
  <w:num w:numId="14">
    <w:abstractNumId w:val="37"/>
  </w:num>
  <w:num w:numId="15">
    <w:abstractNumId w:val="31"/>
  </w:num>
  <w:num w:numId="16">
    <w:abstractNumId w:val="14"/>
  </w:num>
  <w:num w:numId="17">
    <w:abstractNumId w:val="2"/>
  </w:num>
  <w:num w:numId="18">
    <w:abstractNumId w:val="20"/>
  </w:num>
  <w:num w:numId="19">
    <w:abstractNumId w:val="23"/>
  </w:num>
  <w:num w:numId="20">
    <w:abstractNumId w:val="6"/>
  </w:num>
  <w:num w:numId="21">
    <w:abstractNumId w:val="19"/>
  </w:num>
  <w:num w:numId="22">
    <w:abstractNumId w:val="4"/>
  </w:num>
  <w:num w:numId="23">
    <w:abstractNumId w:val="1"/>
    <w:lvlOverride w:ilvl="0">
      <w:startOverride w:val="3"/>
    </w:lvlOverride>
  </w:num>
  <w:num w:numId="24">
    <w:abstractNumId w:val="22"/>
  </w:num>
  <w:num w:numId="25">
    <w:abstractNumId w:val="8"/>
  </w:num>
  <w:num w:numId="26">
    <w:abstractNumId w:val="28"/>
  </w:num>
  <w:num w:numId="27">
    <w:abstractNumId w:val="41"/>
  </w:num>
  <w:num w:numId="28">
    <w:abstractNumId w:val="15"/>
  </w:num>
  <w:num w:numId="29">
    <w:abstractNumId w:val="25"/>
  </w:num>
  <w:num w:numId="30">
    <w:abstractNumId w:val="3"/>
  </w:num>
  <w:num w:numId="31">
    <w:abstractNumId w:val="40"/>
  </w:num>
  <w:num w:numId="32">
    <w:abstractNumId w:val="18"/>
  </w:num>
  <w:num w:numId="33">
    <w:abstractNumId w:val="32"/>
  </w:num>
  <w:num w:numId="34">
    <w:abstractNumId w:val="1"/>
  </w:num>
  <w:num w:numId="35">
    <w:abstractNumId w:val="26"/>
  </w:num>
  <w:num w:numId="36">
    <w:abstractNumId w:val="1"/>
  </w:num>
  <w:num w:numId="37">
    <w:abstractNumId w:val="30"/>
  </w:num>
  <w:num w:numId="38">
    <w:abstractNumId w:val="16"/>
  </w:num>
  <w:num w:numId="39">
    <w:abstractNumId w:val="29"/>
  </w:num>
  <w:num w:numId="40">
    <w:abstractNumId w:val="33"/>
  </w:num>
  <w:num w:numId="41">
    <w:abstractNumId w:val="34"/>
  </w:num>
  <w:num w:numId="42">
    <w:abstractNumId w:val="21"/>
  </w:num>
  <w:num w:numId="43">
    <w:abstractNumId w:val="13"/>
  </w:num>
  <w:num w:numId="44">
    <w:abstractNumId w:val="1"/>
    <w:lvlOverride w:ilvl="0">
      <w:startOverride w:val="12"/>
    </w:lvlOverride>
  </w:num>
  <w:num w:numId="45">
    <w:abstractNumId w:val="36"/>
  </w:num>
  <w:num w:numId="46">
    <w:abstractNumId w:val="11"/>
  </w:num>
  <w:num w:numId="47">
    <w:abstractNumId w:val="3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03FF"/>
    <w:rsid w:val="00011C1F"/>
    <w:rsid w:val="000122EF"/>
    <w:rsid w:val="00014225"/>
    <w:rsid w:val="00014A54"/>
    <w:rsid w:val="00016F4F"/>
    <w:rsid w:val="00021DA8"/>
    <w:rsid w:val="00022393"/>
    <w:rsid w:val="00023367"/>
    <w:rsid w:val="000312DE"/>
    <w:rsid w:val="00031452"/>
    <w:rsid w:val="00036CDC"/>
    <w:rsid w:val="00036D8F"/>
    <w:rsid w:val="00040663"/>
    <w:rsid w:val="0004311D"/>
    <w:rsid w:val="000437BC"/>
    <w:rsid w:val="00043CAA"/>
    <w:rsid w:val="00045915"/>
    <w:rsid w:val="00046985"/>
    <w:rsid w:val="00046F15"/>
    <w:rsid w:val="00047054"/>
    <w:rsid w:val="00053748"/>
    <w:rsid w:val="00055911"/>
    <w:rsid w:val="00055B88"/>
    <w:rsid w:val="000626A5"/>
    <w:rsid w:val="00065DBE"/>
    <w:rsid w:val="00067CA7"/>
    <w:rsid w:val="00070280"/>
    <w:rsid w:val="0007136F"/>
    <w:rsid w:val="000752FD"/>
    <w:rsid w:val="00075432"/>
    <w:rsid w:val="00076388"/>
    <w:rsid w:val="00076C1B"/>
    <w:rsid w:val="000816AF"/>
    <w:rsid w:val="00084AC0"/>
    <w:rsid w:val="00086545"/>
    <w:rsid w:val="000870DF"/>
    <w:rsid w:val="00087B15"/>
    <w:rsid w:val="000910A0"/>
    <w:rsid w:val="0009156C"/>
    <w:rsid w:val="00092C37"/>
    <w:rsid w:val="00092C51"/>
    <w:rsid w:val="000939FE"/>
    <w:rsid w:val="000940EC"/>
    <w:rsid w:val="000968ED"/>
    <w:rsid w:val="000A4079"/>
    <w:rsid w:val="000A50DD"/>
    <w:rsid w:val="000A7146"/>
    <w:rsid w:val="000B0397"/>
    <w:rsid w:val="000B1CDC"/>
    <w:rsid w:val="000B2477"/>
    <w:rsid w:val="000B2CBA"/>
    <w:rsid w:val="000B45E1"/>
    <w:rsid w:val="000B5F4E"/>
    <w:rsid w:val="000B7668"/>
    <w:rsid w:val="000C0491"/>
    <w:rsid w:val="000C3895"/>
    <w:rsid w:val="000C38FD"/>
    <w:rsid w:val="000C4635"/>
    <w:rsid w:val="000C4E77"/>
    <w:rsid w:val="000D57B7"/>
    <w:rsid w:val="000D5BAE"/>
    <w:rsid w:val="000E0207"/>
    <w:rsid w:val="000E2538"/>
    <w:rsid w:val="000E290E"/>
    <w:rsid w:val="000E32C1"/>
    <w:rsid w:val="000E675A"/>
    <w:rsid w:val="000F18ED"/>
    <w:rsid w:val="000F1EBB"/>
    <w:rsid w:val="000F24F7"/>
    <w:rsid w:val="000F4798"/>
    <w:rsid w:val="000F5E56"/>
    <w:rsid w:val="000F7ABE"/>
    <w:rsid w:val="00100674"/>
    <w:rsid w:val="00101002"/>
    <w:rsid w:val="00102933"/>
    <w:rsid w:val="0010579E"/>
    <w:rsid w:val="00106BDA"/>
    <w:rsid w:val="00107391"/>
    <w:rsid w:val="001100F9"/>
    <w:rsid w:val="00110B00"/>
    <w:rsid w:val="00110E25"/>
    <w:rsid w:val="0011188B"/>
    <w:rsid w:val="00111FCF"/>
    <w:rsid w:val="00111FF9"/>
    <w:rsid w:val="00112C02"/>
    <w:rsid w:val="00117964"/>
    <w:rsid w:val="0012228D"/>
    <w:rsid w:val="00122484"/>
    <w:rsid w:val="001228E6"/>
    <w:rsid w:val="00122F68"/>
    <w:rsid w:val="00125399"/>
    <w:rsid w:val="00131C25"/>
    <w:rsid w:val="00135817"/>
    <w:rsid w:val="00136120"/>
    <w:rsid w:val="001362EE"/>
    <w:rsid w:val="00136B76"/>
    <w:rsid w:val="00136FD4"/>
    <w:rsid w:val="001405F6"/>
    <w:rsid w:val="00140FBB"/>
    <w:rsid w:val="00145C7B"/>
    <w:rsid w:val="00146127"/>
    <w:rsid w:val="00146E08"/>
    <w:rsid w:val="0015155C"/>
    <w:rsid w:val="001523A9"/>
    <w:rsid w:val="0015296C"/>
    <w:rsid w:val="0015457F"/>
    <w:rsid w:val="00156127"/>
    <w:rsid w:val="00157CB8"/>
    <w:rsid w:val="00163020"/>
    <w:rsid w:val="001651F4"/>
    <w:rsid w:val="001659B9"/>
    <w:rsid w:val="0016754F"/>
    <w:rsid w:val="0017476B"/>
    <w:rsid w:val="0017714E"/>
    <w:rsid w:val="001772B6"/>
    <w:rsid w:val="00180B57"/>
    <w:rsid w:val="00180F56"/>
    <w:rsid w:val="0018147A"/>
    <w:rsid w:val="001832A6"/>
    <w:rsid w:val="001860DE"/>
    <w:rsid w:val="0019562D"/>
    <w:rsid w:val="001A24A6"/>
    <w:rsid w:val="001A4488"/>
    <w:rsid w:val="001A72E9"/>
    <w:rsid w:val="001A79F1"/>
    <w:rsid w:val="001B176D"/>
    <w:rsid w:val="001B4DA4"/>
    <w:rsid w:val="001B5E58"/>
    <w:rsid w:val="001B6149"/>
    <w:rsid w:val="001B6993"/>
    <w:rsid w:val="001B73E7"/>
    <w:rsid w:val="001C1DA6"/>
    <w:rsid w:val="001C41EE"/>
    <w:rsid w:val="001C52A9"/>
    <w:rsid w:val="001C5339"/>
    <w:rsid w:val="001C69D8"/>
    <w:rsid w:val="001C7FBE"/>
    <w:rsid w:val="001D0A78"/>
    <w:rsid w:val="001D437F"/>
    <w:rsid w:val="001D5374"/>
    <w:rsid w:val="001E1BA6"/>
    <w:rsid w:val="001E2633"/>
    <w:rsid w:val="001E2BBC"/>
    <w:rsid w:val="001F038F"/>
    <w:rsid w:val="001F12CE"/>
    <w:rsid w:val="001F236C"/>
    <w:rsid w:val="001F38A0"/>
    <w:rsid w:val="001F3B07"/>
    <w:rsid w:val="001F3C2A"/>
    <w:rsid w:val="001F4551"/>
    <w:rsid w:val="002031CD"/>
    <w:rsid w:val="002049F4"/>
    <w:rsid w:val="002064AC"/>
    <w:rsid w:val="00206BBD"/>
    <w:rsid w:val="00207850"/>
    <w:rsid w:val="00212F41"/>
    <w:rsid w:val="002133E8"/>
    <w:rsid w:val="00215BAC"/>
    <w:rsid w:val="00215DEE"/>
    <w:rsid w:val="00216087"/>
    <w:rsid w:val="00216AFB"/>
    <w:rsid w:val="0021717F"/>
    <w:rsid w:val="00221E91"/>
    <w:rsid w:val="00222297"/>
    <w:rsid w:val="00222D72"/>
    <w:rsid w:val="00231625"/>
    <w:rsid w:val="00232E14"/>
    <w:rsid w:val="002342D6"/>
    <w:rsid w:val="00234EB9"/>
    <w:rsid w:val="0023635E"/>
    <w:rsid w:val="00236D3B"/>
    <w:rsid w:val="00236DF8"/>
    <w:rsid w:val="002415F1"/>
    <w:rsid w:val="00243332"/>
    <w:rsid w:val="00243B94"/>
    <w:rsid w:val="002440CD"/>
    <w:rsid w:val="0024453F"/>
    <w:rsid w:val="0024626D"/>
    <w:rsid w:val="0025164C"/>
    <w:rsid w:val="00252C00"/>
    <w:rsid w:val="00254B96"/>
    <w:rsid w:val="00256AF3"/>
    <w:rsid w:val="002602E3"/>
    <w:rsid w:val="002634C4"/>
    <w:rsid w:val="00263694"/>
    <w:rsid w:val="00264445"/>
    <w:rsid w:val="00270791"/>
    <w:rsid w:val="00270AC3"/>
    <w:rsid w:val="00270C47"/>
    <w:rsid w:val="00271472"/>
    <w:rsid w:val="0027216D"/>
    <w:rsid w:val="0027218F"/>
    <w:rsid w:val="002737A1"/>
    <w:rsid w:val="0027597C"/>
    <w:rsid w:val="0027705A"/>
    <w:rsid w:val="0027745A"/>
    <w:rsid w:val="002774D7"/>
    <w:rsid w:val="0028057C"/>
    <w:rsid w:val="00280A4B"/>
    <w:rsid w:val="002830D0"/>
    <w:rsid w:val="0028372B"/>
    <w:rsid w:val="002846F0"/>
    <w:rsid w:val="0028601A"/>
    <w:rsid w:val="002870EC"/>
    <w:rsid w:val="0028752D"/>
    <w:rsid w:val="002928D3"/>
    <w:rsid w:val="00292BEA"/>
    <w:rsid w:val="002945BA"/>
    <w:rsid w:val="00295C98"/>
    <w:rsid w:val="00296D7E"/>
    <w:rsid w:val="002971C0"/>
    <w:rsid w:val="00297CFB"/>
    <w:rsid w:val="002A0C4C"/>
    <w:rsid w:val="002A2646"/>
    <w:rsid w:val="002A37AB"/>
    <w:rsid w:val="002A5F21"/>
    <w:rsid w:val="002A68BA"/>
    <w:rsid w:val="002A7BC0"/>
    <w:rsid w:val="002B2198"/>
    <w:rsid w:val="002B2CA1"/>
    <w:rsid w:val="002B3EFB"/>
    <w:rsid w:val="002C4078"/>
    <w:rsid w:val="002C6634"/>
    <w:rsid w:val="002D1FD9"/>
    <w:rsid w:val="002E15DA"/>
    <w:rsid w:val="002E21CD"/>
    <w:rsid w:val="002E501A"/>
    <w:rsid w:val="002E6840"/>
    <w:rsid w:val="002E747C"/>
    <w:rsid w:val="002F1A15"/>
    <w:rsid w:val="002F1FE6"/>
    <w:rsid w:val="002F2BA3"/>
    <w:rsid w:val="002F2CC5"/>
    <w:rsid w:val="002F39DF"/>
    <w:rsid w:val="002F4BC7"/>
    <w:rsid w:val="002F4E68"/>
    <w:rsid w:val="002F54D3"/>
    <w:rsid w:val="002F59B0"/>
    <w:rsid w:val="002F61DC"/>
    <w:rsid w:val="003001FB"/>
    <w:rsid w:val="00301BE5"/>
    <w:rsid w:val="00305494"/>
    <w:rsid w:val="00306FC3"/>
    <w:rsid w:val="00307190"/>
    <w:rsid w:val="003073B9"/>
    <w:rsid w:val="00307E01"/>
    <w:rsid w:val="00312F7F"/>
    <w:rsid w:val="00314439"/>
    <w:rsid w:val="00316067"/>
    <w:rsid w:val="00316E56"/>
    <w:rsid w:val="00317E65"/>
    <w:rsid w:val="00321B37"/>
    <w:rsid w:val="0032307E"/>
    <w:rsid w:val="00323AA8"/>
    <w:rsid w:val="00323DE0"/>
    <w:rsid w:val="00325429"/>
    <w:rsid w:val="00332BB2"/>
    <w:rsid w:val="00335EA3"/>
    <w:rsid w:val="003363CA"/>
    <w:rsid w:val="00343D7E"/>
    <w:rsid w:val="003442EC"/>
    <w:rsid w:val="003448DA"/>
    <w:rsid w:val="00351CAC"/>
    <w:rsid w:val="003547CD"/>
    <w:rsid w:val="00354E43"/>
    <w:rsid w:val="0035701F"/>
    <w:rsid w:val="0036114B"/>
    <w:rsid w:val="00361346"/>
    <w:rsid w:val="00361450"/>
    <w:rsid w:val="003653F6"/>
    <w:rsid w:val="00365C54"/>
    <w:rsid w:val="0036648E"/>
    <w:rsid w:val="00366649"/>
    <w:rsid w:val="003673CF"/>
    <w:rsid w:val="0036747C"/>
    <w:rsid w:val="003705FB"/>
    <w:rsid w:val="00371EF6"/>
    <w:rsid w:val="003736C0"/>
    <w:rsid w:val="00373E8B"/>
    <w:rsid w:val="003748A9"/>
    <w:rsid w:val="00374A94"/>
    <w:rsid w:val="00375320"/>
    <w:rsid w:val="00375DFA"/>
    <w:rsid w:val="00376DA2"/>
    <w:rsid w:val="00377D99"/>
    <w:rsid w:val="003815AD"/>
    <w:rsid w:val="0038255F"/>
    <w:rsid w:val="00383722"/>
    <w:rsid w:val="003845C1"/>
    <w:rsid w:val="0038577E"/>
    <w:rsid w:val="00386DEF"/>
    <w:rsid w:val="003874D9"/>
    <w:rsid w:val="00392A82"/>
    <w:rsid w:val="003934F3"/>
    <w:rsid w:val="00393FE8"/>
    <w:rsid w:val="00395959"/>
    <w:rsid w:val="003965CF"/>
    <w:rsid w:val="00396D7E"/>
    <w:rsid w:val="00397196"/>
    <w:rsid w:val="00397A87"/>
    <w:rsid w:val="00397C27"/>
    <w:rsid w:val="00397F0E"/>
    <w:rsid w:val="003A6F89"/>
    <w:rsid w:val="003A79BF"/>
    <w:rsid w:val="003A7FE2"/>
    <w:rsid w:val="003B23AF"/>
    <w:rsid w:val="003B2D31"/>
    <w:rsid w:val="003B38C1"/>
    <w:rsid w:val="003B588B"/>
    <w:rsid w:val="003C12A2"/>
    <w:rsid w:val="003C1C31"/>
    <w:rsid w:val="003C28B8"/>
    <w:rsid w:val="003C5432"/>
    <w:rsid w:val="003D03BF"/>
    <w:rsid w:val="003D1198"/>
    <w:rsid w:val="003D299B"/>
    <w:rsid w:val="003D2C3F"/>
    <w:rsid w:val="003D3B55"/>
    <w:rsid w:val="003D4510"/>
    <w:rsid w:val="003D4B95"/>
    <w:rsid w:val="003D554F"/>
    <w:rsid w:val="003D5B85"/>
    <w:rsid w:val="003D69A6"/>
    <w:rsid w:val="003E18C8"/>
    <w:rsid w:val="003E2CED"/>
    <w:rsid w:val="003E46B3"/>
    <w:rsid w:val="003E53E6"/>
    <w:rsid w:val="003F0931"/>
    <w:rsid w:val="003F20B7"/>
    <w:rsid w:val="003F2114"/>
    <w:rsid w:val="003F3CE2"/>
    <w:rsid w:val="003F3D85"/>
    <w:rsid w:val="003F7702"/>
    <w:rsid w:val="00400C15"/>
    <w:rsid w:val="004026A7"/>
    <w:rsid w:val="00404318"/>
    <w:rsid w:val="00406AFC"/>
    <w:rsid w:val="00406D8C"/>
    <w:rsid w:val="0041021D"/>
    <w:rsid w:val="004114B5"/>
    <w:rsid w:val="00413A57"/>
    <w:rsid w:val="00414DE5"/>
    <w:rsid w:val="00416498"/>
    <w:rsid w:val="0041692D"/>
    <w:rsid w:val="00422790"/>
    <w:rsid w:val="00423990"/>
    <w:rsid w:val="00423E3E"/>
    <w:rsid w:val="0042446F"/>
    <w:rsid w:val="00427AF4"/>
    <w:rsid w:val="0043062B"/>
    <w:rsid w:val="004330F9"/>
    <w:rsid w:val="00440B41"/>
    <w:rsid w:val="00440D4F"/>
    <w:rsid w:val="00440F7C"/>
    <w:rsid w:val="00441A99"/>
    <w:rsid w:val="00444893"/>
    <w:rsid w:val="004461BC"/>
    <w:rsid w:val="0044750D"/>
    <w:rsid w:val="00447F7B"/>
    <w:rsid w:val="004632FD"/>
    <w:rsid w:val="0046347A"/>
    <w:rsid w:val="00463FA2"/>
    <w:rsid w:val="00464402"/>
    <w:rsid w:val="004647DA"/>
    <w:rsid w:val="00464C2C"/>
    <w:rsid w:val="00466F96"/>
    <w:rsid w:val="00467504"/>
    <w:rsid w:val="004705BE"/>
    <w:rsid w:val="00470B00"/>
    <w:rsid w:val="00470F65"/>
    <w:rsid w:val="00474062"/>
    <w:rsid w:val="00477B39"/>
    <w:rsid w:val="00477D6B"/>
    <w:rsid w:val="00484BA9"/>
    <w:rsid w:val="00486CBB"/>
    <w:rsid w:val="00487844"/>
    <w:rsid w:val="00490300"/>
    <w:rsid w:val="004909BB"/>
    <w:rsid w:val="00490CFF"/>
    <w:rsid w:val="0049145A"/>
    <w:rsid w:val="00491F61"/>
    <w:rsid w:val="00497DBE"/>
    <w:rsid w:val="004A1507"/>
    <w:rsid w:val="004A1EAC"/>
    <w:rsid w:val="004A30DC"/>
    <w:rsid w:val="004A4222"/>
    <w:rsid w:val="004A4F56"/>
    <w:rsid w:val="004A6B2E"/>
    <w:rsid w:val="004B0149"/>
    <w:rsid w:val="004B2B23"/>
    <w:rsid w:val="004B3A8C"/>
    <w:rsid w:val="004B60EB"/>
    <w:rsid w:val="004C0818"/>
    <w:rsid w:val="004C2797"/>
    <w:rsid w:val="004D0E6F"/>
    <w:rsid w:val="004D1BF3"/>
    <w:rsid w:val="004D2CCE"/>
    <w:rsid w:val="004D426B"/>
    <w:rsid w:val="004D42C2"/>
    <w:rsid w:val="004D4F4E"/>
    <w:rsid w:val="004D7439"/>
    <w:rsid w:val="004E2151"/>
    <w:rsid w:val="004E6B5D"/>
    <w:rsid w:val="004F0597"/>
    <w:rsid w:val="004F07A7"/>
    <w:rsid w:val="004F0E54"/>
    <w:rsid w:val="004F31BC"/>
    <w:rsid w:val="004F4153"/>
    <w:rsid w:val="004F7DA7"/>
    <w:rsid w:val="00500492"/>
    <w:rsid w:val="005019FF"/>
    <w:rsid w:val="00503DB7"/>
    <w:rsid w:val="00505BF6"/>
    <w:rsid w:val="00506579"/>
    <w:rsid w:val="005066BF"/>
    <w:rsid w:val="00507887"/>
    <w:rsid w:val="00507B01"/>
    <w:rsid w:val="00507B33"/>
    <w:rsid w:val="00511AEA"/>
    <w:rsid w:val="00512092"/>
    <w:rsid w:val="00515195"/>
    <w:rsid w:val="005156E7"/>
    <w:rsid w:val="005166F8"/>
    <w:rsid w:val="00517230"/>
    <w:rsid w:val="00517620"/>
    <w:rsid w:val="005207FC"/>
    <w:rsid w:val="0052329F"/>
    <w:rsid w:val="00526284"/>
    <w:rsid w:val="00526B3F"/>
    <w:rsid w:val="0053057A"/>
    <w:rsid w:val="00530D34"/>
    <w:rsid w:val="00530E2F"/>
    <w:rsid w:val="00531EE8"/>
    <w:rsid w:val="00532CD6"/>
    <w:rsid w:val="00533D0F"/>
    <w:rsid w:val="00535A7D"/>
    <w:rsid w:val="00536008"/>
    <w:rsid w:val="00536882"/>
    <w:rsid w:val="00536A79"/>
    <w:rsid w:val="00536E94"/>
    <w:rsid w:val="00537ED8"/>
    <w:rsid w:val="0054150D"/>
    <w:rsid w:val="00545B9A"/>
    <w:rsid w:val="00547CB0"/>
    <w:rsid w:val="005514A8"/>
    <w:rsid w:val="005524F2"/>
    <w:rsid w:val="00552541"/>
    <w:rsid w:val="005533B5"/>
    <w:rsid w:val="00553A15"/>
    <w:rsid w:val="00555155"/>
    <w:rsid w:val="00560A29"/>
    <w:rsid w:val="005617F0"/>
    <w:rsid w:val="00563CF2"/>
    <w:rsid w:val="00565FD0"/>
    <w:rsid w:val="00566FB3"/>
    <w:rsid w:val="00572913"/>
    <w:rsid w:val="00572C28"/>
    <w:rsid w:val="00572FDD"/>
    <w:rsid w:val="00574923"/>
    <w:rsid w:val="00575771"/>
    <w:rsid w:val="00576511"/>
    <w:rsid w:val="005819D3"/>
    <w:rsid w:val="005832F9"/>
    <w:rsid w:val="005852EB"/>
    <w:rsid w:val="0058532B"/>
    <w:rsid w:val="00586377"/>
    <w:rsid w:val="00591D1C"/>
    <w:rsid w:val="00592A83"/>
    <w:rsid w:val="00594A30"/>
    <w:rsid w:val="00595FB6"/>
    <w:rsid w:val="00597066"/>
    <w:rsid w:val="005A142B"/>
    <w:rsid w:val="005A3B20"/>
    <w:rsid w:val="005A41C6"/>
    <w:rsid w:val="005A44C8"/>
    <w:rsid w:val="005A7A00"/>
    <w:rsid w:val="005B05D8"/>
    <w:rsid w:val="005B1E3E"/>
    <w:rsid w:val="005B1F6C"/>
    <w:rsid w:val="005B681E"/>
    <w:rsid w:val="005B6896"/>
    <w:rsid w:val="005B6B85"/>
    <w:rsid w:val="005B7D8B"/>
    <w:rsid w:val="005C08F7"/>
    <w:rsid w:val="005C0F8F"/>
    <w:rsid w:val="005C2E38"/>
    <w:rsid w:val="005C306B"/>
    <w:rsid w:val="005C373E"/>
    <w:rsid w:val="005C479F"/>
    <w:rsid w:val="005C6649"/>
    <w:rsid w:val="005C6D0D"/>
    <w:rsid w:val="005D0947"/>
    <w:rsid w:val="005D09FB"/>
    <w:rsid w:val="005D0CCE"/>
    <w:rsid w:val="005D1971"/>
    <w:rsid w:val="005D377A"/>
    <w:rsid w:val="005D46E4"/>
    <w:rsid w:val="005D511A"/>
    <w:rsid w:val="005D6720"/>
    <w:rsid w:val="005E1499"/>
    <w:rsid w:val="005E1738"/>
    <w:rsid w:val="005E1A90"/>
    <w:rsid w:val="005E1B0D"/>
    <w:rsid w:val="005E2B9B"/>
    <w:rsid w:val="005E453E"/>
    <w:rsid w:val="005E56B8"/>
    <w:rsid w:val="005E633F"/>
    <w:rsid w:val="005E6F02"/>
    <w:rsid w:val="005E7065"/>
    <w:rsid w:val="005E7E8A"/>
    <w:rsid w:val="005F1C7E"/>
    <w:rsid w:val="005F2005"/>
    <w:rsid w:val="005F49E1"/>
    <w:rsid w:val="005F5694"/>
    <w:rsid w:val="005F6EA1"/>
    <w:rsid w:val="005F72BA"/>
    <w:rsid w:val="005F7350"/>
    <w:rsid w:val="006041E7"/>
    <w:rsid w:val="00605827"/>
    <w:rsid w:val="00606B26"/>
    <w:rsid w:val="0061119A"/>
    <w:rsid w:val="00617A2F"/>
    <w:rsid w:val="006206A7"/>
    <w:rsid w:val="00621C2F"/>
    <w:rsid w:val="00622CE7"/>
    <w:rsid w:val="00622E7E"/>
    <w:rsid w:val="00623EFA"/>
    <w:rsid w:val="00624AD3"/>
    <w:rsid w:val="006255BA"/>
    <w:rsid w:val="0063217F"/>
    <w:rsid w:val="00633E5B"/>
    <w:rsid w:val="00635380"/>
    <w:rsid w:val="00637680"/>
    <w:rsid w:val="006378C7"/>
    <w:rsid w:val="00640101"/>
    <w:rsid w:val="006428CF"/>
    <w:rsid w:val="00646050"/>
    <w:rsid w:val="00647763"/>
    <w:rsid w:val="006508ED"/>
    <w:rsid w:val="00653500"/>
    <w:rsid w:val="0066225C"/>
    <w:rsid w:val="006623AC"/>
    <w:rsid w:val="0066350E"/>
    <w:rsid w:val="006654B4"/>
    <w:rsid w:val="00665557"/>
    <w:rsid w:val="006713CA"/>
    <w:rsid w:val="00672A44"/>
    <w:rsid w:val="00673CBF"/>
    <w:rsid w:val="00674BAB"/>
    <w:rsid w:val="00676810"/>
    <w:rsid w:val="00676C5C"/>
    <w:rsid w:val="006800C2"/>
    <w:rsid w:val="00681884"/>
    <w:rsid w:val="006827C2"/>
    <w:rsid w:val="00682871"/>
    <w:rsid w:val="00684CFB"/>
    <w:rsid w:val="0068514C"/>
    <w:rsid w:val="006852B8"/>
    <w:rsid w:val="00687026"/>
    <w:rsid w:val="006876DD"/>
    <w:rsid w:val="006949DA"/>
    <w:rsid w:val="00695E32"/>
    <w:rsid w:val="00696049"/>
    <w:rsid w:val="006A6546"/>
    <w:rsid w:val="006A688F"/>
    <w:rsid w:val="006A73A1"/>
    <w:rsid w:val="006A7903"/>
    <w:rsid w:val="006B3497"/>
    <w:rsid w:val="006B4104"/>
    <w:rsid w:val="006B458D"/>
    <w:rsid w:val="006B77A4"/>
    <w:rsid w:val="006C335F"/>
    <w:rsid w:val="006C38FF"/>
    <w:rsid w:val="006C428E"/>
    <w:rsid w:val="006D0173"/>
    <w:rsid w:val="006D04F6"/>
    <w:rsid w:val="006D1006"/>
    <w:rsid w:val="006D1A0B"/>
    <w:rsid w:val="006D678B"/>
    <w:rsid w:val="006E0806"/>
    <w:rsid w:val="006E20CA"/>
    <w:rsid w:val="006E3CD4"/>
    <w:rsid w:val="006E41F1"/>
    <w:rsid w:val="006E6FA7"/>
    <w:rsid w:val="006F06C5"/>
    <w:rsid w:val="006F1EBB"/>
    <w:rsid w:val="006F24D6"/>
    <w:rsid w:val="00701124"/>
    <w:rsid w:val="0070570D"/>
    <w:rsid w:val="007071AA"/>
    <w:rsid w:val="007074F6"/>
    <w:rsid w:val="007113B0"/>
    <w:rsid w:val="0071234D"/>
    <w:rsid w:val="0071291E"/>
    <w:rsid w:val="00712D7C"/>
    <w:rsid w:val="0071343D"/>
    <w:rsid w:val="00714E8A"/>
    <w:rsid w:val="007174A0"/>
    <w:rsid w:val="007177CC"/>
    <w:rsid w:val="00723CF5"/>
    <w:rsid w:val="007252A1"/>
    <w:rsid w:val="0072564F"/>
    <w:rsid w:val="007266B2"/>
    <w:rsid w:val="00730AB3"/>
    <w:rsid w:val="007315D5"/>
    <w:rsid w:val="00735D59"/>
    <w:rsid w:val="00735D69"/>
    <w:rsid w:val="00740D1C"/>
    <w:rsid w:val="007431D6"/>
    <w:rsid w:val="00743D2F"/>
    <w:rsid w:val="00744423"/>
    <w:rsid w:val="00745ED3"/>
    <w:rsid w:val="007479D5"/>
    <w:rsid w:val="00750CA1"/>
    <w:rsid w:val="007539FB"/>
    <w:rsid w:val="00754163"/>
    <w:rsid w:val="00756A22"/>
    <w:rsid w:val="0075715A"/>
    <w:rsid w:val="007618FB"/>
    <w:rsid w:val="00762883"/>
    <w:rsid w:val="00766F2C"/>
    <w:rsid w:val="007709D7"/>
    <w:rsid w:val="00774786"/>
    <w:rsid w:val="00780A4E"/>
    <w:rsid w:val="007815F3"/>
    <w:rsid w:val="0078787E"/>
    <w:rsid w:val="007918F0"/>
    <w:rsid w:val="00791B81"/>
    <w:rsid w:val="007952E0"/>
    <w:rsid w:val="007A0641"/>
    <w:rsid w:val="007A0AE4"/>
    <w:rsid w:val="007A103E"/>
    <w:rsid w:val="007A35EE"/>
    <w:rsid w:val="007A41D4"/>
    <w:rsid w:val="007A48FA"/>
    <w:rsid w:val="007A6B2A"/>
    <w:rsid w:val="007A7574"/>
    <w:rsid w:val="007B10B9"/>
    <w:rsid w:val="007B5D69"/>
    <w:rsid w:val="007C05BA"/>
    <w:rsid w:val="007C0E00"/>
    <w:rsid w:val="007C235E"/>
    <w:rsid w:val="007C329B"/>
    <w:rsid w:val="007D1613"/>
    <w:rsid w:val="007D1DC7"/>
    <w:rsid w:val="007D22EC"/>
    <w:rsid w:val="007D2807"/>
    <w:rsid w:val="007D3895"/>
    <w:rsid w:val="007D3F08"/>
    <w:rsid w:val="007D4002"/>
    <w:rsid w:val="007D48AB"/>
    <w:rsid w:val="007D7142"/>
    <w:rsid w:val="007E0EA5"/>
    <w:rsid w:val="007E101A"/>
    <w:rsid w:val="007E1EF8"/>
    <w:rsid w:val="007E40A2"/>
    <w:rsid w:val="007E7A54"/>
    <w:rsid w:val="007E7F07"/>
    <w:rsid w:val="007F03AC"/>
    <w:rsid w:val="007F20C4"/>
    <w:rsid w:val="007F3DC9"/>
    <w:rsid w:val="007F51E4"/>
    <w:rsid w:val="007F5A39"/>
    <w:rsid w:val="007F62A5"/>
    <w:rsid w:val="007F7070"/>
    <w:rsid w:val="00803987"/>
    <w:rsid w:val="008060A6"/>
    <w:rsid w:val="008101FF"/>
    <w:rsid w:val="00813E4F"/>
    <w:rsid w:val="00813F49"/>
    <w:rsid w:val="00816D05"/>
    <w:rsid w:val="00820D5E"/>
    <w:rsid w:val="008210B4"/>
    <w:rsid w:val="00822777"/>
    <w:rsid w:val="008246A8"/>
    <w:rsid w:val="008256E7"/>
    <w:rsid w:val="008258C2"/>
    <w:rsid w:val="008259A2"/>
    <w:rsid w:val="0082604D"/>
    <w:rsid w:val="00830EA1"/>
    <w:rsid w:val="00834D1F"/>
    <w:rsid w:val="00840CDD"/>
    <w:rsid w:val="008410F9"/>
    <w:rsid w:val="00842850"/>
    <w:rsid w:val="008451D7"/>
    <w:rsid w:val="0084545D"/>
    <w:rsid w:val="0084597A"/>
    <w:rsid w:val="00854081"/>
    <w:rsid w:val="00854813"/>
    <w:rsid w:val="00857468"/>
    <w:rsid w:val="00857ED1"/>
    <w:rsid w:val="00861FFF"/>
    <w:rsid w:val="0086299D"/>
    <w:rsid w:val="00864755"/>
    <w:rsid w:val="00866A5F"/>
    <w:rsid w:val="00871436"/>
    <w:rsid w:val="008732CD"/>
    <w:rsid w:val="00874097"/>
    <w:rsid w:val="00874942"/>
    <w:rsid w:val="008765B9"/>
    <w:rsid w:val="00877A59"/>
    <w:rsid w:val="008875C6"/>
    <w:rsid w:val="0089020D"/>
    <w:rsid w:val="00891D9E"/>
    <w:rsid w:val="00892ACC"/>
    <w:rsid w:val="00892ADF"/>
    <w:rsid w:val="00895E76"/>
    <w:rsid w:val="008A2629"/>
    <w:rsid w:val="008A3878"/>
    <w:rsid w:val="008A51E4"/>
    <w:rsid w:val="008A5FAF"/>
    <w:rsid w:val="008A6BF4"/>
    <w:rsid w:val="008B1E35"/>
    <w:rsid w:val="008B2CC1"/>
    <w:rsid w:val="008B4AEB"/>
    <w:rsid w:val="008B60B2"/>
    <w:rsid w:val="008B65B0"/>
    <w:rsid w:val="008B7D33"/>
    <w:rsid w:val="008C2880"/>
    <w:rsid w:val="008C3022"/>
    <w:rsid w:val="008C40F6"/>
    <w:rsid w:val="008C7F05"/>
    <w:rsid w:val="008D1530"/>
    <w:rsid w:val="008D1AC1"/>
    <w:rsid w:val="008D2108"/>
    <w:rsid w:val="008D4899"/>
    <w:rsid w:val="008D64BE"/>
    <w:rsid w:val="008D6E54"/>
    <w:rsid w:val="008E01B3"/>
    <w:rsid w:val="008E0B83"/>
    <w:rsid w:val="008F22AA"/>
    <w:rsid w:val="008F3415"/>
    <w:rsid w:val="00901312"/>
    <w:rsid w:val="00901772"/>
    <w:rsid w:val="009021A6"/>
    <w:rsid w:val="009037E5"/>
    <w:rsid w:val="009042A6"/>
    <w:rsid w:val="0090454A"/>
    <w:rsid w:val="0090509F"/>
    <w:rsid w:val="0090615A"/>
    <w:rsid w:val="0090731E"/>
    <w:rsid w:val="009077B6"/>
    <w:rsid w:val="00910B78"/>
    <w:rsid w:val="00916EE2"/>
    <w:rsid w:val="0092006F"/>
    <w:rsid w:val="0092046B"/>
    <w:rsid w:val="0092344D"/>
    <w:rsid w:val="00923A92"/>
    <w:rsid w:val="00923ED2"/>
    <w:rsid w:val="009248C8"/>
    <w:rsid w:val="00924FE4"/>
    <w:rsid w:val="009254C2"/>
    <w:rsid w:val="00927184"/>
    <w:rsid w:val="009301E6"/>
    <w:rsid w:val="00932825"/>
    <w:rsid w:val="00932C36"/>
    <w:rsid w:val="009366EB"/>
    <w:rsid w:val="00937991"/>
    <w:rsid w:val="00940A23"/>
    <w:rsid w:val="00940BEB"/>
    <w:rsid w:val="009411F8"/>
    <w:rsid w:val="00943EAC"/>
    <w:rsid w:val="009447A4"/>
    <w:rsid w:val="00946153"/>
    <w:rsid w:val="0094784D"/>
    <w:rsid w:val="009508B8"/>
    <w:rsid w:val="009555D3"/>
    <w:rsid w:val="00955AF7"/>
    <w:rsid w:val="00956493"/>
    <w:rsid w:val="00956F67"/>
    <w:rsid w:val="00956F83"/>
    <w:rsid w:val="0096075D"/>
    <w:rsid w:val="0096165A"/>
    <w:rsid w:val="00962BA7"/>
    <w:rsid w:val="00963853"/>
    <w:rsid w:val="0096451E"/>
    <w:rsid w:val="00965303"/>
    <w:rsid w:val="00966A22"/>
    <w:rsid w:val="0096722F"/>
    <w:rsid w:val="009675B1"/>
    <w:rsid w:val="00970846"/>
    <w:rsid w:val="009709CA"/>
    <w:rsid w:val="00975DB1"/>
    <w:rsid w:val="00977467"/>
    <w:rsid w:val="00980843"/>
    <w:rsid w:val="00982E1D"/>
    <w:rsid w:val="00985EBD"/>
    <w:rsid w:val="009874FE"/>
    <w:rsid w:val="00991C6E"/>
    <w:rsid w:val="00992712"/>
    <w:rsid w:val="009937A3"/>
    <w:rsid w:val="009945E6"/>
    <w:rsid w:val="0099509B"/>
    <w:rsid w:val="00996659"/>
    <w:rsid w:val="0099674C"/>
    <w:rsid w:val="00996F03"/>
    <w:rsid w:val="0099711F"/>
    <w:rsid w:val="009A002B"/>
    <w:rsid w:val="009A258D"/>
    <w:rsid w:val="009A2683"/>
    <w:rsid w:val="009A2C64"/>
    <w:rsid w:val="009A3307"/>
    <w:rsid w:val="009A6E26"/>
    <w:rsid w:val="009B1E55"/>
    <w:rsid w:val="009B45E7"/>
    <w:rsid w:val="009B6AAB"/>
    <w:rsid w:val="009B6C63"/>
    <w:rsid w:val="009B7099"/>
    <w:rsid w:val="009B71ED"/>
    <w:rsid w:val="009B742F"/>
    <w:rsid w:val="009B7637"/>
    <w:rsid w:val="009C12FE"/>
    <w:rsid w:val="009C3A01"/>
    <w:rsid w:val="009D14A3"/>
    <w:rsid w:val="009D46A3"/>
    <w:rsid w:val="009D49A0"/>
    <w:rsid w:val="009D56DB"/>
    <w:rsid w:val="009E0904"/>
    <w:rsid w:val="009E19F9"/>
    <w:rsid w:val="009E2791"/>
    <w:rsid w:val="009E3F6F"/>
    <w:rsid w:val="009E4D91"/>
    <w:rsid w:val="009F00C8"/>
    <w:rsid w:val="009F062A"/>
    <w:rsid w:val="009F064C"/>
    <w:rsid w:val="009F24C9"/>
    <w:rsid w:val="009F499F"/>
    <w:rsid w:val="009F5DF0"/>
    <w:rsid w:val="00A00B70"/>
    <w:rsid w:val="00A018D6"/>
    <w:rsid w:val="00A02950"/>
    <w:rsid w:val="00A04566"/>
    <w:rsid w:val="00A0799C"/>
    <w:rsid w:val="00A07B77"/>
    <w:rsid w:val="00A103E2"/>
    <w:rsid w:val="00A10D89"/>
    <w:rsid w:val="00A116D2"/>
    <w:rsid w:val="00A119C0"/>
    <w:rsid w:val="00A14605"/>
    <w:rsid w:val="00A2022A"/>
    <w:rsid w:val="00A2177F"/>
    <w:rsid w:val="00A22CF2"/>
    <w:rsid w:val="00A23340"/>
    <w:rsid w:val="00A235A1"/>
    <w:rsid w:val="00A23E6E"/>
    <w:rsid w:val="00A24EF0"/>
    <w:rsid w:val="00A255AF"/>
    <w:rsid w:val="00A25CE4"/>
    <w:rsid w:val="00A27475"/>
    <w:rsid w:val="00A32C19"/>
    <w:rsid w:val="00A32C2A"/>
    <w:rsid w:val="00A37C1F"/>
    <w:rsid w:val="00A4002C"/>
    <w:rsid w:val="00A42144"/>
    <w:rsid w:val="00A422FE"/>
    <w:rsid w:val="00A42DAF"/>
    <w:rsid w:val="00A43D38"/>
    <w:rsid w:val="00A44CF1"/>
    <w:rsid w:val="00A45BD8"/>
    <w:rsid w:val="00A52B0A"/>
    <w:rsid w:val="00A53CA0"/>
    <w:rsid w:val="00A54B43"/>
    <w:rsid w:val="00A57BEB"/>
    <w:rsid w:val="00A60D24"/>
    <w:rsid w:val="00A6142B"/>
    <w:rsid w:val="00A63015"/>
    <w:rsid w:val="00A631A3"/>
    <w:rsid w:val="00A64766"/>
    <w:rsid w:val="00A6558D"/>
    <w:rsid w:val="00A6673C"/>
    <w:rsid w:val="00A70CFD"/>
    <w:rsid w:val="00A70D39"/>
    <w:rsid w:val="00A758EA"/>
    <w:rsid w:val="00A75969"/>
    <w:rsid w:val="00A815D6"/>
    <w:rsid w:val="00A82093"/>
    <w:rsid w:val="00A84712"/>
    <w:rsid w:val="00A869B7"/>
    <w:rsid w:val="00A90F8D"/>
    <w:rsid w:val="00A9139E"/>
    <w:rsid w:val="00A93C91"/>
    <w:rsid w:val="00A95450"/>
    <w:rsid w:val="00AA50A6"/>
    <w:rsid w:val="00AA5B24"/>
    <w:rsid w:val="00AA7B8C"/>
    <w:rsid w:val="00AB08B4"/>
    <w:rsid w:val="00AB290D"/>
    <w:rsid w:val="00AB2EE7"/>
    <w:rsid w:val="00AB4772"/>
    <w:rsid w:val="00AB4B2D"/>
    <w:rsid w:val="00AC205C"/>
    <w:rsid w:val="00AC278C"/>
    <w:rsid w:val="00AC4EC0"/>
    <w:rsid w:val="00AC54CE"/>
    <w:rsid w:val="00AD079A"/>
    <w:rsid w:val="00AD3A5A"/>
    <w:rsid w:val="00AD46E1"/>
    <w:rsid w:val="00AD573A"/>
    <w:rsid w:val="00AD5F99"/>
    <w:rsid w:val="00AD6BA7"/>
    <w:rsid w:val="00AD6CBF"/>
    <w:rsid w:val="00AE2EEB"/>
    <w:rsid w:val="00AE55D6"/>
    <w:rsid w:val="00AF0A6B"/>
    <w:rsid w:val="00AF12DD"/>
    <w:rsid w:val="00AF1712"/>
    <w:rsid w:val="00AF3802"/>
    <w:rsid w:val="00AF394F"/>
    <w:rsid w:val="00B004E1"/>
    <w:rsid w:val="00B01124"/>
    <w:rsid w:val="00B026B6"/>
    <w:rsid w:val="00B027A7"/>
    <w:rsid w:val="00B03788"/>
    <w:rsid w:val="00B03DE0"/>
    <w:rsid w:val="00B05A69"/>
    <w:rsid w:val="00B079F8"/>
    <w:rsid w:val="00B1082F"/>
    <w:rsid w:val="00B11028"/>
    <w:rsid w:val="00B118DC"/>
    <w:rsid w:val="00B126E2"/>
    <w:rsid w:val="00B12733"/>
    <w:rsid w:val="00B1555F"/>
    <w:rsid w:val="00B2033B"/>
    <w:rsid w:val="00B22637"/>
    <w:rsid w:val="00B24B3C"/>
    <w:rsid w:val="00B26D21"/>
    <w:rsid w:val="00B35748"/>
    <w:rsid w:val="00B40D1F"/>
    <w:rsid w:val="00B40F62"/>
    <w:rsid w:val="00B4706C"/>
    <w:rsid w:val="00B50CF7"/>
    <w:rsid w:val="00B50EAB"/>
    <w:rsid w:val="00B52AF3"/>
    <w:rsid w:val="00B52DCA"/>
    <w:rsid w:val="00B52DD0"/>
    <w:rsid w:val="00B536EF"/>
    <w:rsid w:val="00B572C3"/>
    <w:rsid w:val="00B632EB"/>
    <w:rsid w:val="00B63934"/>
    <w:rsid w:val="00B66694"/>
    <w:rsid w:val="00B70B9F"/>
    <w:rsid w:val="00B7115A"/>
    <w:rsid w:val="00B71C4B"/>
    <w:rsid w:val="00B75F93"/>
    <w:rsid w:val="00B80128"/>
    <w:rsid w:val="00B813FE"/>
    <w:rsid w:val="00B81B0D"/>
    <w:rsid w:val="00B82420"/>
    <w:rsid w:val="00B828B8"/>
    <w:rsid w:val="00B8384B"/>
    <w:rsid w:val="00B84F3B"/>
    <w:rsid w:val="00B86D41"/>
    <w:rsid w:val="00B91667"/>
    <w:rsid w:val="00B91794"/>
    <w:rsid w:val="00B969EA"/>
    <w:rsid w:val="00B9734B"/>
    <w:rsid w:val="00BA2854"/>
    <w:rsid w:val="00BA53AA"/>
    <w:rsid w:val="00BA555E"/>
    <w:rsid w:val="00BA6237"/>
    <w:rsid w:val="00BA6255"/>
    <w:rsid w:val="00BB5A7E"/>
    <w:rsid w:val="00BB5E8D"/>
    <w:rsid w:val="00BB7026"/>
    <w:rsid w:val="00BB7B6C"/>
    <w:rsid w:val="00BC2C22"/>
    <w:rsid w:val="00BC4326"/>
    <w:rsid w:val="00BC47CF"/>
    <w:rsid w:val="00BC48B7"/>
    <w:rsid w:val="00BC57E9"/>
    <w:rsid w:val="00BD00DC"/>
    <w:rsid w:val="00BD11A4"/>
    <w:rsid w:val="00BD3EEA"/>
    <w:rsid w:val="00BD503A"/>
    <w:rsid w:val="00BE16C7"/>
    <w:rsid w:val="00BE2E49"/>
    <w:rsid w:val="00BE58A4"/>
    <w:rsid w:val="00BE5FFF"/>
    <w:rsid w:val="00BE6DDD"/>
    <w:rsid w:val="00BF0506"/>
    <w:rsid w:val="00BF05B4"/>
    <w:rsid w:val="00BF14B7"/>
    <w:rsid w:val="00BF1675"/>
    <w:rsid w:val="00BF392A"/>
    <w:rsid w:val="00BF3939"/>
    <w:rsid w:val="00BF4E6B"/>
    <w:rsid w:val="00BF6E54"/>
    <w:rsid w:val="00C00338"/>
    <w:rsid w:val="00C03030"/>
    <w:rsid w:val="00C03372"/>
    <w:rsid w:val="00C050FC"/>
    <w:rsid w:val="00C05BFA"/>
    <w:rsid w:val="00C11BFE"/>
    <w:rsid w:val="00C12061"/>
    <w:rsid w:val="00C12D82"/>
    <w:rsid w:val="00C13DF7"/>
    <w:rsid w:val="00C14039"/>
    <w:rsid w:val="00C14075"/>
    <w:rsid w:val="00C14582"/>
    <w:rsid w:val="00C14D41"/>
    <w:rsid w:val="00C14EF1"/>
    <w:rsid w:val="00C200B5"/>
    <w:rsid w:val="00C21500"/>
    <w:rsid w:val="00C224C3"/>
    <w:rsid w:val="00C25398"/>
    <w:rsid w:val="00C2714B"/>
    <w:rsid w:val="00C31CE5"/>
    <w:rsid w:val="00C3538C"/>
    <w:rsid w:val="00C35CB2"/>
    <w:rsid w:val="00C365F9"/>
    <w:rsid w:val="00C36DC7"/>
    <w:rsid w:val="00C44E43"/>
    <w:rsid w:val="00C4502B"/>
    <w:rsid w:val="00C505DA"/>
    <w:rsid w:val="00C51317"/>
    <w:rsid w:val="00C51883"/>
    <w:rsid w:val="00C5320A"/>
    <w:rsid w:val="00C55161"/>
    <w:rsid w:val="00C554D5"/>
    <w:rsid w:val="00C57022"/>
    <w:rsid w:val="00C6022B"/>
    <w:rsid w:val="00C67219"/>
    <w:rsid w:val="00C70A99"/>
    <w:rsid w:val="00C70F7C"/>
    <w:rsid w:val="00C717D0"/>
    <w:rsid w:val="00C71F6A"/>
    <w:rsid w:val="00C72378"/>
    <w:rsid w:val="00C72D8D"/>
    <w:rsid w:val="00C72F70"/>
    <w:rsid w:val="00C7480E"/>
    <w:rsid w:val="00C7678E"/>
    <w:rsid w:val="00C76897"/>
    <w:rsid w:val="00C76B2D"/>
    <w:rsid w:val="00C779B4"/>
    <w:rsid w:val="00C811EA"/>
    <w:rsid w:val="00C8197E"/>
    <w:rsid w:val="00C8323F"/>
    <w:rsid w:val="00C834A3"/>
    <w:rsid w:val="00C83EAE"/>
    <w:rsid w:val="00C8500C"/>
    <w:rsid w:val="00C855A6"/>
    <w:rsid w:val="00C860F9"/>
    <w:rsid w:val="00C86702"/>
    <w:rsid w:val="00C9065B"/>
    <w:rsid w:val="00C90A9B"/>
    <w:rsid w:val="00C93001"/>
    <w:rsid w:val="00C94210"/>
    <w:rsid w:val="00C96F77"/>
    <w:rsid w:val="00CA02C1"/>
    <w:rsid w:val="00CA1941"/>
    <w:rsid w:val="00CA278B"/>
    <w:rsid w:val="00CA7085"/>
    <w:rsid w:val="00CB22D3"/>
    <w:rsid w:val="00CB2C3E"/>
    <w:rsid w:val="00CB600E"/>
    <w:rsid w:val="00CB7A59"/>
    <w:rsid w:val="00CC0472"/>
    <w:rsid w:val="00CC09CD"/>
    <w:rsid w:val="00CC0D2A"/>
    <w:rsid w:val="00CC15CA"/>
    <w:rsid w:val="00CC406D"/>
    <w:rsid w:val="00CC7BA6"/>
    <w:rsid w:val="00CC7BEF"/>
    <w:rsid w:val="00CD0487"/>
    <w:rsid w:val="00CD1095"/>
    <w:rsid w:val="00CD29D0"/>
    <w:rsid w:val="00CD4EF4"/>
    <w:rsid w:val="00CE0374"/>
    <w:rsid w:val="00CE24AE"/>
    <w:rsid w:val="00CE2680"/>
    <w:rsid w:val="00CE4D7B"/>
    <w:rsid w:val="00CF0D3B"/>
    <w:rsid w:val="00CF29F8"/>
    <w:rsid w:val="00CF7724"/>
    <w:rsid w:val="00D0081B"/>
    <w:rsid w:val="00D03DD8"/>
    <w:rsid w:val="00D048FD"/>
    <w:rsid w:val="00D1145F"/>
    <w:rsid w:val="00D1411E"/>
    <w:rsid w:val="00D1471C"/>
    <w:rsid w:val="00D15332"/>
    <w:rsid w:val="00D15AD6"/>
    <w:rsid w:val="00D177A6"/>
    <w:rsid w:val="00D178DC"/>
    <w:rsid w:val="00D1792B"/>
    <w:rsid w:val="00D17AF8"/>
    <w:rsid w:val="00D22BA4"/>
    <w:rsid w:val="00D22D6F"/>
    <w:rsid w:val="00D23C8A"/>
    <w:rsid w:val="00D25439"/>
    <w:rsid w:val="00D31F26"/>
    <w:rsid w:val="00D33634"/>
    <w:rsid w:val="00D350AB"/>
    <w:rsid w:val="00D42864"/>
    <w:rsid w:val="00D42C2A"/>
    <w:rsid w:val="00D4430B"/>
    <w:rsid w:val="00D45252"/>
    <w:rsid w:val="00D46415"/>
    <w:rsid w:val="00D50FC9"/>
    <w:rsid w:val="00D544D2"/>
    <w:rsid w:val="00D54F03"/>
    <w:rsid w:val="00D56797"/>
    <w:rsid w:val="00D57DD5"/>
    <w:rsid w:val="00D61B80"/>
    <w:rsid w:val="00D62433"/>
    <w:rsid w:val="00D6282E"/>
    <w:rsid w:val="00D62CF6"/>
    <w:rsid w:val="00D64DC8"/>
    <w:rsid w:val="00D67276"/>
    <w:rsid w:val="00D67E2C"/>
    <w:rsid w:val="00D714EA"/>
    <w:rsid w:val="00D71B4D"/>
    <w:rsid w:val="00D7241C"/>
    <w:rsid w:val="00D77260"/>
    <w:rsid w:val="00D816AC"/>
    <w:rsid w:val="00D81873"/>
    <w:rsid w:val="00D82E6E"/>
    <w:rsid w:val="00D85552"/>
    <w:rsid w:val="00D857B0"/>
    <w:rsid w:val="00D85DB6"/>
    <w:rsid w:val="00D87E4C"/>
    <w:rsid w:val="00D87F4E"/>
    <w:rsid w:val="00D87FCE"/>
    <w:rsid w:val="00D916BA"/>
    <w:rsid w:val="00D9170E"/>
    <w:rsid w:val="00D93D55"/>
    <w:rsid w:val="00D93DD3"/>
    <w:rsid w:val="00D9413E"/>
    <w:rsid w:val="00D9548C"/>
    <w:rsid w:val="00DA1685"/>
    <w:rsid w:val="00DA3B7A"/>
    <w:rsid w:val="00DA595C"/>
    <w:rsid w:val="00DB002A"/>
    <w:rsid w:val="00DB4AB2"/>
    <w:rsid w:val="00DB58C9"/>
    <w:rsid w:val="00DC0174"/>
    <w:rsid w:val="00DC046F"/>
    <w:rsid w:val="00DC1782"/>
    <w:rsid w:val="00DC2080"/>
    <w:rsid w:val="00DC344E"/>
    <w:rsid w:val="00DC3E08"/>
    <w:rsid w:val="00DC4268"/>
    <w:rsid w:val="00DC73BE"/>
    <w:rsid w:val="00DD001C"/>
    <w:rsid w:val="00DD0047"/>
    <w:rsid w:val="00DD3426"/>
    <w:rsid w:val="00DD4A84"/>
    <w:rsid w:val="00DE21FD"/>
    <w:rsid w:val="00DE28EA"/>
    <w:rsid w:val="00DE6034"/>
    <w:rsid w:val="00DE6DCD"/>
    <w:rsid w:val="00DE7493"/>
    <w:rsid w:val="00DF23E2"/>
    <w:rsid w:val="00DF4696"/>
    <w:rsid w:val="00DF70C2"/>
    <w:rsid w:val="00E00D88"/>
    <w:rsid w:val="00E01767"/>
    <w:rsid w:val="00E02DED"/>
    <w:rsid w:val="00E03442"/>
    <w:rsid w:val="00E04350"/>
    <w:rsid w:val="00E066E9"/>
    <w:rsid w:val="00E10EA5"/>
    <w:rsid w:val="00E15CC4"/>
    <w:rsid w:val="00E215EC"/>
    <w:rsid w:val="00E2310C"/>
    <w:rsid w:val="00E245CF"/>
    <w:rsid w:val="00E322F5"/>
    <w:rsid w:val="00E335FE"/>
    <w:rsid w:val="00E33F9C"/>
    <w:rsid w:val="00E35DC8"/>
    <w:rsid w:val="00E41985"/>
    <w:rsid w:val="00E465AD"/>
    <w:rsid w:val="00E5238C"/>
    <w:rsid w:val="00E54F05"/>
    <w:rsid w:val="00E556FE"/>
    <w:rsid w:val="00E57B2A"/>
    <w:rsid w:val="00E605D7"/>
    <w:rsid w:val="00E62FDE"/>
    <w:rsid w:val="00E63361"/>
    <w:rsid w:val="00E63D98"/>
    <w:rsid w:val="00E63E3C"/>
    <w:rsid w:val="00E6540F"/>
    <w:rsid w:val="00E67909"/>
    <w:rsid w:val="00E72E5D"/>
    <w:rsid w:val="00E73D71"/>
    <w:rsid w:val="00E76523"/>
    <w:rsid w:val="00E80B06"/>
    <w:rsid w:val="00E81702"/>
    <w:rsid w:val="00E827B2"/>
    <w:rsid w:val="00E83108"/>
    <w:rsid w:val="00E84E33"/>
    <w:rsid w:val="00E8536E"/>
    <w:rsid w:val="00E853E5"/>
    <w:rsid w:val="00E856D7"/>
    <w:rsid w:val="00E86FA5"/>
    <w:rsid w:val="00E8783B"/>
    <w:rsid w:val="00E93195"/>
    <w:rsid w:val="00E937BA"/>
    <w:rsid w:val="00E94CB2"/>
    <w:rsid w:val="00E955F5"/>
    <w:rsid w:val="00EA03F0"/>
    <w:rsid w:val="00EA0472"/>
    <w:rsid w:val="00EA1254"/>
    <w:rsid w:val="00EA4385"/>
    <w:rsid w:val="00EB002B"/>
    <w:rsid w:val="00EB117B"/>
    <w:rsid w:val="00EB296D"/>
    <w:rsid w:val="00EB2D9E"/>
    <w:rsid w:val="00EB3214"/>
    <w:rsid w:val="00EB5381"/>
    <w:rsid w:val="00EB71F3"/>
    <w:rsid w:val="00EB7CA4"/>
    <w:rsid w:val="00EC4E49"/>
    <w:rsid w:val="00EC79CC"/>
    <w:rsid w:val="00ED12BE"/>
    <w:rsid w:val="00ED2235"/>
    <w:rsid w:val="00ED49D1"/>
    <w:rsid w:val="00ED6723"/>
    <w:rsid w:val="00ED6B8E"/>
    <w:rsid w:val="00ED77FB"/>
    <w:rsid w:val="00ED7ED8"/>
    <w:rsid w:val="00EE0FF3"/>
    <w:rsid w:val="00EE1CE7"/>
    <w:rsid w:val="00EE45FA"/>
    <w:rsid w:val="00EE4DEA"/>
    <w:rsid w:val="00EE7CCC"/>
    <w:rsid w:val="00EF00C4"/>
    <w:rsid w:val="00EF0732"/>
    <w:rsid w:val="00EF1C36"/>
    <w:rsid w:val="00EF2BEE"/>
    <w:rsid w:val="00EF7E92"/>
    <w:rsid w:val="00F0093A"/>
    <w:rsid w:val="00F00BAF"/>
    <w:rsid w:val="00F010B0"/>
    <w:rsid w:val="00F10190"/>
    <w:rsid w:val="00F10B41"/>
    <w:rsid w:val="00F11050"/>
    <w:rsid w:val="00F159D0"/>
    <w:rsid w:val="00F15D76"/>
    <w:rsid w:val="00F17989"/>
    <w:rsid w:val="00F219A1"/>
    <w:rsid w:val="00F236B1"/>
    <w:rsid w:val="00F23F46"/>
    <w:rsid w:val="00F25FAD"/>
    <w:rsid w:val="00F26531"/>
    <w:rsid w:val="00F26947"/>
    <w:rsid w:val="00F31D68"/>
    <w:rsid w:val="00F32973"/>
    <w:rsid w:val="00F33BB0"/>
    <w:rsid w:val="00F4229D"/>
    <w:rsid w:val="00F453D3"/>
    <w:rsid w:val="00F52477"/>
    <w:rsid w:val="00F5396C"/>
    <w:rsid w:val="00F55F9B"/>
    <w:rsid w:val="00F62683"/>
    <w:rsid w:val="00F626B3"/>
    <w:rsid w:val="00F64C1B"/>
    <w:rsid w:val="00F64F97"/>
    <w:rsid w:val="00F657CF"/>
    <w:rsid w:val="00F66152"/>
    <w:rsid w:val="00F678C3"/>
    <w:rsid w:val="00F716B1"/>
    <w:rsid w:val="00F7372C"/>
    <w:rsid w:val="00F73FBC"/>
    <w:rsid w:val="00F74A90"/>
    <w:rsid w:val="00F804F0"/>
    <w:rsid w:val="00F81130"/>
    <w:rsid w:val="00F848C8"/>
    <w:rsid w:val="00F853D8"/>
    <w:rsid w:val="00F8591D"/>
    <w:rsid w:val="00F87183"/>
    <w:rsid w:val="00F9124E"/>
    <w:rsid w:val="00F91DAF"/>
    <w:rsid w:val="00F934DD"/>
    <w:rsid w:val="00F937E8"/>
    <w:rsid w:val="00F93C53"/>
    <w:rsid w:val="00FA1E9B"/>
    <w:rsid w:val="00FA66AF"/>
    <w:rsid w:val="00FA7E5C"/>
    <w:rsid w:val="00FB2F95"/>
    <w:rsid w:val="00FB3155"/>
    <w:rsid w:val="00FB565C"/>
    <w:rsid w:val="00FB74C4"/>
    <w:rsid w:val="00FC08B0"/>
    <w:rsid w:val="00FC1378"/>
    <w:rsid w:val="00FC23B3"/>
    <w:rsid w:val="00FC7684"/>
    <w:rsid w:val="00FC7B9C"/>
    <w:rsid w:val="00FD4990"/>
    <w:rsid w:val="00FD5D50"/>
    <w:rsid w:val="00FD702B"/>
    <w:rsid w:val="00FE31FD"/>
    <w:rsid w:val="00FE3D45"/>
    <w:rsid w:val="00FE65C7"/>
    <w:rsid w:val="00FE7238"/>
    <w:rsid w:val="00FF040C"/>
    <w:rsid w:val="00FF1730"/>
    <w:rsid w:val="00FF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6C149C7"/>
  <w15:docId w15:val="{A1C587E0-9F1D-4BD5-A821-1DBDA90A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531EE8"/>
    <w:pPr>
      <w:keepNext/>
      <w:spacing w:before="480" w:after="240"/>
      <w:outlineLvl w:val="0"/>
    </w:pPr>
    <w:rPr>
      <w:b/>
      <w:bCs/>
      <w:caps/>
      <w:kern w:val="32"/>
      <w:szCs w:val="32"/>
      <w:lang w:val="fr-FR"/>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numPr>
        <w:numId w:val="5"/>
      </w:numPr>
      <w:tabs>
        <w:tab w:val="clear" w:pos="851"/>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0B45E1"/>
    <w:rPr>
      <w:rFonts w:ascii="Arial" w:eastAsia="SimSun" w:hAnsi="Arial" w:cs="Arial"/>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ial"/>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ial"/>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ial"/>
      <w:sz w:val="22"/>
      <w:lang w:eastAsia="zh-CN"/>
    </w:rPr>
  </w:style>
  <w:style w:type="paragraph" w:customStyle="1" w:styleId="indent1">
    <w:name w:val="indent_1"/>
    <w:basedOn w:val="Normal"/>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cs="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531EE8"/>
    <w:rPr>
      <w:rFonts w:ascii="Arial" w:eastAsia="SimSun" w:hAnsi="Arial" w:cs="Arial"/>
      <w:b/>
      <w:bCs/>
      <w:caps/>
      <w:kern w:val="32"/>
      <w:sz w:val="22"/>
      <w:szCs w:val="32"/>
      <w:lang w:val="fr-FR"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892ACC"/>
    <w:rPr>
      <w:b/>
      <w:bCs/>
    </w:rPr>
  </w:style>
  <w:style w:type="character" w:customStyle="1" w:styleId="HeaderChar">
    <w:name w:val="Header Char"/>
    <w:basedOn w:val="DefaultParagraphFont"/>
    <w:link w:val="Header"/>
    <w:uiPriority w:val="99"/>
    <w:rsid w:val="00735D59"/>
    <w:rPr>
      <w:rFonts w:ascii="Arial" w:eastAsia="SimSun" w:hAnsi="Arial" w:cs="Arial"/>
      <w:sz w:val="22"/>
      <w:lang w:eastAsia="zh-CN"/>
    </w:rPr>
  </w:style>
  <w:style w:type="character" w:styleId="EndnoteReference">
    <w:name w:val="endnote reference"/>
    <w:basedOn w:val="DefaultParagraphFont"/>
    <w:semiHidden/>
    <w:unhideWhenUsed/>
    <w:rsid w:val="00735D59"/>
    <w:rPr>
      <w:vertAlign w:val="superscript"/>
    </w:rPr>
  </w:style>
  <w:style w:type="paragraph" w:customStyle="1" w:styleId="Bulletedlistlevel2">
    <w:name w:val="Bulleted list level 2"/>
    <w:basedOn w:val="Normal"/>
    <w:rsid w:val="006A688F"/>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9518">
      <w:bodyDiv w:val="1"/>
      <w:marLeft w:val="0"/>
      <w:marRight w:val="0"/>
      <w:marTop w:val="0"/>
      <w:marBottom w:val="0"/>
      <w:divBdr>
        <w:top w:val="none" w:sz="0" w:space="0" w:color="auto"/>
        <w:left w:val="none" w:sz="0" w:space="0" w:color="auto"/>
        <w:bottom w:val="none" w:sz="0" w:space="0" w:color="auto"/>
        <w:right w:val="none" w:sz="0" w:space="0" w:color="auto"/>
      </w:divBdr>
    </w:div>
    <w:div w:id="1012217646">
      <w:bodyDiv w:val="1"/>
      <w:marLeft w:val="0"/>
      <w:marRight w:val="0"/>
      <w:marTop w:val="0"/>
      <w:marBottom w:val="0"/>
      <w:divBdr>
        <w:top w:val="none" w:sz="0" w:space="0" w:color="auto"/>
        <w:left w:val="none" w:sz="0" w:space="0" w:color="auto"/>
        <w:bottom w:val="none" w:sz="0" w:space="0" w:color="auto"/>
        <w:right w:val="none" w:sz="0" w:space="0" w:color="auto"/>
      </w:divBdr>
    </w:div>
    <w:div w:id="1145510941">
      <w:bodyDiv w:val="1"/>
      <w:marLeft w:val="0"/>
      <w:marRight w:val="0"/>
      <w:marTop w:val="0"/>
      <w:marBottom w:val="0"/>
      <w:divBdr>
        <w:top w:val="none" w:sz="0" w:space="0" w:color="auto"/>
        <w:left w:val="none" w:sz="0" w:space="0" w:color="auto"/>
        <w:bottom w:val="none" w:sz="0" w:space="0" w:color="auto"/>
        <w:right w:val="none" w:sz="0" w:space="0" w:color="auto"/>
      </w:divBdr>
    </w:div>
    <w:div w:id="1170293779">
      <w:bodyDiv w:val="1"/>
      <w:marLeft w:val="0"/>
      <w:marRight w:val="0"/>
      <w:marTop w:val="0"/>
      <w:marBottom w:val="0"/>
      <w:divBdr>
        <w:top w:val="none" w:sz="0" w:space="0" w:color="auto"/>
        <w:left w:val="none" w:sz="0" w:space="0" w:color="auto"/>
        <w:bottom w:val="none" w:sz="0" w:space="0" w:color="auto"/>
        <w:right w:val="none" w:sz="0" w:space="0" w:color="auto"/>
      </w:divBdr>
    </w:div>
    <w:div w:id="1569151313">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6B55-91E2-42CC-807E-427EF7A0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1408</Words>
  <Characters>7282</Characters>
  <Application>Microsoft Office Word</Application>
  <DocSecurity>0</DocSecurity>
  <Lines>195</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FOR OFFICIAL USE ONLY</cp:keywords>
  <dc:description/>
  <cp:lastModifiedBy>ST LEGER Nathalie</cp:lastModifiedBy>
  <cp:revision>9</cp:revision>
  <cp:lastPrinted>2020-10-13T16:11:00Z</cp:lastPrinted>
  <dcterms:created xsi:type="dcterms:W3CDTF">2020-10-12T17:13:00Z</dcterms:created>
  <dcterms:modified xsi:type="dcterms:W3CDTF">2020-10-13T16:11:00Z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8aad772a-bea9-423a-8127-a7bcbc717c91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