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E0904" w:rsidRPr="00820713" w14:paraId="71E4A556" w14:textId="77777777" w:rsidTr="002B79E5">
        <w:tc>
          <w:tcPr>
            <w:tcW w:w="4513" w:type="dxa"/>
            <w:tcBorders>
              <w:bottom w:val="single" w:sz="4" w:space="0" w:color="auto"/>
            </w:tcBorders>
            <w:tcMar>
              <w:bottom w:w="170" w:type="dxa"/>
            </w:tcMar>
          </w:tcPr>
          <w:p w14:paraId="049B4908" w14:textId="77777777" w:rsidR="009E0904" w:rsidRPr="00820713" w:rsidRDefault="009E0904" w:rsidP="00813F49">
            <w:pPr>
              <w:rPr>
                <w:lang w:val="es-ES"/>
              </w:rPr>
            </w:pPr>
          </w:p>
        </w:tc>
        <w:tc>
          <w:tcPr>
            <w:tcW w:w="4337" w:type="dxa"/>
            <w:tcBorders>
              <w:bottom w:val="single" w:sz="4" w:space="0" w:color="auto"/>
            </w:tcBorders>
            <w:tcMar>
              <w:left w:w="0" w:type="dxa"/>
              <w:right w:w="0" w:type="dxa"/>
            </w:tcMar>
          </w:tcPr>
          <w:p w14:paraId="544D7340" w14:textId="75334363" w:rsidR="009E0904" w:rsidRPr="00820713" w:rsidRDefault="006937D7" w:rsidP="00813F49">
            <w:pPr>
              <w:rPr>
                <w:lang w:val="es-ES"/>
              </w:rPr>
            </w:pPr>
            <w:r w:rsidRPr="00820713">
              <w:rPr>
                <w:noProof/>
                <w:lang w:eastAsia="en-US"/>
              </w:rPr>
              <w:drawing>
                <wp:inline distT="0" distB="0" distL="0" distR="0" wp14:anchorId="4AAD2560" wp14:editId="6F7FA9D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A4B32B2" w14:textId="5FE7443B" w:rsidR="009E0904" w:rsidRPr="00820713" w:rsidRDefault="006937D7" w:rsidP="006937D7">
            <w:pPr>
              <w:jc w:val="right"/>
              <w:rPr>
                <w:lang w:val="es-ES"/>
              </w:rPr>
            </w:pPr>
            <w:r w:rsidRPr="00820713">
              <w:rPr>
                <w:b/>
                <w:sz w:val="40"/>
                <w:szCs w:val="40"/>
                <w:lang w:val="es-ES"/>
              </w:rPr>
              <w:t>S</w:t>
            </w:r>
          </w:p>
        </w:tc>
      </w:tr>
      <w:tr w:rsidR="009E0904" w:rsidRPr="00820713" w14:paraId="1EF5BD87" w14:textId="77777777" w:rsidTr="007E035D">
        <w:trPr>
          <w:trHeight w:hRule="exact" w:val="369"/>
        </w:trPr>
        <w:tc>
          <w:tcPr>
            <w:tcW w:w="9356" w:type="dxa"/>
            <w:gridSpan w:val="3"/>
            <w:tcBorders>
              <w:top w:val="single" w:sz="4" w:space="0" w:color="auto"/>
            </w:tcBorders>
            <w:tcMar>
              <w:top w:w="170" w:type="dxa"/>
              <w:left w:w="0" w:type="dxa"/>
              <w:right w:w="0" w:type="dxa"/>
            </w:tcMar>
            <w:vAlign w:val="bottom"/>
          </w:tcPr>
          <w:p w14:paraId="6BA7C9CD" w14:textId="50E04692" w:rsidR="009E0904" w:rsidRPr="00820713" w:rsidRDefault="00877058" w:rsidP="00963E65">
            <w:pPr>
              <w:jc w:val="right"/>
              <w:rPr>
                <w:rFonts w:ascii="Arial Black" w:hAnsi="Arial Black"/>
                <w:caps/>
                <w:sz w:val="15"/>
                <w:lang w:val="es-ES"/>
              </w:rPr>
            </w:pPr>
            <w:bookmarkStart w:id="0" w:name="Code"/>
            <w:bookmarkEnd w:id="0"/>
            <w:r w:rsidRPr="00820713">
              <w:rPr>
                <w:rFonts w:ascii="Arial Black" w:hAnsi="Arial Black"/>
                <w:caps/>
                <w:sz w:val="15"/>
                <w:lang w:val="es-ES"/>
              </w:rPr>
              <w:t>H</w:t>
            </w:r>
            <w:r w:rsidR="009E0904" w:rsidRPr="00820713">
              <w:rPr>
                <w:rFonts w:ascii="Arial Black" w:hAnsi="Arial Black"/>
                <w:caps/>
                <w:sz w:val="15"/>
                <w:lang w:val="es-ES"/>
              </w:rPr>
              <w:t>/LD/WG/</w:t>
            </w:r>
            <w:r w:rsidR="00C73850" w:rsidRPr="00820713">
              <w:rPr>
                <w:rFonts w:ascii="Arial Black" w:hAnsi="Arial Black"/>
                <w:caps/>
                <w:sz w:val="15"/>
                <w:lang w:val="es-ES"/>
              </w:rPr>
              <w:t>9</w:t>
            </w:r>
            <w:r w:rsidR="00963E65" w:rsidRPr="00820713">
              <w:rPr>
                <w:rFonts w:ascii="Arial Black" w:hAnsi="Arial Black"/>
                <w:caps/>
                <w:sz w:val="15"/>
                <w:lang w:val="es-ES"/>
              </w:rPr>
              <w:t>/2</w:t>
            </w:r>
          </w:p>
        </w:tc>
      </w:tr>
      <w:tr w:rsidR="009E0904" w:rsidRPr="00820713" w14:paraId="1A583ECC" w14:textId="77777777" w:rsidTr="00813F49">
        <w:trPr>
          <w:trHeight w:hRule="exact" w:val="170"/>
        </w:trPr>
        <w:tc>
          <w:tcPr>
            <w:tcW w:w="9356" w:type="dxa"/>
            <w:gridSpan w:val="3"/>
            <w:noWrap/>
            <w:tcMar>
              <w:left w:w="0" w:type="dxa"/>
              <w:right w:w="0" w:type="dxa"/>
            </w:tcMar>
            <w:vAlign w:val="bottom"/>
          </w:tcPr>
          <w:p w14:paraId="5474A7DA" w14:textId="44368743" w:rsidR="009E0904" w:rsidRPr="00820713" w:rsidRDefault="009E0904" w:rsidP="006937D7">
            <w:pPr>
              <w:jc w:val="right"/>
              <w:rPr>
                <w:rFonts w:ascii="Arial Black" w:hAnsi="Arial Black"/>
                <w:caps/>
                <w:sz w:val="15"/>
                <w:lang w:val="es-ES"/>
              </w:rPr>
            </w:pPr>
            <w:r w:rsidRPr="00820713">
              <w:rPr>
                <w:rFonts w:ascii="Arial Black" w:hAnsi="Arial Black"/>
                <w:caps/>
                <w:sz w:val="15"/>
                <w:lang w:val="es-ES"/>
              </w:rPr>
              <w:t xml:space="preserve">ORIGINAL: </w:t>
            </w:r>
            <w:r w:rsidR="006937D7" w:rsidRPr="00820713">
              <w:rPr>
                <w:rFonts w:ascii="Arial Black" w:hAnsi="Arial Black"/>
                <w:caps/>
                <w:sz w:val="15"/>
                <w:lang w:val="es-ES"/>
              </w:rPr>
              <w:t>inglés</w:t>
            </w:r>
          </w:p>
        </w:tc>
      </w:tr>
      <w:tr w:rsidR="009E0904" w:rsidRPr="00820713" w14:paraId="006F6568" w14:textId="77777777" w:rsidTr="00813F49">
        <w:trPr>
          <w:trHeight w:hRule="exact" w:val="198"/>
        </w:trPr>
        <w:tc>
          <w:tcPr>
            <w:tcW w:w="9356" w:type="dxa"/>
            <w:gridSpan w:val="3"/>
            <w:tcMar>
              <w:left w:w="0" w:type="dxa"/>
              <w:right w:w="0" w:type="dxa"/>
            </w:tcMar>
            <w:vAlign w:val="bottom"/>
          </w:tcPr>
          <w:p w14:paraId="466DE177" w14:textId="5ABFE9DE" w:rsidR="009E0904" w:rsidRPr="00820713" w:rsidRDefault="006937D7" w:rsidP="006937D7">
            <w:pPr>
              <w:jc w:val="right"/>
              <w:rPr>
                <w:rFonts w:ascii="Arial Black" w:hAnsi="Arial Black"/>
                <w:caps/>
                <w:sz w:val="15"/>
                <w:lang w:val="es-ES"/>
              </w:rPr>
            </w:pPr>
            <w:r w:rsidRPr="00820713">
              <w:rPr>
                <w:rFonts w:ascii="Arial Black" w:hAnsi="Arial Black"/>
                <w:caps/>
                <w:sz w:val="15"/>
                <w:lang w:val="es-ES"/>
              </w:rPr>
              <w:t>fecha</w:t>
            </w:r>
            <w:r w:rsidR="009E0904" w:rsidRPr="00820713">
              <w:rPr>
                <w:rFonts w:ascii="Arial Black" w:hAnsi="Arial Black"/>
                <w:caps/>
                <w:sz w:val="15"/>
                <w:lang w:val="es-ES"/>
              </w:rPr>
              <w:t xml:space="preserve">: </w:t>
            </w:r>
            <w:r w:rsidRPr="00820713">
              <w:rPr>
                <w:rFonts w:ascii="Arial Black" w:hAnsi="Arial Black"/>
                <w:caps/>
                <w:sz w:val="15"/>
                <w:lang w:val="es-ES"/>
              </w:rPr>
              <w:t>21 de octubre de</w:t>
            </w:r>
            <w:r w:rsidR="00C73850" w:rsidRPr="00820713">
              <w:rPr>
                <w:rFonts w:ascii="Arial Black" w:hAnsi="Arial Black"/>
                <w:caps/>
                <w:sz w:val="15"/>
                <w:lang w:val="es-ES"/>
              </w:rPr>
              <w:t xml:space="preserve"> 2020</w:t>
            </w:r>
          </w:p>
        </w:tc>
      </w:tr>
    </w:tbl>
    <w:p w14:paraId="2CC55276" w14:textId="77777777" w:rsidR="0069684B" w:rsidRPr="00820713" w:rsidRDefault="000F08C4" w:rsidP="000F08C4">
      <w:pPr>
        <w:spacing w:before="1200"/>
        <w:rPr>
          <w:b/>
          <w:sz w:val="28"/>
          <w:szCs w:val="28"/>
          <w:lang w:val="es-ES"/>
        </w:rPr>
      </w:pPr>
      <w:r w:rsidRPr="00820713">
        <w:rPr>
          <w:b/>
          <w:sz w:val="28"/>
          <w:szCs w:val="28"/>
          <w:lang w:val="es-ES"/>
        </w:rPr>
        <w:t>Grupo de Trabajo sobre el Desarrollo Jurídico del Sistema de La Haya para el Registro Internacional de Dibujos y Modelos Industriales</w:t>
      </w:r>
    </w:p>
    <w:p w14:paraId="7D1DDB7F" w14:textId="77777777" w:rsidR="0069684B" w:rsidRPr="00820713" w:rsidRDefault="000F08C4" w:rsidP="000F08C4">
      <w:pPr>
        <w:spacing w:before="480"/>
        <w:rPr>
          <w:b/>
          <w:sz w:val="24"/>
          <w:szCs w:val="24"/>
          <w:lang w:val="es-ES"/>
        </w:rPr>
      </w:pPr>
      <w:r w:rsidRPr="00820713">
        <w:rPr>
          <w:b/>
          <w:sz w:val="24"/>
          <w:szCs w:val="24"/>
          <w:lang w:val="es-ES"/>
        </w:rPr>
        <w:t>Novena reunión</w:t>
      </w:r>
    </w:p>
    <w:p w14:paraId="60EA8EEC" w14:textId="77777777" w:rsidR="0069684B" w:rsidRPr="00820713" w:rsidRDefault="000F08C4" w:rsidP="000F08C4">
      <w:pPr>
        <w:rPr>
          <w:b/>
          <w:sz w:val="24"/>
          <w:szCs w:val="24"/>
          <w:lang w:val="es-ES"/>
        </w:rPr>
      </w:pPr>
      <w:r w:rsidRPr="00820713">
        <w:rPr>
          <w:b/>
          <w:sz w:val="24"/>
          <w:szCs w:val="24"/>
          <w:lang w:val="es-ES"/>
        </w:rPr>
        <w:t>Ginebra, 14 a 16 de diciembre de 2020</w:t>
      </w:r>
    </w:p>
    <w:p w14:paraId="5C28EB89" w14:textId="77777777" w:rsidR="0069684B" w:rsidRPr="00820713" w:rsidRDefault="000F08C4" w:rsidP="000F08C4">
      <w:pPr>
        <w:spacing w:before="720"/>
        <w:rPr>
          <w:caps/>
          <w:sz w:val="24"/>
          <w:lang w:val="es-ES"/>
        </w:rPr>
      </w:pPr>
      <w:bookmarkStart w:id="1" w:name="TitleOfDoc"/>
      <w:bookmarkStart w:id="2" w:name="_GoBack"/>
      <w:bookmarkEnd w:id="1"/>
      <w:r w:rsidRPr="00820713">
        <w:rPr>
          <w:caps/>
          <w:sz w:val="24"/>
          <w:lang w:val="es-ES"/>
        </w:rPr>
        <w:t>Propuesta de modificación de la Regla 17 del Reglamento Común</w:t>
      </w:r>
    </w:p>
    <w:p w14:paraId="512773E5" w14:textId="77777777" w:rsidR="0069684B" w:rsidRPr="00820713" w:rsidRDefault="000F08C4" w:rsidP="000F08C4">
      <w:pPr>
        <w:spacing w:before="240" w:after="480"/>
        <w:rPr>
          <w:i/>
          <w:lang w:val="es-ES"/>
        </w:rPr>
      </w:pPr>
      <w:bookmarkStart w:id="3" w:name="Prepared"/>
      <w:bookmarkEnd w:id="3"/>
      <w:bookmarkEnd w:id="2"/>
      <w:r w:rsidRPr="00820713">
        <w:rPr>
          <w:i/>
          <w:lang w:val="es-ES"/>
        </w:rPr>
        <w:t>Documento preparado por la Oficina Internacional</w:t>
      </w:r>
    </w:p>
    <w:p w14:paraId="220B1C37" w14:textId="77777777" w:rsidR="0069684B" w:rsidRPr="00820713" w:rsidRDefault="000F08C4" w:rsidP="000F08C4">
      <w:pPr>
        <w:pStyle w:val="Heading1"/>
        <w:spacing w:before="0"/>
        <w:rPr>
          <w:lang w:val="es-ES"/>
        </w:rPr>
      </w:pPr>
      <w:r w:rsidRPr="00820713">
        <w:rPr>
          <w:lang w:val="es-ES"/>
        </w:rPr>
        <w:t>I.</w:t>
      </w:r>
      <w:r w:rsidRPr="00820713">
        <w:rPr>
          <w:lang w:val="es-ES"/>
        </w:rPr>
        <w:tab/>
        <w:t>Antecedentes</w:t>
      </w:r>
    </w:p>
    <w:p w14:paraId="641DB28C" w14:textId="56D91E25" w:rsidR="0069684B" w:rsidRPr="00820713" w:rsidRDefault="00C90201" w:rsidP="00242D3E">
      <w:pPr>
        <w:pStyle w:val="ONUMFS"/>
        <w:rPr>
          <w:lang w:val="es-ES"/>
        </w:rPr>
      </w:pPr>
      <w:r w:rsidRPr="00820713">
        <w:rPr>
          <w:lang w:val="es-ES"/>
        </w:rPr>
        <w:t xml:space="preserve">En su octava reunión, celebrada del 30 de octubre al 1 de noviembre de 2019, el Grupo de Trabajo sobre el Desarrollo Jurídico del Sistema de La Haya para el Registro Internacional de Dibujos y Modelos Industriales (en adelante, </w:t>
      </w:r>
      <w:r w:rsidR="00147ACC" w:rsidRPr="00820713">
        <w:rPr>
          <w:lang w:val="es-ES"/>
        </w:rPr>
        <w:t>“</w:t>
      </w:r>
      <w:r w:rsidRPr="00820713">
        <w:rPr>
          <w:lang w:val="es-ES"/>
        </w:rPr>
        <w:t>Grupo de Trabajo</w:t>
      </w:r>
      <w:r w:rsidR="00147ACC" w:rsidRPr="00820713">
        <w:rPr>
          <w:lang w:val="es-ES"/>
        </w:rPr>
        <w:t>”</w:t>
      </w:r>
      <w:r w:rsidRPr="00820713">
        <w:rPr>
          <w:lang w:val="es-ES"/>
        </w:rPr>
        <w:t xml:space="preserve"> y </w:t>
      </w:r>
      <w:r w:rsidR="00147ACC" w:rsidRPr="00820713">
        <w:rPr>
          <w:lang w:val="es-ES"/>
        </w:rPr>
        <w:t>“</w:t>
      </w:r>
      <w:r w:rsidRPr="00820713">
        <w:rPr>
          <w:lang w:val="es-ES"/>
        </w:rPr>
        <w:t>Sistema de La Haya</w:t>
      </w:r>
      <w:r w:rsidR="00147ACC" w:rsidRPr="00820713">
        <w:rPr>
          <w:lang w:val="es-ES"/>
        </w:rPr>
        <w:t>”</w:t>
      </w:r>
      <w:r w:rsidRPr="00820713">
        <w:rPr>
          <w:lang w:val="es-ES"/>
        </w:rPr>
        <w:t xml:space="preserve">) examinó la propuesta de ampliar de 6 a 12 meses el plazo para la publicación previsto actualmente en la Regla 17.1)iii) (en adelante, </w:t>
      </w:r>
      <w:r w:rsidR="00147ACC" w:rsidRPr="00820713">
        <w:rPr>
          <w:lang w:val="es-ES"/>
        </w:rPr>
        <w:t>“</w:t>
      </w:r>
      <w:r w:rsidRPr="00820713">
        <w:rPr>
          <w:lang w:val="es-ES"/>
        </w:rPr>
        <w:t>publicación estándar</w:t>
      </w:r>
      <w:r w:rsidR="00147ACC" w:rsidRPr="00820713">
        <w:rPr>
          <w:lang w:val="es-ES"/>
        </w:rPr>
        <w:t>”</w:t>
      </w:r>
      <w:r w:rsidRPr="00820713">
        <w:rPr>
          <w:lang w:val="es-ES"/>
        </w:rPr>
        <w:t xml:space="preserve">) del Reglamento Común del Acta de 1999 y del Acta de 1960 del Arreglo de La Haya (en adelante, </w:t>
      </w:r>
      <w:r w:rsidR="00147ACC" w:rsidRPr="00820713">
        <w:rPr>
          <w:lang w:val="es-ES"/>
        </w:rPr>
        <w:t>“</w:t>
      </w:r>
      <w:r w:rsidRPr="00820713">
        <w:rPr>
          <w:lang w:val="es-ES"/>
        </w:rPr>
        <w:t>Reglamento Común</w:t>
      </w:r>
      <w:r w:rsidR="00147ACC" w:rsidRPr="00820713">
        <w:rPr>
          <w:lang w:val="es-ES"/>
        </w:rPr>
        <w:t>”</w:t>
      </w:r>
      <w:r w:rsidRPr="00820713">
        <w:rPr>
          <w:lang w:val="es-ES"/>
        </w:rPr>
        <w:t>).</w:t>
      </w:r>
      <w:r w:rsidRPr="00820713">
        <w:rPr>
          <w:rStyle w:val="FootnoteReference"/>
          <w:lang w:val="es-ES"/>
        </w:rPr>
        <w:footnoteReference w:id="2"/>
      </w:r>
    </w:p>
    <w:p w14:paraId="55140320" w14:textId="77777777" w:rsidR="0069684B" w:rsidRPr="00820713" w:rsidRDefault="00C90201" w:rsidP="00242D3E">
      <w:pPr>
        <w:pStyle w:val="ONUMFS"/>
        <w:rPr>
          <w:lang w:val="es-ES"/>
        </w:rPr>
      </w:pPr>
      <w:r w:rsidRPr="00820713">
        <w:rPr>
          <w:lang w:val="es-ES"/>
        </w:rPr>
        <w:t>Si bien la propuesta fue apoyada en gran medida por el Grupo de Trabajo, este pidió que la Oficina Internacional consultara a los grupos de usuarios al respecto y presentara un informe sobre sus conclusiones en la próxima reunión del Grupo de Trabajo.</w:t>
      </w:r>
      <w:r w:rsidRPr="00820713">
        <w:rPr>
          <w:rStyle w:val="FootnoteReference"/>
          <w:lang w:val="es-ES"/>
        </w:rPr>
        <w:footnoteReference w:id="3"/>
      </w:r>
    </w:p>
    <w:p w14:paraId="5F9F6B24" w14:textId="3A6D12B9" w:rsidR="0069684B" w:rsidRPr="00820713" w:rsidRDefault="00117494" w:rsidP="00242D3E">
      <w:pPr>
        <w:pStyle w:val="ONUMFS"/>
        <w:rPr>
          <w:lang w:val="es-ES"/>
        </w:rPr>
      </w:pPr>
      <w:r w:rsidRPr="00820713">
        <w:rPr>
          <w:lang w:val="es-ES"/>
        </w:rPr>
        <w:t xml:space="preserve">En consecuencia, la Oficina Internacional preparó un cuestionario titulado </w:t>
      </w:r>
      <w:r w:rsidR="00147ACC" w:rsidRPr="00820713">
        <w:rPr>
          <w:lang w:val="es-ES"/>
        </w:rPr>
        <w:t>“</w:t>
      </w:r>
      <w:r w:rsidRPr="00820713">
        <w:rPr>
          <w:lang w:val="es-ES"/>
        </w:rPr>
        <w:t>Período de publicación de un registro internacional en virtud del Sistema de La Haya para el Registro Internacional de Dibujos y Modelos Industriales</w:t>
      </w:r>
      <w:r w:rsidR="00147ACC" w:rsidRPr="00820713">
        <w:rPr>
          <w:lang w:val="es-ES"/>
        </w:rPr>
        <w:t>”</w:t>
      </w:r>
      <w:r w:rsidRPr="00820713">
        <w:rPr>
          <w:lang w:val="es-ES"/>
        </w:rPr>
        <w:t xml:space="preserve"> (en adelante, </w:t>
      </w:r>
      <w:r w:rsidR="00147ACC" w:rsidRPr="00820713">
        <w:rPr>
          <w:lang w:val="es-ES"/>
        </w:rPr>
        <w:t>“</w:t>
      </w:r>
      <w:r w:rsidRPr="00820713">
        <w:rPr>
          <w:lang w:val="es-ES"/>
        </w:rPr>
        <w:t>cuestionario</w:t>
      </w:r>
      <w:r w:rsidR="00147ACC" w:rsidRPr="00820713">
        <w:rPr>
          <w:lang w:val="es-ES"/>
        </w:rPr>
        <w:t>”</w:t>
      </w:r>
      <w:r w:rsidR="0081455B">
        <w:rPr>
          <w:lang w:val="es-ES"/>
        </w:rPr>
        <w:t>), que se envió el </w:t>
      </w:r>
      <w:r w:rsidRPr="00820713">
        <w:rPr>
          <w:lang w:val="es-ES"/>
        </w:rPr>
        <w:t>12 de junio de 2020, por medio de la Nota C. H 143, a las organizaciones no gubernamentales (ONG) que representan a los usuarios del Sistema de La Haya.</w:t>
      </w:r>
      <w:r w:rsidRPr="00820713">
        <w:rPr>
          <w:rStyle w:val="FootnoteReference"/>
          <w:szCs w:val="22"/>
          <w:lang w:val="es-ES"/>
        </w:rPr>
        <w:footnoteReference w:id="4"/>
      </w:r>
      <w:r w:rsidR="00BB4690" w:rsidRPr="00820713">
        <w:rPr>
          <w:lang w:val="es-ES"/>
        </w:rPr>
        <w:t xml:space="preserve"> </w:t>
      </w:r>
      <w:r w:rsidRPr="00820713">
        <w:rPr>
          <w:lang w:val="es-ES"/>
        </w:rPr>
        <w:t>La Oficina Internacional envió también una copia del cuestionario a las Oficinas de todas las Partes Contratantes mediante la Nota C. H 142, invitándolas a ponerse en contacto con sus grupos de usuarios locales y nacionales para que participaran en la consulta.</w:t>
      </w:r>
    </w:p>
    <w:p w14:paraId="44536DD5" w14:textId="77777777" w:rsidR="0069684B" w:rsidRPr="00820713" w:rsidRDefault="00F51C6F" w:rsidP="00242D3E">
      <w:pPr>
        <w:pStyle w:val="ONUMFS"/>
        <w:rPr>
          <w:lang w:val="es-ES"/>
        </w:rPr>
      </w:pPr>
      <w:r w:rsidRPr="00820713">
        <w:rPr>
          <w:lang w:val="es-ES"/>
        </w:rPr>
        <w:lastRenderedPageBreak/>
        <w:t>La Oficina Internacional recibió 17 respuestas al cuestionario de los grupos de usuarios</w:t>
      </w:r>
      <w:r w:rsidRPr="00820713">
        <w:rPr>
          <w:rStyle w:val="FootnoteReference"/>
          <w:lang w:val="es-ES"/>
        </w:rPr>
        <w:footnoteReference w:id="5"/>
      </w:r>
      <w:r w:rsidR="00DF7155" w:rsidRPr="00820713">
        <w:rPr>
          <w:lang w:val="es-ES"/>
        </w:rPr>
        <w:t>,</w:t>
      </w:r>
      <w:r w:rsidR="00BB4690" w:rsidRPr="00820713">
        <w:rPr>
          <w:lang w:val="es-ES"/>
        </w:rPr>
        <w:t xml:space="preserve"> </w:t>
      </w:r>
      <w:r w:rsidR="00DF7155" w:rsidRPr="00820713">
        <w:rPr>
          <w:lang w:val="es-ES"/>
        </w:rPr>
        <w:t>seis respuestas de las Oficinas de las Partes Contratantes</w:t>
      </w:r>
      <w:r w:rsidR="00DF7155" w:rsidRPr="00820713">
        <w:rPr>
          <w:rStyle w:val="FootnoteReference"/>
          <w:lang w:val="es-ES"/>
        </w:rPr>
        <w:footnoteReference w:id="6"/>
      </w:r>
      <w:r w:rsidR="00DF7155" w:rsidRPr="00820713">
        <w:rPr>
          <w:lang w:val="es-ES"/>
        </w:rPr>
        <w:t xml:space="preserve"> y una respuesta de una empresa privada</w:t>
      </w:r>
      <w:r w:rsidR="00DF7155" w:rsidRPr="00820713">
        <w:rPr>
          <w:rStyle w:val="FootnoteReference"/>
          <w:lang w:val="es-ES"/>
        </w:rPr>
        <w:footnoteReference w:id="7"/>
      </w:r>
      <w:r w:rsidR="00DF7155" w:rsidRPr="00820713">
        <w:rPr>
          <w:lang w:val="es-ES"/>
        </w:rPr>
        <w:t>, si bien el cuestionario estaba dirigido únicamente a los grupos de usuarios.</w:t>
      </w:r>
    </w:p>
    <w:p w14:paraId="2F0C38F8" w14:textId="77777777" w:rsidR="0069684B" w:rsidRPr="00820713" w:rsidRDefault="008B532A" w:rsidP="008B532A">
      <w:pPr>
        <w:pStyle w:val="ONUMFS"/>
        <w:rPr>
          <w:lang w:val="es-ES"/>
        </w:rPr>
      </w:pPr>
      <w:r w:rsidRPr="00820713">
        <w:rPr>
          <w:lang w:val="es-ES"/>
        </w:rPr>
        <w:t>El presente documento contiene un resumen de las respuestas recibidas de los grupos de usuarios.</w:t>
      </w:r>
      <w:r w:rsidR="00BB4690" w:rsidRPr="00820713">
        <w:rPr>
          <w:lang w:val="es-ES"/>
        </w:rPr>
        <w:t xml:space="preserve"> </w:t>
      </w:r>
      <w:r w:rsidRPr="00820713">
        <w:rPr>
          <w:lang w:val="es-ES"/>
        </w:rPr>
        <w:t>También contiene una propuesta revisada de modificación del Reglamento Común a partir del debate mantenido en la octava reunión del Grupo de Trabajo.</w:t>
      </w:r>
    </w:p>
    <w:p w14:paraId="24FA65CD" w14:textId="77777777" w:rsidR="0069684B" w:rsidRPr="00820713" w:rsidRDefault="005B6C54" w:rsidP="00376FFA">
      <w:pPr>
        <w:pStyle w:val="Heading1"/>
        <w:spacing w:before="480"/>
        <w:rPr>
          <w:lang w:val="es-ES"/>
        </w:rPr>
      </w:pPr>
      <w:r w:rsidRPr="00820713">
        <w:rPr>
          <w:lang w:val="es-ES"/>
        </w:rPr>
        <w:t>ii.</w:t>
      </w:r>
      <w:r w:rsidRPr="00820713">
        <w:rPr>
          <w:lang w:val="es-ES"/>
        </w:rPr>
        <w:tab/>
      </w:r>
      <w:r w:rsidR="00376FFA" w:rsidRPr="00820713">
        <w:rPr>
          <w:lang w:val="es-ES"/>
        </w:rPr>
        <w:t>RESPUESTAS AL CUESTIONARIO</w:t>
      </w:r>
    </w:p>
    <w:p w14:paraId="30EBA670" w14:textId="77777777" w:rsidR="0069684B" w:rsidRPr="00820713" w:rsidRDefault="00376FFA" w:rsidP="00376FFA">
      <w:pPr>
        <w:pStyle w:val="Heading2"/>
        <w:spacing w:before="0"/>
        <w:rPr>
          <w:lang w:val="es-ES"/>
        </w:rPr>
      </w:pPr>
      <w:r w:rsidRPr="00820713">
        <w:rPr>
          <w:lang w:val="es-ES"/>
        </w:rPr>
        <w:t>Prórroga del período de publicación estándar</w:t>
      </w:r>
    </w:p>
    <w:p w14:paraId="166A8964" w14:textId="03458B43" w:rsidR="0069684B" w:rsidRPr="00820713" w:rsidRDefault="00376FFA" w:rsidP="00376FFA">
      <w:pPr>
        <w:pStyle w:val="ONUMFS"/>
        <w:rPr>
          <w:snapToGrid w:val="0"/>
          <w:lang w:val="es-ES" w:eastAsia="ja-JP"/>
        </w:rPr>
      </w:pPr>
      <w:r w:rsidRPr="00820713">
        <w:rPr>
          <w:snapToGrid w:val="0"/>
          <w:lang w:val="es-ES" w:eastAsia="ja-JP"/>
        </w:rPr>
        <w:t xml:space="preserve">En el cuestionario se pidió a los grupos de usuarios que indicaran si su </w:t>
      </w:r>
      <w:r w:rsidR="00643DAC" w:rsidRPr="00820713">
        <w:rPr>
          <w:snapToGrid w:val="0"/>
          <w:lang w:val="es-ES" w:eastAsia="ja-JP"/>
        </w:rPr>
        <w:t xml:space="preserve">organización </w:t>
      </w:r>
      <w:r w:rsidRPr="00820713">
        <w:rPr>
          <w:snapToGrid w:val="0"/>
          <w:lang w:val="es-ES" w:eastAsia="ja-JP"/>
        </w:rPr>
        <w:t xml:space="preserve">estaría a favor de ampliar el período de publicación estándar de </w:t>
      </w:r>
      <w:r w:rsidR="005D1C83">
        <w:rPr>
          <w:snapToGrid w:val="0"/>
          <w:lang w:val="es-ES" w:eastAsia="ja-JP"/>
        </w:rPr>
        <w:t>seis</w:t>
      </w:r>
      <w:r w:rsidRPr="00820713">
        <w:rPr>
          <w:snapToGrid w:val="0"/>
          <w:lang w:val="es-ES" w:eastAsia="ja-JP"/>
        </w:rPr>
        <w:t xml:space="preserve"> a 12 meses.</w:t>
      </w:r>
    </w:p>
    <w:p w14:paraId="0AF5B25F" w14:textId="77777777" w:rsidR="0069684B" w:rsidRPr="00820713" w:rsidRDefault="00376FFA" w:rsidP="00D6141C">
      <w:pPr>
        <w:pStyle w:val="ONUMFS"/>
        <w:rPr>
          <w:snapToGrid w:val="0"/>
          <w:lang w:val="es-ES" w:eastAsia="ja-JP"/>
        </w:rPr>
      </w:pPr>
      <w:r w:rsidRPr="00820713">
        <w:rPr>
          <w:snapToGrid w:val="0"/>
          <w:lang w:val="es-ES" w:eastAsia="ja-JP"/>
        </w:rPr>
        <w:t>Quince grupos de usuarios respondieron a favor de la ampliación propuesta del período de publicación estándar de 6 a 12 meses.</w:t>
      </w:r>
      <w:r w:rsidR="00BB4690" w:rsidRPr="00820713">
        <w:rPr>
          <w:snapToGrid w:val="0"/>
          <w:lang w:val="es-ES" w:eastAsia="ja-JP"/>
        </w:rPr>
        <w:t xml:space="preserve"> </w:t>
      </w:r>
      <w:r w:rsidR="00D6141C" w:rsidRPr="00820713">
        <w:rPr>
          <w:snapToGrid w:val="0"/>
          <w:lang w:val="es-ES" w:eastAsia="ja-JP"/>
        </w:rPr>
        <w:t>Un grupo de usuarios no indicó ninguna preferencia</w:t>
      </w:r>
      <w:r w:rsidR="00D6141C" w:rsidRPr="00820713">
        <w:rPr>
          <w:rStyle w:val="FootnoteReference"/>
          <w:snapToGrid w:val="0"/>
          <w:lang w:val="es-ES" w:eastAsia="ja-JP"/>
        </w:rPr>
        <w:footnoteReference w:id="8"/>
      </w:r>
      <w:r w:rsidR="00D6141C" w:rsidRPr="00820713">
        <w:rPr>
          <w:snapToGrid w:val="0"/>
          <w:lang w:val="es-ES" w:eastAsia="ja-JP"/>
        </w:rPr>
        <w:t xml:space="preserve"> y otro grupo indicó que no estaba a favor, salvo que se adoptaran medidas complementarias (véase el párrafo 12).</w:t>
      </w:r>
    </w:p>
    <w:p w14:paraId="3EA62928" w14:textId="77777777" w:rsidR="0069684B" w:rsidRPr="00820713" w:rsidRDefault="00D6141C" w:rsidP="00D6141C">
      <w:pPr>
        <w:pStyle w:val="ONUMFS"/>
        <w:rPr>
          <w:snapToGrid w:val="0"/>
          <w:lang w:val="es-ES" w:eastAsia="ja-JP"/>
        </w:rPr>
      </w:pPr>
      <w:r w:rsidRPr="00820713">
        <w:rPr>
          <w:snapToGrid w:val="0"/>
          <w:lang w:val="es-ES" w:eastAsia="ja-JP"/>
        </w:rPr>
        <w:t>Muchos grupos de usuarios señalaron que la ampliación del período de publicación estándar a 12 meses daría más tiempo a los titulares para planificar y organizar sus estrategias de comercialización, al tiempo que mantener la confidencialidad de los diseños.</w:t>
      </w:r>
      <w:r w:rsidR="00BB4690" w:rsidRPr="00820713">
        <w:rPr>
          <w:snapToGrid w:val="0"/>
          <w:lang w:val="es-ES" w:eastAsia="ja-JP"/>
        </w:rPr>
        <w:t xml:space="preserve"> </w:t>
      </w:r>
      <w:r w:rsidRPr="00820713">
        <w:rPr>
          <w:snapToGrid w:val="0"/>
          <w:lang w:val="es-ES" w:eastAsia="ja-JP"/>
        </w:rPr>
        <w:t>La prórroga propuesta ofrecería a los usuarios más oportunidades de utilizar el Sistema de La Haya.</w:t>
      </w:r>
    </w:p>
    <w:p w14:paraId="2D495F04" w14:textId="62412EEB" w:rsidR="0069684B" w:rsidRPr="00820713" w:rsidRDefault="00D6141C" w:rsidP="00D6141C">
      <w:pPr>
        <w:pStyle w:val="ONUMFS"/>
        <w:rPr>
          <w:snapToGrid w:val="0"/>
          <w:lang w:val="es-ES" w:eastAsia="ja-JP"/>
        </w:rPr>
      </w:pPr>
      <w:r w:rsidRPr="00820713">
        <w:rPr>
          <w:snapToGrid w:val="0"/>
          <w:lang w:val="es-ES" w:eastAsia="ja-JP"/>
        </w:rPr>
        <w:t>Dos grupos de usuarios declararon que los usuarios que fabrican productos con un largo ciclo de vida</w:t>
      </w:r>
      <w:r w:rsidR="00643DAC" w:rsidRPr="00820713">
        <w:rPr>
          <w:snapToGrid w:val="0"/>
          <w:lang w:val="es-ES" w:eastAsia="ja-JP"/>
        </w:rPr>
        <w:t xml:space="preserve"> y</w:t>
      </w:r>
      <w:r w:rsidRPr="00820713">
        <w:rPr>
          <w:snapToGrid w:val="0"/>
          <w:lang w:val="es-ES" w:eastAsia="ja-JP"/>
        </w:rPr>
        <w:t xml:space="preserve"> que requieren un largo período de desarrollo del diseño acogerían con especial agrado esa modificación.</w:t>
      </w:r>
    </w:p>
    <w:p w14:paraId="0938A802" w14:textId="77777777" w:rsidR="0069684B" w:rsidRPr="00820713" w:rsidRDefault="000F414E" w:rsidP="000F414E">
      <w:pPr>
        <w:pStyle w:val="ONUMFS"/>
        <w:rPr>
          <w:snapToGrid w:val="0"/>
          <w:lang w:val="es-ES" w:eastAsia="ja-JP"/>
        </w:rPr>
      </w:pPr>
      <w:r w:rsidRPr="00820713">
        <w:rPr>
          <w:snapToGrid w:val="0"/>
          <w:lang w:val="es-ES" w:eastAsia="ja-JP"/>
        </w:rPr>
        <w:t>Un grupo de usuarios señaló que la prórroga del período de publicación podría brindar a los titulares más tiempo para considerar la posibilidad de publicar o retirar el diseño (mediante la renuncia al registro internacional).</w:t>
      </w:r>
      <w:r w:rsidR="00BB4690" w:rsidRPr="00820713">
        <w:rPr>
          <w:snapToGrid w:val="0"/>
          <w:lang w:val="es-ES" w:eastAsia="ja-JP"/>
        </w:rPr>
        <w:t xml:space="preserve"> </w:t>
      </w:r>
      <w:r w:rsidRPr="00820713">
        <w:rPr>
          <w:snapToGrid w:val="0"/>
          <w:lang w:val="es-ES" w:eastAsia="ja-JP"/>
        </w:rPr>
        <w:t>A este respecto, un grupo de usuarios añadió que la prórroga sería bien recibida en vista de que se aproxima el Brexit.</w:t>
      </w:r>
      <w:r w:rsidRPr="00820713">
        <w:rPr>
          <w:rStyle w:val="FootnoteReference"/>
          <w:snapToGrid w:val="0"/>
          <w:lang w:val="es-ES" w:eastAsia="ja-JP"/>
        </w:rPr>
        <w:footnoteReference w:id="9"/>
      </w:r>
    </w:p>
    <w:p w14:paraId="45C78AC5" w14:textId="77777777" w:rsidR="0069684B" w:rsidRPr="00820713" w:rsidRDefault="000F414E" w:rsidP="000F414E">
      <w:pPr>
        <w:pStyle w:val="ONUMFS"/>
        <w:rPr>
          <w:szCs w:val="22"/>
          <w:lang w:val="es-ES"/>
        </w:rPr>
      </w:pPr>
      <w:r w:rsidRPr="00820713">
        <w:rPr>
          <w:szCs w:val="22"/>
          <w:lang w:val="es-ES"/>
        </w:rPr>
        <w:t>Algunos grupos de usuarios observaron que varias jurisdicciones, entre ellas algunas Partes Contratantes que prohíben el aplazamiento de la publicación en el marco del Sistema de La Haya, cuentan con medidas para aplazar la publicación en el marco del procedimiento nacional.</w:t>
      </w:r>
      <w:r w:rsidR="00BB4690" w:rsidRPr="00820713">
        <w:rPr>
          <w:szCs w:val="22"/>
          <w:lang w:val="es-ES"/>
        </w:rPr>
        <w:t xml:space="preserve"> </w:t>
      </w:r>
      <w:r w:rsidRPr="00820713">
        <w:rPr>
          <w:szCs w:val="22"/>
          <w:lang w:val="es-ES"/>
        </w:rPr>
        <w:t>Por ello, un grupo de usuarios señaló que la prórroga del período de publicación estándar corregiría este desequilibrio.</w:t>
      </w:r>
    </w:p>
    <w:p w14:paraId="1B5EED3A" w14:textId="77777777" w:rsidR="005D1C83" w:rsidRDefault="005D1C83">
      <w:pPr>
        <w:rPr>
          <w:szCs w:val="22"/>
          <w:lang w:val="es-ES"/>
        </w:rPr>
      </w:pPr>
      <w:r>
        <w:rPr>
          <w:szCs w:val="22"/>
          <w:lang w:val="es-ES"/>
        </w:rPr>
        <w:br w:type="page"/>
      </w:r>
    </w:p>
    <w:p w14:paraId="54FCFAE2" w14:textId="10189D80" w:rsidR="0069684B" w:rsidRPr="00820713" w:rsidRDefault="00E062AB" w:rsidP="004746FC">
      <w:pPr>
        <w:pStyle w:val="ONUMFS"/>
        <w:rPr>
          <w:szCs w:val="22"/>
          <w:lang w:val="es-ES"/>
        </w:rPr>
      </w:pPr>
      <w:r w:rsidRPr="00820713">
        <w:rPr>
          <w:szCs w:val="22"/>
          <w:lang w:val="es-ES"/>
        </w:rPr>
        <w:lastRenderedPageBreak/>
        <w:t>El único grupo de usuarios que no era partidario de prorrogar el período de publicación estándar indicó que la prórroga propuesta podría causar demoras innecesarias en todo el proceso de registro en las Partes Contratantes designadas.</w:t>
      </w:r>
      <w:r w:rsidR="00BB4690" w:rsidRPr="00820713">
        <w:rPr>
          <w:szCs w:val="22"/>
          <w:lang w:val="es-ES"/>
        </w:rPr>
        <w:t xml:space="preserve"> </w:t>
      </w:r>
      <w:r w:rsidR="004746FC" w:rsidRPr="00820713">
        <w:rPr>
          <w:szCs w:val="22"/>
          <w:lang w:val="es-ES"/>
        </w:rPr>
        <w:t>Además, si la duración máxima de la protección se contabilizara a partir de la fecha de registro o concesión de la patente con arreglo a la legislación de la Parte Contratante designada, en realidad se acortaría la duración total de la protección en esa Parte Contratante.</w:t>
      </w:r>
      <w:r w:rsidR="00BB4690" w:rsidRPr="00820713">
        <w:rPr>
          <w:szCs w:val="22"/>
          <w:lang w:val="es-ES"/>
        </w:rPr>
        <w:t xml:space="preserve"> </w:t>
      </w:r>
      <w:r w:rsidR="004746FC" w:rsidRPr="00820713">
        <w:rPr>
          <w:szCs w:val="22"/>
          <w:lang w:val="es-ES"/>
        </w:rPr>
        <w:t>No obstante, ese grupo de usuarios indicó que la prórroga era aceptable si se establecían medidas complementarias que permitieran, en particular, la publicación anticipada antes del vencimiento del período de publicación estándar.</w:t>
      </w:r>
    </w:p>
    <w:p w14:paraId="6FBF31A2" w14:textId="77777777" w:rsidR="0069684B" w:rsidRPr="00820713" w:rsidRDefault="004746FC" w:rsidP="004746FC">
      <w:pPr>
        <w:pStyle w:val="Heading3"/>
        <w:spacing w:before="240"/>
        <w:rPr>
          <w:iCs/>
          <w:caps/>
          <w:szCs w:val="28"/>
          <w:u w:val="none"/>
          <w:lang w:val="es-ES"/>
        </w:rPr>
      </w:pPr>
      <w:r w:rsidRPr="00820713">
        <w:rPr>
          <w:iCs/>
          <w:caps/>
          <w:szCs w:val="28"/>
          <w:u w:val="none"/>
          <w:lang w:val="es-ES"/>
        </w:rPr>
        <w:t>Posibles inconvenientes en relación con la prórroga</w:t>
      </w:r>
    </w:p>
    <w:p w14:paraId="7282796F" w14:textId="77777777" w:rsidR="0069684B" w:rsidRPr="00820713" w:rsidRDefault="004746FC" w:rsidP="004746FC">
      <w:pPr>
        <w:pStyle w:val="ONUMFS"/>
        <w:rPr>
          <w:snapToGrid w:val="0"/>
          <w:lang w:val="es-ES" w:eastAsia="ja-JP"/>
        </w:rPr>
      </w:pPr>
      <w:r w:rsidRPr="00820713">
        <w:rPr>
          <w:snapToGrid w:val="0"/>
          <w:lang w:val="es-ES" w:eastAsia="ja-JP"/>
        </w:rPr>
        <w:t>En el cuestionario se pidió a los grupos de usuarios que indicaran si veían algún inconveniente en la ampliación del período de publicación estándar a 12 meses.</w:t>
      </w:r>
    </w:p>
    <w:p w14:paraId="5D974923" w14:textId="289C3984" w:rsidR="0069684B" w:rsidRPr="00820713" w:rsidRDefault="003F7C19" w:rsidP="003F7C19">
      <w:pPr>
        <w:pStyle w:val="ONUMFS"/>
        <w:rPr>
          <w:lang w:val="es-ES"/>
        </w:rPr>
      </w:pPr>
      <w:r w:rsidRPr="00820713">
        <w:rPr>
          <w:lang w:val="es-ES"/>
        </w:rPr>
        <w:t xml:space="preserve">Varios grupos de usuarios señalaron que, si no se ofrecía a los titulares la opción de solicitar </w:t>
      </w:r>
      <w:r w:rsidR="000353DF" w:rsidRPr="00820713">
        <w:rPr>
          <w:lang w:val="es-ES"/>
        </w:rPr>
        <w:t>l</w:t>
      </w:r>
      <w:r w:rsidRPr="00820713">
        <w:rPr>
          <w:lang w:val="es-ES"/>
        </w:rPr>
        <w:t>a publicación anticipada dentro del período de publicación estándar ampliado (</w:t>
      </w:r>
      <w:r w:rsidR="005D1C83" w:rsidRPr="00820713">
        <w:rPr>
          <w:lang w:val="es-ES"/>
        </w:rPr>
        <w:t>12</w:t>
      </w:r>
      <w:r w:rsidR="005D1C83">
        <w:rPr>
          <w:lang w:val="es-ES"/>
        </w:rPr>
        <w:t> </w:t>
      </w:r>
      <w:r w:rsidRPr="00820713">
        <w:rPr>
          <w:lang w:val="es-ES"/>
        </w:rPr>
        <w:t>meses), es posible que tuvieran dificultades para hacer valer sus derechos sobre los diseños durante ese período o que no pudieran reaccionar ante posibles cambios de circunstancias después de la presentación de la solicitud.</w:t>
      </w:r>
    </w:p>
    <w:p w14:paraId="44EC3702" w14:textId="77777777" w:rsidR="0069684B" w:rsidRPr="00820713" w:rsidRDefault="003F7C19" w:rsidP="003F7C19">
      <w:pPr>
        <w:pStyle w:val="ONUMFS"/>
        <w:rPr>
          <w:lang w:val="es-ES"/>
        </w:rPr>
      </w:pPr>
      <w:r w:rsidRPr="00820713">
        <w:rPr>
          <w:lang w:val="es-ES"/>
        </w:rPr>
        <w:t>Algunos grupos de usuarios señalaron que la prórroga del período de publicación estándar retrasaría el procedimiento de examen y registro en las Partes Contratantes designadas.</w:t>
      </w:r>
      <w:r w:rsidR="00BB4690" w:rsidRPr="00820713">
        <w:rPr>
          <w:lang w:val="es-ES"/>
        </w:rPr>
        <w:t xml:space="preserve"> </w:t>
      </w:r>
      <w:r w:rsidRPr="00820713">
        <w:rPr>
          <w:lang w:val="es-ES"/>
        </w:rPr>
        <w:t>No obstante, esos grupos de usuarios añadieron que la opción de solicitar una publicación anticipada podría atenuar esa preocupación.</w:t>
      </w:r>
    </w:p>
    <w:p w14:paraId="6B918103" w14:textId="08F5119C" w:rsidR="0069684B" w:rsidRPr="00820713" w:rsidRDefault="0014087D" w:rsidP="00161D87">
      <w:pPr>
        <w:pStyle w:val="ONUMFS"/>
        <w:rPr>
          <w:lang w:val="es-ES"/>
        </w:rPr>
      </w:pPr>
      <w:r w:rsidRPr="00820713">
        <w:rPr>
          <w:lang w:val="es-ES"/>
        </w:rPr>
        <w:t>En relación con los efectos sobre terceros, varios grupos de usuarios señalaron que la prórroga del período de publicación estándar aumentaría el riesgo de infracción en los diseños de los competidores durante el período de confidencialidad.</w:t>
      </w:r>
      <w:r w:rsidR="00BB4690" w:rsidRPr="00820713">
        <w:rPr>
          <w:lang w:val="es-ES"/>
        </w:rPr>
        <w:t xml:space="preserve"> </w:t>
      </w:r>
      <w:r w:rsidRPr="00820713">
        <w:rPr>
          <w:lang w:val="es-ES"/>
        </w:rPr>
        <w:t>No obstante, esos grupos de usuarios no consideraron que este aspecto fuera un obstáculo, habida cuenta del equilibrio entre el interés de los solicitantes y el de los competidores.</w:t>
      </w:r>
      <w:r w:rsidR="00BB4690" w:rsidRPr="00820713">
        <w:rPr>
          <w:lang w:val="es-ES"/>
        </w:rPr>
        <w:t xml:space="preserve"> </w:t>
      </w:r>
      <w:r w:rsidRPr="00820713">
        <w:rPr>
          <w:lang w:val="es-ES"/>
        </w:rPr>
        <w:t xml:space="preserve">Algunos de ellos señalaron que ese mismo riesgo ya existe en el actual período de publicación de 6 meses y que la ampliación </w:t>
      </w:r>
      <w:r w:rsidR="005D1C83" w:rsidRPr="00820713">
        <w:rPr>
          <w:lang w:val="es-ES"/>
        </w:rPr>
        <w:t>a</w:t>
      </w:r>
      <w:r w:rsidR="005D1C83">
        <w:rPr>
          <w:lang w:val="es-ES"/>
        </w:rPr>
        <w:t> </w:t>
      </w:r>
      <w:r w:rsidR="005D1C83" w:rsidRPr="00820713">
        <w:rPr>
          <w:lang w:val="es-ES"/>
        </w:rPr>
        <w:t>12</w:t>
      </w:r>
      <w:r w:rsidR="005D1C83">
        <w:rPr>
          <w:lang w:val="es-ES"/>
        </w:rPr>
        <w:t> </w:t>
      </w:r>
      <w:r w:rsidRPr="00820713">
        <w:rPr>
          <w:lang w:val="es-ES"/>
        </w:rPr>
        <w:t>meses no supondría una carga excesiva para terceras partes en comparación con los beneficios concedidos a los solicitantes.</w:t>
      </w:r>
      <w:r w:rsidR="00BB4690" w:rsidRPr="00820713">
        <w:rPr>
          <w:lang w:val="es-ES"/>
        </w:rPr>
        <w:t xml:space="preserve"> </w:t>
      </w:r>
      <w:r w:rsidR="00161D87" w:rsidRPr="00820713">
        <w:rPr>
          <w:lang w:val="es-ES"/>
        </w:rPr>
        <w:t>A ese respecto, dos grupos de usuarios se remitieron al sistema de patentes, en el que la publicación suele producirse a los 18 meses de la fecha de presentación de la solicitud o de la fecha de prioridad.</w:t>
      </w:r>
      <w:r w:rsidR="00BB4690" w:rsidRPr="00820713">
        <w:rPr>
          <w:lang w:val="es-ES"/>
        </w:rPr>
        <w:t xml:space="preserve"> </w:t>
      </w:r>
      <w:r w:rsidR="00161D87" w:rsidRPr="00820713">
        <w:rPr>
          <w:lang w:val="es-ES"/>
        </w:rPr>
        <w:t xml:space="preserve">Otros dos grupos de usuarios también señalaron la existencia del mismo riesgo, pero por más tiempo, por </w:t>
      </w:r>
      <w:proofErr w:type="gramStart"/>
      <w:r w:rsidR="00161D87" w:rsidRPr="00820713">
        <w:rPr>
          <w:lang w:val="es-ES"/>
        </w:rPr>
        <w:t>ejemplo</w:t>
      </w:r>
      <w:proofErr w:type="gramEnd"/>
      <w:r w:rsidR="00161D87" w:rsidRPr="00820713">
        <w:rPr>
          <w:lang w:val="es-ES"/>
        </w:rPr>
        <w:t xml:space="preserve"> en las Partes Contratantes que permiten el aplazamiento hasta 30 meses a partir de la fecha de presentación o de prioridad.</w:t>
      </w:r>
    </w:p>
    <w:p w14:paraId="0C7FD67B" w14:textId="4E49AA6A" w:rsidR="0069684B" w:rsidRPr="00820713" w:rsidRDefault="00161D87" w:rsidP="00161D87">
      <w:pPr>
        <w:pStyle w:val="ONUMFS"/>
        <w:rPr>
          <w:lang w:val="es-ES"/>
        </w:rPr>
      </w:pPr>
      <w:r w:rsidRPr="00820713">
        <w:rPr>
          <w:lang w:val="es-ES"/>
        </w:rPr>
        <w:t>Otro grupo de usuarios manifestó que la prórroga del período de publicación estándar podría aumentar el riesgo de que la Oficina de una Parte Contratante designada omitiera los registros internacionales anteriores no publicados en el examen de las solicitudes nacionales y otros registros internacionales.</w:t>
      </w:r>
      <w:r w:rsidR="00BB4690" w:rsidRPr="00820713">
        <w:rPr>
          <w:lang w:val="es-ES"/>
        </w:rPr>
        <w:t xml:space="preserve"> </w:t>
      </w:r>
      <w:r w:rsidRPr="00820713">
        <w:rPr>
          <w:lang w:val="es-ES"/>
        </w:rPr>
        <w:t xml:space="preserve">Por consiguiente, ese grupo de usuarios sugirió que sería beneficioso que las Oficinas recibieran </w:t>
      </w:r>
      <w:r w:rsidR="00147ACC" w:rsidRPr="00820713">
        <w:rPr>
          <w:lang w:val="es-ES"/>
        </w:rPr>
        <w:t>“</w:t>
      </w:r>
      <w:r w:rsidRPr="00820713">
        <w:rPr>
          <w:lang w:val="es-ES"/>
        </w:rPr>
        <w:t>copias confidenciales</w:t>
      </w:r>
      <w:r w:rsidR="00147ACC" w:rsidRPr="00820713">
        <w:rPr>
          <w:lang w:val="es-ES"/>
        </w:rPr>
        <w:t>”</w:t>
      </w:r>
      <w:r w:rsidRPr="00820713">
        <w:rPr>
          <w:lang w:val="es-ES"/>
        </w:rPr>
        <w:t xml:space="preserve"> de los registros internacionales previstos en el Artículo 10.5) del Acta de 1999.</w:t>
      </w:r>
    </w:p>
    <w:p w14:paraId="6E9D8425" w14:textId="77777777" w:rsidR="0069684B" w:rsidRPr="00820713" w:rsidRDefault="00161D87" w:rsidP="00161D87">
      <w:pPr>
        <w:pStyle w:val="ONUME"/>
        <w:numPr>
          <w:ilvl w:val="0"/>
          <w:numId w:val="0"/>
        </w:numPr>
        <w:spacing w:after="240"/>
        <w:rPr>
          <w:bCs/>
          <w:iCs/>
          <w:caps/>
          <w:szCs w:val="28"/>
          <w:lang w:val="es-ES"/>
        </w:rPr>
      </w:pPr>
      <w:r w:rsidRPr="00820713">
        <w:rPr>
          <w:bCs/>
          <w:iCs/>
          <w:caps/>
          <w:szCs w:val="28"/>
          <w:lang w:val="es-ES"/>
        </w:rPr>
        <w:t>PUBLICACIÓN ANTICIPADA DURANTE EL PERÍODO DE PUBLICACIÓN ESTÁNDAR</w:t>
      </w:r>
    </w:p>
    <w:p w14:paraId="4D6EBF1C" w14:textId="77777777" w:rsidR="0069684B" w:rsidRPr="00820713" w:rsidRDefault="0037678E" w:rsidP="0037678E">
      <w:pPr>
        <w:pStyle w:val="ONUMFS"/>
        <w:rPr>
          <w:snapToGrid w:val="0"/>
          <w:lang w:val="es-ES" w:eastAsia="ja-JP"/>
        </w:rPr>
      </w:pPr>
      <w:r w:rsidRPr="00820713">
        <w:rPr>
          <w:snapToGrid w:val="0"/>
          <w:lang w:val="es-ES" w:eastAsia="ja-JP"/>
        </w:rPr>
        <w:t>En el cuestionario se pidió a los grupos de usuarios que indicaran si estaban a favor de la introducción de la posibilidad de solicitar la publicación anticipada en cualquier momento antes del vencimiento del período de publicación estándar de 12 meses, en caso de que se aceptara la prórroga.</w:t>
      </w:r>
    </w:p>
    <w:p w14:paraId="098D25CA" w14:textId="77777777" w:rsidR="0069684B" w:rsidRPr="00820713" w:rsidRDefault="0037678E" w:rsidP="0037678E">
      <w:pPr>
        <w:pStyle w:val="ONUMFS"/>
        <w:rPr>
          <w:snapToGrid w:val="0"/>
          <w:lang w:val="es-ES" w:eastAsia="ja-JP"/>
        </w:rPr>
      </w:pPr>
      <w:r w:rsidRPr="00820713">
        <w:rPr>
          <w:snapToGrid w:val="0"/>
          <w:lang w:val="es-ES" w:eastAsia="ja-JP"/>
        </w:rPr>
        <w:lastRenderedPageBreak/>
        <w:t>Casi todos los grupos de usuarios (excepto uno</w:t>
      </w:r>
      <w:r w:rsidRPr="00820713">
        <w:rPr>
          <w:rStyle w:val="FootnoteReference"/>
          <w:snapToGrid w:val="0"/>
          <w:lang w:val="es-ES" w:eastAsia="ja-JP"/>
        </w:rPr>
        <w:footnoteReference w:id="10"/>
      </w:r>
      <w:r w:rsidRPr="00820713">
        <w:rPr>
          <w:snapToGrid w:val="0"/>
          <w:lang w:val="es-ES" w:eastAsia="ja-JP"/>
        </w:rPr>
        <w:t>) respondieron a favor de introducir la posibilidad de solicitar la publicación anticipada en cualquier momento antes del vencimiento del período de publicación estándar de 12 meses.</w:t>
      </w:r>
    </w:p>
    <w:p w14:paraId="2A104AD8" w14:textId="77777777" w:rsidR="0069684B" w:rsidRPr="00820713" w:rsidRDefault="0037678E" w:rsidP="00326287">
      <w:pPr>
        <w:pStyle w:val="ONUMFS"/>
        <w:rPr>
          <w:snapToGrid w:val="0"/>
          <w:lang w:val="es-ES" w:eastAsia="ja-JP"/>
        </w:rPr>
      </w:pPr>
      <w:r w:rsidRPr="00820713">
        <w:rPr>
          <w:snapToGrid w:val="0"/>
          <w:lang w:val="es-ES" w:eastAsia="ja-JP"/>
        </w:rPr>
        <w:t>Varios grupos de usuarios afirmaron que esa posibilidad haría más atractivo el Sistema de La Haya para los usuarios, ya que les daría más flexibilidad para publicar el diseño en el momento más ventajoso.</w:t>
      </w:r>
      <w:r w:rsidR="00BB4690" w:rsidRPr="00820713">
        <w:rPr>
          <w:snapToGrid w:val="0"/>
          <w:lang w:val="es-ES" w:eastAsia="ja-JP"/>
        </w:rPr>
        <w:t xml:space="preserve"> </w:t>
      </w:r>
      <w:r w:rsidR="00326287" w:rsidRPr="00820713">
        <w:rPr>
          <w:snapToGrid w:val="0"/>
          <w:lang w:val="es-ES" w:eastAsia="ja-JP"/>
        </w:rPr>
        <w:t>Algunos de ellos añadieron que esa opción podría beneficiar a los usuarios cuando un nuevo producto se comercializara antes de lo previsto.</w:t>
      </w:r>
    </w:p>
    <w:p w14:paraId="738742C6" w14:textId="77777777" w:rsidR="0069684B" w:rsidRPr="00820713" w:rsidRDefault="00326287" w:rsidP="00326287">
      <w:pPr>
        <w:pStyle w:val="ONUMFS"/>
        <w:rPr>
          <w:snapToGrid w:val="0"/>
          <w:lang w:val="es-ES" w:eastAsia="ja-JP"/>
        </w:rPr>
      </w:pPr>
      <w:r w:rsidRPr="00820713">
        <w:rPr>
          <w:snapToGrid w:val="0"/>
          <w:lang w:val="es-ES" w:eastAsia="ja-JP"/>
        </w:rPr>
        <w:t>Varios grupos de usuarios señalaron que esa posibilidad ayudaría a los titulares de los diseños a hacer valer sus derechos frente a terceros y a adoptar medidas contra los productos ilícitos, ya que en algunas jurisdicciones la publicación del diseño es un requisito necesario para su protección.</w:t>
      </w:r>
    </w:p>
    <w:p w14:paraId="1DDC19F7" w14:textId="77777777" w:rsidR="0069684B" w:rsidRPr="00820713" w:rsidRDefault="00326287" w:rsidP="007F7BB3">
      <w:pPr>
        <w:pStyle w:val="ONUMFS"/>
        <w:rPr>
          <w:snapToGrid w:val="0"/>
          <w:lang w:val="es-ES" w:eastAsia="ja-JP"/>
        </w:rPr>
      </w:pPr>
      <w:r w:rsidRPr="00820713">
        <w:rPr>
          <w:snapToGrid w:val="0"/>
          <w:lang w:val="es-ES" w:eastAsia="ja-JP"/>
        </w:rPr>
        <w:t>Un grupo de usuarios indicó que también debería permitirse una publicación anticipada por diseño en el caso de los registros que incluyen varios diseños.</w:t>
      </w:r>
      <w:r w:rsidR="00BB4690" w:rsidRPr="00820713">
        <w:rPr>
          <w:snapToGrid w:val="0"/>
          <w:lang w:val="es-ES" w:eastAsia="ja-JP"/>
        </w:rPr>
        <w:t xml:space="preserve"> </w:t>
      </w:r>
      <w:r w:rsidR="007F7BB3" w:rsidRPr="00820713">
        <w:rPr>
          <w:snapToGrid w:val="0"/>
          <w:lang w:val="es-ES" w:eastAsia="ja-JP"/>
        </w:rPr>
        <w:t>No obstante, cabe recordar que actualmente no se ofrece esta posibilidad en lo que respecta al aplazamiento.</w:t>
      </w:r>
    </w:p>
    <w:p w14:paraId="78055738" w14:textId="77777777" w:rsidR="0069684B" w:rsidRPr="00820713" w:rsidRDefault="007F7BB3" w:rsidP="007F7BB3">
      <w:pPr>
        <w:pStyle w:val="ONUMFS"/>
        <w:rPr>
          <w:snapToGrid w:val="0"/>
          <w:lang w:val="es-ES" w:eastAsia="ja-JP"/>
        </w:rPr>
      </w:pPr>
      <w:r w:rsidRPr="00820713">
        <w:rPr>
          <w:snapToGrid w:val="0"/>
          <w:lang w:val="es-ES" w:eastAsia="ja-JP"/>
        </w:rPr>
        <w:t>Un grupo de usuarios señaló que el costo de solicitar una publicación anticipada no debería ser demasiado elevado.</w:t>
      </w:r>
    </w:p>
    <w:p w14:paraId="3539CEE3" w14:textId="77777777" w:rsidR="0069684B" w:rsidRPr="00820713" w:rsidRDefault="007F7BB3" w:rsidP="007F7BB3">
      <w:pPr>
        <w:pStyle w:val="ONUME"/>
        <w:numPr>
          <w:ilvl w:val="0"/>
          <w:numId w:val="0"/>
        </w:numPr>
        <w:spacing w:before="240" w:after="240"/>
        <w:rPr>
          <w:bCs/>
          <w:iCs/>
          <w:caps/>
          <w:szCs w:val="28"/>
          <w:lang w:val="es-ES"/>
        </w:rPr>
      </w:pPr>
      <w:r w:rsidRPr="00820713">
        <w:rPr>
          <w:bCs/>
          <w:iCs/>
          <w:caps/>
          <w:szCs w:val="28"/>
          <w:lang w:val="es-ES"/>
        </w:rPr>
        <w:t>Otros asuntos planteados</w:t>
      </w:r>
    </w:p>
    <w:p w14:paraId="16670A39" w14:textId="77777777" w:rsidR="0069684B" w:rsidRPr="00820713" w:rsidRDefault="007F7BB3" w:rsidP="007F7BB3">
      <w:pPr>
        <w:pStyle w:val="ONUMFS"/>
        <w:rPr>
          <w:lang w:val="es-ES"/>
        </w:rPr>
      </w:pPr>
      <w:r w:rsidRPr="00820713">
        <w:rPr>
          <w:lang w:val="es-ES"/>
        </w:rPr>
        <w:t>En el cuestionario se pidió a los grupos de usuarios que indicaran si tenían alguna otra sugerencia o preocupación en relación con el momento de la publicación de los registros internacionales.</w:t>
      </w:r>
    </w:p>
    <w:p w14:paraId="38A9F85A" w14:textId="77777777" w:rsidR="0069684B" w:rsidRPr="00820713" w:rsidRDefault="007F7BB3" w:rsidP="007F7BB3">
      <w:pPr>
        <w:pStyle w:val="ONUMFS"/>
        <w:rPr>
          <w:lang w:val="es-ES"/>
        </w:rPr>
      </w:pPr>
      <w:r w:rsidRPr="00820713">
        <w:rPr>
          <w:lang w:val="es-ES"/>
        </w:rPr>
        <w:t>Varios grupos de usuarios manifestaron que sería beneficioso que el momento de la publicación pudiera ser determinado por el titular.</w:t>
      </w:r>
    </w:p>
    <w:p w14:paraId="5A30FB69" w14:textId="77777777" w:rsidR="0069684B" w:rsidRPr="00820713" w:rsidRDefault="007F7BB3" w:rsidP="007F7BB3">
      <w:pPr>
        <w:pStyle w:val="ONUMFS"/>
        <w:rPr>
          <w:lang w:val="es-ES"/>
        </w:rPr>
      </w:pPr>
      <w:r w:rsidRPr="00820713">
        <w:rPr>
          <w:lang w:val="es-ES"/>
        </w:rPr>
        <w:t>Dos grupos de usuarios afirmaron que sería beneficioso que el período de aplazamiento de 30 meses se aplicara en todas las Partes Contratantes.</w:t>
      </w:r>
    </w:p>
    <w:p w14:paraId="746DA713" w14:textId="77777777" w:rsidR="0069684B" w:rsidRPr="00820713" w:rsidRDefault="00DA6F27" w:rsidP="00DA6F27">
      <w:pPr>
        <w:pStyle w:val="ONUMFS"/>
        <w:rPr>
          <w:lang w:val="es-ES"/>
        </w:rPr>
      </w:pPr>
      <w:r w:rsidRPr="00820713">
        <w:rPr>
          <w:lang w:val="es-ES"/>
        </w:rPr>
        <w:t>Un grupo de usuarios indicó que un período de aplazamiento breve declarado por las Partes Contratantes podría desalentar a los usuarios que designaran a esas Partes Contratantes, lo que crearía gastos adicionales para la presentación de solicitudes nacionales por separado.</w:t>
      </w:r>
    </w:p>
    <w:p w14:paraId="3F49AA21" w14:textId="77777777" w:rsidR="0069684B" w:rsidRPr="00820713" w:rsidRDefault="00DA6F27" w:rsidP="00DA6F27">
      <w:pPr>
        <w:pStyle w:val="ONUMFS"/>
        <w:rPr>
          <w:lang w:val="es-ES"/>
        </w:rPr>
      </w:pPr>
      <w:r w:rsidRPr="00820713">
        <w:rPr>
          <w:lang w:val="es-ES"/>
        </w:rPr>
        <w:t>Un grupo de usuarios pidió que el período de publicación estándar se ampliara más allá de los 12 meses, ya que en su país los diseños pueden mantenerse en secreto hasta tres años después de su registro y hasta ahora no se han presentado problemas.</w:t>
      </w:r>
    </w:p>
    <w:p w14:paraId="7BB3CB7D" w14:textId="77777777" w:rsidR="0069684B" w:rsidRPr="00820713" w:rsidRDefault="00D73A3E" w:rsidP="00D73A3E">
      <w:pPr>
        <w:pStyle w:val="ONUMFS"/>
        <w:rPr>
          <w:lang w:val="es-ES"/>
        </w:rPr>
      </w:pPr>
      <w:r w:rsidRPr="00820713">
        <w:rPr>
          <w:lang w:val="es-ES"/>
        </w:rPr>
        <w:t>Un grupo de usuarios pidió que se permitiera a los usuarios cambiar el tipo de publicación después de la presentación, por ejemplo, de una publicación estándar a una publicación aplazada, así como ampliar el período de aplazamiento seleccionado en el momento de la presentación.</w:t>
      </w:r>
    </w:p>
    <w:p w14:paraId="7DF2454B" w14:textId="3CB14113" w:rsidR="0069684B" w:rsidRPr="00820713" w:rsidRDefault="00D73A3E" w:rsidP="00D73A3E">
      <w:pPr>
        <w:pStyle w:val="ONUMFS"/>
        <w:rPr>
          <w:lang w:val="es-ES"/>
        </w:rPr>
      </w:pPr>
      <w:r w:rsidRPr="00820713">
        <w:rPr>
          <w:lang w:val="es-ES"/>
        </w:rPr>
        <w:t xml:space="preserve">Un grupo de usuarios solicitó que se publicara en el sitio web de la OMPI la lista de las Partes Contratantes que han hecho una notificación en virtud del Artículo </w:t>
      </w:r>
      <w:proofErr w:type="gramStart"/>
      <w:r w:rsidRPr="00820713">
        <w:rPr>
          <w:lang w:val="es-ES"/>
        </w:rPr>
        <w:t>10.5)a</w:t>
      </w:r>
      <w:proofErr w:type="gramEnd"/>
      <w:r w:rsidRPr="00820713">
        <w:rPr>
          <w:lang w:val="es-ES"/>
        </w:rPr>
        <w:t xml:space="preserve">) del Acta </w:t>
      </w:r>
      <w:r w:rsidR="005D1C83" w:rsidRPr="00820713">
        <w:rPr>
          <w:lang w:val="es-ES"/>
        </w:rPr>
        <w:t>de</w:t>
      </w:r>
      <w:r w:rsidR="005D1C83">
        <w:rPr>
          <w:lang w:val="es-ES"/>
        </w:rPr>
        <w:t> </w:t>
      </w:r>
      <w:r w:rsidRPr="00820713">
        <w:rPr>
          <w:lang w:val="es-ES"/>
        </w:rPr>
        <w:t>1999.</w:t>
      </w:r>
    </w:p>
    <w:p w14:paraId="45999551" w14:textId="77777777" w:rsidR="0069684B" w:rsidRPr="00820713" w:rsidRDefault="00B276ED" w:rsidP="000353DF">
      <w:pPr>
        <w:pStyle w:val="ONUME"/>
        <w:keepNext/>
        <w:numPr>
          <w:ilvl w:val="0"/>
          <w:numId w:val="0"/>
        </w:numPr>
        <w:spacing w:before="240" w:after="240"/>
        <w:rPr>
          <w:bCs/>
          <w:iCs/>
          <w:caps/>
          <w:szCs w:val="28"/>
          <w:lang w:val="es-ES"/>
        </w:rPr>
      </w:pPr>
      <w:r w:rsidRPr="00820713">
        <w:rPr>
          <w:bCs/>
          <w:iCs/>
          <w:caps/>
          <w:szCs w:val="28"/>
          <w:lang w:val="es-ES"/>
        </w:rPr>
        <w:lastRenderedPageBreak/>
        <w:t>Respuestas de las oficinas y las empresas</w:t>
      </w:r>
    </w:p>
    <w:p w14:paraId="5CB483D9" w14:textId="77777777" w:rsidR="0069684B" w:rsidRPr="00820713" w:rsidRDefault="00B276ED" w:rsidP="00B276ED">
      <w:pPr>
        <w:pStyle w:val="ONUMFS"/>
        <w:rPr>
          <w:lang w:val="es-ES"/>
        </w:rPr>
      </w:pPr>
      <w:r w:rsidRPr="00820713">
        <w:rPr>
          <w:lang w:val="es-ES"/>
        </w:rPr>
        <w:t>Seis Oficinas y una empresa también presentaron observaciones en relación con el cuestionario.</w:t>
      </w:r>
      <w:r w:rsidR="00BB4690" w:rsidRPr="00820713">
        <w:rPr>
          <w:lang w:val="es-ES"/>
        </w:rPr>
        <w:t xml:space="preserve"> </w:t>
      </w:r>
      <w:r w:rsidRPr="00820713">
        <w:rPr>
          <w:lang w:val="es-ES"/>
        </w:rPr>
        <w:t>Puesto que el cuestionario estaba dirigido a los grupos de usuarios, no se han incluido esas observaciones en el presente documento.</w:t>
      </w:r>
    </w:p>
    <w:p w14:paraId="0357EA07" w14:textId="77777777" w:rsidR="0069684B" w:rsidRPr="00820713" w:rsidRDefault="00B276ED" w:rsidP="00B276ED">
      <w:pPr>
        <w:pStyle w:val="Heading1"/>
        <w:numPr>
          <w:ilvl w:val="0"/>
          <w:numId w:val="4"/>
        </w:numPr>
        <w:spacing w:before="480"/>
        <w:rPr>
          <w:lang w:val="es-ES"/>
        </w:rPr>
      </w:pPr>
      <w:r w:rsidRPr="00820713">
        <w:rPr>
          <w:lang w:val="es-ES"/>
        </w:rPr>
        <w:t>Consideraciones</w:t>
      </w:r>
    </w:p>
    <w:p w14:paraId="19BF0FB0" w14:textId="77777777" w:rsidR="0069684B" w:rsidRPr="00820713" w:rsidRDefault="00B276ED" w:rsidP="00B276ED">
      <w:pPr>
        <w:pStyle w:val="Heading2"/>
        <w:rPr>
          <w:lang w:val="es-ES"/>
        </w:rPr>
      </w:pPr>
      <w:r w:rsidRPr="00820713">
        <w:rPr>
          <w:lang w:val="es-ES"/>
        </w:rPr>
        <w:t>CONCLUSIÓN SOBRE LAS RESPUESTAS</w:t>
      </w:r>
    </w:p>
    <w:p w14:paraId="3A98494B" w14:textId="452D57D2" w:rsidR="0069684B" w:rsidRPr="00820713" w:rsidRDefault="00B276ED" w:rsidP="00EA0A9F">
      <w:pPr>
        <w:pStyle w:val="ONUMFS"/>
        <w:rPr>
          <w:lang w:val="es-ES"/>
        </w:rPr>
      </w:pPr>
      <w:r w:rsidRPr="00820713">
        <w:rPr>
          <w:lang w:val="es-ES"/>
        </w:rPr>
        <w:t xml:space="preserve">Los grupos de usuarios que respondieron al cuestionario se mostraron casi unánimemente a favor tanto de ampliar el período de publicación estándar de </w:t>
      </w:r>
      <w:r w:rsidR="005D1C83">
        <w:rPr>
          <w:lang w:val="es-ES"/>
        </w:rPr>
        <w:t>seis</w:t>
      </w:r>
      <w:r w:rsidR="005D1C83" w:rsidRPr="00820713">
        <w:rPr>
          <w:lang w:val="es-ES"/>
        </w:rPr>
        <w:t xml:space="preserve"> </w:t>
      </w:r>
      <w:r w:rsidRPr="00820713">
        <w:rPr>
          <w:lang w:val="es-ES"/>
        </w:rPr>
        <w:t xml:space="preserve">a </w:t>
      </w:r>
      <w:r w:rsidR="005D1C83" w:rsidRPr="00820713">
        <w:rPr>
          <w:lang w:val="es-ES"/>
        </w:rPr>
        <w:t>12</w:t>
      </w:r>
      <w:r w:rsidR="005D1C83">
        <w:rPr>
          <w:lang w:val="es-ES"/>
        </w:rPr>
        <w:t> </w:t>
      </w:r>
      <w:r w:rsidRPr="00820713">
        <w:rPr>
          <w:lang w:val="es-ES"/>
        </w:rPr>
        <w:t>meses como de introducir la posibilidad de solicitar una publicación anticipada en cualquier momento antes del vencimiento del período de publicación estándar de 12 meses.</w:t>
      </w:r>
      <w:r w:rsidR="00BB4690" w:rsidRPr="00820713">
        <w:rPr>
          <w:lang w:val="es-ES"/>
        </w:rPr>
        <w:t xml:space="preserve"> </w:t>
      </w:r>
      <w:r w:rsidRPr="00820713">
        <w:rPr>
          <w:lang w:val="es-ES"/>
        </w:rPr>
        <w:t>Un grupo de usuarios no indicó su preferencia.</w:t>
      </w:r>
      <w:r w:rsidR="00BB4690" w:rsidRPr="00820713">
        <w:rPr>
          <w:lang w:val="es-ES"/>
        </w:rPr>
        <w:t xml:space="preserve"> </w:t>
      </w:r>
      <w:r w:rsidR="00EA0A9F" w:rsidRPr="00820713">
        <w:rPr>
          <w:lang w:val="es-ES"/>
        </w:rPr>
        <w:t>El único grupo de usuarios que no se mostró partidario de prorrogar el período de publicación estándar señaló, sin embargo, que la prórroga sería aceptable si se introdujera al mismo tiempo la posibilidad de solicitar la publicación anticipada previa al vencimiento del período de publicación estándar.</w:t>
      </w:r>
    </w:p>
    <w:p w14:paraId="6C187084" w14:textId="77777777" w:rsidR="0069684B" w:rsidRPr="00820713" w:rsidRDefault="00EA0A9F" w:rsidP="00EA0A9F">
      <w:pPr>
        <w:pStyle w:val="ONUMFS"/>
        <w:rPr>
          <w:lang w:val="es-ES"/>
        </w:rPr>
      </w:pPr>
      <w:r w:rsidRPr="00820713">
        <w:rPr>
          <w:lang w:val="es-ES"/>
        </w:rPr>
        <w:t>Un grupo de usuarios señaló que el costo de solicitar una publicación anticipada no debería ser demasiado elevado.</w:t>
      </w:r>
      <w:r w:rsidR="00BB4690" w:rsidRPr="00820713">
        <w:rPr>
          <w:lang w:val="es-ES"/>
        </w:rPr>
        <w:t xml:space="preserve"> </w:t>
      </w:r>
      <w:r w:rsidRPr="00820713">
        <w:rPr>
          <w:lang w:val="es-ES"/>
        </w:rPr>
        <w:t>A este respecto, cabe señalar que actualmente no hay que pagar ninguna tasa por solicitar una publicación anticipada.</w:t>
      </w:r>
    </w:p>
    <w:p w14:paraId="4BB9BD3A" w14:textId="77777777" w:rsidR="0069684B" w:rsidRPr="00820713" w:rsidRDefault="00EA0A9F" w:rsidP="00EA0A9F">
      <w:pPr>
        <w:pStyle w:val="Heading2"/>
        <w:rPr>
          <w:lang w:val="es-ES"/>
        </w:rPr>
      </w:pPr>
      <w:r w:rsidRPr="00820713">
        <w:rPr>
          <w:lang w:val="es-ES"/>
        </w:rPr>
        <w:t>PUBLICACIÓN INMEDIATA Y ANTICIPADA</w:t>
      </w:r>
    </w:p>
    <w:p w14:paraId="402788E3" w14:textId="77777777" w:rsidR="0069684B" w:rsidRPr="00820713" w:rsidRDefault="00EA0A9F" w:rsidP="00EA0A9F">
      <w:pPr>
        <w:pStyle w:val="ONUMFS"/>
        <w:rPr>
          <w:snapToGrid w:val="0"/>
          <w:lang w:val="es-ES" w:eastAsia="ja-JP"/>
        </w:rPr>
      </w:pPr>
      <w:r w:rsidRPr="00820713">
        <w:rPr>
          <w:snapToGrid w:val="0"/>
          <w:lang w:val="es-ES" w:eastAsia="ja-JP"/>
        </w:rPr>
        <w:t>Tras las deliberaciones del Grupo de Trabajo mantenidas en su octava reunión, las respuestas al cuestionario indican claramente que los usuarios del Sistema de La Haya agradecerían una mayor flexibilidad y, en particular, la posibilidad de solicitar una publicación anticipada en cualquier momento.</w:t>
      </w:r>
    </w:p>
    <w:p w14:paraId="78455BD4" w14:textId="77777777" w:rsidR="0069684B" w:rsidRPr="00820713" w:rsidRDefault="0055769C" w:rsidP="0055769C">
      <w:pPr>
        <w:pStyle w:val="ONUMFS"/>
        <w:rPr>
          <w:snapToGrid w:val="0"/>
          <w:lang w:val="es-ES" w:eastAsia="ja-JP"/>
        </w:rPr>
      </w:pPr>
      <w:r w:rsidRPr="00820713">
        <w:rPr>
          <w:snapToGrid w:val="0"/>
          <w:lang w:val="es-ES" w:eastAsia="ja-JP"/>
        </w:rPr>
        <w:t>En la octava reunión, la Secretaría explicó que en la actual plataforma informática ya se había eliminado una restricción técnica para efectuar una publicación anticipada durante el período de publicación estándar que existía antes de la migración del sistema.</w:t>
      </w:r>
      <w:r w:rsidRPr="00820713">
        <w:rPr>
          <w:rStyle w:val="FootnoteReference"/>
          <w:snapToGrid w:val="0"/>
          <w:lang w:val="es-ES" w:eastAsia="ja-JP"/>
        </w:rPr>
        <w:footnoteReference w:id="11"/>
      </w:r>
      <w:r w:rsidR="00BB4690" w:rsidRPr="00820713">
        <w:rPr>
          <w:snapToGrid w:val="0"/>
          <w:lang w:val="es-ES" w:eastAsia="ja-JP"/>
        </w:rPr>
        <w:t xml:space="preserve"> </w:t>
      </w:r>
      <w:r w:rsidRPr="00820713">
        <w:rPr>
          <w:snapToGrid w:val="0"/>
          <w:lang w:val="es-ES" w:eastAsia="ja-JP"/>
        </w:rPr>
        <w:t>La Secretaría también aclaró que la Oficina Internacional podía aceptar en cualquier momento una petición de publicación inmediata de conformidad con el apartado i) de la Regla 17.1) en su redacción actual, si el solicitante no hubiera seleccionado esa opción en el momento de la presentación.</w:t>
      </w:r>
      <w:r w:rsidRPr="00820713">
        <w:rPr>
          <w:rStyle w:val="FootnoteReference"/>
          <w:snapToGrid w:val="0"/>
          <w:lang w:val="es-ES" w:eastAsia="ja-JP"/>
        </w:rPr>
        <w:footnoteReference w:id="12"/>
      </w:r>
    </w:p>
    <w:p w14:paraId="288D6AD5" w14:textId="2BB5250A" w:rsidR="0069684B" w:rsidRPr="00820713" w:rsidRDefault="00A46F02" w:rsidP="00412E96">
      <w:pPr>
        <w:pStyle w:val="ONUMFS"/>
        <w:rPr>
          <w:snapToGrid w:val="0"/>
          <w:color w:val="000000"/>
          <w:lang w:val="es-ES" w:eastAsia="ja-JP"/>
        </w:rPr>
      </w:pPr>
      <w:r w:rsidRPr="00820713">
        <w:rPr>
          <w:lang w:val="es-ES" w:eastAsia="en-US"/>
        </w:rPr>
        <w:t xml:space="preserve">Además, el Artículo 11.4)a) del Acta de 1999 y el Artículo 6.4)b) del Acta de 1960 prevén la posibilidad de que el titular solicite una publicación anticipada en cualquier momento durante el período de </w:t>
      </w:r>
      <w:r w:rsidR="00147ACC" w:rsidRPr="00820713">
        <w:rPr>
          <w:lang w:val="es-ES" w:eastAsia="en-US"/>
        </w:rPr>
        <w:t>“</w:t>
      </w:r>
      <w:r w:rsidRPr="00820713">
        <w:rPr>
          <w:lang w:val="es-ES" w:eastAsia="en-US"/>
        </w:rPr>
        <w:t>aplazamiento</w:t>
      </w:r>
      <w:r w:rsidR="00147ACC" w:rsidRPr="00820713">
        <w:rPr>
          <w:lang w:val="es-ES" w:eastAsia="en-US"/>
        </w:rPr>
        <w:t>”</w:t>
      </w:r>
      <w:r w:rsidRPr="00820713">
        <w:rPr>
          <w:lang w:val="es-ES" w:eastAsia="en-US"/>
        </w:rPr>
        <w:t>.</w:t>
      </w:r>
      <w:r w:rsidRPr="00820713">
        <w:rPr>
          <w:rStyle w:val="FootnoteReference"/>
          <w:lang w:val="es-ES" w:eastAsia="en-US"/>
        </w:rPr>
        <w:footnoteReference w:id="13"/>
      </w:r>
      <w:r w:rsidR="00BB4690" w:rsidRPr="00820713">
        <w:rPr>
          <w:lang w:val="es-ES" w:eastAsia="en-US"/>
        </w:rPr>
        <w:t xml:space="preserve"> </w:t>
      </w:r>
      <w:r w:rsidRPr="00820713">
        <w:rPr>
          <w:lang w:val="es-ES" w:eastAsia="en-US"/>
        </w:rPr>
        <w:t>Aunque actualmente ya es posible efectuar una publicación anticipada, sería preferible hacerlo explícito en la Regla 17.1).</w:t>
      </w:r>
      <w:r w:rsidR="00BB4690" w:rsidRPr="00820713">
        <w:rPr>
          <w:lang w:val="es-ES" w:eastAsia="en-US"/>
        </w:rPr>
        <w:t xml:space="preserve"> </w:t>
      </w:r>
      <w:r w:rsidR="00412E96" w:rsidRPr="00820713">
        <w:rPr>
          <w:lang w:val="es-ES" w:eastAsia="en-US"/>
        </w:rPr>
        <w:t>A este respecto, se recuerda que, en su octava reunión, el Grupo de Trabajo examinó un nuevo apartado de la Regla 17.1) para aclarar que se puede solicitar una publicación anticipada en cualquier momento después del registro internacional.</w:t>
      </w:r>
      <w:r w:rsidR="00412E96" w:rsidRPr="00820713">
        <w:rPr>
          <w:rStyle w:val="FootnoteReference"/>
          <w:snapToGrid w:val="0"/>
          <w:color w:val="000000"/>
          <w:lang w:val="es-ES" w:eastAsia="ja-JP"/>
        </w:rPr>
        <w:footnoteReference w:id="14"/>
      </w:r>
    </w:p>
    <w:p w14:paraId="70F88282" w14:textId="77777777" w:rsidR="0069684B" w:rsidRPr="00820713" w:rsidRDefault="00412E96" w:rsidP="00412E96">
      <w:pPr>
        <w:pStyle w:val="Heading2"/>
        <w:rPr>
          <w:lang w:val="es-ES"/>
        </w:rPr>
      </w:pPr>
      <w:r w:rsidRPr="00820713">
        <w:rPr>
          <w:lang w:val="es-ES"/>
        </w:rPr>
        <w:t>INFORMACIÓN SOBRE LOS ANTECEDENTES</w:t>
      </w:r>
    </w:p>
    <w:p w14:paraId="702D3B53" w14:textId="77777777" w:rsidR="0069684B" w:rsidRPr="00820713" w:rsidRDefault="00412E96" w:rsidP="00412E96">
      <w:pPr>
        <w:pStyle w:val="ONUMFS"/>
        <w:rPr>
          <w:snapToGrid w:val="0"/>
          <w:lang w:val="es-ES" w:eastAsia="ja-JP"/>
        </w:rPr>
      </w:pPr>
      <w:r w:rsidRPr="00820713">
        <w:rPr>
          <w:snapToGrid w:val="0"/>
          <w:lang w:val="es-ES" w:eastAsia="ja-JP"/>
        </w:rPr>
        <w:t>Los antecedentes de la presente cuestión, incluidas las consecuencias prácticas de la prórroga del período de publicación estándar, figuran en el documento H/LD/WG/8/7.</w:t>
      </w:r>
    </w:p>
    <w:p w14:paraId="35BA2703" w14:textId="77777777" w:rsidR="0069684B" w:rsidRPr="00820713" w:rsidRDefault="00412E96" w:rsidP="00412E96">
      <w:pPr>
        <w:pStyle w:val="Heading1"/>
        <w:numPr>
          <w:ilvl w:val="0"/>
          <w:numId w:val="4"/>
        </w:numPr>
        <w:spacing w:before="480"/>
        <w:rPr>
          <w:lang w:val="es-ES"/>
        </w:rPr>
      </w:pPr>
      <w:r w:rsidRPr="00820713">
        <w:rPr>
          <w:lang w:val="es-ES"/>
        </w:rPr>
        <w:lastRenderedPageBreak/>
        <w:t>PROPUESTA</w:t>
      </w:r>
    </w:p>
    <w:p w14:paraId="1ECADC70" w14:textId="77777777" w:rsidR="0069684B" w:rsidRPr="00820713" w:rsidRDefault="00412E96" w:rsidP="00412E96">
      <w:pPr>
        <w:pStyle w:val="Heading2"/>
        <w:rPr>
          <w:lang w:val="es-ES"/>
        </w:rPr>
      </w:pPr>
      <w:r w:rsidRPr="00820713">
        <w:rPr>
          <w:lang w:val="es-ES"/>
        </w:rPr>
        <w:t>MODIFICACIÓN DE LA REGLA 17</w:t>
      </w:r>
    </w:p>
    <w:p w14:paraId="6D25AAEF" w14:textId="77777777" w:rsidR="0069684B" w:rsidRPr="00820713" w:rsidRDefault="00412E96" w:rsidP="00412E96">
      <w:pPr>
        <w:pStyle w:val="ONUMFS"/>
        <w:rPr>
          <w:snapToGrid w:val="0"/>
          <w:lang w:val="es-ES" w:eastAsia="ja-JP"/>
        </w:rPr>
      </w:pPr>
      <w:r w:rsidRPr="00820713">
        <w:rPr>
          <w:snapToGrid w:val="0"/>
          <w:lang w:val="es-ES" w:eastAsia="ja-JP"/>
        </w:rPr>
        <w:t>Se propone modificar el apartado iii) de la Regla 17.1) a fin de ampliar el período de publicación estándar de 6 a 12 meses, tal como se reproduce en el Anexo II.</w:t>
      </w:r>
    </w:p>
    <w:p w14:paraId="0E6C0D54" w14:textId="77777777" w:rsidR="0069684B" w:rsidRPr="00820713" w:rsidRDefault="00412E96" w:rsidP="00412E96">
      <w:pPr>
        <w:pStyle w:val="ONUMFS"/>
        <w:rPr>
          <w:lang w:val="es-ES"/>
        </w:rPr>
      </w:pPr>
      <w:r w:rsidRPr="00820713">
        <w:rPr>
          <w:snapToGrid w:val="0"/>
          <w:lang w:val="es-ES" w:eastAsia="ja-JP"/>
        </w:rPr>
        <w:t>Además, se propone introducir un nuevo apartado en la Regla 17.1) para aclarar que se puede solicitar una publicación anticipada en cualquier momento antes del vencimiento del período de publicación estándar de 12 meses.</w:t>
      </w:r>
      <w:r w:rsidR="00BB4690" w:rsidRPr="00820713">
        <w:rPr>
          <w:snapToGrid w:val="0"/>
          <w:lang w:val="es-ES" w:eastAsia="ja-JP"/>
        </w:rPr>
        <w:t xml:space="preserve"> </w:t>
      </w:r>
      <w:r w:rsidRPr="00820713">
        <w:rPr>
          <w:snapToGrid w:val="0"/>
          <w:lang w:val="es-ES" w:eastAsia="ja-JP"/>
        </w:rPr>
        <w:t xml:space="preserve">A tal efecto, el nuevo apartado </w:t>
      </w:r>
      <w:proofErr w:type="spellStart"/>
      <w:r w:rsidRPr="00820713">
        <w:rPr>
          <w:snapToGrid w:val="0"/>
          <w:lang w:val="es-ES" w:eastAsia="ja-JP"/>
        </w:rPr>
        <w:t>ii.</w:t>
      </w:r>
      <w:r w:rsidRPr="00820713">
        <w:rPr>
          <w:i/>
          <w:snapToGrid w:val="0"/>
          <w:lang w:val="es-ES" w:eastAsia="ja-JP"/>
        </w:rPr>
        <w:t>bis</w:t>
      </w:r>
      <w:proofErr w:type="spellEnd"/>
      <w:r w:rsidRPr="00820713">
        <w:rPr>
          <w:snapToGrid w:val="0"/>
          <w:lang w:val="es-ES" w:eastAsia="ja-JP"/>
        </w:rPr>
        <w:t xml:space="preserve">) se insertaría entre los apartados ii) y iii) para evitar la consiguiente </w:t>
      </w:r>
      <w:proofErr w:type="spellStart"/>
      <w:r w:rsidRPr="00820713">
        <w:rPr>
          <w:snapToGrid w:val="0"/>
          <w:lang w:val="es-ES" w:eastAsia="ja-JP"/>
        </w:rPr>
        <w:t>renumeración</w:t>
      </w:r>
      <w:proofErr w:type="spellEnd"/>
      <w:r w:rsidRPr="00820713">
        <w:rPr>
          <w:snapToGrid w:val="0"/>
          <w:lang w:val="es-ES" w:eastAsia="ja-JP"/>
        </w:rPr>
        <w:t xml:space="preserve"> de este último apartado.</w:t>
      </w:r>
    </w:p>
    <w:p w14:paraId="02C997DE" w14:textId="4AEA7A64" w:rsidR="0069684B" w:rsidRPr="00820713" w:rsidRDefault="004B5796" w:rsidP="00A34D2F">
      <w:pPr>
        <w:pStyle w:val="ONUMFS"/>
        <w:rPr>
          <w:lang w:val="es-ES"/>
        </w:rPr>
      </w:pPr>
      <w:r w:rsidRPr="00820713">
        <w:rPr>
          <w:snapToGrid w:val="0"/>
          <w:lang w:val="es-ES" w:eastAsia="ja-JP"/>
        </w:rPr>
        <w:t xml:space="preserve">La redacción del apartado </w:t>
      </w:r>
      <w:proofErr w:type="spellStart"/>
      <w:r w:rsidRPr="00820713">
        <w:rPr>
          <w:snapToGrid w:val="0"/>
          <w:lang w:val="es-ES" w:eastAsia="ja-JP"/>
        </w:rPr>
        <w:t>ii.</w:t>
      </w:r>
      <w:r w:rsidRPr="00820713">
        <w:rPr>
          <w:i/>
          <w:snapToGrid w:val="0"/>
          <w:lang w:val="es-ES" w:eastAsia="ja-JP"/>
        </w:rPr>
        <w:t>bis</w:t>
      </w:r>
      <w:proofErr w:type="spellEnd"/>
      <w:r w:rsidRPr="00820713">
        <w:rPr>
          <w:snapToGrid w:val="0"/>
          <w:lang w:val="es-ES" w:eastAsia="ja-JP"/>
        </w:rPr>
        <w:t>) propuesto es, de hecho, la misma que la que el Grupo de Trabajo examinó en su octava reunión.</w:t>
      </w:r>
      <w:r w:rsidR="00BB4690" w:rsidRPr="00820713">
        <w:rPr>
          <w:snapToGrid w:val="0"/>
          <w:lang w:val="es-ES" w:eastAsia="ja-JP"/>
        </w:rPr>
        <w:t xml:space="preserve"> </w:t>
      </w:r>
      <w:r w:rsidR="00A34D2F" w:rsidRPr="00820713">
        <w:rPr>
          <w:snapToGrid w:val="0"/>
          <w:lang w:val="es-ES" w:eastAsia="ja-JP"/>
        </w:rPr>
        <w:t xml:space="preserve">El apartado propuesto aclararía que el </w:t>
      </w:r>
      <w:r w:rsidR="00147ACC" w:rsidRPr="00820713">
        <w:rPr>
          <w:snapToGrid w:val="0"/>
          <w:lang w:val="es-ES" w:eastAsia="ja-JP"/>
        </w:rPr>
        <w:t>“</w:t>
      </w:r>
      <w:r w:rsidR="00A34D2F" w:rsidRPr="00820713">
        <w:rPr>
          <w:snapToGrid w:val="0"/>
          <w:lang w:val="es-ES" w:eastAsia="ja-JP"/>
        </w:rPr>
        <w:t>titular</w:t>
      </w:r>
      <w:r w:rsidR="00147ACC" w:rsidRPr="00820713">
        <w:rPr>
          <w:snapToGrid w:val="0"/>
          <w:lang w:val="es-ES" w:eastAsia="ja-JP"/>
        </w:rPr>
        <w:t>”</w:t>
      </w:r>
      <w:r w:rsidR="00A34D2F" w:rsidRPr="00820713">
        <w:rPr>
          <w:snapToGrid w:val="0"/>
          <w:lang w:val="es-ES" w:eastAsia="ja-JP"/>
        </w:rPr>
        <w:t xml:space="preserve"> (en contraposición al </w:t>
      </w:r>
      <w:r w:rsidR="00147ACC" w:rsidRPr="00820713">
        <w:rPr>
          <w:snapToGrid w:val="0"/>
          <w:lang w:val="es-ES" w:eastAsia="ja-JP"/>
        </w:rPr>
        <w:t>“</w:t>
      </w:r>
      <w:r w:rsidR="00A34D2F" w:rsidRPr="00820713">
        <w:rPr>
          <w:snapToGrid w:val="0"/>
          <w:lang w:val="es-ES" w:eastAsia="ja-JP"/>
        </w:rPr>
        <w:t>solicitante</w:t>
      </w:r>
      <w:r w:rsidR="00147ACC" w:rsidRPr="00820713">
        <w:rPr>
          <w:snapToGrid w:val="0"/>
          <w:lang w:val="es-ES" w:eastAsia="ja-JP"/>
        </w:rPr>
        <w:t>”</w:t>
      </w:r>
      <w:r w:rsidR="00A34D2F" w:rsidRPr="00820713">
        <w:rPr>
          <w:snapToGrid w:val="0"/>
          <w:lang w:val="es-ES" w:eastAsia="ja-JP"/>
        </w:rPr>
        <w:t xml:space="preserve"> mencionado en el apartado i)) puede solicitar una publicación anticipada si el registro internacional no ha sido publicado.</w:t>
      </w:r>
      <w:r w:rsidR="00BB4690" w:rsidRPr="00820713">
        <w:rPr>
          <w:snapToGrid w:val="0"/>
          <w:lang w:val="es-ES" w:eastAsia="ja-JP"/>
        </w:rPr>
        <w:t xml:space="preserve"> </w:t>
      </w:r>
      <w:r w:rsidR="00A34D2F" w:rsidRPr="00820713">
        <w:rPr>
          <w:snapToGrid w:val="0"/>
          <w:lang w:val="es-ES" w:eastAsia="ja-JP"/>
        </w:rPr>
        <w:t>Este apartado se aplicaría a los registros internacionales que se inscriban en el régimen de publicación estándar (apartado iii)) y a los registros internacionales cuyo aplazamiento se haya solicitado en el momento de la presentación (apartado ii)).</w:t>
      </w:r>
    </w:p>
    <w:p w14:paraId="7B712322" w14:textId="673369D9" w:rsidR="0069684B" w:rsidRPr="00820713" w:rsidRDefault="00A34D2F" w:rsidP="00BF0801">
      <w:pPr>
        <w:pStyle w:val="ONUMFS"/>
        <w:rPr>
          <w:lang w:val="es-ES"/>
        </w:rPr>
      </w:pPr>
      <w:r w:rsidRPr="00820713">
        <w:rPr>
          <w:lang w:val="es-ES"/>
        </w:rPr>
        <w:t>También se propone introducir una modificación menor en el apartado ii).</w:t>
      </w:r>
      <w:r w:rsidR="00BB4690" w:rsidRPr="00820713">
        <w:rPr>
          <w:lang w:val="es-ES"/>
        </w:rPr>
        <w:t xml:space="preserve"> </w:t>
      </w:r>
      <w:r w:rsidRPr="00820713">
        <w:rPr>
          <w:lang w:val="es-ES"/>
        </w:rPr>
        <w:t xml:space="preserve">La expresión </w:t>
      </w:r>
      <w:r w:rsidR="00147ACC" w:rsidRPr="00820713">
        <w:rPr>
          <w:lang w:val="es-ES"/>
        </w:rPr>
        <w:t>“</w:t>
      </w:r>
      <w:r w:rsidRPr="00820713">
        <w:rPr>
          <w:lang w:val="es-ES"/>
        </w:rPr>
        <w:t>o se considere que haya vencido</w:t>
      </w:r>
      <w:r w:rsidR="00147ACC" w:rsidRPr="00820713">
        <w:rPr>
          <w:lang w:val="es-ES"/>
        </w:rPr>
        <w:t>”</w:t>
      </w:r>
      <w:r w:rsidRPr="00820713">
        <w:rPr>
          <w:lang w:val="es-ES"/>
        </w:rPr>
        <w:t xml:space="preserve"> se refiere a la situación descrita en el nuevo apartado </w:t>
      </w:r>
      <w:proofErr w:type="spellStart"/>
      <w:r w:rsidRPr="00820713">
        <w:rPr>
          <w:lang w:val="es-ES"/>
        </w:rPr>
        <w:t>ii.</w:t>
      </w:r>
      <w:r w:rsidRPr="00820713">
        <w:rPr>
          <w:i/>
          <w:lang w:val="es-ES"/>
        </w:rPr>
        <w:t>bis</w:t>
      </w:r>
      <w:proofErr w:type="spellEnd"/>
      <w:r w:rsidRPr="00820713">
        <w:rPr>
          <w:lang w:val="es-ES"/>
        </w:rPr>
        <w:t>) propuesto.</w:t>
      </w:r>
      <w:r w:rsidRPr="00820713">
        <w:rPr>
          <w:rStyle w:val="FootnoteReference"/>
          <w:lang w:val="es-ES"/>
        </w:rPr>
        <w:footnoteReference w:id="15"/>
      </w:r>
      <w:r w:rsidR="00BB4690" w:rsidRPr="00820713">
        <w:rPr>
          <w:lang w:val="es-ES"/>
        </w:rPr>
        <w:t xml:space="preserve"> </w:t>
      </w:r>
      <w:r w:rsidR="00142CBE" w:rsidRPr="00820713">
        <w:rPr>
          <w:lang w:val="es-ES"/>
        </w:rPr>
        <w:t>Por consiguiente, esta referencia se suprimiría ya que sería redundante.</w:t>
      </w:r>
      <w:r w:rsidR="00BB4690" w:rsidRPr="00820713">
        <w:rPr>
          <w:lang w:val="es-ES"/>
        </w:rPr>
        <w:t xml:space="preserve"> </w:t>
      </w:r>
      <w:r w:rsidR="00BF0801" w:rsidRPr="00820713">
        <w:rPr>
          <w:lang w:val="es-ES"/>
        </w:rPr>
        <w:t xml:space="preserve">En su lugar, se añadiría la expresión </w:t>
      </w:r>
      <w:r w:rsidR="00147ACC" w:rsidRPr="00820713">
        <w:rPr>
          <w:lang w:val="es-ES"/>
        </w:rPr>
        <w:t>“</w:t>
      </w:r>
      <w:r w:rsidR="00BF0801" w:rsidRPr="00820713">
        <w:rPr>
          <w:lang w:val="es-ES"/>
        </w:rPr>
        <w:t xml:space="preserve">con sujeción a lo dispuesto en el apartado </w:t>
      </w:r>
      <w:proofErr w:type="spellStart"/>
      <w:r w:rsidR="00BF0801" w:rsidRPr="00820713">
        <w:rPr>
          <w:lang w:val="es-ES"/>
        </w:rPr>
        <w:t>ii.</w:t>
      </w:r>
      <w:r w:rsidR="00BF0801" w:rsidRPr="00820713">
        <w:rPr>
          <w:i/>
          <w:lang w:val="es-ES"/>
        </w:rPr>
        <w:t>bis</w:t>
      </w:r>
      <w:proofErr w:type="spellEnd"/>
      <w:r w:rsidR="00BF0801" w:rsidRPr="00820713">
        <w:rPr>
          <w:lang w:val="es-ES"/>
        </w:rPr>
        <w:t>)</w:t>
      </w:r>
      <w:r w:rsidR="00147ACC" w:rsidRPr="00820713">
        <w:rPr>
          <w:lang w:val="es-ES"/>
        </w:rPr>
        <w:t>”</w:t>
      </w:r>
      <w:r w:rsidR="00BF0801" w:rsidRPr="00820713">
        <w:rPr>
          <w:lang w:val="es-ES"/>
        </w:rPr>
        <w:t xml:space="preserve"> para aclarar el alcance de ambos apartados.</w:t>
      </w:r>
      <w:r w:rsidR="00BF0801" w:rsidRPr="00820713">
        <w:rPr>
          <w:rStyle w:val="FootnoteReference"/>
          <w:lang w:val="es-ES"/>
        </w:rPr>
        <w:footnoteReference w:id="16"/>
      </w:r>
    </w:p>
    <w:p w14:paraId="2DC24969" w14:textId="77777777" w:rsidR="0069684B" w:rsidRPr="00820713" w:rsidRDefault="00BF0801" w:rsidP="00BF0801">
      <w:pPr>
        <w:pStyle w:val="Heading2"/>
        <w:spacing w:before="0"/>
        <w:rPr>
          <w:lang w:val="es-ES"/>
        </w:rPr>
      </w:pPr>
      <w:r w:rsidRPr="00820713">
        <w:rPr>
          <w:lang w:val="es-ES"/>
        </w:rPr>
        <w:t>Disposición transitoria en la Regla 37</w:t>
      </w:r>
    </w:p>
    <w:p w14:paraId="06E0EA32" w14:textId="77777777" w:rsidR="0069684B" w:rsidRPr="00820713" w:rsidRDefault="00BF0801" w:rsidP="00BF0801">
      <w:pPr>
        <w:pStyle w:val="ONUMFS"/>
        <w:rPr>
          <w:lang w:val="es-ES"/>
        </w:rPr>
      </w:pPr>
      <w:r w:rsidRPr="00820713">
        <w:rPr>
          <w:lang w:val="es-ES"/>
        </w:rPr>
        <w:t>Se propone el nuevo párrafo 3) de la Regla 37 para aclarar que el actual período de seis meses seguiría aplicándose a los registros internacionales resultantes de solicitudes internacionales presentadas antes de la fecha de entrada en vigor de la modificación propuesta respecto de la Regla </w:t>
      </w:r>
      <w:proofErr w:type="gramStart"/>
      <w:r w:rsidRPr="00820713">
        <w:rPr>
          <w:lang w:val="es-ES"/>
        </w:rPr>
        <w:t>17.1)iii</w:t>
      </w:r>
      <w:proofErr w:type="gramEnd"/>
      <w:r w:rsidRPr="00820713">
        <w:rPr>
          <w:lang w:val="es-ES"/>
        </w:rPr>
        <w:t>).</w:t>
      </w:r>
    </w:p>
    <w:p w14:paraId="7CBE6DDB" w14:textId="77777777" w:rsidR="0069684B" w:rsidRPr="00820713" w:rsidRDefault="00BF0801" w:rsidP="00BF0801">
      <w:pPr>
        <w:pStyle w:val="Heading2"/>
        <w:rPr>
          <w:lang w:val="es-ES"/>
        </w:rPr>
      </w:pPr>
      <w:r w:rsidRPr="00820713">
        <w:rPr>
          <w:lang w:val="es-ES"/>
        </w:rPr>
        <w:t>Fecha de entrada en vigor</w:t>
      </w:r>
    </w:p>
    <w:p w14:paraId="215BDD67" w14:textId="77777777" w:rsidR="0069684B" w:rsidRPr="00820713" w:rsidRDefault="00BF0801" w:rsidP="00BF0801">
      <w:pPr>
        <w:pStyle w:val="ONUMFS"/>
        <w:rPr>
          <w:snapToGrid w:val="0"/>
          <w:color w:val="000000"/>
          <w:lang w:val="es-ES" w:eastAsia="ja-JP"/>
        </w:rPr>
      </w:pPr>
      <w:r w:rsidRPr="00820713">
        <w:rPr>
          <w:snapToGrid w:val="0"/>
          <w:color w:val="000000"/>
          <w:lang w:val="es-ES" w:eastAsia="ja-JP"/>
        </w:rPr>
        <w:t>Habida cuenta de que el actual sistema informático está en condiciones, desde el punto de vista técnico, de adoptar la modificación que se propone introducir en el período de publicación estándar, se propone el 1 de enero de 2022 como fecha de aplicación de la modificación.</w:t>
      </w:r>
    </w:p>
    <w:p w14:paraId="570B8A0E" w14:textId="77777777" w:rsidR="005D1C83" w:rsidRDefault="005D1C83">
      <w:pPr>
        <w:rPr>
          <w:lang w:val="es-ES"/>
        </w:rPr>
      </w:pPr>
      <w:r>
        <w:rPr>
          <w:lang w:val="es-ES"/>
        </w:rPr>
        <w:br w:type="page"/>
      </w:r>
    </w:p>
    <w:p w14:paraId="088358F2" w14:textId="7B390F43" w:rsidR="0069684B" w:rsidRPr="00820713" w:rsidRDefault="004E3DC4" w:rsidP="004E3DC4">
      <w:pPr>
        <w:pStyle w:val="ONUME"/>
        <w:numPr>
          <w:ilvl w:val="0"/>
          <w:numId w:val="0"/>
        </w:numPr>
        <w:ind w:left="6237" w:hanging="837"/>
        <w:rPr>
          <w:i/>
          <w:lang w:val="es-ES"/>
        </w:rPr>
      </w:pPr>
      <w:r w:rsidRPr="00820713">
        <w:rPr>
          <w:lang w:val="es-ES"/>
        </w:rPr>
        <w:lastRenderedPageBreak/>
        <w:t>44.</w:t>
      </w:r>
      <w:r w:rsidRPr="00820713">
        <w:rPr>
          <w:lang w:val="es-ES"/>
        </w:rPr>
        <w:tab/>
      </w:r>
      <w:r w:rsidRPr="00820713">
        <w:rPr>
          <w:i/>
          <w:lang w:val="es-ES"/>
        </w:rPr>
        <w:t>Se invita al Grupo de Trabajo a:</w:t>
      </w:r>
    </w:p>
    <w:p w14:paraId="0D37DD11" w14:textId="6489637E" w:rsidR="0069684B" w:rsidRPr="00820713" w:rsidRDefault="004E3DC4" w:rsidP="004E3DC4">
      <w:pPr>
        <w:pStyle w:val="ONUME"/>
        <w:numPr>
          <w:ilvl w:val="0"/>
          <w:numId w:val="0"/>
        </w:numPr>
        <w:ind w:left="6237"/>
        <w:rPr>
          <w:i/>
          <w:lang w:val="es-ES"/>
        </w:rPr>
      </w:pPr>
      <w:r w:rsidRPr="00820713">
        <w:rPr>
          <w:i/>
          <w:lang w:val="es-ES"/>
        </w:rPr>
        <w:t>i)</w:t>
      </w:r>
      <w:r w:rsidRPr="00820713">
        <w:rPr>
          <w:i/>
          <w:lang w:val="es-ES"/>
        </w:rPr>
        <w:tab/>
        <w:t xml:space="preserve">examinar las propuestas formuladas en </w:t>
      </w:r>
      <w:r w:rsidR="00C25968" w:rsidRPr="00820713">
        <w:rPr>
          <w:i/>
          <w:lang w:val="es-ES"/>
        </w:rPr>
        <w:t>el presente</w:t>
      </w:r>
      <w:r w:rsidRPr="00820713">
        <w:rPr>
          <w:i/>
          <w:lang w:val="es-ES"/>
        </w:rPr>
        <w:t xml:space="preserve"> documento y formular observaciones al respecto; </w:t>
      </w:r>
      <w:r w:rsidR="00C25968" w:rsidRPr="00820713">
        <w:rPr>
          <w:i/>
          <w:lang w:val="es-ES"/>
        </w:rPr>
        <w:t>e</w:t>
      </w:r>
    </w:p>
    <w:p w14:paraId="36C70C8E" w14:textId="566D77C2" w:rsidR="0069684B" w:rsidRDefault="004E3DC4" w:rsidP="00C25968">
      <w:pPr>
        <w:pStyle w:val="ONUME"/>
        <w:keepLines/>
        <w:numPr>
          <w:ilvl w:val="0"/>
          <w:numId w:val="0"/>
        </w:numPr>
        <w:ind w:left="6237"/>
        <w:rPr>
          <w:i/>
          <w:lang w:val="es-ES"/>
        </w:rPr>
      </w:pPr>
      <w:r w:rsidRPr="00820713">
        <w:rPr>
          <w:i/>
          <w:lang w:val="es-ES"/>
        </w:rPr>
        <w:t>ii)</w:t>
      </w:r>
      <w:r w:rsidRPr="00820713">
        <w:rPr>
          <w:i/>
          <w:lang w:val="es-ES"/>
        </w:rPr>
        <w:tab/>
        <w:t>indicar si recomendará a la Asamblea de la Unión de La Haya que apruebe la modificación propuesta del Reglamento Común relativa a la Regla 17, junto con la disposición transitoria propuesta en la Regla 37, que figuran en el proyecto contenido en el Anexo II del presente documento, con fecha de entrada en vigor el 1 de enero de 2022.</w:t>
      </w:r>
    </w:p>
    <w:p w14:paraId="40983DCB" w14:textId="77777777" w:rsidR="005D1C83" w:rsidRPr="00820713" w:rsidRDefault="005D1C83" w:rsidP="00C25968">
      <w:pPr>
        <w:pStyle w:val="ONUME"/>
        <w:keepLines/>
        <w:numPr>
          <w:ilvl w:val="0"/>
          <w:numId w:val="0"/>
        </w:numPr>
        <w:ind w:left="6237"/>
        <w:rPr>
          <w:lang w:val="es-ES"/>
        </w:rPr>
      </w:pPr>
    </w:p>
    <w:p w14:paraId="6EFB4DE2" w14:textId="77777777" w:rsidR="0069684B" w:rsidRPr="00820713" w:rsidRDefault="00FE3EC5" w:rsidP="00FE3EC5">
      <w:pPr>
        <w:pStyle w:val="ONUME"/>
        <w:numPr>
          <w:ilvl w:val="0"/>
          <w:numId w:val="0"/>
        </w:numPr>
        <w:spacing w:before="480"/>
        <w:ind w:firstLine="5098"/>
        <w:rPr>
          <w:lang w:val="es-ES"/>
        </w:rPr>
      </w:pPr>
      <w:r w:rsidRPr="00820713">
        <w:rPr>
          <w:lang w:val="es-ES"/>
        </w:rPr>
        <w:t>[Siguen los Anexos]</w:t>
      </w:r>
    </w:p>
    <w:p w14:paraId="2B0200FF" w14:textId="0D396C45" w:rsidR="00F77D2B" w:rsidRPr="00820713" w:rsidRDefault="00F77D2B" w:rsidP="001C5BC9">
      <w:pPr>
        <w:pStyle w:val="ONUME"/>
        <w:numPr>
          <w:ilvl w:val="0"/>
          <w:numId w:val="0"/>
        </w:numPr>
        <w:ind w:firstLine="5103"/>
        <w:rPr>
          <w:lang w:val="es-ES"/>
        </w:rPr>
        <w:sectPr w:rsidR="00F77D2B" w:rsidRPr="00820713" w:rsidSect="00860CA3">
          <w:headerReference w:type="even" r:id="rId9"/>
          <w:headerReference w:type="default" r:id="rId1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50A1324A" w14:textId="74063BD0" w:rsidR="00726D67" w:rsidRPr="00820713" w:rsidRDefault="00FE3EC5" w:rsidP="00FE3EC5">
      <w:pPr>
        <w:pStyle w:val="ONUME"/>
        <w:numPr>
          <w:ilvl w:val="0"/>
          <w:numId w:val="0"/>
        </w:numPr>
        <w:rPr>
          <w:szCs w:val="22"/>
          <w:u w:val="single"/>
          <w:lang w:val="es-ES"/>
        </w:rPr>
      </w:pPr>
      <w:r w:rsidRPr="00820713">
        <w:rPr>
          <w:szCs w:val="22"/>
          <w:u w:val="single"/>
          <w:lang w:val="es-ES"/>
        </w:rPr>
        <w:lastRenderedPageBreak/>
        <w:t>Grupos de usuarios que participaron en el cuestionario</w:t>
      </w:r>
    </w:p>
    <w:tbl>
      <w:tblPr>
        <w:tblW w:w="9535" w:type="dxa"/>
        <w:tblLook w:val="04A0" w:firstRow="1" w:lastRow="0" w:firstColumn="1" w:lastColumn="0" w:noHBand="0" w:noVBand="1"/>
      </w:tblPr>
      <w:tblGrid>
        <w:gridCol w:w="1329"/>
        <w:gridCol w:w="3796"/>
        <w:gridCol w:w="4410"/>
      </w:tblGrid>
      <w:tr w:rsidR="00726D67" w:rsidRPr="00820713" w14:paraId="2433DD2C" w14:textId="77777777" w:rsidTr="00C67234">
        <w:trPr>
          <w:trHeight w:val="85"/>
        </w:trPr>
        <w:tc>
          <w:tcPr>
            <w:tcW w:w="512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3130E5C" w14:textId="62AF58B8" w:rsidR="00726D67" w:rsidRPr="00820713" w:rsidRDefault="00FE3EC5" w:rsidP="00FE3EC5">
            <w:pPr>
              <w:jc w:val="center"/>
              <w:rPr>
                <w:rFonts w:eastAsia="Times New Roman"/>
                <w:color w:val="000000"/>
                <w:sz w:val="21"/>
                <w:szCs w:val="21"/>
                <w:lang w:val="es-ES" w:eastAsia="ja-JP"/>
              </w:rPr>
            </w:pPr>
            <w:r w:rsidRPr="00820713">
              <w:rPr>
                <w:rFonts w:eastAsia="Times New Roman"/>
                <w:color w:val="000000"/>
                <w:sz w:val="21"/>
                <w:szCs w:val="21"/>
                <w:lang w:val="es-ES" w:eastAsia="ja-JP"/>
              </w:rPr>
              <w:t>ONG</w:t>
            </w:r>
          </w:p>
        </w:tc>
        <w:tc>
          <w:tcPr>
            <w:tcW w:w="4410" w:type="dxa"/>
            <w:tcBorders>
              <w:top w:val="single" w:sz="4" w:space="0" w:color="auto"/>
              <w:left w:val="nil"/>
              <w:bottom w:val="single" w:sz="4" w:space="0" w:color="auto"/>
              <w:right w:val="single" w:sz="4" w:space="0" w:color="auto"/>
            </w:tcBorders>
            <w:shd w:val="clear" w:color="auto" w:fill="DBE5F1" w:themeFill="accent1" w:themeFillTint="33"/>
            <w:noWrap/>
            <w:vAlign w:val="center"/>
          </w:tcPr>
          <w:p w14:paraId="1D1AB238" w14:textId="0762D642" w:rsidR="00726D67" w:rsidRPr="00820713" w:rsidRDefault="00FE3EC5" w:rsidP="00FE3EC5">
            <w:pPr>
              <w:jc w:val="center"/>
              <w:rPr>
                <w:rFonts w:eastAsia="Times New Roman"/>
                <w:sz w:val="21"/>
                <w:szCs w:val="21"/>
                <w:lang w:val="es-ES" w:eastAsia="ja-JP"/>
              </w:rPr>
            </w:pPr>
            <w:r w:rsidRPr="00820713">
              <w:rPr>
                <w:rFonts w:eastAsia="Times New Roman"/>
                <w:sz w:val="21"/>
                <w:szCs w:val="21"/>
                <w:lang w:val="es-ES" w:eastAsia="ja-JP"/>
              </w:rPr>
              <w:t>Miembros</w:t>
            </w:r>
            <w:r w:rsidRPr="00820713">
              <w:rPr>
                <w:rFonts w:eastAsia="Times New Roman"/>
                <w:sz w:val="21"/>
                <w:szCs w:val="21"/>
                <w:vertAlign w:val="superscript"/>
                <w:lang w:val="es-ES" w:eastAsia="ja-JP"/>
              </w:rPr>
              <w:footnoteReference w:customMarkFollows="1" w:id="17"/>
              <w:t>*</w:t>
            </w:r>
          </w:p>
        </w:tc>
      </w:tr>
      <w:tr w:rsidR="00726D67" w:rsidRPr="00820713" w14:paraId="4829DA91" w14:textId="77777777" w:rsidTr="00C67234">
        <w:trPr>
          <w:trHeight w:val="85"/>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897C1"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ABPI</w:t>
            </w:r>
          </w:p>
        </w:tc>
        <w:tc>
          <w:tcPr>
            <w:tcW w:w="3796" w:type="dxa"/>
            <w:tcBorders>
              <w:top w:val="single" w:sz="4" w:space="0" w:color="auto"/>
              <w:left w:val="nil"/>
              <w:bottom w:val="single" w:sz="4" w:space="0" w:color="auto"/>
              <w:right w:val="single" w:sz="4" w:space="0" w:color="auto"/>
            </w:tcBorders>
            <w:shd w:val="clear" w:color="auto" w:fill="auto"/>
            <w:noWrap/>
            <w:vAlign w:val="center"/>
            <w:hideMark/>
          </w:tcPr>
          <w:p w14:paraId="68A2BED9" w14:textId="2AC31E5F" w:rsidR="00726D67" w:rsidRPr="00820713" w:rsidRDefault="004F7ACA" w:rsidP="001565AD">
            <w:pPr>
              <w:rPr>
                <w:rFonts w:eastAsia="Times New Roman"/>
                <w:color w:val="000000"/>
                <w:szCs w:val="22"/>
                <w:lang w:val="es-ES" w:eastAsia="ja-JP"/>
              </w:rPr>
            </w:pPr>
            <w:r w:rsidRPr="00820713">
              <w:rPr>
                <w:rFonts w:eastAsia="Times New Roman"/>
                <w:color w:val="000000"/>
                <w:szCs w:val="22"/>
                <w:lang w:val="es-ES" w:eastAsia="ja-JP"/>
              </w:rPr>
              <w:t>Asociación Brasileña de Propiedad Intelectual</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14:paraId="46806EDC" w14:textId="76C81988" w:rsidR="00726D67" w:rsidRPr="00820713" w:rsidRDefault="00FE3EC5" w:rsidP="00FE3EC5">
            <w:pPr>
              <w:rPr>
                <w:rFonts w:eastAsia="Times New Roman"/>
                <w:szCs w:val="22"/>
                <w:lang w:val="es-ES" w:eastAsia="ja-JP"/>
              </w:rPr>
            </w:pPr>
            <w:r w:rsidRPr="00820713">
              <w:rPr>
                <w:rFonts w:eastAsia="Times New Roman"/>
                <w:szCs w:val="22"/>
                <w:lang w:val="es-ES" w:eastAsia="ja-JP"/>
              </w:rPr>
              <w:t>200 empresas y 550 miembros</w:t>
            </w:r>
          </w:p>
        </w:tc>
      </w:tr>
      <w:tr w:rsidR="00726D67" w:rsidRPr="00820713" w14:paraId="7B630383"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08B2D50E"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ACPAA</w:t>
            </w:r>
          </w:p>
        </w:tc>
        <w:tc>
          <w:tcPr>
            <w:tcW w:w="3796" w:type="dxa"/>
            <w:tcBorders>
              <w:top w:val="nil"/>
              <w:left w:val="nil"/>
              <w:bottom w:val="single" w:sz="4" w:space="0" w:color="auto"/>
              <w:right w:val="single" w:sz="4" w:space="0" w:color="auto"/>
            </w:tcBorders>
            <w:shd w:val="clear" w:color="auto" w:fill="auto"/>
            <w:noWrap/>
            <w:vAlign w:val="center"/>
            <w:hideMark/>
          </w:tcPr>
          <w:p w14:paraId="4FA42E89" w14:textId="64255711" w:rsidR="00726D67" w:rsidRPr="00820713" w:rsidRDefault="004F7ACA" w:rsidP="004F7ACA">
            <w:pPr>
              <w:rPr>
                <w:rFonts w:eastAsia="Times New Roman"/>
                <w:szCs w:val="22"/>
                <w:lang w:val="es-ES" w:eastAsia="ja-JP"/>
              </w:rPr>
            </w:pPr>
            <w:r w:rsidRPr="00820713">
              <w:rPr>
                <w:rFonts w:eastAsia="Times New Roman"/>
                <w:szCs w:val="22"/>
                <w:lang w:val="es-ES" w:eastAsia="ja-JP"/>
              </w:rPr>
              <w:t>Asociación China de Abogados de Patentes</w:t>
            </w:r>
          </w:p>
        </w:tc>
        <w:tc>
          <w:tcPr>
            <w:tcW w:w="4410" w:type="dxa"/>
            <w:tcBorders>
              <w:top w:val="nil"/>
              <w:left w:val="nil"/>
              <w:bottom w:val="single" w:sz="4" w:space="0" w:color="auto"/>
              <w:right w:val="single" w:sz="4" w:space="0" w:color="auto"/>
            </w:tcBorders>
            <w:shd w:val="clear" w:color="auto" w:fill="auto"/>
            <w:noWrap/>
            <w:vAlign w:val="bottom"/>
            <w:hideMark/>
          </w:tcPr>
          <w:p w14:paraId="689A1D4D" w14:textId="6573D04E" w:rsidR="00726D67" w:rsidRPr="00820713" w:rsidRDefault="00FE3EC5" w:rsidP="00FE3EC5">
            <w:pPr>
              <w:spacing w:after="120"/>
              <w:rPr>
                <w:rFonts w:eastAsia="Times New Roman"/>
                <w:szCs w:val="22"/>
                <w:lang w:val="es-ES" w:eastAsia="ja-JP"/>
              </w:rPr>
            </w:pPr>
            <w:r w:rsidRPr="00820713">
              <w:rPr>
                <w:rFonts w:eastAsia="Times New Roman"/>
                <w:szCs w:val="22"/>
                <w:lang w:val="es-ES" w:eastAsia="ja-JP"/>
              </w:rPr>
              <w:t>2.381 miembros</w:t>
            </w:r>
          </w:p>
        </w:tc>
      </w:tr>
      <w:tr w:rsidR="00726D67" w:rsidRPr="006B1247" w14:paraId="7204A734"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208AB20D"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AIM</w:t>
            </w:r>
          </w:p>
        </w:tc>
        <w:tc>
          <w:tcPr>
            <w:tcW w:w="3796" w:type="dxa"/>
            <w:tcBorders>
              <w:top w:val="nil"/>
              <w:left w:val="nil"/>
              <w:bottom w:val="single" w:sz="4" w:space="0" w:color="auto"/>
              <w:right w:val="single" w:sz="4" w:space="0" w:color="auto"/>
            </w:tcBorders>
            <w:shd w:val="clear" w:color="auto" w:fill="auto"/>
            <w:noWrap/>
            <w:vAlign w:val="center"/>
            <w:hideMark/>
          </w:tcPr>
          <w:p w14:paraId="03DD6123" w14:textId="6ECEBBEB"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Asociación Europea de Marcas</w:t>
            </w:r>
          </w:p>
        </w:tc>
        <w:tc>
          <w:tcPr>
            <w:tcW w:w="4410" w:type="dxa"/>
            <w:tcBorders>
              <w:top w:val="nil"/>
              <w:left w:val="nil"/>
              <w:bottom w:val="single" w:sz="4" w:space="0" w:color="auto"/>
              <w:right w:val="single" w:sz="4" w:space="0" w:color="auto"/>
            </w:tcBorders>
            <w:shd w:val="clear" w:color="auto" w:fill="auto"/>
            <w:noWrap/>
            <w:vAlign w:val="center"/>
            <w:hideMark/>
          </w:tcPr>
          <w:p w14:paraId="5EE428F8" w14:textId="19583417" w:rsidR="00726D67" w:rsidRPr="00820713" w:rsidRDefault="00FE3EC5" w:rsidP="00FE3EC5">
            <w:pPr>
              <w:rPr>
                <w:rFonts w:eastAsia="Times New Roman"/>
                <w:szCs w:val="22"/>
                <w:lang w:val="es-ES" w:eastAsia="ja-JP"/>
              </w:rPr>
            </w:pPr>
            <w:r w:rsidRPr="00820713">
              <w:rPr>
                <w:rFonts w:eastAsia="Times New Roman"/>
                <w:szCs w:val="22"/>
                <w:lang w:val="es-ES" w:eastAsia="ja-JP"/>
              </w:rPr>
              <w:t>2.500 empresas, desde pymes hasta multinacionales</w:t>
            </w:r>
          </w:p>
        </w:tc>
      </w:tr>
      <w:tr w:rsidR="00726D67" w:rsidRPr="00820713" w14:paraId="30F6C3EA"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378F726C"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APAA</w:t>
            </w:r>
          </w:p>
        </w:tc>
        <w:tc>
          <w:tcPr>
            <w:tcW w:w="3796" w:type="dxa"/>
            <w:tcBorders>
              <w:top w:val="nil"/>
              <w:left w:val="nil"/>
              <w:bottom w:val="single" w:sz="4" w:space="0" w:color="auto"/>
              <w:right w:val="single" w:sz="4" w:space="0" w:color="auto"/>
            </w:tcBorders>
            <w:shd w:val="clear" w:color="auto" w:fill="auto"/>
            <w:noWrap/>
            <w:vAlign w:val="center"/>
            <w:hideMark/>
          </w:tcPr>
          <w:p w14:paraId="15256EE1" w14:textId="73F59B30"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Asociación Asiática de Abogados de Patentes</w:t>
            </w:r>
          </w:p>
        </w:tc>
        <w:tc>
          <w:tcPr>
            <w:tcW w:w="4410" w:type="dxa"/>
            <w:tcBorders>
              <w:top w:val="nil"/>
              <w:left w:val="nil"/>
              <w:bottom w:val="single" w:sz="4" w:space="0" w:color="auto"/>
              <w:right w:val="single" w:sz="4" w:space="0" w:color="auto"/>
            </w:tcBorders>
            <w:shd w:val="clear" w:color="auto" w:fill="auto"/>
            <w:noWrap/>
            <w:vAlign w:val="center"/>
            <w:hideMark/>
          </w:tcPr>
          <w:p w14:paraId="581B78D1" w14:textId="0CAC600E" w:rsidR="00726D67" w:rsidRPr="00820713" w:rsidRDefault="00FE3EC5" w:rsidP="00FE3EC5">
            <w:pPr>
              <w:rPr>
                <w:rFonts w:eastAsia="Times New Roman"/>
                <w:szCs w:val="22"/>
                <w:lang w:val="es-ES" w:eastAsia="ja-JP"/>
              </w:rPr>
            </w:pPr>
            <w:r w:rsidRPr="00820713">
              <w:rPr>
                <w:rFonts w:eastAsia="Times New Roman"/>
                <w:szCs w:val="22"/>
                <w:lang w:val="es-ES" w:eastAsia="ja-JP"/>
              </w:rPr>
              <w:t>2.353 miembros</w:t>
            </w:r>
          </w:p>
        </w:tc>
      </w:tr>
      <w:tr w:rsidR="00726D67" w:rsidRPr="006B1247" w14:paraId="6A470E49"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D97A745"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CBA</w:t>
            </w:r>
          </w:p>
        </w:tc>
        <w:tc>
          <w:tcPr>
            <w:tcW w:w="3796" w:type="dxa"/>
            <w:tcBorders>
              <w:top w:val="nil"/>
              <w:left w:val="nil"/>
              <w:bottom w:val="single" w:sz="4" w:space="0" w:color="auto"/>
              <w:right w:val="single" w:sz="4" w:space="0" w:color="auto"/>
            </w:tcBorders>
            <w:shd w:val="clear" w:color="auto" w:fill="auto"/>
            <w:noWrap/>
            <w:vAlign w:val="center"/>
            <w:hideMark/>
          </w:tcPr>
          <w:p w14:paraId="4DF8E6B2" w14:textId="654DF17F"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Colegio de Abogados del Canadá</w:t>
            </w:r>
          </w:p>
        </w:tc>
        <w:tc>
          <w:tcPr>
            <w:tcW w:w="4410" w:type="dxa"/>
            <w:tcBorders>
              <w:top w:val="nil"/>
              <w:left w:val="nil"/>
              <w:bottom w:val="single" w:sz="4" w:space="0" w:color="auto"/>
              <w:right w:val="single" w:sz="4" w:space="0" w:color="auto"/>
            </w:tcBorders>
            <w:shd w:val="clear" w:color="auto" w:fill="auto"/>
            <w:noWrap/>
            <w:vAlign w:val="center"/>
            <w:hideMark/>
          </w:tcPr>
          <w:p w14:paraId="60B71254" w14:textId="3EF4FAC5" w:rsidR="00726D67" w:rsidRPr="00820713" w:rsidRDefault="00FE3EC5" w:rsidP="00FE3EC5">
            <w:pPr>
              <w:rPr>
                <w:rFonts w:eastAsia="Times New Roman"/>
                <w:szCs w:val="22"/>
                <w:lang w:val="es-ES" w:eastAsia="ja-JP"/>
              </w:rPr>
            </w:pPr>
            <w:r w:rsidRPr="00820713">
              <w:rPr>
                <w:rFonts w:eastAsia="Times New Roman"/>
                <w:szCs w:val="22"/>
                <w:lang w:val="es-ES" w:eastAsia="ja-JP"/>
              </w:rPr>
              <w:t>36.000 miembros en todo el Canadá</w:t>
            </w:r>
          </w:p>
        </w:tc>
      </w:tr>
      <w:tr w:rsidR="00726D67" w:rsidRPr="00820713" w14:paraId="57011824"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2FBE454"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GRUR</w:t>
            </w:r>
          </w:p>
        </w:tc>
        <w:tc>
          <w:tcPr>
            <w:tcW w:w="3796" w:type="dxa"/>
            <w:tcBorders>
              <w:top w:val="nil"/>
              <w:left w:val="nil"/>
              <w:bottom w:val="single" w:sz="4" w:space="0" w:color="auto"/>
              <w:right w:val="single" w:sz="4" w:space="0" w:color="auto"/>
            </w:tcBorders>
            <w:shd w:val="clear" w:color="auto" w:fill="auto"/>
            <w:noWrap/>
            <w:vAlign w:val="center"/>
            <w:hideMark/>
          </w:tcPr>
          <w:p w14:paraId="5473543D" w14:textId="313789DD"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Asociación Alemana para la Protección de la Propiedad Industrial y el Derecho de Autor</w:t>
            </w:r>
          </w:p>
        </w:tc>
        <w:tc>
          <w:tcPr>
            <w:tcW w:w="4410" w:type="dxa"/>
            <w:tcBorders>
              <w:top w:val="nil"/>
              <w:left w:val="nil"/>
              <w:bottom w:val="single" w:sz="4" w:space="0" w:color="auto"/>
              <w:right w:val="single" w:sz="4" w:space="0" w:color="auto"/>
            </w:tcBorders>
            <w:shd w:val="clear" w:color="auto" w:fill="auto"/>
            <w:noWrap/>
            <w:vAlign w:val="center"/>
            <w:hideMark/>
          </w:tcPr>
          <w:p w14:paraId="67738D50" w14:textId="7F63E040" w:rsidR="00726D67" w:rsidRPr="00820713" w:rsidRDefault="00FE3EC5" w:rsidP="00FE3EC5">
            <w:pPr>
              <w:rPr>
                <w:rFonts w:eastAsia="Times New Roman"/>
                <w:szCs w:val="22"/>
                <w:lang w:val="es-ES" w:eastAsia="ja-JP"/>
              </w:rPr>
            </w:pPr>
            <w:r w:rsidRPr="00820713">
              <w:rPr>
                <w:rFonts w:eastAsia="Times New Roman"/>
                <w:szCs w:val="22"/>
                <w:lang w:val="es-ES" w:eastAsia="ja-JP"/>
              </w:rPr>
              <w:t>5.033 miembros</w:t>
            </w:r>
          </w:p>
        </w:tc>
      </w:tr>
      <w:tr w:rsidR="00726D67" w:rsidRPr="00820713" w14:paraId="0714C5E2"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6008145D"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IIP</w:t>
            </w:r>
          </w:p>
        </w:tc>
        <w:tc>
          <w:tcPr>
            <w:tcW w:w="3796" w:type="dxa"/>
            <w:tcBorders>
              <w:top w:val="nil"/>
              <w:left w:val="nil"/>
              <w:bottom w:val="single" w:sz="4" w:space="0" w:color="auto"/>
              <w:right w:val="single" w:sz="4" w:space="0" w:color="auto"/>
            </w:tcBorders>
            <w:shd w:val="clear" w:color="auto" w:fill="auto"/>
            <w:noWrap/>
            <w:vAlign w:val="center"/>
            <w:hideMark/>
          </w:tcPr>
          <w:p w14:paraId="31021438" w14:textId="28C69E8E" w:rsidR="00726D67" w:rsidRPr="00820713" w:rsidRDefault="008C6BFA" w:rsidP="001565AD">
            <w:pPr>
              <w:rPr>
                <w:rFonts w:eastAsia="Times New Roman"/>
                <w:color w:val="000000"/>
                <w:szCs w:val="22"/>
                <w:lang w:val="es-ES" w:eastAsia="ja-JP"/>
              </w:rPr>
            </w:pPr>
            <w:r w:rsidRPr="00820713">
              <w:rPr>
                <w:rFonts w:eastAsia="Times New Roman"/>
                <w:color w:val="000000"/>
                <w:szCs w:val="22"/>
                <w:lang w:val="es-ES" w:eastAsia="ja-JP"/>
              </w:rPr>
              <w:t xml:space="preserve">Instituto </w:t>
            </w:r>
            <w:r w:rsidR="001565AD" w:rsidRPr="00820713">
              <w:rPr>
                <w:rFonts w:eastAsia="Times New Roman"/>
                <w:color w:val="000000"/>
                <w:szCs w:val="22"/>
                <w:lang w:val="es-ES" w:eastAsia="ja-JP"/>
              </w:rPr>
              <w:t>Japonés de Propiedad Intelectual</w:t>
            </w:r>
          </w:p>
        </w:tc>
        <w:tc>
          <w:tcPr>
            <w:tcW w:w="4410" w:type="dxa"/>
            <w:tcBorders>
              <w:top w:val="nil"/>
              <w:left w:val="nil"/>
              <w:bottom w:val="single" w:sz="4" w:space="0" w:color="auto"/>
              <w:right w:val="single" w:sz="4" w:space="0" w:color="auto"/>
            </w:tcBorders>
            <w:shd w:val="clear" w:color="auto" w:fill="auto"/>
            <w:noWrap/>
            <w:vAlign w:val="center"/>
            <w:hideMark/>
          </w:tcPr>
          <w:p w14:paraId="37CE796B" w14:textId="69930E45" w:rsidR="00726D67" w:rsidRPr="00820713" w:rsidRDefault="00FE3EC5" w:rsidP="0069684B">
            <w:pPr>
              <w:rPr>
                <w:rFonts w:eastAsia="Times New Roman"/>
                <w:szCs w:val="22"/>
                <w:lang w:val="es-ES" w:eastAsia="ja-JP"/>
              </w:rPr>
            </w:pPr>
            <w:r w:rsidRPr="00820713">
              <w:rPr>
                <w:rFonts w:eastAsia="Times New Roman"/>
                <w:szCs w:val="22"/>
                <w:lang w:val="es-ES" w:eastAsia="ja-JP"/>
              </w:rPr>
              <w:t>144 miembros (julio de 2020)</w:t>
            </w:r>
          </w:p>
        </w:tc>
      </w:tr>
      <w:tr w:rsidR="00726D67" w:rsidRPr="006B1247" w14:paraId="035A6A78"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2F81192"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INTA</w:t>
            </w:r>
          </w:p>
        </w:tc>
        <w:tc>
          <w:tcPr>
            <w:tcW w:w="3796" w:type="dxa"/>
            <w:tcBorders>
              <w:top w:val="nil"/>
              <w:left w:val="nil"/>
              <w:bottom w:val="single" w:sz="4" w:space="0" w:color="auto"/>
              <w:right w:val="single" w:sz="4" w:space="0" w:color="auto"/>
            </w:tcBorders>
            <w:shd w:val="clear" w:color="auto" w:fill="auto"/>
            <w:noWrap/>
            <w:vAlign w:val="center"/>
            <w:hideMark/>
          </w:tcPr>
          <w:p w14:paraId="41C6D6CB" w14:textId="56F47FCE"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Asociación Internacional de Marcas</w:t>
            </w:r>
          </w:p>
        </w:tc>
        <w:tc>
          <w:tcPr>
            <w:tcW w:w="4410" w:type="dxa"/>
            <w:tcBorders>
              <w:top w:val="nil"/>
              <w:left w:val="nil"/>
              <w:bottom w:val="single" w:sz="4" w:space="0" w:color="auto"/>
              <w:right w:val="single" w:sz="4" w:space="0" w:color="auto"/>
            </w:tcBorders>
            <w:shd w:val="clear" w:color="auto" w:fill="auto"/>
            <w:noWrap/>
            <w:vAlign w:val="center"/>
            <w:hideMark/>
          </w:tcPr>
          <w:p w14:paraId="042B11E7" w14:textId="01BD6BE5" w:rsidR="00726D67" w:rsidRPr="00820713" w:rsidRDefault="00FE3EC5" w:rsidP="00FE3EC5">
            <w:pPr>
              <w:rPr>
                <w:rFonts w:eastAsia="Times New Roman"/>
                <w:szCs w:val="22"/>
                <w:lang w:val="es-ES" w:eastAsia="ja-JP"/>
              </w:rPr>
            </w:pPr>
            <w:r w:rsidRPr="00820713">
              <w:rPr>
                <w:rFonts w:eastAsia="Times New Roman"/>
                <w:szCs w:val="22"/>
                <w:lang w:val="es-ES" w:eastAsia="ja-JP"/>
              </w:rPr>
              <w:t>Casi 6.500 organizaciones, que representan a más de 34.350 personas (propietarios de marcas, profesionales y académicos) de 185 países</w:t>
            </w:r>
          </w:p>
        </w:tc>
      </w:tr>
      <w:tr w:rsidR="00726D67" w:rsidRPr="006B1247" w14:paraId="5A105A27"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3EB31CC4"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IPO</w:t>
            </w:r>
          </w:p>
        </w:tc>
        <w:tc>
          <w:tcPr>
            <w:tcW w:w="3796" w:type="dxa"/>
            <w:tcBorders>
              <w:top w:val="nil"/>
              <w:left w:val="nil"/>
              <w:bottom w:val="single" w:sz="4" w:space="0" w:color="auto"/>
              <w:right w:val="single" w:sz="4" w:space="0" w:color="auto"/>
            </w:tcBorders>
            <w:shd w:val="clear" w:color="auto" w:fill="auto"/>
            <w:noWrap/>
            <w:vAlign w:val="center"/>
            <w:hideMark/>
          </w:tcPr>
          <w:p w14:paraId="78635441" w14:textId="61416EAB" w:rsidR="00726D67" w:rsidRPr="00820713" w:rsidRDefault="000C2709" w:rsidP="008C6BFA">
            <w:pPr>
              <w:rPr>
                <w:rFonts w:eastAsia="Times New Roman"/>
                <w:color w:val="000000"/>
                <w:szCs w:val="22"/>
                <w:lang w:val="es-ES" w:eastAsia="ja-JP"/>
              </w:rPr>
            </w:pPr>
            <w:proofErr w:type="spellStart"/>
            <w:r w:rsidRPr="00936C49">
              <w:rPr>
                <w:rFonts w:eastAsia="Times New Roman"/>
                <w:i/>
                <w:color w:val="000000"/>
                <w:szCs w:val="22"/>
                <w:lang w:val="es-ES" w:eastAsia="ja-JP"/>
              </w:rPr>
              <w:t>Intellectual</w:t>
            </w:r>
            <w:proofErr w:type="spellEnd"/>
            <w:r w:rsidRPr="00936C49">
              <w:rPr>
                <w:rFonts w:eastAsia="Times New Roman"/>
                <w:i/>
                <w:color w:val="000000"/>
                <w:szCs w:val="22"/>
                <w:lang w:val="es-ES" w:eastAsia="ja-JP"/>
              </w:rPr>
              <w:t xml:space="preserve"> </w:t>
            </w:r>
            <w:proofErr w:type="spellStart"/>
            <w:r w:rsidRPr="00936C49">
              <w:rPr>
                <w:rFonts w:eastAsia="Times New Roman"/>
                <w:i/>
                <w:color w:val="000000"/>
                <w:szCs w:val="22"/>
                <w:lang w:val="es-ES" w:eastAsia="ja-JP"/>
              </w:rPr>
              <w:t>Property</w:t>
            </w:r>
            <w:proofErr w:type="spellEnd"/>
            <w:r w:rsidRPr="00936C49">
              <w:rPr>
                <w:rFonts w:eastAsia="Times New Roman"/>
                <w:i/>
                <w:color w:val="000000"/>
                <w:szCs w:val="22"/>
                <w:lang w:val="es-ES" w:eastAsia="ja-JP"/>
              </w:rPr>
              <w:t xml:space="preserve"> </w:t>
            </w:r>
            <w:proofErr w:type="spellStart"/>
            <w:r w:rsidRPr="00936C49">
              <w:rPr>
                <w:rFonts w:eastAsia="Times New Roman"/>
                <w:i/>
                <w:color w:val="000000"/>
                <w:szCs w:val="22"/>
                <w:lang w:val="es-ES" w:eastAsia="ja-JP"/>
              </w:rPr>
              <w:t>Owners</w:t>
            </w:r>
            <w:proofErr w:type="spellEnd"/>
            <w:r w:rsidRPr="00936C49">
              <w:rPr>
                <w:rFonts w:eastAsia="Times New Roman"/>
                <w:i/>
                <w:color w:val="000000"/>
                <w:szCs w:val="22"/>
                <w:lang w:val="es-ES" w:eastAsia="ja-JP"/>
              </w:rPr>
              <w:t xml:space="preserve"> </w:t>
            </w:r>
            <w:proofErr w:type="spellStart"/>
            <w:r w:rsidRPr="00936C49">
              <w:rPr>
                <w:rFonts w:eastAsia="Times New Roman"/>
                <w:i/>
                <w:color w:val="000000"/>
                <w:szCs w:val="22"/>
                <w:lang w:val="es-ES" w:eastAsia="ja-JP"/>
              </w:rPr>
              <w:t>Association</w:t>
            </w:r>
            <w:proofErr w:type="spellEnd"/>
            <w:r w:rsidRPr="00936C49">
              <w:rPr>
                <w:rFonts w:eastAsia="Times New Roman"/>
                <w:i/>
                <w:color w:val="000000"/>
                <w:szCs w:val="22"/>
                <w:lang w:val="es-ES" w:eastAsia="ja-JP"/>
              </w:rPr>
              <w:t xml:space="preserve"> (IPO)</w:t>
            </w:r>
          </w:p>
        </w:tc>
        <w:tc>
          <w:tcPr>
            <w:tcW w:w="4410" w:type="dxa"/>
            <w:tcBorders>
              <w:top w:val="nil"/>
              <w:left w:val="nil"/>
              <w:bottom w:val="single" w:sz="4" w:space="0" w:color="auto"/>
              <w:right w:val="single" w:sz="4" w:space="0" w:color="auto"/>
            </w:tcBorders>
            <w:shd w:val="clear" w:color="auto" w:fill="auto"/>
            <w:noWrap/>
            <w:vAlign w:val="center"/>
            <w:hideMark/>
          </w:tcPr>
          <w:p w14:paraId="15A445A4" w14:textId="3C47EB76" w:rsidR="00726D67" w:rsidRPr="00820713" w:rsidRDefault="00FE3EC5" w:rsidP="00FE3EC5">
            <w:pPr>
              <w:rPr>
                <w:rFonts w:eastAsia="Times New Roman"/>
                <w:szCs w:val="22"/>
                <w:lang w:val="es-ES" w:eastAsia="ja-JP"/>
              </w:rPr>
            </w:pPr>
            <w:r w:rsidRPr="00820713">
              <w:rPr>
                <w:rFonts w:eastAsia="Times New Roman"/>
                <w:szCs w:val="22"/>
                <w:lang w:val="es-ES" w:eastAsia="ja-JP"/>
              </w:rPr>
              <w:t>175 empresas y cerca de 12.000 personas que participan en la asociación, ya sea por medio de sus empresas o como inventores, autores, bufetes de abogados o abogados miembros</w:t>
            </w:r>
          </w:p>
        </w:tc>
      </w:tr>
      <w:tr w:rsidR="00726D67" w:rsidRPr="00820713" w14:paraId="4D716275"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05F5F23"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JIPA</w:t>
            </w:r>
          </w:p>
        </w:tc>
        <w:tc>
          <w:tcPr>
            <w:tcW w:w="3796" w:type="dxa"/>
            <w:tcBorders>
              <w:top w:val="nil"/>
              <w:left w:val="nil"/>
              <w:bottom w:val="single" w:sz="4" w:space="0" w:color="auto"/>
              <w:right w:val="single" w:sz="4" w:space="0" w:color="auto"/>
            </w:tcBorders>
            <w:shd w:val="clear" w:color="auto" w:fill="auto"/>
            <w:noWrap/>
            <w:vAlign w:val="center"/>
            <w:hideMark/>
          </w:tcPr>
          <w:p w14:paraId="25D19ACE" w14:textId="78485858"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Asociación Japonesa de Propiedad Intelectual</w:t>
            </w:r>
          </w:p>
        </w:tc>
        <w:tc>
          <w:tcPr>
            <w:tcW w:w="4410" w:type="dxa"/>
            <w:tcBorders>
              <w:top w:val="nil"/>
              <w:left w:val="nil"/>
              <w:bottom w:val="single" w:sz="4" w:space="0" w:color="auto"/>
              <w:right w:val="single" w:sz="4" w:space="0" w:color="auto"/>
            </w:tcBorders>
            <w:shd w:val="clear" w:color="auto" w:fill="auto"/>
            <w:noWrap/>
            <w:vAlign w:val="center"/>
            <w:hideMark/>
          </w:tcPr>
          <w:p w14:paraId="752CA98C" w14:textId="339C44B1" w:rsidR="00726D67" w:rsidRPr="00820713" w:rsidRDefault="0069684B" w:rsidP="0069684B">
            <w:pPr>
              <w:rPr>
                <w:rFonts w:eastAsia="Times New Roman"/>
                <w:szCs w:val="22"/>
                <w:lang w:val="es-ES" w:eastAsia="ja-JP"/>
              </w:rPr>
            </w:pPr>
            <w:r w:rsidRPr="00820713">
              <w:rPr>
                <w:rFonts w:eastAsia="Times New Roman"/>
                <w:szCs w:val="22"/>
                <w:lang w:val="es-ES" w:eastAsia="ja-JP"/>
              </w:rPr>
              <w:t>1.326 miembros (11 de agosto de 2020)</w:t>
            </w:r>
          </w:p>
        </w:tc>
      </w:tr>
      <w:tr w:rsidR="00726D67" w:rsidRPr="00820713" w14:paraId="58F167C5"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11DB136D"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JPAA</w:t>
            </w:r>
          </w:p>
        </w:tc>
        <w:tc>
          <w:tcPr>
            <w:tcW w:w="3796" w:type="dxa"/>
            <w:tcBorders>
              <w:top w:val="nil"/>
              <w:left w:val="nil"/>
              <w:bottom w:val="single" w:sz="4" w:space="0" w:color="auto"/>
              <w:right w:val="single" w:sz="4" w:space="0" w:color="auto"/>
            </w:tcBorders>
            <w:shd w:val="clear" w:color="auto" w:fill="auto"/>
            <w:noWrap/>
            <w:vAlign w:val="center"/>
            <w:hideMark/>
          </w:tcPr>
          <w:p w14:paraId="1C84E5D0" w14:textId="750911DC"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Asociación Japonesa de Abogados de Patentes</w:t>
            </w:r>
          </w:p>
        </w:tc>
        <w:tc>
          <w:tcPr>
            <w:tcW w:w="4410" w:type="dxa"/>
            <w:tcBorders>
              <w:top w:val="nil"/>
              <w:left w:val="nil"/>
              <w:bottom w:val="single" w:sz="4" w:space="0" w:color="auto"/>
              <w:right w:val="single" w:sz="4" w:space="0" w:color="auto"/>
            </w:tcBorders>
            <w:shd w:val="clear" w:color="auto" w:fill="auto"/>
            <w:noWrap/>
            <w:vAlign w:val="center"/>
            <w:hideMark/>
          </w:tcPr>
          <w:p w14:paraId="31710C4B" w14:textId="2D375D31" w:rsidR="00726D67" w:rsidRPr="00820713" w:rsidRDefault="0069684B" w:rsidP="0069684B">
            <w:pPr>
              <w:rPr>
                <w:rFonts w:eastAsia="Times New Roman"/>
                <w:szCs w:val="22"/>
                <w:lang w:val="es-ES" w:eastAsia="ja-JP"/>
              </w:rPr>
            </w:pPr>
            <w:r w:rsidRPr="00820713">
              <w:rPr>
                <w:rFonts w:eastAsia="Times New Roman"/>
                <w:szCs w:val="22"/>
                <w:lang w:val="es-ES" w:eastAsia="ja-JP"/>
              </w:rPr>
              <w:t>[No disponible]</w:t>
            </w:r>
          </w:p>
        </w:tc>
      </w:tr>
      <w:tr w:rsidR="00726D67" w:rsidRPr="00820713" w14:paraId="77A214F0"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4026D831"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KPAA</w:t>
            </w:r>
          </w:p>
        </w:tc>
        <w:tc>
          <w:tcPr>
            <w:tcW w:w="3796" w:type="dxa"/>
            <w:tcBorders>
              <w:top w:val="nil"/>
              <w:left w:val="nil"/>
              <w:bottom w:val="single" w:sz="4" w:space="0" w:color="auto"/>
              <w:right w:val="single" w:sz="4" w:space="0" w:color="auto"/>
            </w:tcBorders>
            <w:shd w:val="clear" w:color="auto" w:fill="auto"/>
            <w:noWrap/>
            <w:vAlign w:val="center"/>
            <w:hideMark/>
          </w:tcPr>
          <w:p w14:paraId="2D40B1A9" w14:textId="6890F8F9"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Asociación Coreana de Abogados de Patentes</w:t>
            </w:r>
          </w:p>
        </w:tc>
        <w:tc>
          <w:tcPr>
            <w:tcW w:w="4410" w:type="dxa"/>
            <w:tcBorders>
              <w:top w:val="nil"/>
              <w:left w:val="nil"/>
              <w:bottom w:val="single" w:sz="4" w:space="0" w:color="auto"/>
              <w:right w:val="single" w:sz="4" w:space="0" w:color="auto"/>
            </w:tcBorders>
            <w:shd w:val="clear" w:color="auto" w:fill="auto"/>
            <w:noWrap/>
            <w:vAlign w:val="center"/>
            <w:hideMark/>
          </w:tcPr>
          <w:p w14:paraId="25EC5C6A" w14:textId="1180E16D" w:rsidR="00726D67" w:rsidRPr="00820713" w:rsidRDefault="0069684B" w:rsidP="0069684B">
            <w:pPr>
              <w:rPr>
                <w:rFonts w:eastAsia="Times New Roman"/>
                <w:szCs w:val="22"/>
                <w:lang w:val="es-ES" w:eastAsia="ja-JP"/>
              </w:rPr>
            </w:pPr>
            <w:r w:rsidRPr="00820713">
              <w:rPr>
                <w:rFonts w:eastAsia="Times New Roman"/>
                <w:szCs w:val="22"/>
                <w:lang w:val="es-ES" w:eastAsia="ja-JP"/>
              </w:rPr>
              <w:t>5.901 miembros (10 de agosto de 2020)</w:t>
            </w:r>
          </w:p>
        </w:tc>
      </w:tr>
      <w:tr w:rsidR="00726D67" w:rsidRPr="006B1247" w14:paraId="531F93AE"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hideMark/>
          </w:tcPr>
          <w:p w14:paraId="200A3180" w14:textId="77777777" w:rsidR="00726D67" w:rsidRPr="00820713" w:rsidRDefault="00726D67" w:rsidP="000A3824">
            <w:pPr>
              <w:rPr>
                <w:rFonts w:eastAsia="Times New Roman"/>
                <w:color w:val="000000"/>
                <w:szCs w:val="22"/>
                <w:lang w:val="es-ES" w:eastAsia="ja-JP"/>
              </w:rPr>
            </w:pPr>
            <w:r w:rsidRPr="00820713">
              <w:rPr>
                <w:rFonts w:eastAsia="Times New Roman"/>
                <w:color w:val="000000"/>
                <w:szCs w:val="22"/>
                <w:lang w:val="es-ES" w:eastAsia="ja-JP"/>
              </w:rPr>
              <w:t>MARQUES</w:t>
            </w:r>
          </w:p>
        </w:tc>
        <w:tc>
          <w:tcPr>
            <w:tcW w:w="3796" w:type="dxa"/>
            <w:tcBorders>
              <w:top w:val="nil"/>
              <w:left w:val="nil"/>
              <w:bottom w:val="single" w:sz="4" w:space="0" w:color="auto"/>
              <w:right w:val="single" w:sz="4" w:space="0" w:color="auto"/>
            </w:tcBorders>
            <w:shd w:val="clear" w:color="auto" w:fill="auto"/>
            <w:noWrap/>
            <w:vAlign w:val="bottom"/>
            <w:hideMark/>
          </w:tcPr>
          <w:p w14:paraId="4219CE25" w14:textId="333D67B8"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Asociación de Titulares Europeos de Marcas</w:t>
            </w:r>
          </w:p>
        </w:tc>
        <w:tc>
          <w:tcPr>
            <w:tcW w:w="4410" w:type="dxa"/>
            <w:tcBorders>
              <w:top w:val="nil"/>
              <w:left w:val="nil"/>
              <w:bottom w:val="single" w:sz="4" w:space="0" w:color="auto"/>
              <w:right w:val="single" w:sz="4" w:space="0" w:color="auto"/>
            </w:tcBorders>
            <w:shd w:val="clear" w:color="auto" w:fill="auto"/>
            <w:noWrap/>
            <w:vAlign w:val="bottom"/>
            <w:hideMark/>
          </w:tcPr>
          <w:p w14:paraId="730648B1" w14:textId="2A3F8AE2" w:rsidR="00726D67" w:rsidRPr="00820713" w:rsidRDefault="0069684B" w:rsidP="0069684B">
            <w:pPr>
              <w:rPr>
                <w:rFonts w:eastAsia="Times New Roman"/>
                <w:szCs w:val="22"/>
                <w:lang w:val="es-ES" w:eastAsia="ja-JP"/>
              </w:rPr>
            </w:pPr>
            <w:r w:rsidRPr="00820713">
              <w:rPr>
                <w:rFonts w:eastAsia="Times New Roman"/>
                <w:szCs w:val="22"/>
                <w:lang w:val="es-ES" w:eastAsia="ja-JP"/>
              </w:rPr>
              <w:t>700 miembros entre empresas y especialistas</w:t>
            </w:r>
          </w:p>
        </w:tc>
      </w:tr>
      <w:tr w:rsidR="00C67234" w:rsidRPr="00820713" w14:paraId="3989F08C" w14:textId="77777777" w:rsidTr="00C67234">
        <w:trPr>
          <w:trHeight w:val="85"/>
        </w:trPr>
        <w:tc>
          <w:tcPr>
            <w:tcW w:w="1329" w:type="dxa"/>
            <w:tcBorders>
              <w:top w:val="nil"/>
              <w:left w:val="single" w:sz="4" w:space="0" w:color="auto"/>
              <w:bottom w:val="single" w:sz="4" w:space="0" w:color="auto"/>
              <w:right w:val="single" w:sz="4" w:space="0" w:color="auto"/>
            </w:tcBorders>
            <w:shd w:val="clear" w:color="auto" w:fill="auto"/>
            <w:noWrap/>
            <w:vAlign w:val="center"/>
          </w:tcPr>
          <w:p w14:paraId="43DF4C2F" w14:textId="01EFF1D3" w:rsidR="00C67234" w:rsidRPr="00820713" w:rsidRDefault="00C67234" w:rsidP="00C67234">
            <w:pPr>
              <w:rPr>
                <w:rFonts w:eastAsia="Times New Roman"/>
                <w:color w:val="000000"/>
                <w:szCs w:val="22"/>
                <w:lang w:val="es-ES" w:eastAsia="ja-JP"/>
              </w:rPr>
            </w:pPr>
          </w:p>
        </w:tc>
        <w:tc>
          <w:tcPr>
            <w:tcW w:w="3796" w:type="dxa"/>
            <w:tcBorders>
              <w:top w:val="nil"/>
              <w:left w:val="nil"/>
              <w:bottom w:val="single" w:sz="4" w:space="0" w:color="auto"/>
              <w:right w:val="single" w:sz="4" w:space="0" w:color="auto"/>
            </w:tcBorders>
            <w:shd w:val="clear" w:color="auto" w:fill="auto"/>
            <w:noWrap/>
            <w:vAlign w:val="center"/>
          </w:tcPr>
          <w:p w14:paraId="687A7080" w14:textId="2DEBC96F" w:rsidR="00C67234" w:rsidRPr="00820713" w:rsidRDefault="00C67234" w:rsidP="00C67234">
            <w:pPr>
              <w:rPr>
                <w:rFonts w:eastAsia="Times New Roman"/>
                <w:i/>
                <w:color w:val="000000"/>
                <w:szCs w:val="22"/>
                <w:lang w:val="es-ES" w:eastAsia="ja-JP"/>
              </w:rPr>
            </w:pPr>
            <w:proofErr w:type="spellStart"/>
            <w:r w:rsidRPr="00820713">
              <w:rPr>
                <w:rFonts w:eastAsia="Times New Roman"/>
                <w:i/>
                <w:color w:val="000000"/>
                <w:szCs w:val="22"/>
                <w:lang w:val="es-ES" w:eastAsia="ja-JP"/>
              </w:rPr>
              <w:t>Bundesverband</w:t>
            </w:r>
            <w:proofErr w:type="spellEnd"/>
            <w:r w:rsidRPr="00820713">
              <w:rPr>
                <w:rFonts w:eastAsia="Times New Roman"/>
                <w:i/>
                <w:color w:val="000000"/>
                <w:szCs w:val="22"/>
                <w:lang w:val="es-ES" w:eastAsia="ja-JP"/>
              </w:rPr>
              <w:t xml:space="preserve"> </w:t>
            </w:r>
            <w:proofErr w:type="spellStart"/>
            <w:r w:rsidRPr="00820713">
              <w:rPr>
                <w:rFonts w:eastAsia="Times New Roman"/>
                <w:i/>
                <w:color w:val="000000"/>
                <w:szCs w:val="22"/>
                <w:lang w:val="es-ES" w:eastAsia="ja-JP"/>
              </w:rPr>
              <w:t>Deutscher</w:t>
            </w:r>
            <w:proofErr w:type="spellEnd"/>
            <w:r w:rsidRPr="00820713">
              <w:rPr>
                <w:rFonts w:eastAsia="Times New Roman"/>
                <w:i/>
                <w:color w:val="000000"/>
                <w:szCs w:val="22"/>
                <w:lang w:val="es-ES" w:eastAsia="ja-JP"/>
              </w:rPr>
              <w:t xml:space="preserve"> </w:t>
            </w:r>
            <w:proofErr w:type="spellStart"/>
            <w:r w:rsidRPr="00820713">
              <w:rPr>
                <w:rFonts w:eastAsia="Times New Roman"/>
                <w:i/>
                <w:color w:val="000000"/>
                <w:szCs w:val="22"/>
                <w:lang w:val="es-ES" w:eastAsia="ja-JP"/>
              </w:rPr>
              <w:t>Patentanwälte</w:t>
            </w:r>
            <w:proofErr w:type="spellEnd"/>
            <w:r w:rsidRPr="00820713">
              <w:rPr>
                <w:rFonts w:eastAsia="Times New Roman"/>
                <w:i/>
                <w:color w:val="000000"/>
                <w:szCs w:val="22"/>
                <w:lang w:val="es-ES" w:eastAsia="ja-JP"/>
              </w:rPr>
              <w:t xml:space="preserve"> </w:t>
            </w:r>
          </w:p>
        </w:tc>
        <w:tc>
          <w:tcPr>
            <w:tcW w:w="4410" w:type="dxa"/>
            <w:tcBorders>
              <w:top w:val="nil"/>
              <w:left w:val="nil"/>
              <w:bottom w:val="single" w:sz="4" w:space="0" w:color="auto"/>
              <w:right w:val="single" w:sz="4" w:space="0" w:color="auto"/>
            </w:tcBorders>
            <w:shd w:val="clear" w:color="auto" w:fill="auto"/>
            <w:noWrap/>
            <w:vAlign w:val="center"/>
          </w:tcPr>
          <w:p w14:paraId="3C3ADF01" w14:textId="08AA4CB5" w:rsidR="00C67234" w:rsidRPr="00820713" w:rsidRDefault="0069684B" w:rsidP="0069684B">
            <w:pPr>
              <w:rPr>
                <w:rFonts w:eastAsia="Times New Roman"/>
                <w:szCs w:val="22"/>
                <w:lang w:val="es-ES" w:eastAsia="ja-JP"/>
              </w:rPr>
            </w:pPr>
            <w:r w:rsidRPr="00820713">
              <w:rPr>
                <w:rFonts w:eastAsia="Times New Roman"/>
                <w:szCs w:val="22"/>
                <w:lang w:val="es-ES" w:eastAsia="ja-JP"/>
              </w:rPr>
              <w:t>800 miembros</w:t>
            </w:r>
          </w:p>
        </w:tc>
      </w:tr>
      <w:tr w:rsidR="00726D67" w:rsidRPr="006B1247" w14:paraId="2366CF32" w14:textId="77777777" w:rsidTr="00C67234">
        <w:trPr>
          <w:trHeight w:val="85"/>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14AE8" w14:textId="77777777" w:rsidR="00726D67" w:rsidRPr="00820713" w:rsidRDefault="00726D67" w:rsidP="000A3824">
            <w:pPr>
              <w:jc w:val="center"/>
              <w:rPr>
                <w:rFonts w:eastAsia="Times New Roman"/>
                <w:color w:val="9C0006"/>
                <w:szCs w:val="22"/>
                <w:lang w:val="es-ES" w:eastAsia="ja-JP"/>
              </w:rPr>
            </w:pPr>
          </w:p>
        </w:tc>
        <w:tc>
          <w:tcPr>
            <w:tcW w:w="3796" w:type="dxa"/>
            <w:tcBorders>
              <w:top w:val="nil"/>
              <w:left w:val="nil"/>
              <w:bottom w:val="single" w:sz="4" w:space="0" w:color="auto"/>
              <w:right w:val="single" w:sz="4" w:space="0" w:color="auto"/>
            </w:tcBorders>
            <w:shd w:val="clear" w:color="auto" w:fill="auto"/>
            <w:noWrap/>
            <w:vAlign w:val="center"/>
            <w:hideMark/>
          </w:tcPr>
          <w:p w14:paraId="7E53982B" w14:textId="0F22109B" w:rsidR="00726D67" w:rsidRPr="00820713" w:rsidRDefault="008C6BFA" w:rsidP="008C6BFA">
            <w:pPr>
              <w:rPr>
                <w:rFonts w:eastAsia="Times New Roman"/>
                <w:color w:val="000000"/>
                <w:szCs w:val="22"/>
                <w:lang w:val="es-ES" w:eastAsia="ja-JP"/>
              </w:rPr>
            </w:pPr>
            <w:r w:rsidRPr="00820713">
              <w:rPr>
                <w:rFonts w:eastAsia="Times New Roman"/>
                <w:color w:val="000000"/>
                <w:szCs w:val="22"/>
                <w:lang w:val="es-ES" w:eastAsia="ja-JP"/>
              </w:rPr>
              <w:t>Cámara de Comercio e Industria de la Federación de Rusia</w:t>
            </w:r>
          </w:p>
        </w:tc>
        <w:tc>
          <w:tcPr>
            <w:tcW w:w="4410" w:type="dxa"/>
            <w:tcBorders>
              <w:top w:val="nil"/>
              <w:left w:val="nil"/>
              <w:bottom w:val="single" w:sz="4" w:space="0" w:color="auto"/>
              <w:right w:val="single" w:sz="4" w:space="0" w:color="auto"/>
            </w:tcBorders>
            <w:shd w:val="clear" w:color="auto" w:fill="auto"/>
            <w:noWrap/>
            <w:vAlign w:val="center"/>
            <w:hideMark/>
          </w:tcPr>
          <w:p w14:paraId="6801AD6B" w14:textId="5CB79EC1" w:rsidR="00726D67" w:rsidRPr="00820713" w:rsidRDefault="0069684B" w:rsidP="0069684B">
            <w:pPr>
              <w:rPr>
                <w:rFonts w:eastAsia="Times New Roman"/>
                <w:szCs w:val="22"/>
                <w:lang w:val="es-ES" w:eastAsia="ja-JP"/>
              </w:rPr>
            </w:pPr>
            <w:r w:rsidRPr="00820713">
              <w:rPr>
                <w:rFonts w:eastAsia="Times New Roman"/>
                <w:szCs w:val="22"/>
                <w:lang w:val="es-ES" w:eastAsia="ja-JP"/>
              </w:rPr>
              <w:t>179 cámaras de comercio e industria de los sujetos de la Federación de Rusia, más de 52.000 organizaciones, más de 300 asociaciones de empresarios y organizaciones comerciales a nivel federal, más de 500 asociaciones empresariales a nivel regional</w:t>
            </w:r>
          </w:p>
        </w:tc>
      </w:tr>
      <w:tr w:rsidR="00726D67" w:rsidRPr="00820713" w14:paraId="79D48438" w14:textId="77777777" w:rsidTr="00C67234">
        <w:trPr>
          <w:trHeight w:val="85"/>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7652A" w14:textId="77777777" w:rsidR="00726D67" w:rsidRPr="00820713" w:rsidRDefault="00726D67" w:rsidP="000A3824">
            <w:pPr>
              <w:jc w:val="center"/>
              <w:rPr>
                <w:rFonts w:eastAsia="Times New Roman"/>
                <w:color w:val="9C0006"/>
                <w:szCs w:val="22"/>
                <w:lang w:val="es-ES" w:eastAsia="ja-JP"/>
              </w:rPr>
            </w:pPr>
          </w:p>
        </w:tc>
        <w:tc>
          <w:tcPr>
            <w:tcW w:w="3796" w:type="dxa"/>
            <w:tcBorders>
              <w:top w:val="nil"/>
              <w:left w:val="nil"/>
              <w:bottom w:val="single" w:sz="4" w:space="0" w:color="auto"/>
              <w:right w:val="single" w:sz="4" w:space="0" w:color="auto"/>
            </w:tcBorders>
            <w:shd w:val="clear" w:color="auto" w:fill="auto"/>
            <w:noWrap/>
            <w:vAlign w:val="center"/>
            <w:hideMark/>
          </w:tcPr>
          <w:p w14:paraId="1460D859" w14:textId="77777777" w:rsidR="00726D67" w:rsidRPr="00820713" w:rsidRDefault="00726D67" w:rsidP="000A3824">
            <w:pPr>
              <w:rPr>
                <w:rFonts w:eastAsia="Times New Roman"/>
                <w:i/>
                <w:color w:val="000000"/>
                <w:szCs w:val="22"/>
                <w:lang w:val="es-ES" w:eastAsia="ja-JP"/>
              </w:rPr>
            </w:pPr>
            <w:r w:rsidRPr="00820713">
              <w:rPr>
                <w:rFonts w:eastAsia="Times New Roman"/>
                <w:i/>
                <w:color w:val="000000"/>
                <w:szCs w:val="22"/>
                <w:lang w:val="es-ES" w:eastAsia="ja-JP"/>
              </w:rPr>
              <w:t>Patentanwaltskammer</w:t>
            </w:r>
          </w:p>
        </w:tc>
        <w:tc>
          <w:tcPr>
            <w:tcW w:w="4410" w:type="dxa"/>
            <w:tcBorders>
              <w:top w:val="nil"/>
              <w:left w:val="nil"/>
              <w:bottom w:val="single" w:sz="4" w:space="0" w:color="auto"/>
              <w:right w:val="single" w:sz="4" w:space="0" w:color="auto"/>
            </w:tcBorders>
            <w:shd w:val="clear" w:color="auto" w:fill="auto"/>
            <w:noWrap/>
            <w:vAlign w:val="center"/>
            <w:hideMark/>
          </w:tcPr>
          <w:p w14:paraId="62588ADF" w14:textId="78144E1D" w:rsidR="00726D67" w:rsidRPr="00820713" w:rsidRDefault="0069684B" w:rsidP="0069684B">
            <w:pPr>
              <w:rPr>
                <w:rFonts w:eastAsia="Times New Roman"/>
                <w:szCs w:val="22"/>
                <w:lang w:val="es-ES" w:eastAsia="ja-JP"/>
              </w:rPr>
            </w:pPr>
            <w:r w:rsidRPr="00820713">
              <w:rPr>
                <w:rFonts w:eastAsia="Times New Roman"/>
                <w:szCs w:val="22"/>
                <w:lang w:val="es-ES" w:eastAsia="ja-JP"/>
              </w:rPr>
              <w:t>4.000 miembros</w:t>
            </w:r>
          </w:p>
        </w:tc>
      </w:tr>
      <w:tr w:rsidR="00726D67" w:rsidRPr="00820713" w14:paraId="4734991A" w14:textId="77777777" w:rsidTr="00C67234">
        <w:trPr>
          <w:trHeight w:val="85"/>
        </w:trPr>
        <w:tc>
          <w:tcPr>
            <w:tcW w:w="13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1582B" w14:textId="77777777" w:rsidR="00726D67" w:rsidRPr="00820713" w:rsidRDefault="00726D67" w:rsidP="000A3824">
            <w:pPr>
              <w:jc w:val="center"/>
              <w:rPr>
                <w:rFonts w:eastAsia="Times New Roman"/>
                <w:color w:val="9C0006"/>
                <w:szCs w:val="22"/>
                <w:lang w:val="es-ES" w:eastAsia="ja-JP"/>
              </w:rPr>
            </w:pPr>
          </w:p>
        </w:tc>
        <w:tc>
          <w:tcPr>
            <w:tcW w:w="3796" w:type="dxa"/>
            <w:tcBorders>
              <w:top w:val="nil"/>
              <w:left w:val="nil"/>
              <w:bottom w:val="single" w:sz="4" w:space="0" w:color="auto"/>
              <w:right w:val="single" w:sz="4" w:space="0" w:color="auto"/>
            </w:tcBorders>
            <w:shd w:val="clear" w:color="auto" w:fill="auto"/>
            <w:noWrap/>
            <w:vAlign w:val="center"/>
            <w:hideMark/>
          </w:tcPr>
          <w:p w14:paraId="28006554" w14:textId="7CF296A5" w:rsidR="00726D67" w:rsidRPr="00820713" w:rsidRDefault="008C6BFA" w:rsidP="008C6BFA">
            <w:pPr>
              <w:rPr>
                <w:rFonts w:eastAsia="Times New Roman"/>
                <w:color w:val="303030"/>
                <w:szCs w:val="22"/>
                <w:lang w:val="es-ES" w:eastAsia="ja-JP"/>
              </w:rPr>
            </w:pPr>
            <w:r w:rsidRPr="00820713">
              <w:rPr>
                <w:rFonts w:eastAsia="Times New Roman"/>
                <w:color w:val="303030"/>
                <w:szCs w:val="22"/>
                <w:lang w:val="es-ES" w:eastAsia="ja-JP"/>
              </w:rPr>
              <w:t>Cámara de Comercio e Industria de Ucrania</w:t>
            </w:r>
          </w:p>
        </w:tc>
        <w:tc>
          <w:tcPr>
            <w:tcW w:w="4410" w:type="dxa"/>
            <w:tcBorders>
              <w:top w:val="nil"/>
              <w:left w:val="nil"/>
              <w:bottom w:val="single" w:sz="4" w:space="0" w:color="auto"/>
              <w:right w:val="single" w:sz="4" w:space="0" w:color="auto"/>
            </w:tcBorders>
            <w:shd w:val="clear" w:color="auto" w:fill="auto"/>
            <w:noWrap/>
            <w:vAlign w:val="center"/>
            <w:hideMark/>
          </w:tcPr>
          <w:p w14:paraId="323C1D16" w14:textId="4E32F68F" w:rsidR="00726D67" w:rsidRPr="00820713" w:rsidRDefault="0069684B" w:rsidP="0069684B">
            <w:pPr>
              <w:rPr>
                <w:rFonts w:eastAsia="Times New Roman"/>
                <w:szCs w:val="22"/>
                <w:lang w:val="es-ES" w:eastAsia="ja-JP"/>
              </w:rPr>
            </w:pPr>
            <w:r w:rsidRPr="00820713">
              <w:rPr>
                <w:rFonts w:eastAsia="Times New Roman"/>
                <w:szCs w:val="22"/>
                <w:lang w:val="es-ES" w:eastAsia="ja-JP"/>
              </w:rPr>
              <w:t>7.948 miembros</w:t>
            </w:r>
          </w:p>
        </w:tc>
      </w:tr>
    </w:tbl>
    <w:p w14:paraId="6AFACF99" w14:textId="4E94C564" w:rsidR="005D1C83" w:rsidRDefault="005D1C83" w:rsidP="00936C49">
      <w:pPr>
        <w:pStyle w:val="ONUME"/>
        <w:numPr>
          <w:ilvl w:val="0"/>
          <w:numId w:val="0"/>
        </w:numPr>
        <w:tabs>
          <w:tab w:val="left" w:pos="6345"/>
        </w:tabs>
        <w:spacing w:before="480"/>
        <w:ind w:firstLine="5098"/>
        <w:rPr>
          <w:lang w:val="es-ES"/>
        </w:rPr>
      </w:pPr>
      <w:r>
        <w:rPr>
          <w:lang w:val="es-ES"/>
        </w:rPr>
        <w:tab/>
      </w:r>
    </w:p>
    <w:p w14:paraId="711B35AD" w14:textId="60AD1490" w:rsidR="0069684B" w:rsidRPr="00820713" w:rsidRDefault="0069684B" w:rsidP="0069684B">
      <w:pPr>
        <w:pStyle w:val="ONUME"/>
        <w:numPr>
          <w:ilvl w:val="0"/>
          <w:numId w:val="0"/>
        </w:numPr>
        <w:spacing w:before="480"/>
        <w:ind w:firstLine="5098"/>
        <w:rPr>
          <w:lang w:val="es-ES"/>
        </w:rPr>
      </w:pPr>
      <w:r w:rsidRPr="00820713">
        <w:rPr>
          <w:lang w:val="es-ES"/>
        </w:rPr>
        <w:t>[Sigue el Anexo II]</w:t>
      </w:r>
      <w:r w:rsidR="00497DC7" w:rsidRPr="00820713">
        <w:rPr>
          <w:lang w:val="es-ES"/>
        </w:rPr>
        <w:br w:type="page"/>
      </w:r>
    </w:p>
    <w:p w14:paraId="2FA7B16B" w14:textId="5212034B" w:rsidR="0069684B" w:rsidRPr="00820713" w:rsidRDefault="0069684B" w:rsidP="0069684B">
      <w:pPr>
        <w:autoSpaceDE w:val="0"/>
        <w:autoSpaceDN w:val="0"/>
        <w:adjustRightInd w:val="0"/>
        <w:jc w:val="center"/>
        <w:rPr>
          <w:rFonts w:eastAsia="MS Mincho"/>
          <w:b/>
          <w:bCs/>
          <w:szCs w:val="22"/>
          <w:lang w:val="es-ES" w:eastAsia="en-US"/>
        </w:rPr>
      </w:pPr>
      <w:r w:rsidRPr="00820713">
        <w:rPr>
          <w:rFonts w:eastAsia="MS Mincho"/>
          <w:b/>
          <w:bCs/>
          <w:szCs w:val="22"/>
          <w:lang w:val="es-ES" w:eastAsia="en-US"/>
        </w:rPr>
        <w:lastRenderedPageBreak/>
        <w:t>Reglamento Común</w:t>
      </w:r>
    </w:p>
    <w:p w14:paraId="0386A1F1" w14:textId="7E385AB5" w:rsidR="0069684B" w:rsidRPr="00820713" w:rsidRDefault="0069684B" w:rsidP="0069684B">
      <w:pPr>
        <w:autoSpaceDE w:val="0"/>
        <w:autoSpaceDN w:val="0"/>
        <w:adjustRightInd w:val="0"/>
        <w:jc w:val="center"/>
        <w:rPr>
          <w:rFonts w:eastAsia="MS Mincho"/>
          <w:b/>
          <w:bCs/>
          <w:szCs w:val="22"/>
          <w:lang w:val="es-ES" w:eastAsia="en-US"/>
        </w:rPr>
      </w:pPr>
      <w:r w:rsidRPr="00820713">
        <w:rPr>
          <w:rFonts w:eastAsia="MS Mincho"/>
          <w:b/>
          <w:bCs/>
          <w:szCs w:val="22"/>
          <w:lang w:val="es-ES" w:eastAsia="en-US"/>
        </w:rPr>
        <w:t>del Acta de 1999 y del Acta de 1960</w:t>
      </w:r>
    </w:p>
    <w:p w14:paraId="04A045DD" w14:textId="506522FD" w:rsidR="0069684B" w:rsidRPr="00820713" w:rsidRDefault="0069684B" w:rsidP="0069684B">
      <w:pPr>
        <w:autoSpaceDE w:val="0"/>
        <w:autoSpaceDN w:val="0"/>
        <w:adjustRightInd w:val="0"/>
        <w:jc w:val="center"/>
        <w:rPr>
          <w:rFonts w:eastAsia="MS Mincho"/>
          <w:b/>
          <w:bCs/>
          <w:szCs w:val="22"/>
          <w:lang w:val="es-ES" w:eastAsia="en-US"/>
        </w:rPr>
      </w:pPr>
      <w:r w:rsidRPr="00820713">
        <w:rPr>
          <w:rFonts w:eastAsia="MS Mincho"/>
          <w:b/>
          <w:bCs/>
          <w:szCs w:val="22"/>
          <w:lang w:val="es-ES" w:eastAsia="en-US"/>
        </w:rPr>
        <w:t>del Arreglo de La Haya</w:t>
      </w:r>
    </w:p>
    <w:p w14:paraId="37FB003F" w14:textId="22BF1032" w:rsidR="0069684B" w:rsidRPr="00820713" w:rsidRDefault="0069684B" w:rsidP="0069684B">
      <w:pPr>
        <w:pStyle w:val="Endofdocument-Annex"/>
        <w:spacing w:before="240" w:after="240"/>
        <w:ind w:left="0"/>
        <w:jc w:val="center"/>
        <w:rPr>
          <w:rFonts w:eastAsia="MS Mincho"/>
          <w:szCs w:val="22"/>
          <w:lang w:val="es-ES" w:eastAsia="en-US"/>
        </w:rPr>
      </w:pPr>
      <w:r w:rsidRPr="00820713">
        <w:rPr>
          <w:rFonts w:eastAsia="MS Mincho"/>
          <w:szCs w:val="22"/>
          <w:lang w:val="es-ES" w:eastAsia="en-US"/>
        </w:rPr>
        <w:t>(texto en vigor el [1 de enero de 2022])</w:t>
      </w:r>
    </w:p>
    <w:p w14:paraId="011D581B" w14:textId="77777777" w:rsidR="0069684B" w:rsidRPr="00820713" w:rsidRDefault="00182DDE" w:rsidP="00182DDE">
      <w:pPr>
        <w:pStyle w:val="indent1"/>
        <w:spacing w:before="480"/>
        <w:rPr>
          <w:rFonts w:ascii="Arial" w:hAnsi="Arial" w:cs="Arial"/>
          <w:sz w:val="22"/>
          <w:szCs w:val="22"/>
          <w:lang w:val="es-ES"/>
        </w:rPr>
      </w:pPr>
      <w:r w:rsidRPr="00820713">
        <w:rPr>
          <w:rFonts w:ascii="Arial" w:hAnsi="Arial" w:cs="Arial"/>
          <w:sz w:val="22"/>
          <w:szCs w:val="22"/>
          <w:lang w:val="es-ES"/>
        </w:rPr>
        <w:t>[…]</w:t>
      </w:r>
    </w:p>
    <w:p w14:paraId="1C41B773" w14:textId="19967E03" w:rsidR="0069684B" w:rsidRPr="00820713" w:rsidRDefault="0069684B" w:rsidP="0069684B">
      <w:pPr>
        <w:pStyle w:val="Heading4"/>
        <w:keepNext w:val="0"/>
        <w:jc w:val="center"/>
        <w:rPr>
          <w:lang w:val="es-ES"/>
        </w:rPr>
      </w:pPr>
      <w:r w:rsidRPr="00820713">
        <w:rPr>
          <w:lang w:val="es-ES"/>
        </w:rPr>
        <w:t>Regla 17</w:t>
      </w:r>
    </w:p>
    <w:p w14:paraId="23AE0B14" w14:textId="63AAFB82" w:rsidR="0069684B" w:rsidRPr="00820713" w:rsidRDefault="0069684B" w:rsidP="0069684B">
      <w:pPr>
        <w:pStyle w:val="Heading4"/>
        <w:keepNext w:val="0"/>
        <w:jc w:val="center"/>
        <w:rPr>
          <w:lang w:val="es-ES"/>
        </w:rPr>
      </w:pPr>
      <w:r w:rsidRPr="00820713">
        <w:rPr>
          <w:lang w:val="es-ES"/>
        </w:rPr>
        <w:t>Publicación del registro internacional</w:t>
      </w:r>
    </w:p>
    <w:p w14:paraId="7FD72099" w14:textId="3F78FE0F" w:rsidR="0069684B" w:rsidRPr="00820713" w:rsidRDefault="0069684B" w:rsidP="0069684B">
      <w:pPr>
        <w:pStyle w:val="indent1"/>
        <w:spacing w:before="240" w:after="240"/>
        <w:ind w:firstLine="1134"/>
        <w:rPr>
          <w:rFonts w:ascii="Arial" w:hAnsi="Arial" w:cs="Arial"/>
          <w:sz w:val="22"/>
          <w:szCs w:val="22"/>
          <w:lang w:val="es-ES"/>
        </w:rPr>
      </w:pPr>
      <w:r w:rsidRPr="00820713">
        <w:rPr>
          <w:rFonts w:ascii="Arial" w:hAnsi="Arial" w:cs="Arial"/>
          <w:sz w:val="22"/>
          <w:szCs w:val="22"/>
          <w:lang w:val="es-ES"/>
        </w:rPr>
        <w:t>1)</w:t>
      </w:r>
      <w:r w:rsidRPr="00820713">
        <w:rPr>
          <w:rFonts w:ascii="Arial" w:hAnsi="Arial" w:cs="Arial"/>
          <w:sz w:val="22"/>
          <w:szCs w:val="22"/>
          <w:lang w:val="es-ES"/>
        </w:rPr>
        <w:tab/>
        <w:t>[</w:t>
      </w:r>
      <w:r w:rsidRPr="00820713">
        <w:rPr>
          <w:rFonts w:ascii="Arial" w:hAnsi="Arial" w:cs="Arial"/>
          <w:i/>
          <w:sz w:val="22"/>
          <w:szCs w:val="22"/>
          <w:lang w:val="es-ES"/>
        </w:rPr>
        <w:t>Fecha de publicación</w:t>
      </w:r>
      <w:r w:rsidRPr="00820713">
        <w:rPr>
          <w:rFonts w:ascii="Arial" w:hAnsi="Arial" w:cs="Arial"/>
          <w:sz w:val="22"/>
          <w:szCs w:val="22"/>
          <w:lang w:val="es-ES"/>
        </w:rPr>
        <w:t>] El registro internacional se publicará</w:t>
      </w:r>
    </w:p>
    <w:p w14:paraId="603B9AC3" w14:textId="25E575C0" w:rsidR="0069684B" w:rsidRPr="00820713" w:rsidRDefault="0069684B" w:rsidP="00820713">
      <w:pPr>
        <w:pStyle w:val="indent1"/>
        <w:ind w:left="567" w:firstLine="1134"/>
        <w:jc w:val="left"/>
        <w:rPr>
          <w:rFonts w:ascii="Arial" w:hAnsi="Arial" w:cs="Arial"/>
          <w:sz w:val="22"/>
          <w:szCs w:val="22"/>
          <w:lang w:val="es-ES"/>
        </w:rPr>
      </w:pPr>
      <w:r w:rsidRPr="00820713">
        <w:rPr>
          <w:rFonts w:ascii="Arial" w:hAnsi="Arial" w:cs="Arial"/>
          <w:sz w:val="22"/>
          <w:szCs w:val="22"/>
          <w:lang w:val="es-ES"/>
        </w:rPr>
        <w:t>i)</w:t>
      </w:r>
      <w:r w:rsidRPr="00820713">
        <w:rPr>
          <w:rFonts w:ascii="Arial" w:hAnsi="Arial" w:cs="Arial"/>
          <w:sz w:val="22"/>
          <w:szCs w:val="22"/>
          <w:lang w:val="es-ES"/>
        </w:rPr>
        <w:tab/>
        <w:t>cuando lo pida el solicitante, inmediatamente después de haberse efectuado la inscripción;</w:t>
      </w:r>
    </w:p>
    <w:p w14:paraId="31AFA9CF" w14:textId="259ABD5B" w:rsidR="0069684B" w:rsidRPr="00FD32E8" w:rsidRDefault="008255A5" w:rsidP="008255A5">
      <w:pPr>
        <w:pStyle w:val="indent1"/>
        <w:ind w:left="567" w:firstLine="1134"/>
        <w:jc w:val="left"/>
        <w:rPr>
          <w:rFonts w:ascii="Arial" w:hAnsi="Arial" w:cs="Arial"/>
          <w:sz w:val="22"/>
          <w:szCs w:val="22"/>
          <w:lang w:val="es-ES"/>
        </w:rPr>
      </w:pPr>
      <w:r w:rsidRPr="00820713">
        <w:rPr>
          <w:rFonts w:ascii="Arial" w:hAnsi="Arial" w:cs="Arial"/>
          <w:sz w:val="22"/>
          <w:szCs w:val="22"/>
          <w:lang w:val="es-ES"/>
        </w:rPr>
        <w:t>ii)</w:t>
      </w:r>
      <w:r w:rsidRPr="00820713">
        <w:rPr>
          <w:rFonts w:ascii="Arial" w:hAnsi="Arial" w:cs="Arial"/>
          <w:sz w:val="22"/>
          <w:szCs w:val="22"/>
          <w:lang w:val="es-ES"/>
        </w:rPr>
        <w:tab/>
      </w:r>
      <w:r w:rsidRPr="00936C49">
        <w:rPr>
          <w:rFonts w:ascii="Arial" w:hAnsi="Arial" w:cs="Arial"/>
          <w:sz w:val="22"/>
          <w:szCs w:val="22"/>
          <w:u w:val="single"/>
          <w:lang w:val="es-ES"/>
        </w:rPr>
        <w:t xml:space="preserve">con sujeción a lo dispuesto en el apartado </w:t>
      </w:r>
      <w:proofErr w:type="spellStart"/>
      <w:r w:rsidRPr="00936C49">
        <w:rPr>
          <w:rFonts w:ascii="Arial" w:hAnsi="Arial" w:cs="Arial"/>
          <w:sz w:val="22"/>
          <w:szCs w:val="22"/>
          <w:u w:val="single"/>
          <w:lang w:val="es-ES"/>
        </w:rPr>
        <w:t>ii.</w:t>
      </w:r>
      <w:r w:rsidRPr="00936C49">
        <w:rPr>
          <w:rFonts w:ascii="Arial" w:hAnsi="Arial" w:cs="Arial"/>
          <w:i/>
          <w:sz w:val="22"/>
          <w:szCs w:val="22"/>
          <w:u w:val="single"/>
          <w:lang w:val="es-ES"/>
        </w:rPr>
        <w:t>bis</w:t>
      </w:r>
      <w:proofErr w:type="spellEnd"/>
      <w:r w:rsidRPr="00936C49">
        <w:rPr>
          <w:rFonts w:ascii="Arial" w:hAnsi="Arial" w:cs="Arial"/>
          <w:sz w:val="22"/>
          <w:szCs w:val="22"/>
          <w:u w:val="single"/>
          <w:lang w:val="es-ES"/>
        </w:rPr>
        <w:t>)</w:t>
      </w:r>
      <w:r w:rsidRPr="00FD32E8">
        <w:rPr>
          <w:rFonts w:ascii="Arial" w:hAnsi="Arial" w:cs="Arial"/>
          <w:sz w:val="22"/>
          <w:szCs w:val="22"/>
          <w:lang w:val="es-ES"/>
        </w:rPr>
        <w:t>, cuando se haya pedido el aplazamiento de la publicación y no se haya desestimado la petición, inmediatamente después de que haya vencido el período de aplazamiento</w:t>
      </w:r>
      <w:r w:rsidRPr="00FD32E8">
        <w:rPr>
          <w:rFonts w:ascii="Arial" w:hAnsi="Arial" w:cs="Arial"/>
          <w:strike/>
          <w:sz w:val="22"/>
          <w:szCs w:val="22"/>
          <w:lang w:val="es-ES"/>
        </w:rPr>
        <w:t xml:space="preserve"> o se considere que haya vencido</w:t>
      </w:r>
      <w:r w:rsidRPr="00FD32E8">
        <w:rPr>
          <w:rFonts w:ascii="Arial" w:hAnsi="Arial" w:cs="Arial"/>
          <w:sz w:val="22"/>
          <w:szCs w:val="22"/>
          <w:lang w:val="es-ES"/>
        </w:rPr>
        <w:t>;</w:t>
      </w:r>
    </w:p>
    <w:p w14:paraId="46224CCE" w14:textId="0EA68DE3" w:rsidR="0069684B" w:rsidRPr="00936C49" w:rsidRDefault="008255A5" w:rsidP="008255A5">
      <w:pPr>
        <w:pStyle w:val="indent1"/>
        <w:ind w:left="567" w:firstLine="1134"/>
        <w:rPr>
          <w:rFonts w:ascii="Arial" w:hAnsi="Arial" w:cs="Arial"/>
          <w:sz w:val="22"/>
          <w:szCs w:val="22"/>
          <w:u w:val="single"/>
          <w:lang w:val="es-ES"/>
        </w:rPr>
      </w:pPr>
      <w:proofErr w:type="spellStart"/>
      <w:r w:rsidRPr="00936C49">
        <w:rPr>
          <w:rFonts w:ascii="Arial" w:hAnsi="Arial" w:cs="Arial"/>
          <w:sz w:val="22"/>
          <w:szCs w:val="22"/>
          <w:u w:val="single"/>
          <w:lang w:val="es-ES"/>
        </w:rPr>
        <w:t>ii.</w:t>
      </w:r>
      <w:r w:rsidRPr="00936C49">
        <w:rPr>
          <w:rFonts w:ascii="Arial" w:hAnsi="Arial" w:cs="Arial"/>
          <w:i/>
          <w:sz w:val="22"/>
          <w:szCs w:val="22"/>
          <w:u w:val="single"/>
          <w:lang w:val="es-ES"/>
        </w:rPr>
        <w:t>bis</w:t>
      </w:r>
      <w:proofErr w:type="spellEnd"/>
      <w:r w:rsidRPr="00936C49">
        <w:rPr>
          <w:rFonts w:ascii="Arial" w:hAnsi="Arial" w:cs="Arial"/>
          <w:sz w:val="22"/>
          <w:szCs w:val="22"/>
          <w:u w:val="single"/>
          <w:lang w:val="es-ES"/>
        </w:rPr>
        <w:t>) cuando lo pida el titular, inmediatamente después de que la Oficina Internacional reciba la petición,</w:t>
      </w:r>
    </w:p>
    <w:p w14:paraId="0FA4340A" w14:textId="3BE695B0" w:rsidR="0069684B" w:rsidRPr="00FD32E8" w:rsidRDefault="008255A5" w:rsidP="008255A5">
      <w:pPr>
        <w:pStyle w:val="indent1"/>
        <w:ind w:left="567" w:firstLine="1134"/>
        <w:jc w:val="left"/>
        <w:rPr>
          <w:rFonts w:ascii="Arial" w:hAnsi="Arial" w:cs="Arial"/>
          <w:sz w:val="22"/>
          <w:szCs w:val="22"/>
          <w:lang w:val="es-ES"/>
        </w:rPr>
      </w:pPr>
      <w:r w:rsidRPr="00FD32E8">
        <w:rPr>
          <w:rFonts w:ascii="Arial" w:hAnsi="Arial" w:cs="Arial"/>
          <w:sz w:val="22"/>
          <w:szCs w:val="22"/>
          <w:lang w:val="es-ES"/>
        </w:rPr>
        <w:t>iii)</w:t>
      </w:r>
      <w:r w:rsidRPr="00FD32E8">
        <w:rPr>
          <w:rFonts w:ascii="Arial" w:hAnsi="Arial" w:cs="Arial"/>
          <w:sz w:val="22"/>
          <w:szCs w:val="22"/>
          <w:lang w:val="es-ES"/>
        </w:rPr>
        <w:tab/>
        <w:t xml:space="preserve">en los demás casos, </w:t>
      </w:r>
      <w:r w:rsidRPr="00FD32E8">
        <w:rPr>
          <w:rFonts w:ascii="Arial" w:hAnsi="Arial" w:cs="Arial"/>
          <w:strike/>
          <w:sz w:val="22"/>
          <w:szCs w:val="22"/>
          <w:lang w:val="es-ES"/>
        </w:rPr>
        <w:t>seis</w:t>
      </w:r>
      <w:r w:rsidRPr="00936C49">
        <w:rPr>
          <w:rFonts w:ascii="Arial" w:hAnsi="Arial" w:cs="Arial"/>
          <w:sz w:val="22"/>
          <w:szCs w:val="22"/>
          <w:u w:val="single"/>
          <w:lang w:val="es-ES"/>
        </w:rPr>
        <w:t>12</w:t>
      </w:r>
      <w:r w:rsidRPr="00FD32E8">
        <w:rPr>
          <w:rFonts w:ascii="Arial" w:hAnsi="Arial" w:cs="Arial"/>
          <w:sz w:val="22"/>
          <w:szCs w:val="22"/>
          <w:lang w:val="es-ES"/>
        </w:rPr>
        <w:t xml:space="preserve"> meses después de la fecha del registro internacional o lo antes posible después de ese plazo.</w:t>
      </w:r>
    </w:p>
    <w:p w14:paraId="58DD21B0" w14:textId="77777777" w:rsidR="0069684B" w:rsidRPr="00FD32E8" w:rsidRDefault="00182DDE" w:rsidP="00182DDE">
      <w:pPr>
        <w:pStyle w:val="indent1"/>
        <w:spacing w:before="240" w:after="240"/>
        <w:rPr>
          <w:rFonts w:ascii="Arial" w:hAnsi="Arial" w:cs="Arial"/>
          <w:sz w:val="22"/>
          <w:szCs w:val="22"/>
          <w:lang w:val="es-ES"/>
        </w:rPr>
      </w:pPr>
      <w:r w:rsidRPr="00FD32E8">
        <w:rPr>
          <w:rFonts w:ascii="Arial" w:hAnsi="Arial" w:cs="Arial"/>
          <w:sz w:val="22"/>
          <w:szCs w:val="22"/>
          <w:lang w:val="es-ES"/>
        </w:rPr>
        <w:t>[…]</w:t>
      </w:r>
    </w:p>
    <w:p w14:paraId="72E1AAAF" w14:textId="40C798CA" w:rsidR="0069684B" w:rsidRPr="00820713" w:rsidRDefault="008255A5" w:rsidP="008255A5">
      <w:pPr>
        <w:pStyle w:val="Heading4"/>
        <w:keepNext w:val="0"/>
        <w:jc w:val="center"/>
        <w:rPr>
          <w:lang w:val="es-ES"/>
        </w:rPr>
      </w:pPr>
      <w:r w:rsidRPr="00820713">
        <w:rPr>
          <w:lang w:val="es-ES"/>
        </w:rPr>
        <w:t>Regla 37</w:t>
      </w:r>
    </w:p>
    <w:p w14:paraId="6C912A0F" w14:textId="0285C103" w:rsidR="0069684B" w:rsidRPr="00820713" w:rsidRDefault="008255A5" w:rsidP="008255A5">
      <w:pPr>
        <w:pStyle w:val="Heading4"/>
        <w:keepNext w:val="0"/>
        <w:jc w:val="center"/>
        <w:rPr>
          <w:lang w:val="es-ES"/>
        </w:rPr>
      </w:pPr>
      <w:r w:rsidRPr="00820713">
        <w:rPr>
          <w:lang w:val="es-ES"/>
        </w:rPr>
        <w:t>Disposiciones transitorias</w:t>
      </w:r>
    </w:p>
    <w:p w14:paraId="6EF24448" w14:textId="77777777" w:rsidR="0069684B" w:rsidRPr="00820713" w:rsidRDefault="00182DDE" w:rsidP="00182DDE">
      <w:pPr>
        <w:pStyle w:val="indent1"/>
        <w:spacing w:before="240" w:after="240"/>
        <w:jc w:val="left"/>
        <w:rPr>
          <w:rFonts w:ascii="Arial" w:hAnsi="Arial" w:cs="Arial"/>
          <w:sz w:val="22"/>
          <w:szCs w:val="22"/>
          <w:lang w:val="es-ES"/>
        </w:rPr>
      </w:pPr>
      <w:r w:rsidRPr="00820713">
        <w:rPr>
          <w:rFonts w:ascii="Arial" w:hAnsi="Arial" w:cs="Arial"/>
          <w:sz w:val="22"/>
          <w:szCs w:val="22"/>
          <w:lang w:val="es-ES"/>
        </w:rPr>
        <w:t>[…]</w:t>
      </w:r>
    </w:p>
    <w:p w14:paraId="2F0C8269" w14:textId="5111E01A" w:rsidR="0069684B" w:rsidRPr="00936C49" w:rsidRDefault="008255A5" w:rsidP="008255A5">
      <w:pPr>
        <w:pStyle w:val="indent1"/>
        <w:spacing w:before="240" w:after="240"/>
        <w:ind w:left="567"/>
        <w:jc w:val="left"/>
        <w:rPr>
          <w:rFonts w:ascii="Arial" w:hAnsi="Arial" w:cs="Arial"/>
          <w:sz w:val="22"/>
          <w:szCs w:val="22"/>
          <w:u w:val="single"/>
          <w:lang w:val="es-ES"/>
        </w:rPr>
      </w:pPr>
      <w:r w:rsidRPr="00936C49">
        <w:rPr>
          <w:rFonts w:ascii="Arial" w:hAnsi="Arial" w:cs="Arial"/>
          <w:sz w:val="22"/>
          <w:szCs w:val="22"/>
          <w:u w:val="single"/>
          <w:lang w:val="es-ES"/>
        </w:rPr>
        <w:t>3)</w:t>
      </w:r>
      <w:r w:rsidRPr="00936C49">
        <w:rPr>
          <w:rFonts w:ascii="Arial" w:hAnsi="Arial" w:cs="Arial"/>
          <w:sz w:val="22"/>
          <w:szCs w:val="22"/>
          <w:u w:val="single"/>
          <w:lang w:val="es-ES"/>
        </w:rPr>
        <w:tab/>
        <w:t>[</w:t>
      </w:r>
      <w:r w:rsidRPr="00936C49">
        <w:rPr>
          <w:rFonts w:ascii="Arial" w:hAnsi="Arial" w:cs="Arial"/>
          <w:i/>
          <w:sz w:val="22"/>
          <w:szCs w:val="22"/>
          <w:u w:val="single"/>
          <w:lang w:val="es-ES"/>
        </w:rPr>
        <w:t>Disposición transitoria relativa a la fecha de publicación</w:t>
      </w:r>
      <w:r w:rsidRPr="00936C49">
        <w:rPr>
          <w:rFonts w:ascii="Arial" w:hAnsi="Arial" w:cs="Arial"/>
          <w:sz w:val="22"/>
          <w:szCs w:val="22"/>
          <w:u w:val="single"/>
          <w:lang w:val="es-ES"/>
        </w:rPr>
        <w:t xml:space="preserve">] La Regla </w:t>
      </w:r>
      <w:proofErr w:type="gramStart"/>
      <w:r w:rsidRPr="00936C49">
        <w:rPr>
          <w:rFonts w:ascii="Arial" w:hAnsi="Arial" w:cs="Arial"/>
          <w:sz w:val="22"/>
          <w:szCs w:val="22"/>
          <w:u w:val="single"/>
          <w:lang w:val="es-ES"/>
        </w:rPr>
        <w:t>17.1)iii</w:t>
      </w:r>
      <w:proofErr w:type="gramEnd"/>
      <w:r w:rsidRPr="00936C49">
        <w:rPr>
          <w:rFonts w:ascii="Arial" w:hAnsi="Arial" w:cs="Arial"/>
          <w:sz w:val="22"/>
          <w:szCs w:val="22"/>
          <w:u w:val="single"/>
          <w:lang w:val="es-ES"/>
        </w:rPr>
        <w:t>) en vigor antes del [1 de enero de 2022] seguirá aplicándose a todo registro internacional resultante de una solicitud internacional presentada antes de esa fecha.</w:t>
      </w:r>
    </w:p>
    <w:p w14:paraId="5993955A" w14:textId="77777777" w:rsidR="0069684B" w:rsidRPr="00820713" w:rsidRDefault="00182DDE" w:rsidP="00574F90">
      <w:pPr>
        <w:pStyle w:val="indent1"/>
        <w:spacing w:before="240" w:after="240"/>
        <w:rPr>
          <w:rFonts w:ascii="Arial" w:hAnsi="Arial" w:cs="Arial"/>
          <w:sz w:val="22"/>
          <w:szCs w:val="22"/>
          <w:lang w:val="es-ES"/>
        </w:rPr>
      </w:pPr>
      <w:r w:rsidRPr="00820713">
        <w:rPr>
          <w:rFonts w:ascii="Arial" w:hAnsi="Arial" w:cs="Arial"/>
          <w:sz w:val="22"/>
          <w:szCs w:val="22"/>
          <w:lang w:val="es-ES"/>
        </w:rPr>
        <w:t>[…]</w:t>
      </w:r>
    </w:p>
    <w:p w14:paraId="7B82B77F" w14:textId="3EB46464" w:rsidR="001E6277" w:rsidRPr="00820713" w:rsidRDefault="008255A5" w:rsidP="003F73FE">
      <w:pPr>
        <w:pStyle w:val="Endofdocument-Annex"/>
        <w:spacing w:before="720"/>
        <w:rPr>
          <w:lang w:val="es-ES" w:eastAsia="ja-JP"/>
        </w:rPr>
      </w:pPr>
      <w:r w:rsidRPr="00820713">
        <w:rPr>
          <w:lang w:val="es-ES" w:eastAsia="ja-JP"/>
        </w:rPr>
        <w:t>[Fin del Anexo II y del documento]</w:t>
      </w:r>
    </w:p>
    <w:sectPr w:rsidR="001E6277" w:rsidRPr="00820713" w:rsidSect="00860CA3">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831DB" w14:textId="77777777" w:rsidR="007B1DBA" w:rsidRDefault="007B1DBA">
      <w:r>
        <w:separator/>
      </w:r>
    </w:p>
  </w:endnote>
  <w:endnote w:type="continuationSeparator" w:id="0">
    <w:p w14:paraId="58353965" w14:textId="77777777" w:rsidR="007B1DBA" w:rsidRDefault="007B1DBA" w:rsidP="003B38C1">
      <w:r>
        <w:separator/>
      </w:r>
    </w:p>
    <w:p w14:paraId="0CE7B5BB" w14:textId="77777777" w:rsidR="007B1DBA" w:rsidRPr="003B38C1" w:rsidRDefault="007B1DBA" w:rsidP="003B38C1">
      <w:pPr>
        <w:spacing w:after="60"/>
        <w:rPr>
          <w:sz w:val="17"/>
        </w:rPr>
      </w:pPr>
      <w:r>
        <w:rPr>
          <w:sz w:val="17"/>
        </w:rPr>
        <w:t>[Endnote continued from previous page]</w:t>
      </w:r>
    </w:p>
  </w:endnote>
  <w:endnote w:type="continuationNotice" w:id="1">
    <w:p w14:paraId="41AF8288" w14:textId="77777777" w:rsidR="007B1DBA" w:rsidRPr="003B38C1" w:rsidRDefault="007B1D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13BF" w14:textId="77777777" w:rsidR="007B1DBA" w:rsidRDefault="007B1DBA">
      <w:r>
        <w:separator/>
      </w:r>
    </w:p>
  </w:footnote>
  <w:footnote w:type="continuationSeparator" w:id="0">
    <w:p w14:paraId="24B92FD3" w14:textId="77777777" w:rsidR="007B1DBA" w:rsidRDefault="007B1DBA" w:rsidP="008B60B2">
      <w:r>
        <w:separator/>
      </w:r>
    </w:p>
    <w:p w14:paraId="6F6C6593" w14:textId="77777777" w:rsidR="007B1DBA" w:rsidRPr="00ED77FB" w:rsidRDefault="007B1DBA" w:rsidP="008B60B2">
      <w:pPr>
        <w:spacing w:after="60"/>
        <w:rPr>
          <w:sz w:val="17"/>
          <w:szCs w:val="17"/>
        </w:rPr>
      </w:pPr>
      <w:r w:rsidRPr="00ED77FB">
        <w:rPr>
          <w:sz w:val="17"/>
          <w:szCs w:val="17"/>
        </w:rPr>
        <w:t>[Footnote continued from previous page]</w:t>
      </w:r>
    </w:p>
  </w:footnote>
  <w:footnote w:type="continuationNotice" w:id="1">
    <w:p w14:paraId="06DECC22" w14:textId="77777777" w:rsidR="007B1DBA" w:rsidRPr="00ED77FB" w:rsidRDefault="007B1DBA" w:rsidP="008B60B2">
      <w:pPr>
        <w:spacing w:before="60"/>
        <w:jc w:val="right"/>
        <w:rPr>
          <w:sz w:val="17"/>
          <w:szCs w:val="17"/>
        </w:rPr>
      </w:pPr>
      <w:r w:rsidRPr="00ED77FB">
        <w:rPr>
          <w:sz w:val="17"/>
          <w:szCs w:val="17"/>
        </w:rPr>
        <w:t>[Footnote continued on next page]</w:t>
      </w:r>
    </w:p>
  </w:footnote>
  <w:footnote w:id="2">
    <w:p w14:paraId="6969FF1D" w14:textId="175DC798" w:rsidR="00C90201" w:rsidRPr="00BC4EAC" w:rsidRDefault="00C90201" w:rsidP="00C90201">
      <w:pPr>
        <w:pStyle w:val="FootnoteText"/>
        <w:rPr>
          <w:lang w:val="es-ES"/>
        </w:rPr>
      </w:pPr>
      <w:r w:rsidRPr="00BC4EAC">
        <w:rPr>
          <w:rStyle w:val="FootnoteReference"/>
          <w:lang w:val="es-ES"/>
        </w:rPr>
        <w:footnoteRef/>
      </w:r>
      <w:r w:rsidRPr="00BC4EAC">
        <w:rPr>
          <w:lang w:val="es-ES"/>
        </w:rPr>
        <w:t xml:space="preserve"> </w:t>
      </w:r>
      <w:r w:rsidRPr="00BC4EAC">
        <w:rPr>
          <w:lang w:val="es-ES"/>
        </w:rPr>
        <w:tab/>
        <w:t>Véase el documento H/LD/WG/8/6</w:t>
      </w:r>
      <w:r w:rsidR="000C2709">
        <w:rPr>
          <w:lang w:val="es-ES"/>
        </w:rPr>
        <w:t>, “Propuesta de modificación de la Regla 17 del Reglamento Común”</w:t>
      </w:r>
      <w:r w:rsidRPr="00BC4EAC">
        <w:rPr>
          <w:lang w:val="es-ES"/>
        </w:rPr>
        <w:t>.</w:t>
      </w:r>
    </w:p>
  </w:footnote>
  <w:footnote w:id="3">
    <w:p w14:paraId="642CFBD4" w14:textId="7FDD70DD" w:rsidR="00C90201" w:rsidRPr="00BC4EAC" w:rsidRDefault="00C90201" w:rsidP="00C90201">
      <w:pPr>
        <w:pStyle w:val="FootnoteText"/>
        <w:rPr>
          <w:lang w:val="es-ES"/>
        </w:rPr>
      </w:pPr>
      <w:r w:rsidRPr="00BC4EAC">
        <w:rPr>
          <w:rStyle w:val="FootnoteReference"/>
          <w:lang w:val="es-ES"/>
        </w:rPr>
        <w:footnoteRef/>
      </w:r>
      <w:r w:rsidRPr="00BC4EAC">
        <w:rPr>
          <w:lang w:val="es-ES"/>
        </w:rPr>
        <w:t xml:space="preserve"> </w:t>
      </w:r>
      <w:r w:rsidRPr="00BC4EAC">
        <w:rPr>
          <w:lang w:val="es-ES"/>
        </w:rPr>
        <w:tab/>
        <w:t xml:space="preserve">Véase el documento H/LD/WG/8/8, </w:t>
      </w:r>
      <w:r w:rsidR="00147ACC" w:rsidRPr="00BC4EAC">
        <w:rPr>
          <w:lang w:val="es-ES"/>
        </w:rPr>
        <w:t>“</w:t>
      </w:r>
      <w:r w:rsidRPr="00BC4EAC">
        <w:rPr>
          <w:lang w:val="es-ES"/>
        </w:rPr>
        <w:t>Resumen de la presidencia</w:t>
      </w:r>
      <w:r w:rsidR="00147ACC" w:rsidRPr="00BC4EAC">
        <w:rPr>
          <w:lang w:val="es-ES"/>
        </w:rPr>
        <w:t>”</w:t>
      </w:r>
      <w:r w:rsidRPr="00BC4EAC">
        <w:rPr>
          <w:lang w:val="es-ES"/>
        </w:rPr>
        <w:t>, párrafo 20.</w:t>
      </w:r>
    </w:p>
  </w:footnote>
  <w:footnote w:id="4">
    <w:p w14:paraId="6EF8A69D" w14:textId="399A789A" w:rsidR="00117494" w:rsidRPr="00BC4EAC" w:rsidRDefault="00117494" w:rsidP="00117494">
      <w:pPr>
        <w:pStyle w:val="FootnoteText"/>
        <w:rPr>
          <w:lang w:val="es-ES"/>
        </w:rPr>
      </w:pPr>
      <w:r w:rsidRPr="00BC4EAC">
        <w:rPr>
          <w:rStyle w:val="FootnoteReference"/>
          <w:lang w:val="es-ES"/>
        </w:rPr>
        <w:footnoteRef/>
      </w:r>
      <w:r w:rsidRPr="00BC4EAC">
        <w:rPr>
          <w:lang w:val="es-ES"/>
        </w:rPr>
        <w:t xml:space="preserve"> </w:t>
      </w:r>
      <w:r w:rsidRPr="00BC4EAC">
        <w:rPr>
          <w:lang w:val="es-ES"/>
        </w:rPr>
        <w:tab/>
        <w:t>Véase el documento H/LD/WG/9/</w:t>
      </w:r>
      <w:proofErr w:type="spellStart"/>
      <w:r w:rsidRPr="00BC4EAC">
        <w:rPr>
          <w:lang w:val="es-ES"/>
        </w:rPr>
        <w:t>Questionnaire</w:t>
      </w:r>
      <w:proofErr w:type="spellEnd"/>
      <w:r w:rsidRPr="00BC4EAC">
        <w:rPr>
          <w:lang w:val="es-ES"/>
        </w:rPr>
        <w:t>.</w:t>
      </w:r>
    </w:p>
  </w:footnote>
  <w:footnote w:id="5">
    <w:p w14:paraId="1B2CA675" w14:textId="770ACB06" w:rsidR="00F51C6F" w:rsidRPr="00BC4EAC" w:rsidRDefault="00F51C6F">
      <w:pPr>
        <w:pStyle w:val="FootnoteText"/>
        <w:rPr>
          <w:lang w:val="es-ES"/>
        </w:rPr>
      </w:pPr>
      <w:r w:rsidRPr="00BC4EAC">
        <w:rPr>
          <w:rStyle w:val="FootnoteReference"/>
          <w:lang w:val="es-ES"/>
        </w:rPr>
        <w:footnoteRef/>
      </w:r>
      <w:r w:rsidRPr="00BC4EAC">
        <w:rPr>
          <w:lang w:val="es-ES"/>
        </w:rPr>
        <w:t xml:space="preserve"> </w:t>
      </w:r>
      <w:r w:rsidRPr="00BC4EAC">
        <w:rPr>
          <w:lang w:val="es-ES"/>
        </w:rPr>
        <w:tab/>
      </w:r>
      <w:r w:rsidR="00896A22" w:rsidRPr="00BC4EAC">
        <w:rPr>
          <w:lang w:val="es-ES"/>
        </w:rPr>
        <w:t>Se recibieron respuestas de los siguientes grupos de usuarios:</w:t>
      </w:r>
      <w:r w:rsidR="00510E9C" w:rsidRPr="00BC4EAC">
        <w:rPr>
          <w:lang w:val="es-ES"/>
        </w:rPr>
        <w:t xml:space="preserve"> </w:t>
      </w:r>
      <w:r w:rsidR="00B46EAF" w:rsidRPr="00BC4EAC">
        <w:rPr>
          <w:lang w:val="es-ES"/>
        </w:rPr>
        <w:t xml:space="preserve">Asociación Alemana para la Protección de la Propiedad Industrial y el Derecho de Autor (GRUR), Asociación Asiática de Abogados de Patentes (APAA), Asociación Brasileña de Propiedad Intelectual (ABPI), Asociación China de Abogados de Patentes (ACPAA), Asociación Coreana de Abogados de Patentes (KPAA), Asociación Europea de Marcas (AIM), Asociación Internacional de Marcas (INTA), Asociación Japonesa de Abogados de Patentes (JPAA), Asociación Japonesa de Propiedad Intelectual (JIPA), </w:t>
      </w:r>
      <w:proofErr w:type="spellStart"/>
      <w:r w:rsidR="00B46EAF" w:rsidRPr="00BC4EAC">
        <w:rPr>
          <w:i/>
          <w:lang w:val="es-ES"/>
        </w:rPr>
        <w:t>Bundesverband</w:t>
      </w:r>
      <w:proofErr w:type="spellEnd"/>
      <w:r w:rsidR="00B46EAF" w:rsidRPr="00BC4EAC">
        <w:rPr>
          <w:i/>
          <w:lang w:val="es-ES"/>
        </w:rPr>
        <w:t xml:space="preserve"> </w:t>
      </w:r>
      <w:proofErr w:type="spellStart"/>
      <w:r w:rsidR="00B46EAF" w:rsidRPr="00BC4EAC">
        <w:rPr>
          <w:i/>
          <w:lang w:val="es-ES"/>
        </w:rPr>
        <w:t>Deutscher</w:t>
      </w:r>
      <w:proofErr w:type="spellEnd"/>
      <w:r w:rsidR="00B46EAF" w:rsidRPr="00BC4EAC">
        <w:rPr>
          <w:i/>
          <w:lang w:val="es-ES"/>
        </w:rPr>
        <w:t xml:space="preserve"> </w:t>
      </w:r>
      <w:proofErr w:type="spellStart"/>
      <w:r w:rsidR="00B46EAF" w:rsidRPr="00BC4EAC">
        <w:rPr>
          <w:i/>
          <w:lang w:val="es-ES"/>
        </w:rPr>
        <w:t>Patentanwälte</w:t>
      </w:r>
      <w:proofErr w:type="spellEnd"/>
      <w:r w:rsidR="00B46EAF" w:rsidRPr="00BC4EAC">
        <w:rPr>
          <w:lang w:val="es-ES"/>
        </w:rPr>
        <w:t>, Cámara de Comercio e Industria de la Federación de Rusia, Cámara de Comercio e Industria de Ucrania, Colegio de Abogados del Canadá (CBA), Instituto Japonés de Propiedad Intelectual (IIP)</w:t>
      </w:r>
      <w:r w:rsidR="000C2709">
        <w:rPr>
          <w:lang w:val="es-ES"/>
        </w:rPr>
        <w:t xml:space="preserve">, </w:t>
      </w:r>
      <w:proofErr w:type="spellStart"/>
      <w:r w:rsidR="000C2709" w:rsidRPr="00936C49">
        <w:rPr>
          <w:i/>
          <w:lang w:val="es-ES"/>
        </w:rPr>
        <w:t>Intellectual</w:t>
      </w:r>
      <w:proofErr w:type="spellEnd"/>
      <w:r w:rsidR="000C2709" w:rsidRPr="00936C49">
        <w:rPr>
          <w:i/>
          <w:lang w:val="es-ES"/>
        </w:rPr>
        <w:t xml:space="preserve"> </w:t>
      </w:r>
      <w:proofErr w:type="spellStart"/>
      <w:r w:rsidR="000C2709" w:rsidRPr="00936C49">
        <w:rPr>
          <w:i/>
          <w:lang w:val="es-ES"/>
        </w:rPr>
        <w:t>Property</w:t>
      </w:r>
      <w:proofErr w:type="spellEnd"/>
      <w:r w:rsidR="000C2709" w:rsidRPr="00936C49">
        <w:rPr>
          <w:i/>
          <w:lang w:val="es-ES"/>
        </w:rPr>
        <w:t xml:space="preserve"> </w:t>
      </w:r>
      <w:proofErr w:type="spellStart"/>
      <w:r w:rsidR="000C2709" w:rsidRPr="00936C49">
        <w:rPr>
          <w:i/>
          <w:lang w:val="es-ES"/>
        </w:rPr>
        <w:t>Owners</w:t>
      </w:r>
      <w:proofErr w:type="spellEnd"/>
      <w:r w:rsidR="000C2709" w:rsidRPr="00936C49">
        <w:rPr>
          <w:i/>
          <w:lang w:val="es-ES"/>
        </w:rPr>
        <w:t xml:space="preserve"> </w:t>
      </w:r>
      <w:proofErr w:type="spellStart"/>
      <w:r w:rsidR="000C2709" w:rsidRPr="00936C49">
        <w:rPr>
          <w:i/>
          <w:lang w:val="es-ES"/>
        </w:rPr>
        <w:t>Association</w:t>
      </w:r>
      <w:proofErr w:type="spellEnd"/>
      <w:r w:rsidR="000C2709" w:rsidRPr="00936C49">
        <w:rPr>
          <w:i/>
          <w:lang w:val="es-ES"/>
        </w:rPr>
        <w:t xml:space="preserve"> (IPO)</w:t>
      </w:r>
      <w:r w:rsidR="000C2709">
        <w:rPr>
          <w:lang w:val="es-ES"/>
        </w:rPr>
        <w:t>,</w:t>
      </w:r>
      <w:r w:rsidR="00B46EAF" w:rsidRPr="00BC4EAC">
        <w:rPr>
          <w:lang w:val="es-ES"/>
        </w:rPr>
        <w:t xml:space="preserve"> </w:t>
      </w:r>
      <w:r w:rsidR="00BA5F7C" w:rsidRPr="00FC67B7">
        <w:rPr>
          <w:szCs w:val="22"/>
          <w:lang w:val="es-419"/>
        </w:rPr>
        <w:t>MARQUES – Asociación de Titulares Europeos de Marcas</w:t>
      </w:r>
      <w:r w:rsidR="00BA5F7C" w:rsidRPr="00BC4EAC">
        <w:rPr>
          <w:i/>
          <w:lang w:val="es-ES"/>
        </w:rPr>
        <w:t xml:space="preserve"> </w:t>
      </w:r>
      <w:r w:rsidR="00BA5F7C">
        <w:rPr>
          <w:i/>
          <w:lang w:val="es-ES"/>
        </w:rPr>
        <w:t xml:space="preserve">y </w:t>
      </w:r>
      <w:r w:rsidR="00B46EAF" w:rsidRPr="00BC4EAC">
        <w:rPr>
          <w:i/>
          <w:lang w:val="es-ES"/>
        </w:rPr>
        <w:t>Patentanwaltskammer</w:t>
      </w:r>
      <w:r w:rsidR="00D45841">
        <w:rPr>
          <w:i/>
          <w:lang w:val="es-ES"/>
        </w:rPr>
        <w:t xml:space="preserve"> y  </w:t>
      </w:r>
      <w:r w:rsidRPr="00BC4EAC">
        <w:rPr>
          <w:lang w:val="es-ES"/>
        </w:rPr>
        <w:t>.</w:t>
      </w:r>
    </w:p>
  </w:footnote>
  <w:footnote w:id="6">
    <w:p w14:paraId="7DF3AF06" w14:textId="6DD475D9" w:rsidR="00DF7155" w:rsidRPr="00BC4EAC" w:rsidRDefault="00DF7155" w:rsidP="008B532A">
      <w:pPr>
        <w:pStyle w:val="FootnoteText"/>
        <w:rPr>
          <w:lang w:val="es-ES"/>
        </w:rPr>
      </w:pPr>
      <w:r w:rsidRPr="00BC4EAC">
        <w:rPr>
          <w:rStyle w:val="FootnoteReference"/>
          <w:lang w:val="es-ES"/>
        </w:rPr>
        <w:footnoteRef/>
      </w:r>
      <w:r w:rsidRPr="00BC4EAC">
        <w:rPr>
          <w:lang w:val="es-ES"/>
        </w:rPr>
        <w:t xml:space="preserve"> </w:t>
      </w:r>
      <w:r w:rsidRPr="00BC4EAC">
        <w:rPr>
          <w:lang w:val="es-ES"/>
        </w:rPr>
        <w:tab/>
      </w:r>
      <w:r w:rsidR="008B532A" w:rsidRPr="00BC4EAC">
        <w:rPr>
          <w:lang w:val="es-ES"/>
        </w:rPr>
        <w:t xml:space="preserve">Se recibieron respuestas de las Oficinas de las siguientes Partes Contratantes: Azerbaiyán, Estonia, Georgia, Kirguistán, Turquía y </w:t>
      </w:r>
      <w:proofErr w:type="spellStart"/>
      <w:r w:rsidR="008B532A" w:rsidRPr="00BC4EAC">
        <w:rPr>
          <w:lang w:val="es-ES"/>
        </w:rPr>
        <w:t>Viet</w:t>
      </w:r>
      <w:proofErr w:type="spellEnd"/>
      <w:r w:rsidR="008B532A" w:rsidRPr="00BC4EAC">
        <w:rPr>
          <w:lang w:val="es-ES"/>
        </w:rPr>
        <w:t xml:space="preserve"> </w:t>
      </w:r>
      <w:proofErr w:type="spellStart"/>
      <w:r w:rsidR="008B532A" w:rsidRPr="00BC4EAC">
        <w:rPr>
          <w:lang w:val="es-ES"/>
        </w:rPr>
        <w:t>Nam</w:t>
      </w:r>
      <w:proofErr w:type="spellEnd"/>
      <w:r w:rsidR="008B532A" w:rsidRPr="00BC4EAC">
        <w:rPr>
          <w:lang w:val="es-ES"/>
        </w:rPr>
        <w:t>.</w:t>
      </w:r>
    </w:p>
  </w:footnote>
  <w:footnote w:id="7">
    <w:p w14:paraId="2C22A38F" w14:textId="45038571" w:rsidR="00DF7155" w:rsidRPr="00BC4EAC" w:rsidRDefault="00DF7155" w:rsidP="008B532A">
      <w:pPr>
        <w:pStyle w:val="FootnoteText"/>
        <w:rPr>
          <w:lang w:val="es-ES"/>
        </w:rPr>
      </w:pPr>
      <w:r w:rsidRPr="00BC4EAC">
        <w:rPr>
          <w:rStyle w:val="FootnoteReference"/>
          <w:lang w:val="es-ES"/>
        </w:rPr>
        <w:footnoteRef/>
      </w:r>
      <w:r w:rsidRPr="00BC4EAC">
        <w:rPr>
          <w:lang w:val="es-ES"/>
        </w:rPr>
        <w:t xml:space="preserve"> </w:t>
      </w:r>
      <w:r w:rsidRPr="00BC4EAC">
        <w:rPr>
          <w:lang w:val="es-ES"/>
        </w:rPr>
        <w:tab/>
      </w:r>
      <w:r w:rsidR="008B532A" w:rsidRPr="00BC4EAC">
        <w:rPr>
          <w:lang w:val="es-ES"/>
        </w:rPr>
        <w:t>Se recibió una respuesta de Samsung.</w:t>
      </w:r>
    </w:p>
  </w:footnote>
  <w:footnote w:id="8">
    <w:p w14:paraId="0B5D2E09" w14:textId="308D4236" w:rsidR="00D6141C" w:rsidRPr="00BC4EAC" w:rsidRDefault="00D6141C" w:rsidP="00D6141C">
      <w:pPr>
        <w:pStyle w:val="FootnoteText"/>
        <w:rPr>
          <w:lang w:val="es-ES"/>
        </w:rPr>
      </w:pPr>
      <w:r w:rsidRPr="00BC4EAC">
        <w:rPr>
          <w:rStyle w:val="FootnoteReference"/>
          <w:lang w:val="es-ES"/>
        </w:rPr>
        <w:footnoteRef/>
      </w:r>
      <w:r w:rsidRPr="00BC4EAC">
        <w:rPr>
          <w:lang w:val="es-ES"/>
        </w:rPr>
        <w:t xml:space="preserve"> </w:t>
      </w:r>
      <w:r w:rsidRPr="00BC4EAC">
        <w:rPr>
          <w:lang w:val="es-ES"/>
        </w:rPr>
        <w:tab/>
        <w:t>Este grupo de usuarios no indicó su preferencia y señaló que su país no es Parte Contratante.</w:t>
      </w:r>
    </w:p>
  </w:footnote>
  <w:footnote w:id="9">
    <w:p w14:paraId="76580F13" w14:textId="799FF926" w:rsidR="000F414E" w:rsidRPr="00BC4EAC" w:rsidRDefault="000F414E" w:rsidP="000F414E">
      <w:pPr>
        <w:pStyle w:val="FootnoteText"/>
        <w:rPr>
          <w:lang w:val="es-ES"/>
        </w:rPr>
      </w:pPr>
      <w:r w:rsidRPr="00BC4EAC">
        <w:rPr>
          <w:rStyle w:val="FootnoteReference"/>
          <w:lang w:val="es-ES"/>
        </w:rPr>
        <w:footnoteRef/>
      </w:r>
      <w:r w:rsidRPr="00BC4EAC">
        <w:rPr>
          <w:lang w:val="es-ES"/>
        </w:rPr>
        <w:t xml:space="preserve"> </w:t>
      </w:r>
      <w:r w:rsidRPr="00BC4EAC">
        <w:rPr>
          <w:lang w:val="es-ES"/>
        </w:rPr>
        <w:tab/>
        <w:t>Este grupo de usuarios se remitió al artículo 3.5) de la Ley de Dibujos y Modelos Registrados de 1949 del Reino Unido.</w:t>
      </w:r>
    </w:p>
  </w:footnote>
  <w:footnote w:id="10">
    <w:p w14:paraId="10CD5982" w14:textId="277EE062" w:rsidR="0037678E" w:rsidRPr="00BC4EAC" w:rsidRDefault="0037678E" w:rsidP="0037678E">
      <w:pPr>
        <w:pStyle w:val="FootnoteText"/>
        <w:rPr>
          <w:lang w:val="es-ES"/>
        </w:rPr>
      </w:pPr>
      <w:r w:rsidRPr="00BC4EAC">
        <w:rPr>
          <w:rStyle w:val="FootnoteReference"/>
          <w:lang w:val="es-ES"/>
        </w:rPr>
        <w:footnoteRef/>
      </w:r>
      <w:r w:rsidRPr="00BC4EAC">
        <w:rPr>
          <w:lang w:val="es-ES"/>
        </w:rPr>
        <w:t xml:space="preserve"> </w:t>
      </w:r>
      <w:r w:rsidRPr="00BC4EAC">
        <w:rPr>
          <w:lang w:val="es-ES"/>
        </w:rPr>
        <w:tab/>
        <w:t>Un grupo de usuarios no respondió a esta pregunta y señaló que su país no es Parte Contratante.</w:t>
      </w:r>
    </w:p>
  </w:footnote>
  <w:footnote w:id="11">
    <w:p w14:paraId="1027DEE8" w14:textId="098BC18C" w:rsidR="0055769C" w:rsidRPr="00BC4EAC" w:rsidRDefault="0055769C" w:rsidP="0055769C">
      <w:pPr>
        <w:pStyle w:val="FootnoteText"/>
        <w:rPr>
          <w:lang w:val="es-ES"/>
        </w:rPr>
      </w:pPr>
      <w:r w:rsidRPr="00BC4EAC">
        <w:rPr>
          <w:rStyle w:val="FootnoteReference"/>
          <w:lang w:val="es-ES"/>
        </w:rPr>
        <w:footnoteRef/>
      </w:r>
      <w:r w:rsidRPr="00BC4EAC">
        <w:rPr>
          <w:lang w:val="es-ES"/>
        </w:rPr>
        <w:t xml:space="preserve"> </w:t>
      </w:r>
      <w:r w:rsidRPr="00BC4EAC">
        <w:rPr>
          <w:lang w:val="es-ES"/>
        </w:rPr>
        <w:tab/>
        <w:t xml:space="preserve">Véase el documento H/LD/WG/8/9 Prov., </w:t>
      </w:r>
      <w:r w:rsidR="00147ACC" w:rsidRPr="00BC4EAC">
        <w:rPr>
          <w:lang w:val="es-ES"/>
        </w:rPr>
        <w:t>“</w:t>
      </w:r>
      <w:r w:rsidRPr="00BC4EAC">
        <w:rPr>
          <w:lang w:val="es-ES"/>
        </w:rPr>
        <w:t>Proyecto de informe</w:t>
      </w:r>
      <w:r w:rsidR="00147ACC" w:rsidRPr="00BC4EAC">
        <w:rPr>
          <w:lang w:val="es-ES"/>
        </w:rPr>
        <w:t>”</w:t>
      </w:r>
      <w:r w:rsidRPr="00BC4EAC">
        <w:rPr>
          <w:lang w:val="es-ES"/>
        </w:rPr>
        <w:t>, párrafo 59.</w:t>
      </w:r>
    </w:p>
  </w:footnote>
  <w:footnote w:id="12">
    <w:p w14:paraId="642F305F" w14:textId="7F92D84E" w:rsidR="0055769C" w:rsidRPr="00BC4EAC" w:rsidRDefault="0055769C" w:rsidP="00A46F02">
      <w:pPr>
        <w:pStyle w:val="FootnoteText"/>
        <w:rPr>
          <w:lang w:val="es-ES"/>
        </w:rPr>
      </w:pPr>
      <w:r w:rsidRPr="00BC4EAC">
        <w:rPr>
          <w:rStyle w:val="FootnoteReference"/>
          <w:lang w:val="es-ES"/>
        </w:rPr>
        <w:footnoteRef/>
      </w:r>
      <w:r w:rsidRPr="00BC4EAC">
        <w:rPr>
          <w:lang w:val="es-ES"/>
        </w:rPr>
        <w:t xml:space="preserve"> </w:t>
      </w:r>
      <w:r w:rsidRPr="00BC4EAC">
        <w:rPr>
          <w:lang w:val="es-ES"/>
        </w:rPr>
        <w:tab/>
      </w:r>
      <w:r w:rsidR="00A46F02" w:rsidRPr="00BC4EAC">
        <w:rPr>
          <w:lang w:val="es-ES"/>
        </w:rPr>
        <w:t>Véase el documento H/LD/WG/8/9 Prov.,</w:t>
      </w:r>
      <w:r w:rsidRPr="00BC4EAC">
        <w:rPr>
          <w:lang w:val="es-ES"/>
        </w:rPr>
        <w:t xml:space="preserve"> </w:t>
      </w:r>
      <w:r w:rsidR="00147ACC" w:rsidRPr="00BC4EAC">
        <w:rPr>
          <w:lang w:val="es-ES"/>
        </w:rPr>
        <w:t>“</w:t>
      </w:r>
      <w:r w:rsidR="00A46F02" w:rsidRPr="00BC4EAC">
        <w:rPr>
          <w:lang w:val="es-ES"/>
        </w:rPr>
        <w:t>Proyecto de informe</w:t>
      </w:r>
      <w:r w:rsidR="00147ACC" w:rsidRPr="00BC4EAC">
        <w:rPr>
          <w:lang w:val="es-ES"/>
        </w:rPr>
        <w:t>”</w:t>
      </w:r>
      <w:r w:rsidR="00A46F02" w:rsidRPr="00BC4EAC">
        <w:rPr>
          <w:lang w:val="es-ES"/>
        </w:rPr>
        <w:t>, párrafo 80.</w:t>
      </w:r>
    </w:p>
  </w:footnote>
  <w:footnote w:id="13">
    <w:p w14:paraId="3127BFD4" w14:textId="590B41F1" w:rsidR="00A46F02" w:rsidRPr="00BC4EAC" w:rsidRDefault="00A46F02" w:rsidP="00412E96">
      <w:pPr>
        <w:pStyle w:val="FootnoteText"/>
        <w:rPr>
          <w:lang w:val="es-ES"/>
        </w:rPr>
      </w:pPr>
      <w:r w:rsidRPr="00BC4EAC">
        <w:rPr>
          <w:rStyle w:val="FootnoteReference"/>
          <w:lang w:val="es-ES"/>
        </w:rPr>
        <w:footnoteRef/>
      </w:r>
      <w:r w:rsidRPr="00BC4EAC">
        <w:rPr>
          <w:lang w:val="es-ES"/>
        </w:rPr>
        <w:t xml:space="preserve"> </w:t>
      </w:r>
      <w:r w:rsidRPr="00BC4EAC">
        <w:rPr>
          <w:lang w:val="es-ES"/>
        </w:rPr>
        <w:tab/>
      </w:r>
      <w:r w:rsidR="00412E96" w:rsidRPr="00BC4EAC">
        <w:rPr>
          <w:lang w:val="es-ES"/>
        </w:rPr>
        <w:t xml:space="preserve">Véase el documento H/LD/WG/8/6, </w:t>
      </w:r>
      <w:r w:rsidR="00A775EA">
        <w:rPr>
          <w:lang w:val="es-ES"/>
        </w:rPr>
        <w:t xml:space="preserve">“Propuesta de modificación de la Regla 17 del Reglamento Común”, </w:t>
      </w:r>
      <w:r w:rsidR="00412E96" w:rsidRPr="00BC4EAC">
        <w:rPr>
          <w:lang w:val="es-ES"/>
        </w:rPr>
        <w:t>párrafo 38.</w:t>
      </w:r>
    </w:p>
  </w:footnote>
  <w:footnote w:id="14">
    <w:p w14:paraId="2AA4C0BB" w14:textId="52E514E7" w:rsidR="00412E96" w:rsidRPr="00BC4EAC" w:rsidRDefault="00412E96" w:rsidP="00412E96">
      <w:pPr>
        <w:pStyle w:val="FootnoteText"/>
        <w:rPr>
          <w:lang w:val="es-ES"/>
        </w:rPr>
      </w:pPr>
      <w:r w:rsidRPr="00BC4EAC">
        <w:rPr>
          <w:rStyle w:val="FootnoteReference"/>
          <w:lang w:val="es-ES"/>
        </w:rPr>
        <w:footnoteRef/>
      </w:r>
      <w:r w:rsidRPr="00BC4EAC">
        <w:rPr>
          <w:lang w:val="es-ES"/>
        </w:rPr>
        <w:t xml:space="preserve"> </w:t>
      </w:r>
      <w:r w:rsidRPr="00BC4EAC">
        <w:rPr>
          <w:lang w:val="es-ES"/>
        </w:rPr>
        <w:tab/>
        <w:t xml:space="preserve">Véase el documento H/LD/WG/8/9 Prov., </w:t>
      </w:r>
      <w:r w:rsidR="00147ACC" w:rsidRPr="00BC4EAC">
        <w:rPr>
          <w:lang w:val="es-ES"/>
        </w:rPr>
        <w:t>“</w:t>
      </w:r>
      <w:r w:rsidRPr="00BC4EAC">
        <w:rPr>
          <w:lang w:val="es-ES"/>
        </w:rPr>
        <w:t>Proyecto de informe</w:t>
      </w:r>
      <w:r w:rsidR="00147ACC" w:rsidRPr="00BC4EAC">
        <w:rPr>
          <w:lang w:val="es-ES"/>
        </w:rPr>
        <w:t>”</w:t>
      </w:r>
      <w:r w:rsidRPr="00BC4EAC">
        <w:rPr>
          <w:lang w:val="es-ES"/>
        </w:rPr>
        <w:t>, párrafo 80.</w:t>
      </w:r>
    </w:p>
  </w:footnote>
  <w:footnote w:id="15">
    <w:p w14:paraId="3F4A5D47" w14:textId="732EF1FD" w:rsidR="00A34D2F" w:rsidRPr="00BC4EAC" w:rsidRDefault="00A34D2F" w:rsidP="00142CBE">
      <w:pPr>
        <w:pStyle w:val="FootnoteText"/>
        <w:rPr>
          <w:lang w:val="es-ES"/>
        </w:rPr>
      </w:pPr>
      <w:r w:rsidRPr="00BC4EAC">
        <w:rPr>
          <w:rStyle w:val="FootnoteReference"/>
          <w:lang w:val="es-ES"/>
        </w:rPr>
        <w:footnoteRef/>
      </w:r>
      <w:r w:rsidRPr="00BC4EAC">
        <w:rPr>
          <w:lang w:val="es-ES"/>
        </w:rPr>
        <w:t xml:space="preserve"> </w:t>
      </w:r>
      <w:r w:rsidRPr="00BC4EAC">
        <w:rPr>
          <w:lang w:val="es-ES"/>
        </w:rPr>
        <w:tab/>
      </w:r>
      <w:r w:rsidR="00142CBE" w:rsidRPr="00BC4EAC">
        <w:rPr>
          <w:lang w:val="es-ES"/>
        </w:rPr>
        <w:t xml:space="preserve">Véase el Artículo </w:t>
      </w:r>
      <w:proofErr w:type="gramStart"/>
      <w:r w:rsidR="00142CBE" w:rsidRPr="00BC4EAC">
        <w:rPr>
          <w:lang w:val="es-ES"/>
        </w:rPr>
        <w:t>11.4)a</w:t>
      </w:r>
      <w:proofErr w:type="gramEnd"/>
      <w:r w:rsidR="00142CBE" w:rsidRPr="00BC4EAC">
        <w:rPr>
          <w:lang w:val="es-ES"/>
        </w:rPr>
        <w:t>) del Acta de 1999 y el Artículo 6.4)b) del Acta de 1960.</w:t>
      </w:r>
    </w:p>
  </w:footnote>
  <w:footnote w:id="16">
    <w:p w14:paraId="0BC2B77A" w14:textId="3A8C1EA9" w:rsidR="00BF0801" w:rsidRPr="00BC4EAC" w:rsidRDefault="00BF0801" w:rsidP="00BF0801">
      <w:pPr>
        <w:pStyle w:val="FootnoteText"/>
        <w:rPr>
          <w:lang w:val="es-ES"/>
        </w:rPr>
      </w:pPr>
      <w:r w:rsidRPr="00BC4EAC">
        <w:rPr>
          <w:rStyle w:val="FootnoteReference"/>
          <w:lang w:val="es-ES"/>
        </w:rPr>
        <w:footnoteRef/>
      </w:r>
      <w:r w:rsidRPr="00BC4EAC">
        <w:rPr>
          <w:lang w:val="es-ES"/>
        </w:rPr>
        <w:t xml:space="preserve"> </w:t>
      </w:r>
      <w:r w:rsidRPr="00BC4EAC">
        <w:rPr>
          <w:lang w:val="es-ES"/>
        </w:rPr>
        <w:tab/>
        <w:t xml:space="preserve">Esta modificación también fue apoyada durante la octava reunión del Grupo de Trabajo (véase el </w:t>
      </w:r>
      <w:r w:rsidR="005D1C83" w:rsidRPr="00BC4EAC">
        <w:rPr>
          <w:lang w:val="es-ES"/>
        </w:rPr>
        <w:t>documento</w:t>
      </w:r>
      <w:r w:rsidR="005D1C83">
        <w:rPr>
          <w:lang w:val="es-ES"/>
        </w:rPr>
        <w:t> </w:t>
      </w:r>
      <w:r w:rsidRPr="00BC4EAC">
        <w:rPr>
          <w:lang w:val="es-ES"/>
        </w:rPr>
        <w:t xml:space="preserve">H/LD/WG/8/9 Prov., </w:t>
      </w:r>
      <w:r w:rsidR="00147ACC" w:rsidRPr="00BC4EAC">
        <w:rPr>
          <w:lang w:val="es-ES"/>
        </w:rPr>
        <w:t>“</w:t>
      </w:r>
      <w:r w:rsidRPr="00BC4EAC">
        <w:rPr>
          <w:lang w:val="es-ES"/>
        </w:rPr>
        <w:t>Proyecto de informe</w:t>
      </w:r>
      <w:r w:rsidR="00147ACC" w:rsidRPr="00BC4EAC">
        <w:rPr>
          <w:lang w:val="es-ES"/>
        </w:rPr>
        <w:t>”</w:t>
      </w:r>
      <w:r w:rsidRPr="00BC4EAC">
        <w:rPr>
          <w:lang w:val="es-ES"/>
        </w:rPr>
        <w:t>, párrafos 80 y 83).</w:t>
      </w:r>
    </w:p>
  </w:footnote>
  <w:footnote w:id="17">
    <w:p w14:paraId="75C2620A" w14:textId="4346B341" w:rsidR="00FE3EC5" w:rsidRPr="00BC4EAC" w:rsidRDefault="00FE3EC5" w:rsidP="00FE3EC5">
      <w:pPr>
        <w:pStyle w:val="FootnoteText"/>
        <w:rPr>
          <w:lang w:val="es-ES"/>
        </w:rPr>
      </w:pPr>
      <w:r w:rsidRPr="00BC4EAC">
        <w:rPr>
          <w:rStyle w:val="FootnoteReference"/>
          <w:lang w:val="es-ES"/>
        </w:rPr>
        <w:t>*</w:t>
      </w:r>
      <w:r w:rsidRPr="00BC4EAC">
        <w:rPr>
          <w:lang w:val="es-ES"/>
        </w:rPr>
        <w:t xml:space="preserve"> </w:t>
      </w:r>
      <w:r w:rsidRPr="00BC4EAC">
        <w:rPr>
          <w:lang w:val="es-ES"/>
        </w:rPr>
        <w:tab/>
        <w:t>Como se indica en las respuestas al cuestionario.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E072" w14:textId="77777777" w:rsidR="00BA211B" w:rsidRPr="0036114B" w:rsidRDefault="00BA211B" w:rsidP="00877058">
    <w:pPr>
      <w:pStyle w:val="Header"/>
      <w:jc w:val="right"/>
      <w:rPr>
        <w:lang w:val="fr-CH"/>
      </w:rPr>
    </w:pPr>
    <w:r>
      <w:rPr>
        <w:lang w:val="fr-CH"/>
      </w:rPr>
      <w:t>H</w:t>
    </w:r>
    <w:r w:rsidRPr="0036114B">
      <w:rPr>
        <w:lang w:val="fr-CH"/>
      </w:rPr>
      <w:t>/LD/WG/</w:t>
    </w:r>
    <w:r>
      <w:rPr>
        <w:lang w:val="fr-CH"/>
      </w:rPr>
      <w:t>8</w:t>
    </w:r>
    <w:r w:rsidRPr="0036114B">
      <w:rPr>
        <w:lang w:val="fr-CH"/>
      </w:rPr>
      <w:t>/</w:t>
    </w:r>
    <w:r>
      <w:rPr>
        <w:lang w:val="fr-CH"/>
      </w:rPr>
      <w:t>5</w:t>
    </w:r>
  </w:p>
  <w:p w14:paraId="73A4CDAF" w14:textId="3DC699AF" w:rsidR="00BA211B" w:rsidRPr="00827037" w:rsidRDefault="00BA211B" w:rsidP="00E255D2">
    <w:pPr>
      <w:pStyle w:val="Header"/>
      <w:spacing w:after="240"/>
      <w:jc w:val="right"/>
      <w:rPr>
        <w:lang w:val="fr-CH"/>
      </w:rPr>
    </w:pPr>
    <w:proofErr w:type="spellStart"/>
    <w:r w:rsidRPr="0036114B">
      <w:rPr>
        <w:lang w:val="fr-CH"/>
      </w:rPr>
      <w:t>Anex</w:t>
    </w:r>
    <w:r w:rsidR="00E255D2">
      <w:rPr>
        <w:lang w:val="fr-CH"/>
      </w:rPr>
      <w:t>o</w:t>
    </w:r>
    <w:proofErr w:type="spellEnd"/>
    <w:r w:rsidRPr="0036114B">
      <w:rPr>
        <w:lang w:val="fr-CH"/>
      </w:rPr>
      <w:t xml:space="preserve">, </w:t>
    </w:r>
    <w:proofErr w:type="spellStart"/>
    <w:r w:rsidRPr="0036114B">
      <w:rPr>
        <w:lang w:val="fr-CH"/>
      </w:rPr>
      <w:t>p</w:t>
    </w:r>
    <w:r w:rsidR="00E255D2">
      <w:rPr>
        <w:lang w:val="fr-CH"/>
      </w:rPr>
      <w:t>ágina</w:t>
    </w:r>
    <w:proofErr w:type="spellEnd"/>
    <w:r w:rsidRPr="0036114B">
      <w:rPr>
        <w:lang w:val="fr-CH"/>
      </w:rPr>
      <w:t xml:space="preserve"> </w:t>
    </w:r>
    <w:r>
      <w:fldChar w:fldCharType="begin"/>
    </w:r>
    <w:r w:rsidRPr="0036114B">
      <w:rPr>
        <w:lang w:val="fr-CH"/>
      </w:rPr>
      <w:instrText xml:space="preserve"> PAGE   \* MERGEFORMAT </w:instrText>
    </w:r>
    <w:r>
      <w:fldChar w:fldCharType="separate"/>
    </w:r>
    <w:r w:rsidR="000672CA">
      <w:rPr>
        <w:noProof/>
        <w:lang w:val="fr-CH"/>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B026B" w14:textId="6DCAA600" w:rsidR="00BA211B" w:rsidRPr="00792B4C" w:rsidRDefault="00BA211B" w:rsidP="00813F49">
    <w:pPr>
      <w:pStyle w:val="Header"/>
      <w:jc w:val="right"/>
    </w:pPr>
    <w:r w:rsidRPr="00792B4C">
      <w:t>H/LD/WG/</w:t>
    </w:r>
    <w:r w:rsidR="00936932" w:rsidRPr="00792B4C">
      <w:t>9</w:t>
    </w:r>
    <w:r w:rsidRPr="00792B4C">
      <w:t>/</w:t>
    </w:r>
    <w:r w:rsidR="00726D67">
      <w:t>2</w:t>
    </w:r>
  </w:p>
  <w:p w14:paraId="24DFD570" w14:textId="1CDD5DA6" w:rsidR="00BA211B" w:rsidRPr="00792B4C" w:rsidRDefault="00BA211B" w:rsidP="00E255D2">
    <w:pPr>
      <w:pStyle w:val="Header"/>
      <w:spacing w:after="240"/>
      <w:jc w:val="right"/>
    </w:pPr>
    <w:proofErr w:type="spellStart"/>
    <w:proofErr w:type="gramStart"/>
    <w:r w:rsidRPr="00792B4C">
      <w:t>p</w:t>
    </w:r>
    <w:r w:rsidR="00E255D2">
      <w:t>ágina</w:t>
    </w:r>
    <w:proofErr w:type="spellEnd"/>
    <w:proofErr w:type="gramEnd"/>
    <w:r w:rsidRPr="00792B4C">
      <w:t xml:space="preserve"> </w:t>
    </w:r>
    <w:r>
      <w:fldChar w:fldCharType="begin"/>
    </w:r>
    <w:r w:rsidRPr="00792B4C">
      <w:instrText xml:space="preserve"> PAGE   \* MERGEFORMAT </w:instrText>
    </w:r>
    <w:r>
      <w:fldChar w:fldCharType="separate"/>
    </w:r>
    <w:r w:rsidR="006B1247">
      <w:rPr>
        <w:noProof/>
      </w:rPr>
      <w:t>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12102" w14:textId="77777777" w:rsidR="00F71E58" w:rsidRPr="00792B4C" w:rsidRDefault="00F71E58" w:rsidP="00813F49">
    <w:pPr>
      <w:pStyle w:val="Header"/>
      <w:jc w:val="right"/>
    </w:pPr>
    <w:r w:rsidRPr="00792B4C">
      <w:t>H/LD/WG/9/</w:t>
    </w:r>
    <w:r>
      <w:t>2</w:t>
    </w:r>
  </w:p>
  <w:p w14:paraId="6DF22B70" w14:textId="40B22C63" w:rsidR="00F71E58" w:rsidRPr="00792B4C" w:rsidRDefault="00F71E58" w:rsidP="00E255D2">
    <w:pPr>
      <w:pStyle w:val="Header"/>
      <w:spacing w:after="240"/>
      <w:jc w:val="right"/>
    </w:pPr>
    <w:r>
      <w:t>ANEX</w:t>
    </w:r>
    <w:r w:rsidR="00E255D2">
      <w:t>O</w:t>
    </w:r>
    <w:r>
      <w:t xml:space="preserve"> II</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FA3A" w14:textId="77777777" w:rsidR="00F77D2B" w:rsidRPr="00792B4C" w:rsidRDefault="00F77D2B" w:rsidP="00F77D2B">
    <w:pPr>
      <w:pStyle w:val="Header"/>
      <w:jc w:val="right"/>
    </w:pPr>
    <w:r w:rsidRPr="00792B4C">
      <w:t>H/LD/WG/9/</w:t>
    </w:r>
    <w:r>
      <w:t>2</w:t>
    </w:r>
  </w:p>
  <w:p w14:paraId="480DF88E" w14:textId="69684436" w:rsidR="00F77D2B" w:rsidRDefault="00F77D2B" w:rsidP="00E255D2">
    <w:pPr>
      <w:pStyle w:val="Header"/>
      <w:spacing w:after="240"/>
      <w:jc w:val="right"/>
    </w:pPr>
    <w:r>
      <w:t>ANEX</w:t>
    </w:r>
    <w:r w:rsidR="00E255D2">
      <w:t>O</w:t>
    </w:r>
    <w:r>
      <w:t xml:space="preserve">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2457"/>
        </w:tabs>
        <w:ind w:left="189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8080"/>
        </w:tabs>
        <w:ind w:left="7513"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E341DED"/>
    <w:multiLevelType w:val="hybridMultilevel"/>
    <w:tmpl w:val="CC08C342"/>
    <w:lvl w:ilvl="0" w:tplc="5E3CB98C">
      <w:start w:val="3"/>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33E8BB34">
      <w:start w:val="1"/>
      <w:numFmt w:val="lowerRoman"/>
      <w:lvlText w:val="%9."/>
      <w:lvlJc w:val="right"/>
      <w:pPr>
        <w:ind w:left="6120" w:hanging="180"/>
      </w:pPr>
      <w:rPr>
        <w:i/>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9393"/>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Hague|Team Server TMs\Spanish|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0C3895"/>
    <w:rsid w:val="0000099B"/>
    <w:rsid w:val="00002662"/>
    <w:rsid w:val="00002710"/>
    <w:rsid w:val="00002B13"/>
    <w:rsid w:val="00002B8B"/>
    <w:rsid w:val="00002F56"/>
    <w:rsid w:val="00007652"/>
    <w:rsid w:val="00007F08"/>
    <w:rsid w:val="000122EF"/>
    <w:rsid w:val="0001428A"/>
    <w:rsid w:val="0001638E"/>
    <w:rsid w:val="000178C6"/>
    <w:rsid w:val="00023367"/>
    <w:rsid w:val="00025DAC"/>
    <w:rsid w:val="000276DA"/>
    <w:rsid w:val="00030A4C"/>
    <w:rsid w:val="00031452"/>
    <w:rsid w:val="000322B7"/>
    <w:rsid w:val="000353DF"/>
    <w:rsid w:val="00036CDC"/>
    <w:rsid w:val="00036EB2"/>
    <w:rsid w:val="00037FEF"/>
    <w:rsid w:val="00043961"/>
    <w:rsid w:val="00043CAA"/>
    <w:rsid w:val="00046F15"/>
    <w:rsid w:val="00047054"/>
    <w:rsid w:val="00054272"/>
    <w:rsid w:val="000574A9"/>
    <w:rsid w:val="000672CA"/>
    <w:rsid w:val="00074DC2"/>
    <w:rsid w:val="0007503B"/>
    <w:rsid w:val="00075432"/>
    <w:rsid w:val="0007543E"/>
    <w:rsid w:val="0007741E"/>
    <w:rsid w:val="0008137E"/>
    <w:rsid w:val="00084AC0"/>
    <w:rsid w:val="000866EA"/>
    <w:rsid w:val="00086AA6"/>
    <w:rsid w:val="0008781D"/>
    <w:rsid w:val="00090876"/>
    <w:rsid w:val="00091488"/>
    <w:rsid w:val="0009156C"/>
    <w:rsid w:val="00091CDF"/>
    <w:rsid w:val="000925E7"/>
    <w:rsid w:val="00092C37"/>
    <w:rsid w:val="000939FE"/>
    <w:rsid w:val="00094819"/>
    <w:rsid w:val="0009598A"/>
    <w:rsid w:val="000968ED"/>
    <w:rsid w:val="00097E03"/>
    <w:rsid w:val="000A0303"/>
    <w:rsid w:val="000A090C"/>
    <w:rsid w:val="000A15C4"/>
    <w:rsid w:val="000A50DD"/>
    <w:rsid w:val="000A7146"/>
    <w:rsid w:val="000B3608"/>
    <w:rsid w:val="000B45E1"/>
    <w:rsid w:val="000B6336"/>
    <w:rsid w:val="000B790C"/>
    <w:rsid w:val="000C0FB8"/>
    <w:rsid w:val="000C190F"/>
    <w:rsid w:val="000C2709"/>
    <w:rsid w:val="000C3895"/>
    <w:rsid w:val="000C38FD"/>
    <w:rsid w:val="000C4F41"/>
    <w:rsid w:val="000C6CAB"/>
    <w:rsid w:val="000C77E3"/>
    <w:rsid w:val="000D06D7"/>
    <w:rsid w:val="000D2353"/>
    <w:rsid w:val="000D27B9"/>
    <w:rsid w:val="000D2FFA"/>
    <w:rsid w:val="000D3361"/>
    <w:rsid w:val="000D4699"/>
    <w:rsid w:val="000D5BAE"/>
    <w:rsid w:val="000E1768"/>
    <w:rsid w:val="000E1872"/>
    <w:rsid w:val="000E32C1"/>
    <w:rsid w:val="000E37F5"/>
    <w:rsid w:val="000E454B"/>
    <w:rsid w:val="000E6EA7"/>
    <w:rsid w:val="000E71D8"/>
    <w:rsid w:val="000F0083"/>
    <w:rsid w:val="000F08C4"/>
    <w:rsid w:val="000F1EBB"/>
    <w:rsid w:val="000F25CC"/>
    <w:rsid w:val="000F414E"/>
    <w:rsid w:val="000F4D9F"/>
    <w:rsid w:val="000F5E56"/>
    <w:rsid w:val="000F7ABE"/>
    <w:rsid w:val="00100154"/>
    <w:rsid w:val="00100D0A"/>
    <w:rsid w:val="001019F5"/>
    <w:rsid w:val="00103B74"/>
    <w:rsid w:val="00106454"/>
    <w:rsid w:val="00106B97"/>
    <w:rsid w:val="001073E2"/>
    <w:rsid w:val="0010790F"/>
    <w:rsid w:val="0011188B"/>
    <w:rsid w:val="00111FF9"/>
    <w:rsid w:val="00112335"/>
    <w:rsid w:val="00112FC3"/>
    <w:rsid w:val="001132CD"/>
    <w:rsid w:val="00117494"/>
    <w:rsid w:val="00117964"/>
    <w:rsid w:val="0012228D"/>
    <w:rsid w:val="00123D97"/>
    <w:rsid w:val="001260B7"/>
    <w:rsid w:val="00127FEB"/>
    <w:rsid w:val="00131CBA"/>
    <w:rsid w:val="00133A31"/>
    <w:rsid w:val="001345E0"/>
    <w:rsid w:val="00135357"/>
    <w:rsid w:val="0013572C"/>
    <w:rsid w:val="001362EE"/>
    <w:rsid w:val="00136B76"/>
    <w:rsid w:val="001405F6"/>
    <w:rsid w:val="0014087D"/>
    <w:rsid w:val="00142CBE"/>
    <w:rsid w:val="00143492"/>
    <w:rsid w:val="00144DF0"/>
    <w:rsid w:val="00145C7B"/>
    <w:rsid w:val="00145CF7"/>
    <w:rsid w:val="00146127"/>
    <w:rsid w:val="00147ACC"/>
    <w:rsid w:val="00147EDE"/>
    <w:rsid w:val="00150A77"/>
    <w:rsid w:val="0015155C"/>
    <w:rsid w:val="00153E69"/>
    <w:rsid w:val="001565AD"/>
    <w:rsid w:val="001600D4"/>
    <w:rsid w:val="001606C1"/>
    <w:rsid w:val="00161D87"/>
    <w:rsid w:val="001622E4"/>
    <w:rsid w:val="001643A5"/>
    <w:rsid w:val="001651F4"/>
    <w:rsid w:val="0016693F"/>
    <w:rsid w:val="00166A8C"/>
    <w:rsid w:val="00172BD5"/>
    <w:rsid w:val="001772B6"/>
    <w:rsid w:val="00180B57"/>
    <w:rsid w:val="0018147A"/>
    <w:rsid w:val="00182DDE"/>
    <w:rsid w:val="001832A6"/>
    <w:rsid w:val="0018571A"/>
    <w:rsid w:val="00186292"/>
    <w:rsid w:val="0018798A"/>
    <w:rsid w:val="0019562D"/>
    <w:rsid w:val="00195841"/>
    <w:rsid w:val="001972EB"/>
    <w:rsid w:val="001A0CA9"/>
    <w:rsid w:val="001A24A6"/>
    <w:rsid w:val="001A48FF"/>
    <w:rsid w:val="001B01F0"/>
    <w:rsid w:val="001B1590"/>
    <w:rsid w:val="001B324C"/>
    <w:rsid w:val="001B4107"/>
    <w:rsid w:val="001B6149"/>
    <w:rsid w:val="001B7AAA"/>
    <w:rsid w:val="001C09F4"/>
    <w:rsid w:val="001C0C98"/>
    <w:rsid w:val="001C5BC9"/>
    <w:rsid w:val="001C5EDF"/>
    <w:rsid w:val="001C7107"/>
    <w:rsid w:val="001C7FBE"/>
    <w:rsid w:val="001D1605"/>
    <w:rsid w:val="001D5374"/>
    <w:rsid w:val="001D5D3F"/>
    <w:rsid w:val="001D6697"/>
    <w:rsid w:val="001E2BBC"/>
    <w:rsid w:val="001E3B52"/>
    <w:rsid w:val="001E40B1"/>
    <w:rsid w:val="001E6277"/>
    <w:rsid w:val="001E7F2F"/>
    <w:rsid w:val="001F038F"/>
    <w:rsid w:val="001F236C"/>
    <w:rsid w:val="001F3007"/>
    <w:rsid w:val="001F3B07"/>
    <w:rsid w:val="001F3FA3"/>
    <w:rsid w:val="001F4551"/>
    <w:rsid w:val="001F7837"/>
    <w:rsid w:val="00200BE4"/>
    <w:rsid w:val="00200DE6"/>
    <w:rsid w:val="002031CD"/>
    <w:rsid w:val="00207850"/>
    <w:rsid w:val="002078ED"/>
    <w:rsid w:val="002104EB"/>
    <w:rsid w:val="00210FBC"/>
    <w:rsid w:val="00211DDF"/>
    <w:rsid w:val="002133B5"/>
    <w:rsid w:val="002133E8"/>
    <w:rsid w:val="00213D43"/>
    <w:rsid w:val="00215824"/>
    <w:rsid w:val="00215BAC"/>
    <w:rsid w:val="00216143"/>
    <w:rsid w:val="0021693B"/>
    <w:rsid w:val="00216E07"/>
    <w:rsid w:val="0021717F"/>
    <w:rsid w:val="00220ABA"/>
    <w:rsid w:val="00221F38"/>
    <w:rsid w:val="00222297"/>
    <w:rsid w:val="00222D72"/>
    <w:rsid w:val="002236CB"/>
    <w:rsid w:val="00223D0C"/>
    <w:rsid w:val="002244C2"/>
    <w:rsid w:val="002250CD"/>
    <w:rsid w:val="002256C8"/>
    <w:rsid w:val="00225B55"/>
    <w:rsid w:val="00230A5D"/>
    <w:rsid w:val="00230BF5"/>
    <w:rsid w:val="00231ED8"/>
    <w:rsid w:val="00232E14"/>
    <w:rsid w:val="00233ECB"/>
    <w:rsid w:val="002360FC"/>
    <w:rsid w:val="00236D3B"/>
    <w:rsid w:val="00236DC8"/>
    <w:rsid w:val="002376E9"/>
    <w:rsid w:val="00237950"/>
    <w:rsid w:val="00242D3E"/>
    <w:rsid w:val="00242E85"/>
    <w:rsid w:val="00243B94"/>
    <w:rsid w:val="00243F08"/>
    <w:rsid w:val="0024626D"/>
    <w:rsid w:val="00247555"/>
    <w:rsid w:val="002503EE"/>
    <w:rsid w:val="0025164C"/>
    <w:rsid w:val="00252C00"/>
    <w:rsid w:val="00252C74"/>
    <w:rsid w:val="00252E23"/>
    <w:rsid w:val="002555D3"/>
    <w:rsid w:val="00256BD8"/>
    <w:rsid w:val="002602E3"/>
    <w:rsid w:val="00262F2A"/>
    <w:rsid w:val="002634C4"/>
    <w:rsid w:val="00264445"/>
    <w:rsid w:val="0027084E"/>
    <w:rsid w:val="00270C47"/>
    <w:rsid w:val="00271231"/>
    <w:rsid w:val="00271344"/>
    <w:rsid w:val="0027216D"/>
    <w:rsid w:val="0027218F"/>
    <w:rsid w:val="002737A1"/>
    <w:rsid w:val="00276137"/>
    <w:rsid w:val="0028057C"/>
    <w:rsid w:val="00280A30"/>
    <w:rsid w:val="00281A9C"/>
    <w:rsid w:val="00282A96"/>
    <w:rsid w:val="00283837"/>
    <w:rsid w:val="00284119"/>
    <w:rsid w:val="0028598D"/>
    <w:rsid w:val="002870EC"/>
    <w:rsid w:val="0028752D"/>
    <w:rsid w:val="00287BEF"/>
    <w:rsid w:val="002928D3"/>
    <w:rsid w:val="002934A5"/>
    <w:rsid w:val="002945BA"/>
    <w:rsid w:val="0029660B"/>
    <w:rsid w:val="00297A55"/>
    <w:rsid w:val="00297B67"/>
    <w:rsid w:val="00297CFB"/>
    <w:rsid w:val="002A5AF9"/>
    <w:rsid w:val="002A5F21"/>
    <w:rsid w:val="002A64E2"/>
    <w:rsid w:val="002A6A69"/>
    <w:rsid w:val="002A6BEB"/>
    <w:rsid w:val="002B04F2"/>
    <w:rsid w:val="002B2198"/>
    <w:rsid w:val="002B39C4"/>
    <w:rsid w:val="002B3BD3"/>
    <w:rsid w:val="002B5E79"/>
    <w:rsid w:val="002B69FF"/>
    <w:rsid w:val="002B6BD5"/>
    <w:rsid w:val="002B79E5"/>
    <w:rsid w:val="002C0B67"/>
    <w:rsid w:val="002C24C7"/>
    <w:rsid w:val="002C2986"/>
    <w:rsid w:val="002C36B0"/>
    <w:rsid w:val="002C4863"/>
    <w:rsid w:val="002C493A"/>
    <w:rsid w:val="002C71B1"/>
    <w:rsid w:val="002D0D3A"/>
    <w:rsid w:val="002D3729"/>
    <w:rsid w:val="002D6381"/>
    <w:rsid w:val="002D6659"/>
    <w:rsid w:val="002D68B0"/>
    <w:rsid w:val="002D6DEC"/>
    <w:rsid w:val="002D77D9"/>
    <w:rsid w:val="002E04C6"/>
    <w:rsid w:val="002E4261"/>
    <w:rsid w:val="002E4A7D"/>
    <w:rsid w:val="002E6840"/>
    <w:rsid w:val="002F184F"/>
    <w:rsid w:val="002F1FE6"/>
    <w:rsid w:val="002F2CC5"/>
    <w:rsid w:val="002F39DF"/>
    <w:rsid w:val="002F4BC7"/>
    <w:rsid w:val="002F4E68"/>
    <w:rsid w:val="002F54D3"/>
    <w:rsid w:val="002F7C3E"/>
    <w:rsid w:val="00302E27"/>
    <w:rsid w:val="00305494"/>
    <w:rsid w:val="00307E01"/>
    <w:rsid w:val="00310D64"/>
    <w:rsid w:val="0031236B"/>
    <w:rsid w:val="00312F7F"/>
    <w:rsid w:val="00313E97"/>
    <w:rsid w:val="00314434"/>
    <w:rsid w:val="00314537"/>
    <w:rsid w:val="00314E8A"/>
    <w:rsid w:val="0031585B"/>
    <w:rsid w:val="00315B18"/>
    <w:rsid w:val="00316069"/>
    <w:rsid w:val="00320C58"/>
    <w:rsid w:val="00321D74"/>
    <w:rsid w:val="0032307E"/>
    <w:rsid w:val="003232E7"/>
    <w:rsid w:val="00326287"/>
    <w:rsid w:val="00327128"/>
    <w:rsid w:val="00330002"/>
    <w:rsid w:val="00330656"/>
    <w:rsid w:val="00330B00"/>
    <w:rsid w:val="00330D66"/>
    <w:rsid w:val="00330F7E"/>
    <w:rsid w:val="00331368"/>
    <w:rsid w:val="00334ACE"/>
    <w:rsid w:val="00335EA3"/>
    <w:rsid w:val="003363E2"/>
    <w:rsid w:val="00341D4D"/>
    <w:rsid w:val="003439DE"/>
    <w:rsid w:val="00343D7E"/>
    <w:rsid w:val="003442EC"/>
    <w:rsid w:val="003456A9"/>
    <w:rsid w:val="00346DF3"/>
    <w:rsid w:val="00347693"/>
    <w:rsid w:val="003502EC"/>
    <w:rsid w:val="00351BFA"/>
    <w:rsid w:val="00353FDF"/>
    <w:rsid w:val="00354E43"/>
    <w:rsid w:val="00356267"/>
    <w:rsid w:val="0036114B"/>
    <w:rsid w:val="00361346"/>
    <w:rsid w:val="00361450"/>
    <w:rsid w:val="00364AD3"/>
    <w:rsid w:val="00365C54"/>
    <w:rsid w:val="003665D8"/>
    <w:rsid w:val="00366649"/>
    <w:rsid w:val="003673CF"/>
    <w:rsid w:val="00370017"/>
    <w:rsid w:val="003705FB"/>
    <w:rsid w:val="00371D09"/>
    <w:rsid w:val="00372276"/>
    <w:rsid w:val="0037254F"/>
    <w:rsid w:val="003736C0"/>
    <w:rsid w:val="00375AE4"/>
    <w:rsid w:val="003766C7"/>
    <w:rsid w:val="0037678E"/>
    <w:rsid w:val="00376FFA"/>
    <w:rsid w:val="003815AD"/>
    <w:rsid w:val="003845C1"/>
    <w:rsid w:val="00386DEF"/>
    <w:rsid w:val="003905BA"/>
    <w:rsid w:val="0039077B"/>
    <w:rsid w:val="00392A82"/>
    <w:rsid w:val="003941C5"/>
    <w:rsid w:val="00395959"/>
    <w:rsid w:val="00396FF8"/>
    <w:rsid w:val="00397196"/>
    <w:rsid w:val="003A046D"/>
    <w:rsid w:val="003A0CBF"/>
    <w:rsid w:val="003A10FF"/>
    <w:rsid w:val="003A2B9F"/>
    <w:rsid w:val="003A6F89"/>
    <w:rsid w:val="003B0803"/>
    <w:rsid w:val="003B174B"/>
    <w:rsid w:val="003B23AF"/>
    <w:rsid w:val="003B2D31"/>
    <w:rsid w:val="003B38C1"/>
    <w:rsid w:val="003B600B"/>
    <w:rsid w:val="003C28B8"/>
    <w:rsid w:val="003C33D1"/>
    <w:rsid w:val="003C5432"/>
    <w:rsid w:val="003C560D"/>
    <w:rsid w:val="003C66AB"/>
    <w:rsid w:val="003C7B4E"/>
    <w:rsid w:val="003D1062"/>
    <w:rsid w:val="003D1198"/>
    <w:rsid w:val="003D299B"/>
    <w:rsid w:val="003D2C3F"/>
    <w:rsid w:val="003D4510"/>
    <w:rsid w:val="003D5B85"/>
    <w:rsid w:val="003D628D"/>
    <w:rsid w:val="003D677E"/>
    <w:rsid w:val="003D749E"/>
    <w:rsid w:val="003E1F9B"/>
    <w:rsid w:val="003E2B67"/>
    <w:rsid w:val="003E2CED"/>
    <w:rsid w:val="003E500C"/>
    <w:rsid w:val="003E53E6"/>
    <w:rsid w:val="003E6890"/>
    <w:rsid w:val="003F20B7"/>
    <w:rsid w:val="003F25F3"/>
    <w:rsid w:val="003F411A"/>
    <w:rsid w:val="003F73FE"/>
    <w:rsid w:val="003F7702"/>
    <w:rsid w:val="003F7C19"/>
    <w:rsid w:val="00401867"/>
    <w:rsid w:val="0040323C"/>
    <w:rsid w:val="00403C7D"/>
    <w:rsid w:val="00404195"/>
    <w:rsid w:val="004054F6"/>
    <w:rsid w:val="0040694D"/>
    <w:rsid w:val="00406AFC"/>
    <w:rsid w:val="0041021D"/>
    <w:rsid w:val="00410BF3"/>
    <w:rsid w:val="00410EE5"/>
    <w:rsid w:val="00412E96"/>
    <w:rsid w:val="004139A1"/>
    <w:rsid w:val="00413C42"/>
    <w:rsid w:val="004140C8"/>
    <w:rsid w:val="00414142"/>
    <w:rsid w:val="00414C21"/>
    <w:rsid w:val="00414DE5"/>
    <w:rsid w:val="00423990"/>
    <w:rsid w:val="00423E3E"/>
    <w:rsid w:val="00423E8F"/>
    <w:rsid w:val="0042446F"/>
    <w:rsid w:val="0042623D"/>
    <w:rsid w:val="004263B4"/>
    <w:rsid w:val="0042793A"/>
    <w:rsid w:val="00427AF4"/>
    <w:rsid w:val="00430526"/>
    <w:rsid w:val="00430EED"/>
    <w:rsid w:val="00436752"/>
    <w:rsid w:val="00437704"/>
    <w:rsid w:val="00440F7C"/>
    <w:rsid w:val="0044305D"/>
    <w:rsid w:val="00443F03"/>
    <w:rsid w:val="0044507D"/>
    <w:rsid w:val="004461BC"/>
    <w:rsid w:val="00446221"/>
    <w:rsid w:val="004475F5"/>
    <w:rsid w:val="004509BD"/>
    <w:rsid w:val="004525C4"/>
    <w:rsid w:val="004542E4"/>
    <w:rsid w:val="00455DD8"/>
    <w:rsid w:val="00457952"/>
    <w:rsid w:val="004609A5"/>
    <w:rsid w:val="004647DA"/>
    <w:rsid w:val="00464AEF"/>
    <w:rsid w:val="00464C2C"/>
    <w:rsid w:val="00464FFC"/>
    <w:rsid w:val="00466427"/>
    <w:rsid w:val="00470B00"/>
    <w:rsid w:val="00470F65"/>
    <w:rsid w:val="00474062"/>
    <w:rsid w:val="00474315"/>
    <w:rsid w:val="004746FC"/>
    <w:rsid w:val="004776AF"/>
    <w:rsid w:val="00477C95"/>
    <w:rsid w:val="00477D6B"/>
    <w:rsid w:val="004812A5"/>
    <w:rsid w:val="00483102"/>
    <w:rsid w:val="00483BA7"/>
    <w:rsid w:val="00483DE4"/>
    <w:rsid w:val="00483F4B"/>
    <w:rsid w:val="00485225"/>
    <w:rsid w:val="00485986"/>
    <w:rsid w:val="00487A39"/>
    <w:rsid w:val="004909BB"/>
    <w:rsid w:val="00490CCF"/>
    <w:rsid w:val="00491659"/>
    <w:rsid w:val="00492417"/>
    <w:rsid w:val="004946D1"/>
    <w:rsid w:val="00495DB3"/>
    <w:rsid w:val="00496B9A"/>
    <w:rsid w:val="00497AD1"/>
    <w:rsid w:val="00497AFF"/>
    <w:rsid w:val="00497DC7"/>
    <w:rsid w:val="004A100F"/>
    <w:rsid w:val="004A2AF4"/>
    <w:rsid w:val="004A415C"/>
    <w:rsid w:val="004A5706"/>
    <w:rsid w:val="004A6037"/>
    <w:rsid w:val="004A6053"/>
    <w:rsid w:val="004A6A33"/>
    <w:rsid w:val="004A6CD5"/>
    <w:rsid w:val="004A7B53"/>
    <w:rsid w:val="004B211F"/>
    <w:rsid w:val="004B3466"/>
    <w:rsid w:val="004B3A8C"/>
    <w:rsid w:val="004B40C7"/>
    <w:rsid w:val="004B5796"/>
    <w:rsid w:val="004B775E"/>
    <w:rsid w:val="004C042C"/>
    <w:rsid w:val="004C0818"/>
    <w:rsid w:val="004C1D1C"/>
    <w:rsid w:val="004C2929"/>
    <w:rsid w:val="004C3C0B"/>
    <w:rsid w:val="004C45B3"/>
    <w:rsid w:val="004C4EE9"/>
    <w:rsid w:val="004C6A23"/>
    <w:rsid w:val="004D0A26"/>
    <w:rsid w:val="004D0E48"/>
    <w:rsid w:val="004D0E6F"/>
    <w:rsid w:val="004D1A04"/>
    <w:rsid w:val="004D2296"/>
    <w:rsid w:val="004D2364"/>
    <w:rsid w:val="004D426B"/>
    <w:rsid w:val="004D4CCB"/>
    <w:rsid w:val="004D759B"/>
    <w:rsid w:val="004D7B87"/>
    <w:rsid w:val="004E16C0"/>
    <w:rsid w:val="004E218B"/>
    <w:rsid w:val="004E3DC4"/>
    <w:rsid w:val="004E3EF3"/>
    <w:rsid w:val="004E4179"/>
    <w:rsid w:val="004E6B5D"/>
    <w:rsid w:val="004E6BE2"/>
    <w:rsid w:val="004F02EB"/>
    <w:rsid w:val="004F0597"/>
    <w:rsid w:val="004F0657"/>
    <w:rsid w:val="004F07A7"/>
    <w:rsid w:val="004F3853"/>
    <w:rsid w:val="004F5217"/>
    <w:rsid w:val="004F535E"/>
    <w:rsid w:val="004F6865"/>
    <w:rsid w:val="004F7ACA"/>
    <w:rsid w:val="00500492"/>
    <w:rsid w:val="005013E8"/>
    <w:rsid w:val="005019FF"/>
    <w:rsid w:val="00503930"/>
    <w:rsid w:val="00503DB7"/>
    <w:rsid w:val="00504A31"/>
    <w:rsid w:val="00506579"/>
    <w:rsid w:val="0051005A"/>
    <w:rsid w:val="00510E9C"/>
    <w:rsid w:val="00512092"/>
    <w:rsid w:val="00512800"/>
    <w:rsid w:val="00514244"/>
    <w:rsid w:val="0051585B"/>
    <w:rsid w:val="00517620"/>
    <w:rsid w:val="0052115A"/>
    <w:rsid w:val="005242A8"/>
    <w:rsid w:val="00525BA7"/>
    <w:rsid w:val="0053057A"/>
    <w:rsid w:val="00531959"/>
    <w:rsid w:val="0053284E"/>
    <w:rsid w:val="00533D0F"/>
    <w:rsid w:val="005349C1"/>
    <w:rsid w:val="00534C18"/>
    <w:rsid w:val="00534DFB"/>
    <w:rsid w:val="00534F90"/>
    <w:rsid w:val="00536882"/>
    <w:rsid w:val="00536A79"/>
    <w:rsid w:val="00537ED8"/>
    <w:rsid w:val="0054150D"/>
    <w:rsid w:val="00542193"/>
    <w:rsid w:val="005449DE"/>
    <w:rsid w:val="0054571D"/>
    <w:rsid w:val="00545CDE"/>
    <w:rsid w:val="005505F0"/>
    <w:rsid w:val="00551DBC"/>
    <w:rsid w:val="005524F2"/>
    <w:rsid w:val="00553733"/>
    <w:rsid w:val="00553A15"/>
    <w:rsid w:val="00555155"/>
    <w:rsid w:val="00556970"/>
    <w:rsid w:val="0055769C"/>
    <w:rsid w:val="00560A29"/>
    <w:rsid w:val="00561173"/>
    <w:rsid w:val="005617F0"/>
    <w:rsid w:val="00561968"/>
    <w:rsid w:val="00564663"/>
    <w:rsid w:val="00565907"/>
    <w:rsid w:val="00566FB3"/>
    <w:rsid w:val="00567268"/>
    <w:rsid w:val="00571429"/>
    <w:rsid w:val="00572908"/>
    <w:rsid w:val="005729CF"/>
    <w:rsid w:val="00573B94"/>
    <w:rsid w:val="00574923"/>
    <w:rsid w:val="00574F90"/>
    <w:rsid w:val="0057509C"/>
    <w:rsid w:val="00576B65"/>
    <w:rsid w:val="00584965"/>
    <w:rsid w:val="00586FB7"/>
    <w:rsid w:val="00587BFA"/>
    <w:rsid w:val="0059061C"/>
    <w:rsid w:val="0059082C"/>
    <w:rsid w:val="00592359"/>
    <w:rsid w:val="00592A83"/>
    <w:rsid w:val="00593DAD"/>
    <w:rsid w:val="00594F3D"/>
    <w:rsid w:val="00595689"/>
    <w:rsid w:val="00596016"/>
    <w:rsid w:val="005965CF"/>
    <w:rsid w:val="00597066"/>
    <w:rsid w:val="00597907"/>
    <w:rsid w:val="005A142B"/>
    <w:rsid w:val="005A44C8"/>
    <w:rsid w:val="005A5BFB"/>
    <w:rsid w:val="005B05D8"/>
    <w:rsid w:val="005B28B8"/>
    <w:rsid w:val="005B3614"/>
    <w:rsid w:val="005B6B85"/>
    <w:rsid w:val="005B6C54"/>
    <w:rsid w:val="005B7A47"/>
    <w:rsid w:val="005C10E0"/>
    <w:rsid w:val="005C29E0"/>
    <w:rsid w:val="005C2E38"/>
    <w:rsid w:val="005C306B"/>
    <w:rsid w:val="005C479F"/>
    <w:rsid w:val="005C5586"/>
    <w:rsid w:val="005C6649"/>
    <w:rsid w:val="005D06A4"/>
    <w:rsid w:val="005D0947"/>
    <w:rsid w:val="005D09FB"/>
    <w:rsid w:val="005D18D1"/>
    <w:rsid w:val="005D1971"/>
    <w:rsid w:val="005D1C83"/>
    <w:rsid w:val="005D261D"/>
    <w:rsid w:val="005D2757"/>
    <w:rsid w:val="005D377A"/>
    <w:rsid w:val="005E49B8"/>
    <w:rsid w:val="005E5AB1"/>
    <w:rsid w:val="005E633F"/>
    <w:rsid w:val="005E6F02"/>
    <w:rsid w:val="005E7065"/>
    <w:rsid w:val="005E7533"/>
    <w:rsid w:val="005E7E8A"/>
    <w:rsid w:val="005F04C4"/>
    <w:rsid w:val="005F1C73"/>
    <w:rsid w:val="005F1C7E"/>
    <w:rsid w:val="005F2005"/>
    <w:rsid w:val="005F21F0"/>
    <w:rsid w:val="005F3B53"/>
    <w:rsid w:val="005F5A20"/>
    <w:rsid w:val="005F7350"/>
    <w:rsid w:val="00600ED9"/>
    <w:rsid w:val="00601D4D"/>
    <w:rsid w:val="00601E2F"/>
    <w:rsid w:val="0060234D"/>
    <w:rsid w:val="006024A4"/>
    <w:rsid w:val="00602697"/>
    <w:rsid w:val="006028B7"/>
    <w:rsid w:val="006041E7"/>
    <w:rsid w:val="00604DB3"/>
    <w:rsid w:val="00605827"/>
    <w:rsid w:val="006063FF"/>
    <w:rsid w:val="00606CBE"/>
    <w:rsid w:val="0061119A"/>
    <w:rsid w:val="006142F1"/>
    <w:rsid w:val="006143EB"/>
    <w:rsid w:val="00614446"/>
    <w:rsid w:val="00617F44"/>
    <w:rsid w:val="00620918"/>
    <w:rsid w:val="00621D87"/>
    <w:rsid w:val="00621F35"/>
    <w:rsid w:val="00622E7E"/>
    <w:rsid w:val="0062378A"/>
    <w:rsid w:val="00623EFA"/>
    <w:rsid w:val="00624AD3"/>
    <w:rsid w:val="00624C41"/>
    <w:rsid w:val="006254CC"/>
    <w:rsid w:val="00625803"/>
    <w:rsid w:val="006303D3"/>
    <w:rsid w:val="006305A8"/>
    <w:rsid w:val="00631CE5"/>
    <w:rsid w:val="0063435B"/>
    <w:rsid w:val="00635C67"/>
    <w:rsid w:val="00637E8A"/>
    <w:rsid w:val="00637FA8"/>
    <w:rsid w:val="0064241A"/>
    <w:rsid w:val="00643DAC"/>
    <w:rsid w:val="00644D7D"/>
    <w:rsid w:val="00646050"/>
    <w:rsid w:val="00647511"/>
    <w:rsid w:val="00647695"/>
    <w:rsid w:val="00647763"/>
    <w:rsid w:val="00650881"/>
    <w:rsid w:val="006510F3"/>
    <w:rsid w:val="00652BD2"/>
    <w:rsid w:val="00653500"/>
    <w:rsid w:val="00655E49"/>
    <w:rsid w:val="00656932"/>
    <w:rsid w:val="00656D0F"/>
    <w:rsid w:val="006575C8"/>
    <w:rsid w:val="00657A04"/>
    <w:rsid w:val="0066025D"/>
    <w:rsid w:val="0066494E"/>
    <w:rsid w:val="00665557"/>
    <w:rsid w:val="00670C1D"/>
    <w:rsid w:val="00670D25"/>
    <w:rsid w:val="006713CA"/>
    <w:rsid w:val="00671AFD"/>
    <w:rsid w:val="00673CBF"/>
    <w:rsid w:val="00674F72"/>
    <w:rsid w:val="00675051"/>
    <w:rsid w:val="006756C8"/>
    <w:rsid w:val="00676C5C"/>
    <w:rsid w:val="00677B44"/>
    <w:rsid w:val="0068000B"/>
    <w:rsid w:val="006800C2"/>
    <w:rsid w:val="00681884"/>
    <w:rsid w:val="00682871"/>
    <w:rsid w:val="00684CFB"/>
    <w:rsid w:val="00684F5C"/>
    <w:rsid w:val="00685517"/>
    <w:rsid w:val="006856A9"/>
    <w:rsid w:val="00686396"/>
    <w:rsid w:val="006864B7"/>
    <w:rsid w:val="00687026"/>
    <w:rsid w:val="006872B4"/>
    <w:rsid w:val="006877BE"/>
    <w:rsid w:val="006937D7"/>
    <w:rsid w:val="006942D8"/>
    <w:rsid w:val="00694AE2"/>
    <w:rsid w:val="00695028"/>
    <w:rsid w:val="00695199"/>
    <w:rsid w:val="0069684B"/>
    <w:rsid w:val="00697CFA"/>
    <w:rsid w:val="006A0793"/>
    <w:rsid w:val="006A0931"/>
    <w:rsid w:val="006A3ADE"/>
    <w:rsid w:val="006A4365"/>
    <w:rsid w:val="006A6546"/>
    <w:rsid w:val="006A7502"/>
    <w:rsid w:val="006A782E"/>
    <w:rsid w:val="006A7903"/>
    <w:rsid w:val="006A7F7B"/>
    <w:rsid w:val="006B0C4C"/>
    <w:rsid w:val="006B1247"/>
    <w:rsid w:val="006B2408"/>
    <w:rsid w:val="006B3497"/>
    <w:rsid w:val="006B69E9"/>
    <w:rsid w:val="006B7091"/>
    <w:rsid w:val="006C242B"/>
    <w:rsid w:val="006C38FF"/>
    <w:rsid w:val="006C4F3A"/>
    <w:rsid w:val="006C640A"/>
    <w:rsid w:val="006C76C8"/>
    <w:rsid w:val="006C79B6"/>
    <w:rsid w:val="006D12FA"/>
    <w:rsid w:val="006D1A0B"/>
    <w:rsid w:val="006D2CE4"/>
    <w:rsid w:val="006D2DD5"/>
    <w:rsid w:val="006D4B65"/>
    <w:rsid w:val="006D5181"/>
    <w:rsid w:val="006D580F"/>
    <w:rsid w:val="006E03D7"/>
    <w:rsid w:val="006E37DC"/>
    <w:rsid w:val="006E3CBA"/>
    <w:rsid w:val="006E3CD4"/>
    <w:rsid w:val="006E6D96"/>
    <w:rsid w:val="006E6FA7"/>
    <w:rsid w:val="006F06C5"/>
    <w:rsid w:val="006F0729"/>
    <w:rsid w:val="006F2725"/>
    <w:rsid w:val="006F36DA"/>
    <w:rsid w:val="006F785D"/>
    <w:rsid w:val="006F790D"/>
    <w:rsid w:val="007072A2"/>
    <w:rsid w:val="007101C9"/>
    <w:rsid w:val="0071035E"/>
    <w:rsid w:val="0071084A"/>
    <w:rsid w:val="007113B0"/>
    <w:rsid w:val="0071291E"/>
    <w:rsid w:val="0071343D"/>
    <w:rsid w:val="007135F2"/>
    <w:rsid w:val="0071387D"/>
    <w:rsid w:val="0071395A"/>
    <w:rsid w:val="00714E8A"/>
    <w:rsid w:val="0071553D"/>
    <w:rsid w:val="00716150"/>
    <w:rsid w:val="007163F2"/>
    <w:rsid w:val="007166BA"/>
    <w:rsid w:val="007174A0"/>
    <w:rsid w:val="00722E07"/>
    <w:rsid w:val="00722E11"/>
    <w:rsid w:val="00723CB1"/>
    <w:rsid w:val="00724AE4"/>
    <w:rsid w:val="007252A1"/>
    <w:rsid w:val="00726A5F"/>
    <w:rsid w:val="00726D67"/>
    <w:rsid w:val="00727F9E"/>
    <w:rsid w:val="007302E3"/>
    <w:rsid w:val="00730C4D"/>
    <w:rsid w:val="0073529F"/>
    <w:rsid w:val="007354FA"/>
    <w:rsid w:val="00735D69"/>
    <w:rsid w:val="007405EA"/>
    <w:rsid w:val="00743D2F"/>
    <w:rsid w:val="00744423"/>
    <w:rsid w:val="007503B3"/>
    <w:rsid w:val="00752357"/>
    <w:rsid w:val="00752F91"/>
    <w:rsid w:val="00754163"/>
    <w:rsid w:val="007542AC"/>
    <w:rsid w:val="00756280"/>
    <w:rsid w:val="00756A22"/>
    <w:rsid w:val="00760268"/>
    <w:rsid w:val="007604FE"/>
    <w:rsid w:val="00761250"/>
    <w:rsid w:val="00762C2C"/>
    <w:rsid w:val="00763C11"/>
    <w:rsid w:val="0076410F"/>
    <w:rsid w:val="007647C9"/>
    <w:rsid w:val="007659DA"/>
    <w:rsid w:val="00771A35"/>
    <w:rsid w:val="007725BF"/>
    <w:rsid w:val="00773004"/>
    <w:rsid w:val="00780959"/>
    <w:rsid w:val="00780DD1"/>
    <w:rsid w:val="00782B90"/>
    <w:rsid w:val="0078429A"/>
    <w:rsid w:val="00786763"/>
    <w:rsid w:val="00790BC6"/>
    <w:rsid w:val="00792B4C"/>
    <w:rsid w:val="007973BF"/>
    <w:rsid w:val="007A0AE4"/>
    <w:rsid w:val="007A2CD5"/>
    <w:rsid w:val="007A2F63"/>
    <w:rsid w:val="007A41D4"/>
    <w:rsid w:val="007A48D7"/>
    <w:rsid w:val="007A710A"/>
    <w:rsid w:val="007B1406"/>
    <w:rsid w:val="007B1DBA"/>
    <w:rsid w:val="007B2CE6"/>
    <w:rsid w:val="007B37D8"/>
    <w:rsid w:val="007B5975"/>
    <w:rsid w:val="007B5D69"/>
    <w:rsid w:val="007C05BA"/>
    <w:rsid w:val="007C0E00"/>
    <w:rsid w:val="007C16D0"/>
    <w:rsid w:val="007C21A5"/>
    <w:rsid w:val="007C3BDF"/>
    <w:rsid w:val="007C441C"/>
    <w:rsid w:val="007C547D"/>
    <w:rsid w:val="007C5D3D"/>
    <w:rsid w:val="007C6425"/>
    <w:rsid w:val="007C6C3C"/>
    <w:rsid w:val="007D10FB"/>
    <w:rsid w:val="007D1613"/>
    <w:rsid w:val="007D2463"/>
    <w:rsid w:val="007D2F49"/>
    <w:rsid w:val="007D2FBD"/>
    <w:rsid w:val="007D3471"/>
    <w:rsid w:val="007D3F08"/>
    <w:rsid w:val="007D42D7"/>
    <w:rsid w:val="007D6151"/>
    <w:rsid w:val="007D65F7"/>
    <w:rsid w:val="007E035D"/>
    <w:rsid w:val="007E168B"/>
    <w:rsid w:val="007E1EF8"/>
    <w:rsid w:val="007E33C1"/>
    <w:rsid w:val="007E3D59"/>
    <w:rsid w:val="007E575D"/>
    <w:rsid w:val="007E6925"/>
    <w:rsid w:val="007E6D12"/>
    <w:rsid w:val="007E7F07"/>
    <w:rsid w:val="007F3BFC"/>
    <w:rsid w:val="007F42B2"/>
    <w:rsid w:val="007F5255"/>
    <w:rsid w:val="007F706B"/>
    <w:rsid w:val="007F72FE"/>
    <w:rsid w:val="007F7BB3"/>
    <w:rsid w:val="00803707"/>
    <w:rsid w:val="00804474"/>
    <w:rsid w:val="008064C9"/>
    <w:rsid w:val="008101FF"/>
    <w:rsid w:val="00811EAC"/>
    <w:rsid w:val="00813A34"/>
    <w:rsid w:val="00813F49"/>
    <w:rsid w:val="0081455B"/>
    <w:rsid w:val="00815132"/>
    <w:rsid w:val="00816D05"/>
    <w:rsid w:val="008171E5"/>
    <w:rsid w:val="00817CE2"/>
    <w:rsid w:val="00817F4C"/>
    <w:rsid w:val="00820713"/>
    <w:rsid w:val="008229B2"/>
    <w:rsid w:val="00822D51"/>
    <w:rsid w:val="008246A8"/>
    <w:rsid w:val="008255A5"/>
    <w:rsid w:val="008256E7"/>
    <w:rsid w:val="0082604D"/>
    <w:rsid w:val="00826156"/>
    <w:rsid w:val="008266D1"/>
    <w:rsid w:val="00827037"/>
    <w:rsid w:val="00834CBC"/>
    <w:rsid w:val="008356AB"/>
    <w:rsid w:val="0084004D"/>
    <w:rsid w:val="00840CDD"/>
    <w:rsid w:val="008410F9"/>
    <w:rsid w:val="00842850"/>
    <w:rsid w:val="00844DA4"/>
    <w:rsid w:val="008461EA"/>
    <w:rsid w:val="008475C9"/>
    <w:rsid w:val="008478C3"/>
    <w:rsid w:val="00853843"/>
    <w:rsid w:val="008543D8"/>
    <w:rsid w:val="00855B85"/>
    <w:rsid w:val="00856D08"/>
    <w:rsid w:val="00857723"/>
    <w:rsid w:val="0086008D"/>
    <w:rsid w:val="008609D0"/>
    <w:rsid w:val="00860CA3"/>
    <w:rsid w:val="00861FFF"/>
    <w:rsid w:val="0086278E"/>
    <w:rsid w:val="0086299D"/>
    <w:rsid w:val="00864755"/>
    <w:rsid w:val="00870538"/>
    <w:rsid w:val="00870EED"/>
    <w:rsid w:val="0087315D"/>
    <w:rsid w:val="00873B53"/>
    <w:rsid w:val="00874942"/>
    <w:rsid w:val="00874FF7"/>
    <w:rsid w:val="00877058"/>
    <w:rsid w:val="00880F4F"/>
    <w:rsid w:val="00881A09"/>
    <w:rsid w:val="00882D7F"/>
    <w:rsid w:val="0088502C"/>
    <w:rsid w:val="008875C6"/>
    <w:rsid w:val="008926D9"/>
    <w:rsid w:val="00892B5C"/>
    <w:rsid w:val="00894F0E"/>
    <w:rsid w:val="00896A22"/>
    <w:rsid w:val="00896D81"/>
    <w:rsid w:val="008A2629"/>
    <w:rsid w:val="008A32C3"/>
    <w:rsid w:val="008A3878"/>
    <w:rsid w:val="008A51E4"/>
    <w:rsid w:val="008A7A8A"/>
    <w:rsid w:val="008B2CC1"/>
    <w:rsid w:val="008B4967"/>
    <w:rsid w:val="008B532A"/>
    <w:rsid w:val="008B60B2"/>
    <w:rsid w:val="008B64E5"/>
    <w:rsid w:val="008B6B36"/>
    <w:rsid w:val="008C2131"/>
    <w:rsid w:val="008C2880"/>
    <w:rsid w:val="008C2B32"/>
    <w:rsid w:val="008C40F6"/>
    <w:rsid w:val="008C6BFA"/>
    <w:rsid w:val="008D0D57"/>
    <w:rsid w:val="008D1AC1"/>
    <w:rsid w:val="008D31EC"/>
    <w:rsid w:val="008D37FF"/>
    <w:rsid w:val="008D383E"/>
    <w:rsid w:val="008D64BE"/>
    <w:rsid w:val="008D7A79"/>
    <w:rsid w:val="008E0330"/>
    <w:rsid w:val="008E0659"/>
    <w:rsid w:val="008E1C05"/>
    <w:rsid w:val="008E306B"/>
    <w:rsid w:val="008E46ED"/>
    <w:rsid w:val="008E5753"/>
    <w:rsid w:val="008E62C6"/>
    <w:rsid w:val="008E7DB3"/>
    <w:rsid w:val="008F1086"/>
    <w:rsid w:val="008F22AA"/>
    <w:rsid w:val="008F24D5"/>
    <w:rsid w:val="008F3415"/>
    <w:rsid w:val="008F394C"/>
    <w:rsid w:val="008F7899"/>
    <w:rsid w:val="0090061A"/>
    <w:rsid w:val="00900B80"/>
    <w:rsid w:val="00901772"/>
    <w:rsid w:val="009021A6"/>
    <w:rsid w:val="009037E5"/>
    <w:rsid w:val="00904CA0"/>
    <w:rsid w:val="0090731E"/>
    <w:rsid w:val="00912A90"/>
    <w:rsid w:val="00913D25"/>
    <w:rsid w:val="009142B1"/>
    <w:rsid w:val="00914595"/>
    <w:rsid w:val="009153C7"/>
    <w:rsid w:val="00915F20"/>
    <w:rsid w:val="00916EE2"/>
    <w:rsid w:val="0091714D"/>
    <w:rsid w:val="00920A1E"/>
    <w:rsid w:val="00920AB8"/>
    <w:rsid w:val="0092138F"/>
    <w:rsid w:val="00921BBD"/>
    <w:rsid w:val="009236D9"/>
    <w:rsid w:val="009236E3"/>
    <w:rsid w:val="00923A92"/>
    <w:rsid w:val="00923ED2"/>
    <w:rsid w:val="009248C8"/>
    <w:rsid w:val="00924FE4"/>
    <w:rsid w:val="009301E6"/>
    <w:rsid w:val="00931028"/>
    <w:rsid w:val="009319FF"/>
    <w:rsid w:val="00932C36"/>
    <w:rsid w:val="00936932"/>
    <w:rsid w:val="00936C49"/>
    <w:rsid w:val="00937991"/>
    <w:rsid w:val="00940200"/>
    <w:rsid w:val="00940BEB"/>
    <w:rsid w:val="00941DA8"/>
    <w:rsid w:val="00942275"/>
    <w:rsid w:val="00943EAC"/>
    <w:rsid w:val="00947F15"/>
    <w:rsid w:val="0095272D"/>
    <w:rsid w:val="0096165A"/>
    <w:rsid w:val="00962EF2"/>
    <w:rsid w:val="00963025"/>
    <w:rsid w:val="00963853"/>
    <w:rsid w:val="00963B5F"/>
    <w:rsid w:val="00963E65"/>
    <w:rsid w:val="0096451E"/>
    <w:rsid w:val="00966A22"/>
    <w:rsid w:val="00966E12"/>
    <w:rsid w:val="0096722F"/>
    <w:rsid w:val="009724ED"/>
    <w:rsid w:val="00973DB2"/>
    <w:rsid w:val="00974B3E"/>
    <w:rsid w:val="009804A8"/>
    <w:rsid w:val="00980843"/>
    <w:rsid w:val="009811D5"/>
    <w:rsid w:val="00984164"/>
    <w:rsid w:val="009874A4"/>
    <w:rsid w:val="00991C6E"/>
    <w:rsid w:val="0099674C"/>
    <w:rsid w:val="00996F03"/>
    <w:rsid w:val="009A002B"/>
    <w:rsid w:val="009A2C64"/>
    <w:rsid w:val="009A3307"/>
    <w:rsid w:val="009A4C64"/>
    <w:rsid w:val="009A4DA8"/>
    <w:rsid w:val="009A6639"/>
    <w:rsid w:val="009A6B78"/>
    <w:rsid w:val="009A6E26"/>
    <w:rsid w:val="009B41C4"/>
    <w:rsid w:val="009B45E7"/>
    <w:rsid w:val="009B6AAB"/>
    <w:rsid w:val="009B71ED"/>
    <w:rsid w:val="009C12FE"/>
    <w:rsid w:val="009C21E5"/>
    <w:rsid w:val="009C3A01"/>
    <w:rsid w:val="009C5791"/>
    <w:rsid w:val="009C637C"/>
    <w:rsid w:val="009D14A3"/>
    <w:rsid w:val="009D46A3"/>
    <w:rsid w:val="009D56DB"/>
    <w:rsid w:val="009D67D2"/>
    <w:rsid w:val="009D68B6"/>
    <w:rsid w:val="009D6BAB"/>
    <w:rsid w:val="009E0904"/>
    <w:rsid w:val="009E0E5F"/>
    <w:rsid w:val="009E1156"/>
    <w:rsid w:val="009E2791"/>
    <w:rsid w:val="009E2FFB"/>
    <w:rsid w:val="009E3F6F"/>
    <w:rsid w:val="009E4092"/>
    <w:rsid w:val="009E58CF"/>
    <w:rsid w:val="009E6BCF"/>
    <w:rsid w:val="009F04AA"/>
    <w:rsid w:val="009F17B1"/>
    <w:rsid w:val="009F1D2C"/>
    <w:rsid w:val="009F3402"/>
    <w:rsid w:val="009F3A3D"/>
    <w:rsid w:val="009F45FE"/>
    <w:rsid w:val="009F499F"/>
    <w:rsid w:val="009F4CF4"/>
    <w:rsid w:val="009F528B"/>
    <w:rsid w:val="00A025EF"/>
    <w:rsid w:val="00A04566"/>
    <w:rsid w:val="00A0526D"/>
    <w:rsid w:val="00A103E2"/>
    <w:rsid w:val="00A14B8A"/>
    <w:rsid w:val="00A2177F"/>
    <w:rsid w:val="00A23340"/>
    <w:rsid w:val="00A23B55"/>
    <w:rsid w:val="00A23E6E"/>
    <w:rsid w:val="00A246B3"/>
    <w:rsid w:val="00A24F43"/>
    <w:rsid w:val="00A255AF"/>
    <w:rsid w:val="00A25CE4"/>
    <w:rsid w:val="00A27475"/>
    <w:rsid w:val="00A27759"/>
    <w:rsid w:val="00A2785D"/>
    <w:rsid w:val="00A27939"/>
    <w:rsid w:val="00A31B17"/>
    <w:rsid w:val="00A31DF8"/>
    <w:rsid w:val="00A32A96"/>
    <w:rsid w:val="00A32AC0"/>
    <w:rsid w:val="00A34D2F"/>
    <w:rsid w:val="00A4002C"/>
    <w:rsid w:val="00A422FE"/>
    <w:rsid w:val="00A42DAF"/>
    <w:rsid w:val="00A43D38"/>
    <w:rsid w:val="00A45BD8"/>
    <w:rsid w:val="00A46F02"/>
    <w:rsid w:val="00A478C4"/>
    <w:rsid w:val="00A50DBB"/>
    <w:rsid w:val="00A52B0A"/>
    <w:rsid w:val="00A53398"/>
    <w:rsid w:val="00A56147"/>
    <w:rsid w:val="00A57BEB"/>
    <w:rsid w:val="00A60141"/>
    <w:rsid w:val="00A60426"/>
    <w:rsid w:val="00A62192"/>
    <w:rsid w:val="00A6220E"/>
    <w:rsid w:val="00A63015"/>
    <w:rsid w:val="00A631A3"/>
    <w:rsid w:val="00A636DD"/>
    <w:rsid w:val="00A6558D"/>
    <w:rsid w:val="00A6673C"/>
    <w:rsid w:val="00A66A5E"/>
    <w:rsid w:val="00A66C22"/>
    <w:rsid w:val="00A67161"/>
    <w:rsid w:val="00A67B6C"/>
    <w:rsid w:val="00A67BA2"/>
    <w:rsid w:val="00A70C88"/>
    <w:rsid w:val="00A70CFD"/>
    <w:rsid w:val="00A713E5"/>
    <w:rsid w:val="00A7157C"/>
    <w:rsid w:val="00A71692"/>
    <w:rsid w:val="00A739D1"/>
    <w:rsid w:val="00A73CD3"/>
    <w:rsid w:val="00A775EA"/>
    <w:rsid w:val="00A806B7"/>
    <w:rsid w:val="00A80C44"/>
    <w:rsid w:val="00A81932"/>
    <w:rsid w:val="00A830C2"/>
    <w:rsid w:val="00A83F8C"/>
    <w:rsid w:val="00A841F9"/>
    <w:rsid w:val="00A84712"/>
    <w:rsid w:val="00A84C13"/>
    <w:rsid w:val="00A85B1E"/>
    <w:rsid w:val="00A865F4"/>
    <w:rsid w:val="00A869B7"/>
    <w:rsid w:val="00A878B1"/>
    <w:rsid w:val="00A90F8D"/>
    <w:rsid w:val="00A9139E"/>
    <w:rsid w:val="00A920CF"/>
    <w:rsid w:val="00A94346"/>
    <w:rsid w:val="00A94CD3"/>
    <w:rsid w:val="00A95063"/>
    <w:rsid w:val="00A95BA7"/>
    <w:rsid w:val="00A961E1"/>
    <w:rsid w:val="00A971DD"/>
    <w:rsid w:val="00AA67FC"/>
    <w:rsid w:val="00AA7A76"/>
    <w:rsid w:val="00AB0BD6"/>
    <w:rsid w:val="00AB132A"/>
    <w:rsid w:val="00AB30A7"/>
    <w:rsid w:val="00AB5D45"/>
    <w:rsid w:val="00AB693E"/>
    <w:rsid w:val="00AB73EB"/>
    <w:rsid w:val="00AB78B6"/>
    <w:rsid w:val="00AB7DD7"/>
    <w:rsid w:val="00AC100B"/>
    <w:rsid w:val="00AC205C"/>
    <w:rsid w:val="00AC54CE"/>
    <w:rsid w:val="00AC57D4"/>
    <w:rsid w:val="00AC5C85"/>
    <w:rsid w:val="00AC7104"/>
    <w:rsid w:val="00AD0602"/>
    <w:rsid w:val="00AD5F99"/>
    <w:rsid w:val="00AD6BA7"/>
    <w:rsid w:val="00AD7131"/>
    <w:rsid w:val="00AE16B4"/>
    <w:rsid w:val="00AE212F"/>
    <w:rsid w:val="00AE2400"/>
    <w:rsid w:val="00AE2E84"/>
    <w:rsid w:val="00AE3CF2"/>
    <w:rsid w:val="00AE49FE"/>
    <w:rsid w:val="00AE6426"/>
    <w:rsid w:val="00AF0A6B"/>
    <w:rsid w:val="00AF2963"/>
    <w:rsid w:val="00AF2FBF"/>
    <w:rsid w:val="00AF38E9"/>
    <w:rsid w:val="00AF394F"/>
    <w:rsid w:val="00AF4C2F"/>
    <w:rsid w:val="00AF740C"/>
    <w:rsid w:val="00B004E1"/>
    <w:rsid w:val="00B00AC9"/>
    <w:rsid w:val="00B0222C"/>
    <w:rsid w:val="00B03DE0"/>
    <w:rsid w:val="00B05A69"/>
    <w:rsid w:val="00B13667"/>
    <w:rsid w:val="00B13F8A"/>
    <w:rsid w:val="00B1555F"/>
    <w:rsid w:val="00B1572C"/>
    <w:rsid w:val="00B17784"/>
    <w:rsid w:val="00B2033B"/>
    <w:rsid w:val="00B22637"/>
    <w:rsid w:val="00B22786"/>
    <w:rsid w:val="00B2380E"/>
    <w:rsid w:val="00B23A55"/>
    <w:rsid w:val="00B23C5E"/>
    <w:rsid w:val="00B24B3C"/>
    <w:rsid w:val="00B25919"/>
    <w:rsid w:val="00B270CD"/>
    <w:rsid w:val="00B27253"/>
    <w:rsid w:val="00B276ED"/>
    <w:rsid w:val="00B31227"/>
    <w:rsid w:val="00B318DC"/>
    <w:rsid w:val="00B33332"/>
    <w:rsid w:val="00B33E99"/>
    <w:rsid w:val="00B42911"/>
    <w:rsid w:val="00B43D91"/>
    <w:rsid w:val="00B456B8"/>
    <w:rsid w:val="00B467D1"/>
    <w:rsid w:val="00B467D9"/>
    <w:rsid w:val="00B46EAF"/>
    <w:rsid w:val="00B47F83"/>
    <w:rsid w:val="00B52DD0"/>
    <w:rsid w:val="00B52FBA"/>
    <w:rsid w:val="00B531B3"/>
    <w:rsid w:val="00B532B4"/>
    <w:rsid w:val="00B53B80"/>
    <w:rsid w:val="00B556A8"/>
    <w:rsid w:val="00B6310C"/>
    <w:rsid w:val="00B634DA"/>
    <w:rsid w:val="00B63720"/>
    <w:rsid w:val="00B63AAA"/>
    <w:rsid w:val="00B640ED"/>
    <w:rsid w:val="00B6481C"/>
    <w:rsid w:val="00B70B9F"/>
    <w:rsid w:val="00B70C74"/>
    <w:rsid w:val="00B7115A"/>
    <w:rsid w:val="00B71C4B"/>
    <w:rsid w:val="00B72E49"/>
    <w:rsid w:val="00B76501"/>
    <w:rsid w:val="00B807A2"/>
    <w:rsid w:val="00B816FB"/>
    <w:rsid w:val="00B82420"/>
    <w:rsid w:val="00B8384B"/>
    <w:rsid w:val="00B84D82"/>
    <w:rsid w:val="00B86D41"/>
    <w:rsid w:val="00B90E35"/>
    <w:rsid w:val="00B912A1"/>
    <w:rsid w:val="00B91E8E"/>
    <w:rsid w:val="00B96974"/>
    <w:rsid w:val="00B969EA"/>
    <w:rsid w:val="00B9734B"/>
    <w:rsid w:val="00B978B0"/>
    <w:rsid w:val="00BA211B"/>
    <w:rsid w:val="00BA5F7C"/>
    <w:rsid w:val="00BB4690"/>
    <w:rsid w:val="00BB474B"/>
    <w:rsid w:val="00BB5392"/>
    <w:rsid w:val="00BB5A7E"/>
    <w:rsid w:val="00BB5DC6"/>
    <w:rsid w:val="00BB5E8D"/>
    <w:rsid w:val="00BB6468"/>
    <w:rsid w:val="00BB6488"/>
    <w:rsid w:val="00BB6E03"/>
    <w:rsid w:val="00BB725E"/>
    <w:rsid w:val="00BB77F7"/>
    <w:rsid w:val="00BB7B6C"/>
    <w:rsid w:val="00BC0198"/>
    <w:rsid w:val="00BC0E85"/>
    <w:rsid w:val="00BC1EC9"/>
    <w:rsid w:val="00BC31A3"/>
    <w:rsid w:val="00BC4326"/>
    <w:rsid w:val="00BC48B7"/>
    <w:rsid w:val="00BC4EAC"/>
    <w:rsid w:val="00BC57E9"/>
    <w:rsid w:val="00BC62FD"/>
    <w:rsid w:val="00BD0517"/>
    <w:rsid w:val="00BD0E12"/>
    <w:rsid w:val="00BD2DCF"/>
    <w:rsid w:val="00BD3EEA"/>
    <w:rsid w:val="00BD7157"/>
    <w:rsid w:val="00BE1747"/>
    <w:rsid w:val="00BE58A4"/>
    <w:rsid w:val="00BE609E"/>
    <w:rsid w:val="00BE6DDD"/>
    <w:rsid w:val="00BF0801"/>
    <w:rsid w:val="00BF0DA5"/>
    <w:rsid w:val="00BF3939"/>
    <w:rsid w:val="00BF4F63"/>
    <w:rsid w:val="00BF7EE4"/>
    <w:rsid w:val="00C00338"/>
    <w:rsid w:val="00C03030"/>
    <w:rsid w:val="00C04872"/>
    <w:rsid w:val="00C05D18"/>
    <w:rsid w:val="00C10477"/>
    <w:rsid w:val="00C11BFE"/>
    <w:rsid w:val="00C13024"/>
    <w:rsid w:val="00C13DF7"/>
    <w:rsid w:val="00C146D0"/>
    <w:rsid w:val="00C14791"/>
    <w:rsid w:val="00C14A39"/>
    <w:rsid w:val="00C1779A"/>
    <w:rsid w:val="00C17EE7"/>
    <w:rsid w:val="00C2094C"/>
    <w:rsid w:val="00C22D8F"/>
    <w:rsid w:val="00C256B2"/>
    <w:rsid w:val="00C25968"/>
    <w:rsid w:val="00C30F60"/>
    <w:rsid w:val="00C31BB2"/>
    <w:rsid w:val="00C31C26"/>
    <w:rsid w:val="00C32520"/>
    <w:rsid w:val="00C33551"/>
    <w:rsid w:val="00C3538C"/>
    <w:rsid w:val="00C3547A"/>
    <w:rsid w:val="00C3739F"/>
    <w:rsid w:val="00C402D0"/>
    <w:rsid w:val="00C44E43"/>
    <w:rsid w:val="00C44FC8"/>
    <w:rsid w:val="00C5027F"/>
    <w:rsid w:val="00C512C8"/>
    <w:rsid w:val="00C51317"/>
    <w:rsid w:val="00C52BF6"/>
    <w:rsid w:val="00C5320A"/>
    <w:rsid w:val="00C55161"/>
    <w:rsid w:val="00C552E7"/>
    <w:rsid w:val="00C554D5"/>
    <w:rsid w:val="00C57022"/>
    <w:rsid w:val="00C5732B"/>
    <w:rsid w:val="00C6022B"/>
    <w:rsid w:val="00C65353"/>
    <w:rsid w:val="00C662BD"/>
    <w:rsid w:val="00C67234"/>
    <w:rsid w:val="00C6778D"/>
    <w:rsid w:val="00C67F94"/>
    <w:rsid w:val="00C70A99"/>
    <w:rsid w:val="00C70B91"/>
    <w:rsid w:val="00C72B7C"/>
    <w:rsid w:val="00C73850"/>
    <w:rsid w:val="00C747FE"/>
    <w:rsid w:val="00C7480E"/>
    <w:rsid w:val="00C75D7C"/>
    <w:rsid w:val="00C779B4"/>
    <w:rsid w:val="00C77AA7"/>
    <w:rsid w:val="00C83EAE"/>
    <w:rsid w:val="00C846D3"/>
    <w:rsid w:val="00C847D9"/>
    <w:rsid w:val="00C85892"/>
    <w:rsid w:val="00C87F36"/>
    <w:rsid w:val="00C90201"/>
    <w:rsid w:val="00C90A9B"/>
    <w:rsid w:val="00C94210"/>
    <w:rsid w:val="00C946DD"/>
    <w:rsid w:val="00C95960"/>
    <w:rsid w:val="00C96F77"/>
    <w:rsid w:val="00C97EA0"/>
    <w:rsid w:val="00CA134E"/>
    <w:rsid w:val="00CA2764"/>
    <w:rsid w:val="00CA278B"/>
    <w:rsid w:val="00CA3840"/>
    <w:rsid w:val="00CA3E48"/>
    <w:rsid w:val="00CA4B03"/>
    <w:rsid w:val="00CA66D2"/>
    <w:rsid w:val="00CA6930"/>
    <w:rsid w:val="00CA6C9C"/>
    <w:rsid w:val="00CB0867"/>
    <w:rsid w:val="00CB1337"/>
    <w:rsid w:val="00CB15AC"/>
    <w:rsid w:val="00CB52C7"/>
    <w:rsid w:val="00CC0472"/>
    <w:rsid w:val="00CC1DAB"/>
    <w:rsid w:val="00CC245B"/>
    <w:rsid w:val="00CC314C"/>
    <w:rsid w:val="00CC406D"/>
    <w:rsid w:val="00CC4E82"/>
    <w:rsid w:val="00CC5501"/>
    <w:rsid w:val="00CC6CD3"/>
    <w:rsid w:val="00CC7BEF"/>
    <w:rsid w:val="00CD02A6"/>
    <w:rsid w:val="00CD0569"/>
    <w:rsid w:val="00CD1095"/>
    <w:rsid w:val="00CD198F"/>
    <w:rsid w:val="00CD6A31"/>
    <w:rsid w:val="00CD737C"/>
    <w:rsid w:val="00CE1399"/>
    <w:rsid w:val="00CE15F8"/>
    <w:rsid w:val="00CE1DC7"/>
    <w:rsid w:val="00CE2680"/>
    <w:rsid w:val="00CE2865"/>
    <w:rsid w:val="00CE4D7B"/>
    <w:rsid w:val="00CE6AD0"/>
    <w:rsid w:val="00CF09AC"/>
    <w:rsid w:val="00CF0D3B"/>
    <w:rsid w:val="00CF43D8"/>
    <w:rsid w:val="00CF7724"/>
    <w:rsid w:val="00D00209"/>
    <w:rsid w:val="00D0081B"/>
    <w:rsid w:val="00D03DD8"/>
    <w:rsid w:val="00D03F2C"/>
    <w:rsid w:val="00D04814"/>
    <w:rsid w:val="00D048FD"/>
    <w:rsid w:val="00D1145F"/>
    <w:rsid w:val="00D12679"/>
    <w:rsid w:val="00D12CA2"/>
    <w:rsid w:val="00D133BB"/>
    <w:rsid w:val="00D1427B"/>
    <w:rsid w:val="00D14BDA"/>
    <w:rsid w:val="00D1698B"/>
    <w:rsid w:val="00D17549"/>
    <w:rsid w:val="00D177A6"/>
    <w:rsid w:val="00D1792B"/>
    <w:rsid w:val="00D17AFD"/>
    <w:rsid w:val="00D20A1A"/>
    <w:rsid w:val="00D20D9C"/>
    <w:rsid w:val="00D2274D"/>
    <w:rsid w:val="00D23C8A"/>
    <w:rsid w:val="00D24B98"/>
    <w:rsid w:val="00D25439"/>
    <w:rsid w:val="00D2678B"/>
    <w:rsid w:val="00D27441"/>
    <w:rsid w:val="00D3063D"/>
    <w:rsid w:val="00D430C8"/>
    <w:rsid w:val="00D4430B"/>
    <w:rsid w:val="00D44998"/>
    <w:rsid w:val="00D44E17"/>
    <w:rsid w:val="00D45252"/>
    <w:rsid w:val="00D45841"/>
    <w:rsid w:val="00D46415"/>
    <w:rsid w:val="00D47349"/>
    <w:rsid w:val="00D47B17"/>
    <w:rsid w:val="00D502FC"/>
    <w:rsid w:val="00D50E95"/>
    <w:rsid w:val="00D50FC9"/>
    <w:rsid w:val="00D532BB"/>
    <w:rsid w:val="00D541E2"/>
    <w:rsid w:val="00D56292"/>
    <w:rsid w:val="00D566BC"/>
    <w:rsid w:val="00D56B34"/>
    <w:rsid w:val="00D6141C"/>
    <w:rsid w:val="00D62433"/>
    <w:rsid w:val="00D62CF6"/>
    <w:rsid w:val="00D63BC7"/>
    <w:rsid w:val="00D64DC8"/>
    <w:rsid w:val="00D663A3"/>
    <w:rsid w:val="00D6651B"/>
    <w:rsid w:val="00D67F6F"/>
    <w:rsid w:val="00D70E38"/>
    <w:rsid w:val="00D71B4D"/>
    <w:rsid w:val="00D71C27"/>
    <w:rsid w:val="00D73A3E"/>
    <w:rsid w:val="00D75543"/>
    <w:rsid w:val="00D77EF9"/>
    <w:rsid w:val="00D801C9"/>
    <w:rsid w:val="00D81265"/>
    <w:rsid w:val="00D81873"/>
    <w:rsid w:val="00D85DB6"/>
    <w:rsid w:val="00D8629A"/>
    <w:rsid w:val="00D91233"/>
    <w:rsid w:val="00D916BA"/>
    <w:rsid w:val="00D91B9D"/>
    <w:rsid w:val="00D92F3C"/>
    <w:rsid w:val="00D9340D"/>
    <w:rsid w:val="00D93D55"/>
    <w:rsid w:val="00D93F29"/>
    <w:rsid w:val="00D95A93"/>
    <w:rsid w:val="00D96166"/>
    <w:rsid w:val="00D9701E"/>
    <w:rsid w:val="00D97464"/>
    <w:rsid w:val="00DA0BEC"/>
    <w:rsid w:val="00DA378E"/>
    <w:rsid w:val="00DA3C68"/>
    <w:rsid w:val="00DA6F27"/>
    <w:rsid w:val="00DA764E"/>
    <w:rsid w:val="00DA772F"/>
    <w:rsid w:val="00DB2C6E"/>
    <w:rsid w:val="00DB5359"/>
    <w:rsid w:val="00DC0174"/>
    <w:rsid w:val="00DC1782"/>
    <w:rsid w:val="00DC2080"/>
    <w:rsid w:val="00DC2780"/>
    <w:rsid w:val="00DC2F99"/>
    <w:rsid w:val="00DC4268"/>
    <w:rsid w:val="00DC441F"/>
    <w:rsid w:val="00DC48EF"/>
    <w:rsid w:val="00DC4EAF"/>
    <w:rsid w:val="00DC7FCE"/>
    <w:rsid w:val="00DD6124"/>
    <w:rsid w:val="00DD75ED"/>
    <w:rsid w:val="00DE16D9"/>
    <w:rsid w:val="00DE21FD"/>
    <w:rsid w:val="00DE2368"/>
    <w:rsid w:val="00DE2CA0"/>
    <w:rsid w:val="00DE5028"/>
    <w:rsid w:val="00DE63C2"/>
    <w:rsid w:val="00DE793B"/>
    <w:rsid w:val="00DF0859"/>
    <w:rsid w:val="00DF63E7"/>
    <w:rsid w:val="00DF6B52"/>
    <w:rsid w:val="00DF70C2"/>
    <w:rsid w:val="00DF7155"/>
    <w:rsid w:val="00DF7717"/>
    <w:rsid w:val="00E000E5"/>
    <w:rsid w:val="00E00BD4"/>
    <w:rsid w:val="00E00D88"/>
    <w:rsid w:val="00E01BE0"/>
    <w:rsid w:val="00E04518"/>
    <w:rsid w:val="00E04CDE"/>
    <w:rsid w:val="00E04E5C"/>
    <w:rsid w:val="00E062AB"/>
    <w:rsid w:val="00E065E5"/>
    <w:rsid w:val="00E10C01"/>
    <w:rsid w:val="00E10EA5"/>
    <w:rsid w:val="00E10FAE"/>
    <w:rsid w:val="00E11BD2"/>
    <w:rsid w:val="00E140A1"/>
    <w:rsid w:val="00E15F04"/>
    <w:rsid w:val="00E16847"/>
    <w:rsid w:val="00E239BC"/>
    <w:rsid w:val="00E245CF"/>
    <w:rsid w:val="00E248A2"/>
    <w:rsid w:val="00E255D2"/>
    <w:rsid w:val="00E276EF"/>
    <w:rsid w:val="00E335BD"/>
    <w:rsid w:val="00E335FE"/>
    <w:rsid w:val="00E345F3"/>
    <w:rsid w:val="00E34924"/>
    <w:rsid w:val="00E35DC8"/>
    <w:rsid w:val="00E37C1E"/>
    <w:rsid w:val="00E4095D"/>
    <w:rsid w:val="00E4145C"/>
    <w:rsid w:val="00E434E7"/>
    <w:rsid w:val="00E44AFE"/>
    <w:rsid w:val="00E44BA5"/>
    <w:rsid w:val="00E46370"/>
    <w:rsid w:val="00E46E1C"/>
    <w:rsid w:val="00E47B1C"/>
    <w:rsid w:val="00E517EE"/>
    <w:rsid w:val="00E5238C"/>
    <w:rsid w:val="00E52AFC"/>
    <w:rsid w:val="00E5360F"/>
    <w:rsid w:val="00E53E76"/>
    <w:rsid w:val="00E55921"/>
    <w:rsid w:val="00E60AA7"/>
    <w:rsid w:val="00E63643"/>
    <w:rsid w:val="00E71197"/>
    <w:rsid w:val="00E72E5D"/>
    <w:rsid w:val="00E7363E"/>
    <w:rsid w:val="00E736FD"/>
    <w:rsid w:val="00E76523"/>
    <w:rsid w:val="00E776EB"/>
    <w:rsid w:val="00E77C05"/>
    <w:rsid w:val="00E80B06"/>
    <w:rsid w:val="00E80E26"/>
    <w:rsid w:val="00E826AE"/>
    <w:rsid w:val="00E827B2"/>
    <w:rsid w:val="00E828C3"/>
    <w:rsid w:val="00E83108"/>
    <w:rsid w:val="00E84D81"/>
    <w:rsid w:val="00E84E33"/>
    <w:rsid w:val="00E856D7"/>
    <w:rsid w:val="00E85987"/>
    <w:rsid w:val="00E85B85"/>
    <w:rsid w:val="00E86FA5"/>
    <w:rsid w:val="00E8783B"/>
    <w:rsid w:val="00E909F5"/>
    <w:rsid w:val="00E92AE4"/>
    <w:rsid w:val="00E93D50"/>
    <w:rsid w:val="00E96860"/>
    <w:rsid w:val="00E96B29"/>
    <w:rsid w:val="00E96FBF"/>
    <w:rsid w:val="00EA0A9F"/>
    <w:rsid w:val="00EA0C00"/>
    <w:rsid w:val="00EA3EF0"/>
    <w:rsid w:val="00EA4FD4"/>
    <w:rsid w:val="00EA5C6F"/>
    <w:rsid w:val="00EA66F4"/>
    <w:rsid w:val="00EB005E"/>
    <w:rsid w:val="00EB117B"/>
    <w:rsid w:val="00EB1AED"/>
    <w:rsid w:val="00EB296D"/>
    <w:rsid w:val="00EB2CC8"/>
    <w:rsid w:val="00EB2D9E"/>
    <w:rsid w:val="00EB516C"/>
    <w:rsid w:val="00EB6DC9"/>
    <w:rsid w:val="00EB71F3"/>
    <w:rsid w:val="00EC1821"/>
    <w:rsid w:val="00EC2731"/>
    <w:rsid w:val="00EC2C2C"/>
    <w:rsid w:val="00EC4E49"/>
    <w:rsid w:val="00EC5D47"/>
    <w:rsid w:val="00ED0183"/>
    <w:rsid w:val="00ED06A5"/>
    <w:rsid w:val="00ED11E6"/>
    <w:rsid w:val="00ED12BE"/>
    <w:rsid w:val="00ED4C1B"/>
    <w:rsid w:val="00ED6723"/>
    <w:rsid w:val="00ED6B8E"/>
    <w:rsid w:val="00ED763D"/>
    <w:rsid w:val="00ED77FB"/>
    <w:rsid w:val="00ED7ED8"/>
    <w:rsid w:val="00EE1CE7"/>
    <w:rsid w:val="00EE45FA"/>
    <w:rsid w:val="00EE4E62"/>
    <w:rsid w:val="00EE4F36"/>
    <w:rsid w:val="00EF0732"/>
    <w:rsid w:val="00EF3404"/>
    <w:rsid w:val="00EF40A6"/>
    <w:rsid w:val="00EF4A70"/>
    <w:rsid w:val="00EF5E8D"/>
    <w:rsid w:val="00EF617B"/>
    <w:rsid w:val="00F0093A"/>
    <w:rsid w:val="00F00BAF"/>
    <w:rsid w:val="00F10B41"/>
    <w:rsid w:val="00F11B0C"/>
    <w:rsid w:val="00F1294C"/>
    <w:rsid w:val="00F159F4"/>
    <w:rsid w:val="00F16984"/>
    <w:rsid w:val="00F17989"/>
    <w:rsid w:val="00F23901"/>
    <w:rsid w:val="00F23F46"/>
    <w:rsid w:val="00F25FAD"/>
    <w:rsid w:val="00F2672C"/>
    <w:rsid w:val="00F302B6"/>
    <w:rsid w:val="00F303F3"/>
    <w:rsid w:val="00F31D68"/>
    <w:rsid w:val="00F325DB"/>
    <w:rsid w:val="00F32973"/>
    <w:rsid w:val="00F32E3D"/>
    <w:rsid w:val="00F336CB"/>
    <w:rsid w:val="00F36465"/>
    <w:rsid w:val="00F367C1"/>
    <w:rsid w:val="00F37034"/>
    <w:rsid w:val="00F4229D"/>
    <w:rsid w:val="00F43FE8"/>
    <w:rsid w:val="00F45F8E"/>
    <w:rsid w:val="00F461A8"/>
    <w:rsid w:val="00F51C6F"/>
    <w:rsid w:val="00F52477"/>
    <w:rsid w:val="00F53A8B"/>
    <w:rsid w:val="00F5629C"/>
    <w:rsid w:val="00F57C52"/>
    <w:rsid w:val="00F63687"/>
    <w:rsid w:val="00F64F97"/>
    <w:rsid w:val="00F657CF"/>
    <w:rsid w:val="00F66152"/>
    <w:rsid w:val="00F66A68"/>
    <w:rsid w:val="00F702A5"/>
    <w:rsid w:val="00F708C9"/>
    <w:rsid w:val="00F710DB"/>
    <w:rsid w:val="00F716B1"/>
    <w:rsid w:val="00F71E58"/>
    <w:rsid w:val="00F72828"/>
    <w:rsid w:val="00F7372C"/>
    <w:rsid w:val="00F73FBC"/>
    <w:rsid w:val="00F7677B"/>
    <w:rsid w:val="00F77D2B"/>
    <w:rsid w:val="00F81130"/>
    <w:rsid w:val="00F81197"/>
    <w:rsid w:val="00F82506"/>
    <w:rsid w:val="00F848C8"/>
    <w:rsid w:val="00F853D8"/>
    <w:rsid w:val="00F87F22"/>
    <w:rsid w:val="00F91DAF"/>
    <w:rsid w:val="00F92DC0"/>
    <w:rsid w:val="00F934DD"/>
    <w:rsid w:val="00F9369E"/>
    <w:rsid w:val="00F956FA"/>
    <w:rsid w:val="00FA1E9B"/>
    <w:rsid w:val="00FA2983"/>
    <w:rsid w:val="00FA336A"/>
    <w:rsid w:val="00FA37FD"/>
    <w:rsid w:val="00FA66AF"/>
    <w:rsid w:val="00FA683E"/>
    <w:rsid w:val="00FA69ED"/>
    <w:rsid w:val="00FA6D06"/>
    <w:rsid w:val="00FA7E5C"/>
    <w:rsid w:val="00FB0FFB"/>
    <w:rsid w:val="00FB3155"/>
    <w:rsid w:val="00FB45E4"/>
    <w:rsid w:val="00FB4D0B"/>
    <w:rsid w:val="00FB71F4"/>
    <w:rsid w:val="00FC1BB4"/>
    <w:rsid w:val="00FC23B3"/>
    <w:rsid w:val="00FC488A"/>
    <w:rsid w:val="00FC53A7"/>
    <w:rsid w:val="00FC7684"/>
    <w:rsid w:val="00FD2BCE"/>
    <w:rsid w:val="00FD32E8"/>
    <w:rsid w:val="00FD34A4"/>
    <w:rsid w:val="00FD396A"/>
    <w:rsid w:val="00FD4E61"/>
    <w:rsid w:val="00FD702B"/>
    <w:rsid w:val="00FD7089"/>
    <w:rsid w:val="00FE0C39"/>
    <w:rsid w:val="00FE1597"/>
    <w:rsid w:val="00FE3A31"/>
    <w:rsid w:val="00FE3EC5"/>
    <w:rsid w:val="00FE47C4"/>
    <w:rsid w:val="00FE4BD9"/>
    <w:rsid w:val="00FE4CB7"/>
    <w:rsid w:val="00FE6B92"/>
    <w:rsid w:val="00FF040C"/>
    <w:rsid w:val="00FF19F4"/>
    <w:rsid w:val="00FF2FD7"/>
    <w:rsid w:val="00FF3F77"/>
    <w:rsid w:val="00FF469F"/>
    <w:rsid w:val="00FF6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FA39EB6"/>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E035D"/>
    <w:pPr>
      <w:keepNext/>
      <w:spacing w:before="240" w:after="240"/>
      <w:outlineLvl w:val="0"/>
    </w:pPr>
    <w:rPr>
      <w:b/>
      <w:bCs/>
      <w:caps/>
      <w:kern w:val="32"/>
      <w:szCs w:val="32"/>
    </w:rPr>
  </w:style>
  <w:style w:type="paragraph" w:styleId="Heading2">
    <w:name w:val="heading 2"/>
    <w:basedOn w:val="Normal"/>
    <w:next w:val="Normal"/>
    <w:link w:val="Heading2Char"/>
    <w:qFormat/>
    <w:rsid w:val="007E035D"/>
    <w:pPr>
      <w:keepNext/>
      <w:spacing w:before="240" w:after="240"/>
      <w:outlineLvl w:val="1"/>
    </w:pPr>
    <w:rPr>
      <w:bCs/>
      <w:iCs/>
      <w:caps/>
      <w:szCs w:val="28"/>
    </w:rPr>
  </w:style>
  <w:style w:type="paragraph" w:styleId="Heading3">
    <w:name w:val="heading 3"/>
    <w:basedOn w:val="Normal"/>
    <w:next w:val="Normal"/>
    <w:link w:val="Heading3Char"/>
    <w:qFormat/>
    <w:rsid w:val="00B978B0"/>
    <w:pPr>
      <w:keepNext/>
      <w:spacing w:before="480" w:after="240"/>
      <w:outlineLvl w:val="2"/>
    </w:pPr>
    <w:rPr>
      <w:bCs/>
      <w:szCs w:val="26"/>
      <w:u w:val="single"/>
    </w:rPr>
  </w:style>
  <w:style w:type="paragraph" w:styleId="Heading4">
    <w:name w:val="heading 4"/>
    <w:basedOn w:val="Normal"/>
    <w:next w:val="Normal"/>
    <w:qFormat/>
    <w:rsid w:val="00E34924"/>
    <w:pPr>
      <w:keepNext/>
      <w:spacing w:before="480" w:after="240"/>
      <w:outlineLvl w:val="3"/>
    </w:pPr>
    <w:rPr>
      <w:bCs/>
      <w:i/>
      <w:szCs w:val="28"/>
    </w:rPr>
  </w:style>
  <w:style w:type="paragraph" w:styleId="Heading5">
    <w:name w:val="heading 5"/>
    <w:basedOn w:val="Normal"/>
    <w:next w:val="Normal"/>
    <w:link w:val="Heading5Char"/>
    <w:qFormat/>
    <w:rsid w:val="009E0904"/>
    <w:pPr>
      <w:outlineLvl w:val="4"/>
    </w:pPr>
    <w:rPr>
      <w:rFonts w:eastAsia="Times New Roman" w:cs="Times New Roman"/>
      <w:lang w:eastAsia="en-US"/>
    </w:rPr>
  </w:style>
  <w:style w:type="paragraph" w:styleId="Heading6">
    <w:name w:val="heading 6"/>
    <w:basedOn w:val="Normal"/>
    <w:next w:val="Normal"/>
    <w:link w:val="Heading6Char"/>
    <w:qFormat/>
    <w:rsid w:val="009E0904"/>
    <w:pPr>
      <w:outlineLvl w:val="5"/>
    </w:pPr>
    <w:rPr>
      <w:rFonts w:eastAsia="Times New Roman" w:cs="Times New Roman"/>
      <w:lang w:eastAsia="en-US"/>
    </w:rPr>
  </w:style>
  <w:style w:type="paragraph" w:styleId="Heading7">
    <w:name w:val="heading 7"/>
    <w:basedOn w:val="Normal"/>
    <w:next w:val="Normal"/>
    <w:link w:val="Heading7Char"/>
    <w:qFormat/>
    <w:rsid w:val="009E0904"/>
    <w:pPr>
      <w:keepNext/>
      <w:keepLines/>
      <w:spacing w:before="80" w:after="60"/>
      <w:outlineLvl w:val="6"/>
    </w:pPr>
    <w:rPr>
      <w:rFonts w:eastAsia="Times New Roman" w:cs="Times New Roman"/>
      <w:b/>
      <w:kern w:val="28"/>
      <w:sz w:val="20"/>
      <w:lang w:eastAsia="en-US"/>
    </w:rPr>
  </w:style>
  <w:style w:type="paragraph" w:styleId="Heading8">
    <w:name w:val="heading 8"/>
    <w:basedOn w:val="Normal"/>
    <w:next w:val="Normal"/>
    <w:link w:val="Heading8Char"/>
    <w:qFormat/>
    <w:rsid w:val="009E0904"/>
    <w:pPr>
      <w:keepNext/>
      <w:keepLines/>
      <w:spacing w:before="80" w:after="60"/>
      <w:outlineLvl w:val="7"/>
    </w:pPr>
    <w:rPr>
      <w:rFonts w:eastAsia="Times New Roman" w:cs="Times New Roman"/>
      <w:i/>
      <w:kern w:val="28"/>
      <w:sz w:val="20"/>
      <w:lang w:eastAsia="en-US"/>
    </w:rPr>
  </w:style>
  <w:style w:type="paragraph" w:styleId="Heading9">
    <w:name w:val="heading 9"/>
    <w:basedOn w:val="Normal"/>
    <w:next w:val="Normal"/>
    <w:link w:val="Heading9Char"/>
    <w:qFormat/>
    <w:rsid w:val="009E0904"/>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character" w:customStyle="1" w:styleId="Heading5Char">
    <w:name w:val="Heading 5 Char"/>
    <w:basedOn w:val="DefaultParagraphFont"/>
    <w:link w:val="Heading5"/>
    <w:rsid w:val="009E0904"/>
    <w:rPr>
      <w:rFonts w:ascii="Arial" w:hAnsi="Arial"/>
      <w:sz w:val="22"/>
    </w:rPr>
  </w:style>
  <w:style w:type="character" w:customStyle="1" w:styleId="Heading6Char">
    <w:name w:val="Heading 6 Char"/>
    <w:basedOn w:val="DefaultParagraphFont"/>
    <w:link w:val="Heading6"/>
    <w:rsid w:val="009E0904"/>
    <w:rPr>
      <w:rFonts w:ascii="Arial" w:hAnsi="Arial"/>
      <w:sz w:val="22"/>
    </w:rPr>
  </w:style>
  <w:style w:type="character" w:customStyle="1" w:styleId="Heading7Char">
    <w:name w:val="Heading 7 Char"/>
    <w:basedOn w:val="DefaultParagraphFont"/>
    <w:link w:val="Heading7"/>
    <w:rsid w:val="009E0904"/>
    <w:rPr>
      <w:rFonts w:ascii="Arial" w:hAnsi="Arial"/>
      <w:b/>
      <w:kern w:val="28"/>
    </w:rPr>
  </w:style>
  <w:style w:type="character" w:customStyle="1" w:styleId="Heading8Char">
    <w:name w:val="Heading 8 Char"/>
    <w:basedOn w:val="DefaultParagraphFont"/>
    <w:link w:val="Heading8"/>
    <w:rsid w:val="009E0904"/>
    <w:rPr>
      <w:rFonts w:ascii="Arial" w:hAnsi="Arial"/>
      <w:i/>
      <w:kern w:val="28"/>
    </w:rPr>
  </w:style>
  <w:style w:type="character" w:customStyle="1" w:styleId="Heading9Char">
    <w:name w:val="Heading 9 Char"/>
    <w:basedOn w:val="DefaultParagraphFont"/>
    <w:link w:val="Heading9"/>
    <w:rsid w:val="009E0904"/>
    <w:rPr>
      <w:rFonts w:ascii="Arial" w:hAnsi="Arial"/>
      <w:i/>
      <w:sz w:val="22"/>
    </w:rPr>
  </w:style>
  <w:style w:type="character" w:customStyle="1" w:styleId="FootnoteTextChar">
    <w:name w:val="Footnote Text Char"/>
    <w:basedOn w:val="DefaultParagraphFont"/>
    <w:link w:val="FootnoteText"/>
    <w:uiPriority w:val="99"/>
    <w:rsid w:val="009E0904"/>
    <w:rPr>
      <w:rFonts w:ascii="Arial" w:eastAsia="SimSun" w:hAnsi="Arial" w:cs="Arial"/>
      <w:sz w:val="18"/>
      <w:lang w:eastAsia="zh-CN"/>
    </w:rPr>
  </w:style>
  <w:style w:type="paragraph" w:customStyle="1" w:styleId="Default">
    <w:name w:val="Default"/>
    <w:rsid w:val="009E0904"/>
    <w:pPr>
      <w:autoSpaceDE w:val="0"/>
      <w:autoSpaceDN w:val="0"/>
      <w:adjustRightInd w:val="0"/>
    </w:pPr>
    <w:rPr>
      <w:rFonts w:ascii="Arial" w:eastAsiaTheme="minorHAnsi" w:hAnsi="Arial" w:cs="Arial"/>
      <w:color w:val="000000"/>
      <w:sz w:val="24"/>
      <w:szCs w:val="24"/>
    </w:rPr>
  </w:style>
  <w:style w:type="character" w:customStyle="1" w:styleId="CommentTextChar">
    <w:name w:val="Comment Text Char"/>
    <w:basedOn w:val="DefaultParagraphFont"/>
    <w:semiHidden/>
    <w:rsid w:val="009E0904"/>
    <w:rPr>
      <w:rFonts w:ascii="Arial" w:eastAsia="SimSun" w:hAnsi="Arial" w:cs="Arial"/>
      <w:sz w:val="18"/>
      <w:lang w:eastAsia="zh-CN"/>
    </w:rPr>
  </w:style>
  <w:style w:type="paragraph" w:styleId="ListParagraph">
    <w:name w:val="List Paragraph"/>
    <w:basedOn w:val="Normal"/>
    <w:uiPriority w:val="34"/>
    <w:qFormat/>
    <w:rsid w:val="009E0904"/>
    <w:pPr>
      <w:ind w:left="720"/>
      <w:contextualSpacing/>
    </w:pPr>
    <w:rPr>
      <w:rFonts w:eastAsia="Times New Roman"/>
      <w:lang w:eastAsia="en-US"/>
    </w:rPr>
  </w:style>
  <w:style w:type="character" w:styleId="Hyperlink">
    <w:name w:val="Hyperlink"/>
    <w:basedOn w:val="DefaultParagraphFont"/>
    <w:unhideWhenUsed/>
    <w:rsid w:val="009E0904"/>
    <w:rPr>
      <w:color w:val="0000FF" w:themeColor="hyperlink"/>
      <w:u w:val="single"/>
    </w:rPr>
  </w:style>
  <w:style w:type="table" w:styleId="TableGrid">
    <w:name w:val="Table Grid"/>
    <w:basedOn w:val="TableNormal"/>
    <w:uiPriority w:val="59"/>
    <w:rsid w:val="009E0904"/>
    <w:rPr>
      <w:rFonts w:ascii="Arial" w:eastAsiaTheme="minorHAns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semiHidden/>
    <w:rsid w:val="009E0904"/>
    <w:rPr>
      <w:rFonts w:ascii="Arial" w:hAnsi="Arial"/>
      <w:sz w:val="22"/>
    </w:rPr>
  </w:style>
  <w:style w:type="paragraph" w:styleId="BodyTextIndent">
    <w:name w:val="Body Text Indent"/>
    <w:basedOn w:val="Normal"/>
    <w:link w:val="BodyTextIndentChar"/>
    <w:semiHidden/>
    <w:rsid w:val="009E0904"/>
    <w:pPr>
      <w:tabs>
        <w:tab w:val="left" w:pos="567"/>
        <w:tab w:val="left" w:pos="1134"/>
        <w:tab w:val="left" w:pos="1701"/>
        <w:tab w:val="left" w:pos="5670"/>
      </w:tabs>
      <w:ind w:left="567"/>
    </w:pPr>
    <w:rPr>
      <w:rFonts w:eastAsia="Times New Roman" w:cs="Times New Roman"/>
      <w:lang w:eastAsia="en-US"/>
    </w:rPr>
  </w:style>
  <w:style w:type="character" w:customStyle="1" w:styleId="BodyTextIndentChar1">
    <w:name w:val="Body Text Indent Char1"/>
    <w:basedOn w:val="DefaultParagraphFont"/>
    <w:semiHidden/>
    <w:rsid w:val="009E0904"/>
    <w:rPr>
      <w:rFonts w:ascii="Arial" w:eastAsia="SimSun" w:hAnsi="Arial" w:cs="Arial"/>
      <w:sz w:val="22"/>
      <w:lang w:eastAsia="zh-CN"/>
    </w:rPr>
  </w:style>
  <w:style w:type="character" w:customStyle="1" w:styleId="ClosingChar">
    <w:name w:val="Closing Char"/>
    <w:basedOn w:val="DefaultParagraphFont"/>
    <w:link w:val="Closing"/>
    <w:semiHidden/>
    <w:rsid w:val="009E0904"/>
    <w:rPr>
      <w:rFonts w:ascii="Arial" w:hAnsi="Arial"/>
      <w:sz w:val="22"/>
    </w:rPr>
  </w:style>
  <w:style w:type="paragraph" w:styleId="Closing">
    <w:name w:val="Closing"/>
    <w:basedOn w:val="Normal"/>
    <w:link w:val="ClosingChar"/>
    <w:semiHidden/>
    <w:rsid w:val="009E0904"/>
    <w:pPr>
      <w:ind w:left="4253"/>
      <w:jc w:val="center"/>
    </w:pPr>
    <w:rPr>
      <w:rFonts w:eastAsia="Times New Roman" w:cs="Times New Roman"/>
      <w:lang w:eastAsia="en-US"/>
    </w:rPr>
  </w:style>
  <w:style w:type="character" w:customStyle="1" w:styleId="ClosingChar1">
    <w:name w:val="Closing Char1"/>
    <w:basedOn w:val="DefaultParagraphFont"/>
    <w:semiHidden/>
    <w:rsid w:val="009E0904"/>
    <w:rPr>
      <w:rFonts w:ascii="Arial" w:eastAsia="SimSun" w:hAnsi="Arial" w:cs="Arial"/>
      <w:sz w:val="22"/>
      <w:lang w:eastAsia="zh-CN"/>
    </w:rPr>
  </w:style>
  <w:style w:type="character" w:customStyle="1" w:styleId="MacroTextChar">
    <w:name w:val="Macro Text Char"/>
    <w:basedOn w:val="DefaultParagraphFont"/>
    <w:link w:val="MacroText"/>
    <w:semiHidden/>
    <w:rsid w:val="009E0904"/>
    <w:rPr>
      <w:rFonts w:ascii="Courier New" w:hAnsi="Courier New"/>
      <w:sz w:val="16"/>
    </w:rPr>
  </w:style>
  <w:style w:type="paragraph" w:styleId="MacroText">
    <w:name w:val="macro"/>
    <w:link w:val="MacroTextChar"/>
    <w:semiHidden/>
    <w:rsid w:val="009E090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1">
    <w:name w:val="Macro Text Char1"/>
    <w:basedOn w:val="DefaultParagraphFont"/>
    <w:semiHidden/>
    <w:rsid w:val="009E0904"/>
    <w:rPr>
      <w:rFonts w:ascii="Consolas" w:eastAsia="SimSun" w:hAnsi="Consolas" w:cs="Arial"/>
      <w:lang w:eastAsia="zh-CN"/>
    </w:rPr>
  </w:style>
  <w:style w:type="paragraph" w:styleId="TOC9">
    <w:name w:val="toc 9"/>
    <w:basedOn w:val="Normal"/>
    <w:next w:val="Normal"/>
    <w:semiHidden/>
    <w:rsid w:val="009E0904"/>
    <w:pPr>
      <w:tabs>
        <w:tab w:val="right" w:leader="dot" w:pos="8504"/>
      </w:tabs>
      <w:ind w:left="2080"/>
    </w:pPr>
    <w:rPr>
      <w:rFonts w:eastAsia="Times New Roman" w:cs="Times New Roman"/>
      <w:lang w:eastAsia="en-US"/>
    </w:rPr>
  </w:style>
  <w:style w:type="character" w:styleId="PageNumber">
    <w:name w:val="page number"/>
    <w:basedOn w:val="DefaultParagraphFont"/>
    <w:semiHidden/>
    <w:rsid w:val="009E0904"/>
  </w:style>
  <w:style w:type="paragraph" w:customStyle="1" w:styleId="DateSignatureAligned">
    <w:name w:val="Date / Signature Aligned"/>
    <w:basedOn w:val="Normal"/>
    <w:rsid w:val="009E0904"/>
    <w:pPr>
      <w:ind w:left="5250"/>
    </w:pPr>
  </w:style>
  <w:style w:type="character" w:styleId="Emphasis">
    <w:name w:val="Emphasis"/>
    <w:basedOn w:val="DefaultParagraphFont"/>
    <w:uiPriority w:val="20"/>
    <w:qFormat/>
    <w:rsid w:val="009E0904"/>
    <w:rPr>
      <w:i/>
      <w:iCs/>
    </w:rPr>
  </w:style>
  <w:style w:type="character" w:customStyle="1" w:styleId="CommentSubjectChar">
    <w:name w:val="Comment Subject Char"/>
    <w:basedOn w:val="CommentTextChar"/>
    <w:link w:val="CommentSubject"/>
    <w:semiHidden/>
    <w:rsid w:val="009E0904"/>
    <w:rPr>
      <w:rFonts w:ascii="Arial" w:eastAsia="SimSun" w:hAnsi="Arial" w:cs="Arial"/>
      <w:b/>
      <w:bCs/>
      <w:sz w:val="18"/>
      <w:lang w:eastAsia="zh-CN"/>
    </w:rPr>
  </w:style>
  <w:style w:type="paragraph" w:styleId="CommentSubject">
    <w:name w:val="annotation subject"/>
    <w:basedOn w:val="CommentText"/>
    <w:next w:val="CommentText"/>
    <w:link w:val="CommentSubjectChar"/>
    <w:semiHidden/>
    <w:unhideWhenUsed/>
    <w:rsid w:val="009E0904"/>
    <w:rPr>
      <w:b/>
      <w:bCs/>
    </w:rPr>
  </w:style>
  <w:style w:type="character" w:customStyle="1" w:styleId="CommentTextChar1">
    <w:name w:val="Comment Text Char1"/>
    <w:basedOn w:val="DefaultParagraphFont"/>
    <w:link w:val="CommentText"/>
    <w:semiHidden/>
    <w:rsid w:val="009E0904"/>
    <w:rPr>
      <w:rFonts w:ascii="Arial" w:eastAsia="SimSun" w:hAnsi="Arial" w:cs="Arial"/>
      <w:sz w:val="18"/>
      <w:lang w:eastAsia="zh-CN"/>
    </w:rPr>
  </w:style>
  <w:style w:type="character" w:customStyle="1" w:styleId="CommentSubjectChar1">
    <w:name w:val="Comment Subject Char1"/>
    <w:basedOn w:val="CommentTextChar1"/>
    <w:semiHidden/>
    <w:rsid w:val="009E0904"/>
    <w:rPr>
      <w:rFonts w:ascii="Arial" w:eastAsia="SimSun" w:hAnsi="Arial" w:cs="Arial"/>
      <w:b/>
      <w:bCs/>
      <w:sz w:val="18"/>
      <w:lang w:eastAsia="zh-CN"/>
    </w:rPr>
  </w:style>
  <w:style w:type="character" w:styleId="CommentReference">
    <w:name w:val="annotation reference"/>
    <w:basedOn w:val="DefaultParagraphFont"/>
    <w:unhideWhenUsed/>
    <w:rsid w:val="009E0904"/>
    <w:rPr>
      <w:sz w:val="16"/>
      <w:szCs w:val="16"/>
    </w:rPr>
  </w:style>
  <w:style w:type="paragraph" w:styleId="Revision">
    <w:name w:val="Revision"/>
    <w:hidden/>
    <w:uiPriority w:val="99"/>
    <w:semiHidden/>
    <w:rsid w:val="009E0904"/>
    <w:rPr>
      <w:rFonts w:ascii="Arial" w:eastAsia="SimSun" w:hAnsi="Arial" w:cs="Arial"/>
      <w:sz w:val="22"/>
      <w:lang w:eastAsia="zh-CN"/>
    </w:rPr>
  </w:style>
  <w:style w:type="character" w:customStyle="1" w:styleId="Heading3Char">
    <w:name w:val="Heading 3 Char"/>
    <w:basedOn w:val="DefaultParagraphFont"/>
    <w:link w:val="Heading3"/>
    <w:rsid w:val="00B978B0"/>
    <w:rPr>
      <w:rFonts w:ascii="Arial" w:eastAsia="SimSun" w:hAnsi="Arial" w:cs="Arial"/>
      <w:bCs/>
      <w:sz w:val="22"/>
      <w:szCs w:val="26"/>
      <w:u w:val="single"/>
      <w:lang w:eastAsia="zh-CN"/>
    </w:rPr>
  </w:style>
  <w:style w:type="character" w:customStyle="1" w:styleId="Heading2Char">
    <w:name w:val="Heading 2 Char"/>
    <w:basedOn w:val="DefaultParagraphFont"/>
    <w:link w:val="Heading2"/>
    <w:rsid w:val="007E035D"/>
    <w:rPr>
      <w:rFonts w:ascii="Arial" w:eastAsia="SimSun" w:hAnsi="Arial" w:cs="Arial"/>
      <w:bCs/>
      <w:iCs/>
      <w:caps/>
      <w:sz w:val="22"/>
      <w:szCs w:val="28"/>
      <w:lang w:eastAsia="zh-CN"/>
    </w:rPr>
  </w:style>
  <w:style w:type="paragraph" w:styleId="NoSpacing">
    <w:name w:val="No Spacing"/>
    <w:uiPriority w:val="1"/>
    <w:qFormat/>
    <w:rsid w:val="0063435B"/>
    <w:rPr>
      <w:rFonts w:ascii="Arial" w:eastAsia="SimSun" w:hAnsi="Arial" w:cs="Arial"/>
      <w:sz w:val="22"/>
      <w:lang w:eastAsia="zh-CN"/>
    </w:rPr>
  </w:style>
  <w:style w:type="paragraph" w:customStyle="1" w:styleId="TreatyDates">
    <w:name w:val="TreatyDates"/>
    <w:basedOn w:val="Normal"/>
    <w:qFormat/>
    <w:rsid w:val="001E6277"/>
    <w:pPr>
      <w:spacing w:line="300" w:lineRule="exact"/>
      <w:ind w:left="567" w:right="-23"/>
    </w:pPr>
    <w:rPr>
      <w:rFonts w:eastAsia="Arial"/>
      <w:sz w:val="24"/>
      <w:szCs w:val="24"/>
      <w:lang w:eastAsia="en-US"/>
    </w:rPr>
  </w:style>
  <w:style w:type="paragraph" w:customStyle="1" w:styleId="1TreatyHeading1">
    <w:name w:val="1 Treaty Heading 1"/>
    <w:basedOn w:val="Normal"/>
    <w:qFormat/>
    <w:rsid w:val="001E6277"/>
    <w:pPr>
      <w:spacing w:before="57" w:after="300" w:line="300" w:lineRule="exact"/>
      <w:jc w:val="both"/>
      <w:outlineLvl w:val="0"/>
    </w:pPr>
    <w:rPr>
      <w:rFonts w:eastAsia="Times New Roman"/>
      <w:b/>
      <w:bCs/>
      <w:sz w:val="24"/>
      <w:lang w:eastAsia="en-US"/>
    </w:rPr>
  </w:style>
  <w:style w:type="paragraph" w:customStyle="1" w:styleId="indenti">
    <w:name w:val="indent_i"/>
    <w:basedOn w:val="Normal"/>
    <w:rsid w:val="001E6277"/>
    <w:pPr>
      <w:numPr>
        <w:ilvl w:val="2"/>
        <w:numId w:val="5"/>
      </w:numPr>
      <w:jc w:val="both"/>
    </w:pPr>
    <w:rPr>
      <w:rFonts w:ascii="Times New Roman" w:eastAsia="Times New Roman" w:hAnsi="Times New Roman" w:cs="Times New Roman"/>
      <w:sz w:val="30"/>
      <w:lang w:eastAsia="en-US"/>
    </w:rPr>
  </w:style>
  <w:style w:type="paragraph" w:customStyle="1" w:styleId="indenta">
    <w:name w:val="indent_a"/>
    <w:basedOn w:val="Normal"/>
    <w:rsid w:val="001E6277"/>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indent1">
    <w:name w:val="indent_1"/>
    <w:basedOn w:val="Normal"/>
    <w:link w:val="indent1Char"/>
    <w:rsid w:val="001E6277"/>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1E6277"/>
    <w:rPr>
      <w:sz w:val="30"/>
      <w:szCs w:val="30"/>
    </w:rPr>
  </w:style>
  <w:style w:type="paragraph" w:customStyle="1" w:styleId="indentihang">
    <w:name w:val="indent_i_hang"/>
    <w:basedOn w:val="Normal"/>
    <w:link w:val="indentihangChar"/>
    <w:rsid w:val="001E6277"/>
    <w:pPr>
      <w:numPr>
        <w:numId w:val="5"/>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1E6277"/>
    <w:rPr>
      <w:rFonts w:eastAsia="Times New Roman"/>
      <w:sz w:val="30"/>
    </w:rPr>
  </w:style>
  <w:style w:type="paragraph" w:customStyle="1" w:styleId="4TreatyHeading4">
    <w:name w:val="4 Treaty Heading 4"/>
    <w:basedOn w:val="Normal"/>
    <w:qFormat/>
    <w:rsid w:val="001E6277"/>
    <w:pPr>
      <w:spacing w:before="480" w:after="240" w:line="240" w:lineRule="exact"/>
      <w:outlineLvl w:val="3"/>
    </w:pPr>
    <w:rPr>
      <w:rFonts w:eastAsia="Times New Roman"/>
      <w:b/>
      <w:bCs/>
      <w:sz w:val="20"/>
      <w:lang w:eastAsia="en-US"/>
    </w:rPr>
  </w:style>
  <w:style w:type="paragraph" w:customStyle="1" w:styleId="3TreatyHeading3">
    <w:name w:val="3 Treaty Heading 3"/>
    <w:basedOn w:val="Normal"/>
    <w:qFormat/>
    <w:rsid w:val="001E6277"/>
    <w:pPr>
      <w:spacing w:before="480" w:after="240" w:line="240" w:lineRule="exact"/>
      <w:outlineLvl w:val="2"/>
    </w:pPr>
    <w:rPr>
      <w:rFonts w:eastAsia="Times New Roman"/>
      <w:b/>
      <w:bCs/>
      <w:i/>
      <w:sz w:val="20"/>
      <w:lang w:eastAsia="en-US"/>
    </w:rPr>
  </w:style>
  <w:style w:type="character" w:customStyle="1" w:styleId="HeaderChar">
    <w:name w:val="Header Char"/>
    <w:basedOn w:val="DefaultParagraphFont"/>
    <w:link w:val="Header"/>
    <w:uiPriority w:val="99"/>
    <w:rsid w:val="001E627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30606">
      <w:bodyDiv w:val="1"/>
      <w:marLeft w:val="0"/>
      <w:marRight w:val="0"/>
      <w:marTop w:val="0"/>
      <w:marBottom w:val="0"/>
      <w:divBdr>
        <w:top w:val="none" w:sz="0" w:space="0" w:color="auto"/>
        <w:left w:val="none" w:sz="0" w:space="0" w:color="auto"/>
        <w:bottom w:val="none" w:sz="0" w:space="0" w:color="auto"/>
        <w:right w:val="none" w:sz="0" w:space="0" w:color="auto"/>
      </w:divBdr>
    </w:div>
    <w:div w:id="696077660">
      <w:bodyDiv w:val="1"/>
      <w:marLeft w:val="0"/>
      <w:marRight w:val="0"/>
      <w:marTop w:val="0"/>
      <w:marBottom w:val="0"/>
      <w:divBdr>
        <w:top w:val="none" w:sz="0" w:space="0" w:color="auto"/>
        <w:left w:val="none" w:sz="0" w:space="0" w:color="auto"/>
        <w:bottom w:val="none" w:sz="0" w:space="0" w:color="auto"/>
        <w:right w:val="none" w:sz="0" w:space="0" w:color="auto"/>
      </w:divBdr>
    </w:div>
    <w:div w:id="1096947304">
      <w:bodyDiv w:val="1"/>
      <w:marLeft w:val="0"/>
      <w:marRight w:val="0"/>
      <w:marTop w:val="0"/>
      <w:marBottom w:val="0"/>
      <w:divBdr>
        <w:top w:val="none" w:sz="0" w:space="0" w:color="auto"/>
        <w:left w:val="none" w:sz="0" w:space="0" w:color="auto"/>
        <w:bottom w:val="none" w:sz="0" w:space="0" w:color="auto"/>
        <w:right w:val="none" w:sz="0" w:space="0" w:color="auto"/>
      </w:divBdr>
    </w:div>
    <w:div w:id="1162550757">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D201-AFA9-419B-AF00-07C71AFE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3058</Words>
  <Characters>16310</Characters>
  <Application>Microsoft Office Word</Application>
  <DocSecurity>0</DocSecurity>
  <Lines>347</Lines>
  <Paragraphs>141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ST LEGER Nathalie</cp:lastModifiedBy>
  <cp:revision>5</cp:revision>
  <cp:lastPrinted>2020-11-05T16:10:00Z</cp:lastPrinted>
  <dcterms:created xsi:type="dcterms:W3CDTF">2020-11-05T13:51:00Z</dcterms:created>
  <dcterms:modified xsi:type="dcterms:W3CDTF">2020-11-05T16:16:00Z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8c6aa3cd-2e45-45e7-9e97-402553a19851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