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6762C" w:rsidRPr="00424E2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24E2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24E21" w:rsidRDefault="002C2E2F" w:rsidP="00AB613D">
            <w:r w:rsidRPr="00424E21">
              <w:rPr>
                <w:noProof/>
                <w:lang w:val="en-US" w:eastAsia="en-US"/>
              </w:rPr>
              <w:drawing>
                <wp:inline distT="0" distB="0" distL="0" distR="0" wp14:anchorId="128C212A" wp14:editId="24E10853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24E21" w:rsidRDefault="00E504E5" w:rsidP="00AB613D">
            <w:pPr>
              <w:jc w:val="right"/>
            </w:pPr>
            <w:r w:rsidRPr="00424E21">
              <w:rPr>
                <w:b/>
                <w:sz w:val="40"/>
                <w:szCs w:val="40"/>
              </w:rPr>
              <w:t>S</w:t>
            </w:r>
          </w:p>
        </w:tc>
      </w:tr>
      <w:tr w:rsidR="00A6762C" w:rsidRPr="00424E21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24E21" w:rsidRDefault="003501FE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4E21">
              <w:rPr>
                <w:rFonts w:ascii="Arial Black" w:hAnsi="Arial Black"/>
                <w:caps/>
                <w:sz w:val="15"/>
              </w:rPr>
              <w:t>H/LD/WG/7/</w:t>
            </w:r>
            <w:bookmarkStart w:id="0" w:name="Code"/>
            <w:bookmarkEnd w:id="0"/>
            <w:r w:rsidR="00A0653E" w:rsidRPr="00424E21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A6762C" w:rsidRPr="00424E21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24E21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4E21">
              <w:rPr>
                <w:rFonts w:ascii="Arial Black" w:hAnsi="Arial Black"/>
                <w:caps/>
                <w:sz w:val="15"/>
              </w:rPr>
              <w:t>ORIGINAL:</w:t>
            </w:r>
            <w:r w:rsidR="00CC05F9">
              <w:rPr>
                <w:rFonts w:ascii="Arial Black" w:hAnsi="Arial Black"/>
                <w:caps/>
                <w:sz w:val="15"/>
              </w:rPr>
              <w:t xml:space="preserve"> </w:t>
            </w:r>
            <w:r w:rsidR="00A0653E" w:rsidRPr="00424E2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0653E" w:rsidRPr="00424E21">
              <w:rPr>
                <w:rFonts w:ascii="Arial Black" w:hAnsi="Arial Black"/>
                <w:caps/>
                <w:sz w:val="15"/>
              </w:rPr>
              <w:t>INGLÉS</w:t>
            </w:r>
            <w:r w:rsidRPr="00424E2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6762C" w:rsidRPr="00424E21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24E21" w:rsidRDefault="00675021" w:rsidP="00D6469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4E21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24E21">
              <w:rPr>
                <w:rFonts w:ascii="Arial Black" w:hAnsi="Arial Black"/>
                <w:caps/>
                <w:sz w:val="15"/>
              </w:rPr>
              <w:t>:</w:t>
            </w:r>
            <w:r w:rsidR="00CC05F9">
              <w:rPr>
                <w:rFonts w:ascii="Arial Black" w:hAnsi="Arial Black"/>
                <w:caps/>
                <w:sz w:val="15"/>
              </w:rPr>
              <w:t xml:space="preserve"> </w:t>
            </w:r>
            <w:r w:rsidR="00A0653E" w:rsidRPr="00424E2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6469F" w:rsidRPr="00424E21">
              <w:rPr>
                <w:rFonts w:ascii="Arial Black" w:hAnsi="Arial Black"/>
                <w:caps/>
                <w:sz w:val="15"/>
              </w:rPr>
              <w:t>16</w:t>
            </w:r>
            <w:r w:rsidR="00A0653E" w:rsidRPr="00424E21">
              <w:rPr>
                <w:rFonts w:ascii="Arial Black" w:hAnsi="Arial Black"/>
                <w:caps/>
                <w:sz w:val="15"/>
              </w:rPr>
              <w:t xml:space="preserve"> DE JULIO DE 2018</w:t>
            </w:r>
            <w:r w:rsidR="008B2CC1" w:rsidRPr="00424E21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B67CDC" w:rsidRPr="00424E21" w:rsidRDefault="003501FE" w:rsidP="00A0653E">
      <w:pPr>
        <w:spacing w:before="1200"/>
        <w:rPr>
          <w:b/>
          <w:sz w:val="28"/>
          <w:szCs w:val="28"/>
        </w:rPr>
      </w:pPr>
      <w:r w:rsidRPr="00424E21">
        <w:rPr>
          <w:b/>
          <w:sz w:val="28"/>
          <w:szCs w:val="28"/>
        </w:rPr>
        <w:t>Grupo de Trabajo sobre el Desarrollo Jurídico del Sistema de La Haya para el Registro Internacional de Dibujos y Modelos Industriales</w:t>
      </w:r>
      <w:r w:rsidR="00B67CDC" w:rsidRPr="00424E21">
        <w:rPr>
          <w:b/>
          <w:sz w:val="28"/>
          <w:szCs w:val="28"/>
        </w:rPr>
        <w:t xml:space="preserve"> </w:t>
      </w:r>
    </w:p>
    <w:p w:rsidR="003501FE" w:rsidRPr="00424E21" w:rsidRDefault="003501FE" w:rsidP="00A0653E">
      <w:pPr>
        <w:spacing w:before="480"/>
        <w:rPr>
          <w:b/>
          <w:sz w:val="24"/>
          <w:szCs w:val="24"/>
        </w:rPr>
      </w:pPr>
      <w:r w:rsidRPr="00424E21">
        <w:rPr>
          <w:b/>
          <w:sz w:val="24"/>
          <w:szCs w:val="24"/>
        </w:rPr>
        <w:t>Séptima reunión</w:t>
      </w:r>
    </w:p>
    <w:p w:rsidR="00B67CDC" w:rsidRPr="00424E21" w:rsidRDefault="003501FE" w:rsidP="003501FE">
      <w:pPr>
        <w:rPr>
          <w:b/>
          <w:sz w:val="24"/>
          <w:szCs w:val="24"/>
        </w:rPr>
      </w:pPr>
      <w:r w:rsidRPr="00424E21">
        <w:rPr>
          <w:b/>
          <w:sz w:val="24"/>
          <w:szCs w:val="24"/>
        </w:rPr>
        <w:t>Ginebra, 16 a 18 de julio de 2018</w:t>
      </w:r>
    </w:p>
    <w:p w:rsidR="008B2CC1" w:rsidRPr="00424E21" w:rsidRDefault="00A6762C" w:rsidP="00A0653E">
      <w:pPr>
        <w:spacing w:before="720"/>
        <w:rPr>
          <w:caps/>
          <w:sz w:val="24"/>
        </w:rPr>
      </w:pPr>
      <w:bookmarkStart w:id="3" w:name="TitleOfDoc"/>
      <w:bookmarkEnd w:id="3"/>
      <w:r w:rsidRPr="00424E21">
        <w:rPr>
          <w:caps/>
          <w:sz w:val="24"/>
        </w:rPr>
        <w:t>contribución</w:t>
      </w:r>
      <w:r w:rsidR="00A0653E" w:rsidRPr="00424E21">
        <w:rPr>
          <w:caps/>
          <w:sz w:val="24"/>
        </w:rPr>
        <w:t xml:space="preserve"> de la Delegación de los Estados Unidos de América</w:t>
      </w:r>
    </w:p>
    <w:p w:rsidR="008B2CC1" w:rsidRPr="00424E21" w:rsidRDefault="00A0653E" w:rsidP="00A0653E">
      <w:pPr>
        <w:spacing w:before="240"/>
        <w:rPr>
          <w:i/>
        </w:rPr>
      </w:pPr>
      <w:bookmarkStart w:id="4" w:name="Prepared"/>
      <w:bookmarkEnd w:id="4"/>
      <w:r w:rsidRPr="00424E21">
        <w:rPr>
          <w:i/>
        </w:rPr>
        <w:t>Documento preparado por la Secretaría</w:t>
      </w:r>
    </w:p>
    <w:p w:rsidR="00152CEA" w:rsidRPr="00424E21" w:rsidRDefault="00452938" w:rsidP="00A0653E">
      <w:pPr>
        <w:spacing w:before="1080"/>
      </w:pPr>
      <w:r w:rsidRPr="00424E21">
        <w:t>En una comunicación de fecha 13 de julio de 2018, la delegación de los Estados Unidos de</w:t>
      </w:r>
      <w:r w:rsidR="00CC05F9">
        <w:t> </w:t>
      </w:r>
      <w:r w:rsidRPr="00424E21">
        <w:t>América transmitió a la Oficina Internacional de la Organización Mundial de la Propiedad Intelectual (OMPI) la información contenida en el Anexo del presente documento.</w:t>
      </w:r>
    </w:p>
    <w:p w:rsidR="00A0653E" w:rsidRPr="00424E21" w:rsidRDefault="00A0653E" w:rsidP="00A0653E">
      <w:pPr>
        <w:pStyle w:val="Endofdocument-Annex"/>
        <w:spacing w:before="480"/>
        <w:rPr>
          <w:lang w:val="es-ES"/>
        </w:rPr>
        <w:sectPr w:rsidR="00A0653E" w:rsidRPr="00424E21" w:rsidSect="00A0653E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24E21">
        <w:rPr>
          <w:lang w:val="es-ES"/>
        </w:rPr>
        <w:t>[Sigue el Anexo]</w:t>
      </w:r>
    </w:p>
    <w:p w:rsidR="00A0653E" w:rsidRPr="00424E21" w:rsidRDefault="00A0653E" w:rsidP="00A0653E">
      <w:pPr>
        <w:jc w:val="center"/>
        <w:rPr>
          <w:b/>
          <w:sz w:val="24"/>
          <w:szCs w:val="24"/>
        </w:rPr>
      </w:pPr>
      <w:r w:rsidRPr="00424E21">
        <w:rPr>
          <w:b/>
          <w:sz w:val="24"/>
          <w:szCs w:val="24"/>
        </w:rPr>
        <w:lastRenderedPageBreak/>
        <w:t>Contribución a la salud financiera de la Organización</w:t>
      </w:r>
    </w:p>
    <w:p w:rsidR="00A0653E" w:rsidRPr="00424E21" w:rsidRDefault="00A0653E" w:rsidP="00A0653E">
      <w:pPr>
        <w:jc w:val="center"/>
        <w:rPr>
          <w:b/>
          <w:sz w:val="24"/>
          <w:szCs w:val="24"/>
        </w:rPr>
      </w:pPr>
    </w:p>
    <w:p w:rsidR="00A0653E" w:rsidRPr="00424E21" w:rsidRDefault="00EF034E" w:rsidP="00A0653E">
      <w:pPr>
        <w:jc w:val="center"/>
        <w:rPr>
          <w:b/>
          <w:sz w:val="24"/>
          <w:szCs w:val="24"/>
        </w:rPr>
      </w:pPr>
      <w:r w:rsidRPr="00424E21">
        <w:rPr>
          <w:b/>
          <w:sz w:val="24"/>
          <w:szCs w:val="24"/>
        </w:rPr>
        <w:t>Propuesta presentada por la delegación de los Estados Unidos de América al Grupo de Trabajo del Sistema de La Haya</w:t>
      </w:r>
    </w:p>
    <w:p w:rsidR="00A0653E" w:rsidRPr="00424E21" w:rsidRDefault="00A0653E" w:rsidP="00A0653E">
      <w:pPr>
        <w:jc w:val="center"/>
        <w:rPr>
          <w:b/>
          <w:sz w:val="24"/>
          <w:szCs w:val="24"/>
        </w:rPr>
      </w:pPr>
    </w:p>
    <w:p w:rsidR="00A0653E" w:rsidRPr="00424E21" w:rsidRDefault="00EF034E" w:rsidP="00A0653E">
      <w:pPr>
        <w:ind w:firstLine="720"/>
        <w:rPr>
          <w:sz w:val="24"/>
          <w:szCs w:val="24"/>
        </w:rPr>
      </w:pPr>
      <w:r w:rsidRPr="00424E21">
        <w:rPr>
          <w:sz w:val="24"/>
          <w:szCs w:val="24"/>
        </w:rPr>
        <w:t>Con arreglo a la decisión de las Asambleas de la OMPI sobre el presupues</w:t>
      </w:r>
      <w:r w:rsidR="00407A1E">
        <w:rPr>
          <w:sz w:val="24"/>
          <w:szCs w:val="24"/>
        </w:rPr>
        <w:t>to por programas</w:t>
      </w:r>
      <w:r w:rsidRPr="00424E21">
        <w:rPr>
          <w:sz w:val="24"/>
          <w:szCs w:val="24"/>
        </w:rPr>
        <w:t xml:space="preserve"> de la OMPI para el bienio 2018/19</w:t>
      </w:r>
      <w:r w:rsidR="00F75A29" w:rsidRPr="00424E21">
        <w:rPr>
          <w:sz w:val="24"/>
          <w:szCs w:val="24"/>
          <w:vertAlign w:val="superscript"/>
        </w:rPr>
        <w:footnoteReference w:id="2"/>
      </w:r>
      <w:r w:rsidR="007113C2">
        <w:rPr>
          <w:sz w:val="24"/>
          <w:szCs w:val="24"/>
        </w:rPr>
        <w:t>,</w:t>
      </w:r>
      <w:r w:rsidRPr="00424E21">
        <w:rPr>
          <w:sz w:val="24"/>
          <w:szCs w:val="24"/>
        </w:rPr>
        <w:t xml:space="preserve"> adoptada en octubre de 2017, las uniones financiadas con un déficit previsto deben considerar medidas de conformidad con su propio tratado para afrontar ese déficit. </w:t>
      </w:r>
      <w:r w:rsidR="00F63720" w:rsidRPr="00424E21">
        <w:rPr>
          <w:sz w:val="24"/>
          <w:szCs w:val="24"/>
        </w:rPr>
        <w:t xml:space="preserve">La delegación de los Estados Unidos opina que la salud </w:t>
      </w:r>
      <w:r w:rsidR="00F13330" w:rsidRPr="00424E21">
        <w:rPr>
          <w:sz w:val="24"/>
          <w:szCs w:val="24"/>
        </w:rPr>
        <w:t>financiera</w:t>
      </w:r>
      <w:r w:rsidR="00F63720" w:rsidRPr="00424E21">
        <w:rPr>
          <w:sz w:val="24"/>
          <w:szCs w:val="24"/>
        </w:rPr>
        <w:t xml:space="preserve"> </w:t>
      </w:r>
      <w:r w:rsidR="00F13330" w:rsidRPr="00424E21">
        <w:rPr>
          <w:sz w:val="24"/>
          <w:szCs w:val="24"/>
        </w:rPr>
        <w:t xml:space="preserve">a largo plazo </w:t>
      </w:r>
      <w:r w:rsidR="00F63720" w:rsidRPr="00424E21">
        <w:rPr>
          <w:sz w:val="24"/>
          <w:szCs w:val="24"/>
        </w:rPr>
        <w:t>de la OMPI depende de que cada Unión financiada mediante tasas cubra sus propios gastos y contribuya a los gastos comunes de la Organización, como lo exigen sus respectivos tratados.</w:t>
      </w:r>
    </w:p>
    <w:p w:rsidR="00A0653E" w:rsidRPr="00424E21" w:rsidRDefault="00A0653E" w:rsidP="00A0653E">
      <w:pPr>
        <w:rPr>
          <w:sz w:val="24"/>
          <w:szCs w:val="24"/>
        </w:rPr>
      </w:pPr>
    </w:p>
    <w:p w:rsidR="00A0653E" w:rsidRPr="00424E21" w:rsidRDefault="00730507" w:rsidP="00A0653E">
      <w:pPr>
        <w:ind w:firstLine="720"/>
        <w:rPr>
          <w:sz w:val="24"/>
          <w:szCs w:val="24"/>
        </w:rPr>
      </w:pPr>
      <w:r w:rsidRPr="00424E21">
        <w:rPr>
          <w:sz w:val="24"/>
          <w:szCs w:val="24"/>
        </w:rPr>
        <w:t xml:space="preserve">En 2017, la Asamblea de la Unión de La Haya, junto con las demás Asambleas de la OMPI, </w:t>
      </w:r>
      <w:r w:rsidR="00F13330" w:rsidRPr="00424E21">
        <w:rPr>
          <w:sz w:val="24"/>
          <w:szCs w:val="24"/>
        </w:rPr>
        <w:t>acordó lo siguiente</w:t>
      </w:r>
      <w:r w:rsidR="00F75A29" w:rsidRPr="00424E21">
        <w:rPr>
          <w:sz w:val="24"/>
          <w:szCs w:val="24"/>
          <w:vertAlign w:val="superscript"/>
        </w:rPr>
        <w:footnoteReference w:id="3"/>
      </w:r>
      <w:r w:rsidR="007113C2">
        <w:rPr>
          <w:sz w:val="24"/>
          <w:szCs w:val="24"/>
        </w:rPr>
        <w:t>:</w:t>
      </w:r>
    </w:p>
    <w:p w:rsidR="00A0653E" w:rsidRPr="00424E21" w:rsidRDefault="00A0653E" w:rsidP="00A0653E">
      <w:pPr>
        <w:autoSpaceDE w:val="0"/>
        <w:autoSpaceDN w:val="0"/>
        <w:adjustRightInd w:val="0"/>
        <w:ind w:right="720"/>
        <w:rPr>
          <w:rFonts w:eastAsia="Calibri"/>
          <w:sz w:val="24"/>
          <w:szCs w:val="24"/>
          <w:lang w:eastAsia="en-US"/>
        </w:rPr>
      </w:pP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  <w:r w:rsidRPr="00424E21">
        <w:rPr>
          <w:rFonts w:eastAsia="Calibri"/>
          <w:sz w:val="24"/>
          <w:szCs w:val="24"/>
          <w:lang w:eastAsia="en-US"/>
        </w:rPr>
        <w:t>“Las Asambleas de la OMPI, en lo que a cada una concierne:</w:t>
      </w: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  <w:r w:rsidRPr="00424E21">
        <w:rPr>
          <w:rFonts w:eastAsia="Calibri"/>
          <w:sz w:val="24"/>
          <w:szCs w:val="24"/>
          <w:lang w:eastAsia="en-US"/>
        </w:rPr>
        <w:t>i)</w:t>
      </w:r>
      <w:r w:rsidRPr="00424E21">
        <w:rPr>
          <w:rFonts w:eastAsia="Calibri"/>
          <w:sz w:val="24"/>
          <w:szCs w:val="24"/>
          <w:lang w:eastAsia="en-US"/>
        </w:rPr>
        <w:tab/>
        <w:t>acordaron aprobar la propuesta de presupuesto por programas para el bienio 2018/19 (documento A/57/6);</w:t>
      </w: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  <w:r w:rsidRPr="00424E21">
        <w:rPr>
          <w:rFonts w:eastAsia="Calibri"/>
          <w:sz w:val="24"/>
          <w:szCs w:val="24"/>
          <w:lang w:eastAsia="en-US"/>
        </w:rPr>
        <w:t>ii)</w:t>
      </w:r>
      <w:r w:rsidRPr="00424E21">
        <w:rPr>
          <w:rFonts w:eastAsia="Calibri"/>
          <w:sz w:val="24"/>
          <w:szCs w:val="24"/>
          <w:lang w:eastAsia="en-US"/>
        </w:rPr>
        <w:tab/>
        <w:t>recordaron que, de conformidad con los tratados de las uniones financiadas mediante tasas, cada unión deberá tener ingresos suficientes para cubrir sus propios gastos;</w:t>
      </w: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  <w:r w:rsidRPr="00424E21">
        <w:rPr>
          <w:rFonts w:eastAsia="Calibri"/>
          <w:sz w:val="24"/>
          <w:szCs w:val="24"/>
          <w:lang w:eastAsia="en-US"/>
        </w:rPr>
        <w:t>iii)</w:t>
      </w:r>
      <w:r w:rsidRPr="00424E21">
        <w:rPr>
          <w:rFonts w:eastAsia="Calibri"/>
          <w:sz w:val="24"/>
          <w:szCs w:val="24"/>
          <w:lang w:eastAsia="en-US"/>
        </w:rPr>
        <w:tab/>
      </w:r>
      <w:r w:rsidRPr="00407A1E">
        <w:rPr>
          <w:rFonts w:eastAsia="Calibri"/>
          <w:b/>
          <w:bCs/>
          <w:i/>
          <w:iCs/>
          <w:sz w:val="24"/>
          <w:szCs w:val="24"/>
          <w:lang w:eastAsia="en-US"/>
        </w:rPr>
        <w:t>tomaron nota de que las uniones financiadas mediante tasas que tengan previsto un déficit bienal para el bienio 2018/19 deberán considerar medidas de conformidad con su propio tratado para afrontar ese déficit;</w:t>
      </w: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  <w:r w:rsidRPr="00424E21">
        <w:rPr>
          <w:rFonts w:eastAsia="Calibri"/>
          <w:sz w:val="24"/>
          <w:szCs w:val="24"/>
          <w:lang w:eastAsia="en-US"/>
        </w:rPr>
        <w:t>iv)</w:t>
      </w:r>
      <w:r w:rsidRPr="00424E21">
        <w:rPr>
          <w:rFonts w:eastAsia="Calibri"/>
          <w:sz w:val="24"/>
          <w:szCs w:val="24"/>
          <w:lang w:eastAsia="en-US"/>
        </w:rPr>
        <w:tab/>
        <w:t>tomaron nota de que si una unión en un bienio dado no tiene suficientes ingresos y reservas para cubrir los gastos previstos, el importe necesario para financiar las operaciones de dicha unión se financiará con cargo a los activos netos de la Organización y se divulgará en los estados financieros de la Organización y habrá de reembolsarse cuando lo permitan las reservas de dicha unión;</w:t>
      </w: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</w:p>
    <w:p w:rsidR="00A0653E" w:rsidRPr="00424E21" w:rsidRDefault="00A0653E" w:rsidP="00A0653E">
      <w:pPr>
        <w:autoSpaceDE w:val="0"/>
        <w:autoSpaceDN w:val="0"/>
        <w:adjustRightInd w:val="0"/>
        <w:ind w:left="720" w:right="900"/>
        <w:rPr>
          <w:rFonts w:eastAsia="Calibri"/>
          <w:sz w:val="24"/>
          <w:szCs w:val="24"/>
          <w:lang w:eastAsia="en-US"/>
        </w:rPr>
      </w:pPr>
      <w:r w:rsidRPr="00424E21">
        <w:rPr>
          <w:rFonts w:eastAsia="Calibri"/>
          <w:sz w:val="24"/>
          <w:szCs w:val="24"/>
          <w:lang w:eastAsia="en-US"/>
        </w:rPr>
        <w:t>v)</w:t>
      </w:r>
      <w:r w:rsidRPr="00424E21">
        <w:rPr>
          <w:rFonts w:eastAsia="Calibri"/>
          <w:sz w:val="24"/>
          <w:szCs w:val="24"/>
          <w:lang w:eastAsia="en-US"/>
        </w:rPr>
        <w:tab/>
      </w:r>
      <w:proofErr w:type="gramStart"/>
      <w:r w:rsidRPr="00424E21">
        <w:rPr>
          <w:rFonts w:eastAsia="Calibri"/>
          <w:sz w:val="24"/>
          <w:szCs w:val="24"/>
          <w:lang w:eastAsia="en-US"/>
        </w:rPr>
        <w:t>decidieron</w:t>
      </w:r>
      <w:proofErr w:type="gramEnd"/>
      <w:r w:rsidRPr="00424E21">
        <w:rPr>
          <w:rFonts w:eastAsia="Calibri"/>
          <w:sz w:val="24"/>
          <w:szCs w:val="24"/>
          <w:lang w:eastAsia="en-US"/>
        </w:rPr>
        <w:t xml:space="preserve"> que, de conformidad con el punto iv), para el bienio 2018/19, si una unión financiada mediante tasas no tiene suficientes ingresos para cubrir sus gastos, el importe requerido mencionado en el punto iv) se financiará con cargo a las reservas de las uniones financiadas mediante contribuciones, si dichas reservas son completamente suficientes, o bien con cargo a las reservas de las demás uniones financiadas mediante tasas.</w:t>
      </w:r>
      <w:r w:rsidR="007113C2">
        <w:rPr>
          <w:rFonts w:eastAsia="Calibri"/>
          <w:sz w:val="24"/>
          <w:szCs w:val="24"/>
          <w:lang w:eastAsia="en-US"/>
        </w:rPr>
        <w:t>”</w:t>
      </w:r>
      <w:bookmarkStart w:id="6" w:name="_GoBack"/>
      <w:bookmarkEnd w:id="6"/>
      <w:r w:rsidRPr="00424E21">
        <w:rPr>
          <w:rFonts w:eastAsia="Calibri"/>
          <w:sz w:val="24"/>
          <w:szCs w:val="24"/>
          <w:lang w:eastAsia="en-US"/>
        </w:rPr>
        <w:t xml:space="preserve"> (sin cursiva en el original)</w:t>
      </w:r>
    </w:p>
    <w:p w:rsidR="00A0653E" w:rsidRPr="00424E21" w:rsidRDefault="00730507" w:rsidP="00424E21">
      <w:pPr>
        <w:spacing w:before="240"/>
        <w:rPr>
          <w:rFonts w:eastAsia="Calibri"/>
          <w:sz w:val="24"/>
          <w:szCs w:val="24"/>
          <w:lang w:eastAsia="en-US"/>
        </w:rPr>
      </w:pPr>
      <w:r w:rsidRPr="00424E21">
        <w:rPr>
          <w:rFonts w:eastAsia="Calibri"/>
          <w:sz w:val="24"/>
          <w:szCs w:val="24"/>
          <w:lang w:eastAsia="en-US"/>
        </w:rPr>
        <w:lastRenderedPageBreak/>
        <w:t xml:space="preserve">En el Anexo III del presupuesto por programas para el bienio 2018/19 se expone el presupuesto de las uniones y se muestra claramente que la Unión de La Haya tiene previsto un déficit bienal. </w:t>
      </w:r>
      <w:r w:rsidR="008A4BCF" w:rsidRPr="00424E21">
        <w:rPr>
          <w:rFonts w:eastAsia="Calibri"/>
          <w:sz w:val="24"/>
          <w:szCs w:val="24"/>
          <w:lang w:eastAsia="en-US"/>
        </w:rPr>
        <w:t>La Unión de La Haya prevé unos ingresos de 12.324.000 francos suizos, cifra que está muy por debajo de</w:t>
      </w:r>
      <w:r w:rsidR="00424E21" w:rsidRPr="00424E21">
        <w:rPr>
          <w:rFonts w:eastAsia="Calibri"/>
          <w:sz w:val="24"/>
          <w:szCs w:val="24"/>
          <w:lang w:eastAsia="en-US"/>
        </w:rPr>
        <w:t xml:space="preserve"> los gastos previstos, a saber, </w:t>
      </w:r>
      <w:r w:rsidR="008A4BCF" w:rsidRPr="00424E21">
        <w:rPr>
          <w:rFonts w:eastAsia="Calibri"/>
          <w:sz w:val="24"/>
          <w:szCs w:val="24"/>
          <w:lang w:eastAsia="en-US"/>
        </w:rPr>
        <w:t>26.238.000 francos suizos.</w:t>
      </w:r>
      <w:r w:rsidR="00A0653E" w:rsidRPr="00424E21">
        <w:rPr>
          <w:rFonts w:eastAsia="Calibri"/>
          <w:sz w:val="24"/>
          <w:szCs w:val="24"/>
          <w:lang w:eastAsia="en-US"/>
        </w:rPr>
        <w:t xml:space="preserve"> </w:t>
      </w:r>
      <w:r w:rsidR="00B74A6F" w:rsidRPr="00424E21">
        <w:rPr>
          <w:sz w:val="24"/>
          <w:szCs w:val="24"/>
        </w:rPr>
        <w:t xml:space="preserve">El cuadro muestra </w:t>
      </w:r>
      <w:r w:rsidR="00F13330" w:rsidRPr="00424E21">
        <w:rPr>
          <w:sz w:val="24"/>
          <w:szCs w:val="24"/>
        </w:rPr>
        <w:t>que la Unión de la Haya no es la única que tiene déficit.</w:t>
      </w:r>
      <w:r w:rsidR="00A0653E" w:rsidRPr="00424E21">
        <w:rPr>
          <w:sz w:val="24"/>
          <w:szCs w:val="24"/>
        </w:rPr>
        <w:t xml:space="preserve"> </w:t>
      </w:r>
      <w:r w:rsidR="00F13330" w:rsidRPr="00424E21">
        <w:rPr>
          <w:sz w:val="24"/>
          <w:szCs w:val="24"/>
        </w:rPr>
        <w:t>La Unión de Lisboa y las uniones financiadas mediante contribuciones también presentan déficits.</w:t>
      </w:r>
    </w:p>
    <w:p w:rsidR="00A0653E" w:rsidRPr="00424E21" w:rsidRDefault="00A0653E" w:rsidP="00A0653E">
      <w:pPr>
        <w:autoSpaceDE w:val="0"/>
        <w:autoSpaceDN w:val="0"/>
        <w:adjustRightInd w:val="0"/>
        <w:rPr>
          <w:sz w:val="24"/>
          <w:szCs w:val="24"/>
        </w:rPr>
      </w:pPr>
    </w:p>
    <w:p w:rsidR="00A0653E" w:rsidRPr="00424E21" w:rsidRDefault="00A0653E" w:rsidP="00424E21">
      <w:pPr>
        <w:spacing w:before="120"/>
        <w:jc w:val="center"/>
        <w:rPr>
          <w:b/>
          <w:sz w:val="24"/>
          <w:szCs w:val="24"/>
        </w:rPr>
      </w:pPr>
      <w:r w:rsidRPr="00424E21">
        <w:rPr>
          <w:b/>
          <w:sz w:val="24"/>
          <w:szCs w:val="24"/>
        </w:rPr>
        <w:t>Cuadro 11: Marco hipotético por Unión</w:t>
      </w:r>
    </w:p>
    <w:p w:rsidR="00A0653E" w:rsidRPr="00424E21" w:rsidRDefault="00A0653E" w:rsidP="00A0653E">
      <w:pPr>
        <w:keepNext/>
        <w:keepLines/>
        <w:jc w:val="center"/>
        <w:rPr>
          <w:i/>
          <w:sz w:val="24"/>
          <w:szCs w:val="24"/>
        </w:rPr>
      </w:pPr>
      <w:r w:rsidRPr="00424E21">
        <w:rPr>
          <w:i/>
          <w:sz w:val="24"/>
          <w:szCs w:val="24"/>
        </w:rPr>
        <w:t>(en miles de francos suizos)</w:t>
      </w:r>
    </w:p>
    <w:p w:rsidR="00A0653E" w:rsidRPr="00424E21" w:rsidRDefault="00A0653E" w:rsidP="00A0653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424E21">
        <w:rPr>
          <w:noProof/>
          <w:lang w:val="en-US" w:eastAsia="en-US"/>
        </w:rPr>
        <w:drawing>
          <wp:inline distT="0" distB="0" distL="0" distR="0" wp14:anchorId="6809173D" wp14:editId="3FCD7D1D">
            <wp:extent cx="5760085" cy="1849135"/>
            <wp:effectExtent l="0" t="0" r="0" b="0"/>
            <wp:docPr id="934" name="Picture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4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3E" w:rsidRPr="00CC05F9" w:rsidRDefault="00A0653E" w:rsidP="00A0653E">
      <w:pPr>
        <w:spacing w:before="120"/>
        <w:rPr>
          <w:rFonts w:eastAsia="Times New Roman"/>
          <w:i/>
          <w:iCs/>
          <w:sz w:val="20"/>
          <w:lang w:eastAsia="en-US"/>
        </w:rPr>
      </w:pPr>
      <w:r w:rsidRPr="00CC05F9">
        <w:rPr>
          <w:rFonts w:eastAsia="Times New Roman"/>
          <w:i/>
          <w:iCs/>
          <w:sz w:val="20"/>
          <w:lang w:eastAsia="en-US"/>
        </w:rPr>
        <w:t>*En lo relativo a los FRO, los objetivos se calculan en porcentaje del gasto bienal para cada Unión</w:t>
      </w:r>
    </w:p>
    <w:p w:rsidR="00A0653E" w:rsidRPr="00424E21" w:rsidRDefault="00A0653E" w:rsidP="00A0653E">
      <w:pPr>
        <w:spacing w:before="120"/>
        <w:rPr>
          <w:rFonts w:eastAsia="Times New Roman"/>
          <w:i/>
          <w:iCs/>
          <w:sz w:val="24"/>
          <w:szCs w:val="24"/>
          <w:lang w:eastAsia="en-US"/>
        </w:rPr>
      </w:pPr>
    </w:p>
    <w:p w:rsidR="00A0653E" w:rsidRPr="00424E21" w:rsidRDefault="00B74A6F" w:rsidP="00A0653E">
      <w:pPr>
        <w:rPr>
          <w:i/>
          <w:sz w:val="24"/>
          <w:szCs w:val="24"/>
        </w:rPr>
      </w:pPr>
      <w:r w:rsidRPr="00424E21">
        <w:rPr>
          <w:i/>
          <w:sz w:val="24"/>
          <w:szCs w:val="24"/>
        </w:rPr>
        <w:t>E</w:t>
      </w:r>
      <w:r w:rsidR="00407A1E">
        <w:rPr>
          <w:i/>
          <w:sz w:val="24"/>
          <w:szCs w:val="24"/>
        </w:rPr>
        <w:t>xamen de las tasas a cargo del G</w:t>
      </w:r>
      <w:r w:rsidRPr="00424E21">
        <w:rPr>
          <w:i/>
          <w:sz w:val="24"/>
          <w:szCs w:val="24"/>
        </w:rPr>
        <w:t xml:space="preserve">rupo de </w:t>
      </w:r>
      <w:r w:rsidR="00407A1E">
        <w:rPr>
          <w:i/>
          <w:sz w:val="24"/>
          <w:szCs w:val="24"/>
        </w:rPr>
        <w:t>T</w:t>
      </w:r>
      <w:r w:rsidRPr="00424E21">
        <w:rPr>
          <w:i/>
          <w:sz w:val="24"/>
          <w:szCs w:val="24"/>
        </w:rPr>
        <w:t xml:space="preserve">rabajo </w:t>
      </w:r>
      <w:r w:rsidR="00407A1E">
        <w:rPr>
          <w:i/>
          <w:sz w:val="24"/>
          <w:szCs w:val="24"/>
        </w:rPr>
        <w:t xml:space="preserve">del Sistema </w:t>
      </w:r>
      <w:r w:rsidRPr="00424E21">
        <w:rPr>
          <w:i/>
          <w:sz w:val="24"/>
          <w:szCs w:val="24"/>
        </w:rPr>
        <w:t>de La Haya</w:t>
      </w:r>
    </w:p>
    <w:p w:rsidR="00B74A6F" w:rsidRPr="00424E21" w:rsidRDefault="00B74A6F" w:rsidP="00A0653E"/>
    <w:p w:rsidR="00A0653E" w:rsidRPr="00424E21" w:rsidRDefault="003121F0" w:rsidP="007113C2">
      <w:pPr>
        <w:ind w:firstLine="567"/>
        <w:rPr>
          <w:sz w:val="24"/>
          <w:szCs w:val="24"/>
        </w:rPr>
      </w:pPr>
      <w:r w:rsidRPr="00424E21">
        <w:rPr>
          <w:sz w:val="24"/>
          <w:szCs w:val="24"/>
        </w:rPr>
        <w:t>En versiones anteriores del proyecto del orden de</w:t>
      </w:r>
      <w:r w:rsidR="00407A1E">
        <w:rPr>
          <w:sz w:val="24"/>
          <w:szCs w:val="24"/>
        </w:rPr>
        <w:t>l día de la séptima reunión del G</w:t>
      </w:r>
      <w:r w:rsidRPr="00424E21">
        <w:rPr>
          <w:sz w:val="24"/>
          <w:szCs w:val="24"/>
        </w:rPr>
        <w:t xml:space="preserve">rupo de </w:t>
      </w:r>
      <w:r w:rsidR="00407A1E">
        <w:rPr>
          <w:sz w:val="24"/>
          <w:szCs w:val="24"/>
        </w:rPr>
        <w:t>T</w:t>
      </w:r>
      <w:r w:rsidRPr="00424E21">
        <w:rPr>
          <w:sz w:val="24"/>
          <w:szCs w:val="24"/>
        </w:rPr>
        <w:t xml:space="preserve">rabajo </w:t>
      </w:r>
      <w:r w:rsidR="00407A1E">
        <w:rPr>
          <w:sz w:val="24"/>
          <w:szCs w:val="24"/>
        </w:rPr>
        <w:t xml:space="preserve">del Sistema </w:t>
      </w:r>
      <w:r w:rsidRPr="00424E21">
        <w:rPr>
          <w:sz w:val="24"/>
          <w:szCs w:val="24"/>
        </w:rPr>
        <w:t xml:space="preserve">de La Haya se incluyó originalmente un punto del orden del día relativo a las tasas con respecto al Sistema de la Haya, pero no se incluyó </w:t>
      </w:r>
      <w:r w:rsidR="00424E21" w:rsidRPr="00424E21">
        <w:rPr>
          <w:sz w:val="24"/>
          <w:szCs w:val="24"/>
        </w:rPr>
        <w:t>posteriormente</w:t>
      </w:r>
      <w:r w:rsidRPr="00424E21">
        <w:rPr>
          <w:sz w:val="24"/>
          <w:szCs w:val="24"/>
        </w:rPr>
        <w:t xml:space="preserve"> en el proyecto más reciente</w:t>
      </w:r>
      <w:r w:rsidR="00A0653E" w:rsidRPr="00424E21">
        <w:rPr>
          <w:sz w:val="24"/>
          <w:szCs w:val="24"/>
        </w:rPr>
        <w:t>.</w:t>
      </w:r>
      <w:r w:rsidR="00A0653E" w:rsidRPr="00424E21">
        <w:rPr>
          <w:sz w:val="24"/>
          <w:szCs w:val="24"/>
          <w:vertAlign w:val="superscript"/>
        </w:rPr>
        <w:footnoteReference w:id="4"/>
      </w:r>
    </w:p>
    <w:p w:rsidR="00A0653E" w:rsidRPr="00424E21" w:rsidRDefault="00A0653E" w:rsidP="00A0653E">
      <w:pPr>
        <w:rPr>
          <w:sz w:val="24"/>
          <w:szCs w:val="24"/>
        </w:rPr>
      </w:pPr>
    </w:p>
    <w:p w:rsidR="00A0653E" w:rsidRPr="00424E21" w:rsidRDefault="00FE375B" w:rsidP="00FE375B">
      <w:pPr>
        <w:ind w:firstLine="720"/>
        <w:rPr>
          <w:sz w:val="24"/>
          <w:szCs w:val="24"/>
        </w:rPr>
      </w:pPr>
      <w:r w:rsidRPr="00424E21">
        <w:rPr>
          <w:sz w:val="24"/>
          <w:szCs w:val="24"/>
        </w:rPr>
        <w:t xml:space="preserve">Para garantizar que se cumpla el mandato de las Asambleas de la OMPI, incluida la Asamblea de la Unión de La Haya, a saber, la </w:t>
      </w:r>
      <w:r w:rsidR="00424E21" w:rsidRPr="00424E21">
        <w:rPr>
          <w:sz w:val="24"/>
          <w:szCs w:val="24"/>
        </w:rPr>
        <w:t>consideración</w:t>
      </w:r>
      <w:r w:rsidRPr="00424E21">
        <w:rPr>
          <w:sz w:val="24"/>
          <w:szCs w:val="24"/>
        </w:rPr>
        <w:t xml:space="preserve"> de medidas de conformidad con el Arreglo de La Haya para hacer frente al déficit presupuestario de la Unión de La Haya, los </w:t>
      </w:r>
      <w:r w:rsidR="00407A1E">
        <w:rPr>
          <w:sz w:val="24"/>
          <w:szCs w:val="24"/>
        </w:rPr>
        <w:t>Estados Unidos proponen que el G</w:t>
      </w:r>
      <w:r w:rsidRPr="00424E21">
        <w:rPr>
          <w:sz w:val="24"/>
          <w:szCs w:val="24"/>
        </w:rPr>
        <w:t xml:space="preserve">rupo de </w:t>
      </w:r>
      <w:r w:rsidR="00407A1E">
        <w:rPr>
          <w:sz w:val="24"/>
          <w:szCs w:val="24"/>
        </w:rPr>
        <w:t>T</w:t>
      </w:r>
      <w:r w:rsidRPr="00424E21">
        <w:rPr>
          <w:sz w:val="24"/>
          <w:szCs w:val="24"/>
        </w:rPr>
        <w:t xml:space="preserve">rabajo </w:t>
      </w:r>
      <w:r w:rsidR="00407A1E">
        <w:rPr>
          <w:sz w:val="24"/>
          <w:szCs w:val="24"/>
        </w:rPr>
        <w:t xml:space="preserve">del Sistema </w:t>
      </w:r>
      <w:r w:rsidRPr="00424E21">
        <w:rPr>
          <w:sz w:val="24"/>
          <w:szCs w:val="24"/>
        </w:rPr>
        <w:t xml:space="preserve">de La Haya inicie, con </w:t>
      </w:r>
      <w:r w:rsidR="00424E21" w:rsidRPr="00424E21">
        <w:rPr>
          <w:sz w:val="24"/>
          <w:szCs w:val="24"/>
        </w:rPr>
        <w:t>carácter</w:t>
      </w:r>
      <w:r w:rsidRPr="00424E21">
        <w:rPr>
          <w:sz w:val="24"/>
          <w:szCs w:val="24"/>
        </w:rPr>
        <w:t xml:space="preserve"> prioritario, un examen exhaustivo de la estructura de las tasas y de las tasas actuales del Sistema de La Haya, y que considere medidas para hacer frente al déficit.</w:t>
      </w:r>
    </w:p>
    <w:p w:rsidR="00A0653E" w:rsidRPr="00424E21" w:rsidRDefault="00A0653E" w:rsidP="00A0653E">
      <w:pPr>
        <w:rPr>
          <w:sz w:val="24"/>
          <w:szCs w:val="24"/>
        </w:rPr>
      </w:pPr>
    </w:p>
    <w:p w:rsidR="00A0653E" w:rsidRPr="00424E21" w:rsidRDefault="008E5308" w:rsidP="00A0653E">
      <w:pPr>
        <w:ind w:firstLine="720"/>
        <w:rPr>
          <w:sz w:val="24"/>
          <w:szCs w:val="24"/>
        </w:rPr>
      </w:pPr>
      <w:r w:rsidRPr="00424E21">
        <w:rPr>
          <w:sz w:val="24"/>
          <w:szCs w:val="24"/>
        </w:rPr>
        <w:t xml:space="preserve">La delegación de </w:t>
      </w:r>
      <w:r w:rsidR="00407A1E">
        <w:rPr>
          <w:sz w:val="24"/>
          <w:szCs w:val="24"/>
        </w:rPr>
        <w:t xml:space="preserve">los </w:t>
      </w:r>
      <w:r w:rsidRPr="00424E21">
        <w:rPr>
          <w:sz w:val="24"/>
          <w:szCs w:val="24"/>
        </w:rPr>
        <w:t xml:space="preserve">Estados Unidos opina que tales medidas podrían </w:t>
      </w:r>
      <w:r w:rsidR="00424E21" w:rsidRPr="00424E21">
        <w:rPr>
          <w:sz w:val="24"/>
          <w:szCs w:val="24"/>
        </w:rPr>
        <w:t>adoptarse</w:t>
      </w:r>
      <w:r w:rsidRPr="00424E21">
        <w:rPr>
          <w:sz w:val="24"/>
          <w:szCs w:val="24"/>
        </w:rPr>
        <w:t xml:space="preserve"> con el tiempo para hacer frente al déficit presupuestario de la Unión de La Haya de conformidad con el mandato de las Asambleas de la OMPI y las disposiciones financieras del Convenio de La Haya.</w:t>
      </w:r>
    </w:p>
    <w:p w:rsidR="00A0653E" w:rsidRPr="00424E21" w:rsidRDefault="00A0653E" w:rsidP="00A0653E">
      <w:pPr>
        <w:pStyle w:val="Endofdocument-Annex"/>
        <w:spacing w:before="720"/>
        <w:rPr>
          <w:lang w:val="es-ES"/>
        </w:rPr>
      </w:pPr>
      <w:r w:rsidRPr="00424E21">
        <w:rPr>
          <w:lang w:val="es-ES"/>
        </w:rPr>
        <w:t>[Fin del Anexo y del documento]</w:t>
      </w:r>
    </w:p>
    <w:sectPr w:rsidR="00A0653E" w:rsidRPr="00424E21" w:rsidSect="00A0653E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4E" w:rsidRDefault="00B3644E">
      <w:r>
        <w:separator/>
      </w:r>
    </w:p>
  </w:endnote>
  <w:endnote w:type="continuationSeparator" w:id="0">
    <w:p w:rsidR="00B3644E" w:rsidRPr="009D30E6" w:rsidRDefault="00B3644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3644E" w:rsidRPr="007E663E" w:rsidRDefault="00B3644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3644E" w:rsidRPr="007E663E" w:rsidRDefault="00B3644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4E" w:rsidRDefault="00B3644E">
      <w:r>
        <w:separator/>
      </w:r>
    </w:p>
  </w:footnote>
  <w:footnote w:type="continuationSeparator" w:id="0">
    <w:p w:rsidR="00B3644E" w:rsidRPr="009D30E6" w:rsidRDefault="00B3644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3644E" w:rsidRPr="007E663E" w:rsidRDefault="00B3644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3644E" w:rsidRPr="007E663E" w:rsidRDefault="00B3644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F75A29" w:rsidRPr="00F75A29" w:rsidRDefault="00F75A29" w:rsidP="00F75A29">
      <w:pPr>
        <w:autoSpaceDE w:val="0"/>
        <w:autoSpaceDN w:val="0"/>
        <w:adjustRightInd w:val="0"/>
      </w:pPr>
      <w:r>
        <w:rPr>
          <w:rStyle w:val="FootnoteReference"/>
        </w:rPr>
        <w:footnoteRef/>
      </w:r>
      <w:r w:rsidRPr="00F75A29">
        <w:t xml:space="preserve"> Véase el pár</w:t>
      </w:r>
      <w:r w:rsidR="00365F60">
        <w:t>rafo 88 del documento A/57/12 (I</w:t>
      </w:r>
      <w:r w:rsidRPr="00F75A29">
        <w:t>nforme general).</w:t>
      </w:r>
    </w:p>
  </w:footnote>
  <w:footnote w:id="3">
    <w:p w:rsidR="00F75A29" w:rsidRPr="00476C03" w:rsidRDefault="00F75A29" w:rsidP="00424E21">
      <w:pPr>
        <w:autoSpaceDE w:val="0"/>
        <w:autoSpaceDN w:val="0"/>
        <w:adjustRightInd w:val="0"/>
      </w:pPr>
      <w:r>
        <w:rPr>
          <w:rStyle w:val="FootnoteReference"/>
        </w:rPr>
        <w:footnoteRef/>
      </w:r>
      <w:r w:rsidRPr="00476C03">
        <w:t xml:space="preserve"> </w:t>
      </w:r>
      <w:r w:rsidR="00A6762C" w:rsidRPr="00A6762C">
        <w:rPr>
          <w:rFonts w:eastAsiaTheme="minorHAnsi"/>
          <w:sz w:val="21"/>
          <w:szCs w:val="21"/>
          <w:lang w:eastAsia="en-US"/>
        </w:rPr>
        <w:t>Id.</w:t>
      </w:r>
    </w:p>
  </w:footnote>
  <w:footnote w:id="4">
    <w:p w:rsidR="00A0653E" w:rsidRPr="00476C03" w:rsidRDefault="00A0653E" w:rsidP="00A0653E">
      <w:pPr>
        <w:pStyle w:val="FootnoteText"/>
      </w:pPr>
      <w:r>
        <w:rPr>
          <w:rStyle w:val="FootnoteReference"/>
        </w:rPr>
        <w:footnoteRef/>
      </w:r>
      <w:r w:rsidRPr="00476C03">
        <w:t xml:space="preserve"> </w:t>
      </w:r>
      <w:r w:rsidR="00476C03" w:rsidRPr="00476C03">
        <w:t xml:space="preserve">No obstante, el </w:t>
      </w:r>
      <w:r w:rsidR="00407A1E">
        <w:t>tema</w:t>
      </w:r>
      <w:r w:rsidR="00476C03" w:rsidRPr="00476C03">
        <w:t xml:space="preserve"> de </w:t>
      </w:r>
      <w:r w:rsidR="00407A1E">
        <w:t xml:space="preserve">los </w:t>
      </w:r>
      <w:r w:rsidR="00476C03" w:rsidRPr="00476C03">
        <w:t xml:space="preserve">gastos presupuestarios se incluye en el orden del día de </w:t>
      </w:r>
      <w:r w:rsidR="00CC08F9">
        <w:t>la presente</w:t>
      </w:r>
      <w:r w:rsidR="00476C03" w:rsidRPr="00476C03">
        <w:t xml:space="preserve"> reunión </w:t>
      </w:r>
      <w:r w:rsidR="00476C03" w:rsidRPr="000C7603">
        <w:t>en relación con</w:t>
      </w:r>
      <w:r w:rsidR="00476C03" w:rsidRPr="00476C03">
        <w:t xml:space="preserve"> el régimen lingüístico del Sistema de La Haya. El contexto, H/LD/WG/7/INF/2 —consideración de idiomas adicionales— es una medida </w:t>
      </w:r>
      <w:r w:rsidR="00476C03" w:rsidRPr="00407A1E">
        <w:t xml:space="preserve">que tendría un impacto más negativo que positivo </w:t>
      </w:r>
      <w:r w:rsidR="00407A1E" w:rsidRPr="00407A1E">
        <w:t>en</w:t>
      </w:r>
      <w:r w:rsidR="00476C03" w:rsidRPr="00476C03">
        <w:t xml:space="preserve"> el déficit </w:t>
      </w:r>
      <w:r w:rsidR="00407A1E">
        <w:t xml:space="preserve">presupuestario </w:t>
      </w:r>
      <w:r w:rsidR="00476C03" w:rsidRPr="00476C03">
        <w:t>de la Unión de La Haya.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0653E" w:rsidP="00477D6B">
    <w:pPr>
      <w:jc w:val="right"/>
    </w:pPr>
    <w:bookmarkStart w:id="5" w:name="Code2"/>
    <w:bookmarkEnd w:id="5"/>
    <w:r>
      <w:t>H/LD/WG/7/9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B03520">
      <w:rPr>
        <w:noProof/>
      </w:rPr>
      <w:t>3</w:t>
    </w:r>
    <w:r>
      <w:fldChar w:fldCharType="end"/>
    </w:r>
  </w:p>
  <w:p w:rsidR="00EC1AA7" w:rsidRDefault="00EC1AA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3E" w:rsidRDefault="00A0653E" w:rsidP="00477D6B">
    <w:pPr>
      <w:jc w:val="right"/>
    </w:pPr>
    <w:r>
      <w:t>H/LD/WG/7/9</w:t>
    </w:r>
  </w:p>
  <w:p w:rsidR="00A0653E" w:rsidRDefault="00A0653E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B65505">
      <w:rPr>
        <w:noProof/>
      </w:rPr>
      <w:t>2</w:t>
    </w:r>
    <w:r>
      <w:fldChar w:fldCharType="end"/>
    </w:r>
  </w:p>
  <w:p w:rsidR="00A0653E" w:rsidRDefault="00A0653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32" w:rsidRPr="00E05132" w:rsidRDefault="00A0653E" w:rsidP="00E05132">
    <w:pPr>
      <w:jc w:val="right"/>
    </w:pPr>
    <w:r w:rsidRPr="00E05132">
      <w:t>H/LD/WG/7/</w:t>
    </w:r>
    <w:r w:rsidR="00CC05F9">
      <w:t>9</w:t>
    </w:r>
  </w:p>
  <w:p w:rsidR="00E05132" w:rsidRPr="00E05132" w:rsidRDefault="00A0653E" w:rsidP="00E05132">
    <w:pPr>
      <w:pStyle w:val="Header"/>
      <w:jc w:val="right"/>
    </w:pPr>
    <w:r w:rsidRPr="00E05132">
      <w:t>ANEXO</w:t>
    </w:r>
  </w:p>
  <w:p w:rsidR="00E05132" w:rsidRDefault="00B65505" w:rsidP="00E05132">
    <w:pPr>
      <w:pStyle w:val="Header"/>
      <w:jc w:val="right"/>
    </w:pPr>
  </w:p>
  <w:p w:rsidR="00CC05F9" w:rsidRPr="00E05132" w:rsidRDefault="00CC05F9" w:rsidP="00E051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3E"/>
    <w:rsid w:val="00010686"/>
    <w:rsid w:val="00011F5B"/>
    <w:rsid w:val="00052915"/>
    <w:rsid w:val="000C7603"/>
    <w:rsid w:val="000E3BB3"/>
    <w:rsid w:val="000F5E56"/>
    <w:rsid w:val="00107C6C"/>
    <w:rsid w:val="001362EE"/>
    <w:rsid w:val="00152CEA"/>
    <w:rsid w:val="00160B1E"/>
    <w:rsid w:val="001832A6"/>
    <w:rsid w:val="002634C4"/>
    <w:rsid w:val="002C2E2F"/>
    <w:rsid w:val="002E0F47"/>
    <w:rsid w:val="002F4E68"/>
    <w:rsid w:val="00310826"/>
    <w:rsid w:val="003121F0"/>
    <w:rsid w:val="003501FE"/>
    <w:rsid w:val="00354647"/>
    <w:rsid w:val="00365F60"/>
    <w:rsid w:val="00377273"/>
    <w:rsid w:val="003845C1"/>
    <w:rsid w:val="00387287"/>
    <w:rsid w:val="003E48F1"/>
    <w:rsid w:val="003F347A"/>
    <w:rsid w:val="00407A1E"/>
    <w:rsid w:val="00423E3E"/>
    <w:rsid w:val="00424E21"/>
    <w:rsid w:val="00427AF4"/>
    <w:rsid w:val="0045231F"/>
    <w:rsid w:val="00452938"/>
    <w:rsid w:val="004647DA"/>
    <w:rsid w:val="0046793F"/>
    <w:rsid w:val="00476C03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65981"/>
    <w:rsid w:val="00675021"/>
    <w:rsid w:val="006A06C6"/>
    <w:rsid w:val="007113C2"/>
    <w:rsid w:val="00714A3A"/>
    <w:rsid w:val="007224C8"/>
    <w:rsid w:val="00730507"/>
    <w:rsid w:val="00794BE2"/>
    <w:rsid w:val="007A5581"/>
    <w:rsid w:val="007B71FE"/>
    <w:rsid w:val="007D33B5"/>
    <w:rsid w:val="007D781E"/>
    <w:rsid w:val="007E663E"/>
    <w:rsid w:val="00815082"/>
    <w:rsid w:val="0088395E"/>
    <w:rsid w:val="008A4BCF"/>
    <w:rsid w:val="008B2CC1"/>
    <w:rsid w:val="008E5308"/>
    <w:rsid w:val="008E6BD6"/>
    <w:rsid w:val="0090731E"/>
    <w:rsid w:val="00966A22"/>
    <w:rsid w:val="00972F03"/>
    <w:rsid w:val="009A0C8B"/>
    <w:rsid w:val="009A20CD"/>
    <w:rsid w:val="009B6241"/>
    <w:rsid w:val="00A0653E"/>
    <w:rsid w:val="00A16FC0"/>
    <w:rsid w:val="00A32C9E"/>
    <w:rsid w:val="00A6762C"/>
    <w:rsid w:val="00AB613D"/>
    <w:rsid w:val="00AE7F20"/>
    <w:rsid w:val="00B03520"/>
    <w:rsid w:val="00B3644E"/>
    <w:rsid w:val="00B534D5"/>
    <w:rsid w:val="00B65505"/>
    <w:rsid w:val="00B65A0A"/>
    <w:rsid w:val="00B67CDC"/>
    <w:rsid w:val="00B72D36"/>
    <w:rsid w:val="00B74A6F"/>
    <w:rsid w:val="00BB4460"/>
    <w:rsid w:val="00BC4164"/>
    <w:rsid w:val="00BD2DCC"/>
    <w:rsid w:val="00C90559"/>
    <w:rsid w:val="00CA2251"/>
    <w:rsid w:val="00CC05F9"/>
    <w:rsid w:val="00CC08F9"/>
    <w:rsid w:val="00D56C7C"/>
    <w:rsid w:val="00D6469F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1AA7"/>
    <w:rsid w:val="00EC401A"/>
    <w:rsid w:val="00EF034E"/>
    <w:rsid w:val="00EF530A"/>
    <w:rsid w:val="00EF6622"/>
    <w:rsid w:val="00EF78A9"/>
    <w:rsid w:val="00F13330"/>
    <w:rsid w:val="00F55408"/>
    <w:rsid w:val="00F63720"/>
    <w:rsid w:val="00F66152"/>
    <w:rsid w:val="00F75A29"/>
    <w:rsid w:val="00F80845"/>
    <w:rsid w:val="00F84474"/>
    <w:rsid w:val="00FA0F0D"/>
    <w:rsid w:val="00FD59D1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paragraph" w:customStyle="1" w:styleId="Endofdocument-Annex">
    <w:name w:val="[End of document - Annex]"/>
    <w:basedOn w:val="Normal"/>
    <w:qFormat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uiPriority w:val="99"/>
    <w:qFormat/>
    <w:rsid w:val="00A0653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A0653E"/>
    <w:rPr>
      <w:rFonts w:ascii="Arial" w:eastAsia="SimSun" w:hAnsi="Arial" w:cs="Arial"/>
      <w:sz w:val="18"/>
      <w:lang w:val="es-ES" w:eastAsia="zh-CN"/>
    </w:rPr>
  </w:style>
  <w:style w:type="paragraph" w:styleId="BalloonText">
    <w:name w:val="Balloon Text"/>
    <w:basedOn w:val="Normal"/>
    <w:link w:val="BalloonTextChar"/>
    <w:semiHidden/>
    <w:unhideWhenUsed/>
    <w:rsid w:val="00407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7A1E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paragraph" w:customStyle="1" w:styleId="Endofdocument-Annex">
    <w:name w:val="[End of document - Annex]"/>
    <w:basedOn w:val="Normal"/>
    <w:qFormat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uiPriority w:val="99"/>
    <w:qFormat/>
    <w:rsid w:val="00A0653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A0653E"/>
    <w:rPr>
      <w:rFonts w:ascii="Arial" w:eastAsia="SimSun" w:hAnsi="Arial" w:cs="Arial"/>
      <w:sz w:val="18"/>
      <w:lang w:val="es-ES" w:eastAsia="zh-CN"/>
    </w:rPr>
  </w:style>
  <w:style w:type="paragraph" w:styleId="BalloonText">
    <w:name w:val="Balloon Text"/>
    <w:basedOn w:val="Normal"/>
    <w:link w:val="BalloonTextChar"/>
    <w:semiHidden/>
    <w:unhideWhenUsed/>
    <w:rsid w:val="00407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7A1E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LD WG 7 (S)</Template>
  <TotalTime>6</TotalTime>
  <Pages>3</Pages>
  <Words>800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</vt:lpstr>
    </vt:vector>
  </TitlesOfParts>
  <Company>WIPO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</dc:title>
  <dc:creator>BOU LLORET Amparo</dc:creator>
  <dc:description>jc / Reviewed</dc:description>
  <cp:lastModifiedBy>MAILLARD Amber</cp:lastModifiedBy>
  <cp:revision>5</cp:revision>
  <cp:lastPrinted>2018-07-16T15:41:00Z</cp:lastPrinted>
  <dcterms:created xsi:type="dcterms:W3CDTF">2018-07-16T14:26:00Z</dcterms:created>
  <dcterms:modified xsi:type="dcterms:W3CDTF">2018-07-16T15:42:00Z</dcterms:modified>
</cp:coreProperties>
</file>