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67DFD" w:rsidTr="0088395E">
        <w:tc>
          <w:tcPr>
            <w:tcW w:w="4513" w:type="dxa"/>
            <w:tcBorders>
              <w:bottom w:val="single" w:sz="4" w:space="0" w:color="auto"/>
            </w:tcBorders>
            <w:tcMar>
              <w:bottom w:w="170" w:type="dxa"/>
            </w:tcMar>
          </w:tcPr>
          <w:p w:rsidR="00E504E5" w:rsidRPr="00967DFD" w:rsidRDefault="00E504E5" w:rsidP="00AB613D"/>
        </w:tc>
        <w:tc>
          <w:tcPr>
            <w:tcW w:w="4337" w:type="dxa"/>
            <w:tcBorders>
              <w:bottom w:val="single" w:sz="4" w:space="0" w:color="auto"/>
            </w:tcBorders>
            <w:tcMar>
              <w:left w:w="0" w:type="dxa"/>
              <w:right w:w="0" w:type="dxa"/>
            </w:tcMar>
          </w:tcPr>
          <w:p w:rsidR="00E504E5" w:rsidRPr="00967DFD" w:rsidRDefault="002C2E2F" w:rsidP="00AB613D">
            <w:r w:rsidRPr="00967DFD">
              <w:rPr>
                <w:noProof/>
                <w:lang w:val="en-US" w:eastAsia="en-US"/>
              </w:rPr>
              <w:drawing>
                <wp:inline distT="0" distB="0" distL="0" distR="0" wp14:anchorId="1D95E688" wp14:editId="1AB9AA6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67DFD" w:rsidRDefault="00E504E5" w:rsidP="00AB613D">
            <w:pPr>
              <w:jc w:val="right"/>
            </w:pPr>
            <w:r w:rsidRPr="00967DFD">
              <w:rPr>
                <w:b/>
                <w:sz w:val="40"/>
                <w:szCs w:val="40"/>
              </w:rPr>
              <w:t>S</w:t>
            </w:r>
          </w:p>
        </w:tc>
      </w:tr>
      <w:tr w:rsidR="008B2CC1" w:rsidRPr="00967DFD"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967DFD" w:rsidRDefault="003501FE" w:rsidP="00AB613D">
            <w:pPr>
              <w:jc w:val="right"/>
              <w:rPr>
                <w:rFonts w:ascii="Arial Black" w:hAnsi="Arial Black"/>
                <w:caps/>
                <w:sz w:val="15"/>
              </w:rPr>
            </w:pPr>
            <w:r w:rsidRPr="00967DFD">
              <w:rPr>
                <w:rFonts w:ascii="Arial Black" w:hAnsi="Arial Black"/>
                <w:caps/>
                <w:sz w:val="15"/>
              </w:rPr>
              <w:t>H/LD/WG/7/</w:t>
            </w:r>
            <w:bookmarkStart w:id="0" w:name="Code"/>
            <w:bookmarkEnd w:id="0"/>
            <w:r w:rsidR="00E83C82" w:rsidRPr="00967DFD">
              <w:rPr>
                <w:rFonts w:ascii="Arial Black" w:hAnsi="Arial Black"/>
                <w:caps/>
                <w:sz w:val="15"/>
              </w:rPr>
              <w:t>6</w:t>
            </w:r>
          </w:p>
        </w:tc>
      </w:tr>
      <w:tr w:rsidR="008B2CC1" w:rsidRPr="00967DFD" w:rsidTr="00AB613D">
        <w:trPr>
          <w:trHeight w:hRule="exact" w:val="170"/>
        </w:trPr>
        <w:tc>
          <w:tcPr>
            <w:tcW w:w="9356" w:type="dxa"/>
            <w:gridSpan w:val="3"/>
            <w:noWrap/>
            <w:tcMar>
              <w:left w:w="0" w:type="dxa"/>
              <w:right w:w="0" w:type="dxa"/>
            </w:tcMar>
            <w:vAlign w:val="bottom"/>
          </w:tcPr>
          <w:p w:rsidR="008B2CC1" w:rsidRPr="00967DFD" w:rsidRDefault="008B2CC1" w:rsidP="0046793F">
            <w:pPr>
              <w:jc w:val="right"/>
              <w:rPr>
                <w:rFonts w:ascii="Arial Black" w:hAnsi="Arial Black"/>
                <w:caps/>
                <w:sz w:val="15"/>
              </w:rPr>
            </w:pPr>
            <w:r w:rsidRPr="00967DFD">
              <w:rPr>
                <w:rFonts w:ascii="Arial Black" w:hAnsi="Arial Black"/>
                <w:caps/>
                <w:sz w:val="15"/>
              </w:rPr>
              <w:t>ORIGINAL:</w:t>
            </w:r>
            <w:r w:rsidR="00464C10" w:rsidRPr="00967DFD">
              <w:rPr>
                <w:rFonts w:ascii="Arial Black" w:hAnsi="Arial Black"/>
                <w:caps/>
                <w:sz w:val="15"/>
              </w:rPr>
              <w:t xml:space="preserve"> </w:t>
            </w:r>
            <w:bookmarkStart w:id="1" w:name="Original"/>
            <w:bookmarkEnd w:id="1"/>
            <w:r w:rsidR="00E83C82" w:rsidRPr="00967DFD">
              <w:rPr>
                <w:rFonts w:ascii="Arial Black" w:hAnsi="Arial Black"/>
                <w:caps/>
                <w:sz w:val="15"/>
              </w:rPr>
              <w:t>INGLÉS</w:t>
            </w:r>
            <w:r w:rsidRPr="00967DFD">
              <w:rPr>
                <w:rFonts w:ascii="Arial Black" w:hAnsi="Arial Black"/>
                <w:caps/>
                <w:sz w:val="15"/>
              </w:rPr>
              <w:t xml:space="preserve"> </w:t>
            </w:r>
          </w:p>
        </w:tc>
      </w:tr>
      <w:tr w:rsidR="008B2CC1" w:rsidRPr="00967DFD" w:rsidTr="00AB613D">
        <w:trPr>
          <w:trHeight w:hRule="exact" w:val="198"/>
        </w:trPr>
        <w:tc>
          <w:tcPr>
            <w:tcW w:w="9356" w:type="dxa"/>
            <w:gridSpan w:val="3"/>
            <w:tcMar>
              <w:left w:w="0" w:type="dxa"/>
              <w:right w:w="0" w:type="dxa"/>
            </w:tcMar>
            <w:vAlign w:val="bottom"/>
          </w:tcPr>
          <w:p w:rsidR="008B2CC1" w:rsidRPr="00967DFD" w:rsidRDefault="00675021" w:rsidP="005960C4">
            <w:pPr>
              <w:jc w:val="right"/>
              <w:rPr>
                <w:rFonts w:ascii="Arial Black" w:hAnsi="Arial Black"/>
                <w:caps/>
                <w:sz w:val="15"/>
              </w:rPr>
            </w:pPr>
            <w:r w:rsidRPr="00967DFD">
              <w:rPr>
                <w:rFonts w:ascii="Arial Black" w:hAnsi="Arial Black"/>
                <w:caps/>
                <w:sz w:val="15"/>
              </w:rPr>
              <w:t>fecha</w:t>
            </w:r>
            <w:r w:rsidR="008B2CC1" w:rsidRPr="00967DFD">
              <w:rPr>
                <w:rFonts w:ascii="Arial Black" w:hAnsi="Arial Black"/>
                <w:caps/>
                <w:sz w:val="15"/>
              </w:rPr>
              <w:t>:</w:t>
            </w:r>
            <w:r w:rsidR="00464C10" w:rsidRPr="00967DFD">
              <w:rPr>
                <w:rFonts w:ascii="Arial Black" w:hAnsi="Arial Black"/>
                <w:caps/>
                <w:sz w:val="15"/>
              </w:rPr>
              <w:t xml:space="preserve"> </w:t>
            </w:r>
            <w:bookmarkStart w:id="2" w:name="Date"/>
            <w:bookmarkEnd w:id="2"/>
            <w:r w:rsidR="005960C4">
              <w:rPr>
                <w:rFonts w:ascii="Arial Black" w:hAnsi="Arial Black"/>
                <w:caps/>
                <w:sz w:val="15"/>
              </w:rPr>
              <w:t>3</w:t>
            </w:r>
            <w:r w:rsidR="00E83C82" w:rsidRPr="00967DFD">
              <w:rPr>
                <w:rFonts w:ascii="Arial Black" w:hAnsi="Arial Black"/>
                <w:caps/>
                <w:sz w:val="15"/>
              </w:rPr>
              <w:t xml:space="preserve"> DE JU</w:t>
            </w:r>
            <w:r w:rsidR="005960C4">
              <w:rPr>
                <w:rFonts w:ascii="Arial Black" w:hAnsi="Arial Black"/>
                <w:caps/>
                <w:sz w:val="15"/>
              </w:rPr>
              <w:t>L</w:t>
            </w:r>
            <w:r w:rsidR="00E83C82" w:rsidRPr="00967DFD">
              <w:rPr>
                <w:rFonts w:ascii="Arial Black" w:hAnsi="Arial Black"/>
                <w:caps/>
                <w:sz w:val="15"/>
              </w:rPr>
              <w:t>IO DE 2018</w:t>
            </w:r>
            <w:r w:rsidR="008B2CC1" w:rsidRPr="00967DFD">
              <w:rPr>
                <w:rFonts w:ascii="Arial Black" w:hAnsi="Arial Black"/>
                <w:caps/>
                <w:sz w:val="15"/>
              </w:rPr>
              <w:t xml:space="preserve"> </w:t>
            </w:r>
          </w:p>
        </w:tc>
      </w:tr>
    </w:tbl>
    <w:p w:rsidR="00E83C82" w:rsidRPr="00967DFD" w:rsidRDefault="00E83C82" w:rsidP="008B2CC1"/>
    <w:p w:rsidR="00E83C82" w:rsidRPr="00967DFD" w:rsidRDefault="00E83C82" w:rsidP="008B2CC1"/>
    <w:p w:rsidR="00E83C82" w:rsidRPr="00967DFD" w:rsidRDefault="00E83C82" w:rsidP="008B2CC1"/>
    <w:p w:rsidR="00E83C82" w:rsidRPr="00967DFD" w:rsidRDefault="00E83C82" w:rsidP="008B2CC1"/>
    <w:p w:rsidR="00E83C82" w:rsidRPr="00967DFD" w:rsidRDefault="00E83C82" w:rsidP="008B2CC1"/>
    <w:p w:rsidR="00464C10" w:rsidRPr="00967DFD" w:rsidRDefault="003501FE" w:rsidP="00B67CDC">
      <w:pPr>
        <w:rPr>
          <w:b/>
          <w:sz w:val="28"/>
          <w:szCs w:val="28"/>
        </w:rPr>
      </w:pPr>
      <w:r w:rsidRPr="00967DFD">
        <w:rPr>
          <w:b/>
          <w:sz w:val="28"/>
          <w:szCs w:val="28"/>
        </w:rPr>
        <w:t>Grupo de Trabajo sobre el Desarrollo Jurídico del Sistema de La Haya para el Registro Internacional de Dibujos y Modelos Industriales</w:t>
      </w:r>
    </w:p>
    <w:p w:rsidR="00E83C82" w:rsidRPr="00967DFD" w:rsidRDefault="00E83C82" w:rsidP="003845C1"/>
    <w:p w:rsidR="00E83C82" w:rsidRPr="00967DFD" w:rsidRDefault="00E83C82" w:rsidP="003845C1"/>
    <w:p w:rsidR="00E83C82" w:rsidRPr="00967DFD" w:rsidRDefault="003501FE" w:rsidP="003501FE">
      <w:pPr>
        <w:rPr>
          <w:b/>
          <w:sz w:val="24"/>
          <w:szCs w:val="24"/>
        </w:rPr>
      </w:pPr>
      <w:r w:rsidRPr="00967DFD">
        <w:rPr>
          <w:b/>
          <w:sz w:val="24"/>
          <w:szCs w:val="24"/>
        </w:rPr>
        <w:t>Séptima reunión</w:t>
      </w:r>
    </w:p>
    <w:p w:rsidR="00E83C82" w:rsidRPr="00967DFD" w:rsidRDefault="003501FE" w:rsidP="003501FE">
      <w:pPr>
        <w:rPr>
          <w:b/>
          <w:sz w:val="24"/>
          <w:szCs w:val="24"/>
        </w:rPr>
      </w:pPr>
      <w:r w:rsidRPr="00967DFD">
        <w:rPr>
          <w:b/>
          <w:sz w:val="24"/>
          <w:szCs w:val="24"/>
        </w:rPr>
        <w:t>Ginebra, 16 a 18 de julio de 2018</w:t>
      </w:r>
    </w:p>
    <w:p w:rsidR="00E83C82" w:rsidRPr="00967DFD" w:rsidRDefault="00E83C82" w:rsidP="00594B8F">
      <w:pPr>
        <w:spacing w:before="1080"/>
        <w:rPr>
          <w:caps/>
          <w:sz w:val="24"/>
        </w:rPr>
      </w:pPr>
      <w:bookmarkStart w:id="3" w:name="TitleOfDoc"/>
      <w:bookmarkEnd w:id="3"/>
      <w:r w:rsidRPr="00967DFD">
        <w:rPr>
          <w:caps/>
          <w:color w:val="000000"/>
          <w:sz w:val="24"/>
        </w:rPr>
        <w:t>PUBLICACIÓN DEL BOLETÍN DE DIBUJOS Y MODELOS INTERNACIONALES MEDIANTE LA BASE MUNDIAL DE DATOS SOBRE DIBUJOS Y MODELOS</w:t>
      </w:r>
    </w:p>
    <w:p w:rsidR="00E83C82" w:rsidRPr="00967DFD" w:rsidRDefault="00E83C82" w:rsidP="00E83C82">
      <w:pPr>
        <w:spacing w:before="240" w:after="1200"/>
        <w:rPr>
          <w:i/>
        </w:rPr>
      </w:pPr>
      <w:r w:rsidRPr="00967DFD">
        <w:rPr>
          <w:i/>
          <w:color w:val="000000"/>
        </w:rPr>
        <w:t xml:space="preserve">Documento </w:t>
      </w:r>
      <w:r w:rsidRPr="00967DFD">
        <w:rPr>
          <w:i/>
        </w:rPr>
        <w:t>preparado por la Oficina Internacional</w:t>
      </w:r>
    </w:p>
    <w:p w:rsidR="00E83C82" w:rsidRPr="00967DFD" w:rsidRDefault="00594B8F" w:rsidP="00594B8F">
      <w:pPr>
        <w:pStyle w:val="Heading1"/>
        <w:keepNext w:val="0"/>
        <w:spacing w:after="200"/>
      </w:pPr>
      <w:r w:rsidRPr="00967DFD">
        <w:t>I.</w:t>
      </w:r>
      <w:r w:rsidRPr="00967DFD">
        <w:tab/>
      </w:r>
      <w:r w:rsidR="00E83C82" w:rsidRPr="00967DFD">
        <w:rPr>
          <w:color w:val="000000"/>
        </w:rPr>
        <w:t>RESUMEN</w:t>
      </w:r>
    </w:p>
    <w:p w:rsidR="00E83C82" w:rsidRPr="00967DFD" w:rsidRDefault="00F52432" w:rsidP="00594B8F">
      <w:pPr>
        <w:pStyle w:val="ONUME"/>
        <w:rPr>
          <w:lang w:eastAsia="en-US"/>
        </w:rPr>
      </w:pPr>
      <w:r w:rsidRPr="00967DFD">
        <w:rPr>
          <w:lang w:eastAsia="en-US"/>
        </w:rPr>
        <w:t>En el marco del Sistema de La Haya, la Oficina Internacional “publica” datos relativos a los registros internacionales y otro</w:t>
      </w:r>
      <w:r w:rsidR="003A0113" w:rsidRPr="00967DFD">
        <w:rPr>
          <w:lang w:eastAsia="en-US"/>
        </w:rPr>
        <w:t xml:space="preserve"> tipo de</w:t>
      </w:r>
      <w:r w:rsidRPr="00967DFD">
        <w:rPr>
          <w:lang w:eastAsia="en-US"/>
        </w:rPr>
        <w:t xml:space="preserve"> datos </w:t>
      </w:r>
      <w:r w:rsidR="00590EBD" w:rsidRPr="00967DFD">
        <w:rPr>
          <w:lang w:eastAsia="en-US"/>
        </w:rPr>
        <w:t xml:space="preserve">pertinentes </w:t>
      </w:r>
      <w:r w:rsidRPr="00967DFD">
        <w:rPr>
          <w:lang w:eastAsia="en-US"/>
        </w:rPr>
        <w:t xml:space="preserve">en el </w:t>
      </w:r>
      <w:r w:rsidRPr="00354472">
        <w:rPr>
          <w:i/>
          <w:lang w:eastAsia="en-US"/>
        </w:rPr>
        <w:t>Boletín de Dibujos y Modelos Internacionales</w:t>
      </w:r>
      <w:r w:rsidRPr="00967DFD">
        <w:rPr>
          <w:lang w:eastAsia="en-US"/>
        </w:rPr>
        <w:t xml:space="preserve"> (en lo sucesivo, el “Boletín”), conforme a la Regla 26 del Reglamento Común del Acta de 1999 y del Acta de 1960 del Arreglo de La Haya</w:t>
      </w:r>
      <w:r w:rsidR="00E83C82" w:rsidRPr="00967DFD">
        <w:rPr>
          <w:lang w:eastAsia="en-US"/>
        </w:rPr>
        <w:t xml:space="preserve"> (</w:t>
      </w:r>
      <w:r w:rsidRPr="00967DFD">
        <w:rPr>
          <w:lang w:eastAsia="en-US"/>
        </w:rPr>
        <w:t xml:space="preserve">en lo sucesivo, el </w:t>
      </w:r>
      <w:r w:rsidR="00E83C82" w:rsidRPr="00967DFD">
        <w:rPr>
          <w:lang w:eastAsia="en-US"/>
        </w:rPr>
        <w:t>“</w:t>
      </w:r>
      <w:r w:rsidRPr="00967DFD">
        <w:rPr>
          <w:lang w:eastAsia="en-US"/>
        </w:rPr>
        <w:t>Reglamento Común</w:t>
      </w:r>
      <w:r w:rsidR="00E83C82" w:rsidRPr="00967DFD">
        <w:rPr>
          <w:lang w:eastAsia="en-US"/>
        </w:rPr>
        <w:t>”)</w:t>
      </w:r>
      <w:r w:rsidR="00E83C82" w:rsidRPr="00967DFD">
        <w:rPr>
          <w:rStyle w:val="FootnoteReference"/>
          <w:lang w:eastAsia="en-US"/>
        </w:rPr>
        <w:footnoteReference w:id="2"/>
      </w:r>
      <w:r w:rsidR="00354472">
        <w:rPr>
          <w:lang w:eastAsia="en-US"/>
        </w:rPr>
        <w:t>.</w:t>
      </w:r>
    </w:p>
    <w:p w:rsidR="00E83C82" w:rsidRPr="00967DFD" w:rsidRDefault="00F52432" w:rsidP="00594B8F">
      <w:pPr>
        <w:pStyle w:val="ONUME"/>
        <w:rPr>
          <w:lang w:eastAsia="en-US"/>
        </w:rPr>
      </w:pPr>
      <w:r w:rsidRPr="00967DFD">
        <w:rPr>
          <w:lang w:eastAsia="en-US"/>
        </w:rPr>
        <w:t xml:space="preserve">En el presente documento se exponen los planes para llevar a cabo la publicación del Boletín mediante la Base Mundial de Datos sobre Dibujos y Modelos a fin de </w:t>
      </w:r>
      <w:r w:rsidR="00914A0E" w:rsidRPr="00967DFD">
        <w:rPr>
          <w:lang w:eastAsia="en-US"/>
        </w:rPr>
        <w:t>simplificar</w:t>
      </w:r>
      <w:r w:rsidRPr="00967DFD">
        <w:rPr>
          <w:lang w:eastAsia="en-US"/>
        </w:rPr>
        <w:t xml:space="preserve"> la difusión de datos sobre registros internacionales en virtud del Sistema de La Haya</w:t>
      </w:r>
      <w:r w:rsidR="00E83C82" w:rsidRPr="00967DFD">
        <w:rPr>
          <w:rStyle w:val="FootnoteReference"/>
          <w:lang w:eastAsia="en-US"/>
        </w:rPr>
        <w:footnoteReference w:id="3"/>
      </w:r>
      <w:r w:rsidR="00354472">
        <w:rPr>
          <w:lang w:eastAsia="en-US"/>
        </w:rPr>
        <w:t>.</w:t>
      </w:r>
    </w:p>
    <w:p w:rsidR="00E83C82" w:rsidRPr="00967DFD" w:rsidRDefault="00E83C82" w:rsidP="00CB5084">
      <w:pPr>
        <w:pStyle w:val="Heading1"/>
        <w:keepNext w:val="0"/>
        <w:spacing w:before="480" w:after="200"/>
      </w:pPr>
      <w:r w:rsidRPr="00967DFD">
        <w:t>II.</w:t>
      </w:r>
      <w:r w:rsidRPr="00967DFD">
        <w:tab/>
        <w:t>interfaces</w:t>
      </w:r>
      <w:r w:rsidR="00F52432" w:rsidRPr="00967DFD">
        <w:t xml:space="preserve"> actuales</w:t>
      </w:r>
    </w:p>
    <w:p w:rsidR="00E83C82" w:rsidRPr="00967DFD" w:rsidRDefault="002B7F91" w:rsidP="00594B8F">
      <w:pPr>
        <w:pStyle w:val="ONUME"/>
        <w:rPr>
          <w:lang w:eastAsia="en-US"/>
        </w:rPr>
      </w:pPr>
      <w:r w:rsidRPr="00967DFD">
        <w:rPr>
          <w:lang w:eastAsia="en-US"/>
        </w:rPr>
        <w:t>Actualmente hay tres tipos de interfaces disponibles en el sitio web de la Organización Mundial de la Propiedad Intelectual</w:t>
      </w:r>
      <w:r w:rsidR="00E83C82" w:rsidRPr="00967DFD">
        <w:rPr>
          <w:lang w:eastAsia="en-US"/>
        </w:rPr>
        <w:t xml:space="preserve"> (</w:t>
      </w:r>
      <w:r w:rsidRPr="00967DFD">
        <w:rPr>
          <w:lang w:eastAsia="en-US"/>
        </w:rPr>
        <w:t>OMPI</w:t>
      </w:r>
      <w:r w:rsidR="00E83C82" w:rsidRPr="00967DFD">
        <w:rPr>
          <w:lang w:eastAsia="en-US"/>
        </w:rPr>
        <w:t>)</w:t>
      </w:r>
      <w:r w:rsidRPr="00967DFD">
        <w:rPr>
          <w:lang w:eastAsia="en-US"/>
        </w:rPr>
        <w:t xml:space="preserve"> que suministran datos relativos a los registros internacionales en virtud del Sistema de La Haya</w:t>
      </w:r>
      <w:proofErr w:type="gramStart"/>
      <w:r w:rsidRPr="00967DFD">
        <w:rPr>
          <w:lang w:eastAsia="en-US"/>
        </w:rPr>
        <w:t>:</w:t>
      </w:r>
      <w:r w:rsidR="00354472">
        <w:rPr>
          <w:lang w:eastAsia="en-US"/>
        </w:rPr>
        <w:t xml:space="preserve"> </w:t>
      </w:r>
      <w:r w:rsidRPr="00967DFD">
        <w:rPr>
          <w:lang w:eastAsia="en-US"/>
        </w:rPr>
        <w:t xml:space="preserve"> el</w:t>
      </w:r>
      <w:proofErr w:type="gramEnd"/>
      <w:r w:rsidRPr="00967DFD">
        <w:rPr>
          <w:lang w:eastAsia="en-US"/>
        </w:rPr>
        <w:t xml:space="preserve"> Boletín, la base de datos Hague Express y la Base Mundial de Datos </w:t>
      </w:r>
      <w:r w:rsidR="002A2371" w:rsidRPr="00967DFD">
        <w:rPr>
          <w:lang w:eastAsia="en-US"/>
        </w:rPr>
        <w:t>sobre</w:t>
      </w:r>
      <w:r w:rsidRPr="00967DFD">
        <w:rPr>
          <w:lang w:eastAsia="en-US"/>
        </w:rPr>
        <w:t xml:space="preserve"> Dibujos y Modelos.</w:t>
      </w:r>
    </w:p>
    <w:p w:rsidR="00E83C82" w:rsidRPr="00967DFD" w:rsidRDefault="002B7F91" w:rsidP="00594B8F">
      <w:pPr>
        <w:pStyle w:val="Heading2"/>
        <w:keepNext w:val="0"/>
        <w:spacing w:after="200"/>
        <w:rPr>
          <w:lang w:eastAsia="en-US"/>
        </w:rPr>
      </w:pPr>
      <w:r w:rsidRPr="00967DFD">
        <w:rPr>
          <w:color w:val="000000"/>
          <w:lang w:eastAsia="en-US"/>
        </w:rPr>
        <w:lastRenderedPageBreak/>
        <w:t>EL B</w:t>
      </w:r>
      <w:r w:rsidR="00E83C82" w:rsidRPr="00967DFD">
        <w:rPr>
          <w:color w:val="000000"/>
          <w:lang w:eastAsia="en-US"/>
        </w:rPr>
        <w:t>OLETÍN</w:t>
      </w:r>
    </w:p>
    <w:p w:rsidR="00E83C82" w:rsidRPr="00967DFD" w:rsidRDefault="002B7F91" w:rsidP="00594B8F">
      <w:pPr>
        <w:pStyle w:val="ONUME"/>
        <w:autoSpaceDE w:val="0"/>
        <w:autoSpaceDN w:val="0"/>
        <w:adjustRightInd w:val="0"/>
        <w:rPr>
          <w:szCs w:val="22"/>
          <w:lang w:eastAsia="en-US"/>
        </w:rPr>
      </w:pPr>
      <w:r w:rsidRPr="00967DFD">
        <w:rPr>
          <w:szCs w:val="22"/>
          <w:lang w:eastAsia="en-US"/>
        </w:rPr>
        <w:t>El Artículo 10.3)a) del Acta de 1999 establece que “La Oficina Internacional publicará el registro internacional</w:t>
      </w:r>
      <w:r w:rsidR="00073180">
        <w:rPr>
          <w:szCs w:val="22"/>
          <w:lang w:eastAsia="en-US"/>
        </w:rPr>
        <w:t xml:space="preserve">.  </w:t>
      </w:r>
      <w:r w:rsidRPr="00967DFD">
        <w:rPr>
          <w:szCs w:val="22"/>
          <w:lang w:eastAsia="en-US"/>
        </w:rPr>
        <w:t>Se estimará que dicha publicación constituye publicidad suficiente en todas las Partes Contratantes y que el titular no deberá efectuar otra publicidad”.</w:t>
      </w:r>
      <w:r w:rsidR="00354472">
        <w:rPr>
          <w:szCs w:val="22"/>
          <w:lang w:eastAsia="en-US"/>
        </w:rPr>
        <w:t xml:space="preserve"> </w:t>
      </w:r>
      <w:r w:rsidRPr="00967DFD">
        <w:rPr>
          <w:szCs w:val="22"/>
          <w:lang w:eastAsia="en-US"/>
        </w:rPr>
        <w:t xml:space="preserve"> El Artíc</w:t>
      </w:r>
      <w:r w:rsidR="00594B8F" w:rsidRPr="00967DFD">
        <w:rPr>
          <w:szCs w:val="22"/>
          <w:lang w:eastAsia="en-US"/>
        </w:rPr>
        <w:t>ulo </w:t>
      </w:r>
      <w:r w:rsidRPr="00967DFD">
        <w:rPr>
          <w:szCs w:val="22"/>
          <w:lang w:eastAsia="en-US"/>
        </w:rPr>
        <w:t>6.3)a) del Acta de 1960 establece que “Por cada depósito internacional, la Oficina Internacional publicará en un boletín periódico […]”</w:t>
      </w:r>
      <w:r w:rsidR="00E83C82" w:rsidRPr="00967DFD">
        <w:rPr>
          <w:szCs w:val="22"/>
          <w:lang w:eastAsia="en-US"/>
        </w:rPr>
        <w:t>.</w:t>
      </w:r>
    </w:p>
    <w:p w:rsidR="00E83C82" w:rsidRPr="00967DFD" w:rsidRDefault="002B7F91" w:rsidP="00594B8F">
      <w:pPr>
        <w:pStyle w:val="ONUME"/>
        <w:autoSpaceDE w:val="0"/>
        <w:autoSpaceDN w:val="0"/>
        <w:adjustRightInd w:val="0"/>
        <w:rPr>
          <w:szCs w:val="22"/>
          <w:lang w:eastAsia="en-US"/>
        </w:rPr>
      </w:pPr>
      <w:r w:rsidRPr="00967DFD">
        <w:rPr>
          <w:lang w:eastAsia="en-US"/>
        </w:rPr>
        <w:t>Además, la Regla</w:t>
      </w:r>
      <w:r w:rsidR="00E83C82" w:rsidRPr="00967DFD">
        <w:rPr>
          <w:lang w:eastAsia="en-US"/>
        </w:rPr>
        <w:t xml:space="preserve"> 26</w:t>
      </w:r>
      <w:r w:rsidRPr="00967DFD">
        <w:rPr>
          <w:lang w:eastAsia="en-US"/>
        </w:rPr>
        <w:t>.</w:t>
      </w:r>
      <w:r w:rsidR="00E83C82" w:rsidRPr="00967DFD">
        <w:rPr>
          <w:lang w:eastAsia="en-US"/>
        </w:rPr>
        <w:t xml:space="preserve">3) </w:t>
      </w:r>
      <w:r w:rsidRPr="00967DFD">
        <w:rPr>
          <w:lang w:eastAsia="en-US"/>
        </w:rPr>
        <w:t>establece que</w:t>
      </w:r>
      <w:r w:rsidR="00E83C82" w:rsidRPr="00967DFD">
        <w:rPr>
          <w:lang w:eastAsia="en-US"/>
        </w:rPr>
        <w:t xml:space="preserve"> </w:t>
      </w:r>
      <w:r w:rsidR="00E83C82" w:rsidRPr="00967DFD">
        <w:rPr>
          <w:szCs w:val="22"/>
          <w:lang w:eastAsia="en-US"/>
        </w:rPr>
        <w:t>“</w:t>
      </w:r>
      <w:r w:rsidR="00C877A4" w:rsidRPr="00967DFD">
        <w:rPr>
          <w:szCs w:val="22"/>
          <w:lang w:eastAsia="en-US"/>
        </w:rPr>
        <w:t>La publicación de cada número del Boletín sustituirá su envío, del que se hace mención en el Artículo 10.3)b) y 16.4) del Acta de 1999 y en el Artículo 6.3)b) del Acta de 1960, y, a los fines del Artículo 8.2) del Acta de 1960, cada Oficina considerará haber recibido el número del Boletín en la fecha de su publicación en el sitio web de la Organización</w:t>
      </w:r>
      <w:r w:rsidR="00E83C82" w:rsidRPr="00967DFD">
        <w:rPr>
          <w:szCs w:val="22"/>
          <w:lang w:eastAsia="en-US"/>
        </w:rPr>
        <w:t>”.</w:t>
      </w:r>
    </w:p>
    <w:p w:rsidR="00E83C82" w:rsidRPr="00967DFD" w:rsidRDefault="00C877A4" w:rsidP="00594B8F">
      <w:pPr>
        <w:pStyle w:val="ONUME"/>
        <w:autoSpaceDE w:val="0"/>
        <w:autoSpaceDN w:val="0"/>
        <w:adjustRightInd w:val="0"/>
        <w:rPr>
          <w:szCs w:val="22"/>
          <w:lang w:eastAsia="en-US"/>
        </w:rPr>
      </w:pPr>
      <w:r w:rsidRPr="00967DFD">
        <w:rPr>
          <w:szCs w:val="22"/>
          <w:lang w:eastAsia="en-US"/>
        </w:rPr>
        <w:t xml:space="preserve">Así, el Boletín cumple dos funciones fundamentales de carácter jurídico y práctico; en el primer caso, la </w:t>
      </w:r>
      <w:r w:rsidR="00CB47CF" w:rsidRPr="00967DFD">
        <w:rPr>
          <w:i/>
          <w:szCs w:val="22"/>
          <w:lang w:eastAsia="en-US"/>
        </w:rPr>
        <w:t>publicidad</w:t>
      </w:r>
      <w:r w:rsidRPr="00967DFD">
        <w:rPr>
          <w:szCs w:val="22"/>
          <w:lang w:eastAsia="en-US"/>
        </w:rPr>
        <w:t xml:space="preserve"> de registros internacionales </w:t>
      </w:r>
      <w:r w:rsidR="00FA3CCC" w:rsidRPr="00967DFD">
        <w:rPr>
          <w:szCs w:val="22"/>
          <w:lang w:eastAsia="en-US"/>
        </w:rPr>
        <w:t>y otr</w:t>
      </w:r>
      <w:r w:rsidR="00914A0E" w:rsidRPr="00967DFD">
        <w:rPr>
          <w:szCs w:val="22"/>
          <w:lang w:eastAsia="en-US"/>
        </w:rPr>
        <w:t>o</w:t>
      </w:r>
      <w:r w:rsidR="003A0113" w:rsidRPr="00967DFD">
        <w:rPr>
          <w:szCs w:val="22"/>
          <w:lang w:eastAsia="en-US"/>
        </w:rPr>
        <w:t xml:space="preserve"> tipo de inscripciones</w:t>
      </w:r>
      <w:r w:rsidR="00FA3CCC" w:rsidRPr="00967DFD">
        <w:rPr>
          <w:szCs w:val="22"/>
          <w:lang w:eastAsia="en-US"/>
        </w:rPr>
        <w:t xml:space="preserve"> pertinentes en las Partes Contratantes designadas, y en el segundo caso, la </w:t>
      </w:r>
      <w:r w:rsidR="00FA3CCC" w:rsidRPr="00967DFD">
        <w:rPr>
          <w:i/>
          <w:szCs w:val="22"/>
          <w:lang w:eastAsia="en-US"/>
        </w:rPr>
        <w:t xml:space="preserve">notificación </w:t>
      </w:r>
      <w:r w:rsidR="00CB47CF" w:rsidRPr="00967DFD">
        <w:rPr>
          <w:szCs w:val="22"/>
          <w:lang w:eastAsia="en-US"/>
        </w:rPr>
        <w:t>relativa</w:t>
      </w:r>
      <w:r w:rsidR="00914A0E" w:rsidRPr="00967DFD">
        <w:rPr>
          <w:szCs w:val="22"/>
          <w:lang w:eastAsia="en-US"/>
        </w:rPr>
        <w:t xml:space="preserve"> a</w:t>
      </w:r>
      <w:r w:rsidR="00FA3CCC" w:rsidRPr="00967DFD">
        <w:rPr>
          <w:szCs w:val="22"/>
          <w:lang w:eastAsia="en-US"/>
        </w:rPr>
        <w:t xml:space="preserve"> registros internacionales y </w:t>
      </w:r>
      <w:r w:rsidR="003A0113" w:rsidRPr="00967DFD">
        <w:rPr>
          <w:szCs w:val="22"/>
          <w:lang w:eastAsia="en-US"/>
        </w:rPr>
        <w:t>otro tipo de inscripciones</w:t>
      </w:r>
      <w:r w:rsidR="00FA3CCC" w:rsidRPr="00967DFD">
        <w:rPr>
          <w:szCs w:val="22"/>
          <w:lang w:eastAsia="en-US"/>
        </w:rPr>
        <w:t xml:space="preserve"> pertinentes a sus Oficinas. </w:t>
      </w:r>
      <w:r w:rsidR="00354472">
        <w:rPr>
          <w:szCs w:val="22"/>
          <w:lang w:eastAsia="en-US"/>
        </w:rPr>
        <w:t xml:space="preserve"> </w:t>
      </w:r>
      <w:r w:rsidR="00FA3CCC" w:rsidRPr="00967DFD">
        <w:rPr>
          <w:szCs w:val="22"/>
          <w:lang w:eastAsia="en-US"/>
        </w:rPr>
        <w:t xml:space="preserve">Actualmente, el Boletín se publica </w:t>
      </w:r>
      <w:r w:rsidR="003A0113" w:rsidRPr="00967DFD">
        <w:rPr>
          <w:szCs w:val="22"/>
          <w:lang w:eastAsia="en-US"/>
        </w:rPr>
        <w:t xml:space="preserve">semanalmente </w:t>
      </w:r>
      <w:r w:rsidR="00FA3CCC" w:rsidRPr="00967DFD">
        <w:rPr>
          <w:szCs w:val="22"/>
          <w:lang w:eastAsia="en-US"/>
        </w:rPr>
        <w:t>en el sitio web de la OMPI</w:t>
      </w:r>
      <w:r w:rsidR="00073180">
        <w:rPr>
          <w:szCs w:val="22"/>
          <w:lang w:eastAsia="en-US"/>
        </w:rPr>
        <w:t xml:space="preserve">.  </w:t>
      </w:r>
      <w:r w:rsidR="00FA3CCC" w:rsidRPr="00967DFD">
        <w:rPr>
          <w:szCs w:val="22"/>
          <w:lang w:eastAsia="en-US"/>
        </w:rPr>
        <w:t xml:space="preserve">Las Oficinas pueden consultar los datos </w:t>
      </w:r>
      <w:r w:rsidR="00D42CA6" w:rsidRPr="00967DFD">
        <w:rPr>
          <w:szCs w:val="22"/>
          <w:lang w:eastAsia="en-US"/>
        </w:rPr>
        <w:t>sin elaborar</w:t>
      </w:r>
      <w:r w:rsidR="00FA3CCC" w:rsidRPr="00967DFD">
        <w:rPr>
          <w:szCs w:val="22"/>
          <w:lang w:eastAsia="en-US"/>
        </w:rPr>
        <w:t xml:space="preserve"> (XML) del Boletín en sus respectivos sistemas de TI.</w:t>
      </w:r>
    </w:p>
    <w:p w:rsidR="00E83C82" w:rsidRPr="00967DFD" w:rsidRDefault="00E83C82" w:rsidP="00CB5084">
      <w:pPr>
        <w:pStyle w:val="Heading2"/>
        <w:keepNext w:val="0"/>
        <w:spacing w:before="480" w:after="200"/>
        <w:rPr>
          <w:lang w:eastAsia="en-US"/>
        </w:rPr>
      </w:pPr>
      <w:r w:rsidRPr="00967DFD">
        <w:rPr>
          <w:lang w:eastAsia="en-US"/>
        </w:rPr>
        <w:t>HAGUE EXPRESS</w:t>
      </w:r>
    </w:p>
    <w:p w:rsidR="00E83C82" w:rsidRPr="00967DFD" w:rsidRDefault="00FA3CCC" w:rsidP="00594B8F">
      <w:pPr>
        <w:pStyle w:val="ONUME"/>
        <w:rPr>
          <w:lang w:eastAsia="en-US"/>
        </w:rPr>
      </w:pPr>
      <w:r w:rsidRPr="00967DFD">
        <w:t xml:space="preserve">La base de datos </w:t>
      </w:r>
      <w:r w:rsidR="00E83C82" w:rsidRPr="00967DFD">
        <w:t xml:space="preserve">Hague Express </w:t>
      </w:r>
      <w:r w:rsidRPr="00967DFD">
        <w:t>puede consultarse en el sitio web de la OMPI desde febrero de 2001</w:t>
      </w:r>
      <w:r w:rsidRPr="00967DFD">
        <w:rPr>
          <w:rStyle w:val="FootnoteReference"/>
        </w:rPr>
        <w:footnoteReference w:id="4"/>
      </w:r>
      <w:r w:rsidRPr="00967DFD">
        <w:t xml:space="preserve"> y se actualiza semanalmente. </w:t>
      </w:r>
      <w:r w:rsidR="00354472">
        <w:t xml:space="preserve"> </w:t>
      </w:r>
      <w:r w:rsidRPr="00967DFD">
        <w:t xml:space="preserve">Es una herramienta de búsqueda que permite consultar la situación </w:t>
      </w:r>
      <w:r w:rsidR="002A2371" w:rsidRPr="00967DFD">
        <w:t>vigente</w:t>
      </w:r>
      <w:r w:rsidRPr="00967DFD">
        <w:t xml:space="preserve"> de un registro internacional y todas las entradas anteriores relativas al mismo.</w:t>
      </w:r>
      <w:r w:rsidR="002A2371" w:rsidRPr="00967DFD">
        <w:t xml:space="preserve"> </w:t>
      </w:r>
      <w:r w:rsidR="00354472">
        <w:t xml:space="preserve"> </w:t>
      </w:r>
      <w:r w:rsidR="002A2371" w:rsidRPr="00967DFD">
        <w:t xml:space="preserve">El mantenimiento técnico de su interfaz se efectúa mediante la Base Mundial de Datos sobre Dibujos y Modelos desde que </w:t>
      </w:r>
      <w:r w:rsidR="00D42CA6" w:rsidRPr="00967DFD">
        <w:t xml:space="preserve">ésta </w:t>
      </w:r>
      <w:r w:rsidR="002A2371" w:rsidRPr="00967DFD">
        <w:t xml:space="preserve">se puso en </w:t>
      </w:r>
      <w:r w:rsidR="00CB47CF" w:rsidRPr="00967DFD">
        <w:t>funcionamiento</w:t>
      </w:r>
      <w:r w:rsidR="00E83C82" w:rsidRPr="00967DFD">
        <w:t>.</w:t>
      </w:r>
    </w:p>
    <w:p w:rsidR="00E83C82" w:rsidRPr="00967DFD" w:rsidRDefault="00E83C82" w:rsidP="00CB5084">
      <w:pPr>
        <w:pStyle w:val="Heading2"/>
        <w:keepNext w:val="0"/>
        <w:spacing w:before="480" w:after="200"/>
        <w:rPr>
          <w:lang w:eastAsia="en-US"/>
        </w:rPr>
      </w:pPr>
      <w:r w:rsidRPr="00967DFD">
        <w:rPr>
          <w:lang w:eastAsia="en-US"/>
        </w:rPr>
        <w:t>B</w:t>
      </w:r>
      <w:r w:rsidRPr="00967DFD">
        <w:rPr>
          <w:color w:val="000000"/>
          <w:lang w:eastAsia="en-US"/>
        </w:rPr>
        <w:t>ASE MUNDIAL DE DATOS SOBRE DIBUJOS Y MODELOS</w:t>
      </w:r>
    </w:p>
    <w:p w:rsidR="00E83C82" w:rsidRPr="00967DFD" w:rsidRDefault="002A2371" w:rsidP="00594B8F">
      <w:pPr>
        <w:pStyle w:val="ONUME"/>
        <w:rPr>
          <w:lang w:eastAsia="en-US"/>
        </w:rPr>
      </w:pPr>
      <w:r w:rsidRPr="00967DFD">
        <w:rPr>
          <w:lang w:eastAsia="en-US"/>
        </w:rPr>
        <w:t>La Base Mundial de Datos sobre Dibujos y Modelos puede consultarse en el sitio web de la OMPI desde enero de 2015</w:t>
      </w:r>
      <w:r w:rsidR="00073180">
        <w:rPr>
          <w:lang w:eastAsia="en-US"/>
        </w:rPr>
        <w:t xml:space="preserve">.  </w:t>
      </w:r>
      <w:r w:rsidRPr="00967DFD">
        <w:rPr>
          <w:lang w:eastAsia="en-US"/>
        </w:rPr>
        <w:t>Mediante su interfaz, pueden efectuarse búsquedas simultáneas en los registros internacionales inscritos en virtud del Sistema de La Haya y en registros de dibujos y modelos industriales o patentes concedidas en virtud de sistemas nacionales o regionales</w:t>
      </w:r>
      <w:r w:rsidR="00E83C82" w:rsidRPr="00967DFD">
        <w:rPr>
          <w:lang w:eastAsia="en-US"/>
        </w:rPr>
        <w:t>.</w:t>
      </w:r>
    </w:p>
    <w:p w:rsidR="00E83C82" w:rsidRPr="00967DFD" w:rsidRDefault="002A2371" w:rsidP="00594B8F">
      <w:pPr>
        <w:pStyle w:val="ONUME"/>
        <w:rPr>
          <w:lang w:eastAsia="en-US"/>
        </w:rPr>
      </w:pPr>
      <w:r w:rsidRPr="00967DFD">
        <w:rPr>
          <w:lang w:eastAsia="en-US"/>
        </w:rPr>
        <w:t xml:space="preserve">En el momento </w:t>
      </w:r>
      <w:r w:rsidR="007E0445" w:rsidRPr="00967DFD">
        <w:rPr>
          <w:lang w:eastAsia="en-US"/>
        </w:rPr>
        <w:t>de redactar</w:t>
      </w:r>
      <w:r w:rsidRPr="00967DFD">
        <w:rPr>
          <w:lang w:eastAsia="en-US"/>
        </w:rPr>
        <w:t xml:space="preserve"> el presente documento, </w:t>
      </w:r>
      <w:r w:rsidR="000719A8" w:rsidRPr="00967DFD">
        <w:rPr>
          <w:lang w:eastAsia="en-US"/>
        </w:rPr>
        <w:t>la base contiene</w:t>
      </w:r>
      <w:r w:rsidRPr="00967DFD">
        <w:rPr>
          <w:lang w:eastAsia="en-US"/>
        </w:rPr>
        <w:t xml:space="preserve"> datos nacionales sobre dibujos y modelos del Canadá, </w:t>
      </w:r>
      <w:r w:rsidR="000719A8" w:rsidRPr="00967DFD">
        <w:rPr>
          <w:lang w:eastAsia="en-US"/>
        </w:rPr>
        <w:t xml:space="preserve">España, Estados Unidos de América, </w:t>
      </w:r>
      <w:r w:rsidRPr="00967DFD">
        <w:rPr>
          <w:lang w:eastAsia="en-US"/>
        </w:rPr>
        <w:t>Francia, Indonesia, Japón, Jordania, Mongolia</w:t>
      </w:r>
      <w:r w:rsidR="000719A8" w:rsidRPr="00967DFD">
        <w:rPr>
          <w:lang w:eastAsia="en-US"/>
        </w:rPr>
        <w:t xml:space="preserve"> y</w:t>
      </w:r>
      <w:r w:rsidRPr="00967DFD">
        <w:rPr>
          <w:lang w:eastAsia="en-US"/>
        </w:rPr>
        <w:t xml:space="preserve"> Nueva Zelandia</w:t>
      </w:r>
      <w:r w:rsidR="000719A8" w:rsidRPr="00967DFD">
        <w:rPr>
          <w:lang w:eastAsia="en-US"/>
        </w:rPr>
        <w:t xml:space="preserve">. </w:t>
      </w:r>
      <w:r w:rsidR="00354472">
        <w:rPr>
          <w:lang w:eastAsia="en-US"/>
        </w:rPr>
        <w:t xml:space="preserve"> </w:t>
      </w:r>
      <w:r w:rsidR="000719A8" w:rsidRPr="00967DFD">
        <w:rPr>
          <w:lang w:eastAsia="en-US"/>
        </w:rPr>
        <w:t>Abarca más de 2,9 millones de registros de dibujos y modelos y patentes de diseños, nacionales e internacionales, y sigue ampliándose el número de países de que se tienen datos</w:t>
      </w:r>
      <w:r w:rsidR="00E83C82" w:rsidRPr="00967DFD">
        <w:rPr>
          <w:rStyle w:val="FootnoteReference"/>
          <w:lang w:eastAsia="en-US"/>
        </w:rPr>
        <w:footnoteReference w:id="5"/>
      </w:r>
      <w:r w:rsidR="00354472">
        <w:rPr>
          <w:lang w:eastAsia="en-US"/>
        </w:rPr>
        <w:t>.</w:t>
      </w:r>
    </w:p>
    <w:p w:rsidR="00354472" w:rsidRDefault="00354472">
      <w:pPr>
        <w:rPr>
          <w:b/>
          <w:bCs/>
          <w:caps/>
          <w:kern w:val="32"/>
          <w:szCs w:val="32"/>
        </w:rPr>
      </w:pPr>
      <w:r>
        <w:br w:type="page"/>
      </w:r>
    </w:p>
    <w:p w:rsidR="00E83C82" w:rsidRPr="00967DFD" w:rsidRDefault="00E83C82" w:rsidP="00594B8F">
      <w:pPr>
        <w:pStyle w:val="Heading1"/>
        <w:keepNext w:val="0"/>
        <w:spacing w:before="360" w:after="200"/>
      </w:pPr>
      <w:r w:rsidRPr="00967DFD">
        <w:lastRenderedPageBreak/>
        <w:t>III.</w:t>
      </w:r>
      <w:r w:rsidRPr="00967DFD">
        <w:tab/>
        <w:t>PLAN</w:t>
      </w:r>
    </w:p>
    <w:p w:rsidR="00E83C82" w:rsidRPr="00967DFD" w:rsidRDefault="003C79A8" w:rsidP="00594B8F">
      <w:pPr>
        <w:pStyle w:val="Heading2"/>
        <w:keepNext w:val="0"/>
        <w:spacing w:after="200"/>
        <w:rPr>
          <w:lang w:eastAsia="en-US"/>
        </w:rPr>
      </w:pPr>
      <w:r w:rsidRPr="00967DFD">
        <w:rPr>
          <w:lang w:eastAsia="en-US"/>
        </w:rPr>
        <w:t>OBJETIVO Y RESEÑA</w:t>
      </w:r>
    </w:p>
    <w:p w:rsidR="00E83C82" w:rsidRPr="00967DFD" w:rsidRDefault="00685758" w:rsidP="00594B8F">
      <w:pPr>
        <w:pStyle w:val="ONUME"/>
        <w:rPr>
          <w:lang w:eastAsia="en-US"/>
        </w:rPr>
      </w:pPr>
      <w:r w:rsidRPr="00967DFD">
        <w:rPr>
          <w:lang w:eastAsia="en-US"/>
        </w:rPr>
        <w:t xml:space="preserve">El Boletín es la publicación oficial de </w:t>
      </w:r>
      <w:r w:rsidR="00D42CA6" w:rsidRPr="00967DFD">
        <w:rPr>
          <w:lang w:eastAsia="en-US"/>
        </w:rPr>
        <w:t>datos relativos a</w:t>
      </w:r>
      <w:r w:rsidRPr="00967DFD">
        <w:rPr>
          <w:lang w:eastAsia="en-US"/>
        </w:rPr>
        <w:t xml:space="preserve"> registros internacionales y otros datos pertinentes inscritos en el Sistema de La Haya. </w:t>
      </w:r>
      <w:r w:rsidR="00073180">
        <w:rPr>
          <w:lang w:eastAsia="en-US"/>
        </w:rPr>
        <w:t xml:space="preserve"> </w:t>
      </w:r>
      <w:r w:rsidRPr="00967DFD">
        <w:rPr>
          <w:lang w:eastAsia="en-US"/>
        </w:rPr>
        <w:t>Sin embargo, cada número del Boletín constituye un producto independiente, es decir que cada transacción (por ejemplo,</w:t>
      </w:r>
      <w:r w:rsidR="00914A0E" w:rsidRPr="00967DFD">
        <w:rPr>
          <w:lang w:eastAsia="en-US"/>
        </w:rPr>
        <w:t xml:space="preserve"> un</w:t>
      </w:r>
      <w:r w:rsidRPr="00967DFD">
        <w:rPr>
          <w:lang w:eastAsia="en-US"/>
        </w:rPr>
        <w:t xml:space="preserve"> registro internacional, </w:t>
      </w:r>
      <w:r w:rsidR="00914A0E" w:rsidRPr="00967DFD">
        <w:rPr>
          <w:lang w:eastAsia="en-US"/>
        </w:rPr>
        <w:t xml:space="preserve">una </w:t>
      </w:r>
      <w:r w:rsidRPr="00967DFD">
        <w:rPr>
          <w:lang w:eastAsia="en-US"/>
        </w:rPr>
        <w:t>denegación</w:t>
      </w:r>
      <w:r w:rsidR="00914A0E" w:rsidRPr="00967DFD">
        <w:rPr>
          <w:lang w:eastAsia="en-US"/>
        </w:rPr>
        <w:t xml:space="preserve"> o una</w:t>
      </w:r>
      <w:r w:rsidRPr="00967DFD">
        <w:rPr>
          <w:lang w:eastAsia="en-US"/>
        </w:rPr>
        <w:t xml:space="preserve"> renovación) que se publique en un número determinado no figura ni puede buscarse en ningún otro número</w:t>
      </w:r>
      <w:r w:rsidR="00E83C82" w:rsidRPr="00967DFD">
        <w:t>.</w:t>
      </w:r>
    </w:p>
    <w:p w:rsidR="00E83C82" w:rsidRPr="00967DFD" w:rsidRDefault="002C63A8" w:rsidP="00594B8F">
      <w:pPr>
        <w:pStyle w:val="ONUME"/>
        <w:rPr>
          <w:lang w:eastAsia="en-US"/>
        </w:rPr>
      </w:pPr>
      <w:r w:rsidRPr="00967DFD">
        <w:rPr>
          <w:lang w:eastAsia="en-US"/>
        </w:rPr>
        <w:t xml:space="preserve">Por otra parte, tanto Hague Express como la Base Mundial de Datos sobre Dibujos y Modelos son potentes herramientas de búsqueda </w:t>
      </w:r>
      <w:r w:rsidR="00914A0E" w:rsidRPr="00967DFD">
        <w:rPr>
          <w:lang w:eastAsia="en-US"/>
        </w:rPr>
        <w:t xml:space="preserve">que </w:t>
      </w:r>
      <w:r w:rsidRPr="00967DFD">
        <w:rPr>
          <w:lang w:eastAsia="en-US"/>
        </w:rPr>
        <w:t>contienen los apartados “Situación actual”, en que se ofrece un resumen actualizado del registro internacional, e “Historial”, en que se enumeran y presentan detalladamente todas las transacciones publicadas en el Boletín</w:t>
      </w:r>
      <w:r w:rsidR="00073180">
        <w:rPr>
          <w:lang w:eastAsia="en-US"/>
        </w:rPr>
        <w:t xml:space="preserve">.  </w:t>
      </w:r>
      <w:r w:rsidRPr="00967DFD">
        <w:rPr>
          <w:lang w:eastAsia="en-US"/>
        </w:rPr>
        <w:t xml:space="preserve">Ambas bases de datos utilizan la misma plataforma y el mismo conjunto de datos. </w:t>
      </w:r>
      <w:r w:rsidR="00073180">
        <w:rPr>
          <w:lang w:eastAsia="en-US"/>
        </w:rPr>
        <w:t xml:space="preserve"> </w:t>
      </w:r>
      <w:r w:rsidRPr="00967DFD">
        <w:rPr>
          <w:lang w:eastAsia="en-US"/>
        </w:rPr>
        <w:t xml:space="preserve">Es decir que la última incorpora enteramente a la primera. </w:t>
      </w:r>
      <w:r w:rsidR="00073180">
        <w:rPr>
          <w:lang w:eastAsia="en-US"/>
        </w:rPr>
        <w:t xml:space="preserve"> </w:t>
      </w:r>
      <w:r w:rsidRPr="00967DFD">
        <w:rPr>
          <w:lang w:eastAsia="en-US"/>
        </w:rPr>
        <w:t xml:space="preserve">Hague Express </w:t>
      </w:r>
      <w:r w:rsidR="00925205" w:rsidRPr="00967DFD">
        <w:rPr>
          <w:lang w:eastAsia="en-US"/>
        </w:rPr>
        <w:t>es, simplemente, una interfaz especializada que da acceso exclusivamente a datos relativos a registros internacionales en el marco del Sistema de La</w:t>
      </w:r>
      <w:r w:rsidR="00073180">
        <w:rPr>
          <w:lang w:eastAsia="en-US"/>
        </w:rPr>
        <w:t> </w:t>
      </w:r>
      <w:r w:rsidR="00925205" w:rsidRPr="00967DFD">
        <w:rPr>
          <w:lang w:eastAsia="en-US"/>
        </w:rPr>
        <w:t>Haya</w:t>
      </w:r>
      <w:r w:rsidR="00E83C82" w:rsidRPr="00967DFD">
        <w:t>.</w:t>
      </w:r>
    </w:p>
    <w:p w:rsidR="00E83C82" w:rsidRPr="00967DFD" w:rsidRDefault="00925205" w:rsidP="00594B8F">
      <w:pPr>
        <w:pStyle w:val="ONUME"/>
        <w:rPr>
          <w:lang w:eastAsia="en-US"/>
        </w:rPr>
      </w:pPr>
      <w:r w:rsidRPr="00967DFD">
        <w:rPr>
          <w:lang w:eastAsia="en-US"/>
        </w:rPr>
        <w:t xml:space="preserve">Con objeto de aumentar la utilidad de la información que se publica en el Boletín y de </w:t>
      </w:r>
      <w:r w:rsidR="007911DB" w:rsidRPr="00967DFD">
        <w:rPr>
          <w:lang w:eastAsia="en-US"/>
        </w:rPr>
        <w:t>simplificar</w:t>
      </w:r>
      <w:r w:rsidRPr="00967DFD">
        <w:rPr>
          <w:lang w:eastAsia="en-US"/>
        </w:rPr>
        <w:t xml:space="preserve"> la base de datos disponible en el sitio web de la OMPI sobre dibujos y modelos industriales, está previsto sintetizar estos tres productos de difusión de datos en uno solo, la Base Mundial de Datos sobre Dibujos y Modelos. </w:t>
      </w:r>
      <w:r w:rsidR="00073180">
        <w:rPr>
          <w:lang w:eastAsia="en-US"/>
        </w:rPr>
        <w:t xml:space="preserve"> </w:t>
      </w:r>
      <w:r w:rsidRPr="00967DFD">
        <w:rPr>
          <w:lang w:eastAsia="en-US"/>
        </w:rPr>
        <w:t>En consecuencia, los registros internacionales y otr</w:t>
      </w:r>
      <w:r w:rsidR="003A0113" w:rsidRPr="00967DFD">
        <w:rPr>
          <w:lang w:eastAsia="en-US"/>
        </w:rPr>
        <w:t>o tipo de</w:t>
      </w:r>
      <w:r w:rsidRPr="00967DFD">
        <w:rPr>
          <w:lang w:eastAsia="en-US"/>
        </w:rPr>
        <w:t xml:space="preserve"> inscripciones pertinentes se “publicarán” mediante dicha base de datos</w:t>
      </w:r>
      <w:r w:rsidR="00E83C82" w:rsidRPr="00967DFD">
        <w:rPr>
          <w:rStyle w:val="FootnoteReference"/>
          <w:lang w:eastAsia="en-US"/>
        </w:rPr>
        <w:footnoteReference w:id="6"/>
      </w:r>
      <w:r w:rsidR="00073180">
        <w:rPr>
          <w:lang w:eastAsia="en-US"/>
        </w:rPr>
        <w:t>.</w:t>
      </w:r>
    </w:p>
    <w:p w:rsidR="00E83C82" w:rsidRPr="00967DFD" w:rsidRDefault="008D141A" w:rsidP="00594B8F">
      <w:pPr>
        <w:pStyle w:val="ONUME"/>
        <w:rPr>
          <w:lang w:eastAsia="en-US"/>
        </w:rPr>
      </w:pPr>
      <w:r w:rsidRPr="00967DFD">
        <w:rPr>
          <w:lang w:eastAsia="en-US"/>
        </w:rPr>
        <w:t>Concretamente, con arreglo al plan actual, la búsqueda por número de boletín podrá efectuarse mediante una pestaña específica, “Búsqueda por”, habilitada en la interfaz de la Base Mundial de Datos sobre Dibujos y Modelos</w:t>
      </w:r>
      <w:r w:rsidRPr="00967DFD">
        <w:rPr>
          <w:rStyle w:val="FootnoteReference"/>
          <w:lang w:eastAsia="en-US"/>
        </w:rPr>
        <w:footnoteReference w:id="7"/>
      </w:r>
      <w:r w:rsidR="00073180">
        <w:rPr>
          <w:lang w:eastAsia="en-US"/>
        </w:rPr>
        <w:t xml:space="preserve">. </w:t>
      </w:r>
      <w:r w:rsidR="00E566EE" w:rsidRPr="00967DFD">
        <w:rPr>
          <w:lang w:eastAsia="en-US"/>
        </w:rPr>
        <w:t xml:space="preserve"> Análogamente, también será posible buscar un </w:t>
      </w:r>
      <w:r w:rsidR="00FB507B" w:rsidRPr="00967DFD">
        <w:rPr>
          <w:lang w:eastAsia="en-US"/>
        </w:rPr>
        <w:t>boletín por t</w:t>
      </w:r>
      <w:r w:rsidR="00E566EE" w:rsidRPr="00967DFD">
        <w:rPr>
          <w:lang w:eastAsia="en-US"/>
        </w:rPr>
        <w:t xml:space="preserve">ipo de </w:t>
      </w:r>
      <w:r w:rsidR="00FB507B" w:rsidRPr="00967DFD">
        <w:rPr>
          <w:lang w:eastAsia="en-US"/>
        </w:rPr>
        <w:t>t</w:t>
      </w:r>
      <w:r w:rsidR="00E566EE" w:rsidRPr="00967DFD">
        <w:rPr>
          <w:lang w:eastAsia="en-US"/>
        </w:rPr>
        <w:t>ransacción mediante una pestaña específica</w:t>
      </w:r>
      <w:r w:rsidR="00643AAA" w:rsidRPr="00967DFD">
        <w:rPr>
          <w:lang w:eastAsia="en-US"/>
        </w:rPr>
        <w:t>,</w:t>
      </w:r>
      <w:r w:rsidR="00E566EE" w:rsidRPr="00967DFD">
        <w:rPr>
          <w:lang w:eastAsia="en-US"/>
        </w:rPr>
        <w:t xml:space="preserve"> “Filtrar por”</w:t>
      </w:r>
      <w:r w:rsidR="005C7D45" w:rsidRPr="00967DFD">
        <w:rPr>
          <w:lang w:eastAsia="en-US"/>
        </w:rPr>
        <w:t>,</w:t>
      </w:r>
      <w:r w:rsidR="00E566EE" w:rsidRPr="00967DFD">
        <w:rPr>
          <w:lang w:eastAsia="en-US"/>
        </w:rPr>
        <w:t xml:space="preserve"> disponible en la misma interfaz.</w:t>
      </w:r>
    </w:p>
    <w:p w:rsidR="00E83C82" w:rsidRPr="00967DFD" w:rsidRDefault="003C79A8" w:rsidP="00CB5084">
      <w:pPr>
        <w:pStyle w:val="Heading2"/>
        <w:keepNext w:val="0"/>
        <w:spacing w:before="480" w:after="200"/>
        <w:rPr>
          <w:lang w:eastAsia="en-US"/>
        </w:rPr>
      </w:pPr>
      <w:r w:rsidRPr="00967DFD">
        <w:rPr>
          <w:lang w:eastAsia="en-US"/>
        </w:rPr>
        <w:t>CONSECUENCIAS PRÁCTICAS Y VENTAJAS</w:t>
      </w:r>
    </w:p>
    <w:p w:rsidR="00E83C82" w:rsidRPr="00967DFD" w:rsidRDefault="004A44CC" w:rsidP="00594B8F">
      <w:pPr>
        <w:pStyle w:val="ONUME"/>
        <w:rPr>
          <w:lang w:eastAsia="en-US"/>
        </w:rPr>
      </w:pPr>
      <w:r w:rsidRPr="00967DFD">
        <w:rPr>
          <w:lang w:eastAsia="en-US"/>
        </w:rPr>
        <w:t xml:space="preserve">Con respecto a las Oficinas que consultan el Boletín mediante la interfaz disponible en el sitio web de la OMPI, en particular, a los fines del examen sustantivo, </w:t>
      </w:r>
      <w:r w:rsidR="00643AAA" w:rsidRPr="00967DFD">
        <w:rPr>
          <w:lang w:eastAsia="en-US"/>
        </w:rPr>
        <w:t xml:space="preserve">se transferirán </w:t>
      </w:r>
      <w:r w:rsidRPr="00967DFD">
        <w:rPr>
          <w:lang w:eastAsia="en-US"/>
        </w:rPr>
        <w:t>los criterios y</w:t>
      </w:r>
      <w:r w:rsidR="00FB507B" w:rsidRPr="00967DFD">
        <w:rPr>
          <w:lang w:eastAsia="en-US"/>
        </w:rPr>
        <w:t xml:space="preserve"> las</w:t>
      </w:r>
      <w:r w:rsidRPr="00967DFD">
        <w:rPr>
          <w:lang w:eastAsia="en-US"/>
        </w:rPr>
        <w:t xml:space="preserve"> características de las funciones de búsqueda </w:t>
      </w:r>
      <w:r w:rsidR="00643AAA" w:rsidRPr="00967DFD">
        <w:rPr>
          <w:lang w:eastAsia="en-US"/>
        </w:rPr>
        <w:t xml:space="preserve">actualmente </w:t>
      </w:r>
      <w:r w:rsidRPr="00967DFD">
        <w:rPr>
          <w:lang w:eastAsia="en-US"/>
        </w:rPr>
        <w:t xml:space="preserve">vigentes. </w:t>
      </w:r>
      <w:r w:rsidR="00073180">
        <w:rPr>
          <w:lang w:eastAsia="en-US"/>
        </w:rPr>
        <w:t xml:space="preserve"> </w:t>
      </w:r>
      <w:r w:rsidRPr="00967DFD">
        <w:rPr>
          <w:lang w:eastAsia="en-US"/>
        </w:rPr>
        <w:t>Además, las funciones de búsqueda disponibles en la Base Mundial de Datos Sobre Dibujos y Modelos mejorarán los recursos que ofrece el Boletín</w:t>
      </w:r>
      <w:r w:rsidR="00E83C82" w:rsidRPr="00967DFD">
        <w:rPr>
          <w:lang w:eastAsia="en-US"/>
        </w:rPr>
        <w:t>.</w:t>
      </w:r>
    </w:p>
    <w:p w:rsidR="00E83C82" w:rsidRPr="00967DFD" w:rsidRDefault="00594FEA" w:rsidP="00594B8F">
      <w:pPr>
        <w:pStyle w:val="ONUME"/>
        <w:rPr>
          <w:lang w:eastAsia="en-US"/>
        </w:rPr>
      </w:pPr>
      <w:r w:rsidRPr="00967DFD">
        <w:rPr>
          <w:lang w:eastAsia="en-US"/>
        </w:rPr>
        <w:t xml:space="preserve">Por ejemplo, actualmente, el Boletín solo permite efectuar búsquedas de registros internacionales número por número y capítulo por capítulo. </w:t>
      </w:r>
      <w:r w:rsidR="00073180">
        <w:rPr>
          <w:lang w:eastAsia="en-US"/>
        </w:rPr>
        <w:t xml:space="preserve"> </w:t>
      </w:r>
      <w:r w:rsidRPr="00967DFD">
        <w:rPr>
          <w:lang w:eastAsia="en-US"/>
        </w:rPr>
        <w:t xml:space="preserve">No permite buscar un registro internacional en diversos números del Boletín o diversos capítulos de un determinado número. </w:t>
      </w:r>
      <w:r w:rsidR="00073180">
        <w:rPr>
          <w:lang w:eastAsia="en-US"/>
        </w:rPr>
        <w:t xml:space="preserve"> </w:t>
      </w:r>
      <w:r w:rsidRPr="00967DFD">
        <w:rPr>
          <w:lang w:eastAsia="en-US"/>
        </w:rPr>
        <w:t>La Base Mundial de Datos sobre Dibujos y Modelos posibilitará ese tipo de búsqueda.</w:t>
      </w:r>
    </w:p>
    <w:p w:rsidR="00CB5084" w:rsidRDefault="00CB5084">
      <w:pPr>
        <w:rPr>
          <w:lang w:eastAsia="en-US"/>
        </w:rPr>
      </w:pPr>
      <w:r>
        <w:rPr>
          <w:lang w:eastAsia="en-US"/>
        </w:rPr>
        <w:br w:type="page"/>
      </w:r>
    </w:p>
    <w:p w:rsidR="00E83C82" w:rsidRPr="00967DFD" w:rsidRDefault="008D4532" w:rsidP="00594B8F">
      <w:pPr>
        <w:pStyle w:val="ONUME"/>
        <w:rPr>
          <w:lang w:eastAsia="en-US"/>
        </w:rPr>
      </w:pPr>
      <w:r w:rsidRPr="00967DFD">
        <w:rPr>
          <w:lang w:eastAsia="en-US"/>
        </w:rPr>
        <w:lastRenderedPageBreak/>
        <w:t xml:space="preserve">No habrá repercusión en las Oficinas que incorporan datos publicados en el Boletín descargándolos del servidor SFTP (protocolo seguro de transferencia de archivos) de la Oficina Internacional (difusión de datos en XML). </w:t>
      </w:r>
      <w:r w:rsidR="00073180">
        <w:rPr>
          <w:lang w:eastAsia="en-US"/>
        </w:rPr>
        <w:t xml:space="preserve"> </w:t>
      </w:r>
      <w:r w:rsidRPr="00967DFD">
        <w:rPr>
          <w:lang w:eastAsia="en-US"/>
        </w:rPr>
        <w:t>Tampoco habrá incidencia en el calendario de actualizaciones, que actualmente está fijado los viernes a las 12.00 horas (hora de Ginebra)</w:t>
      </w:r>
      <w:r w:rsidR="00E83C82" w:rsidRPr="00967DFD">
        <w:rPr>
          <w:lang w:eastAsia="en-US"/>
        </w:rPr>
        <w:t>.</w:t>
      </w:r>
    </w:p>
    <w:p w:rsidR="00E83C82" w:rsidRPr="00967DFD" w:rsidRDefault="00E83C82" w:rsidP="00CB5084">
      <w:pPr>
        <w:pStyle w:val="Heading1"/>
        <w:keepNext w:val="0"/>
        <w:spacing w:before="480" w:after="200"/>
      </w:pPr>
      <w:r w:rsidRPr="00967DFD">
        <w:t>IV.</w:t>
      </w:r>
      <w:r w:rsidRPr="00967DFD">
        <w:tab/>
        <w:t>considera</w:t>
      </w:r>
      <w:r w:rsidR="003C79A8" w:rsidRPr="00967DFD">
        <w:t>CIONES</w:t>
      </w:r>
    </w:p>
    <w:p w:rsidR="00E83C82" w:rsidRPr="00967DFD" w:rsidRDefault="000C30B9" w:rsidP="00594B8F">
      <w:pPr>
        <w:pStyle w:val="ONUME"/>
        <w:rPr>
          <w:szCs w:val="22"/>
          <w:lang w:eastAsia="en-US"/>
        </w:rPr>
      </w:pPr>
      <w:r w:rsidRPr="00967DFD">
        <w:rPr>
          <w:szCs w:val="22"/>
          <w:lang w:eastAsia="en-US"/>
        </w:rPr>
        <w:t xml:space="preserve">El término “Boletín” no figura en el Acta de 1999, y en los Artículos </w:t>
      </w:r>
      <w:r w:rsidRPr="00967DFD">
        <w:rPr>
          <w:lang w:eastAsia="en-US"/>
        </w:rPr>
        <w:t xml:space="preserve">6.3), 8.2) y 17 del </w:t>
      </w:r>
      <w:r w:rsidR="0052029D" w:rsidRPr="00967DFD">
        <w:rPr>
          <w:lang w:eastAsia="en-US"/>
        </w:rPr>
        <w:t>Acta de </w:t>
      </w:r>
      <w:r w:rsidRPr="00967DFD">
        <w:rPr>
          <w:lang w:eastAsia="en-US"/>
        </w:rPr>
        <w:t>1960 se menciona simplemente la publicación de un “boletín perió</w:t>
      </w:r>
      <w:r w:rsidR="0052029D" w:rsidRPr="00967DFD">
        <w:rPr>
          <w:lang w:eastAsia="en-US"/>
        </w:rPr>
        <w:t>dico”</w:t>
      </w:r>
      <w:r w:rsidR="00073180">
        <w:rPr>
          <w:lang w:eastAsia="en-US"/>
        </w:rPr>
        <w:t xml:space="preserve">.  </w:t>
      </w:r>
      <w:r w:rsidR="0052029D" w:rsidRPr="00967DFD">
        <w:rPr>
          <w:lang w:eastAsia="en-US"/>
        </w:rPr>
        <w:t>Sin embargo, en la Regla </w:t>
      </w:r>
      <w:r w:rsidRPr="00967DFD">
        <w:rPr>
          <w:lang w:eastAsia="en-US"/>
        </w:rPr>
        <w:t>1.1)ix del Reglamento Común se establece que “</w:t>
      </w:r>
      <w:r w:rsidR="00FB507B" w:rsidRPr="00967DFD">
        <w:rPr>
          <w:lang w:eastAsia="en-US"/>
        </w:rPr>
        <w:t>[</w:t>
      </w:r>
      <w:r w:rsidRPr="00967DFD">
        <w:rPr>
          <w:lang w:eastAsia="en-US"/>
        </w:rPr>
        <w:t>s</w:t>
      </w:r>
      <w:r w:rsidR="00FB507B" w:rsidRPr="00967DFD">
        <w:rPr>
          <w:lang w:eastAsia="en-US"/>
        </w:rPr>
        <w:t>]</w:t>
      </w:r>
      <w:r w:rsidRPr="00967DFD">
        <w:rPr>
          <w:lang w:eastAsia="en-US"/>
        </w:rPr>
        <w:t>e entenderá por “Boletín” el Boletín periódico en el que la Oficina Internacional efectúa las publicaci</w:t>
      </w:r>
      <w:r w:rsidR="00594B8F" w:rsidRPr="00967DFD">
        <w:rPr>
          <w:lang w:eastAsia="en-US"/>
        </w:rPr>
        <w:t>ones previstas en el Acta de </w:t>
      </w:r>
      <w:r w:rsidRPr="00967DFD">
        <w:rPr>
          <w:lang w:eastAsia="en-US"/>
        </w:rPr>
        <w:t>1999, en Acta de 1960 o el presente Reglamento, en cualesquiera medios que se utilicen”</w:t>
      </w:r>
      <w:r w:rsidR="00073180">
        <w:rPr>
          <w:lang w:eastAsia="en-US"/>
        </w:rPr>
        <w:t xml:space="preserve">.  </w:t>
      </w:r>
      <w:r w:rsidRPr="00967DFD">
        <w:rPr>
          <w:lang w:eastAsia="en-US"/>
        </w:rPr>
        <w:t xml:space="preserve">El término “Boletín” figura en las Reglas </w:t>
      </w:r>
      <w:r w:rsidR="00E83C82" w:rsidRPr="00967DFD">
        <w:rPr>
          <w:szCs w:val="22"/>
          <w:lang w:eastAsia="en-US"/>
        </w:rPr>
        <w:t>1</w:t>
      </w:r>
      <w:r w:rsidRPr="00967DFD">
        <w:rPr>
          <w:szCs w:val="22"/>
          <w:lang w:eastAsia="en-US"/>
        </w:rPr>
        <w:t>.</w:t>
      </w:r>
      <w:r w:rsidR="00E83C82" w:rsidRPr="00967DFD">
        <w:rPr>
          <w:szCs w:val="22"/>
          <w:lang w:eastAsia="en-US"/>
        </w:rPr>
        <w:t>1), 6</w:t>
      </w:r>
      <w:r w:rsidRPr="00967DFD">
        <w:rPr>
          <w:szCs w:val="22"/>
          <w:lang w:eastAsia="en-US"/>
        </w:rPr>
        <w:t>.</w:t>
      </w:r>
      <w:r w:rsidR="00E83C82" w:rsidRPr="00967DFD">
        <w:rPr>
          <w:szCs w:val="22"/>
          <w:lang w:eastAsia="en-US"/>
        </w:rPr>
        <w:t>2), 17</w:t>
      </w:r>
      <w:r w:rsidRPr="00967DFD">
        <w:rPr>
          <w:szCs w:val="22"/>
          <w:lang w:eastAsia="en-US"/>
        </w:rPr>
        <w:t>.</w:t>
      </w:r>
      <w:r w:rsidR="00E83C82" w:rsidRPr="00967DFD">
        <w:rPr>
          <w:szCs w:val="22"/>
          <w:lang w:eastAsia="en-US"/>
        </w:rPr>
        <w:t xml:space="preserve">2) </w:t>
      </w:r>
      <w:r w:rsidRPr="00967DFD">
        <w:rPr>
          <w:szCs w:val="22"/>
          <w:lang w:eastAsia="en-US"/>
        </w:rPr>
        <w:t xml:space="preserve">y </w:t>
      </w:r>
      <w:r w:rsidR="00E83C82" w:rsidRPr="00967DFD">
        <w:rPr>
          <w:szCs w:val="22"/>
          <w:lang w:eastAsia="en-US"/>
        </w:rPr>
        <w:t>26</w:t>
      </w:r>
      <w:r w:rsidRPr="00967DFD">
        <w:rPr>
          <w:szCs w:val="22"/>
          <w:lang w:eastAsia="en-US"/>
        </w:rPr>
        <w:t>.</w:t>
      </w:r>
      <w:r w:rsidR="00E83C82" w:rsidRPr="00967DFD">
        <w:rPr>
          <w:szCs w:val="22"/>
          <w:lang w:eastAsia="en-US"/>
        </w:rPr>
        <w:t xml:space="preserve">1) </w:t>
      </w:r>
      <w:r w:rsidRPr="00967DFD">
        <w:rPr>
          <w:szCs w:val="22"/>
          <w:lang w:eastAsia="en-US"/>
        </w:rPr>
        <w:t>y</w:t>
      </w:r>
      <w:r w:rsidR="00E83C82" w:rsidRPr="00967DFD">
        <w:rPr>
          <w:szCs w:val="22"/>
          <w:lang w:eastAsia="en-US"/>
        </w:rPr>
        <w:t xml:space="preserve"> 3) </w:t>
      </w:r>
      <w:r w:rsidRPr="00967DFD">
        <w:rPr>
          <w:szCs w:val="22"/>
          <w:lang w:eastAsia="en-US"/>
        </w:rPr>
        <w:t>del Reglamento Común</w:t>
      </w:r>
      <w:r w:rsidR="00E83C82" w:rsidRPr="00967DFD">
        <w:rPr>
          <w:szCs w:val="22"/>
          <w:lang w:eastAsia="en-US"/>
        </w:rPr>
        <w:t>.</w:t>
      </w:r>
    </w:p>
    <w:p w:rsidR="00E83C82" w:rsidRPr="00967DFD" w:rsidRDefault="00327862" w:rsidP="00594B8F">
      <w:pPr>
        <w:pStyle w:val="ONUME"/>
        <w:rPr>
          <w:lang w:eastAsia="en-US"/>
        </w:rPr>
      </w:pPr>
      <w:r w:rsidRPr="00967DFD">
        <w:rPr>
          <w:lang w:eastAsia="en-US"/>
        </w:rPr>
        <w:t>La misma formulación que la de la Regla 1.1)ix) –salvo la referencia al Acta de 1960- figura en la Regla 1.2)vi) del proyecto de Reglamento de la nueva Acta del Arreglo de La Haya relativo al Registro Internacional de Dibujos y Modelos Industriales, presentado a la Conferencia Diplomática a los fines de la adopción de una nueva Acta del Arreglo de La Haya relativo al depósito internacional de dibujos o modelos industriales (Acta de Ginebra), celebrada del 16 de junio al 6 de julio de 1999</w:t>
      </w:r>
      <w:r w:rsidR="00E83C82" w:rsidRPr="00967DFD">
        <w:rPr>
          <w:rStyle w:val="FootnoteReference"/>
        </w:rPr>
        <w:footnoteReference w:id="8"/>
      </w:r>
      <w:r w:rsidR="00CB5084">
        <w:rPr>
          <w:lang w:eastAsia="en-US"/>
        </w:rPr>
        <w:t>.</w:t>
      </w:r>
    </w:p>
    <w:p w:rsidR="00E83C82" w:rsidRPr="00967DFD" w:rsidRDefault="00B2383A" w:rsidP="00594B8F">
      <w:pPr>
        <w:pStyle w:val="ONUME"/>
        <w:rPr>
          <w:lang w:eastAsia="en-US"/>
        </w:rPr>
      </w:pPr>
      <w:r w:rsidRPr="00967DFD">
        <w:rPr>
          <w:lang w:eastAsia="en-US"/>
        </w:rPr>
        <w:t>En las notas a la propuesta de Regla 1 se explica que la redacción de esa disposición se basa en la de la Instrucción 101.xii) de las Instrucciones Adminis</w:t>
      </w:r>
      <w:r w:rsidR="00594B8F" w:rsidRPr="00967DFD">
        <w:rPr>
          <w:lang w:eastAsia="en-US"/>
        </w:rPr>
        <w:t>trativas que entran en vigor el </w:t>
      </w:r>
      <w:r w:rsidRPr="00967DFD">
        <w:rPr>
          <w:lang w:eastAsia="en-US"/>
        </w:rPr>
        <w:t>1 de enero de 1999</w:t>
      </w:r>
      <w:r w:rsidR="00073180">
        <w:rPr>
          <w:lang w:eastAsia="en-US"/>
        </w:rPr>
        <w:t xml:space="preserve">.  </w:t>
      </w:r>
      <w:r w:rsidRPr="00967DFD">
        <w:rPr>
          <w:lang w:eastAsia="en-US"/>
        </w:rPr>
        <w:t>Abarca la posibilidad de una publicación electrónica del Boletín, así como de cualquier otro tipo de publicación que pueda resultar del desarrollo de nuevas tecnologías</w:t>
      </w:r>
      <w:r w:rsidRPr="00967DFD">
        <w:rPr>
          <w:rStyle w:val="FootnoteReference"/>
        </w:rPr>
        <w:footnoteReference w:id="9"/>
      </w:r>
      <w:r w:rsidR="00CB5084">
        <w:rPr>
          <w:lang w:eastAsia="en-US"/>
        </w:rPr>
        <w:t xml:space="preserve">. </w:t>
      </w:r>
      <w:r w:rsidRPr="00967DFD">
        <w:rPr>
          <w:lang w:eastAsia="en-US"/>
        </w:rPr>
        <w:t xml:space="preserve"> En consecuencia, los registros internacionales se publican en el sitio web de la OMPI desde abril de 2004, al mismo tiempo que</w:t>
      </w:r>
      <w:r w:rsidR="00FB507B" w:rsidRPr="00967DFD">
        <w:rPr>
          <w:lang w:eastAsia="en-US"/>
        </w:rPr>
        <w:t xml:space="preserve"> la entrada en vigor</w:t>
      </w:r>
      <w:r w:rsidRPr="00967DFD">
        <w:rPr>
          <w:lang w:eastAsia="en-US"/>
        </w:rPr>
        <w:t xml:space="preserve"> </w:t>
      </w:r>
      <w:r w:rsidR="00FB507B" w:rsidRPr="00967DFD">
        <w:rPr>
          <w:lang w:eastAsia="en-US"/>
        </w:rPr>
        <w:t>d</w:t>
      </w:r>
      <w:r w:rsidRPr="00967DFD">
        <w:rPr>
          <w:lang w:eastAsia="en-US"/>
        </w:rPr>
        <w:t>el Acta de 1999 y el Reglamento Común</w:t>
      </w:r>
      <w:r w:rsidR="00E83C82" w:rsidRPr="00967DFD">
        <w:rPr>
          <w:rStyle w:val="FootnoteReference"/>
        </w:rPr>
        <w:footnoteReference w:id="10"/>
      </w:r>
      <w:r w:rsidR="00CB5084">
        <w:rPr>
          <w:lang w:eastAsia="en-US"/>
        </w:rPr>
        <w:t>.</w:t>
      </w:r>
    </w:p>
    <w:p w:rsidR="00E83C82" w:rsidRPr="00967DFD" w:rsidRDefault="005472F1" w:rsidP="00594B8F">
      <w:pPr>
        <w:pStyle w:val="ONUME"/>
        <w:rPr>
          <w:lang w:eastAsia="en-US"/>
        </w:rPr>
      </w:pPr>
      <w:r w:rsidRPr="00967DFD">
        <w:rPr>
          <w:lang w:eastAsia="en-US"/>
        </w:rPr>
        <w:t xml:space="preserve">La publicación electrónica del Boletín prevista mediante la Base Mundial de Datos sobre Dibujos y Modelos </w:t>
      </w:r>
      <w:r w:rsidR="0015087D" w:rsidRPr="00967DFD">
        <w:rPr>
          <w:lang w:eastAsia="en-US"/>
        </w:rPr>
        <w:t>seguirá definiéndose conforme a la</w:t>
      </w:r>
      <w:r w:rsidRPr="00967DFD">
        <w:rPr>
          <w:lang w:eastAsia="en-US"/>
        </w:rPr>
        <w:t xml:space="preserve"> definición que figura en la Regla</w:t>
      </w:r>
      <w:r w:rsidR="00CB5084">
        <w:rPr>
          <w:lang w:eastAsia="en-US"/>
        </w:rPr>
        <w:t> </w:t>
      </w:r>
      <w:r w:rsidRPr="00967DFD">
        <w:rPr>
          <w:lang w:eastAsia="en-US"/>
        </w:rPr>
        <w:t>1.1</w:t>
      </w:r>
      <w:proofErr w:type="gramStart"/>
      <w:r w:rsidRPr="00967DFD">
        <w:rPr>
          <w:lang w:eastAsia="en-US"/>
        </w:rPr>
        <w:t>)ix</w:t>
      </w:r>
      <w:proofErr w:type="gramEnd"/>
      <w:r w:rsidR="00E83C82" w:rsidRPr="00967DFD">
        <w:rPr>
          <w:lang w:eastAsia="en-US"/>
        </w:rPr>
        <w:t>.</w:t>
      </w:r>
    </w:p>
    <w:p w:rsidR="00E83C82" w:rsidRPr="00967DFD" w:rsidRDefault="005472F1" w:rsidP="00594B8F">
      <w:pPr>
        <w:pStyle w:val="ONUME"/>
        <w:rPr>
          <w:lang w:eastAsia="en-US"/>
        </w:rPr>
      </w:pPr>
      <w:r w:rsidRPr="00967DFD">
        <w:rPr>
          <w:lang w:eastAsia="en-US"/>
        </w:rPr>
        <w:t xml:space="preserve">Por otra parte, la publicación de registros internacionales y </w:t>
      </w:r>
      <w:r w:rsidR="003A0113" w:rsidRPr="00967DFD">
        <w:rPr>
          <w:lang w:eastAsia="en-US"/>
        </w:rPr>
        <w:t>de otro tipo de inscripciones</w:t>
      </w:r>
      <w:r w:rsidRPr="00967DFD">
        <w:rPr>
          <w:lang w:eastAsia="en-US"/>
        </w:rPr>
        <w:t xml:space="preserve"> pertinentes por la Oficina Internacional tiene consecuencias jurídicas en cada Parte Contratante designada con arreglo a los Artículos </w:t>
      </w:r>
      <w:r w:rsidR="00E83C82" w:rsidRPr="00967DFD">
        <w:rPr>
          <w:lang w:eastAsia="en-US"/>
        </w:rPr>
        <w:t>10</w:t>
      </w:r>
      <w:r w:rsidRPr="00967DFD">
        <w:rPr>
          <w:lang w:eastAsia="en-US"/>
        </w:rPr>
        <w:t>.</w:t>
      </w:r>
      <w:r w:rsidR="00E83C82" w:rsidRPr="00967DFD">
        <w:rPr>
          <w:lang w:eastAsia="en-US"/>
        </w:rPr>
        <w:t>3), 12</w:t>
      </w:r>
      <w:r w:rsidRPr="00967DFD">
        <w:rPr>
          <w:lang w:eastAsia="en-US"/>
        </w:rPr>
        <w:t>.</w:t>
      </w:r>
      <w:r w:rsidR="00E83C82" w:rsidRPr="00967DFD">
        <w:rPr>
          <w:lang w:eastAsia="en-US"/>
        </w:rPr>
        <w:t>2), 14</w:t>
      </w:r>
      <w:r w:rsidRPr="00967DFD">
        <w:rPr>
          <w:lang w:eastAsia="en-US"/>
        </w:rPr>
        <w:t>.</w:t>
      </w:r>
      <w:r w:rsidR="00E83C82" w:rsidRPr="00967DFD">
        <w:rPr>
          <w:lang w:eastAsia="en-US"/>
        </w:rPr>
        <w:t xml:space="preserve">1) </w:t>
      </w:r>
      <w:r w:rsidRPr="00967DFD">
        <w:rPr>
          <w:lang w:eastAsia="en-US"/>
        </w:rPr>
        <w:t>y</w:t>
      </w:r>
      <w:r w:rsidR="00E83C82" w:rsidRPr="00967DFD">
        <w:rPr>
          <w:lang w:eastAsia="en-US"/>
        </w:rPr>
        <w:t> 2), 16</w:t>
      </w:r>
      <w:r w:rsidRPr="00967DFD">
        <w:rPr>
          <w:lang w:eastAsia="en-US"/>
        </w:rPr>
        <w:t>.</w:t>
      </w:r>
      <w:r w:rsidR="00E83C82" w:rsidRPr="00967DFD">
        <w:rPr>
          <w:lang w:eastAsia="en-US"/>
        </w:rPr>
        <w:t xml:space="preserve">4) </w:t>
      </w:r>
      <w:r w:rsidRPr="00967DFD">
        <w:rPr>
          <w:lang w:eastAsia="en-US"/>
        </w:rPr>
        <w:t>y</w:t>
      </w:r>
      <w:r w:rsidR="00E83C82" w:rsidRPr="00967DFD">
        <w:rPr>
          <w:lang w:eastAsia="en-US"/>
        </w:rPr>
        <w:t> 17</w:t>
      </w:r>
      <w:r w:rsidRPr="00967DFD">
        <w:rPr>
          <w:lang w:eastAsia="en-US"/>
        </w:rPr>
        <w:t>.</w:t>
      </w:r>
      <w:r w:rsidR="00E83C82" w:rsidRPr="00967DFD">
        <w:rPr>
          <w:lang w:eastAsia="en-US"/>
        </w:rPr>
        <w:t xml:space="preserve">5) </w:t>
      </w:r>
      <w:r w:rsidRPr="00967DFD">
        <w:rPr>
          <w:lang w:eastAsia="en-US"/>
        </w:rPr>
        <w:t xml:space="preserve">del Acta de </w:t>
      </w:r>
      <w:r w:rsidR="00E83C82" w:rsidRPr="00967DFD">
        <w:rPr>
          <w:lang w:eastAsia="en-US"/>
        </w:rPr>
        <w:t xml:space="preserve">1999 </w:t>
      </w:r>
      <w:r w:rsidRPr="00967DFD">
        <w:rPr>
          <w:lang w:eastAsia="en-US"/>
        </w:rPr>
        <w:t xml:space="preserve">y los </w:t>
      </w:r>
      <w:r w:rsidR="00E83C82" w:rsidRPr="00967DFD">
        <w:rPr>
          <w:lang w:eastAsia="en-US"/>
        </w:rPr>
        <w:t>A</w:t>
      </w:r>
      <w:r w:rsidRPr="00967DFD">
        <w:rPr>
          <w:lang w:eastAsia="en-US"/>
        </w:rPr>
        <w:t>rtículos 6.</w:t>
      </w:r>
      <w:r w:rsidR="00E83C82" w:rsidRPr="00967DFD">
        <w:rPr>
          <w:lang w:eastAsia="en-US"/>
        </w:rPr>
        <w:t>3), 8</w:t>
      </w:r>
      <w:r w:rsidRPr="00967DFD">
        <w:rPr>
          <w:lang w:eastAsia="en-US"/>
        </w:rPr>
        <w:t>.</w:t>
      </w:r>
      <w:r w:rsidR="00E83C82" w:rsidRPr="00967DFD">
        <w:rPr>
          <w:lang w:eastAsia="en-US"/>
        </w:rPr>
        <w:t xml:space="preserve">1) </w:t>
      </w:r>
      <w:r w:rsidRPr="00967DFD">
        <w:rPr>
          <w:lang w:eastAsia="en-US"/>
        </w:rPr>
        <w:t>y</w:t>
      </w:r>
      <w:r w:rsidR="00E83C82" w:rsidRPr="00967DFD">
        <w:rPr>
          <w:lang w:eastAsia="en-US"/>
        </w:rPr>
        <w:t> 2), 10</w:t>
      </w:r>
      <w:r w:rsidRPr="00967DFD">
        <w:rPr>
          <w:lang w:eastAsia="en-US"/>
        </w:rPr>
        <w:t>.</w:t>
      </w:r>
      <w:r w:rsidR="00E83C82" w:rsidRPr="00967DFD">
        <w:rPr>
          <w:lang w:eastAsia="en-US"/>
        </w:rPr>
        <w:t>5), 12</w:t>
      </w:r>
      <w:r w:rsidRPr="00967DFD">
        <w:rPr>
          <w:lang w:eastAsia="en-US"/>
        </w:rPr>
        <w:t>.</w:t>
      </w:r>
      <w:r w:rsidR="00E83C82" w:rsidRPr="00967DFD">
        <w:rPr>
          <w:lang w:eastAsia="en-US"/>
        </w:rPr>
        <w:t xml:space="preserve">1) </w:t>
      </w:r>
      <w:r w:rsidRPr="00967DFD">
        <w:rPr>
          <w:lang w:eastAsia="en-US"/>
        </w:rPr>
        <w:t>y</w:t>
      </w:r>
      <w:r w:rsidR="00E83C82" w:rsidRPr="00967DFD">
        <w:rPr>
          <w:lang w:eastAsia="en-US"/>
        </w:rPr>
        <w:t> 13</w:t>
      </w:r>
      <w:r w:rsidRPr="00967DFD">
        <w:rPr>
          <w:lang w:eastAsia="en-US"/>
        </w:rPr>
        <w:t>.</w:t>
      </w:r>
      <w:r w:rsidR="00E83C82" w:rsidRPr="00967DFD">
        <w:rPr>
          <w:lang w:eastAsia="en-US"/>
        </w:rPr>
        <w:t>2)</w:t>
      </w:r>
      <w:r w:rsidR="00C745E0">
        <w:rPr>
          <w:lang w:eastAsia="en-US"/>
        </w:rPr>
        <w:t xml:space="preserve"> del Acta de 1960</w:t>
      </w:r>
      <w:r w:rsidR="00B736C4" w:rsidRPr="00967DFD">
        <w:rPr>
          <w:lang w:eastAsia="en-US"/>
        </w:rPr>
        <w:t xml:space="preserve"> en lo que respecta a los efectos de un registro internacional, su denegación, y los efectos de la inscripción de un cambio y de una renovación en el Registro Internacional</w:t>
      </w:r>
      <w:r w:rsidR="00E83C82" w:rsidRPr="00967DFD">
        <w:rPr>
          <w:lang w:eastAsia="en-US"/>
        </w:rPr>
        <w:t>.</w:t>
      </w:r>
    </w:p>
    <w:p w:rsidR="00E83C82" w:rsidRPr="00967DFD" w:rsidRDefault="00066452" w:rsidP="00594B8F">
      <w:pPr>
        <w:pStyle w:val="ONUME"/>
        <w:rPr>
          <w:lang w:eastAsia="en-US"/>
        </w:rPr>
      </w:pPr>
      <w:r w:rsidRPr="00967DFD">
        <w:rPr>
          <w:lang w:eastAsia="en-US"/>
        </w:rPr>
        <w:t>En ese contexto, es probable que en la legislación de algunas Partes Contratantes en lo que respecta a la aplicación del Acta de 1999 y/o el Acta de 1960 se utilice específicamente el término “Boletín”</w:t>
      </w:r>
      <w:r w:rsidR="00073180">
        <w:rPr>
          <w:lang w:eastAsia="en-US"/>
        </w:rPr>
        <w:t xml:space="preserve">.  </w:t>
      </w:r>
      <w:r w:rsidRPr="00967DFD">
        <w:rPr>
          <w:lang w:eastAsia="en-US"/>
        </w:rPr>
        <w:t>De modo que sería conveniente mantener</w:t>
      </w:r>
      <w:r w:rsidR="00113A70" w:rsidRPr="00967DFD">
        <w:rPr>
          <w:lang w:eastAsia="en-US"/>
        </w:rPr>
        <w:t>lo</w:t>
      </w:r>
      <w:r w:rsidRPr="00967DFD">
        <w:rPr>
          <w:lang w:eastAsia="en-US"/>
        </w:rPr>
        <w:t xml:space="preserve">, y, por ello, no se propone </w:t>
      </w:r>
      <w:r w:rsidR="00261ADF" w:rsidRPr="00967DFD">
        <w:rPr>
          <w:lang w:eastAsia="en-US"/>
        </w:rPr>
        <w:t xml:space="preserve">que </w:t>
      </w:r>
      <w:r w:rsidR="00113A70" w:rsidRPr="00967DFD">
        <w:rPr>
          <w:lang w:eastAsia="en-US"/>
        </w:rPr>
        <w:t>el</w:t>
      </w:r>
      <w:r w:rsidR="00261ADF" w:rsidRPr="00967DFD">
        <w:rPr>
          <w:lang w:eastAsia="en-US"/>
        </w:rPr>
        <w:t xml:space="preserve"> </w:t>
      </w:r>
      <w:r w:rsidR="00113A70" w:rsidRPr="00967DFD">
        <w:rPr>
          <w:lang w:eastAsia="en-US"/>
        </w:rPr>
        <w:t xml:space="preserve">término “Boletín” </w:t>
      </w:r>
      <w:r w:rsidR="00261ADF" w:rsidRPr="00967DFD">
        <w:rPr>
          <w:lang w:eastAsia="en-US"/>
        </w:rPr>
        <w:t>se suprima o modifique</w:t>
      </w:r>
      <w:r w:rsidRPr="00967DFD">
        <w:rPr>
          <w:lang w:eastAsia="en-US"/>
        </w:rPr>
        <w:t xml:space="preserve"> en el Reglamento Común.</w:t>
      </w:r>
    </w:p>
    <w:p w:rsidR="00CB5084" w:rsidRDefault="00CB5084">
      <w:pPr>
        <w:rPr>
          <w:b/>
          <w:bCs/>
          <w:caps/>
          <w:kern w:val="32"/>
          <w:szCs w:val="32"/>
        </w:rPr>
      </w:pPr>
      <w:r>
        <w:br w:type="page"/>
      </w:r>
    </w:p>
    <w:p w:rsidR="00E83C82" w:rsidRPr="00967DFD" w:rsidRDefault="00E83C82" w:rsidP="00CB5084">
      <w:pPr>
        <w:pStyle w:val="Heading1"/>
        <w:keepNext w:val="0"/>
        <w:spacing w:before="480" w:after="200"/>
      </w:pPr>
      <w:r w:rsidRPr="00967DFD">
        <w:lastRenderedPageBreak/>
        <w:t>IV.</w:t>
      </w:r>
      <w:r w:rsidRPr="00967DFD">
        <w:tab/>
      </w:r>
      <w:r w:rsidR="00066452" w:rsidRPr="00967DFD">
        <w:t>siguientes etapas</w:t>
      </w:r>
    </w:p>
    <w:p w:rsidR="00E83C82" w:rsidRPr="00967DFD" w:rsidRDefault="007E0445" w:rsidP="00594B8F">
      <w:pPr>
        <w:pStyle w:val="ONUME"/>
        <w:spacing w:before="240" w:after="200"/>
      </w:pPr>
      <w:r w:rsidRPr="00967DFD">
        <w:rPr>
          <w:lang w:eastAsia="en-US"/>
        </w:rPr>
        <w:t>En el momento de redactar el presente documento</w:t>
      </w:r>
      <w:r w:rsidR="00E83C82" w:rsidRPr="00967DFD">
        <w:rPr>
          <w:lang w:eastAsia="en-US"/>
        </w:rPr>
        <w:t xml:space="preserve">, </w:t>
      </w:r>
      <w:r w:rsidR="00261ADF" w:rsidRPr="00967DFD">
        <w:rPr>
          <w:lang w:eastAsia="en-US"/>
        </w:rPr>
        <w:t>los planes expuestos</w:t>
      </w:r>
      <w:r w:rsidRPr="00967DFD">
        <w:rPr>
          <w:lang w:eastAsia="en-US"/>
        </w:rPr>
        <w:t xml:space="preserve"> son objeto de un examen técnico para evaluar el trabajo necesario</w:t>
      </w:r>
      <w:r w:rsidR="00073180">
        <w:rPr>
          <w:lang w:eastAsia="en-US"/>
        </w:rPr>
        <w:t xml:space="preserve">.  </w:t>
      </w:r>
      <w:r w:rsidR="004B36E4" w:rsidRPr="00967DFD">
        <w:rPr>
          <w:lang w:eastAsia="en-US"/>
        </w:rPr>
        <w:t xml:space="preserve">Está previsto que el </w:t>
      </w:r>
      <w:r w:rsidR="00113A70" w:rsidRPr="00967DFD">
        <w:rPr>
          <w:lang w:eastAsia="en-US"/>
        </w:rPr>
        <w:t>cambio</w:t>
      </w:r>
      <w:r w:rsidR="004B36E4" w:rsidRPr="00967DFD">
        <w:rPr>
          <w:lang w:eastAsia="en-US"/>
        </w:rPr>
        <w:t xml:space="preserve"> se produzca en el curso del bienio</w:t>
      </w:r>
      <w:r w:rsidR="00E83C82" w:rsidRPr="00967DFD">
        <w:rPr>
          <w:lang w:eastAsia="en-US"/>
        </w:rPr>
        <w:t xml:space="preserve"> 2018/2019</w:t>
      </w:r>
      <w:r w:rsidR="00073180">
        <w:rPr>
          <w:lang w:eastAsia="en-US"/>
        </w:rPr>
        <w:t xml:space="preserve">.  </w:t>
      </w:r>
      <w:r w:rsidR="00261ADF" w:rsidRPr="00967DFD">
        <w:rPr>
          <w:lang w:eastAsia="en-US"/>
        </w:rPr>
        <w:t>Mediante un aviso público, s</w:t>
      </w:r>
      <w:r w:rsidR="004B36E4" w:rsidRPr="00967DFD">
        <w:rPr>
          <w:lang w:eastAsia="en-US"/>
        </w:rPr>
        <w:t>e comunicará a los usuarios y a las Oficinas el momento en que el Boletín estará disponible únicamente mediante la Base Mundial de Datos sobre Dibujos y Modelos</w:t>
      </w:r>
      <w:r w:rsidR="00E83C82" w:rsidRPr="00967DFD">
        <w:rPr>
          <w:lang w:eastAsia="en-US"/>
        </w:rPr>
        <w:t>.</w:t>
      </w:r>
    </w:p>
    <w:p w:rsidR="00E83C82" w:rsidRPr="00967DFD" w:rsidRDefault="00F52432" w:rsidP="00594B8F">
      <w:pPr>
        <w:pStyle w:val="ONUME"/>
        <w:ind w:left="5533"/>
      </w:pPr>
      <w:r w:rsidRPr="00967DFD">
        <w:rPr>
          <w:i/>
        </w:rPr>
        <w:t>Se invita al Grupo de Trabajo a tomar nota del contenido del presente documento.</w:t>
      </w:r>
    </w:p>
    <w:p w:rsidR="00BA3261" w:rsidRPr="00967DFD" w:rsidRDefault="00F52432" w:rsidP="0052029D">
      <w:pPr>
        <w:pStyle w:val="ONUME"/>
        <w:numPr>
          <w:ilvl w:val="0"/>
          <w:numId w:val="0"/>
        </w:numPr>
        <w:spacing w:before="600"/>
        <w:ind w:left="5534"/>
      </w:pPr>
      <w:r w:rsidRPr="00967DFD">
        <w:t>[Fin del documento]</w:t>
      </w:r>
      <w:bookmarkStart w:id="5" w:name="Prepared"/>
      <w:bookmarkEnd w:id="5"/>
    </w:p>
    <w:sectPr w:rsidR="00BA3261" w:rsidRPr="00967DFD" w:rsidSect="00E83C82">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82" w:rsidRDefault="00E83C82">
      <w:r>
        <w:separator/>
      </w:r>
    </w:p>
  </w:endnote>
  <w:endnote w:type="continuationSeparator" w:id="0">
    <w:p w:rsidR="00E83C82" w:rsidRPr="009D30E6" w:rsidRDefault="00E83C82" w:rsidP="007E663E">
      <w:pPr>
        <w:rPr>
          <w:sz w:val="17"/>
          <w:szCs w:val="17"/>
        </w:rPr>
      </w:pPr>
      <w:r w:rsidRPr="009D30E6">
        <w:rPr>
          <w:sz w:val="17"/>
          <w:szCs w:val="17"/>
        </w:rPr>
        <w:separator/>
      </w:r>
    </w:p>
    <w:p w:rsidR="00E83C82" w:rsidRPr="007E663E" w:rsidRDefault="00E83C82" w:rsidP="007E663E">
      <w:pPr>
        <w:spacing w:after="60"/>
        <w:rPr>
          <w:sz w:val="17"/>
          <w:szCs w:val="17"/>
        </w:rPr>
      </w:pPr>
      <w:r>
        <w:rPr>
          <w:sz w:val="17"/>
        </w:rPr>
        <w:t>[Continuación de la nota de la página anterior]</w:t>
      </w:r>
    </w:p>
  </w:endnote>
  <w:endnote w:type="continuationNotice" w:id="1">
    <w:p w:rsidR="00E83C82" w:rsidRPr="007E663E" w:rsidRDefault="00E83C8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82" w:rsidRDefault="00E83C82">
      <w:r>
        <w:separator/>
      </w:r>
    </w:p>
  </w:footnote>
  <w:footnote w:type="continuationSeparator" w:id="0">
    <w:p w:rsidR="00E83C82" w:rsidRPr="009D30E6" w:rsidRDefault="00E83C82" w:rsidP="007E663E">
      <w:pPr>
        <w:rPr>
          <w:sz w:val="17"/>
          <w:szCs w:val="17"/>
        </w:rPr>
      </w:pPr>
      <w:r w:rsidRPr="009D30E6">
        <w:rPr>
          <w:sz w:val="17"/>
          <w:szCs w:val="17"/>
        </w:rPr>
        <w:separator/>
      </w:r>
    </w:p>
    <w:p w:rsidR="00E83C82" w:rsidRPr="007E663E" w:rsidRDefault="00E83C82" w:rsidP="007E663E">
      <w:pPr>
        <w:spacing w:after="60"/>
        <w:rPr>
          <w:sz w:val="17"/>
          <w:szCs w:val="17"/>
        </w:rPr>
      </w:pPr>
      <w:r>
        <w:rPr>
          <w:sz w:val="17"/>
        </w:rPr>
        <w:t>[Continuación de la nota de la página anterior]</w:t>
      </w:r>
    </w:p>
  </w:footnote>
  <w:footnote w:type="continuationNotice" w:id="1">
    <w:p w:rsidR="00E83C82" w:rsidRPr="007E663E" w:rsidRDefault="00E83C82" w:rsidP="007E663E">
      <w:pPr>
        <w:spacing w:before="60"/>
        <w:jc w:val="right"/>
        <w:rPr>
          <w:sz w:val="17"/>
          <w:szCs w:val="17"/>
        </w:rPr>
      </w:pPr>
      <w:r w:rsidRPr="007E663E">
        <w:rPr>
          <w:sz w:val="17"/>
          <w:szCs w:val="17"/>
        </w:rPr>
        <w:t>[Sigue la nota en la página siguiente]</w:t>
      </w:r>
    </w:p>
  </w:footnote>
  <w:footnote w:id="2">
    <w:p w:rsidR="00E83C82" w:rsidRPr="00D60879" w:rsidRDefault="00E83C82" w:rsidP="00E83C82">
      <w:pPr>
        <w:pStyle w:val="FootnoteText"/>
      </w:pPr>
      <w:r>
        <w:rPr>
          <w:rStyle w:val="FootnoteReference"/>
        </w:rPr>
        <w:footnoteRef/>
      </w:r>
      <w:r>
        <w:tab/>
      </w:r>
      <w:r w:rsidR="00F52432">
        <w:t>El Boletín puede consultarse en</w:t>
      </w:r>
      <w:r>
        <w:t xml:space="preserve">: </w:t>
      </w:r>
      <w:r w:rsidR="00F52432" w:rsidRPr="00F52432">
        <w:t>http://www.wipo.int/haguebulletin/?locale=es</w:t>
      </w:r>
    </w:p>
  </w:footnote>
  <w:footnote w:id="3">
    <w:p w:rsidR="00E83C82" w:rsidRPr="00C60B7F" w:rsidRDefault="00E83C82" w:rsidP="00E83C82">
      <w:pPr>
        <w:pStyle w:val="FootnoteText"/>
      </w:pPr>
      <w:r>
        <w:rPr>
          <w:rStyle w:val="FootnoteReference"/>
        </w:rPr>
        <w:footnoteRef/>
      </w:r>
      <w:r>
        <w:tab/>
      </w:r>
      <w:r w:rsidR="00F52432">
        <w:t>La Base Mundial de Datos sobre Dibujos y Modelos puede consultarse en</w:t>
      </w:r>
      <w:r>
        <w:t>:</w:t>
      </w:r>
      <w:r w:rsidR="00464C10">
        <w:t xml:space="preserve"> </w:t>
      </w:r>
      <w:r w:rsidR="00354472">
        <w:t xml:space="preserve"> </w:t>
      </w:r>
      <w:r w:rsidR="00F52432" w:rsidRPr="00F52432">
        <w:t>http://www.wipo.int/designdb/es/</w:t>
      </w:r>
    </w:p>
  </w:footnote>
  <w:footnote w:id="4">
    <w:p w:rsidR="00FA3CCC" w:rsidRPr="006A3471" w:rsidRDefault="00FA3CCC" w:rsidP="00073180">
      <w:pPr>
        <w:pStyle w:val="FootnoteText"/>
        <w:ind w:left="567" w:hanging="567"/>
      </w:pPr>
      <w:r>
        <w:rPr>
          <w:rStyle w:val="FootnoteReference"/>
        </w:rPr>
        <w:footnoteRef/>
      </w:r>
      <w:r>
        <w:tab/>
      </w:r>
      <w:r w:rsidR="003C79A8">
        <w:t xml:space="preserve">La base de datos </w:t>
      </w:r>
      <w:r>
        <w:t xml:space="preserve">Hague Express </w:t>
      </w:r>
      <w:r w:rsidR="002A2371">
        <w:t>puede consultarse en</w:t>
      </w:r>
      <w:r>
        <w:t>:</w:t>
      </w:r>
      <w:r w:rsidR="006A3471">
        <w:t xml:space="preserve"> </w:t>
      </w:r>
      <w:r w:rsidR="00464C10">
        <w:t xml:space="preserve"> </w:t>
      </w:r>
      <w:hyperlink r:id="rId1" w:history="1">
        <w:r w:rsidR="002A2371" w:rsidRPr="006A3471">
          <w:rPr>
            <w:rStyle w:val="Hyperlink"/>
            <w:color w:val="auto"/>
            <w:u w:val="none"/>
          </w:rPr>
          <w:t>http://www.wipo.int/designdb/hague/es/</w:t>
        </w:r>
      </w:hyperlink>
      <w:r w:rsidRPr="006A3471">
        <w:rPr>
          <w:rStyle w:val="Hyperlink"/>
          <w:color w:val="auto"/>
          <w:u w:val="none"/>
        </w:rPr>
        <w:t>.</w:t>
      </w:r>
    </w:p>
  </w:footnote>
  <w:footnote w:id="5">
    <w:p w:rsidR="00E83C82" w:rsidRPr="007B4FB8" w:rsidRDefault="00E83C82" w:rsidP="00073180">
      <w:pPr>
        <w:pStyle w:val="FootnoteText"/>
        <w:ind w:left="567" w:hanging="567"/>
      </w:pPr>
      <w:r>
        <w:rPr>
          <w:rStyle w:val="FootnoteReference"/>
        </w:rPr>
        <w:footnoteRef/>
      </w:r>
      <w:r>
        <w:tab/>
      </w:r>
      <w:r w:rsidR="003C79A8">
        <w:t>La base de datos contendrá próximamente datos nacionales sobre dibujos y modelos de Alemania,</w:t>
      </w:r>
      <w:r>
        <w:t xml:space="preserve"> Georgia, </w:t>
      </w:r>
      <w:r w:rsidR="003C79A8">
        <w:t>la</w:t>
      </w:r>
      <w:r w:rsidR="006A3471">
        <w:t xml:space="preserve"> Oficina de Propiedad Intelectual de la Unión Europea</w:t>
      </w:r>
      <w:r>
        <w:t xml:space="preserve"> </w:t>
      </w:r>
      <w:r w:rsidR="006A3471">
        <w:t>(</w:t>
      </w:r>
      <w:r>
        <w:t>EUIPO</w:t>
      </w:r>
      <w:r w:rsidR="006A3471">
        <w:t>)</w:t>
      </w:r>
      <w:r>
        <w:t xml:space="preserve"> </w:t>
      </w:r>
      <w:r w:rsidR="003C79A8">
        <w:t>y Túnez</w:t>
      </w:r>
      <w:r>
        <w:t>.</w:t>
      </w:r>
    </w:p>
  </w:footnote>
  <w:footnote w:id="6">
    <w:p w:rsidR="00E83C82" w:rsidRPr="006F5417" w:rsidRDefault="00E83C82" w:rsidP="00073180">
      <w:pPr>
        <w:pStyle w:val="FootnoteText"/>
        <w:ind w:left="567" w:hanging="567"/>
      </w:pPr>
      <w:r>
        <w:rPr>
          <w:rStyle w:val="FootnoteReference"/>
        </w:rPr>
        <w:footnoteRef/>
      </w:r>
      <w:r>
        <w:tab/>
      </w:r>
      <w:r w:rsidR="00024C28">
        <w:t xml:space="preserve">Los antecedentes y el objetivo </w:t>
      </w:r>
      <w:r w:rsidR="00024C28" w:rsidRPr="003A0113">
        <w:t xml:space="preserve">son similares </w:t>
      </w:r>
      <w:r w:rsidR="007911DB" w:rsidRPr="003A0113">
        <w:t>a los precedentes</w:t>
      </w:r>
      <w:r w:rsidR="00024C28" w:rsidRPr="003A0113">
        <w:t xml:space="preserve"> en el</w:t>
      </w:r>
      <w:r w:rsidR="00024C28">
        <w:t xml:space="preserve"> Sistema de Madrid</w:t>
      </w:r>
      <w:r w:rsidR="00073180">
        <w:t xml:space="preserve">.  </w:t>
      </w:r>
      <w:r w:rsidR="00E566EE">
        <w:t xml:space="preserve">La publicación jurídica de las solicitudes internacionales </w:t>
      </w:r>
      <w:r w:rsidR="007911DB">
        <w:t>se efectúa</w:t>
      </w:r>
      <w:r w:rsidR="00E566EE">
        <w:t xml:space="preserve"> en la base de datos</w:t>
      </w:r>
      <w:r>
        <w:t xml:space="preserve"> PATENTSCOPE</w:t>
      </w:r>
      <w:r w:rsidR="00E566EE">
        <w:t xml:space="preserve"> desde abril</w:t>
      </w:r>
      <w:r w:rsidR="00073180">
        <w:t> </w:t>
      </w:r>
      <w:r w:rsidR="00E566EE">
        <w:t>de</w:t>
      </w:r>
      <w:r w:rsidR="00073180">
        <w:t> </w:t>
      </w:r>
      <w:r>
        <w:t>2006</w:t>
      </w:r>
      <w:r w:rsidR="00073180">
        <w:t xml:space="preserve">.  </w:t>
      </w:r>
      <w:r w:rsidR="00CB5084">
        <w:t>Remítanse</w:t>
      </w:r>
      <w:r w:rsidR="00E566EE">
        <w:t xml:space="preserve"> los boletines informativos </w:t>
      </w:r>
      <w:r w:rsidRPr="00F608B0">
        <w:t>N</w:t>
      </w:r>
      <w:proofErr w:type="gramStart"/>
      <w:r w:rsidR="00E566EE">
        <w:t>.º</w:t>
      </w:r>
      <w:proofErr w:type="gramEnd"/>
      <w:r w:rsidR="00E566EE">
        <w:t> </w:t>
      </w:r>
      <w:r w:rsidRPr="00F608B0">
        <w:t>03</w:t>
      </w:r>
      <w:r>
        <w:t xml:space="preserve">/2006 </w:t>
      </w:r>
      <w:r w:rsidR="00E566EE">
        <w:t>y 01/2008</w:t>
      </w:r>
      <w:r w:rsidR="00643AAA" w:rsidRPr="00643AAA">
        <w:t xml:space="preserve"> </w:t>
      </w:r>
      <w:r w:rsidR="00643AAA">
        <w:t>del PCT</w:t>
      </w:r>
      <w:r w:rsidR="00073180">
        <w:t xml:space="preserve">.  </w:t>
      </w:r>
      <w:r w:rsidR="00E566EE">
        <w:t xml:space="preserve">La base de datos </w:t>
      </w:r>
      <w:r>
        <w:t xml:space="preserve">PATENTSCOPE </w:t>
      </w:r>
      <w:r w:rsidR="00E566EE">
        <w:t>puede consultarse en</w:t>
      </w:r>
      <w:r w:rsidR="00464C10">
        <w:t>: http</w:t>
      </w:r>
      <w:r w:rsidR="00E566EE" w:rsidRPr="00E566EE">
        <w:t>://www.wipo.int/patentscope/es/index.html</w:t>
      </w:r>
      <w:r w:rsidRPr="006F5417">
        <w:t>.</w:t>
      </w:r>
    </w:p>
  </w:footnote>
  <w:footnote w:id="7">
    <w:p w:rsidR="008D141A" w:rsidRPr="00DD4F8E" w:rsidRDefault="008D141A" w:rsidP="00073180">
      <w:pPr>
        <w:pStyle w:val="FootnoteText"/>
        <w:ind w:left="567" w:hanging="567"/>
      </w:pPr>
      <w:r>
        <w:rPr>
          <w:rStyle w:val="FootnoteReference"/>
        </w:rPr>
        <w:footnoteRef/>
      </w:r>
      <w:r w:rsidRPr="00DD4F8E">
        <w:tab/>
      </w:r>
      <w:r w:rsidR="007911DB">
        <w:t>Al igual que en</w:t>
      </w:r>
      <w:r w:rsidR="00E566EE">
        <w:t xml:space="preserve"> la base de datos</w:t>
      </w:r>
      <w:r>
        <w:t xml:space="preserve"> PATENTSCOPE</w:t>
      </w:r>
      <w:r w:rsidR="00E566EE">
        <w:t xml:space="preserve">, en que las solicitudes internacionales publicadas en </w:t>
      </w:r>
      <w:r w:rsidR="004A44CC">
        <w:t>virtud</w:t>
      </w:r>
      <w:r w:rsidR="00E566EE">
        <w:t xml:space="preserve"> del PCT</w:t>
      </w:r>
      <w:r>
        <w:t xml:space="preserve"> </w:t>
      </w:r>
      <w:r w:rsidR="004A44CC">
        <w:t>pueden consultarse mediante la pestaña</w:t>
      </w:r>
      <w:r>
        <w:t xml:space="preserve"> “</w:t>
      </w:r>
      <w:r w:rsidR="004A44CC">
        <w:t>Búsqueda por semana</w:t>
      </w:r>
      <w:r>
        <w:t xml:space="preserve"> (PCT)”.</w:t>
      </w:r>
    </w:p>
  </w:footnote>
  <w:footnote w:id="8">
    <w:p w:rsidR="00E83C82" w:rsidRPr="006D6D09" w:rsidRDefault="00E83C82" w:rsidP="00CB5084">
      <w:pPr>
        <w:pStyle w:val="FootnoteText"/>
        <w:ind w:left="567" w:hanging="567"/>
      </w:pPr>
      <w:r>
        <w:rPr>
          <w:rStyle w:val="FootnoteReference"/>
        </w:rPr>
        <w:footnoteRef/>
      </w:r>
      <w:r>
        <w:tab/>
      </w:r>
      <w:r w:rsidR="00CB5084">
        <w:t>Remítase al</w:t>
      </w:r>
      <w:r w:rsidR="00327862">
        <w:t xml:space="preserve"> documento</w:t>
      </w:r>
      <w:r>
        <w:t> H/DC/4.</w:t>
      </w:r>
    </w:p>
  </w:footnote>
  <w:footnote w:id="9">
    <w:p w:rsidR="00B2383A" w:rsidRPr="006B40A8" w:rsidRDefault="00B2383A" w:rsidP="00CB5084">
      <w:pPr>
        <w:pStyle w:val="FootnoteText"/>
        <w:ind w:left="567" w:hanging="567"/>
      </w:pPr>
      <w:r>
        <w:rPr>
          <w:rStyle w:val="FootnoteReference"/>
        </w:rPr>
        <w:footnoteRef/>
      </w:r>
      <w:r>
        <w:tab/>
      </w:r>
      <w:r w:rsidR="00CB5084">
        <w:t xml:space="preserve">Remítase al </w:t>
      </w:r>
      <w:r>
        <w:t>documento H/DC/6, R1.02.</w:t>
      </w:r>
    </w:p>
  </w:footnote>
  <w:footnote w:id="10">
    <w:p w:rsidR="00E83C82" w:rsidRPr="00DD40E5" w:rsidRDefault="00E83C82" w:rsidP="00CB5084">
      <w:pPr>
        <w:pStyle w:val="FootnoteText"/>
        <w:ind w:left="567" w:hanging="567"/>
      </w:pPr>
      <w:r>
        <w:rPr>
          <w:rStyle w:val="FootnoteReference"/>
        </w:rPr>
        <w:footnoteRef/>
      </w:r>
      <w:r>
        <w:tab/>
      </w:r>
      <w:r w:rsidR="00643AAA">
        <w:t>Antes de ello</w:t>
      </w:r>
      <w:r w:rsidR="00066452">
        <w:t xml:space="preserve">, en marzo de </w:t>
      </w:r>
      <w:r>
        <w:t xml:space="preserve">1999, </w:t>
      </w:r>
      <w:r w:rsidR="00066452">
        <w:t xml:space="preserve">la publicación del Boletín en papel fue sustituida por la versión en CD-ROM en lo que respecta a los dibujos y modelos industriales registrados en virtud del Acta de </w:t>
      </w:r>
      <w:r>
        <w:t>1960</w:t>
      </w:r>
      <w:r w:rsidR="00073180">
        <w:t xml:space="preserve">.  </w:t>
      </w:r>
      <w:r w:rsidR="00F916D9">
        <w:t>La edición en</w:t>
      </w:r>
      <w:r>
        <w:t xml:space="preserve"> CD</w:t>
      </w:r>
      <w:r w:rsidR="00F916D9">
        <w:noBreakHyphen/>
      </w:r>
      <w:r>
        <w:t xml:space="preserve">ROM </w:t>
      </w:r>
      <w:r w:rsidR="00F916D9">
        <w:t xml:space="preserve">comprendía asimismo los dibujos </w:t>
      </w:r>
      <w:bookmarkStart w:id="4" w:name="_GoBack"/>
      <w:bookmarkEnd w:id="4"/>
      <w:r w:rsidR="00F916D9">
        <w:t xml:space="preserve">y modelos industriales registrados en virtud del Acta de </w:t>
      </w:r>
      <w:r>
        <w:t>1934 </w:t>
      </w:r>
      <w:r w:rsidR="00356B3E">
        <w:t>del N.º </w:t>
      </w:r>
      <w:r>
        <w:t xml:space="preserve">1/2001, </w:t>
      </w:r>
      <w:r w:rsidR="00356B3E">
        <w:t xml:space="preserve">y como consecuencia de ello se suprimió la publicación en papel en febrero de </w:t>
      </w:r>
      <w:r>
        <w:t>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E83C82" w:rsidP="00477D6B">
    <w:pPr>
      <w:jc w:val="right"/>
    </w:pPr>
    <w:bookmarkStart w:id="6" w:name="Code2"/>
    <w:bookmarkEnd w:id="6"/>
    <w:r>
      <w:t>H/LD/WG/7/6</w:t>
    </w:r>
  </w:p>
  <w:p w:rsidR="00AE7F20" w:rsidRDefault="00AE7F20" w:rsidP="00477D6B">
    <w:pPr>
      <w:jc w:val="right"/>
    </w:pPr>
    <w:r>
      <w:t xml:space="preserve">página </w:t>
    </w:r>
    <w:r>
      <w:fldChar w:fldCharType="begin"/>
    </w:r>
    <w:r>
      <w:instrText xml:space="preserve"> PAGE  \* MERGEFORMAT </w:instrText>
    </w:r>
    <w:r>
      <w:fldChar w:fldCharType="separate"/>
    </w:r>
    <w:r w:rsidR="005D4E49">
      <w:rPr>
        <w:noProof/>
      </w:rPr>
      <w:t>5</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Brands, Designs &amp; DN\H Instruments|TextBase TMs\WorkspaceSTS\Brands, Designs &amp; DN\Hague|TextBase TMs\WorkspaceSTS\Brands, Designs &amp; DN\T Instruments|TextBase TMs\WorkspaceSTS\Brands, Designs &amp; DN\Trademarks|TextBase TMs\WorkspaceSTS\Outreach\Economist|TextBase TMs\WorkspaceSTS\Patents &amp; Innovation\Patents Main|TextBase TMs\WorkspaceSTS\Outreach\POW Main|TextBase TMs\WorkspaceSTS\Administration &amp; Finance\Current Budget|TextBase TMs\WorkspaceSTS\Administration &amp; Finance\FStatements|TextBase TMs\WorkspaceSTS\Administration &amp; Finance\FAB Instruments|TextBase TMs\WorkspaceSTS\Administration &amp; Finance\FAB Main|TextBase TMs\WorkspaceSTS\Administration &amp; Finance\UN Staff Rules|TextBase TMs\WorkspaceSTS\Administration &amp; Finance\WIPO Staff Rules|TextBase TMs\WorkspaceSTS\Brands, Designs &amp; DN\Arb_Med_Center|TextBase TMs\WorkspaceSTS\Brands, Designs &amp; DN\L Instruments|TextBase TMs\WorkspaceSTS\Brands, Designs &amp; DN\Lisbon|TextBase TMs\WorkspaceSTS\Copyright\C Instruments|TextBase TMs\WorkspaceSTS\Copyright\Copyright|TextBase TMs\WorkspaceSTS\Development\Dev_Agenda|TextBase TMs\WorkspaceSTS\GRTKF\G Instruments|TextBase TMs\WorkspaceSTS\GRTKF\GRTKF|TextBase TMs\WorkspaceSTS\Outreach\IP Advantage|TextBase TMs\WorkspaceSTS\Patents &amp; Innovation\P Instruments"/>
    <w:docVar w:name="TextBaseURL" w:val="empty"/>
    <w:docVar w:name="UILng" w:val="en"/>
  </w:docVars>
  <w:rsids>
    <w:rsidRoot w:val="00E83C82"/>
    <w:rsid w:val="00010686"/>
    <w:rsid w:val="00024C28"/>
    <w:rsid w:val="00052915"/>
    <w:rsid w:val="00066452"/>
    <w:rsid w:val="000719A8"/>
    <w:rsid w:val="00073180"/>
    <w:rsid w:val="000C30B9"/>
    <w:rsid w:val="000E3BB3"/>
    <w:rsid w:val="000F5E56"/>
    <w:rsid w:val="00113A70"/>
    <w:rsid w:val="001362EE"/>
    <w:rsid w:val="0015087D"/>
    <w:rsid w:val="00152CEA"/>
    <w:rsid w:val="001832A6"/>
    <w:rsid w:val="00261ADF"/>
    <w:rsid w:val="002634C4"/>
    <w:rsid w:val="002A2371"/>
    <w:rsid w:val="002B7F91"/>
    <w:rsid w:val="002C2E2F"/>
    <w:rsid w:val="002C63A8"/>
    <w:rsid w:val="002E0F47"/>
    <w:rsid w:val="002F4E68"/>
    <w:rsid w:val="00310826"/>
    <w:rsid w:val="0031773B"/>
    <w:rsid w:val="00327862"/>
    <w:rsid w:val="003501FE"/>
    <w:rsid w:val="00354472"/>
    <w:rsid w:val="00354647"/>
    <w:rsid w:val="00356B3E"/>
    <w:rsid w:val="003740B8"/>
    <w:rsid w:val="00377273"/>
    <w:rsid w:val="003845C1"/>
    <w:rsid w:val="00387287"/>
    <w:rsid w:val="003A0113"/>
    <w:rsid w:val="003C79A8"/>
    <w:rsid w:val="003E48F1"/>
    <w:rsid w:val="003F347A"/>
    <w:rsid w:val="00423E3E"/>
    <w:rsid w:val="00427AF4"/>
    <w:rsid w:val="0045231F"/>
    <w:rsid w:val="00460F6C"/>
    <w:rsid w:val="004647DA"/>
    <w:rsid w:val="00464C10"/>
    <w:rsid w:val="0046793F"/>
    <w:rsid w:val="00477808"/>
    <w:rsid w:val="00477D6B"/>
    <w:rsid w:val="004A44CC"/>
    <w:rsid w:val="004A6C37"/>
    <w:rsid w:val="004B36E4"/>
    <w:rsid w:val="004E297D"/>
    <w:rsid w:val="00513D45"/>
    <w:rsid w:val="0052029D"/>
    <w:rsid w:val="00531B02"/>
    <w:rsid w:val="005332F0"/>
    <w:rsid w:val="005472F1"/>
    <w:rsid w:val="0055013B"/>
    <w:rsid w:val="00571B99"/>
    <w:rsid w:val="00590EBD"/>
    <w:rsid w:val="00594B8F"/>
    <w:rsid w:val="00594FEA"/>
    <w:rsid w:val="005960C4"/>
    <w:rsid w:val="005C7D45"/>
    <w:rsid w:val="005D4E49"/>
    <w:rsid w:val="00605827"/>
    <w:rsid w:val="006171BC"/>
    <w:rsid w:val="00643AAA"/>
    <w:rsid w:val="00675021"/>
    <w:rsid w:val="00685758"/>
    <w:rsid w:val="006A06C6"/>
    <w:rsid w:val="006A3471"/>
    <w:rsid w:val="00714A3A"/>
    <w:rsid w:val="007224C8"/>
    <w:rsid w:val="007814C8"/>
    <w:rsid w:val="007911DB"/>
    <w:rsid w:val="00794BE2"/>
    <w:rsid w:val="007A5581"/>
    <w:rsid w:val="007B71FE"/>
    <w:rsid w:val="007D781E"/>
    <w:rsid w:val="007E0445"/>
    <w:rsid w:val="007E663E"/>
    <w:rsid w:val="00815082"/>
    <w:rsid w:val="0088395E"/>
    <w:rsid w:val="008B2CC1"/>
    <w:rsid w:val="008D141A"/>
    <w:rsid w:val="008D4532"/>
    <w:rsid w:val="008E6BD6"/>
    <w:rsid w:val="0090731E"/>
    <w:rsid w:val="00914A0E"/>
    <w:rsid w:val="00925205"/>
    <w:rsid w:val="00947413"/>
    <w:rsid w:val="00966A22"/>
    <w:rsid w:val="00967DFD"/>
    <w:rsid w:val="00972F03"/>
    <w:rsid w:val="009A0C8B"/>
    <w:rsid w:val="009A20CD"/>
    <w:rsid w:val="009B6241"/>
    <w:rsid w:val="00A16FC0"/>
    <w:rsid w:val="00A32C9E"/>
    <w:rsid w:val="00AB613D"/>
    <w:rsid w:val="00AE7F20"/>
    <w:rsid w:val="00B2383A"/>
    <w:rsid w:val="00B534D5"/>
    <w:rsid w:val="00B65A0A"/>
    <w:rsid w:val="00B67CDC"/>
    <w:rsid w:val="00B72D36"/>
    <w:rsid w:val="00B736C4"/>
    <w:rsid w:val="00B979B1"/>
    <w:rsid w:val="00BA3261"/>
    <w:rsid w:val="00BC4164"/>
    <w:rsid w:val="00BD2DCC"/>
    <w:rsid w:val="00BF54F0"/>
    <w:rsid w:val="00C148F1"/>
    <w:rsid w:val="00C745E0"/>
    <w:rsid w:val="00C877A4"/>
    <w:rsid w:val="00C90559"/>
    <w:rsid w:val="00CA2251"/>
    <w:rsid w:val="00CB47CF"/>
    <w:rsid w:val="00CB5084"/>
    <w:rsid w:val="00D42CA6"/>
    <w:rsid w:val="00D56C7C"/>
    <w:rsid w:val="00D71B4D"/>
    <w:rsid w:val="00D90289"/>
    <w:rsid w:val="00D93D55"/>
    <w:rsid w:val="00DC4C60"/>
    <w:rsid w:val="00E0079A"/>
    <w:rsid w:val="00E444DA"/>
    <w:rsid w:val="00E45C84"/>
    <w:rsid w:val="00E504E5"/>
    <w:rsid w:val="00E566EE"/>
    <w:rsid w:val="00E83C82"/>
    <w:rsid w:val="00EB7A3E"/>
    <w:rsid w:val="00EC1AA7"/>
    <w:rsid w:val="00EC401A"/>
    <w:rsid w:val="00EF530A"/>
    <w:rsid w:val="00EF6622"/>
    <w:rsid w:val="00EF78A9"/>
    <w:rsid w:val="00F52432"/>
    <w:rsid w:val="00F55408"/>
    <w:rsid w:val="00F66152"/>
    <w:rsid w:val="00F80845"/>
    <w:rsid w:val="00F84474"/>
    <w:rsid w:val="00F916D9"/>
    <w:rsid w:val="00FA0F0D"/>
    <w:rsid w:val="00FA3CCC"/>
    <w:rsid w:val="00FB507B"/>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iPriority w:val="99"/>
    <w:rsid w:val="00E83C82"/>
    <w:rPr>
      <w:vertAlign w:val="superscript"/>
    </w:rPr>
  </w:style>
  <w:style w:type="character" w:customStyle="1" w:styleId="FootnoteTextChar">
    <w:name w:val="Footnote Text Char"/>
    <w:basedOn w:val="DefaultParagraphFont"/>
    <w:link w:val="FootnoteText"/>
    <w:uiPriority w:val="99"/>
    <w:semiHidden/>
    <w:rsid w:val="00E83C82"/>
    <w:rPr>
      <w:rFonts w:ascii="Arial" w:eastAsia="SimSun" w:hAnsi="Arial" w:cs="Arial"/>
      <w:sz w:val="18"/>
      <w:lang w:val="es-ES" w:eastAsia="zh-CN"/>
    </w:rPr>
  </w:style>
  <w:style w:type="character" w:styleId="Hyperlink">
    <w:name w:val="Hyperlink"/>
    <w:basedOn w:val="DefaultParagraphFont"/>
    <w:rsid w:val="00E83C82"/>
    <w:rPr>
      <w:color w:val="0000FF" w:themeColor="hyperlink"/>
      <w:u w:val="single"/>
    </w:rPr>
  </w:style>
  <w:style w:type="character" w:styleId="FollowedHyperlink">
    <w:name w:val="FollowedHyperlink"/>
    <w:basedOn w:val="DefaultParagraphFont"/>
    <w:semiHidden/>
    <w:unhideWhenUsed/>
    <w:rsid w:val="002A2371"/>
    <w:rPr>
      <w:color w:val="800080" w:themeColor="followedHyperlink"/>
      <w:u w:val="single"/>
    </w:rPr>
  </w:style>
  <w:style w:type="paragraph" w:styleId="BalloonText">
    <w:name w:val="Balloon Text"/>
    <w:basedOn w:val="Normal"/>
    <w:link w:val="BalloonTextChar"/>
    <w:semiHidden/>
    <w:unhideWhenUsed/>
    <w:rsid w:val="006171BC"/>
    <w:rPr>
      <w:rFonts w:ascii="Tahoma" w:hAnsi="Tahoma" w:cs="Tahoma"/>
      <w:sz w:val="16"/>
      <w:szCs w:val="16"/>
    </w:rPr>
  </w:style>
  <w:style w:type="character" w:customStyle="1" w:styleId="BalloonTextChar">
    <w:name w:val="Balloon Text Char"/>
    <w:basedOn w:val="DefaultParagraphFont"/>
    <w:link w:val="BalloonText"/>
    <w:semiHidden/>
    <w:rsid w:val="006171BC"/>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iPriority w:val="99"/>
    <w:rsid w:val="00E83C82"/>
    <w:rPr>
      <w:vertAlign w:val="superscript"/>
    </w:rPr>
  </w:style>
  <w:style w:type="character" w:customStyle="1" w:styleId="FootnoteTextChar">
    <w:name w:val="Footnote Text Char"/>
    <w:basedOn w:val="DefaultParagraphFont"/>
    <w:link w:val="FootnoteText"/>
    <w:uiPriority w:val="99"/>
    <w:semiHidden/>
    <w:rsid w:val="00E83C82"/>
    <w:rPr>
      <w:rFonts w:ascii="Arial" w:eastAsia="SimSun" w:hAnsi="Arial" w:cs="Arial"/>
      <w:sz w:val="18"/>
      <w:lang w:val="es-ES" w:eastAsia="zh-CN"/>
    </w:rPr>
  </w:style>
  <w:style w:type="character" w:styleId="Hyperlink">
    <w:name w:val="Hyperlink"/>
    <w:basedOn w:val="DefaultParagraphFont"/>
    <w:rsid w:val="00E83C82"/>
    <w:rPr>
      <w:color w:val="0000FF" w:themeColor="hyperlink"/>
      <w:u w:val="single"/>
    </w:rPr>
  </w:style>
  <w:style w:type="character" w:styleId="FollowedHyperlink">
    <w:name w:val="FollowedHyperlink"/>
    <w:basedOn w:val="DefaultParagraphFont"/>
    <w:semiHidden/>
    <w:unhideWhenUsed/>
    <w:rsid w:val="002A2371"/>
    <w:rPr>
      <w:color w:val="800080" w:themeColor="followedHyperlink"/>
      <w:u w:val="single"/>
    </w:rPr>
  </w:style>
  <w:style w:type="paragraph" w:styleId="BalloonText">
    <w:name w:val="Balloon Text"/>
    <w:basedOn w:val="Normal"/>
    <w:link w:val="BalloonTextChar"/>
    <w:semiHidden/>
    <w:unhideWhenUsed/>
    <w:rsid w:val="006171BC"/>
    <w:rPr>
      <w:rFonts w:ascii="Tahoma" w:hAnsi="Tahoma" w:cs="Tahoma"/>
      <w:sz w:val="16"/>
      <w:szCs w:val="16"/>
    </w:rPr>
  </w:style>
  <w:style w:type="character" w:customStyle="1" w:styleId="BalloonTextChar">
    <w:name w:val="Balloon Text Char"/>
    <w:basedOn w:val="DefaultParagraphFont"/>
    <w:link w:val="BalloonText"/>
    <w:semiHidden/>
    <w:rsid w:val="006171BC"/>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designdb/hagu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 LD WG 7 (S)</Template>
  <TotalTime>22</TotalTime>
  <Pages>5</Pages>
  <Words>1703</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H/LD/WG/7/6</vt:lpstr>
    </vt:vector>
  </TitlesOfParts>
  <Company>WIPO</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H/LD/WG/7/6</dc:title>
  <dc:creator>wipo</dc:creator>
  <cp:lastModifiedBy>MAILLARD Amber</cp:lastModifiedBy>
  <cp:revision>6</cp:revision>
  <cp:lastPrinted>2018-07-04T10:31:00Z</cp:lastPrinted>
  <dcterms:created xsi:type="dcterms:W3CDTF">2018-07-04T10:08:00Z</dcterms:created>
  <dcterms:modified xsi:type="dcterms:W3CDTF">2018-07-04T10:31:00Z</dcterms:modified>
</cp:coreProperties>
</file>