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782D8D" w:rsidRPr="005722FE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782D8D" w:rsidRPr="005722FE" w:rsidRDefault="00782D8D" w:rsidP="00916EE2">
            <w:pPr>
              <w:rPr>
                <w:lang w:val="es-ES_tradnl"/>
              </w:rPr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782D8D" w:rsidRPr="005722FE" w:rsidRDefault="00C0671E" w:rsidP="00916EE2">
            <w:pPr>
              <w:rPr>
                <w:lang w:val="es-ES_tradnl"/>
              </w:rPr>
            </w:pPr>
            <w:r w:rsidRPr="005722FE">
              <w:rPr>
                <w:noProof/>
                <w:lang w:val="en-US" w:eastAsia="en-US"/>
              </w:rPr>
              <w:drawing>
                <wp:inline distT="0" distB="0" distL="0" distR="0" wp14:anchorId="31E138C3" wp14:editId="284B6762">
                  <wp:extent cx="1835150" cy="1320165"/>
                  <wp:effectExtent l="0" t="0" r="0" b="0"/>
                  <wp:docPr id="1" name="Picture 2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5150" cy="1320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782D8D" w:rsidRPr="005722FE" w:rsidRDefault="00782D8D" w:rsidP="00906578">
            <w:pPr>
              <w:jc w:val="right"/>
              <w:rPr>
                <w:lang w:val="es-ES_tradnl"/>
              </w:rPr>
            </w:pPr>
            <w:r w:rsidRPr="005722FE">
              <w:rPr>
                <w:b/>
                <w:sz w:val="40"/>
                <w:szCs w:val="40"/>
                <w:lang w:val="es-ES_tradnl"/>
              </w:rPr>
              <w:t>S</w:t>
            </w:r>
          </w:p>
        </w:tc>
      </w:tr>
      <w:tr w:rsidR="00782D8D" w:rsidRPr="005722FE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782D8D" w:rsidRPr="005722FE" w:rsidRDefault="00787B98" w:rsidP="0046045A">
            <w:pPr>
              <w:jc w:val="right"/>
              <w:rPr>
                <w:rFonts w:ascii="Arial Black" w:hAnsi="Arial Black"/>
                <w:caps/>
                <w:sz w:val="15"/>
                <w:lang w:val="es-ES_tradnl"/>
              </w:rPr>
            </w:pPr>
            <w:r w:rsidRPr="005722FE">
              <w:rPr>
                <w:rFonts w:ascii="Arial Black" w:hAnsi="Arial Black"/>
                <w:caps/>
                <w:sz w:val="15"/>
                <w:lang w:val="es-ES_tradnl"/>
              </w:rPr>
              <w:t>h/ld/wg/</w:t>
            </w:r>
            <w:r w:rsidR="00A73595" w:rsidRPr="005722FE">
              <w:rPr>
                <w:rFonts w:ascii="Arial Black" w:hAnsi="Arial Black"/>
                <w:caps/>
                <w:sz w:val="15"/>
                <w:lang w:val="es-ES_tradnl"/>
              </w:rPr>
              <w:t>7</w:t>
            </w:r>
            <w:r w:rsidR="00782D8D" w:rsidRPr="005722FE">
              <w:rPr>
                <w:rFonts w:ascii="Arial Black" w:hAnsi="Arial Black"/>
                <w:caps/>
                <w:sz w:val="15"/>
                <w:lang w:val="es-ES_tradnl"/>
              </w:rPr>
              <w:t>/</w:t>
            </w:r>
            <w:bookmarkStart w:id="1" w:name="Code"/>
            <w:bookmarkEnd w:id="1"/>
            <w:r w:rsidR="00B16926" w:rsidRPr="005722FE">
              <w:rPr>
                <w:rFonts w:ascii="Arial Black" w:hAnsi="Arial Black"/>
                <w:caps/>
                <w:sz w:val="15"/>
                <w:lang w:val="es-ES_tradnl"/>
              </w:rPr>
              <w:t>4</w:t>
            </w:r>
          </w:p>
        </w:tc>
      </w:tr>
      <w:tr w:rsidR="00782D8D" w:rsidRPr="005722FE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782D8D" w:rsidRPr="005722FE" w:rsidRDefault="00782D8D" w:rsidP="00906578">
            <w:pPr>
              <w:jc w:val="right"/>
              <w:rPr>
                <w:rFonts w:ascii="Arial Black" w:hAnsi="Arial Black"/>
                <w:caps/>
                <w:sz w:val="15"/>
                <w:lang w:val="es-ES_tradnl"/>
              </w:rPr>
            </w:pPr>
            <w:r w:rsidRPr="005722FE">
              <w:rPr>
                <w:rFonts w:ascii="Arial Black" w:hAnsi="Arial Black"/>
                <w:caps/>
                <w:sz w:val="15"/>
                <w:lang w:val="es-ES_tradnl"/>
              </w:rPr>
              <w:t>ORIGINAL:</w:t>
            </w:r>
            <w:bookmarkStart w:id="2" w:name="Original"/>
            <w:bookmarkEnd w:id="2"/>
            <w:r w:rsidR="00A817EE" w:rsidRPr="005722FE">
              <w:rPr>
                <w:rFonts w:ascii="Arial Black" w:hAnsi="Arial Black"/>
                <w:caps/>
                <w:sz w:val="15"/>
                <w:lang w:val="es-ES_tradnl"/>
              </w:rPr>
              <w:t xml:space="preserve">  </w:t>
            </w:r>
            <w:r w:rsidRPr="005722FE">
              <w:rPr>
                <w:rFonts w:ascii="Arial Black" w:hAnsi="Arial Black"/>
                <w:caps/>
                <w:sz w:val="15"/>
                <w:lang w:val="es-ES_tradnl"/>
              </w:rPr>
              <w:t>Inglés</w:t>
            </w:r>
          </w:p>
        </w:tc>
      </w:tr>
      <w:tr w:rsidR="00782D8D" w:rsidRPr="005722FE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782D8D" w:rsidRPr="005722FE" w:rsidRDefault="00782D8D" w:rsidP="00A64CAD">
            <w:pPr>
              <w:jc w:val="right"/>
              <w:rPr>
                <w:rFonts w:ascii="Arial Black" w:hAnsi="Arial Black"/>
                <w:caps/>
                <w:sz w:val="15"/>
                <w:lang w:val="es-ES_tradnl"/>
              </w:rPr>
            </w:pPr>
            <w:r w:rsidRPr="005722FE">
              <w:rPr>
                <w:rFonts w:ascii="Arial Black" w:hAnsi="Arial Black"/>
                <w:caps/>
                <w:sz w:val="15"/>
                <w:lang w:val="es-ES_tradnl"/>
              </w:rPr>
              <w:t>Fecha:</w:t>
            </w:r>
            <w:bookmarkStart w:id="3" w:name="Date"/>
            <w:bookmarkEnd w:id="3"/>
            <w:r w:rsidR="00A817EE" w:rsidRPr="005722FE">
              <w:rPr>
                <w:rFonts w:ascii="Arial Black" w:hAnsi="Arial Black"/>
                <w:caps/>
                <w:sz w:val="15"/>
                <w:lang w:val="es-ES_tradnl"/>
              </w:rPr>
              <w:t xml:space="preserve">  </w:t>
            </w:r>
            <w:r w:rsidR="00A64CAD">
              <w:rPr>
                <w:rFonts w:ascii="Arial Black" w:hAnsi="Arial Black"/>
                <w:caps/>
                <w:sz w:val="15"/>
                <w:lang w:val="es-ES_tradnl"/>
              </w:rPr>
              <w:t>8</w:t>
            </w:r>
            <w:r w:rsidRPr="005722FE">
              <w:rPr>
                <w:rFonts w:ascii="Arial Black" w:hAnsi="Arial Black"/>
                <w:caps/>
                <w:sz w:val="15"/>
                <w:lang w:val="es-ES_tradnl"/>
              </w:rPr>
              <w:t xml:space="preserve"> de </w:t>
            </w:r>
            <w:r w:rsidR="00564635">
              <w:rPr>
                <w:rFonts w:ascii="Arial Black" w:hAnsi="Arial Black"/>
                <w:caps/>
                <w:sz w:val="15"/>
                <w:lang w:val="es-ES_tradnl"/>
              </w:rPr>
              <w:t>May</w:t>
            </w:r>
            <w:r w:rsidR="006761D1">
              <w:rPr>
                <w:rFonts w:ascii="Arial Black" w:hAnsi="Arial Black"/>
                <w:caps/>
                <w:sz w:val="15"/>
                <w:lang w:val="es-ES_tradnl"/>
              </w:rPr>
              <w:t>O</w:t>
            </w:r>
            <w:r w:rsidR="00564635" w:rsidRPr="005722FE">
              <w:rPr>
                <w:rFonts w:ascii="Arial Black" w:hAnsi="Arial Black"/>
                <w:caps/>
                <w:sz w:val="15"/>
                <w:lang w:val="es-ES_tradnl"/>
              </w:rPr>
              <w:t xml:space="preserve"> </w:t>
            </w:r>
            <w:r w:rsidRPr="005722FE">
              <w:rPr>
                <w:rFonts w:ascii="Arial Black" w:hAnsi="Arial Black"/>
                <w:caps/>
                <w:sz w:val="15"/>
                <w:lang w:val="es-ES_tradnl"/>
              </w:rPr>
              <w:t>de 201</w:t>
            </w:r>
            <w:r w:rsidR="00A73595" w:rsidRPr="005722FE">
              <w:rPr>
                <w:rFonts w:ascii="Arial Black" w:hAnsi="Arial Black"/>
                <w:caps/>
                <w:sz w:val="15"/>
                <w:lang w:val="es-ES_tradnl"/>
              </w:rPr>
              <w:t>8</w:t>
            </w:r>
          </w:p>
        </w:tc>
      </w:tr>
    </w:tbl>
    <w:p w:rsidR="00C552BF" w:rsidRPr="005722FE" w:rsidRDefault="00782D8D" w:rsidP="00A64CAD">
      <w:pPr>
        <w:spacing w:before="1200"/>
        <w:rPr>
          <w:b/>
          <w:sz w:val="28"/>
          <w:szCs w:val="28"/>
          <w:lang w:val="es-ES_tradnl"/>
        </w:rPr>
      </w:pPr>
      <w:r w:rsidRPr="005722FE">
        <w:rPr>
          <w:b/>
          <w:sz w:val="28"/>
          <w:szCs w:val="28"/>
          <w:lang w:val="es-ES_tradnl"/>
        </w:rPr>
        <w:t>Grupo de Trabajo sobre el Desarrollo Jurídico del Sistema de La Haya para el Registro Internacional de Dibujos y Modelos Industriales</w:t>
      </w:r>
    </w:p>
    <w:p w:rsidR="00C552BF" w:rsidRPr="005722FE" w:rsidRDefault="00A73595" w:rsidP="00A64CAD">
      <w:pPr>
        <w:spacing w:before="480"/>
        <w:rPr>
          <w:b/>
          <w:sz w:val="24"/>
          <w:szCs w:val="24"/>
          <w:lang w:val="es-ES_tradnl"/>
        </w:rPr>
      </w:pPr>
      <w:r w:rsidRPr="005722FE">
        <w:rPr>
          <w:b/>
          <w:sz w:val="24"/>
          <w:szCs w:val="24"/>
          <w:lang w:val="es-ES_tradnl"/>
        </w:rPr>
        <w:t>Séptim</w:t>
      </w:r>
      <w:r w:rsidR="00787B98" w:rsidRPr="005722FE">
        <w:rPr>
          <w:b/>
          <w:sz w:val="24"/>
          <w:szCs w:val="24"/>
          <w:lang w:val="es-ES_tradnl"/>
        </w:rPr>
        <w:t>a</w:t>
      </w:r>
      <w:r w:rsidR="00782D8D" w:rsidRPr="005722FE">
        <w:rPr>
          <w:b/>
          <w:sz w:val="24"/>
          <w:szCs w:val="24"/>
          <w:lang w:val="es-ES_tradnl"/>
        </w:rPr>
        <w:t xml:space="preserve"> reunión</w:t>
      </w:r>
    </w:p>
    <w:p w:rsidR="00C552BF" w:rsidRPr="005722FE" w:rsidRDefault="00782D8D" w:rsidP="0089123D">
      <w:pPr>
        <w:rPr>
          <w:b/>
          <w:sz w:val="24"/>
          <w:szCs w:val="24"/>
          <w:lang w:val="es-ES_tradnl"/>
        </w:rPr>
      </w:pPr>
      <w:r w:rsidRPr="005722FE">
        <w:rPr>
          <w:b/>
          <w:sz w:val="24"/>
          <w:szCs w:val="24"/>
          <w:lang w:val="es-ES_tradnl"/>
        </w:rPr>
        <w:t>Ginebra, 1</w:t>
      </w:r>
      <w:r w:rsidR="00A73595" w:rsidRPr="005722FE">
        <w:rPr>
          <w:b/>
          <w:sz w:val="24"/>
          <w:szCs w:val="24"/>
          <w:lang w:val="es-ES_tradnl"/>
        </w:rPr>
        <w:t>6</w:t>
      </w:r>
      <w:r w:rsidRPr="005722FE">
        <w:rPr>
          <w:b/>
          <w:sz w:val="24"/>
          <w:szCs w:val="24"/>
          <w:lang w:val="es-ES_tradnl"/>
        </w:rPr>
        <w:t xml:space="preserve"> a 1</w:t>
      </w:r>
      <w:r w:rsidR="00A73595" w:rsidRPr="005722FE">
        <w:rPr>
          <w:b/>
          <w:sz w:val="24"/>
          <w:szCs w:val="24"/>
          <w:lang w:val="es-ES_tradnl"/>
        </w:rPr>
        <w:t>8</w:t>
      </w:r>
      <w:r w:rsidRPr="005722FE">
        <w:rPr>
          <w:b/>
          <w:sz w:val="24"/>
          <w:szCs w:val="24"/>
          <w:lang w:val="es-ES_tradnl"/>
        </w:rPr>
        <w:t xml:space="preserve"> de </w:t>
      </w:r>
      <w:r w:rsidR="00A73595" w:rsidRPr="005722FE">
        <w:rPr>
          <w:b/>
          <w:sz w:val="24"/>
          <w:szCs w:val="24"/>
          <w:lang w:val="es-ES_tradnl"/>
        </w:rPr>
        <w:t>julio</w:t>
      </w:r>
      <w:r w:rsidR="00787B98" w:rsidRPr="005722FE">
        <w:rPr>
          <w:b/>
          <w:sz w:val="24"/>
          <w:szCs w:val="24"/>
          <w:lang w:val="es-ES_tradnl"/>
        </w:rPr>
        <w:t xml:space="preserve"> </w:t>
      </w:r>
      <w:r w:rsidRPr="005722FE">
        <w:rPr>
          <w:b/>
          <w:sz w:val="24"/>
          <w:szCs w:val="24"/>
          <w:lang w:val="es-ES_tradnl"/>
        </w:rPr>
        <w:t>de 201</w:t>
      </w:r>
      <w:r w:rsidR="00A73595" w:rsidRPr="005722FE">
        <w:rPr>
          <w:b/>
          <w:sz w:val="24"/>
          <w:szCs w:val="24"/>
          <w:lang w:val="es-ES_tradnl"/>
        </w:rPr>
        <w:t>8</w:t>
      </w:r>
    </w:p>
    <w:p w:rsidR="00C552BF" w:rsidRPr="00AC7303" w:rsidRDefault="006376AD" w:rsidP="006376AD">
      <w:pPr>
        <w:spacing w:before="720"/>
        <w:rPr>
          <w:caps/>
          <w:sz w:val="24"/>
          <w:lang w:val="es-ES_tradnl"/>
        </w:rPr>
      </w:pPr>
      <w:bookmarkStart w:id="4" w:name="TitleOfDoc"/>
      <w:bookmarkEnd w:id="4"/>
      <w:r w:rsidRPr="00AC7303">
        <w:rPr>
          <w:caps/>
          <w:sz w:val="24"/>
          <w:lang w:val="es-ES_tradnl"/>
        </w:rPr>
        <w:t>C</w:t>
      </w:r>
      <w:r w:rsidRPr="00AC7303">
        <w:rPr>
          <w:caps/>
          <w:color w:val="000000"/>
          <w:sz w:val="24"/>
          <w:lang w:val="es-ES_tradnl"/>
        </w:rPr>
        <w:t>UESTIONES EN TORNO A LA DISPONIBILIDAD PÚBLICA DE LAS NOTIFICACIONES DE DENEGACIÓN</w:t>
      </w:r>
    </w:p>
    <w:p w:rsidR="00C552BF" w:rsidRPr="00AC7303" w:rsidRDefault="006376AD" w:rsidP="006376AD">
      <w:pPr>
        <w:spacing w:before="240"/>
        <w:rPr>
          <w:i/>
          <w:lang w:val="es-ES_tradnl"/>
        </w:rPr>
      </w:pPr>
      <w:bookmarkStart w:id="5" w:name="Prepared"/>
      <w:bookmarkEnd w:id="5"/>
      <w:r w:rsidRPr="00AC7303">
        <w:rPr>
          <w:i/>
          <w:lang w:val="es-ES_tradnl"/>
        </w:rPr>
        <w:t>Documento preparado por la Oficina Internacional</w:t>
      </w:r>
    </w:p>
    <w:p w:rsidR="00C552BF" w:rsidRPr="00AC7303" w:rsidRDefault="006376AD" w:rsidP="006376AD">
      <w:pPr>
        <w:pStyle w:val="Heading1"/>
        <w:spacing w:before="960"/>
        <w:rPr>
          <w:lang w:val="es-ES_tradnl"/>
        </w:rPr>
      </w:pPr>
      <w:r w:rsidRPr="00AC7303">
        <w:rPr>
          <w:lang w:val="es-ES_tradnl"/>
        </w:rPr>
        <w:t>I.</w:t>
      </w:r>
      <w:r w:rsidR="00A64CAD">
        <w:rPr>
          <w:lang w:val="es-ES_tradnl"/>
        </w:rPr>
        <w:tab/>
      </w:r>
      <w:r w:rsidRPr="00AC7303">
        <w:rPr>
          <w:lang w:val="es-ES_tradnl"/>
        </w:rPr>
        <w:t>ANTECEDENTES</w:t>
      </w:r>
    </w:p>
    <w:p w:rsidR="00C552BF" w:rsidRPr="00AC7303" w:rsidRDefault="00A24908" w:rsidP="00B16926">
      <w:pPr>
        <w:pStyle w:val="Heading2"/>
        <w:rPr>
          <w:lang w:val="es-ES_tradnl"/>
        </w:rPr>
      </w:pPr>
      <w:r w:rsidRPr="00AC7303">
        <w:rPr>
          <w:lang w:val="es-ES_tradnl"/>
        </w:rPr>
        <w:t>COPIAS EN PD</w:t>
      </w:r>
      <w:r w:rsidR="00105FA4" w:rsidRPr="00AC7303">
        <w:rPr>
          <w:lang w:val="es-ES_tradnl"/>
        </w:rPr>
        <w:t>F</w:t>
      </w:r>
      <w:r w:rsidRPr="00AC7303">
        <w:rPr>
          <w:lang w:val="es-ES_tradnl"/>
        </w:rPr>
        <w:t xml:space="preserve"> DE LAS NOTIFICACIONES DISPONIBLES EN EL SITIO WEB DE LA OMPI</w:t>
      </w:r>
    </w:p>
    <w:p w:rsidR="00C552BF" w:rsidRPr="00AC7303" w:rsidRDefault="00A24908" w:rsidP="006376AD">
      <w:pPr>
        <w:pStyle w:val="ONUME"/>
        <w:rPr>
          <w:lang w:val="es-ES_tradnl" w:eastAsia="en-US"/>
        </w:rPr>
      </w:pPr>
      <w:r w:rsidRPr="00AC7303">
        <w:rPr>
          <w:lang w:val="es-ES_tradnl" w:eastAsia="en-US"/>
        </w:rPr>
        <w:t>En el</w:t>
      </w:r>
      <w:r w:rsidR="006376AD" w:rsidRPr="00AC7303">
        <w:rPr>
          <w:lang w:val="es-ES_tradnl" w:eastAsia="en-US"/>
        </w:rPr>
        <w:t xml:space="preserve"> Artícul</w:t>
      </w:r>
      <w:r w:rsidR="00AC7303" w:rsidRPr="00AC7303">
        <w:rPr>
          <w:lang w:val="es-ES_tradnl" w:eastAsia="en-US"/>
        </w:rPr>
        <w:t>o 1</w:t>
      </w:r>
      <w:r w:rsidR="006376AD" w:rsidRPr="00AC7303">
        <w:rPr>
          <w:lang w:val="es-ES_tradnl" w:eastAsia="en-US"/>
        </w:rPr>
        <w:t>4.2)</w:t>
      </w:r>
      <w:r w:rsidR="007A0036" w:rsidRPr="00AC7303">
        <w:rPr>
          <w:lang w:val="es-ES_tradnl" w:eastAsia="en-US"/>
        </w:rPr>
        <w:t>c)</w:t>
      </w:r>
      <w:r w:rsidR="006376AD" w:rsidRPr="00AC7303">
        <w:rPr>
          <w:lang w:val="es-ES_tradnl" w:eastAsia="en-US"/>
        </w:rPr>
        <w:t xml:space="preserve"> del Acta </w:t>
      </w:r>
      <w:r w:rsidR="0061289E">
        <w:rPr>
          <w:lang w:val="es-ES_tradnl" w:eastAsia="en-US"/>
        </w:rPr>
        <w:t>de Ginebra (</w:t>
      </w:r>
      <w:r w:rsidR="00AC7303" w:rsidRPr="00AC7303">
        <w:rPr>
          <w:lang w:val="es-ES_tradnl" w:eastAsia="en-US"/>
        </w:rPr>
        <w:t>1</w:t>
      </w:r>
      <w:r w:rsidR="006376AD" w:rsidRPr="00AC7303">
        <w:rPr>
          <w:lang w:val="es-ES_tradnl" w:eastAsia="en-US"/>
        </w:rPr>
        <w:t>999</w:t>
      </w:r>
      <w:r w:rsidR="0061289E">
        <w:rPr>
          <w:lang w:val="es-ES_tradnl" w:eastAsia="en-US"/>
        </w:rPr>
        <w:t>)</w:t>
      </w:r>
      <w:r w:rsidR="006376AD" w:rsidRPr="00AC7303">
        <w:rPr>
          <w:lang w:val="es-ES_tradnl" w:eastAsia="en-US"/>
        </w:rPr>
        <w:t xml:space="preserve"> del Arreglo de La Haya (en lo sucesivo </w:t>
      </w:r>
      <w:r w:rsidR="00A64CAD">
        <w:rPr>
          <w:lang w:val="es-ES_tradnl" w:eastAsia="en-US"/>
        </w:rPr>
        <w:t>“</w:t>
      </w:r>
      <w:r w:rsidR="006376AD" w:rsidRPr="00AC7303">
        <w:rPr>
          <w:lang w:val="es-ES_tradnl" w:eastAsia="en-US"/>
        </w:rPr>
        <w:t>Acta d</w:t>
      </w:r>
      <w:r w:rsidR="00AC7303" w:rsidRPr="00AC7303">
        <w:rPr>
          <w:lang w:val="es-ES_tradnl" w:eastAsia="en-US"/>
        </w:rPr>
        <w:t>e 1</w:t>
      </w:r>
      <w:r w:rsidR="007A0036">
        <w:rPr>
          <w:lang w:val="es-ES_tradnl" w:eastAsia="en-US"/>
        </w:rPr>
        <w:t>999</w:t>
      </w:r>
      <w:r w:rsidR="00A64CAD">
        <w:rPr>
          <w:lang w:val="es-ES_tradnl" w:eastAsia="en-US"/>
        </w:rPr>
        <w:t>”</w:t>
      </w:r>
      <w:r w:rsidR="007A0036">
        <w:rPr>
          <w:lang w:val="es-ES_tradnl" w:eastAsia="en-US"/>
        </w:rPr>
        <w:t xml:space="preserve">) se estipula que </w:t>
      </w:r>
      <w:r w:rsidR="006376AD" w:rsidRPr="00AC7303">
        <w:rPr>
          <w:lang w:val="es-ES_tradnl" w:eastAsia="en-US"/>
        </w:rPr>
        <w:t xml:space="preserve">el efecto </w:t>
      </w:r>
      <w:r w:rsidR="00873309" w:rsidRPr="00AC7303">
        <w:rPr>
          <w:lang w:val="es-ES_tradnl" w:eastAsia="en-US"/>
        </w:rPr>
        <w:t xml:space="preserve">acordado </w:t>
      </w:r>
      <w:r w:rsidR="006376AD" w:rsidRPr="00AC7303">
        <w:rPr>
          <w:lang w:val="es-ES_tradnl" w:eastAsia="en-US"/>
        </w:rPr>
        <w:t xml:space="preserve">al registro internacional </w:t>
      </w:r>
      <w:r w:rsidR="007A0036" w:rsidRPr="00AC7303">
        <w:rPr>
          <w:lang w:val="es-ES_tradnl" w:eastAsia="en-US"/>
        </w:rPr>
        <w:t xml:space="preserve">en virtud del </w:t>
      </w:r>
      <w:r w:rsidR="0061289E">
        <w:rPr>
          <w:lang w:val="es-ES_tradnl" w:eastAsia="en-US"/>
        </w:rPr>
        <w:t>párrafo </w:t>
      </w:r>
      <w:r w:rsidR="007A0036" w:rsidRPr="00AC7303">
        <w:rPr>
          <w:lang w:val="es-ES_tradnl" w:eastAsia="en-US"/>
        </w:rPr>
        <w:t xml:space="preserve">1) y </w:t>
      </w:r>
      <w:r w:rsidR="007A0036">
        <w:rPr>
          <w:lang w:val="es-ES_tradnl" w:eastAsia="en-US"/>
        </w:rPr>
        <w:t>el</w:t>
      </w:r>
      <w:r w:rsidR="0061289E">
        <w:rPr>
          <w:lang w:val="es-ES_tradnl" w:eastAsia="en-US"/>
        </w:rPr>
        <w:t xml:space="preserve"> párrafo</w:t>
      </w:r>
      <w:r w:rsidR="00A64CAD">
        <w:rPr>
          <w:lang w:val="es-ES_tradnl" w:eastAsia="en-US"/>
        </w:rPr>
        <w:t> </w:t>
      </w:r>
      <w:r w:rsidR="0061289E">
        <w:rPr>
          <w:lang w:val="es-ES_tradnl" w:eastAsia="en-US"/>
        </w:rPr>
        <w:t>2</w:t>
      </w:r>
      <w:r w:rsidR="00A64CAD">
        <w:rPr>
          <w:lang w:val="es-ES_tradnl" w:eastAsia="en-US"/>
        </w:rPr>
        <w:t>)</w:t>
      </w:r>
      <w:r w:rsidR="007A0036" w:rsidRPr="00AC7303">
        <w:rPr>
          <w:lang w:val="es-ES_tradnl" w:eastAsia="en-US"/>
        </w:rPr>
        <w:t>a) y</w:t>
      </w:r>
      <w:r w:rsidR="00A64CAD">
        <w:rPr>
          <w:lang w:val="es-ES_tradnl" w:eastAsia="en-US"/>
        </w:rPr>
        <w:t> </w:t>
      </w:r>
      <w:r w:rsidR="007A0036" w:rsidRPr="00AC7303">
        <w:rPr>
          <w:lang w:val="es-ES_tradnl" w:eastAsia="en-US"/>
        </w:rPr>
        <w:t>b)</w:t>
      </w:r>
      <w:r w:rsidR="007A0036">
        <w:rPr>
          <w:lang w:val="es-ES_tradnl" w:eastAsia="en-US"/>
        </w:rPr>
        <w:t xml:space="preserve"> </w:t>
      </w:r>
      <w:r w:rsidR="0061289E">
        <w:rPr>
          <w:lang w:val="es-ES_tradnl" w:eastAsia="en-US"/>
        </w:rPr>
        <w:t>del Artículo</w:t>
      </w:r>
      <w:r w:rsidR="00A64CAD">
        <w:rPr>
          <w:lang w:val="es-ES_tradnl" w:eastAsia="en-US"/>
        </w:rPr>
        <w:t> </w:t>
      </w:r>
      <w:r w:rsidR="0061289E">
        <w:rPr>
          <w:lang w:val="es-ES_tradnl" w:eastAsia="en-US"/>
        </w:rPr>
        <w:t xml:space="preserve">14 </w:t>
      </w:r>
      <w:r w:rsidR="006376AD" w:rsidRPr="00AC7303">
        <w:rPr>
          <w:lang w:val="es-ES_tradnl" w:eastAsia="en-US"/>
        </w:rPr>
        <w:t>será aplicable al dibujo o modelo industrial</w:t>
      </w:r>
      <w:r w:rsidR="00873309" w:rsidRPr="00AC7303">
        <w:rPr>
          <w:lang w:val="es-ES_tradnl" w:eastAsia="en-US"/>
        </w:rPr>
        <w:t xml:space="preserve"> o a los dibujos y modelos industriales que sean objeto de ese registro,</w:t>
      </w:r>
      <w:r w:rsidR="006376AD" w:rsidRPr="00AC7303">
        <w:rPr>
          <w:lang w:val="es-ES_tradnl" w:eastAsia="en-US"/>
        </w:rPr>
        <w:t xml:space="preserve"> tal como lo</w:t>
      </w:r>
      <w:r w:rsidR="00873309" w:rsidRPr="00AC7303">
        <w:rPr>
          <w:lang w:val="es-ES_tradnl" w:eastAsia="en-US"/>
        </w:rPr>
        <w:t>s</w:t>
      </w:r>
      <w:r w:rsidR="006376AD" w:rsidRPr="00AC7303">
        <w:rPr>
          <w:lang w:val="es-ES_tradnl" w:eastAsia="en-US"/>
        </w:rPr>
        <w:t xml:space="preserve"> recibió la Oficina</w:t>
      </w:r>
      <w:r w:rsidR="00873309" w:rsidRPr="00AC7303">
        <w:rPr>
          <w:lang w:val="es-ES_tradnl" w:eastAsia="en-US"/>
        </w:rPr>
        <w:t xml:space="preserve"> de una Parte Contratante designada de parte de la Oficina Internacional</w:t>
      </w:r>
      <w:r w:rsidR="006376AD" w:rsidRPr="00AC7303">
        <w:rPr>
          <w:lang w:val="es-ES_tradnl" w:eastAsia="en-US"/>
        </w:rPr>
        <w:t xml:space="preserve"> o, cuando proceda, “en la forma modificada en el procedimiento ante la Oficina designada”.</w:t>
      </w:r>
      <w:r w:rsidR="00B16926" w:rsidRPr="00AC7303">
        <w:rPr>
          <w:lang w:val="es-ES_tradnl" w:eastAsia="en-US"/>
        </w:rPr>
        <w:t xml:space="preserve">  </w:t>
      </w:r>
      <w:r w:rsidR="00FC68CB" w:rsidRPr="00AC7303">
        <w:rPr>
          <w:lang w:val="es-ES_tradnl" w:eastAsia="en-US"/>
        </w:rPr>
        <w:t>Teniendo presente la mencionada disposición, en su trigésimo cuarto período de sesiones (15º extraordinario), celebrado en septiembre d</w:t>
      </w:r>
      <w:r w:rsidR="00AC7303" w:rsidRPr="00AC7303">
        <w:rPr>
          <w:lang w:val="es-ES_tradnl" w:eastAsia="en-US"/>
        </w:rPr>
        <w:t>e 2</w:t>
      </w:r>
      <w:r w:rsidR="00FC68CB" w:rsidRPr="00AC7303">
        <w:rPr>
          <w:lang w:val="es-ES_tradnl" w:eastAsia="en-US"/>
        </w:rPr>
        <w:t>014, la Asamblea de la Unión de La</w:t>
      </w:r>
      <w:r w:rsidR="00A64CAD">
        <w:rPr>
          <w:lang w:val="es-ES_tradnl" w:eastAsia="en-US"/>
        </w:rPr>
        <w:t> </w:t>
      </w:r>
      <w:r w:rsidR="00FC68CB" w:rsidRPr="00AC7303">
        <w:rPr>
          <w:lang w:val="es-ES_tradnl" w:eastAsia="en-US"/>
        </w:rPr>
        <w:t>Haya aprobó las modificaciones de las Reglas</w:t>
      </w:r>
      <w:r w:rsidR="00B16926" w:rsidRPr="00AC7303">
        <w:rPr>
          <w:lang w:val="es-ES_tradnl" w:eastAsia="en-US"/>
        </w:rPr>
        <w:t> 18</w:t>
      </w:r>
      <w:r w:rsidR="00FC68CB" w:rsidRPr="00AC7303">
        <w:rPr>
          <w:lang w:val="es-ES_tradnl" w:eastAsia="en-US"/>
        </w:rPr>
        <w:t>.</w:t>
      </w:r>
      <w:r w:rsidR="00B16926" w:rsidRPr="00AC7303">
        <w:rPr>
          <w:lang w:val="es-ES_tradnl" w:eastAsia="en-US"/>
        </w:rPr>
        <w:t>4), 18</w:t>
      </w:r>
      <w:r w:rsidR="00B16926" w:rsidRPr="00AC7303">
        <w:rPr>
          <w:i/>
          <w:lang w:val="es-ES_tradnl" w:eastAsia="en-US"/>
        </w:rPr>
        <w:t>bis</w:t>
      </w:r>
      <w:r w:rsidR="00FC68CB" w:rsidRPr="00AC7303">
        <w:rPr>
          <w:i/>
          <w:lang w:val="es-ES_tradnl" w:eastAsia="en-US"/>
        </w:rPr>
        <w:t>.</w:t>
      </w:r>
      <w:r w:rsidR="00B16926" w:rsidRPr="00AC7303">
        <w:rPr>
          <w:lang w:val="es-ES_tradnl" w:eastAsia="en-US"/>
        </w:rPr>
        <w:t xml:space="preserve">1) </w:t>
      </w:r>
      <w:r w:rsidR="00FC68CB" w:rsidRPr="00AC7303">
        <w:rPr>
          <w:lang w:val="es-ES_tradnl" w:eastAsia="en-US"/>
        </w:rPr>
        <w:t>y</w:t>
      </w:r>
      <w:r w:rsidR="00A64CAD">
        <w:rPr>
          <w:lang w:val="es-ES_tradnl" w:eastAsia="en-US"/>
        </w:rPr>
        <w:t> </w:t>
      </w:r>
      <w:r w:rsidR="00B16926" w:rsidRPr="00AC7303">
        <w:rPr>
          <w:lang w:val="es-ES_tradnl" w:eastAsia="en-US"/>
        </w:rPr>
        <w:t xml:space="preserve">2) </w:t>
      </w:r>
      <w:r w:rsidR="00FC68CB" w:rsidRPr="00AC7303">
        <w:rPr>
          <w:lang w:val="es-ES_tradnl" w:eastAsia="en-US"/>
        </w:rPr>
        <w:t>del Reglamento Común del Acta d</w:t>
      </w:r>
      <w:r w:rsidR="00AC7303" w:rsidRPr="00AC7303">
        <w:rPr>
          <w:lang w:val="es-ES_tradnl" w:eastAsia="en-US"/>
        </w:rPr>
        <w:t>e 1</w:t>
      </w:r>
      <w:r w:rsidR="00FC68CB" w:rsidRPr="00AC7303">
        <w:rPr>
          <w:lang w:val="es-ES_tradnl" w:eastAsia="en-US"/>
        </w:rPr>
        <w:t>999 y del Acta d</w:t>
      </w:r>
      <w:r w:rsidR="00AC7303" w:rsidRPr="00AC7303">
        <w:rPr>
          <w:lang w:val="es-ES_tradnl" w:eastAsia="en-US"/>
        </w:rPr>
        <w:t>e 1</w:t>
      </w:r>
      <w:r w:rsidR="00FC68CB" w:rsidRPr="00AC7303">
        <w:rPr>
          <w:lang w:val="es-ES_tradnl" w:eastAsia="en-US"/>
        </w:rPr>
        <w:t xml:space="preserve">960 del Arreglo de La Haya </w:t>
      </w:r>
      <w:r w:rsidR="00B16926" w:rsidRPr="00AC7303">
        <w:rPr>
          <w:lang w:val="es-ES_tradnl" w:eastAsia="en-US"/>
        </w:rPr>
        <w:t>(</w:t>
      </w:r>
      <w:r w:rsidR="00FC68CB" w:rsidRPr="00AC7303">
        <w:rPr>
          <w:lang w:val="es-ES_tradnl" w:eastAsia="en-US"/>
        </w:rPr>
        <w:t xml:space="preserve">en lo sucesivo, </w:t>
      </w:r>
      <w:r w:rsidR="00B16926" w:rsidRPr="00AC7303">
        <w:rPr>
          <w:lang w:val="es-ES_tradnl" w:eastAsia="en-US"/>
        </w:rPr>
        <w:t>“</w:t>
      </w:r>
      <w:r w:rsidR="00FC68CB" w:rsidRPr="00AC7303">
        <w:rPr>
          <w:lang w:val="es-ES_tradnl" w:eastAsia="en-US"/>
        </w:rPr>
        <w:t>Reglamento Común</w:t>
      </w:r>
      <w:r w:rsidR="00B16926" w:rsidRPr="00AC7303">
        <w:rPr>
          <w:lang w:val="es-ES_tradnl" w:eastAsia="en-US"/>
        </w:rPr>
        <w:t>”)</w:t>
      </w:r>
      <w:r w:rsidR="00B16926" w:rsidRPr="00AC7303">
        <w:rPr>
          <w:rStyle w:val="FootnoteReference"/>
          <w:lang w:val="es-ES_tradnl" w:eastAsia="en-US"/>
        </w:rPr>
        <w:footnoteReference w:id="2"/>
      </w:r>
      <w:r w:rsidR="00A64CAD">
        <w:rPr>
          <w:lang w:val="es-ES_tradnl" w:eastAsia="en-US"/>
        </w:rPr>
        <w:t>.</w:t>
      </w:r>
    </w:p>
    <w:p w:rsidR="00C552BF" w:rsidRPr="00AC7303" w:rsidRDefault="00700F5C" w:rsidP="0066526E">
      <w:pPr>
        <w:pStyle w:val="ONUME"/>
        <w:rPr>
          <w:lang w:val="es-ES_tradnl" w:eastAsia="en-US"/>
        </w:rPr>
      </w:pPr>
      <w:r w:rsidRPr="00AC7303">
        <w:rPr>
          <w:lang w:val="es-ES_tradnl" w:eastAsia="en-US"/>
        </w:rPr>
        <w:t>Con</w:t>
      </w:r>
      <w:r w:rsidR="00372304" w:rsidRPr="00AC7303">
        <w:rPr>
          <w:lang w:val="es-ES_tradnl" w:eastAsia="en-US"/>
        </w:rPr>
        <w:t xml:space="preserve"> las modificaciones aprobadas se introdujo un mecanismo para que toda modificación de un dibujo o modelo industrial </w:t>
      </w:r>
      <w:r w:rsidRPr="00AC7303">
        <w:rPr>
          <w:lang w:val="es-ES_tradnl" w:eastAsia="en-US"/>
        </w:rPr>
        <w:t>que se haga</w:t>
      </w:r>
      <w:r w:rsidR="00372304" w:rsidRPr="00AC7303">
        <w:rPr>
          <w:lang w:val="es-ES_tradnl" w:eastAsia="en-US"/>
        </w:rPr>
        <w:t xml:space="preserve"> mediante un procedimiento ante la Oficina de una Parte Contratante designada</w:t>
      </w:r>
      <w:r w:rsidR="0066526E" w:rsidRPr="00AC7303">
        <w:rPr>
          <w:lang w:val="es-ES_tradnl" w:eastAsia="en-US"/>
        </w:rPr>
        <w:t xml:space="preserve"> se comunique a la Oficina Internacional mediante una declaración de concesión de la protección con</w:t>
      </w:r>
      <w:r w:rsidR="00A160CD">
        <w:rPr>
          <w:lang w:val="es-ES_tradnl" w:eastAsia="en-US"/>
        </w:rPr>
        <w:t>forme</w:t>
      </w:r>
      <w:r w:rsidR="0066526E" w:rsidRPr="00AC7303">
        <w:rPr>
          <w:lang w:val="es-ES_tradnl" w:eastAsia="en-US"/>
        </w:rPr>
        <w:t xml:space="preserve"> a la Regla 18</w:t>
      </w:r>
      <w:r w:rsidR="0066526E" w:rsidRPr="00AC7303">
        <w:rPr>
          <w:i/>
          <w:lang w:val="es-ES_tradnl" w:eastAsia="en-US"/>
        </w:rPr>
        <w:t>bis</w:t>
      </w:r>
      <w:r w:rsidR="0066526E" w:rsidRPr="00AC7303">
        <w:rPr>
          <w:lang w:val="es-ES_tradnl" w:eastAsia="en-US"/>
        </w:rPr>
        <w:t xml:space="preserve">.1) </w:t>
      </w:r>
      <w:r w:rsidR="00AC7303" w:rsidRPr="00AC7303">
        <w:rPr>
          <w:lang w:val="es-ES_tradnl" w:eastAsia="en-US"/>
        </w:rPr>
        <w:t>o 2</w:t>
      </w:r>
      <w:r w:rsidRPr="00AC7303">
        <w:rPr>
          <w:lang w:val="es-ES_tradnl" w:eastAsia="en-US"/>
        </w:rPr>
        <w:t>)</w:t>
      </w:r>
      <w:r w:rsidR="0066526E" w:rsidRPr="00AC7303">
        <w:rPr>
          <w:lang w:val="es-ES_tradnl" w:eastAsia="en-US"/>
        </w:rPr>
        <w:t xml:space="preserve"> o mediante una notificación de retirada de una denegación con</w:t>
      </w:r>
      <w:r w:rsidR="00A160CD">
        <w:rPr>
          <w:lang w:val="es-ES_tradnl" w:eastAsia="en-US"/>
        </w:rPr>
        <w:t>forme</w:t>
      </w:r>
      <w:r w:rsidR="0066526E" w:rsidRPr="00AC7303">
        <w:rPr>
          <w:lang w:val="es-ES_tradnl" w:eastAsia="en-US"/>
        </w:rPr>
        <w:t xml:space="preserve"> a la Regl</w:t>
      </w:r>
      <w:r w:rsidR="00AC7303" w:rsidRPr="00AC7303">
        <w:rPr>
          <w:lang w:val="es-ES_tradnl" w:eastAsia="en-US"/>
        </w:rPr>
        <w:t>a 1</w:t>
      </w:r>
      <w:r w:rsidR="0066526E" w:rsidRPr="00AC7303">
        <w:rPr>
          <w:lang w:val="es-ES_tradnl" w:eastAsia="en-US"/>
        </w:rPr>
        <w:t>8.4).  En virtud de las Regla</w:t>
      </w:r>
      <w:r w:rsidR="00AC7303" w:rsidRPr="00AC7303">
        <w:rPr>
          <w:lang w:val="es-ES_tradnl" w:eastAsia="en-US"/>
        </w:rPr>
        <w:t>s 1</w:t>
      </w:r>
      <w:r w:rsidR="0066526E" w:rsidRPr="00AC7303">
        <w:rPr>
          <w:lang w:val="es-ES_tradnl" w:eastAsia="en-US"/>
        </w:rPr>
        <w:t>8.5), 18</w:t>
      </w:r>
      <w:r w:rsidR="0066526E" w:rsidRPr="00AC7303">
        <w:rPr>
          <w:i/>
          <w:lang w:val="es-ES_tradnl" w:eastAsia="en-US"/>
        </w:rPr>
        <w:t>bis</w:t>
      </w:r>
      <w:r w:rsidR="0066526E" w:rsidRPr="00AC7303">
        <w:rPr>
          <w:lang w:val="es-ES_tradnl" w:eastAsia="en-US"/>
        </w:rPr>
        <w:t>.3) y 26.1)ii), y como se describe en el párraf</w:t>
      </w:r>
      <w:r w:rsidR="00AC7303" w:rsidRPr="00AC7303">
        <w:rPr>
          <w:lang w:val="es-ES_tradnl" w:eastAsia="en-US"/>
        </w:rPr>
        <w:t>o 1</w:t>
      </w:r>
      <w:r w:rsidR="0066526E" w:rsidRPr="00AC7303">
        <w:rPr>
          <w:lang w:val="es-ES_tradnl" w:eastAsia="en-US"/>
        </w:rPr>
        <w:t xml:space="preserve">5 del documento H/A/34/2, presentado en el mencionado período de sesiones de la Asamblea de la Unión de La Haya, la Oficina </w:t>
      </w:r>
      <w:r w:rsidR="0066526E" w:rsidRPr="00AC7303">
        <w:rPr>
          <w:lang w:val="es-ES_tradnl" w:eastAsia="en-US"/>
        </w:rPr>
        <w:lastRenderedPageBreak/>
        <w:t xml:space="preserve">Internacional </w:t>
      </w:r>
      <w:r w:rsidR="00D93D77">
        <w:rPr>
          <w:lang w:val="es-ES_tradnl" w:eastAsia="en-US"/>
        </w:rPr>
        <w:t>pondr</w:t>
      </w:r>
      <w:r w:rsidR="00D93D77" w:rsidRPr="00AC7303">
        <w:rPr>
          <w:lang w:val="es-ES_tradnl" w:eastAsia="en-US"/>
        </w:rPr>
        <w:t>á</w:t>
      </w:r>
      <w:r w:rsidR="00D93D77">
        <w:rPr>
          <w:lang w:val="es-ES_tradnl" w:eastAsia="en-US"/>
        </w:rPr>
        <w:t xml:space="preserve"> a disposición del </w:t>
      </w:r>
      <w:r w:rsidR="00C91653">
        <w:rPr>
          <w:lang w:val="es-ES_tradnl" w:eastAsia="en-US"/>
        </w:rPr>
        <w:t xml:space="preserve">público </w:t>
      </w:r>
      <w:r w:rsidR="0066526E" w:rsidRPr="00AC7303">
        <w:rPr>
          <w:lang w:val="es-ES_tradnl" w:eastAsia="en-US"/>
        </w:rPr>
        <w:t xml:space="preserve">la información relativa a dichas modificaciones en el </w:t>
      </w:r>
      <w:r w:rsidR="0066526E" w:rsidRPr="00A160CD">
        <w:rPr>
          <w:i/>
          <w:lang w:val="es-ES_tradnl" w:eastAsia="en-US"/>
        </w:rPr>
        <w:t>Boletín de Dibujos y Modelos</w:t>
      </w:r>
      <w:r w:rsidR="00A160CD">
        <w:rPr>
          <w:i/>
          <w:lang w:val="es-ES_tradnl" w:eastAsia="en-US"/>
        </w:rPr>
        <w:t xml:space="preserve"> Internacionales </w:t>
      </w:r>
      <w:r w:rsidR="0066526E" w:rsidRPr="00AC7303">
        <w:rPr>
          <w:lang w:val="es-ES_tradnl" w:eastAsia="en-US"/>
        </w:rPr>
        <w:t xml:space="preserve">(en lo sucesivo, “el Boletín”) cargando una copia de la notificación o la declaración </w:t>
      </w:r>
      <w:r w:rsidR="00C91653">
        <w:rPr>
          <w:lang w:val="es-ES_tradnl" w:eastAsia="en-US"/>
        </w:rPr>
        <w:t xml:space="preserve">tal como la </w:t>
      </w:r>
      <w:r w:rsidR="0066526E" w:rsidRPr="00AC7303">
        <w:rPr>
          <w:lang w:val="es-ES_tradnl" w:eastAsia="en-US"/>
        </w:rPr>
        <w:t>haya recibido de la Oficina</w:t>
      </w:r>
      <w:r w:rsidR="00B16926" w:rsidRPr="00AC7303">
        <w:rPr>
          <w:lang w:val="es-ES_tradnl" w:eastAsia="en-US"/>
        </w:rPr>
        <w:t>.</w:t>
      </w:r>
    </w:p>
    <w:p w:rsidR="00C552BF" w:rsidRPr="00AC7303" w:rsidRDefault="00675C81" w:rsidP="00190B30">
      <w:pPr>
        <w:pStyle w:val="ONUME"/>
        <w:rPr>
          <w:lang w:val="es-ES_tradnl" w:eastAsia="en-US"/>
        </w:rPr>
      </w:pPr>
      <w:r w:rsidRPr="00AC7303">
        <w:rPr>
          <w:lang w:val="es-ES_tradnl" w:eastAsia="en-US"/>
        </w:rPr>
        <w:t>Las disposiciones modificadas entraron en vigor e</w:t>
      </w:r>
      <w:r w:rsidR="00AC7303" w:rsidRPr="00AC7303">
        <w:rPr>
          <w:lang w:val="es-ES_tradnl" w:eastAsia="en-US"/>
        </w:rPr>
        <w:t>l 1</w:t>
      </w:r>
      <w:r w:rsidRPr="00AC7303">
        <w:rPr>
          <w:lang w:val="es-ES_tradnl" w:eastAsia="en-US"/>
        </w:rPr>
        <w:t xml:space="preserve"> de enero d</w:t>
      </w:r>
      <w:r w:rsidR="00AC7303" w:rsidRPr="00AC7303">
        <w:rPr>
          <w:lang w:val="es-ES_tradnl" w:eastAsia="en-US"/>
        </w:rPr>
        <w:t>e 2</w:t>
      </w:r>
      <w:r w:rsidRPr="00AC7303">
        <w:rPr>
          <w:lang w:val="es-ES_tradnl" w:eastAsia="en-US"/>
        </w:rPr>
        <w:t xml:space="preserve">015.  En virtud de dichas disposiciones, </w:t>
      </w:r>
      <w:r w:rsidR="00E22D39">
        <w:rPr>
          <w:lang w:val="es-ES_tradnl" w:eastAsia="en-US"/>
        </w:rPr>
        <w:t xml:space="preserve">las </w:t>
      </w:r>
      <w:r w:rsidRPr="00AC7303">
        <w:rPr>
          <w:lang w:val="es-ES_tradnl" w:eastAsia="en-US"/>
        </w:rPr>
        <w:t>copias en PDF de las notificaciones de retirada de la denegación y</w:t>
      </w:r>
      <w:r w:rsidR="009F1B8B">
        <w:rPr>
          <w:lang w:val="es-ES_tradnl" w:eastAsia="en-US"/>
        </w:rPr>
        <w:t xml:space="preserve"> de las</w:t>
      </w:r>
      <w:r w:rsidRPr="00AC7303">
        <w:rPr>
          <w:lang w:val="es-ES_tradnl" w:eastAsia="en-US"/>
        </w:rPr>
        <w:t xml:space="preserve"> </w:t>
      </w:r>
      <w:r w:rsidR="00700F5C" w:rsidRPr="00AC7303">
        <w:rPr>
          <w:lang w:val="es-ES_tradnl" w:eastAsia="en-US"/>
        </w:rPr>
        <w:t>declaraciones</w:t>
      </w:r>
      <w:r w:rsidRPr="00AC7303">
        <w:rPr>
          <w:lang w:val="es-ES_tradnl" w:eastAsia="en-US"/>
        </w:rPr>
        <w:t xml:space="preserve"> de concesión de la protección recibidas </w:t>
      </w:r>
      <w:r w:rsidR="006E098D" w:rsidRPr="00AC7303">
        <w:rPr>
          <w:lang w:val="es-ES_tradnl" w:eastAsia="en-US"/>
        </w:rPr>
        <w:t xml:space="preserve">en la fecha indicada anteriormente, o en una fecha posterior, </w:t>
      </w:r>
      <w:r w:rsidR="00C57685">
        <w:rPr>
          <w:lang w:val="es-ES_tradnl" w:eastAsia="en-US"/>
        </w:rPr>
        <w:t xml:space="preserve">son puestas a disposición </w:t>
      </w:r>
      <w:r w:rsidR="00846FF7">
        <w:rPr>
          <w:lang w:val="es-ES_tradnl" w:eastAsia="en-US"/>
        </w:rPr>
        <w:t>del público</w:t>
      </w:r>
      <w:r w:rsidR="00846FF7" w:rsidRPr="00AC7303">
        <w:rPr>
          <w:lang w:val="es-ES_tradnl" w:eastAsia="en-US"/>
        </w:rPr>
        <w:t xml:space="preserve"> </w:t>
      </w:r>
      <w:r w:rsidR="00C57685" w:rsidRPr="00AC7303">
        <w:rPr>
          <w:lang w:val="es-ES_tradnl" w:eastAsia="en-US"/>
        </w:rPr>
        <w:t xml:space="preserve">en el </w:t>
      </w:r>
      <w:r w:rsidR="00C57685" w:rsidRPr="00E97778">
        <w:rPr>
          <w:lang w:val="es-ES_tradnl" w:eastAsia="en-US"/>
        </w:rPr>
        <w:t>Boletín</w:t>
      </w:r>
      <w:r w:rsidR="00C57685" w:rsidRPr="00AC7303">
        <w:rPr>
          <w:lang w:val="es-ES_tradnl" w:eastAsia="en-US"/>
        </w:rPr>
        <w:t xml:space="preserve"> </w:t>
      </w:r>
      <w:r w:rsidR="006E098D" w:rsidRPr="00AC7303">
        <w:rPr>
          <w:lang w:val="es-ES_tradnl" w:eastAsia="en-US"/>
        </w:rPr>
        <w:t xml:space="preserve">así como en la base de datos </w:t>
      </w:r>
      <w:r w:rsidR="006E098D" w:rsidRPr="00AC7303">
        <w:rPr>
          <w:i/>
          <w:lang w:val="es-ES_tradnl" w:eastAsia="en-US"/>
        </w:rPr>
        <w:t>Hague Express</w:t>
      </w:r>
      <w:r w:rsidR="006E098D" w:rsidRPr="00AC7303">
        <w:rPr>
          <w:lang w:val="es-ES_tradnl" w:eastAsia="en-US"/>
        </w:rPr>
        <w:t xml:space="preserve">, con objeto de </w:t>
      </w:r>
      <w:r w:rsidR="00700F5C" w:rsidRPr="00AC7303">
        <w:rPr>
          <w:lang w:val="es-ES_tradnl" w:eastAsia="en-US"/>
        </w:rPr>
        <w:t>facilitar</w:t>
      </w:r>
      <w:r w:rsidR="006E098D" w:rsidRPr="00AC7303">
        <w:rPr>
          <w:lang w:val="es-ES_tradnl" w:eastAsia="en-US"/>
        </w:rPr>
        <w:t xml:space="preserve"> el acceso a la información.  Desde entonces,</w:t>
      </w:r>
      <w:r w:rsidR="00190B30" w:rsidRPr="00AC7303">
        <w:rPr>
          <w:lang w:val="es-ES_tradnl" w:eastAsia="en-US"/>
        </w:rPr>
        <w:t xml:space="preserve"> </w:t>
      </w:r>
      <w:r w:rsidR="00D8171D">
        <w:rPr>
          <w:lang w:val="es-ES_tradnl" w:eastAsia="en-US"/>
        </w:rPr>
        <w:t xml:space="preserve">también se pone a disposición del público </w:t>
      </w:r>
      <w:r w:rsidR="00190B30" w:rsidRPr="00AC7303">
        <w:rPr>
          <w:lang w:val="es-ES_tradnl" w:eastAsia="en-US"/>
        </w:rPr>
        <w:t>una copia en PD</w:t>
      </w:r>
      <w:r w:rsidR="00E9143F" w:rsidRPr="00AC7303">
        <w:rPr>
          <w:lang w:val="es-ES_tradnl" w:eastAsia="en-US"/>
        </w:rPr>
        <w:t>F</w:t>
      </w:r>
      <w:r w:rsidR="00190B30" w:rsidRPr="00AC7303">
        <w:rPr>
          <w:lang w:val="es-ES_tradnl" w:eastAsia="en-US"/>
        </w:rPr>
        <w:t xml:space="preserve"> de </w:t>
      </w:r>
      <w:r w:rsidR="00E9143F" w:rsidRPr="00AC7303">
        <w:rPr>
          <w:lang w:val="es-ES_tradnl" w:eastAsia="en-US"/>
        </w:rPr>
        <w:t xml:space="preserve">las notificaciones de </w:t>
      </w:r>
      <w:r w:rsidR="00190B30" w:rsidRPr="00AC7303">
        <w:rPr>
          <w:lang w:val="es-ES_tradnl" w:eastAsia="en-US"/>
        </w:rPr>
        <w:t xml:space="preserve">denegación para presentar </w:t>
      </w:r>
      <w:r w:rsidR="00E60A5F">
        <w:rPr>
          <w:lang w:val="es-ES_tradnl" w:eastAsia="en-US"/>
        </w:rPr>
        <w:t>el</w:t>
      </w:r>
      <w:r w:rsidR="00190B30" w:rsidRPr="00AC7303">
        <w:rPr>
          <w:lang w:val="es-ES_tradnl" w:eastAsia="en-US"/>
        </w:rPr>
        <w:t xml:space="preserve"> historia</w:t>
      </w:r>
      <w:r w:rsidR="00E60A5F">
        <w:rPr>
          <w:lang w:val="es-ES_tradnl" w:eastAsia="en-US"/>
        </w:rPr>
        <w:t>l</w:t>
      </w:r>
      <w:r w:rsidR="00190B30" w:rsidRPr="00AC7303">
        <w:rPr>
          <w:lang w:val="es-ES_tradnl" w:eastAsia="en-US"/>
        </w:rPr>
        <w:t xml:space="preserve"> o la información</w:t>
      </w:r>
      <w:r w:rsidR="00E60A5F">
        <w:rPr>
          <w:lang w:val="es-ES_tradnl" w:eastAsia="en-US"/>
        </w:rPr>
        <w:t xml:space="preserve"> sobre</w:t>
      </w:r>
      <w:r w:rsidR="00190B30" w:rsidRPr="00AC7303">
        <w:rPr>
          <w:lang w:val="es-ES_tradnl" w:eastAsia="en-US"/>
        </w:rPr>
        <w:t xml:space="preserve"> </w:t>
      </w:r>
      <w:r w:rsidR="00E60A5F">
        <w:rPr>
          <w:lang w:val="es-ES_tradnl" w:eastAsia="en-US"/>
        </w:rPr>
        <w:t xml:space="preserve">los </w:t>
      </w:r>
      <w:r w:rsidR="00190B30" w:rsidRPr="00AC7303">
        <w:rPr>
          <w:lang w:val="es-ES_tradnl" w:eastAsia="en-US"/>
        </w:rPr>
        <w:t xml:space="preserve">antecedentes </w:t>
      </w:r>
      <w:r w:rsidR="00E60A5F">
        <w:rPr>
          <w:lang w:val="es-ES_tradnl" w:eastAsia="en-US"/>
        </w:rPr>
        <w:t xml:space="preserve">del expediente </w:t>
      </w:r>
      <w:r w:rsidR="00190B30" w:rsidRPr="00AC7303">
        <w:rPr>
          <w:lang w:val="es-ES_tradnl" w:eastAsia="en-US"/>
        </w:rPr>
        <w:t>pertinente</w:t>
      </w:r>
      <w:r w:rsidR="00E60A5F">
        <w:rPr>
          <w:lang w:val="es-ES_tradnl" w:eastAsia="en-US"/>
        </w:rPr>
        <w:t>s</w:t>
      </w:r>
      <w:r w:rsidR="00190B30" w:rsidRPr="00AC7303">
        <w:rPr>
          <w:lang w:val="es-ES_tradnl" w:eastAsia="en-US"/>
        </w:rPr>
        <w:t xml:space="preserve"> a las modificaciones introducidas en el dibujo o modelo industrial</w:t>
      </w:r>
      <w:r w:rsidR="00B16926" w:rsidRPr="00AC7303">
        <w:rPr>
          <w:rStyle w:val="FootnoteReference"/>
          <w:lang w:val="es-ES_tradnl"/>
        </w:rPr>
        <w:footnoteReference w:id="3"/>
      </w:r>
      <w:r w:rsidR="006F40EA">
        <w:rPr>
          <w:lang w:val="es-ES_tradnl" w:eastAsia="en-US"/>
        </w:rPr>
        <w:t>.</w:t>
      </w:r>
    </w:p>
    <w:p w:rsidR="00C552BF" w:rsidRPr="00AC7303" w:rsidRDefault="00190B30" w:rsidP="00B16926">
      <w:pPr>
        <w:pStyle w:val="ONUME"/>
        <w:rPr>
          <w:lang w:val="es-ES_tradnl" w:eastAsia="en-US"/>
        </w:rPr>
      </w:pPr>
      <w:r w:rsidRPr="00AC7303">
        <w:rPr>
          <w:lang w:val="es-ES_tradnl"/>
        </w:rPr>
        <w:t>La finalidad del presente document</w:t>
      </w:r>
      <w:r w:rsidR="00A91B25" w:rsidRPr="00AC7303">
        <w:rPr>
          <w:lang w:val="es-ES_tradnl"/>
        </w:rPr>
        <w:t>o</w:t>
      </w:r>
      <w:r w:rsidRPr="00AC7303">
        <w:rPr>
          <w:lang w:val="es-ES_tradnl"/>
        </w:rPr>
        <w:t xml:space="preserve"> es iniciar el debate </w:t>
      </w:r>
      <w:r w:rsidR="00A91B25" w:rsidRPr="00AC7303">
        <w:rPr>
          <w:lang w:val="es-ES_tradnl"/>
        </w:rPr>
        <w:t xml:space="preserve">sobre la conveniencia de revisar la práctica de la Oficina Internacional de </w:t>
      </w:r>
      <w:r w:rsidR="00873309" w:rsidRPr="00AC7303">
        <w:rPr>
          <w:lang w:val="es-ES_tradnl"/>
        </w:rPr>
        <w:t>poner a disposición de terceros</w:t>
      </w:r>
      <w:r w:rsidR="00A91B25" w:rsidRPr="00AC7303">
        <w:rPr>
          <w:lang w:val="es-ES_tradnl"/>
        </w:rPr>
        <w:t xml:space="preserve"> las notificaciones de denegación</w:t>
      </w:r>
      <w:r w:rsidR="00B16926" w:rsidRPr="00AC7303">
        <w:rPr>
          <w:lang w:val="es-ES_tradnl"/>
        </w:rPr>
        <w:t>.</w:t>
      </w:r>
    </w:p>
    <w:p w:rsidR="00C552BF" w:rsidRPr="00AC7303" w:rsidRDefault="00B16926" w:rsidP="00B16926">
      <w:pPr>
        <w:pStyle w:val="Heading1"/>
        <w:spacing w:before="480"/>
        <w:rPr>
          <w:lang w:val="es-ES_tradnl"/>
        </w:rPr>
      </w:pPr>
      <w:r w:rsidRPr="00AC7303">
        <w:rPr>
          <w:lang w:val="es-ES_tradnl"/>
        </w:rPr>
        <w:t>II.</w:t>
      </w:r>
      <w:r w:rsidRPr="00AC7303">
        <w:rPr>
          <w:lang w:val="es-ES_tradnl"/>
        </w:rPr>
        <w:tab/>
      </w:r>
      <w:r w:rsidR="002F6B4A" w:rsidRPr="00AC7303">
        <w:rPr>
          <w:lang w:val="es-ES_tradnl"/>
        </w:rPr>
        <w:t>CUESTIÓN OBJETO DE DEBATE</w:t>
      </w:r>
    </w:p>
    <w:p w:rsidR="00C552BF" w:rsidRDefault="0000676B" w:rsidP="00B16926">
      <w:pPr>
        <w:pStyle w:val="Heading2"/>
        <w:rPr>
          <w:lang w:val="es-ES_tradnl" w:eastAsia="en-US"/>
        </w:rPr>
      </w:pPr>
      <w:r w:rsidRPr="00AC7303">
        <w:rPr>
          <w:lang w:val="es-ES_tradnl" w:eastAsia="en-US"/>
        </w:rPr>
        <w:t xml:space="preserve">VENTAJAS E INCONVENIENTES DEL </w:t>
      </w:r>
      <w:r w:rsidR="00396FD2" w:rsidRPr="00AC7303">
        <w:rPr>
          <w:lang w:val="es-ES_tradnl" w:eastAsia="en-US"/>
        </w:rPr>
        <w:t xml:space="preserve">libre </w:t>
      </w:r>
      <w:r w:rsidRPr="00AC7303">
        <w:rPr>
          <w:lang w:val="es-ES_tradnl" w:eastAsia="en-US"/>
        </w:rPr>
        <w:t>acceso a los motivos de denegación</w:t>
      </w:r>
    </w:p>
    <w:p w:rsidR="00C552BF" w:rsidRPr="00AC7303" w:rsidRDefault="002F6B4A" w:rsidP="009C31B1">
      <w:pPr>
        <w:pStyle w:val="ONUME"/>
        <w:rPr>
          <w:lang w:val="es-ES_tradnl" w:eastAsia="en-US"/>
        </w:rPr>
      </w:pPr>
      <w:r w:rsidRPr="00AC7303">
        <w:rPr>
          <w:lang w:val="es-ES_tradnl" w:eastAsia="en-US"/>
        </w:rPr>
        <w:t>Al publicarla</w:t>
      </w:r>
      <w:r w:rsidR="0000676B" w:rsidRPr="00AC7303">
        <w:rPr>
          <w:lang w:val="es-ES_tradnl" w:eastAsia="en-US"/>
        </w:rPr>
        <w:t xml:space="preserve"> en el Boletín, </w:t>
      </w:r>
      <w:r w:rsidR="009C31B1" w:rsidRPr="00AC7303">
        <w:rPr>
          <w:lang w:val="es-ES_tradnl" w:eastAsia="en-US"/>
        </w:rPr>
        <w:t xml:space="preserve">la Oficina Internacional pone a disposición de terceros </w:t>
      </w:r>
      <w:r w:rsidR="0000676B" w:rsidRPr="00AC7303">
        <w:rPr>
          <w:lang w:val="es-ES_tradnl" w:eastAsia="en-US"/>
        </w:rPr>
        <w:t xml:space="preserve">información sobre </w:t>
      </w:r>
      <w:r w:rsidRPr="00AC7303">
        <w:rPr>
          <w:lang w:val="es-ES_tradnl" w:eastAsia="en-US"/>
        </w:rPr>
        <w:t>un registro internacional</w:t>
      </w:r>
      <w:r w:rsidR="00396FD2" w:rsidRPr="00AC7303">
        <w:rPr>
          <w:lang w:val="es-ES_tradnl" w:eastAsia="en-US"/>
        </w:rPr>
        <w:t>, previo pago de una tasa,</w:t>
      </w:r>
      <w:r w:rsidR="009C31B1" w:rsidRPr="00AC7303">
        <w:rPr>
          <w:lang w:val="es-ES_tradnl" w:eastAsia="en-US"/>
        </w:rPr>
        <w:t xml:space="preserve"> en virtud de la Regl</w:t>
      </w:r>
      <w:r w:rsidR="00AC7303" w:rsidRPr="00AC7303">
        <w:rPr>
          <w:lang w:val="es-ES_tradnl" w:eastAsia="en-US"/>
        </w:rPr>
        <w:t>a 3</w:t>
      </w:r>
      <w:r w:rsidR="009C31B1" w:rsidRPr="00AC7303">
        <w:rPr>
          <w:lang w:val="es-ES_tradnl" w:eastAsia="en-US"/>
        </w:rPr>
        <w:t>2.1)ii) o iii)</w:t>
      </w:r>
      <w:r w:rsidR="009C31B1" w:rsidRPr="00AC7303">
        <w:rPr>
          <w:rStyle w:val="FootnoteReference"/>
          <w:lang w:val="es-ES_tradnl" w:eastAsia="en-US"/>
        </w:rPr>
        <w:footnoteReference w:id="4"/>
      </w:r>
      <w:r w:rsidR="006F40EA">
        <w:rPr>
          <w:lang w:val="es-ES_tradnl" w:eastAsia="en-US"/>
        </w:rPr>
        <w:t>.</w:t>
      </w:r>
      <w:r w:rsidR="00E60A5F">
        <w:rPr>
          <w:lang w:val="es-ES_tradnl" w:eastAsia="en-US"/>
        </w:rPr>
        <w:t xml:space="preserve">  </w:t>
      </w:r>
      <w:r w:rsidR="009C31B1" w:rsidRPr="00AC7303">
        <w:rPr>
          <w:lang w:val="es-ES_tradnl" w:eastAsia="en-US"/>
        </w:rPr>
        <w:t xml:space="preserve">Dicha información comprende una copia de la solicitud internacional tal y como haya sido presentada y toda notificación recibida de </w:t>
      </w:r>
      <w:r w:rsidRPr="00AC7303">
        <w:rPr>
          <w:lang w:val="es-ES_tradnl" w:eastAsia="en-US"/>
        </w:rPr>
        <w:t>l</w:t>
      </w:r>
      <w:r w:rsidR="009C31B1" w:rsidRPr="00AC7303">
        <w:rPr>
          <w:lang w:val="es-ES_tradnl" w:eastAsia="en-US"/>
        </w:rPr>
        <w:t>a</w:t>
      </w:r>
      <w:r w:rsidR="00E60A5F">
        <w:rPr>
          <w:lang w:val="es-ES_tradnl" w:eastAsia="en-US"/>
        </w:rPr>
        <w:t>s</w:t>
      </w:r>
      <w:r w:rsidR="009C31B1" w:rsidRPr="00AC7303">
        <w:rPr>
          <w:lang w:val="es-ES_tradnl" w:eastAsia="en-US"/>
        </w:rPr>
        <w:t xml:space="preserve"> Parte</w:t>
      </w:r>
      <w:r w:rsidR="00E60A5F">
        <w:rPr>
          <w:lang w:val="es-ES_tradnl" w:eastAsia="en-US"/>
        </w:rPr>
        <w:t>s</w:t>
      </w:r>
      <w:r w:rsidR="009C31B1" w:rsidRPr="00AC7303">
        <w:rPr>
          <w:lang w:val="es-ES_tradnl" w:eastAsia="en-US"/>
        </w:rPr>
        <w:t xml:space="preserve"> Contratante</w:t>
      </w:r>
      <w:r w:rsidR="00E60A5F">
        <w:rPr>
          <w:lang w:val="es-ES_tradnl" w:eastAsia="en-US"/>
        </w:rPr>
        <w:t>s</w:t>
      </w:r>
      <w:r w:rsidR="009C31B1" w:rsidRPr="00AC7303">
        <w:rPr>
          <w:lang w:val="es-ES_tradnl" w:eastAsia="en-US"/>
        </w:rPr>
        <w:t xml:space="preserve"> designada</w:t>
      </w:r>
      <w:r w:rsidR="00E60A5F">
        <w:rPr>
          <w:lang w:val="es-ES_tradnl" w:eastAsia="en-US"/>
        </w:rPr>
        <w:t>s</w:t>
      </w:r>
      <w:r w:rsidR="00B16926" w:rsidRPr="00AC7303">
        <w:rPr>
          <w:lang w:val="es-ES_tradnl" w:eastAsia="en-US"/>
        </w:rPr>
        <w:t>.</w:t>
      </w:r>
    </w:p>
    <w:p w:rsidR="00C552BF" w:rsidRPr="00AC7303" w:rsidRDefault="00CA2971" w:rsidP="00FD791F">
      <w:pPr>
        <w:pStyle w:val="ONUME"/>
        <w:rPr>
          <w:lang w:val="es-ES_tradnl" w:eastAsia="en-US"/>
        </w:rPr>
      </w:pPr>
      <w:r w:rsidRPr="00AC7303">
        <w:rPr>
          <w:lang w:val="es-ES_tradnl" w:eastAsia="en-US"/>
        </w:rPr>
        <w:t xml:space="preserve">Facilitar el acceso a </w:t>
      </w:r>
      <w:r w:rsidR="002F6B4A" w:rsidRPr="00AC7303">
        <w:rPr>
          <w:lang w:val="es-ES_tradnl" w:eastAsia="en-US"/>
        </w:rPr>
        <w:t>una</w:t>
      </w:r>
      <w:r w:rsidRPr="00AC7303">
        <w:rPr>
          <w:lang w:val="es-ES_tradnl" w:eastAsia="en-US"/>
        </w:rPr>
        <w:t xml:space="preserve"> notificación de denegación </w:t>
      </w:r>
      <w:r w:rsidR="002F6B4A" w:rsidRPr="00AC7303">
        <w:rPr>
          <w:lang w:val="es-ES_tradnl" w:eastAsia="en-US"/>
        </w:rPr>
        <w:t>puede</w:t>
      </w:r>
      <w:r w:rsidRPr="00AC7303">
        <w:rPr>
          <w:lang w:val="es-ES_tradnl" w:eastAsia="en-US"/>
        </w:rPr>
        <w:t xml:space="preserve"> resultar muy útil a los usuarios del Sistema de La Haya </w:t>
      </w:r>
      <w:r w:rsidR="002F6B4A" w:rsidRPr="00AC7303">
        <w:rPr>
          <w:lang w:val="es-ES_tradnl" w:eastAsia="en-US"/>
        </w:rPr>
        <w:t>para estudiar</w:t>
      </w:r>
      <w:r w:rsidRPr="00AC7303">
        <w:rPr>
          <w:lang w:val="es-ES_tradnl" w:eastAsia="en-US"/>
        </w:rPr>
        <w:t xml:space="preserve"> los requisitos sustantivos, en particular, los relativos al grado de divulgación </w:t>
      </w:r>
      <w:r w:rsidR="00396FD2" w:rsidRPr="00AC7303">
        <w:rPr>
          <w:lang w:val="es-ES_tradnl" w:eastAsia="en-US"/>
        </w:rPr>
        <w:t>requerido</w:t>
      </w:r>
      <w:r w:rsidR="00631DEE" w:rsidRPr="00AC7303">
        <w:rPr>
          <w:lang w:val="es-ES_tradnl" w:eastAsia="en-US"/>
        </w:rPr>
        <w:t xml:space="preserve"> </w:t>
      </w:r>
      <w:r w:rsidRPr="00AC7303">
        <w:rPr>
          <w:lang w:val="es-ES_tradnl" w:eastAsia="en-US"/>
        </w:rPr>
        <w:t>del dibujo o modelo industrial cuando se designen determinadas Partes Contratantes</w:t>
      </w:r>
      <w:r w:rsidRPr="00AC7303">
        <w:rPr>
          <w:rStyle w:val="FootnoteReference"/>
          <w:lang w:val="es-ES_tradnl" w:eastAsia="en-US"/>
        </w:rPr>
        <w:footnoteReference w:id="5"/>
      </w:r>
      <w:r w:rsidR="006F40EA">
        <w:rPr>
          <w:lang w:val="es-ES_tradnl" w:eastAsia="en-US"/>
        </w:rPr>
        <w:t>.</w:t>
      </w:r>
      <w:r w:rsidR="00DD5D6D" w:rsidRPr="00AC7303">
        <w:rPr>
          <w:lang w:val="es-ES_tradnl" w:eastAsia="en-US"/>
        </w:rPr>
        <w:t xml:space="preserve">  La mención de un dibujo o modelo anterior también puede familiarizar a los usuarios con</w:t>
      </w:r>
      <w:r w:rsidRPr="00AC7303">
        <w:rPr>
          <w:lang w:val="es-ES_tradnl" w:eastAsia="en-US"/>
        </w:rPr>
        <w:t xml:space="preserve"> </w:t>
      </w:r>
      <w:r w:rsidR="00DD5D6D" w:rsidRPr="00AC7303">
        <w:rPr>
          <w:lang w:val="es-ES_tradnl" w:eastAsia="en-US"/>
        </w:rPr>
        <w:t xml:space="preserve">el grado de similitud </w:t>
      </w:r>
      <w:r w:rsidR="00631DEE" w:rsidRPr="00AC7303">
        <w:rPr>
          <w:lang w:val="es-ES_tradnl" w:eastAsia="en-US"/>
        </w:rPr>
        <w:t xml:space="preserve">de los dibujos y modelos </w:t>
      </w:r>
      <w:r w:rsidR="00FD791F" w:rsidRPr="00AC7303">
        <w:rPr>
          <w:lang w:val="es-ES_tradnl" w:eastAsia="en-US"/>
        </w:rPr>
        <w:t>determinado por una Oficina en particular, cuando proceda, con respecto a cada tipo de producto</w:t>
      </w:r>
      <w:r w:rsidR="00B16926" w:rsidRPr="00AC7303">
        <w:rPr>
          <w:lang w:val="es-ES_tradnl" w:eastAsia="en-US"/>
        </w:rPr>
        <w:t>.</w:t>
      </w:r>
    </w:p>
    <w:p w:rsidR="00C552BF" w:rsidRPr="00AC7303" w:rsidRDefault="00FF22B2" w:rsidP="00B16926">
      <w:pPr>
        <w:pStyle w:val="ONUME"/>
        <w:rPr>
          <w:lang w:val="es-ES_tradnl" w:eastAsia="en-US"/>
        </w:rPr>
      </w:pPr>
      <w:r w:rsidRPr="00AC7303">
        <w:rPr>
          <w:lang w:val="es-ES_tradnl" w:eastAsia="en-US"/>
        </w:rPr>
        <w:t xml:space="preserve">No obstante, en ocasiones se </w:t>
      </w:r>
      <w:r w:rsidR="00631DEE" w:rsidRPr="00AC7303">
        <w:rPr>
          <w:lang w:val="es-ES_tradnl" w:eastAsia="en-US"/>
        </w:rPr>
        <w:t>ha señalado</w:t>
      </w:r>
      <w:r w:rsidRPr="00AC7303">
        <w:rPr>
          <w:lang w:val="es-ES_tradnl" w:eastAsia="en-US"/>
        </w:rPr>
        <w:t xml:space="preserve"> a la atención de la Oficina Internacional que, a juicio de al</w:t>
      </w:r>
      <w:r w:rsidR="001B1816">
        <w:rPr>
          <w:lang w:val="es-ES_tradnl" w:eastAsia="en-US"/>
        </w:rPr>
        <w:t xml:space="preserve">gunos usuarios potenciales, esa libertad de </w:t>
      </w:r>
      <w:r w:rsidRPr="00AC7303">
        <w:rPr>
          <w:lang w:val="es-ES_tradnl" w:eastAsia="en-US"/>
        </w:rPr>
        <w:t xml:space="preserve">acceso a los motivos de denegación es un factor </w:t>
      </w:r>
      <w:r w:rsidR="00501D44" w:rsidRPr="00AC7303">
        <w:rPr>
          <w:lang w:val="es-ES_tradnl" w:eastAsia="en-US"/>
        </w:rPr>
        <w:t xml:space="preserve">disuasorio del uso del Sistema de La Haya, puesto que </w:t>
      </w:r>
      <w:r w:rsidR="008E76DE">
        <w:rPr>
          <w:lang w:val="es-ES_tradnl" w:eastAsia="en-US"/>
        </w:rPr>
        <w:t>el</w:t>
      </w:r>
      <w:r w:rsidR="00501D44" w:rsidRPr="00AC7303">
        <w:rPr>
          <w:lang w:val="es-ES_tradnl" w:eastAsia="en-US"/>
        </w:rPr>
        <w:t xml:space="preserve"> dibujo </w:t>
      </w:r>
      <w:r w:rsidR="008E76DE">
        <w:rPr>
          <w:lang w:val="es-ES_tradnl" w:eastAsia="en-US"/>
        </w:rPr>
        <w:t>o</w:t>
      </w:r>
      <w:r w:rsidR="00501D44" w:rsidRPr="00AC7303">
        <w:rPr>
          <w:lang w:val="es-ES_tradnl" w:eastAsia="en-US"/>
        </w:rPr>
        <w:t xml:space="preserve"> modelo anterior </w:t>
      </w:r>
      <w:r w:rsidR="00631DEE" w:rsidRPr="00AC7303">
        <w:rPr>
          <w:lang w:val="es-ES_tradnl" w:eastAsia="en-US"/>
        </w:rPr>
        <w:t>mencionado</w:t>
      </w:r>
      <w:r w:rsidR="00501D44" w:rsidRPr="00AC7303">
        <w:rPr>
          <w:lang w:val="es-ES_tradnl" w:eastAsia="en-US"/>
        </w:rPr>
        <w:t xml:space="preserve"> en una notificación de denegación </w:t>
      </w:r>
      <w:r w:rsidR="00631DEE" w:rsidRPr="00AC7303">
        <w:rPr>
          <w:lang w:val="es-ES_tradnl" w:eastAsia="en-US"/>
        </w:rPr>
        <w:t>que haya emitido una</w:t>
      </w:r>
      <w:r w:rsidR="00501D44" w:rsidRPr="00AC7303">
        <w:rPr>
          <w:lang w:val="es-ES_tradnl" w:eastAsia="en-US"/>
        </w:rPr>
        <w:t xml:space="preserve"> Oficina pasa a estar en conocimiento de los competidores</w:t>
      </w:r>
      <w:r w:rsidR="00631DEE" w:rsidRPr="00AC7303">
        <w:rPr>
          <w:lang w:val="es-ES_tradnl" w:eastAsia="en-US"/>
        </w:rPr>
        <w:t xml:space="preserve">, </w:t>
      </w:r>
      <w:r w:rsidR="001B1816">
        <w:rPr>
          <w:lang w:val="es-ES_tradnl" w:eastAsia="en-US"/>
        </w:rPr>
        <w:t xml:space="preserve">y </w:t>
      </w:r>
      <w:r w:rsidR="00631DEE" w:rsidRPr="00AC7303">
        <w:rPr>
          <w:lang w:val="es-ES_tradnl" w:eastAsia="en-US"/>
        </w:rPr>
        <w:t>podría</w:t>
      </w:r>
      <w:r w:rsidR="00501D44" w:rsidRPr="00AC7303">
        <w:rPr>
          <w:lang w:val="es-ES_tradnl" w:eastAsia="en-US"/>
        </w:rPr>
        <w:t xml:space="preserve"> utilizarse como un </w:t>
      </w:r>
      <w:r w:rsidR="001B1816">
        <w:rPr>
          <w:lang w:val="es-ES_tradnl" w:eastAsia="en-US"/>
        </w:rPr>
        <w:t xml:space="preserve">eventual </w:t>
      </w:r>
      <w:r w:rsidR="00501D44" w:rsidRPr="00AC7303">
        <w:rPr>
          <w:lang w:val="es-ES_tradnl" w:eastAsia="en-US"/>
        </w:rPr>
        <w:t>motivo de invalidación en otras jurisdicciones.</w:t>
      </w:r>
    </w:p>
    <w:p w:rsidR="00C552BF" w:rsidRPr="00AC7303" w:rsidRDefault="00B16926" w:rsidP="00AC7303">
      <w:pPr>
        <w:pStyle w:val="Heading1"/>
        <w:spacing w:before="480"/>
        <w:rPr>
          <w:lang w:val="es-ES_tradnl"/>
        </w:rPr>
      </w:pPr>
      <w:r w:rsidRPr="00AC7303">
        <w:rPr>
          <w:lang w:val="es-ES_tradnl"/>
        </w:rPr>
        <w:lastRenderedPageBreak/>
        <w:t>III.</w:t>
      </w:r>
      <w:r w:rsidRPr="00AC7303">
        <w:rPr>
          <w:lang w:val="es-ES_tradnl"/>
        </w:rPr>
        <w:tab/>
      </w:r>
      <w:r w:rsidR="00FF22B2" w:rsidRPr="00AC7303">
        <w:rPr>
          <w:lang w:val="es-ES_tradnl"/>
        </w:rPr>
        <w:t>ANÁLISIS</w:t>
      </w:r>
    </w:p>
    <w:p w:rsidR="00C552BF" w:rsidRPr="00AC7303" w:rsidRDefault="00631DEE" w:rsidP="00AC7303">
      <w:pPr>
        <w:pStyle w:val="Heading2"/>
        <w:rPr>
          <w:lang w:val="es-ES_tradnl" w:eastAsia="en-US"/>
        </w:rPr>
      </w:pPr>
      <w:r w:rsidRPr="00AC7303">
        <w:rPr>
          <w:lang w:val="es-ES_tradnl" w:eastAsia="en-US"/>
        </w:rPr>
        <w:t>LA NATURALIEZA Y EL VALOR DE</w:t>
      </w:r>
      <w:r w:rsidR="000F59A8" w:rsidRPr="00AC7303">
        <w:rPr>
          <w:lang w:val="es-ES_tradnl" w:eastAsia="en-US"/>
        </w:rPr>
        <w:t xml:space="preserve"> LA INFORMACIÓN</w:t>
      </w:r>
    </w:p>
    <w:p w:rsidR="00C552BF" w:rsidRPr="00AC7303" w:rsidRDefault="001B1816" w:rsidP="00AC7303">
      <w:pPr>
        <w:pStyle w:val="ONUME"/>
        <w:keepNext/>
        <w:rPr>
          <w:lang w:val="es-ES_tradnl" w:eastAsia="en-US"/>
        </w:rPr>
      </w:pPr>
      <w:r>
        <w:rPr>
          <w:lang w:val="es-ES_tradnl"/>
        </w:rPr>
        <w:t xml:space="preserve">La publicación de </w:t>
      </w:r>
      <w:r w:rsidR="00DF531D" w:rsidRPr="00AC7303">
        <w:rPr>
          <w:lang w:val="es-ES_tradnl"/>
        </w:rPr>
        <w:t xml:space="preserve">copias en PDF de </w:t>
      </w:r>
      <w:r w:rsidR="00631DEE" w:rsidRPr="00AC7303">
        <w:rPr>
          <w:lang w:val="es-ES_tradnl"/>
        </w:rPr>
        <w:t>una notificación</w:t>
      </w:r>
      <w:r w:rsidR="00DF531D" w:rsidRPr="00AC7303">
        <w:rPr>
          <w:lang w:val="es-ES_tradnl"/>
        </w:rPr>
        <w:t xml:space="preserve"> de denegación en el sitio web de la</w:t>
      </w:r>
      <w:r>
        <w:rPr>
          <w:lang w:val="es-ES_tradnl"/>
        </w:rPr>
        <w:t> OMPI</w:t>
      </w:r>
      <w:r w:rsidR="00DF531D" w:rsidRPr="00AC7303">
        <w:rPr>
          <w:lang w:val="es-ES_tradnl"/>
        </w:rPr>
        <w:t xml:space="preserve"> </w:t>
      </w:r>
      <w:r w:rsidR="00780824">
        <w:rPr>
          <w:lang w:val="es-ES_tradnl"/>
        </w:rPr>
        <w:t>responde a</w:t>
      </w:r>
      <w:r w:rsidR="00DF531D" w:rsidRPr="00AC7303">
        <w:rPr>
          <w:lang w:val="es-ES_tradnl"/>
        </w:rPr>
        <w:t xml:space="preserve"> un</w:t>
      </w:r>
      <w:r>
        <w:rPr>
          <w:lang w:val="es-ES_tradnl"/>
        </w:rPr>
        <w:t>a práctica ya establecida</w:t>
      </w:r>
      <w:r w:rsidR="00DF531D" w:rsidRPr="00AC7303">
        <w:rPr>
          <w:lang w:val="es-ES_tradnl"/>
        </w:rPr>
        <w:t xml:space="preserve"> en </w:t>
      </w:r>
      <w:r>
        <w:rPr>
          <w:lang w:val="es-ES_tradnl"/>
        </w:rPr>
        <w:t>el marco</w:t>
      </w:r>
      <w:r w:rsidR="00DF531D" w:rsidRPr="00AC7303">
        <w:rPr>
          <w:lang w:val="es-ES_tradnl"/>
        </w:rPr>
        <w:t xml:space="preserve"> del Sistema de Madrid</w:t>
      </w:r>
      <w:r w:rsidR="00B16926" w:rsidRPr="00AC7303">
        <w:rPr>
          <w:rStyle w:val="FootnoteReference"/>
          <w:lang w:val="es-ES_tradnl"/>
        </w:rPr>
        <w:footnoteReference w:id="6"/>
      </w:r>
      <w:r w:rsidR="006F40EA">
        <w:rPr>
          <w:lang w:val="es-ES_tradnl"/>
        </w:rPr>
        <w:t>.</w:t>
      </w:r>
    </w:p>
    <w:p w:rsidR="00C552BF" w:rsidRPr="00AC7303" w:rsidRDefault="00DF531D" w:rsidP="00813858">
      <w:pPr>
        <w:pStyle w:val="ONUME"/>
        <w:rPr>
          <w:lang w:val="es-ES_tradnl" w:eastAsia="en-US"/>
        </w:rPr>
      </w:pPr>
      <w:r w:rsidRPr="00AC7303">
        <w:rPr>
          <w:lang w:val="es-ES_tradnl" w:eastAsia="en-US"/>
        </w:rPr>
        <w:t xml:space="preserve">No obstante, </w:t>
      </w:r>
      <w:r w:rsidR="00631DEE" w:rsidRPr="00AC7303">
        <w:rPr>
          <w:lang w:val="es-ES_tradnl" w:eastAsia="en-US"/>
        </w:rPr>
        <w:t>la novedad no es un requisito para que se conceda protección a una marca</w:t>
      </w:r>
      <w:r w:rsidRPr="00AC7303">
        <w:rPr>
          <w:lang w:val="es-ES_tradnl" w:eastAsia="en-US"/>
        </w:rPr>
        <w:t xml:space="preserve">.  Todo conflicto con </w:t>
      </w:r>
      <w:r w:rsidR="00123FFF" w:rsidRPr="00AC7303">
        <w:rPr>
          <w:lang w:val="es-ES_tradnl" w:eastAsia="en-US"/>
        </w:rPr>
        <w:t xml:space="preserve">respecto a </w:t>
      </w:r>
      <w:r w:rsidRPr="00AC7303">
        <w:rPr>
          <w:lang w:val="es-ES_tradnl" w:eastAsia="en-US"/>
        </w:rPr>
        <w:t>una marca anterior, esté registrad</w:t>
      </w:r>
      <w:r w:rsidR="00813858" w:rsidRPr="00AC7303">
        <w:rPr>
          <w:lang w:val="es-ES_tradnl" w:eastAsia="en-US"/>
        </w:rPr>
        <w:t>a</w:t>
      </w:r>
      <w:r w:rsidRPr="00AC7303">
        <w:rPr>
          <w:lang w:val="es-ES_tradnl" w:eastAsia="en-US"/>
        </w:rPr>
        <w:t xml:space="preserve"> o no, podrá examinarse de oficio o basarse en una oposición, o juzgarse en un procedimiento judicial</w:t>
      </w:r>
      <w:r w:rsidR="00813858" w:rsidRPr="00AC7303">
        <w:rPr>
          <w:lang w:val="es-ES_tradnl" w:eastAsia="en-US"/>
        </w:rPr>
        <w:t>, teniendo en cuenta la similitud de ambas marcas, su uso real en el comercio</w:t>
      </w:r>
      <w:r w:rsidR="008309B3">
        <w:rPr>
          <w:lang w:val="es-ES_tradnl" w:eastAsia="en-US"/>
        </w:rPr>
        <w:t>,</w:t>
      </w:r>
      <w:r w:rsidR="00813858" w:rsidRPr="00AC7303">
        <w:rPr>
          <w:lang w:val="es-ES_tradnl" w:eastAsia="en-US"/>
        </w:rPr>
        <w:t xml:space="preserve"> </w:t>
      </w:r>
      <w:r w:rsidR="00631DEE" w:rsidRPr="00AC7303">
        <w:rPr>
          <w:lang w:val="es-ES_tradnl" w:eastAsia="en-US"/>
        </w:rPr>
        <w:t>el grado en que son notoriamente conocidas</w:t>
      </w:r>
      <w:r w:rsidR="00813858" w:rsidRPr="00AC7303">
        <w:rPr>
          <w:lang w:val="es-ES_tradnl" w:eastAsia="en-US"/>
        </w:rPr>
        <w:t xml:space="preserve"> en </w:t>
      </w:r>
      <w:r w:rsidR="00762AB4">
        <w:rPr>
          <w:lang w:val="es-ES_tradnl" w:eastAsia="en-US"/>
        </w:rPr>
        <w:t>el ámbito local</w:t>
      </w:r>
      <w:r w:rsidR="008309B3" w:rsidRPr="008309B3">
        <w:rPr>
          <w:lang w:val="es-ES_tradnl" w:eastAsia="en-US"/>
        </w:rPr>
        <w:t xml:space="preserve"> </w:t>
      </w:r>
      <w:r w:rsidR="008309B3" w:rsidRPr="00AC7303">
        <w:rPr>
          <w:lang w:val="es-ES_tradnl" w:eastAsia="en-US"/>
        </w:rPr>
        <w:t>y/o el alcance de la lista de productos y/o servicios</w:t>
      </w:r>
      <w:r w:rsidR="00813858" w:rsidRPr="00AC7303">
        <w:rPr>
          <w:lang w:val="es-ES_tradnl" w:eastAsia="en-US"/>
        </w:rPr>
        <w:t>.  En consecuencia</w:t>
      </w:r>
      <w:r w:rsidR="00F4526E" w:rsidRPr="00AC7303">
        <w:rPr>
          <w:lang w:val="es-ES_tradnl" w:eastAsia="en-US"/>
        </w:rPr>
        <w:t>, un determinado motivo de denegación aplicable</w:t>
      </w:r>
      <w:r w:rsidR="00813858" w:rsidRPr="00AC7303">
        <w:rPr>
          <w:lang w:val="es-ES_tradnl" w:eastAsia="en-US"/>
        </w:rPr>
        <w:t xml:space="preserve"> en una jurisdicción </w:t>
      </w:r>
      <w:r w:rsidR="00F4526E" w:rsidRPr="00AC7303">
        <w:rPr>
          <w:lang w:val="es-ES_tradnl" w:eastAsia="en-US"/>
        </w:rPr>
        <w:t>podría</w:t>
      </w:r>
      <w:r w:rsidR="00813858" w:rsidRPr="00AC7303">
        <w:rPr>
          <w:lang w:val="es-ES_tradnl" w:eastAsia="en-US"/>
        </w:rPr>
        <w:t xml:space="preserve"> no </w:t>
      </w:r>
      <w:r w:rsidR="00F4526E" w:rsidRPr="00AC7303">
        <w:rPr>
          <w:lang w:val="es-ES_tradnl" w:eastAsia="en-US"/>
        </w:rPr>
        <w:t>ser aplicable</w:t>
      </w:r>
      <w:r w:rsidR="00813858" w:rsidRPr="00AC7303">
        <w:rPr>
          <w:lang w:val="es-ES_tradnl" w:eastAsia="en-US"/>
        </w:rPr>
        <w:t xml:space="preserve"> o pertinente en otras jurisdicciones</w:t>
      </w:r>
      <w:r w:rsidR="00B16926" w:rsidRPr="00AC7303">
        <w:rPr>
          <w:lang w:val="es-ES_tradnl"/>
        </w:rPr>
        <w:t>.</w:t>
      </w:r>
    </w:p>
    <w:p w:rsidR="00C552BF" w:rsidRPr="00AC7303" w:rsidRDefault="00813858" w:rsidP="009F288E">
      <w:pPr>
        <w:pStyle w:val="ONUME"/>
        <w:rPr>
          <w:lang w:val="es-ES_tradnl" w:eastAsia="en-US"/>
        </w:rPr>
      </w:pPr>
      <w:r w:rsidRPr="00AC7303">
        <w:rPr>
          <w:lang w:val="es-ES_tradnl" w:eastAsia="en-US"/>
        </w:rPr>
        <w:t xml:space="preserve">Por el contrario, </w:t>
      </w:r>
      <w:r w:rsidR="00F4526E" w:rsidRPr="00AC7303">
        <w:rPr>
          <w:lang w:val="es-ES_tradnl" w:eastAsia="en-US"/>
        </w:rPr>
        <w:t>la</w:t>
      </w:r>
      <w:r w:rsidRPr="00AC7303">
        <w:rPr>
          <w:lang w:val="es-ES_tradnl" w:eastAsia="en-US"/>
        </w:rPr>
        <w:t xml:space="preserve"> novedad es fundamental </w:t>
      </w:r>
      <w:r w:rsidR="00F4526E" w:rsidRPr="00AC7303">
        <w:rPr>
          <w:lang w:val="es-ES_tradnl" w:eastAsia="en-US"/>
        </w:rPr>
        <w:t>para</w:t>
      </w:r>
      <w:r w:rsidRPr="00AC7303">
        <w:rPr>
          <w:lang w:val="es-ES_tradnl" w:eastAsia="en-US"/>
        </w:rPr>
        <w:t xml:space="preserve"> la validez de los derechos </w:t>
      </w:r>
      <w:r w:rsidR="00F4526E" w:rsidRPr="00AC7303">
        <w:rPr>
          <w:lang w:val="es-ES_tradnl" w:eastAsia="en-US"/>
        </w:rPr>
        <w:t>que protegen a</w:t>
      </w:r>
      <w:r w:rsidRPr="00AC7303">
        <w:rPr>
          <w:lang w:val="es-ES_tradnl" w:eastAsia="en-US"/>
        </w:rPr>
        <w:t xml:space="preserve"> los dibujos y modelos.  La mayoría de las jurisdicciones exigen que se cumpla el criterio de novedad en el plano mundial como condición para el registro o </w:t>
      </w:r>
      <w:r w:rsidR="005820EB">
        <w:rPr>
          <w:lang w:val="es-ES_tradnl" w:eastAsia="en-US"/>
        </w:rPr>
        <w:t>la concesión de una patente</w:t>
      </w:r>
      <w:r w:rsidR="00896F8A">
        <w:rPr>
          <w:lang w:val="es-ES_tradnl" w:eastAsia="en-US"/>
        </w:rPr>
        <w:t xml:space="preserve"> </w:t>
      </w:r>
      <w:r w:rsidRPr="00AC7303">
        <w:rPr>
          <w:lang w:val="es-ES_tradnl" w:eastAsia="en-US"/>
        </w:rPr>
        <w:t xml:space="preserve">de un determinado dibujo o modelo, </w:t>
      </w:r>
      <w:r w:rsidR="00F4526E" w:rsidRPr="00AC7303">
        <w:rPr>
          <w:lang w:val="es-ES_tradnl" w:eastAsia="en-US"/>
        </w:rPr>
        <w:t>independientemente</w:t>
      </w:r>
      <w:r w:rsidR="00D9607B" w:rsidRPr="00AC7303">
        <w:rPr>
          <w:lang w:val="es-ES_tradnl" w:eastAsia="en-US"/>
        </w:rPr>
        <w:t xml:space="preserve"> de que </w:t>
      </w:r>
      <w:r w:rsidR="00123FFF" w:rsidRPr="00AC7303">
        <w:rPr>
          <w:lang w:val="es-ES_tradnl" w:eastAsia="en-US"/>
        </w:rPr>
        <w:t>las</w:t>
      </w:r>
      <w:r w:rsidR="00D9607B" w:rsidRPr="00AC7303">
        <w:rPr>
          <w:lang w:val="es-ES_tradnl" w:eastAsia="en-US"/>
        </w:rPr>
        <w:t xml:space="preserve"> Oficinas</w:t>
      </w:r>
      <w:r w:rsidR="00123FFF" w:rsidRPr="00AC7303">
        <w:rPr>
          <w:lang w:val="es-ES_tradnl" w:eastAsia="en-US"/>
        </w:rPr>
        <w:t xml:space="preserve"> de tales jurisdicciones</w:t>
      </w:r>
      <w:r w:rsidR="00D9607B" w:rsidRPr="00AC7303">
        <w:rPr>
          <w:lang w:val="es-ES_tradnl" w:eastAsia="en-US"/>
        </w:rPr>
        <w:t xml:space="preserve"> </w:t>
      </w:r>
      <w:r w:rsidR="00F4526E" w:rsidRPr="00AC7303">
        <w:rPr>
          <w:lang w:val="es-ES_tradnl" w:eastAsia="en-US"/>
        </w:rPr>
        <w:t>examinen las solicitudes</w:t>
      </w:r>
      <w:r w:rsidR="00D9607B" w:rsidRPr="00AC7303">
        <w:rPr>
          <w:lang w:val="es-ES_tradnl" w:eastAsia="en-US"/>
        </w:rPr>
        <w:t xml:space="preserve"> de oficio.  En consecuencia, </w:t>
      </w:r>
      <w:r w:rsidR="00F4526E" w:rsidRPr="00AC7303">
        <w:rPr>
          <w:lang w:val="es-ES_tradnl" w:eastAsia="en-US"/>
        </w:rPr>
        <w:t>la información relativa a un dibujo o modelo anterior que otra Oficina haya detectado y mencionado constituye información mucho más delicada.</w:t>
      </w:r>
    </w:p>
    <w:p w:rsidR="00C552BF" w:rsidRPr="00AC7303" w:rsidRDefault="009F288E" w:rsidP="00A04E5A">
      <w:pPr>
        <w:pStyle w:val="ONUME"/>
        <w:rPr>
          <w:lang w:val="es-ES_tradnl" w:eastAsia="en-US"/>
        </w:rPr>
      </w:pPr>
      <w:r w:rsidRPr="00AC7303">
        <w:rPr>
          <w:lang w:val="es-ES_tradnl" w:eastAsia="en-US"/>
        </w:rPr>
        <w:t xml:space="preserve">La cuestión se reduce, </w:t>
      </w:r>
      <w:r w:rsidR="00082A00" w:rsidRPr="00AC7303">
        <w:rPr>
          <w:lang w:val="es-ES_tradnl" w:eastAsia="en-US"/>
        </w:rPr>
        <w:t>así</w:t>
      </w:r>
      <w:r w:rsidRPr="00AC7303">
        <w:rPr>
          <w:lang w:val="es-ES_tradnl" w:eastAsia="en-US"/>
        </w:rPr>
        <w:t xml:space="preserve">, a la probabilidad de que </w:t>
      </w:r>
      <w:r w:rsidR="00896F8A">
        <w:rPr>
          <w:lang w:val="es-ES_tradnl" w:eastAsia="en-US"/>
        </w:rPr>
        <w:t xml:space="preserve">el registro sea denegado </w:t>
      </w:r>
      <w:r w:rsidR="00A04E5A" w:rsidRPr="00AC7303">
        <w:rPr>
          <w:lang w:val="es-ES_tradnl" w:eastAsia="en-US"/>
        </w:rPr>
        <w:t>por</w:t>
      </w:r>
      <w:r w:rsidRPr="00AC7303">
        <w:rPr>
          <w:lang w:val="es-ES_tradnl" w:eastAsia="en-US"/>
        </w:rPr>
        <w:t xml:space="preserve"> falta de novedad.  La Oficina Japonesa de Patentes (JPO), la Oficina Surcoreana de Propiedad Intelectual (KIPO) y la Oficina de Patentes y Marcas de</w:t>
      </w:r>
      <w:r w:rsidR="00A04E5A" w:rsidRPr="00AC7303">
        <w:rPr>
          <w:lang w:val="es-ES_tradnl" w:eastAsia="en-US"/>
        </w:rPr>
        <w:t xml:space="preserve"> los Estados Unidos de América (USPTO) son actualmente las tres principales Oficinas que emiten notificaciones de denegación.  E</w:t>
      </w:r>
      <w:r w:rsidR="00AC7303" w:rsidRPr="00AC7303">
        <w:rPr>
          <w:lang w:val="es-ES_tradnl" w:eastAsia="en-US"/>
        </w:rPr>
        <w:t>n 2</w:t>
      </w:r>
      <w:r w:rsidR="00A04E5A" w:rsidRPr="00AC7303">
        <w:rPr>
          <w:lang w:val="es-ES_tradnl" w:eastAsia="en-US"/>
        </w:rPr>
        <w:t xml:space="preserve">017, la JPO, la KIPO y la USPTO </w:t>
      </w:r>
      <w:r w:rsidR="00082A00" w:rsidRPr="00AC7303">
        <w:rPr>
          <w:lang w:val="es-ES_tradnl" w:eastAsia="en-US"/>
        </w:rPr>
        <w:t>emitieron</w:t>
      </w:r>
      <w:r w:rsidR="00A04E5A" w:rsidRPr="00AC7303">
        <w:rPr>
          <w:lang w:val="es-ES_tradnl" w:eastAsia="en-US"/>
        </w:rPr>
        <w:t xml:space="preserve"> </w:t>
      </w:r>
      <w:r w:rsidR="00082A00" w:rsidRPr="00AC7303">
        <w:rPr>
          <w:lang w:val="es-ES_tradnl"/>
        </w:rPr>
        <w:t>respectivament</w:t>
      </w:r>
      <w:r w:rsidR="00AC7303" w:rsidRPr="00AC7303">
        <w:rPr>
          <w:lang w:val="es-ES_tradnl"/>
        </w:rPr>
        <w:t>e 1</w:t>
      </w:r>
      <w:r w:rsidR="00123FFF" w:rsidRPr="00AC7303">
        <w:rPr>
          <w:lang w:val="es-ES_tradnl"/>
        </w:rPr>
        <w:t>.</w:t>
      </w:r>
      <w:r w:rsidR="00A04E5A" w:rsidRPr="00AC7303">
        <w:rPr>
          <w:lang w:val="es-ES_tradnl"/>
        </w:rPr>
        <w:t>550</w:t>
      </w:r>
      <w:r w:rsidR="00A04E5A" w:rsidRPr="00AC7303">
        <w:rPr>
          <w:rStyle w:val="FootnoteReference"/>
          <w:lang w:val="es-ES_tradnl"/>
        </w:rPr>
        <w:footnoteReference w:id="7"/>
      </w:r>
      <w:r w:rsidR="006F40EA">
        <w:rPr>
          <w:lang w:val="es-ES_tradnl"/>
        </w:rPr>
        <w:t>,</w:t>
      </w:r>
      <w:r w:rsidR="00082A00" w:rsidRPr="00AC7303">
        <w:rPr>
          <w:lang w:val="es-ES_tradnl"/>
        </w:rPr>
        <w:t xml:space="preserve"> 598 </w:t>
      </w:r>
      <w:r w:rsidR="00AC7303" w:rsidRPr="00AC7303">
        <w:rPr>
          <w:lang w:val="es-ES_tradnl"/>
        </w:rPr>
        <w:t>y 1</w:t>
      </w:r>
      <w:r w:rsidR="00082A00" w:rsidRPr="00AC7303">
        <w:rPr>
          <w:lang w:val="es-ES_tradnl"/>
        </w:rPr>
        <w:t>.285 denegaciones</w:t>
      </w:r>
      <w:r w:rsidR="00A04E5A" w:rsidRPr="00AC7303">
        <w:rPr>
          <w:lang w:val="es-ES_tradnl"/>
        </w:rPr>
        <w:t>, lo que equivale a</w:t>
      </w:r>
      <w:r w:rsidR="00AC7303" w:rsidRPr="00AC7303">
        <w:rPr>
          <w:lang w:val="es-ES_tradnl"/>
        </w:rPr>
        <w:t>l 9</w:t>
      </w:r>
      <w:r w:rsidR="00A04E5A" w:rsidRPr="00AC7303">
        <w:rPr>
          <w:lang w:val="es-ES_tradnl"/>
        </w:rPr>
        <w:t>6,1% del total de denegaciones</w:t>
      </w:r>
      <w:r w:rsidR="00082A00" w:rsidRPr="00AC7303">
        <w:rPr>
          <w:lang w:val="es-ES_tradnl"/>
        </w:rPr>
        <w:t xml:space="preserve"> emitidas</w:t>
      </w:r>
      <w:r w:rsidR="00A04E5A" w:rsidRPr="00AC7303">
        <w:rPr>
          <w:lang w:val="es-ES_tradnl"/>
        </w:rPr>
        <w:t xml:space="preserve">.  La Oficina Internacional examinó las notificaciones de denegación recibidas </w:t>
      </w:r>
      <w:r w:rsidR="00082A00" w:rsidRPr="00AC7303">
        <w:rPr>
          <w:lang w:val="es-ES_tradnl"/>
        </w:rPr>
        <w:t>de parte de dichas</w:t>
      </w:r>
      <w:r w:rsidR="00A04E5A" w:rsidRPr="00AC7303">
        <w:rPr>
          <w:lang w:val="es-ES_tradnl"/>
        </w:rPr>
        <w:t xml:space="preserve"> Oficinas hasta e</w:t>
      </w:r>
      <w:r w:rsidR="00AC7303" w:rsidRPr="00AC7303">
        <w:rPr>
          <w:lang w:val="es-ES_tradnl"/>
        </w:rPr>
        <w:t>l 3</w:t>
      </w:r>
      <w:r w:rsidR="00A04E5A" w:rsidRPr="00AC7303">
        <w:rPr>
          <w:lang w:val="es-ES_tradnl"/>
        </w:rPr>
        <w:t>1 de diciembre d</w:t>
      </w:r>
      <w:r w:rsidR="00AC7303" w:rsidRPr="00AC7303">
        <w:rPr>
          <w:lang w:val="es-ES_tradnl"/>
        </w:rPr>
        <w:t>e 2</w:t>
      </w:r>
      <w:r w:rsidR="00A04E5A" w:rsidRPr="00AC7303">
        <w:rPr>
          <w:lang w:val="es-ES_tradnl"/>
        </w:rPr>
        <w:t>017 (</w:t>
      </w:r>
      <w:r w:rsidR="006F40EA">
        <w:rPr>
          <w:lang w:val="es-ES_tradnl"/>
        </w:rPr>
        <w:t>remítase al</w:t>
      </w:r>
      <w:r w:rsidR="00A04E5A" w:rsidRPr="00AC7303">
        <w:rPr>
          <w:lang w:val="es-ES_tradnl"/>
        </w:rPr>
        <w:t xml:space="preserve"> gráfico del Anexo)</w:t>
      </w:r>
      <w:r w:rsidR="00B16926" w:rsidRPr="00AC7303">
        <w:rPr>
          <w:lang w:val="es-ES_tradnl"/>
        </w:rPr>
        <w:t>.</w:t>
      </w:r>
    </w:p>
    <w:p w:rsidR="00C552BF" w:rsidRPr="00AC7303" w:rsidRDefault="00820A14" w:rsidP="00F0314B">
      <w:pPr>
        <w:pStyle w:val="ONUME"/>
        <w:rPr>
          <w:lang w:val="es-ES_tradnl" w:eastAsia="en-US"/>
        </w:rPr>
      </w:pPr>
      <w:r w:rsidRPr="00AC7303">
        <w:rPr>
          <w:lang w:val="es-ES_tradnl" w:eastAsia="en-US"/>
        </w:rPr>
        <w:t>Según estas estadísticas no oficiales, la JPO y la KIPO denegaron respectivament</w:t>
      </w:r>
      <w:r w:rsidR="00AC7303" w:rsidRPr="00AC7303">
        <w:rPr>
          <w:lang w:val="es-ES_tradnl" w:eastAsia="en-US"/>
        </w:rPr>
        <w:t>e</w:t>
      </w:r>
      <w:r w:rsidR="00E92EBC">
        <w:rPr>
          <w:lang w:val="es-ES_tradnl" w:eastAsia="en-US"/>
        </w:rPr>
        <w:t xml:space="preserve"> el registro de</w:t>
      </w:r>
      <w:r w:rsidR="00AC7303" w:rsidRPr="00AC7303">
        <w:rPr>
          <w:lang w:val="es-ES_tradnl" w:eastAsia="en-US"/>
        </w:rPr>
        <w:t> 4</w:t>
      </w:r>
      <w:r w:rsidRPr="00AC7303">
        <w:rPr>
          <w:lang w:val="es-ES_tradnl" w:eastAsia="en-US"/>
        </w:rPr>
        <w:t xml:space="preserve">93 </w:t>
      </w:r>
      <w:r w:rsidR="00AC7303" w:rsidRPr="00AC7303">
        <w:rPr>
          <w:lang w:val="es-ES_tradnl" w:eastAsia="en-US"/>
        </w:rPr>
        <w:t>y 4</w:t>
      </w:r>
      <w:r w:rsidRPr="00AC7303">
        <w:rPr>
          <w:lang w:val="es-ES_tradnl" w:eastAsia="en-US"/>
        </w:rPr>
        <w:t>71 dibujos y modelos industriales por falta de novedad.  Dichas cifras representan aproximadamente e</w:t>
      </w:r>
      <w:r w:rsidR="00AC7303" w:rsidRPr="00AC7303">
        <w:rPr>
          <w:lang w:val="es-ES_tradnl" w:eastAsia="en-US"/>
        </w:rPr>
        <w:t>l 2</w:t>
      </w:r>
      <w:r w:rsidRPr="00AC7303">
        <w:rPr>
          <w:lang w:val="es-ES_tradnl" w:eastAsia="en-US"/>
        </w:rPr>
        <w:t>0% y e</w:t>
      </w:r>
      <w:r w:rsidR="00AC7303" w:rsidRPr="00AC7303">
        <w:rPr>
          <w:lang w:val="es-ES_tradnl" w:eastAsia="en-US"/>
        </w:rPr>
        <w:t>l 1</w:t>
      </w:r>
      <w:r w:rsidRPr="00AC7303">
        <w:rPr>
          <w:lang w:val="es-ES_tradnl" w:eastAsia="en-US"/>
        </w:rPr>
        <w:t xml:space="preserve">4% del número total de </w:t>
      </w:r>
      <w:r w:rsidR="00E92EBC">
        <w:rPr>
          <w:lang w:val="es-ES_tradnl" w:eastAsia="en-US"/>
        </w:rPr>
        <w:t>motivos de denegación esgrimidos</w:t>
      </w:r>
      <w:r w:rsidRPr="00AC7303">
        <w:rPr>
          <w:lang w:val="es-ES_tradnl" w:eastAsia="en-US"/>
        </w:rPr>
        <w:t xml:space="preserve"> por ambas Oficinas.  Sin embargo, </w:t>
      </w:r>
      <w:r w:rsidR="00F0314B" w:rsidRPr="00AC7303">
        <w:rPr>
          <w:lang w:val="es-ES_tradnl" w:eastAsia="en-US"/>
        </w:rPr>
        <w:t xml:space="preserve">en muchos casos, la denegación del registro de un dibujo o modelo industrial se </w:t>
      </w:r>
      <w:r w:rsidR="00585149">
        <w:rPr>
          <w:lang w:val="es-ES_tradnl" w:eastAsia="en-US"/>
        </w:rPr>
        <w:t>fundó</w:t>
      </w:r>
      <w:r w:rsidR="00F0314B" w:rsidRPr="00AC7303">
        <w:rPr>
          <w:lang w:val="es-ES_tradnl" w:eastAsia="en-US"/>
        </w:rPr>
        <w:t xml:space="preserve"> en que el mismo solicitante (el titular del registro internacional) </w:t>
      </w:r>
      <w:r w:rsidR="00082A00" w:rsidRPr="00AC7303">
        <w:rPr>
          <w:lang w:val="es-ES_tradnl" w:eastAsia="en-US"/>
        </w:rPr>
        <w:t>había</w:t>
      </w:r>
      <w:r w:rsidR="00F0314B" w:rsidRPr="00AC7303">
        <w:rPr>
          <w:lang w:val="es-ES_tradnl" w:eastAsia="en-US"/>
        </w:rPr>
        <w:t xml:space="preserve"> solicitado el registro </w:t>
      </w:r>
      <w:r w:rsidR="00082A00" w:rsidRPr="00AC7303">
        <w:rPr>
          <w:lang w:val="es-ES_tradnl" w:eastAsia="en-US"/>
        </w:rPr>
        <w:t>de ese mismo</w:t>
      </w:r>
      <w:r w:rsidR="00F0314B" w:rsidRPr="00AC7303">
        <w:rPr>
          <w:lang w:val="es-ES_tradnl" w:eastAsia="en-US"/>
        </w:rPr>
        <w:t xml:space="preserve"> dibujo o modelo en otra Oficina (generalmente, la primera presentación)</w:t>
      </w:r>
      <w:r w:rsidR="00AC7303" w:rsidRPr="00AC7303">
        <w:rPr>
          <w:lang w:val="es-ES_tradnl" w:eastAsia="en-US"/>
        </w:rPr>
        <w:t>.  E</w:t>
      </w:r>
      <w:r w:rsidR="00F0314B" w:rsidRPr="00AC7303">
        <w:rPr>
          <w:lang w:val="es-ES_tradnl" w:eastAsia="en-US"/>
        </w:rPr>
        <w:t xml:space="preserve">so ocurre en los casos en que la primera </w:t>
      </w:r>
      <w:r w:rsidR="00082A00" w:rsidRPr="00AC7303">
        <w:rPr>
          <w:lang w:val="es-ES_tradnl" w:eastAsia="en-US"/>
        </w:rPr>
        <w:t>presentación</w:t>
      </w:r>
      <w:r w:rsidR="00F0314B" w:rsidRPr="00AC7303">
        <w:rPr>
          <w:lang w:val="es-ES_tradnl" w:eastAsia="en-US"/>
        </w:rPr>
        <w:t xml:space="preserve"> se publica antes de la fecha del registro internacional, pero el derecho de prioridad se pierde debido a que el solicitante no presenta el documento de prioridad </w:t>
      </w:r>
      <w:r w:rsidR="00123FFF" w:rsidRPr="00AC7303">
        <w:rPr>
          <w:lang w:val="es-ES_tradnl" w:eastAsia="en-US"/>
        </w:rPr>
        <w:t>en la Oficina</w:t>
      </w:r>
      <w:r w:rsidR="00F0314B" w:rsidRPr="00AC7303">
        <w:rPr>
          <w:lang w:val="es-ES_tradnl" w:eastAsia="en-US"/>
        </w:rPr>
        <w:t xml:space="preserve"> </w:t>
      </w:r>
      <w:r w:rsidR="004F7405" w:rsidRPr="00AC7303">
        <w:rPr>
          <w:lang w:val="es-ES_tradnl" w:eastAsia="en-US"/>
        </w:rPr>
        <w:t>dentro del plazo prescrito</w:t>
      </w:r>
      <w:r w:rsidR="00F0314B" w:rsidRPr="00AC7303">
        <w:rPr>
          <w:lang w:val="es-ES_tradnl" w:eastAsia="en-US"/>
        </w:rPr>
        <w:t>.</w:t>
      </w:r>
    </w:p>
    <w:p w:rsidR="00C552BF" w:rsidRPr="00AC7303" w:rsidRDefault="00F0314B" w:rsidP="003701D8">
      <w:pPr>
        <w:pStyle w:val="ONUME"/>
        <w:rPr>
          <w:lang w:val="es-ES_tradnl" w:eastAsia="en-US"/>
        </w:rPr>
      </w:pPr>
      <w:r w:rsidRPr="00AC7303">
        <w:rPr>
          <w:lang w:val="es-ES_tradnl" w:eastAsia="en-US"/>
        </w:rPr>
        <w:t xml:space="preserve">Análogamente, la JPO y la KIPO denegaron respectivamente </w:t>
      </w:r>
      <w:r w:rsidR="003516C2" w:rsidRPr="00AC7303">
        <w:rPr>
          <w:lang w:val="es-ES_tradnl" w:eastAsia="en-US"/>
        </w:rPr>
        <w:t>el registro d</w:t>
      </w:r>
      <w:r w:rsidR="00AC7303" w:rsidRPr="00AC7303">
        <w:rPr>
          <w:lang w:val="es-ES_tradnl" w:eastAsia="en-US"/>
        </w:rPr>
        <w:t>e 5</w:t>
      </w:r>
      <w:r w:rsidRPr="00AC7303">
        <w:rPr>
          <w:lang w:val="es-ES_tradnl" w:eastAsia="en-US"/>
        </w:rPr>
        <w:t xml:space="preserve">34 </w:t>
      </w:r>
      <w:r w:rsidR="00AC7303" w:rsidRPr="00AC7303">
        <w:rPr>
          <w:lang w:val="es-ES_tradnl" w:eastAsia="en-US"/>
        </w:rPr>
        <w:t>y 8</w:t>
      </w:r>
      <w:r w:rsidRPr="00AC7303">
        <w:rPr>
          <w:lang w:val="es-ES_tradnl" w:eastAsia="en-US"/>
        </w:rPr>
        <w:t xml:space="preserve">11 dibujos y modelos industriales </w:t>
      </w:r>
      <w:r w:rsidR="003516C2" w:rsidRPr="00AC7303">
        <w:rPr>
          <w:lang w:val="es-ES_tradnl" w:eastAsia="en-US"/>
        </w:rPr>
        <w:t>aduciendo la existencia de</w:t>
      </w:r>
      <w:r w:rsidR="003701D8" w:rsidRPr="00AC7303">
        <w:rPr>
          <w:lang w:val="es-ES_tradnl" w:eastAsia="en-US"/>
        </w:rPr>
        <w:t xml:space="preserve"> una solicitud anterior (</w:t>
      </w:r>
      <w:r w:rsidR="00855234" w:rsidRPr="00AC7303">
        <w:rPr>
          <w:lang w:val="es-ES_tradnl" w:eastAsia="en-US"/>
        </w:rPr>
        <w:t>incluidas las solicitudes presentadas en la misma</w:t>
      </w:r>
      <w:r w:rsidR="003701D8" w:rsidRPr="00AC7303">
        <w:rPr>
          <w:lang w:val="es-ES_tradnl" w:eastAsia="en-US"/>
        </w:rPr>
        <w:t xml:space="preserve"> fecha) o un registro anterior.  Dichas cifras </w:t>
      </w:r>
      <w:r w:rsidR="003516C2" w:rsidRPr="00AC7303">
        <w:rPr>
          <w:lang w:val="es-ES_tradnl" w:eastAsia="en-US"/>
        </w:rPr>
        <w:t>representan</w:t>
      </w:r>
      <w:r w:rsidR="003701D8" w:rsidRPr="00AC7303">
        <w:rPr>
          <w:lang w:val="es-ES_tradnl" w:eastAsia="en-US"/>
        </w:rPr>
        <w:t xml:space="preserve"> aproximadamente e</w:t>
      </w:r>
      <w:r w:rsidR="00AC7303" w:rsidRPr="00AC7303">
        <w:rPr>
          <w:lang w:val="es-ES_tradnl" w:eastAsia="en-US"/>
        </w:rPr>
        <w:t>l 2</w:t>
      </w:r>
      <w:r w:rsidR="003701D8" w:rsidRPr="00AC7303">
        <w:rPr>
          <w:lang w:val="es-ES_tradnl" w:eastAsia="en-US"/>
        </w:rPr>
        <w:t>1,5% y e</w:t>
      </w:r>
      <w:r w:rsidR="00AC7303" w:rsidRPr="00AC7303">
        <w:rPr>
          <w:lang w:val="es-ES_tradnl" w:eastAsia="en-US"/>
        </w:rPr>
        <w:t>l 2</w:t>
      </w:r>
      <w:r w:rsidR="003701D8" w:rsidRPr="00AC7303">
        <w:rPr>
          <w:lang w:val="es-ES_tradnl" w:eastAsia="en-US"/>
        </w:rPr>
        <w:t xml:space="preserve">4% </w:t>
      </w:r>
      <w:r w:rsidR="00585149">
        <w:rPr>
          <w:lang w:val="es-ES_tradnl" w:eastAsia="en-US"/>
        </w:rPr>
        <w:t>de</w:t>
      </w:r>
      <w:r w:rsidR="00BB3B08" w:rsidRPr="00AC7303">
        <w:rPr>
          <w:lang w:val="es-ES_tradnl" w:eastAsia="en-US"/>
        </w:rPr>
        <w:t xml:space="preserve"> los</w:t>
      </w:r>
      <w:r w:rsidR="003701D8" w:rsidRPr="00AC7303">
        <w:rPr>
          <w:lang w:val="es-ES_tradnl" w:eastAsia="en-US"/>
        </w:rPr>
        <w:t xml:space="preserve"> motivos de denegación aducidos por dichas Oficinas.  De nuevo, la mayoría de tales denegaciones se </w:t>
      </w:r>
      <w:r w:rsidR="00585149">
        <w:rPr>
          <w:lang w:val="es-ES_tradnl" w:eastAsia="en-US"/>
        </w:rPr>
        <w:t>fundó</w:t>
      </w:r>
      <w:r w:rsidR="003701D8" w:rsidRPr="00AC7303">
        <w:rPr>
          <w:lang w:val="es-ES_tradnl" w:eastAsia="en-US"/>
        </w:rPr>
        <w:t xml:space="preserve"> en la existencia de </w:t>
      </w:r>
      <w:r w:rsidR="006313C6" w:rsidRPr="00AC7303">
        <w:rPr>
          <w:lang w:val="es-ES_tradnl" w:eastAsia="en-US"/>
        </w:rPr>
        <w:t>otro</w:t>
      </w:r>
      <w:r w:rsidR="003701D8" w:rsidRPr="00AC7303">
        <w:rPr>
          <w:lang w:val="es-ES_tradnl" w:eastAsia="en-US"/>
        </w:rPr>
        <w:t xml:space="preserve"> dibujo o modelo industrial similar en la misma solicitud internacional o en una solicitud nacional o internacional anterior presentada por el mismo solicitante.  Esta situación se produce cuando el </w:t>
      </w:r>
      <w:r w:rsidR="003701D8" w:rsidRPr="00AC7303">
        <w:rPr>
          <w:lang w:val="es-ES_tradnl" w:eastAsia="en-US"/>
        </w:rPr>
        <w:lastRenderedPageBreak/>
        <w:t>solicitante no indica debidamente cuál es el “dibujo o modelo principal” y cuál es el “dibujo o modelo conexo”, o si el examinador tenía una opinión diferente sobre las indicaciones facilitadas</w:t>
      </w:r>
      <w:r w:rsidR="00B16926" w:rsidRPr="00AC7303">
        <w:rPr>
          <w:lang w:val="es-ES_tradnl"/>
        </w:rPr>
        <w:t>.</w:t>
      </w:r>
    </w:p>
    <w:p w:rsidR="00C552BF" w:rsidRPr="00AC7303" w:rsidRDefault="00FF0636" w:rsidP="00B16926">
      <w:pPr>
        <w:pStyle w:val="ONUME"/>
        <w:rPr>
          <w:i/>
          <w:lang w:val="es-ES_tradnl" w:eastAsia="en-US"/>
        </w:rPr>
      </w:pPr>
      <w:r w:rsidRPr="00AC7303">
        <w:rPr>
          <w:lang w:val="es-ES_tradnl" w:eastAsia="en-US"/>
        </w:rPr>
        <w:t>Los dos casos anteriores son específicos de las legislaciones del Japón y de la República de</w:t>
      </w:r>
      <w:r w:rsidR="006F40EA">
        <w:rPr>
          <w:lang w:val="es-ES_tradnl" w:eastAsia="en-US"/>
        </w:rPr>
        <w:t> </w:t>
      </w:r>
      <w:r w:rsidRPr="00AC7303">
        <w:rPr>
          <w:lang w:val="es-ES_tradnl" w:eastAsia="en-US"/>
        </w:rPr>
        <w:t xml:space="preserve">Corea, </w:t>
      </w:r>
      <w:r w:rsidR="00783120" w:rsidRPr="00AC7303">
        <w:rPr>
          <w:lang w:val="es-ES_tradnl" w:eastAsia="en-US"/>
        </w:rPr>
        <w:t>es decir que los motivos de denegación mencionados</w:t>
      </w:r>
      <w:r w:rsidR="00BB3B08" w:rsidRPr="00AC7303">
        <w:rPr>
          <w:lang w:val="es-ES_tradnl" w:eastAsia="en-US"/>
        </w:rPr>
        <w:t xml:space="preserve"> anteriormente</w:t>
      </w:r>
      <w:r w:rsidR="00783120" w:rsidRPr="00AC7303">
        <w:rPr>
          <w:lang w:val="es-ES_tradnl" w:eastAsia="en-US"/>
        </w:rPr>
        <w:t xml:space="preserve"> no parecen tener relación directa con las condiciones de </w:t>
      </w:r>
      <w:r w:rsidR="00BB3B08" w:rsidRPr="00AC7303">
        <w:rPr>
          <w:lang w:val="es-ES_tradnl" w:eastAsia="en-US"/>
        </w:rPr>
        <w:t>concesión de registro</w:t>
      </w:r>
      <w:r w:rsidR="006313C6" w:rsidRPr="00AC7303">
        <w:rPr>
          <w:lang w:val="es-ES_tradnl" w:eastAsia="en-US"/>
        </w:rPr>
        <w:t>s</w:t>
      </w:r>
      <w:r w:rsidR="00BB3B08" w:rsidRPr="00AC7303">
        <w:rPr>
          <w:lang w:val="es-ES_tradnl" w:eastAsia="en-US"/>
        </w:rPr>
        <w:t xml:space="preserve"> o de patentes</w:t>
      </w:r>
      <w:r w:rsidR="00783120" w:rsidRPr="00AC7303">
        <w:rPr>
          <w:lang w:val="es-ES_tradnl" w:eastAsia="en-US"/>
        </w:rPr>
        <w:t xml:space="preserve"> en otras jurisdicciones.  En otras palabras, no tiene por qué considerarse que el dibujo o modelo no cumple el criterio de novedad </w:t>
      </w:r>
      <w:r w:rsidR="00783120" w:rsidRPr="00AC7303">
        <w:rPr>
          <w:i/>
          <w:lang w:val="es-ES_tradnl" w:eastAsia="en-US"/>
        </w:rPr>
        <w:t>per se</w:t>
      </w:r>
      <w:r w:rsidR="00783120" w:rsidRPr="00AC7303">
        <w:rPr>
          <w:lang w:val="es-ES_tradnl" w:eastAsia="en-US"/>
        </w:rPr>
        <w:t xml:space="preserve"> y la denegación puede superarse o evitarse técnicamente</w:t>
      </w:r>
      <w:r w:rsidR="00AC7303" w:rsidRPr="00AC7303">
        <w:rPr>
          <w:lang w:val="es-ES_tradnl" w:eastAsia="en-US"/>
        </w:rPr>
        <w:t>.  S</w:t>
      </w:r>
      <w:r w:rsidR="00783120" w:rsidRPr="00AC7303">
        <w:rPr>
          <w:lang w:val="es-ES_tradnl" w:eastAsia="en-US"/>
        </w:rPr>
        <w:t xml:space="preserve">e trata de un caso similar a la situación en que se deniega </w:t>
      </w:r>
      <w:r w:rsidR="00BB3B08" w:rsidRPr="00AC7303">
        <w:rPr>
          <w:lang w:val="es-ES_tradnl" w:eastAsia="en-US"/>
        </w:rPr>
        <w:t xml:space="preserve">el registro de un </w:t>
      </w:r>
      <w:r w:rsidR="00783120" w:rsidRPr="00AC7303">
        <w:rPr>
          <w:lang w:val="es-ES_tradnl" w:eastAsia="en-US"/>
        </w:rPr>
        <w:t>determinado dibujo o modelo por divulgación insu</w:t>
      </w:r>
      <w:r w:rsidR="00D93762" w:rsidRPr="00AC7303">
        <w:rPr>
          <w:lang w:val="es-ES_tradnl" w:eastAsia="en-US"/>
        </w:rPr>
        <w:t>ficiente o por que la indicación del producto o la definición del dibujo o modelo sean ambiguos, ya que los requisitos a ese respecto varían de una jurisdicción a otra</w:t>
      </w:r>
      <w:r w:rsidR="00B16926" w:rsidRPr="00AC7303">
        <w:rPr>
          <w:lang w:val="es-ES_tradnl"/>
        </w:rPr>
        <w:t>.</w:t>
      </w:r>
    </w:p>
    <w:p w:rsidR="00C552BF" w:rsidRPr="00AC7303" w:rsidRDefault="0016135E" w:rsidP="00215CF5">
      <w:pPr>
        <w:pStyle w:val="ONUME"/>
        <w:rPr>
          <w:lang w:val="es-ES_tradnl" w:eastAsia="en-US"/>
        </w:rPr>
      </w:pPr>
      <w:r w:rsidRPr="00AC7303">
        <w:rPr>
          <w:lang w:val="es-ES_tradnl" w:eastAsia="en-US"/>
        </w:rPr>
        <w:t xml:space="preserve">En los Estados Unidos de América, del total de denegaciones </w:t>
      </w:r>
      <w:r w:rsidR="00215CF5" w:rsidRPr="00AC7303">
        <w:rPr>
          <w:lang w:val="es-ES_tradnl" w:eastAsia="en-US"/>
        </w:rPr>
        <w:t>emitidas</w:t>
      </w:r>
      <w:r w:rsidRPr="00AC7303">
        <w:rPr>
          <w:lang w:val="es-ES_tradnl" w:eastAsia="en-US"/>
        </w:rPr>
        <w:t xml:space="preserve"> por la USPTO, solo u</w:t>
      </w:r>
      <w:r w:rsidR="00AC7303" w:rsidRPr="00AC7303">
        <w:rPr>
          <w:lang w:val="es-ES_tradnl" w:eastAsia="en-US"/>
        </w:rPr>
        <w:t>n 1</w:t>
      </w:r>
      <w:r w:rsidRPr="00AC7303">
        <w:rPr>
          <w:lang w:val="es-ES_tradnl" w:eastAsia="en-US"/>
        </w:rPr>
        <w:t xml:space="preserve">% se basa en la falta de novedad, mientras que </w:t>
      </w:r>
      <w:r w:rsidR="00215CF5" w:rsidRPr="00AC7303">
        <w:rPr>
          <w:lang w:val="es-ES_tradnl" w:eastAsia="en-US"/>
        </w:rPr>
        <w:t>el incumplimiento del requisito según el cual el registro internacional debe contener un solo dibujo o modelo es con mucho el motivo de denegación más habitual, y a menudo el único;  así, u</w:t>
      </w:r>
      <w:r w:rsidR="00AC7303" w:rsidRPr="00AC7303">
        <w:rPr>
          <w:lang w:val="es-ES_tradnl" w:eastAsia="en-US"/>
        </w:rPr>
        <w:t>n 7</w:t>
      </w:r>
      <w:r w:rsidR="00215CF5" w:rsidRPr="00AC7303">
        <w:rPr>
          <w:lang w:val="es-ES_tradnl" w:eastAsia="en-US"/>
        </w:rPr>
        <w:t>6% del número total de denegaciones emitidas se basa en dicho motivo.</w:t>
      </w:r>
    </w:p>
    <w:p w:rsidR="00C552BF" w:rsidRPr="00AC7303" w:rsidRDefault="003701D8" w:rsidP="00B16926">
      <w:pPr>
        <w:pStyle w:val="Heading2"/>
        <w:spacing w:before="480"/>
        <w:rPr>
          <w:lang w:val="es-ES_tradnl" w:eastAsia="en-US"/>
        </w:rPr>
      </w:pPr>
      <w:r w:rsidRPr="00AC7303">
        <w:rPr>
          <w:lang w:val="es-ES_tradnl" w:eastAsia="en-US"/>
        </w:rPr>
        <w:t>REGLAS PERTINENTES</w:t>
      </w:r>
    </w:p>
    <w:p w:rsidR="00C552BF" w:rsidRPr="00AC7303" w:rsidRDefault="00215CF5" w:rsidP="001E0ED5">
      <w:pPr>
        <w:pStyle w:val="ONUME"/>
        <w:rPr>
          <w:rFonts w:eastAsia="MS Mincho"/>
          <w:lang w:val="es-ES_tradnl"/>
        </w:rPr>
      </w:pPr>
      <w:r w:rsidRPr="00AC7303">
        <w:rPr>
          <w:rFonts w:eastAsia="MS Mincho"/>
          <w:lang w:val="es-ES_tradnl"/>
        </w:rPr>
        <w:t>En la Regl</w:t>
      </w:r>
      <w:r w:rsidR="00AC7303" w:rsidRPr="00AC7303">
        <w:rPr>
          <w:rFonts w:eastAsia="MS Mincho"/>
          <w:lang w:val="es-ES_tradnl"/>
        </w:rPr>
        <w:t>a 2</w:t>
      </w:r>
      <w:r w:rsidRPr="00AC7303">
        <w:rPr>
          <w:rFonts w:eastAsia="MS Mincho"/>
          <w:lang w:val="es-ES_tradnl"/>
        </w:rPr>
        <w:t>6.1) se define</w:t>
      </w:r>
      <w:r w:rsidR="007F2187">
        <w:rPr>
          <w:rFonts w:eastAsia="MS Mincho"/>
          <w:lang w:val="es-ES_tradnl"/>
        </w:rPr>
        <w:t>n los datos</w:t>
      </w:r>
      <w:r w:rsidRPr="00AC7303">
        <w:rPr>
          <w:rFonts w:eastAsia="MS Mincho"/>
          <w:lang w:val="es-ES_tradnl"/>
        </w:rPr>
        <w:t xml:space="preserve"> publicado</w:t>
      </w:r>
      <w:r w:rsidR="00580833">
        <w:rPr>
          <w:rFonts w:eastAsia="MS Mincho"/>
          <w:lang w:val="es-ES_tradnl"/>
        </w:rPr>
        <w:t>s</w:t>
      </w:r>
      <w:r w:rsidRPr="00AC7303">
        <w:rPr>
          <w:rFonts w:eastAsia="MS Mincho"/>
          <w:lang w:val="es-ES_tradnl"/>
        </w:rPr>
        <w:t xml:space="preserve"> en el Boletín.  En el inciso ii) se alude a las “denegaciones […] con una indicación de si hay o no posibilidad de revisión o recurso, </w:t>
      </w:r>
      <w:r w:rsidRPr="00AC7303">
        <w:rPr>
          <w:rFonts w:eastAsia="MS Mincho"/>
          <w:u w:val="single"/>
          <w:lang w:val="es-ES_tradnl"/>
        </w:rPr>
        <w:t>pero sin especificar los motivos de la denegación</w:t>
      </w:r>
      <w:r w:rsidRPr="00AC7303">
        <w:rPr>
          <w:rFonts w:eastAsia="MS Mincho"/>
          <w:lang w:val="es-ES_tradnl"/>
        </w:rPr>
        <w:t xml:space="preserve">”.  Dicha formulación se utilizó por primera vez en el “proyecto de Reglamento” presentado en la séptima sesión del </w:t>
      </w:r>
      <w:r w:rsidR="001E0ED5" w:rsidRPr="00AC7303">
        <w:rPr>
          <w:rFonts w:eastAsia="MS Mincho"/>
          <w:lang w:val="es-ES_tradnl"/>
        </w:rPr>
        <w:t xml:space="preserve">Comité de Expertos sobre </w:t>
      </w:r>
      <w:r w:rsidR="00184132" w:rsidRPr="00AC7303">
        <w:rPr>
          <w:rFonts w:eastAsia="MS Mincho"/>
          <w:lang w:val="es-ES_tradnl"/>
        </w:rPr>
        <w:t>el Desarrollo</w:t>
      </w:r>
      <w:r w:rsidR="001E0ED5" w:rsidRPr="00AC7303">
        <w:rPr>
          <w:rFonts w:eastAsia="MS Mincho"/>
          <w:lang w:val="es-ES_tradnl"/>
        </w:rPr>
        <w:t xml:space="preserve"> del Arreglo d</w:t>
      </w:r>
      <w:r w:rsidR="003D0499" w:rsidRPr="00AC7303">
        <w:rPr>
          <w:rFonts w:eastAsia="MS Mincho"/>
          <w:lang w:val="es-ES_tradnl"/>
        </w:rPr>
        <w:t>e L</w:t>
      </w:r>
      <w:r w:rsidR="001E0ED5" w:rsidRPr="00AC7303">
        <w:rPr>
          <w:rFonts w:eastAsia="MS Mincho"/>
          <w:lang w:val="es-ES_tradnl"/>
        </w:rPr>
        <w:t>a Haya relativo al Depósito Internacional de Dibujos y Modelos Industriales (en lo sucesivo, “el Comité de Expertos”), celebrada en noviembre d</w:t>
      </w:r>
      <w:r w:rsidR="00AC7303" w:rsidRPr="00AC7303">
        <w:rPr>
          <w:rFonts w:eastAsia="MS Mincho"/>
          <w:lang w:val="es-ES_tradnl"/>
        </w:rPr>
        <w:t>e </w:t>
      </w:r>
      <w:r w:rsidR="00AC7303" w:rsidRPr="00AC7303">
        <w:rPr>
          <w:lang w:val="es-ES_tradnl"/>
        </w:rPr>
        <w:t>1</w:t>
      </w:r>
      <w:r w:rsidR="00B16926" w:rsidRPr="00AC7303">
        <w:rPr>
          <w:lang w:val="es-ES_tradnl"/>
        </w:rPr>
        <w:t>997</w:t>
      </w:r>
      <w:r w:rsidR="00B16926" w:rsidRPr="00AC7303">
        <w:rPr>
          <w:rStyle w:val="FootnoteReference"/>
          <w:lang w:val="es-ES_tradnl"/>
        </w:rPr>
        <w:footnoteReference w:id="8"/>
      </w:r>
      <w:r w:rsidR="006F40EA">
        <w:rPr>
          <w:lang w:val="es-ES_tradnl"/>
        </w:rPr>
        <w:t>.</w:t>
      </w:r>
    </w:p>
    <w:p w:rsidR="00C552BF" w:rsidRPr="00AC7303" w:rsidRDefault="00827330" w:rsidP="00827330">
      <w:pPr>
        <w:pStyle w:val="ONUME"/>
        <w:rPr>
          <w:rFonts w:eastAsia="MS Mincho"/>
          <w:lang w:val="es-ES_tradnl"/>
        </w:rPr>
      </w:pPr>
      <w:r w:rsidRPr="00BE27F2">
        <w:rPr>
          <w:rFonts w:eastAsia="MS Mincho"/>
          <w:lang w:val="es-ES_tradnl"/>
        </w:rPr>
        <w:t>Es</w:t>
      </w:r>
      <w:r w:rsidR="00184132" w:rsidRPr="00BE27F2">
        <w:rPr>
          <w:rFonts w:eastAsia="MS Mincho"/>
          <w:lang w:val="es-ES_tradnl"/>
        </w:rPr>
        <w:t>e primer proyecto de reglamento</w:t>
      </w:r>
      <w:r w:rsidRPr="00BE27F2">
        <w:rPr>
          <w:rFonts w:eastAsia="MS Mincho"/>
          <w:lang w:val="es-ES_tradnl"/>
        </w:rPr>
        <w:t xml:space="preserve"> pasó a llamarse </w:t>
      </w:r>
      <w:r w:rsidR="00BE27F2">
        <w:rPr>
          <w:rFonts w:eastAsia="MS Mincho"/>
          <w:lang w:val="es-ES_tradnl"/>
        </w:rPr>
        <w:t>Proyecto de Reglamento</w:t>
      </w:r>
      <w:r w:rsidRPr="00BE27F2">
        <w:rPr>
          <w:rFonts w:eastAsia="MS Mincho"/>
          <w:lang w:val="es-ES_tradnl"/>
        </w:rPr>
        <w:t xml:space="preserve"> de la </w:t>
      </w:r>
      <w:r w:rsidR="00442386" w:rsidRPr="00BE27F2">
        <w:rPr>
          <w:rFonts w:eastAsia="MS Mincho"/>
          <w:lang w:val="es-ES_tradnl"/>
        </w:rPr>
        <w:t xml:space="preserve">Nueva </w:t>
      </w:r>
      <w:r w:rsidRPr="00BE27F2">
        <w:rPr>
          <w:rFonts w:eastAsia="MS Mincho"/>
          <w:lang w:val="es-ES_tradnl"/>
        </w:rPr>
        <w:t>Acta del Arreglo de La Haya</w:t>
      </w:r>
      <w:r w:rsidR="0043075D">
        <w:rPr>
          <w:rFonts w:eastAsia="MS Mincho"/>
          <w:lang w:val="es-ES_tradnl"/>
        </w:rPr>
        <w:t xml:space="preserve"> r</w:t>
      </w:r>
      <w:r w:rsidR="00580833">
        <w:rPr>
          <w:rFonts w:eastAsia="MS Mincho"/>
          <w:lang w:val="es-ES_tradnl"/>
        </w:rPr>
        <w:t>elativo al Registro Internacional de Dibujos y Modelos Industriales</w:t>
      </w:r>
      <w:r w:rsidRPr="00BE27F2">
        <w:rPr>
          <w:rFonts w:eastAsia="MS Mincho"/>
          <w:lang w:val="es-ES_tradnl"/>
        </w:rPr>
        <w:t xml:space="preserve">, </w:t>
      </w:r>
      <w:r w:rsidR="00BE27F2">
        <w:rPr>
          <w:rFonts w:eastAsia="MS Mincho"/>
          <w:lang w:val="es-ES_tradnl"/>
        </w:rPr>
        <w:t>y se presentó</w:t>
      </w:r>
      <w:r w:rsidRPr="00BE27F2">
        <w:rPr>
          <w:rFonts w:eastAsia="MS Mincho"/>
          <w:lang w:val="es-ES_tradnl"/>
        </w:rPr>
        <w:t xml:space="preserve"> en la Conferencia Diplomática para la </w:t>
      </w:r>
      <w:r w:rsidR="00BE27F2" w:rsidRPr="00BE27F2">
        <w:rPr>
          <w:rFonts w:eastAsia="MS Mincho"/>
          <w:lang w:val="es-ES_tradnl"/>
        </w:rPr>
        <w:t xml:space="preserve">Adopción </w:t>
      </w:r>
      <w:r w:rsidRPr="00BE27F2">
        <w:rPr>
          <w:rFonts w:eastAsia="MS Mincho"/>
          <w:lang w:val="es-ES_tradnl"/>
        </w:rPr>
        <w:t xml:space="preserve">de una </w:t>
      </w:r>
      <w:r w:rsidR="006313C6" w:rsidRPr="00BE27F2">
        <w:rPr>
          <w:rFonts w:eastAsia="MS Mincho"/>
          <w:lang w:val="es-ES_tradnl"/>
        </w:rPr>
        <w:t>N</w:t>
      </w:r>
      <w:r w:rsidRPr="00BE27F2">
        <w:rPr>
          <w:rFonts w:eastAsia="MS Mincho"/>
          <w:lang w:val="es-ES_tradnl"/>
        </w:rPr>
        <w:t>ueva Acta del Arreglo de La Haya</w:t>
      </w:r>
      <w:r w:rsidRPr="00AC7303">
        <w:rPr>
          <w:rFonts w:eastAsia="MS Mincho"/>
          <w:lang w:val="es-ES_tradnl"/>
        </w:rPr>
        <w:t xml:space="preserve"> relativo al Depósito Internacional de Dibujos y Modelos Industriales (Acta de Ginebra), celebrada de</w:t>
      </w:r>
      <w:r w:rsidR="00AC7303" w:rsidRPr="00AC7303">
        <w:rPr>
          <w:rFonts w:eastAsia="MS Mincho"/>
          <w:lang w:val="es-ES_tradnl"/>
        </w:rPr>
        <w:t>l 1</w:t>
      </w:r>
      <w:r w:rsidRPr="00AC7303">
        <w:rPr>
          <w:rFonts w:eastAsia="MS Mincho"/>
          <w:lang w:val="es-ES_tradnl"/>
        </w:rPr>
        <w:t>6 de junio a</w:t>
      </w:r>
      <w:r w:rsidR="00AC7303" w:rsidRPr="00AC7303">
        <w:rPr>
          <w:rFonts w:eastAsia="MS Mincho"/>
          <w:lang w:val="es-ES_tradnl"/>
        </w:rPr>
        <w:t>l </w:t>
      </w:r>
      <w:r w:rsidR="00580833">
        <w:rPr>
          <w:rFonts w:eastAsia="MS Mincho"/>
          <w:lang w:val="es-ES_tradnl"/>
        </w:rPr>
        <w:t>6</w:t>
      </w:r>
      <w:r w:rsidRPr="00AC7303">
        <w:rPr>
          <w:rFonts w:eastAsia="MS Mincho"/>
          <w:lang w:val="es-ES_tradnl"/>
        </w:rPr>
        <w:t xml:space="preserve"> de julio d</w:t>
      </w:r>
      <w:r w:rsidR="00AC7303" w:rsidRPr="00AC7303">
        <w:rPr>
          <w:rFonts w:eastAsia="MS Mincho"/>
          <w:lang w:val="es-ES_tradnl"/>
        </w:rPr>
        <w:t>e 1</w:t>
      </w:r>
      <w:r w:rsidRPr="00AC7303">
        <w:rPr>
          <w:rFonts w:eastAsia="MS Mincho"/>
          <w:lang w:val="es-ES_tradnl"/>
        </w:rPr>
        <w:t>999 (en lo sucesivo, “la Conferencia Diplomática”)</w:t>
      </w:r>
      <w:r w:rsidR="00B16926" w:rsidRPr="00AC7303">
        <w:rPr>
          <w:rStyle w:val="FootnoteReference"/>
          <w:lang w:val="es-ES_tradnl"/>
        </w:rPr>
        <w:footnoteReference w:id="9"/>
      </w:r>
      <w:r w:rsidR="006F40EA">
        <w:rPr>
          <w:rFonts w:eastAsia="MS Mincho"/>
          <w:lang w:val="es-ES_tradnl"/>
        </w:rPr>
        <w:t>.</w:t>
      </w:r>
      <w:r w:rsidR="00B16926" w:rsidRPr="00AC7303">
        <w:rPr>
          <w:lang w:val="es-ES_tradnl"/>
        </w:rPr>
        <w:t xml:space="preserve">  </w:t>
      </w:r>
      <w:r w:rsidRPr="00AC7303">
        <w:rPr>
          <w:lang w:val="es-ES_tradnl"/>
        </w:rPr>
        <w:t xml:space="preserve">Esa parte de la Regla </w:t>
      </w:r>
      <w:r w:rsidR="00140EA7" w:rsidRPr="00AC7303">
        <w:rPr>
          <w:lang w:val="es-ES_tradnl"/>
        </w:rPr>
        <w:t>no ha sufrido ninguna modificación</w:t>
      </w:r>
      <w:r w:rsidR="00B16926" w:rsidRPr="00AC7303">
        <w:rPr>
          <w:lang w:val="es-ES_tradnl"/>
        </w:rPr>
        <w:t>.</w:t>
      </w:r>
    </w:p>
    <w:p w:rsidR="00C552BF" w:rsidRPr="00AC7303" w:rsidRDefault="00140EA7" w:rsidP="00140EA7">
      <w:pPr>
        <w:pStyle w:val="ONUME"/>
        <w:rPr>
          <w:rFonts w:eastAsia="MS Mincho"/>
          <w:lang w:val="es-ES_tradnl"/>
        </w:rPr>
      </w:pPr>
      <w:r w:rsidRPr="00AC7303">
        <w:rPr>
          <w:rFonts w:eastAsia="MS Mincho"/>
          <w:lang w:val="es-ES_tradnl"/>
        </w:rPr>
        <w:t xml:space="preserve">No se encontraron razones, en ningún documento presentado al Comité de Expertos o </w:t>
      </w:r>
      <w:r w:rsidR="00C94B8E" w:rsidRPr="00AC7303">
        <w:rPr>
          <w:rFonts w:eastAsia="MS Mincho"/>
          <w:lang w:val="es-ES_tradnl"/>
        </w:rPr>
        <w:t>a</w:t>
      </w:r>
      <w:r w:rsidRPr="00AC7303">
        <w:rPr>
          <w:rFonts w:eastAsia="MS Mincho"/>
          <w:lang w:val="es-ES_tradnl"/>
        </w:rPr>
        <w:t xml:space="preserve"> la Conferencia Diplomática</w:t>
      </w:r>
      <w:r w:rsidR="00C94B8E" w:rsidRPr="00AC7303">
        <w:rPr>
          <w:rFonts w:eastAsia="MS Mincho"/>
          <w:lang w:val="es-ES_tradnl"/>
        </w:rPr>
        <w:t>,</w:t>
      </w:r>
      <w:r w:rsidRPr="00AC7303">
        <w:rPr>
          <w:rFonts w:eastAsia="MS Mincho"/>
          <w:lang w:val="es-ES_tradnl"/>
        </w:rPr>
        <w:t xml:space="preserve"> que justifiquen que una notificación de denegación </w:t>
      </w:r>
      <w:r w:rsidR="00811B11">
        <w:rPr>
          <w:rFonts w:eastAsia="MS Mincho"/>
          <w:lang w:val="es-ES_tradnl"/>
        </w:rPr>
        <w:t xml:space="preserve">se publique </w:t>
      </w:r>
      <w:r w:rsidRPr="00AC7303">
        <w:rPr>
          <w:rFonts w:eastAsia="MS Mincho"/>
          <w:lang w:val="es-ES_tradnl"/>
        </w:rPr>
        <w:t>sin los motivos de denegación.</w:t>
      </w:r>
    </w:p>
    <w:p w:rsidR="00C552BF" w:rsidRPr="00AC7303" w:rsidRDefault="00140EA7" w:rsidP="00416521">
      <w:pPr>
        <w:pStyle w:val="ONUME"/>
        <w:rPr>
          <w:rFonts w:eastAsia="MS Mincho"/>
          <w:lang w:val="es-ES_tradnl"/>
        </w:rPr>
      </w:pPr>
      <w:r w:rsidRPr="00AC7303">
        <w:rPr>
          <w:rFonts w:eastAsia="MS Mincho"/>
          <w:lang w:val="es-ES_tradnl"/>
        </w:rPr>
        <w:t>En la Regl</w:t>
      </w:r>
      <w:r w:rsidR="00AC7303" w:rsidRPr="00AC7303">
        <w:rPr>
          <w:rFonts w:eastAsia="MS Mincho"/>
          <w:lang w:val="es-ES_tradnl"/>
        </w:rPr>
        <w:t>a 3</w:t>
      </w:r>
      <w:r w:rsidRPr="00AC7303">
        <w:rPr>
          <w:rFonts w:eastAsia="MS Mincho"/>
          <w:lang w:val="es-ES_tradnl"/>
        </w:rPr>
        <w:t>2.1</w:t>
      </w:r>
      <w:proofErr w:type="gramStart"/>
      <w:r w:rsidRPr="00AC7303">
        <w:rPr>
          <w:rFonts w:eastAsia="MS Mincho"/>
          <w:lang w:val="es-ES_tradnl"/>
        </w:rPr>
        <w:t>)iii</w:t>
      </w:r>
      <w:proofErr w:type="gramEnd"/>
      <w:r w:rsidRPr="00AC7303">
        <w:rPr>
          <w:rFonts w:eastAsia="MS Mincho"/>
          <w:lang w:val="es-ES_tradnl"/>
        </w:rPr>
        <w:t xml:space="preserve">) del Reglamento Común del Arreglo de Madrid relativo al Registro Internacional de Marcas y del Protocolo concerniente a ese Arreglo (en lo sucesivo, “el Reglamento de Madrid”) </w:t>
      </w:r>
      <w:r w:rsidR="00C94B8E" w:rsidRPr="00AC7303">
        <w:rPr>
          <w:rFonts w:eastAsia="MS Mincho"/>
          <w:lang w:val="es-ES_tradnl"/>
        </w:rPr>
        <w:t>también se mencionan</w:t>
      </w:r>
      <w:r w:rsidRPr="00AC7303">
        <w:rPr>
          <w:rFonts w:eastAsia="MS Mincho"/>
          <w:lang w:val="es-ES_tradnl"/>
        </w:rPr>
        <w:t xml:space="preserve"> “las denegaciones provisionales inscritas en virtud de la Regl</w:t>
      </w:r>
      <w:r w:rsidR="00AC7303" w:rsidRPr="00AC7303">
        <w:rPr>
          <w:rFonts w:eastAsia="MS Mincho"/>
          <w:lang w:val="es-ES_tradnl"/>
        </w:rPr>
        <w:t>a 1</w:t>
      </w:r>
      <w:r w:rsidRPr="00AC7303">
        <w:rPr>
          <w:rFonts w:eastAsia="MS Mincho"/>
          <w:lang w:val="es-ES_tradnl"/>
        </w:rPr>
        <w:t xml:space="preserve">7.4) […] </w:t>
      </w:r>
      <w:r w:rsidR="00B56217">
        <w:rPr>
          <w:rFonts w:eastAsia="MS Mincho"/>
          <w:lang w:val="es-ES_tradnl"/>
        </w:rPr>
        <w:t>sin […]</w:t>
      </w:r>
      <w:r w:rsidRPr="00AC7303">
        <w:rPr>
          <w:rFonts w:eastAsia="MS Mincho"/>
          <w:lang w:val="es-ES_tradnl"/>
        </w:rPr>
        <w:t xml:space="preserve"> exponer los motivos </w:t>
      </w:r>
      <w:r w:rsidRPr="00D87CF9">
        <w:rPr>
          <w:rFonts w:eastAsia="MS Mincho"/>
          <w:lang w:val="es-ES_tradnl"/>
        </w:rPr>
        <w:t>de la denegación […]</w:t>
      </w:r>
      <w:r w:rsidR="00C94B8E" w:rsidRPr="00D87CF9">
        <w:rPr>
          <w:rFonts w:eastAsia="MS Mincho"/>
          <w:lang w:val="es-ES_tradnl"/>
        </w:rPr>
        <w:t>”</w:t>
      </w:r>
      <w:r w:rsidRPr="00D87CF9">
        <w:rPr>
          <w:rFonts w:eastAsia="MS Mincho"/>
          <w:lang w:val="es-ES_tradnl"/>
        </w:rPr>
        <w:t xml:space="preserve"> </w:t>
      </w:r>
      <w:r w:rsidR="00416521" w:rsidRPr="00D87CF9">
        <w:rPr>
          <w:rFonts w:eastAsia="MS Mincho"/>
          <w:lang w:val="es-ES_tradnl"/>
        </w:rPr>
        <w:t xml:space="preserve">como </w:t>
      </w:r>
      <w:r w:rsidR="00D87CF9" w:rsidRPr="00D87CF9">
        <w:rPr>
          <w:rFonts w:eastAsia="MS Mincho"/>
          <w:lang w:val="es-ES_tradnl"/>
        </w:rPr>
        <w:t xml:space="preserve">datos </w:t>
      </w:r>
      <w:r w:rsidR="00C94B8E" w:rsidRPr="00D87CF9">
        <w:rPr>
          <w:rFonts w:eastAsia="MS Mincho"/>
          <w:lang w:val="es-ES_tradnl"/>
        </w:rPr>
        <w:t>que puede</w:t>
      </w:r>
      <w:r w:rsidR="00AC1CCE" w:rsidRPr="00D87CF9">
        <w:rPr>
          <w:rFonts w:eastAsia="MS Mincho"/>
          <w:lang w:val="es-ES_tradnl"/>
        </w:rPr>
        <w:t>n</w:t>
      </w:r>
      <w:r w:rsidR="00C94B8E" w:rsidRPr="00D87CF9">
        <w:rPr>
          <w:rFonts w:eastAsia="MS Mincho"/>
          <w:lang w:val="es-ES_tradnl"/>
        </w:rPr>
        <w:t xml:space="preserve"> publicarse</w:t>
      </w:r>
      <w:r w:rsidR="005722FE" w:rsidRPr="00D87CF9">
        <w:rPr>
          <w:rFonts w:eastAsia="MS Mincho"/>
          <w:lang w:val="es-ES_tradnl"/>
        </w:rPr>
        <w:t>.</w:t>
      </w:r>
      <w:r w:rsidR="00B16926" w:rsidRPr="00D87CF9">
        <w:rPr>
          <w:rFonts w:eastAsia="MS Mincho"/>
          <w:lang w:val="es-ES_tradnl"/>
        </w:rPr>
        <w:t xml:space="preserve">  </w:t>
      </w:r>
      <w:r w:rsidR="00416521" w:rsidRPr="00D87CF9">
        <w:rPr>
          <w:rFonts w:eastAsia="MS Mincho"/>
          <w:lang w:val="es-ES_tradnl"/>
        </w:rPr>
        <w:t>Esta parte de la Regla no ha sufrido ninguna modificación</w:t>
      </w:r>
      <w:r w:rsidR="00416521" w:rsidRPr="00AC7303">
        <w:rPr>
          <w:rFonts w:eastAsia="MS Mincho"/>
          <w:lang w:val="es-ES_tradnl"/>
        </w:rPr>
        <w:t xml:space="preserve"> desde la primera versión (1996) del Reglamento (Común) de Madrid</w:t>
      </w:r>
      <w:r w:rsidR="00B16926" w:rsidRPr="00AC7303">
        <w:rPr>
          <w:rStyle w:val="FootnoteReference"/>
          <w:rFonts w:eastAsia="MS Mincho"/>
          <w:lang w:val="es-ES_tradnl"/>
        </w:rPr>
        <w:footnoteReference w:id="10"/>
      </w:r>
      <w:r w:rsidR="006F40EA">
        <w:rPr>
          <w:rFonts w:eastAsia="MS Mincho"/>
          <w:lang w:val="es-ES_tradnl"/>
        </w:rPr>
        <w:t>.</w:t>
      </w:r>
    </w:p>
    <w:p w:rsidR="00C552BF" w:rsidRPr="00AC7303" w:rsidRDefault="00321F81" w:rsidP="00B16926">
      <w:pPr>
        <w:pStyle w:val="ONUME"/>
        <w:rPr>
          <w:rFonts w:eastAsia="MS Mincho"/>
          <w:lang w:val="es-ES_tradnl"/>
        </w:rPr>
      </w:pPr>
      <w:r w:rsidRPr="00AC7303">
        <w:rPr>
          <w:rFonts w:eastAsia="MS Mincho"/>
          <w:lang w:val="es-ES_tradnl"/>
        </w:rPr>
        <w:lastRenderedPageBreak/>
        <w:t xml:space="preserve">En aquel entonces, tanto los registros internacionales de marcas como los de dibujos y modelos en virtud </w:t>
      </w:r>
      <w:r w:rsidR="00BB0985" w:rsidRPr="00AC7303">
        <w:rPr>
          <w:rFonts w:eastAsia="MS Mincho"/>
          <w:lang w:val="es-ES_tradnl"/>
        </w:rPr>
        <w:t>de los Sistemas</w:t>
      </w:r>
      <w:r w:rsidRPr="00AC7303">
        <w:rPr>
          <w:rFonts w:eastAsia="MS Mincho"/>
          <w:lang w:val="es-ES_tradnl"/>
        </w:rPr>
        <w:t xml:space="preserve"> de Madrid y de La Haya se publicaban en papel</w:t>
      </w:r>
      <w:r w:rsidR="00B16926" w:rsidRPr="00AC7303">
        <w:rPr>
          <w:rFonts w:eastAsia="MS Mincho"/>
          <w:lang w:val="es-ES_tradnl"/>
        </w:rPr>
        <w:t xml:space="preserve">.  </w:t>
      </w:r>
      <w:r w:rsidRPr="00AC7303">
        <w:rPr>
          <w:rFonts w:eastAsia="MS Mincho"/>
          <w:lang w:val="es-ES_tradnl"/>
        </w:rPr>
        <w:t>Como sigue ocurriendo hoy, la Oficina Internacional</w:t>
      </w:r>
      <w:r w:rsidR="00B16926" w:rsidRPr="00AC7303">
        <w:rPr>
          <w:rFonts w:eastAsia="MS Mincho"/>
          <w:lang w:val="es-ES_tradnl"/>
        </w:rPr>
        <w:t xml:space="preserve"> </w:t>
      </w:r>
      <w:r w:rsidR="00362A25" w:rsidRPr="00AC7303">
        <w:rPr>
          <w:rFonts w:eastAsia="MS Mincho"/>
          <w:lang w:val="es-ES_tradnl"/>
        </w:rPr>
        <w:t xml:space="preserve">no </w:t>
      </w:r>
      <w:r w:rsidR="00BA2FBF">
        <w:rPr>
          <w:rFonts w:eastAsia="MS Mincho"/>
          <w:lang w:val="es-ES_tradnl"/>
        </w:rPr>
        <w:t>“</w:t>
      </w:r>
      <w:r w:rsidR="00323A78">
        <w:rPr>
          <w:rFonts w:eastAsia="MS Mincho"/>
          <w:lang w:val="es-ES_tradnl"/>
        </w:rPr>
        <w:t>hacía constar datos textuales</w:t>
      </w:r>
      <w:r w:rsidR="003D6EA4" w:rsidRPr="00AC7303">
        <w:rPr>
          <w:rFonts w:eastAsia="MS Mincho"/>
          <w:lang w:val="es-ES_tradnl"/>
        </w:rPr>
        <w:t xml:space="preserve"> relativ</w:t>
      </w:r>
      <w:r w:rsidR="0022517D">
        <w:rPr>
          <w:rFonts w:eastAsia="MS Mincho"/>
          <w:lang w:val="es-ES_tradnl"/>
        </w:rPr>
        <w:t>os</w:t>
      </w:r>
      <w:r w:rsidR="00362A25" w:rsidRPr="00AC7303">
        <w:rPr>
          <w:rFonts w:eastAsia="MS Mincho"/>
          <w:lang w:val="es-ES_tradnl"/>
        </w:rPr>
        <w:t xml:space="preserve"> a los motivos de</w:t>
      </w:r>
      <w:r w:rsidR="003D6EA4" w:rsidRPr="00AC7303">
        <w:rPr>
          <w:rFonts w:eastAsia="MS Mincho"/>
          <w:lang w:val="es-ES_tradnl"/>
        </w:rPr>
        <w:t xml:space="preserve"> la</w:t>
      </w:r>
      <w:r w:rsidR="00362A25" w:rsidRPr="00AC7303">
        <w:rPr>
          <w:rFonts w:eastAsia="MS Mincho"/>
          <w:lang w:val="es-ES_tradnl"/>
        </w:rPr>
        <w:t xml:space="preserve"> denegación</w:t>
      </w:r>
      <w:r w:rsidR="0022517D">
        <w:rPr>
          <w:rFonts w:eastAsia="MS Mincho"/>
          <w:lang w:val="es-ES_tradnl"/>
        </w:rPr>
        <w:t>”</w:t>
      </w:r>
      <w:r w:rsidR="00B16926" w:rsidRPr="00AC7303">
        <w:rPr>
          <w:rFonts w:eastAsia="MS Mincho"/>
          <w:lang w:val="es-ES_tradnl"/>
        </w:rPr>
        <w:t xml:space="preserve"> </w:t>
      </w:r>
      <w:r w:rsidR="00362A25" w:rsidRPr="00AC7303">
        <w:rPr>
          <w:rFonts w:eastAsia="MS Mincho"/>
          <w:lang w:val="es-ES_tradnl"/>
        </w:rPr>
        <w:t>contenid</w:t>
      </w:r>
      <w:r w:rsidR="0069558C">
        <w:rPr>
          <w:rFonts w:eastAsia="MS Mincho"/>
          <w:lang w:val="es-ES_tradnl"/>
        </w:rPr>
        <w:t>os</w:t>
      </w:r>
      <w:r w:rsidR="00362A25" w:rsidRPr="00AC7303">
        <w:rPr>
          <w:rFonts w:eastAsia="MS Mincho"/>
          <w:lang w:val="es-ES_tradnl"/>
        </w:rPr>
        <w:t xml:space="preserve"> en cada notificación de denegación </w:t>
      </w:r>
      <w:r w:rsidR="00B16926" w:rsidRPr="00AC7303">
        <w:rPr>
          <w:rFonts w:eastAsia="MS Mincho"/>
          <w:lang w:val="es-ES_tradnl"/>
        </w:rPr>
        <w:t xml:space="preserve">(provisional).  </w:t>
      </w:r>
      <w:r w:rsidR="00362A25" w:rsidRPr="00AC7303">
        <w:rPr>
          <w:rFonts w:eastAsia="MS Mincho"/>
          <w:lang w:val="es-ES_tradnl"/>
        </w:rPr>
        <w:t xml:space="preserve">Es decir que no había un </w:t>
      </w:r>
      <w:r w:rsidR="0022517D">
        <w:rPr>
          <w:rFonts w:eastAsia="MS Mincho"/>
          <w:lang w:val="es-ES_tradnl"/>
        </w:rPr>
        <w:t>mecanismo</w:t>
      </w:r>
      <w:r w:rsidR="00362A25" w:rsidRPr="00AC7303">
        <w:rPr>
          <w:rFonts w:eastAsia="MS Mincho"/>
          <w:lang w:val="es-ES_tradnl"/>
        </w:rPr>
        <w:t xml:space="preserve"> automatizado para reproducir dichos datos </w:t>
      </w:r>
      <w:r w:rsidR="00BB0985" w:rsidRPr="00AC7303">
        <w:rPr>
          <w:rFonts w:eastAsia="MS Mincho"/>
          <w:lang w:val="es-ES_tradnl"/>
        </w:rPr>
        <w:t>en la publicación</w:t>
      </w:r>
      <w:r w:rsidR="00362A25" w:rsidRPr="00AC7303">
        <w:rPr>
          <w:rFonts w:eastAsia="MS Mincho"/>
          <w:lang w:val="es-ES_tradnl"/>
        </w:rPr>
        <w:t xml:space="preserve">.  A ese respecto, </w:t>
      </w:r>
      <w:r w:rsidR="00323A78">
        <w:rPr>
          <w:rFonts w:eastAsia="MS Mincho"/>
          <w:lang w:val="es-ES_tradnl"/>
        </w:rPr>
        <w:t>podía</w:t>
      </w:r>
      <w:r w:rsidR="00323A78" w:rsidRPr="00AC7303">
        <w:rPr>
          <w:rFonts w:eastAsia="MS Mincho"/>
          <w:lang w:val="es-ES_tradnl"/>
        </w:rPr>
        <w:t xml:space="preserve"> </w:t>
      </w:r>
      <w:r w:rsidR="00323A78">
        <w:rPr>
          <w:rFonts w:eastAsia="MS Mincho"/>
          <w:lang w:val="es-ES_tradnl"/>
        </w:rPr>
        <w:t xml:space="preserve">proporcionarse </w:t>
      </w:r>
      <w:r w:rsidR="004F7A82">
        <w:rPr>
          <w:rFonts w:eastAsia="MS Mincho"/>
          <w:lang w:val="es-ES_tradnl"/>
        </w:rPr>
        <w:t xml:space="preserve">la información relativa a </w:t>
      </w:r>
      <w:r w:rsidR="00775B04">
        <w:rPr>
          <w:rFonts w:eastAsia="MS Mincho"/>
          <w:lang w:val="es-ES_tradnl"/>
        </w:rPr>
        <w:t xml:space="preserve">una marca o dibujo o modelo anterior citado como </w:t>
      </w:r>
      <w:r w:rsidR="00362A25" w:rsidRPr="00AC7303">
        <w:rPr>
          <w:rFonts w:eastAsia="MS Mincho"/>
          <w:lang w:val="es-ES_tradnl"/>
        </w:rPr>
        <w:t>motivo de denegación</w:t>
      </w:r>
      <w:r w:rsidR="00323A78">
        <w:rPr>
          <w:rFonts w:eastAsia="MS Mincho"/>
          <w:lang w:val="es-ES_tradnl"/>
        </w:rPr>
        <w:t>,</w:t>
      </w:r>
      <w:r w:rsidR="00362A25" w:rsidRPr="00AC7303">
        <w:rPr>
          <w:rFonts w:eastAsia="MS Mincho"/>
          <w:lang w:val="es-ES_tradnl"/>
        </w:rPr>
        <w:t xml:space="preserve"> </w:t>
      </w:r>
      <w:r w:rsidR="00775B04">
        <w:rPr>
          <w:rFonts w:eastAsia="MS Mincho"/>
          <w:lang w:val="es-ES_tradnl"/>
        </w:rPr>
        <w:t>adjunta</w:t>
      </w:r>
      <w:r w:rsidR="00CC7ED9">
        <w:rPr>
          <w:rFonts w:eastAsia="MS Mincho"/>
          <w:lang w:val="es-ES_tradnl"/>
        </w:rPr>
        <w:t>n</w:t>
      </w:r>
      <w:r w:rsidR="00775B04">
        <w:rPr>
          <w:rFonts w:eastAsia="MS Mincho"/>
          <w:lang w:val="es-ES_tradnl"/>
        </w:rPr>
        <w:t>do</w:t>
      </w:r>
      <w:r w:rsidR="00323A78">
        <w:rPr>
          <w:rFonts w:eastAsia="MS Mincho"/>
          <w:lang w:val="es-ES_tradnl"/>
        </w:rPr>
        <w:t xml:space="preserve"> con ese fin</w:t>
      </w:r>
      <w:r w:rsidR="00775B04">
        <w:rPr>
          <w:rFonts w:eastAsia="MS Mincho"/>
          <w:lang w:val="es-ES_tradnl"/>
        </w:rPr>
        <w:t xml:space="preserve"> </w:t>
      </w:r>
      <w:r w:rsidR="00362A25" w:rsidRPr="00AC7303">
        <w:rPr>
          <w:rFonts w:eastAsia="MS Mincho"/>
          <w:lang w:val="es-ES_tradnl"/>
        </w:rPr>
        <w:t xml:space="preserve">una </w:t>
      </w:r>
      <w:r w:rsidR="00BB0985" w:rsidRPr="00AC7303">
        <w:rPr>
          <w:rFonts w:eastAsia="MS Mincho"/>
          <w:lang w:val="es-ES_tradnl"/>
        </w:rPr>
        <w:t xml:space="preserve">copia de la publicación nacional, que </w:t>
      </w:r>
      <w:r w:rsidR="001D5E0F">
        <w:rPr>
          <w:rFonts w:eastAsia="MS Mincho"/>
          <w:lang w:val="es-ES_tradnl"/>
        </w:rPr>
        <w:t>podía</w:t>
      </w:r>
      <w:r w:rsidR="00BB0985" w:rsidRPr="00AC7303">
        <w:rPr>
          <w:rFonts w:eastAsia="MS Mincho"/>
          <w:lang w:val="es-ES_tradnl"/>
        </w:rPr>
        <w:t xml:space="preserve"> estar redactada en </w:t>
      </w:r>
      <w:r w:rsidR="000424DC" w:rsidRPr="00AC7303">
        <w:rPr>
          <w:rFonts w:eastAsia="MS Mincho"/>
          <w:lang w:val="es-ES_tradnl"/>
        </w:rPr>
        <w:t>el</w:t>
      </w:r>
      <w:r w:rsidR="008F151E" w:rsidRPr="00AC7303">
        <w:rPr>
          <w:rFonts w:eastAsia="MS Mincho"/>
          <w:lang w:val="es-ES_tradnl"/>
        </w:rPr>
        <w:t xml:space="preserve"> idioma </w:t>
      </w:r>
      <w:r w:rsidR="00CC7ED9">
        <w:rPr>
          <w:rFonts w:eastAsia="MS Mincho"/>
          <w:lang w:val="es-ES_tradnl"/>
        </w:rPr>
        <w:t>local</w:t>
      </w:r>
      <w:r w:rsidR="00362A25" w:rsidRPr="00AC7303">
        <w:rPr>
          <w:rFonts w:eastAsia="MS Mincho"/>
          <w:lang w:val="es-ES_tradnl"/>
        </w:rPr>
        <w:t xml:space="preserve">.  </w:t>
      </w:r>
      <w:r w:rsidR="00BB0985" w:rsidRPr="00AC7303">
        <w:rPr>
          <w:rFonts w:eastAsia="MS Mincho"/>
          <w:lang w:val="es-ES_tradnl"/>
        </w:rPr>
        <w:t>Por otra</w:t>
      </w:r>
      <w:r w:rsidR="001D5E0F">
        <w:rPr>
          <w:rFonts w:eastAsia="MS Mincho"/>
          <w:lang w:val="es-ES_tradnl"/>
        </w:rPr>
        <w:t xml:space="preserve"> parte, en una notificación pod</w:t>
      </w:r>
      <w:r w:rsidR="00BB0985" w:rsidRPr="00AC7303">
        <w:rPr>
          <w:rFonts w:eastAsia="MS Mincho"/>
          <w:lang w:val="es-ES_tradnl"/>
        </w:rPr>
        <w:t xml:space="preserve">ía </w:t>
      </w:r>
      <w:r w:rsidR="001D5E0F">
        <w:rPr>
          <w:rFonts w:eastAsia="MS Mincho"/>
          <w:lang w:val="es-ES_tradnl"/>
        </w:rPr>
        <w:t>mencionarse</w:t>
      </w:r>
      <w:r w:rsidR="00BB0985" w:rsidRPr="00AC7303">
        <w:rPr>
          <w:rFonts w:eastAsia="MS Mincho"/>
          <w:lang w:val="es-ES_tradnl"/>
        </w:rPr>
        <w:t xml:space="preserve"> la existencia de diversas marcas o dibujos y modelos anteriores</w:t>
      </w:r>
      <w:r w:rsidR="00B16926" w:rsidRPr="00AC7303">
        <w:rPr>
          <w:rFonts w:eastAsia="MS Mincho"/>
          <w:lang w:val="es-ES_tradnl"/>
        </w:rPr>
        <w:t>.</w:t>
      </w:r>
    </w:p>
    <w:p w:rsidR="00C552BF" w:rsidRPr="00AC7303" w:rsidRDefault="003D6EA4" w:rsidP="00B16926">
      <w:pPr>
        <w:pStyle w:val="ONUME"/>
        <w:rPr>
          <w:rFonts w:eastAsia="MS Mincho"/>
          <w:lang w:val="es-ES_tradnl"/>
        </w:rPr>
      </w:pPr>
      <w:r w:rsidRPr="00AC7303">
        <w:rPr>
          <w:rFonts w:eastAsia="MS Mincho"/>
          <w:lang w:val="es-ES_tradnl"/>
        </w:rPr>
        <w:t>La publicación de una denegación (provisional o final) tiene por objeto anunciar que una determinada Parte Contratante designada ha denegado el efecto del registro internacional.  La formulación “</w:t>
      </w:r>
      <w:r w:rsidR="00EB7C5D">
        <w:rPr>
          <w:rFonts w:eastAsia="MS Mincho"/>
          <w:lang w:val="es-ES_tradnl"/>
        </w:rPr>
        <w:t>sin […]</w:t>
      </w:r>
      <w:r w:rsidRPr="00AC7303">
        <w:rPr>
          <w:rFonts w:eastAsia="MS Mincho"/>
          <w:lang w:val="es-ES_tradnl"/>
        </w:rPr>
        <w:t xml:space="preserve"> exponer los motivos de la denegación” </w:t>
      </w:r>
      <w:r w:rsidR="0069558C">
        <w:rPr>
          <w:rFonts w:eastAsia="MS Mincho"/>
          <w:lang w:val="es-ES_tradnl"/>
        </w:rPr>
        <w:t xml:space="preserve">parece </w:t>
      </w:r>
      <w:r w:rsidR="00323A78">
        <w:rPr>
          <w:rFonts w:eastAsia="MS Mincho"/>
          <w:lang w:val="es-ES_tradnl"/>
        </w:rPr>
        <w:t>haberse incorporado</w:t>
      </w:r>
      <w:r w:rsidRPr="00AC7303">
        <w:rPr>
          <w:rFonts w:eastAsia="MS Mincho"/>
          <w:lang w:val="es-ES_tradnl"/>
        </w:rPr>
        <w:t xml:space="preserve"> en el Reglamento</w:t>
      </w:r>
      <w:r w:rsidR="00323A78">
        <w:rPr>
          <w:rFonts w:eastAsia="MS Mincho"/>
          <w:lang w:val="es-ES_tradnl"/>
        </w:rPr>
        <w:t xml:space="preserve"> </w:t>
      </w:r>
      <w:r w:rsidRPr="00AC7303">
        <w:rPr>
          <w:rFonts w:eastAsia="MS Mincho"/>
          <w:lang w:val="es-ES_tradnl"/>
        </w:rPr>
        <w:t>de Madrid no solo para reflejar el objetivo primero de publicar una denegación, sino también la limitación técnica que hace que a la Oficina Internacional le resulte extremadamente difícil recoger y publicar toda la información relativa a los motivos de la denegación</w:t>
      </w:r>
      <w:r w:rsidR="00B16926" w:rsidRPr="00AC7303">
        <w:rPr>
          <w:rFonts w:eastAsia="MS Mincho"/>
          <w:lang w:val="es-ES_tradnl"/>
        </w:rPr>
        <w:t>.</w:t>
      </w:r>
    </w:p>
    <w:p w:rsidR="00C552BF" w:rsidRPr="00AC7303" w:rsidRDefault="003D6EA4" w:rsidP="00827884">
      <w:pPr>
        <w:pStyle w:val="ONUME"/>
        <w:rPr>
          <w:rFonts w:eastAsia="MS Mincho"/>
          <w:lang w:val="es-ES_tradnl"/>
        </w:rPr>
      </w:pPr>
      <w:r w:rsidRPr="00AC7303">
        <w:rPr>
          <w:rFonts w:eastAsia="MS Mincho"/>
          <w:lang w:val="es-ES_tradnl"/>
        </w:rPr>
        <w:t xml:space="preserve">Puesto que en los documentos del Comité de Expertos </w:t>
      </w:r>
      <w:r w:rsidR="00B62035" w:rsidRPr="00AC7303">
        <w:rPr>
          <w:rFonts w:eastAsia="MS Mincho"/>
          <w:lang w:val="es-ES_tradnl"/>
        </w:rPr>
        <w:t>y</w:t>
      </w:r>
      <w:r w:rsidRPr="00AC7303">
        <w:rPr>
          <w:rFonts w:eastAsia="MS Mincho"/>
          <w:lang w:val="es-ES_tradnl"/>
        </w:rPr>
        <w:t xml:space="preserve"> de la Conferencia Diplomática no figuran comentarios a ese respecto, </w:t>
      </w:r>
      <w:r w:rsidR="00827884" w:rsidRPr="00AC7303">
        <w:rPr>
          <w:rFonts w:eastAsia="MS Mincho"/>
          <w:lang w:val="es-ES_tradnl"/>
        </w:rPr>
        <w:t xml:space="preserve">cabe suponer que esa formulación fue simplemente copiada del Reglamento de Madrid para reflejar el mismo matiz en el Reglamento Común </w:t>
      </w:r>
      <w:r w:rsidR="00320474">
        <w:rPr>
          <w:rFonts w:eastAsia="MS Mincho"/>
          <w:lang w:val="es-ES_tradnl"/>
        </w:rPr>
        <w:t>(</w:t>
      </w:r>
      <w:r w:rsidR="00827884" w:rsidRPr="00AC7303">
        <w:rPr>
          <w:rFonts w:eastAsia="MS Mincho"/>
          <w:lang w:val="es-ES_tradnl"/>
        </w:rPr>
        <w:t>de</w:t>
      </w:r>
      <w:r w:rsidR="006F40EA">
        <w:rPr>
          <w:rFonts w:eastAsia="MS Mincho"/>
          <w:lang w:val="es-ES_tradnl"/>
        </w:rPr>
        <w:t> </w:t>
      </w:r>
      <w:r w:rsidR="00827884" w:rsidRPr="00AC7303">
        <w:rPr>
          <w:rFonts w:eastAsia="MS Mincho"/>
          <w:lang w:val="es-ES_tradnl"/>
        </w:rPr>
        <w:t>La Haya</w:t>
      </w:r>
      <w:r w:rsidR="00B62035" w:rsidRPr="00AC7303">
        <w:rPr>
          <w:rFonts w:eastAsia="MS Mincho"/>
          <w:lang w:val="es-ES_tradnl"/>
        </w:rPr>
        <w:t>)</w:t>
      </w:r>
      <w:r w:rsidR="00B16926" w:rsidRPr="00AC7303">
        <w:rPr>
          <w:rFonts w:eastAsia="MS Mincho"/>
          <w:lang w:val="es-ES_tradnl"/>
        </w:rPr>
        <w:t>.</w:t>
      </w:r>
    </w:p>
    <w:p w:rsidR="00C552BF" w:rsidRPr="00AC7303" w:rsidRDefault="00827884" w:rsidP="00B16926">
      <w:pPr>
        <w:pStyle w:val="Heading2"/>
        <w:spacing w:before="480"/>
        <w:rPr>
          <w:lang w:val="es-ES_tradnl" w:eastAsia="en-US"/>
        </w:rPr>
      </w:pPr>
      <w:r w:rsidRPr="00AC7303">
        <w:rPr>
          <w:lang w:val="es-ES_tradnl" w:eastAsia="en-US"/>
        </w:rPr>
        <w:t>PRÁCTICAS DE LAS OFICINAS QUE EMITEN CON FRECUENCIA NOTIFICACIONES DE DENEGACIÓN</w:t>
      </w:r>
    </w:p>
    <w:p w:rsidR="00C552BF" w:rsidRPr="00AC7303" w:rsidRDefault="00827884" w:rsidP="00B16926">
      <w:pPr>
        <w:pStyle w:val="ONUME"/>
        <w:rPr>
          <w:rFonts w:eastAsia="MS Mincho"/>
          <w:lang w:val="es-ES_tradnl"/>
        </w:rPr>
      </w:pPr>
      <w:r w:rsidRPr="00AC7303">
        <w:rPr>
          <w:lang w:val="es-ES_tradnl"/>
        </w:rPr>
        <w:t xml:space="preserve">Como se ha señalado anteriormente, la JPO, la KIPO y la USPTO son actualmente las tres Oficinas </w:t>
      </w:r>
      <w:r w:rsidR="008E2715">
        <w:rPr>
          <w:lang w:val="es-ES_tradnl"/>
        </w:rPr>
        <w:t xml:space="preserve">que emiten el mayor número de </w:t>
      </w:r>
      <w:r w:rsidRPr="00AC7303">
        <w:rPr>
          <w:lang w:val="es-ES_tradnl"/>
        </w:rPr>
        <w:t>notificaciones de denegación</w:t>
      </w:r>
      <w:r w:rsidR="00B16926" w:rsidRPr="00AC7303">
        <w:rPr>
          <w:lang w:val="es-ES_tradnl"/>
        </w:rPr>
        <w:t>.</w:t>
      </w:r>
    </w:p>
    <w:p w:rsidR="00C552BF" w:rsidRPr="00AC7303" w:rsidRDefault="003965E3" w:rsidP="00B16926">
      <w:pPr>
        <w:pStyle w:val="ONUME"/>
        <w:rPr>
          <w:rFonts w:eastAsia="MS Mincho"/>
          <w:lang w:val="es-ES_tradnl"/>
        </w:rPr>
      </w:pPr>
      <w:r w:rsidRPr="00AC7303">
        <w:rPr>
          <w:rFonts w:eastAsia="MS Mincho"/>
          <w:lang w:val="es-ES_tradnl"/>
        </w:rPr>
        <w:t>La USPTO ofrece en su sitio web el sistema de recuperación de información de las solicitudes de patente</w:t>
      </w:r>
      <w:r w:rsidRPr="00AC7303">
        <w:rPr>
          <w:rFonts w:eastAsia="MS Mincho"/>
          <w:i/>
          <w:lang w:val="es-ES_tradnl"/>
        </w:rPr>
        <w:t xml:space="preserve"> </w:t>
      </w:r>
      <w:r w:rsidRPr="00AC7303">
        <w:rPr>
          <w:lang w:val="es-ES_tradnl"/>
        </w:rPr>
        <w:t xml:space="preserve">(“PAIR”, por sus siglas en inglés).  </w:t>
      </w:r>
      <w:r w:rsidR="003B0F07" w:rsidRPr="00AC7303">
        <w:rPr>
          <w:lang w:val="es-ES_tradnl"/>
        </w:rPr>
        <w:t>Mediante el sistema “</w:t>
      </w:r>
      <w:proofErr w:type="spellStart"/>
      <w:r w:rsidR="003B0F07" w:rsidRPr="00AC7303">
        <w:rPr>
          <w:lang w:val="es-ES_tradnl"/>
        </w:rPr>
        <w:t>Private</w:t>
      </w:r>
      <w:proofErr w:type="spellEnd"/>
      <w:r w:rsidR="003B0F07" w:rsidRPr="00AC7303">
        <w:rPr>
          <w:lang w:val="es-ES_tradnl"/>
        </w:rPr>
        <w:t> PAIR”, l</w:t>
      </w:r>
      <w:r w:rsidRPr="00AC7303">
        <w:rPr>
          <w:lang w:val="es-ES_tradnl"/>
        </w:rPr>
        <w:t>os solicitantes pueden consultar de forma privada la situación de sus solicitudes de patente en cualquier momento.  Por otra parte, mediante el sistema “</w:t>
      </w:r>
      <w:proofErr w:type="spellStart"/>
      <w:r w:rsidRPr="00AC7303">
        <w:rPr>
          <w:lang w:val="es-ES_tradnl"/>
        </w:rPr>
        <w:t>Public</w:t>
      </w:r>
      <w:proofErr w:type="spellEnd"/>
      <w:r w:rsidRPr="00AC7303">
        <w:rPr>
          <w:lang w:val="es-ES_tradnl"/>
        </w:rPr>
        <w:t xml:space="preserve"> PAIR”, un tercero puede consultar información </w:t>
      </w:r>
      <w:r w:rsidR="00710827">
        <w:rPr>
          <w:lang w:val="es-ES_tradnl"/>
        </w:rPr>
        <w:t>pertinente</w:t>
      </w:r>
      <w:r w:rsidR="0032598E">
        <w:rPr>
          <w:lang w:val="es-ES_tradnl"/>
        </w:rPr>
        <w:t>,</w:t>
      </w:r>
      <w:r w:rsidR="007D02C6">
        <w:rPr>
          <w:lang w:val="es-ES_tradnl"/>
        </w:rPr>
        <w:t xml:space="preserve"> </w:t>
      </w:r>
      <w:r w:rsidRPr="00AC7303">
        <w:rPr>
          <w:lang w:val="es-ES_tradnl"/>
        </w:rPr>
        <w:t xml:space="preserve">incluidas las notificaciones de denegación y todas las demás comunicaciones entre el solicitante y la Oficina </w:t>
      </w:r>
      <w:r w:rsidR="00CF2B46" w:rsidRPr="00AC7303">
        <w:rPr>
          <w:lang w:val="es-ES_tradnl"/>
        </w:rPr>
        <w:t>después de haberse concedido la patente, en caso de que se conceda</w:t>
      </w:r>
      <w:r w:rsidRPr="00AC7303">
        <w:rPr>
          <w:lang w:val="es-ES_tradnl"/>
        </w:rPr>
        <w:t xml:space="preserve">.  Además, en el caso de los registros internacionales en que se designe a los Estados Unidos de América, todas esas comunicaciones pueden consultarse </w:t>
      </w:r>
      <w:r w:rsidR="003B0F07" w:rsidRPr="00AC7303">
        <w:rPr>
          <w:lang w:val="es-ES_tradnl"/>
        </w:rPr>
        <w:t>una vez publicados tales registros</w:t>
      </w:r>
      <w:r w:rsidRPr="00AC7303">
        <w:rPr>
          <w:lang w:val="es-ES_tradnl"/>
        </w:rPr>
        <w:t xml:space="preserve"> por la Oficina Internacional</w:t>
      </w:r>
      <w:r w:rsidR="003B0F07" w:rsidRPr="00AC7303">
        <w:rPr>
          <w:lang w:val="es-ES_tradnl"/>
        </w:rPr>
        <w:t>,</w:t>
      </w:r>
      <w:r w:rsidRPr="00AC7303">
        <w:rPr>
          <w:lang w:val="es-ES_tradnl"/>
        </w:rPr>
        <w:t xml:space="preserve"> e independientemente de lo que suceda con </w:t>
      </w:r>
      <w:r w:rsidR="003B0F07" w:rsidRPr="00AC7303">
        <w:rPr>
          <w:lang w:val="es-ES_tradnl"/>
        </w:rPr>
        <w:t>los mismos</w:t>
      </w:r>
      <w:r w:rsidR="00B16926" w:rsidRPr="00AC7303">
        <w:rPr>
          <w:lang w:val="es-ES_tradnl"/>
        </w:rPr>
        <w:t>.</w:t>
      </w:r>
    </w:p>
    <w:p w:rsidR="00C552BF" w:rsidRPr="00AC7303" w:rsidRDefault="003965E3" w:rsidP="00B16926">
      <w:pPr>
        <w:pStyle w:val="ONUME"/>
        <w:rPr>
          <w:lang w:val="es-ES_tradnl" w:eastAsia="en-US"/>
        </w:rPr>
      </w:pPr>
      <w:r w:rsidRPr="00AC7303">
        <w:rPr>
          <w:lang w:val="es-ES_tradnl" w:eastAsia="en-US"/>
        </w:rPr>
        <w:t>Por el contrario, las bases de datos de la JPO (J-PRAT-PAT) y de la KIPO (KIPRIS) no permiten que terceros consulten las notificaciones de denegación</w:t>
      </w:r>
      <w:r w:rsidR="007C699A">
        <w:rPr>
          <w:lang w:val="es-ES_tradnl" w:eastAsia="en-US"/>
        </w:rPr>
        <w:t xml:space="preserve"> mediante sus sitios web</w:t>
      </w:r>
      <w:r w:rsidRPr="00AC7303">
        <w:rPr>
          <w:lang w:val="es-ES_tradnl" w:eastAsia="en-US"/>
        </w:rPr>
        <w:t xml:space="preserve">.  No obstante, en principio, todas las comunicaciones, incluidas las notificaciones de denegación, se ponen a disposición de terceros, previa petición, </w:t>
      </w:r>
      <w:r w:rsidR="00CF2B46" w:rsidRPr="00AC7303">
        <w:rPr>
          <w:lang w:val="es-ES_tradnl" w:eastAsia="en-US"/>
        </w:rPr>
        <w:t>después de haberse concedido el</w:t>
      </w:r>
      <w:r w:rsidRPr="00AC7303">
        <w:rPr>
          <w:lang w:val="es-ES_tradnl" w:eastAsia="en-US"/>
        </w:rPr>
        <w:t xml:space="preserve"> registro </w:t>
      </w:r>
      <w:r w:rsidR="00CF2B46" w:rsidRPr="00AC7303">
        <w:rPr>
          <w:lang w:val="es-ES_tradnl" w:eastAsia="en-US"/>
        </w:rPr>
        <w:t>de</w:t>
      </w:r>
      <w:r w:rsidRPr="00AC7303">
        <w:rPr>
          <w:lang w:val="es-ES_tradnl" w:eastAsia="en-US"/>
        </w:rPr>
        <w:t xml:space="preserve"> un dibujo o modelo industrial</w:t>
      </w:r>
      <w:r w:rsidR="00CF2B46" w:rsidRPr="00AC7303">
        <w:rPr>
          <w:lang w:val="es-ES_tradnl" w:eastAsia="en-US"/>
        </w:rPr>
        <w:t>, en caso de que se conceda</w:t>
      </w:r>
      <w:r w:rsidR="00B16926" w:rsidRPr="00AC7303">
        <w:rPr>
          <w:lang w:val="es-ES_tradnl" w:eastAsia="en-US"/>
        </w:rPr>
        <w:t>.</w:t>
      </w:r>
    </w:p>
    <w:p w:rsidR="00C552BF" w:rsidRPr="00AC7303" w:rsidRDefault="00B16926" w:rsidP="00B16926">
      <w:pPr>
        <w:pStyle w:val="Heading1"/>
        <w:spacing w:before="480"/>
        <w:rPr>
          <w:lang w:val="es-ES_tradnl" w:eastAsia="en-US"/>
        </w:rPr>
      </w:pPr>
      <w:r w:rsidRPr="00AC7303">
        <w:rPr>
          <w:lang w:val="es-ES_tradnl" w:eastAsia="en-US"/>
        </w:rPr>
        <w:t>IV.</w:t>
      </w:r>
      <w:r w:rsidRPr="00AC7303">
        <w:rPr>
          <w:lang w:val="es-ES_tradnl" w:eastAsia="en-US"/>
        </w:rPr>
        <w:tab/>
      </w:r>
      <w:r w:rsidR="00500747" w:rsidRPr="00AC7303">
        <w:rPr>
          <w:lang w:val="es-ES_tradnl" w:eastAsia="en-US"/>
        </w:rPr>
        <w:t>DEBATE</w:t>
      </w:r>
    </w:p>
    <w:p w:rsidR="00C552BF" w:rsidRPr="00AC7303" w:rsidRDefault="00F34E58" w:rsidP="00B16926">
      <w:pPr>
        <w:pStyle w:val="Heading2"/>
        <w:rPr>
          <w:lang w:val="es-ES_tradnl" w:eastAsia="en-US"/>
        </w:rPr>
      </w:pPr>
      <w:r w:rsidRPr="00AC7303">
        <w:rPr>
          <w:lang w:val="es-ES_tradnl" w:eastAsia="en-US"/>
        </w:rPr>
        <w:t>disponibilidad de</w:t>
      </w:r>
      <w:r w:rsidR="003B1C46" w:rsidRPr="00AC7303">
        <w:rPr>
          <w:lang w:val="es-ES_tradnl" w:eastAsia="en-US"/>
        </w:rPr>
        <w:t xml:space="preserve"> </w:t>
      </w:r>
      <w:r w:rsidR="00CF2B46" w:rsidRPr="00AC7303">
        <w:rPr>
          <w:lang w:val="es-ES_tradnl" w:eastAsia="en-US"/>
        </w:rPr>
        <w:t>una notificación de denegació</w:t>
      </w:r>
      <w:r w:rsidR="003D0499" w:rsidRPr="00AC7303">
        <w:rPr>
          <w:lang w:val="es-ES_tradnl" w:eastAsia="en-US"/>
        </w:rPr>
        <w:t>n e</w:t>
      </w:r>
      <w:r w:rsidR="00CF2B46" w:rsidRPr="00AC7303">
        <w:rPr>
          <w:lang w:val="es-ES_tradnl" w:eastAsia="en-US"/>
        </w:rPr>
        <w:t>n el sitio web</w:t>
      </w:r>
      <w:r w:rsidR="008E2715">
        <w:rPr>
          <w:lang w:val="es-ES_tradnl" w:eastAsia="en-US"/>
        </w:rPr>
        <w:t xml:space="preserve"> DE LA OMPI</w:t>
      </w:r>
    </w:p>
    <w:p w:rsidR="00C552BF" w:rsidRDefault="00CF2B46" w:rsidP="00CF2B46">
      <w:pPr>
        <w:pStyle w:val="ONUME"/>
        <w:rPr>
          <w:lang w:val="es-ES_tradnl"/>
        </w:rPr>
      </w:pPr>
      <w:r w:rsidRPr="00AC7303">
        <w:rPr>
          <w:lang w:val="es-ES_tradnl"/>
        </w:rPr>
        <w:t xml:space="preserve">Si </w:t>
      </w:r>
      <w:r w:rsidR="00534BCC" w:rsidRPr="00AC7303">
        <w:rPr>
          <w:lang w:val="es-ES_tradnl"/>
        </w:rPr>
        <w:t xml:space="preserve">el </w:t>
      </w:r>
      <w:r w:rsidRPr="00AC7303">
        <w:rPr>
          <w:lang w:val="es-ES_tradnl"/>
        </w:rPr>
        <w:t xml:space="preserve">Grupo de Trabajo considerase que la Oficina </w:t>
      </w:r>
      <w:r w:rsidR="00F34E58" w:rsidRPr="00AC7303">
        <w:rPr>
          <w:lang w:val="es-ES_tradnl"/>
        </w:rPr>
        <w:t xml:space="preserve">Internacional </w:t>
      </w:r>
      <w:r w:rsidRPr="00AC7303">
        <w:rPr>
          <w:lang w:val="es-ES_tradnl"/>
        </w:rPr>
        <w:t xml:space="preserve">debería dejar de cargar en el sitio web </w:t>
      </w:r>
      <w:r w:rsidR="00B131B5">
        <w:rPr>
          <w:lang w:val="es-ES_tradnl"/>
        </w:rPr>
        <w:t xml:space="preserve">de la OMPI </w:t>
      </w:r>
      <w:r w:rsidRPr="00AC7303">
        <w:rPr>
          <w:lang w:val="es-ES_tradnl"/>
        </w:rPr>
        <w:t>copias en PD</w:t>
      </w:r>
      <w:r w:rsidR="00F34E58" w:rsidRPr="00AC7303">
        <w:rPr>
          <w:lang w:val="es-ES_tradnl"/>
        </w:rPr>
        <w:t>F</w:t>
      </w:r>
      <w:r w:rsidRPr="00AC7303">
        <w:rPr>
          <w:lang w:val="es-ES_tradnl"/>
        </w:rPr>
        <w:t xml:space="preserve"> de las notificaciones de denegación recibidas e inscritas por la Oficina Internacional, </w:t>
      </w:r>
      <w:r w:rsidR="005820EB">
        <w:rPr>
          <w:lang w:val="es-ES_tradnl"/>
        </w:rPr>
        <w:t>podrá</w:t>
      </w:r>
      <w:r w:rsidRPr="00AC7303">
        <w:rPr>
          <w:lang w:val="es-ES_tradnl"/>
        </w:rPr>
        <w:t xml:space="preserve"> indicarlo.</w:t>
      </w:r>
    </w:p>
    <w:p w:rsidR="005820EB" w:rsidRPr="00AC7303" w:rsidRDefault="005820EB" w:rsidP="005820EB">
      <w:pPr>
        <w:rPr>
          <w:lang w:val="es-ES_tradnl"/>
        </w:rPr>
      </w:pPr>
    </w:p>
    <w:p w:rsidR="00C552BF" w:rsidRPr="00AC7303" w:rsidRDefault="005820EB" w:rsidP="005820EB">
      <w:pPr>
        <w:rPr>
          <w:lang w:val="es-ES_tradnl" w:eastAsia="en-US"/>
        </w:rPr>
      </w:pPr>
      <w:r w:rsidRPr="00AC7303">
        <w:rPr>
          <w:lang w:val="es-ES_tradnl"/>
        </w:rPr>
        <w:t>DISPONIBILIDAD</w:t>
      </w:r>
      <w:r w:rsidRPr="00AC7303">
        <w:rPr>
          <w:lang w:val="es-ES_tradnl" w:eastAsia="en-US"/>
        </w:rPr>
        <w:t>, PREVIA PETICIÓN</w:t>
      </w:r>
      <w:r>
        <w:rPr>
          <w:lang w:val="es-ES_tradnl" w:eastAsia="en-US"/>
        </w:rPr>
        <w:t>,</w:t>
      </w:r>
      <w:r w:rsidRPr="00AC7303">
        <w:rPr>
          <w:lang w:val="es-ES_tradnl" w:eastAsia="en-US"/>
        </w:rPr>
        <w:t xml:space="preserve"> DE UNA NOTIFICACIÓN DE DENEGACIÓN CUANDO NO HAYA SIDO RETIRADA</w:t>
      </w:r>
    </w:p>
    <w:p w:rsidR="00CA047B" w:rsidRPr="00AC7303" w:rsidRDefault="00CA047B" w:rsidP="00CA047B">
      <w:pPr>
        <w:rPr>
          <w:lang w:val="es-ES_tradnl" w:eastAsia="en-US"/>
        </w:rPr>
      </w:pPr>
    </w:p>
    <w:p w:rsidR="00C552BF" w:rsidRPr="00AC7303" w:rsidRDefault="003B1C46" w:rsidP="003B1C46">
      <w:pPr>
        <w:pStyle w:val="ONUME"/>
        <w:rPr>
          <w:lang w:val="es-ES_tradnl"/>
        </w:rPr>
      </w:pPr>
      <w:r w:rsidRPr="00AC7303">
        <w:rPr>
          <w:lang w:val="es-ES_tradnl"/>
        </w:rPr>
        <w:t xml:space="preserve">La Oficina Internacional seguirá </w:t>
      </w:r>
      <w:r w:rsidR="00F34E58" w:rsidRPr="00AC7303">
        <w:rPr>
          <w:lang w:val="es-ES_tradnl"/>
        </w:rPr>
        <w:t xml:space="preserve">poniendo a disposición de terceros </w:t>
      </w:r>
      <w:r w:rsidRPr="00AC7303">
        <w:rPr>
          <w:lang w:val="es-ES_tradnl"/>
        </w:rPr>
        <w:t>copias de las notificaciones de denegación</w:t>
      </w:r>
      <w:r w:rsidR="00F34E58" w:rsidRPr="00AC7303">
        <w:rPr>
          <w:lang w:val="es-ES_tradnl"/>
        </w:rPr>
        <w:t>, previo pago de una tasa, cuando lo solicite</w:t>
      </w:r>
      <w:r w:rsidR="003D0499" w:rsidRPr="00AC7303">
        <w:rPr>
          <w:lang w:val="es-ES_tradnl"/>
        </w:rPr>
        <w:t>n e</w:t>
      </w:r>
      <w:r w:rsidRPr="00AC7303">
        <w:rPr>
          <w:lang w:val="es-ES_tradnl"/>
        </w:rPr>
        <w:t>n virtud de la Regl</w:t>
      </w:r>
      <w:r w:rsidR="00AC7303" w:rsidRPr="00AC7303">
        <w:rPr>
          <w:lang w:val="es-ES_tradnl"/>
        </w:rPr>
        <w:t>a 3</w:t>
      </w:r>
      <w:r w:rsidR="00F34E58" w:rsidRPr="00AC7303">
        <w:rPr>
          <w:lang w:val="es-ES_tradnl"/>
        </w:rPr>
        <w:t>2.1</w:t>
      </w:r>
      <w:proofErr w:type="gramStart"/>
      <w:r w:rsidR="00F34E58" w:rsidRPr="00AC7303">
        <w:rPr>
          <w:lang w:val="es-ES_tradnl"/>
        </w:rPr>
        <w:t>)ii</w:t>
      </w:r>
      <w:proofErr w:type="gramEnd"/>
      <w:r w:rsidR="00F34E58" w:rsidRPr="00AC7303">
        <w:rPr>
          <w:lang w:val="es-ES_tradnl"/>
        </w:rPr>
        <w:t>) o iii)</w:t>
      </w:r>
      <w:r w:rsidR="00B16926" w:rsidRPr="00AC7303">
        <w:rPr>
          <w:lang w:val="es-ES_tradnl"/>
        </w:rPr>
        <w:t>.</w:t>
      </w:r>
    </w:p>
    <w:p w:rsidR="00C552BF" w:rsidRPr="00AC7303" w:rsidRDefault="00036DE7" w:rsidP="00B16926">
      <w:pPr>
        <w:pStyle w:val="ONUME"/>
        <w:rPr>
          <w:lang w:val="es-ES_tradnl"/>
        </w:rPr>
      </w:pPr>
      <w:r w:rsidRPr="00AC7303">
        <w:rPr>
          <w:lang w:val="es-ES_tradnl"/>
        </w:rPr>
        <w:t>Como se señala en la sección anterior, en el marco de las leyes del Japón, de la República de Corea y de los Estados Unidos de América, todas las comunicaciones pertinentes a solicitudes nacionales se pondrán a disposición de</w:t>
      </w:r>
      <w:r w:rsidR="00F34EBC">
        <w:rPr>
          <w:lang w:val="es-ES_tradnl"/>
        </w:rPr>
        <w:t xml:space="preserve">l </w:t>
      </w:r>
      <w:r w:rsidR="00012DA8">
        <w:rPr>
          <w:lang w:val="es-ES_tradnl"/>
        </w:rPr>
        <w:t>público</w:t>
      </w:r>
      <w:r w:rsidRPr="00AC7303">
        <w:rPr>
          <w:lang w:val="es-ES_tradnl"/>
        </w:rPr>
        <w:t xml:space="preserve">, </w:t>
      </w:r>
      <w:r w:rsidRPr="00AC7303">
        <w:rPr>
          <w:u w:val="single"/>
          <w:lang w:val="es-ES_tradnl"/>
        </w:rPr>
        <w:t>una vez que el dibujo o modelo haya sido registrado, o se haya concedido la patente del mismo</w:t>
      </w:r>
      <w:r w:rsidRPr="00AC7303">
        <w:rPr>
          <w:lang w:val="es-ES_tradnl"/>
        </w:rPr>
        <w:t>, en el sitio web o</w:t>
      </w:r>
      <w:r w:rsidR="007F723F" w:rsidRPr="00AC7303">
        <w:rPr>
          <w:lang w:val="es-ES_tradnl"/>
        </w:rPr>
        <w:t xml:space="preserve"> por petición de los interesados</w:t>
      </w:r>
      <w:r w:rsidR="00B16926" w:rsidRPr="00AC7303">
        <w:rPr>
          <w:lang w:val="es-ES_tradnl"/>
        </w:rPr>
        <w:t>.</w:t>
      </w:r>
    </w:p>
    <w:p w:rsidR="00C552BF" w:rsidRPr="00AC7303" w:rsidRDefault="006F238A" w:rsidP="00EE3250">
      <w:pPr>
        <w:pStyle w:val="ONUME"/>
        <w:rPr>
          <w:lang w:val="es-ES_tradnl"/>
        </w:rPr>
      </w:pPr>
      <w:r>
        <w:rPr>
          <w:lang w:val="es-ES_tradnl"/>
        </w:rPr>
        <w:t>Cabría</w:t>
      </w:r>
      <w:r w:rsidR="00EF0F18" w:rsidRPr="00AC7303">
        <w:rPr>
          <w:lang w:val="es-ES_tradnl"/>
        </w:rPr>
        <w:t xml:space="preserve"> aprovechar esta oportunidad para aclarar si la Oficina Internacional debería </w:t>
      </w:r>
      <w:r w:rsidR="00F34EBC">
        <w:rPr>
          <w:lang w:val="es-ES_tradnl"/>
        </w:rPr>
        <w:t>abstener</w:t>
      </w:r>
      <w:r w:rsidR="00670BAD">
        <w:rPr>
          <w:lang w:val="es-ES_tradnl"/>
        </w:rPr>
        <w:t>se</w:t>
      </w:r>
      <w:r w:rsidR="00F34EBC">
        <w:rPr>
          <w:lang w:val="es-ES_tradnl"/>
        </w:rPr>
        <w:t xml:space="preserve"> </w:t>
      </w:r>
      <w:r w:rsidR="00EF0F18" w:rsidRPr="00AC7303">
        <w:rPr>
          <w:lang w:val="es-ES_tradnl"/>
        </w:rPr>
        <w:t xml:space="preserve">de </w:t>
      </w:r>
      <w:r w:rsidR="00F34EBC">
        <w:rPr>
          <w:lang w:val="es-ES_tradnl"/>
        </w:rPr>
        <w:t>divulgar</w:t>
      </w:r>
      <w:r w:rsidR="00EF0F18" w:rsidRPr="00AC7303">
        <w:rPr>
          <w:lang w:val="es-ES_tradnl"/>
        </w:rPr>
        <w:t xml:space="preserve"> las notificaciones de denegación, </w:t>
      </w:r>
      <w:r w:rsidR="00F34EBC">
        <w:rPr>
          <w:lang w:val="es-ES_tradnl"/>
        </w:rPr>
        <w:t>a</w:t>
      </w:r>
      <w:r w:rsidR="00012DA8">
        <w:rPr>
          <w:lang w:val="es-ES_tradnl"/>
        </w:rPr>
        <w:t>l menos hasta</w:t>
      </w:r>
      <w:r w:rsidR="00F34EBC">
        <w:rPr>
          <w:lang w:val="es-ES_tradnl"/>
        </w:rPr>
        <w:t xml:space="preserve"> </w:t>
      </w:r>
      <w:r w:rsidR="00EF0F18" w:rsidRPr="00AC7303">
        <w:rPr>
          <w:lang w:val="es-ES_tradnl"/>
        </w:rPr>
        <w:t>que la denegación</w:t>
      </w:r>
      <w:r w:rsidR="00012DA8">
        <w:rPr>
          <w:lang w:val="es-ES_tradnl"/>
        </w:rPr>
        <w:t xml:space="preserve"> sea retirada</w:t>
      </w:r>
      <w:r w:rsidR="00EF0F18" w:rsidRPr="00AC7303">
        <w:rPr>
          <w:lang w:val="es-ES_tradnl"/>
        </w:rPr>
        <w:t xml:space="preserve">, o </w:t>
      </w:r>
      <w:r w:rsidR="00D87CF9">
        <w:rPr>
          <w:lang w:val="es-ES_tradnl"/>
        </w:rPr>
        <w:t xml:space="preserve">salvo </w:t>
      </w:r>
      <w:r>
        <w:rPr>
          <w:lang w:val="es-ES_tradnl"/>
        </w:rPr>
        <w:t>en el caso de que</w:t>
      </w:r>
      <w:r w:rsidR="00EE3250" w:rsidRPr="00AC7303">
        <w:rPr>
          <w:lang w:val="es-ES_tradnl"/>
        </w:rPr>
        <w:t xml:space="preserve"> </w:t>
      </w:r>
      <w:r>
        <w:rPr>
          <w:lang w:val="es-ES_tradnl"/>
        </w:rPr>
        <w:t xml:space="preserve">posteriormente a </w:t>
      </w:r>
      <w:r w:rsidR="00EE3250" w:rsidRPr="00AC7303">
        <w:rPr>
          <w:lang w:val="es-ES_tradnl"/>
        </w:rPr>
        <w:t xml:space="preserve">la </w:t>
      </w:r>
      <w:r w:rsidR="00B94A09">
        <w:rPr>
          <w:lang w:val="es-ES_tradnl"/>
        </w:rPr>
        <w:t xml:space="preserve">notificación de </w:t>
      </w:r>
      <w:r w:rsidR="00EE3250" w:rsidRPr="00AC7303">
        <w:rPr>
          <w:lang w:val="es-ES_tradnl"/>
        </w:rPr>
        <w:t>denegación</w:t>
      </w:r>
      <w:r>
        <w:rPr>
          <w:lang w:val="es-ES_tradnl"/>
        </w:rPr>
        <w:t xml:space="preserve"> se realice </w:t>
      </w:r>
      <w:r w:rsidR="00EE3250" w:rsidRPr="00AC7303">
        <w:rPr>
          <w:lang w:val="es-ES_tradnl"/>
        </w:rPr>
        <w:t>una declaración de concesión de la protección en virtud de la Regl</w:t>
      </w:r>
      <w:r w:rsidR="00AC7303" w:rsidRPr="00AC7303">
        <w:rPr>
          <w:lang w:val="es-ES_tradnl"/>
        </w:rPr>
        <w:t>a 1</w:t>
      </w:r>
      <w:r w:rsidR="00B16926" w:rsidRPr="00AC7303">
        <w:rPr>
          <w:lang w:val="es-ES_tradnl"/>
        </w:rPr>
        <w:t>8</w:t>
      </w:r>
      <w:r w:rsidR="00B16926" w:rsidRPr="00AC7303">
        <w:rPr>
          <w:i/>
          <w:lang w:val="es-ES_tradnl"/>
        </w:rPr>
        <w:t>bis</w:t>
      </w:r>
      <w:r w:rsidR="00EE3250" w:rsidRPr="00AC7303">
        <w:rPr>
          <w:i/>
          <w:lang w:val="es-ES_tradnl"/>
        </w:rPr>
        <w:t>.</w:t>
      </w:r>
      <w:r w:rsidR="00B16926" w:rsidRPr="00AC7303">
        <w:rPr>
          <w:lang w:val="es-ES_tradnl"/>
        </w:rPr>
        <w:t>2).</w:t>
      </w:r>
    </w:p>
    <w:p w:rsidR="00C552BF" w:rsidRPr="00AC7303" w:rsidRDefault="00500747" w:rsidP="00B16926">
      <w:pPr>
        <w:pStyle w:val="ONUME"/>
        <w:tabs>
          <w:tab w:val="left" w:pos="6096"/>
        </w:tabs>
        <w:ind w:left="5533"/>
        <w:rPr>
          <w:i/>
          <w:lang w:val="es-ES_tradnl"/>
        </w:rPr>
      </w:pPr>
      <w:r w:rsidRPr="00AC7303">
        <w:rPr>
          <w:i/>
          <w:lang w:val="es-ES_tradnl"/>
        </w:rPr>
        <w:t>Se invita al Grupo de Trabajo a</w:t>
      </w:r>
      <w:r w:rsidR="00B16926" w:rsidRPr="00AC7303">
        <w:rPr>
          <w:i/>
          <w:lang w:val="es-ES_tradnl"/>
        </w:rPr>
        <w:t>:</w:t>
      </w:r>
    </w:p>
    <w:p w:rsidR="00C552BF" w:rsidRPr="00AC7303" w:rsidRDefault="00B16926" w:rsidP="006F40EA">
      <w:pPr>
        <w:pStyle w:val="ONUME"/>
        <w:numPr>
          <w:ilvl w:val="0"/>
          <w:numId w:val="0"/>
        </w:numPr>
        <w:tabs>
          <w:tab w:val="left" w:pos="6663"/>
        </w:tabs>
        <w:ind w:left="6096"/>
        <w:rPr>
          <w:rFonts w:ascii="Arial,Italic" w:eastAsia="MS Mincho" w:hAnsi="Arial,Italic" w:cs="Arial,Italic"/>
          <w:i/>
          <w:iCs/>
          <w:szCs w:val="22"/>
          <w:lang w:val="es-ES_tradnl" w:eastAsia="en-US"/>
        </w:rPr>
      </w:pPr>
      <w:r w:rsidRPr="00AC7303">
        <w:rPr>
          <w:rFonts w:ascii="Arial,Italic" w:eastAsia="MS Mincho" w:hAnsi="Arial,Italic" w:cs="Arial,Italic"/>
          <w:i/>
          <w:iCs/>
          <w:szCs w:val="22"/>
          <w:lang w:val="es-ES_tradnl" w:eastAsia="en-US"/>
        </w:rPr>
        <w:t>i)</w:t>
      </w:r>
      <w:r w:rsidRPr="00AC7303">
        <w:rPr>
          <w:rFonts w:ascii="Arial,Italic" w:eastAsia="MS Mincho" w:hAnsi="Arial,Italic" w:cs="Arial,Italic"/>
          <w:i/>
          <w:iCs/>
          <w:szCs w:val="22"/>
          <w:lang w:val="es-ES_tradnl" w:eastAsia="en-US"/>
        </w:rPr>
        <w:tab/>
      </w:r>
      <w:r w:rsidR="00EE3250" w:rsidRPr="00AC7303">
        <w:rPr>
          <w:rFonts w:ascii="Arial,Italic" w:eastAsia="MS Mincho" w:hAnsi="Arial,Italic" w:cs="Arial,Italic"/>
          <w:i/>
          <w:iCs/>
          <w:szCs w:val="22"/>
          <w:lang w:val="es-ES_tradnl" w:eastAsia="en-US"/>
        </w:rPr>
        <w:t>examinar la cuestión que se plantea en el presente documento y formular comentarios al respecto</w:t>
      </w:r>
      <w:r w:rsidRPr="00AC7303">
        <w:rPr>
          <w:rFonts w:ascii="Arial,Italic" w:eastAsia="MS Mincho" w:hAnsi="Arial,Italic" w:cs="Arial,Italic"/>
          <w:i/>
          <w:iCs/>
          <w:szCs w:val="22"/>
          <w:lang w:val="es-ES_tradnl" w:eastAsia="en-US"/>
        </w:rPr>
        <w:t xml:space="preserve">;  </w:t>
      </w:r>
      <w:r w:rsidR="00EE3250" w:rsidRPr="00AC7303">
        <w:rPr>
          <w:rFonts w:ascii="Arial,Italic" w:eastAsia="MS Mincho" w:hAnsi="Arial,Italic" w:cs="Arial,Italic"/>
          <w:i/>
          <w:iCs/>
          <w:szCs w:val="22"/>
          <w:lang w:val="es-ES_tradnl" w:eastAsia="en-US"/>
        </w:rPr>
        <w:t>y</w:t>
      </w:r>
    </w:p>
    <w:p w:rsidR="00C552BF" w:rsidRPr="00AC7303" w:rsidRDefault="00B16926" w:rsidP="006F40EA">
      <w:pPr>
        <w:pStyle w:val="ONUME"/>
        <w:numPr>
          <w:ilvl w:val="0"/>
          <w:numId w:val="0"/>
        </w:numPr>
        <w:tabs>
          <w:tab w:val="left" w:pos="6663"/>
        </w:tabs>
        <w:ind w:left="6096"/>
        <w:rPr>
          <w:rFonts w:ascii="Arial,Italic" w:eastAsia="MS Mincho" w:hAnsi="Arial,Italic" w:cs="Arial,Italic"/>
          <w:i/>
          <w:iCs/>
          <w:szCs w:val="22"/>
          <w:lang w:val="es-ES_tradnl" w:eastAsia="en-US"/>
        </w:rPr>
      </w:pPr>
      <w:r w:rsidRPr="00AC7303">
        <w:rPr>
          <w:rFonts w:ascii="Arial,Italic" w:eastAsia="MS Mincho" w:hAnsi="Arial,Italic" w:cs="Arial,Italic"/>
          <w:i/>
          <w:iCs/>
          <w:szCs w:val="22"/>
          <w:lang w:val="es-ES_tradnl" w:eastAsia="en-US"/>
        </w:rPr>
        <w:t>ii)</w:t>
      </w:r>
      <w:r w:rsidRPr="00AC7303">
        <w:rPr>
          <w:rFonts w:ascii="Arial,Italic" w:eastAsia="MS Mincho" w:hAnsi="Arial,Italic" w:cs="Arial,Italic"/>
          <w:i/>
          <w:iCs/>
          <w:szCs w:val="22"/>
          <w:lang w:val="es-ES_tradnl" w:eastAsia="en-US"/>
        </w:rPr>
        <w:tab/>
      </w:r>
      <w:r w:rsidR="00EE3250" w:rsidRPr="00AC7303">
        <w:rPr>
          <w:rFonts w:ascii="Arial,Italic" w:eastAsia="MS Mincho" w:hAnsi="Arial,Italic" w:cs="Arial,Italic"/>
          <w:i/>
          <w:iCs/>
          <w:szCs w:val="22"/>
          <w:lang w:val="es-ES_tradnl" w:eastAsia="en-US"/>
        </w:rPr>
        <w:t>indicar si recomendaría a la Oficina Internacional alguna modificación de su práctica en lo que respecta a la disponibilidad pública de las notificaciones de denegación</w:t>
      </w:r>
      <w:r w:rsidRPr="00AC7303">
        <w:rPr>
          <w:rFonts w:ascii="Arial,Italic" w:eastAsia="MS Mincho" w:hAnsi="Arial,Italic" w:cs="Arial,Italic"/>
          <w:i/>
          <w:iCs/>
          <w:szCs w:val="22"/>
          <w:lang w:val="es-ES_tradnl" w:eastAsia="en-US"/>
        </w:rPr>
        <w:t>.</w:t>
      </w:r>
    </w:p>
    <w:p w:rsidR="00CA047B" w:rsidRPr="00A17422" w:rsidRDefault="00CA047B" w:rsidP="00A17422">
      <w:pPr>
        <w:pStyle w:val="ONUME"/>
        <w:numPr>
          <w:ilvl w:val="0"/>
          <w:numId w:val="0"/>
        </w:numPr>
        <w:tabs>
          <w:tab w:val="left" w:pos="6663"/>
        </w:tabs>
        <w:rPr>
          <w:rFonts w:eastAsia="Times New Roman"/>
          <w:szCs w:val="22"/>
          <w:lang w:val="es-ES_tradnl" w:eastAsia="en-US"/>
        </w:rPr>
      </w:pPr>
    </w:p>
    <w:p w:rsidR="00C552BF" w:rsidRPr="00AC7303" w:rsidRDefault="00B16926" w:rsidP="00B16926">
      <w:pPr>
        <w:pStyle w:val="Endofdocument-Annex"/>
        <w:rPr>
          <w:lang w:val="es-ES_tradnl"/>
        </w:rPr>
      </w:pPr>
      <w:r w:rsidRPr="00AC7303">
        <w:rPr>
          <w:lang w:val="es-ES_tradnl"/>
        </w:rPr>
        <w:t>[</w:t>
      </w:r>
      <w:r w:rsidR="00500747" w:rsidRPr="00AC7303">
        <w:rPr>
          <w:lang w:val="es-ES_tradnl"/>
        </w:rPr>
        <w:t>Sigue el Anexo</w:t>
      </w:r>
      <w:r w:rsidRPr="00AC7303">
        <w:rPr>
          <w:lang w:val="es-ES_tradnl"/>
        </w:rPr>
        <w:t>]</w:t>
      </w:r>
    </w:p>
    <w:p w:rsidR="00C552BF" w:rsidRPr="00AC7303" w:rsidRDefault="00C552BF" w:rsidP="00B16926">
      <w:pPr>
        <w:pStyle w:val="Endofdocument-Annex"/>
        <w:rPr>
          <w:lang w:val="es-ES_tradnl"/>
        </w:rPr>
      </w:pPr>
    </w:p>
    <w:p w:rsidR="00B16926" w:rsidRPr="00AC7303" w:rsidRDefault="00B16926" w:rsidP="00B16926">
      <w:pPr>
        <w:rPr>
          <w:lang w:val="es-ES_tradnl"/>
        </w:rPr>
        <w:sectPr w:rsidR="00B16926" w:rsidRPr="00AC7303" w:rsidSect="00477D53">
          <w:headerReference w:type="default" r:id="rId10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C552BF" w:rsidRPr="00AC7303" w:rsidRDefault="00932167" w:rsidP="00CA047B">
      <w:pPr>
        <w:pStyle w:val="BodyText"/>
        <w:ind w:left="-567"/>
        <w:jc w:val="center"/>
      </w:pPr>
      <w:r>
        <w:rPr>
          <w:noProof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E1C113" wp14:editId="54B8C5ED">
                <wp:simplePos x="0" y="0"/>
                <wp:positionH relativeFrom="column">
                  <wp:posOffset>304165</wp:posOffset>
                </wp:positionH>
                <wp:positionV relativeFrom="paragraph">
                  <wp:posOffset>5110184</wp:posOffset>
                </wp:positionV>
                <wp:extent cx="5060950" cy="549275"/>
                <wp:effectExtent l="0" t="0" r="0" b="0"/>
                <wp:wrapNone/>
                <wp:docPr id="4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0950" cy="5492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32167" w:rsidRPr="00932167" w:rsidRDefault="00932167" w:rsidP="00932167">
                            <w:pPr>
                              <w:pStyle w:val="NormalWeb"/>
                              <w:tabs>
                                <w:tab w:val="left" w:pos="283"/>
                              </w:tabs>
                              <w:spacing w:before="0" w:beforeAutospacing="0" w:after="0" w:afterAutospacing="0"/>
                              <w:rPr>
                                <w:lang w:val="es-ES"/>
                              </w:rPr>
                            </w:pPr>
                            <w:r w:rsidRPr="00932167">
                              <w:rPr>
                                <w:rFonts w:asciiTheme="minorHAnsi" w:hAnsi="Calibri" w:cstheme="minorBidi"/>
                                <w:b/>
                                <w:bCs/>
                                <w:color w:val="1F497D" w:themeColor="text2"/>
                                <w:lang w:val="es-ES"/>
                              </w:rPr>
                              <w:t>*</w:t>
                            </w:r>
                            <w:r w:rsidRPr="00932167">
                              <w:rPr>
                                <w:rFonts w:asciiTheme="minorHAnsi" w:hAnsi="Calibri" w:cstheme="minorBidi"/>
                                <w:b/>
                                <w:bCs/>
                                <w:color w:val="1F497D" w:themeColor="text2"/>
                                <w:sz w:val="36"/>
                                <w:szCs w:val="36"/>
                                <w:lang w:val="es-ES"/>
                              </w:rPr>
                              <w:tab/>
                            </w:r>
                            <w:r w:rsidRPr="00932167">
                              <w:rPr>
                                <w:rFonts w:asciiTheme="minorHAnsi" w:hAnsi="Calibri" w:cstheme="minorBidi"/>
                                <w:b/>
                                <w:bCs/>
                                <w:color w:val="1F497D" w:themeColor="text2"/>
                                <w:lang w:val="es-ES"/>
                              </w:rPr>
                              <w:t xml:space="preserve">Denegaciones de la USPTO por incumplimiento del requisito de un único </w:t>
                            </w:r>
                            <w:r w:rsidRPr="00932167">
                              <w:rPr>
                                <w:rFonts w:asciiTheme="minorHAnsi" w:hAnsi="Calibri" w:cstheme="minorBidi"/>
                                <w:b/>
                                <w:bCs/>
                                <w:color w:val="1F497D" w:themeColor="text2"/>
                                <w:lang w:val="es-ES"/>
                              </w:rPr>
                              <w:br/>
                              <w:t xml:space="preserve">     dibujo o modelo</w:t>
                            </w:r>
                            <w:proofErr w:type="gramStart"/>
                            <w:r w:rsidRPr="00932167">
                              <w:rPr>
                                <w:rFonts w:asciiTheme="minorHAnsi" w:hAnsi="Calibri" w:cstheme="minorBidi"/>
                                <w:b/>
                                <w:bCs/>
                                <w:color w:val="1F497D" w:themeColor="text2"/>
                                <w:lang w:val="es-ES"/>
                              </w:rPr>
                              <w:t>:  41</w:t>
                            </w:r>
                            <w:proofErr w:type="gramEnd"/>
                            <w:r w:rsidRPr="00932167">
                              <w:rPr>
                                <w:rFonts w:asciiTheme="minorHAnsi" w:hAnsi="Calibri" w:cstheme="minorBidi"/>
                                <w:b/>
                                <w:bCs/>
                                <w:color w:val="1F497D" w:themeColor="text2"/>
                                <w:lang w:val="es-ES"/>
                              </w:rPr>
                              <w:t>% de registros internacionales denegados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23.95pt;margin-top:402.4pt;width:398.5pt;height:4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" filled="f" stroked="f">
                <v:textbox style="mso-fit-shape-to-text:t">
                  <w:txbxContent>
                    <w:p w:rsidR="00932167" w:rsidRPr="00932167" w:rsidRDefault="00932167" w:rsidP="00932167">
                      <w:pPr>
                        <w:pStyle w:val="NormalWeb"/>
                        <w:tabs>
                          <w:tab w:val="left" w:pos="283"/>
                        </w:tabs>
                        <w:spacing w:before="0" w:beforeAutospacing="0" w:after="0" w:afterAutospacing="0"/>
                        <w:rPr>
                          <w:lang w:val="es-ES"/>
                        </w:rPr>
                      </w:pPr>
                      <w:r w:rsidRPr="00932167">
                        <w:rPr>
                          <w:rFonts w:asciiTheme="minorHAnsi" w:hAnsi="Calibri" w:cstheme="minorBidi"/>
                          <w:b/>
                          <w:bCs/>
                          <w:color w:val="1F497D" w:themeColor="text2"/>
                          <w:lang w:val="es-ES"/>
                        </w:rPr>
                        <w:t>*</w:t>
                      </w:r>
                      <w:r w:rsidRPr="00932167">
                        <w:rPr>
                          <w:rFonts w:asciiTheme="minorHAnsi" w:hAnsi="Calibri" w:cstheme="minorBidi"/>
                          <w:b/>
                          <w:bCs/>
                          <w:color w:val="1F497D" w:themeColor="text2"/>
                          <w:sz w:val="36"/>
                          <w:szCs w:val="36"/>
                          <w:lang w:val="es-ES"/>
                        </w:rPr>
                        <w:tab/>
                      </w:r>
                      <w:r w:rsidRPr="00932167">
                        <w:rPr>
                          <w:rFonts w:asciiTheme="minorHAnsi" w:hAnsi="Calibri" w:cstheme="minorBidi"/>
                          <w:b/>
                          <w:bCs/>
                          <w:color w:val="1F497D" w:themeColor="text2"/>
                          <w:lang w:val="es-ES"/>
                        </w:rPr>
                        <w:t xml:space="preserve">Denegaciones de la USPTO por incumplimiento del requisito de un único </w:t>
                      </w:r>
                      <w:r w:rsidRPr="00932167">
                        <w:rPr>
                          <w:rFonts w:asciiTheme="minorHAnsi" w:hAnsi="Calibri" w:cstheme="minorBidi"/>
                          <w:b/>
                          <w:bCs/>
                          <w:color w:val="1F497D" w:themeColor="text2"/>
                          <w:lang w:val="es-ES"/>
                        </w:rPr>
                        <w:br/>
                        <w:t xml:space="preserve">     dibujo o modelo</w:t>
                      </w:r>
                      <w:proofErr w:type="gramStart"/>
                      <w:r w:rsidRPr="00932167">
                        <w:rPr>
                          <w:rFonts w:asciiTheme="minorHAnsi" w:hAnsi="Calibri" w:cstheme="minorBidi"/>
                          <w:b/>
                          <w:bCs/>
                          <w:color w:val="1F497D" w:themeColor="text2"/>
                          <w:lang w:val="es-ES"/>
                        </w:rPr>
                        <w:t>:  41</w:t>
                      </w:r>
                      <w:proofErr w:type="gramEnd"/>
                      <w:r w:rsidRPr="00932167">
                        <w:rPr>
                          <w:rFonts w:asciiTheme="minorHAnsi" w:hAnsi="Calibri" w:cstheme="minorBidi"/>
                          <w:b/>
                          <w:bCs/>
                          <w:color w:val="1F497D" w:themeColor="text2"/>
                          <w:lang w:val="es-ES"/>
                        </w:rPr>
                        <w:t>% de registros internacionales denegados</w:t>
                      </w:r>
                    </w:p>
                  </w:txbxContent>
                </v:textbox>
              </v:shape>
            </w:pict>
          </mc:Fallback>
        </mc:AlternateContent>
      </w:r>
      <w:r w:rsidR="006E230E" w:rsidRPr="006E230E">
        <w:rPr>
          <w:noProof/>
          <w:lang w:eastAsia="es-ES"/>
        </w:rPr>
        <w:t xml:space="preserve"> </w:t>
      </w:r>
      <w:r w:rsidR="006E230E" w:rsidRPr="006E230E">
        <w:rPr>
          <w:noProof/>
          <w:lang w:val="en-US" w:eastAsia="en-US"/>
        </w:rPr>
        <w:drawing>
          <wp:inline distT="0" distB="0" distL="0" distR="0">
            <wp:extent cx="8572500" cy="5099050"/>
            <wp:effectExtent l="0" t="0" r="0" b="635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0" cy="509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2167" w:rsidRDefault="00932167" w:rsidP="00CA047B">
      <w:pPr>
        <w:pStyle w:val="Endofdocument-Annex"/>
        <w:ind w:left="9072"/>
        <w:rPr>
          <w:lang w:val="es-ES_tradnl"/>
        </w:rPr>
      </w:pPr>
    </w:p>
    <w:p w:rsidR="00932167" w:rsidRDefault="00932167" w:rsidP="00CA047B">
      <w:pPr>
        <w:pStyle w:val="Endofdocument-Annex"/>
        <w:ind w:left="9072"/>
        <w:rPr>
          <w:lang w:val="es-ES_tradnl"/>
        </w:rPr>
      </w:pPr>
    </w:p>
    <w:p w:rsidR="00932167" w:rsidRDefault="00932167" w:rsidP="00CA047B">
      <w:pPr>
        <w:pStyle w:val="Endofdocument-Annex"/>
        <w:ind w:left="9072"/>
        <w:rPr>
          <w:lang w:val="es-ES_tradnl"/>
        </w:rPr>
      </w:pPr>
    </w:p>
    <w:p w:rsidR="00B16926" w:rsidRPr="005722FE" w:rsidRDefault="00932167" w:rsidP="00CA047B">
      <w:pPr>
        <w:pStyle w:val="Endofdocument-Annex"/>
        <w:ind w:left="9072"/>
        <w:rPr>
          <w:lang w:val="es-ES_tradnl"/>
        </w:rPr>
      </w:pPr>
      <w:r>
        <w:rPr>
          <w:lang w:val="es-ES_tradnl"/>
        </w:rPr>
        <w:t>[</w:t>
      </w:r>
      <w:r w:rsidR="005722FE" w:rsidRPr="00AC7303">
        <w:rPr>
          <w:lang w:val="es-ES_tradnl"/>
        </w:rPr>
        <w:t>Fin del Anexo y del documento</w:t>
      </w:r>
      <w:r w:rsidR="00B16926" w:rsidRPr="00AC7303">
        <w:rPr>
          <w:lang w:val="es-ES_tradnl"/>
        </w:rPr>
        <w:t>]</w:t>
      </w:r>
    </w:p>
    <w:sectPr w:rsidR="00B16926" w:rsidRPr="005722FE" w:rsidSect="007A747E">
      <w:headerReference w:type="first" r:id="rId12"/>
      <w:endnotePr>
        <w:numFmt w:val="decimal"/>
      </w:endnotePr>
      <w:pgSz w:w="16840" w:h="11907" w:orient="landscape" w:code="9"/>
      <w:pgMar w:top="1418" w:right="567" w:bottom="1134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2900" w:rsidRDefault="008D2900">
      <w:r>
        <w:separator/>
      </w:r>
    </w:p>
  </w:endnote>
  <w:endnote w:type="continuationSeparator" w:id="0">
    <w:p w:rsidR="008D2900" w:rsidRDefault="008D2900" w:rsidP="003B38C1">
      <w:r>
        <w:separator/>
      </w:r>
    </w:p>
    <w:p w:rsidR="008D2900" w:rsidRPr="004573C7" w:rsidRDefault="008D2900" w:rsidP="003B38C1">
      <w:pPr>
        <w:spacing w:after="60"/>
        <w:rPr>
          <w:sz w:val="17"/>
          <w:lang w:val="en-US"/>
        </w:rPr>
      </w:pPr>
      <w:r w:rsidRPr="004573C7">
        <w:rPr>
          <w:sz w:val="17"/>
          <w:lang w:val="en-US"/>
        </w:rPr>
        <w:t>[Endnote continued from previous page]</w:t>
      </w:r>
    </w:p>
  </w:endnote>
  <w:endnote w:type="continuationNotice" w:id="1">
    <w:p w:rsidR="008D2900" w:rsidRPr="004573C7" w:rsidRDefault="008D2900" w:rsidP="003B38C1">
      <w:pPr>
        <w:spacing w:before="60"/>
        <w:jc w:val="right"/>
        <w:rPr>
          <w:sz w:val="17"/>
          <w:szCs w:val="17"/>
          <w:lang w:val="en-US"/>
        </w:rPr>
      </w:pPr>
      <w:r w:rsidRPr="004573C7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2900" w:rsidRDefault="008D2900">
      <w:r>
        <w:separator/>
      </w:r>
    </w:p>
  </w:footnote>
  <w:footnote w:type="continuationSeparator" w:id="0">
    <w:p w:rsidR="008D2900" w:rsidRDefault="008D2900" w:rsidP="008B60B2">
      <w:r>
        <w:separator/>
      </w:r>
    </w:p>
    <w:p w:rsidR="008D2900" w:rsidRPr="004573C7" w:rsidRDefault="008D2900" w:rsidP="008B60B2">
      <w:pPr>
        <w:spacing w:after="60"/>
        <w:rPr>
          <w:sz w:val="17"/>
          <w:szCs w:val="17"/>
          <w:lang w:val="en-US"/>
        </w:rPr>
      </w:pPr>
      <w:r w:rsidRPr="004573C7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:rsidR="008D2900" w:rsidRPr="004573C7" w:rsidRDefault="008D2900" w:rsidP="008B60B2">
      <w:pPr>
        <w:spacing w:before="60"/>
        <w:jc w:val="right"/>
        <w:rPr>
          <w:sz w:val="17"/>
          <w:szCs w:val="17"/>
          <w:lang w:val="en-US"/>
        </w:rPr>
      </w:pPr>
      <w:r w:rsidRPr="004573C7">
        <w:rPr>
          <w:sz w:val="17"/>
          <w:szCs w:val="17"/>
          <w:lang w:val="en-US"/>
        </w:rPr>
        <w:t>[Footnote continued on next page]</w:t>
      </w:r>
    </w:p>
  </w:footnote>
  <w:footnote w:id="2">
    <w:p w:rsidR="00B16926" w:rsidRPr="00EE3C87" w:rsidRDefault="00B16926" w:rsidP="00B16926">
      <w:pPr>
        <w:pStyle w:val="FootnoteText"/>
        <w:rPr>
          <w:lang w:val="pt-PT"/>
        </w:rPr>
      </w:pPr>
      <w:r>
        <w:rPr>
          <w:rStyle w:val="FootnoteReference"/>
        </w:rPr>
        <w:footnoteRef/>
      </w:r>
      <w:r w:rsidRPr="00EE3C87">
        <w:rPr>
          <w:lang w:val="pt-PT"/>
        </w:rPr>
        <w:tab/>
      </w:r>
      <w:r w:rsidR="00922075">
        <w:rPr>
          <w:lang w:val="pt-PT"/>
        </w:rPr>
        <w:t>Remítase al</w:t>
      </w:r>
      <w:r w:rsidR="00EE3C87" w:rsidRPr="00EE3C87">
        <w:rPr>
          <w:lang w:val="pt-PT"/>
        </w:rPr>
        <w:t xml:space="preserve"> documento</w:t>
      </w:r>
      <w:r w:rsidRPr="00EE3C87">
        <w:rPr>
          <w:lang w:val="pt-PT"/>
        </w:rPr>
        <w:t xml:space="preserve"> H/A/34/2, </w:t>
      </w:r>
      <w:r w:rsidR="00EE3C87">
        <w:rPr>
          <w:lang w:val="pt-PT"/>
        </w:rPr>
        <w:t>párrafos</w:t>
      </w:r>
      <w:r w:rsidRPr="00EE3C87">
        <w:rPr>
          <w:lang w:val="pt-PT"/>
        </w:rPr>
        <w:t xml:space="preserve"> 12 </w:t>
      </w:r>
      <w:r w:rsidR="00EE3C87">
        <w:rPr>
          <w:lang w:val="pt-PT"/>
        </w:rPr>
        <w:t>a</w:t>
      </w:r>
      <w:r w:rsidRPr="00EE3C87">
        <w:rPr>
          <w:lang w:val="pt-PT"/>
        </w:rPr>
        <w:t xml:space="preserve"> 31.</w:t>
      </w:r>
    </w:p>
  </w:footnote>
  <w:footnote w:id="3">
    <w:p w:rsidR="00B16926" w:rsidRPr="006E098D" w:rsidRDefault="00B16926" w:rsidP="00B16926">
      <w:pPr>
        <w:pStyle w:val="FootnoteText"/>
      </w:pPr>
      <w:r>
        <w:rPr>
          <w:rStyle w:val="FootnoteReference"/>
        </w:rPr>
        <w:footnoteRef/>
      </w:r>
      <w:r w:rsidRPr="006E098D">
        <w:tab/>
      </w:r>
      <w:r w:rsidR="00D8171D">
        <w:t>También se ponen a disposición d</w:t>
      </w:r>
      <w:r w:rsidR="006E098D" w:rsidRPr="006E098D">
        <w:t xml:space="preserve">e esa manera las notificaciones de invalidación en virtud de la Regla </w:t>
      </w:r>
      <w:r w:rsidRPr="006E098D">
        <w:t>20</w:t>
      </w:r>
      <w:r w:rsidR="006E098D" w:rsidRPr="006E098D">
        <w:t>.</w:t>
      </w:r>
      <w:r w:rsidRPr="006E098D">
        <w:t xml:space="preserve">1) </w:t>
      </w:r>
      <w:r w:rsidR="006E098D" w:rsidRPr="006E098D">
        <w:t>y las notificaciones de denegaci</w:t>
      </w:r>
      <w:r w:rsidR="006E098D">
        <w:t xml:space="preserve">ón de los efectos de </w:t>
      </w:r>
      <w:r w:rsidR="001B1816">
        <w:t>una</w:t>
      </w:r>
      <w:r w:rsidR="006E098D">
        <w:t xml:space="preserve"> corrección en virtud de la Regla </w:t>
      </w:r>
      <w:r w:rsidRPr="006E098D">
        <w:t>22</w:t>
      </w:r>
      <w:r w:rsidR="006E098D">
        <w:t>.</w:t>
      </w:r>
      <w:r w:rsidRPr="006E098D">
        <w:t>2).</w:t>
      </w:r>
    </w:p>
  </w:footnote>
  <w:footnote w:id="4">
    <w:p w:rsidR="009C31B1" w:rsidRPr="009C31B1" w:rsidRDefault="009C31B1" w:rsidP="009C31B1">
      <w:pPr>
        <w:pStyle w:val="FootnoteText"/>
      </w:pPr>
      <w:r>
        <w:rPr>
          <w:rStyle w:val="FootnoteReference"/>
        </w:rPr>
        <w:footnoteRef/>
      </w:r>
      <w:r w:rsidRPr="009C31B1">
        <w:tab/>
        <w:t>Se pueden obtener copias, certificadas o no certificadas, de las inscripciones hechas en el Registro Internacional o de los elementos comprendidos en el expediente de un registro internacional (</w:t>
      </w:r>
      <w:r>
        <w:t>Regla</w:t>
      </w:r>
      <w:r w:rsidRPr="009C31B1">
        <w:t xml:space="preserve"> 32</w:t>
      </w:r>
      <w:r>
        <w:t>.</w:t>
      </w:r>
      <w:r w:rsidRPr="009C31B1">
        <w:t>1)ii) o iii)).</w:t>
      </w:r>
    </w:p>
  </w:footnote>
  <w:footnote w:id="5">
    <w:p w:rsidR="00CA2971" w:rsidRPr="00CA2971" w:rsidRDefault="00CA2971" w:rsidP="00CA2971">
      <w:pPr>
        <w:pStyle w:val="FootnoteText"/>
      </w:pPr>
      <w:r>
        <w:rPr>
          <w:rStyle w:val="FootnoteReference"/>
        </w:rPr>
        <w:footnoteRef/>
      </w:r>
      <w:r w:rsidRPr="00CA2971">
        <w:tab/>
        <w:t>Se recuerda que, en su quinta reunión, el Grupo de Trabajo examinó una propuesta de recomendaciones relativas a la divulgaci</w:t>
      </w:r>
      <w:r>
        <w:t>ón de un dibujo o modelo industrial en una publicación internacional</w:t>
      </w:r>
      <w:r w:rsidRPr="00CA2971">
        <w:t xml:space="preserve"> (document</w:t>
      </w:r>
      <w:r>
        <w:t>o</w:t>
      </w:r>
      <w:r w:rsidRPr="00CA2971">
        <w:t xml:space="preserve"> H/LD/WG/5/4).  A raíz de ello, en agosto de 2016 se elaboraron las “</w:t>
      </w:r>
      <w:hyperlink r:id="rId1" w:history="1">
        <w:r w:rsidRPr="00F65BB1">
          <w:rPr>
            <w:rStyle w:val="Hyperlink"/>
            <w:color w:val="auto"/>
            <w:u w:val="none"/>
          </w:rPr>
          <w:t>Pautas para la preparación y el suministro de reproducciones a fin de prevenir posibles denegaciones de la parte de las Oficinas de examen en razón de la divulgación insuficiente de un dibujo o modelo industrial</w:t>
        </w:r>
      </w:hyperlink>
      <w:r w:rsidRPr="00CA2971">
        <w:t>”.</w:t>
      </w:r>
    </w:p>
  </w:footnote>
  <w:footnote w:id="6">
    <w:p w:rsidR="00B16926" w:rsidRPr="00DF531D" w:rsidRDefault="00B16926" w:rsidP="00B16926">
      <w:pPr>
        <w:pStyle w:val="FootnoteText"/>
      </w:pPr>
      <w:r>
        <w:rPr>
          <w:rStyle w:val="FootnoteReference"/>
        </w:rPr>
        <w:footnoteRef/>
      </w:r>
      <w:r w:rsidRPr="00DF531D">
        <w:tab/>
      </w:r>
      <w:r w:rsidR="00585149">
        <w:t>Ya desde enero de</w:t>
      </w:r>
      <w:r w:rsidR="00585149" w:rsidRPr="00DF531D">
        <w:t> 2005</w:t>
      </w:r>
      <w:r w:rsidR="00585149">
        <w:t>, se publican en la sección del Sistema de Madrid del sitio web de la OMPI</w:t>
      </w:r>
      <w:r w:rsidR="00585149" w:rsidRPr="00DF531D">
        <w:t xml:space="preserve"> </w:t>
      </w:r>
      <w:r w:rsidR="00585149">
        <w:t>l</w:t>
      </w:r>
      <w:r w:rsidR="00DF531D" w:rsidRPr="00DF531D">
        <w:t xml:space="preserve">as copias en </w:t>
      </w:r>
      <w:r w:rsidRPr="00DF531D">
        <w:t xml:space="preserve">PDF </w:t>
      </w:r>
      <w:r w:rsidR="00DF531D" w:rsidRPr="00DF531D">
        <w:t xml:space="preserve">de </w:t>
      </w:r>
      <w:r w:rsidR="00631DEE">
        <w:t>diferentes</w:t>
      </w:r>
      <w:r w:rsidR="00DF531D" w:rsidRPr="00DF531D">
        <w:t xml:space="preserve"> tipos de </w:t>
      </w:r>
      <w:r w:rsidR="00631DEE">
        <w:t>notificaciones</w:t>
      </w:r>
      <w:r w:rsidR="00DF531D" w:rsidRPr="00DF531D">
        <w:t xml:space="preserve"> enviadas por la Oficina de una Parte Contratante designada</w:t>
      </w:r>
      <w:r w:rsidRPr="00DF531D">
        <w:t xml:space="preserve">, </w:t>
      </w:r>
      <w:r w:rsidR="00DF531D">
        <w:t>incluida una notificación de denegación provisional</w:t>
      </w:r>
      <w:r w:rsidRPr="00DF531D">
        <w:t>.</w:t>
      </w:r>
    </w:p>
  </w:footnote>
  <w:footnote w:id="7">
    <w:p w:rsidR="00A04E5A" w:rsidRPr="003701D8" w:rsidRDefault="00A04E5A" w:rsidP="00A04E5A">
      <w:pPr>
        <w:pStyle w:val="FootnoteText"/>
      </w:pPr>
      <w:r>
        <w:rPr>
          <w:rStyle w:val="FootnoteReference"/>
        </w:rPr>
        <w:footnoteRef/>
      </w:r>
      <w:r w:rsidRPr="003701D8">
        <w:tab/>
      </w:r>
      <w:r w:rsidR="003701D8" w:rsidRPr="003701D8">
        <w:t>Cabe señalar que</w:t>
      </w:r>
      <w:r w:rsidR="00BB3B08">
        <w:t>,</w:t>
      </w:r>
      <w:r w:rsidR="003701D8" w:rsidRPr="003701D8">
        <w:t xml:space="preserve"> </w:t>
      </w:r>
      <w:r w:rsidR="00BB3B08">
        <w:t>cuando el registro internacional contiene más de un dibujo o modelo,</w:t>
      </w:r>
      <w:r w:rsidR="00BB3B08" w:rsidRPr="003701D8">
        <w:t xml:space="preserve"> </w:t>
      </w:r>
      <w:r w:rsidR="003701D8" w:rsidRPr="003701D8">
        <w:t>la</w:t>
      </w:r>
      <w:r w:rsidRPr="003701D8">
        <w:t xml:space="preserve"> JPO</w:t>
      </w:r>
      <w:r w:rsidR="003701D8" w:rsidRPr="003701D8">
        <w:t xml:space="preserve"> emite una única notificación de denegaci</w:t>
      </w:r>
      <w:r w:rsidR="00B66A09">
        <w:t>ón por cada dibujo o modelo</w:t>
      </w:r>
      <w:r w:rsidRPr="003701D8">
        <w:t>.</w:t>
      </w:r>
    </w:p>
  </w:footnote>
  <w:footnote w:id="8">
    <w:p w:rsidR="00B16926" w:rsidRPr="001E0ED5" w:rsidRDefault="00B16926" w:rsidP="00B16926">
      <w:pPr>
        <w:pStyle w:val="FootnoteText"/>
      </w:pPr>
      <w:r>
        <w:rPr>
          <w:rStyle w:val="FootnoteReference"/>
        </w:rPr>
        <w:footnoteRef/>
      </w:r>
      <w:r w:rsidRPr="001E0ED5">
        <w:tab/>
      </w:r>
      <w:r w:rsidR="006F40EA">
        <w:t>Remítase al</w:t>
      </w:r>
      <w:r w:rsidR="00215CF5" w:rsidRPr="001E0ED5">
        <w:t xml:space="preserve"> documento</w:t>
      </w:r>
      <w:r w:rsidRPr="001E0ED5">
        <w:t xml:space="preserve"> H/CE/VII/4, </w:t>
      </w:r>
      <w:r w:rsidR="001E0ED5" w:rsidRPr="001E0ED5">
        <w:t>Proyecto de Regla</w:t>
      </w:r>
      <w:r w:rsidRPr="001E0ED5">
        <w:t xml:space="preserve"> 24</w:t>
      </w:r>
      <w:r w:rsidR="001E0ED5" w:rsidRPr="001E0ED5">
        <w:t>.</w:t>
      </w:r>
      <w:r w:rsidR="006F40EA">
        <w:t>1</w:t>
      </w:r>
      <w:proofErr w:type="gramStart"/>
      <w:r w:rsidR="006F40EA">
        <w:t>)ii</w:t>
      </w:r>
      <w:proofErr w:type="gramEnd"/>
      <w:r w:rsidR="006F40EA">
        <w:t>).</w:t>
      </w:r>
    </w:p>
  </w:footnote>
  <w:footnote w:id="9">
    <w:p w:rsidR="00B16926" w:rsidRPr="00184132" w:rsidRDefault="00B16926" w:rsidP="00B16926">
      <w:pPr>
        <w:pStyle w:val="FootnoteText"/>
      </w:pPr>
      <w:r>
        <w:rPr>
          <w:rStyle w:val="FootnoteReference"/>
        </w:rPr>
        <w:footnoteRef/>
      </w:r>
      <w:r w:rsidRPr="001E0ED5">
        <w:tab/>
      </w:r>
      <w:r w:rsidR="006F40EA">
        <w:t>Remítase al</w:t>
      </w:r>
      <w:r w:rsidR="001E0ED5" w:rsidRPr="001E0ED5">
        <w:t xml:space="preserve"> documento</w:t>
      </w:r>
      <w:r w:rsidRPr="001E0ED5">
        <w:t xml:space="preserve"> H/DC/4, </w:t>
      </w:r>
      <w:r w:rsidR="001E0ED5" w:rsidRPr="001E0ED5">
        <w:t xml:space="preserve">Propuesta </w:t>
      </w:r>
      <w:r w:rsidR="00236684">
        <w:t>B</w:t>
      </w:r>
      <w:r w:rsidR="001E0ED5">
        <w:t xml:space="preserve">ásica de </w:t>
      </w:r>
      <w:r w:rsidR="00B56217">
        <w:t xml:space="preserve">Reglamento </w:t>
      </w:r>
      <w:r w:rsidR="001E0ED5">
        <w:t xml:space="preserve">de la </w:t>
      </w:r>
      <w:r w:rsidR="00236684">
        <w:t>N</w:t>
      </w:r>
      <w:r w:rsidR="00B56217">
        <w:t xml:space="preserve">ueva </w:t>
      </w:r>
      <w:r w:rsidR="00C94B8E">
        <w:t>A</w:t>
      </w:r>
      <w:r w:rsidR="001E0ED5">
        <w:t>cta</w:t>
      </w:r>
      <w:r w:rsidR="00320474">
        <w:t xml:space="preserve"> </w:t>
      </w:r>
      <w:r w:rsidR="00236684">
        <w:t>de La Haya</w:t>
      </w:r>
      <w:r w:rsidR="00B56217">
        <w:t>,</w:t>
      </w:r>
      <w:r w:rsidR="001E0ED5">
        <w:t xml:space="preserve"> presentada en la </w:t>
      </w:r>
      <w:r w:rsidR="00B56217">
        <w:t>Conferencia Diplomática</w:t>
      </w:r>
      <w:r w:rsidR="001E0ED5">
        <w:t xml:space="preserve">, proyecto de Regla </w:t>
      </w:r>
      <w:r w:rsidRPr="001E0ED5">
        <w:t>26</w:t>
      </w:r>
      <w:r w:rsidR="001E0ED5">
        <w:t>.</w:t>
      </w:r>
      <w:r w:rsidRPr="001E0ED5">
        <w:t xml:space="preserve">1)ii).  </w:t>
      </w:r>
      <w:r w:rsidR="00184132" w:rsidRPr="00184132">
        <w:t xml:space="preserve">En </w:t>
      </w:r>
      <w:r w:rsidR="00442386">
        <w:t>el</w:t>
      </w:r>
      <w:r w:rsidR="00184132" w:rsidRPr="00184132">
        <w:t xml:space="preserve"> </w:t>
      </w:r>
      <w:r w:rsidR="00442386">
        <w:t>Reglamento</w:t>
      </w:r>
      <w:r w:rsidR="002C48CA" w:rsidRPr="00184132" w:rsidDel="00881F12">
        <w:t xml:space="preserve"> </w:t>
      </w:r>
      <w:r w:rsidR="00184132" w:rsidRPr="00184132">
        <w:t xml:space="preserve">del Arreglo de La Haya relativo al </w:t>
      </w:r>
      <w:r w:rsidR="00C94B8E">
        <w:t>d</w:t>
      </w:r>
      <w:r w:rsidR="00184132" w:rsidRPr="00184132">
        <w:t xml:space="preserve">epósito </w:t>
      </w:r>
      <w:r w:rsidR="00C94B8E">
        <w:t>i</w:t>
      </w:r>
      <w:r w:rsidR="00184132" w:rsidRPr="00184132">
        <w:t xml:space="preserve">nternacional de </w:t>
      </w:r>
      <w:r w:rsidR="00C94B8E">
        <w:t>dibujos y modelos</w:t>
      </w:r>
      <w:r w:rsidR="00184132" w:rsidRPr="00184132">
        <w:t xml:space="preserve"> </w:t>
      </w:r>
      <w:r w:rsidR="00C94B8E">
        <w:t>i</w:t>
      </w:r>
      <w:r w:rsidR="00184132" w:rsidRPr="00184132">
        <w:t>ndustriales</w:t>
      </w:r>
      <w:r w:rsidR="00442386">
        <w:t>,</w:t>
      </w:r>
      <w:r w:rsidRPr="00184132">
        <w:t xml:space="preserve"> </w:t>
      </w:r>
      <w:r w:rsidR="00442386">
        <w:t>que da aplicación al Acta de 1960 y el Acta de</w:t>
      </w:r>
      <w:r w:rsidR="006F40EA">
        <w:t> </w:t>
      </w:r>
      <w:r w:rsidR="00442386">
        <w:t>193</w:t>
      </w:r>
      <w:r w:rsidR="00184132" w:rsidRPr="00184132">
        <w:t>4</w:t>
      </w:r>
      <w:r w:rsidRPr="00184132">
        <w:t xml:space="preserve">, </w:t>
      </w:r>
      <w:r w:rsidR="00442386">
        <w:t>en vigor desde el </w:t>
      </w:r>
      <w:r w:rsidR="00184132">
        <w:t xml:space="preserve">1 de enero de </w:t>
      </w:r>
      <w:r w:rsidRPr="00184132">
        <w:t>2002</w:t>
      </w:r>
      <w:r w:rsidR="00184132">
        <w:t>, no figura la formulación en cuestión en relación con la publicación de una notificación de denegación</w:t>
      </w:r>
      <w:r w:rsidRPr="00184132">
        <w:t>.</w:t>
      </w:r>
    </w:p>
  </w:footnote>
  <w:footnote w:id="10">
    <w:p w:rsidR="00B16926" w:rsidRPr="00416521" w:rsidRDefault="00B16926" w:rsidP="00B16926">
      <w:pPr>
        <w:pStyle w:val="FootnoteText"/>
      </w:pPr>
      <w:r>
        <w:rPr>
          <w:rStyle w:val="FootnoteReference"/>
        </w:rPr>
        <w:footnoteRef/>
      </w:r>
      <w:r w:rsidRPr="00416521">
        <w:tab/>
      </w:r>
      <w:r w:rsidR="00416521" w:rsidRPr="00416521">
        <w:t>La misma formulación figura en la Regla</w:t>
      </w:r>
      <w:r w:rsidRPr="00416521">
        <w:t xml:space="preserve"> 31</w:t>
      </w:r>
      <w:r w:rsidR="00416521" w:rsidRPr="00416521">
        <w:t>.</w:t>
      </w:r>
      <w:r w:rsidRPr="00416521">
        <w:t xml:space="preserve">1) </w:t>
      </w:r>
      <w:r w:rsidR="00416521" w:rsidRPr="00416521">
        <w:t>del Reglamento del Arreglo de Madrid en vigor</w:t>
      </w:r>
      <w:r w:rsidRPr="00416521">
        <w:t xml:space="preserve"> </w:t>
      </w:r>
      <w:r w:rsidR="00C845CC">
        <w:t>desde el</w:t>
      </w:r>
      <w:r w:rsidR="006F40EA">
        <w:t> </w:t>
      </w:r>
      <w:r w:rsidR="00C845CC">
        <w:t>1</w:t>
      </w:r>
      <w:r w:rsidR="006F40EA">
        <w:t> </w:t>
      </w:r>
      <w:r w:rsidR="00C845CC">
        <w:t>de</w:t>
      </w:r>
      <w:r w:rsidR="006F40EA">
        <w:t> </w:t>
      </w:r>
      <w:r w:rsidR="00C845CC">
        <w:t>abril de </w:t>
      </w:r>
      <w:r w:rsidRPr="00416521">
        <w:t>1994</w:t>
      </w:r>
      <w:r w:rsidR="00C845CC">
        <w:t>,</w:t>
      </w:r>
      <w:r w:rsidRPr="00416521">
        <w:t xml:space="preserve"> </w:t>
      </w:r>
      <w:r w:rsidR="00416521">
        <w:t xml:space="preserve">esto es, antes de </w:t>
      </w:r>
      <w:r w:rsidR="00C94B8E">
        <w:t>que empezara a aplicarse el</w:t>
      </w:r>
      <w:r w:rsidR="00416521">
        <w:t xml:space="preserve"> Protocolo de Madrid</w:t>
      </w:r>
      <w:r w:rsidRPr="00416521"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D8D" w:rsidRDefault="00782D8D" w:rsidP="00477D6B">
    <w:pPr>
      <w:jc w:val="right"/>
    </w:pPr>
    <w:r>
      <w:t>H/LD/WG/</w:t>
    </w:r>
    <w:r w:rsidR="00A73595">
      <w:t>7</w:t>
    </w:r>
    <w:r>
      <w:t>/</w:t>
    </w:r>
    <w:r w:rsidR="00B16926">
      <w:t>4</w:t>
    </w:r>
  </w:p>
  <w:p w:rsidR="00782D8D" w:rsidRDefault="005D74D3" w:rsidP="00477D6B">
    <w:pPr>
      <w:jc w:val="right"/>
    </w:pPr>
    <w:proofErr w:type="gramStart"/>
    <w:r>
      <w:t>página</w:t>
    </w:r>
    <w:proofErr w:type="gramEnd"/>
    <w:r>
      <w:t xml:space="preserve"> </w:t>
    </w:r>
    <w:r w:rsidR="00782D8D">
      <w:fldChar w:fldCharType="begin"/>
    </w:r>
    <w:r w:rsidR="00782D8D">
      <w:instrText xml:space="preserve"> PAGE  \* MERGEFORMAT </w:instrText>
    </w:r>
    <w:r w:rsidR="00782D8D">
      <w:fldChar w:fldCharType="separate"/>
    </w:r>
    <w:r w:rsidR="00BC682A">
      <w:rPr>
        <w:noProof/>
      </w:rPr>
      <w:t>6</w:t>
    </w:r>
    <w:r w:rsidR="00782D8D">
      <w:fldChar w:fldCharType="end"/>
    </w:r>
  </w:p>
  <w:p w:rsidR="00782D8D" w:rsidRDefault="00782D8D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FB8" w:rsidRDefault="00512975" w:rsidP="0043279F">
    <w:pPr>
      <w:pStyle w:val="Header"/>
      <w:jc w:val="right"/>
    </w:pPr>
    <w:r>
      <w:t>H/LD/WG/7/4</w:t>
    </w:r>
  </w:p>
  <w:p w:rsidR="00634FB8" w:rsidRDefault="00512975" w:rsidP="0043279F">
    <w:pPr>
      <w:pStyle w:val="Header"/>
      <w:jc w:val="right"/>
    </w:pPr>
    <w:r>
      <w:t>ANEX</w:t>
    </w:r>
    <w:r w:rsidR="0014445F">
      <w:t>O</w:t>
    </w:r>
  </w:p>
  <w:p w:rsidR="00634FB8" w:rsidRPr="00E67B98" w:rsidRDefault="00BC682A" w:rsidP="0043279F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6CD29E3"/>
    <w:multiLevelType w:val="multilevel"/>
    <w:tmpl w:val="A7C4ACAE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>
    <w:nsid w:val="164333C5"/>
    <w:multiLevelType w:val="hybridMultilevel"/>
    <w:tmpl w:val="B40C9FBC"/>
    <w:lvl w:ilvl="0" w:tplc="8DB862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4"/>
  </w:num>
  <w:num w:numId="8">
    <w:abstractNumId w:val="1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spa"/>
    <w:docVar w:name="TermBases" w:val="WIPOLDTERM"/>
    <w:docVar w:name="TermBaseURL" w:val="empty"/>
    <w:docVar w:name="TextBases" w:val="TextBase TMs\WorkspaceSTS\Brands, Designs &amp; DN\Hague|TextBase TMs\WorkspaceSTS\Brands, Designs &amp; DN\H Instruments|TextBase TMs\WorkspaceSTS\Brands, Designs &amp; DN\Arb_Med_Center|TextBase TMs\WorkspaceSTS\Brands, Designs &amp; DN\L Instruments|TextBase TMs\WorkspaceSTS\Brands, Designs &amp; DN\Lisbon|TextBase TMs\WorkspaceSTS\Brands, Designs &amp; DN\T Instruments|TextBase TMs\WorkspaceSTS\Brands, Designs &amp; DN\Trademarks|TextBase TMs\WorkspaceSTS\Patents &amp; Innovation\P Instruments|TextBase TMs\WorkspaceSTS\Patents &amp; Innovation\Patents Main|TextBase TMs\WorkspaceSTS\Copyright\C Instruments|TextBase TMs\WorkspaceSTS\Copyright\Copyright|TextBase TMs\WorkspaceSTS\GRTKF\G Instruments|TextBase TMs\WorkspaceSTS\Outreach\POW Main|TextBase TMs\WorkspaceSTS\Treaties &amp; Laws\WIPO Lex|TextBase TMs\WorkspaceSTS\GRTKF\GRTKF|TextBase TMs\WorkspaceSTS\Outreach\Economist|TextBase TMs\WorkspaceSTS\Outreach\IP Advantage|TextBase TMs\WorkspaceSTS\Administration &amp; Finance\Current Budget|TextBase TMs\WorkspaceSTS\Administration &amp; Finance\FAB Instruments|TextBase TMs\WorkspaceSTS\Administration &amp; Finance\FAB Main|TextBase TMs\WorkspaceSTS\Administration &amp; Finance\FStatements|TextBase TMs\WorkspaceSTS\Administration &amp; Finance\UN Staff Rules|TextBase TMs\WorkspaceSTS\Administration &amp; Finance\WIPO Staff Rules|TextBase TMs\WorkspaceSTS\Development\Dev_Agenda|TextBase TMs\WorkspaceSTS\UPOV\TGPs|TextBase TMs\WorkspaceSTS\UPOV\TGs|TextBase TMs\WorkspaceSTS\UPOV\TGs Template|TextBase TMs\WorkspaceSTS\UPOV\U Instruments|TextBase TMs\WorkspaceSTS\UPOV\UPOV Main"/>
    <w:docVar w:name="TextBaseURL" w:val="empty"/>
    <w:docVar w:name="UILng" w:val="en"/>
  </w:docVars>
  <w:rsids>
    <w:rsidRoot w:val="00477D53"/>
    <w:rsid w:val="0000676B"/>
    <w:rsid w:val="00012DA8"/>
    <w:rsid w:val="000207B1"/>
    <w:rsid w:val="00026D6A"/>
    <w:rsid w:val="00036DE7"/>
    <w:rsid w:val="000424DC"/>
    <w:rsid w:val="00043CAA"/>
    <w:rsid w:val="00075432"/>
    <w:rsid w:val="00082A00"/>
    <w:rsid w:val="0008449B"/>
    <w:rsid w:val="000968ED"/>
    <w:rsid w:val="000D6076"/>
    <w:rsid w:val="000F59A8"/>
    <w:rsid w:val="000F5E56"/>
    <w:rsid w:val="000F5FE7"/>
    <w:rsid w:val="001011F5"/>
    <w:rsid w:val="00105FA4"/>
    <w:rsid w:val="00123FFF"/>
    <w:rsid w:val="001362EE"/>
    <w:rsid w:val="00140EA7"/>
    <w:rsid w:val="0014445F"/>
    <w:rsid w:val="00146AE3"/>
    <w:rsid w:val="0015781F"/>
    <w:rsid w:val="0016135E"/>
    <w:rsid w:val="00167041"/>
    <w:rsid w:val="001832A6"/>
    <w:rsid w:val="00184132"/>
    <w:rsid w:val="00190371"/>
    <w:rsid w:val="0019051D"/>
    <w:rsid w:val="00190B30"/>
    <w:rsid w:val="001B1816"/>
    <w:rsid w:val="001B7765"/>
    <w:rsid w:val="001C1E89"/>
    <w:rsid w:val="001D5E0F"/>
    <w:rsid w:val="001E0ED5"/>
    <w:rsid w:val="001E636A"/>
    <w:rsid w:val="001F6F41"/>
    <w:rsid w:val="00201485"/>
    <w:rsid w:val="00206768"/>
    <w:rsid w:val="00211102"/>
    <w:rsid w:val="00215CF5"/>
    <w:rsid w:val="0022517D"/>
    <w:rsid w:val="00236684"/>
    <w:rsid w:val="002634C4"/>
    <w:rsid w:val="00286A68"/>
    <w:rsid w:val="002928D3"/>
    <w:rsid w:val="002B2A4E"/>
    <w:rsid w:val="002C24E7"/>
    <w:rsid w:val="002C48CA"/>
    <w:rsid w:val="002F1FE6"/>
    <w:rsid w:val="002F4E68"/>
    <w:rsid w:val="002F6B4A"/>
    <w:rsid w:val="00312F7F"/>
    <w:rsid w:val="00320474"/>
    <w:rsid w:val="00321F81"/>
    <w:rsid w:val="00323A78"/>
    <w:rsid w:val="0032598E"/>
    <w:rsid w:val="00340717"/>
    <w:rsid w:val="003516C2"/>
    <w:rsid w:val="00361450"/>
    <w:rsid w:val="00362A25"/>
    <w:rsid w:val="003673CF"/>
    <w:rsid w:val="003701D8"/>
    <w:rsid w:val="00372304"/>
    <w:rsid w:val="00381D17"/>
    <w:rsid w:val="003845C1"/>
    <w:rsid w:val="00394253"/>
    <w:rsid w:val="003965E3"/>
    <w:rsid w:val="00396FD2"/>
    <w:rsid w:val="003A2301"/>
    <w:rsid w:val="003A6F89"/>
    <w:rsid w:val="003A7703"/>
    <w:rsid w:val="003B0F07"/>
    <w:rsid w:val="003B1C46"/>
    <w:rsid w:val="003B38C1"/>
    <w:rsid w:val="003D0499"/>
    <w:rsid w:val="003D6EA4"/>
    <w:rsid w:val="003F418A"/>
    <w:rsid w:val="003F5D6E"/>
    <w:rsid w:val="00416521"/>
    <w:rsid w:val="00423E3E"/>
    <w:rsid w:val="00427AF4"/>
    <w:rsid w:val="0043075D"/>
    <w:rsid w:val="00442386"/>
    <w:rsid w:val="004573C7"/>
    <w:rsid w:val="0046015C"/>
    <w:rsid w:val="0046045A"/>
    <w:rsid w:val="004647DA"/>
    <w:rsid w:val="00474062"/>
    <w:rsid w:val="00476385"/>
    <w:rsid w:val="00477D53"/>
    <w:rsid w:val="00477D6B"/>
    <w:rsid w:val="00495FEA"/>
    <w:rsid w:val="004C5DE2"/>
    <w:rsid w:val="004E363B"/>
    <w:rsid w:val="004F2E38"/>
    <w:rsid w:val="004F7405"/>
    <w:rsid w:val="004F7A82"/>
    <w:rsid w:val="00500747"/>
    <w:rsid w:val="005019FF"/>
    <w:rsid w:val="00501D44"/>
    <w:rsid w:val="00503C8A"/>
    <w:rsid w:val="00506621"/>
    <w:rsid w:val="00512975"/>
    <w:rsid w:val="0053057A"/>
    <w:rsid w:val="00534BCC"/>
    <w:rsid w:val="00554878"/>
    <w:rsid w:val="00560A29"/>
    <w:rsid w:val="00564635"/>
    <w:rsid w:val="005722FE"/>
    <w:rsid w:val="00580833"/>
    <w:rsid w:val="005820EB"/>
    <w:rsid w:val="00585149"/>
    <w:rsid w:val="005B14BB"/>
    <w:rsid w:val="005C6649"/>
    <w:rsid w:val="005D59A8"/>
    <w:rsid w:val="005D74D3"/>
    <w:rsid w:val="005F7509"/>
    <w:rsid w:val="00605827"/>
    <w:rsid w:val="00606D46"/>
    <w:rsid w:val="0061289E"/>
    <w:rsid w:val="00616D4D"/>
    <w:rsid w:val="006278A8"/>
    <w:rsid w:val="006313C6"/>
    <w:rsid w:val="00631DEE"/>
    <w:rsid w:val="00634C0A"/>
    <w:rsid w:val="006376AD"/>
    <w:rsid w:val="00637E72"/>
    <w:rsid w:val="00646050"/>
    <w:rsid w:val="00655F60"/>
    <w:rsid w:val="006576EA"/>
    <w:rsid w:val="0066526E"/>
    <w:rsid w:val="00670BAD"/>
    <w:rsid w:val="006713CA"/>
    <w:rsid w:val="00675C81"/>
    <w:rsid w:val="006761D1"/>
    <w:rsid w:val="00676C5C"/>
    <w:rsid w:val="0069558C"/>
    <w:rsid w:val="00697590"/>
    <w:rsid w:val="006B4229"/>
    <w:rsid w:val="006B5AFE"/>
    <w:rsid w:val="006E098D"/>
    <w:rsid w:val="006E230E"/>
    <w:rsid w:val="006F238A"/>
    <w:rsid w:val="006F40EA"/>
    <w:rsid w:val="00700F5C"/>
    <w:rsid w:val="00710827"/>
    <w:rsid w:val="007109CD"/>
    <w:rsid w:val="00732B60"/>
    <w:rsid w:val="00762AB4"/>
    <w:rsid w:val="00775B04"/>
    <w:rsid w:val="00780824"/>
    <w:rsid w:val="00782D8D"/>
    <w:rsid w:val="00783120"/>
    <w:rsid w:val="00787584"/>
    <w:rsid w:val="00787B98"/>
    <w:rsid w:val="00794C79"/>
    <w:rsid w:val="00795519"/>
    <w:rsid w:val="007A0036"/>
    <w:rsid w:val="007B1A3C"/>
    <w:rsid w:val="007B7403"/>
    <w:rsid w:val="007C1604"/>
    <w:rsid w:val="007C699A"/>
    <w:rsid w:val="007D02C6"/>
    <w:rsid w:val="007D1613"/>
    <w:rsid w:val="007E184D"/>
    <w:rsid w:val="007F2187"/>
    <w:rsid w:val="007F723F"/>
    <w:rsid w:val="00811578"/>
    <w:rsid w:val="00811B11"/>
    <w:rsid w:val="00813858"/>
    <w:rsid w:val="00820A14"/>
    <w:rsid w:val="008272FE"/>
    <w:rsid w:val="00827330"/>
    <w:rsid w:val="00827884"/>
    <w:rsid w:val="008309B3"/>
    <w:rsid w:val="00846FF7"/>
    <w:rsid w:val="00855234"/>
    <w:rsid w:val="008629E5"/>
    <w:rsid w:val="00863BF4"/>
    <w:rsid w:val="00873309"/>
    <w:rsid w:val="00880191"/>
    <w:rsid w:val="00881F12"/>
    <w:rsid w:val="0089123D"/>
    <w:rsid w:val="008932E9"/>
    <w:rsid w:val="00896F8A"/>
    <w:rsid w:val="008B2CC1"/>
    <w:rsid w:val="008B60B2"/>
    <w:rsid w:val="008D2900"/>
    <w:rsid w:val="008E2715"/>
    <w:rsid w:val="008E451A"/>
    <w:rsid w:val="008E673B"/>
    <w:rsid w:val="008E76DE"/>
    <w:rsid w:val="008F00F0"/>
    <w:rsid w:val="008F151E"/>
    <w:rsid w:val="00905ADA"/>
    <w:rsid w:val="00906578"/>
    <w:rsid w:val="0090731E"/>
    <w:rsid w:val="00916EE2"/>
    <w:rsid w:val="00922075"/>
    <w:rsid w:val="00925127"/>
    <w:rsid w:val="00932167"/>
    <w:rsid w:val="00952263"/>
    <w:rsid w:val="00954C5B"/>
    <w:rsid w:val="00957779"/>
    <w:rsid w:val="00966A22"/>
    <w:rsid w:val="0096722F"/>
    <w:rsid w:val="00980843"/>
    <w:rsid w:val="00984AE8"/>
    <w:rsid w:val="00993FDB"/>
    <w:rsid w:val="009A565A"/>
    <w:rsid w:val="009C31B1"/>
    <w:rsid w:val="009C49F8"/>
    <w:rsid w:val="009E2791"/>
    <w:rsid w:val="009E3F6F"/>
    <w:rsid w:val="009F1B8B"/>
    <w:rsid w:val="009F288E"/>
    <w:rsid w:val="009F297E"/>
    <w:rsid w:val="009F499F"/>
    <w:rsid w:val="00A04E5A"/>
    <w:rsid w:val="00A160CD"/>
    <w:rsid w:val="00A17422"/>
    <w:rsid w:val="00A24908"/>
    <w:rsid w:val="00A26BAF"/>
    <w:rsid w:val="00A32278"/>
    <w:rsid w:val="00A42DAF"/>
    <w:rsid w:val="00A45BD8"/>
    <w:rsid w:val="00A64CAD"/>
    <w:rsid w:val="00A67ED7"/>
    <w:rsid w:val="00A73595"/>
    <w:rsid w:val="00A817EE"/>
    <w:rsid w:val="00A81B34"/>
    <w:rsid w:val="00A835AA"/>
    <w:rsid w:val="00A869B7"/>
    <w:rsid w:val="00A91B25"/>
    <w:rsid w:val="00AC1CCE"/>
    <w:rsid w:val="00AC205C"/>
    <w:rsid w:val="00AC7303"/>
    <w:rsid w:val="00AF0A6B"/>
    <w:rsid w:val="00B05A69"/>
    <w:rsid w:val="00B131B5"/>
    <w:rsid w:val="00B16926"/>
    <w:rsid w:val="00B214BD"/>
    <w:rsid w:val="00B21657"/>
    <w:rsid w:val="00B21863"/>
    <w:rsid w:val="00B24C05"/>
    <w:rsid w:val="00B372FC"/>
    <w:rsid w:val="00B56217"/>
    <w:rsid w:val="00B62035"/>
    <w:rsid w:val="00B66A09"/>
    <w:rsid w:val="00B94A09"/>
    <w:rsid w:val="00B96F5A"/>
    <w:rsid w:val="00B9734B"/>
    <w:rsid w:val="00BA2FBF"/>
    <w:rsid w:val="00BB0985"/>
    <w:rsid w:val="00BB3B08"/>
    <w:rsid w:val="00BC2180"/>
    <w:rsid w:val="00BC65D4"/>
    <w:rsid w:val="00BC682A"/>
    <w:rsid w:val="00BE27F2"/>
    <w:rsid w:val="00C0671E"/>
    <w:rsid w:val="00C06B4A"/>
    <w:rsid w:val="00C11BFE"/>
    <w:rsid w:val="00C14427"/>
    <w:rsid w:val="00C30CF3"/>
    <w:rsid w:val="00C53068"/>
    <w:rsid w:val="00C552BF"/>
    <w:rsid w:val="00C5734F"/>
    <w:rsid w:val="00C57685"/>
    <w:rsid w:val="00C754D6"/>
    <w:rsid w:val="00C805F0"/>
    <w:rsid w:val="00C82D2C"/>
    <w:rsid w:val="00C845CC"/>
    <w:rsid w:val="00C91653"/>
    <w:rsid w:val="00C94B8E"/>
    <w:rsid w:val="00CA047B"/>
    <w:rsid w:val="00CA2971"/>
    <w:rsid w:val="00CC7B50"/>
    <w:rsid w:val="00CC7ED9"/>
    <w:rsid w:val="00CE5653"/>
    <w:rsid w:val="00CF2B46"/>
    <w:rsid w:val="00D45252"/>
    <w:rsid w:val="00D50E87"/>
    <w:rsid w:val="00D71B4D"/>
    <w:rsid w:val="00D72CCE"/>
    <w:rsid w:val="00D73E68"/>
    <w:rsid w:val="00D77AAB"/>
    <w:rsid w:val="00D81245"/>
    <w:rsid w:val="00D8171D"/>
    <w:rsid w:val="00D87CF9"/>
    <w:rsid w:val="00D93762"/>
    <w:rsid w:val="00D93D55"/>
    <w:rsid w:val="00D93D77"/>
    <w:rsid w:val="00D9607B"/>
    <w:rsid w:val="00DB19EC"/>
    <w:rsid w:val="00DB3676"/>
    <w:rsid w:val="00DB3EC0"/>
    <w:rsid w:val="00DC5FBC"/>
    <w:rsid w:val="00DC7FA8"/>
    <w:rsid w:val="00DD5D6D"/>
    <w:rsid w:val="00DE4ADF"/>
    <w:rsid w:val="00DE6C8B"/>
    <w:rsid w:val="00DF531D"/>
    <w:rsid w:val="00E05D0E"/>
    <w:rsid w:val="00E129BB"/>
    <w:rsid w:val="00E1595F"/>
    <w:rsid w:val="00E212FD"/>
    <w:rsid w:val="00E22D39"/>
    <w:rsid w:val="00E335FE"/>
    <w:rsid w:val="00E60A5F"/>
    <w:rsid w:val="00E65738"/>
    <w:rsid w:val="00E9143F"/>
    <w:rsid w:val="00E92EBC"/>
    <w:rsid w:val="00E943EB"/>
    <w:rsid w:val="00E96364"/>
    <w:rsid w:val="00E9740E"/>
    <w:rsid w:val="00E97778"/>
    <w:rsid w:val="00EB7C5D"/>
    <w:rsid w:val="00EC4D7F"/>
    <w:rsid w:val="00EC4E49"/>
    <w:rsid w:val="00ED77FB"/>
    <w:rsid w:val="00EE3250"/>
    <w:rsid w:val="00EE3C87"/>
    <w:rsid w:val="00EE45FA"/>
    <w:rsid w:val="00EF0F18"/>
    <w:rsid w:val="00EF2B2E"/>
    <w:rsid w:val="00EF7301"/>
    <w:rsid w:val="00F0314B"/>
    <w:rsid w:val="00F15D5D"/>
    <w:rsid w:val="00F272C5"/>
    <w:rsid w:val="00F34E58"/>
    <w:rsid w:val="00F34EBC"/>
    <w:rsid w:val="00F4526E"/>
    <w:rsid w:val="00F56C26"/>
    <w:rsid w:val="00F65BB1"/>
    <w:rsid w:val="00F66152"/>
    <w:rsid w:val="00F94910"/>
    <w:rsid w:val="00FC68CB"/>
    <w:rsid w:val="00FD791F"/>
    <w:rsid w:val="00FF0636"/>
    <w:rsid w:val="00FF2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footnote text" w:uiPriority="99"/>
    <w:lsdException w:name="caption" w:locked="1" w:qFormat="1"/>
    <w:lsdException w:name="footnote reference" w:uiPriority="99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1C1E89"/>
    <w:pPr>
      <w:keepNext/>
      <w:spacing w:before="240" w:after="24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8E67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locked/>
    <w:rsid w:val="008E673B"/>
    <w:rPr>
      <w:rFonts w:ascii="Tahoma" w:eastAsia="SimSun" w:hAnsi="Tahoma" w:cs="Tahoma"/>
      <w:sz w:val="16"/>
      <w:szCs w:val="16"/>
      <w:lang w:val="x-none" w:eastAsia="zh-CN"/>
    </w:rPr>
  </w:style>
  <w:style w:type="character" w:styleId="FootnoteReference">
    <w:name w:val="footnote reference"/>
    <w:basedOn w:val="DefaultParagraphFont"/>
    <w:uiPriority w:val="99"/>
    <w:rsid w:val="00B16926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16926"/>
    <w:rPr>
      <w:rFonts w:ascii="Arial" w:eastAsia="SimSun" w:hAnsi="Arial" w:cs="Arial"/>
      <w:sz w:val="18"/>
      <w:lang w:val="es-ES" w:eastAsia="zh-CN"/>
    </w:rPr>
  </w:style>
  <w:style w:type="character" w:styleId="Hyperlink">
    <w:name w:val="Hyperlink"/>
    <w:basedOn w:val="DefaultParagraphFont"/>
    <w:rsid w:val="00B1692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16926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n-US" w:eastAsia="en-US"/>
    </w:rPr>
  </w:style>
  <w:style w:type="character" w:styleId="FollowedHyperlink">
    <w:name w:val="FollowedHyperlink"/>
    <w:basedOn w:val="DefaultParagraphFont"/>
    <w:rsid w:val="00CA2971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965E3"/>
    <w:pPr>
      <w:ind w:left="720"/>
      <w:contextualSpacing/>
    </w:pPr>
  </w:style>
  <w:style w:type="character" w:styleId="CommentReference">
    <w:name w:val="annotation reference"/>
    <w:basedOn w:val="DefaultParagraphFont"/>
    <w:rsid w:val="00E22D3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E22D39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E22D39"/>
    <w:rPr>
      <w:rFonts w:ascii="Arial" w:eastAsia="SimSun" w:hAnsi="Arial" w:cs="Arial"/>
      <w:sz w:val="18"/>
      <w:lang w:val="es-ES" w:eastAsia="zh-CN"/>
    </w:rPr>
  </w:style>
  <w:style w:type="character" w:customStyle="1" w:styleId="CommentSubjectChar">
    <w:name w:val="Comment Subject Char"/>
    <w:basedOn w:val="CommentTextChar"/>
    <w:link w:val="CommentSubject"/>
    <w:rsid w:val="00E22D39"/>
    <w:rPr>
      <w:rFonts w:ascii="Arial" w:eastAsia="SimSun" w:hAnsi="Arial" w:cs="Arial"/>
      <w:b/>
      <w:bCs/>
      <w:sz w:val="18"/>
      <w:lang w:val="es-E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footnote text" w:uiPriority="99"/>
    <w:lsdException w:name="caption" w:locked="1" w:qFormat="1"/>
    <w:lsdException w:name="footnote reference" w:uiPriority="99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1C1E89"/>
    <w:pPr>
      <w:keepNext/>
      <w:spacing w:before="240" w:after="24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8E67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locked/>
    <w:rsid w:val="008E673B"/>
    <w:rPr>
      <w:rFonts w:ascii="Tahoma" w:eastAsia="SimSun" w:hAnsi="Tahoma" w:cs="Tahoma"/>
      <w:sz w:val="16"/>
      <w:szCs w:val="16"/>
      <w:lang w:val="x-none" w:eastAsia="zh-CN"/>
    </w:rPr>
  </w:style>
  <w:style w:type="character" w:styleId="FootnoteReference">
    <w:name w:val="footnote reference"/>
    <w:basedOn w:val="DefaultParagraphFont"/>
    <w:uiPriority w:val="99"/>
    <w:rsid w:val="00B16926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16926"/>
    <w:rPr>
      <w:rFonts w:ascii="Arial" w:eastAsia="SimSun" w:hAnsi="Arial" w:cs="Arial"/>
      <w:sz w:val="18"/>
      <w:lang w:val="es-ES" w:eastAsia="zh-CN"/>
    </w:rPr>
  </w:style>
  <w:style w:type="character" w:styleId="Hyperlink">
    <w:name w:val="Hyperlink"/>
    <w:basedOn w:val="DefaultParagraphFont"/>
    <w:rsid w:val="00B1692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16926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n-US" w:eastAsia="en-US"/>
    </w:rPr>
  </w:style>
  <w:style w:type="character" w:styleId="FollowedHyperlink">
    <w:name w:val="FollowedHyperlink"/>
    <w:basedOn w:val="DefaultParagraphFont"/>
    <w:rsid w:val="00CA2971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965E3"/>
    <w:pPr>
      <w:ind w:left="720"/>
      <w:contextualSpacing/>
    </w:pPr>
  </w:style>
  <w:style w:type="character" w:styleId="CommentReference">
    <w:name w:val="annotation reference"/>
    <w:basedOn w:val="DefaultParagraphFont"/>
    <w:rsid w:val="00E22D3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E22D39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E22D39"/>
    <w:rPr>
      <w:rFonts w:ascii="Arial" w:eastAsia="SimSun" w:hAnsi="Arial" w:cs="Arial"/>
      <w:sz w:val="18"/>
      <w:lang w:val="es-ES" w:eastAsia="zh-CN"/>
    </w:rPr>
  </w:style>
  <w:style w:type="character" w:customStyle="1" w:styleId="CommentSubjectChar">
    <w:name w:val="Comment Subject Char"/>
    <w:basedOn w:val="CommentTextChar"/>
    <w:link w:val="CommentSubject"/>
    <w:rsid w:val="00E22D39"/>
    <w:rPr>
      <w:rFonts w:ascii="Arial" w:eastAsia="SimSun" w:hAnsi="Arial" w:cs="Arial"/>
      <w:b/>
      <w:bCs/>
      <w:sz w:val="18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ipo.int/export/sites/www/hague/es/how_to/pdf/guidance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emp\IeCache\Content.MSO\CC8E72C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0B9EC9-CCAA-45DD-B277-436C07914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CC8E72C0</Template>
  <TotalTime>6</TotalTime>
  <Pages>7</Pages>
  <Words>2650</Words>
  <Characters>13619</Characters>
  <Application>Microsoft Office Word</Application>
  <DocSecurity>0</DocSecurity>
  <Lines>113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H/LD/WG/7/4</vt:lpstr>
      <vt:lpstr>H/LD/WG/5/1 Prov. </vt:lpstr>
    </vt:vector>
  </TitlesOfParts>
  <Company>WIPO</Company>
  <LinksUpToDate>false</LinksUpToDate>
  <CharactersWithSpaces>16237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H/LD/WG/7/4</dc:title>
  <dc:creator>CEVALLOS</dc:creator>
  <cp:lastModifiedBy>MAILLARD Amber</cp:lastModifiedBy>
  <cp:revision>5</cp:revision>
  <cp:lastPrinted>2018-05-18T14:07:00Z</cp:lastPrinted>
  <dcterms:created xsi:type="dcterms:W3CDTF">2018-05-16T12:29:00Z</dcterms:created>
  <dcterms:modified xsi:type="dcterms:W3CDTF">2018-05-18T14:08:00Z</dcterms:modified>
</cp:coreProperties>
</file>