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D24D1" w:rsidP="00916EE2">
            <w:pPr>
              <w:jc w:val="right"/>
              <w:rPr>
                <w:rFonts w:ascii="Arial Black" w:hAnsi="Arial Black"/>
                <w:caps/>
                <w:sz w:val="15"/>
              </w:rPr>
            </w:pPr>
            <w:r>
              <w:rPr>
                <w:rFonts w:ascii="Arial Black" w:hAnsi="Arial Black"/>
                <w:caps/>
                <w:sz w:val="15"/>
              </w:rPr>
              <w:t>H/LD/WG/7/</w:t>
            </w:r>
            <w:bookmarkStart w:id="0" w:name="Code"/>
            <w:bookmarkEnd w:id="0"/>
            <w:r w:rsidR="005A0D6D">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A0D6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5A0D6D">
              <w:rPr>
                <w:rFonts w:ascii="Arial Black" w:hAnsi="Arial Black"/>
                <w:caps/>
                <w:sz w:val="15"/>
              </w:rPr>
              <w:t>July 16, 2018</w:t>
            </w:r>
            <w:r w:rsidRPr="0090731E">
              <w:rPr>
                <w:rFonts w:ascii="Arial Black" w:hAnsi="Arial Black"/>
                <w:caps/>
                <w:sz w:val="15"/>
              </w:rPr>
              <w:t xml:space="preserve"> </w:t>
            </w:r>
          </w:p>
        </w:tc>
      </w:tr>
    </w:tbl>
    <w:p w:rsidR="008B2CC1" w:rsidRPr="003845C1" w:rsidRDefault="00ED24D1" w:rsidP="005A0D6D">
      <w:pPr>
        <w:spacing w:before="1200"/>
        <w:rPr>
          <w:b/>
          <w:sz w:val="28"/>
          <w:szCs w:val="28"/>
        </w:rPr>
      </w:pPr>
      <w:r w:rsidRPr="00ED24D1">
        <w:rPr>
          <w:b/>
          <w:sz w:val="28"/>
          <w:szCs w:val="28"/>
        </w:rPr>
        <w:t>Working Group on the Legal Development of the Hague System for the International Registration of Industrial Designs</w:t>
      </w:r>
    </w:p>
    <w:p w:rsidR="008B2CC1" w:rsidRPr="003845C1" w:rsidRDefault="00ED24D1" w:rsidP="005A0D6D">
      <w:pPr>
        <w:spacing w:before="480"/>
        <w:rPr>
          <w:b/>
          <w:sz w:val="24"/>
          <w:szCs w:val="24"/>
        </w:rPr>
      </w:pPr>
      <w:r w:rsidRPr="00ED24D1">
        <w:rPr>
          <w:b/>
          <w:sz w:val="24"/>
          <w:szCs w:val="24"/>
        </w:rPr>
        <w:t>Seventh Session</w:t>
      </w:r>
    </w:p>
    <w:p w:rsidR="008B2CC1" w:rsidRPr="003845C1" w:rsidRDefault="00ED24D1" w:rsidP="008B2CC1">
      <w:pPr>
        <w:rPr>
          <w:b/>
          <w:sz w:val="24"/>
          <w:szCs w:val="24"/>
        </w:rPr>
      </w:pPr>
      <w:r w:rsidRPr="00ED24D1">
        <w:rPr>
          <w:b/>
          <w:sz w:val="24"/>
          <w:szCs w:val="24"/>
        </w:rPr>
        <w:t>Geneva, July 16 to 18, 2018</w:t>
      </w:r>
    </w:p>
    <w:p w:rsidR="008B2CC1" w:rsidRPr="003845C1" w:rsidRDefault="005A0D6D" w:rsidP="005A0D6D">
      <w:pPr>
        <w:spacing w:before="720"/>
        <w:rPr>
          <w:caps/>
          <w:sz w:val="24"/>
        </w:rPr>
      </w:pPr>
      <w:bookmarkStart w:id="3" w:name="TitleOfDoc"/>
      <w:bookmarkEnd w:id="3"/>
      <w:r>
        <w:rPr>
          <w:caps/>
          <w:sz w:val="24"/>
        </w:rPr>
        <w:t>Submi</w:t>
      </w:r>
      <w:r w:rsidR="00A70786">
        <w:rPr>
          <w:caps/>
          <w:sz w:val="24"/>
        </w:rPr>
        <w:t xml:space="preserve">ssion by the Delegation of the </w:t>
      </w:r>
      <w:bookmarkStart w:id="4" w:name="_GoBack"/>
      <w:bookmarkEnd w:id="4"/>
      <w:r>
        <w:rPr>
          <w:caps/>
          <w:sz w:val="24"/>
        </w:rPr>
        <w:t>United States of America</w:t>
      </w:r>
    </w:p>
    <w:p w:rsidR="008B2CC1" w:rsidRPr="008B2CC1" w:rsidRDefault="005A0D6D" w:rsidP="005A0D6D">
      <w:pPr>
        <w:spacing w:before="240" w:after="960"/>
        <w:rPr>
          <w:i/>
        </w:rPr>
      </w:pPr>
      <w:bookmarkStart w:id="5" w:name="Prepared"/>
      <w:bookmarkEnd w:id="5"/>
      <w:r>
        <w:rPr>
          <w:i/>
        </w:rPr>
        <w:t>Document prepared by the Secretariat</w:t>
      </w:r>
    </w:p>
    <w:p w:rsidR="005A0D6D" w:rsidRDefault="005A0D6D" w:rsidP="005A0D6D">
      <w:r w:rsidRPr="005A0D6D">
        <w:t xml:space="preserve">In a communication dated </w:t>
      </w:r>
      <w:r>
        <w:t>July 13, 2018</w:t>
      </w:r>
      <w:r w:rsidRPr="005A0D6D">
        <w:t xml:space="preserve">, the Delegation of the United States of America transmitted to the International Bureau of the World Intellectual Organization </w:t>
      </w:r>
      <w:r>
        <w:t>(</w:t>
      </w:r>
      <w:r w:rsidRPr="005A0D6D">
        <w:t xml:space="preserve">WIPO) the </w:t>
      </w:r>
      <w:r>
        <w:t>submission</w:t>
      </w:r>
      <w:r w:rsidRPr="005A0D6D">
        <w:t xml:space="preserve"> contained in the Annex to the present documen</w:t>
      </w:r>
      <w:r>
        <w:t>t.</w:t>
      </w:r>
    </w:p>
    <w:p w:rsidR="005A0D6D" w:rsidRDefault="005A0D6D" w:rsidP="005A0D6D">
      <w:pPr>
        <w:pStyle w:val="Endofdocument-Annex"/>
        <w:spacing w:before="720"/>
      </w:pPr>
      <w:r>
        <w:t>[Annex follows]</w:t>
      </w:r>
    </w:p>
    <w:p w:rsidR="005A0D6D" w:rsidRDefault="005A0D6D" w:rsidP="005A0D6D">
      <w:pPr>
        <w:pStyle w:val="Endofdocument-Annex"/>
        <w:spacing w:before="720"/>
        <w:sectPr w:rsidR="005A0D6D" w:rsidSect="005A0D6D">
          <w:headerReference w:type="default" r:id="rId9"/>
          <w:endnotePr>
            <w:numFmt w:val="decimal"/>
          </w:endnotePr>
          <w:pgSz w:w="11907" w:h="16840" w:code="9"/>
          <w:pgMar w:top="567" w:right="1134" w:bottom="1418" w:left="1418" w:header="510" w:footer="1021" w:gutter="0"/>
          <w:cols w:space="720"/>
          <w:titlePg/>
          <w:docGrid w:linePitch="299"/>
        </w:sectPr>
      </w:pPr>
    </w:p>
    <w:p w:rsidR="005A0D6D" w:rsidRPr="005A0D6D" w:rsidRDefault="005A0D6D" w:rsidP="005A0D6D">
      <w:pPr>
        <w:jc w:val="center"/>
        <w:rPr>
          <w:b/>
          <w:sz w:val="24"/>
          <w:szCs w:val="24"/>
        </w:rPr>
      </w:pPr>
      <w:r w:rsidRPr="005A0D6D">
        <w:rPr>
          <w:b/>
          <w:sz w:val="24"/>
          <w:szCs w:val="24"/>
        </w:rPr>
        <w:lastRenderedPageBreak/>
        <w:t>Contributing to the Financial Well-being of the Organization</w:t>
      </w:r>
    </w:p>
    <w:p w:rsidR="005A0D6D" w:rsidRPr="005A0D6D" w:rsidRDefault="005A0D6D" w:rsidP="005A0D6D">
      <w:pPr>
        <w:jc w:val="center"/>
        <w:rPr>
          <w:b/>
          <w:sz w:val="24"/>
          <w:szCs w:val="24"/>
        </w:rPr>
      </w:pPr>
    </w:p>
    <w:p w:rsidR="005A0D6D" w:rsidRPr="005A0D6D" w:rsidRDefault="005A0D6D" w:rsidP="005A0D6D">
      <w:pPr>
        <w:jc w:val="center"/>
        <w:rPr>
          <w:b/>
          <w:sz w:val="24"/>
          <w:szCs w:val="24"/>
        </w:rPr>
      </w:pPr>
      <w:r w:rsidRPr="005A0D6D">
        <w:rPr>
          <w:b/>
          <w:sz w:val="24"/>
          <w:szCs w:val="24"/>
        </w:rPr>
        <w:t>Submission of the United States to the Hague Working Group</w:t>
      </w:r>
    </w:p>
    <w:p w:rsidR="005A0D6D" w:rsidRPr="005A0D6D" w:rsidRDefault="005A0D6D" w:rsidP="005A0D6D">
      <w:pPr>
        <w:jc w:val="center"/>
        <w:rPr>
          <w:b/>
          <w:sz w:val="24"/>
          <w:szCs w:val="24"/>
        </w:rPr>
      </w:pPr>
    </w:p>
    <w:p w:rsidR="005A0D6D" w:rsidRPr="005A0D6D" w:rsidRDefault="005A0D6D" w:rsidP="005A0D6D">
      <w:pPr>
        <w:ind w:firstLine="720"/>
        <w:rPr>
          <w:sz w:val="24"/>
          <w:szCs w:val="24"/>
        </w:rPr>
      </w:pPr>
      <w:r w:rsidRPr="005A0D6D">
        <w:rPr>
          <w:sz w:val="24"/>
          <w:szCs w:val="24"/>
        </w:rPr>
        <w:t>According to the October 2017 WIPO Assemblies decision on the 2018-2019 WIPO Program and Budget</w:t>
      </w:r>
      <w:r w:rsidRPr="005A0D6D">
        <w:rPr>
          <w:sz w:val="24"/>
          <w:szCs w:val="24"/>
          <w:vertAlign w:val="superscript"/>
        </w:rPr>
        <w:footnoteReference w:id="2"/>
      </w:r>
      <w:r w:rsidRPr="005A0D6D">
        <w:rPr>
          <w:sz w:val="24"/>
          <w:szCs w:val="24"/>
        </w:rPr>
        <w:t>, the fee-financed Unions with a projected deficit are each expected to examine measures in accordance with its treaty to address that deficit. The United States believes that the long-term health of WIPO is dependent on each of the fee-financed Unions covering their own expenses and contributing to the common expenses of the Organization, as required by their respective treaties.</w:t>
      </w:r>
    </w:p>
    <w:p w:rsidR="005A0D6D" w:rsidRPr="005A0D6D" w:rsidRDefault="005A0D6D" w:rsidP="005A0D6D">
      <w:pPr>
        <w:rPr>
          <w:sz w:val="24"/>
          <w:szCs w:val="24"/>
        </w:rPr>
      </w:pPr>
    </w:p>
    <w:p w:rsidR="005A0D6D" w:rsidRPr="005A0D6D" w:rsidRDefault="005A0D6D" w:rsidP="005A0D6D">
      <w:pPr>
        <w:ind w:firstLine="720"/>
        <w:rPr>
          <w:sz w:val="24"/>
          <w:szCs w:val="24"/>
        </w:rPr>
      </w:pPr>
      <w:r w:rsidRPr="005A0D6D">
        <w:rPr>
          <w:sz w:val="24"/>
          <w:szCs w:val="24"/>
        </w:rPr>
        <w:t>In 2017, the Hague Union Assembly, together with all other WIPO Assemblies, agreed upon the following</w:t>
      </w:r>
      <w:r w:rsidRPr="005A0D6D">
        <w:rPr>
          <w:sz w:val="24"/>
          <w:szCs w:val="24"/>
          <w:vertAlign w:val="superscript"/>
        </w:rPr>
        <w:footnoteReference w:id="3"/>
      </w:r>
      <w:r w:rsidRPr="005A0D6D">
        <w:rPr>
          <w:sz w:val="24"/>
          <w:szCs w:val="24"/>
        </w:rPr>
        <w:t>:</w:t>
      </w:r>
    </w:p>
    <w:p w:rsidR="005A0D6D" w:rsidRPr="005A0D6D" w:rsidRDefault="005A0D6D" w:rsidP="005A0D6D">
      <w:pPr>
        <w:autoSpaceDE w:val="0"/>
        <w:autoSpaceDN w:val="0"/>
        <w:adjustRightInd w:val="0"/>
        <w:ind w:right="720"/>
        <w:rPr>
          <w:rFonts w:eastAsia="Calibri"/>
          <w:sz w:val="24"/>
          <w:szCs w:val="24"/>
          <w:lang w:eastAsia="en-US"/>
        </w:rPr>
      </w:pPr>
    </w:p>
    <w:p w:rsidR="005A0D6D" w:rsidRPr="005A0D6D" w:rsidRDefault="005A0D6D" w:rsidP="005A0D6D">
      <w:pPr>
        <w:autoSpaceDE w:val="0"/>
        <w:autoSpaceDN w:val="0"/>
        <w:adjustRightInd w:val="0"/>
        <w:ind w:left="720" w:right="900"/>
        <w:rPr>
          <w:rFonts w:eastAsia="Calibri"/>
          <w:sz w:val="24"/>
          <w:szCs w:val="24"/>
          <w:lang w:eastAsia="en-US"/>
        </w:rPr>
      </w:pPr>
      <w:r w:rsidRPr="005A0D6D">
        <w:rPr>
          <w:rFonts w:eastAsia="Calibri"/>
          <w:sz w:val="24"/>
          <w:szCs w:val="24"/>
          <w:lang w:eastAsia="en-US"/>
        </w:rPr>
        <w:t xml:space="preserve">“The Assemblies of WIPO, each as far as it is concerned: </w:t>
      </w:r>
    </w:p>
    <w:p w:rsidR="005A0D6D" w:rsidRPr="005A0D6D" w:rsidRDefault="005A0D6D" w:rsidP="005A0D6D">
      <w:pPr>
        <w:autoSpaceDE w:val="0"/>
        <w:autoSpaceDN w:val="0"/>
        <w:adjustRightInd w:val="0"/>
        <w:ind w:left="720" w:right="900"/>
        <w:rPr>
          <w:rFonts w:eastAsia="Calibri"/>
          <w:sz w:val="24"/>
          <w:szCs w:val="24"/>
          <w:lang w:eastAsia="en-US"/>
        </w:rPr>
      </w:pPr>
    </w:p>
    <w:p w:rsidR="005A0D6D" w:rsidRPr="005A0D6D" w:rsidRDefault="005A0D6D" w:rsidP="005A0D6D">
      <w:pPr>
        <w:autoSpaceDE w:val="0"/>
        <w:autoSpaceDN w:val="0"/>
        <w:adjustRightInd w:val="0"/>
        <w:ind w:left="720" w:right="900"/>
        <w:rPr>
          <w:rFonts w:eastAsia="Calibri"/>
          <w:sz w:val="24"/>
          <w:szCs w:val="24"/>
          <w:lang w:eastAsia="en-US"/>
        </w:rPr>
      </w:pPr>
      <w:r w:rsidRPr="005A0D6D">
        <w:rPr>
          <w:rFonts w:eastAsia="Calibri"/>
          <w:sz w:val="24"/>
          <w:szCs w:val="24"/>
          <w:lang w:eastAsia="en-US"/>
        </w:rPr>
        <w:t>(</w:t>
      </w:r>
      <w:proofErr w:type="spellStart"/>
      <w:r w:rsidRPr="005A0D6D">
        <w:rPr>
          <w:rFonts w:eastAsia="Calibri"/>
          <w:sz w:val="24"/>
          <w:szCs w:val="24"/>
          <w:lang w:eastAsia="en-US"/>
        </w:rPr>
        <w:t>i</w:t>
      </w:r>
      <w:proofErr w:type="spellEnd"/>
      <w:r w:rsidRPr="005A0D6D">
        <w:rPr>
          <w:rFonts w:eastAsia="Calibri"/>
          <w:sz w:val="24"/>
          <w:szCs w:val="24"/>
          <w:lang w:eastAsia="en-US"/>
        </w:rPr>
        <w:t>) Agreed to approve the Proposed Program and Budget for the 2018/19 biennium (document A/57/6);</w:t>
      </w:r>
    </w:p>
    <w:p w:rsidR="005A0D6D" w:rsidRPr="005A0D6D" w:rsidRDefault="005A0D6D" w:rsidP="005A0D6D">
      <w:pPr>
        <w:autoSpaceDE w:val="0"/>
        <w:autoSpaceDN w:val="0"/>
        <w:adjustRightInd w:val="0"/>
        <w:ind w:left="720" w:right="900"/>
        <w:rPr>
          <w:rFonts w:eastAsia="Calibri"/>
          <w:sz w:val="24"/>
          <w:szCs w:val="24"/>
          <w:lang w:eastAsia="en-US"/>
        </w:rPr>
      </w:pPr>
    </w:p>
    <w:p w:rsidR="005A0D6D" w:rsidRPr="005A0D6D" w:rsidRDefault="005A0D6D" w:rsidP="005A0D6D">
      <w:pPr>
        <w:autoSpaceDE w:val="0"/>
        <w:autoSpaceDN w:val="0"/>
        <w:adjustRightInd w:val="0"/>
        <w:ind w:left="720" w:right="900"/>
        <w:rPr>
          <w:rFonts w:eastAsia="Calibri"/>
          <w:sz w:val="24"/>
          <w:szCs w:val="24"/>
          <w:lang w:eastAsia="en-US"/>
        </w:rPr>
      </w:pPr>
      <w:r w:rsidRPr="005A0D6D">
        <w:rPr>
          <w:rFonts w:eastAsia="Calibri"/>
          <w:sz w:val="24"/>
          <w:szCs w:val="24"/>
          <w:lang w:eastAsia="en-US"/>
        </w:rPr>
        <w:t>(ii) Recalled that, in accordance with the Treaties of the fee-financed Unions, each Union should have revenue sufficient to cover its own expenses;</w:t>
      </w:r>
    </w:p>
    <w:p w:rsidR="005A0D6D" w:rsidRPr="005A0D6D" w:rsidRDefault="005A0D6D" w:rsidP="005A0D6D">
      <w:pPr>
        <w:autoSpaceDE w:val="0"/>
        <w:autoSpaceDN w:val="0"/>
        <w:adjustRightInd w:val="0"/>
        <w:ind w:left="720" w:right="900"/>
        <w:rPr>
          <w:rFonts w:eastAsia="Calibri"/>
          <w:sz w:val="24"/>
          <w:szCs w:val="24"/>
          <w:lang w:eastAsia="en-US"/>
        </w:rPr>
      </w:pPr>
    </w:p>
    <w:p w:rsidR="005A0D6D" w:rsidRPr="005A0D6D" w:rsidRDefault="005A0D6D" w:rsidP="005A0D6D">
      <w:pPr>
        <w:autoSpaceDE w:val="0"/>
        <w:autoSpaceDN w:val="0"/>
        <w:adjustRightInd w:val="0"/>
        <w:ind w:left="720" w:right="900"/>
        <w:rPr>
          <w:rFonts w:eastAsia="Calibri"/>
          <w:sz w:val="24"/>
          <w:szCs w:val="24"/>
          <w:lang w:eastAsia="en-US"/>
        </w:rPr>
      </w:pPr>
      <w:r w:rsidRPr="005A0D6D">
        <w:rPr>
          <w:rFonts w:eastAsia="Calibri"/>
          <w:sz w:val="24"/>
          <w:szCs w:val="24"/>
          <w:lang w:eastAsia="en-US"/>
        </w:rPr>
        <w:t xml:space="preserve">(iii) </w:t>
      </w:r>
      <w:r w:rsidRPr="005A0D6D">
        <w:rPr>
          <w:rFonts w:eastAsia="Calibri"/>
          <w:b/>
          <w:i/>
          <w:sz w:val="24"/>
          <w:szCs w:val="24"/>
          <w:lang w:eastAsia="en-US"/>
        </w:rPr>
        <w:t>Noted that fee-financed Unions with a projected biennial deficit in the 2018/19 biennium should examine measures in accordance with its own treaty to address that deficit</w:t>
      </w:r>
      <w:r w:rsidRPr="005A0D6D">
        <w:rPr>
          <w:rFonts w:eastAsia="Calibri"/>
          <w:sz w:val="24"/>
          <w:szCs w:val="24"/>
          <w:lang w:eastAsia="en-US"/>
        </w:rPr>
        <w:t>;</w:t>
      </w:r>
    </w:p>
    <w:p w:rsidR="005A0D6D" w:rsidRPr="005A0D6D" w:rsidRDefault="005A0D6D" w:rsidP="005A0D6D">
      <w:pPr>
        <w:autoSpaceDE w:val="0"/>
        <w:autoSpaceDN w:val="0"/>
        <w:adjustRightInd w:val="0"/>
        <w:ind w:left="720" w:right="900"/>
        <w:rPr>
          <w:rFonts w:eastAsia="Calibri"/>
          <w:sz w:val="24"/>
          <w:szCs w:val="24"/>
          <w:lang w:eastAsia="en-US"/>
        </w:rPr>
      </w:pPr>
    </w:p>
    <w:p w:rsidR="005A0D6D" w:rsidRPr="005A0D6D" w:rsidRDefault="005A0D6D" w:rsidP="005A0D6D">
      <w:pPr>
        <w:autoSpaceDE w:val="0"/>
        <w:autoSpaceDN w:val="0"/>
        <w:adjustRightInd w:val="0"/>
        <w:ind w:left="720" w:right="900"/>
        <w:rPr>
          <w:rFonts w:eastAsia="Calibri"/>
          <w:sz w:val="24"/>
          <w:szCs w:val="24"/>
          <w:lang w:eastAsia="en-US"/>
        </w:rPr>
      </w:pPr>
      <w:r w:rsidRPr="005A0D6D">
        <w:rPr>
          <w:rFonts w:eastAsia="Calibri"/>
          <w:sz w:val="24"/>
          <w:szCs w:val="24"/>
          <w:lang w:eastAsia="en-US"/>
        </w:rPr>
        <w:t>(iv) Noted that if any Union in any given biennium does not have sufficient revenue and reserves to cover its projected expenses, the amount required to fund the operations of such Union is provided from the net assets of the Organization and is disclosed in the financial statements of the Organization and is to be repaid when the reserves of such Union allow it to do so;</w:t>
      </w:r>
    </w:p>
    <w:p w:rsidR="005A0D6D" w:rsidRPr="005A0D6D" w:rsidRDefault="005A0D6D" w:rsidP="005A0D6D">
      <w:pPr>
        <w:autoSpaceDE w:val="0"/>
        <w:autoSpaceDN w:val="0"/>
        <w:adjustRightInd w:val="0"/>
        <w:ind w:left="720" w:right="900"/>
        <w:rPr>
          <w:rFonts w:eastAsia="Calibri"/>
          <w:sz w:val="24"/>
          <w:szCs w:val="24"/>
          <w:lang w:eastAsia="en-US"/>
        </w:rPr>
      </w:pPr>
    </w:p>
    <w:p w:rsidR="005A0D6D" w:rsidRPr="005A0D6D" w:rsidRDefault="005A0D6D" w:rsidP="005A0D6D">
      <w:pPr>
        <w:autoSpaceDE w:val="0"/>
        <w:autoSpaceDN w:val="0"/>
        <w:adjustRightInd w:val="0"/>
        <w:ind w:left="720" w:right="900"/>
        <w:rPr>
          <w:rFonts w:eastAsia="Calibri"/>
          <w:sz w:val="24"/>
          <w:szCs w:val="24"/>
          <w:lang w:eastAsia="en-US"/>
        </w:rPr>
      </w:pPr>
      <w:r w:rsidRPr="005A0D6D">
        <w:rPr>
          <w:rFonts w:eastAsia="Calibri"/>
          <w:sz w:val="24"/>
          <w:szCs w:val="24"/>
          <w:lang w:eastAsia="en-US"/>
        </w:rPr>
        <w:t>(v) Decided that in accordance with (iv) above, for the 2018/19 biennium, if any fee-financed Union does not have sufficient revenue to cover its expenses, the required amount mentioned in (iv) shall be provided from the reserves of the Contribution-financed Unions, if those reserves are fully sufficient, otherwise from the reserves of the other Fee-financed Unions.”  (Emphasis added)</w:t>
      </w:r>
    </w:p>
    <w:p w:rsidR="005A0D6D" w:rsidRPr="005A0D6D" w:rsidRDefault="005A0D6D" w:rsidP="005A0D6D">
      <w:pPr>
        <w:autoSpaceDE w:val="0"/>
        <w:autoSpaceDN w:val="0"/>
        <w:adjustRightInd w:val="0"/>
        <w:ind w:left="720" w:right="720"/>
        <w:rPr>
          <w:rFonts w:eastAsia="Calibri"/>
          <w:sz w:val="24"/>
          <w:szCs w:val="24"/>
          <w:lang w:eastAsia="en-US"/>
        </w:rPr>
      </w:pPr>
    </w:p>
    <w:p w:rsidR="005A0D6D" w:rsidRPr="005A0D6D" w:rsidRDefault="005A0D6D" w:rsidP="005A0D6D">
      <w:pPr>
        <w:rPr>
          <w:sz w:val="24"/>
          <w:szCs w:val="24"/>
        </w:rPr>
      </w:pPr>
      <w:r w:rsidRPr="005A0D6D">
        <w:rPr>
          <w:rFonts w:eastAsia="Calibri"/>
          <w:sz w:val="24"/>
          <w:szCs w:val="24"/>
          <w:lang w:eastAsia="en-US"/>
        </w:rPr>
        <w:t xml:space="preserve">Annex III of the Program and Budget for 2018/19 biennium shows the Budget of Unions, and clearly shows that the Hague Union has a projected biennial deficit.  The Hague Union projects an income of 12,324,000 CHF, well below its projected expenses of 26,238,000 Swiss Francs.  </w:t>
      </w:r>
      <w:r w:rsidRPr="005A0D6D">
        <w:rPr>
          <w:sz w:val="24"/>
          <w:szCs w:val="24"/>
        </w:rPr>
        <w:t xml:space="preserve">From the Table, one can see that the Hague </w:t>
      </w:r>
      <w:r w:rsidRPr="005A0D6D">
        <w:rPr>
          <w:sz w:val="24"/>
          <w:szCs w:val="24"/>
        </w:rPr>
        <w:lastRenderedPageBreak/>
        <w:t xml:space="preserve">Union is not alone in having a deficit. The Lisbon Union and the contribution-financed (CF) Unions also project deficits.  </w:t>
      </w:r>
    </w:p>
    <w:p w:rsidR="005A0D6D" w:rsidRPr="005A0D6D" w:rsidRDefault="005A0D6D" w:rsidP="005A0D6D">
      <w:pPr>
        <w:autoSpaceDE w:val="0"/>
        <w:autoSpaceDN w:val="0"/>
        <w:adjustRightInd w:val="0"/>
        <w:ind w:firstLine="720"/>
        <w:rPr>
          <w:b/>
          <w:sz w:val="24"/>
          <w:szCs w:val="24"/>
        </w:rPr>
      </w:pPr>
    </w:p>
    <w:p w:rsidR="005A0D6D" w:rsidRPr="005A0D6D" w:rsidRDefault="005A0D6D" w:rsidP="005A0D6D">
      <w:pPr>
        <w:jc w:val="center"/>
        <w:rPr>
          <w:b/>
          <w:sz w:val="24"/>
          <w:szCs w:val="24"/>
        </w:rPr>
      </w:pPr>
    </w:p>
    <w:p w:rsidR="005A0D6D" w:rsidRPr="005A0D6D" w:rsidRDefault="005A0D6D" w:rsidP="005A0D6D">
      <w:pPr>
        <w:jc w:val="center"/>
        <w:rPr>
          <w:b/>
          <w:sz w:val="24"/>
          <w:szCs w:val="24"/>
        </w:rPr>
      </w:pPr>
      <w:r w:rsidRPr="005A0D6D">
        <w:rPr>
          <w:b/>
          <w:sz w:val="24"/>
          <w:szCs w:val="24"/>
        </w:rPr>
        <w:t>Table 11:  Overall Scenario by Union</w:t>
      </w:r>
    </w:p>
    <w:p w:rsidR="005A0D6D" w:rsidRPr="005A0D6D" w:rsidRDefault="005A0D6D" w:rsidP="005A0D6D">
      <w:pPr>
        <w:keepNext/>
        <w:keepLines/>
        <w:jc w:val="center"/>
        <w:rPr>
          <w:i/>
          <w:sz w:val="24"/>
          <w:szCs w:val="24"/>
        </w:rPr>
      </w:pPr>
      <w:r w:rsidRPr="005A0D6D">
        <w:rPr>
          <w:sz w:val="24"/>
          <w:szCs w:val="24"/>
        </w:rPr>
        <w:t>(</w:t>
      </w:r>
      <w:proofErr w:type="gramStart"/>
      <w:r w:rsidRPr="005A0D6D">
        <w:rPr>
          <w:i/>
          <w:sz w:val="24"/>
          <w:szCs w:val="24"/>
        </w:rPr>
        <w:t>in</w:t>
      </w:r>
      <w:proofErr w:type="gramEnd"/>
      <w:r w:rsidRPr="005A0D6D">
        <w:rPr>
          <w:i/>
          <w:sz w:val="24"/>
          <w:szCs w:val="24"/>
        </w:rPr>
        <w:t xml:space="preserve"> thousands of Swiss francs)</w:t>
      </w:r>
    </w:p>
    <w:p w:rsidR="005A0D6D" w:rsidRPr="005A0D6D" w:rsidRDefault="005A0D6D" w:rsidP="005A0D6D">
      <w:pPr>
        <w:jc w:val="center"/>
        <w:rPr>
          <w:rFonts w:ascii="Times New Roman" w:eastAsia="Times New Roman" w:hAnsi="Times New Roman" w:cs="Times New Roman"/>
          <w:bCs/>
          <w:sz w:val="24"/>
          <w:szCs w:val="24"/>
          <w:lang w:eastAsia="ja-JP"/>
        </w:rPr>
      </w:pPr>
      <w:r w:rsidRPr="005A0D6D">
        <w:rPr>
          <w:noProof/>
          <w:sz w:val="24"/>
          <w:szCs w:val="24"/>
          <w:lang w:eastAsia="en-US"/>
        </w:rPr>
        <w:drawing>
          <wp:inline distT="0" distB="0" distL="0" distR="0" wp14:anchorId="537DD608" wp14:editId="1D88E007">
            <wp:extent cx="5848049" cy="19604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202" cy="1960524"/>
                    </a:xfrm>
                    <a:prstGeom prst="rect">
                      <a:avLst/>
                    </a:prstGeom>
                    <a:noFill/>
                    <a:ln>
                      <a:noFill/>
                    </a:ln>
                  </pic:spPr>
                </pic:pic>
              </a:graphicData>
            </a:graphic>
          </wp:inline>
        </w:drawing>
      </w:r>
    </w:p>
    <w:p w:rsidR="005A0D6D" w:rsidRPr="005A0D6D" w:rsidRDefault="005A0D6D" w:rsidP="005A0D6D">
      <w:pPr>
        <w:spacing w:before="120"/>
        <w:rPr>
          <w:rFonts w:eastAsia="Times New Roman"/>
          <w:i/>
          <w:iCs/>
          <w:sz w:val="24"/>
          <w:szCs w:val="24"/>
          <w:lang w:eastAsia="en-US"/>
        </w:rPr>
      </w:pPr>
      <w:r w:rsidRPr="005A0D6D">
        <w:rPr>
          <w:rFonts w:eastAsia="Times New Roman"/>
          <w:i/>
          <w:iCs/>
          <w:sz w:val="24"/>
          <w:szCs w:val="24"/>
          <w:lang w:eastAsia="en-US"/>
        </w:rPr>
        <w:t>*</w:t>
      </w:r>
      <w:r w:rsidRPr="005A0D6D">
        <w:rPr>
          <w:rFonts w:eastAsia="Times New Roman"/>
          <w:i/>
          <w:iCs/>
          <w:sz w:val="18"/>
          <w:szCs w:val="18"/>
          <w:lang w:eastAsia="en-US"/>
        </w:rPr>
        <w:t>RWCF targets are calculated as percent of the biennial budgetary expenditure for each Union</w:t>
      </w:r>
    </w:p>
    <w:p w:rsidR="005A0D6D" w:rsidRPr="005A0D6D" w:rsidRDefault="005A0D6D" w:rsidP="005A0D6D">
      <w:pPr>
        <w:spacing w:before="120"/>
        <w:rPr>
          <w:rFonts w:eastAsia="Times New Roman"/>
          <w:i/>
          <w:iCs/>
          <w:sz w:val="24"/>
          <w:szCs w:val="24"/>
          <w:lang w:eastAsia="en-US"/>
        </w:rPr>
      </w:pPr>
    </w:p>
    <w:p w:rsidR="005A0D6D" w:rsidRPr="005A0D6D" w:rsidRDefault="005A0D6D" w:rsidP="005A0D6D">
      <w:pPr>
        <w:autoSpaceDE w:val="0"/>
        <w:autoSpaceDN w:val="0"/>
        <w:adjustRightInd w:val="0"/>
        <w:ind w:firstLine="720"/>
        <w:rPr>
          <w:rFonts w:eastAsia="Calibri"/>
          <w:sz w:val="24"/>
          <w:szCs w:val="24"/>
          <w:lang w:eastAsia="en-US"/>
        </w:rPr>
      </w:pPr>
    </w:p>
    <w:p w:rsidR="005A0D6D" w:rsidRPr="005A0D6D" w:rsidRDefault="005A0D6D" w:rsidP="005A0D6D">
      <w:pPr>
        <w:autoSpaceDE w:val="0"/>
        <w:autoSpaceDN w:val="0"/>
        <w:adjustRightInd w:val="0"/>
        <w:rPr>
          <w:rFonts w:eastAsia="Calibri"/>
          <w:i/>
          <w:sz w:val="24"/>
          <w:szCs w:val="24"/>
          <w:lang w:eastAsia="en-US"/>
        </w:rPr>
      </w:pPr>
      <w:r w:rsidRPr="005A0D6D">
        <w:rPr>
          <w:i/>
          <w:sz w:val="24"/>
          <w:szCs w:val="24"/>
        </w:rPr>
        <w:t>Consideration of Fees at the Hague Working Group</w:t>
      </w:r>
    </w:p>
    <w:p w:rsidR="005A0D6D" w:rsidRPr="005A0D6D" w:rsidRDefault="005A0D6D" w:rsidP="005A0D6D"/>
    <w:p w:rsidR="005A0D6D" w:rsidRPr="005A0D6D" w:rsidRDefault="005A0D6D" w:rsidP="005A0D6D">
      <w:pPr>
        <w:rPr>
          <w:sz w:val="24"/>
          <w:szCs w:val="24"/>
        </w:rPr>
      </w:pPr>
      <w:r w:rsidRPr="005A0D6D">
        <w:tab/>
      </w:r>
      <w:r w:rsidRPr="005A0D6D">
        <w:rPr>
          <w:sz w:val="24"/>
          <w:szCs w:val="24"/>
        </w:rPr>
        <w:t xml:space="preserve">An agenda item addressing fees with respect to </w:t>
      </w:r>
      <w:proofErr w:type="gramStart"/>
      <w:r w:rsidRPr="005A0D6D">
        <w:rPr>
          <w:sz w:val="24"/>
          <w:szCs w:val="24"/>
        </w:rPr>
        <w:t>the</w:t>
      </w:r>
      <w:proofErr w:type="gramEnd"/>
      <w:r w:rsidRPr="005A0D6D">
        <w:rPr>
          <w:sz w:val="24"/>
          <w:szCs w:val="24"/>
        </w:rPr>
        <w:t xml:space="preserve"> Hague system was originally included in earlier versions of the draft agenda for the seventh session of the Hague Working Group, but this agenda item subsequently was not included in the most recent draft.</w:t>
      </w:r>
      <w:r w:rsidRPr="005A0D6D">
        <w:rPr>
          <w:sz w:val="24"/>
          <w:szCs w:val="24"/>
          <w:vertAlign w:val="superscript"/>
        </w:rPr>
        <w:footnoteReference w:id="4"/>
      </w:r>
      <w:r w:rsidRPr="005A0D6D">
        <w:rPr>
          <w:sz w:val="24"/>
          <w:szCs w:val="24"/>
        </w:rPr>
        <w:t xml:space="preserve"> </w:t>
      </w:r>
    </w:p>
    <w:p w:rsidR="005A0D6D" w:rsidRPr="005A0D6D" w:rsidRDefault="005A0D6D" w:rsidP="005A0D6D">
      <w:pPr>
        <w:rPr>
          <w:sz w:val="24"/>
          <w:szCs w:val="24"/>
        </w:rPr>
      </w:pPr>
    </w:p>
    <w:p w:rsidR="005A0D6D" w:rsidRPr="005A0D6D" w:rsidRDefault="005A0D6D" w:rsidP="005A0D6D">
      <w:pPr>
        <w:ind w:firstLine="720"/>
        <w:rPr>
          <w:sz w:val="24"/>
          <w:szCs w:val="24"/>
        </w:rPr>
      </w:pPr>
      <w:r w:rsidRPr="005A0D6D">
        <w:rPr>
          <w:sz w:val="24"/>
          <w:szCs w:val="24"/>
        </w:rPr>
        <w:t>To ensure that the mandate of the WIPO Assemblies, including the Hague Union Assembly, is carried out – namely the consideration of measures in accordance with the Hague Agreement to address the Hague Union budget deficit – the United States proposes that the Hague Working Group initiate, as a top priority, a comprehensive review of the fee structure and current fees of the Hague System, and examine measures to address the deficit.</w:t>
      </w:r>
    </w:p>
    <w:p w:rsidR="005A0D6D" w:rsidRPr="005A0D6D" w:rsidRDefault="005A0D6D" w:rsidP="005A0D6D">
      <w:pPr>
        <w:rPr>
          <w:sz w:val="24"/>
          <w:szCs w:val="24"/>
        </w:rPr>
      </w:pPr>
    </w:p>
    <w:p w:rsidR="005A0D6D" w:rsidRDefault="005A0D6D" w:rsidP="005A0D6D">
      <w:pPr>
        <w:ind w:firstLine="720"/>
        <w:rPr>
          <w:sz w:val="24"/>
          <w:szCs w:val="24"/>
        </w:rPr>
      </w:pPr>
      <w:r w:rsidRPr="005A0D6D">
        <w:rPr>
          <w:sz w:val="24"/>
          <w:szCs w:val="24"/>
        </w:rPr>
        <w:t>The United States believes that such measures could be taken, over time, to address the budget deficit of the Hague Union consistent with the mandate of the WIPO Assemblies and the financial provisions of the Hague Convention.</w:t>
      </w:r>
    </w:p>
    <w:p w:rsidR="00C9449F" w:rsidRPr="005A0D6D" w:rsidRDefault="00C9449F" w:rsidP="00C9449F">
      <w:pPr>
        <w:pStyle w:val="Endofdocument-Annex"/>
        <w:spacing w:before="720"/>
      </w:pPr>
      <w:r>
        <w:t>[End of Annex and of document]</w:t>
      </w:r>
    </w:p>
    <w:sectPr w:rsidR="00C9449F" w:rsidRPr="005A0D6D" w:rsidSect="00C9449F">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6D" w:rsidRDefault="005A0D6D">
      <w:r>
        <w:separator/>
      </w:r>
    </w:p>
  </w:endnote>
  <w:endnote w:type="continuationSeparator" w:id="0">
    <w:p w:rsidR="005A0D6D" w:rsidRDefault="005A0D6D" w:rsidP="003B38C1">
      <w:r>
        <w:separator/>
      </w:r>
    </w:p>
    <w:p w:rsidR="005A0D6D" w:rsidRPr="003B38C1" w:rsidRDefault="005A0D6D" w:rsidP="003B38C1">
      <w:pPr>
        <w:spacing w:after="60"/>
        <w:rPr>
          <w:sz w:val="17"/>
        </w:rPr>
      </w:pPr>
      <w:r>
        <w:rPr>
          <w:sz w:val="17"/>
        </w:rPr>
        <w:t>[Endnote continued from previous page]</w:t>
      </w:r>
    </w:p>
  </w:endnote>
  <w:endnote w:type="continuationNotice" w:id="1">
    <w:p w:rsidR="005A0D6D" w:rsidRPr="003B38C1" w:rsidRDefault="005A0D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915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05" w:rsidRPr="005A0D6D" w:rsidRDefault="00915004" w:rsidP="005A0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915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6D" w:rsidRDefault="005A0D6D">
      <w:r>
        <w:separator/>
      </w:r>
    </w:p>
  </w:footnote>
  <w:footnote w:type="continuationSeparator" w:id="0">
    <w:p w:rsidR="005A0D6D" w:rsidRDefault="005A0D6D" w:rsidP="008B60B2">
      <w:r>
        <w:separator/>
      </w:r>
    </w:p>
    <w:p w:rsidR="005A0D6D" w:rsidRPr="00ED77FB" w:rsidRDefault="005A0D6D" w:rsidP="008B60B2">
      <w:pPr>
        <w:spacing w:after="60"/>
        <w:rPr>
          <w:sz w:val="17"/>
          <w:szCs w:val="17"/>
        </w:rPr>
      </w:pPr>
      <w:r w:rsidRPr="00ED77FB">
        <w:rPr>
          <w:sz w:val="17"/>
          <w:szCs w:val="17"/>
        </w:rPr>
        <w:t>[Footnote continued from previous page]</w:t>
      </w:r>
    </w:p>
  </w:footnote>
  <w:footnote w:type="continuationNotice" w:id="1">
    <w:p w:rsidR="005A0D6D" w:rsidRPr="00ED77FB" w:rsidRDefault="005A0D6D" w:rsidP="008B60B2">
      <w:pPr>
        <w:spacing w:before="60"/>
        <w:jc w:val="right"/>
        <w:rPr>
          <w:sz w:val="17"/>
          <w:szCs w:val="17"/>
        </w:rPr>
      </w:pPr>
      <w:r w:rsidRPr="00ED77FB">
        <w:rPr>
          <w:sz w:val="17"/>
          <w:szCs w:val="17"/>
        </w:rPr>
        <w:t>[Footnote continued on next page]</w:t>
      </w:r>
    </w:p>
  </w:footnote>
  <w:footnote w:id="2">
    <w:p w:rsidR="005A0D6D" w:rsidRDefault="005A0D6D" w:rsidP="005A0D6D">
      <w:pPr>
        <w:pStyle w:val="FootnoteText"/>
      </w:pPr>
      <w:r>
        <w:rPr>
          <w:rStyle w:val="FootnoteReference"/>
        </w:rPr>
        <w:footnoteRef/>
      </w:r>
      <w:r>
        <w:t xml:space="preserve"> See </w:t>
      </w:r>
      <w:r>
        <w:rPr>
          <w:rFonts w:eastAsiaTheme="minorHAnsi"/>
          <w:sz w:val="21"/>
          <w:szCs w:val="21"/>
          <w:lang w:eastAsia="en-US"/>
        </w:rPr>
        <w:t>paragraph 88 of document A/57/12 (General Report).</w:t>
      </w:r>
    </w:p>
  </w:footnote>
  <w:footnote w:id="3">
    <w:p w:rsidR="005A0D6D" w:rsidRDefault="005A0D6D" w:rsidP="005A0D6D">
      <w:pPr>
        <w:autoSpaceDE w:val="0"/>
        <w:autoSpaceDN w:val="0"/>
        <w:adjustRightInd w:val="0"/>
        <w:rPr>
          <w:rFonts w:eastAsiaTheme="minorHAnsi"/>
          <w:sz w:val="21"/>
          <w:szCs w:val="21"/>
          <w:lang w:eastAsia="en-US"/>
        </w:rPr>
      </w:pPr>
      <w:r>
        <w:rPr>
          <w:rStyle w:val="FootnoteReference"/>
        </w:rPr>
        <w:footnoteRef/>
      </w:r>
      <w:r>
        <w:t xml:space="preserve"> </w:t>
      </w:r>
      <w:r>
        <w:rPr>
          <w:rFonts w:eastAsiaTheme="minorHAnsi"/>
          <w:sz w:val="21"/>
          <w:szCs w:val="21"/>
          <w:lang w:eastAsia="en-US"/>
        </w:rPr>
        <w:t xml:space="preserve"> Id.</w:t>
      </w:r>
    </w:p>
    <w:p w:rsidR="005A0D6D" w:rsidRDefault="005A0D6D" w:rsidP="005A0D6D">
      <w:pPr>
        <w:pStyle w:val="FootnoteText"/>
      </w:pPr>
    </w:p>
  </w:footnote>
  <w:footnote w:id="4">
    <w:p w:rsidR="005A0D6D" w:rsidRDefault="005A0D6D" w:rsidP="005A0D6D">
      <w:pPr>
        <w:pStyle w:val="FootnoteText"/>
      </w:pPr>
      <w:r>
        <w:rPr>
          <w:rStyle w:val="FootnoteReference"/>
        </w:rPr>
        <w:footnoteRef/>
      </w:r>
      <w:r>
        <w:t xml:space="preserve"> The topic of budget expenses, however, is included on the agenda for this meeting in relation to the language regime of the Hague System.  The context, H/LD/WG/7/INF/2 - consideration of additional languages - is a measure that would worsen rather than improve the budget shortfall of the Hague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A0D6D" w:rsidP="00477D6B">
    <w:pPr>
      <w:jc w:val="right"/>
    </w:pPr>
    <w:bookmarkStart w:id="6" w:name="Code2"/>
    <w:bookmarkEnd w:id="6"/>
    <w:r>
      <w:t>H/LD/WG/7/9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15004">
      <w:rPr>
        <w:noProof/>
      </w:rPr>
      <w:t>1</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915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5A0D6D" w:rsidP="005A0D6D">
    <w:pPr>
      <w:pStyle w:val="Header"/>
      <w:jc w:val="right"/>
    </w:pPr>
    <w:r>
      <w:t>H/LD/WG/7/9</w:t>
    </w:r>
  </w:p>
  <w:p w:rsidR="005A0D6D" w:rsidRDefault="005A0D6D" w:rsidP="005A0D6D">
    <w:pPr>
      <w:pStyle w:val="Header"/>
      <w:jc w:val="right"/>
    </w:pPr>
    <w:r>
      <w:t xml:space="preserve">Annex, page </w:t>
    </w:r>
    <w:r>
      <w:fldChar w:fldCharType="begin"/>
    </w:r>
    <w:r>
      <w:instrText xml:space="preserve"> PAGE   \* MERGEFORMAT </w:instrText>
    </w:r>
    <w:r>
      <w:fldChar w:fldCharType="separate"/>
    </w:r>
    <w:r w:rsidR="00915004">
      <w:rPr>
        <w:noProof/>
      </w:rPr>
      <w:t>2</w:t>
    </w:r>
    <w:r>
      <w:rPr>
        <w:noProof/>
      </w:rPr>
      <w:fldChar w:fldCharType="end"/>
    </w:r>
  </w:p>
  <w:p w:rsidR="005A0D6D" w:rsidRDefault="005A0D6D" w:rsidP="005A0D6D">
    <w:pPr>
      <w:pStyle w:val="Header"/>
      <w:jc w:val="right"/>
    </w:pPr>
  </w:p>
  <w:p w:rsidR="005A0D6D" w:rsidRDefault="005A0D6D" w:rsidP="005A0D6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5A0D6D" w:rsidP="005A0D6D">
    <w:pPr>
      <w:pStyle w:val="Header"/>
      <w:jc w:val="right"/>
    </w:pPr>
    <w:r>
      <w:t>H/LD/WG/7/9</w:t>
    </w:r>
  </w:p>
  <w:p w:rsidR="005A0D6D" w:rsidRDefault="005A0D6D" w:rsidP="005A0D6D">
    <w:pPr>
      <w:pStyle w:val="Header"/>
      <w:jc w:val="right"/>
    </w:pPr>
    <w:r>
      <w:t>ANNEX</w:t>
    </w:r>
  </w:p>
  <w:p w:rsidR="005A0D6D" w:rsidRDefault="005A0D6D" w:rsidP="005A0D6D">
    <w:pPr>
      <w:pStyle w:val="Header"/>
      <w:jc w:val="right"/>
    </w:pPr>
  </w:p>
  <w:p w:rsidR="005A0D6D" w:rsidRDefault="005A0D6D" w:rsidP="005A0D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6D"/>
    <w:rsid w:val="00043CAA"/>
    <w:rsid w:val="00075432"/>
    <w:rsid w:val="000968ED"/>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2F4"/>
    <w:rsid w:val="003B38C1"/>
    <w:rsid w:val="00423E3E"/>
    <w:rsid w:val="00427AF4"/>
    <w:rsid w:val="004647DA"/>
    <w:rsid w:val="00474062"/>
    <w:rsid w:val="00477D6B"/>
    <w:rsid w:val="005019FF"/>
    <w:rsid w:val="0053057A"/>
    <w:rsid w:val="00560A29"/>
    <w:rsid w:val="005A0D6D"/>
    <w:rsid w:val="005C6649"/>
    <w:rsid w:val="005F29C7"/>
    <w:rsid w:val="00605827"/>
    <w:rsid w:val="00646050"/>
    <w:rsid w:val="006713CA"/>
    <w:rsid w:val="00676C5C"/>
    <w:rsid w:val="007D1613"/>
    <w:rsid w:val="007E4C0E"/>
    <w:rsid w:val="008A134B"/>
    <w:rsid w:val="008B2CC1"/>
    <w:rsid w:val="008B60B2"/>
    <w:rsid w:val="0090731E"/>
    <w:rsid w:val="00915004"/>
    <w:rsid w:val="00916EE2"/>
    <w:rsid w:val="00931644"/>
    <w:rsid w:val="00966A22"/>
    <w:rsid w:val="0096722F"/>
    <w:rsid w:val="00980843"/>
    <w:rsid w:val="009E2791"/>
    <w:rsid w:val="009E3F6F"/>
    <w:rsid w:val="009F499F"/>
    <w:rsid w:val="00A37342"/>
    <w:rsid w:val="00A42DAF"/>
    <w:rsid w:val="00A45BD8"/>
    <w:rsid w:val="00A70786"/>
    <w:rsid w:val="00A869B7"/>
    <w:rsid w:val="00AC205C"/>
    <w:rsid w:val="00AF0A6B"/>
    <w:rsid w:val="00B05A69"/>
    <w:rsid w:val="00B9734B"/>
    <w:rsid w:val="00BA30E2"/>
    <w:rsid w:val="00C11BFE"/>
    <w:rsid w:val="00C5068F"/>
    <w:rsid w:val="00C86D74"/>
    <w:rsid w:val="00C9449F"/>
    <w:rsid w:val="00CD04F1"/>
    <w:rsid w:val="00D45252"/>
    <w:rsid w:val="00D71B4D"/>
    <w:rsid w:val="00D93D55"/>
    <w:rsid w:val="00E15015"/>
    <w:rsid w:val="00E335FE"/>
    <w:rsid w:val="00EA7D6E"/>
    <w:rsid w:val="00EC4E49"/>
    <w:rsid w:val="00ED24D1"/>
    <w:rsid w:val="00ED77FB"/>
    <w:rsid w:val="00EE45FA"/>
    <w:rsid w:val="00F42CDC"/>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A0D6D"/>
    <w:rPr>
      <w:rFonts w:ascii="Tahoma" w:hAnsi="Tahoma" w:cs="Tahoma"/>
      <w:sz w:val="16"/>
      <w:szCs w:val="16"/>
    </w:rPr>
  </w:style>
  <w:style w:type="character" w:customStyle="1" w:styleId="BalloonTextChar">
    <w:name w:val="Balloon Text Char"/>
    <w:basedOn w:val="DefaultParagraphFont"/>
    <w:link w:val="BalloonText"/>
    <w:semiHidden/>
    <w:rsid w:val="005A0D6D"/>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5A0D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A0D6D"/>
    <w:rPr>
      <w:rFonts w:ascii="Tahoma" w:hAnsi="Tahoma" w:cs="Tahoma"/>
      <w:sz w:val="16"/>
      <w:szCs w:val="16"/>
    </w:rPr>
  </w:style>
  <w:style w:type="character" w:customStyle="1" w:styleId="BalloonTextChar">
    <w:name w:val="Balloon Text Char"/>
    <w:basedOn w:val="DefaultParagraphFont"/>
    <w:link w:val="BalloonText"/>
    <w:semiHidden/>
    <w:rsid w:val="005A0D6D"/>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5A0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2620">
      <w:bodyDiv w:val="1"/>
      <w:marLeft w:val="0"/>
      <w:marRight w:val="0"/>
      <w:marTop w:val="0"/>
      <w:marBottom w:val="0"/>
      <w:divBdr>
        <w:top w:val="none" w:sz="0" w:space="0" w:color="auto"/>
        <w:left w:val="none" w:sz="0" w:space="0" w:color="auto"/>
        <w:bottom w:val="none" w:sz="0" w:space="0" w:color="auto"/>
        <w:right w:val="none" w:sz="0" w:space="0" w:color="auto"/>
      </w:divBdr>
      <w:divsChild>
        <w:div w:id="1808205489">
          <w:marLeft w:val="0"/>
          <w:marRight w:val="0"/>
          <w:marTop w:val="0"/>
          <w:marBottom w:val="0"/>
          <w:divBdr>
            <w:top w:val="none" w:sz="0" w:space="0" w:color="auto"/>
            <w:left w:val="none" w:sz="0" w:space="0" w:color="auto"/>
            <w:bottom w:val="none" w:sz="0" w:space="0" w:color="auto"/>
            <w:right w:val="none" w:sz="0" w:space="0" w:color="auto"/>
          </w:divBdr>
        </w:div>
        <w:div w:id="1224869857">
          <w:marLeft w:val="0"/>
          <w:marRight w:val="0"/>
          <w:marTop w:val="0"/>
          <w:marBottom w:val="0"/>
          <w:divBdr>
            <w:top w:val="none" w:sz="0" w:space="0" w:color="auto"/>
            <w:left w:val="none" w:sz="0" w:space="0" w:color="auto"/>
            <w:bottom w:val="none" w:sz="0" w:space="0" w:color="auto"/>
            <w:right w:val="none" w:sz="0" w:space="0" w:color="auto"/>
          </w:divBdr>
        </w:div>
        <w:div w:id="1515531752">
          <w:marLeft w:val="0"/>
          <w:marRight w:val="0"/>
          <w:marTop w:val="0"/>
          <w:marBottom w:val="0"/>
          <w:divBdr>
            <w:top w:val="none" w:sz="0" w:space="0" w:color="auto"/>
            <w:left w:val="none" w:sz="0" w:space="0" w:color="auto"/>
            <w:bottom w:val="none" w:sz="0" w:space="0" w:color="auto"/>
            <w:right w:val="none" w:sz="0" w:space="0" w:color="auto"/>
          </w:divBdr>
        </w:div>
        <w:div w:id="784270261">
          <w:marLeft w:val="0"/>
          <w:marRight w:val="0"/>
          <w:marTop w:val="0"/>
          <w:marBottom w:val="0"/>
          <w:divBdr>
            <w:top w:val="none" w:sz="0" w:space="0" w:color="auto"/>
            <w:left w:val="none" w:sz="0" w:space="0" w:color="auto"/>
            <w:bottom w:val="none" w:sz="0" w:space="0" w:color="auto"/>
            <w:right w:val="none" w:sz="0" w:space="0" w:color="auto"/>
          </w:divBdr>
        </w:div>
        <w:div w:id="946696377">
          <w:marLeft w:val="0"/>
          <w:marRight w:val="0"/>
          <w:marTop w:val="0"/>
          <w:marBottom w:val="0"/>
          <w:divBdr>
            <w:top w:val="none" w:sz="0" w:space="0" w:color="auto"/>
            <w:left w:val="none" w:sz="0" w:space="0" w:color="auto"/>
            <w:bottom w:val="none" w:sz="0" w:space="0" w:color="auto"/>
            <w:right w:val="none" w:sz="0" w:space="0" w:color="auto"/>
          </w:divBdr>
        </w:div>
        <w:div w:id="297609697">
          <w:marLeft w:val="0"/>
          <w:marRight w:val="0"/>
          <w:marTop w:val="0"/>
          <w:marBottom w:val="0"/>
          <w:divBdr>
            <w:top w:val="none" w:sz="0" w:space="0" w:color="auto"/>
            <w:left w:val="none" w:sz="0" w:space="0" w:color="auto"/>
            <w:bottom w:val="none" w:sz="0" w:space="0" w:color="auto"/>
            <w:right w:val="none" w:sz="0" w:space="0" w:color="auto"/>
          </w:divBdr>
        </w:div>
        <w:div w:id="949430402">
          <w:marLeft w:val="0"/>
          <w:marRight w:val="0"/>
          <w:marTop w:val="0"/>
          <w:marBottom w:val="0"/>
          <w:divBdr>
            <w:top w:val="none" w:sz="0" w:space="0" w:color="auto"/>
            <w:left w:val="none" w:sz="0" w:space="0" w:color="auto"/>
            <w:bottom w:val="none" w:sz="0" w:space="0" w:color="auto"/>
            <w:right w:val="none" w:sz="0" w:space="0" w:color="auto"/>
          </w:divBdr>
        </w:div>
      </w:divsChild>
    </w:div>
    <w:div w:id="284193259">
      <w:bodyDiv w:val="1"/>
      <w:marLeft w:val="0"/>
      <w:marRight w:val="0"/>
      <w:marTop w:val="0"/>
      <w:marBottom w:val="0"/>
      <w:divBdr>
        <w:top w:val="none" w:sz="0" w:space="0" w:color="auto"/>
        <w:left w:val="none" w:sz="0" w:space="0" w:color="auto"/>
        <w:bottom w:val="none" w:sz="0" w:space="0" w:color="auto"/>
        <w:right w:val="none" w:sz="0" w:space="0" w:color="auto"/>
      </w:divBdr>
      <w:divsChild>
        <w:div w:id="975335161">
          <w:marLeft w:val="0"/>
          <w:marRight w:val="0"/>
          <w:marTop w:val="0"/>
          <w:marBottom w:val="0"/>
          <w:divBdr>
            <w:top w:val="none" w:sz="0" w:space="0" w:color="auto"/>
            <w:left w:val="none" w:sz="0" w:space="0" w:color="auto"/>
            <w:bottom w:val="none" w:sz="0" w:space="0" w:color="auto"/>
            <w:right w:val="none" w:sz="0" w:space="0" w:color="auto"/>
          </w:divBdr>
        </w:div>
        <w:div w:id="2022511593">
          <w:marLeft w:val="0"/>
          <w:marRight w:val="0"/>
          <w:marTop w:val="0"/>
          <w:marBottom w:val="0"/>
          <w:divBdr>
            <w:top w:val="none" w:sz="0" w:space="0" w:color="auto"/>
            <w:left w:val="none" w:sz="0" w:space="0" w:color="auto"/>
            <w:bottom w:val="none" w:sz="0" w:space="0" w:color="auto"/>
            <w:right w:val="none" w:sz="0" w:space="0" w:color="auto"/>
          </w:divBdr>
        </w:div>
        <w:div w:id="1407652201">
          <w:marLeft w:val="0"/>
          <w:marRight w:val="0"/>
          <w:marTop w:val="0"/>
          <w:marBottom w:val="0"/>
          <w:divBdr>
            <w:top w:val="none" w:sz="0" w:space="0" w:color="auto"/>
            <w:left w:val="none" w:sz="0" w:space="0" w:color="auto"/>
            <w:bottom w:val="none" w:sz="0" w:space="0" w:color="auto"/>
            <w:right w:val="none" w:sz="0" w:space="0" w:color="auto"/>
          </w:divBdr>
        </w:div>
        <w:div w:id="1915818394">
          <w:marLeft w:val="0"/>
          <w:marRight w:val="0"/>
          <w:marTop w:val="0"/>
          <w:marBottom w:val="0"/>
          <w:divBdr>
            <w:top w:val="none" w:sz="0" w:space="0" w:color="auto"/>
            <w:left w:val="none" w:sz="0" w:space="0" w:color="auto"/>
            <w:bottom w:val="none" w:sz="0" w:space="0" w:color="auto"/>
            <w:right w:val="none" w:sz="0" w:space="0" w:color="auto"/>
          </w:divBdr>
        </w:div>
        <w:div w:id="1126394603">
          <w:marLeft w:val="0"/>
          <w:marRight w:val="0"/>
          <w:marTop w:val="0"/>
          <w:marBottom w:val="0"/>
          <w:divBdr>
            <w:top w:val="none" w:sz="0" w:space="0" w:color="auto"/>
            <w:left w:val="none" w:sz="0" w:space="0" w:color="auto"/>
            <w:bottom w:val="none" w:sz="0" w:space="0" w:color="auto"/>
            <w:right w:val="none" w:sz="0" w:space="0" w:color="auto"/>
          </w:divBdr>
        </w:div>
        <w:div w:id="1886526785">
          <w:marLeft w:val="0"/>
          <w:marRight w:val="0"/>
          <w:marTop w:val="0"/>
          <w:marBottom w:val="0"/>
          <w:divBdr>
            <w:top w:val="none" w:sz="0" w:space="0" w:color="auto"/>
            <w:left w:val="none" w:sz="0" w:space="0" w:color="auto"/>
            <w:bottom w:val="none" w:sz="0" w:space="0" w:color="auto"/>
            <w:right w:val="none" w:sz="0" w:space="0" w:color="auto"/>
          </w:divBdr>
        </w:div>
        <w:div w:id="153408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(E)</Template>
  <TotalTime>13</TotalTime>
  <Pages>3</Pages>
  <Words>666</Words>
  <Characters>3484</Characters>
  <Application>Microsoft Office Word</Application>
  <DocSecurity>0</DocSecurity>
  <Lines>91</Lines>
  <Paragraphs>35</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MAILLARD Amber</dc:creator>
  <cp:lastModifiedBy>MAILLARD Amber</cp:lastModifiedBy>
  <cp:revision>7</cp:revision>
  <cp:lastPrinted>2018-07-16T07:59:00Z</cp:lastPrinted>
  <dcterms:created xsi:type="dcterms:W3CDTF">2018-07-16T07:09:00Z</dcterms:created>
  <dcterms:modified xsi:type="dcterms:W3CDTF">2018-07-16T08:00:00Z</dcterms:modified>
</cp:coreProperties>
</file>