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9" w:type="dxa"/>
        <w:tblBorders>
          <w:bottom w:val="single" w:sz="4" w:space="0" w:color="00000A"/>
          <w:insideH w:val="single" w:sz="4" w:space="0" w:color="00000A"/>
        </w:tblBorders>
        <w:tblCellMar>
          <w:bottom w:w="170" w:type="dxa"/>
        </w:tblCellMar>
        <w:tblLook w:val="01E0" w:firstRow="1" w:lastRow="1" w:firstColumn="1" w:lastColumn="1" w:noHBand="0" w:noVBand="0"/>
      </w:tblPr>
      <w:tblGrid>
        <w:gridCol w:w="4512"/>
        <w:gridCol w:w="4337"/>
        <w:gridCol w:w="507"/>
      </w:tblGrid>
      <w:tr w:rsidR="00A04226" w:rsidTr="00D6040A">
        <w:tc>
          <w:tcPr>
            <w:tcW w:w="4512" w:type="dxa"/>
            <w:tcBorders>
              <w:bottom w:val="single" w:sz="4" w:space="0" w:color="00000A"/>
            </w:tcBorders>
            <w:shd w:val="clear" w:color="auto" w:fill="auto"/>
          </w:tcPr>
          <w:p w:rsidR="00A04226" w:rsidRDefault="00A04226"/>
        </w:tc>
        <w:tc>
          <w:tcPr>
            <w:tcW w:w="4337" w:type="dxa"/>
            <w:tcBorders>
              <w:bottom w:val="single" w:sz="4" w:space="0" w:color="00000A"/>
            </w:tcBorders>
            <w:shd w:val="clear" w:color="auto" w:fill="auto"/>
            <w:tcMar>
              <w:left w:w="0" w:type="dxa"/>
              <w:bottom w:w="0" w:type="dxa"/>
              <w:right w:w="0" w:type="dxa"/>
            </w:tcMar>
          </w:tcPr>
          <w:p w:rsidR="00A04226" w:rsidRDefault="007B6808">
            <w:r>
              <w:rPr>
                <w:noProof/>
                <w:lang w:eastAsia="en-US"/>
              </w:rPr>
              <w:drawing>
                <wp:inline distT="0" distB="0" distL="0" distR="0" wp14:anchorId="1DF72280" wp14:editId="2CF355C1">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IPO-E"/>
                          <pic:cNvPicPr>
                            <a:picLocks noChangeAspect="1" noChangeArrowheads="1"/>
                          </pic:cNvPicPr>
                        </pic:nvPicPr>
                        <pic:blipFill>
                          <a:blip r:embed="rId9"/>
                          <a:stretch>
                            <a:fillRect/>
                          </a:stretch>
                        </pic:blipFill>
                        <pic:spPr bwMode="auto">
                          <a:xfrm>
                            <a:off x="0" y="0"/>
                            <a:ext cx="1857375" cy="1323975"/>
                          </a:xfrm>
                          <a:prstGeom prst="rect">
                            <a:avLst/>
                          </a:prstGeom>
                        </pic:spPr>
                      </pic:pic>
                    </a:graphicData>
                  </a:graphic>
                </wp:inline>
              </w:drawing>
            </w:r>
          </w:p>
        </w:tc>
        <w:tc>
          <w:tcPr>
            <w:tcW w:w="507" w:type="dxa"/>
            <w:tcBorders>
              <w:bottom w:val="single" w:sz="4" w:space="0" w:color="00000A"/>
            </w:tcBorders>
            <w:shd w:val="clear" w:color="auto" w:fill="auto"/>
            <w:tcMar>
              <w:left w:w="0" w:type="dxa"/>
              <w:bottom w:w="0" w:type="dxa"/>
              <w:right w:w="0" w:type="dxa"/>
            </w:tcMar>
          </w:tcPr>
          <w:p w:rsidR="00A04226" w:rsidRDefault="007B6808">
            <w:pPr>
              <w:jc w:val="right"/>
            </w:pPr>
            <w:r>
              <w:rPr>
                <w:b/>
                <w:sz w:val="40"/>
                <w:szCs w:val="40"/>
              </w:rPr>
              <w:t>E</w:t>
            </w:r>
          </w:p>
        </w:tc>
      </w:tr>
      <w:tr w:rsidR="00A04226" w:rsidTr="00D6040A">
        <w:trPr>
          <w:trHeight w:hRule="exact" w:val="340"/>
        </w:trPr>
        <w:tc>
          <w:tcPr>
            <w:tcW w:w="9356" w:type="dxa"/>
            <w:gridSpan w:val="3"/>
            <w:tcBorders>
              <w:top w:val="single" w:sz="4" w:space="0" w:color="00000A"/>
              <w:bottom w:val="nil"/>
            </w:tcBorders>
            <w:shd w:val="clear" w:color="auto" w:fill="auto"/>
            <w:tcMar>
              <w:top w:w="170" w:type="dxa"/>
              <w:left w:w="0" w:type="dxa"/>
              <w:bottom w:w="0" w:type="dxa"/>
              <w:right w:w="0" w:type="dxa"/>
            </w:tcMar>
            <w:vAlign w:val="bottom"/>
          </w:tcPr>
          <w:p w:rsidR="00A04226" w:rsidRDefault="007B6808" w:rsidP="00D6040A">
            <w:pPr>
              <w:jc w:val="right"/>
              <w:rPr>
                <w:rFonts w:ascii="Arial Black" w:hAnsi="Arial Black"/>
                <w:caps/>
                <w:sz w:val="15"/>
              </w:rPr>
            </w:pPr>
            <w:r>
              <w:rPr>
                <w:rFonts w:ascii="Arial Black" w:hAnsi="Arial Black"/>
                <w:caps/>
                <w:sz w:val="15"/>
              </w:rPr>
              <w:t>H/LD/WG/7/</w:t>
            </w:r>
            <w:bookmarkStart w:id="0" w:name="Code"/>
            <w:bookmarkEnd w:id="0"/>
            <w:r w:rsidR="00D6040A">
              <w:rPr>
                <w:rFonts w:ascii="Arial Black" w:hAnsi="Arial Black"/>
                <w:caps/>
                <w:sz w:val="15"/>
              </w:rPr>
              <w:t>8</w:t>
            </w:r>
            <w:r w:rsidR="00BB21EC">
              <w:rPr>
                <w:rFonts w:ascii="Arial Black" w:hAnsi="Arial Black"/>
                <w:caps/>
                <w:sz w:val="15"/>
              </w:rPr>
              <w:t>.</w:t>
            </w:r>
            <w:r w:rsidR="00D6040A">
              <w:rPr>
                <w:rFonts w:ascii="Arial Black" w:hAnsi="Arial Black"/>
                <w:caps/>
                <w:sz w:val="15"/>
              </w:rPr>
              <w:t xml:space="preserve">    </w:t>
            </w:r>
          </w:p>
        </w:tc>
      </w:tr>
      <w:tr w:rsidR="00A04226" w:rsidTr="00D6040A">
        <w:trPr>
          <w:trHeight w:hRule="exact" w:val="170"/>
        </w:trPr>
        <w:tc>
          <w:tcPr>
            <w:tcW w:w="9356" w:type="dxa"/>
            <w:gridSpan w:val="3"/>
            <w:tcBorders>
              <w:top w:val="nil"/>
              <w:bottom w:val="nil"/>
            </w:tcBorders>
            <w:shd w:val="clear" w:color="auto" w:fill="auto"/>
            <w:tcMar>
              <w:left w:w="0" w:type="dxa"/>
              <w:bottom w:w="0" w:type="dxa"/>
              <w:right w:w="0" w:type="dxa"/>
            </w:tcMar>
            <w:vAlign w:val="bottom"/>
          </w:tcPr>
          <w:p w:rsidR="00A04226" w:rsidRDefault="007B6808">
            <w:pPr>
              <w:jc w:val="right"/>
              <w:rPr>
                <w:rFonts w:ascii="Arial Black" w:hAnsi="Arial Black"/>
                <w:caps/>
                <w:sz w:val="15"/>
              </w:rPr>
            </w:pPr>
            <w:r>
              <w:rPr>
                <w:rFonts w:ascii="Arial Black" w:hAnsi="Arial Black"/>
                <w:caps/>
                <w:sz w:val="15"/>
              </w:rPr>
              <w:t xml:space="preserve">ORIGINAL:  </w:t>
            </w:r>
            <w:bookmarkStart w:id="1" w:name="Original"/>
            <w:bookmarkEnd w:id="1"/>
            <w:r>
              <w:rPr>
                <w:rFonts w:ascii="Arial Black" w:hAnsi="Arial Black"/>
                <w:caps/>
                <w:sz w:val="15"/>
              </w:rPr>
              <w:t>English</w:t>
            </w:r>
          </w:p>
        </w:tc>
      </w:tr>
      <w:tr w:rsidR="00A04226" w:rsidTr="00D6040A">
        <w:trPr>
          <w:trHeight w:hRule="exact" w:val="198"/>
        </w:trPr>
        <w:tc>
          <w:tcPr>
            <w:tcW w:w="9356" w:type="dxa"/>
            <w:gridSpan w:val="3"/>
            <w:tcBorders>
              <w:top w:val="nil"/>
              <w:bottom w:val="nil"/>
            </w:tcBorders>
            <w:shd w:val="clear" w:color="auto" w:fill="auto"/>
            <w:tcMar>
              <w:left w:w="0" w:type="dxa"/>
              <w:bottom w:w="0" w:type="dxa"/>
              <w:right w:w="0" w:type="dxa"/>
            </w:tcMar>
            <w:vAlign w:val="bottom"/>
          </w:tcPr>
          <w:p w:rsidR="00A04226" w:rsidRDefault="007B6808" w:rsidP="00BB21EC">
            <w:pPr>
              <w:jc w:val="right"/>
              <w:rPr>
                <w:rFonts w:ascii="Arial Black" w:hAnsi="Arial Black"/>
                <w:caps/>
                <w:sz w:val="15"/>
              </w:rPr>
            </w:pPr>
            <w:r>
              <w:rPr>
                <w:rFonts w:ascii="Arial Black" w:hAnsi="Arial Black"/>
                <w:caps/>
                <w:sz w:val="15"/>
              </w:rPr>
              <w:t xml:space="preserve">DATE: </w:t>
            </w:r>
            <w:bookmarkStart w:id="2" w:name="Date"/>
            <w:bookmarkEnd w:id="2"/>
            <w:r w:rsidRPr="00664BB1">
              <w:rPr>
                <w:rFonts w:ascii="Arial Black" w:hAnsi="Arial Black"/>
                <w:caps/>
                <w:sz w:val="15"/>
              </w:rPr>
              <w:t xml:space="preserve"> </w:t>
            </w:r>
            <w:r w:rsidR="00664BB1" w:rsidRPr="00664BB1">
              <w:rPr>
                <w:rFonts w:ascii="Arial Black" w:hAnsi="Arial Black"/>
                <w:caps/>
                <w:sz w:val="15"/>
              </w:rPr>
              <w:t>MaY</w:t>
            </w:r>
            <w:r w:rsidR="00BB21EC">
              <w:rPr>
                <w:rFonts w:ascii="Arial Black" w:hAnsi="Arial Black"/>
                <w:caps/>
                <w:sz w:val="15"/>
              </w:rPr>
              <w:t xml:space="preserve"> 8</w:t>
            </w:r>
            <w:r w:rsidRPr="00664BB1">
              <w:rPr>
                <w:rFonts w:ascii="Arial Black" w:hAnsi="Arial Black"/>
                <w:caps/>
                <w:sz w:val="15"/>
              </w:rPr>
              <w:t>, 2018</w:t>
            </w:r>
          </w:p>
        </w:tc>
      </w:tr>
    </w:tbl>
    <w:p w:rsidR="00A04226" w:rsidRDefault="007B6808" w:rsidP="00D6040A">
      <w:pPr>
        <w:spacing w:before="1200"/>
      </w:pPr>
      <w:r>
        <w:rPr>
          <w:b/>
          <w:sz w:val="28"/>
          <w:szCs w:val="28"/>
        </w:rPr>
        <w:t>Working Group on the Legal Development of the Hague System for the International Registration of Industrial Designs</w:t>
      </w:r>
    </w:p>
    <w:p w:rsidR="00A04226" w:rsidRDefault="007B6808" w:rsidP="00D6040A">
      <w:pPr>
        <w:spacing w:before="480"/>
        <w:rPr>
          <w:b/>
          <w:sz w:val="24"/>
          <w:szCs w:val="24"/>
        </w:rPr>
      </w:pPr>
      <w:r>
        <w:rPr>
          <w:b/>
          <w:sz w:val="24"/>
          <w:szCs w:val="24"/>
        </w:rPr>
        <w:t>Seventh Session</w:t>
      </w:r>
    </w:p>
    <w:p w:rsidR="00A04226" w:rsidRDefault="007B6808">
      <w:pPr>
        <w:rPr>
          <w:b/>
          <w:sz w:val="24"/>
          <w:szCs w:val="24"/>
        </w:rPr>
      </w:pPr>
      <w:r w:rsidRPr="00664BB1">
        <w:rPr>
          <w:b/>
          <w:sz w:val="24"/>
          <w:szCs w:val="24"/>
        </w:rPr>
        <w:t>Geneva, July</w:t>
      </w:r>
      <w:r w:rsidR="00664BB1" w:rsidRPr="00664BB1">
        <w:rPr>
          <w:b/>
          <w:sz w:val="24"/>
          <w:szCs w:val="24"/>
        </w:rPr>
        <w:t xml:space="preserve"> 16 to 18</w:t>
      </w:r>
      <w:r w:rsidRPr="00664BB1">
        <w:rPr>
          <w:b/>
          <w:sz w:val="24"/>
          <w:szCs w:val="24"/>
        </w:rPr>
        <w:t>, 2018</w:t>
      </w:r>
    </w:p>
    <w:p w:rsidR="00A04226" w:rsidRPr="00AD1C2D" w:rsidRDefault="007B6808" w:rsidP="00D6040A">
      <w:pPr>
        <w:spacing w:before="720"/>
        <w:rPr>
          <w:sz w:val="24"/>
          <w:szCs w:val="24"/>
        </w:rPr>
      </w:pPr>
      <w:r w:rsidRPr="00AD1C2D">
        <w:rPr>
          <w:caps/>
          <w:sz w:val="24"/>
          <w:szCs w:val="24"/>
        </w:rPr>
        <w:t>INCREASED GRANULARITY CONCERNING THE DATA IN THE INTERNATIONAL REGISTER:  Progress report</w:t>
      </w:r>
    </w:p>
    <w:p w:rsidR="00A04226" w:rsidRDefault="007B6808" w:rsidP="00D6040A">
      <w:pPr>
        <w:spacing w:before="240" w:after="960"/>
        <w:rPr>
          <w:i/>
        </w:rPr>
      </w:pPr>
      <w:bookmarkStart w:id="3" w:name="Prepared"/>
      <w:bookmarkEnd w:id="3"/>
      <w:r>
        <w:rPr>
          <w:i/>
        </w:rPr>
        <w:t>Document prepared by the International Bureau</w:t>
      </w:r>
    </w:p>
    <w:p w:rsidR="00A04226" w:rsidRPr="00D6040A" w:rsidRDefault="007B6808" w:rsidP="00D6040A">
      <w:pPr>
        <w:pStyle w:val="Heading1"/>
      </w:pPr>
      <w:r w:rsidRPr="00D6040A">
        <w:t>I.</w:t>
      </w:r>
      <w:r w:rsidRPr="00D6040A">
        <w:tab/>
        <w:t>BACKGROUND</w:t>
      </w:r>
    </w:p>
    <w:p w:rsidR="00A14B19" w:rsidRPr="00D6040A" w:rsidRDefault="00664BB1" w:rsidP="00D6040A">
      <w:pPr>
        <w:pStyle w:val="ONUME"/>
      </w:pPr>
      <w:r w:rsidRPr="00D6040A">
        <w:t>At its</w:t>
      </w:r>
      <w:r w:rsidR="007B6808" w:rsidRPr="00D6040A">
        <w:t xml:space="preserve"> sixth session</w:t>
      </w:r>
      <w:r w:rsidR="006D7E5D" w:rsidRPr="00D6040A">
        <w:t xml:space="preserve"> held in June 2016</w:t>
      </w:r>
      <w:r w:rsidRPr="00D6040A">
        <w:t>,</w:t>
      </w:r>
      <w:r w:rsidR="007B6808" w:rsidRPr="00D6040A">
        <w:t xml:space="preserve"> th</w:t>
      </w:r>
      <w:r w:rsidRPr="00D6040A">
        <w:t>e</w:t>
      </w:r>
      <w:r w:rsidR="007B6808" w:rsidRPr="00D6040A">
        <w:t xml:space="preserve"> Working Group</w:t>
      </w:r>
      <w:r w:rsidRPr="00D6040A">
        <w:t xml:space="preserve"> on the Legal Development of the Hague System for the International Registration of Industrial Deigns (hereinafter referred to as the “Working Group”)</w:t>
      </w:r>
      <w:r w:rsidR="002D79BD" w:rsidRPr="00D6040A">
        <w:t xml:space="preserve"> discussed a possible new information structure </w:t>
      </w:r>
      <w:r w:rsidR="00316547">
        <w:t>for</w:t>
      </w:r>
      <w:r w:rsidR="002D79BD" w:rsidRPr="00D6040A">
        <w:t xml:space="preserve"> the International Register</w:t>
      </w:r>
      <w:r w:rsidR="00316547">
        <w:t xml:space="preserve"> with a view to</w:t>
      </w:r>
      <w:r w:rsidR="00A14B19" w:rsidRPr="00D6040A">
        <w:t xml:space="preserve"> </w:t>
      </w:r>
      <w:r w:rsidR="00602661" w:rsidRPr="00D6040A">
        <w:t>improv</w:t>
      </w:r>
      <w:r w:rsidR="00316547">
        <w:t>ing</w:t>
      </w:r>
      <w:r w:rsidR="00A14B19" w:rsidRPr="00D6040A">
        <w:t xml:space="preserve"> the current structure</w:t>
      </w:r>
      <w:r w:rsidR="002133B6" w:rsidRPr="00D6040A">
        <w:rPr>
          <w:rStyle w:val="FootnoteReference"/>
        </w:rPr>
        <w:footnoteReference w:id="1"/>
      </w:r>
      <w:r w:rsidR="00D6040A" w:rsidRPr="00D6040A">
        <w:t>.</w:t>
      </w:r>
    </w:p>
    <w:p w:rsidR="001450DB" w:rsidRDefault="002133B6" w:rsidP="00D6040A">
      <w:pPr>
        <w:pStyle w:val="ONUME"/>
      </w:pPr>
      <w:r>
        <w:t xml:space="preserve">The Working Group considered </w:t>
      </w:r>
      <w:r w:rsidR="007B6808">
        <w:t>a series of identified technical constraints in the current information structure</w:t>
      </w:r>
      <w:r w:rsidR="004836F9">
        <w:t xml:space="preserve">. </w:t>
      </w:r>
      <w:r w:rsidR="001450DB">
        <w:t xml:space="preserve"> </w:t>
      </w:r>
      <w:r w:rsidR="004836F9">
        <w:t>The constraints</w:t>
      </w:r>
      <w:r w:rsidR="007B6808">
        <w:t xml:space="preserve"> reported by the Offices</w:t>
      </w:r>
      <w:r w:rsidR="00E122FE">
        <w:t xml:space="preserve"> of certain Contracting Parties</w:t>
      </w:r>
      <w:r w:rsidR="007B6808">
        <w:t xml:space="preserve"> </w:t>
      </w:r>
      <w:r w:rsidR="001450DB">
        <w:t xml:space="preserve">mainly </w:t>
      </w:r>
      <w:r w:rsidR="003B0531">
        <w:t>related to</w:t>
      </w:r>
      <w:r w:rsidR="00991D57">
        <w:t xml:space="preserve"> </w:t>
      </w:r>
      <w:r w:rsidR="007B6808">
        <w:t xml:space="preserve">the Locarno </w:t>
      </w:r>
      <w:r w:rsidR="00E122FE">
        <w:t xml:space="preserve">Classification </w:t>
      </w:r>
      <w:r w:rsidR="007B6808">
        <w:t>sub</w:t>
      </w:r>
      <w:r w:rsidR="00E122FE">
        <w:t>-</w:t>
      </w:r>
      <w:r w:rsidR="007B6808">
        <w:t>class, product indication and</w:t>
      </w:r>
      <w:r w:rsidR="00E122FE">
        <w:t xml:space="preserve"> the</w:t>
      </w:r>
      <w:r w:rsidR="007B6808">
        <w:t xml:space="preserve"> creator’s name and address</w:t>
      </w:r>
      <w:r w:rsidR="004C1A15">
        <w:t>,</w:t>
      </w:r>
      <w:r w:rsidR="00316547">
        <w:t xml:space="preserve"> especially when</w:t>
      </w:r>
      <w:r w:rsidR="00602661">
        <w:t xml:space="preserve"> data</w:t>
      </w:r>
      <w:r w:rsidR="00316547">
        <w:t xml:space="preserve"> has to be</w:t>
      </w:r>
      <w:r w:rsidR="004C1A15">
        <w:t xml:space="preserve"> import</w:t>
      </w:r>
      <w:r w:rsidR="00316547">
        <w:t>ed</w:t>
      </w:r>
      <w:r w:rsidR="004C1A15">
        <w:t xml:space="preserve"> into their domestic systems</w:t>
      </w:r>
      <w:r w:rsidR="007B6808">
        <w:t>.</w:t>
      </w:r>
    </w:p>
    <w:p w:rsidR="00A04226" w:rsidRPr="001002A4" w:rsidRDefault="003B0531" w:rsidP="00D6040A">
      <w:pPr>
        <w:pStyle w:val="ONUME"/>
      </w:pPr>
      <w:r>
        <w:t>In a bid</w:t>
      </w:r>
      <w:r w:rsidR="00961940">
        <w:t xml:space="preserve"> </w:t>
      </w:r>
      <w:r w:rsidR="005D0A91">
        <w:t>to</w:t>
      </w:r>
      <w:r w:rsidR="007B6808">
        <w:t xml:space="preserve"> enhanc</w:t>
      </w:r>
      <w:r>
        <w:t>e</w:t>
      </w:r>
      <w:r w:rsidR="007B6808">
        <w:t xml:space="preserve"> granularity </w:t>
      </w:r>
      <w:r>
        <w:t>and thus</w:t>
      </w:r>
      <w:r w:rsidR="007B6808">
        <w:t xml:space="preserve"> </w:t>
      </w:r>
      <w:r w:rsidR="004C1A15">
        <w:t>facilitate data importation and</w:t>
      </w:r>
      <w:r w:rsidR="00602661">
        <w:t xml:space="preserve"> </w:t>
      </w:r>
      <w:r w:rsidR="00870440">
        <w:t>foster more</w:t>
      </w:r>
      <w:r w:rsidR="00602661">
        <w:t xml:space="preserve"> opportunities in terms of the </w:t>
      </w:r>
      <w:r w:rsidR="004C1A15">
        <w:t>legal</w:t>
      </w:r>
      <w:r w:rsidR="00602661">
        <w:t xml:space="preserve"> development of the Hague System,</w:t>
      </w:r>
      <w:r w:rsidR="00991D57">
        <w:t xml:space="preserve"> the Working Group supported</w:t>
      </w:r>
      <w:r w:rsidR="007B6808">
        <w:t xml:space="preserve"> the proposed </w:t>
      </w:r>
      <w:r w:rsidR="004C1A15">
        <w:t xml:space="preserve">new </w:t>
      </w:r>
      <w:r w:rsidR="007B6808">
        <w:t>information structure</w:t>
      </w:r>
      <w:r w:rsidR="004C1A15">
        <w:t xml:space="preserve"> </w:t>
      </w:r>
      <w:r w:rsidR="00991D57">
        <w:t xml:space="preserve">that </w:t>
      </w:r>
      <w:r w:rsidR="004C1A15">
        <w:t xml:space="preserve">would </w:t>
      </w:r>
      <w:r w:rsidR="00870440">
        <w:t>facilitate</w:t>
      </w:r>
      <w:r w:rsidR="004C1A15">
        <w:t xml:space="preserve"> the storage of design</w:t>
      </w:r>
      <w:r w:rsidR="005D0A91">
        <w:t>-</w:t>
      </w:r>
      <w:r w:rsidR="004C1A15">
        <w:t>specific information in the International Register</w:t>
      </w:r>
      <w:r w:rsidR="00991D57">
        <w:t>.</w:t>
      </w:r>
      <w:r w:rsidR="001450DB">
        <w:t xml:space="preserve">  </w:t>
      </w:r>
      <w:r w:rsidR="00DE23FE">
        <w:t>Accordingly</w:t>
      </w:r>
      <w:r w:rsidR="00991D57" w:rsidRPr="001002A4">
        <w:t>, t</w:t>
      </w:r>
      <w:r w:rsidR="00602661" w:rsidRPr="001002A4">
        <w:t>he Working Group</w:t>
      </w:r>
      <w:r w:rsidR="00D637C0">
        <w:t xml:space="preserve"> further</w:t>
      </w:r>
      <w:r w:rsidR="007B6808" w:rsidRPr="001002A4">
        <w:t xml:space="preserve"> invit</w:t>
      </w:r>
      <w:r w:rsidR="00602661" w:rsidRPr="001002A4">
        <w:t>ed</w:t>
      </w:r>
      <w:r w:rsidR="007B6808" w:rsidRPr="001002A4">
        <w:t xml:space="preserve"> the International Bureau to present an analysis o</w:t>
      </w:r>
      <w:r w:rsidR="00DE23FE">
        <w:t>f</w:t>
      </w:r>
      <w:r w:rsidR="007B6808" w:rsidRPr="001002A4">
        <w:t xml:space="preserve"> </w:t>
      </w:r>
      <w:r w:rsidR="00991D57" w:rsidRPr="001002A4">
        <w:t>the</w:t>
      </w:r>
      <w:r w:rsidR="007B6808" w:rsidRPr="001002A4">
        <w:t xml:space="preserve"> practical, technical and legal implications of the proposed information structure</w:t>
      </w:r>
      <w:r w:rsidR="007C33B4">
        <w:t>.</w:t>
      </w:r>
      <w:r w:rsidR="00870440">
        <w:t xml:space="preserve">  </w:t>
      </w:r>
      <w:r w:rsidR="007C33B4">
        <w:t>T</w:t>
      </w:r>
      <w:r w:rsidR="00870440">
        <w:t>hat information is</w:t>
      </w:r>
      <w:r w:rsidR="00D637C0">
        <w:t xml:space="preserve"> presented below</w:t>
      </w:r>
      <w:r w:rsidR="000C23AF" w:rsidRPr="001002A4">
        <w:t>.</w:t>
      </w:r>
    </w:p>
    <w:p w:rsidR="00D6040A" w:rsidRDefault="00D6040A">
      <w:r>
        <w:br w:type="page"/>
      </w:r>
    </w:p>
    <w:p w:rsidR="00A04226" w:rsidRDefault="00817A33" w:rsidP="00D6040A">
      <w:pPr>
        <w:pStyle w:val="ONUME"/>
      </w:pPr>
      <w:r>
        <w:lastRenderedPageBreak/>
        <w:t xml:space="preserve">Furthermore, </w:t>
      </w:r>
      <w:r w:rsidR="007B6808">
        <w:t xml:space="preserve">in its invitation </w:t>
      </w:r>
      <w:r w:rsidR="00FD6642">
        <w:t>of April</w:t>
      </w:r>
      <w:r w:rsidR="00DE0D30">
        <w:t xml:space="preserve"> 19,</w:t>
      </w:r>
      <w:r w:rsidR="00FD6642">
        <w:t xml:space="preserve"> 2017</w:t>
      </w:r>
      <w:r w:rsidR="00AD1C2D">
        <w:t>,</w:t>
      </w:r>
      <w:r w:rsidR="003F2DA9">
        <w:t xml:space="preserve"> </w:t>
      </w:r>
      <w:r w:rsidR="00870440">
        <w:t xml:space="preserve">requesting </w:t>
      </w:r>
      <w:r w:rsidR="007B6808">
        <w:t>comment</w:t>
      </w:r>
      <w:r>
        <w:t>s</w:t>
      </w:r>
      <w:r w:rsidR="007B6808">
        <w:t xml:space="preserve"> o</w:t>
      </w:r>
      <w:r>
        <w:t>n</w:t>
      </w:r>
      <w:r w:rsidR="007B6808">
        <w:t xml:space="preserve"> the </w:t>
      </w:r>
      <w:r>
        <w:t>D</w:t>
      </w:r>
      <w:r w:rsidR="007B6808">
        <w:t xml:space="preserve">raft </w:t>
      </w:r>
      <w:r>
        <w:t>R</w:t>
      </w:r>
      <w:r w:rsidR="007B6808">
        <w:t xml:space="preserve">eport of </w:t>
      </w:r>
      <w:r w:rsidR="002D239C">
        <w:t xml:space="preserve">the </w:t>
      </w:r>
      <w:r>
        <w:t xml:space="preserve">sixth session of </w:t>
      </w:r>
      <w:r w:rsidR="007B6808">
        <w:t>the Working Group</w:t>
      </w:r>
      <w:r w:rsidR="0047410D">
        <w:rPr>
          <w:rStyle w:val="FootnoteReference"/>
        </w:rPr>
        <w:footnoteReference w:id="2"/>
      </w:r>
      <w:r w:rsidR="007B6808">
        <w:t xml:space="preserve">, </w:t>
      </w:r>
      <w:r w:rsidR="006D7E5D">
        <w:t>the Secretariat</w:t>
      </w:r>
      <w:r w:rsidR="001B229A">
        <w:t xml:space="preserve"> </w:t>
      </w:r>
      <w:r w:rsidR="00870440">
        <w:t>informed</w:t>
      </w:r>
      <w:r w:rsidR="006D7E5D">
        <w:t xml:space="preserve"> Working Group</w:t>
      </w:r>
      <w:r w:rsidR="003F2DA9">
        <w:t xml:space="preserve"> members</w:t>
      </w:r>
      <w:r w:rsidR="007B6808">
        <w:t xml:space="preserve"> that </w:t>
      </w:r>
      <w:r w:rsidR="00FD6642">
        <w:t>major</w:t>
      </w:r>
      <w:r w:rsidR="007B6808">
        <w:t xml:space="preserve"> technical developments on the </w:t>
      </w:r>
      <w:r w:rsidR="00FD6642">
        <w:t xml:space="preserve">information </w:t>
      </w:r>
      <w:r w:rsidR="007B6808">
        <w:t xml:space="preserve">structure </w:t>
      </w:r>
      <w:r w:rsidR="003F2DA9">
        <w:t>of</w:t>
      </w:r>
      <w:r w:rsidR="007B6808">
        <w:t xml:space="preserve"> the International Register were taking place under the</w:t>
      </w:r>
      <w:r w:rsidR="00790916">
        <w:t xml:space="preserve"> </w:t>
      </w:r>
      <w:r w:rsidR="007B6808">
        <w:t>XML4IP Task Force</w:t>
      </w:r>
      <w:r w:rsidR="009B4CEF">
        <w:t xml:space="preserve"> of </w:t>
      </w:r>
      <w:r w:rsidR="007B6808">
        <w:t>the Committee on WIPO Standards</w:t>
      </w:r>
      <w:r w:rsidR="006D7E5D">
        <w:t xml:space="preserve"> (CWS)</w:t>
      </w:r>
      <w:r w:rsidR="007B6808">
        <w:t>.</w:t>
      </w:r>
      <w:r w:rsidR="00C31B16">
        <w:t xml:space="preserve"> </w:t>
      </w:r>
      <w:r w:rsidR="00D6040A">
        <w:t xml:space="preserve"> </w:t>
      </w:r>
      <w:r w:rsidR="00C31B16">
        <w:t xml:space="preserve">This </w:t>
      </w:r>
      <w:r w:rsidR="00A52C37">
        <w:t>T</w:t>
      </w:r>
      <w:r w:rsidR="00C31B16">
        <w:t xml:space="preserve">ask </w:t>
      </w:r>
      <w:r w:rsidR="00A52C37">
        <w:t>F</w:t>
      </w:r>
      <w:r w:rsidR="00C31B16">
        <w:t xml:space="preserve">orce </w:t>
      </w:r>
      <w:r w:rsidR="00042743" w:rsidRPr="006E4AE7">
        <w:t xml:space="preserve">is responsible </w:t>
      </w:r>
      <w:r w:rsidR="00D6040A">
        <w:t>for</w:t>
      </w:r>
      <w:r w:rsidR="00042743" w:rsidRPr="006E4AE7">
        <w:t xml:space="preserve"> revis</w:t>
      </w:r>
      <w:r w:rsidR="00D6040A">
        <w:t>ing</w:t>
      </w:r>
      <w:r w:rsidR="00042743" w:rsidRPr="006E4AE7">
        <w:t xml:space="preserve"> WIPO Standard ST.96 </w:t>
      </w:r>
      <w:r w:rsidR="00790916">
        <w:t>“Recommendation for the processing of industrial property information using XML (</w:t>
      </w:r>
      <w:proofErr w:type="spellStart"/>
      <w:r w:rsidR="00A52C37">
        <w:t>eX</w:t>
      </w:r>
      <w:r w:rsidR="00790916">
        <w:t>tensible</w:t>
      </w:r>
      <w:proofErr w:type="spellEnd"/>
      <w:r w:rsidR="00790916">
        <w:t xml:space="preserve"> </w:t>
      </w:r>
      <w:r w:rsidR="00A52C37">
        <w:t>M</w:t>
      </w:r>
      <w:r w:rsidR="00790916">
        <w:t>arkup Language)” (hereinafter referred to as “Standard</w:t>
      </w:r>
      <w:r w:rsidR="00D6040A">
        <w:t> </w:t>
      </w:r>
      <w:r w:rsidR="00790916">
        <w:t>ST.96”).</w:t>
      </w:r>
    </w:p>
    <w:p w:rsidR="00991D57" w:rsidRPr="00991D57" w:rsidRDefault="00991D57" w:rsidP="00D6040A">
      <w:pPr>
        <w:pStyle w:val="ONUME"/>
      </w:pPr>
      <w:r>
        <w:t xml:space="preserve">This document presents a progress report on the </w:t>
      </w:r>
      <w:r w:rsidR="00FB3368">
        <w:t xml:space="preserve">above </w:t>
      </w:r>
      <w:r>
        <w:t>project.</w:t>
      </w:r>
    </w:p>
    <w:p w:rsidR="00A04226" w:rsidRDefault="007B6808" w:rsidP="00D6040A">
      <w:pPr>
        <w:pStyle w:val="Heading1"/>
        <w:spacing w:before="480"/>
      </w:pPr>
      <w:r>
        <w:t>II.</w:t>
      </w:r>
      <w:r>
        <w:tab/>
        <w:t>Implementation progress</w:t>
      </w:r>
    </w:p>
    <w:p w:rsidR="00A04226" w:rsidRDefault="007B6808" w:rsidP="00D6040A">
      <w:pPr>
        <w:pStyle w:val="ONUME"/>
      </w:pPr>
      <w:r w:rsidRPr="003A20BD">
        <w:t xml:space="preserve">The International Bureau is working on a new IT </w:t>
      </w:r>
      <w:r w:rsidR="002B7E45">
        <w:t>s</w:t>
      </w:r>
      <w:r w:rsidRPr="003A20BD">
        <w:t>ystem to support its core functions, notably the administration of the International Register and examination</w:t>
      </w:r>
      <w:r w:rsidR="00870440">
        <w:t>s</w:t>
      </w:r>
      <w:r w:rsidRPr="003A20BD">
        <w:t xml:space="preserve">. </w:t>
      </w:r>
      <w:r w:rsidR="002D239C">
        <w:t xml:space="preserve"> </w:t>
      </w:r>
      <w:r w:rsidR="003F2DA9">
        <w:t>During its</w:t>
      </w:r>
      <w:r w:rsidRPr="003A20BD">
        <w:t xml:space="preserve"> </w:t>
      </w:r>
      <w:r w:rsidR="00686610" w:rsidRPr="003A20BD">
        <w:t>development</w:t>
      </w:r>
      <w:r w:rsidRPr="003A20BD">
        <w:t xml:space="preserve">, the database of the new system </w:t>
      </w:r>
      <w:r w:rsidR="003F2DA9">
        <w:t>was</w:t>
      </w:r>
      <w:r w:rsidRPr="003A20BD">
        <w:t xml:space="preserve"> redesigned to </w:t>
      </w:r>
      <w:r w:rsidR="003F2DA9">
        <w:t>endow it with data storage and retrieval</w:t>
      </w:r>
      <w:r w:rsidRPr="003A20BD">
        <w:t xml:space="preserve"> flexibility </w:t>
      </w:r>
      <w:r w:rsidR="0095106E">
        <w:t>based on</w:t>
      </w:r>
      <w:r w:rsidRPr="003A20BD">
        <w:t xml:space="preserve"> the proposed level of granularity. </w:t>
      </w:r>
      <w:r w:rsidR="002D239C">
        <w:t xml:space="preserve"> </w:t>
      </w:r>
      <w:r w:rsidRPr="003A20BD">
        <w:t xml:space="preserve">This new system </w:t>
      </w:r>
      <w:r w:rsidR="00D4379D">
        <w:t>will</w:t>
      </w:r>
      <w:r w:rsidR="0095106E">
        <w:t xml:space="preserve"> be rolled out</w:t>
      </w:r>
      <w:r w:rsidRPr="003A20BD">
        <w:t xml:space="preserve"> in 2018</w:t>
      </w:r>
      <w:r w:rsidR="0095106E">
        <w:t xml:space="preserve"> and its</w:t>
      </w:r>
      <w:r w:rsidRPr="003A20BD">
        <w:t xml:space="preserve"> benefits </w:t>
      </w:r>
      <w:r w:rsidR="0095106E">
        <w:t>should be evident in early</w:t>
      </w:r>
      <w:r w:rsidRPr="003A20BD">
        <w:t xml:space="preserve"> 2019. </w:t>
      </w:r>
      <w:r w:rsidR="002D239C">
        <w:t xml:space="preserve"> </w:t>
      </w:r>
      <w:r w:rsidRPr="003A20BD">
        <w:t xml:space="preserve">Most of the changes </w:t>
      </w:r>
      <w:r w:rsidR="00870440">
        <w:t>presented</w:t>
      </w:r>
      <w:r w:rsidRPr="003A20BD">
        <w:t xml:space="preserve"> in the analysis below will be</w:t>
      </w:r>
      <w:r w:rsidR="00870440">
        <w:t>come</w:t>
      </w:r>
      <w:r w:rsidRPr="003A20BD">
        <w:t xml:space="preserve"> visible </w:t>
      </w:r>
      <w:r w:rsidR="00870440">
        <w:t xml:space="preserve">only </w:t>
      </w:r>
      <w:r w:rsidRPr="003A20BD">
        <w:t>when the new system is launched.</w:t>
      </w:r>
    </w:p>
    <w:p w:rsidR="00A04226" w:rsidRPr="00311638" w:rsidRDefault="007B6808" w:rsidP="00D6040A">
      <w:pPr>
        <w:pStyle w:val="ONUME"/>
      </w:pPr>
      <w:r w:rsidRPr="00311638">
        <w:t xml:space="preserve">With respect to electronic </w:t>
      </w:r>
      <w:r w:rsidR="00D4379D">
        <w:t xml:space="preserve">data </w:t>
      </w:r>
      <w:r w:rsidRPr="00311638">
        <w:t xml:space="preserve">exchange with </w:t>
      </w:r>
      <w:r w:rsidR="00D4379D">
        <w:t xml:space="preserve">the various </w:t>
      </w:r>
      <w:r w:rsidRPr="00311638">
        <w:t xml:space="preserve">Offices, the </w:t>
      </w:r>
      <w:r w:rsidR="00686610" w:rsidRPr="00311638">
        <w:t xml:space="preserve">data structure </w:t>
      </w:r>
      <w:r w:rsidR="0095106E">
        <w:t>was defined by</w:t>
      </w:r>
      <w:r w:rsidRPr="00311638">
        <w:t xml:space="preserve"> the XML4IP Task Force. </w:t>
      </w:r>
      <w:r w:rsidR="002D239C" w:rsidRPr="00311638">
        <w:t xml:space="preserve"> </w:t>
      </w:r>
      <w:r w:rsidRPr="00311638">
        <w:t>As a result, Hague</w:t>
      </w:r>
      <w:r w:rsidR="00870440">
        <w:t>-</w:t>
      </w:r>
      <w:r w:rsidRPr="00311638">
        <w:t>specific</w:t>
      </w:r>
      <w:r w:rsidR="00790916" w:rsidRPr="00311638">
        <w:t xml:space="preserve"> </w:t>
      </w:r>
      <w:r w:rsidR="00686610" w:rsidRPr="00311638">
        <w:t xml:space="preserve">XML </w:t>
      </w:r>
      <w:r w:rsidRPr="00311638">
        <w:t xml:space="preserve">components were incorporated </w:t>
      </w:r>
      <w:r w:rsidR="00A52C37">
        <w:t>in</w:t>
      </w:r>
      <w:r w:rsidRPr="00311638">
        <w:t xml:space="preserve">to version 3.0 of </w:t>
      </w:r>
      <w:r w:rsidR="002D239C" w:rsidRPr="00311638">
        <w:t>Standard</w:t>
      </w:r>
      <w:r w:rsidR="00790916" w:rsidRPr="00311638">
        <w:t xml:space="preserve"> </w:t>
      </w:r>
      <w:r w:rsidRPr="00311638">
        <w:t>ST.96</w:t>
      </w:r>
      <w:proofErr w:type="gramStart"/>
      <w:r w:rsidR="00D17C76">
        <w:t xml:space="preserve">; </w:t>
      </w:r>
      <w:r w:rsidR="00870440">
        <w:t xml:space="preserve"> </w:t>
      </w:r>
      <w:r w:rsidR="00D17C76">
        <w:t>m</w:t>
      </w:r>
      <w:r w:rsidRPr="00311638">
        <w:t>ore</w:t>
      </w:r>
      <w:proofErr w:type="gramEnd"/>
      <w:r w:rsidRPr="00311638">
        <w:t xml:space="preserve"> than </w:t>
      </w:r>
      <w:r w:rsidR="00D6040A">
        <w:t>10 </w:t>
      </w:r>
      <w:r w:rsidRPr="00311638">
        <w:t xml:space="preserve">Offices </w:t>
      </w:r>
      <w:r w:rsidR="00D17C76">
        <w:t xml:space="preserve">actively </w:t>
      </w:r>
      <w:r w:rsidRPr="00311638">
        <w:t xml:space="preserve">contributed to this </w:t>
      </w:r>
      <w:r w:rsidR="00A52C37">
        <w:t>version</w:t>
      </w:r>
      <w:r w:rsidRPr="00311638">
        <w:t>.</w:t>
      </w:r>
      <w:r w:rsidR="002D239C" w:rsidRPr="00311638">
        <w:t xml:space="preserve"> </w:t>
      </w:r>
      <w:r w:rsidRPr="00311638">
        <w:t xml:space="preserve"> Regarding the transition</w:t>
      </w:r>
      <w:r w:rsidR="00686610" w:rsidRPr="00311638">
        <w:t xml:space="preserve"> from legacy to </w:t>
      </w:r>
      <w:r w:rsidR="00790916" w:rsidRPr="00311638">
        <w:t xml:space="preserve">Standard </w:t>
      </w:r>
      <w:r w:rsidR="00686610" w:rsidRPr="00311638">
        <w:t>ST.96</w:t>
      </w:r>
      <w:r w:rsidRPr="00311638">
        <w:t>, a roadmap was presented to the CWS and</w:t>
      </w:r>
      <w:r w:rsidR="00686610" w:rsidRPr="00311638">
        <w:t xml:space="preserve"> an</w:t>
      </w:r>
      <w:r w:rsidRPr="00311638">
        <w:t xml:space="preserve"> updated version is found in the Annex </w:t>
      </w:r>
      <w:r w:rsidR="00D6040A">
        <w:t>to</w:t>
      </w:r>
      <w:r w:rsidRPr="00311638">
        <w:t xml:space="preserve"> this document.</w:t>
      </w:r>
    </w:p>
    <w:p w:rsidR="00A04226" w:rsidRDefault="007B6808" w:rsidP="00D6040A">
      <w:pPr>
        <w:pStyle w:val="Heading1"/>
        <w:spacing w:before="480"/>
      </w:pPr>
      <w:r>
        <w:t>I</w:t>
      </w:r>
      <w:r w:rsidR="00FB3368">
        <w:t>II</w:t>
      </w:r>
      <w:r>
        <w:t>.</w:t>
      </w:r>
      <w:r>
        <w:tab/>
        <w:t>Analysis</w:t>
      </w:r>
    </w:p>
    <w:p w:rsidR="00A04226" w:rsidRPr="00D6040A" w:rsidRDefault="007B6808" w:rsidP="00D6040A">
      <w:pPr>
        <w:pStyle w:val="Heading2"/>
      </w:pPr>
      <w:r w:rsidRPr="00D6040A">
        <w:t>Technical</w:t>
      </w:r>
      <w:r w:rsidR="002C7D78">
        <w:t xml:space="preserve"> IMPLICATIONS</w:t>
      </w:r>
    </w:p>
    <w:p w:rsidR="00A04226" w:rsidRDefault="008265B9" w:rsidP="00D6040A">
      <w:pPr>
        <w:pStyle w:val="ONUME"/>
      </w:pPr>
      <w:r>
        <w:t>D</w:t>
      </w:r>
      <w:r w:rsidR="007B6808" w:rsidRPr="003A20BD">
        <w:t xml:space="preserve">ata modeling for the electronic exchange of data with Offices was achieved </w:t>
      </w:r>
      <w:r>
        <w:t>through</w:t>
      </w:r>
      <w:r w:rsidR="007B6808" w:rsidRPr="003A20BD">
        <w:t xml:space="preserve"> the development of </w:t>
      </w:r>
      <w:r w:rsidR="002D239C">
        <w:t>Standard</w:t>
      </w:r>
      <w:r w:rsidR="007B6808" w:rsidRPr="003A20BD">
        <w:t xml:space="preserve"> ST.96. </w:t>
      </w:r>
      <w:r w:rsidR="002D239C">
        <w:t xml:space="preserve"> </w:t>
      </w:r>
      <w:r w:rsidR="007B6808" w:rsidRPr="003A20BD">
        <w:t>This led to the inclusion of Hague-specific XML</w:t>
      </w:r>
      <w:r w:rsidR="00D6040A">
        <w:t> </w:t>
      </w:r>
      <w:r w:rsidR="007B6808" w:rsidRPr="003A20BD">
        <w:t>components in</w:t>
      </w:r>
      <w:r>
        <w:t>to</w:t>
      </w:r>
      <w:r w:rsidR="007B6808" w:rsidRPr="003A20BD">
        <w:t xml:space="preserve"> the published version of the standard </w:t>
      </w:r>
      <w:r>
        <w:t>(</w:t>
      </w:r>
      <w:r w:rsidR="007B6808" w:rsidRPr="003A20BD">
        <w:t>version 3.0</w:t>
      </w:r>
      <w:r>
        <w:t>)</w:t>
      </w:r>
      <w:r w:rsidR="007B6808" w:rsidRPr="003A20BD">
        <w:t xml:space="preserve"> released in </w:t>
      </w:r>
      <w:r w:rsidR="00D17C76">
        <w:t>February</w:t>
      </w:r>
      <w:r w:rsidR="00D6040A">
        <w:t> </w:t>
      </w:r>
      <w:r w:rsidR="007B6808" w:rsidRPr="003A20BD">
        <w:t>2018</w:t>
      </w:r>
      <w:r w:rsidR="0092257B">
        <w:rPr>
          <w:rStyle w:val="FootnoteReference"/>
        </w:rPr>
        <w:footnoteReference w:id="3"/>
      </w:r>
      <w:r w:rsidR="007B6808" w:rsidRPr="003A20BD">
        <w:t>.</w:t>
      </w:r>
      <w:r w:rsidR="002D239C">
        <w:t xml:space="preserve"> </w:t>
      </w:r>
      <w:r w:rsidR="007B6808" w:rsidRPr="003A20BD">
        <w:t xml:space="preserve"> The resulting </w:t>
      </w:r>
      <w:r w:rsidR="001613FB">
        <w:t>XML Schema Definition (</w:t>
      </w:r>
      <w:r w:rsidR="007B6808" w:rsidRPr="003A20BD">
        <w:t>XSD</w:t>
      </w:r>
      <w:r w:rsidR="001613FB">
        <w:t>)</w:t>
      </w:r>
      <w:r w:rsidR="007B6808" w:rsidRPr="003A20BD">
        <w:t xml:space="preserve"> is thoroughly documented, as requested by the Delegation of</w:t>
      </w:r>
      <w:r w:rsidR="00D6040A">
        <w:t> </w:t>
      </w:r>
      <w:r w:rsidR="007B6808" w:rsidRPr="003A20BD">
        <w:t>Japan during the last Working Group</w:t>
      </w:r>
      <w:r>
        <w:t xml:space="preserve"> session</w:t>
      </w:r>
      <w:r w:rsidR="0092257B">
        <w:rPr>
          <w:rStyle w:val="FootnoteReference"/>
        </w:rPr>
        <w:footnoteReference w:id="4"/>
      </w:r>
      <w:r w:rsidR="007B6808" w:rsidRPr="003A20BD">
        <w:t>.</w:t>
      </w:r>
    </w:p>
    <w:p w:rsidR="00A04226" w:rsidRPr="003A20BD" w:rsidRDefault="008265B9" w:rsidP="00D6040A">
      <w:pPr>
        <w:pStyle w:val="ONUME"/>
      </w:pPr>
      <w:r>
        <w:t>D</w:t>
      </w:r>
      <w:r w:rsidR="007B6808" w:rsidRPr="003A20BD">
        <w:t>ata modeling of the I</w:t>
      </w:r>
      <w:r w:rsidR="00686610">
        <w:t>nternational Register for the International Bureau</w:t>
      </w:r>
      <w:r w:rsidR="007B6808" w:rsidRPr="003A20BD">
        <w:t>’s new core</w:t>
      </w:r>
      <w:r w:rsidR="00686610">
        <w:t xml:space="preserve"> IT</w:t>
      </w:r>
      <w:r w:rsidR="00D6040A">
        <w:t> </w:t>
      </w:r>
      <w:r w:rsidR="007B6808" w:rsidRPr="003A20BD">
        <w:t>system was completed in 2017.</w:t>
      </w:r>
    </w:p>
    <w:p w:rsidR="00A04226" w:rsidRDefault="007B6808" w:rsidP="00D6040A">
      <w:pPr>
        <w:pStyle w:val="Heading2"/>
        <w:spacing w:before="480"/>
      </w:pPr>
      <w:r>
        <w:t>Practical</w:t>
      </w:r>
      <w:r w:rsidR="002C7D78">
        <w:t xml:space="preserve"> IMPLICATIONS</w:t>
      </w:r>
    </w:p>
    <w:p w:rsidR="00A04226" w:rsidRDefault="007B6808" w:rsidP="00D6040A">
      <w:pPr>
        <w:pStyle w:val="ONUME"/>
      </w:pPr>
      <w:r w:rsidRPr="00D6040A">
        <w:rPr>
          <w:bCs/>
          <w:u w:val="single"/>
        </w:rPr>
        <w:t>Description by design</w:t>
      </w:r>
      <w:r w:rsidRPr="003A20BD">
        <w:t xml:space="preserve"> – In the </w:t>
      </w:r>
      <w:r w:rsidR="002C7D78" w:rsidRPr="003A20BD">
        <w:t xml:space="preserve">revised data model </w:t>
      </w:r>
      <w:r w:rsidR="002C7D78">
        <w:t xml:space="preserve">of the </w:t>
      </w:r>
      <w:r w:rsidRPr="003A20BD">
        <w:t xml:space="preserve">International Register, the underlying database leverages </w:t>
      </w:r>
      <w:r w:rsidR="00686610">
        <w:t xml:space="preserve">rich </w:t>
      </w:r>
      <w:r w:rsidRPr="003A20BD">
        <w:t xml:space="preserve">relationships. </w:t>
      </w:r>
      <w:r w:rsidR="0047410D">
        <w:t xml:space="preserve"> </w:t>
      </w:r>
      <w:r w:rsidR="008265B9">
        <w:t>Indeed</w:t>
      </w:r>
      <w:r w:rsidRPr="003A20BD">
        <w:t xml:space="preserve">, </w:t>
      </w:r>
      <w:r w:rsidR="008265B9">
        <w:t>one</w:t>
      </w:r>
      <w:r w:rsidRPr="003A20BD">
        <w:t xml:space="preserve"> description can be </w:t>
      </w:r>
      <w:r w:rsidRPr="00686610">
        <w:rPr>
          <w:i/>
        </w:rPr>
        <w:t>linked</w:t>
      </w:r>
      <w:r w:rsidRPr="003A20BD">
        <w:t xml:space="preserve"> </w:t>
      </w:r>
      <w:r w:rsidR="008265B9">
        <w:t>to</w:t>
      </w:r>
      <w:r w:rsidRPr="003A20BD">
        <w:t xml:space="preserve"> one or </w:t>
      </w:r>
      <w:r w:rsidR="00024D1B">
        <w:t>several</w:t>
      </w:r>
      <w:r w:rsidR="00024D1B" w:rsidRPr="003A20BD">
        <w:t xml:space="preserve"> </w:t>
      </w:r>
      <w:r w:rsidRPr="003A20BD">
        <w:t>desig</w:t>
      </w:r>
      <w:r w:rsidR="00686610">
        <w:t xml:space="preserve">ns, without being repeated. </w:t>
      </w:r>
      <w:r w:rsidR="0047410D">
        <w:t xml:space="preserve"> </w:t>
      </w:r>
      <w:r w:rsidR="00024D1B">
        <w:t xml:space="preserve">This </w:t>
      </w:r>
      <w:r w:rsidR="00D637C0">
        <w:t>would spare</w:t>
      </w:r>
      <w:r w:rsidRPr="003A20BD">
        <w:t xml:space="preserve"> users </w:t>
      </w:r>
      <w:r w:rsidR="008265B9">
        <w:t>the hassle of</w:t>
      </w:r>
      <w:r w:rsidRPr="003A20BD">
        <w:t xml:space="preserve"> copy</w:t>
      </w:r>
      <w:r w:rsidR="008265B9">
        <w:t>ing</w:t>
      </w:r>
      <w:r w:rsidRPr="003A20BD">
        <w:t xml:space="preserve"> and past</w:t>
      </w:r>
      <w:r w:rsidR="008265B9">
        <w:t>ing</w:t>
      </w:r>
      <w:r w:rsidRPr="003A20BD">
        <w:t xml:space="preserve"> descriptions</w:t>
      </w:r>
      <w:r>
        <w:rPr>
          <w:rStyle w:val="FootnoteAnchor"/>
        </w:rPr>
        <w:footnoteReference w:id="5"/>
      </w:r>
      <w:r w:rsidR="00DE0D30">
        <w:t>.</w:t>
      </w:r>
      <w:r w:rsidRPr="003A20BD">
        <w:t xml:space="preserve"> </w:t>
      </w:r>
      <w:r w:rsidR="0047410D">
        <w:t xml:space="preserve"> </w:t>
      </w:r>
      <w:r w:rsidRPr="003A20BD">
        <w:t xml:space="preserve">More importantly, the </w:t>
      </w:r>
      <w:r w:rsidR="0047410D">
        <w:t>“</w:t>
      </w:r>
      <w:r w:rsidRPr="003A20BD">
        <w:t>same text</w:t>
      </w:r>
      <w:r w:rsidR="0047410D">
        <w:t>”</w:t>
      </w:r>
      <w:r w:rsidRPr="003A20BD">
        <w:t xml:space="preserve"> associated with more than one design w</w:t>
      </w:r>
      <w:r w:rsidR="00D637C0">
        <w:t>ould</w:t>
      </w:r>
      <w:r w:rsidRPr="003A20BD">
        <w:t xml:space="preserve"> not</w:t>
      </w:r>
      <w:r w:rsidR="008265B9">
        <w:t xml:space="preserve"> be</w:t>
      </w:r>
      <w:r w:rsidRPr="003A20BD">
        <w:t xml:space="preserve"> </w:t>
      </w:r>
      <w:r w:rsidR="008265B9">
        <w:t>reckoned</w:t>
      </w:r>
      <w:r w:rsidRPr="003A20BD">
        <w:t xml:space="preserve"> multiple times </w:t>
      </w:r>
      <w:r w:rsidR="008265B9">
        <w:t>when determining the</w:t>
      </w:r>
      <w:r w:rsidRPr="003A20BD">
        <w:t xml:space="preserve"> word</w:t>
      </w:r>
      <w:r w:rsidR="008265B9">
        <w:t xml:space="preserve"> count for calculation of</w:t>
      </w:r>
      <w:r w:rsidR="00132EF2">
        <w:t xml:space="preserve"> additional</w:t>
      </w:r>
      <w:r w:rsidRPr="003A20BD">
        <w:t xml:space="preserve"> fee</w:t>
      </w:r>
      <w:r w:rsidR="008265B9">
        <w:t>s</w:t>
      </w:r>
      <w:r>
        <w:rPr>
          <w:rStyle w:val="FootnoteAnchor"/>
        </w:rPr>
        <w:footnoteReference w:id="6"/>
      </w:r>
      <w:r w:rsidR="00DE0D30">
        <w:t>.</w:t>
      </w:r>
    </w:p>
    <w:p w:rsidR="00E40685" w:rsidRDefault="00E40685">
      <w:pPr>
        <w:rPr>
          <w:b/>
          <w:bCs/>
        </w:rPr>
      </w:pPr>
      <w:r>
        <w:rPr>
          <w:b/>
          <w:bCs/>
        </w:rPr>
        <w:br w:type="page"/>
      </w:r>
    </w:p>
    <w:p w:rsidR="00A04226" w:rsidRDefault="007B6808" w:rsidP="00E40685">
      <w:pPr>
        <w:pStyle w:val="ONUME"/>
      </w:pPr>
      <w:r w:rsidRPr="00E40685">
        <w:rPr>
          <w:bCs/>
          <w:u w:val="single"/>
        </w:rPr>
        <w:lastRenderedPageBreak/>
        <w:t>Design-specific designation</w:t>
      </w:r>
      <w:r w:rsidRPr="00E40685">
        <w:rPr>
          <w:bCs/>
        </w:rPr>
        <w:t xml:space="preserve"> </w:t>
      </w:r>
      <w:r w:rsidR="00E40685">
        <w:t>–</w:t>
      </w:r>
      <w:r w:rsidR="00686610">
        <w:t xml:space="preserve"> I</w:t>
      </w:r>
      <w:r>
        <w:t xml:space="preserve">n its new </w:t>
      </w:r>
      <w:r w:rsidR="00686610">
        <w:t xml:space="preserve">core IT </w:t>
      </w:r>
      <w:r>
        <w:t>system, the I</w:t>
      </w:r>
      <w:r w:rsidR="00CB4448">
        <w:t xml:space="preserve">nternational </w:t>
      </w:r>
      <w:r>
        <w:t>B</w:t>
      </w:r>
      <w:r w:rsidR="00CB4448">
        <w:t>ureau</w:t>
      </w:r>
      <w:r>
        <w:t xml:space="preserve"> will store information in the form of a matrix </w:t>
      </w:r>
      <w:r w:rsidR="00121B07">
        <w:t>in which</w:t>
      </w:r>
      <w:r>
        <w:t xml:space="preserve"> each design is associated </w:t>
      </w:r>
      <w:r w:rsidR="00121B07">
        <w:t>with</w:t>
      </w:r>
      <w:r>
        <w:t xml:space="preserve"> </w:t>
      </w:r>
      <w:r w:rsidR="00024D1B">
        <w:t xml:space="preserve">the </w:t>
      </w:r>
      <w:r>
        <w:t>designation</w:t>
      </w:r>
      <w:r w:rsidR="00024D1B">
        <w:t xml:space="preserve"> of a Contracting Party</w:t>
      </w:r>
      <w:r>
        <w:t xml:space="preserve">. </w:t>
      </w:r>
      <w:r w:rsidR="00E40685">
        <w:t xml:space="preserve"> </w:t>
      </w:r>
      <w:r w:rsidR="00121B07">
        <w:t>While t</w:t>
      </w:r>
      <w:r>
        <w:t xml:space="preserve">his flexible approach will </w:t>
      </w:r>
      <w:r w:rsidR="00121B07">
        <w:t>help</w:t>
      </w:r>
      <w:r>
        <w:t xml:space="preserve"> to</w:t>
      </w:r>
      <w:r w:rsidR="00121B07">
        <w:t xml:space="preserve"> accelerate</w:t>
      </w:r>
      <w:r>
        <w:t xml:space="preserve"> legal developments</w:t>
      </w:r>
      <w:r w:rsidR="00121B07">
        <w:t>, it also eliminates the need</w:t>
      </w:r>
      <w:r>
        <w:t xml:space="preserve"> to send </w:t>
      </w:r>
      <w:r w:rsidR="00121B07">
        <w:t xml:space="preserve">the list of designations under each design </w:t>
      </w:r>
      <w:r>
        <w:t xml:space="preserve">to </w:t>
      </w:r>
      <w:r w:rsidR="00CB4448">
        <w:t xml:space="preserve">the Offices of </w:t>
      </w:r>
      <w:r>
        <w:t>designated C</w:t>
      </w:r>
      <w:r w:rsidR="00686610">
        <w:t xml:space="preserve">ontracting </w:t>
      </w:r>
      <w:r>
        <w:t>P</w:t>
      </w:r>
      <w:r w:rsidR="00686610">
        <w:t>artie</w:t>
      </w:r>
      <w:r>
        <w:t xml:space="preserve">s, as </w:t>
      </w:r>
      <w:r w:rsidR="00121B07">
        <w:t>this</w:t>
      </w:r>
      <w:r>
        <w:t xml:space="preserve"> would make the consumption and management of the Hague data by Offices more complex</w:t>
      </w:r>
      <w:r w:rsidR="002C7D78">
        <w:t xml:space="preserve"> while</w:t>
      </w:r>
      <w:r w:rsidR="00121B07">
        <w:t xml:space="preserve"> yield</w:t>
      </w:r>
      <w:r w:rsidR="002C7D78">
        <w:t>ing</w:t>
      </w:r>
      <w:r w:rsidR="00686610">
        <w:t xml:space="preserve"> little benefit</w:t>
      </w:r>
      <w:r>
        <w:t>.</w:t>
      </w:r>
    </w:p>
    <w:p w:rsidR="00A04226" w:rsidRDefault="007B6808" w:rsidP="00E40685">
      <w:pPr>
        <w:pStyle w:val="ONUME"/>
      </w:pPr>
      <w:r w:rsidRPr="00E40685">
        <w:rPr>
          <w:bCs/>
          <w:u w:val="single"/>
        </w:rPr>
        <w:t>Legacy data</w:t>
      </w:r>
      <w:r>
        <w:t xml:space="preserve"> – Registrations recorded before the roll-out of the new core system will not be altered</w:t>
      </w:r>
      <w:r>
        <w:rPr>
          <w:rStyle w:val="FootnoteAnchor"/>
        </w:rPr>
        <w:footnoteReference w:id="7"/>
      </w:r>
      <w:r w:rsidR="00E40685">
        <w:t>.</w:t>
      </w:r>
      <w:r>
        <w:t xml:space="preserve"> </w:t>
      </w:r>
      <w:r w:rsidR="00CB4448">
        <w:t xml:space="preserve"> </w:t>
      </w:r>
      <w:r w:rsidR="00162B86">
        <w:t>However</w:t>
      </w:r>
      <w:r>
        <w:t xml:space="preserve">, it might be necessary to enrich certain registrations </w:t>
      </w:r>
      <w:r w:rsidR="00162B86">
        <w:t>for which</w:t>
      </w:r>
      <w:r>
        <w:t xml:space="preserve"> a request for partial change in ownership</w:t>
      </w:r>
      <w:r w:rsidR="008C340B">
        <w:t xml:space="preserve"> has been filed</w:t>
      </w:r>
      <w:r>
        <w:t xml:space="preserve">. </w:t>
      </w:r>
      <w:r w:rsidR="0092257B">
        <w:t xml:space="preserve"> </w:t>
      </w:r>
      <w:r>
        <w:t>In such instances, and only</w:t>
      </w:r>
      <w:r w:rsidR="00E80F0E">
        <w:t xml:space="preserve"> when</w:t>
      </w:r>
      <w:r>
        <w:t xml:space="preserve"> </w:t>
      </w:r>
      <w:r w:rsidR="00D4379D">
        <w:t>necessary</w:t>
      </w:r>
      <w:r>
        <w:t xml:space="preserve">, the International Bureau </w:t>
      </w:r>
      <w:r w:rsidR="008C340B">
        <w:t>may</w:t>
      </w:r>
      <w:r>
        <w:t xml:space="preserve"> enrich the Register before recording the partial transaction. </w:t>
      </w:r>
      <w:r w:rsidR="00E40685">
        <w:t xml:space="preserve"> </w:t>
      </w:r>
      <w:r>
        <w:t xml:space="preserve">Such changes would be documented in </w:t>
      </w:r>
      <w:r w:rsidR="002C7D78">
        <w:t xml:space="preserve">such </w:t>
      </w:r>
      <w:r>
        <w:t xml:space="preserve">a way that the original record </w:t>
      </w:r>
      <w:r w:rsidR="002C7D78">
        <w:t>remains</w:t>
      </w:r>
      <w:r>
        <w:t xml:space="preserve"> retrievable.</w:t>
      </w:r>
    </w:p>
    <w:p w:rsidR="00FB3368" w:rsidRDefault="00FB3368" w:rsidP="00E40685">
      <w:pPr>
        <w:pStyle w:val="Heading2"/>
        <w:spacing w:before="480"/>
      </w:pPr>
      <w:r>
        <w:t>Legal</w:t>
      </w:r>
      <w:r w:rsidR="002C7D78">
        <w:t xml:space="preserve"> IMPLICATIONS</w:t>
      </w:r>
    </w:p>
    <w:p w:rsidR="006B2C08" w:rsidRDefault="006B2C08" w:rsidP="00E40685">
      <w:pPr>
        <w:pStyle w:val="ONUME"/>
      </w:pPr>
      <w:r>
        <w:t>The enhanced granularity of the data contained in the International Register unleashes the potential for further developments in the operation of the Hague System, amongst which the theoretical possibility of design-specific publication.</w:t>
      </w:r>
    </w:p>
    <w:p w:rsidR="00E80F0E" w:rsidRDefault="0057632C" w:rsidP="00E40685">
      <w:pPr>
        <w:pStyle w:val="ONUME"/>
      </w:pPr>
      <w:r>
        <w:t>In that context and d</w:t>
      </w:r>
      <w:r w:rsidR="00FB3368" w:rsidRPr="003A20BD">
        <w:t xml:space="preserve">uring the </w:t>
      </w:r>
      <w:r w:rsidR="00FB3368">
        <w:t>sixth session</w:t>
      </w:r>
      <w:r w:rsidR="00FB3368" w:rsidRPr="003A20BD">
        <w:t xml:space="preserve">, the </w:t>
      </w:r>
      <w:r w:rsidR="00E40685">
        <w:t>D</w:t>
      </w:r>
      <w:r w:rsidR="00FB3368" w:rsidRPr="003A20BD">
        <w:t>elegation of the United States of</w:t>
      </w:r>
      <w:r>
        <w:t> </w:t>
      </w:r>
      <w:r w:rsidR="00FB3368" w:rsidRPr="003A20BD">
        <w:t xml:space="preserve">America asked for </w:t>
      </w:r>
      <w:r w:rsidR="00D4379D">
        <w:t xml:space="preserve">the </w:t>
      </w:r>
      <w:r w:rsidR="000318A1">
        <w:t>po</w:t>
      </w:r>
      <w:r w:rsidR="004E5D03">
        <w:t>ssible</w:t>
      </w:r>
      <w:r w:rsidR="000318A1">
        <w:t xml:space="preserve"> legal </w:t>
      </w:r>
      <w:r w:rsidR="00DF4B2D">
        <w:t>implic</w:t>
      </w:r>
      <w:r w:rsidR="004E5D03">
        <w:t>a</w:t>
      </w:r>
      <w:r w:rsidR="00DF4B2D">
        <w:t xml:space="preserve">tions </w:t>
      </w:r>
      <w:r w:rsidR="007C33B4">
        <w:t>of</w:t>
      </w:r>
      <w:r w:rsidR="00DF4B2D">
        <w:t xml:space="preserve"> introducing the concept</w:t>
      </w:r>
      <w:r w:rsidR="00FB3368" w:rsidRPr="003A20BD">
        <w:t xml:space="preserve"> of design-specific publication</w:t>
      </w:r>
      <w:r w:rsidR="00FB3368">
        <w:rPr>
          <w:rStyle w:val="FootnoteAnchor"/>
        </w:rPr>
        <w:footnoteReference w:id="8"/>
      </w:r>
      <w:r w:rsidR="00E40685">
        <w:t>.</w:t>
      </w:r>
    </w:p>
    <w:p w:rsidR="008168FA" w:rsidRPr="00E40685" w:rsidRDefault="004E5D03" w:rsidP="00E40685">
      <w:pPr>
        <w:pStyle w:val="ONUME"/>
      </w:pPr>
      <w:r>
        <w:t>P</w:t>
      </w:r>
      <w:r w:rsidR="00DF4B2D">
        <w:t>ursuant to Rule</w:t>
      </w:r>
      <w:r w:rsidR="00D96470">
        <w:t>s</w:t>
      </w:r>
      <w:r w:rsidR="00E40685">
        <w:t> </w:t>
      </w:r>
      <w:r w:rsidR="00DF4B2D">
        <w:t>18(1</w:t>
      </w:r>
      <w:proofErr w:type="gramStart"/>
      <w:r w:rsidR="00DF4B2D">
        <w:t>)(</w:t>
      </w:r>
      <w:proofErr w:type="gramEnd"/>
      <w:r w:rsidR="00DF4B2D">
        <w:t>a) and</w:t>
      </w:r>
      <w:r w:rsidR="00E40685">
        <w:t> </w:t>
      </w:r>
      <w:r w:rsidR="00DF4B2D">
        <w:t>26(3) of</w:t>
      </w:r>
      <w:r w:rsidR="00FB3368" w:rsidRPr="003A20BD">
        <w:t xml:space="preserve"> the Common Regulations</w:t>
      </w:r>
      <w:r w:rsidR="00DF4B2D">
        <w:t xml:space="preserve"> Under the 1999 Act and the 1960</w:t>
      </w:r>
      <w:r w:rsidR="00E40685">
        <w:t> </w:t>
      </w:r>
      <w:r w:rsidR="00DF4B2D">
        <w:t>Act of the Hague Agreement</w:t>
      </w:r>
      <w:r w:rsidR="00FB3368" w:rsidRPr="003A20BD">
        <w:t>, the prescribed period for notification of refusa</w:t>
      </w:r>
      <w:r w:rsidR="001D54AC">
        <w:t>l</w:t>
      </w:r>
      <w:r w:rsidR="00FB3368">
        <w:t xml:space="preserve"> </w:t>
      </w:r>
      <w:r w:rsidR="008C340B">
        <w:t>starts</w:t>
      </w:r>
      <w:r w:rsidR="00FB3368" w:rsidRPr="003A20BD">
        <w:t xml:space="preserve"> from the </w:t>
      </w:r>
      <w:r w:rsidR="00FB3368" w:rsidRPr="00E40685">
        <w:t>date of publication</w:t>
      </w:r>
      <w:r w:rsidR="00DF4B2D" w:rsidRPr="00E40685">
        <w:t xml:space="preserve"> of the international registration</w:t>
      </w:r>
      <w:r w:rsidR="00E40685">
        <w:t>.</w:t>
      </w:r>
    </w:p>
    <w:p w:rsidR="008168FA" w:rsidRDefault="00FB3368" w:rsidP="00E40685">
      <w:pPr>
        <w:pStyle w:val="ONUME"/>
      </w:pPr>
      <w:r w:rsidRPr="003A20BD">
        <w:t xml:space="preserve">Multiple publication dates for the same </w:t>
      </w:r>
      <w:r w:rsidR="00DF4B2D">
        <w:t xml:space="preserve">international </w:t>
      </w:r>
      <w:r w:rsidRPr="003A20BD">
        <w:t xml:space="preserve">registration would result in different </w:t>
      </w:r>
      <w:r w:rsidR="00DF4B2D">
        <w:t xml:space="preserve">refusal periods </w:t>
      </w:r>
      <w:r w:rsidR="00D4379D">
        <w:t>and require</w:t>
      </w:r>
      <w:r w:rsidR="008C340B">
        <w:t xml:space="preserve"> the </w:t>
      </w:r>
      <w:r w:rsidR="00DF4B2D">
        <w:t>set</w:t>
      </w:r>
      <w:r w:rsidR="008C340B">
        <w:t>ting</w:t>
      </w:r>
      <w:r w:rsidR="00DF4B2D">
        <w:t xml:space="preserve"> and</w:t>
      </w:r>
      <w:r w:rsidRPr="003A20BD">
        <w:t xml:space="preserve"> monitor</w:t>
      </w:r>
      <w:r w:rsidR="007C33B4">
        <w:t xml:space="preserve">ing of </w:t>
      </w:r>
      <w:r w:rsidR="00D4379D">
        <w:t xml:space="preserve">various </w:t>
      </w:r>
      <w:r w:rsidR="007C33B4">
        <w:t>deadlines</w:t>
      </w:r>
      <w:r w:rsidRPr="003A20BD">
        <w:t xml:space="preserve"> for </w:t>
      </w:r>
      <w:r w:rsidR="00DF4B2D">
        <w:t>one and the</w:t>
      </w:r>
      <w:r w:rsidRPr="003A20BD">
        <w:t xml:space="preserve"> same </w:t>
      </w:r>
      <w:r w:rsidR="00DF4B2D">
        <w:t xml:space="preserve">international </w:t>
      </w:r>
      <w:r w:rsidRPr="003A20BD">
        <w:t>registration.</w:t>
      </w:r>
      <w:r w:rsidR="004E5D03">
        <w:t xml:space="preserve">  </w:t>
      </w:r>
      <w:r w:rsidR="006B2C08">
        <w:t>Depending on how design-specific publication would be introduced, this may or may not</w:t>
      </w:r>
      <w:r w:rsidR="008168FA">
        <w:t xml:space="preserve"> </w:t>
      </w:r>
      <w:r w:rsidR="007C33B4">
        <w:t>make</w:t>
      </w:r>
      <w:r w:rsidR="00955081">
        <w:t xml:space="preserve"> the process</w:t>
      </w:r>
      <w:r w:rsidRPr="004E5D03">
        <w:t xml:space="preserve"> </w:t>
      </w:r>
      <w:r w:rsidR="007C33B4">
        <w:t xml:space="preserve">more complex </w:t>
      </w:r>
      <w:r w:rsidR="008168FA">
        <w:t>and</w:t>
      </w:r>
      <w:r w:rsidRPr="004E5D03">
        <w:t xml:space="preserve"> </w:t>
      </w:r>
      <w:r w:rsidR="007C33B4">
        <w:t xml:space="preserve">increase </w:t>
      </w:r>
      <w:r w:rsidR="00955081">
        <w:t>the</w:t>
      </w:r>
      <w:r w:rsidRPr="004E5D03">
        <w:t xml:space="preserve"> work</w:t>
      </w:r>
      <w:r w:rsidR="00955081">
        <w:t>load</w:t>
      </w:r>
      <w:r w:rsidRPr="004E5D03">
        <w:t xml:space="preserve"> for the Offices of </w:t>
      </w:r>
      <w:r w:rsidR="00E40685">
        <w:t>designated Contracting Parties.</w:t>
      </w:r>
    </w:p>
    <w:p w:rsidR="008168FA" w:rsidRDefault="00584F40" w:rsidP="00E40685">
      <w:pPr>
        <w:pStyle w:val="ONUME"/>
      </w:pPr>
      <w:r>
        <w:t>Moreover, w</w:t>
      </w:r>
      <w:r w:rsidR="008168FA">
        <w:t>here the Contracting Party has made a declaration under Article</w:t>
      </w:r>
      <w:r w:rsidR="00E40685">
        <w:t> </w:t>
      </w:r>
      <w:r w:rsidR="008168FA">
        <w:t>13(1) of the 1999</w:t>
      </w:r>
      <w:r w:rsidR="00E40685">
        <w:t> </w:t>
      </w:r>
      <w:r w:rsidR="008168FA">
        <w:t>Act, the question arises whether the requirements notified through the declaration should apply to each portion of the inter</w:t>
      </w:r>
      <w:r w:rsidR="00CB4448">
        <w:t>national regist</w:t>
      </w:r>
      <w:r w:rsidR="008168FA">
        <w:t>ration as published, or to the wh</w:t>
      </w:r>
      <w:r w:rsidR="00142045">
        <w:t>ole international registration.</w:t>
      </w:r>
    </w:p>
    <w:p w:rsidR="00FB3368" w:rsidRPr="00D55486" w:rsidRDefault="00D55486" w:rsidP="00E40685">
      <w:pPr>
        <w:pStyle w:val="ONUME"/>
      </w:pPr>
      <w:r w:rsidRPr="00D55486">
        <w:t xml:space="preserve">The issue would require thorough analysis.  </w:t>
      </w:r>
      <w:r w:rsidR="00955081">
        <w:t>Consequently</w:t>
      </w:r>
      <w:r w:rsidR="00DE00C8">
        <w:t xml:space="preserve">, </w:t>
      </w:r>
      <w:r w:rsidRPr="00D55486">
        <w:t>introduction of the concept of</w:t>
      </w:r>
      <w:r w:rsidR="00FB3368" w:rsidRPr="00D55486">
        <w:t xml:space="preserve"> design-specific publication should be </w:t>
      </w:r>
      <w:r w:rsidR="00F72AAD">
        <w:t>excluded from the</w:t>
      </w:r>
      <w:r w:rsidR="007C33B4">
        <w:t xml:space="preserve"> </w:t>
      </w:r>
      <w:r w:rsidR="00FB3368" w:rsidRPr="00D55486">
        <w:t xml:space="preserve">scope of this initiative </w:t>
      </w:r>
      <w:r w:rsidR="00DE00C8">
        <w:t xml:space="preserve">which should focus on technical developments </w:t>
      </w:r>
      <w:r w:rsidR="00F72AAD">
        <w:t>pertaining to</w:t>
      </w:r>
      <w:r w:rsidR="00DE00C8">
        <w:t xml:space="preserve"> </w:t>
      </w:r>
      <w:r w:rsidR="00F72AAD">
        <w:t xml:space="preserve">information </w:t>
      </w:r>
      <w:r w:rsidR="00DE00C8">
        <w:t xml:space="preserve">structure, </w:t>
      </w:r>
      <w:r w:rsidR="00FB3368" w:rsidRPr="00D55486">
        <w:t xml:space="preserve">until it can be demonstrated that the positive outcome </w:t>
      </w:r>
      <w:r w:rsidR="00F72AAD">
        <w:t xml:space="preserve">of such a move </w:t>
      </w:r>
      <w:r w:rsidR="00FB3368" w:rsidRPr="00D55486">
        <w:t xml:space="preserve">outweighs </w:t>
      </w:r>
      <w:r w:rsidR="00DE00C8">
        <w:t>any</w:t>
      </w:r>
      <w:r w:rsidR="00FB3368" w:rsidRPr="00D55486">
        <w:t xml:space="preserve"> negative impact.</w:t>
      </w:r>
    </w:p>
    <w:p w:rsidR="00A04226" w:rsidRDefault="00D637C0" w:rsidP="00E40685">
      <w:pPr>
        <w:pStyle w:val="Heading1"/>
        <w:spacing w:before="480"/>
      </w:pPr>
      <w:r>
        <w:t>I</w:t>
      </w:r>
      <w:r w:rsidR="007B6808">
        <w:t>V.</w:t>
      </w:r>
      <w:r w:rsidR="007B6808">
        <w:tab/>
        <w:t>Conclusion and next steps</w:t>
      </w:r>
    </w:p>
    <w:p w:rsidR="00A04226" w:rsidRDefault="007B6808" w:rsidP="00E40685">
      <w:pPr>
        <w:pStyle w:val="ONUME"/>
      </w:pPr>
      <w:r w:rsidRPr="003A20BD">
        <w:t xml:space="preserve">This initiative is a significant step </w:t>
      </w:r>
      <w:r w:rsidR="00F72AAD">
        <w:t>toward</w:t>
      </w:r>
      <w:r w:rsidRPr="003A20BD">
        <w:t xml:space="preserve"> preparing the system for</w:t>
      </w:r>
      <w:r w:rsidR="00F72AAD">
        <w:t xml:space="preserve"> the</w:t>
      </w:r>
      <w:r w:rsidRPr="003A20BD">
        <w:t xml:space="preserve"> future evolution of the </w:t>
      </w:r>
      <w:r w:rsidR="000318A1">
        <w:t>l</w:t>
      </w:r>
      <w:r w:rsidRPr="003A20BD">
        <w:t xml:space="preserve">egal </w:t>
      </w:r>
      <w:r w:rsidR="000318A1">
        <w:t>f</w:t>
      </w:r>
      <w:r w:rsidRPr="003A20BD">
        <w:t xml:space="preserve">ramework and should </w:t>
      </w:r>
      <w:r w:rsidR="00F72AAD">
        <w:t>give</w:t>
      </w:r>
      <w:r w:rsidRPr="003A20BD">
        <w:t xml:space="preserve"> </w:t>
      </w:r>
      <w:r w:rsidR="00CB4448">
        <w:t>t</w:t>
      </w:r>
      <w:r w:rsidR="000318A1">
        <w:t>he</w:t>
      </w:r>
      <w:r w:rsidRPr="003A20BD">
        <w:t xml:space="preserve"> Offices</w:t>
      </w:r>
      <w:r w:rsidR="000318A1">
        <w:t xml:space="preserve"> of Contracting Parties</w:t>
      </w:r>
      <w:r w:rsidRPr="003A20BD">
        <w:t xml:space="preserve"> </w:t>
      </w:r>
      <w:r w:rsidR="00F72AAD">
        <w:t xml:space="preserve">access </w:t>
      </w:r>
      <w:r w:rsidRPr="003A20BD">
        <w:t xml:space="preserve">to more useful and meaningful data when </w:t>
      </w:r>
      <w:r w:rsidR="00F72AAD">
        <w:t xml:space="preserve">they </w:t>
      </w:r>
      <w:r w:rsidRPr="003A20BD">
        <w:t>communicat</w:t>
      </w:r>
      <w:r w:rsidR="00F72AAD">
        <w:t>e</w:t>
      </w:r>
      <w:r w:rsidRPr="003A20BD">
        <w:t xml:space="preserve"> electronically with the International Bureau.</w:t>
      </w:r>
    </w:p>
    <w:p w:rsidR="00A04226" w:rsidRDefault="003B0531" w:rsidP="00E40685">
      <w:pPr>
        <w:pStyle w:val="ONUME"/>
      </w:pPr>
      <w:r>
        <w:t>With regard to</w:t>
      </w:r>
      <w:r w:rsidR="007B6808" w:rsidRPr="003A20BD">
        <w:t xml:space="preserve"> next steps, the International Bureau </w:t>
      </w:r>
      <w:r w:rsidR="00B057F8">
        <w:t xml:space="preserve">will </w:t>
      </w:r>
      <w:r w:rsidR="007B6808" w:rsidRPr="003A20BD">
        <w:t xml:space="preserve">continue </w:t>
      </w:r>
      <w:r>
        <w:t xml:space="preserve">to </w:t>
      </w:r>
      <w:r w:rsidR="007B6808" w:rsidRPr="003A20BD">
        <w:t>invest</w:t>
      </w:r>
      <w:r>
        <w:t xml:space="preserve"> its</w:t>
      </w:r>
      <w:r w:rsidR="007B6808" w:rsidRPr="003A20BD">
        <w:t xml:space="preserve"> efforts in the successful deployment of its new core system, while updating the application form to </w:t>
      </w:r>
      <w:r>
        <w:t>ensure that</w:t>
      </w:r>
      <w:r w:rsidR="007B6808" w:rsidRPr="003A20BD">
        <w:t xml:space="preserve"> users take advantage of the new information</w:t>
      </w:r>
      <w:r w:rsidR="007B6808">
        <w:t xml:space="preserve"> structure</w:t>
      </w:r>
      <w:r w:rsidR="007B6808" w:rsidRPr="003A20BD">
        <w:t>.</w:t>
      </w:r>
      <w:r w:rsidR="00B057F8">
        <w:t xml:space="preserve"> </w:t>
      </w:r>
      <w:r w:rsidR="007B6808" w:rsidRPr="003A20BD">
        <w:t xml:space="preserve"> It will also continue </w:t>
      </w:r>
      <w:r>
        <w:t>its</w:t>
      </w:r>
      <w:r w:rsidR="007B6808" w:rsidRPr="003A20BD">
        <w:t xml:space="preserve"> effective collaboration with Offices to foster wide adoption of the new </w:t>
      </w:r>
      <w:r w:rsidR="00EB7D1B">
        <w:t xml:space="preserve">version of </w:t>
      </w:r>
      <w:r w:rsidR="007B6808" w:rsidRPr="003A20BD">
        <w:t>ST.96.</w:t>
      </w:r>
    </w:p>
    <w:p w:rsidR="00FB4C77" w:rsidRPr="003A20BD" w:rsidRDefault="00FB4C77" w:rsidP="00E40685">
      <w:pPr>
        <w:pStyle w:val="ONUME"/>
      </w:pPr>
      <w:r>
        <w:lastRenderedPageBreak/>
        <w:t>Moreover, if the Working Group considers that the International Bureau should prepare an analysis of practical and legal implications resulting from a possible introduction of the concept of design-specific publication, as mentioned in paragraph </w:t>
      </w:r>
      <w:r w:rsidR="00E0068C">
        <w:t>18</w:t>
      </w:r>
      <w:r>
        <w:t>, for a future meeting of the Working Group, it may so indicate.</w:t>
      </w:r>
    </w:p>
    <w:p w:rsidR="00FB4C77" w:rsidRPr="00FB4C77" w:rsidRDefault="007B6808" w:rsidP="00FB4C77">
      <w:pPr>
        <w:pStyle w:val="ONUME"/>
        <w:ind w:left="5533"/>
        <w:rPr>
          <w:i/>
        </w:rPr>
      </w:pPr>
      <w:r w:rsidRPr="00FB4C77">
        <w:rPr>
          <w:i/>
        </w:rPr>
        <w:t>The Working Group is invited</w:t>
      </w:r>
      <w:r w:rsidR="00AD1C2D">
        <w:rPr>
          <w:i/>
        </w:rPr>
        <w:t xml:space="preserve"> to</w:t>
      </w:r>
      <w:r w:rsidR="00FB4C77" w:rsidRPr="00FB4C77">
        <w:rPr>
          <w:i/>
        </w:rPr>
        <w:t>:</w:t>
      </w:r>
    </w:p>
    <w:p w:rsidR="00A04226" w:rsidRPr="00FB4C77" w:rsidRDefault="00FB4C77" w:rsidP="00AD1C2D">
      <w:pPr>
        <w:pStyle w:val="indenti"/>
        <w:numPr>
          <w:ilvl w:val="0"/>
          <w:numId w:val="0"/>
        </w:numPr>
        <w:ind w:left="6237"/>
        <w:rPr>
          <w:i/>
        </w:rPr>
      </w:pPr>
      <w:r w:rsidRPr="00FB4C77">
        <w:rPr>
          <w:i/>
        </w:rPr>
        <w:t>(</w:t>
      </w:r>
      <w:proofErr w:type="spellStart"/>
      <w:proofErr w:type="gramStart"/>
      <w:r w:rsidRPr="00FB4C77">
        <w:rPr>
          <w:i/>
        </w:rPr>
        <w:t>i</w:t>
      </w:r>
      <w:proofErr w:type="spellEnd"/>
      <w:proofErr w:type="gramEnd"/>
      <w:r w:rsidRPr="00FB4C77">
        <w:rPr>
          <w:i/>
        </w:rPr>
        <w:t>)</w:t>
      </w:r>
      <w:r w:rsidRPr="00FB4C77">
        <w:rPr>
          <w:i/>
        </w:rPr>
        <w:tab/>
      </w:r>
      <w:r w:rsidR="00B057F8" w:rsidRPr="00FB4C77">
        <w:rPr>
          <w:i/>
        </w:rPr>
        <w:t>note the content of the present document</w:t>
      </w:r>
      <w:r w:rsidR="00AD1C2D">
        <w:rPr>
          <w:i/>
        </w:rPr>
        <w:t>;</w:t>
      </w:r>
    </w:p>
    <w:p w:rsidR="00FB4C77" w:rsidRPr="00FB4C77" w:rsidRDefault="00FB4C77" w:rsidP="00AD1C2D">
      <w:pPr>
        <w:pStyle w:val="indenti"/>
        <w:numPr>
          <w:ilvl w:val="0"/>
          <w:numId w:val="0"/>
        </w:numPr>
        <w:ind w:left="6237"/>
        <w:rPr>
          <w:i/>
        </w:rPr>
      </w:pPr>
    </w:p>
    <w:p w:rsidR="00FB4C77" w:rsidRPr="00FB4C77" w:rsidRDefault="00353EC3" w:rsidP="00AD1C2D">
      <w:pPr>
        <w:pStyle w:val="indenti"/>
        <w:numPr>
          <w:ilvl w:val="0"/>
          <w:numId w:val="0"/>
        </w:numPr>
        <w:ind w:left="6237"/>
        <w:rPr>
          <w:i/>
        </w:rPr>
      </w:pPr>
      <w:r>
        <w:rPr>
          <w:i/>
        </w:rPr>
        <w:t>(ii)</w:t>
      </w:r>
      <w:r>
        <w:rPr>
          <w:i/>
        </w:rPr>
        <w:tab/>
      </w:r>
      <w:bookmarkStart w:id="4" w:name="_GoBack"/>
      <w:bookmarkEnd w:id="4"/>
      <w:proofErr w:type="gramStart"/>
      <w:r w:rsidR="00FB4C77" w:rsidRPr="00FB4C77">
        <w:rPr>
          <w:i/>
        </w:rPr>
        <w:t>comment</w:t>
      </w:r>
      <w:proofErr w:type="gramEnd"/>
      <w:r w:rsidR="00FB4C77" w:rsidRPr="00FB4C77">
        <w:rPr>
          <w:i/>
        </w:rPr>
        <w:t xml:space="preserve"> on the next steps proposed in paragraphs 20 and 21</w:t>
      </w:r>
      <w:r w:rsidR="00AD1C2D">
        <w:rPr>
          <w:i/>
        </w:rPr>
        <w:t>,</w:t>
      </w:r>
      <w:r w:rsidR="00FB4C77" w:rsidRPr="00FB4C77">
        <w:rPr>
          <w:i/>
        </w:rPr>
        <w:t xml:space="preserve"> above.</w:t>
      </w:r>
    </w:p>
    <w:p w:rsidR="00CB0AC0" w:rsidRDefault="007B6808" w:rsidP="00CB0AC0">
      <w:pPr>
        <w:pStyle w:val="Endofdocument-Annex"/>
        <w:spacing w:before="720"/>
        <w:rPr>
          <w:lang w:eastAsia="en-US"/>
        </w:rPr>
        <w:sectPr w:rsidR="00CB0AC0" w:rsidSect="0064201B">
          <w:headerReference w:type="default" r:id="rId10"/>
          <w:headerReference w:type="first" r:id="rId11"/>
          <w:pgSz w:w="11907" w:h="16839" w:code="9"/>
          <w:pgMar w:top="567" w:right="1134" w:bottom="1276" w:left="1418" w:header="510" w:footer="0" w:gutter="0"/>
          <w:cols w:space="720"/>
          <w:formProt w:val="0"/>
          <w:titlePg/>
          <w:docGrid w:linePitch="299"/>
        </w:sectPr>
      </w:pPr>
      <w:r>
        <w:rPr>
          <w:lang w:eastAsia="en-US"/>
        </w:rPr>
        <w:t>[</w:t>
      </w:r>
      <w:r w:rsidR="00CB0AC0">
        <w:rPr>
          <w:lang w:eastAsia="en-US"/>
        </w:rPr>
        <w:t>Annex follows</w:t>
      </w:r>
      <w:r>
        <w:rPr>
          <w:lang w:eastAsia="en-US"/>
        </w:rPr>
        <w:t>]</w:t>
      </w:r>
    </w:p>
    <w:bookmarkStart w:id="6" w:name="_MON_1588574964"/>
    <w:bookmarkEnd w:id="6"/>
    <w:p w:rsidR="00E0068C" w:rsidRDefault="00AE78BD" w:rsidP="00CB0AC0">
      <w:r>
        <w:object w:dxaOrig="19592" w:dyaOrig="9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356pt" o:ole="">
            <v:imagedata r:id="rId12" o:title=""/>
          </v:shape>
          <o:OLEObject Type="Embed" ProgID="Excel.Sheet.12" ShapeID="_x0000_i1025" DrawAspect="Content" ObjectID="_1588592690" r:id="rId13"/>
        </w:object>
      </w:r>
    </w:p>
    <w:p w:rsidR="005A3C6C" w:rsidRPr="00D006F4" w:rsidRDefault="005A3C6C" w:rsidP="005A3C6C">
      <w:pPr>
        <w:pStyle w:val="Endofdocument-Annex"/>
        <w:spacing w:before="720"/>
        <w:ind w:left="9639"/>
      </w:pPr>
      <w:r w:rsidRPr="00D006F4">
        <w:t>[End of Annex and of document]</w:t>
      </w:r>
    </w:p>
    <w:sectPr w:rsidR="005A3C6C" w:rsidRPr="00D006F4" w:rsidSect="005A3C6C">
      <w:headerReference w:type="first" r:id="rId14"/>
      <w:pgSz w:w="16838" w:h="11906" w:orient="landscape"/>
      <w:pgMar w:top="1418" w:right="567" w:bottom="1134" w:left="1276" w:header="510" w:footer="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238" w:rsidRDefault="00BE4238">
      <w:r>
        <w:separator/>
      </w:r>
    </w:p>
  </w:endnote>
  <w:endnote w:type="continuationSeparator" w:id="0">
    <w:p w:rsidR="00BE4238" w:rsidRDefault="00BE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238" w:rsidRDefault="00BE4238">
      <w:r>
        <w:separator/>
      </w:r>
    </w:p>
  </w:footnote>
  <w:footnote w:type="continuationSeparator" w:id="0">
    <w:p w:rsidR="00BE4238" w:rsidRDefault="00BE4238">
      <w:r>
        <w:continuationSeparator/>
      </w:r>
    </w:p>
  </w:footnote>
  <w:footnote w:id="1">
    <w:p w:rsidR="00DE23FE" w:rsidRPr="006B2C08" w:rsidRDefault="00DE23FE" w:rsidP="00D6040A">
      <w:pPr>
        <w:pStyle w:val="FootnoteText"/>
        <w:ind w:left="567" w:hanging="567"/>
        <w:rPr>
          <w:sz w:val="18"/>
          <w:szCs w:val="18"/>
        </w:rPr>
      </w:pPr>
      <w:r w:rsidRPr="006B2C08">
        <w:rPr>
          <w:rStyle w:val="FootnoteReference"/>
          <w:sz w:val="18"/>
          <w:szCs w:val="18"/>
        </w:rPr>
        <w:footnoteRef/>
      </w:r>
      <w:r w:rsidRPr="006B2C08">
        <w:rPr>
          <w:sz w:val="18"/>
          <w:szCs w:val="18"/>
        </w:rPr>
        <w:tab/>
        <w:t>Refer to document H/LD/WG/6/4.</w:t>
      </w:r>
    </w:p>
  </w:footnote>
  <w:footnote w:id="2">
    <w:p w:rsidR="00DE23FE" w:rsidRPr="006B2C08" w:rsidRDefault="00DE23FE" w:rsidP="00E80F0E">
      <w:pPr>
        <w:pStyle w:val="FootnoteText"/>
        <w:ind w:left="567" w:hanging="567"/>
        <w:rPr>
          <w:sz w:val="18"/>
          <w:szCs w:val="18"/>
        </w:rPr>
      </w:pPr>
      <w:r w:rsidRPr="006B2C08">
        <w:rPr>
          <w:rStyle w:val="FootnoteReference"/>
          <w:sz w:val="18"/>
          <w:szCs w:val="18"/>
        </w:rPr>
        <w:footnoteRef/>
      </w:r>
      <w:r w:rsidRPr="006B2C08">
        <w:rPr>
          <w:sz w:val="18"/>
          <w:szCs w:val="18"/>
        </w:rPr>
        <w:tab/>
        <w:t>Refer to document H/LD/WG/6/7 Prov.</w:t>
      </w:r>
    </w:p>
  </w:footnote>
  <w:footnote w:id="3">
    <w:p w:rsidR="0092257B" w:rsidRPr="006B2C08" w:rsidRDefault="0092257B" w:rsidP="00370DD7">
      <w:pPr>
        <w:pStyle w:val="FootnoteText"/>
        <w:ind w:left="567" w:hanging="567"/>
        <w:rPr>
          <w:sz w:val="18"/>
          <w:szCs w:val="18"/>
        </w:rPr>
      </w:pPr>
      <w:r w:rsidRPr="006B2C08">
        <w:rPr>
          <w:rStyle w:val="FootnoteReference"/>
          <w:sz w:val="18"/>
          <w:szCs w:val="18"/>
        </w:rPr>
        <w:footnoteRef/>
      </w:r>
      <w:r w:rsidRPr="006B2C08">
        <w:rPr>
          <w:sz w:val="18"/>
          <w:szCs w:val="18"/>
        </w:rPr>
        <w:tab/>
        <w:t>Available at:</w:t>
      </w:r>
      <w:r w:rsidR="00370DD7" w:rsidRPr="006B2C08">
        <w:rPr>
          <w:sz w:val="18"/>
          <w:szCs w:val="18"/>
        </w:rPr>
        <w:t xml:space="preserve"> </w:t>
      </w:r>
      <w:r w:rsidRPr="006B2C08">
        <w:rPr>
          <w:sz w:val="18"/>
          <w:szCs w:val="18"/>
        </w:rPr>
        <w:t xml:space="preserve"> http://www.wipo.int/standards/en/part_03_standards.html.</w:t>
      </w:r>
    </w:p>
  </w:footnote>
  <w:footnote w:id="4">
    <w:p w:rsidR="0092257B" w:rsidRPr="006B2C08" w:rsidRDefault="0092257B" w:rsidP="00370DD7">
      <w:pPr>
        <w:pStyle w:val="FootnoteText"/>
        <w:ind w:left="567" w:hanging="567"/>
        <w:rPr>
          <w:sz w:val="18"/>
          <w:szCs w:val="18"/>
        </w:rPr>
      </w:pPr>
      <w:r w:rsidRPr="006B2C08">
        <w:rPr>
          <w:rStyle w:val="FootnoteReference"/>
          <w:sz w:val="18"/>
          <w:szCs w:val="18"/>
        </w:rPr>
        <w:footnoteRef/>
      </w:r>
      <w:r w:rsidRPr="006B2C08">
        <w:rPr>
          <w:sz w:val="18"/>
          <w:szCs w:val="18"/>
        </w:rPr>
        <w:tab/>
        <w:t>Refer to document H/LD/WG/6/7 Prov., paragraph 94.</w:t>
      </w:r>
    </w:p>
  </w:footnote>
  <w:footnote w:id="5">
    <w:p w:rsidR="00DE23FE" w:rsidRPr="006B2C08" w:rsidRDefault="00DE23FE" w:rsidP="00E80F0E">
      <w:pPr>
        <w:pStyle w:val="FootnoteText"/>
        <w:ind w:left="567" w:hanging="567"/>
        <w:rPr>
          <w:sz w:val="18"/>
          <w:szCs w:val="18"/>
        </w:rPr>
      </w:pPr>
      <w:r w:rsidRPr="006B2C08">
        <w:rPr>
          <w:sz w:val="18"/>
          <w:szCs w:val="18"/>
          <w:vertAlign w:val="superscript"/>
        </w:rPr>
        <w:footnoteRef/>
      </w:r>
      <w:r w:rsidRPr="006B2C08">
        <w:rPr>
          <w:sz w:val="18"/>
          <w:szCs w:val="18"/>
        </w:rPr>
        <w:tab/>
        <w:t>Refer to document H/LD/WG/6/7 Prov., paragraph 90.</w:t>
      </w:r>
    </w:p>
  </w:footnote>
  <w:footnote w:id="6">
    <w:p w:rsidR="00DE23FE" w:rsidRPr="006B2C08" w:rsidRDefault="00DE23FE" w:rsidP="00E80F0E">
      <w:pPr>
        <w:pStyle w:val="FootnoteText"/>
        <w:ind w:left="567" w:hanging="567"/>
        <w:rPr>
          <w:sz w:val="18"/>
          <w:szCs w:val="18"/>
        </w:rPr>
      </w:pPr>
      <w:r w:rsidRPr="006B2C08">
        <w:rPr>
          <w:sz w:val="18"/>
          <w:szCs w:val="18"/>
          <w:vertAlign w:val="superscript"/>
        </w:rPr>
        <w:footnoteRef/>
      </w:r>
      <w:r w:rsidRPr="006B2C08">
        <w:rPr>
          <w:sz w:val="18"/>
          <w:szCs w:val="18"/>
        </w:rPr>
        <w:tab/>
        <w:t>Refer to document H/LD/WG/6/7 Prov., paragraphs 88, 91 and 93.</w:t>
      </w:r>
    </w:p>
  </w:footnote>
  <w:footnote w:id="7">
    <w:p w:rsidR="00DE23FE" w:rsidRPr="00CB4448" w:rsidRDefault="00DE23FE" w:rsidP="00132EF2">
      <w:pPr>
        <w:pStyle w:val="FootnoteText"/>
        <w:ind w:left="567" w:hanging="567"/>
        <w:rPr>
          <w:sz w:val="18"/>
          <w:szCs w:val="18"/>
        </w:rPr>
      </w:pPr>
      <w:r w:rsidRPr="00E40685">
        <w:rPr>
          <w:sz w:val="18"/>
          <w:szCs w:val="18"/>
          <w:vertAlign w:val="superscript"/>
        </w:rPr>
        <w:footnoteRef/>
      </w:r>
      <w:r w:rsidRPr="00CB4448">
        <w:rPr>
          <w:sz w:val="18"/>
          <w:szCs w:val="18"/>
        </w:rPr>
        <w:tab/>
        <w:t>Refer to document H/LD/WG/6/7 P</w:t>
      </w:r>
      <w:r>
        <w:rPr>
          <w:sz w:val="18"/>
          <w:szCs w:val="18"/>
        </w:rPr>
        <w:t>rov</w:t>
      </w:r>
      <w:r w:rsidRPr="00CB4448">
        <w:rPr>
          <w:sz w:val="18"/>
          <w:szCs w:val="18"/>
        </w:rPr>
        <w:t>., paragraph 87.</w:t>
      </w:r>
    </w:p>
  </w:footnote>
  <w:footnote w:id="8">
    <w:p w:rsidR="00DE23FE" w:rsidRPr="006E4AE7" w:rsidRDefault="00DE23FE" w:rsidP="00132EF2">
      <w:pPr>
        <w:pStyle w:val="FootnoteText"/>
        <w:ind w:left="567" w:hanging="567"/>
        <w:rPr>
          <w:sz w:val="18"/>
          <w:szCs w:val="18"/>
        </w:rPr>
      </w:pPr>
      <w:r w:rsidRPr="00E40685">
        <w:rPr>
          <w:sz w:val="18"/>
          <w:szCs w:val="18"/>
          <w:vertAlign w:val="superscript"/>
        </w:rPr>
        <w:footnoteRef/>
      </w:r>
      <w:r w:rsidRPr="006E4AE7">
        <w:rPr>
          <w:sz w:val="18"/>
          <w:szCs w:val="18"/>
        </w:rPr>
        <w:tab/>
      </w:r>
      <w:r w:rsidRPr="00CB4448">
        <w:rPr>
          <w:sz w:val="18"/>
          <w:szCs w:val="18"/>
        </w:rPr>
        <w:t>Refer to docume</w:t>
      </w:r>
      <w:r w:rsidR="002C7D78">
        <w:rPr>
          <w:sz w:val="18"/>
          <w:szCs w:val="18"/>
        </w:rPr>
        <w:t>n</w:t>
      </w:r>
      <w:r w:rsidRPr="00CB4448">
        <w:rPr>
          <w:sz w:val="18"/>
          <w:szCs w:val="18"/>
        </w:rPr>
        <w:t>t</w:t>
      </w:r>
      <w:r w:rsidRPr="006E4AE7">
        <w:rPr>
          <w:sz w:val="18"/>
          <w:szCs w:val="18"/>
        </w:rPr>
        <w:t xml:space="preserve"> H/LD/WG/6/7 </w:t>
      </w:r>
      <w:r w:rsidRPr="00CB4448">
        <w:rPr>
          <w:sz w:val="18"/>
          <w:szCs w:val="18"/>
        </w:rPr>
        <w:t>P</w:t>
      </w:r>
      <w:r>
        <w:rPr>
          <w:sz w:val="18"/>
          <w:szCs w:val="18"/>
        </w:rPr>
        <w:t>rov</w:t>
      </w:r>
      <w:r w:rsidRPr="006E4AE7">
        <w:rPr>
          <w:sz w:val="18"/>
          <w:szCs w:val="18"/>
        </w:rPr>
        <w:t>.</w:t>
      </w:r>
      <w:r w:rsidRPr="00CB4448">
        <w:rPr>
          <w:sz w:val="18"/>
          <w:szCs w:val="18"/>
        </w:rPr>
        <w:t>, paragraph 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3FE" w:rsidRDefault="00DE23FE">
    <w:pPr>
      <w:jc w:val="right"/>
    </w:pPr>
    <w:bookmarkStart w:id="5" w:name="Code2"/>
    <w:bookmarkEnd w:id="5"/>
    <w:r>
      <w:t>H/LD/WG/7/8</w:t>
    </w:r>
  </w:p>
  <w:p w:rsidR="00DE23FE" w:rsidRDefault="00DE23FE">
    <w:pPr>
      <w:jc w:val="right"/>
    </w:pPr>
    <w:proofErr w:type="gramStart"/>
    <w:r>
      <w:t>page</w:t>
    </w:r>
    <w:proofErr w:type="gramEnd"/>
    <w:r>
      <w:t xml:space="preserve"> </w:t>
    </w:r>
    <w:r>
      <w:fldChar w:fldCharType="begin"/>
    </w:r>
    <w:r>
      <w:instrText>PAGE</w:instrText>
    </w:r>
    <w:r>
      <w:fldChar w:fldCharType="separate"/>
    </w:r>
    <w:r w:rsidR="00353EC3">
      <w:rPr>
        <w:noProof/>
      </w:rPr>
      <w:t>4</w:t>
    </w:r>
    <w:r>
      <w:fldChar w:fldCharType="end"/>
    </w:r>
  </w:p>
  <w:p w:rsidR="00DE23FE" w:rsidRDefault="00DE23FE">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3FE" w:rsidRDefault="00DE23F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3FE" w:rsidRDefault="00DE23FE">
    <w:pPr>
      <w:pStyle w:val="Header"/>
      <w:jc w:val="right"/>
    </w:pPr>
    <w:r>
      <w:t>H/LD/WG/7/8</w:t>
    </w:r>
  </w:p>
  <w:p w:rsidR="00DE23FE" w:rsidRDefault="00DE23FE">
    <w:pPr>
      <w:pStyle w:val="Header"/>
      <w:jc w:val="right"/>
    </w:pPr>
    <w:r>
      <w:t>ANNEX</w:t>
    </w:r>
  </w:p>
  <w:p w:rsidR="00DE23FE" w:rsidRDefault="00DE23F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A86838"/>
    <w:lvl w:ilvl="0">
      <w:start w:val="1"/>
      <w:numFmt w:val="decimal"/>
      <w:lvlText w:val="%1."/>
      <w:lvlJc w:val="left"/>
      <w:pPr>
        <w:tabs>
          <w:tab w:val="num" w:pos="1800"/>
        </w:tabs>
        <w:ind w:left="1800" w:hanging="360"/>
      </w:pPr>
    </w:lvl>
  </w:abstractNum>
  <w:abstractNum w:abstractNumId="1">
    <w:nsid w:val="FFFFFF7D"/>
    <w:multiLevelType w:val="singleLevel"/>
    <w:tmpl w:val="846A5308"/>
    <w:lvl w:ilvl="0">
      <w:start w:val="1"/>
      <w:numFmt w:val="decimal"/>
      <w:lvlText w:val="%1."/>
      <w:lvlJc w:val="left"/>
      <w:pPr>
        <w:tabs>
          <w:tab w:val="num" w:pos="1440"/>
        </w:tabs>
        <w:ind w:left="1440" w:hanging="360"/>
      </w:pPr>
    </w:lvl>
  </w:abstractNum>
  <w:abstractNum w:abstractNumId="2">
    <w:nsid w:val="FFFFFF7E"/>
    <w:multiLevelType w:val="singleLevel"/>
    <w:tmpl w:val="B1C0A75A"/>
    <w:lvl w:ilvl="0">
      <w:start w:val="1"/>
      <w:numFmt w:val="decimal"/>
      <w:lvlText w:val="%1."/>
      <w:lvlJc w:val="left"/>
      <w:pPr>
        <w:tabs>
          <w:tab w:val="num" w:pos="1080"/>
        </w:tabs>
        <w:ind w:left="1080" w:hanging="360"/>
      </w:pPr>
    </w:lvl>
  </w:abstractNum>
  <w:abstractNum w:abstractNumId="3">
    <w:nsid w:val="FFFFFF7F"/>
    <w:multiLevelType w:val="singleLevel"/>
    <w:tmpl w:val="8A3EDFE4"/>
    <w:lvl w:ilvl="0">
      <w:start w:val="1"/>
      <w:numFmt w:val="decimal"/>
      <w:lvlText w:val="%1."/>
      <w:lvlJc w:val="left"/>
      <w:pPr>
        <w:tabs>
          <w:tab w:val="num" w:pos="720"/>
        </w:tabs>
        <w:ind w:left="720" w:hanging="360"/>
      </w:pPr>
    </w:lvl>
  </w:abstractNum>
  <w:abstractNum w:abstractNumId="4">
    <w:nsid w:val="FFFFFF80"/>
    <w:multiLevelType w:val="singleLevel"/>
    <w:tmpl w:val="2F845FD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3227A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E846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FF81434"/>
    <w:lvl w:ilvl="0">
      <w:start w:val="1"/>
      <w:numFmt w:val="bullet"/>
      <w:lvlText w:val=""/>
      <w:lvlJc w:val="left"/>
      <w:pPr>
        <w:tabs>
          <w:tab w:val="num" w:pos="720"/>
        </w:tabs>
        <w:ind w:left="720" w:hanging="360"/>
      </w:pPr>
      <w:rPr>
        <w:rFonts w:ascii="Symbol" w:hAnsi="Symbol" w:hint="default"/>
      </w:rPr>
    </w:lvl>
  </w:abstractNum>
  <w:abstractNum w:abstractNumId="8">
    <w:nsid w:val="FFFFFF89"/>
    <w:multiLevelType w:val="singleLevel"/>
    <w:tmpl w:val="E98AE40A"/>
    <w:lvl w:ilvl="0">
      <w:start w:val="1"/>
      <w:numFmt w:val="bullet"/>
      <w:lvlText w:val=""/>
      <w:lvlJc w:val="left"/>
      <w:pPr>
        <w:tabs>
          <w:tab w:val="num" w:pos="360"/>
        </w:tabs>
        <w:ind w:left="360" w:hanging="360"/>
      </w:pPr>
      <w:rPr>
        <w:rFonts w:ascii="Symbol" w:hAnsi="Symbol" w:hint="default"/>
      </w:rPr>
    </w:lvl>
  </w:abstractNum>
  <w:abstractNum w:abstractNumId="9">
    <w:nsid w:val="1B747159"/>
    <w:multiLevelType w:val="multilevel"/>
    <w:tmpl w:val="4B58B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FE87713"/>
    <w:multiLevelType w:val="hybridMultilevel"/>
    <w:tmpl w:val="1E46CBEE"/>
    <w:lvl w:ilvl="0" w:tplc="89F29998">
      <w:start w:val="1"/>
      <w:numFmt w:val="decimal"/>
      <w:pStyle w:val="ONUME"/>
      <w:lvlText w:val="%1."/>
      <w:lvlJc w:val="left"/>
      <w:pPr>
        <w:ind w:left="720" w:hanging="360"/>
      </w:pPr>
    </w:lvl>
    <w:lvl w:ilvl="1" w:tplc="04090019">
      <w:start w:val="1"/>
      <w:numFmt w:val="lowerLetter"/>
      <w:lvlText w:val="%2."/>
      <w:lvlJc w:val="left"/>
      <w:pPr>
        <w:ind w:left="1440" w:hanging="360"/>
      </w:pPr>
    </w:lvl>
    <w:lvl w:ilvl="2" w:tplc="537E75FC">
      <w:start w:val="1"/>
      <w:numFmt w:val="lowerRoman"/>
      <w:pStyle w:val="indenti"/>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951191"/>
    <w:multiLevelType w:val="multilevel"/>
    <w:tmpl w:val="44921F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7EB24D03"/>
    <w:multiLevelType w:val="multilevel"/>
    <w:tmpl w:val="642A1AA2"/>
    <w:lvl w:ilvl="0">
      <w:start w:val="1"/>
      <w:numFmt w:val="decimal"/>
      <w:lvlText w:val="%1."/>
      <w:lvlJc w:val="left"/>
      <w:pPr>
        <w:tabs>
          <w:tab w:val="num" w:pos="567"/>
        </w:tabs>
        <w:ind w:left="0" w:firstLine="0"/>
      </w:pPr>
      <w:rPr>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cs="Wingdings" w:hint="default"/>
      </w:rPr>
    </w:lvl>
    <w:lvl w:ilvl="4">
      <w:start w:val="1"/>
      <w:numFmt w:val="bullet"/>
      <w:lvlText w:val="l"/>
      <w:lvlJc w:val="left"/>
      <w:pPr>
        <w:tabs>
          <w:tab w:val="num" w:pos="2835"/>
        </w:tabs>
        <w:ind w:left="2268" w:firstLine="0"/>
      </w:pPr>
      <w:rPr>
        <w:rFonts w:ascii="Wingdings" w:hAnsi="Wingdings" w:cs="Wingdings" w:hint="default"/>
      </w:rPr>
    </w:lvl>
    <w:lvl w:ilvl="5">
      <w:start w:val="1"/>
      <w:numFmt w:val="bullet"/>
      <w:lvlText w:val="l"/>
      <w:lvlJc w:val="left"/>
      <w:pPr>
        <w:tabs>
          <w:tab w:val="num" w:pos="3402"/>
        </w:tabs>
        <w:ind w:left="2835" w:firstLine="0"/>
      </w:pPr>
      <w:rPr>
        <w:rFonts w:ascii="Wingdings" w:hAnsi="Wingdings" w:cs="Wingdings" w:hint="default"/>
      </w:rPr>
    </w:lvl>
    <w:lvl w:ilvl="6">
      <w:start w:val="1"/>
      <w:numFmt w:val="bullet"/>
      <w:lvlText w:val="l"/>
      <w:lvlJc w:val="left"/>
      <w:pPr>
        <w:tabs>
          <w:tab w:val="num" w:pos="3969"/>
        </w:tabs>
        <w:ind w:left="3402" w:firstLine="0"/>
      </w:pPr>
      <w:rPr>
        <w:rFonts w:ascii="Wingdings" w:hAnsi="Wingdings" w:cs="Wingdings" w:hint="default"/>
      </w:rPr>
    </w:lvl>
    <w:lvl w:ilvl="7">
      <w:start w:val="1"/>
      <w:numFmt w:val="bullet"/>
      <w:lvlText w:val="l"/>
      <w:lvlJc w:val="left"/>
      <w:pPr>
        <w:tabs>
          <w:tab w:val="num" w:pos="4535"/>
        </w:tabs>
        <w:ind w:left="3969" w:firstLine="0"/>
      </w:pPr>
      <w:rPr>
        <w:rFonts w:ascii="Wingdings" w:hAnsi="Wingdings" w:cs="Wingdings" w:hint="default"/>
      </w:rPr>
    </w:lvl>
    <w:lvl w:ilvl="8">
      <w:start w:val="1"/>
      <w:numFmt w:val="bullet"/>
      <w:lvlText w:val="l"/>
      <w:lvlJc w:val="left"/>
      <w:pPr>
        <w:tabs>
          <w:tab w:val="num" w:pos="5102"/>
        </w:tabs>
        <w:ind w:left="4535" w:firstLine="0"/>
      </w:pPr>
      <w:rPr>
        <w:rFonts w:ascii="Wingdings" w:hAnsi="Wingdings" w:cs="Wingdings" w:hint="default"/>
      </w:rPr>
    </w:lvl>
  </w:abstractNum>
  <w:num w:numId="1">
    <w:abstractNumId w:val="12"/>
  </w:num>
  <w:num w:numId="2">
    <w:abstractNumId w:val="9"/>
  </w:num>
  <w:num w:numId="3">
    <w:abstractNumId w:val="11"/>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567"/>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226"/>
    <w:rsid w:val="000072C2"/>
    <w:rsid w:val="00024D1B"/>
    <w:rsid w:val="000318A1"/>
    <w:rsid w:val="00042743"/>
    <w:rsid w:val="000C23AF"/>
    <w:rsid w:val="001002A4"/>
    <w:rsid w:val="00121B07"/>
    <w:rsid w:val="00132EF2"/>
    <w:rsid w:val="00142045"/>
    <w:rsid w:val="001450DB"/>
    <w:rsid w:val="001613FB"/>
    <w:rsid w:val="00162B86"/>
    <w:rsid w:val="0018062C"/>
    <w:rsid w:val="001B229A"/>
    <w:rsid w:val="001D54AC"/>
    <w:rsid w:val="001D788F"/>
    <w:rsid w:val="002133B6"/>
    <w:rsid w:val="002B7E45"/>
    <w:rsid w:val="002C7D78"/>
    <w:rsid w:val="002D239C"/>
    <w:rsid w:val="002D79BD"/>
    <w:rsid w:val="00311638"/>
    <w:rsid w:val="00316547"/>
    <w:rsid w:val="003453EC"/>
    <w:rsid w:val="00353EC3"/>
    <w:rsid w:val="003564B0"/>
    <w:rsid w:val="0036357D"/>
    <w:rsid w:val="00370DD7"/>
    <w:rsid w:val="003A20BD"/>
    <w:rsid w:val="003B0531"/>
    <w:rsid w:val="003E40A3"/>
    <w:rsid w:val="003F2DA9"/>
    <w:rsid w:val="004668CF"/>
    <w:rsid w:val="0047410D"/>
    <w:rsid w:val="004836F9"/>
    <w:rsid w:val="004C1A15"/>
    <w:rsid w:val="004E5D03"/>
    <w:rsid w:val="00513FF2"/>
    <w:rsid w:val="005700D3"/>
    <w:rsid w:val="0057632C"/>
    <w:rsid w:val="00584F40"/>
    <w:rsid w:val="005A31DA"/>
    <w:rsid w:val="005A3C6C"/>
    <w:rsid w:val="005C2F01"/>
    <w:rsid w:val="005D0A91"/>
    <w:rsid w:val="00602661"/>
    <w:rsid w:val="0064201B"/>
    <w:rsid w:val="00664BB1"/>
    <w:rsid w:val="00671A99"/>
    <w:rsid w:val="00686610"/>
    <w:rsid w:val="006B1CB0"/>
    <w:rsid w:val="006B2C08"/>
    <w:rsid w:val="006D7E5D"/>
    <w:rsid w:val="006E4AE7"/>
    <w:rsid w:val="00756E11"/>
    <w:rsid w:val="00790916"/>
    <w:rsid w:val="007B6808"/>
    <w:rsid w:val="007C2D19"/>
    <w:rsid w:val="007C33B4"/>
    <w:rsid w:val="007F7D0B"/>
    <w:rsid w:val="008168FA"/>
    <w:rsid w:val="00817A33"/>
    <w:rsid w:val="008265B9"/>
    <w:rsid w:val="00870440"/>
    <w:rsid w:val="008741E2"/>
    <w:rsid w:val="008C340B"/>
    <w:rsid w:val="008F35A7"/>
    <w:rsid w:val="0092257B"/>
    <w:rsid w:val="0095106E"/>
    <w:rsid w:val="00955081"/>
    <w:rsid w:val="00961940"/>
    <w:rsid w:val="00991D57"/>
    <w:rsid w:val="009B4CEF"/>
    <w:rsid w:val="009C0191"/>
    <w:rsid w:val="009D3C92"/>
    <w:rsid w:val="00A04226"/>
    <w:rsid w:val="00A14B19"/>
    <w:rsid w:val="00A52C37"/>
    <w:rsid w:val="00A8023C"/>
    <w:rsid w:val="00AC0FBC"/>
    <w:rsid w:val="00AD1C2D"/>
    <w:rsid w:val="00AE78BD"/>
    <w:rsid w:val="00B057F8"/>
    <w:rsid w:val="00BA0145"/>
    <w:rsid w:val="00BB21EC"/>
    <w:rsid w:val="00BE4238"/>
    <w:rsid w:val="00C11B19"/>
    <w:rsid w:val="00C31B16"/>
    <w:rsid w:val="00C92F66"/>
    <w:rsid w:val="00CB0AC0"/>
    <w:rsid w:val="00CB4448"/>
    <w:rsid w:val="00CF55C6"/>
    <w:rsid w:val="00D006F4"/>
    <w:rsid w:val="00D17C76"/>
    <w:rsid w:val="00D4379D"/>
    <w:rsid w:val="00D55486"/>
    <w:rsid w:val="00D6040A"/>
    <w:rsid w:val="00D637C0"/>
    <w:rsid w:val="00D867CF"/>
    <w:rsid w:val="00D9472D"/>
    <w:rsid w:val="00D96470"/>
    <w:rsid w:val="00DB3F59"/>
    <w:rsid w:val="00DD0BA4"/>
    <w:rsid w:val="00DE00C8"/>
    <w:rsid w:val="00DE0D30"/>
    <w:rsid w:val="00DE23FE"/>
    <w:rsid w:val="00DF4B2D"/>
    <w:rsid w:val="00E0068C"/>
    <w:rsid w:val="00E122FE"/>
    <w:rsid w:val="00E40685"/>
    <w:rsid w:val="00E80F0E"/>
    <w:rsid w:val="00EB3872"/>
    <w:rsid w:val="00EB7D1B"/>
    <w:rsid w:val="00F2684B"/>
    <w:rsid w:val="00F72AAD"/>
    <w:rsid w:val="00FB3368"/>
    <w:rsid w:val="00FB4C77"/>
    <w:rsid w:val="00FD6642"/>
    <w:rsid w:val="00FF0825"/>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color w:val="00000A"/>
      <w:sz w:val="22"/>
      <w:lang w:eastAsia="zh-CN"/>
    </w:rPr>
  </w:style>
  <w:style w:type="paragraph" w:styleId="Heading1">
    <w:name w:val="heading 1"/>
    <w:basedOn w:val="Normal"/>
    <w:next w:val="Normal"/>
    <w:qFormat/>
    <w:rsid w:val="00D6040A"/>
    <w:pPr>
      <w:keepNext/>
      <w:spacing w:before="240" w:after="240"/>
      <w:outlineLvl w:val="0"/>
    </w:pPr>
    <w:rPr>
      <w:b/>
      <w:bCs/>
      <w:caps/>
      <w:kern w:val="2"/>
      <w:szCs w:val="32"/>
      <w:lang w:eastAsia="en-US"/>
    </w:rPr>
  </w:style>
  <w:style w:type="paragraph" w:styleId="Heading2">
    <w:name w:val="heading 2"/>
    <w:basedOn w:val="Normal"/>
    <w:next w:val="Normal"/>
    <w:qFormat/>
    <w:rsid w:val="00D6040A"/>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qFormat/>
    <w:rsid w:val="0073333B"/>
    <w:rPr>
      <w:rFonts w:ascii="Tahoma" w:eastAsia="SimSun" w:hAnsi="Tahoma" w:cs="Tahoma"/>
      <w:sz w:val="16"/>
      <w:szCs w:val="16"/>
      <w:lang w:eastAsia="zh-CN"/>
    </w:rPr>
  </w:style>
  <w:style w:type="character" w:styleId="FootnoteReference">
    <w:name w:val="footnote reference"/>
    <w:basedOn w:val="DefaultParagraphFont"/>
    <w:uiPriority w:val="99"/>
    <w:qFormat/>
    <w:rsid w:val="001F550A"/>
    <w:rPr>
      <w:vertAlign w:val="superscript"/>
    </w:rPr>
  </w:style>
  <w:style w:type="character" w:customStyle="1" w:styleId="FootnoteTextChar">
    <w:name w:val="Footnote Text Char"/>
    <w:basedOn w:val="DefaultParagraphFont"/>
    <w:link w:val="FootnoteText"/>
    <w:uiPriority w:val="99"/>
    <w:semiHidden/>
    <w:qFormat/>
    <w:rsid w:val="001F550A"/>
    <w:rPr>
      <w:rFonts w:ascii="Arial" w:eastAsia="SimSun" w:hAnsi="Arial" w:cs="Arial"/>
      <w:sz w:val="18"/>
      <w:lang w:eastAsia="zh-CN"/>
    </w:rPr>
  </w:style>
  <w:style w:type="character" w:customStyle="1" w:styleId="ListLabel1">
    <w:name w:val="ListLabel 1"/>
    <w:qFormat/>
    <w:rPr>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EndnoteCharacters">
    <w:name w:val="Endnote Characters"/>
    <w:qFormat/>
  </w:style>
  <w:style w:type="character" w:customStyle="1" w:styleId="ListLabel41">
    <w:name w:val="ListLabel 41"/>
    <w:qFormat/>
    <w:rPr>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basedOn w:val="Normal"/>
    <w:link w:val="BodyTextChar"/>
    <w:rsid w:val="00676C5C"/>
    <w:pPr>
      <w:spacing w:after="220"/>
    </w:pPr>
  </w:style>
  <w:style w:type="paragraph" w:styleId="List">
    <w:name w:val="List"/>
    <w:basedOn w:val="BodyText"/>
    <w:rPr>
      <w:rFonts w:cs="Droid Sans Devanagari"/>
    </w:rPr>
  </w:style>
  <w:style w:type="paragraph" w:styleId="Caption">
    <w:name w:val="caption"/>
    <w:basedOn w:val="Normal"/>
    <w:next w:val="Normal"/>
    <w:qFormat/>
    <w:rsid w:val="00676C5C"/>
    <w:rPr>
      <w:b/>
      <w:bCs/>
      <w:sz w:val="18"/>
    </w:rPr>
  </w:style>
  <w:style w:type="paragraph" w:customStyle="1" w:styleId="Index">
    <w:name w:val="Index"/>
    <w:basedOn w:val="Normal"/>
    <w:qFormat/>
    <w:pPr>
      <w:suppressLineNumbers/>
    </w:pPr>
    <w:rPr>
      <w:rFonts w:cs="Droid Sans Devanagari"/>
    </w:rPr>
  </w:style>
  <w:style w:type="paragraph" w:customStyle="1" w:styleId="Endofdocument-Annex">
    <w:name w:val="[End of document - Annex]"/>
    <w:basedOn w:val="Normal"/>
    <w:qFormat/>
    <w:rsid w:val="0053057A"/>
    <w:pPr>
      <w:ind w:left="5534"/>
    </w:pPr>
  </w:style>
  <w:style w:type="paragraph" w:styleId="CommentText">
    <w:name w:val="annotation text"/>
    <w:basedOn w:val="Normal"/>
    <w:link w:val="CommentTextChar"/>
    <w:semiHidden/>
    <w:qFormat/>
    <w:rsid w:val="00676C5C"/>
    <w:rPr>
      <w:sz w:val="18"/>
    </w:rPr>
  </w:style>
  <w:style w:type="paragraph" w:styleId="EndnoteText">
    <w:name w:val="endnote text"/>
    <w:basedOn w:val="Normal"/>
    <w:semiHidden/>
    <w:qFormat/>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qFormat/>
    <w:rsid w:val="0073333B"/>
    <w:rPr>
      <w:rFonts w:ascii="Tahoma" w:hAnsi="Tahoma" w:cs="Tahoma"/>
      <w:sz w:val="16"/>
      <w:szCs w:val="16"/>
    </w:rPr>
  </w:style>
  <w:style w:type="paragraph" w:styleId="FootnoteText">
    <w:name w:val="footnote text"/>
    <w:basedOn w:val="Normal"/>
    <w:link w:val="FootnoteTextChar"/>
    <w:pPr>
      <w:suppressLineNumbers/>
      <w:ind w:left="339" w:hanging="339"/>
    </w:pPr>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qFormat/>
    <w:rsid w:val="00676C5C"/>
  </w:style>
  <w:style w:type="paragraph" w:customStyle="1" w:styleId="ONUME">
    <w:name w:val="ONUM E"/>
    <w:basedOn w:val="BodyText"/>
    <w:qFormat/>
    <w:rsid w:val="00D6040A"/>
    <w:pPr>
      <w:numPr>
        <w:numId w:val="13"/>
      </w:numPr>
      <w:ind w:left="0" w:firstLine="0"/>
    </w:pPr>
  </w:style>
  <w:style w:type="paragraph" w:customStyle="1" w:styleId="ONUMFS">
    <w:name w:val="ONUM FS"/>
    <w:basedOn w:val="BodyText"/>
    <w:qForma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06F58"/>
    <w:pPr>
      <w:spacing w:line="276" w:lineRule="auto"/>
      <w:ind w:left="720"/>
      <w:contextualSpacing/>
    </w:pPr>
    <w:rPr>
      <w:rFonts w:eastAsia="Arial"/>
      <w:color w:val="000000"/>
      <w:szCs w:val="22"/>
      <w:lang w:val="fr-FR" w:eastAsia="en-US"/>
    </w:rPr>
  </w:style>
  <w:style w:type="character" w:styleId="CommentReference">
    <w:name w:val="annotation reference"/>
    <w:basedOn w:val="DefaultParagraphFont"/>
    <w:rsid w:val="00024D1B"/>
    <w:rPr>
      <w:sz w:val="16"/>
      <w:szCs w:val="16"/>
    </w:rPr>
  </w:style>
  <w:style w:type="paragraph" w:styleId="CommentSubject">
    <w:name w:val="annotation subject"/>
    <w:basedOn w:val="CommentText"/>
    <w:next w:val="CommentText"/>
    <w:link w:val="CommentSubjectChar"/>
    <w:rsid w:val="00024D1B"/>
    <w:rPr>
      <w:b/>
      <w:bCs/>
      <w:sz w:val="20"/>
    </w:rPr>
  </w:style>
  <w:style w:type="character" w:customStyle="1" w:styleId="CommentTextChar">
    <w:name w:val="Comment Text Char"/>
    <w:basedOn w:val="DefaultParagraphFont"/>
    <w:link w:val="CommentText"/>
    <w:semiHidden/>
    <w:rsid w:val="00024D1B"/>
    <w:rPr>
      <w:rFonts w:ascii="Arial" w:eastAsia="SimSun" w:hAnsi="Arial" w:cs="Arial"/>
      <w:color w:val="00000A"/>
      <w:sz w:val="18"/>
      <w:lang w:eastAsia="zh-CN"/>
    </w:rPr>
  </w:style>
  <w:style w:type="character" w:customStyle="1" w:styleId="CommentSubjectChar">
    <w:name w:val="Comment Subject Char"/>
    <w:basedOn w:val="CommentTextChar"/>
    <w:link w:val="CommentSubject"/>
    <w:rsid w:val="00024D1B"/>
    <w:rPr>
      <w:rFonts w:ascii="Arial" w:eastAsia="SimSun" w:hAnsi="Arial" w:cs="Arial"/>
      <w:b/>
      <w:bCs/>
      <w:color w:val="00000A"/>
      <w:sz w:val="18"/>
      <w:lang w:eastAsia="zh-CN"/>
    </w:rPr>
  </w:style>
  <w:style w:type="character" w:styleId="Hyperlink">
    <w:name w:val="Hyperlink"/>
    <w:basedOn w:val="DefaultParagraphFont"/>
    <w:rsid w:val="009C0191"/>
    <w:rPr>
      <w:color w:val="0000FF" w:themeColor="hyperlink"/>
      <w:u w:val="single"/>
    </w:rPr>
  </w:style>
  <w:style w:type="character" w:customStyle="1" w:styleId="BodyTextChar">
    <w:name w:val="Body Text Char"/>
    <w:basedOn w:val="DefaultParagraphFont"/>
    <w:link w:val="BodyText"/>
    <w:rsid w:val="00D6040A"/>
    <w:rPr>
      <w:rFonts w:ascii="Arial" w:eastAsia="SimSun" w:hAnsi="Arial" w:cs="Arial"/>
      <w:color w:val="00000A"/>
      <w:sz w:val="22"/>
      <w:lang w:eastAsia="zh-CN"/>
    </w:rPr>
  </w:style>
  <w:style w:type="paragraph" w:styleId="Revision">
    <w:name w:val="Revision"/>
    <w:hidden/>
    <w:uiPriority w:val="99"/>
    <w:semiHidden/>
    <w:rsid w:val="00316547"/>
    <w:rPr>
      <w:rFonts w:ascii="Arial" w:eastAsia="SimSun" w:hAnsi="Arial" w:cs="Arial"/>
      <w:color w:val="00000A"/>
      <w:sz w:val="22"/>
      <w:lang w:eastAsia="zh-CN"/>
    </w:rPr>
  </w:style>
  <w:style w:type="paragraph" w:customStyle="1" w:styleId="indenti">
    <w:name w:val="indent_i"/>
    <w:basedOn w:val="Normal"/>
    <w:rsid w:val="00FB4C77"/>
    <w:pPr>
      <w:numPr>
        <w:ilvl w:val="2"/>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color w:val="00000A"/>
      <w:sz w:val="22"/>
      <w:lang w:eastAsia="zh-CN"/>
    </w:rPr>
  </w:style>
  <w:style w:type="paragraph" w:styleId="Heading1">
    <w:name w:val="heading 1"/>
    <w:basedOn w:val="Normal"/>
    <w:next w:val="Normal"/>
    <w:qFormat/>
    <w:rsid w:val="00D6040A"/>
    <w:pPr>
      <w:keepNext/>
      <w:spacing w:before="240" w:after="240"/>
      <w:outlineLvl w:val="0"/>
    </w:pPr>
    <w:rPr>
      <w:b/>
      <w:bCs/>
      <w:caps/>
      <w:kern w:val="2"/>
      <w:szCs w:val="32"/>
      <w:lang w:eastAsia="en-US"/>
    </w:rPr>
  </w:style>
  <w:style w:type="paragraph" w:styleId="Heading2">
    <w:name w:val="heading 2"/>
    <w:basedOn w:val="Normal"/>
    <w:next w:val="Normal"/>
    <w:qFormat/>
    <w:rsid w:val="00D6040A"/>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qFormat/>
    <w:rsid w:val="0073333B"/>
    <w:rPr>
      <w:rFonts w:ascii="Tahoma" w:eastAsia="SimSun" w:hAnsi="Tahoma" w:cs="Tahoma"/>
      <w:sz w:val="16"/>
      <w:szCs w:val="16"/>
      <w:lang w:eastAsia="zh-CN"/>
    </w:rPr>
  </w:style>
  <w:style w:type="character" w:styleId="FootnoteReference">
    <w:name w:val="footnote reference"/>
    <w:basedOn w:val="DefaultParagraphFont"/>
    <w:uiPriority w:val="99"/>
    <w:qFormat/>
    <w:rsid w:val="001F550A"/>
    <w:rPr>
      <w:vertAlign w:val="superscript"/>
    </w:rPr>
  </w:style>
  <w:style w:type="character" w:customStyle="1" w:styleId="FootnoteTextChar">
    <w:name w:val="Footnote Text Char"/>
    <w:basedOn w:val="DefaultParagraphFont"/>
    <w:link w:val="FootnoteText"/>
    <w:uiPriority w:val="99"/>
    <w:semiHidden/>
    <w:qFormat/>
    <w:rsid w:val="001F550A"/>
    <w:rPr>
      <w:rFonts w:ascii="Arial" w:eastAsia="SimSun" w:hAnsi="Arial" w:cs="Arial"/>
      <w:sz w:val="18"/>
      <w:lang w:eastAsia="zh-CN"/>
    </w:rPr>
  </w:style>
  <w:style w:type="character" w:customStyle="1" w:styleId="ListLabel1">
    <w:name w:val="ListLabel 1"/>
    <w:qFormat/>
    <w:rPr>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EndnoteCharacters">
    <w:name w:val="Endnote Characters"/>
    <w:qFormat/>
  </w:style>
  <w:style w:type="character" w:customStyle="1" w:styleId="ListLabel41">
    <w:name w:val="ListLabel 41"/>
    <w:qFormat/>
    <w:rPr>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basedOn w:val="Normal"/>
    <w:link w:val="BodyTextChar"/>
    <w:rsid w:val="00676C5C"/>
    <w:pPr>
      <w:spacing w:after="220"/>
    </w:pPr>
  </w:style>
  <w:style w:type="paragraph" w:styleId="List">
    <w:name w:val="List"/>
    <w:basedOn w:val="BodyText"/>
    <w:rPr>
      <w:rFonts w:cs="Droid Sans Devanagari"/>
    </w:rPr>
  </w:style>
  <w:style w:type="paragraph" w:styleId="Caption">
    <w:name w:val="caption"/>
    <w:basedOn w:val="Normal"/>
    <w:next w:val="Normal"/>
    <w:qFormat/>
    <w:rsid w:val="00676C5C"/>
    <w:rPr>
      <w:b/>
      <w:bCs/>
      <w:sz w:val="18"/>
    </w:rPr>
  </w:style>
  <w:style w:type="paragraph" w:customStyle="1" w:styleId="Index">
    <w:name w:val="Index"/>
    <w:basedOn w:val="Normal"/>
    <w:qFormat/>
    <w:pPr>
      <w:suppressLineNumbers/>
    </w:pPr>
    <w:rPr>
      <w:rFonts w:cs="Droid Sans Devanagari"/>
    </w:rPr>
  </w:style>
  <w:style w:type="paragraph" w:customStyle="1" w:styleId="Endofdocument-Annex">
    <w:name w:val="[End of document - Annex]"/>
    <w:basedOn w:val="Normal"/>
    <w:qFormat/>
    <w:rsid w:val="0053057A"/>
    <w:pPr>
      <w:ind w:left="5534"/>
    </w:pPr>
  </w:style>
  <w:style w:type="paragraph" w:styleId="CommentText">
    <w:name w:val="annotation text"/>
    <w:basedOn w:val="Normal"/>
    <w:link w:val="CommentTextChar"/>
    <w:semiHidden/>
    <w:qFormat/>
    <w:rsid w:val="00676C5C"/>
    <w:rPr>
      <w:sz w:val="18"/>
    </w:rPr>
  </w:style>
  <w:style w:type="paragraph" w:styleId="EndnoteText">
    <w:name w:val="endnote text"/>
    <w:basedOn w:val="Normal"/>
    <w:semiHidden/>
    <w:qFormat/>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qFormat/>
    <w:rsid w:val="0073333B"/>
    <w:rPr>
      <w:rFonts w:ascii="Tahoma" w:hAnsi="Tahoma" w:cs="Tahoma"/>
      <w:sz w:val="16"/>
      <w:szCs w:val="16"/>
    </w:rPr>
  </w:style>
  <w:style w:type="paragraph" w:styleId="FootnoteText">
    <w:name w:val="footnote text"/>
    <w:basedOn w:val="Normal"/>
    <w:link w:val="FootnoteTextChar"/>
    <w:pPr>
      <w:suppressLineNumbers/>
      <w:ind w:left="339" w:hanging="339"/>
    </w:pPr>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qFormat/>
    <w:rsid w:val="00676C5C"/>
  </w:style>
  <w:style w:type="paragraph" w:customStyle="1" w:styleId="ONUME">
    <w:name w:val="ONUM E"/>
    <w:basedOn w:val="BodyText"/>
    <w:qFormat/>
    <w:rsid w:val="00D6040A"/>
    <w:pPr>
      <w:numPr>
        <w:numId w:val="13"/>
      </w:numPr>
      <w:ind w:left="0" w:firstLine="0"/>
    </w:pPr>
  </w:style>
  <w:style w:type="paragraph" w:customStyle="1" w:styleId="ONUMFS">
    <w:name w:val="ONUM FS"/>
    <w:basedOn w:val="BodyText"/>
    <w:qForma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06F58"/>
    <w:pPr>
      <w:spacing w:line="276" w:lineRule="auto"/>
      <w:ind w:left="720"/>
      <w:contextualSpacing/>
    </w:pPr>
    <w:rPr>
      <w:rFonts w:eastAsia="Arial"/>
      <w:color w:val="000000"/>
      <w:szCs w:val="22"/>
      <w:lang w:val="fr-FR" w:eastAsia="en-US"/>
    </w:rPr>
  </w:style>
  <w:style w:type="character" w:styleId="CommentReference">
    <w:name w:val="annotation reference"/>
    <w:basedOn w:val="DefaultParagraphFont"/>
    <w:rsid w:val="00024D1B"/>
    <w:rPr>
      <w:sz w:val="16"/>
      <w:szCs w:val="16"/>
    </w:rPr>
  </w:style>
  <w:style w:type="paragraph" w:styleId="CommentSubject">
    <w:name w:val="annotation subject"/>
    <w:basedOn w:val="CommentText"/>
    <w:next w:val="CommentText"/>
    <w:link w:val="CommentSubjectChar"/>
    <w:rsid w:val="00024D1B"/>
    <w:rPr>
      <w:b/>
      <w:bCs/>
      <w:sz w:val="20"/>
    </w:rPr>
  </w:style>
  <w:style w:type="character" w:customStyle="1" w:styleId="CommentTextChar">
    <w:name w:val="Comment Text Char"/>
    <w:basedOn w:val="DefaultParagraphFont"/>
    <w:link w:val="CommentText"/>
    <w:semiHidden/>
    <w:rsid w:val="00024D1B"/>
    <w:rPr>
      <w:rFonts w:ascii="Arial" w:eastAsia="SimSun" w:hAnsi="Arial" w:cs="Arial"/>
      <w:color w:val="00000A"/>
      <w:sz w:val="18"/>
      <w:lang w:eastAsia="zh-CN"/>
    </w:rPr>
  </w:style>
  <w:style w:type="character" w:customStyle="1" w:styleId="CommentSubjectChar">
    <w:name w:val="Comment Subject Char"/>
    <w:basedOn w:val="CommentTextChar"/>
    <w:link w:val="CommentSubject"/>
    <w:rsid w:val="00024D1B"/>
    <w:rPr>
      <w:rFonts w:ascii="Arial" w:eastAsia="SimSun" w:hAnsi="Arial" w:cs="Arial"/>
      <w:b/>
      <w:bCs/>
      <w:color w:val="00000A"/>
      <w:sz w:val="18"/>
      <w:lang w:eastAsia="zh-CN"/>
    </w:rPr>
  </w:style>
  <w:style w:type="character" w:styleId="Hyperlink">
    <w:name w:val="Hyperlink"/>
    <w:basedOn w:val="DefaultParagraphFont"/>
    <w:rsid w:val="009C0191"/>
    <w:rPr>
      <w:color w:val="0000FF" w:themeColor="hyperlink"/>
      <w:u w:val="single"/>
    </w:rPr>
  </w:style>
  <w:style w:type="character" w:customStyle="1" w:styleId="BodyTextChar">
    <w:name w:val="Body Text Char"/>
    <w:basedOn w:val="DefaultParagraphFont"/>
    <w:link w:val="BodyText"/>
    <w:rsid w:val="00D6040A"/>
    <w:rPr>
      <w:rFonts w:ascii="Arial" w:eastAsia="SimSun" w:hAnsi="Arial" w:cs="Arial"/>
      <w:color w:val="00000A"/>
      <w:sz w:val="22"/>
      <w:lang w:eastAsia="zh-CN"/>
    </w:rPr>
  </w:style>
  <w:style w:type="paragraph" w:styleId="Revision">
    <w:name w:val="Revision"/>
    <w:hidden/>
    <w:uiPriority w:val="99"/>
    <w:semiHidden/>
    <w:rsid w:val="00316547"/>
    <w:rPr>
      <w:rFonts w:ascii="Arial" w:eastAsia="SimSun" w:hAnsi="Arial" w:cs="Arial"/>
      <w:color w:val="00000A"/>
      <w:sz w:val="22"/>
      <w:lang w:eastAsia="zh-CN"/>
    </w:rPr>
  </w:style>
  <w:style w:type="paragraph" w:customStyle="1" w:styleId="indenti">
    <w:name w:val="indent_i"/>
    <w:basedOn w:val="Normal"/>
    <w:rsid w:val="00FB4C77"/>
    <w:pPr>
      <w:numPr>
        <w:ilvl w:val="2"/>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800830">
      <w:bodyDiv w:val="1"/>
      <w:marLeft w:val="0"/>
      <w:marRight w:val="0"/>
      <w:marTop w:val="0"/>
      <w:marBottom w:val="0"/>
      <w:divBdr>
        <w:top w:val="none" w:sz="0" w:space="0" w:color="auto"/>
        <w:left w:val="none" w:sz="0" w:space="0" w:color="auto"/>
        <w:bottom w:val="none" w:sz="0" w:space="0" w:color="auto"/>
        <w:right w:val="none" w:sz="0" w:space="0" w:color="auto"/>
      </w:divBdr>
    </w:div>
    <w:div w:id="1890417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9EF77-AB4C-41E8-9F19-89A4F25E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H/LD/WG/5/</vt:lpstr>
    </vt:vector>
  </TitlesOfParts>
  <Company>WIPO</Company>
  <LinksUpToDate>false</LinksUpToDate>
  <CharactersWithSpaces>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dc:title>
  <dc:creator>MAILLARD Amber</dc:creator>
  <cp:lastModifiedBy>MAILLARD Amber</cp:lastModifiedBy>
  <cp:revision>7</cp:revision>
  <cp:lastPrinted>2018-05-23T12:58:00Z</cp:lastPrinted>
  <dcterms:created xsi:type="dcterms:W3CDTF">2018-05-23T08:03:00Z</dcterms:created>
  <dcterms:modified xsi:type="dcterms:W3CDTF">2018-05-23T12:58:00Z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WIPO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