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3333B" w:rsidP="005F1A64">
            <w:r>
              <w:rPr>
                <w:noProof/>
                <w:lang w:eastAsia="en-US"/>
              </w:rPr>
              <w:drawing>
                <wp:inline distT="0" distB="0" distL="0" distR="0" wp14:anchorId="3CB104BF" wp14:editId="6E0FE116">
                  <wp:extent cx="1857375" cy="1323975"/>
                  <wp:effectExtent l="0" t="0" r="9525" b="9525"/>
                  <wp:docPr id="1" name="Picture 1" descr="WIP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D9777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42" w:type="dxa"/>
              <w:left w:w="0" w:type="dxa"/>
              <w:right w:w="0" w:type="dxa"/>
            </w:tcMar>
            <w:vAlign w:val="center"/>
          </w:tcPr>
          <w:p w:rsidR="008B2CC1" w:rsidRPr="0090731E" w:rsidRDefault="003856A5" w:rsidP="00D97770">
            <w:pPr>
              <w:spacing w:after="120"/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</w:t>
            </w:r>
            <w:r w:rsidR="00E5563E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56656" w:rsidRPr="00D97770">
              <w:rPr>
                <w:rFonts w:ascii="Arial Black" w:hAnsi="Arial Black"/>
                <w:caps/>
                <w:sz w:val="15"/>
              </w:rPr>
              <w:t>4</w:t>
            </w:r>
            <w:r w:rsidR="00A56572">
              <w:rPr>
                <w:rFonts w:ascii="Arial Black" w:hAnsi="Arial Black"/>
                <w:caps/>
                <w:sz w:val="15"/>
              </w:rPr>
              <w:t>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F23DE3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55D3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24D4B">
              <w:rPr>
                <w:rFonts w:ascii="Arial Black" w:hAnsi="Arial Black"/>
                <w:caps/>
                <w:sz w:val="15"/>
              </w:rPr>
              <w:t xml:space="preserve">MAY </w:t>
            </w:r>
            <w:r w:rsidR="00C55D3E">
              <w:rPr>
                <w:rFonts w:ascii="Arial Black" w:hAnsi="Arial Black"/>
                <w:caps/>
                <w:sz w:val="15"/>
              </w:rPr>
              <w:t>8</w:t>
            </w:r>
            <w:r w:rsidR="00F23DE3" w:rsidRPr="00D97770">
              <w:rPr>
                <w:rFonts w:ascii="Arial Black" w:hAnsi="Arial Black"/>
                <w:caps/>
                <w:sz w:val="15"/>
              </w:rPr>
              <w:t xml:space="preserve">, </w:t>
            </w:r>
            <w:r w:rsidR="00F23DE3">
              <w:rPr>
                <w:rFonts w:ascii="Arial Black" w:hAnsi="Arial Black"/>
                <w:caps/>
                <w:sz w:val="15"/>
              </w:rPr>
              <w:t>201</w:t>
            </w:r>
            <w:r w:rsidR="00E5563E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3845C1" w:rsidRDefault="003856A5" w:rsidP="00D97770">
      <w:pPr>
        <w:spacing w:before="1200"/>
      </w:pPr>
      <w:r w:rsidRPr="003856A5">
        <w:rPr>
          <w:b/>
          <w:sz w:val="28"/>
          <w:szCs w:val="28"/>
        </w:rPr>
        <w:t>Working Group on the Legal Development of the Hague System for the International Registration of Industrial Designs</w:t>
      </w:r>
    </w:p>
    <w:p w:rsidR="003856A5" w:rsidRPr="003856A5" w:rsidRDefault="00E5563E" w:rsidP="00D97770">
      <w:pPr>
        <w:spacing w:before="480"/>
        <w:rPr>
          <w:b/>
          <w:sz w:val="24"/>
          <w:szCs w:val="24"/>
        </w:rPr>
      </w:pPr>
      <w:r>
        <w:rPr>
          <w:b/>
          <w:sz w:val="24"/>
          <w:szCs w:val="24"/>
        </w:rPr>
        <w:t>Seven</w:t>
      </w:r>
      <w:r w:rsidR="00F23DE3">
        <w:rPr>
          <w:b/>
          <w:sz w:val="24"/>
          <w:szCs w:val="24"/>
        </w:rPr>
        <w:t>th</w:t>
      </w:r>
      <w:r w:rsidR="003856A5" w:rsidRPr="003856A5">
        <w:rPr>
          <w:b/>
          <w:sz w:val="24"/>
          <w:szCs w:val="24"/>
        </w:rPr>
        <w:t xml:space="preserve"> Session</w:t>
      </w:r>
    </w:p>
    <w:p w:rsidR="008B2CC1" w:rsidRDefault="003856A5" w:rsidP="003856A5">
      <w:pPr>
        <w:rPr>
          <w:b/>
          <w:sz w:val="24"/>
          <w:szCs w:val="24"/>
        </w:rPr>
      </w:pPr>
      <w:r w:rsidRPr="003856A5">
        <w:rPr>
          <w:b/>
          <w:sz w:val="24"/>
          <w:szCs w:val="24"/>
        </w:rPr>
        <w:t xml:space="preserve">Geneva, </w:t>
      </w:r>
      <w:r w:rsidR="00F23DE3">
        <w:rPr>
          <w:b/>
          <w:sz w:val="24"/>
          <w:szCs w:val="24"/>
        </w:rPr>
        <w:t>Ju</w:t>
      </w:r>
      <w:r w:rsidR="00E5563E">
        <w:rPr>
          <w:b/>
          <w:sz w:val="24"/>
          <w:szCs w:val="24"/>
        </w:rPr>
        <w:t>ly</w:t>
      </w:r>
      <w:r w:rsidR="00F23DE3">
        <w:rPr>
          <w:b/>
          <w:sz w:val="24"/>
          <w:szCs w:val="24"/>
        </w:rPr>
        <w:t xml:space="preserve"> </w:t>
      </w:r>
      <w:r w:rsidR="00E5563E">
        <w:rPr>
          <w:b/>
          <w:sz w:val="24"/>
          <w:szCs w:val="24"/>
        </w:rPr>
        <w:t>16</w:t>
      </w:r>
      <w:r w:rsidR="00F23DE3">
        <w:rPr>
          <w:b/>
          <w:sz w:val="24"/>
          <w:szCs w:val="24"/>
        </w:rPr>
        <w:t xml:space="preserve"> to </w:t>
      </w:r>
      <w:r w:rsidR="00E5563E">
        <w:rPr>
          <w:b/>
          <w:sz w:val="24"/>
          <w:szCs w:val="24"/>
        </w:rPr>
        <w:t>18</w:t>
      </w:r>
      <w:r w:rsidR="00F23DE3">
        <w:rPr>
          <w:b/>
          <w:sz w:val="24"/>
          <w:szCs w:val="24"/>
        </w:rPr>
        <w:t>, 201</w:t>
      </w:r>
      <w:r w:rsidR="00E5563E">
        <w:rPr>
          <w:b/>
          <w:sz w:val="24"/>
          <w:szCs w:val="24"/>
        </w:rPr>
        <w:t>8</w:t>
      </w:r>
    </w:p>
    <w:p w:rsidR="008B2CC1" w:rsidRDefault="003E321E" w:rsidP="00D97770">
      <w:pPr>
        <w:spacing w:before="72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issues surrounding </w:t>
      </w:r>
      <w:r w:rsidR="00A423B2">
        <w:rPr>
          <w:caps/>
          <w:sz w:val="24"/>
        </w:rPr>
        <w:t xml:space="preserve">the </w:t>
      </w:r>
      <w:r>
        <w:rPr>
          <w:caps/>
          <w:sz w:val="24"/>
        </w:rPr>
        <w:t xml:space="preserve">public </w:t>
      </w:r>
      <w:r w:rsidR="00421E3B">
        <w:rPr>
          <w:caps/>
          <w:sz w:val="24"/>
        </w:rPr>
        <w:t>A</w:t>
      </w:r>
      <w:r w:rsidR="005F0343">
        <w:rPr>
          <w:caps/>
          <w:sz w:val="24"/>
        </w:rPr>
        <w:t>vailability of</w:t>
      </w:r>
      <w:r w:rsidR="00421E3B">
        <w:rPr>
          <w:caps/>
          <w:sz w:val="24"/>
        </w:rPr>
        <w:t xml:space="preserve"> NOTIFICA</w:t>
      </w:r>
      <w:r w:rsidR="00A423B2">
        <w:rPr>
          <w:caps/>
          <w:sz w:val="24"/>
        </w:rPr>
        <w:t>ti</w:t>
      </w:r>
      <w:r w:rsidR="00421E3B">
        <w:rPr>
          <w:caps/>
          <w:sz w:val="24"/>
        </w:rPr>
        <w:t xml:space="preserve">ONS OF </w:t>
      </w:r>
      <w:r w:rsidR="00421E3B" w:rsidRPr="005F0343">
        <w:rPr>
          <w:caps/>
          <w:sz w:val="24"/>
        </w:rPr>
        <w:t>REFUSAL</w:t>
      </w:r>
    </w:p>
    <w:p w:rsidR="008B2CC1" w:rsidRPr="008B2CC1" w:rsidRDefault="00F23DE3" w:rsidP="00D97770">
      <w:pPr>
        <w:spacing w:before="240"/>
        <w:rPr>
          <w:i/>
        </w:rPr>
      </w:pPr>
      <w:bookmarkStart w:id="4" w:name="Prepared"/>
      <w:bookmarkEnd w:id="4"/>
      <w:r>
        <w:rPr>
          <w:i/>
        </w:rPr>
        <w:t>Document prepared by the International Bureau</w:t>
      </w:r>
    </w:p>
    <w:p w:rsidR="00F23DE3" w:rsidRDefault="00F23DE3" w:rsidP="00D97770">
      <w:pPr>
        <w:pStyle w:val="Heading1"/>
        <w:spacing w:before="960"/>
      </w:pPr>
      <w:r w:rsidRPr="008E43AD">
        <w:t>I.</w:t>
      </w:r>
      <w:r w:rsidRPr="008E43AD">
        <w:tab/>
        <w:t>BACKGROUND</w:t>
      </w:r>
    </w:p>
    <w:p w:rsidR="00F23DE3" w:rsidRPr="000E072D" w:rsidRDefault="00421E3B" w:rsidP="000E072D">
      <w:pPr>
        <w:pStyle w:val="Heading2"/>
      </w:pPr>
      <w:r w:rsidRPr="000E072D">
        <w:t xml:space="preserve">pdf </w:t>
      </w:r>
      <w:r w:rsidR="00EA7D5B" w:rsidRPr="000E072D">
        <w:t>COPIES OF NOTIFICATIONS AVAILABLE ON THE WIPO WEBSITE</w:t>
      </w:r>
    </w:p>
    <w:p w:rsidR="00414153" w:rsidRDefault="00414153" w:rsidP="00F23DE3">
      <w:pPr>
        <w:pStyle w:val="ONUME"/>
        <w:rPr>
          <w:lang w:eastAsia="en-US"/>
        </w:rPr>
      </w:pPr>
      <w:r>
        <w:rPr>
          <w:lang w:eastAsia="en-US"/>
        </w:rPr>
        <w:t>Article 14(2</w:t>
      </w:r>
      <w:proofErr w:type="gramStart"/>
      <w:r>
        <w:rPr>
          <w:lang w:eastAsia="en-US"/>
        </w:rPr>
        <w:t>)(</w:t>
      </w:r>
      <w:proofErr w:type="gramEnd"/>
      <w:r>
        <w:rPr>
          <w:lang w:eastAsia="en-US"/>
        </w:rPr>
        <w:t>c) of the Geneva</w:t>
      </w:r>
      <w:r w:rsidRPr="00A123C8">
        <w:rPr>
          <w:lang w:eastAsia="en-US"/>
        </w:rPr>
        <w:t xml:space="preserve"> </w:t>
      </w:r>
      <w:r>
        <w:rPr>
          <w:lang w:eastAsia="en-US"/>
        </w:rPr>
        <w:t>(</w:t>
      </w:r>
      <w:r w:rsidRPr="00A123C8">
        <w:rPr>
          <w:lang w:eastAsia="en-US"/>
        </w:rPr>
        <w:t>1999</w:t>
      </w:r>
      <w:r>
        <w:rPr>
          <w:lang w:eastAsia="en-US"/>
        </w:rPr>
        <w:t>) </w:t>
      </w:r>
      <w:r w:rsidRPr="00A123C8">
        <w:rPr>
          <w:lang w:eastAsia="en-US"/>
        </w:rPr>
        <w:t>Act</w:t>
      </w:r>
      <w:r>
        <w:rPr>
          <w:lang w:eastAsia="en-US"/>
        </w:rPr>
        <w:t xml:space="preserve"> of the Hague Agreement (hereinafter referred to as the “1999 Act”) provides that the effect given to the international registration under Article</w:t>
      </w:r>
      <w:r w:rsidR="00361F1B">
        <w:rPr>
          <w:lang w:eastAsia="en-US"/>
        </w:rPr>
        <w:t> </w:t>
      </w:r>
      <w:r>
        <w:rPr>
          <w:lang w:eastAsia="en-US"/>
        </w:rPr>
        <w:t>14(1), (2)(a) and</w:t>
      </w:r>
      <w:r w:rsidR="00361F1B">
        <w:rPr>
          <w:lang w:eastAsia="en-US"/>
        </w:rPr>
        <w:t> </w:t>
      </w:r>
      <w:r>
        <w:rPr>
          <w:lang w:eastAsia="en-US"/>
        </w:rPr>
        <w:t xml:space="preserve">(b) shall apply to the industrial designs as received from the International Bureau by the Office of a designated Contracting Party or, where applicable, “as amended in </w:t>
      </w:r>
      <w:r w:rsidR="00656656">
        <w:rPr>
          <w:lang w:eastAsia="en-US"/>
        </w:rPr>
        <w:t>the</w:t>
      </w:r>
      <w:r>
        <w:rPr>
          <w:lang w:eastAsia="en-US"/>
        </w:rPr>
        <w:t xml:space="preserve"> procedure before that Office”.  </w:t>
      </w:r>
      <w:r w:rsidR="00024E28">
        <w:rPr>
          <w:lang w:eastAsia="en-US"/>
        </w:rPr>
        <w:t>Mindful of</w:t>
      </w:r>
      <w:r w:rsidR="00BB4E1A">
        <w:rPr>
          <w:lang w:eastAsia="en-US"/>
        </w:rPr>
        <w:t xml:space="preserve"> the above</w:t>
      </w:r>
      <w:r w:rsidR="009A15B1">
        <w:rPr>
          <w:lang w:eastAsia="en-US"/>
        </w:rPr>
        <w:t xml:space="preserve"> provision,</w:t>
      </w:r>
      <w:r>
        <w:rPr>
          <w:lang w:eastAsia="en-US"/>
        </w:rPr>
        <w:t xml:space="preserve"> the Assembly of the Hague Union</w:t>
      </w:r>
      <w:r w:rsidR="00114F1F">
        <w:rPr>
          <w:lang w:eastAsia="en-US"/>
        </w:rPr>
        <w:t>, meeting</w:t>
      </w:r>
      <w:r w:rsidR="009A15B1">
        <w:rPr>
          <w:lang w:eastAsia="en-US"/>
        </w:rPr>
        <w:t xml:space="preserve"> in its </w:t>
      </w:r>
      <w:r w:rsidR="00361F1B">
        <w:rPr>
          <w:lang w:eastAsia="en-US"/>
        </w:rPr>
        <w:t>t</w:t>
      </w:r>
      <w:r w:rsidR="009A15B1">
        <w:rPr>
          <w:lang w:eastAsia="en-US"/>
        </w:rPr>
        <w:t>hirty-</w:t>
      </w:r>
      <w:r w:rsidR="00361F1B">
        <w:rPr>
          <w:lang w:eastAsia="en-US"/>
        </w:rPr>
        <w:t>f</w:t>
      </w:r>
      <w:r w:rsidR="009A15B1">
        <w:rPr>
          <w:lang w:eastAsia="en-US"/>
        </w:rPr>
        <w:t>ourth (15</w:t>
      </w:r>
      <w:r w:rsidR="009A15B1" w:rsidRPr="009A15B1">
        <w:rPr>
          <w:vertAlign w:val="superscript"/>
          <w:lang w:eastAsia="en-US"/>
        </w:rPr>
        <w:t>th</w:t>
      </w:r>
      <w:r w:rsidR="00361F1B">
        <w:rPr>
          <w:lang w:eastAsia="en-US"/>
        </w:rPr>
        <w:t> </w:t>
      </w:r>
      <w:r w:rsidR="00002930">
        <w:rPr>
          <w:lang w:eastAsia="en-US"/>
        </w:rPr>
        <w:t>e</w:t>
      </w:r>
      <w:r w:rsidR="009A15B1">
        <w:rPr>
          <w:lang w:eastAsia="en-US"/>
        </w:rPr>
        <w:t xml:space="preserve">xtraordinary) </w:t>
      </w:r>
      <w:r w:rsidR="00002930">
        <w:rPr>
          <w:lang w:eastAsia="en-US"/>
        </w:rPr>
        <w:t>s</w:t>
      </w:r>
      <w:r w:rsidR="009A15B1">
        <w:rPr>
          <w:lang w:eastAsia="en-US"/>
        </w:rPr>
        <w:t xml:space="preserve">ession held </w:t>
      </w:r>
      <w:r w:rsidR="00656656">
        <w:rPr>
          <w:lang w:eastAsia="en-US"/>
        </w:rPr>
        <w:t>in</w:t>
      </w:r>
      <w:r w:rsidR="009A15B1">
        <w:rPr>
          <w:lang w:eastAsia="en-US"/>
        </w:rPr>
        <w:t xml:space="preserve"> September</w:t>
      </w:r>
      <w:r w:rsidR="00002930">
        <w:rPr>
          <w:lang w:eastAsia="en-US"/>
        </w:rPr>
        <w:t> </w:t>
      </w:r>
      <w:r w:rsidR="009A15B1">
        <w:rPr>
          <w:lang w:eastAsia="en-US"/>
        </w:rPr>
        <w:t xml:space="preserve">2014, </w:t>
      </w:r>
      <w:r w:rsidR="00114F1F">
        <w:rPr>
          <w:lang w:eastAsia="en-US"/>
        </w:rPr>
        <w:t xml:space="preserve">adopted </w:t>
      </w:r>
      <w:r w:rsidR="00C419CD">
        <w:rPr>
          <w:lang w:eastAsia="en-US"/>
        </w:rPr>
        <w:t>modification</w:t>
      </w:r>
      <w:r w:rsidR="009A15B1">
        <w:rPr>
          <w:lang w:eastAsia="en-US"/>
        </w:rPr>
        <w:t>s to Rules</w:t>
      </w:r>
      <w:r w:rsidR="00002930">
        <w:rPr>
          <w:lang w:eastAsia="en-US"/>
        </w:rPr>
        <w:t> </w:t>
      </w:r>
      <w:r w:rsidR="009A15B1">
        <w:rPr>
          <w:lang w:eastAsia="en-US"/>
        </w:rPr>
        <w:t>18(4), 18</w:t>
      </w:r>
      <w:r w:rsidR="009A15B1" w:rsidRPr="009A15B1">
        <w:rPr>
          <w:i/>
          <w:lang w:eastAsia="en-US"/>
        </w:rPr>
        <w:t>bis</w:t>
      </w:r>
      <w:r w:rsidR="009A15B1">
        <w:rPr>
          <w:lang w:eastAsia="en-US"/>
        </w:rPr>
        <w:t>(1) and</w:t>
      </w:r>
      <w:r w:rsidR="00002930">
        <w:rPr>
          <w:lang w:eastAsia="en-US"/>
        </w:rPr>
        <w:t> </w:t>
      </w:r>
      <w:r w:rsidR="009A15B1">
        <w:rPr>
          <w:lang w:eastAsia="en-US"/>
        </w:rPr>
        <w:t>(2)</w:t>
      </w:r>
      <w:r>
        <w:rPr>
          <w:lang w:eastAsia="en-US"/>
        </w:rPr>
        <w:t xml:space="preserve"> </w:t>
      </w:r>
      <w:r w:rsidR="009A15B1">
        <w:rPr>
          <w:lang w:eastAsia="en-US"/>
        </w:rPr>
        <w:t xml:space="preserve">of </w:t>
      </w:r>
      <w:r w:rsidR="009A15B1" w:rsidRPr="00A123C8">
        <w:t xml:space="preserve">the </w:t>
      </w:r>
      <w:r w:rsidR="009A15B1" w:rsidRPr="00A123C8">
        <w:rPr>
          <w:lang w:eastAsia="en-US"/>
        </w:rPr>
        <w:t>Common Regulations Under the 1999 Act and the 1960 Act of the Hague Agreement (hereinafter referred to as the “Common Regulations”)</w:t>
      </w:r>
      <w:r w:rsidR="009A15B1" w:rsidRPr="00273D23">
        <w:rPr>
          <w:rStyle w:val="FootnoteReference"/>
          <w:lang w:eastAsia="en-US"/>
        </w:rPr>
        <w:footnoteReference w:id="2"/>
      </w:r>
      <w:r w:rsidR="009A15B1">
        <w:rPr>
          <w:lang w:eastAsia="en-US"/>
        </w:rPr>
        <w:t>.</w:t>
      </w:r>
    </w:p>
    <w:p w:rsidR="005F0343" w:rsidRDefault="009A15B1" w:rsidP="00273D23">
      <w:pPr>
        <w:pStyle w:val="ONUME"/>
        <w:rPr>
          <w:lang w:eastAsia="en-US"/>
        </w:rPr>
      </w:pPr>
      <w:r>
        <w:rPr>
          <w:lang w:eastAsia="en-US"/>
        </w:rPr>
        <w:t>The a</w:t>
      </w:r>
      <w:r w:rsidR="00114F1F">
        <w:rPr>
          <w:lang w:eastAsia="en-US"/>
        </w:rPr>
        <w:t>dopted</w:t>
      </w:r>
      <w:r>
        <w:rPr>
          <w:lang w:eastAsia="en-US"/>
        </w:rPr>
        <w:t xml:space="preserve"> </w:t>
      </w:r>
      <w:r w:rsidR="00C419CD">
        <w:rPr>
          <w:lang w:eastAsia="en-US"/>
        </w:rPr>
        <w:t>m</w:t>
      </w:r>
      <w:r w:rsidR="005F0343">
        <w:rPr>
          <w:lang w:eastAsia="en-US"/>
        </w:rPr>
        <w:t xml:space="preserve">odifications </w:t>
      </w:r>
      <w:r>
        <w:rPr>
          <w:lang w:eastAsia="en-US"/>
        </w:rPr>
        <w:t>introduced a</w:t>
      </w:r>
      <w:r w:rsidR="00C419CD">
        <w:rPr>
          <w:lang w:eastAsia="en-US"/>
        </w:rPr>
        <w:t xml:space="preserve"> mechanism for </w:t>
      </w:r>
      <w:r w:rsidR="007641B3">
        <w:rPr>
          <w:lang w:eastAsia="en-US"/>
        </w:rPr>
        <w:t xml:space="preserve">ensuring that </w:t>
      </w:r>
      <w:r w:rsidR="00C419CD">
        <w:rPr>
          <w:lang w:eastAsia="en-US"/>
        </w:rPr>
        <w:t>any amendment made to the industrial design in a procedure before the Office</w:t>
      </w:r>
      <w:r w:rsidR="005F0343">
        <w:rPr>
          <w:lang w:eastAsia="en-US"/>
        </w:rPr>
        <w:t xml:space="preserve"> of a designated Contracting Party</w:t>
      </w:r>
      <w:r w:rsidR="00C419CD">
        <w:rPr>
          <w:lang w:eastAsia="en-US"/>
        </w:rPr>
        <w:t xml:space="preserve"> </w:t>
      </w:r>
      <w:r w:rsidR="00BB4E1A">
        <w:rPr>
          <w:lang w:eastAsia="en-US"/>
        </w:rPr>
        <w:t>i</w:t>
      </w:r>
      <w:r w:rsidR="007641B3">
        <w:rPr>
          <w:lang w:eastAsia="en-US"/>
        </w:rPr>
        <w:t>s</w:t>
      </w:r>
      <w:r w:rsidR="00C419CD">
        <w:rPr>
          <w:lang w:eastAsia="en-US"/>
        </w:rPr>
        <w:t xml:space="preserve"> communicated to the International Bureau </w:t>
      </w:r>
      <w:r w:rsidR="005F0343">
        <w:rPr>
          <w:lang w:eastAsia="en-US"/>
        </w:rPr>
        <w:t>through</w:t>
      </w:r>
      <w:r w:rsidR="00C419CD">
        <w:rPr>
          <w:lang w:eastAsia="en-US"/>
        </w:rPr>
        <w:t xml:space="preserve"> a statement of grant of protection under Rule</w:t>
      </w:r>
      <w:r w:rsidR="00002930">
        <w:rPr>
          <w:lang w:eastAsia="en-US"/>
        </w:rPr>
        <w:t> </w:t>
      </w:r>
      <w:r w:rsidR="00C419CD">
        <w:rPr>
          <w:lang w:eastAsia="en-US"/>
        </w:rPr>
        <w:t>18</w:t>
      </w:r>
      <w:r w:rsidR="00C419CD" w:rsidRPr="005F0343">
        <w:rPr>
          <w:i/>
          <w:lang w:eastAsia="en-US"/>
        </w:rPr>
        <w:t>bis</w:t>
      </w:r>
      <w:r w:rsidR="00C419CD">
        <w:rPr>
          <w:lang w:eastAsia="en-US"/>
        </w:rPr>
        <w:t>(1) or</w:t>
      </w:r>
      <w:r w:rsidR="00002930">
        <w:rPr>
          <w:lang w:eastAsia="en-US"/>
        </w:rPr>
        <w:t> </w:t>
      </w:r>
      <w:r w:rsidR="00C419CD">
        <w:rPr>
          <w:lang w:eastAsia="en-US"/>
        </w:rPr>
        <w:t>(2) or a notification of withdrawal of refusal under Rule</w:t>
      </w:r>
      <w:r w:rsidR="00002930">
        <w:rPr>
          <w:lang w:eastAsia="en-US"/>
        </w:rPr>
        <w:t> </w:t>
      </w:r>
      <w:r w:rsidR="00C419CD">
        <w:rPr>
          <w:lang w:eastAsia="en-US"/>
        </w:rPr>
        <w:t xml:space="preserve">18(4).  </w:t>
      </w:r>
      <w:r w:rsidR="00FD2B3C">
        <w:rPr>
          <w:lang w:eastAsia="en-US"/>
        </w:rPr>
        <w:t>P</w:t>
      </w:r>
      <w:r w:rsidR="00AF4CA1">
        <w:rPr>
          <w:lang w:eastAsia="en-US"/>
        </w:rPr>
        <w:t>ursuant to Rules</w:t>
      </w:r>
      <w:r w:rsidR="00002930">
        <w:rPr>
          <w:lang w:eastAsia="en-US"/>
        </w:rPr>
        <w:t> </w:t>
      </w:r>
      <w:r w:rsidR="00AF4CA1">
        <w:rPr>
          <w:lang w:eastAsia="en-US"/>
        </w:rPr>
        <w:t xml:space="preserve">18(5), </w:t>
      </w:r>
      <w:proofErr w:type="gramStart"/>
      <w:r w:rsidR="00AF4CA1">
        <w:rPr>
          <w:lang w:eastAsia="en-US"/>
        </w:rPr>
        <w:t>18</w:t>
      </w:r>
      <w:r w:rsidR="00AF4CA1" w:rsidRPr="005F0343">
        <w:rPr>
          <w:i/>
          <w:lang w:eastAsia="en-US"/>
        </w:rPr>
        <w:t>bis</w:t>
      </w:r>
      <w:r w:rsidR="00AF4CA1">
        <w:rPr>
          <w:lang w:eastAsia="en-US"/>
        </w:rPr>
        <w:t>(</w:t>
      </w:r>
      <w:proofErr w:type="gramEnd"/>
      <w:r w:rsidR="00AF4CA1">
        <w:rPr>
          <w:lang w:eastAsia="en-US"/>
        </w:rPr>
        <w:t>3) and</w:t>
      </w:r>
      <w:r w:rsidR="00002930">
        <w:rPr>
          <w:lang w:eastAsia="en-US"/>
        </w:rPr>
        <w:t> </w:t>
      </w:r>
      <w:r w:rsidR="00AF4CA1">
        <w:rPr>
          <w:lang w:eastAsia="en-US"/>
        </w:rPr>
        <w:t>26(1)(ii),</w:t>
      </w:r>
      <w:r w:rsidR="00303DDD">
        <w:rPr>
          <w:lang w:eastAsia="en-US"/>
        </w:rPr>
        <w:t xml:space="preserve"> and as described in document</w:t>
      </w:r>
      <w:r w:rsidR="00002930">
        <w:rPr>
          <w:lang w:eastAsia="en-US"/>
        </w:rPr>
        <w:t> </w:t>
      </w:r>
      <w:r w:rsidR="0066467B">
        <w:rPr>
          <w:lang w:eastAsia="en-US"/>
        </w:rPr>
        <w:t>H/A/34/2, paragraph</w:t>
      </w:r>
      <w:r w:rsidR="00002930">
        <w:rPr>
          <w:lang w:eastAsia="en-US"/>
        </w:rPr>
        <w:t> </w:t>
      </w:r>
      <w:r w:rsidR="0066467B">
        <w:rPr>
          <w:lang w:eastAsia="en-US"/>
        </w:rPr>
        <w:t xml:space="preserve">15, </w:t>
      </w:r>
      <w:r w:rsidR="00303DDD">
        <w:rPr>
          <w:lang w:eastAsia="en-US"/>
        </w:rPr>
        <w:t>submitted to the above session of the</w:t>
      </w:r>
      <w:r w:rsidR="00656656">
        <w:rPr>
          <w:lang w:eastAsia="en-US"/>
        </w:rPr>
        <w:t xml:space="preserve"> Assembly of the</w:t>
      </w:r>
      <w:r w:rsidR="00303DDD">
        <w:rPr>
          <w:lang w:eastAsia="en-US"/>
        </w:rPr>
        <w:t xml:space="preserve"> </w:t>
      </w:r>
      <w:r w:rsidR="00002930">
        <w:rPr>
          <w:lang w:eastAsia="en-US"/>
        </w:rPr>
        <w:t>Hague Union</w:t>
      </w:r>
      <w:r w:rsidR="00303DDD">
        <w:rPr>
          <w:lang w:eastAsia="en-US"/>
        </w:rPr>
        <w:t>,</w:t>
      </w:r>
      <w:r w:rsidR="00C419CD">
        <w:rPr>
          <w:lang w:eastAsia="en-US"/>
        </w:rPr>
        <w:t xml:space="preserve"> the International Bureau shall </w:t>
      </w:r>
      <w:r w:rsidR="00EC701F">
        <w:rPr>
          <w:lang w:eastAsia="en-US"/>
        </w:rPr>
        <w:t>make</w:t>
      </w:r>
      <w:r w:rsidR="00FA61F4">
        <w:rPr>
          <w:lang w:eastAsia="en-US"/>
        </w:rPr>
        <w:t xml:space="preserve"> </w:t>
      </w:r>
      <w:r w:rsidR="00C419CD">
        <w:rPr>
          <w:lang w:eastAsia="en-US"/>
        </w:rPr>
        <w:t xml:space="preserve">the information </w:t>
      </w:r>
      <w:r w:rsidR="00024E28">
        <w:rPr>
          <w:lang w:eastAsia="en-US"/>
        </w:rPr>
        <w:t>pertaining to</w:t>
      </w:r>
      <w:r w:rsidR="00C419CD">
        <w:rPr>
          <w:lang w:eastAsia="en-US"/>
        </w:rPr>
        <w:t xml:space="preserve"> such amendments </w:t>
      </w:r>
      <w:r w:rsidR="00EC701F">
        <w:rPr>
          <w:lang w:eastAsia="en-US"/>
        </w:rPr>
        <w:t>publicly available through</w:t>
      </w:r>
      <w:r w:rsidR="00C419CD">
        <w:rPr>
          <w:lang w:eastAsia="en-US"/>
        </w:rPr>
        <w:t xml:space="preserve"> the </w:t>
      </w:r>
      <w:r w:rsidR="00C419CD" w:rsidRPr="005F0343">
        <w:rPr>
          <w:i/>
          <w:lang w:eastAsia="en-US"/>
        </w:rPr>
        <w:t>International Designs Bulletin</w:t>
      </w:r>
      <w:r w:rsidR="00C419CD">
        <w:rPr>
          <w:lang w:eastAsia="en-US"/>
        </w:rPr>
        <w:t xml:space="preserve"> (hereinafter referred to as the “</w:t>
      </w:r>
      <w:r w:rsidR="00C419CD" w:rsidRPr="00F52B8B">
        <w:rPr>
          <w:lang w:eastAsia="en-US"/>
        </w:rPr>
        <w:t>Bulletin</w:t>
      </w:r>
      <w:r w:rsidR="00C419CD">
        <w:rPr>
          <w:lang w:eastAsia="en-US"/>
        </w:rPr>
        <w:t>”)</w:t>
      </w:r>
      <w:r w:rsidR="00303DDD">
        <w:rPr>
          <w:lang w:eastAsia="en-US"/>
        </w:rPr>
        <w:t>,</w:t>
      </w:r>
      <w:r w:rsidR="00C419CD">
        <w:rPr>
          <w:lang w:eastAsia="en-US"/>
        </w:rPr>
        <w:t xml:space="preserve"> by uploading a copy of the notification or statement as received from the Office.</w:t>
      </w:r>
    </w:p>
    <w:p w:rsidR="005A1FC7" w:rsidRDefault="00EF1238" w:rsidP="00F23DE3">
      <w:pPr>
        <w:pStyle w:val="ONUME"/>
        <w:rPr>
          <w:lang w:eastAsia="en-US"/>
        </w:rPr>
      </w:pPr>
      <w:r>
        <w:rPr>
          <w:lang w:eastAsia="en-US"/>
        </w:rPr>
        <w:lastRenderedPageBreak/>
        <w:t xml:space="preserve">The modified </w:t>
      </w:r>
      <w:r w:rsidR="00303DDD">
        <w:rPr>
          <w:lang w:eastAsia="en-US"/>
        </w:rPr>
        <w:t>provision</w:t>
      </w:r>
      <w:r>
        <w:rPr>
          <w:lang w:eastAsia="en-US"/>
        </w:rPr>
        <w:t>s came into effect on January</w:t>
      </w:r>
      <w:r w:rsidR="00F52B8B">
        <w:rPr>
          <w:lang w:eastAsia="en-US"/>
        </w:rPr>
        <w:t> </w:t>
      </w:r>
      <w:r>
        <w:rPr>
          <w:lang w:eastAsia="en-US"/>
        </w:rPr>
        <w:t>1,</w:t>
      </w:r>
      <w:r w:rsidR="00F52B8B">
        <w:rPr>
          <w:lang w:eastAsia="en-US"/>
        </w:rPr>
        <w:t> </w:t>
      </w:r>
      <w:r>
        <w:rPr>
          <w:lang w:eastAsia="en-US"/>
        </w:rPr>
        <w:t>2015</w:t>
      </w:r>
      <w:r w:rsidR="00F67DCD">
        <w:rPr>
          <w:lang w:eastAsia="en-US"/>
        </w:rPr>
        <w:t>.</w:t>
      </w:r>
      <w:r w:rsidR="00652CEB">
        <w:rPr>
          <w:lang w:eastAsia="en-US"/>
        </w:rPr>
        <w:t xml:space="preserve">  Pursuant to these provisions,</w:t>
      </w:r>
      <w:r>
        <w:rPr>
          <w:lang w:eastAsia="en-US"/>
        </w:rPr>
        <w:t xml:space="preserve"> P</w:t>
      </w:r>
      <w:r w:rsidR="00EA7D5B">
        <w:t>DF copies of notifications of withdrawal of refusal</w:t>
      </w:r>
      <w:r w:rsidR="00AF4CA1">
        <w:t xml:space="preserve">, and statements of grant of protection received on and after the above date </w:t>
      </w:r>
      <w:r w:rsidR="00022060">
        <w:t>are</w:t>
      </w:r>
      <w:r w:rsidR="00EC701F">
        <w:t xml:space="preserve"> made available</w:t>
      </w:r>
      <w:r w:rsidR="00F52B8B">
        <w:t xml:space="preserve"> in</w:t>
      </w:r>
      <w:r w:rsidR="00AF4CA1">
        <w:t xml:space="preserve"> the </w:t>
      </w:r>
      <w:r w:rsidR="00AF4CA1" w:rsidRPr="00F52B8B">
        <w:t>Bulletin</w:t>
      </w:r>
      <w:r w:rsidR="00EC701F">
        <w:t>, as well as</w:t>
      </w:r>
      <w:r w:rsidR="009944A3">
        <w:t xml:space="preserve"> in</w:t>
      </w:r>
      <w:r w:rsidR="00AF4CA1">
        <w:t xml:space="preserve"> </w:t>
      </w:r>
      <w:proofErr w:type="gramStart"/>
      <w:r w:rsidR="00AF4CA1">
        <w:t>the</w:t>
      </w:r>
      <w:proofErr w:type="gramEnd"/>
      <w:r w:rsidR="00AF4CA1">
        <w:t xml:space="preserve"> Hague Express database</w:t>
      </w:r>
      <w:r>
        <w:t xml:space="preserve"> to enhance access</w:t>
      </w:r>
      <w:r w:rsidR="0066467B">
        <w:t xml:space="preserve"> to the information</w:t>
      </w:r>
      <w:r w:rsidR="00AF4CA1">
        <w:t>.</w:t>
      </w:r>
      <w:r>
        <w:t xml:space="preserve">  </w:t>
      </w:r>
      <w:r w:rsidR="00652CEB">
        <w:t>Since then, a</w:t>
      </w:r>
      <w:r>
        <w:t xml:space="preserve"> PDF copy of</w:t>
      </w:r>
      <w:r w:rsidR="00547318">
        <w:t xml:space="preserve"> the</w:t>
      </w:r>
      <w:r>
        <w:t xml:space="preserve"> notification of refusal</w:t>
      </w:r>
      <w:r w:rsidR="00547318">
        <w:t xml:space="preserve"> </w:t>
      </w:r>
      <w:r w:rsidR="00FD2B3C">
        <w:t>has</w:t>
      </w:r>
      <w:r w:rsidR="00303DDD">
        <w:t xml:space="preserve"> </w:t>
      </w:r>
      <w:r>
        <w:t>also</w:t>
      </w:r>
      <w:r w:rsidR="00FD2B3C">
        <w:t xml:space="preserve"> been</w:t>
      </w:r>
      <w:r>
        <w:t xml:space="preserve"> </w:t>
      </w:r>
      <w:r w:rsidR="00303DDD">
        <w:t>made</w:t>
      </w:r>
      <w:r>
        <w:t xml:space="preserve"> available </w:t>
      </w:r>
      <w:r w:rsidR="00652CEB">
        <w:t>to pr</w:t>
      </w:r>
      <w:r w:rsidR="00024E28">
        <w:t>esent</w:t>
      </w:r>
      <w:r w:rsidR="00652CEB">
        <w:t xml:space="preserve"> the</w:t>
      </w:r>
      <w:r w:rsidR="005F6675">
        <w:t xml:space="preserve"> file history or</w:t>
      </w:r>
      <w:r>
        <w:t xml:space="preserve"> background information pertinent to the amendments made to the industrial design</w:t>
      </w:r>
      <w:r w:rsidR="000D10F8">
        <w:rPr>
          <w:rStyle w:val="FootnoteReference"/>
        </w:rPr>
        <w:footnoteReference w:id="3"/>
      </w:r>
      <w:r>
        <w:t>.</w:t>
      </w:r>
    </w:p>
    <w:p w:rsidR="005A1FC7" w:rsidRDefault="005A1FC7" w:rsidP="005A1FC7">
      <w:pPr>
        <w:pStyle w:val="ONUME"/>
        <w:rPr>
          <w:lang w:eastAsia="en-US"/>
        </w:rPr>
      </w:pPr>
      <w:r>
        <w:t>The purpose of this document is to open a discussion as to whether the I</w:t>
      </w:r>
      <w:r w:rsidR="00665220">
        <w:t>nternational Bureau</w:t>
      </w:r>
      <w:r w:rsidR="00FA61F4">
        <w:t>’s practice of</w:t>
      </w:r>
      <w:r w:rsidR="00B34DA2">
        <w:t xml:space="preserve"> </w:t>
      </w:r>
      <w:r w:rsidR="00F20015">
        <w:t>making</w:t>
      </w:r>
      <w:r>
        <w:t xml:space="preserve"> notifications of refusals</w:t>
      </w:r>
      <w:r w:rsidR="00F20015">
        <w:t xml:space="preserve"> openly available</w:t>
      </w:r>
      <w:r>
        <w:t xml:space="preserve"> should be revi</w:t>
      </w:r>
      <w:r w:rsidR="00665220">
        <w:t>ewed.</w:t>
      </w:r>
    </w:p>
    <w:p w:rsidR="00F23DE3" w:rsidRPr="008E43AD" w:rsidRDefault="00F23DE3" w:rsidP="001F7058">
      <w:pPr>
        <w:pStyle w:val="Heading1"/>
        <w:spacing w:before="480"/>
      </w:pPr>
      <w:r w:rsidRPr="00510815">
        <w:t>II.</w:t>
      </w:r>
      <w:r w:rsidRPr="00510815">
        <w:tab/>
      </w:r>
      <w:r w:rsidR="00510815">
        <w:t>issue</w:t>
      </w:r>
    </w:p>
    <w:p w:rsidR="00F23DE3" w:rsidRDefault="00A6071F" w:rsidP="000E072D">
      <w:pPr>
        <w:pStyle w:val="Heading2"/>
        <w:rPr>
          <w:lang w:eastAsia="en-US"/>
        </w:rPr>
      </w:pPr>
      <w:r>
        <w:rPr>
          <w:lang w:eastAsia="en-US"/>
        </w:rPr>
        <w:t xml:space="preserve">pros and cons of </w:t>
      </w:r>
      <w:r w:rsidR="006A2EC6">
        <w:rPr>
          <w:lang w:eastAsia="en-US"/>
        </w:rPr>
        <w:t xml:space="preserve">open </w:t>
      </w:r>
      <w:r>
        <w:rPr>
          <w:lang w:eastAsia="en-US"/>
        </w:rPr>
        <w:t xml:space="preserve">access to </w:t>
      </w:r>
      <w:r w:rsidR="00F563C1">
        <w:rPr>
          <w:lang w:eastAsia="en-US"/>
        </w:rPr>
        <w:t xml:space="preserve">grounds for </w:t>
      </w:r>
      <w:r>
        <w:rPr>
          <w:lang w:eastAsia="en-US"/>
        </w:rPr>
        <w:t>refusal</w:t>
      </w:r>
    </w:p>
    <w:p w:rsidR="00F23DE3" w:rsidRPr="00A123C8" w:rsidRDefault="00A6071F" w:rsidP="00F23DE3">
      <w:pPr>
        <w:pStyle w:val="ONUME"/>
        <w:rPr>
          <w:lang w:eastAsia="en-US"/>
        </w:rPr>
      </w:pPr>
      <w:r>
        <w:rPr>
          <w:lang w:eastAsia="en-US"/>
        </w:rPr>
        <w:t xml:space="preserve">Upon publication in the </w:t>
      </w:r>
      <w:r w:rsidRPr="00547318">
        <w:rPr>
          <w:lang w:eastAsia="en-US"/>
        </w:rPr>
        <w:t>Bulletin</w:t>
      </w:r>
      <w:r>
        <w:rPr>
          <w:lang w:eastAsia="en-US"/>
        </w:rPr>
        <w:t xml:space="preserve">, </w:t>
      </w:r>
      <w:r w:rsidR="00B82E87">
        <w:rPr>
          <w:lang w:eastAsia="en-US"/>
        </w:rPr>
        <w:t>information</w:t>
      </w:r>
      <w:r w:rsidR="00A609F8">
        <w:rPr>
          <w:lang w:eastAsia="en-US"/>
        </w:rPr>
        <w:t xml:space="preserve"> </w:t>
      </w:r>
      <w:r w:rsidR="00652CEB">
        <w:rPr>
          <w:lang w:eastAsia="en-US"/>
        </w:rPr>
        <w:t>on</w:t>
      </w:r>
      <w:r w:rsidR="00A609F8">
        <w:rPr>
          <w:lang w:eastAsia="en-US"/>
        </w:rPr>
        <w:t xml:space="preserve"> any international registration</w:t>
      </w:r>
      <w:r w:rsidR="00B82E87">
        <w:rPr>
          <w:lang w:eastAsia="en-US"/>
        </w:rPr>
        <w:t xml:space="preserve"> </w:t>
      </w:r>
      <w:r w:rsidR="00CB41D0">
        <w:rPr>
          <w:lang w:eastAsia="en-US"/>
        </w:rPr>
        <w:t xml:space="preserve">becomes </w:t>
      </w:r>
      <w:r w:rsidR="00B82E87">
        <w:rPr>
          <w:lang w:eastAsia="en-US"/>
        </w:rPr>
        <w:t xml:space="preserve">available from the International </w:t>
      </w:r>
      <w:r w:rsidR="00CB41D0">
        <w:rPr>
          <w:lang w:eastAsia="en-US"/>
        </w:rPr>
        <w:t>Bureau to third part</w:t>
      </w:r>
      <w:r w:rsidR="00652CEB">
        <w:rPr>
          <w:lang w:eastAsia="en-US"/>
        </w:rPr>
        <w:t>ies</w:t>
      </w:r>
      <w:r w:rsidR="00CB41D0">
        <w:rPr>
          <w:lang w:eastAsia="en-US"/>
        </w:rPr>
        <w:t xml:space="preserve"> </w:t>
      </w:r>
      <w:r w:rsidR="00D00356">
        <w:rPr>
          <w:lang w:eastAsia="en-US"/>
        </w:rPr>
        <w:t>against</w:t>
      </w:r>
      <w:r w:rsidR="0006018D">
        <w:rPr>
          <w:lang w:eastAsia="en-US"/>
        </w:rPr>
        <w:t xml:space="preserve"> payment of a fee, pursuant to Rule 32</w:t>
      </w:r>
      <w:r w:rsidR="003435EA">
        <w:rPr>
          <w:lang w:eastAsia="en-US"/>
        </w:rPr>
        <w:t>(1</w:t>
      </w:r>
      <w:proofErr w:type="gramStart"/>
      <w:r w:rsidR="00D06F62">
        <w:rPr>
          <w:lang w:eastAsia="en-US"/>
        </w:rPr>
        <w:t>)</w:t>
      </w:r>
      <w:r w:rsidR="00111502">
        <w:rPr>
          <w:lang w:eastAsia="en-US"/>
        </w:rPr>
        <w:t>(</w:t>
      </w:r>
      <w:proofErr w:type="gramEnd"/>
      <w:r w:rsidR="00111502">
        <w:rPr>
          <w:lang w:eastAsia="en-US"/>
        </w:rPr>
        <w:t>ii</w:t>
      </w:r>
      <w:r w:rsidR="002C579B">
        <w:rPr>
          <w:lang w:eastAsia="en-US"/>
        </w:rPr>
        <w:t>) or (ii</w:t>
      </w:r>
      <w:r w:rsidR="00111502">
        <w:rPr>
          <w:lang w:eastAsia="en-US"/>
        </w:rPr>
        <w:t>i)</w:t>
      </w:r>
      <w:r w:rsidR="00A7596B">
        <w:rPr>
          <w:rStyle w:val="FootnoteReference"/>
          <w:lang w:eastAsia="en-US"/>
        </w:rPr>
        <w:footnoteReference w:id="4"/>
      </w:r>
      <w:r w:rsidR="00F23DE3" w:rsidRPr="00FD7AC4">
        <w:rPr>
          <w:lang w:eastAsia="en-US"/>
        </w:rPr>
        <w:t>.</w:t>
      </w:r>
      <w:r w:rsidR="0006018D">
        <w:rPr>
          <w:lang w:eastAsia="en-US"/>
        </w:rPr>
        <w:t xml:space="preserve">  </w:t>
      </w:r>
      <w:r w:rsidR="00D00356">
        <w:rPr>
          <w:lang w:eastAsia="en-US"/>
        </w:rPr>
        <w:t>Such a</w:t>
      </w:r>
      <w:r w:rsidR="00D06F62">
        <w:rPr>
          <w:lang w:eastAsia="en-US"/>
        </w:rPr>
        <w:t>vailable</w:t>
      </w:r>
      <w:r w:rsidR="0006018D">
        <w:rPr>
          <w:lang w:eastAsia="en-US"/>
        </w:rPr>
        <w:t xml:space="preserve"> information includes a copy of the international application as filed a</w:t>
      </w:r>
      <w:r w:rsidR="00D00356">
        <w:rPr>
          <w:lang w:eastAsia="en-US"/>
        </w:rPr>
        <w:t>nd</w:t>
      </w:r>
      <w:r w:rsidR="0006018D">
        <w:rPr>
          <w:lang w:eastAsia="en-US"/>
        </w:rPr>
        <w:t xml:space="preserve"> a</w:t>
      </w:r>
      <w:r w:rsidR="006279B9">
        <w:rPr>
          <w:lang w:eastAsia="en-US"/>
        </w:rPr>
        <w:t>ny</w:t>
      </w:r>
      <w:r w:rsidR="0006018D">
        <w:rPr>
          <w:lang w:eastAsia="en-US"/>
        </w:rPr>
        <w:t xml:space="preserve"> notification </w:t>
      </w:r>
      <w:r w:rsidR="00FD7AC4">
        <w:rPr>
          <w:lang w:eastAsia="en-US"/>
        </w:rPr>
        <w:t>received from</w:t>
      </w:r>
      <w:r w:rsidR="0006018D">
        <w:rPr>
          <w:lang w:eastAsia="en-US"/>
        </w:rPr>
        <w:t xml:space="preserve"> any</w:t>
      </w:r>
      <w:r w:rsidR="00547318">
        <w:rPr>
          <w:lang w:eastAsia="en-US"/>
        </w:rPr>
        <w:t xml:space="preserve"> designated Contracting Party.</w:t>
      </w:r>
    </w:p>
    <w:p w:rsidR="0006018D" w:rsidRDefault="00F563C1" w:rsidP="00F23DE3">
      <w:pPr>
        <w:pStyle w:val="ONUME"/>
        <w:rPr>
          <w:lang w:eastAsia="en-US"/>
        </w:rPr>
      </w:pPr>
      <w:r>
        <w:rPr>
          <w:lang w:eastAsia="en-US"/>
        </w:rPr>
        <w:t>Facilitating</w:t>
      </w:r>
      <w:r w:rsidR="0006018D">
        <w:rPr>
          <w:lang w:eastAsia="en-US"/>
        </w:rPr>
        <w:t xml:space="preserve"> access</w:t>
      </w:r>
      <w:r>
        <w:rPr>
          <w:lang w:eastAsia="en-US"/>
        </w:rPr>
        <w:t xml:space="preserve"> to</w:t>
      </w:r>
      <w:r w:rsidR="0006018D">
        <w:rPr>
          <w:lang w:eastAsia="en-US"/>
        </w:rPr>
        <w:t xml:space="preserve"> a notification of refusal</w:t>
      </w:r>
      <w:r w:rsidR="00315DEB">
        <w:rPr>
          <w:lang w:eastAsia="en-US"/>
        </w:rPr>
        <w:t xml:space="preserve"> could</w:t>
      </w:r>
      <w:r w:rsidR="008220D6">
        <w:rPr>
          <w:lang w:eastAsia="en-US"/>
        </w:rPr>
        <w:t xml:space="preserve"> </w:t>
      </w:r>
      <w:r w:rsidR="00D00356">
        <w:rPr>
          <w:lang w:eastAsia="en-US"/>
        </w:rPr>
        <w:t>greatly help</w:t>
      </w:r>
      <w:r w:rsidR="0006018D">
        <w:rPr>
          <w:lang w:eastAsia="en-US"/>
        </w:rPr>
        <w:t xml:space="preserve"> users of the Hague System </w:t>
      </w:r>
      <w:r w:rsidR="00D00356">
        <w:rPr>
          <w:lang w:eastAsia="en-US"/>
        </w:rPr>
        <w:t>to</w:t>
      </w:r>
      <w:r w:rsidR="0006018D">
        <w:rPr>
          <w:lang w:eastAsia="en-US"/>
        </w:rPr>
        <w:t xml:space="preserve"> analyz</w:t>
      </w:r>
      <w:r w:rsidR="00D00356">
        <w:rPr>
          <w:lang w:eastAsia="en-US"/>
        </w:rPr>
        <w:t>e</w:t>
      </w:r>
      <w:r w:rsidR="0006018D">
        <w:rPr>
          <w:lang w:eastAsia="en-US"/>
        </w:rPr>
        <w:t xml:space="preserve"> </w:t>
      </w:r>
      <w:r w:rsidR="00A423B2">
        <w:rPr>
          <w:lang w:eastAsia="en-US"/>
        </w:rPr>
        <w:t>substantive requirements</w:t>
      </w:r>
      <w:r w:rsidR="0006018D">
        <w:rPr>
          <w:lang w:eastAsia="en-US"/>
        </w:rPr>
        <w:t>, particular</w:t>
      </w:r>
      <w:r w:rsidR="00D00356">
        <w:rPr>
          <w:lang w:eastAsia="en-US"/>
        </w:rPr>
        <w:t>ly those pertaining to</w:t>
      </w:r>
      <w:r w:rsidR="0006018D">
        <w:rPr>
          <w:lang w:eastAsia="en-US"/>
        </w:rPr>
        <w:t xml:space="preserve"> the </w:t>
      </w:r>
      <w:r w:rsidR="0066467B">
        <w:rPr>
          <w:lang w:eastAsia="en-US"/>
        </w:rPr>
        <w:t xml:space="preserve">level of </w:t>
      </w:r>
      <w:r w:rsidR="0006018D">
        <w:rPr>
          <w:lang w:eastAsia="en-US"/>
        </w:rPr>
        <w:t>disclosure of the industrial design</w:t>
      </w:r>
      <w:r w:rsidR="00303DDD">
        <w:rPr>
          <w:lang w:eastAsia="en-US"/>
        </w:rPr>
        <w:t xml:space="preserve"> </w:t>
      </w:r>
      <w:r w:rsidR="008220D6">
        <w:rPr>
          <w:lang w:eastAsia="en-US"/>
        </w:rPr>
        <w:t>when designating certain</w:t>
      </w:r>
      <w:r w:rsidR="0006018D">
        <w:rPr>
          <w:lang w:eastAsia="en-US"/>
        </w:rPr>
        <w:t xml:space="preserve"> Contracting Part</w:t>
      </w:r>
      <w:r w:rsidR="00D06F62">
        <w:rPr>
          <w:lang w:eastAsia="en-US"/>
        </w:rPr>
        <w:t>ies</w:t>
      </w:r>
      <w:r w:rsidR="00A609F8">
        <w:rPr>
          <w:rStyle w:val="FootnoteReference"/>
          <w:lang w:eastAsia="en-US"/>
        </w:rPr>
        <w:footnoteReference w:id="5"/>
      </w:r>
      <w:r w:rsidR="0006018D">
        <w:rPr>
          <w:lang w:eastAsia="en-US"/>
        </w:rPr>
        <w:t xml:space="preserve">.  </w:t>
      </w:r>
      <w:r w:rsidR="00D73B5D">
        <w:rPr>
          <w:lang w:eastAsia="en-US"/>
        </w:rPr>
        <w:t>C</w:t>
      </w:r>
      <w:r w:rsidR="0054177F">
        <w:rPr>
          <w:lang w:eastAsia="en-US"/>
        </w:rPr>
        <w:t xml:space="preserve">itation of a prior design </w:t>
      </w:r>
      <w:r w:rsidR="008220D6">
        <w:rPr>
          <w:lang w:eastAsia="en-US"/>
        </w:rPr>
        <w:t>may</w:t>
      </w:r>
      <w:r w:rsidR="00672F70">
        <w:rPr>
          <w:lang w:eastAsia="en-US"/>
        </w:rPr>
        <w:t xml:space="preserve"> also acquaint </w:t>
      </w:r>
      <w:r w:rsidR="00A609F8">
        <w:rPr>
          <w:lang w:eastAsia="en-US"/>
        </w:rPr>
        <w:t>users</w:t>
      </w:r>
      <w:r w:rsidR="00672F70">
        <w:rPr>
          <w:lang w:eastAsia="en-US"/>
        </w:rPr>
        <w:t xml:space="preserve"> with the scope of similarity</w:t>
      </w:r>
      <w:r w:rsidR="00A609F8">
        <w:rPr>
          <w:lang w:eastAsia="en-US"/>
        </w:rPr>
        <w:t xml:space="preserve"> in designs</w:t>
      </w:r>
      <w:r w:rsidR="00E91000">
        <w:rPr>
          <w:lang w:eastAsia="en-US"/>
        </w:rPr>
        <w:t xml:space="preserve"> judged</w:t>
      </w:r>
      <w:r w:rsidR="00A609F8">
        <w:rPr>
          <w:lang w:eastAsia="en-US"/>
        </w:rPr>
        <w:t xml:space="preserve"> by </w:t>
      </w:r>
      <w:r w:rsidR="008220D6">
        <w:rPr>
          <w:lang w:eastAsia="en-US"/>
        </w:rPr>
        <w:t>a given</w:t>
      </w:r>
      <w:r w:rsidR="00A609F8">
        <w:rPr>
          <w:lang w:eastAsia="en-US"/>
        </w:rPr>
        <w:t xml:space="preserve"> Office</w:t>
      </w:r>
      <w:r w:rsidR="00E91000">
        <w:rPr>
          <w:lang w:eastAsia="en-US"/>
        </w:rPr>
        <w:t>, where applicable, with respect to</w:t>
      </w:r>
      <w:r w:rsidR="00672F70">
        <w:rPr>
          <w:lang w:eastAsia="en-US"/>
        </w:rPr>
        <w:t xml:space="preserve"> each type of product</w:t>
      </w:r>
      <w:r w:rsidR="008220D6">
        <w:rPr>
          <w:lang w:eastAsia="en-US"/>
        </w:rPr>
        <w:t>.</w:t>
      </w:r>
    </w:p>
    <w:p w:rsidR="00F23DE3" w:rsidRPr="00A123C8" w:rsidRDefault="00F16433" w:rsidP="00F23DE3">
      <w:pPr>
        <w:pStyle w:val="ONUME"/>
        <w:rPr>
          <w:lang w:eastAsia="en-US"/>
        </w:rPr>
      </w:pPr>
      <w:r>
        <w:rPr>
          <w:szCs w:val="22"/>
        </w:rPr>
        <w:t>However</w:t>
      </w:r>
      <w:r w:rsidR="00E91000">
        <w:rPr>
          <w:szCs w:val="22"/>
        </w:rPr>
        <w:t xml:space="preserve">, </w:t>
      </w:r>
      <w:r>
        <w:rPr>
          <w:szCs w:val="22"/>
        </w:rPr>
        <w:t xml:space="preserve">it has occasionally been brought to the attention of </w:t>
      </w:r>
      <w:r w:rsidR="00544D04">
        <w:rPr>
          <w:szCs w:val="22"/>
        </w:rPr>
        <w:t xml:space="preserve">the International Bureau that </w:t>
      </w:r>
      <w:r w:rsidR="00C017AA">
        <w:rPr>
          <w:szCs w:val="22"/>
        </w:rPr>
        <w:t xml:space="preserve">such </w:t>
      </w:r>
      <w:r w:rsidR="00FD2B3C">
        <w:rPr>
          <w:szCs w:val="22"/>
        </w:rPr>
        <w:t>open</w:t>
      </w:r>
      <w:r w:rsidR="00544D04">
        <w:rPr>
          <w:szCs w:val="22"/>
        </w:rPr>
        <w:t xml:space="preserve"> access to </w:t>
      </w:r>
      <w:r w:rsidR="00C017AA">
        <w:rPr>
          <w:szCs w:val="22"/>
        </w:rPr>
        <w:t xml:space="preserve">grounds for </w:t>
      </w:r>
      <w:r w:rsidR="00544D04">
        <w:rPr>
          <w:szCs w:val="22"/>
        </w:rPr>
        <w:t xml:space="preserve">refusal </w:t>
      </w:r>
      <w:r w:rsidR="00D06F62">
        <w:rPr>
          <w:szCs w:val="22"/>
        </w:rPr>
        <w:t>is considered by</w:t>
      </w:r>
      <w:r w:rsidR="00544D04">
        <w:rPr>
          <w:szCs w:val="22"/>
        </w:rPr>
        <w:t xml:space="preserve"> some potential users</w:t>
      </w:r>
      <w:r w:rsidR="00D06F62">
        <w:rPr>
          <w:szCs w:val="22"/>
        </w:rPr>
        <w:t xml:space="preserve"> as </w:t>
      </w:r>
      <w:r w:rsidR="00BD6D0D">
        <w:rPr>
          <w:szCs w:val="22"/>
        </w:rPr>
        <w:t>a deterrent to use</w:t>
      </w:r>
      <w:r w:rsidR="00D73B5D">
        <w:rPr>
          <w:szCs w:val="22"/>
        </w:rPr>
        <w:t xml:space="preserve"> </w:t>
      </w:r>
      <w:r w:rsidR="00510815">
        <w:rPr>
          <w:szCs w:val="22"/>
        </w:rPr>
        <w:t>the Hague System</w:t>
      </w:r>
      <w:r w:rsidR="00C017AA">
        <w:rPr>
          <w:szCs w:val="22"/>
        </w:rPr>
        <w:t xml:space="preserve">, since a prior design cited in a notification of refusal issued by one Office </w:t>
      </w:r>
      <w:r>
        <w:rPr>
          <w:szCs w:val="22"/>
        </w:rPr>
        <w:t>becomes</w:t>
      </w:r>
      <w:r w:rsidR="00E86C1F">
        <w:rPr>
          <w:szCs w:val="22"/>
        </w:rPr>
        <w:t xml:space="preserve"> known to competitors and </w:t>
      </w:r>
      <w:r w:rsidR="003435EA">
        <w:rPr>
          <w:szCs w:val="22"/>
        </w:rPr>
        <w:t>may be used as</w:t>
      </w:r>
      <w:r w:rsidR="00C017AA">
        <w:rPr>
          <w:szCs w:val="22"/>
        </w:rPr>
        <w:t xml:space="preserve"> a </w:t>
      </w:r>
      <w:r w:rsidR="0066467B">
        <w:rPr>
          <w:szCs w:val="22"/>
        </w:rPr>
        <w:t xml:space="preserve">potential </w:t>
      </w:r>
      <w:r w:rsidR="00C017AA">
        <w:rPr>
          <w:szCs w:val="22"/>
        </w:rPr>
        <w:t>ground for invalidation in other jurisdiction</w:t>
      </w:r>
      <w:r w:rsidR="006D4F5D">
        <w:rPr>
          <w:szCs w:val="22"/>
        </w:rPr>
        <w:t>s</w:t>
      </w:r>
      <w:r w:rsidR="00F23DE3" w:rsidRPr="00A123C8">
        <w:rPr>
          <w:szCs w:val="22"/>
        </w:rPr>
        <w:t>.</w:t>
      </w:r>
    </w:p>
    <w:p w:rsidR="00EB04AD" w:rsidRPr="008E43AD" w:rsidRDefault="00EB04AD" w:rsidP="00315DEB">
      <w:pPr>
        <w:pStyle w:val="Heading1"/>
        <w:spacing w:before="480"/>
      </w:pPr>
      <w:r w:rsidRPr="00510815">
        <w:t>III.</w:t>
      </w:r>
      <w:r w:rsidRPr="00510815">
        <w:tab/>
        <w:t>Analyses</w:t>
      </w:r>
    </w:p>
    <w:p w:rsidR="00EB04AD" w:rsidRDefault="00EB04AD" w:rsidP="000E072D">
      <w:pPr>
        <w:pStyle w:val="Heading2"/>
        <w:rPr>
          <w:lang w:eastAsia="en-US"/>
        </w:rPr>
      </w:pPr>
      <w:r>
        <w:rPr>
          <w:lang w:eastAsia="en-US"/>
        </w:rPr>
        <w:t xml:space="preserve">nature </w:t>
      </w:r>
      <w:r w:rsidR="00547FBB">
        <w:rPr>
          <w:lang w:eastAsia="en-US"/>
        </w:rPr>
        <w:t xml:space="preserve">and </w:t>
      </w:r>
      <w:r w:rsidR="002C7D24">
        <w:rPr>
          <w:lang w:eastAsia="en-US"/>
        </w:rPr>
        <w:t>value</w:t>
      </w:r>
      <w:r w:rsidR="00547FBB">
        <w:rPr>
          <w:lang w:eastAsia="en-US"/>
        </w:rPr>
        <w:t xml:space="preserve"> </w:t>
      </w:r>
      <w:r>
        <w:rPr>
          <w:lang w:eastAsia="en-US"/>
        </w:rPr>
        <w:t>of information</w:t>
      </w:r>
    </w:p>
    <w:p w:rsidR="00754F99" w:rsidRDefault="00315DEB" w:rsidP="00F23DE3">
      <w:pPr>
        <w:pStyle w:val="ONUME"/>
        <w:rPr>
          <w:lang w:eastAsia="en-US"/>
        </w:rPr>
      </w:pPr>
      <w:r>
        <w:t>The u</w:t>
      </w:r>
      <w:r w:rsidR="00754F99">
        <w:t xml:space="preserve">ploading of a PDF copy of a notification of refusal </w:t>
      </w:r>
      <w:r w:rsidR="00F16433">
        <w:t>to</w:t>
      </w:r>
      <w:r w:rsidR="00754F99">
        <w:t xml:space="preserve"> the WIPO website follows </w:t>
      </w:r>
      <w:r w:rsidR="00D73B5D">
        <w:t>a</w:t>
      </w:r>
      <w:r w:rsidR="00754F99">
        <w:t xml:space="preserve"> preceden</w:t>
      </w:r>
      <w:r w:rsidR="00F16433">
        <w:t>t</w:t>
      </w:r>
      <w:r>
        <w:t xml:space="preserve"> set</w:t>
      </w:r>
      <w:r w:rsidR="00754F99">
        <w:t xml:space="preserve"> under the Madrid System</w:t>
      </w:r>
      <w:r w:rsidR="00510815">
        <w:rPr>
          <w:rStyle w:val="FootnoteReference"/>
        </w:rPr>
        <w:footnoteReference w:id="6"/>
      </w:r>
      <w:r w:rsidR="00754F99">
        <w:t>.</w:t>
      </w:r>
    </w:p>
    <w:p w:rsidR="008F3F65" w:rsidRDefault="00EF1BC8" w:rsidP="00F23DE3">
      <w:pPr>
        <w:pStyle w:val="ONUME"/>
        <w:rPr>
          <w:lang w:eastAsia="en-US"/>
        </w:rPr>
      </w:pPr>
      <w:r>
        <w:t>However, n</w:t>
      </w:r>
      <w:r w:rsidR="00754F99">
        <w:t>ovelty is not required for</w:t>
      </w:r>
      <w:r w:rsidR="00315DEB">
        <w:t xml:space="preserve"> the</w:t>
      </w:r>
      <w:r w:rsidR="00754F99">
        <w:t xml:space="preserve"> protection of a trademark.  Any conflict with a prior trademark, registered or not, </w:t>
      </w:r>
      <w:r w:rsidR="00175421">
        <w:t>may be</w:t>
      </w:r>
      <w:r w:rsidR="00754F99">
        <w:t xml:space="preserve"> examined </w:t>
      </w:r>
      <w:r w:rsidR="00754F99" w:rsidRPr="00EF1BC8">
        <w:rPr>
          <w:i/>
        </w:rPr>
        <w:t>ex</w:t>
      </w:r>
      <w:r w:rsidR="00315DEB">
        <w:rPr>
          <w:i/>
        </w:rPr>
        <w:t> </w:t>
      </w:r>
      <w:r w:rsidR="00754F99" w:rsidRPr="00EF1BC8">
        <w:rPr>
          <w:i/>
        </w:rPr>
        <w:t>officio</w:t>
      </w:r>
      <w:r w:rsidR="00754F99">
        <w:t xml:space="preserve"> or based on an opposition, or judged in a court proceeding, taking into account the similarity in both trademarks</w:t>
      </w:r>
      <w:r w:rsidR="000F5C63">
        <w:t>,</w:t>
      </w:r>
      <w:r w:rsidR="00754F99">
        <w:t xml:space="preserve"> the scope of </w:t>
      </w:r>
      <w:r w:rsidR="008F3F65">
        <w:t>the list of goods and/or service</w:t>
      </w:r>
      <w:r w:rsidR="00315DEB">
        <w:t>s</w:t>
      </w:r>
      <w:r w:rsidR="008F3F65">
        <w:t>, their actual use in commerce, and</w:t>
      </w:r>
      <w:r w:rsidR="000F5C63">
        <w:t>/or</w:t>
      </w:r>
      <w:r w:rsidR="000E072D">
        <w:t xml:space="preserve"> well-</w:t>
      </w:r>
      <w:proofErr w:type="spellStart"/>
      <w:r w:rsidR="000E072D">
        <w:t>known</w:t>
      </w:r>
      <w:r w:rsidR="008F3F65">
        <w:t>ness</w:t>
      </w:r>
      <w:proofErr w:type="spellEnd"/>
      <w:r w:rsidR="008F3F65">
        <w:t xml:space="preserve"> in the locality.  Accordingly, a ground for refusal applicable in one jurisdiction may not be affirmed or even </w:t>
      </w:r>
      <w:r w:rsidR="00636EC4">
        <w:t>relevant</w:t>
      </w:r>
      <w:r w:rsidR="008F3F65">
        <w:t xml:space="preserve"> in other jurisdictions.</w:t>
      </w:r>
    </w:p>
    <w:p w:rsidR="006B0918" w:rsidRDefault="00256FCC" w:rsidP="00F23DE3">
      <w:pPr>
        <w:pStyle w:val="ONUME"/>
        <w:rPr>
          <w:lang w:eastAsia="en-US"/>
        </w:rPr>
      </w:pPr>
      <w:r>
        <w:lastRenderedPageBreak/>
        <w:t>In</w:t>
      </w:r>
      <w:r w:rsidR="000440FB">
        <w:t xml:space="preserve"> contra</w:t>
      </w:r>
      <w:r>
        <w:t>st</w:t>
      </w:r>
      <w:r w:rsidR="000440FB">
        <w:t xml:space="preserve">, novelty </w:t>
      </w:r>
      <w:r>
        <w:t>is crucial to</w:t>
      </w:r>
      <w:r w:rsidR="000440FB">
        <w:t xml:space="preserve"> the validity of a design right.  Most jurisdictions require worldwide nov</w:t>
      </w:r>
      <w:r w:rsidR="00BF4F4E">
        <w:t xml:space="preserve">elty as a condition for </w:t>
      </w:r>
      <w:r>
        <w:t xml:space="preserve">the registration or patenting of </w:t>
      </w:r>
      <w:r w:rsidR="00BF4F4E">
        <w:t>a given design</w:t>
      </w:r>
      <w:r w:rsidR="000440FB">
        <w:t xml:space="preserve">, </w:t>
      </w:r>
      <w:r>
        <w:t xml:space="preserve">regardless of </w:t>
      </w:r>
      <w:r w:rsidR="000440FB">
        <w:t xml:space="preserve">whether their Offices examine applications </w:t>
      </w:r>
      <w:r w:rsidR="000440FB" w:rsidRPr="000440FB">
        <w:rPr>
          <w:i/>
        </w:rPr>
        <w:t>ex</w:t>
      </w:r>
      <w:r w:rsidR="00C33A66">
        <w:rPr>
          <w:i/>
        </w:rPr>
        <w:t> </w:t>
      </w:r>
      <w:r w:rsidR="000440FB" w:rsidRPr="000440FB">
        <w:rPr>
          <w:i/>
        </w:rPr>
        <w:t>officio</w:t>
      </w:r>
      <w:r w:rsidR="000440FB">
        <w:t>.</w:t>
      </w:r>
      <w:r w:rsidR="008F3F65">
        <w:t xml:space="preserve"> </w:t>
      </w:r>
      <w:r w:rsidR="000440FB">
        <w:t xml:space="preserve"> </w:t>
      </w:r>
      <w:r>
        <w:t>Accordingly</w:t>
      </w:r>
      <w:r w:rsidR="000440FB">
        <w:t xml:space="preserve">, a prior design found and cited by </w:t>
      </w:r>
      <w:r w:rsidR="00175421">
        <w:t xml:space="preserve">any </w:t>
      </w:r>
      <w:r w:rsidR="000440FB">
        <w:t xml:space="preserve">other Office </w:t>
      </w:r>
      <w:r w:rsidR="00636EC4">
        <w:t>would constitute</w:t>
      </w:r>
      <w:r w:rsidR="0034706C">
        <w:t xml:space="preserve"> </w:t>
      </w:r>
      <w:r w:rsidR="000440FB">
        <w:t>much more sensitive information.</w:t>
      </w:r>
    </w:p>
    <w:p w:rsidR="00140C99" w:rsidRDefault="0034706C" w:rsidP="00F23DE3">
      <w:pPr>
        <w:pStyle w:val="ONUME"/>
        <w:rPr>
          <w:lang w:eastAsia="en-US"/>
        </w:rPr>
      </w:pPr>
      <w:r>
        <w:rPr>
          <w:lang w:eastAsia="en-US"/>
        </w:rPr>
        <w:t>However, t</w:t>
      </w:r>
      <w:r w:rsidR="00547FBB">
        <w:rPr>
          <w:lang w:eastAsia="en-US"/>
        </w:rPr>
        <w:t xml:space="preserve">he question then </w:t>
      </w:r>
      <w:r w:rsidR="00AA78DA">
        <w:rPr>
          <w:lang w:eastAsia="en-US"/>
        </w:rPr>
        <w:t>boils down</w:t>
      </w:r>
      <w:r w:rsidR="00547FBB">
        <w:rPr>
          <w:lang w:eastAsia="en-US"/>
        </w:rPr>
        <w:t xml:space="preserve"> to the likelihood of ref</w:t>
      </w:r>
      <w:r w:rsidR="00670A46">
        <w:rPr>
          <w:lang w:eastAsia="en-US"/>
        </w:rPr>
        <w:t>us</w:t>
      </w:r>
      <w:r w:rsidR="00AA78DA">
        <w:rPr>
          <w:lang w:eastAsia="en-US"/>
        </w:rPr>
        <w:t>al</w:t>
      </w:r>
      <w:r w:rsidR="00670A46">
        <w:rPr>
          <w:lang w:eastAsia="en-US"/>
        </w:rPr>
        <w:t xml:space="preserve"> on the ground of</w:t>
      </w:r>
      <w:r w:rsidR="00547FBB">
        <w:rPr>
          <w:lang w:eastAsia="en-US"/>
        </w:rPr>
        <w:t xml:space="preserve"> lack of novelty.</w:t>
      </w:r>
      <w:r w:rsidR="002C7D24">
        <w:rPr>
          <w:lang w:eastAsia="en-US"/>
        </w:rPr>
        <w:t xml:space="preserve">  </w:t>
      </w:r>
      <w:r w:rsidR="002C7D24">
        <w:t>The Japan Patent Office (JPO), the Korean Intellectual Property Office (KIPO), and the United States Patent and Trademark Office (USPTO) are currently the three main Offices t</w:t>
      </w:r>
      <w:r w:rsidR="00AA78DA">
        <w:t>hat</w:t>
      </w:r>
      <w:r w:rsidR="002C7D24">
        <w:t xml:space="preserve"> issue notifications of refusal.  </w:t>
      </w:r>
      <w:r w:rsidR="006D4F5D" w:rsidRPr="00A80BAF">
        <w:t>In 2017, 1,550</w:t>
      </w:r>
      <w:r w:rsidR="00AA78DA">
        <w:t>,</w:t>
      </w:r>
      <w:r w:rsidR="006D4F5D" w:rsidRPr="00A80BAF">
        <w:rPr>
          <w:rStyle w:val="FootnoteReference"/>
        </w:rPr>
        <w:footnoteReference w:id="7"/>
      </w:r>
      <w:r w:rsidR="006D4F5D" w:rsidRPr="00A80BAF">
        <w:t xml:space="preserve"> 598</w:t>
      </w:r>
      <w:r w:rsidR="00AA78DA">
        <w:t xml:space="preserve"> and</w:t>
      </w:r>
      <w:r w:rsidR="006D4F5D" w:rsidRPr="00A80BAF">
        <w:t xml:space="preserve"> 1,285 refusals were received from</w:t>
      </w:r>
      <w:r w:rsidR="00B34DA2">
        <w:t xml:space="preserve"> the</w:t>
      </w:r>
      <w:r w:rsidR="006D4F5D" w:rsidRPr="00A80BAF">
        <w:t xml:space="preserve"> JPO, KIPO and the USPTO respectively, </w:t>
      </w:r>
      <w:r w:rsidR="00B34DA2">
        <w:t xml:space="preserve">all of which </w:t>
      </w:r>
      <w:r w:rsidR="006D4F5D" w:rsidRPr="00A80BAF">
        <w:t>amount</w:t>
      </w:r>
      <w:r w:rsidR="00B34DA2">
        <w:t>ed</w:t>
      </w:r>
      <w:r w:rsidR="006D4F5D" w:rsidRPr="00A80BAF">
        <w:t xml:space="preserve"> to 96.1</w:t>
      </w:r>
      <w:r w:rsidR="000E072D">
        <w:t> </w:t>
      </w:r>
      <w:r w:rsidR="006D4F5D" w:rsidRPr="00A80BAF">
        <w:t>per</w:t>
      </w:r>
      <w:r w:rsidR="000E072D">
        <w:t> </w:t>
      </w:r>
      <w:r w:rsidR="006D4F5D" w:rsidRPr="00A80BAF">
        <w:t>cent of the total number of refusals</w:t>
      </w:r>
      <w:r w:rsidR="006D4F5D">
        <w:t xml:space="preserve">.  </w:t>
      </w:r>
      <w:r w:rsidR="002C7D24">
        <w:t>The International Bureau</w:t>
      </w:r>
      <w:r w:rsidR="00D73B5D">
        <w:t xml:space="preserve"> reviewed</w:t>
      </w:r>
      <w:r w:rsidR="002C7D24">
        <w:t xml:space="preserve"> notifications of refusal received from th</w:t>
      </w:r>
      <w:r w:rsidR="00133FA2">
        <w:t>e</w:t>
      </w:r>
      <w:r w:rsidR="003E08D8">
        <w:t>se three</w:t>
      </w:r>
      <w:r w:rsidR="002C7D24">
        <w:t xml:space="preserve"> Offices</w:t>
      </w:r>
      <w:r w:rsidR="00140C99">
        <w:t xml:space="preserve"> up to December</w:t>
      </w:r>
      <w:r w:rsidR="000E072D">
        <w:t> </w:t>
      </w:r>
      <w:r w:rsidR="00140C99">
        <w:t>31,</w:t>
      </w:r>
      <w:r w:rsidR="000E072D">
        <w:t> </w:t>
      </w:r>
      <w:r w:rsidR="00140C99">
        <w:t xml:space="preserve">2017 (refer to the table in </w:t>
      </w:r>
      <w:r w:rsidR="006C2AA6">
        <w:t xml:space="preserve">the </w:t>
      </w:r>
      <w:r w:rsidR="009944A3">
        <w:t>A</w:t>
      </w:r>
      <w:r w:rsidR="00140C99">
        <w:t>nnex</w:t>
      </w:r>
      <w:r w:rsidR="00624D4B">
        <w:t xml:space="preserve"> to this document</w:t>
      </w:r>
      <w:r w:rsidR="00140C99">
        <w:t>)</w:t>
      </w:r>
      <w:r w:rsidR="00CD224D">
        <w:t>.</w:t>
      </w:r>
    </w:p>
    <w:p w:rsidR="005C5EA8" w:rsidRDefault="00CD224D" w:rsidP="00F23DE3">
      <w:pPr>
        <w:pStyle w:val="ONUME"/>
        <w:rPr>
          <w:lang w:eastAsia="en-US"/>
        </w:rPr>
      </w:pPr>
      <w:r>
        <w:t>According to th</w:t>
      </w:r>
      <w:r w:rsidR="00AA78DA">
        <w:t>e</w:t>
      </w:r>
      <w:r w:rsidR="00140C99">
        <w:t>se</w:t>
      </w:r>
      <w:r>
        <w:t xml:space="preserve"> unofficial statistics,</w:t>
      </w:r>
      <w:r w:rsidR="005707A6">
        <w:t xml:space="preserve"> </w:t>
      </w:r>
      <w:r w:rsidR="00670A46">
        <w:t xml:space="preserve">493 and 471 designs were refused </w:t>
      </w:r>
      <w:r w:rsidR="005C5EA8">
        <w:t>on</w:t>
      </w:r>
      <w:r w:rsidR="00670A46">
        <w:t xml:space="preserve"> the ground of lack of novelty by </w:t>
      </w:r>
      <w:r w:rsidR="00CE2D0F">
        <w:t xml:space="preserve">the </w:t>
      </w:r>
      <w:r w:rsidR="00670A46">
        <w:t xml:space="preserve">JPO and KIPO, respectively. </w:t>
      </w:r>
      <w:r w:rsidR="00CC3215">
        <w:t>Th</w:t>
      </w:r>
      <w:r w:rsidR="00AA78DA">
        <w:t>ese figures</w:t>
      </w:r>
      <w:r w:rsidR="00621664">
        <w:t xml:space="preserve"> respectively</w:t>
      </w:r>
      <w:r w:rsidR="00AA78DA">
        <w:t xml:space="preserve"> represent</w:t>
      </w:r>
      <w:r w:rsidR="00621664">
        <w:t xml:space="preserve"> </w:t>
      </w:r>
      <w:r w:rsidR="0034706C">
        <w:t>about</w:t>
      </w:r>
      <w:r w:rsidR="00621664">
        <w:t xml:space="preserve"> 20</w:t>
      </w:r>
      <w:r w:rsidR="000E072D">
        <w:t> per cent</w:t>
      </w:r>
      <w:r w:rsidR="00621664">
        <w:t xml:space="preserve"> and 14</w:t>
      </w:r>
      <w:r w:rsidR="000E072D">
        <w:t> per cent</w:t>
      </w:r>
      <w:r w:rsidR="00621664">
        <w:t xml:space="preserve"> of the tot</w:t>
      </w:r>
      <w:r w:rsidR="00CC3215">
        <w:t xml:space="preserve">al number of </w:t>
      </w:r>
      <w:r w:rsidR="0082238B">
        <w:t xml:space="preserve">refusal </w:t>
      </w:r>
      <w:r w:rsidR="00CC3215">
        <w:t>grounds</w:t>
      </w:r>
      <w:r w:rsidR="00621664">
        <w:t xml:space="preserve"> raised by </w:t>
      </w:r>
      <w:r w:rsidR="00AA78DA">
        <w:t>both</w:t>
      </w:r>
      <w:r w:rsidR="00621664">
        <w:t xml:space="preserve"> Offices. </w:t>
      </w:r>
      <w:r w:rsidR="00670A46">
        <w:t xml:space="preserve"> However, </w:t>
      </w:r>
      <w:r w:rsidR="0034706C">
        <w:t>many</w:t>
      </w:r>
      <w:r w:rsidR="00670A46">
        <w:t xml:space="preserve"> of the refusals </w:t>
      </w:r>
      <w:r w:rsidR="00DE73A4">
        <w:t xml:space="preserve">actually </w:t>
      </w:r>
      <w:r w:rsidR="005C5EA8">
        <w:t>cited the same design filed with another Office</w:t>
      </w:r>
      <w:r w:rsidR="008B6B36">
        <w:t xml:space="preserve"> (usually, the first filing)</w:t>
      </w:r>
      <w:r w:rsidR="005C5EA8">
        <w:t xml:space="preserve"> by the same applicant (</w:t>
      </w:r>
      <w:r w:rsidR="000F245A">
        <w:t xml:space="preserve">the </w:t>
      </w:r>
      <w:r w:rsidR="005C5EA8">
        <w:t>holder of the international registration)</w:t>
      </w:r>
      <w:r w:rsidR="00133FA2">
        <w:t xml:space="preserve">.  This </w:t>
      </w:r>
      <w:r w:rsidR="005F1B1E">
        <w:t>happens in</w:t>
      </w:r>
      <w:r w:rsidR="00CE2D0F">
        <w:t xml:space="preserve"> case</w:t>
      </w:r>
      <w:r w:rsidR="005F1B1E">
        <w:t>s</w:t>
      </w:r>
      <w:r w:rsidR="00133FA2">
        <w:t xml:space="preserve"> </w:t>
      </w:r>
      <w:r w:rsidR="00D67996">
        <w:t>where</w:t>
      </w:r>
      <w:r w:rsidR="00133FA2">
        <w:t xml:space="preserve"> the </w:t>
      </w:r>
      <w:r w:rsidR="00BD6D0D">
        <w:t>first filing</w:t>
      </w:r>
      <w:r w:rsidR="005C5EA8">
        <w:t xml:space="preserve"> </w:t>
      </w:r>
      <w:r w:rsidR="00CE2D0F">
        <w:t>i</w:t>
      </w:r>
      <w:r w:rsidR="005C5EA8">
        <w:t>s published prior to the date of the international registration</w:t>
      </w:r>
      <w:r w:rsidR="00835F02">
        <w:t>,</w:t>
      </w:r>
      <w:r w:rsidR="00133FA2">
        <w:t xml:space="preserve"> </w:t>
      </w:r>
      <w:r w:rsidR="00835F02">
        <w:t>but</w:t>
      </w:r>
      <w:r w:rsidR="00133FA2">
        <w:t xml:space="preserve"> </w:t>
      </w:r>
      <w:r w:rsidR="00D67996">
        <w:t>t</w:t>
      </w:r>
      <w:r w:rsidR="000F245A">
        <w:t xml:space="preserve">he right of priority </w:t>
      </w:r>
      <w:r w:rsidR="00CE2D0F">
        <w:t>i</w:t>
      </w:r>
      <w:r w:rsidR="000F245A">
        <w:t xml:space="preserve">s lost </w:t>
      </w:r>
      <w:r w:rsidR="005F1B1E">
        <w:t xml:space="preserve">because </w:t>
      </w:r>
      <w:r w:rsidR="002E4981">
        <w:t>the applicant</w:t>
      </w:r>
      <w:r w:rsidR="005F1B1E">
        <w:t xml:space="preserve"> </w:t>
      </w:r>
      <w:r w:rsidR="00D67996">
        <w:t>fail</w:t>
      </w:r>
      <w:r w:rsidR="002E4981">
        <w:t>ed</w:t>
      </w:r>
      <w:r w:rsidR="00D67996">
        <w:t xml:space="preserve"> to submit </w:t>
      </w:r>
      <w:r w:rsidR="005C5EA8">
        <w:t>a</w:t>
      </w:r>
      <w:r w:rsidR="00670A46">
        <w:t xml:space="preserve"> priority document to th</w:t>
      </w:r>
      <w:r w:rsidR="005F1B1E">
        <w:t>e</w:t>
      </w:r>
      <w:r w:rsidR="00670A46">
        <w:t>se Offices within the</w:t>
      </w:r>
      <w:r w:rsidR="005F1B1E">
        <w:t xml:space="preserve"> prescribed</w:t>
      </w:r>
      <w:r w:rsidR="00670A46">
        <w:t xml:space="preserve"> time limit.</w:t>
      </w:r>
    </w:p>
    <w:p w:rsidR="00383A7D" w:rsidRDefault="00670A46" w:rsidP="00CF5A48">
      <w:pPr>
        <w:pStyle w:val="ONUME"/>
        <w:rPr>
          <w:lang w:eastAsia="en-US"/>
        </w:rPr>
      </w:pPr>
      <w:r w:rsidRPr="008B6B36">
        <w:t xml:space="preserve">Similarly, </w:t>
      </w:r>
      <w:r w:rsidR="005F1B1E">
        <w:t xml:space="preserve">the JPO and KIPO respectively refused </w:t>
      </w:r>
      <w:r w:rsidRPr="008B6B36">
        <w:t>534 and 811 designs</w:t>
      </w:r>
      <w:r w:rsidR="005F1B1E">
        <w:t>,</w:t>
      </w:r>
      <w:r w:rsidRPr="008B6B36">
        <w:t xml:space="preserve"> citing an earlier application </w:t>
      </w:r>
      <w:r w:rsidR="002A25D0">
        <w:t xml:space="preserve">(including </w:t>
      </w:r>
      <w:r w:rsidR="00BD6D0D">
        <w:t xml:space="preserve">on </w:t>
      </w:r>
      <w:r w:rsidR="002A25D0">
        <w:t>the same filing date) or registration</w:t>
      </w:r>
      <w:r w:rsidR="005F1B1E">
        <w:t xml:space="preserve">. </w:t>
      </w:r>
      <w:r w:rsidR="00BD6D0D">
        <w:t xml:space="preserve"> </w:t>
      </w:r>
      <w:r w:rsidR="005F1B1E">
        <w:t>These figures</w:t>
      </w:r>
      <w:r w:rsidR="00DA22CF">
        <w:t xml:space="preserve"> represent </w:t>
      </w:r>
      <w:r w:rsidR="0034706C">
        <w:t xml:space="preserve">about </w:t>
      </w:r>
      <w:r w:rsidR="00DA22CF">
        <w:t>21.5</w:t>
      </w:r>
      <w:r w:rsidR="000E072D">
        <w:t> per cent</w:t>
      </w:r>
      <w:r w:rsidR="00DA22CF">
        <w:t xml:space="preserve"> and</w:t>
      </w:r>
      <w:r w:rsidR="00CC3215">
        <w:t xml:space="preserve"> 24</w:t>
      </w:r>
      <w:r w:rsidR="000E072D">
        <w:t> per cent</w:t>
      </w:r>
      <w:r w:rsidR="00CC3215">
        <w:t xml:space="preserve"> of the </w:t>
      </w:r>
      <w:r w:rsidR="0082238B">
        <w:t xml:space="preserve">refusal </w:t>
      </w:r>
      <w:r w:rsidR="00CC3215">
        <w:t>grounds</w:t>
      </w:r>
      <w:r w:rsidR="00DA22CF">
        <w:t xml:space="preserve"> raised by th</w:t>
      </w:r>
      <w:r w:rsidR="002E4981">
        <w:t>e</w:t>
      </w:r>
      <w:r w:rsidR="00DA22CF">
        <w:t>se Offices</w:t>
      </w:r>
      <w:r w:rsidRPr="008B6B36">
        <w:t>.  Again, the majority of th</w:t>
      </w:r>
      <w:r w:rsidR="002E4981">
        <w:t>e</w:t>
      </w:r>
      <w:r w:rsidR="008B6B36" w:rsidRPr="008B6B36">
        <w:t>se refusa</w:t>
      </w:r>
      <w:r w:rsidR="008B6B36">
        <w:t>ls cited another similar design included in the same international application or</w:t>
      </w:r>
      <w:r w:rsidR="000F6BF4">
        <w:t xml:space="preserve"> in a prior national or international application filed by the same applicant</w:t>
      </w:r>
      <w:r w:rsidR="008B6B36">
        <w:t>.</w:t>
      </w:r>
      <w:r w:rsidR="000F6BF4">
        <w:t xml:space="preserve">  This </w:t>
      </w:r>
      <w:r w:rsidR="002E4981">
        <w:t>happens</w:t>
      </w:r>
      <w:r w:rsidR="000F6BF4">
        <w:t xml:space="preserve"> </w:t>
      </w:r>
      <w:r w:rsidR="000F6BF4" w:rsidRPr="002A25D0">
        <w:t>whe</w:t>
      </w:r>
      <w:r w:rsidR="002E4981">
        <w:t>n</w:t>
      </w:r>
      <w:r w:rsidR="000F6BF4" w:rsidRPr="002A25D0">
        <w:t xml:space="preserve"> the applicant fail</w:t>
      </w:r>
      <w:r w:rsidR="002E4981">
        <w:t>s</w:t>
      </w:r>
      <w:r w:rsidR="000F6BF4" w:rsidRPr="002A25D0">
        <w:t xml:space="preserve"> to indicate </w:t>
      </w:r>
      <w:r w:rsidR="000F6BF4">
        <w:t>a</w:t>
      </w:r>
      <w:r w:rsidR="002A25D0">
        <w:t xml:space="preserve"> “principal design” and a “related design(s)” </w:t>
      </w:r>
      <w:r w:rsidR="00835F02">
        <w:t>adequately</w:t>
      </w:r>
      <w:r w:rsidR="002A25D0">
        <w:t xml:space="preserve">, or </w:t>
      </w:r>
      <w:r w:rsidR="002E4981">
        <w:t xml:space="preserve">if </w:t>
      </w:r>
      <w:r w:rsidR="002A25D0">
        <w:t>the examiner had a different opinion on the provided indications.</w:t>
      </w:r>
    </w:p>
    <w:p w:rsidR="00CF5A48" w:rsidRPr="009E2863" w:rsidRDefault="00806245" w:rsidP="00CF5A48">
      <w:pPr>
        <w:pStyle w:val="ONUME"/>
        <w:rPr>
          <w:i/>
          <w:lang w:eastAsia="en-US"/>
        </w:rPr>
      </w:pPr>
      <w:r>
        <w:t>The</w:t>
      </w:r>
      <w:r w:rsidR="00835F02">
        <w:t xml:space="preserve"> above</w:t>
      </w:r>
      <w:r>
        <w:t xml:space="preserve"> two cases</w:t>
      </w:r>
      <w:r w:rsidR="00835F02">
        <w:t xml:space="preserve"> are specific to the legislations of Japan and the Republic of Korea, meaning that th</w:t>
      </w:r>
      <w:r w:rsidR="002E4981">
        <w:t>e aforementioned</w:t>
      </w:r>
      <w:r w:rsidR="00835F02">
        <w:t xml:space="preserve"> refusal grounds do not appear </w:t>
      </w:r>
      <w:r w:rsidR="00F74F57">
        <w:t>to have</w:t>
      </w:r>
      <w:r w:rsidR="002E4981">
        <w:t xml:space="preserve"> any</w:t>
      </w:r>
      <w:r w:rsidR="00F74F57">
        <w:t xml:space="preserve"> direct relevance</w:t>
      </w:r>
      <w:r w:rsidR="00835F02">
        <w:t xml:space="preserve"> to </w:t>
      </w:r>
      <w:proofErr w:type="spellStart"/>
      <w:r w:rsidR="00835F02">
        <w:t>registrability</w:t>
      </w:r>
      <w:proofErr w:type="spellEnd"/>
      <w:r w:rsidR="00835F02">
        <w:t xml:space="preserve"> or patentability </w:t>
      </w:r>
      <w:r w:rsidR="00BD6D0D">
        <w:t>in other jurisdictions</w:t>
      </w:r>
      <w:r w:rsidR="00835F02">
        <w:t xml:space="preserve">.  </w:t>
      </w:r>
      <w:r w:rsidR="0034706C">
        <w:t>In other words, the design is not de</w:t>
      </w:r>
      <w:r w:rsidR="001D6189">
        <w:t>em</w:t>
      </w:r>
      <w:r w:rsidR="0034706C">
        <w:t xml:space="preserve">ed to </w:t>
      </w:r>
      <w:r w:rsidR="001D6189">
        <w:t xml:space="preserve">lack novelty </w:t>
      </w:r>
      <w:r w:rsidR="0034706C">
        <w:t>intrinsically and the refusal can technically be overcome</w:t>
      </w:r>
      <w:r w:rsidR="006763D5">
        <w:t xml:space="preserve"> or avoided.</w:t>
      </w:r>
      <w:r w:rsidR="0034706C">
        <w:t xml:space="preserve"> </w:t>
      </w:r>
      <w:r w:rsidR="006763D5">
        <w:t xml:space="preserve"> T</w:t>
      </w:r>
      <w:r w:rsidR="0034706C">
        <w:t xml:space="preserve">his is similar to </w:t>
      </w:r>
      <w:r w:rsidR="002E4981">
        <w:t>a</w:t>
      </w:r>
      <w:r w:rsidR="0034706C">
        <w:t xml:space="preserve"> situation </w:t>
      </w:r>
      <w:r w:rsidR="00A9347A">
        <w:t xml:space="preserve">where a given design </w:t>
      </w:r>
      <w:r w:rsidR="002E4981">
        <w:t>is</w:t>
      </w:r>
      <w:r w:rsidR="00A9347A">
        <w:t xml:space="preserve"> refused on the ground of insufficient disclosure, ambiguous product indication or definition of design, as </w:t>
      </w:r>
      <w:r w:rsidR="00645A88">
        <w:t>th</w:t>
      </w:r>
      <w:r w:rsidR="003974B2">
        <w:t>e</w:t>
      </w:r>
      <w:r w:rsidR="00645A88">
        <w:t>se requirements vary fr</w:t>
      </w:r>
      <w:r w:rsidR="000E072D">
        <w:t xml:space="preserve">om one </w:t>
      </w:r>
      <w:r w:rsidR="00BD6D0D">
        <w:t>jurisdiction</w:t>
      </w:r>
      <w:r w:rsidR="000E072D">
        <w:t xml:space="preserve"> to another.</w:t>
      </w:r>
    </w:p>
    <w:p w:rsidR="00547FBB" w:rsidRDefault="00DB1E74" w:rsidP="00F74F57">
      <w:pPr>
        <w:pStyle w:val="ONUME"/>
        <w:rPr>
          <w:lang w:eastAsia="en-US"/>
        </w:rPr>
      </w:pPr>
      <w:r w:rsidRPr="00CF5A48">
        <w:t xml:space="preserve">As regards the United States of America, </w:t>
      </w:r>
      <w:r w:rsidR="0034706C">
        <w:t xml:space="preserve">lack of novelty </w:t>
      </w:r>
      <w:r w:rsidR="003974B2">
        <w:t xml:space="preserve">accounts for </w:t>
      </w:r>
      <w:r w:rsidR="0034706C">
        <w:t xml:space="preserve">only </w:t>
      </w:r>
      <w:r w:rsidR="00624D4B">
        <w:t>one</w:t>
      </w:r>
      <w:r w:rsidR="0015260A">
        <w:t xml:space="preserve"> per cent</w:t>
      </w:r>
      <w:r w:rsidR="0034706C">
        <w:t xml:space="preserve"> </w:t>
      </w:r>
      <w:r w:rsidR="00140C99" w:rsidRPr="00CF5A48">
        <w:t xml:space="preserve">of the </w:t>
      </w:r>
      <w:r w:rsidR="00E64A17">
        <w:t xml:space="preserve">total number of </w:t>
      </w:r>
      <w:r w:rsidR="0067796F">
        <w:t xml:space="preserve">refusal </w:t>
      </w:r>
      <w:r w:rsidR="00E64A17">
        <w:t xml:space="preserve">grounds raised </w:t>
      </w:r>
      <w:r w:rsidR="007A15F9">
        <w:t>by the USPTO</w:t>
      </w:r>
      <w:r w:rsidR="0034706C">
        <w:t>, whil</w:t>
      </w:r>
      <w:r w:rsidR="006C2AA6">
        <w:t>e</w:t>
      </w:r>
      <w:r w:rsidR="0034706C">
        <w:t xml:space="preserve"> lack of compliance with the requirement of a single design being contained in the international registration </w:t>
      </w:r>
      <w:r w:rsidR="001D6189">
        <w:t>i</w:t>
      </w:r>
      <w:r w:rsidR="0034706C">
        <w:t>s by far the most frequent</w:t>
      </w:r>
      <w:r w:rsidR="00BD6D0D">
        <w:t xml:space="preserve"> and often the sole</w:t>
      </w:r>
      <w:r w:rsidR="0034706C">
        <w:t xml:space="preserve"> ground </w:t>
      </w:r>
      <w:r w:rsidR="00821095">
        <w:t>for</w:t>
      </w:r>
      <w:r w:rsidR="0034706C">
        <w:t xml:space="preserve"> refusal, </w:t>
      </w:r>
      <w:r w:rsidR="001D6189">
        <w:t>accounting for</w:t>
      </w:r>
      <w:r w:rsidR="0034706C">
        <w:t xml:space="preserve"> </w:t>
      </w:r>
      <w:r w:rsidR="00094EEE">
        <w:t>76</w:t>
      </w:r>
      <w:r w:rsidR="0015260A">
        <w:t xml:space="preserve"> per cent</w:t>
      </w:r>
      <w:r w:rsidR="0034706C">
        <w:t xml:space="preserve"> of the </w:t>
      </w:r>
      <w:r w:rsidR="0067796F">
        <w:t>total number of refusal grounds raised</w:t>
      </w:r>
      <w:r w:rsidR="00821095">
        <w:t>.</w:t>
      </w:r>
    </w:p>
    <w:p w:rsidR="00EB04AD" w:rsidRDefault="000622BC" w:rsidP="000E072D">
      <w:pPr>
        <w:pStyle w:val="Heading2"/>
        <w:spacing w:before="480"/>
        <w:rPr>
          <w:lang w:eastAsia="en-US"/>
        </w:rPr>
      </w:pPr>
      <w:r>
        <w:rPr>
          <w:lang w:eastAsia="en-US"/>
        </w:rPr>
        <w:t>relevant rules</w:t>
      </w:r>
    </w:p>
    <w:p w:rsidR="00E668FC" w:rsidRPr="00E668FC" w:rsidRDefault="00001D8E" w:rsidP="00F23DE3">
      <w:pPr>
        <w:pStyle w:val="ONUME"/>
        <w:rPr>
          <w:rFonts w:eastAsia="MS Mincho"/>
        </w:rPr>
      </w:pPr>
      <w:r>
        <w:rPr>
          <w:rFonts w:eastAsia="MS Mincho"/>
        </w:rPr>
        <w:t>Rule</w:t>
      </w:r>
      <w:r w:rsidR="00C33A66">
        <w:rPr>
          <w:rFonts w:eastAsia="MS Mincho"/>
        </w:rPr>
        <w:t> </w:t>
      </w:r>
      <w:r>
        <w:rPr>
          <w:rFonts w:eastAsia="MS Mincho"/>
        </w:rPr>
        <w:t xml:space="preserve">26(1) </w:t>
      </w:r>
      <w:r w:rsidR="00645E67">
        <w:rPr>
          <w:rFonts w:eastAsia="MS Mincho"/>
        </w:rPr>
        <w:t>defines</w:t>
      </w:r>
      <w:r>
        <w:rPr>
          <w:rFonts w:eastAsia="MS Mincho"/>
        </w:rPr>
        <w:t xml:space="preserve"> the content publi</w:t>
      </w:r>
      <w:r w:rsidR="00645E67">
        <w:rPr>
          <w:rFonts w:eastAsia="MS Mincho"/>
        </w:rPr>
        <w:t>shed</w:t>
      </w:r>
      <w:r>
        <w:rPr>
          <w:rFonts w:eastAsia="MS Mincho"/>
        </w:rPr>
        <w:t xml:space="preserve"> in the </w:t>
      </w:r>
      <w:r w:rsidRPr="00C33A66">
        <w:rPr>
          <w:rFonts w:eastAsia="MS Mincho"/>
        </w:rPr>
        <w:t>Bulletin</w:t>
      </w:r>
      <w:r>
        <w:rPr>
          <w:rFonts w:eastAsia="MS Mincho"/>
        </w:rPr>
        <w:t xml:space="preserve">.  </w:t>
      </w:r>
      <w:r w:rsidR="00645E67">
        <w:rPr>
          <w:rFonts w:eastAsia="MS Mincho"/>
        </w:rPr>
        <w:t>S</w:t>
      </w:r>
      <w:r>
        <w:rPr>
          <w:rFonts w:eastAsia="MS Mincho"/>
        </w:rPr>
        <w:t xml:space="preserve">ubparagraph </w:t>
      </w:r>
      <w:r>
        <w:t>(ii)</w:t>
      </w:r>
      <w:r w:rsidR="00645E67">
        <w:t xml:space="preserve"> refers to</w:t>
      </w:r>
      <w:r>
        <w:t xml:space="preserve"> “</w:t>
      </w:r>
      <w:r w:rsidRPr="00C33A66">
        <w:t xml:space="preserve">refusals, with an indication as to whether there is a possibility of review or appeal, </w:t>
      </w:r>
      <w:r w:rsidRPr="00C33A66">
        <w:rPr>
          <w:u w:val="single"/>
        </w:rPr>
        <w:t>but without the grounds for refusal</w:t>
      </w:r>
      <w:proofErr w:type="gramStart"/>
      <w:r w:rsidRPr="00C33A66">
        <w:t>,…</w:t>
      </w:r>
      <w:proofErr w:type="gramEnd"/>
      <w:r>
        <w:t>”.</w:t>
      </w:r>
      <w:r w:rsidR="000A7C3B">
        <w:t xml:space="preserve">  This phrase first appeared in the “Draft Regulations” submitted to the </w:t>
      </w:r>
      <w:r w:rsidR="00C33A66">
        <w:t>s</w:t>
      </w:r>
      <w:r w:rsidR="000A7C3B">
        <w:t xml:space="preserve">eventh </w:t>
      </w:r>
      <w:r w:rsidR="00C33A66">
        <w:t>s</w:t>
      </w:r>
      <w:r w:rsidR="000A7C3B">
        <w:t>ession of the Committee of Experts on the Development of the Hague Agreement Concerning the International Deposit of Industrial Designs</w:t>
      </w:r>
      <w:r w:rsidR="00496163">
        <w:t xml:space="preserve"> (hereinafter referred to as the “Committee of Experts”)</w:t>
      </w:r>
      <w:r w:rsidR="000A7C3B">
        <w:t xml:space="preserve">, held </w:t>
      </w:r>
      <w:r w:rsidR="00C1070F">
        <w:t>in</w:t>
      </w:r>
      <w:r w:rsidR="004E5263">
        <w:t xml:space="preserve"> </w:t>
      </w:r>
      <w:r w:rsidR="000A7C3B">
        <w:t>November</w:t>
      </w:r>
      <w:r w:rsidR="00C33A66">
        <w:t> </w:t>
      </w:r>
      <w:r w:rsidR="000A7C3B">
        <w:t>1997</w:t>
      </w:r>
      <w:r w:rsidR="000A7C3B">
        <w:rPr>
          <w:rStyle w:val="FootnoteReference"/>
        </w:rPr>
        <w:footnoteReference w:id="8"/>
      </w:r>
      <w:r w:rsidR="000A7C3B">
        <w:t>.</w:t>
      </w:r>
    </w:p>
    <w:p w:rsidR="00F23DE3" w:rsidRPr="000A7C3B" w:rsidRDefault="000A7C3B" w:rsidP="00F23DE3">
      <w:pPr>
        <w:pStyle w:val="ONUME"/>
        <w:rPr>
          <w:rFonts w:eastAsia="MS Mincho"/>
        </w:rPr>
      </w:pPr>
      <w:r>
        <w:lastRenderedPageBreak/>
        <w:t>Th</w:t>
      </w:r>
      <w:r w:rsidR="00E668FC">
        <w:t>is</w:t>
      </w:r>
      <w:r>
        <w:t xml:space="preserve"> first</w:t>
      </w:r>
      <w:r w:rsidR="00E668FC">
        <w:t xml:space="preserve"> set of</w:t>
      </w:r>
      <w:r>
        <w:t xml:space="preserve"> draft</w:t>
      </w:r>
      <w:r w:rsidR="005E338C">
        <w:t xml:space="preserve"> </w:t>
      </w:r>
      <w:r w:rsidR="00E668FC">
        <w:t xml:space="preserve">regulations </w:t>
      </w:r>
      <w:r w:rsidR="005E338C">
        <w:t>became the Draft Regulations Under the New Act of the Hague Agreement</w:t>
      </w:r>
      <w:r w:rsidR="00A56572">
        <w:t xml:space="preserve"> Concerning the International Registration of Industrial Designs</w:t>
      </w:r>
      <w:r w:rsidR="005E338C">
        <w:t>, submitted to the Diplomatic Conference for the Adoption of a New Act of the Hague Agreement Concerning the International Deposit of Industrial Designs (Geneva Act) held from June</w:t>
      </w:r>
      <w:r w:rsidR="00C33A66">
        <w:t> </w:t>
      </w:r>
      <w:r w:rsidR="005E338C">
        <w:t>16 to</w:t>
      </w:r>
      <w:r w:rsidR="00C33A66">
        <w:t> </w:t>
      </w:r>
      <w:r w:rsidR="005E338C">
        <w:t>July</w:t>
      </w:r>
      <w:r w:rsidR="00C33A66">
        <w:t> </w:t>
      </w:r>
      <w:r w:rsidR="00A56572">
        <w:t>6</w:t>
      </w:r>
      <w:r w:rsidR="005E338C">
        <w:t>,</w:t>
      </w:r>
      <w:r w:rsidR="00C33A66">
        <w:t> </w:t>
      </w:r>
      <w:r w:rsidR="005E338C">
        <w:t>1999</w:t>
      </w:r>
      <w:r w:rsidR="00175421">
        <w:t xml:space="preserve"> (hereinafter referred to as the “Diplomatic Conference”)</w:t>
      </w:r>
      <w:r w:rsidR="00E668FC">
        <w:rPr>
          <w:rStyle w:val="FootnoteReference"/>
        </w:rPr>
        <w:footnoteReference w:id="9"/>
      </w:r>
      <w:r w:rsidR="005E338C">
        <w:t>.</w:t>
      </w:r>
      <w:r w:rsidR="00E668FC">
        <w:t xml:space="preserve">  This part of </w:t>
      </w:r>
      <w:r w:rsidR="000F5C63">
        <w:t xml:space="preserve">the </w:t>
      </w:r>
      <w:r w:rsidR="00E668FC">
        <w:t xml:space="preserve">rule </w:t>
      </w:r>
      <w:r w:rsidR="00C33A66">
        <w:t>remains unchanged to this day.</w:t>
      </w:r>
    </w:p>
    <w:p w:rsidR="00496163" w:rsidRDefault="00496163" w:rsidP="00F23DE3">
      <w:pPr>
        <w:pStyle w:val="ONUME"/>
        <w:rPr>
          <w:rFonts w:eastAsia="MS Mincho"/>
        </w:rPr>
      </w:pPr>
      <w:r>
        <w:rPr>
          <w:rFonts w:eastAsia="MS Mincho"/>
        </w:rPr>
        <w:t>There was no reason found in any document submitted to the Committee of Experts</w:t>
      </w:r>
      <w:r w:rsidR="00175421">
        <w:rPr>
          <w:rFonts w:eastAsia="MS Mincho"/>
        </w:rPr>
        <w:t xml:space="preserve"> or the Diplomatic Conference</w:t>
      </w:r>
      <w:r>
        <w:rPr>
          <w:rFonts w:eastAsia="MS Mincho"/>
        </w:rPr>
        <w:t xml:space="preserve"> as to why a notification of refusal should be published without the grounds for refusal.</w:t>
      </w:r>
    </w:p>
    <w:p w:rsidR="000A7C3B" w:rsidRDefault="00496163" w:rsidP="00F23DE3">
      <w:pPr>
        <w:pStyle w:val="ONUME"/>
        <w:rPr>
          <w:rFonts w:eastAsia="MS Mincho"/>
        </w:rPr>
      </w:pPr>
      <w:r>
        <w:rPr>
          <w:rFonts w:eastAsia="MS Mincho"/>
        </w:rPr>
        <w:t>Rule</w:t>
      </w:r>
      <w:r w:rsidR="001A7410">
        <w:rPr>
          <w:rFonts w:eastAsia="MS Mincho"/>
        </w:rPr>
        <w:t> </w:t>
      </w:r>
      <w:r>
        <w:rPr>
          <w:rFonts w:eastAsia="MS Mincho"/>
        </w:rPr>
        <w:t>32(1)(iii) of the Common Regulations under the Madrid Agreement Concerning the International Registration of Marks and the Protocol Relating to that Agreement (</w:t>
      </w:r>
      <w:r w:rsidR="0066456B">
        <w:t xml:space="preserve">hereinafter referred to as the “Madrid Regulations”) also </w:t>
      </w:r>
      <w:r w:rsidR="00645E67">
        <w:t>refers to</w:t>
      </w:r>
      <w:r w:rsidR="0066456B">
        <w:t xml:space="preserve"> “</w:t>
      </w:r>
      <w:r w:rsidR="0066456B" w:rsidRPr="001A7410">
        <w:t>provisional refusals</w:t>
      </w:r>
      <w:r w:rsidR="008F5DCA" w:rsidRPr="001A7410">
        <w:t xml:space="preserve"> recorded under Rule</w:t>
      </w:r>
      <w:r w:rsidR="001A7410">
        <w:t> </w:t>
      </w:r>
      <w:r w:rsidR="008F5DCA" w:rsidRPr="001A7410">
        <w:t>17(4),..</w:t>
      </w:r>
      <w:r w:rsidR="0066456B" w:rsidRPr="001A7410">
        <w:t>.</w:t>
      </w:r>
      <w:r w:rsidR="000E072D">
        <w:t xml:space="preserve"> </w:t>
      </w:r>
      <w:r w:rsidR="0066456B" w:rsidRPr="001A7410">
        <w:t>without the grounds for refusal…</w:t>
      </w:r>
      <w:r w:rsidR="0066456B">
        <w:t xml:space="preserve">” </w:t>
      </w:r>
      <w:r w:rsidR="008F5DCA">
        <w:t>as content</w:t>
      </w:r>
      <w:r w:rsidR="00645E67">
        <w:t xml:space="preserve"> for publication.</w:t>
      </w:r>
      <w:r>
        <w:rPr>
          <w:rFonts w:eastAsia="MS Mincho"/>
        </w:rPr>
        <w:t xml:space="preserve"> </w:t>
      </w:r>
      <w:r w:rsidR="008F5DCA">
        <w:rPr>
          <w:rFonts w:eastAsia="MS Mincho"/>
        </w:rPr>
        <w:t xml:space="preserve"> This part of the rule </w:t>
      </w:r>
      <w:r w:rsidR="006C468A">
        <w:rPr>
          <w:rFonts w:eastAsia="MS Mincho"/>
        </w:rPr>
        <w:t xml:space="preserve">has </w:t>
      </w:r>
      <w:r w:rsidR="008F5DCA">
        <w:rPr>
          <w:rFonts w:eastAsia="MS Mincho"/>
        </w:rPr>
        <w:t>remain</w:t>
      </w:r>
      <w:r w:rsidR="006C468A">
        <w:rPr>
          <w:rFonts w:eastAsia="MS Mincho"/>
        </w:rPr>
        <w:t>ed unchanged</w:t>
      </w:r>
      <w:r w:rsidR="008F5DCA">
        <w:rPr>
          <w:rFonts w:eastAsia="MS Mincho"/>
        </w:rPr>
        <w:t xml:space="preserve"> from the</w:t>
      </w:r>
      <w:r w:rsidR="006C468A">
        <w:rPr>
          <w:rFonts w:eastAsia="MS Mincho"/>
        </w:rPr>
        <w:t xml:space="preserve"> very</w:t>
      </w:r>
      <w:r w:rsidR="008F5DCA">
        <w:rPr>
          <w:rFonts w:eastAsia="MS Mincho"/>
        </w:rPr>
        <w:t xml:space="preserve"> first (1996) version of the Madrid </w:t>
      </w:r>
      <w:r w:rsidR="00ED079E">
        <w:rPr>
          <w:rFonts w:eastAsia="MS Mincho"/>
        </w:rPr>
        <w:t xml:space="preserve">(Common) </w:t>
      </w:r>
      <w:r w:rsidR="008F5DCA">
        <w:rPr>
          <w:rFonts w:eastAsia="MS Mincho"/>
        </w:rPr>
        <w:t>Regulations</w:t>
      </w:r>
      <w:r w:rsidR="00ED079E">
        <w:rPr>
          <w:rStyle w:val="FootnoteReference"/>
          <w:rFonts w:eastAsia="MS Mincho"/>
        </w:rPr>
        <w:footnoteReference w:id="10"/>
      </w:r>
      <w:r w:rsidR="008F5DCA">
        <w:rPr>
          <w:rFonts w:eastAsia="MS Mincho"/>
        </w:rPr>
        <w:t>.</w:t>
      </w:r>
    </w:p>
    <w:p w:rsidR="00EA55F4" w:rsidRPr="00EA3A9B" w:rsidRDefault="00461407" w:rsidP="00F23DE3">
      <w:pPr>
        <w:pStyle w:val="ONUME"/>
        <w:rPr>
          <w:rFonts w:eastAsia="MS Mincho"/>
        </w:rPr>
      </w:pPr>
      <w:r w:rsidRPr="00EA3A9B">
        <w:rPr>
          <w:rFonts w:eastAsia="MS Mincho"/>
        </w:rPr>
        <w:t>In those days, both international trademark and design registrations under the Madrid and Hague Systems were</w:t>
      </w:r>
      <w:r w:rsidR="00BA7123" w:rsidRPr="00EA3A9B">
        <w:rPr>
          <w:rFonts w:eastAsia="MS Mincho"/>
        </w:rPr>
        <w:t xml:space="preserve"> published</w:t>
      </w:r>
      <w:r w:rsidR="00DE1B79">
        <w:rPr>
          <w:rFonts w:eastAsia="MS Mincho"/>
        </w:rPr>
        <w:t xml:space="preserve"> in</w:t>
      </w:r>
      <w:r w:rsidRPr="00EA3A9B">
        <w:rPr>
          <w:rFonts w:eastAsia="MS Mincho"/>
        </w:rPr>
        <w:t xml:space="preserve"> paper form</w:t>
      </w:r>
      <w:r w:rsidR="00D121F3">
        <w:rPr>
          <w:rFonts w:eastAsia="MS Mincho"/>
        </w:rPr>
        <w:t>at</w:t>
      </w:r>
      <w:r w:rsidRPr="00EA3A9B">
        <w:rPr>
          <w:rFonts w:eastAsia="MS Mincho"/>
        </w:rPr>
        <w:t>.  As it is still the case today,</w:t>
      </w:r>
      <w:r w:rsidR="00BA7123" w:rsidRPr="00EA3A9B">
        <w:rPr>
          <w:rFonts w:eastAsia="MS Mincho"/>
        </w:rPr>
        <w:t xml:space="preserve"> the International Bureau did not </w:t>
      </w:r>
      <w:r w:rsidR="00145391" w:rsidRPr="00EA3A9B">
        <w:rPr>
          <w:rFonts w:eastAsia="MS Mincho"/>
        </w:rPr>
        <w:t>“</w:t>
      </w:r>
      <w:r w:rsidR="00BA7123" w:rsidRPr="00EA3A9B">
        <w:rPr>
          <w:rFonts w:eastAsia="MS Mincho"/>
        </w:rPr>
        <w:t xml:space="preserve">capture </w:t>
      </w:r>
      <w:r w:rsidR="00175421">
        <w:rPr>
          <w:rFonts w:eastAsia="MS Mincho"/>
        </w:rPr>
        <w:t xml:space="preserve">any </w:t>
      </w:r>
      <w:r w:rsidR="00BA7123" w:rsidRPr="00EA3A9B">
        <w:rPr>
          <w:rFonts w:eastAsia="MS Mincho"/>
        </w:rPr>
        <w:t xml:space="preserve">text data </w:t>
      </w:r>
      <w:r w:rsidR="00175421">
        <w:rPr>
          <w:rFonts w:eastAsia="MS Mincho"/>
        </w:rPr>
        <w:t>concerning</w:t>
      </w:r>
      <w:r w:rsidR="00BA7123" w:rsidRPr="00EA3A9B">
        <w:rPr>
          <w:rFonts w:eastAsia="MS Mincho"/>
        </w:rPr>
        <w:t xml:space="preserve"> refusal grounds</w:t>
      </w:r>
      <w:r w:rsidR="00145391" w:rsidRPr="00EA3A9B">
        <w:rPr>
          <w:rFonts w:eastAsia="MS Mincho"/>
        </w:rPr>
        <w:t>”</w:t>
      </w:r>
      <w:r w:rsidR="00BA7123" w:rsidRPr="00EA3A9B">
        <w:rPr>
          <w:rFonts w:eastAsia="MS Mincho"/>
        </w:rPr>
        <w:t xml:space="preserve"> </w:t>
      </w:r>
      <w:r w:rsidR="00175421">
        <w:rPr>
          <w:rFonts w:eastAsia="MS Mincho"/>
        </w:rPr>
        <w:t>contained</w:t>
      </w:r>
      <w:r w:rsidR="00BA7123" w:rsidRPr="00EA3A9B">
        <w:rPr>
          <w:rFonts w:eastAsia="MS Mincho"/>
        </w:rPr>
        <w:t xml:space="preserve"> in each notification of (provisional) refusal.  </w:t>
      </w:r>
      <w:r w:rsidR="00F22813" w:rsidRPr="00EA3A9B">
        <w:rPr>
          <w:rFonts w:eastAsia="MS Mincho"/>
        </w:rPr>
        <w:t xml:space="preserve">Thus, there was no </w:t>
      </w:r>
      <w:r w:rsidR="00EA55F4" w:rsidRPr="00EA3A9B">
        <w:rPr>
          <w:rFonts w:eastAsia="MS Mincho"/>
        </w:rPr>
        <w:t>automated</w:t>
      </w:r>
      <w:r w:rsidR="00F22813" w:rsidRPr="00EA3A9B">
        <w:rPr>
          <w:rFonts w:eastAsia="MS Mincho"/>
        </w:rPr>
        <w:t xml:space="preserve"> means to reproduce </w:t>
      </w:r>
      <w:r w:rsidR="00EA55F4" w:rsidRPr="00EA3A9B">
        <w:rPr>
          <w:rFonts w:eastAsia="MS Mincho"/>
        </w:rPr>
        <w:t>such</w:t>
      </w:r>
      <w:r w:rsidR="00145391" w:rsidRPr="00EA3A9B">
        <w:rPr>
          <w:rFonts w:eastAsia="MS Mincho"/>
        </w:rPr>
        <w:t xml:space="preserve"> </w:t>
      </w:r>
      <w:r w:rsidR="00175421">
        <w:rPr>
          <w:rFonts w:eastAsia="MS Mincho"/>
        </w:rPr>
        <w:t>data</w:t>
      </w:r>
      <w:r w:rsidR="00145391" w:rsidRPr="00EA3A9B">
        <w:rPr>
          <w:rFonts w:eastAsia="MS Mincho"/>
        </w:rPr>
        <w:t xml:space="preserve"> in the publication.</w:t>
      </w:r>
      <w:r w:rsidR="00DC2458" w:rsidRPr="00EA3A9B">
        <w:rPr>
          <w:rFonts w:eastAsia="MS Mincho"/>
        </w:rPr>
        <w:t xml:space="preserve">  </w:t>
      </w:r>
      <w:r w:rsidR="00ED079E">
        <w:rPr>
          <w:rFonts w:eastAsia="MS Mincho"/>
        </w:rPr>
        <w:t>I</w:t>
      </w:r>
      <w:r w:rsidR="00C1070F">
        <w:rPr>
          <w:rFonts w:eastAsia="MS Mincho"/>
        </w:rPr>
        <w:t xml:space="preserve">n this regard, </w:t>
      </w:r>
      <w:r w:rsidR="00EA3A9B" w:rsidRPr="00EA3A9B">
        <w:rPr>
          <w:rFonts w:eastAsia="MS Mincho"/>
        </w:rPr>
        <w:t xml:space="preserve">a prior mark or design cited as a ground </w:t>
      </w:r>
      <w:r w:rsidR="001D6189">
        <w:rPr>
          <w:rFonts w:eastAsia="MS Mincho"/>
        </w:rPr>
        <w:t>f</w:t>
      </w:r>
      <w:r w:rsidR="00F07527">
        <w:rPr>
          <w:rFonts w:eastAsia="MS Mincho"/>
        </w:rPr>
        <w:t>or</w:t>
      </w:r>
      <w:r w:rsidR="001D6189">
        <w:rPr>
          <w:rFonts w:eastAsia="MS Mincho"/>
        </w:rPr>
        <w:t xml:space="preserve"> refusal </w:t>
      </w:r>
      <w:r w:rsidR="006C468A">
        <w:rPr>
          <w:rFonts w:eastAsia="MS Mincho"/>
        </w:rPr>
        <w:t>could</w:t>
      </w:r>
      <w:r w:rsidR="00EA3A9B" w:rsidRPr="00EA3A9B">
        <w:rPr>
          <w:rFonts w:eastAsia="MS Mincho"/>
        </w:rPr>
        <w:t xml:space="preserve"> be provided by attaching a copy of</w:t>
      </w:r>
      <w:r w:rsidR="00974255">
        <w:rPr>
          <w:rFonts w:eastAsia="MS Mincho"/>
        </w:rPr>
        <w:t xml:space="preserve"> the</w:t>
      </w:r>
      <w:r w:rsidR="00EA3A9B" w:rsidRPr="00EA3A9B">
        <w:rPr>
          <w:rFonts w:eastAsia="MS Mincho"/>
        </w:rPr>
        <w:t xml:space="preserve"> national publication </w:t>
      </w:r>
      <w:r w:rsidR="00F07527">
        <w:rPr>
          <w:rFonts w:eastAsia="MS Mincho"/>
        </w:rPr>
        <w:t>which</w:t>
      </w:r>
      <w:r w:rsidR="00EA3A9B" w:rsidRPr="00EA3A9B">
        <w:rPr>
          <w:rFonts w:eastAsia="MS Mincho"/>
        </w:rPr>
        <w:t xml:space="preserve"> may be in a local language.</w:t>
      </w:r>
      <w:r w:rsidR="00DC2458" w:rsidRPr="00EA3A9B">
        <w:rPr>
          <w:rFonts w:eastAsia="MS Mincho"/>
        </w:rPr>
        <w:t xml:space="preserve"> </w:t>
      </w:r>
      <w:r w:rsidR="00EA3A9B">
        <w:rPr>
          <w:rFonts w:eastAsia="MS Mincho"/>
        </w:rPr>
        <w:t xml:space="preserve"> </w:t>
      </w:r>
      <w:r w:rsidR="00FD458F">
        <w:rPr>
          <w:rFonts w:eastAsia="MS Mincho"/>
        </w:rPr>
        <w:t>Moreover, s</w:t>
      </w:r>
      <w:r w:rsidR="00DC2458" w:rsidRPr="00EA3A9B">
        <w:rPr>
          <w:rFonts w:eastAsia="MS Mincho"/>
        </w:rPr>
        <w:t>everal prior marks</w:t>
      </w:r>
      <w:r w:rsidR="00EA55F4" w:rsidRPr="00EA3A9B">
        <w:rPr>
          <w:rFonts w:eastAsia="MS Mincho"/>
        </w:rPr>
        <w:t xml:space="preserve"> or designs </w:t>
      </w:r>
      <w:r w:rsidR="006C468A">
        <w:rPr>
          <w:rFonts w:eastAsia="MS Mincho"/>
        </w:rPr>
        <w:t>could</w:t>
      </w:r>
      <w:r w:rsidR="00EA55F4" w:rsidRPr="00EA3A9B">
        <w:rPr>
          <w:rFonts w:eastAsia="MS Mincho"/>
        </w:rPr>
        <w:t xml:space="preserve"> be cited in one notification.</w:t>
      </w:r>
    </w:p>
    <w:p w:rsidR="00C1070F" w:rsidRDefault="004571E0" w:rsidP="00F23DE3">
      <w:pPr>
        <w:pStyle w:val="ONUME"/>
        <w:rPr>
          <w:rFonts w:eastAsia="MS Mincho"/>
        </w:rPr>
      </w:pPr>
      <w:r>
        <w:rPr>
          <w:rFonts w:eastAsia="MS Mincho"/>
        </w:rPr>
        <w:t>T</w:t>
      </w:r>
      <w:r w:rsidR="00EA55F4">
        <w:rPr>
          <w:rFonts w:eastAsia="MS Mincho"/>
        </w:rPr>
        <w:t>he publi</w:t>
      </w:r>
      <w:r w:rsidR="00D476A5">
        <w:rPr>
          <w:rFonts w:eastAsia="MS Mincho"/>
        </w:rPr>
        <w:t>cation of</w:t>
      </w:r>
      <w:r w:rsidR="00EA55F4">
        <w:rPr>
          <w:rFonts w:eastAsia="MS Mincho"/>
        </w:rPr>
        <w:t xml:space="preserve"> a (provisional or final) refusal </w:t>
      </w:r>
      <w:r w:rsidR="006C468A">
        <w:rPr>
          <w:rFonts w:eastAsia="MS Mincho"/>
        </w:rPr>
        <w:t>is intended</w:t>
      </w:r>
      <w:r w:rsidR="00EA55F4">
        <w:rPr>
          <w:rFonts w:eastAsia="MS Mincho"/>
        </w:rPr>
        <w:t xml:space="preserve"> to announce the fact that the effect of </w:t>
      </w:r>
      <w:r>
        <w:rPr>
          <w:rFonts w:eastAsia="MS Mincho"/>
        </w:rPr>
        <w:t>the</w:t>
      </w:r>
      <w:r w:rsidR="00EA55F4">
        <w:rPr>
          <w:rFonts w:eastAsia="MS Mincho"/>
        </w:rPr>
        <w:t xml:space="preserve"> international registration </w:t>
      </w:r>
      <w:r w:rsidR="001701BC">
        <w:rPr>
          <w:rFonts w:eastAsia="MS Mincho"/>
        </w:rPr>
        <w:t>has been</w:t>
      </w:r>
      <w:r>
        <w:rPr>
          <w:rFonts w:eastAsia="MS Mincho"/>
        </w:rPr>
        <w:t xml:space="preserve"> refused by a given designated Contracting Party.</w:t>
      </w:r>
      <w:r w:rsidR="00EA55F4">
        <w:rPr>
          <w:rFonts w:eastAsia="MS Mincho"/>
        </w:rPr>
        <w:t xml:space="preserve">  </w:t>
      </w:r>
      <w:r w:rsidR="006C468A">
        <w:rPr>
          <w:rFonts w:eastAsia="MS Mincho"/>
        </w:rPr>
        <w:t>T</w:t>
      </w:r>
      <w:r w:rsidR="00BA7123">
        <w:rPr>
          <w:rFonts w:eastAsia="MS Mincho"/>
        </w:rPr>
        <w:t>he phrase “</w:t>
      </w:r>
      <w:r w:rsidR="00BA7123" w:rsidRPr="00974255">
        <w:rPr>
          <w:rFonts w:eastAsia="MS Mincho"/>
        </w:rPr>
        <w:t>without the grounds for refusal</w:t>
      </w:r>
      <w:r w:rsidR="00BA7123">
        <w:rPr>
          <w:rFonts w:eastAsia="MS Mincho"/>
        </w:rPr>
        <w:t xml:space="preserve">” </w:t>
      </w:r>
      <w:r w:rsidR="00CB5B2E">
        <w:rPr>
          <w:rFonts w:eastAsia="MS Mincho"/>
        </w:rPr>
        <w:t>appears to be</w:t>
      </w:r>
      <w:r w:rsidR="006C468A">
        <w:rPr>
          <w:rFonts w:eastAsia="MS Mincho"/>
        </w:rPr>
        <w:t xml:space="preserve"> included </w:t>
      </w:r>
      <w:r w:rsidR="00BA7123">
        <w:rPr>
          <w:rFonts w:eastAsia="MS Mincho"/>
        </w:rPr>
        <w:t>in the Madrid Regulations</w:t>
      </w:r>
      <w:r>
        <w:rPr>
          <w:rFonts w:eastAsia="MS Mincho"/>
        </w:rPr>
        <w:t xml:space="preserve"> </w:t>
      </w:r>
      <w:r w:rsidR="006C468A">
        <w:rPr>
          <w:rFonts w:eastAsia="MS Mincho"/>
        </w:rPr>
        <w:t>to ref</w:t>
      </w:r>
      <w:r w:rsidR="00F07527">
        <w:rPr>
          <w:rFonts w:eastAsia="MS Mincho"/>
        </w:rPr>
        <w:t>l</w:t>
      </w:r>
      <w:r w:rsidR="006C468A">
        <w:rPr>
          <w:rFonts w:eastAsia="MS Mincho"/>
        </w:rPr>
        <w:t>ect not only</w:t>
      </w:r>
      <w:r w:rsidR="00CE6C8E">
        <w:rPr>
          <w:rFonts w:eastAsia="MS Mincho"/>
        </w:rPr>
        <w:t xml:space="preserve"> </w:t>
      </w:r>
      <w:r w:rsidR="00D476A5">
        <w:rPr>
          <w:rFonts w:eastAsia="MS Mincho"/>
        </w:rPr>
        <w:t>th</w:t>
      </w:r>
      <w:r w:rsidR="00CE6C8E">
        <w:rPr>
          <w:rFonts w:eastAsia="MS Mincho"/>
        </w:rPr>
        <w:t>is</w:t>
      </w:r>
      <w:r w:rsidR="00D476A5">
        <w:rPr>
          <w:rFonts w:eastAsia="MS Mincho"/>
        </w:rPr>
        <w:t xml:space="preserve"> </w:t>
      </w:r>
      <w:r w:rsidR="00ED079E">
        <w:rPr>
          <w:rFonts w:eastAsia="MS Mincho"/>
        </w:rPr>
        <w:t>prima</w:t>
      </w:r>
      <w:r w:rsidR="006C468A">
        <w:rPr>
          <w:rFonts w:eastAsia="MS Mincho"/>
        </w:rPr>
        <w:t>ry</w:t>
      </w:r>
      <w:r w:rsidR="00D476A5">
        <w:rPr>
          <w:rFonts w:eastAsia="MS Mincho"/>
        </w:rPr>
        <w:t xml:space="preserve"> purpose</w:t>
      </w:r>
      <w:r w:rsidR="00244999">
        <w:rPr>
          <w:rFonts w:eastAsia="MS Mincho"/>
        </w:rPr>
        <w:t xml:space="preserve"> of publishing a refusal</w:t>
      </w:r>
      <w:r w:rsidR="00CE6C8E">
        <w:rPr>
          <w:rFonts w:eastAsia="MS Mincho"/>
        </w:rPr>
        <w:t xml:space="preserve">, but also </w:t>
      </w:r>
      <w:r w:rsidR="00DD54A8" w:rsidRPr="00CE6C8E">
        <w:rPr>
          <w:rFonts w:eastAsia="MS Mincho"/>
        </w:rPr>
        <w:t xml:space="preserve">the technical constraint </w:t>
      </w:r>
      <w:r w:rsidR="006C468A">
        <w:rPr>
          <w:rFonts w:eastAsia="MS Mincho"/>
        </w:rPr>
        <w:t xml:space="preserve">that </w:t>
      </w:r>
      <w:r w:rsidR="00974255">
        <w:rPr>
          <w:rFonts w:eastAsia="MS Mincho"/>
        </w:rPr>
        <w:t>it</w:t>
      </w:r>
      <w:r w:rsidR="00DD54A8" w:rsidRPr="00CE6C8E">
        <w:rPr>
          <w:rFonts w:eastAsia="MS Mincho"/>
        </w:rPr>
        <w:t xml:space="preserve"> </w:t>
      </w:r>
      <w:r w:rsidR="006C468A">
        <w:rPr>
          <w:rFonts w:eastAsia="MS Mincho"/>
        </w:rPr>
        <w:t xml:space="preserve">is </w:t>
      </w:r>
      <w:r w:rsidR="00C1070F">
        <w:rPr>
          <w:rFonts w:eastAsia="MS Mincho"/>
        </w:rPr>
        <w:t xml:space="preserve">extremely </w:t>
      </w:r>
      <w:r w:rsidR="00DD54A8" w:rsidRPr="00CE6C8E">
        <w:rPr>
          <w:rFonts w:eastAsia="MS Mincho"/>
        </w:rPr>
        <w:t>difficult</w:t>
      </w:r>
      <w:r w:rsidR="00974255">
        <w:rPr>
          <w:rFonts w:eastAsia="MS Mincho"/>
        </w:rPr>
        <w:t xml:space="preserve"> for the International Bureau</w:t>
      </w:r>
      <w:r w:rsidR="00DD54A8" w:rsidRPr="00CE6C8E">
        <w:rPr>
          <w:rFonts w:eastAsia="MS Mincho"/>
        </w:rPr>
        <w:t xml:space="preserve"> to capture</w:t>
      </w:r>
      <w:r w:rsidR="00CE6C8E">
        <w:rPr>
          <w:rFonts w:eastAsia="MS Mincho"/>
        </w:rPr>
        <w:t xml:space="preserve"> and publish</w:t>
      </w:r>
      <w:r w:rsidR="00495C7F">
        <w:rPr>
          <w:rFonts w:eastAsia="MS Mincho"/>
        </w:rPr>
        <w:t xml:space="preserve"> all </w:t>
      </w:r>
      <w:r w:rsidR="00CE6C8E">
        <w:rPr>
          <w:rFonts w:eastAsia="MS Mincho"/>
        </w:rPr>
        <w:t xml:space="preserve">information </w:t>
      </w:r>
      <w:r w:rsidR="00D13313">
        <w:rPr>
          <w:rFonts w:eastAsia="MS Mincho"/>
        </w:rPr>
        <w:t>pertain</w:t>
      </w:r>
      <w:r w:rsidR="00C1070F">
        <w:rPr>
          <w:rFonts w:eastAsia="MS Mincho"/>
        </w:rPr>
        <w:t>ing to</w:t>
      </w:r>
      <w:r w:rsidR="00495C7F">
        <w:rPr>
          <w:rFonts w:eastAsia="MS Mincho"/>
        </w:rPr>
        <w:t xml:space="preserve"> </w:t>
      </w:r>
      <w:r w:rsidR="00F07527">
        <w:rPr>
          <w:rFonts w:eastAsia="MS Mincho"/>
        </w:rPr>
        <w:t xml:space="preserve">grounds for </w:t>
      </w:r>
      <w:r w:rsidR="00CE6C8E">
        <w:rPr>
          <w:rFonts w:eastAsia="MS Mincho"/>
        </w:rPr>
        <w:t>refusal.</w:t>
      </w:r>
    </w:p>
    <w:p w:rsidR="00C829FA" w:rsidRDefault="004571E0" w:rsidP="00F23DE3">
      <w:pPr>
        <w:pStyle w:val="ONUME"/>
        <w:rPr>
          <w:rFonts w:eastAsia="MS Mincho"/>
        </w:rPr>
      </w:pPr>
      <w:r>
        <w:rPr>
          <w:rFonts w:eastAsia="MS Mincho"/>
        </w:rPr>
        <w:t>In the absence of</w:t>
      </w:r>
      <w:r w:rsidR="009E2E83">
        <w:rPr>
          <w:rFonts w:eastAsia="MS Mincho"/>
        </w:rPr>
        <w:t xml:space="preserve"> any </w:t>
      </w:r>
      <w:r w:rsidR="00FD458F">
        <w:rPr>
          <w:rFonts w:eastAsia="MS Mincho"/>
        </w:rPr>
        <w:t>remark</w:t>
      </w:r>
      <w:r w:rsidR="00495C7F">
        <w:rPr>
          <w:rFonts w:eastAsia="MS Mincho"/>
        </w:rPr>
        <w:t>s</w:t>
      </w:r>
      <w:r w:rsidR="009E2E83">
        <w:rPr>
          <w:rFonts w:eastAsia="MS Mincho"/>
        </w:rPr>
        <w:t xml:space="preserve"> in the</w:t>
      </w:r>
      <w:r w:rsidR="00FD458F">
        <w:rPr>
          <w:rFonts w:eastAsia="MS Mincho"/>
        </w:rPr>
        <w:t xml:space="preserve"> documents of the</w:t>
      </w:r>
      <w:r w:rsidR="009E2E83">
        <w:rPr>
          <w:rFonts w:eastAsia="MS Mincho"/>
        </w:rPr>
        <w:t xml:space="preserve"> Committee of Experts </w:t>
      </w:r>
      <w:r w:rsidR="00FD458F">
        <w:rPr>
          <w:rFonts w:eastAsia="MS Mincho"/>
        </w:rPr>
        <w:t>and</w:t>
      </w:r>
      <w:r w:rsidR="00495C7F">
        <w:rPr>
          <w:rFonts w:eastAsia="MS Mincho"/>
        </w:rPr>
        <w:t xml:space="preserve"> the</w:t>
      </w:r>
      <w:r w:rsidR="00FD458F">
        <w:rPr>
          <w:rFonts w:eastAsia="MS Mincho"/>
        </w:rPr>
        <w:t xml:space="preserve"> Diplomatic Conference on this point</w:t>
      </w:r>
      <w:r w:rsidR="009E2E83">
        <w:rPr>
          <w:rFonts w:eastAsia="MS Mincho"/>
        </w:rPr>
        <w:t xml:space="preserve">, it </w:t>
      </w:r>
      <w:r w:rsidR="00D13313">
        <w:rPr>
          <w:rFonts w:eastAsia="MS Mincho"/>
        </w:rPr>
        <w:t>can be</w:t>
      </w:r>
      <w:r w:rsidR="009E2E83">
        <w:rPr>
          <w:rFonts w:eastAsia="MS Mincho"/>
        </w:rPr>
        <w:t xml:space="preserve"> assumed that the same phrase was </w:t>
      </w:r>
      <w:r w:rsidR="00145391">
        <w:rPr>
          <w:rFonts w:eastAsia="MS Mincho"/>
        </w:rPr>
        <w:t xml:space="preserve">simply </w:t>
      </w:r>
      <w:r w:rsidR="009E2E83">
        <w:rPr>
          <w:rFonts w:eastAsia="MS Mincho"/>
        </w:rPr>
        <w:t>copied from the Madrid Regulations</w:t>
      </w:r>
      <w:r w:rsidR="00440838">
        <w:rPr>
          <w:rFonts w:eastAsia="MS Mincho"/>
        </w:rPr>
        <w:t xml:space="preserve"> to reflect the same nuance in the </w:t>
      </w:r>
      <w:r w:rsidR="00C1070F">
        <w:rPr>
          <w:rFonts w:eastAsia="MS Mincho"/>
        </w:rPr>
        <w:t>(</w:t>
      </w:r>
      <w:r w:rsidR="00CE6C8E">
        <w:rPr>
          <w:rFonts w:eastAsia="MS Mincho"/>
        </w:rPr>
        <w:t>Hague</w:t>
      </w:r>
      <w:r w:rsidR="00C1070F">
        <w:rPr>
          <w:rFonts w:eastAsia="MS Mincho"/>
        </w:rPr>
        <w:t>)</w:t>
      </w:r>
      <w:r w:rsidR="00CE6C8E">
        <w:rPr>
          <w:rFonts w:eastAsia="MS Mincho"/>
        </w:rPr>
        <w:t xml:space="preserve"> </w:t>
      </w:r>
      <w:r w:rsidR="00440838">
        <w:rPr>
          <w:rFonts w:eastAsia="MS Mincho"/>
        </w:rPr>
        <w:t>Common Regulations</w:t>
      </w:r>
      <w:r w:rsidR="009E2E83">
        <w:rPr>
          <w:rFonts w:eastAsia="MS Mincho"/>
        </w:rPr>
        <w:t>.</w:t>
      </w:r>
    </w:p>
    <w:p w:rsidR="00EB04AD" w:rsidRDefault="004A2C90" w:rsidP="000E072D">
      <w:pPr>
        <w:pStyle w:val="Heading2"/>
        <w:spacing w:before="480"/>
        <w:rPr>
          <w:lang w:eastAsia="en-US"/>
        </w:rPr>
      </w:pPr>
      <w:r>
        <w:rPr>
          <w:lang w:eastAsia="en-US"/>
        </w:rPr>
        <w:t xml:space="preserve">practices of </w:t>
      </w:r>
      <w:r w:rsidR="00EB04AD">
        <w:rPr>
          <w:lang w:eastAsia="en-US"/>
        </w:rPr>
        <w:t>offices</w:t>
      </w:r>
      <w:r w:rsidR="00EF454B">
        <w:rPr>
          <w:lang w:eastAsia="en-US"/>
        </w:rPr>
        <w:t xml:space="preserve"> </w:t>
      </w:r>
      <w:r w:rsidR="00F07527">
        <w:rPr>
          <w:lang w:eastAsia="en-US"/>
        </w:rPr>
        <w:t xml:space="preserve">WHICH </w:t>
      </w:r>
      <w:r w:rsidR="00D63CD4">
        <w:rPr>
          <w:lang w:eastAsia="en-US"/>
        </w:rPr>
        <w:t>frequent</w:t>
      </w:r>
      <w:r w:rsidR="00EF454B">
        <w:rPr>
          <w:lang w:eastAsia="en-US"/>
        </w:rPr>
        <w:t>ly issu</w:t>
      </w:r>
      <w:r w:rsidR="00F07527">
        <w:rPr>
          <w:lang w:eastAsia="en-US"/>
        </w:rPr>
        <w:t>E</w:t>
      </w:r>
      <w:r w:rsidR="00EF454B">
        <w:rPr>
          <w:lang w:eastAsia="en-US"/>
        </w:rPr>
        <w:t xml:space="preserve"> notification</w:t>
      </w:r>
      <w:r w:rsidR="003C3657">
        <w:rPr>
          <w:lang w:eastAsia="en-US"/>
        </w:rPr>
        <w:t>s</w:t>
      </w:r>
      <w:r w:rsidR="00EF454B">
        <w:rPr>
          <w:lang w:eastAsia="en-US"/>
        </w:rPr>
        <w:t xml:space="preserve"> of refusal</w:t>
      </w:r>
    </w:p>
    <w:p w:rsidR="00F23DE3" w:rsidRPr="004A2C90" w:rsidRDefault="00670E09" w:rsidP="009638E6">
      <w:pPr>
        <w:pStyle w:val="ONUME"/>
        <w:rPr>
          <w:rFonts w:eastAsia="MS Mincho"/>
        </w:rPr>
      </w:pPr>
      <w:r w:rsidRPr="006763D5">
        <w:t xml:space="preserve">As mentioned above, </w:t>
      </w:r>
      <w:r w:rsidR="00F07527">
        <w:t xml:space="preserve">the </w:t>
      </w:r>
      <w:r w:rsidR="006B0918" w:rsidRPr="004A2C90">
        <w:t>JPO,</w:t>
      </w:r>
      <w:r w:rsidR="00DE09B9" w:rsidRPr="004A2C90">
        <w:t xml:space="preserve"> </w:t>
      </w:r>
      <w:r w:rsidR="006B0918" w:rsidRPr="004A2C90">
        <w:t>KIPO</w:t>
      </w:r>
      <w:r w:rsidR="000C4046" w:rsidRPr="004A2C90">
        <w:t xml:space="preserve"> and</w:t>
      </w:r>
      <w:r w:rsidR="003D4329">
        <w:t xml:space="preserve"> </w:t>
      </w:r>
      <w:r w:rsidR="000C4046" w:rsidRPr="004A2C90">
        <w:t xml:space="preserve">the </w:t>
      </w:r>
      <w:r w:rsidR="006B0918" w:rsidRPr="004A2C90">
        <w:t>USPTO</w:t>
      </w:r>
      <w:r w:rsidR="000C4046" w:rsidRPr="004A2C90">
        <w:t xml:space="preserve"> are</w:t>
      </w:r>
      <w:r w:rsidR="002A574B" w:rsidRPr="004A2C90">
        <w:t xml:space="preserve"> </w:t>
      </w:r>
      <w:r w:rsidR="00CF72B4" w:rsidRPr="004A2C90">
        <w:t xml:space="preserve">currently </w:t>
      </w:r>
      <w:r w:rsidR="002A574B" w:rsidRPr="004A2C90">
        <w:t>the</w:t>
      </w:r>
      <w:r w:rsidR="000C4046" w:rsidRPr="004A2C90">
        <w:t xml:space="preserve"> three main Offices </w:t>
      </w:r>
      <w:r w:rsidR="00D13313">
        <w:t>which</w:t>
      </w:r>
      <w:r w:rsidR="00CF72B4" w:rsidRPr="004A2C90">
        <w:t xml:space="preserve"> </w:t>
      </w:r>
      <w:r w:rsidR="000C4046" w:rsidRPr="004A2C90">
        <w:t>issue notification</w:t>
      </w:r>
      <w:r w:rsidR="00CF72B4" w:rsidRPr="004A2C90">
        <w:t>s</w:t>
      </w:r>
      <w:r w:rsidR="000C4046" w:rsidRPr="004A2C90">
        <w:t xml:space="preserve"> of refusal.</w:t>
      </w:r>
    </w:p>
    <w:p w:rsidR="00F23DE3" w:rsidRPr="00A123C8" w:rsidRDefault="00F07527" w:rsidP="00F23DE3">
      <w:pPr>
        <w:pStyle w:val="ONUME"/>
        <w:rPr>
          <w:rFonts w:eastAsia="MS Mincho"/>
        </w:rPr>
      </w:pPr>
      <w:r>
        <w:t xml:space="preserve">The </w:t>
      </w:r>
      <w:r w:rsidR="00635123">
        <w:t>USPTO offers the Patent Application Information Retrieval (“PAIR”) System</w:t>
      </w:r>
      <w:r w:rsidR="00D13313">
        <w:t xml:space="preserve"> on its website</w:t>
      </w:r>
      <w:r w:rsidR="00D93060">
        <w:t xml:space="preserve">.  </w:t>
      </w:r>
      <w:r>
        <w:t>An</w:t>
      </w:r>
      <w:r w:rsidR="00D93060">
        <w:t xml:space="preserve"> applicant can </w:t>
      </w:r>
      <w:r w:rsidR="00635123">
        <w:t xml:space="preserve">view the status of </w:t>
      </w:r>
      <w:r w:rsidR="00D93060">
        <w:t xml:space="preserve">his/her </w:t>
      </w:r>
      <w:r w:rsidR="00635123">
        <w:t>patent applications</w:t>
      </w:r>
      <w:r w:rsidR="00D93060">
        <w:t xml:space="preserve"> at any time through “Private PAIR”</w:t>
      </w:r>
      <w:r w:rsidR="00CB5B2E">
        <w:t>.</w:t>
      </w:r>
      <w:r w:rsidR="005F1073">
        <w:t xml:space="preserve"> </w:t>
      </w:r>
      <w:r w:rsidR="00CB5B2E">
        <w:t xml:space="preserve"> Furthermore, “Public PAIR” allows</w:t>
      </w:r>
      <w:r w:rsidR="005F1073">
        <w:t xml:space="preserve"> a third party to access </w:t>
      </w:r>
      <w:r w:rsidR="00111502">
        <w:t xml:space="preserve">relevant information, including </w:t>
      </w:r>
      <w:r w:rsidR="005F1073">
        <w:t>a notification of refusal and all other exchanges between the applicant and the Office, if and after</w:t>
      </w:r>
      <w:r w:rsidR="002A574B">
        <w:t xml:space="preserve"> the</w:t>
      </w:r>
      <w:r w:rsidR="005F1073">
        <w:t xml:space="preserve"> patent is issued.  </w:t>
      </w:r>
      <w:r w:rsidR="00821095">
        <w:t>Moreover</w:t>
      </w:r>
      <w:r w:rsidR="00282248">
        <w:t>, i</w:t>
      </w:r>
      <w:r w:rsidR="005F1073">
        <w:t>n the case of an international registration designating the United</w:t>
      </w:r>
      <w:r w:rsidR="002A574B">
        <w:t> </w:t>
      </w:r>
      <w:r w:rsidR="005F1073">
        <w:t>States of</w:t>
      </w:r>
      <w:r w:rsidR="002A574B">
        <w:t> </w:t>
      </w:r>
      <w:r w:rsidR="005F1073">
        <w:t>America,</w:t>
      </w:r>
      <w:r w:rsidR="008253A7">
        <w:t xml:space="preserve"> all such communications become accessible after its publication by the International Bureau</w:t>
      </w:r>
      <w:r w:rsidR="005539A6">
        <w:t xml:space="preserve"> </w:t>
      </w:r>
      <w:r w:rsidR="00D13313">
        <w:t>and</w:t>
      </w:r>
      <w:r w:rsidR="002A574B">
        <w:t xml:space="preserve"> irrespective of its fate.</w:t>
      </w:r>
    </w:p>
    <w:p w:rsidR="003D4329" w:rsidRDefault="003D4329">
      <w:pPr>
        <w:rPr>
          <w:lang w:eastAsia="en-US"/>
        </w:rPr>
      </w:pPr>
      <w:r>
        <w:rPr>
          <w:lang w:eastAsia="en-US"/>
        </w:rPr>
        <w:br w:type="page"/>
      </w:r>
    </w:p>
    <w:p w:rsidR="008253A7" w:rsidRDefault="00D13313" w:rsidP="00F23DE3">
      <w:pPr>
        <w:pStyle w:val="ONUME"/>
        <w:rPr>
          <w:lang w:eastAsia="en-US"/>
        </w:rPr>
      </w:pPr>
      <w:r>
        <w:rPr>
          <w:lang w:eastAsia="en-US"/>
        </w:rPr>
        <w:lastRenderedPageBreak/>
        <w:t>In contrast</w:t>
      </w:r>
      <w:r w:rsidR="008253A7">
        <w:rPr>
          <w:lang w:eastAsia="en-US"/>
        </w:rPr>
        <w:t xml:space="preserve">, </w:t>
      </w:r>
      <w:r>
        <w:rPr>
          <w:lang w:eastAsia="en-US"/>
        </w:rPr>
        <w:t>the</w:t>
      </w:r>
      <w:r w:rsidR="008253A7">
        <w:rPr>
          <w:lang w:eastAsia="en-US"/>
        </w:rPr>
        <w:t xml:space="preserve"> database</w:t>
      </w:r>
      <w:r w:rsidR="00F07527">
        <w:rPr>
          <w:lang w:eastAsia="en-US"/>
        </w:rPr>
        <w:t>s of the JPO</w:t>
      </w:r>
      <w:r w:rsidR="008253A7">
        <w:rPr>
          <w:lang w:eastAsia="en-US"/>
        </w:rPr>
        <w:t xml:space="preserve"> (J-PRAT-PAT) </w:t>
      </w:r>
      <w:r w:rsidR="00F07527">
        <w:rPr>
          <w:lang w:eastAsia="en-US"/>
        </w:rPr>
        <w:t>and</w:t>
      </w:r>
      <w:r w:rsidR="008253A7">
        <w:rPr>
          <w:lang w:eastAsia="en-US"/>
        </w:rPr>
        <w:t xml:space="preserve"> KIPO (KIPRIS) </w:t>
      </w:r>
      <w:r w:rsidR="00F07527">
        <w:rPr>
          <w:lang w:eastAsia="en-US"/>
        </w:rPr>
        <w:t xml:space="preserve">do not </w:t>
      </w:r>
      <w:r w:rsidR="008253A7">
        <w:rPr>
          <w:lang w:eastAsia="en-US"/>
        </w:rPr>
        <w:t xml:space="preserve">allow </w:t>
      </w:r>
      <w:r w:rsidR="005539A6">
        <w:rPr>
          <w:lang w:eastAsia="en-US"/>
        </w:rPr>
        <w:t xml:space="preserve">a </w:t>
      </w:r>
      <w:r w:rsidR="008253A7">
        <w:rPr>
          <w:lang w:eastAsia="en-US"/>
        </w:rPr>
        <w:t>third party to access notification</w:t>
      </w:r>
      <w:r w:rsidR="00022060">
        <w:rPr>
          <w:lang w:eastAsia="en-US"/>
        </w:rPr>
        <w:t>s</w:t>
      </w:r>
      <w:r w:rsidR="008253A7">
        <w:rPr>
          <w:lang w:eastAsia="en-US"/>
        </w:rPr>
        <w:t xml:space="preserve"> of refusal </w:t>
      </w:r>
      <w:r w:rsidR="00F07527">
        <w:rPr>
          <w:lang w:eastAsia="en-US"/>
        </w:rPr>
        <w:t>through</w:t>
      </w:r>
      <w:r w:rsidR="008253A7">
        <w:rPr>
          <w:lang w:eastAsia="en-US"/>
        </w:rPr>
        <w:t xml:space="preserve"> their websites.  However, in principle, all communications, including notification</w:t>
      </w:r>
      <w:r w:rsidR="00F07527">
        <w:rPr>
          <w:lang w:eastAsia="en-US"/>
        </w:rPr>
        <w:t>s</w:t>
      </w:r>
      <w:r w:rsidR="008253A7">
        <w:rPr>
          <w:lang w:eastAsia="en-US"/>
        </w:rPr>
        <w:t xml:space="preserve"> of refusal, are made available upon request by a third party, if and after a given i</w:t>
      </w:r>
      <w:r w:rsidR="002A574B">
        <w:rPr>
          <w:lang w:eastAsia="en-US"/>
        </w:rPr>
        <w:t xml:space="preserve">ndustrial design </w:t>
      </w:r>
      <w:proofErr w:type="gramStart"/>
      <w:r w:rsidR="002A574B">
        <w:rPr>
          <w:lang w:eastAsia="en-US"/>
        </w:rPr>
        <w:t>is</w:t>
      </w:r>
      <w:proofErr w:type="gramEnd"/>
      <w:r w:rsidR="002A574B">
        <w:rPr>
          <w:lang w:eastAsia="en-US"/>
        </w:rPr>
        <w:t xml:space="preserve"> registered.</w:t>
      </w:r>
    </w:p>
    <w:p w:rsidR="00F23DE3" w:rsidRDefault="00F23DE3" w:rsidP="00F23DE3">
      <w:pPr>
        <w:pStyle w:val="Heading1"/>
        <w:spacing w:before="480"/>
        <w:rPr>
          <w:lang w:eastAsia="en-US"/>
        </w:rPr>
      </w:pPr>
      <w:r w:rsidRPr="00A123C8">
        <w:rPr>
          <w:lang w:eastAsia="en-US"/>
        </w:rPr>
        <w:t>I</w:t>
      </w:r>
      <w:r w:rsidR="008253A7">
        <w:rPr>
          <w:lang w:eastAsia="en-US"/>
        </w:rPr>
        <w:t>V</w:t>
      </w:r>
      <w:r w:rsidR="005305EA">
        <w:rPr>
          <w:lang w:eastAsia="en-US"/>
        </w:rPr>
        <w:t>.</w:t>
      </w:r>
      <w:r w:rsidR="005305EA">
        <w:rPr>
          <w:lang w:eastAsia="en-US"/>
        </w:rPr>
        <w:tab/>
      </w:r>
      <w:r w:rsidR="00C73096">
        <w:rPr>
          <w:lang w:eastAsia="en-US"/>
        </w:rPr>
        <w:t>discussion</w:t>
      </w:r>
    </w:p>
    <w:p w:rsidR="00C633AA" w:rsidRDefault="009C27DC" w:rsidP="000E072D">
      <w:pPr>
        <w:pStyle w:val="Heading2"/>
        <w:rPr>
          <w:lang w:eastAsia="en-US"/>
        </w:rPr>
      </w:pPr>
      <w:r>
        <w:rPr>
          <w:lang w:eastAsia="en-US"/>
        </w:rPr>
        <w:t>availability of a notification of refusal on the wipo website</w:t>
      </w:r>
    </w:p>
    <w:p w:rsidR="009C27DC" w:rsidRDefault="00EF7B47" w:rsidP="009C27DC">
      <w:pPr>
        <w:pStyle w:val="ONUME"/>
      </w:pPr>
      <w:r>
        <w:t>If the Working Group considers that the International Bureau should cease</w:t>
      </w:r>
      <w:r w:rsidR="001F7058">
        <w:t xml:space="preserve"> to</w:t>
      </w:r>
      <w:r>
        <w:t xml:space="preserve"> upload a PDF copy of any notification of refusal </w:t>
      </w:r>
      <w:r w:rsidR="000B2622">
        <w:t xml:space="preserve">received and recorded by the International Bureau </w:t>
      </w:r>
      <w:r>
        <w:t xml:space="preserve">on the </w:t>
      </w:r>
      <w:r w:rsidR="000B2622">
        <w:t>WIPO website, it may so indicate.</w:t>
      </w:r>
    </w:p>
    <w:p w:rsidR="008A25C8" w:rsidRDefault="008A25C8" w:rsidP="000E072D">
      <w:pPr>
        <w:pStyle w:val="Heading2"/>
        <w:spacing w:before="480"/>
        <w:rPr>
          <w:lang w:eastAsia="en-US"/>
        </w:rPr>
      </w:pPr>
      <w:r>
        <w:rPr>
          <w:lang w:eastAsia="en-US"/>
        </w:rPr>
        <w:t xml:space="preserve">availability of a notification of refusal </w:t>
      </w:r>
      <w:r w:rsidR="00AE5275">
        <w:rPr>
          <w:lang w:eastAsia="en-US"/>
        </w:rPr>
        <w:t>where it has not been withdrawn</w:t>
      </w:r>
      <w:r>
        <w:rPr>
          <w:lang w:eastAsia="en-US"/>
        </w:rPr>
        <w:t xml:space="preserve"> on a request basis</w:t>
      </w:r>
    </w:p>
    <w:p w:rsidR="008A25C8" w:rsidRDefault="008A25C8" w:rsidP="008A25C8">
      <w:pPr>
        <w:pStyle w:val="ONUME"/>
      </w:pPr>
      <w:r>
        <w:t>The International Bureau will continue to make a copy of</w:t>
      </w:r>
      <w:r w:rsidR="001C2B3B">
        <w:t xml:space="preserve"> the</w:t>
      </w:r>
      <w:r>
        <w:t xml:space="preserve"> notification of refusal available to a third party, </w:t>
      </w:r>
      <w:r w:rsidR="00F07527">
        <w:t>against</w:t>
      </w:r>
      <w:r>
        <w:t xml:space="preserve"> payment of a fee, </w:t>
      </w:r>
      <w:r w:rsidR="00BD6D0D">
        <w:t>when</w:t>
      </w:r>
      <w:r>
        <w:t xml:space="preserve"> so requested under Rule</w:t>
      </w:r>
      <w:r w:rsidR="001C2B3B">
        <w:t> </w:t>
      </w:r>
      <w:r>
        <w:t>32(1</w:t>
      </w:r>
      <w:proofErr w:type="gramStart"/>
      <w:r w:rsidRPr="005539A6">
        <w:t>)</w:t>
      </w:r>
      <w:r w:rsidR="000A0E4E" w:rsidRPr="005539A6">
        <w:t>(</w:t>
      </w:r>
      <w:proofErr w:type="gramEnd"/>
      <w:r w:rsidR="000A0E4E" w:rsidRPr="005539A6">
        <w:t>ii</w:t>
      </w:r>
      <w:r w:rsidR="002C579B">
        <w:t>) or</w:t>
      </w:r>
      <w:r w:rsidR="000E072D">
        <w:t> </w:t>
      </w:r>
      <w:r w:rsidR="002C579B">
        <w:t>(ii</w:t>
      </w:r>
      <w:r w:rsidR="000A0E4E" w:rsidRPr="005539A6">
        <w:t>i)</w:t>
      </w:r>
      <w:r w:rsidRPr="005539A6">
        <w:t>.</w:t>
      </w:r>
    </w:p>
    <w:p w:rsidR="000A0E4E" w:rsidRDefault="00BD6D0D" w:rsidP="000A0E4E">
      <w:pPr>
        <w:pStyle w:val="ONUME"/>
      </w:pPr>
      <w:r>
        <w:t>A</w:t>
      </w:r>
      <w:r w:rsidR="000A0E4E">
        <w:t xml:space="preserve">s </w:t>
      </w:r>
      <w:r w:rsidR="00A2720D">
        <w:t>stated</w:t>
      </w:r>
      <w:r w:rsidR="000A0E4E">
        <w:t xml:space="preserve"> in the previous </w:t>
      </w:r>
      <w:r w:rsidR="00A2720D">
        <w:t>section</w:t>
      </w:r>
      <w:r w:rsidR="000A0E4E">
        <w:t>, under the legislations of Japan, the Republic of Korea and the United States of America, all relevant communications concerning any domestic application</w:t>
      </w:r>
      <w:r w:rsidR="001C2B3B">
        <w:t>s</w:t>
      </w:r>
      <w:r w:rsidR="000A0E4E">
        <w:t xml:space="preserve"> are made publicly available, </w:t>
      </w:r>
      <w:r w:rsidR="000A0E4E" w:rsidRPr="000622BC">
        <w:rPr>
          <w:u w:val="single"/>
        </w:rPr>
        <w:t xml:space="preserve">after </w:t>
      </w:r>
      <w:r w:rsidR="000A0E4E">
        <w:rPr>
          <w:u w:val="single"/>
        </w:rPr>
        <w:t>the</w:t>
      </w:r>
      <w:r w:rsidR="000A0E4E" w:rsidRPr="000622BC">
        <w:rPr>
          <w:u w:val="single"/>
        </w:rPr>
        <w:t xml:space="preserve"> design</w:t>
      </w:r>
      <w:r w:rsidR="000A0E4E">
        <w:rPr>
          <w:u w:val="single"/>
        </w:rPr>
        <w:t xml:space="preserve"> is registered or </w:t>
      </w:r>
      <w:r w:rsidR="000A0E4E" w:rsidRPr="000622BC">
        <w:rPr>
          <w:u w:val="single"/>
        </w:rPr>
        <w:t>patented</w:t>
      </w:r>
      <w:r w:rsidR="000A0E4E">
        <w:t xml:space="preserve">, either on the website or </w:t>
      </w:r>
      <w:r w:rsidR="00F07527">
        <w:t>upon</w:t>
      </w:r>
      <w:r w:rsidR="000A0E4E">
        <w:t xml:space="preserve"> request.</w:t>
      </w:r>
    </w:p>
    <w:p w:rsidR="008A25C8" w:rsidRDefault="000A0E4E" w:rsidP="008A25C8">
      <w:pPr>
        <w:pStyle w:val="ONUME"/>
      </w:pPr>
      <w:r>
        <w:t>Thus</w:t>
      </w:r>
      <w:r w:rsidR="008A6ECC">
        <w:t xml:space="preserve">, this opportunity </w:t>
      </w:r>
      <w:r w:rsidR="00906AF5">
        <w:t>may</w:t>
      </w:r>
      <w:r w:rsidR="008A6ECC">
        <w:t xml:space="preserve"> be seized to clarify </w:t>
      </w:r>
      <w:r w:rsidR="00A2720D">
        <w:t>whether</w:t>
      </w:r>
      <w:r w:rsidR="008A6ECC">
        <w:t xml:space="preserve"> the International Bureau should </w:t>
      </w:r>
      <w:r w:rsidR="00A2720D">
        <w:t>refrain from</w:t>
      </w:r>
      <w:r w:rsidR="008A6ECC">
        <w:t xml:space="preserve"> </w:t>
      </w:r>
      <w:r w:rsidR="00FB4B0D">
        <w:t>disclos</w:t>
      </w:r>
      <w:r w:rsidR="00A2720D">
        <w:t>ing</w:t>
      </w:r>
      <w:r w:rsidR="008A6ECC">
        <w:t xml:space="preserve"> </w:t>
      </w:r>
      <w:r w:rsidR="008060C8">
        <w:t>notification</w:t>
      </w:r>
      <w:r w:rsidR="00FB4B0D">
        <w:t>s</w:t>
      </w:r>
      <w:r w:rsidR="008060C8">
        <w:t xml:space="preserve"> of refusal</w:t>
      </w:r>
      <w:r w:rsidR="008A6ECC">
        <w:t>, unless and until the refusal is withdrawn</w:t>
      </w:r>
      <w:r w:rsidR="00BD56F3">
        <w:t>,</w:t>
      </w:r>
      <w:r w:rsidR="008A6ECC">
        <w:t xml:space="preserve"> or alternatively followed by a statement of grant of protection</w:t>
      </w:r>
      <w:r w:rsidR="005539A6">
        <w:t xml:space="preserve"> pursuant to Rule</w:t>
      </w:r>
      <w:r w:rsidR="001C2B3B">
        <w:t> </w:t>
      </w:r>
      <w:r w:rsidR="005539A6">
        <w:t>18</w:t>
      </w:r>
      <w:r w:rsidR="005539A6" w:rsidRPr="005539A6">
        <w:rPr>
          <w:i/>
        </w:rPr>
        <w:t>bis</w:t>
      </w:r>
      <w:r w:rsidR="005539A6">
        <w:t>(2)</w:t>
      </w:r>
      <w:r w:rsidR="001C2B3B">
        <w:t>.</w:t>
      </w:r>
    </w:p>
    <w:p w:rsidR="00F23DE3" w:rsidRPr="005A288D" w:rsidRDefault="00F23DE3" w:rsidP="00BA1D35">
      <w:pPr>
        <w:pStyle w:val="ONUME"/>
        <w:tabs>
          <w:tab w:val="left" w:pos="6096"/>
        </w:tabs>
        <w:ind w:left="5533"/>
        <w:rPr>
          <w:i/>
        </w:rPr>
      </w:pPr>
      <w:r w:rsidRPr="005A288D">
        <w:rPr>
          <w:i/>
        </w:rPr>
        <w:t>The Working Group is invited to:</w:t>
      </w:r>
    </w:p>
    <w:p w:rsidR="00F23DE3" w:rsidRPr="00B925E8" w:rsidRDefault="00F23DE3" w:rsidP="00C55D3E">
      <w:pPr>
        <w:pStyle w:val="ONUME"/>
        <w:numPr>
          <w:ilvl w:val="0"/>
          <w:numId w:val="0"/>
        </w:numPr>
        <w:tabs>
          <w:tab w:val="left" w:pos="6663"/>
        </w:tabs>
        <w:ind w:left="6096"/>
        <w:rPr>
          <w:rFonts w:ascii="Arial,Italic" w:eastAsia="MS Mincho" w:hAnsi="Arial,Italic" w:cs="Arial,Italic"/>
          <w:i/>
          <w:iCs/>
          <w:szCs w:val="22"/>
          <w:lang w:eastAsia="en-US"/>
        </w:rPr>
      </w:pPr>
      <w:r w:rsidRPr="00B925E8">
        <w:rPr>
          <w:rFonts w:ascii="Arial,Italic" w:eastAsia="MS Mincho" w:hAnsi="Arial,Italic" w:cs="Arial,Italic"/>
          <w:i/>
          <w:iCs/>
          <w:szCs w:val="22"/>
          <w:lang w:eastAsia="en-US"/>
        </w:rPr>
        <w:t>(</w:t>
      </w:r>
      <w:proofErr w:type="spellStart"/>
      <w:r w:rsidRPr="00B925E8">
        <w:rPr>
          <w:rFonts w:ascii="Arial,Italic" w:eastAsia="MS Mincho" w:hAnsi="Arial,Italic" w:cs="Arial,Italic"/>
          <w:i/>
          <w:iCs/>
          <w:szCs w:val="22"/>
          <w:lang w:eastAsia="en-US"/>
        </w:rPr>
        <w:t>i</w:t>
      </w:r>
      <w:proofErr w:type="spellEnd"/>
      <w:r w:rsidRPr="00B925E8">
        <w:rPr>
          <w:rFonts w:ascii="Arial,Italic" w:eastAsia="MS Mincho" w:hAnsi="Arial,Italic" w:cs="Arial,Italic"/>
          <w:i/>
          <w:iCs/>
          <w:szCs w:val="22"/>
          <w:lang w:eastAsia="en-US"/>
        </w:rPr>
        <w:t>)</w:t>
      </w:r>
      <w:r w:rsidRPr="00B925E8">
        <w:rPr>
          <w:rFonts w:ascii="Arial,Italic" w:eastAsia="MS Mincho" w:hAnsi="Arial,Italic" w:cs="Arial,Italic"/>
          <w:i/>
          <w:iCs/>
          <w:szCs w:val="22"/>
          <w:lang w:eastAsia="en-US"/>
        </w:rPr>
        <w:tab/>
      </w:r>
      <w:proofErr w:type="gramStart"/>
      <w:r w:rsidR="00C95D3F" w:rsidRPr="00B925E8">
        <w:rPr>
          <w:rFonts w:ascii="Arial,Italic" w:eastAsia="MS Mincho" w:hAnsi="Arial,Italic" w:cs="Arial,Italic"/>
          <w:i/>
          <w:iCs/>
          <w:szCs w:val="22"/>
          <w:lang w:eastAsia="en-US"/>
        </w:rPr>
        <w:t>discuss</w:t>
      </w:r>
      <w:proofErr w:type="gramEnd"/>
      <w:r w:rsidR="00A2720D">
        <w:rPr>
          <w:rFonts w:ascii="Arial,Italic" w:eastAsia="MS Mincho" w:hAnsi="Arial,Italic" w:cs="Arial,Italic"/>
          <w:i/>
          <w:iCs/>
          <w:szCs w:val="22"/>
          <w:lang w:eastAsia="en-US"/>
        </w:rPr>
        <w:t xml:space="preserve"> and comment on</w:t>
      </w:r>
      <w:r w:rsidR="00C95D3F" w:rsidRPr="00B925E8">
        <w:rPr>
          <w:rFonts w:ascii="Arial,Italic" w:eastAsia="MS Mincho" w:hAnsi="Arial,Italic" w:cs="Arial,Italic"/>
          <w:i/>
          <w:iCs/>
          <w:szCs w:val="22"/>
          <w:lang w:eastAsia="en-US"/>
        </w:rPr>
        <w:t xml:space="preserve"> the issue presented in </w:t>
      </w:r>
      <w:r w:rsidRPr="00B925E8">
        <w:rPr>
          <w:rFonts w:ascii="Arial,Italic" w:eastAsia="MS Mincho" w:hAnsi="Arial,Italic" w:cs="Arial,Italic"/>
          <w:i/>
          <w:iCs/>
          <w:szCs w:val="22"/>
          <w:lang w:eastAsia="en-US"/>
        </w:rPr>
        <w:t xml:space="preserve">this document; </w:t>
      </w:r>
      <w:r w:rsidR="00BA1D35" w:rsidRPr="00B925E8">
        <w:rPr>
          <w:rFonts w:ascii="Arial,Italic" w:eastAsia="MS Mincho" w:hAnsi="Arial,Italic" w:cs="Arial,Italic"/>
          <w:i/>
          <w:iCs/>
          <w:szCs w:val="22"/>
          <w:lang w:eastAsia="en-US"/>
        </w:rPr>
        <w:t xml:space="preserve"> </w:t>
      </w:r>
      <w:r w:rsidRPr="00B925E8">
        <w:rPr>
          <w:rFonts w:ascii="Arial,Italic" w:eastAsia="MS Mincho" w:hAnsi="Arial,Italic" w:cs="Arial,Italic"/>
          <w:i/>
          <w:iCs/>
          <w:szCs w:val="22"/>
          <w:lang w:eastAsia="en-US"/>
        </w:rPr>
        <w:t>and</w:t>
      </w:r>
    </w:p>
    <w:p w:rsidR="00F23DE3" w:rsidRPr="00EF7B7A" w:rsidRDefault="00F23DE3" w:rsidP="00C55D3E">
      <w:pPr>
        <w:pStyle w:val="ONUME"/>
        <w:numPr>
          <w:ilvl w:val="0"/>
          <w:numId w:val="0"/>
        </w:numPr>
        <w:tabs>
          <w:tab w:val="left" w:pos="6663"/>
          <w:tab w:val="left" w:pos="7371"/>
        </w:tabs>
        <w:ind w:left="6096"/>
        <w:rPr>
          <w:rFonts w:eastAsia="Times New Roman"/>
          <w:i/>
          <w:szCs w:val="22"/>
          <w:lang w:eastAsia="en-US"/>
        </w:rPr>
      </w:pPr>
      <w:r w:rsidRPr="00B925E8">
        <w:rPr>
          <w:rFonts w:ascii="Arial,Italic" w:eastAsia="MS Mincho" w:hAnsi="Arial,Italic" w:cs="Arial,Italic"/>
          <w:i/>
          <w:iCs/>
          <w:szCs w:val="22"/>
          <w:lang w:eastAsia="en-US"/>
        </w:rPr>
        <w:t>(ii)</w:t>
      </w:r>
      <w:r w:rsidRPr="00B925E8">
        <w:rPr>
          <w:rFonts w:ascii="Arial,Italic" w:eastAsia="MS Mincho" w:hAnsi="Arial,Italic" w:cs="Arial,Italic"/>
          <w:i/>
          <w:iCs/>
          <w:szCs w:val="22"/>
          <w:lang w:eastAsia="en-US"/>
        </w:rPr>
        <w:tab/>
      </w:r>
      <w:proofErr w:type="gramStart"/>
      <w:r w:rsidRPr="00B925E8">
        <w:rPr>
          <w:rFonts w:ascii="Arial,Italic" w:eastAsia="MS Mincho" w:hAnsi="Arial,Italic" w:cs="Arial,Italic"/>
          <w:i/>
          <w:iCs/>
          <w:szCs w:val="22"/>
          <w:lang w:eastAsia="en-US"/>
        </w:rPr>
        <w:t>indicate</w:t>
      </w:r>
      <w:proofErr w:type="gramEnd"/>
      <w:r w:rsidRPr="00B925E8">
        <w:rPr>
          <w:rFonts w:ascii="Arial,Italic" w:eastAsia="MS Mincho" w:hAnsi="Arial,Italic" w:cs="Arial,Italic"/>
          <w:i/>
          <w:iCs/>
          <w:szCs w:val="22"/>
          <w:lang w:eastAsia="en-US"/>
        </w:rPr>
        <w:t xml:space="preserve"> whether it would recommend to</w:t>
      </w:r>
      <w:r w:rsidR="00B925E8">
        <w:rPr>
          <w:rFonts w:ascii="Arial,Italic" w:eastAsia="MS Mincho" w:hAnsi="Arial,Italic" w:cs="Arial,Italic"/>
          <w:i/>
          <w:iCs/>
          <w:szCs w:val="22"/>
          <w:lang w:eastAsia="en-US"/>
        </w:rPr>
        <w:t xml:space="preserve"> the</w:t>
      </w:r>
      <w:r w:rsidRPr="00B925E8">
        <w:rPr>
          <w:rFonts w:ascii="Arial,Italic" w:eastAsia="MS Mincho" w:hAnsi="Arial,Italic" w:cs="Arial,Italic"/>
          <w:i/>
          <w:iCs/>
          <w:szCs w:val="22"/>
          <w:lang w:eastAsia="en-US"/>
        </w:rPr>
        <w:t xml:space="preserve"> </w:t>
      </w:r>
      <w:r w:rsidR="000B735D" w:rsidRPr="00B925E8">
        <w:rPr>
          <w:rFonts w:ascii="Arial,Italic" w:eastAsia="MS Mincho" w:hAnsi="Arial,Italic" w:cs="Arial,Italic"/>
          <w:i/>
          <w:iCs/>
          <w:szCs w:val="22"/>
          <w:lang w:eastAsia="en-US"/>
        </w:rPr>
        <w:t>Int</w:t>
      </w:r>
      <w:r w:rsidR="00665220" w:rsidRPr="00B925E8">
        <w:rPr>
          <w:rFonts w:ascii="Arial,Italic" w:eastAsia="MS Mincho" w:hAnsi="Arial,Italic" w:cs="Arial,Italic"/>
          <w:i/>
          <w:iCs/>
          <w:szCs w:val="22"/>
          <w:lang w:eastAsia="en-US"/>
        </w:rPr>
        <w:t>e</w:t>
      </w:r>
      <w:r w:rsidR="000B735D" w:rsidRPr="00B925E8">
        <w:rPr>
          <w:rFonts w:ascii="Arial,Italic" w:eastAsia="MS Mincho" w:hAnsi="Arial,Italic" w:cs="Arial,Italic"/>
          <w:i/>
          <w:iCs/>
          <w:szCs w:val="22"/>
          <w:lang w:eastAsia="en-US"/>
        </w:rPr>
        <w:t>rnational Bureau</w:t>
      </w:r>
      <w:r w:rsidR="000B735D">
        <w:rPr>
          <w:rFonts w:ascii="Arial,Italic" w:eastAsia="MS Mincho" w:hAnsi="Arial,Italic" w:cs="Arial,Italic"/>
          <w:i/>
          <w:iCs/>
          <w:szCs w:val="22"/>
          <w:lang w:eastAsia="en-US"/>
        </w:rPr>
        <w:t xml:space="preserve"> any change in its practice regarding the</w:t>
      </w:r>
      <w:r w:rsidR="00B925E8">
        <w:rPr>
          <w:rFonts w:ascii="Arial,Italic" w:eastAsia="MS Mincho" w:hAnsi="Arial,Italic" w:cs="Arial,Italic"/>
          <w:i/>
          <w:iCs/>
          <w:szCs w:val="22"/>
          <w:lang w:eastAsia="en-US"/>
        </w:rPr>
        <w:t xml:space="preserve"> public availability of notifications of refusal.</w:t>
      </w:r>
    </w:p>
    <w:p w:rsidR="007A747E" w:rsidRDefault="00F23DE3" w:rsidP="007A747E">
      <w:pPr>
        <w:pStyle w:val="Endofdocument-Annex"/>
        <w:spacing w:before="720"/>
      </w:pPr>
      <w:r w:rsidRPr="00D73B87">
        <w:t>[</w:t>
      </w:r>
      <w:r w:rsidR="005F1A64">
        <w:t>Annex follows</w:t>
      </w:r>
      <w:r w:rsidRPr="00D73B87">
        <w:t>]</w:t>
      </w:r>
    </w:p>
    <w:p w:rsidR="007A747E" w:rsidRDefault="007A747E" w:rsidP="007A747E">
      <w:pPr>
        <w:pStyle w:val="Endofdocument-Annex"/>
        <w:spacing w:before="720"/>
        <w:sectPr w:rsidR="007A747E" w:rsidSect="003D4329">
          <w:headerReference w:type="default" r:id="rId10"/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pgNumType w:start="1"/>
          <w:cols w:space="720"/>
          <w:titlePg/>
          <w:docGrid w:linePitch="299"/>
        </w:sectPr>
      </w:pPr>
    </w:p>
    <w:p w:rsidR="00F23DE3" w:rsidRDefault="009F7119" w:rsidP="009F7119">
      <w:pPr>
        <w:pStyle w:val="BodyText"/>
        <w:ind w:left="-567"/>
        <w:jc w:val="center"/>
      </w:pPr>
      <w:r>
        <w:object w:dxaOrig="7199" w:dyaOrig="5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405.25pt" o:ole="">
            <v:imagedata r:id="rId11" o:title=""/>
          </v:shape>
          <o:OLEObject Type="Embed" ProgID="PowerPoint.Show.12" ShapeID="_x0000_i1025" DrawAspect="Content" ObjectID="_1588164684" r:id="rId12"/>
        </w:object>
      </w:r>
    </w:p>
    <w:p w:rsidR="00667055" w:rsidRPr="00D73B87" w:rsidRDefault="00667055" w:rsidP="009F7119">
      <w:pPr>
        <w:pStyle w:val="Endofdocument-Annex"/>
        <w:spacing w:before="720"/>
        <w:ind w:left="9072"/>
      </w:pPr>
      <w:r>
        <w:t>[End of Annex and of document]</w:t>
      </w:r>
    </w:p>
    <w:sectPr w:rsidR="00667055" w:rsidRPr="00D73B87" w:rsidSect="007A747E">
      <w:headerReference w:type="first" r:id="rId13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A2" w:rsidRDefault="008E7FA2">
      <w:r>
        <w:separator/>
      </w:r>
    </w:p>
  </w:endnote>
  <w:endnote w:type="continuationSeparator" w:id="0">
    <w:p w:rsidR="008E7FA2" w:rsidRDefault="008E7FA2" w:rsidP="003B38C1">
      <w:r>
        <w:separator/>
      </w:r>
    </w:p>
    <w:p w:rsidR="008E7FA2" w:rsidRPr="003B38C1" w:rsidRDefault="008E7FA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E7FA2" w:rsidRPr="003B38C1" w:rsidRDefault="008E7FA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A2" w:rsidRDefault="008E7FA2">
      <w:r>
        <w:separator/>
      </w:r>
    </w:p>
  </w:footnote>
  <w:footnote w:type="continuationSeparator" w:id="0">
    <w:p w:rsidR="008E7FA2" w:rsidRDefault="008E7FA2" w:rsidP="008B60B2">
      <w:r>
        <w:separator/>
      </w:r>
    </w:p>
    <w:p w:rsidR="008E7FA2" w:rsidRPr="00ED77FB" w:rsidRDefault="008E7FA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E7FA2" w:rsidRPr="00ED77FB" w:rsidRDefault="008E7FA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34FB8" w:rsidRPr="009A15B1" w:rsidRDefault="00634FB8">
      <w:pPr>
        <w:pStyle w:val="FootnoteText"/>
      </w:pPr>
      <w:r>
        <w:rPr>
          <w:rStyle w:val="FootnoteReference"/>
        </w:rPr>
        <w:footnoteRef/>
      </w:r>
      <w:r>
        <w:tab/>
        <w:t>Refer to document H/A/34/2, paragraphs 12 to 31.</w:t>
      </w:r>
    </w:p>
  </w:footnote>
  <w:footnote w:id="3">
    <w:p w:rsidR="00634FB8" w:rsidRPr="000D10F8" w:rsidRDefault="00634FB8">
      <w:pPr>
        <w:pStyle w:val="FootnoteText"/>
      </w:pPr>
      <w:r>
        <w:rPr>
          <w:rStyle w:val="FootnoteReference"/>
        </w:rPr>
        <w:footnoteRef/>
      </w:r>
      <w:r w:rsidRPr="000D10F8">
        <w:tab/>
        <w:t>Notifications of invalidation under Rule 20(1)</w:t>
      </w:r>
      <w:r>
        <w:t xml:space="preserve"> and notifications of refusal of </w:t>
      </w:r>
      <w:r w:rsidR="00375A92">
        <w:t xml:space="preserve">the </w:t>
      </w:r>
      <w:r>
        <w:t>effects of correction under Rule 22(2) are also available in the same manner.</w:t>
      </w:r>
    </w:p>
  </w:footnote>
  <w:footnote w:id="4">
    <w:p w:rsidR="00634FB8" w:rsidRPr="00A7596B" w:rsidRDefault="00634FB8">
      <w:pPr>
        <w:pStyle w:val="FootnoteText"/>
      </w:pPr>
      <w:r>
        <w:rPr>
          <w:rStyle w:val="FootnoteReference"/>
        </w:rPr>
        <w:footnoteRef/>
      </w:r>
      <w:r w:rsidRPr="00A7596B">
        <w:tab/>
        <w:t>Copies of recordings made in the International Register or of items</w:t>
      </w:r>
      <w:r>
        <w:t xml:space="preserve"> </w:t>
      </w:r>
      <w:r w:rsidRPr="00A7596B">
        <w:t xml:space="preserve">in the file of the international </w:t>
      </w:r>
      <w:r>
        <w:t>registration are available, with or without being certified (Rule 32(1</w:t>
      </w:r>
      <w:proofErr w:type="gramStart"/>
      <w:r>
        <w:t>)(</w:t>
      </w:r>
      <w:proofErr w:type="gramEnd"/>
      <w:r>
        <w:t>ii) or (iii)).</w:t>
      </w:r>
    </w:p>
  </w:footnote>
  <w:footnote w:id="5">
    <w:p w:rsidR="00634FB8" w:rsidRPr="00C55D3E" w:rsidRDefault="00634FB8">
      <w:pPr>
        <w:pStyle w:val="FootnoteText"/>
      </w:pPr>
      <w:r>
        <w:rPr>
          <w:rStyle w:val="FootnoteReference"/>
        </w:rPr>
        <w:footnoteRef/>
      </w:r>
      <w:r w:rsidRPr="00A609F8">
        <w:tab/>
        <w:t>It is recalled that the Working Group discussed, at its fifth session</w:t>
      </w:r>
      <w:r>
        <w:t xml:space="preserve">, a proposal for recommendations relating to the disclosure of an industrial design in an international application (document H/LD/WG/5/4).  As a </w:t>
      </w:r>
      <w:r w:rsidRPr="00C55D3E">
        <w:t>result, “</w:t>
      </w:r>
      <w:hyperlink r:id="rId1" w:history="1">
        <w:r w:rsidRPr="00C55D3E">
          <w:rPr>
            <w:rStyle w:val="Hyperlink"/>
            <w:color w:val="auto"/>
            <w:u w:val="none"/>
          </w:rPr>
          <w:t>Guidance on Preparing and Providing Reproductions in Order to Forestall Possible Refusals on the Ground of Insufficient Disclosure of an Industrial Design by Examining Offices</w:t>
        </w:r>
      </w:hyperlink>
      <w:r w:rsidRPr="00C55D3E">
        <w:t>” was established in August 2016.</w:t>
      </w:r>
    </w:p>
  </w:footnote>
  <w:footnote w:id="6">
    <w:p w:rsidR="00634FB8" w:rsidRPr="00510815" w:rsidRDefault="00634FB8">
      <w:pPr>
        <w:pStyle w:val="FootnoteText"/>
      </w:pPr>
      <w:r>
        <w:rPr>
          <w:rStyle w:val="FootnoteReference"/>
        </w:rPr>
        <w:footnoteRef/>
      </w:r>
      <w:r w:rsidRPr="00510815">
        <w:tab/>
      </w:r>
      <w:r>
        <w:t>PDF copies of v</w:t>
      </w:r>
      <w:r w:rsidRPr="00510815">
        <w:t>arious kinds of notifications received from the Office of a designated Contracting Party, including a notification of provision</w:t>
      </w:r>
      <w:r>
        <w:t>al refusal, have been available on the WIPO website under the Madrid System since January 2005.</w:t>
      </w:r>
    </w:p>
  </w:footnote>
  <w:footnote w:id="7">
    <w:p w:rsidR="00634FB8" w:rsidRPr="00EF454B" w:rsidRDefault="00634FB8" w:rsidP="006D4F5D">
      <w:pPr>
        <w:pStyle w:val="FootnoteText"/>
      </w:pPr>
      <w:r>
        <w:rPr>
          <w:rStyle w:val="FootnoteReference"/>
        </w:rPr>
        <w:footnoteRef/>
      </w:r>
      <w:r w:rsidRPr="00EF454B">
        <w:tab/>
      </w:r>
      <w:r>
        <w:t xml:space="preserve">It should be noted that </w:t>
      </w:r>
      <w:r w:rsidRPr="00EF454B">
        <w:t>JPO issue</w:t>
      </w:r>
      <w:r>
        <w:t>s</w:t>
      </w:r>
      <w:r w:rsidRPr="00EF454B">
        <w:t xml:space="preserve"> </w:t>
      </w:r>
      <w:r w:rsidR="001D6189">
        <w:t>one</w:t>
      </w:r>
      <w:r w:rsidRPr="00EF454B">
        <w:t xml:space="preserve"> notification of refusal per design, </w:t>
      </w:r>
      <w:r>
        <w:t>if the international registration contains more than one industrial design</w:t>
      </w:r>
      <w:r w:rsidRPr="00EF454B">
        <w:t>.</w:t>
      </w:r>
    </w:p>
  </w:footnote>
  <w:footnote w:id="8">
    <w:p w:rsidR="00634FB8" w:rsidRPr="000A7C3B" w:rsidRDefault="00634FB8">
      <w:pPr>
        <w:pStyle w:val="FootnoteText"/>
      </w:pPr>
      <w:r>
        <w:rPr>
          <w:rStyle w:val="FootnoteReference"/>
        </w:rPr>
        <w:footnoteRef/>
      </w:r>
      <w:r w:rsidRPr="000A7C3B">
        <w:tab/>
        <w:t xml:space="preserve">Refer to </w:t>
      </w:r>
      <w:r>
        <w:t xml:space="preserve">document H/CE/VII/4, </w:t>
      </w:r>
      <w:r w:rsidRPr="000A7C3B">
        <w:t>draft Rule 24(1</w:t>
      </w:r>
      <w:proofErr w:type="gramStart"/>
      <w:r w:rsidRPr="000A7C3B">
        <w:t>)(</w:t>
      </w:r>
      <w:proofErr w:type="gramEnd"/>
      <w:r w:rsidRPr="000A7C3B">
        <w:t>ii)</w:t>
      </w:r>
      <w:r>
        <w:t xml:space="preserve">.  </w:t>
      </w:r>
    </w:p>
  </w:footnote>
  <w:footnote w:id="9">
    <w:p w:rsidR="00634FB8" w:rsidRPr="00E668FC" w:rsidRDefault="00634FB8">
      <w:pPr>
        <w:pStyle w:val="FootnoteText"/>
      </w:pPr>
      <w:r>
        <w:rPr>
          <w:rStyle w:val="FootnoteReference"/>
        </w:rPr>
        <w:footnoteRef/>
      </w:r>
      <w:r w:rsidRPr="00E668FC">
        <w:tab/>
        <w:t>Refer to </w:t>
      </w:r>
      <w:r>
        <w:t>document H/DC/4, Basic Proposal for the Regulations under the New Act as presented to the Diplomatic Conference, draft Rule 26(1</w:t>
      </w:r>
      <w:proofErr w:type="gramStart"/>
      <w:r>
        <w:t>)(</w:t>
      </w:r>
      <w:proofErr w:type="gramEnd"/>
      <w:r>
        <w:t xml:space="preserve">ii).  </w:t>
      </w:r>
      <w:r w:rsidRPr="00363284">
        <w:t>The Regulations Under the Hague Agreement Concerning the International Deposit of Industrial Designs to implement the 1960 Act and the 1934 Act, as in force on January</w:t>
      </w:r>
      <w:r>
        <w:t> </w:t>
      </w:r>
      <w:r w:rsidRPr="00363284">
        <w:t>1,</w:t>
      </w:r>
      <w:r>
        <w:t> </w:t>
      </w:r>
      <w:r w:rsidRPr="00363284">
        <w:t>2002</w:t>
      </w:r>
      <w:r w:rsidR="0073416E">
        <w:t>,</w:t>
      </w:r>
      <w:bookmarkStart w:id="5" w:name="_GoBack"/>
      <w:bookmarkEnd w:id="5"/>
      <w:r w:rsidRPr="00363284">
        <w:t xml:space="preserve"> do not have the phrase in question in relation to the publication of a notification of refusal.</w:t>
      </w:r>
    </w:p>
  </w:footnote>
  <w:footnote w:id="10">
    <w:p w:rsidR="00634FB8" w:rsidRPr="00ED079E" w:rsidRDefault="00634FB8">
      <w:pPr>
        <w:pStyle w:val="FootnoteText"/>
      </w:pPr>
      <w:r>
        <w:rPr>
          <w:rStyle w:val="FootnoteReference"/>
        </w:rPr>
        <w:footnoteRef/>
      </w:r>
      <w:r>
        <w:tab/>
        <w:t>The same phrase</w:t>
      </w:r>
      <w:r>
        <w:rPr>
          <w:rFonts w:eastAsia="MS Mincho"/>
        </w:rPr>
        <w:t xml:space="preserve"> is </w:t>
      </w:r>
      <w:r w:rsidRPr="009E2E83">
        <w:t>also found in Rule 31(1)</w:t>
      </w:r>
      <w:r>
        <w:t xml:space="preserve"> of the Madrid Regulations as in force on April 1, 1994</w:t>
      </w:r>
      <w:proofErr w:type="gramStart"/>
      <w:r w:rsidR="00D13313">
        <w:t>;</w:t>
      </w:r>
      <w:r>
        <w:t xml:space="preserve"> </w:t>
      </w:r>
      <w:r w:rsidR="00D13313">
        <w:t xml:space="preserve"> </w:t>
      </w:r>
      <w:r>
        <w:t>that</w:t>
      </w:r>
      <w:proofErr w:type="gramEnd"/>
      <w:r>
        <w:t xml:space="preserve"> is</w:t>
      </w:r>
      <w:r w:rsidR="00D13313">
        <w:t>,</w:t>
      </w:r>
      <w:r>
        <w:t xml:space="preserve"> before the coming into</w:t>
      </w:r>
      <w:r w:rsidR="00D13313">
        <w:t xml:space="preserve"> </w:t>
      </w:r>
      <w:r w:rsidR="003A6831">
        <w:t>operation</w:t>
      </w:r>
      <w:r>
        <w:t xml:space="preserve"> of the Madrid Protocol.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B8" w:rsidRDefault="00634FB8" w:rsidP="00477D6B">
    <w:pPr>
      <w:jc w:val="right"/>
    </w:pPr>
    <w:bookmarkStart w:id="6" w:name="Code2"/>
    <w:bookmarkEnd w:id="6"/>
    <w:r>
      <w:t>H/LD/WG/7/4</w:t>
    </w:r>
  </w:p>
  <w:p w:rsidR="00634FB8" w:rsidRDefault="00634FB8" w:rsidP="00477D6B">
    <w:pPr>
      <w:jc w:val="right"/>
      <w:rPr>
        <w:noProof/>
      </w:rPr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901399">
      <w:rPr>
        <w:noProof/>
      </w:rPr>
      <w:t>5</w:t>
    </w:r>
    <w:r>
      <w:rPr>
        <w:noProof/>
      </w:rPr>
      <w:fldChar w:fldCharType="end"/>
    </w:r>
  </w:p>
  <w:p w:rsidR="00634FB8" w:rsidRDefault="00634FB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B8" w:rsidRDefault="00634FB8" w:rsidP="0043279F">
    <w:pPr>
      <w:pStyle w:val="Header"/>
      <w:jc w:val="right"/>
    </w:pPr>
    <w:r>
      <w:t>H/LD/WG/7/4</w:t>
    </w:r>
  </w:p>
  <w:p w:rsidR="00634FB8" w:rsidRDefault="00634FB8" w:rsidP="0043279F">
    <w:pPr>
      <w:pStyle w:val="Header"/>
      <w:jc w:val="right"/>
    </w:pPr>
    <w:r>
      <w:t>ANNEX</w:t>
    </w:r>
  </w:p>
  <w:p w:rsidR="00634FB8" w:rsidRPr="00E67B98" w:rsidRDefault="00634FB8" w:rsidP="0043279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91F83FC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64333C5"/>
    <w:multiLevelType w:val="hybridMultilevel"/>
    <w:tmpl w:val="B40C9FBC"/>
    <w:lvl w:ilvl="0" w:tplc="8DB8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etus Awasum">
    <w15:presenceInfo w15:providerId="Windows Live" w15:userId="3b98720a1dbb1d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DE3"/>
    <w:rsid w:val="00001D8E"/>
    <w:rsid w:val="00002930"/>
    <w:rsid w:val="00007602"/>
    <w:rsid w:val="00022060"/>
    <w:rsid w:val="00024E28"/>
    <w:rsid w:val="000378A9"/>
    <w:rsid w:val="00043CAA"/>
    <w:rsid w:val="000440FB"/>
    <w:rsid w:val="0005040A"/>
    <w:rsid w:val="00053221"/>
    <w:rsid w:val="000534CD"/>
    <w:rsid w:val="0005497D"/>
    <w:rsid w:val="000552F2"/>
    <w:rsid w:val="0006018D"/>
    <w:rsid w:val="000622BC"/>
    <w:rsid w:val="0006416E"/>
    <w:rsid w:val="00070E8E"/>
    <w:rsid w:val="00075432"/>
    <w:rsid w:val="00090353"/>
    <w:rsid w:val="00094EEE"/>
    <w:rsid w:val="000968ED"/>
    <w:rsid w:val="000A0E4E"/>
    <w:rsid w:val="000A7C3B"/>
    <w:rsid w:val="000B2622"/>
    <w:rsid w:val="000B2A6E"/>
    <w:rsid w:val="000B735D"/>
    <w:rsid w:val="000C4046"/>
    <w:rsid w:val="000D10F8"/>
    <w:rsid w:val="000D670A"/>
    <w:rsid w:val="000E072D"/>
    <w:rsid w:val="000E539A"/>
    <w:rsid w:val="000F245A"/>
    <w:rsid w:val="000F5C63"/>
    <w:rsid w:val="000F5E56"/>
    <w:rsid w:val="000F6BF4"/>
    <w:rsid w:val="001002B6"/>
    <w:rsid w:val="0010675F"/>
    <w:rsid w:val="00111502"/>
    <w:rsid w:val="00114F1F"/>
    <w:rsid w:val="0011569D"/>
    <w:rsid w:val="00133FA2"/>
    <w:rsid w:val="00136019"/>
    <w:rsid w:val="001362EE"/>
    <w:rsid w:val="00140C99"/>
    <w:rsid w:val="00145391"/>
    <w:rsid w:val="0015260A"/>
    <w:rsid w:val="001701BC"/>
    <w:rsid w:val="0017430B"/>
    <w:rsid w:val="00174340"/>
    <w:rsid w:val="00175421"/>
    <w:rsid w:val="001832A6"/>
    <w:rsid w:val="001A7410"/>
    <w:rsid w:val="001B6DB4"/>
    <w:rsid w:val="001C2B3B"/>
    <w:rsid w:val="001C3E88"/>
    <w:rsid w:val="001D6189"/>
    <w:rsid w:val="001F7058"/>
    <w:rsid w:val="001F7384"/>
    <w:rsid w:val="00244999"/>
    <w:rsid w:val="00244D67"/>
    <w:rsid w:val="002455F6"/>
    <w:rsid w:val="00247306"/>
    <w:rsid w:val="00254230"/>
    <w:rsid w:val="0025429E"/>
    <w:rsid w:val="00256FCC"/>
    <w:rsid w:val="002634C4"/>
    <w:rsid w:val="00273D23"/>
    <w:rsid w:val="00274543"/>
    <w:rsid w:val="00274658"/>
    <w:rsid w:val="00282248"/>
    <w:rsid w:val="002841DE"/>
    <w:rsid w:val="002928D3"/>
    <w:rsid w:val="002A25D0"/>
    <w:rsid w:val="002A574B"/>
    <w:rsid w:val="002C579B"/>
    <w:rsid w:val="002C5B4E"/>
    <w:rsid w:val="002C7D24"/>
    <w:rsid w:val="002D4BDB"/>
    <w:rsid w:val="002D7D5F"/>
    <w:rsid w:val="002E4981"/>
    <w:rsid w:val="002E7FD5"/>
    <w:rsid w:val="002F1FE6"/>
    <w:rsid w:val="002F4E68"/>
    <w:rsid w:val="00301B9D"/>
    <w:rsid w:val="00303DDD"/>
    <w:rsid w:val="00312F7F"/>
    <w:rsid w:val="00315DEB"/>
    <w:rsid w:val="00320205"/>
    <w:rsid w:val="00320C24"/>
    <w:rsid w:val="00332497"/>
    <w:rsid w:val="00335A25"/>
    <w:rsid w:val="0033731E"/>
    <w:rsid w:val="003435EA"/>
    <w:rsid w:val="0034706C"/>
    <w:rsid w:val="00347329"/>
    <w:rsid w:val="00350F1D"/>
    <w:rsid w:val="00354760"/>
    <w:rsid w:val="00357719"/>
    <w:rsid w:val="00361450"/>
    <w:rsid w:val="00361F1B"/>
    <w:rsid w:val="00363284"/>
    <w:rsid w:val="003673CF"/>
    <w:rsid w:val="00375A92"/>
    <w:rsid w:val="0038354D"/>
    <w:rsid w:val="00383A7D"/>
    <w:rsid w:val="003845C1"/>
    <w:rsid w:val="003856A5"/>
    <w:rsid w:val="0039388C"/>
    <w:rsid w:val="003974B2"/>
    <w:rsid w:val="003A00C9"/>
    <w:rsid w:val="003A4CC7"/>
    <w:rsid w:val="003A6831"/>
    <w:rsid w:val="003A6F89"/>
    <w:rsid w:val="003B38C1"/>
    <w:rsid w:val="003B5804"/>
    <w:rsid w:val="003C0369"/>
    <w:rsid w:val="003C2BB4"/>
    <w:rsid w:val="003C3657"/>
    <w:rsid w:val="003D4329"/>
    <w:rsid w:val="003E08D8"/>
    <w:rsid w:val="003E321E"/>
    <w:rsid w:val="0040594C"/>
    <w:rsid w:val="00414153"/>
    <w:rsid w:val="004174BA"/>
    <w:rsid w:val="00421E3B"/>
    <w:rsid w:val="00423E3E"/>
    <w:rsid w:val="00427AF4"/>
    <w:rsid w:val="0043279F"/>
    <w:rsid w:val="00440838"/>
    <w:rsid w:val="004514D4"/>
    <w:rsid w:val="004571E0"/>
    <w:rsid w:val="00461407"/>
    <w:rsid w:val="004647DA"/>
    <w:rsid w:val="00474062"/>
    <w:rsid w:val="00477D6B"/>
    <w:rsid w:val="00490AFA"/>
    <w:rsid w:val="00495C7F"/>
    <w:rsid w:val="00496163"/>
    <w:rsid w:val="004A2C90"/>
    <w:rsid w:val="004B147D"/>
    <w:rsid w:val="004B1C11"/>
    <w:rsid w:val="004E5263"/>
    <w:rsid w:val="005019FF"/>
    <w:rsid w:val="00510815"/>
    <w:rsid w:val="00514791"/>
    <w:rsid w:val="00525042"/>
    <w:rsid w:val="0053057A"/>
    <w:rsid w:val="005305EA"/>
    <w:rsid w:val="00535E1A"/>
    <w:rsid w:val="0054177F"/>
    <w:rsid w:val="00544D04"/>
    <w:rsid w:val="00547318"/>
    <w:rsid w:val="00547FBB"/>
    <w:rsid w:val="00550CBA"/>
    <w:rsid w:val="005539A6"/>
    <w:rsid w:val="00560A29"/>
    <w:rsid w:val="005707A6"/>
    <w:rsid w:val="005A1FC7"/>
    <w:rsid w:val="005C5EA8"/>
    <w:rsid w:val="005C6649"/>
    <w:rsid w:val="005E3031"/>
    <w:rsid w:val="005E338C"/>
    <w:rsid w:val="005F0343"/>
    <w:rsid w:val="005F1073"/>
    <w:rsid w:val="005F1A64"/>
    <w:rsid w:val="005F1B1E"/>
    <w:rsid w:val="005F6675"/>
    <w:rsid w:val="00605827"/>
    <w:rsid w:val="00621664"/>
    <w:rsid w:val="00624D4B"/>
    <w:rsid w:val="006279B9"/>
    <w:rsid w:val="006346CC"/>
    <w:rsid w:val="00634FB8"/>
    <w:rsid w:val="00635123"/>
    <w:rsid w:val="00636EC4"/>
    <w:rsid w:val="00644838"/>
    <w:rsid w:val="00645A88"/>
    <w:rsid w:val="00645E67"/>
    <w:rsid w:val="00646050"/>
    <w:rsid w:val="00652CEB"/>
    <w:rsid w:val="006544D2"/>
    <w:rsid w:val="006552EF"/>
    <w:rsid w:val="00655B02"/>
    <w:rsid w:val="00656656"/>
    <w:rsid w:val="0066456B"/>
    <w:rsid w:val="0066467B"/>
    <w:rsid w:val="00665220"/>
    <w:rsid w:val="00667055"/>
    <w:rsid w:val="00670A46"/>
    <w:rsid w:val="00670E09"/>
    <w:rsid w:val="006713CA"/>
    <w:rsid w:val="00672F70"/>
    <w:rsid w:val="006763D5"/>
    <w:rsid w:val="00676C5C"/>
    <w:rsid w:val="0067796F"/>
    <w:rsid w:val="00692888"/>
    <w:rsid w:val="006A0625"/>
    <w:rsid w:val="006A2EC6"/>
    <w:rsid w:val="006B0918"/>
    <w:rsid w:val="006C11A3"/>
    <w:rsid w:val="006C22F9"/>
    <w:rsid w:val="006C2AA6"/>
    <w:rsid w:val="006C468A"/>
    <w:rsid w:val="006D3F7B"/>
    <w:rsid w:val="006D4F5D"/>
    <w:rsid w:val="006E4644"/>
    <w:rsid w:val="006E5097"/>
    <w:rsid w:val="00702B3B"/>
    <w:rsid w:val="00707A06"/>
    <w:rsid w:val="007117AF"/>
    <w:rsid w:val="0072716B"/>
    <w:rsid w:val="0073333B"/>
    <w:rsid w:val="0073416E"/>
    <w:rsid w:val="00735236"/>
    <w:rsid w:val="007450C5"/>
    <w:rsid w:val="00754F99"/>
    <w:rsid w:val="007641B3"/>
    <w:rsid w:val="0076670F"/>
    <w:rsid w:val="0076758D"/>
    <w:rsid w:val="007731FD"/>
    <w:rsid w:val="007A15F9"/>
    <w:rsid w:val="007A310A"/>
    <w:rsid w:val="007A747E"/>
    <w:rsid w:val="007B0D27"/>
    <w:rsid w:val="007C5F23"/>
    <w:rsid w:val="007C7EF3"/>
    <w:rsid w:val="007D0E89"/>
    <w:rsid w:val="007D1613"/>
    <w:rsid w:val="007E7ACD"/>
    <w:rsid w:val="007F34F2"/>
    <w:rsid w:val="008060C8"/>
    <w:rsid w:val="00806245"/>
    <w:rsid w:val="00821095"/>
    <w:rsid w:val="008220D6"/>
    <w:rsid w:val="0082238B"/>
    <w:rsid w:val="008253A7"/>
    <w:rsid w:val="00835F02"/>
    <w:rsid w:val="00841AAE"/>
    <w:rsid w:val="008670BD"/>
    <w:rsid w:val="00885749"/>
    <w:rsid w:val="008A25C8"/>
    <w:rsid w:val="008A6ECC"/>
    <w:rsid w:val="008B2CC1"/>
    <w:rsid w:val="008B60B2"/>
    <w:rsid w:val="008B6B36"/>
    <w:rsid w:val="008C6D0F"/>
    <w:rsid w:val="008D26E3"/>
    <w:rsid w:val="008E11C3"/>
    <w:rsid w:val="008E3B72"/>
    <w:rsid w:val="008E7FA2"/>
    <w:rsid w:val="008F3F65"/>
    <w:rsid w:val="008F5DCA"/>
    <w:rsid w:val="00901399"/>
    <w:rsid w:val="00906AF5"/>
    <w:rsid w:val="0090731E"/>
    <w:rsid w:val="00916EE2"/>
    <w:rsid w:val="00921EBA"/>
    <w:rsid w:val="009622B1"/>
    <w:rsid w:val="009638E6"/>
    <w:rsid w:val="00966A22"/>
    <w:rsid w:val="0096722F"/>
    <w:rsid w:val="00971530"/>
    <w:rsid w:val="00974255"/>
    <w:rsid w:val="00980843"/>
    <w:rsid w:val="0098663B"/>
    <w:rsid w:val="009944A3"/>
    <w:rsid w:val="00994AA7"/>
    <w:rsid w:val="009A15B1"/>
    <w:rsid w:val="009A51D8"/>
    <w:rsid w:val="009C27DC"/>
    <w:rsid w:val="009E2791"/>
    <w:rsid w:val="009E2863"/>
    <w:rsid w:val="009E2E83"/>
    <w:rsid w:val="009E3F6F"/>
    <w:rsid w:val="009E4DE6"/>
    <w:rsid w:val="009F412F"/>
    <w:rsid w:val="009F499F"/>
    <w:rsid w:val="009F7119"/>
    <w:rsid w:val="00A03438"/>
    <w:rsid w:val="00A116CE"/>
    <w:rsid w:val="00A13DD3"/>
    <w:rsid w:val="00A267FC"/>
    <w:rsid w:val="00A2720D"/>
    <w:rsid w:val="00A275B6"/>
    <w:rsid w:val="00A32CFE"/>
    <w:rsid w:val="00A34917"/>
    <w:rsid w:val="00A37828"/>
    <w:rsid w:val="00A423B2"/>
    <w:rsid w:val="00A42DAF"/>
    <w:rsid w:val="00A45BD8"/>
    <w:rsid w:val="00A56572"/>
    <w:rsid w:val="00A6071F"/>
    <w:rsid w:val="00A609F8"/>
    <w:rsid w:val="00A72090"/>
    <w:rsid w:val="00A7596B"/>
    <w:rsid w:val="00A80BAF"/>
    <w:rsid w:val="00A869B7"/>
    <w:rsid w:val="00A877BC"/>
    <w:rsid w:val="00A9347A"/>
    <w:rsid w:val="00AA7031"/>
    <w:rsid w:val="00AA78DA"/>
    <w:rsid w:val="00AC205C"/>
    <w:rsid w:val="00AC5236"/>
    <w:rsid w:val="00AE1F11"/>
    <w:rsid w:val="00AE5275"/>
    <w:rsid w:val="00AF0A6B"/>
    <w:rsid w:val="00AF4CA1"/>
    <w:rsid w:val="00B05A69"/>
    <w:rsid w:val="00B3380E"/>
    <w:rsid w:val="00B34DA2"/>
    <w:rsid w:val="00B44236"/>
    <w:rsid w:val="00B742CC"/>
    <w:rsid w:val="00B82E87"/>
    <w:rsid w:val="00B83A8C"/>
    <w:rsid w:val="00B87CD1"/>
    <w:rsid w:val="00B92173"/>
    <w:rsid w:val="00B925E8"/>
    <w:rsid w:val="00B9734B"/>
    <w:rsid w:val="00BA1D35"/>
    <w:rsid w:val="00BA7123"/>
    <w:rsid w:val="00BB097F"/>
    <w:rsid w:val="00BB4E1A"/>
    <w:rsid w:val="00BD56F3"/>
    <w:rsid w:val="00BD6D0D"/>
    <w:rsid w:val="00BF4F4E"/>
    <w:rsid w:val="00BF7BF5"/>
    <w:rsid w:val="00C017AA"/>
    <w:rsid w:val="00C04D3F"/>
    <w:rsid w:val="00C0519E"/>
    <w:rsid w:val="00C05342"/>
    <w:rsid w:val="00C1070F"/>
    <w:rsid w:val="00C11BFE"/>
    <w:rsid w:val="00C1734F"/>
    <w:rsid w:val="00C31EA9"/>
    <w:rsid w:val="00C33A66"/>
    <w:rsid w:val="00C36976"/>
    <w:rsid w:val="00C413B8"/>
    <w:rsid w:val="00C419CD"/>
    <w:rsid w:val="00C55D3E"/>
    <w:rsid w:val="00C633AA"/>
    <w:rsid w:val="00C675AD"/>
    <w:rsid w:val="00C73096"/>
    <w:rsid w:val="00C7547A"/>
    <w:rsid w:val="00C829FA"/>
    <w:rsid w:val="00C84EEE"/>
    <w:rsid w:val="00C87EF9"/>
    <w:rsid w:val="00C9168A"/>
    <w:rsid w:val="00C92255"/>
    <w:rsid w:val="00C95D3F"/>
    <w:rsid w:val="00CB41D0"/>
    <w:rsid w:val="00CB5B2E"/>
    <w:rsid w:val="00CC30C7"/>
    <w:rsid w:val="00CC3215"/>
    <w:rsid w:val="00CD224D"/>
    <w:rsid w:val="00CE2D0F"/>
    <w:rsid w:val="00CE6C8E"/>
    <w:rsid w:val="00CF5A48"/>
    <w:rsid w:val="00CF72B4"/>
    <w:rsid w:val="00D00356"/>
    <w:rsid w:val="00D03B0B"/>
    <w:rsid w:val="00D06F62"/>
    <w:rsid w:val="00D121F3"/>
    <w:rsid w:val="00D13313"/>
    <w:rsid w:val="00D42090"/>
    <w:rsid w:val="00D45252"/>
    <w:rsid w:val="00D476A5"/>
    <w:rsid w:val="00D55F71"/>
    <w:rsid w:val="00D63977"/>
    <w:rsid w:val="00D63CD4"/>
    <w:rsid w:val="00D67996"/>
    <w:rsid w:val="00D71B4D"/>
    <w:rsid w:val="00D73B5D"/>
    <w:rsid w:val="00D93060"/>
    <w:rsid w:val="00D93D55"/>
    <w:rsid w:val="00D97770"/>
    <w:rsid w:val="00DA22CF"/>
    <w:rsid w:val="00DB1E74"/>
    <w:rsid w:val="00DB6BE1"/>
    <w:rsid w:val="00DC2458"/>
    <w:rsid w:val="00DD54A8"/>
    <w:rsid w:val="00DE09B9"/>
    <w:rsid w:val="00DE1B79"/>
    <w:rsid w:val="00DE73A4"/>
    <w:rsid w:val="00E2026F"/>
    <w:rsid w:val="00E335FE"/>
    <w:rsid w:val="00E46540"/>
    <w:rsid w:val="00E54A8F"/>
    <w:rsid w:val="00E5563E"/>
    <w:rsid w:val="00E64A17"/>
    <w:rsid w:val="00E668FC"/>
    <w:rsid w:val="00E67B98"/>
    <w:rsid w:val="00E7120B"/>
    <w:rsid w:val="00E734E9"/>
    <w:rsid w:val="00E8017C"/>
    <w:rsid w:val="00E86C1F"/>
    <w:rsid w:val="00E8753F"/>
    <w:rsid w:val="00E91000"/>
    <w:rsid w:val="00EA3A9B"/>
    <w:rsid w:val="00EA55F4"/>
    <w:rsid w:val="00EA7D5B"/>
    <w:rsid w:val="00EB04AD"/>
    <w:rsid w:val="00EB51A3"/>
    <w:rsid w:val="00EC0598"/>
    <w:rsid w:val="00EC4E49"/>
    <w:rsid w:val="00EC701F"/>
    <w:rsid w:val="00ED079E"/>
    <w:rsid w:val="00ED77FB"/>
    <w:rsid w:val="00EE45FA"/>
    <w:rsid w:val="00EF1238"/>
    <w:rsid w:val="00EF1BC8"/>
    <w:rsid w:val="00EF353E"/>
    <w:rsid w:val="00EF454B"/>
    <w:rsid w:val="00EF61BB"/>
    <w:rsid w:val="00EF7B47"/>
    <w:rsid w:val="00F023D5"/>
    <w:rsid w:val="00F07211"/>
    <w:rsid w:val="00F07527"/>
    <w:rsid w:val="00F15CBF"/>
    <w:rsid w:val="00F16433"/>
    <w:rsid w:val="00F169D3"/>
    <w:rsid w:val="00F20015"/>
    <w:rsid w:val="00F22813"/>
    <w:rsid w:val="00F23DE3"/>
    <w:rsid w:val="00F30D03"/>
    <w:rsid w:val="00F441D6"/>
    <w:rsid w:val="00F52B8B"/>
    <w:rsid w:val="00F551D9"/>
    <w:rsid w:val="00F563C1"/>
    <w:rsid w:val="00F66152"/>
    <w:rsid w:val="00F67DCD"/>
    <w:rsid w:val="00F74F57"/>
    <w:rsid w:val="00FA0854"/>
    <w:rsid w:val="00FA61F4"/>
    <w:rsid w:val="00FB4B0D"/>
    <w:rsid w:val="00FD2B3C"/>
    <w:rsid w:val="00FD458F"/>
    <w:rsid w:val="00FD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0E072D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E86C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109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0E072D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E86C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109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PowerPoint_Presentation1.pptx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export/sites/www/hague/en/how_to/pdf/guid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BC2B3-8AF6-4337-A9E4-831E36CB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2185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H/LD/WG/7/4 - Issues Surrounding the Public Availability of Notifications of Refusal</vt:lpstr>
    </vt:vector>
  </TitlesOfParts>
  <Company>WIPO</Company>
  <LinksUpToDate>false</LinksUpToDate>
  <CharactersWithSpaces>13705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H/LD/WG/7/4 - Issues Surrounding the Public Availability of Notifications of Refusal</dc:title>
  <dc:creator>WIPO</dc:creator>
  <cp:lastModifiedBy>MAILLARD Amber</cp:lastModifiedBy>
  <cp:revision>7</cp:revision>
  <cp:lastPrinted>2018-05-18T14:04:00Z</cp:lastPrinted>
  <dcterms:created xsi:type="dcterms:W3CDTF">2018-05-16T10:54:00Z</dcterms:created>
  <dcterms:modified xsi:type="dcterms:W3CDTF">2018-05-18T14:05:00Z</dcterms:modified>
</cp:coreProperties>
</file>