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84" w:rsidRPr="00C50A61" w:rsidRDefault="003F7284" w:rsidP="003F7284">
      <w:pPr>
        <w:widowControl w:val="0"/>
        <w:bidi w:val="0"/>
        <w:rPr>
          <w:rFonts w:ascii="Arial Bold" w:eastAsia="SimSun" w:hAnsi="Arial Bold" w:cs="Arial" w:hint="eastAsia"/>
          <w:b/>
          <w:noProof/>
          <w:sz w:val="40"/>
          <w:szCs w:val="40"/>
          <w:rtl/>
          <w:lang w:eastAsia="zh-CN"/>
        </w:rPr>
      </w:pPr>
      <w:r w:rsidRPr="00C50A61">
        <w:rPr>
          <w:rFonts w:ascii="Arial Bold" w:eastAsia="SimSun" w:hAnsi="Arial Bold" w:cs="Arial"/>
          <w:b/>
          <w:noProof/>
          <w:sz w:val="40"/>
          <w:szCs w:val="40"/>
          <w:lang w:eastAsia="zh-CN"/>
        </w:rPr>
        <w:t>A</w:t>
      </w:r>
    </w:p>
    <w:p w:rsidR="003F7284" w:rsidRPr="003F7284" w:rsidRDefault="003F7284" w:rsidP="00C26939">
      <w:pPr>
        <w:spacing w:after="120"/>
        <w:ind w:left="4535"/>
        <w:rPr>
          <w:rtl/>
        </w:rPr>
      </w:pPr>
      <w:r w:rsidRPr="003F7284">
        <w:rPr>
          <w:noProof/>
        </w:rPr>
        <w:drawing>
          <wp:inline distT="0" distB="0" distL="0" distR="0" wp14:anchorId="04A4734A" wp14:editId="33E79D6C">
            <wp:extent cx="1327150" cy="1263650"/>
            <wp:effectExtent l="0" t="0" r="6350" b="0"/>
            <wp:docPr id="2" name="Picture 2" descr="شعار المنظمة العالمية للملكية الفكرية (الويبو)" title="شعار الويب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p w:rsidR="003F7284" w:rsidRPr="00F54409" w:rsidRDefault="006230C8" w:rsidP="002C3CB4">
      <w:pPr>
        <w:pBdr>
          <w:top w:val="single" w:sz="4" w:space="10" w:color="auto"/>
        </w:pBdr>
        <w:bidi w:val="0"/>
        <w:rPr>
          <w:rFonts w:ascii="Arial Black" w:eastAsia="SimSun" w:hAnsi="Arial Black" w:cs="Arial"/>
          <w:b/>
          <w:caps/>
          <w:noProof/>
          <w:sz w:val="16"/>
          <w:szCs w:val="16"/>
          <w:rtl/>
          <w:lang w:eastAsia="zh-CN"/>
        </w:rPr>
      </w:pPr>
      <w:bookmarkStart w:id="2" w:name="Code2"/>
      <w:r>
        <w:rPr>
          <w:rFonts w:ascii="Arial Black" w:eastAsia="SimSun" w:hAnsi="Arial Black" w:cs="Arial"/>
          <w:b/>
          <w:caps/>
          <w:noProof/>
          <w:sz w:val="16"/>
          <w:szCs w:val="16"/>
          <w:lang w:eastAsia="zh-CN"/>
        </w:rPr>
        <w:t>H/LD/WG/</w:t>
      </w:r>
      <w:r w:rsidR="002C3CB4">
        <w:rPr>
          <w:rFonts w:ascii="Arial Black" w:eastAsia="SimSun" w:hAnsi="Arial Black" w:cs="Arial"/>
          <w:b/>
          <w:caps/>
          <w:noProof/>
          <w:sz w:val="16"/>
          <w:szCs w:val="16"/>
          <w:lang w:eastAsia="zh-CN"/>
        </w:rPr>
        <w:t>8</w:t>
      </w:r>
      <w:r>
        <w:rPr>
          <w:rFonts w:ascii="Arial Black" w:eastAsia="SimSun" w:hAnsi="Arial Black" w:cs="Arial"/>
          <w:b/>
          <w:caps/>
          <w:noProof/>
          <w:sz w:val="16"/>
          <w:szCs w:val="16"/>
          <w:lang w:eastAsia="zh-CN"/>
        </w:rPr>
        <w:t>/</w:t>
      </w:r>
      <w:r w:rsidR="006D0D04">
        <w:rPr>
          <w:rFonts w:ascii="Arial Black" w:eastAsia="SimSun" w:hAnsi="Arial Black" w:cs="Arial"/>
          <w:b/>
          <w:caps/>
          <w:noProof/>
          <w:sz w:val="16"/>
          <w:szCs w:val="16"/>
          <w:lang w:eastAsia="zh-CN"/>
        </w:rPr>
        <w:t>5</w:t>
      </w:r>
    </w:p>
    <w:bookmarkEnd w:id="2"/>
    <w:p w:rsidR="003F7284" w:rsidRPr="00BB6440" w:rsidRDefault="003F7284" w:rsidP="005D79F6">
      <w:pPr>
        <w:jc w:val="right"/>
        <w:rPr>
          <w:b/>
          <w:bCs/>
          <w:sz w:val="30"/>
          <w:szCs w:val="30"/>
          <w:rtl/>
        </w:rPr>
      </w:pPr>
      <w:r w:rsidRPr="00BB6440">
        <w:rPr>
          <w:b/>
          <w:bCs/>
          <w:sz w:val="30"/>
          <w:szCs w:val="30"/>
          <w:rtl/>
        </w:rPr>
        <w:t>الأصل:</w:t>
      </w:r>
      <w:r w:rsidR="006D0D04">
        <w:rPr>
          <w:rFonts w:hint="cs"/>
          <w:b/>
          <w:bCs/>
          <w:sz w:val="30"/>
          <w:szCs w:val="30"/>
          <w:rtl/>
        </w:rPr>
        <w:t xml:space="preserve"> </w:t>
      </w:r>
      <w:r w:rsidR="006D0D04" w:rsidRPr="006D0D04">
        <w:rPr>
          <w:b/>
          <w:bCs/>
          <w:sz w:val="30"/>
          <w:szCs w:val="30"/>
          <w:rtl/>
        </w:rPr>
        <w:t>بالإنكليزية</w:t>
      </w:r>
      <w:r w:rsidRPr="00BB6440">
        <w:rPr>
          <w:b/>
          <w:bCs/>
          <w:sz w:val="30"/>
          <w:szCs w:val="30"/>
          <w:rtl/>
        </w:rPr>
        <w:t xml:space="preserve"> </w:t>
      </w:r>
    </w:p>
    <w:p w:rsidR="003F7284" w:rsidRPr="00BB6440" w:rsidRDefault="003F7284" w:rsidP="00F54409">
      <w:pPr>
        <w:spacing w:line="720" w:lineRule="auto"/>
        <w:jc w:val="right"/>
        <w:rPr>
          <w:b/>
          <w:bCs/>
          <w:sz w:val="30"/>
          <w:szCs w:val="30"/>
          <w:rtl/>
        </w:rPr>
      </w:pPr>
      <w:r w:rsidRPr="00BB6440">
        <w:rPr>
          <w:b/>
          <w:bCs/>
          <w:sz w:val="30"/>
          <w:szCs w:val="30"/>
          <w:rtl/>
        </w:rPr>
        <w:t>التاريخ:</w:t>
      </w:r>
      <w:r w:rsidR="005D79F6" w:rsidRPr="00BB6440">
        <w:rPr>
          <w:b/>
          <w:bCs/>
          <w:sz w:val="30"/>
          <w:szCs w:val="30"/>
          <w:rtl/>
        </w:rPr>
        <w:t xml:space="preserve"> </w:t>
      </w:r>
      <w:r w:rsidR="006D0D04" w:rsidRPr="006D0D04">
        <w:rPr>
          <w:b/>
          <w:bCs/>
          <w:sz w:val="30"/>
          <w:szCs w:val="30"/>
          <w:rtl/>
        </w:rPr>
        <w:t>7 أكتوبر 2019</w:t>
      </w:r>
    </w:p>
    <w:p w:rsidR="002E7810" w:rsidRPr="00FD6D15" w:rsidRDefault="006230C8" w:rsidP="009B7572">
      <w:pPr>
        <w:pStyle w:val="Heading1"/>
        <w:spacing w:after="600" w:line="240" w:lineRule="auto"/>
        <w:rPr>
          <w:rtl/>
        </w:rPr>
      </w:pPr>
      <w:r>
        <w:rPr>
          <w:rFonts w:hint="eastAsia"/>
          <w:rtl/>
        </w:rPr>
        <w:t>الفريق</w:t>
      </w:r>
      <w:r>
        <w:rPr>
          <w:rtl/>
        </w:rPr>
        <w:t xml:space="preserve"> </w:t>
      </w:r>
      <w:r>
        <w:rPr>
          <w:rFonts w:hint="eastAsia"/>
          <w:rtl/>
        </w:rPr>
        <w:t>العامل</w:t>
      </w:r>
      <w:r>
        <w:rPr>
          <w:rtl/>
        </w:rPr>
        <w:t xml:space="preserve"> </w:t>
      </w:r>
      <w:r>
        <w:rPr>
          <w:rFonts w:hint="eastAsia"/>
          <w:rtl/>
        </w:rPr>
        <w:t>المعني</w:t>
      </w:r>
      <w:r>
        <w:rPr>
          <w:rtl/>
        </w:rPr>
        <w:t xml:space="preserve"> </w:t>
      </w:r>
      <w:r>
        <w:rPr>
          <w:rFonts w:hint="eastAsia"/>
          <w:rtl/>
        </w:rPr>
        <w:t>بالتطوير</w:t>
      </w:r>
      <w:r>
        <w:rPr>
          <w:rtl/>
        </w:rPr>
        <w:t xml:space="preserve"> </w:t>
      </w:r>
      <w:r>
        <w:rPr>
          <w:rFonts w:hint="eastAsia"/>
          <w:rtl/>
        </w:rPr>
        <w:t>القانوني</w:t>
      </w:r>
      <w:r>
        <w:rPr>
          <w:rtl/>
        </w:rPr>
        <w:t xml:space="preserve"> </w:t>
      </w:r>
      <w:r>
        <w:rPr>
          <w:rFonts w:hint="eastAsia"/>
          <w:rtl/>
        </w:rPr>
        <w:t>لنظام</w:t>
      </w:r>
      <w:r>
        <w:rPr>
          <w:rtl/>
        </w:rPr>
        <w:t xml:space="preserve"> </w:t>
      </w:r>
      <w:r>
        <w:rPr>
          <w:rFonts w:hint="eastAsia"/>
          <w:rtl/>
        </w:rPr>
        <w:t>لاهاي</w:t>
      </w:r>
      <w:r>
        <w:rPr>
          <w:rtl/>
        </w:rPr>
        <w:t xml:space="preserve"> </w:t>
      </w:r>
      <w:r>
        <w:rPr>
          <w:rFonts w:hint="eastAsia"/>
          <w:rtl/>
        </w:rPr>
        <w:t>بشأن</w:t>
      </w:r>
      <w:r>
        <w:rPr>
          <w:rtl/>
        </w:rPr>
        <w:t xml:space="preserve"> </w:t>
      </w:r>
      <w:r>
        <w:rPr>
          <w:rFonts w:hint="eastAsia"/>
          <w:rtl/>
        </w:rPr>
        <w:t>التسجيل</w:t>
      </w:r>
      <w:r>
        <w:rPr>
          <w:rtl/>
        </w:rPr>
        <w:t xml:space="preserve"> </w:t>
      </w:r>
      <w:r>
        <w:rPr>
          <w:rFonts w:hint="eastAsia"/>
          <w:rtl/>
        </w:rPr>
        <w:t>الدولي</w:t>
      </w:r>
      <w:r>
        <w:rPr>
          <w:rtl/>
        </w:rPr>
        <w:t xml:space="preserve"> </w:t>
      </w:r>
      <w:r>
        <w:rPr>
          <w:rFonts w:hint="eastAsia"/>
          <w:rtl/>
        </w:rPr>
        <w:t>للتصاميم</w:t>
      </w:r>
      <w:r>
        <w:rPr>
          <w:rtl/>
        </w:rPr>
        <w:t xml:space="preserve"> </w:t>
      </w:r>
      <w:r>
        <w:rPr>
          <w:rFonts w:hint="eastAsia"/>
          <w:rtl/>
        </w:rPr>
        <w:t>الصناعية</w:t>
      </w:r>
    </w:p>
    <w:p w:rsidR="002E7810" w:rsidRPr="002E7810" w:rsidRDefault="006230C8" w:rsidP="002C3CB4">
      <w:pPr>
        <w:rPr>
          <w:rFonts w:ascii="Arial Black" w:hAnsi="Arial Black" w:cs="PT Bold Heading"/>
          <w:sz w:val="30"/>
          <w:szCs w:val="30"/>
          <w:rtl/>
        </w:rPr>
      </w:pPr>
      <w:r>
        <w:rPr>
          <w:rFonts w:ascii="Arial Black" w:hAnsi="Arial Black" w:cs="PT Bold Heading" w:hint="eastAsia"/>
          <w:sz w:val="30"/>
          <w:szCs w:val="30"/>
          <w:rtl/>
        </w:rPr>
        <w:t>الدورة</w:t>
      </w:r>
      <w:r>
        <w:rPr>
          <w:rFonts w:ascii="Arial Black" w:hAnsi="Arial Black" w:cs="PT Bold Heading"/>
          <w:sz w:val="30"/>
          <w:szCs w:val="30"/>
          <w:rtl/>
        </w:rPr>
        <w:t xml:space="preserve"> </w:t>
      </w:r>
      <w:r w:rsidR="002C3CB4">
        <w:rPr>
          <w:rFonts w:ascii="Arial Black" w:hAnsi="Arial Black" w:cs="PT Bold Heading" w:hint="cs"/>
          <w:sz w:val="30"/>
          <w:szCs w:val="30"/>
          <w:rtl/>
        </w:rPr>
        <w:t>الثامنة</w:t>
      </w:r>
    </w:p>
    <w:p w:rsidR="002E7810" w:rsidRPr="002E7810" w:rsidRDefault="006230C8" w:rsidP="002C3CB4">
      <w:pPr>
        <w:spacing w:line="600" w:lineRule="auto"/>
        <w:rPr>
          <w:b/>
          <w:bCs/>
          <w:rtl/>
        </w:rPr>
      </w:pPr>
      <w:r>
        <w:rPr>
          <w:b/>
          <w:bCs/>
          <w:rtl/>
        </w:rPr>
        <w:t xml:space="preserve">جنيف، من </w:t>
      </w:r>
      <w:r w:rsidR="002C3CB4">
        <w:rPr>
          <w:rFonts w:hint="cs"/>
          <w:b/>
          <w:bCs/>
          <w:rtl/>
        </w:rPr>
        <w:t>30</w:t>
      </w:r>
      <w:r>
        <w:rPr>
          <w:b/>
          <w:bCs/>
          <w:rtl/>
        </w:rPr>
        <w:t xml:space="preserve"> </w:t>
      </w:r>
      <w:r w:rsidR="002C3CB4">
        <w:rPr>
          <w:rFonts w:hint="cs"/>
          <w:b/>
          <w:bCs/>
          <w:rtl/>
        </w:rPr>
        <w:t xml:space="preserve">أكتوبر </w:t>
      </w:r>
      <w:r>
        <w:rPr>
          <w:b/>
          <w:bCs/>
          <w:rtl/>
        </w:rPr>
        <w:t xml:space="preserve">إلى </w:t>
      </w:r>
      <w:r w:rsidR="002C3CB4">
        <w:rPr>
          <w:rFonts w:hint="cs"/>
          <w:b/>
          <w:bCs/>
          <w:rtl/>
        </w:rPr>
        <w:t>1 نوفمبر</w:t>
      </w:r>
      <w:r>
        <w:rPr>
          <w:b/>
          <w:bCs/>
          <w:rtl/>
        </w:rPr>
        <w:t xml:space="preserve"> 201</w:t>
      </w:r>
      <w:r w:rsidR="002C3CB4">
        <w:rPr>
          <w:rFonts w:hint="cs"/>
          <w:b/>
          <w:bCs/>
          <w:rtl/>
        </w:rPr>
        <w:t>9</w:t>
      </w:r>
    </w:p>
    <w:p w:rsidR="002E7810" w:rsidRPr="002E7810" w:rsidRDefault="0073110D" w:rsidP="006D0D04">
      <w:pPr>
        <w:rPr>
          <w:rFonts w:ascii="Arial Black" w:hAnsi="Arial Black" w:cs="PT Bold Heading"/>
          <w:sz w:val="26"/>
          <w:szCs w:val="26"/>
          <w:rtl/>
        </w:rPr>
      </w:pPr>
      <w:r>
        <w:rPr>
          <w:rFonts w:ascii="Arial Black" w:hAnsi="Arial Black" w:cs="PT Bold Heading" w:hint="cs"/>
          <w:sz w:val="26"/>
          <w:szCs w:val="26"/>
          <w:rtl/>
        </w:rPr>
        <w:t>ال</w:t>
      </w:r>
      <w:r w:rsidR="006D0D04" w:rsidRPr="006D0D04">
        <w:rPr>
          <w:rFonts w:ascii="Arial Black" w:hAnsi="Arial Black" w:cs="PT Bold Heading"/>
          <w:sz w:val="26"/>
          <w:szCs w:val="26"/>
          <w:rtl/>
        </w:rPr>
        <w:t xml:space="preserve">خيارات </w:t>
      </w:r>
      <w:r>
        <w:rPr>
          <w:rFonts w:ascii="Arial Black" w:hAnsi="Arial Black" w:cs="PT Bold Heading" w:hint="cs"/>
          <w:sz w:val="26"/>
          <w:szCs w:val="26"/>
          <w:rtl/>
        </w:rPr>
        <w:t>ال</w:t>
      </w:r>
      <w:r w:rsidR="006D0D04" w:rsidRPr="006D0D04">
        <w:rPr>
          <w:rFonts w:ascii="Arial Black" w:hAnsi="Arial Black" w:cs="PT Bold Heading"/>
          <w:sz w:val="26"/>
          <w:szCs w:val="26"/>
          <w:rtl/>
        </w:rPr>
        <w:t xml:space="preserve">ممكنة </w:t>
      </w:r>
      <w:r w:rsidR="006D0D04">
        <w:rPr>
          <w:rFonts w:ascii="Arial Black" w:hAnsi="Arial Black" w:cs="PT Bold Heading" w:hint="cs"/>
          <w:sz w:val="26"/>
          <w:szCs w:val="26"/>
          <w:rtl/>
        </w:rPr>
        <w:t>لإدخال</w:t>
      </w:r>
      <w:r w:rsidR="006D0D04" w:rsidRPr="006D0D04">
        <w:rPr>
          <w:rFonts w:ascii="Arial Black" w:hAnsi="Arial Black" w:cs="PT Bold Heading"/>
          <w:sz w:val="26"/>
          <w:szCs w:val="26"/>
          <w:rtl/>
        </w:rPr>
        <w:t xml:space="preserve"> لغات جديدة في نظام لاهاي</w:t>
      </w:r>
    </w:p>
    <w:p w:rsidR="003F7284" w:rsidRPr="00BB6440" w:rsidRDefault="006D0D04" w:rsidP="006D0D04">
      <w:pPr>
        <w:spacing w:before="200" w:after="960"/>
        <w:rPr>
          <w:i/>
          <w:iCs/>
          <w:rtl/>
        </w:rPr>
      </w:pPr>
      <w:r w:rsidRPr="006D0D04">
        <w:rPr>
          <w:i/>
          <w:iCs/>
          <w:rtl/>
        </w:rPr>
        <w:t>وثيقة من إعداد المكتب الدولي</w:t>
      </w:r>
      <w:r w:rsidR="005D79F6" w:rsidRPr="00BB6440">
        <w:rPr>
          <w:rFonts w:hint="cs"/>
          <w:i/>
          <w:iCs/>
          <w:rtl/>
        </w:rPr>
        <w:t xml:space="preserve"> </w:t>
      </w:r>
    </w:p>
    <w:p w:rsidR="00E3612C" w:rsidRDefault="006D0D04" w:rsidP="006530C6">
      <w:pPr>
        <w:pStyle w:val="Heading2"/>
        <w:rPr>
          <w:rtl/>
        </w:rPr>
      </w:pPr>
      <w:r w:rsidRPr="006D0D04">
        <w:rPr>
          <w:rtl/>
        </w:rPr>
        <w:t>أولاً.</w:t>
      </w:r>
      <w:r>
        <w:rPr>
          <w:rFonts w:hint="cs"/>
          <w:rtl/>
        </w:rPr>
        <w:t xml:space="preserve"> </w:t>
      </w:r>
      <w:r w:rsidRPr="006D0D04">
        <w:rPr>
          <w:rtl/>
        </w:rPr>
        <w:t>مقدمة</w:t>
      </w:r>
    </w:p>
    <w:p w:rsidR="00EB4111" w:rsidRPr="0046006B" w:rsidRDefault="00EB4111" w:rsidP="0073110D">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في الدورة السابعة للفريق العامل المعني بالتطوير القانوني لنظام لاهاي بشأن التسجيل الدولي للتصاميم الصناعية (المُشار إليهما فيما يلي على التوالي بعبارتي "الفريق العامل" و"نظام لاهاي") التي عُقدت في الفترة من 16 إلى 18 يوليو 2018، قدم وفد الاتحاد الروسي مقترحاً لاعتماد اللغة الروسية لغةً رسميةً في نظام لاهاي</w:t>
      </w:r>
      <w:r w:rsidRPr="0046006B">
        <w:rPr>
          <w:rFonts w:ascii="Arabic Typesetting" w:hAnsi="Arabic Typesetting" w:cs="Arabic Typesetting"/>
          <w:sz w:val="36"/>
          <w:szCs w:val="36"/>
          <w:vertAlign w:val="superscript"/>
          <w:rtl/>
          <w:lang w:eastAsia="ar"/>
        </w:rPr>
        <w:footnoteReference w:id="1"/>
      </w:r>
      <w:r w:rsidRPr="0046006B">
        <w:rPr>
          <w:rFonts w:ascii="Arabic Typesetting" w:hAnsi="Arabic Typesetting" w:cs="Arabic Typesetting"/>
          <w:sz w:val="36"/>
          <w:szCs w:val="36"/>
          <w:rtl/>
          <w:lang w:eastAsia="ar"/>
        </w:rPr>
        <w:t>.</w:t>
      </w:r>
    </w:p>
    <w:p w:rsidR="00EB4111" w:rsidRPr="0046006B" w:rsidRDefault="00EB4111" w:rsidP="008C2056">
      <w:pPr>
        <w:pStyle w:val="ONUME"/>
        <w:numPr>
          <w:ilvl w:val="0"/>
          <w:numId w:val="46"/>
        </w:numPr>
        <w:tabs>
          <w:tab w:val="clear" w:pos="2457"/>
        </w:tabs>
        <w:bidi/>
        <w:spacing w:before="200" w:after="0"/>
        <w:ind w:left="-5" w:firstLine="0"/>
        <w:rPr>
          <w:rFonts w:ascii="Arabic Typesetting" w:hAnsi="Arabic Typesetting" w:cs="Arabic Typesetting"/>
          <w:sz w:val="36"/>
          <w:szCs w:val="36"/>
          <w:lang w:eastAsia="ar"/>
        </w:rPr>
      </w:pPr>
      <w:r w:rsidRPr="0046006B">
        <w:rPr>
          <w:rFonts w:ascii="Arabic Typesetting" w:hAnsi="Arabic Typesetting" w:cs="Arabic Typesetting"/>
          <w:sz w:val="36"/>
          <w:szCs w:val="36"/>
          <w:rtl/>
          <w:lang w:eastAsia="ar"/>
        </w:rPr>
        <w:t>وفي مارس 2018، تلقى أيضاً المكتب الدولي من مفوض المكتب الحكومي للملكية الفكرية بجمهورية الصين الشعبية</w:t>
      </w:r>
      <w:r w:rsidRPr="0073110D">
        <w:rPr>
          <w:rFonts w:ascii="Arabic Typesetting" w:hAnsi="Arabic Typesetting" w:cs="Arabic Typesetting"/>
          <w:sz w:val="36"/>
          <w:szCs w:val="36"/>
          <w:vertAlign w:val="superscript"/>
          <w:rtl/>
          <w:lang w:eastAsia="ar"/>
        </w:rPr>
        <w:footnoteReference w:id="2"/>
      </w:r>
      <w:r w:rsidRPr="0046006B">
        <w:rPr>
          <w:rFonts w:ascii="Arabic Typesetting" w:hAnsi="Arabic Typesetting" w:cs="Arabic Typesetting"/>
          <w:sz w:val="36"/>
          <w:szCs w:val="36"/>
          <w:rtl/>
          <w:lang w:eastAsia="ar"/>
        </w:rPr>
        <w:t xml:space="preserve"> التماساً للنظر في إمكانية </w:t>
      </w:r>
      <w:r w:rsidR="008C2056">
        <w:rPr>
          <w:rFonts w:ascii="Arabic Typesetting" w:hAnsi="Arabic Typesetting" w:cs="Arabic Typesetting" w:hint="cs"/>
          <w:sz w:val="36"/>
          <w:szCs w:val="36"/>
          <w:rtl/>
          <w:lang w:eastAsia="ar"/>
        </w:rPr>
        <w:t>إدخال</w:t>
      </w:r>
      <w:r w:rsidRPr="0046006B">
        <w:rPr>
          <w:rFonts w:ascii="Arabic Typesetting" w:hAnsi="Arabic Typesetting" w:cs="Arabic Typesetting"/>
          <w:sz w:val="36"/>
          <w:szCs w:val="36"/>
          <w:rtl/>
          <w:lang w:eastAsia="ar"/>
        </w:rPr>
        <w:t xml:space="preserve"> اللغة الصينية كلغة عمل في نظام لاهاي</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وأشارت الصين إلى انضمامها المُرجَّح إلى وثيقة جنيف (1999) لاتفاق لاهاي في المستقبل القريب.</w:t>
      </w:r>
    </w:p>
    <w:p w:rsidR="00EB4111" w:rsidRPr="0046006B" w:rsidRDefault="00EB4111" w:rsidP="0065297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lastRenderedPageBreak/>
        <w:t xml:space="preserve">وفي الدورة السابعة للفريق العامل، قدَّم المكتب الدولي ورقة معلومات عن نظام اللغات المعمول به في نظام لاهاي (الوثيقة </w:t>
      </w:r>
      <w:r w:rsidRPr="0046006B">
        <w:rPr>
          <w:rFonts w:ascii="Arabic Typesetting" w:hAnsi="Arabic Typesetting" w:cs="Arabic Typesetting"/>
          <w:sz w:val="36"/>
          <w:szCs w:val="36"/>
          <w:lang w:eastAsia="ar" w:bidi="en-US"/>
        </w:rPr>
        <w:t>H/LD/WG/7/INF</w:t>
      </w:r>
      <w:r w:rsidR="00652978">
        <w:rPr>
          <w:rFonts w:ascii="Arabic Typesetting" w:hAnsi="Arabic Typesetting" w:cs="Arabic Typesetting"/>
          <w:sz w:val="36"/>
          <w:szCs w:val="36"/>
          <w:lang w:eastAsia="ar"/>
        </w:rPr>
        <w:t>/2</w:t>
      </w:r>
      <w:r w:rsidRPr="0046006B">
        <w:rPr>
          <w:rFonts w:ascii="Arabic Typesetting" w:hAnsi="Arabic Typesetting" w:cs="Arabic Typesetting"/>
          <w:sz w:val="36"/>
          <w:szCs w:val="36"/>
          <w:rtl/>
          <w:lang w:eastAsia="ar"/>
        </w:rPr>
        <w:t>)</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وجاء في تلك الورقة وصف للنظام الثلاثي اللغات المنصوص عليه في القاعدة 6 من اللائحة التنفيذية المشتركة لوثيقة 1999 ووثيقة 1960 لاتفاق لاهاي (المُشار إليها فيما يلي باسم "اللائحة التنفيذية المشتركة")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وأوضحت الورقة أيضاً نظام اللغات المعمول به في نظام مدريد بشأن التسجيل الدولي للعلامات ونظام اللغات المعمول به في نظام معاهدة التعاون بشأن البراءات (المُشار إليهما فيما يلي على التوالي بعبارتي "نظام مدريد" و"نظام معاهدة البراءات").</w:t>
      </w:r>
    </w:p>
    <w:p w:rsidR="00EB4111" w:rsidRPr="0046006B" w:rsidRDefault="00EB4111" w:rsidP="0065297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 xml:space="preserve">وذكرت ورقة المعلومات المذكورة آنفاً أن إجراء دراسة متعمقة سيكون ضرورياً لتحليل الآثار المترتبة على </w:t>
      </w:r>
      <w:r w:rsidR="00652978">
        <w:rPr>
          <w:rFonts w:ascii="Arabic Typesetting" w:hAnsi="Arabic Typesetting" w:cs="Arabic Typesetting" w:hint="cs"/>
          <w:sz w:val="36"/>
          <w:szCs w:val="36"/>
          <w:rtl/>
          <w:lang w:eastAsia="ar"/>
        </w:rPr>
        <w:t>إدخال</w:t>
      </w:r>
      <w:r w:rsidRPr="0046006B">
        <w:rPr>
          <w:rFonts w:ascii="Arabic Typesetting" w:hAnsi="Arabic Typesetting" w:cs="Arabic Typesetting"/>
          <w:sz w:val="36"/>
          <w:szCs w:val="36"/>
          <w:rtl/>
          <w:lang w:eastAsia="ar"/>
        </w:rPr>
        <w:t xml:space="preserve"> لغات جديدة في نظام لاهاي، واقترحت أن تحدد الدراسة مختلف النماذج الممكنة لهذا الغرض</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وطلب الفريق العامل إلى المكتب الدولي إعداد تحليل تفصيلي يصف النماذج وآثارها على التوسع المحتمل لنظام اللغات المعمول به في نظام لاهاي، لكي يُناقش ذلك التحليل في الدورة الثامنة للفريق العامل</w:t>
      </w:r>
      <w:r w:rsidRPr="0046006B">
        <w:rPr>
          <w:rFonts w:ascii="Arabic Typesetting" w:hAnsi="Arabic Typesetting" w:cs="Arabic Typesetting"/>
          <w:sz w:val="36"/>
          <w:szCs w:val="36"/>
          <w:vertAlign w:val="superscript"/>
          <w:rtl/>
          <w:lang w:eastAsia="ar"/>
        </w:rPr>
        <w:footnoteReference w:id="3"/>
      </w:r>
      <w:r w:rsidRPr="0046006B">
        <w:rPr>
          <w:rFonts w:ascii="Arabic Typesetting" w:hAnsi="Arabic Typesetting" w:cs="Arabic Typesetting"/>
          <w:sz w:val="36"/>
          <w:szCs w:val="36"/>
          <w:rtl/>
          <w:lang w:eastAsia="ar"/>
        </w:rPr>
        <w:t>.</w:t>
      </w:r>
    </w:p>
    <w:p w:rsidR="00EB4111" w:rsidRPr="0046006B" w:rsidRDefault="00EB4111" w:rsidP="0065297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 xml:space="preserve">وتتناول هذه الوثيقة باستفاضة تبعات </w:t>
      </w:r>
      <w:r w:rsidR="00652978">
        <w:rPr>
          <w:rFonts w:ascii="Arabic Typesetting" w:hAnsi="Arabic Typesetting" w:cs="Arabic Typesetting" w:hint="cs"/>
          <w:sz w:val="36"/>
          <w:szCs w:val="36"/>
          <w:rtl/>
          <w:lang w:eastAsia="ar"/>
        </w:rPr>
        <w:t>إدخال</w:t>
      </w:r>
      <w:r w:rsidRPr="0046006B">
        <w:rPr>
          <w:rFonts w:ascii="Arabic Typesetting" w:hAnsi="Arabic Typesetting" w:cs="Arabic Typesetting"/>
          <w:sz w:val="36"/>
          <w:szCs w:val="36"/>
          <w:rtl/>
          <w:lang w:eastAsia="ar"/>
        </w:rPr>
        <w:t xml:space="preserve"> لغات جديدة </w:t>
      </w:r>
      <w:r w:rsidR="00652978">
        <w:rPr>
          <w:rFonts w:ascii="Arabic Typesetting" w:hAnsi="Arabic Typesetting" w:cs="Arabic Typesetting" w:hint="cs"/>
          <w:sz w:val="36"/>
          <w:szCs w:val="36"/>
          <w:rtl/>
          <w:lang w:eastAsia="ar"/>
        </w:rPr>
        <w:t>في</w:t>
      </w:r>
      <w:r w:rsidRPr="0046006B">
        <w:rPr>
          <w:rFonts w:ascii="Arabic Typesetting" w:hAnsi="Arabic Typesetting" w:cs="Arabic Typesetting"/>
          <w:sz w:val="36"/>
          <w:szCs w:val="36"/>
          <w:rtl/>
          <w:lang w:eastAsia="ar"/>
        </w:rPr>
        <w:t xml:space="preserve"> نظام لاهاي، وتقترح معايير يمكن الاستناد إليها في إد</w:t>
      </w:r>
      <w:r w:rsidR="00652978">
        <w:rPr>
          <w:rFonts w:ascii="Arabic Typesetting" w:hAnsi="Arabic Typesetting" w:cs="Arabic Typesetting" w:hint="cs"/>
          <w:sz w:val="36"/>
          <w:szCs w:val="36"/>
          <w:rtl/>
          <w:lang w:eastAsia="ar"/>
        </w:rPr>
        <w:t>خال</w:t>
      </w:r>
      <w:r w:rsidRPr="0046006B">
        <w:rPr>
          <w:rFonts w:ascii="Arabic Typesetting" w:hAnsi="Arabic Typesetting" w:cs="Arabic Typesetting"/>
          <w:sz w:val="36"/>
          <w:szCs w:val="36"/>
          <w:rtl/>
          <w:lang w:eastAsia="ar"/>
        </w:rPr>
        <w:t xml:space="preserve"> لغات جديدة، وتقدم خيارات مختلفة ل</w:t>
      </w:r>
      <w:r w:rsidR="00652978">
        <w:rPr>
          <w:rFonts w:ascii="Arabic Typesetting" w:hAnsi="Arabic Typesetting" w:cs="Arabic Typesetting" w:hint="cs"/>
          <w:sz w:val="36"/>
          <w:szCs w:val="36"/>
          <w:rtl/>
          <w:lang w:eastAsia="ar"/>
        </w:rPr>
        <w:t>ذلك الإدخال</w:t>
      </w:r>
      <w:r w:rsidRPr="0046006B">
        <w:rPr>
          <w:rFonts w:ascii="Arabic Typesetting" w:hAnsi="Arabic Typesetting" w:cs="Arabic Typesetting"/>
          <w:sz w:val="36"/>
          <w:szCs w:val="36"/>
          <w:rtl/>
          <w:lang w:eastAsia="ar"/>
        </w:rPr>
        <w:t>، وتناقش مزاياها وعيوبها</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وترد في مرفق هذه الوثيقة تكاليف الترجمة المُقدَّرة التي يتحملها المكتب الدولي في كل خيار من خيارات التنفيذ.</w:t>
      </w:r>
    </w:p>
    <w:p w:rsidR="00EB4111" w:rsidRPr="0046006B" w:rsidRDefault="00EB4111" w:rsidP="008C2056">
      <w:pPr>
        <w:pStyle w:val="Heading2"/>
      </w:pPr>
      <w:r w:rsidRPr="0046006B">
        <w:rPr>
          <w:rtl/>
          <w:lang w:eastAsia="ar"/>
        </w:rPr>
        <w:t>ثانياً.</w:t>
      </w:r>
      <w:r w:rsidRPr="0046006B">
        <w:rPr>
          <w:rtl/>
          <w:lang w:eastAsia="ar"/>
        </w:rPr>
        <w:tab/>
        <w:t xml:space="preserve">معايير يمكن الاستناد إليها في </w:t>
      </w:r>
      <w:r w:rsidR="008C2056">
        <w:rPr>
          <w:rFonts w:hint="cs"/>
          <w:rtl/>
          <w:lang w:eastAsia="ar"/>
        </w:rPr>
        <w:t>إدخال</w:t>
      </w:r>
      <w:r w:rsidRPr="0046006B">
        <w:rPr>
          <w:rtl/>
          <w:lang w:eastAsia="ar"/>
        </w:rPr>
        <w:t xml:space="preserve"> لغات جديدة</w:t>
      </w:r>
    </w:p>
    <w:p w:rsidR="00EB4111" w:rsidRPr="008C2056" w:rsidRDefault="00EB4111" w:rsidP="00C46EDF">
      <w:pPr>
        <w:pStyle w:val="Heading3"/>
      </w:pPr>
      <w:r w:rsidRPr="008C2056">
        <w:rPr>
          <w:rtl/>
          <w:lang w:eastAsia="ar"/>
        </w:rPr>
        <w:t>اللغات الثلاث الحالية: نظرة إحصائية عامة على الإيداعات والقرارات</w:t>
      </w:r>
    </w:p>
    <w:p w:rsidR="00EB4111" w:rsidRPr="0046006B" w:rsidRDefault="00EB4111" w:rsidP="00C46EDF">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يجوز إيداع الطلبات الدولية في نظام لاهاي باللغة الإنكليزية أو الفرنسية أو الإسبانية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ومنذ عام 2016، بلغت نسبة الطلبات المودعة بالإنكليزية 86% تقريباً، وبالفرنسية 12% تقريباً، وبالإسبانية 1% تقريباً (انظر الرسم البياني الوارد أدناه</w:t>
      </w:r>
      <w:r w:rsidRPr="0046006B">
        <w:rPr>
          <w:rStyle w:val="FootnoteReference"/>
          <w:rtl/>
          <w:lang w:eastAsia="ar"/>
        </w:rPr>
        <w:footnoteReference w:id="4"/>
      </w:r>
      <w:r w:rsidRPr="0046006B">
        <w:rPr>
          <w:rFonts w:ascii="Arabic Typesetting" w:hAnsi="Arabic Typesetting" w:cs="Arabic Typesetting"/>
          <w:sz w:val="36"/>
          <w:szCs w:val="36"/>
          <w:rtl/>
          <w:lang w:eastAsia="ar"/>
        </w:rPr>
        <w:t>)</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وأما القرارات الواردة من المكاتب فقد كان أكثر من 99% منها باللغة الإنكليزية.</w:t>
      </w:r>
    </w:p>
    <w:p w:rsidR="00EB4111" w:rsidRDefault="00EB4111" w:rsidP="006530C6">
      <w:pPr>
        <w:spacing w:before="200"/>
      </w:pPr>
      <w:r w:rsidRPr="0046006B">
        <w:rPr>
          <w:noProof/>
          <w:rtl/>
        </w:rPr>
        <w:lastRenderedPageBreak/>
        <w:drawing>
          <wp:inline distT="0" distB="0" distL="0" distR="0" wp14:anchorId="071C2487" wp14:editId="5DB208E3">
            <wp:extent cx="5940425" cy="2677160"/>
            <wp:effectExtent l="0" t="0" r="3175"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0425" cy="2677160"/>
                    </a:xfrm>
                    <a:prstGeom prst="rect">
                      <a:avLst/>
                    </a:prstGeom>
                  </pic:spPr>
                </pic:pic>
              </a:graphicData>
            </a:graphic>
          </wp:inline>
        </w:drawing>
      </w:r>
    </w:p>
    <w:p w:rsidR="00AE0797" w:rsidRPr="00AE0797" w:rsidRDefault="00AE0797" w:rsidP="00AE0797">
      <w:pPr>
        <w:pBdr>
          <w:top w:val="single" w:sz="4" w:space="1" w:color="auto"/>
          <w:left w:val="single" w:sz="4" w:space="4" w:color="auto"/>
          <w:bottom w:val="single" w:sz="4" w:space="1" w:color="auto"/>
          <w:right w:val="single" w:sz="4" w:space="4" w:color="auto"/>
        </w:pBdr>
        <w:rPr>
          <w:rFonts w:hint="cs"/>
          <w:b/>
          <w:bCs/>
          <w:sz w:val="28"/>
          <w:szCs w:val="28"/>
          <w:rtl/>
        </w:rPr>
      </w:pPr>
      <w:r w:rsidRPr="00AE0797">
        <w:rPr>
          <w:rFonts w:hint="cs"/>
          <w:b/>
          <w:bCs/>
          <w:sz w:val="28"/>
          <w:szCs w:val="28"/>
          <w:rtl/>
        </w:rPr>
        <w:t>أربعة من خمسة طلبات دولية مودعة بالإنكليزية</w:t>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 xml:space="preserve">الشكل </w:t>
      </w:r>
      <w:proofErr w:type="spellStart"/>
      <w:r>
        <w:rPr>
          <w:rFonts w:hint="cs"/>
          <w:sz w:val="28"/>
          <w:szCs w:val="28"/>
          <w:rtl/>
        </w:rPr>
        <w:t>أ14</w:t>
      </w:r>
      <w:proofErr w:type="spellEnd"/>
      <w:r>
        <w:rPr>
          <w:rFonts w:hint="cs"/>
          <w:sz w:val="28"/>
          <w:szCs w:val="28"/>
          <w:rtl/>
        </w:rPr>
        <w:t>- توزيع الطلبات الدولية بحسب لغة الإيداع، 2004-2018</w:t>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حصة الإيداع بالإنكليزية (%)</w:t>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طلبات لاهاي</w:t>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سنة الطلب</w:t>
      </w:r>
    </w:p>
    <w:p w:rsidR="00AE0797" w:rsidRP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 xml:space="preserve">الإنكليزية   </w:t>
      </w:r>
      <w:proofErr w:type="gramStart"/>
      <w:r>
        <w:rPr>
          <w:rFonts w:hint="cs"/>
          <w:sz w:val="28"/>
          <w:szCs w:val="28"/>
          <w:rtl/>
        </w:rPr>
        <w:t>الفرنسية  الإسبانية</w:t>
      </w:r>
      <w:proofErr w:type="gramEnd"/>
    </w:p>
    <w:p w:rsidR="00EB4111" w:rsidRPr="0046006B" w:rsidRDefault="00EB4111" w:rsidP="00C46EDF">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ويُلاحَظ وجود اختلاف كبير في استخدامها بين اللغات الثلاث الحالية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 xml:space="preserve">وقبل عرض خيارات التنفيذ الخاصة بإدخال لغات جديدة، </w:t>
      </w:r>
      <w:bookmarkStart w:id="3" w:name="_Ref4762843"/>
      <w:bookmarkStart w:id="4" w:name="_Ref4670368"/>
      <w:r w:rsidRPr="0046006B">
        <w:rPr>
          <w:rFonts w:ascii="Arabic Typesetting" w:hAnsi="Arabic Typesetting" w:cs="Arabic Typesetting"/>
          <w:sz w:val="36"/>
          <w:szCs w:val="36"/>
          <w:rtl/>
          <w:lang w:eastAsia="ar"/>
        </w:rPr>
        <w:t>قد ينظر الفريق العامل</w:t>
      </w:r>
      <w:bookmarkStart w:id="5" w:name="_Ref4670379"/>
      <w:bookmarkEnd w:id="3"/>
      <w:bookmarkEnd w:id="4"/>
      <w:r w:rsidRPr="0046006B">
        <w:rPr>
          <w:rFonts w:ascii="Arabic Typesetting" w:hAnsi="Arabic Typesetting" w:cs="Arabic Typesetting"/>
          <w:sz w:val="36"/>
          <w:szCs w:val="36"/>
          <w:rtl/>
          <w:lang w:eastAsia="ar"/>
        </w:rPr>
        <w:t xml:space="preserve"> في معايير محددة ينبغي أن تستوفيها عمليات الإدخال المحتملة</w:t>
      </w:r>
      <w:r w:rsidR="003B13DF">
        <w:rPr>
          <w:rFonts w:ascii="Arabic Typesetting" w:hAnsi="Arabic Typesetting" w:cs="Arabic Typesetting"/>
          <w:sz w:val="36"/>
          <w:szCs w:val="36"/>
          <w:rtl/>
          <w:lang w:eastAsia="ar"/>
        </w:rPr>
        <w:t xml:space="preserve">. </w:t>
      </w:r>
      <w:bookmarkEnd w:id="5"/>
      <w:r w:rsidRPr="0046006B">
        <w:rPr>
          <w:rFonts w:ascii="Arabic Typesetting" w:hAnsi="Arabic Typesetting" w:cs="Arabic Typesetting"/>
          <w:sz w:val="36"/>
          <w:szCs w:val="36"/>
          <w:rtl/>
          <w:lang w:eastAsia="ar"/>
        </w:rPr>
        <w:t>فعلى سبيل المثال، ناقشت جمعية اتحاد معاهدة التعاون بشأن البراءات</w:t>
      </w:r>
      <w:r w:rsidRPr="0046006B">
        <w:rPr>
          <w:rFonts w:ascii="Arabic Typesetting" w:hAnsi="Arabic Typesetting" w:cs="Arabic Typesetting"/>
          <w:sz w:val="36"/>
          <w:szCs w:val="36"/>
          <w:vertAlign w:val="superscript"/>
          <w:rtl/>
          <w:lang w:eastAsia="ar"/>
        </w:rPr>
        <w:footnoteReference w:id="5"/>
      </w:r>
      <w:r w:rsidRPr="0046006B">
        <w:rPr>
          <w:rFonts w:ascii="Arabic Typesetting" w:hAnsi="Arabic Typesetting" w:cs="Arabic Typesetting"/>
          <w:sz w:val="36"/>
          <w:szCs w:val="36"/>
          <w:rtl/>
          <w:lang w:eastAsia="ar"/>
        </w:rPr>
        <w:t xml:space="preserve"> وجمعية اتحاد مدريد</w:t>
      </w:r>
      <w:r w:rsidRPr="0046006B">
        <w:rPr>
          <w:rFonts w:ascii="Arabic Typesetting" w:hAnsi="Arabic Typesetting" w:cs="Arabic Typesetting"/>
          <w:sz w:val="36"/>
          <w:szCs w:val="36"/>
          <w:vertAlign w:val="superscript"/>
          <w:rtl/>
          <w:lang w:eastAsia="ar"/>
        </w:rPr>
        <w:footnoteReference w:id="6"/>
      </w:r>
      <w:r w:rsidRPr="0046006B">
        <w:rPr>
          <w:rFonts w:ascii="Arabic Typesetting" w:hAnsi="Arabic Typesetting" w:cs="Arabic Typesetting"/>
          <w:sz w:val="36"/>
          <w:szCs w:val="36"/>
          <w:rtl/>
          <w:lang w:eastAsia="ar"/>
        </w:rPr>
        <w:t xml:space="preserve"> المعايير الممكنة لإدخال لغات جديدة في النظام الخاص بكل منها.</w:t>
      </w:r>
    </w:p>
    <w:p w:rsidR="00EB4111" w:rsidRPr="00ED7486" w:rsidRDefault="00EB4111" w:rsidP="00C46EDF">
      <w:pPr>
        <w:pStyle w:val="Heading3"/>
      </w:pPr>
      <w:r w:rsidRPr="00ED7486">
        <w:rPr>
          <w:rtl/>
          <w:lang w:eastAsia="ar"/>
        </w:rPr>
        <w:t>أنشطة الإيداع الحالية</w:t>
      </w:r>
    </w:p>
    <w:p w:rsidR="00EB4111" w:rsidRPr="0046006B" w:rsidRDefault="00EB4111" w:rsidP="00C46EDF">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من أول هذه المعايير هو أنه قد يُوضَع في الاعتبار نشاط الإيداع، أيْ عدد الطلبات الدولية المُودعة بموجب نظام لاهاي والطلبات المباشرة المُودعة في الخارج.</w:t>
      </w:r>
    </w:p>
    <w:p w:rsidR="00EB4111" w:rsidRPr="0046006B" w:rsidRDefault="00EB4111" w:rsidP="00946BB4">
      <w:pPr>
        <w:pStyle w:val="Heading4"/>
      </w:pPr>
      <w:r w:rsidRPr="0046006B">
        <w:rPr>
          <w:rtl/>
          <w:lang w:eastAsia="ar"/>
        </w:rPr>
        <w:t>عدد الطلبات الدولية وما بها من تصاميم المُودعة في نظام لاهاي</w:t>
      </w:r>
    </w:p>
    <w:p w:rsidR="00EB4111" w:rsidRPr="0046006B" w:rsidRDefault="00EB4111" w:rsidP="00ED748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يمكن</w:t>
      </w:r>
      <w:bookmarkStart w:id="6" w:name="_Ref5019774"/>
      <w:r w:rsidRPr="0046006B">
        <w:rPr>
          <w:rFonts w:ascii="Arabic Typesetting" w:hAnsi="Arabic Typesetting" w:cs="Arabic Typesetting"/>
          <w:sz w:val="36"/>
          <w:szCs w:val="36"/>
          <w:rtl/>
          <w:lang w:eastAsia="ar"/>
        </w:rPr>
        <w:t xml:space="preserve"> للفريق العامل أن ي</w:t>
      </w:r>
      <w:r w:rsidR="00ED7486">
        <w:rPr>
          <w:rFonts w:ascii="Arabic Typesetting" w:hAnsi="Arabic Typesetting" w:cs="Arabic Typesetting" w:hint="cs"/>
          <w:sz w:val="36"/>
          <w:szCs w:val="36"/>
          <w:rtl/>
          <w:lang w:eastAsia="ar"/>
        </w:rPr>
        <w:t>ضع في الاعتبار</w:t>
      </w:r>
      <w:r w:rsidRPr="0046006B">
        <w:rPr>
          <w:rFonts w:ascii="Arabic Typesetting" w:hAnsi="Arabic Typesetting" w:cs="Arabic Typesetting"/>
          <w:sz w:val="36"/>
          <w:szCs w:val="36"/>
          <w:rtl/>
          <w:lang w:eastAsia="ar"/>
        </w:rPr>
        <w:t xml:space="preserve"> عدد الطلبات الدولية التي قدمها مودعون من طرف متعاقد واحد أو أكثر، وكذلك عدد التصاميم الواردة في هذه الطلبات الدولية، </w:t>
      </w:r>
      <w:r w:rsidR="00ED7486">
        <w:rPr>
          <w:rFonts w:ascii="Arabic Typesetting" w:hAnsi="Arabic Typesetting" w:cs="Arabic Typesetting" w:hint="cs"/>
          <w:sz w:val="36"/>
          <w:szCs w:val="36"/>
          <w:rtl/>
          <w:lang w:eastAsia="ar"/>
        </w:rPr>
        <w:t>في البلدان التي ي</w:t>
      </w:r>
      <w:r w:rsidRPr="0046006B">
        <w:rPr>
          <w:rFonts w:ascii="Arabic Typesetting" w:hAnsi="Arabic Typesetting" w:cs="Arabic Typesetting"/>
          <w:sz w:val="36"/>
          <w:szCs w:val="36"/>
          <w:rtl/>
          <w:lang w:eastAsia="ar"/>
        </w:rPr>
        <w:t xml:space="preserve">جوز </w:t>
      </w:r>
      <w:r w:rsidR="00ED7486">
        <w:rPr>
          <w:rFonts w:ascii="Arabic Typesetting" w:hAnsi="Arabic Typesetting" w:cs="Arabic Typesetting" w:hint="cs"/>
          <w:sz w:val="36"/>
          <w:szCs w:val="36"/>
          <w:rtl/>
          <w:lang w:eastAsia="ar"/>
        </w:rPr>
        <w:t xml:space="preserve">فيها </w:t>
      </w:r>
      <w:r w:rsidRPr="0046006B">
        <w:rPr>
          <w:rFonts w:ascii="Arabic Typesetting" w:hAnsi="Arabic Typesetting" w:cs="Arabic Typesetting"/>
          <w:sz w:val="36"/>
          <w:szCs w:val="36"/>
          <w:rtl/>
          <w:lang w:eastAsia="ar"/>
        </w:rPr>
        <w:t>استخدام لغة معينة غير الإنكليزية أو الفرنسية أو الإسبانية لإيداع الطلبات المحلية</w:t>
      </w:r>
      <w:r w:rsidR="003B13DF">
        <w:rPr>
          <w:rFonts w:ascii="Arabic Typesetting" w:hAnsi="Arabic Typesetting" w:cs="Arabic Typesetting"/>
          <w:sz w:val="36"/>
          <w:szCs w:val="36"/>
          <w:rtl/>
          <w:lang w:eastAsia="ar"/>
        </w:rPr>
        <w:t xml:space="preserve">. </w:t>
      </w:r>
      <w:bookmarkEnd w:id="6"/>
      <w:r w:rsidRPr="0046006B">
        <w:rPr>
          <w:rFonts w:ascii="Arabic Typesetting" w:hAnsi="Arabic Typesetting" w:cs="Arabic Typesetting"/>
          <w:sz w:val="36"/>
          <w:szCs w:val="36"/>
          <w:rtl/>
          <w:lang w:eastAsia="ar"/>
        </w:rPr>
        <w:t>إذ يمكن أن تشير هذه الأعداد إلى الإيداعات المحتملة للطلبات الدولية بتلك اللغة بموجب نظام لاهاي.</w:t>
      </w:r>
    </w:p>
    <w:p w:rsidR="00EB4111" w:rsidRPr="0046006B" w:rsidRDefault="00EB4111" w:rsidP="00481571">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lastRenderedPageBreak/>
        <w:t>وفي عام 2018، أُودِع</w:t>
      </w:r>
      <w:r w:rsidR="00481571">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429</w:t>
      </w:r>
      <w:r w:rsidR="00481571">
        <w:rPr>
          <w:rFonts w:ascii="Arabic Typesetting" w:hAnsi="Arabic Typesetting" w:cs="Arabic Typesetting" w:hint="cs"/>
          <w:sz w:val="36"/>
          <w:szCs w:val="36"/>
          <w:rtl/>
          <w:lang w:eastAsia="ar"/>
        </w:rPr>
        <w:t> </w:t>
      </w:r>
      <w:r w:rsidR="00481571" w:rsidRPr="0046006B">
        <w:rPr>
          <w:rFonts w:ascii="Arabic Typesetting" w:hAnsi="Arabic Typesetting" w:cs="Arabic Typesetting"/>
          <w:sz w:val="36"/>
          <w:szCs w:val="36"/>
          <w:rtl/>
          <w:lang w:eastAsia="ar"/>
        </w:rPr>
        <w:t>5</w:t>
      </w:r>
      <w:r w:rsidRPr="0046006B">
        <w:rPr>
          <w:rFonts w:ascii="Arabic Typesetting" w:hAnsi="Arabic Typesetting" w:cs="Arabic Typesetting"/>
          <w:sz w:val="36"/>
          <w:szCs w:val="36"/>
          <w:rtl/>
          <w:lang w:eastAsia="ar"/>
        </w:rPr>
        <w:t xml:space="preserve"> طلباً دولياً بموجب نظام لاهاي، وتضمنت هذه الطلبات</w:t>
      </w:r>
      <w:r w:rsidR="00481571">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344</w:t>
      </w:r>
      <w:r w:rsidR="00481571">
        <w:rPr>
          <w:rFonts w:ascii="Arabic Typesetting" w:hAnsi="Arabic Typesetting" w:cs="Arabic Typesetting" w:hint="cs"/>
          <w:sz w:val="36"/>
          <w:szCs w:val="36"/>
          <w:rtl/>
          <w:lang w:eastAsia="ar"/>
        </w:rPr>
        <w:t> </w:t>
      </w:r>
      <w:r w:rsidR="00481571" w:rsidRPr="0046006B">
        <w:rPr>
          <w:rFonts w:ascii="Arabic Typesetting" w:hAnsi="Arabic Typesetting" w:cs="Arabic Typesetting"/>
          <w:sz w:val="36"/>
          <w:szCs w:val="36"/>
          <w:rtl/>
          <w:lang w:eastAsia="ar"/>
        </w:rPr>
        <w:t>19</w:t>
      </w:r>
      <w:r w:rsidRPr="0046006B">
        <w:rPr>
          <w:rFonts w:ascii="Arabic Typesetting" w:hAnsi="Arabic Typesetting" w:cs="Arabic Typesetting"/>
          <w:sz w:val="36"/>
          <w:szCs w:val="36"/>
          <w:rtl/>
          <w:lang w:eastAsia="ar"/>
        </w:rPr>
        <w:t xml:space="preserve"> تصميماً</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وبإمعان النظر في بلدان المنشأ العشرة الأولى للطلبات الدولية</w:t>
      </w:r>
      <w:r w:rsidRPr="0046006B">
        <w:rPr>
          <w:rFonts w:ascii="Arabic Typesetting" w:hAnsi="Arabic Typesetting" w:cs="Arabic Typesetting"/>
          <w:sz w:val="36"/>
          <w:szCs w:val="36"/>
          <w:vertAlign w:val="superscript"/>
          <w:rtl/>
          <w:lang w:eastAsia="ar"/>
        </w:rPr>
        <w:footnoteReference w:id="7"/>
      </w:r>
      <w:r w:rsidRPr="0046006B">
        <w:rPr>
          <w:rFonts w:ascii="Arabic Typesetting" w:hAnsi="Arabic Typesetting" w:cs="Arabic Typesetting"/>
          <w:sz w:val="36"/>
          <w:szCs w:val="36"/>
          <w:rtl/>
          <w:lang w:eastAsia="ar"/>
        </w:rPr>
        <w:t xml:space="preserve">، </w:t>
      </w:r>
      <w:r w:rsidR="00481571">
        <w:rPr>
          <w:rFonts w:ascii="Arabic Typesetting" w:hAnsi="Arabic Typesetting" w:cs="Arabic Typesetting" w:hint="cs"/>
          <w:sz w:val="36"/>
          <w:szCs w:val="36"/>
          <w:rtl/>
          <w:lang w:eastAsia="ar"/>
        </w:rPr>
        <w:t xml:space="preserve">مرتبةً حسب </w:t>
      </w:r>
      <w:r w:rsidRPr="0046006B">
        <w:rPr>
          <w:rFonts w:ascii="Arabic Typesetting" w:hAnsi="Arabic Typesetting" w:cs="Arabic Typesetting"/>
          <w:sz w:val="36"/>
          <w:szCs w:val="36"/>
          <w:rtl/>
          <w:lang w:eastAsia="ar"/>
        </w:rPr>
        <w:t>عدد الطلبات الدولية، يتضح أن مودعين من جمهورية كوريا حيث اللغة الكورية هي اللغة الرسمية قد أودعوا 917 طلباً (تتضمن</w:t>
      </w:r>
      <w:r w:rsidR="00481571">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531</w:t>
      </w:r>
      <w:r w:rsidR="00481571">
        <w:rPr>
          <w:rFonts w:ascii="Arabic Typesetting" w:hAnsi="Arabic Typesetting" w:cs="Arabic Typesetting" w:hint="cs"/>
          <w:sz w:val="36"/>
          <w:szCs w:val="36"/>
          <w:rtl/>
          <w:lang w:eastAsia="ar"/>
        </w:rPr>
        <w:t> </w:t>
      </w:r>
      <w:r w:rsidR="00481571" w:rsidRPr="0046006B">
        <w:rPr>
          <w:rFonts w:ascii="Arabic Typesetting" w:hAnsi="Arabic Typesetting" w:cs="Arabic Typesetting"/>
          <w:sz w:val="36"/>
          <w:szCs w:val="36"/>
          <w:rtl/>
          <w:lang w:eastAsia="ar"/>
        </w:rPr>
        <w:t>1</w:t>
      </w:r>
      <w:r w:rsidRPr="0046006B">
        <w:rPr>
          <w:rFonts w:ascii="Arabic Typesetting" w:hAnsi="Arabic Typesetting" w:cs="Arabic Typesetting"/>
          <w:sz w:val="36"/>
          <w:szCs w:val="36"/>
          <w:rtl/>
          <w:lang w:eastAsia="ar"/>
        </w:rPr>
        <w:t xml:space="preserve"> تصميماً)، وأن مودعين من ألمانيا حيث اللغة الألمانية هي اللغة الرسمية قد أودعوا 710 طلبات (تتضمن</w:t>
      </w:r>
      <w:r w:rsidR="00481571">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948</w:t>
      </w:r>
      <w:r w:rsidR="00481571">
        <w:rPr>
          <w:rFonts w:ascii="Arabic Typesetting" w:hAnsi="Arabic Typesetting" w:cs="Arabic Typesetting" w:hint="cs"/>
          <w:sz w:val="36"/>
          <w:szCs w:val="36"/>
          <w:rtl/>
          <w:lang w:eastAsia="ar"/>
        </w:rPr>
        <w:t> </w:t>
      </w:r>
      <w:r w:rsidR="00481571" w:rsidRPr="0046006B">
        <w:rPr>
          <w:rFonts w:ascii="Arabic Typesetting" w:hAnsi="Arabic Typesetting" w:cs="Arabic Typesetting"/>
          <w:sz w:val="36"/>
          <w:szCs w:val="36"/>
          <w:rtl/>
          <w:lang w:eastAsia="ar"/>
        </w:rPr>
        <w:t>3</w:t>
      </w:r>
      <w:r w:rsidRPr="0046006B">
        <w:rPr>
          <w:rFonts w:ascii="Arabic Typesetting" w:hAnsi="Arabic Typesetting" w:cs="Arabic Typesetting"/>
          <w:sz w:val="36"/>
          <w:szCs w:val="36"/>
          <w:rtl/>
          <w:lang w:eastAsia="ar"/>
        </w:rPr>
        <w:t xml:space="preserve"> تصميماً)، وأن مودعين من سويسرا حيث الألمانية والفرنسية والإيطالية </w:t>
      </w:r>
      <w:proofErr w:type="spellStart"/>
      <w:r w:rsidRPr="0046006B">
        <w:rPr>
          <w:rFonts w:ascii="Arabic Typesetting" w:hAnsi="Arabic Typesetting" w:cs="Arabic Typesetting"/>
          <w:sz w:val="36"/>
          <w:szCs w:val="36"/>
          <w:rtl/>
          <w:lang w:eastAsia="ar"/>
        </w:rPr>
        <w:t>والرايتورومانية</w:t>
      </w:r>
      <w:proofErr w:type="spellEnd"/>
      <w:r w:rsidRPr="0046006B">
        <w:rPr>
          <w:rFonts w:ascii="Arabic Typesetting" w:hAnsi="Arabic Typesetting" w:cs="Arabic Typesetting"/>
          <w:sz w:val="36"/>
          <w:szCs w:val="36"/>
          <w:rtl/>
          <w:lang w:eastAsia="ar"/>
        </w:rPr>
        <w:t xml:space="preserve"> هي اللغات الرسمية قد أودعوا 630 طلباً (تتضمن</w:t>
      </w:r>
      <w:r w:rsidR="00481571">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374</w:t>
      </w:r>
      <w:r w:rsidR="00481571">
        <w:rPr>
          <w:rFonts w:ascii="Arabic Typesetting" w:hAnsi="Arabic Typesetting" w:cs="Arabic Typesetting" w:hint="cs"/>
          <w:sz w:val="36"/>
          <w:szCs w:val="36"/>
          <w:rtl/>
          <w:lang w:eastAsia="ar"/>
        </w:rPr>
        <w:t> </w:t>
      </w:r>
      <w:r w:rsidR="00481571" w:rsidRPr="0046006B">
        <w:rPr>
          <w:rFonts w:ascii="Arabic Typesetting" w:hAnsi="Arabic Typesetting" w:cs="Arabic Typesetting"/>
          <w:sz w:val="36"/>
          <w:szCs w:val="36"/>
          <w:rtl/>
          <w:lang w:eastAsia="ar"/>
        </w:rPr>
        <w:t>2</w:t>
      </w:r>
      <w:r w:rsidRPr="0046006B">
        <w:rPr>
          <w:rFonts w:ascii="Arabic Typesetting" w:hAnsi="Arabic Typesetting" w:cs="Arabic Typesetting"/>
          <w:sz w:val="36"/>
          <w:szCs w:val="36"/>
          <w:rtl/>
          <w:lang w:eastAsia="ar"/>
        </w:rPr>
        <w:t xml:space="preserve"> تصميماً)</w:t>
      </w:r>
      <w:r w:rsidRPr="0046006B">
        <w:rPr>
          <w:rFonts w:ascii="Arabic Typesetting" w:hAnsi="Arabic Typesetting" w:cs="Arabic Typesetting"/>
          <w:sz w:val="36"/>
          <w:szCs w:val="36"/>
          <w:vertAlign w:val="superscript"/>
          <w:rtl/>
          <w:lang w:eastAsia="ar"/>
        </w:rPr>
        <w:footnoteReference w:id="8"/>
      </w:r>
      <w:r w:rsidRPr="0046006B">
        <w:rPr>
          <w:rFonts w:ascii="Arabic Typesetting" w:hAnsi="Arabic Typesetting" w:cs="Arabic Typesetting"/>
          <w:sz w:val="36"/>
          <w:szCs w:val="36"/>
          <w:rtl/>
          <w:lang w:eastAsia="ar"/>
        </w:rPr>
        <w:t>؛ وأن مودعين من اليابان حيث اليابانية هي اللغة الرسمية قد أودعوا 396 طلباً (تتضمن</w:t>
      </w:r>
      <w:r w:rsidR="00481571">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251</w:t>
      </w:r>
      <w:r w:rsidR="00481571">
        <w:rPr>
          <w:rFonts w:ascii="Arabic Typesetting" w:hAnsi="Arabic Typesetting" w:cs="Arabic Typesetting" w:hint="cs"/>
          <w:sz w:val="36"/>
          <w:szCs w:val="36"/>
          <w:rtl/>
          <w:lang w:eastAsia="ar"/>
        </w:rPr>
        <w:t> </w:t>
      </w:r>
      <w:r w:rsidR="00481571" w:rsidRPr="0046006B">
        <w:rPr>
          <w:rFonts w:ascii="Arabic Typesetting" w:hAnsi="Arabic Typesetting" w:cs="Arabic Typesetting"/>
          <w:sz w:val="36"/>
          <w:szCs w:val="36"/>
          <w:rtl/>
          <w:lang w:eastAsia="ar"/>
        </w:rPr>
        <w:t>1</w:t>
      </w:r>
      <w:r w:rsidRPr="0046006B">
        <w:rPr>
          <w:rFonts w:ascii="Arabic Typesetting" w:hAnsi="Arabic Typesetting" w:cs="Arabic Typesetting"/>
          <w:sz w:val="36"/>
          <w:szCs w:val="36"/>
          <w:rtl/>
          <w:lang w:eastAsia="ar"/>
        </w:rPr>
        <w:t xml:space="preserve"> تصميماً)، وأن مودعين من إيطاليا حيث الإيطالية هي اللغة الرسمية قد أودعوا 323 طلباً (تتضمن</w:t>
      </w:r>
      <w:r w:rsidR="00481571">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258</w:t>
      </w:r>
      <w:r w:rsidR="00481571">
        <w:rPr>
          <w:rFonts w:ascii="Arabic Typesetting" w:hAnsi="Arabic Typesetting" w:cs="Arabic Typesetting" w:hint="cs"/>
          <w:sz w:val="36"/>
          <w:szCs w:val="36"/>
          <w:rtl/>
          <w:lang w:eastAsia="ar"/>
        </w:rPr>
        <w:t> </w:t>
      </w:r>
      <w:r w:rsidR="00481571" w:rsidRPr="0046006B">
        <w:rPr>
          <w:rFonts w:ascii="Arabic Typesetting" w:hAnsi="Arabic Typesetting" w:cs="Arabic Typesetting"/>
          <w:sz w:val="36"/>
          <w:szCs w:val="36"/>
          <w:rtl/>
          <w:lang w:eastAsia="ar"/>
        </w:rPr>
        <w:t>1</w:t>
      </w:r>
      <w:r w:rsidRPr="0046006B">
        <w:rPr>
          <w:rFonts w:ascii="Arabic Typesetting" w:hAnsi="Arabic Typesetting" w:cs="Arabic Typesetting"/>
          <w:sz w:val="36"/>
          <w:szCs w:val="36"/>
          <w:rtl/>
          <w:lang w:eastAsia="ar"/>
        </w:rPr>
        <w:t xml:space="preserve"> تصميماً)، وأن مودعين من هولندا حيث الهولندية هي اللغة الرسمية قد أودعوا 179 طلباً (تتضمن</w:t>
      </w:r>
      <w:r w:rsidR="00481571">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353</w:t>
      </w:r>
      <w:r w:rsidR="00481571">
        <w:rPr>
          <w:rFonts w:ascii="Arabic Typesetting" w:hAnsi="Arabic Typesetting" w:cs="Arabic Typesetting" w:hint="cs"/>
          <w:sz w:val="36"/>
          <w:szCs w:val="36"/>
          <w:rtl/>
          <w:lang w:eastAsia="ar"/>
        </w:rPr>
        <w:t> </w:t>
      </w:r>
      <w:r w:rsidR="00481571" w:rsidRPr="0046006B">
        <w:rPr>
          <w:rFonts w:ascii="Arabic Typesetting" w:hAnsi="Arabic Typesetting" w:cs="Arabic Typesetting"/>
          <w:sz w:val="36"/>
          <w:szCs w:val="36"/>
          <w:rtl/>
          <w:lang w:eastAsia="ar"/>
        </w:rPr>
        <w:t>1</w:t>
      </w:r>
      <w:r w:rsidRPr="0046006B">
        <w:rPr>
          <w:rFonts w:ascii="Arabic Typesetting" w:hAnsi="Arabic Typesetting" w:cs="Arabic Typesetting"/>
          <w:sz w:val="36"/>
          <w:szCs w:val="36"/>
          <w:rtl/>
          <w:lang w:eastAsia="ar"/>
        </w:rPr>
        <w:t xml:space="preserve"> تصميماً)</w:t>
      </w:r>
      <w:r w:rsidRPr="0046006B">
        <w:rPr>
          <w:rStyle w:val="FootnoteReference"/>
          <w:rtl/>
          <w:lang w:eastAsia="ar"/>
        </w:rPr>
        <w:footnoteReference w:id="9"/>
      </w:r>
      <w:r w:rsidRPr="0046006B">
        <w:rPr>
          <w:rFonts w:ascii="Arabic Typesetting" w:hAnsi="Arabic Typesetting" w:cs="Arabic Typesetting"/>
          <w:sz w:val="36"/>
          <w:szCs w:val="36"/>
          <w:rtl/>
          <w:lang w:eastAsia="ar"/>
        </w:rPr>
        <w:t>، وأن مودعين من الصين حيث الصينية هي اللغة الرسمية قد أودعوا 139 طلباً (تتضمن 315 تصميماً).</w:t>
      </w:r>
    </w:p>
    <w:p w:rsidR="00EB4111" w:rsidRPr="0046006B" w:rsidRDefault="00EB4111" w:rsidP="0061660A">
      <w:pPr>
        <w:pStyle w:val="Heading5"/>
      </w:pPr>
      <w:r w:rsidRPr="0046006B">
        <w:rPr>
          <w:rtl/>
          <w:lang w:eastAsia="ar"/>
        </w:rPr>
        <w:t>الطلبات الدولية المُقدَّمة من بلدان المنشأ العشرين الأولى في عام 2018</w:t>
      </w:r>
      <w:r w:rsidRPr="0046006B">
        <w:rPr>
          <w:rStyle w:val="FootnoteReference"/>
          <w:rtl/>
          <w:lang w:eastAsia="ar"/>
        </w:rPr>
        <w:footnoteReference w:id="10"/>
      </w:r>
    </w:p>
    <w:p w:rsidR="00EB4111" w:rsidRDefault="00EB4111" w:rsidP="006530C6">
      <w:pPr>
        <w:tabs>
          <w:tab w:val="num" w:pos="567"/>
          <w:tab w:val="num" w:pos="2637"/>
        </w:tabs>
        <w:spacing w:before="200"/>
        <w:rPr>
          <w:i/>
          <w:rtl/>
        </w:rPr>
      </w:pPr>
      <w:r w:rsidRPr="0046006B">
        <w:rPr>
          <w:noProof/>
          <w:rtl/>
        </w:rPr>
        <w:drawing>
          <wp:inline distT="0" distB="0" distL="0" distR="0" wp14:anchorId="120BCF00" wp14:editId="6A10E101">
            <wp:extent cx="5940425" cy="2144395"/>
            <wp:effectExtent l="0" t="0" r="3175"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0425" cy="2144395"/>
                    </a:xfrm>
                    <a:prstGeom prst="rect">
                      <a:avLst/>
                    </a:prstGeom>
                  </pic:spPr>
                </pic:pic>
              </a:graphicData>
            </a:graphic>
          </wp:inline>
        </w:drawing>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معدل النمو السنوي (%)</w:t>
      </w:r>
    </w:p>
    <w:p w:rsidR="00AE0797" w:rsidRDefault="00AE0797" w:rsidP="00AE0797">
      <w:pPr>
        <w:pBdr>
          <w:top w:val="single" w:sz="4" w:space="1" w:color="auto"/>
          <w:left w:val="single" w:sz="4" w:space="4" w:color="auto"/>
          <w:bottom w:val="single" w:sz="4" w:space="1" w:color="auto"/>
          <w:right w:val="single" w:sz="4" w:space="4" w:color="auto"/>
        </w:pBdr>
        <w:rPr>
          <w:sz w:val="28"/>
          <w:szCs w:val="28"/>
          <w:rtl/>
        </w:rPr>
      </w:pPr>
      <w:r>
        <w:rPr>
          <w:rFonts w:hint="cs"/>
          <w:sz w:val="28"/>
          <w:szCs w:val="28"/>
          <w:rtl/>
        </w:rPr>
        <w:t>طلبات لاهاي</w:t>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من اليسار إلى اليمين: جمهورية كوريا، ألمانيا</w:t>
      </w:r>
      <w:r w:rsidR="000602AA">
        <w:rPr>
          <w:rFonts w:hint="cs"/>
          <w:sz w:val="28"/>
          <w:szCs w:val="28"/>
          <w:rtl/>
        </w:rPr>
        <w:t>، سويسرا، فرنسا، اليابان، الولايات المتحدة، إيطاليا، هولندا، الصين، المملكة المتحدة، السويد، تركيا، بولندا، إسبانيا، الدانمرك، بلغاريا، النرويج، النمسا، أوكرانيا، لكسمبرغ</w:t>
      </w:r>
      <w:bookmarkStart w:id="7" w:name="_GoBack"/>
      <w:bookmarkEnd w:id="7"/>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المنشأ</w:t>
      </w:r>
    </w:p>
    <w:p w:rsidR="00AE0797" w:rsidRPr="0046006B" w:rsidRDefault="00AE0797" w:rsidP="006530C6">
      <w:pPr>
        <w:tabs>
          <w:tab w:val="num" w:pos="567"/>
          <w:tab w:val="num" w:pos="2637"/>
        </w:tabs>
        <w:spacing w:before="200"/>
        <w:rPr>
          <w:i/>
        </w:rPr>
      </w:pPr>
    </w:p>
    <w:p w:rsidR="00EB4111" w:rsidRPr="0046006B" w:rsidRDefault="00EB4111" w:rsidP="0061660A">
      <w:pPr>
        <w:pStyle w:val="Heading5"/>
      </w:pPr>
      <w:r w:rsidRPr="0046006B">
        <w:rPr>
          <w:rtl/>
          <w:lang w:eastAsia="ar"/>
        </w:rPr>
        <w:lastRenderedPageBreak/>
        <w:t>التصاميم الواردة في الطلبات الدولية المُقدَّمة من بلدان المنشأ العشرين الأولى في عام 2018</w:t>
      </w:r>
      <w:r w:rsidRPr="0046006B">
        <w:rPr>
          <w:rStyle w:val="FootnoteReference"/>
          <w:rtl/>
          <w:lang w:eastAsia="ar"/>
        </w:rPr>
        <w:footnoteReference w:id="11"/>
      </w:r>
    </w:p>
    <w:p w:rsidR="00EB4111" w:rsidRDefault="00EB4111" w:rsidP="006530C6">
      <w:pPr>
        <w:tabs>
          <w:tab w:val="num" w:pos="567"/>
          <w:tab w:val="num" w:pos="2637"/>
        </w:tabs>
        <w:spacing w:before="200"/>
        <w:rPr>
          <w:rtl/>
        </w:rPr>
      </w:pPr>
      <w:r w:rsidRPr="0046006B">
        <w:rPr>
          <w:noProof/>
          <w:rtl/>
        </w:rPr>
        <w:drawing>
          <wp:inline distT="0" distB="0" distL="0" distR="0" wp14:anchorId="2494D16F" wp14:editId="7C3362A4">
            <wp:extent cx="5940425" cy="2221230"/>
            <wp:effectExtent l="0" t="0" r="317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2221230"/>
                    </a:xfrm>
                    <a:prstGeom prst="rect">
                      <a:avLst/>
                    </a:prstGeom>
                  </pic:spPr>
                </pic:pic>
              </a:graphicData>
            </a:graphic>
          </wp:inline>
        </w:drawing>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معدل النمو السنوي (%)</w:t>
      </w:r>
    </w:p>
    <w:p w:rsidR="00AE0797" w:rsidRDefault="00AE0797" w:rsidP="00AE0797">
      <w:pPr>
        <w:pBdr>
          <w:top w:val="single" w:sz="4" w:space="1" w:color="auto"/>
          <w:left w:val="single" w:sz="4" w:space="4" w:color="auto"/>
          <w:bottom w:val="single" w:sz="4" w:space="1" w:color="auto"/>
          <w:right w:val="single" w:sz="4" w:space="4" w:color="auto"/>
        </w:pBdr>
        <w:rPr>
          <w:sz w:val="28"/>
          <w:szCs w:val="28"/>
          <w:rtl/>
        </w:rPr>
      </w:pPr>
      <w:r>
        <w:rPr>
          <w:rFonts w:hint="cs"/>
          <w:sz w:val="28"/>
          <w:szCs w:val="28"/>
          <w:rtl/>
        </w:rPr>
        <w:t>التصاميم في طلبات لاهاي</w:t>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 xml:space="preserve">من اليسار إلى اليمين: ألمانيا، </w:t>
      </w:r>
      <w:r w:rsidR="000602AA">
        <w:rPr>
          <w:rFonts w:hint="cs"/>
          <w:sz w:val="28"/>
          <w:szCs w:val="28"/>
          <w:rtl/>
        </w:rPr>
        <w:t>سويسرا، جمهورية كوريا</w:t>
      </w:r>
      <w:r w:rsidR="000821B6">
        <w:rPr>
          <w:rFonts w:hint="cs"/>
          <w:sz w:val="28"/>
          <w:szCs w:val="28"/>
          <w:rtl/>
        </w:rPr>
        <w:t xml:space="preserve">، فرنسا، هولندا، الولايات المتحدة، إيطاليا، اليابان، تركيا، اليونان، المملكة المتحدة، السويد، الصين، قبرص، الدانمرك، بولندا، النمسا، الجمهورية </w:t>
      </w:r>
      <w:proofErr w:type="spellStart"/>
      <w:r w:rsidR="000821B6">
        <w:rPr>
          <w:rFonts w:hint="cs"/>
          <w:sz w:val="28"/>
          <w:szCs w:val="28"/>
          <w:rtl/>
        </w:rPr>
        <w:t>التشكية</w:t>
      </w:r>
      <w:proofErr w:type="spellEnd"/>
      <w:r w:rsidR="000821B6">
        <w:rPr>
          <w:rFonts w:hint="cs"/>
          <w:sz w:val="28"/>
          <w:szCs w:val="28"/>
          <w:rtl/>
        </w:rPr>
        <w:t>، إسبانيا، بلغاريا</w:t>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المنشأ</w:t>
      </w:r>
    </w:p>
    <w:p w:rsidR="00AE0797" w:rsidRPr="0046006B" w:rsidRDefault="00AE0797" w:rsidP="006530C6">
      <w:pPr>
        <w:tabs>
          <w:tab w:val="num" w:pos="567"/>
          <w:tab w:val="num" w:pos="2637"/>
        </w:tabs>
        <w:spacing w:before="200"/>
      </w:pPr>
    </w:p>
    <w:p w:rsidR="00EB4111" w:rsidRPr="0046006B" w:rsidRDefault="00EB4111" w:rsidP="0061660A">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أضف إلى ذلك أنه من حيث عدد التصاميم الواردة في الطلبات الدولية المُقدَّمة من بلدان المنشأ العشرة الأولى (غير الواردة أيضاً في أعلى 10 طلبات دولية مُودعة)، كانت الطلبات الواردة من تركيا حيث التركية هي اللغة الرسمية تحتوي على 474 تصميماً (في 107 طلبات)، وكانت الطلبات المُقدَّمة من اليونان حيث اليونانية هي اللغة الرسمية تحتوي على 410 تصاميم (في 10 طلبات).</w:t>
      </w:r>
    </w:p>
    <w:p w:rsidR="00EB4111" w:rsidRPr="0046006B" w:rsidRDefault="00EB4111" w:rsidP="0061660A">
      <w:pPr>
        <w:pStyle w:val="Heading4"/>
      </w:pPr>
      <w:r w:rsidRPr="0046006B">
        <w:rPr>
          <w:rtl/>
          <w:lang w:eastAsia="ar"/>
        </w:rPr>
        <w:t>عدد التصاميم الواردة في الطلبات المُودعة في الخارج</w:t>
      </w:r>
      <w:r w:rsidRPr="0046006B">
        <w:rPr>
          <w:rStyle w:val="FootnoteReference"/>
          <w:rtl/>
          <w:lang w:eastAsia="ar"/>
        </w:rPr>
        <w:footnoteReference w:id="12"/>
      </w:r>
    </w:p>
    <w:p w:rsidR="00EB4111" w:rsidRPr="0046006B" w:rsidRDefault="00EB4111" w:rsidP="0061660A">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يمكن لمُودعي الطلبات الساعين إلى حماية تصاميمهم في ولايات قضائية أجنبية إما إيداع الطلبات مباشرةً لدى مكتب وطني أو إقليمي وإما إيداعها، إن أمكن، من خلال نظام لاهاي</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 xml:space="preserve">ومن ثمَّ، يمكن للفريق العامل أن ينظر أيضاً في عدد التصاميم الواردة في الطلبات التي أودعها في الخارج </w:t>
      </w:r>
      <w:r w:rsidR="0061660A">
        <w:rPr>
          <w:rFonts w:ascii="Arabic Typesetting" w:hAnsi="Arabic Typesetting" w:cs="Arabic Typesetting"/>
          <w:sz w:val="36"/>
          <w:szCs w:val="36"/>
          <w:rtl/>
          <w:lang w:eastAsia="ar"/>
        </w:rPr>
        <w:t>–</w:t>
      </w:r>
      <w:r w:rsidRPr="0046006B">
        <w:rPr>
          <w:rFonts w:ascii="Arabic Typesetting" w:hAnsi="Arabic Typesetting" w:cs="Arabic Typesetting"/>
          <w:sz w:val="36"/>
          <w:szCs w:val="36"/>
          <w:rtl/>
          <w:lang w:eastAsia="ar"/>
        </w:rPr>
        <w:t>إيداعاً مباشراً أو من خلال نظام لاهاي</w:t>
      </w:r>
      <w:r w:rsidR="0061660A">
        <w:rPr>
          <w:rFonts w:ascii="Arabic Typesetting" w:hAnsi="Arabic Typesetting" w:cs="Arabic Typesetting"/>
          <w:sz w:val="36"/>
          <w:szCs w:val="36"/>
          <w:rtl/>
          <w:lang w:eastAsia="ar"/>
        </w:rPr>
        <w:t>–</w:t>
      </w:r>
      <w:r w:rsidRPr="0046006B">
        <w:rPr>
          <w:rFonts w:ascii="Arabic Typesetting" w:hAnsi="Arabic Typesetting" w:cs="Arabic Typesetting"/>
          <w:sz w:val="36"/>
          <w:szCs w:val="36"/>
          <w:rtl/>
          <w:lang w:eastAsia="ar"/>
        </w:rPr>
        <w:t xml:space="preserve"> المقيمون في بلدان تكون لغتها الرسمية هي لغة أخرى بخلاف الإنكليزية أو الفرنسية أو الإسبانية.</w:t>
      </w:r>
    </w:p>
    <w:p w:rsidR="00EB4111" w:rsidRPr="0046006B" w:rsidRDefault="00EB4111" w:rsidP="007B5095">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 xml:space="preserve">وفي هذا الصدد، ترد في </w:t>
      </w:r>
      <w:r w:rsidR="007B5095">
        <w:rPr>
          <w:rFonts w:ascii="Arabic Typesetting" w:hAnsi="Arabic Typesetting" w:cs="Arabic Typesetting" w:hint="cs"/>
          <w:sz w:val="36"/>
          <w:szCs w:val="36"/>
          <w:rtl/>
          <w:lang w:eastAsia="ar"/>
        </w:rPr>
        <w:t>الرسم البياني</w:t>
      </w:r>
      <w:r w:rsidRPr="0046006B">
        <w:rPr>
          <w:rFonts w:ascii="Arabic Typesetting" w:hAnsi="Arabic Typesetting" w:cs="Arabic Typesetting"/>
          <w:sz w:val="36"/>
          <w:szCs w:val="36"/>
          <w:rtl/>
          <w:lang w:eastAsia="ar"/>
        </w:rPr>
        <w:t xml:space="preserve"> التالي بلدان المنشأ العشرون الأولى للمودعين الساعين إلى حماية تصاميمهم في الخارج</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وفي عام 2017</w:t>
      </w:r>
      <w:r w:rsidRPr="0046006B">
        <w:rPr>
          <w:rStyle w:val="FootnoteReference"/>
          <w:rtl/>
          <w:lang w:eastAsia="ar"/>
        </w:rPr>
        <w:footnoteReference w:id="13"/>
      </w:r>
      <w:r w:rsidRPr="0046006B">
        <w:rPr>
          <w:rFonts w:ascii="Arabic Typesetting" w:hAnsi="Arabic Typesetting" w:cs="Arabic Typesetting"/>
          <w:sz w:val="36"/>
          <w:szCs w:val="36"/>
          <w:rtl/>
          <w:lang w:eastAsia="ar"/>
        </w:rPr>
        <w:t>، كان هناك</w:t>
      </w:r>
      <w:r w:rsidR="0067001E">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766</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278</w:t>
      </w:r>
      <w:r w:rsidRPr="0046006B">
        <w:rPr>
          <w:rFonts w:ascii="Arabic Typesetting" w:hAnsi="Arabic Typesetting" w:cs="Arabic Typesetting"/>
          <w:sz w:val="36"/>
          <w:szCs w:val="36"/>
          <w:rtl/>
          <w:lang w:eastAsia="ar"/>
        </w:rPr>
        <w:t xml:space="preserve"> تصميماً في الطلبات التي أودعها هؤلاء المودعون في الخارج (إيداعاً مباشراً </w:t>
      </w:r>
      <w:r w:rsidRPr="0046006B">
        <w:rPr>
          <w:rFonts w:ascii="Arabic Typesetting" w:hAnsi="Arabic Typesetting" w:cs="Arabic Typesetting"/>
          <w:sz w:val="36"/>
          <w:szCs w:val="36"/>
          <w:rtl/>
          <w:lang w:eastAsia="ar"/>
        </w:rPr>
        <w:lastRenderedPageBreak/>
        <w:t>أو عبر نظام لاهاي)</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وفي ذلك العام، وبترتيب عدد التصاميم، تضمنت الطلبات المُودعة في الخارج</w:t>
      </w:r>
      <w:r w:rsidR="0067001E">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539</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35</w:t>
      </w:r>
      <w:r w:rsidRPr="0046006B">
        <w:rPr>
          <w:rFonts w:ascii="Arabic Typesetting" w:hAnsi="Arabic Typesetting" w:cs="Arabic Typesetting"/>
          <w:sz w:val="36"/>
          <w:szCs w:val="36"/>
          <w:rtl/>
          <w:lang w:eastAsia="ar"/>
        </w:rPr>
        <w:t xml:space="preserve"> تصميماً من ألمانيا، و008</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34</w:t>
      </w:r>
      <w:r w:rsidRPr="0046006B">
        <w:rPr>
          <w:rFonts w:ascii="Arabic Typesetting" w:hAnsi="Arabic Typesetting" w:cs="Arabic Typesetting"/>
          <w:sz w:val="36"/>
          <w:szCs w:val="36"/>
          <w:rtl/>
          <w:lang w:eastAsia="ar"/>
        </w:rPr>
        <w:t xml:space="preserve"> تصاميم من الولايات المتحدة الأمريكية، و460</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25</w:t>
      </w:r>
      <w:r w:rsidRPr="0046006B">
        <w:rPr>
          <w:rFonts w:ascii="Arabic Typesetting" w:hAnsi="Arabic Typesetting" w:cs="Arabic Typesetting"/>
          <w:sz w:val="36"/>
          <w:szCs w:val="36"/>
          <w:rtl/>
          <w:lang w:eastAsia="ar"/>
        </w:rPr>
        <w:t xml:space="preserve"> تصميماً من فرنسا، و497</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20</w:t>
      </w:r>
      <w:r w:rsidRPr="0046006B">
        <w:rPr>
          <w:rFonts w:ascii="Arabic Typesetting" w:hAnsi="Arabic Typesetting" w:cs="Arabic Typesetting"/>
          <w:sz w:val="36"/>
          <w:szCs w:val="36"/>
          <w:rtl/>
          <w:lang w:eastAsia="ar"/>
        </w:rPr>
        <w:t xml:space="preserve"> تصميماً من سويسرا، و854</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17</w:t>
      </w:r>
      <w:r w:rsidRPr="0046006B">
        <w:rPr>
          <w:rFonts w:ascii="Arabic Typesetting" w:hAnsi="Arabic Typesetting" w:cs="Arabic Typesetting"/>
          <w:sz w:val="36"/>
          <w:szCs w:val="36"/>
          <w:rtl/>
          <w:lang w:eastAsia="ar"/>
        </w:rPr>
        <w:t xml:space="preserve"> تصميماً من اليابان، و849</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16</w:t>
      </w:r>
      <w:r w:rsidRPr="0046006B">
        <w:rPr>
          <w:rFonts w:ascii="Arabic Typesetting" w:hAnsi="Arabic Typesetting" w:cs="Arabic Typesetting"/>
          <w:sz w:val="36"/>
          <w:szCs w:val="36"/>
          <w:rtl/>
          <w:lang w:eastAsia="ar"/>
        </w:rPr>
        <w:t xml:space="preserve"> تصميماً من الصين، و707</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16</w:t>
      </w:r>
      <w:r w:rsidRPr="0046006B">
        <w:rPr>
          <w:rFonts w:ascii="Arabic Typesetting" w:hAnsi="Arabic Typesetting" w:cs="Arabic Typesetting"/>
          <w:sz w:val="36"/>
          <w:szCs w:val="36"/>
          <w:rtl/>
          <w:lang w:eastAsia="ar"/>
        </w:rPr>
        <w:t xml:space="preserve"> تصاميم من إيطاليا، و534</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12</w:t>
      </w:r>
      <w:r w:rsidRPr="0046006B">
        <w:rPr>
          <w:rFonts w:ascii="Arabic Typesetting" w:hAnsi="Arabic Typesetting" w:cs="Arabic Typesetting"/>
          <w:sz w:val="36"/>
          <w:szCs w:val="36"/>
          <w:rtl/>
          <w:lang w:eastAsia="ar"/>
        </w:rPr>
        <w:t xml:space="preserve"> تصميماً من المملكة المتحدة، و663</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8</w:t>
      </w:r>
      <w:r w:rsidRPr="0046006B">
        <w:rPr>
          <w:rFonts w:ascii="Arabic Typesetting" w:hAnsi="Arabic Typesetting" w:cs="Arabic Typesetting"/>
          <w:sz w:val="36"/>
          <w:szCs w:val="36"/>
          <w:rtl/>
          <w:lang w:eastAsia="ar"/>
        </w:rPr>
        <w:t xml:space="preserve"> تصميماً من جمهورية كوريا، و318</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6</w:t>
      </w:r>
      <w:r w:rsidRPr="0046006B">
        <w:rPr>
          <w:rFonts w:ascii="Arabic Typesetting" w:hAnsi="Arabic Typesetting" w:cs="Arabic Typesetting"/>
          <w:sz w:val="36"/>
          <w:szCs w:val="36"/>
          <w:rtl/>
          <w:lang w:eastAsia="ar"/>
        </w:rPr>
        <w:t xml:space="preserve"> تصميماً من هولندا، و912</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5</w:t>
      </w:r>
      <w:r w:rsidRPr="0046006B">
        <w:rPr>
          <w:rFonts w:ascii="Arabic Typesetting" w:hAnsi="Arabic Typesetting" w:cs="Arabic Typesetting"/>
          <w:sz w:val="36"/>
          <w:szCs w:val="36"/>
          <w:rtl/>
          <w:lang w:eastAsia="ar"/>
        </w:rPr>
        <w:t xml:space="preserve"> تصميماً من إسبانيا، و167</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5</w:t>
      </w:r>
      <w:r w:rsidRPr="0046006B">
        <w:rPr>
          <w:rFonts w:ascii="Arabic Typesetting" w:hAnsi="Arabic Typesetting" w:cs="Arabic Typesetting"/>
          <w:sz w:val="36"/>
          <w:szCs w:val="36"/>
          <w:rtl/>
          <w:lang w:eastAsia="ar"/>
        </w:rPr>
        <w:t xml:space="preserve"> تصميماً من بولندا، و541</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3</w:t>
      </w:r>
      <w:r w:rsidRPr="0046006B">
        <w:rPr>
          <w:rFonts w:ascii="Arabic Typesetting" w:hAnsi="Arabic Typesetting" w:cs="Arabic Typesetting"/>
          <w:sz w:val="36"/>
          <w:szCs w:val="36"/>
          <w:rtl/>
          <w:lang w:eastAsia="ar"/>
        </w:rPr>
        <w:t xml:space="preserve"> تصميماً من السويد، و122</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3</w:t>
      </w:r>
      <w:r w:rsidRPr="0046006B">
        <w:rPr>
          <w:rFonts w:ascii="Arabic Typesetting" w:hAnsi="Arabic Typesetting" w:cs="Arabic Typesetting"/>
          <w:sz w:val="36"/>
          <w:szCs w:val="36"/>
          <w:rtl/>
          <w:lang w:eastAsia="ar"/>
        </w:rPr>
        <w:t xml:space="preserve"> تصميماً من النمسا، و901</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2</w:t>
      </w:r>
      <w:r w:rsidRPr="0046006B">
        <w:rPr>
          <w:rFonts w:ascii="Arabic Typesetting" w:hAnsi="Arabic Typesetting" w:cs="Arabic Typesetting"/>
          <w:sz w:val="36"/>
          <w:szCs w:val="36"/>
          <w:rtl/>
          <w:lang w:eastAsia="ar"/>
        </w:rPr>
        <w:t xml:space="preserve"> تصميم من الدانمرك، و994</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1</w:t>
      </w:r>
      <w:r w:rsidRPr="0046006B">
        <w:rPr>
          <w:rFonts w:ascii="Arabic Typesetting" w:hAnsi="Arabic Typesetting" w:cs="Arabic Typesetting"/>
          <w:sz w:val="36"/>
          <w:szCs w:val="36"/>
          <w:rtl/>
          <w:lang w:eastAsia="ar"/>
        </w:rPr>
        <w:t xml:space="preserve"> تصميماً من الجمهورية التشيكية، و950</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1</w:t>
      </w:r>
      <w:r w:rsidRPr="0046006B">
        <w:rPr>
          <w:rFonts w:ascii="Arabic Typesetting" w:hAnsi="Arabic Typesetting" w:cs="Arabic Typesetting"/>
          <w:sz w:val="36"/>
          <w:szCs w:val="36"/>
          <w:rtl/>
          <w:lang w:eastAsia="ar"/>
        </w:rPr>
        <w:t xml:space="preserve"> تصميماً من أستراليا، و921</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1</w:t>
      </w:r>
      <w:r w:rsidRPr="0046006B">
        <w:rPr>
          <w:rFonts w:ascii="Arabic Typesetting" w:hAnsi="Arabic Typesetting" w:cs="Arabic Typesetting"/>
          <w:sz w:val="36"/>
          <w:szCs w:val="36"/>
          <w:rtl/>
          <w:lang w:eastAsia="ar"/>
        </w:rPr>
        <w:t xml:space="preserve"> تصميماً من بلجيكا، و816</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1</w:t>
      </w:r>
      <w:r w:rsidRPr="0046006B">
        <w:rPr>
          <w:rFonts w:ascii="Arabic Typesetting" w:hAnsi="Arabic Typesetting" w:cs="Arabic Typesetting"/>
          <w:sz w:val="36"/>
          <w:szCs w:val="36"/>
          <w:rtl/>
          <w:lang w:eastAsia="ar"/>
        </w:rPr>
        <w:t xml:space="preserve"> تصميماً من تركيا، و749</w:t>
      </w:r>
      <w:r w:rsidR="0067001E">
        <w:rPr>
          <w:rFonts w:ascii="Arabic Typesetting" w:hAnsi="Arabic Typesetting" w:cs="Arabic Typesetting" w:hint="cs"/>
          <w:sz w:val="36"/>
          <w:szCs w:val="36"/>
          <w:rtl/>
          <w:lang w:eastAsia="ar"/>
        </w:rPr>
        <w:t> </w:t>
      </w:r>
      <w:r w:rsidR="0067001E" w:rsidRPr="0046006B">
        <w:rPr>
          <w:rFonts w:ascii="Arabic Typesetting" w:hAnsi="Arabic Typesetting" w:cs="Arabic Typesetting"/>
          <w:sz w:val="36"/>
          <w:szCs w:val="36"/>
          <w:rtl/>
          <w:lang w:eastAsia="ar"/>
        </w:rPr>
        <w:t>1</w:t>
      </w:r>
      <w:r w:rsidRPr="0046006B">
        <w:rPr>
          <w:rFonts w:ascii="Arabic Typesetting" w:hAnsi="Arabic Typesetting" w:cs="Arabic Typesetting"/>
          <w:sz w:val="36"/>
          <w:szCs w:val="36"/>
          <w:rtl/>
          <w:lang w:eastAsia="ar"/>
        </w:rPr>
        <w:t xml:space="preserve"> تصميماً من كندا.</w:t>
      </w:r>
    </w:p>
    <w:p w:rsidR="00EB4111" w:rsidRPr="0046006B" w:rsidRDefault="00EB4111" w:rsidP="0061660A">
      <w:pPr>
        <w:pStyle w:val="Heading5"/>
      </w:pPr>
      <w:r w:rsidRPr="0046006B">
        <w:rPr>
          <w:rtl/>
          <w:lang w:eastAsia="ar"/>
        </w:rPr>
        <w:t>التصاميم الواردة في الطلبات المُودعة في الخارج من بلدان المنشأ العشرين الأولى في عام 2017</w:t>
      </w:r>
    </w:p>
    <w:p w:rsidR="00EB4111" w:rsidRDefault="00EB4111" w:rsidP="006530C6">
      <w:pPr>
        <w:keepNext/>
        <w:spacing w:before="200"/>
        <w:outlineLvl w:val="2"/>
        <w:rPr>
          <w:rtl/>
        </w:rPr>
      </w:pPr>
      <w:r w:rsidRPr="0046006B">
        <w:rPr>
          <w:noProof/>
          <w:rtl/>
        </w:rPr>
        <w:drawing>
          <wp:inline distT="0" distB="0" distL="0" distR="0" wp14:anchorId="5A5C2D2E" wp14:editId="1D3E2471">
            <wp:extent cx="5940425" cy="2891155"/>
            <wp:effectExtent l="0" t="0" r="3175" b="444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E0797" w:rsidRDefault="00AE0797" w:rsidP="00AE0797">
      <w:pPr>
        <w:pBdr>
          <w:top w:val="single" w:sz="4" w:space="1" w:color="auto"/>
          <w:left w:val="single" w:sz="4" w:space="4" w:color="auto"/>
          <w:bottom w:val="single" w:sz="4" w:space="1" w:color="auto"/>
          <w:right w:val="single" w:sz="4" w:space="4" w:color="auto"/>
        </w:pBdr>
        <w:rPr>
          <w:rFonts w:hint="cs"/>
          <w:sz w:val="28"/>
          <w:szCs w:val="28"/>
          <w:rtl/>
        </w:rPr>
      </w:pPr>
      <w:r>
        <w:rPr>
          <w:rFonts w:hint="cs"/>
          <w:sz w:val="28"/>
          <w:szCs w:val="28"/>
          <w:rtl/>
        </w:rPr>
        <w:t>من اليسار إلى اليمين: ألمانيا</w:t>
      </w:r>
      <w:r w:rsidR="00D402A8">
        <w:rPr>
          <w:rFonts w:hint="cs"/>
          <w:sz w:val="28"/>
          <w:szCs w:val="28"/>
          <w:rtl/>
        </w:rPr>
        <w:t>، الولايات المتحدة، فرنسا، سويسرا، اليابان، الصين، إيطاليا، المملكة المتحدة، جمهورية كوريا، هولندا، إسبانيا، بولندا، السويد، النمسا، الدانمرك، الجمهورية التشيكية، أستراليا، بلغاريا، تركيا، كندا</w:t>
      </w:r>
    </w:p>
    <w:p w:rsidR="00AE0797" w:rsidRPr="0046006B" w:rsidRDefault="00AE0797" w:rsidP="00AE0797">
      <w:pPr>
        <w:tabs>
          <w:tab w:val="num" w:pos="567"/>
          <w:tab w:val="num" w:pos="2637"/>
        </w:tabs>
        <w:spacing w:before="200"/>
        <w:rPr>
          <w:i/>
        </w:rPr>
      </w:pPr>
    </w:p>
    <w:p w:rsidR="00AE0797" w:rsidRPr="0046006B" w:rsidRDefault="00AE0797" w:rsidP="006530C6">
      <w:pPr>
        <w:keepNext/>
        <w:spacing w:before="200"/>
        <w:outlineLvl w:val="2"/>
      </w:pPr>
    </w:p>
    <w:p w:rsidR="00EB4111" w:rsidRPr="0046006B" w:rsidRDefault="00EB4111" w:rsidP="0061660A">
      <w:pPr>
        <w:pStyle w:val="Heading3"/>
      </w:pPr>
      <w:r w:rsidRPr="0046006B">
        <w:rPr>
          <w:rtl/>
          <w:lang w:eastAsia="ar"/>
        </w:rPr>
        <w:t>اللغات الرسمية للأمم المتحدة</w:t>
      </w:r>
    </w:p>
    <w:p w:rsidR="00EB4111" w:rsidRPr="0046006B" w:rsidRDefault="00EB4111" w:rsidP="00262C19">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قد يأخذ الفريق العامل في الاعتبار أن اللغة العربية والصينية والإنكليزية والفرنسية والروسية والإسبانية هي اللغات الرسمية الست للأمم المتحدة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وتمتد التغطية اللغوية لوثائق اجتماعات هيئات الويبو الرئيسية ولجانها وأفرقتها العاملة، فضلاً عن المنشورات الرئيسية والجديدة، إلى اللغات الرسمية الست للأمم المتحدة وفقاً لسياسة اللغات التي اعتمدتها الجمعية العامة للويبو في سبتمبر 2010</w:t>
      </w:r>
      <w:r w:rsidRPr="0046006B">
        <w:rPr>
          <w:rFonts w:ascii="Arabic Typesetting" w:hAnsi="Arabic Typesetting" w:cs="Arabic Typesetting"/>
          <w:sz w:val="36"/>
          <w:szCs w:val="36"/>
          <w:vertAlign w:val="superscript"/>
          <w:rtl/>
          <w:lang w:eastAsia="ar"/>
        </w:rPr>
        <w:footnoteReference w:id="14"/>
      </w:r>
      <w:r w:rsidRPr="0046006B">
        <w:rPr>
          <w:rFonts w:ascii="Arabic Typesetting" w:hAnsi="Arabic Typesetting" w:cs="Arabic Typesetting"/>
          <w:sz w:val="36"/>
          <w:szCs w:val="36"/>
          <w:rtl/>
          <w:lang w:eastAsia="ar"/>
        </w:rPr>
        <w:t>. ومع ذلك، لا تنطبق هذه السياسة حالياً على الخدمات المُقدَّمة بموجب المعاهدات التي تديرها الويبو، مثل خدمات التسجيل الدولي المُقدَّمة في إطار نظامي مدريد ولاهاي.</w:t>
      </w:r>
    </w:p>
    <w:p w:rsidR="00EB4111" w:rsidRPr="0046006B" w:rsidRDefault="00EB4111" w:rsidP="0061660A">
      <w:pPr>
        <w:pStyle w:val="Heading2"/>
      </w:pPr>
      <w:r w:rsidRPr="0046006B">
        <w:rPr>
          <w:rtl/>
          <w:lang w:eastAsia="ar"/>
        </w:rPr>
        <w:lastRenderedPageBreak/>
        <w:t>ثالثاً.</w:t>
      </w:r>
      <w:r w:rsidRPr="0046006B">
        <w:rPr>
          <w:rtl/>
          <w:lang w:eastAsia="ar"/>
        </w:rPr>
        <w:tab/>
        <w:t>اعتبارات أخرى تتعلق بإدخال لغات جديدة</w:t>
      </w:r>
    </w:p>
    <w:p w:rsidR="00EB4111" w:rsidRPr="0046006B" w:rsidRDefault="00EB4111" w:rsidP="0061660A">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إن إحدى التّبعات المهمة المترتبة على إدخال لغات جديدة في نظام لاهاي هي الحاجة إلى الترجمة وإلى تطوير أنظمة تكنولوجيا المعلومات والاتصالات التي من شأنها أن تُمكِّن من استخدام اللغات الجديدة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ولذلك تستفيض الوثيقة في توضيح الآثار المترتبة على الإدخال المحتمل للغات جديدة في نظام لاهاي، من منظور عام، قبل استكشاف شتى الخيارات.</w:t>
      </w:r>
    </w:p>
    <w:p w:rsidR="00EB4111" w:rsidRPr="0032597E" w:rsidRDefault="00EB4111" w:rsidP="0061660A">
      <w:pPr>
        <w:pStyle w:val="Heading3"/>
      </w:pPr>
      <w:r w:rsidRPr="0032597E">
        <w:rPr>
          <w:rtl/>
          <w:lang w:eastAsia="ar"/>
        </w:rPr>
        <w:t>أعمال الترجمة التنفيذية الحالية</w:t>
      </w:r>
    </w:p>
    <w:p w:rsidR="00EB4111" w:rsidRPr="0046006B" w:rsidRDefault="00EB4111" w:rsidP="0061660A">
      <w:pPr>
        <w:pStyle w:val="ONUME"/>
        <w:numPr>
          <w:ilvl w:val="0"/>
          <w:numId w:val="46"/>
        </w:numPr>
        <w:tabs>
          <w:tab w:val="clear" w:pos="2457"/>
        </w:tabs>
        <w:bidi/>
        <w:spacing w:before="200" w:after="0"/>
        <w:ind w:left="-5" w:firstLine="0"/>
        <w:rPr>
          <w:rFonts w:ascii="Arabic Typesetting" w:hAnsi="Arabic Typesetting" w:cs="Arabic Typesetting"/>
          <w:sz w:val="36"/>
          <w:szCs w:val="36"/>
          <w:lang w:eastAsia="en-US"/>
        </w:rPr>
      </w:pPr>
      <w:r w:rsidRPr="0046006B">
        <w:rPr>
          <w:rFonts w:ascii="Arabic Typesetting" w:hAnsi="Arabic Typesetting" w:cs="Arabic Typesetting"/>
          <w:sz w:val="36"/>
          <w:szCs w:val="36"/>
          <w:rtl/>
          <w:lang w:eastAsia="ar"/>
        </w:rPr>
        <w:t>تتعلق معاملات الترجمة ببعض العناصر النصية الواردة في الطلب الدولي، وذلك بصفة يومية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وهذه العناصر النصية هي بيان المنتج الذي يتجسد فيه التصميم الصناعي أو يُستخدم التصميم الصناعي بالاقتران به (القاعدة 7(3)"4" من اللائحة التنفيذية المشتركة)، ووصف للسمات المميزة للتصميم الصناعي (القاعدتان 7(4)(ب) و(5)(أ)، و11(2))، ووصف موجز لنسخة التصميم الصناعي (ما يسمى "شرح المصطلحات والرموز") (القاعدة 7(4)(ب) و(5)(أ)، والبند 405(ج) من التعليمات الإدارية لتطبيق اتفاق لاهاي).</w:t>
      </w:r>
    </w:p>
    <w:p w:rsidR="00EB4111" w:rsidRPr="0046006B" w:rsidRDefault="00EB4111" w:rsidP="0079547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وخلال الفترة من يناير إلى نوفمبر 2018</w:t>
      </w:r>
      <w:r w:rsidRPr="0046006B">
        <w:rPr>
          <w:rStyle w:val="FootnoteReference"/>
          <w:rFonts w:eastAsia="Times New Roman"/>
          <w:rtl/>
          <w:lang w:eastAsia="ar"/>
        </w:rPr>
        <w:footnoteReference w:id="15"/>
      </w:r>
      <w:r w:rsidRPr="0046006B">
        <w:rPr>
          <w:rFonts w:ascii="Arabic Typesetting" w:hAnsi="Arabic Typesetting" w:cs="Arabic Typesetting"/>
          <w:sz w:val="36"/>
          <w:szCs w:val="36"/>
          <w:rtl/>
          <w:lang w:eastAsia="ar"/>
        </w:rPr>
        <w:t>، ترجم المكتب الدولي</w:t>
      </w:r>
      <w:r w:rsidR="00795478">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641</w:t>
      </w:r>
      <w:r w:rsidR="00795478">
        <w:rPr>
          <w:rFonts w:ascii="Arabic Typesetting" w:hAnsi="Arabic Typesetting" w:cs="Arabic Typesetting" w:hint="cs"/>
          <w:sz w:val="36"/>
          <w:szCs w:val="36"/>
          <w:rtl/>
          <w:lang w:eastAsia="ar"/>
        </w:rPr>
        <w:t> </w:t>
      </w:r>
      <w:r w:rsidR="00795478" w:rsidRPr="0046006B">
        <w:rPr>
          <w:rFonts w:ascii="Arabic Typesetting" w:hAnsi="Arabic Typesetting" w:cs="Arabic Typesetting"/>
          <w:sz w:val="36"/>
          <w:szCs w:val="36"/>
          <w:rtl/>
          <w:lang w:eastAsia="ar"/>
        </w:rPr>
        <w:t>362</w:t>
      </w:r>
      <w:r w:rsidRPr="0046006B">
        <w:rPr>
          <w:rFonts w:ascii="Arabic Typesetting" w:hAnsi="Arabic Typesetting" w:cs="Arabic Typesetting"/>
          <w:sz w:val="36"/>
          <w:szCs w:val="36"/>
          <w:rtl/>
          <w:lang w:eastAsia="ar"/>
        </w:rPr>
        <w:t xml:space="preserve"> كلمة</w:t>
      </w:r>
      <w:r w:rsidRPr="0046006B">
        <w:rPr>
          <w:rStyle w:val="FootnoteReference"/>
          <w:rFonts w:eastAsia="Times New Roman"/>
          <w:rtl/>
          <w:lang w:eastAsia="ar"/>
        </w:rPr>
        <w:footnoteReference w:id="16"/>
      </w:r>
      <w:r w:rsidRPr="0046006B">
        <w:rPr>
          <w:rFonts w:ascii="Arabic Typesetting" w:hAnsi="Arabic Typesetting" w:cs="Arabic Typesetting"/>
          <w:sz w:val="36"/>
          <w:szCs w:val="36"/>
          <w:rtl/>
          <w:lang w:eastAsia="ar"/>
        </w:rPr>
        <w:t xml:space="preserve"> وردت في</w:t>
      </w:r>
      <w:r w:rsidR="00795478">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942</w:t>
      </w:r>
      <w:r w:rsidR="00795478">
        <w:rPr>
          <w:rFonts w:ascii="Arabic Typesetting" w:hAnsi="Arabic Typesetting" w:cs="Arabic Typesetting" w:hint="cs"/>
          <w:sz w:val="36"/>
          <w:szCs w:val="36"/>
          <w:rtl/>
          <w:lang w:eastAsia="ar"/>
        </w:rPr>
        <w:t> </w:t>
      </w:r>
      <w:r w:rsidR="00795478" w:rsidRPr="0046006B">
        <w:rPr>
          <w:rFonts w:ascii="Arabic Typesetting" w:hAnsi="Arabic Typesetting" w:cs="Arabic Typesetting"/>
          <w:sz w:val="36"/>
          <w:szCs w:val="36"/>
          <w:rtl/>
          <w:lang w:eastAsia="ar"/>
        </w:rPr>
        <w:t>4</w:t>
      </w:r>
      <w:r w:rsidRPr="0046006B">
        <w:rPr>
          <w:rFonts w:ascii="Arabic Typesetting" w:hAnsi="Arabic Typesetting" w:cs="Arabic Typesetting"/>
          <w:sz w:val="36"/>
          <w:szCs w:val="36"/>
          <w:rtl/>
          <w:lang w:eastAsia="ar"/>
        </w:rPr>
        <w:t xml:space="preserve"> طلباً دولياً</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وكان 92.2% من تلك الكلمات باللغة الإنكليزية، و6.9% منها باللغة الفرنسية، و1% منها باللغة الإسبانية.</w:t>
      </w:r>
    </w:p>
    <w:p w:rsidR="00EB4111" w:rsidRPr="0046006B" w:rsidRDefault="00EB4111" w:rsidP="003B13DF">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وفي الوقت الحاضر، يتولى ترجمة تلك العناصر النصية مترجمون داخليون يعملون لتشغيل نظام مدريد في المقام الأول</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ويعني ذلك أن تشغيل نظام لاهاي يعتمد، فيما يخص الترجمة، اعتماداً كلياً على موارد الترجمة الخاصة بنظام مدريد</w:t>
      </w:r>
      <w:r w:rsidRPr="0046006B">
        <w:rPr>
          <w:rStyle w:val="FootnoteReference"/>
          <w:rtl/>
          <w:lang w:eastAsia="ar"/>
        </w:rPr>
        <w:footnoteReference w:id="17"/>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وما دام هذا الوضع قائماً، ينبغي أن يقتصر التطوير المحتمل لنظام اللغات في نظام لاهاي على موارد الترجمة المتاحة في نظام مدريد.</w:t>
      </w:r>
    </w:p>
    <w:p w:rsidR="00EB4111" w:rsidRPr="00FB46D7" w:rsidRDefault="00EB4111" w:rsidP="003B13DF">
      <w:pPr>
        <w:pStyle w:val="Heading3"/>
        <w:rPr>
          <w:u w:val="single"/>
        </w:rPr>
      </w:pPr>
      <w:r w:rsidRPr="00FB46D7">
        <w:rPr>
          <w:rtl/>
          <w:lang w:eastAsia="ar"/>
        </w:rPr>
        <w:t>نهج ممكن: إدخال لغة جديدة واحدة في كل مرَّة</w:t>
      </w:r>
    </w:p>
    <w:p w:rsidR="00EB4111" w:rsidRPr="0046006B" w:rsidRDefault="00EB4111" w:rsidP="004169D7">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 xml:space="preserve">في ضوء ما تقدم، ناقش الفريق العامل المعني بالتطوير القانوني لنظام مدريد بشأن التسجيل الدولي للعلامات (المُشار إليه فيما يلي باسم "الفريق العامل لنظام مدريد")، في دورته الأخيرة والسابعة عشرة التي عُقدت في يوليو 2019، إمكانية إدخال لغات جديدة في نظام مدريد واحدة تلو الأخرى حسب تسلسل مُتفق عليه (انظر الفقرات من 19 إلى 24 في الوثيقة </w:t>
      </w:r>
      <w:r w:rsidRPr="0046006B">
        <w:rPr>
          <w:rFonts w:ascii="Arabic Typesetting" w:hAnsi="Arabic Typesetting" w:cs="Arabic Typesetting"/>
          <w:sz w:val="36"/>
          <w:szCs w:val="36"/>
          <w:lang w:eastAsia="ar" w:bidi="en-US"/>
        </w:rPr>
        <w:t>MM/LD/WG/17/7 Rev</w:t>
      </w:r>
      <w:r w:rsidR="004169D7">
        <w:rPr>
          <w:rFonts w:ascii="Arabic Typesetting" w:hAnsi="Arabic Typesetting" w:cs="Arabic Typesetting"/>
          <w:sz w:val="36"/>
          <w:szCs w:val="36"/>
          <w:lang w:eastAsia="ar"/>
        </w:rPr>
        <w:t>.</w:t>
      </w:r>
      <w:r w:rsidRPr="0046006B">
        <w:rPr>
          <w:rFonts w:ascii="Arabic Typesetting" w:hAnsi="Arabic Typesetting" w:cs="Arabic Typesetting"/>
          <w:sz w:val="36"/>
          <w:szCs w:val="36"/>
          <w:rtl/>
          <w:lang w:eastAsia="ar"/>
        </w:rPr>
        <w:t>)</w:t>
      </w:r>
      <w:r w:rsidRPr="0046006B">
        <w:rPr>
          <w:rStyle w:val="FootnoteReference"/>
          <w:rtl/>
          <w:lang w:eastAsia="ar"/>
        </w:rPr>
        <w:footnoteReference w:id="18"/>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ولكن لم يتحقق توافق في الآراء بشأن هذا الأمر خلال الدورة السابعة عشرة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وطُلب من المكتب الدولي إعداد دراسة وافية عن الآثار المالية والجدوى التقنية للإدخال التدريجي للغات الجديدة المقترحة في نظام مدريد</w:t>
      </w:r>
      <w:r w:rsidRPr="0046006B">
        <w:rPr>
          <w:rStyle w:val="FootnoteReference"/>
          <w:rtl/>
          <w:lang w:eastAsia="ar"/>
        </w:rPr>
        <w:footnoteReference w:id="19"/>
      </w:r>
      <w:r w:rsidRPr="0046006B">
        <w:rPr>
          <w:rFonts w:ascii="Arabic Typesetting" w:hAnsi="Arabic Typesetting" w:cs="Arabic Typesetting"/>
          <w:sz w:val="36"/>
          <w:szCs w:val="36"/>
          <w:rtl/>
          <w:lang w:eastAsia="ar"/>
        </w:rPr>
        <w:t>.</w:t>
      </w:r>
    </w:p>
    <w:p w:rsidR="00EB4111" w:rsidRPr="0046006B" w:rsidRDefault="00EB4111" w:rsidP="003A1B9E">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lastRenderedPageBreak/>
        <w:t xml:space="preserve">وبناءً على خيارات التنفيذ، بوجه عام، سوف يجب على المكتب الدولي، في حالة إدخال لغة جديدة، إما توظيف موارد بشرية ماهرة تتقن اللغة الجديدة، وإما إعادة تدريبها، لأداء جميع الوظائف ذات الصلة، مثل إدخال البيانات، والفحص، والترجمة، وإدارة </w:t>
      </w:r>
      <w:r w:rsidR="003A1B9E">
        <w:rPr>
          <w:rFonts w:ascii="Arabic Typesetting" w:hAnsi="Arabic Typesetting" w:cs="Arabic Typesetting" w:hint="cs"/>
          <w:sz w:val="36"/>
          <w:szCs w:val="36"/>
          <w:rtl/>
          <w:lang w:eastAsia="ar"/>
        </w:rPr>
        <w:t>السجلات</w:t>
      </w:r>
      <w:r w:rsidRPr="0046006B">
        <w:rPr>
          <w:rFonts w:ascii="Arabic Typesetting" w:hAnsi="Arabic Typesetting" w:cs="Arabic Typesetting"/>
          <w:sz w:val="36"/>
          <w:szCs w:val="36"/>
          <w:rtl/>
          <w:lang w:eastAsia="ar"/>
        </w:rPr>
        <w:t>، وخدمة العملاء، وضمان الجودة، والمعلومات والترويج، وتكنولوجيا المعلومات والاتصالات، والمهارات القانونية لتلبية احتياجات المستخدمين وتطلعاتهم.</w:t>
      </w:r>
    </w:p>
    <w:p w:rsidR="00EB4111" w:rsidRPr="0046006B" w:rsidRDefault="00EB4111" w:rsidP="003B13DF">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وسوف يتطلب إدخال لغة جديدة في نظام لاهاي إدخال تغييرات على أنظمة تكنولوجيا المعلومات والاتصالات الداخلية والخارجية للمكتب الدولي، لا سيما إذا كانت هذه اللغة تُكتب بحروف غير لاتينية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وسوف تكون تلك التغييرات ضرورية لمعالجة المعلومات وعرضها ونشرها وتبليغها باللغة الجديدة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ويجب تعريف جميع التغييرات التي ستُدخل على أنظمة تكنولوجيا المعلومات والاتصالات على أنها مواصفات تقنية مفصلة جرى تطويرها واختبارها قبل نشرها</w:t>
      </w:r>
      <w:r w:rsidR="003B13DF">
        <w:rPr>
          <w:rFonts w:ascii="Arabic Typesetting" w:hAnsi="Arabic Typesetting" w:cs="Arabic Typesetting"/>
          <w:sz w:val="36"/>
          <w:szCs w:val="36"/>
          <w:rtl/>
          <w:lang w:eastAsia="ar"/>
        </w:rPr>
        <w:t xml:space="preserve">. </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وعلاوة على ذلك، يجب الاستثمار في إدخال معلومات باللغة الجديدة في قواعد البيانات المرجعية الضرورية للإدارة السليمة لنظام لاهاي</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 xml:space="preserve">فعلى سبيل المثال، يجب أن تكون جميع التبليغات العادية وقاعدة بيانات تصنيف </w:t>
      </w:r>
      <w:proofErr w:type="spellStart"/>
      <w:r w:rsidRPr="0046006B">
        <w:rPr>
          <w:rFonts w:ascii="Arabic Typesetting" w:hAnsi="Arabic Typesetting" w:cs="Arabic Typesetting"/>
          <w:sz w:val="36"/>
          <w:szCs w:val="36"/>
          <w:rtl/>
          <w:lang w:eastAsia="ar"/>
        </w:rPr>
        <w:t>لوكارنو</w:t>
      </w:r>
      <w:proofErr w:type="spellEnd"/>
      <w:r w:rsidRPr="0046006B">
        <w:rPr>
          <w:rFonts w:ascii="Arabic Typesetting" w:hAnsi="Arabic Typesetting" w:cs="Arabic Typesetting"/>
          <w:sz w:val="36"/>
          <w:szCs w:val="36"/>
          <w:rtl/>
          <w:lang w:eastAsia="ar"/>
        </w:rPr>
        <w:t xml:space="preserve"> متاحة باللغة الجديدة.</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ومن المرجح أن يُسفر ما ذُكر أعلاه من التغييرات التنظيمية والمتعلقة بتكنولوجيا المعلومات والاتصالات عن فترة تكيُّف للعمليات التي ستجرى في إطار نظام لاهاي</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ومن الناحية التاريخية، كان نظام لاهاي يعمل في بدايته باللغة الفرنسية فقط، ثم أُدخِلت اللغة الإنكليزية في عام 1984</w:t>
      </w:r>
      <w:r w:rsidRPr="0046006B">
        <w:rPr>
          <w:rStyle w:val="FootnoteReference"/>
          <w:rtl/>
          <w:lang w:eastAsia="ar"/>
        </w:rPr>
        <w:footnoteReference w:id="20"/>
      </w:r>
      <w:r w:rsidRPr="0046006B">
        <w:rPr>
          <w:rFonts w:ascii="Arabic Typesetting" w:hAnsi="Arabic Typesetting" w:cs="Arabic Typesetting"/>
          <w:sz w:val="36"/>
          <w:szCs w:val="36"/>
          <w:rtl/>
          <w:lang w:eastAsia="ar"/>
        </w:rPr>
        <w:t>، والإسبانية في عام 2010</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وأما نظام مدريد، فبعد أن ظل لمدة طويلة يعمل باللغة الفرنسية فقط، أُدخِلت اللغة الإنكليزية في عام 1996، والإسبانية في عام 2004</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وبدأ نظام معاهدة التعاون بشأن البراءات في عام 1970 بخمس لغات نشر، ألا وهي الإنكليزية والفرنسية والألمانية واليابانية والروسية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وأُضيفت لاحقاً الإسبانية (في عام 1985) والصينية (في عام 1994) والعربية (في عام 2006) والكورية والبرتغالية (كلتاهما في عام 2009).</w:t>
      </w:r>
    </w:p>
    <w:p w:rsidR="00EB4111" w:rsidRPr="00B6227B" w:rsidRDefault="00EB4111" w:rsidP="00F10FE8">
      <w:pPr>
        <w:pStyle w:val="Heading3"/>
        <w:rPr>
          <w:rStyle w:val="Heading2Char"/>
          <w:b w:val="0"/>
          <w:bCs w:val="0"/>
        </w:rPr>
      </w:pPr>
      <w:r w:rsidRPr="00B6227B">
        <w:rPr>
          <w:rStyle w:val="Heading2Char"/>
          <w:b w:val="0"/>
          <w:bCs w:val="0"/>
          <w:rtl/>
        </w:rPr>
        <w:t>التغيير المحتمل لممارسات الترجمة الحالية</w:t>
      </w:r>
    </w:p>
    <w:p w:rsidR="00EB4111" w:rsidRPr="0046006B" w:rsidRDefault="00EB4111" w:rsidP="00B6227B">
      <w:pPr>
        <w:pStyle w:val="ONUME"/>
        <w:numPr>
          <w:ilvl w:val="0"/>
          <w:numId w:val="46"/>
        </w:numPr>
        <w:tabs>
          <w:tab w:val="clear" w:pos="2457"/>
        </w:tabs>
        <w:bidi/>
        <w:spacing w:before="200" w:after="0"/>
        <w:ind w:left="-5" w:firstLine="0"/>
        <w:rPr>
          <w:rFonts w:ascii="Arabic Typesetting" w:hAnsi="Arabic Typesetting" w:cs="Arabic Typesetting"/>
          <w:bCs/>
          <w:sz w:val="36"/>
          <w:szCs w:val="36"/>
        </w:rPr>
      </w:pPr>
      <w:r w:rsidRPr="0046006B">
        <w:rPr>
          <w:rFonts w:ascii="Arabic Typesetting" w:hAnsi="Arabic Typesetting" w:cs="Arabic Typesetting"/>
          <w:sz w:val="36"/>
          <w:szCs w:val="36"/>
          <w:rtl/>
          <w:lang w:eastAsia="ar"/>
        </w:rPr>
        <w:t>نظراً إلى احتمالية اتساع نطاق نظام اللغات المعمول به في نظام مدريد، نظر أيضاً الفريق العامل لنظام مدريد في دورته السابعة عشرة في شتى ممارسات الترجمة وآثارها، لا سيما إمكانية الأخذ بممارسة "الترجمة غير المباشرة"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 xml:space="preserve">وللاطلاع على توضيحات وتبعات تفصيلية، يُرجى الرجوع إلى الفقرات من 25 إلى 44 في الوثيقة </w:t>
      </w:r>
      <w:r w:rsidRPr="0046006B">
        <w:rPr>
          <w:rFonts w:ascii="Arabic Typesetting" w:hAnsi="Arabic Typesetting" w:cs="Arabic Typesetting"/>
          <w:sz w:val="36"/>
          <w:szCs w:val="36"/>
          <w:lang w:eastAsia="ar" w:bidi="en-US"/>
        </w:rPr>
        <w:t xml:space="preserve">MM/LD/WG/17/7 </w:t>
      </w:r>
      <w:proofErr w:type="gramStart"/>
      <w:r w:rsidRPr="0046006B">
        <w:rPr>
          <w:rFonts w:ascii="Arabic Typesetting" w:hAnsi="Arabic Typesetting" w:cs="Arabic Typesetting"/>
          <w:sz w:val="36"/>
          <w:szCs w:val="36"/>
          <w:lang w:eastAsia="ar" w:bidi="en-US"/>
        </w:rPr>
        <w:t>Rev</w:t>
      </w:r>
      <w:r w:rsidR="00B6227B">
        <w:rPr>
          <w:rFonts w:ascii="Arabic Typesetting" w:hAnsi="Arabic Typesetting" w:cs="Arabic Typesetting"/>
          <w:sz w:val="36"/>
          <w:szCs w:val="36"/>
          <w:lang w:eastAsia="ar"/>
        </w:rPr>
        <w:t>.</w:t>
      </w:r>
      <w:r w:rsidRPr="0046006B">
        <w:rPr>
          <w:rFonts w:ascii="Arabic Typesetting" w:hAnsi="Arabic Typesetting" w:cs="Arabic Typesetting"/>
          <w:sz w:val="36"/>
          <w:szCs w:val="36"/>
          <w:rtl/>
          <w:lang w:eastAsia="ar"/>
        </w:rPr>
        <w:t>.</w:t>
      </w:r>
      <w:proofErr w:type="gramEnd"/>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وفي ظل "الترجمة المباشرة" المعمول بها حالياً، يُترجَم النص من لغة ما (المُشار إليها فيما يلي باسم "لغة المصدر") إلى اللغتين الأخريين (المُشار إلى كل منهما فيما يلي باسم "اللغة الهدف") بالتوازي</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ويتمثل الخيار البديل في الترجمة من اللغة المصدر إلى إحدى لغات الهدف، ثم الترجمة من هذه اللغة إلى اللغات الهدف الأخرى.</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على سبيل المثال، في حالة إدخال اللغة الروسية في نظام لاهاي، سوف يُترجَم النص الروسي إلى الإنكليزية بوصفها "لغة وسيطة"، ومنها يُترجم إلى الفرنسية والإسبانية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وكذلك سوف تُترجم النصوص الفرنسية والإسبانية إلى الإنكليزية، ثم من الإنكليزية إلى الروسية.</w:t>
      </w:r>
    </w:p>
    <w:p w:rsidR="00EB4111" w:rsidRPr="0046006B" w:rsidRDefault="00EB4111" w:rsidP="00B6227B">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lastRenderedPageBreak/>
        <w:t xml:space="preserve">وسوف تكون اللغة الوسيطة هي اللغة التي ترد بها معظم الطلبات الدولية </w:t>
      </w:r>
      <w:r w:rsidR="00B6227B">
        <w:rPr>
          <w:rFonts w:ascii="Arabic Typesetting" w:hAnsi="Arabic Typesetting" w:cs="Arabic Typesetting"/>
          <w:sz w:val="36"/>
          <w:szCs w:val="36"/>
          <w:rtl/>
          <w:lang w:eastAsia="ar"/>
        </w:rPr>
        <w:t>–</w:t>
      </w:r>
      <w:r w:rsidRPr="0046006B">
        <w:rPr>
          <w:rFonts w:ascii="Arabic Typesetting" w:hAnsi="Arabic Typesetting" w:cs="Arabic Typesetting"/>
          <w:sz w:val="36"/>
          <w:szCs w:val="36"/>
          <w:rtl/>
          <w:lang w:eastAsia="ar"/>
        </w:rPr>
        <w:t>لأن ذلك من شأنه أن يقلل من الحاجة لترجمة وسيطة</w:t>
      </w:r>
      <w:r w:rsidR="00B6227B">
        <w:rPr>
          <w:rFonts w:ascii="Arabic Typesetting" w:hAnsi="Arabic Typesetting" w:cs="Arabic Typesetting" w:hint="cs"/>
          <w:sz w:val="36"/>
          <w:szCs w:val="36"/>
          <w:rtl/>
          <w:lang w:eastAsia="ar"/>
        </w:rPr>
        <w:t xml:space="preserve"> بوجه عام</w:t>
      </w:r>
      <w:r w:rsidR="00B6227B">
        <w:rPr>
          <w:rFonts w:ascii="Arabic Typesetting" w:hAnsi="Arabic Typesetting" w:cs="Arabic Typesetting"/>
          <w:sz w:val="36"/>
          <w:szCs w:val="36"/>
          <w:rtl/>
          <w:lang w:eastAsia="ar"/>
        </w:rPr>
        <w:t>–</w:t>
      </w:r>
      <w:r w:rsidRPr="0046006B">
        <w:rPr>
          <w:rFonts w:ascii="Arabic Typesetting" w:hAnsi="Arabic Typesetting" w:cs="Arabic Typesetting"/>
          <w:sz w:val="36"/>
          <w:szCs w:val="36"/>
          <w:rtl/>
          <w:lang w:eastAsia="ar"/>
        </w:rPr>
        <w:t xml:space="preserve"> والتي تتوفر لها بالفعل موارد ترجمة عالية الجودة بتكلفة معقولة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ومعظم المراسلات الواردة من المودعين وأصحاب التسجيلات والمكاتب في نظام لاهاي تكون باللغة الإنكليزية، كما هو الحال في نظام مدريد</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وقد أُودِع 86% من الطلبات الدولية باللغة الإنكليزية في السنوات القليلة الماضية، كما ذُكر في الفقرة 6 أعلاه</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 xml:space="preserve">ولأن كلا النظامين يعملان بنفس اللغات الثلاث ويتقاسمان نفس موارد الترجمة، فإن الآثار المترتبة على ممارسات الترجمة المباشرة وغير المباشرة، المُوضَّحة في الفقرات من 35 إلى 42 في الوثيقة </w:t>
      </w:r>
      <w:r w:rsidRPr="0046006B">
        <w:rPr>
          <w:rFonts w:ascii="Arabic Typesetting" w:hAnsi="Arabic Typesetting" w:cs="Arabic Typesetting"/>
          <w:sz w:val="36"/>
          <w:szCs w:val="36"/>
          <w:lang w:eastAsia="ar" w:bidi="en-US"/>
        </w:rPr>
        <w:t>MM/LD/WG/17/7 Rev</w:t>
      </w:r>
      <w:r w:rsidR="00F10FE8">
        <w:rPr>
          <w:rFonts w:ascii="Arabic Typesetting" w:hAnsi="Arabic Typesetting" w:cs="Arabic Typesetting"/>
          <w:sz w:val="36"/>
          <w:szCs w:val="36"/>
          <w:lang w:eastAsia="ar"/>
        </w:rPr>
        <w:t>.</w:t>
      </w:r>
      <w:r w:rsidRPr="0046006B">
        <w:rPr>
          <w:rFonts w:ascii="Arabic Typesetting" w:hAnsi="Arabic Typesetting" w:cs="Arabic Typesetting"/>
          <w:sz w:val="36"/>
          <w:szCs w:val="36"/>
          <w:rtl/>
          <w:lang w:eastAsia="ar"/>
        </w:rPr>
        <w:t>، سوف تنطبق بنفس القدر على نظام لاهاي.</w:t>
      </w:r>
    </w:p>
    <w:p w:rsidR="00EB4111" w:rsidRPr="0046006B" w:rsidRDefault="00EB4111" w:rsidP="00C1628D">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ولكن يتمثل أحد الاختلافات الجوهرية في طبيعة النص المطلوب ترجمته</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 xml:space="preserve">وعلى الرغم من أن بيان المنتج والوصف الموجز لنسخة التصميم يكونان، في أغلب الأحيان، نصوصاً قصيرة وبسيطة، على غرار بيانات السلع والخدمات الخاصة بالعلامات التجارية، </w:t>
      </w:r>
      <w:r w:rsidRPr="0046006B">
        <w:rPr>
          <w:rFonts w:ascii="Arabic Typesetting" w:eastAsia="Times New Roman" w:hAnsi="Arabic Typesetting" w:cs="Arabic Typesetting"/>
          <w:color w:val="000000"/>
          <w:sz w:val="36"/>
          <w:szCs w:val="36"/>
          <w:rtl/>
          <w:lang w:eastAsia="ar"/>
        </w:rPr>
        <w:t>فإن وصف السمات المميزة للتصميم الصناعي يكون نصاً معقداً وقد يصبح طويلاً جداً</w:t>
      </w:r>
      <w:r w:rsidR="003B13DF">
        <w:rPr>
          <w:rFonts w:ascii="Arabic Typesetting" w:eastAsia="Times New Roman" w:hAnsi="Arabic Typesetting" w:cs="Arabic Typesetting"/>
          <w:color w:val="000000"/>
          <w:sz w:val="36"/>
          <w:szCs w:val="36"/>
          <w:rtl/>
          <w:lang w:eastAsia="ar"/>
        </w:rPr>
        <w:t xml:space="preserve">. </w:t>
      </w:r>
      <w:r w:rsidRPr="0046006B">
        <w:rPr>
          <w:rFonts w:ascii="Arabic Typesetting" w:eastAsia="Times New Roman" w:hAnsi="Arabic Typesetting" w:cs="Arabic Typesetting"/>
          <w:color w:val="000000"/>
          <w:sz w:val="36"/>
          <w:szCs w:val="36"/>
          <w:rtl/>
          <w:lang w:eastAsia="ar"/>
        </w:rPr>
        <w:t>ومن ثمَّ،</w:t>
      </w:r>
      <w:r w:rsidRPr="0046006B">
        <w:rPr>
          <w:rFonts w:ascii="Arabic Typesetting" w:hAnsi="Arabic Typesetting" w:cs="Arabic Typesetting"/>
          <w:sz w:val="36"/>
          <w:szCs w:val="36"/>
          <w:rtl/>
          <w:lang w:eastAsia="ar"/>
        </w:rPr>
        <w:t xml:space="preserve"> يمكن أن </w:t>
      </w:r>
      <w:r w:rsidR="0023621D">
        <w:rPr>
          <w:rFonts w:ascii="Arabic Typesetting" w:hAnsi="Arabic Typesetting" w:cs="Arabic Typesetting" w:hint="cs"/>
          <w:sz w:val="36"/>
          <w:szCs w:val="36"/>
          <w:rtl/>
          <w:lang w:eastAsia="ar"/>
        </w:rPr>
        <w:t>يُسفر</w:t>
      </w:r>
      <w:r w:rsidRPr="0046006B">
        <w:rPr>
          <w:rFonts w:ascii="Arabic Typesetting" w:hAnsi="Arabic Typesetting" w:cs="Arabic Typesetting"/>
          <w:sz w:val="36"/>
          <w:szCs w:val="36"/>
          <w:rtl/>
          <w:lang w:eastAsia="ar"/>
        </w:rPr>
        <w:t xml:space="preserve"> إدخال لغات جديدة </w:t>
      </w:r>
      <w:r w:rsidR="0023621D">
        <w:rPr>
          <w:rFonts w:ascii="Arabic Typesetting" w:hAnsi="Arabic Typesetting" w:cs="Arabic Typesetting" w:hint="cs"/>
          <w:sz w:val="36"/>
          <w:szCs w:val="36"/>
          <w:rtl/>
          <w:lang w:eastAsia="ar"/>
        </w:rPr>
        <w:t xml:space="preserve">عن </w:t>
      </w:r>
      <w:r w:rsidRPr="0046006B">
        <w:rPr>
          <w:rFonts w:ascii="Arabic Typesetting" w:hAnsi="Arabic Typesetting" w:cs="Arabic Typesetting"/>
          <w:sz w:val="36"/>
          <w:szCs w:val="36"/>
          <w:rtl/>
          <w:lang w:eastAsia="ar"/>
        </w:rPr>
        <w:t>تأثيرات إضافية على الجودة، فضلاً عن تأثيرات وقت المعالجة، فيما يتعلق بترجمة ذلك العنصر على وجه التحديد.</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كما أن اختلاف الآثار المالية المترتبة على الممارستين قد يختلف باختلاف اللغة الجديدة التي ستُدخل في نظام لاهاي وخيار التنفيذ المُختار لإدخالها</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ويرد في مرفق هذه الوثيقة مزيد من المعلومات عن الآثار المالية لكلتا الممارستين في إطار كل خيار</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إلا أن الفروق الدقيقة، المُوضَّحة في الفقرة السابقة، الناشئة عن طبيعة المادة النصية لا تنعكس على تقديرات التكلفة.</w:t>
      </w:r>
    </w:p>
    <w:p w:rsidR="00EB4111" w:rsidRPr="0046006B" w:rsidRDefault="00EB4111" w:rsidP="00F10FE8">
      <w:pPr>
        <w:pStyle w:val="Heading2"/>
      </w:pPr>
      <w:r w:rsidRPr="0046006B">
        <w:rPr>
          <w:rtl/>
          <w:lang w:eastAsia="ar"/>
        </w:rPr>
        <w:t>رابعاً.</w:t>
      </w:r>
      <w:r w:rsidRPr="0046006B">
        <w:rPr>
          <w:rtl/>
          <w:lang w:eastAsia="ar"/>
        </w:rPr>
        <w:tab/>
        <w:t>خيارات التنفيذ الممكنة لإدخال لغات جديدة</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bookmarkStart w:id="8" w:name="_Ref7015774"/>
      <w:r w:rsidRPr="0046006B">
        <w:rPr>
          <w:rFonts w:ascii="Arabic Typesetting" w:hAnsi="Arabic Typesetting" w:cs="Arabic Typesetting"/>
          <w:sz w:val="36"/>
          <w:szCs w:val="36"/>
          <w:rtl/>
          <w:lang w:eastAsia="ar"/>
        </w:rPr>
        <w:t>يرد فيما يلي وصف لخيارات التنفيذ الممكنة لإدخال لغات جديدة في نظام لاهاي. وهذه الخيارات مُرتَّبة حسب درجة التعقيد، فالخيار الأول، ألا وهو خيار لغة الإيداع، هو أقلها تعقيداً</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وكل خيار من الخيارات المُوضَّحة تباعاً أدناه يزداد تعقيده من خلال تقديم خصائص إضافية، وسيكون له آثار تشغيلية ومالية تزداد باطَّراد</w:t>
      </w:r>
      <w:bookmarkEnd w:id="8"/>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وينبغي أن يُعتبر الاسم الذي أُطلق على كل خيار اسماً مؤقتاً وأن يظل وصفِيّاً إلى حد ما.</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 xml:space="preserve">وترد خيارات مماثلة في الوثيقة </w:t>
      </w:r>
      <w:r w:rsidRPr="0046006B">
        <w:rPr>
          <w:rFonts w:ascii="Arabic Typesetting" w:hAnsi="Arabic Typesetting" w:cs="Arabic Typesetting"/>
          <w:sz w:val="36"/>
          <w:szCs w:val="36"/>
          <w:lang w:eastAsia="ar" w:bidi="en-US"/>
        </w:rPr>
        <w:t>MM/LD/WG/17/7 Rev</w:t>
      </w:r>
      <w:r w:rsidR="00F10FE8">
        <w:rPr>
          <w:rFonts w:ascii="Arabic Typesetting" w:hAnsi="Arabic Typesetting" w:cs="Arabic Typesetting"/>
          <w:sz w:val="36"/>
          <w:szCs w:val="36"/>
          <w:lang w:eastAsia="ar"/>
        </w:rPr>
        <w:t>.</w:t>
      </w:r>
      <w:r w:rsidRPr="0046006B">
        <w:rPr>
          <w:rFonts w:ascii="Arabic Typesetting" w:hAnsi="Arabic Typesetting" w:cs="Arabic Typesetting"/>
          <w:sz w:val="36"/>
          <w:szCs w:val="36"/>
          <w:rtl/>
          <w:lang w:eastAsia="ar"/>
        </w:rPr>
        <w:t xml:space="preserve"> التي قُدِّمت إلى الدورة السابعة عشرة للفريق العامل لنظام مدريد (انظر الفقرات من 45 إلى 71 في الوثيقة المذكورة)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ومن الجدير بالذكر في هذا الصدد أن مودعي الطلبات في نظام لاهاي يُمنحون دائماً إمكانية إيداع طلباتهم الدولية بأي لغة متاحة من خلال هذه الخيارات، في حين أن خيارات مودع الطلب في نظام مدريد فيما يخص لغات الإيداع تقتصر بطبيعة الحال على اختيار مكتب المنشأ للغات المُحدَّدة (وعادة ما تكون لغة واحدة فقط).</w:t>
      </w:r>
    </w:p>
    <w:p w:rsidR="00EB4111" w:rsidRPr="0046006B" w:rsidRDefault="00EB4111" w:rsidP="00C1628D">
      <w:pPr>
        <w:pStyle w:val="Heading3"/>
        <w:tabs>
          <w:tab w:val="left" w:pos="985"/>
        </w:tabs>
      </w:pPr>
      <w:r w:rsidRPr="0046006B">
        <w:rPr>
          <w:rtl/>
          <w:lang w:eastAsia="ar"/>
        </w:rPr>
        <w:t>(ألف)</w:t>
      </w:r>
      <w:r w:rsidRPr="0046006B">
        <w:rPr>
          <w:rtl/>
          <w:lang w:eastAsia="ar"/>
        </w:rPr>
        <w:tab/>
        <w:t>لغة الإيداع</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في هذا الخيار، سيكون بمقدور المودعين إيداع الطلبات الدولية باللغة الجديدة.</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وسوف يقوم المكتب الدولي بفحص الطلب الدولي بتلك اللغة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وسوف يتواصل أيضاً مع المُودِع بتلك اللغة، ما لم يشر المودع إلى رغبته في تلقي التبليغات الواردة من المكتب الدولي باللغة الإنكليزية أو الفرنسية أو الإسبانية.</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lastRenderedPageBreak/>
        <w:t>وبعد اكتمال الفحص، يُترجِم المكتبُ الدولي المعلومات ذات الصلة الواردة في الطلب الدولي إلى الإنكليزية والفرنسية والإسبانية، ويُدوِّن التسجيلَ الدولي وينشره بهذه اللغات الثلاث.</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إلا أن جميع المراسلات الأخرى المتعلقة بالتسجيل الدولي مع صاحب التسجيل والمكاتب ستظل باللغة الإنكليزية أو الفرنسية أو الإسبانية فقط.</w:t>
      </w:r>
    </w:p>
    <w:p w:rsidR="00EB4111" w:rsidRPr="0046006B" w:rsidRDefault="00EB4111" w:rsidP="00F10FE8">
      <w:pPr>
        <w:pStyle w:val="Heading4"/>
      </w:pPr>
      <w:r w:rsidRPr="0046006B">
        <w:rPr>
          <w:rtl/>
          <w:lang w:eastAsia="ar"/>
        </w:rPr>
        <w:t>ملاحظات/تبعات</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سوف يكون بإمكان المودعين إكمال جميع خطوات عملية إيداع الطلب الدولي باللغة الجديدة.</w:t>
      </w:r>
    </w:p>
    <w:p w:rsidR="00EB4111" w:rsidRPr="0046006B" w:rsidRDefault="00EB4111" w:rsidP="00051FC9">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وسوف يتعين على المكتب الدولي إعداد وصون استمارة الطلب الدولي (</w:t>
      </w:r>
      <w:r w:rsidRPr="0046006B">
        <w:rPr>
          <w:rFonts w:ascii="Arabic Typesetting" w:hAnsi="Arabic Typesetting" w:cs="Arabic Typesetting"/>
          <w:sz w:val="36"/>
          <w:szCs w:val="36"/>
          <w:lang w:eastAsia="ar" w:bidi="en-US"/>
        </w:rPr>
        <w:t>DM</w:t>
      </w:r>
      <w:r w:rsidR="00051FC9">
        <w:rPr>
          <w:rFonts w:ascii="Arabic Typesetting" w:hAnsi="Arabic Typesetting" w:cs="Arabic Typesetting"/>
          <w:sz w:val="36"/>
          <w:szCs w:val="36"/>
          <w:lang w:eastAsia="ar"/>
        </w:rPr>
        <w:t>/1</w:t>
      </w:r>
      <w:r w:rsidRPr="0046006B">
        <w:rPr>
          <w:rFonts w:ascii="Arabic Typesetting" w:hAnsi="Arabic Typesetting" w:cs="Arabic Typesetting"/>
          <w:sz w:val="36"/>
          <w:szCs w:val="36"/>
          <w:rtl/>
          <w:lang w:eastAsia="ar"/>
        </w:rPr>
        <w:t xml:space="preserve">) وواجهة الإيداع في نظام لاهاي الإلكتروني </w:t>
      </w:r>
      <w:r w:rsidR="00051FC9">
        <w:rPr>
          <w:rFonts w:ascii="Arabic Typesetting" w:hAnsi="Arabic Typesetting" w:cs="Arabic Typesetting" w:hint="cs"/>
          <w:sz w:val="36"/>
          <w:szCs w:val="36"/>
          <w:rtl/>
          <w:lang w:eastAsia="ar"/>
        </w:rPr>
        <w:t>(</w:t>
      </w:r>
      <w:proofErr w:type="spellStart"/>
      <w:r w:rsidR="00051FC9" w:rsidRPr="00051FC9">
        <w:rPr>
          <w:rFonts w:ascii="Arabic Typesetting" w:hAnsi="Arabic Typesetting" w:cs="Arabic Typesetting"/>
          <w:sz w:val="36"/>
          <w:szCs w:val="36"/>
          <w:lang w:eastAsia="ar"/>
        </w:rPr>
        <w:t>eHague</w:t>
      </w:r>
      <w:proofErr w:type="spellEnd"/>
      <w:r w:rsidR="00051FC9">
        <w:rPr>
          <w:rFonts w:ascii="Arabic Typesetting" w:hAnsi="Arabic Typesetting" w:cs="Arabic Typesetting" w:hint="cs"/>
          <w:sz w:val="36"/>
          <w:szCs w:val="36"/>
          <w:rtl/>
          <w:lang w:eastAsia="ar"/>
        </w:rPr>
        <w:t xml:space="preserve">) </w:t>
      </w:r>
      <w:r w:rsidRPr="0046006B">
        <w:rPr>
          <w:rFonts w:ascii="Arabic Typesetting" w:hAnsi="Arabic Typesetting" w:cs="Arabic Typesetting"/>
          <w:sz w:val="36"/>
          <w:szCs w:val="36"/>
          <w:rtl/>
          <w:lang w:eastAsia="ar"/>
        </w:rPr>
        <w:t>باللغة الجديدة.</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وسوف يلزم ترجمة الطلب الدولي إلى ثلاث لغات، بدلاً من لغتين كما هو الحال في الوقت الراهن</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ولن يزداد الوقت المُستغرق في المعالجة قبل الفحص لأن الفحص الشكلي سوف يُجرى بتلك اللغة الجديدة.</w:t>
      </w:r>
    </w:p>
    <w:p w:rsidR="00EB4111" w:rsidRPr="0046006B" w:rsidRDefault="00EB4111" w:rsidP="00BB3E3F">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وسوف يتعين على المكتب الدولي توظيف وتدريب واستبقاء فاحصين ومترجمين/مر</w:t>
      </w:r>
      <w:r w:rsidR="00BB3E3F">
        <w:rPr>
          <w:rFonts w:ascii="Arabic Typesetting" w:hAnsi="Arabic Typesetting" w:cs="Arabic Typesetting" w:hint="cs"/>
          <w:sz w:val="36"/>
          <w:szCs w:val="36"/>
          <w:rtl/>
          <w:lang w:eastAsia="ar"/>
        </w:rPr>
        <w:t>ا</w:t>
      </w:r>
      <w:r w:rsidRPr="0046006B">
        <w:rPr>
          <w:rFonts w:ascii="Arabic Typesetting" w:hAnsi="Arabic Typesetting" w:cs="Arabic Typesetting"/>
          <w:sz w:val="36"/>
          <w:szCs w:val="36"/>
          <w:rtl/>
          <w:lang w:eastAsia="ar"/>
        </w:rPr>
        <w:t>ج</w:t>
      </w:r>
      <w:r w:rsidR="00BB3E3F">
        <w:rPr>
          <w:rFonts w:ascii="Arabic Typesetting" w:hAnsi="Arabic Typesetting" w:cs="Arabic Typesetting" w:hint="cs"/>
          <w:sz w:val="36"/>
          <w:szCs w:val="36"/>
          <w:rtl/>
          <w:lang w:eastAsia="ar"/>
        </w:rPr>
        <w:t>ع</w:t>
      </w:r>
      <w:r w:rsidRPr="0046006B">
        <w:rPr>
          <w:rFonts w:ascii="Arabic Typesetting" w:hAnsi="Arabic Typesetting" w:cs="Arabic Typesetting"/>
          <w:sz w:val="36"/>
          <w:szCs w:val="36"/>
          <w:rtl/>
          <w:lang w:eastAsia="ar"/>
        </w:rPr>
        <w:t>ين يتقنون اللغة الجديدة.</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وسوف يؤدي هذا الخيار إلى زيادة متوسطة في تكاليف الترجمة، ويتوقف ذلك على عدد الطلبات الدولية المُودعة باللغة الجديدة.</w:t>
      </w:r>
    </w:p>
    <w:p w:rsidR="00EB4111" w:rsidRPr="00F10FE8" w:rsidRDefault="00EB4111" w:rsidP="00F10FE8">
      <w:pPr>
        <w:pStyle w:val="Heading3"/>
        <w:rPr>
          <w:lang w:eastAsia="ar"/>
        </w:rPr>
      </w:pPr>
      <w:r w:rsidRPr="00F10FE8">
        <w:rPr>
          <w:rtl/>
          <w:lang w:eastAsia="ar"/>
        </w:rPr>
        <w:t>(باء)</w:t>
      </w:r>
      <w:r w:rsidRPr="00F10FE8">
        <w:rPr>
          <w:rtl/>
          <w:lang w:eastAsia="ar"/>
        </w:rPr>
        <w:tab/>
        <w:t>لغة النشر</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انطلاقاً من الخيار السابق الذي أُودِع فيه الطلب الدولي وفُحِص باللغة الجديدة، سوف يقوم المكتب الدولي أيضاً بتدوين التسجيل الدولي بتلك اللغة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ومن ثمَّ فإن التسجيل الدولي، بعد ترجمته إلى الإنكليزية والفرنسية والإسبانية، سوف يُدوَّن ويُنشَر بتلك اللغات الأربع.</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كما أنه فيما يخص التسجيلات الدولية المنشورة بتلك اللغة الجديدة فقط، سوف يكون بمقدور مكاتب الأطراف المتعاقدة المعينة أن ترسل مراسلات (أيْ إخطارات الرفض وبيانات منح الحماية) بتلك اللغة، وكذلك بالإنكليزية أو الفرنسية أو الإسبانية.</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وسوف يكون بمقدور أصحاب التسجيلات الدولية المنشورة باللغة الجديدة إرسال مراسلات إلى المكتب الدولي بتلك اللغة (أيْ تقديم التماس لتدوين تغيير ما) وتلقي مراسلات من المكتب الدولي بتلك اللغة.</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وأما عمليات التدوين والنشر والمراسلة المتعلقة بتسجيلات دولية ناتجة عن طلب مودع باللغة الإنكليزية أو الفرنسية أو الإسبانية فسوف تظل بتلك اللغات فقط.</w:t>
      </w:r>
    </w:p>
    <w:p w:rsidR="00EB4111" w:rsidRPr="0046006B" w:rsidRDefault="00EB4111" w:rsidP="00F10FE8">
      <w:pPr>
        <w:pStyle w:val="Heading4"/>
        <w:rPr>
          <w:lang w:eastAsia="ar"/>
        </w:rPr>
      </w:pPr>
      <w:r w:rsidRPr="0046006B">
        <w:rPr>
          <w:rtl/>
          <w:lang w:eastAsia="ar"/>
        </w:rPr>
        <w:lastRenderedPageBreak/>
        <w:t>ملاحظات/تبعات</w:t>
      </w:r>
    </w:p>
    <w:p w:rsidR="00EB4111" w:rsidRPr="0046006B" w:rsidRDefault="00EB4111" w:rsidP="00F10FE8">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 xml:space="preserve">سوف يؤدي هذا الخيار إلى إدخال لغة جديدة تتجاوز بالفعل مستوى لغات النشر العشر الحالية في نظام معاهدة التعاون بشأن البراءات، لأن التسجيل الدولي لن "يُدوَّن" </w:t>
      </w:r>
      <w:proofErr w:type="spellStart"/>
      <w:r w:rsidRPr="0046006B">
        <w:rPr>
          <w:rFonts w:ascii="Arabic Typesetting" w:hAnsi="Arabic Typesetting" w:cs="Arabic Typesetting"/>
          <w:sz w:val="36"/>
          <w:szCs w:val="36"/>
          <w:rtl/>
          <w:lang w:eastAsia="ar"/>
        </w:rPr>
        <w:t>و"يُنشَر</w:t>
      </w:r>
      <w:proofErr w:type="spellEnd"/>
      <w:r w:rsidRPr="0046006B">
        <w:rPr>
          <w:rFonts w:ascii="Arabic Typesetting" w:hAnsi="Arabic Typesetting" w:cs="Arabic Typesetting"/>
          <w:sz w:val="36"/>
          <w:szCs w:val="36"/>
          <w:rtl/>
          <w:lang w:eastAsia="ar"/>
        </w:rPr>
        <w:t>" باللغة الجديدة فحسب، بل "سوف يُسمح أيضاً لمكتب الطرف المتعاقد المعين بإرسال مراسلات" بتلك اللغة.</w:t>
      </w:r>
    </w:p>
    <w:p w:rsidR="00EB4111" w:rsidRPr="0046006B" w:rsidRDefault="00EB4111" w:rsidP="00C1628D">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وسوف يُسهِّل هذا الخيارُ الأمرَ على كلٍّ من المستخدمين والمكاتب، إذ يُمكِّنهم من التواصل باللغة المُفضَّلة لكليهما، مع تفادي استخدام تلك اللغة في سياقات أخرى غير ذات صلة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على سبيل المثا</w:t>
      </w:r>
      <w:r w:rsidR="00BB3E3F">
        <w:rPr>
          <w:rFonts w:ascii="Arabic Typesetting" w:hAnsi="Arabic Typesetting" w:cs="Arabic Typesetting"/>
          <w:sz w:val="36"/>
          <w:szCs w:val="36"/>
          <w:rtl/>
          <w:lang w:eastAsia="ar"/>
        </w:rPr>
        <w:t>ل، إذا أُودِع الطلب الدولي بأي</w:t>
      </w:r>
      <w:r w:rsidRPr="0046006B">
        <w:rPr>
          <w:rFonts w:ascii="Arabic Typesetting" w:hAnsi="Arabic Typesetting" w:cs="Arabic Typesetting"/>
          <w:sz w:val="36"/>
          <w:szCs w:val="36"/>
          <w:rtl/>
          <w:lang w:eastAsia="ar"/>
        </w:rPr>
        <w:t xml:space="preserve"> لغة من اللغات الثلاث الحالية، فلن يتلقى صاحب الطلب مراسلات من أي مكتب بأي لغة جديدة.</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وكما هو الحال في الخيار السابق، سوف يتعين على المكتب الدولي إعداد وصون استمارة الطلب الدولي والواجهة الإلكترونية باللغة الجديدة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 xml:space="preserve">وإضافةً إلى ذلك، سوف يلزم توسيع نطاق هذا التطوير التقني والصيانة ليشمل الاستمارات الرسمية الأخرى، والنشر (أيْ </w:t>
      </w:r>
      <w:r w:rsidRPr="0046006B">
        <w:rPr>
          <w:rFonts w:ascii="Arabic Typesetting" w:hAnsi="Arabic Typesetting" w:cs="Arabic Typesetting"/>
          <w:i/>
          <w:iCs/>
          <w:sz w:val="36"/>
          <w:szCs w:val="36"/>
          <w:rtl/>
          <w:lang w:eastAsia="ar"/>
        </w:rPr>
        <w:t>نشرة التصاميم الدولية</w:t>
      </w:r>
      <w:r w:rsidRPr="0046006B">
        <w:rPr>
          <w:rFonts w:ascii="Arabic Typesetting" w:hAnsi="Arabic Typesetting" w:cs="Arabic Typesetting"/>
          <w:sz w:val="36"/>
          <w:szCs w:val="36"/>
          <w:rtl/>
          <w:lang w:eastAsia="ar"/>
        </w:rPr>
        <w:t>)، وقاعدة البيانات ذات الصلة (أيْ قاعدة البيانات العالمية للتصاميم)، وكذلك المراسلات بين المكاتب والمكتب الدولي.</w:t>
      </w:r>
    </w:p>
    <w:p w:rsidR="00EB4111" w:rsidRPr="002C64F6" w:rsidRDefault="00EB4111" w:rsidP="002C64F6">
      <w:pPr>
        <w:pStyle w:val="Heading3"/>
        <w:rPr>
          <w:lang w:eastAsia="ar"/>
        </w:rPr>
      </w:pPr>
      <w:r w:rsidRPr="002C64F6">
        <w:rPr>
          <w:rtl/>
          <w:lang w:eastAsia="ar"/>
        </w:rPr>
        <w:t>(جيم)</w:t>
      </w:r>
      <w:r w:rsidRPr="002C64F6">
        <w:rPr>
          <w:rtl/>
          <w:lang w:eastAsia="ar"/>
        </w:rPr>
        <w:tab/>
        <w:t>لغة النشر ومراسلة المكتب</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هذه نسخة مُوسَّعة من الخيار السابق</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ففي هذا الخيار، يمكن لمكتب الطرف المتعاقد أن يختار إرسال المراسلات (أيْ إخطارات الرفض وبيانات منح الحماية) بلغة جديدة، بصرف النظر عن اللغة التي أُودِع بها الطلب الدولي.</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وسوف يُدوِّن المكتبُ الدولي التسجيلَ الدولي باللغة التي أُودِع بها الطلب، وسوف يقوم بما يلزم من الترجمة لنشره بالإنكليزية والفرنسية والإسبانية، فضلاً عن اللغة الجديدة الأخرى إذا كان مكتب أي طرف متعاقد معين قد اختار تلك اللغة.</w:t>
      </w:r>
    </w:p>
    <w:p w:rsidR="00EB4111" w:rsidRPr="0046006B" w:rsidRDefault="00EB4111" w:rsidP="002C64F6">
      <w:pPr>
        <w:pStyle w:val="Heading4"/>
        <w:rPr>
          <w:lang w:eastAsia="ar"/>
        </w:rPr>
      </w:pPr>
      <w:r w:rsidRPr="0046006B">
        <w:rPr>
          <w:rtl/>
          <w:lang w:eastAsia="ar"/>
        </w:rPr>
        <w:t>ملاحظات/تبعات</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لن يمنح هذا الخيارُ مودعي الطلبات شيئاً من اليُسْر والراحة أكثر مما يمنحه الخيار السابق، ما عدا أن الترجمات الإضافية لبعض النصوص (أيْ بيان المنتج، والوصف أو شرح الرموز إن وُجد) سوف يُقدِّمها وينشرها المكتب الدولي باللغة الجديدة، وذلك حسب الأطراف المتعاقدة المعينة في الطلب الدولي، مما قد يساعد على إنفاذ الحقوق في ولاية قضائية ما.</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ومن ناحية أخرى، يختلف هذا الخيار عن الخيار السابق في أن صاحب الطلب يمكن أن يتلقى مراسلات من مكتب طرف متعاقد معين بلغة جديدة، بغض النظر عن لغة الإيداع</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ولذلك فإن صاحب الطلب غير المُلمّ بتلك اللغة قد يواجه صعوبات في فهم القرارات والتعامل معها</w:t>
      </w:r>
      <w:r w:rsidRPr="0046006B">
        <w:rPr>
          <w:rStyle w:val="FootnoteReference"/>
          <w:rtl/>
          <w:lang w:eastAsia="ar"/>
        </w:rPr>
        <w:footnoteReference w:id="21"/>
      </w:r>
      <w:r w:rsidRPr="0046006B">
        <w:rPr>
          <w:rFonts w:ascii="Arabic Typesetting" w:hAnsi="Arabic Typesetting" w:cs="Arabic Typesetting"/>
          <w:sz w:val="36"/>
          <w:szCs w:val="36"/>
          <w:rtl/>
          <w:lang w:eastAsia="ar"/>
        </w:rPr>
        <w:t>.</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lastRenderedPageBreak/>
        <w:t>كما أن العبء الإضافي لأعمال الترجمة والأعمال التنفيذية، خاصةً فيما يتعلق بمعالجة المراسلات القادمة من المكاتب بلغات جديدة، سوف يتطلب أن يقوم المكتب الدولي بتوظيف وتدريب واستبقاء مزيد من الموظفين الذين يجيدون اللغة الجديدة أكثر من الخيارات السابقة.</w:t>
      </w:r>
    </w:p>
    <w:p w:rsidR="00EB4111" w:rsidRPr="002C64F6" w:rsidRDefault="00EB4111" w:rsidP="002C64F6">
      <w:pPr>
        <w:pStyle w:val="Heading3"/>
        <w:rPr>
          <w:lang w:eastAsia="ar"/>
        </w:rPr>
      </w:pPr>
      <w:r w:rsidRPr="002C64F6">
        <w:rPr>
          <w:rtl/>
          <w:lang w:eastAsia="ar"/>
        </w:rPr>
        <w:t>(دال)</w:t>
      </w:r>
      <w:r w:rsidRPr="002C64F6">
        <w:rPr>
          <w:rtl/>
          <w:lang w:eastAsia="ar"/>
        </w:rPr>
        <w:tab/>
        <w:t>لغة العمل</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في ظل هذا الخيار، سوف يسري أيضاً النظامُ المنصوص عليه حالياً في القاعدة 6 من اللائحة التنفيذية المشتركة على اللغة الجديدة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وبعبارة أخرى، سوف يتعين على المكتب الدولي ترجمة جميع التسجيلات الدولية (في جميع الحالات) إلى أي لغة جديدة بالإضافة إلى الإنكليزية والفرنسية والإسبانية، وذلك على عكس الخيار السابق.</w:t>
      </w:r>
    </w:p>
    <w:p w:rsidR="00EB4111" w:rsidRPr="0046006B" w:rsidRDefault="00EB4111" w:rsidP="002C64F6">
      <w:pPr>
        <w:pStyle w:val="Heading4"/>
        <w:rPr>
          <w:lang w:eastAsia="ar"/>
        </w:rPr>
      </w:pPr>
      <w:r w:rsidRPr="0046006B">
        <w:rPr>
          <w:rtl/>
          <w:lang w:eastAsia="ar"/>
        </w:rPr>
        <w:t>ملاحظات/تبعات</w:t>
      </w:r>
      <w:bookmarkStart w:id="9" w:name="_Ref4499518"/>
    </w:p>
    <w:p w:rsidR="00EB4111" w:rsidRPr="0046006B" w:rsidRDefault="00EB4111" w:rsidP="00BA7449">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ستكون التسجيلات الدولية وجميع ال</w:t>
      </w:r>
      <w:r w:rsidR="00BA7449">
        <w:rPr>
          <w:rFonts w:ascii="Arabic Typesetting" w:hAnsi="Arabic Typesetting" w:cs="Arabic Typesetting" w:hint="cs"/>
          <w:sz w:val="36"/>
          <w:szCs w:val="36"/>
          <w:rtl/>
          <w:lang w:eastAsia="ar"/>
        </w:rPr>
        <w:t xml:space="preserve">سجلات </w:t>
      </w:r>
      <w:r w:rsidRPr="0046006B">
        <w:rPr>
          <w:rFonts w:ascii="Arabic Typesetting" w:hAnsi="Arabic Typesetting" w:cs="Arabic Typesetting"/>
          <w:sz w:val="36"/>
          <w:szCs w:val="36"/>
          <w:rtl/>
          <w:lang w:eastAsia="ar"/>
        </w:rPr>
        <w:t>متاحةً بجميع لغات العمل</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ولذلك سوف يتمكن مزيد من المكاتب والجهات الأخرى من فهم التسجيل الدولي والقرارات الصادرة باللغة الجديدة إذا كانوا أكثر إلماماً بتلك اللغة.</w:t>
      </w:r>
    </w:p>
    <w:p w:rsidR="00EB4111" w:rsidRPr="0046006B" w:rsidRDefault="00EB4111" w:rsidP="00C1628D">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إلا أن هذه الترجمة الروتينية إلى جميع لغات العمل سوف تُسفر عن عدد من الترجمات غير الضرورية التي لن يُنتفع بها وسوف تُكبِّد اتحاد لاهاي تكلفة كبيرة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وبلغ متوسط عدد التعيينات في الطلب الدولي 3.6 أطراف متعاقدة في عام 2018</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وفي الوقت الحاضر، تُجري معظم مكاتب الأطراف المتعاقدة المعينة الفحصَ باللغة الإنكليزية (أكثر من 99% من القرارات التي وردت في عام 2018 كانت باللغة الإنكليزية</w:t>
      </w:r>
      <w:bookmarkEnd w:id="9"/>
      <w:r w:rsidRPr="0046006B">
        <w:rPr>
          <w:rFonts w:ascii="Arabic Typesetting" w:hAnsi="Arabic Typesetting" w:cs="Arabic Typesetting"/>
          <w:sz w:val="36"/>
          <w:szCs w:val="36"/>
          <w:rtl/>
          <w:lang w:eastAsia="ar"/>
        </w:rPr>
        <w:t>).</w:t>
      </w:r>
    </w:p>
    <w:p w:rsidR="00EB4111" w:rsidRPr="0046006B" w:rsidRDefault="00EB4111" w:rsidP="002C64F6">
      <w:pPr>
        <w:pStyle w:val="Heading3"/>
      </w:pPr>
      <w:r w:rsidRPr="0046006B">
        <w:rPr>
          <w:rtl/>
          <w:lang w:eastAsia="ar"/>
        </w:rPr>
        <w:t>ملاحظات إضافية بشأن التّبعات المتعلقة بالتكلفة</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ترد في مرفق هذه الوثيقة التكاليفُ المُقدَّرة لكل خيار من خيارات التنفيذ المذكورة أعلاه</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 xml:space="preserve">ويستند تقدير التكاليف إلى الإدخال المحتمل للغة الروسية أو اللغة الصينية، اللتين تتّبع </w:t>
      </w:r>
      <w:proofErr w:type="spellStart"/>
      <w:r w:rsidRPr="0046006B">
        <w:rPr>
          <w:rFonts w:ascii="Arabic Typesetting" w:hAnsi="Arabic Typesetting" w:cs="Arabic Typesetting"/>
          <w:sz w:val="36"/>
          <w:szCs w:val="36"/>
          <w:rtl/>
          <w:lang w:eastAsia="ar"/>
        </w:rPr>
        <w:t>منهجيتهما</w:t>
      </w:r>
      <w:proofErr w:type="spellEnd"/>
      <w:r w:rsidRPr="0046006B">
        <w:rPr>
          <w:rFonts w:ascii="Arabic Typesetting" w:hAnsi="Arabic Typesetting" w:cs="Arabic Typesetting"/>
          <w:sz w:val="36"/>
          <w:szCs w:val="36"/>
          <w:rtl/>
          <w:lang w:eastAsia="ar"/>
        </w:rPr>
        <w:t xml:space="preserve"> ونسقهما، مع بعض التعديلات، تقديرات مماثلة للتكاليف الواردة في مرفق الوثيقة </w:t>
      </w:r>
      <w:r w:rsidRPr="0046006B">
        <w:rPr>
          <w:rFonts w:ascii="Arabic Typesetting" w:hAnsi="Arabic Typesetting" w:cs="Arabic Typesetting"/>
          <w:sz w:val="36"/>
          <w:szCs w:val="36"/>
          <w:lang w:eastAsia="ar" w:bidi="en-US"/>
        </w:rPr>
        <w:t>MM/LD/WG/17/7 Rev</w:t>
      </w:r>
      <w:r w:rsidRPr="0046006B">
        <w:rPr>
          <w:rFonts w:ascii="Arabic Typesetting" w:hAnsi="Arabic Typesetting" w:cs="Arabic Typesetting"/>
          <w:sz w:val="36"/>
          <w:szCs w:val="36"/>
          <w:rtl/>
          <w:lang w:eastAsia="ar"/>
        </w:rPr>
        <w:t>.</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 xml:space="preserve">وتشمل التكاليف المُقدَّرة "تكاليف عمليات الترجمة" فقط، باستثناء الموارد والتكاليف التي سوف </w:t>
      </w:r>
      <w:proofErr w:type="spellStart"/>
      <w:r w:rsidRPr="0046006B">
        <w:rPr>
          <w:rFonts w:ascii="Arabic Typesetting" w:hAnsi="Arabic Typesetting" w:cs="Arabic Typesetting"/>
          <w:sz w:val="36"/>
          <w:szCs w:val="36"/>
          <w:rtl/>
          <w:lang w:eastAsia="ar"/>
        </w:rPr>
        <w:t>تتطلبها</w:t>
      </w:r>
      <w:proofErr w:type="spellEnd"/>
      <w:r w:rsidRPr="0046006B">
        <w:rPr>
          <w:rFonts w:ascii="Arabic Typesetting" w:hAnsi="Arabic Typesetting" w:cs="Arabic Typesetting"/>
          <w:sz w:val="36"/>
          <w:szCs w:val="36"/>
          <w:rtl/>
          <w:lang w:eastAsia="ar"/>
        </w:rPr>
        <w:t xml:space="preserve"> عمليات تطوير وتعديل وصيانة أنظمة تكنولوجيا المعلومات والاتصالات (بما فيها منصة النشر وقاعدة البيانات ذات الصلة) الخاصة بالمكتب الدولي</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 xml:space="preserve">وسوف يحتاج المكتب الدولي أيضاً إلى تطوير وصون جميع الاستمارات الرسمية من </w:t>
      </w:r>
      <w:r w:rsidRPr="0046006B">
        <w:rPr>
          <w:rFonts w:ascii="Arabic Typesetting" w:hAnsi="Arabic Typesetting" w:cs="Arabic Typesetting"/>
          <w:sz w:val="36"/>
          <w:szCs w:val="36"/>
          <w:lang w:eastAsia="ar" w:bidi="en-US"/>
        </w:rPr>
        <w:t>DM</w:t>
      </w:r>
      <w:r w:rsidR="002C64F6">
        <w:rPr>
          <w:rFonts w:ascii="Arabic Typesetting" w:hAnsi="Arabic Typesetting" w:cs="Arabic Typesetting"/>
          <w:sz w:val="36"/>
          <w:szCs w:val="36"/>
          <w:lang w:eastAsia="ar"/>
        </w:rPr>
        <w:t>/1</w:t>
      </w:r>
      <w:r w:rsidRPr="0046006B">
        <w:rPr>
          <w:rFonts w:ascii="Arabic Typesetting" w:hAnsi="Arabic Typesetting" w:cs="Arabic Typesetting"/>
          <w:sz w:val="36"/>
          <w:szCs w:val="36"/>
          <w:rtl/>
          <w:lang w:eastAsia="ar"/>
        </w:rPr>
        <w:t xml:space="preserve"> إلى </w:t>
      </w:r>
      <w:r w:rsidRPr="0046006B">
        <w:rPr>
          <w:rFonts w:ascii="Arabic Typesetting" w:hAnsi="Arabic Typesetting" w:cs="Arabic Typesetting"/>
          <w:sz w:val="36"/>
          <w:szCs w:val="36"/>
          <w:lang w:eastAsia="ar" w:bidi="en-US"/>
        </w:rPr>
        <w:t>DM</w:t>
      </w:r>
      <w:r w:rsidR="002C64F6">
        <w:rPr>
          <w:rFonts w:ascii="Arabic Typesetting" w:hAnsi="Arabic Typesetting" w:cs="Arabic Typesetting"/>
          <w:sz w:val="36"/>
          <w:szCs w:val="36"/>
          <w:lang w:eastAsia="ar"/>
        </w:rPr>
        <w:t>/9</w:t>
      </w:r>
      <w:r w:rsidRPr="0046006B">
        <w:rPr>
          <w:rFonts w:ascii="Arabic Typesetting" w:hAnsi="Arabic Typesetting" w:cs="Arabic Typesetting"/>
          <w:sz w:val="36"/>
          <w:szCs w:val="36"/>
          <w:rtl/>
          <w:lang w:eastAsia="ar"/>
        </w:rPr>
        <w:t>، والأدوات الإلكترونية (نظام لاهاي الإلكتروني، التجديد الإلكتروني)، والمواد الإعلامية (أيْ دليل المستخدمين ومحتويات الموقع الإلكتروني الأخرى) بتلك اللغة الإضافية، وذلك حسب خيارات التنفيذ.</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وأخيراً، سوف تتطلب جميع الخيارات موارد بشرية إضافية في دائرة عمليات نظام لاهاي</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فإدخال لغة جديدة سوف يؤثر على جميع المجالات الأخرى لسجل لاهاي، إذ سوف توجد حاجة إلى موارد تتقن اللغات الجديدة.</w:t>
      </w:r>
    </w:p>
    <w:p w:rsidR="00EB4111" w:rsidRPr="0046006B" w:rsidRDefault="00EB4111" w:rsidP="002C64F6">
      <w:pPr>
        <w:pStyle w:val="Heading3"/>
      </w:pPr>
      <w:r w:rsidRPr="0046006B">
        <w:rPr>
          <w:rtl/>
          <w:lang w:eastAsia="ar"/>
        </w:rPr>
        <w:t>الاستعراض المحتمل لنظام اللغات الحالي</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bookmarkStart w:id="10" w:name="_Ref4664634"/>
      <w:r w:rsidRPr="0046006B">
        <w:rPr>
          <w:rFonts w:ascii="Arabic Typesetting" w:hAnsi="Arabic Typesetting" w:cs="Arabic Typesetting"/>
          <w:sz w:val="36"/>
          <w:szCs w:val="36"/>
          <w:rtl/>
          <w:lang w:eastAsia="ar"/>
        </w:rPr>
        <w:t>قد يكون تطوير نظام لاهاي عن طريق إدخال لغات جديدة أمراً مفيداً نظراً إلى التوسع الجغرافي للنظام، ولكنه أيضاً أمر مرغوب فيه لأنه يقرب النظام من جميع مستخدميه.</w:t>
      </w:r>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lastRenderedPageBreak/>
        <w:t>إلا أن إدخال لغات جديدة في ظل نظام اللغات الحالي المنصوص عليه في القاعدة 6 من اللائحة التنفيذية المشتركة لن يكون ممكناً دون فرض عبء مالي وإداري ثقيل على اتحاد لاهاي الذي يعاني بالفعل عجزاً متكرراً، مما قد يهدد استدامة نظام لاهاي على المدى البعيد.</w:t>
      </w:r>
      <w:bookmarkStart w:id="11" w:name="_Ref4664641"/>
      <w:bookmarkEnd w:id="10"/>
    </w:p>
    <w:p w:rsidR="00EB4111" w:rsidRPr="0046006B" w:rsidRDefault="00EB4111" w:rsidP="002C64F6">
      <w:pPr>
        <w:pStyle w:val="ONUME"/>
        <w:numPr>
          <w:ilvl w:val="0"/>
          <w:numId w:val="46"/>
        </w:numPr>
        <w:tabs>
          <w:tab w:val="clear" w:pos="2457"/>
        </w:tabs>
        <w:bidi/>
        <w:spacing w:before="200" w:after="0"/>
        <w:ind w:left="-5" w:firstLine="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ولا يمكن تحقيق الهدف المتمثل في تمتُّع نظام لاهاي بالتنوع اللغوي بما يلبي احتياجات قاعدة المستخدمين العالمية إلا إذا كانت الفوائد والتّبعات مُوزَّعةً بتوازن دقيق على جميع أصحاب المصلحة</w:t>
      </w:r>
      <w:r w:rsidR="003B13DF">
        <w:rPr>
          <w:rFonts w:ascii="Arabic Typesetting" w:hAnsi="Arabic Typesetting" w:cs="Arabic Typesetting"/>
          <w:sz w:val="36"/>
          <w:szCs w:val="36"/>
          <w:rtl/>
          <w:lang w:eastAsia="ar"/>
        </w:rPr>
        <w:t xml:space="preserve">. </w:t>
      </w:r>
      <w:r w:rsidRPr="0046006B">
        <w:rPr>
          <w:rFonts w:ascii="Arabic Typesetting" w:hAnsi="Arabic Typesetting" w:cs="Arabic Typesetting"/>
          <w:sz w:val="36"/>
          <w:szCs w:val="36"/>
          <w:rtl/>
          <w:lang w:eastAsia="ar"/>
        </w:rPr>
        <w:t>ومع وضع هذا الهدف نصب العين، قد يرغب الفريق العامل في النظر فيما إذا كان ينبغي إجراء استعراض شامل لنظام اللغات المعمول به حالياً في نظام لاهاي</w:t>
      </w:r>
      <w:r w:rsidRPr="0046006B">
        <w:rPr>
          <w:rStyle w:val="FootnoteReference"/>
          <w:rtl/>
          <w:lang w:eastAsia="ar"/>
        </w:rPr>
        <w:footnoteReference w:id="22"/>
      </w:r>
      <w:r w:rsidRPr="0046006B">
        <w:rPr>
          <w:rFonts w:ascii="Arabic Typesetting" w:hAnsi="Arabic Typesetting" w:cs="Arabic Typesetting"/>
          <w:sz w:val="36"/>
          <w:szCs w:val="36"/>
          <w:rtl/>
          <w:lang w:eastAsia="ar"/>
        </w:rPr>
        <w:t>.</w:t>
      </w:r>
      <w:bookmarkEnd w:id="11"/>
    </w:p>
    <w:p w:rsidR="00EB4111" w:rsidRPr="002C64F6" w:rsidRDefault="00EB4111" w:rsidP="00F8422A">
      <w:pPr>
        <w:pStyle w:val="ONUME"/>
        <w:numPr>
          <w:ilvl w:val="0"/>
          <w:numId w:val="46"/>
        </w:numPr>
        <w:tabs>
          <w:tab w:val="clear" w:pos="2457"/>
        </w:tabs>
        <w:bidi/>
        <w:spacing w:before="200" w:after="0"/>
        <w:ind w:left="5485" w:firstLine="0"/>
        <w:rPr>
          <w:rFonts w:ascii="Arabic Typesetting" w:hAnsi="Arabic Typesetting" w:cs="Arabic Typesetting"/>
          <w:i/>
          <w:iCs/>
          <w:sz w:val="36"/>
          <w:szCs w:val="36"/>
        </w:rPr>
      </w:pPr>
      <w:r w:rsidRPr="002C64F6">
        <w:rPr>
          <w:rFonts w:ascii="Arabic Typesetting" w:hAnsi="Arabic Typesetting" w:cs="Arabic Typesetting"/>
          <w:i/>
          <w:iCs/>
          <w:sz w:val="36"/>
          <w:szCs w:val="36"/>
          <w:rtl/>
          <w:lang w:eastAsia="ar"/>
        </w:rPr>
        <w:t>إن الفريق العامل مدعو إلى:</w:t>
      </w:r>
    </w:p>
    <w:p w:rsidR="00EB4111" w:rsidRPr="0046006B" w:rsidRDefault="00EB4111" w:rsidP="006530C6">
      <w:pPr>
        <w:pStyle w:val="ListParagraph"/>
        <w:numPr>
          <w:ilvl w:val="2"/>
          <w:numId w:val="24"/>
        </w:numPr>
        <w:tabs>
          <w:tab w:val="num" w:pos="6663"/>
        </w:tabs>
        <w:bidi/>
        <w:spacing w:before="200"/>
        <w:ind w:left="6095"/>
        <w:contextualSpacing w:val="0"/>
        <w:rPr>
          <w:rFonts w:ascii="Arabic Typesetting" w:hAnsi="Arabic Typesetting" w:cs="Arabic Typesetting"/>
          <w:i/>
          <w:sz w:val="36"/>
          <w:szCs w:val="36"/>
        </w:rPr>
      </w:pPr>
      <w:r w:rsidRPr="0046006B">
        <w:rPr>
          <w:rFonts w:ascii="Arabic Typesetting" w:hAnsi="Arabic Typesetting" w:cs="Arabic Typesetting"/>
          <w:i/>
          <w:iCs/>
          <w:sz w:val="36"/>
          <w:szCs w:val="36"/>
          <w:rtl/>
          <w:lang w:eastAsia="ar"/>
        </w:rPr>
        <w:t>مناقشة ما ورد في هذه الوثيقة من معايير تتعلق بإدخال لغات جديدة في نظام لاهاي، والتعليق عليها؛</w:t>
      </w:r>
    </w:p>
    <w:p w:rsidR="00EB4111" w:rsidRPr="0046006B" w:rsidRDefault="00EB4111" w:rsidP="006530C6">
      <w:pPr>
        <w:pStyle w:val="ListParagraph"/>
        <w:numPr>
          <w:ilvl w:val="2"/>
          <w:numId w:val="24"/>
        </w:numPr>
        <w:tabs>
          <w:tab w:val="left" w:pos="6663"/>
          <w:tab w:val="num" w:pos="8080"/>
        </w:tabs>
        <w:bidi/>
        <w:spacing w:before="200"/>
        <w:ind w:left="6095"/>
        <w:contextualSpacing w:val="0"/>
        <w:rPr>
          <w:rFonts w:ascii="Arabic Typesetting" w:hAnsi="Arabic Typesetting" w:cs="Arabic Typesetting"/>
          <w:i/>
          <w:sz w:val="36"/>
          <w:szCs w:val="36"/>
        </w:rPr>
      </w:pPr>
      <w:r w:rsidRPr="0046006B">
        <w:rPr>
          <w:rFonts w:ascii="Arabic Typesetting" w:hAnsi="Arabic Typesetting" w:cs="Arabic Typesetting"/>
          <w:i/>
          <w:iCs/>
          <w:sz w:val="36"/>
          <w:szCs w:val="36"/>
          <w:rtl/>
          <w:lang w:eastAsia="ar"/>
        </w:rPr>
        <w:t>والإشارة إلى خياره المفضل بشأن تنفيذ إدخال لغة جديدة من بين الخيارات الواردة في الفقرات من 32 إلى 58؛</w:t>
      </w:r>
    </w:p>
    <w:p w:rsidR="00EB4111" w:rsidRPr="0046006B" w:rsidRDefault="00EB4111" w:rsidP="00F8422A">
      <w:pPr>
        <w:pStyle w:val="ListParagraph"/>
        <w:numPr>
          <w:ilvl w:val="2"/>
          <w:numId w:val="24"/>
        </w:numPr>
        <w:tabs>
          <w:tab w:val="left" w:pos="6663"/>
          <w:tab w:val="num" w:pos="8080"/>
        </w:tabs>
        <w:bidi/>
        <w:spacing w:before="200"/>
        <w:ind w:left="6095"/>
        <w:contextualSpacing w:val="0"/>
        <w:rPr>
          <w:rFonts w:ascii="Arabic Typesetting" w:hAnsi="Arabic Typesetting" w:cs="Arabic Typesetting"/>
          <w:i/>
          <w:sz w:val="36"/>
          <w:szCs w:val="36"/>
        </w:rPr>
      </w:pPr>
      <w:r w:rsidRPr="0046006B">
        <w:rPr>
          <w:rFonts w:ascii="Arabic Typesetting" w:hAnsi="Arabic Typesetting" w:cs="Arabic Typesetting"/>
          <w:i/>
          <w:iCs/>
          <w:sz w:val="36"/>
          <w:szCs w:val="36"/>
          <w:rtl/>
          <w:lang w:eastAsia="ar"/>
        </w:rPr>
        <w:t>وتوضيح ما إذا كان سيُجري استعراضاً شاملاً لنظام اللغات المعمول به حالياً في نظام لاهاي أم لا، وتقديم إرشادات بشأن كيفية المضي قدماً في هذا الاستعراض في حالة إجرائه.</w:t>
      </w:r>
    </w:p>
    <w:p w:rsidR="00EB4111" w:rsidRPr="0046006B" w:rsidRDefault="00EB4111" w:rsidP="006530C6">
      <w:pPr>
        <w:pStyle w:val="Endofdocument-Annex"/>
      </w:pPr>
      <w:r w:rsidRPr="0046006B">
        <w:rPr>
          <w:rtl/>
          <w:lang w:eastAsia="ar"/>
        </w:rPr>
        <w:t>[يلي ذلك المرفق]</w:t>
      </w:r>
    </w:p>
    <w:p w:rsidR="00EB4111" w:rsidRPr="0046006B" w:rsidRDefault="00EB4111" w:rsidP="00EB4111">
      <w:pPr>
        <w:pStyle w:val="Endofdocument-Annex"/>
      </w:pPr>
    </w:p>
    <w:p w:rsidR="00EB4111" w:rsidRPr="0046006B" w:rsidRDefault="00EB4111" w:rsidP="00EB4111">
      <w:pPr>
        <w:pStyle w:val="Endofdocument-Annex"/>
        <w:sectPr w:rsidR="00EB4111" w:rsidRPr="0046006B" w:rsidSect="00C46EDF">
          <w:headerReference w:type="even" r:id="rId13"/>
          <w:headerReference w:type="default" r:id="rId14"/>
          <w:endnotePr>
            <w:numFmt w:val="decimal"/>
          </w:endnotePr>
          <w:pgSz w:w="11907" w:h="16840" w:code="9"/>
          <w:pgMar w:top="567" w:right="1134" w:bottom="1418" w:left="1418" w:header="510" w:footer="1021" w:gutter="0"/>
          <w:cols w:space="720"/>
          <w:titlePg/>
          <w:docGrid w:linePitch="299"/>
        </w:sectPr>
      </w:pPr>
    </w:p>
    <w:p w:rsidR="00EB4111" w:rsidRPr="0046006B" w:rsidRDefault="00EB4111" w:rsidP="00F8422A">
      <w:pPr>
        <w:pStyle w:val="Heading2"/>
      </w:pPr>
      <w:r w:rsidRPr="0046006B">
        <w:rPr>
          <w:rtl/>
          <w:lang w:eastAsia="ar"/>
        </w:rPr>
        <w:lastRenderedPageBreak/>
        <w:t>خيارات التنفيذ الخاصة بإدخال لغات جديدة في نظام لاهاي: تقديرات لتكاليف الترجمة</w:t>
      </w:r>
      <w:r w:rsidRPr="0046006B">
        <w:rPr>
          <w:rStyle w:val="FootnoteReference"/>
          <w:rtl/>
          <w:lang w:eastAsia="ar"/>
        </w:rPr>
        <w:footnoteReference w:id="23"/>
      </w:r>
    </w:p>
    <w:p w:rsidR="00EB4111" w:rsidRPr="0046006B" w:rsidRDefault="00F8422A" w:rsidP="00F8422A">
      <w:pPr>
        <w:pStyle w:val="Heading3"/>
        <w:rPr>
          <w:rtl/>
          <w:lang w:bidi="ar-EG"/>
        </w:rPr>
      </w:pPr>
      <w:r>
        <w:rPr>
          <w:rFonts w:hint="cs"/>
          <w:rtl/>
          <w:lang w:eastAsia="ar"/>
        </w:rPr>
        <w:t xml:space="preserve">(ألف) </w:t>
      </w:r>
      <w:r w:rsidR="00EB4111" w:rsidRPr="0046006B">
        <w:rPr>
          <w:rtl/>
          <w:lang w:eastAsia="ar"/>
        </w:rPr>
        <w:t>لغة الإيداع</w:t>
      </w:r>
      <w:r w:rsidR="00EB4111" w:rsidRPr="0046006B">
        <w:rPr>
          <w:vertAlign w:val="superscript"/>
          <w:rtl/>
          <w:lang w:eastAsia="ar"/>
        </w:rPr>
        <w:footnoteReference w:id="24"/>
      </w:r>
      <w:r w:rsidR="00EB4111" w:rsidRPr="0046006B">
        <w:rPr>
          <w:rtl/>
          <w:lang w:eastAsia="ar"/>
        </w:rPr>
        <w:t>؛ و(باء) لغة النشر</w:t>
      </w:r>
      <w:r w:rsidR="00EB4111" w:rsidRPr="0046006B">
        <w:rPr>
          <w:rStyle w:val="FootnoteReference"/>
          <w:rtl/>
          <w:lang w:eastAsia="ar"/>
        </w:rPr>
        <w:footnoteReference w:id="25"/>
      </w:r>
    </w:p>
    <w:tbl>
      <w:tblPr>
        <w:bidiVisual/>
        <w:tblW w:w="9119" w:type="dxa"/>
        <w:tblInd w:w="-100" w:type="dxa"/>
        <w:tblLayout w:type="fixed"/>
        <w:tblLook w:val="04A0" w:firstRow="1" w:lastRow="0" w:firstColumn="1" w:lastColumn="0" w:noHBand="0" w:noVBand="1"/>
      </w:tblPr>
      <w:tblGrid>
        <w:gridCol w:w="720"/>
        <w:gridCol w:w="1075"/>
        <w:gridCol w:w="897"/>
        <w:gridCol w:w="1027"/>
        <w:gridCol w:w="772"/>
        <w:gridCol w:w="236"/>
        <w:gridCol w:w="673"/>
        <w:gridCol w:w="990"/>
        <w:gridCol w:w="892"/>
        <w:gridCol w:w="1027"/>
        <w:gridCol w:w="810"/>
      </w:tblGrid>
      <w:tr w:rsidR="00EB4111" w:rsidRPr="00F8422A" w:rsidTr="00C46EDF">
        <w:trPr>
          <w:trHeight w:val="574"/>
        </w:trPr>
        <w:tc>
          <w:tcPr>
            <w:tcW w:w="4491" w:type="dxa"/>
            <w:gridSpan w:val="5"/>
            <w:shd w:val="clear" w:color="auto" w:fill="auto"/>
            <w:noWrap/>
            <w:vAlign w:val="center"/>
          </w:tcPr>
          <w:p w:rsidR="00EB4111" w:rsidRPr="00F8422A" w:rsidRDefault="00EB4111" w:rsidP="00C46EDF">
            <w:pPr>
              <w:pStyle w:val="ListParagraph"/>
              <w:bidi/>
              <w:ind w:left="570"/>
              <w:jc w:val="center"/>
              <w:rPr>
                <w:rFonts w:ascii="Arabic Typesetting" w:hAnsi="Arabic Typesetting" w:cs="Arabic Typesetting"/>
                <w:color w:val="000000"/>
                <w:sz w:val="30"/>
                <w:szCs w:val="30"/>
                <w:lang w:eastAsia="ja-JP"/>
              </w:rPr>
            </w:pPr>
            <w:r w:rsidRPr="00F8422A">
              <w:rPr>
                <w:rFonts w:ascii="Arabic Typesetting" w:hAnsi="Arabic Typesetting" w:cs="Arabic Typesetting"/>
                <w:color w:val="000000"/>
                <w:sz w:val="30"/>
                <w:szCs w:val="30"/>
                <w:rtl/>
                <w:lang w:eastAsia="ar"/>
              </w:rPr>
              <w:t>الروسية فقط</w:t>
            </w:r>
            <w:r w:rsidRPr="00F8422A">
              <w:rPr>
                <w:rStyle w:val="FootnoteReference"/>
                <w:color w:val="000000"/>
                <w:sz w:val="30"/>
                <w:szCs w:val="30"/>
                <w:rtl/>
                <w:lang w:eastAsia="ar"/>
              </w:rPr>
              <w:footnoteReference w:id="26"/>
            </w:r>
          </w:p>
        </w:tc>
        <w:tc>
          <w:tcPr>
            <w:tcW w:w="236" w:type="dxa"/>
            <w:shd w:val="clear" w:color="000000" w:fill="FFFFFF"/>
            <w:noWrap/>
            <w:vAlign w:val="center"/>
          </w:tcPr>
          <w:p w:rsidR="00EB4111" w:rsidRPr="00F8422A" w:rsidRDefault="00EB4111" w:rsidP="00C46EDF">
            <w:pPr>
              <w:jc w:val="center"/>
              <w:rPr>
                <w:color w:val="000000"/>
                <w:sz w:val="30"/>
                <w:szCs w:val="30"/>
                <w:lang w:eastAsia="ja-JP"/>
              </w:rPr>
            </w:pPr>
          </w:p>
        </w:tc>
        <w:tc>
          <w:tcPr>
            <w:tcW w:w="4392" w:type="dxa"/>
            <w:gridSpan w:val="5"/>
            <w:shd w:val="clear" w:color="auto" w:fill="auto"/>
            <w:noWrap/>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الصينية فقط</w:t>
            </w:r>
            <w:r w:rsidRPr="00F8422A">
              <w:rPr>
                <w:rStyle w:val="FootnoteReference"/>
                <w:color w:val="000000"/>
                <w:sz w:val="30"/>
                <w:szCs w:val="30"/>
                <w:rtl/>
                <w:lang w:eastAsia="ar"/>
              </w:rPr>
              <w:footnoteReference w:id="27"/>
            </w:r>
          </w:p>
        </w:tc>
      </w:tr>
      <w:tr w:rsidR="00EB4111" w:rsidRPr="00F8422A" w:rsidTr="00C46EDF">
        <w:trPr>
          <w:trHeight w:val="574"/>
        </w:trPr>
        <w:tc>
          <w:tcPr>
            <w:tcW w:w="720"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rsidR="00EB4111" w:rsidRPr="00F8422A" w:rsidRDefault="00EB4111" w:rsidP="00C46EDF">
            <w:pPr>
              <w:jc w:val="center"/>
              <w:rPr>
                <w:color w:val="000000"/>
                <w:sz w:val="30"/>
                <w:szCs w:val="30"/>
                <w:lang w:eastAsia="ja-JP"/>
              </w:rPr>
            </w:pP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مباشرة</w:t>
            </w:r>
            <w:r w:rsidRPr="00F8422A">
              <w:rPr>
                <w:rStyle w:val="FootnoteReference"/>
                <w:sz w:val="30"/>
                <w:szCs w:val="30"/>
                <w:rtl/>
                <w:lang w:eastAsia="ar"/>
              </w:rPr>
              <w:footnoteReference w:id="28"/>
            </w:r>
          </w:p>
        </w:tc>
        <w:tc>
          <w:tcPr>
            <w:tcW w:w="17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غير مباشرة عبر الإنكليزية</w:t>
            </w:r>
            <w:r w:rsidRPr="00F8422A">
              <w:rPr>
                <w:rStyle w:val="FootnoteReference"/>
                <w:sz w:val="30"/>
                <w:szCs w:val="30"/>
                <w:rtl/>
                <w:lang w:eastAsia="ar"/>
              </w:rPr>
              <w:footnoteReference w:id="29"/>
            </w:r>
          </w:p>
        </w:tc>
        <w:tc>
          <w:tcPr>
            <w:tcW w:w="236" w:type="dxa"/>
            <w:tcBorders>
              <w:left w:val="single" w:sz="4" w:space="0" w:color="auto"/>
              <w:bottom w:val="nil"/>
              <w:right w:val="single" w:sz="4" w:space="0" w:color="FFFFFF" w:themeColor="background1"/>
            </w:tcBorders>
            <w:shd w:val="clear" w:color="000000" w:fill="FFFFFF"/>
            <w:noWrap/>
            <w:vAlign w:val="center"/>
          </w:tcPr>
          <w:p w:rsidR="00EB4111" w:rsidRPr="00F8422A" w:rsidRDefault="00EB4111" w:rsidP="00C46EDF">
            <w:pPr>
              <w:jc w:val="center"/>
              <w:rPr>
                <w:color w:val="000000"/>
                <w:sz w:val="30"/>
                <w:szCs w:val="30"/>
                <w:lang w:eastAsia="ja-JP"/>
              </w:rPr>
            </w:pPr>
          </w:p>
        </w:tc>
        <w:tc>
          <w:tcPr>
            <w:tcW w:w="673"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rsidR="00EB4111" w:rsidRPr="00F8422A" w:rsidRDefault="00EB4111" w:rsidP="00C46EDF">
            <w:pPr>
              <w:jc w:val="center"/>
              <w:rPr>
                <w:color w:val="000000"/>
                <w:sz w:val="30"/>
                <w:szCs w:val="30"/>
                <w:lang w:eastAsia="ja-JP"/>
              </w:rPr>
            </w:pPr>
          </w:p>
        </w:tc>
        <w:tc>
          <w:tcPr>
            <w:tcW w:w="1882" w:type="dxa"/>
            <w:gridSpan w:val="2"/>
            <w:tcBorders>
              <w:top w:val="single" w:sz="4" w:space="0" w:color="auto"/>
              <w:left w:val="nil"/>
              <w:bottom w:val="single" w:sz="4" w:space="0" w:color="auto"/>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مباشرة</w:t>
            </w:r>
          </w:p>
        </w:tc>
        <w:tc>
          <w:tcPr>
            <w:tcW w:w="1837" w:type="dxa"/>
            <w:gridSpan w:val="2"/>
            <w:tcBorders>
              <w:top w:val="single" w:sz="4" w:space="0" w:color="auto"/>
              <w:left w:val="nil"/>
              <w:bottom w:val="single" w:sz="4" w:space="0" w:color="auto"/>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غير مباشرة عبر الإنكليزية</w:t>
            </w:r>
          </w:p>
        </w:tc>
      </w:tr>
      <w:tr w:rsidR="00EB4111" w:rsidRPr="00F8422A" w:rsidTr="00F8422A">
        <w:trPr>
          <w:trHeight w:val="574"/>
        </w:trPr>
        <w:tc>
          <w:tcPr>
            <w:tcW w:w="720"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rsidR="00EB4111" w:rsidRPr="00F8422A" w:rsidRDefault="00EB4111" w:rsidP="00C46EDF">
            <w:pPr>
              <w:jc w:val="center"/>
              <w:rPr>
                <w:color w:val="000000"/>
                <w:sz w:val="30"/>
                <w:szCs w:val="30"/>
                <w:lang w:eastAsia="ja-JP"/>
              </w:rPr>
            </w:pPr>
            <w:r w:rsidRPr="00F8422A">
              <w:rPr>
                <w:color w:val="000000"/>
                <w:sz w:val="30"/>
                <w:szCs w:val="30"/>
                <w:rtl/>
                <w:lang w:eastAsia="ar"/>
              </w:rPr>
              <w:t> </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rsidR="00EB4111" w:rsidRPr="00606DA1" w:rsidRDefault="00EB4111" w:rsidP="00C46EDF">
            <w:pPr>
              <w:jc w:val="center"/>
              <w:rPr>
                <w:color w:val="000000"/>
                <w:sz w:val="26"/>
                <w:szCs w:val="26"/>
                <w:lang w:eastAsia="ja-JP"/>
              </w:rPr>
            </w:pPr>
            <w:r w:rsidRPr="00606DA1">
              <w:rPr>
                <w:color w:val="000000"/>
                <w:sz w:val="26"/>
                <w:szCs w:val="26"/>
                <w:rtl/>
                <w:lang w:eastAsia="ar"/>
              </w:rPr>
              <w:t>تحرير الترجمة الخارجية (بالفرنك السويسري)</w:t>
            </w:r>
          </w:p>
        </w:tc>
        <w:tc>
          <w:tcPr>
            <w:tcW w:w="897" w:type="dxa"/>
            <w:tcBorders>
              <w:top w:val="single" w:sz="4" w:space="0" w:color="auto"/>
              <w:left w:val="nil"/>
              <w:bottom w:val="single" w:sz="4" w:space="0" w:color="auto"/>
              <w:right w:val="single" w:sz="4" w:space="0" w:color="auto"/>
            </w:tcBorders>
            <w:shd w:val="clear" w:color="auto" w:fill="auto"/>
            <w:vAlign w:val="center"/>
            <w:hideMark/>
          </w:tcPr>
          <w:p w:rsidR="00EB4111" w:rsidRPr="00606DA1" w:rsidRDefault="00EB4111" w:rsidP="00C46EDF">
            <w:pPr>
              <w:jc w:val="center"/>
              <w:rPr>
                <w:color w:val="000000"/>
                <w:sz w:val="26"/>
                <w:szCs w:val="26"/>
                <w:lang w:eastAsia="ja-JP"/>
              </w:rPr>
            </w:pPr>
            <w:r w:rsidRPr="00606DA1">
              <w:rPr>
                <w:color w:val="000000"/>
                <w:sz w:val="26"/>
                <w:szCs w:val="26"/>
                <w:rtl/>
                <w:lang w:eastAsia="ar"/>
              </w:rPr>
              <w:t>مراقبة جودة الترجمة (أيام العمل)</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B4111" w:rsidRPr="00606DA1" w:rsidRDefault="00EB4111" w:rsidP="00C46EDF">
            <w:pPr>
              <w:jc w:val="center"/>
              <w:rPr>
                <w:color w:val="000000"/>
                <w:sz w:val="26"/>
                <w:szCs w:val="26"/>
                <w:lang w:eastAsia="ja-JP"/>
              </w:rPr>
            </w:pPr>
            <w:r w:rsidRPr="00606DA1">
              <w:rPr>
                <w:color w:val="000000"/>
                <w:sz w:val="26"/>
                <w:szCs w:val="26"/>
                <w:rtl/>
                <w:lang w:eastAsia="ar"/>
              </w:rPr>
              <w:t>تحرير الترجمة الخارجية (بالفرنك السويسري)</w:t>
            </w:r>
          </w:p>
        </w:tc>
        <w:tc>
          <w:tcPr>
            <w:tcW w:w="772" w:type="dxa"/>
            <w:tcBorders>
              <w:top w:val="single" w:sz="4" w:space="0" w:color="auto"/>
              <w:left w:val="nil"/>
              <w:bottom w:val="single" w:sz="4" w:space="0" w:color="auto"/>
              <w:right w:val="single" w:sz="4" w:space="0" w:color="auto"/>
            </w:tcBorders>
            <w:shd w:val="clear" w:color="auto" w:fill="auto"/>
            <w:vAlign w:val="center"/>
            <w:hideMark/>
          </w:tcPr>
          <w:p w:rsidR="00EB4111" w:rsidRPr="00606DA1" w:rsidRDefault="00EB4111" w:rsidP="00C46EDF">
            <w:pPr>
              <w:jc w:val="center"/>
              <w:rPr>
                <w:color w:val="000000"/>
                <w:sz w:val="26"/>
                <w:szCs w:val="26"/>
                <w:lang w:eastAsia="ja-JP"/>
              </w:rPr>
            </w:pPr>
            <w:r w:rsidRPr="00606DA1">
              <w:rPr>
                <w:color w:val="000000"/>
                <w:sz w:val="26"/>
                <w:szCs w:val="26"/>
                <w:rtl/>
                <w:lang w:eastAsia="ar"/>
              </w:rPr>
              <w:t>مراقبة جودة الترجمة (أيام العمل)</w:t>
            </w:r>
          </w:p>
        </w:tc>
        <w:tc>
          <w:tcPr>
            <w:tcW w:w="236" w:type="dxa"/>
            <w:tcBorders>
              <w:top w:val="nil"/>
              <w:left w:val="nil"/>
              <w:bottom w:val="nil"/>
              <w:right w:val="single" w:sz="4" w:space="0" w:color="FFFFFF" w:themeColor="background1"/>
            </w:tcBorders>
            <w:shd w:val="clear" w:color="000000" w:fill="FFFFFF"/>
            <w:noWrap/>
            <w:vAlign w:val="center"/>
            <w:hideMark/>
          </w:tcPr>
          <w:p w:rsidR="00EB4111" w:rsidRPr="00F8422A" w:rsidRDefault="00EB4111" w:rsidP="00C46EDF">
            <w:pPr>
              <w:jc w:val="center"/>
              <w:rPr>
                <w:color w:val="000000"/>
                <w:sz w:val="30"/>
                <w:szCs w:val="30"/>
                <w:lang w:eastAsia="ja-JP"/>
              </w:rPr>
            </w:pPr>
            <w:r w:rsidRPr="00F8422A">
              <w:rPr>
                <w:color w:val="000000"/>
                <w:sz w:val="30"/>
                <w:szCs w:val="30"/>
                <w:rtl/>
                <w:lang w:eastAsia="ar"/>
              </w:rPr>
              <w:t> </w:t>
            </w:r>
          </w:p>
        </w:tc>
        <w:tc>
          <w:tcPr>
            <w:tcW w:w="673"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rsidR="00EB4111" w:rsidRPr="00F8422A" w:rsidRDefault="00EB4111" w:rsidP="00C46EDF">
            <w:pPr>
              <w:jc w:val="center"/>
              <w:rPr>
                <w:color w:val="000000"/>
                <w:sz w:val="30"/>
                <w:szCs w:val="30"/>
                <w:lang w:eastAsia="ja-JP"/>
              </w:rPr>
            </w:pPr>
            <w:r w:rsidRPr="00F8422A">
              <w:rPr>
                <w:color w:val="000000"/>
                <w:sz w:val="30"/>
                <w:szCs w:val="30"/>
                <w:rtl/>
                <w:lang w:eastAsia="ar"/>
              </w:rPr>
              <w:t>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rsidR="00EB4111" w:rsidRPr="00606DA1" w:rsidRDefault="00EB4111" w:rsidP="00C46EDF">
            <w:pPr>
              <w:jc w:val="center"/>
              <w:rPr>
                <w:color w:val="000000"/>
                <w:sz w:val="26"/>
                <w:szCs w:val="26"/>
                <w:lang w:eastAsia="ja-JP"/>
              </w:rPr>
            </w:pPr>
            <w:r w:rsidRPr="00606DA1">
              <w:rPr>
                <w:color w:val="000000"/>
                <w:sz w:val="26"/>
                <w:szCs w:val="26"/>
                <w:rtl/>
                <w:lang w:eastAsia="ar"/>
              </w:rPr>
              <w:t>تحرير الترجمة الخارجية (بالفرنك السويسري)</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EB4111" w:rsidRPr="00606DA1" w:rsidRDefault="00EB4111" w:rsidP="00C46EDF">
            <w:pPr>
              <w:jc w:val="center"/>
              <w:rPr>
                <w:color w:val="000000"/>
                <w:sz w:val="26"/>
                <w:szCs w:val="26"/>
                <w:lang w:eastAsia="ja-JP"/>
              </w:rPr>
            </w:pPr>
            <w:r w:rsidRPr="00606DA1">
              <w:rPr>
                <w:color w:val="000000"/>
                <w:sz w:val="26"/>
                <w:szCs w:val="26"/>
                <w:rtl/>
                <w:lang w:eastAsia="ar"/>
              </w:rPr>
              <w:t>مراقبة جودة الترجمة (أيام العمل)</w:t>
            </w:r>
          </w:p>
        </w:tc>
        <w:tc>
          <w:tcPr>
            <w:tcW w:w="1027" w:type="dxa"/>
            <w:tcBorders>
              <w:top w:val="single" w:sz="4" w:space="0" w:color="auto"/>
              <w:left w:val="nil"/>
              <w:bottom w:val="single" w:sz="4" w:space="0" w:color="auto"/>
              <w:right w:val="single" w:sz="4" w:space="0" w:color="auto"/>
            </w:tcBorders>
            <w:shd w:val="clear" w:color="auto" w:fill="auto"/>
            <w:vAlign w:val="center"/>
            <w:hideMark/>
          </w:tcPr>
          <w:p w:rsidR="00EB4111" w:rsidRPr="00606DA1" w:rsidRDefault="00EB4111" w:rsidP="00C46EDF">
            <w:pPr>
              <w:jc w:val="center"/>
              <w:rPr>
                <w:color w:val="000000"/>
                <w:sz w:val="26"/>
                <w:szCs w:val="26"/>
                <w:lang w:eastAsia="ja-JP"/>
              </w:rPr>
            </w:pPr>
            <w:r w:rsidRPr="00606DA1">
              <w:rPr>
                <w:color w:val="000000"/>
                <w:sz w:val="26"/>
                <w:szCs w:val="26"/>
                <w:rtl/>
                <w:lang w:eastAsia="ar"/>
              </w:rPr>
              <w:t>تحرير الترجمة الخارجية (بالفرنك السويسري)</w:t>
            </w:r>
          </w:p>
        </w:tc>
        <w:tc>
          <w:tcPr>
            <w:tcW w:w="810" w:type="dxa"/>
            <w:tcBorders>
              <w:top w:val="single" w:sz="4" w:space="0" w:color="auto"/>
              <w:left w:val="nil"/>
              <w:bottom w:val="single" w:sz="4" w:space="0" w:color="auto"/>
              <w:right w:val="single" w:sz="4" w:space="0" w:color="auto"/>
            </w:tcBorders>
            <w:shd w:val="clear" w:color="auto" w:fill="auto"/>
            <w:vAlign w:val="center"/>
            <w:hideMark/>
          </w:tcPr>
          <w:p w:rsidR="00EB4111" w:rsidRPr="00606DA1" w:rsidRDefault="00EB4111" w:rsidP="00C46EDF">
            <w:pPr>
              <w:jc w:val="center"/>
              <w:rPr>
                <w:color w:val="000000"/>
                <w:sz w:val="26"/>
                <w:szCs w:val="26"/>
                <w:lang w:eastAsia="ja-JP"/>
              </w:rPr>
            </w:pPr>
            <w:r w:rsidRPr="00606DA1">
              <w:rPr>
                <w:color w:val="000000"/>
                <w:sz w:val="26"/>
                <w:szCs w:val="26"/>
                <w:rtl/>
                <w:lang w:eastAsia="ar"/>
              </w:rPr>
              <w:t>مراقبة جودة الترجمة (أيام العمل)</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2019</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9,164</w:t>
            </w:r>
          </w:p>
        </w:tc>
        <w:tc>
          <w:tcPr>
            <w:tcW w:w="89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0.63</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2,540</w:t>
            </w:r>
          </w:p>
        </w:tc>
        <w:tc>
          <w:tcPr>
            <w:tcW w:w="77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0.21</w:t>
            </w:r>
          </w:p>
        </w:tc>
        <w:tc>
          <w:tcPr>
            <w:tcW w:w="236" w:type="dxa"/>
            <w:tcBorders>
              <w:top w:val="nil"/>
              <w:left w:val="nil"/>
              <w:bottom w:val="nil"/>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2019</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3,346</w:t>
            </w:r>
          </w:p>
        </w:tc>
        <w:tc>
          <w:tcPr>
            <w:tcW w:w="89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0.29</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800</w:t>
            </w:r>
          </w:p>
        </w:tc>
        <w:tc>
          <w:tcPr>
            <w:tcW w:w="81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0.10</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2020</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9,973</w:t>
            </w:r>
          </w:p>
        </w:tc>
        <w:tc>
          <w:tcPr>
            <w:tcW w:w="89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0.68</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2,764</w:t>
            </w:r>
          </w:p>
        </w:tc>
        <w:tc>
          <w:tcPr>
            <w:tcW w:w="77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0.23</w:t>
            </w:r>
          </w:p>
        </w:tc>
        <w:tc>
          <w:tcPr>
            <w:tcW w:w="236" w:type="dxa"/>
            <w:tcBorders>
              <w:top w:val="nil"/>
              <w:left w:val="nil"/>
              <w:bottom w:val="nil"/>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2020</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3,902</w:t>
            </w:r>
          </w:p>
        </w:tc>
        <w:tc>
          <w:tcPr>
            <w:tcW w:w="89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0.34</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932</w:t>
            </w:r>
          </w:p>
        </w:tc>
        <w:tc>
          <w:tcPr>
            <w:tcW w:w="81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0.11</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2021</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10,841</w:t>
            </w:r>
          </w:p>
        </w:tc>
        <w:tc>
          <w:tcPr>
            <w:tcW w:w="89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0.74</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3,004</w:t>
            </w:r>
          </w:p>
        </w:tc>
        <w:tc>
          <w:tcPr>
            <w:tcW w:w="77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0.25</w:t>
            </w:r>
          </w:p>
        </w:tc>
        <w:tc>
          <w:tcPr>
            <w:tcW w:w="236" w:type="dxa"/>
            <w:tcBorders>
              <w:top w:val="nil"/>
              <w:left w:val="nil"/>
              <w:bottom w:val="nil"/>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2021</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4,546</w:t>
            </w:r>
          </w:p>
        </w:tc>
        <w:tc>
          <w:tcPr>
            <w:tcW w:w="89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0.39</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1,086</w:t>
            </w:r>
          </w:p>
        </w:tc>
        <w:tc>
          <w:tcPr>
            <w:tcW w:w="81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0.13</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2022</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11,772</w:t>
            </w:r>
          </w:p>
        </w:tc>
        <w:tc>
          <w:tcPr>
            <w:tcW w:w="89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0.81</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3,262</w:t>
            </w:r>
          </w:p>
        </w:tc>
        <w:tc>
          <w:tcPr>
            <w:tcW w:w="77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0.27</w:t>
            </w:r>
          </w:p>
        </w:tc>
        <w:tc>
          <w:tcPr>
            <w:tcW w:w="236" w:type="dxa"/>
            <w:tcBorders>
              <w:top w:val="nil"/>
              <w:left w:val="nil"/>
              <w:bottom w:val="nil"/>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2022</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5,291</w:t>
            </w:r>
          </w:p>
        </w:tc>
        <w:tc>
          <w:tcPr>
            <w:tcW w:w="89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0.46</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1,264</w:t>
            </w:r>
          </w:p>
        </w:tc>
        <w:tc>
          <w:tcPr>
            <w:tcW w:w="81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0.15</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2023</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12,768</w:t>
            </w:r>
          </w:p>
        </w:tc>
        <w:tc>
          <w:tcPr>
            <w:tcW w:w="89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0.87</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3,538</w:t>
            </w:r>
          </w:p>
        </w:tc>
        <w:tc>
          <w:tcPr>
            <w:tcW w:w="77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0.29</w:t>
            </w:r>
          </w:p>
        </w:tc>
        <w:tc>
          <w:tcPr>
            <w:tcW w:w="236" w:type="dxa"/>
            <w:tcBorders>
              <w:top w:val="nil"/>
              <w:left w:val="nil"/>
              <w:bottom w:val="nil"/>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2023</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6,150</w:t>
            </w:r>
          </w:p>
        </w:tc>
        <w:tc>
          <w:tcPr>
            <w:tcW w:w="89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0.53</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1,470</w:t>
            </w:r>
          </w:p>
        </w:tc>
        <w:tc>
          <w:tcPr>
            <w:tcW w:w="81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0.18</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2024</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13,830</w:t>
            </w:r>
          </w:p>
        </w:tc>
        <w:tc>
          <w:tcPr>
            <w:tcW w:w="89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0.95</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3,832</w:t>
            </w:r>
          </w:p>
        </w:tc>
        <w:tc>
          <w:tcPr>
            <w:tcW w:w="77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0.32</w:t>
            </w:r>
          </w:p>
        </w:tc>
        <w:tc>
          <w:tcPr>
            <w:tcW w:w="236" w:type="dxa"/>
            <w:tcBorders>
              <w:top w:val="nil"/>
              <w:left w:val="nil"/>
              <w:bottom w:val="nil"/>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2024</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7,140</w:t>
            </w:r>
          </w:p>
        </w:tc>
        <w:tc>
          <w:tcPr>
            <w:tcW w:w="89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0.62</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1,706</w:t>
            </w:r>
          </w:p>
        </w:tc>
        <w:tc>
          <w:tcPr>
            <w:tcW w:w="81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0.21</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2025</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14,960</w:t>
            </w:r>
          </w:p>
        </w:tc>
        <w:tc>
          <w:tcPr>
            <w:tcW w:w="89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1.02</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4,146</w:t>
            </w:r>
          </w:p>
        </w:tc>
        <w:tc>
          <w:tcPr>
            <w:tcW w:w="77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0.34</w:t>
            </w:r>
          </w:p>
        </w:tc>
        <w:tc>
          <w:tcPr>
            <w:tcW w:w="236" w:type="dxa"/>
            <w:tcBorders>
              <w:top w:val="nil"/>
              <w:left w:val="nil"/>
              <w:bottom w:val="nil"/>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2025</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8,278</w:t>
            </w:r>
          </w:p>
        </w:tc>
        <w:tc>
          <w:tcPr>
            <w:tcW w:w="89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0.72</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1,978</w:t>
            </w:r>
          </w:p>
        </w:tc>
        <w:tc>
          <w:tcPr>
            <w:tcW w:w="81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0.24</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2026</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16,159</w:t>
            </w:r>
          </w:p>
        </w:tc>
        <w:tc>
          <w:tcPr>
            <w:tcW w:w="89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1.10</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4,478</w:t>
            </w:r>
          </w:p>
        </w:tc>
        <w:tc>
          <w:tcPr>
            <w:tcW w:w="77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0.37</w:t>
            </w:r>
          </w:p>
        </w:tc>
        <w:tc>
          <w:tcPr>
            <w:tcW w:w="236" w:type="dxa"/>
            <w:tcBorders>
              <w:top w:val="nil"/>
              <w:left w:val="nil"/>
              <w:bottom w:val="nil"/>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2026</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9,583</w:t>
            </w:r>
          </w:p>
        </w:tc>
        <w:tc>
          <w:tcPr>
            <w:tcW w:w="89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0.83</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2,290</w:t>
            </w:r>
          </w:p>
        </w:tc>
        <w:tc>
          <w:tcPr>
            <w:tcW w:w="81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0.28</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2027</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17,426</w:t>
            </w:r>
          </w:p>
        </w:tc>
        <w:tc>
          <w:tcPr>
            <w:tcW w:w="89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1.19</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4,829</w:t>
            </w:r>
          </w:p>
        </w:tc>
        <w:tc>
          <w:tcPr>
            <w:tcW w:w="77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0.40</w:t>
            </w:r>
          </w:p>
        </w:tc>
        <w:tc>
          <w:tcPr>
            <w:tcW w:w="236" w:type="dxa"/>
            <w:tcBorders>
              <w:top w:val="nil"/>
              <w:left w:val="nil"/>
              <w:bottom w:val="nil"/>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tl/>
                <w:lang w:eastAsia="ar"/>
              </w:rPr>
              <w:t>2027</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11,075</w:t>
            </w:r>
          </w:p>
        </w:tc>
        <w:tc>
          <w:tcPr>
            <w:tcW w:w="892"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0.96</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2,647</w:t>
            </w:r>
          </w:p>
        </w:tc>
        <w:tc>
          <w:tcPr>
            <w:tcW w:w="81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tl/>
                <w:lang w:eastAsia="ar"/>
              </w:rPr>
              <w:t>0.32</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lastRenderedPageBreak/>
              <w:t>2028</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18,759</w:t>
            </w:r>
          </w:p>
        </w:tc>
        <w:tc>
          <w:tcPr>
            <w:tcW w:w="89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1.28</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5,198</w:t>
            </w:r>
          </w:p>
        </w:tc>
        <w:tc>
          <w:tcPr>
            <w:tcW w:w="772"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0.43</w:t>
            </w:r>
          </w:p>
        </w:tc>
        <w:tc>
          <w:tcPr>
            <w:tcW w:w="236" w:type="dxa"/>
            <w:tcBorders>
              <w:top w:val="nil"/>
              <w:left w:val="nil"/>
              <w:bottom w:val="nil"/>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2028</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12,778</w:t>
            </w:r>
          </w:p>
        </w:tc>
        <w:tc>
          <w:tcPr>
            <w:tcW w:w="892"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1.10</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3,054</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0.37</w:t>
            </w:r>
          </w:p>
        </w:tc>
      </w:tr>
      <w:tr w:rsidR="00473EED" w:rsidRPr="00F8422A" w:rsidTr="00F8422A">
        <w:trPr>
          <w:trHeight w:val="368"/>
        </w:trPr>
        <w:tc>
          <w:tcPr>
            <w:tcW w:w="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2029</w:t>
            </w:r>
          </w:p>
        </w:tc>
        <w:tc>
          <w:tcPr>
            <w:tcW w:w="1075"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20,156</w:t>
            </w:r>
          </w:p>
        </w:tc>
        <w:tc>
          <w:tcPr>
            <w:tcW w:w="89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1.38</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5,585</w:t>
            </w:r>
          </w:p>
        </w:tc>
        <w:tc>
          <w:tcPr>
            <w:tcW w:w="772"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0.46</w:t>
            </w:r>
          </w:p>
        </w:tc>
        <w:tc>
          <w:tcPr>
            <w:tcW w:w="236" w:type="dxa"/>
            <w:tcBorders>
              <w:top w:val="nil"/>
              <w:left w:val="nil"/>
              <w:bottom w:val="nil"/>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2029</w:t>
            </w:r>
          </w:p>
        </w:tc>
        <w:tc>
          <w:tcPr>
            <w:tcW w:w="990"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14,715</w:t>
            </w:r>
          </w:p>
        </w:tc>
        <w:tc>
          <w:tcPr>
            <w:tcW w:w="892"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1.27</w:t>
            </w:r>
          </w:p>
        </w:tc>
        <w:tc>
          <w:tcPr>
            <w:tcW w:w="1027"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lang w:eastAsia="ja-JP"/>
              </w:rPr>
              <w:t>3,516</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0.42</w:t>
            </w:r>
          </w:p>
        </w:tc>
      </w:tr>
    </w:tbl>
    <w:p w:rsidR="00EB4111" w:rsidRPr="0046006B" w:rsidRDefault="00EB4111" w:rsidP="00EB4111"/>
    <w:p w:rsidR="00EB4111" w:rsidRPr="0046006B" w:rsidRDefault="00EB4111" w:rsidP="00F8422A">
      <w:pPr>
        <w:pStyle w:val="Heading3"/>
        <w:rPr>
          <w:bCs/>
          <w:iCs/>
          <w:caps/>
        </w:rPr>
      </w:pPr>
      <w:r w:rsidRPr="0046006B">
        <w:rPr>
          <w:rtl/>
          <w:lang w:eastAsia="ar"/>
        </w:rPr>
        <w:t>(جيم)</w:t>
      </w:r>
      <w:r w:rsidRPr="0046006B">
        <w:rPr>
          <w:rtl/>
          <w:lang w:eastAsia="ar"/>
        </w:rPr>
        <w:tab/>
        <w:t>لغة النشر ومراسلة المكتب</w:t>
      </w:r>
      <w:r w:rsidRPr="0046006B">
        <w:rPr>
          <w:rStyle w:val="FootnoteReference"/>
          <w:rtl/>
          <w:lang w:eastAsia="ar"/>
        </w:rPr>
        <w:footnoteReference w:id="30"/>
      </w:r>
    </w:p>
    <w:tbl>
      <w:tblPr>
        <w:bidiVisual/>
        <w:tblW w:w="9129" w:type="dxa"/>
        <w:tblInd w:w="-110" w:type="dxa"/>
        <w:tblLayout w:type="fixed"/>
        <w:tblLook w:val="04A0" w:firstRow="1" w:lastRow="0" w:firstColumn="1" w:lastColumn="0" w:noHBand="0" w:noVBand="1"/>
      </w:tblPr>
      <w:tblGrid>
        <w:gridCol w:w="721"/>
        <w:gridCol w:w="1076"/>
        <w:gridCol w:w="898"/>
        <w:gridCol w:w="1034"/>
        <w:gridCol w:w="767"/>
        <w:gridCol w:w="236"/>
        <w:gridCol w:w="674"/>
        <w:gridCol w:w="991"/>
        <w:gridCol w:w="893"/>
        <w:gridCol w:w="1029"/>
        <w:gridCol w:w="810"/>
      </w:tblGrid>
      <w:tr w:rsidR="00EB4111" w:rsidRPr="00F8422A" w:rsidTr="00C46EDF">
        <w:trPr>
          <w:trHeight w:val="574"/>
        </w:trPr>
        <w:tc>
          <w:tcPr>
            <w:tcW w:w="4496" w:type="dxa"/>
            <w:gridSpan w:val="5"/>
            <w:shd w:val="clear" w:color="auto" w:fill="auto"/>
            <w:noWrap/>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الروسية فقط</w:t>
            </w:r>
          </w:p>
        </w:tc>
        <w:tc>
          <w:tcPr>
            <w:tcW w:w="236" w:type="dxa"/>
            <w:shd w:val="clear" w:color="000000" w:fill="FFFFFF"/>
            <w:noWrap/>
            <w:vAlign w:val="center"/>
          </w:tcPr>
          <w:p w:rsidR="00EB4111" w:rsidRPr="00F8422A" w:rsidRDefault="00EB4111" w:rsidP="00C46EDF">
            <w:pPr>
              <w:jc w:val="center"/>
              <w:rPr>
                <w:color w:val="000000"/>
                <w:sz w:val="30"/>
                <w:szCs w:val="30"/>
                <w:lang w:eastAsia="ja-JP"/>
              </w:rPr>
            </w:pPr>
          </w:p>
        </w:tc>
        <w:tc>
          <w:tcPr>
            <w:tcW w:w="4397" w:type="dxa"/>
            <w:gridSpan w:val="5"/>
            <w:shd w:val="clear" w:color="auto" w:fill="auto"/>
            <w:noWrap/>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الصينية فقط</w:t>
            </w:r>
          </w:p>
        </w:tc>
      </w:tr>
      <w:tr w:rsidR="00EB4111" w:rsidRPr="00F8422A" w:rsidTr="00C46EDF">
        <w:trPr>
          <w:trHeight w:val="574"/>
        </w:trPr>
        <w:tc>
          <w:tcPr>
            <w:tcW w:w="721"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rsidR="00EB4111" w:rsidRPr="00F8422A" w:rsidRDefault="00EB4111" w:rsidP="00C46EDF">
            <w:pPr>
              <w:jc w:val="center"/>
              <w:rPr>
                <w:color w:val="000000"/>
                <w:sz w:val="30"/>
                <w:szCs w:val="30"/>
                <w:lang w:eastAsia="ja-JP"/>
              </w:rPr>
            </w:pPr>
          </w:p>
        </w:tc>
        <w:tc>
          <w:tcPr>
            <w:tcW w:w="197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مباشرة</w:t>
            </w:r>
            <w:r w:rsidRPr="00F8422A">
              <w:rPr>
                <w:i/>
                <w:iCs/>
                <w:color w:val="000000"/>
                <w:sz w:val="30"/>
                <w:szCs w:val="30"/>
                <w:vertAlign w:val="superscript"/>
                <w:rtl/>
                <w:lang w:eastAsia="ar"/>
              </w:rPr>
              <w:footnoteReference w:id="31"/>
            </w:r>
          </w:p>
        </w:tc>
        <w:tc>
          <w:tcPr>
            <w:tcW w:w="1801"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غير مباشرة عبر الإنكليزية</w:t>
            </w:r>
            <w:r w:rsidRPr="00F8422A">
              <w:rPr>
                <w:i/>
                <w:iCs/>
                <w:color w:val="000000"/>
                <w:sz w:val="30"/>
                <w:szCs w:val="30"/>
                <w:vertAlign w:val="superscript"/>
                <w:rtl/>
                <w:lang w:eastAsia="ar"/>
              </w:rPr>
              <w:footnoteReference w:id="32"/>
            </w:r>
          </w:p>
        </w:tc>
        <w:tc>
          <w:tcPr>
            <w:tcW w:w="236" w:type="dxa"/>
            <w:tcBorders>
              <w:left w:val="single" w:sz="4" w:space="0" w:color="auto"/>
              <w:bottom w:val="nil"/>
              <w:right w:val="single" w:sz="4" w:space="0" w:color="FFFFFF" w:themeColor="background1"/>
            </w:tcBorders>
            <w:shd w:val="clear" w:color="000000" w:fill="FFFFFF"/>
            <w:noWrap/>
            <w:vAlign w:val="center"/>
          </w:tcPr>
          <w:p w:rsidR="00EB4111" w:rsidRPr="00F8422A" w:rsidRDefault="00EB4111" w:rsidP="00C46EDF">
            <w:pPr>
              <w:jc w:val="center"/>
              <w:rPr>
                <w:color w:val="000000"/>
                <w:sz w:val="30"/>
                <w:szCs w:val="30"/>
                <w:lang w:eastAsia="ja-JP"/>
              </w:rPr>
            </w:pPr>
          </w:p>
        </w:tc>
        <w:tc>
          <w:tcPr>
            <w:tcW w:w="674"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rsidR="00EB4111" w:rsidRPr="00F8422A" w:rsidRDefault="00EB4111" w:rsidP="00C46EDF">
            <w:pPr>
              <w:jc w:val="center"/>
              <w:rPr>
                <w:color w:val="000000"/>
                <w:sz w:val="30"/>
                <w:szCs w:val="30"/>
                <w:lang w:eastAsia="ja-JP"/>
              </w:rPr>
            </w:pPr>
          </w:p>
        </w:tc>
        <w:tc>
          <w:tcPr>
            <w:tcW w:w="1884" w:type="dxa"/>
            <w:gridSpan w:val="2"/>
            <w:tcBorders>
              <w:top w:val="single" w:sz="4" w:space="0" w:color="auto"/>
              <w:left w:val="nil"/>
              <w:bottom w:val="single" w:sz="4" w:space="0" w:color="auto"/>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مباشرة</w:t>
            </w:r>
          </w:p>
        </w:tc>
        <w:tc>
          <w:tcPr>
            <w:tcW w:w="1839" w:type="dxa"/>
            <w:gridSpan w:val="2"/>
            <w:tcBorders>
              <w:top w:val="single" w:sz="4" w:space="0" w:color="auto"/>
              <w:left w:val="nil"/>
              <w:bottom w:val="single" w:sz="4" w:space="0" w:color="auto"/>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غير مباشرة عبر الإنكليزية</w:t>
            </w:r>
          </w:p>
        </w:tc>
      </w:tr>
      <w:tr w:rsidR="00EB4111" w:rsidRPr="00F8422A" w:rsidTr="00F8422A">
        <w:trPr>
          <w:trHeight w:val="574"/>
        </w:trPr>
        <w:tc>
          <w:tcPr>
            <w:tcW w:w="72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rsidR="00EB4111" w:rsidRPr="00F8422A" w:rsidRDefault="00EB4111" w:rsidP="00C46EDF">
            <w:pPr>
              <w:jc w:val="center"/>
              <w:rPr>
                <w:color w:val="000000"/>
                <w:sz w:val="30"/>
                <w:szCs w:val="30"/>
                <w:lang w:eastAsia="ja-JP"/>
              </w:rPr>
            </w:pPr>
            <w:r w:rsidRPr="00F8422A">
              <w:rPr>
                <w:color w:val="000000"/>
                <w:sz w:val="30"/>
                <w:szCs w:val="30"/>
                <w:rtl/>
                <w:lang w:eastAsia="ar"/>
              </w:rPr>
              <w:t> </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تحرير الترجمة الخارجية (بالفرنك السويسري)</w:t>
            </w:r>
          </w:p>
        </w:tc>
        <w:tc>
          <w:tcPr>
            <w:tcW w:w="898"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مراقبة جودة الترجمة (أيام العمل)</w:t>
            </w:r>
          </w:p>
        </w:tc>
        <w:tc>
          <w:tcPr>
            <w:tcW w:w="1034"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تحرير الترجمة الخارجية (بالفرنك السويسري)</w:t>
            </w:r>
          </w:p>
        </w:tc>
        <w:tc>
          <w:tcPr>
            <w:tcW w:w="767"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مراقبة جودة الترجمة (أيام العمل)</w:t>
            </w:r>
          </w:p>
        </w:tc>
        <w:tc>
          <w:tcPr>
            <w:tcW w:w="236" w:type="dxa"/>
            <w:tcBorders>
              <w:top w:val="nil"/>
              <w:left w:val="nil"/>
              <w:bottom w:val="nil"/>
              <w:right w:val="single" w:sz="4" w:space="0" w:color="FFFFFF" w:themeColor="background1"/>
            </w:tcBorders>
            <w:shd w:val="clear" w:color="000000" w:fill="FFFFFF"/>
            <w:noWrap/>
            <w:vAlign w:val="center"/>
            <w:hideMark/>
          </w:tcPr>
          <w:p w:rsidR="00EB4111" w:rsidRPr="00F8422A" w:rsidRDefault="00EB4111" w:rsidP="00C46EDF">
            <w:pPr>
              <w:jc w:val="center"/>
              <w:rPr>
                <w:color w:val="000000"/>
                <w:sz w:val="30"/>
                <w:szCs w:val="30"/>
                <w:lang w:eastAsia="ja-JP"/>
              </w:rPr>
            </w:pPr>
            <w:r w:rsidRPr="00F8422A">
              <w:rPr>
                <w:color w:val="000000"/>
                <w:sz w:val="30"/>
                <w:szCs w:val="30"/>
                <w:rtl/>
                <w:lang w:eastAsia="ar"/>
              </w:rPr>
              <w:t> </w:t>
            </w:r>
          </w:p>
        </w:tc>
        <w:tc>
          <w:tcPr>
            <w:tcW w:w="67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rsidR="00EB4111" w:rsidRPr="00F8422A" w:rsidRDefault="00EB4111" w:rsidP="00C46EDF">
            <w:pPr>
              <w:jc w:val="center"/>
              <w:rPr>
                <w:color w:val="000000"/>
                <w:sz w:val="30"/>
                <w:szCs w:val="30"/>
                <w:lang w:eastAsia="ja-JP"/>
              </w:rPr>
            </w:pPr>
            <w:r w:rsidRPr="00F8422A">
              <w:rPr>
                <w:color w:val="000000"/>
                <w:sz w:val="30"/>
                <w:szCs w:val="30"/>
                <w:rtl/>
                <w:lang w:eastAsia="ar"/>
              </w:rPr>
              <w:t> </w:t>
            </w:r>
          </w:p>
        </w:tc>
        <w:tc>
          <w:tcPr>
            <w:tcW w:w="991"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تحرير الترجمة الخارجية (بالفرنك السويسري)</w:t>
            </w:r>
          </w:p>
        </w:tc>
        <w:tc>
          <w:tcPr>
            <w:tcW w:w="893"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مراقبة جودة الترجمة (أيام العمل)</w:t>
            </w:r>
          </w:p>
        </w:tc>
        <w:tc>
          <w:tcPr>
            <w:tcW w:w="1029"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تحرير الترجمة الخارجية (بالفرنك السويسري)</w:t>
            </w:r>
          </w:p>
        </w:tc>
        <w:tc>
          <w:tcPr>
            <w:tcW w:w="810"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مراقبة جودة الترجمة (أيام العمل)</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2019</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13,700</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1.70</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6,892</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0.57</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2019</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9,680</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2.41</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6,655</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0.80</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2020</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15,408</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1.97</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7,979</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0.66</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2020</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10,427</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2.52</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6,964</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0.84</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2021</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16,560</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2.10</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8,492</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0.70</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2021</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11,251</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2.63</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7,284</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0.88</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2022</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17,789</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2.23</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9,036</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0.74</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2022</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12,169</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2.76</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7,622</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0.92</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2023</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19,071</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2.37</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9,587</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0.79</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2023</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13,164</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2.88</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7,953</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0.96</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2024</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20,378</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2.50</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10,116</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0.83</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2024</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14,219</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2.98</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8,250</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0.99</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2025</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21,765</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2.63</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10,676</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0.88</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2025</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15,424</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3.10</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8,584</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1.03</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2026</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23,052</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2.74</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11,093</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0.91</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2026</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16,788</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3.24</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8,951</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1.08</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2027</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24,372</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2.84</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11,495</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0.95</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2027</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18,307</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3.37</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9,332</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1.12</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2028</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25,726</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2.93</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11,884</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0.98</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2028</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20,001</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3.52</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9,731</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1.17</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2029</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27,338</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3.08</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sz w:val="30"/>
                <w:szCs w:val="30"/>
              </w:rPr>
              <w:t>12,477</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sz w:val="30"/>
                <w:szCs w:val="30"/>
                <w:rtl/>
                <w:lang w:eastAsia="ar"/>
              </w:rPr>
              <w:t>1.03</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2029</w:t>
            </w:r>
          </w:p>
        </w:tc>
        <w:tc>
          <w:tcPr>
            <w:tcW w:w="991"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color w:val="000000"/>
                <w:sz w:val="30"/>
                <w:szCs w:val="30"/>
              </w:rPr>
              <w:t>21,909</w:t>
            </w:r>
          </w:p>
        </w:tc>
        <w:tc>
          <w:tcPr>
            <w:tcW w:w="893"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3.68</w:t>
            </w:r>
          </w:p>
        </w:tc>
        <w:tc>
          <w:tcPr>
            <w:tcW w:w="1029" w:type="dxa"/>
            <w:tcBorders>
              <w:top w:val="nil"/>
              <w:left w:val="nil"/>
              <w:bottom w:val="single" w:sz="4" w:space="0" w:color="auto"/>
              <w:right w:val="single" w:sz="4" w:space="0" w:color="auto"/>
            </w:tcBorders>
            <w:shd w:val="clear" w:color="000000" w:fill="FFFFFF"/>
            <w:noWrap/>
            <w:vAlign w:val="center"/>
            <w:hideMark/>
          </w:tcPr>
          <w:p w:rsidR="00473EED" w:rsidRPr="00473EED" w:rsidRDefault="00473EED" w:rsidP="00473EED">
            <w:pPr>
              <w:jc w:val="center"/>
              <w:rPr>
                <w:color w:val="000000"/>
                <w:sz w:val="30"/>
                <w:szCs w:val="30"/>
                <w:lang w:eastAsia="ja-JP"/>
              </w:rPr>
            </w:pPr>
            <w:r w:rsidRPr="00473EED">
              <w:rPr>
                <w:sz w:val="30"/>
                <w:szCs w:val="30"/>
              </w:rPr>
              <w:t>10,167</w:t>
            </w:r>
          </w:p>
        </w:tc>
        <w:tc>
          <w:tcPr>
            <w:tcW w:w="810" w:type="dxa"/>
            <w:tcBorders>
              <w:top w:val="nil"/>
              <w:left w:val="nil"/>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sz w:val="30"/>
                <w:szCs w:val="30"/>
                <w:rtl/>
                <w:lang w:eastAsia="ar"/>
              </w:rPr>
              <w:t>1.23</w:t>
            </w:r>
          </w:p>
        </w:tc>
      </w:tr>
    </w:tbl>
    <w:p w:rsidR="00EB4111" w:rsidRPr="0046006B" w:rsidRDefault="00EB4111" w:rsidP="00EB4111">
      <w:pPr>
        <w:rPr>
          <w:bCs/>
          <w:u w:val="single"/>
        </w:rPr>
      </w:pPr>
    </w:p>
    <w:p w:rsidR="00EB4111" w:rsidRPr="0046006B" w:rsidRDefault="00EB4111" w:rsidP="00F8422A">
      <w:pPr>
        <w:pStyle w:val="Heading3"/>
        <w:rPr>
          <w:bCs/>
        </w:rPr>
      </w:pPr>
      <w:r w:rsidRPr="0046006B">
        <w:rPr>
          <w:rtl/>
          <w:lang w:eastAsia="ar"/>
        </w:rPr>
        <w:lastRenderedPageBreak/>
        <w:t>(دال)</w:t>
      </w:r>
      <w:r w:rsidRPr="0046006B">
        <w:rPr>
          <w:rtl/>
          <w:lang w:eastAsia="ar"/>
        </w:rPr>
        <w:tab/>
        <w:t>لغة العمل</w:t>
      </w:r>
      <w:r w:rsidRPr="0046006B">
        <w:rPr>
          <w:vertAlign w:val="superscript"/>
          <w:rtl/>
          <w:lang w:eastAsia="ar"/>
        </w:rPr>
        <w:footnoteReference w:id="33"/>
      </w:r>
    </w:p>
    <w:tbl>
      <w:tblPr>
        <w:bidiVisual/>
        <w:tblW w:w="9129" w:type="dxa"/>
        <w:tblInd w:w="-110" w:type="dxa"/>
        <w:tblLayout w:type="fixed"/>
        <w:tblLook w:val="04A0" w:firstRow="1" w:lastRow="0" w:firstColumn="1" w:lastColumn="0" w:noHBand="0" w:noVBand="1"/>
      </w:tblPr>
      <w:tblGrid>
        <w:gridCol w:w="721"/>
        <w:gridCol w:w="1076"/>
        <w:gridCol w:w="898"/>
        <w:gridCol w:w="1034"/>
        <w:gridCol w:w="767"/>
        <w:gridCol w:w="236"/>
        <w:gridCol w:w="674"/>
        <w:gridCol w:w="991"/>
        <w:gridCol w:w="893"/>
        <w:gridCol w:w="1029"/>
        <w:gridCol w:w="810"/>
      </w:tblGrid>
      <w:tr w:rsidR="00EB4111" w:rsidRPr="00F8422A" w:rsidTr="00C46EDF">
        <w:trPr>
          <w:trHeight w:val="574"/>
        </w:trPr>
        <w:tc>
          <w:tcPr>
            <w:tcW w:w="4496" w:type="dxa"/>
            <w:gridSpan w:val="5"/>
            <w:shd w:val="clear" w:color="auto" w:fill="auto"/>
            <w:noWrap/>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الروسية فقط</w:t>
            </w:r>
          </w:p>
        </w:tc>
        <w:tc>
          <w:tcPr>
            <w:tcW w:w="236" w:type="dxa"/>
            <w:shd w:val="clear" w:color="000000" w:fill="FFFFFF"/>
            <w:noWrap/>
            <w:vAlign w:val="center"/>
          </w:tcPr>
          <w:p w:rsidR="00EB4111" w:rsidRPr="00F8422A" w:rsidRDefault="00EB4111" w:rsidP="00C46EDF">
            <w:pPr>
              <w:jc w:val="center"/>
              <w:rPr>
                <w:color w:val="000000"/>
                <w:sz w:val="30"/>
                <w:szCs w:val="30"/>
                <w:lang w:eastAsia="ja-JP"/>
              </w:rPr>
            </w:pPr>
          </w:p>
        </w:tc>
        <w:tc>
          <w:tcPr>
            <w:tcW w:w="4397" w:type="dxa"/>
            <w:gridSpan w:val="5"/>
            <w:shd w:val="clear" w:color="auto" w:fill="auto"/>
            <w:noWrap/>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الصينية فقط</w:t>
            </w:r>
          </w:p>
        </w:tc>
      </w:tr>
      <w:tr w:rsidR="00EB4111" w:rsidRPr="00F8422A" w:rsidTr="00C46EDF">
        <w:trPr>
          <w:trHeight w:val="574"/>
        </w:trPr>
        <w:tc>
          <w:tcPr>
            <w:tcW w:w="721"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rsidR="00EB4111" w:rsidRPr="00F8422A" w:rsidRDefault="00EB4111" w:rsidP="00C46EDF">
            <w:pPr>
              <w:jc w:val="center"/>
              <w:rPr>
                <w:color w:val="000000"/>
                <w:sz w:val="30"/>
                <w:szCs w:val="30"/>
                <w:lang w:eastAsia="ja-JP"/>
              </w:rPr>
            </w:pPr>
          </w:p>
        </w:tc>
        <w:tc>
          <w:tcPr>
            <w:tcW w:w="1974"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مباشرة</w:t>
            </w:r>
          </w:p>
        </w:tc>
        <w:tc>
          <w:tcPr>
            <w:tcW w:w="1801" w:type="dxa"/>
            <w:gridSpan w:val="2"/>
            <w:tcBorders>
              <w:top w:val="single" w:sz="4" w:space="0" w:color="auto"/>
              <w:left w:val="single" w:sz="4" w:space="0" w:color="auto"/>
              <w:bottom w:val="single" w:sz="4" w:space="0" w:color="FFFFFF" w:themeColor="background1"/>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غير مباشرة عبر الإنكليزية</w:t>
            </w:r>
          </w:p>
        </w:tc>
        <w:tc>
          <w:tcPr>
            <w:tcW w:w="236" w:type="dxa"/>
            <w:tcBorders>
              <w:left w:val="single" w:sz="4" w:space="0" w:color="auto"/>
              <w:bottom w:val="nil"/>
              <w:right w:val="single" w:sz="4" w:space="0" w:color="FFFFFF" w:themeColor="background1"/>
            </w:tcBorders>
            <w:shd w:val="clear" w:color="000000" w:fill="FFFFFF"/>
            <w:noWrap/>
            <w:vAlign w:val="center"/>
          </w:tcPr>
          <w:p w:rsidR="00EB4111" w:rsidRPr="00F8422A" w:rsidRDefault="00EB4111" w:rsidP="00C46EDF">
            <w:pPr>
              <w:jc w:val="center"/>
              <w:rPr>
                <w:color w:val="000000"/>
                <w:sz w:val="30"/>
                <w:szCs w:val="30"/>
                <w:lang w:eastAsia="ja-JP"/>
              </w:rPr>
            </w:pPr>
          </w:p>
        </w:tc>
        <w:tc>
          <w:tcPr>
            <w:tcW w:w="674" w:type="dxa"/>
            <w:tcBorders>
              <w:left w:val="single" w:sz="4" w:space="0" w:color="FFFFFF" w:themeColor="background1"/>
              <w:bottom w:val="single" w:sz="4" w:space="0" w:color="FFFFFF" w:themeColor="background1"/>
              <w:right w:val="single" w:sz="4" w:space="0" w:color="auto"/>
            </w:tcBorders>
            <w:shd w:val="clear" w:color="auto" w:fill="auto"/>
            <w:noWrap/>
            <w:vAlign w:val="center"/>
          </w:tcPr>
          <w:p w:rsidR="00EB4111" w:rsidRPr="00F8422A" w:rsidRDefault="00EB4111" w:rsidP="00C46EDF">
            <w:pPr>
              <w:jc w:val="center"/>
              <w:rPr>
                <w:color w:val="000000"/>
                <w:sz w:val="30"/>
                <w:szCs w:val="30"/>
                <w:lang w:eastAsia="ja-JP"/>
              </w:rPr>
            </w:pPr>
          </w:p>
        </w:tc>
        <w:tc>
          <w:tcPr>
            <w:tcW w:w="1884" w:type="dxa"/>
            <w:gridSpan w:val="2"/>
            <w:tcBorders>
              <w:top w:val="single" w:sz="4" w:space="0" w:color="auto"/>
              <w:left w:val="nil"/>
              <w:bottom w:val="single" w:sz="4" w:space="0" w:color="auto"/>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مباشرة</w:t>
            </w:r>
          </w:p>
        </w:tc>
        <w:tc>
          <w:tcPr>
            <w:tcW w:w="1839" w:type="dxa"/>
            <w:gridSpan w:val="2"/>
            <w:tcBorders>
              <w:top w:val="single" w:sz="4" w:space="0" w:color="auto"/>
              <w:left w:val="nil"/>
              <w:bottom w:val="single" w:sz="4" w:space="0" w:color="auto"/>
              <w:right w:val="single" w:sz="4" w:space="0" w:color="auto"/>
            </w:tcBorders>
            <w:shd w:val="clear" w:color="auto" w:fill="auto"/>
            <w:vAlign w:val="center"/>
          </w:tcPr>
          <w:p w:rsidR="00EB4111" w:rsidRPr="00F8422A" w:rsidRDefault="00EB4111" w:rsidP="00C46EDF">
            <w:pPr>
              <w:jc w:val="center"/>
              <w:rPr>
                <w:color w:val="000000"/>
                <w:sz w:val="30"/>
                <w:szCs w:val="30"/>
                <w:lang w:eastAsia="ja-JP"/>
              </w:rPr>
            </w:pPr>
            <w:r w:rsidRPr="00F8422A">
              <w:rPr>
                <w:color w:val="000000"/>
                <w:sz w:val="30"/>
                <w:szCs w:val="30"/>
                <w:rtl/>
                <w:lang w:eastAsia="ar"/>
              </w:rPr>
              <w:t>ترجمة غير مباشرة عبر الإنكليزية</w:t>
            </w:r>
          </w:p>
        </w:tc>
      </w:tr>
      <w:tr w:rsidR="00EB4111" w:rsidRPr="00F8422A" w:rsidTr="00F8422A">
        <w:trPr>
          <w:trHeight w:val="574"/>
        </w:trPr>
        <w:tc>
          <w:tcPr>
            <w:tcW w:w="72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rsidR="00EB4111" w:rsidRPr="00F8422A" w:rsidRDefault="00EB4111" w:rsidP="00C46EDF">
            <w:pPr>
              <w:jc w:val="center"/>
              <w:rPr>
                <w:color w:val="000000"/>
                <w:sz w:val="30"/>
                <w:szCs w:val="30"/>
                <w:lang w:eastAsia="ja-JP"/>
              </w:rPr>
            </w:pPr>
            <w:r w:rsidRPr="00F8422A">
              <w:rPr>
                <w:color w:val="000000"/>
                <w:sz w:val="30"/>
                <w:szCs w:val="30"/>
                <w:rtl/>
                <w:lang w:eastAsia="ar"/>
              </w:rPr>
              <w:t> </w:t>
            </w:r>
          </w:p>
        </w:tc>
        <w:tc>
          <w:tcPr>
            <w:tcW w:w="1076"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تحرير الترجمة الخارجية (بالفرنك السويسري)</w:t>
            </w:r>
          </w:p>
        </w:tc>
        <w:tc>
          <w:tcPr>
            <w:tcW w:w="898"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مراقبة جودة الترجمة (أيام العمل)</w:t>
            </w:r>
          </w:p>
        </w:tc>
        <w:tc>
          <w:tcPr>
            <w:tcW w:w="1034"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تحرير الترجمة الخارجية (بالفرنك السويسري)</w:t>
            </w:r>
          </w:p>
        </w:tc>
        <w:tc>
          <w:tcPr>
            <w:tcW w:w="767"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مراقبة جودة الترجمة (أيام العمل)</w:t>
            </w:r>
          </w:p>
        </w:tc>
        <w:tc>
          <w:tcPr>
            <w:tcW w:w="236" w:type="dxa"/>
            <w:tcBorders>
              <w:top w:val="nil"/>
              <w:left w:val="nil"/>
              <w:bottom w:val="nil"/>
              <w:right w:val="single" w:sz="4" w:space="0" w:color="FFFFFF" w:themeColor="background1"/>
            </w:tcBorders>
            <w:shd w:val="clear" w:color="000000" w:fill="FFFFFF"/>
            <w:noWrap/>
            <w:vAlign w:val="center"/>
            <w:hideMark/>
          </w:tcPr>
          <w:p w:rsidR="00EB4111" w:rsidRPr="00F8422A" w:rsidRDefault="00EB4111" w:rsidP="00C46EDF">
            <w:pPr>
              <w:jc w:val="center"/>
              <w:rPr>
                <w:color w:val="000000"/>
                <w:sz w:val="30"/>
                <w:szCs w:val="30"/>
                <w:lang w:eastAsia="ja-JP"/>
              </w:rPr>
            </w:pPr>
            <w:r w:rsidRPr="00F8422A">
              <w:rPr>
                <w:color w:val="000000"/>
                <w:sz w:val="30"/>
                <w:szCs w:val="30"/>
                <w:rtl/>
                <w:lang w:eastAsia="ar"/>
              </w:rPr>
              <w:t> </w:t>
            </w:r>
          </w:p>
        </w:tc>
        <w:tc>
          <w:tcPr>
            <w:tcW w:w="67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noWrap/>
            <w:vAlign w:val="center"/>
            <w:hideMark/>
          </w:tcPr>
          <w:p w:rsidR="00EB4111" w:rsidRPr="00F8422A" w:rsidRDefault="00EB4111" w:rsidP="00C46EDF">
            <w:pPr>
              <w:jc w:val="center"/>
              <w:rPr>
                <w:color w:val="000000"/>
                <w:sz w:val="30"/>
                <w:szCs w:val="30"/>
                <w:lang w:eastAsia="ja-JP"/>
              </w:rPr>
            </w:pPr>
            <w:r w:rsidRPr="00F8422A">
              <w:rPr>
                <w:color w:val="000000"/>
                <w:sz w:val="30"/>
                <w:szCs w:val="30"/>
                <w:rtl/>
                <w:lang w:eastAsia="ar"/>
              </w:rPr>
              <w:t> </w:t>
            </w:r>
          </w:p>
        </w:tc>
        <w:tc>
          <w:tcPr>
            <w:tcW w:w="991"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تحرير الترجمة الخارجية (بالفرنك السويسري)</w:t>
            </w:r>
          </w:p>
        </w:tc>
        <w:tc>
          <w:tcPr>
            <w:tcW w:w="893"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مراقبة جودة الترجمة (أيام العمل)</w:t>
            </w:r>
          </w:p>
        </w:tc>
        <w:tc>
          <w:tcPr>
            <w:tcW w:w="1029"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تحرير الترجمة الخارجية (بالفرنك السويسري)</w:t>
            </w:r>
          </w:p>
        </w:tc>
        <w:tc>
          <w:tcPr>
            <w:tcW w:w="810" w:type="dxa"/>
            <w:tcBorders>
              <w:top w:val="single" w:sz="8" w:space="0" w:color="auto"/>
              <w:left w:val="nil"/>
              <w:bottom w:val="single" w:sz="4" w:space="0" w:color="auto"/>
              <w:right w:val="single" w:sz="4" w:space="0" w:color="auto"/>
            </w:tcBorders>
            <w:shd w:val="clear" w:color="auto" w:fill="auto"/>
            <w:vAlign w:val="center"/>
            <w:hideMark/>
          </w:tcPr>
          <w:p w:rsidR="00EB4111" w:rsidRPr="007B5095" w:rsidRDefault="00EB4111" w:rsidP="00C46EDF">
            <w:pPr>
              <w:jc w:val="center"/>
              <w:rPr>
                <w:color w:val="000000"/>
                <w:sz w:val="26"/>
                <w:szCs w:val="26"/>
                <w:lang w:eastAsia="ja-JP"/>
              </w:rPr>
            </w:pPr>
            <w:r w:rsidRPr="007B5095">
              <w:rPr>
                <w:color w:val="000000"/>
                <w:sz w:val="26"/>
                <w:szCs w:val="26"/>
                <w:rtl/>
                <w:lang w:eastAsia="ar"/>
              </w:rPr>
              <w:t>مراقبة جودة الترجمة (أيام العمل)</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2019</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47,926</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10.19</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41,301</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3.40</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2019</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30,739</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10.19</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28,192</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3.40</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2020</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51,002</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10.81</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43,793</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3.60</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2020</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32,863</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10.81</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29,893</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3.60</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2021</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54,239</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11.45</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46,402</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3.82</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2021</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35,135</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11.45</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31,675</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3.82</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2022</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57,641</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12.12</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49,131</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4.04</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2022</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37,564</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12.12</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33,537</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4.04</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2023</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61,210</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12.83</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51,980</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4.28</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2023</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40,163</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12.83</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35,482</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4.28</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2024</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64,946</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13.56</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54,948</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4.52</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2024</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42,942</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13.56</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37,508</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4.52</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2025</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68,849</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14.32</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58,034</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4.77</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2025</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45,914</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14.32</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39,615</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4.77</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2026</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72,915</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15.11</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61,234</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5.04</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2026</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49,092</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15.11</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41,799</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5.04</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2027</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77,140</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15.93</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64,543</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5.31</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2027</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52,487</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15.93</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44,058</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5.31</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2028</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81,515</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16.77</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67,955</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5.59</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2028</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56,111</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16.77</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46,386</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5.59</w:t>
            </w:r>
          </w:p>
        </w:tc>
      </w:tr>
      <w:tr w:rsidR="00473EED" w:rsidRPr="00F8422A" w:rsidTr="00F8422A">
        <w:trPr>
          <w:trHeight w:val="368"/>
        </w:trPr>
        <w:tc>
          <w:tcPr>
            <w:tcW w:w="721"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2029</w:t>
            </w:r>
          </w:p>
        </w:tc>
        <w:tc>
          <w:tcPr>
            <w:tcW w:w="1076"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86,028</w:t>
            </w:r>
          </w:p>
        </w:tc>
        <w:tc>
          <w:tcPr>
            <w:tcW w:w="898"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17.63</w:t>
            </w:r>
          </w:p>
        </w:tc>
        <w:tc>
          <w:tcPr>
            <w:tcW w:w="1034"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71,457</w:t>
            </w:r>
          </w:p>
        </w:tc>
        <w:tc>
          <w:tcPr>
            <w:tcW w:w="767"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5.88</w:t>
            </w:r>
          </w:p>
        </w:tc>
        <w:tc>
          <w:tcPr>
            <w:tcW w:w="236" w:type="dxa"/>
            <w:tcBorders>
              <w:top w:val="nil"/>
              <w:left w:val="nil"/>
              <w:bottom w:val="nil"/>
              <w:right w:val="nil"/>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 </w:t>
            </w:r>
          </w:p>
        </w:tc>
        <w:tc>
          <w:tcPr>
            <w:tcW w:w="674" w:type="dxa"/>
            <w:tcBorders>
              <w:top w:val="nil"/>
              <w:left w:val="single" w:sz="8" w:space="0" w:color="auto"/>
              <w:bottom w:val="single" w:sz="4" w:space="0" w:color="auto"/>
              <w:right w:val="single" w:sz="4" w:space="0" w:color="auto"/>
            </w:tcBorders>
            <w:shd w:val="clear" w:color="000000" w:fill="FFFFFF"/>
            <w:noWrap/>
            <w:vAlign w:val="center"/>
            <w:hideMark/>
          </w:tcPr>
          <w:p w:rsidR="00473EED" w:rsidRPr="00F8422A" w:rsidRDefault="00473EED" w:rsidP="00473EED">
            <w:pPr>
              <w:jc w:val="center"/>
              <w:rPr>
                <w:color w:val="000000"/>
                <w:sz w:val="30"/>
                <w:szCs w:val="30"/>
                <w:lang w:eastAsia="ja-JP"/>
              </w:rPr>
            </w:pPr>
            <w:r w:rsidRPr="00F8422A">
              <w:rPr>
                <w:color w:val="000000"/>
                <w:sz w:val="30"/>
                <w:szCs w:val="30"/>
                <w:rtl/>
                <w:lang w:eastAsia="ar"/>
              </w:rPr>
              <w:t>2029</w:t>
            </w:r>
          </w:p>
        </w:tc>
        <w:tc>
          <w:tcPr>
            <w:tcW w:w="991"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59,976</w:t>
            </w:r>
          </w:p>
        </w:tc>
        <w:tc>
          <w:tcPr>
            <w:tcW w:w="893"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17.63</w:t>
            </w:r>
          </w:p>
        </w:tc>
        <w:tc>
          <w:tcPr>
            <w:tcW w:w="1029" w:type="dxa"/>
            <w:tcBorders>
              <w:top w:val="nil"/>
              <w:left w:val="nil"/>
              <w:bottom w:val="single" w:sz="4" w:space="0" w:color="auto"/>
              <w:right w:val="single" w:sz="4" w:space="0" w:color="auto"/>
            </w:tcBorders>
            <w:shd w:val="clear" w:color="000000" w:fill="FFFFFF"/>
            <w:noWrap/>
            <w:vAlign w:val="center"/>
          </w:tcPr>
          <w:p w:rsidR="00473EED" w:rsidRPr="00473EED" w:rsidRDefault="00473EED" w:rsidP="00473EED">
            <w:pPr>
              <w:jc w:val="center"/>
              <w:rPr>
                <w:color w:val="000000"/>
                <w:sz w:val="30"/>
                <w:szCs w:val="30"/>
                <w:lang w:eastAsia="ja-JP"/>
              </w:rPr>
            </w:pPr>
            <w:r w:rsidRPr="00473EED">
              <w:rPr>
                <w:color w:val="000000"/>
                <w:sz w:val="30"/>
                <w:szCs w:val="30"/>
              </w:rPr>
              <w:t>48,777</w:t>
            </w:r>
          </w:p>
        </w:tc>
        <w:tc>
          <w:tcPr>
            <w:tcW w:w="810" w:type="dxa"/>
            <w:tcBorders>
              <w:top w:val="nil"/>
              <w:left w:val="nil"/>
              <w:bottom w:val="single" w:sz="4" w:space="0" w:color="auto"/>
              <w:right w:val="single" w:sz="4" w:space="0" w:color="auto"/>
            </w:tcBorders>
            <w:shd w:val="clear" w:color="000000" w:fill="FFFFFF"/>
            <w:noWrap/>
            <w:vAlign w:val="center"/>
          </w:tcPr>
          <w:p w:rsidR="00473EED" w:rsidRPr="00F8422A" w:rsidRDefault="00473EED" w:rsidP="00473EED">
            <w:pPr>
              <w:jc w:val="center"/>
              <w:rPr>
                <w:color w:val="000000"/>
                <w:sz w:val="30"/>
                <w:szCs w:val="30"/>
                <w:lang w:eastAsia="ja-JP"/>
              </w:rPr>
            </w:pPr>
            <w:r w:rsidRPr="00F8422A">
              <w:rPr>
                <w:color w:val="000000"/>
                <w:sz w:val="30"/>
                <w:szCs w:val="30"/>
                <w:rtl/>
                <w:lang w:eastAsia="ar"/>
              </w:rPr>
              <w:t>5.88</w:t>
            </w:r>
          </w:p>
        </w:tc>
      </w:tr>
    </w:tbl>
    <w:p w:rsidR="00EB4111" w:rsidRPr="0046006B" w:rsidRDefault="00EB4111" w:rsidP="00EB4111">
      <w:pPr>
        <w:pStyle w:val="DateSignatureAligned"/>
        <w:bidi/>
        <w:spacing w:before="720"/>
        <w:rPr>
          <w:rFonts w:ascii="Arabic Typesetting" w:hAnsi="Arabic Typesetting" w:cs="Arabic Typesetting"/>
          <w:sz w:val="36"/>
          <w:szCs w:val="36"/>
        </w:rPr>
      </w:pPr>
      <w:r w:rsidRPr="0046006B">
        <w:rPr>
          <w:rFonts w:ascii="Arabic Typesetting" w:hAnsi="Arabic Typesetting" w:cs="Arabic Typesetting"/>
          <w:sz w:val="36"/>
          <w:szCs w:val="36"/>
          <w:rtl/>
          <w:lang w:eastAsia="ar"/>
        </w:rPr>
        <w:t>[نهاية المرفق والوثيقة]</w:t>
      </w:r>
    </w:p>
    <w:sectPr w:rsidR="00EB4111" w:rsidRPr="0046006B" w:rsidSect="00C1628D">
      <w:headerReference w:type="default" r:id="rId15"/>
      <w:headerReference w:type="first" r:id="rId16"/>
      <w:footnotePr>
        <w:numRestart w:val="eachSect"/>
      </w:footnotePr>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797" w:rsidRDefault="00AE0797">
      <w:r>
        <w:separator/>
      </w:r>
    </w:p>
  </w:endnote>
  <w:endnote w:type="continuationSeparator" w:id="0">
    <w:p w:rsidR="00AE0797" w:rsidRDefault="00AE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797" w:rsidRDefault="00AE0797" w:rsidP="009622BF">
      <w:bookmarkStart w:id="0" w:name="OLE_LINK1"/>
      <w:bookmarkStart w:id="1" w:name="OLE_LINK2"/>
      <w:r>
        <w:separator/>
      </w:r>
      <w:bookmarkEnd w:id="0"/>
      <w:bookmarkEnd w:id="1"/>
    </w:p>
  </w:footnote>
  <w:footnote w:type="continuationSeparator" w:id="0">
    <w:p w:rsidR="00AE0797" w:rsidRDefault="00AE0797" w:rsidP="009622BF">
      <w:r>
        <w:separator/>
      </w:r>
    </w:p>
  </w:footnote>
  <w:footnote w:id="1">
    <w:p w:rsidR="00AE0797" w:rsidRPr="003B13DF" w:rsidRDefault="00AE0797" w:rsidP="006530C6">
      <w:pPr>
        <w:pStyle w:val="FootnoteText"/>
      </w:pPr>
      <w:r w:rsidRPr="003B13DF">
        <w:rPr>
          <w:rStyle w:val="FootnoteReference"/>
          <w:sz w:val="28"/>
          <w:szCs w:val="28"/>
          <w:rtl/>
          <w:lang w:eastAsia="ar"/>
        </w:rPr>
        <w:footnoteRef/>
      </w:r>
      <w:r w:rsidRPr="003B13DF">
        <w:rPr>
          <w:rtl/>
          <w:lang w:eastAsia="ar"/>
        </w:rPr>
        <w:tab/>
        <w:t xml:space="preserve">انظر الوثيقة </w:t>
      </w:r>
      <w:r w:rsidRPr="003B13DF">
        <w:rPr>
          <w:lang w:eastAsia="ar" w:bidi="en-US"/>
        </w:rPr>
        <w:t>H/LD/WG</w:t>
      </w:r>
      <w:r w:rsidRPr="003B13DF">
        <w:rPr>
          <w:lang w:eastAsia="ar"/>
        </w:rPr>
        <w:t>/7/5</w:t>
      </w:r>
      <w:r w:rsidRPr="003B13DF">
        <w:rPr>
          <w:rtl/>
          <w:lang w:eastAsia="ar"/>
        </w:rPr>
        <w:t>.</w:t>
      </w:r>
    </w:p>
  </w:footnote>
  <w:footnote w:id="2">
    <w:p w:rsidR="00AE0797" w:rsidRPr="003B13DF" w:rsidRDefault="00AE0797" w:rsidP="00EB4111">
      <w:pPr>
        <w:pStyle w:val="FootnoteText"/>
        <w:ind w:left="567" w:hanging="567"/>
      </w:pPr>
      <w:r w:rsidRPr="003B13DF">
        <w:rPr>
          <w:rStyle w:val="FootnoteReference"/>
          <w:sz w:val="28"/>
          <w:szCs w:val="28"/>
          <w:rtl/>
          <w:lang w:eastAsia="ar"/>
        </w:rPr>
        <w:footnoteRef/>
      </w:r>
      <w:r w:rsidRPr="003B13DF">
        <w:rPr>
          <w:rtl/>
          <w:lang w:eastAsia="ar"/>
        </w:rPr>
        <w:tab/>
        <w:t>تحول "المكتب الحكومي للملكية الفكرية بالصين" إلى "إدارة الصين الوطنية للملكية الفكرية" بعد تقديم الالتماس المذكور.</w:t>
      </w:r>
    </w:p>
  </w:footnote>
  <w:footnote w:id="3">
    <w:p w:rsidR="00AE0797" w:rsidRPr="003B13DF" w:rsidRDefault="00AE0797" w:rsidP="00502AAA">
      <w:pPr>
        <w:pStyle w:val="FootnoteText"/>
      </w:pPr>
      <w:r w:rsidRPr="003B13DF">
        <w:rPr>
          <w:rStyle w:val="FootnoteReference"/>
          <w:sz w:val="28"/>
          <w:szCs w:val="28"/>
          <w:rtl/>
          <w:lang w:eastAsia="ar"/>
        </w:rPr>
        <w:footnoteRef/>
      </w:r>
      <w:r w:rsidRPr="003B13DF">
        <w:rPr>
          <w:rtl/>
          <w:lang w:eastAsia="ar"/>
        </w:rPr>
        <w:tab/>
        <w:t xml:space="preserve">انظر الفقرة 21 في الوثيقة </w:t>
      </w:r>
      <w:r w:rsidRPr="003B13DF">
        <w:rPr>
          <w:lang w:eastAsia="ar" w:bidi="en-US"/>
        </w:rPr>
        <w:t>H/LD/WG</w:t>
      </w:r>
      <w:r>
        <w:rPr>
          <w:lang w:eastAsia="ar"/>
        </w:rPr>
        <w:t>/7/10</w:t>
      </w:r>
      <w:r w:rsidRPr="003B13DF">
        <w:rPr>
          <w:rtl/>
          <w:lang w:eastAsia="ar"/>
        </w:rPr>
        <w:t xml:space="preserve">، والفقرة 140 في الوثيقة </w:t>
      </w:r>
      <w:r w:rsidRPr="003B13DF">
        <w:rPr>
          <w:lang w:eastAsia="ar" w:bidi="en-US"/>
        </w:rPr>
        <w:t xml:space="preserve">H/LD/WG/7/11 </w:t>
      </w:r>
      <w:proofErr w:type="gramStart"/>
      <w:r w:rsidRPr="003B13DF">
        <w:rPr>
          <w:lang w:eastAsia="ar" w:bidi="en-US"/>
        </w:rPr>
        <w:t>PROV</w:t>
      </w:r>
      <w:r>
        <w:rPr>
          <w:lang w:eastAsia="ar"/>
        </w:rPr>
        <w:t>.</w:t>
      </w:r>
      <w:r>
        <w:rPr>
          <w:rtl/>
          <w:lang w:eastAsia="ar"/>
        </w:rPr>
        <w:t>.</w:t>
      </w:r>
      <w:proofErr w:type="gramEnd"/>
      <w:r>
        <w:rPr>
          <w:rtl/>
          <w:lang w:eastAsia="ar"/>
        </w:rPr>
        <w:t xml:space="preserve"> </w:t>
      </w:r>
    </w:p>
  </w:footnote>
  <w:footnote w:id="4">
    <w:p w:rsidR="00AE0797" w:rsidRPr="003B13DF" w:rsidRDefault="00AE0797" w:rsidP="00C1628D">
      <w:pPr>
        <w:pStyle w:val="FootnoteText"/>
      </w:pPr>
      <w:r w:rsidRPr="003B13DF">
        <w:rPr>
          <w:rStyle w:val="FootnoteReference"/>
          <w:sz w:val="28"/>
          <w:szCs w:val="28"/>
          <w:rtl/>
          <w:lang w:eastAsia="ar"/>
        </w:rPr>
        <w:footnoteRef/>
      </w:r>
      <w:r w:rsidRPr="003B13DF">
        <w:rPr>
          <w:rtl/>
          <w:lang w:eastAsia="ar"/>
        </w:rPr>
        <w:tab/>
        <w:t>مأخوذ من الاستعراض السنوي لنظام لاهاي 2019.</w:t>
      </w:r>
    </w:p>
  </w:footnote>
  <w:footnote w:id="5">
    <w:p w:rsidR="00AE0797" w:rsidRPr="003B13DF" w:rsidRDefault="00AE0797" w:rsidP="0061660A">
      <w:pPr>
        <w:pStyle w:val="FootnoteText"/>
      </w:pPr>
      <w:r w:rsidRPr="003B13DF">
        <w:rPr>
          <w:rStyle w:val="FootnoteReference"/>
          <w:sz w:val="28"/>
          <w:szCs w:val="28"/>
          <w:rtl/>
          <w:lang w:eastAsia="ar"/>
        </w:rPr>
        <w:footnoteRef/>
      </w:r>
      <w:r w:rsidRPr="003B13DF">
        <w:rPr>
          <w:rtl/>
          <w:lang w:eastAsia="ar"/>
        </w:rPr>
        <w:tab/>
        <w:t xml:space="preserve">انظر الوثيقتين </w:t>
      </w:r>
      <w:r w:rsidRPr="003B13DF">
        <w:rPr>
          <w:lang w:eastAsia="ar" w:bidi="en-US"/>
        </w:rPr>
        <w:t>PCT/A</w:t>
      </w:r>
      <w:r w:rsidRPr="003B13DF">
        <w:rPr>
          <w:lang w:eastAsia="ar"/>
        </w:rPr>
        <w:t>/38/4</w:t>
      </w:r>
      <w:r w:rsidRPr="003B13DF">
        <w:rPr>
          <w:rtl/>
          <w:lang w:eastAsia="ar"/>
        </w:rPr>
        <w:t xml:space="preserve"> و</w:t>
      </w:r>
      <w:r w:rsidRPr="003B13DF">
        <w:rPr>
          <w:lang w:eastAsia="ar" w:bidi="en-US"/>
        </w:rPr>
        <w:t>PCT/A</w:t>
      </w:r>
      <w:r w:rsidRPr="003B13DF">
        <w:rPr>
          <w:lang w:eastAsia="ar"/>
        </w:rPr>
        <w:t>/38/6</w:t>
      </w:r>
      <w:r w:rsidRPr="003B13DF">
        <w:rPr>
          <w:rtl/>
          <w:lang w:eastAsia="ar"/>
        </w:rPr>
        <w:t>، المرفق الثالث.</w:t>
      </w:r>
    </w:p>
  </w:footnote>
  <w:footnote w:id="6">
    <w:p w:rsidR="00AE0797" w:rsidRPr="003B13DF" w:rsidRDefault="00AE0797" w:rsidP="0061660A">
      <w:pPr>
        <w:pStyle w:val="FootnoteText"/>
      </w:pPr>
      <w:r w:rsidRPr="003B13DF">
        <w:rPr>
          <w:rStyle w:val="FootnoteReference"/>
          <w:sz w:val="28"/>
          <w:szCs w:val="28"/>
          <w:rtl/>
          <w:lang w:eastAsia="ar"/>
        </w:rPr>
        <w:footnoteRef/>
      </w:r>
      <w:r w:rsidRPr="003B13DF">
        <w:rPr>
          <w:rtl/>
          <w:lang w:eastAsia="ar"/>
        </w:rPr>
        <w:tab/>
        <w:t xml:space="preserve">انظر الوثيقتين </w:t>
      </w:r>
      <w:r w:rsidRPr="003B13DF">
        <w:rPr>
          <w:lang w:eastAsia="ar" w:bidi="en-US"/>
        </w:rPr>
        <w:t>MM/A</w:t>
      </w:r>
      <w:r w:rsidRPr="003B13DF">
        <w:rPr>
          <w:lang w:eastAsia="ar"/>
        </w:rPr>
        <w:t>/42/1</w:t>
      </w:r>
      <w:r w:rsidRPr="003B13DF">
        <w:rPr>
          <w:rtl/>
          <w:lang w:eastAsia="ar"/>
        </w:rPr>
        <w:t xml:space="preserve"> و</w:t>
      </w:r>
      <w:r w:rsidRPr="003B13DF">
        <w:rPr>
          <w:lang w:eastAsia="ar" w:bidi="en-US"/>
        </w:rPr>
        <w:t>MM/A</w:t>
      </w:r>
      <w:r w:rsidRPr="003B13DF">
        <w:rPr>
          <w:lang w:eastAsia="ar"/>
        </w:rPr>
        <w:t>/42/4</w:t>
      </w:r>
      <w:r w:rsidRPr="003B13DF">
        <w:rPr>
          <w:rtl/>
          <w:lang w:eastAsia="ar"/>
        </w:rPr>
        <w:t>.</w:t>
      </w:r>
    </w:p>
  </w:footnote>
  <w:footnote w:id="7">
    <w:p w:rsidR="00AE0797" w:rsidRPr="003B13DF" w:rsidRDefault="00AE0797" w:rsidP="0067001E">
      <w:pPr>
        <w:pStyle w:val="FootnoteText"/>
        <w:ind w:left="567" w:hanging="567"/>
      </w:pPr>
      <w:r w:rsidRPr="003B13DF">
        <w:rPr>
          <w:rStyle w:val="FootnoteReference"/>
          <w:sz w:val="28"/>
          <w:szCs w:val="28"/>
          <w:rtl/>
          <w:lang w:eastAsia="ar"/>
        </w:rPr>
        <w:footnoteRef/>
      </w:r>
      <w:r w:rsidRPr="003B13DF">
        <w:rPr>
          <w:rtl/>
          <w:lang w:eastAsia="ar"/>
        </w:rPr>
        <w:tab/>
        <w:t>يُعرَّف منشأ الطلب بأنه البلد/الإقليم الوارد في عنوان الإقامة المذكور لمودع الطلب. ويجوز لمودعي الطلبات المُقيمين في بلد غير عضو إيداعُ طلبات دولية إذا كانت لديهم منشأة صناعية أو تجارية حقيقية وفعلية داخل الولاية القضائية لطرف متعاقد في نظام لاهاي.</w:t>
      </w:r>
    </w:p>
  </w:footnote>
  <w:footnote w:id="8">
    <w:p w:rsidR="00AE0797" w:rsidRPr="00C1628D" w:rsidRDefault="00AE0797" w:rsidP="0067001E">
      <w:pPr>
        <w:pStyle w:val="FootnoteText"/>
        <w:ind w:left="567" w:hanging="567"/>
      </w:pPr>
      <w:r w:rsidRPr="00C1628D">
        <w:rPr>
          <w:rStyle w:val="FootnoteReference"/>
          <w:sz w:val="28"/>
          <w:szCs w:val="28"/>
          <w:rtl/>
          <w:lang w:eastAsia="ar"/>
        </w:rPr>
        <w:footnoteRef/>
      </w:r>
      <w:r w:rsidRPr="00C1628D">
        <w:rPr>
          <w:rtl/>
          <w:lang w:eastAsia="ar"/>
        </w:rPr>
        <w:tab/>
        <w:t xml:space="preserve">يجوز إيداع طلبات التصاميم المحلية لدى المعهد الفِدرالي السويسري للملكية الفكرية بالألمانية والفرنسية والإيطالية </w:t>
      </w:r>
      <w:proofErr w:type="spellStart"/>
      <w:r w:rsidRPr="00C1628D">
        <w:rPr>
          <w:rtl/>
          <w:lang w:eastAsia="ar"/>
        </w:rPr>
        <w:t>والرايتورومانية</w:t>
      </w:r>
      <w:proofErr w:type="spellEnd"/>
      <w:r w:rsidRPr="00C1628D">
        <w:rPr>
          <w:rtl/>
          <w:lang w:eastAsia="ar"/>
        </w:rPr>
        <w:t xml:space="preserve">. ووفقاً لإحصاءات المكتب المذكور، أُودِع، في عام 2018، 497 طلباً محلياً بالألمانية، و172 بالفرنسية، و35 بالإيطالية، ولم يُودَع أي طلب </w:t>
      </w:r>
      <w:proofErr w:type="spellStart"/>
      <w:r w:rsidRPr="00C1628D">
        <w:rPr>
          <w:rtl/>
          <w:lang w:eastAsia="ar"/>
        </w:rPr>
        <w:t>بالرايتورومانية</w:t>
      </w:r>
      <w:proofErr w:type="spellEnd"/>
      <w:r w:rsidRPr="00C1628D">
        <w:rPr>
          <w:rtl/>
          <w:lang w:eastAsia="ar"/>
        </w:rPr>
        <w:t>. ويعني ذلك أن نحو 71% من هذه الطلبات قد أُودِع بالألمانية، و24% بالفرنسية، و5% بالإيطالية.</w:t>
      </w:r>
    </w:p>
  </w:footnote>
  <w:footnote w:id="9">
    <w:p w:rsidR="00AE0797" w:rsidRPr="00C1628D" w:rsidRDefault="00AE0797" w:rsidP="00EB4111">
      <w:pPr>
        <w:pStyle w:val="FootnoteText"/>
        <w:ind w:left="567" w:hanging="567"/>
        <w:rPr>
          <w:lang w:val="en-GB"/>
        </w:rPr>
      </w:pPr>
      <w:r w:rsidRPr="00C1628D">
        <w:rPr>
          <w:rStyle w:val="FootnoteReference"/>
          <w:sz w:val="28"/>
          <w:szCs w:val="28"/>
          <w:rtl/>
          <w:lang w:eastAsia="ar"/>
        </w:rPr>
        <w:footnoteRef/>
      </w:r>
      <w:r w:rsidRPr="00C1628D">
        <w:rPr>
          <w:rtl/>
          <w:lang w:eastAsia="ar"/>
        </w:rPr>
        <w:tab/>
        <w:t xml:space="preserve">يجب إيداع طلبات التصاميم المحلية لدى مكتب </w:t>
      </w:r>
      <w:proofErr w:type="spellStart"/>
      <w:r w:rsidRPr="00C1628D">
        <w:rPr>
          <w:rtl/>
          <w:lang w:eastAsia="ar"/>
        </w:rPr>
        <w:t>بنلوكس</w:t>
      </w:r>
      <w:proofErr w:type="spellEnd"/>
      <w:r w:rsidRPr="00C1628D">
        <w:rPr>
          <w:rtl/>
          <w:lang w:eastAsia="ar"/>
        </w:rPr>
        <w:t xml:space="preserve"> للملكية الفكرية الذي يقبل الإيداعات باللغة الهولندية أو الفرنسية أو الإنكليزية.</w:t>
      </w:r>
    </w:p>
  </w:footnote>
  <w:footnote w:id="10">
    <w:p w:rsidR="00AE0797" w:rsidRPr="00C1628D" w:rsidRDefault="00AE0797" w:rsidP="00C1628D">
      <w:pPr>
        <w:pStyle w:val="FootnoteText"/>
        <w:ind w:left="567" w:hanging="567"/>
      </w:pPr>
      <w:r w:rsidRPr="00C1628D">
        <w:rPr>
          <w:rStyle w:val="FootnoteReference"/>
          <w:sz w:val="28"/>
          <w:szCs w:val="28"/>
          <w:rtl/>
          <w:lang w:eastAsia="ar"/>
        </w:rPr>
        <w:footnoteRef/>
      </w:r>
      <w:r w:rsidRPr="00C1628D">
        <w:rPr>
          <w:rtl/>
          <w:lang w:eastAsia="ar"/>
        </w:rPr>
        <w:tab/>
        <w:t>مأخوذ من الاستعراض السنوي لنظام لاهاي 2019.</w:t>
      </w:r>
    </w:p>
  </w:footnote>
  <w:footnote w:id="11">
    <w:p w:rsidR="00AE0797" w:rsidRPr="003B13DF" w:rsidRDefault="00AE0797" w:rsidP="00C1628D">
      <w:pPr>
        <w:pStyle w:val="FootnoteText"/>
        <w:ind w:left="567" w:hanging="567"/>
      </w:pPr>
      <w:r w:rsidRPr="00C1628D">
        <w:rPr>
          <w:rStyle w:val="FootnoteReference"/>
          <w:sz w:val="28"/>
          <w:szCs w:val="28"/>
          <w:rtl/>
          <w:lang w:eastAsia="ar"/>
        </w:rPr>
        <w:footnoteRef/>
      </w:r>
      <w:r w:rsidRPr="00C1628D">
        <w:rPr>
          <w:rtl/>
          <w:lang w:eastAsia="ar"/>
        </w:rPr>
        <w:tab/>
        <w:t>مأخوذ من الاستعراض السنوي لنظام لاهاي 2019.</w:t>
      </w:r>
    </w:p>
  </w:footnote>
  <w:footnote w:id="12">
    <w:p w:rsidR="00AE0797" w:rsidRPr="003B13DF" w:rsidRDefault="00AE0797" w:rsidP="00262C19">
      <w:pPr>
        <w:pStyle w:val="FootnoteText"/>
        <w:ind w:left="567" w:hanging="567"/>
      </w:pPr>
      <w:r w:rsidRPr="003B13DF">
        <w:rPr>
          <w:rStyle w:val="FootnoteReference"/>
          <w:sz w:val="28"/>
          <w:szCs w:val="28"/>
          <w:rtl/>
          <w:lang w:eastAsia="ar"/>
        </w:rPr>
        <w:footnoteRef/>
      </w:r>
      <w:r w:rsidRPr="003B13DF">
        <w:rPr>
          <w:rtl/>
          <w:lang w:eastAsia="ar"/>
        </w:rPr>
        <w:tab/>
        <w:t>يُطبَّق في بعض الولايات القضائية نظام الطلب ذي التصميم الواحد، ويُطبَّق في ولايات قضائية أخرى نظام الطلب المتعدد التصاميم. ولذلك يُستخدم في هذه المقارنة عدد التصاميم بدلاً من عدد الطلبات</w:t>
      </w:r>
      <w:r>
        <w:rPr>
          <w:rtl/>
          <w:lang w:eastAsia="ar"/>
        </w:rPr>
        <w:t xml:space="preserve">. </w:t>
      </w:r>
      <w:r w:rsidRPr="003B13DF">
        <w:rPr>
          <w:rtl/>
          <w:lang w:eastAsia="ar"/>
        </w:rPr>
        <w:t xml:space="preserve"> </w:t>
      </w:r>
    </w:p>
  </w:footnote>
  <w:footnote w:id="13">
    <w:p w:rsidR="00AE0797" w:rsidRPr="003B13DF" w:rsidRDefault="00AE0797" w:rsidP="0032597E">
      <w:pPr>
        <w:pStyle w:val="FootnoteText"/>
        <w:ind w:left="567" w:hanging="567"/>
      </w:pPr>
      <w:r w:rsidRPr="003B13DF">
        <w:rPr>
          <w:rStyle w:val="FootnoteReference"/>
          <w:sz w:val="28"/>
          <w:szCs w:val="28"/>
          <w:rtl/>
          <w:lang w:eastAsia="ar"/>
        </w:rPr>
        <w:footnoteRef/>
      </w:r>
      <w:r w:rsidRPr="003B13DF">
        <w:rPr>
          <w:rtl/>
          <w:lang w:eastAsia="ar"/>
        </w:rPr>
        <w:tab/>
        <w:t>انظر المؤشرات العالمية للملكية الفكرية 2018، الصفحات من 164 إلى 167. والبيانات الخاصة بالطلبات المُودعة مباشرةً لدى مكاتب الملكية الفكرية الوطنية أو الإقليمية متوفرة حتى عام 2017 فقط، وذلك في تاريخ إعداد هذه الوثيقة.</w:t>
      </w:r>
    </w:p>
  </w:footnote>
  <w:footnote w:id="14">
    <w:p w:rsidR="00AE0797" w:rsidRPr="00262C19" w:rsidRDefault="00AE0797" w:rsidP="00262C19">
      <w:pPr>
        <w:rPr>
          <w:sz w:val="28"/>
          <w:szCs w:val="28"/>
          <w:lang w:val="en-GB"/>
        </w:rPr>
      </w:pPr>
      <w:r w:rsidRPr="00262C19">
        <w:rPr>
          <w:rFonts w:hint="cs"/>
          <w:sz w:val="28"/>
          <w:szCs w:val="28"/>
          <w:vertAlign w:val="superscript"/>
          <w:rtl/>
          <w:lang w:val="en-GB"/>
        </w:rPr>
        <w:t>14</w:t>
      </w:r>
      <w:r>
        <w:rPr>
          <w:sz w:val="28"/>
          <w:szCs w:val="28"/>
          <w:rtl/>
          <w:lang w:val="en-GB"/>
        </w:rPr>
        <w:tab/>
      </w:r>
      <w:r w:rsidRPr="00262C19">
        <w:rPr>
          <w:sz w:val="28"/>
          <w:szCs w:val="28"/>
          <w:rtl/>
          <w:lang w:val="en-GB"/>
        </w:rPr>
        <w:t xml:space="preserve">انظر الفقرة 250 في الوثيقة </w:t>
      </w:r>
      <w:r w:rsidRPr="00262C19">
        <w:rPr>
          <w:sz w:val="28"/>
          <w:szCs w:val="28"/>
          <w:lang w:val="en-GB"/>
        </w:rPr>
        <w:t>A/48/26</w:t>
      </w:r>
      <w:r w:rsidRPr="00262C19">
        <w:rPr>
          <w:sz w:val="28"/>
          <w:szCs w:val="28"/>
          <w:rtl/>
          <w:lang w:val="en-GB"/>
        </w:rPr>
        <w:t xml:space="preserve">، والفقرات من 173 إلى 184 في الوثيقة </w:t>
      </w:r>
      <w:r w:rsidRPr="00262C19">
        <w:rPr>
          <w:sz w:val="28"/>
          <w:szCs w:val="28"/>
          <w:lang w:val="en-GB"/>
        </w:rPr>
        <w:t>A/49/18</w:t>
      </w:r>
      <w:r w:rsidRPr="00262C19">
        <w:rPr>
          <w:sz w:val="28"/>
          <w:szCs w:val="28"/>
          <w:rtl/>
          <w:lang w:val="en-GB"/>
        </w:rPr>
        <w:t>.</w:t>
      </w:r>
    </w:p>
  </w:footnote>
  <w:footnote w:id="15">
    <w:p w:rsidR="00AE0797" w:rsidRPr="003B13DF" w:rsidRDefault="00AE0797" w:rsidP="00EB4111">
      <w:pPr>
        <w:pStyle w:val="FootnoteText"/>
        <w:ind w:left="567" w:hanging="567"/>
      </w:pPr>
      <w:r w:rsidRPr="003B13DF">
        <w:rPr>
          <w:rStyle w:val="FootnoteReference"/>
          <w:sz w:val="28"/>
          <w:szCs w:val="28"/>
          <w:rtl/>
          <w:lang w:eastAsia="ar"/>
        </w:rPr>
        <w:footnoteRef/>
      </w:r>
      <w:r w:rsidRPr="003B13DF">
        <w:rPr>
          <w:rtl/>
          <w:lang w:eastAsia="ar"/>
        </w:rPr>
        <w:tab/>
        <w:t>لا توجد بيانات متاحة بشأن شهر ديسمبر 2018 بسبب استبدال نظام تكنولوجيا المعلومات في نوفمبر 2018.</w:t>
      </w:r>
    </w:p>
  </w:footnote>
  <w:footnote w:id="16">
    <w:p w:rsidR="00AE0797" w:rsidRPr="003B13DF" w:rsidRDefault="00AE0797" w:rsidP="003B13DF">
      <w:pPr>
        <w:pStyle w:val="FootnoteText"/>
        <w:ind w:left="567" w:hanging="567"/>
      </w:pPr>
      <w:r w:rsidRPr="003B13DF">
        <w:rPr>
          <w:rStyle w:val="FootnoteReference"/>
          <w:sz w:val="28"/>
          <w:szCs w:val="28"/>
          <w:rtl/>
          <w:lang w:eastAsia="ar"/>
        </w:rPr>
        <w:footnoteRef/>
      </w:r>
      <w:r w:rsidRPr="003B13DF">
        <w:rPr>
          <w:rtl/>
          <w:lang w:eastAsia="ar"/>
        </w:rPr>
        <w:tab/>
      </w:r>
      <w:r w:rsidRPr="003B13DF">
        <w:rPr>
          <w:rStyle w:val="FootnoteReference"/>
          <w:sz w:val="28"/>
          <w:szCs w:val="28"/>
          <w:vertAlign w:val="baseline"/>
          <w:rtl/>
          <w:lang w:eastAsia="ar"/>
        </w:rPr>
        <w:t>تُرجِم 34% منها</w:t>
      </w:r>
      <w:r>
        <w:rPr>
          <w:rFonts w:hint="cs"/>
          <w:color w:val="000000"/>
          <w:rtl/>
          <w:lang w:eastAsia="ar"/>
        </w:rPr>
        <w:t xml:space="preserve"> </w:t>
      </w:r>
      <w:r w:rsidRPr="003B13DF">
        <w:rPr>
          <w:color w:val="000000"/>
          <w:rtl/>
          <w:lang w:eastAsia="ar"/>
        </w:rPr>
        <w:t>باستخدام أدوات ترجمة آلية. وتولت موارد الترجمة البشرية ترجمة ما تبقى.</w:t>
      </w:r>
    </w:p>
  </w:footnote>
  <w:footnote w:id="17">
    <w:p w:rsidR="00AE0797" w:rsidRPr="003B13DF" w:rsidRDefault="00AE0797" w:rsidP="00EB4111">
      <w:pPr>
        <w:pStyle w:val="CommentText"/>
        <w:ind w:left="567" w:hanging="567"/>
        <w:rPr>
          <w:sz w:val="28"/>
          <w:szCs w:val="28"/>
        </w:rPr>
      </w:pPr>
      <w:r w:rsidRPr="003B13DF">
        <w:rPr>
          <w:rStyle w:val="FootnoteReference"/>
          <w:sz w:val="28"/>
          <w:szCs w:val="28"/>
          <w:rtl/>
          <w:lang w:eastAsia="ar"/>
        </w:rPr>
        <w:footnoteRef/>
      </w:r>
      <w:r w:rsidRPr="003B13DF">
        <w:rPr>
          <w:sz w:val="28"/>
          <w:szCs w:val="28"/>
          <w:rtl/>
          <w:lang w:eastAsia="ar"/>
        </w:rPr>
        <w:tab/>
        <w:t>علاوة على ذلك، أصبحت الآن قواعد بيانات التكنولوجيات والمصطلحات مركزيةً في إطار قسم تكنولوجيا الترجمة والمصطلحات بنظام معاهدة التعاون بشأن البراءات.</w:t>
      </w:r>
    </w:p>
  </w:footnote>
  <w:footnote w:id="18">
    <w:p w:rsidR="00AE0797" w:rsidRPr="003B13DF" w:rsidRDefault="00AE0797" w:rsidP="008C2056">
      <w:pPr>
        <w:pStyle w:val="Default"/>
        <w:bidi/>
        <w:ind w:left="567" w:hanging="567"/>
        <w:rPr>
          <w:rFonts w:ascii="Arabic Typesetting" w:hAnsi="Arabic Typesetting" w:cs="Arabic Typesetting"/>
          <w:sz w:val="28"/>
          <w:szCs w:val="28"/>
        </w:rPr>
      </w:pPr>
      <w:r w:rsidRPr="003B13DF">
        <w:rPr>
          <w:rStyle w:val="FootnoteReference"/>
          <w:sz w:val="28"/>
          <w:szCs w:val="28"/>
          <w:rtl/>
          <w:lang w:eastAsia="ar"/>
        </w:rPr>
        <w:footnoteRef/>
      </w:r>
      <w:r w:rsidRPr="003B13DF">
        <w:rPr>
          <w:rFonts w:ascii="Arabic Typesetting" w:hAnsi="Arabic Typesetting" w:cs="Arabic Typesetting"/>
          <w:sz w:val="28"/>
          <w:szCs w:val="28"/>
          <w:rtl/>
          <w:lang w:eastAsia="ar"/>
        </w:rPr>
        <w:tab/>
        <w:t>تلقى</w:t>
      </w:r>
      <w:r w:rsidRPr="003B13DF">
        <w:rPr>
          <w:rFonts w:ascii="Arabic Typesetting" w:eastAsia="Times New Roman" w:hAnsi="Arabic Typesetting" w:cs="Arabic Typesetting"/>
          <w:sz w:val="28"/>
          <w:szCs w:val="28"/>
          <w:rtl/>
          <w:lang w:eastAsia="ar"/>
        </w:rPr>
        <w:t xml:space="preserve"> المكتب الدولي مقترحات لإد</w:t>
      </w:r>
      <w:r>
        <w:rPr>
          <w:rFonts w:ascii="Arabic Typesetting" w:eastAsia="Times New Roman" w:hAnsi="Arabic Typesetting" w:cs="Arabic Typesetting" w:hint="cs"/>
          <w:sz w:val="28"/>
          <w:szCs w:val="28"/>
          <w:rtl/>
          <w:lang w:eastAsia="ar"/>
        </w:rPr>
        <w:t>خال</w:t>
      </w:r>
      <w:r w:rsidRPr="003B13DF">
        <w:rPr>
          <w:rFonts w:ascii="Arabic Typesetting" w:eastAsia="Times New Roman" w:hAnsi="Arabic Typesetting" w:cs="Arabic Typesetting"/>
          <w:sz w:val="28"/>
          <w:szCs w:val="28"/>
          <w:rtl/>
          <w:lang w:eastAsia="ar"/>
        </w:rPr>
        <w:t xml:space="preserve"> ثلاث لغات إضافية في نظام مدريد، ألا وهي العربية والصينية والروسية.</w:t>
      </w:r>
    </w:p>
  </w:footnote>
  <w:footnote w:id="19">
    <w:p w:rsidR="00AE0797" w:rsidRPr="003B13DF" w:rsidRDefault="00AE0797" w:rsidP="00F10FE8">
      <w:pPr>
        <w:pStyle w:val="FootnoteText"/>
        <w:ind w:left="567" w:hanging="567"/>
      </w:pPr>
      <w:r w:rsidRPr="003B13DF">
        <w:rPr>
          <w:rStyle w:val="FootnoteReference"/>
          <w:sz w:val="28"/>
          <w:szCs w:val="28"/>
          <w:rtl/>
          <w:lang w:eastAsia="ar"/>
        </w:rPr>
        <w:footnoteRef/>
      </w:r>
      <w:r w:rsidRPr="003B13DF">
        <w:rPr>
          <w:rtl/>
          <w:lang w:eastAsia="ar"/>
        </w:rPr>
        <w:tab/>
        <w:t xml:space="preserve">انظر الفقرة 23 في الوثيقة </w:t>
      </w:r>
      <w:r w:rsidRPr="003B13DF">
        <w:rPr>
          <w:lang w:eastAsia="ar" w:bidi="en-US"/>
        </w:rPr>
        <w:t>MM/LD/WG</w:t>
      </w:r>
      <w:r>
        <w:rPr>
          <w:lang w:eastAsia="ar"/>
        </w:rPr>
        <w:t>/17/11</w:t>
      </w:r>
      <w:r w:rsidRPr="003B13DF">
        <w:rPr>
          <w:rtl/>
          <w:lang w:eastAsia="ar"/>
        </w:rPr>
        <w:t>.</w:t>
      </w:r>
    </w:p>
  </w:footnote>
  <w:footnote w:id="20">
    <w:p w:rsidR="00AE0797" w:rsidRPr="003B13DF" w:rsidRDefault="00AE0797" w:rsidP="00EB4111">
      <w:pPr>
        <w:pStyle w:val="FootnoteText"/>
        <w:ind w:left="567" w:hanging="567"/>
        <w:rPr>
          <w:rFonts w:eastAsiaTheme="minorEastAsia"/>
          <w:lang w:eastAsia="ja-JP"/>
        </w:rPr>
      </w:pPr>
      <w:r w:rsidRPr="003B13DF">
        <w:rPr>
          <w:rStyle w:val="FootnoteReference"/>
          <w:sz w:val="28"/>
          <w:szCs w:val="28"/>
          <w:rtl/>
          <w:lang w:eastAsia="ar"/>
        </w:rPr>
        <w:footnoteRef/>
      </w:r>
      <w:r w:rsidRPr="003B13DF">
        <w:rPr>
          <w:rtl/>
          <w:lang w:eastAsia="ar"/>
        </w:rPr>
        <w:tab/>
        <w:t>بالتزامن مع دخول وثيقة 1960 حيز النفاذ.</w:t>
      </w:r>
    </w:p>
  </w:footnote>
  <w:footnote w:id="21">
    <w:p w:rsidR="00AE0797" w:rsidRPr="003B13DF" w:rsidRDefault="00AE0797" w:rsidP="00EB4111">
      <w:pPr>
        <w:pStyle w:val="FootnoteText"/>
        <w:ind w:left="567" w:hanging="567"/>
      </w:pPr>
      <w:r w:rsidRPr="003B13DF">
        <w:rPr>
          <w:rStyle w:val="FootnoteReference"/>
          <w:sz w:val="28"/>
          <w:szCs w:val="28"/>
          <w:rtl/>
          <w:lang w:eastAsia="ar"/>
        </w:rPr>
        <w:footnoteRef/>
      </w:r>
      <w:r w:rsidRPr="003B13DF">
        <w:rPr>
          <w:rtl/>
          <w:lang w:eastAsia="ar"/>
        </w:rPr>
        <w:tab/>
        <w:t>من الجدير بالذكر أن المكتب الدولي لا يترجم أي قرار يتلقاه من أي مكتب (أيْ أسباب الرفض وبيانات المنتج المُعدَّلة أو أوصافه أو غير ذلك من المعلومات المُضافة).</w:t>
      </w:r>
    </w:p>
  </w:footnote>
  <w:footnote w:id="22">
    <w:p w:rsidR="00AE0797" w:rsidRPr="003B13DF" w:rsidRDefault="00AE0797" w:rsidP="00E83F90">
      <w:pPr>
        <w:pStyle w:val="FootnoteText"/>
      </w:pPr>
      <w:r w:rsidRPr="003B13DF">
        <w:rPr>
          <w:rStyle w:val="FootnoteReference"/>
          <w:sz w:val="28"/>
          <w:szCs w:val="28"/>
          <w:rtl/>
          <w:lang w:eastAsia="ar"/>
        </w:rPr>
        <w:footnoteRef/>
      </w:r>
      <w:r w:rsidRPr="003B13DF">
        <w:rPr>
          <w:rtl/>
          <w:lang w:eastAsia="ar"/>
        </w:rPr>
        <w:tab/>
        <w:t xml:space="preserve">انظر أيضاً الفقرة 74 في الوثيقة </w:t>
      </w:r>
      <w:r w:rsidRPr="003B13DF">
        <w:rPr>
          <w:lang w:eastAsia="ar" w:bidi="en-US"/>
        </w:rPr>
        <w:t xml:space="preserve">MM/LD/WG/17/7 </w:t>
      </w:r>
      <w:proofErr w:type="gramStart"/>
      <w:r w:rsidRPr="003B13DF">
        <w:rPr>
          <w:lang w:eastAsia="ar" w:bidi="en-US"/>
        </w:rPr>
        <w:t>Rev</w:t>
      </w:r>
      <w:r>
        <w:rPr>
          <w:lang w:eastAsia="ar"/>
        </w:rPr>
        <w:t>.</w:t>
      </w:r>
      <w:r w:rsidRPr="003B13DF">
        <w:rPr>
          <w:rtl/>
          <w:lang w:eastAsia="ar"/>
        </w:rPr>
        <w:t>.</w:t>
      </w:r>
      <w:proofErr w:type="gramEnd"/>
    </w:p>
  </w:footnote>
  <w:footnote w:id="23">
    <w:p w:rsidR="00AE0797" w:rsidRPr="003B13DF" w:rsidRDefault="00AE0797" w:rsidP="00EB4111">
      <w:pPr>
        <w:pStyle w:val="FootnoteText"/>
        <w:ind w:left="567" w:hanging="567"/>
      </w:pPr>
      <w:r w:rsidRPr="003B13DF">
        <w:rPr>
          <w:rStyle w:val="FootnoteReference"/>
          <w:sz w:val="28"/>
          <w:szCs w:val="28"/>
          <w:rtl/>
          <w:lang w:eastAsia="ar"/>
        </w:rPr>
        <w:footnoteRef/>
      </w:r>
      <w:r w:rsidRPr="003B13DF">
        <w:rPr>
          <w:rtl/>
          <w:lang w:eastAsia="ar"/>
        </w:rPr>
        <w:tab/>
        <w:t>يستند تقدير التكلفة إلى الأوضاع التالية، ويراعي معدلات الزيادة المتوقعة في عدد الطلبات الدولية:</w:t>
      </w:r>
    </w:p>
    <w:p w:rsidR="00AE0797" w:rsidRPr="003B13DF" w:rsidRDefault="00AE0797" w:rsidP="00EB4111">
      <w:pPr>
        <w:pStyle w:val="FootnoteText"/>
        <w:ind w:left="1134" w:hanging="567"/>
      </w:pPr>
      <w:r w:rsidRPr="003B13DF">
        <w:rPr>
          <w:rtl/>
          <w:lang w:eastAsia="ar"/>
        </w:rPr>
        <w:t>–</w:t>
      </w:r>
      <w:r w:rsidRPr="003B13DF">
        <w:rPr>
          <w:rtl/>
          <w:lang w:eastAsia="ar"/>
        </w:rPr>
        <w:tab/>
        <w:t>بلغت نسبة الترجمة الآلية 20% في عام 2019، وتزيد بمقدار 2.5% كل عام؛</w:t>
      </w:r>
    </w:p>
    <w:p w:rsidR="00AE0797" w:rsidRPr="003B13DF" w:rsidRDefault="00AE0797" w:rsidP="00EB4111">
      <w:pPr>
        <w:pStyle w:val="FootnoteText"/>
        <w:ind w:left="1134" w:hanging="567"/>
      </w:pPr>
      <w:r w:rsidRPr="003B13DF">
        <w:rPr>
          <w:rtl/>
          <w:lang w:eastAsia="ar"/>
        </w:rPr>
        <w:t>–</w:t>
      </w:r>
      <w:r w:rsidRPr="003B13DF">
        <w:rPr>
          <w:rtl/>
          <w:lang w:eastAsia="ar"/>
        </w:rPr>
        <w:tab/>
        <w:t>وتبلغ أتعاب الترجمة لكل كلمة من الصينية إلى الإنكليزية 0.157 فرنك سويسري، وإلى الفرنسية 0.25 فرنك سويسري، وإلى الإسبانية 0.25 فرنك سويسري؛</w:t>
      </w:r>
    </w:p>
    <w:p w:rsidR="00AE0797" w:rsidRPr="003B13DF" w:rsidRDefault="00AE0797" w:rsidP="00EB4111">
      <w:pPr>
        <w:pStyle w:val="FootnoteText"/>
        <w:ind w:left="1134" w:hanging="567"/>
      </w:pPr>
      <w:r w:rsidRPr="003B13DF">
        <w:rPr>
          <w:rtl/>
          <w:lang w:eastAsia="ar"/>
        </w:rPr>
        <w:t>–</w:t>
      </w:r>
      <w:r w:rsidRPr="003B13DF">
        <w:rPr>
          <w:rtl/>
          <w:lang w:eastAsia="ar"/>
        </w:rPr>
        <w:tab/>
        <w:t>وتبلغ أتعاب الترجمة لكل كلمة من الروسية إلى الإنكليزية 0.23 فرنك سويسري، وإلى الفرنسية 0.3 فرنك سويسري، وإلى الإسبانية 0.3 فرنك سويسري؛</w:t>
      </w:r>
    </w:p>
    <w:p w:rsidR="00AE0797" w:rsidRPr="003B13DF" w:rsidRDefault="00AE0797" w:rsidP="00EB4111">
      <w:pPr>
        <w:pStyle w:val="FootnoteText"/>
        <w:ind w:left="1134" w:hanging="567"/>
      </w:pPr>
      <w:r w:rsidRPr="003B13DF">
        <w:rPr>
          <w:rtl/>
          <w:lang w:eastAsia="ar"/>
        </w:rPr>
        <w:t>–</w:t>
      </w:r>
      <w:r w:rsidRPr="003B13DF">
        <w:rPr>
          <w:rtl/>
          <w:lang w:eastAsia="ar"/>
        </w:rPr>
        <w:tab/>
        <w:t>وتشمل مراقبة الجودة مراجعة عينة عشوائية تبلغ 7% تقريباً من العمل المُحرَّر</w:t>
      </w:r>
      <w:r>
        <w:rPr>
          <w:rtl/>
          <w:lang w:eastAsia="ar"/>
        </w:rPr>
        <w:t xml:space="preserve">. </w:t>
      </w:r>
      <w:r w:rsidRPr="003B13DF">
        <w:rPr>
          <w:rtl/>
          <w:lang w:eastAsia="ar"/>
        </w:rPr>
        <w:t>وينبغي أن يتولى إجراء مراقبة الجودة مراجع تكون لغته الأولى هي اللغة الهدف</w:t>
      </w:r>
      <w:r>
        <w:rPr>
          <w:rtl/>
          <w:lang w:eastAsia="ar"/>
        </w:rPr>
        <w:t xml:space="preserve">. </w:t>
      </w:r>
      <w:r w:rsidRPr="003B13DF">
        <w:rPr>
          <w:rtl/>
          <w:lang w:eastAsia="ar"/>
        </w:rPr>
        <w:t xml:space="preserve">ويقوم المراجع بمراجعة 3700 كلمة مترجمة يومياً. </w:t>
      </w:r>
    </w:p>
  </w:footnote>
  <w:footnote w:id="24">
    <w:p w:rsidR="00AE0797" w:rsidRPr="003B13DF" w:rsidRDefault="00AE0797" w:rsidP="00A34680">
      <w:pPr>
        <w:pStyle w:val="FootnoteText"/>
        <w:ind w:left="567" w:hanging="567"/>
      </w:pPr>
      <w:r w:rsidRPr="003B13DF">
        <w:rPr>
          <w:rStyle w:val="FootnoteReference"/>
          <w:sz w:val="28"/>
          <w:szCs w:val="28"/>
          <w:rtl/>
          <w:lang w:eastAsia="ar"/>
        </w:rPr>
        <w:footnoteRef/>
      </w:r>
      <w:r w:rsidRPr="003B13DF">
        <w:rPr>
          <w:rtl/>
          <w:lang w:eastAsia="ar"/>
        </w:rPr>
        <w:tab/>
        <w:t>في هذا الخيار وجميع الخيارات اللاحقة، توجد حاجة إلى موارد تجيد اللغة الجديدة بطلاقة لمعالجة الطلبات المُودَعة بتلك اللغة.</w:t>
      </w:r>
    </w:p>
  </w:footnote>
  <w:footnote w:id="25">
    <w:p w:rsidR="00AE0797" w:rsidRPr="003B13DF" w:rsidRDefault="00AE0797" w:rsidP="00EB4111">
      <w:pPr>
        <w:pStyle w:val="FootnoteText"/>
        <w:ind w:left="567" w:hanging="567"/>
      </w:pPr>
      <w:r w:rsidRPr="003B13DF">
        <w:rPr>
          <w:rStyle w:val="FootnoteReference"/>
          <w:sz w:val="28"/>
          <w:szCs w:val="28"/>
          <w:rtl/>
          <w:lang w:eastAsia="ar"/>
        </w:rPr>
        <w:footnoteRef/>
      </w:r>
      <w:r w:rsidRPr="003B13DF">
        <w:rPr>
          <w:rtl/>
          <w:lang w:eastAsia="ar"/>
        </w:rPr>
        <w:tab/>
        <w:t>تكلفة الاستعانة بمصادر خارجية للاضطلاع بأعمال الترجمة والتحرير والموارد اللازمة لمراقبة جودة هذه الأعمال واحدة في جميع هذه الخيارات.</w:t>
      </w:r>
    </w:p>
  </w:footnote>
  <w:footnote w:id="26">
    <w:p w:rsidR="00AE0797" w:rsidRPr="003B13DF" w:rsidRDefault="00AE0797" w:rsidP="0076419B">
      <w:pPr>
        <w:pStyle w:val="FootnoteText"/>
        <w:ind w:left="567" w:hanging="567"/>
      </w:pPr>
      <w:r w:rsidRPr="003B13DF">
        <w:rPr>
          <w:rStyle w:val="FootnoteReference"/>
          <w:sz w:val="28"/>
          <w:szCs w:val="28"/>
          <w:rtl/>
          <w:lang w:eastAsia="ar"/>
        </w:rPr>
        <w:footnoteRef/>
      </w:r>
      <w:r w:rsidRPr="003B13DF">
        <w:rPr>
          <w:rtl/>
          <w:lang w:eastAsia="ar"/>
        </w:rPr>
        <w:tab/>
        <w:t>من المحتمل أن يقدم مودعون من الأطراف المتعاقدة التالية طلبات دولية باللغة الروسية: أرمينيا وأذربيجان وجورجيا وقيرغيزستان وجمهورية مولدوفا والاتحاد الروسي وطاجيكستان وتركمانستان وأوكرانيا. ويستند توقُّع معدل النمو إلى اتجاه الطلبات الدولية التي أودعها مودعون من تلك الأطراف المتعاقدة في الفترة من 2015 إلى 2018؛ وسوف يبلغ متوسط الزيادة السنوية الناتجة 12%.</w:t>
      </w:r>
    </w:p>
  </w:footnote>
  <w:footnote w:id="27">
    <w:p w:rsidR="00AE0797" w:rsidRPr="003B13DF" w:rsidRDefault="00AE0797" w:rsidP="007B5095">
      <w:pPr>
        <w:pStyle w:val="FootnoteText"/>
        <w:ind w:left="567" w:hanging="567"/>
      </w:pPr>
      <w:r w:rsidRPr="003B13DF">
        <w:rPr>
          <w:rStyle w:val="FootnoteReference"/>
          <w:sz w:val="28"/>
          <w:szCs w:val="28"/>
          <w:rtl/>
          <w:lang w:eastAsia="ar"/>
        </w:rPr>
        <w:footnoteRef/>
      </w:r>
      <w:r w:rsidRPr="003B13DF">
        <w:rPr>
          <w:rtl/>
          <w:lang w:eastAsia="ar"/>
        </w:rPr>
        <w:tab/>
        <w:t>ليس من المحتمل أن تُقدَّم طلبات دولية باللغة الصينية إلا من مودعين من الصين. وأما معدل نمو عدد الطلبات الدولية فهو من توقعات شعبة الدراسات الاقتصادية والإحصاءات.</w:t>
      </w:r>
    </w:p>
  </w:footnote>
  <w:footnote w:id="28">
    <w:p w:rsidR="00AE0797" w:rsidRPr="003B13DF" w:rsidRDefault="00AE0797" w:rsidP="00EB4111">
      <w:pPr>
        <w:pStyle w:val="FootnoteText"/>
        <w:ind w:left="567" w:hanging="567"/>
      </w:pPr>
      <w:r w:rsidRPr="003B13DF">
        <w:rPr>
          <w:rStyle w:val="FootnoteReference"/>
          <w:sz w:val="28"/>
          <w:szCs w:val="28"/>
          <w:rtl/>
          <w:lang w:eastAsia="ar"/>
        </w:rPr>
        <w:footnoteRef/>
      </w:r>
      <w:r w:rsidRPr="003B13DF">
        <w:rPr>
          <w:rtl/>
          <w:lang w:eastAsia="ar"/>
        </w:rPr>
        <w:tab/>
        <w:t>سوف يلزم تخصيص ثلاثة مراجعين للقيام "بالترجمة المباشرة" من اللغة الجديدة (الصينية أو الروسية) إلى الإنكليزية والفرنسية والإسبانية.</w:t>
      </w:r>
    </w:p>
  </w:footnote>
  <w:footnote w:id="29">
    <w:p w:rsidR="00AE0797" w:rsidRPr="003B13DF" w:rsidRDefault="00AE0797" w:rsidP="00EB4111">
      <w:pPr>
        <w:pStyle w:val="FootnoteText"/>
        <w:ind w:left="567" w:hanging="567"/>
      </w:pPr>
      <w:r w:rsidRPr="003B13DF">
        <w:rPr>
          <w:rStyle w:val="FootnoteReference"/>
          <w:sz w:val="28"/>
          <w:szCs w:val="28"/>
          <w:rtl/>
          <w:lang w:eastAsia="ar"/>
        </w:rPr>
        <w:footnoteRef/>
      </w:r>
      <w:r w:rsidRPr="003B13DF">
        <w:rPr>
          <w:rtl/>
          <w:lang w:eastAsia="ar"/>
        </w:rPr>
        <w:tab/>
        <w:t>سوف يلزم تخصيص مراجع واحد للقيام "بالترجمة غير المباشرة" من اللغة الجديدة (الصينية أو الروسية) عبر اللغة الإنكليزية.</w:t>
      </w:r>
    </w:p>
  </w:footnote>
  <w:footnote w:id="30">
    <w:p w:rsidR="00AE0797" w:rsidRPr="003B13DF" w:rsidRDefault="00AE0797" w:rsidP="007B5095">
      <w:pPr>
        <w:pStyle w:val="FootnoteText"/>
        <w:ind w:left="567" w:hanging="567"/>
      </w:pPr>
      <w:r w:rsidRPr="003B13DF">
        <w:rPr>
          <w:rStyle w:val="FootnoteReference"/>
          <w:sz w:val="28"/>
          <w:szCs w:val="28"/>
          <w:rtl/>
          <w:lang w:eastAsia="ar"/>
        </w:rPr>
        <w:footnoteRef/>
      </w:r>
      <w:r w:rsidRPr="003B13DF">
        <w:rPr>
          <w:rtl/>
          <w:lang w:eastAsia="ar"/>
        </w:rPr>
        <w:tab/>
        <w:t xml:space="preserve">في هذا الخيار، سوف يترجم المكتب الدولي إلى اللغة الجديدة إذا عيَّن الطلب الدولي طرفاً متعاقداً اختار تلك اللغة لأغراض المراسلة. ولذلك فإن تقديرات التكاليف تراعي العدد المتوقع </w:t>
      </w:r>
      <w:r w:rsidRPr="003B13DF">
        <w:rPr>
          <w:rFonts w:eastAsiaTheme="minorEastAsia"/>
          <w:rtl/>
          <w:lang w:eastAsia="ar"/>
        </w:rPr>
        <w:t>للطلبات الدولية المُودَعة بالإنكليزية أو الفرنسية أو الإسبانية والتي تُعيِّن أطرافاً متعاقدة ناطقة بالصينية أو الروسية. وفيما يخص تعيينات أطراف متعاقدة ناطقة بالروسية، استُخدمت نسبة التعيين البالغة 11.5% في عام 2018. وفيما يخص الصين، استُخدمت النسبة البالغة 20.3%، وهي معدل تعيين الأطراف المتعاقدة الحالية من المنطقة نفسها (اليابان وجمهورية كوريا وسنغافورة) في عام 2018.</w:t>
      </w:r>
    </w:p>
  </w:footnote>
  <w:footnote w:id="31">
    <w:p w:rsidR="00AE0797" w:rsidRPr="003B13DF" w:rsidRDefault="00AE0797" w:rsidP="00EB4111">
      <w:pPr>
        <w:pStyle w:val="FootnoteText"/>
        <w:ind w:left="567" w:hanging="567"/>
      </w:pPr>
      <w:r w:rsidRPr="003B13DF">
        <w:rPr>
          <w:rStyle w:val="FootnoteReference"/>
          <w:sz w:val="28"/>
          <w:szCs w:val="28"/>
          <w:rtl/>
          <w:lang w:eastAsia="ar"/>
        </w:rPr>
        <w:footnoteRef/>
      </w:r>
      <w:r w:rsidRPr="003B13DF">
        <w:rPr>
          <w:rtl/>
          <w:lang w:eastAsia="ar"/>
        </w:rPr>
        <w:tab/>
        <w:t>في هذا الخيار، وعلى خلاف الخيارين السابقين، سوف تتطلب ممارسة "الترجمة المباشرة" ما لا يقل عن أربعة مراجعين لمراقبة جودة أعمال الترجمة الخارجية من اللغة الجديدة (الصينية أو الروسية) إلى الإنكليزية والفرنسية والإسبانية ومن هذه اللغات إلى اللغة الجديدة (الصينية أو الروسية)</w:t>
      </w:r>
      <w:r>
        <w:rPr>
          <w:rtl/>
          <w:lang w:eastAsia="ar"/>
        </w:rPr>
        <w:t xml:space="preserve">. </w:t>
      </w:r>
      <w:r w:rsidRPr="003B13DF">
        <w:rPr>
          <w:rtl/>
          <w:lang w:eastAsia="ar"/>
        </w:rPr>
        <w:t>وسوف ينطبق ذلك أيضاً على خيار "لغة العمل".</w:t>
      </w:r>
    </w:p>
  </w:footnote>
  <w:footnote w:id="32">
    <w:p w:rsidR="00AE0797" w:rsidRPr="003B13DF" w:rsidRDefault="00AE0797" w:rsidP="00EB4111">
      <w:pPr>
        <w:pStyle w:val="FootnoteText"/>
        <w:ind w:left="567" w:hanging="567"/>
      </w:pPr>
      <w:r w:rsidRPr="003B13DF">
        <w:rPr>
          <w:rStyle w:val="FootnoteReference"/>
          <w:sz w:val="28"/>
          <w:szCs w:val="28"/>
          <w:rtl/>
          <w:lang w:eastAsia="ar"/>
        </w:rPr>
        <w:footnoteRef/>
      </w:r>
      <w:r w:rsidRPr="003B13DF">
        <w:rPr>
          <w:rtl/>
          <w:lang w:eastAsia="ar"/>
        </w:rPr>
        <w:tab/>
        <w:t>في هذا الخيار، وعلى خلاف الخيارين السابقين، سوف تتطلب ممارسة "الترجمة غير المباشرة" ما لا يقل عن مُراجعَيْن لمراقبة جودة أعمال الترجمة الخارجية من اللغة الجديدة (الصينية أو الروسية) إلى الإنكليزية والفرنسية والإسبانية ومن هذه اللغات إلى اللغة الجديدة (الصينية أو الروسية)</w:t>
      </w:r>
      <w:r>
        <w:rPr>
          <w:rtl/>
          <w:lang w:eastAsia="ar"/>
        </w:rPr>
        <w:t xml:space="preserve">. </w:t>
      </w:r>
      <w:r w:rsidRPr="003B13DF">
        <w:rPr>
          <w:rtl/>
          <w:lang w:eastAsia="ar"/>
        </w:rPr>
        <w:t>وسوف ينطبق ذلك أيضاً على خيار "لغة العمل".</w:t>
      </w:r>
    </w:p>
  </w:footnote>
  <w:footnote w:id="33">
    <w:p w:rsidR="00AE0797" w:rsidRPr="003B13DF" w:rsidRDefault="00AE0797" w:rsidP="007B5095">
      <w:pPr>
        <w:pStyle w:val="FootnoteText"/>
        <w:ind w:left="567" w:hanging="567"/>
      </w:pPr>
      <w:r w:rsidRPr="003B13DF">
        <w:rPr>
          <w:rStyle w:val="FootnoteReference"/>
          <w:sz w:val="28"/>
          <w:szCs w:val="28"/>
          <w:rtl/>
          <w:lang w:eastAsia="ar"/>
        </w:rPr>
        <w:footnoteRef/>
      </w:r>
      <w:r w:rsidRPr="003B13DF">
        <w:rPr>
          <w:rtl/>
          <w:lang w:eastAsia="ar"/>
        </w:rPr>
        <w:tab/>
        <w:t>لا يكاد يختلف عبء أعمال الترجمة الإضافية في حالتي إدخال اللغة الصينية أو الروسية كلغة عمل. ولذلك لا تختلف الموارد اللازمة لمراقبة جودة الترجمة. ولكن تختلف تكلفة الترجمة الخارجية بسبب اختلاف أتعاب الترجمة من هاتين اللغتين وإليهما.</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97" w:rsidRDefault="00AE0797" w:rsidP="00C46EDF">
    <w:pPr>
      <w:jc w:val="right"/>
    </w:pPr>
    <w:r>
      <w:rPr>
        <w:lang w:eastAsia="ar" w:bidi="en-US"/>
      </w:rPr>
      <w:t>H/LD/WG</w:t>
    </w:r>
    <w:r>
      <w:rPr>
        <w:rtl/>
        <w:lang w:eastAsia="ar"/>
      </w:rPr>
      <w:t>/8/5</w:t>
    </w:r>
  </w:p>
  <w:p w:rsidR="00AE0797" w:rsidRDefault="00AE0797" w:rsidP="00C46EDF">
    <w:pPr>
      <w:jc w:val="right"/>
    </w:pPr>
    <w:r>
      <w:rPr>
        <w:rtl/>
        <w:lang w:eastAsia="ar"/>
      </w:rPr>
      <w:t xml:space="preserve">الصفحة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1</w:t>
    </w:r>
    <w:r>
      <w:rPr>
        <w:rtl/>
        <w:lang w:eastAsia="ar"/>
      </w:rPr>
      <w:fldChar w:fldCharType="end"/>
    </w:r>
  </w:p>
  <w:p w:rsidR="00AE0797" w:rsidRDefault="00AE0797" w:rsidP="00C46EDF">
    <w:pPr>
      <w:jc w:val="right"/>
    </w:pPr>
  </w:p>
  <w:p w:rsidR="00AE0797" w:rsidRDefault="00AE0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97" w:rsidRPr="00C1628D" w:rsidRDefault="00AE0797" w:rsidP="00C1628D">
    <w:pPr>
      <w:bidi w:val="0"/>
      <w:rPr>
        <w:rFonts w:asciiTheme="minorBidi" w:hAnsiTheme="minorBidi" w:cstheme="minorBidi"/>
        <w:sz w:val="22"/>
        <w:szCs w:val="22"/>
        <w:lang w:bidi="ar-EG"/>
      </w:rPr>
    </w:pPr>
    <w:r w:rsidRPr="00C1628D">
      <w:rPr>
        <w:rFonts w:asciiTheme="minorBidi" w:hAnsiTheme="minorBidi" w:cstheme="minorBidi"/>
        <w:sz w:val="22"/>
        <w:szCs w:val="22"/>
        <w:lang w:eastAsia="ar" w:bidi="en-US"/>
      </w:rPr>
      <w:t>H/LD/WG</w:t>
    </w:r>
    <w:r w:rsidRPr="00C1628D">
      <w:rPr>
        <w:rFonts w:asciiTheme="minorBidi" w:hAnsiTheme="minorBidi" w:cstheme="minorBidi"/>
        <w:sz w:val="22"/>
        <w:szCs w:val="22"/>
        <w:lang w:eastAsia="ar"/>
      </w:rPr>
      <w:t>/8/5</w:t>
    </w:r>
  </w:p>
  <w:p w:rsidR="00AE0797" w:rsidRDefault="00AE0797" w:rsidP="00C1628D">
    <w:pPr>
      <w:bidi w:val="0"/>
      <w:rPr>
        <w:rFonts w:asciiTheme="minorBidi" w:hAnsiTheme="minorBidi" w:cstheme="minorBidi"/>
        <w:sz w:val="22"/>
        <w:szCs w:val="22"/>
        <w:lang w:eastAsia="ar"/>
      </w:rPr>
    </w:pPr>
    <w:r w:rsidRPr="00C1628D">
      <w:rPr>
        <w:rFonts w:asciiTheme="minorBidi" w:hAnsiTheme="minorBidi" w:cstheme="minorBidi"/>
        <w:sz w:val="22"/>
        <w:szCs w:val="22"/>
        <w:rtl/>
        <w:lang w:eastAsia="ar"/>
      </w:rPr>
      <w:fldChar w:fldCharType="begin"/>
    </w:r>
    <w:r w:rsidRPr="00C1628D">
      <w:rPr>
        <w:rFonts w:asciiTheme="minorBidi" w:hAnsiTheme="minorBidi" w:cstheme="minorBidi"/>
        <w:sz w:val="22"/>
        <w:szCs w:val="22"/>
        <w:rtl/>
        <w:lang w:eastAsia="ar"/>
      </w:rPr>
      <w:instrText xml:space="preserve"> PAGE  \* MERGEFORMAT </w:instrText>
    </w:r>
    <w:r w:rsidRPr="00C1628D">
      <w:rPr>
        <w:rFonts w:asciiTheme="minorBidi" w:hAnsiTheme="minorBidi" w:cstheme="minorBidi"/>
        <w:sz w:val="22"/>
        <w:szCs w:val="22"/>
        <w:rtl/>
        <w:lang w:eastAsia="ar"/>
      </w:rPr>
      <w:fldChar w:fldCharType="separate"/>
    </w:r>
    <w:r w:rsidR="000602AA">
      <w:rPr>
        <w:rFonts w:asciiTheme="minorBidi" w:hAnsiTheme="minorBidi" w:cstheme="minorBidi"/>
        <w:noProof/>
        <w:sz w:val="22"/>
        <w:szCs w:val="22"/>
        <w:lang w:eastAsia="ar"/>
      </w:rPr>
      <w:t>13</w:t>
    </w:r>
    <w:r w:rsidRPr="00C1628D">
      <w:rPr>
        <w:rFonts w:asciiTheme="minorBidi" w:hAnsiTheme="minorBidi" w:cstheme="minorBidi"/>
        <w:sz w:val="22"/>
        <w:szCs w:val="22"/>
        <w:rtl/>
        <w:lang w:eastAsia="ar"/>
      </w:rPr>
      <w:fldChar w:fldCharType="end"/>
    </w:r>
  </w:p>
  <w:p w:rsidR="00AE0797" w:rsidRDefault="00AE0797" w:rsidP="00C1628D">
    <w:pPr>
      <w:bidi w:val="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97" w:rsidRDefault="00AE0797" w:rsidP="002C3CB4">
    <w:pPr>
      <w:bidi w:val="0"/>
      <w:rPr>
        <w:rFonts w:ascii="Arial" w:hAnsi="Arial" w:cs="Arial"/>
        <w:sz w:val="22"/>
        <w:szCs w:val="22"/>
      </w:rPr>
    </w:pPr>
    <w:bookmarkStart w:id="12" w:name="Code3"/>
    <w:bookmarkEnd w:id="12"/>
    <w:r>
      <w:rPr>
        <w:rFonts w:ascii="Arial" w:hAnsi="Arial" w:cs="Arial"/>
        <w:sz w:val="22"/>
        <w:szCs w:val="22"/>
      </w:rPr>
      <w:t>H/LD/WG/8/5</w:t>
    </w:r>
  </w:p>
  <w:p w:rsidR="00AE0797" w:rsidRPr="00C50A61" w:rsidRDefault="00AE0797" w:rsidP="00C1628D">
    <w:pPr>
      <w:bidi w:val="0"/>
      <w:rPr>
        <w:rFonts w:ascii="Arial" w:hAnsi="Arial" w:cs="Arial"/>
        <w:sz w:val="22"/>
        <w:szCs w:val="22"/>
      </w:rPr>
    </w:pPr>
    <w:r>
      <w:rPr>
        <w:rFonts w:ascii="Arial" w:hAnsi="Arial" w:cs="Arial"/>
        <w:sz w:val="22"/>
        <w:szCs w:val="22"/>
      </w:rPr>
      <w:t>Annex</w:t>
    </w:r>
  </w:p>
  <w:p w:rsidR="00AE0797" w:rsidRDefault="00AE0797" w:rsidP="0023693F">
    <w:pPr>
      <w:bidi w:val="0"/>
      <w:rPr>
        <w:rFonts w:ascii="Arial" w:hAnsi="Arial" w:cs="Arial"/>
        <w:sz w:val="22"/>
        <w:szCs w:val="22"/>
      </w:rPr>
    </w:pPr>
    <w:r w:rsidRPr="00473EED">
      <w:rPr>
        <w:rFonts w:ascii="Arial" w:hAnsi="Arial" w:cs="Arial"/>
        <w:sz w:val="22"/>
        <w:szCs w:val="22"/>
      </w:rPr>
      <w:fldChar w:fldCharType="begin"/>
    </w:r>
    <w:r w:rsidRPr="00473EED">
      <w:rPr>
        <w:rFonts w:ascii="Arial" w:hAnsi="Arial" w:cs="Arial"/>
        <w:sz w:val="22"/>
        <w:szCs w:val="22"/>
      </w:rPr>
      <w:instrText xml:space="preserve"> PAGE   \* MERGEFORMAT </w:instrText>
    </w:r>
    <w:r w:rsidRPr="00473EED">
      <w:rPr>
        <w:rFonts w:ascii="Arial" w:hAnsi="Arial" w:cs="Arial"/>
        <w:sz w:val="22"/>
        <w:szCs w:val="22"/>
      </w:rPr>
      <w:fldChar w:fldCharType="separate"/>
    </w:r>
    <w:r w:rsidR="000602AA">
      <w:rPr>
        <w:rFonts w:ascii="Arial" w:hAnsi="Arial" w:cs="Arial"/>
        <w:noProof/>
        <w:sz w:val="22"/>
        <w:szCs w:val="22"/>
      </w:rPr>
      <w:t>3</w:t>
    </w:r>
    <w:r w:rsidRPr="00473EED">
      <w:rPr>
        <w:rFonts w:ascii="Arial" w:hAnsi="Arial" w:cs="Arial"/>
        <w:noProof/>
        <w:sz w:val="22"/>
        <w:szCs w:val="22"/>
      </w:rPr>
      <w:fldChar w:fldCharType="end"/>
    </w:r>
  </w:p>
  <w:p w:rsidR="00AE0797" w:rsidRPr="00C50A61" w:rsidRDefault="00AE0797" w:rsidP="00C1628D">
    <w:pPr>
      <w:bidi w:val="0"/>
      <w:rPr>
        <w:rFonts w:ascii="Arial" w:hAnsi="Arial" w:cs="Arial"/>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797" w:rsidRPr="00C1628D" w:rsidRDefault="00AE0797" w:rsidP="00C1628D">
    <w:pPr>
      <w:bidi w:val="0"/>
      <w:rPr>
        <w:rFonts w:asciiTheme="minorBidi" w:hAnsiTheme="minorBidi" w:cstheme="minorBidi"/>
        <w:sz w:val="22"/>
        <w:szCs w:val="22"/>
        <w:lang w:bidi="ar-EG"/>
      </w:rPr>
    </w:pPr>
    <w:r w:rsidRPr="00C1628D">
      <w:rPr>
        <w:rFonts w:asciiTheme="minorBidi" w:hAnsiTheme="minorBidi" w:cstheme="minorBidi"/>
        <w:sz w:val="22"/>
        <w:szCs w:val="22"/>
        <w:lang w:eastAsia="ar" w:bidi="en-US"/>
      </w:rPr>
      <w:t>H/LD/WG</w:t>
    </w:r>
    <w:r w:rsidRPr="00C1628D">
      <w:rPr>
        <w:rFonts w:asciiTheme="minorBidi" w:hAnsiTheme="minorBidi" w:cstheme="minorBidi"/>
        <w:sz w:val="22"/>
        <w:szCs w:val="22"/>
        <w:lang w:eastAsia="ar"/>
      </w:rPr>
      <w:t>/8/5</w:t>
    </w:r>
  </w:p>
  <w:p w:rsidR="00AE0797" w:rsidRDefault="00AE0797" w:rsidP="00C1628D">
    <w:pPr>
      <w:pStyle w:val="Header"/>
      <w:bidi w:val="0"/>
      <w:rPr>
        <w:rFonts w:asciiTheme="minorBidi" w:hAnsiTheme="minorBidi" w:cstheme="minorBidi"/>
        <w:sz w:val="22"/>
        <w:szCs w:val="22"/>
      </w:rPr>
    </w:pPr>
    <w:r w:rsidRPr="00C1628D">
      <w:rPr>
        <w:rFonts w:asciiTheme="minorBidi" w:hAnsiTheme="minorBidi" w:cstheme="minorBidi"/>
        <w:sz w:val="22"/>
        <w:szCs w:val="22"/>
      </w:rPr>
      <w:t>ANNEX</w:t>
    </w:r>
  </w:p>
  <w:p w:rsidR="00AE0797" w:rsidRDefault="00AE0797" w:rsidP="00C1628D">
    <w:pPr>
      <w:pStyle w:val="Header"/>
      <w:bidi w:val="0"/>
      <w:rPr>
        <w:lang w:bidi="ar-EG"/>
      </w:rPr>
    </w:pPr>
    <w:r>
      <w:rPr>
        <w:rFonts w:hint="cs"/>
        <w:rtl/>
        <w:lang w:bidi="ar-EG"/>
      </w:rPr>
      <w:t>المرفق</w:t>
    </w:r>
  </w:p>
  <w:p w:rsidR="00AE0797" w:rsidRDefault="00AE0797" w:rsidP="00C1628D">
    <w:pPr>
      <w:pStyle w:val="Header"/>
      <w:bidi w:val="0"/>
      <w:rPr>
        <w:lang w:bidi="ar-EG"/>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A8A0C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344B9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DEF9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05A780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1E906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45CFE6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80FB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3E8512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15:restartNumberingAfterBreak="0">
    <w:nsid w:val="FFFFFF89"/>
    <w:multiLevelType w:val="singleLevel"/>
    <w:tmpl w:val="75326676"/>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10" w15:restartNumberingAfterBreak="0">
    <w:nsid w:val="00D631E4"/>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1" w15:restartNumberingAfterBreak="0">
    <w:nsid w:val="06CD29E3"/>
    <w:multiLevelType w:val="multilevel"/>
    <w:tmpl w:val="38FA52D0"/>
    <w:lvl w:ilvl="0">
      <w:start w:val="1"/>
      <w:numFmt w:val="decimal"/>
      <w:lvlRestart w:val="0"/>
      <w:pStyle w:val="ONUMA"/>
      <w:lvlText w:val="%1."/>
      <w:lvlJc w:val="left"/>
      <w:pPr>
        <w:ind w:left="0" w:firstLine="0"/>
      </w:pPr>
      <w:rPr>
        <w:rFonts w:ascii="Arabic Typesetting" w:hAnsi="Arabic Typesetting" w:cs="Arabic Typesetting" w:hint="default"/>
        <w:sz w:val="36"/>
        <w:szCs w:val="36"/>
      </w:rPr>
    </w:lvl>
    <w:lvl w:ilvl="1">
      <w:start w:val="1"/>
      <w:numFmt w:val="decimal"/>
      <w:lvlText w:val="&quot;%2&quot;"/>
      <w:lvlJc w:val="left"/>
      <w:pPr>
        <w:ind w:left="567" w:firstLine="0"/>
      </w:pPr>
      <w:rPr>
        <w:rFonts w:hint="default"/>
      </w:rPr>
    </w:lvl>
    <w:lvl w:ilvl="2">
      <w:start w:val="1"/>
      <w:numFmt w:val="decimal"/>
      <w:lvlText w:val="&quot;%3&quot;"/>
      <w:lvlJc w:val="left"/>
      <w:pPr>
        <w:ind w:left="1134" w:firstLine="0"/>
      </w:pPr>
      <w:rPr>
        <w:rFonts w:hint="default"/>
        <w:i w:val="0"/>
        <w:iCs/>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12" w15:restartNumberingAfterBreak="0">
    <w:nsid w:val="0AE22F85"/>
    <w:multiLevelType w:val="multilevel"/>
    <w:tmpl w:val="BE868CA8"/>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13" w15:restartNumberingAfterBreak="0">
    <w:nsid w:val="0D4535C4"/>
    <w:multiLevelType w:val="hybridMultilevel"/>
    <w:tmpl w:val="BF22FCB6"/>
    <w:lvl w:ilvl="0" w:tplc="25825F70">
      <w:start w:val="1"/>
      <w:numFmt w:val="bullet"/>
      <w:lvlText w:val=""/>
      <w:lvlJc w:val="left"/>
      <w:pPr>
        <w:ind w:left="567" w:firstLine="0"/>
      </w:pPr>
      <w:rPr>
        <w:rFonts w:ascii="Symbol" w:hAnsi="Symbol" w:hint="default"/>
        <w:sz w:val="24"/>
        <w:szCs w:val="24"/>
      </w:rPr>
    </w:lvl>
    <w:lvl w:ilvl="1" w:tplc="B750FE96" w:tentative="1">
      <w:start w:val="1"/>
      <w:numFmt w:val="bullet"/>
      <w:lvlText w:val="o"/>
      <w:lvlJc w:val="left"/>
      <w:pPr>
        <w:ind w:left="1440" w:hanging="360"/>
      </w:pPr>
      <w:rPr>
        <w:rFonts w:ascii="Courier New" w:hAnsi="Courier New" w:cs="Courier New" w:hint="default"/>
      </w:rPr>
    </w:lvl>
    <w:lvl w:ilvl="2" w:tplc="6A6AD31C" w:tentative="1">
      <w:start w:val="1"/>
      <w:numFmt w:val="bullet"/>
      <w:lvlText w:val=""/>
      <w:lvlJc w:val="left"/>
      <w:pPr>
        <w:ind w:left="2160" w:hanging="360"/>
      </w:pPr>
      <w:rPr>
        <w:rFonts w:ascii="Wingdings" w:hAnsi="Wingdings" w:hint="default"/>
      </w:rPr>
    </w:lvl>
    <w:lvl w:ilvl="3" w:tplc="92926EB4" w:tentative="1">
      <w:start w:val="1"/>
      <w:numFmt w:val="bullet"/>
      <w:lvlText w:val=""/>
      <w:lvlJc w:val="left"/>
      <w:pPr>
        <w:ind w:left="2880" w:hanging="360"/>
      </w:pPr>
      <w:rPr>
        <w:rFonts w:ascii="Symbol" w:hAnsi="Symbol" w:hint="default"/>
      </w:rPr>
    </w:lvl>
    <w:lvl w:ilvl="4" w:tplc="7EEA7A06" w:tentative="1">
      <w:start w:val="1"/>
      <w:numFmt w:val="bullet"/>
      <w:lvlText w:val="o"/>
      <w:lvlJc w:val="left"/>
      <w:pPr>
        <w:ind w:left="3600" w:hanging="360"/>
      </w:pPr>
      <w:rPr>
        <w:rFonts w:ascii="Courier New" w:hAnsi="Courier New" w:cs="Courier New" w:hint="default"/>
      </w:rPr>
    </w:lvl>
    <w:lvl w:ilvl="5" w:tplc="981E2BFC" w:tentative="1">
      <w:start w:val="1"/>
      <w:numFmt w:val="bullet"/>
      <w:lvlText w:val=""/>
      <w:lvlJc w:val="left"/>
      <w:pPr>
        <w:ind w:left="4320" w:hanging="360"/>
      </w:pPr>
      <w:rPr>
        <w:rFonts w:ascii="Wingdings" w:hAnsi="Wingdings" w:hint="default"/>
      </w:rPr>
    </w:lvl>
    <w:lvl w:ilvl="6" w:tplc="B4BAC6EA" w:tentative="1">
      <w:start w:val="1"/>
      <w:numFmt w:val="bullet"/>
      <w:lvlText w:val=""/>
      <w:lvlJc w:val="left"/>
      <w:pPr>
        <w:ind w:left="5040" w:hanging="360"/>
      </w:pPr>
      <w:rPr>
        <w:rFonts w:ascii="Symbol" w:hAnsi="Symbol" w:hint="default"/>
      </w:rPr>
    </w:lvl>
    <w:lvl w:ilvl="7" w:tplc="96C47338" w:tentative="1">
      <w:start w:val="1"/>
      <w:numFmt w:val="bullet"/>
      <w:lvlText w:val="o"/>
      <w:lvlJc w:val="left"/>
      <w:pPr>
        <w:ind w:left="5760" w:hanging="360"/>
      </w:pPr>
      <w:rPr>
        <w:rFonts w:ascii="Courier New" w:hAnsi="Courier New" w:cs="Courier New" w:hint="default"/>
      </w:rPr>
    </w:lvl>
    <w:lvl w:ilvl="8" w:tplc="A59E4A3C" w:tentative="1">
      <w:start w:val="1"/>
      <w:numFmt w:val="bullet"/>
      <w:lvlText w:val=""/>
      <w:lvlJc w:val="left"/>
      <w:pPr>
        <w:ind w:left="6480" w:hanging="360"/>
      </w:pPr>
      <w:rPr>
        <w:rFonts w:ascii="Wingdings" w:hAnsi="Wingdings" w:hint="default"/>
      </w:rPr>
    </w:lvl>
  </w:abstractNum>
  <w:abstractNum w:abstractNumId="14" w15:restartNumberingAfterBreak="0">
    <w:nsid w:val="11260E86"/>
    <w:multiLevelType w:val="hybridMultilevel"/>
    <w:tmpl w:val="F0BA9DF6"/>
    <w:lvl w:ilvl="0" w:tplc="5B1A45E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1AA4407D"/>
    <w:multiLevelType w:val="hybridMultilevel"/>
    <w:tmpl w:val="7D9AEA46"/>
    <w:lvl w:ilvl="0" w:tplc="356A6C6A">
      <w:start w:val="1"/>
      <w:numFmt w:val="upperLetter"/>
      <w:lvlText w:val="(%1)"/>
      <w:lvlJc w:val="left"/>
      <w:pPr>
        <w:ind w:left="570" w:hanging="51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1BBC3B93"/>
    <w:multiLevelType w:val="multilevel"/>
    <w:tmpl w:val="5456BDC6"/>
    <w:lvl w:ilvl="0">
      <w:start w:val="1"/>
      <w:numFmt w:val="decimal"/>
      <w:lvlText w:val="%1)"/>
      <w:lvlJc w:val="left"/>
      <w:pPr>
        <w:ind w:left="360" w:hanging="360"/>
      </w:pPr>
      <w:rPr>
        <w:rFonts w:ascii="Arabic Typesetting" w:hAnsi="Arabic Typesetting" w:hint="default"/>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15:restartNumberingAfterBreak="0">
    <w:nsid w:val="25091056"/>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1" w15:restartNumberingAfterBreak="0">
    <w:nsid w:val="25E87973"/>
    <w:multiLevelType w:val="hybridMultilevel"/>
    <w:tmpl w:val="025AB0C2"/>
    <w:lvl w:ilvl="0" w:tplc="560A0F94">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FB92D348" w:tentative="1">
      <w:start w:val="1"/>
      <w:numFmt w:val="lowerLetter"/>
      <w:lvlText w:val="%2."/>
      <w:lvlJc w:val="left"/>
      <w:pPr>
        <w:tabs>
          <w:tab w:val="num" w:pos="1440"/>
        </w:tabs>
        <w:ind w:left="1440" w:hanging="360"/>
      </w:pPr>
    </w:lvl>
    <w:lvl w:ilvl="2" w:tplc="E772B052" w:tentative="1">
      <w:start w:val="1"/>
      <w:numFmt w:val="lowerRoman"/>
      <w:lvlText w:val="%3."/>
      <w:lvlJc w:val="right"/>
      <w:pPr>
        <w:tabs>
          <w:tab w:val="num" w:pos="2160"/>
        </w:tabs>
        <w:ind w:left="2160" w:hanging="180"/>
      </w:pPr>
    </w:lvl>
    <w:lvl w:ilvl="3" w:tplc="B0BA7B86" w:tentative="1">
      <w:start w:val="1"/>
      <w:numFmt w:val="decimal"/>
      <w:lvlText w:val="%4."/>
      <w:lvlJc w:val="left"/>
      <w:pPr>
        <w:tabs>
          <w:tab w:val="num" w:pos="2880"/>
        </w:tabs>
        <w:ind w:left="2880" w:hanging="360"/>
      </w:pPr>
    </w:lvl>
    <w:lvl w:ilvl="4" w:tplc="67383648" w:tentative="1">
      <w:start w:val="1"/>
      <w:numFmt w:val="lowerLetter"/>
      <w:lvlText w:val="%5."/>
      <w:lvlJc w:val="left"/>
      <w:pPr>
        <w:tabs>
          <w:tab w:val="num" w:pos="3600"/>
        </w:tabs>
        <w:ind w:left="3600" w:hanging="360"/>
      </w:pPr>
    </w:lvl>
    <w:lvl w:ilvl="5" w:tplc="ECA4FAE2" w:tentative="1">
      <w:start w:val="1"/>
      <w:numFmt w:val="lowerRoman"/>
      <w:lvlText w:val="%6."/>
      <w:lvlJc w:val="right"/>
      <w:pPr>
        <w:tabs>
          <w:tab w:val="num" w:pos="4320"/>
        </w:tabs>
        <w:ind w:left="4320" w:hanging="180"/>
      </w:pPr>
    </w:lvl>
    <w:lvl w:ilvl="6" w:tplc="37ECDCF4" w:tentative="1">
      <w:start w:val="1"/>
      <w:numFmt w:val="decimal"/>
      <w:lvlText w:val="%7."/>
      <w:lvlJc w:val="left"/>
      <w:pPr>
        <w:tabs>
          <w:tab w:val="num" w:pos="5040"/>
        </w:tabs>
        <w:ind w:left="5040" w:hanging="360"/>
      </w:pPr>
    </w:lvl>
    <w:lvl w:ilvl="7" w:tplc="2194A552" w:tentative="1">
      <w:start w:val="1"/>
      <w:numFmt w:val="lowerLetter"/>
      <w:lvlText w:val="%8."/>
      <w:lvlJc w:val="left"/>
      <w:pPr>
        <w:tabs>
          <w:tab w:val="num" w:pos="5760"/>
        </w:tabs>
        <w:ind w:left="5760" w:hanging="360"/>
      </w:pPr>
    </w:lvl>
    <w:lvl w:ilvl="8" w:tplc="BDD40108" w:tentative="1">
      <w:start w:val="1"/>
      <w:numFmt w:val="lowerRoman"/>
      <w:lvlText w:val="%9."/>
      <w:lvlJc w:val="right"/>
      <w:pPr>
        <w:tabs>
          <w:tab w:val="num" w:pos="6480"/>
        </w:tabs>
        <w:ind w:left="6480" w:hanging="180"/>
      </w:pPr>
    </w:lvl>
  </w:abstractNum>
  <w:abstractNum w:abstractNumId="22" w15:restartNumberingAfterBreak="0">
    <w:nsid w:val="2BF93CBC"/>
    <w:multiLevelType w:val="hybridMultilevel"/>
    <w:tmpl w:val="FB6865DE"/>
    <w:lvl w:ilvl="0" w:tplc="AE0A3A68">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35A456B0" w:tentative="1">
      <w:start w:val="1"/>
      <w:numFmt w:val="lowerLetter"/>
      <w:lvlText w:val="%2."/>
      <w:lvlJc w:val="left"/>
      <w:pPr>
        <w:tabs>
          <w:tab w:val="num" w:pos="1440"/>
        </w:tabs>
        <w:ind w:left="1440" w:hanging="360"/>
      </w:pPr>
    </w:lvl>
    <w:lvl w:ilvl="2" w:tplc="2468040E" w:tentative="1">
      <w:start w:val="1"/>
      <w:numFmt w:val="lowerRoman"/>
      <w:lvlText w:val="%3."/>
      <w:lvlJc w:val="right"/>
      <w:pPr>
        <w:tabs>
          <w:tab w:val="num" w:pos="2160"/>
        </w:tabs>
        <w:ind w:left="2160" w:hanging="180"/>
      </w:pPr>
    </w:lvl>
    <w:lvl w:ilvl="3" w:tplc="E86AB08C" w:tentative="1">
      <w:start w:val="1"/>
      <w:numFmt w:val="decimal"/>
      <w:lvlText w:val="%4."/>
      <w:lvlJc w:val="left"/>
      <w:pPr>
        <w:tabs>
          <w:tab w:val="num" w:pos="2880"/>
        </w:tabs>
        <w:ind w:left="2880" w:hanging="360"/>
      </w:pPr>
    </w:lvl>
    <w:lvl w:ilvl="4" w:tplc="7CC86AF6" w:tentative="1">
      <w:start w:val="1"/>
      <w:numFmt w:val="lowerLetter"/>
      <w:lvlText w:val="%5."/>
      <w:lvlJc w:val="left"/>
      <w:pPr>
        <w:tabs>
          <w:tab w:val="num" w:pos="3600"/>
        </w:tabs>
        <w:ind w:left="3600" w:hanging="360"/>
      </w:pPr>
    </w:lvl>
    <w:lvl w:ilvl="5" w:tplc="DAEE7512" w:tentative="1">
      <w:start w:val="1"/>
      <w:numFmt w:val="lowerRoman"/>
      <w:lvlText w:val="%6."/>
      <w:lvlJc w:val="right"/>
      <w:pPr>
        <w:tabs>
          <w:tab w:val="num" w:pos="4320"/>
        </w:tabs>
        <w:ind w:left="4320" w:hanging="180"/>
      </w:pPr>
    </w:lvl>
    <w:lvl w:ilvl="6" w:tplc="CF163234" w:tentative="1">
      <w:start w:val="1"/>
      <w:numFmt w:val="decimal"/>
      <w:lvlText w:val="%7."/>
      <w:lvlJc w:val="left"/>
      <w:pPr>
        <w:tabs>
          <w:tab w:val="num" w:pos="5040"/>
        </w:tabs>
        <w:ind w:left="5040" w:hanging="360"/>
      </w:pPr>
    </w:lvl>
    <w:lvl w:ilvl="7" w:tplc="3E1C4BC4" w:tentative="1">
      <w:start w:val="1"/>
      <w:numFmt w:val="lowerLetter"/>
      <w:lvlText w:val="%8."/>
      <w:lvlJc w:val="left"/>
      <w:pPr>
        <w:tabs>
          <w:tab w:val="num" w:pos="5760"/>
        </w:tabs>
        <w:ind w:left="5760" w:hanging="360"/>
      </w:pPr>
    </w:lvl>
    <w:lvl w:ilvl="8" w:tplc="34224D02" w:tentative="1">
      <w:start w:val="1"/>
      <w:numFmt w:val="lowerRoman"/>
      <w:lvlText w:val="%9."/>
      <w:lvlJc w:val="right"/>
      <w:pPr>
        <w:tabs>
          <w:tab w:val="num" w:pos="6480"/>
        </w:tabs>
        <w:ind w:left="6480" w:hanging="180"/>
      </w:pPr>
    </w:lvl>
  </w:abstractNum>
  <w:abstractNum w:abstractNumId="23" w15:restartNumberingAfterBreak="0">
    <w:nsid w:val="2C9A56AF"/>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24" w15:restartNumberingAfterBreak="0">
    <w:nsid w:val="35E311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0233E35"/>
    <w:multiLevelType w:val="multilevel"/>
    <w:tmpl w:val="BE6CBF2E"/>
    <w:lvl w:ilvl="0">
      <w:start w:val="1"/>
      <w:numFmt w:val="decimal"/>
      <w:lvlText w:val="%1."/>
      <w:lvlJc w:val="left"/>
      <w:pPr>
        <w:ind w:left="0" w:firstLine="0"/>
      </w:pPr>
      <w:rPr>
        <w:rFonts w:ascii="Arial" w:hAnsi="Arial" w:cs="Arabic Typesetting" w:hint="default"/>
        <w:b w:val="0"/>
        <w:bCs w:val="0"/>
        <w:i w:val="0"/>
        <w:iCs w:val="0"/>
        <w:sz w:val="22"/>
        <w:szCs w:val="36"/>
      </w:rPr>
    </w:lvl>
    <w:lvl w:ilvl="1">
      <w:start w:val="1"/>
      <w:numFmt w:val="arabicAbjad"/>
      <w:lvlText w:val="(%2)"/>
      <w:lvlJc w:val="left"/>
      <w:pPr>
        <w:ind w:left="567" w:firstLine="0"/>
      </w:pPr>
      <w:rPr>
        <w:rFonts w:ascii="Arial" w:hAnsi="Arial" w:cs="Arabic Typesetting" w:hint="default"/>
        <w:sz w:val="22"/>
        <w:szCs w:val="36"/>
      </w:rPr>
    </w:lvl>
    <w:lvl w:ilvl="2">
      <w:start w:val="1"/>
      <w:numFmt w:val="decimal"/>
      <w:lvlText w:val="&quot;%3&quot;"/>
      <w:lvlJc w:val="right"/>
      <w:pPr>
        <w:ind w:left="1701" w:hanging="283"/>
      </w:pPr>
      <w:rPr>
        <w:rFonts w:hint="default"/>
      </w:rPr>
    </w:lvl>
    <w:lvl w:ilvl="3">
      <w:start w:val="1"/>
      <w:numFmt w:val="decimal"/>
      <w:lvlText w:val="(%4)"/>
      <w:lvlJc w:val="left"/>
      <w:pPr>
        <w:ind w:left="1701" w:firstLine="0"/>
      </w:pPr>
      <w:rPr>
        <w:rFonts w:hint="default"/>
      </w:rPr>
    </w:lvl>
    <w:lvl w:ilvl="4">
      <w:start w:val="1"/>
      <w:numFmt w:val="bullet"/>
      <w:lvlText w:val=""/>
      <w:lvlJc w:val="left"/>
      <w:pPr>
        <w:ind w:left="2268" w:firstLine="0"/>
      </w:pPr>
      <w:rPr>
        <w:rFonts w:ascii="Symbol" w:hAnsi="Symbol" w:cs="Times New Roman" w:hint="default"/>
        <w:color w:val="auto"/>
      </w:rPr>
    </w:lvl>
    <w:lvl w:ilvl="5">
      <w:start w:val="1"/>
      <w:numFmt w:val="none"/>
      <w:lvlText w:val="%6."/>
      <w:lvlJc w:val="right"/>
      <w:pPr>
        <w:ind w:left="2835" w:firstLine="0"/>
      </w:pPr>
      <w:rPr>
        <w:rFonts w:hint="default"/>
      </w:rPr>
    </w:lvl>
    <w:lvl w:ilvl="6">
      <w:start w:val="1"/>
      <w:numFmt w:val="none"/>
      <w:lvlText w:val="%7."/>
      <w:lvlJc w:val="left"/>
      <w:pPr>
        <w:ind w:left="3402" w:firstLine="0"/>
      </w:pPr>
      <w:rPr>
        <w:rFonts w:hint="default"/>
      </w:rPr>
    </w:lvl>
    <w:lvl w:ilvl="7">
      <w:start w:val="1"/>
      <w:numFmt w:val="none"/>
      <w:lvlText w:val="%8."/>
      <w:lvlJc w:val="left"/>
      <w:pPr>
        <w:ind w:left="3969" w:firstLine="0"/>
      </w:pPr>
      <w:rPr>
        <w:rFonts w:hint="default"/>
      </w:rPr>
    </w:lvl>
    <w:lvl w:ilvl="8">
      <w:start w:val="1"/>
      <w:numFmt w:val="none"/>
      <w:lvlText w:val="%9."/>
      <w:lvlJc w:val="right"/>
      <w:pPr>
        <w:ind w:left="4536" w:firstLine="0"/>
      </w:pPr>
      <w:rPr>
        <w:rFonts w:hint="default"/>
      </w:r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57F56EA"/>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28" w15:restartNumberingAfterBreak="0">
    <w:nsid w:val="473342FA"/>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29" w15:restartNumberingAfterBreak="0">
    <w:nsid w:val="47BB158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CD25451"/>
    <w:multiLevelType w:val="singleLevel"/>
    <w:tmpl w:val="30D0E6A2"/>
    <w:lvl w:ilvl="0">
      <w:start w:val="1"/>
      <w:numFmt w:val="decimal"/>
      <w:lvlText w:val="&quot;%1&quot;"/>
      <w:lvlJc w:val="left"/>
      <w:pPr>
        <w:ind w:left="927" w:hanging="360"/>
      </w:pPr>
      <w:rPr>
        <w:rFonts w:hint="default"/>
        <w:sz w:val="36"/>
      </w:rPr>
    </w:lvl>
  </w:abstractNum>
  <w:abstractNum w:abstractNumId="31" w15:restartNumberingAfterBreak="0">
    <w:nsid w:val="59F135DC"/>
    <w:multiLevelType w:val="multilevel"/>
    <w:tmpl w:val="7876DE4C"/>
    <w:lvl w:ilvl="0">
      <w:start w:val="1"/>
      <w:numFmt w:val="decimal"/>
      <w:lvlRestart w:val="0"/>
      <w:lvlText w:val="%1."/>
      <w:lvlJc w:val="left"/>
      <w:pPr>
        <w:ind w:left="0" w:firstLine="0"/>
      </w:pPr>
      <w:rPr>
        <w:rFonts w:hint="default"/>
        <w:sz w:val="24"/>
        <w:szCs w:val="24"/>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hint="default"/>
        <w:sz w:val="24"/>
        <w:szCs w:val="24"/>
      </w:rPr>
    </w:lvl>
    <w:lvl w:ilvl="3">
      <w:start w:val="1"/>
      <w:numFmt w:val="bullet"/>
      <w:lvlText w:val=""/>
      <w:lvlJc w:val="left"/>
      <w:pPr>
        <w:ind w:left="1701" w:firstLine="0"/>
      </w:pPr>
      <w:rPr>
        <w:rFonts w:ascii="Symbol" w:hAnsi="Symbol" w:cs="Times New Roman" w:hint="default"/>
        <w:sz w:val="22"/>
        <w:szCs w:val="22"/>
      </w:rPr>
    </w:lvl>
    <w:lvl w:ilvl="4">
      <w:start w:val="1"/>
      <w:numFmt w:val="bullet"/>
      <w:lvlText w:val=""/>
      <w:lvlJc w:val="left"/>
      <w:pPr>
        <w:ind w:left="2268" w:firstLine="0"/>
      </w:pPr>
      <w:rPr>
        <w:rFonts w:ascii="Wingdings" w:hAnsi="Wingdings" w:cs="Times New Roman" w:hint="default"/>
        <w:sz w:val="22"/>
      </w:rPr>
    </w:lvl>
    <w:lvl w:ilvl="5">
      <w:start w:val="1"/>
      <w:numFmt w:val="bullet"/>
      <w:lvlText w:val=""/>
      <w:lvlJc w:val="left"/>
      <w:pPr>
        <w:ind w:left="2835" w:firstLine="0"/>
      </w:pPr>
      <w:rPr>
        <w:rFonts w:ascii="Symbol" w:hAnsi="Symbol" w:cs="Symbol" w:hint="default"/>
        <w:sz w:val="22"/>
        <w:szCs w:val="22"/>
      </w:rPr>
    </w:lvl>
    <w:lvl w:ilvl="6">
      <w:start w:val="1"/>
      <w:numFmt w:val="bullet"/>
      <w:lvlText w:val=""/>
      <w:lvlJc w:val="left"/>
      <w:pPr>
        <w:ind w:left="3402" w:firstLine="0"/>
      </w:pPr>
      <w:rPr>
        <w:rFonts w:ascii="Symbol" w:hAnsi="Symbol" w:cs="Symbol" w:hint="default"/>
        <w:sz w:val="22"/>
        <w:szCs w:val="22"/>
      </w:rPr>
    </w:lvl>
    <w:lvl w:ilvl="7">
      <w:start w:val="1"/>
      <w:numFmt w:val="bullet"/>
      <w:lvlText w:val=""/>
      <w:lvlJc w:val="left"/>
      <w:pPr>
        <w:ind w:left="3969" w:firstLine="0"/>
      </w:pPr>
      <w:rPr>
        <w:rFonts w:ascii="Symbol" w:hAnsi="Symbol" w:cs="Symbol" w:hint="default"/>
        <w:sz w:val="22"/>
        <w:szCs w:val="22"/>
      </w:rPr>
    </w:lvl>
    <w:lvl w:ilvl="8">
      <w:start w:val="1"/>
      <w:numFmt w:val="bullet"/>
      <w:lvlText w:val=""/>
      <w:lvlJc w:val="left"/>
      <w:pPr>
        <w:ind w:left="4535" w:firstLine="0"/>
      </w:pPr>
      <w:rPr>
        <w:rFonts w:ascii="Symbol" w:hAnsi="Symbol" w:cs="Symbol" w:hint="default"/>
        <w:sz w:val="22"/>
        <w:szCs w:val="22"/>
      </w:rPr>
    </w:lvl>
  </w:abstractNum>
  <w:abstractNum w:abstractNumId="32" w15:restartNumberingAfterBreak="0">
    <w:nsid w:val="5C950DE4"/>
    <w:multiLevelType w:val="multilevel"/>
    <w:tmpl w:val="87761C82"/>
    <w:lvl w:ilvl="0">
      <w:start w:val="1"/>
      <w:numFmt w:val="decimal"/>
      <w:pStyle w:val="indent1"/>
      <w:lvlText w:val="&quot;%1&quot;"/>
      <w:lvlJc w:val="left"/>
      <w:pPr>
        <w:tabs>
          <w:tab w:val="num" w:pos="567"/>
        </w:tabs>
        <w:ind w:left="567" w:firstLine="0"/>
      </w:pPr>
      <w:rPr>
        <w:rFonts w:ascii="Arabic Typesetting" w:hAnsi="Arabic Typesetting" w:cs="Arabic Typesetting" w:hint="default"/>
        <w:sz w:val="36"/>
        <w:szCs w:val="36"/>
      </w:rPr>
    </w:lvl>
    <w:lvl w:ilvl="1">
      <w:start w:val="1"/>
      <w:numFmt w:val="arabicAbjad"/>
      <w:lvlText w:val="(%2)"/>
      <w:lvlJc w:val="left"/>
      <w:pPr>
        <w:tabs>
          <w:tab w:val="num" w:pos="1134"/>
        </w:tabs>
        <w:ind w:left="1134" w:firstLine="0"/>
      </w:pPr>
      <w:rPr>
        <w:rFonts w:ascii="Arabic Typesetting" w:hAnsi="Arabic Typesetting" w:cs="Arabic Typesetting" w:hint="default"/>
        <w:sz w:val="36"/>
        <w:szCs w:val="36"/>
      </w:rPr>
    </w:lvl>
    <w:lvl w:ilvl="2">
      <w:start w:val="1"/>
      <w:numFmt w:val="bullet"/>
      <w:lvlText w:val=""/>
      <w:lvlJc w:val="left"/>
      <w:pPr>
        <w:tabs>
          <w:tab w:val="num" w:pos="1701"/>
        </w:tabs>
        <w:ind w:left="1701" w:firstLine="0"/>
      </w:pPr>
      <w:rPr>
        <w:rFonts w:ascii="Symbol" w:hAnsi="Symbol" w:cs="Symbol" w:hint="default"/>
        <w:sz w:val="24"/>
        <w:szCs w:val="24"/>
      </w:rPr>
    </w:lvl>
    <w:lvl w:ilvl="3">
      <w:start w:val="1"/>
      <w:numFmt w:val="bullet"/>
      <w:lvlText w:val="○"/>
      <w:lvlJc w:val="left"/>
      <w:pPr>
        <w:tabs>
          <w:tab w:val="num" w:pos="2268"/>
        </w:tabs>
        <w:ind w:left="2268" w:firstLine="0"/>
      </w:pPr>
      <w:rPr>
        <w:rFonts w:ascii="Courier New" w:hAnsi="Courier New" w:cs="Courier New" w:hint="default"/>
        <w:sz w:val="24"/>
        <w:szCs w:val="24"/>
      </w:rPr>
    </w:lvl>
    <w:lvl w:ilvl="4">
      <w:start w:val="1"/>
      <w:numFmt w:val="bullet"/>
      <w:lvlText w:val=""/>
      <w:lvlJc w:val="left"/>
      <w:pPr>
        <w:tabs>
          <w:tab w:val="num" w:pos="2835"/>
        </w:tabs>
        <w:ind w:left="2835" w:firstLine="0"/>
      </w:pPr>
      <w:rPr>
        <w:rFonts w:ascii="Wingdings" w:hAnsi="Wingdings" w:cs="Wingdings" w:hint="default"/>
        <w:sz w:val="24"/>
        <w:szCs w:val="24"/>
      </w:rPr>
    </w:lvl>
    <w:lvl w:ilvl="5">
      <w:start w:val="1"/>
      <w:numFmt w:val="none"/>
      <w:lvlText w:val="%6"/>
      <w:lvlJc w:val="left"/>
      <w:pPr>
        <w:tabs>
          <w:tab w:val="num" w:pos="3402"/>
        </w:tabs>
        <w:ind w:left="3402" w:firstLine="0"/>
      </w:pPr>
      <w:rPr>
        <w:rFonts w:hint="default"/>
      </w:rPr>
    </w:lvl>
    <w:lvl w:ilvl="6">
      <w:start w:val="1"/>
      <w:numFmt w:val="none"/>
      <w:lvlText w:val=""/>
      <w:lvlJc w:val="left"/>
      <w:pPr>
        <w:tabs>
          <w:tab w:val="num" w:pos="3969"/>
        </w:tabs>
        <w:ind w:left="3969" w:firstLine="0"/>
      </w:pPr>
      <w:rPr>
        <w:rFonts w:hint="default"/>
      </w:rPr>
    </w:lvl>
    <w:lvl w:ilvl="7">
      <w:start w:val="1"/>
      <w:numFmt w:val="none"/>
      <w:lvlText w:val=""/>
      <w:lvlJc w:val="left"/>
      <w:pPr>
        <w:tabs>
          <w:tab w:val="num" w:pos="4536"/>
        </w:tabs>
        <w:ind w:left="4536" w:firstLine="0"/>
      </w:pPr>
      <w:rPr>
        <w:rFonts w:hint="default"/>
      </w:rPr>
    </w:lvl>
    <w:lvl w:ilvl="8">
      <w:start w:val="1"/>
      <w:numFmt w:val="none"/>
      <w:lvlText w:val=""/>
      <w:lvlJc w:val="left"/>
      <w:pPr>
        <w:tabs>
          <w:tab w:val="num" w:pos="5103"/>
        </w:tabs>
        <w:ind w:left="5103" w:firstLine="0"/>
      </w:pPr>
      <w:rPr>
        <w:rFonts w:hint="default"/>
      </w:rPr>
    </w:lvl>
  </w:abstractNum>
  <w:abstractNum w:abstractNumId="33" w15:restartNumberingAfterBreak="0">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F43518D"/>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5" w15:restartNumberingAfterBreak="0">
    <w:nsid w:val="61F82648"/>
    <w:multiLevelType w:val="multilevel"/>
    <w:tmpl w:val="CC067C32"/>
    <w:lvl w:ilvl="0">
      <w:start w:val="1"/>
      <w:numFmt w:val="decimal"/>
      <w:lvlText w:val="&quot;%1&quot;"/>
      <w:lvlJc w:val="right"/>
      <w:pPr>
        <w:ind w:left="0" w:firstLine="288"/>
      </w:pPr>
      <w:rPr>
        <w:rFonts w:ascii="Arabic Typesetting" w:hAnsi="Arabic Typesetting" w:cs="Arabic Typesetting" w:hint="default"/>
        <w:sz w:val="36"/>
        <w:szCs w:val="36"/>
      </w:rPr>
    </w:lvl>
    <w:lvl w:ilvl="1">
      <w:start w:val="1"/>
      <w:numFmt w:val="arabicAbjad"/>
      <w:lvlText w:val="(%2)"/>
      <w:lvlJc w:val="right"/>
      <w:pPr>
        <w:ind w:left="567" w:firstLine="0"/>
      </w:pPr>
      <w:rPr>
        <w:rFonts w:hint="default"/>
      </w:rPr>
    </w:lvl>
    <w:lvl w:ilvl="2">
      <w:start w:val="1"/>
      <w:numFmt w:val="bullet"/>
      <w:lvlText w:val=""/>
      <w:lvlJc w:val="left"/>
      <w:pPr>
        <w:ind w:left="1134" w:firstLine="0"/>
      </w:pPr>
      <w:rPr>
        <w:rFonts w:ascii="Symbol" w:hAnsi="Symbol" w:cs="Times New Roman" w:hint="default"/>
        <w:szCs w:val="24"/>
      </w:rPr>
    </w:lvl>
    <w:lvl w:ilvl="3">
      <w:start w:val="1"/>
      <w:numFmt w:val="bullet"/>
      <w:lvlText w:val="○"/>
      <w:lvlJc w:val="left"/>
      <w:pPr>
        <w:ind w:left="1701" w:firstLine="0"/>
      </w:pPr>
      <w:rPr>
        <w:rFonts w:ascii="Courier New" w:hAnsi="Courier New" w:cs="Courier New" w:hint="default"/>
      </w:rPr>
    </w:lvl>
    <w:lvl w:ilvl="4">
      <w:start w:val="1"/>
      <w:numFmt w:val="bullet"/>
      <w:lvlText w:val=""/>
      <w:lvlJc w:val="left"/>
      <w:pPr>
        <w:ind w:left="2268" w:firstLine="0"/>
      </w:pPr>
      <w:rPr>
        <w:rFonts w:ascii="Wingdings" w:hAnsi="Wingdings" w:cs="Times New Roman" w:hint="default"/>
        <w:szCs w:val="22"/>
      </w:rPr>
    </w:lvl>
    <w:lvl w:ilvl="5">
      <w:start w:val="1"/>
      <w:numFmt w:val="none"/>
      <w:lvlText w:val="%6"/>
      <w:lvlJc w:val="right"/>
      <w:pPr>
        <w:ind w:left="2835" w:firstLine="0"/>
      </w:pPr>
      <w:rPr>
        <w:rFonts w:hint="default"/>
      </w:rPr>
    </w:lvl>
    <w:lvl w:ilvl="6">
      <w:start w:val="1"/>
      <w:numFmt w:val="none"/>
      <w:lvlText w:val=""/>
      <w:lvlJc w:val="right"/>
      <w:pPr>
        <w:ind w:left="3402" w:firstLine="0"/>
      </w:pPr>
      <w:rPr>
        <w:rFonts w:hint="default"/>
      </w:rPr>
    </w:lvl>
    <w:lvl w:ilvl="7">
      <w:start w:val="1"/>
      <w:numFmt w:val="none"/>
      <w:lvlText w:val=""/>
      <w:lvlJc w:val="right"/>
      <w:pPr>
        <w:ind w:left="3969" w:firstLine="0"/>
      </w:pPr>
      <w:rPr>
        <w:rFonts w:hint="default"/>
      </w:rPr>
    </w:lvl>
    <w:lvl w:ilvl="8">
      <w:start w:val="1"/>
      <w:numFmt w:val="none"/>
      <w:lvlText w:val=""/>
      <w:lvlJc w:val="right"/>
      <w:pPr>
        <w:ind w:left="4536" w:firstLine="0"/>
      </w:pPr>
      <w:rPr>
        <w:rFonts w:hint="default"/>
      </w:rPr>
    </w:lvl>
  </w:abstractNum>
  <w:abstractNum w:abstractNumId="36" w15:restartNumberingAfterBreak="0">
    <w:nsid w:val="667151A6"/>
    <w:multiLevelType w:val="multilevel"/>
    <w:tmpl w:val="E5A488B8"/>
    <w:lvl w:ilvl="0">
      <w:start w:val="1"/>
      <w:numFmt w:val="decimal"/>
      <w:lvlRestart w:val="0"/>
      <w:lvlText w:val="%1."/>
      <w:lvlJc w:val="left"/>
      <w:pPr>
        <w:ind w:left="0" w:firstLine="0"/>
      </w:pPr>
      <w:rPr>
        <w:rFonts w:ascii="Arabic Typesetting" w:hAnsi="Arabic Typesetting" w:cs="Arabic Typesetting" w:hint="default"/>
        <w:sz w:val="36"/>
        <w:szCs w:val="36"/>
      </w:rPr>
    </w:lvl>
    <w:lvl w:ilvl="1">
      <w:start w:val="1"/>
      <w:numFmt w:val="arabicAbjad"/>
      <w:lvlText w:val="(%2)"/>
      <w:lvlJc w:val="left"/>
      <w:pPr>
        <w:ind w:left="567" w:firstLine="0"/>
      </w:pPr>
      <w:rPr>
        <w:rFonts w:hint="default"/>
      </w:rPr>
    </w:lvl>
    <w:lvl w:ilvl="2">
      <w:start w:val="1"/>
      <w:numFmt w:val="decimal"/>
      <w:lvlText w:val="&quot;%3&quot;"/>
      <w:lvlJc w:val="left"/>
      <w:pPr>
        <w:ind w:left="1134" w:firstLine="0"/>
      </w:pPr>
      <w:rPr>
        <w:rFonts w:ascii="Arabic Typesetting" w:hAnsi="Arabic Typesetting" w:cs="Arabic Typesetting" w:hint="default"/>
        <w:sz w:val="36"/>
        <w:szCs w:val="36"/>
      </w:rPr>
    </w:lvl>
    <w:lvl w:ilvl="3">
      <w:start w:val="1"/>
      <w:numFmt w:val="bullet"/>
      <w:lvlText w:val=""/>
      <w:lvlJc w:val="left"/>
      <w:pPr>
        <w:ind w:left="1701" w:firstLine="0"/>
      </w:pPr>
      <w:rPr>
        <w:rFonts w:ascii="Symbol" w:hAnsi="Symbol" w:cs="Times New Roman" w:hint="default"/>
        <w:sz w:val="24"/>
        <w:szCs w:val="22"/>
      </w:rPr>
    </w:lvl>
    <w:lvl w:ilvl="4">
      <w:start w:val="1"/>
      <w:numFmt w:val="bullet"/>
      <w:lvlText w:val=""/>
      <w:lvlJc w:val="left"/>
      <w:pPr>
        <w:ind w:left="2268" w:firstLine="0"/>
      </w:pPr>
      <w:rPr>
        <w:rFonts w:ascii="Wingdings" w:hAnsi="Wingdings" w:cs="Times New Roman" w:hint="default"/>
        <w:sz w:val="24"/>
        <w:szCs w:val="22"/>
      </w:rPr>
    </w:lvl>
    <w:lvl w:ilvl="5">
      <w:start w:val="1"/>
      <w:numFmt w:val="bullet"/>
      <w:lvlText w:val="–"/>
      <w:lvlJc w:val="left"/>
      <w:pPr>
        <w:ind w:left="2835" w:firstLine="0"/>
      </w:pPr>
      <w:rPr>
        <w:rFonts w:ascii="Arabic Typesetting" w:hAnsi="Arabic Typesetting" w:cs="Arabic Typesetting" w:hint="default"/>
        <w:sz w:val="24"/>
        <w:szCs w:val="22"/>
      </w:rPr>
    </w:lvl>
    <w:lvl w:ilvl="6">
      <w:start w:val="1"/>
      <w:numFmt w:val="bullet"/>
      <w:lvlText w:val="○"/>
      <w:lvlJc w:val="left"/>
      <w:pPr>
        <w:ind w:left="3402" w:firstLine="0"/>
      </w:pPr>
      <w:rPr>
        <w:rFonts w:ascii="Courier New" w:hAnsi="Courier New" w:cs="Times New Roman" w:hint="default"/>
        <w:sz w:val="24"/>
        <w:szCs w:val="22"/>
      </w:rPr>
    </w:lvl>
    <w:lvl w:ilvl="7">
      <w:start w:val="1"/>
      <w:numFmt w:val="bullet"/>
      <w:lvlText w:val=""/>
      <w:lvlJc w:val="left"/>
      <w:pPr>
        <w:ind w:left="3969" w:firstLine="0"/>
      </w:pPr>
      <w:rPr>
        <w:rFonts w:ascii="Symbol" w:hAnsi="Symbol" w:cs="Times New Roman" w:hint="default"/>
        <w:sz w:val="24"/>
        <w:szCs w:val="22"/>
      </w:rPr>
    </w:lvl>
    <w:lvl w:ilvl="8">
      <w:start w:val="1"/>
      <w:numFmt w:val="bullet"/>
      <w:lvlText w:val=""/>
      <w:lvlJc w:val="left"/>
      <w:pPr>
        <w:ind w:left="4535" w:firstLine="0"/>
      </w:pPr>
      <w:rPr>
        <w:rFonts w:ascii="Symbol" w:hAnsi="Symbol" w:cs="Times New Roman" w:hint="default"/>
        <w:sz w:val="24"/>
        <w:szCs w:val="22"/>
      </w:rPr>
    </w:lvl>
  </w:abstractNum>
  <w:abstractNum w:abstractNumId="37" w15:restartNumberingAfterBreak="0">
    <w:nsid w:val="67637C8B"/>
    <w:multiLevelType w:val="hybridMultilevel"/>
    <w:tmpl w:val="BD7A977A"/>
    <w:lvl w:ilvl="0" w:tplc="8AF68AA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E07A3846" w:tentative="1">
      <w:start w:val="1"/>
      <w:numFmt w:val="lowerLetter"/>
      <w:lvlText w:val="%2."/>
      <w:lvlJc w:val="left"/>
      <w:pPr>
        <w:tabs>
          <w:tab w:val="num" w:pos="1440"/>
        </w:tabs>
        <w:ind w:left="1440" w:hanging="360"/>
      </w:pPr>
    </w:lvl>
    <w:lvl w:ilvl="2" w:tplc="38C89D9A" w:tentative="1">
      <w:start w:val="1"/>
      <w:numFmt w:val="lowerRoman"/>
      <w:lvlText w:val="%3."/>
      <w:lvlJc w:val="right"/>
      <w:pPr>
        <w:tabs>
          <w:tab w:val="num" w:pos="2160"/>
        </w:tabs>
        <w:ind w:left="2160" w:hanging="180"/>
      </w:pPr>
    </w:lvl>
    <w:lvl w:ilvl="3" w:tplc="83B06CF6" w:tentative="1">
      <w:start w:val="1"/>
      <w:numFmt w:val="decimal"/>
      <w:lvlText w:val="%4."/>
      <w:lvlJc w:val="left"/>
      <w:pPr>
        <w:tabs>
          <w:tab w:val="num" w:pos="2880"/>
        </w:tabs>
        <w:ind w:left="2880" w:hanging="360"/>
      </w:pPr>
    </w:lvl>
    <w:lvl w:ilvl="4" w:tplc="B92E9DC2" w:tentative="1">
      <w:start w:val="1"/>
      <w:numFmt w:val="lowerLetter"/>
      <w:lvlText w:val="%5."/>
      <w:lvlJc w:val="left"/>
      <w:pPr>
        <w:tabs>
          <w:tab w:val="num" w:pos="3600"/>
        </w:tabs>
        <w:ind w:left="3600" w:hanging="360"/>
      </w:pPr>
    </w:lvl>
    <w:lvl w:ilvl="5" w:tplc="BE42960A" w:tentative="1">
      <w:start w:val="1"/>
      <w:numFmt w:val="lowerRoman"/>
      <w:lvlText w:val="%6."/>
      <w:lvlJc w:val="right"/>
      <w:pPr>
        <w:tabs>
          <w:tab w:val="num" w:pos="4320"/>
        </w:tabs>
        <w:ind w:left="4320" w:hanging="180"/>
      </w:pPr>
    </w:lvl>
    <w:lvl w:ilvl="6" w:tplc="9E3E2320" w:tentative="1">
      <w:start w:val="1"/>
      <w:numFmt w:val="decimal"/>
      <w:lvlText w:val="%7."/>
      <w:lvlJc w:val="left"/>
      <w:pPr>
        <w:tabs>
          <w:tab w:val="num" w:pos="5040"/>
        </w:tabs>
        <w:ind w:left="5040" w:hanging="360"/>
      </w:pPr>
    </w:lvl>
    <w:lvl w:ilvl="7" w:tplc="CC7E8ED0" w:tentative="1">
      <w:start w:val="1"/>
      <w:numFmt w:val="lowerLetter"/>
      <w:lvlText w:val="%8."/>
      <w:lvlJc w:val="left"/>
      <w:pPr>
        <w:tabs>
          <w:tab w:val="num" w:pos="5760"/>
        </w:tabs>
        <w:ind w:left="5760" w:hanging="360"/>
      </w:pPr>
    </w:lvl>
    <w:lvl w:ilvl="8" w:tplc="4822CA3C" w:tentative="1">
      <w:start w:val="1"/>
      <w:numFmt w:val="lowerRoman"/>
      <w:lvlText w:val="%9."/>
      <w:lvlJc w:val="right"/>
      <w:pPr>
        <w:tabs>
          <w:tab w:val="num" w:pos="6480"/>
        </w:tabs>
        <w:ind w:left="6480" w:hanging="180"/>
      </w:pPr>
    </w:lvl>
  </w:abstractNum>
  <w:abstractNum w:abstractNumId="38" w15:restartNumberingAfterBreak="0">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9" w15:restartNumberingAfterBreak="0">
    <w:nsid w:val="7AEF7B0A"/>
    <w:multiLevelType w:val="hybridMultilevel"/>
    <w:tmpl w:val="EF2C11D2"/>
    <w:lvl w:ilvl="0" w:tplc="A4444496">
      <w:start w:val="1"/>
      <w:numFmt w:val="decimal"/>
      <w:pStyle w:val="ListNumber"/>
      <w:lvlText w:val="03.%1."/>
      <w:lvlJc w:val="left"/>
      <w:pPr>
        <w:ind w:left="360" w:hanging="360"/>
      </w:pPr>
      <w:rPr>
        <w:rFonts w:ascii="Arabic Typesetting" w:hAnsi="Arabic Typesetting" w:cs="Arabic Typesetting" w:hint="default"/>
        <w:sz w:val="36"/>
        <w:szCs w:val="36"/>
      </w:rPr>
    </w:lvl>
    <w:lvl w:ilvl="1" w:tplc="B1CA37D6">
      <w:start w:val="1"/>
      <w:numFmt w:val="lowerLetter"/>
      <w:lvlText w:val="%2."/>
      <w:lvlJc w:val="left"/>
      <w:pPr>
        <w:tabs>
          <w:tab w:val="num" w:pos="1440"/>
        </w:tabs>
        <w:ind w:left="1440" w:hanging="360"/>
      </w:pPr>
    </w:lvl>
    <w:lvl w:ilvl="2" w:tplc="6CE61DDE" w:tentative="1">
      <w:start w:val="1"/>
      <w:numFmt w:val="lowerRoman"/>
      <w:lvlText w:val="%3."/>
      <w:lvlJc w:val="right"/>
      <w:pPr>
        <w:tabs>
          <w:tab w:val="num" w:pos="2160"/>
        </w:tabs>
        <w:ind w:left="2160" w:hanging="180"/>
      </w:pPr>
    </w:lvl>
    <w:lvl w:ilvl="3" w:tplc="0FAE00CC" w:tentative="1">
      <w:start w:val="1"/>
      <w:numFmt w:val="decimal"/>
      <w:lvlText w:val="%4."/>
      <w:lvlJc w:val="left"/>
      <w:pPr>
        <w:tabs>
          <w:tab w:val="num" w:pos="2880"/>
        </w:tabs>
        <w:ind w:left="2880" w:hanging="360"/>
      </w:pPr>
    </w:lvl>
    <w:lvl w:ilvl="4" w:tplc="1330996E" w:tentative="1">
      <w:start w:val="1"/>
      <w:numFmt w:val="lowerLetter"/>
      <w:lvlText w:val="%5."/>
      <w:lvlJc w:val="left"/>
      <w:pPr>
        <w:tabs>
          <w:tab w:val="num" w:pos="3600"/>
        </w:tabs>
        <w:ind w:left="3600" w:hanging="360"/>
      </w:pPr>
    </w:lvl>
    <w:lvl w:ilvl="5" w:tplc="84842D2A" w:tentative="1">
      <w:start w:val="1"/>
      <w:numFmt w:val="lowerRoman"/>
      <w:lvlText w:val="%6."/>
      <w:lvlJc w:val="right"/>
      <w:pPr>
        <w:tabs>
          <w:tab w:val="num" w:pos="4320"/>
        </w:tabs>
        <w:ind w:left="4320" w:hanging="180"/>
      </w:pPr>
    </w:lvl>
    <w:lvl w:ilvl="6" w:tplc="ED1CEF64" w:tentative="1">
      <w:start w:val="1"/>
      <w:numFmt w:val="decimal"/>
      <w:lvlText w:val="%7."/>
      <w:lvlJc w:val="left"/>
      <w:pPr>
        <w:tabs>
          <w:tab w:val="num" w:pos="5040"/>
        </w:tabs>
        <w:ind w:left="5040" w:hanging="360"/>
      </w:pPr>
    </w:lvl>
    <w:lvl w:ilvl="7" w:tplc="51E8A99E" w:tentative="1">
      <w:start w:val="1"/>
      <w:numFmt w:val="lowerLetter"/>
      <w:lvlText w:val="%8."/>
      <w:lvlJc w:val="left"/>
      <w:pPr>
        <w:tabs>
          <w:tab w:val="num" w:pos="5760"/>
        </w:tabs>
        <w:ind w:left="5760" w:hanging="360"/>
      </w:pPr>
    </w:lvl>
    <w:lvl w:ilvl="8" w:tplc="B07277D4" w:tentative="1">
      <w:start w:val="1"/>
      <w:numFmt w:val="lowerRoman"/>
      <w:lvlText w:val="%9."/>
      <w:lvlJc w:val="right"/>
      <w:pPr>
        <w:tabs>
          <w:tab w:val="num" w:pos="6480"/>
        </w:tabs>
        <w:ind w:left="6480" w:hanging="180"/>
      </w:pPr>
    </w:lvl>
  </w:abstractNum>
  <w:abstractNum w:abstractNumId="40" w15:restartNumberingAfterBreak="0">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26"/>
  </w:num>
  <w:num w:numId="3">
    <w:abstractNumId w:val="15"/>
  </w:num>
  <w:num w:numId="4">
    <w:abstractNumId w:val="38"/>
  </w:num>
  <w:num w:numId="5">
    <w:abstractNumId w:val="8"/>
  </w:num>
  <w:num w:numId="6">
    <w:abstractNumId w:val="39"/>
  </w:num>
  <w:num w:numId="7">
    <w:abstractNumId w:val="22"/>
  </w:num>
  <w:num w:numId="8">
    <w:abstractNumId w:val="37"/>
  </w:num>
  <w:num w:numId="9">
    <w:abstractNumId w:val="33"/>
  </w:num>
  <w:num w:numId="10">
    <w:abstractNumId w:val="40"/>
  </w:num>
  <w:num w:numId="11">
    <w:abstractNumId w:val="21"/>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5"/>
  </w:num>
  <w:num w:numId="22">
    <w:abstractNumId w:val="25"/>
  </w:num>
  <w:num w:numId="23">
    <w:abstractNumId w:val="12"/>
  </w:num>
  <w:num w:numId="24">
    <w:abstractNumId w:val="11"/>
  </w:num>
  <w:num w:numId="25">
    <w:abstractNumId w:val="11"/>
  </w:num>
  <w:num w:numId="26">
    <w:abstractNumId w:val="11"/>
  </w:num>
  <w:num w:numId="27">
    <w:abstractNumId w:val="11"/>
  </w:num>
  <w:num w:numId="28">
    <w:abstractNumId w:val="19"/>
  </w:num>
  <w:num w:numId="29">
    <w:abstractNumId w:val="11"/>
  </w:num>
  <w:num w:numId="30">
    <w:abstractNumId w:val="31"/>
  </w:num>
  <w:num w:numId="31">
    <w:abstractNumId w:val="23"/>
  </w:num>
  <w:num w:numId="32">
    <w:abstractNumId w:val="28"/>
  </w:num>
  <w:num w:numId="33">
    <w:abstractNumId w:val="36"/>
  </w:num>
  <w:num w:numId="34">
    <w:abstractNumId w:val="13"/>
  </w:num>
  <w:num w:numId="35">
    <w:abstractNumId w:val="35"/>
  </w:num>
  <w:num w:numId="36">
    <w:abstractNumId w:val="27"/>
  </w:num>
  <w:num w:numId="37">
    <w:abstractNumId w:val="34"/>
  </w:num>
  <w:num w:numId="38">
    <w:abstractNumId w:val="18"/>
  </w:num>
  <w:num w:numId="39">
    <w:abstractNumId w:val="30"/>
  </w:num>
  <w:num w:numId="40">
    <w:abstractNumId w:val="29"/>
  </w:num>
  <w:num w:numId="41">
    <w:abstractNumId w:val="20"/>
  </w:num>
  <w:num w:numId="42">
    <w:abstractNumId w:val="10"/>
  </w:num>
  <w:num w:numId="43">
    <w:abstractNumId w:val="24"/>
  </w:num>
  <w:num w:numId="44">
    <w:abstractNumId w:val="32"/>
  </w:num>
  <w:num w:numId="45">
    <w:abstractNumId w:val="17"/>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04"/>
    <w:rsid w:val="00002CBE"/>
    <w:rsid w:val="00003232"/>
    <w:rsid w:val="000033DA"/>
    <w:rsid w:val="00004AF1"/>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3FB"/>
    <w:rsid w:val="0002476F"/>
    <w:rsid w:val="00024E17"/>
    <w:rsid w:val="000258DB"/>
    <w:rsid w:val="000259E5"/>
    <w:rsid w:val="00031B2C"/>
    <w:rsid w:val="0003371F"/>
    <w:rsid w:val="00033D2C"/>
    <w:rsid w:val="00035CE8"/>
    <w:rsid w:val="00036041"/>
    <w:rsid w:val="00036A3F"/>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1FC9"/>
    <w:rsid w:val="00053836"/>
    <w:rsid w:val="00054659"/>
    <w:rsid w:val="00055FA2"/>
    <w:rsid w:val="000571DD"/>
    <w:rsid w:val="000602AA"/>
    <w:rsid w:val="00061E03"/>
    <w:rsid w:val="00061FF5"/>
    <w:rsid w:val="00062502"/>
    <w:rsid w:val="00063C91"/>
    <w:rsid w:val="000640E7"/>
    <w:rsid w:val="00066DC7"/>
    <w:rsid w:val="0006794A"/>
    <w:rsid w:val="00067F31"/>
    <w:rsid w:val="00071138"/>
    <w:rsid w:val="00073402"/>
    <w:rsid w:val="00075745"/>
    <w:rsid w:val="00075A04"/>
    <w:rsid w:val="00075D39"/>
    <w:rsid w:val="000760C3"/>
    <w:rsid w:val="000763A4"/>
    <w:rsid w:val="00076901"/>
    <w:rsid w:val="000821B6"/>
    <w:rsid w:val="0008237C"/>
    <w:rsid w:val="000833C3"/>
    <w:rsid w:val="0008421F"/>
    <w:rsid w:val="0008451C"/>
    <w:rsid w:val="00085A0B"/>
    <w:rsid w:val="000863B7"/>
    <w:rsid w:val="00086CB9"/>
    <w:rsid w:val="00087DB6"/>
    <w:rsid w:val="00090139"/>
    <w:rsid w:val="0009024C"/>
    <w:rsid w:val="00090ADD"/>
    <w:rsid w:val="000913C0"/>
    <w:rsid w:val="00091F52"/>
    <w:rsid w:val="00092982"/>
    <w:rsid w:val="00092DD6"/>
    <w:rsid w:val="00094C85"/>
    <w:rsid w:val="00094D7E"/>
    <w:rsid w:val="00094E11"/>
    <w:rsid w:val="0009517B"/>
    <w:rsid w:val="0009577C"/>
    <w:rsid w:val="00095AE2"/>
    <w:rsid w:val="000962DF"/>
    <w:rsid w:val="0009661E"/>
    <w:rsid w:val="000A12BC"/>
    <w:rsid w:val="000A1306"/>
    <w:rsid w:val="000A1521"/>
    <w:rsid w:val="000A2FC1"/>
    <w:rsid w:val="000A3A57"/>
    <w:rsid w:val="000A53C5"/>
    <w:rsid w:val="000A5408"/>
    <w:rsid w:val="000A6510"/>
    <w:rsid w:val="000A6D68"/>
    <w:rsid w:val="000A7CF7"/>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E81"/>
    <w:rsid w:val="000E06A5"/>
    <w:rsid w:val="000E16EB"/>
    <w:rsid w:val="000E4DEE"/>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84A"/>
    <w:rsid w:val="00102919"/>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8E9"/>
    <w:rsid w:val="00121AA0"/>
    <w:rsid w:val="00121FE6"/>
    <w:rsid w:val="00123F16"/>
    <w:rsid w:val="0012405D"/>
    <w:rsid w:val="001252B1"/>
    <w:rsid w:val="00126897"/>
    <w:rsid w:val="0012696D"/>
    <w:rsid w:val="00130E12"/>
    <w:rsid w:val="00130FC9"/>
    <w:rsid w:val="001310EE"/>
    <w:rsid w:val="0013191A"/>
    <w:rsid w:val="00131E8F"/>
    <w:rsid w:val="00134BF4"/>
    <w:rsid w:val="00135C24"/>
    <w:rsid w:val="00136389"/>
    <w:rsid w:val="00136A1A"/>
    <w:rsid w:val="00136A96"/>
    <w:rsid w:val="001376B6"/>
    <w:rsid w:val="00140A35"/>
    <w:rsid w:val="0014111A"/>
    <w:rsid w:val="00142166"/>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38"/>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2AC8"/>
    <w:rsid w:val="001A3BE6"/>
    <w:rsid w:val="001A41A1"/>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C75A9"/>
    <w:rsid w:val="001D0474"/>
    <w:rsid w:val="001D141D"/>
    <w:rsid w:val="001D1EBD"/>
    <w:rsid w:val="001D2184"/>
    <w:rsid w:val="001D24F3"/>
    <w:rsid w:val="001D2678"/>
    <w:rsid w:val="001D2DC4"/>
    <w:rsid w:val="001D61D0"/>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E3B"/>
    <w:rsid w:val="001F6F36"/>
    <w:rsid w:val="001F76FD"/>
    <w:rsid w:val="002004C0"/>
    <w:rsid w:val="002012F2"/>
    <w:rsid w:val="002014D7"/>
    <w:rsid w:val="00202F07"/>
    <w:rsid w:val="00203030"/>
    <w:rsid w:val="00203D45"/>
    <w:rsid w:val="00204133"/>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17DF4"/>
    <w:rsid w:val="00220227"/>
    <w:rsid w:val="0022176B"/>
    <w:rsid w:val="00222760"/>
    <w:rsid w:val="00222782"/>
    <w:rsid w:val="0022360A"/>
    <w:rsid w:val="002269E0"/>
    <w:rsid w:val="00226B82"/>
    <w:rsid w:val="00227103"/>
    <w:rsid w:val="00230249"/>
    <w:rsid w:val="0023068C"/>
    <w:rsid w:val="00230D5F"/>
    <w:rsid w:val="00231BE3"/>
    <w:rsid w:val="00232C51"/>
    <w:rsid w:val="00233414"/>
    <w:rsid w:val="00233D69"/>
    <w:rsid w:val="00234E82"/>
    <w:rsid w:val="00235C9D"/>
    <w:rsid w:val="00235DAE"/>
    <w:rsid w:val="0023621D"/>
    <w:rsid w:val="0023693F"/>
    <w:rsid w:val="002412D4"/>
    <w:rsid w:val="0024220D"/>
    <w:rsid w:val="00242AD1"/>
    <w:rsid w:val="00242BD3"/>
    <w:rsid w:val="00242C02"/>
    <w:rsid w:val="00243155"/>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2C19"/>
    <w:rsid w:val="0026520E"/>
    <w:rsid w:val="00266486"/>
    <w:rsid w:val="00266B0A"/>
    <w:rsid w:val="00266C61"/>
    <w:rsid w:val="00266F13"/>
    <w:rsid w:val="0026749A"/>
    <w:rsid w:val="00270E72"/>
    <w:rsid w:val="0027167E"/>
    <w:rsid w:val="00271F24"/>
    <w:rsid w:val="00272503"/>
    <w:rsid w:val="00272F3A"/>
    <w:rsid w:val="002736FD"/>
    <w:rsid w:val="00273941"/>
    <w:rsid w:val="00273D91"/>
    <w:rsid w:val="002743E2"/>
    <w:rsid w:val="0027447E"/>
    <w:rsid w:val="00274C95"/>
    <w:rsid w:val="0027520A"/>
    <w:rsid w:val="00275419"/>
    <w:rsid w:val="00275A2D"/>
    <w:rsid w:val="0027655E"/>
    <w:rsid w:val="00276B93"/>
    <w:rsid w:val="00276C4C"/>
    <w:rsid w:val="002772A5"/>
    <w:rsid w:val="002806F8"/>
    <w:rsid w:val="002810B5"/>
    <w:rsid w:val="00281B81"/>
    <w:rsid w:val="00281F4F"/>
    <w:rsid w:val="00286744"/>
    <w:rsid w:val="002909B9"/>
    <w:rsid w:val="00292CEE"/>
    <w:rsid w:val="00292D22"/>
    <w:rsid w:val="0029470D"/>
    <w:rsid w:val="00297B80"/>
    <w:rsid w:val="002A076C"/>
    <w:rsid w:val="002A0B33"/>
    <w:rsid w:val="002A1059"/>
    <w:rsid w:val="002A1407"/>
    <w:rsid w:val="002A3C9D"/>
    <w:rsid w:val="002A5403"/>
    <w:rsid w:val="002A6C9F"/>
    <w:rsid w:val="002A77F3"/>
    <w:rsid w:val="002B14F0"/>
    <w:rsid w:val="002B17FD"/>
    <w:rsid w:val="002B1F0F"/>
    <w:rsid w:val="002B53D3"/>
    <w:rsid w:val="002B6202"/>
    <w:rsid w:val="002C014C"/>
    <w:rsid w:val="002C060C"/>
    <w:rsid w:val="002C0BA6"/>
    <w:rsid w:val="002C12A7"/>
    <w:rsid w:val="002C2B6F"/>
    <w:rsid w:val="002C314F"/>
    <w:rsid w:val="002C3CB4"/>
    <w:rsid w:val="002C4AD1"/>
    <w:rsid w:val="002C64F6"/>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810"/>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0C06"/>
    <w:rsid w:val="00311453"/>
    <w:rsid w:val="003114C9"/>
    <w:rsid w:val="0031229D"/>
    <w:rsid w:val="003132DE"/>
    <w:rsid w:val="00314E12"/>
    <w:rsid w:val="003166A5"/>
    <w:rsid w:val="00316C8C"/>
    <w:rsid w:val="003174C2"/>
    <w:rsid w:val="00317CE4"/>
    <w:rsid w:val="00320DF4"/>
    <w:rsid w:val="00321918"/>
    <w:rsid w:val="003219A9"/>
    <w:rsid w:val="00321B00"/>
    <w:rsid w:val="00321C54"/>
    <w:rsid w:val="00321CC6"/>
    <w:rsid w:val="00321DCD"/>
    <w:rsid w:val="0032261F"/>
    <w:rsid w:val="003237A2"/>
    <w:rsid w:val="00324729"/>
    <w:rsid w:val="0032597E"/>
    <w:rsid w:val="00325C8B"/>
    <w:rsid w:val="00326C08"/>
    <w:rsid w:val="00327011"/>
    <w:rsid w:val="00334127"/>
    <w:rsid w:val="00335CA6"/>
    <w:rsid w:val="003365F0"/>
    <w:rsid w:val="00336C50"/>
    <w:rsid w:val="00337265"/>
    <w:rsid w:val="00337388"/>
    <w:rsid w:val="0034007D"/>
    <w:rsid w:val="0034030D"/>
    <w:rsid w:val="00343339"/>
    <w:rsid w:val="003433E5"/>
    <w:rsid w:val="00344082"/>
    <w:rsid w:val="0034582C"/>
    <w:rsid w:val="00345916"/>
    <w:rsid w:val="00345CAC"/>
    <w:rsid w:val="0034789E"/>
    <w:rsid w:val="003501DA"/>
    <w:rsid w:val="003503E2"/>
    <w:rsid w:val="00351DC1"/>
    <w:rsid w:val="003534EE"/>
    <w:rsid w:val="003569C2"/>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2F7"/>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0DEF"/>
    <w:rsid w:val="003A146E"/>
    <w:rsid w:val="003A1B9E"/>
    <w:rsid w:val="003A26CD"/>
    <w:rsid w:val="003A37F7"/>
    <w:rsid w:val="003A54E9"/>
    <w:rsid w:val="003A5E7C"/>
    <w:rsid w:val="003A78C7"/>
    <w:rsid w:val="003A7E9A"/>
    <w:rsid w:val="003B13DF"/>
    <w:rsid w:val="003B15FE"/>
    <w:rsid w:val="003B1C41"/>
    <w:rsid w:val="003B37F6"/>
    <w:rsid w:val="003B46AD"/>
    <w:rsid w:val="003B5C96"/>
    <w:rsid w:val="003B65FB"/>
    <w:rsid w:val="003B6A26"/>
    <w:rsid w:val="003C108F"/>
    <w:rsid w:val="003C218D"/>
    <w:rsid w:val="003C29C5"/>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3F7284"/>
    <w:rsid w:val="0040016C"/>
    <w:rsid w:val="0040033D"/>
    <w:rsid w:val="004007E1"/>
    <w:rsid w:val="00400B1F"/>
    <w:rsid w:val="004032D2"/>
    <w:rsid w:val="00403C4F"/>
    <w:rsid w:val="0040481D"/>
    <w:rsid w:val="004058B4"/>
    <w:rsid w:val="00405C45"/>
    <w:rsid w:val="004062EF"/>
    <w:rsid w:val="004062F0"/>
    <w:rsid w:val="00406CB5"/>
    <w:rsid w:val="00410B8F"/>
    <w:rsid w:val="00412057"/>
    <w:rsid w:val="004126C1"/>
    <w:rsid w:val="00413BA5"/>
    <w:rsid w:val="00414FD0"/>
    <w:rsid w:val="004169D7"/>
    <w:rsid w:val="00417E93"/>
    <w:rsid w:val="00422A2A"/>
    <w:rsid w:val="00424BB4"/>
    <w:rsid w:val="004258CD"/>
    <w:rsid w:val="004261D2"/>
    <w:rsid w:val="004303D1"/>
    <w:rsid w:val="00430D6E"/>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66020"/>
    <w:rsid w:val="00472043"/>
    <w:rsid w:val="00472F56"/>
    <w:rsid w:val="0047335E"/>
    <w:rsid w:val="00473CA1"/>
    <w:rsid w:val="00473EED"/>
    <w:rsid w:val="0047572C"/>
    <w:rsid w:val="00476407"/>
    <w:rsid w:val="004773F7"/>
    <w:rsid w:val="00481571"/>
    <w:rsid w:val="00481F5F"/>
    <w:rsid w:val="004821D0"/>
    <w:rsid w:val="00482CB2"/>
    <w:rsid w:val="00483D06"/>
    <w:rsid w:val="00485A4A"/>
    <w:rsid w:val="00485CF7"/>
    <w:rsid w:val="004862C2"/>
    <w:rsid w:val="004863F7"/>
    <w:rsid w:val="00486BC6"/>
    <w:rsid w:val="00486E2A"/>
    <w:rsid w:val="00486FFC"/>
    <w:rsid w:val="00490ED4"/>
    <w:rsid w:val="00491631"/>
    <w:rsid w:val="00491B91"/>
    <w:rsid w:val="00491C21"/>
    <w:rsid w:val="00491C66"/>
    <w:rsid w:val="004935D6"/>
    <w:rsid w:val="00494195"/>
    <w:rsid w:val="004945FB"/>
    <w:rsid w:val="0049528C"/>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5B"/>
    <w:rsid w:val="004C49C9"/>
    <w:rsid w:val="004C627F"/>
    <w:rsid w:val="004C74CC"/>
    <w:rsid w:val="004C76C1"/>
    <w:rsid w:val="004C7DDE"/>
    <w:rsid w:val="004D0D1A"/>
    <w:rsid w:val="004D169F"/>
    <w:rsid w:val="004D18CF"/>
    <w:rsid w:val="004D30CE"/>
    <w:rsid w:val="004D4071"/>
    <w:rsid w:val="004D421A"/>
    <w:rsid w:val="004D4D0C"/>
    <w:rsid w:val="004D6144"/>
    <w:rsid w:val="004D678F"/>
    <w:rsid w:val="004D6D1B"/>
    <w:rsid w:val="004E1264"/>
    <w:rsid w:val="004E2CBC"/>
    <w:rsid w:val="004E3DD4"/>
    <w:rsid w:val="004E5292"/>
    <w:rsid w:val="004E5C1A"/>
    <w:rsid w:val="004E6895"/>
    <w:rsid w:val="004E6C8C"/>
    <w:rsid w:val="004E6CC7"/>
    <w:rsid w:val="004E776F"/>
    <w:rsid w:val="004F111D"/>
    <w:rsid w:val="004F1843"/>
    <w:rsid w:val="004F1EEC"/>
    <w:rsid w:val="004F24C8"/>
    <w:rsid w:val="004F30D6"/>
    <w:rsid w:val="004F34A5"/>
    <w:rsid w:val="004F40D6"/>
    <w:rsid w:val="004F6925"/>
    <w:rsid w:val="004F722B"/>
    <w:rsid w:val="00502AAA"/>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47B8"/>
    <w:rsid w:val="005266BD"/>
    <w:rsid w:val="0052772D"/>
    <w:rsid w:val="00530442"/>
    <w:rsid w:val="00534AF0"/>
    <w:rsid w:val="00535060"/>
    <w:rsid w:val="00535738"/>
    <w:rsid w:val="005363C1"/>
    <w:rsid w:val="005409EB"/>
    <w:rsid w:val="00540F30"/>
    <w:rsid w:val="00541DD2"/>
    <w:rsid w:val="00543A63"/>
    <w:rsid w:val="00543AB5"/>
    <w:rsid w:val="005442C1"/>
    <w:rsid w:val="005457CF"/>
    <w:rsid w:val="00545976"/>
    <w:rsid w:val="0054660F"/>
    <w:rsid w:val="00547628"/>
    <w:rsid w:val="005533C3"/>
    <w:rsid w:val="005536E6"/>
    <w:rsid w:val="00553AC3"/>
    <w:rsid w:val="00553DBA"/>
    <w:rsid w:val="00554335"/>
    <w:rsid w:val="00555631"/>
    <w:rsid w:val="0055621D"/>
    <w:rsid w:val="00560C6A"/>
    <w:rsid w:val="00560F85"/>
    <w:rsid w:val="005610A0"/>
    <w:rsid w:val="0056248F"/>
    <w:rsid w:val="00564985"/>
    <w:rsid w:val="00565379"/>
    <w:rsid w:val="0056579D"/>
    <w:rsid w:val="005674C3"/>
    <w:rsid w:val="00567990"/>
    <w:rsid w:val="00567C4C"/>
    <w:rsid w:val="005728C8"/>
    <w:rsid w:val="005733AD"/>
    <w:rsid w:val="0057381A"/>
    <w:rsid w:val="00573ABD"/>
    <w:rsid w:val="00574B91"/>
    <w:rsid w:val="00574E5C"/>
    <w:rsid w:val="00574F5E"/>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AF0"/>
    <w:rsid w:val="00591C6D"/>
    <w:rsid w:val="00591C71"/>
    <w:rsid w:val="00592392"/>
    <w:rsid w:val="00592484"/>
    <w:rsid w:val="0059283D"/>
    <w:rsid w:val="005928D3"/>
    <w:rsid w:val="0059293D"/>
    <w:rsid w:val="00592D5D"/>
    <w:rsid w:val="00594604"/>
    <w:rsid w:val="005955C0"/>
    <w:rsid w:val="00595B68"/>
    <w:rsid w:val="00595EAA"/>
    <w:rsid w:val="0059672B"/>
    <w:rsid w:val="00596EAE"/>
    <w:rsid w:val="005A0C60"/>
    <w:rsid w:val="005A255F"/>
    <w:rsid w:val="005A330E"/>
    <w:rsid w:val="005A5554"/>
    <w:rsid w:val="005A5651"/>
    <w:rsid w:val="005A63EA"/>
    <w:rsid w:val="005A6AFE"/>
    <w:rsid w:val="005A7157"/>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4EAD"/>
    <w:rsid w:val="005C5335"/>
    <w:rsid w:val="005C5D7B"/>
    <w:rsid w:val="005C5E29"/>
    <w:rsid w:val="005C6474"/>
    <w:rsid w:val="005C6A68"/>
    <w:rsid w:val="005C7AB5"/>
    <w:rsid w:val="005D0AE3"/>
    <w:rsid w:val="005D1103"/>
    <w:rsid w:val="005D276D"/>
    <w:rsid w:val="005D5912"/>
    <w:rsid w:val="005D794C"/>
    <w:rsid w:val="005D79F6"/>
    <w:rsid w:val="005D7A9F"/>
    <w:rsid w:val="005D7AA2"/>
    <w:rsid w:val="005E2154"/>
    <w:rsid w:val="005E2FC7"/>
    <w:rsid w:val="005E37B9"/>
    <w:rsid w:val="005E427F"/>
    <w:rsid w:val="005E4574"/>
    <w:rsid w:val="005E4BBE"/>
    <w:rsid w:val="005E4C97"/>
    <w:rsid w:val="005E5014"/>
    <w:rsid w:val="005E684F"/>
    <w:rsid w:val="005E76D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DA1"/>
    <w:rsid w:val="00607C00"/>
    <w:rsid w:val="00610430"/>
    <w:rsid w:val="00611858"/>
    <w:rsid w:val="00613A99"/>
    <w:rsid w:val="00614EB1"/>
    <w:rsid w:val="00614F67"/>
    <w:rsid w:val="00615277"/>
    <w:rsid w:val="00615519"/>
    <w:rsid w:val="00615CED"/>
    <w:rsid w:val="00615CFC"/>
    <w:rsid w:val="0061660A"/>
    <w:rsid w:val="00617A92"/>
    <w:rsid w:val="00620BF9"/>
    <w:rsid w:val="00620CEE"/>
    <w:rsid w:val="00622558"/>
    <w:rsid w:val="00622D5F"/>
    <w:rsid w:val="00622EAE"/>
    <w:rsid w:val="006230C8"/>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EEF"/>
    <w:rsid w:val="00636F89"/>
    <w:rsid w:val="0063700D"/>
    <w:rsid w:val="00637470"/>
    <w:rsid w:val="00637E13"/>
    <w:rsid w:val="00640D89"/>
    <w:rsid w:val="00640F58"/>
    <w:rsid w:val="00641203"/>
    <w:rsid w:val="00641776"/>
    <w:rsid w:val="00645742"/>
    <w:rsid w:val="0064656E"/>
    <w:rsid w:val="00646DF5"/>
    <w:rsid w:val="00650397"/>
    <w:rsid w:val="006507E8"/>
    <w:rsid w:val="00650C73"/>
    <w:rsid w:val="00651143"/>
    <w:rsid w:val="00651959"/>
    <w:rsid w:val="00652978"/>
    <w:rsid w:val="00652B62"/>
    <w:rsid w:val="006530C6"/>
    <w:rsid w:val="00653149"/>
    <w:rsid w:val="006531E4"/>
    <w:rsid w:val="00654505"/>
    <w:rsid w:val="006575ED"/>
    <w:rsid w:val="006578FD"/>
    <w:rsid w:val="00660060"/>
    <w:rsid w:val="006609AA"/>
    <w:rsid w:val="00662EDE"/>
    <w:rsid w:val="00664C9F"/>
    <w:rsid w:val="00666548"/>
    <w:rsid w:val="00666A71"/>
    <w:rsid w:val="00667537"/>
    <w:rsid w:val="00667B2B"/>
    <w:rsid w:val="0067001E"/>
    <w:rsid w:val="00670865"/>
    <w:rsid w:val="00671AED"/>
    <w:rsid w:val="006725B5"/>
    <w:rsid w:val="00673521"/>
    <w:rsid w:val="00673702"/>
    <w:rsid w:val="00673767"/>
    <w:rsid w:val="00673F39"/>
    <w:rsid w:val="006746AC"/>
    <w:rsid w:val="0067571B"/>
    <w:rsid w:val="00675E37"/>
    <w:rsid w:val="006763DE"/>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412"/>
    <w:rsid w:val="00696601"/>
    <w:rsid w:val="006977FA"/>
    <w:rsid w:val="006A0075"/>
    <w:rsid w:val="006A20FB"/>
    <w:rsid w:val="006A339D"/>
    <w:rsid w:val="006A4462"/>
    <w:rsid w:val="006A5B59"/>
    <w:rsid w:val="006A6A14"/>
    <w:rsid w:val="006A753A"/>
    <w:rsid w:val="006A777C"/>
    <w:rsid w:val="006A7C46"/>
    <w:rsid w:val="006B0F76"/>
    <w:rsid w:val="006B1E1E"/>
    <w:rsid w:val="006B1F20"/>
    <w:rsid w:val="006B398A"/>
    <w:rsid w:val="006B3E04"/>
    <w:rsid w:val="006B4024"/>
    <w:rsid w:val="006B47D7"/>
    <w:rsid w:val="006B499D"/>
    <w:rsid w:val="006B5041"/>
    <w:rsid w:val="006B643D"/>
    <w:rsid w:val="006B79A4"/>
    <w:rsid w:val="006C0DA2"/>
    <w:rsid w:val="006C1254"/>
    <w:rsid w:val="006C2DC5"/>
    <w:rsid w:val="006C480B"/>
    <w:rsid w:val="006C570B"/>
    <w:rsid w:val="006C572E"/>
    <w:rsid w:val="006C5997"/>
    <w:rsid w:val="006C5CD2"/>
    <w:rsid w:val="006D0636"/>
    <w:rsid w:val="006D06DC"/>
    <w:rsid w:val="006D0D04"/>
    <w:rsid w:val="006D6E46"/>
    <w:rsid w:val="006D7FA8"/>
    <w:rsid w:val="006E4601"/>
    <w:rsid w:val="006E5B86"/>
    <w:rsid w:val="006E63FF"/>
    <w:rsid w:val="006E652D"/>
    <w:rsid w:val="006E6753"/>
    <w:rsid w:val="006E7572"/>
    <w:rsid w:val="006F2F22"/>
    <w:rsid w:val="006F434A"/>
    <w:rsid w:val="006F4DF6"/>
    <w:rsid w:val="006F733F"/>
    <w:rsid w:val="006F7974"/>
    <w:rsid w:val="00700A60"/>
    <w:rsid w:val="00700B39"/>
    <w:rsid w:val="00703976"/>
    <w:rsid w:val="00705027"/>
    <w:rsid w:val="007069ED"/>
    <w:rsid w:val="00710494"/>
    <w:rsid w:val="007117BD"/>
    <w:rsid w:val="007148DE"/>
    <w:rsid w:val="00715129"/>
    <w:rsid w:val="007154CE"/>
    <w:rsid w:val="00715B25"/>
    <w:rsid w:val="00716020"/>
    <w:rsid w:val="00720860"/>
    <w:rsid w:val="00721087"/>
    <w:rsid w:val="00721530"/>
    <w:rsid w:val="00723422"/>
    <w:rsid w:val="007260FE"/>
    <w:rsid w:val="00726DD6"/>
    <w:rsid w:val="0073076E"/>
    <w:rsid w:val="0073110D"/>
    <w:rsid w:val="00733416"/>
    <w:rsid w:val="0073377E"/>
    <w:rsid w:val="00733E05"/>
    <w:rsid w:val="0073551B"/>
    <w:rsid w:val="00735C8A"/>
    <w:rsid w:val="00735FE2"/>
    <w:rsid w:val="0073719A"/>
    <w:rsid w:val="007379B1"/>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B9D"/>
    <w:rsid w:val="00757105"/>
    <w:rsid w:val="00757B82"/>
    <w:rsid w:val="0076281A"/>
    <w:rsid w:val="00762ADE"/>
    <w:rsid w:val="0076365D"/>
    <w:rsid w:val="0076419B"/>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3AEB"/>
    <w:rsid w:val="00795460"/>
    <w:rsid w:val="00795478"/>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095"/>
    <w:rsid w:val="007B5C86"/>
    <w:rsid w:val="007B6071"/>
    <w:rsid w:val="007B6540"/>
    <w:rsid w:val="007B69A2"/>
    <w:rsid w:val="007C09C4"/>
    <w:rsid w:val="007C0C37"/>
    <w:rsid w:val="007C19E5"/>
    <w:rsid w:val="007C25E9"/>
    <w:rsid w:val="007C2F78"/>
    <w:rsid w:val="007C34C5"/>
    <w:rsid w:val="007C4079"/>
    <w:rsid w:val="007C4827"/>
    <w:rsid w:val="007C4A20"/>
    <w:rsid w:val="007D0B7F"/>
    <w:rsid w:val="007D1266"/>
    <w:rsid w:val="007D1862"/>
    <w:rsid w:val="007D1B94"/>
    <w:rsid w:val="007D458D"/>
    <w:rsid w:val="007D4E8C"/>
    <w:rsid w:val="007D538F"/>
    <w:rsid w:val="007D668A"/>
    <w:rsid w:val="007E09E2"/>
    <w:rsid w:val="007E0FF5"/>
    <w:rsid w:val="007E1012"/>
    <w:rsid w:val="007E17CD"/>
    <w:rsid w:val="007E24ED"/>
    <w:rsid w:val="007E374B"/>
    <w:rsid w:val="007E39DE"/>
    <w:rsid w:val="007E3F53"/>
    <w:rsid w:val="007E66CF"/>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2644"/>
    <w:rsid w:val="0081421D"/>
    <w:rsid w:val="00814ADB"/>
    <w:rsid w:val="00815C5D"/>
    <w:rsid w:val="0081618F"/>
    <w:rsid w:val="008174D1"/>
    <w:rsid w:val="008178B2"/>
    <w:rsid w:val="008207A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57A0"/>
    <w:rsid w:val="00835D4B"/>
    <w:rsid w:val="008362AE"/>
    <w:rsid w:val="00836516"/>
    <w:rsid w:val="0083771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48DB"/>
    <w:rsid w:val="00855CA6"/>
    <w:rsid w:val="00856155"/>
    <w:rsid w:val="00860323"/>
    <w:rsid w:val="00860F4F"/>
    <w:rsid w:val="008610B9"/>
    <w:rsid w:val="00862656"/>
    <w:rsid w:val="00863013"/>
    <w:rsid w:val="00863F67"/>
    <w:rsid w:val="0086483A"/>
    <w:rsid w:val="0087049C"/>
    <w:rsid w:val="00870AAD"/>
    <w:rsid w:val="00870EDE"/>
    <w:rsid w:val="00871DA0"/>
    <w:rsid w:val="00872030"/>
    <w:rsid w:val="00873973"/>
    <w:rsid w:val="00874721"/>
    <w:rsid w:val="0087564A"/>
    <w:rsid w:val="00875C28"/>
    <w:rsid w:val="00875E75"/>
    <w:rsid w:val="0087658F"/>
    <w:rsid w:val="0087762E"/>
    <w:rsid w:val="00877823"/>
    <w:rsid w:val="008803F5"/>
    <w:rsid w:val="008812BF"/>
    <w:rsid w:val="00881341"/>
    <w:rsid w:val="008822C9"/>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ADB"/>
    <w:rsid w:val="008A1CE6"/>
    <w:rsid w:val="008A1F25"/>
    <w:rsid w:val="008A47FB"/>
    <w:rsid w:val="008A4917"/>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056"/>
    <w:rsid w:val="008C2729"/>
    <w:rsid w:val="008C3347"/>
    <w:rsid w:val="008C39D6"/>
    <w:rsid w:val="008C3B96"/>
    <w:rsid w:val="008C43BF"/>
    <w:rsid w:val="008C532F"/>
    <w:rsid w:val="008C60C3"/>
    <w:rsid w:val="008C7736"/>
    <w:rsid w:val="008D0948"/>
    <w:rsid w:val="008D311C"/>
    <w:rsid w:val="008D31D2"/>
    <w:rsid w:val="008D31E3"/>
    <w:rsid w:val="008D3CC5"/>
    <w:rsid w:val="008D564A"/>
    <w:rsid w:val="008D5E47"/>
    <w:rsid w:val="008D7D8C"/>
    <w:rsid w:val="008E004E"/>
    <w:rsid w:val="008E04FB"/>
    <w:rsid w:val="008E3E79"/>
    <w:rsid w:val="008E5282"/>
    <w:rsid w:val="008E5E2C"/>
    <w:rsid w:val="008E78F1"/>
    <w:rsid w:val="008E7AFD"/>
    <w:rsid w:val="008F03CE"/>
    <w:rsid w:val="008F075B"/>
    <w:rsid w:val="008F0E9E"/>
    <w:rsid w:val="008F2913"/>
    <w:rsid w:val="008F2A4E"/>
    <w:rsid w:val="008F2AE9"/>
    <w:rsid w:val="008F332B"/>
    <w:rsid w:val="008F4371"/>
    <w:rsid w:val="008F52D0"/>
    <w:rsid w:val="008F58BB"/>
    <w:rsid w:val="008F6106"/>
    <w:rsid w:val="008F6DAE"/>
    <w:rsid w:val="008F791D"/>
    <w:rsid w:val="00900959"/>
    <w:rsid w:val="00901900"/>
    <w:rsid w:val="00901B7A"/>
    <w:rsid w:val="00901EE8"/>
    <w:rsid w:val="00901F6C"/>
    <w:rsid w:val="0090266B"/>
    <w:rsid w:val="00902F06"/>
    <w:rsid w:val="009035DB"/>
    <w:rsid w:val="00904671"/>
    <w:rsid w:val="00904FDD"/>
    <w:rsid w:val="00905BC5"/>
    <w:rsid w:val="009064AA"/>
    <w:rsid w:val="00912257"/>
    <w:rsid w:val="00913495"/>
    <w:rsid w:val="00913874"/>
    <w:rsid w:val="009163CC"/>
    <w:rsid w:val="0091674C"/>
    <w:rsid w:val="00916862"/>
    <w:rsid w:val="00916B2A"/>
    <w:rsid w:val="00916D96"/>
    <w:rsid w:val="009174F7"/>
    <w:rsid w:val="00917E76"/>
    <w:rsid w:val="00920167"/>
    <w:rsid w:val="009217C9"/>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6BB4"/>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13"/>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3F7F"/>
    <w:rsid w:val="00984198"/>
    <w:rsid w:val="00984E04"/>
    <w:rsid w:val="00986194"/>
    <w:rsid w:val="009861D2"/>
    <w:rsid w:val="00986E53"/>
    <w:rsid w:val="00987CE5"/>
    <w:rsid w:val="00992373"/>
    <w:rsid w:val="00993CF0"/>
    <w:rsid w:val="0099428D"/>
    <w:rsid w:val="009949A7"/>
    <w:rsid w:val="00995232"/>
    <w:rsid w:val="00995CDC"/>
    <w:rsid w:val="009975CA"/>
    <w:rsid w:val="009A0C15"/>
    <w:rsid w:val="009A1088"/>
    <w:rsid w:val="009A14CB"/>
    <w:rsid w:val="009A1FCA"/>
    <w:rsid w:val="009A27C7"/>
    <w:rsid w:val="009A2961"/>
    <w:rsid w:val="009A344A"/>
    <w:rsid w:val="009A41C7"/>
    <w:rsid w:val="009A4F5A"/>
    <w:rsid w:val="009A56BB"/>
    <w:rsid w:val="009A5C82"/>
    <w:rsid w:val="009B010D"/>
    <w:rsid w:val="009B0AAB"/>
    <w:rsid w:val="009B0D3E"/>
    <w:rsid w:val="009B2AD1"/>
    <w:rsid w:val="009B3224"/>
    <w:rsid w:val="009B3A61"/>
    <w:rsid w:val="009B528E"/>
    <w:rsid w:val="009B54FE"/>
    <w:rsid w:val="009B7572"/>
    <w:rsid w:val="009B77DD"/>
    <w:rsid w:val="009C13BF"/>
    <w:rsid w:val="009C2943"/>
    <w:rsid w:val="009C4B2C"/>
    <w:rsid w:val="009C4CB3"/>
    <w:rsid w:val="009C4F15"/>
    <w:rsid w:val="009C511C"/>
    <w:rsid w:val="009C5416"/>
    <w:rsid w:val="009C587B"/>
    <w:rsid w:val="009C64C5"/>
    <w:rsid w:val="009C6F87"/>
    <w:rsid w:val="009C7166"/>
    <w:rsid w:val="009C742C"/>
    <w:rsid w:val="009D061C"/>
    <w:rsid w:val="009D2376"/>
    <w:rsid w:val="009D2D48"/>
    <w:rsid w:val="009D3103"/>
    <w:rsid w:val="009D42B3"/>
    <w:rsid w:val="009D4409"/>
    <w:rsid w:val="009D4724"/>
    <w:rsid w:val="009D4AD5"/>
    <w:rsid w:val="009D4B2F"/>
    <w:rsid w:val="009D4C1B"/>
    <w:rsid w:val="009D500A"/>
    <w:rsid w:val="009D5159"/>
    <w:rsid w:val="009D5EA5"/>
    <w:rsid w:val="009D64DA"/>
    <w:rsid w:val="009D6BEA"/>
    <w:rsid w:val="009D76A3"/>
    <w:rsid w:val="009E09F5"/>
    <w:rsid w:val="009E0DBC"/>
    <w:rsid w:val="009E11BD"/>
    <w:rsid w:val="009E1384"/>
    <w:rsid w:val="009E1DF8"/>
    <w:rsid w:val="009E2C1A"/>
    <w:rsid w:val="009E2C4B"/>
    <w:rsid w:val="009E2E0C"/>
    <w:rsid w:val="009E3218"/>
    <w:rsid w:val="009E3248"/>
    <w:rsid w:val="009E3BED"/>
    <w:rsid w:val="009E4506"/>
    <w:rsid w:val="009E455E"/>
    <w:rsid w:val="009E487A"/>
    <w:rsid w:val="009E4FFB"/>
    <w:rsid w:val="009F045D"/>
    <w:rsid w:val="009F0E5F"/>
    <w:rsid w:val="009F1098"/>
    <w:rsid w:val="009F1458"/>
    <w:rsid w:val="009F1D3A"/>
    <w:rsid w:val="009F2C2E"/>
    <w:rsid w:val="009F4190"/>
    <w:rsid w:val="009F4911"/>
    <w:rsid w:val="009F513E"/>
    <w:rsid w:val="009F5241"/>
    <w:rsid w:val="009F6807"/>
    <w:rsid w:val="009F68DF"/>
    <w:rsid w:val="009F6A24"/>
    <w:rsid w:val="00A0042C"/>
    <w:rsid w:val="00A00495"/>
    <w:rsid w:val="00A01368"/>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680"/>
    <w:rsid w:val="00A3658D"/>
    <w:rsid w:val="00A36E51"/>
    <w:rsid w:val="00A377C5"/>
    <w:rsid w:val="00A37B2E"/>
    <w:rsid w:val="00A37D45"/>
    <w:rsid w:val="00A401FD"/>
    <w:rsid w:val="00A40558"/>
    <w:rsid w:val="00A40AF2"/>
    <w:rsid w:val="00A411DC"/>
    <w:rsid w:val="00A433B6"/>
    <w:rsid w:val="00A43904"/>
    <w:rsid w:val="00A4582E"/>
    <w:rsid w:val="00A45BD2"/>
    <w:rsid w:val="00A45DFA"/>
    <w:rsid w:val="00A46A1E"/>
    <w:rsid w:val="00A47CCD"/>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775BE"/>
    <w:rsid w:val="00A80489"/>
    <w:rsid w:val="00A83454"/>
    <w:rsid w:val="00A843FC"/>
    <w:rsid w:val="00A84DA5"/>
    <w:rsid w:val="00A85302"/>
    <w:rsid w:val="00A86119"/>
    <w:rsid w:val="00A8649F"/>
    <w:rsid w:val="00A86D25"/>
    <w:rsid w:val="00A877BD"/>
    <w:rsid w:val="00A8786B"/>
    <w:rsid w:val="00A903F1"/>
    <w:rsid w:val="00A905CC"/>
    <w:rsid w:val="00A90974"/>
    <w:rsid w:val="00A9197E"/>
    <w:rsid w:val="00A91ACB"/>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44F"/>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610D"/>
    <w:rsid w:val="00AB7348"/>
    <w:rsid w:val="00AB7B31"/>
    <w:rsid w:val="00AC13B0"/>
    <w:rsid w:val="00AC1642"/>
    <w:rsid w:val="00AC2FD0"/>
    <w:rsid w:val="00AC3DBD"/>
    <w:rsid w:val="00AC5E85"/>
    <w:rsid w:val="00AD03D8"/>
    <w:rsid w:val="00AD0D5F"/>
    <w:rsid w:val="00AD34CF"/>
    <w:rsid w:val="00AD36C8"/>
    <w:rsid w:val="00AD37C9"/>
    <w:rsid w:val="00AD47D3"/>
    <w:rsid w:val="00AD652F"/>
    <w:rsid w:val="00AD7D05"/>
    <w:rsid w:val="00AE01F6"/>
    <w:rsid w:val="00AE0797"/>
    <w:rsid w:val="00AE16F0"/>
    <w:rsid w:val="00AE2924"/>
    <w:rsid w:val="00AE473C"/>
    <w:rsid w:val="00AE55E7"/>
    <w:rsid w:val="00AE6363"/>
    <w:rsid w:val="00AE6CD6"/>
    <w:rsid w:val="00AE7348"/>
    <w:rsid w:val="00AE7394"/>
    <w:rsid w:val="00AE7CD2"/>
    <w:rsid w:val="00AF0B77"/>
    <w:rsid w:val="00AF10B9"/>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5AF1"/>
    <w:rsid w:val="00B16048"/>
    <w:rsid w:val="00B2028C"/>
    <w:rsid w:val="00B21771"/>
    <w:rsid w:val="00B2191C"/>
    <w:rsid w:val="00B219F3"/>
    <w:rsid w:val="00B21B30"/>
    <w:rsid w:val="00B2231E"/>
    <w:rsid w:val="00B22E76"/>
    <w:rsid w:val="00B23016"/>
    <w:rsid w:val="00B23771"/>
    <w:rsid w:val="00B24EA8"/>
    <w:rsid w:val="00B26625"/>
    <w:rsid w:val="00B26A5A"/>
    <w:rsid w:val="00B2713B"/>
    <w:rsid w:val="00B2769B"/>
    <w:rsid w:val="00B307D2"/>
    <w:rsid w:val="00B308EA"/>
    <w:rsid w:val="00B322BC"/>
    <w:rsid w:val="00B3398B"/>
    <w:rsid w:val="00B33B1E"/>
    <w:rsid w:val="00B362D9"/>
    <w:rsid w:val="00B36B99"/>
    <w:rsid w:val="00B36D20"/>
    <w:rsid w:val="00B36F67"/>
    <w:rsid w:val="00B40633"/>
    <w:rsid w:val="00B44049"/>
    <w:rsid w:val="00B44318"/>
    <w:rsid w:val="00B44C4B"/>
    <w:rsid w:val="00B477CB"/>
    <w:rsid w:val="00B507ED"/>
    <w:rsid w:val="00B508A7"/>
    <w:rsid w:val="00B51B77"/>
    <w:rsid w:val="00B52081"/>
    <w:rsid w:val="00B52695"/>
    <w:rsid w:val="00B52A82"/>
    <w:rsid w:val="00B545AF"/>
    <w:rsid w:val="00B55B09"/>
    <w:rsid w:val="00B56711"/>
    <w:rsid w:val="00B57EF2"/>
    <w:rsid w:val="00B604F3"/>
    <w:rsid w:val="00B6101C"/>
    <w:rsid w:val="00B615ED"/>
    <w:rsid w:val="00B6227B"/>
    <w:rsid w:val="00B63A9D"/>
    <w:rsid w:val="00B64888"/>
    <w:rsid w:val="00B672E3"/>
    <w:rsid w:val="00B675F9"/>
    <w:rsid w:val="00B70849"/>
    <w:rsid w:val="00B72C1C"/>
    <w:rsid w:val="00B73BB7"/>
    <w:rsid w:val="00B751C3"/>
    <w:rsid w:val="00B76AF5"/>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A7449"/>
    <w:rsid w:val="00BB1388"/>
    <w:rsid w:val="00BB2683"/>
    <w:rsid w:val="00BB3E3F"/>
    <w:rsid w:val="00BB40DF"/>
    <w:rsid w:val="00BB5E2C"/>
    <w:rsid w:val="00BB6440"/>
    <w:rsid w:val="00BB7D9E"/>
    <w:rsid w:val="00BC16AC"/>
    <w:rsid w:val="00BC2B7B"/>
    <w:rsid w:val="00BC3290"/>
    <w:rsid w:val="00BC32FD"/>
    <w:rsid w:val="00BC3AE8"/>
    <w:rsid w:val="00BC3AF4"/>
    <w:rsid w:val="00BC43A8"/>
    <w:rsid w:val="00BC5C6D"/>
    <w:rsid w:val="00BC7120"/>
    <w:rsid w:val="00BC76A3"/>
    <w:rsid w:val="00BD00D1"/>
    <w:rsid w:val="00BD07A2"/>
    <w:rsid w:val="00BD2603"/>
    <w:rsid w:val="00BD417D"/>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63A3"/>
    <w:rsid w:val="00C01804"/>
    <w:rsid w:val="00C026BC"/>
    <w:rsid w:val="00C02AD4"/>
    <w:rsid w:val="00C03869"/>
    <w:rsid w:val="00C07988"/>
    <w:rsid w:val="00C07C5E"/>
    <w:rsid w:val="00C10068"/>
    <w:rsid w:val="00C10AC5"/>
    <w:rsid w:val="00C12DAD"/>
    <w:rsid w:val="00C12E17"/>
    <w:rsid w:val="00C14741"/>
    <w:rsid w:val="00C1544B"/>
    <w:rsid w:val="00C1628D"/>
    <w:rsid w:val="00C1665A"/>
    <w:rsid w:val="00C1739F"/>
    <w:rsid w:val="00C177FF"/>
    <w:rsid w:val="00C222FF"/>
    <w:rsid w:val="00C2338E"/>
    <w:rsid w:val="00C23FB0"/>
    <w:rsid w:val="00C24021"/>
    <w:rsid w:val="00C248AF"/>
    <w:rsid w:val="00C24B09"/>
    <w:rsid w:val="00C24BDE"/>
    <w:rsid w:val="00C24E9F"/>
    <w:rsid w:val="00C26939"/>
    <w:rsid w:val="00C31362"/>
    <w:rsid w:val="00C32151"/>
    <w:rsid w:val="00C3217A"/>
    <w:rsid w:val="00C33551"/>
    <w:rsid w:val="00C3357D"/>
    <w:rsid w:val="00C33BE9"/>
    <w:rsid w:val="00C33C13"/>
    <w:rsid w:val="00C348C7"/>
    <w:rsid w:val="00C35B2A"/>
    <w:rsid w:val="00C36742"/>
    <w:rsid w:val="00C374AD"/>
    <w:rsid w:val="00C40DE4"/>
    <w:rsid w:val="00C40E63"/>
    <w:rsid w:val="00C41A06"/>
    <w:rsid w:val="00C41AE0"/>
    <w:rsid w:val="00C4261B"/>
    <w:rsid w:val="00C42BFB"/>
    <w:rsid w:val="00C44DDC"/>
    <w:rsid w:val="00C469F4"/>
    <w:rsid w:val="00C46EDF"/>
    <w:rsid w:val="00C50A61"/>
    <w:rsid w:val="00C5128B"/>
    <w:rsid w:val="00C51423"/>
    <w:rsid w:val="00C5294D"/>
    <w:rsid w:val="00C52F83"/>
    <w:rsid w:val="00C53C84"/>
    <w:rsid w:val="00C54C1B"/>
    <w:rsid w:val="00C54DBA"/>
    <w:rsid w:val="00C57ED3"/>
    <w:rsid w:val="00C61640"/>
    <w:rsid w:val="00C61AA7"/>
    <w:rsid w:val="00C61B8E"/>
    <w:rsid w:val="00C668DE"/>
    <w:rsid w:val="00C7044F"/>
    <w:rsid w:val="00C71881"/>
    <w:rsid w:val="00C718A5"/>
    <w:rsid w:val="00C720F8"/>
    <w:rsid w:val="00C7294B"/>
    <w:rsid w:val="00C75139"/>
    <w:rsid w:val="00C7525C"/>
    <w:rsid w:val="00C76CF7"/>
    <w:rsid w:val="00C83A4C"/>
    <w:rsid w:val="00C83B75"/>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7164"/>
    <w:rsid w:val="00CA796A"/>
    <w:rsid w:val="00CB2575"/>
    <w:rsid w:val="00CB3677"/>
    <w:rsid w:val="00CB368F"/>
    <w:rsid w:val="00CB4C42"/>
    <w:rsid w:val="00CB4DFA"/>
    <w:rsid w:val="00CB6B20"/>
    <w:rsid w:val="00CB7BD7"/>
    <w:rsid w:val="00CC0707"/>
    <w:rsid w:val="00CC4CB6"/>
    <w:rsid w:val="00CC4DB0"/>
    <w:rsid w:val="00CC5038"/>
    <w:rsid w:val="00CC5326"/>
    <w:rsid w:val="00CC7426"/>
    <w:rsid w:val="00CC7602"/>
    <w:rsid w:val="00CC7910"/>
    <w:rsid w:val="00CD0C20"/>
    <w:rsid w:val="00CD297A"/>
    <w:rsid w:val="00CD3DB0"/>
    <w:rsid w:val="00CD4129"/>
    <w:rsid w:val="00CD4AF9"/>
    <w:rsid w:val="00CD5DBB"/>
    <w:rsid w:val="00CD67E7"/>
    <w:rsid w:val="00CD6CED"/>
    <w:rsid w:val="00CD7388"/>
    <w:rsid w:val="00CE130A"/>
    <w:rsid w:val="00CE23CD"/>
    <w:rsid w:val="00CE247A"/>
    <w:rsid w:val="00CE2A1A"/>
    <w:rsid w:val="00CE2F05"/>
    <w:rsid w:val="00CE4A51"/>
    <w:rsid w:val="00CE4F80"/>
    <w:rsid w:val="00CE50E4"/>
    <w:rsid w:val="00CE51E8"/>
    <w:rsid w:val="00CE56A1"/>
    <w:rsid w:val="00CE597D"/>
    <w:rsid w:val="00CE64A5"/>
    <w:rsid w:val="00CE669E"/>
    <w:rsid w:val="00CE66B5"/>
    <w:rsid w:val="00CE6BFE"/>
    <w:rsid w:val="00CE7031"/>
    <w:rsid w:val="00CE7258"/>
    <w:rsid w:val="00CE7AF5"/>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2A8"/>
    <w:rsid w:val="00D404F8"/>
    <w:rsid w:val="00D40559"/>
    <w:rsid w:val="00D405B8"/>
    <w:rsid w:val="00D41493"/>
    <w:rsid w:val="00D4200A"/>
    <w:rsid w:val="00D4267F"/>
    <w:rsid w:val="00D42B7B"/>
    <w:rsid w:val="00D441E9"/>
    <w:rsid w:val="00D44425"/>
    <w:rsid w:val="00D44FC8"/>
    <w:rsid w:val="00D45D8F"/>
    <w:rsid w:val="00D47077"/>
    <w:rsid w:val="00D47B96"/>
    <w:rsid w:val="00D50332"/>
    <w:rsid w:val="00D52B95"/>
    <w:rsid w:val="00D5362B"/>
    <w:rsid w:val="00D53A09"/>
    <w:rsid w:val="00D54AAB"/>
    <w:rsid w:val="00D54DF5"/>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168"/>
    <w:rsid w:val="00D677BB"/>
    <w:rsid w:val="00D70544"/>
    <w:rsid w:val="00D71463"/>
    <w:rsid w:val="00D7194A"/>
    <w:rsid w:val="00D725D4"/>
    <w:rsid w:val="00D72AE4"/>
    <w:rsid w:val="00D73026"/>
    <w:rsid w:val="00D73FA1"/>
    <w:rsid w:val="00D7469D"/>
    <w:rsid w:val="00D7550B"/>
    <w:rsid w:val="00D75EEB"/>
    <w:rsid w:val="00D75F1E"/>
    <w:rsid w:val="00D80F87"/>
    <w:rsid w:val="00D812A5"/>
    <w:rsid w:val="00D82A5C"/>
    <w:rsid w:val="00D82D11"/>
    <w:rsid w:val="00D82EE9"/>
    <w:rsid w:val="00D83CD3"/>
    <w:rsid w:val="00D83E51"/>
    <w:rsid w:val="00D84719"/>
    <w:rsid w:val="00D856EA"/>
    <w:rsid w:val="00D85ACD"/>
    <w:rsid w:val="00D86460"/>
    <w:rsid w:val="00D87F74"/>
    <w:rsid w:val="00D912D5"/>
    <w:rsid w:val="00D91AAF"/>
    <w:rsid w:val="00D94564"/>
    <w:rsid w:val="00D9536E"/>
    <w:rsid w:val="00D9638C"/>
    <w:rsid w:val="00D97426"/>
    <w:rsid w:val="00D97568"/>
    <w:rsid w:val="00DA06B0"/>
    <w:rsid w:val="00DA29BA"/>
    <w:rsid w:val="00DA3249"/>
    <w:rsid w:val="00DA37C7"/>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1957"/>
    <w:rsid w:val="00DD26D0"/>
    <w:rsid w:val="00DD47D5"/>
    <w:rsid w:val="00DD6729"/>
    <w:rsid w:val="00DD74A1"/>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6A67"/>
    <w:rsid w:val="00DF71D8"/>
    <w:rsid w:val="00E00CCA"/>
    <w:rsid w:val="00E01623"/>
    <w:rsid w:val="00E01FD7"/>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12C"/>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233"/>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3F90"/>
    <w:rsid w:val="00E84116"/>
    <w:rsid w:val="00E84C5C"/>
    <w:rsid w:val="00E85533"/>
    <w:rsid w:val="00E86343"/>
    <w:rsid w:val="00E866CD"/>
    <w:rsid w:val="00E877ED"/>
    <w:rsid w:val="00E901FD"/>
    <w:rsid w:val="00E91964"/>
    <w:rsid w:val="00E91FB1"/>
    <w:rsid w:val="00E94379"/>
    <w:rsid w:val="00E94468"/>
    <w:rsid w:val="00E94A0E"/>
    <w:rsid w:val="00E96226"/>
    <w:rsid w:val="00E96DDE"/>
    <w:rsid w:val="00EA04AE"/>
    <w:rsid w:val="00EA062F"/>
    <w:rsid w:val="00EA1266"/>
    <w:rsid w:val="00EA17A9"/>
    <w:rsid w:val="00EA311B"/>
    <w:rsid w:val="00EA36CA"/>
    <w:rsid w:val="00EA3D9C"/>
    <w:rsid w:val="00EA43C0"/>
    <w:rsid w:val="00EA4CB0"/>
    <w:rsid w:val="00EA566F"/>
    <w:rsid w:val="00EB2857"/>
    <w:rsid w:val="00EB30B7"/>
    <w:rsid w:val="00EB3F8A"/>
    <w:rsid w:val="00EB4111"/>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4EC5"/>
    <w:rsid w:val="00ED5A40"/>
    <w:rsid w:val="00ED5F21"/>
    <w:rsid w:val="00ED602C"/>
    <w:rsid w:val="00ED62B5"/>
    <w:rsid w:val="00ED6DDB"/>
    <w:rsid w:val="00ED7486"/>
    <w:rsid w:val="00ED7555"/>
    <w:rsid w:val="00ED7985"/>
    <w:rsid w:val="00EE270D"/>
    <w:rsid w:val="00EE6989"/>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0FE8"/>
    <w:rsid w:val="00F11800"/>
    <w:rsid w:val="00F11B61"/>
    <w:rsid w:val="00F12942"/>
    <w:rsid w:val="00F135D6"/>
    <w:rsid w:val="00F13922"/>
    <w:rsid w:val="00F13DBC"/>
    <w:rsid w:val="00F15FCF"/>
    <w:rsid w:val="00F16613"/>
    <w:rsid w:val="00F20706"/>
    <w:rsid w:val="00F21496"/>
    <w:rsid w:val="00F21E77"/>
    <w:rsid w:val="00F24D27"/>
    <w:rsid w:val="00F2520C"/>
    <w:rsid w:val="00F25BCB"/>
    <w:rsid w:val="00F25ECC"/>
    <w:rsid w:val="00F264C1"/>
    <w:rsid w:val="00F26D7F"/>
    <w:rsid w:val="00F27305"/>
    <w:rsid w:val="00F30790"/>
    <w:rsid w:val="00F30867"/>
    <w:rsid w:val="00F31570"/>
    <w:rsid w:val="00F31A51"/>
    <w:rsid w:val="00F33355"/>
    <w:rsid w:val="00F34363"/>
    <w:rsid w:val="00F34CE9"/>
    <w:rsid w:val="00F354B9"/>
    <w:rsid w:val="00F35705"/>
    <w:rsid w:val="00F35B93"/>
    <w:rsid w:val="00F35CA1"/>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1A64"/>
    <w:rsid w:val="00F53775"/>
    <w:rsid w:val="00F539A6"/>
    <w:rsid w:val="00F54409"/>
    <w:rsid w:val="00F55E0E"/>
    <w:rsid w:val="00F5611D"/>
    <w:rsid w:val="00F56597"/>
    <w:rsid w:val="00F56E3E"/>
    <w:rsid w:val="00F574D0"/>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3157"/>
    <w:rsid w:val="00F74408"/>
    <w:rsid w:val="00F75896"/>
    <w:rsid w:val="00F76666"/>
    <w:rsid w:val="00F76ECB"/>
    <w:rsid w:val="00F76EF7"/>
    <w:rsid w:val="00F776B7"/>
    <w:rsid w:val="00F77758"/>
    <w:rsid w:val="00F77BDB"/>
    <w:rsid w:val="00F800B2"/>
    <w:rsid w:val="00F8031F"/>
    <w:rsid w:val="00F80C5C"/>
    <w:rsid w:val="00F818A5"/>
    <w:rsid w:val="00F8197C"/>
    <w:rsid w:val="00F8422A"/>
    <w:rsid w:val="00F8465D"/>
    <w:rsid w:val="00F848B3"/>
    <w:rsid w:val="00F85755"/>
    <w:rsid w:val="00F86A0B"/>
    <w:rsid w:val="00F87431"/>
    <w:rsid w:val="00F8765C"/>
    <w:rsid w:val="00F87A53"/>
    <w:rsid w:val="00F9031B"/>
    <w:rsid w:val="00F91DA4"/>
    <w:rsid w:val="00F92728"/>
    <w:rsid w:val="00F937AF"/>
    <w:rsid w:val="00F94494"/>
    <w:rsid w:val="00F94C05"/>
    <w:rsid w:val="00F954EF"/>
    <w:rsid w:val="00F96483"/>
    <w:rsid w:val="00F9648C"/>
    <w:rsid w:val="00F96671"/>
    <w:rsid w:val="00F9680E"/>
    <w:rsid w:val="00F96E21"/>
    <w:rsid w:val="00FA00AF"/>
    <w:rsid w:val="00FA0A0A"/>
    <w:rsid w:val="00FA0C9D"/>
    <w:rsid w:val="00FA169B"/>
    <w:rsid w:val="00FA29C1"/>
    <w:rsid w:val="00FA2C4B"/>
    <w:rsid w:val="00FA4242"/>
    <w:rsid w:val="00FA5CC6"/>
    <w:rsid w:val="00FA64D5"/>
    <w:rsid w:val="00FA6760"/>
    <w:rsid w:val="00FA70F6"/>
    <w:rsid w:val="00FA7420"/>
    <w:rsid w:val="00FA756C"/>
    <w:rsid w:val="00FA75E4"/>
    <w:rsid w:val="00FA776B"/>
    <w:rsid w:val="00FB0AB1"/>
    <w:rsid w:val="00FB2BEF"/>
    <w:rsid w:val="00FB36CA"/>
    <w:rsid w:val="00FB46D7"/>
    <w:rsid w:val="00FB5344"/>
    <w:rsid w:val="00FB5A13"/>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D15"/>
    <w:rsid w:val="00FD6E54"/>
    <w:rsid w:val="00FE01B5"/>
    <w:rsid w:val="00FE03BB"/>
    <w:rsid w:val="00FE0BF0"/>
    <w:rsid w:val="00FE15A2"/>
    <w:rsid w:val="00FE24FB"/>
    <w:rsid w:val="00FE3B37"/>
    <w:rsid w:val="00FE4B40"/>
    <w:rsid w:val="00FE5DC4"/>
    <w:rsid w:val="00FE5E87"/>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7CE796"/>
  <w15:docId w15:val="{7CF293F0-9DA2-4CF0-BD06-1A4108753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abic Typesetting" w:eastAsia="Times New Roman" w:hAnsi="Arabic Typesetting" w:cs="Arabic Typesetting"/>
        <w:sz w:val="36"/>
        <w:szCs w:val="36"/>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2" w:unhideWhenUsed="1"/>
    <w:lsdException w:name="List 3" w:unhideWhenUsed="1"/>
    <w:lsdException w:name="List Bullet 2" w:semiHidden="1"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lsdException w:name="Body Text Indent" w:semiHidden="1"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E7AF5"/>
    <w:pPr>
      <w:bidi/>
    </w:pPr>
  </w:style>
  <w:style w:type="paragraph" w:styleId="Heading1">
    <w:name w:val="heading 1"/>
    <w:basedOn w:val="Normal"/>
    <w:next w:val="BodyText"/>
    <w:link w:val="Heading1Char"/>
    <w:semiHidden/>
    <w:qFormat/>
    <w:rsid w:val="00FD6D15"/>
    <w:pPr>
      <w:spacing w:line="360" w:lineRule="auto"/>
      <w:outlineLvl w:val="0"/>
    </w:pPr>
    <w:rPr>
      <w:rFonts w:ascii="Arial Black" w:hAnsi="Arial Black" w:cs="PT Bold Heading"/>
      <w:sz w:val="34"/>
      <w:szCs w:val="34"/>
    </w:rPr>
  </w:style>
  <w:style w:type="paragraph" w:styleId="Heading2">
    <w:name w:val="heading 2"/>
    <w:basedOn w:val="Normal"/>
    <w:next w:val="BodyText"/>
    <w:link w:val="Heading2Char"/>
    <w:qFormat/>
    <w:rsid w:val="00ED7555"/>
    <w:pPr>
      <w:keepNext/>
      <w:spacing w:before="200"/>
      <w:outlineLvl w:val="1"/>
    </w:pPr>
    <w:rPr>
      <w:b/>
      <w:bCs/>
      <w:sz w:val="40"/>
      <w:szCs w:val="40"/>
    </w:rPr>
  </w:style>
  <w:style w:type="paragraph" w:styleId="Heading3">
    <w:name w:val="heading 3"/>
    <w:basedOn w:val="Normal"/>
    <w:next w:val="BodyText"/>
    <w:link w:val="Heading3Char"/>
    <w:qFormat/>
    <w:rsid w:val="00ED7555"/>
    <w:pPr>
      <w:keepNext/>
      <w:spacing w:before="200"/>
      <w:outlineLvl w:val="2"/>
    </w:pPr>
    <w:rPr>
      <w:sz w:val="40"/>
      <w:szCs w:val="40"/>
    </w:rPr>
  </w:style>
  <w:style w:type="paragraph" w:styleId="Heading4">
    <w:name w:val="heading 4"/>
    <w:basedOn w:val="Normal"/>
    <w:next w:val="BodyText"/>
    <w:link w:val="Heading4Char"/>
    <w:qFormat/>
    <w:rsid w:val="00FD6D15"/>
    <w:pPr>
      <w:keepNext/>
      <w:spacing w:before="200"/>
      <w:outlineLvl w:val="3"/>
    </w:pPr>
    <w:rPr>
      <w:u w:val="single"/>
    </w:rPr>
  </w:style>
  <w:style w:type="paragraph" w:styleId="Heading5">
    <w:name w:val="heading 5"/>
    <w:basedOn w:val="Normal"/>
    <w:next w:val="BodyText"/>
    <w:link w:val="Heading5Char"/>
    <w:qFormat/>
    <w:rsid w:val="00FD6D15"/>
    <w:pPr>
      <w:keepNext/>
      <w:spacing w:before="200"/>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link w:val="FootnoteTextChar"/>
    <w:uiPriority w:val="99"/>
    <w:rsid w:val="00874721"/>
    <w:pPr>
      <w:bidi/>
    </w:pPr>
    <w:rPr>
      <w:sz w:val="28"/>
      <w:szCs w:val="28"/>
      <w:lang w:bidi="ar-EG"/>
    </w:rPr>
  </w:style>
  <w:style w:type="character" w:customStyle="1" w:styleId="Heading1Char">
    <w:name w:val="Heading 1 Char"/>
    <w:basedOn w:val="DefaultParagraphFont"/>
    <w:link w:val="Heading1"/>
    <w:semiHidden/>
    <w:rsid w:val="009B7572"/>
    <w:rPr>
      <w:rFonts w:ascii="Arial Black" w:hAnsi="Arial Black" w:cs="PT Bold Heading"/>
      <w:sz w:val="34"/>
      <w:szCs w:val="34"/>
    </w:rPr>
  </w:style>
  <w:style w:type="paragraph" w:styleId="EndnoteText">
    <w:name w:val="endnote text"/>
    <w:basedOn w:val="Normal"/>
    <w:semiHidden/>
    <w:rsid w:val="00744889"/>
    <w:rPr>
      <w:sz w:val="18"/>
    </w:rPr>
  </w:style>
  <w:style w:type="paragraph" w:styleId="Caption">
    <w:name w:val="caption"/>
    <w:basedOn w:val="Normal"/>
    <w:next w:val="Normal"/>
    <w:semiHidden/>
    <w:qFormat/>
    <w:rsid w:val="00744889"/>
    <w:rPr>
      <w:b/>
      <w:bCs/>
      <w:sz w:val="18"/>
    </w:rPr>
  </w:style>
  <w:style w:type="paragraph" w:styleId="CommentText">
    <w:name w:val="annotation text"/>
    <w:basedOn w:val="Normal"/>
    <w:link w:val="CommentTextChar"/>
    <w:semiHidden/>
    <w:rsid w:val="00744889"/>
    <w:rPr>
      <w:sz w:val="18"/>
    </w:rPr>
  </w:style>
  <w:style w:type="character" w:customStyle="1" w:styleId="Heading2Char">
    <w:name w:val="Heading 2 Char"/>
    <w:basedOn w:val="DefaultParagraphFont"/>
    <w:link w:val="Heading2"/>
    <w:rsid w:val="00ED7555"/>
    <w:rPr>
      <w:b/>
      <w:bCs/>
      <w:sz w:val="40"/>
      <w:szCs w:val="40"/>
    </w:rPr>
  </w:style>
  <w:style w:type="paragraph" w:styleId="ListNumber">
    <w:name w:val="List Number"/>
    <w:basedOn w:val="Normal"/>
    <w:semiHidden/>
    <w:rsid w:val="00C50A61"/>
    <w:pPr>
      <w:numPr>
        <w:numId w:val="6"/>
      </w:numPr>
      <w:spacing w:before="200"/>
      <w:ind w:left="1134" w:hanging="1134"/>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874721"/>
    <w:rPr>
      <w:rFonts w:ascii="Arabic Typesetting" w:hAnsi="Arabic Typesetting" w:cs="Arabic Typesetting"/>
      <w:sz w:val="36"/>
      <w:szCs w:val="36"/>
      <w:vertAlign w:val="superscript"/>
    </w:rPr>
  </w:style>
  <w:style w:type="character" w:customStyle="1" w:styleId="Heading3Char">
    <w:name w:val="Heading 3 Char"/>
    <w:basedOn w:val="DefaultParagraphFont"/>
    <w:link w:val="Heading3"/>
    <w:rsid w:val="00ED7555"/>
    <w:rPr>
      <w:sz w:val="40"/>
      <w:szCs w:val="40"/>
    </w:rPr>
  </w:style>
  <w:style w:type="character" w:customStyle="1" w:styleId="Heading4Char">
    <w:name w:val="Heading 4 Char"/>
    <w:basedOn w:val="DefaultParagraphFont"/>
    <w:link w:val="Heading4"/>
    <w:rsid w:val="00FD6D15"/>
    <w:rPr>
      <w:u w:val="single"/>
    </w:rPr>
  </w:style>
  <w:style w:type="character" w:customStyle="1" w:styleId="Heading5Char">
    <w:name w:val="Heading 5 Char"/>
    <w:basedOn w:val="DefaultParagraphFont"/>
    <w:link w:val="Heading5"/>
    <w:rsid w:val="00FD6D15"/>
    <w:rPr>
      <w:i/>
      <w:iCs/>
    </w:rPr>
  </w:style>
  <w:style w:type="paragraph" w:customStyle="1" w:styleId="Endofdocument-Annex">
    <w:name w:val="[End of document - Annex]"/>
    <w:basedOn w:val="Normal"/>
    <w:next w:val="Normal"/>
    <w:rsid w:val="00B76AF5"/>
    <w:pPr>
      <w:spacing w:before="200"/>
      <w:ind w:left="5534"/>
    </w:pPr>
  </w:style>
  <w:style w:type="paragraph" w:styleId="BalloonText">
    <w:name w:val="Balloon Text"/>
    <w:basedOn w:val="Normal"/>
    <w:link w:val="BalloonTextChar"/>
    <w:semiHidden/>
    <w:rsid w:val="0023693F"/>
    <w:rPr>
      <w:rFonts w:ascii="Tahoma" w:hAnsi="Tahoma" w:cs="Tahoma"/>
      <w:sz w:val="16"/>
      <w:szCs w:val="16"/>
    </w:rPr>
  </w:style>
  <w:style w:type="character" w:customStyle="1" w:styleId="BalloonTextChar">
    <w:name w:val="Balloon Text Char"/>
    <w:basedOn w:val="DefaultParagraphFont"/>
    <w:link w:val="BalloonText"/>
    <w:semiHidden/>
    <w:rsid w:val="00DA37C7"/>
    <w:rPr>
      <w:rFonts w:ascii="Tahoma" w:hAnsi="Tahoma" w:cs="Tahoma"/>
      <w:sz w:val="16"/>
      <w:szCs w:val="16"/>
      <w:lang w:bidi="ar-EG"/>
    </w:rPr>
  </w:style>
  <w:style w:type="paragraph" w:customStyle="1" w:styleId="Decision">
    <w:name w:val="Decision"/>
    <w:basedOn w:val="ONUMA"/>
    <w:uiPriority w:val="1"/>
    <w:qFormat/>
    <w:rsid w:val="00235DAE"/>
    <w:pPr>
      <w:ind w:left="5534"/>
    </w:pPr>
    <w:rPr>
      <w:i/>
      <w:iCs/>
    </w:rPr>
  </w:style>
  <w:style w:type="paragraph" w:customStyle="1" w:styleId="ONUMA">
    <w:name w:val="ONUM A"/>
    <w:basedOn w:val="BodyText"/>
    <w:rsid w:val="00591AF0"/>
    <w:pPr>
      <w:numPr>
        <w:numId w:val="24"/>
      </w:numPr>
    </w:pPr>
    <w:rPr>
      <w:rFonts w:eastAsia="SimSun"/>
      <w:lang w:eastAsia="zh-CN" w:bidi="ar-SA"/>
    </w:rPr>
  </w:style>
  <w:style w:type="paragraph" w:styleId="BodyText">
    <w:name w:val="Body Text"/>
    <w:link w:val="BodyTextChar"/>
    <w:uiPriority w:val="1"/>
    <w:rsid w:val="00BB6440"/>
    <w:pPr>
      <w:bidi/>
      <w:spacing w:before="200"/>
    </w:pPr>
    <w:rPr>
      <w:lang w:bidi="ar-EG"/>
    </w:rPr>
  </w:style>
  <w:style w:type="character" w:customStyle="1" w:styleId="BodyTextChar">
    <w:name w:val="Body Text Char"/>
    <w:basedOn w:val="DefaultParagraphFont"/>
    <w:link w:val="BodyText"/>
    <w:uiPriority w:val="1"/>
    <w:rsid w:val="00DA37C7"/>
    <w:rPr>
      <w:rFonts w:ascii="Arabic Typesetting" w:hAnsi="Arabic Typesetting" w:cs="Arabic Typesetting"/>
      <w:sz w:val="36"/>
      <w:szCs w:val="36"/>
      <w:lang w:bidi="ar-EG"/>
    </w:rPr>
  </w:style>
  <w:style w:type="character" w:customStyle="1" w:styleId="FootnoteTextChar">
    <w:name w:val="Footnote Text Char"/>
    <w:basedOn w:val="DefaultParagraphFont"/>
    <w:link w:val="FootnoteText"/>
    <w:uiPriority w:val="99"/>
    <w:rsid w:val="00874721"/>
    <w:rPr>
      <w:rFonts w:ascii="Arabic Typesetting" w:hAnsi="Arabic Typesetting" w:cs="Arabic Typesetting"/>
      <w:sz w:val="28"/>
      <w:szCs w:val="28"/>
      <w:lang w:bidi="ar-EG"/>
    </w:rPr>
  </w:style>
  <w:style w:type="character" w:styleId="Hyperlink">
    <w:name w:val="Hyperlink"/>
    <w:basedOn w:val="DefaultParagraphFont"/>
    <w:uiPriority w:val="99"/>
    <w:semiHidden/>
    <w:rsid w:val="003F7284"/>
    <w:rPr>
      <w:color w:val="0000FF" w:themeColor="hyperlink"/>
      <w:u w:val="single"/>
    </w:rPr>
  </w:style>
  <w:style w:type="character" w:customStyle="1" w:styleId="CommentTextChar">
    <w:name w:val="Comment Text Char"/>
    <w:basedOn w:val="DefaultParagraphFont"/>
    <w:link w:val="CommentText"/>
    <w:semiHidden/>
    <w:rsid w:val="00321CC6"/>
    <w:rPr>
      <w:rFonts w:ascii="Arial" w:hAnsi="Arial" w:cs="Arabic Typesetting"/>
      <w:sz w:val="18"/>
      <w:szCs w:val="36"/>
      <w:lang w:bidi="ar-EG"/>
    </w:rPr>
  </w:style>
  <w:style w:type="paragraph" w:styleId="TOC1">
    <w:name w:val="toc 1"/>
    <w:basedOn w:val="Normal"/>
    <w:next w:val="Normal"/>
    <w:autoRedefine/>
    <w:uiPriority w:val="39"/>
    <w:semiHidden/>
    <w:rsid w:val="00DA37C7"/>
    <w:pPr>
      <w:tabs>
        <w:tab w:val="right" w:leader="dot" w:pos="9345"/>
      </w:tabs>
      <w:spacing w:after="120"/>
    </w:pPr>
    <w:rPr>
      <w:b/>
      <w:bCs/>
      <w:noProof/>
    </w:rPr>
  </w:style>
  <w:style w:type="paragraph" w:styleId="TOC2">
    <w:name w:val="toc 2"/>
    <w:basedOn w:val="Normal"/>
    <w:next w:val="Normal"/>
    <w:autoRedefine/>
    <w:uiPriority w:val="39"/>
    <w:semiHidden/>
    <w:rsid w:val="00DA37C7"/>
    <w:pPr>
      <w:tabs>
        <w:tab w:val="right" w:leader="dot" w:pos="9345"/>
      </w:tabs>
      <w:spacing w:after="120"/>
      <w:ind w:left="284"/>
    </w:pPr>
  </w:style>
  <w:style w:type="paragraph" w:styleId="TOC3">
    <w:name w:val="toc 3"/>
    <w:basedOn w:val="Normal"/>
    <w:next w:val="Normal"/>
    <w:autoRedefine/>
    <w:uiPriority w:val="39"/>
    <w:semiHidden/>
    <w:rsid w:val="00DA37C7"/>
    <w:pPr>
      <w:tabs>
        <w:tab w:val="right" w:leader="dot" w:pos="9345"/>
      </w:tabs>
      <w:spacing w:after="120"/>
      <w:ind w:left="567"/>
    </w:pPr>
  </w:style>
  <w:style w:type="paragraph" w:styleId="TOC4">
    <w:name w:val="toc 4"/>
    <w:basedOn w:val="Normal"/>
    <w:next w:val="Normal"/>
    <w:autoRedefine/>
    <w:uiPriority w:val="39"/>
    <w:semiHidden/>
    <w:rsid w:val="00DA37C7"/>
    <w:pPr>
      <w:tabs>
        <w:tab w:val="right" w:leader="dot" w:pos="9345"/>
      </w:tabs>
      <w:spacing w:after="120"/>
      <w:ind w:left="851"/>
    </w:pPr>
  </w:style>
  <w:style w:type="paragraph" w:styleId="TOC5">
    <w:name w:val="toc 5"/>
    <w:basedOn w:val="Normal"/>
    <w:next w:val="Normal"/>
    <w:autoRedefine/>
    <w:uiPriority w:val="39"/>
    <w:semiHidden/>
    <w:rsid w:val="00DA37C7"/>
    <w:pPr>
      <w:tabs>
        <w:tab w:val="right" w:leader="dot" w:pos="9345"/>
      </w:tabs>
      <w:spacing w:after="120"/>
      <w:ind w:left="1134"/>
    </w:pPr>
  </w:style>
  <w:style w:type="paragraph" w:styleId="TOCHeading">
    <w:name w:val="TOC Heading"/>
    <w:basedOn w:val="Heading1"/>
    <w:next w:val="Normal"/>
    <w:uiPriority w:val="39"/>
    <w:semiHidden/>
    <w:unhideWhenUsed/>
    <w:qFormat/>
    <w:rsid w:val="005442C1"/>
    <w:pPr>
      <w:keepLines/>
      <w:bidi w:val="0"/>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List">
    <w:name w:val="List"/>
    <w:basedOn w:val="Normal"/>
    <w:semiHidden/>
    <w:rsid w:val="0073551B"/>
    <w:pPr>
      <w:spacing w:before="200"/>
      <w:ind w:left="284" w:hanging="284"/>
    </w:pPr>
  </w:style>
  <w:style w:type="paragraph" w:styleId="BodyTextFirstIndent">
    <w:name w:val="Body Text First Indent"/>
    <w:basedOn w:val="BodyText"/>
    <w:link w:val="BodyTextFirstIndentChar"/>
    <w:rsid w:val="00D47077"/>
    <w:pPr>
      <w:ind w:left="567"/>
    </w:pPr>
  </w:style>
  <w:style w:type="character" w:customStyle="1" w:styleId="BodyTextFirstIndentChar">
    <w:name w:val="Body Text First Indent Char"/>
    <w:basedOn w:val="BodyTextChar"/>
    <w:link w:val="BodyTextFirstIndent"/>
    <w:rsid w:val="00D47077"/>
    <w:rPr>
      <w:rFonts w:ascii="Arabic Typesetting" w:hAnsi="Arabic Typesetting" w:cs="Arabic Typesetting"/>
      <w:sz w:val="36"/>
      <w:szCs w:val="36"/>
      <w:lang w:bidi="ar-EG"/>
    </w:rPr>
  </w:style>
  <w:style w:type="paragraph" w:styleId="ListBullet">
    <w:name w:val="List Bullet"/>
    <w:basedOn w:val="Normal"/>
    <w:rsid w:val="000A6D68"/>
    <w:pPr>
      <w:numPr>
        <w:numId w:val="12"/>
      </w:numPr>
      <w:tabs>
        <w:tab w:val="clear" w:pos="360"/>
      </w:tabs>
      <w:spacing w:before="200"/>
      <w:ind w:left="1134" w:hanging="567"/>
    </w:pPr>
  </w:style>
  <w:style w:type="paragraph" w:styleId="BodyTextIndent">
    <w:name w:val="Body Text Indent"/>
    <w:basedOn w:val="Normal"/>
    <w:link w:val="BodyTextIndentChar"/>
    <w:semiHidden/>
    <w:rsid w:val="0073551B"/>
    <w:pPr>
      <w:spacing w:after="120"/>
      <w:ind w:left="283"/>
    </w:pPr>
  </w:style>
  <w:style w:type="character" w:customStyle="1" w:styleId="BodyTextIndentChar">
    <w:name w:val="Body Text Indent Char"/>
    <w:basedOn w:val="DefaultParagraphFont"/>
    <w:link w:val="BodyTextIndent"/>
    <w:semiHidden/>
    <w:rsid w:val="00D47077"/>
  </w:style>
  <w:style w:type="paragraph" w:styleId="BodyTextFirstIndent2">
    <w:name w:val="Body Text First Indent 2"/>
    <w:basedOn w:val="BodyTextIndent"/>
    <w:link w:val="BodyTextFirstIndent2Char"/>
    <w:semiHidden/>
    <w:rsid w:val="00D47077"/>
    <w:pPr>
      <w:spacing w:before="200" w:after="0"/>
      <w:ind w:left="567"/>
    </w:pPr>
  </w:style>
  <w:style w:type="character" w:customStyle="1" w:styleId="BodyTextFirstIndent2Char">
    <w:name w:val="Body Text First Indent 2 Char"/>
    <w:basedOn w:val="BodyTextIndentChar"/>
    <w:link w:val="BodyTextFirstIndent2"/>
    <w:semiHidden/>
    <w:rsid w:val="00D47077"/>
  </w:style>
  <w:style w:type="paragraph" w:styleId="ListBullet2">
    <w:name w:val="List Bullet 2"/>
    <w:basedOn w:val="Normal"/>
    <w:semiHidden/>
    <w:rsid w:val="00C50A61"/>
    <w:pPr>
      <w:numPr>
        <w:numId w:val="13"/>
      </w:numPr>
      <w:tabs>
        <w:tab w:val="clear" w:pos="643"/>
      </w:tabs>
      <w:spacing w:before="200"/>
      <w:ind w:left="1701" w:hanging="567"/>
    </w:pPr>
  </w:style>
  <w:style w:type="paragraph" w:styleId="List2">
    <w:name w:val="List 2"/>
    <w:basedOn w:val="Normal"/>
    <w:semiHidden/>
    <w:rsid w:val="0073551B"/>
    <w:pPr>
      <w:spacing w:before="200"/>
      <w:ind w:left="568" w:hanging="284"/>
    </w:pPr>
  </w:style>
  <w:style w:type="paragraph" w:styleId="List3">
    <w:name w:val="List 3"/>
    <w:basedOn w:val="Normal"/>
    <w:semiHidden/>
    <w:rsid w:val="0073551B"/>
    <w:pPr>
      <w:spacing w:before="200"/>
      <w:ind w:left="1134" w:hanging="567"/>
    </w:pPr>
  </w:style>
  <w:style w:type="paragraph" w:styleId="List4">
    <w:name w:val="List 4"/>
    <w:basedOn w:val="Normal"/>
    <w:semiHidden/>
    <w:rsid w:val="0073551B"/>
    <w:pPr>
      <w:spacing w:before="200"/>
      <w:ind w:left="1418" w:hanging="567"/>
    </w:pPr>
  </w:style>
  <w:style w:type="paragraph" w:styleId="List5">
    <w:name w:val="List 5"/>
    <w:basedOn w:val="Normal"/>
    <w:semiHidden/>
    <w:rsid w:val="0073551B"/>
    <w:pPr>
      <w:spacing w:before="200"/>
      <w:ind w:left="1701" w:hanging="567"/>
    </w:pPr>
  </w:style>
  <w:style w:type="paragraph" w:styleId="ListBullet3">
    <w:name w:val="List Bullet 3"/>
    <w:basedOn w:val="Normal"/>
    <w:semiHidden/>
    <w:rsid w:val="00C50A61"/>
    <w:pPr>
      <w:numPr>
        <w:numId w:val="14"/>
      </w:numPr>
      <w:spacing w:before="200"/>
      <w:ind w:left="2268" w:hanging="567"/>
    </w:pPr>
  </w:style>
  <w:style w:type="paragraph" w:styleId="ListBullet4">
    <w:name w:val="List Bullet 4"/>
    <w:basedOn w:val="Normal"/>
    <w:semiHidden/>
    <w:rsid w:val="00C50A61"/>
    <w:pPr>
      <w:numPr>
        <w:numId w:val="15"/>
      </w:numPr>
      <w:tabs>
        <w:tab w:val="clear" w:pos="1209"/>
      </w:tabs>
      <w:spacing w:before="200"/>
      <w:ind w:left="2835" w:hanging="567"/>
    </w:pPr>
  </w:style>
  <w:style w:type="paragraph" w:styleId="ListBullet5">
    <w:name w:val="List Bullet 5"/>
    <w:basedOn w:val="Normal"/>
    <w:semiHidden/>
    <w:rsid w:val="00C50A61"/>
    <w:pPr>
      <w:numPr>
        <w:numId w:val="16"/>
      </w:numPr>
      <w:tabs>
        <w:tab w:val="clear" w:pos="1492"/>
      </w:tabs>
      <w:spacing w:before="200"/>
      <w:ind w:left="3402" w:hanging="567"/>
    </w:pPr>
  </w:style>
  <w:style w:type="paragraph" w:styleId="ListNumber5">
    <w:name w:val="List Number 5"/>
    <w:basedOn w:val="Normal"/>
    <w:semiHidden/>
    <w:rsid w:val="00C50A61"/>
    <w:pPr>
      <w:numPr>
        <w:numId w:val="20"/>
      </w:numPr>
      <w:tabs>
        <w:tab w:val="clear" w:pos="1492"/>
      </w:tabs>
      <w:spacing w:before="200"/>
      <w:ind w:left="3401" w:hanging="567"/>
    </w:pPr>
  </w:style>
  <w:style w:type="paragraph" w:styleId="ListContinue">
    <w:name w:val="List Continue"/>
    <w:basedOn w:val="Normal"/>
    <w:semiHidden/>
    <w:rsid w:val="00C50A61"/>
    <w:pPr>
      <w:spacing w:after="120"/>
      <w:ind w:left="283"/>
      <w:contextualSpacing/>
    </w:pPr>
  </w:style>
  <w:style w:type="paragraph" w:styleId="ListContinue2">
    <w:name w:val="List Continue 2"/>
    <w:basedOn w:val="Normal"/>
    <w:semiHidden/>
    <w:rsid w:val="00C50A61"/>
    <w:pPr>
      <w:spacing w:after="120"/>
      <w:ind w:left="566"/>
      <w:contextualSpacing/>
    </w:pPr>
  </w:style>
  <w:style w:type="paragraph" w:styleId="ListContinue3">
    <w:name w:val="List Continue 3"/>
    <w:basedOn w:val="Normal"/>
    <w:semiHidden/>
    <w:rsid w:val="00C50A61"/>
    <w:pPr>
      <w:spacing w:after="120"/>
      <w:ind w:left="849"/>
      <w:contextualSpacing/>
    </w:pPr>
  </w:style>
  <w:style w:type="paragraph" w:styleId="ListContinue4">
    <w:name w:val="List Continue 4"/>
    <w:basedOn w:val="Normal"/>
    <w:semiHidden/>
    <w:rsid w:val="00C50A61"/>
    <w:pPr>
      <w:spacing w:after="120"/>
      <w:ind w:left="1132"/>
      <w:contextualSpacing/>
    </w:pPr>
  </w:style>
  <w:style w:type="paragraph" w:styleId="ListContinue5">
    <w:name w:val="List Continue 5"/>
    <w:basedOn w:val="Normal"/>
    <w:semiHidden/>
    <w:rsid w:val="00C50A61"/>
    <w:pPr>
      <w:spacing w:after="120"/>
      <w:ind w:left="1415"/>
      <w:contextualSpacing/>
    </w:pPr>
  </w:style>
  <w:style w:type="paragraph" w:styleId="ListNumber2">
    <w:name w:val="List Number 2"/>
    <w:basedOn w:val="Normal"/>
    <w:semiHidden/>
    <w:rsid w:val="00C50A61"/>
    <w:pPr>
      <w:numPr>
        <w:numId w:val="17"/>
      </w:numPr>
      <w:tabs>
        <w:tab w:val="clear" w:pos="643"/>
      </w:tabs>
      <w:spacing w:before="200"/>
      <w:ind w:left="1701" w:hanging="567"/>
    </w:pPr>
  </w:style>
  <w:style w:type="paragraph" w:styleId="ListNumber3">
    <w:name w:val="List Number 3"/>
    <w:basedOn w:val="Normal"/>
    <w:semiHidden/>
    <w:rsid w:val="00C50A61"/>
    <w:pPr>
      <w:numPr>
        <w:numId w:val="18"/>
      </w:numPr>
      <w:tabs>
        <w:tab w:val="clear" w:pos="926"/>
      </w:tabs>
      <w:spacing w:before="200"/>
      <w:ind w:left="2267" w:hanging="567"/>
    </w:pPr>
  </w:style>
  <w:style w:type="paragraph" w:styleId="ListNumber4">
    <w:name w:val="List Number 4"/>
    <w:basedOn w:val="Normal"/>
    <w:semiHidden/>
    <w:rsid w:val="00C50A61"/>
    <w:pPr>
      <w:numPr>
        <w:numId w:val="19"/>
      </w:numPr>
      <w:tabs>
        <w:tab w:val="clear" w:pos="1209"/>
      </w:tabs>
      <w:spacing w:before="200"/>
      <w:ind w:left="2834" w:hanging="567"/>
    </w:pPr>
  </w:style>
  <w:style w:type="paragraph" w:customStyle="1" w:styleId="indent1">
    <w:name w:val="indent &quot;1&quot;"/>
    <w:basedOn w:val="BodyText"/>
    <w:qFormat/>
    <w:rsid w:val="00E3612C"/>
    <w:pPr>
      <w:numPr>
        <w:numId w:val="44"/>
      </w:numPr>
    </w:pPr>
  </w:style>
  <w:style w:type="paragraph" w:customStyle="1" w:styleId="ONUME">
    <w:name w:val="ONUM E"/>
    <w:basedOn w:val="BodyText"/>
    <w:rsid w:val="00EB4111"/>
    <w:pPr>
      <w:tabs>
        <w:tab w:val="num" w:pos="567"/>
        <w:tab w:val="num" w:pos="2457"/>
      </w:tabs>
      <w:bidi w:val="0"/>
      <w:spacing w:before="0" w:after="220"/>
    </w:pPr>
    <w:rPr>
      <w:rFonts w:ascii="Arial" w:eastAsia="SimSun" w:hAnsi="Arial" w:cs="Arial"/>
      <w:sz w:val="22"/>
      <w:szCs w:val="20"/>
      <w:lang w:eastAsia="zh-CN" w:bidi="ar-SA"/>
    </w:rPr>
  </w:style>
  <w:style w:type="paragraph" w:customStyle="1" w:styleId="Default">
    <w:name w:val="Default"/>
    <w:rsid w:val="00EB4111"/>
    <w:pPr>
      <w:autoSpaceDE w:val="0"/>
      <w:autoSpaceDN w:val="0"/>
      <w:adjustRightInd w:val="0"/>
    </w:pPr>
    <w:rPr>
      <w:rFonts w:ascii="Arial" w:eastAsiaTheme="minorHAnsi" w:hAnsi="Arial" w:cs="Arial"/>
      <w:color w:val="000000"/>
      <w:sz w:val="24"/>
      <w:szCs w:val="24"/>
      <w:lang w:eastAsia="ar-SA"/>
    </w:rPr>
  </w:style>
  <w:style w:type="paragraph" w:styleId="ListParagraph">
    <w:name w:val="List Paragraph"/>
    <w:basedOn w:val="Normal"/>
    <w:uiPriority w:val="34"/>
    <w:qFormat/>
    <w:rsid w:val="00EB4111"/>
    <w:pPr>
      <w:bidi w:val="0"/>
      <w:ind w:left="720"/>
      <w:contextualSpacing/>
    </w:pPr>
    <w:rPr>
      <w:rFonts w:ascii="Arial" w:hAnsi="Arial" w:cs="Arial"/>
      <w:sz w:val="22"/>
      <w:szCs w:val="20"/>
    </w:rPr>
  </w:style>
  <w:style w:type="paragraph" w:customStyle="1" w:styleId="DateSignatureAligned">
    <w:name w:val="Date / Signature Aligned"/>
    <w:basedOn w:val="Normal"/>
    <w:rsid w:val="00EB4111"/>
    <w:pPr>
      <w:bidi w:val="0"/>
      <w:ind w:left="5250"/>
    </w:pPr>
    <w:rPr>
      <w:rFonts w:ascii="Arial" w:eastAsia="SimSun" w:hAnsi="Arial" w:cs="Arial"/>
      <w:sz w:val="22"/>
      <w:szCs w:val="20"/>
      <w:lang w:eastAsia="zh-CN"/>
    </w:rPr>
  </w:style>
  <w:style w:type="character" w:customStyle="1" w:styleId="CommentTextChar1">
    <w:name w:val="Comment Text Char1"/>
    <w:basedOn w:val="DefaultParagraphFont"/>
    <w:semiHidden/>
    <w:rsid w:val="00EB4111"/>
    <w:rPr>
      <w:rFonts w:ascii="Arial" w:eastAsia="SimSun" w:hAnsi="Arial" w:cs="Arial"/>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Current%20Projects\TR-032670-BDS\H_LD_WG_8_AR.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wipogvafs01\MARKS\OrgHague\Shared\_LEGAL%20AFFAIRS\Staff\Kosuke\8thWG\8thWG_language\C35%20Industrial%20design%20applications%20by%20office%20and%20origin,%202017.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FF5050"/>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rgbClr val="FF505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'C35'!$O$13:$O$32</c:f>
              <c:strCache>
                <c:ptCount val="20"/>
                <c:pt idx="0">
                  <c:v>Germany</c:v>
                </c:pt>
                <c:pt idx="1">
                  <c:v>U.S.</c:v>
                </c:pt>
                <c:pt idx="2">
                  <c:v>France</c:v>
                </c:pt>
                <c:pt idx="3">
                  <c:v>Switzerland</c:v>
                </c:pt>
                <c:pt idx="4">
                  <c:v>Japan</c:v>
                </c:pt>
                <c:pt idx="5">
                  <c:v>China</c:v>
                </c:pt>
                <c:pt idx="6">
                  <c:v>Italy</c:v>
                </c:pt>
                <c:pt idx="7">
                  <c:v>U.K.</c:v>
                </c:pt>
                <c:pt idx="8">
                  <c:v>Republic of Korea</c:v>
                </c:pt>
                <c:pt idx="9">
                  <c:v>Netherlands</c:v>
                </c:pt>
                <c:pt idx="10">
                  <c:v>Spain</c:v>
                </c:pt>
                <c:pt idx="11">
                  <c:v>Poland</c:v>
                </c:pt>
                <c:pt idx="12">
                  <c:v>Sweden</c:v>
                </c:pt>
                <c:pt idx="13">
                  <c:v>Austria</c:v>
                </c:pt>
                <c:pt idx="14">
                  <c:v>Denmark</c:v>
                </c:pt>
                <c:pt idx="15">
                  <c:v>Czech Republic</c:v>
                </c:pt>
                <c:pt idx="16">
                  <c:v>Australia</c:v>
                </c:pt>
                <c:pt idx="17">
                  <c:v>Belgium</c:v>
                </c:pt>
                <c:pt idx="18">
                  <c:v>Turkey</c:v>
                </c:pt>
                <c:pt idx="19">
                  <c:v>Canada</c:v>
                </c:pt>
              </c:strCache>
            </c:strRef>
          </c:cat>
          <c:val>
            <c:numRef>
              <c:f>'C35'!$P$13:$P$32</c:f>
              <c:numCache>
                <c:formatCode>General</c:formatCode>
                <c:ptCount val="20"/>
                <c:pt idx="0">
                  <c:v>35539</c:v>
                </c:pt>
                <c:pt idx="1">
                  <c:v>34008</c:v>
                </c:pt>
                <c:pt idx="2">
                  <c:v>25460</c:v>
                </c:pt>
                <c:pt idx="3">
                  <c:v>20497</c:v>
                </c:pt>
                <c:pt idx="4">
                  <c:v>17854</c:v>
                </c:pt>
                <c:pt idx="5">
                  <c:v>16849</c:v>
                </c:pt>
                <c:pt idx="6">
                  <c:v>16707</c:v>
                </c:pt>
                <c:pt idx="7">
                  <c:v>12534</c:v>
                </c:pt>
                <c:pt idx="8">
                  <c:v>8663</c:v>
                </c:pt>
                <c:pt idx="9">
                  <c:v>6318</c:v>
                </c:pt>
                <c:pt idx="10">
                  <c:v>5912</c:v>
                </c:pt>
                <c:pt idx="11">
                  <c:v>5167</c:v>
                </c:pt>
                <c:pt idx="12">
                  <c:v>3541</c:v>
                </c:pt>
                <c:pt idx="13">
                  <c:v>3122</c:v>
                </c:pt>
                <c:pt idx="14">
                  <c:v>2901</c:v>
                </c:pt>
                <c:pt idx="15">
                  <c:v>1994</c:v>
                </c:pt>
                <c:pt idx="16">
                  <c:v>1950</c:v>
                </c:pt>
                <c:pt idx="17">
                  <c:v>1921</c:v>
                </c:pt>
                <c:pt idx="18">
                  <c:v>1816</c:v>
                </c:pt>
                <c:pt idx="19">
                  <c:v>1749</c:v>
                </c:pt>
              </c:numCache>
            </c:numRef>
          </c:val>
          <c:extLst>
            <c:ext xmlns:c16="http://schemas.microsoft.com/office/drawing/2014/chart" uri="{C3380CC4-5D6E-409C-BE32-E72D297353CC}">
              <c16:uniqueId val="{00000000-2B0B-41C4-B749-280A6230C29D}"/>
            </c:ext>
          </c:extLst>
        </c:ser>
        <c:dLbls>
          <c:showLegendKey val="0"/>
          <c:showVal val="0"/>
          <c:showCatName val="0"/>
          <c:showSerName val="0"/>
          <c:showPercent val="0"/>
          <c:showBubbleSize val="0"/>
        </c:dLbls>
        <c:gapWidth val="99"/>
        <c:overlap val="23"/>
        <c:axId val="453916904"/>
        <c:axId val="468108784"/>
      </c:barChart>
      <c:catAx>
        <c:axId val="453916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8108784"/>
        <c:crosses val="autoZero"/>
        <c:auto val="1"/>
        <c:lblAlgn val="ctr"/>
        <c:lblOffset val="100"/>
        <c:noMultiLvlLbl val="0"/>
      </c:catAx>
      <c:valAx>
        <c:axId val="468108784"/>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91690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FB1F2-AA9F-4298-B3A4-4593CA3C3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H_LD_WG_8_AR.dotm</Template>
  <TotalTime>45</TotalTime>
  <Pages>16</Pages>
  <Words>4176</Words>
  <Characters>21551</Characters>
  <Application>Microsoft Office Word</Application>
  <DocSecurity>0</DocSecurity>
  <Lines>179</Lines>
  <Paragraphs>51</Paragraphs>
  <ScaleCrop>false</ScaleCrop>
  <HeadingPairs>
    <vt:vector size="2" baseType="variant">
      <vt:variant>
        <vt:lpstr>Title</vt:lpstr>
      </vt:variant>
      <vt:variant>
        <vt:i4>1</vt:i4>
      </vt:variant>
    </vt:vector>
  </HeadingPairs>
  <TitlesOfParts>
    <vt:vector size="1" baseType="lpstr">
      <vt:lpstr>H/LD/WG/8/5</vt:lpstr>
    </vt:vector>
  </TitlesOfParts>
  <Company>World Intellectual Property Organization</Company>
  <LinksUpToDate>false</LinksUpToDate>
  <CharactersWithSpaces>25676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H/LD/WG/8/5</dc:title>
  <dc:creator>YOUSSEF Randa</dc:creator>
  <cp:lastModifiedBy>YOUSSEF Randa</cp:lastModifiedBy>
  <cp:revision>5</cp:revision>
  <cp:lastPrinted>2018-06-12T09:05:00Z</cp:lastPrinted>
  <dcterms:created xsi:type="dcterms:W3CDTF">2019-10-14T08:45:00Z</dcterms:created>
  <dcterms:modified xsi:type="dcterms:W3CDTF">2019-10-14T15:59:00Z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183f1894-5983-47ef-a51a-9823ba6c4fb5</vt:lpwstr>
  </property>
</Properties>
</file>