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2F3589" w:rsidTr="00AC4245">
        <w:tc>
          <w:tcPr>
            <w:tcW w:w="4843" w:type="dxa"/>
            <w:tcBorders>
              <w:bottom w:val="single" w:sz="4" w:space="0" w:color="auto"/>
            </w:tcBorders>
          </w:tcPr>
          <w:p w:rsidR="002F3589" w:rsidRDefault="002F3589" w:rsidP="00AC4245">
            <w:pPr>
              <w:bidi/>
              <w:rPr>
                <w:rFonts w:ascii="Arabic Typesetting" w:hAnsi="Arabic Typesetting" w:cs="Arabic Typesetting"/>
                <w:sz w:val="36"/>
                <w:szCs w:val="36"/>
              </w:rPr>
            </w:pPr>
            <w:bookmarkStart w:id="2" w:name="_GoBack"/>
            <w:bookmarkEnd w:id="2"/>
          </w:p>
        </w:tc>
        <w:tc>
          <w:tcPr>
            <w:tcW w:w="4223" w:type="dxa"/>
            <w:tcBorders>
              <w:bottom w:val="single" w:sz="4" w:space="0" w:color="auto"/>
            </w:tcBorders>
          </w:tcPr>
          <w:p w:rsidR="002F3589" w:rsidRDefault="002F3589" w:rsidP="00AC4245">
            <w:pPr>
              <w:bidi/>
              <w:spacing w:after="20"/>
              <w:rPr>
                <w:rFonts w:ascii="Arabic Typesetting" w:hAnsi="Arabic Typesetting" w:cs="Arabic Typesetting"/>
                <w:sz w:val="36"/>
                <w:szCs w:val="36"/>
                <w:rtl/>
              </w:rPr>
            </w:pPr>
            <w:r>
              <w:rPr>
                <w:noProof/>
              </w:rPr>
              <w:drawing>
                <wp:inline distT="0" distB="0" distL="0" distR="0" wp14:anchorId="4CE43C98" wp14:editId="6AF569AF">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2F3589" w:rsidRPr="001667B6" w:rsidRDefault="002F3589" w:rsidP="00AC4245">
            <w:pPr>
              <w:rPr>
                <w:b/>
                <w:bCs/>
                <w:sz w:val="40"/>
                <w:szCs w:val="40"/>
              </w:rPr>
            </w:pPr>
            <w:r>
              <w:rPr>
                <w:b/>
                <w:bCs/>
                <w:sz w:val="40"/>
                <w:szCs w:val="40"/>
              </w:rPr>
              <w:t>A</w:t>
            </w:r>
          </w:p>
        </w:tc>
      </w:tr>
      <w:tr w:rsidR="002F3589" w:rsidTr="00AC4245">
        <w:trPr>
          <w:trHeight w:val="333"/>
        </w:trPr>
        <w:tc>
          <w:tcPr>
            <w:tcW w:w="9571" w:type="dxa"/>
            <w:gridSpan w:val="3"/>
            <w:tcBorders>
              <w:top w:val="single" w:sz="4" w:space="0" w:color="auto"/>
            </w:tcBorders>
            <w:vAlign w:val="bottom"/>
          </w:tcPr>
          <w:p w:rsidR="002F3589" w:rsidRPr="00B6101C" w:rsidRDefault="002F3589" w:rsidP="003D487C">
            <w:pPr>
              <w:pStyle w:val="DocumentCodeAR"/>
              <w:bidi/>
              <w:rPr>
                <w:rtl/>
              </w:rPr>
            </w:pPr>
            <w:r>
              <w:t>H/LD/WG/7/</w:t>
            </w:r>
            <w:r w:rsidR="003D487C">
              <w:t>8</w:t>
            </w:r>
          </w:p>
        </w:tc>
      </w:tr>
      <w:tr w:rsidR="002F3589" w:rsidTr="00AC4245">
        <w:tc>
          <w:tcPr>
            <w:tcW w:w="9571" w:type="dxa"/>
            <w:gridSpan w:val="3"/>
          </w:tcPr>
          <w:p w:rsidR="002F3589" w:rsidRPr="00B6101C" w:rsidRDefault="002F3589" w:rsidP="003D487C">
            <w:pPr>
              <w:pStyle w:val="DocumentLanguageAR"/>
              <w:bidi/>
              <w:rPr>
                <w:rtl/>
              </w:rPr>
            </w:pPr>
            <w:r w:rsidRPr="00B6101C">
              <w:rPr>
                <w:rFonts w:hint="cs"/>
                <w:rtl/>
              </w:rPr>
              <w:t xml:space="preserve">الأصل: </w:t>
            </w:r>
            <w:r w:rsidR="003D487C">
              <w:rPr>
                <w:rFonts w:hint="cs"/>
                <w:rtl/>
              </w:rPr>
              <w:t>بالإنكليزية</w:t>
            </w:r>
          </w:p>
        </w:tc>
      </w:tr>
      <w:tr w:rsidR="002F3589" w:rsidTr="00AC4245">
        <w:tc>
          <w:tcPr>
            <w:tcW w:w="9571" w:type="dxa"/>
            <w:gridSpan w:val="3"/>
          </w:tcPr>
          <w:p w:rsidR="002F3589" w:rsidRPr="00B6101C" w:rsidRDefault="002F3589" w:rsidP="007F410C">
            <w:pPr>
              <w:pStyle w:val="DocumentDateAR"/>
              <w:bidi/>
              <w:rPr>
                <w:rtl/>
              </w:rPr>
            </w:pPr>
            <w:r w:rsidRPr="00B6101C">
              <w:rPr>
                <w:rFonts w:hint="cs"/>
                <w:rtl/>
              </w:rPr>
              <w:t xml:space="preserve">التاريخ: </w:t>
            </w:r>
            <w:r w:rsidR="007F410C">
              <w:t>8</w:t>
            </w:r>
            <w:r w:rsidRPr="00B6101C">
              <w:rPr>
                <w:rFonts w:hint="cs"/>
                <w:rtl/>
              </w:rPr>
              <w:t xml:space="preserve"> </w:t>
            </w:r>
            <w:r w:rsidR="003D487C">
              <w:rPr>
                <w:rFonts w:hint="cs"/>
                <w:rtl/>
              </w:rPr>
              <w:t>مايو</w:t>
            </w:r>
            <w:r w:rsidRPr="00B6101C">
              <w:rPr>
                <w:rFonts w:hint="cs"/>
                <w:rtl/>
              </w:rPr>
              <w:t xml:space="preserve"> </w:t>
            </w:r>
            <w:r>
              <w:rPr>
                <w:rFonts w:hint="cs"/>
                <w:rtl/>
              </w:rPr>
              <w:t>2018</w:t>
            </w:r>
          </w:p>
        </w:tc>
      </w:tr>
    </w:tbl>
    <w:p w:rsidR="002F3589" w:rsidRDefault="002F3589" w:rsidP="002F3589">
      <w:pPr>
        <w:bidi/>
        <w:spacing w:line="360" w:lineRule="exact"/>
        <w:rPr>
          <w:rFonts w:ascii="Arabic Typesetting" w:hAnsi="Arabic Typesetting" w:cs="Arabic Typesetting"/>
          <w:sz w:val="36"/>
          <w:szCs w:val="36"/>
          <w:rtl/>
        </w:rPr>
      </w:pPr>
    </w:p>
    <w:p w:rsidR="002F3589" w:rsidRDefault="002F3589" w:rsidP="002F3589">
      <w:pPr>
        <w:bidi/>
        <w:spacing w:line="360" w:lineRule="exact"/>
        <w:rPr>
          <w:rFonts w:ascii="Arabic Typesetting" w:hAnsi="Arabic Typesetting" w:cs="Arabic Typesetting"/>
          <w:sz w:val="36"/>
          <w:szCs w:val="36"/>
          <w:rtl/>
        </w:rPr>
      </w:pPr>
    </w:p>
    <w:p w:rsidR="002F3589" w:rsidRDefault="002F3589" w:rsidP="002F3589">
      <w:pPr>
        <w:bidi/>
        <w:spacing w:line="360" w:lineRule="exact"/>
        <w:rPr>
          <w:rFonts w:ascii="Arabic Typesetting" w:hAnsi="Arabic Typesetting" w:cs="Arabic Typesetting"/>
          <w:sz w:val="36"/>
          <w:szCs w:val="36"/>
          <w:rtl/>
        </w:rPr>
      </w:pPr>
    </w:p>
    <w:p w:rsidR="002F3589" w:rsidRPr="00772E46" w:rsidRDefault="002F3589" w:rsidP="002F3589">
      <w:pPr>
        <w:pStyle w:val="MeetingTitleAR"/>
        <w:bidi/>
        <w:ind w:right="550"/>
        <w:rPr>
          <w:rtl/>
          <w:lang w:val="fr-CH"/>
        </w:rPr>
      </w:pPr>
      <w:r>
        <w:rPr>
          <w:rFonts w:hint="cs"/>
          <w:rtl/>
        </w:rPr>
        <w:t>الفريق العامل المعني بالتطوير القانوني لنظام لاهاي بشأن التسجيل الدولي للتصاميم الصناعية</w:t>
      </w:r>
    </w:p>
    <w:p w:rsidR="002F3589" w:rsidRDefault="002F3589" w:rsidP="002F3589">
      <w:pPr>
        <w:bidi/>
        <w:spacing w:line="360" w:lineRule="exact"/>
        <w:rPr>
          <w:rFonts w:ascii="Arabic Typesetting" w:hAnsi="Arabic Typesetting" w:cs="Arabic Typesetting"/>
          <w:sz w:val="36"/>
          <w:szCs w:val="36"/>
        </w:rPr>
      </w:pPr>
    </w:p>
    <w:p w:rsidR="002F3589" w:rsidRPr="00783D11" w:rsidRDefault="002F3589" w:rsidP="002F3589">
      <w:pPr>
        <w:pStyle w:val="MeetingSessionAR"/>
        <w:bidi/>
        <w:rPr>
          <w:rFonts w:ascii="Cambria Math" w:hAnsi="Cambria Math"/>
        </w:rPr>
      </w:pPr>
      <w:r w:rsidRPr="00783D11">
        <w:rPr>
          <w:rFonts w:ascii="Cambria Math" w:hAnsi="Cambria Math"/>
          <w:rtl/>
        </w:rPr>
        <w:t xml:space="preserve">الدورة </w:t>
      </w:r>
      <w:r>
        <w:rPr>
          <w:rFonts w:ascii="Cambria Math" w:hAnsi="Cambria Math" w:hint="cs"/>
          <w:rtl/>
        </w:rPr>
        <w:t>السابعة</w:t>
      </w:r>
    </w:p>
    <w:p w:rsidR="002F3589" w:rsidRPr="00D61541" w:rsidRDefault="002F3589" w:rsidP="002F3589">
      <w:pPr>
        <w:pStyle w:val="MeetingDatesAR"/>
        <w:bidi/>
        <w:rPr>
          <w:rtl/>
        </w:rPr>
      </w:pPr>
      <w:r w:rsidRPr="00D61541">
        <w:rPr>
          <w:rFonts w:hint="cs"/>
          <w:rtl/>
        </w:rPr>
        <w:t xml:space="preserve">جنيف، من </w:t>
      </w:r>
      <w:r>
        <w:rPr>
          <w:rFonts w:hint="cs"/>
          <w:rtl/>
        </w:rPr>
        <w:t>16 إلى 18 يوليو 2018</w:t>
      </w:r>
    </w:p>
    <w:p w:rsidR="002F3589" w:rsidRDefault="002F3589" w:rsidP="002F3589">
      <w:pPr>
        <w:bidi/>
        <w:spacing w:line="360" w:lineRule="exact"/>
        <w:rPr>
          <w:rFonts w:ascii="Arabic Typesetting" w:hAnsi="Arabic Typesetting" w:cs="Arabic Typesetting"/>
          <w:sz w:val="36"/>
          <w:szCs w:val="36"/>
          <w:rtl/>
        </w:rPr>
      </w:pPr>
    </w:p>
    <w:p w:rsidR="002F3589" w:rsidRDefault="002F3589" w:rsidP="002F3589">
      <w:pPr>
        <w:bidi/>
        <w:spacing w:line="360" w:lineRule="exact"/>
        <w:rPr>
          <w:rFonts w:ascii="Arabic Typesetting" w:hAnsi="Arabic Typesetting" w:cs="Arabic Typesetting"/>
          <w:sz w:val="36"/>
          <w:szCs w:val="36"/>
          <w:rtl/>
        </w:rPr>
      </w:pPr>
    </w:p>
    <w:p w:rsidR="002F3589" w:rsidRPr="00D61541" w:rsidRDefault="00993995" w:rsidP="002F3589">
      <w:pPr>
        <w:pStyle w:val="DocumentTitleAR"/>
        <w:bidi/>
        <w:rPr>
          <w:rtl/>
        </w:rPr>
      </w:pPr>
      <w:r>
        <w:rPr>
          <w:rFonts w:hint="cs"/>
          <w:rtl/>
        </w:rPr>
        <w:t xml:space="preserve">زيادة </w:t>
      </w:r>
      <w:r w:rsidRPr="000036E2">
        <w:rPr>
          <w:rtl/>
        </w:rPr>
        <w:t>دقة البيانات المُدوّنة في السجل الدولي</w:t>
      </w:r>
      <w:r>
        <w:rPr>
          <w:rFonts w:hint="cs"/>
          <w:rtl/>
        </w:rPr>
        <w:t>: تقرير مرحلي</w:t>
      </w:r>
    </w:p>
    <w:p w:rsidR="00993995" w:rsidRPr="00495127" w:rsidRDefault="00993995" w:rsidP="00993995">
      <w:pPr>
        <w:pStyle w:val="PreparedbyAR"/>
        <w:bidi/>
        <w:rPr>
          <w:rtl/>
        </w:rPr>
      </w:pPr>
      <w:r>
        <w:rPr>
          <w:rFonts w:hint="cs"/>
          <w:rtl/>
        </w:rPr>
        <w:t xml:space="preserve">وثيقة </w:t>
      </w:r>
      <w:r w:rsidRPr="00495127">
        <w:rPr>
          <w:rFonts w:hint="cs"/>
          <w:rtl/>
        </w:rPr>
        <w:t xml:space="preserve">من إعداد </w:t>
      </w:r>
      <w:r>
        <w:rPr>
          <w:rFonts w:hint="cs"/>
          <w:rtl/>
        </w:rPr>
        <w:t>المكتب الدولي</w:t>
      </w:r>
    </w:p>
    <w:p w:rsidR="00993995" w:rsidRPr="00495127" w:rsidRDefault="00993995" w:rsidP="00993995">
      <w:pPr>
        <w:pStyle w:val="Heading1"/>
      </w:pPr>
      <w:r>
        <w:rPr>
          <w:rFonts w:hint="cs"/>
          <w:rtl/>
        </w:rPr>
        <w:t>أولا. معلومات أساسية</w:t>
      </w:r>
    </w:p>
    <w:p w:rsidR="00993995" w:rsidRDefault="00993995" w:rsidP="00993995">
      <w:pPr>
        <w:pStyle w:val="NumberedParaAR"/>
      </w:pPr>
      <w:r>
        <w:rPr>
          <w:rtl/>
        </w:rPr>
        <w:t xml:space="preserve">ناقش </w:t>
      </w:r>
      <w:r w:rsidRPr="006F6237">
        <w:rPr>
          <w:rtl/>
        </w:rPr>
        <w:t xml:space="preserve">الفريق العامل المعني بالتطوير القانوني لنظام لاهاي بشأن التسجيل الدولي للتصاميم الصناعية </w:t>
      </w:r>
      <w:r>
        <w:rPr>
          <w:rtl/>
        </w:rPr>
        <w:t>(المشار إليه فيما بعد باسم "الفريق العامل") في دورته السادسة المعقودة في يوني</w:t>
      </w:r>
      <w:r>
        <w:rPr>
          <w:rFonts w:hint="cs"/>
          <w:rtl/>
        </w:rPr>
        <w:t>و</w:t>
      </w:r>
      <w:r>
        <w:rPr>
          <w:rtl/>
        </w:rPr>
        <w:t xml:space="preserve"> 2016، </w:t>
      </w:r>
      <w:r>
        <w:rPr>
          <w:rFonts w:hint="cs"/>
          <w:rtl/>
          <w:lang w:val="en-GB" w:bidi="ar-MA"/>
        </w:rPr>
        <w:t>ال</w:t>
      </w:r>
      <w:r>
        <w:rPr>
          <w:rtl/>
        </w:rPr>
        <w:t xml:space="preserve">بنية </w:t>
      </w:r>
      <w:r>
        <w:rPr>
          <w:rFonts w:hint="cs"/>
          <w:rtl/>
        </w:rPr>
        <w:t>ال</w:t>
      </w:r>
      <w:r w:rsidRPr="0079419A">
        <w:rPr>
          <w:rtl/>
        </w:rPr>
        <w:t xml:space="preserve">جديدة </w:t>
      </w:r>
      <w:r>
        <w:rPr>
          <w:rFonts w:hint="cs"/>
          <w:rtl/>
        </w:rPr>
        <w:t>ال</w:t>
      </w:r>
      <w:r>
        <w:rPr>
          <w:rtl/>
        </w:rPr>
        <w:t xml:space="preserve">محتملة للمعلومات </w:t>
      </w:r>
      <w:r>
        <w:rPr>
          <w:rFonts w:hint="cs"/>
          <w:rtl/>
        </w:rPr>
        <w:t>ذات الصلة</w:t>
      </w:r>
      <w:r>
        <w:rPr>
          <w:rtl/>
        </w:rPr>
        <w:t xml:space="preserve"> بالسجل الدولي بهدف تحسين </w:t>
      </w:r>
      <w:r>
        <w:rPr>
          <w:rFonts w:hint="cs"/>
          <w:rtl/>
        </w:rPr>
        <w:t>البنية</w:t>
      </w:r>
      <w:r>
        <w:rPr>
          <w:rtl/>
        </w:rPr>
        <w:t xml:space="preserve"> الحالي</w:t>
      </w:r>
      <w:r>
        <w:rPr>
          <w:rFonts w:hint="cs"/>
          <w:rtl/>
        </w:rPr>
        <w:t>ة</w:t>
      </w:r>
      <w:r>
        <w:rPr>
          <w:rStyle w:val="FootnoteReference"/>
          <w:rtl/>
        </w:rPr>
        <w:footnoteReference w:id="1"/>
      </w:r>
      <w:r>
        <w:rPr>
          <w:rtl/>
        </w:rPr>
        <w:t>.</w:t>
      </w:r>
    </w:p>
    <w:p w:rsidR="00993995" w:rsidRDefault="00993995" w:rsidP="00993995">
      <w:pPr>
        <w:pStyle w:val="NumberedParaAR"/>
      </w:pPr>
      <w:r>
        <w:rPr>
          <w:rFonts w:hint="cs"/>
          <w:rtl/>
        </w:rPr>
        <w:t>و</w:t>
      </w:r>
      <w:r>
        <w:rPr>
          <w:rtl/>
        </w:rPr>
        <w:t xml:space="preserve">نظر الفريق العامل في سلسلة من القيود التقنية المحددة في </w:t>
      </w:r>
      <w:r>
        <w:rPr>
          <w:rFonts w:hint="cs"/>
          <w:rtl/>
        </w:rPr>
        <w:t>البنية الحالية</w:t>
      </w:r>
      <w:r>
        <w:rPr>
          <w:rtl/>
        </w:rPr>
        <w:t xml:space="preserve"> </w:t>
      </w:r>
      <w:r>
        <w:rPr>
          <w:rFonts w:hint="cs"/>
          <w:rtl/>
        </w:rPr>
        <w:t>ل</w:t>
      </w:r>
      <w:r>
        <w:rPr>
          <w:rtl/>
        </w:rPr>
        <w:t xml:space="preserve">لمعلومات. </w:t>
      </w:r>
      <w:r>
        <w:rPr>
          <w:rFonts w:hint="cs"/>
          <w:rtl/>
        </w:rPr>
        <w:t>و</w:t>
      </w:r>
      <w:r>
        <w:rPr>
          <w:rtl/>
        </w:rPr>
        <w:t xml:space="preserve">كانت القيود التي أبلغت عنها مكاتب بعض الأطراف المتعاقدة تتعلق أساسًا </w:t>
      </w:r>
      <w:r>
        <w:rPr>
          <w:rFonts w:hint="cs"/>
          <w:rtl/>
        </w:rPr>
        <w:t>بالصنف</w:t>
      </w:r>
      <w:r>
        <w:rPr>
          <w:rtl/>
        </w:rPr>
        <w:t xml:space="preserve"> الفرعي لتصنيف لوكارن</w:t>
      </w:r>
      <w:r>
        <w:rPr>
          <w:rFonts w:hint="cs"/>
          <w:rtl/>
        </w:rPr>
        <w:t>و</w:t>
      </w:r>
      <w:r>
        <w:rPr>
          <w:rtl/>
        </w:rPr>
        <w:t xml:space="preserve">، ومؤشر المنتج واسم وعنوان </w:t>
      </w:r>
      <w:r>
        <w:rPr>
          <w:rFonts w:hint="cs"/>
          <w:rtl/>
        </w:rPr>
        <w:t>المبتكر</w:t>
      </w:r>
      <w:r>
        <w:rPr>
          <w:rtl/>
        </w:rPr>
        <w:t>، خاصة عند استيراد البيانات إلى أنظمتها المحلية.</w:t>
      </w:r>
    </w:p>
    <w:p w:rsidR="00993995" w:rsidRPr="00495127" w:rsidRDefault="00993995" w:rsidP="00993995">
      <w:pPr>
        <w:pStyle w:val="NumberedParaAR"/>
      </w:pPr>
      <w:r>
        <w:rPr>
          <w:rFonts w:hint="cs"/>
          <w:rtl/>
        </w:rPr>
        <w:t>و</w:t>
      </w:r>
      <w:r>
        <w:rPr>
          <w:rtl/>
        </w:rPr>
        <w:t xml:space="preserve">في محاولة </w:t>
      </w:r>
      <w:r>
        <w:rPr>
          <w:rFonts w:hint="cs"/>
          <w:rtl/>
        </w:rPr>
        <w:t>لزيادة</w:t>
      </w:r>
      <w:r>
        <w:rPr>
          <w:rtl/>
        </w:rPr>
        <w:t xml:space="preserve"> </w:t>
      </w:r>
      <w:r>
        <w:rPr>
          <w:rFonts w:hint="cs"/>
          <w:rtl/>
        </w:rPr>
        <w:t>الدقة</w:t>
      </w:r>
      <w:r>
        <w:rPr>
          <w:rtl/>
        </w:rPr>
        <w:t xml:space="preserve">، وبالتالي تسهيل استيراد البيانات وتعزيز المزيد من الفرص من حيث التطوير القانوني لنظام لاهاي، دعم الفريق العامل </w:t>
      </w:r>
      <w:r>
        <w:rPr>
          <w:rFonts w:hint="cs"/>
          <w:rtl/>
        </w:rPr>
        <w:t>اقتراح ال</w:t>
      </w:r>
      <w:r w:rsidRPr="009F77B8">
        <w:rPr>
          <w:rtl/>
        </w:rPr>
        <w:t xml:space="preserve">بنية </w:t>
      </w:r>
      <w:r>
        <w:rPr>
          <w:rFonts w:hint="cs"/>
          <w:rtl/>
        </w:rPr>
        <w:t>ال</w:t>
      </w:r>
      <w:r w:rsidRPr="009F77B8">
        <w:rPr>
          <w:rtl/>
        </w:rPr>
        <w:t xml:space="preserve">جديدة للمعلومات </w:t>
      </w:r>
      <w:r>
        <w:rPr>
          <w:rtl/>
        </w:rPr>
        <w:t>ال</w:t>
      </w:r>
      <w:r>
        <w:rPr>
          <w:rFonts w:hint="cs"/>
          <w:rtl/>
        </w:rPr>
        <w:t>ت</w:t>
      </w:r>
      <w:r>
        <w:rPr>
          <w:rtl/>
        </w:rPr>
        <w:t>ي من شأنه</w:t>
      </w:r>
      <w:r>
        <w:rPr>
          <w:rFonts w:hint="cs"/>
          <w:rtl/>
        </w:rPr>
        <w:t>ا</w:t>
      </w:r>
      <w:r>
        <w:rPr>
          <w:rtl/>
        </w:rPr>
        <w:t xml:space="preserve"> تسهيل تخزين المعلومات الخاصة بالتصميم في السجل الدولي. وبناء على ذلك، دعا الفريق العامل كذلك المكتب الدولي إلى تقديم تحليل للآثار العملية والتقنية والقانونية </w:t>
      </w:r>
      <w:r>
        <w:rPr>
          <w:rFonts w:hint="cs"/>
          <w:rtl/>
        </w:rPr>
        <w:t>لاقتراح بنية</w:t>
      </w:r>
      <w:r>
        <w:rPr>
          <w:rtl/>
        </w:rPr>
        <w:t xml:space="preserve"> المعلومات. </w:t>
      </w:r>
      <w:r>
        <w:rPr>
          <w:rFonts w:hint="cs"/>
          <w:rtl/>
        </w:rPr>
        <w:t>وترد</w:t>
      </w:r>
      <w:r>
        <w:rPr>
          <w:rtl/>
        </w:rPr>
        <w:t xml:space="preserve"> هذه المعلومات أدناه.</w:t>
      </w:r>
    </w:p>
    <w:p w:rsidR="00993995" w:rsidRDefault="00993995" w:rsidP="00993995">
      <w:pPr>
        <w:pStyle w:val="NumberedParaAR"/>
      </w:pPr>
      <w:r>
        <w:rPr>
          <w:rtl/>
        </w:rPr>
        <w:lastRenderedPageBreak/>
        <w:t xml:space="preserve">وعلاوة على ذلك، </w:t>
      </w:r>
      <w:r>
        <w:rPr>
          <w:rFonts w:hint="cs"/>
          <w:rtl/>
        </w:rPr>
        <w:t>أبلغت</w:t>
      </w:r>
      <w:r>
        <w:rPr>
          <w:rtl/>
        </w:rPr>
        <w:t xml:space="preserve"> الأمانة</w:t>
      </w:r>
      <w:r w:rsidRPr="00A6329A">
        <w:rPr>
          <w:rtl/>
        </w:rPr>
        <w:t xml:space="preserve"> أعضاء الفريق العامل</w:t>
      </w:r>
      <w:r>
        <w:rPr>
          <w:rtl/>
        </w:rPr>
        <w:t>، في دعوتها المؤرخة 19 أبريل 2017، التي طلبت</w:t>
      </w:r>
      <w:r>
        <w:rPr>
          <w:rFonts w:hint="cs"/>
          <w:rtl/>
        </w:rPr>
        <w:t xml:space="preserve"> فيها</w:t>
      </w:r>
      <w:r>
        <w:rPr>
          <w:rtl/>
        </w:rPr>
        <w:t xml:space="preserve"> تعليقات على مشروع تقرير الدورة السادسة للفريق العامل</w:t>
      </w:r>
      <w:r>
        <w:rPr>
          <w:rStyle w:val="FootnoteReference"/>
          <w:rtl/>
        </w:rPr>
        <w:footnoteReference w:id="2"/>
      </w:r>
      <w:r>
        <w:rPr>
          <w:rtl/>
        </w:rPr>
        <w:t xml:space="preserve">، </w:t>
      </w:r>
      <w:r>
        <w:rPr>
          <w:rFonts w:hint="cs"/>
          <w:rtl/>
        </w:rPr>
        <w:t>حدوث</w:t>
      </w:r>
      <w:r>
        <w:rPr>
          <w:rtl/>
        </w:rPr>
        <w:t xml:space="preserve"> تطورات تقنية رئيسية بشأن بنية </w:t>
      </w:r>
      <w:r>
        <w:rPr>
          <w:rFonts w:hint="cs"/>
          <w:rtl/>
        </w:rPr>
        <w:t>ال</w:t>
      </w:r>
      <w:r>
        <w:rPr>
          <w:rtl/>
        </w:rPr>
        <w:t xml:space="preserve">معلومات </w:t>
      </w:r>
      <w:r>
        <w:rPr>
          <w:rFonts w:hint="cs"/>
          <w:rtl/>
        </w:rPr>
        <w:t>ذات الصلة ب</w:t>
      </w:r>
      <w:r>
        <w:rPr>
          <w:rtl/>
        </w:rPr>
        <w:t xml:space="preserve">السجل الدولي في إطار </w:t>
      </w:r>
      <w:r w:rsidRPr="0032171A">
        <w:rPr>
          <w:rtl/>
        </w:rPr>
        <w:t xml:space="preserve">فرقة العمل </w:t>
      </w:r>
      <w:r>
        <w:t>XML4IP</w:t>
      </w:r>
      <w:r>
        <w:rPr>
          <w:rFonts w:hint="cs"/>
          <w:rtl/>
        </w:rPr>
        <w:t xml:space="preserve"> </w:t>
      </w:r>
      <w:r>
        <w:rPr>
          <w:rtl/>
        </w:rPr>
        <w:t>التابعة للجنة معايير الويبو</w:t>
      </w:r>
      <w:r>
        <w:rPr>
          <w:rFonts w:hint="cs"/>
          <w:rtl/>
        </w:rPr>
        <w:t xml:space="preserve"> (لجنة المعايير)</w:t>
      </w:r>
      <w:r>
        <w:rPr>
          <w:rtl/>
        </w:rPr>
        <w:t xml:space="preserve">. </w:t>
      </w:r>
      <w:r>
        <w:rPr>
          <w:rFonts w:hint="cs"/>
          <w:rtl/>
        </w:rPr>
        <w:t>و</w:t>
      </w:r>
      <w:r>
        <w:rPr>
          <w:rtl/>
        </w:rPr>
        <w:t xml:space="preserve">فرقة العمل هذه مسؤولة عن مراجعة معيار الويبو </w:t>
      </w:r>
      <w:r>
        <w:t>ST.96</w:t>
      </w:r>
      <w:r>
        <w:rPr>
          <w:rtl/>
        </w:rPr>
        <w:t xml:space="preserve"> "</w:t>
      </w:r>
      <w:r w:rsidRPr="00EB6F90">
        <w:rPr>
          <w:rtl/>
        </w:rPr>
        <w:t>توصية بشأن معالجة المعلومات المتعلقة بالملكية الصناعية باستخدام لغة الترميز الموسعة </w:t>
      </w:r>
      <w:r w:rsidRPr="00EB6F90">
        <w:t>XML</w:t>
      </w:r>
      <w:r w:rsidRPr="00EB6F90">
        <w:rPr>
          <w:rtl/>
        </w:rPr>
        <w:t xml:space="preserve"> </w:t>
      </w:r>
      <w:r>
        <w:rPr>
          <w:rtl/>
        </w:rPr>
        <w:t>" (</w:t>
      </w:r>
      <w:r w:rsidRPr="00EB6F90">
        <w:rPr>
          <w:rtl/>
        </w:rPr>
        <w:t xml:space="preserve">المشار إليه فيما بعد باسم </w:t>
      </w:r>
      <w:r>
        <w:rPr>
          <w:rtl/>
        </w:rPr>
        <w:t xml:space="preserve">"المعيار </w:t>
      </w:r>
      <w:r>
        <w:t>ST.96</w:t>
      </w:r>
      <w:r>
        <w:rPr>
          <w:rtl/>
        </w:rPr>
        <w:t>").</w:t>
      </w:r>
    </w:p>
    <w:p w:rsidR="00993995" w:rsidRPr="00495127" w:rsidRDefault="00993995" w:rsidP="00993995">
      <w:pPr>
        <w:pStyle w:val="NumberedParaAR"/>
      </w:pPr>
      <w:r>
        <w:rPr>
          <w:rFonts w:hint="cs"/>
          <w:rtl/>
        </w:rPr>
        <w:t>و</w:t>
      </w:r>
      <w:r>
        <w:rPr>
          <w:rtl/>
        </w:rPr>
        <w:t>تقدم هذه الوثيقة تقريرا مرحليا عن المشروع المذكور أعلاه.</w:t>
      </w:r>
    </w:p>
    <w:p w:rsidR="00993995" w:rsidRPr="00495127" w:rsidRDefault="00993995" w:rsidP="003D487C">
      <w:pPr>
        <w:pStyle w:val="Heading1"/>
      </w:pPr>
      <w:r>
        <w:rPr>
          <w:rFonts w:hint="cs"/>
          <w:rtl/>
        </w:rPr>
        <w:t>ثانيا. التقدم المحرز في التنفيذ</w:t>
      </w:r>
    </w:p>
    <w:p w:rsidR="00993995" w:rsidRDefault="00993995" w:rsidP="003D487C">
      <w:pPr>
        <w:pStyle w:val="NumberedParaAR"/>
      </w:pPr>
      <w:r>
        <w:rPr>
          <w:rtl/>
        </w:rPr>
        <w:t>يعمل المكتب الدولي</w:t>
      </w:r>
      <w:r>
        <w:rPr>
          <w:rFonts w:hint="cs"/>
          <w:rtl/>
        </w:rPr>
        <w:t xml:space="preserve"> حاليا</w:t>
      </w:r>
      <w:r>
        <w:rPr>
          <w:rtl/>
        </w:rPr>
        <w:t xml:space="preserve"> على نظام تكنولوجيا المعلومات</w:t>
      </w:r>
      <w:r>
        <w:rPr>
          <w:rFonts w:hint="cs"/>
          <w:rtl/>
        </w:rPr>
        <w:t xml:space="preserve"> الجديد</w:t>
      </w:r>
      <w:r>
        <w:rPr>
          <w:rtl/>
        </w:rPr>
        <w:t xml:space="preserve"> لدعم </w:t>
      </w:r>
      <w:r>
        <w:rPr>
          <w:rFonts w:hint="cs"/>
          <w:rtl/>
        </w:rPr>
        <w:t>وظائفه</w:t>
      </w:r>
      <w:r>
        <w:rPr>
          <w:rtl/>
        </w:rPr>
        <w:t xml:space="preserve"> الأساسية، ولا سيما إدارة السجل الدولي </w:t>
      </w:r>
      <w:r>
        <w:rPr>
          <w:rFonts w:hint="cs"/>
          <w:rtl/>
        </w:rPr>
        <w:t>والفحوص</w:t>
      </w:r>
      <w:r>
        <w:rPr>
          <w:rtl/>
        </w:rPr>
        <w:t xml:space="preserve">. </w:t>
      </w:r>
      <w:r>
        <w:rPr>
          <w:rFonts w:hint="cs"/>
          <w:rtl/>
        </w:rPr>
        <w:t>و</w:t>
      </w:r>
      <w:r>
        <w:rPr>
          <w:rtl/>
        </w:rPr>
        <w:t xml:space="preserve">خلال </w:t>
      </w:r>
      <w:r>
        <w:rPr>
          <w:rFonts w:hint="cs"/>
          <w:rtl/>
        </w:rPr>
        <w:t>إنشاءها</w:t>
      </w:r>
      <w:r>
        <w:rPr>
          <w:rtl/>
        </w:rPr>
        <w:t>، أعيد تصميم قاعدة بيانات النظام الجديد لتزويده بسعة تخزين البيانات ومرونة استرجاع</w:t>
      </w:r>
      <w:r>
        <w:rPr>
          <w:rFonts w:hint="cs"/>
          <w:rtl/>
        </w:rPr>
        <w:t>ها</w:t>
      </w:r>
      <w:r>
        <w:rPr>
          <w:rtl/>
        </w:rPr>
        <w:t xml:space="preserve"> بناءً على مستوى الدقة المقترح. </w:t>
      </w:r>
      <w:r>
        <w:rPr>
          <w:rFonts w:hint="cs"/>
          <w:rtl/>
        </w:rPr>
        <w:t>وسيُطرح</w:t>
      </w:r>
      <w:r>
        <w:rPr>
          <w:rtl/>
        </w:rPr>
        <w:t xml:space="preserve"> هذا النظام الجديد في عام 2018، ويجب أن تكون فوائده واضحة في أوائل عام</w:t>
      </w:r>
      <w:r w:rsidR="003D487C">
        <w:rPr>
          <w:rFonts w:hint="cs"/>
          <w:rtl/>
        </w:rPr>
        <w:t> </w:t>
      </w:r>
      <w:r>
        <w:rPr>
          <w:rtl/>
        </w:rPr>
        <w:t>2019. ولن تصبح معظم التغييرات المعروضة في التحليل أدناه مرئية إلا عند إطلاق النظام الجديد.</w:t>
      </w:r>
    </w:p>
    <w:p w:rsidR="00993995" w:rsidRPr="00495127" w:rsidRDefault="00993995" w:rsidP="003D487C">
      <w:pPr>
        <w:pStyle w:val="NumberedParaAR"/>
        <w:rPr>
          <w:rtl/>
        </w:rPr>
      </w:pPr>
      <w:r>
        <w:rPr>
          <w:rFonts w:hint="cs"/>
          <w:rtl/>
        </w:rPr>
        <w:t>و</w:t>
      </w:r>
      <w:r>
        <w:rPr>
          <w:rtl/>
        </w:rPr>
        <w:t xml:space="preserve">فيما يتعلق بتبادل البيانات </w:t>
      </w:r>
      <w:r>
        <w:rPr>
          <w:rFonts w:hint="cs"/>
          <w:rtl/>
        </w:rPr>
        <w:t>إلكترونيا</w:t>
      </w:r>
      <w:r>
        <w:rPr>
          <w:rtl/>
        </w:rPr>
        <w:t xml:space="preserve"> مع المكاتب المختلفة، </w:t>
      </w:r>
      <w:r>
        <w:rPr>
          <w:rFonts w:hint="cs"/>
          <w:rtl/>
        </w:rPr>
        <w:t xml:space="preserve">حدد </w:t>
      </w:r>
      <w:r>
        <w:rPr>
          <w:rtl/>
        </w:rPr>
        <w:t xml:space="preserve">فريق </w:t>
      </w:r>
      <w:r>
        <w:rPr>
          <w:rFonts w:hint="cs"/>
          <w:rtl/>
        </w:rPr>
        <w:t>ال</w:t>
      </w:r>
      <w:r>
        <w:rPr>
          <w:rtl/>
        </w:rPr>
        <w:t xml:space="preserve">عمل </w:t>
      </w:r>
      <w:r>
        <w:t>XML4IP</w:t>
      </w:r>
      <w:r>
        <w:rPr>
          <w:rtl/>
        </w:rPr>
        <w:t xml:space="preserve"> بنية البيانات. ونتيجة لذلك، د</w:t>
      </w:r>
      <w:r>
        <w:rPr>
          <w:rFonts w:hint="cs"/>
          <w:rtl/>
        </w:rPr>
        <w:t>ُ</w:t>
      </w:r>
      <w:r>
        <w:rPr>
          <w:rtl/>
        </w:rPr>
        <w:t>مج</w:t>
      </w:r>
      <w:r>
        <w:rPr>
          <w:rFonts w:hint="cs"/>
          <w:rtl/>
        </w:rPr>
        <w:t>ت</w:t>
      </w:r>
      <w:r>
        <w:rPr>
          <w:rtl/>
        </w:rPr>
        <w:t xml:space="preserve"> مكونات</w:t>
      </w:r>
      <w:r>
        <w:rPr>
          <w:rFonts w:hint="cs"/>
          <w:rtl/>
        </w:rPr>
        <w:t xml:space="preserve"> لغة الترميز الموسعة</w:t>
      </w:r>
      <w:r>
        <w:rPr>
          <w:rtl/>
        </w:rPr>
        <w:t xml:space="preserve"> </w:t>
      </w:r>
      <w:r>
        <w:t>XML</w:t>
      </w:r>
      <w:r>
        <w:rPr>
          <w:rtl/>
        </w:rPr>
        <w:t xml:space="preserve"> الخاصة </w:t>
      </w:r>
      <w:r>
        <w:rPr>
          <w:rFonts w:hint="cs"/>
          <w:rtl/>
        </w:rPr>
        <w:t>بنظام لاهاي</w:t>
      </w:r>
      <w:r>
        <w:rPr>
          <w:rtl/>
        </w:rPr>
        <w:t xml:space="preserve"> في الإصدار 3.0 من المعيار </w:t>
      </w:r>
      <w:r>
        <w:t>ST.96</w:t>
      </w:r>
      <w:r>
        <w:rPr>
          <w:rFonts w:hint="cs"/>
          <w:rtl/>
        </w:rPr>
        <w:t>، وقد</w:t>
      </w:r>
      <w:r>
        <w:rPr>
          <w:rtl/>
        </w:rPr>
        <w:t xml:space="preserve"> شارك أكثر من</w:t>
      </w:r>
      <w:r w:rsidR="003D487C">
        <w:rPr>
          <w:rFonts w:hint="cs"/>
          <w:rtl/>
        </w:rPr>
        <w:t> </w:t>
      </w:r>
      <w:r>
        <w:rPr>
          <w:rtl/>
        </w:rPr>
        <w:t>10 مكاتب بنشاط في هذ</w:t>
      </w:r>
      <w:r>
        <w:rPr>
          <w:rFonts w:hint="cs"/>
          <w:rtl/>
        </w:rPr>
        <w:t>ا</w:t>
      </w:r>
      <w:r>
        <w:rPr>
          <w:rtl/>
        </w:rPr>
        <w:t xml:space="preserve"> </w:t>
      </w:r>
      <w:r>
        <w:rPr>
          <w:rFonts w:hint="cs"/>
          <w:rtl/>
        </w:rPr>
        <w:t>الإصدار</w:t>
      </w:r>
      <w:r>
        <w:rPr>
          <w:rtl/>
        </w:rPr>
        <w:t xml:space="preserve">. </w:t>
      </w:r>
      <w:r>
        <w:rPr>
          <w:rFonts w:hint="cs"/>
          <w:rtl/>
        </w:rPr>
        <w:t>و</w:t>
      </w:r>
      <w:r>
        <w:rPr>
          <w:rtl/>
        </w:rPr>
        <w:t xml:space="preserve">فيما </w:t>
      </w:r>
      <w:r>
        <w:rPr>
          <w:rFonts w:hint="cs"/>
          <w:rtl/>
        </w:rPr>
        <w:t>يخص</w:t>
      </w:r>
      <w:r>
        <w:rPr>
          <w:rtl/>
        </w:rPr>
        <w:t xml:space="preserve"> الانتقال من </w:t>
      </w:r>
      <w:r>
        <w:rPr>
          <w:rFonts w:hint="cs"/>
          <w:rtl/>
        </w:rPr>
        <w:t>النظام القديم</w:t>
      </w:r>
      <w:r>
        <w:rPr>
          <w:rtl/>
        </w:rPr>
        <w:t xml:space="preserve"> إلى المعيار </w:t>
      </w:r>
      <w:r>
        <w:t>ST.96</w:t>
      </w:r>
      <w:r>
        <w:rPr>
          <w:rtl/>
        </w:rPr>
        <w:t xml:space="preserve">، </w:t>
      </w:r>
      <w:r>
        <w:rPr>
          <w:rFonts w:hint="cs"/>
          <w:rtl/>
        </w:rPr>
        <w:t>قُدمت</w:t>
      </w:r>
      <w:r>
        <w:rPr>
          <w:rtl/>
        </w:rPr>
        <w:t xml:space="preserve"> خارطة طريق إلى لجنة </w:t>
      </w:r>
      <w:r>
        <w:rPr>
          <w:rFonts w:hint="cs"/>
          <w:rtl/>
        </w:rPr>
        <w:t>المعايير</w:t>
      </w:r>
      <w:r>
        <w:rPr>
          <w:rtl/>
        </w:rPr>
        <w:t xml:space="preserve"> </w:t>
      </w:r>
      <w:r>
        <w:rPr>
          <w:rFonts w:hint="cs"/>
          <w:rtl/>
        </w:rPr>
        <w:t>وترد</w:t>
      </w:r>
      <w:r>
        <w:rPr>
          <w:rtl/>
        </w:rPr>
        <w:t xml:space="preserve"> </w:t>
      </w:r>
      <w:r>
        <w:rPr>
          <w:rFonts w:hint="cs"/>
          <w:rtl/>
        </w:rPr>
        <w:t>نسخة</w:t>
      </w:r>
      <w:r>
        <w:rPr>
          <w:rtl/>
        </w:rPr>
        <w:t xml:space="preserve"> محدثة</w:t>
      </w:r>
      <w:r>
        <w:rPr>
          <w:rFonts w:hint="cs"/>
          <w:rtl/>
        </w:rPr>
        <w:t xml:space="preserve"> من الإصدار</w:t>
      </w:r>
      <w:r>
        <w:rPr>
          <w:rtl/>
        </w:rPr>
        <w:t xml:space="preserve"> في </w:t>
      </w:r>
      <w:r>
        <w:rPr>
          <w:rFonts w:hint="cs"/>
          <w:rtl/>
        </w:rPr>
        <w:t>مرفق</w:t>
      </w:r>
      <w:r>
        <w:rPr>
          <w:rtl/>
        </w:rPr>
        <w:t xml:space="preserve"> هذه الوثيقة</w:t>
      </w:r>
      <w:r>
        <w:rPr>
          <w:rFonts w:hint="cs"/>
          <w:rtl/>
        </w:rPr>
        <w:t xml:space="preserve">. </w:t>
      </w:r>
    </w:p>
    <w:p w:rsidR="00993995" w:rsidRPr="003D487C" w:rsidRDefault="00993995" w:rsidP="003D487C">
      <w:pPr>
        <w:pStyle w:val="Heading1"/>
        <w:rPr>
          <w:rtl/>
        </w:rPr>
      </w:pPr>
      <w:r>
        <w:rPr>
          <w:rtl/>
        </w:rPr>
        <w:t>ثا</w:t>
      </w:r>
      <w:r>
        <w:rPr>
          <w:rFonts w:hint="cs"/>
          <w:rtl/>
        </w:rPr>
        <w:t>لث</w:t>
      </w:r>
      <w:r w:rsidRPr="00081126">
        <w:rPr>
          <w:rtl/>
        </w:rPr>
        <w:t xml:space="preserve">ا. </w:t>
      </w:r>
      <w:r>
        <w:rPr>
          <w:rFonts w:hint="cs"/>
          <w:rtl/>
        </w:rPr>
        <w:t>التحليل</w:t>
      </w:r>
    </w:p>
    <w:p w:rsidR="00993995" w:rsidRPr="006E3936" w:rsidRDefault="00993995" w:rsidP="003D487C">
      <w:pPr>
        <w:pStyle w:val="Heading2"/>
      </w:pPr>
      <w:r w:rsidRPr="006E3936">
        <w:rPr>
          <w:rFonts w:hint="cs"/>
          <w:rtl/>
        </w:rPr>
        <w:t>الآثار التقنية</w:t>
      </w:r>
    </w:p>
    <w:p w:rsidR="00993995" w:rsidRDefault="00993995" w:rsidP="003D487C">
      <w:pPr>
        <w:pStyle w:val="NumberedParaAR"/>
      </w:pPr>
      <w:r>
        <w:rPr>
          <w:rFonts w:hint="cs"/>
          <w:rtl/>
        </w:rPr>
        <w:t>تم التوصل إلى</w:t>
      </w:r>
      <w:r>
        <w:rPr>
          <w:rtl/>
        </w:rPr>
        <w:t xml:space="preserve"> نمذجة البيانات من أجل التبادل الإلكتروني للبيانات مع المكاتب من خلال وضع المعيار </w:t>
      </w:r>
      <w:r>
        <w:t>ST.96</w:t>
      </w:r>
      <w:r>
        <w:rPr>
          <w:rtl/>
        </w:rPr>
        <w:t>. وقد أدى ذلك إلى تضمين مكونات</w:t>
      </w:r>
      <w:r>
        <w:rPr>
          <w:rFonts w:hint="cs"/>
          <w:rtl/>
        </w:rPr>
        <w:t xml:space="preserve"> لغة الترميز الموسعة</w:t>
      </w:r>
      <w:r>
        <w:rPr>
          <w:rtl/>
        </w:rPr>
        <w:t xml:space="preserve"> </w:t>
      </w:r>
      <w:r>
        <w:t>XML</w:t>
      </w:r>
      <w:r>
        <w:rPr>
          <w:rtl/>
        </w:rPr>
        <w:t xml:space="preserve"> الخاصة بـ</w:t>
      </w:r>
      <w:r>
        <w:rPr>
          <w:rFonts w:hint="cs"/>
          <w:rtl/>
        </w:rPr>
        <w:t xml:space="preserve">نظام لاهاي </w:t>
      </w:r>
      <w:r>
        <w:rPr>
          <w:rtl/>
        </w:rPr>
        <w:t>في الإصدار المنشور من المعيار(</w:t>
      </w:r>
      <w:r>
        <w:rPr>
          <w:rFonts w:hint="cs"/>
          <w:rtl/>
        </w:rPr>
        <w:t>الإصدار</w:t>
      </w:r>
      <w:r w:rsidR="003D487C">
        <w:rPr>
          <w:rFonts w:hint="cs"/>
          <w:rtl/>
        </w:rPr>
        <w:t> </w:t>
      </w:r>
      <w:r>
        <w:rPr>
          <w:rtl/>
        </w:rPr>
        <w:t xml:space="preserve">3.0) </w:t>
      </w:r>
      <w:r>
        <w:rPr>
          <w:rFonts w:hint="cs"/>
          <w:rtl/>
        </w:rPr>
        <w:t>الذي أُطلق</w:t>
      </w:r>
      <w:r>
        <w:rPr>
          <w:rtl/>
        </w:rPr>
        <w:t xml:space="preserve"> في فبراير 2018.</w:t>
      </w:r>
      <w:r>
        <w:rPr>
          <w:rStyle w:val="FootnoteReference"/>
          <w:rtl/>
        </w:rPr>
        <w:footnoteReference w:id="3"/>
      </w:r>
      <w:r>
        <w:rPr>
          <w:rtl/>
        </w:rPr>
        <w:t xml:space="preserve"> </w:t>
      </w:r>
      <w:r>
        <w:rPr>
          <w:rFonts w:hint="cs"/>
          <w:rtl/>
        </w:rPr>
        <w:t>و</w:t>
      </w:r>
      <w:r w:rsidRPr="004B4620">
        <w:rPr>
          <w:rtl/>
        </w:rPr>
        <w:t>كما طلب وفد اليابان خلال الجلسة الأخيرة للفريق العامل</w:t>
      </w:r>
      <w:r>
        <w:rPr>
          <w:rStyle w:val="FootnoteReference"/>
          <w:rtl/>
        </w:rPr>
        <w:footnoteReference w:id="4"/>
      </w:r>
      <w:r>
        <w:rPr>
          <w:rFonts w:hint="cs"/>
          <w:rtl/>
        </w:rPr>
        <w:t>، وُثق</w:t>
      </w:r>
      <w:r>
        <w:rPr>
          <w:rtl/>
        </w:rPr>
        <w:t xml:space="preserve"> </w:t>
      </w:r>
      <w:r w:rsidRPr="00097F7B">
        <w:rPr>
          <w:rtl/>
        </w:rPr>
        <w:t>مخطط لغة الترميز الموسعة (</w:t>
      </w:r>
      <w:r w:rsidRPr="00097F7B">
        <w:t>XSD</w:t>
      </w:r>
      <w:r w:rsidRPr="00097F7B">
        <w:rPr>
          <w:rtl/>
        </w:rPr>
        <w:t xml:space="preserve">) </w:t>
      </w:r>
      <w:r>
        <w:rPr>
          <w:rtl/>
        </w:rPr>
        <w:t>بشكل كامل.</w:t>
      </w:r>
    </w:p>
    <w:p w:rsidR="00993995" w:rsidRPr="00495127" w:rsidRDefault="00993995" w:rsidP="00993995">
      <w:pPr>
        <w:pStyle w:val="NumberedParaAR"/>
      </w:pPr>
      <w:r>
        <w:rPr>
          <w:rFonts w:hint="cs"/>
          <w:rtl/>
        </w:rPr>
        <w:t xml:space="preserve">وفي </w:t>
      </w:r>
      <w:r>
        <w:rPr>
          <w:rtl/>
        </w:rPr>
        <w:t>عام 2017</w:t>
      </w:r>
      <w:r>
        <w:rPr>
          <w:rFonts w:hint="cs"/>
          <w:rtl/>
        </w:rPr>
        <w:t xml:space="preserve"> اُنتهي من</w:t>
      </w:r>
      <w:r>
        <w:rPr>
          <w:rtl/>
        </w:rPr>
        <w:t xml:space="preserve"> </w:t>
      </w:r>
      <w:r>
        <w:rPr>
          <w:rFonts w:hint="cs"/>
          <w:rtl/>
        </w:rPr>
        <w:t>نمذجة</w:t>
      </w:r>
      <w:r>
        <w:rPr>
          <w:rtl/>
        </w:rPr>
        <w:t xml:space="preserve"> البيانات </w:t>
      </w:r>
      <w:r>
        <w:rPr>
          <w:rFonts w:hint="cs"/>
          <w:rtl/>
        </w:rPr>
        <w:t>الخاصة با</w:t>
      </w:r>
      <w:r>
        <w:rPr>
          <w:rtl/>
        </w:rPr>
        <w:t xml:space="preserve">لسجل الدولي </w:t>
      </w:r>
      <w:r>
        <w:rPr>
          <w:rFonts w:hint="cs"/>
          <w:rtl/>
        </w:rPr>
        <w:t>ل</w:t>
      </w:r>
      <w:r>
        <w:rPr>
          <w:rtl/>
        </w:rPr>
        <w:t>نظام تكنولوجيا المعلومات</w:t>
      </w:r>
      <w:r>
        <w:rPr>
          <w:rFonts w:hint="cs"/>
          <w:rtl/>
        </w:rPr>
        <w:t xml:space="preserve"> الجديد والأساسي</w:t>
      </w:r>
      <w:r>
        <w:rPr>
          <w:rtl/>
        </w:rPr>
        <w:t xml:space="preserve"> </w:t>
      </w:r>
      <w:r>
        <w:rPr>
          <w:rFonts w:hint="cs"/>
          <w:rtl/>
        </w:rPr>
        <w:t>الخاص با</w:t>
      </w:r>
      <w:r>
        <w:rPr>
          <w:rtl/>
        </w:rPr>
        <w:t>لمكتب الدولي</w:t>
      </w:r>
      <w:r w:rsidRPr="00495127">
        <w:rPr>
          <w:rtl/>
        </w:rPr>
        <w:t>.</w:t>
      </w:r>
    </w:p>
    <w:p w:rsidR="00993995" w:rsidRPr="00495127" w:rsidRDefault="00993995" w:rsidP="003D487C">
      <w:pPr>
        <w:pStyle w:val="Heading2"/>
      </w:pPr>
      <w:r>
        <w:rPr>
          <w:rFonts w:hint="cs"/>
          <w:rtl/>
        </w:rPr>
        <w:t>الآثار العملية</w:t>
      </w:r>
    </w:p>
    <w:p w:rsidR="00993995" w:rsidRDefault="00993995" w:rsidP="002615A9">
      <w:pPr>
        <w:pStyle w:val="NumberedParaAR"/>
      </w:pPr>
      <w:r w:rsidRPr="00F872BB">
        <w:rPr>
          <w:u w:val="single"/>
          <w:rtl/>
        </w:rPr>
        <w:t>الوصف حسب التصميم</w:t>
      </w:r>
      <w:r>
        <w:rPr>
          <w:rtl/>
        </w:rPr>
        <w:t xml:space="preserve"> - في نموذج البيانات المنقح للسجل الدولي، تستفيد قاعدة البيانات الأساسية من </w:t>
      </w:r>
      <w:r>
        <w:rPr>
          <w:rFonts w:hint="cs"/>
          <w:rtl/>
        </w:rPr>
        <w:t xml:space="preserve">وجود </w:t>
      </w:r>
      <w:r>
        <w:rPr>
          <w:rtl/>
        </w:rPr>
        <w:t xml:space="preserve">علاقات الغنية. </w:t>
      </w:r>
      <w:r>
        <w:rPr>
          <w:rFonts w:hint="cs"/>
          <w:rtl/>
        </w:rPr>
        <w:t>وبالفعل</w:t>
      </w:r>
      <w:r>
        <w:rPr>
          <w:rtl/>
        </w:rPr>
        <w:t xml:space="preserve">، يمكن ربط وصف واحد </w:t>
      </w:r>
      <w:r>
        <w:rPr>
          <w:rFonts w:hint="cs"/>
          <w:rtl/>
        </w:rPr>
        <w:t>بآخر</w:t>
      </w:r>
      <w:r>
        <w:rPr>
          <w:rtl/>
        </w:rPr>
        <w:t xml:space="preserve"> أو عدة تصميمات دون تكرار</w:t>
      </w:r>
      <w:r>
        <w:rPr>
          <w:rFonts w:hint="cs"/>
          <w:rtl/>
        </w:rPr>
        <w:t>ها</w:t>
      </w:r>
      <w:r>
        <w:rPr>
          <w:rtl/>
        </w:rPr>
        <w:t xml:space="preserve">. </w:t>
      </w:r>
      <w:r>
        <w:rPr>
          <w:rFonts w:hint="cs"/>
          <w:rtl/>
        </w:rPr>
        <w:t>و</w:t>
      </w:r>
      <w:r>
        <w:rPr>
          <w:rtl/>
        </w:rPr>
        <w:t xml:space="preserve">هذا من شأنه أن يجنب </w:t>
      </w:r>
      <w:r>
        <w:rPr>
          <w:rtl/>
        </w:rPr>
        <w:lastRenderedPageBreak/>
        <w:t>المستخدمين متاعب نسخ ولصق الأوصاف</w:t>
      </w:r>
      <w:r>
        <w:rPr>
          <w:rStyle w:val="FootnoteReference"/>
          <w:rtl/>
        </w:rPr>
        <w:footnoteReference w:id="5"/>
      </w:r>
      <w:r>
        <w:rPr>
          <w:rtl/>
        </w:rPr>
        <w:t xml:space="preserve">. والأهم من ذلك </w:t>
      </w:r>
      <w:r>
        <w:rPr>
          <w:rFonts w:hint="cs"/>
          <w:rtl/>
        </w:rPr>
        <w:t>هو أن</w:t>
      </w:r>
      <w:r>
        <w:rPr>
          <w:rtl/>
        </w:rPr>
        <w:t xml:space="preserve"> "النص نفسه" المرتبط بأكثر من تصميم واحد </w:t>
      </w:r>
      <w:r>
        <w:rPr>
          <w:rFonts w:hint="cs"/>
          <w:rtl/>
        </w:rPr>
        <w:t xml:space="preserve">لن يتم إحصاءه </w:t>
      </w:r>
      <w:r>
        <w:rPr>
          <w:rtl/>
        </w:rPr>
        <w:t xml:space="preserve">عدة مرات عند تحديد عدد الكلمات لحساب </w:t>
      </w:r>
      <w:r w:rsidR="002615A9">
        <w:rPr>
          <w:rFonts w:hint="cs"/>
          <w:rtl/>
        </w:rPr>
        <w:t>ال</w:t>
      </w:r>
      <w:r>
        <w:rPr>
          <w:rtl/>
        </w:rPr>
        <w:t xml:space="preserve">رسوم </w:t>
      </w:r>
      <w:r w:rsidR="002615A9">
        <w:rPr>
          <w:rFonts w:hint="cs"/>
          <w:rtl/>
        </w:rPr>
        <w:t>الإضافية</w:t>
      </w:r>
      <w:r w:rsidR="002615A9">
        <w:rPr>
          <w:rStyle w:val="FootnoteReference"/>
          <w:rtl/>
        </w:rPr>
        <w:footnoteReference w:id="6"/>
      </w:r>
      <w:r>
        <w:rPr>
          <w:rtl/>
        </w:rPr>
        <w:t>.</w:t>
      </w:r>
    </w:p>
    <w:p w:rsidR="00993995" w:rsidRDefault="00993995" w:rsidP="00993995">
      <w:pPr>
        <w:pStyle w:val="NumberedParaAR"/>
      </w:pPr>
      <w:r w:rsidRPr="00B943F4">
        <w:rPr>
          <w:rFonts w:hint="cs"/>
          <w:u w:val="single"/>
          <w:rtl/>
        </w:rPr>
        <w:t>ال</w:t>
      </w:r>
      <w:r>
        <w:rPr>
          <w:u w:val="single"/>
          <w:rtl/>
        </w:rPr>
        <w:t>ت</w:t>
      </w:r>
      <w:r>
        <w:rPr>
          <w:rFonts w:hint="cs"/>
          <w:u w:val="single"/>
          <w:rtl/>
        </w:rPr>
        <w:t>عيين</w:t>
      </w:r>
      <w:r w:rsidRPr="00B943F4">
        <w:rPr>
          <w:u w:val="single"/>
          <w:rtl/>
        </w:rPr>
        <w:t xml:space="preserve"> </w:t>
      </w:r>
      <w:r w:rsidRPr="00B943F4">
        <w:rPr>
          <w:rFonts w:hint="cs"/>
          <w:u w:val="single"/>
          <w:rtl/>
        </w:rPr>
        <w:t>ال</w:t>
      </w:r>
      <w:r w:rsidRPr="00B943F4">
        <w:rPr>
          <w:u w:val="single"/>
          <w:rtl/>
        </w:rPr>
        <w:t>خاص بالتصميم</w:t>
      </w:r>
      <w:r>
        <w:rPr>
          <w:rtl/>
        </w:rPr>
        <w:t xml:space="preserve"> - سيخزن المكتب الدولي، في </w:t>
      </w:r>
      <w:r>
        <w:rPr>
          <w:rFonts w:hint="cs"/>
          <w:rtl/>
        </w:rPr>
        <w:t xml:space="preserve">نظام </w:t>
      </w:r>
      <w:r w:rsidRPr="00CE48B9">
        <w:rPr>
          <w:rtl/>
        </w:rPr>
        <w:t>تكنو</w:t>
      </w:r>
      <w:r>
        <w:rPr>
          <w:rtl/>
        </w:rPr>
        <w:t>لوجيا المعلومات الجديد والأساسي</w:t>
      </w:r>
      <w:r>
        <w:rPr>
          <w:rFonts w:hint="cs"/>
          <w:rtl/>
        </w:rPr>
        <w:t xml:space="preserve"> الخاص به</w:t>
      </w:r>
      <w:r>
        <w:rPr>
          <w:rtl/>
        </w:rPr>
        <w:t xml:space="preserve">، المعلومات في شكل مصفوفة يرتبط فيها كل تصميم </w:t>
      </w:r>
      <w:r>
        <w:rPr>
          <w:rFonts w:hint="cs"/>
          <w:rtl/>
        </w:rPr>
        <w:t>بتعيين</w:t>
      </w:r>
      <w:r>
        <w:rPr>
          <w:rtl/>
        </w:rPr>
        <w:t xml:space="preserve"> طرف متعاقد. </w:t>
      </w:r>
      <w:r>
        <w:rPr>
          <w:rFonts w:hint="cs"/>
          <w:rtl/>
        </w:rPr>
        <w:t>وإذا كان</w:t>
      </w:r>
      <w:r>
        <w:rPr>
          <w:rtl/>
        </w:rPr>
        <w:t xml:space="preserve"> هذا النهج المرن سيساعد على تسريع التطورات القانونية، فإنه يلغي</w:t>
      </w:r>
      <w:r>
        <w:rPr>
          <w:rFonts w:hint="cs"/>
          <w:rtl/>
        </w:rPr>
        <w:t xml:space="preserve"> أيضا</w:t>
      </w:r>
      <w:r>
        <w:rPr>
          <w:rtl/>
        </w:rPr>
        <w:t xml:space="preserve"> الحاجة إلى إرسال قائمة التعيينات تحت كل تصميم إلى مكاتب الأطراف المتعاقدة المعينة، لأن هذا سيجعل </w:t>
      </w:r>
      <w:r>
        <w:rPr>
          <w:rFonts w:hint="cs"/>
          <w:rtl/>
        </w:rPr>
        <w:t>استهلاك</w:t>
      </w:r>
      <w:r>
        <w:rPr>
          <w:rtl/>
        </w:rPr>
        <w:t xml:space="preserve"> وإدارة بيانات لاهاي من قبل المكاتب أكثر تعقيدًا </w:t>
      </w:r>
      <w:r>
        <w:rPr>
          <w:rFonts w:hint="cs"/>
          <w:rtl/>
        </w:rPr>
        <w:t>مع جني</w:t>
      </w:r>
      <w:r>
        <w:rPr>
          <w:rtl/>
        </w:rPr>
        <w:t xml:space="preserve"> </w:t>
      </w:r>
      <w:r>
        <w:rPr>
          <w:rFonts w:hint="cs"/>
          <w:rtl/>
        </w:rPr>
        <w:t>فوائد</w:t>
      </w:r>
      <w:r>
        <w:rPr>
          <w:rtl/>
        </w:rPr>
        <w:t xml:space="preserve"> ضئيلة.</w:t>
      </w:r>
    </w:p>
    <w:p w:rsidR="00993995" w:rsidRPr="00495127" w:rsidRDefault="00993995" w:rsidP="00993995">
      <w:pPr>
        <w:pStyle w:val="NumberedParaAR"/>
      </w:pPr>
      <w:r w:rsidRPr="008C3CCA">
        <w:rPr>
          <w:u w:val="single"/>
          <w:rtl/>
        </w:rPr>
        <w:t>البيانات القديمة</w:t>
      </w:r>
      <w:r>
        <w:rPr>
          <w:rtl/>
        </w:rPr>
        <w:t xml:space="preserve"> - لن </w:t>
      </w:r>
      <w:r>
        <w:rPr>
          <w:rFonts w:hint="cs"/>
          <w:rtl/>
        </w:rPr>
        <w:t>يطرأ أي تغيير على</w:t>
      </w:r>
      <w:r>
        <w:rPr>
          <w:rtl/>
        </w:rPr>
        <w:t xml:space="preserve"> التسجيلات المسجلة قبل </w:t>
      </w:r>
      <w:r>
        <w:rPr>
          <w:rFonts w:hint="cs"/>
          <w:rtl/>
        </w:rPr>
        <w:t>إطلاق</w:t>
      </w:r>
      <w:r>
        <w:rPr>
          <w:rtl/>
        </w:rPr>
        <w:t xml:space="preserve"> النظام الأساسي الجديد</w:t>
      </w:r>
      <w:r>
        <w:rPr>
          <w:rStyle w:val="FootnoteReference"/>
          <w:rtl/>
        </w:rPr>
        <w:footnoteReference w:id="7"/>
      </w:r>
      <w:r>
        <w:rPr>
          <w:rtl/>
        </w:rPr>
        <w:t xml:space="preserve">. ومع ذلك، قد يكون من الضروري إثراء بعض التسجيلات التي </w:t>
      </w:r>
      <w:r>
        <w:rPr>
          <w:rFonts w:hint="cs"/>
          <w:rtl/>
        </w:rPr>
        <w:t>أودع</w:t>
      </w:r>
      <w:r>
        <w:rPr>
          <w:rtl/>
        </w:rPr>
        <w:t xml:space="preserve"> طلب</w:t>
      </w:r>
      <w:r>
        <w:rPr>
          <w:rFonts w:hint="cs"/>
          <w:rtl/>
        </w:rPr>
        <w:t xml:space="preserve"> بشأنها</w:t>
      </w:r>
      <w:r>
        <w:rPr>
          <w:rtl/>
        </w:rPr>
        <w:t xml:space="preserve"> </w:t>
      </w:r>
      <w:r>
        <w:rPr>
          <w:rFonts w:hint="cs"/>
          <w:rtl/>
        </w:rPr>
        <w:t xml:space="preserve">لإدخال </w:t>
      </w:r>
      <w:r>
        <w:rPr>
          <w:rtl/>
        </w:rPr>
        <w:t xml:space="preserve">تغيير جزئي في ملكيتها. وفي مثل هذه الحالات، وعند الضرورة فقط، يجوز للمكتب الدولي أن يثري السجل قبل تسجيل المعاملة الجزئية. </w:t>
      </w:r>
      <w:r>
        <w:rPr>
          <w:rFonts w:hint="cs"/>
          <w:rtl/>
        </w:rPr>
        <w:t>وستُوثق</w:t>
      </w:r>
      <w:r>
        <w:rPr>
          <w:rtl/>
        </w:rPr>
        <w:t xml:space="preserve"> مثل هذه التغييرات بطريقة تجعل السجل الأصلي قابلاً للاسترجاع.</w:t>
      </w:r>
    </w:p>
    <w:p w:rsidR="00993995" w:rsidRPr="00495127" w:rsidRDefault="00993995" w:rsidP="00062F28">
      <w:pPr>
        <w:pStyle w:val="Heading2"/>
      </w:pPr>
      <w:r w:rsidRPr="00AE3C5E">
        <w:rPr>
          <w:rtl/>
        </w:rPr>
        <w:t xml:space="preserve">الآثار </w:t>
      </w:r>
      <w:r>
        <w:rPr>
          <w:rFonts w:hint="cs"/>
          <w:rtl/>
        </w:rPr>
        <w:t>القانونية</w:t>
      </w:r>
    </w:p>
    <w:p w:rsidR="00993995" w:rsidRDefault="00993995" w:rsidP="00993995">
      <w:pPr>
        <w:pStyle w:val="NumberedParaAR"/>
      </w:pPr>
      <w:r>
        <w:rPr>
          <w:rFonts w:hint="cs"/>
          <w:rtl/>
        </w:rPr>
        <w:t>ت</w:t>
      </w:r>
      <w:r>
        <w:rPr>
          <w:rtl/>
        </w:rPr>
        <w:t xml:space="preserve">ؤدي </w:t>
      </w:r>
      <w:r>
        <w:rPr>
          <w:rFonts w:hint="cs"/>
          <w:rtl/>
        </w:rPr>
        <w:t>زيادة</w:t>
      </w:r>
      <w:r>
        <w:rPr>
          <w:rtl/>
        </w:rPr>
        <w:t xml:space="preserve"> </w:t>
      </w:r>
      <w:r>
        <w:rPr>
          <w:rFonts w:hint="cs"/>
          <w:rtl/>
        </w:rPr>
        <w:t>دقة</w:t>
      </w:r>
      <w:r>
        <w:rPr>
          <w:rtl/>
        </w:rPr>
        <w:t xml:space="preserve"> البيانات الواردة في السجل الدولي إلى إطلاق العنان لإمكانية حدوث تطورات أخرى في تشغيل نظام لاهاي، من بينها </w:t>
      </w:r>
      <w:r>
        <w:rPr>
          <w:rFonts w:hint="cs"/>
          <w:rtl/>
        </w:rPr>
        <w:t>ال</w:t>
      </w:r>
      <w:r>
        <w:rPr>
          <w:rtl/>
        </w:rPr>
        <w:t xml:space="preserve">إمكانية </w:t>
      </w:r>
      <w:r>
        <w:rPr>
          <w:rFonts w:hint="cs"/>
          <w:rtl/>
        </w:rPr>
        <w:t>ال</w:t>
      </w:r>
      <w:r>
        <w:rPr>
          <w:rtl/>
        </w:rPr>
        <w:t xml:space="preserve">نظرية </w:t>
      </w:r>
      <w:r>
        <w:rPr>
          <w:rFonts w:hint="cs"/>
          <w:rtl/>
        </w:rPr>
        <w:t>لإصدار المنشور</w:t>
      </w:r>
      <w:r>
        <w:rPr>
          <w:rtl/>
        </w:rPr>
        <w:t xml:space="preserve"> </w:t>
      </w:r>
      <w:r>
        <w:rPr>
          <w:rFonts w:hint="cs"/>
          <w:rtl/>
        </w:rPr>
        <w:t>ال</w:t>
      </w:r>
      <w:r>
        <w:rPr>
          <w:rtl/>
        </w:rPr>
        <w:t>خاص بالتصميم.</w:t>
      </w:r>
    </w:p>
    <w:p w:rsidR="00993995" w:rsidRDefault="00993995" w:rsidP="00993995">
      <w:pPr>
        <w:pStyle w:val="NumberedParaAR"/>
      </w:pPr>
      <w:r>
        <w:rPr>
          <w:rtl/>
        </w:rPr>
        <w:t>وفي هذا السياق</w:t>
      </w:r>
      <w:r>
        <w:rPr>
          <w:rFonts w:hint="cs"/>
          <w:rtl/>
        </w:rPr>
        <w:t xml:space="preserve">، </w:t>
      </w:r>
      <w:r w:rsidRPr="00152FF9">
        <w:rPr>
          <w:rtl/>
        </w:rPr>
        <w:t xml:space="preserve">طلب وفد الولايات المتحدة الأمريكية </w:t>
      </w:r>
      <w:r>
        <w:rPr>
          <w:rtl/>
        </w:rPr>
        <w:t xml:space="preserve">خلال الدورة السادسة </w:t>
      </w:r>
      <w:r>
        <w:rPr>
          <w:rFonts w:hint="cs"/>
          <w:rtl/>
        </w:rPr>
        <w:t>أن تتم موافاته ب</w:t>
      </w:r>
      <w:r>
        <w:rPr>
          <w:rtl/>
        </w:rPr>
        <w:t xml:space="preserve">الآثار القانونية المحتملة لإدخال مفهوم </w:t>
      </w:r>
      <w:r>
        <w:rPr>
          <w:rFonts w:hint="cs"/>
          <w:rtl/>
        </w:rPr>
        <w:t>المنشور</w:t>
      </w:r>
      <w:r>
        <w:rPr>
          <w:rtl/>
        </w:rPr>
        <w:t xml:space="preserve"> الخاص بالتصميم</w:t>
      </w:r>
      <w:r>
        <w:rPr>
          <w:rStyle w:val="FootnoteReference"/>
          <w:rtl/>
        </w:rPr>
        <w:footnoteReference w:id="8"/>
      </w:r>
      <w:r>
        <w:rPr>
          <w:rtl/>
        </w:rPr>
        <w:t>.</w:t>
      </w:r>
    </w:p>
    <w:p w:rsidR="00993995" w:rsidRDefault="00993995" w:rsidP="00993995">
      <w:pPr>
        <w:pStyle w:val="NumberedParaAR"/>
      </w:pPr>
      <w:r>
        <w:rPr>
          <w:rFonts w:hint="cs"/>
          <w:rtl/>
        </w:rPr>
        <w:t>و</w:t>
      </w:r>
      <w:r>
        <w:rPr>
          <w:rtl/>
        </w:rPr>
        <w:t xml:space="preserve">وفقا </w:t>
      </w:r>
      <w:r>
        <w:rPr>
          <w:rFonts w:hint="cs"/>
          <w:rtl/>
        </w:rPr>
        <w:t>للقاعدتين</w:t>
      </w:r>
      <w:r>
        <w:rPr>
          <w:rtl/>
        </w:rPr>
        <w:t xml:space="preserve"> 18(1)(أ) و 26(3) من اللائحة التنفيذية المشتركة بموجب </w:t>
      </w:r>
      <w:r>
        <w:rPr>
          <w:rFonts w:hint="cs"/>
          <w:rtl/>
        </w:rPr>
        <w:t>وثيقة</w:t>
      </w:r>
      <w:r>
        <w:rPr>
          <w:rtl/>
        </w:rPr>
        <w:t xml:space="preserve"> 1999 </w:t>
      </w:r>
      <w:r>
        <w:rPr>
          <w:rFonts w:hint="cs"/>
          <w:rtl/>
        </w:rPr>
        <w:t>ووثيقة</w:t>
      </w:r>
      <w:r>
        <w:rPr>
          <w:rtl/>
        </w:rPr>
        <w:t xml:space="preserve"> 1960 </w:t>
      </w:r>
      <w:r>
        <w:rPr>
          <w:rFonts w:hint="cs"/>
          <w:rtl/>
        </w:rPr>
        <w:t xml:space="preserve">من </w:t>
      </w:r>
      <w:r>
        <w:rPr>
          <w:rtl/>
        </w:rPr>
        <w:t xml:space="preserve">اتفاق لاهاي، تبدأ الفترة المحددة </w:t>
      </w:r>
      <w:r>
        <w:rPr>
          <w:rFonts w:hint="cs"/>
          <w:rtl/>
        </w:rPr>
        <w:t>لا</w:t>
      </w:r>
      <w:r>
        <w:rPr>
          <w:rtl/>
        </w:rPr>
        <w:t>خطار</w:t>
      </w:r>
      <w:r>
        <w:rPr>
          <w:rFonts w:hint="cs"/>
          <w:rtl/>
        </w:rPr>
        <w:t>ات</w:t>
      </w:r>
      <w:r>
        <w:rPr>
          <w:rtl/>
        </w:rPr>
        <w:t xml:space="preserve"> الرفض من تاريخ نشر التسجيل الدولي.</w:t>
      </w:r>
    </w:p>
    <w:p w:rsidR="00993995" w:rsidRDefault="00993995" w:rsidP="00993995">
      <w:pPr>
        <w:pStyle w:val="NumberedParaAR"/>
      </w:pPr>
      <w:r>
        <w:rPr>
          <w:rtl/>
        </w:rPr>
        <w:t>وستؤدي تواريخ النشر المتعددة لنفس التسجيل الدولي إلى فترات رفض مختلفة و</w:t>
      </w:r>
      <w:r>
        <w:rPr>
          <w:rFonts w:hint="cs"/>
          <w:rtl/>
        </w:rPr>
        <w:t>س</w:t>
      </w:r>
      <w:r>
        <w:rPr>
          <w:rtl/>
        </w:rPr>
        <w:t xml:space="preserve">تتطلب تحديد </w:t>
      </w:r>
      <w:r>
        <w:rPr>
          <w:rFonts w:hint="cs"/>
          <w:rtl/>
        </w:rPr>
        <w:t>ورصد</w:t>
      </w:r>
      <w:r>
        <w:rPr>
          <w:rtl/>
        </w:rPr>
        <w:t xml:space="preserve"> </w:t>
      </w:r>
      <w:r>
        <w:rPr>
          <w:rFonts w:hint="cs"/>
          <w:rtl/>
        </w:rPr>
        <w:t>مهل</w:t>
      </w:r>
      <w:r>
        <w:rPr>
          <w:rtl/>
        </w:rPr>
        <w:t xml:space="preserve"> مختلفة </w:t>
      </w:r>
      <w:r>
        <w:rPr>
          <w:rFonts w:hint="cs"/>
          <w:rtl/>
        </w:rPr>
        <w:t>ل</w:t>
      </w:r>
      <w:r>
        <w:rPr>
          <w:rtl/>
        </w:rPr>
        <w:t xml:space="preserve">لتسجيل </w:t>
      </w:r>
      <w:r>
        <w:rPr>
          <w:rFonts w:hint="cs"/>
          <w:rtl/>
        </w:rPr>
        <w:t>ال</w:t>
      </w:r>
      <w:r>
        <w:rPr>
          <w:rtl/>
        </w:rPr>
        <w:t xml:space="preserve">واحد ونفس التسجيل الدولي. واعتماداً على الطريقة التي </w:t>
      </w:r>
      <w:r>
        <w:rPr>
          <w:rFonts w:hint="cs"/>
          <w:rtl/>
        </w:rPr>
        <w:t>سيصدُر بها</w:t>
      </w:r>
      <w:r>
        <w:rPr>
          <w:rtl/>
        </w:rPr>
        <w:t xml:space="preserve"> المنشور الخاص بالتصميم، </w:t>
      </w:r>
      <w:r>
        <w:rPr>
          <w:rFonts w:hint="cs"/>
          <w:rtl/>
        </w:rPr>
        <w:t xml:space="preserve">فقد تكون </w:t>
      </w:r>
      <w:r>
        <w:rPr>
          <w:rtl/>
        </w:rPr>
        <w:t xml:space="preserve">هذه العملية أكثر تعقيداً </w:t>
      </w:r>
      <w:r>
        <w:rPr>
          <w:rFonts w:hint="cs"/>
          <w:rtl/>
        </w:rPr>
        <w:t xml:space="preserve">أو لا تكون </w:t>
      </w:r>
      <w:r>
        <w:rPr>
          <w:rtl/>
        </w:rPr>
        <w:t>و</w:t>
      </w:r>
      <w:r>
        <w:rPr>
          <w:rFonts w:hint="cs"/>
          <w:rtl/>
        </w:rPr>
        <w:t xml:space="preserve">قد </w:t>
      </w:r>
      <w:r>
        <w:rPr>
          <w:rtl/>
        </w:rPr>
        <w:t xml:space="preserve">يزيد من عبء العمل </w:t>
      </w:r>
      <w:r>
        <w:rPr>
          <w:rFonts w:hint="cs"/>
          <w:rtl/>
        </w:rPr>
        <w:t>على</w:t>
      </w:r>
      <w:r>
        <w:rPr>
          <w:rtl/>
        </w:rPr>
        <w:t xml:space="preserve"> </w:t>
      </w:r>
      <w:r>
        <w:rPr>
          <w:rFonts w:hint="cs"/>
          <w:rtl/>
        </w:rPr>
        <w:t>م</w:t>
      </w:r>
      <w:r>
        <w:rPr>
          <w:rtl/>
        </w:rPr>
        <w:t>كاتب الأطراف المتعاقدة المعينة.</w:t>
      </w:r>
    </w:p>
    <w:p w:rsidR="00993995" w:rsidRDefault="00993995" w:rsidP="00993995">
      <w:pPr>
        <w:pStyle w:val="NumberedParaAR"/>
      </w:pPr>
      <w:r>
        <w:rPr>
          <w:rtl/>
        </w:rPr>
        <w:t xml:space="preserve">وعلاوة على ذلك، </w:t>
      </w:r>
      <w:r>
        <w:rPr>
          <w:rFonts w:hint="cs"/>
          <w:rtl/>
        </w:rPr>
        <w:t>إذا أصدر</w:t>
      </w:r>
      <w:r>
        <w:rPr>
          <w:rtl/>
        </w:rPr>
        <w:t xml:space="preserve"> الطرف المتعاقد إعلاناً بموجب المادة 13(1) من </w:t>
      </w:r>
      <w:r>
        <w:rPr>
          <w:rFonts w:hint="cs"/>
          <w:rtl/>
        </w:rPr>
        <w:t>وثيقة</w:t>
      </w:r>
      <w:r>
        <w:rPr>
          <w:rtl/>
        </w:rPr>
        <w:t xml:space="preserve"> 1999، فإن السؤال المطروح هو ما إذا كانت الشروط التي </w:t>
      </w:r>
      <w:r>
        <w:rPr>
          <w:rFonts w:hint="cs"/>
          <w:rtl/>
        </w:rPr>
        <w:t>أخطر بها</w:t>
      </w:r>
      <w:r>
        <w:rPr>
          <w:rtl/>
        </w:rPr>
        <w:t xml:space="preserve"> الإعلان ينبغي أن تنطبق على كل جزء من التسجيل الدولي كما هو منشور، أو على التسجيل الدولي بأكمله.</w:t>
      </w:r>
    </w:p>
    <w:p w:rsidR="00993995" w:rsidRPr="00495127" w:rsidRDefault="00993995" w:rsidP="00993995">
      <w:pPr>
        <w:pStyle w:val="NumberedParaAR"/>
      </w:pPr>
      <w:r>
        <w:rPr>
          <w:rFonts w:hint="cs"/>
          <w:rtl/>
        </w:rPr>
        <w:t>و</w:t>
      </w:r>
      <w:r>
        <w:rPr>
          <w:rtl/>
        </w:rPr>
        <w:t xml:space="preserve">ستتطلب هذه المسألة تحليلًا </w:t>
      </w:r>
      <w:r>
        <w:rPr>
          <w:rFonts w:hint="cs"/>
          <w:rtl/>
        </w:rPr>
        <w:t>دقيقا</w:t>
      </w:r>
      <w:r>
        <w:rPr>
          <w:rtl/>
        </w:rPr>
        <w:t xml:space="preserve">. وبالتالي، ينبغي استبعاد إدخال مفهوم المنشور الخاص بالتصميم من نطاق هذه المبادرة التي ينبغي أن تركز على التطورات التقنية المتعلقة </w:t>
      </w:r>
      <w:r>
        <w:rPr>
          <w:rFonts w:hint="cs"/>
          <w:rtl/>
        </w:rPr>
        <w:t>ببنية</w:t>
      </w:r>
      <w:r>
        <w:rPr>
          <w:rtl/>
        </w:rPr>
        <w:t xml:space="preserve"> المعلومات، إلى أن يمكن إثبات أن النتيجة الإيجابية لهذه الخطوة تفوق أي أثر سلبي</w:t>
      </w:r>
      <w:r w:rsidRPr="00495127">
        <w:rPr>
          <w:rtl/>
        </w:rPr>
        <w:t>.</w:t>
      </w:r>
    </w:p>
    <w:p w:rsidR="00993995" w:rsidRPr="00495127" w:rsidRDefault="00993995" w:rsidP="00062F28">
      <w:pPr>
        <w:pStyle w:val="Heading1"/>
      </w:pPr>
      <w:r>
        <w:rPr>
          <w:rFonts w:hint="cs"/>
          <w:rtl/>
        </w:rPr>
        <w:lastRenderedPageBreak/>
        <w:t>رابعا. الخلاصة والخطوات القادمة</w:t>
      </w:r>
    </w:p>
    <w:p w:rsidR="00993995" w:rsidRDefault="00993995" w:rsidP="00993995">
      <w:pPr>
        <w:pStyle w:val="NumberedParaAR"/>
      </w:pPr>
      <w:r>
        <w:rPr>
          <w:rtl/>
        </w:rPr>
        <w:t>تمثل هذه المبادرة خطوة هامة نحو إعداد نظام للتطور المستقبلي للإطار القانوني، وينبغي أن تتيح لمكاتب الأطراف المتعاقدة الوصول إلى بيانات أكثر فائدة وذات مغزى عندما تتواصل إلكترونياً مع المكتب الدولي.</w:t>
      </w:r>
    </w:p>
    <w:p w:rsidR="00993995" w:rsidRDefault="00993995" w:rsidP="00993995">
      <w:pPr>
        <w:pStyle w:val="NumberedParaAR"/>
      </w:pPr>
      <w:r>
        <w:rPr>
          <w:rtl/>
        </w:rPr>
        <w:t xml:space="preserve">وفيما يتعلق بالخطوات التالية، سيواصل المكتب الدولي استثمار جهوده في النشر الناجح لنظامه الأساسي </w:t>
      </w:r>
      <w:r w:rsidR="00062F28">
        <w:rPr>
          <w:rFonts w:hint="cs"/>
          <w:rtl/>
        </w:rPr>
        <w:t>الجديد،</w:t>
      </w:r>
      <w:r>
        <w:rPr>
          <w:rtl/>
        </w:rPr>
        <w:t xml:space="preserve"> مع تحديث نموذج الطلب لضمان استفادة المستخدمين من </w:t>
      </w:r>
      <w:r>
        <w:rPr>
          <w:rFonts w:hint="cs"/>
          <w:rtl/>
        </w:rPr>
        <w:t>البنية الجديدة ل</w:t>
      </w:r>
      <w:r>
        <w:rPr>
          <w:rtl/>
        </w:rPr>
        <w:t xml:space="preserve">لمعلومات. كما سيواصل تعاونه الفعال مع المكاتب لتعزيز اعتماد الإصدار الجديد من المعيار </w:t>
      </w:r>
      <w:r>
        <w:t>ST.96</w:t>
      </w:r>
      <w:r>
        <w:rPr>
          <w:rtl/>
        </w:rPr>
        <w:t xml:space="preserve"> على نطاق واسع.</w:t>
      </w:r>
    </w:p>
    <w:p w:rsidR="00993995" w:rsidRDefault="00993995" w:rsidP="002615A9">
      <w:pPr>
        <w:pStyle w:val="NumberedParaAR"/>
      </w:pPr>
      <w:r>
        <w:rPr>
          <w:rtl/>
        </w:rPr>
        <w:t xml:space="preserve">وعلاوة على ذلك، إذا رأى الفريق العامل أن المكتب الدولي ينبغي أن يعد تحليلاً للآثار العملية والقانونية الناجمة عن احتمال إدخال مفهوم </w:t>
      </w:r>
      <w:r>
        <w:rPr>
          <w:rFonts w:hint="cs"/>
          <w:rtl/>
        </w:rPr>
        <w:t>المنشور</w:t>
      </w:r>
      <w:r>
        <w:rPr>
          <w:rtl/>
        </w:rPr>
        <w:t xml:space="preserve"> الخاص بالتصميم، على النحو المذكور في الفقرة </w:t>
      </w:r>
      <w:r w:rsidR="002615A9">
        <w:rPr>
          <w:rFonts w:hint="cs"/>
          <w:rtl/>
        </w:rPr>
        <w:t>18</w:t>
      </w:r>
      <w:r>
        <w:rPr>
          <w:rtl/>
        </w:rPr>
        <w:t>، من أجل</w:t>
      </w:r>
      <w:r>
        <w:rPr>
          <w:rFonts w:hint="cs"/>
          <w:rtl/>
        </w:rPr>
        <w:t xml:space="preserve"> عقد</w:t>
      </w:r>
      <w:r>
        <w:rPr>
          <w:rtl/>
        </w:rPr>
        <w:t xml:space="preserve"> </w:t>
      </w:r>
      <w:r>
        <w:rPr>
          <w:rFonts w:hint="cs"/>
          <w:rtl/>
        </w:rPr>
        <w:t>ا</w:t>
      </w:r>
      <w:r>
        <w:rPr>
          <w:rtl/>
        </w:rPr>
        <w:t>لفريق العامل</w:t>
      </w:r>
      <w:r w:rsidRPr="008C5AE1">
        <w:rPr>
          <w:rtl/>
        </w:rPr>
        <w:t xml:space="preserve"> </w:t>
      </w:r>
      <w:r>
        <w:rPr>
          <w:rFonts w:hint="cs"/>
          <w:rtl/>
        </w:rPr>
        <w:t>ل</w:t>
      </w:r>
      <w:r w:rsidRPr="008C5AE1">
        <w:rPr>
          <w:rtl/>
        </w:rPr>
        <w:t>اجتماع مستقبلي</w:t>
      </w:r>
      <w:r>
        <w:rPr>
          <w:rtl/>
        </w:rPr>
        <w:t xml:space="preserve">، </w:t>
      </w:r>
      <w:r>
        <w:rPr>
          <w:rFonts w:hint="cs"/>
          <w:rtl/>
        </w:rPr>
        <w:t>فيمكنه</w:t>
      </w:r>
      <w:r>
        <w:rPr>
          <w:rtl/>
        </w:rPr>
        <w:t xml:space="preserve"> </w:t>
      </w:r>
      <w:r>
        <w:rPr>
          <w:rFonts w:hint="cs"/>
          <w:rtl/>
        </w:rPr>
        <w:t>الإشارة إلى</w:t>
      </w:r>
      <w:r>
        <w:rPr>
          <w:rtl/>
        </w:rPr>
        <w:t xml:space="preserve"> ذلك</w:t>
      </w:r>
      <w:r w:rsidRPr="00495127">
        <w:rPr>
          <w:rtl/>
        </w:rPr>
        <w:t>.</w:t>
      </w:r>
    </w:p>
    <w:p w:rsidR="00993995" w:rsidRDefault="00993995" w:rsidP="00993995">
      <w:pPr>
        <w:pStyle w:val="DecisionParaAR"/>
        <w:ind w:left="5534"/>
      </w:pPr>
      <w:r w:rsidRPr="000F4FEC">
        <w:rPr>
          <w:rtl/>
        </w:rPr>
        <w:t>إن الفريق العامل مدعو إلى</w:t>
      </w:r>
      <w:r>
        <w:rPr>
          <w:rFonts w:hint="cs"/>
          <w:rtl/>
        </w:rPr>
        <w:t xml:space="preserve"> ما يلي:</w:t>
      </w:r>
    </w:p>
    <w:p w:rsidR="00993995" w:rsidRDefault="00993995" w:rsidP="00062F28">
      <w:pPr>
        <w:pStyle w:val="DecisionParaAR"/>
        <w:numPr>
          <w:ilvl w:val="0"/>
          <w:numId w:val="0"/>
        </w:numPr>
        <w:ind w:left="6236"/>
        <w:rPr>
          <w:rtl/>
        </w:rPr>
      </w:pPr>
      <w:r>
        <w:rPr>
          <w:rFonts w:hint="cs"/>
          <w:rtl/>
        </w:rPr>
        <w:t>"1"</w:t>
      </w:r>
      <w:r w:rsidRPr="000F4FEC">
        <w:rPr>
          <w:rtl/>
        </w:rPr>
        <w:t xml:space="preserve"> </w:t>
      </w:r>
      <w:r>
        <w:rPr>
          <w:rtl/>
        </w:rPr>
        <w:t>الإحاطة علما بمضمون هذه الوثيقة</w:t>
      </w:r>
      <w:r>
        <w:rPr>
          <w:rFonts w:hint="cs"/>
          <w:rtl/>
        </w:rPr>
        <w:t>؛</w:t>
      </w:r>
    </w:p>
    <w:p w:rsidR="00993995" w:rsidRPr="000F4FEC" w:rsidRDefault="00993995" w:rsidP="00062F28">
      <w:pPr>
        <w:pStyle w:val="DecisionParaAR"/>
        <w:numPr>
          <w:ilvl w:val="0"/>
          <w:numId w:val="0"/>
        </w:numPr>
        <w:ind w:left="6236"/>
      </w:pPr>
      <w:r>
        <w:rPr>
          <w:rFonts w:hint="cs"/>
          <w:rtl/>
        </w:rPr>
        <w:t>"2" التعليق على الخطوات القادمة المقترحة في الفقرتين 20 و21 أعلاه.</w:t>
      </w:r>
    </w:p>
    <w:p w:rsidR="003D487C" w:rsidRDefault="00993995" w:rsidP="00062F28">
      <w:pPr>
        <w:pStyle w:val="EndofDocumentAR"/>
        <w:spacing w:before="480"/>
        <w:rPr>
          <w:rtl/>
        </w:rPr>
        <w:sectPr w:rsidR="003D487C" w:rsidSect="00EB7752">
          <w:headerReference w:type="default" r:id="rId9"/>
          <w:pgSz w:w="11907" w:h="16840" w:code="9"/>
          <w:pgMar w:top="567" w:right="1418" w:bottom="1418" w:left="1134" w:header="510" w:footer="1021" w:gutter="0"/>
          <w:cols w:space="720"/>
          <w:titlePg/>
          <w:docGrid w:linePitch="299"/>
        </w:sectPr>
      </w:pPr>
      <w:r w:rsidRPr="00495127">
        <w:rPr>
          <w:rtl/>
        </w:rPr>
        <w:t xml:space="preserve">[يلي ذلك </w:t>
      </w:r>
      <w:r>
        <w:rPr>
          <w:rFonts w:hint="cs"/>
          <w:rtl/>
        </w:rPr>
        <w:t>المرفق</w:t>
      </w:r>
      <w:r w:rsidRPr="00495127">
        <w:rPr>
          <w:rtl/>
        </w:rPr>
        <w:t>]</w:t>
      </w:r>
    </w:p>
    <w:p w:rsidR="002C2E41" w:rsidRDefault="002615A9" w:rsidP="002C2E41">
      <w:pPr>
        <w:pStyle w:val="EndofDocumentAR"/>
        <w:bidi w:val="0"/>
        <w:spacing w:after="0" w:line="240" w:lineRule="auto"/>
        <w:ind w:left="0"/>
        <w:jc w:val="center"/>
        <w:rPr>
          <w:rtl/>
        </w:rPr>
      </w:pPr>
      <w:r w:rsidRPr="002615A9">
        <w:rPr>
          <w:noProof/>
        </w:rPr>
        <w:lastRenderedPageBreak/>
        <w:drawing>
          <wp:inline distT="0" distB="0" distL="0" distR="0" wp14:anchorId="47860554" wp14:editId="7B8742A0">
            <wp:extent cx="7825839" cy="5416233"/>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847269" cy="5431065"/>
                    </a:xfrm>
                    <a:prstGeom prst="rect">
                      <a:avLst/>
                    </a:prstGeom>
                    <a:noFill/>
                    <a:ln>
                      <a:noFill/>
                    </a:ln>
                  </pic:spPr>
                </pic:pic>
              </a:graphicData>
            </a:graphic>
          </wp:inline>
        </w:drawing>
      </w:r>
    </w:p>
    <w:p w:rsidR="002C2E41" w:rsidRDefault="002C2E41" w:rsidP="00807BD1">
      <w:pPr>
        <w:pStyle w:val="NormalParaAR"/>
        <w:spacing w:before="200" w:after="120"/>
        <w:ind w:left="9043"/>
        <w:rPr>
          <w:rtl/>
          <w:lang w:bidi="ar-EG"/>
        </w:rPr>
      </w:pPr>
      <w:r w:rsidRPr="00F76DDC">
        <w:rPr>
          <w:rtl/>
          <w:lang w:bidi="ar-EG"/>
        </w:rPr>
        <w:t xml:space="preserve"> [نهاية المرفق والوثيقة]</w:t>
      </w:r>
    </w:p>
    <w:sectPr w:rsidR="002C2E41" w:rsidSect="002C2E41">
      <w:headerReference w:type="first" r:id="rId11"/>
      <w:pgSz w:w="16840" w:h="11907" w:orient="landscape" w:code="9"/>
      <w:pgMar w:top="1134" w:right="1134" w:bottom="1134" w:left="1134"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288D" w:rsidRDefault="0020288D">
      <w:r>
        <w:separator/>
      </w:r>
    </w:p>
  </w:endnote>
  <w:endnote w:type="continuationSeparator" w:id="0">
    <w:p w:rsidR="0020288D" w:rsidRDefault="00202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Arial Black">
    <w:panose1 w:val="020B0A04020102020204"/>
    <w:charset w:val="00"/>
    <w:family w:val="swiss"/>
    <w:pitch w:val="variable"/>
    <w:sig w:usb0="00000287" w:usb1="00000000" w:usb2="00000000" w:usb3="00000000" w:csb0="0000009F" w:csb1="00000000"/>
  </w:font>
  <w:font w:name="PT Bold Heading">
    <w:altName w:val="Courier New"/>
    <w:charset w:val="B2"/>
    <w:family w:val="auto"/>
    <w:pitch w:val="variable"/>
    <w:sig w:usb0="00002000"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288D" w:rsidRDefault="0020288D" w:rsidP="009622BF">
      <w:pPr>
        <w:bidi/>
      </w:pPr>
      <w:bookmarkStart w:id="0" w:name="OLE_LINK1"/>
      <w:bookmarkStart w:id="1" w:name="OLE_LINK2"/>
      <w:r>
        <w:separator/>
      </w:r>
      <w:bookmarkEnd w:id="0"/>
      <w:bookmarkEnd w:id="1"/>
    </w:p>
  </w:footnote>
  <w:footnote w:type="continuationSeparator" w:id="0">
    <w:p w:rsidR="0020288D" w:rsidRDefault="0020288D" w:rsidP="009622BF">
      <w:pPr>
        <w:bidi/>
      </w:pPr>
      <w:r>
        <w:separator/>
      </w:r>
    </w:p>
  </w:footnote>
  <w:footnote w:id="1">
    <w:p w:rsidR="00993995" w:rsidRDefault="00993995" w:rsidP="00993995">
      <w:pPr>
        <w:pStyle w:val="FootnoteText"/>
        <w:rPr>
          <w:lang w:bidi="ar-MA"/>
        </w:rPr>
      </w:pPr>
      <w:r>
        <w:rPr>
          <w:rStyle w:val="FootnoteReference"/>
        </w:rPr>
        <w:footnoteRef/>
      </w:r>
      <w:r w:rsidR="003D487C">
        <w:rPr>
          <w:rFonts w:hint="cs"/>
          <w:rtl/>
        </w:rPr>
        <w:tab/>
      </w:r>
      <w:r>
        <w:rPr>
          <w:rFonts w:hint="cs"/>
          <w:rtl/>
          <w:lang w:bidi="ar-MA"/>
        </w:rPr>
        <w:t xml:space="preserve">يُرجى الرجو ع إلى الوثيقة </w:t>
      </w:r>
      <w:r w:rsidRPr="00D9678E">
        <w:rPr>
          <w:lang w:bidi="ar-MA"/>
        </w:rPr>
        <w:t>H/LD/WG/6/4</w:t>
      </w:r>
      <w:r>
        <w:rPr>
          <w:rFonts w:hint="cs"/>
          <w:rtl/>
          <w:lang w:bidi="ar-MA"/>
        </w:rPr>
        <w:t>.</w:t>
      </w:r>
    </w:p>
  </w:footnote>
  <w:footnote w:id="2">
    <w:p w:rsidR="00993995" w:rsidRDefault="00993995" w:rsidP="00993995">
      <w:pPr>
        <w:pStyle w:val="FootnoteText"/>
        <w:rPr>
          <w:lang w:bidi="ar-MA"/>
        </w:rPr>
      </w:pPr>
      <w:r>
        <w:rPr>
          <w:rStyle w:val="FootnoteReference"/>
        </w:rPr>
        <w:footnoteRef/>
      </w:r>
      <w:r>
        <w:rPr>
          <w:rtl/>
        </w:rPr>
        <w:t xml:space="preserve"> </w:t>
      </w:r>
      <w:r w:rsidR="003D487C">
        <w:rPr>
          <w:rFonts w:hint="cs"/>
          <w:rtl/>
        </w:rPr>
        <w:tab/>
      </w:r>
      <w:r w:rsidRPr="00ED6AA5">
        <w:rPr>
          <w:rtl/>
        </w:rPr>
        <w:t>يُرجى الرجو ع إلى الوثيقة</w:t>
      </w:r>
      <w:r>
        <w:rPr>
          <w:rFonts w:hint="cs"/>
          <w:rtl/>
        </w:rPr>
        <w:t xml:space="preserve"> </w:t>
      </w:r>
      <w:r w:rsidRPr="00ED6AA5">
        <w:t>H/LD/WG/6/7 Prov</w:t>
      </w:r>
      <w:r>
        <w:t>.</w:t>
      </w:r>
      <w:r>
        <w:rPr>
          <w:rFonts w:hint="cs"/>
          <w:rtl/>
        </w:rPr>
        <w:t xml:space="preserve">. </w:t>
      </w:r>
    </w:p>
  </w:footnote>
  <w:footnote w:id="3">
    <w:p w:rsidR="00993995" w:rsidRDefault="00993995" w:rsidP="00993995">
      <w:pPr>
        <w:pStyle w:val="FootnoteText"/>
        <w:rPr>
          <w:lang w:bidi="ar-MA"/>
        </w:rPr>
      </w:pPr>
      <w:r>
        <w:rPr>
          <w:rStyle w:val="FootnoteReference"/>
        </w:rPr>
        <w:footnoteRef/>
      </w:r>
      <w:r w:rsidR="003D487C">
        <w:rPr>
          <w:rFonts w:hint="cs"/>
          <w:rtl/>
        </w:rPr>
        <w:tab/>
      </w:r>
      <w:r>
        <w:rPr>
          <w:rFonts w:hint="cs"/>
          <w:rtl/>
          <w:lang w:bidi="ar-MA"/>
        </w:rPr>
        <w:t xml:space="preserve">تتاح على </w:t>
      </w:r>
      <w:r w:rsidRPr="005A2C76">
        <w:rPr>
          <w:lang w:bidi="ar-MA"/>
        </w:rPr>
        <w:t>http://www.wipo.int/standards/en/part_03_standards.html</w:t>
      </w:r>
      <w:r>
        <w:rPr>
          <w:rFonts w:hint="cs"/>
          <w:rtl/>
          <w:lang w:bidi="ar-MA"/>
        </w:rPr>
        <w:t>.</w:t>
      </w:r>
    </w:p>
  </w:footnote>
  <w:footnote w:id="4">
    <w:p w:rsidR="00993995" w:rsidRDefault="00993995" w:rsidP="002615A9">
      <w:pPr>
        <w:pStyle w:val="FootnoteText"/>
        <w:rPr>
          <w:lang w:bidi="ar-MA"/>
        </w:rPr>
      </w:pPr>
      <w:r>
        <w:rPr>
          <w:rStyle w:val="FootnoteReference"/>
        </w:rPr>
        <w:footnoteRef/>
      </w:r>
      <w:r w:rsidR="003D487C">
        <w:rPr>
          <w:rFonts w:hint="cs"/>
          <w:rtl/>
        </w:rPr>
        <w:tab/>
      </w:r>
      <w:r w:rsidRPr="00C2712A">
        <w:rPr>
          <w:rtl/>
        </w:rPr>
        <w:t>يُرجى الرجوع إلى</w:t>
      </w:r>
      <w:r>
        <w:rPr>
          <w:rFonts w:hint="cs"/>
          <w:rtl/>
        </w:rPr>
        <w:t xml:space="preserve"> الفقرة 94 من</w:t>
      </w:r>
      <w:r w:rsidRPr="00C2712A">
        <w:rPr>
          <w:rtl/>
        </w:rPr>
        <w:t xml:space="preserve"> الوثيقة</w:t>
      </w:r>
      <w:r>
        <w:rPr>
          <w:rFonts w:hint="cs"/>
          <w:rtl/>
        </w:rPr>
        <w:t xml:space="preserve"> </w:t>
      </w:r>
      <w:r>
        <w:rPr>
          <w:rFonts w:hint="cs"/>
          <w:rtl/>
          <w:lang w:val="fr-FR" w:bidi="ar-EG"/>
        </w:rPr>
        <w:t>.</w:t>
      </w:r>
      <w:r w:rsidRPr="00C2712A">
        <w:t xml:space="preserve">H/LD/WG/6/7 </w:t>
      </w:r>
      <w:proofErr w:type="spellStart"/>
      <w:r w:rsidRPr="00C2712A">
        <w:t>Prov</w:t>
      </w:r>
      <w:proofErr w:type="spellEnd"/>
      <w:r>
        <w:rPr>
          <w:rFonts w:hint="cs"/>
          <w:rtl/>
        </w:rPr>
        <w:t xml:space="preserve">. </w:t>
      </w:r>
    </w:p>
  </w:footnote>
  <w:footnote w:id="5">
    <w:p w:rsidR="00993995" w:rsidRDefault="00993995" w:rsidP="002615A9">
      <w:pPr>
        <w:pStyle w:val="FootnoteText"/>
        <w:rPr>
          <w:lang w:bidi="ar-MA"/>
        </w:rPr>
      </w:pPr>
      <w:r>
        <w:rPr>
          <w:rStyle w:val="FootnoteReference"/>
        </w:rPr>
        <w:footnoteRef/>
      </w:r>
      <w:r w:rsidR="003D487C">
        <w:rPr>
          <w:rFonts w:hint="cs"/>
          <w:rtl/>
        </w:rPr>
        <w:tab/>
      </w:r>
      <w:r w:rsidRPr="003E712D">
        <w:rPr>
          <w:rtl/>
        </w:rPr>
        <w:t>يُرجى الرجوع إلى الفقرة 9</w:t>
      </w:r>
      <w:r>
        <w:rPr>
          <w:rFonts w:hint="cs"/>
          <w:rtl/>
        </w:rPr>
        <w:t>0</w:t>
      </w:r>
      <w:r w:rsidRPr="003E712D">
        <w:rPr>
          <w:rtl/>
        </w:rPr>
        <w:t xml:space="preserve"> من الوثيقة</w:t>
      </w:r>
      <w:r>
        <w:rPr>
          <w:rFonts w:hint="cs"/>
          <w:rtl/>
        </w:rPr>
        <w:t xml:space="preserve"> </w:t>
      </w:r>
      <w:r w:rsidRPr="003E712D">
        <w:t>H/LD/WG/6/7 Prov</w:t>
      </w:r>
      <w:r>
        <w:t>.</w:t>
      </w:r>
      <w:r>
        <w:rPr>
          <w:rFonts w:hint="cs"/>
          <w:rtl/>
        </w:rPr>
        <w:t>.</w:t>
      </w:r>
    </w:p>
  </w:footnote>
  <w:footnote w:id="6">
    <w:p w:rsidR="002615A9" w:rsidRDefault="002615A9" w:rsidP="002615A9">
      <w:pPr>
        <w:pStyle w:val="FootnoteText"/>
      </w:pPr>
      <w:r>
        <w:rPr>
          <w:rStyle w:val="FootnoteReference"/>
        </w:rPr>
        <w:footnoteRef/>
      </w:r>
      <w:r>
        <w:rPr>
          <w:rFonts w:hint="cs"/>
          <w:rtl/>
        </w:rPr>
        <w:tab/>
      </w:r>
      <w:r>
        <w:rPr>
          <w:rtl/>
        </w:rPr>
        <w:t>يُرجى الرجوع إلى الفقر</w:t>
      </w:r>
      <w:r>
        <w:rPr>
          <w:rFonts w:hint="cs"/>
          <w:rtl/>
        </w:rPr>
        <w:t xml:space="preserve">ات 88 و91 و93 </w:t>
      </w:r>
      <w:r w:rsidRPr="000019FF">
        <w:rPr>
          <w:rtl/>
        </w:rPr>
        <w:t>من الوثيقة</w:t>
      </w:r>
      <w:r>
        <w:rPr>
          <w:rFonts w:hint="cs"/>
          <w:rtl/>
        </w:rPr>
        <w:t xml:space="preserve"> </w:t>
      </w:r>
      <w:r w:rsidRPr="000019FF">
        <w:t>H/LD/WG/6/7 Prov</w:t>
      </w:r>
      <w:r>
        <w:t>.</w:t>
      </w:r>
      <w:r>
        <w:rPr>
          <w:rFonts w:hint="cs"/>
          <w:rtl/>
        </w:rPr>
        <w:t xml:space="preserve">. </w:t>
      </w:r>
    </w:p>
  </w:footnote>
  <w:footnote w:id="7">
    <w:p w:rsidR="00993995" w:rsidRDefault="00993995" w:rsidP="00993995">
      <w:pPr>
        <w:pStyle w:val="FootnoteText"/>
        <w:rPr>
          <w:lang w:bidi="ar-MA"/>
        </w:rPr>
      </w:pPr>
      <w:r>
        <w:rPr>
          <w:rStyle w:val="FootnoteReference"/>
        </w:rPr>
        <w:footnoteRef/>
      </w:r>
      <w:r w:rsidR="00062F28">
        <w:rPr>
          <w:rFonts w:hint="cs"/>
          <w:rtl/>
        </w:rPr>
        <w:tab/>
      </w:r>
      <w:r w:rsidRPr="00460D5B">
        <w:rPr>
          <w:rtl/>
        </w:rPr>
        <w:t xml:space="preserve">يُرجى الرجو ع إلى الفقرة </w:t>
      </w:r>
      <w:r>
        <w:rPr>
          <w:rFonts w:hint="cs"/>
          <w:rtl/>
        </w:rPr>
        <w:t>87</w:t>
      </w:r>
      <w:r w:rsidRPr="00460D5B">
        <w:rPr>
          <w:rtl/>
        </w:rPr>
        <w:t xml:space="preserve"> من الوثيقة</w:t>
      </w:r>
      <w:r>
        <w:rPr>
          <w:rFonts w:hint="cs"/>
          <w:rtl/>
        </w:rPr>
        <w:t xml:space="preserve"> </w:t>
      </w:r>
      <w:r w:rsidRPr="003A1CB2">
        <w:t>H/LD/WG/6/7 Prov</w:t>
      </w:r>
      <w:r w:rsidRPr="00CB4448">
        <w:rPr>
          <w:sz w:val="18"/>
          <w:szCs w:val="18"/>
        </w:rPr>
        <w:t>.</w:t>
      </w:r>
      <w:r>
        <w:rPr>
          <w:rFonts w:hint="cs"/>
          <w:sz w:val="18"/>
          <w:szCs w:val="18"/>
          <w:rtl/>
        </w:rPr>
        <w:t>.</w:t>
      </w:r>
    </w:p>
  </w:footnote>
  <w:footnote w:id="8">
    <w:p w:rsidR="00993995" w:rsidRDefault="00993995" w:rsidP="00993995">
      <w:pPr>
        <w:pStyle w:val="FootnoteText"/>
        <w:rPr>
          <w:lang w:bidi="ar-MA"/>
        </w:rPr>
      </w:pPr>
      <w:r>
        <w:rPr>
          <w:rStyle w:val="FootnoteReference"/>
        </w:rPr>
        <w:footnoteRef/>
      </w:r>
      <w:r w:rsidR="00062F28">
        <w:rPr>
          <w:rFonts w:hint="cs"/>
          <w:rtl/>
        </w:rPr>
        <w:tab/>
      </w:r>
      <w:r w:rsidRPr="00CA45A5">
        <w:rPr>
          <w:rtl/>
        </w:rPr>
        <w:t>يُرجى الرجو ع إلى الفقرة</w:t>
      </w:r>
      <w:r>
        <w:rPr>
          <w:rFonts w:hint="cs"/>
          <w:rtl/>
        </w:rPr>
        <w:t xml:space="preserve"> 90 من الوثيقة </w:t>
      </w:r>
      <w:r w:rsidRPr="003A1CB2">
        <w:t>H/LD/WG/6/7 Prov</w:t>
      </w:r>
      <w:r w:rsidRPr="00CB4448">
        <w:rPr>
          <w:sz w:val="18"/>
          <w:szCs w:val="18"/>
        </w:rPr>
        <w:t>.</w:t>
      </w:r>
      <w:r>
        <w:rPr>
          <w:rFonts w:hint="cs"/>
          <w:sz w:val="18"/>
          <w:szCs w:val="18"/>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589" w:rsidRDefault="002F3589" w:rsidP="00993995">
    <w:r>
      <w:t>H/LD/WG/7/</w:t>
    </w:r>
    <w:r w:rsidR="00993995">
      <w:t>8</w:t>
    </w:r>
  </w:p>
  <w:p w:rsidR="002F3589" w:rsidRDefault="002F3589" w:rsidP="002F3589">
    <w:r>
      <w:fldChar w:fldCharType="begin"/>
    </w:r>
    <w:r>
      <w:instrText xml:space="preserve"> PAGE  \* MERGEFORMAT </w:instrText>
    </w:r>
    <w:r>
      <w:fldChar w:fldCharType="separate"/>
    </w:r>
    <w:r w:rsidR="0014309F">
      <w:rPr>
        <w:noProof/>
      </w:rPr>
      <w:t>4</w:t>
    </w:r>
    <w:r>
      <w:fldChar w:fldCharType="end"/>
    </w:r>
  </w:p>
  <w:p w:rsidR="002F3589" w:rsidRDefault="002F3589" w:rsidP="002F358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87C" w:rsidRDefault="003D487C" w:rsidP="003D487C">
    <w:pPr>
      <w:pStyle w:val="Header"/>
    </w:pPr>
    <w:r w:rsidRPr="00A7649B">
      <w:t>H/LD/WG/7/8</w:t>
    </w:r>
  </w:p>
  <w:p w:rsidR="003D487C" w:rsidRDefault="003D487C" w:rsidP="003D487C">
    <w:r>
      <w:t xml:space="preserve">ANNEX </w:t>
    </w:r>
  </w:p>
  <w:p w:rsidR="003D487C" w:rsidRPr="00016A55" w:rsidRDefault="003D487C" w:rsidP="003D487C">
    <w:pPr>
      <w:pStyle w:val="Header"/>
      <w:rPr>
        <w:rFonts w:ascii="Arabic Typesetting" w:hAnsi="Arabic Typesetting" w:cs="Arabic Typesetting"/>
        <w:noProof/>
        <w:sz w:val="36"/>
        <w:szCs w:val="36"/>
      </w:rPr>
    </w:pPr>
    <w:r w:rsidRPr="00016A55">
      <w:rPr>
        <w:rFonts w:ascii="Arabic Typesetting" w:hAnsi="Arabic Typesetting" w:cs="Arabic Typesetting"/>
        <w:sz w:val="36"/>
        <w:szCs w:val="36"/>
        <w:rtl/>
      </w:rPr>
      <w:t xml:space="preserve">المرفق </w:t>
    </w:r>
  </w:p>
  <w:p w:rsidR="003D487C" w:rsidRDefault="003D487C" w:rsidP="003D487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06CD29E3"/>
    <w:multiLevelType w:val="multilevel"/>
    <w:tmpl w:val="99B401C8"/>
    <w:lvl w:ilvl="0">
      <w:start w:val="7"/>
      <w:numFmt w:val="decimal"/>
      <w:lvlRestart w:val="0"/>
      <w:pStyle w:val="ONUME"/>
      <w:lvlText w:val="%1."/>
      <w:lvlJc w:val="left"/>
      <w:pPr>
        <w:tabs>
          <w:tab w:val="num" w:pos="709"/>
        </w:tabs>
        <w:ind w:left="142" w:firstLine="0"/>
      </w:pPr>
      <w:rPr>
        <w:rFonts w:asciiTheme="minorBidi" w:hAnsiTheme="minorBidi" w:cstheme="minorBidi" w:hint="default"/>
        <w:b w:val="0"/>
        <w:i w:val="0"/>
        <w:color w:val="auto"/>
        <w:sz w:val="22"/>
        <w:szCs w:val="22"/>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2">
    <w:nsid w:val="177D5000"/>
    <w:multiLevelType w:val="singleLevel"/>
    <w:tmpl w:val="0409000F"/>
    <w:lvl w:ilvl="0">
      <w:start w:val="1"/>
      <w:numFmt w:val="decimal"/>
      <w:lvlText w:val="%1."/>
      <w:lvlJc w:val="left"/>
      <w:pPr>
        <w:tabs>
          <w:tab w:val="num" w:pos="360"/>
        </w:tabs>
        <w:ind w:left="360" w:hanging="360"/>
      </w:pPr>
    </w:lvl>
  </w:abstractNum>
  <w:abstractNum w:abstractNumId="13">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9">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2"/>
  </w:num>
  <w:num w:numId="2">
    <w:abstractNumId w:val="15"/>
  </w:num>
  <w:num w:numId="3">
    <w:abstractNumId w:val="11"/>
  </w:num>
  <w:num w:numId="4">
    <w:abstractNumId w:val="18"/>
  </w:num>
  <w:num w:numId="5">
    <w:abstractNumId w:val="8"/>
  </w:num>
  <w:num w:numId="6">
    <w:abstractNumId w:val="19"/>
  </w:num>
  <w:num w:numId="7">
    <w:abstractNumId w:val="14"/>
  </w:num>
  <w:num w:numId="8">
    <w:abstractNumId w:val="17"/>
  </w:num>
  <w:num w:numId="9">
    <w:abstractNumId w:val="16"/>
  </w:num>
  <w:num w:numId="10">
    <w:abstractNumId w:val="20"/>
  </w:num>
  <w:num w:numId="11">
    <w:abstractNumId w:val="13"/>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0"/>
  </w:num>
  <w:num w:numId="22">
    <w:abstractNumId w:val="10"/>
    <w:lvlOverride w:ilvl="0">
      <w:startOverride w:val="4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995"/>
    <w:rsid w:val="00002CBE"/>
    <w:rsid w:val="00003232"/>
    <w:rsid w:val="000033DA"/>
    <w:rsid w:val="00004AF1"/>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3FB"/>
    <w:rsid w:val="0002476F"/>
    <w:rsid w:val="00024E17"/>
    <w:rsid w:val="000258DB"/>
    <w:rsid w:val="000259E5"/>
    <w:rsid w:val="00031B2C"/>
    <w:rsid w:val="00033D2C"/>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FF5"/>
    <w:rsid w:val="00062502"/>
    <w:rsid w:val="00062F28"/>
    <w:rsid w:val="00063C91"/>
    <w:rsid w:val="000640E7"/>
    <w:rsid w:val="00066DC7"/>
    <w:rsid w:val="0006794A"/>
    <w:rsid w:val="00067F31"/>
    <w:rsid w:val="00071138"/>
    <w:rsid w:val="00073402"/>
    <w:rsid w:val="00075745"/>
    <w:rsid w:val="00075A04"/>
    <w:rsid w:val="00075D39"/>
    <w:rsid w:val="000760C3"/>
    <w:rsid w:val="000763A4"/>
    <w:rsid w:val="00076901"/>
    <w:rsid w:val="0008237C"/>
    <w:rsid w:val="000833C3"/>
    <w:rsid w:val="0008421F"/>
    <w:rsid w:val="0008451C"/>
    <w:rsid w:val="00085A0B"/>
    <w:rsid w:val="000863B7"/>
    <w:rsid w:val="00087DB6"/>
    <w:rsid w:val="00090139"/>
    <w:rsid w:val="0009024C"/>
    <w:rsid w:val="00090ADD"/>
    <w:rsid w:val="000913C0"/>
    <w:rsid w:val="00091F5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A7CF7"/>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5C24"/>
    <w:rsid w:val="00136389"/>
    <w:rsid w:val="00136A1A"/>
    <w:rsid w:val="00136A96"/>
    <w:rsid w:val="001376B6"/>
    <w:rsid w:val="00140A35"/>
    <w:rsid w:val="00142F4D"/>
    <w:rsid w:val="0014309F"/>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E3B"/>
    <w:rsid w:val="001F6F36"/>
    <w:rsid w:val="001F76FD"/>
    <w:rsid w:val="002004C0"/>
    <w:rsid w:val="002012F2"/>
    <w:rsid w:val="002014D7"/>
    <w:rsid w:val="0020288D"/>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20227"/>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412D4"/>
    <w:rsid w:val="0024220D"/>
    <w:rsid w:val="00242BD3"/>
    <w:rsid w:val="00242C02"/>
    <w:rsid w:val="00243155"/>
    <w:rsid w:val="00247783"/>
    <w:rsid w:val="0025172C"/>
    <w:rsid w:val="00252CF8"/>
    <w:rsid w:val="00252E2E"/>
    <w:rsid w:val="00253210"/>
    <w:rsid w:val="0025353E"/>
    <w:rsid w:val="00253DE1"/>
    <w:rsid w:val="0025425F"/>
    <w:rsid w:val="00254468"/>
    <w:rsid w:val="00254DE4"/>
    <w:rsid w:val="002559DA"/>
    <w:rsid w:val="00256955"/>
    <w:rsid w:val="0026071A"/>
    <w:rsid w:val="002615A9"/>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6B93"/>
    <w:rsid w:val="002772A5"/>
    <w:rsid w:val="002806F8"/>
    <w:rsid w:val="002810B5"/>
    <w:rsid w:val="00281F4F"/>
    <w:rsid w:val="00286744"/>
    <w:rsid w:val="002909B9"/>
    <w:rsid w:val="00292CEE"/>
    <w:rsid w:val="00292D22"/>
    <w:rsid w:val="0029470D"/>
    <w:rsid w:val="00297B80"/>
    <w:rsid w:val="002A076C"/>
    <w:rsid w:val="002A1059"/>
    <w:rsid w:val="002A3C9D"/>
    <w:rsid w:val="002A5403"/>
    <w:rsid w:val="002A6C9F"/>
    <w:rsid w:val="002A77F3"/>
    <w:rsid w:val="002B14F0"/>
    <w:rsid w:val="002B1F0F"/>
    <w:rsid w:val="002B53D3"/>
    <w:rsid w:val="002B6202"/>
    <w:rsid w:val="002C014C"/>
    <w:rsid w:val="002C060C"/>
    <w:rsid w:val="002C0BA6"/>
    <w:rsid w:val="002C12A7"/>
    <w:rsid w:val="002C2B6F"/>
    <w:rsid w:val="002C2E41"/>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A2A"/>
    <w:rsid w:val="002E7F16"/>
    <w:rsid w:val="002F1425"/>
    <w:rsid w:val="002F2EC8"/>
    <w:rsid w:val="002F3589"/>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4127"/>
    <w:rsid w:val="00335CA6"/>
    <w:rsid w:val="003365F0"/>
    <w:rsid w:val="00336C50"/>
    <w:rsid w:val="00337388"/>
    <w:rsid w:val="0034007D"/>
    <w:rsid w:val="003433E5"/>
    <w:rsid w:val="00344082"/>
    <w:rsid w:val="0034582C"/>
    <w:rsid w:val="00345916"/>
    <w:rsid w:val="00345CAC"/>
    <w:rsid w:val="0034789E"/>
    <w:rsid w:val="003501DA"/>
    <w:rsid w:val="003503E2"/>
    <w:rsid w:val="00351DC1"/>
    <w:rsid w:val="003534EE"/>
    <w:rsid w:val="003600A2"/>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18B3"/>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146E"/>
    <w:rsid w:val="003A26CD"/>
    <w:rsid w:val="003A37F7"/>
    <w:rsid w:val="003A54E9"/>
    <w:rsid w:val="003A5E7C"/>
    <w:rsid w:val="003A78C7"/>
    <w:rsid w:val="003A7E9A"/>
    <w:rsid w:val="003B15FE"/>
    <w:rsid w:val="003B1C41"/>
    <w:rsid w:val="003B46AD"/>
    <w:rsid w:val="003B5C96"/>
    <w:rsid w:val="003B65FB"/>
    <w:rsid w:val="003B6A26"/>
    <w:rsid w:val="003C218D"/>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487C"/>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40033D"/>
    <w:rsid w:val="004007E1"/>
    <w:rsid w:val="00400B1F"/>
    <w:rsid w:val="004032D2"/>
    <w:rsid w:val="00403C4F"/>
    <w:rsid w:val="004058B4"/>
    <w:rsid w:val="00405C45"/>
    <w:rsid w:val="004062EF"/>
    <w:rsid w:val="004062F0"/>
    <w:rsid w:val="00406CB5"/>
    <w:rsid w:val="00410B8F"/>
    <w:rsid w:val="00412057"/>
    <w:rsid w:val="004126C1"/>
    <w:rsid w:val="00413BA5"/>
    <w:rsid w:val="00414FD0"/>
    <w:rsid w:val="00417E93"/>
    <w:rsid w:val="00422A2A"/>
    <w:rsid w:val="00424BB4"/>
    <w:rsid w:val="004258CD"/>
    <w:rsid w:val="004261D2"/>
    <w:rsid w:val="004303D1"/>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4195"/>
    <w:rsid w:val="004945FB"/>
    <w:rsid w:val="00497356"/>
    <w:rsid w:val="004A076F"/>
    <w:rsid w:val="004A1DC1"/>
    <w:rsid w:val="004A31A2"/>
    <w:rsid w:val="004A48A7"/>
    <w:rsid w:val="004A655D"/>
    <w:rsid w:val="004B01B1"/>
    <w:rsid w:val="004B08D1"/>
    <w:rsid w:val="004B10E6"/>
    <w:rsid w:val="004B198F"/>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4AF0"/>
    <w:rsid w:val="00535060"/>
    <w:rsid w:val="00535738"/>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5631"/>
    <w:rsid w:val="0055621D"/>
    <w:rsid w:val="00560C6A"/>
    <w:rsid w:val="00560F85"/>
    <w:rsid w:val="005610A0"/>
    <w:rsid w:val="0056248F"/>
    <w:rsid w:val="00564985"/>
    <w:rsid w:val="00565379"/>
    <w:rsid w:val="005674C3"/>
    <w:rsid w:val="00567990"/>
    <w:rsid w:val="00567C4C"/>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4EB1"/>
    <w:rsid w:val="00614F67"/>
    <w:rsid w:val="00615277"/>
    <w:rsid w:val="00615519"/>
    <w:rsid w:val="00615CED"/>
    <w:rsid w:val="00615CFC"/>
    <w:rsid w:val="00617A92"/>
    <w:rsid w:val="00620BF9"/>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2DC5"/>
    <w:rsid w:val="006C480B"/>
    <w:rsid w:val="006C570B"/>
    <w:rsid w:val="006C572E"/>
    <w:rsid w:val="006C5997"/>
    <w:rsid w:val="006C5CD2"/>
    <w:rsid w:val="006D0636"/>
    <w:rsid w:val="006D06DC"/>
    <w:rsid w:val="006D6E46"/>
    <w:rsid w:val="006D7FA8"/>
    <w:rsid w:val="006E4601"/>
    <w:rsid w:val="006E5B86"/>
    <w:rsid w:val="006E63FF"/>
    <w:rsid w:val="006E652D"/>
    <w:rsid w:val="006E7572"/>
    <w:rsid w:val="006F2F22"/>
    <w:rsid w:val="006F434A"/>
    <w:rsid w:val="006F7974"/>
    <w:rsid w:val="00700A60"/>
    <w:rsid w:val="00705027"/>
    <w:rsid w:val="00710494"/>
    <w:rsid w:val="007117BD"/>
    <w:rsid w:val="00715129"/>
    <w:rsid w:val="007154CE"/>
    <w:rsid w:val="00715B25"/>
    <w:rsid w:val="00716020"/>
    <w:rsid w:val="00720860"/>
    <w:rsid w:val="00721087"/>
    <w:rsid w:val="00721530"/>
    <w:rsid w:val="00723422"/>
    <w:rsid w:val="007260FE"/>
    <w:rsid w:val="00726DD6"/>
    <w:rsid w:val="0073076E"/>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30CF"/>
    <w:rsid w:val="00774756"/>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2F0C"/>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7997"/>
    <w:rsid w:val="007E7B47"/>
    <w:rsid w:val="007F04EF"/>
    <w:rsid w:val="007F342F"/>
    <w:rsid w:val="007F38D1"/>
    <w:rsid w:val="007F410C"/>
    <w:rsid w:val="007F56BB"/>
    <w:rsid w:val="007F63CE"/>
    <w:rsid w:val="007F6EA4"/>
    <w:rsid w:val="008002A5"/>
    <w:rsid w:val="0080050E"/>
    <w:rsid w:val="00801329"/>
    <w:rsid w:val="00801424"/>
    <w:rsid w:val="00801AA4"/>
    <w:rsid w:val="00801B7E"/>
    <w:rsid w:val="008021B9"/>
    <w:rsid w:val="00806E68"/>
    <w:rsid w:val="00807BD1"/>
    <w:rsid w:val="00807FC3"/>
    <w:rsid w:val="00810034"/>
    <w:rsid w:val="008114CF"/>
    <w:rsid w:val="008117CC"/>
    <w:rsid w:val="00811AB3"/>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5C28"/>
    <w:rsid w:val="00875E75"/>
    <w:rsid w:val="0087658F"/>
    <w:rsid w:val="0087762E"/>
    <w:rsid w:val="00877823"/>
    <w:rsid w:val="008803F5"/>
    <w:rsid w:val="008812BF"/>
    <w:rsid w:val="00881341"/>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3E79"/>
    <w:rsid w:val="008E5282"/>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3CEA"/>
    <w:rsid w:val="00984198"/>
    <w:rsid w:val="00984E04"/>
    <w:rsid w:val="00986194"/>
    <w:rsid w:val="009861D2"/>
    <w:rsid w:val="00986E53"/>
    <w:rsid w:val="00987CE5"/>
    <w:rsid w:val="00993995"/>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7DD"/>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83454"/>
    <w:rsid w:val="00A843FC"/>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7348"/>
    <w:rsid w:val="00AC13B0"/>
    <w:rsid w:val="00AC2FD0"/>
    <w:rsid w:val="00AC3DBD"/>
    <w:rsid w:val="00AC5E85"/>
    <w:rsid w:val="00AD03D8"/>
    <w:rsid w:val="00AD0D5F"/>
    <w:rsid w:val="00AD34CF"/>
    <w:rsid w:val="00AD36C8"/>
    <w:rsid w:val="00AD37C9"/>
    <w:rsid w:val="00AD47D3"/>
    <w:rsid w:val="00AD652F"/>
    <w:rsid w:val="00AD7D05"/>
    <w:rsid w:val="00AE01F6"/>
    <w:rsid w:val="00AE0AFB"/>
    <w:rsid w:val="00AE16F0"/>
    <w:rsid w:val="00AE473C"/>
    <w:rsid w:val="00AE55E7"/>
    <w:rsid w:val="00AE6363"/>
    <w:rsid w:val="00AE6CD6"/>
    <w:rsid w:val="00AE7348"/>
    <w:rsid w:val="00AE7394"/>
    <w:rsid w:val="00AE7CD2"/>
    <w:rsid w:val="00AF0B77"/>
    <w:rsid w:val="00AF10B9"/>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B1E"/>
    <w:rsid w:val="00B362D9"/>
    <w:rsid w:val="00B36B99"/>
    <w:rsid w:val="00B36D20"/>
    <w:rsid w:val="00B36F67"/>
    <w:rsid w:val="00B40633"/>
    <w:rsid w:val="00B44049"/>
    <w:rsid w:val="00B44318"/>
    <w:rsid w:val="00B44C4B"/>
    <w:rsid w:val="00B477CB"/>
    <w:rsid w:val="00B507ED"/>
    <w:rsid w:val="00B508A7"/>
    <w:rsid w:val="00B52081"/>
    <w:rsid w:val="00B52695"/>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C0D"/>
    <w:rsid w:val="00B77D0D"/>
    <w:rsid w:val="00B80817"/>
    <w:rsid w:val="00B827E6"/>
    <w:rsid w:val="00B82A28"/>
    <w:rsid w:val="00B82B8D"/>
    <w:rsid w:val="00B82C97"/>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7D9E"/>
    <w:rsid w:val="00BC16AC"/>
    <w:rsid w:val="00BC2B7B"/>
    <w:rsid w:val="00BC3290"/>
    <w:rsid w:val="00BC3AE8"/>
    <w:rsid w:val="00BC3AF4"/>
    <w:rsid w:val="00BC43A8"/>
    <w:rsid w:val="00BC5C6D"/>
    <w:rsid w:val="00BC7120"/>
    <w:rsid w:val="00BC76A3"/>
    <w:rsid w:val="00BD00D1"/>
    <w:rsid w:val="00BD07A2"/>
    <w:rsid w:val="00BD2603"/>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5128B"/>
    <w:rsid w:val="00C51423"/>
    <w:rsid w:val="00C5294D"/>
    <w:rsid w:val="00C52F83"/>
    <w:rsid w:val="00C54C1B"/>
    <w:rsid w:val="00C54DBA"/>
    <w:rsid w:val="00C57ED3"/>
    <w:rsid w:val="00C61640"/>
    <w:rsid w:val="00C61AA7"/>
    <w:rsid w:val="00C61B8E"/>
    <w:rsid w:val="00C668DE"/>
    <w:rsid w:val="00C7044F"/>
    <w:rsid w:val="00C720F8"/>
    <w:rsid w:val="00C7294B"/>
    <w:rsid w:val="00C75139"/>
    <w:rsid w:val="00C7525C"/>
    <w:rsid w:val="00C76CF7"/>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796A"/>
    <w:rsid w:val="00CB2575"/>
    <w:rsid w:val="00CB3677"/>
    <w:rsid w:val="00CB368F"/>
    <w:rsid w:val="00CB4C42"/>
    <w:rsid w:val="00CB4DFA"/>
    <w:rsid w:val="00CB7BD7"/>
    <w:rsid w:val="00CC4CB6"/>
    <w:rsid w:val="00CC4DB0"/>
    <w:rsid w:val="00CC5038"/>
    <w:rsid w:val="00CC5326"/>
    <w:rsid w:val="00CC7426"/>
    <w:rsid w:val="00CC7910"/>
    <w:rsid w:val="00CD0C20"/>
    <w:rsid w:val="00CD297A"/>
    <w:rsid w:val="00CD3DB0"/>
    <w:rsid w:val="00CD4129"/>
    <w:rsid w:val="00CD5DBB"/>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52F9"/>
    <w:rsid w:val="00D56EDF"/>
    <w:rsid w:val="00D56F08"/>
    <w:rsid w:val="00D57361"/>
    <w:rsid w:val="00D61406"/>
    <w:rsid w:val="00D61541"/>
    <w:rsid w:val="00D61575"/>
    <w:rsid w:val="00D6170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7426"/>
    <w:rsid w:val="00D97568"/>
    <w:rsid w:val="00DA06B0"/>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26D0"/>
    <w:rsid w:val="00DD47D5"/>
    <w:rsid w:val="00DD6729"/>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71D8"/>
    <w:rsid w:val="00E00CCA"/>
    <w:rsid w:val="00E01623"/>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6226"/>
    <w:rsid w:val="00E96DDE"/>
    <w:rsid w:val="00EA04AE"/>
    <w:rsid w:val="00EA062F"/>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4EC5"/>
    <w:rsid w:val="00ED5A40"/>
    <w:rsid w:val="00ED5F21"/>
    <w:rsid w:val="00ED602C"/>
    <w:rsid w:val="00ED62B5"/>
    <w:rsid w:val="00ED6DDB"/>
    <w:rsid w:val="00ED7985"/>
    <w:rsid w:val="00EE270D"/>
    <w:rsid w:val="00EE6989"/>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35D6"/>
    <w:rsid w:val="00F13922"/>
    <w:rsid w:val="00F13DBC"/>
    <w:rsid w:val="00F15FCF"/>
    <w:rsid w:val="00F16613"/>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70F6"/>
    <w:rsid w:val="00FA7420"/>
    <w:rsid w:val="00FA756C"/>
    <w:rsid w:val="00FA75E4"/>
    <w:rsid w:val="00FA776B"/>
    <w:rsid w:val="00FB0AB1"/>
    <w:rsid w:val="00FB2BEF"/>
    <w:rsid w:val="00FB36CA"/>
    <w:rsid w:val="00FB54F1"/>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F6E3B"/>
    <w:rPr>
      <w:rFonts w:ascii="Arial" w:hAnsi="Arial" w:cs="Arial"/>
      <w:sz w:val="22"/>
    </w:rPr>
  </w:style>
  <w:style w:type="paragraph" w:styleId="Heading1">
    <w:name w:val="heading 1"/>
    <w:basedOn w:val="Normal"/>
    <w:next w:val="NormalParaAR"/>
    <w:qFormat/>
    <w:rsid w:val="00B507ED"/>
    <w:pPr>
      <w:keepNext/>
      <w:bidi/>
      <w:spacing w:before="240" w:after="240" w:line="400" w:lineRule="exact"/>
      <w:outlineLvl w:val="0"/>
    </w:pPr>
    <w:rPr>
      <w:rFonts w:ascii="Arabic Typesetting" w:hAnsi="Arabic Typesetting" w:cs="Arabic Typesetting"/>
      <w:bCs/>
      <w:sz w:val="40"/>
      <w:szCs w:val="40"/>
      <w:lang w:bidi="ar-EG"/>
    </w:rPr>
  </w:style>
  <w:style w:type="paragraph" w:styleId="Heading2">
    <w:name w:val="heading 2"/>
    <w:basedOn w:val="Normal"/>
    <w:next w:val="NormalParaAR"/>
    <w:qFormat/>
    <w:rsid w:val="00B507ED"/>
    <w:pPr>
      <w:keepNext/>
      <w:bidi/>
      <w:spacing w:before="240" w:after="240" w:line="400" w:lineRule="exact"/>
      <w:outlineLvl w:val="1"/>
    </w:pPr>
    <w:rPr>
      <w:rFonts w:ascii="Arabic Typesetting" w:hAnsi="Arabic Typesetting" w:cs="Arabic Typesetting"/>
      <w:sz w:val="40"/>
      <w:szCs w:val="40"/>
      <w:lang w:bidi="ar-EG"/>
    </w:rPr>
  </w:style>
  <w:style w:type="paragraph" w:styleId="Heading3">
    <w:name w:val="heading 3"/>
    <w:basedOn w:val="Normal"/>
    <w:next w:val="NormalParaAR"/>
    <w:qFormat/>
    <w:rsid w:val="00B507ED"/>
    <w:pPr>
      <w:keepNext/>
      <w:bidi/>
      <w:spacing w:before="120" w:after="240" w:line="360" w:lineRule="exact"/>
      <w:outlineLvl w:val="2"/>
    </w:pPr>
    <w:rPr>
      <w:rFonts w:ascii="Arabic Typesetting" w:hAnsi="Arabic Typesetting" w:cs="Arabic Typesetting"/>
      <w:sz w:val="36"/>
      <w:szCs w:val="36"/>
      <w:u w:val="single"/>
      <w:lang w:bidi="ar-EG"/>
    </w:rPr>
  </w:style>
  <w:style w:type="paragraph" w:styleId="Heading4">
    <w:name w:val="heading 4"/>
    <w:basedOn w:val="Normal"/>
    <w:next w:val="NormalParaAR"/>
    <w:qFormat/>
    <w:rsid w:val="00B507ED"/>
    <w:pPr>
      <w:keepNext/>
      <w:bidi/>
      <w:spacing w:before="120" w:after="240" w:line="360" w:lineRule="exact"/>
      <w:outlineLvl w:val="3"/>
    </w:pPr>
    <w:rPr>
      <w:rFonts w:ascii="Arabic Typesetting" w:hAnsi="Arabic Typesetting" w:cs="Arabic Typesetting"/>
      <w:iCs/>
      <w:sz w:val="36"/>
      <w:szCs w:val="36"/>
      <w:lang w:bidi="ar-E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link w:val="FootnoteTextCh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uiPriority w:val="99"/>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unhideWhenUsed/>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unhideWhenUsed/>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unhideWhenUsed/>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unhideWhenUsed/>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unhideWhenUsed/>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unhideWhenUsed/>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unhideWhenUsed/>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unhideWhenUsed/>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uiPriority w:val="99"/>
    <w:unhideWhenUsed/>
    <w:rsid w:val="00B07FCD"/>
    <w:rPr>
      <w:i/>
      <w:iCs/>
    </w:rPr>
  </w:style>
  <w:style w:type="paragraph" w:customStyle="1" w:styleId="EndofDocumentAR">
    <w:name w:val="End_of_Document_AR"/>
    <w:basedOn w:val="NormalParaAR"/>
    <w:next w:val="NormalParaAR"/>
    <w:rsid w:val="00075D39"/>
    <w:pPr>
      <w:ind w:left="5534"/>
    </w:pPr>
  </w:style>
  <w:style w:type="paragraph" w:styleId="BalloonText">
    <w:name w:val="Balloon Text"/>
    <w:basedOn w:val="Normal"/>
    <w:link w:val="BalloonTextChar"/>
    <w:rsid w:val="002F3589"/>
    <w:rPr>
      <w:rFonts w:ascii="Tahoma" w:hAnsi="Tahoma" w:cs="Tahoma"/>
      <w:sz w:val="16"/>
      <w:szCs w:val="16"/>
    </w:rPr>
  </w:style>
  <w:style w:type="character" w:customStyle="1" w:styleId="BalloonTextChar">
    <w:name w:val="Balloon Text Char"/>
    <w:basedOn w:val="DefaultParagraphFont"/>
    <w:link w:val="BalloonText"/>
    <w:rsid w:val="002F3589"/>
    <w:rPr>
      <w:rFonts w:ascii="Tahoma" w:hAnsi="Tahoma" w:cs="Tahoma"/>
      <w:sz w:val="16"/>
      <w:szCs w:val="16"/>
    </w:rPr>
  </w:style>
  <w:style w:type="paragraph" w:customStyle="1" w:styleId="Heading1AR">
    <w:name w:val="Heading_1_AR"/>
    <w:basedOn w:val="NormalParaAR"/>
    <w:next w:val="NormalParaAR"/>
    <w:rsid w:val="00993995"/>
    <w:pPr>
      <w:keepNext/>
      <w:spacing w:before="240" w:after="60" w:line="400" w:lineRule="exact"/>
    </w:pPr>
    <w:rPr>
      <w:bCs/>
      <w:sz w:val="40"/>
      <w:szCs w:val="40"/>
    </w:rPr>
  </w:style>
  <w:style w:type="paragraph" w:customStyle="1" w:styleId="ONUME">
    <w:name w:val="ONUM E"/>
    <w:basedOn w:val="BodyText"/>
    <w:rsid w:val="00993995"/>
    <w:pPr>
      <w:numPr>
        <w:numId w:val="21"/>
      </w:numPr>
      <w:tabs>
        <w:tab w:val="clear" w:pos="709"/>
        <w:tab w:val="num" w:pos="360"/>
      </w:tabs>
      <w:spacing w:after="220"/>
      <w:ind w:left="360" w:hanging="360"/>
    </w:pPr>
    <w:rPr>
      <w:rFonts w:eastAsia="SimSun"/>
      <w:lang w:eastAsia="zh-CN"/>
    </w:rPr>
  </w:style>
  <w:style w:type="character" w:customStyle="1" w:styleId="FootnoteTextChar">
    <w:name w:val="Footnote Text Char"/>
    <w:basedOn w:val="DefaultParagraphFont"/>
    <w:link w:val="FootnoteText"/>
    <w:semiHidden/>
    <w:rsid w:val="00993995"/>
    <w:rPr>
      <w:rFonts w:ascii="Arabic Typesetting" w:hAnsi="Arabic Typesetting" w:cs="Arabic Typesetting"/>
      <w:sz w:val="28"/>
      <w:szCs w:val="28"/>
    </w:rPr>
  </w:style>
  <w:style w:type="paragraph" w:styleId="BodyText">
    <w:name w:val="Body Text"/>
    <w:basedOn w:val="Normal"/>
    <w:link w:val="BodyTextChar"/>
    <w:rsid w:val="00993995"/>
    <w:pPr>
      <w:spacing w:after="120"/>
    </w:pPr>
  </w:style>
  <w:style w:type="character" w:customStyle="1" w:styleId="BodyTextChar">
    <w:name w:val="Body Text Char"/>
    <w:basedOn w:val="DefaultParagraphFont"/>
    <w:link w:val="BodyText"/>
    <w:rsid w:val="00993995"/>
    <w:rPr>
      <w:rFonts w:ascii="Arial" w:hAnsi="Arial" w:cs="Arial"/>
      <w:sz w:val="22"/>
    </w:rPr>
  </w:style>
  <w:style w:type="character" w:customStyle="1" w:styleId="HeaderChar">
    <w:name w:val="Header Char"/>
    <w:basedOn w:val="DefaultParagraphFont"/>
    <w:link w:val="Header"/>
    <w:rsid w:val="003D487C"/>
    <w:rPr>
      <w:rFonts w:ascii="Arial" w:hAnsi="Arial" w:cs="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F6E3B"/>
    <w:rPr>
      <w:rFonts w:ascii="Arial" w:hAnsi="Arial" w:cs="Arial"/>
      <w:sz w:val="22"/>
    </w:rPr>
  </w:style>
  <w:style w:type="paragraph" w:styleId="Heading1">
    <w:name w:val="heading 1"/>
    <w:basedOn w:val="Normal"/>
    <w:next w:val="NormalParaAR"/>
    <w:qFormat/>
    <w:rsid w:val="00B507ED"/>
    <w:pPr>
      <w:keepNext/>
      <w:bidi/>
      <w:spacing w:before="240" w:after="240" w:line="400" w:lineRule="exact"/>
      <w:outlineLvl w:val="0"/>
    </w:pPr>
    <w:rPr>
      <w:rFonts w:ascii="Arabic Typesetting" w:hAnsi="Arabic Typesetting" w:cs="Arabic Typesetting"/>
      <w:bCs/>
      <w:sz w:val="40"/>
      <w:szCs w:val="40"/>
      <w:lang w:bidi="ar-EG"/>
    </w:rPr>
  </w:style>
  <w:style w:type="paragraph" w:styleId="Heading2">
    <w:name w:val="heading 2"/>
    <w:basedOn w:val="Normal"/>
    <w:next w:val="NormalParaAR"/>
    <w:qFormat/>
    <w:rsid w:val="00B507ED"/>
    <w:pPr>
      <w:keepNext/>
      <w:bidi/>
      <w:spacing w:before="240" w:after="240" w:line="400" w:lineRule="exact"/>
      <w:outlineLvl w:val="1"/>
    </w:pPr>
    <w:rPr>
      <w:rFonts w:ascii="Arabic Typesetting" w:hAnsi="Arabic Typesetting" w:cs="Arabic Typesetting"/>
      <w:sz w:val="40"/>
      <w:szCs w:val="40"/>
      <w:lang w:bidi="ar-EG"/>
    </w:rPr>
  </w:style>
  <w:style w:type="paragraph" w:styleId="Heading3">
    <w:name w:val="heading 3"/>
    <w:basedOn w:val="Normal"/>
    <w:next w:val="NormalParaAR"/>
    <w:qFormat/>
    <w:rsid w:val="00B507ED"/>
    <w:pPr>
      <w:keepNext/>
      <w:bidi/>
      <w:spacing w:before="120" w:after="240" w:line="360" w:lineRule="exact"/>
      <w:outlineLvl w:val="2"/>
    </w:pPr>
    <w:rPr>
      <w:rFonts w:ascii="Arabic Typesetting" w:hAnsi="Arabic Typesetting" w:cs="Arabic Typesetting"/>
      <w:sz w:val="36"/>
      <w:szCs w:val="36"/>
      <w:u w:val="single"/>
      <w:lang w:bidi="ar-EG"/>
    </w:rPr>
  </w:style>
  <w:style w:type="paragraph" w:styleId="Heading4">
    <w:name w:val="heading 4"/>
    <w:basedOn w:val="Normal"/>
    <w:next w:val="NormalParaAR"/>
    <w:qFormat/>
    <w:rsid w:val="00B507ED"/>
    <w:pPr>
      <w:keepNext/>
      <w:bidi/>
      <w:spacing w:before="120" w:after="240" w:line="360" w:lineRule="exact"/>
      <w:outlineLvl w:val="3"/>
    </w:pPr>
    <w:rPr>
      <w:rFonts w:ascii="Arabic Typesetting" w:hAnsi="Arabic Typesetting" w:cs="Arabic Typesetting"/>
      <w:iCs/>
      <w:sz w:val="36"/>
      <w:szCs w:val="36"/>
      <w:lang w:bidi="ar-E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link w:val="FootnoteTextCh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uiPriority w:val="99"/>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unhideWhenUsed/>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unhideWhenUsed/>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unhideWhenUsed/>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unhideWhenUsed/>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unhideWhenUsed/>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unhideWhenUsed/>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unhideWhenUsed/>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unhideWhenUsed/>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uiPriority w:val="99"/>
    <w:unhideWhenUsed/>
    <w:rsid w:val="00B07FCD"/>
    <w:rPr>
      <w:i/>
      <w:iCs/>
    </w:rPr>
  </w:style>
  <w:style w:type="paragraph" w:customStyle="1" w:styleId="EndofDocumentAR">
    <w:name w:val="End_of_Document_AR"/>
    <w:basedOn w:val="NormalParaAR"/>
    <w:next w:val="NormalParaAR"/>
    <w:rsid w:val="00075D39"/>
    <w:pPr>
      <w:ind w:left="5534"/>
    </w:pPr>
  </w:style>
  <w:style w:type="paragraph" w:styleId="BalloonText">
    <w:name w:val="Balloon Text"/>
    <w:basedOn w:val="Normal"/>
    <w:link w:val="BalloonTextChar"/>
    <w:rsid w:val="002F3589"/>
    <w:rPr>
      <w:rFonts w:ascii="Tahoma" w:hAnsi="Tahoma" w:cs="Tahoma"/>
      <w:sz w:val="16"/>
      <w:szCs w:val="16"/>
    </w:rPr>
  </w:style>
  <w:style w:type="character" w:customStyle="1" w:styleId="BalloonTextChar">
    <w:name w:val="Balloon Text Char"/>
    <w:basedOn w:val="DefaultParagraphFont"/>
    <w:link w:val="BalloonText"/>
    <w:rsid w:val="002F3589"/>
    <w:rPr>
      <w:rFonts w:ascii="Tahoma" w:hAnsi="Tahoma" w:cs="Tahoma"/>
      <w:sz w:val="16"/>
      <w:szCs w:val="16"/>
    </w:rPr>
  </w:style>
  <w:style w:type="paragraph" w:customStyle="1" w:styleId="Heading1AR">
    <w:name w:val="Heading_1_AR"/>
    <w:basedOn w:val="NormalParaAR"/>
    <w:next w:val="NormalParaAR"/>
    <w:rsid w:val="00993995"/>
    <w:pPr>
      <w:keepNext/>
      <w:spacing w:before="240" w:after="60" w:line="400" w:lineRule="exact"/>
    </w:pPr>
    <w:rPr>
      <w:bCs/>
      <w:sz w:val="40"/>
      <w:szCs w:val="40"/>
    </w:rPr>
  </w:style>
  <w:style w:type="paragraph" w:customStyle="1" w:styleId="ONUME">
    <w:name w:val="ONUM E"/>
    <w:basedOn w:val="BodyText"/>
    <w:rsid w:val="00993995"/>
    <w:pPr>
      <w:numPr>
        <w:numId w:val="21"/>
      </w:numPr>
      <w:tabs>
        <w:tab w:val="clear" w:pos="709"/>
        <w:tab w:val="num" w:pos="360"/>
      </w:tabs>
      <w:spacing w:after="220"/>
      <w:ind w:left="360" w:hanging="360"/>
    </w:pPr>
    <w:rPr>
      <w:rFonts w:eastAsia="SimSun"/>
      <w:lang w:eastAsia="zh-CN"/>
    </w:rPr>
  </w:style>
  <w:style w:type="character" w:customStyle="1" w:styleId="FootnoteTextChar">
    <w:name w:val="Footnote Text Char"/>
    <w:basedOn w:val="DefaultParagraphFont"/>
    <w:link w:val="FootnoteText"/>
    <w:semiHidden/>
    <w:rsid w:val="00993995"/>
    <w:rPr>
      <w:rFonts w:ascii="Arabic Typesetting" w:hAnsi="Arabic Typesetting" w:cs="Arabic Typesetting"/>
      <w:sz w:val="28"/>
      <w:szCs w:val="28"/>
    </w:rPr>
  </w:style>
  <w:style w:type="paragraph" w:styleId="BodyText">
    <w:name w:val="Body Text"/>
    <w:basedOn w:val="Normal"/>
    <w:link w:val="BodyTextChar"/>
    <w:rsid w:val="00993995"/>
    <w:pPr>
      <w:spacing w:after="120"/>
    </w:pPr>
  </w:style>
  <w:style w:type="character" w:customStyle="1" w:styleId="BodyTextChar">
    <w:name w:val="Body Text Char"/>
    <w:basedOn w:val="DefaultParagraphFont"/>
    <w:link w:val="BodyText"/>
    <w:rsid w:val="00993995"/>
    <w:rPr>
      <w:rFonts w:ascii="Arial" w:hAnsi="Arial" w:cs="Arial"/>
      <w:sz w:val="22"/>
    </w:rPr>
  </w:style>
  <w:style w:type="character" w:customStyle="1" w:styleId="HeaderChar">
    <w:name w:val="Header Char"/>
    <w:basedOn w:val="DefaultParagraphFont"/>
    <w:link w:val="Header"/>
    <w:rsid w:val="003D487C"/>
    <w:rPr>
      <w:rFonts w:ascii="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6554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5</Pages>
  <Words>1067</Words>
  <Characters>5422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H/LD/WG/7/-- (Arabic)</vt:lpstr>
    </vt:vector>
  </TitlesOfParts>
  <Company>World Intellectual Property Organization</Company>
  <LinksUpToDate>false</LinksUpToDate>
  <CharactersWithSpaces>6477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H/LD/WG/7/-- (Arabic)</dc:title>
  <dc:creator>BEN ALI Lassad</dc:creator>
  <cp:lastModifiedBy>MAILLARD Amber</cp:lastModifiedBy>
  <cp:revision>10</cp:revision>
  <cp:lastPrinted>2018-05-23T10:05:00Z</cp:lastPrinted>
  <dcterms:created xsi:type="dcterms:W3CDTF">2018-05-15T09:34:00Z</dcterms:created>
  <dcterms:modified xsi:type="dcterms:W3CDTF">2018-05-23T10:05:00Z</dcterms:modified>
</cp:coreProperties>
</file>