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2F3589" w:rsidTr="00AC4245">
        <w:tc>
          <w:tcPr>
            <w:tcW w:w="4843" w:type="dxa"/>
            <w:tcBorders>
              <w:bottom w:val="single" w:sz="4" w:space="0" w:color="auto"/>
            </w:tcBorders>
          </w:tcPr>
          <w:p w:rsidR="002F3589" w:rsidRDefault="002F3589" w:rsidP="00AC4245">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2F3589" w:rsidRDefault="002F3589" w:rsidP="00AC4245">
            <w:pPr>
              <w:bidi/>
              <w:spacing w:after="20"/>
              <w:rPr>
                <w:rFonts w:ascii="Arabic Typesetting" w:hAnsi="Arabic Typesetting" w:cs="Arabic Typesetting"/>
                <w:sz w:val="36"/>
                <w:szCs w:val="36"/>
                <w:rtl/>
              </w:rPr>
            </w:pPr>
            <w:r>
              <w:rPr>
                <w:noProof/>
              </w:rPr>
              <w:drawing>
                <wp:inline distT="0" distB="0" distL="0" distR="0" wp14:anchorId="4CE43C98" wp14:editId="6AF569A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F3589" w:rsidRPr="001667B6" w:rsidRDefault="002F3589" w:rsidP="00AC4245">
            <w:pPr>
              <w:rPr>
                <w:b/>
                <w:bCs/>
                <w:sz w:val="40"/>
                <w:szCs w:val="40"/>
              </w:rPr>
            </w:pPr>
            <w:r>
              <w:rPr>
                <w:b/>
                <w:bCs/>
                <w:sz w:val="40"/>
                <w:szCs w:val="40"/>
              </w:rPr>
              <w:t>A</w:t>
            </w:r>
          </w:p>
        </w:tc>
      </w:tr>
      <w:tr w:rsidR="002F3589" w:rsidTr="00AC4245">
        <w:trPr>
          <w:trHeight w:val="333"/>
        </w:trPr>
        <w:tc>
          <w:tcPr>
            <w:tcW w:w="9571" w:type="dxa"/>
            <w:gridSpan w:val="3"/>
            <w:tcBorders>
              <w:top w:val="single" w:sz="4" w:space="0" w:color="auto"/>
            </w:tcBorders>
            <w:vAlign w:val="bottom"/>
          </w:tcPr>
          <w:p w:rsidR="002F3589" w:rsidRPr="00B6101C" w:rsidRDefault="002F3589" w:rsidP="0042678B">
            <w:pPr>
              <w:pStyle w:val="DocumentCodeAR"/>
              <w:bidi/>
              <w:rPr>
                <w:rtl/>
              </w:rPr>
            </w:pPr>
            <w:r>
              <w:t>H/LD/WG/7/</w:t>
            </w:r>
            <w:r w:rsidR="0042678B">
              <w:t>4</w:t>
            </w:r>
          </w:p>
        </w:tc>
      </w:tr>
      <w:tr w:rsidR="002F3589" w:rsidTr="00AC4245">
        <w:tc>
          <w:tcPr>
            <w:tcW w:w="9571" w:type="dxa"/>
            <w:gridSpan w:val="3"/>
          </w:tcPr>
          <w:p w:rsidR="002F3589" w:rsidRPr="00B6101C" w:rsidRDefault="002F3589" w:rsidP="00AC4245">
            <w:pPr>
              <w:pStyle w:val="DocumentLanguageAR"/>
              <w:bidi/>
              <w:rPr>
                <w:rtl/>
              </w:rPr>
            </w:pPr>
            <w:r w:rsidRPr="00B6101C">
              <w:rPr>
                <w:rFonts w:hint="cs"/>
                <w:rtl/>
              </w:rPr>
              <w:t xml:space="preserve">الأصل: </w:t>
            </w:r>
            <w:r w:rsidR="0042678B">
              <w:rPr>
                <w:rFonts w:hint="cs"/>
                <w:rtl/>
              </w:rPr>
              <w:t>بالإنكليزية</w:t>
            </w:r>
          </w:p>
        </w:tc>
      </w:tr>
      <w:tr w:rsidR="002F3589" w:rsidTr="00AC4245">
        <w:tc>
          <w:tcPr>
            <w:tcW w:w="9571" w:type="dxa"/>
            <w:gridSpan w:val="3"/>
          </w:tcPr>
          <w:p w:rsidR="002F3589" w:rsidRPr="00B6101C" w:rsidRDefault="002F3589" w:rsidP="0042678B">
            <w:pPr>
              <w:pStyle w:val="DocumentDateAR"/>
              <w:bidi/>
              <w:rPr>
                <w:rtl/>
              </w:rPr>
            </w:pPr>
            <w:r w:rsidRPr="00B6101C">
              <w:rPr>
                <w:rFonts w:hint="cs"/>
                <w:rtl/>
              </w:rPr>
              <w:t xml:space="preserve">التاريخ: </w:t>
            </w:r>
            <w:r w:rsidR="0042678B">
              <w:rPr>
                <w:rFonts w:hint="cs"/>
                <w:rtl/>
              </w:rPr>
              <w:t>8</w:t>
            </w:r>
            <w:r w:rsidRPr="00B6101C">
              <w:rPr>
                <w:rFonts w:hint="cs"/>
                <w:rtl/>
              </w:rPr>
              <w:t xml:space="preserve"> </w:t>
            </w:r>
            <w:r w:rsidR="0042678B">
              <w:rPr>
                <w:rFonts w:hint="cs"/>
                <w:rtl/>
              </w:rPr>
              <w:t>مايو</w:t>
            </w:r>
            <w:r w:rsidRPr="00B6101C">
              <w:rPr>
                <w:rFonts w:hint="cs"/>
                <w:rtl/>
              </w:rPr>
              <w:t xml:space="preserve"> </w:t>
            </w:r>
            <w:r>
              <w:rPr>
                <w:rFonts w:hint="cs"/>
                <w:rtl/>
              </w:rPr>
              <w:t>2018</w:t>
            </w:r>
          </w:p>
        </w:tc>
      </w:tr>
    </w:tbl>
    <w:p w:rsidR="002F3589" w:rsidRDefault="002F3589" w:rsidP="002F3589">
      <w:pPr>
        <w:bidi/>
        <w:spacing w:line="360" w:lineRule="exact"/>
        <w:rPr>
          <w:rFonts w:ascii="Arabic Typesetting" w:hAnsi="Arabic Typesetting" w:cs="Arabic Typesetting"/>
          <w:sz w:val="36"/>
          <w:szCs w:val="36"/>
          <w:rtl/>
        </w:rPr>
      </w:pPr>
    </w:p>
    <w:p w:rsidR="002F3589" w:rsidRDefault="002F3589" w:rsidP="002F3589">
      <w:pPr>
        <w:bidi/>
        <w:spacing w:line="360" w:lineRule="exact"/>
        <w:rPr>
          <w:rFonts w:ascii="Arabic Typesetting" w:hAnsi="Arabic Typesetting" w:cs="Arabic Typesetting"/>
          <w:sz w:val="36"/>
          <w:szCs w:val="36"/>
          <w:rtl/>
        </w:rPr>
      </w:pPr>
    </w:p>
    <w:p w:rsidR="002F3589" w:rsidRDefault="002F3589" w:rsidP="002F3589">
      <w:pPr>
        <w:bidi/>
        <w:spacing w:line="360" w:lineRule="exact"/>
        <w:rPr>
          <w:rFonts w:ascii="Arabic Typesetting" w:hAnsi="Arabic Typesetting" w:cs="Arabic Typesetting"/>
          <w:sz w:val="36"/>
          <w:szCs w:val="36"/>
          <w:rtl/>
        </w:rPr>
      </w:pPr>
    </w:p>
    <w:p w:rsidR="002F3589" w:rsidRPr="00772E46" w:rsidRDefault="002F3589" w:rsidP="002F35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2F3589" w:rsidRDefault="002F3589" w:rsidP="002F3589">
      <w:pPr>
        <w:bidi/>
        <w:spacing w:line="360" w:lineRule="exact"/>
        <w:rPr>
          <w:rFonts w:ascii="Arabic Typesetting" w:hAnsi="Arabic Typesetting" w:cs="Arabic Typesetting"/>
          <w:sz w:val="36"/>
          <w:szCs w:val="36"/>
        </w:rPr>
      </w:pPr>
    </w:p>
    <w:p w:rsidR="002F3589" w:rsidRPr="00783D11" w:rsidRDefault="002F3589" w:rsidP="002F3589">
      <w:pPr>
        <w:pStyle w:val="MeetingSessionAR"/>
        <w:bidi/>
        <w:rPr>
          <w:rFonts w:ascii="Cambria Math" w:hAnsi="Cambria Math"/>
        </w:rPr>
      </w:pPr>
      <w:r w:rsidRPr="00783D11">
        <w:rPr>
          <w:rFonts w:ascii="Cambria Math" w:hAnsi="Cambria Math"/>
          <w:rtl/>
        </w:rPr>
        <w:t xml:space="preserve">الدورة </w:t>
      </w:r>
      <w:r>
        <w:rPr>
          <w:rFonts w:ascii="Cambria Math" w:hAnsi="Cambria Math" w:hint="cs"/>
          <w:rtl/>
        </w:rPr>
        <w:t>السابعة</w:t>
      </w:r>
    </w:p>
    <w:p w:rsidR="002F3589" w:rsidRPr="00D61541" w:rsidRDefault="002F3589" w:rsidP="002F3589">
      <w:pPr>
        <w:pStyle w:val="MeetingDatesAR"/>
        <w:bidi/>
        <w:rPr>
          <w:rtl/>
        </w:rPr>
      </w:pPr>
      <w:r w:rsidRPr="00D61541">
        <w:rPr>
          <w:rFonts w:hint="cs"/>
          <w:rtl/>
        </w:rPr>
        <w:t xml:space="preserve">جنيف، من </w:t>
      </w:r>
      <w:r>
        <w:rPr>
          <w:rFonts w:hint="cs"/>
          <w:rtl/>
        </w:rPr>
        <w:t>16 إلى 18 يوليو 2018</w:t>
      </w:r>
    </w:p>
    <w:p w:rsidR="002F3589" w:rsidRDefault="002F3589" w:rsidP="002F3589">
      <w:pPr>
        <w:bidi/>
        <w:spacing w:line="360" w:lineRule="exact"/>
        <w:rPr>
          <w:rFonts w:ascii="Arabic Typesetting" w:hAnsi="Arabic Typesetting" w:cs="Arabic Typesetting"/>
          <w:sz w:val="36"/>
          <w:szCs w:val="36"/>
          <w:rtl/>
        </w:rPr>
      </w:pPr>
    </w:p>
    <w:p w:rsidR="002F3589" w:rsidRDefault="002F3589" w:rsidP="002F3589">
      <w:pPr>
        <w:bidi/>
        <w:spacing w:line="360" w:lineRule="exact"/>
        <w:rPr>
          <w:rFonts w:ascii="Arabic Typesetting" w:hAnsi="Arabic Typesetting" w:cs="Arabic Typesetting"/>
          <w:sz w:val="36"/>
          <w:szCs w:val="36"/>
          <w:rtl/>
        </w:rPr>
      </w:pPr>
    </w:p>
    <w:p w:rsidR="0042678B" w:rsidRDefault="0042678B" w:rsidP="0042678B">
      <w:pPr>
        <w:pStyle w:val="DocumentTitleAR"/>
        <w:bidi/>
        <w:rPr>
          <w:i/>
          <w:iCs/>
          <w:rtl/>
        </w:rPr>
      </w:pPr>
      <w:r>
        <w:rPr>
          <w:rtl/>
        </w:rPr>
        <w:t>القضايا المحيطة بإتاحة</w:t>
      </w:r>
      <w:r>
        <w:rPr>
          <w:rFonts w:hint="cs"/>
          <w:rtl/>
        </w:rPr>
        <w:t xml:space="preserve"> </w:t>
      </w:r>
      <w:r w:rsidRPr="00DF48A3">
        <w:rPr>
          <w:rtl/>
        </w:rPr>
        <w:t>إخطارات الرفض للجمهور</w:t>
      </w:r>
    </w:p>
    <w:p w:rsidR="002F3589" w:rsidRPr="00D61541" w:rsidRDefault="0042678B" w:rsidP="002F3589">
      <w:pPr>
        <w:pStyle w:val="PreparedbyAR"/>
        <w:bidi/>
        <w:rPr>
          <w:rtl/>
        </w:rPr>
      </w:pPr>
      <w:r>
        <w:rPr>
          <w:rFonts w:hint="cs"/>
          <w:rtl/>
          <w:lang w:val="en-GB"/>
        </w:rPr>
        <w:t>وثيقة</w:t>
      </w:r>
      <w:r>
        <w:rPr>
          <w:lang w:val="en-GB"/>
        </w:rPr>
        <w:t xml:space="preserve"> </w:t>
      </w:r>
      <w:r w:rsidRPr="00D61541">
        <w:rPr>
          <w:rFonts w:hint="cs"/>
          <w:rtl/>
        </w:rPr>
        <w:t xml:space="preserve">من </w:t>
      </w:r>
      <w:r w:rsidRPr="00931859">
        <w:rPr>
          <w:rFonts w:hint="cs"/>
          <w:rtl/>
        </w:rPr>
        <w:t>إعداد</w:t>
      </w:r>
      <w:r>
        <w:rPr>
          <w:rFonts w:hint="cs"/>
          <w:rtl/>
        </w:rPr>
        <w:t xml:space="preserve"> المكتب الدولي</w:t>
      </w:r>
    </w:p>
    <w:p w:rsidR="0042678B" w:rsidRPr="00131A69" w:rsidRDefault="0042678B" w:rsidP="00803575">
      <w:pPr>
        <w:pStyle w:val="Heading1"/>
        <w:rPr>
          <w:rtl/>
        </w:rPr>
      </w:pPr>
      <w:r w:rsidRPr="00131A69">
        <w:rPr>
          <w:rFonts w:hint="cs"/>
          <w:rtl/>
        </w:rPr>
        <w:t>أولا.</w:t>
      </w:r>
      <w:r w:rsidRPr="00131A69">
        <w:rPr>
          <w:rtl/>
        </w:rPr>
        <w:tab/>
      </w:r>
      <w:r w:rsidRPr="00131A69">
        <w:rPr>
          <w:rFonts w:hint="cs"/>
          <w:rtl/>
        </w:rPr>
        <w:t>معلومات أساسية</w:t>
      </w:r>
    </w:p>
    <w:p w:rsidR="0042678B" w:rsidRPr="00D938D4" w:rsidRDefault="0042678B" w:rsidP="00803575">
      <w:pPr>
        <w:pStyle w:val="Heading2"/>
        <w:rPr>
          <w:rtl/>
          <w:lang w:val="en-GB" w:bidi="ar-MA"/>
        </w:rPr>
      </w:pPr>
      <w:r>
        <w:rPr>
          <w:rFonts w:hint="cs"/>
          <w:rtl/>
        </w:rPr>
        <w:t>إتاحة نُسخ</w:t>
      </w:r>
      <w:r>
        <w:rPr>
          <w:rFonts w:hint="eastAsia"/>
          <w:rtl/>
        </w:rPr>
        <w:t> </w:t>
      </w:r>
      <w:r>
        <w:rPr>
          <w:lang w:val="fr-CH"/>
        </w:rPr>
        <w:t>PDF</w:t>
      </w:r>
      <w:r>
        <w:rPr>
          <w:rFonts w:hint="cs"/>
          <w:rtl/>
        </w:rPr>
        <w:t xml:space="preserve"> للإخطارات </w:t>
      </w:r>
      <w:r>
        <w:rPr>
          <w:rFonts w:hint="cs"/>
          <w:rtl/>
          <w:lang w:val="en-GB"/>
        </w:rPr>
        <w:t>على الموقع</w:t>
      </w:r>
      <w:r w:rsidRPr="00D938D4">
        <w:rPr>
          <w:rtl/>
        </w:rPr>
        <w:t xml:space="preserve"> </w:t>
      </w:r>
      <w:r w:rsidRPr="00D938D4">
        <w:rPr>
          <w:rtl/>
          <w:lang w:val="en-GB"/>
        </w:rPr>
        <w:t>الإلكتروني</w:t>
      </w:r>
      <w:r>
        <w:rPr>
          <w:rFonts w:hint="cs"/>
          <w:rtl/>
          <w:lang w:val="en-GB"/>
        </w:rPr>
        <w:t xml:space="preserve"> للويبو</w:t>
      </w:r>
    </w:p>
    <w:p w:rsidR="0042678B" w:rsidRDefault="0042678B" w:rsidP="00803575">
      <w:pPr>
        <w:pStyle w:val="NumberedParaAR"/>
      </w:pPr>
      <w:r>
        <w:rPr>
          <w:rFonts w:hint="cs"/>
          <w:rtl/>
        </w:rPr>
        <w:t>تنص</w:t>
      </w:r>
      <w:r w:rsidRPr="003803C0">
        <w:rPr>
          <w:rtl/>
        </w:rPr>
        <w:t xml:space="preserve"> المادة </w:t>
      </w:r>
      <w:r>
        <w:rPr>
          <w:rFonts w:hint="cs"/>
          <w:rtl/>
        </w:rPr>
        <w:t>14(2)(ج)</w:t>
      </w:r>
      <w:r w:rsidRPr="003803C0">
        <w:rPr>
          <w:rtl/>
        </w:rPr>
        <w:t xml:space="preserve"> من وثيقة جنيف (1999) لاتفاق لاهاي (المشار إليها فيما يلي باسم "وثيقة 1999") </w:t>
      </w:r>
      <w:r>
        <w:rPr>
          <w:rFonts w:hint="cs"/>
          <w:rtl/>
        </w:rPr>
        <w:t>ع</w:t>
      </w:r>
      <w:r w:rsidRPr="003803C0">
        <w:rPr>
          <w:rtl/>
        </w:rPr>
        <w:t xml:space="preserve">لى أن </w:t>
      </w:r>
      <w:r>
        <w:rPr>
          <w:rFonts w:hint="cs"/>
          <w:rtl/>
        </w:rPr>
        <w:t>ال</w:t>
      </w:r>
      <w:r w:rsidRPr="003803C0">
        <w:rPr>
          <w:rtl/>
        </w:rPr>
        <w:t>أثر</w:t>
      </w:r>
      <w:r>
        <w:rPr>
          <w:rFonts w:hint="cs"/>
          <w:rtl/>
        </w:rPr>
        <w:t xml:space="preserve"> المترتب عن</w:t>
      </w:r>
      <w:r w:rsidRPr="003803C0">
        <w:rPr>
          <w:rtl/>
        </w:rPr>
        <w:t xml:space="preserve"> التسجيل الدولي بموجب المادة 14(1) و(2)(أ) و(ب) </w:t>
      </w:r>
      <w:r>
        <w:rPr>
          <w:rFonts w:hint="cs"/>
          <w:rtl/>
        </w:rPr>
        <w:t>يسري</w:t>
      </w:r>
      <w:r w:rsidRPr="003803C0">
        <w:rPr>
          <w:rtl/>
        </w:rPr>
        <w:t xml:space="preserve"> على التص</w:t>
      </w:r>
      <w:r>
        <w:rPr>
          <w:rFonts w:hint="cs"/>
          <w:rtl/>
        </w:rPr>
        <w:t>ا</w:t>
      </w:r>
      <w:r w:rsidRPr="003803C0">
        <w:rPr>
          <w:rtl/>
        </w:rPr>
        <w:t>ميم الصناعي</w:t>
      </w:r>
      <w:r>
        <w:rPr>
          <w:rFonts w:hint="cs"/>
          <w:rtl/>
        </w:rPr>
        <w:t>ة</w:t>
      </w:r>
      <w:r w:rsidRPr="003803C0">
        <w:rPr>
          <w:rtl/>
        </w:rPr>
        <w:t xml:space="preserve"> كما تسلمه</w:t>
      </w:r>
      <w:r>
        <w:rPr>
          <w:rFonts w:hint="cs"/>
          <w:rtl/>
        </w:rPr>
        <w:t>ا</w:t>
      </w:r>
      <w:r w:rsidRPr="003803C0">
        <w:rPr>
          <w:rtl/>
        </w:rPr>
        <w:t xml:space="preserve"> مكتب الطرف المتعاقد المعي</w:t>
      </w:r>
      <w:r>
        <w:rPr>
          <w:rFonts w:hint="cs"/>
          <w:rtl/>
        </w:rPr>
        <w:t>ّ</w:t>
      </w:r>
      <w:r w:rsidRPr="003803C0">
        <w:rPr>
          <w:rtl/>
        </w:rPr>
        <w:t xml:space="preserve">ن من المكتب الدولي، أو </w:t>
      </w:r>
      <w:r>
        <w:rPr>
          <w:rFonts w:hint="cs"/>
          <w:rtl/>
        </w:rPr>
        <w:t>"</w:t>
      </w:r>
      <w:r w:rsidRPr="00DE3AB2">
        <w:rPr>
          <w:rtl/>
        </w:rPr>
        <w:t xml:space="preserve">كما تم تعديله </w:t>
      </w:r>
      <w:r>
        <w:rPr>
          <w:rFonts w:hint="cs"/>
          <w:rtl/>
        </w:rPr>
        <w:t>من خلال</w:t>
      </w:r>
      <w:r w:rsidRPr="00DE3AB2">
        <w:rPr>
          <w:rtl/>
        </w:rPr>
        <w:t xml:space="preserve"> الإجراءات أمام ذلك المكتب المعي</w:t>
      </w:r>
      <w:r>
        <w:rPr>
          <w:rFonts w:hint="cs"/>
          <w:rtl/>
        </w:rPr>
        <w:t>ّ</w:t>
      </w:r>
      <w:r w:rsidRPr="00DE3AB2">
        <w:rPr>
          <w:rtl/>
        </w:rPr>
        <w:t>ن</w:t>
      </w:r>
      <w:r>
        <w:rPr>
          <w:rFonts w:hint="cs"/>
          <w:rtl/>
        </w:rPr>
        <w:t>"،</w:t>
      </w:r>
      <w:r w:rsidRPr="00DE3AB2">
        <w:rPr>
          <w:rtl/>
        </w:rPr>
        <w:t xml:space="preserve"> عند الاقتضاء. </w:t>
      </w:r>
      <w:r>
        <w:rPr>
          <w:rFonts w:hint="cs"/>
          <w:rtl/>
        </w:rPr>
        <w:t xml:space="preserve">وإذ وضعت </w:t>
      </w:r>
      <w:r>
        <w:rPr>
          <w:rtl/>
        </w:rPr>
        <w:t>جمعية اتحاد لاهاي</w:t>
      </w:r>
      <w:r>
        <w:rPr>
          <w:rFonts w:hint="cs"/>
          <w:rtl/>
        </w:rPr>
        <w:t xml:space="preserve"> في اعتبارها</w:t>
      </w:r>
      <w:r>
        <w:rPr>
          <w:rtl/>
        </w:rPr>
        <w:t xml:space="preserve"> </w:t>
      </w:r>
      <w:r>
        <w:rPr>
          <w:rFonts w:hint="cs"/>
          <w:rtl/>
        </w:rPr>
        <w:t>ا</w:t>
      </w:r>
      <w:r>
        <w:rPr>
          <w:rtl/>
        </w:rPr>
        <w:t xml:space="preserve">لحكم الوارد أعلاه، </w:t>
      </w:r>
      <w:r>
        <w:rPr>
          <w:rFonts w:hint="cs"/>
          <w:rtl/>
        </w:rPr>
        <w:t xml:space="preserve">فإنها </w:t>
      </w:r>
      <w:r>
        <w:rPr>
          <w:rtl/>
        </w:rPr>
        <w:t xml:space="preserve">اعتمدت </w:t>
      </w:r>
      <w:r w:rsidRPr="00052DED">
        <w:rPr>
          <w:rtl/>
        </w:rPr>
        <w:t>، في دورتها الرابعة والثلاثين (الدورة</w:t>
      </w:r>
      <w:r>
        <w:rPr>
          <w:rFonts w:hint="cs"/>
          <w:rtl/>
        </w:rPr>
        <w:t> </w:t>
      </w:r>
      <w:r w:rsidRPr="00052DED">
        <w:rPr>
          <w:rtl/>
        </w:rPr>
        <w:t>الاستثنائية الخامسة عشرة) المعقودة في سبتمب</w:t>
      </w:r>
      <w:r>
        <w:rPr>
          <w:rtl/>
        </w:rPr>
        <w:t>ر</w:t>
      </w:r>
      <w:r>
        <w:rPr>
          <w:rFonts w:hint="cs"/>
          <w:rtl/>
        </w:rPr>
        <w:t> </w:t>
      </w:r>
      <w:r>
        <w:rPr>
          <w:rtl/>
        </w:rPr>
        <w:t>2014، تعديلات على القواعد 18(4) و 18</w:t>
      </w:r>
      <w:r w:rsidRPr="00B9685A">
        <w:rPr>
          <w:rFonts w:hint="cs"/>
          <w:vertAlign w:val="superscript"/>
          <w:rtl/>
        </w:rPr>
        <w:t>(ثانيا)</w:t>
      </w:r>
      <w:r>
        <w:rPr>
          <w:rtl/>
        </w:rPr>
        <w:t>(1) و</w:t>
      </w:r>
      <w:r w:rsidRPr="00052DED">
        <w:rPr>
          <w:rtl/>
        </w:rPr>
        <w:t>(2) من ا</w:t>
      </w:r>
      <w:r>
        <w:rPr>
          <w:rtl/>
        </w:rPr>
        <w:t xml:space="preserve">للائحة التنفيذية المشتركة </w:t>
      </w:r>
      <w:r>
        <w:rPr>
          <w:rFonts w:hint="cs"/>
          <w:rtl/>
        </w:rPr>
        <w:t>لوثيقة</w:t>
      </w:r>
      <w:r w:rsidRPr="00052DED">
        <w:rPr>
          <w:rtl/>
        </w:rPr>
        <w:t xml:space="preserve"> 1999 </w:t>
      </w:r>
      <w:r>
        <w:rPr>
          <w:rFonts w:hint="cs"/>
          <w:rtl/>
        </w:rPr>
        <w:t>ووثيقة</w:t>
      </w:r>
      <w:r>
        <w:rPr>
          <w:rtl/>
        </w:rPr>
        <w:t xml:space="preserve"> 1960</w:t>
      </w:r>
      <w:r>
        <w:rPr>
          <w:rFonts w:hint="cs"/>
          <w:rtl/>
        </w:rPr>
        <w:t xml:space="preserve"> ل</w:t>
      </w:r>
      <w:r w:rsidRPr="00052DED">
        <w:rPr>
          <w:rtl/>
        </w:rPr>
        <w:t>اتفاق لاهاي (</w:t>
      </w:r>
      <w:r>
        <w:rPr>
          <w:rFonts w:hint="cs"/>
          <w:rtl/>
        </w:rPr>
        <w:t>المشار إليها</w:t>
      </w:r>
      <w:r w:rsidRPr="00052DED">
        <w:rPr>
          <w:rtl/>
        </w:rPr>
        <w:t xml:space="preserve"> فيما يلي باسم "اللائحة</w:t>
      </w:r>
      <w:r>
        <w:rPr>
          <w:rFonts w:hint="cs"/>
          <w:rtl/>
        </w:rPr>
        <w:t> </w:t>
      </w:r>
      <w:r w:rsidRPr="00052DED">
        <w:rPr>
          <w:rtl/>
        </w:rPr>
        <w:t>التنفيذية</w:t>
      </w:r>
      <w:r>
        <w:rPr>
          <w:rFonts w:hint="cs"/>
          <w:rtl/>
        </w:rPr>
        <w:t> </w:t>
      </w:r>
      <w:r w:rsidRPr="00052DED">
        <w:rPr>
          <w:rtl/>
        </w:rPr>
        <w:t>المشتركة")</w:t>
      </w:r>
      <w:r>
        <w:rPr>
          <w:rFonts w:hint="cs"/>
          <w:rtl/>
        </w:rPr>
        <w:t>.</w:t>
      </w:r>
      <w:r>
        <w:rPr>
          <w:rStyle w:val="FootnoteReference"/>
          <w:rtl/>
        </w:rPr>
        <w:footnoteReference w:id="1"/>
      </w:r>
    </w:p>
    <w:p w:rsidR="0042678B" w:rsidRDefault="0042678B" w:rsidP="00803575">
      <w:pPr>
        <w:pStyle w:val="NumberedParaAR"/>
      </w:pPr>
      <w:r w:rsidRPr="003F660A">
        <w:rPr>
          <w:rtl/>
        </w:rPr>
        <w:t xml:space="preserve">وقد أدخلت التعديلات المعتمدة آلية لضمان </w:t>
      </w:r>
      <w:r>
        <w:rPr>
          <w:rFonts w:hint="cs"/>
          <w:rtl/>
        </w:rPr>
        <w:t>إشعار</w:t>
      </w:r>
      <w:r w:rsidRPr="00557099">
        <w:rPr>
          <w:rtl/>
        </w:rPr>
        <w:t xml:space="preserve"> المكتب الدولي</w:t>
      </w:r>
      <w:r w:rsidRPr="003F660A">
        <w:rPr>
          <w:rtl/>
        </w:rPr>
        <w:t xml:space="preserve"> </w:t>
      </w:r>
      <w:r>
        <w:rPr>
          <w:rFonts w:hint="cs"/>
          <w:rtl/>
        </w:rPr>
        <w:t>ب</w:t>
      </w:r>
      <w:r w:rsidRPr="003F660A">
        <w:rPr>
          <w:rtl/>
        </w:rPr>
        <w:t xml:space="preserve">أي تعديل </w:t>
      </w:r>
      <w:r>
        <w:rPr>
          <w:rFonts w:hint="cs"/>
          <w:rtl/>
        </w:rPr>
        <w:t>يُدخل على</w:t>
      </w:r>
      <w:r w:rsidRPr="003F660A">
        <w:rPr>
          <w:rtl/>
        </w:rPr>
        <w:t xml:space="preserve"> التصميم الصناعي في</w:t>
      </w:r>
      <w:r>
        <w:rPr>
          <w:rFonts w:hint="cs"/>
          <w:rtl/>
        </w:rPr>
        <w:t>ما يخص إجراء</w:t>
      </w:r>
      <w:r>
        <w:rPr>
          <w:rtl/>
        </w:rPr>
        <w:t xml:space="preserve"> أمام </w:t>
      </w:r>
      <w:r w:rsidRPr="00F7392F">
        <w:rPr>
          <w:rtl/>
        </w:rPr>
        <w:t xml:space="preserve">مكتب </w:t>
      </w:r>
      <w:r>
        <w:rPr>
          <w:rFonts w:hint="cs"/>
          <w:rtl/>
        </w:rPr>
        <w:t xml:space="preserve">الطرف المتعاقد </w:t>
      </w:r>
      <w:r w:rsidRPr="00F7392F">
        <w:rPr>
          <w:rtl/>
        </w:rPr>
        <w:t>المعي</w:t>
      </w:r>
      <w:r>
        <w:rPr>
          <w:rFonts w:hint="cs"/>
          <w:rtl/>
        </w:rPr>
        <w:t>ّ</w:t>
      </w:r>
      <w:r w:rsidRPr="00F7392F">
        <w:rPr>
          <w:rtl/>
        </w:rPr>
        <w:t xml:space="preserve">ن </w:t>
      </w:r>
      <w:r>
        <w:rPr>
          <w:rFonts w:hint="cs"/>
          <w:rtl/>
        </w:rPr>
        <w:t xml:space="preserve">وذلك </w:t>
      </w:r>
      <w:r w:rsidRPr="003F660A">
        <w:rPr>
          <w:rtl/>
        </w:rPr>
        <w:t>من خلال بي</w:t>
      </w:r>
      <w:r>
        <w:rPr>
          <w:rtl/>
        </w:rPr>
        <w:t xml:space="preserve">ان </w:t>
      </w:r>
      <w:r>
        <w:rPr>
          <w:rFonts w:hint="cs"/>
          <w:rtl/>
        </w:rPr>
        <w:t>ب</w:t>
      </w:r>
      <w:r>
        <w:rPr>
          <w:rtl/>
        </w:rPr>
        <w:t>منح الحماية بموجب القاعدة 18</w:t>
      </w:r>
      <w:r w:rsidRPr="005E21E2">
        <w:rPr>
          <w:vertAlign w:val="superscript"/>
          <w:rtl/>
        </w:rPr>
        <w:t>(ثانيا)</w:t>
      </w:r>
      <w:r>
        <w:rPr>
          <w:rtl/>
        </w:rPr>
        <w:t>(1) أو(2)</w:t>
      </w:r>
      <w:r w:rsidRPr="003F660A">
        <w:rPr>
          <w:rtl/>
        </w:rPr>
        <w:t xml:space="preserve"> أو إخ</w:t>
      </w:r>
      <w:r>
        <w:rPr>
          <w:rtl/>
        </w:rPr>
        <w:t>طار بسحب الرفض بموجب القاعدة 18</w:t>
      </w:r>
      <w:r w:rsidRPr="003F660A">
        <w:rPr>
          <w:rtl/>
        </w:rPr>
        <w:t xml:space="preserve">(4). </w:t>
      </w:r>
      <w:r>
        <w:rPr>
          <w:rFonts w:hint="cs"/>
          <w:rtl/>
        </w:rPr>
        <w:t>وطبقا</w:t>
      </w:r>
      <w:r>
        <w:rPr>
          <w:rtl/>
        </w:rPr>
        <w:t xml:space="preserve"> </w:t>
      </w:r>
      <w:r>
        <w:rPr>
          <w:rFonts w:hint="cs"/>
          <w:rtl/>
        </w:rPr>
        <w:t>ل</w:t>
      </w:r>
      <w:r w:rsidRPr="003F660A">
        <w:rPr>
          <w:rtl/>
        </w:rPr>
        <w:t xml:space="preserve">لقواعد 18(5) </w:t>
      </w:r>
      <w:r>
        <w:rPr>
          <w:rtl/>
        </w:rPr>
        <w:t>و 18</w:t>
      </w:r>
      <w:r w:rsidRPr="005E21E2">
        <w:rPr>
          <w:rFonts w:hint="cs"/>
          <w:vertAlign w:val="superscript"/>
          <w:rtl/>
        </w:rPr>
        <w:t>(ثانيا)</w:t>
      </w:r>
      <w:r>
        <w:rPr>
          <w:rtl/>
        </w:rPr>
        <w:t>(3) و 26(1)</w:t>
      </w:r>
      <w:r w:rsidRPr="003F660A">
        <w:rPr>
          <w:rtl/>
        </w:rPr>
        <w:t>"2"، وكما هو موضح في</w:t>
      </w:r>
      <w:r>
        <w:rPr>
          <w:rFonts w:hint="cs"/>
          <w:rtl/>
        </w:rPr>
        <w:t xml:space="preserve"> الفقرة</w:t>
      </w:r>
      <w:r>
        <w:rPr>
          <w:rFonts w:hint="eastAsia"/>
          <w:rtl/>
        </w:rPr>
        <w:t> </w:t>
      </w:r>
      <w:r>
        <w:rPr>
          <w:rFonts w:hint="cs"/>
          <w:rtl/>
        </w:rPr>
        <w:t xml:space="preserve">15 من </w:t>
      </w:r>
      <w:r w:rsidRPr="003F660A">
        <w:rPr>
          <w:rtl/>
        </w:rPr>
        <w:t>الوثيقة</w:t>
      </w:r>
      <w:r>
        <w:rPr>
          <w:rFonts w:hint="eastAsia"/>
          <w:rtl/>
        </w:rPr>
        <w:t> </w:t>
      </w:r>
      <w:r w:rsidRPr="009450AA">
        <w:t>H/A/34/2</w:t>
      </w:r>
      <w:r w:rsidRPr="003F660A">
        <w:rPr>
          <w:rtl/>
        </w:rPr>
        <w:t xml:space="preserve"> المقدمة إلى</w:t>
      </w:r>
      <w:r>
        <w:rPr>
          <w:rFonts w:hint="cs"/>
          <w:rtl/>
        </w:rPr>
        <w:t xml:space="preserve"> </w:t>
      </w:r>
      <w:r>
        <w:rPr>
          <w:rtl/>
        </w:rPr>
        <w:t xml:space="preserve">الدورة </w:t>
      </w:r>
      <w:r w:rsidRPr="00592C3F">
        <w:rPr>
          <w:rtl/>
        </w:rPr>
        <w:t xml:space="preserve">المذكورة </w:t>
      </w:r>
      <w:r>
        <w:rPr>
          <w:rtl/>
        </w:rPr>
        <w:t>أعلاه لجمعية اتحاد لاهاي</w:t>
      </w:r>
      <w:r w:rsidRPr="003F660A">
        <w:rPr>
          <w:rtl/>
        </w:rPr>
        <w:t xml:space="preserve">، </w:t>
      </w:r>
      <w:r>
        <w:rPr>
          <w:rFonts w:hint="cs"/>
          <w:rtl/>
        </w:rPr>
        <w:t>يتيح</w:t>
      </w:r>
      <w:r>
        <w:rPr>
          <w:rtl/>
        </w:rPr>
        <w:t xml:space="preserve"> </w:t>
      </w:r>
      <w:r>
        <w:rPr>
          <w:rFonts w:hint="cs"/>
          <w:rtl/>
        </w:rPr>
        <w:t>ا</w:t>
      </w:r>
      <w:r w:rsidRPr="003F660A">
        <w:rPr>
          <w:rtl/>
        </w:rPr>
        <w:t>لمكتب الدولي</w:t>
      </w:r>
      <w:r>
        <w:rPr>
          <w:rFonts w:hint="cs"/>
          <w:rtl/>
        </w:rPr>
        <w:t xml:space="preserve"> </w:t>
      </w:r>
      <w:r>
        <w:rPr>
          <w:rtl/>
        </w:rPr>
        <w:t xml:space="preserve">المعلومات المتعلقة </w:t>
      </w:r>
      <w:r>
        <w:rPr>
          <w:rtl/>
        </w:rPr>
        <w:lastRenderedPageBreak/>
        <w:t>ب</w:t>
      </w:r>
      <w:r>
        <w:rPr>
          <w:rFonts w:hint="cs"/>
          <w:rtl/>
        </w:rPr>
        <w:t>تلك</w:t>
      </w:r>
      <w:r>
        <w:rPr>
          <w:rFonts w:hint="eastAsia"/>
          <w:rtl/>
        </w:rPr>
        <w:t> </w:t>
      </w:r>
      <w:r w:rsidRPr="003F660A">
        <w:rPr>
          <w:rtl/>
        </w:rPr>
        <w:t xml:space="preserve">التعديلات للجمهور من خلال </w:t>
      </w:r>
      <w:r w:rsidRPr="0000280A">
        <w:rPr>
          <w:i/>
          <w:iCs/>
          <w:rtl/>
        </w:rPr>
        <w:t>نشرة التصاميم الدولية</w:t>
      </w:r>
      <w:r w:rsidRPr="003F660A">
        <w:rPr>
          <w:rtl/>
        </w:rPr>
        <w:t xml:space="preserve"> (المشار إليها فيما يلي باسم "</w:t>
      </w:r>
      <w:r>
        <w:rPr>
          <w:rtl/>
        </w:rPr>
        <w:t xml:space="preserve">النشرة")، </w:t>
      </w:r>
      <w:r>
        <w:rPr>
          <w:rFonts w:hint="cs"/>
          <w:rtl/>
        </w:rPr>
        <w:t>من خلال تحميل</w:t>
      </w:r>
      <w:r w:rsidRPr="003F660A">
        <w:rPr>
          <w:rtl/>
        </w:rPr>
        <w:t xml:space="preserve"> نسخة من الإخطار أو البيان كما </w:t>
      </w:r>
      <w:r>
        <w:rPr>
          <w:rFonts w:hint="cs"/>
          <w:rtl/>
        </w:rPr>
        <w:t>تسلمه</w:t>
      </w:r>
      <w:r w:rsidRPr="003F660A">
        <w:rPr>
          <w:rtl/>
        </w:rPr>
        <w:t xml:space="preserve"> </w:t>
      </w:r>
      <w:r>
        <w:rPr>
          <w:rFonts w:hint="cs"/>
          <w:rtl/>
        </w:rPr>
        <w:t xml:space="preserve">من </w:t>
      </w:r>
      <w:r w:rsidRPr="003F660A">
        <w:rPr>
          <w:rtl/>
        </w:rPr>
        <w:t>المكتب</w:t>
      </w:r>
      <w:r>
        <w:rPr>
          <w:rtl/>
        </w:rPr>
        <w:t>.</w:t>
      </w:r>
    </w:p>
    <w:p w:rsidR="0042678B" w:rsidRDefault="0042678B" w:rsidP="00803575">
      <w:pPr>
        <w:pStyle w:val="NumberedParaAR"/>
      </w:pPr>
      <w:r>
        <w:rPr>
          <w:rFonts w:hint="cs"/>
          <w:rtl/>
        </w:rPr>
        <w:t>و</w:t>
      </w:r>
      <w:r w:rsidRPr="00AD38B4">
        <w:rPr>
          <w:rtl/>
        </w:rPr>
        <w:t>دخلت الأحكام المعد</w:t>
      </w:r>
      <w:r>
        <w:rPr>
          <w:rFonts w:hint="cs"/>
          <w:rtl/>
        </w:rPr>
        <w:t>ّ</w:t>
      </w:r>
      <w:r w:rsidRPr="00AD38B4">
        <w:rPr>
          <w:rtl/>
        </w:rPr>
        <w:t xml:space="preserve">لة حيز </w:t>
      </w:r>
      <w:r>
        <w:rPr>
          <w:rFonts w:hint="cs"/>
          <w:rtl/>
        </w:rPr>
        <w:t>النفاذ</w:t>
      </w:r>
      <w:r w:rsidRPr="00AD38B4">
        <w:rPr>
          <w:rtl/>
        </w:rPr>
        <w:t xml:space="preserve"> في 1 </w:t>
      </w:r>
      <w:r>
        <w:rPr>
          <w:rtl/>
        </w:rPr>
        <w:t xml:space="preserve">يناير 2015. </w:t>
      </w:r>
      <w:r>
        <w:rPr>
          <w:rFonts w:hint="cs"/>
          <w:rtl/>
        </w:rPr>
        <w:t>وطبقا</w:t>
      </w:r>
      <w:r>
        <w:rPr>
          <w:rtl/>
        </w:rPr>
        <w:t xml:space="preserve"> </w:t>
      </w:r>
      <w:r>
        <w:rPr>
          <w:rFonts w:hint="cs"/>
          <w:rtl/>
        </w:rPr>
        <w:t>لتلك</w:t>
      </w:r>
      <w:r>
        <w:rPr>
          <w:rtl/>
        </w:rPr>
        <w:t xml:space="preserve"> الأحكام</w:t>
      </w:r>
      <w:r w:rsidRPr="00AD38B4">
        <w:rPr>
          <w:rtl/>
        </w:rPr>
        <w:t xml:space="preserve">، </w:t>
      </w:r>
      <w:r>
        <w:rPr>
          <w:rFonts w:hint="cs"/>
          <w:rtl/>
        </w:rPr>
        <w:t>تُتاح</w:t>
      </w:r>
      <w:r w:rsidRPr="00AD38B4">
        <w:rPr>
          <w:rtl/>
        </w:rPr>
        <w:t xml:space="preserve"> ن</w:t>
      </w:r>
      <w:r>
        <w:rPr>
          <w:rFonts w:hint="cs"/>
          <w:rtl/>
        </w:rPr>
        <w:t>ُ</w:t>
      </w:r>
      <w:r w:rsidRPr="00AD38B4">
        <w:rPr>
          <w:rtl/>
        </w:rPr>
        <w:t>سخ</w:t>
      </w:r>
      <w:r>
        <w:rPr>
          <w:rFonts w:hint="cs"/>
          <w:rtl/>
        </w:rPr>
        <w:t> </w:t>
      </w:r>
      <w:r w:rsidRPr="00CB7E35">
        <w:t>PDF</w:t>
      </w:r>
      <w:r w:rsidRPr="00CB7E35">
        <w:rPr>
          <w:rtl/>
        </w:rPr>
        <w:t xml:space="preserve"> </w:t>
      </w:r>
      <w:r>
        <w:rPr>
          <w:rFonts w:hint="cs"/>
          <w:rtl/>
        </w:rPr>
        <w:t>ل</w:t>
      </w:r>
      <w:r w:rsidRPr="008A4140">
        <w:rPr>
          <w:rtl/>
        </w:rPr>
        <w:t>إخطارات</w:t>
      </w:r>
      <w:r>
        <w:rPr>
          <w:rFonts w:hint="cs"/>
          <w:rtl/>
        </w:rPr>
        <w:t xml:space="preserve"> </w:t>
      </w:r>
      <w:r>
        <w:rPr>
          <w:rtl/>
        </w:rPr>
        <w:t>سحب الرفض</w:t>
      </w:r>
      <w:r>
        <w:rPr>
          <w:rFonts w:hint="cs"/>
          <w:rtl/>
        </w:rPr>
        <w:t xml:space="preserve"> </w:t>
      </w:r>
      <w:r w:rsidRPr="00AD38B4">
        <w:rPr>
          <w:rtl/>
        </w:rPr>
        <w:t xml:space="preserve">وبيانات منح الحماية </w:t>
      </w:r>
      <w:r>
        <w:rPr>
          <w:rFonts w:hint="cs"/>
          <w:rtl/>
        </w:rPr>
        <w:t>المُستلمة</w:t>
      </w:r>
      <w:r w:rsidRPr="00AD38B4">
        <w:rPr>
          <w:rtl/>
        </w:rPr>
        <w:t xml:space="preserve"> في التاريخ </w:t>
      </w:r>
      <w:r>
        <w:rPr>
          <w:rFonts w:hint="cs"/>
          <w:rtl/>
        </w:rPr>
        <w:t xml:space="preserve">المذكور سابقا </w:t>
      </w:r>
      <w:r>
        <w:rPr>
          <w:rtl/>
        </w:rPr>
        <w:t>وبعده في النشرة</w:t>
      </w:r>
      <w:r w:rsidRPr="00AD38B4">
        <w:rPr>
          <w:rtl/>
        </w:rPr>
        <w:t xml:space="preserve">، وكذلك </w:t>
      </w:r>
      <w:r>
        <w:rPr>
          <w:rFonts w:hint="cs"/>
          <w:rtl/>
        </w:rPr>
        <w:t>على</w:t>
      </w:r>
      <w:r>
        <w:rPr>
          <w:rtl/>
        </w:rPr>
        <w:t xml:space="preserve"> قاعدة بيانات لاهاي اكسبرس </w:t>
      </w:r>
      <w:r>
        <w:rPr>
          <w:rFonts w:hint="cs"/>
          <w:rtl/>
        </w:rPr>
        <w:t xml:space="preserve">بغية </w:t>
      </w:r>
      <w:r w:rsidRPr="00AD38B4">
        <w:rPr>
          <w:rtl/>
        </w:rPr>
        <w:t xml:space="preserve">تعزيز </w:t>
      </w:r>
      <w:r>
        <w:rPr>
          <w:rFonts w:hint="cs"/>
          <w:rtl/>
        </w:rPr>
        <w:t>النفاذ</w:t>
      </w:r>
      <w:r>
        <w:rPr>
          <w:rtl/>
        </w:rPr>
        <w:t xml:space="preserve"> إلى المعلومات. ومنذ ذلك الحين</w:t>
      </w:r>
      <w:r w:rsidRPr="00AD38B4">
        <w:rPr>
          <w:rtl/>
        </w:rPr>
        <w:t>، أتيحت</w:t>
      </w:r>
      <w:r>
        <w:rPr>
          <w:rFonts w:hint="cs"/>
          <w:rtl/>
        </w:rPr>
        <w:t xml:space="preserve"> أيضا</w:t>
      </w:r>
      <w:r w:rsidRPr="00AD38B4">
        <w:rPr>
          <w:rtl/>
        </w:rPr>
        <w:t xml:space="preserve"> نسخة</w:t>
      </w:r>
      <w:r>
        <w:rPr>
          <w:rFonts w:hint="cs"/>
          <w:rtl/>
        </w:rPr>
        <w:t xml:space="preserve"> بنسق </w:t>
      </w:r>
      <w:r w:rsidRPr="00AD38B4">
        <w:t>PDF</w:t>
      </w:r>
      <w:r w:rsidRPr="00AD38B4">
        <w:rPr>
          <w:rtl/>
        </w:rPr>
        <w:t xml:space="preserve"> من </w:t>
      </w:r>
      <w:r>
        <w:rPr>
          <w:rFonts w:hint="cs"/>
          <w:rtl/>
        </w:rPr>
        <w:t>ال</w:t>
      </w:r>
      <w:r w:rsidRPr="00AD38B4">
        <w:rPr>
          <w:rtl/>
        </w:rPr>
        <w:t xml:space="preserve">إخطار </w:t>
      </w:r>
      <w:r>
        <w:rPr>
          <w:rFonts w:hint="cs"/>
          <w:rtl/>
        </w:rPr>
        <w:t>ب</w:t>
      </w:r>
      <w:r w:rsidRPr="00AD38B4">
        <w:rPr>
          <w:rtl/>
        </w:rPr>
        <w:t xml:space="preserve">الرفض </w:t>
      </w:r>
      <w:r>
        <w:rPr>
          <w:rFonts w:hint="cs"/>
          <w:rtl/>
        </w:rPr>
        <w:t>لعرض</w:t>
      </w:r>
      <w:r w:rsidRPr="00AD38B4">
        <w:rPr>
          <w:rtl/>
        </w:rPr>
        <w:t xml:space="preserve"> تاريخ </w:t>
      </w:r>
      <w:r>
        <w:rPr>
          <w:rFonts w:hint="cs"/>
          <w:rtl/>
        </w:rPr>
        <w:t>الملف</w:t>
      </w:r>
      <w:r w:rsidRPr="00AD38B4">
        <w:rPr>
          <w:rtl/>
        </w:rPr>
        <w:t xml:space="preserve"> أو </w:t>
      </w:r>
      <w:r>
        <w:rPr>
          <w:rFonts w:hint="cs"/>
          <w:rtl/>
        </w:rPr>
        <w:t>ال</w:t>
      </w:r>
      <w:r w:rsidRPr="00AD38B4">
        <w:rPr>
          <w:rtl/>
        </w:rPr>
        <w:t xml:space="preserve">معلومات </w:t>
      </w:r>
      <w:r>
        <w:rPr>
          <w:rFonts w:hint="cs"/>
          <w:rtl/>
        </w:rPr>
        <w:t>الأساسية</w:t>
      </w:r>
      <w:r w:rsidRPr="00AD38B4">
        <w:rPr>
          <w:rtl/>
        </w:rPr>
        <w:t xml:space="preserve"> </w:t>
      </w:r>
      <w:r>
        <w:rPr>
          <w:rFonts w:hint="cs"/>
          <w:rtl/>
        </w:rPr>
        <w:t>الوجيهة</w:t>
      </w:r>
      <w:r>
        <w:rPr>
          <w:rtl/>
        </w:rPr>
        <w:t xml:space="preserve"> </w:t>
      </w:r>
      <w:r>
        <w:rPr>
          <w:rFonts w:hint="cs"/>
          <w:rtl/>
        </w:rPr>
        <w:t xml:space="preserve">فيما يخص </w:t>
      </w:r>
      <w:r w:rsidRPr="00AD38B4">
        <w:rPr>
          <w:rtl/>
        </w:rPr>
        <w:t>التعديلات التي أُدخلت على التصميم الصناعي.</w:t>
      </w:r>
      <w:r>
        <w:rPr>
          <w:rStyle w:val="FootnoteReference"/>
          <w:rtl/>
        </w:rPr>
        <w:footnoteReference w:id="2"/>
      </w:r>
    </w:p>
    <w:p w:rsidR="0042678B" w:rsidRDefault="0042678B" w:rsidP="00803575">
      <w:pPr>
        <w:pStyle w:val="NumberedParaAR"/>
      </w:pPr>
      <w:r>
        <w:rPr>
          <w:rFonts w:hint="cs"/>
          <w:rtl/>
        </w:rPr>
        <w:t>و</w:t>
      </w:r>
      <w:r w:rsidRPr="00D630B8">
        <w:rPr>
          <w:rtl/>
        </w:rPr>
        <w:t xml:space="preserve">الغرض من هذه الوثيقة </w:t>
      </w:r>
      <w:r>
        <w:rPr>
          <w:rFonts w:hint="cs"/>
          <w:rtl/>
        </w:rPr>
        <w:t>هو</w:t>
      </w:r>
      <w:r w:rsidRPr="00D630B8">
        <w:rPr>
          <w:rtl/>
        </w:rPr>
        <w:t xml:space="preserve"> فتح نقاش حول ما إذا كان ي</w:t>
      </w:r>
      <w:r>
        <w:rPr>
          <w:rtl/>
        </w:rPr>
        <w:t xml:space="preserve">جب مراجعة ممارسة المكتب الدولي </w:t>
      </w:r>
      <w:r>
        <w:rPr>
          <w:rFonts w:hint="cs"/>
          <w:rtl/>
        </w:rPr>
        <w:t>بشأن إتاحة</w:t>
      </w:r>
      <w:r>
        <w:rPr>
          <w:rtl/>
        </w:rPr>
        <w:t xml:space="preserve"> </w:t>
      </w:r>
      <w:r w:rsidRPr="00D630B8">
        <w:rPr>
          <w:rtl/>
        </w:rPr>
        <w:t>إخطارات الرفض بشكل مفتوح.</w:t>
      </w:r>
    </w:p>
    <w:p w:rsidR="0042678B" w:rsidRPr="00D216D8" w:rsidRDefault="0042678B" w:rsidP="00803575">
      <w:pPr>
        <w:pStyle w:val="Heading1"/>
        <w:rPr>
          <w:b/>
          <w:bCs w:val="0"/>
        </w:rPr>
      </w:pPr>
      <w:r w:rsidRPr="00803575">
        <w:rPr>
          <w:rFonts w:hint="cs"/>
          <w:rtl/>
        </w:rPr>
        <w:t>ثانياً</w:t>
      </w:r>
      <w:r w:rsidRPr="00131A69">
        <w:rPr>
          <w:rFonts w:hint="cs"/>
          <w:b/>
          <w:rtl/>
        </w:rPr>
        <w:t>.</w:t>
      </w:r>
      <w:r w:rsidRPr="00131A69">
        <w:rPr>
          <w:b/>
          <w:rtl/>
        </w:rPr>
        <w:tab/>
      </w:r>
      <w:r>
        <w:rPr>
          <w:rFonts w:hint="cs"/>
          <w:b/>
          <w:rtl/>
        </w:rPr>
        <w:t xml:space="preserve">القضية </w:t>
      </w:r>
      <w:r w:rsidRPr="00803575">
        <w:rPr>
          <w:rFonts w:hint="cs"/>
          <w:rtl/>
        </w:rPr>
        <w:t>المطروحة</w:t>
      </w:r>
    </w:p>
    <w:p w:rsidR="0042678B" w:rsidRDefault="0042678B" w:rsidP="00803575">
      <w:pPr>
        <w:pStyle w:val="Heading2"/>
        <w:rPr>
          <w:rtl/>
        </w:rPr>
      </w:pPr>
      <w:r>
        <w:rPr>
          <w:rFonts w:hint="cs"/>
          <w:rtl/>
        </w:rPr>
        <w:t>إيجابيات وسلبيات النفاذ المفتوح إلى أسباب الرفض</w:t>
      </w:r>
    </w:p>
    <w:p w:rsidR="0042678B" w:rsidRDefault="0042678B" w:rsidP="00803575">
      <w:pPr>
        <w:pStyle w:val="NumberedParaAR"/>
      </w:pPr>
      <w:r>
        <w:rPr>
          <w:rFonts w:hint="cs"/>
          <w:rtl/>
        </w:rPr>
        <w:t>يتيح المكتب الدولي</w:t>
      </w:r>
      <w:r>
        <w:rPr>
          <w:rtl/>
        </w:rPr>
        <w:t xml:space="preserve"> </w:t>
      </w:r>
      <w:r>
        <w:rPr>
          <w:rFonts w:hint="cs"/>
          <w:rtl/>
        </w:rPr>
        <w:t>ال</w:t>
      </w:r>
      <w:r>
        <w:rPr>
          <w:rtl/>
        </w:rPr>
        <w:t xml:space="preserve">معلومات </w:t>
      </w:r>
      <w:r>
        <w:rPr>
          <w:rFonts w:hint="cs"/>
          <w:rtl/>
        </w:rPr>
        <w:t>الخاصة</w:t>
      </w:r>
      <w:r>
        <w:rPr>
          <w:rtl/>
        </w:rPr>
        <w:t xml:space="preserve"> </w:t>
      </w:r>
      <w:r>
        <w:rPr>
          <w:rFonts w:hint="cs"/>
          <w:rtl/>
        </w:rPr>
        <w:t>ب</w:t>
      </w:r>
      <w:r>
        <w:rPr>
          <w:rtl/>
        </w:rPr>
        <w:t>أي تسجيل دولي</w:t>
      </w:r>
      <w:r>
        <w:rPr>
          <w:rFonts w:hint="cs"/>
          <w:rtl/>
        </w:rPr>
        <w:t>،</w:t>
      </w:r>
      <w:r>
        <w:rPr>
          <w:rtl/>
        </w:rPr>
        <w:t xml:space="preserve"> </w:t>
      </w:r>
      <w:r>
        <w:rPr>
          <w:rFonts w:hint="cs"/>
          <w:rtl/>
        </w:rPr>
        <w:t>بمجرّد</w:t>
      </w:r>
      <w:r>
        <w:rPr>
          <w:rtl/>
        </w:rPr>
        <w:t xml:space="preserve"> </w:t>
      </w:r>
      <w:r>
        <w:rPr>
          <w:rFonts w:hint="cs"/>
          <w:rtl/>
        </w:rPr>
        <w:t>نشرها</w:t>
      </w:r>
      <w:r>
        <w:rPr>
          <w:rtl/>
        </w:rPr>
        <w:t xml:space="preserve"> في النشرة، </w:t>
      </w:r>
      <w:r>
        <w:rPr>
          <w:rFonts w:hint="cs"/>
          <w:rtl/>
        </w:rPr>
        <w:t>ل</w:t>
      </w:r>
      <w:r>
        <w:rPr>
          <w:rtl/>
        </w:rPr>
        <w:t>أطراف ثالثة مقابل دفع رسوم</w:t>
      </w:r>
      <w:r>
        <w:rPr>
          <w:rFonts w:hint="cs"/>
          <w:rtl/>
        </w:rPr>
        <w:t xml:space="preserve"> معينة طبقا</w:t>
      </w:r>
      <w:r>
        <w:rPr>
          <w:rtl/>
        </w:rPr>
        <w:t xml:space="preserve"> </w:t>
      </w:r>
      <w:r>
        <w:rPr>
          <w:rFonts w:hint="cs"/>
          <w:rtl/>
        </w:rPr>
        <w:t>ل</w:t>
      </w:r>
      <w:r>
        <w:rPr>
          <w:rtl/>
        </w:rPr>
        <w:t>ل</w:t>
      </w:r>
      <w:r>
        <w:rPr>
          <w:rFonts w:hint="cs"/>
          <w:rtl/>
        </w:rPr>
        <w:t>قاعدة</w:t>
      </w:r>
      <w:r>
        <w:rPr>
          <w:rtl/>
        </w:rPr>
        <w:t xml:space="preserve"> 32(1)</w:t>
      </w:r>
      <w:r>
        <w:rPr>
          <w:rFonts w:hint="cs"/>
          <w:rtl/>
        </w:rPr>
        <w:t xml:space="preserve"> "2"</w:t>
      </w:r>
      <w:r>
        <w:rPr>
          <w:rtl/>
        </w:rPr>
        <w:t xml:space="preserve"> أو </w:t>
      </w:r>
      <w:r>
        <w:rPr>
          <w:rFonts w:hint="cs"/>
          <w:rtl/>
        </w:rPr>
        <w:t>"</w:t>
      </w:r>
      <w:r>
        <w:rPr>
          <w:rtl/>
        </w:rPr>
        <w:t>3</w:t>
      </w:r>
      <w:r>
        <w:rPr>
          <w:rFonts w:hint="cs"/>
          <w:rtl/>
        </w:rPr>
        <w:t>"</w:t>
      </w:r>
      <w:r>
        <w:rPr>
          <w:rtl/>
        </w:rPr>
        <w:t>.</w:t>
      </w:r>
      <w:r>
        <w:rPr>
          <w:rStyle w:val="FootnoteReference"/>
          <w:rtl/>
        </w:rPr>
        <w:footnoteReference w:id="3"/>
      </w:r>
      <w:r>
        <w:rPr>
          <w:rtl/>
        </w:rPr>
        <w:t xml:space="preserve"> وتشمل </w:t>
      </w:r>
      <w:r>
        <w:rPr>
          <w:rFonts w:hint="cs"/>
          <w:rtl/>
        </w:rPr>
        <w:t>تلك</w:t>
      </w:r>
      <w:r>
        <w:rPr>
          <w:rtl/>
        </w:rPr>
        <w:t xml:space="preserve"> المعلومات المتاحة نسخة من الطلب الدولي كما </w:t>
      </w:r>
      <w:r>
        <w:rPr>
          <w:rFonts w:hint="cs"/>
          <w:rtl/>
        </w:rPr>
        <w:t>أودع</w:t>
      </w:r>
      <w:r>
        <w:rPr>
          <w:rtl/>
        </w:rPr>
        <w:t xml:space="preserve"> </w:t>
      </w:r>
      <w:r>
        <w:rPr>
          <w:rFonts w:hint="cs"/>
          <w:rtl/>
        </w:rPr>
        <w:t xml:space="preserve">وأي </w:t>
      </w:r>
      <w:r>
        <w:rPr>
          <w:rtl/>
        </w:rPr>
        <w:t xml:space="preserve">إخطار </w:t>
      </w:r>
      <w:r>
        <w:rPr>
          <w:rFonts w:hint="cs"/>
          <w:rtl/>
        </w:rPr>
        <w:t>مُستلم من أي</w:t>
      </w:r>
      <w:r>
        <w:rPr>
          <w:rtl/>
        </w:rPr>
        <w:t xml:space="preserve"> طرف متعاقد</w:t>
      </w:r>
      <w:r>
        <w:rPr>
          <w:rFonts w:hint="cs"/>
          <w:rtl/>
        </w:rPr>
        <w:t xml:space="preserve"> </w:t>
      </w:r>
      <w:r>
        <w:rPr>
          <w:rtl/>
        </w:rPr>
        <w:t>معي</w:t>
      </w:r>
      <w:r>
        <w:rPr>
          <w:rFonts w:hint="cs"/>
          <w:rtl/>
        </w:rPr>
        <w:t>ّ</w:t>
      </w:r>
      <w:r>
        <w:rPr>
          <w:rtl/>
        </w:rPr>
        <w:t>ن.</w:t>
      </w:r>
    </w:p>
    <w:p w:rsidR="0042678B" w:rsidRDefault="0042678B" w:rsidP="00803575">
      <w:pPr>
        <w:pStyle w:val="NumberedParaAR"/>
      </w:pPr>
      <w:r>
        <w:rPr>
          <w:rFonts w:hint="cs"/>
          <w:rtl/>
        </w:rPr>
        <w:t>وقد يساعد</w:t>
      </w:r>
      <w:r w:rsidRPr="00642AB8">
        <w:rPr>
          <w:rtl/>
        </w:rPr>
        <w:t xml:space="preserve"> تسهيل </w:t>
      </w:r>
      <w:r>
        <w:rPr>
          <w:rFonts w:hint="cs"/>
          <w:rtl/>
        </w:rPr>
        <w:t>النفاذ</w:t>
      </w:r>
      <w:r>
        <w:rPr>
          <w:rtl/>
        </w:rPr>
        <w:t xml:space="preserve"> إلى إخطار </w:t>
      </w:r>
      <w:r w:rsidRPr="00642AB8">
        <w:rPr>
          <w:rtl/>
        </w:rPr>
        <w:t>الرفض</w:t>
      </w:r>
      <w:r>
        <w:rPr>
          <w:rFonts w:hint="cs"/>
          <w:rtl/>
        </w:rPr>
        <w:t>،</w:t>
      </w:r>
      <w:r w:rsidRPr="00642AB8">
        <w:rPr>
          <w:rtl/>
        </w:rPr>
        <w:t xml:space="preserve"> بشكل كبير</w:t>
      </w:r>
      <w:r>
        <w:rPr>
          <w:rFonts w:hint="cs"/>
          <w:rtl/>
        </w:rPr>
        <w:t>،</w:t>
      </w:r>
      <w:r w:rsidRPr="00642AB8">
        <w:rPr>
          <w:rtl/>
        </w:rPr>
        <w:t xml:space="preserve"> مستخدمي نظام لاه</w:t>
      </w:r>
      <w:r>
        <w:rPr>
          <w:rtl/>
        </w:rPr>
        <w:t xml:space="preserve">اي على تحليل </w:t>
      </w:r>
      <w:r>
        <w:rPr>
          <w:rFonts w:hint="cs"/>
          <w:rtl/>
        </w:rPr>
        <w:t>الشروط</w:t>
      </w:r>
      <w:r>
        <w:rPr>
          <w:rtl/>
        </w:rPr>
        <w:t xml:space="preserve"> </w:t>
      </w:r>
      <w:r>
        <w:rPr>
          <w:rFonts w:hint="cs"/>
          <w:rtl/>
        </w:rPr>
        <w:t>الموضوعية</w:t>
      </w:r>
      <w:r w:rsidRPr="00642AB8">
        <w:rPr>
          <w:rtl/>
        </w:rPr>
        <w:t xml:space="preserve">، </w:t>
      </w:r>
      <w:r>
        <w:rPr>
          <w:rFonts w:hint="cs"/>
          <w:rtl/>
        </w:rPr>
        <w:t>و</w:t>
      </w:r>
      <w:r w:rsidRPr="00642AB8">
        <w:rPr>
          <w:rtl/>
        </w:rPr>
        <w:t>لا</w:t>
      </w:r>
      <w:r>
        <w:rPr>
          <w:rFonts w:hint="cs"/>
          <w:rtl/>
        </w:rPr>
        <w:t> </w:t>
      </w:r>
      <w:r w:rsidRPr="00642AB8">
        <w:rPr>
          <w:rtl/>
        </w:rPr>
        <w:t xml:space="preserve">سيما تلك المتعلقة بمستوى </w:t>
      </w:r>
      <w:r>
        <w:rPr>
          <w:rFonts w:hint="cs"/>
          <w:rtl/>
        </w:rPr>
        <w:t>الكشف</w:t>
      </w:r>
      <w:r w:rsidRPr="00642AB8">
        <w:rPr>
          <w:rtl/>
        </w:rPr>
        <w:t xml:space="preserve"> عن التصميم الصناعي عند تعيين بعض الأطراف المتعاقدة.</w:t>
      </w:r>
      <w:r>
        <w:rPr>
          <w:rStyle w:val="FootnoteReference"/>
          <w:rtl/>
        </w:rPr>
        <w:footnoteReference w:id="4"/>
      </w:r>
      <w:r w:rsidRPr="00642AB8">
        <w:rPr>
          <w:rtl/>
        </w:rPr>
        <w:t xml:space="preserve"> كما أن </w:t>
      </w:r>
      <w:r>
        <w:rPr>
          <w:rFonts w:hint="cs"/>
          <w:rtl/>
        </w:rPr>
        <w:t>الاستشهاد بتصميم</w:t>
      </w:r>
      <w:r>
        <w:rPr>
          <w:rtl/>
        </w:rPr>
        <w:t xml:space="preserve"> </w:t>
      </w:r>
      <w:r>
        <w:rPr>
          <w:rFonts w:hint="cs"/>
          <w:rtl/>
        </w:rPr>
        <w:t>سابق</w:t>
      </w:r>
      <w:r>
        <w:rPr>
          <w:rtl/>
        </w:rPr>
        <w:t xml:space="preserve"> قد </w:t>
      </w:r>
      <w:r>
        <w:rPr>
          <w:rFonts w:hint="cs"/>
          <w:rtl/>
        </w:rPr>
        <w:t>يُطلع</w:t>
      </w:r>
      <w:r>
        <w:rPr>
          <w:rtl/>
        </w:rPr>
        <w:t xml:space="preserve"> المستخدمين</w:t>
      </w:r>
      <w:r w:rsidRPr="00642AB8">
        <w:rPr>
          <w:rtl/>
        </w:rPr>
        <w:t xml:space="preserve">، </w:t>
      </w:r>
      <w:r>
        <w:rPr>
          <w:rFonts w:hint="cs"/>
          <w:rtl/>
        </w:rPr>
        <w:t>عند الاقتضاء</w:t>
      </w:r>
      <w:r w:rsidRPr="00642AB8">
        <w:rPr>
          <w:rtl/>
        </w:rPr>
        <w:t xml:space="preserve"> ، </w:t>
      </w:r>
      <w:r>
        <w:rPr>
          <w:rFonts w:hint="cs"/>
          <w:rtl/>
        </w:rPr>
        <w:t xml:space="preserve">على يعتبره </w:t>
      </w:r>
      <w:r w:rsidRPr="00642AB8">
        <w:rPr>
          <w:rtl/>
        </w:rPr>
        <w:t>أي مكتب</w:t>
      </w:r>
      <w:r>
        <w:rPr>
          <w:rFonts w:hint="cs"/>
          <w:rtl/>
        </w:rPr>
        <w:t xml:space="preserve"> معيّن ك</w:t>
      </w:r>
      <w:r>
        <w:rPr>
          <w:rtl/>
        </w:rPr>
        <w:t xml:space="preserve">نطاق تشابه </w:t>
      </w:r>
      <w:r>
        <w:rPr>
          <w:rFonts w:hint="cs"/>
          <w:rtl/>
        </w:rPr>
        <w:t>في</w:t>
      </w:r>
      <w:r>
        <w:rPr>
          <w:rtl/>
        </w:rPr>
        <w:t xml:space="preserve"> التصاميم </w:t>
      </w:r>
      <w:r w:rsidRPr="00642AB8">
        <w:rPr>
          <w:rtl/>
        </w:rPr>
        <w:t>فيما</w:t>
      </w:r>
      <w:r>
        <w:rPr>
          <w:rFonts w:hint="cs"/>
          <w:rtl/>
        </w:rPr>
        <w:t> </w:t>
      </w:r>
      <w:r w:rsidRPr="00642AB8">
        <w:rPr>
          <w:rtl/>
        </w:rPr>
        <w:t>يتعلق بكل نوع من أنواع المنتجات.</w:t>
      </w:r>
    </w:p>
    <w:p w:rsidR="0042678B" w:rsidRDefault="0042678B" w:rsidP="00803575">
      <w:pPr>
        <w:pStyle w:val="NumberedParaAR"/>
      </w:pPr>
      <w:r>
        <w:rPr>
          <w:rtl/>
        </w:rPr>
        <w:t>ومع ذلك ، فقد ل</w:t>
      </w:r>
      <w:r>
        <w:rPr>
          <w:rFonts w:hint="cs"/>
          <w:rtl/>
        </w:rPr>
        <w:t>ُ</w:t>
      </w:r>
      <w:r>
        <w:rPr>
          <w:rtl/>
        </w:rPr>
        <w:t xml:space="preserve">فت انتباه المكتب الدولي من حين لآخر إلى أن بعض المستخدمين المحتملين يعتبرون </w:t>
      </w:r>
      <w:r>
        <w:rPr>
          <w:rFonts w:hint="cs"/>
          <w:rtl/>
        </w:rPr>
        <w:t>ذلك</w:t>
      </w:r>
      <w:r>
        <w:rPr>
          <w:rtl/>
        </w:rPr>
        <w:t xml:space="preserve"> </w:t>
      </w:r>
      <w:r>
        <w:rPr>
          <w:rFonts w:hint="cs"/>
          <w:rtl/>
        </w:rPr>
        <w:t>النفاذ</w:t>
      </w:r>
      <w:r>
        <w:rPr>
          <w:rtl/>
        </w:rPr>
        <w:t xml:space="preserve"> المفتوح إلى أسباب الرفض رادعًا لاستخدام نظام لاهاي، نظرًا لأن التصميم السابق </w:t>
      </w:r>
      <w:r>
        <w:rPr>
          <w:rFonts w:hint="cs"/>
          <w:rtl/>
        </w:rPr>
        <w:t>المُستشهد به</w:t>
      </w:r>
      <w:r>
        <w:rPr>
          <w:rtl/>
        </w:rPr>
        <w:t xml:space="preserve"> في </w:t>
      </w:r>
      <w:r>
        <w:rPr>
          <w:rFonts w:hint="cs"/>
          <w:rtl/>
        </w:rPr>
        <w:t xml:space="preserve">إخطار </w:t>
      </w:r>
      <w:r>
        <w:rPr>
          <w:rtl/>
        </w:rPr>
        <w:t xml:space="preserve">الرفض الصادر عن </w:t>
      </w:r>
      <w:r>
        <w:rPr>
          <w:rFonts w:hint="cs"/>
          <w:rtl/>
        </w:rPr>
        <w:t>أحد المكاتب يصبح</w:t>
      </w:r>
      <w:r>
        <w:rPr>
          <w:rtl/>
        </w:rPr>
        <w:t xml:space="preserve"> معروفًا </w:t>
      </w:r>
      <w:r>
        <w:rPr>
          <w:rFonts w:hint="cs"/>
          <w:rtl/>
        </w:rPr>
        <w:t xml:space="preserve">لدى </w:t>
      </w:r>
      <w:r>
        <w:rPr>
          <w:rtl/>
        </w:rPr>
        <w:t xml:space="preserve">المنافسين ويمكن استخدامه </w:t>
      </w:r>
      <w:r>
        <w:rPr>
          <w:rFonts w:hint="cs"/>
          <w:rtl/>
        </w:rPr>
        <w:t>كسبب محتمل</w:t>
      </w:r>
      <w:r>
        <w:rPr>
          <w:rtl/>
        </w:rPr>
        <w:t xml:space="preserve"> للإبطال في الولايات القضائية الأخرى</w:t>
      </w:r>
      <w:r>
        <w:rPr>
          <w:rFonts w:hint="cs"/>
          <w:rtl/>
        </w:rPr>
        <w:t>.</w:t>
      </w:r>
    </w:p>
    <w:p w:rsidR="0042678B" w:rsidRDefault="0042678B" w:rsidP="00803575">
      <w:pPr>
        <w:pStyle w:val="Heading1"/>
        <w:rPr>
          <w:b/>
          <w:bCs w:val="0"/>
          <w:rtl/>
        </w:rPr>
      </w:pPr>
      <w:r>
        <w:rPr>
          <w:rFonts w:hint="cs"/>
          <w:b/>
          <w:rtl/>
        </w:rPr>
        <w:t>ثالثاً</w:t>
      </w:r>
      <w:r w:rsidRPr="00131A69">
        <w:rPr>
          <w:rFonts w:hint="cs"/>
          <w:b/>
          <w:rtl/>
        </w:rPr>
        <w:t>.</w:t>
      </w:r>
      <w:r w:rsidRPr="00131A69">
        <w:rPr>
          <w:b/>
          <w:rtl/>
        </w:rPr>
        <w:tab/>
      </w:r>
      <w:r>
        <w:rPr>
          <w:rFonts w:hint="cs"/>
          <w:b/>
          <w:rtl/>
        </w:rPr>
        <w:t>التحليلات</w:t>
      </w:r>
    </w:p>
    <w:p w:rsidR="0042678B" w:rsidRPr="0005663C" w:rsidRDefault="0042678B" w:rsidP="00803575">
      <w:pPr>
        <w:pStyle w:val="Heading2"/>
      </w:pPr>
      <w:r>
        <w:rPr>
          <w:rFonts w:hint="cs"/>
          <w:rtl/>
        </w:rPr>
        <w:t>طبيعة المعلومات وقيمتها</w:t>
      </w:r>
    </w:p>
    <w:p w:rsidR="0042678B" w:rsidRDefault="0042678B" w:rsidP="00803575">
      <w:pPr>
        <w:pStyle w:val="NumberedParaAR"/>
      </w:pPr>
      <w:r>
        <w:rPr>
          <w:rFonts w:hint="cs"/>
          <w:rtl/>
        </w:rPr>
        <w:t>يتّبع</w:t>
      </w:r>
      <w:r>
        <w:rPr>
          <w:rtl/>
        </w:rPr>
        <w:t xml:space="preserve"> </w:t>
      </w:r>
      <w:r>
        <w:rPr>
          <w:rFonts w:hint="cs"/>
          <w:rtl/>
        </w:rPr>
        <w:t>تحميل نسخة </w:t>
      </w:r>
      <w:r>
        <w:t>PDF</w:t>
      </w:r>
      <w:r>
        <w:rPr>
          <w:rtl/>
        </w:rPr>
        <w:t xml:space="preserve"> </w:t>
      </w:r>
      <w:r>
        <w:rPr>
          <w:rFonts w:hint="cs"/>
          <w:rtl/>
        </w:rPr>
        <w:t>ل</w:t>
      </w:r>
      <w:r>
        <w:rPr>
          <w:rtl/>
        </w:rPr>
        <w:t xml:space="preserve">إخطار الرفض </w:t>
      </w:r>
      <w:r>
        <w:rPr>
          <w:rFonts w:hint="cs"/>
          <w:rtl/>
        </w:rPr>
        <w:t>في</w:t>
      </w:r>
      <w:r>
        <w:rPr>
          <w:rtl/>
        </w:rPr>
        <w:t xml:space="preserve"> </w:t>
      </w:r>
      <w:r>
        <w:rPr>
          <w:rFonts w:hint="cs"/>
          <w:rtl/>
        </w:rPr>
        <w:t>ال</w:t>
      </w:r>
      <w:r>
        <w:rPr>
          <w:rtl/>
        </w:rPr>
        <w:t>موقع</w:t>
      </w:r>
      <w:r>
        <w:rPr>
          <w:rFonts w:hint="cs"/>
          <w:rtl/>
        </w:rPr>
        <w:t xml:space="preserve"> الإلكتروني</w:t>
      </w:r>
      <w:r>
        <w:rPr>
          <w:rtl/>
        </w:rPr>
        <w:t xml:space="preserve"> </w:t>
      </w:r>
      <w:r>
        <w:rPr>
          <w:rFonts w:hint="cs"/>
          <w:rtl/>
        </w:rPr>
        <w:t>ل</w:t>
      </w:r>
      <w:r>
        <w:rPr>
          <w:rtl/>
        </w:rPr>
        <w:t xml:space="preserve">لويبو </w:t>
      </w:r>
      <w:r>
        <w:rPr>
          <w:rFonts w:hint="cs"/>
          <w:rtl/>
        </w:rPr>
        <w:t>سابقة سارية بناء على</w:t>
      </w:r>
      <w:r>
        <w:rPr>
          <w:rtl/>
        </w:rPr>
        <w:t xml:space="preserve"> نظام مدريد.</w:t>
      </w:r>
      <w:r>
        <w:rPr>
          <w:rStyle w:val="FootnoteReference"/>
          <w:rtl/>
        </w:rPr>
        <w:footnoteReference w:id="5"/>
      </w:r>
    </w:p>
    <w:p w:rsidR="0042678B" w:rsidRDefault="0042678B" w:rsidP="00803575">
      <w:pPr>
        <w:pStyle w:val="NumberedParaAR"/>
      </w:pPr>
      <w:r>
        <w:rPr>
          <w:rtl/>
        </w:rPr>
        <w:lastRenderedPageBreak/>
        <w:t xml:space="preserve">ومع ذلك، </w:t>
      </w:r>
      <w:r>
        <w:rPr>
          <w:rFonts w:hint="cs"/>
          <w:rtl/>
        </w:rPr>
        <w:t>ليس من اللازم ضمان الجدة</w:t>
      </w:r>
      <w:r>
        <w:rPr>
          <w:rtl/>
        </w:rPr>
        <w:t xml:space="preserve"> لحماية علامة تجارية.</w:t>
      </w:r>
      <w:r>
        <w:rPr>
          <w:rFonts w:hint="cs"/>
          <w:rtl/>
        </w:rPr>
        <w:t xml:space="preserve"> ويمكن فحص</w:t>
      </w:r>
      <w:r>
        <w:rPr>
          <w:rtl/>
        </w:rPr>
        <w:t xml:space="preserve"> أي </w:t>
      </w:r>
      <w:r>
        <w:rPr>
          <w:rFonts w:hint="cs"/>
          <w:rtl/>
        </w:rPr>
        <w:t>تعارض</w:t>
      </w:r>
      <w:r>
        <w:rPr>
          <w:rtl/>
        </w:rPr>
        <w:t xml:space="preserve"> مع علامة تجارية </w:t>
      </w:r>
      <w:r>
        <w:rPr>
          <w:rFonts w:hint="cs"/>
          <w:rtl/>
        </w:rPr>
        <w:t>سابقة</w:t>
      </w:r>
      <w:r>
        <w:rPr>
          <w:rtl/>
        </w:rPr>
        <w:t xml:space="preserve">، مسجلة أو غير مسجلة، </w:t>
      </w:r>
      <w:r>
        <w:rPr>
          <w:rFonts w:hint="cs"/>
          <w:rtl/>
        </w:rPr>
        <w:t>تلقائيا أو</w:t>
      </w:r>
      <w:r>
        <w:rPr>
          <w:rtl/>
        </w:rPr>
        <w:t xml:space="preserve"> </w:t>
      </w:r>
      <w:r>
        <w:rPr>
          <w:rFonts w:hint="cs"/>
          <w:rtl/>
        </w:rPr>
        <w:t>بالاستناد</w:t>
      </w:r>
      <w:r>
        <w:rPr>
          <w:rtl/>
        </w:rPr>
        <w:t xml:space="preserve"> </w:t>
      </w:r>
      <w:r>
        <w:rPr>
          <w:rFonts w:hint="cs"/>
          <w:rtl/>
        </w:rPr>
        <w:t>إلى</w:t>
      </w:r>
      <w:r>
        <w:rPr>
          <w:rtl/>
        </w:rPr>
        <w:t xml:space="preserve"> </w:t>
      </w:r>
      <w:r>
        <w:rPr>
          <w:rFonts w:hint="cs"/>
          <w:rtl/>
        </w:rPr>
        <w:t>اعتراض</w:t>
      </w:r>
      <w:r>
        <w:rPr>
          <w:rtl/>
        </w:rPr>
        <w:t xml:space="preserve">، أو </w:t>
      </w:r>
      <w:r>
        <w:rPr>
          <w:rFonts w:hint="cs"/>
          <w:rtl/>
        </w:rPr>
        <w:t xml:space="preserve">يمكن </w:t>
      </w:r>
      <w:r>
        <w:rPr>
          <w:rtl/>
        </w:rPr>
        <w:t xml:space="preserve">الحكم عليه </w:t>
      </w:r>
      <w:r>
        <w:rPr>
          <w:rFonts w:hint="cs"/>
          <w:rtl/>
        </w:rPr>
        <w:t>من خلال</w:t>
      </w:r>
      <w:r>
        <w:rPr>
          <w:rtl/>
        </w:rPr>
        <w:t xml:space="preserve"> دعوى قضائية، مع مراعاة التشابه في كل</w:t>
      </w:r>
      <w:r>
        <w:rPr>
          <w:rFonts w:hint="cs"/>
          <w:rtl/>
        </w:rPr>
        <w:t>ا </w:t>
      </w:r>
      <w:r>
        <w:rPr>
          <w:rtl/>
        </w:rPr>
        <w:t>العلام</w:t>
      </w:r>
      <w:r>
        <w:rPr>
          <w:rFonts w:hint="cs"/>
          <w:rtl/>
        </w:rPr>
        <w:t>تين</w:t>
      </w:r>
      <w:r>
        <w:rPr>
          <w:rtl/>
        </w:rPr>
        <w:t xml:space="preserve"> التجاري</w:t>
      </w:r>
      <w:r>
        <w:rPr>
          <w:rFonts w:hint="cs"/>
          <w:rtl/>
        </w:rPr>
        <w:t>تين</w:t>
      </w:r>
      <w:r>
        <w:rPr>
          <w:rtl/>
        </w:rPr>
        <w:t xml:space="preserve">، ونطاق قائمة السلع و/أو الخدمات، </w:t>
      </w:r>
      <w:r>
        <w:rPr>
          <w:rFonts w:hint="cs"/>
          <w:rtl/>
        </w:rPr>
        <w:t>و</w:t>
      </w:r>
      <w:r>
        <w:rPr>
          <w:rtl/>
        </w:rPr>
        <w:t>استخدامه</w:t>
      </w:r>
      <w:r>
        <w:rPr>
          <w:rFonts w:hint="cs"/>
          <w:rtl/>
        </w:rPr>
        <w:t>ما</w:t>
      </w:r>
      <w:r>
        <w:rPr>
          <w:rtl/>
        </w:rPr>
        <w:t xml:space="preserve"> </w:t>
      </w:r>
      <w:r>
        <w:rPr>
          <w:rFonts w:hint="cs"/>
          <w:rtl/>
        </w:rPr>
        <w:t>الفعلي</w:t>
      </w:r>
      <w:r>
        <w:rPr>
          <w:rtl/>
        </w:rPr>
        <w:t xml:space="preserve"> في التجارة، و/أو شهر</w:t>
      </w:r>
      <w:r>
        <w:rPr>
          <w:rFonts w:hint="cs"/>
          <w:rtl/>
        </w:rPr>
        <w:t>تهما</w:t>
      </w:r>
      <w:r>
        <w:rPr>
          <w:rtl/>
        </w:rPr>
        <w:t xml:space="preserve"> في المنطقة. وبناء</w:t>
      </w:r>
      <w:r>
        <w:rPr>
          <w:rFonts w:hint="eastAsia"/>
          <w:rtl/>
        </w:rPr>
        <w:t> </w:t>
      </w:r>
      <w:r>
        <w:rPr>
          <w:rtl/>
        </w:rPr>
        <w:t xml:space="preserve">على ذلك، لا يمكن </w:t>
      </w:r>
      <w:r>
        <w:rPr>
          <w:rFonts w:hint="cs"/>
          <w:rtl/>
        </w:rPr>
        <w:t>الأخذ</w:t>
      </w:r>
      <w:r>
        <w:rPr>
          <w:rtl/>
        </w:rPr>
        <w:t xml:space="preserve"> </w:t>
      </w:r>
      <w:r>
        <w:rPr>
          <w:rFonts w:hint="cs"/>
          <w:rtl/>
        </w:rPr>
        <w:t>ب</w:t>
      </w:r>
      <w:r>
        <w:rPr>
          <w:rtl/>
        </w:rPr>
        <w:t xml:space="preserve">سبب الرفض المطبق في ولاية قضائية </w:t>
      </w:r>
      <w:r>
        <w:rPr>
          <w:rFonts w:hint="cs"/>
          <w:rtl/>
        </w:rPr>
        <w:t>ما</w:t>
      </w:r>
      <w:r w:rsidRPr="00AE1B87">
        <w:rPr>
          <w:rtl/>
        </w:rPr>
        <w:t xml:space="preserve"> </w:t>
      </w:r>
      <w:r>
        <w:rPr>
          <w:rFonts w:hint="cs"/>
          <w:rtl/>
        </w:rPr>
        <w:t xml:space="preserve">لتطبيقه </w:t>
      </w:r>
      <w:r w:rsidRPr="00AE1B87">
        <w:rPr>
          <w:rtl/>
        </w:rPr>
        <w:t>في ولايات قضائية أخرى</w:t>
      </w:r>
      <w:r>
        <w:rPr>
          <w:rFonts w:hint="cs"/>
          <w:rtl/>
        </w:rPr>
        <w:t>، وقد</w:t>
      </w:r>
      <w:r>
        <w:rPr>
          <w:rtl/>
        </w:rPr>
        <w:t xml:space="preserve"> </w:t>
      </w:r>
      <w:r>
        <w:rPr>
          <w:rFonts w:hint="cs"/>
          <w:rtl/>
        </w:rPr>
        <w:t>لا يكون ذلك السبب وجيها أصلا في تلك الولايات القضائية</w:t>
      </w:r>
      <w:r>
        <w:rPr>
          <w:rtl/>
        </w:rPr>
        <w:t>.</w:t>
      </w:r>
    </w:p>
    <w:p w:rsidR="0042678B" w:rsidRDefault="0042678B" w:rsidP="00803575">
      <w:pPr>
        <w:pStyle w:val="NumberedParaAR"/>
      </w:pPr>
      <w:r>
        <w:rPr>
          <w:rFonts w:hint="cs"/>
          <w:rtl/>
        </w:rPr>
        <w:t>و</w:t>
      </w:r>
      <w:r>
        <w:rPr>
          <w:rtl/>
        </w:rPr>
        <w:t xml:space="preserve">على النقيض من ذلك، </w:t>
      </w:r>
      <w:r>
        <w:rPr>
          <w:rFonts w:hint="cs"/>
          <w:rtl/>
        </w:rPr>
        <w:t>تُعد الجدة</w:t>
      </w:r>
      <w:r>
        <w:rPr>
          <w:rtl/>
        </w:rPr>
        <w:t xml:space="preserve"> أمر</w:t>
      </w:r>
      <w:r>
        <w:rPr>
          <w:rFonts w:hint="cs"/>
          <w:rtl/>
        </w:rPr>
        <w:t>ا</w:t>
      </w:r>
      <w:r>
        <w:rPr>
          <w:rtl/>
        </w:rPr>
        <w:t xml:space="preserve"> </w:t>
      </w:r>
      <w:r>
        <w:rPr>
          <w:rFonts w:hint="cs"/>
          <w:rtl/>
        </w:rPr>
        <w:t>لا مناص منه</w:t>
      </w:r>
      <w:r>
        <w:rPr>
          <w:rtl/>
        </w:rPr>
        <w:t xml:space="preserve"> </w:t>
      </w:r>
      <w:r>
        <w:rPr>
          <w:rFonts w:hint="cs"/>
          <w:rtl/>
        </w:rPr>
        <w:t>لصحة</w:t>
      </w:r>
      <w:r>
        <w:rPr>
          <w:rtl/>
        </w:rPr>
        <w:t xml:space="preserve"> </w:t>
      </w:r>
      <w:r>
        <w:rPr>
          <w:rFonts w:hint="cs"/>
          <w:rtl/>
        </w:rPr>
        <w:t>ال</w:t>
      </w:r>
      <w:r>
        <w:rPr>
          <w:rtl/>
        </w:rPr>
        <w:t xml:space="preserve">حق </w:t>
      </w:r>
      <w:r>
        <w:rPr>
          <w:rFonts w:hint="cs"/>
          <w:rtl/>
        </w:rPr>
        <w:t>المرتبط ب</w:t>
      </w:r>
      <w:r>
        <w:rPr>
          <w:rtl/>
        </w:rPr>
        <w:t xml:space="preserve">التصميم. </w:t>
      </w:r>
      <w:r>
        <w:rPr>
          <w:rFonts w:hint="cs"/>
          <w:rtl/>
        </w:rPr>
        <w:t>و</w:t>
      </w:r>
      <w:r>
        <w:rPr>
          <w:rtl/>
        </w:rPr>
        <w:t>تتطلب معظم الولايات القضائية الجد</w:t>
      </w:r>
      <w:r>
        <w:rPr>
          <w:rFonts w:hint="cs"/>
          <w:rtl/>
        </w:rPr>
        <w:t>ة</w:t>
      </w:r>
      <w:r>
        <w:rPr>
          <w:rtl/>
        </w:rPr>
        <w:t xml:space="preserve"> العالم</w:t>
      </w:r>
      <w:r>
        <w:rPr>
          <w:rFonts w:hint="cs"/>
          <w:rtl/>
        </w:rPr>
        <w:t>ية</w:t>
      </w:r>
      <w:r>
        <w:rPr>
          <w:rtl/>
        </w:rPr>
        <w:t xml:space="preserve"> كشرط لتسجيل تصميم معي</w:t>
      </w:r>
      <w:r>
        <w:rPr>
          <w:rFonts w:hint="cs"/>
          <w:rtl/>
        </w:rPr>
        <w:t>ّ</w:t>
      </w:r>
      <w:r>
        <w:rPr>
          <w:rtl/>
        </w:rPr>
        <w:t>ن</w:t>
      </w:r>
      <w:r>
        <w:rPr>
          <w:rFonts w:hint="cs"/>
          <w:rtl/>
        </w:rPr>
        <w:t xml:space="preserve"> أو حمايته ببراءة</w:t>
      </w:r>
      <w:r>
        <w:rPr>
          <w:rtl/>
        </w:rPr>
        <w:t>، بغض النظر عما إذا كانت مكاتبه</w:t>
      </w:r>
      <w:r>
        <w:rPr>
          <w:rFonts w:hint="cs"/>
          <w:rtl/>
        </w:rPr>
        <w:t>ا</w:t>
      </w:r>
      <w:r>
        <w:rPr>
          <w:rtl/>
        </w:rPr>
        <w:t xml:space="preserve"> </w:t>
      </w:r>
      <w:r>
        <w:rPr>
          <w:rFonts w:hint="cs"/>
          <w:rtl/>
        </w:rPr>
        <w:t>تفحص</w:t>
      </w:r>
      <w:r>
        <w:rPr>
          <w:rtl/>
        </w:rPr>
        <w:t xml:space="preserve"> الطلبات </w:t>
      </w:r>
      <w:r>
        <w:rPr>
          <w:rFonts w:hint="cs"/>
          <w:rtl/>
        </w:rPr>
        <w:t>تلقائيا</w:t>
      </w:r>
      <w:r>
        <w:rPr>
          <w:rtl/>
        </w:rPr>
        <w:t>. وبناء</w:t>
      </w:r>
      <w:r>
        <w:rPr>
          <w:rFonts w:hint="cs"/>
          <w:rtl/>
        </w:rPr>
        <w:t> </w:t>
      </w:r>
      <w:r>
        <w:rPr>
          <w:rtl/>
        </w:rPr>
        <w:t xml:space="preserve">على ذلك، </w:t>
      </w:r>
      <w:r>
        <w:rPr>
          <w:rFonts w:hint="cs"/>
          <w:rtl/>
        </w:rPr>
        <w:t>يشكّل</w:t>
      </w:r>
      <w:r>
        <w:rPr>
          <w:rtl/>
        </w:rPr>
        <w:t xml:space="preserve"> التصميم السابق الذي </w:t>
      </w:r>
      <w:r>
        <w:rPr>
          <w:rFonts w:hint="cs"/>
          <w:rtl/>
        </w:rPr>
        <w:t>يعثر عليه</w:t>
      </w:r>
      <w:r>
        <w:rPr>
          <w:rtl/>
        </w:rPr>
        <w:t xml:space="preserve"> أي مكتب آخر </w:t>
      </w:r>
      <w:r>
        <w:rPr>
          <w:rFonts w:hint="cs"/>
          <w:rtl/>
        </w:rPr>
        <w:t xml:space="preserve">ويستشهد به </w:t>
      </w:r>
      <w:r>
        <w:rPr>
          <w:rtl/>
        </w:rPr>
        <w:t>معلوم</w:t>
      </w:r>
      <w:r>
        <w:rPr>
          <w:rFonts w:hint="cs"/>
          <w:rtl/>
        </w:rPr>
        <w:t>ة</w:t>
      </w:r>
      <w:r>
        <w:rPr>
          <w:rtl/>
        </w:rPr>
        <w:t xml:space="preserve"> </w:t>
      </w:r>
      <w:r>
        <w:rPr>
          <w:rFonts w:hint="cs"/>
          <w:rtl/>
        </w:rPr>
        <w:t xml:space="preserve">تكتسي </w:t>
      </w:r>
      <w:r>
        <w:rPr>
          <w:rtl/>
        </w:rPr>
        <w:t>حساسية</w:t>
      </w:r>
      <w:r>
        <w:rPr>
          <w:rFonts w:hint="cs"/>
          <w:rtl/>
        </w:rPr>
        <w:t xml:space="preserve"> أكبر</w:t>
      </w:r>
      <w:r w:rsidRPr="004960F3">
        <w:rPr>
          <w:rtl/>
        </w:rPr>
        <w:t>.</w:t>
      </w:r>
    </w:p>
    <w:p w:rsidR="0042678B" w:rsidRDefault="0042678B" w:rsidP="0036789D">
      <w:pPr>
        <w:pStyle w:val="NumberedParaAR"/>
      </w:pPr>
      <w:r>
        <w:rPr>
          <w:rtl/>
        </w:rPr>
        <w:t>و</w:t>
      </w:r>
      <w:r>
        <w:rPr>
          <w:rFonts w:hint="cs"/>
          <w:rtl/>
        </w:rPr>
        <w:t>بالتالي تتلخص</w:t>
      </w:r>
      <w:r>
        <w:rPr>
          <w:rtl/>
        </w:rPr>
        <w:t xml:space="preserve"> </w:t>
      </w:r>
      <w:r>
        <w:rPr>
          <w:rFonts w:hint="cs"/>
          <w:rtl/>
        </w:rPr>
        <w:t>المسألة</w:t>
      </w:r>
      <w:r>
        <w:rPr>
          <w:rtl/>
        </w:rPr>
        <w:t xml:space="preserve"> في احتمال الرفض على أساس </w:t>
      </w:r>
      <w:r>
        <w:rPr>
          <w:rFonts w:hint="cs"/>
          <w:rtl/>
        </w:rPr>
        <w:t>انعدام الجدة</w:t>
      </w:r>
      <w:r>
        <w:rPr>
          <w:rtl/>
        </w:rPr>
        <w:t xml:space="preserve">. </w:t>
      </w:r>
      <w:r>
        <w:rPr>
          <w:rFonts w:hint="cs"/>
          <w:rtl/>
        </w:rPr>
        <w:t>و</w:t>
      </w:r>
      <w:r w:rsidRPr="007E2AB6">
        <w:rPr>
          <w:rtl/>
        </w:rPr>
        <w:t>المكاتب الثل</w:t>
      </w:r>
      <w:r>
        <w:rPr>
          <w:rtl/>
        </w:rPr>
        <w:t xml:space="preserve">اثة الرئيسية التي تصدر إخطارات </w:t>
      </w:r>
      <w:r w:rsidRPr="007E2AB6">
        <w:rPr>
          <w:rtl/>
        </w:rPr>
        <w:t>الرفض</w:t>
      </w:r>
      <w:r>
        <w:rPr>
          <w:rFonts w:hint="cs"/>
          <w:rtl/>
        </w:rPr>
        <w:t xml:space="preserve"> حاليا</w:t>
      </w:r>
      <w:r w:rsidRPr="007E2AB6">
        <w:rPr>
          <w:rFonts w:hint="cs"/>
          <w:rtl/>
        </w:rPr>
        <w:t xml:space="preserve"> </w:t>
      </w:r>
      <w:r>
        <w:rPr>
          <w:rFonts w:hint="cs"/>
          <w:rtl/>
        </w:rPr>
        <w:t xml:space="preserve">هي </w:t>
      </w:r>
      <w:r>
        <w:rPr>
          <w:rtl/>
        </w:rPr>
        <w:t xml:space="preserve">مكتب اليابان للبراءات والمكتب الكوري للملكية الفكرية ومكتب الولايات المتحدة للبراءات والعلامات التجارية. </w:t>
      </w:r>
      <w:r>
        <w:rPr>
          <w:rFonts w:hint="cs"/>
          <w:rtl/>
        </w:rPr>
        <w:t>و</w:t>
      </w:r>
      <w:r>
        <w:rPr>
          <w:rtl/>
        </w:rPr>
        <w:t>في عام</w:t>
      </w:r>
      <w:r>
        <w:rPr>
          <w:rFonts w:hint="cs"/>
          <w:rtl/>
        </w:rPr>
        <w:t> </w:t>
      </w:r>
      <w:r>
        <w:rPr>
          <w:rtl/>
        </w:rPr>
        <w:t>2017</w:t>
      </w:r>
      <w:r>
        <w:rPr>
          <w:rFonts w:hint="cs"/>
          <w:rtl/>
        </w:rPr>
        <w:t>، اُستلم</w:t>
      </w:r>
      <w:r w:rsidRPr="00A13D6A">
        <w:rPr>
          <w:rtl/>
        </w:rPr>
        <w:t xml:space="preserve"> من</w:t>
      </w:r>
      <w:r>
        <w:rPr>
          <w:rFonts w:hint="cs"/>
          <w:rtl/>
        </w:rPr>
        <w:t xml:space="preserve"> </w:t>
      </w:r>
      <w:r w:rsidRPr="003F04FB">
        <w:rPr>
          <w:rtl/>
        </w:rPr>
        <w:t>مكتب اليابان للبراءات والمكتب الكوري للملكية الفكرية ومكتب الولايات المتحدة</w:t>
      </w:r>
      <w:r w:rsidR="0036789D">
        <w:rPr>
          <w:rFonts w:hint="cs"/>
          <w:rtl/>
        </w:rPr>
        <w:t> </w:t>
      </w:r>
      <w:r w:rsidRPr="003F04FB">
        <w:rPr>
          <w:rtl/>
        </w:rPr>
        <w:t xml:space="preserve">للبراءات والعلامات التجارية </w:t>
      </w:r>
      <w:r>
        <w:rPr>
          <w:rFonts w:hint="cs"/>
          <w:rtl/>
        </w:rPr>
        <w:t>1550</w:t>
      </w:r>
      <w:r>
        <w:rPr>
          <w:rStyle w:val="FootnoteReference"/>
          <w:rtl/>
        </w:rPr>
        <w:footnoteReference w:id="6"/>
      </w:r>
      <w:r>
        <w:rPr>
          <w:rFonts w:hint="cs"/>
          <w:rtl/>
        </w:rPr>
        <w:t xml:space="preserve"> </w:t>
      </w:r>
      <w:r>
        <w:rPr>
          <w:rtl/>
        </w:rPr>
        <w:t xml:space="preserve">و598 و1285 </w:t>
      </w:r>
      <w:r>
        <w:rPr>
          <w:rFonts w:hint="cs"/>
          <w:rtl/>
        </w:rPr>
        <w:t xml:space="preserve">إخطار </w:t>
      </w:r>
      <w:r>
        <w:rPr>
          <w:rtl/>
        </w:rPr>
        <w:t>رفض</w:t>
      </w:r>
      <w:r>
        <w:rPr>
          <w:rFonts w:hint="cs"/>
          <w:rtl/>
        </w:rPr>
        <w:t>،</w:t>
      </w:r>
      <w:r>
        <w:rPr>
          <w:rtl/>
        </w:rPr>
        <w:t xml:space="preserve"> على التوالي، </w:t>
      </w:r>
      <w:r>
        <w:rPr>
          <w:rFonts w:hint="cs"/>
          <w:rtl/>
        </w:rPr>
        <w:t xml:space="preserve">بنسبة إجمالية بلغت </w:t>
      </w:r>
      <w:r>
        <w:rPr>
          <w:rtl/>
        </w:rPr>
        <w:t>96.1</w:t>
      </w:r>
      <w:r>
        <w:rPr>
          <w:rFonts w:hint="eastAsia"/>
          <w:rtl/>
        </w:rPr>
        <w:t> </w:t>
      </w:r>
      <w:r>
        <w:rPr>
          <w:rFonts w:hint="cs"/>
          <w:rtl/>
        </w:rPr>
        <w:t>في المائة</w:t>
      </w:r>
      <w:r>
        <w:rPr>
          <w:rtl/>
        </w:rPr>
        <w:t xml:space="preserve"> من</w:t>
      </w:r>
      <w:r w:rsidR="0036789D">
        <w:rPr>
          <w:rFonts w:hint="cs"/>
          <w:rtl/>
        </w:rPr>
        <w:t> </w:t>
      </w:r>
      <w:r>
        <w:rPr>
          <w:rFonts w:hint="cs"/>
          <w:rtl/>
        </w:rPr>
        <w:t>مجموع</w:t>
      </w:r>
      <w:r>
        <w:rPr>
          <w:rtl/>
        </w:rPr>
        <w:t xml:space="preserve"> حالات الرفض. </w:t>
      </w:r>
      <w:r>
        <w:rPr>
          <w:rFonts w:hint="cs"/>
          <w:rtl/>
        </w:rPr>
        <w:t>و</w:t>
      </w:r>
      <w:r>
        <w:rPr>
          <w:rtl/>
        </w:rPr>
        <w:t xml:space="preserve">استعرض المكتب الدولي إخطارات الرفض </w:t>
      </w:r>
      <w:r>
        <w:rPr>
          <w:rFonts w:hint="cs"/>
          <w:rtl/>
        </w:rPr>
        <w:t>المُستلمة</w:t>
      </w:r>
      <w:r>
        <w:rPr>
          <w:rtl/>
        </w:rPr>
        <w:t xml:space="preserve"> من </w:t>
      </w:r>
      <w:r>
        <w:rPr>
          <w:rFonts w:hint="cs"/>
          <w:rtl/>
        </w:rPr>
        <w:t>تلك</w:t>
      </w:r>
      <w:r>
        <w:rPr>
          <w:rtl/>
        </w:rPr>
        <w:t xml:space="preserve"> المكاتب الثلاثة حتى</w:t>
      </w:r>
      <w:r w:rsidR="0036789D">
        <w:rPr>
          <w:rFonts w:hint="eastAsia"/>
          <w:rtl/>
        </w:rPr>
        <w:t> </w:t>
      </w:r>
      <w:r>
        <w:rPr>
          <w:rtl/>
        </w:rPr>
        <w:t>31</w:t>
      </w:r>
      <w:r>
        <w:rPr>
          <w:rFonts w:hint="cs"/>
          <w:rtl/>
        </w:rPr>
        <w:t> </w:t>
      </w:r>
      <w:r>
        <w:rPr>
          <w:rtl/>
        </w:rPr>
        <w:t>ديسمبر</w:t>
      </w:r>
      <w:r>
        <w:rPr>
          <w:rFonts w:hint="cs"/>
          <w:rtl/>
        </w:rPr>
        <w:t> </w:t>
      </w:r>
      <w:r>
        <w:rPr>
          <w:rtl/>
        </w:rPr>
        <w:t>2017 (</w:t>
      </w:r>
      <w:r>
        <w:rPr>
          <w:rFonts w:hint="cs"/>
          <w:rtl/>
        </w:rPr>
        <w:t xml:space="preserve">يرجى الرجوع </w:t>
      </w:r>
      <w:r w:rsidR="0036789D">
        <w:rPr>
          <w:rtl/>
        </w:rPr>
        <w:t xml:space="preserve">إلى الجدول </w:t>
      </w:r>
      <w:r w:rsidR="0036789D">
        <w:rPr>
          <w:rFonts w:hint="cs"/>
          <w:rtl/>
        </w:rPr>
        <w:t>الوارد في م</w:t>
      </w:r>
      <w:r>
        <w:rPr>
          <w:rFonts w:hint="cs"/>
          <w:rtl/>
        </w:rPr>
        <w:t>رفق</w:t>
      </w:r>
      <w:r w:rsidR="0036789D">
        <w:rPr>
          <w:rFonts w:hint="cs"/>
          <w:rtl/>
        </w:rPr>
        <w:t xml:space="preserve"> هذه الوثيقة</w:t>
      </w:r>
      <w:r>
        <w:rPr>
          <w:rtl/>
        </w:rPr>
        <w:t>).</w:t>
      </w:r>
    </w:p>
    <w:p w:rsidR="0042678B" w:rsidRDefault="0042678B" w:rsidP="0036789D">
      <w:pPr>
        <w:pStyle w:val="NumberedParaAR"/>
      </w:pPr>
      <w:r>
        <w:rPr>
          <w:rtl/>
        </w:rPr>
        <w:t>ووفقاً ل</w:t>
      </w:r>
      <w:r>
        <w:rPr>
          <w:rFonts w:hint="cs"/>
          <w:rtl/>
        </w:rPr>
        <w:t>تلك</w:t>
      </w:r>
      <w:r>
        <w:rPr>
          <w:rtl/>
        </w:rPr>
        <w:t xml:space="preserve"> الإحصاءات غير الرسمية، </w:t>
      </w:r>
      <w:r>
        <w:rPr>
          <w:rFonts w:hint="cs"/>
          <w:rtl/>
        </w:rPr>
        <w:t>ر</w:t>
      </w:r>
      <w:r>
        <w:rPr>
          <w:rtl/>
        </w:rPr>
        <w:t>فض</w:t>
      </w:r>
      <w:r w:rsidRPr="00497F17">
        <w:rPr>
          <w:rtl/>
        </w:rPr>
        <w:t xml:space="preserve"> مكتب اليابان للبراءات والمكتب الكوري للملكية الفكرية</w:t>
      </w:r>
      <w:r w:rsidR="0036789D">
        <w:rPr>
          <w:rFonts w:hint="cs"/>
          <w:rtl/>
        </w:rPr>
        <w:t> </w:t>
      </w:r>
      <w:r w:rsidRPr="009911C4">
        <w:rPr>
          <w:rtl/>
        </w:rPr>
        <w:t>493</w:t>
      </w:r>
      <w:r>
        <w:rPr>
          <w:rFonts w:hint="cs"/>
          <w:rtl/>
        </w:rPr>
        <w:t> و</w:t>
      </w:r>
      <w:r w:rsidRPr="009911C4">
        <w:rPr>
          <w:rtl/>
        </w:rPr>
        <w:t>471</w:t>
      </w:r>
      <w:r>
        <w:rPr>
          <w:rFonts w:hint="cs"/>
          <w:rtl/>
        </w:rPr>
        <w:t xml:space="preserve"> تصميما، </w:t>
      </w:r>
      <w:r w:rsidRPr="00746381">
        <w:rPr>
          <w:rtl/>
        </w:rPr>
        <w:t>على التوالي</w:t>
      </w:r>
      <w:r>
        <w:rPr>
          <w:rFonts w:hint="cs"/>
          <w:rtl/>
        </w:rPr>
        <w:t>،</w:t>
      </w:r>
      <w:r w:rsidRPr="00746381">
        <w:rPr>
          <w:rtl/>
        </w:rPr>
        <w:t xml:space="preserve"> </w:t>
      </w:r>
      <w:r>
        <w:rPr>
          <w:rtl/>
        </w:rPr>
        <w:t xml:space="preserve">بسبب </w:t>
      </w:r>
      <w:r>
        <w:rPr>
          <w:rFonts w:hint="cs"/>
          <w:rtl/>
        </w:rPr>
        <w:t>انعدام</w:t>
      </w:r>
      <w:r>
        <w:rPr>
          <w:rtl/>
        </w:rPr>
        <w:t xml:space="preserve"> </w:t>
      </w:r>
      <w:r>
        <w:rPr>
          <w:rFonts w:hint="cs"/>
          <w:rtl/>
        </w:rPr>
        <w:t>الجدة.</w:t>
      </w:r>
      <w:r>
        <w:rPr>
          <w:rtl/>
        </w:rPr>
        <w:t xml:space="preserve"> </w:t>
      </w:r>
      <w:r>
        <w:rPr>
          <w:rFonts w:hint="cs"/>
          <w:rtl/>
        </w:rPr>
        <w:t>ويمثّل</w:t>
      </w:r>
      <w:r>
        <w:rPr>
          <w:rtl/>
        </w:rPr>
        <w:t xml:space="preserve"> </w:t>
      </w:r>
      <w:r>
        <w:rPr>
          <w:rFonts w:hint="cs"/>
          <w:rtl/>
        </w:rPr>
        <w:t xml:space="preserve">ذلك </w:t>
      </w:r>
      <w:r>
        <w:rPr>
          <w:rtl/>
        </w:rPr>
        <w:t>نحو 20 في المائة و14 في المائة</w:t>
      </w:r>
      <w:r>
        <w:rPr>
          <w:rFonts w:hint="cs"/>
          <w:rtl/>
        </w:rPr>
        <w:t>،</w:t>
      </w:r>
      <w:r>
        <w:rPr>
          <w:rtl/>
        </w:rPr>
        <w:t xml:space="preserve"> على التوالي</w:t>
      </w:r>
      <w:r>
        <w:rPr>
          <w:rFonts w:hint="cs"/>
          <w:rtl/>
        </w:rPr>
        <w:t>،</w:t>
      </w:r>
      <w:r w:rsidR="0036789D">
        <w:rPr>
          <w:rFonts w:hint="cs"/>
          <w:rtl/>
        </w:rPr>
        <w:t> </w:t>
      </w:r>
      <w:r>
        <w:rPr>
          <w:rtl/>
        </w:rPr>
        <w:t>من</w:t>
      </w:r>
      <w:r w:rsidR="0036789D">
        <w:rPr>
          <w:rFonts w:hint="eastAsia"/>
          <w:rtl/>
        </w:rPr>
        <w:t> </w:t>
      </w:r>
      <w:r>
        <w:rPr>
          <w:rtl/>
        </w:rPr>
        <w:t xml:space="preserve">مجموع أسباب الرفض التي أثارها المكتبان. </w:t>
      </w:r>
      <w:r>
        <w:rPr>
          <w:rFonts w:hint="cs"/>
          <w:rtl/>
        </w:rPr>
        <w:t xml:space="preserve">غير أن </w:t>
      </w:r>
      <w:r>
        <w:rPr>
          <w:rtl/>
        </w:rPr>
        <w:t xml:space="preserve">العديد من حالات الرفض </w:t>
      </w:r>
      <w:r>
        <w:rPr>
          <w:rFonts w:hint="cs"/>
          <w:rtl/>
        </w:rPr>
        <w:t>استشهد</w:t>
      </w:r>
      <w:r>
        <w:rPr>
          <w:rtl/>
        </w:rPr>
        <w:t xml:space="preserve"> </w:t>
      </w:r>
      <w:r>
        <w:rPr>
          <w:rFonts w:hint="cs"/>
          <w:rtl/>
        </w:rPr>
        <w:t>في الواقع</w:t>
      </w:r>
      <w:r>
        <w:rPr>
          <w:rtl/>
        </w:rPr>
        <w:t xml:space="preserve"> </w:t>
      </w:r>
      <w:r>
        <w:rPr>
          <w:rFonts w:hint="cs"/>
          <w:rtl/>
        </w:rPr>
        <w:t>ب</w:t>
      </w:r>
      <w:r>
        <w:rPr>
          <w:rtl/>
        </w:rPr>
        <w:t xml:space="preserve">التصميم </w:t>
      </w:r>
      <w:r>
        <w:rPr>
          <w:rFonts w:hint="cs"/>
          <w:rtl/>
        </w:rPr>
        <w:t>ذاته</w:t>
      </w:r>
      <w:r>
        <w:rPr>
          <w:rtl/>
        </w:rPr>
        <w:t xml:space="preserve"> </w:t>
      </w:r>
      <w:r>
        <w:rPr>
          <w:rFonts w:hint="cs"/>
          <w:rtl/>
        </w:rPr>
        <w:t>الذي أودعه</w:t>
      </w:r>
      <w:r>
        <w:rPr>
          <w:rtl/>
        </w:rPr>
        <w:t xml:space="preserve"> </w:t>
      </w:r>
      <w:r>
        <w:rPr>
          <w:rFonts w:hint="cs"/>
          <w:rtl/>
        </w:rPr>
        <w:t>المودع</w:t>
      </w:r>
      <w:r w:rsidRPr="00851E8D">
        <w:rPr>
          <w:rtl/>
        </w:rPr>
        <w:t xml:space="preserve"> </w:t>
      </w:r>
      <w:r>
        <w:rPr>
          <w:rFonts w:hint="cs"/>
          <w:rtl/>
        </w:rPr>
        <w:t xml:space="preserve">نفسه </w:t>
      </w:r>
      <w:r w:rsidRPr="00851E8D">
        <w:rPr>
          <w:rtl/>
        </w:rPr>
        <w:t>(صاحب التسجيل الدولي)</w:t>
      </w:r>
      <w:r>
        <w:rPr>
          <w:rFonts w:hint="cs"/>
          <w:rtl/>
        </w:rPr>
        <w:t xml:space="preserve"> لدى</w:t>
      </w:r>
      <w:r>
        <w:rPr>
          <w:rtl/>
        </w:rPr>
        <w:t xml:space="preserve"> مكتب آخر (الإيداع الأول</w:t>
      </w:r>
      <w:r>
        <w:rPr>
          <w:rFonts w:hint="cs"/>
          <w:rtl/>
        </w:rPr>
        <w:t xml:space="preserve"> </w:t>
      </w:r>
      <w:r>
        <w:rPr>
          <w:rtl/>
        </w:rPr>
        <w:t>عادة</w:t>
      </w:r>
      <w:r>
        <w:rPr>
          <w:rFonts w:hint="cs"/>
          <w:rtl/>
        </w:rPr>
        <w:t>ً</w:t>
      </w:r>
      <w:r>
        <w:rPr>
          <w:rtl/>
        </w:rPr>
        <w:t xml:space="preserve">). </w:t>
      </w:r>
      <w:r>
        <w:rPr>
          <w:rFonts w:hint="cs"/>
          <w:rtl/>
        </w:rPr>
        <w:t>و</w:t>
      </w:r>
      <w:r>
        <w:rPr>
          <w:rtl/>
        </w:rPr>
        <w:t xml:space="preserve">يحدث </w:t>
      </w:r>
      <w:r>
        <w:rPr>
          <w:rFonts w:hint="cs"/>
          <w:rtl/>
        </w:rPr>
        <w:t>ذلك</w:t>
      </w:r>
      <w:r>
        <w:rPr>
          <w:rtl/>
        </w:rPr>
        <w:t xml:space="preserve"> في الحالات التي </w:t>
      </w:r>
      <w:r>
        <w:rPr>
          <w:rFonts w:hint="cs"/>
          <w:rtl/>
        </w:rPr>
        <w:t>يُنشر فيها</w:t>
      </w:r>
      <w:r>
        <w:rPr>
          <w:rtl/>
        </w:rPr>
        <w:t xml:space="preserve"> الإيداع الأول قبل تاريخ التسجيل الدولي، </w:t>
      </w:r>
      <w:r>
        <w:rPr>
          <w:rFonts w:hint="cs"/>
          <w:rtl/>
        </w:rPr>
        <w:t>ويضيع</w:t>
      </w:r>
      <w:r>
        <w:rPr>
          <w:rtl/>
        </w:rPr>
        <w:t xml:space="preserve"> </w:t>
      </w:r>
      <w:r>
        <w:rPr>
          <w:rFonts w:hint="cs"/>
          <w:rtl/>
        </w:rPr>
        <w:t xml:space="preserve">فيها </w:t>
      </w:r>
      <w:r>
        <w:rPr>
          <w:rtl/>
        </w:rPr>
        <w:t xml:space="preserve">حق الأولوية لأن </w:t>
      </w:r>
      <w:r>
        <w:rPr>
          <w:rFonts w:hint="cs"/>
          <w:rtl/>
        </w:rPr>
        <w:t>المودع</w:t>
      </w:r>
      <w:r>
        <w:rPr>
          <w:rtl/>
        </w:rPr>
        <w:t xml:space="preserve"> لم يقدم وثيقة الأولوية إلى </w:t>
      </w:r>
      <w:r>
        <w:rPr>
          <w:rFonts w:hint="cs"/>
          <w:rtl/>
        </w:rPr>
        <w:t>تلك</w:t>
      </w:r>
      <w:r>
        <w:rPr>
          <w:rtl/>
        </w:rPr>
        <w:t xml:space="preserve"> المكاتب خلال المهلة الزمنية</w:t>
      </w:r>
      <w:r>
        <w:rPr>
          <w:rFonts w:hint="cs"/>
          <w:rtl/>
        </w:rPr>
        <w:t> </w:t>
      </w:r>
      <w:r>
        <w:rPr>
          <w:rtl/>
        </w:rPr>
        <w:t>المحددة.</w:t>
      </w:r>
    </w:p>
    <w:p w:rsidR="0042678B" w:rsidRDefault="0042678B" w:rsidP="00803575">
      <w:pPr>
        <w:pStyle w:val="NumberedParaAR"/>
      </w:pPr>
      <w:r>
        <w:rPr>
          <w:rtl/>
        </w:rPr>
        <w:t xml:space="preserve">وبالمثل، رفض كل من </w:t>
      </w:r>
      <w:r w:rsidRPr="00B34DB3">
        <w:rPr>
          <w:rtl/>
        </w:rPr>
        <w:t>مكتب اليابان للبراءات</w:t>
      </w:r>
      <w:r>
        <w:rPr>
          <w:rtl/>
        </w:rPr>
        <w:t xml:space="preserve"> والمكتب الكوري للملكية الفكرية 534</w:t>
      </w:r>
      <w:r>
        <w:rPr>
          <w:rFonts w:hint="cs"/>
          <w:rtl/>
        </w:rPr>
        <w:t> </w:t>
      </w:r>
      <w:r>
        <w:rPr>
          <w:rtl/>
        </w:rPr>
        <w:t>و811</w:t>
      </w:r>
      <w:r>
        <w:rPr>
          <w:rFonts w:hint="cs"/>
          <w:rtl/>
        </w:rPr>
        <w:t xml:space="preserve"> تصميما، </w:t>
      </w:r>
      <w:r>
        <w:rPr>
          <w:rtl/>
        </w:rPr>
        <w:t>على</w:t>
      </w:r>
      <w:r>
        <w:rPr>
          <w:rFonts w:hint="cs"/>
          <w:rtl/>
        </w:rPr>
        <w:t> </w:t>
      </w:r>
      <w:r>
        <w:rPr>
          <w:rtl/>
        </w:rPr>
        <w:t>التوالي</w:t>
      </w:r>
      <w:r>
        <w:rPr>
          <w:rFonts w:hint="cs"/>
          <w:rtl/>
        </w:rPr>
        <w:t xml:space="preserve">، واستشهدا في ذلك بطلب سابق </w:t>
      </w:r>
      <w:r>
        <w:rPr>
          <w:rtl/>
        </w:rPr>
        <w:t>(</w:t>
      </w:r>
      <w:r>
        <w:rPr>
          <w:rFonts w:hint="cs"/>
          <w:rtl/>
        </w:rPr>
        <w:t xml:space="preserve">بما في ذلك </w:t>
      </w:r>
      <w:r>
        <w:rPr>
          <w:rtl/>
        </w:rPr>
        <w:t>تاريخ الإيداع نفسه) أو تسجيل</w:t>
      </w:r>
      <w:r w:rsidRPr="00B750A9">
        <w:rPr>
          <w:rFonts w:hint="cs"/>
          <w:rtl/>
        </w:rPr>
        <w:t xml:space="preserve"> </w:t>
      </w:r>
      <w:r>
        <w:rPr>
          <w:rFonts w:hint="cs"/>
          <w:rtl/>
        </w:rPr>
        <w:t>سابق</w:t>
      </w:r>
      <w:r>
        <w:rPr>
          <w:rtl/>
        </w:rPr>
        <w:t>. و</w:t>
      </w:r>
      <w:r>
        <w:rPr>
          <w:rFonts w:hint="cs"/>
          <w:rtl/>
        </w:rPr>
        <w:t>يم</w:t>
      </w:r>
      <w:r>
        <w:rPr>
          <w:rtl/>
        </w:rPr>
        <w:t>ث</w:t>
      </w:r>
      <w:r>
        <w:rPr>
          <w:rFonts w:hint="cs"/>
          <w:rtl/>
        </w:rPr>
        <w:t>ّ</w:t>
      </w:r>
      <w:r>
        <w:rPr>
          <w:rtl/>
        </w:rPr>
        <w:t xml:space="preserve">ل </w:t>
      </w:r>
      <w:r>
        <w:rPr>
          <w:rFonts w:hint="cs"/>
          <w:rtl/>
        </w:rPr>
        <w:t>ذلك</w:t>
      </w:r>
      <w:r>
        <w:rPr>
          <w:rtl/>
        </w:rPr>
        <w:t xml:space="preserve"> حوالي 21.5</w:t>
      </w:r>
      <w:r>
        <w:rPr>
          <w:rFonts w:hint="cs"/>
          <w:rtl/>
        </w:rPr>
        <w:t> </w:t>
      </w:r>
      <w:r>
        <w:rPr>
          <w:rtl/>
        </w:rPr>
        <w:t>في المائة و24</w:t>
      </w:r>
      <w:r>
        <w:rPr>
          <w:rFonts w:hint="cs"/>
          <w:rtl/>
        </w:rPr>
        <w:t> </w:t>
      </w:r>
      <w:r>
        <w:rPr>
          <w:rtl/>
        </w:rPr>
        <w:t>في</w:t>
      </w:r>
      <w:r>
        <w:rPr>
          <w:rFonts w:hint="cs"/>
          <w:rtl/>
        </w:rPr>
        <w:t> </w:t>
      </w:r>
      <w:r>
        <w:rPr>
          <w:rtl/>
        </w:rPr>
        <w:t>المائة من أسباب الرفض التي أثارها هذ</w:t>
      </w:r>
      <w:r>
        <w:rPr>
          <w:rFonts w:hint="cs"/>
          <w:rtl/>
        </w:rPr>
        <w:t>ان</w:t>
      </w:r>
      <w:r>
        <w:rPr>
          <w:rtl/>
        </w:rPr>
        <w:t xml:space="preserve"> </w:t>
      </w:r>
      <w:r>
        <w:rPr>
          <w:rFonts w:hint="cs"/>
          <w:rtl/>
        </w:rPr>
        <w:t>المكتبان</w:t>
      </w:r>
      <w:r>
        <w:rPr>
          <w:rtl/>
        </w:rPr>
        <w:t xml:space="preserve">. </w:t>
      </w:r>
      <w:r>
        <w:rPr>
          <w:rFonts w:hint="cs"/>
          <w:rtl/>
        </w:rPr>
        <w:t>ومرّة أخرى، استشهدت</w:t>
      </w:r>
      <w:r>
        <w:rPr>
          <w:rtl/>
        </w:rPr>
        <w:t xml:space="preserve"> غالبية حالات الرفض </w:t>
      </w:r>
      <w:r>
        <w:rPr>
          <w:rFonts w:hint="cs"/>
          <w:rtl/>
        </w:rPr>
        <w:t>المذكورة</w:t>
      </w:r>
      <w:r>
        <w:rPr>
          <w:rtl/>
        </w:rPr>
        <w:t xml:space="preserve"> </w:t>
      </w:r>
      <w:r>
        <w:rPr>
          <w:rFonts w:hint="cs"/>
          <w:rtl/>
        </w:rPr>
        <w:t>ب</w:t>
      </w:r>
      <w:r>
        <w:rPr>
          <w:rtl/>
        </w:rPr>
        <w:t xml:space="preserve">تصميم مماثل آخر </w:t>
      </w:r>
      <w:r>
        <w:rPr>
          <w:rFonts w:hint="cs"/>
          <w:rtl/>
        </w:rPr>
        <w:t>وارد</w:t>
      </w:r>
      <w:r>
        <w:rPr>
          <w:rtl/>
        </w:rPr>
        <w:t xml:space="preserve"> في الطلب الدولي </w:t>
      </w:r>
      <w:r>
        <w:rPr>
          <w:rFonts w:hint="cs"/>
          <w:rtl/>
        </w:rPr>
        <w:t xml:space="preserve">نفسه </w:t>
      </w:r>
      <w:r>
        <w:rPr>
          <w:rtl/>
        </w:rPr>
        <w:t xml:space="preserve">أو في طلب وطني أو دولي سابق </w:t>
      </w:r>
      <w:r>
        <w:rPr>
          <w:rFonts w:hint="cs"/>
          <w:rtl/>
        </w:rPr>
        <w:t>تقدم بهه المودع</w:t>
      </w:r>
      <w:r>
        <w:rPr>
          <w:rtl/>
        </w:rPr>
        <w:t xml:space="preserve"> </w:t>
      </w:r>
      <w:r>
        <w:rPr>
          <w:rFonts w:hint="cs"/>
          <w:rtl/>
        </w:rPr>
        <w:t>نفسه</w:t>
      </w:r>
      <w:r>
        <w:rPr>
          <w:rtl/>
        </w:rPr>
        <w:t xml:space="preserve">. </w:t>
      </w:r>
      <w:r>
        <w:rPr>
          <w:rFonts w:hint="cs"/>
          <w:rtl/>
        </w:rPr>
        <w:t>و</w:t>
      </w:r>
      <w:r>
        <w:rPr>
          <w:rtl/>
        </w:rPr>
        <w:t xml:space="preserve">يحدث </w:t>
      </w:r>
      <w:r>
        <w:rPr>
          <w:rFonts w:hint="cs"/>
          <w:rtl/>
        </w:rPr>
        <w:t>ذلك</w:t>
      </w:r>
      <w:r>
        <w:rPr>
          <w:rtl/>
        </w:rPr>
        <w:t xml:space="preserve"> عندما </w:t>
      </w:r>
      <w:r>
        <w:rPr>
          <w:rFonts w:hint="cs"/>
          <w:rtl/>
        </w:rPr>
        <w:t>لا</w:t>
      </w:r>
      <w:r>
        <w:rPr>
          <w:rFonts w:hint="eastAsia"/>
          <w:rtl/>
        </w:rPr>
        <w:t> </w:t>
      </w:r>
      <w:r>
        <w:rPr>
          <w:rFonts w:hint="cs"/>
          <w:rtl/>
        </w:rPr>
        <w:t>يشير</w:t>
      </w:r>
      <w:r>
        <w:rPr>
          <w:rtl/>
        </w:rPr>
        <w:t xml:space="preserve"> </w:t>
      </w:r>
      <w:r>
        <w:rPr>
          <w:rFonts w:hint="cs"/>
          <w:rtl/>
        </w:rPr>
        <w:t>المودع</w:t>
      </w:r>
      <w:r>
        <w:rPr>
          <w:rtl/>
        </w:rPr>
        <w:t xml:space="preserve"> إلى "التصميم الرئيسي" و"التصميم </w:t>
      </w:r>
      <w:r>
        <w:rPr>
          <w:rFonts w:hint="cs"/>
          <w:rtl/>
        </w:rPr>
        <w:t>أو التصاميم</w:t>
      </w:r>
      <w:r>
        <w:rPr>
          <w:rtl/>
        </w:rPr>
        <w:t xml:space="preserve"> ذات الصلة" </w:t>
      </w:r>
      <w:r>
        <w:rPr>
          <w:rFonts w:hint="cs"/>
          <w:rtl/>
        </w:rPr>
        <w:t>على النحو</w:t>
      </w:r>
      <w:r>
        <w:rPr>
          <w:rtl/>
        </w:rPr>
        <w:t xml:space="preserve"> </w:t>
      </w:r>
      <w:r>
        <w:rPr>
          <w:rFonts w:hint="cs"/>
          <w:rtl/>
        </w:rPr>
        <w:t>المناسب</w:t>
      </w:r>
      <w:r>
        <w:rPr>
          <w:rtl/>
        </w:rPr>
        <w:t xml:space="preserve">، أو إذا كان لدى الفاحص رأي مختلف حول </w:t>
      </w:r>
      <w:r>
        <w:rPr>
          <w:rFonts w:hint="cs"/>
          <w:rtl/>
        </w:rPr>
        <w:t>البيانات</w:t>
      </w:r>
      <w:r>
        <w:rPr>
          <w:rtl/>
        </w:rPr>
        <w:t xml:space="preserve"> المقدمة.</w:t>
      </w:r>
    </w:p>
    <w:p w:rsidR="0042678B" w:rsidRDefault="0042678B" w:rsidP="00803575">
      <w:pPr>
        <w:pStyle w:val="NumberedParaAR"/>
        <w:rPr>
          <w:rtl/>
        </w:rPr>
      </w:pPr>
      <w:r>
        <w:rPr>
          <w:rtl/>
        </w:rPr>
        <w:t>و</w:t>
      </w:r>
      <w:r>
        <w:rPr>
          <w:rFonts w:hint="cs"/>
          <w:rtl/>
        </w:rPr>
        <w:t xml:space="preserve">تتعلق </w:t>
      </w:r>
      <w:r>
        <w:rPr>
          <w:rtl/>
        </w:rPr>
        <w:t>الحالتان المذكورتان أعلاه بتشريعات اليابان وجمهورية كوريا، مما يعني أن أسباب الرفض المذكورة أعلاه لا</w:t>
      </w:r>
      <w:r>
        <w:rPr>
          <w:rFonts w:hint="cs"/>
          <w:rtl/>
        </w:rPr>
        <w:t> </w:t>
      </w:r>
      <w:r>
        <w:rPr>
          <w:rtl/>
        </w:rPr>
        <w:t>يبدو أن</w:t>
      </w:r>
      <w:r>
        <w:rPr>
          <w:rFonts w:hint="cs"/>
          <w:rtl/>
        </w:rPr>
        <w:t>ها تكتسي وجاهة</w:t>
      </w:r>
      <w:r>
        <w:rPr>
          <w:rtl/>
        </w:rPr>
        <w:t xml:space="preserve"> مباشرة </w:t>
      </w:r>
      <w:r>
        <w:rPr>
          <w:rFonts w:hint="cs"/>
          <w:rtl/>
        </w:rPr>
        <w:t>من حيث قابلية</w:t>
      </w:r>
      <w:r>
        <w:rPr>
          <w:rtl/>
        </w:rPr>
        <w:t xml:space="preserve"> </w:t>
      </w:r>
      <w:r>
        <w:rPr>
          <w:rFonts w:hint="cs"/>
          <w:rtl/>
        </w:rPr>
        <w:t>ا</w:t>
      </w:r>
      <w:r>
        <w:rPr>
          <w:rtl/>
        </w:rPr>
        <w:t xml:space="preserve">لتسجيل أو </w:t>
      </w:r>
      <w:r>
        <w:rPr>
          <w:rFonts w:hint="cs"/>
          <w:rtl/>
        </w:rPr>
        <w:t xml:space="preserve">أهلية الحصول على </w:t>
      </w:r>
      <w:r>
        <w:rPr>
          <w:rtl/>
        </w:rPr>
        <w:t xml:space="preserve">براءة في الولايات القضائية الأخرى. وبعبارة أخرى، لا يُعتبر التصميم </w:t>
      </w:r>
      <w:r>
        <w:rPr>
          <w:rFonts w:hint="cs"/>
          <w:rtl/>
        </w:rPr>
        <w:t>عديم</w:t>
      </w:r>
      <w:r>
        <w:rPr>
          <w:rtl/>
        </w:rPr>
        <w:t xml:space="preserve"> </w:t>
      </w:r>
      <w:r>
        <w:rPr>
          <w:rFonts w:hint="cs"/>
          <w:rtl/>
        </w:rPr>
        <w:t>الجدة</w:t>
      </w:r>
      <w:r>
        <w:rPr>
          <w:rtl/>
        </w:rPr>
        <w:t xml:space="preserve"> جوهرياً ويمكن التغلب على الرفض أو تجنبه تقنياً. و</w:t>
      </w:r>
      <w:r>
        <w:rPr>
          <w:rFonts w:hint="cs"/>
          <w:rtl/>
        </w:rPr>
        <w:t xml:space="preserve">ذلك </w:t>
      </w:r>
      <w:r>
        <w:rPr>
          <w:rtl/>
        </w:rPr>
        <w:t xml:space="preserve">الوضع </w:t>
      </w:r>
      <w:r>
        <w:rPr>
          <w:rFonts w:hint="cs"/>
          <w:rtl/>
        </w:rPr>
        <w:t xml:space="preserve">يشبه الوضع </w:t>
      </w:r>
      <w:r>
        <w:rPr>
          <w:rtl/>
        </w:rPr>
        <w:t xml:space="preserve">الذي يتم فيه رفض تصميم </w:t>
      </w:r>
      <w:r>
        <w:rPr>
          <w:rFonts w:hint="cs"/>
          <w:rtl/>
        </w:rPr>
        <w:t>ما</w:t>
      </w:r>
      <w:r>
        <w:rPr>
          <w:rtl/>
        </w:rPr>
        <w:t xml:space="preserve"> بسبب عدم كفاية </w:t>
      </w:r>
      <w:r>
        <w:rPr>
          <w:rFonts w:hint="cs"/>
          <w:rtl/>
        </w:rPr>
        <w:t>الكشف</w:t>
      </w:r>
      <w:r>
        <w:rPr>
          <w:rtl/>
        </w:rPr>
        <w:t xml:space="preserve"> أو</w:t>
      </w:r>
      <w:r>
        <w:rPr>
          <w:rFonts w:hint="cs"/>
          <w:rtl/>
        </w:rPr>
        <w:t xml:space="preserve"> غموض</w:t>
      </w:r>
      <w:r>
        <w:rPr>
          <w:rtl/>
        </w:rPr>
        <w:t xml:space="preserve"> </w:t>
      </w:r>
      <w:r>
        <w:rPr>
          <w:rFonts w:hint="cs"/>
          <w:rtl/>
        </w:rPr>
        <w:t xml:space="preserve">في </w:t>
      </w:r>
      <w:r>
        <w:rPr>
          <w:rtl/>
        </w:rPr>
        <w:t xml:space="preserve">بيان المنتج أو تعريف التصميم، لأن </w:t>
      </w:r>
      <w:r>
        <w:rPr>
          <w:rFonts w:hint="cs"/>
          <w:rtl/>
        </w:rPr>
        <w:t>تلك</w:t>
      </w:r>
      <w:r>
        <w:rPr>
          <w:rtl/>
        </w:rPr>
        <w:t xml:space="preserve"> </w:t>
      </w:r>
      <w:r>
        <w:rPr>
          <w:rFonts w:hint="cs"/>
          <w:rtl/>
        </w:rPr>
        <w:t>الشروط</w:t>
      </w:r>
      <w:r>
        <w:rPr>
          <w:rtl/>
        </w:rPr>
        <w:t xml:space="preserve"> تختلف من ولاية قضائية إلى أخرى.</w:t>
      </w:r>
    </w:p>
    <w:p w:rsidR="0042678B" w:rsidRDefault="0042678B" w:rsidP="00803575">
      <w:pPr>
        <w:spacing w:after="240" w:line="360" w:lineRule="exact"/>
        <w:rPr>
          <w:rFonts w:ascii="Arabic Typesetting" w:hAnsi="Arabic Typesetting" w:cs="Arabic Typesetting"/>
          <w:sz w:val="36"/>
          <w:szCs w:val="36"/>
          <w:rtl/>
        </w:rPr>
      </w:pPr>
      <w:r>
        <w:rPr>
          <w:rtl/>
        </w:rPr>
        <w:br w:type="page"/>
      </w:r>
    </w:p>
    <w:p w:rsidR="0042678B" w:rsidRPr="00F20485" w:rsidRDefault="0042678B" w:rsidP="0036789D">
      <w:pPr>
        <w:pStyle w:val="NumberedParaAR"/>
        <w:rPr>
          <w:rtl/>
        </w:rPr>
      </w:pPr>
      <w:r>
        <w:rPr>
          <w:rtl/>
        </w:rPr>
        <w:lastRenderedPageBreak/>
        <w:t xml:space="preserve">وفيما يتعلق بالولايات المتحدة الأمريكية، فإن </w:t>
      </w:r>
      <w:r>
        <w:rPr>
          <w:rFonts w:hint="cs"/>
          <w:rtl/>
        </w:rPr>
        <w:t>انعدام</w:t>
      </w:r>
      <w:r>
        <w:rPr>
          <w:rtl/>
        </w:rPr>
        <w:t xml:space="preserve"> </w:t>
      </w:r>
      <w:r>
        <w:rPr>
          <w:rFonts w:hint="cs"/>
          <w:rtl/>
        </w:rPr>
        <w:t>الجدة</w:t>
      </w:r>
      <w:r>
        <w:rPr>
          <w:rtl/>
        </w:rPr>
        <w:t xml:space="preserve"> لا يمث</w:t>
      </w:r>
      <w:r>
        <w:rPr>
          <w:rFonts w:hint="cs"/>
          <w:rtl/>
        </w:rPr>
        <w:t>ّ</w:t>
      </w:r>
      <w:r>
        <w:rPr>
          <w:rtl/>
        </w:rPr>
        <w:t xml:space="preserve">ل سوى </w:t>
      </w:r>
      <w:r w:rsidR="0036789D">
        <w:rPr>
          <w:rFonts w:hint="cs"/>
          <w:rtl/>
        </w:rPr>
        <w:t>واحد</w:t>
      </w:r>
      <w:r>
        <w:rPr>
          <w:rFonts w:hint="cs"/>
          <w:rtl/>
        </w:rPr>
        <w:t> </w:t>
      </w:r>
      <w:r>
        <w:rPr>
          <w:rtl/>
        </w:rPr>
        <w:t xml:space="preserve">في المائة من مجموع أسباب الرفض التي أثارها مكتب الولايات المتحدة الأمريكية للبراءات والعلامات التجارية، في حين </w:t>
      </w:r>
      <w:r>
        <w:rPr>
          <w:rFonts w:hint="cs"/>
          <w:rtl/>
        </w:rPr>
        <w:t>شكّل</w:t>
      </w:r>
      <w:r>
        <w:rPr>
          <w:rtl/>
        </w:rPr>
        <w:t xml:space="preserve"> عدم الامتثال </w:t>
      </w:r>
      <w:r>
        <w:rPr>
          <w:rFonts w:hint="cs"/>
          <w:rtl/>
        </w:rPr>
        <w:t>لشرط تضمين</w:t>
      </w:r>
      <w:r>
        <w:rPr>
          <w:rtl/>
        </w:rPr>
        <w:t xml:space="preserve"> التسجيل الدولي تصميم</w:t>
      </w:r>
      <w:r>
        <w:rPr>
          <w:rFonts w:hint="cs"/>
          <w:rtl/>
        </w:rPr>
        <w:t>ا</w:t>
      </w:r>
      <w:r>
        <w:rPr>
          <w:rtl/>
        </w:rPr>
        <w:t xml:space="preserve"> </w:t>
      </w:r>
      <w:r>
        <w:rPr>
          <w:rFonts w:hint="cs"/>
          <w:rtl/>
        </w:rPr>
        <w:t xml:space="preserve">واحدا فقط </w:t>
      </w:r>
      <w:r>
        <w:rPr>
          <w:rtl/>
        </w:rPr>
        <w:t>السبب الوحيد للرفض</w:t>
      </w:r>
      <w:r w:rsidRPr="00202342">
        <w:rPr>
          <w:rFonts w:hint="cs"/>
          <w:rtl/>
        </w:rPr>
        <w:t xml:space="preserve"> </w:t>
      </w:r>
      <w:r>
        <w:rPr>
          <w:rFonts w:hint="cs"/>
          <w:rtl/>
        </w:rPr>
        <w:t>في أغلب الحالات</w:t>
      </w:r>
      <w:r>
        <w:rPr>
          <w:rtl/>
        </w:rPr>
        <w:t xml:space="preserve">، </w:t>
      </w:r>
      <w:r>
        <w:rPr>
          <w:rFonts w:hint="cs"/>
          <w:rtl/>
        </w:rPr>
        <w:t>إذ</w:t>
      </w:r>
      <w:r>
        <w:rPr>
          <w:rtl/>
        </w:rPr>
        <w:t xml:space="preserve"> </w:t>
      </w:r>
      <w:r>
        <w:rPr>
          <w:rFonts w:hint="cs"/>
          <w:rtl/>
        </w:rPr>
        <w:t>مثّل</w:t>
      </w:r>
      <w:r>
        <w:rPr>
          <w:rtl/>
        </w:rPr>
        <w:t xml:space="preserve"> 76</w:t>
      </w:r>
      <w:r>
        <w:rPr>
          <w:rFonts w:hint="cs"/>
          <w:rtl/>
        </w:rPr>
        <w:t> </w:t>
      </w:r>
      <w:r>
        <w:rPr>
          <w:rtl/>
        </w:rPr>
        <w:t xml:space="preserve">في المائة من مجموع أسباب الرفض </w:t>
      </w:r>
      <w:r>
        <w:rPr>
          <w:rFonts w:hint="cs"/>
          <w:rtl/>
        </w:rPr>
        <w:t>التي أثارها المكتب المذكور</w:t>
      </w:r>
      <w:r>
        <w:rPr>
          <w:rtl/>
        </w:rPr>
        <w:t>.</w:t>
      </w:r>
    </w:p>
    <w:p w:rsidR="0042678B" w:rsidRPr="00202342" w:rsidRDefault="0042678B" w:rsidP="0036789D">
      <w:pPr>
        <w:pStyle w:val="Heading2"/>
        <w:rPr>
          <w:rtl/>
        </w:rPr>
      </w:pPr>
      <w:r w:rsidRPr="00202342">
        <w:rPr>
          <w:rFonts w:hint="cs"/>
          <w:rtl/>
        </w:rPr>
        <w:t>القواعد الوجيهة</w:t>
      </w:r>
    </w:p>
    <w:p w:rsidR="0042678B" w:rsidRDefault="0042678B" w:rsidP="00803575">
      <w:pPr>
        <w:pStyle w:val="NumberedParaAR"/>
      </w:pPr>
      <w:r>
        <w:rPr>
          <w:rFonts w:hint="cs"/>
          <w:rtl/>
        </w:rPr>
        <w:t>تعرّف القاعدة</w:t>
      </w:r>
      <w:r>
        <w:rPr>
          <w:rFonts w:hint="eastAsia"/>
          <w:rtl/>
        </w:rPr>
        <w:t> </w:t>
      </w:r>
      <w:r>
        <w:rPr>
          <w:rFonts w:hint="cs"/>
          <w:rtl/>
        </w:rPr>
        <w:t>26(1) المحتوى المنشور في النشرة. وتشير الفقرة الفرعية "2" إلى "</w:t>
      </w:r>
      <w:r w:rsidRPr="00476B48">
        <w:rPr>
          <w:rtl/>
        </w:rPr>
        <w:t xml:space="preserve">حالات الرفض </w:t>
      </w:r>
      <w:r w:rsidRPr="00476B48">
        <w:rPr>
          <w:rFonts w:hint="cs"/>
          <w:rtl/>
        </w:rPr>
        <w:t xml:space="preserve">... </w:t>
      </w:r>
      <w:r w:rsidRPr="00476B48">
        <w:rPr>
          <w:rtl/>
        </w:rPr>
        <w:t>مع بيان إمكانية إعادة النظر أو الطعن من عدمها</w:t>
      </w:r>
      <w:r w:rsidRPr="00392A29">
        <w:rPr>
          <w:u w:val="single"/>
          <w:rtl/>
        </w:rPr>
        <w:t xml:space="preserve"> ومن غير ذكر أسباب الرفض</w:t>
      </w:r>
      <w:r>
        <w:rPr>
          <w:rFonts w:hint="cs"/>
          <w:rtl/>
        </w:rPr>
        <w:t>"</w:t>
      </w:r>
      <w:r w:rsidRPr="008D4F85">
        <w:rPr>
          <w:rtl/>
        </w:rPr>
        <w:t>.</w:t>
      </w:r>
      <w:r>
        <w:rPr>
          <w:rFonts w:hint="cs"/>
          <w:rtl/>
        </w:rPr>
        <w:t xml:space="preserve"> وقد ظهرت هذه الجملة للمرة الأول</w:t>
      </w:r>
      <w:r>
        <w:rPr>
          <w:rFonts w:hint="eastAsia"/>
          <w:rtl/>
        </w:rPr>
        <w:t>ى</w:t>
      </w:r>
      <w:r>
        <w:rPr>
          <w:rFonts w:hint="cs"/>
          <w:rtl/>
        </w:rPr>
        <w:t xml:space="preserve"> في "مشروع اللائحة التنفيذية" المقدم إلى الدورة السابعة للجنة الخبراء المعنية بتطوير اتفاق لاهاي بشأن الإيداع الدولي للتصاميم الصناعية (المشار إليها فيما بعد باسم "لجنة الخبراء")، المعقودة في نوفمبر 1997.</w:t>
      </w:r>
      <w:r>
        <w:rPr>
          <w:rStyle w:val="FootnoteReference"/>
          <w:rtl/>
        </w:rPr>
        <w:footnoteReference w:id="7"/>
      </w:r>
      <w:r>
        <w:rPr>
          <w:rFonts w:hint="cs"/>
          <w:rtl/>
        </w:rPr>
        <w:t xml:space="preserve"> </w:t>
      </w:r>
    </w:p>
    <w:p w:rsidR="0042678B" w:rsidRDefault="0042678B" w:rsidP="0036789D">
      <w:pPr>
        <w:pStyle w:val="NumberedParaAR"/>
      </w:pPr>
      <w:r>
        <w:rPr>
          <w:rFonts w:hint="cs"/>
          <w:rtl/>
        </w:rPr>
        <w:t>و</w:t>
      </w:r>
      <w:r>
        <w:rPr>
          <w:rtl/>
        </w:rPr>
        <w:t>أصبح</w:t>
      </w:r>
      <w:r>
        <w:rPr>
          <w:rFonts w:hint="cs"/>
          <w:rtl/>
        </w:rPr>
        <w:t xml:space="preserve">ت </w:t>
      </w:r>
      <w:r>
        <w:rPr>
          <w:rtl/>
        </w:rPr>
        <w:t xml:space="preserve">هذه </w:t>
      </w:r>
      <w:r>
        <w:rPr>
          <w:rFonts w:hint="cs"/>
          <w:rtl/>
        </w:rPr>
        <w:t>الصيغة</w:t>
      </w:r>
      <w:r>
        <w:rPr>
          <w:rtl/>
        </w:rPr>
        <w:t xml:space="preserve"> الأولى من </w:t>
      </w:r>
      <w:r>
        <w:rPr>
          <w:rFonts w:hint="cs"/>
          <w:rtl/>
        </w:rPr>
        <w:t xml:space="preserve">مشروع </w:t>
      </w:r>
      <w:r>
        <w:rPr>
          <w:rtl/>
        </w:rPr>
        <w:t>اللائحة</w:t>
      </w:r>
      <w:r>
        <w:rPr>
          <w:rFonts w:hint="cs"/>
          <w:rtl/>
        </w:rPr>
        <w:t xml:space="preserve"> </w:t>
      </w:r>
      <w:r>
        <w:rPr>
          <w:rtl/>
        </w:rPr>
        <w:t xml:space="preserve">مشروع </w:t>
      </w:r>
      <w:r w:rsidRPr="00944886">
        <w:rPr>
          <w:rtl/>
        </w:rPr>
        <w:t xml:space="preserve">لائحة </w:t>
      </w:r>
      <w:r>
        <w:rPr>
          <w:rFonts w:hint="cs"/>
          <w:rtl/>
        </w:rPr>
        <w:t>ال</w:t>
      </w:r>
      <w:r w:rsidRPr="0065738E">
        <w:rPr>
          <w:rtl/>
        </w:rPr>
        <w:t xml:space="preserve">وثيقة </w:t>
      </w:r>
      <w:r>
        <w:rPr>
          <w:rFonts w:hint="cs"/>
          <w:rtl/>
        </w:rPr>
        <w:t>ال</w:t>
      </w:r>
      <w:r w:rsidRPr="0065738E">
        <w:rPr>
          <w:rtl/>
        </w:rPr>
        <w:t>جديدة لاتفاق لاهاي</w:t>
      </w:r>
      <w:r w:rsidR="0036789D">
        <w:rPr>
          <w:rFonts w:hint="cs"/>
          <w:rtl/>
        </w:rPr>
        <w:t xml:space="preserve"> بشأن التسجيل للدولي للتصاميم الصناعية</w:t>
      </w:r>
      <w:r>
        <w:rPr>
          <w:rtl/>
        </w:rPr>
        <w:t xml:space="preserve">، المقدم إلى المؤتمر الدبلوماسي </w:t>
      </w:r>
      <w:r>
        <w:rPr>
          <w:rFonts w:hint="cs"/>
          <w:rtl/>
        </w:rPr>
        <w:t>المعني ب</w:t>
      </w:r>
      <w:r>
        <w:rPr>
          <w:rtl/>
        </w:rPr>
        <w:t xml:space="preserve">اعتماد وثيقة جديدة لاتفاق لاهاي بشأن الإيداع الدولي </w:t>
      </w:r>
      <w:r>
        <w:rPr>
          <w:rFonts w:hint="cs"/>
          <w:rtl/>
        </w:rPr>
        <w:t>للتصاميم</w:t>
      </w:r>
      <w:r>
        <w:rPr>
          <w:rtl/>
        </w:rPr>
        <w:t xml:space="preserve"> الصناعية (وثيقة جنيف) </w:t>
      </w:r>
      <w:r>
        <w:rPr>
          <w:rFonts w:hint="cs"/>
          <w:rtl/>
        </w:rPr>
        <w:t>المعقود في الفترة من</w:t>
      </w:r>
      <w:r>
        <w:rPr>
          <w:rtl/>
        </w:rPr>
        <w:t xml:space="preserve"> 16</w:t>
      </w:r>
      <w:r>
        <w:rPr>
          <w:rFonts w:hint="cs"/>
          <w:rtl/>
        </w:rPr>
        <w:t> </w:t>
      </w:r>
      <w:r>
        <w:rPr>
          <w:rtl/>
        </w:rPr>
        <w:t xml:space="preserve">يونيو إلى </w:t>
      </w:r>
      <w:r w:rsidR="0036789D">
        <w:rPr>
          <w:rFonts w:hint="cs"/>
          <w:rtl/>
        </w:rPr>
        <w:t>6</w:t>
      </w:r>
      <w:r>
        <w:rPr>
          <w:rFonts w:hint="cs"/>
          <w:rtl/>
        </w:rPr>
        <w:t> </w:t>
      </w:r>
      <w:r>
        <w:rPr>
          <w:rtl/>
        </w:rPr>
        <w:t>يوليو</w:t>
      </w:r>
      <w:r>
        <w:rPr>
          <w:rFonts w:hint="cs"/>
          <w:rtl/>
        </w:rPr>
        <w:t> </w:t>
      </w:r>
      <w:r>
        <w:rPr>
          <w:rtl/>
        </w:rPr>
        <w:t>1999 (</w:t>
      </w:r>
      <w:r>
        <w:rPr>
          <w:rFonts w:hint="cs"/>
          <w:rtl/>
        </w:rPr>
        <w:t>المشار إليه فيما يلي باسم</w:t>
      </w:r>
      <w:r>
        <w:rPr>
          <w:rtl/>
        </w:rPr>
        <w:t xml:space="preserve"> "المؤتمر الدبلوماسي").</w:t>
      </w:r>
      <w:r>
        <w:rPr>
          <w:rStyle w:val="FootnoteReference"/>
          <w:rtl/>
        </w:rPr>
        <w:footnoteReference w:id="8"/>
      </w:r>
      <w:r>
        <w:rPr>
          <w:rFonts w:hint="cs"/>
          <w:rtl/>
        </w:rPr>
        <w:t xml:space="preserve">. وبقي </w:t>
      </w:r>
      <w:r>
        <w:rPr>
          <w:rtl/>
        </w:rPr>
        <w:t>هذا الجزء من القاعدة دون تغيير حتى يومنا هذا.</w:t>
      </w:r>
    </w:p>
    <w:p w:rsidR="0042678B" w:rsidRDefault="0042678B" w:rsidP="00803575">
      <w:pPr>
        <w:pStyle w:val="NumberedParaAR"/>
      </w:pPr>
      <w:r>
        <w:rPr>
          <w:rtl/>
        </w:rPr>
        <w:t>ولا يوجد أي سبب في أي وثيقة مقدمة إلى لجنة الخبراء أو المؤتمر الدبلوماسي بشأن سبب نشر إخطار الرفض دون أسباب الرفض.</w:t>
      </w:r>
    </w:p>
    <w:p w:rsidR="0042678B" w:rsidRDefault="0042678B" w:rsidP="00803575">
      <w:pPr>
        <w:pStyle w:val="NumberedParaAR"/>
      </w:pPr>
      <w:r>
        <w:rPr>
          <w:rFonts w:hint="cs"/>
          <w:rtl/>
        </w:rPr>
        <w:t>و</w:t>
      </w:r>
      <w:r>
        <w:rPr>
          <w:rtl/>
        </w:rPr>
        <w:t xml:space="preserve">تشير </w:t>
      </w:r>
      <w:r>
        <w:rPr>
          <w:rFonts w:hint="cs"/>
          <w:rtl/>
        </w:rPr>
        <w:t>القاعدة</w:t>
      </w:r>
      <w:r>
        <w:rPr>
          <w:rtl/>
        </w:rPr>
        <w:t xml:space="preserve"> 32(1)</w:t>
      </w:r>
      <w:r>
        <w:rPr>
          <w:rFonts w:hint="cs"/>
          <w:rtl/>
        </w:rPr>
        <w:t>"</w:t>
      </w:r>
      <w:r>
        <w:rPr>
          <w:rtl/>
        </w:rPr>
        <w:t>3</w:t>
      </w:r>
      <w:r>
        <w:rPr>
          <w:rFonts w:hint="cs"/>
          <w:rtl/>
        </w:rPr>
        <w:t>"</w:t>
      </w:r>
      <w:r>
        <w:rPr>
          <w:rtl/>
        </w:rPr>
        <w:t xml:space="preserve"> من </w:t>
      </w:r>
      <w:r w:rsidRPr="00961CA8">
        <w:rPr>
          <w:rtl/>
        </w:rPr>
        <w:t xml:space="preserve">اللائحة التنفيذية المشتركة بين اتفاق وبروتوكول مدريد بشأن التسجيل الدولي للعلامات </w:t>
      </w:r>
      <w:r>
        <w:rPr>
          <w:rtl/>
        </w:rPr>
        <w:t>(</w:t>
      </w:r>
      <w:r>
        <w:rPr>
          <w:rFonts w:hint="cs"/>
          <w:rtl/>
        </w:rPr>
        <w:t>المشار إليها فيما يلي</w:t>
      </w:r>
      <w:r>
        <w:rPr>
          <w:rtl/>
        </w:rPr>
        <w:t xml:space="preserve"> باسم "</w:t>
      </w:r>
      <w:r>
        <w:rPr>
          <w:rFonts w:hint="cs"/>
          <w:rtl/>
        </w:rPr>
        <w:t>لائحة</w:t>
      </w:r>
      <w:r>
        <w:rPr>
          <w:rtl/>
        </w:rPr>
        <w:t xml:space="preserve"> مدريد</w:t>
      </w:r>
      <w:r>
        <w:rPr>
          <w:rFonts w:hint="cs"/>
          <w:rtl/>
        </w:rPr>
        <w:t xml:space="preserve"> التنفيذية</w:t>
      </w:r>
      <w:r>
        <w:rPr>
          <w:rtl/>
        </w:rPr>
        <w:t>") أيضا إلى "</w:t>
      </w:r>
      <w:r>
        <w:rPr>
          <w:rFonts w:hint="cs"/>
          <w:rtl/>
        </w:rPr>
        <w:t>ح</w:t>
      </w:r>
      <w:r w:rsidRPr="00F72424">
        <w:rPr>
          <w:rtl/>
        </w:rPr>
        <w:t>الات الرفض المؤقت المقيدة بناء على أحكام القاعدة 17(4)</w:t>
      </w:r>
      <w:r>
        <w:rPr>
          <w:rtl/>
        </w:rPr>
        <w:t>، ... بدون أسباب الرفض ... "</w:t>
      </w:r>
      <w:r>
        <w:rPr>
          <w:rFonts w:hint="cs"/>
          <w:rtl/>
        </w:rPr>
        <w:t xml:space="preserve"> </w:t>
      </w:r>
      <w:r>
        <w:rPr>
          <w:rtl/>
        </w:rPr>
        <w:t xml:space="preserve">كمحتوى للنشر. </w:t>
      </w:r>
      <w:r>
        <w:rPr>
          <w:rFonts w:hint="cs"/>
          <w:rtl/>
        </w:rPr>
        <w:t xml:space="preserve">وقد </w:t>
      </w:r>
      <w:r>
        <w:rPr>
          <w:rtl/>
        </w:rPr>
        <w:t xml:space="preserve">ظل هذا الجزء من القاعدة دون تغيير عن النسخة الأولى (1996) من </w:t>
      </w:r>
      <w:r>
        <w:rPr>
          <w:rFonts w:hint="cs"/>
          <w:rtl/>
        </w:rPr>
        <w:t xml:space="preserve">لائحة </w:t>
      </w:r>
      <w:r>
        <w:rPr>
          <w:rtl/>
        </w:rPr>
        <w:t>مدريد (</w:t>
      </w:r>
      <w:r>
        <w:rPr>
          <w:rFonts w:hint="cs"/>
          <w:rtl/>
        </w:rPr>
        <w:t>المشتركة</w:t>
      </w:r>
      <w:r>
        <w:rPr>
          <w:rtl/>
        </w:rPr>
        <w:t>).</w:t>
      </w:r>
      <w:r>
        <w:rPr>
          <w:rStyle w:val="FootnoteReference"/>
          <w:rtl/>
        </w:rPr>
        <w:footnoteReference w:id="9"/>
      </w:r>
    </w:p>
    <w:p w:rsidR="0042678B" w:rsidRDefault="0042678B" w:rsidP="00803575">
      <w:pPr>
        <w:pStyle w:val="NumberedParaAR"/>
      </w:pPr>
      <w:r>
        <w:rPr>
          <w:rFonts w:hint="cs"/>
          <w:rtl/>
        </w:rPr>
        <w:t>وفي ذلك الوقت، كان</w:t>
      </w:r>
      <w:r>
        <w:rPr>
          <w:rtl/>
        </w:rPr>
        <w:t xml:space="preserve"> كل من </w:t>
      </w:r>
      <w:r>
        <w:rPr>
          <w:rFonts w:hint="cs"/>
          <w:rtl/>
        </w:rPr>
        <w:t xml:space="preserve">تسجيلات </w:t>
      </w:r>
      <w:r>
        <w:rPr>
          <w:rtl/>
        </w:rPr>
        <w:t xml:space="preserve">العلامات التجارية </w:t>
      </w:r>
      <w:r>
        <w:rPr>
          <w:rFonts w:hint="cs"/>
          <w:rtl/>
        </w:rPr>
        <w:t xml:space="preserve">والتصاميم </w:t>
      </w:r>
      <w:r>
        <w:rPr>
          <w:rtl/>
        </w:rPr>
        <w:t xml:space="preserve">الدولية </w:t>
      </w:r>
      <w:r>
        <w:rPr>
          <w:rFonts w:hint="cs"/>
          <w:rtl/>
        </w:rPr>
        <w:t>بموجب</w:t>
      </w:r>
      <w:r>
        <w:rPr>
          <w:rtl/>
        </w:rPr>
        <w:t xml:space="preserve"> نظامي مدريد ولاهاي </w:t>
      </w:r>
      <w:r>
        <w:rPr>
          <w:rFonts w:hint="cs"/>
          <w:rtl/>
        </w:rPr>
        <w:t xml:space="preserve">يُنشر </w:t>
      </w:r>
      <w:r>
        <w:rPr>
          <w:rtl/>
        </w:rPr>
        <w:t xml:space="preserve">في شكل ورقي. وبما أن الأمر لا يزال </w:t>
      </w:r>
      <w:r>
        <w:rPr>
          <w:rFonts w:hint="cs"/>
          <w:rtl/>
        </w:rPr>
        <w:t>على حاله</w:t>
      </w:r>
      <w:r>
        <w:rPr>
          <w:rtl/>
        </w:rPr>
        <w:t xml:space="preserve"> </w:t>
      </w:r>
      <w:r>
        <w:rPr>
          <w:rFonts w:hint="cs"/>
          <w:rtl/>
        </w:rPr>
        <w:t>حتى اليوم</w:t>
      </w:r>
      <w:r>
        <w:rPr>
          <w:rtl/>
        </w:rPr>
        <w:t>، فإن المكتب الدولي لم "</w:t>
      </w:r>
      <w:r>
        <w:rPr>
          <w:rFonts w:hint="cs"/>
          <w:rtl/>
        </w:rPr>
        <w:t>يسجل</w:t>
      </w:r>
      <w:r>
        <w:rPr>
          <w:rtl/>
        </w:rPr>
        <w:t xml:space="preserve"> أي بيانات نصية تتعلق بأسباب الرفض" </w:t>
      </w:r>
      <w:r>
        <w:rPr>
          <w:rFonts w:hint="cs"/>
          <w:rtl/>
        </w:rPr>
        <w:t>مما يرد</w:t>
      </w:r>
      <w:r>
        <w:rPr>
          <w:rtl/>
        </w:rPr>
        <w:t xml:space="preserve"> في كل إخطار بالرفض (المؤقت). وبالتالي، لم تكن هناك وسائل </w:t>
      </w:r>
      <w:r>
        <w:rPr>
          <w:rFonts w:hint="cs"/>
          <w:rtl/>
        </w:rPr>
        <w:t>مؤتمتة</w:t>
      </w:r>
      <w:r>
        <w:rPr>
          <w:rtl/>
        </w:rPr>
        <w:t xml:space="preserve"> لإعادة إنتاج </w:t>
      </w:r>
      <w:r>
        <w:rPr>
          <w:rFonts w:hint="cs"/>
          <w:rtl/>
        </w:rPr>
        <w:t>تلك</w:t>
      </w:r>
      <w:r>
        <w:rPr>
          <w:rtl/>
        </w:rPr>
        <w:t xml:space="preserve"> البيانات في المنشور. وفي هذا الصدد، يمكن توفير علامة </w:t>
      </w:r>
      <w:r>
        <w:rPr>
          <w:rFonts w:hint="cs"/>
          <w:rtl/>
        </w:rPr>
        <w:t>سابقة</w:t>
      </w:r>
      <w:r>
        <w:rPr>
          <w:rtl/>
        </w:rPr>
        <w:t xml:space="preserve"> أو تصميم سابق</w:t>
      </w:r>
      <w:r>
        <w:rPr>
          <w:rFonts w:hint="cs"/>
          <w:rtl/>
        </w:rPr>
        <w:t>،</w:t>
      </w:r>
      <w:r>
        <w:rPr>
          <w:rtl/>
        </w:rPr>
        <w:t xml:space="preserve"> </w:t>
      </w:r>
      <w:r>
        <w:rPr>
          <w:rFonts w:hint="cs"/>
          <w:rtl/>
        </w:rPr>
        <w:t xml:space="preserve">مما استُشهد به </w:t>
      </w:r>
      <w:r>
        <w:rPr>
          <w:rtl/>
        </w:rPr>
        <w:t>كسبب للرفض</w:t>
      </w:r>
      <w:r>
        <w:rPr>
          <w:rFonts w:hint="cs"/>
          <w:rtl/>
        </w:rPr>
        <w:t>،</w:t>
      </w:r>
      <w:r>
        <w:rPr>
          <w:rtl/>
        </w:rPr>
        <w:t xml:space="preserve"> بإرفاق نسخة من المنشور الوطني الذي قد يكون ب</w:t>
      </w:r>
      <w:r>
        <w:rPr>
          <w:rFonts w:hint="cs"/>
          <w:rtl/>
        </w:rPr>
        <w:t>ال</w:t>
      </w:r>
      <w:r>
        <w:rPr>
          <w:rtl/>
        </w:rPr>
        <w:t xml:space="preserve">لغة </w:t>
      </w:r>
      <w:r>
        <w:rPr>
          <w:rFonts w:hint="cs"/>
          <w:rtl/>
        </w:rPr>
        <w:t>ال</w:t>
      </w:r>
      <w:r>
        <w:rPr>
          <w:rtl/>
        </w:rPr>
        <w:t xml:space="preserve">محلية. </w:t>
      </w:r>
      <w:r>
        <w:rPr>
          <w:rFonts w:hint="cs"/>
          <w:rtl/>
        </w:rPr>
        <w:t>و</w:t>
      </w:r>
      <w:r>
        <w:rPr>
          <w:rtl/>
        </w:rPr>
        <w:t xml:space="preserve">علاوة على ذلك، يمكن </w:t>
      </w:r>
      <w:r>
        <w:rPr>
          <w:rFonts w:hint="cs"/>
          <w:rtl/>
        </w:rPr>
        <w:t>الاستشهاد</w:t>
      </w:r>
      <w:r>
        <w:rPr>
          <w:rtl/>
        </w:rPr>
        <w:t xml:space="preserve"> </w:t>
      </w:r>
      <w:r>
        <w:rPr>
          <w:rFonts w:hint="cs"/>
          <w:rtl/>
        </w:rPr>
        <w:t>ب</w:t>
      </w:r>
      <w:r>
        <w:rPr>
          <w:rtl/>
        </w:rPr>
        <w:t xml:space="preserve">عدة علامات أو </w:t>
      </w:r>
      <w:r>
        <w:rPr>
          <w:rFonts w:hint="cs"/>
          <w:rtl/>
        </w:rPr>
        <w:t>تصاميم</w:t>
      </w:r>
      <w:r>
        <w:rPr>
          <w:rtl/>
        </w:rPr>
        <w:t xml:space="preserve"> سابقة في</w:t>
      </w:r>
      <w:r>
        <w:rPr>
          <w:rFonts w:hint="cs"/>
          <w:rtl/>
        </w:rPr>
        <w:t> </w:t>
      </w:r>
      <w:r>
        <w:rPr>
          <w:rtl/>
        </w:rPr>
        <w:t>إخطار</w:t>
      </w:r>
      <w:r>
        <w:rPr>
          <w:rFonts w:hint="cs"/>
          <w:rtl/>
        </w:rPr>
        <w:t> </w:t>
      </w:r>
      <w:r>
        <w:rPr>
          <w:rtl/>
        </w:rPr>
        <w:t>واحد.</w:t>
      </w:r>
    </w:p>
    <w:p w:rsidR="0042678B" w:rsidRDefault="0042678B" w:rsidP="00803575">
      <w:pPr>
        <w:pStyle w:val="NumberedParaAR"/>
      </w:pPr>
      <w:r>
        <w:rPr>
          <w:rFonts w:hint="cs"/>
          <w:rtl/>
        </w:rPr>
        <w:t>والغرض من نشر الرفض (المؤقت أو النهائي) هو إعلان أن أثر التسجيل الدولي قد رفضه أحد الأطراف المتعاقدة المعيّنة</w:t>
      </w:r>
      <w:r w:rsidRPr="003D4EAD">
        <w:rPr>
          <w:rtl/>
        </w:rPr>
        <w:t>.</w:t>
      </w:r>
      <w:r>
        <w:rPr>
          <w:rFonts w:hint="cs"/>
          <w:rtl/>
        </w:rPr>
        <w:t xml:space="preserve"> ويبدو أن العبارة "بدون أسباب الرفض" أُدرجت في لائحة مدريد التنفيذية ليس فقط لعكس تلك الغاية الأساسية من نشر الرفض، بل لتعكس أيضا العائق التقني الذي يصعّب للغاية على المكتب الدولي تسجيل جميع المعلومات المتعلقة بأسباب الرفض ونشرها.</w:t>
      </w:r>
    </w:p>
    <w:p w:rsidR="0042678B" w:rsidRDefault="0042678B" w:rsidP="00803575">
      <w:pPr>
        <w:pStyle w:val="NumberedParaAR"/>
      </w:pPr>
      <w:r>
        <w:rPr>
          <w:rFonts w:hint="cs"/>
          <w:rtl/>
        </w:rPr>
        <w:lastRenderedPageBreak/>
        <w:t>ونظرا لعدم وجود أي ملاحظات في وثائق لجنة الخبراء والمؤتمر الديبلوماسي بشأن هذه النقطة، يمكن افتراض أن تكون العبارة نفسها قد نُسخت ببساطة من لائحة مدريد التنفيذية لتعكس الفرق الدقيق ذاته في لائحة (لاهاي) التنفيذية المشتركة.</w:t>
      </w:r>
    </w:p>
    <w:p w:rsidR="0042678B" w:rsidRPr="00E756D5" w:rsidRDefault="0042678B" w:rsidP="0036789D">
      <w:pPr>
        <w:pStyle w:val="Heading2"/>
        <w:rPr>
          <w:rtl/>
        </w:rPr>
      </w:pPr>
      <w:r w:rsidRPr="00E756D5">
        <w:rPr>
          <w:rFonts w:hint="cs"/>
          <w:rtl/>
        </w:rPr>
        <w:t>م</w:t>
      </w:r>
      <w:r>
        <w:rPr>
          <w:rFonts w:hint="cs"/>
          <w:rtl/>
        </w:rPr>
        <w:t xml:space="preserve">مارسات المكاتب التي كثيرا ما تصدر إخطارات </w:t>
      </w:r>
      <w:r w:rsidRPr="00E756D5">
        <w:rPr>
          <w:rFonts w:hint="cs"/>
          <w:rtl/>
        </w:rPr>
        <w:t>الرفض</w:t>
      </w:r>
    </w:p>
    <w:p w:rsidR="0042678B" w:rsidRDefault="0042678B" w:rsidP="00803575">
      <w:pPr>
        <w:pStyle w:val="NumberedParaAR"/>
      </w:pPr>
      <w:r>
        <w:rPr>
          <w:rFonts w:hint="cs"/>
          <w:rtl/>
        </w:rPr>
        <w:t>كما ذُكر سابقا، ال</w:t>
      </w:r>
      <w:r w:rsidRPr="00854E55">
        <w:rPr>
          <w:rtl/>
        </w:rPr>
        <w:t>م</w:t>
      </w:r>
      <w:r>
        <w:rPr>
          <w:rFonts w:hint="cs"/>
          <w:rtl/>
        </w:rPr>
        <w:t>كاتب الثلاثة التي تصدر إخطارات الرفض حاليا هي م</w:t>
      </w:r>
      <w:r w:rsidRPr="00854E55">
        <w:rPr>
          <w:rtl/>
        </w:rPr>
        <w:t>كتب اليابان للبراءات والمكتب الكوري للملكية الفكرية ومكتب الولايات المتحدة للبراءات والعلامات التجارية</w:t>
      </w:r>
      <w:r w:rsidRPr="00FC48FA">
        <w:rPr>
          <w:rtl/>
        </w:rPr>
        <w:t>.</w:t>
      </w:r>
    </w:p>
    <w:p w:rsidR="0042678B" w:rsidRDefault="0042678B" w:rsidP="00803575">
      <w:pPr>
        <w:pStyle w:val="NumberedParaAR"/>
      </w:pPr>
      <w:r w:rsidRPr="00AF3AB0">
        <w:rPr>
          <w:rtl/>
        </w:rPr>
        <w:t>و</w:t>
      </w:r>
      <w:r>
        <w:rPr>
          <w:rFonts w:hint="cs"/>
          <w:rtl/>
        </w:rPr>
        <w:t xml:space="preserve">يوفر </w:t>
      </w:r>
      <w:r w:rsidRPr="00AF3AB0">
        <w:rPr>
          <w:rtl/>
        </w:rPr>
        <w:t>مكتب الولايات المتحدة للبراءات والعلامات التجارية</w:t>
      </w:r>
      <w:r>
        <w:rPr>
          <w:rFonts w:hint="cs"/>
          <w:rtl/>
        </w:rPr>
        <w:t>، على موقعه الإلكتروني، نظام</w:t>
      </w:r>
      <w:r w:rsidRPr="00AF3AB0">
        <w:rPr>
          <w:rtl/>
        </w:rPr>
        <w:t xml:space="preserve"> </w:t>
      </w:r>
      <w:r>
        <w:rPr>
          <w:rFonts w:hint="cs"/>
          <w:rtl/>
        </w:rPr>
        <w:t>استخراج</w:t>
      </w:r>
      <w:r w:rsidRPr="00AF3AB0">
        <w:rPr>
          <w:rtl/>
        </w:rPr>
        <w:t xml:space="preserve"> معلومات طلبات البراءات </w:t>
      </w:r>
      <w:r>
        <w:rPr>
          <w:rFonts w:hint="cs"/>
          <w:rtl/>
        </w:rPr>
        <w:t>(</w:t>
      </w:r>
      <w:r w:rsidRPr="00AF3AB0">
        <w:t>PAIR</w:t>
      </w:r>
      <w:r w:rsidRPr="00AF3AB0">
        <w:rPr>
          <w:rtl/>
        </w:rPr>
        <w:t>)</w:t>
      </w:r>
      <w:r w:rsidRPr="00306C5F">
        <w:rPr>
          <w:rtl/>
        </w:rPr>
        <w:t>.</w:t>
      </w:r>
      <w:r>
        <w:rPr>
          <w:rFonts w:hint="cs"/>
          <w:rtl/>
        </w:rPr>
        <w:t xml:space="preserve"> ويمكن للمودع أن يطلع على وضع طلبات البراءات الخاصة به في أي وقت في المجال الخاص من ذلك النظام (</w:t>
      </w:r>
      <w:r w:rsidRPr="002E2E5F">
        <w:t>Private</w:t>
      </w:r>
      <w:r>
        <w:t> </w:t>
      </w:r>
      <w:r w:rsidRPr="002E2E5F">
        <w:t>PAIR</w:t>
      </w:r>
      <w:r>
        <w:rPr>
          <w:rFonts w:hint="cs"/>
          <w:rtl/>
        </w:rPr>
        <w:t>). وبالإضافة إلى ذلك، يسمح النظام العام (</w:t>
      </w:r>
      <w:r w:rsidRPr="002E2E5F">
        <w:t>Public</w:t>
      </w:r>
      <w:r>
        <w:t> </w:t>
      </w:r>
      <w:r w:rsidRPr="002E2E5F">
        <w:t>PAIR</w:t>
      </w:r>
      <w:r>
        <w:rPr>
          <w:rFonts w:hint="cs"/>
          <w:rtl/>
        </w:rPr>
        <w:t>) لطرف ثالث بالنفاذ إلى</w:t>
      </w:r>
      <w:r w:rsidRPr="00046A3F">
        <w:rPr>
          <w:rtl/>
        </w:rPr>
        <w:t xml:space="preserve"> </w:t>
      </w:r>
      <w:r>
        <w:rPr>
          <w:rFonts w:hint="cs"/>
          <w:rtl/>
        </w:rPr>
        <w:t>ال</w:t>
      </w:r>
      <w:r w:rsidRPr="00046A3F">
        <w:rPr>
          <w:rtl/>
        </w:rPr>
        <w:t xml:space="preserve">معلومات </w:t>
      </w:r>
      <w:r>
        <w:rPr>
          <w:rFonts w:hint="cs"/>
          <w:rtl/>
        </w:rPr>
        <w:t>ذات الصلة، بما في ذلك إخطار الرفض وجميع التبادلات بين المودع والمكتب، إذا أُصدرت البراءة وبعد إصدارها. وعلاوة على ذلك، وفي حال تسجيل دولي تُعيَّن فيه الولايات المتحدة الأمريكي</w:t>
      </w:r>
      <w:r>
        <w:rPr>
          <w:rFonts w:hint="eastAsia"/>
          <w:rtl/>
        </w:rPr>
        <w:t>ة</w:t>
      </w:r>
      <w:r>
        <w:rPr>
          <w:rFonts w:hint="cs"/>
          <w:rtl/>
        </w:rPr>
        <w:t>، يصبح النفاذ إلى جميع تلك الإشعارات ممكنا بعد نشر المكتب الدولي لها وأيا كان مصيرها.</w:t>
      </w:r>
    </w:p>
    <w:p w:rsidR="0042678B" w:rsidRDefault="0042678B" w:rsidP="00803575">
      <w:pPr>
        <w:pStyle w:val="NumberedParaAR"/>
      </w:pPr>
      <w:r>
        <w:rPr>
          <w:rFonts w:hint="cs"/>
          <w:rtl/>
        </w:rPr>
        <w:t xml:space="preserve">وعلى النقيض من ذلك، لا تسمح قاعدة بيانات </w:t>
      </w:r>
      <w:r w:rsidRPr="00DF6D49">
        <w:rPr>
          <w:rtl/>
        </w:rPr>
        <w:t>مكتب اليابان للبراءات</w:t>
      </w:r>
      <w:r>
        <w:rPr>
          <w:rFonts w:hint="cs"/>
          <w:rtl/>
        </w:rPr>
        <w:t> (</w:t>
      </w:r>
      <w:r>
        <w:t>J-PRAT-PAT</w:t>
      </w:r>
      <w:r>
        <w:rPr>
          <w:rFonts w:hint="cs"/>
          <w:rtl/>
        </w:rPr>
        <w:t xml:space="preserve">) </w:t>
      </w:r>
      <w:r w:rsidRPr="00DF6D49">
        <w:rPr>
          <w:rtl/>
        </w:rPr>
        <w:t>و</w:t>
      </w:r>
      <w:r>
        <w:rPr>
          <w:rFonts w:hint="cs"/>
          <w:rtl/>
        </w:rPr>
        <w:t>قاعدة بيانات ا</w:t>
      </w:r>
      <w:r w:rsidRPr="00DF6D49">
        <w:rPr>
          <w:rtl/>
        </w:rPr>
        <w:t>لمكتب الكوري للملكية الفكرية</w:t>
      </w:r>
      <w:r>
        <w:rPr>
          <w:rFonts w:hint="eastAsia"/>
          <w:rtl/>
        </w:rPr>
        <w:t> </w:t>
      </w:r>
      <w:r>
        <w:rPr>
          <w:rFonts w:hint="cs"/>
          <w:rtl/>
        </w:rPr>
        <w:t>(</w:t>
      </w:r>
      <w:r>
        <w:t>KIPRIS</w:t>
      </w:r>
      <w:r>
        <w:rPr>
          <w:rFonts w:hint="cs"/>
          <w:rtl/>
        </w:rPr>
        <w:t>) بنفاذ طرف ثالث إلى إخطارات الرفض على موقعيهما الإلكترونيين. ومع ذلك يتم، من حيث المبدأ، إتاحة جميع الإشعارا</w:t>
      </w:r>
      <w:r>
        <w:rPr>
          <w:rFonts w:hint="eastAsia"/>
          <w:rtl/>
        </w:rPr>
        <w:t>ت</w:t>
      </w:r>
      <w:r>
        <w:rPr>
          <w:rFonts w:hint="cs"/>
          <w:rtl/>
        </w:rPr>
        <w:t>، بما في ذلك إخطارات الرفض، بناء على طلب طرف ثالث، إذا سُجّل تصميم صناعي</w:t>
      </w:r>
      <w:r>
        <w:rPr>
          <w:rFonts w:hint="eastAsia"/>
          <w:rtl/>
        </w:rPr>
        <w:t> </w:t>
      </w:r>
      <w:r>
        <w:rPr>
          <w:rFonts w:hint="cs"/>
          <w:rtl/>
        </w:rPr>
        <w:t>ما وبعد تسجيله.</w:t>
      </w:r>
    </w:p>
    <w:p w:rsidR="0042678B" w:rsidRDefault="0042678B" w:rsidP="0036789D">
      <w:pPr>
        <w:pStyle w:val="Heading1"/>
        <w:rPr>
          <w:rtl/>
        </w:rPr>
      </w:pPr>
      <w:r>
        <w:rPr>
          <w:rFonts w:hint="cs"/>
          <w:rtl/>
        </w:rPr>
        <w:t>رابعا</w:t>
      </w:r>
      <w:r w:rsidRPr="00131A69">
        <w:rPr>
          <w:rFonts w:hint="cs"/>
          <w:rtl/>
        </w:rPr>
        <w:t>.</w:t>
      </w:r>
      <w:r w:rsidRPr="00131A69">
        <w:rPr>
          <w:rtl/>
        </w:rPr>
        <w:tab/>
      </w:r>
      <w:r>
        <w:rPr>
          <w:rFonts w:hint="cs"/>
          <w:rtl/>
        </w:rPr>
        <w:t>مناقشة</w:t>
      </w:r>
    </w:p>
    <w:p w:rsidR="0042678B" w:rsidRPr="008E32D3" w:rsidRDefault="0042678B" w:rsidP="0036789D">
      <w:pPr>
        <w:pStyle w:val="Heading2"/>
        <w:rPr>
          <w:rtl/>
        </w:rPr>
      </w:pPr>
      <w:r w:rsidRPr="008E32D3">
        <w:rPr>
          <w:rFonts w:hint="cs"/>
          <w:rtl/>
        </w:rPr>
        <w:t>إتاحة إخطار</w:t>
      </w:r>
      <w:r>
        <w:rPr>
          <w:rFonts w:hint="cs"/>
          <w:rtl/>
        </w:rPr>
        <w:t xml:space="preserve"> </w:t>
      </w:r>
      <w:r w:rsidRPr="008E32D3">
        <w:rPr>
          <w:rFonts w:hint="cs"/>
          <w:rtl/>
        </w:rPr>
        <w:t>الر</w:t>
      </w:r>
      <w:r>
        <w:rPr>
          <w:rFonts w:hint="cs"/>
          <w:rtl/>
        </w:rPr>
        <w:t>فض على الموقع الإلكتروني للويبو</w:t>
      </w:r>
    </w:p>
    <w:p w:rsidR="0042678B" w:rsidRDefault="0042678B" w:rsidP="00803575">
      <w:pPr>
        <w:pStyle w:val="NumberedParaAR"/>
      </w:pPr>
      <w:r>
        <w:rPr>
          <w:rFonts w:hint="cs"/>
          <w:rtl/>
        </w:rPr>
        <w:t>إذا اعتبر الفريق العامل أنه ينبغي للمكتب الدولي وقف تحميل نسخة</w:t>
      </w:r>
      <w:r>
        <w:rPr>
          <w:rFonts w:hint="eastAsia"/>
          <w:rtl/>
        </w:rPr>
        <w:t> </w:t>
      </w:r>
      <w:r w:rsidRPr="008E32D3">
        <w:rPr>
          <w:lang w:val="fr-CH"/>
        </w:rPr>
        <w:t>PDF</w:t>
      </w:r>
      <w:r>
        <w:rPr>
          <w:rFonts w:hint="cs"/>
          <w:rtl/>
          <w:lang w:val="fr-CH"/>
        </w:rPr>
        <w:t xml:space="preserve"> </w:t>
      </w:r>
      <w:r>
        <w:rPr>
          <w:rFonts w:hint="cs"/>
          <w:rtl/>
          <w:lang w:val="en-GB" w:bidi="ar-MA"/>
        </w:rPr>
        <w:t>على الموقع الإلكتروني للويبو، لأي إخطار بالرفض استلمه المكتب الدولي</w:t>
      </w:r>
      <w:r w:rsidRPr="007D6C61">
        <w:rPr>
          <w:rFonts w:hint="cs"/>
          <w:rtl/>
          <w:lang w:val="en-GB" w:bidi="ar-MA"/>
        </w:rPr>
        <w:t xml:space="preserve"> </w:t>
      </w:r>
      <w:r>
        <w:rPr>
          <w:rFonts w:hint="cs"/>
          <w:rtl/>
          <w:lang w:val="en-GB" w:bidi="ar-MA"/>
        </w:rPr>
        <w:t>ودوّنه، جاز له أن يشير إلى ذلك.</w:t>
      </w:r>
    </w:p>
    <w:p w:rsidR="0042678B" w:rsidRPr="007D6C61" w:rsidRDefault="0042678B" w:rsidP="00803575">
      <w:pPr>
        <w:pStyle w:val="Heading2AR"/>
        <w:spacing w:after="240" w:line="360" w:lineRule="exact"/>
        <w:rPr>
          <w:rtl/>
        </w:rPr>
      </w:pPr>
      <w:r w:rsidRPr="007D6C61">
        <w:rPr>
          <w:rFonts w:hint="cs"/>
          <w:rtl/>
        </w:rPr>
        <w:t xml:space="preserve">إتاحة </w:t>
      </w:r>
      <w:r>
        <w:rPr>
          <w:rFonts w:hint="cs"/>
          <w:rtl/>
        </w:rPr>
        <w:t xml:space="preserve">إخطار </w:t>
      </w:r>
      <w:r w:rsidRPr="007D6C61">
        <w:rPr>
          <w:rFonts w:hint="cs"/>
          <w:rtl/>
        </w:rPr>
        <w:t>الرفض إذا لم ي</w:t>
      </w:r>
      <w:r>
        <w:rPr>
          <w:rFonts w:hint="cs"/>
          <w:rtl/>
        </w:rPr>
        <w:t>ُ</w:t>
      </w:r>
      <w:r w:rsidRPr="007D6C61">
        <w:rPr>
          <w:rFonts w:hint="cs"/>
          <w:rtl/>
        </w:rPr>
        <w:t xml:space="preserve">سحب </w:t>
      </w:r>
      <w:r>
        <w:rPr>
          <w:rFonts w:hint="cs"/>
          <w:rtl/>
        </w:rPr>
        <w:t>بناء على</w:t>
      </w:r>
      <w:r w:rsidRPr="007D6C61">
        <w:rPr>
          <w:rFonts w:hint="cs"/>
          <w:rtl/>
        </w:rPr>
        <w:t xml:space="preserve"> طلب</w:t>
      </w:r>
    </w:p>
    <w:p w:rsidR="0042678B" w:rsidRDefault="0042678B" w:rsidP="00803575">
      <w:pPr>
        <w:pStyle w:val="NumberedParaAR"/>
      </w:pPr>
      <w:r>
        <w:rPr>
          <w:rFonts w:hint="cs"/>
          <w:rtl/>
        </w:rPr>
        <w:t>سيستمر المكتب الدولي في إتاحة نسخة من إخطار الرفض لطرف ثالث، مقابل دفع رسم، عندما يطلب ذلك بموجب القاعدة 32(1) "2" أو"3".</w:t>
      </w:r>
    </w:p>
    <w:p w:rsidR="0042678B" w:rsidRDefault="0042678B" w:rsidP="00803575">
      <w:pPr>
        <w:pStyle w:val="NumberedParaAR"/>
        <w:rPr>
          <w:rtl/>
        </w:rPr>
      </w:pPr>
      <w:r>
        <w:rPr>
          <w:rFonts w:hint="cs"/>
          <w:rtl/>
        </w:rPr>
        <w:t xml:space="preserve">وكما ذُكر في البند السابق، وبموجب تشريعات اليابان وجمهورية كوريا والولايات المتحدة الأمريكية، تُتاح للجمهور جميع الإشعارات الوجيهة المتعلقة بأي طلبات وطنية </w:t>
      </w:r>
      <w:r w:rsidRPr="007D6C61">
        <w:rPr>
          <w:rFonts w:hint="cs"/>
          <w:u w:val="single"/>
          <w:rtl/>
        </w:rPr>
        <w:t>بعد تسجيل التصميم أو حمايته ببراءة</w:t>
      </w:r>
      <w:r>
        <w:rPr>
          <w:rFonts w:hint="cs"/>
          <w:rtl/>
        </w:rPr>
        <w:t>، سواء على الموقع الإلكتروني أو</w:t>
      </w:r>
      <w:r>
        <w:rPr>
          <w:rFonts w:hint="eastAsia"/>
          <w:rtl/>
        </w:rPr>
        <w:t> </w:t>
      </w:r>
      <w:r>
        <w:rPr>
          <w:rFonts w:hint="cs"/>
          <w:rtl/>
        </w:rPr>
        <w:t>بناء على الطلب.</w:t>
      </w:r>
    </w:p>
    <w:p w:rsidR="0042678B" w:rsidRDefault="0042678B" w:rsidP="00803575">
      <w:pPr>
        <w:spacing w:after="240" w:line="360" w:lineRule="exact"/>
        <w:rPr>
          <w:rFonts w:ascii="Arabic Typesetting" w:hAnsi="Arabic Typesetting" w:cs="Arabic Typesetting"/>
          <w:sz w:val="36"/>
          <w:szCs w:val="36"/>
          <w:rtl/>
        </w:rPr>
      </w:pPr>
      <w:r>
        <w:rPr>
          <w:rtl/>
        </w:rPr>
        <w:br w:type="page"/>
      </w:r>
    </w:p>
    <w:p w:rsidR="0042678B" w:rsidRDefault="0042678B" w:rsidP="00803575">
      <w:pPr>
        <w:pStyle w:val="NumberedParaAR"/>
      </w:pPr>
      <w:r>
        <w:rPr>
          <w:rFonts w:hint="cs"/>
          <w:rtl/>
        </w:rPr>
        <w:lastRenderedPageBreak/>
        <w:t>وبالتالي، يمكن اغتمام هذه الفرصة لتوضيح ما إذا كان ينبغي للمكتب الدولي وقف الكشف عن إخطارات الرفض، ما</w:t>
      </w:r>
      <w:r>
        <w:rPr>
          <w:rFonts w:hint="eastAsia"/>
          <w:rtl/>
        </w:rPr>
        <w:t> </w:t>
      </w:r>
      <w:r>
        <w:rPr>
          <w:rFonts w:hint="cs"/>
          <w:rtl/>
        </w:rPr>
        <w:t>لم يُسحب الرفض وحتى سحبه، أو اتباعه، بدلا من ذلك، ببيان بمنح الحماية طبقا للقاعدة 18</w:t>
      </w:r>
      <w:r>
        <w:rPr>
          <w:rFonts w:hint="cs"/>
          <w:vertAlign w:val="superscript"/>
          <w:rtl/>
        </w:rPr>
        <w:t>(ثانيا)</w:t>
      </w:r>
      <w:r>
        <w:rPr>
          <w:rFonts w:hint="cs"/>
          <w:rtl/>
        </w:rPr>
        <w:t>(2).</w:t>
      </w:r>
    </w:p>
    <w:p w:rsidR="0042678B" w:rsidRDefault="0042678B" w:rsidP="00803575">
      <w:pPr>
        <w:pStyle w:val="DecisionParaAR"/>
      </w:pPr>
      <w:r>
        <w:rPr>
          <w:rtl/>
        </w:rPr>
        <w:t>إن الفريق العامل مدعو</w:t>
      </w:r>
      <w:r>
        <w:rPr>
          <w:rFonts w:hint="cs"/>
          <w:rtl/>
        </w:rPr>
        <w:t xml:space="preserve"> </w:t>
      </w:r>
      <w:r>
        <w:rPr>
          <w:rtl/>
        </w:rPr>
        <w:t>إلى ما يلي:</w:t>
      </w:r>
    </w:p>
    <w:p w:rsidR="0042678B" w:rsidRDefault="0042678B" w:rsidP="0036789D">
      <w:pPr>
        <w:pStyle w:val="DecisionParaAR"/>
        <w:numPr>
          <w:ilvl w:val="0"/>
          <w:numId w:val="0"/>
        </w:numPr>
        <w:ind w:left="6236"/>
      </w:pPr>
      <w:r>
        <w:rPr>
          <w:rtl/>
        </w:rPr>
        <w:t>"1"</w:t>
      </w:r>
      <w:r>
        <w:rPr>
          <w:rFonts w:hint="cs"/>
          <w:rtl/>
        </w:rPr>
        <w:t>مناقشة القضية المطروحة</w:t>
      </w:r>
      <w:r>
        <w:rPr>
          <w:rtl/>
        </w:rPr>
        <w:t xml:space="preserve"> في هذ</w:t>
      </w:r>
      <w:r w:rsidR="0036789D">
        <w:rPr>
          <w:rFonts w:hint="cs"/>
          <w:rtl/>
        </w:rPr>
        <w:t>ه</w:t>
      </w:r>
      <w:r>
        <w:rPr>
          <w:rFonts w:hint="cs"/>
          <w:rtl/>
        </w:rPr>
        <w:t> </w:t>
      </w:r>
      <w:r>
        <w:rPr>
          <w:rtl/>
        </w:rPr>
        <w:t>الوثيقة والتعليق عليه</w:t>
      </w:r>
      <w:r>
        <w:rPr>
          <w:rFonts w:hint="cs"/>
          <w:rtl/>
        </w:rPr>
        <w:t>ا</w:t>
      </w:r>
      <w:r>
        <w:rPr>
          <w:rtl/>
        </w:rPr>
        <w:t>؛</w:t>
      </w:r>
    </w:p>
    <w:p w:rsidR="0042678B" w:rsidRDefault="0042678B" w:rsidP="0036789D">
      <w:pPr>
        <w:pStyle w:val="DecisionParaAR"/>
        <w:numPr>
          <w:ilvl w:val="0"/>
          <w:numId w:val="0"/>
        </w:numPr>
        <w:ind w:left="6236"/>
        <w:rPr>
          <w:rtl/>
        </w:rPr>
      </w:pPr>
      <w:r>
        <w:rPr>
          <w:rtl/>
        </w:rPr>
        <w:t>"2"</w:t>
      </w:r>
      <w:r>
        <w:rPr>
          <w:rFonts w:hint="cs"/>
          <w:rtl/>
        </w:rPr>
        <w:tab/>
        <w:t>و</w:t>
      </w:r>
      <w:r>
        <w:rPr>
          <w:rtl/>
        </w:rPr>
        <w:t xml:space="preserve">بيان </w:t>
      </w:r>
      <w:r>
        <w:rPr>
          <w:rFonts w:hint="cs"/>
          <w:rtl/>
        </w:rPr>
        <w:t>ما إذا كان يوصي المكتب الدولي بإدخال تغيير ما على ممارسته المتعلقة بإتاحة إخطارات الرفض للجمهور.</w:t>
      </w:r>
    </w:p>
    <w:p w:rsidR="0042678B" w:rsidRDefault="0042678B" w:rsidP="0036789D">
      <w:pPr>
        <w:pStyle w:val="EndofDocumentAR"/>
        <w:spacing w:before="480"/>
      </w:pPr>
      <w:r>
        <w:rPr>
          <w:rFonts w:hint="cs"/>
          <w:rtl/>
        </w:rPr>
        <w:t>[يلي ذلك المرفق]</w:t>
      </w:r>
    </w:p>
    <w:p w:rsidR="0042678B" w:rsidRDefault="0042678B" w:rsidP="0042678B">
      <w:pPr>
        <w:pStyle w:val="EndofDocumentAR"/>
        <w:rPr>
          <w:rtl/>
        </w:rPr>
        <w:sectPr w:rsidR="0042678B" w:rsidSect="00EB7752">
          <w:headerReference w:type="default" r:id="rId9"/>
          <w:pgSz w:w="11907" w:h="16840" w:code="9"/>
          <w:pgMar w:top="567" w:right="1418" w:bottom="1418" w:left="1134" w:header="510" w:footer="1021" w:gutter="0"/>
          <w:cols w:space="720"/>
          <w:titlePg/>
          <w:docGrid w:linePitch="299"/>
        </w:sectPr>
      </w:pPr>
    </w:p>
    <w:p w:rsidR="0042678B" w:rsidRDefault="00556BBC" w:rsidP="0042678B">
      <w:pPr>
        <w:pStyle w:val="NormalParaAR"/>
        <w:spacing w:line="240" w:lineRule="auto"/>
        <w:jc w:val="center"/>
        <w:rPr>
          <w:rtl/>
        </w:rPr>
      </w:pPr>
      <w:r>
        <w:rPr>
          <w:noProof/>
        </w:rPr>
        <w:lastRenderedPageBreak/>
        <w:drawing>
          <wp:inline distT="0" distB="0" distL="0" distR="0" wp14:anchorId="56901AAD">
            <wp:extent cx="7725336" cy="50038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28302" cy="5005721"/>
                    </a:xfrm>
                    <a:prstGeom prst="rect">
                      <a:avLst/>
                    </a:prstGeom>
                    <a:noFill/>
                  </pic:spPr>
                </pic:pic>
              </a:graphicData>
            </a:graphic>
          </wp:inline>
        </w:drawing>
      </w:r>
    </w:p>
    <w:p w:rsidR="0042678B" w:rsidRPr="00812150" w:rsidRDefault="0042678B" w:rsidP="0042678B">
      <w:pPr>
        <w:pStyle w:val="EndofDocumentAR"/>
      </w:pPr>
      <w:r>
        <w:rPr>
          <w:rFonts w:hint="cs"/>
          <w:rtl/>
        </w:rPr>
        <w:t>[نهاية المرفق والوثيقة]</w:t>
      </w:r>
    </w:p>
    <w:sectPr w:rsidR="0042678B" w:rsidRPr="00812150" w:rsidSect="00556BBC">
      <w:headerReference w:type="default" r:id="rId11"/>
      <w:headerReference w:type="first" r:id="rId12"/>
      <w:pgSz w:w="16840" w:h="11907" w:orient="landscape" w:code="9"/>
      <w:pgMar w:top="1134" w:right="1134" w:bottom="1134"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9C" w:rsidRDefault="005A599C">
      <w:r>
        <w:separator/>
      </w:r>
    </w:p>
  </w:endnote>
  <w:endnote w:type="continuationSeparator" w:id="0">
    <w:p w:rsidR="005A599C" w:rsidRDefault="005A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9C" w:rsidRDefault="005A599C" w:rsidP="009622BF">
      <w:pPr>
        <w:bidi/>
      </w:pPr>
      <w:bookmarkStart w:id="0" w:name="OLE_LINK1"/>
      <w:bookmarkStart w:id="1" w:name="OLE_LINK2"/>
      <w:r>
        <w:separator/>
      </w:r>
      <w:bookmarkEnd w:id="0"/>
      <w:bookmarkEnd w:id="1"/>
    </w:p>
  </w:footnote>
  <w:footnote w:type="continuationSeparator" w:id="0">
    <w:p w:rsidR="005A599C" w:rsidRDefault="005A599C" w:rsidP="009622BF">
      <w:pPr>
        <w:bidi/>
      </w:pPr>
      <w:r>
        <w:separator/>
      </w:r>
    </w:p>
  </w:footnote>
  <w:footnote w:id="1">
    <w:p w:rsidR="0042678B" w:rsidRDefault="0042678B" w:rsidP="0042678B">
      <w:pPr>
        <w:pStyle w:val="FootnoteText"/>
        <w:rPr>
          <w:lang w:bidi="ar-MA"/>
        </w:rPr>
      </w:pPr>
      <w:r>
        <w:rPr>
          <w:rStyle w:val="FootnoteReference"/>
        </w:rPr>
        <w:footnoteRef/>
      </w:r>
      <w:r>
        <w:rPr>
          <w:rFonts w:hint="cs"/>
          <w:rtl/>
        </w:rPr>
        <w:tab/>
      </w:r>
      <w:r>
        <w:rPr>
          <w:rFonts w:hint="cs"/>
          <w:rtl/>
          <w:lang w:bidi="ar-MA"/>
        </w:rPr>
        <w:t>يرجى الرجوع إلى الفقرات من 12 إلى 31 من الوثيقة</w:t>
      </w:r>
      <w:r>
        <w:rPr>
          <w:rFonts w:hint="eastAsia"/>
          <w:rtl/>
          <w:lang w:bidi="ar-MA"/>
        </w:rPr>
        <w:t> </w:t>
      </w:r>
      <w:r w:rsidRPr="003F660A">
        <w:rPr>
          <w:lang w:bidi="ar-MA"/>
        </w:rPr>
        <w:t>H/A/34/2</w:t>
      </w:r>
      <w:r>
        <w:rPr>
          <w:rFonts w:hint="cs"/>
          <w:rtl/>
          <w:lang w:bidi="ar-MA"/>
        </w:rPr>
        <w:t>.</w:t>
      </w:r>
    </w:p>
  </w:footnote>
  <w:footnote w:id="2">
    <w:p w:rsidR="0042678B" w:rsidRDefault="0042678B" w:rsidP="0042678B">
      <w:pPr>
        <w:pStyle w:val="FootnoteText"/>
        <w:rPr>
          <w:lang w:bidi="ar-MA"/>
        </w:rPr>
      </w:pPr>
      <w:r>
        <w:rPr>
          <w:rStyle w:val="FootnoteReference"/>
        </w:rPr>
        <w:footnoteRef/>
      </w:r>
      <w:r>
        <w:rPr>
          <w:rFonts w:hint="cs"/>
          <w:rtl/>
        </w:rPr>
        <w:tab/>
        <w:t xml:space="preserve">تُتاح بالطريقة نفسها </w:t>
      </w:r>
      <w:r w:rsidRPr="0064208C">
        <w:rPr>
          <w:rtl/>
        </w:rPr>
        <w:t>إخ</w:t>
      </w:r>
      <w:r>
        <w:rPr>
          <w:rtl/>
        </w:rPr>
        <w:t>طارات الإبطال بموجب القاعدة 20(1) و</w:t>
      </w:r>
      <w:r w:rsidRPr="0064208C">
        <w:rPr>
          <w:rtl/>
        </w:rPr>
        <w:t>إخطارات رف</w:t>
      </w:r>
      <w:r>
        <w:rPr>
          <w:rtl/>
        </w:rPr>
        <w:t>ض آثار التصحيح بموجب القاعدة 22(2)</w:t>
      </w:r>
      <w:r w:rsidRPr="0064208C">
        <w:rPr>
          <w:rtl/>
        </w:rPr>
        <w:t>.</w:t>
      </w:r>
    </w:p>
  </w:footnote>
  <w:footnote w:id="3">
    <w:p w:rsidR="0042678B" w:rsidRDefault="0042678B" w:rsidP="0042678B">
      <w:pPr>
        <w:pStyle w:val="FootnoteText"/>
        <w:rPr>
          <w:lang w:bidi="ar-MA"/>
        </w:rPr>
      </w:pPr>
      <w:r>
        <w:rPr>
          <w:rStyle w:val="FootnoteReference"/>
        </w:rPr>
        <w:footnoteRef/>
      </w:r>
      <w:r>
        <w:rPr>
          <w:rFonts w:hint="cs"/>
          <w:rtl/>
        </w:rPr>
        <w:tab/>
        <w:t>تُتاح النُسخ</w:t>
      </w:r>
      <w:r w:rsidRPr="003B1AE4">
        <w:rPr>
          <w:rtl/>
        </w:rPr>
        <w:t xml:space="preserve"> </w:t>
      </w:r>
      <w:r>
        <w:rPr>
          <w:rFonts w:hint="cs"/>
          <w:rtl/>
        </w:rPr>
        <w:t>المصدَّقة و</w:t>
      </w:r>
      <w:r w:rsidRPr="008860F7">
        <w:rPr>
          <w:rtl/>
        </w:rPr>
        <w:t xml:space="preserve">غير </w:t>
      </w:r>
      <w:r>
        <w:rPr>
          <w:rFonts w:hint="cs"/>
          <w:rtl/>
        </w:rPr>
        <w:t>ال</w:t>
      </w:r>
      <w:r>
        <w:rPr>
          <w:rtl/>
        </w:rPr>
        <w:t>م</w:t>
      </w:r>
      <w:r w:rsidRPr="008860F7">
        <w:rPr>
          <w:rtl/>
        </w:rPr>
        <w:t xml:space="preserve">صدَّقة </w:t>
      </w:r>
      <w:r>
        <w:rPr>
          <w:rFonts w:hint="cs"/>
          <w:rtl/>
        </w:rPr>
        <w:t xml:space="preserve">عن أمور مدوّنة </w:t>
      </w:r>
      <w:r w:rsidRPr="00480113">
        <w:rPr>
          <w:rtl/>
        </w:rPr>
        <w:t xml:space="preserve">في السجل الدولي أو </w:t>
      </w:r>
      <w:r>
        <w:rPr>
          <w:rFonts w:hint="cs"/>
          <w:rtl/>
        </w:rPr>
        <w:t>عن</w:t>
      </w:r>
      <w:r w:rsidRPr="00480113">
        <w:rPr>
          <w:rtl/>
        </w:rPr>
        <w:t xml:space="preserve"> عناصر واردة في ملف التسجيل الدولي</w:t>
      </w:r>
      <w:r>
        <w:rPr>
          <w:rFonts w:hint="cs"/>
          <w:rtl/>
        </w:rPr>
        <w:t xml:space="preserve"> </w:t>
      </w:r>
      <w:r w:rsidRPr="003B1AE4">
        <w:rPr>
          <w:rtl/>
        </w:rPr>
        <w:t xml:space="preserve">(القاعدة 32 (1) </w:t>
      </w:r>
      <w:r>
        <w:rPr>
          <w:rFonts w:hint="cs"/>
          <w:rtl/>
        </w:rPr>
        <w:t xml:space="preserve">"2" </w:t>
      </w:r>
      <w:r w:rsidRPr="003B1AE4">
        <w:rPr>
          <w:rtl/>
        </w:rPr>
        <w:t>أو</w:t>
      </w:r>
      <w:r>
        <w:rPr>
          <w:rFonts w:hint="cs"/>
          <w:rtl/>
        </w:rPr>
        <w:t> "3"</w:t>
      </w:r>
      <w:r w:rsidRPr="003B1AE4">
        <w:rPr>
          <w:rtl/>
        </w:rPr>
        <w:t>).</w:t>
      </w:r>
    </w:p>
  </w:footnote>
  <w:footnote w:id="4">
    <w:p w:rsidR="0042678B" w:rsidRPr="00803575" w:rsidRDefault="0042678B" w:rsidP="0042678B">
      <w:pPr>
        <w:pStyle w:val="FootnoteText"/>
        <w:rPr>
          <w:lang w:bidi="ar-MA"/>
        </w:rPr>
      </w:pPr>
      <w:r>
        <w:rPr>
          <w:rStyle w:val="FootnoteReference"/>
        </w:rPr>
        <w:footnoteRef/>
      </w:r>
      <w:r>
        <w:rPr>
          <w:rFonts w:hint="cs"/>
          <w:rtl/>
        </w:rPr>
        <w:tab/>
        <w:t>ي</w:t>
      </w:r>
      <w:r w:rsidRPr="00153E22">
        <w:rPr>
          <w:rtl/>
        </w:rPr>
        <w:t xml:space="preserve">جدر </w:t>
      </w:r>
      <w:r>
        <w:rPr>
          <w:rFonts w:hint="cs"/>
          <w:rtl/>
        </w:rPr>
        <w:t>التذكير بأن</w:t>
      </w:r>
      <w:r>
        <w:rPr>
          <w:rtl/>
        </w:rPr>
        <w:t xml:space="preserve"> الفريق </w:t>
      </w:r>
      <w:r w:rsidRPr="00803575">
        <w:rPr>
          <w:rtl/>
        </w:rPr>
        <w:t>العامل ناقش، في دورته الخامسة، اقتراحا بالتوصيات المتعلقة بالكشف عن التصميم الصناعي في طلب دولي (الوثيقة</w:t>
      </w:r>
      <w:r w:rsidRPr="00803575">
        <w:rPr>
          <w:rFonts w:hint="cs"/>
          <w:rtl/>
        </w:rPr>
        <w:t> </w:t>
      </w:r>
      <w:r w:rsidRPr="00803575">
        <w:t>H/LD/WG/5/4</w:t>
      </w:r>
      <w:r w:rsidRPr="00803575">
        <w:rPr>
          <w:rFonts w:hint="cs"/>
          <w:rtl/>
        </w:rPr>
        <w:t xml:space="preserve">) </w:t>
      </w:r>
      <w:r w:rsidRPr="00803575">
        <w:rPr>
          <w:rtl/>
        </w:rPr>
        <w:t xml:space="preserve">ونتيجة لذلك، تم </w:t>
      </w:r>
      <w:r w:rsidRPr="00803575">
        <w:rPr>
          <w:rFonts w:hint="cs"/>
          <w:rtl/>
        </w:rPr>
        <w:t>إعداد</w:t>
      </w:r>
      <w:r w:rsidRPr="00803575">
        <w:rPr>
          <w:rtl/>
        </w:rPr>
        <w:t xml:space="preserve"> "</w:t>
      </w:r>
      <w:hyperlink r:id="rId1" w:history="1">
        <w:r w:rsidRPr="00CD657F">
          <w:rPr>
            <w:rStyle w:val="Hyperlink"/>
            <w:color w:val="auto"/>
            <w:u w:val="none"/>
            <w:rtl/>
          </w:rPr>
          <w:t>الإرشادات الخاصة بإعداد النُسخ وتقديمها لتلافي حالات الرفض المحتملة من قبل المكاتب الفاحصة بسبب عدم كفاية الكشف عن تصميم صناعي</w:t>
        </w:r>
      </w:hyperlink>
      <w:r w:rsidRPr="00CD657F">
        <w:rPr>
          <w:rtl/>
        </w:rPr>
        <w:t>" في أغسط</w:t>
      </w:r>
      <w:r w:rsidRPr="00803575">
        <w:rPr>
          <w:rtl/>
        </w:rPr>
        <w:t>س 2016.</w:t>
      </w:r>
    </w:p>
  </w:footnote>
  <w:footnote w:id="5">
    <w:p w:rsidR="0042678B" w:rsidRDefault="0042678B" w:rsidP="0042678B">
      <w:pPr>
        <w:pStyle w:val="FootnoteText"/>
        <w:rPr>
          <w:lang w:bidi="ar-MA"/>
        </w:rPr>
      </w:pPr>
      <w:r w:rsidRPr="00803575">
        <w:rPr>
          <w:rStyle w:val="FootnoteReference"/>
        </w:rPr>
        <w:footnoteRef/>
      </w:r>
      <w:r w:rsidRPr="00803575">
        <w:rPr>
          <w:rFonts w:hint="cs"/>
          <w:rtl/>
        </w:rPr>
        <w:tab/>
        <w:t>تُتاح</w:t>
      </w:r>
      <w:r w:rsidRPr="00803575">
        <w:rPr>
          <w:rtl/>
        </w:rPr>
        <w:t xml:space="preserve"> ن</w:t>
      </w:r>
      <w:r w:rsidRPr="00803575">
        <w:rPr>
          <w:rFonts w:hint="cs"/>
          <w:rtl/>
        </w:rPr>
        <w:t>ُ</w:t>
      </w:r>
      <w:r w:rsidRPr="00803575">
        <w:rPr>
          <w:rtl/>
        </w:rPr>
        <w:t>سخ</w:t>
      </w:r>
      <w:r w:rsidRPr="00803575">
        <w:rPr>
          <w:rFonts w:hint="eastAsia"/>
          <w:rtl/>
        </w:rPr>
        <w:t> </w:t>
      </w:r>
      <w:r w:rsidRPr="00803575">
        <w:t>PDF</w:t>
      </w:r>
      <w:r w:rsidRPr="00803575">
        <w:rPr>
          <w:rtl/>
        </w:rPr>
        <w:t xml:space="preserve"> </w:t>
      </w:r>
      <w:r w:rsidRPr="00803575">
        <w:rPr>
          <w:rFonts w:hint="cs"/>
          <w:rtl/>
        </w:rPr>
        <w:t>ل</w:t>
      </w:r>
      <w:r w:rsidRPr="00803575">
        <w:rPr>
          <w:rtl/>
        </w:rPr>
        <w:t xml:space="preserve">مختلف أنواع الإخطارات </w:t>
      </w:r>
      <w:r w:rsidRPr="00803575">
        <w:rPr>
          <w:rFonts w:hint="cs"/>
          <w:rtl/>
        </w:rPr>
        <w:t>المُستلمة من</w:t>
      </w:r>
      <w:r w:rsidRPr="00803575">
        <w:rPr>
          <w:rtl/>
        </w:rPr>
        <w:t xml:space="preserve"> مكتب الطرف المتعاقد المعي</w:t>
      </w:r>
      <w:r w:rsidRPr="00803575">
        <w:rPr>
          <w:rFonts w:hint="cs"/>
          <w:rtl/>
        </w:rPr>
        <w:t>ّ</w:t>
      </w:r>
      <w:r w:rsidRPr="00803575">
        <w:rPr>
          <w:rtl/>
        </w:rPr>
        <w:t xml:space="preserve">ن، بما في ذلك </w:t>
      </w:r>
      <w:r w:rsidRPr="00803575">
        <w:rPr>
          <w:rFonts w:hint="cs"/>
          <w:rtl/>
        </w:rPr>
        <w:t>ال</w:t>
      </w:r>
      <w:r w:rsidRPr="00803575">
        <w:rPr>
          <w:rtl/>
        </w:rPr>
        <w:t xml:space="preserve">إخطار بالرفض المؤقت، على </w:t>
      </w:r>
      <w:r w:rsidRPr="00803575">
        <w:rPr>
          <w:rFonts w:hint="cs"/>
          <w:rtl/>
        </w:rPr>
        <w:t>ال</w:t>
      </w:r>
      <w:r w:rsidRPr="00803575">
        <w:rPr>
          <w:rtl/>
        </w:rPr>
        <w:t>موقع</w:t>
      </w:r>
      <w:r w:rsidRPr="00803575">
        <w:rPr>
          <w:rFonts w:hint="cs"/>
          <w:rtl/>
        </w:rPr>
        <w:t xml:space="preserve"> الإلكتروني</w:t>
      </w:r>
      <w:r w:rsidRPr="00803575">
        <w:rPr>
          <w:rtl/>
        </w:rPr>
        <w:t xml:space="preserve"> </w:t>
      </w:r>
      <w:r w:rsidRPr="00803575">
        <w:rPr>
          <w:rFonts w:hint="cs"/>
          <w:rtl/>
        </w:rPr>
        <w:t>ل</w:t>
      </w:r>
      <w:r w:rsidRPr="00803575">
        <w:rPr>
          <w:rtl/>
        </w:rPr>
        <w:t xml:space="preserve">لويبو </w:t>
      </w:r>
      <w:r w:rsidRPr="00803575">
        <w:rPr>
          <w:rFonts w:hint="cs"/>
          <w:rtl/>
        </w:rPr>
        <w:t>بموجب</w:t>
      </w:r>
      <w:r w:rsidRPr="00803575">
        <w:rPr>
          <w:rtl/>
        </w:rPr>
        <w:t xml:space="preserve"> نظام مدريد منذ يناير 2005.</w:t>
      </w:r>
    </w:p>
  </w:footnote>
  <w:footnote w:id="6">
    <w:p w:rsidR="0042678B" w:rsidRDefault="0042678B" w:rsidP="0042678B">
      <w:pPr>
        <w:pStyle w:val="FootnoteText"/>
        <w:rPr>
          <w:lang w:bidi="ar-MA"/>
        </w:rPr>
      </w:pPr>
      <w:r>
        <w:rPr>
          <w:rStyle w:val="FootnoteReference"/>
        </w:rPr>
        <w:footnoteRef/>
      </w:r>
      <w:r>
        <w:rPr>
          <w:rFonts w:hint="cs"/>
          <w:rtl/>
        </w:rPr>
        <w:tab/>
      </w:r>
      <w:r w:rsidRPr="00050B0F">
        <w:rPr>
          <w:rtl/>
        </w:rPr>
        <w:t xml:space="preserve">تجدر الإشارة إلى أن مكتب اليابان للبراءات يصدر </w:t>
      </w:r>
      <w:r>
        <w:rPr>
          <w:rFonts w:hint="cs"/>
          <w:rtl/>
        </w:rPr>
        <w:t>إخطارا</w:t>
      </w:r>
      <w:r>
        <w:rPr>
          <w:rtl/>
        </w:rPr>
        <w:t xml:space="preserve"> </w:t>
      </w:r>
      <w:r>
        <w:rPr>
          <w:rFonts w:hint="cs"/>
          <w:rtl/>
        </w:rPr>
        <w:t xml:space="preserve">واحدا </w:t>
      </w:r>
      <w:r>
        <w:rPr>
          <w:rtl/>
        </w:rPr>
        <w:t>بالرفض لكل تصميم</w:t>
      </w:r>
      <w:r w:rsidRPr="00050B0F">
        <w:rPr>
          <w:rtl/>
        </w:rPr>
        <w:t>، إذا احتوى التسجيل الدولي على أكثر من تصميم صناعي</w:t>
      </w:r>
      <w:r>
        <w:rPr>
          <w:rFonts w:hint="cs"/>
          <w:rtl/>
        </w:rPr>
        <w:t> </w:t>
      </w:r>
      <w:r w:rsidRPr="00050B0F">
        <w:rPr>
          <w:rtl/>
        </w:rPr>
        <w:t>واحد.</w:t>
      </w:r>
    </w:p>
  </w:footnote>
  <w:footnote w:id="7">
    <w:p w:rsidR="0042678B" w:rsidRDefault="0042678B" w:rsidP="0042678B">
      <w:pPr>
        <w:pStyle w:val="FootnoteText"/>
        <w:rPr>
          <w:lang w:bidi="ar-MA"/>
        </w:rPr>
      </w:pPr>
      <w:r>
        <w:rPr>
          <w:rStyle w:val="FootnoteReference"/>
        </w:rPr>
        <w:footnoteRef/>
      </w:r>
      <w:r>
        <w:rPr>
          <w:rFonts w:hint="cs"/>
          <w:rtl/>
        </w:rPr>
        <w:tab/>
      </w:r>
      <w:r>
        <w:rPr>
          <w:rFonts w:hint="cs"/>
          <w:rtl/>
          <w:lang w:bidi="ar-MA"/>
        </w:rPr>
        <w:t>يرجى الرجوع إلى مشروع القاعدة 24(1)"2" من الوثيقة</w:t>
      </w:r>
      <w:r>
        <w:rPr>
          <w:rFonts w:hint="eastAsia"/>
          <w:rtl/>
          <w:lang w:bidi="ar-MA"/>
        </w:rPr>
        <w:t> </w:t>
      </w:r>
      <w:r w:rsidRPr="003339B6">
        <w:rPr>
          <w:lang w:bidi="ar-MA"/>
        </w:rPr>
        <w:t>H/CE/VII/4</w:t>
      </w:r>
      <w:r>
        <w:rPr>
          <w:rFonts w:hint="cs"/>
          <w:rtl/>
          <w:lang w:bidi="ar-MA"/>
        </w:rPr>
        <w:t>.</w:t>
      </w:r>
    </w:p>
  </w:footnote>
  <w:footnote w:id="8">
    <w:p w:rsidR="0042678B" w:rsidRDefault="0042678B" w:rsidP="00981199">
      <w:pPr>
        <w:pStyle w:val="FootnoteText"/>
        <w:rPr>
          <w:lang w:bidi="ar-MA"/>
        </w:rPr>
      </w:pPr>
      <w:r>
        <w:rPr>
          <w:rStyle w:val="FootnoteReference"/>
        </w:rPr>
        <w:footnoteRef/>
      </w:r>
      <w:r>
        <w:rPr>
          <w:rFonts w:hint="cs"/>
          <w:rtl/>
        </w:rPr>
        <w:tab/>
      </w:r>
      <w:r w:rsidRPr="00C95A12">
        <w:rPr>
          <w:rtl/>
        </w:rPr>
        <w:t>يرجى الرجوع</w:t>
      </w:r>
      <w:r>
        <w:rPr>
          <w:rFonts w:hint="cs"/>
          <w:rtl/>
        </w:rPr>
        <w:t xml:space="preserve"> إلى</w:t>
      </w:r>
      <w:r w:rsidRPr="00422092">
        <w:rPr>
          <w:rtl/>
        </w:rPr>
        <w:t xml:space="preserve"> مشروع </w:t>
      </w:r>
      <w:r>
        <w:rPr>
          <w:rFonts w:hint="cs"/>
          <w:rtl/>
        </w:rPr>
        <w:t>القاعدة </w:t>
      </w:r>
      <w:r>
        <w:rPr>
          <w:rtl/>
        </w:rPr>
        <w:t>26(1)</w:t>
      </w:r>
      <w:r>
        <w:rPr>
          <w:rFonts w:hint="cs"/>
          <w:rtl/>
        </w:rPr>
        <w:t>"</w:t>
      </w:r>
      <w:r w:rsidRPr="00422092">
        <w:rPr>
          <w:rtl/>
        </w:rPr>
        <w:t>2</w:t>
      </w:r>
      <w:r>
        <w:rPr>
          <w:rFonts w:hint="cs"/>
          <w:rtl/>
        </w:rPr>
        <w:t>"</w:t>
      </w:r>
      <w:r w:rsidRPr="00C95A12">
        <w:rPr>
          <w:rtl/>
        </w:rPr>
        <w:t xml:space="preserve"> </w:t>
      </w:r>
      <w:r>
        <w:rPr>
          <w:rFonts w:hint="cs"/>
          <w:rtl/>
        </w:rPr>
        <w:t>من</w:t>
      </w:r>
      <w:r w:rsidRPr="00C95A12">
        <w:rPr>
          <w:rtl/>
        </w:rPr>
        <w:t xml:space="preserve"> الوثيقة </w:t>
      </w:r>
      <w:r w:rsidRPr="00C95A12">
        <w:t>H/DC/4</w:t>
      </w:r>
      <w:r w:rsidRPr="00C95A12">
        <w:rPr>
          <w:rtl/>
        </w:rPr>
        <w:t xml:space="preserve">، الاقتراح الأساسي </w:t>
      </w:r>
      <w:r>
        <w:rPr>
          <w:rFonts w:hint="cs"/>
          <w:rtl/>
        </w:rPr>
        <w:t>الخاص بال</w:t>
      </w:r>
      <w:r w:rsidRPr="00C95A12">
        <w:rPr>
          <w:rtl/>
        </w:rPr>
        <w:t>لائحة</w:t>
      </w:r>
      <w:r>
        <w:rPr>
          <w:rFonts w:hint="cs"/>
          <w:rtl/>
        </w:rPr>
        <w:t xml:space="preserve"> التنفيذي</w:t>
      </w:r>
      <w:r>
        <w:rPr>
          <w:rFonts w:hint="eastAsia"/>
          <w:rtl/>
        </w:rPr>
        <w:t>ة</w:t>
      </w:r>
      <w:r>
        <w:rPr>
          <w:rtl/>
        </w:rPr>
        <w:t xml:space="preserve"> </w:t>
      </w:r>
      <w:r>
        <w:rPr>
          <w:rFonts w:hint="cs"/>
          <w:rtl/>
        </w:rPr>
        <w:t>للوثيقة</w:t>
      </w:r>
      <w:r w:rsidRPr="00C95A12">
        <w:rPr>
          <w:rtl/>
        </w:rPr>
        <w:t xml:space="preserve"> الجديد</w:t>
      </w:r>
      <w:r>
        <w:rPr>
          <w:rFonts w:hint="cs"/>
          <w:rtl/>
        </w:rPr>
        <w:t>ة</w:t>
      </w:r>
      <w:r w:rsidRPr="00C95A12">
        <w:rPr>
          <w:rtl/>
        </w:rPr>
        <w:t xml:space="preserve"> </w:t>
      </w:r>
      <w:r>
        <w:rPr>
          <w:rtl/>
        </w:rPr>
        <w:t>كما عرض على المؤتمر الدبلوماسي</w:t>
      </w:r>
      <w:r w:rsidRPr="00C95A12">
        <w:rPr>
          <w:rtl/>
        </w:rPr>
        <w:t xml:space="preserve">. </w:t>
      </w:r>
      <w:r>
        <w:rPr>
          <w:rFonts w:hint="cs"/>
          <w:rtl/>
        </w:rPr>
        <w:t>و</w:t>
      </w:r>
      <w:r w:rsidRPr="00C95A12">
        <w:rPr>
          <w:rtl/>
        </w:rPr>
        <w:t>لا تتضمن اللائحة ال</w:t>
      </w:r>
      <w:r>
        <w:rPr>
          <w:rtl/>
        </w:rPr>
        <w:t>تنفيذية لاتفاق</w:t>
      </w:r>
      <w:r w:rsidRPr="00C95A12">
        <w:rPr>
          <w:rtl/>
        </w:rPr>
        <w:t xml:space="preserve"> لاهاي بشأن الإيداع الدولي </w:t>
      </w:r>
      <w:r>
        <w:rPr>
          <w:rFonts w:hint="cs"/>
          <w:rtl/>
        </w:rPr>
        <w:t>للتصاميم</w:t>
      </w:r>
      <w:r w:rsidRPr="00C95A12">
        <w:rPr>
          <w:rtl/>
        </w:rPr>
        <w:t xml:space="preserve"> الصناعية لتنفيذ </w:t>
      </w:r>
      <w:r>
        <w:rPr>
          <w:rFonts w:hint="cs"/>
          <w:rtl/>
        </w:rPr>
        <w:t>وثيقة</w:t>
      </w:r>
      <w:r w:rsidRPr="00C95A12">
        <w:rPr>
          <w:rtl/>
        </w:rPr>
        <w:t xml:space="preserve"> 1960 </w:t>
      </w:r>
      <w:r>
        <w:rPr>
          <w:rFonts w:hint="cs"/>
          <w:rtl/>
        </w:rPr>
        <w:t>ووثيقة</w:t>
      </w:r>
      <w:r>
        <w:rPr>
          <w:rtl/>
        </w:rPr>
        <w:t xml:space="preserve"> 1934</w:t>
      </w:r>
      <w:r>
        <w:rPr>
          <w:rFonts w:hint="cs"/>
          <w:rtl/>
        </w:rPr>
        <w:t>، النافذة اعتبارا من</w:t>
      </w:r>
      <w:r w:rsidR="00981199">
        <w:rPr>
          <w:rFonts w:hint="cs"/>
          <w:rtl/>
        </w:rPr>
        <w:t> </w:t>
      </w:r>
      <w:r>
        <w:rPr>
          <w:rtl/>
        </w:rPr>
        <w:t>1</w:t>
      </w:r>
      <w:r>
        <w:rPr>
          <w:rFonts w:hint="cs"/>
          <w:rtl/>
        </w:rPr>
        <w:t> </w:t>
      </w:r>
      <w:r>
        <w:rPr>
          <w:rtl/>
        </w:rPr>
        <w:t xml:space="preserve">يناير 2002 </w:t>
      </w:r>
      <w:r w:rsidRPr="00C95A12">
        <w:rPr>
          <w:rtl/>
        </w:rPr>
        <w:t xml:space="preserve"> العبارة المعنية فيما يتعلق بنشر </w:t>
      </w:r>
      <w:r>
        <w:rPr>
          <w:rtl/>
        </w:rPr>
        <w:t xml:space="preserve">إخطار </w:t>
      </w:r>
      <w:r w:rsidRPr="00C95A12">
        <w:rPr>
          <w:rtl/>
        </w:rPr>
        <w:t>الرفض.</w:t>
      </w:r>
    </w:p>
  </w:footnote>
  <w:footnote w:id="9">
    <w:p w:rsidR="0042678B" w:rsidRDefault="0042678B" w:rsidP="0042678B">
      <w:pPr>
        <w:pStyle w:val="FootnoteText"/>
        <w:rPr>
          <w:lang w:bidi="ar-MA"/>
        </w:rPr>
      </w:pPr>
      <w:r>
        <w:rPr>
          <w:rStyle w:val="FootnoteReference"/>
        </w:rPr>
        <w:footnoteRef/>
      </w:r>
      <w:r>
        <w:rPr>
          <w:rFonts w:hint="cs"/>
          <w:rtl/>
        </w:rPr>
        <w:tab/>
      </w:r>
      <w:r w:rsidRPr="002C3556">
        <w:rPr>
          <w:rtl/>
        </w:rPr>
        <w:t>توجد ال</w:t>
      </w:r>
      <w:r>
        <w:rPr>
          <w:rtl/>
        </w:rPr>
        <w:t>عبارة نفسها أيضا في القاعدة 31</w:t>
      </w:r>
      <w:r w:rsidRPr="002C3556">
        <w:rPr>
          <w:rtl/>
        </w:rPr>
        <w:t xml:space="preserve">(1) من </w:t>
      </w:r>
      <w:r>
        <w:rPr>
          <w:rFonts w:hint="cs"/>
          <w:rtl/>
        </w:rPr>
        <w:t>لائحة</w:t>
      </w:r>
      <w:r w:rsidRPr="002C3556">
        <w:rPr>
          <w:rtl/>
        </w:rPr>
        <w:t xml:space="preserve"> مدريد</w:t>
      </w:r>
      <w:r>
        <w:rPr>
          <w:rFonts w:hint="cs"/>
          <w:rtl/>
        </w:rPr>
        <w:t xml:space="preserve"> التنفيذية</w:t>
      </w:r>
      <w:r w:rsidRPr="002C3556">
        <w:rPr>
          <w:rtl/>
        </w:rPr>
        <w:t xml:space="preserve"> </w:t>
      </w:r>
      <w:r>
        <w:rPr>
          <w:rFonts w:hint="cs"/>
          <w:rtl/>
        </w:rPr>
        <w:t>النافذة اعتبارا من</w:t>
      </w:r>
      <w:r w:rsidRPr="002C3556">
        <w:rPr>
          <w:rtl/>
        </w:rPr>
        <w:t xml:space="preserve"> </w:t>
      </w:r>
      <w:r>
        <w:rPr>
          <w:rtl/>
        </w:rPr>
        <w:t>1 أبريل 1994</w:t>
      </w:r>
      <w:r>
        <w:rPr>
          <w:rFonts w:hint="cs"/>
          <w:rtl/>
        </w:rPr>
        <w:t>،</w:t>
      </w:r>
      <w:r w:rsidRPr="002C3556">
        <w:rPr>
          <w:rtl/>
        </w:rPr>
        <w:t xml:space="preserve"> أي قبل دخول بروتوكول مدريد حيز </w:t>
      </w:r>
      <w:r>
        <w:rPr>
          <w:rFonts w:hint="cs"/>
          <w:rtl/>
        </w:rPr>
        <w:t>النفاذ</w:t>
      </w:r>
      <w:r w:rsidRPr="002C3556">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8B" w:rsidRDefault="0042678B" w:rsidP="00315D6A">
    <w:r w:rsidRPr="00315D6A">
      <w:t>H/LD/WG/7/4</w:t>
    </w:r>
  </w:p>
  <w:p w:rsidR="0042678B" w:rsidRDefault="0042678B" w:rsidP="00D61541">
    <w:r>
      <w:fldChar w:fldCharType="begin"/>
    </w:r>
    <w:r>
      <w:instrText xml:space="preserve"> PAGE  \* MERGEFORMAT </w:instrText>
    </w:r>
    <w:r>
      <w:fldChar w:fldCharType="separate"/>
    </w:r>
    <w:r w:rsidR="004558BE">
      <w:rPr>
        <w:noProof/>
      </w:rPr>
      <w:t>7</w:t>
    </w:r>
    <w:r>
      <w:fldChar w:fldCharType="end"/>
    </w:r>
  </w:p>
  <w:p w:rsidR="0042678B" w:rsidRDefault="0042678B"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89" w:rsidRDefault="002F3589" w:rsidP="002F3589">
    <w:r>
      <w:t>H/LD/WG/7/--</w:t>
    </w:r>
  </w:p>
  <w:p w:rsidR="002F3589" w:rsidRDefault="002F3589" w:rsidP="002F3589">
    <w:r>
      <w:fldChar w:fldCharType="begin"/>
    </w:r>
    <w:r>
      <w:instrText xml:space="preserve"> PAGE  \* MERGEFORMAT </w:instrText>
    </w:r>
    <w:r>
      <w:fldChar w:fldCharType="separate"/>
    </w:r>
    <w:r w:rsidR="004558BE">
      <w:rPr>
        <w:noProof/>
      </w:rPr>
      <w:t>7</w:t>
    </w:r>
    <w:r>
      <w:fldChar w:fldCharType="end"/>
    </w:r>
  </w:p>
  <w:p w:rsidR="002F3589" w:rsidRDefault="002F3589" w:rsidP="002F35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99" w:rsidRDefault="00981199" w:rsidP="00981199">
    <w:r w:rsidRPr="00315D6A">
      <w:t>H/LD/WG/7/4</w:t>
    </w:r>
  </w:p>
  <w:p w:rsidR="00981199" w:rsidRDefault="00981199" w:rsidP="00981199">
    <w:pPr>
      <w:pStyle w:val="Header"/>
    </w:pPr>
    <w:r>
      <w:t>ANNEX</w:t>
    </w:r>
  </w:p>
  <w:p w:rsidR="00981199" w:rsidRPr="00437E7E" w:rsidRDefault="00981199" w:rsidP="00981199">
    <w:pPr>
      <w:pStyle w:val="Header"/>
      <w:bidi/>
      <w:jc w:val="right"/>
      <w:rPr>
        <w:rFonts w:ascii="Arabic Typesetting" w:hAnsi="Arabic Typesetting" w:cs="Arabic Typesetting"/>
        <w:sz w:val="36"/>
        <w:szCs w:val="36"/>
        <w:rtl/>
      </w:rPr>
    </w:pPr>
    <w:r w:rsidRPr="00437E7E">
      <w:rPr>
        <w:rFonts w:ascii="Arabic Typesetting" w:hAnsi="Arabic Typesetting" w:cs="Arabic Typesetting"/>
        <w:sz w:val="36"/>
        <w:szCs w:val="36"/>
        <w:rtl/>
      </w:rPr>
      <w:t>المرفق</w:t>
    </w:r>
  </w:p>
  <w:p w:rsidR="00981199" w:rsidRDefault="00981199" w:rsidP="00981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8B"/>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264C1"/>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589"/>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789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3517"/>
    <w:rsid w:val="00424BB4"/>
    <w:rsid w:val="004258CD"/>
    <w:rsid w:val="004261D2"/>
    <w:rsid w:val="0042678B"/>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8BE"/>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6BBC"/>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599C"/>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575"/>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19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34BA"/>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57F"/>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09C1"/>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F3589"/>
    <w:rPr>
      <w:rFonts w:ascii="Tahoma" w:hAnsi="Tahoma" w:cs="Tahoma"/>
      <w:sz w:val="16"/>
      <w:szCs w:val="16"/>
    </w:rPr>
  </w:style>
  <w:style w:type="character" w:customStyle="1" w:styleId="BalloonTextChar">
    <w:name w:val="Balloon Text Char"/>
    <w:basedOn w:val="DefaultParagraphFont"/>
    <w:link w:val="BalloonText"/>
    <w:rsid w:val="002F3589"/>
    <w:rPr>
      <w:rFonts w:ascii="Tahoma" w:hAnsi="Tahoma" w:cs="Tahoma"/>
      <w:sz w:val="16"/>
      <w:szCs w:val="16"/>
    </w:rPr>
  </w:style>
  <w:style w:type="paragraph" w:customStyle="1" w:styleId="Heading2AR">
    <w:name w:val="Heading_2_AR"/>
    <w:basedOn w:val="Normal"/>
    <w:next w:val="NormalParaAR"/>
    <w:rsid w:val="0042678B"/>
    <w:pPr>
      <w:keepNext/>
      <w:bidi/>
      <w:spacing w:before="240" w:after="60" w:line="400" w:lineRule="exact"/>
    </w:pPr>
    <w:rPr>
      <w:rFonts w:ascii="Arabic Typesetting" w:hAnsi="Arabic Typesetting" w:cs="Arabic Typesetting"/>
      <w:sz w:val="40"/>
      <w:szCs w:val="40"/>
    </w:rPr>
  </w:style>
  <w:style w:type="character" w:styleId="Hyperlink">
    <w:name w:val="Hyperlink"/>
    <w:basedOn w:val="DefaultParagraphFont"/>
    <w:rsid w:val="0042678B"/>
    <w:rPr>
      <w:color w:val="0000FF" w:themeColor="hyperlink"/>
      <w:u w:val="single"/>
    </w:rPr>
  </w:style>
  <w:style w:type="character" w:customStyle="1" w:styleId="HeaderChar">
    <w:name w:val="Header Char"/>
    <w:basedOn w:val="DefaultParagraphFont"/>
    <w:link w:val="Header"/>
    <w:uiPriority w:val="99"/>
    <w:rsid w:val="0098119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F3589"/>
    <w:rPr>
      <w:rFonts w:ascii="Tahoma" w:hAnsi="Tahoma" w:cs="Tahoma"/>
      <w:sz w:val="16"/>
      <w:szCs w:val="16"/>
    </w:rPr>
  </w:style>
  <w:style w:type="character" w:customStyle="1" w:styleId="BalloonTextChar">
    <w:name w:val="Balloon Text Char"/>
    <w:basedOn w:val="DefaultParagraphFont"/>
    <w:link w:val="BalloonText"/>
    <w:rsid w:val="002F3589"/>
    <w:rPr>
      <w:rFonts w:ascii="Tahoma" w:hAnsi="Tahoma" w:cs="Tahoma"/>
      <w:sz w:val="16"/>
      <w:szCs w:val="16"/>
    </w:rPr>
  </w:style>
  <w:style w:type="paragraph" w:customStyle="1" w:styleId="Heading2AR">
    <w:name w:val="Heading_2_AR"/>
    <w:basedOn w:val="Normal"/>
    <w:next w:val="NormalParaAR"/>
    <w:rsid w:val="0042678B"/>
    <w:pPr>
      <w:keepNext/>
      <w:bidi/>
      <w:spacing w:before="240" w:after="60" w:line="400" w:lineRule="exact"/>
    </w:pPr>
    <w:rPr>
      <w:rFonts w:ascii="Arabic Typesetting" w:hAnsi="Arabic Typesetting" w:cs="Arabic Typesetting"/>
      <w:sz w:val="40"/>
      <w:szCs w:val="40"/>
    </w:rPr>
  </w:style>
  <w:style w:type="character" w:styleId="Hyperlink">
    <w:name w:val="Hyperlink"/>
    <w:basedOn w:val="DefaultParagraphFont"/>
    <w:rsid w:val="0042678B"/>
    <w:rPr>
      <w:color w:val="0000FF" w:themeColor="hyperlink"/>
      <w:u w:val="single"/>
    </w:rPr>
  </w:style>
  <w:style w:type="character" w:customStyle="1" w:styleId="HeaderChar">
    <w:name w:val="Header Char"/>
    <w:basedOn w:val="DefaultParagraphFont"/>
    <w:link w:val="Header"/>
    <w:uiPriority w:val="99"/>
    <w:rsid w:val="0098119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hague/en/how_to/pdf/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H/LD/WG/7/-- (Arabic)</vt:lpstr>
    </vt:vector>
  </TitlesOfParts>
  <Company>World Intellectual Property Organization</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 (Arabic)</dc:title>
  <dc:creator>BEN ALI Lassad</dc:creator>
  <cp:lastModifiedBy>MAILLARD Amber</cp:lastModifiedBy>
  <cp:revision>7</cp:revision>
  <cp:lastPrinted>2018-05-16T12:33:00Z</cp:lastPrinted>
  <dcterms:created xsi:type="dcterms:W3CDTF">2018-05-11T07:17:00Z</dcterms:created>
  <dcterms:modified xsi:type="dcterms:W3CDTF">2018-05-16T12:33:00Z</dcterms:modified>
</cp:coreProperties>
</file>