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457EB" w:rsidP="0027493E">
            <w:pPr>
              <w:pStyle w:val="DocumentCodeAR"/>
              <w:bidi/>
              <w:rPr>
                <w:rtl/>
              </w:rPr>
            </w:pPr>
            <w:r>
              <w:t>H/LD/WG/</w:t>
            </w:r>
            <w:r w:rsidR="00F631EA">
              <w:t>5</w:t>
            </w:r>
            <w:r>
              <w:t>/</w:t>
            </w:r>
            <w:r w:rsidR="0027493E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7493E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7493E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E1BC4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>التاريخ:</w:t>
            </w:r>
            <w:r w:rsidR="007E1BC4">
              <w:rPr>
                <w:rFonts w:hint="cs"/>
                <w:rtl/>
              </w:rPr>
              <w:t xml:space="preserve"> 29</w:t>
            </w:r>
            <w:r w:rsidR="006F6C55">
              <w:rPr>
                <w:rFonts w:hint="cs"/>
                <w:rtl/>
              </w:rPr>
              <w:t xml:space="preserve"> سبتمبر </w:t>
            </w:r>
            <w:r w:rsidR="00190B6D">
              <w:rPr>
                <w:rFonts w:hint="cs"/>
                <w:rtl/>
              </w:rPr>
              <w:t>201</w:t>
            </w:r>
            <w:r w:rsidR="00F631EA">
              <w:rPr>
                <w:rFonts w:hint="cs"/>
                <w:rtl/>
              </w:rPr>
              <w:t>5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5457EB" w:rsidP="00983389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الفريق العامل المعني بالتطوير القانوني لنظام لاهاي بشأن التسجيل الدولي للتصاميم الصناعية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F631EA">
      <w:pPr>
        <w:pStyle w:val="MeetingSessionAR"/>
        <w:bidi/>
        <w:rPr>
          <w:rFonts w:ascii="Cambria Math" w:hAnsi="Cambria Math"/>
        </w:rPr>
      </w:pPr>
      <w:r w:rsidRPr="00783D11">
        <w:rPr>
          <w:rFonts w:ascii="Cambria Math" w:hAnsi="Cambria Math"/>
          <w:rtl/>
        </w:rPr>
        <w:t xml:space="preserve">الدورة </w:t>
      </w:r>
      <w:r w:rsidR="00F631EA">
        <w:rPr>
          <w:rFonts w:ascii="Cambria Math" w:hAnsi="Cambria Math" w:hint="cs"/>
          <w:rtl/>
        </w:rPr>
        <w:t>الخامسة</w:t>
      </w:r>
    </w:p>
    <w:p w:rsidR="00D61541" w:rsidRPr="00D61541" w:rsidRDefault="00D61541" w:rsidP="00F631E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F631EA">
        <w:rPr>
          <w:rFonts w:hint="cs"/>
          <w:rtl/>
        </w:rPr>
        <w:t>14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F631EA">
        <w:rPr>
          <w:rFonts w:hint="cs"/>
          <w:rtl/>
        </w:rPr>
        <w:t>16</w:t>
      </w:r>
      <w:r w:rsidR="00783D11">
        <w:rPr>
          <w:rFonts w:hint="cs"/>
          <w:rtl/>
        </w:rPr>
        <w:t xml:space="preserve"> </w:t>
      </w:r>
      <w:r w:rsidR="00F631EA">
        <w:rPr>
          <w:rFonts w:hint="cs"/>
          <w:rtl/>
        </w:rPr>
        <w:t>ديسمبر</w:t>
      </w:r>
      <w:r w:rsidR="005457EB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F631EA">
        <w:rPr>
          <w:rFonts w:hint="cs"/>
          <w:rtl/>
        </w:rPr>
        <w:t>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7493E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27493E">
        <w:rPr>
          <w:rFonts w:hint="cs"/>
          <w:rtl/>
        </w:rPr>
        <w:t xml:space="preserve"> الأمانة</w:t>
      </w:r>
    </w:p>
    <w:p w:rsidR="00D61541" w:rsidRDefault="00C93210" w:rsidP="00C93210">
      <w:pPr>
        <w:pStyle w:val="NumberedParaAR"/>
      </w:pPr>
      <w:r>
        <w:rPr>
          <w:rFonts w:hint="cs"/>
          <w:rtl/>
        </w:rPr>
        <w:t>افتتاح الدورة</w:t>
      </w:r>
    </w:p>
    <w:p w:rsidR="00152EFE" w:rsidRDefault="00152EFE" w:rsidP="00C93210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C93210" w:rsidRDefault="00C93210" w:rsidP="00A10E69">
      <w:pPr>
        <w:pStyle w:val="NumberedParaAR"/>
        <w:spacing w:after="0"/>
        <w:rPr>
          <w:rtl/>
        </w:rPr>
      </w:pPr>
      <w:r>
        <w:rPr>
          <w:rFonts w:hint="cs"/>
          <w:rtl/>
        </w:rPr>
        <w:t>اعتماد جدول الأعمال</w:t>
      </w:r>
    </w:p>
    <w:p w:rsidR="005457EB" w:rsidRDefault="00A10E69" w:rsidP="00A10E69">
      <w:pPr>
        <w:pStyle w:val="NormalParaAR"/>
        <w:ind w:left="1133"/>
      </w:pPr>
      <w:r>
        <w:rPr>
          <w:rFonts w:hint="cs"/>
          <w:rtl/>
        </w:rPr>
        <w:t>انظر هذه الوثيقة.</w:t>
      </w:r>
    </w:p>
    <w:p w:rsidR="00CB79E4" w:rsidRDefault="00152EFE" w:rsidP="00152EFE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</w:rPr>
        <w:t xml:space="preserve">اعتماد مشروع تقرير الدورة الرابعة للفريق </w:t>
      </w:r>
      <w:r w:rsidRPr="00152EFE">
        <w:rPr>
          <w:rtl/>
        </w:rPr>
        <w:t>الفريق العامل المعني بالتطوير القانوني لنظام لاهاي بشأن التسجيل الدولي للتصاميم الصناعية</w:t>
      </w:r>
    </w:p>
    <w:p w:rsidR="00152EFE" w:rsidRDefault="00152EFE" w:rsidP="00152EFE">
      <w:pPr>
        <w:pStyle w:val="NormalParaAR"/>
        <w:ind w:left="1133"/>
        <w:rPr>
          <w:rtl/>
        </w:rPr>
      </w:pPr>
      <w:r>
        <w:rPr>
          <w:rFonts w:hint="cs"/>
          <w:rtl/>
        </w:rPr>
        <w:t xml:space="preserve">انظر الوثيقة </w:t>
      </w:r>
      <w:r w:rsidRPr="00152EFE">
        <w:t>H/LD/</w:t>
      </w:r>
      <w:proofErr w:type="spellStart"/>
      <w:r w:rsidRPr="00152EFE">
        <w:t>WG</w:t>
      </w:r>
      <w:proofErr w:type="spellEnd"/>
      <w:r w:rsidRPr="00152EFE">
        <w:t xml:space="preserve">/4/7 </w:t>
      </w:r>
      <w:proofErr w:type="spellStart"/>
      <w:r w:rsidRPr="00152EFE">
        <w:t>Prov</w:t>
      </w:r>
      <w:proofErr w:type="spellEnd"/>
      <w:r w:rsidRPr="00152EFE">
        <w:rPr>
          <w:rtl/>
        </w:rPr>
        <w:t>.</w:t>
      </w:r>
    </w:p>
    <w:p w:rsidR="00152EFE" w:rsidRDefault="006F0B6B" w:rsidP="00F7259B">
      <w:pPr>
        <w:pStyle w:val="NumberedParaAR"/>
        <w:spacing w:after="0"/>
        <w:ind w:left="567" w:hanging="567"/>
      </w:pPr>
      <w:r>
        <w:rPr>
          <w:rFonts w:hint="cs"/>
          <w:rtl/>
        </w:rPr>
        <w:t xml:space="preserve">بعض القضايا المتعلقة بالتبليغ الإلكتروني </w:t>
      </w:r>
      <w:r w:rsidR="00F7259B">
        <w:rPr>
          <w:rFonts w:hint="cs"/>
          <w:rtl/>
        </w:rPr>
        <w:t>بناء على نظام لاهاي: اقتراح تعديلات على القاعدة 5 من اللائحة التنفيذية</w:t>
      </w:r>
      <w:r w:rsidR="00F7259B">
        <w:rPr>
          <w:rFonts w:hint="eastAsia"/>
          <w:rtl/>
        </w:rPr>
        <w:t> </w:t>
      </w:r>
      <w:r w:rsidR="00F7259B">
        <w:rPr>
          <w:rFonts w:hint="cs"/>
          <w:rtl/>
        </w:rPr>
        <w:t>المشتركة</w:t>
      </w:r>
    </w:p>
    <w:p w:rsidR="006F0B6B" w:rsidRPr="00F7259B" w:rsidRDefault="00F7259B" w:rsidP="007924AB">
      <w:pPr>
        <w:pStyle w:val="NormalParaAR"/>
        <w:ind w:left="1133"/>
        <w:rPr>
          <w:rtl/>
          <w:lang w:bidi="ar-EG"/>
        </w:rPr>
      </w:pPr>
      <w:r>
        <w:rPr>
          <w:rFonts w:hint="cs"/>
          <w:rtl/>
        </w:rPr>
        <w:t>انظر الوثيقة </w:t>
      </w:r>
      <w:r w:rsidRPr="00F7259B">
        <w:t>H/LD/WG/5/2</w:t>
      </w:r>
      <w:r>
        <w:rPr>
          <w:rFonts w:hint="cs"/>
          <w:rtl/>
          <w:lang w:bidi="ar-EG"/>
        </w:rPr>
        <w:t>.</w:t>
      </w:r>
    </w:p>
    <w:p w:rsidR="00152EFE" w:rsidRDefault="00A776E4" w:rsidP="00A776E4">
      <w:pPr>
        <w:pStyle w:val="NumberedParaAR"/>
        <w:spacing w:after="0"/>
        <w:ind w:left="567" w:hanging="567"/>
        <w:rPr>
          <w:rtl/>
        </w:rPr>
      </w:pPr>
      <w:r>
        <w:rPr>
          <w:rFonts w:hint="cs"/>
          <w:rtl/>
          <w:lang w:bidi="ar-EG"/>
        </w:rPr>
        <w:t>اقتراح قاعدة جديدة تتعلق بتعديلات على البيانات المتعلقة بهوية المبتكر</w:t>
      </w:r>
    </w:p>
    <w:p w:rsidR="00152EFE" w:rsidRDefault="00A776E4" w:rsidP="00A776E4">
      <w:pPr>
        <w:pStyle w:val="NormalParaAR"/>
        <w:ind w:left="1133"/>
        <w:rPr>
          <w:rtl/>
        </w:rPr>
      </w:pPr>
      <w:r w:rsidRPr="00A776E4">
        <w:rPr>
          <w:rtl/>
        </w:rPr>
        <w:t xml:space="preserve">انظر الوثيقة </w:t>
      </w:r>
      <w:r w:rsidRPr="00A776E4">
        <w:t>H/LD/WG/5/</w:t>
      </w:r>
      <w:r>
        <w:t>3</w:t>
      </w:r>
      <w:r w:rsidRPr="00A776E4">
        <w:rPr>
          <w:rtl/>
        </w:rPr>
        <w:t>.</w:t>
      </w:r>
    </w:p>
    <w:p w:rsidR="00152EFE" w:rsidRDefault="00107CA1" w:rsidP="00107CA1">
      <w:pPr>
        <w:pStyle w:val="NumberedParaAR"/>
        <w:spacing w:after="0"/>
        <w:ind w:left="567" w:hanging="567"/>
        <w:rPr>
          <w:rtl/>
          <w:lang w:bidi="ar-EG"/>
        </w:rPr>
      </w:pPr>
      <w:r>
        <w:rPr>
          <w:rFonts w:hint="cs"/>
          <w:rtl/>
          <w:lang w:bidi="ar-EG"/>
        </w:rPr>
        <w:t>اقتراح توصيات تتعلق بالكشف عن التصميم الصناعي في الطلب الدولي</w:t>
      </w:r>
    </w:p>
    <w:p w:rsidR="00107CA1" w:rsidRDefault="00107CA1" w:rsidP="00107CA1">
      <w:pPr>
        <w:pStyle w:val="NormalParaAR"/>
        <w:ind w:left="1133"/>
        <w:rPr>
          <w:rtl/>
        </w:rPr>
      </w:pPr>
      <w:r w:rsidRPr="00A776E4">
        <w:rPr>
          <w:rtl/>
        </w:rPr>
        <w:t xml:space="preserve">انظر الوثيقة </w:t>
      </w:r>
      <w:r w:rsidRPr="00A776E4">
        <w:t>H/LD/WG/5/</w:t>
      </w:r>
      <w:r>
        <w:t>4</w:t>
      </w:r>
      <w:r w:rsidRPr="00A776E4">
        <w:rPr>
          <w:rtl/>
        </w:rPr>
        <w:t>.</w:t>
      </w:r>
    </w:p>
    <w:p w:rsidR="00A776E4" w:rsidRDefault="00E90AB8" w:rsidP="00E90AB8">
      <w:pPr>
        <w:pStyle w:val="NumberedParaAR"/>
        <w:spacing w:after="0"/>
        <w:ind w:left="567" w:hanging="567"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اعتبارات تتعلق بإمكانية تضمين اللائحة التنفيذية المشتركة تقييدات متزامنة في الطلبات الدولية وغيرها من</w:t>
      </w:r>
      <w:r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التعديلات</w:t>
      </w:r>
    </w:p>
    <w:p w:rsidR="00E90AB8" w:rsidRDefault="00E90AB8" w:rsidP="00E90AB8">
      <w:pPr>
        <w:pStyle w:val="NormalParaAR"/>
        <w:ind w:left="1133"/>
        <w:rPr>
          <w:rtl/>
        </w:rPr>
      </w:pPr>
      <w:r w:rsidRPr="00A776E4">
        <w:rPr>
          <w:rtl/>
        </w:rPr>
        <w:t xml:space="preserve">انظر الوثيقة </w:t>
      </w:r>
      <w:r w:rsidRPr="00A776E4">
        <w:t>H/LD/WG/5/</w:t>
      </w:r>
      <w:r>
        <w:t>5</w:t>
      </w:r>
      <w:r w:rsidRPr="00A776E4">
        <w:rPr>
          <w:rtl/>
        </w:rPr>
        <w:t>.</w:t>
      </w:r>
    </w:p>
    <w:p w:rsidR="00A776E4" w:rsidRDefault="00E90AB8" w:rsidP="00E90AB8">
      <w:pPr>
        <w:pStyle w:val="NumberedParaAR"/>
        <w:spacing w:after="0"/>
        <w:ind w:left="567" w:hanging="567"/>
        <w:rPr>
          <w:lang w:bidi="ar-EG"/>
        </w:rPr>
      </w:pPr>
      <w:r>
        <w:rPr>
          <w:rFonts w:hint="cs"/>
          <w:rtl/>
          <w:lang w:bidi="ar-EG"/>
        </w:rPr>
        <w:t>اعتبارات تتعلق بإمكانية مراجعة جدول الرسوم</w:t>
      </w:r>
    </w:p>
    <w:p w:rsidR="00E90AB8" w:rsidRDefault="00E90AB8" w:rsidP="00E90AB8">
      <w:pPr>
        <w:pStyle w:val="NormalParaAR"/>
        <w:ind w:left="1133"/>
        <w:rPr>
          <w:rtl/>
        </w:rPr>
      </w:pPr>
      <w:r w:rsidRPr="00A776E4">
        <w:rPr>
          <w:rtl/>
        </w:rPr>
        <w:t xml:space="preserve">انظر الوثيقة </w:t>
      </w:r>
      <w:r w:rsidRPr="00A776E4">
        <w:t>H/LD/WG/5/</w:t>
      </w:r>
      <w:r>
        <w:t>6</w:t>
      </w:r>
      <w:r w:rsidRPr="00A776E4">
        <w:rPr>
          <w:rtl/>
        </w:rPr>
        <w:t>.</w:t>
      </w:r>
    </w:p>
    <w:p w:rsidR="00E90AB8" w:rsidRDefault="00E90AB8" w:rsidP="00E90AB8">
      <w:pPr>
        <w:pStyle w:val="NumberedParaAR"/>
      </w:pPr>
      <w:r>
        <w:rPr>
          <w:rFonts w:hint="cs"/>
          <w:rtl/>
        </w:rPr>
        <w:t>مسائل أخرى</w:t>
      </w:r>
    </w:p>
    <w:p w:rsidR="00E90AB8" w:rsidRDefault="00E90AB8" w:rsidP="00E90AB8">
      <w:pPr>
        <w:pStyle w:val="NumberedParaAR"/>
      </w:pPr>
      <w:r>
        <w:rPr>
          <w:rFonts w:hint="cs"/>
          <w:rtl/>
        </w:rPr>
        <w:t>ملخص الرئيس</w:t>
      </w:r>
    </w:p>
    <w:p w:rsidR="00E90AB8" w:rsidRDefault="00E90AB8" w:rsidP="00E90AB8">
      <w:pPr>
        <w:pStyle w:val="NumberedParaAR"/>
      </w:pPr>
      <w:r>
        <w:rPr>
          <w:rFonts w:hint="cs"/>
          <w:rtl/>
        </w:rPr>
        <w:t>اختتام الدورة</w:t>
      </w:r>
    </w:p>
    <w:p w:rsidR="00E90AB8" w:rsidRDefault="00E90AB8" w:rsidP="00E90AB8">
      <w:pPr>
        <w:pStyle w:val="EndofDocumentAR"/>
      </w:pPr>
      <w:r>
        <w:rPr>
          <w:rFonts w:hint="cs"/>
          <w:rtl/>
        </w:rPr>
        <w:t>[نهاية الوثيقة]</w:t>
      </w:r>
    </w:p>
    <w:p w:rsidR="00E90AB8" w:rsidRDefault="00E90AB8" w:rsidP="007F38D1">
      <w:pPr>
        <w:pStyle w:val="NormalParaAR"/>
        <w:rPr>
          <w:rtl/>
        </w:rPr>
      </w:pPr>
    </w:p>
    <w:p w:rsidR="00A776E4" w:rsidRDefault="00A776E4" w:rsidP="007F38D1">
      <w:pPr>
        <w:pStyle w:val="NormalParaAR"/>
        <w:rPr>
          <w:rtl/>
        </w:rPr>
      </w:pPr>
    </w:p>
    <w:p w:rsidR="00152EFE" w:rsidRDefault="00152EFE" w:rsidP="007F38D1">
      <w:pPr>
        <w:pStyle w:val="NormalParaAR"/>
      </w:pPr>
    </w:p>
    <w:sectPr w:rsidR="00152EFE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3B" w:rsidRDefault="00FF4E3B">
      <w:r>
        <w:separator/>
      </w:r>
    </w:p>
  </w:endnote>
  <w:endnote w:type="continuationSeparator" w:id="0">
    <w:p w:rsidR="00FF4E3B" w:rsidRDefault="00FF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3B" w:rsidRDefault="00FF4E3B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FF4E3B" w:rsidRDefault="00FF4E3B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5457EB" w:rsidP="0044630E">
    <w:r>
      <w:t>H</w:t>
    </w:r>
    <w:r w:rsidR="00772E46">
      <w:t>/</w:t>
    </w:r>
    <w:r>
      <w:t>LD/</w:t>
    </w:r>
    <w:proofErr w:type="spellStart"/>
    <w:r>
      <w:t>WG</w:t>
    </w:r>
    <w:proofErr w:type="spellEnd"/>
    <w:r w:rsidR="002F77FC">
      <w:t>/</w:t>
    </w:r>
    <w:r w:rsidR="0044630E">
      <w:t>5</w:t>
    </w:r>
    <w:r w:rsidR="002F77FC">
      <w:t>/</w:t>
    </w:r>
    <w:r w:rsidR="00A776E4">
      <w:t>1 Prov.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322AA9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E3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457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CA1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2EFE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493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132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2AA9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30E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7EB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0B6B"/>
    <w:rsid w:val="006F2F22"/>
    <w:rsid w:val="006F434A"/>
    <w:rsid w:val="006F6C55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4AB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1BC4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0E69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6E4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0959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210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7C7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3150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0AB8"/>
    <w:rsid w:val="00E91964"/>
    <w:rsid w:val="00E91FB1"/>
    <w:rsid w:val="00E94468"/>
    <w:rsid w:val="00E94630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BC8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EA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259B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4E3B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H_LD_WG_5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6EDF-3EBF-4890-B023-3CF61AF8C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H_LD_WG_5_A.dotx</Template>
  <TotalTime>28</TotalTime>
  <Pages>2</Pages>
  <Words>164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H/LD/WG/4/-- (Arabic)</vt:lpstr>
    </vt:vector>
  </TitlesOfParts>
  <Company>World Intellectual Property Organization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H/LD/WG/4/-- (Arabic)</dc:title>
  <dc:creator>CHADAREVIAN Diane</dc:creator>
  <cp:lastModifiedBy>AHMIDOUCH Noureddine</cp:lastModifiedBy>
  <cp:revision>18</cp:revision>
  <cp:lastPrinted>2015-09-28T09:36:00Z</cp:lastPrinted>
  <dcterms:created xsi:type="dcterms:W3CDTF">2015-08-13T13:17:00Z</dcterms:created>
  <dcterms:modified xsi:type="dcterms:W3CDTF">2015-09-28T09:36:00Z</dcterms:modified>
</cp:coreProperties>
</file>