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3F7284" w:rsidRDefault="003F7284" w:rsidP="003648D3">
      <w:pPr>
        <w:spacing w:after="120"/>
        <w:ind w:left="4535"/>
        <w:rPr>
          <w:rtl/>
        </w:rPr>
      </w:pPr>
      <w:bookmarkStart w:id="2" w:name="_GoBack"/>
      <w:bookmarkEnd w:id="2"/>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648B" w:rsidRDefault="00B0759A" w:rsidP="00B0759A">
      <w:pPr>
        <w:pBdr>
          <w:top w:val="single" w:sz="4" w:space="10" w:color="auto"/>
        </w:pBdr>
        <w:jc w:val="right"/>
        <w:rPr>
          <w:rFonts w:eastAsia="SimSun"/>
          <w:bCs/>
          <w:caps/>
          <w:noProof/>
          <w:rtl/>
          <w:lang w:eastAsia="zh-CN"/>
        </w:rPr>
      </w:pPr>
      <w:bookmarkStart w:id="3" w:name="Code"/>
      <w:bookmarkStart w:id="4" w:name="Code2"/>
      <w:bookmarkEnd w:id="3"/>
      <w:r>
        <w:rPr>
          <w:rFonts w:eastAsia="SimSun" w:hint="cs"/>
          <w:bCs/>
          <w:caps/>
          <w:noProof/>
          <w:rtl/>
          <w:lang w:eastAsia="zh-CN"/>
        </w:rPr>
        <w:t>يونيو</w:t>
      </w:r>
      <w:r w:rsidR="00F5648B" w:rsidRPr="00F5648B">
        <w:rPr>
          <w:rFonts w:eastAsia="SimSun"/>
          <w:bCs/>
          <w:caps/>
          <w:noProof/>
          <w:rtl/>
          <w:lang w:eastAsia="zh-CN"/>
        </w:rPr>
        <w:t xml:space="preserve"> 2020</w:t>
      </w:r>
    </w:p>
    <w:bookmarkEnd w:id="4"/>
    <w:p w:rsidR="00C41AE0" w:rsidRPr="00F5648B" w:rsidRDefault="00F5648B" w:rsidP="00F5648B">
      <w:pPr>
        <w:pStyle w:val="BodyText"/>
        <w:spacing w:before="480"/>
        <w:jc w:val="center"/>
        <w:rPr>
          <w:b/>
          <w:bCs/>
          <w:sz w:val="40"/>
          <w:szCs w:val="40"/>
          <w:rtl/>
        </w:rPr>
      </w:pPr>
      <w:r w:rsidRPr="00F5648B">
        <w:rPr>
          <w:rFonts w:hint="cs"/>
          <w:b/>
          <w:bCs/>
          <w:sz w:val="40"/>
          <w:szCs w:val="40"/>
          <w:rtl/>
        </w:rPr>
        <w:t>موعد نشر تسجيل دولي في إطار نظام لاهاي للتسجيل الدولي للتصاميم الصناعية</w:t>
      </w:r>
    </w:p>
    <w:p w:rsidR="000D7E81" w:rsidRPr="00AD1D72" w:rsidRDefault="00F5648B" w:rsidP="00AD1D72">
      <w:pPr>
        <w:pStyle w:val="BodyText"/>
        <w:keepNext/>
        <w:spacing w:before="480"/>
        <w:rPr>
          <w:b/>
          <w:bCs/>
          <w:sz w:val="40"/>
          <w:szCs w:val="40"/>
          <w:rtl/>
        </w:rPr>
      </w:pPr>
      <w:r w:rsidRPr="00AD1D72">
        <w:rPr>
          <w:rFonts w:hint="cs"/>
          <w:b/>
          <w:bCs/>
          <w:sz w:val="40"/>
          <w:szCs w:val="40"/>
          <w:rtl/>
        </w:rPr>
        <w:t>استبيان</w:t>
      </w:r>
    </w:p>
    <w:p w:rsidR="00FD6D15" w:rsidRDefault="00F5648B" w:rsidP="00F5648B">
      <w:pPr>
        <w:pStyle w:val="BodyText"/>
        <w:spacing w:before="480"/>
        <w:rPr>
          <w:rtl/>
        </w:rPr>
      </w:pPr>
      <w:r>
        <w:rPr>
          <w:rFonts w:hint="cs"/>
          <w:rtl/>
        </w:rPr>
        <w:t>الغرض من هذا الاستبيان هو منح المنظمات غير الحكومية التي تمثّل مستخدمي نظام لاهاي فرصة للتعليق على اقتراح تمديد فتر</w:t>
      </w:r>
      <w:r w:rsidR="005B3A08">
        <w:rPr>
          <w:rFonts w:hint="cs"/>
          <w:rtl/>
        </w:rPr>
        <w:t>ة النشر العادي للتسجيلات الدولية من ستة أشهر حاليا إلى 12 شهرا.</w:t>
      </w:r>
    </w:p>
    <w:p w:rsidR="005B3A08" w:rsidRDefault="005B3A08" w:rsidP="005B3A08">
      <w:pPr>
        <w:pStyle w:val="Heading2"/>
        <w:rPr>
          <w:rtl/>
        </w:rPr>
      </w:pPr>
      <w:r>
        <w:rPr>
          <w:rFonts w:hint="cs"/>
          <w:rtl/>
        </w:rPr>
        <w:t>معلومات أساسية</w:t>
      </w:r>
    </w:p>
    <w:p w:rsidR="005B3A08" w:rsidRDefault="0062424A" w:rsidP="005B3A08">
      <w:pPr>
        <w:pStyle w:val="Heading3"/>
        <w:rPr>
          <w:rtl/>
        </w:rPr>
      </w:pPr>
      <w:r>
        <w:rPr>
          <w:rFonts w:hint="cs"/>
          <w:rtl/>
        </w:rPr>
        <w:t>ال</w:t>
      </w:r>
      <w:r w:rsidR="005B3A08">
        <w:rPr>
          <w:rFonts w:hint="cs"/>
          <w:rtl/>
        </w:rPr>
        <w:t xml:space="preserve">قرار </w:t>
      </w:r>
      <w:r>
        <w:rPr>
          <w:rFonts w:hint="cs"/>
          <w:rtl/>
        </w:rPr>
        <w:t xml:space="preserve">الصادر عن </w:t>
      </w:r>
      <w:r w:rsidR="005B3A08">
        <w:rPr>
          <w:rFonts w:hint="cs"/>
          <w:rtl/>
        </w:rPr>
        <w:t>الفريق العامل في عام 2019</w:t>
      </w:r>
    </w:p>
    <w:p w:rsidR="005B3A08" w:rsidRDefault="005B3A08" w:rsidP="0062424A">
      <w:pPr>
        <w:pStyle w:val="BodyText"/>
        <w:rPr>
          <w:rtl/>
        </w:rPr>
      </w:pPr>
      <w:r>
        <w:rPr>
          <w:rFonts w:hint="cs"/>
          <w:rtl/>
        </w:rPr>
        <w:t xml:space="preserve">ناقش الفريق العامل المعني بالتطوير القانوني لنظام لاهاي للتسجيل الدولي للتصاميم الصناعية (المشار إليه فيما يلي بعبارة "الفريق العامل")، في دورته الثامنة المعقودة في جنيف في الفترة من 30 أكتوبر إلى 1 نوفمبر 2019، اقتراح تمديد فترة النشر العادي البالغة ستة أشهر والمنصوص عليها حاليا في القاعدة 17(1)"3" من اللائحة التنفيذية المشتركة </w:t>
      </w:r>
      <w:r w:rsidRPr="005B3A08">
        <w:rPr>
          <w:rtl/>
        </w:rPr>
        <w:t>لوثيقة</w:t>
      </w:r>
      <w:r w:rsidR="0062424A">
        <w:rPr>
          <w:rFonts w:hint="cs"/>
          <w:rtl/>
        </w:rPr>
        <w:t> </w:t>
      </w:r>
      <w:r w:rsidRPr="005B3A08">
        <w:rPr>
          <w:rtl/>
        </w:rPr>
        <w:t>1999 ووثيقة</w:t>
      </w:r>
      <w:r>
        <w:rPr>
          <w:rFonts w:hint="cs"/>
          <w:rtl/>
        </w:rPr>
        <w:t> </w:t>
      </w:r>
      <w:r w:rsidRPr="005B3A08">
        <w:rPr>
          <w:rtl/>
        </w:rPr>
        <w:t>1960 لاتفاق لاهاي</w:t>
      </w:r>
      <w:r>
        <w:rPr>
          <w:rFonts w:hint="cs"/>
          <w:rtl/>
        </w:rPr>
        <w:t xml:space="preserve"> (المشار إليها فيما يلي بعبارة "اللائحة التنفيذية المشتركة") لتبلغ 12 شهرا (الوثيقة</w:t>
      </w:r>
      <w:r>
        <w:rPr>
          <w:rFonts w:hint="eastAsia"/>
          <w:rtl/>
        </w:rPr>
        <w:t> </w:t>
      </w:r>
      <w:r w:rsidRPr="005B3A08">
        <w:t>H/LD/WG/8/6</w:t>
      </w:r>
      <w:r>
        <w:rPr>
          <w:rFonts w:hint="cs"/>
          <w:rtl/>
        </w:rPr>
        <w:t xml:space="preserve">). وفي تلك الدورة، </w:t>
      </w:r>
      <w:r>
        <w:rPr>
          <w:rFonts w:hint="cs"/>
          <w:rtl/>
        </w:rPr>
        <w:lastRenderedPageBreak/>
        <w:t>التمس الفريق العامل من المكتب الدولي للمنظمة العالمية للملكية الفكرية (الويبو) التشاور مع مجموعات المستخدمين بشأن هذا</w:t>
      </w:r>
      <w:r w:rsidR="0062424A">
        <w:rPr>
          <w:rFonts w:hint="cs"/>
          <w:rtl/>
        </w:rPr>
        <w:t xml:space="preserve"> الاقتراح وتقديم تقرير عن نتائج ذلك التشاور</w:t>
      </w:r>
      <w:r>
        <w:rPr>
          <w:rFonts w:hint="cs"/>
          <w:rtl/>
        </w:rPr>
        <w:t xml:space="preserve"> إلى </w:t>
      </w:r>
      <w:r w:rsidR="00D81B93">
        <w:rPr>
          <w:rFonts w:hint="cs"/>
          <w:rtl/>
        </w:rPr>
        <w:t xml:space="preserve">الفريق العامل في دورته القادمة (الفقرة 20 من "ملخص الرئيس" الوارد في الوثيقة </w:t>
      </w:r>
      <w:r w:rsidR="00D81B93" w:rsidRPr="00D81B93">
        <w:t>H/LD/WG/8/8</w:t>
      </w:r>
      <w:r w:rsidR="00D81B93">
        <w:rPr>
          <w:rFonts w:hint="cs"/>
          <w:rtl/>
        </w:rPr>
        <w:t>).</w:t>
      </w:r>
    </w:p>
    <w:p w:rsidR="00D81B93" w:rsidRPr="00C41AE0" w:rsidRDefault="00D81B93" w:rsidP="00D81B93">
      <w:pPr>
        <w:pStyle w:val="BodyText"/>
        <w:rPr>
          <w:rtl/>
        </w:rPr>
      </w:pPr>
    </w:p>
    <w:p w:rsidR="00D81B93" w:rsidRDefault="00D81B93">
      <w:pPr>
        <w:bidi w:val="0"/>
        <w:rPr>
          <w:rtl/>
          <w:lang w:bidi="ar-EG"/>
        </w:rPr>
      </w:pPr>
      <w:bookmarkStart w:id="5" w:name="ExtraPara"/>
      <w:bookmarkEnd w:id="5"/>
      <w:r>
        <w:rPr>
          <w:rtl/>
        </w:rPr>
        <w:br w:type="page"/>
      </w:r>
    </w:p>
    <w:p w:rsidR="00C50A61" w:rsidRPr="00D81B93" w:rsidRDefault="00D81B93" w:rsidP="0086772B">
      <w:pPr>
        <w:pStyle w:val="Heading3"/>
        <w:rPr>
          <w:rtl/>
        </w:rPr>
      </w:pPr>
      <w:r w:rsidRPr="00D81B93">
        <w:rPr>
          <w:rFonts w:hint="cs"/>
          <w:rtl/>
        </w:rPr>
        <w:lastRenderedPageBreak/>
        <w:t>الأحكام الراهنة بشأن النشر في إطار نظام لاهاي</w:t>
      </w:r>
    </w:p>
    <w:p w:rsidR="00D81B93" w:rsidRDefault="00D81B93" w:rsidP="0062424A">
      <w:pPr>
        <w:pStyle w:val="BodyText"/>
        <w:rPr>
          <w:rtl/>
          <w:lang w:bidi="ar-SA"/>
        </w:rPr>
      </w:pPr>
      <w:r>
        <w:rPr>
          <w:rFonts w:hint="cs"/>
          <w:rtl/>
          <w:lang w:bidi="ar-SA"/>
        </w:rPr>
        <w:t>بشكل عام، يتم نشر التسجيل الدولي بعد ستة أشهر من تاريخ التسجيل الدولي (وهو ما يشار إليه فيما يلي بعبارة "النشر</w:t>
      </w:r>
      <w:r w:rsidR="0062424A">
        <w:rPr>
          <w:rFonts w:hint="eastAsia"/>
          <w:rtl/>
          <w:lang w:bidi="ar-SA"/>
        </w:rPr>
        <w:t> </w:t>
      </w:r>
      <w:r>
        <w:rPr>
          <w:rFonts w:hint="cs"/>
          <w:rtl/>
          <w:lang w:bidi="ar-SA"/>
        </w:rPr>
        <w:t>العادي")، إلا إذا التمس المودع النشر على الفور أو تأجيل النشر، مما لا يمكن أن يتجاوز 30 شهرا بموجب وثيقة</w:t>
      </w:r>
      <w:r>
        <w:rPr>
          <w:rFonts w:hint="eastAsia"/>
          <w:rtl/>
          <w:lang w:bidi="ar-SA"/>
        </w:rPr>
        <w:t> </w:t>
      </w:r>
      <w:r>
        <w:rPr>
          <w:rFonts w:hint="cs"/>
          <w:rtl/>
          <w:lang w:bidi="ar-SA"/>
        </w:rPr>
        <w:t>جنيف</w:t>
      </w:r>
      <w:r>
        <w:rPr>
          <w:rFonts w:hint="eastAsia"/>
          <w:rtl/>
          <w:lang w:bidi="ar-SA"/>
        </w:rPr>
        <w:t> </w:t>
      </w:r>
      <w:r>
        <w:rPr>
          <w:rFonts w:hint="cs"/>
          <w:rtl/>
          <w:lang w:bidi="ar-SA"/>
        </w:rPr>
        <w:t>(1999) أو 12 شهرا بموجب وثيقة لاهاي (1960) اعتبارا من تاريخ الإيداع</w:t>
      </w:r>
      <w:r w:rsidR="005618D3">
        <w:rPr>
          <w:rFonts w:hint="cs"/>
          <w:rtl/>
          <w:lang w:bidi="ar-SA"/>
        </w:rPr>
        <w:t xml:space="preserve"> أو، في</w:t>
      </w:r>
      <w:r w:rsidR="005618D3">
        <w:rPr>
          <w:rFonts w:hint="eastAsia"/>
          <w:rtl/>
          <w:lang w:bidi="ar-SA"/>
        </w:rPr>
        <w:t> </w:t>
      </w:r>
      <w:r w:rsidR="005618D3">
        <w:rPr>
          <w:rFonts w:hint="cs"/>
          <w:rtl/>
          <w:lang w:bidi="ar-SA"/>
        </w:rPr>
        <w:t>حال المطالبة بالأولوية، اعتبارا من تاريخ الأولوية</w:t>
      </w:r>
      <w:r w:rsidR="00A676D6">
        <w:rPr>
          <w:rStyle w:val="FootnoteReference"/>
          <w:rtl/>
          <w:lang w:bidi="ar-SA"/>
        </w:rPr>
        <w:footnoteReference w:id="1"/>
      </w:r>
      <w:r w:rsidR="005618D3">
        <w:rPr>
          <w:rFonts w:hint="cs"/>
          <w:rtl/>
          <w:lang w:bidi="ar-SA"/>
        </w:rPr>
        <w:t>.</w:t>
      </w:r>
    </w:p>
    <w:p w:rsidR="005618D3" w:rsidRDefault="005618D3" w:rsidP="00A676D6">
      <w:pPr>
        <w:pStyle w:val="BodyText"/>
        <w:rPr>
          <w:rtl/>
          <w:lang w:bidi="ar-SA"/>
        </w:rPr>
      </w:pPr>
      <w:r>
        <w:rPr>
          <w:rFonts w:hint="cs"/>
          <w:rtl/>
          <w:lang w:bidi="ar-SA"/>
        </w:rPr>
        <w:t>ولكن فيما يخص وثيقة 1999، قدمت بعض الأطراف المتعاقدة إعلانا يفيد بأن قانونها الوطني لا ينص سوى على فترة تأجيل أقل من 30 شهرا</w:t>
      </w:r>
      <w:r w:rsidR="00A676D6">
        <w:rPr>
          <w:rStyle w:val="FootnoteReference"/>
          <w:rtl/>
          <w:lang w:bidi="ar-SA"/>
        </w:rPr>
        <w:footnoteReference w:id="2"/>
      </w:r>
      <w:r>
        <w:rPr>
          <w:rFonts w:hint="cs"/>
          <w:rtl/>
          <w:lang w:bidi="ar-SA"/>
        </w:rPr>
        <w:t>. وحتى الآن، قدم 16 طرفا متعاقدا إعلانا من هذا القبيل</w:t>
      </w:r>
      <w:r w:rsidR="00A676D6">
        <w:rPr>
          <w:rStyle w:val="FootnoteReference"/>
          <w:rtl/>
          <w:lang w:bidi="ar-SA"/>
        </w:rPr>
        <w:footnoteReference w:id="3"/>
      </w:r>
      <w:r>
        <w:rPr>
          <w:rFonts w:hint="cs"/>
          <w:rtl/>
          <w:lang w:bidi="ar-SA"/>
        </w:rPr>
        <w:t>.</w:t>
      </w:r>
      <w:r w:rsidR="00A676D6">
        <w:rPr>
          <w:rFonts w:hint="cs"/>
          <w:rtl/>
          <w:lang w:bidi="ar-SA"/>
        </w:rPr>
        <w:t xml:space="preserve"> وعلاوة على ذلك، قدمت بعض الأطراف المتعاقدة إعلانا يفيد بأن قانونها الوطني لا ينص إطلاقا على تأجيل النشر</w:t>
      </w:r>
      <w:r w:rsidR="00A676D6">
        <w:rPr>
          <w:rStyle w:val="FootnoteReference"/>
          <w:rtl/>
          <w:lang w:bidi="ar-SA"/>
        </w:rPr>
        <w:footnoteReference w:id="4"/>
      </w:r>
      <w:r w:rsidR="00A676D6">
        <w:rPr>
          <w:rFonts w:hint="cs"/>
          <w:rtl/>
          <w:lang w:bidi="ar-SA"/>
        </w:rPr>
        <w:t>. وحتى الآن، قدمت تسعة أطراف متعاقدة إعلانا من هذا النوع</w:t>
      </w:r>
      <w:r w:rsidR="00A676D6">
        <w:rPr>
          <w:rStyle w:val="FootnoteReference"/>
          <w:rtl/>
          <w:lang w:bidi="ar-SA"/>
        </w:rPr>
        <w:footnoteReference w:id="5"/>
      </w:r>
      <w:r w:rsidR="00A676D6">
        <w:rPr>
          <w:rFonts w:hint="cs"/>
          <w:rtl/>
          <w:lang w:bidi="ar-SA"/>
        </w:rPr>
        <w:t>.</w:t>
      </w:r>
    </w:p>
    <w:p w:rsidR="00A676D6" w:rsidRDefault="00474630" w:rsidP="00295CED">
      <w:pPr>
        <w:pStyle w:val="BodyText"/>
        <w:rPr>
          <w:rtl/>
          <w:lang w:bidi="ar-SA"/>
        </w:rPr>
      </w:pPr>
      <w:r>
        <w:rPr>
          <w:rFonts w:hint="cs"/>
          <w:rtl/>
          <w:lang w:bidi="ar-SA"/>
        </w:rPr>
        <w:lastRenderedPageBreak/>
        <w:t>وبناء عليه، إذا عيّن الطلب الدولي "أحد" الأطراف المتعاقدة التي قدمت إعلانا بناء على</w:t>
      </w:r>
      <w:r w:rsidR="00295CED">
        <w:rPr>
          <w:rFonts w:hint="cs"/>
          <w:rtl/>
          <w:lang w:bidi="ar-SA"/>
        </w:rPr>
        <w:t xml:space="preserve"> وثيقة 1999 يفيد بأنه من غير الممكن إطلاقا </w:t>
      </w:r>
      <w:r>
        <w:rPr>
          <w:rFonts w:hint="cs"/>
          <w:rtl/>
          <w:lang w:bidi="ar-SA"/>
        </w:rPr>
        <w:t xml:space="preserve">تأجيل </w:t>
      </w:r>
      <w:r w:rsidR="00295CED">
        <w:rPr>
          <w:rFonts w:hint="cs"/>
          <w:rtl/>
          <w:lang w:bidi="ar-SA"/>
        </w:rPr>
        <w:t>النشر بموجب قانون</w:t>
      </w:r>
      <w:r w:rsidR="009F3848">
        <w:rPr>
          <w:rFonts w:hint="cs"/>
          <w:rtl/>
          <w:lang w:bidi="ar-SA"/>
        </w:rPr>
        <w:t xml:space="preserve"> ذلك الطرف المتعاقد، فإ</w:t>
      </w:r>
      <w:r w:rsidR="00295CED">
        <w:rPr>
          <w:rFonts w:hint="cs"/>
          <w:rtl/>
          <w:lang w:bidi="ar-SA"/>
        </w:rPr>
        <w:t>ن المودع لا يمكنه الاستفادة من تأجيل النشر، ويتم النشر بعد ستة أشهر من تاريخ التسجيل الدولي.</w:t>
      </w:r>
    </w:p>
    <w:p w:rsidR="00295CED" w:rsidRDefault="00295CED" w:rsidP="0086772B">
      <w:pPr>
        <w:pStyle w:val="Heading3"/>
        <w:rPr>
          <w:rtl/>
        </w:rPr>
      </w:pPr>
      <w:r>
        <w:rPr>
          <w:rFonts w:hint="cs"/>
          <w:rtl/>
        </w:rPr>
        <w:t>الخلفية التاريخية والوضع الحالي</w:t>
      </w:r>
    </w:p>
    <w:p w:rsidR="00295CED" w:rsidRDefault="00295CED" w:rsidP="00FE68D2">
      <w:pPr>
        <w:pStyle w:val="BodyText"/>
        <w:rPr>
          <w:rtl/>
          <w:lang w:bidi="ar-SA"/>
        </w:rPr>
      </w:pPr>
      <w:r>
        <w:rPr>
          <w:rFonts w:hint="cs"/>
          <w:rtl/>
          <w:lang w:bidi="ar-SA"/>
        </w:rPr>
        <w:t xml:space="preserve">كانت فترة النشر العادي الحالية البالغة ستة أشهر </w:t>
      </w:r>
      <w:r w:rsidR="00FE68D2">
        <w:rPr>
          <w:rFonts w:hint="cs"/>
          <w:rtl/>
          <w:lang w:bidi="ar-SA"/>
        </w:rPr>
        <w:t>محل</w:t>
      </w:r>
      <w:r>
        <w:rPr>
          <w:rFonts w:hint="cs"/>
          <w:rtl/>
          <w:lang w:bidi="ar-SA"/>
        </w:rPr>
        <w:t xml:space="preserve"> اتفاق واعتماد خلال المؤتمر الدبلوماسي المعني باعتماد وثيقة جديدة لاتفاق لاهاي بشأن الإيداع الدولي للتصاميم ال</w:t>
      </w:r>
      <w:r w:rsidR="00FE68D2">
        <w:rPr>
          <w:rFonts w:hint="cs"/>
          <w:rtl/>
          <w:lang w:bidi="ar-SA"/>
        </w:rPr>
        <w:t>صناعية (وثيقة جنيف) في عام 1999، بناء على اقتراح صادر عن لجنة الخبراء المعنية بتطوير اتفاق لاهاي بشأن الإيداع الدولي للتصاميم الصناعية.</w:t>
      </w:r>
    </w:p>
    <w:p w:rsidR="00FE68D2" w:rsidRDefault="00FE68D2" w:rsidP="00711E6B">
      <w:pPr>
        <w:pStyle w:val="BodyText"/>
        <w:rPr>
          <w:rtl/>
          <w:lang w:bidi="ar-SA"/>
        </w:rPr>
      </w:pPr>
      <w:r>
        <w:rPr>
          <w:rFonts w:hint="cs"/>
          <w:rtl/>
          <w:lang w:bidi="ar-SA"/>
        </w:rPr>
        <w:t>وأخذ الاقتراح المذكور في الحسبان أنه</w:t>
      </w:r>
      <w:r w:rsidRPr="00FE68D2">
        <w:rPr>
          <w:rFonts w:hint="cs"/>
          <w:rtl/>
          <w:lang w:bidi="ar-SA"/>
        </w:rPr>
        <w:t xml:space="preserve"> </w:t>
      </w:r>
      <w:r>
        <w:rPr>
          <w:rFonts w:hint="cs"/>
          <w:rtl/>
          <w:lang w:bidi="ar-SA"/>
        </w:rPr>
        <w:t>قد تمضي، في إطار بعض الأنظمة الوطنية والإقليمية، فترة زمنية قبل نشر تصميم صناعي بسبب خضوعه للفحص (سواء الشكلي أو الموضوعي) والتحضيرات التقنية الخاصة بالنشر</w:t>
      </w:r>
      <w:r>
        <w:rPr>
          <w:rStyle w:val="FootnoteReference"/>
          <w:rtl/>
          <w:lang w:bidi="ar-SA"/>
        </w:rPr>
        <w:footnoteReference w:id="6"/>
      </w:r>
      <w:r w:rsidR="00711E6B">
        <w:rPr>
          <w:rFonts w:hint="cs"/>
          <w:rtl/>
          <w:lang w:bidi="ar-SA"/>
        </w:rPr>
        <w:t xml:space="preserve">. وبالتالي، اختيرت فترة الستة أشهر </w:t>
      </w:r>
      <w:r w:rsidR="00711E6B" w:rsidRPr="00711E6B">
        <w:rPr>
          <w:rFonts w:hint="cs"/>
          <w:u w:val="single"/>
          <w:rtl/>
          <w:lang w:bidi="ar-SA"/>
        </w:rPr>
        <w:t>ب</w:t>
      </w:r>
      <w:r w:rsidR="00711E6B" w:rsidRPr="00711E6B">
        <w:rPr>
          <w:u w:val="single"/>
          <w:rtl/>
          <w:lang w:bidi="ar-SA"/>
        </w:rPr>
        <w:t>هدف منح صاحب التسجيل الدولي المزية نفسها للتأجيل الفعلي الذي يتمتع به عند إيداع طلبات تسجيل وطنية</w:t>
      </w:r>
      <w:r w:rsidR="00711E6B">
        <w:rPr>
          <w:rStyle w:val="FootnoteReference"/>
          <w:u w:val="single"/>
          <w:rtl/>
          <w:lang w:bidi="ar-SA"/>
        </w:rPr>
        <w:footnoteReference w:id="7"/>
      </w:r>
      <w:r w:rsidR="00711E6B" w:rsidRPr="00711E6B">
        <w:rPr>
          <w:rtl/>
          <w:lang w:bidi="ar-SA"/>
        </w:rPr>
        <w:t>.</w:t>
      </w:r>
    </w:p>
    <w:p w:rsidR="00711E6B" w:rsidRDefault="00711E6B" w:rsidP="0086772B">
      <w:pPr>
        <w:pStyle w:val="BodyText"/>
        <w:rPr>
          <w:rtl/>
          <w:lang w:bidi="ar-SA"/>
        </w:rPr>
      </w:pPr>
      <w:r>
        <w:rPr>
          <w:rFonts w:hint="cs"/>
          <w:rtl/>
          <w:lang w:bidi="ar-SA"/>
        </w:rPr>
        <w:t xml:space="preserve">غير أنه مع توسّع عضوية وثيقة 1999 لتشمل مجموعة متنوعة من الأنظمة الوطنية والإقليمية، </w:t>
      </w:r>
      <w:r w:rsidR="001D5FC5">
        <w:rPr>
          <w:rFonts w:hint="cs"/>
          <w:rtl/>
          <w:lang w:bidi="ar-SA"/>
        </w:rPr>
        <w:t xml:space="preserve">بات هناك غموض يشوب الغرض الأساسي </w:t>
      </w:r>
      <w:r w:rsidR="001D5FC5" w:rsidRPr="001D5FC5">
        <w:rPr>
          <w:rtl/>
          <w:lang w:bidi="ar-SA"/>
        </w:rPr>
        <w:t>لنظام النشر العادي</w:t>
      </w:r>
      <w:r w:rsidR="001D5FC5">
        <w:rPr>
          <w:rFonts w:hint="cs"/>
          <w:rtl/>
          <w:lang w:bidi="ar-SA"/>
        </w:rPr>
        <w:t xml:space="preserve">. وبالفعل، </w:t>
      </w:r>
      <w:r w:rsidR="0086772B">
        <w:rPr>
          <w:rFonts w:hint="cs"/>
          <w:rtl/>
          <w:lang w:bidi="ar-SA"/>
        </w:rPr>
        <w:t>فإن</w:t>
      </w:r>
      <w:r w:rsidR="001D5FC5">
        <w:rPr>
          <w:rFonts w:hint="cs"/>
          <w:rtl/>
          <w:lang w:bidi="ar-SA"/>
        </w:rPr>
        <w:t xml:space="preserve"> مكاتب بعض الأطراف </w:t>
      </w:r>
      <w:r w:rsidR="001D5FC5">
        <w:rPr>
          <w:rFonts w:hint="cs"/>
          <w:rtl/>
          <w:lang w:bidi="ar-SA"/>
        </w:rPr>
        <w:lastRenderedPageBreak/>
        <w:t>المتعاقدة، ممن قدمت إعلانا يفيد بأن قانونها الوطني لا يجيز تأجيل النشر، تجري فحص الجدة، من ضمن شروط أخرى. وبما أن التصاميم</w:t>
      </w:r>
      <w:r w:rsidR="0086772B">
        <w:rPr>
          <w:rFonts w:hint="cs"/>
          <w:rtl/>
          <w:lang w:bidi="ar-SA"/>
        </w:rPr>
        <w:t xml:space="preserve"> لا تُنشر</w:t>
      </w:r>
      <w:r w:rsidR="001D5FC5">
        <w:rPr>
          <w:rFonts w:hint="cs"/>
          <w:rtl/>
          <w:lang w:bidi="ar-SA"/>
        </w:rPr>
        <w:t xml:space="preserve">، في إطار الأنظمة المحلية المعنية، إلا بعد إصدار براءة تصميم أو تسجيل تصميم، فإن نشر تلك البراءات أو التسجيلات يتم غالبا </w:t>
      </w:r>
      <w:r w:rsidR="0086772B">
        <w:rPr>
          <w:rFonts w:hint="cs"/>
          <w:rtl/>
          <w:lang w:bidi="ar-SA"/>
        </w:rPr>
        <w:t>في غضون فترة أطول</w:t>
      </w:r>
      <w:r w:rsidR="001D5FC5">
        <w:rPr>
          <w:rFonts w:hint="cs"/>
          <w:rtl/>
          <w:lang w:bidi="ar-SA"/>
        </w:rPr>
        <w:t xml:space="preserve"> بكثير من فترة الستة أشهر اعتبارا من تاريخ </w:t>
      </w:r>
      <w:r w:rsidR="0086772B">
        <w:rPr>
          <w:rFonts w:hint="cs"/>
          <w:rtl/>
          <w:lang w:bidi="ar-SA"/>
        </w:rPr>
        <w:t>الإيداع، ولا يتم عادة قبل 12 شهرا على الأقل.</w:t>
      </w:r>
    </w:p>
    <w:p w:rsidR="0086772B" w:rsidRDefault="0086772B" w:rsidP="0086772B">
      <w:pPr>
        <w:pStyle w:val="Heading2"/>
        <w:rPr>
          <w:rtl/>
        </w:rPr>
      </w:pPr>
      <w:r>
        <w:rPr>
          <w:rFonts w:hint="cs"/>
          <w:rtl/>
        </w:rPr>
        <w:t>اقتراح تمديد فترة النشر العادي</w:t>
      </w:r>
    </w:p>
    <w:p w:rsidR="0086772B" w:rsidRDefault="00386D60" w:rsidP="00386D60">
      <w:pPr>
        <w:pStyle w:val="BodyText"/>
        <w:rPr>
          <w:rtl/>
          <w:lang w:bidi="ar-SA"/>
        </w:rPr>
      </w:pPr>
      <w:r>
        <w:rPr>
          <w:rFonts w:hint="cs"/>
          <w:rtl/>
          <w:lang w:bidi="ar-SA"/>
        </w:rPr>
        <w:t>يرمي</w:t>
      </w:r>
      <w:r w:rsidR="00C71D0B">
        <w:rPr>
          <w:rFonts w:hint="cs"/>
          <w:rtl/>
          <w:lang w:bidi="ar-SA"/>
        </w:rPr>
        <w:t xml:space="preserve"> </w:t>
      </w:r>
      <w:r>
        <w:rPr>
          <w:rFonts w:hint="cs"/>
          <w:rtl/>
          <w:lang w:bidi="ar-SA"/>
        </w:rPr>
        <w:t xml:space="preserve">اقتراح تمديد فترة </w:t>
      </w:r>
      <w:r w:rsidR="00C71D0B">
        <w:rPr>
          <w:rFonts w:hint="cs"/>
          <w:rtl/>
          <w:lang w:bidi="ar-SA"/>
        </w:rPr>
        <w:t xml:space="preserve">النشر العادي الحالية </w:t>
      </w:r>
      <w:r>
        <w:rPr>
          <w:rFonts w:hint="cs"/>
          <w:rtl/>
          <w:lang w:bidi="ar-SA"/>
        </w:rPr>
        <w:t>لتصبح</w:t>
      </w:r>
      <w:r w:rsidR="00C71D0B">
        <w:rPr>
          <w:rFonts w:hint="cs"/>
          <w:rtl/>
          <w:lang w:bidi="ar-SA"/>
        </w:rPr>
        <w:t xml:space="preserve"> 12 شهرا </w:t>
      </w:r>
      <w:r>
        <w:rPr>
          <w:rFonts w:hint="cs"/>
          <w:rtl/>
          <w:lang w:bidi="ar-SA"/>
        </w:rPr>
        <w:t xml:space="preserve">إلى ضمان تحقيق الغرض الأساسي </w:t>
      </w:r>
      <w:r w:rsidRPr="001D5FC5">
        <w:rPr>
          <w:rtl/>
          <w:lang w:bidi="ar-SA"/>
        </w:rPr>
        <w:t>لنظام النشر العادي</w:t>
      </w:r>
      <w:r>
        <w:rPr>
          <w:rFonts w:hint="cs"/>
          <w:rtl/>
          <w:lang w:bidi="ar-SA"/>
        </w:rPr>
        <w:t xml:space="preserve"> من خلال التقريب بين فترة النشر العادي وفترة التأجيل الفعلي، التي يتمتع بها المستخدمون في إطار الأنظمة المحلية لكثير من الأطراف المتعاقدة.</w:t>
      </w:r>
    </w:p>
    <w:p w:rsidR="00466B13" w:rsidRDefault="00466B13" w:rsidP="00466B13">
      <w:pPr>
        <w:pStyle w:val="BodyText"/>
        <w:rPr>
          <w:rtl/>
          <w:lang w:bidi="ar-SA"/>
        </w:rPr>
      </w:pPr>
      <w:r>
        <w:rPr>
          <w:rFonts w:hint="cs"/>
          <w:rtl/>
          <w:lang w:bidi="ar-SA"/>
        </w:rPr>
        <w:t xml:space="preserve">وللاطلاع على التفاصيل الخاصة بالخلفية والاقتراح، يُرجى الرجوع إلى الوثيقة </w:t>
      </w:r>
      <w:r w:rsidRPr="00466B13">
        <w:rPr>
          <w:lang w:bidi="ar-SA"/>
        </w:rPr>
        <w:t>H/LD/WG/8/6</w:t>
      </w:r>
      <w:r>
        <w:rPr>
          <w:rFonts w:hint="cs"/>
          <w:rtl/>
          <w:lang w:bidi="ar-SA"/>
        </w:rPr>
        <w:t xml:space="preserve">، المتاحة على الرابط التالي: </w:t>
      </w:r>
      <w:hyperlink r:id="rId9" w:history="1">
        <w:r w:rsidRPr="00466B13">
          <w:rPr>
            <w:rStyle w:val="Hyperlink"/>
            <w:color w:val="auto"/>
            <w:u w:val="none"/>
            <w:lang w:bidi="ar-SA"/>
          </w:rPr>
          <w:t>https://www.wipo.int/meetings/ar/doc_details.jsp?doc_id=452295</w:t>
        </w:r>
      </w:hyperlink>
      <w:r w:rsidRPr="00466B13">
        <w:rPr>
          <w:rFonts w:hint="cs"/>
          <w:rtl/>
          <w:lang w:bidi="ar-SA"/>
        </w:rPr>
        <w:t>.</w:t>
      </w:r>
    </w:p>
    <w:p w:rsidR="00466B13" w:rsidRDefault="00466B13">
      <w:pPr>
        <w:bidi w:val="0"/>
        <w:rPr>
          <w:rtl/>
        </w:rPr>
      </w:pPr>
      <w:r>
        <w:rPr>
          <w:rtl/>
        </w:rPr>
        <w:br w:type="page"/>
      </w:r>
    </w:p>
    <w:p w:rsidR="00466B13" w:rsidRDefault="00466B13" w:rsidP="00466B13">
      <w:pPr>
        <w:pStyle w:val="Heading2"/>
        <w:rPr>
          <w:rtl/>
        </w:rPr>
      </w:pPr>
      <w:r>
        <w:rPr>
          <w:rFonts w:hint="cs"/>
          <w:rtl/>
        </w:rPr>
        <w:lastRenderedPageBreak/>
        <w:t>تعليمات</w:t>
      </w:r>
    </w:p>
    <w:p w:rsidR="00466B13" w:rsidRDefault="00466B13" w:rsidP="00BC3CB6">
      <w:pPr>
        <w:pStyle w:val="BodyText"/>
        <w:rPr>
          <w:rtl/>
          <w:lang w:bidi="ar-SA"/>
        </w:rPr>
      </w:pPr>
      <w:r>
        <w:rPr>
          <w:rFonts w:hint="cs"/>
          <w:rtl/>
          <w:lang w:bidi="ar-SA"/>
        </w:rPr>
        <w:t xml:space="preserve">الرجاء استكمال الاستبيان بوضع علامة على الإطار المناسب (الأطر المناسبة)، ويُرجى </w:t>
      </w:r>
      <w:r w:rsidR="00BC3CB6">
        <w:rPr>
          <w:rFonts w:hint="cs"/>
          <w:rtl/>
          <w:lang w:bidi="ar-SA"/>
        </w:rPr>
        <w:t>الإسهاب في</w:t>
      </w:r>
      <w:r>
        <w:rPr>
          <w:rFonts w:hint="cs"/>
          <w:rtl/>
          <w:lang w:bidi="ar-SA"/>
        </w:rPr>
        <w:t xml:space="preserve"> ال</w:t>
      </w:r>
      <w:r w:rsidR="00BC3CB6">
        <w:rPr>
          <w:rFonts w:hint="cs"/>
          <w:rtl/>
          <w:lang w:bidi="ar-SA"/>
        </w:rPr>
        <w:t>إجابات. وفي حال الحاجة إلى مساحة إضافية، الرجاء إرفاق صفحات تكميلية بهذا الاستبيان مع بيان السؤال المعني بوضوح.</w:t>
      </w:r>
    </w:p>
    <w:p w:rsidR="00BC3CB6" w:rsidRDefault="00BC3CB6" w:rsidP="00BC3CB6">
      <w:pPr>
        <w:pStyle w:val="BodyText"/>
        <w:rPr>
          <w:rtl/>
          <w:lang w:bidi="ar-SA"/>
        </w:rPr>
      </w:pPr>
      <w:r>
        <w:rPr>
          <w:rFonts w:hint="cs"/>
          <w:rtl/>
          <w:lang w:bidi="ar-SA"/>
        </w:rPr>
        <w:t xml:space="preserve">وينبغي إرسال الاستبيان المُستكمل إلى المكتب الدول بالبريد الإلكتروني على العنوان التالي: </w:t>
      </w:r>
      <w:hyperlink r:id="rId10" w:history="1">
        <w:r w:rsidRPr="00BC3CB6">
          <w:rPr>
            <w:rStyle w:val="Hyperlink"/>
            <w:color w:val="auto"/>
            <w:u w:val="none"/>
            <w:lang w:bidi="ar-SA"/>
          </w:rPr>
          <w:t>hague.registry@wipo.int</w:t>
        </w:r>
      </w:hyperlink>
      <w:r>
        <w:rPr>
          <w:rFonts w:hint="cs"/>
          <w:rtl/>
          <w:lang w:bidi="ar-SA"/>
        </w:rPr>
        <w:t>.</w:t>
      </w:r>
    </w:p>
    <w:p w:rsidR="00BC3CB6" w:rsidRDefault="00BC3CB6" w:rsidP="00BC3CB6">
      <w:pPr>
        <w:pStyle w:val="Heading2"/>
        <w:spacing w:before="480"/>
        <w:rPr>
          <w:rtl/>
        </w:rPr>
      </w:pPr>
      <w:r>
        <w:rPr>
          <w:rFonts w:hint="cs"/>
          <w:rtl/>
        </w:rPr>
        <w:t>الاستبيان</w:t>
      </w:r>
    </w:p>
    <w:p w:rsidR="00BC3CB6" w:rsidRPr="00BC3CB6" w:rsidRDefault="00BC3CB6" w:rsidP="00BC3CB6">
      <w:pPr>
        <w:tabs>
          <w:tab w:val="left" w:leader="dot" w:pos="9072"/>
        </w:tabs>
        <w:spacing w:before="480" w:after="120"/>
        <w:ind w:left="562" w:hanging="562"/>
        <w:rPr>
          <w:rFonts w:eastAsia="SimSun"/>
          <w:snapToGrid w:val="0"/>
          <w:lang w:eastAsia="zh-CN"/>
        </w:rPr>
      </w:pPr>
      <w:r>
        <w:rPr>
          <w:rFonts w:eastAsia="SimSun" w:hint="cs"/>
          <w:snapToGrid w:val="0"/>
          <w:rtl/>
          <w:lang w:eastAsia="zh-CN"/>
        </w:rPr>
        <w:t xml:space="preserve">الاسم: </w:t>
      </w:r>
      <w:r>
        <w:rPr>
          <w:rFonts w:eastAsia="SimSun"/>
          <w:snapToGrid w:val="0"/>
          <w:rtl/>
          <w:lang w:eastAsia="zh-CN"/>
        </w:rPr>
        <w:tab/>
      </w:r>
    </w:p>
    <w:p w:rsidR="00BC3CB6" w:rsidRPr="00BC3CB6" w:rsidRDefault="00BC3CB6" w:rsidP="00BC3CB6">
      <w:pPr>
        <w:tabs>
          <w:tab w:val="left" w:leader="dot" w:pos="9072"/>
        </w:tabs>
        <w:spacing w:after="120"/>
        <w:ind w:left="567" w:hanging="567"/>
        <w:rPr>
          <w:rFonts w:eastAsia="SimSun"/>
          <w:snapToGrid w:val="0"/>
          <w:lang w:eastAsia="zh-CN"/>
        </w:rPr>
      </w:pPr>
      <w:r>
        <w:rPr>
          <w:rFonts w:eastAsia="SimSun" w:hint="cs"/>
          <w:snapToGrid w:val="0"/>
          <w:rtl/>
          <w:lang w:eastAsia="zh-CN"/>
        </w:rPr>
        <w:t xml:space="preserve">المسمى الوظيفي: </w:t>
      </w:r>
      <w:r>
        <w:rPr>
          <w:rFonts w:eastAsia="SimSun"/>
          <w:snapToGrid w:val="0"/>
          <w:rtl/>
          <w:lang w:eastAsia="zh-CN"/>
        </w:rPr>
        <w:tab/>
      </w:r>
    </w:p>
    <w:p w:rsidR="00BC3CB6" w:rsidRPr="00BC3CB6" w:rsidRDefault="00BC3CB6" w:rsidP="00BC3CB6">
      <w:pPr>
        <w:tabs>
          <w:tab w:val="left" w:leader="dot" w:pos="9072"/>
        </w:tabs>
        <w:spacing w:after="120"/>
        <w:ind w:left="567" w:hanging="567"/>
        <w:rPr>
          <w:rFonts w:eastAsia="SimSun"/>
          <w:snapToGrid w:val="0"/>
          <w:lang w:eastAsia="zh-CN"/>
        </w:rPr>
      </w:pPr>
      <w:r>
        <w:rPr>
          <w:rFonts w:eastAsia="SimSun" w:hint="cs"/>
          <w:snapToGrid w:val="0"/>
          <w:rtl/>
          <w:lang w:eastAsia="zh-CN"/>
        </w:rPr>
        <w:t>عنوان البريد الإلكتروني:</w:t>
      </w:r>
      <w:r w:rsidRPr="00BC3CB6">
        <w:rPr>
          <w:rFonts w:eastAsia="SimSun"/>
          <w:snapToGrid w:val="0"/>
          <w:lang w:eastAsia="zh-CN"/>
        </w:rPr>
        <w:tab/>
      </w:r>
    </w:p>
    <w:p w:rsidR="00BC3CB6" w:rsidRPr="00BC3CB6" w:rsidRDefault="000C7431" w:rsidP="00BC3CB6">
      <w:pPr>
        <w:tabs>
          <w:tab w:val="left" w:leader="dot" w:pos="9072"/>
        </w:tabs>
        <w:spacing w:after="120"/>
        <w:ind w:left="567" w:hanging="567"/>
        <w:rPr>
          <w:rFonts w:eastAsia="SimSun"/>
          <w:snapToGrid w:val="0"/>
          <w:lang w:eastAsia="zh-CN"/>
        </w:rPr>
      </w:pPr>
      <w:r>
        <w:rPr>
          <w:rFonts w:eastAsia="SimSun" w:hint="cs"/>
          <w:snapToGrid w:val="0"/>
          <w:rtl/>
          <w:lang w:eastAsia="zh-CN"/>
        </w:rPr>
        <w:t xml:space="preserve">نيابة عن </w:t>
      </w:r>
      <w:r w:rsidRPr="000C7431">
        <w:rPr>
          <w:rFonts w:eastAsia="SimSun" w:hint="cs"/>
          <w:i/>
          <w:iCs/>
          <w:snapToGrid w:val="0"/>
          <w:rtl/>
          <w:lang w:eastAsia="zh-CN"/>
        </w:rPr>
        <w:t>[المنظمة]</w:t>
      </w:r>
      <w:r>
        <w:rPr>
          <w:rFonts w:eastAsia="SimSun" w:hint="cs"/>
          <w:snapToGrid w:val="0"/>
          <w:rtl/>
          <w:lang w:eastAsia="zh-CN"/>
        </w:rPr>
        <w:t>:</w:t>
      </w:r>
      <w:r w:rsidR="00BC3CB6" w:rsidRPr="00BC3CB6">
        <w:rPr>
          <w:rFonts w:eastAsia="SimSun"/>
          <w:snapToGrid w:val="0"/>
          <w:lang w:eastAsia="zh-CN"/>
        </w:rPr>
        <w:tab/>
      </w:r>
    </w:p>
    <w:p w:rsidR="00BC3CB6" w:rsidRPr="00BC3CB6" w:rsidRDefault="000C7431" w:rsidP="000C7431">
      <w:pPr>
        <w:tabs>
          <w:tab w:val="left" w:leader="dot" w:pos="9072"/>
        </w:tabs>
        <w:spacing w:after="120"/>
        <w:ind w:left="567" w:hanging="567"/>
        <w:rPr>
          <w:rFonts w:eastAsia="SimSun"/>
          <w:snapToGrid w:val="0"/>
          <w:lang w:eastAsia="zh-CN"/>
        </w:rPr>
      </w:pPr>
      <w:r>
        <w:rPr>
          <w:rFonts w:eastAsia="SimSun" w:hint="cs"/>
          <w:snapToGrid w:val="0"/>
          <w:rtl/>
          <w:lang w:eastAsia="zh-CN"/>
        </w:rPr>
        <w:t>كم عدد الأعضاء الذين تمثلهم منظمتكم؟</w:t>
      </w:r>
      <w:r w:rsidR="00BC3CB6" w:rsidRPr="00BC3CB6">
        <w:rPr>
          <w:rFonts w:eastAsia="SimSun"/>
          <w:snapToGrid w:val="0"/>
          <w:lang w:eastAsia="zh-CN"/>
        </w:rPr>
        <w:tab/>
      </w:r>
    </w:p>
    <w:p w:rsidR="00BC3CB6" w:rsidRDefault="000C7431" w:rsidP="00BC3CB6">
      <w:pPr>
        <w:pStyle w:val="BodyText"/>
        <w:spacing w:before="480"/>
        <w:rPr>
          <w:rtl/>
          <w:lang w:bidi="ar-SA"/>
        </w:rPr>
      </w:pPr>
      <w:r>
        <w:rPr>
          <w:rFonts w:hint="cs"/>
          <w:rtl/>
          <w:lang w:bidi="ar-SA"/>
        </w:rPr>
        <w:t>1.</w:t>
      </w:r>
      <w:r>
        <w:rPr>
          <w:rtl/>
          <w:lang w:bidi="ar-SA"/>
        </w:rPr>
        <w:tab/>
      </w:r>
      <w:r>
        <w:rPr>
          <w:rFonts w:hint="cs"/>
          <w:rtl/>
          <w:lang w:bidi="ar-SA"/>
        </w:rPr>
        <w:t>هل تؤيد منظمتكم تمديد فترة النشر العادي من ستة أشهر إلى 12 شهرا؟</w:t>
      </w:r>
    </w:p>
    <w:p w:rsidR="000C7431" w:rsidRPr="000C7431" w:rsidRDefault="000C7431" w:rsidP="000C7431">
      <w:pPr>
        <w:tabs>
          <w:tab w:val="left" w:pos="993"/>
          <w:tab w:val="left" w:leader="dot" w:pos="9638"/>
        </w:tabs>
        <w:spacing w:before="200" w:after="120" w:line="260" w:lineRule="exact"/>
        <w:ind w:left="562"/>
        <w:rPr>
          <w:rFonts w:eastAsia="SimSun"/>
          <w:snapToGrid w:val="0"/>
          <w:color w:val="000000"/>
          <w:lang w:eastAsia="ja-JP"/>
        </w:rPr>
      </w:pPr>
      <w:r>
        <w:rPr>
          <w:rFonts w:eastAsia="SimSun" w:hint="cs"/>
          <w:snapToGrid w:val="0"/>
          <w:color w:val="000000"/>
          <w:rtl/>
          <w:lang w:eastAsia="ja-JP"/>
        </w:rPr>
        <w:t>نعم</w:t>
      </w:r>
      <w:r w:rsidRPr="000C7431">
        <w:rPr>
          <w:rFonts w:eastAsia="SimSun"/>
          <w:snapToGrid w:val="0"/>
          <w:color w:val="000000"/>
          <w:lang w:eastAsia="ja-JP"/>
        </w:rPr>
        <w:tab/>
      </w:r>
      <w:sdt>
        <w:sdtPr>
          <w:rPr>
            <w:rFonts w:eastAsia="SimSun"/>
            <w:snapToGrid w:val="0"/>
            <w:color w:val="000000"/>
            <w:rtl/>
            <w:lang w:eastAsia="ja-JP"/>
          </w:rPr>
          <w:id w:val="1668519848"/>
          <w14:checkbox>
            <w14:checked w14:val="0"/>
            <w14:checkedState w14:val="2612" w14:font="MS Gothic"/>
            <w14:uncheckedState w14:val="2610" w14:font="MS Gothic"/>
          </w14:checkbox>
        </w:sdtPr>
        <w:sdtEndPr/>
        <w:sdtContent>
          <w:r>
            <w:rPr>
              <w:rFonts w:ascii="Segoe UI Symbol" w:eastAsia="MS Gothic" w:hAnsi="Segoe UI Symbol" w:cs="Segoe UI Symbol" w:hint="cs"/>
              <w:snapToGrid w:val="0"/>
              <w:color w:val="000000"/>
              <w:rtl/>
              <w:lang w:eastAsia="ja-JP"/>
            </w:rPr>
            <w:t>☐</w:t>
          </w:r>
        </w:sdtContent>
      </w:sdt>
    </w:p>
    <w:p w:rsidR="000C7431" w:rsidRPr="000C7431" w:rsidRDefault="000C7431" w:rsidP="000C7431">
      <w:pPr>
        <w:tabs>
          <w:tab w:val="left" w:pos="993"/>
          <w:tab w:val="left" w:leader="dot" w:pos="9638"/>
        </w:tabs>
        <w:spacing w:before="200" w:after="120" w:line="260" w:lineRule="exact"/>
        <w:ind w:left="562"/>
        <w:rPr>
          <w:rFonts w:eastAsia="SimSun"/>
          <w:snapToGrid w:val="0"/>
          <w:color w:val="000000"/>
          <w:lang w:eastAsia="ja-JP"/>
        </w:rPr>
      </w:pPr>
      <w:r>
        <w:rPr>
          <w:rFonts w:eastAsia="SimSun" w:hint="cs"/>
          <w:snapToGrid w:val="0"/>
          <w:color w:val="000000"/>
          <w:rtl/>
          <w:lang w:eastAsia="ja-JP"/>
        </w:rPr>
        <w:t>لا</w:t>
      </w:r>
      <w:r w:rsidRPr="000C7431">
        <w:rPr>
          <w:rFonts w:eastAsia="SimSun"/>
          <w:snapToGrid w:val="0"/>
          <w:color w:val="000000"/>
          <w:lang w:eastAsia="ja-JP"/>
        </w:rPr>
        <w:tab/>
      </w:r>
      <w:sdt>
        <w:sdtPr>
          <w:rPr>
            <w:rFonts w:eastAsia="SimSun"/>
            <w:snapToGrid w:val="0"/>
            <w:color w:val="000000"/>
            <w:rtl/>
            <w:lang w:eastAsia="ja-JP"/>
          </w:rPr>
          <w:id w:val="2026901106"/>
          <w14:checkbox>
            <w14:checked w14:val="0"/>
            <w14:checkedState w14:val="2612" w14:font="MS Gothic"/>
            <w14:uncheckedState w14:val="2610" w14:font="MS Gothic"/>
          </w14:checkbox>
        </w:sdtPr>
        <w:sdtEndPr/>
        <w:sdtContent>
          <w:r w:rsidRPr="000C7431">
            <w:rPr>
              <w:rFonts w:ascii="Segoe UI Symbol" w:eastAsia="SimSun" w:hAnsi="Segoe UI Symbol" w:cs="Segoe UI Symbol"/>
              <w:snapToGrid w:val="0"/>
              <w:color w:val="000000"/>
              <w:lang w:eastAsia="ja-JP"/>
            </w:rPr>
            <w:t>☐</w:t>
          </w:r>
        </w:sdtContent>
      </w:sdt>
    </w:p>
    <w:p w:rsidR="000C7431" w:rsidRDefault="000C7431" w:rsidP="000C7431">
      <w:pPr>
        <w:pStyle w:val="BodyText"/>
        <w:rPr>
          <w:rtl/>
          <w:lang w:bidi="ar-SA"/>
        </w:rPr>
      </w:pPr>
      <w:r>
        <w:rPr>
          <w:rFonts w:hint="cs"/>
          <w:rtl/>
          <w:lang w:bidi="ar-SA"/>
        </w:rPr>
        <w:t>الأسباب (اختياري):</w:t>
      </w:r>
    </w:p>
    <w:p w:rsidR="000C7431" w:rsidRPr="000C7431" w:rsidRDefault="000C7431" w:rsidP="000C7431">
      <w:pPr>
        <w:tabs>
          <w:tab w:val="left" w:leader="dot" w:pos="9072"/>
          <w:tab w:val="left" w:leader="dot" w:pos="9638"/>
        </w:tabs>
        <w:spacing w:after="120" w:line="260" w:lineRule="exact"/>
        <w:rPr>
          <w:rFonts w:eastAsia="SimSun"/>
          <w:snapToGrid w:val="0"/>
          <w:color w:val="000000"/>
          <w:lang w:eastAsia="ja-JP"/>
        </w:rPr>
      </w:pPr>
      <w:r w:rsidRPr="000C7431">
        <w:rPr>
          <w:rFonts w:eastAsia="SimSun"/>
          <w:snapToGrid w:val="0"/>
          <w:color w:val="000000"/>
          <w:lang w:eastAsia="ja-JP"/>
        </w:rPr>
        <w:tab/>
      </w:r>
    </w:p>
    <w:p w:rsidR="000C7431" w:rsidRPr="000C7431" w:rsidRDefault="000C7431" w:rsidP="000C7431">
      <w:pPr>
        <w:tabs>
          <w:tab w:val="left" w:leader="dot" w:pos="9072"/>
          <w:tab w:val="left" w:leader="dot" w:pos="9638"/>
        </w:tabs>
        <w:spacing w:after="120" w:line="260" w:lineRule="exact"/>
        <w:rPr>
          <w:rFonts w:eastAsia="SimSun"/>
          <w:snapToGrid w:val="0"/>
          <w:color w:val="000000"/>
          <w:lang w:eastAsia="ja-JP"/>
        </w:rPr>
      </w:pPr>
      <w:r w:rsidRPr="000C7431">
        <w:rPr>
          <w:rFonts w:eastAsia="SimSun"/>
          <w:snapToGrid w:val="0"/>
          <w:color w:val="000000"/>
          <w:lang w:eastAsia="ja-JP"/>
        </w:rPr>
        <w:tab/>
      </w:r>
    </w:p>
    <w:p w:rsidR="000C7431" w:rsidRPr="000C7431" w:rsidRDefault="000C7431" w:rsidP="000C7431">
      <w:pPr>
        <w:tabs>
          <w:tab w:val="left" w:leader="dot" w:pos="9072"/>
          <w:tab w:val="left" w:leader="dot" w:pos="9638"/>
        </w:tabs>
        <w:spacing w:after="120" w:line="260" w:lineRule="exact"/>
        <w:rPr>
          <w:rFonts w:eastAsia="SimSun"/>
          <w:snapToGrid w:val="0"/>
          <w:color w:val="000000"/>
          <w:lang w:eastAsia="ja-JP"/>
        </w:rPr>
      </w:pPr>
      <w:r w:rsidRPr="000C7431">
        <w:rPr>
          <w:rFonts w:eastAsia="SimSun"/>
          <w:snapToGrid w:val="0"/>
          <w:color w:val="000000"/>
          <w:lang w:eastAsia="ja-JP"/>
        </w:rPr>
        <w:tab/>
      </w:r>
    </w:p>
    <w:p w:rsidR="000C7431" w:rsidRPr="000C7431" w:rsidRDefault="000C7431" w:rsidP="000C7431">
      <w:pPr>
        <w:tabs>
          <w:tab w:val="left" w:leader="dot" w:pos="9072"/>
          <w:tab w:val="left" w:leader="dot" w:pos="9638"/>
        </w:tabs>
        <w:spacing w:after="120" w:line="260" w:lineRule="exact"/>
        <w:rPr>
          <w:rFonts w:eastAsia="SimSun"/>
          <w:snapToGrid w:val="0"/>
          <w:color w:val="000000"/>
          <w:lang w:eastAsia="ja-JP"/>
        </w:rPr>
      </w:pPr>
      <w:r w:rsidRPr="000C7431">
        <w:rPr>
          <w:rFonts w:eastAsia="SimSun"/>
          <w:snapToGrid w:val="0"/>
          <w:color w:val="000000"/>
          <w:lang w:eastAsia="ja-JP"/>
        </w:rPr>
        <w:tab/>
      </w:r>
    </w:p>
    <w:p w:rsidR="000C7431" w:rsidRPr="000C7431" w:rsidRDefault="000C7431" w:rsidP="000C7431">
      <w:pPr>
        <w:tabs>
          <w:tab w:val="left" w:leader="dot" w:pos="9072"/>
          <w:tab w:val="left" w:leader="dot" w:pos="9638"/>
        </w:tabs>
        <w:spacing w:after="120" w:line="260" w:lineRule="exact"/>
        <w:rPr>
          <w:rFonts w:eastAsia="SimSun"/>
          <w:snapToGrid w:val="0"/>
          <w:color w:val="000000"/>
          <w:lang w:eastAsia="ja-JP"/>
        </w:rPr>
      </w:pPr>
      <w:r w:rsidRPr="000C7431">
        <w:rPr>
          <w:rFonts w:eastAsia="SimSun"/>
          <w:snapToGrid w:val="0"/>
          <w:color w:val="000000"/>
          <w:lang w:eastAsia="ja-JP"/>
        </w:rPr>
        <w:tab/>
      </w:r>
    </w:p>
    <w:p w:rsidR="000C7431" w:rsidRPr="000C7431" w:rsidRDefault="000C7431" w:rsidP="000C7431">
      <w:pPr>
        <w:tabs>
          <w:tab w:val="left" w:leader="dot" w:pos="9072"/>
          <w:tab w:val="left" w:leader="dot" w:pos="9638"/>
        </w:tabs>
        <w:spacing w:after="120" w:line="260" w:lineRule="exact"/>
        <w:rPr>
          <w:rFonts w:eastAsia="SimSun"/>
          <w:snapToGrid w:val="0"/>
          <w:color w:val="000000"/>
          <w:lang w:eastAsia="ja-JP"/>
        </w:rPr>
      </w:pPr>
      <w:r w:rsidRPr="000C7431">
        <w:rPr>
          <w:rFonts w:eastAsia="SimSun"/>
          <w:snapToGrid w:val="0"/>
          <w:color w:val="000000"/>
          <w:lang w:eastAsia="ja-JP"/>
        </w:rPr>
        <w:tab/>
      </w:r>
    </w:p>
    <w:p w:rsidR="001F5676" w:rsidRDefault="001F5676" w:rsidP="001F5676">
      <w:pPr>
        <w:bidi w:val="0"/>
        <w:rPr>
          <w:rtl/>
        </w:rPr>
      </w:pPr>
      <w:r>
        <w:rPr>
          <w:rtl/>
        </w:rPr>
        <w:br w:type="page"/>
      </w:r>
    </w:p>
    <w:p w:rsidR="000C7431" w:rsidRDefault="001F5676" w:rsidP="001F5676">
      <w:pPr>
        <w:pStyle w:val="BodyText"/>
        <w:spacing w:before="480"/>
        <w:rPr>
          <w:rtl/>
          <w:lang w:bidi="ar-SA"/>
        </w:rPr>
      </w:pPr>
      <w:r>
        <w:rPr>
          <w:rFonts w:hint="cs"/>
          <w:rtl/>
          <w:lang w:bidi="ar-SA"/>
        </w:rPr>
        <w:lastRenderedPageBreak/>
        <w:t>2.</w:t>
      </w:r>
      <w:r>
        <w:rPr>
          <w:rtl/>
          <w:lang w:bidi="ar-SA"/>
        </w:rPr>
        <w:tab/>
      </w:r>
      <w:r w:rsidR="000C7431">
        <w:rPr>
          <w:rFonts w:hint="cs"/>
          <w:rtl/>
          <w:lang w:bidi="ar-SA"/>
        </w:rPr>
        <w:t>هل ترى منظمتكم أي</w:t>
      </w:r>
      <w:r w:rsidR="009F3848">
        <w:rPr>
          <w:rFonts w:hint="cs"/>
          <w:rtl/>
          <w:lang w:bidi="ar-SA"/>
        </w:rPr>
        <w:t>ة</w:t>
      </w:r>
      <w:r w:rsidR="000C7431">
        <w:rPr>
          <w:rFonts w:hint="cs"/>
          <w:rtl/>
          <w:lang w:bidi="ar-SA"/>
        </w:rPr>
        <w:t xml:space="preserve"> مساوئ (بالنسبة للغير مثلا) فيما يخص تمديد فترة النشر العادي إلى 12 شهرا؟</w:t>
      </w:r>
      <w:r w:rsidR="009F3848">
        <w:rPr>
          <w:rFonts w:hint="cs"/>
          <w:rtl/>
          <w:lang w:bidi="ar-SA"/>
        </w:rPr>
        <w:t xml:space="preserve"> يُرجى الشرح.</w:t>
      </w:r>
    </w:p>
    <w:p w:rsidR="001F5676" w:rsidRPr="001F5676" w:rsidRDefault="001F5676" w:rsidP="009F3848">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9F3848">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9F3848">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9F3848">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9F3848">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9F3848">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9F3848">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9F3848">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9F3848">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Default="001F5676" w:rsidP="001F5676">
      <w:pPr>
        <w:pStyle w:val="BodyText"/>
        <w:spacing w:before="480"/>
        <w:rPr>
          <w:rtl/>
          <w:lang w:bidi="ar-SA"/>
        </w:rPr>
      </w:pPr>
      <w:r>
        <w:rPr>
          <w:rFonts w:hint="cs"/>
          <w:rtl/>
          <w:lang w:bidi="ar-SA"/>
        </w:rPr>
        <w:t>3.</w:t>
      </w:r>
      <w:r>
        <w:rPr>
          <w:rtl/>
          <w:lang w:bidi="ar-SA"/>
        </w:rPr>
        <w:tab/>
      </w:r>
      <w:r>
        <w:rPr>
          <w:rFonts w:hint="cs"/>
          <w:rtl/>
          <w:lang w:bidi="ar-SA"/>
        </w:rPr>
        <w:t>في حال مُدّدت فترة النشر العادي إلى 12 شهرا، هل ستؤيد منظمتكم إدراج إمكانية التماس نشر مسبق في أي وقت قبل انقضاء فترة النشر العادي البالغة 12 شهرا؟</w:t>
      </w:r>
    </w:p>
    <w:p w:rsidR="001F5676" w:rsidRPr="000C7431" w:rsidRDefault="001F5676" w:rsidP="001F5676">
      <w:pPr>
        <w:tabs>
          <w:tab w:val="left" w:pos="993"/>
          <w:tab w:val="left" w:leader="dot" w:pos="9638"/>
        </w:tabs>
        <w:spacing w:before="200" w:after="120" w:line="260" w:lineRule="exact"/>
        <w:ind w:left="562"/>
        <w:rPr>
          <w:rFonts w:eastAsia="SimSun"/>
          <w:snapToGrid w:val="0"/>
          <w:color w:val="000000"/>
          <w:lang w:eastAsia="ja-JP"/>
        </w:rPr>
      </w:pPr>
      <w:r>
        <w:rPr>
          <w:rFonts w:eastAsia="SimSun" w:hint="cs"/>
          <w:snapToGrid w:val="0"/>
          <w:color w:val="000000"/>
          <w:rtl/>
          <w:lang w:eastAsia="ja-JP"/>
        </w:rPr>
        <w:t>نعم</w:t>
      </w:r>
      <w:r w:rsidRPr="000C7431">
        <w:rPr>
          <w:rFonts w:eastAsia="SimSun"/>
          <w:snapToGrid w:val="0"/>
          <w:color w:val="000000"/>
          <w:lang w:eastAsia="ja-JP"/>
        </w:rPr>
        <w:tab/>
      </w:r>
      <w:sdt>
        <w:sdtPr>
          <w:rPr>
            <w:rFonts w:eastAsia="SimSun"/>
            <w:snapToGrid w:val="0"/>
            <w:color w:val="000000"/>
            <w:rtl/>
            <w:lang w:eastAsia="ja-JP"/>
          </w:rPr>
          <w:id w:val="936948801"/>
          <w14:checkbox>
            <w14:checked w14:val="0"/>
            <w14:checkedState w14:val="2612" w14:font="MS Gothic"/>
            <w14:uncheckedState w14:val="2610" w14:font="MS Gothic"/>
          </w14:checkbox>
        </w:sdtPr>
        <w:sdtEndPr/>
        <w:sdtContent>
          <w:r>
            <w:rPr>
              <w:rFonts w:ascii="Segoe UI Symbol" w:eastAsia="MS Gothic" w:hAnsi="Segoe UI Symbol" w:cs="Segoe UI Symbol" w:hint="cs"/>
              <w:snapToGrid w:val="0"/>
              <w:color w:val="000000"/>
              <w:rtl/>
              <w:lang w:eastAsia="ja-JP"/>
            </w:rPr>
            <w:t>☐</w:t>
          </w:r>
        </w:sdtContent>
      </w:sdt>
    </w:p>
    <w:p w:rsidR="001F5676" w:rsidRPr="000C7431" w:rsidRDefault="001F5676" w:rsidP="001F5676">
      <w:pPr>
        <w:tabs>
          <w:tab w:val="left" w:pos="993"/>
          <w:tab w:val="left" w:leader="dot" w:pos="9638"/>
        </w:tabs>
        <w:spacing w:before="200" w:after="120" w:line="260" w:lineRule="exact"/>
        <w:ind w:left="562"/>
        <w:rPr>
          <w:rFonts w:eastAsia="SimSun"/>
          <w:snapToGrid w:val="0"/>
          <w:color w:val="000000"/>
          <w:lang w:eastAsia="ja-JP"/>
        </w:rPr>
      </w:pPr>
      <w:r>
        <w:rPr>
          <w:rFonts w:eastAsia="SimSun" w:hint="cs"/>
          <w:snapToGrid w:val="0"/>
          <w:color w:val="000000"/>
          <w:rtl/>
          <w:lang w:eastAsia="ja-JP"/>
        </w:rPr>
        <w:t>لا</w:t>
      </w:r>
      <w:r w:rsidRPr="000C7431">
        <w:rPr>
          <w:rFonts w:eastAsia="SimSun"/>
          <w:snapToGrid w:val="0"/>
          <w:color w:val="000000"/>
          <w:lang w:eastAsia="ja-JP"/>
        </w:rPr>
        <w:tab/>
      </w:r>
      <w:sdt>
        <w:sdtPr>
          <w:rPr>
            <w:rFonts w:eastAsia="SimSun"/>
            <w:snapToGrid w:val="0"/>
            <w:color w:val="000000"/>
            <w:rtl/>
            <w:lang w:eastAsia="ja-JP"/>
          </w:rPr>
          <w:id w:val="2084483936"/>
          <w14:checkbox>
            <w14:checked w14:val="0"/>
            <w14:checkedState w14:val="2612" w14:font="MS Gothic"/>
            <w14:uncheckedState w14:val="2610" w14:font="MS Gothic"/>
          </w14:checkbox>
        </w:sdtPr>
        <w:sdtEndPr/>
        <w:sdtContent>
          <w:r w:rsidRPr="000C7431">
            <w:rPr>
              <w:rFonts w:ascii="Segoe UI Symbol" w:eastAsia="SimSun" w:hAnsi="Segoe UI Symbol" w:cs="Segoe UI Symbol"/>
              <w:snapToGrid w:val="0"/>
              <w:color w:val="000000"/>
              <w:lang w:eastAsia="ja-JP"/>
            </w:rPr>
            <w:t>☐</w:t>
          </w:r>
        </w:sdtContent>
      </w:sdt>
    </w:p>
    <w:p w:rsidR="001F5676" w:rsidRDefault="001F5676" w:rsidP="001F5676">
      <w:pPr>
        <w:pStyle w:val="BodyText"/>
        <w:rPr>
          <w:rtl/>
          <w:lang w:bidi="ar-SA"/>
        </w:rPr>
      </w:pPr>
      <w:r>
        <w:rPr>
          <w:rFonts w:hint="cs"/>
          <w:rtl/>
          <w:lang w:bidi="ar-SA"/>
        </w:rPr>
        <w:t>الأسباب (اختياري):</w:t>
      </w:r>
    </w:p>
    <w:p w:rsidR="001F5676" w:rsidRPr="001F5676" w:rsidRDefault="001F5676" w:rsidP="001F5676">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1F5676">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1F5676">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1F5676">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1F5676">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1F5676">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1F5676">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Pr="001F5676" w:rsidRDefault="001F5676" w:rsidP="001F5676">
      <w:pPr>
        <w:tabs>
          <w:tab w:val="left" w:leader="dot" w:pos="9072"/>
          <w:tab w:val="left" w:leader="dot" w:pos="9638"/>
        </w:tabs>
        <w:spacing w:after="120" w:line="260" w:lineRule="exact"/>
        <w:rPr>
          <w:rFonts w:eastAsia="SimSun"/>
          <w:snapToGrid w:val="0"/>
          <w:color w:val="000000"/>
          <w:lang w:eastAsia="ja-JP"/>
        </w:rPr>
      </w:pPr>
      <w:r w:rsidRPr="001F5676">
        <w:rPr>
          <w:rFonts w:eastAsia="SimSun"/>
          <w:snapToGrid w:val="0"/>
          <w:color w:val="000000"/>
          <w:lang w:eastAsia="ja-JP"/>
        </w:rPr>
        <w:tab/>
      </w:r>
    </w:p>
    <w:p w:rsidR="001F5676" w:rsidRDefault="001F5676" w:rsidP="001F5676">
      <w:pPr>
        <w:pStyle w:val="BodyText"/>
        <w:spacing w:before="480"/>
        <w:rPr>
          <w:rtl/>
          <w:lang w:bidi="ar-SA"/>
        </w:rPr>
      </w:pPr>
      <w:r>
        <w:rPr>
          <w:rFonts w:hint="cs"/>
          <w:rtl/>
          <w:lang w:bidi="ar-SA"/>
        </w:rPr>
        <w:t>4.</w:t>
      </w:r>
      <w:r w:rsidR="001B488C">
        <w:rPr>
          <w:rtl/>
          <w:lang w:bidi="ar-SA"/>
        </w:rPr>
        <w:tab/>
      </w:r>
      <w:r w:rsidR="001B488C">
        <w:rPr>
          <w:rFonts w:hint="cs"/>
          <w:rtl/>
          <w:lang w:bidi="ar-SA"/>
        </w:rPr>
        <w:t>هل لدى منظمتكم أية اقتراحات أو شواغل أخرى فيما يتعلق بموعد نشر التسجيلات الدولية؟</w:t>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lastRenderedPageBreak/>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Default="001B488C" w:rsidP="001F5676">
      <w:pPr>
        <w:pStyle w:val="BodyText"/>
        <w:spacing w:before="480"/>
        <w:rPr>
          <w:rtl/>
          <w:lang w:bidi="ar-SA"/>
        </w:rPr>
      </w:pPr>
      <w:r>
        <w:rPr>
          <w:rFonts w:hint="cs"/>
          <w:rtl/>
          <w:lang w:bidi="ar-SA"/>
        </w:rPr>
        <w:t>5.</w:t>
      </w:r>
      <w:r>
        <w:rPr>
          <w:rtl/>
          <w:lang w:bidi="ar-SA"/>
        </w:rPr>
        <w:tab/>
      </w:r>
      <w:r>
        <w:rPr>
          <w:rFonts w:hint="cs"/>
          <w:rtl/>
          <w:lang w:bidi="ar-SA"/>
        </w:rPr>
        <w:t>أية معلومات وجيهة أخرى</w:t>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B488C" w:rsidRDefault="001B488C" w:rsidP="001B488C">
      <w:pPr>
        <w:tabs>
          <w:tab w:val="left" w:leader="dot" w:pos="9072"/>
          <w:tab w:val="left" w:leader="dot" w:pos="9638"/>
        </w:tabs>
        <w:spacing w:after="120" w:line="260" w:lineRule="exact"/>
        <w:rPr>
          <w:rFonts w:eastAsia="SimSun"/>
          <w:snapToGrid w:val="0"/>
          <w:color w:val="000000"/>
          <w:lang w:eastAsia="ja-JP"/>
        </w:rPr>
      </w:pPr>
      <w:r w:rsidRPr="001B488C">
        <w:rPr>
          <w:rFonts w:eastAsia="SimSun"/>
          <w:snapToGrid w:val="0"/>
          <w:color w:val="000000"/>
          <w:lang w:eastAsia="ja-JP"/>
        </w:rPr>
        <w:tab/>
      </w:r>
    </w:p>
    <w:p w:rsidR="001B488C" w:rsidRPr="001F5676" w:rsidRDefault="001B488C" w:rsidP="001B488C">
      <w:pPr>
        <w:pStyle w:val="Endofdocument-Annex"/>
        <w:spacing w:before="480"/>
        <w:ind w:left="5530"/>
        <w:rPr>
          <w:rtl/>
        </w:rPr>
      </w:pPr>
      <w:r>
        <w:rPr>
          <w:rFonts w:hint="cs"/>
          <w:rtl/>
        </w:rPr>
        <w:t>[نهاية الوثيقة]</w:t>
      </w:r>
    </w:p>
    <w:sectPr w:rsidR="001B488C" w:rsidRPr="001F5676" w:rsidSect="00884122">
      <w:headerReference w:type="even" r:id="rId11"/>
      <w:headerReference w:type="default" r:id="rId12"/>
      <w:footerReference w:type="even" r:id="rId13"/>
      <w:footerReference w:type="default" r:id="rId14"/>
      <w:headerReference w:type="first" r:id="rId15"/>
      <w:footerReference w:type="first" r:id="rId16"/>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D6E" w:rsidRDefault="005A7D6E">
      <w:r>
        <w:separator/>
      </w:r>
    </w:p>
  </w:endnote>
  <w:endnote w:type="continuationSeparator" w:id="0">
    <w:p w:rsidR="005A7D6E" w:rsidRDefault="005A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122" w:rsidRDefault="00884122" w:rsidP="00884122">
    <w:pPr>
      <w:pStyle w:val="Footer"/>
    </w:pPr>
    <w:r>
      <w:rPr>
        <w:noProof/>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84122" w:rsidRDefault="00884122" w:rsidP="00884122">
                          <w:pPr>
                            <w:jc w:val="center"/>
                          </w:pPr>
                          <w:r w:rsidRPr="0088412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884122" w:rsidRDefault="00884122" w:rsidP="00884122">
                    <w:pPr>
                      <w:jc w:val="center"/>
                    </w:pPr>
                    <w:r w:rsidRPr="00884122">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122" w:rsidRDefault="00884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122" w:rsidRDefault="00884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D6E" w:rsidRDefault="005A7D6E" w:rsidP="009622BF">
      <w:bookmarkStart w:id="0" w:name="OLE_LINK1"/>
      <w:bookmarkStart w:id="1" w:name="OLE_LINK2"/>
      <w:r>
        <w:separator/>
      </w:r>
      <w:bookmarkEnd w:id="0"/>
      <w:bookmarkEnd w:id="1"/>
    </w:p>
  </w:footnote>
  <w:footnote w:type="continuationSeparator" w:id="0">
    <w:p w:rsidR="005A7D6E" w:rsidRDefault="005A7D6E" w:rsidP="009622BF">
      <w:r>
        <w:separator/>
      </w:r>
    </w:p>
  </w:footnote>
  <w:footnote w:id="1">
    <w:p w:rsidR="00A676D6" w:rsidRDefault="00A676D6" w:rsidP="00A676D6">
      <w:pPr>
        <w:pStyle w:val="FootnoteText"/>
        <w:rPr>
          <w:lang w:bidi="ar-SA"/>
        </w:rPr>
      </w:pPr>
      <w:r>
        <w:rPr>
          <w:rStyle w:val="FootnoteReference"/>
        </w:rPr>
        <w:footnoteRef/>
      </w:r>
      <w:r>
        <w:rPr>
          <w:rtl/>
        </w:rPr>
        <w:tab/>
      </w:r>
      <w:r>
        <w:rPr>
          <w:rFonts w:hint="cs"/>
          <w:rtl/>
        </w:rPr>
        <w:t xml:space="preserve">القاعدة 17(1)"1" </w:t>
      </w:r>
      <w:r w:rsidR="0062424A">
        <w:rPr>
          <w:rFonts w:hint="cs"/>
          <w:rtl/>
        </w:rPr>
        <w:t xml:space="preserve">إلى "3" </w:t>
      </w:r>
      <w:r>
        <w:rPr>
          <w:rFonts w:hint="cs"/>
          <w:rtl/>
        </w:rPr>
        <w:t>من اللائحة التنفيذية المشتركة.</w:t>
      </w:r>
    </w:p>
  </w:footnote>
  <w:footnote w:id="2">
    <w:p w:rsidR="00A676D6" w:rsidRDefault="00A676D6" w:rsidP="00A676D6">
      <w:pPr>
        <w:pStyle w:val="FootnoteText"/>
        <w:rPr>
          <w:lang w:bidi="ar-SA"/>
        </w:rPr>
      </w:pPr>
      <w:r>
        <w:rPr>
          <w:rStyle w:val="FootnoteReference"/>
        </w:rPr>
        <w:footnoteRef/>
      </w:r>
      <w:r>
        <w:rPr>
          <w:rtl/>
        </w:rPr>
        <w:tab/>
      </w:r>
      <w:r>
        <w:rPr>
          <w:rFonts w:hint="cs"/>
          <w:rtl/>
        </w:rPr>
        <w:t>المادة 11(1)(أ) من وثيقة 1999.</w:t>
      </w:r>
    </w:p>
  </w:footnote>
  <w:footnote w:id="3">
    <w:p w:rsidR="00A676D6" w:rsidRDefault="00A676D6" w:rsidP="00A676D6">
      <w:pPr>
        <w:pStyle w:val="FootnoteText"/>
        <w:rPr>
          <w:lang w:bidi="ar-SA"/>
        </w:rPr>
      </w:pPr>
      <w:r>
        <w:rPr>
          <w:rStyle w:val="FootnoteReference"/>
        </w:rPr>
        <w:footnoteRef/>
      </w:r>
      <w:r>
        <w:rPr>
          <w:rtl/>
        </w:rPr>
        <w:tab/>
      </w:r>
      <w:r w:rsidRPr="00A676D6">
        <w:rPr>
          <w:rtl/>
        </w:rPr>
        <w:t>المنظمة الأفريقية للملكية الفكرية (12 شهرا)، بليز (12 شهرا)، بنيلوكس (12 شهرا)</w:t>
      </w:r>
      <w:r>
        <w:rPr>
          <w:rtl/>
        </w:rPr>
        <w:t>، بروني دار السلام (12 شهرا)، ك</w:t>
      </w:r>
      <w:r w:rsidRPr="00A676D6">
        <w:rPr>
          <w:rtl/>
        </w:rPr>
        <w:t>مبوديا (12 شهرا) كرواتيا</w:t>
      </w:r>
      <w:r>
        <w:rPr>
          <w:rFonts w:hint="cs"/>
          <w:rtl/>
        </w:rPr>
        <w:t> </w:t>
      </w:r>
      <w:r w:rsidRPr="00A676D6">
        <w:rPr>
          <w:rtl/>
        </w:rPr>
        <w:t>(12</w:t>
      </w:r>
      <w:r>
        <w:rPr>
          <w:rFonts w:hint="cs"/>
          <w:rtl/>
        </w:rPr>
        <w:t> </w:t>
      </w:r>
      <w:r w:rsidRPr="00A676D6">
        <w:rPr>
          <w:rtl/>
        </w:rPr>
        <w:t>شهرا)، الدانمرك (6 أشهر)، إستونيا (12 شهرا)، فنلندا (6 أشهر)، إسرائيل (6 أشهر)، النرويج (6 أشهر)، ساموا (</w:t>
      </w:r>
      <w:r>
        <w:rPr>
          <w:rFonts w:hint="cs"/>
          <w:rtl/>
        </w:rPr>
        <w:t>12</w:t>
      </w:r>
      <w:r w:rsidRPr="00A676D6">
        <w:rPr>
          <w:rtl/>
        </w:rPr>
        <w:t xml:space="preserve"> </w:t>
      </w:r>
      <w:r>
        <w:rPr>
          <w:rFonts w:hint="cs"/>
          <w:rtl/>
        </w:rPr>
        <w:t>شهرا</w:t>
      </w:r>
      <w:r w:rsidRPr="00A676D6">
        <w:rPr>
          <w:rtl/>
        </w:rPr>
        <w:t>)، سنغافورة</w:t>
      </w:r>
      <w:r>
        <w:rPr>
          <w:rFonts w:hint="cs"/>
          <w:rtl/>
        </w:rPr>
        <w:t> </w:t>
      </w:r>
      <w:r w:rsidRPr="00A676D6">
        <w:rPr>
          <w:rtl/>
        </w:rPr>
        <w:t>(18</w:t>
      </w:r>
      <w:r>
        <w:rPr>
          <w:rFonts w:hint="cs"/>
          <w:rtl/>
        </w:rPr>
        <w:t> </w:t>
      </w:r>
      <w:r w:rsidRPr="00A676D6">
        <w:rPr>
          <w:rtl/>
        </w:rPr>
        <w:t>شهرا)، سلوفينيا (12 شهرا)، الجمهورية العربية السورية (12 شهرا)، المملكة المتحدة (12 شهرا)</w:t>
      </w:r>
      <w:r>
        <w:rPr>
          <w:rFonts w:hint="cs"/>
          <w:rtl/>
        </w:rPr>
        <w:t>.</w:t>
      </w:r>
    </w:p>
  </w:footnote>
  <w:footnote w:id="4">
    <w:p w:rsidR="00A676D6" w:rsidRDefault="00A676D6">
      <w:pPr>
        <w:pStyle w:val="FootnoteText"/>
        <w:rPr>
          <w:lang w:bidi="ar-SA"/>
        </w:rPr>
      </w:pPr>
      <w:r>
        <w:rPr>
          <w:rStyle w:val="FootnoteReference"/>
        </w:rPr>
        <w:footnoteRef/>
      </w:r>
      <w:r>
        <w:rPr>
          <w:rtl/>
        </w:rPr>
        <w:tab/>
      </w:r>
      <w:r w:rsidR="00474630">
        <w:rPr>
          <w:rFonts w:hint="cs"/>
          <w:rtl/>
        </w:rPr>
        <w:t>المادة 11(1)(ب) من وثيقة 1999.</w:t>
      </w:r>
    </w:p>
  </w:footnote>
  <w:footnote w:id="5">
    <w:p w:rsidR="00A676D6" w:rsidRDefault="00A676D6">
      <w:pPr>
        <w:pStyle w:val="FootnoteText"/>
        <w:rPr>
          <w:lang w:bidi="ar-SA"/>
        </w:rPr>
      </w:pPr>
      <w:r>
        <w:rPr>
          <w:rStyle w:val="FootnoteReference"/>
        </w:rPr>
        <w:footnoteRef/>
      </w:r>
      <w:r w:rsidR="00474630">
        <w:rPr>
          <w:rtl/>
        </w:rPr>
        <w:tab/>
      </w:r>
      <w:r w:rsidR="00474630" w:rsidRPr="00474630">
        <w:rPr>
          <w:rtl/>
        </w:rPr>
        <w:t xml:space="preserve">هنغاريا، إيسلندا، </w:t>
      </w:r>
      <w:r w:rsidR="00474630">
        <w:rPr>
          <w:rFonts w:hint="cs"/>
          <w:rtl/>
        </w:rPr>
        <w:t xml:space="preserve">المكسيك (اعتبارا من 6 يونيو 2020)، </w:t>
      </w:r>
      <w:r w:rsidR="00474630" w:rsidRPr="00474630">
        <w:rPr>
          <w:rtl/>
        </w:rPr>
        <w:t>موناكو، بولندا، الاتحاد الروسي، أوكرانيا، الولايات المتحدة الأمريكية، فييت نام</w:t>
      </w:r>
      <w:r w:rsidR="00474630">
        <w:rPr>
          <w:rFonts w:hint="cs"/>
          <w:rtl/>
        </w:rPr>
        <w:t>.</w:t>
      </w:r>
    </w:p>
  </w:footnote>
  <w:footnote w:id="6">
    <w:p w:rsidR="00FE68D2" w:rsidRDefault="00FE68D2" w:rsidP="00711E6B">
      <w:pPr>
        <w:pStyle w:val="FootnoteText"/>
        <w:rPr>
          <w:lang w:bidi="ar-SA"/>
        </w:rPr>
      </w:pPr>
      <w:r>
        <w:rPr>
          <w:rStyle w:val="FootnoteReference"/>
        </w:rPr>
        <w:footnoteRef/>
      </w:r>
      <w:r>
        <w:rPr>
          <w:rtl/>
        </w:rPr>
        <w:tab/>
      </w:r>
      <w:r>
        <w:rPr>
          <w:rFonts w:hint="cs"/>
          <w:rtl/>
        </w:rPr>
        <w:t xml:space="preserve">يُرجى الرجوع إلى الوثيقة </w:t>
      </w:r>
      <w:r w:rsidRPr="00FE68D2">
        <w:t>H/CE/VII/3</w:t>
      </w:r>
      <w:r>
        <w:rPr>
          <w:rFonts w:hint="cs"/>
          <w:rtl/>
        </w:rPr>
        <w:t xml:space="preserve">، ملاحظات بشأن المادة 7 (الفقرة 7.06)، والوثيقة </w:t>
      </w:r>
      <w:r w:rsidRPr="00FE68D2">
        <w:t>H/DC/6</w:t>
      </w:r>
      <w:r w:rsidR="00711E6B">
        <w:rPr>
          <w:rFonts w:hint="cs"/>
          <w:rtl/>
        </w:rPr>
        <w:t>، ملاحظات بشأن القاعدة</w:t>
      </w:r>
      <w:r w:rsidR="00711E6B">
        <w:rPr>
          <w:rFonts w:hint="eastAsia"/>
          <w:rtl/>
        </w:rPr>
        <w:t> </w:t>
      </w:r>
      <w:r w:rsidR="00711E6B">
        <w:rPr>
          <w:rFonts w:hint="cs"/>
          <w:rtl/>
        </w:rPr>
        <w:t>17 (الفقرة</w:t>
      </w:r>
      <w:r w:rsidR="00711E6B">
        <w:rPr>
          <w:rFonts w:hint="eastAsia"/>
          <w:rtl/>
        </w:rPr>
        <w:t> </w:t>
      </w:r>
      <w:r w:rsidR="00711E6B" w:rsidRPr="00711E6B">
        <w:t>R17.01</w:t>
      </w:r>
      <w:r w:rsidR="00711E6B">
        <w:rPr>
          <w:rFonts w:hint="cs"/>
          <w:rtl/>
        </w:rPr>
        <w:t>).</w:t>
      </w:r>
    </w:p>
  </w:footnote>
  <w:footnote w:id="7">
    <w:p w:rsidR="00711E6B" w:rsidRDefault="00711E6B" w:rsidP="00711E6B">
      <w:pPr>
        <w:pStyle w:val="FootnoteText"/>
        <w:rPr>
          <w:lang w:bidi="ar-SA"/>
        </w:rPr>
      </w:pPr>
      <w:r>
        <w:rPr>
          <w:rStyle w:val="FootnoteReference"/>
        </w:rPr>
        <w:footnoteRef/>
      </w:r>
      <w:r>
        <w:rPr>
          <w:rtl/>
        </w:rPr>
        <w:tab/>
      </w:r>
      <w:r>
        <w:rPr>
          <w:rFonts w:hint="cs"/>
          <w:rtl/>
        </w:rPr>
        <w:t xml:space="preserve">يُرجى الرجوع إلى الوثيقة </w:t>
      </w:r>
      <w:r w:rsidRPr="00711E6B">
        <w:t>H/DC/6</w:t>
      </w:r>
      <w:r>
        <w:rPr>
          <w:rFonts w:hint="cs"/>
          <w:rtl/>
        </w:rPr>
        <w:t>، ملاحظات بشأن القاعدة 17 (الفقرة</w:t>
      </w:r>
      <w:r>
        <w:rPr>
          <w:rFonts w:hint="eastAsia"/>
          <w:rtl/>
        </w:rPr>
        <w:t> </w:t>
      </w:r>
      <w:r w:rsidRPr="00711E6B">
        <w:t>R17.01</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122" w:rsidRPr="00C50A61" w:rsidRDefault="00884122" w:rsidP="0088412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8</w:t>
    </w:r>
    <w:r w:rsidRPr="00C50A61">
      <w:rPr>
        <w:rFonts w:ascii="Arial" w:hAnsi="Arial" w:cs="Arial"/>
        <w:sz w:val="22"/>
        <w:szCs w:val="22"/>
      </w:rPr>
      <w:fldChar w:fldCharType="end"/>
    </w:r>
  </w:p>
  <w:p w:rsidR="00884122" w:rsidRPr="00C50A61" w:rsidRDefault="00884122" w:rsidP="00884122">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5B" w:rsidRPr="00C50A61" w:rsidRDefault="00884122" w:rsidP="0023693F">
    <w:pPr>
      <w:bidi w:val="0"/>
      <w:rPr>
        <w:rFonts w:ascii="Arial" w:hAnsi="Arial" w:cs="Arial"/>
        <w:sz w:val="22"/>
        <w:szCs w:val="22"/>
      </w:rPr>
    </w:pPr>
    <w:bookmarkStart w:id="6" w:name="Code3"/>
    <w:bookmarkEnd w:id="6"/>
    <w:r>
      <w:rPr>
        <w:rFonts w:ascii="Arial" w:hAnsi="Arial" w:cs="Arial"/>
        <w:noProof/>
        <w:sz w:val="22"/>
        <w:szCs w:val="22"/>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84122" w:rsidRDefault="00884122" w:rsidP="00884122">
                          <w:pPr>
                            <w:jc w:val="center"/>
                          </w:pPr>
                          <w:r w:rsidRPr="0088412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884122" w:rsidRDefault="00884122" w:rsidP="00884122">
                    <w:pPr>
                      <w:jc w:val="center"/>
                    </w:pPr>
                    <w:r w:rsidRPr="00884122">
                      <w:rPr>
                        <w:color w:val="000000"/>
                        <w:sz w:val="17"/>
                      </w:rPr>
                      <w:t>WIPO FOR OFFICIAL USE ONLY</w:t>
                    </w:r>
                  </w:p>
                </w:txbxContent>
              </v:textbox>
              <w10:wrap anchorx="margin" anchory="margin"/>
            </v:shape>
          </w:pict>
        </mc:Fallback>
      </mc:AlternateContent>
    </w:r>
    <w:r w:rsidR="004C495B" w:rsidRPr="00C50A61">
      <w:rPr>
        <w:rFonts w:ascii="Arial" w:hAnsi="Arial" w:cs="Arial"/>
        <w:sz w:val="22"/>
        <w:szCs w:val="22"/>
      </w:rPr>
      <w:fldChar w:fldCharType="begin"/>
    </w:r>
    <w:r w:rsidR="004C495B" w:rsidRPr="00C50A61">
      <w:rPr>
        <w:rFonts w:ascii="Arial" w:hAnsi="Arial" w:cs="Arial"/>
        <w:sz w:val="22"/>
        <w:szCs w:val="22"/>
      </w:rPr>
      <w:instrText xml:space="preserve"> PAGE  \* MERGEFORMAT </w:instrText>
    </w:r>
    <w:r w:rsidR="004C495B" w:rsidRPr="00C50A61">
      <w:rPr>
        <w:rFonts w:ascii="Arial" w:hAnsi="Arial" w:cs="Arial"/>
        <w:sz w:val="22"/>
        <w:szCs w:val="22"/>
      </w:rPr>
      <w:fldChar w:fldCharType="separate"/>
    </w:r>
    <w:r>
      <w:rPr>
        <w:rFonts w:ascii="Arial" w:hAnsi="Arial" w:cs="Arial"/>
        <w:noProof/>
        <w:sz w:val="22"/>
        <w:szCs w:val="22"/>
        <w:lang w:bidi="ar-EG"/>
      </w:rPr>
      <w:t>7</w:t>
    </w:r>
    <w:r w:rsidR="004C495B"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122" w:rsidRDefault="00884122">
    <w:pPr>
      <w:pStyle w:val="Header"/>
    </w:pPr>
    <w:r>
      <w:rPr>
        <w:noProof/>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84122" w:rsidRDefault="00884122" w:rsidP="00884122">
                          <w:pPr>
                            <w:jc w:val="center"/>
                          </w:pPr>
                          <w:r w:rsidRPr="0088412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884122" w:rsidRDefault="00884122" w:rsidP="00884122">
                    <w:pPr>
                      <w:jc w:val="center"/>
                    </w:pPr>
                    <w:r w:rsidRPr="00884122">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6E"/>
    <w:rsid w:val="00002CBE"/>
    <w:rsid w:val="00003232"/>
    <w:rsid w:val="000033DA"/>
    <w:rsid w:val="00004AF1"/>
    <w:rsid w:val="0000579F"/>
    <w:rsid w:val="000074D1"/>
    <w:rsid w:val="000076BD"/>
    <w:rsid w:val="00010481"/>
    <w:rsid w:val="00010671"/>
    <w:rsid w:val="00010C6C"/>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431"/>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88C"/>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5FC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676"/>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5CE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6D60"/>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13A1"/>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66B13"/>
    <w:rsid w:val="00472043"/>
    <w:rsid w:val="00472F56"/>
    <w:rsid w:val="0047335E"/>
    <w:rsid w:val="00473CA1"/>
    <w:rsid w:val="00474630"/>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830"/>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8D3"/>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6E"/>
    <w:rsid w:val="005A7DE0"/>
    <w:rsid w:val="005B0AEF"/>
    <w:rsid w:val="005B37D9"/>
    <w:rsid w:val="005B3A08"/>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24A"/>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1E6B"/>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772B"/>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122"/>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3848"/>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6D6"/>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1D72"/>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59A"/>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3CB6"/>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856"/>
    <w:rsid w:val="00C61AA7"/>
    <w:rsid w:val="00C61B8E"/>
    <w:rsid w:val="00C668DE"/>
    <w:rsid w:val="00C7044F"/>
    <w:rsid w:val="00C71881"/>
    <w:rsid w:val="00C71D0B"/>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CB0"/>
    <w:rsid w:val="00D07D07"/>
    <w:rsid w:val="00D10F87"/>
    <w:rsid w:val="00D1149D"/>
    <w:rsid w:val="00D11B8E"/>
    <w:rsid w:val="00D11D8D"/>
    <w:rsid w:val="00D12B12"/>
    <w:rsid w:val="00D12DD7"/>
    <w:rsid w:val="00D13A8C"/>
    <w:rsid w:val="00D149E1"/>
    <w:rsid w:val="00D14A44"/>
    <w:rsid w:val="00D15BCC"/>
    <w:rsid w:val="00D1628F"/>
    <w:rsid w:val="00D1762B"/>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6132"/>
    <w:rsid w:val="00D80F87"/>
    <w:rsid w:val="00D812A5"/>
    <w:rsid w:val="00D81B93"/>
    <w:rsid w:val="00D82A5C"/>
    <w:rsid w:val="00D82D11"/>
    <w:rsid w:val="00D82EE9"/>
    <w:rsid w:val="00D83CD3"/>
    <w:rsid w:val="00D83E51"/>
    <w:rsid w:val="00D84719"/>
    <w:rsid w:val="00D856EA"/>
    <w:rsid w:val="00D85ACD"/>
    <w:rsid w:val="00D861B5"/>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48B"/>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8D2"/>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907B231-9D3A-4155-A161-21965BA4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2698">
      <w:bodyDiv w:val="1"/>
      <w:marLeft w:val="0"/>
      <w:marRight w:val="0"/>
      <w:marTop w:val="0"/>
      <w:marBottom w:val="0"/>
      <w:divBdr>
        <w:top w:val="none" w:sz="0" w:space="0" w:color="auto"/>
        <w:left w:val="none" w:sz="0" w:space="0" w:color="auto"/>
        <w:bottom w:val="none" w:sz="0" w:space="0" w:color="auto"/>
        <w:right w:val="none" w:sz="0" w:space="0" w:color="auto"/>
      </w:divBdr>
    </w:div>
    <w:div w:id="745880719">
      <w:bodyDiv w:val="1"/>
      <w:marLeft w:val="0"/>
      <w:marRight w:val="0"/>
      <w:marTop w:val="0"/>
      <w:marBottom w:val="0"/>
      <w:divBdr>
        <w:top w:val="none" w:sz="0" w:space="0" w:color="auto"/>
        <w:left w:val="none" w:sz="0" w:space="0" w:color="auto"/>
        <w:bottom w:val="none" w:sz="0" w:space="0" w:color="auto"/>
        <w:right w:val="none" w:sz="0" w:space="0" w:color="auto"/>
      </w:divBdr>
    </w:div>
    <w:div w:id="852377271">
      <w:bodyDiv w:val="1"/>
      <w:marLeft w:val="0"/>
      <w:marRight w:val="0"/>
      <w:marTop w:val="0"/>
      <w:marBottom w:val="0"/>
      <w:divBdr>
        <w:top w:val="none" w:sz="0" w:space="0" w:color="auto"/>
        <w:left w:val="none" w:sz="0" w:space="0" w:color="auto"/>
        <w:bottom w:val="none" w:sz="0" w:space="0" w:color="auto"/>
        <w:right w:val="none" w:sz="0" w:space="0" w:color="auto"/>
      </w:divBdr>
    </w:div>
    <w:div w:id="955216849">
      <w:bodyDiv w:val="1"/>
      <w:marLeft w:val="0"/>
      <w:marRight w:val="0"/>
      <w:marTop w:val="0"/>
      <w:marBottom w:val="0"/>
      <w:divBdr>
        <w:top w:val="none" w:sz="0" w:space="0" w:color="auto"/>
        <w:left w:val="none" w:sz="0" w:space="0" w:color="auto"/>
        <w:bottom w:val="none" w:sz="0" w:space="0" w:color="auto"/>
        <w:right w:val="none" w:sz="0" w:space="0" w:color="auto"/>
      </w:divBdr>
    </w:div>
    <w:div w:id="1038506955">
      <w:bodyDiv w:val="1"/>
      <w:marLeft w:val="0"/>
      <w:marRight w:val="0"/>
      <w:marTop w:val="0"/>
      <w:marBottom w:val="0"/>
      <w:divBdr>
        <w:top w:val="none" w:sz="0" w:space="0" w:color="auto"/>
        <w:left w:val="none" w:sz="0" w:space="0" w:color="auto"/>
        <w:bottom w:val="none" w:sz="0" w:space="0" w:color="auto"/>
        <w:right w:val="none" w:sz="0" w:space="0" w:color="auto"/>
      </w:divBdr>
    </w:div>
    <w:div w:id="1526013912">
      <w:bodyDiv w:val="1"/>
      <w:marLeft w:val="0"/>
      <w:marRight w:val="0"/>
      <w:marTop w:val="0"/>
      <w:marBottom w:val="0"/>
      <w:divBdr>
        <w:top w:val="none" w:sz="0" w:space="0" w:color="auto"/>
        <w:left w:val="none" w:sz="0" w:space="0" w:color="auto"/>
        <w:bottom w:val="none" w:sz="0" w:space="0" w:color="auto"/>
        <w:right w:val="none" w:sz="0" w:space="0" w:color="auto"/>
      </w:divBdr>
    </w:div>
    <w:div w:id="2021345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ague.registry@wipo.int" TargetMode="External"/><Relationship Id="rId4" Type="http://schemas.openxmlformats.org/officeDocument/2006/relationships/settings" Target="settings.xml"/><Relationship Id="rId9" Type="http://schemas.openxmlformats.org/officeDocument/2006/relationships/hyperlink" Target="https://www.wipo.int/meetings/ar/doc_details.jsp?doc_id=45229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33F1F-77E4-4B97-B437-E42D6A03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8</Pages>
  <Words>771</Words>
  <Characters>3897</Characters>
  <Application>Microsoft Office Word</Application>
  <DocSecurity>0</DocSecurity>
  <Lines>179</Lines>
  <Paragraphs>39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MERZOUK Fawzi</dc:creator>
  <cp:keywords>FOR OFFICIAL USE ONLY</cp:keywords>
  <cp:lastModifiedBy>ST LEGER Nathalie</cp:lastModifiedBy>
  <cp:revision>19</cp:revision>
  <cp:lastPrinted>2020-06-08T14:55:00Z</cp:lastPrinted>
  <dcterms:created xsi:type="dcterms:W3CDTF">2020-05-15T09:59:00Z</dcterms:created>
  <dcterms:modified xsi:type="dcterms:W3CDTF">2020-10-13T15:34:00Z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c22be055-6c5e-495b-acc5-eb8e068b34ea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