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368C7" w:rsidRPr="0082092A" w:rsidTr="00ED7C4A">
        <w:trPr>
          <w:trHeight w:val="1977"/>
        </w:trPr>
        <w:tc>
          <w:tcPr>
            <w:tcW w:w="4594" w:type="dxa"/>
            <w:tcBorders>
              <w:bottom w:val="single" w:sz="4" w:space="0" w:color="auto"/>
            </w:tcBorders>
            <w:tcMar>
              <w:bottom w:w="170" w:type="dxa"/>
            </w:tcMar>
          </w:tcPr>
          <w:p w:rsidR="003368C7" w:rsidRPr="0082092A" w:rsidRDefault="003368C7" w:rsidP="00ED7C4A">
            <w:bookmarkStart w:id="0" w:name="_GoBack"/>
            <w:bookmarkEnd w:id="0"/>
            <w:r w:rsidRPr="0082092A">
              <w:rPr>
                <w:noProof/>
                <w:lang w:eastAsia="en-US"/>
              </w:rPr>
              <w:drawing>
                <wp:anchor distT="0" distB="0" distL="114300" distR="114300" simplePos="0" relativeHeight="251663360" behindDoc="1" locked="0" layoutInCell="0" allowOverlap="1" wp14:anchorId="40A08EEC" wp14:editId="6A97D2F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368C7" w:rsidRPr="0082092A" w:rsidRDefault="003368C7" w:rsidP="00ED7C4A"/>
        </w:tc>
        <w:tc>
          <w:tcPr>
            <w:tcW w:w="425" w:type="dxa"/>
            <w:tcBorders>
              <w:bottom w:val="single" w:sz="4" w:space="0" w:color="auto"/>
            </w:tcBorders>
            <w:tcMar>
              <w:left w:w="0" w:type="dxa"/>
              <w:right w:w="0" w:type="dxa"/>
            </w:tcMar>
          </w:tcPr>
          <w:p w:rsidR="003368C7" w:rsidRPr="0082092A" w:rsidRDefault="003368C7" w:rsidP="00ED7C4A">
            <w:pPr>
              <w:jc w:val="right"/>
            </w:pPr>
            <w:r w:rsidRPr="0082092A">
              <w:rPr>
                <w:b/>
                <w:sz w:val="40"/>
                <w:szCs w:val="40"/>
              </w:rPr>
              <w:t>C</w:t>
            </w:r>
          </w:p>
        </w:tc>
      </w:tr>
      <w:tr w:rsidR="003368C7" w:rsidRPr="0082092A" w:rsidTr="00ED7C4A">
        <w:trPr>
          <w:trHeight w:hRule="exact" w:val="340"/>
        </w:trPr>
        <w:tc>
          <w:tcPr>
            <w:tcW w:w="9356" w:type="dxa"/>
            <w:gridSpan w:val="3"/>
            <w:tcBorders>
              <w:top w:val="single" w:sz="4" w:space="0" w:color="auto"/>
            </w:tcBorders>
            <w:tcMar>
              <w:top w:w="170" w:type="dxa"/>
              <w:left w:w="0" w:type="dxa"/>
              <w:right w:w="0" w:type="dxa"/>
            </w:tcMar>
            <w:vAlign w:val="bottom"/>
          </w:tcPr>
          <w:p w:rsidR="003368C7" w:rsidRPr="0082092A" w:rsidRDefault="003368C7" w:rsidP="003368C7">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6</w:t>
            </w:r>
            <w:r w:rsidRPr="0082092A">
              <w:rPr>
                <w:rFonts w:ascii="Arial Black" w:hAnsi="Arial Black" w:hint="eastAsia"/>
                <w:caps/>
                <w:sz w:val="15"/>
              </w:rPr>
              <w:t>/</w:t>
            </w:r>
            <w:bookmarkStart w:id="1" w:name="Code"/>
            <w:bookmarkEnd w:id="1"/>
            <w:r>
              <w:rPr>
                <w:rFonts w:ascii="Arial Black" w:hAnsi="Arial Black" w:hint="eastAsia"/>
                <w:caps/>
                <w:sz w:val="15"/>
              </w:rPr>
              <w:t>7</w:t>
            </w:r>
          </w:p>
        </w:tc>
      </w:tr>
      <w:tr w:rsidR="003368C7" w:rsidRPr="0082092A" w:rsidTr="00ED7C4A">
        <w:trPr>
          <w:trHeight w:hRule="exact" w:val="170"/>
        </w:trPr>
        <w:tc>
          <w:tcPr>
            <w:tcW w:w="9356" w:type="dxa"/>
            <w:gridSpan w:val="3"/>
            <w:noWrap/>
            <w:tcMar>
              <w:left w:w="0" w:type="dxa"/>
              <w:right w:w="0" w:type="dxa"/>
            </w:tcMar>
            <w:vAlign w:val="bottom"/>
          </w:tcPr>
          <w:p w:rsidR="003368C7" w:rsidRPr="0082092A" w:rsidRDefault="003368C7" w:rsidP="00ED7C4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2" w:name="Original"/>
            <w:bookmarkEnd w:id="2"/>
            <w:r w:rsidRPr="0082092A">
              <w:rPr>
                <w:rFonts w:eastAsia="SimHei" w:hint="eastAsia"/>
                <w:b/>
                <w:sz w:val="15"/>
                <w:szCs w:val="15"/>
                <w:lang w:val="pt-BR"/>
              </w:rPr>
              <w:t>英文</w:t>
            </w:r>
          </w:p>
        </w:tc>
      </w:tr>
      <w:tr w:rsidR="003368C7" w:rsidRPr="0082092A" w:rsidTr="00ED7C4A">
        <w:trPr>
          <w:trHeight w:hRule="exact" w:val="198"/>
        </w:trPr>
        <w:tc>
          <w:tcPr>
            <w:tcW w:w="9356" w:type="dxa"/>
            <w:gridSpan w:val="3"/>
            <w:tcMar>
              <w:left w:w="0" w:type="dxa"/>
              <w:right w:w="0" w:type="dxa"/>
            </w:tcMar>
            <w:vAlign w:val="bottom"/>
          </w:tcPr>
          <w:p w:rsidR="003368C7" w:rsidRPr="0082092A" w:rsidRDefault="003368C7" w:rsidP="003368C7">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3" w:name="Date"/>
            <w:bookmarkEnd w:id="3"/>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82092A">
              <w:rPr>
                <w:rFonts w:ascii="SimHei" w:eastAsia="SimHei" w:hAnsi="Times New Roman" w:hint="eastAsia"/>
                <w:b/>
                <w:sz w:val="15"/>
                <w:szCs w:val="15"/>
              </w:rPr>
              <w:t>年</w:t>
            </w:r>
            <w:r>
              <w:rPr>
                <w:rFonts w:ascii="Arial Black" w:eastAsia="SimHei" w:hAnsi="Arial Black" w:hint="eastAsia"/>
                <w:b/>
                <w:sz w:val="15"/>
                <w:szCs w:val="15"/>
                <w:lang w:val="pt-BR"/>
              </w:rPr>
              <w:t>5</w:t>
            </w:r>
            <w:r w:rsidRPr="0082092A">
              <w:rPr>
                <w:rFonts w:ascii="SimHei" w:eastAsia="SimHei" w:hAnsi="Times New Roman" w:hint="eastAsia"/>
                <w:b/>
                <w:sz w:val="15"/>
                <w:szCs w:val="15"/>
              </w:rPr>
              <w:t>月</w:t>
            </w:r>
            <w:r>
              <w:rPr>
                <w:rFonts w:ascii="Arial Black" w:eastAsia="SimHei" w:hAnsi="Arial Black" w:hint="eastAsia"/>
                <w:b/>
                <w:sz w:val="15"/>
                <w:szCs w:val="15"/>
              </w:rPr>
              <w:t>15</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3368C7" w:rsidRPr="0082092A" w:rsidRDefault="003368C7" w:rsidP="003368C7"/>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六</w:t>
      </w:r>
      <w:r w:rsidRPr="0082092A">
        <w:rPr>
          <w:rFonts w:ascii="KaiTi" w:eastAsia="KaiTi" w:hAnsi="Calibri" w:cs="Times New Roman" w:hint="eastAsia"/>
          <w:b/>
          <w:kern w:val="2"/>
          <w:sz w:val="24"/>
          <w:szCs w:val="24"/>
        </w:rPr>
        <w:t>届会议</w:t>
      </w:r>
    </w:p>
    <w:p w:rsidR="003368C7" w:rsidRPr="0082092A" w:rsidRDefault="003368C7" w:rsidP="003368C7">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7</w:t>
      </w:r>
      <w:r w:rsidRPr="0082092A">
        <w:rPr>
          <w:rFonts w:ascii="KaiTi" w:eastAsia="KaiTi" w:hAnsi="KaiTi" w:hint="eastAsia"/>
          <w:b/>
          <w:kern w:val="2"/>
          <w:sz w:val="24"/>
          <w:szCs w:val="24"/>
        </w:rPr>
        <w:t>年</w:t>
      </w:r>
      <w:r>
        <w:rPr>
          <w:rFonts w:ascii="KaiTi" w:eastAsia="KaiTi" w:hAnsi="KaiTi" w:cs="Times New Roman" w:hint="eastAsia"/>
          <w:kern w:val="2"/>
          <w:sz w:val="24"/>
          <w:szCs w:val="24"/>
        </w:rPr>
        <w:t>7</w:t>
      </w:r>
      <w:r w:rsidRPr="0082092A">
        <w:rPr>
          <w:rFonts w:ascii="KaiTi" w:eastAsia="KaiTi" w:hAnsi="KaiTi" w:hint="eastAsia"/>
          <w:b/>
          <w:kern w:val="2"/>
          <w:sz w:val="24"/>
          <w:szCs w:val="24"/>
        </w:rPr>
        <w:t>月</w:t>
      </w:r>
      <w:r>
        <w:rPr>
          <w:rFonts w:ascii="KaiTi" w:eastAsia="KaiTi" w:hAnsi="KaiTi" w:hint="eastAsia"/>
          <w:kern w:val="2"/>
          <w:sz w:val="24"/>
          <w:szCs w:val="24"/>
        </w:rPr>
        <w:t>10</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14</w:t>
      </w:r>
      <w:r w:rsidRPr="0082092A">
        <w:rPr>
          <w:rFonts w:ascii="KaiTi" w:eastAsia="KaiTi" w:hAnsi="KaiTi" w:hint="eastAsia"/>
          <w:b/>
          <w:kern w:val="2"/>
          <w:sz w:val="24"/>
          <w:szCs w:val="24"/>
        </w:rPr>
        <w:t>日，日内瓦</w:t>
      </w: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ascii="KaiTi" w:eastAsia="KaiTi" w:hAnsi="KaiTi"/>
          <w:caps/>
          <w:kern w:val="2"/>
          <w:sz w:val="24"/>
          <w:szCs w:val="24"/>
        </w:rPr>
      </w:pPr>
      <w:bookmarkStart w:id="4" w:name="TitleOfDoc"/>
      <w:bookmarkEnd w:id="4"/>
      <w:r w:rsidRPr="003368C7">
        <w:rPr>
          <w:rFonts w:ascii="KaiTi" w:eastAsia="KaiTi" w:hAnsi="KaiTi" w:hint="eastAsia"/>
          <w:caps/>
          <w:kern w:val="2"/>
          <w:sz w:val="24"/>
          <w:szCs w:val="24"/>
        </w:rPr>
        <w:t>2018/19两年期开设新的WIPO驻外办事处</w:t>
      </w:r>
    </w:p>
    <w:p w:rsidR="003368C7" w:rsidRPr="0082092A" w:rsidRDefault="003368C7" w:rsidP="003368C7">
      <w:pPr>
        <w:widowControl w:val="0"/>
        <w:jc w:val="both"/>
        <w:rPr>
          <w:rFonts w:cs="Times New Roman"/>
          <w:kern w:val="2"/>
          <w:szCs w:val="22"/>
        </w:rPr>
      </w:pPr>
    </w:p>
    <w:p w:rsidR="003368C7" w:rsidRPr="00B64D6E" w:rsidRDefault="003368C7" w:rsidP="003368C7">
      <w:pPr>
        <w:widowControl w:val="0"/>
        <w:jc w:val="both"/>
        <w:rPr>
          <w:rFonts w:ascii="KaiTi" w:eastAsia="KaiTi" w:hAnsi="KaiTi"/>
          <w:kern w:val="2"/>
          <w:sz w:val="21"/>
          <w:szCs w:val="21"/>
        </w:rPr>
      </w:pPr>
      <w:bookmarkStart w:id="5" w:name="Prepared"/>
      <w:bookmarkEnd w:id="5"/>
      <w:r>
        <w:rPr>
          <w:rFonts w:ascii="KaiTi" w:eastAsia="KaiTi" w:hAnsi="KaiTi" w:hint="eastAsia"/>
          <w:kern w:val="2"/>
          <w:sz w:val="21"/>
          <w:szCs w:val="21"/>
        </w:rPr>
        <w:t>秘书处编拟的文件</w:t>
      </w:r>
    </w:p>
    <w:p w:rsidR="003368C7" w:rsidRPr="0082092A" w:rsidRDefault="003368C7" w:rsidP="003368C7"/>
    <w:p w:rsidR="003368C7" w:rsidRPr="0082092A" w:rsidRDefault="003368C7" w:rsidP="003368C7"/>
    <w:p w:rsidR="003368C7" w:rsidRPr="0082092A" w:rsidRDefault="003368C7" w:rsidP="003368C7"/>
    <w:p w:rsidR="003368C7" w:rsidRPr="0082092A" w:rsidRDefault="003368C7" w:rsidP="003368C7"/>
    <w:p w:rsidR="00E82941" w:rsidRPr="00E340E6" w:rsidRDefault="00F441EC"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rPr>
        <w:t>在WIPO成员国大会第五十五届系列会议（2015年10月）期间，WIPO大会在第四十七届会议（第22次例会）上就有关WIPO新驻外办事处事宜，作出如下决定（见文件A/55/13“经成员国大会通过的总报告”第258段）：</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“WIPO大会决定：</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“1.</w:t>
      </w:r>
      <w:r w:rsidRPr="00E340E6">
        <w:rPr>
          <w:rFonts w:ascii="SimSun" w:hAnsi="SimSun" w:hint="eastAsia"/>
          <w:sz w:val="21"/>
          <w:szCs w:val="22"/>
          <w:lang w:val="de-DE"/>
        </w:rPr>
        <w:tab/>
        <w:t>通过本决定后附的指导原则。</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“2.</w:t>
      </w:r>
      <w:r w:rsidRPr="00E340E6">
        <w:rPr>
          <w:rFonts w:ascii="SimSun" w:hAnsi="SimSun" w:hint="eastAsia"/>
          <w:sz w:val="21"/>
          <w:szCs w:val="22"/>
          <w:lang w:val="de-DE"/>
        </w:rPr>
        <w:tab/>
        <w:t>承认产权组织开设新驻外办事处的能力有限，希望在设立新驻外办事处时采取分阶段的审慎办法，在2016-17、2018-19两个两年期中，每个两年期开设的驻外办事处不超过三家，但须经WIPO大会批准。</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“3.</w:t>
      </w:r>
      <w:r w:rsidRPr="00E340E6">
        <w:rPr>
          <w:rFonts w:ascii="SimSun" w:hAnsi="SimSun" w:hint="eastAsia"/>
          <w:sz w:val="21"/>
          <w:szCs w:val="22"/>
          <w:lang w:val="de-DE"/>
        </w:rPr>
        <w:tab/>
        <w:t>本决定不影响PBC和大会在2021年进行评价后根据指导原则就开设新驻外办事处作出任何决定。</w:t>
      </w:r>
    </w:p>
    <w:p w:rsidR="009E5D66"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“4.</w:t>
      </w:r>
      <w:r w:rsidRPr="00E340E6">
        <w:rPr>
          <w:rFonts w:ascii="SimSun" w:hAnsi="SimSun" w:hint="eastAsia"/>
          <w:sz w:val="21"/>
          <w:szCs w:val="22"/>
          <w:lang w:val="de-DE"/>
        </w:rPr>
        <w:tab/>
        <w:t>在第2段所述的期间内，非洲应予优先。为此目的，鼓励成员国提出在本国开设办事处的建议，按指导原则接受审议。</w:t>
      </w:r>
      <w:r w:rsidR="00523362" w:rsidRPr="00E340E6">
        <w:rPr>
          <w:rFonts w:ascii="SimSun" w:hAnsi="SimSun" w:hint="eastAsia"/>
          <w:sz w:val="21"/>
          <w:szCs w:val="22"/>
          <w:lang w:val="de-DE"/>
        </w:rPr>
        <w:t>”</w:t>
      </w:r>
    </w:p>
    <w:p w:rsidR="009E5D66" w:rsidRPr="00E340E6" w:rsidRDefault="00AE5C68"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szCs w:val="22"/>
        </w:rPr>
        <w:t>上述“WIPO驻外办事处指导原则”详述了“在建立可持续、规模适当的WIPO驻外办事处（EO）网络时”必须遵循的流程，指出“办事处网络的作用是与WIPO总部协调一致、互为补充，在WIPO总部的业务部门力有未逮时发挥作用，以便遵照计划和预算的成果框架，为完成计划增加明显的价值、效率和效果。</w:t>
      </w:r>
      <w:r w:rsidR="00523362" w:rsidRPr="00E340E6">
        <w:rPr>
          <w:rFonts w:ascii="SimSun" w:hAnsi="SimSun" w:hint="eastAsia"/>
          <w:sz w:val="21"/>
          <w:szCs w:val="22"/>
        </w:rPr>
        <w:t>这个流程可在</w:t>
      </w:r>
      <w:r w:rsidR="00523362" w:rsidRPr="00D358DD">
        <w:rPr>
          <w:rFonts w:ascii="SimSun" w:hAnsi="SimSun" w:hint="eastAsia"/>
          <w:sz w:val="21"/>
        </w:rPr>
        <w:t>文件</w:t>
      </w:r>
      <w:r w:rsidR="00523362" w:rsidRPr="00E340E6">
        <w:rPr>
          <w:rFonts w:ascii="SimSun" w:hAnsi="SimSun" w:hint="eastAsia"/>
          <w:sz w:val="21"/>
          <w:szCs w:val="22"/>
        </w:rPr>
        <w:t>A/55/13中找到，包括成员国发出希望设立驻外办事处的通知，并提交希望设立驻外办事处的提案。指导原则规定，WIPO秘书处“应就拟设立的新驻外办事处及其与指导</w:t>
      </w:r>
      <w:r w:rsidR="00523362" w:rsidRPr="00E340E6">
        <w:rPr>
          <w:rFonts w:ascii="SimSun" w:hAnsi="SimSun" w:hint="eastAsia"/>
          <w:sz w:val="21"/>
          <w:szCs w:val="22"/>
        </w:rPr>
        <w:lastRenderedPageBreak/>
        <w:t>原则的一致性向PBC另行提交一份基于事实的技术性报告”。本文件的附件即为针对2018/19两年期拟设的新驻外办事处，另行提交的上述基于事实的技术性报告。报告使用的模板是根据指导原则制定的，并用于</w:t>
      </w:r>
      <w:r w:rsidR="00BF3C91" w:rsidRPr="00E340E6">
        <w:rPr>
          <w:rFonts w:ascii="SimSun" w:hAnsi="SimSun" w:hint="eastAsia"/>
          <w:sz w:val="21"/>
          <w:szCs w:val="22"/>
        </w:rPr>
        <w:t>在WIPO成员国大会第五十六届系列会议</w:t>
      </w:r>
      <w:r w:rsidR="001D02C6" w:rsidRPr="00E340E6">
        <w:rPr>
          <w:rFonts w:ascii="SimSun" w:hAnsi="SimSun" w:hint="eastAsia"/>
          <w:sz w:val="21"/>
          <w:szCs w:val="22"/>
        </w:rPr>
        <w:t>（2016年10月）</w:t>
      </w:r>
      <w:r w:rsidR="00BF3C91" w:rsidRPr="00E340E6">
        <w:rPr>
          <w:rFonts w:ascii="SimSun" w:hAnsi="SimSun" w:hint="eastAsia"/>
          <w:sz w:val="21"/>
          <w:szCs w:val="22"/>
        </w:rPr>
        <w:t>上，就</w:t>
      </w:r>
      <w:r w:rsidR="001D02C6" w:rsidRPr="00E340E6">
        <w:rPr>
          <w:rFonts w:ascii="SimSun" w:hAnsi="SimSun" w:hint="eastAsia"/>
          <w:sz w:val="21"/>
          <w:szCs w:val="22"/>
        </w:rPr>
        <w:t>拟议的</w:t>
      </w:r>
      <w:r w:rsidR="00BF3C91" w:rsidRPr="00E340E6">
        <w:rPr>
          <w:rFonts w:ascii="SimSun" w:hAnsi="SimSun" w:hint="eastAsia"/>
          <w:sz w:val="21"/>
          <w:szCs w:val="22"/>
        </w:rPr>
        <w:t>2016/17两年期新驻外办事处另行提交的基于事实的技术性报告。</w:t>
      </w:r>
      <w:r w:rsidR="00A91C2B" w:rsidRPr="00E340E6">
        <w:rPr>
          <w:rFonts w:ascii="SimSun" w:hAnsi="SimSun" w:hint="eastAsia"/>
          <w:sz w:val="21"/>
          <w:szCs w:val="22"/>
        </w:rPr>
        <w:t>案文是对成员国提案的逐字记录。秘书处所作的澄清在方括号（[……]）中以楷体表示。</w:t>
      </w:r>
    </w:p>
    <w:p w:rsidR="009E5D66" w:rsidRPr="00D358DD" w:rsidRDefault="009E5D66" w:rsidP="00D358DD">
      <w:pPr>
        <w:keepNext/>
        <w:overflowPunct w:val="0"/>
        <w:spacing w:beforeLines="100" w:before="240" w:afterLines="50" w:after="120" w:line="340" w:lineRule="atLeast"/>
        <w:rPr>
          <w:rFonts w:ascii="SimSun" w:hAnsi="SimSun"/>
          <w:b/>
          <w:sz w:val="21"/>
        </w:rPr>
      </w:pPr>
      <w:r w:rsidRPr="00D358DD">
        <w:rPr>
          <w:rFonts w:ascii="SimSun" w:hAnsi="SimSun"/>
          <w:b/>
          <w:sz w:val="21"/>
        </w:rPr>
        <w:t>WIPO</w:t>
      </w:r>
      <w:r w:rsidR="008C59A0" w:rsidRPr="00D358DD">
        <w:rPr>
          <w:rFonts w:ascii="SimSun" w:hAnsi="SimSun" w:hint="eastAsia"/>
          <w:b/>
          <w:sz w:val="21"/>
        </w:rPr>
        <w:t>成员国大会第五十六届系列会议以来的进展</w:t>
      </w:r>
    </w:p>
    <w:p w:rsidR="009E5D66" w:rsidRPr="00E340E6" w:rsidRDefault="008C59A0"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rPr>
        <w:t>在WIPO成员国大会第五十六届系列会议（</w:t>
      </w:r>
      <w:r w:rsidR="00233449" w:rsidRPr="00E340E6">
        <w:rPr>
          <w:rFonts w:ascii="SimSun" w:hAnsi="SimSun" w:hint="eastAsia"/>
          <w:sz w:val="21"/>
        </w:rPr>
        <w:t>2016</w:t>
      </w:r>
      <w:r w:rsidRPr="00E340E6">
        <w:rPr>
          <w:rFonts w:ascii="SimSun" w:hAnsi="SimSun" w:hint="eastAsia"/>
          <w:sz w:val="21"/>
        </w:rPr>
        <w:t>年10月）期间，</w:t>
      </w:r>
      <w:r w:rsidR="00F217A5" w:rsidRPr="00E340E6">
        <w:rPr>
          <w:rFonts w:ascii="SimSun" w:hAnsi="SimSun" w:hint="eastAsia"/>
          <w:sz w:val="21"/>
        </w:rPr>
        <w:t>WIPO大会在其</w:t>
      </w:r>
      <w:r w:rsidRPr="00E340E6">
        <w:rPr>
          <w:rFonts w:ascii="SimSun" w:hAnsi="SimSun" w:hint="eastAsia"/>
          <w:sz w:val="21"/>
        </w:rPr>
        <w:t>第四十八届会议（第26次特别会议）上</w:t>
      </w:r>
      <w:r w:rsidR="00F217A5" w:rsidRPr="00E340E6">
        <w:rPr>
          <w:rFonts w:ascii="SimSun" w:hAnsi="SimSun" w:hint="eastAsia"/>
          <w:sz w:val="21"/>
        </w:rPr>
        <w:t>就有关WIPO新驻外办事处事宜，作出如下决定（见文件</w:t>
      </w:r>
      <w:r w:rsidR="00233449" w:rsidRPr="00E340E6">
        <w:rPr>
          <w:rFonts w:ascii="SimSun" w:hAnsi="SimSun" w:hint="eastAsia"/>
          <w:sz w:val="21"/>
        </w:rPr>
        <w:t>A/56/17</w:t>
      </w:r>
      <w:r w:rsidR="000D68D6" w:rsidRPr="00E340E6">
        <w:rPr>
          <w:rFonts w:ascii="SimSun" w:hAnsi="SimSun" w:hint="eastAsia"/>
          <w:sz w:val="21"/>
        </w:rPr>
        <w:t>“经成员国大会通过的总报告”</w:t>
      </w:r>
      <w:r w:rsidR="00F217A5" w:rsidRPr="00E340E6">
        <w:rPr>
          <w:rFonts w:ascii="SimSun" w:hAnsi="SimSun" w:hint="eastAsia"/>
          <w:sz w:val="21"/>
        </w:rPr>
        <w:t>第126段）：</w:t>
      </w:r>
    </w:p>
    <w:p w:rsidR="009E5D66" w:rsidRPr="00E340E6" w:rsidRDefault="00C65258" w:rsidP="00D358DD">
      <w:pPr>
        <w:overflowPunct w:val="0"/>
        <w:spacing w:afterLines="50" w:after="120" w:line="340" w:lineRule="atLeast"/>
        <w:ind w:left="567"/>
        <w:jc w:val="both"/>
        <w:rPr>
          <w:rFonts w:ascii="SimSun" w:hAnsi="SimSun"/>
          <w:sz w:val="21"/>
        </w:rPr>
      </w:pPr>
      <w:r w:rsidRPr="00E340E6">
        <w:rPr>
          <w:rFonts w:ascii="SimSun" w:hAnsi="SimSun" w:hint="eastAsia"/>
          <w:sz w:val="21"/>
        </w:rPr>
        <w:t>“</w:t>
      </w:r>
      <w:r w:rsidR="00F217A5" w:rsidRPr="00E340E6">
        <w:rPr>
          <w:rFonts w:ascii="SimSun" w:hAnsi="SimSun" w:hint="eastAsia"/>
          <w:sz w:val="21"/>
        </w:rPr>
        <w:t>关于PBC议程第13</w:t>
      </w:r>
      <w:r w:rsidRPr="00E340E6">
        <w:rPr>
          <w:rFonts w:ascii="SimSun" w:hAnsi="SimSun" w:hint="eastAsia"/>
          <w:sz w:val="21"/>
        </w:rPr>
        <w:t>项</w:t>
      </w:r>
      <w:r w:rsidR="00F217A5" w:rsidRPr="00D358DD">
        <w:rPr>
          <w:rFonts w:ascii="SimSun" w:hAnsi="SimSun" w:hint="eastAsia"/>
          <w:sz w:val="21"/>
          <w:szCs w:val="22"/>
          <w:lang w:val="de-DE"/>
        </w:rPr>
        <w:t>‘开设新的WIPO驻外办事处’</w:t>
      </w:r>
      <w:r w:rsidR="00F217A5" w:rsidRPr="00E340E6">
        <w:rPr>
          <w:rFonts w:ascii="SimSun" w:hAnsi="SimSun" w:hint="eastAsia"/>
          <w:sz w:val="21"/>
        </w:rPr>
        <w:t>，在审查了文件A/56/15之后，根据2015年大会的决定（文件A/55/13），大会决定：</w:t>
      </w:r>
    </w:p>
    <w:p w:rsidR="009E5D66" w:rsidRPr="00E340E6" w:rsidRDefault="009E5D66" w:rsidP="00D358DD">
      <w:pPr>
        <w:overflowPunct w:val="0"/>
        <w:spacing w:afterLines="50" w:after="120" w:line="340" w:lineRule="atLeast"/>
        <w:ind w:left="1134"/>
        <w:jc w:val="both"/>
        <w:rPr>
          <w:rFonts w:ascii="SimSun" w:hAnsi="SimSun"/>
          <w:sz w:val="21"/>
        </w:rPr>
      </w:pPr>
      <w:r w:rsidRPr="00E340E6">
        <w:rPr>
          <w:rFonts w:ascii="SimSun" w:hAnsi="SimSun"/>
          <w:sz w:val="21"/>
        </w:rPr>
        <w:t>1.</w:t>
      </w:r>
      <w:r w:rsidRPr="00E340E6">
        <w:rPr>
          <w:rFonts w:ascii="SimSun" w:hAnsi="SimSun"/>
          <w:sz w:val="21"/>
        </w:rPr>
        <w:tab/>
      </w:r>
      <w:r w:rsidR="00F217A5" w:rsidRPr="00E340E6">
        <w:rPr>
          <w:rFonts w:ascii="SimSun" w:hAnsi="SimSun" w:hint="eastAsia"/>
          <w:sz w:val="21"/>
        </w:rPr>
        <w:t>在阿尔及利亚和</w:t>
      </w:r>
      <w:r w:rsidR="00F217A5" w:rsidRPr="00D358DD">
        <w:rPr>
          <w:rFonts w:ascii="SimSun" w:hAnsi="SimSun" w:hint="eastAsia"/>
          <w:sz w:val="21"/>
          <w:szCs w:val="22"/>
          <w:lang w:val="de-DE"/>
        </w:rPr>
        <w:t>尼日利亚</w:t>
      </w:r>
      <w:r w:rsidR="00F217A5" w:rsidRPr="00E340E6">
        <w:rPr>
          <w:rFonts w:ascii="SimSun" w:hAnsi="SimSun" w:hint="eastAsia"/>
          <w:sz w:val="21"/>
        </w:rPr>
        <w:t>开设WIPO驻外办事处；并</w:t>
      </w:r>
    </w:p>
    <w:p w:rsidR="009E5D66" w:rsidRPr="00E340E6" w:rsidRDefault="009E5D66" w:rsidP="00D358DD">
      <w:pPr>
        <w:overflowPunct w:val="0"/>
        <w:spacing w:afterLines="50" w:after="120" w:line="340" w:lineRule="atLeast"/>
        <w:ind w:left="1134"/>
        <w:jc w:val="both"/>
        <w:rPr>
          <w:rFonts w:ascii="SimSun" w:hAnsi="SimSun"/>
          <w:sz w:val="21"/>
          <w:szCs w:val="22"/>
          <w:lang w:val="de-DE"/>
        </w:rPr>
      </w:pPr>
      <w:r w:rsidRPr="00E340E6">
        <w:rPr>
          <w:rFonts w:ascii="SimSun" w:hAnsi="SimSun"/>
          <w:sz w:val="21"/>
          <w:szCs w:val="22"/>
          <w:lang w:val="de-DE"/>
        </w:rPr>
        <w:t>2.</w:t>
      </w:r>
      <w:r w:rsidRPr="00E340E6">
        <w:rPr>
          <w:rFonts w:ascii="SimSun" w:hAnsi="SimSun"/>
          <w:sz w:val="21"/>
          <w:szCs w:val="22"/>
          <w:lang w:val="de-DE"/>
        </w:rPr>
        <w:tab/>
      </w:r>
      <w:r w:rsidR="00F217A5" w:rsidRPr="00E340E6">
        <w:rPr>
          <w:rFonts w:ascii="SimSun" w:hAnsi="SimSun" w:hint="eastAsia"/>
          <w:sz w:val="21"/>
          <w:szCs w:val="22"/>
          <w:lang w:val="de-DE"/>
        </w:rPr>
        <w:t>继续依据秘书处发出的提案要求，就在本两年期开设一个、在2018-2019两年期开设三个驻外办事处进行磋商，争取根据《指导原则》在2017年大会上就上述事项作出决定。”</w:t>
      </w:r>
    </w:p>
    <w:p w:rsidR="009E5D66" w:rsidRPr="00E340E6" w:rsidRDefault="001D7670"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依据WIPO</w:t>
      </w:r>
      <w:r w:rsidR="000A20E3" w:rsidRPr="00E340E6">
        <w:rPr>
          <w:rFonts w:ascii="SimSun" w:hAnsi="SimSun" w:hint="eastAsia"/>
          <w:sz w:val="21"/>
          <w:szCs w:val="22"/>
        </w:rPr>
        <w:t>大会关于指导原则</w:t>
      </w:r>
      <w:r w:rsidRPr="00E340E6">
        <w:rPr>
          <w:rFonts w:ascii="SimSun" w:hAnsi="SimSun" w:hint="eastAsia"/>
          <w:sz w:val="21"/>
          <w:szCs w:val="22"/>
        </w:rPr>
        <w:t>的决定，以及与大会代理主席亚尼斯·卡克林</w:t>
      </w:r>
      <w:r w:rsidR="000A20E3" w:rsidRPr="00E340E6">
        <w:rPr>
          <w:rFonts w:ascii="SimSun" w:hAnsi="SimSun" w:hint="eastAsia"/>
          <w:sz w:val="21"/>
          <w:szCs w:val="22"/>
        </w:rPr>
        <w:t>斯大使磋商之后，秘书处采取了措施，以确保落实成员国的决定。在对指导原则</w:t>
      </w:r>
      <w:r w:rsidRPr="00E340E6">
        <w:rPr>
          <w:rFonts w:ascii="SimSun" w:hAnsi="SimSun" w:hint="eastAsia"/>
          <w:sz w:val="21"/>
          <w:szCs w:val="22"/>
        </w:rPr>
        <w:t>进行分析后，秘书处发出了日期为2016年11月9日致各外交部长的通函（第3726</w:t>
      </w:r>
      <w:r w:rsidR="00E65850" w:rsidRPr="00E340E6">
        <w:rPr>
          <w:rFonts w:ascii="SimSun" w:hAnsi="SimSun" w:hint="eastAsia"/>
          <w:sz w:val="21"/>
          <w:szCs w:val="22"/>
        </w:rPr>
        <w:t>号），再次重申</w:t>
      </w:r>
      <w:r w:rsidRPr="00E340E6">
        <w:rPr>
          <w:rFonts w:ascii="SimSun" w:hAnsi="SimSun" w:hint="eastAsia"/>
          <w:sz w:val="21"/>
          <w:szCs w:val="22"/>
        </w:rPr>
        <w:t>指导原则中详述的流程。</w:t>
      </w:r>
      <w:r w:rsidR="00B91F78" w:rsidRPr="00E340E6">
        <w:rPr>
          <w:rFonts w:ascii="SimSun" w:hAnsi="SimSun" w:hint="eastAsia"/>
          <w:sz w:val="21"/>
          <w:szCs w:val="22"/>
        </w:rPr>
        <w:t>考虑到这一流程对2018/19</w:t>
      </w:r>
      <w:r w:rsidR="001A2F1E" w:rsidRPr="00E340E6">
        <w:rPr>
          <w:rFonts w:ascii="SimSun" w:hAnsi="SimSun" w:hint="eastAsia"/>
          <w:sz w:val="21"/>
          <w:szCs w:val="22"/>
        </w:rPr>
        <w:t>两年期的实际</w:t>
      </w:r>
      <w:r w:rsidR="00B91F78" w:rsidRPr="00E340E6">
        <w:rPr>
          <w:rFonts w:ascii="SimSun" w:hAnsi="SimSun" w:hint="eastAsia"/>
          <w:sz w:val="21"/>
          <w:szCs w:val="22"/>
        </w:rPr>
        <w:t>影响，上述通函给出了根据指导原则应收到成员国通知和提案的截止日期。</w:t>
      </w:r>
    </w:p>
    <w:p w:rsidR="009E5D66" w:rsidRPr="00E340E6" w:rsidRDefault="001A2F1E"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秘书处在上述通函中给出的截止日期</w:t>
      </w:r>
      <w:r w:rsidR="00B75DD9" w:rsidRPr="00E340E6">
        <w:rPr>
          <w:rFonts w:ascii="SimSun" w:hAnsi="SimSun" w:hint="eastAsia"/>
          <w:sz w:val="21"/>
          <w:szCs w:val="22"/>
        </w:rPr>
        <w:t>，</w:t>
      </w:r>
      <w:r w:rsidR="00874AD9" w:rsidRPr="00E340E6">
        <w:rPr>
          <w:rFonts w:ascii="SimSun" w:hAnsi="SimSun" w:hint="eastAsia"/>
          <w:sz w:val="21"/>
          <w:szCs w:val="22"/>
        </w:rPr>
        <w:t>是在</w:t>
      </w:r>
      <w:r w:rsidRPr="00E340E6">
        <w:rPr>
          <w:rFonts w:ascii="SimSun" w:hAnsi="SimSun" w:hint="eastAsia"/>
          <w:sz w:val="21"/>
          <w:szCs w:val="22"/>
        </w:rPr>
        <w:t>考虑</w:t>
      </w:r>
      <w:r w:rsidR="00B75DD9" w:rsidRPr="00E340E6">
        <w:rPr>
          <w:rFonts w:ascii="SimSun" w:hAnsi="SimSun" w:hint="eastAsia"/>
          <w:sz w:val="21"/>
          <w:szCs w:val="22"/>
        </w:rPr>
        <w:t>了</w:t>
      </w:r>
      <w:r w:rsidRPr="00E340E6">
        <w:rPr>
          <w:rFonts w:ascii="SimSun" w:hAnsi="SimSun" w:hint="eastAsia"/>
          <w:sz w:val="21"/>
          <w:szCs w:val="22"/>
        </w:rPr>
        <w:t>对秘书处另行编拟基于事实的技术性报告的现实要求</w:t>
      </w:r>
      <w:r w:rsidR="00874AD9" w:rsidRPr="00E340E6">
        <w:rPr>
          <w:rFonts w:ascii="SimSun" w:hAnsi="SimSun" w:hint="eastAsia"/>
          <w:sz w:val="21"/>
          <w:szCs w:val="22"/>
        </w:rPr>
        <w:t>后确定的</w:t>
      </w:r>
      <w:r w:rsidRPr="00E340E6">
        <w:rPr>
          <w:rFonts w:ascii="SimSun" w:hAnsi="SimSun" w:hint="eastAsia"/>
          <w:sz w:val="21"/>
          <w:szCs w:val="22"/>
        </w:rPr>
        <w:t>，</w:t>
      </w:r>
      <w:r w:rsidR="00B75DD9" w:rsidRPr="00E340E6">
        <w:rPr>
          <w:rFonts w:ascii="SimSun" w:hAnsi="SimSun" w:hint="eastAsia"/>
          <w:sz w:val="21"/>
          <w:szCs w:val="22"/>
        </w:rPr>
        <w:t>该报告需要</w:t>
      </w:r>
      <w:r w:rsidR="004139DE" w:rsidRPr="00E340E6">
        <w:rPr>
          <w:rFonts w:ascii="SimSun" w:hAnsi="SimSun" w:hint="eastAsia"/>
          <w:sz w:val="21"/>
          <w:szCs w:val="22"/>
        </w:rPr>
        <w:t>在</w:t>
      </w:r>
      <w:r w:rsidRPr="00E340E6">
        <w:rPr>
          <w:rFonts w:ascii="SimSun" w:hAnsi="SimSun" w:hint="eastAsia"/>
          <w:sz w:val="21"/>
          <w:szCs w:val="22"/>
        </w:rPr>
        <w:t>2017年7月10日至14日举行的计划和预算委员会（PBC</w:t>
      </w:r>
      <w:r w:rsidR="004139DE" w:rsidRPr="00E340E6">
        <w:rPr>
          <w:rFonts w:ascii="SimSun" w:hAnsi="SimSun" w:hint="eastAsia"/>
          <w:sz w:val="21"/>
          <w:szCs w:val="22"/>
        </w:rPr>
        <w:t>）第二十六</w:t>
      </w:r>
      <w:r w:rsidRPr="00E340E6">
        <w:rPr>
          <w:rFonts w:ascii="SimSun" w:hAnsi="SimSun" w:hint="eastAsia"/>
          <w:sz w:val="21"/>
          <w:szCs w:val="22"/>
        </w:rPr>
        <w:t>届会议</w:t>
      </w:r>
      <w:r w:rsidR="00B75DD9" w:rsidRPr="00E340E6">
        <w:rPr>
          <w:rFonts w:ascii="SimSun" w:hAnsi="SimSun" w:hint="eastAsia"/>
          <w:sz w:val="21"/>
          <w:szCs w:val="22"/>
        </w:rPr>
        <w:t>上</w:t>
      </w:r>
      <w:r w:rsidR="004139DE" w:rsidRPr="00E340E6">
        <w:rPr>
          <w:rFonts w:ascii="SimSun" w:hAnsi="SimSun" w:hint="eastAsia"/>
          <w:sz w:val="21"/>
          <w:szCs w:val="22"/>
        </w:rPr>
        <w:t>审议</w:t>
      </w:r>
      <w:r w:rsidRPr="00E340E6">
        <w:rPr>
          <w:rFonts w:ascii="SimSun" w:hAnsi="SimSun" w:hint="eastAsia"/>
          <w:sz w:val="21"/>
          <w:szCs w:val="22"/>
        </w:rPr>
        <w:t>。</w:t>
      </w:r>
      <w:r w:rsidR="004139DE" w:rsidRPr="00E340E6">
        <w:rPr>
          <w:rFonts w:ascii="SimSun" w:hAnsi="SimSun" w:hint="eastAsia"/>
          <w:sz w:val="21"/>
          <w:szCs w:val="22"/>
        </w:rPr>
        <w:t>尤其是成员国要求PBC文件必须至少提前两个月以所有语言提供。因此，含有所有已收到提案的报告必须在2017年5月15日之前翻译成所有语言。</w:t>
      </w:r>
      <w:r w:rsidR="00756236" w:rsidRPr="00E340E6">
        <w:rPr>
          <w:rFonts w:ascii="SimSun" w:hAnsi="SimSun" w:hint="eastAsia"/>
          <w:sz w:val="21"/>
          <w:szCs w:val="22"/>
        </w:rPr>
        <w:t>根据以往为WIPO会议编拟文件的惯例和此次预计需要的翻译量，可以认为，秘书处要求在2017年2月28日前，收到根据指导原则在2018/19两年期设立WIPO新驻外办事处的提案，是合理而可行的。</w:t>
      </w:r>
    </w:p>
    <w:p w:rsidR="00633991" w:rsidRPr="00E340E6" w:rsidRDefault="00756236"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2017年2月28日的截止日期之后，若干代表团提出了关切，有些想为2018/19两年期提交此种提案的成员国尚未提交。</w:t>
      </w:r>
      <w:r w:rsidR="00C80569" w:rsidRPr="00E340E6">
        <w:rPr>
          <w:rFonts w:ascii="SimSun" w:hAnsi="SimSun" w:hint="eastAsia"/>
          <w:sz w:val="21"/>
          <w:szCs w:val="22"/>
        </w:rPr>
        <w:t>因此，大会代理主席亚尼斯·卡克林斯大使与驻日内瓦</w:t>
      </w:r>
      <w:r w:rsidR="00787E4A" w:rsidRPr="00E340E6">
        <w:rPr>
          <w:rFonts w:ascii="SimSun" w:hAnsi="SimSun" w:hint="eastAsia"/>
          <w:sz w:val="21"/>
          <w:szCs w:val="22"/>
        </w:rPr>
        <w:t>地区协调员进行了磋商，并</w:t>
      </w:r>
      <w:r w:rsidR="00C80569" w:rsidRPr="00E340E6">
        <w:rPr>
          <w:rFonts w:ascii="SimSun" w:hAnsi="SimSun" w:hint="eastAsia"/>
          <w:sz w:val="21"/>
          <w:szCs w:val="22"/>
        </w:rPr>
        <w:t>在成员国中</w:t>
      </w:r>
      <w:r w:rsidR="00787E4A" w:rsidRPr="00E340E6">
        <w:rPr>
          <w:rFonts w:ascii="SimSun" w:hAnsi="SimSun" w:hint="eastAsia"/>
          <w:sz w:val="21"/>
          <w:szCs w:val="22"/>
        </w:rPr>
        <w:t>达成一致，</w:t>
      </w:r>
      <w:r w:rsidR="00C80569" w:rsidRPr="00E340E6">
        <w:rPr>
          <w:rFonts w:ascii="SimSun" w:hAnsi="SimSun" w:hint="eastAsia"/>
          <w:sz w:val="21"/>
          <w:szCs w:val="22"/>
        </w:rPr>
        <w:t>将通知</w:t>
      </w:r>
      <w:r w:rsidR="00787E4A" w:rsidRPr="00E340E6">
        <w:rPr>
          <w:rFonts w:ascii="SimSun" w:hAnsi="SimSun" w:hint="eastAsia"/>
          <w:sz w:val="21"/>
          <w:szCs w:val="22"/>
        </w:rPr>
        <w:t>希望在2018/19两年期设立驻外办事处的截止日期延长至2017年3月10日；提交在2018/19两年期设立驻外办事处的提案的截止日期延长至2017年3月28日。</w:t>
      </w:r>
    </w:p>
    <w:p w:rsidR="009E5D66" w:rsidRPr="00E340E6" w:rsidRDefault="00787E4A"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截至延长后的截止日期</w:t>
      </w:r>
      <w:r w:rsidRPr="00D358DD">
        <w:rPr>
          <w:rFonts w:ascii="SimSun" w:hAnsi="SimSun" w:hint="eastAsia"/>
          <w:sz w:val="21"/>
        </w:rPr>
        <w:t>2017</w:t>
      </w:r>
      <w:r w:rsidRPr="00E340E6">
        <w:rPr>
          <w:rFonts w:ascii="SimSun" w:hAnsi="SimSun" w:hint="eastAsia"/>
          <w:sz w:val="21"/>
          <w:szCs w:val="22"/>
        </w:rPr>
        <w:t>年3月10日，下列成员国已发出希望在2018/19两年期设立驻外办事处的通知：</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hint="eastAsia"/>
          <w:sz w:val="21"/>
        </w:rPr>
        <w:t>阿塞拜疆</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hint="eastAsia"/>
          <w:sz w:val="21"/>
        </w:rPr>
        <w:t>印度</w:t>
      </w:r>
    </w:p>
    <w:p w:rsidR="009E5D66" w:rsidRPr="00E340E6" w:rsidRDefault="000B7595"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伊朗（伊斯兰共和国）</w:t>
      </w:r>
    </w:p>
    <w:p w:rsidR="00633991"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阿曼</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大韩民国</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罗马尼亚</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lastRenderedPageBreak/>
        <w:t>沙特阿拉伯</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土耳其</w:t>
      </w:r>
    </w:p>
    <w:p w:rsidR="009E5D66" w:rsidRPr="00E340E6" w:rsidRDefault="00F2172C" w:rsidP="0020457E">
      <w:pPr>
        <w:pStyle w:val="ListParagraph"/>
        <w:numPr>
          <w:ilvl w:val="0"/>
          <w:numId w:val="4"/>
        </w:numPr>
        <w:spacing w:afterLines="50" w:after="120" w:line="340" w:lineRule="atLeast"/>
        <w:ind w:left="1559" w:hanging="425"/>
        <w:rPr>
          <w:rFonts w:ascii="SimSun" w:hAnsi="SimSun"/>
          <w:sz w:val="21"/>
        </w:rPr>
      </w:pPr>
      <w:r w:rsidRPr="00E340E6">
        <w:rPr>
          <w:rFonts w:ascii="SimSun" w:hAnsi="SimSun"/>
          <w:sz w:val="21"/>
        </w:rPr>
        <w:t>阿拉伯联合酋长国</w:t>
      </w:r>
    </w:p>
    <w:p w:rsidR="009E5D66" w:rsidRPr="00E340E6" w:rsidRDefault="004C21DE"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截至延长后的截止日期2017年3月</w:t>
      </w:r>
      <w:r w:rsidR="008729BF" w:rsidRPr="00E340E6">
        <w:rPr>
          <w:rFonts w:ascii="SimSun" w:hAnsi="SimSun" w:hint="eastAsia"/>
          <w:sz w:val="21"/>
          <w:szCs w:val="22"/>
        </w:rPr>
        <w:t>28</w:t>
      </w:r>
      <w:r w:rsidRPr="00E340E6">
        <w:rPr>
          <w:rFonts w:ascii="SimSun" w:hAnsi="SimSun" w:hint="eastAsia"/>
          <w:sz w:val="21"/>
          <w:szCs w:val="22"/>
        </w:rPr>
        <w:t>日，以下成员国已提交了在2018/19两年期设立驻外办事处的提案：</w:t>
      </w:r>
    </w:p>
    <w:p w:rsidR="009E5D66" w:rsidRPr="00E340E6" w:rsidRDefault="000B7595"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阿塞拜疆</w:t>
      </w:r>
    </w:p>
    <w:p w:rsidR="009E5D66" w:rsidRPr="00E340E6" w:rsidRDefault="000B7595"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印度</w:t>
      </w:r>
    </w:p>
    <w:p w:rsidR="009E5D66" w:rsidRPr="00E340E6" w:rsidRDefault="000B7595"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伊朗（伊斯兰共和国）</w:t>
      </w:r>
    </w:p>
    <w:p w:rsidR="009E5D66" w:rsidRPr="00E340E6" w:rsidRDefault="000B7595"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阿曼</w:t>
      </w:r>
    </w:p>
    <w:p w:rsidR="009E5D66" w:rsidRPr="00E340E6" w:rsidRDefault="00F2172C"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大韩民国</w:t>
      </w:r>
    </w:p>
    <w:p w:rsidR="009E5D66" w:rsidRPr="00E340E6" w:rsidRDefault="00F2172C"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罗马尼亚</w:t>
      </w:r>
    </w:p>
    <w:p w:rsidR="009E5D66" w:rsidRPr="00E340E6" w:rsidRDefault="00F2172C"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沙特阿拉伯</w:t>
      </w:r>
    </w:p>
    <w:p w:rsidR="009E5D66" w:rsidRPr="00E340E6" w:rsidRDefault="00F2172C"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土耳其</w:t>
      </w:r>
    </w:p>
    <w:p w:rsidR="009E5D66" w:rsidRPr="00E340E6" w:rsidRDefault="00F2172C" w:rsidP="002C70D9">
      <w:pPr>
        <w:pStyle w:val="ListParagraph"/>
        <w:numPr>
          <w:ilvl w:val="0"/>
          <w:numId w:val="31"/>
        </w:numPr>
        <w:spacing w:afterLines="50" w:after="120" w:line="340" w:lineRule="atLeast"/>
        <w:ind w:left="1559" w:hanging="425"/>
        <w:rPr>
          <w:rFonts w:ascii="SimSun" w:hAnsi="SimSun"/>
          <w:sz w:val="21"/>
        </w:rPr>
      </w:pPr>
      <w:r w:rsidRPr="00E340E6">
        <w:rPr>
          <w:rFonts w:ascii="SimSun" w:hAnsi="SimSun"/>
          <w:sz w:val="21"/>
        </w:rPr>
        <w:t>阿拉伯联合酋长国</w:t>
      </w:r>
    </w:p>
    <w:p w:rsidR="009E5D66" w:rsidRPr="00D358DD" w:rsidRDefault="0011399B" w:rsidP="0020457E">
      <w:pPr>
        <w:pStyle w:val="ONUME"/>
        <w:numPr>
          <w:ilvl w:val="0"/>
          <w:numId w:val="3"/>
        </w:numPr>
        <w:tabs>
          <w:tab w:val="clear" w:pos="567"/>
        </w:tabs>
        <w:overflowPunct w:val="0"/>
        <w:spacing w:afterLines="50" w:after="120" w:line="340" w:lineRule="atLeast"/>
        <w:jc w:val="both"/>
        <w:rPr>
          <w:rFonts w:ascii="SimSun" w:hAnsi="SimSun"/>
          <w:sz w:val="21"/>
        </w:rPr>
      </w:pPr>
      <w:r w:rsidRPr="00D358DD">
        <w:rPr>
          <w:rFonts w:ascii="SimSun" w:hAnsi="SimSun" w:hint="eastAsia"/>
          <w:sz w:val="21"/>
        </w:rPr>
        <w:t>因此，上述9</w:t>
      </w:r>
      <w:r w:rsidR="000C0696" w:rsidRPr="00D358DD">
        <w:rPr>
          <w:rFonts w:ascii="SimSun" w:hAnsi="SimSun" w:hint="eastAsia"/>
          <w:sz w:val="21"/>
        </w:rPr>
        <w:t>个成员国构成了提交</w:t>
      </w:r>
      <w:r w:rsidRPr="00D358DD">
        <w:rPr>
          <w:rFonts w:ascii="SimSun" w:hAnsi="SimSun" w:hint="eastAsia"/>
          <w:sz w:val="21"/>
        </w:rPr>
        <w:t>2018/19两年期设立WIPO驻外办事处提案的最终确定名单。所有这些提案可在PBC第二十六届会议的网站上查阅</w:t>
      </w:r>
      <w:r w:rsidR="005000B8" w:rsidRPr="00D358DD">
        <w:rPr>
          <w:rFonts w:ascii="SimSun" w:hAnsi="SimSun" w:hint="eastAsia"/>
          <w:sz w:val="21"/>
        </w:rPr>
        <w:t>，链接如下</w:t>
      </w:r>
      <w:r w:rsidRPr="00D358DD">
        <w:rPr>
          <w:rFonts w:ascii="SimSun" w:hAnsi="SimSun" w:hint="eastAsia"/>
          <w:sz w:val="21"/>
        </w:rPr>
        <w:t>：</w:t>
      </w:r>
      <w:hyperlink r:id="rId10" w:history="1">
        <w:r w:rsidR="00D358DD" w:rsidRPr="00C63BF0">
          <w:rPr>
            <w:rStyle w:val="Hyperlink"/>
            <w:rFonts w:ascii="SimSun" w:hAnsi="SimSun"/>
            <w:sz w:val="21"/>
            <w:szCs w:val="22"/>
          </w:rPr>
          <w:t>http://www.wipo.int/meetings/</w:t>
        </w:r>
        <w:r w:rsidR="00D358DD" w:rsidRPr="00C63BF0">
          <w:rPr>
            <w:rStyle w:val="Hyperlink"/>
            <w:rFonts w:ascii="MS Mincho" w:eastAsia="MS Mincho" w:hAnsi="MS Mincho" w:cs="MS Mincho"/>
            <w:sz w:val="21"/>
            <w:szCs w:val="22"/>
          </w:rPr>
          <w:t>‌</w:t>
        </w:r>
        <w:r w:rsidR="00D358DD" w:rsidRPr="00C63BF0">
          <w:rPr>
            <w:rStyle w:val="Hyperlink"/>
            <w:rFonts w:ascii="SimSun" w:hAnsi="SimSun"/>
            <w:sz w:val="21"/>
            <w:szCs w:val="22"/>
          </w:rPr>
          <w:t>en/details.jsp?meeting_id=42294</w:t>
        </w:r>
      </w:hyperlink>
      <w:r w:rsidR="00D358DD" w:rsidRPr="00D358DD">
        <w:rPr>
          <w:rFonts w:ascii="SimSun" w:hAnsi="SimSun" w:hint="eastAsia"/>
          <w:sz w:val="21"/>
          <w:szCs w:val="22"/>
        </w:rPr>
        <w:t>。</w:t>
      </w:r>
    </w:p>
    <w:p w:rsidR="009E5D66" w:rsidRPr="00E340E6" w:rsidRDefault="0011399B"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提议决定段落措辞如下。</w:t>
      </w:r>
    </w:p>
    <w:p w:rsidR="009E5D66" w:rsidRPr="00D358DD" w:rsidRDefault="009E5D66" w:rsidP="00D358DD">
      <w:pPr>
        <w:pStyle w:val="ONUME"/>
        <w:numPr>
          <w:ilvl w:val="0"/>
          <w:numId w:val="0"/>
        </w:numPr>
        <w:overflowPunct w:val="0"/>
        <w:spacing w:afterLines="50" w:after="120" w:line="340" w:lineRule="atLeast"/>
        <w:ind w:left="5534"/>
        <w:rPr>
          <w:rFonts w:ascii="KaiTi" w:eastAsia="KaiTi" w:hAnsi="KaiTi"/>
          <w:sz w:val="21"/>
          <w:szCs w:val="22"/>
        </w:rPr>
      </w:pPr>
      <w:r w:rsidRPr="00D358DD">
        <w:rPr>
          <w:rFonts w:ascii="KaiTi" w:eastAsia="KaiTi" w:hAnsi="KaiTi"/>
          <w:sz w:val="21"/>
          <w:szCs w:val="22"/>
        </w:rPr>
        <w:t>11.</w:t>
      </w:r>
      <w:r w:rsidRPr="00D358DD">
        <w:rPr>
          <w:rFonts w:ascii="KaiTi" w:eastAsia="KaiTi" w:hAnsi="KaiTi"/>
          <w:sz w:val="21"/>
          <w:szCs w:val="22"/>
        </w:rPr>
        <w:tab/>
      </w:r>
      <w:r w:rsidR="0011399B" w:rsidRPr="00D358DD">
        <w:rPr>
          <w:rFonts w:ascii="KaiTi" w:eastAsia="KaiTi" w:hAnsi="KaiTi" w:hint="eastAsia"/>
          <w:sz w:val="21"/>
          <w:szCs w:val="22"/>
        </w:rPr>
        <w:t>请计划和预算委员会（PBC）：</w:t>
      </w:r>
    </w:p>
    <w:p w:rsidR="009E5D66" w:rsidRPr="00D358DD" w:rsidRDefault="009E5D66" w:rsidP="00D358DD">
      <w:pPr>
        <w:pStyle w:val="ONUME"/>
        <w:numPr>
          <w:ilvl w:val="0"/>
          <w:numId w:val="0"/>
        </w:numPr>
        <w:tabs>
          <w:tab w:val="left" w:pos="720"/>
        </w:tabs>
        <w:spacing w:afterLines="50" w:after="120" w:line="340" w:lineRule="atLeast"/>
        <w:ind w:left="6237"/>
        <w:jc w:val="both"/>
        <w:rPr>
          <w:rFonts w:ascii="KaiTi" w:eastAsia="KaiTi" w:hAnsi="KaiTi"/>
          <w:sz w:val="21"/>
        </w:rPr>
      </w:pPr>
      <w:r w:rsidRPr="00D358DD">
        <w:rPr>
          <w:rFonts w:ascii="KaiTi" w:eastAsia="KaiTi" w:hAnsi="KaiTi"/>
          <w:sz w:val="21"/>
        </w:rPr>
        <w:t>(i)</w:t>
      </w:r>
      <w:r w:rsidRPr="00D358DD">
        <w:rPr>
          <w:rFonts w:ascii="KaiTi" w:eastAsia="KaiTi" w:hAnsi="KaiTi"/>
          <w:sz w:val="21"/>
        </w:rPr>
        <w:tab/>
      </w:r>
      <w:r w:rsidR="0011399B" w:rsidRPr="00D358DD">
        <w:rPr>
          <w:rFonts w:ascii="KaiTi" w:eastAsia="KaiTi" w:hAnsi="KaiTi" w:hint="eastAsia"/>
          <w:sz w:val="21"/>
        </w:rPr>
        <w:t>审议文件“2018/19两年期开设新的WIPO驻外办事处”（文件WO/PBC/26/7）；并</w:t>
      </w:r>
    </w:p>
    <w:p w:rsidR="009E5D66" w:rsidRPr="00D358DD" w:rsidRDefault="00DC2963" w:rsidP="00D358DD">
      <w:pPr>
        <w:pStyle w:val="ONUME"/>
        <w:numPr>
          <w:ilvl w:val="0"/>
          <w:numId w:val="0"/>
        </w:numPr>
        <w:tabs>
          <w:tab w:val="left" w:pos="720"/>
        </w:tabs>
        <w:spacing w:afterLines="50" w:after="120" w:line="340" w:lineRule="atLeast"/>
        <w:ind w:left="6237"/>
        <w:jc w:val="both"/>
        <w:rPr>
          <w:rFonts w:ascii="KaiTi" w:eastAsia="KaiTi" w:hAnsi="KaiTi"/>
          <w:sz w:val="21"/>
        </w:rPr>
      </w:pPr>
      <w:r w:rsidRPr="00D358DD">
        <w:rPr>
          <w:rFonts w:ascii="KaiTi" w:eastAsia="KaiTi" w:hAnsi="KaiTi"/>
          <w:sz w:val="21"/>
        </w:rPr>
        <w:t>(ii)</w:t>
      </w:r>
      <w:r w:rsidRPr="00D358DD">
        <w:rPr>
          <w:rFonts w:ascii="KaiTi" w:eastAsia="KaiTi" w:hAnsi="KaiTi"/>
          <w:sz w:val="21"/>
        </w:rPr>
        <w:tab/>
      </w:r>
      <w:r w:rsidR="003D435B" w:rsidRPr="00D358DD">
        <w:rPr>
          <w:rFonts w:ascii="KaiTi" w:eastAsia="KaiTi" w:hAnsi="KaiTi" w:hint="eastAsia"/>
          <w:sz w:val="21"/>
        </w:rPr>
        <w:t>在对文件WO/PBC/26/7以及该文件中提及的成员国的提案进行审议后，向大会提出任何建议。</w:t>
      </w:r>
    </w:p>
    <w:p w:rsidR="00D358DD" w:rsidRDefault="00D358DD" w:rsidP="00D358DD">
      <w:pPr>
        <w:pStyle w:val="ONUME"/>
        <w:numPr>
          <w:ilvl w:val="0"/>
          <w:numId w:val="0"/>
        </w:numPr>
        <w:overflowPunct w:val="0"/>
        <w:spacing w:afterLines="50" w:after="120" w:line="340" w:lineRule="atLeast"/>
        <w:ind w:left="5534"/>
        <w:rPr>
          <w:rFonts w:ascii="KaiTi" w:eastAsia="KaiTi" w:hAnsi="KaiTi"/>
          <w:sz w:val="21"/>
        </w:rPr>
      </w:pPr>
    </w:p>
    <w:p w:rsidR="009E5D66" w:rsidRPr="00D358DD" w:rsidRDefault="00DC2963" w:rsidP="00D358DD">
      <w:pPr>
        <w:pStyle w:val="ONUME"/>
        <w:numPr>
          <w:ilvl w:val="0"/>
          <w:numId w:val="0"/>
        </w:numPr>
        <w:overflowPunct w:val="0"/>
        <w:spacing w:afterLines="50" w:after="120" w:line="340" w:lineRule="atLeast"/>
        <w:ind w:left="5534"/>
        <w:rPr>
          <w:rFonts w:ascii="KaiTi" w:eastAsia="KaiTi" w:hAnsi="KaiTi"/>
          <w:sz w:val="21"/>
        </w:rPr>
      </w:pPr>
      <w:r w:rsidRPr="00D358DD">
        <w:rPr>
          <w:rFonts w:ascii="KaiTi" w:eastAsia="KaiTi" w:hAnsi="KaiTi"/>
          <w:sz w:val="21"/>
        </w:rPr>
        <w:t>[</w:t>
      </w:r>
      <w:r w:rsidR="000D68D6" w:rsidRPr="00D358DD">
        <w:rPr>
          <w:rFonts w:ascii="KaiTi" w:eastAsia="KaiTi" w:hAnsi="KaiTi" w:hint="eastAsia"/>
          <w:sz w:val="21"/>
        </w:rPr>
        <w:t>后接附件</w:t>
      </w:r>
      <w:r w:rsidR="009E5D66" w:rsidRPr="00D358DD">
        <w:rPr>
          <w:rFonts w:ascii="KaiTi" w:eastAsia="KaiTi" w:hAnsi="KaiTi"/>
          <w:sz w:val="21"/>
        </w:rPr>
        <w:t>]</w:t>
      </w:r>
    </w:p>
    <w:p w:rsidR="009E5D66" w:rsidRPr="00D358DD" w:rsidRDefault="009E5D66" w:rsidP="009E5D66">
      <w:pPr>
        <w:rPr>
          <w:rFonts w:ascii="KaiTi" w:eastAsia="KaiTi" w:hAnsi="KaiTi"/>
          <w:sz w:val="21"/>
        </w:rPr>
      </w:pPr>
    </w:p>
    <w:p w:rsidR="00D358DD" w:rsidRPr="00E340E6" w:rsidRDefault="00D358DD" w:rsidP="009E5D66">
      <w:pPr>
        <w:rPr>
          <w:rFonts w:ascii="SimSun" w:hAnsi="SimSun"/>
          <w:sz w:val="21"/>
        </w:rPr>
        <w:sectPr w:rsidR="00D358DD" w:rsidRPr="00E340E6" w:rsidSect="00D358DD">
          <w:headerReference w:type="default" r:id="rId11"/>
          <w:endnotePr>
            <w:numFmt w:val="decimal"/>
          </w:endnotePr>
          <w:pgSz w:w="11907" w:h="16840" w:code="9"/>
          <w:pgMar w:top="567" w:right="1134" w:bottom="1418" w:left="1418" w:header="510" w:footer="1021" w:gutter="0"/>
          <w:cols w:space="720"/>
          <w:titlePg/>
          <w:docGrid w:linePitch="299"/>
        </w:sectPr>
      </w:pPr>
    </w:p>
    <w:p w:rsidR="00B91C3B" w:rsidRPr="00F85B4A" w:rsidRDefault="00B91C3B" w:rsidP="00F85B4A">
      <w:pPr>
        <w:spacing w:afterLines="200" w:after="480" w:line="340" w:lineRule="atLeast"/>
        <w:jc w:val="center"/>
        <w:rPr>
          <w:rFonts w:ascii="SimHei" w:eastAsia="SimHei" w:hAnsi="SimHei"/>
          <w:sz w:val="21"/>
          <w:szCs w:val="24"/>
        </w:rPr>
      </w:pPr>
      <w:r w:rsidRPr="00F85B4A">
        <w:rPr>
          <w:rFonts w:ascii="SimHei" w:eastAsia="SimHei" w:hAnsi="SimHei" w:cs="SimSun" w:hint="eastAsia"/>
          <w:sz w:val="21"/>
          <w:szCs w:val="24"/>
        </w:rPr>
        <w:lastRenderedPageBreak/>
        <w:t>设立驻外办事处的提案</w:t>
      </w:r>
    </w:p>
    <w:p w:rsidR="00B91C3B" w:rsidRPr="00F85B4A" w:rsidRDefault="00F85B4A" w:rsidP="00F85B4A">
      <w:pPr>
        <w:spacing w:afterLines="50" w:after="120" w:line="340" w:lineRule="atLeast"/>
        <w:jc w:val="right"/>
        <w:rPr>
          <w:rFonts w:ascii="SimSun" w:hAnsi="SimSun"/>
          <w:sz w:val="21"/>
          <w:szCs w:val="24"/>
        </w:rPr>
      </w:pPr>
      <w:r w:rsidRPr="00F85B4A">
        <w:rPr>
          <w:rFonts w:ascii="SimSun" w:hAnsi="SimSun" w:hint="eastAsia"/>
          <w:caps/>
          <w:sz w:val="21"/>
          <w:szCs w:val="24"/>
        </w:rPr>
        <w:t>页</w:t>
      </w:r>
      <w:r>
        <w:rPr>
          <w:rFonts w:ascii="SimSun" w:hAnsi="SimSun" w:hint="eastAsia"/>
          <w:caps/>
          <w:sz w:val="21"/>
          <w:szCs w:val="24"/>
        </w:rPr>
        <w:t xml:space="preserve">　</w:t>
      </w:r>
      <w:r w:rsidRPr="00F85B4A">
        <w:rPr>
          <w:rFonts w:ascii="SimSun" w:hAnsi="SimSun" w:hint="eastAsia"/>
          <w:caps/>
          <w:sz w:val="21"/>
          <w:szCs w:val="24"/>
        </w:rPr>
        <w:t>次</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阿塞拜疆</w:t>
      </w:r>
      <w:r w:rsidR="00F85B4A">
        <w:rPr>
          <w:rFonts w:ascii="SimSun" w:hAnsi="SimSun" w:hint="eastAsia"/>
          <w:sz w:val="21"/>
        </w:rPr>
        <w:tab/>
        <w:t>2</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印度</w:t>
      </w:r>
      <w:r w:rsidR="00F85B4A">
        <w:rPr>
          <w:rFonts w:ascii="SimSun" w:hAnsi="SimSun" w:hint="eastAsia"/>
          <w:sz w:val="21"/>
        </w:rPr>
        <w:tab/>
      </w:r>
      <w:r w:rsidR="0073025F">
        <w:rPr>
          <w:rFonts w:ascii="SimSun" w:hAnsi="SimSun" w:hint="eastAsia"/>
          <w:sz w:val="21"/>
        </w:rPr>
        <w:t>4</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伊朗（伊斯兰共和国）</w:t>
      </w:r>
      <w:r w:rsidR="00F85B4A">
        <w:rPr>
          <w:rFonts w:ascii="SimSun" w:hAnsi="SimSun" w:hint="eastAsia"/>
          <w:sz w:val="21"/>
        </w:rPr>
        <w:tab/>
      </w:r>
      <w:r w:rsidR="0073025F">
        <w:rPr>
          <w:rFonts w:ascii="SimSun" w:hAnsi="SimSun" w:hint="eastAsia"/>
          <w:sz w:val="21"/>
        </w:rPr>
        <w:t>10</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阿曼</w:t>
      </w:r>
      <w:r w:rsidR="00F85B4A">
        <w:rPr>
          <w:rFonts w:ascii="SimSun" w:hAnsi="SimSun" w:hint="eastAsia"/>
          <w:sz w:val="21"/>
        </w:rPr>
        <w:tab/>
      </w:r>
      <w:r w:rsidR="0073025F">
        <w:rPr>
          <w:rFonts w:ascii="SimSun" w:hAnsi="SimSun" w:hint="eastAsia"/>
          <w:sz w:val="21"/>
        </w:rPr>
        <w:t>13</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大韩民国</w:t>
      </w:r>
      <w:r w:rsidR="00F85B4A">
        <w:rPr>
          <w:rFonts w:ascii="SimSun" w:hAnsi="SimSun" w:hint="eastAsia"/>
          <w:sz w:val="21"/>
        </w:rPr>
        <w:tab/>
      </w:r>
      <w:r w:rsidR="0073025F">
        <w:rPr>
          <w:rFonts w:ascii="SimSun" w:hAnsi="SimSun" w:hint="eastAsia"/>
          <w:sz w:val="21"/>
        </w:rPr>
        <w:t>17</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罗马尼亚</w:t>
      </w:r>
      <w:r w:rsidR="00F85B4A">
        <w:rPr>
          <w:rFonts w:ascii="SimSun" w:hAnsi="SimSun" w:hint="eastAsia"/>
          <w:sz w:val="21"/>
        </w:rPr>
        <w:tab/>
      </w:r>
      <w:r w:rsidR="0073025F">
        <w:rPr>
          <w:rFonts w:ascii="SimSun" w:hAnsi="SimSun" w:hint="eastAsia"/>
          <w:sz w:val="21"/>
        </w:rPr>
        <w:t>20</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沙特阿拉伯</w:t>
      </w:r>
      <w:r w:rsidR="00F85B4A">
        <w:rPr>
          <w:rFonts w:ascii="SimSun" w:hAnsi="SimSun" w:hint="eastAsia"/>
          <w:sz w:val="21"/>
        </w:rPr>
        <w:tab/>
      </w:r>
      <w:r w:rsidR="0073025F">
        <w:rPr>
          <w:rFonts w:ascii="SimSun" w:hAnsi="SimSun" w:hint="eastAsia"/>
          <w:sz w:val="21"/>
        </w:rPr>
        <w:t>27</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土耳其</w:t>
      </w:r>
      <w:r w:rsidR="00F85B4A">
        <w:rPr>
          <w:rFonts w:ascii="SimSun" w:hAnsi="SimSun" w:hint="eastAsia"/>
          <w:sz w:val="21"/>
        </w:rPr>
        <w:tab/>
      </w:r>
      <w:r w:rsidR="0073025F">
        <w:rPr>
          <w:rFonts w:ascii="SimSun" w:hAnsi="SimSun" w:hint="eastAsia"/>
          <w:sz w:val="21"/>
        </w:rPr>
        <w:t>34</w:t>
      </w:r>
    </w:p>
    <w:p w:rsid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阿拉伯联合酋长国</w:t>
      </w:r>
      <w:r w:rsidR="00F85B4A">
        <w:rPr>
          <w:rFonts w:ascii="SimSun" w:hAnsi="SimSun" w:hint="eastAsia"/>
          <w:sz w:val="21"/>
        </w:rPr>
        <w:tab/>
      </w:r>
      <w:r w:rsidR="0073025F">
        <w:rPr>
          <w:rFonts w:ascii="SimSun" w:hAnsi="SimSun" w:hint="eastAsia"/>
          <w:sz w:val="21"/>
        </w:rPr>
        <w:t>38</w:t>
      </w:r>
    </w:p>
    <w:p w:rsidR="00B91C3B" w:rsidRPr="00F85B4A" w:rsidRDefault="00B91C3B" w:rsidP="00D921AC">
      <w:pPr>
        <w:rPr>
          <w:sz w:val="21"/>
        </w:rPr>
      </w:pPr>
      <w:r w:rsidRPr="00F85B4A">
        <w:rPr>
          <w:sz w:val="21"/>
        </w:rPr>
        <w:br w:type="page"/>
      </w:r>
    </w:p>
    <w:p w:rsidR="00B91C3B" w:rsidRPr="00FC3CF9" w:rsidRDefault="00B91C3B" w:rsidP="00FC3CF9">
      <w:pPr>
        <w:keepNext/>
        <w:keepLines/>
        <w:tabs>
          <w:tab w:val="left" w:pos="3780"/>
        </w:tabs>
        <w:spacing w:afterLines="50" w:after="120" w:line="340" w:lineRule="atLeast"/>
        <w:jc w:val="center"/>
        <w:rPr>
          <w:rFonts w:ascii="SimHei" w:eastAsia="SimHei" w:hAnsi="SimHei"/>
          <w:caps/>
          <w:color w:val="1F497D" w:themeColor="text2"/>
          <w:sz w:val="21"/>
          <w:szCs w:val="24"/>
        </w:rPr>
      </w:pPr>
      <w:r w:rsidRPr="00FC3CF9">
        <w:rPr>
          <w:rFonts w:ascii="SimHei" w:eastAsia="SimHei" w:hAnsi="SimHei" w:cs="SimSun" w:hint="eastAsia"/>
          <w:caps/>
          <w:color w:val="1F497D" w:themeColor="text2"/>
          <w:sz w:val="21"/>
          <w:szCs w:val="24"/>
        </w:rPr>
        <w:lastRenderedPageBreak/>
        <w:t>设立驻外办事处的提案</w:t>
      </w:r>
      <w:r w:rsidRPr="00FC3CF9">
        <w:rPr>
          <w:rFonts w:ascii="SimHei" w:eastAsia="SimHei" w:hAnsi="SimHei"/>
          <w:smallCaps/>
          <w:color w:val="1F497D" w:themeColor="text2"/>
          <w:sz w:val="21"/>
          <w:szCs w:val="24"/>
          <w:vertAlign w:val="superscript"/>
        </w:rPr>
        <w:footnoteReference w:id="2"/>
      </w:r>
    </w:p>
    <w:p w:rsidR="00B91C3B" w:rsidRPr="00FC3CF9" w:rsidRDefault="009F12A7" w:rsidP="00023B8A">
      <w:pPr>
        <w:keepNext/>
        <w:keepLines/>
        <w:tabs>
          <w:tab w:val="left" w:pos="3780"/>
        </w:tabs>
        <w:spacing w:afterLines="50" w:after="120" w:line="340" w:lineRule="atLeast"/>
        <w:rPr>
          <w:rFonts w:eastAsia="Times New Roman"/>
          <w:sz w:val="21"/>
          <w:szCs w:val="24"/>
        </w:rPr>
      </w:pPr>
      <w:r w:rsidRPr="00FC3CF9">
        <w:rPr>
          <w:rFonts w:ascii="SimHei" w:eastAsia="SimHei" w:hAnsi="SimHei"/>
          <w:bCs/>
          <w:smallCaps/>
          <w:color w:val="1F497D" w:themeColor="text2"/>
          <w:sz w:val="21"/>
          <w:szCs w:val="21"/>
        </w:rPr>
        <w:t>希望设立驻外办事处的国家：</w:t>
      </w:r>
      <w:bookmarkStart w:id="7" w:name="_Toc478490325"/>
      <w:bookmarkStart w:id="8" w:name="_Toc478490527"/>
    </w:p>
    <w:bookmarkEnd w:id="7"/>
    <w:bookmarkEnd w:id="8"/>
    <w:p w:rsidR="00B91C3B" w:rsidRPr="00023B8A" w:rsidRDefault="000506B6" w:rsidP="00023B8A">
      <w:pPr>
        <w:keepNext/>
        <w:keepLines/>
        <w:spacing w:afterLines="50" w:after="120" w:line="340" w:lineRule="atLeast"/>
        <w:jc w:val="center"/>
        <w:rPr>
          <w:rStyle w:val="1"/>
          <w:rFonts w:ascii="SimSun" w:hAnsi="SimSun"/>
          <w:sz w:val="21"/>
          <w:szCs w:val="21"/>
        </w:rPr>
      </w:pPr>
      <w:r w:rsidRPr="00023B8A">
        <w:rPr>
          <w:rStyle w:val="1"/>
          <w:rFonts w:ascii="SimSun" w:hAnsi="SimSun" w:hint="eastAsia"/>
          <w:sz w:val="21"/>
          <w:szCs w:val="21"/>
        </w:rPr>
        <w:t>阿塞拜疆</w:t>
      </w:r>
    </w:p>
    <w:p w:rsidR="00B91C3B" w:rsidRPr="00023B8A" w:rsidRDefault="00023B8A" w:rsidP="00023B8A">
      <w:pPr>
        <w:keepNext/>
        <w:keepLines/>
        <w:tabs>
          <w:tab w:val="left" w:pos="1290"/>
        </w:tabs>
        <w:spacing w:afterLines="50" w:after="120" w:line="340" w:lineRule="atLeast"/>
        <w:jc w:val="center"/>
        <w:rPr>
          <w:rFonts w:ascii="SimSun" w:hAnsi="SimSun"/>
          <w:smallCaps/>
          <w:sz w:val="21"/>
          <w:szCs w:val="21"/>
        </w:rPr>
      </w:pPr>
      <w:r>
        <w:rPr>
          <w:rFonts w:ascii="SimSun" w:hAnsi="SimSun" w:hint="eastAsia"/>
          <w:smallCaps/>
          <w:sz w:val="21"/>
          <w:szCs w:val="21"/>
        </w:rPr>
        <w:tab/>
      </w:r>
      <w:r w:rsidR="009F12A7" w:rsidRPr="00023B8A">
        <w:rPr>
          <w:rFonts w:ascii="SimSun" w:hAnsi="SimSun" w:hint="eastAsia"/>
          <w:smallCaps/>
          <w:sz w:val="21"/>
          <w:szCs w:val="21"/>
        </w:rPr>
        <w:t>以本国名义</w:t>
      </w:r>
      <w:r>
        <w:rPr>
          <w:rFonts w:ascii="SimSun" w:hAnsi="SimSun" w:hint="eastAsia"/>
          <w:smallCaps/>
          <w:sz w:val="21"/>
          <w:szCs w:val="21"/>
        </w:rPr>
        <w:tab/>
      </w:r>
      <w:r w:rsidR="009F12A7" w:rsidRPr="00023B8A">
        <w:rPr>
          <w:rFonts w:ascii="SimSun" w:hAnsi="SimSun"/>
          <w:smallCaps/>
          <w:sz w:val="21"/>
          <w:szCs w:val="21"/>
        </w:rPr>
        <w:t>X</w:t>
      </w:r>
      <w:r>
        <w:rPr>
          <w:rFonts w:ascii="SimSun" w:hAnsi="SimSun" w:hint="eastAsia"/>
          <w:smallCaps/>
          <w:sz w:val="21"/>
          <w:szCs w:val="21"/>
        </w:rPr>
        <w:tab/>
      </w:r>
      <w:r>
        <w:rPr>
          <w:rFonts w:ascii="SimSun" w:hAnsi="SimSun" w:hint="eastAsia"/>
          <w:smallCaps/>
          <w:sz w:val="21"/>
          <w:szCs w:val="21"/>
        </w:rPr>
        <w:tab/>
      </w:r>
      <w:r w:rsidR="009F12A7" w:rsidRPr="00023B8A">
        <w:rPr>
          <w:rFonts w:ascii="SimSun" w:hAnsi="SimSun" w:hint="eastAsia"/>
          <w:smallCaps/>
          <w:sz w:val="21"/>
          <w:szCs w:val="21"/>
        </w:rPr>
        <w:t>代表国家集团</w:t>
      </w:r>
      <w:r w:rsidR="009F12A7" w:rsidRPr="00023B8A">
        <w:rPr>
          <w:rFonts w:ascii="SimSun" w:hAnsi="SimSun"/>
          <w:smallCaps/>
          <w:sz w:val="21"/>
          <w:szCs w:val="21"/>
        </w:rPr>
        <w:t>/</w:t>
      </w:r>
      <w:r w:rsidR="009F12A7" w:rsidRPr="00023B8A">
        <w:rPr>
          <w:rFonts w:ascii="SimSun" w:hAnsi="SimSun" w:hint="eastAsia"/>
          <w:smallCaps/>
          <w:sz w:val="21"/>
          <w:szCs w:val="21"/>
        </w:rPr>
        <w:t>地区集团</w:t>
      </w:r>
      <w:r>
        <w:rPr>
          <w:rFonts w:ascii="SimSun" w:hAnsi="SimSun" w:hint="eastAsia"/>
          <w:smallCaps/>
          <w:sz w:val="21"/>
          <w:szCs w:val="21"/>
        </w:rPr>
        <w:tab/>
      </w:r>
      <w:r w:rsidR="00B91C3B" w:rsidRPr="00023B8A">
        <w:rPr>
          <w:rFonts w:ascii="SimSun" w:hAnsi="SimSun"/>
          <w:smallCaps/>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023B8A" w:rsidRDefault="000506B6" w:rsidP="00023B8A">
      <w:pPr>
        <w:keepNext/>
        <w:keepLines/>
        <w:tabs>
          <w:tab w:val="left" w:pos="3780"/>
        </w:tabs>
        <w:spacing w:afterLines="50" w:after="120" w:line="340" w:lineRule="atLeast"/>
        <w:jc w:val="center"/>
        <w:rPr>
          <w:rFonts w:ascii="KaiTi" w:eastAsia="KaiTi" w:hAnsi="KaiTi"/>
          <w:sz w:val="21"/>
          <w:szCs w:val="21"/>
        </w:rPr>
      </w:pPr>
      <w:r w:rsidRPr="00023B8A">
        <w:rPr>
          <w:rFonts w:ascii="KaiTi" w:eastAsia="KaiTi" w:hAnsi="KaiTi"/>
          <w:sz w:val="21"/>
          <w:szCs w:val="21"/>
        </w:rPr>
        <w:t>[</w:t>
      </w:r>
      <w:r w:rsidRPr="00023B8A">
        <w:rPr>
          <w:rFonts w:ascii="KaiTi" w:eastAsia="KaiTi" w:hAnsi="KaiTi" w:hint="eastAsia"/>
          <w:sz w:val="21"/>
          <w:szCs w:val="21"/>
        </w:rPr>
        <w:t>不适用</w:t>
      </w:r>
      <w:r w:rsidRPr="00023B8A">
        <w:rPr>
          <w:rFonts w:ascii="KaiTi" w:eastAsia="KaiTi" w:hAnsi="KaiTi"/>
          <w:sz w:val="21"/>
          <w:szCs w:val="21"/>
        </w:rPr>
        <w:t>]</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B91C3B" w:rsidRPr="00023B8A" w:rsidRDefault="00B91C3B" w:rsidP="00023B8A">
      <w:pPr>
        <w:keepNext/>
        <w:keepLines/>
        <w:tabs>
          <w:tab w:val="left" w:pos="2460"/>
        </w:tabs>
        <w:spacing w:afterLines="50" w:after="120" w:line="340" w:lineRule="atLeast"/>
        <w:rPr>
          <w:rFonts w:ascii="SimSun" w:hAnsi="SimSun"/>
          <w:sz w:val="21"/>
          <w:szCs w:val="21"/>
        </w:rPr>
      </w:pPr>
      <w:r w:rsidRPr="00023B8A">
        <w:rPr>
          <w:rFonts w:ascii="SimSun" w:hAnsi="SimSun"/>
          <w:sz w:val="21"/>
          <w:szCs w:val="21"/>
        </w:rPr>
        <w:tab/>
      </w:r>
      <w:r w:rsidR="00ED7C4A" w:rsidRPr="00023B8A">
        <w:rPr>
          <w:rFonts w:ascii="SimSun" w:hAnsi="SimSun"/>
          <w:sz w:val="21"/>
          <w:szCs w:val="21"/>
        </w:rPr>
        <w:t>是X</w:t>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ED7C4A" w:rsidRPr="00023B8A">
        <w:rPr>
          <w:rFonts w:ascii="SimSun" w:hAnsi="SimSun" w:hint="eastAsia"/>
          <w:sz w:val="21"/>
          <w:szCs w:val="21"/>
        </w:rPr>
        <w:t>否</w:t>
      </w:r>
      <w:r w:rsidRPr="00023B8A">
        <w:rPr>
          <w:rFonts w:ascii="SimSun" w:hAnsi="SimSun"/>
          <w:sz w:val="21"/>
          <w:szCs w:val="21"/>
        </w:rPr>
        <w:sym w:font="Symbol" w:char="F080"/>
      </w:r>
    </w:p>
    <w:p w:rsidR="00B91C3B" w:rsidRPr="00023B8A" w:rsidRDefault="00ED7C4A" w:rsidP="00A9523F">
      <w:pPr>
        <w:keepNext/>
        <w:keepLines/>
        <w:tabs>
          <w:tab w:val="left" w:pos="2880"/>
        </w:tabs>
        <w:spacing w:afterLines="50" w:after="120" w:line="340" w:lineRule="atLeast"/>
        <w:rPr>
          <w:rFonts w:ascii="KaiTi" w:eastAsia="KaiTi" w:hAnsi="KaiTi"/>
          <w:sz w:val="21"/>
          <w:szCs w:val="21"/>
        </w:rPr>
      </w:pPr>
      <w:r w:rsidRPr="00023B8A">
        <w:rPr>
          <w:rFonts w:ascii="KaiTi" w:eastAsia="KaiTi" w:hAnsi="KaiTi" w:hint="eastAsia"/>
          <w:sz w:val="21"/>
          <w:szCs w:val="21"/>
        </w:rPr>
        <w:t>（</w:t>
      </w:r>
      <w:r w:rsidRPr="00023B8A">
        <w:rPr>
          <w:rFonts w:ascii="KaiTi" w:eastAsia="KaiTi" w:hAnsi="KaiTi"/>
          <w:sz w:val="21"/>
          <w:szCs w:val="21"/>
        </w:rPr>
        <w:t>“WIPO</w:t>
      </w:r>
      <w:r w:rsidRPr="00023B8A">
        <w:rPr>
          <w:rFonts w:ascii="KaiTi" w:eastAsia="KaiTi" w:hAnsi="KaiTi" w:hint="eastAsia"/>
          <w:sz w:val="21"/>
          <w:szCs w:val="21"/>
        </w:rPr>
        <w:t>驻外办事处指导原则</w:t>
      </w:r>
      <w:r w:rsidRPr="00023B8A">
        <w:rPr>
          <w:rFonts w:ascii="KaiTi" w:eastAsia="KaiTi" w:hAnsi="KaiTi"/>
          <w:sz w:val="21"/>
          <w:szCs w:val="21"/>
        </w:rPr>
        <w:t>”</w:t>
      </w:r>
      <w:r w:rsidRPr="00023B8A">
        <w:rPr>
          <w:rFonts w:ascii="KaiTi" w:eastAsia="KaiTi" w:hAnsi="KaiTi" w:hint="eastAsia"/>
          <w:sz w:val="21"/>
          <w:szCs w:val="21"/>
        </w:rPr>
        <w:t>第</w:t>
      </w:r>
      <w:r w:rsidRPr="00023B8A">
        <w:rPr>
          <w:rFonts w:ascii="KaiTi" w:eastAsia="KaiTi" w:hAnsi="KaiTi"/>
          <w:sz w:val="21"/>
          <w:szCs w:val="21"/>
        </w:rPr>
        <w:t>2</w:t>
      </w:r>
      <w:r w:rsidRPr="00023B8A">
        <w:rPr>
          <w:rFonts w:ascii="KaiTi" w:eastAsia="KaiTi" w:hAnsi="KaiTi" w:hint="eastAsia"/>
          <w:sz w:val="21"/>
          <w:szCs w:val="21"/>
        </w:rPr>
        <w:t>条规定：</w:t>
      </w:r>
      <w:r w:rsidRPr="00023B8A">
        <w:rPr>
          <w:rFonts w:ascii="KaiTi" w:eastAsia="KaiTi" w:hAnsi="KaiTi"/>
          <w:sz w:val="21"/>
          <w:szCs w:val="21"/>
        </w:rPr>
        <w:t>“</w:t>
      </w:r>
      <w:r w:rsidRPr="00023B8A">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023B8A">
        <w:rPr>
          <w:rFonts w:ascii="KaiTi" w:eastAsia="KaiTi" w:hAnsi="KaiTi"/>
          <w:sz w:val="21"/>
          <w:szCs w:val="21"/>
        </w:rPr>
        <w:t>”</w:t>
      </w:r>
      <w:r w:rsidRPr="00023B8A">
        <w:rPr>
          <w:rFonts w:ascii="KaiTi" w:eastAsia="KaiTi" w:hAnsi="KaiTi" w:hint="eastAsia"/>
          <w:sz w:val="21"/>
          <w:szCs w:val="21"/>
        </w:rPr>
        <w:t>）</w:t>
      </w:r>
    </w:p>
    <w:p w:rsidR="00B91C3B" w:rsidRPr="001E4E7D" w:rsidRDefault="001E4E7D" w:rsidP="001E4E7D">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E4E7D">
        <w:rPr>
          <w:rFonts w:ascii="SimHei" w:eastAsia="SimHei" w:hAnsi="SimHei" w:hint="eastAsia"/>
          <w:bCs/>
          <w:smallCaps/>
          <w:color w:val="1F497D" w:themeColor="text2"/>
          <w:sz w:val="21"/>
          <w:szCs w:val="21"/>
          <w:u w:val="single"/>
        </w:rPr>
        <w:t>设</w:t>
      </w:r>
      <w:r w:rsidR="00ED7C4A" w:rsidRPr="001E4E7D">
        <w:rPr>
          <w:rFonts w:ascii="SimHei" w:eastAsia="SimHei" w:hAnsi="SimHei" w:hint="eastAsia"/>
          <w:bCs/>
          <w:smallCaps/>
          <w:color w:val="1F497D" w:themeColor="text2"/>
          <w:sz w:val="21"/>
          <w:szCs w:val="21"/>
          <w:u w:val="single"/>
        </w:rPr>
        <w:t>立驻外办事处的理由</w:t>
      </w:r>
      <w:r w:rsidR="00B91C3B" w:rsidRPr="00D921AC">
        <w:rPr>
          <w:rFonts w:ascii="SimHei" w:eastAsia="SimHei" w:hAnsi="SimHei"/>
          <w:bCs/>
          <w:smallCaps/>
          <w:color w:val="1F497D" w:themeColor="text2"/>
          <w:sz w:val="21"/>
          <w:szCs w:val="21"/>
          <w:u w:val="single"/>
          <w:vertAlign w:val="superscript"/>
        </w:rPr>
        <w:footnoteReference w:id="3"/>
      </w:r>
      <w:r w:rsidR="00D921AC" w:rsidRPr="00D921AC">
        <w:rPr>
          <w:rFonts w:ascii="SimHei" w:eastAsia="SimHei" w:hAnsi="SimHei"/>
          <w:bCs/>
          <w:smallCaps/>
          <w:color w:val="1F497D" w:themeColor="text2"/>
          <w:sz w:val="21"/>
          <w:szCs w:val="21"/>
        </w:rPr>
        <w:t>：</w:t>
      </w:r>
    </w:p>
    <w:p w:rsidR="00D449C5" w:rsidRPr="00CD6A66" w:rsidRDefault="00A92CF7" w:rsidP="0020457E">
      <w:pPr>
        <w:pStyle w:val="ONUME"/>
        <w:numPr>
          <w:ilvl w:val="0"/>
          <w:numId w:val="12"/>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考虑到阿塞拜疆共和国在所在地区的主导地位、有利的地理位置、所实施的多个大型项目和计划、知识产权在创新、创意经济和知识型产业可持续发展中日益重要的作用及其在</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阿塞拜疆</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快速增长的经济中的重要地位，</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阿塞拜疆共和国</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申请在阿塞拜疆共和国设立</w:t>
      </w:r>
      <w:r w:rsidRPr="00CD6A66">
        <w:rPr>
          <w:rFonts w:asciiTheme="minorEastAsia" w:eastAsiaTheme="minorEastAsia" w:hAnsiTheme="minorEastAsia" w:hint="eastAsia"/>
          <w:sz w:val="21"/>
          <w:szCs w:val="21"/>
        </w:rPr>
        <w:t>WIPO</w:t>
      </w:r>
      <w:r w:rsidRPr="00CD6A66">
        <w:rPr>
          <w:rFonts w:asciiTheme="minorEastAsia" w:eastAsiaTheme="minorEastAsia" w:hAnsiTheme="minorEastAsia" w:cs="SimSun" w:hint="eastAsia"/>
          <w:sz w:val="21"/>
          <w:szCs w:val="21"/>
        </w:rPr>
        <w:t>驻外办事处。</w:t>
      </w:r>
    </w:p>
    <w:p w:rsidR="00D449C5" w:rsidRPr="002C70D9" w:rsidRDefault="000506B6" w:rsidP="001E4E7D">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2C70D9">
        <w:rPr>
          <w:rFonts w:ascii="SimHei" w:eastAsia="SimHei" w:hAnsi="SimHei" w:hint="eastAsia"/>
          <w:bCs/>
          <w:smallCaps/>
          <w:color w:val="1F497D" w:themeColor="text2"/>
          <w:sz w:val="21"/>
          <w:szCs w:val="21"/>
          <w:u w:val="single"/>
        </w:rPr>
        <w:t>驻外办事处的拟议职责范围</w:t>
      </w:r>
      <w:r w:rsidR="00B91C3B" w:rsidRPr="002C70D9">
        <w:rPr>
          <w:rFonts w:ascii="SimHei" w:eastAsia="SimHei" w:hAnsi="SimHei"/>
          <w:bCs/>
          <w:smallCaps/>
          <w:color w:val="1F497D" w:themeColor="text2"/>
          <w:sz w:val="21"/>
          <w:szCs w:val="21"/>
          <w:u w:val="single"/>
          <w:vertAlign w:val="superscript"/>
        </w:rPr>
        <w:t>2</w:t>
      </w:r>
      <w:r w:rsidR="00D921AC" w:rsidRPr="002C70D9">
        <w:rPr>
          <w:rFonts w:ascii="SimHei" w:eastAsia="SimHei" w:hAnsi="SimHei"/>
          <w:bCs/>
          <w:smallCaps/>
          <w:color w:val="1F497D" w:themeColor="text2"/>
          <w:sz w:val="21"/>
          <w:szCs w:val="21"/>
          <w:u w:val="single"/>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目标</w:t>
      </w:r>
      <w:r w:rsidR="00B91C3B" w:rsidRPr="00F85B4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0506B6"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驻</w:t>
      </w:r>
      <w:r w:rsidRPr="00CD6A66">
        <w:rPr>
          <w:rFonts w:asciiTheme="minorEastAsia" w:eastAsiaTheme="minorEastAsia" w:hAnsiTheme="minorEastAsia" w:cs="SimSun" w:hint="eastAsia"/>
          <w:sz w:val="21"/>
          <w:szCs w:val="21"/>
        </w:rPr>
        <w:t>阿塞拜疆共和国办事处</w:t>
      </w:r>
      <w:r w:rsidRPr="009D5469">
        <w:rPr>
          <w:rFonts w:ascii="SimSun" w:hAnsi="SimSun" w:hint="eastAsia"/>
          <w:sz w:val="21"/>
        </w:rPr>
        <w:t>的任务将是作为WIPO在该国的代表，加强民间社会对WIPO活动和整个国际知识产权制度的认识。</w:t>
      </w:r>
    </w:p>
    <w:p w:rsidR="00D449C5" w:rsidRDefault="000506B6" w:rsidP="0020457E">
      <w:pPr>
        <w:pStyle w:val="ONUME"/>
        <w:numPr>
          <w:ilvl w:val="0"/>
          <w:numId w:val="12"/>
        </w:numPr>
        <w:tabs>
          <w:tab w:val="clear" w:pos="567"/>
        </w:tabs>
        <w:overflowPunct w:val="0"/>
        <w:spacing w:afterLines="50" w:after="120" w:line="340" w:lineRule="atLeast"/>
        <w:jc w:val="both"/>
        <w:rPr>
          <w:rFonts w:ascii="SimSun" w:hAnsi="SimSun"/>
          <w:sz w:val="21"/>
          <w:szCs w:val="24"/>
        </w:rPr>
      </w:pPr>
      <w:r w:rsidRPr="009D5469">
        <w:rPr>
          <w:rFonts w:ascii="SimSun" w:hAnsi="SimSun" w:hint="eastAsia"/>
          <w:sz w:val="21"/>
        </w:rPr>
        <w:t>驻阿塞拜疆办事处的主要目的将是增进对知识产权的理解和尊重，加强对知识产权的认识，改进知识产权制度，简化国家知识产权局流程并开发有关工作人员处理知识产权的能力，并与国家知识产权局——阿塞拜疆共和国标准化、气象与专利委员会和阿塞拜疆共和国版权局合作，扩大WIPO的知名度以及与WIPO的互动。</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拟议的活动范围</w:t>
      </w:r>
      <w:r w:rsidR="00B91C3B" w:rsidRPr="00CA0DB1">
        <w:rPr>
          <w:rFonts w:ascii="SimHei" w:eastAsia="SimHei" w:hAnsi="SimHei"/>
          <w:bCs/>
          <w:smallCaps/>
          <w:color w:val="1F497D" w:themeColor="text2"/>
          <w:sz w:val="21"/>
          <w:szCs w:val="21"/>
          <w:vertAlign w:val="superscript"/>
        </w:rPr>
        <w:t>2</w:t>
      </w:r>
      <w:r w:rsidRPr="00CA0DB1">
        <w:rPr>
          <w:rFonts w:ascii="KaiTi" w:eastAsia="KaiTi" w:hAnsi="KaiTi" w:hint="eastAsia"/>
          <w:bCs/>
          <w:smallCaps/>
          <w:color w:val="1F497D" w:themeColor="text2"/>
          <w:sz w:val="21"/>
          <w:szCs w:val="21"/>
        </w:rPr>
        <w:t>（适用时包括地区性活动</w:t>
      </w:r>
      <w:r w:rsidRPr="00CA0DB1">
        <w:rPr>
          <w:rFonts w:ascii="KaiTi" w:eastAsia="KaiTi" w:hAnsi="KaiTi"/>
          <w:bCs/>
          <w:smallCaps/>
          <w:color w:val="1F497D" w:themeColor="text2"/>
          <w:sz w:val="21"/>
          <w:szCs w:val="21"/>
          <w:vertAlign w:val="superscript"/>
        </w:rPr>
        <w:footnoteReference w:id="4"/>
      </w:r>
      <w:r w:rsidRPr="00CA0DB1">
        <w:rPr>
          <w:rFonts w:ascii="KaiTi" w:eastAsia="KaiTi" w:hAnsi="KaiTi" w:hint="eastAsia"/>
          <w:bCs/>
          <w:smallCaps/>
          <w:color w:val="1F497D" w:themeColor="text2"/>
          <w:sz w:val="21"/>
          <w:szCs w:val="21"/>
        </w:rPr>
        <w:t>）</w:t>
      </w:r>
      <w:r>
        <w:rPr>
          <w:rFonts w:ascii="SimHei" w:eastAsia="SimHei" w:hAnsi="SimHei" w:hint="eastAsia"/>
          <w:bCs/>
          <w:smallCaps/>
          <w:color w:val="1F497D" w:themeColor="text2"/>
          <w:sz w:val="21"/>
          <w:szCs w:val="21"/>
        </w:rPr>
        <w:t>：</w:t>
      </w:r>
    </w:p>
    <w:p w:rsidR="00D449C5" w:rsidRPr="009D5469"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CD6A66">
        <w:rPr>
          <w:rFonts w:ascii="SimSun" w:eastAsiaTheme="minorHAnsi" w:hAnsi="SimSun" w:hint="eastAsia"/>
          <w:sz w:val="21"/>
          <w:szCs w:val="21"/>
        </w:rPr>
        <w:t>驻外办事处的活动将包括：在</w:t>
      </w:r>
      <w:r w:rsidRPr="00CD6A66">
        <w:rPr>
          <w:rFonts w:ascii="SimSun" w:eastAsiaTheme="minorHAnsi" w:hAnsi="SimSun" w:hint="eastAsia"/>
          <w:sz w:val="21"/>
          <w:szCs w:val="21"/>
        </w:rPr>
        <w:t>WIPO</w:t>
      </w:r>
      <w:r w:rsidRPr="00CD6A66">
        <w:rPr>
          <w:rFonts w:ascii="SimSun" w:eastAsiaTheme="minorHAnsi" w:hAnsi="SimSun" w:hint="eastAsia"/>
          <w:sz w:val="21"/>
          <w:szCs w:val="21"/>
        </w:rPr>
        <w:t>与阿塞拜疆共和国政府、行业、私营部门和普通大众之间推动有关知识产权问题的研究、开发和宣传活动；提供知识产权方面的法律和技术援助；推广对</w:t>
      </w:r>
      <w:r w:rsidRPr="00CD6A66">
        <w:rPr>
          <w:rFonts w:ascii="SimSun" w:eastAsiaTheme="minorHAnsi" w:hAnsi="SimSun" w:hint="eastAsia"/>
          <w:sz w:val="21"/>
          <w:szCs w:val="21"/>
        </w:rPr>
        <w:t>WIPO</w:t>
      </w:r>
      <w:r w:rsidRPr="00CD6A66">
        <w:rPr>
          <w:rFonts w:ascii="SimSun" w:eastAsiaTheme="minorHAnsi" w:hAnsi="SimSun" w:hint="eastAsia"/>
          <w:sz w:val="21"/>
          <w:szCs w:val="21"/>
        </w:rPr>
        <w:t>服务的使用，为用户提供援助；就对</w:t>
      </w:r>
      <w:r w:rsidRPr="00CD6A66">
        <w:rPr>
          <w:rFonts w:ascii="SimSun" w:eastAsiaTheme="minorHAnsi" w:hAnsi="SimSun" w:hint="eastAsia"/>
          <w:sz w:val="21"/>
          <w:szCs w:val="21"/>
        </w:rPr>
        <w:t>WIPO</w:t>
      </w:r>
      <w:r w:rsidRPr="00CD6A66">
        <w:rPr>
          <w:rFonts w:ascii="SimSun" w:eastAsiaTheme="minorHAnsi" w:hAnsi="SimSun" w:hint="eastAsia"/>
          <w:sz w:val="21"/>
          <w:szCs w:val="21"/>
        </w:rPr>
        <w:t>工作产生影响的问题与</w:t>
      </w:r>
      <w:r w:rsidRPr="00CD6A66">
        <w:rPr>
          <w:rFonts w:ascii="SimSun" w:eastAsiaTheme="minorHAnsi" w:hAnsi="SimSun" w:hint="eastAsia"/>
          <w:sz w:val="21"/>
          <w:szCs w:val="21"/>
        </w:rPr>
        <w:t>WIPO</w:t>
      </w:r>
      <w:r w:rsidRPr="00CD6A66">
        <w:rPr>
          <w:rFonts w:ascii="SimSun" w:eastAsiaTheme="minorHAnsi" w:hAnsi="SimSun" w:hint="eastAsia"/>
          <w:sz w:val="21"/>
          <w:szCs w:val="21"/>
        </w:rPr>
        <w:t>总部联络。办事处还将推广对专利合作条约（</w:t>
      </w:r>
      <w:r w:rsidRPr="00CD6A66">
        <w:rPr>
          <w:rFonts w:ascii="SimSun" w:eastAsiaTheme="minorHAnsi" w:hAnsi="SimSun" w:hint="eastAsia"/>
          <w:sz w:val="21"/>
          <w:szCs w:val="21"/>
        </w:rPr>
        <w:t>PCT</w:t>
      </w:r>
      <w:r w:rsidRPr="00CD6A66">
        <w:rPr>
          <w:rFonts w:ascii="SimSun" w:eastAsiaTheme="minorHAnsi" w:hAnsi="SimSun" w:hint="eastAsia"/>
          <w:sz w:val="21"/>
          <w:szCs w:val="21"/>
        </w:rPr>
        <w:t>）、商标马德里体系和工业品外观设计海牙体系等全球知识产权服务的有效利用，从而努力促进地区的创新和创造力。</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lastRenderedPageBreak/>
        <w:t>更确切地说，驻外办事处将有几项职能。第一项职能是向知识产权用户提供信息和援助。在有关时区以当地适用的语言支持WIPO的全球体系方面，驻外办事处可以开展的工作必不可少。</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此外，它将为WIPO的总客服网络提供支持。WIPO每周接到数以千计关于知识产权相关事宜的电话，由于时差问题，许多</w:t>
      </w:r>
      <w:r w:rsidRPr="00D449C5">
        <w:rPr>
          <w:rFonts w:ascii="SimSun" w:hAnsi="SimSun" w:hint="eastAsia"/>
          <w:kern w:val="2"/>
          <w:sz w:val="21"/>
        </w:rPr>
        <w:t>电话</w:t>
      </w:r>
      <w:r w:rsidRPr="00D449C5">
        <w:rPr>
          <w:rFonts w:ascii="SimSun" w:hAnsi="SimSun" w:hint="eastAsia"/>
          <w:sz w:val="21"/>
        </w:rPr>
        <w:t>在WIPO日内瓦总部下班后无人接听，在该地区设立这样一家办事处会为WIPO的整体服务带来极宝贵的附加值。</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另一项职能将是出于</w:t>
      </w:r>
      <w:r w:rsidRPr="00D449C5">
        <w:rPr>
          <w:rFonts w:ascii="SimSun" w:hAnsi="SimSun" w:hint="eastAsia"/>
          <w:kern w:val="2"/>
          <w:sz w:val="21"/>
        </w:rPr>
        <w:t>信息技术</w:t>
      </w:r>
      <w:r w:rsidRPr="00D449C5">
        <w:rPr>
          <w:rFonts w:ascii="SimSun" w:hAnsi="SimSun" w:cs="SimSun" w:hint="eastAsia"/>
          <w:sz w:val="21"/>
        </w:rPr>
        <w:t>（</w:t>
      </w:r>
      <w:r w:rsidRPr="00D449C5">
        <w:rPr>
          <w:rFonts w:ascii="SimSun" w:hAnsi="SimSun" w:hint="eastAsia"/>
          <w:sz w:val="21"/>
        </w:rPr>
        <w:t>IT</w:t>
      </w:r>
      <w:r w:rsidRPr="00D449C5">
        <w:rPr>
          <w:rFonts w:ascii="SimSun" w:hAnsi="SimSun" w:cs="SimSun" w:hint="eastAsia"/>
          <w:sz w:val="21"/>
        </w:rPr>
        <w:t>）</w:t>
      </w:r>
      <w:r w:rsidRPr="00D449C5">
        <w:rPr>
          <w:rFonts w:ascii="SimSun" w:hAnsi="SimSun" w:hint="eastAsia"/>
          <w:sz w:val="21"/>
        </w:rPr>
        <w:t>安全、业务连续性、灾难恢复和负载分担等目的，为WIPO的IT系统、平台和数据库管理镜像站点。</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还有一项职能是就WIPO全球基础设施部门管理的各项技术援助计划提供技术支持，例如：为知识产权局落实自动化系统；建立技术与创新支持中心</w:t>
      </w:r>
      <w:r w:rsidRPr="00D449C5">
        <w:rPr>
          <w:rFonts w:ascii="SimSun" w:hAnsi="SimSun" w:cs="SimSun" w:hint="eastAsia"/>
          <w:sz w:val="21"/>
        </w:rPr>
        <w:t>（</w:t>
      </w:r>
      <w:r w:rsidRPr="00D449C5">
        <w:rPr>
          <w:rFonts w:ascii="SimSun" w:hAnsi="SimSun" w:hint="eastAsia"/>
          <w:sz w:val="21"/>
        </w:rPr>
        <w:t>TISC</w:t>
      </w:r>
      <w:r w:rsidRPr="00D449C5">
        <w:rPr>
          <w:rFonts w:ascii="SimSun" w:hAnsi="SimSun" w:cs="SimSun" w:hint="eastAsia"/>
          <w:sz w:val="21"/>
        </w:rPr>
        <w:t>）</w:t>
      </w:r>
      <w:r w:rsidRPr="00D449C5">
        <w:rPr>
          <w:rFonts w:ascii="SimSun" w:hAnsi="SimSun" w:hint="eastAsia"/>
          <w:sz w:val="21"/>
        </w:rPr>
        <w:t>，向知识产权局和高等教育研究机构提供专利和其他知识产权相关信息；为集体管理组织落实IT系统，以支持版权管理。这样还会促进技术开发和转让。</w:t>
      </w:r>
    </w:p>
    <w:p w:rsid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最后但也很重要的一项</w:t>
      </w:r>
      <w:r w:rsidRPr="00CD6A66">
        <w:rPr>
          <w:rFonts w:asciiTheme="minorEastAsia" w:eastAsiaTheme="minorEastAsia" w:hAnsiTheme="minorEastAsia" w:cs="SimSun" w:hint="eastAsia"/>
          <w:sz w:val="21"/>
          <w:szCs w:val="21"/>
        </w:rPr>
        <w:t>职能</w:t>
      </w:r>
      <w:r w:rsidRPr="00D449C5">
        <w:rPr>
          <w:rFonts w:ascii="SimSun" w:hAnsi="SimSun" w:hint="eastAsia"/>
          <w:sz w:val="21"/>
        </w:rPr>
        <w:t>是进行覆盖面广泛的综合能力建设，包括举办大会、研讨会、培训、现场技术培训</w:t>
      </w:r>
      <w:r w:rsidRPr="00D449C5">
        <w:rPr>
          <w:rFonts w:ascii="SimSun" w:hAnsi="SimSun" w:cs="SimSun" w:hint="eastAsia"/>
          <w:sz w:val="21"/>
        </w:rPr>
        <w:t>（</w:t>
      </w:r>
      <w:r w:rsidRPr="00D449C5">
        <w:rPr>
          <w:rFonts w:ascii="SimSun" w:hAnsi="SimSun" w:hint="eastAsia"/>
          <w:sz w:val="21"/>
        </w:rPr>
        <w:t>例如专利或商标审查员培训，或者有关技术数据库的技术资源培训</w:t>
      </w:r>
      <w:r w:rsidRPr="00D449C5">
        <w:rPr>
          <w:rFonts w:ascii="SimSun" w:hAnsi="SimSun" w:cs="SimSun" w:hint="eastAsia"/>
          <w:sz w:val="21"/>
        </w:rPr>
        <w:t>）</w:t>
      </w:r>
      <w:r w:rsidRPr="00D449C5">
        <w:rPr>
          <w:rFonts w:ascii="SimSun" w:hAnsi="SimSun" w:hint="eastAsia"/>
          <w:sz w:val="21"/>
        </w:rPr>
        <w:t>，参加学术课程和计划，在外国知识产权局开展研究访问和培训。</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D921AC">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szCs w:val="24"/>
        </w:rPr>
      </w:pPr>
      <w:r w:rsidRPr="00CD6A66">
        <w:rPr>
          <w:rFonts w:ascii="SimSun" w:eastAsiaTheme="minorHAnsi" w:hAnsi="SimSun" w:hint="eastAsia"/>
          <w:sz w:val="21"/>
          <w:szCs w:val="21"/>
        </w:rPr>
        <w:t>设在阿塞拜疆的驻外办事处将在以下方面具有巨大优势：加强该国参与</w:t>
      </w:r>
      <w:r w:rsidRPr="00CD6A66">
        <w:rPr>
          <w:rFonts w:ascii="SimSun" w:eastAsiaTheme="minorHAnsi" w:hAnsi="SimSun" w:hint="eastAsia"/>
          <w:sz w:val="21"/>
          <w:szCs w:val="21"/>
        </w:rPr>
        <w:t>WIPO</w:t>
      </w:r>
      <w:r w:rsidRPr="00CD6A66">
        <w:rPr>
          <w:rFonts w:ascii="SimSun" w:eastAsiaTheme="minorHAnsi" w:hAnsi="SimSun" w:hint="eastAsia"/>
          <w:sz w:val="21"/>
          <w:szCs w:val="21"/>
        </w:rPr>
        <w:t>全球知识产权体系，以便通过更有效地利用这些体系，更快速地解决知识产权相关问题，使</w:t>
      </w:r>
      <w:r w:rsidRPr="00CD6A66">
        <w:rPr>
          <w:rFonts w:ascii="SimSun" w:eastAsiaTheme="minorHAnsi" w:hAnsi="SimSun" w:hint="eastAsia"/>
          <w:sz w:val="21"/>
          <w:szCs w:val="21"/>
        </w:rPr>
        <w:t>WIPO</w:t>
      </w:r>
      <w:r w:rsidRPr="00CD6A66">
        <w:rPr>
          <w:rFonts w:ascii="SimSun" w:eastAsiaTheme="minorHAnsi" w:hAnsi="SimSun" w:hint="eastAsia"/>
          <w:sz w:val="21"/>
          <w:szCs w:val="21"/>
        </w:rPr>
        <w:t>以更加可持续、更公平和更有效的方式服务于该国辽阔的领土及周边地区，并在该地区协助使用知识产权方面的能力建设，这一地区的大多数国家经济战略旨在利用丰富的资源作为基础，支持越来越多的知识型产业获得增值。</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D921AC">
        <w:rPr>
          <w:rFonts w:ascii="SimHei" w:eastAsia="SimHei" w:hAnsi="SimHei"/>
          <w:bCs/>
          <w:smallCaps/>
          <w:color w:val="1F497D" w:themeColor="text2"/>
          <w:sz w:val="21"/>
          <w:szCs w:val="21"/>
          <w:vertAlign w:val="superscript"/>
        </w:rPr>
        <w:footnoteReference w:id="5"/>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B91C3B" w:rsidRPr="009D5469" w:rsidRDefault="00D46C5F" w:rsidP="00B91C3B">
      <w:pPr>
        <w:tabs>
          <w:tab w:val="left" w:pos="2880"/>
        </w:tabs>
        <w:rPr>
          <w:rFonts w:ascii="KaiTi" w:eastAsia="KaiTi" w:hAnsi="KaiTi"/>
          <w:sz w:val="21"/>
        </w:rPr>
      </w:pPr>
      <w:r w:rsidRPr="009D5469">
        <w:rPr>
          <w:rFonts w:ascii="KaiTi" w:eastAsia="KaiTi" w:hAnsi="KaiTi"/>
          <w:sz w:val="21"/>
        </w:rPr>
        <w:t>[</w:t>
      </w:r>
      <w:r w:rsidRPr="009D5469">
        <w:rPr>
          <w:rFonts w:ascii="KaiTi" w:eastAsia="KaiTi" w:hAnsi="KaiTi" w:cs="SimSun" w:hint="eastAsia"/>
          <w:sz w:val="21"/>
        </w:rPr>
        <w:t>未提供拟作贡献的说明</w:t>
      </w:r>
      <w:r w:rsidRPr="009D5469">
        <w:rPr>
          <w:rFonts w:ascii="KaiTi" w:eastAsia="KaiTi" w:hAnsi="KaiTi"/>
          <w:sz w:val="21"/>
        </w:rPr>
        <w:t>]</w:t>
      </w:r>
    </w:p>
    <w:p w:rsidR="00D921AC" w:rsidRPr="009D5469" w:rsidRDefault="00D921AC" w:rsidP="00B91C3B">
      <w:pPr>
        <w:tabs>
          <w:tab w:val="left" w:pos="2880"/>
        </w:tabs>
        <w:rPr>
          <w:rFonts w:ascii="KaiTi" w:eastAsia="KaiTi" w:hAnsi="KaiTi"/>
          <w:sz w:val="21"/>
        </w:rPr>
      </w:pPr>
    </w:p>
    <w:p w:rsidR="00CA18A5" w:rsidRDefault="00CA18A5"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sectPr w:rsidR="00CA18A5" w:rsidSect="00F85B4A">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6"/>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D46C5F" w:rsidP="007E09FD">
      <w:pPr>
        <w:keepNext/>
        <w:keepLines/>
        <w:spacing w:afterLines="50" w:after="120" w:line="340" w:lineRule="atLeast"/>
        <w:jc w:val="center"/>
        <w:rPr>
          <w:rStyle w:val="1"/>
          <w:rFonts w:ascii="SimSun" w:hAnsi="SimSun"/>
          <w:bCs w:val="0"/>
          <w:sz w:val="21"/>
          <w:szCs w:val="21"/>
        </w:rPr>
      </w:pPr>
      <w:r w:rsidRPr="007E09FD">
        <w:rPr>
          <w:rStyle w:val="1"/>
          <w:rFonts w:ascii="SimSun" w:hAnsi="SimSun" w:hint="eastAsia"/>
          <w:bCs w:val="0"/>
          <w:sz w:val="21"/>
          <w:szCs w:val="21"/>
        </w:rPr>
        <w:t>印　度</w:t>
      </w:r>
    </w:p>
    <w:p w:rsidR="00B91C3B" w:rsidRPr="00CA18A5" w:rsidRDefault="00CA18A5" w:rsidP="00CA18A5">
      <w:pPr>
        <w:keepNext/>
        <w:keepLines/>
        <w:tabs>
          <w:tab w:val="left" w:pos="1290"/>
        </w:tabs>
        <w:spacing w:afterLines="50" w:after="120" w:line="340" w:lineRule="atLeast"/>
        <w:jc w:val="center"/>
        <w:rPr>
          <w:rFonts w:ascii="SimSun" w:hAnsi="SimSun"/>
          <w:smallCaps/>
          <w:sz w:val="21"/>
          <w:szCs w:val="21"/>
        </w:rPr>
      </w:pPr>
      <w:r>
        <w:rPr>
          <w:rFonts w:ascii="SimSun" w:hAnsi="SimSun" w:hint="eastAsia"/>
          <w:smallCaps/>
          <w:sz w:val="21"/>
          <w:szCs w:val="21"/>
        </w:rPr>
        <w:tab/>
      </w:r>
      <w:r w:rsidR="009F12A7" w:rsidRPr="00CA18A5">
        <w:rPr>
          <w:rFonts w:ascii="SimSun" w:hAnsi="SimSun" w:hint="eastAsia"/>
          <w:smallCaps/>
          <w:sz w:val="21"/>
          <w:szCs w:val="21"/>
        </w:rPr>
        <w:t>以本国名义</w:t>
      </w:r>
      <w:r>
        <w:rPr>
          <w:rFonts w:ascii="SimSun" w:hAnsi="SimSun" w:hint="eastAsia"/>
          <w:smallCaps/>
          <w:sz w:val="21"/>
          <w:szCs w:val="21"/>
        </w:rPr>
        <w:tab/>
      </w:r>
      <w:r w:rsidR="009F12A7" w:rsidRPr="00CA18A5">
        <w:rPr>
          <w:rFonts w:ascii="SimSun" w:hAnsi="SimSun"/>
          <w:smallCaps/>
          <w:sz w:val="21"/>
          <w:szCs w:val="21"/>
        </w:rPr>
        <w:t>X</w:t>
      </w:r>
      <w:r>
        <w:rPr>
          <w:rFonts w:ascii="SimSun" w:hAnsi="SimSun" w:hint="eastAsia"/>
          <w:smallCaps/>
          <w:sz w:val="21"/>
          <w:szCs w:val="21"/>
        </w:rPr>
        <w:tab/>
      </w:r>
      <w:r>
        <w:rPr>
          <w:rFonts w:ascii="SimSun" w:hAnsi="SimSun" w:hint="eastAsia"/>
          <w:smallCaps/>
          <w:sz w:val="21"/>
          <w:szCs w:val="21"/>
        </w:rPr>
        <w:tab/>
      </w:r>
      <w:r w:rsidR="009F12A7" w:rsidRPr="00CA18A5">
        <w:rPr>
          <w:rFonts w:ascii="SimSun" w:hAnsi="SimSun" w:hint="eastAsia"/>
          <w:smallCaps/>
          <w:sz w:val="21"/>
          <w:szCs w:val="21"/>
        </w:rPr>
        <w:t>代表国家集团</w:t>
      </w:r>
      <w:r w:rsidR="009F12A7" w:rsidRPr="00CA18A5">
        <w:rPr>
          <w:rFonts w:ascii="SimSun" w:hAnsi="SimSun"/>
          <w:smallCaps/>
          <w:sz w:val="21"/>
          <w:szCs w:val="21"/>
        </w:rPr>
        <w:t>/</w:t>
      </w:r>
      <w:r w:rsidR="009F12A7" w:rsidRPr="00CA18A5">
        <w:rPr>
          <w:rFonts w:ascii="SimSun" w:hAnsi="SimSun" w:hint="eastAsia"/>
          <w:smallCaps/>
          <w:sz w:val="21"/>
          <w:szCs w:val="21"/>
        </w:rPr>
        <w:t>地区集团</w:t>
      </w:r>
      <w:r>
        <w:rPr>
          <w:rFonts w:ascii="SimSun" w:hAnsi="SimSun" w:hint="eastAsia"/>
          <w:smallCaps/>
          <w:sz w:val="21"/>
          <w:szCs w:val="21"/>
        </w:rPr>
        <w:tab/>
      </w:r>
      <w:r w:rsidR="00B91C3B" w:rsidRPr="00CA18A5">
        <w:rPr>
          <w:rFonts w:ascii="SimSun" w:hAnsi="SimSun"/>
          <w:smallCaps/>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9D5469" w:rsidRDefault="00D46C5F" w:rsidP="00CA18A5">
      <w:pPr>
        <w:keepNext/>
        <w:keepLines/>
        <w:tabs>
          <w:tab w:val="left" w:pos="3780"/>
        </w:tabs>
        <w:spacing w:afterLines="50" w:after="120" w:line="340" w:lineRule="atLeast"/>
        <w:jc w:val="center"/>
        <w:rPr>
          <w:rFonts w:ascii="KaiTi" w:eastAsia="KaiTi" w:hAnsi="KaiTi"/>
          <w:sz w:val="21"/>
        </w:rPr>
      </w:pPr>
      <w:r w:rsidRPr="00E27267">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B91C3B" w:rsidRPr="00CA18A5" w:rsidRDefault="00B91C3B" w:rsidP="00CA18A5">
      <w:pPr>
        <w:keepNext/>
        <w:keepLines/>
        <w:tabs>
          <w:tab w:val="left" w:pos="2460"/>
        </w:tabs>
        <w:spacing w:afterLines="50" w:after="120" w:line="340" w:lineRule="atLeast"/>
        <w:rPr>
          <w:rFonts w:ascii="SimSun" w:hAnsi="SimSun"/>
          <w:sz w:val="21"/>
          <w:szCs w:val="21"/>
        </w:rPr>
      </w:pPr>
      <w:r w:rsidRPr="00CA18A5">
        <w:rPr>
          <w:rFonts w:ascii="SimSun" w:hAnsi="SimSun"/>
          <w:sz w:val="21"/>
          <w:szCs w:val="21"/>
        </w:rPr>
        <w:tab/>
      </w:r>
      <w:r w:rsidR="00ED7C4A" w:rsidRPr="00CA18A5">
        <w:rPr>
          <w:rFonts w:ascii="SimSun" w:hAnsi="SimSun"/>
          <w:sz w:val="21"/>
          <w:szCs w:val="21"/>
        </w:rPr>
        <w:t>是X</w:t>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ED7C4A" w:rsidRPr="00CA18A5">
        <w:rPr>
          <w:rFonts w:ascii="SimSun" w:hAnsi="SimSun" w:hint="eastAsia"/>
          <w:sz w:val="21"/>
          <w:szCs w:val="21"/>
        </w:rPr>
        <w:t>否</w:t>
      </w:r>
      <w:r w:rsidRPr="00CA18A5">
        <w:rPr>
          <w:rFonts w:ascii="SimSun" w:hAnsi="SimSun"/>
          <w:sz w:val="21"/>
          <w:szCs w:val="21"/>
        </w:rPr>
        <w:sym w:font="Symbol" w:char="F080"/>
      </w:r>
    </w:p>
    <w:p w:rsidR="00B91C3B" w:rsidRPr="00A9523F" w:rsidRDefault="00ED7C4A" w:rsidP="00A9523F">
      <w:pPr>
        <w:keepNext/>
        <w:keepLines/>
        <w:tabs>
          <w:tab w:val="left" w:pos="2880"/>
        </w:tabs>
        <w:spacing w:afterLines="50" w:after="120" w:line="340" w:lineRule="atLeast"/>
        <w:rPr>
          <w:rFonts w:ascii="KaiTi" w:eastAsia="KaiTi" w:hAnsi="KaiTi"/>
          <w:sz w:val="21"/>
          <w:szCs w:val="21"/>
        </w:rPr>
      </w:pPr>
      <w:r w:rsidRPr="00A9523F">
        <w:rPr>
          <w:rFonts w:ascii="KaiTi" w:eastAsia="KaiTi" w:hAnsi="KaiTi" w:hint="eastAsia"/>
          <w:sz w:val="21"/>
          <w:szCs w:val="21"/>
        </w:rPr>
        <w:t>（</w:t>
      </w:r>
      <w:r w:rsidRPr="00A9523F">
        <w:rPr>
          <w:rFonts w:ascii="KaiTi" w:eastAsia="KaiTi" w:hAnsi="KaiTi"/>
          <w:sz w:val="21"/>
          <w:szCs w:val="21"/>
        </w:rPr>
        <w:t>“WIPO</w:t>
      </w:r>
      <w:r w:rsidRPr="00A9523F">
        <w:rPr>
          <w:rFonts w:ascii="KaiTi" w:eastAsia="KaiTi" w:hAnsi="KaiTi" w:hint="eastAsia"/>
          <w:sz w:val="21"/>
          <w:szCs w:val="21"/>
        </w:rPr>
        <w:t>驻外办事处指导原则</w:t>
      </w:r>
      <w:r w:rsidRPr="00A9523F">
        <w:rPr>
          <w:rFonts w:ascii="KaiTi" w:eastAsia="KaiTi" w:hAnsi="KaiTi"/>
          <w:sz w:val="21"/>
          <w:szCs w:val="21"/>
        </w:rPr>
        <w:t>”</w:t>
      </w:r>
      <w:r w:rsidRPr="00A9523F">
        <w:rPr>
          <w:rFonts w:ascii="KaiTi" w:eastAsia="KaiTi" w:hAnsi="KaiTi" w:hint="eastAsia"/>
          <w:sz w:val="21"/>
          <w:szCs w:val="21"/>
        </w:rPr>
        <w:t>第</w:t>
      </w:r>
      <w:r w:rsidRPr="00A9523F">
        <w:rPr>
          <w:rFonts w:ascii="KaiTi" w:eastAsia="KaiTi" w:hAnsi="KaiTi"/>
          <w:sz w:val="21"/>
          <w:szCs w:val="21"/>
        </w:rPr>
        <w:t>2</w:t>
      </w:r>
      <w:r w:rsidRPr="00A9523F">
        <w:rPr>
          <w:rFonts w:ascii="KaiTi" w:eastAsia="KaiTi" w:hAnsi="KaiTi" w:hint="eastAsia"/>
          <w:sz w:val="21"/>
          <w:szCs w:val="21"/>
        </w:rPr>
        <w:t>条规定：</w:t>
      </w:r>
      <w:r w:rsidRPr="00A9523F">
        <w:rPr>
          <w:rFonts w:ascii="KaiTi" w:eastAsia="KaiTi" w:hAnsi="KaiTi"/>
          <w:sz w:val="21"/>
          <w:szCs w:val="21"/>
        </w:rPr>
        <w:t>“</w:t>
      </w:r>
      <w:r w:rsidRPr="00A9523F">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A9523F">
        <w:rPr>
          <w:rFonts w:ascii="KaiTi" w:eastAsia="KaiTi" w:hAnsi="KaiTi"/>
          <w:sz w:val="21"/>
          <w:szCs w:val="21"/>
        </w:rPr>
        <w:t>”</w:t>
      </w:r>
      <w:r w:rsidRPr="00A9523F">
        <w:rPr>
          <w:rFonts w:ascii="KaiTi" w:eastAsia="KaiTi" w:hAnsi="KaiTi" w:hint="eastAsia"/>
          <w:sz w:val="21"/>
          <w:szCs w:val="21"/>
        </w:rPr>
        <w:t>）</w:t>
      </w:r>
    </w:p>
    <w:p w:rsidR="00D449C5" w:rsidRDefault="00ED7C4A" w:rsidP="001E4E7D">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7"/>
      </w:r>
      <w:r w:rsidR="00D921AC" w:rsidRPr="00D921AC">
        <w:rPr>
          <w:rFonts w:ascii="SimHei" w:eastAsia="SimHei" w:hAnsi="SimHei"/>
          <w:bCs/>
          <w:smallCaps/>
          <w:color w:val="1F497D" w:themeColor="text2"/>
          <w:sz w:val="21"/>
          <w:szCs w:val="21"/>
        </w:rPr>
        <w:t>：</w:t>
      </w:r>
    </w:p>
    <w:p w:rsidR="00D46C5F" w:rsidRPr="00E5174B" w:rsidRDefault="00D46C5F" w:rsidP="00E5174B">
      <w:pPr>
        <w:pStyle w:val="ONUME"/>
        <w:numPr>
          <w:ilvl w:val="0"/>
          <w:numId w:val="25"/>
        </w:numPr>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E5174B">
        <w:rPr>
          <w:rFonts w:asciiTheme="minorEastAsia" w:eastAsiaTheme="minorEastAsia" w:hAnsiTheme="minorEastAsia" w:cs="SimSun" w:hint="eastAsia"/>
          <w:sz w:val="21"/>
          <w:szCs w:val="21"/>
        </w:rPr>
        <w:t>印度制定了发展知识型经济的道路，更加注重创新和技术升级。以下几点是在印度设立新驻外办事处的理由。</w:t>
      </w:r>
    </w:p>
    <w:p w:rsidR="00D46C5F" w:rsidRPr="00D46C5F" w:rsidRDefault="00141E27"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hyperlink r:id="rId18" w:history="1">
        <w:r w:rsidR="00D46C5F" w:rsidRPr="00D46C5F">
          <w:rPr>
            <w:rFonts w:asciiTheme="minorEastAsia" w:eastAsiaTheme="minorEastAsia" w:hAnsiTheme="minorEastAsia" w:cs="SimSun"/>
            <w:sz w:val="21"/>
            <w:szCs w:val="21"/>
          </w:rPr>
          <w:t>国家</w:t>
        </w:r>
        <w:r w:rsidR="00D46C5F" w:rsidRPr="00D46C5F">
          <w:rPr>
            <w:rFonts w:asciiTheme="minorEastAsia" w:eastAsiaTheme="minorEastAsia" w:hAnsiTheme="minorEastAsia" w:cs="SimSun" w:hint="eastAsia"/>
            <w:sz w:val="21"/>
            <w:szCs w:val="21"/>
          </w:rPr>
          <w:t>综合性</w:t>
        </w:r>
        <w:r w:rsidR="00D46C5F" w:rsidRPr="00D46C5F">
          <w:rPr>
            <w:rFonts w:asciiTheme="minorEastAsia" w:eastAsiaTheme="minorEastAsia" w:hAnsiTheme="minorEastAsia" w:cs="SimSun"/>
            <w:sz w:val="21"/>
            <w:szCs w:val="21"/>
          </w:rPr>
          <w:t>知识产权政策</w:t>
        </w:r>
        <w:r w:rsidR="00D46C5F" w:rsidRPr="00D46C5F">
          <w:rPr>
            <w:rFonts w:asciiTheme="minorEastAsia" w:eastAsiaTheme="minorEastAsia" w:hAnsiTheme="minorEastAsia" w:cs="SimSun" w:hint="eastAsia"/>
            <w:sz w:val="21"/>
            <w:szCs w:val="21"/>
          </w:rPr>
          <w:t>在2016年5月1</w:t>
        </w:r>
        <w:r w:rsidR="00D46C5F" w:rsidRPr="00D46C5F">
          <w:rPr>
            <w:rFonts w:asciiTheme="minorEastAsia" w:eastAsiaTheme="minorEastAsia" w:hAnsiTheme="minorEastAsia" w:cs="SimSun"/>
            <w:sz w:val="21"/>
            <w:szCs w:val="21"/>
          </w:rPr>
          <w:t>2</w:t>
        </w:r>
      </w:hyperlink>
      <w:r w:rsidR="00D46C5F" w:rsidRPr="00D46C5F">
        <w:rPr>
          <w:rFonts w:asciiTheme="minorEastAsia" w:eastAsiaTheme="minorEastAsia" w:hAnsiTheme="minorEastAsia" w:cs="SimSun" w:hint="eastAsia"/>
          <w:sz w:val="21"/>
          <w:szCs w:val="21"/>
        </w:rPr>
        <w:t>日得到了批准，它以“创意印度；创新印度”为导向，不仅将激励各部门的创新和创造力，还将明确未来的发展路径。政策文件可登陆DIPP网站（</w:t>
      </w:r>
      <w:r w:rsidR="00D46C5F" w:rsidRPr="00D46C5F">
        <w:rPr>
          <w:rFonts w:asciiTheme="minorEastAsia" w:eastAsiaTheme="minorEastAsia" w:hAnsiTheme="minorEastAsia" w:cs="SimSun"/>
          <w:sz w:val="21"/>
          <w:szCs w:val="21"/>
        </w:rPr>
        <w:t>http://dipp.nic.in</w:t>
      </w:r>
      <w:r w:rsidR="00D46C5F" w:rsidRPr="00D46C5F">
        <w:rPr>
          <w:rFonts w:asciiTheme="minorEastAsia" w:eastAsiaTheme="minorEastAsia" w:hAnsiTheme="minorEastAsia" w:cs="SimSun" w:hint="eastAsia"/>
          <w:sz w:val="21"/>
          <w:szCs w:val="21"/>
        </w:rPr>
        <w:t>）。</w:t>
      </w:r>
    </w:p>
    <w:p w:rsidR="00D46C5F" w:rsidRPr="00CD6A66" w:rsidRDefault="00D46C5F"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D46C5F">
        <w:rPr>
          <w:rFonts w:asciiTheme="minorEastAsia" w:eastAsiaTheme="minorEastAsia" w:hAnsiTheme="minorEastAsia" w:cs="SimSun" w:hint="eastAsia"/>
          <w:sz w:val="21"/>
          <w:szCs w:val="21"/>
        </w:rPr>
        <w:t>印度是</w:t>
      </w:r>
      <w:r w:rsidRPr="00CD6A66">
        <w:rPr>
          <w:rFonts w:asciiTheme="minorEastAsia" w:eastAsiaTheme="minorEastAsia" w:hAnsiTheme="minorEastAsia" w:cs="SimSun" w:hint="eastAsia"/>
          <w:sz w:val="21"/>
          <w:szCs w:val="21"/>
        </w:rPr>
        <w:t>世界第二人口大国，也是</w:t>
      </w:r>
      <w:r w:rsidRPr="00CD6A66">
        <w:rPr>
          <w:rFonts w:asciiTheme="minorEastAsia" w:eastAsiaTheme="minorEastAsia" w:hAnsiTheme="minorEastAsia" w:cs="SimSun"/>
          <w:sz w:val="21"/>
          <w:szCs w:val="21"/>
        </w:rPr>
        <w:t>2015</w:t>
      </w:r>
      <w:r w:rsidRPr="00CD6A66">
        <w:rPr>
          <w:rFonts w:asciiTheme="minorEastAsia" w:eastAsiaTheme="minorEastAsia" w:hAnsiTheme="minorEastAsia" w:cs="SimSun" w:hint="eastAsia"/>
          <w:sz w:val="21"/>
          <w:szCs w:val="21"/>
        </w:rPr>
        <w:t>年全球经济增长最快的国家。《</w:t>
      </w:r>
      <w:r w:rsidRPr="00CD6A66">
        <w:rPr>
          <w:rFonts w:asciiTheme="minorEastAsia" w:eastAsiaTheme="minorEastAsia" w:hAnsiTheme="minorEastAsia" w:cs="SimSun"/>
          <w:sz w:val="21"/>
          <w:szCs w:val="21"/>
        </w:rPr>
        <w:t>2015</w:t>
      </w:r>
      <w:r w:rsidRPr="00CD6A66">
        <w:rPr>
          <w:rFonts w:asciiTheme="minorEastAsia" w:eastAsiaTheme="minorEastAsia" w:hAnsiTheme="minorEastAsia" w:cs="SimSun" w:hint="eastAsia"/>
          <w:sz w:val="21"/>
          <w:szCs w:val="21"/>
        </w:rPr>
        <w:t>年全球创新指数》报告选择印度作为中南亚中低收入国家组在创新方面取得成绩的范例。报告把印度作为在创新方面颇有建树的典范，介绍了印度多年来如何制定创新政策，并指出印度获得成果的方面。</w:t>
      </w:r>
    </w:p>
    <w:p w:rsidR="00D449C5" w:rsidRPr="009D5469" w:rsidRDefault="00D46C5F" w:rsidP="00E5174B">
      <w:pPr>
        <w:pStyle w:val="ONUME"/>
        <w:tabs>
          <w:tab w:val="clear" w:pos="567"/>
        </w:tabs>
        <w:overflowPunct w:val="0"/>
        <w:adjustRightInd w:val="0"/>
        <w:spacing w:afterLines="50" w:after="120" w:line="340" w:lineRule="atLeast"/>
        <w:jc w:val="both"/>
        <w:rPr>
          <w:rFonts w:ascii="SimSun" w:hAnsi="SimSun"/>
          <w:sz w:val="21"/>
        </w:rPr>
      </w:pPr>
      <w:r w:rsidRPr="00CD6A66">
        <w:rPr>
          <w:rFonts w:asciiTheme="minorEastAsia" w:eastAsiaTheme="minorEastAsia" w:hAnsiTheme="minorEastAsia" w:cs="SimSun" w:hint="eastAsia"/>
          <w:sz w:val="21"/>
          <w:szCs w:val="21"/>
        </w:rPr>
        <w:t>全球创新指数旨在识别并展示创新的多维度方面。在WIPO于2016年8月15日发布的2016年全球创新指数报告中，印度的排名上升15位至第66位。2016年全球创新指数报告强调“印度是展现政策如何正在改进创新环境的最佳范例”。印度是中南亚地区排名居首的经济体。这一显著成就主要是由于大学排名上升，印度在中等收入经济体中大学排名第2位，总排名第20位。印度在中南亚地区是排名榜首的经济体，在高等教育和研发领域的优势尤为突出，包括全球研发密集型企业、大学和科学出版物质量、市场成熟度和位居世界榜首的信息通信技术服务出口。在同族专利领域，印度也取得了显著进展，在中等收入经济体中排名第三，总排名第37位。印度在创新领域的表现相对于其GDP也格外突出。印度政府的“印度制造”计划激励了印度的制造业。计划旨在培养印度的创新生态系统，并帮助印度实现在知识经济和技术上的世界领先地位。</w:t>
      </w:r>
    </w:p>
    <w:p w:rsidR="007D61B1"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“创业印度</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计划在才华横溢的年轻一代急切渴望开辟事业时，释放了初创公司的创业能量。印度政府启动了一项计划，为创业公司在为专利、商标和外观设计申请知识产权保护时从申请到最后处理</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包括授予专利或注册</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阶段提供便利，为创业公司的知识产权提供了激励。</w:t>
      </w:r>
    </w:p>
    <w:p w:rsidR="007D61B1"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lastRenderedPageBreak/>
        <w:t>“数字印度</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活动提供了平台，让人们展示才能并就一系列话题分享看法。数字革命还带动了创新，在不久的将来，印度期待在教育、农业、医疗和环境等多个部门看到越来越多创新。知识产权申请可能因此急剧增多。</w:t>
      </w:r>
    </w:p>
    <w:p w:rsidR="00AD67FB"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技术创新会加快过时的传统模式的分解，带来与时俱进、受时代欢迎的变革。创新在印度的多个部门都在发生，从制药、汽车、能源、医疗，到媒体、政府管理和教育。印度处在信息技术</w:t>
      </w:r>
      <w:r w:rsidRPr="00CD6A66">
        <w:rPr>
          <w:rFonts w:asciiTheme="minorEastAsia" w:eastAsiaTheme="minorEastAsia" w:hAnsiTheme="minorEastAsia" w:cs="SimSun"/>
          <w:sz w:val="21"/>
          <w:szCs w:val="21"/>
        </w:rPr>
        <w:t>（IT）</w:t>
      </w:r>
      <w:r w:rsidRPr="00CD6A66">
        <w:rPr>
          <w:rFonts w:asciiTheme="minorEastAsia" w:eastAsiaTheme="minorEastAsia" w:hAnsiTheme="minorEastAsia" w:cs="SimSun" w:hint="eastAsia"/>
          <w:sz w:val="21"/>
          <w:szCs w:val="21"/>
        </w:rPr>
        <w:t>和</w:t>
      </w:r>
      <w:r w:rsidRPr="00CD6A66">
        <w:rPr>
          <w:rFonts w:asciiTheme="minorEastAsia" w:eastAsiaTheme="minorEastAsia" w:hAnsiTheme="minorEastAsia" w:cs="SimSun"/>
          <w:sz w:val="21"/>
          <w:szCs w:val="21"/>
        </w:rPr>
        <w:t>IT</w:t>
      </w:r>
      <w:r w:rsidRPr="00CD6A66">
        <w:rPr>
          <w:rFonts w:asciiTheme="minorEastAsia" w:eastAsiaTheme="minorEastAsia" w:hAnsiTheme="minorEastAsia" w:cs="SimSun" w:hint="eastAsia"/>
          <w:sz w:val="21"/>
          <w:szCs w:val="21"/>
        </w:rPr>
        <w:t>服务的前沿。在过去的数年间，印度因服务创新广受赞誉；同时，印度希望利用其产品创新能力，为不断增长的全球知识产权服务需求作出突出贡献。</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印度正在利用人口红利，弥合发展中国家与发达国家之间的创新差距。印度真正的可持续经济发展和增长将源自本土创新、技术、产品和服务。</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印度总体知识产权申请，尤其是国内申请持续上升。例如，居民提交的专利申请已从</w:t>
      </w:r>
      <w:r w:rsidRPr="00CD6A66">
        <w:rPr>
          <w:rFonts w:asciiTheme="minorEastAsia" w:eastAsiaTheme="minorEastAsia" w:hAnsiTheme="minorEastAsia" w:cs="SimSun"/>
          <w:sz w:val="21"/>
          <w:szCs w:val="21"/>
        </w:rPr>
        <w:t>2005-06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18%</w:t>
      </w:r>
      <w:r w:rsidRPr="00CD6A66">
        <w:rPr>
          <w:rFonts w:asciiTheme="minorEastAsia" w:eastAsiaTheme="minorEastAsia" w:hAnsiTheme="minorEastAsia" w:cs="SimSun" w:hint="eastAsia"/>
          <w:sz w:val="21"/>
          <w:szCs w:val="21"/>
        </w:rPr>
        <w:t>升至</w:t>
      </w:r>
      <w:r w:rsidRPr="00CD6A66">
        <w:rPr>
          <w:rFonts w:asciiTheme="minorEastAsia" w:eastAsiaTheme="minorEastAsia" w:hAnsiTheme="minorEastAsia" w:cs="SimSun"/>
          <w:sz w:val="21"/>
          <w:szCs w:val="21"/>
        </w:rPr>
        <w:t>2015-16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28%</w:t>
      </w:r>
      <w:r w:rsidRPr="00CD6A66">
        <w:rPr>
          <w:rFonts w:asciiTheme="minorEastAsia" w:eastAsiaTheme="minorEastAsia" w:hAnsiTheme="minorEastAsia" w:cs="SimSun" w:hint="eastAsia"/>
          <w:sz w:val="21"/>
          <w:szCs w:val="21"/>
        </w:rPr>
        <w:t>。驻外办事处可以带动和鼓励印度国内的专利申请人藉由</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提供的互动支持、必要指导和资源获取渠道，提交更多国际申请。这样也会加强</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的财务资源。</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商标方面，印度的商标申请逐年增多，</w:t>
      </w:r>
      <w:r w:rsidRPr="00CD6A66">
        <w:rPr>
          <w:rFonts w:asciiTheme="minorEastAsia" w:eastAsiaTheme="minorEastAsia" w:hAnsiTheme="minorEastAsia" w:cs="SimSun"/>
          <w:sz w:val="21"/>
          <w:szCs w:val="21"/>
        </w:rPr>
        <w:t>2013-14</w:t>
      </w:r>
      <w:r w:rsidRPr="00CD6A66">
        <w:rPr>
          <w:rFonts w:asciiTheme="minorEastAsia" w:eastAsiaTheme="minorEastAsia" w:hAnsiTheme="minorEastAsia" w:cs="SimSun" w:hint="eastAsia"/>
          <w:sz w:val="21"/>
          <w:szCs w:val="21"/>
        </w:rPr>
        <w:t>年突破了</w:t>
      </w:r>
      <w:r w:rsidRPr="00CD6A66">
        <w:rPr>
          <w:rFonts w:asciiTheme="minorEastAsia" w:eastAsiaTheme="minorEastAsia" w:hAnsiTheme="minorEastAsia" w:cs="SimSun"/>
          <w:sz w:val="21"/>
          <w:szCs w:val="21"/>
        </w:rPr>
        <w:t>20</w:t>
      </w:r>
      <w:r w:rsidRPr="00CD6A66">
        <w:rPr>
          <w:rFonts w:asciiTheme="minorEastAsia" w:eastAsiaTheme="minorEastAsia" w:hAnsiTheme="minorEastAsia" w:cs="SimSun" w:hint="eastAsia"/>
          <w:sz w:val="21"/>
          <w:szCs w:val="21"/>
        </w:rPr>
        <w:t>万件；2015-</w:t>
      </w:r>
      <w:r w:rsidRPr="00CD6A66">
        <w:rPr>
          <w:rFonts w:asciiTheme="minorEastAsia" w:eastAsiaTheme="minorEastAsia" w:hAnsiTheme="minorEastAsia" w:cs="SimSun"/>
          <w:sz w:val="21"/>
          <w:szCs w:val="21"/>
        </w:rPr>
        <w:t>16</w:t>
      </w:r>
      <w:r w:rsidRPr="00CD6A66">
        <w:rPr>
          <w:rFonts w:asciiTheme="minorEastAsia" w:eastAsiaTheme="minorEastAsia" w:hAnsiTheme="minorEastAsia" w:cs="SimSun" w:hint="eastAsia"/>
          <w:sz w:val="21"/>
          <w:szCs w:val="21"/>
        </w:rPr>
        <w:t>年达到283,060件——比上年飙升35%。过去几年间，印度申请提交量约占总量的</w:t>
      </w:r>
      <w:r w:rsidRPr="00CD6A66">
        <w:rPr>
          <w:rFonts w:asciiTheme="minorEastAsia" w:eastAsiaTheme="minorEastAsia" w:hAnsiTheme="minorEastAsia" w:cs="SimSun"/>
          <w:sz w:val="21"/>
          <w:szCs w:val="21"/>
        </w:rPr>
        <w:t>95%</w:t>
      </w:r>
      <w:r w:rsidRPr="00CD6A66">
        <w:rPr>
          <w:rFonts w:asciiTheme="minorEastAsia" w:eastAsiaTheme="minorEastAsia" w:hAnsiTheme="minorEastAsia" w:cs="SimSun" w:hint="eastAsia"/>
          <w:sz w:val="21"/>
          <w:szCs w:val="21"/>
        </w:rPr>
        <w:t>。马德里体系已在印度显示出令人鼓舞的成绩，如果拟设</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印度办事处能提供直接的设施和资源，可以带动这些仍限于国内保护的印度申请人，使其中许多人通过</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的马德里体系机制为其商标寻求国际保护。商标审查周期在远远早于目标日期2017年3月的时间点即已从之前的13个月缩短至1个月，反映出印度对于知识产权事业的承诺。</w:t>
      </w:r>
    </w:p>
    <w:p w:rsidR="000F3BD0"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专利审查周期方面的目标是到2018年3月从目前的五至七年缩短到18个月。为实现这一目标，除了现有的130名审查员，又例行新招收了459名分属不同技术领域且专业水平过硬的专利审查员。审查员数量的激增将使审查周期显著缩短。还对专利实施细则进行了修订，以简化流程，并使其更为用户友好。已允许在视撤的情况下退还审查费。对审查员规定了时间表以确保快速处理申请，即便已对容许延期次数进行了限制。在专利局任意两个分支机构之间可电子传送申请。</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通过显著降低微型和中小型企业的知识产权申请费用，为这个部门的知识产权保护提供了便利，从而通过提供创新产品和服务为印度的工业进步作出了显著贡献。许多印度政府部门启动了具体计划推动在微型和中小型企业中间推广知识产权，如果在印度设立驻外办事处，会成为</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的完美辅助，帮助其实现在微型和中小型企业方面设立的目标。</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为了实现各知识产权局之间相向而行，1957年版权法和2000年半导体集成电路布图设计法现由管理专利、商标、外观设计和地理标志的同一上位组织进行管理。这将使得不同知识产权局和法案之间能够实现整合并相向而行。</w:t>
      </w:r>
    </w:p>
    <w:p w:rsidR="00D449C5" w:rsidRPr="009D5469" w:rsidRDefault="000F3BD0" w:rsidP="00E5174B">
      <w:pPr>
        <w:pStyle w:val="ONUME"/>
        <w:tabs>
          <w:tab w:val="clear" w:pos="567"/>
        </w:tabs>
        <w:overflowPunct w:val="0"/>
        <w:adjustRightInd w:val="0"/>
        <w:spacing w:afterLines="50" w:after="120" w:line="340" w:lineRule="atLeast"/>
        <w:jc w:val="both"/>
        <w:rPr>
          <w:rFonts w:ascii="SimSun" w:hAnsi="SimSun"/>
          <w:sz w:val="21"/>
        </w:rPr>
      </w:pPr>
      <w:r w:rsidRPr="00CD6A66">
        <w:rPr>
          <w:rFonts w:asciiTheme="minorEastAsia" w:eastAsiaTheme="minorEastAsia" w:hAnsiTheme="minorEastAsia" w:cs="SimSun" w:hint="eastAsia"/>
          <w:sz w:val="21"/>
          <w:szCs w:val="21"/>
        </w:rPr>
        <w:t>因此，无论从短期还是长期而言，在印度设立驻外办事处对印度和</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都将是双赢的局面。</w:t>
      </w:r>
    </w:p>
    <w:p w:rsidR="000F3BD0" w:rsidRPr="00CA0DB1" w:rsidRDefault="000F3BD0" w:rsidP="00CA0DB1">
      <w:pPr>
        <w:keepNext/>
        <w:tabs>
          <w:tab w:val="left" w:pos="567"/>
        </w:tabs>
        <w:overflowPunct w:val="0"/>
        <w:adjustRightInd w:val="0"/>
        <w:spacing w:afterLines="50" w:after="120" w:line="340" w:lineRule="atLeast"/>
        <w:jc w:val="both"/>
        <w:rPr>
          <w:rFonts w:ascii="SimSun" w:hAnsi="SimSun"/>
          <w:sz w:val="21"/>
          <w:szCs w:val="21"/>
          <w:u w:val="single"/>
        </w:rPr>
      </w:pPr>
      <w:r w:rsidRPr="00CA0DB1">
        <w:rPr>
          <w:rFonts w:ascii="SimSun" w:hAnsi="SimSun" w:cs="SimSun" w:hint="eastAsia"/>
          <w:bCs/>
          <w:sz w:val="21"/>
          <w:szCs w:val="21"/>
          <w:u w:val="single"/>
        </w:rPr>
        <w:t>印度知识产权用户的需求</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专利申请：印度的专利申请从</w:t>
      </w:r>
      <w:r w:rsidRPr="00CD6A66">
        <w:rPr>
          <w:rFonts w:asciiTheme="minorEastAsia" w:eastAsiaTheme="minorEastAsia" w:hAnsiTheme="minorEastAsia" w:cs="SimSun"/>
          <w:sz w:val="21"/>
          <w:szCs w:val="21"/>
        </w:rPr>
        <w:t>2004</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17,466</w:t>
      </w:r>
      <w:r w:rsidRPr="00CD6A66">
        <w:rPr>
          <w:rFonts w:asciiTheme="minorEastAsia" w:eastAsiaTheme="minorEastAsia" w:hAnsiTheme="minorEastAsia" w:cs="SimSun" w:hint="eastAsia"/>
          <w:sz w:val="21"/>
          <w:szCs w:val="21"/>
        </w:rPr>
        <w:t>件增至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46,904</w:t>
      </w:r>
      <w:r w:rsidRPr="00CD6A66">
        <w:rPr>
          <w:rFonts w:asciiTheme="minorEastAsia" w:eastAsiaTheme="minorEastAsia" w:hAnsiTheme="minorEastAsia" w:cs="SimSun" w:hint="eastAsia"/>
          <w:sz w:val="21"/>
          <w:szCs w:val="21"/>
        </w:rPr>
        <w:t>件，涨幅</w:t>
      </w:r>
      <w:r w:rsidRPr="00CD6A66">
        <w:rPr>
          <w:rFonts w:asciiTheme="minorEastAsia" w:eastAsiaTheme="minorEastAsia" w:hAnsiTheme="minorEastAsia" w:cs="SimSun"/>
          <w:sz w:val="21"/>
          <w:szCs w:val="21"/>
        </w:rPr>
        <w:t>168%</w:t>
      </w:r>
      <w:r w:rsidRPr="00CD6A66">
        <w:rPr>
          <w:rFonts w:asciiTheme="minorEastAsia" w:eastAsiaTheme="minorEastAsia" w:hAnsiTheme="minorEastAsia" w:cs="SimSun" w:hint="eastAsia"/>
          <w:sz w:val="21"/>
          <w:szCs w:val="21"/>
        </w:rPr>
        <w:t>。印度过去十年间的申请排名也从第</w:t>
      </w:r>
      <w:r w:rsidRPr="00CD6A66">
        <w:rPr>
          <w:rFonts w:asciiTheme="minorEastAsia" w:eastAsiaTheme="minorEastAsia" w:hAnsiTheme="minorEastAsia" w:cs="SimSun"/>
          <w:sz w:val="21"/>
          <w:szCs w:val="21"/>
        </w:rPr>
        <w:t>11</w:t>
      </w:r>
      <w:r w:rsidRPr="00CD6A66">
        <w:rPr>
          <w:rFonts w:asciiTheme="minorEastAsia" w:eastAsiaTheme="minorEastAsia" w:hAnsiTheme="minorEastAsia" w:cs="SimSun" w:hint="eastAsia"/>
          <w:sz w:val="21"/>
          <w:szCs w:val="21"/>
        </w:rPr>
        <w:t>位上升至第</w:t>
      </w:r>
      <w:r w:rsidRPr="00CD6A66">
        <w:rPr>
          <w:rFonts w:asciiTheme="minorEastAsia" w:eastAsiaTheme="minorEastAsia" w:hAnsiTheme="minorEastAsia" w:cs="SimSun"/>
          <w:sz w:val="21"/>
          <w:szCs w:val="21"/>
        </w:rPr>
        <w:t>7</w:t>
      </w:r>
      <w:r w:rsidRPr="00CD6A66">
        <w:rPr>
          <w:rFonts w:asciiTheme="minorEastAsia" w:eastAsiaTheme="minorEastAsia" w:hAnsiTheme="minorEastAsia" w:cs="SimSun" w:hint="eastAsia"/>
          <w:sz w:val="21"/>
          <w:szCs w:val="21"/>
        </w:rPr>
        <w:t>位。随着申请数量增多，这种向上的趋势还将持续。可能与此相关的是，虽然将近</w:t>
      </w:r>
      <w:r w:rsidRPr="00CD6A66">
        <w:rPr>
          <w:rFonts w:asciiTheme="minorEastAsia" w:eastAsiaTheme="minorEastAsia" w:hAnsiTheme="minorEastAsia" w:cs="SimSun"/>
          <w:sz w:val="21"/>
          <w:szCs w:val="21"/>
        </w:rPr>
        <w:t>70%</w:t>
      </w:r>
      <w:r w:rsidRPr="00CD6A66">
        <w:rPr>
          <w:rFonts w:asciiTheme="minorEastAsia" w:eastAsiaTheme="minorEastAsia" w:hAnsiTheme="minorEastAsia" w:cs="SimSun" w:hint="eastAsia"/>
          <w:sz w:val="21"/>
          <w:szCs w:val="21"/>
        </w:rPr>
        <w:t>的申请是由外国申请人提交，但国内申请呈增长态势。</w:t>
      </w:r>
    </w:p>
    <w:p w:rsidR="00BE6A4E"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sz w:val="21"/>
          <w:szCs w:val="21"/>
        </w:rPr>
        <w:lastRenderedPageBreak/>
        <w:t>PCT</w:t>
      </w:r>
      <w:r w:rsidRPr="00CD6A66">
        <w:rPr>
          <w:rFonts w:asciiTheme="minorEastAsia" w:eastAsiaTheme="minorEastAsia" w:hAnsiTheme="minorEastAsia" w:cs="SimSun" w:hint="eastAsia"/>
          <w:sz w:val="21"/>
          <w:szCs w:val="21"/>
        </w:rPr>
        <w:t>成员：全球化和数字革命提供的机会使更多印度公司渴望在全球市场中获得一席之地。</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的专利合作条约</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为他们在约151个国家保护自己的前沿技术提供了一种成本节约且高效的方式。</w:t>
      </w:r>
    </w:p>
    <w:p w:rsidR="00BE6A4E"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印度于</w:t>
      </w:r>
      <w:r w:rsidRPr="00CD6A66">
        <w:rPr>
          <w:rFonts w:asciiTheme="minorEastAsia" w:eastAsiaTheme="minorEastAsia" w:hAnsiTheme="minorEastAsia" w:cs="SimSun"/>
          <w:sz w:val="21"/>
          <w:szCs w:val="21"/>
        </w:rPr>
        <w:t>1998</w:t>
      </w:r>
      <w:r w:rsidRPr="00CD6A66">
        <w:rPr>
          <w:rFonts w:asciiTheme="minorEastAsia" w:eastAsiaTheme="minorEastAsia" w:hAnsiTheme="minorEastAsia" w:cs="SimSun" w:hint="eastAsia"/>
          <w:sz w:val="21"/>
          <w:szCs w:val="21"/>
        </w:rPr>
        <w:t>年成为</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成员。当年，印度发明人仅在</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下提交了</w:t>
      </w:r>
      <w:r w:rsidRPr="00CD6A66">
        <w:rPr>
          <w:rFonts w:asciiTheme="minorEastAsia" w:eastAsiaTheme="minorEastAsia" w:hAnsiTheme="minorEastAsia" w:cs="SimSun"/>
          <w:sz w:val="21"/>
          <w:szCs w:val="21"/>
        </w:rPr>
        <w:t>14</w:t>
      </w:r>
      <w:r w:rsidRPr="00CD6A66">
        <w:rPr>
          <w:rFonts w:asciiTheme="minorEastAsia" w:eastAsiaTheme="minorEastAsia" w:hAnsiTheme="minorEastAsia" w:cs="SimSun" w:hint="eastAsia"/>
          <w:sz w:val="21"/>
          <w:szCs w:val="21"/>
        </w:rPr>
        <w:t>件国际申请；截至</w:t>
      </w:r>
      <w:r w:rsidRPr="00CD6A66">
        <w:rPr>
          <w:rFonts w:asciiTheme="minorEastAsia" w:eastAsiaTheme="minorEastAsia" w:hAnsiTheme="minorEastAsia" w:cs="SimSun"/>
          <w:sz w:val="21"/>
          <w:szCs w:val="21"/>
        </w:rPr>
        <w:t>2014</w:t>
      </w:r>
      <w:r w:rsidRPr="00CD6A66">
        <w:rPr>
          <w:rFonts w:asciiTheme="minorEastAsia" w:eastAsiaTheme="minorEastAsia" w:hAnsiTheme="minorEastAsia" w:cs="SimSun" w:hint="eastAsia"/>
          <w:sz w:val="21"/>
          <w:szCs w:val="21"/>
        </w:rPr>
        <w:t>年，这个数字翻了一百倍，升至</w:t>
      </w:r>
      <w:r w:rsidRPr="00CD6A66">
        <w:rPr>
          <w:rFonts w:asciiTheme="minorEastAsia" w:eastAsiaTheme="minorEastAsia" w:hAnsiTheme="minorEastAsia" w:cs="SimSun"/>
          <w:sz w:val="21"/>
          <w:szCs w:val="21"/>
        </w:rPr>
        <w:t>1428</w:t>
      </w:r>
      <w:r w:rsidRPr="00CD6A66">
        <w:rPr>
          <w:rFonts w:asciiTheme="minorEastAsia" w:eastAsiaTheme="minorEastAsia" w:hAnsiTheme="minorEastAsia" w:cs="SimSun" w:hint="eastAsia"/>
          <w:sz w:val="21"/>
          <w:szCs w:val="21"/>
        </w:rPr>
        <w:t>件。为确保印度公司从印度的</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成员身份中全面受益，印度专利局积极促进和推广使用</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有关服务，以扩大获取更广泛的成本节约的服务，简化申请专利国际保护的过程。</w:t>
      </w:r>
    </w:p>
    <w:p w:rsidR="00BE6A4E"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国际检索单位：</w:t>
      </w:r>
      <w:r w:rsidRPr="00CD6A66">
        <w:rPr>
          <w:rFonts w:asciiTheme="minorEastAsia" w:eastAsiaTheme="minorEastAsia" w:hAnsiTheme="minorEastAsia" w:cs="SimSun"/>
          <w:sz w:val="21"/>
          <w:szCs w:val="21"/>
        </w:rPr>
        <w:t>2013</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10</w:t>
      </w:r>
      <w:r w:rsidRPr="00CD6A66">
        <w:rPr>
          <w:rFonts w:asciiTheme="minorEastAsia" w:eastAsiaTheme="minorEastAsia" w:hAnsiTheme="minorEastAsia" w:cs="SimSun" w:hint="eastAsia"/>
          <w:sz w:val="21"/>
          <w:szCs w:val="21"/>
        </w:rPr>
        <w:t>月，印度专利局成为</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的国际检索单位和国际初步审查单位</w:t>
      </w:r>
      <w:r w:rsidRPr="00CD6A66">
        <w:rPr>
          <w:rFonts w:asciiTheme="minorEastAsia" w:eastAsiaTheme="minorEastAsia" w:hAnsiTheme="minorEastAsia" w:cs="SimSun"/>
          <w:sz w:val="21"/>
          <w:szCs w:val="21"/>
        </w:rPr>
        <w:t>（ISA/IPEA）</w:t>
      </w:r>
      <w:r w:rsidRPr="00CD6A66">
        <w:rPr>
          <w:rFonts w:asciiTheme="minorEastAsia" w:eastAsiaTheme="minorEastAsia" w:hAnsiTheme="minorEastAsia" w:cs="SimSun" w:hint="eastAsia"/>
          <w:sz w:val="21"/>
          <w:szCs w:val="21"/>
        </w:rPr>
        <w:t>，同时担任此角色的还有另外</w:t>
      </w:r>
      <w:r w:rsidRPr="00CD6A66">
        <w:rPr>
          <w:rFonts w:asciiTheme="minorEastAsia" w:eastAsiaTheme="minorEastAsia" w:hAnsiTheme="minorEastAsia" w:cs="SimSun"/>
          <w:sz w:val="21"/>
          <w:szCs w:val="21"/>
        </w:rPr>
        <w:t>16</w:t>
      </w:r>
      <w:r w:rsidRPr="00CD6A66">
        <w:rPr>
          <w:rFonts w:asciiTheme="minorEastAsia" w:eastAsiaTheme="minorEastAsia" w:hAnsiTheme="minorEastAsia" w:cs="SimSun" w:hint="eastAsia"/>
          <w:sz w:val="21"/>
          <w:szCs w:val="21"/>
        </w:rPr>
        <w:t>个国家。印度公司从此可以更容易地获取本地的优质知识产权服务，此外还有其他具有</w:t>
      </w:r>
      <w:r w:rsidRPr="00CD6A66">
        <w:rPr>
          <w:rFonts w:asciiTheme="minorEastAsia" w:eastAsiaTheme="minorEastAsia" w:hAnsiTheme="minorEastAsia" w:cs="SimSun"/>
          <w:sz w:val="21"/>
          <w:szCs w:val="21"/>
        </w:rPr>
        <w:t>ISA/IPEA</w:t>
      </w:r>
      <w:r w:rsidRPr="00CD6A66">
        <w:rPr>
          <w:rFonts w:asciiTheme="minorEastAsia" w:eastAsiaTheme="minorEastAsia" w:hAnsiTheme="minorEastAsia" w:cs="SimSun" w:hint="eastAsia"/>
          <w:sz w:val="21"/>
          <w:szCs w:val="21"/>
        </w:rPr>
        <w:t>身份的国际检索单位业已提供的服务。印度有自己的专利数据库，并能访问全球其他数据库，从而以极具竞争力的价格提供一流质量的专利检索和初步审查报告。截至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3</w:t>
      </w:r>
      <w:r w:rsidRPr="00CD6A66">
        <w:rPr>
          <w:rFonts w:asciiTheme="minorEastAsia" w:eastAsiaTheme="minorEastAsia" w:hAnsiTheme="minorEastAsia" w:cs="SimSun" w:hint="eastAsia"/>
          <w:sz w:val="21"/>
          <w:szCs w:val="21"/>
        </w:rPr>
        <w:t>月31日，印度作为国际检索单位已经收到了</w:t>
      </w:r>
      <w:r w:rsidRPr="00CD6A66">
        <w:rPr>
          <w:rFonts w:asciiTheme="minorEastAsia" w:eastAsiaTheme="minorEastAsia" w:hAnsiTheme="minorEastAsia" w:cs="SimSun"/>
          <w:sz w:val="21"/>
          <w:szCs w:val="21"/>
        </w:rPr>
        <w:t>1,365</w:t>
      </w:r>
      <w:r w:rsidRPr="00CD6A66">
        <w:rPr>
          <w:rFonts w:asciiTheme="minorEastAsia" w:eastAsiaTheme="minorEastAsia" w:hAnsiTheme="minorEastAsia" w:cs="SimSun" w:hint="eastAsia"/>
          <w:sz w:val="21"/>
          <w:szCs w:val="21"/>
        </w:rPr>
        <w:t>个国际检索报告请求和</w:t>
      </w:r>
      <w:r w:rsidRPr="00CD6A66">
        <w:rPr>
          <w:rFonts w:asciiTheme="minorEastAsia" w:eastAsiaTheme="minorEastAsia" w:hAnsiTheme="minorEastAsia" w:cs="SimSun"/>
          <w:sz w:val="21"/>
          <w:szCs w:val="21"/>
        </w:rPr>
        <w:t>35</w:t>
      </w:r>
      <w:r w:rsidRPr="00CD6A66">
        <w:rPr>
          <w:rFonts w:asciiTheme="minorEastAsia" w:eastAsiaTheme="minorEastAsia" w:hAnsiTheme="minorEastAsia" w:cs="SimSun" w:hint="eastAsia"/>
          <w:sz w:val="21"/>
          <w:szCs w:val="21"/>
        </w:rPr>
        <w:t>个国际初步审查单位请求。但截至2017年1月31日，国际检索报告请求数量已增至2,1</w:t>
      </w:r>
      <w:r w:rsidRPr="00CD6A66">
        <w:rPr>
          <w:rFonts w:asciiTheme="minorEastAsia" w:eastAsiaTheme="minorEastAsia" w:hAnsiTheme="minorEastAsia" w:cs="SimSun"/>
          <w:sz w:val="21"/>
          <w:szCs w:val="21"/>
        </w:rPr>
        <w:t>26个。</w:t>
      </w:r>
    </w:p>
    <w:p w:rsidR="00D449C5"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马德里议定书：印度于</w:t>
      </w:r>
      <w:r w:rsidRPr="00CD6A66">
        <w:rPr>
          <w:rFonts w:asciiTheme="minorEastAsia" w:eastAsiaTheme="minorEastAsia" w:hAnsiTheme="minorEastAsia" w:cs="SimSun"/>
          <w:sz w:val="21"/>
          <w:szCs w:val="21"/>
        </w:rPr>
        <w:t>2013</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7</w:t>
      </w:r>
      <w:r w:rsidRPr="00CD6A66">
        <w:rPr>
          <w:rFonts w:asciiTheme="minorEastAsia" w:eastAsiaTheme="minorEastAsia" w:hAnsiTheme="minorEastAsia" w:cs="SimSun" w:hint="eastAsia"/>
          <w:sz w:val="21"/>
          <w:szCs w:val="21"/>
        </w:rPr>
        <w:t>月加入《商标国际注册马德里协定有关议定书》，印度公司由此也可采用简单易用和节约成本的方式在国际市场上保护自己的品牌。马德里体系成为印度申请人进入全球市场的通道，并为外国公司在印度市场建立业务打开了门户。截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3</w:t>
      </w:r>
      <w:r w:rsidRPr="00CD6A66">
        <w:rPr>
          <w:rFonts w:asciiTheme="minorEastAsia" w:eastAsiaTheme="minorEastAsia" w:hAnsiTheme="minorEastAsia" w:cs="SimSun" w:hint="eastAsia"/>
          <w:sz w:val="21"/>
          <w:szCs w:val="21"/>
        </w:rPr>
        <w:t>月</w:t>
      </w:r>
      <w:r w:rsidRPr="00CD6A66">
        <w:rPr>
          <w:rFonts w:asciiTheme="minorEastAsia" w:eastAsiaTheme="minorEastAsia" w:hAnsiTheme="minorEastAsia" w:cs="SimSun"/>
          <w:sz w:val="21"/>
          <w:szCs w:val="21"/>
        </w:rPr>
        <w:t>31</w:t>
      </w:r>
      <w:r w:rsidRPr="00CD6A66">
        <w:rPr>
          <w:rFonts w:asciiTheme="minorEastAsia" w:eastAsiaTheme="minorEastAsia" w:hAnsiTheme="minorEastAsia" w:cs="SimSun" w:hint="eastAsia"/>
          <w:sz w:val="21"/>
          <w:szCs w:val="21"/>
        </w:rPr>
        <w:t>日，印度商标注册处收到了</w:t>
      </w:r>
      <w:r w:rsidRPr="00CD6A66">
        <w:rPr>
          <w:rFonts w:asciiTheme="minorEastAsia" w:eastAsiaTheme="minorEastAsia" w:hAnsiTheme="minorEastAsia" w:cs="SimSun"/>
          <w:sz w:val="21"/>
          <w:szCs w:val="21"/>
        </w:rPr>
        <w:t>23,632</w:t>
      </w:r>
      <w:r w:rsidRPr="00CD6A66">
        <w:rPr>
          <w:rFonts w:asciiTheme="minorEastAsia" w:eastAsiaTheme="minorEastAsia" w:hAnsiTheme="minorEastAsia" w:cs="SimSun" w:hint="eastAsia"/>
          <w:sz w:val="21"/>
          <w:szCs w:val="21"/>
        </w:rPr>
        <w:t>件指定印度的国际申请，同比增长17.</w:t>
      </w:r>
      <w:r w:rsidRPr="00CD6A66">
        <w:rPr>
          <w:rFonts w:asciiTheme="minorEastAsia" w:eastAsiaTheme="minorEastAsia" w:hAnsiTheme="minorEastAsia" w:cs="SimSun"/>
          <w:sz w:val="21"/>
          <w:szCs w:val="21"/>
        </w:rPr>
        <w:t>6</w:t>
      </w:r>
      <w:r w:rsidRPr="00CD6A66">
        <w:rPr>
          <w:rFonts w:asciiTheme="minorEastAsia" w:eastAsiaTheme="minorEastAsia" w:hAnsiTheme="minorEastAsia" w:cs="SimSun" w:hint="eastAsia"/>
          <w:sz w:val="21"/>
          <w:szCs w:val="21"/>
        </w:rPr>
        <w:t>,%，而且这一数字有望在未来几年成倍增长。</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CA0DB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A0DB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BE6A4E"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9D5469">
        <w:rPr>
          <w:rFonts w:ascii="SimSun" w:hAnsi="SimSun" w:cs="SimSun" w:hint="eastAsia"/>
          <w:kern w:val="2"/>
          <w:sz w:val="21"/>
          <w:szCs w:val="22"/>
        </w:rPr>
        <w:t>印度成为驻外办事处东道国的总体目标是，制定有利于创新和创造力的平衡、有效的国际知识产权制度，使印度、</w:t>
      </w:r>
      <w:r w:rsidRPr="009D5469">
        <w:rPr>
          <w:rFonts w:ascii="SimSun" w:hAnsi="SimSun" w:hint="eastAsia"/>
          <w:kern w:val="2"/>
          <w:sz w:val="21"/>
          <w:szCs w:val="22"/>
        </w:rPr>
        <w:t>WIPO</w:t>
      </w:r>
      <w:r w:rsidRPr="009D5469">
        <w:rPr>
          <w:rFonts w:ascii="SimSun" w:hAnsi="SimSun" w:cs="SimSun" w:hint="eastAsia"/>
          <w:kern w:val="2"/>
          <w:sz w:val="21"/>
          <w:szCs w:val="22"/>
        </w:rPr>
        <w:t>及其他相关的利益攸关者受益。</w:t>
      </w:r>
      <w:r w:rsidRPr="009D5469">
        <w:rPr>
          <w:rFonts w:ascii="SimSun" w:hAnsi="SimSun" w:hint="eastAsia"/>
          <w:kern w:val="2"/>
          <w:sz w:val="21"/>
          <w:szCs w:val="22"/>
        </w:rPr>
        <w:t>WIPO</w:t>
      </w:r>
      <w:r w:rsidRPr="009D5469">
        <w:rPr>
          <w:rFonts w:ascii="SimSun" w:hAnsi="SimSun" w:cs="SimSun" w:hint="eastAsia"/>
          <w:kern w:val="2"/>
          <w:sz w:val="21"/>
          <w:szCs w:val="22"/>
        </w:rPr>
        <w:t>在印度设立驻外办事处也能提升</w:t>
      </w:r>
      <w:r w:rsidRPr="009D5469">
        <w:rPr>
          <w:rFonts w:ascii="SimSun" w:hAnsi="SimSun" w:hint="eastAsia"/>
          <w:kern w:val="2"/>
          <w:sz w:val="21"/>
          <w:szCs w:val="22"/>
        </w:rPr>
        <w:t>WIPO</w:t>
      </w:r>
      <w:r w:rsidRPr="009D5469">
        <w:rPr>
          <w:rFonts w:ascii="SimSun" w:hAnsi="SimSun" w:cs="SimSun" w:hint="eastAsia"/>
          <w:kern w:val="2"/>
          <w:sz w:val="21"/>
          <w:szCs w:val="22"/>
        </w:rPr>
        <w:t>的服务品质，并促进其作为全球服务性组织的独特作用。</w:t>
      </w:r>
    </w:p>
    <w:p w:rsidR="00B91C3B" w:rsidRPr="009D5469" w:rsidRDefault="00BE6A4E"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9D5469">
        <w:rPr>
          <w:rFonts w:ascii="SimSun" w:hAnsi="SimSun" w:cs="SimSun" w:hint="eastAsia"/>
          <w:kern w:val="2"/>
          <w:sz w:val="21"/>
          <w:szCs w:val="22"/>
        </w:rPr>
        <w:t>印度驻外办事处还将在以下方面加强</w:t>
      </w:r>
      <w:r w:rsidRPr="009D5469">
        <w:rPr>
          <w:rFonts w:ascii="SimSun" w:hAnsi="SimSun" w:hint="eastAsia"/>
          <w:kern w:val="2"/>
          <w:sz w:val="21"/>
          <w:szCs w:val="22"/>
        </w:rPr>
        <w:t>WIPO</w:t>
      </w:r>
      <w:r w:rsidRPr="009D5469">
        <w:rPr>
          <w:rFonts w:ascii="SimSun" w:hAnsi="SimSun" w:cs="SimSun" w:hint="eastAsia"/>
          <w:kern w:val="2"/>
          <w:sz w:val="21"/>
          <w:szCs w:val="22"/>
        </w:rPr>
        <w:t>的核心职能：</w:t>
      </w:r>
    </w:p>
    <w:p w:rsidR="00BE6A4E" w:rsidRPr="009A6D4C"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推广WIPO的全球知识产权体系并为其提供支持，</w:t>
      </w:r>
    </w:p>
    <w:p w:rsidR="00BE6A4E" w:rsidRPr="009A6D4C"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提供有效的技术援助和能力建设活动，</w:t>
      </w:r>
    </w:p>
    <w:p w:rsidR="00BE6A4E"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推广WIPO的各项条约，以及</w:t>
      </w:r>
    </w:p>
    <w:p w:rsidR="00D449C5" w:rsidRDefault="00BE6A4E" w:rsidP="00CA0DB1">
      <w:pPr>
        <w:tabs>
          <w:tab w:val="left" w:pos="1134"/>
        </w:tabs>
        <w:overflowPunct w:val="0"/>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实施有效的沟通和联络策略。</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CA0DB1">
        <w:rPr>
          <w:rFonts w:ascii="SimHei" w:eastAsia="SimHei" w:hAnsi="SimHei"/>
          <w:bCs/>
          <w:smallCaps/>
          <w:color w:val="1F497D" w:themeColor="text2"/>
          <w:sz w:val="21"/>
          <w:szCs w:val="21"/>
          <w:vertAlign w:val="superscript"/>
        </w:rPr>
        <w:t>2</w:t>
      </w:r>
      <w:r w:rsidRPr="00CA0DB1">
        <w:rPr>
          <w:rFonts w:ascii="KaiTi" w:eastAsia="KaiTi" w:hAnsi="KaiTi" w:hint="eastAsia"/>
          <w:bCs/>
          <w:smallCaps/>
          <w:color w:val="1F497D" w:themeColor="text2"/>
          <w:sz w:val="21"/>
          <w:szCs w:val="21"/>
        </w:rPr>
        <w:t>（适用时包括地区性活动</w:t>
      </w:r>
      <w:r w:rsidRPr="00CA0DB1">
        <w:rPr>
          <w:rFonts w:ascii="KaiTi" w:eastAsia="KaiTi" w:hAnsi="KaiTi"/>
          <w:bCs/>
          <w:smallCaps/>
          <w:color w:val="1F497D" w:themeColor="text2"/>
          <w:sz w:val="21"/>
          <w:szCs w:val="21"/>
          <w:vertAlign w:val="superscript"/>
        </w:rPr>
        <w:footnoteReference w:id="8"/>
      </w:r>
      <w:r w:rsidRPr="00CA0DB1">
        <w:rPr>
          <w:rFonts w:ascii="KaiTi" w:eastAsia="KaiTi" w:hAnsi="KaiTi" w:hint="eastAsia"/>
          <w:bCs/>
          <w:smallCaps/>
          <w:color w:val="1F497D" w:themeColor="text2"/>
          <w:sz w:val="21"/>
          <w:szCs w:val="21"/>
        </w:rPr>
        <w:t>）</w:t>
      </w:r>
      <w:r>
        <w:rPr>
          <w:rFonts w:ascii="SimHei" w:eastAsia="SimHei" w:hAnsi="SimHei" w:hint="eastAsia"/>
          <w:bCs/>
          <w:smallCaps/>
          <w:color w:val="1F497D" w:themeColor="text2"/>
          <w:sz w:val="21"/>
          <w:szCs w:val="21"/>
        </w:rPr>
        <w:t>：</w:t>
      </w:r>
    </w:p>
    <w:p w:rsidR="00B91C3B" w:rsidRPr="00E5174B" w:rsidRDefault="00BD2AC4"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印度驻外办事处的拟议职能</w:t>
      </w:r>
      <w:r w:rsidR="009D5469" w:rsidRPr="00E5174B">
        <w:rPr>
          <w:rFonts w:ascii="SimSun" w:hAnsi="SimSun" w:cs="SimSun" w:hint="eastAsia"/>
          <w:kern w:val="2"/>
          <w:sz w:val="21"/>
          <w:szCs w:val="22"/>
          <w:u w:val="single"/>
        </w:rPr>
        <w:t>：</w:t>
      </w:r>
    </w:p>
    <w:p w:rsidR="00B91C3B" w:rsidRPr="009D5469" w:rsidRDefault="00BD2AC4" w:rsidP="00E5174B">
      <w:pPr>
        <w:pStyle w:val="ONUME"/>
        <w:keepNext/>
        <w:tabs>
          <w:tab w:val="clear" w:pos="567"/>
        </w:tabs>
        <w:overflowPunct w:val="0"/>
        <w:adjustRightInd w:val="0"/>
        <w:spacing w:afterLines="50" w:after="120" w:line="340" w:lineRule="atLeast"/>
        <w:jc w:val="both"/>
        <w:rPr>
          <w:rFonts w:ascii="SimSun" w:hAnsi="SimSun"/>
          <w:kern w:val="2"/>
          <w:sz w:val="21"/>
        </w:rPr>
      </w:pPr>
      <w:r w:rsidRPr="009A6D4C">
        <w:rPr>
          <w:rFonts w:ascii="SimSun" w:hAnsi="SimSun" w:hint="eastAsia"/>
          <w:sz w:val="21"/>
          <w:szCs w:val="21"/>
        </w:rPr>
        <w:t>基于初步评估，</w:t>
      </w:r>
      <w:r>
        <w:rPr>
          <w:rFonts w:ascii="SimSun" w:hAnsi="SimSun" w:hint="eastAsia"/>
          <w:sz w:val="21"/>
          <w:szCs w:val="21"/>
        </w:rPr>
        <w:t>[</w:t>
      </w:r>
      <w:r w:rsidRPr="009C0899">
        <w:rPr>
          <w:rFonts w:ascii="KaiTi" w:eastAsia="KaiTi" w:hAnsi="KaiTi" w:hint="eastAsia"/>
          <w:sz w:val="21"/>
          <w:szCs w:val="21"/>
        </w:rPr>
        <w:t>印度</w:t>
      </w:r>
      <w:r>
        <w:rPr>
          <w:rFonts w:ascii="SimSun" w:hAnsi="SimSun" w:hint="eastAsia"/>
          <w:sz w:val="21"/>
          <w:szCs w:val="21"/>
        </w:rPr>
        <w:t>]</w:t>
      </w:r>
      <w:r w:rsidRPr="009A6D4C">
        <w:rPr>
          <w:rFonts w:ascii="SimSun" w:hAnsi="SimSun" w:hint="eastAsia"/>
          <w:sz w:val="21"/>
          <w:szCs w:val="21"/>
        </w:rPr>
        <w:t>预期</w:t>
      </w:r>
      <w:r>
        <w:rPr>
          <w:rFonts w:ascii="SimSun" w:hAnsi="SimSun" w:hint="eastAsia"/>
          <w:sz w:val="21"/>
          <w:szCs w:val="21"/>
        </w:rPr>
        <w:t>驻</w:t>
      </w:r>
      <w:r w:rsidRPr="00CD6A66">
        <w:rPr>
          <w:rFonts w:asciiTheme="minorEastAsia" w:eastAsiaTheme="minorEastAsia" w:hAnsiTheme="minorEastAsia" w:cs="SimSun" w:hint="eastAsia"/>
          <w:sz w:val="21"/>
          <w:szCs w:val="21"/>
        </w:rPr>
        <w:t>印度办事处</w:t>
      </w:r>
      <w:r w:rsidRPr="009A6D4C">
        <w:rPr>
          <w:rFonts w:ascii="SimSun" w:hAnsi="SimSun" w:hint="eastAsia"/>
          <w:sz w:val="21"/>
          <w:szCs w:val="21"/>
        </w:rPr>
        <w:t>可开展的职能如下：</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的一项主要职能是提供全球知识产权服务。WIPO总体财务资源中绝大部分来自于这些服务。为发展中国家和最不发达国家提供技术援助是WIPO的另一项关键职能。WIPO</w:t>
      </w:r>
      <w:r>
        <w:rPr>
          <w:rFonts w:ascii="SimSun" w:hAnsi="SimSun" w:hint="eastAsia"/>
          <w:sz w:val="21"/>
          <w:szCs w:val="21"/>
        </w:rPr>
        <w:t>有</w:t>
      </w:r>
      <w:r w:rsidRPr="009A6D4C">
        <w:rPr>
          <w:rFonts w:ascii="SimSun" w:hAnsi="SimSun" w:hint="eastAsia"/>
          <w:sz w:val="21"/>
          <w:szCs w:val="21"/>
        </w:rPr>
        <w:t>96%的收入来自于在其全球知识产权体系下</w:t>
      </w:r>
      <w:r>
        <w:rPr>
          <w:rFonts w:ascii="SimSun" w:hAnsi="SimSun" w:hint="eastAsia"/>
          <w:sz w:val="21"/>
          <w:szCs w:val="21"/>
        </w:rPr>
        <w:t>（</w:t>
      </w:r>
      <w:r w:rsidRPr="009A6D4C">
        <w:rPr>
          <w:rFonts w:ascii="SimSun" w:hAnsi="SimSun" w:hint="eastAsia"/>
          <w:sz w:val="21"/>
          <w:szCs w:val="21"/>
        </w:rPr>
        <w:t>即专利合作条约、商标马德里体系、工业品外观设计海牙体系和WIPO仲裁与调解中心等</w:t>
      </w:r>
      <w:r>
        <w:rPr>
          <w:rFonts w:ascii="SimSun" w:hAnsi="SimSun" w:hint="eastAsia"/>
          <w:sz w:val="21"/>
          <w:szCs w:val="21"/>
        </w:rPr>
        <w:t>）</w:t>
      </w:r>
      <w:r w:rsidRPr="009A6D4C">
        <w:rPr>
          <w:rFonts w:ascii="SimSun" w:hAnsi="SimSun" w:hint="eastAsia"/>
          <w:sz w:val="21"/>
          <w:szCs w:val="21"/>
        </w:rPr>
        <w:t>提供服务的费用收入。其中，PCT和马德里分别约占WIPO总收入的77%和16%。印度同时是PCT和马德里体系的成员，WIPO在印度设立办事处，能创造有利环境，帮助这些体系创造更多利益，从而带来知识产权申请量的增加和WIPO的收入增长。</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WIPO全球知识产权体系服务的一个重要部分是为体系用户提供信息和援助服务。例如，WIPO PCT法律司下的PCT信息服务处2015年共收到了11</w:t>
      </w:r>
      <w:r>
        <w:rPr>
          <w:rFonts w:ascii="SimSun" w:hAnsi="SimSun" w:hint="eastAsia"/>
          <w:sz w:val="21"/>
          <w:szCs w:val="21"/>
        </w:rPr>
        <w:t>,</w:t>
      </w:r>
      <w:r w:rsidRPr="009A6D4C">
        <w:rPr>
          <w:rFonts w:ascii="SimSun" w:hAnsi="SimSun" w:hint="eastAsia"/>
          <w:sz w:val="21"/>
          <w:szCs w:val="21"/>
        </w:rPr>
        <w:t>192个问询</w:t>
      </w:r>
      <w:r>
        <w:rPr>
          <w:rFonts w:ascii="SimSun" w:hAnsi="SimSun" w:hint="eastAsia"/>
          <w:sz w:val="21"/>
          <w:szCs w:val="21"/>
        </w:rPr>
        <w:t>（</w:t>
      </w:r>
      <w:r w:rsidRPr="009A6D4C">
        <w:rPr>
          <w:rFonts w:ascii="SimSun" w:hAnsi="SimSun" w:hint="eastAsia"/>
          <w:sz w:val="21"/>
          <w:szCs w:val="21"/>
        </w:rPr>
        <w:t>电邮、电话和传真</w:t>
      </w:r>
      <w:r>
        <w:rPr>
          <w:rFonts w:ascii="SimSun" w:hAnsi="SimSun" w:hint="eastAsia"/>
          <w:sz w:val="21"/>
          <w:szCs w:val="21"/>
        </w:rPr>
        <w:t>）</w:t>
      </w:r>
      <w:r w:rsidRPr="009A6D4C">
        <w:rPr>
          <w:rFonts w:ascii="SimSun" w:hAnsi="SimSun" w:hint="eastAsia"/>
          <w:sz w:val="21"/>
          <w:szCs w:val="21"/>
        </w:rPr>
        <w:t>，相当于平均每月收到932个问询，或每天45个。其中47%的问询是电话形式，所以平均每月接听约438通电话。其中91.7%的电话可以确认来源。在可以确认来源的这5</w:t>
      </w:r>
      <w:r>
        <w:rPr>
          <w:rFonts w:ascii="SimSun" w:hAnsi="SimSun" w:hint="eastAsia"/>
          <w:sz w:val="21"/>
          <w:szCs w:val="21"/>
        </w:rPr>
        <w:t>,</w:t>
      </w:r>
      <w:r w:rsidRPr="009A6D4C">
        <w:rPr>
          <w:rFonts w:ascii="SimSun" w:hAnsi="SimSun" w:hint="eastAsia"/>
          <w:sz w:val="21"/>
          <w:szCs w:val="21"/>
        </w:rPr>
        <w:t>458个电话中，</w:t>
      </w:r>
      <w:r>
        <w:rPr>
          <w:rFonts w:ascii="SimSun" w:hAnsi="SimSun" w:hint="eastAsia"/>
          <w:sz w:val="21"/>
          <w:szCs w:val="21"/>
        </w:rPr>
        <w:t>[</w:t>
      </w:r>
      <w:r w:rsidRPr="009C0899">
        <w:rPr>
          <w:rFonts w:ascii="KaiTi" w:eastAsia="KaiTi" w:hAnsi="KaiTi" w:hint="eastAsia"/>
          <w:sz w:val="21"/>
          <w:szCs w:val="21"/>
        </w:rPr>
        <w:t>印度</w:t>
      </w:r>
      <w:r>
        <w:rPr>
          <w:rFonts w:ascii="SimSun" w:hAnsi="SimSun" w:hint="eastAsia"/>
          <w:sz w:val="21"/>
          <w:szCs w:val="21"/>
        </w:rPr>
        <w:t>]可以确定有</w:t>
      </w:r>
      <w:r w:rsidRPr="009A6D4C">
        <w:rPr>
          <w:rFonts w:ascii="SimSun" w:hAnsi="SimSun" w:hint="eastAsia"/>
          <w:sz w:val="21"/>
          <w:szCs w:val="21"/>
        </w:rPr>
        <w:t>456个电话</w:t>
      </w:r>
      <w:r>
        <w:rPr>
          <w:rFonts w:ascii="SimSun" w:hAnsi="SimSun" w:hint="eastAsia"/>
          <w:sz w:val="21"/>
          <w:szCs w:val="21"/>
        </w:rPr>
        <w:t>（</w:t>
      </w:r>
      <w:r w:rsidRPr="009A6D4C">
        <w:rPr>
          <w:rFonts w:ascii="SimSun" w:hAnsi="SimSun" w:hint="eastAsia"/>
          <w:sz w:val="21"/>
          <w:szCs w:val="21"/>
        </w:rPr>
        <w:t>8.35%</w:t>
      </w:r>
      <w:r>
        <w:rPr>
          <w:rFonts w:ascii="SimSun" w:hAnsi="SimSun" w:hint="eastAsia"/>
          <w:sz w:val="21"/>
          <w:szCs w:val="21"/>
        </w:rPr>
        <w:t>）</w:t>
      </w:r>
      <w:r w:rsidRPr="009A6D4C">
        <w:rPr>
          <w:rFonts w:ascii="SimSun" w:hAnsi="SimSun" w:hint="eastAsia"/>
          <w:sz w:val="21"/>
          <w:szCs w:val="21"/>
        </w:rPr>
        <w:t>是来自亚洲国家。如果在印度设立办事处，就可提供这项关键服务，以经济上极便于承受的方式支持本组织全球知识产权体系在亚洲时区的服务。</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驻外办事处将成为WIPO整体客户回复网络的宝贵补充。如果有人在日内瓦工作时间之前致电WIPO，电话可自动转至印度接听和回复。</w:t>
      </w:r>
    </w:p>
    <w:p w:rsidR="00BA1EB9"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拟设印度办事处可以针对WIPO全球基础设施部门管理的多个技术援助计划提供相关技术支持，例如成立技术与创新支持中心</w:t>
      </w:r>
      <w:r>
        <w:rPr>
          <w:rFonts w:ascii="SimSun" w:hAnsi="SimSun" w:hint="eastAsia"/>
          <w:sz w:val="21"/>
          <w:szCs w:val="21"/>
        </w:rPr>
        <w:t>（</w:t>
      </w:r>
      <w:r w:rsidRPr="009A6D4C">
        <w:rPr>
          <w:rFonts w:ascii="SimSun" w:hAnsi="SimSun" w:hint="eastAsia"/>
          <w:sz w:val="21"/>
          <w:szCs w:val="21"/>
        </w:rPr>
        <w:t>TISC</w:t>
      </w:r>
      <w:r>
        <w:rPr>
          <w:rFonts w:ascii="SimSun" w:hAnsi="SimSun" w:hint="eastAsia"/>
          <w:sz w:val="21"/>
          <w:szCs w:val="21"/>
        </w:rPr>
        <w:t>）</w:t>
      </w:r>
      <w:r w:rsidRPr="009A6D4C">
        <w:rPr>
          <w:rFonts w:ascii="SimSun" w:hAnsi="SimSun" w:hint="eastAsia"/>
          <w:sz w:val="21"/>
          <w:szCs w:val="21"/>
        </w:rPr>
        <w:t>，向知识产权局、全印度的高校和研究机构及其他发展中国家提供专利信息和其他科技信息。通过拟设印度办事处大力提供技术支持，藉由办事处的专家比从总部派遣专家更能节省成本。</w:t>
      </w:r>
    </w:p>
    <w:p w:rsidR="00D449C5"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驻外办事处在开展能力建设活动方面将能为WIPO节约大量成本，例如组织会议、培训研讨会、WIPO暑期班、专利或商标审查员技术培训以及在印度专利局进行研究访问和培训。这将使WIPO的预算要求尤其是差旅和其他后勤安排的预算降低</w:t>
      </w:r>
    </w:p>
    <w:p w:rsidR="00D449C5" w:rsidRPr="00E5174B" w:rsidRDefault="00F37BD6"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拟设印度办事处的目标</w:t>
      </w:r>
    </w:p>
    <w:p w:rsidR="00B91C3B" w:rsidRPr="009D5469" w:rsidRDefault="00F37BD6" w:rsidP="00E5174B">
      <w:pPr>
        <w:pStyle w:val="ONUME"/>
        <w:tabs>
          <w:tab w:val="clear" w:pos="567"/>
        </w:tabs>
        <w:overflowPunct w:val="0"/>
        <w:adjustRightInd w:val="0"/>
        <w:spacing w:afterLines="50" w:after="120" w:line="340" w:lineRule="atLeast"/>
        <w:jc w:val="both"/>
        <w:rPr>
          <w:rFonts w:ascii="SimSun" w:hAnsi="SimSun"/>
          <w:kern w:val="2"/>
          <w:sz w:val="21"/>
        </w:rPr>
      </w:pPr>
      <w:r w:rsidRPr="009A6D4C">
        <w:rPr>
          <w:rFonts w:ascii="SimSun" w:hAnsi="SimSun" w:cs="SimSun" w:hint="eastAsia"/>
          <w:sz w:val="21"/>
          <w:szCs w:val="21"/>
        </w:rPr>
        <w:t>拟设印度办事处的目标如下：</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CD6A66">
        <w:rPr>
          <w:rFonts w:asciiTheme="minorEastAsia" w:eastAsiaTheme="minorEastAsia" w:hAnsiTheme="minorEastAsia" w:hint="eastAsia"/>
          <w:sz w:val="21"/>
          <w:szCs w:val="21"/>
        </w:rPr>
        <w:t>推广</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的全球服务，如PCT和马德里体系，并为在未来几年加入其他体系与政府协调工作；</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ii</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提供高效和及时的服务给PCT、马德里体系、</w:t>
      </w:r>
      <w:r w:rsidRPr="00CD6A66">
        <w:rPr>
          <w:rFonts w:asciiTheme="minorEastAsia" w:eastAsiaTheme="minorEastAsia" w:hAnsiTheme="minorEastAsia"/>
          <w:sz w:val="21"/>
          <w:szCs w:val="21"/>
        </w:rPr>
        <w:t>PATENTSCOPE</w:t>
      </w:r>
      <w:r w:rsidRPr="00CD6A66">
        <w:rPr>
          <w:rFonts w:asciiTheme="minorEastAsia" w:eastAsiaTheme="minorEastAsia" w:hAnsiTheme="minorEastAsia" w:hint="eastAsia"/>
          <w:sz w:val="21"/>
          <w:szCs w:val="21"/>
        </w:rPr>
        <w:t>等全球数据库以及WIPO仲裁与调解中心服务的用户和申请人；</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lastRenderedPageBreak/>
        <w:t>(</w:t>
      </w:r>
      <w:r w:rsidRPr="00CD6A66">
        <w:rPr>
          <w:rFonts w:asciiTheme="minorEastAsia" w:eastAsiaTheme="minorEastAsia" w:hAnsiTheme="minorEastAsia"/>
          <w:sz w:val="21"/>
          <w:szCs w:val="21"/>
        </w:rPr>
        <w:t>iii</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与产业政策与推广部（DIPP）、印度知识产权局包括负责专利、外观设计、商标和地理标志兼版权注册的局长、印度产业界、商行、产业协会和商会合作，开发并推广</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的全球伙伴项目，如</w:t>
      </w:r>
      <w:r w:rsidRPr="00CD6A66">
        <w:rPr>
          <w:rFonts w:asciiTheme="minorEastAsia" w:eastAsiaTheme="minorEastAsia" w:hAnsiTheme="minorEastAsia"/>
          <w:sz w:val="21"/>
          <w:szCs w:val="21"/>
        </w:rPr>
        <w:t>WIPO GREEN</w:t>
      </w:r>
      <w:r w:rsidRPr="00CD6A66">
        <w:rPr>
          <w:rFonts w:asciiTheme="minorEastAsia" w:eastAsiaTheme="minorEastAsia" w:hAnsiTheme="minorEastAsia" w:hint="eastAsia"/>
          <w:sz w:val="21"/>
          <w:szCs w:val="21"/>
        </w:rPr>
        <w:t>和</w:t>
      </w:r>
      <w:r w:rsidRPr="00CD6A66">
        <w:rPr>
          <w:rFonts w:asciiTheme="minorEastAsia" w:eastAsiaTheme="minorEastAsia" w:hAnsiTheme="minorEastAsia"/>
          <w:sz w:val="21"/>
          <w:szCs w:val="21"/>
        </w:rPr>
        <w:t>WIPO RE：SEARCH</w:t>
      </w:r>
      <w:r w:rsidRPr="00CD6A66">
        <w:rPr>
          <w:rFonts w:asciiTheme="minorEastAsia" w:eastAsiaTheme="minorEastAsia" w:hAnsiTheme="minorEastAsia" w:hint="eastAsia"/>
          <w:sz w:val="21"/>
          <w:szCs w:val="21"/>
        </w:rPr>
        <w:t>；</w:t>
      </w:r>
    </w:p>
    <w:p w:rsidR="00A66316" w:rsidRPr="00CD6A66" w:rsidRDefault="00F37BD6" w:rsidP="00A6631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iv</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与产业政策与推广部、印度知识产权局包括负责专利、外观设计、商标和地理标志兼版权注册的局长协调，协助WIPO总部进行开发WIPO知识数据库“</w:t>
      </w:r>
      <w:r w:rsidRPr="00CD6A66">
        <w:rPr>
          <w:rFonts w:asciiTheme="minorEastAsia" w:eastAsiaTheme="minorEastAsia" w:hAnsiTheme="minorEastAsia"/>
          <w:sz w:val="21"/>
          <w:szCs w:val="21"/>
        </w:rPr>
        <w:t>IP Advantage</w:t>
      </w:r>
      <w:r w:rsidRPr="00CD6A66">
        <w:rPr>
          <w:rFonts w:asciiTheme="minorEastAsia" w:eastAsiaTheme="minorEastAsia" w:hAnsiTheme="minorEastAsia" w:hint="eastAsia"/>
          <w:sz w:val="21"/>
          <w:szCs w:val="21"/>
        </w:rPr>
        <w:t>”的活动；</w:t>
      </w:r>
    </w:p>
    <w:p w:rsidR="00A66316" w:rsidRPr="00CD6A66" w:rsidRDefault="00A66316" w:rsidP="00A6631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(v)</w:t>
      </w:r>
      <w:r w:rsidRPr="00CD6A66">
        <w:rPr>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与拉吉夫</w:t>
      </w:r>
      <w:r w:rsidRPr="00CD6A66">
        <w:rPr>
          <w:rStyle w:val="None"/>
          <w:rFonts w:asciiTheme="minorEastAsia" w:eastAsiaTheme="minorEastAsia" w:hAnsiTheme="minorEastAsia" w:cs="Microsoft YaHei"/>
          <w:sz w:val="21"/>
          <w:szCs w:val="21"/>
        </w:rPr>
        <w:t>·</w:t>
      </w:r>
      <w:r w:rsidRPr="00CD6A66">
        <w:rPr>
          <w:rStyle w:val="None"/>
          <w:rFonts w:asciiTheme="minorEastAsia" w:eastAsiaTheme="minorEastAsia" w:hAnsiTheme="minorEastAsia" w:cs="Microsoft YaHei" w:hint="eastAsia"/>
          <w:sz w:val="21"/>
          <w:szCs w:val="21"/>
        </w:rPr>
        <w:t>甘地国家知识产权管理研究所</w:t>
      </w:r>
      <w:r w:rsidRPr="00CD6A66">
        <w:rPr>
          <w:rStyle w:val="None"/>
          <w:rFonts w:asciiTheme="minorEastAsia" w:eastAsiaTheme="minorEastAsia" w:hAnsiTheme="minorEastAsia" w:cs="Microsoft YaHei"/>
          <w:sz w:val="21"/>
          <w:szCs w:val="21"/>
        </w:rPr>
        <w:t>（RGNIIPM）</w:t>
      </w:r>
      <w:r w:rsidRPr="00CD6A66">
        <w:rPr>
          <w:rStyle w:val="None"/>
          <w:rFonts w:asciiTheme="minorEastAsia" w:eastAsiaTheme="minorEastAsia" w:hAnsiTheme="minorEastAsia" w:cs="Microsoft YaHei" w:hint="eastAsia"/>
          <w:sz w:val="21"/>
          <w:szCs w:val="21"/>
        </w:rPr>
        <w:t>合作推广WIPO学院的活动，以使包括中亚在内整个区域的知识产权局获益，以及发展人力资源和开发能力建设活动。</w:t>
      </w:r>
    </w:p>
    <w:p w:rsidR="00A66316"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Fonts w:asciiTheme="minorEastAsia" w:eastAsiaTheme="minorEastAsia" w:hAnsiTheme="minorEastAsia" w:hint="eastAsia"/>
          <w:sz w:val="21"/>
          <w:szCs w:val="21"/>
        </w:rPr>
        <w:t>(vi)</w:t>
      </w:r>
      <w:r w:rsidRPr="00CD6A66">
        <w:rPr>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与联合国驻在印度的机构合作组织外联方案活动，作为机构间合作的一部分；</w:t>
      </w:r>
    </w:p>
    <w:p w:rsidR="00A66316"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Style w:val="None"/>
          <w:rFonts w:asciiTheme="minorEastAsia" w:eastAsiaTheme="minorEastAsia" w:hAnsiTheme="minorEastAsia" w:hint="eastAsia"/>
          <w:sz w:val="21"/>
          <w:szCs w:val="21"/>
        </w:rPr>
        <w:t>(vii)</w:t>
      </w:r>
      <w:r w:rsidRPr="00CD6A66">
        <w:rPr>
          <w:rStyle w:val="None"/>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帮助总部与印度的知识产权专家和政策制定者协调，以便通过让专家参会，分享印度利用知识产权制度促进创新的经验；以及</w:t>
      </w:r>
    </w:p>
    <w:p w:rsidR="00D449C5"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Style w:val="None"/>
          <w:rFonts w:asciiTheme="minorEastAsia" w:eastAsiaTheme="minorEastAsia" w:hAnsiTheme="minorEastAsia" w:hint="eastAsia"/>
          <w:sz w:val="21"/>
          <w:szCs w:val="21"/>
        </w:rPr>
        <w:t>(viii)</w:t>
      </w:r>
      <w:r w:rsidRPr="00CD6A66">
        <w:rPr>
          <w:rStyle w:val="None"/>
          <w:rFonts w:asciiTheme="minorEastAsia" w:eastAsiaTheme="minorEastAsia" w:hAnsiTheme="minorEastAsia" w:cs="Microsoft YaHei" w:hint="eastAsia"/>
          <w:sz w:val="21"/>
          <w:szCs w:val="21"/>
        </w:rPr>
        <w:t>在所分配到的时间内支持</w:t>
      </w:r>
      <w:r w:rsidRPr="00CD6A66">
        <w:rPr>
          <w:rStyle w:val="None"/>
          <w:rFonts w:asciiTheme="minorEastAsia" w:eastAsiaTheme="minorEastAsia" w:hAnsiTheme="minorEastAsia" w:cs="Microsoft YaHei"/>
          <w:sz w:val="21"/>
          <w:szCs w:val="21"/>
        </w:rPr>
        <w:t>WIPO</w:t>
      </w:r>
      <w:r w:rsidRPr="00CD6A66">
        <w:rPr>
          <w:rStyle w:val="None"/>
          <w:rFonts w:asciiTheme="minorEastAsia" w:eastAsiaTheme="minorEastAsia" w:hAnsiTheme="minorEastAsia" w:cs="Microsoft YaHei" w:hint="eastAsia"/>
          <w:sz w:val="21"/>
          <w:szCs w:val="21"/>
        </w:rPr>
        <w:t>的</w:t>
      </w:r>
      <w:r w:rsidRPr="00CD6A66">
        <w:rPr>
          <w:rStyle w:val="None"/>
          <w:rFonts w:asciiTheme="minorEastAsia" w:eastAsiaTheme="minorEastAsia" w:hAnsiTheme="minorEastAsia" w:cs="Microsoft YaHei"/>
          <w:sz w:val="21"/>
          <w:szCs w:val="21"/>
        </w:rPr>
        <w:t>24</w:t>
      </w:r>
      <w:r w:rsidRPr="00CD6A66">
        <w:rPr>
          <w:rStyle w:val="None"/>
          <w:rFonts w:asciiTheme="minorEastAsia" w:eastAsiaTheme="minorEastAsia" w:hAnsiTheme="minorEastAsia" w:cs="Microsoft YaHei" w:hint="eastAsia"/>
          <w:sz w:val="21"/>
          <w:szCs w:val="21"/>
        </w:rPr>
        <w:t>小时客户服务。</w:t>
      </w:r>
    </w:p>
    <w:p w:rsidR="00B91C3B" w:rsidRPr="00E5174B" w:rsidRDefault="00A66316"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WIPO战略目标与拟设印度办事处目标之间的关联</w:t>
      </w:r>
      <w:r w:rsidR="009D5469" w:rsidRPr="00E5174B">
        <w:rPr>
          <w:rFonts w:ascii="SimSun" w:hAnsi="SimSun" w:cs="SimSun" w:hint="eastAsia"/>
          <w:kern w:val="2"/>
          <w:sz w:val="21"/>
          <w:szCs w:val="22"/>
          <w:u w:val="single"/>
        </w:rPr>
        <w:t>：</w:t>
      </w:r>
    </w:p>
    <w:p w:rsidR="00B91C3B" w:rsidRPr="009D5469" w:rsidRDefault="00B91C3B" w:rsidP="00B91C3B">
      <w:pPr>
        <w:keepNext/>
        <w:keepLines/>
        <w:ind w:left="1440"/>
        <w:rPr>
          <w:rFonts w:ascii="SimSun" w:hAnsi="SimSun"/>
          <w:kern w:val="2"/>
          <w:sz w:val="21"/>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hint="eastAsia"/>
                <w:sz w:val="21"/>
                <w:szCs w:val="18"/>
              </w:rPr>
              <w:t>WIPO</w:t>
            </w:r>
            <w:r w:rsidRPr="00D449C5">
              <w:rPr>
                <w:rStyle w:val="None"/>
                <w:rFonts w:ascii="SimSun" w:hAnsi="SimSun" w:cs="SimSun" w:hint="eastAsia"/>
                <w:sz w:val="21"/>
                <w:szCs w:val="18"/>
              </w:rPr>
              <w:t>战略目标</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拟设印度办事处的目标</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二、</w:t>
            </w:r>
            <w:r w:rsidRPr="00D449C5">
              <w:rPr>
                <w:rFonts w:ascii="SimSun" w:hAnsi="SimSun" w:cs="SimSun" w:hint="eastAsia"/>
                <w:sz w:val="21"/>
                <w:szCs w:val="18"/>
              </w:rPr>
              <w:t>成为全球知识产权服务的首要提供者</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三、</w:t>
            </w:r>
            <w:r w:rsidRPr="00D449C5">
              <w:rPr>
                <w:rFonts w:ascii="SimSun" w:hAnsi="SimSun" w:cs="SimSun" w:hint="eastAsia"/>
                <w:sz w:val="21"/>
                <w:szCs w:val="18"/>
              </w:rPr>
              <w:t>为利用知识产权促进发展提供便利</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七、</w:t>
            </w:r>
            <w:r w:rsidRPr="00D449C5">
              <w:rPr>
                <w:rFonts w:ascii="SimSun" w:hAnsi="SimSun" w:cs="SimSun" w:hint="eastAsia"/>
                <w:sz w:val="21"/>
                <w:szCs w:val="18"/>
              </w:rPr>
              <w:t>根据全球政策主题处理知识产权问题</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八、</w:t>
            </w:r>
            <w:r w:rsidRPr="00D449C5">
              <w:rPr>
                <w:rFonts w:ascii="SimSun" w:hAnsi="SimSun" w:cs="SimSun" w:hint="eastAsia"/>
                <w:sz w:val="21"/>
                <w:szCs w:val="18"/>
              </w:rPr>
              <w:t>在</w:t>
            </w:r>
            <w:r w:rsidRPr="00D449C5">
              <w:rPr>
                <w:rFonts w:ascii="SimSun" w:hAnsi="SimSun"/>
                <w:sz w:val="21"/>
                <w:szCs w:val="18"/>
              </w:rPr>
              <w:t>WIPO</w:t>
            </w:r>
            <w:r w:rsidRPr="00D449C5">
              <w:rPr>
                <w:rFonts w:ascii="SimSun" w:hAnsi="SimSun" w:cs="SimSun" w:hint="eastAsia"/>
                <w:sz w:val="21"/>
                <w:szCs w:val="18"/>
              </w:rPr>
              <w:t>、其成员国和所有利益攸关者之间</w:t>
            </w:r>
          </w:p>
          <w:p w:rsidR="00A66316" w:rsidRPr="00D449C5" w:rsidRDefault="00A66316" w:rsidP="00A66316">
            <w:pPr>
              <w:rPr>
                <w:rFonts w:ascii="SimSun" w:hAnsi="SimSun"/>
                <w:sz w:val="21"/>
                <w:szCs w:val="18"/>
              </w:rPr>
            </w:pPr>
            <w:r w:rsidRPr="00D449C5">
              <w:rPr>
                <w:rFonts w:ascii="SimSun" w:hAnsi="SimSun" w:cs="SimSun" w:hint="eastAsia"/>
                <w:sz w:val="21"/>
                <w:szCs w:val="18"/>
              </w:rPr>
              <w:t>建立敏感的交流关系</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四、</w:t>
            </w:r>
            <w:r w:rsidRPr="00D449C5">
              <w:rPr>
                <w:rFonts w:ascii="SimSun" w:hAnsi="SimSun" w:cs="SimSun" w:hint="eastAsia"/>
                <w:sz w:val="21"/>
                <w:szCs w:val="18"/>
              </w:rPr>
              <w:t>协调并发展全球知识产权基础设施</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bl>
    <w:p w:rsidR="00B91C3B" w:rsidRPr="009D5469" w:rsidRDefault="00B91C3B" w:rsidP="00B91C3B">
      <w:pPr>
        <w:spacing w:after="240"/>
        <w:rPr>
          <w:rFonts w:ascii="SimSun" w:hAnsi="SimSun"/>
          <w:kern w:val="2"/>
          <w:sz w:val="21"/>
          <w:szCs w:val="22"/>
        </w:rPr>
      </w:pP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A0DB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C934AA" w:rsidP="00E5174B">
      <w:pPr>
        <w:pStyle w:val="ONUME"/>
        <w:tabs>
          <w:tab w:val="clear" w:pos="567"/>
        </w:tabs>
        <w:overflowPunct w:val="0"/>
        <w:adjustRightInd w:val="0"/>
        <w:spacing w:afterLines="50" w:after="120" w:line="340" w:lineRule="atLeast"/>
        <w:jc w:val="both"/>
        <w:rPr>
          <w:rFonts w:ascii="SimSun" w:hAnsi="SimSun"/>
          <w:sz w:val="21"/>
          <w:szCs w:val="22"/>
        </w:rPr>
      </w:pPr>
      <w:r w:rsidRPr="0043283D">
        <w:rPr>
          <w:rFonts w:ascii="SimSun" w:hAnsi="SimSun" w:hint="eastAsia"/>
          <w:sz w:val="21"/>
          <w:szCs w:val="21"/>
        </w:rPr>
        <w:t>在印度设立WIPO驻外办事处将以协调的方式为服务计划的提供创造附加值，使之效率更高、效果更好。拟设驻外办事处将作为补充，帮助WIPO日内瓦总部开展工作。实现这一点时也应铭记，不重复工作，并且可优化WIPO资源。办事处将实现成本节约，并回应印度对知识产权服务不断增长的需求，由此在本国的整体经济发展中发挥重要作用，并增强印度的知识型经济。拟议办事处将成为WIPO成果管理制</w:t>
      </w:r>
      <w:r>
        <w:rPr>
          <w:rFonts w:ascii="SimSun" w:hAnsi="SimSun" w:hint="eastAsia"/>
          <w:sz w:val="21"/>
          <w:szCs w:val="21"/>
        </w:rPr>
        <w:t>（</w:t>
      </w:r>
      <w:r w:rsidRPr="0043283D">
        <w:rPr>
          <w:rFonts w:ascii="SimSun" w:hAnsi="SimSun" w:hint="eastAsia"/>
          <w:sz w:val="21"/>
          <w:szCs w:val="21"/>
        </w:rPr>
        <w:t>RBM</w:t>
      </w:r>
      <w:r>
        <w:rPr>
          <w:rFonts w:ascii="SimSun" w:hAnsi="SimSun" w:hint="eastAsia"/>
          <w:sz w:val="21"/>
          <w:szCs w:val="21"/>
        </w:rPr>
        <w:t>）</w:t>
      </w:r>
      <w:r w:rsidRPr="0043283D">
        <w:rPr>
          <w:rFonts w:ascii="SimSun" w:hAnsi="SimSun" w:hint="eastAsia"/>
          <w:sz w:val="21"/>
          <w:szCs w:val="21"/>
        </w:rPr>
        <w:t>和监管框架的一部分。</w:t>
      </w:r>
    </w:p>
    <w:p w:rsidR="00D449C5" w:rsidRPr="009D5469" w:rsidRDefault="00C934AA"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125429">
        <w:rPr>
          <w:rFonts w:ascii="SimSun" w:hAnsi="SimSun" w:hint="eastAsia"/>
          <w:sz w:val="21"/>
          <w:szCs w:val="21"/>
        </w:rPr>
        <w:t>在印度设立新的驻外办事处将为WIPO目前的机构设置增添巨大价值，具体优势如下：</w:t>
      </w:r>
    </w:p>
    <w:p w:rsidR="00C934AA" w:rsidRPr="00C934AA" w:rsidRDefault="00C934AA" w:rsidP="00C934AA">
      <w:pPr>
        <w:pStyle w:val="ListParagraph"/>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它将与印度当地的利益攸关者建立强有力的沟通联系，偶尔的出差访问不可能达到同等水平。拟设印度办事处将为WIPO与印度政府间密切合作以满足WIPO服务用户需求作出贡献；</w:t>
      </w:r>
    </w:p>
    <w:p w:rsidR="00C934AA" w:rsidRPr="00C934AA" w:rsidRDefault="00C934AA" w:rsidP="00C934AA">
      <w:pPr>
        <w:pStyle w:val="ListParagraph"/>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它将帮助显著节省差旅开支，因为WIPO总部不必再为在印度开展多种活动派出那么多差旅队伍；</w:t>
      </w:r>
    </w:p>
    <w:p w:rsidR="00C934AA" w:rsidRPr="00C934AA" w:rsidRDefault="00C934AA" w:rsidP="00C934AA">
      <w:pPr>
        <w:pStyle w:val="ListParagraph"/>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iii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拟设印度办事处将帮助举办更多活动，如研讨会和讲习班，以此加强印度的能力建设和技术援助提供活动；</w:t>
      </w:r>
    </w:p>
    <w:p w:rsidR="00C934AA" w:rsidRPr="00C934AA" w:rsidRDefault="00C934AA" w:rsidP="00C934AA">
      <w:pPr>
        <w:pStyle w:val="ListParagraph"/>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lastRenderedPageBreak/>
        <w:t>(</w:t>
      </w:r>
      <w:r w:rsidRPr="00C934AA">
        <w:rPr>
          <w:rFonts w:ascii="SimSun" w:hAnsi="SimSun"/>
          <w:sz w:val="21"/>
          <w:szCs w:val="21"/>
        </w:rPr>
        <w:t>iv</w:t>
      </w:r>
      <w:r w:rsidRPr="00C934AA">
        <w:rPr>
          <w:rFonts w:ascii="SimSun" w:hAnsi="SimSun" w:hint="eastAsia"/>
          <w:sz w:val="21"/>
          <w:szCs w:val="21"/>
        </w:rPr>
        <w:t>)</w:t>
      </w:r>
      <w:r w:rsidRPr="00C934AA">
        <w:rPr>
          <w:rFonts w:ascii="SimSun" w:hAnsi="SimSun"/>
          <w:sz w:val="21"/>
          <w:szCs w:val="21"/>
        </w:rPr>
        <w:tab/>
        <w:t>WIPO</w:t>
      </w:r>
      <w:r w:rsidRPr="00C934AA">
        <w:rPr>
          <w:rFonts w:ascii="SimSun" w:hAnsi="SimSun" w:hint="eastAsia"/>
          <w:sz w:val="21"/>
          <w:szCs w:val="21"/>
        </w:rPr>
        <w:t>将实现更全面、全球性的地理覆盖，其全球客户服务网络将得到加强，这是单靠WIPO总部无法实现的；以及</w:t>
      </w:r>
    </w:p>
    <w:p w:rsidR="00D449C5" w:rsidRDefault="00C934AA" w:rsidP="00C934AA">
      <w:pPr>
        <w:pStyle w:val="ListParagraph"/>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v</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拟设印度办事处将成为WIPO全球办事处网络的一部分，为印度海内外的利益攸关者提供及时高效的服务。</w:t>
      </w:r>
    </w:p>
    <w:p w:rsidR="002073FD" w:rsidRDefault="002073FD" w:rsidP="00E5174B">
      <w:pPr>
        <w:pStyle w:val="ONUME"/>
        <w:tabs>
          <w:tab w:val="clear" w:pos="567"/>
        </w:tabs>
        <w:overflowPunct w:val="0"/>
        <w:adjustRightInd w:val="0"/>
        <w:spacing w:afterLines="50" w:after="120" w:line="340" w:lineRule="atLeast"/>
        <w:jc w:val="both"/>
        <w:rPr>
          <w:rFonts w:ascii="SimSun" w:hAnsi="SimSun"/>
          <w:sz w:val="21"/>
          <w:szCs w:val="21"/>
        </w:rPr>
      </w:pPr>
      <w:r w:rsidRPr="00125429">
        <w:rPr>
          <w:rFonts w:ascii="SimSun" w:hAnsi="SimSun" w:hint="eastAsia"/>
          <w:sz w:val="21"/>
          <w:szCs w:val="21"/>
        </w:rPr>
        <w:t>总体而言，WIPO在印度的服务对象将会更加满意，工作业绩会更加突出，由此提高WIPO作为全球知识产权服务首要提供者的形象和声誉。</w:t>
      </w:r>
    </w:p>
    <w:p w:rsidR="002073FD" w:rsidRDefault="002073FD" w:rsidP="00E5174B">
      <w:pPr>
        <w:pStyle w:val="ONUME"/>
        <w:tabs>
          <w:tab w:val="clear" w:pos="567"/>
        </w:tabs>
        <w:overflowPunct w:val="0"/>
        <w:adjustRightInd w:val="0"/>
        <w:spacing w:afterLines="50" w:after="120" w:line="340" w:lineRule="atLeast"/>
        <w:jc w:val="both"/>
        <w:rPr>
          <w:rFonts w:ascii="SimSun" w:hAnsi="SimSun"/>
          <w:sz w:val="21"/>
          <w:szCs w:val="21"/>
        </w:rPr>
      </w:pPr>
      <w:r w:rsidRPr="00125429">
        <w:rPr>
          <w:rFonts w:ascii="SimSun" w:hAnsi="SimSun" w:hint="eastAsia"/>
          <w:sz w:val="21"/>
          <w:szCs w:val="21"/>
        </w:rPr>
        <w:t>印度与WIPO日内瓦总部的时差为冬季四个半小时、夏季三个半小时。因此，两个地点之间的标准工作日时间重合不多。这对于WIPO总部与印度机构之间实现及时高效的通信造成了一大障碍。在印度设立WIPO办事处将解决WIPO与印度互动的这一重要障碍。</w:t>
      </w:r>
    </w:p>
    <w:p w:rsidR="00D449C5" w:rsidRPr="009D5469" w:rsidRDefault="002073FD" w:rsidP="00E5174B">
      <w:pPr>
        <w:pStyle w:val="ONUME"/>
        <w:tabs>
          <w:tab w:val="clear" w:pos="567"/>
        </w:tabs>
        <w:overflowPunct w:val="0"/>
        <w:adjustRightInd w:val="0"/>
        <w:spacing w:afterLines="50" w:after="120" w:line="340" w:lineRule="atLeast"/>
        <w:jc w:val="both"/>
        <w:rPr>
          <w:rFonts w:ascii="SimSun" w:hAnsi="SimSun"/>
          <w:sz w:val="21"/>
        </w:rPr>
      </w:pPr>
      <w:r w:rsidRPr="00125429">
        <w:rPr>
          <w:rFonts w:ascii="SimSun" w:hAnsi="SimSun" w:hint="eastAsia"/>
          <w:sz w:val="21"/>
          <w:szCs w:val="21"/>
        </w:rPr>
        <w:t>目前，亚太地区只有一个驻外办事处，即新加坡办事处。这个办事处不会使印度直接受益，因为它至多只迎合东盟地区的需求。随着印度对知识产权服务的需求急剧增加，拟设印度办事处将能充分发挥地利，满足印度对知识产权制度不断增长的需求，并为WIPO的总体目标带来益处。</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F85B4A">
        <w:rPr>
          <w:rFonts w:ascii="SimHei" w:eastAsia="SimHei" w:hAnsi="SimHei"/>
          <w:bCs/>
          <w:smallCaps/>
          <w:sz w:val="21"/>
          <w:szCs w:val="21"/>
          <w:vertAlign w:val="superscript"/>
        </w:rPr>
        <w:footnoteReference w:id="9"/>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E5174B" w:rsidRDefault="00AF40C1"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财务可持续性/预算中立性</w:t>
      </w:r>
    </w:p>
    <w:p w:rsidR="00AF40C1" w:rsidRDefault="00AF40C1" w:rsidP="00E5174B">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印度政府为拟设办事处免费提供适宜的房舍，还将提供基本家具与设备[</w:t>
      </w:r>
      <w:r w:rsidRPr="0015568C">
        <w:rPr>
          <w:rFonts w:ascii="KaiTi" w:eastAsia="KaiTi" w:hAnsi="KaiTi" w:hint="eastAsia"/>
          <w:sz w:val="21"/>
          <w:szCs w:val="21"/>
        </w:rPr>
        <w:t>以及</w:t>
      </w:r>
      <w:r>
        <w:rPr>
          <w:rFonts w:ascii="SimSun" w:hAnsi="SimSun" w:hint="eastAsia"/>
          <w:sz w:val="21"/>
          <w:szCs w:val="21"/>
        </w:rPr>
        <w:t>]办事处运作所需的妥善安保安排。一旦作出</w:t>
      </w:r>
      <w:r w:rsidRPr="00125429">
        <w:rPr>
          <w:rFonts w:ascii="SimSun" w:hAnsi="SimSun" w:hint="eastAsia"/>
          <w:sz w:val="21"/>
          <w:szCs w:val="21"/>
        </w:rPr>
        <w:t>在印度设立办事处的决定，还将考虑授予与其他联合国专门机构类似的特权与豁免。</w:t>
      </w:r>
    </w:p>
    <w:p w:rsidR="00D449C5" w:rsidRDefault="00AF40C1" w:rsidP="00E5174B">
      <w:pPr>
        <w:pStyle w:val="ONUME"/>
        <w:tabs>
          <w:tab w:val="clear" w:pos="567"/>
        </w:tabs>
        <w:overflowPunct w:val="0"/>
        <w:adjustRightInd w:val="0"/>
        <w:spacing w:afterLines="50" w:after="120" w:line="340" w:lineRule="atLeast"/>
        <w:jc w:val="both"/>
        <w:rPr>
          <w:rFonts w:ascii="SimSun" w:hAnsi="SimSun"/>
          <w:sz w:val="21"/>
          <w:szCs w:val="21"/>
        </w:rPr>
      </w:pPr>
      <w:r w:rsidRPr="00ED11CF">
        <w:rPr>
          <w:rFonts w:ascii="SimSun" w:hAnsi="SimSun" w:hint="eastAsia"/>
          <w:sz w:val="21"/>
          <w:szCs w:val="21"/>
        </w:rPr>
        <w:t>资源与成本节约：</w:t>
      </w:r>
      <w:r w:rsidRPr="00125429">
        <w:rPr>
          <w:rFonts w:ascii="SimSun" w:hAnsi="SimSun" w:hint="eastAsia"/>
          <w:sz w:val="21"/>
          <w:szCs w:val="21"/>
        </w:rPr>
        <w:t>在印度设立办事处的一大裨益是印度政府提供的资金和实物捐助。免费提供房舍将免除WIPO</w:t>
      </w:r>
      <w:r>
        <w:rPr>
          <w:rFonts w:ascii="SimSun" w:hAnsi="SimSun" w:hint="eastAsia"/>
          <w:sz w:val="21"/>
          <w:szCs w:val="21"/>
        </w:rPr>
        <w:t>在房舍方面的长期支出</w:t>
      </w:r>
      <w:r w:rsidRPr="00125429">
        <w:rPr>
          <w:rFonts w:ascii="SimSun" w:hAnsi="SimSun" w:hint="eastAsia"/>
          <w:sz w:val="21"/>
          <w:szCs w:val="21"/>
        </w:rPr>
        <w:t>。随后，印度将促进并与WIPO合作使办事处投入运转，并利用办事处进一步推动印度和整个地区的知识产权事业。</w:t>
      </w:r>
    </w:p>
    <w:p w:rsidR="00B91C3B" w:rsidRPr="009D5469" w:rsidRDefault="00B91C3B" w:rsidP="00B91C3B">
      <w:pPr>
        <w:ind w:left="567"/>
        <w:rPr>
          <w:rFonts w:ascii="SimSun" w:hAnsi="SimSun"/>
          <w:sz w:val="21"/>
          <w:szCs w:val="24"/>
        </w:rPr>
      </w:pPr>
    </w:p>
    <w:p w:rsidR="00B91C3B" w:rsidRPr="009D5469" w:rsidRDefault="00B91C3B" w:rsidP="00B91C3B">
      <w:pPr>
        <w:rPr>
          <w:rFonts w:ascii="SimSun" w:hAnsi="SimSun"/>
          <w:sz w:val="21"/>
          <w:szCs w:val="24"/>
        </w:rPr>
        <w:sectPr w:rsidR="00B91C3B" w:rsidRPr="009D5469" w:rsidSect="00F85B4A">
          <w:headerReference w:type="first" r:id="rId19"/>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10"/>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0C21D1" w:rsidP="007E09FD">
      <w:pPr>
        <w:keepNext/>
        <w:keepLines/>
        <w:spacing w:afterLines="50" w:after="120" w:line="340" w:lineRule="atLeast"/>
        <w:jc w:val="center"/>
        <w:rPr>
          <w:rStyle w:val="1"/>
          <w:rFonts w:ascii="SimSun" w:hAnsi="SimSun"/>
          <w:sz w:val="21"/>
          <w:szCs w:val="21"/>
        </w:rPr>
      </w:pPr>
      <w:bookmarkStart w:id="9" w:name="_Toc454522654"/>
      <w:bookmarkStart w:id="10" w:name="_Toc454547756"/>
      <w:r w:rsidRPr="00704D58">
        <w:rPr>
          <w:rStyle w:val="1"/>
          <w:rFonts w:ascii="SimSun" w:hAnsi="SimSun" w:hint="eastAsia"/>
          <w:sz w:val="21"/>
          <w:szCs w:val="21"/>
        </w:rPr>
        <w:t>伊朗（伊斯兰共和国）</w:t>
      </w:r>
      <w:bookmarkEnd w:id="9"/>
      <w:bookmarkEnd w:id="10"/>
    </w:p>
    <w:p w:rsidR="00B91C3B" w:rsidRPr="00A9523F"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Pr>
          <w:rFonts w:ascii="SimSun" w:hAnsi="SimSun" w:hint="eastAsia"/>
          <w:sz w:val="21"/>
          <w:szCs w:val="21"/>
        </w:rPr>
        <w:tab/>
      </w:r>
      <w:r w:rsidR="00B91C3B" w:rsidRPr="00A9523F">
        <w:rPr>
          <w:rFonts w:ascii="SimSun" w:hAnsi="SimSun"/>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9D5469" w:rsidRDefault="000C21D1" w:rsidP="00CA18A5">
      <w:pPr>
        <w:keepNext/>
        <w:keepLines/>
        <w:tabs>
          <w:tab w:val="left" w:pos="3780"/>
        </w:tabs>
        <w:spacing w:afterLines="50" w:after="120" w:line="340" w:lineRule="atLeast"/>
        <w:jc w:val="center"/>
        <w:rPr>
          <w:rFonts w:ascii="KaiTi" w:eastAsia="KaiTi" w:hAnsi="KaiTi"/>
          <w:sz w:val="21"/>
        </w:rPr>
      </w:pPr>
      <w:r w:rsidRPr="00704D58">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73025F">
      <w:pPr>
        <w:keepNext/>
        <w:keepLines/>
        <w:tabs>
          <w:tab w:val="left" w:pos="2880"/>
        </w:tabs>
        <w:spacing w:afterLines="50" w:after="120" w:line="340" w:lineRule="atLeast"/>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驻外办事处指导原则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任何以本国名义或经其成员国同意代表该国家集团或地区集团申请成为驻外办事处东道国的成员国，应以书面形式通知大会主席和总干事。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11"/>
      </w:r>
      <w:r w:rsidR="00D921AC" w:rsidRPr="004B5FD0">
        <w:rPr>
          <w:rFonts w:ascii="SimHei" w:eastAsia="SimHei" w:hAnsi="SimHei"/>
          <w:bCs/>
          <w:smallCaps/>
          <w:color w:val="1F497D" w:themeColor="text2"/>
          <w:sz w:val="21"/>
          <w:szCs w:val="21"/>
        </w:rPr>
        <w:t>：</w:t>
      </w:r>
    </w:p>
    <w:p w:rsidR="00411B23" w:rsidRPr="00CD6A66" w:rsidRDefault="00411B23"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由于[</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在智力创造方面的独特能力，以及伊朗伊斯兰共和国不论在地区层面还是国际层面的知识产权领域都取得了令人瞩目的成就，伊朗近些年来在该地区名列前茅。这些成就的取得在很大程度上要归功于该国对保护科技发展和智力创造的重视，这体现在“20年发展前景文件</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2020前景</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”“伊朗全面科学路线图”、以及第三、第四和第五个“五年经济发展规划”等文件中，这些文件使得学生、研究人员和大学的数目在质量和数量方面均有提高。</w:t>
      </w:r>
    </w:p>
    <w:p w:rsidR="00D449C5" w:rsidRPr="009D5469" w:rsidRDefault="00411B23"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为了实现这些目标，并实现上述文件中提到的发展和提升[</w:t>
      </w:r>
      <w:r w:rsidRPr="00DB6E16">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]知识产权的重点，伊朗伊斯兰共和国国家契约和财产登记组织</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知识产权中心</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作为工业产权注册的主管机构，以及作为伊朗伊斯兰共和国对</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的国家联络点，在公开场合和私下场合均宣传知识产权的重要性，特别是在过去的15年时间里。</w:t>
      </w:r>
    </w:p>
    <w:p w:rsidR="00F658B1" w:rsidRPr="00CD6A66" w:rsidRDefault="00F658B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在此方面，除了与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举办联合项目和活动之外，它还与科技园、各省商会、大学以及其他相关机构和单位合作，在全国各地组织了300多个讲习班和研讨会。</w:t>
      </w:r>
    </w:p>
    <w:p w:rsidR="00D449C5" w:rsidRPr="009D5469" w:rsidRDefault="00F658B1"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就此而言，必须要补充一点，那就是为了[</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的科技发展和进步，并为了从智力创造中受益，科技园在创意的商业化中发挥着重要作用，并且发展非常迅速，现在已在几乎所有的省份都成立了科技园。伊朗伊斯兰共和国国家契约和财产登记组织为了提高公私两方面的知识产权意识，除了国家知识产权培训之外，还举行国际知识产权培训，包括为阿富汗工业产权局的审查员举办的讲习班，还有最近收到塔吉克斯坦知识产权局的请求，涉及由伊朗伊斯兰共和国知识产权中心对该国知识产权局审查员进行培训。</w:t>
      </w:r>
    </w:p>
    <w:p w:rsidR="00D449C5" w:rsidRPr="009D5469" w:rsidRDefault="0096789B"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伊朗（伊斯兰共和国）与经济合作组织</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有良好合作，今年在德黑兰主办了</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知识产权协调委员会的第三届会议。在这届会议上，伊朗伊斯兰共和国提出为</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的成员国与会者以波斯文和英文举办知识产权讲习班，这一提议在</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地区规划理事会的会议上获得通过。</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lastRenderedPageBreak/>
        <w:t>考虑到上述各种活动，并考虑到伊朗伊斯兰共和国在注册和保护知识产权方面具有90多年的经验，以及伊朗在这个地区首屈一指的知识产权地位，该地区的国家对伊朗伊斯兰共和国的知识产权专业知识库都持积极态度。</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然而，由于上述各项能力和伊朗伊斯兰共和国对知识产权的宣传及发展，以及近年来显著增长的对国家和国际工业产权注册和保护的需求和申请（这点可以从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公布的数据中清楚地看到），专利、商标和工业品外观设计等申请在2013年和2014年都显著增长，伊朗的专利局和工业品外观设计局由于申请的增长率均入选</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前20名成员国名单，2014年，伊朗在该地区也位列第一。</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值得一提的是，申请量的增长是由于提高了公众的知识产权意识，在[</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树立和发展了尊重知识产权的风尚，并由于提供了强有力的法律基础设施，这包括在工业产权领域对法条和细则最新最全面的修订，在过去10年中加入了若干知识产权条约，其中包括国际注册体系，即商标国际注册马德里协定和议定书</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马德里体系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、原产地名称国际注册里斯本体系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里斯本体系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，以及最近加入的专利合作条约</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国际专利体系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此，由于申请的增长，与这些权利的利用和商业化相关的需求也相应增长，考虑到所述的这些活动，在伊朗伊斯兰共和国设立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驻外办事处，显然会促进知识产权发展，确保世界知识产权组织的目标在伊朗更快速地得到推进。</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伊朗（伊斯兰共和国）是联合国、经济合作组织（</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）、不结盟运动（</w:t>
      </w:r>
      <w:r w:rsidRPr="00CD6A66">
        <w:rPr>
          <w:rFonts w:asciiTheme="minorEastAsia" w:eastAsiaTheme="minorEastAsia" w:hAnsiTheme="minorEastAsia"/>
          <w:sz w:val="21"/>
          <w:szCs w:val="21"/>
        </w:rPr>
        <w:t>NAM</w:t>
      </w:r>
      <w:r w:rsidRPr="00CD6A66">
        <w:rPr>
          <w:rFonts w:asciiTheme="minorEastAsia" w:eastAsiaTheme="minorEastAsia" w:hAnsiTheme="minorEastAsia" w:hint="eastAsia"/>
          <w:sz w:val="21"/>
          <w:szCs w:val="21"/>
        </w:rPr>
        <w:t>）、伊斯兰合作组织（</w:t>
      </w:r>
      <w:r w:rsidRPr="00CD6A66">
        <w:rPr>
          <w:rFonts w:asciiTheme="minorEastAsia" w:eastAsiaTheme="minorEastAsia" w:hAnsiTheme="minorEastAsia"/>
          <w:sz w:val="21"/>
          <w:szCs w:val="21"/>
        </w:rPr>
        <w:t>OIC</w:t>
      </w:r>
      <w:r w:rsidRPr="00CD6A66">
        <w:rPr>
          <w:rFonts w:asciiTheme="minorEastAsia" w:eastAsiaTheme="minorEastAsia" w:hAnsiTheme="minorEastAsia" w:hint="eastAsia"/>
          <w:sz w:val="21"/>
          <w:szCs w:val="21"/>
        </w:rPr>
        <w:t>）和石油输出国组织（</w:t>
      </w:r>
      <w:r w:rsidRPr="00CD6A66">
        <w:rPr>
          <w:rFonts w:asciiTheme="minorEastAsia" w:eastAsiaTheme="minorEastAsia" w:hAnsiTheme="minorEastAsia"/>
          <w:sz w:val="21"/>
          <w:szCs w:val="21"/>
        </w:rPr>
        <w:t>OPEC</w:t>
      </w:r>
      <w:r w:rsidRPr="00CD6A66">
        <w:rPr>
          <w:rFonts w:asciiTheme="minorEastAsia" w:eastAsiaTheme="minorEastAsia" w:hAnsiTheme="minorEastAsia" w:hint="eastAsia"/>
          <w:sz w:val="21"/>
          <w:szCs w:val="21"/>
        </w:rPr>
        <w:t>）的创始成员。在德黑兰设立了办事处的国际组织有：联合国、联合国药物和犯罪问题办公室</w:t>
      </w:r>
      <w:r w:rsidRPr="00CD6A66">
        <w:rPr>
          <w:rFonts w:asciiTheme="minorEastAsia" w:eastAsiaTheme="minorEastAsia" w:hAnsiTheme="minorEastAsia"/>
          <w:sz w:val="21"/>
          <w:szCs w:val="21"/>
        </w:rPr>
        <w:t>（UNODC）</w:t>
      </w:r>
      <w:r w:rsidRPr="00CD6A66">
        <w:rPr>
          <w:rFonts w:asciiTheme="minorEastAsia" w:eastAsiaTheme="minorEastAsia" w:hAnsiTheme="minorEastAsia" w:hint="eastAsia"/>
          <w:sz w:val="21"/>
          <w:szCs w:val="21"/>
        </w:rPr>
        <w:t>、联合国人口基金</w:t>
      </w:r>
      <w:r w:rsidRPr="00CD6A66">
        <w:rPr>
          <w:rFonts w:asciiTheme="minorEastAsia" w:eastAsiaTheme="minorEastAsia" w:hAnsiTheme="minorEastAsia"/>
          <w:sz w:val="21"/>
          <w:szCs w:val="21"/>
        </w:rPr>
        <w:t>（UNFPA）</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文化研究所、</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秘书处、粮食及农业组织、</w:t>
      </w:r>
      <w:r w:rsidRPr="00CD6A66">
        <w:rPr>
          <w:rFonts w:asciiTheme="minorEastAsia" w:eastAsiaTheme="minorEastAsia" w:hAnsiTheme="minorEastAsia"/>
          <w:sz w:val="21"/>
          <w:szCs w:val="21"/>
        </w:rPr>
        <w:t>OIC</w:t>
      </w:r>
      <w:r w:rsidRPr="00CD6A66">
        <w:rPr>
          <w:rFonts w:asciiTheme="minorEastAsia" w:eastAsiaTheme="minorEastAsia" w:hAnsiTheme="minorEastAsia" w:hint="eastAsia"/>
          <w:sz w:val="21"/>
          <w:szCs w:val="21"/>
        </w:rPr>
        <w:t>成员国秘书处国会联盟、国际海事组织</w:t>
      </w:r>
      <w:r w:rsidRPr="00CD6A66">
        <w:rPr>
          <w:rFonts w:asciiTheme="minorEastAsia" w:eastAsiaTheme="minorEastAsia" w:hAnsiTheme="minorEastAsia"/>
          <w:sz w:val="21"/>
          <w:szCs w:val="21"/>
        </w:rPr>
        <w:t>（IM</w:t>
      </w:r>
      <w:r w:rsidRPr="00CD6A66">
        <w:rPr>
          <w:rFonts w:asciiTheme="minorEastAsia" w:eastAsiaTheme="minorEastAsia" w:hAnsiTheme="minorEastAsia" w:hint="eastAsia"/>
          <w:sz w:val="21"/>
          <w:szCs w:val="21"/>
        </w:rPr>
        <w:t>O</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、伊斯兰教育、科学和文化组织</w:t>
      </w:r>
      <w:r w:rsidRPr="00CD6A66">
        <w:rPr>
          <w:rFonts w:asciiTheme="minorEastAsia" w:eastAsiaTheme="minorEastAsia" w:hAnsiTheme="minorEastAsia"/>
          <w:sz w:val="21"/>
          <w:szCs w:val="21"/>
        </w:rPr>
        <w:t>（ISESCO）</w:t>
      </w:r>
      <w:r w:rsidRPr="00CD6A66">
        <w:rPr>
          <w:rFonts w:asciiTheme="minorEastAsia" w:eastAsiaTheme="minorEastAsia" w:hAnsiTheme="minorEastAsia" w:hint="eastAsia"/>
          <w:sz w:val="21"/>
          <w:szCs w:val="21"/>
        </w:rPr>
        <w:t>、联合国工业发展组织</w:t>
      </w:r>
      <w:r w:rsidRPr="00CD6A66">
        <w:rPr>
          <w:rFonts w:asciiTheme="minorEastAsia" w:eastAsiaTheme="minorEastAsia" w:hAnsiTheme="minorEastAsia"/>
          <w:sz w:val="21"/>
          <w:szCs w:val="21"/>
        </w:rPr>
        <w:t>（UNIDO）</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UNIDO</w:t>
      </w:r>
      <w:r w:rsidRPr="00CD6A66">
        <w:rPr>
          <w:rFonts w:asciiTheme="minorEastAsia" w:eastAsiaTheme="minorEastAsia" w:hAnsiTheme="minorEastAsia" w:hint="eastAsia"/>
          <w:sz w:val="21"/>
          <w:szCs w:val="21"/>
        </w:rPr>
        <w:t>南南中心、联合国信息中心</w:t>
      </w:r>
      <w:r w:rsidRPr="00CD6A66">
        <w:rPr>
          <w:rFonts w:asciiTheme="minorEastAsia" w:eastAsiaTheme="minorEastAsia" w:hAnsiTheme="minorEastAsia"/>
          <w:sz w:val="21"/>
          <w:szCs w:val="21"/>
        </w:rPr>
        <w:t>（UNIC）</w:t>
      </w:r>
      <w:r w:rsidRPr="00CD6A66">
        <w:rPr>
          <w:rFonts w:asciiTheme="minorEastAsia" w:eastAsiaTheme="minorEastAsia" w:hAnsiTheme="minorEastAsia" w:hint="eastAsia"/>
          <w:sz w:val="21"/>
          <w:szCs w:val="21"/>
        </w:rPr>
        <w:t>、联合国开发计划署</w:t>
      </w:r>
      <w:r w:rsidRPr="00CD6A66">
        <w:rPr>
          <w:rFonts w:asciiTheme="minorEastAsia" w:eastAsiaTheme="minorEastAsia" w:hAnsiTheme="minorEastAsia"/>
          <w:sz w:val="21"/>
          <w:szCs w:val="21"/>
        </w:rPr>
        <w:t>（UNDP）</w:t>
      </w:r>
      <w:r w:rsidRPr="00CD6A66">
        <w:rPr>
          <w:rFonts w:asciiTheme="minorEastAsia" w:eastAsiaTheme="minorEastAsia" w:hAnsiTheme="minorEastAsia" w:hint="eastAsia"/>
          <w:sz w:val="21"/>
          <w:szCs w:val="21"/>
        </w:rPr>
        <w:t>、联合国儿童基金会</w:t>
      </w:r>
      <w:r w:rsidRPr="00CD6A66">
        <w:rPr>
          <w:rFonts w:asciiTheme="minorEastAsia" w:eastAsiaTheme="minorEastAsia" w:hAnsiTheme="minorEastAsia"/>
          <w:sz w:val="21"/>
          <w:szCs w:val="21"/>
        </w:rPr>
        <w:t>（UNICEF）</w:t>
      </w:r>
      <w:r w:rsidRPr="00CD6A66">
        <w:rPr>
          <w:rFonts w:asciiTheme="minorEastAsia" w:eastAsiaTheme="minorEastAsia" w:hAnsiTheme="minorEastAsia" w:hint="eastAsia"/>
          <w:sz w:val="21"/>
          <w:szCs w:val="21"/>
        </w:rPr>
        <w:t>、联合国人居署</w:t>
      </w:r>
      <w:r w:rsidRPr="00CD6A66">
        <w:rPr>
          <w:rFonts w:asciiTheme="minorEastAsia" w:eastAsiaTheme="minorEastAsia" w:hAnsiTheme="minorEastAsia"/>
          <w:sz w:val="21"/>
          <w:szCs w:val="21"/>
        </w:rPr>
        <w:t>（UN-Habitat）</w:t>
      </w:r>
      <w:r w:rsidRPr="00CD6A66">
        <w:rPr>
          <w:rFonts w:asciiTheme="minorEastAsia" w:eastAsiaTheme="minorEastAsia" w:hAnsiTheme="minorEastAsia" w:hint="eastAsia"/>
          <w:sz w:val="21"/>
          <w:szCs w:val="21"/>
        </w:rPr>
        <w:t>、联合国教科文组织</w:t>
      </w:r>
      <w:r w:rsidRPr="00CD6A66">
        <w:rPr>
          <w:rFonts w:asciiTheme="minorEastAsia" w:eastAsiaTheme="minorEastAsia" w:hAnsiTheme="minorEastAsia"/>
          <w:sz w:val="21"/>
          <w:szCs w:val="21"/>
        </w:rPr>
        <w:t>（UNESCO）</w:t>
      </w:r>
      <w:r w:rsidRPr="00CD6A66">
        <w:rPr>
          <w:rFonts w:asciiTheme="minorEastAsia" w:eastAsiaTheme="minorEastAsia" w:hAnsiTheme="minorEastAsia" w:hint="eastAsia"/>
          <w:sz w:val="21"/>
          <w:szCs w:val="21"/>
        </w:rPr>
        <w:t>、联合国阿富汗援助团</w:t>
      </w:r>
      <w:r w:rsidRPr="00CD6A66">
        <w:rPr>
          <w:rFonts w:asciiTheme="minorEastAsia" w:eastAsiaTheme="minorEastAsia" w:hAnsiTheme="minorEastAsia"/>
          <w:sz w:val="21"/>
          <w:szCs w:val="21"/>
        </w:rPr>
        <w:t>（UNAMA）</w:t>
      </w:r>
      <w:r w:rsidRPr="00CD6A66">
        <w:rPr>
          <w:rFonts w:asciiTheme="minorEastAsia" w:eastAsiaTheme="minorEastAsia" w:hAnsiTheme="minorEastAsia" w:hint="eastAsia"/>
          <w:sz w:val="21"/>
          <w:szCs w:val="21"/>
        </w:rPr>
        <w:t>、联合国伊拉克援助团</w:t>
      </w:r>
      <w:r w:rsidRPr="00CD6A66">
        <w:rPr>
          <w:rFonts w:asciiTheme="minorEastAsia" w:eastAsiaTheme="minorEastAsia" w:hAnsiTheme="minorEastAsia"/>
          <w:sz w:val="21"/>
          <w:szCs w:val="21"/>
        </w:rPr>
        <w:t>（UNAMI）</w:t>
      </w:r>
      <w:r w:rsidRPr="00CD6A66">
        <w:rPr>
          <w:rFonts w:asciiTheme="minorEastAsia" w:eastAsiaTheme="minorEastAsia" w:hAnsiTheme="minorEastAsia" w:hint="eastAsia"/>
          <w:sz w:val="21"/>
          <w:szCs w:val="21"/>
        </w:rPr>
        <w:t>、世界粮食计划署</w:t>
      </w:r>
      <w:r w:rsidRPr="00CD6A66">
        <w:rPr>
          <w:rFonts w:asciiTheme="minorEastAsia" w:eastAsiaTheme="minorEastAsia" w:hAnsiTheme="minorEastAsia"/>
          <w:sz w:val="21"/>
          <w:szCs w:val="21"/>
        </w:rPr>
        <w:t>（WFP）</w:t>
      </w:r>
      <w:r w:rsidRPr="00CD6A66">
        <w:rPr>
          <w:rFonts w:asciiTheme="minorEastAsia" w:eastAsiaTheme="minorEastAsia" w:hAnsiTheme="minorEastAsia" w:hint="eastAsia"/>
          <w:sz w:val="21"/>
          <w:szCs w:val="21"/>
        </w:rPr>
        <w:t>、世界卫生组织（WHO）、联合国难民事务高级专员办事处</w:t>
      </w:r>
      <w:r w:rsidRPr="00CD6A66">
        <w:rPr>
          <w:rFonts w:asciiTheme="minorEastAsia" w:eastAsiaTheme="minorEastAsia" w:hAnsiTheme="minorEastAsia"/>
          <w:sz w:val="21"/>
          <w:szCs w:val="21"/>
        </w:rPr>
        <w:t>（UNHCR）</w:t>
      </w:r>
      <w:r w:rsidRPr="00CD6A66">
        <w:rPr>
          <w:rFonts w:asciiTheme="minorEastAsia" w:eastAsiaTheme="minorEastAsia" w:hAnsiTheme="minorEastAsia" w:hint="eastAsia"/>
          <w:sz w:val="21"/>
          <w:szCs w:val="21"/>
        </w:rPr>
        <w:t>、联合国人道主义事务协调办公室</w:t>
      </w:r>
      <w:r w:rsidRPr="00CD6A66">
        <w:rPr>
          <w:rFonts w:asciiTheme="minorEastAsia" w:eastAsiaTheme="minorEastAsia" w:hAnsiTheme="minorEastAsia"/>
          <w:sz w:val="21"/>
          <w:szCs w:val="21"/>
        </w:rPr>
        <w:t>（UNOCHA）</w:t>
      </w:r>
      <w:r w:rsidRPr="00CD6A66">
        <w:rPr>
          <w:rFonts w:asciiTheme="minorEastAsia" w:eastAsiaTheme="minorEastAsia" w:hAnsiTheme="minorEastAsia" w:hint="eastAsia"/>
          <w:sz w:val="21"/>
          <w:szCs w:val="21"/>
        </w:rPr>
        <w:t>、亚洲议会大会秘书处以及红十字国际委员会</w:t>
      </w:r>
      <w:r w:rsidRPr="00CD6A66">
        <w:rPr>
          <w:rFonts w:asciiTheme="minorEastAsia" w:eastAsiaTheme="minorEastAsia" w:hAnsiTheme="minorEastAsia"/>
          <w:sz w:val="21"/>
          <w:szCs w:val="21"/>
        </w:rPr>
        <w:t>（ICRC）</w:t>
      </w:r>
      <w:r w:rsidRPr="00CD6A66">
        <w:rPr>
          <w:rFonts w:asciiTheme="minorEastAsia" w:eastAsiaTheme="minorEastAsia" w:hAnsiTheme="minorEastAsia" w:hint="eastAsia"/>
          <w:sz w:val="21"/>
          <w:szCs w:val="21"/>
        </w:rPr>
        <w:t>。</w:t>
      </w:r>
    </w:p>
    <w:p w:rsidR="00D449C5" w:rsidRPr="009D5469" w:rsidRDefault="00936B9A"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考虑到伊朗（伊斯兰共和国）优越的科技地位，并且若干所伊朗大学均有知识产权硕士，在德黑兰设立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驻外办事处可以为世界知识产权组织在伊朗推进其目标发挥关键作用。</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4B5FD0">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4B5FD0">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4E4041"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9D5469">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9D5469">
        <w:rPr>
          <w:rFonts w:ascii="SimHei" w:eastAsia="SimHei" w:hAnsi="SimHei"/>
          <w:bCs/>
          <w:smallCaps/>
          <w:color w:val="1F497D" w:themeColor="text2"/>
          <w:sz w:val="21"/>
          <w:szCs w:val="21"/>
          <w:vertAlign w:val="superscript"/>
        </w:rPr>
        <w:footnoteReference w:id="12"/>
      </w:r>
      <w:r w:rsidRPr="006D5C33">
        <w:rPr>
          <w:rFonts w:ascii="SimHei" w:eastAsia="SimHei" w:hAnsi="SimHei" w:hint="eastAsia"/>
          <w:bCs/>
          <w:smallCaps/>
          <w:color w:val="1F497D" w:themeColor="text2"/>
          <w:sz w:val="21"/>
          <w:szCs w:val="21"/>
        </w:rPr>
        <w:t>）：</w:t>
      </w:r>
    </w:p>
    <w:p w:rsidR="004E4041" w:rsidRPr="00CD6A66" w:rsidRDefault="004E4041" w:rsidP="0073025F">
      <w:pPr>
        <w:pStyle w:val="ONUME"/>
        <w:keepNext/>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WIPO伊朗办事处的拟议活动范围是：</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为</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的全球知识产权体系提供当地支持服务。在伊朗伊斯兰共和国设立这样的办事处之后，它的主要活动之一是与国家局</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知识产权中心</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密切合作，以便帮助更有效地实施世界知识产权组织的各个体系，包括马德里、里斯本和</w:t>
      </w:r>
      <w:r w:rsidRPr="00CD6A66">
        <w:rPr>
          <w:rFonts w:asciiTheme="minorEastAsia" w:eastAsiaTheme="minorEastAsia" w:hAnsiTheme="minorEastAsia"/>
          <w:sz w:val="21"/>
          <w:szCs w:val="21"/>
        </w:rPr>
        <w:t>PCT</w:t>
      </w:r>
      <w:r w:rsidRPr="00CD6A66">
        <w:rPr>
          <w:rFonts w:asciiTheme="minorEastAsia" w:eastAsiaTheme="minorEastAsia" w:hAnsiTheme="minorEastAsia" w:hint="eastAsia"/>
          <w:sz w:val="21"/>
          <w:szCs w:val="21"/>
        </w:rPr>
        <w:t>等体系，伊朗伊斯兰共和国是这些体系的成员，办事处还可以与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国际局合作，向申请人提供上述体系的注册服务；</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就</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全球基础设施部门所管理的各种技术援助项目提供技术支持；</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综合能力建设活动和其他发展合作活动；</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向知识产权的权利人提供技术援助和建议，以便利用知识产权促进国家发展和技术转让。必须要提的是，伊朗伊斯兰共和国与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有一些联合项目，包括地毯项目，并且开始实施技术与创新支持中心</w:t>
      </w:r>
      <w:r w:rsidRPr="00CD6A66">
        <w:rPr>
          <w:rFonts w:asciiTheme="minorEastAsia" w:eastAsiaTheme="minorEastAsia" w:hAnsiTheme="minorEastAsia"/>
          <w:sz w:val="21"/>
          <w:szCs w:val="21"/>
        </w:rPr>
        <w:t>（TISC）</w:t>
      </w:r>
      <w:r w:rsidRPr="00CD6A66">
        <w:rPr>
          <w:rFonts w:asciiTheme="minorEastAsia" w:eastAsiaTheme="minorEastAsia" w:hAnsiTheme="minorEastAsia" w:hint="eastAsia"/>
          <w:sz w:val="21"/>
          <w:szCs w:val="21"/>
        </w:rPr>
        <w:t>项目；</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协助知识产权的商业化，为产业界与智力创造机构的交流提供便利；</w:t>
      </w:r>
    </w:p>
    <w:p w:rsidR="00D449C5" w:rsidRPr="009D5469" w:rsidRDefault="004E4041"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对创新和创造日益增长的重要性作出回应，并对知识产权在伊朗知识经济中发挥的作用作出回应。</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9D5469">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Default="00DF1C6D" w:rsidP="0073025F">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F85B4A">
        <w:rPr>
          <w:rFonts w:ascii="SimHei" w:eastAsia="SimHei" w:hAnsi="SimHei"/>
          <w:bCs/>
          <w:smallCaps/>
          <w:sz w:val="21"/>
          <w:szCs w:val="21"/>
          <w:vertAlign w:val="superscript"/>
        </w:rPr>
        <w:footnoteReference w:id="13"/>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F1C6D" w:rsidRPr="00CD6A66" w:rsidRDefault="00DF1C6D"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驻外办事处的可用设施：</w:t>
      </w:r>
    </w:p>
    <w:p w:rsidR="00DF1C6D" w:rsidRPr="00CD6A66" w:rsidRDefault="00DF1C6D" w:rsidP="0020457E">
      <w:pPr>
        <w:pStyle w:val="ONUME"/>
        <w:numPr>
          <w:ilvl w:val="0"/>
          <w:numId w:val="16"/>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伊朗伊斯兰共和国国家契约和财产登记组织，根据《专利、商标和工业品外观设计法》第52条，是工业产权的主管机构，也是伊朗伊斯兰共和国对</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以及相关公约联盟的国家联络点，能够确保提供在伊朗伊斯兰共和国设立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驻外办事处的所有设施。在德黑兰知识产权中心的总部旁边，有一幢面积为500平方米的合适的独栋建筑物，将被用于这个目的，之后还可以根据需要进行扩建。</w:t>
      </w:r>
    </w:p>
    <w:p w:rsidR="00DF1C6D" w:rsidRPr="00CD6A66" w:rsidRDefault="00DF1C6D" w:rsidP="0020457E">
      <w:pPr>
        <w:pStyle w:val="ONUME"/>
        <w:numPr>
          <w:ilvl w:val="0"/>
          <w:numId w:val="16"/>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关于办事处的行政支出，根据《专利、商标和工业品外观设计法》第63条，有望使用办事处用于宣传和装备工业产权国际注册体系的外汇收入的50%。伊朗伊斯兰共和国国家契约和登记组织根据法律规定，通过使用基本收入和其他收入来源，保证提供</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伊朗办事处所有支出并满足所有需求。</w:t>
      </w:r>
    </w:p>
    <w:p w:rsidR="009D5469" w:rsidRPr="009D5469" w:rsidRDefault="009D5469" w:rsidP="00B91C3B">
      <w:pPr>
        <w:rPr>
          <w:rFonts w:ascii="SimSun" w:hAnsi="SimSun"/>
          <w:sz w:val="21"/>
          <w:szCs w:val="22"/>
        </w:rPr>
        <w:sectPr w:rsidR="009D5469" w:rsidRPr="009D5469" w:rsidSect="00F85B4A">
          <w:footerReference w:type="default" r:id="rId20"/>
          <w:headerReference w:type="first" r:id="rId21"/>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14"/>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BA30BB" w:rsidP="007E09FD">
      <w:pPr>
        <w:keepNext/>
        <w:keepLines/>
        <w:spacing w:afterLines="50" w:after="120" w:line="340" w:lineRule="atLeast"/>
        <w:jc w:val="center"/>
        <w:rPr>
          <w:rStyle w:val="1"/>
          <w:rFonts w:ascii="SimSun" w:hAnsi="SimSun"/>
          <w:sz w:val="21"/>
          <w:szCs w:val="21"/>
        </w:rPr>
      </w:pPr>
      <w:r w:rsidRPr="007E09FD">
        <w:rPr>
          <w:rStyle w:val="1"/>
          <w:rFonts w:ascii="SimSun" w:hAnsi="SimSun" w:hint="eastAsia"/>
          <w:sz w:val="21"/>
          <w:szCs w:val="21"/>
        </w:rPr>
        <w:t>阿</w:t>
      </w:r>
      <w:r w:rsidR="009D5469">
        <w:rPr>
          <w:rStyle w:val="1"/>
          <w:rFonts w:ascii="SimSun" w:hAnsi="SimSun" w:hint="eastAsia"/>
          <w:sz w:val="21"/>
          <w:szCs w:val="21"/>
        </w:rPr>
        <w:t xml:space="preserve">　</w:t>
      </w:r>
      <w:r w:rsidRPr="007E09FD">
        <w:rPr>
          <w:rStyle w:val="1"/>
          <w:rFonts w:ascii="SimSun" w:hAnsi="SimSun" w:hint="eastAsia"/>
          <w:sz w:val="21"/>
          <w:szCs w:val="21"/>
        </w:rPr>
        <w:t>曼</w:t>
      </w:r>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sidR="00B91C3B" w:rsidRPr="00A9523F">
        <w:rPr>
          <w:rFonts w:ascii="SimSun" w:hAnsi="SimSun"/>
          <w:sz w:val="21"/>
          <w:szCs w:val="21"/>
        </w:rPr>
        <w:sym w:font="Symbol" w:char="F080"/>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D449C5" w:rsidRPr="009D5469" w:rsidRDefault="00BA30BB" w:rsidP="00CA18A5">
      <w:pPr>
        <w:keepNext/>
        <w:keepLines/>
        <w:tabs>
          <w:tab w:val="left" w:pos="3780"/>
        </w:tabs>
        <w:spacing w:afterLines="50" w:after="120" w:line="340" w:lineRule="atLeast"/>
        <w:jc w:val="center"/>
        <w:rPr>
          <w:rFonts w:ascii="KaiTi" w:eastAsia="KaiTi" w:hAnsi="KaiTi"/>
          <w:sz w:val="21"/>
        </w:rPr>
      </w:pPr>
      <w:r w:rsidRPr="00704D58">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9D5469">
      <w:pPr>
        <w:spacing w:afterLines="50" w:after="120" w:line="340" w:lineRule="atLeast"/>
        <w:jc w:val="both"/>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驻外办事处指导原则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w:t>
      </w:r>
      <w:r w:rsidRPr="009D5469">
        <w:rPr>
          <w:rFonts w:ascii="KaiTi" w:eastAsia="KaiTi" w:hAnsi="KaiTi" w:hint="eastAsia"/>
          <w:sz w:val="21"/>
          <w:szCs w:val="21"/>
        </w:rPr>
        <w:t>东道国</w:t>
      </w:r>
      <w:r w:rsidRPr="009D5469">
        <w:rPr>
          <w:rFonts w:ascii="KaiTi" w:eastAsia="KaiTi" w:hAnsi="KaiTi" w:cs="SimSun" w:hint="eastAsia"/>
          <w:sz w:val="21"/>
        </w:rPr>
        <w:t>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15"/>
      </w:r>
      <w:r w:rsidR="009D5469" w:rsidRPr="009D5469">
        <w:rPr>
          <w:rFonts w:ascii="SimHei" w:eastAsia="SimHei" w:hAnsi="SimHei"/>
          <w:bCs/>
          <w:smallCaps/>
          <w:color w:val="1F497D" w:themeColor="text2"/>
          <w:sz w:val="21"/>
          <w:szCs w:val="21"/>
        </w:rPr>
        <w:t>：</w:t>
      </w:r>
    </w:p>
    <w:p w:rsidR="00D449C5" w:rsidRPr="00CD6A66" w:rsidRDefault="00BA30BB" w:rsidP="0020457E">
      <w:pPr>
        <w:pStyle w:val="ListParagraph"/>
        <w:numPr>
          <w:ilvl w:val="0"/>
          <w:numId w:val="8"/>
        </w:numPr>
        <w:overflowPunct w:val="0"/>
        <w:spacing w:afterLines="50" w:after="120" w:line="340" w:lineRule="atLeast"/>
        <w:ind w:left="0" w:firstLine="0"/>
        <w:contextualSpacing w:val="0"/>
        <w:jc w:val="both"/>
        <w:rPr>
          <w:rFonts w:asciiTheme="minorBidi" w:hAnsiTheme="minorBidi" w:cstheme="minorBidi"/>
          <w:sz w:val="21"/>
        </w:rPr>
      </w:pPr>
      <w:r w:rsidRPr="00CD6A66">
        <w:rPr>
          <w:rFonts w:asciiTheme="minorEastAsia" w:eastAsiaTheme="minorEastAsia" w:hAnsiTheme="minorEastAsia" w:cs="SimSun" w:hint="eastAsia"/>
          <w:sz w:val="21"/>
          <w:szCs w:val="21"/>
        </w:rPr>
        <w:t>阿曼苏丹国希望设立驻外办事处，以促进建立坚实基础来加强创建知识经济的合作。</w:t>
      </w:r>
    </w:p>
    <w:p w:rsidR="00D449C5" w:rsidRPr="00CD6A66" w:rsidRDefault="00BA30BB" w:rsidP="009D5469">
      <w:pPr>
        <w:pStyle w:val="ListParagraph"/>
        <w:keepNext/>
        <w:overflowPunct w:val="0"/>
        <w:spacing w:afterLines="50" w:after="120" w:line="340" w:lineRule="atLeast"/>
        <w:ind w:left="0"/>
        <w:contextualSpacing w:val="0"/>
        <w:rPr>
          <w:rFonts w:ascii="KaiTi" w:eastAsia="KaiTi" w:hAnsi="KaiTi" w:cstheme="minorBidi"/>
          <w:sz w:val="21"/>
        </w:rPr>
      </w:pPr>
      <w:r w:rsidRPr="009D5469">
        <w:rPr>
          <w:rFonts w:ascii="KaiTi" w:eastAsia="KaiTi" w:hAnsi="KaiTi" w:cs="SimSun"/>
          <w:sz w:val="21"/>
          <w:szCs w:val="21"/>
        </w:rPr>
        <w:t>国家创新战略</w:t>
      </w:r>
    </w:p>
    <w:p w:rsidR="00D449C5" w:rsidRPr="00CD6A66" w:rsidRDefault="00BA30BB" w:rsidP="0020457E">
      <w:pPr>
        <w:pStyle w:val="ListParagraph"/>
        <w:numPr>
          <w:ilvl w:val="0"/>
          <w:numId w:val="8"/>
        </w:numPr>
        <w:overflowPunct w:val="0"/>
        <w:spacing w:afterLines="50" w:after="120" w:line="340" w:lineRule="atLeast"/>
        <w:ind w:left="0" w:firstLine="0"/>
        <w:contextualSpacing w:val="0"/>
        <w:jc w:val="both"/>
        <w:rPr>
          <w:rFonts w:asciiTheme="minorBidi" w:hAnsiTheme="minorBidi" w:cstheme="minorBidi"/>
          <w:sz w:val="21"/>
        </w:rPr>
      </w:pPr>
      <w:r w:rsidRPr="00CD6A66">
        <w:rPr>
          <w:rFonts w:asciiTheme="minorEastAsia" w:eastAsiaTheme="minorEastAsia" w:hAnsiTheme="minorEastAsia" w:cs="SimSun" w:hint="eastAsia"/>
          <w:sz w:val="21"/>
          <w:szCs w:val="21"/>
        </w:rPr>
        <w:t>到2040年，政府的国家创新战略植根于推动阿曼成为世界创新国家二十强的愿景。为实现这一点，将建立高效的国家可持续发展创新体系，连接和精简与多样化经济、教育、研发、技术转让、国家基础设施和创业相关的国家政策。</w:t>
      </w:r>
    </w:p>
    <w:p w:rsidR="00D449C5" w:rsidRPr="009D5469" w:rsidRDefault="00780521" w:rsidP="009D5469">
      <w:pPr>
        <w:pStyle w:val="ListParagraph"/>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知识产权</w:t>
      </w:r>
    </w:p>
    <w:p w:rsidR="00D449C5" w:rsidRPr="00CD6A66" w:rsidRDefault="00780521"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国家创新战略建立在包括知识产权和知识商业化在内的基本要素基础上。它所围绕的中心是在阿曼各知识产权相关实体间建立有效的机构交流与合作，这些实体有工商部、研究委员会（TRC）、高等教育部、教育部、农渔部、人力资源部、旅游部、遗产文化局、苏丹卡布斯大学、中小企业发展公共管理局、手工业公共管理局、高等司法学院、海关总署和信息技术管理局以及私营部门实体，如律师事务所、创新和知识产权公司与中小企业基金。</w:t>
      </w:r>
    </w:p>
    <w:p w:rsidR="00B91C3B" w:rsidRPr="00CD6A66" w:rsidRDefault="005A1806"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为知识产权和知识商业化流程制定了全面的计划，其中包括以个人、机构和国家层面有效知识产权制度为根基创建知识社会的愿景。</w:t>
      </w:r>
    </w:p>
    <w:p w:rsidR="005A1806" w:rsidRPr="00CD6A66" w:rsidRDefault="005A1806"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这个愿景具有战略目标，有旨在激活和实现创新的支持性业务计划：</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推动阿曼知识产权咨询、服务和政策制定方面的机构建设</w:t>
      </w:r>
      <w:r w:rsidRPr="00CD6A66">
        <w:rPr>
          <w:rFonts w:asciiTheme="minorEastAsia" w:eastAsiaTheme="minorEastAsia" w:hAnsiTheme="minorEastAsia" w:hint="eastAsia"/>
          <w:sz w:val="21"/>
          <w:szCs w:val="21"/>
        </w:rPr>
        <w:t>；</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增加以</w:t>
      </w:r>
      <w:r w:rsidRPr="00CD6A66">
        <w:rPr>
          <w:rFonts w:asciiTheme="minorEastAsia" w:eastAsiaTheme="minorEastAsia" w:hAnsiTheme="minorEastAsia" w:cs="SimSun" w:hint="eastAsia"/>
          <w:sz w:val="21"/>
          <w:szCs w:val="21"/>
        </w:rPr>
        <w:t>增值业务模式与有形资产和无形资产为基础的企业和中小企业数量；</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巩固法律机关和机构处理知识产权问题的知识、资源和能力；</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通过将知识从研究中心转移到市场来增加经济收入；</w:t>
      </w:r>
    </w:p>
    <w:p w:rsidR="00D449C5" w:rsidRPr="009D5469" w:rsidRDefault="005A1806"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sz w:val="21"/>
          <w:szCs w:val="21"/>
        </w:rPr>
        <w:t>更好地了解和认识基于知识产权的创造力和创新对社会的贡献。</w:t>
      </w:r>
    </w:p>
    <w:p w:rsidR="00D449C5" w:rsidRPr="00CD6A66" w:rsidRDefault="000E0F52"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lastRenderedPageBreak/>
        <w:t>在全面的立法政策和知识产权执法制度支持下，阿曼加入了：WIPO管理的《伯尔尼公约》、《巴黎公约》、《布鲁塞尔公约》、《专利法条约》、《商标法条约》、《世界知识产权组织版权条约》、《世界知识产权组织表演和录音制品条约》、《内罗毕条约》、《布达佩斯条约》、《海牙协定》、《马德里议定书》和《专利合作条约》。阿曼也是其他知识产权相关多边条约的缔约国，它们包括《UPOV公约》、《保护和促进文化表现形式多样性公约》、《保护非物质文化遗产公约》、《粮食和农业植物遗传资源国际条约》、《国际植物保护公约》、《建立世界贸易组织协定》、《与贸易有关的知识产权协定》、《保护世界文化和自然遗产公约》以及其他与知识产权相关的多边、双边和地区条约。</w:t>
      </w:r>
    </w:p>
    <w:p w:rsidR="000E0F52" w:rsidRPr="00CD6A66" w:rsidRDefault="000E0F52"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阿曼坚定承诺履行各项条约规定的义务，制定了法律法规以支持创新、投资和知识产权保护的有效框架。它们包括：</w:t>
      </w:r>
    </w:p>
    <w:p w:rsidR="000E0F52" w:rsidRPr="00CD6A66" w:rsidRDefault="000E0F5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法律：阿曼苏丹国基本法，经第</w:t>
      </w:r>
      <w:r w:rsidRPr="00CD6A66">
        <w:rPr>
          <w:rFonts w:asciiTheme="minorEastAsia" w:eastAsiaTheme="minorEastAsia" w:hAnsiTheme="minorEastAsia" w:hint="eastAsia"/>
          <w:sz w:val="21"/>
          <w:szCs w:val="21"/>
        </w:rPr>
        <w:t>99/2011</w:t>
      </w:r>
      <w:r w:rsidRPr="00CD6A66">
        <w:rPr>
          <w:rFonts w:asciiTheme="minorEastAsia" w:eastAsiaTheme="minorEastAsia" w:hAnsiTheme="minorEastAsia" w:cs="SimSun" w:hint="eastAsia"/>
          <w:sz w:val="21"/>
          <w:szCs w:val="21"/>
        </w:rPr>
        <w:t>号皇家法令修正；第</w:t>
      </w:r>
      <w:r w:rsidRPr="00CD6A66">
        <w:rPr>
          <w:rFonts w:asciiTheme="minorEastAsia" w:eastAsiaTheme="minorEastAsia" w:hAnsiTheme="minorEastAsia" w:hint="eastAsia"/>
          <w:sz w:val="21"/>
          <w:szCs w:val="21"/>
        </w:rPr>
        <w:t>49/2009</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植物新品种育种者权利保护法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67/2008</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工业产权法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65/2008</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版权及相关权法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81/2002</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消费者保护法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sz w:val="21"/>
          <w:szCs w:val="21"/>
        </w:rPr>
        <w:t>29</w:t>
      </w:r>
      <w:r w:rsidRPr="00CD6A66">
        <w:rPr>
          <w:rFonts w:asciiTheme="minorEastAsia" w:eastAsiaTheme="minorEastAsia" w:hAnsiTheme="minorEastAsia" w:hint="eastAsia"/>
          <w:sz w:val="21"/>
          <w:szCs w:val="21"/>
        </w:rPr>
        <w:t>/2002</w:t>
      </w:r>
      <w:r w:rsidRPr="00CD6A66">
        <w:rPr>
          <w:rFonts w:asciiTheme="minorEastAsia" w:eastAsiaTheme="minorEastAsia" w:hAnsiTheme="minorEastAsia" w:cs="SimSun" w:hint="eastAsia"/>
          <w:sz w:val="21"/>
          <w:szCs w:val="21"/>
        </w:rPr>
        <w:t>号皇家法令颁布《民事和商业程序法》；第</w:t>
      </w:r>
      <w:r w:rsidRPr="00CD6A66">
        <w:rPr>
          <w:rFonts w:asciiTheme="minorEastAsia" w:eastAsiaTheme="minorEastAsia" w:hAnsiTheme="minorEastAsia" w:hint="eastAsia"/>
          <w:sz w:val="21"/>
          <w:szCs w:val="21"/>
        </w:rPr>
        <w:t>6/1980</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国家遗产保护法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7/1974</w:t>
      </w:r>
      <w:r w:rsidRPr="00CD6A66">
        <w:rPr>
          <w:rFonts w:asciiTheme="minorEastAsia" w:eastAsiaTheme="minorEastAsia" w:hAnsiTheme="minorEastAsia" w:cs="SimSun" w:hint="eastAsia"/>
          <w:sz w:val="21"/>
          <w:szCs w:val="21"/>
        </w:rPr>
        <w:t>号《阿曼刑法典》。</w:t>
      </w:r>
    </w:p>
    <w:p w:rsidR="00D449C5" w:rsidRPr="00CD6A66" w:rsidRDefault="000E0F5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D449C5">
        <w:rPr>
          <w:rFonts w:ascii="SimSun" w:hAnsi="SimSun" w:hint="eastAsia"/>
          <w:sz w:val="21"/>
        </w:rPr>
        <w:t>法规：</w:t>
      </w:r>
      <w:r w:rsidRPr="009D5469">
        <w:rPr>
          <w:rFonts w:ascii="SimSun" w:hAnsi="SimSun" w:hint="eastAsia"/>
          <w:sz w:val="21"/>
        </w:rPr>
        <w:t>第103/2015号部委决定颁布《植物新品种育种者权利保护法执行条例》；工商部第103/2008号法令颁布</w:t>
      </w:r>
      <w:r w:rsidRPr="00CD6A66">
        <w:rPr>
          <w:rFonts w:asciiTheme="minorEastAsia" w:eastAsiaTheme="minorEastAsia" w:hAnsiTheme="minorEastAsia" w:cs="SimSun" w:hint="eastAsia"/>
          <w:sz w:val="21"/>
          <w:szCs w:val="21"/>
        </w:rPr>
        <w:t>《版权及相关权法执行条例》</w:t>
      </w:r>
      <w:r w:rsidRPr="009D5469">
        <w:rPr>
          <w:rFonts w:ascii="SimSun" w:hAnsi="SimSun" w:hint="eastAsia"/>
          <w:sz w:val="21"/>
        </w:rPr>
        <w:t>；《工业产权法》第105/2008号条例。</w:t>
      </w:r>
    </w:p>
    <w:p w:rsidR="00D449C5" w:rsidRPr="009D5469" w:rsidRDefault="004932BC" w:rsidP="009D5469">
      <w:pPr>
        <w:pStyle w:val="ListParagraph"/>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加强知识产权局服务</w:t>
      </w:r>
    </w:p>
    <w:p w:rsidR="00D449C5" w:rsidRPr="00CD6A66" w:rsidRDefault="004932BC"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工商部下的知识产权局是负责提供知识产权相关服务的主管机构，业务范围包括专利、工业品外观设计、商标、版权及相关权。工商部通过人力资源开发，加强了知识产权服务的现代化，特别是专利和工业品外观设计审查、国际专利受理和商标注册领域。在此方面，与WIPO和其他国家专利局合作为技术审查员提供培训。此外，知识产权局还带头利用WIPO知识产权自动化（IPAS）系统录入专利著录数据。</w:t>
      </w:r>
    </w:p>
    <w:p w:rsidR="00D449C5" w:rsidRPr="009D5469" w:rsidRDefault="004932BC" w:rsidP="009D5469">
      <w:pPr>
        <w:pStyle w:val="ListParagraph"/>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创新支持机构</w:t>
      </w:r>
    </w:p>
    <w:p w:rsidR="00D449C5" w:rsidRPr="00CD6A66" w:rsidRDefault="004932BC" w:rsidP="009D5469">
      <w:pPr>
        <w:keepNext/>
        <w:overflowPunct w:val="0"/>
        <w:spacing w:afterLines="50" w:after="120" w:line="340" w:lineRule="atLeast"/>
        <w:jc w:val="both"/>
        <w:rPr>
          <w:rFonts w:asciiTheme="minorBidi" w:eastAsia="Calibri" w:hAnsiTheme="minorBidi" w:cstheme="minorBidi"/>
          <w:sz w:val="21"/>
          <w:u w:val="single"/>
          <w:lang w:bidi="ar-OM"/>
        </w:rPr>
      </w:pPr>
      <w:r w:rsidRPr="00CD6A66">
        <w:rPr>
          <w:rFonts w:ascii="SimSun" w:hAnsi="SimSun" w:cs="SimSun" w:hint="eastAsia"/>
          <w:sz w:val="21"/>
          <w:u w:val="single"/>
          <w:lang w:bidi="ar-OM"/>
        </w:rPr>
        <w:t>研究委员会</w:t>
      </w:r>
    </w:p>
    <w:p w:rsidR="00D449C5" w:rsidRPr="00CD6A66" w:rsidRDefault="004932BC"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研究委员会由</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54/2005</w:t>
      </w:r>
      <w:r w:rsidRPr="00CD6A66">
        <w:rPr>
          <w:rFonts w:asciiTheme="minorEastAsia" w:eastAsiaTheme="minorEastAsia" w:hAnsiTheme="minorEastAsia" w:cs="SimSun" w:hint="eastAsia"/>
          <w:sz w:val="21"/>
          <w:szCs w:val="21"/>
        </w:rPr>
        <w:t>号皇家法令</w:t>
      </w:r>
      <w:r w:rsidRPr="00CD6A66">
        <w:rPr>
          <w:rFonts w:asciiTheme="minorEastAsia" w:eastAsiaTheme="minorEastAsia" w:hAnsiTheme="minorEastAsia" w:hint="eastAsia"/>
          <w:sz w:val="21"/>
          <w:szCs w:val="21"/>
        </w:rPr>
        <w:t>成立，标志着国家知识型发展进程的重大转折点。研委会负责通过技术和资金</w:t>
      </w:r>
      <w:r w:rsidRPr="00CD6A66">
        <w:rPr>
          <w:rFonts w:asciiTheme="minorEastAsia" w:eastAsiaTheme="minorEastAsia" w:hAnsiTheme="minorEastAsia" w:cs="SimSun" w:hint="eastAsia"/>
          <w:sz w:val="21"/>
          <w:szCs w:val="21"/>
        </w:rPr>
        <w:t>支持</w:t>
      </w:r>
      <w:r w:rsidRPr="00CD6A66">
        <w:rPr>
          <w:rFonts w:asciiTheme="minorEastAsia" w:eastAsiaTheme="minorEastAsia" w:hAnsiTheme="minorEastAsia" w:hint="eastAsia"/>
          <w:sz w:val="21"/>
          <w:szCs w:val="21"/>
        </w:rPr>
        <w:t>来规范和促进科学研究。它旨在创造创新环境，应对本地需求和全球趋势，加强社会联系，使优秀的创意和科学成果实现联通。</w:t>
      </w:r>
    </w:p>
    <w:p w:rsidR="00D449C5" w:rsidRPr="00CD6A66" w:rsidRDefault="004932BC"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研委会还启动了两项举措：</w:t>
      </w:r>
    </w:p>
    <w:p w:rsidR="00D449C5" w:rsidRPr="009D5469" w:rsidRDefault="004932BC"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b/>
          <w:sz w:val="21"/>
          <w:szCs w:val="21"/>
        </w:rPr>
        <w:t>阿曼动植物遗传资源中心（</w:t>
      </w:r>
      <w:r w:rsidRPr="00CD6A66">
        <w:rPr>
          <w:rFonts w:asciiTheme="minorEastAsia" w:eastAsiaTheme="minorEastAsia" w:hAnsiTheme="minorEastAsia" w:hint="eastAsia"/>
          <w:b/>
          <w:sz w:val="21"/>
          <w:szCs w:val="21"/>
        </w:rPr>
        <w:t>OAPGRC</w:t>
      </w:r>
      <w:r w:rsidRPr="00CD6A66">
        <w:rPr>
          <w:rFonts w:asciiTheme="minorEastAsia" w:eastAsiaTheme="minorEastAsia" w:hAnsiTheme="minorEastAsia" w:cs="SimSun" w:hint="eastAsia"/>
          <w:b/>
          <w:sz w:val="21"/>
          <w:szCs w:val="21"/>
        </w:rPr>
        <w:t>）</w:t>
      </w:r>
      <w:r w:rsidRPr="00CD6A66">
        <w:rPr>
          <w:rFonts w:asciiTheme="minorEastAsia" w:eastAsiaTheme="minorEastAsia" w:hAnsiTheme="minorEastAsia" w:cs="SimSun" w:hint="eastAsia"/>
          <w:sz w:val="21"/>
          <w:szCs w:val="21"/>
        </w:rPr>
        <w:t>。在卡布斯·本·赛义德苏丹陛下下令审视阿曼的全球重要遗传资源保护工作后，</w:t>
      </w:r>
      <w:r w:rsidRPr="00CD6A66">
        <w:rPr>
          <w:rFonts w:asciiTheme="minorEastAsia" w:eastAsiaTheme="minorEastAsia" w:hAnsiTheme="minorEastAsia"/>
          <w:sz w:val="21"/>
          <w:szCs w:val="21"/>
        </w:rPr>
        <w:t>OAPGRC</w:t>
      </w:r>
      <w:r w:rsidRPr="00CD6A66">
        <w:rPr>
          <w:rFonts w:asciiTheme="minorEastAsia" w:eastAsiaTheme="minorEastAsia" w:hAnsiTheme="minorEastAsia" w:cs="SimSun" w:hint="eastAsia"/>
          <w:sz w:val="21"/>
          <w:szCs w:val="21"/>
        </w:rPr>
        <w:t>于</w:t>
      </w:r>
      <w:r w:rsidRPr="00CD6A66">
        <w:rPr>
          <w:rFonts w:asciiTheme="minorEastAsia" w:eastAsiaTheme="minorEastAsia" w:hAnsiTheme="minorEastAsia" w:hint="eastAsia"/>
          <w:sz w:val="21"/>
          <w:szCs w:val="21"/>
        </w:rPr>
        <w:t>2012</w:t>
      </w:r>
      <w:r w:rsidRPr="00CD6A66">
        <w:rPr>
          <w:rFonts w:asciiTheme="minorEastAsia" w:eastAsiaTheme="minorEastAsia" w:hAnsiTheme="minorEastAsia" w:cs="SimSun" w:hint="eastAsia"/>
          <w:sz w:val="21"/>
          <w:szCs w:val="21"/>
        </w:rPr>
        <w:t>年成立。其使命是促进对阿曼动植物和微生物的遗传多样性作为自然遗产资源的认可、可持续利用和</w:t>
      </w:r>
      <w:r w:rsidRPr="00CD6A66">
        <w:rPr>
          <w:rFonts w:asciiTheme="minorEastAsia" w:eastAsiaTheme="minorEastAsia" w:hAnsiTheme="minorEastAsia" w:hint="eastAsia"/>
          <w:sz w:val="21"/>
          <w:szCs w:val="21"/>
        </w:rPr>
        <w:t>估价</w:t>
      </w:r>
      <w:r w:rsidRPr="00CD6A66">
        <w:rPr>
          <w:rFonts w:asciiTheme="minorEastAsia" w:eastAsiaTheme="minorEastAsia" w:hAnsiTheme="minorEastAsia" w:cs="SimSun" w:hint="eastAsia"/>
          <w:sz w:val="21"/>
          <w:szCs w:val="21"/>
        </w:rPr>
        <w:t>。愿景是发展成为所有动植物遗传资源活动的协作枢纽，促进遗传资源领域的本地研究和能力建设活动，并推动全球研究和科学实用创新。</w:t>
      </w:r>
    </w:p>
    <w:p w:rsidR="00D449C5" w:rsidRPr="009D5469" w:rsidRDefault="004932BC"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b/>
          <w:sz w:val="21"/>
          <w:szCs w:val="21"/>
        </w:rPr>
        <w:t>马斯喀特创新园区（</w:t>
      </w:r>
      <w:r w:rsidRPr="00CD6A66">
        <w:rPr>
          <w:rFonts w:asciiTheme="minorEastAsia" w:eastAsiaTheme="minorEastAsia" w:hAnsiTheme="minorEastAsia" w:hint="eastAsia"/>
          <w:b/>
          <w:sz w:val="21"/>
          <w:szCs w:val="21"/>
        </w:rPr>
        <w:t>IPM</w:t>
      </w:r>
      <w:r w:rsidRPr="00CD6A66">
        <w:rPr>
          <w:rFonts w:asciiTheme="minorEastAsia" w:eastAsiaTheme="minorEastAsia" w:hAnsiTheme="minorEastAsia" w:cs="SimSun" w:hint="eastAsia"/>
          <w:b/>
          <w:sz w:val="21"/>
          <w:szCs w:val="21"/>
        </w:rPr>
        <w:t>）</w:t>
      </w:r>
      <w:r w:rsidRPr="00CD6A66">
        <w:rPr>
          <w:rFonts w:asciiTheme="minorEastAsia" w:eastAsiaTheme="minorEastAsia" w:hAnsiTheme="minorEastAsia" w:cs="SimSun" w:hint="eastAsia"/>
          <w:sz w:val="21"/>
          <w:szCs w:val="21"/>
        </w:rPr>
        <w:t>。它是研委会的主要举措之一，旨在鼓励科研和创新，并激活地方和国际上在学术、私营和多个产业部门间的合作。园区旨在为研究人员、创新者和企业家提供有利的健康环境，通过为其提供服务，帮助他们开发软实力并专注于科研。园区还努力</w:t>
      </w:r>
      <w:r w:rsidRPr="00CD6A66">
        <w:rPr>
          <w:rFonts w:asciiTheme="minorEastAsia" w:eastAsiaTheme="minorEastAsia" w:hAnsiTheme="minorEastAsia" w:cs="SimSun" w:hint="eastAsia"/>
          <w:sz w:val="21"/>
          <w:szCs w:val="21"/>
        </w:rPr>
        <w:lastRenderedPageBreak/>
        <w:t>基于人员能力利用知识、开发科研产品，并将创意转化为商品。这将促进政府努力实现国民经济来源多样化的工作。</w:t>
      </w:r>
    </w:p>
    <w:p w:rsidR="00D449C5" w:rsidRPr="00CD6A66" w:rsidRDefault="00E00F29" w:rsidP="009D5469">
      <w:pPr>
        <w:keepNext/>
        <w:overflowPunct w:val="0"/>
        <w:spacing w:afterLines="50" w:after="120" w:line="340" w:lineRule="atLeast"/>
        <w:jc w:val="both"/>
        <w:rPr>
          <w:rFonts w:ascii="SimSun" w:hAnsi="SimSun" w:cstheme="minorBidi"/>
          <w:sz w:val="21"/>
          <w:u w:val="single"/>
          <w:lang w:bidi="ar-OM"/>
        </w:rPr>
      </w:pPr>
      <w:r w:rsidRPr="009D5469">
        <w:rPr>
          <w:rFonts w:ascii="SimSun" w:hAnsi="SimSun" w:cs="SimSun" w:hint="eastAsia"/>
          <w:sz w:val="21"/>
          <w:u w:val="single"/>
          <w:lang w:bidi="ar-OM"/>
        </w:rPr>
        <w:t>产业创新中心（</w:t>
      </w:r>
      <w:r w:rsidRPr="00CD6A66">
        <w:rPr>
          <w:rFonts w:ascii="SimSun" w:hAnsi="SimSun" w:cstheme="minorBidi" w:hint="eastAsia"/>
          <w:sz w:val="21"/>
          <w:u w:val="single"/>
          <w:lang w:bidi="ar-OM"/>
        </w:rPr>
        <w:t>IIC</w:t>
      </w:r>
      <w:r w:rsidRPr="009D5469">
        <w:rPr>
          <w:rFonts w:ascii="SimSun" w:hAnsi="SimSun" w:cs="SimSun" w:hint="eastAsia"/>
          <w:sz w:val="21"/>
          <w:u w:val="single"/>
          <w:lang w:bidi="ar-OM"/>
        </w:rPr>
        <w:t>）</w:t>
      </w:r>
    </w:p>
    <w:p w:rsidR="00D449C5" w:rsidRPr="00CD6A66" w:rsidRDefault="00E00F29"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产业创新中心（IIC）于2010年启动，致力于以可持续的方式在阿曼各产业中传播创新文化。其使命是发展和</w:t>
      </w:r>
      <w:r w:rsidRPr="00CD6A66">
        <w:rPr>
          <w:rFonts w:asciiTheme="minorEastAsia" w:eastAsiaTheme="minorEastAsia" w:hAnsiTheme="minorEastAsia" w:cs="SimSun" w:hint="eastAsia"/>
          <w:sz w:val="21"/>
          <w:szCs w:val="21"/>
        </w:rPr>
        <w:t>促进</w:t>
      </w:r>
      <w:r w:rsidRPr="00CD6A66">
        <w:rPr>
          <w:rFonts w:asciiTheme="minorEastAsia" w:eastAsiaTheme="minorEastAsia" w:hAnsiTheme="minorEastAsia" w:hint="eastAsia"/>
          <w:sz w:val="21"/>
          <w:szCs w:val="21"/>
        </w:rPr>
        <w:t>阿曼各产业，帮助产业部门开发产品，提高开拓国内外新市场的能力。中心还希望利用与不同研究中心之间的联系来支持产业项目，发挥与高校、研究实验室和科学中心的研究圈建立合作的益处。</w:t>
      </w:r>
    </w:p>
    <w:p w:rsidR="00D449C5" w:rsidRPr="009D5469" w:rsidRDefault="00E00F29" w:rsidP="009D5469">
      <w:pPr>
        <w:keepNext/>
        <w:overflowPunct w:val="0"/>
        <w:spacing w:afterLines="50" w:after="120" w:line="340" w:lineRule="atLeast"/>
        <w:jc w:val="both"/>
        <w:rPr>
          <w:rFonts w:ascii="SimSun" w:hAnsi="SimSun" w:cs="SimSun"/>
          <w:sz w:val="21"/>
          <w:u w:val="single"/>
          <w:lang w:bidi="ar-OM"/>
        </w:rPr>
      </w:pPr>
      <w:r w:rsidRPr="009D5469">
        <w:rPr>
          <w:rFonts w:ascii="SimSun" w:hAnsi="SimSun" w:cs="SimSun" w:hint="eastAsia"/>
          <w:sz w:val="21"/>
          <w:u w:val="single"/>
          <w:lang w:bidi="ar-OM"/>
        </w:rPr>
        <w:t>中小企业发展公共管理局（RIYADA）</w:t>
      </w:r>
    </w:p>
    <w:p w:rsidR="00D449C5" w:rsidRPr="00CD6A66" w:rsidRDefault="00E00F29"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该局由第36/2013号皇家法令设立，任务是促进中小企业发展，并加强其在国民经济发展中的作用。为此，该局提供全面的技术、培训和咨询服务。它力图加强年轻一代的企业家精神和自营职业文化，并提高</w:t>
      </w:r>
      <w:r w:rsidRPr="00CD6A66">
        <w:rPr>
          <w:rFonts w:asciiTheme="minorEastAsia" w:eastAsiaTheme="minorEastAsia" w:hAnsiTheme="minorEastAsia" w:cs="SimSun" w:hint="eastAsia"/>
          <w:sz w:val="21"/>
          <w:szCs w:val="21"/>
        </w:rPr>
        <w:t>现有</w:t>
      </w:r>
      <w:r w:rsidRPr="00CD6A66">
        <w:rPr>
          <w:rFonts w:asciiTheme="minorEastAsia" w:eastAsiaTheme="minorEastAsia" w:hAnsiTheme="minorEastAsia" w:hint="eastAsia"/>
          <w:sz w:val="21"/>
          <w:szCs w:val="21"/>
        </w:rPr>
        <w:t>企业的竞争力。该局还帮助企业加强为国民经济增值的能力，促进实现经济多元化，支持创新和利用现代技术。</w:t>
      </w:r>
    </w:p>
    <w:p w:rsidR="00D449C5" w:rsidRPr="009D5469" w:rsidRDefault="00E00F29" w:rsidP="009D5469">
      <w:pPr>
        <w:pStyle w:val="ListParagraph"/>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国家创业扶持基金。</w:t>
      </w:r>
    </w:p>
    <w:p w:rsidR="00D449C5" w:rsidRPr="009D5469" w:rsidRDefault="00E00F29" w:rsidP="009D5469">
      <w:pPr>
        <w:pStyle w:val="ListParagraph"/>
        <w:keepNext/>
        <w:overflowPunct w:val="0"/>
        <w:spacing w:afterLines="50" w:after="120" w:line="340" w:lineRule="atLeast"/>
        <w:ind w:left="0"/>
        <w:contextualSpacing w:val="0"/>
        <w:rPr>
          <w:rFonts w:ascii="KaiTi" w:eastAsia="KaiTi" w:hAnsi="KaiTi" w:cs="SimSun"/>
          <w:sz w:val="21"/>
          <w:szCs w:val="21"/>
          <w:u w:val="single"/>
        </w:rPr>
      </w:pPr>
      <w:r w:rsidRPr="009D5469">
        <w:rPr>
          <w:rFonts w:ascii="KaiTi" w:eastAsia="KaiTi" w:hAnsi="KaiTi" w:cs="SimSun" w:hint="eastAsia"/>
          <w:sz w:val="21"/>
          <w:szCs w:val="21"/>
          <w:u w:val="single"/>
        </w:rPr>
        <w:t>Al Raffd基金</w:t>
      </w:r>
    </w:p>
    <w:p w:rsidR="00D449C5" w:rsidRPr="00CD6A66" w:rsidRDefault="00E00F29"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该基金由第6/</w:t>
      </w:r>
      <w:r w:rsidRPr="00CD6A66">
        <w:rPr>
          <w:rFonts w:asciiTheme="minorEastAsia" w:eastAsiaTheme="minorEastAsia" w:hAnsiTheme="minorEastAsia" w:cs="SimSun" w:hint="eastAsia"/>
          <w:sz w:val="21"/>
          <w:szCs w:val="21"/>
        </w:rPr>
        <w:t>2013</w:t>
      </w:r>
      <w:r w:rsidRPr="00CD6A66">
        <w:rPr>
          <w:rFonts w:asciiTheme="minorEastAsia" w:eastAsiaTheme="minorEastAsia" w:hAnsiTheme="minorEastAsia" w:hint="eastAsia"/>
          <w:sz w:val="21"/>
          <w:szCs w:val="21"/>
        </w:rPr>
        <w:t>号皇家法令设立，目标群体包括求职青年、手工艺品行业的工匠以及农村地区的妇女。基金制定和实施融资计划鼓励极具潜力和就业机会的初创企业，确保企业家能够发展业务，实现财务和管理自由。它还帮助企业通过在本地和地区市场开发产品和服务来提高竞争力。</w:t>
      </w:r>
    </w:p>
    <w:p w:rsidR="00D449C5" w:rsidRPr="009D5469" w:rsidRDefault="00F65A4E" w:rsidP="009D5469">
      <w:pPr>
        <w:pStyle w:val="ListParagraph"/>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中小企业基金（SMEF）</w:t>
      </w:r>
    </w:p>
    <w:p w:rsidR="00D449C5" w:rsidRPr="00CD6A66" w:rsidRDefault="00F65A4E"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lang w:eastAsia="en-US"/>
        </w:rPr>
      </w:pPr>
      <w:r w:rsidRPr="00CD6A66">
        <w:rPr>
          <w:rFonts w:asciiTheme="minorEastAsia" w:eastAsiaTheme="minorEastAsia" w:hAnsiTheme="minorEastAsia" w:hint="eastAsia"/>
          <w:sz w:val="21"/>
          <w:szCs w:val="21"/>
        </w:rPr>
        <w:t>该基金资本达2.5亿</w:t>
      </w:r>
      <w:r w:rsidRPr="00CD6A66">
        <w:rPr>
          <w:rFonts w:asciiTheme="minorEastAsia" w:eastAsiaTheme="minorEastAsia" w:hAnsiTheme="minorEastAsia" w:cs="SimSun" w:hint="eastAsia"/>
          <w:sz w:val="21"/>
          <w:szCs w:val="21"/>
        </w:rPr>
        <w:t>阿曼里亚尔</w:t>
      </w:r>
      <w:r w:rsidRPr="00CD6A66">
        <w:rPr>
          <w:rFonts w:asciiTheme="minorEastAsia" w:eastAsiaTheme="minorEastAsia" w:hAnsiTheme="minorEastAsia" w:hint="eastAsia"/>
          <w:sz w:val="21"/>
          <w:szCs w:val="21"/>
        </w:rPr>
        <w:t>，是作为发展和伙伴关系举措启动的私营部门中小企业扶持基金。它有助于中小企业发展，使新企业家和企业获得资本和贷款投资。它有四点实施战略：</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创业园区。此计划针对经过挑选的大学，与高等教育部协调，目标是为在高校创建小型创业公司开展活动，通过讲习班和培训课程，推动形成创业文化并创建创业者协会</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俱乐部。</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中小企业融资。以5万至</w:t>
      </w:r>
      <w:r w:rsidRPr="00CD6A66">
        <w:rPr>
          <w:rFonts w:asciiTheme="minorEastAsia" w:eastAsiaTheme="minorEastAsia" w:hAnsiTheme="minorEastAsia" w:hint="eastAsia"/>
          <w:sz w:val="21"/>
          <w:szCs w:val="21"/>
        </w:rPr>
        <w:t>30</w:t>
      </w:r>
      <w:r w:rsidRPr="00CD6A66">
        <w:rPr>
          <w:rFonts w:asciiTheme="minorEastAsia" w:eastAsiaTheme="minorEastAsia" w:hAnsiTheme="minorEastAsia" w:cs="SimSun" w:hint="eastAsia"/>
          <w:sz w:val="21"/>
          <w:szCs w:val="21"/>
        </w:rPr>
        <w:t>万阿曼里亚尔为新项目提供快速灵活的融资，为符合条件的中小企业贴息，还款期最长可达</w:t>
      </w:r>
      <w:r w:rsidRPr="00CD6A66">
        <w:rPr>
          <w:rFonts w:asciiTheme="minorEastAsia" w:eastAsiaTheme="minorEastAsia" w:hAnsiTheme="minorEastAsia" w:hint="eastAsia"/>
          <w:sz w:val="21"/>
          <w:szCs w:val="21"/>
        </w:rPr>
        <w:t>5</w:t>
      </w:r>
      <w:r w:rsidRPr="00CD6A66">
        <w:rPr>
          <w:rFonts w:asciiTheme="minorEastAsia" w:eastAsiaTheme="minorEastAsia" w:hAnsiTheme="minorEastAsia" w:cs="SimSun" w:hint="eastAsia"/>
          <w:sz w:val="21"/>
          <w:szCs w:val="21"/>
        </w:rPr>
        <w:t>年。</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中小企业培育。提供监督、指导、会计支持和低成本软件，实现市场竞争力。</w:t>
      </w:r>
    </w:p>
    <w:p w:rsidR="00D449C5"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中小企业合法化。创建伙伴关系和投资机会，在特别是油气行业与大公司合作开展重大项目。</w:t>
      </w:r>
    </w:p>
    <w:p w:rsidR="00D449C5" w:rsidRPr="009D5469" w:rsidRDefault="00194AD2" w:rsidP="009D5469">
      <w:pPr>
        <w:keepNext/>
        <w:overflowPunct w:val="0"/>
        <w:spacing w:afterLines="50" w:after="120" w:line="340" w:lineRule="atLeast"/>
        <w:jc w:val="both"/>
        <w:rPr>
          <w:rFonts w:ascii="SimSun" w:hAnsi="SimSun" w:cs="SimSun"/>
          <w:sz w:val="21"/>
          <w:lang w:bidi="ar-OM"/>
        </w:rPr>
      </w:pPr>
      <w:r w:rsidRPr="009D5469">
        <w:rPr>
          <w:rFonts w:ascii="SimSun" w:hAnsi="SimSun" w:cs="SimSun" w:hint="eastAsia"/>
          <w:sz w:val="21"/>
          <w:lang w:bidi="ar-OM"/>
        </w:rPr>
        <w:t>阿曼技术基金（OTF）</w:t>
      </w:r>
    </w:p>
    <w:p w:rsidR="00D449C5"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于2016年10月启动，资金投入为两亿美元，专门用于创业公司。基金旨在对阿曼新兴的技术企业投资，希望通过下设的三个投资基金（分别用于初期阶段、加速阶段和成长阶段），成为地区内的技术创新中心，吸引本地区的创业企业将业务迁至阿曼。</w:t>
      </w:r>
    </w:p>
    <w:p w:rsidR="00D449C5" w:rsidRPr="009D5469" w:rsidRDefault="00A402ED" w:rsidP="009D5469">
      <w:pPr>
        <w:keepNext/>
        <w:overflowPunct w:val="0"/>
        <w:spacing w:afterLines="50" w:after="120" w:line="340" w:lineRule="atLeast"/>
        <w:jc w:val="both"/>
        <w:rPr>
          <w:rFonts w:ascii="SimSun" w:hAnsi="SimSun" w:cs="SimSun"/>
          <w:sz w:val="21"/>
          <w:u w:val="single"/>
          <w:lang w:bidi="ar-OM"/>
        </w:rPr>
      </w:pPr>
      <w:r w:rsidRPr="009D5469">
        <w:rPr>
          <w:rFonts w:ascii="SimSun" w:hAnsi="SimSun" w:cs="SimSun" w:hint="eastAsia"/>
          <w:sz w:val="21"/>
          <w:u w:val="single"/>
          <w:lang w:bidi="ar-OM"/>
        </w:rPr>
        <w:t>Ibtikar阿曼发展基金（IDO）</w:t>
      </w:r>
    </w:p>
    <w:p w:rsidR="00D449C5"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该基金由国家总储备基金、阿曼石油公司、研究委员会和阿曼电信共同成立于2016年。基金向世界级的技术公司</w:t>
      </w:r>
      <w:r w:rsidRPr="00CD6A66">
        <w:rPr>
          <w:rFonts w:asciiTheme="minorEastAsia" w:eastAsiaTheme="minorEastAsia" w:hAnsiTheme="minorEastAsia" w:cs="SimSun" w:hint="eastAsia"/>
          <w:sz w:val="21"/>
          <w:szCs w:val="21"/>
        </w:rPr>
        <w:t>投资</w:t>
      </w:r>
      <w:r w:rsidRPr="00CD6A66">
        <w:rPr>
          <w:rFonts w:asciiTheme="minorEastAsia" w:eastAsiaTheme="minorEastAsia" w:hAnsiTheme="minorEastAsia" w:hint="eastAsia"/>
          <w:sz w:val="21"/>
          <w:szCs w:val="21"/>
        </w:rPr>
        <w:t>股权、转让技术，利用阿曼的自然和人力资本。基金旨在促进阿曼的现代技术转让和知识经济发展。</w:t>
      </w:r>
    </w:p>
    <w:p w:rsidR="00D449C5" w:rsidRDefault="000506B6" w:rsidP="00CD6A66">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lastRenderedPageBreak/>
        <w:t>驻外办事处的拟议职责范围</w:t>
      </w:r>
      <w:r w:rsidR="00B91C3B" w:rsidRPr="00CD6A66">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A402ED" w:rsidRPr="009D5469" w:rsidRDefault="00A402ED" w:rsidP="0020457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通过设立驻外办事处，阿曼苏丹国旨在制定全面有效的知识产权制度，支持国家创新战略实施和实现各项愿景和目标。</w:t>
      </w:r>
    </w:p>
    <w:p w:rsidR="00A402ED" w:rsidRPr="009D5469" w:rsidRDefault="00A402ED" w:rsidP="0020457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在阿曼设立WIPO驻外办事处将加强知识产权制度化工作，以利于制定国家知识产权战略。</w:t>
      </w:r>
    </w:p>
    <w:p w:rsidR="00D449C5" w:rsidRPr="009D5469" w:rsidRDefault="00A402ED" w:rsidP="0020457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拟议WIPO驻外办事处将通过工商部与阿曼的创新支持机构合作，以推广WIPO的各项服务，有效实施技术援助和能力建设活动，增进对知识产权的了解和尊重，并完善知识产权制度。</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00B91C3B" w:rsidRPr="00CD6A66">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D6A66">
        <w:rPr>
          <w:rFonts w:ascii="SimHei" w:eastAsia="SimHei" w:hAnsi="SimHei"/>
          <w:bCs/>
          <w:smallCaps/>
          <w:color w:val="1F497D" w:themeColor="text2"/>
          <w:sz w:val="21"/>
          <w:szCs w:val="21"/>
          <w:vertAlign w:val="superscript"/>
        </w:rPr>
        <w:footnoteReference w:id="16"/>
      </w:r>
      <w:r w:rsidRPr="006D5C33">
        <w:rPr>
          <w:rFonts w:ascii="SimHei" w:eastAsia="SimHei" w:hAnsi="SimHei" w:hint="eastAsia"/>
          <w:bCs/>
          <w:smallCaps/>
          <w:color w:val="1F497D" w:themeColor="text2"/>
          <w:sz w:val="21"/>
          <w:szCs w:val="21"/>
        </w:rPr>
        <w:t>）：</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驻外办事处的活动将重点支持实施国家创新战略下知识产权工作计划的各项业务计划。</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通过面向中小学、学术和研究机构以及法律和司法机关的国家知识产权培训和教育计划，进行国家人力资源开发。</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开展针对专利和商标审查员与技术数据库的培训和职业发展计划。</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支持制定和落实知识产权局系统，建立技术和创新支持中心，为高等教育机构和科研中心提供专利和非专利信息，并部署技术转让网络。</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加强知识产权研发活动。</w:t>
      </w:r>
    </w:p>
    <w:p w:rsidR="00A402ED"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支持开展可持续的宣传和推广计划和活动，普及知识产权企业的社会和经济效益以及与盗版、假冒和知识产权侵权相关的风险。</w:t>
      </w:r>
    </w:p>
    <w:p w:rsidR="00D449C5" w:rsidRPr="00CD6A66" w:rsidRDefault="00A402ED"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支持基于各知识产权局的最佳做法，开展有效的知识产权服务管理。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25AD8" w:rsidRPr="00CD6A66" w:rsidRDefault="00D25AD8" w:rsidP="0020457E">
      <w:pPr>
        <w:pStyle w:val="ListParagraph"/>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驻外办事处将促进WIPO实现各项战略目标，因为阿曼在其国家创新战略下对这些目标作出了承诺。</w:t>
      </w:r>
    </w:p>
    <w:p w:rsidR="00D449C5" w:rsidRPr="009D5469" w:rsidRDefault="00D25AD8" w:rsidP="0020457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驻外办事处将在有利的体制框架内实施各项技术援助计划，从而促进知识产权领域新工具和新模型的开发和现代化。</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CD6A66">
        <w:rPr>
          <w:rFonts w:ascii="SimHei" w:eastAsia="SimHei" w:hAnsi="SimHei"/>
          <w:bCs/>
          <w:smallCaps/>
          <w:sz w:val="21"/>
          <w:szCs w:val="21"/>
          <w:vertAlign w:val="superscript"/>
        </w:rPr>
        <w:footnoteReference w:id="17"/>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D25AD8" w:rsidP="0020457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阿曼苏丹国将提供办公空间、家具、设备以及适当的安保安排。阿曼还将促进在办公室运作和使用方面与WIPO开展的合作，以加强和发展阿曼及该地区的知识产权制度。</w:t>
      </w:r>
    </w:p>
    <w:p w:rsidR="009D5469" w:rsidRPr="009D5469" w:rsidRDefault="009D5469" w:rsidP="00B91C3B">
      <w:pPr>
        <w:rPr>
          <w:rFonts w:ascii="SimSun" w:hAnsi="SimSun"/>
          <w:b/>
          <w:caps/>
          <w:color w:val="1F497D" w:themeColor="text2"/>
          <w:sz w:val="21"/>
        </w:rPr>
        <w:sectPr w:rsidR="009D5469" w:rsidRPr="009D5469" w:rsidSect="00F85B4A">
          <w:footnotePr>
            <w:numRestart w:val="eachSect"/>
          </w:footnotePr>
          <w:endnotePr>
            <w:numFmt w:val="decimal"/>
          </w:endnotePr>
          <w:pgSz w:w="11907" w:h="16840" w:code="9"/>
          <w:pgMar w:top="567" w:right="1134" w:bottom="1418" w:left="1418" w:header="510" w:footer="1021" w:gutter="0"/>
          <w:cols w:space="720"/>
          <w:titlePg/>
          <w:docGrid w:linePitch="299"/>
        </w:sectPr>
      </w:pPr>
    </w:p>
    <w:p w:rsidR="00D449C5"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CD6A66">
        <w:rPr>
          <w:rFonts w:ascii="SimHei" w:eastAsia="SimHei" w:hAnsi="SimHei"/>
          <w:bCs/>
          <w:smallCaps/>
          <w:color w:val="1F497D" w:themeColor="text2"/>
          <w:sz w:val="21"/>
          <w:szCs w:val="24"/>
          <w:vertAlign w:val="superscript"/>
        </w:rPr>
        <w:footnoteReference w:id="18"/>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希望设立驻外办事处的国家：</w:t>
      </w:r>
    </w:p>
    <w:p w:rsidR="00D449C5" w:rsidRDefault="00842EB6" w:rsidP="007E09FD">
      <w:pPr>
        <w:keepNext/>
        <w:keepLines/>
        <w:spacing w:afterLines="50" w:after="120" w:line="340" w:lineRule="atLeast"/>
        <w:jc w:val="center"/>
        <w:rPr>
          <w:rStyle w:val="1"/>
          <w:rFonts w:ascii="SimSun" w:hAnsi="SimSun"/>
          <w:sz w:val="21"/>
          <w:szCs w:val="21"/>
        </w:rPr>
      </w:pPr>
      <w:bookmarkStart w:id="11" w:name="_Toc454522665"/>
      <w:bookmarkStart w:id="12" w:name="_Toc454547767"/>
      <w:r w:rsidRPr="00DE1622">
        <w:rPr>
          <w:rStyle w:val="1"/>
          <w:rFonts w:ascii="SimSun" w:hAnsi="SimSun" w:hint="eastAsia"/>
          <w:sz w:val="21"/>
          <w:szCs w:val="21"/>
        </w:rPr>
        <w:t>大韩民国</w:t>
      </w:r>
      <w:bookmarkEnd w:id="11"/>
      <w:bookmarkEnd w:id="12"/>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sidR="00B91C3B" w:rsidRPr="00A9523F">
        <w:rPr>
          <w:rFonts w:ascii="SimSun" w:hAnsi="SimSun"/>
          <w:sz w:val="21"/>
          <w:szCs w:val="21"/>
        </w:rPr>
        <w:sym w:font="Symbol" w:char="F080"/>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D449C5" w:rsidRDefault="00842EB6" w:rsidP="00CA18A5">
      <w:pPr>
        <w:keepNext/>
        <w:keepLines/>
        <w:tabs>
          <w:tab w:val="left" w:pos="3780"/>
        </w:tabs>
        <w:spacing w:afterLines="50" w:after="120" w:line="340" w:lineRule="atLeast"/>
        <w:jc w:val="center"/>
        <w:rPr>
          <w:rFonts w:ascii="SimSun" w:hAnsi="SimSun"/>
          <w:sz w:val="21"/>
          <w:szCs w:val="24"/>
        </w:rPr>
      </w:pPr>
      <w:r w:rsidRPr="00DE1622">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CD6A66">
      <w:pPr>
        <w:spacing w:afterLines="50" w:after="120" w:line="340" w:lineRule="atLeast"/>
        <w:jc w:val="both"/>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w:t>
      </w:r>
      <w:r w:rsidRPr="00CD6A66">
        <w:rPr>
          <w:rFonts w:ascii="KaiTi" w:eastAsia="KaiTi" w:hAnsi="KaiTi" w:hint="eastAsia"/>
          <w:sz w:val="21"/>
          <w:szCs w:val="21"/>
        </w:rPr>
        <w:t>办事处</w:t>
      </w:r>
      <w:r w:rsidRPr="009D5469">
        <w:rPr>
          <w:rFonts w:ascii="KaiTi" w:eastAsia="KaiTi" w:hAnsi="KaiTi" w:cs="SimSun" w:hint="eastAsia"/>
          <w:sz w:val="21"/>
        </w:rPr>
        <w:t>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任何以本国名义或经其成员国同意代表该国家集团或地区集团申请成为驻外办事处东道国的成员国，应以书面形式通知大会主席和总干事。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CD6A66">
        <w:rPr>
          <w:rFonts w:ascii="SimHei" w:eastAsia="SimHei" w:hAnsi="SimHei"/>
          <w:bCs/>
          <w:smallCaps/>
          <w:color w:val="1F497D" w:themeColor="text2"/>
          <w:sz w:val="21"/>
          <w:szCs w:val="21"/>
          <w:u w:val="single"/>
          <w:vertAlign w:val="superscript"/>
        </w:rPr>
        <w:footnoteReference w:id="19"/>
      </w:r>
      <w:r w:rsidR="009D5469" w:rsidRPr="009D5469">
        <w:rPr>
          <w:rFonts w:ascii="SimHei" w:eastAsia="SimHei" w:hAnsi="SimHei"/>
          <w:bCs/>
          <w:smallCaps/>
          <w:color w:val="1F497D" w:themeColor="text2"/>
          <w:sz w:val="21"/>
          <w:szCs w:val="21"/>
        </w:rPr>
        <w:t>：</w:t>
      </w:r>
    </w:p>
    <w:p w:rsidR="00D449C5" w:rsidRPr="009D5469" w:rsidRDefault="00D80CD4"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大韩民国（“韩国”）是开展活动以满足WIPO全球主要知识产权服务用户的当前需求，以及分享韩国在通过知识产权实现经济发展方面独一无二经验的理想地点。WIPO韩国办事处将使效绩显著受益，并通过加强坚实的知识产权基础和全球商业基础设施来推动知识产权的发展。</w:t>
      </w:r>
    </w:p>
    <w:p w:rsidR="00D449C5" w:rsidRPr="009D5469" w:rsidRDefault="00D80CD4"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D449C5">
        <w:rPr>
          <w:rFonts w:ascii="SimSun" w:hAnsi="SimSun" w:hint="eastAsia"/>
          <w:sz w:val="21"/>
        </w:rPr>
        <w:t>所有WIPO成员国都有责任确保WIPO及其驻外办事处能够以最有效的的方式实施它的计划并产生优异成果。</w:t>
      </w:r>
      <w:r w:rsidRPr="009D5469">
        <w:rPr>
          <w:rFonts w:ascii="SimSun" w:hAnsi="SimSun" w:hint="eastAsia"/>
          <w:sz w:val="21"/>
          <w:shd w:val="clear" w:color="auto" w:fill="FFFFFF"/>
        </w:rPr>
        <w:t>毋庸置疑，WIPO的主要目标是建立全球知识产权制度以促进创新和创造力，以及使发展中国家能够通过知识产权能力建设从全球知识产权制度中获益，从而创建一个知识产权创新循环。有鉴于WIPO的宗旨，WIPO驻外办事处的选址决定应依据创新周期在哪里能够有效运行。毋庸置疑，办事处所在地必须拥有数量足够多的专业知识产权服务用户以及实施发展方面所需的丰富专长。</w:t>
      </w:r>
      <w:r w:rsidRPr="00D449C5">
        <w:rPr>
          <w:rFonts w:ascii="SimSun" w:hAnsi="SimSun" w:hint="eastAsia"/>
          <w:sz w:val="21"/>
          <w:shd w:val="clear" w:color="auto" w:fill="FFFFFF"/>
        </w:rPr>
        <w:t>WIPO韩国办事处将协调全球外展服务，以对上述循环进行改进。</w:t>
      </w:r>
    </w:p>
    <w:p w:rsidR="00D449C5" w:rsidRPr="00CD6A66" w:rsidRDefault="00FE76F0" w:rsidP="00CD6A66">
      <w:pPr>
        <w:keepNext/>
        <w:shd w:val="clear" w:color="auto" w:fill="FFFFFF"/>
        <w:overflowPunct w:val="0"/>
        <w:spacing w:afterLines="50" w:after="120" w:line="340" w:lineRule="atLeast"/>
        <w:textAlignment w:val="baseline"/>
        <w:rPr>
          <w:rFonts w:ascii="SimSun" w:hAnsi="SimSun"/>
          <w:bCs/>
          <w:color w:val="000000"/>
          <w:sz w:val="21"/>
          <w:u w:val="single"/>
          <w:shd w:val="clear" w:color="auto" w:fill="FFFFFF"/>
        </w:rPr>
      </w:pPr>
      <w:r w:rsidRPr="00CD6A66">
        <w:rPr>
          <w:rFonts w:ascii="SimSun" w:hAnsi="SimSun" w:cs="SimSun" w:hint="eastAsia"/>
          <w:bCs/>
          <w:color w:val="000000"/>
          <w:sz w:val="21"/>
          <w:u w:val="single"/>
          <w:shd w:val="clear" w:color="auto" w:fill="FFFFFF"/>
        </w:rPr>
        <w:t>韩国</w:t>
      </w:r>
      <w:r w:rsidRPr="00CD6A66">
        <w:rPr>
          <w:rFonts w:ascii="SimSun" w:hAnsi="SimSun" w:cs="Batang" w:hint="eastAsia"/>
          <w:bCs/>
          <w:color w:val="000000"/>
          <w:sz w:val="21"/>
          <w:u w:val="single"/>
          <w:shd w:val="clear" w:color="auto" w:fill="FFFFFF"/>
        </w:rPr>
        <w:t>是知</w:t>
      </w:r>
      <w:r w:rsidRPr="00CD6A66">
        <w:rPr>
          <w:rFonts w:ascii="SimSun" w:hAnsi="SimSun" w:cs="SimSun" w:hint="eastAsia"/>
          <w:bCs/>
          <w:color w:val="000000"/>
          <w:sz w:val="21"/>
          <w:u w:val="single"/>
          <w:shd w:val="clear" w:color="auto" w:fill="FFFFFF"/>
        </w:rPr>
        <w:t>识产权</w:t>
      </w:r>
      <w:r w:rsidRPr="00CD6A66">
        <w:rPr>
          <w:rFonts w:ascii="SimSun" w:hAnsi="SimSun" w:cs="Batang" w:hint="eastAsia"/>
          <w:bCs/>
          <w:color w:val="000000"/>
          <w:sz w:val="21"/>
          <w:u w:val="single"/>
          <w:shd w:val="clear" w:color="auto" w:fill="FFFFFF"/>
        </w:rPr>
        <w:t>强</w:t>
      </w:r>
      <w:r w:rsidRPr="00CD6A66">
        <w:rPr>
          <w:rFonts w:ascii="SimSun" w:hAnsi="SimSun" w:cs="SimSun" w:hint="eastAsia"/>
          <w:bCs/>
          <w:color w:val="000000"/>
          <w:sz w:val="21"/>
          <w:u w:val="single"/>
          <w:shd w:val="clear" w:color="auto" w:fill="FFFFFF"/>
        </w:rPr>
        <w:t>国</w:t>
      </w:r>
    </w:p>
    <w:p w:rsidR="00D449C5" w:rsidRPr="009D5469" w:rsidRDefault="008B4E0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利用知识产权制度方面是全球创新和创造力的领军者。韩国目前使用包括WIPO全球主要知识产权服务在内的知识产权相关服务的用户数量显著高于大多数国家的用户数量。这并非是指反映人口和国家发展的潜在需求，而是实际存在的WIPO和知识产权界必须应对的当前需求。</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2015年，韩国人提交的PCT申请量为14,626件，名列世界第五位。大多数发达国家在PCT申请方面都处于增长停滞期，但韩国的申请量持续逐步增长。特别是韩国在2015年与上一年相比增长了11.5%，而PCT总申请量的增长率为1.7%。此外，作为PCT公布语言之一的韩文是第五大最普遍使用的PCT申请语言。</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韩国人提交的专利申请量一直稳居世界第四位的水平，2015年的专利申请量达到238,015件。同时，每1000亿美元GDP</w:t>
      </w:r>
      <w:r w:rsidR="00F85B4A">
        <w:rPr>
          <w:rFonts w:ascii="SimSun" w:hAnsi="SimSun" w:hint="eastAsia"/>
          <w:sz w:val="21"/>
          <w:shd w:val="clear" w:color="auto" w:fill="FFFFFF"/>
        </w:rPr>
        <w:t>（</w:t>
      </w:r>
      <w:r w:rsidRPr="009D5469">
        <w:rPr>
          <w:rFonts w:ascii="SimSun" w:hAnsi="SimSun" w:hint="eastAsia"/>
          <w:sz w:val="21"/>
          <w:shd w:val="clear" w:color="auto" w:fill="FFFFFF"/>
        </w:rPr>
        <w:t>2015年9,610件</w:t>
      </w:r>
      <w:r w:rsidR="00F85B4A">
        <w:rPr>
          <w:rFonts w:ascii="SimSun" w:hAnsi="SimSun" w:hint="eastAsia"/>
          <w:sz w:val="21"/>
          <w:shd w:val="clear" w:color="auto" w:fill="FFFFFF"/>
        </w:rPr>
        <w:t>）</w:t>
      </w:r>
      <w:r w:rsidRPr="009D5469">
        <w:rPr>
          <w:rFonts w:ascii="SimSun" w:hAnsi="SimSun" w:hint="eastAsia"/>
          <w:sz w:val="21"/>
          <w:shd w:val="clear" w:color="auto" w:fill="FFFFFF"/>
        </w:rPr>
        <w:t>和每百万人口</w:t>
      </w:r>
      <w:r w:rsidR="00F85B4A">
        <w:rPr>
          <w:rFonts w:ascii="SimSun" w:hAnsi="SimSun" w:hint="eastAsia"/>
          <w:sz w:val="21"/>
          <w:shd w:val="clear" w:color="auto" w:fill="FFFFFF"/>
        </w:rPr>
        <w:t>（</w:t>
      </w:r>
      <w:r w:rsidRPr="009D5469">
        <w:rPr>
          <w:rFonts w:ascii="SimSun" w:hAnsi="SimSun" w:hint="eastAsia"/>
          <w:sz w:val="21"/>
          <w:shd w:val="clear" w:color="auto" w:fill="FFFFFF"/>
        </w:rPr>
        <w:t>2015年3,305件</w:t>
      </w:r>
      <w:r w:rsidR="00F85B4A">
        <w:rPr>
          <w:rFonts w:ascii="SimSun" w:hAnsi="SimSun" w:hint="eastAsia"/>
          <w:sz w:val="21"/>
          <w:shd w:val="clear" w:color="auto" w:fill="FFFFFF"/>
        </w:rPr>
        <w:t>）</w:t>
      </w:r>
      <w:r w:rsidRPr="009D5469">
        <w:rPr>
          <w:rFonts w:ascii="SimSun" w:hAnsi="SimSun" w:hint="eastAsia"/>
          <w:sz w:val="21"/>
          <w:shd w:val="clear" w:color="auto" w:fill="FFFFFF"/>
        </w:rPr>
        <w:t>本国人专利申请件数均排名世界第一。</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lastRenderedPageBreak/>
        <w:t>在工业品外观设计方面，韩国人提交的申请中外观设计件数世界排名第二。韩国的每1000亿美元GDP和每百万人口的本国人申请中外观设计件数排名世界第一。同时，韩国人提交的海牙国际申请量世界排名第三，共计548件，海牙国际申请中的外观设计件数世界排名第四，在2015年共计1,282件外观设计。</w:t>
      </w:r>
    </w:p>
    <w:p w:rsidR="00D449C5" w:rsidRPr="009D5469" w:rsidRDefault="00DE5F76"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在为创造知识产权所进行的研究与开发</w:t>
      </w:r>
      <w:r w:rsidR="00F85B4A">
        <w:rPr>
          <w:rFonts w:ascii="SimSun" w:hAnsi="SimSun" w:hint="eastAsia"/>
          <w:sz w:val="21"/>
          <w:shd w:val="clear" w:color="auto" w:fill="FFFFFF"/>
        </w:rPr>
        <w:t>（</w:t>
      </w:r>
      <w:r w:rsidRPr="009D5469">
        <w:rPr>
          <w:rFonts w:ascii="SimSun" w:hAnsi="SimSun" w:hint="eastAsia"/>
          <w:sz w:val="21"/>
          <w:shd w:val="clear" w:color="auto" w:fill="FFFFFF"/>
        </w:rPr>
        <w:t>R&amp;D</w:t>
      </w:r>
      <w:r w:rsidR="00F85B4A">
        <w:rPr>
          <w:rFonts w:ascii="SimSun" w:hAnsi="SimSun" w:hint="eastAsia"/>
          <w:sz w:val="21"/>
          <w:shd w:val="clear" w:color="auto" w:fill="FFFFFF"/>
        </w:rPr>
        <w:t>）</w:t>
      </w:r>
      <w:r w:rsidRPr="009D5469">
        <w:rPr>
          <w:rFonts w:ascii="SimSun" w:hAnsi="SimSun" w:hint="eastAsia"/>
          <w:sz w:val="21"/>
          <w:shd w:val="clear" w:color="auto" w:fill="FFFFFF"/>
        </w:rPr>
        <w:t>方面，韩国的研发支出占GDP的份额在2014年为4.3%，位居世界首位。</w:t>
      </w:r>
    </w:p>
    <w:p w:rsidR="00D449C5" w:rsidRPr="00CD6A66" w:rsidRDefault="00D369D7"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韩国为知识产权事业做出了贡献</w:t>
      </w:r>
    </w:p>
    <w:p w:rsidR="00D449C5" w:rsidRPr="009D5469" w:rsidRDefault="00D369D7"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短时期内就通过知识产权从最不发达国家成功转型为世界上最发达的国家之一。只有在国际社会的帮助下才可能实现这一点，现在是时候通过向任何想要实现可持续发展的国家提供类似帮助来将帮助传递下去。我们希望能够通过一个单一渠道将韩国在知识产权使用方面的经验有效地进行转移。</w:t>
      </w:r>
    </w:p>
    <w:p w:rsidR="00D449C5" w:rsidRPr="009D5469" w:rsidRDefault="00D369D7"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截至2015年，韩国官方发展援助</w:t>
      </w:r>
      <w:r w:rsidR="00F85B4A">
        <w:rPr>
          <w:rFonts w:ascii="SimSun" w:hAnsi="SimSun" w:hint="eastAsia"/>
          <w:sz w:val="21"/>
          <w:shd w:val="clear" w:color="auto" w:fill="FFFFFF"/>
        </w:rPr>
        <w:t>（</w:t>
      </w:r>
      <w:r w:rsidRPr="009D5469">
        <w:rPr>
          <w:rFonts w:ascii="SimSun" w:hAnsi="SimSun" w:hint="eastAsia"/>
          <w:sz w:val="21"/>
          <w:shd w:val="clear" w:color="auto" w:fill="FFFFFF"/>
        </w:rPr>
        <w:t>ODA</w:t>
      </w:r>
      <w:r w:rsidR="00F85B4A">
        <w:rPr>
          <w:rFonts w:ascii="SimSun" w:hAnsi="SimSun" w:hint="eastAsia"/>
          <w:sz w:val="21"/>
          <w:shd w:val="clear" w:color="auto" w:fill="FFFFFF"/>
        </w:rPr>
        <w:t>）</w:t>
      </w:r>
      <w:r w:rsidRPr="009D5469">
        <w:rPr>
          <w:rFonts w:ascii="SimSun" w:hAnsi="SimSun" w:hint="eastAsia"/>
          <w:sz w:val="21"/>
          <w:shd w:val="clear" w:color="auto" w:fill="FFFFFF"/>
        </w:rPr>
        <w:t>的年度预算为19亿美元，自2000年初期开始，上述年度预算一直持续快速增长。此外，过去5年间ODA预算的年均增长率世界排名第一。</w:t>
      </w:r>
    </w:p>
    <w:p w:rsidR="00D449C5" w:rsidRPr="009D5469" w:rsidRDefault="007F0582" w:rsidP="00CD6A66">
      <w:pPr>
        <w:keepNext/>
        <w:shd w:val="clear" w:color="auto" w:fill="FFFFFF"/>
        <w:overflowPunct w:val="0"/>
        <w:spacing w:afterLines="50" w:after="120" w:line="340" w:lineRule="atLeast"/>
        <w:textAlignment w:val="baseline"/>
        <w:rPr>
          <w:rFonts w:ascii="KaiTi" w:eastAsia="KaiTi" w:hAnsi="KaiTi"/>
          <w:iCs/>
          <w:color w:val="000000"/>
          <w:sz w:val="21"/>
        </w:rPr>
      </w:pPr>
      <w:r w:rsidRPr="009D5469">
        <w:rPr>
          <w:rFonts w:ascii="KaiTi" w:eastAsia="KaiTi" w:hAnsi="KaiTi" w:hint="eastAsia"/>
          <w:bCs/>
          <w:iCs/>
          <w:color w:val="000000"/>
          <w:sz w:val="21"/>
          <w:shd w:val="clear" w:color="auto" w:fill="FFFFFF"/>
        </w:rPr>
        <w:t>WIPO</w:t>
      </w:r>
      <w:r w:rsidRPr="009D5469">
        <w:rPr>
          <w:rFonts w:ascii="KaiTi" w:eastAsia="KaiTi" w:hAnsi="KaiTi" w:cs="SimSun" w:hint="eastAsia"/>
          <w:bCs/>
          <w:iCs/>
          <w:color w:val="000000"/>
          <w:sz w:val="21"/>
          <w:shd w:val="clear" w:color="auto" w:fill="FFFFFF"/>
        </w:rPr>
        <w:t>韩国</w:t>
      </w:r>
      <w:r w:rsidRPr="009D5469">
        <w:rPr>
          <w:rFonts w:ascii="KaiTi" w:eastAsia="KaiTi" w:hAnsi="KaiTi" w:cs="Batang" w:hint="eastAsia"/>
          <w:bCs/>
          <w:iCs/>
          <w:color w:val="000000"/>
          <w:sz w:val="21"/>
          <w:shd w:val="clear" w:color="auto" w:fill="FFFFFF"/>
        </w:rPr>
        <w:t>信托基金</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color w:val="000000"/>
          <w:sz w:val="21"/>
          <w:shd w:val="clear" w:color="auto" w:fill="FFFFFF"/>
        </w:rPr>
      </w:pPr>
      <w:r w:rsidRPr="009D5469">
        <w:rPr>
          <w:rFonts w:ascii="SimSun" w:hAnsi="SimSun" w:hint="eastAsia"/>
          <w:color w:val="000000"/>
          <w:sz w:val="21"/>
          <w:shd w:val="clear" w:color="auto" w:fill="FFFFFF"/>
        </w:rPr>
        <w:t>自2004年以</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向</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信托基金注入了大</w:t>
      </w:r>
      <w:r w:rsidRPr="009D5469">
        <w:rPr>
          <w:rFonts w:ascii="SimSun" w:hAnsi="SimSun" w:cs="SimSun" w:hint="eastAsia"/>
          <w:color w:val="000000"/>
          <w:sz w:val="21"/>
          <w:shd w:val="clear" w:color="auto" w:fill="FFFFFF"/>
        </w:rPr>
        <w:t>约</w:t>
      </w:r>
      <w:r w:rsidRPr="009D5469">
        <w:rPr>
          <w:rFonts w:ascii="SimSun" w:hAnsi="SimSun" w:hint="eastAsia"/>
          <w:color w:val="000000"/>
          <w:sz w:val="21"/>
          <w:shd w:val="clear" w:color="auto" w:fill="FFFFFF"/>
        </w:rPr>
        <w:t>1,260万美元，</w:t>
      </w:r>
      <w:r w:rsidRPr="009D5469">
        <w:rPr>
          <w:rFonts w:ascii="SimSun" w:hAnsi="SimSun" w:cs="SimSun" w:hint="eastAsia"/>
          <w:color w:val="000000"/>
          <w:sz w:val="21"/>
          <w:shd w:val="clear" w:color="auto" w:fill="FFFFFF"/>
        </w:rPr>
        <w:t>并将</w:t>
      </w:r>
      <w:r w:rsidRPr="00CD6A66">
        <w:rPr>
          <w:rFonts w:ascii="SimSun" w:hAnsi="SimSun" w:cs="Batang" w:hint="eastAsia"/>
          <w:color w:val="000000"/>
          <w:sz w:val="21"/>
          <w:shd w:val="clear" w:color="auto" w:fill="FFFFFF"/>
        </w:rPr>
        <w:t>其用于</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共同</w:t>
      </w:r>
      <w:r w:rsidRPr="009D5469">
        <w:rPr>
          <w:rFonts w:ascii="SimSun" w:hAnsi="SimSun" w:cs="SimSun" w:hint="eastAsia"/>
          <w:color w:val="000000"/>
          <w:sz w:val="21"/>
          <w:shd w:val="clear" w:color="auto" w:fill="FFFFFF"/>
        </w:rPr>
        <w:t>项</w:t>
      </w:r>
      <w:r w:rsidRPr="00CD6A66">
        <w:rPr>
          <w:rFonts w:ascii="SimSun" w:hAnsi="SimSun" w:cs="Batang" w:hint="eastAsia"/>
          <w:color w:val="000000"/>
          <w:sz w:val="21"/>
          <w:shd w:val="clear" w:color="auto" w:fill="FFFFFF"/>
        </w:rPr>
        <w:t>目，</w:t>
      </w:r>
      <w:r w:rsidRPr="009D5469">
        <w:rPr>
          <w:rFonts w:ascii="SimSun" w:hAnsi="SimSun" w:cs="SimSun" w:hint="eastAsia"/>
          <w:color w:val="000000"/>
          <w:sz w:val="21"/>
          <w:shd w:val="clear" w:color="auto" w:fill="FFFFFF"/>
        </w:rPr>
        <w:t>这</w:t>
      </w:r>
      <w:r w:rsidRPr="00CD6A66">
        <w:rPr>
          <w:rFonts w:ascii="SimSun" w:hAnsi="SimSun" w:cs="Batang" w:hint="eastAsia"/>
          <w:color w:val="000000"/>
          <w:sz w:val="21"/>
          <w:shd w:val="clear" w:color="auto" w:fill="FFFFFF"/>
        </w:rPr>
        <w:t>些</w:t>
      </w:r>
      <w:r w:rsidRPr="00CD6A66">
        <w:rPr>
          <w:rFonts w:ascii="SimSun" w:hAnsi="SimSun" w:hint="eastAsia"/>
          <w:sz w:val="21"/>
          <w:shd w:val="clear" w:color="auto" w:fill="FFFFFF"/>
        </w:rPr>
        <w:t>项目</w:t>
      </w:r>
      <w:r w:rsidRPr="00CD6A66">
        <w:rPr>
          <w:rFonts w:ascii="SimSun" w:hAnsi="SimSun" w:cs="Batang" w:hint="eastAsia"/>
          <w:color w:val="000000"/>
          <w:sz w:val="21"/>
          <w:shd w:val="clear" w:color="auto" w:fill="FFFFFF"/>
        </w:rPr>
        <w:t>通</w:t>
      </w:r>
      <w:r w:rsidRPr="009D5469">
        <w:rPr>
          <w:rFonts w:ascii="SimSun" w:hAnsi="SimSun" w:cs="SimSun" w:hint="eastAsia"/>
          <w:color w:val="000000"/>
          <w:sz w:val="21"/>
          <w:shd w:val="clear" w:color="auto" w:fill="FFFFFF"/>
        </w:rPr>
        <w:t>过</w:t>
      </w:r>
      <w:r w:rsidRPr="00CD6A66">
        <w:rPr>
          <w:rFonts w:ascii="SimSun" w:hAnsi="SimSun" w:cs="Batang" w:hint="eastAsia"/>
          <w:color w:val="000000"/>
          <w:sz w:val="21"/>
          <w:shd w:val="clear" w:color="auto" w:fill="FFFFFF"/>
        </w:rPr>
        <w:t>促</w:t>
      </w:r>
      <w:r w:rsidRPr="009D5469">
        <w:rPr>
          <w:rFonts w:ascii="SimSun" w:hAnsi="SimSun" w:cs="SimSun" w:hint="eastAsia"/>
          <w:color w:val="000000"/>
          <w:sz w:val="21"/>
          <w:shd w:val="clear" w:color="auto" w:fill="FFFFFF"/>
        </w:rPr>
        <w:t>进经济</w:t>
      </w:r>
      <w:r w:rsidRPr="00CD6A66">
        <w:rPr>
          <w:rFonts w:ascii="SimSun" w:hAnsi="SimSun" w:cs="Batang" w:hint="eastAsia"/>
          <w:color w:val="000000"/>
          <w:sz w:val="21"/>
          <w:shd w:val="clear" w:color="auto" w:fill="FFFFFF"/>
        </w:rPr>
        <w:t>、社</w:t>
      </w:r>
      <w:r w:rsidRPr="009D5469">
        <w:rPr>
          <w:rFonts w:ascii="SimSun" w:hAnsi="SimSun" w:cs="SimSun" w:hint="eastAsia"/>
          <w:color w:val="000000"/>
          <w:sz w:val="21"/>
          <w:shd w:val="clear" w:color="auto" w:fill="FFFFFF"/>
        </w:rPr>
        <w:t>会</w:t>
      </w:r>
      <w:r w:rsidRPr="00CD6A66">
        <w:rPr>
          <w:rFonts w:ascii="SimSun" w:hAnsi="SimSun" w:cs="Batang" w:hint="eastAsia"/>
          <w:color w:val="000000"/>
          <w:sz w:val="21"/>
          <w:shd w:val="clear" w:color="auto" w:fill="FFFFFF"/>
        </w:rPr>
        <w:t>和文化</w:t>
      </w:r>
      <w:r w:rsidRPr="009D5469">
        <w:rPr>
          <w:rFonts w:ascii="SimSun" w:hAnsi="SimSun" w:cs="SimSun" w:hint="eastAsia"/>
          <w:color w:val="000000"/>
          <w:sz w:val="21"/>
          <w:shd w:val="clear" w:color="auto" w:fill="FFFFFF"/>
        </w:rPr>
        <w:t>发</w:t>
      </w:r>
      <w:r w:rsidRPr="00CD6A66">
        <w:rPr>
          <w:rFonts w:ascii="SimSun" w:hAnsi="SimSun" w:cs="Batang" w:hint="eastAsia"/>
          <w:color w:val="000000"/>
          <w:sz w:val="21"/>
          <w:shd w:val="clear" w:color="auto" w:fill="FFFFFF"/>
        </w:rPr>
        <w:t>展加强全球知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制度。</w:t>
      </w:r>
      <w:r w:rsidRPr="009D5469">
        <w:rPr>
          <w:rFonts w:ascii="SimSun" w:hAnsi="SimSun" w:hint="eastAsia"/>
          <w:color w:val="000000"/>
          <w:sz w:val="21"/>
          <w:shd w:val="clear" w:color="auto" w:fill="FFFFFF"/>
        </w:rPr>
        <w:t>在WIPO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信托基金的支持下，</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局</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KIPO</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自2011年以</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共在</w:t>
      </w:r>
      <w:r w:rsidRPr="009D5469">
        <w:rPr>
          <w:rFonts w:ascii="SimSun" w:hAnsi="SimSun" w:hint="eastAsia"/>
          <w:color w:val="000000"/>
          <w:sz w:val="21"/>
          <w:shd w:val="clear" w:color="auto" w:fill="FFFFFF"/>
        </w:rPr>
        <w:t>10</w:t>
      </w:r>
      <w:r w:rsidRPr="009D5469">
        <w:rPr>
          <w:rFonts w:ascii="SimSun" w:hAnsi="SimSun" w:cs="SimSun" w:hint="eastAsia"/>
          <w:color w:val="000000"/>
          <w:sz w:val="21"/>
          <w:shd w:val="clear" w:color="auto" w:fill="FFFFFF"/>
        </w:rPr>
        <w:t>个国</w:t>
      </w:r>
      <w:r w:rsidRPr="00CD6A66">
        <w:rPr>
          <w:rFonts w:ascii="SimSun" w:hAnsi="SimSun" w:cs="Batang" w:hint="eastAsia"/>
          <w:color w:val="000000"/>
          <w:sz w:val="21"/>
          <w:shd w:val="clear" w:color="auto" w:fill="FFFFFF"/>
        </w:rPr>
        <w:t>家</w:t>
      </w:r>
      <w:r w:rsidRPr="009D5469">
        <w:rPr>
          <w:rFonts w:ascii="SimSun" w:hAnsi="SimSun" w:cs="SimSun" w:hint="eastAsia"/>
          <w:color w:val="000000"/>
          <w:sz w:val="21"/>
          <w:shd w:val="clear" w:color="auto" w:fill="FFFFFF"/>
        </w:rPr>
        <w:t>举办</w:t>
      </w:r>
      <w:r w:rsidRPr="00CD6A66">
        <w:rPr>
          <w:rFonts w:ascii="SimSun" w:hAnsi="SimSun" w:cs="Batang" w:hint="eastAsia"/>
          <w:color w:val="000000"/>
          <w:sz w:val="21"/>
          <w:shd w:val="clear" w:color="auto" w:fill="FFFFFF"/>
        </w:rPr>
        <w:t>了每年一度的适用技</w:t>
      </w:r>
      <w:r w:rsidRPr="009D5469">
        <w:rPr>
          <w:rFonts w:ascii="SimSun" w:hAnsi="SimSun" w:cs="SimSun" w:hint="eastAsia"/>
          <w:color w:val="000000"/>
          <w:sz w:val="21"/>
          <w:shd w:val="clear" w:color="auto" w:fill="FFFFFF"/>
        </w:rPr>
        <w:t>术</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AT</w:t>
      </w:r>
      <w:r w:rsidR="00F85B4A">
        <w:rPr>
          <w:rFonts w:ascii="SimSun" w:hAnsi="SimSun" w:hint="eastAsia"/>
          <w:color w:val="000000"/>
          <w:sz w:val="21"/>
          <w:shd w:val="clear" w:color="auto" w:fill="FFFFFF"/>
        </w:rPr>
        <w:t>）</w:t>
      </w:r>
      <w:r w:rsidRPr="009D5469">
        <w:rPr>
          <w:rFonts w:ascii="SimSun" w:hAnsi="SimSun" w:cs="SimSun" w:hint="eastAsia"/>
          <w:color w:val="000000"/>
          <w:sz w:val="21"/>
          <w:shd w:val="clear" w:color="auto" w:fill="FFFFFF"/>
        </w:rPr>
        <w:t>竞赛</w:t>
      </w:r>
      <w:r w:rsidRPr="00CD6A66">
        <w:rPr>
          <w:rFonts w:ascii="SimSun" w:hAnsi="SimSun" w:cs="Batang" w:hint="eastAsia"/>
          <w:color w:val="000000"/>
          <w:sz w:val="21"/>
          <w:shd w:val="clear" w:color="auto" w:fill="FFFFFF"/>
        </w:rPr>
        <w:t>，提供了知</w:t>
      </w:r>
      <w:r w:rsidRPr="009D5469">
        <w:rPr>
          <w:rFonts w:ascii="SimSun" w:hAnsi="SimSun" w:cs="SimSun" w:hint="eastAsia"/>
          <w:color w:val="000000"/>
          <w:sz w:val="21"/>
          <w:shd w:val="clear" w:color="auto" w:fill="FFFFFF"/>
        </w:rPr>
        <w:t>识产权教</w:t>
      </w:r>
      <w:r w:rsidRPr="00CD6A66">
        <w:rPr>
          <w:rFonts w:ascii="SimSun" w:hAnsi="SimSun" w:cs="Batang" w:hint="eastAsia"/>
          <w:color w:val="000000"/>
          <w:sz w:val="21"/>
          <w:shd w:val="clear" w:color="auto" w:fill="FFFFFF"/>
        </w:rPr>
        <w:t>育</w:t>
      </w:r>
      <w:r w:rsidRPr="009D5469">
        <w:rPr>
          <w:rFonts w:ascii="SimSun" w:hAnsi="SimSun" w:cs="SimSun" w:hint="eastAsia"/>
          <w:color w:val="000000"/>
          <w:sz w:val="21"/>
          <w:shd w:val="clear" w:color="auto" w:fill="FFFFFF"/>
        </w:rPr>
        <w:t>课</w:t>
      </w:r>
      <w:r w:rsidRPr="00CD6A66">
        <w:rPr>
          <w:rFonts w:ascii="SimSun" w:hAnsi="SimSun" w:cs="Batang" w:hint="eastAsia"/>
          <w:color w:val="000000"/>
          <w:sz w:val="21"/>
          <w:shd w:val="clear" w:color="auto" w:fill="FFFFFF"/>
        </w:rPr>
        <w:t>程，如</w:t>
      </w:r>
      <w:r w:rsidRPr="009D5469">
        <w:rPr>
          <w:rFonts w:ascii="SimSun" w:hAnsi="SimSun" w:cs="SimSun" w:hint="eastAsia"/>
          <w:color w:val="000000"/>
          <w:sz w:val="21"/>
          <w:shd w:val="clear" w:color="auto" w:fill="FFFFFF"/>
        </w:rPr>
        <w:t>专</w:t>
      </w:r>
      <w:r w:rsidRPr="00CD6A66">
        <w:rPr>
          <w:rFonts w:ascii="SimSun" w:hAnsi="SimSun" w:cs="Batang" w:hint="eastAsia"/>
          <w:color w:val="000000"/>
          <w:sz w:val="21"/>
          <w:shd w:val="clear" w:color="auto" w:fill="FFFFFF"/>
        </w:rPr>
        <w:t>利和商</w:t>
      </w:r>
      <w:r w:rsidRPr="009D5469">
        <w:rPr>
          <w:rFonts w:ascii="SimSun" w:hAnsi="SimSun" w:cs="SimSun" w:hint="eastAsia"/>
          <w:color w:val="000000"/>
          <w:sz w:val="21"/>
          <w:shd w:val="clear" w:color="auto" w:fill="FFFFFF"/>
        </w:rPr>
        <w:t>标</w:t>
      </w:r>
      <w:r w:rsidRPr="00CD6A66">
        <w:rPr>
          <w:rFonts w:ascii="SimSun" w:hAnsi="SimSun" w:cs="Batang" w:hint="eastAsia"/>
          <w:color w:val="000000"/>
          <w:sz w:val="21"/>
          <w:shd w:val="clear" w:color="auto" w:fill="FFFFFF"/>
        </w:rPr>
        <w:t>法</w:t>
      </w:r>
      <w:r w:rsidRPr="009D5469">
        <w:rPr>
          <w:rFonts w:ascii="SimSun" w:hAnsi="SimSun" w:cs="SimSun" w:hint="eastAsia"/>
          <w:color w:val="000000"/>
          <w:sz w:val="21"/>
          <w:shd w:val="clear" w:color="auto" w:fill="FFFFFF"/>
        </w:rPr>
        <w:t>与审查讲习</w:t>
      </w:r>
      <w:r w:rsidRPr="00CD6A66">
        <w:rPr>
          <w:rFonts w:ascii="SimSun" w:hAnsi="SimSun" w:cs="Batang" w:hint="eastAsia"/>
          <w:color w:val="000000"/>
          <w:sz w:val="21"/>
          <w:shd w:val="clear" w:color="auto" w:fill="FFFFFF"/>
        </w:rPr>
        <w:t>班、商</w:t>
      </w:r>
      <w:r w:rsidRPr="009D5469">
        <w:rPr>
          <w:rFonts w:ascii="SimSun" w:hAnsi="SimSun" w:cs="SimSun" w:hint="eastAsia"/>
          <w:color w:val="000000"/>
          <w:sz w:val="21"/>
          <w:shd w:val="clear" w:color="auto" w:fill="FFFFFF"/>
        </w:rPr>
        <w:t>标</w:t>
      </w:r>
      <w:r w:rsidRPr="00CD6A66">
        <w:rPr>
          <w:rFonts w:ascii="SimSun" w:hAnsi="SimSun" w:cs="Batang" w:hint="eastAsia"/>
          <w:color w:val="000000"/>
          <w:sz w:val="21"/>
          <w:shd w:val="clear" w:color="auto" w:fill="FFFFFF"/>
        </w:rPr>
        <w:t>法</w:t>
      </w:r>
      <w:r w:rsidRPr="009D5469">
        <w:rPr>
          <w:rFonts w:ascii="SimSun" w:hAnsi="SimSun" w:cs="SimSun" w:hint="eastAsia"/>
          <w:color w:val="000000"/>
          <w:sz w:val="21"/>
          <w:shd w:val="clear" w:color="auto" w:fill="FFFFFF"/>
        </w:rPr>
        <w:t>与审查讲习</w:t>
      </w:r>
      <w:r w:rsidRPr="00CD6A66">
        <w:rPr>
          <w:rFonts w:ascii="SimSun" w:hAnsi="SimSun" w:cs="Batang" w:hint="eastAsia"/>
          <w:color w:val="000000"/>
          <w:sz w:val="21"/>
          <w:shd w:val="clear" w:color="auto" w:fill="FFFFFF"/>
        </w:rPr>
        <w:t>班，</w:t>
      </w:r>
      <w:r w:rsidRPr="009D5469">
        <w:rPr>
          <w:rFonts w:ascii="SimSun" w:hAnsi="SimSun" w:cs="SimSun" w:hint="eastAsia"/>
          <w:color w:val="000000"/>
          <w:sz w:val="21"/>
          <w:shd w:val="clear" w:color="auto" w:fill="FFFFFF"/>
        </w:rPr>
        <w:t>并</w:t>
      </w:r>
      <w:r w:rsidRPr="00CD6A66">
        <w:rPr>
          <w:rFonts w:ascii="SimSun" w:hAnsi="SimSun" w:cs="Batang" w:hint="eastAsia"/>
          <w:color w:val="000000"/>
          <w:sz w:val="21"/>
          <w:shd w:val="clear" w:color="auto" w:fill="FFFFFF"/>
        </w:rPr>
        <w:t>且</w:t>
      </w:r>
      <w:r w:rsidRPr="009D5469">
        <w:rPr>
          <w:rFonts w:ascii="SimSun" w:hAnsi="SimSun" w:cs="SimSun" w:hint="eastAsia"/>
          <w:color w:val="000000"/>
          <w:sz w:val="21"/>
          <w:shd w:val="clear" w:color="auto" w:fill="FFFFFF"/>
        </w:rPr>
        <w:t>启</w:t>
      </w:r>
      <w:r w:rsidRPr="00CD6A66">
        <w:rPr>
          <w:rFonts w:ascii="SimSun" w:hAnsi="SimSun" w:cs="Batang" w:hint="eastAsia"/>
          <w:color w:val="000000"/>
          <w:sz w:val="21"/>
          <w:shd w:val="clear" w:color="auto" w:fill="FFFFFF"/>
        </w:rPr>
        <w:t>用了知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自</w:t>
      </w:r>
      <w:r w:rsidRPr="009D5469">
        <w:rPr>
          <w:rFonts w:ascii="SimSun" w:hAnsi="SimSun" w:cs="SimSun" w:hint="eastAsia"/>
          <w:color w:val="000000"/>
          <w:sz w:val="21"/>
          <w:shd w:val="clear" w:color="auto" w:fill="FFFFFF"/>
        </w:rPr>
        <w:t>动</w:t>
      </w:r>
      <w:r w:rsidRPr="00CD6A66">
        <w:rPr>
          <w:rFonts w:ascii="SimSun" w:hAnsi="SimSun" w:cs="Batang" w:hint="eastAsia"/>
          <w:color w:val="000000"/>
          <w:sz w:val="21"/>
          <w:shd w:val="clear" w:color="auto" w:fill="FFFFFF"/>
        </w:rPr>
        <w:t>化系</w:t>
      </w:r>
      <w:r w:rsidRPr="009D5469">
        <w:rPr>
          <w:rFonts w:ascii="SimSun" w:hAnsi="SimSun" w:cs="SimSun" w:hint="eastAsia"/>
          <w:color w:val="000000"/>
          <w:sz w:val="21"/>
          <w:shd w:val="clear" w:color="auto" w:fill="FFFFFF"/>
        </w:rPr>
        <w:t>统</w:t>
      </w:r>
      <w:r w:rsidRPr="00CD6A66">
        <w:rPr>
          <w:rFonts w:ascii="SimSun" w:hAnsi="SimSun" w:cs="Batang" w:hint="eastAsia"/>
          <w:color w:val="000000"/>
          <w:sz w:val="21"/>
          <w:shd w:val="clear" w:color="auto" w:fill="FFFFFF"/>
        </w:rPr>
        <w:t>。</w:t>
      </w:r>
    </w:p>
    <w:p w:rsidR="00D449C5" w:rsidRPr="00CD6A66" w:rsidRDefault="008348A9" w:rsidP="00CD6A66">
      <w:pPr>
        <w:keepNext/>
        <w:shd w:val="clear" w:color="auto" w:fill="FFFFFF"/>
        <w:overflowPunct w:val="0"/>
        <w:spacing w:afterLines="50" w:after="120" w:line="340" w:lineRule="atLeast"/>
        <w:textAlignment w:val="baseline"/>
        <w:rPr>
          <w:rFonts w:ascii="KaiTi" w:eastAsia="KaiTi" w:hAnsi="KaiTi" w:cs="Batang"/>
          <w:bCs/>
          <w:iCs/>
          <w:color w:val="000000"/>
          <w:sz w:val="21"/>
          <w:shd w:val="clear" w:color="auto" w:fill="FFFFFF"/>
        </w:rPr>
      </w:pPr>
      <w:r w:rsidRPr="00CD6A66">
        <w:rPr>
          <w:rFonts w:ascii="KaiTi" w:eastAsia="KaiTi" w:hAnsi="KaiTi" w:cs="Batang" w:hint="eastAsia"/>
          <w:bCs/>
          <w:iCs/>
          <w:color w:val="000000"/>
          <w:sz w:val="21"/>
          <w:shd w:val="clear" w:color="auto" w:fill="FFFFFF"/>
        </w:rPr>
        <w:t>KIPO全球知识产权</w:t>
      </w:r>
      <w:r w:rsidRPr="009D5469">
        <w:rPr>
          <w:rFonts w:ascii="KaiTi" w:eastAsia="KaiTi" w:hAnsi="KaiTi" w:cs="Batang" w:hint="eastAsia"/>
          <w:bCs/>
          <w:iCs/>
          <w:color w:val="000000"/>
          <w:sz w:val="21"/>
          <w:shd w:val="clear" w:color="auto" w:fill="FFFFFF"/>
        </w:rPr>
        <w:t>共享</w:t>
      </w:r>
      <w:r w:rsidRPr="00CD6A66">
        <w:rPr>
          <w:rFonts w:ascii="KaiTi" w:eastAsia="KaiTi" w:hAnsi="KaiTi" w:cs="Batang" w:hint="eastAsia"/>
          <w:bCs/>
          <w:iCs/>
          <w:color w:val="000000"/>
          <w:sz w:val="21"/>
          <w:shd w:val="clear" w:color="auto" w:fill="FFFFFF"/>
        </w:rPr>
        <w:t>项</w:t>
      </w:r>
      <w:r w:rsidRPr="009D5469">
        <w:rPr>
          <w:rFonts w:ascii="KaiTi" w:eastAsia="KaiTi" w:hAnsi="KaiTi" w:cs="Batang" w:hint="eastAsia"/>
          <w:bCs/>
          <w:iCs/>
          <w:color w:val="000000"/>
          <w:sz w:val="21"/>
          <w:shd w:val="clear" w:color="auto" w:fill="FFFFFF"/>
        </w:rPr>
        <w:t>目</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在双边ODA方面，韩国已实施了一系列全球知识产权共享项目。首先，KIPO为发展中国家的若干本地产品传播了技术并进行了品牌开发，从而提高生活质量。</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第二，在开发了韩国知识产权自动化系统KIPOnet后，审查未决期被缩短，并为用户带来了更多便利。以此经验为基础，韩国正在推广知识产权信息系统，并向10个不同国家提供信息技术咨询服务，帮助发展中国家对其知识产权管理系统进行现代化改造。</w:t>
      </w:r>
    </w:p>
    <w:p w:rsidR="00D449C5" w:rsidRPr="009D5469" w:rsidRDefault="00F8746E"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第三，韩国根据各界人士的需要编写了不同的全球知识产权教材。这些教材取得了很大的成功，“IP</w:t>
      </w:r>
      <w:r w:rsidR="00CD6A66">
        <w:rPr>
          <w:rFonts w:ascii="SimSun" w:hAnsi="SimSun" w:hint="eastAsia"/>
          <w:sz w:val="21"/>
          <w:shd w:val="clear" w:color="auto" w:fill="FFFFFF"/>
        </w:rPr>
        <w:t xml:space="preserve"> </w:t>
      </w:r>
      <w:r w:rsidRPr="009D5469">
        <w:rPr>
          <w:rFonts w:ascii="SimSun" w:hAnsi="SimSun" w:hint="eastAsia"/>
          <w:sz w:val="21"/>
          <w:shd w:val="clear" w:color="auto" w:fill="FFFFFF"/>
        </w:rPr>
        <w:t>Panorama”目前以24种不同语言提供，并在世界范围内使用，“小企鹅宝露露创造力培养教程”的浏览量超过2,300万次。</w:t>
      </w:r>
    </w:p>
    <w:p w:rsidR="00D449C5" w:rsidRPr="009D5469" w:rsidRDefault="00F8746E"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D449C5">
        <w:rPr>
          <w:rFonts w:ascii="SimSun" w:hAnsi="SimSun" w:hint="eastAsia"/>
          <w:sz w:val="21"/>
        </w:rPr>
        <w:t>第</w:t>
      </w:r>
      <w:r w:rsidRPr="009D5469">
        <w:rPr>
          <w:rFonts w:ascii="SimSun" w:hAnsi="SimSun" w:hint="eastAsia"/>
          <w:color w:val="000000"/>
          <w:sz w:val="21"/>
        </w:rPr>
        <w:t>四，</w:t>
      </w:r>
      <w:r w:rsidRPr="009D5469">
        <w:rPr>
          <w:rFonts w:ascii="SimSun" w:hAnsi="SimSun" w:cs="SimSun" w:hint="eastAsia"/>
          <w:color w:val="000000"/>
          <w:sz w:val="21"/>
        </w:rPr>
        <w:t>韩国</w:t>
      </w:r>
      <w:r w:rsidRPr="00CD6A66">
        <w:rPr>
          <w:rFonts w:ascii="SimSun" w:hAnsi="SimSun" w:cs="Gulim" w:hint="eastAsia"/>
          <w:color w:val="000000"/>
          <w:sz w:val="21"/>
        </w:rPr>
        <w:t>每年</w:t>
      </w:r>
      <w:r w:rsidRPr="009D5469">
        <w:rPr>
          <w:rFonts w:ascii="SimSun" w:hAnsi="SimSun" w:cs="SimSun" w:hint="eastAsia"/>
          <w:color w:val="000000"/>
          <w:sz w:val="21"/>
        </w:rPr>
        <w:t>举办</w:t>
      </w:r>
      <w:r w:rsidRPr="00CD6A66">
        <w:rPr>
          <w:rFonts w:ascii="SimSun" w:hAnsi="SimSun" w:cs="Gulim" w:hint="eastAsia"/>
          <w:color w:val="000000"/>
          <w:sz w:val="21"/>
        </w:rPr>
        <w:t>不同的知</w:t>
      </w:r>
      <w:r w:rsidRPr="009D5469">
        <w:rPr>
          <w:rFonts w:ascii="SimSun" w:hAnsi="SimSun" w:cs="SimSun" w:hint="eastAsia"/>
          <w:color w:val="000000"/>
          <w:sz w:val="21"/>
        </w:rPr>
        <w:t>识产权</w:t>
      </w:r>
      <w:r w:rsidRPr="00CD6A66">
        <w:rPr>
          <w:rFonts w:ascii="SimSun" w:hAnsi="SimSun" w:cs="Gulim" w:hint="eastAsia"/>
          <w:color w:val="000000"/>
          <w:sz w:val="21"/>
        </w:rPr>
        <w:t>培</w:t>
      </w:r>
      <w:r w:rsidRPr="009D5469">
        <w:rPr>
          <w:rFonts w:ascii="SimSun" w:hAnsi="SimSun" w:cs="SimSun" w:hint="eastAsia"/>
          <w:color w:val="000000"/>
          <w:sz w:val="21"/>
        </w:rPr>
        <w:t>训课</w:t>
      </w:r>
      <w:r w:rsidRPr="00CD6A66">
        <w:rPr>
          <w:rFonts w:ascii="SimSun" w:hAnsi="SimSun" w:cs="Gulim" w:hint="eastAsia"/>
          <w:color w:val="000000"/>
          <w:sz w:val="21"/>
        </w:rPr>
        <w:t>程。</w:t>
      </w:r>
      <w:r w:rsidRPr="009D5469">
        <w:rPr>
          <w:rFonts w:ascii="SimSun" w:hAnsi="SimSun" w:hint="eastAsia"/>
          <w:color w:val="000000"/>
          <w:sz w:val="21"/>
        </w:rPr>
        <w:t>2017年初步安排了面向230人的13</w:t>
      </w:r>
      <w:r w:rsidRPr="009D5469">
        <w:rPr>
          <w:rFonts w:ascii="SimSun" w:hAnsi="SimSun" w:cs="SimSun" w:hint="eastAsia"/>
          <w:color w:val="000000"/>
          <w:sz w:val="21"/>
        </w:rPr>
        <w:t>项</w:t>
      </w:r>
      <w:r w:rsidRPr="00CD6A66">
        <w:rPr>
          <w:rFonts w:ascii="SimSun" w:hAnsi="SimSun" w:cs="Gulim" w:hint="eastAsia"/>
          <w:color w:val="000000"/>
          <w:sz w:val="21"/>
        </w:rPr>
        <w:t>培</w:t>
      </w:r>
      <w:r w:rsidRPr="009D5469">
        <w:rPr>
          <w:rFonts w:ascii="SimSun" w:hAnsi="SimSun" w:cs="SimSun" w:hint="eastAsia"/>
          <w:color w:val="000000"/>
          <w:sz w:val="21"/>
        </w:rPr>
        <w:t>训课</w:t>
      </w:r>
      <w:r w:rsidRPr="00CD6A66">
        <w:rPr>
          <w:rFonts w:ascii="SimSun" w:hAnsi="SimSun" w:cs="Gulim" w:hint="eastAsia"/>
          <w:color w:val="000000"/>
          <w:sz w:val="21"/>
        </w:rPr>
        <w:t>程。</w:t>
      </w:r>
      <w:r w:rsidRPr="009D5469">
        <w:rPr>
          <w:rFonts w:ascii="SimSun" w:hAnsi="SimSun" w:hint="eastAsia"/>
          <w:color w:val="000000"/>
          <w:sz w:val="21"/>
        </w:rPr>
        <w:t>此外，</w:t>
      </w:r>
      <w:r w:rsidRPr="009D5469">
        <w:rPr>
          <w:rFonts w:ascii="SimSun" w:hAnsi="SimSun" w:cs="SimSun" w:hint="eastAsia"/>
          <w:color w:val="000000"/>
          <w:sz w:val="21"/>
        </w:rPr>
        <w:t>韩国将与</w:t>
      </w:r>
      <w:r w:rsidRPr="009D5469">
        <w:rPr>
          <w:rFonts w:ascii="SimSun" w:hAnsi="SimSun" w:hint="eastAsia"/>
          <w:color w:val="000000"/>
          <w:sz w:val="21"/>
        </w:rPr>
        <w:t>WIPO在</w:t>
      </w:r>
      <w:r w:rsidRPr="00CD6A66">
        <w:rPr>
          <w:rFonts w:ascii="SimSun" w:hAnsi="SimSun" w:hint="eastAsia"/>
          <w:sz w:val="21"/>
          <w:shd w:val="clear" w:color="auto" w:fill="FFFFFF"/>
        </w:rPr>
        <w:t>2017年4</w:t>
      </w:r>
      <w:r w:rsidRPr="009D5469">
        <w:rPr>
          <w:rFonts w:ascii="SimSun" w:hAnsi="SimSun" w:hint="eastAsia"/>
          <w:color w:val="000000"/>
          <w:sz w:val="21"/>
        </w:rPr>
        <w:t>月12日至14日共同</w:t>
      </w:r>
      <w:r w:rsidRPr="009D5469">
        <w:rPr>
          <w:rFonts w:ascii="SimSun" w:hAnsi="SimSun" w:cs="SimSun" w:hint="eastAsia"/>
          <w:color w:val="000000"/>
          <w:sz w:val="21"/>
        </w:rPr>
        <w:t>举办</w:t>
      </w:r>
      <w:r w:rsidRPr="00CD6A66">
        <w:rPr>
          <w:rFonts w:ascii="SimSun" w:hAnsi="SimSun" w:cs="Gulim" w:hint="eastAsia"/>
          <w:color w:val="000000"/>
          <w:sz w:val="21"/>
        </w:rPr>
        <w:t>知</w:t>
      </w:r>
      <w:r w:rsidRPr="009D5469">
        <w:rPr>
          <w:rFonts w:ascii="SimSun" w:hAnsi="SimSun" w:cs="SimSun" w:hint="eastAsia"/>
          <w:color w:val="000000"/>
          <w:sz w:val="21"/>
        </w:rPr>
        <w:t>识产权</w:t>
      </w:r>
      <w:r w:rsidRPr="00CD6A66">
        <w:rPr>
          <w:rFonts w:ascii="SimSun" w:hAnsi="SimSun" w:cs="Gulim" w:hint="eastAsia"/>
          <w:color w:val="000000"/>
          <w:sz w:val="21"/>
        </w:rPr>
        <w:t>局局</w:t>
      </w:r>
      <w:r w:rsidRPr="009D5469">
        <w:rPr>
          <w:rFonts w:ascii="SimSun" w:hAnsi="SimSun" w:cs="SimSun" w:hint="eastAsia"/>
          <w:color w:val="000000"/>
          <w:sz w:val="21"/>
        </w:rPr>
        <w:t>长会议</w:t>
      </w:r>
      <w:r w:rsidRPr="00CD6A66">
        <w:rPr>
          <w:rFonts w:ascii="SimSun" w:hAnsi="SimSun" w:cs="Gulim" w:hint="eastAsia"/>
          <w:color w:val="000000"/>
          <w:sz w:val="21"/>
        </w:rPr>
        <w:t>。</w:t>
      </w:r>
      <w:r w:rsidRPr="009D5469">
        <w:rPr>
          <w:rFonts w:ascii="SimSun" w:hAnsi="SimSun" w:hint="eastAsia"/>
          <w:color w:val="000000"/>
          <w:sz w:val="21"/>
        </w:rPr>
        <w:t>本次</w:t>
      </w:r>
      <w:r w:rsidRPr="009D5469">
        <w:rPr>
          <w:rFonts w:ascii="SimSun" w:hAnsi="SimSun" w:cs="SimSun" w:hint="eastAsia"/>
          <w:color w:val="000000"/>
          <w:sz w:val="21"/>
        </w:rPr>
        <w:t>会议</w:t>
      </w:r>
      <w:r w:rsidRPr="00CD6A66">
        <w:rPr>
          <w:rFonts w:ascii="SimSun" w:hAnsi="SimSun" w:cs="Gulim" w:hint="eastAsia"/>
          <w:color w:val="000000"/>
          <w:sz w:val="21"/>
        </w:rPr>
        <w:t>旨在通</w:t>
      </w:r>
      <w:r w:rsidRPr="009D5469">
        <w:rPr>
          <w:rFonts w:ascii="SimSun" w:hAnsi="SimSun" w:cs="SimSun" w:hint="eastAsia"/>
          <w:color w:val="000000"/>
          <w:sz w:val="21"/>
        </w:rPr>
        <w:t>过</w:t>
      </w:r>
      <w:r w:rsidRPr="00CD6A66">
        <w:rPr>
          <w:rFonts w:ascii="SimSun" w:hAnsi="SimSun" w:cs="Gulim" w:hint="eastAsia"/>
          <w:color w:val="000000"/>
          <w:sz w:val="21"/>
        </w:rPr>
        <w:t>提供</w:t>
      </w:r>
      <w:r w:rsidRPr="009D5469">
        <w:rPr>
          <w:rFonts w:ascii="SimSun" w:hAnsi="SimSun" w:cs="SimSun" w:hint="eastAsia"/>
          <w:color w:val="000000"/>
          <w:sz w:val="21"/>
        </w:rPr>
        <w:t>学习</w:t>
      </w:r>
      <w:r w:rsidRPr="00CD6A66">
        <w:rPr>
          <w:rFonts w:ascii="SimSun" w:hAnsi="SimSun" w:cs="Gulim" w:hint="eastAsia"/>
          <w:color w:val="000000"/>
          <w:sz w:val="21"/>
        </w:rPr>
        <w:t>平台和分享信息</w:t>
      </w:r>
      <w:r w:rsidRPr="009D5469">
        <w:rPr>
          <w:rFonts w:ascii="SimSun" w:hAnsi="SimSun" w:cs="SimSun" w:hint="eastAsia"/>
          <w:color w:val="000000"/>
          <w:sz w:val="21"/>
        </w:rPr>
        <w:t>与经验</w:t>
      </w:r>
      <w:r w:rsidRPr="00CD6A66">
        <w:rPr>
          <w:rFonts w:ascii="SimSun" w:hAnsi="SimSun" w:cs="Gulim" w:hint="eastAsia"/>
          <w:color w:val="000000"/>
          <w:sz w:val="21"/>
        </w:rPr>
        <w:t>的</w:t>
      </w:r>
      <w:r w:rsidRPr="009D5469">
        <w:rPr>
          <w:rFonts w:ascii="SimSun" w:hAnsi="SimSun" w:cs="SimSun" w:hint="eastAsia"/>
          <w:color w:val="000000"/>
          <w:sz w:val="21"/>
        </w:rPr>
        <w:t>环</w:t>
      </w:r>
      <w:r w:rsidRPr="00CD6A66">
        <w:rPr>
          <w:rFonts w:ascii="SimSun" w:hAnsi="SimSun" w:cs="Gulim" w:hint="eastAsia"/>
          <w:color w:val="000000"/>
          <w:sz w:val="21"/>
        </w:rPr>
        <w:t>境</w:t>
      </w:r>
      <w:r w:rsidRPr="009D5469">
        <w:rPr>
          <w:rFonts w:ascii="SimSun" w:hAnsi="SimSun" w:cs="SimSun" w:hint="eastAsia"/>
          <w:color w:val="000000"/>
          <w:sz w:val="21"/>
        </w:rPr>
        <w:t>来</w:t>
      </w:r>
      <w:r w:rsidRPr="00CD6A66">
        <w:rPr>
          <w:rFonts w:ascii="SimSun" w:hAnsi="SimSun" w:cs="Gulim" w:hint="eastAsia"/>
          <w:color w:val="000000"/>
          <w:sz w:val="21"/>
        </w:rPr>
        <w:t>加强</w:t>
      </w:r>
      <w:r w:rsidRPr="009D5469">
        <w:rPr>
          <w:rFonts w:ascii="SimSun" w:hAnsi="SimSun" w:cs="SimSun" w:hint="eastAsia"/>
          <w:color w:val="000000"/>
          <w:sz w:val="21"/>
        </w:rPr>
        <w:t>亚</w:t>
      </w:r>
      <w:r w:rsidRPr="00CD6A66">
        <w:rPr>
          <w:rFonts w:ascii="SimSun" w:hAnsi="SimSun" w:cs="Gulim" w:hint="eastAsia"/>
          <w:color w:val="000000"/>
          <w:sz w:val="21"/>
        </w:rPr>
        <w:t>洲知</w:t>
      </w:r>
      <w:r w:rsidRPr="009D5469">
        <w:rPr>
          <w:rFonts w:ascii="SimSun" w:hAnsi="SimSun" w:cs="SimSun" w:hint="eastAsia"/>
          <w:color w:val="000000"/>
          <w:sz w:val="21"/>
        </w:rPr>
        <w:t>识产权</w:t>
      </w:r>
      <w:r w:rsidRPr="00CD6A66">
        <w:rPr>
          <w:rFonts w:ascii="SimSun" w:hAnsi="SimSun" w:cs="Gulim" w:hint="eastAsia"/>
          <w:color w:val="000000"/>
          <w:sz w:val="21"/>
        </w:rPr>
        <w:t>局局</w:t>
      </w:r>
      <w:r w:rsidRPr="009D5469">
        <w:rPr>
          <w:rFonts w:ascii="SimSun" w:hAnsi="SimSun" w:cs="SimSun" w:hint="eastAsia"/>
          <w:color w:val="000000"/>
          <w:sz w:val="21"/>
        </w:rPr>
        <w:t>长</w:t>
      </w:r>
      <w:r w:rsidRPr="00CD6A66">
        <w:rPr>
          <w:rFonts w:ascii="SimSun" w:hAnsi="SimSun" w:cs="Gulim" w:hint="eastAsia"/>
          <w:color w:val="000000"/>
          <w:sz w:val="21"/>
        </w:rPr>
        <w:t>的知</w:t>
      </w:r>
      <w:r w:rsidRPr="009D5469">
        <w:rPr>
          <w:rFonts w:ascii="SimSun" w:hAnsi="SimSun" w:cs="SimSun" w:hint="eastAsia"/>
          <w:color w:val="000000"/>
          <w:sz w:val="21"/>
        </w:rPr>
        <w:t>识产权</w:t>
      </w:r>
      <w:r w:rsidRPr="00CD6A66">
        <w:rPr>
          <w:rFonts w:ascii="SimSun" w:hAnsi="SimSun" w:cs="Gulim" w:hint="eastAsia"/>
          <w:color w:val="000000"/>
          <w:sz w:val="21"/>
        </w:rPr>
        <w:t>能力和</w:t>
      </w:r>
      <w:r w:rsidRPr="009D5469">
        <w:rPr>
          <w:rFonts w:ascii="SimSun" w:hAnsi="SimSun" w:cs="SimSun" w:hint="eastAsia"/>
          <w:color w:val="000000"/>
          <w:sz w:val="21"/>
        </w:rPr>
        <w:t>领导</w:t>
      </w:r>
      <w:r w:rsidRPr="00CD6A66">
        <w:rPr>
          <w:rFonts w:ascii="SimSun" w:hAnsi="SimSun" w:cs="Gulim" w:hint="eastAsia"/>
          <w:color w:val="000000"/>
          <w:sz w:val="21"/>
        </w:rPr>
        <w:t>力，以及鼓</w:t>
      </w:r>
      <w:r w:rsidRPr="009D5469">
        <w:rPr>
          <w:rFonts w:ascii="SimSun" w:hAnsi="SimSun" w:cs="SimSun" w:hint="eastAsia"/>
          <w:color w:val="000000"/>
          <w:sz w:val="21"/>
        </w:rPr>
        <w:t>励</w:t>
      </w:r>
      <w:r w:rsidRPr="00CD6A66">
        <w:rPr>
          <w:rFonts w:ascii="SimSun" w:hAnsi="SimSun" w:cs="Gulim" w:hint="eastAsia"/>
          <w:color w:val="000000"/>
          <w:sz w:val="21"/>
        </w:rPr>
        <w:t>南南</w:t>
      </w:r>
      <w:r w:rsidRPr="009D5469">
        <w:rPr>
          <w:rFonts w:ascii="SimSun" w:hAnsi="SimSun" w:cs="SimSun" w:hint="eastAsia"/>
          <w:color w:val="000000"/>
          <w:sz w:val="21"/>
        </w:rPr>
        <w:t>协</w:t>
      </w:r>
      <w:r w:rsidRPr="00CD6A66">
        <w:rPr>
          <w:rFonts w:ascii="SimSun" w:hAnsi="SimSun" w:cs="Gulim" w:hint="eastAsia"/>
          <w:color w:val="000000"/>
          <w:sz w:val="21"/>
        </w:rPr>
        <w:t>作</w:t>
      </w:r>
      <w:r w:rsidRPr="009D5469">
        <w:rPr>
          <w:rFonts w:ascii="SimSun" w:hAnsi="SimSun" w:cs="SimSun" w:hint="eastAsia"/>
          <w:color w:val="000000"/>
          <w:sz w:val="21"/>
        </w:rPr>
        <w:t>与</w:t>
      </w:r>
      <w:r w:rsidRPr="00CD6A66">
        <w:rPr>
          <w:rFonts w:ascii="SimSun" w:hAnsi="SimSun" w:cs="Gulim" w:hint="eastAsia"/>
          <w:color w:val="000000"/>
          <w:sz w:val="21"/>
        </w:rPr>
        <w:t>合作。</w:t>
      </w:r>
    </w:p>
    <w:p w:rsidR="00D449C5" w:rsidRDefault="000506B6" w:rsidP="00CD6A66">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CD6A66">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6E7ACC"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CD6A66">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D6A66">
        <w:rPr>
          <w:rFonts w:ascii="SimHei" w:eastAsia="SimHei" w:hAnsi="SimHei"/>
          <w:bCs/>
          <w:smallCaps/>
          <w:color w:val="1F497D" w:themeColor="text2"/>
          <w:sz w:val="21"/>
          <w:szCs w:val="21"/>
          <w:vertAlign w:val="superscript"/>
        </w:rPr>
        <w:footnoteReference w:id="20"/>
      </w:r>
      <w:r w:rsidRPr="006D5C33">
        <w:rPr>
          <w:rFonts w:ascii="SimHei" w:eastAsia="SimHei" w:hAnsi="SimHei" w:hint="eastAsia"/>
          <w:bCs/>
          <w:smallCaps/>
          <w:color w:val="1F497D" w:themeColor="text2"/>
          <w:sz w:val="21"/>
          <w:szCs w:val="21"/>
        </w:rPr>
        <w:t>）：</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WIPO韩国办事处作为全球主要知识产权服务的提供方</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WIPO韩国办事处可向韩国所有全球主要知识产权服务的用户提供个性化服务，进而实现PCT、马德里和海牙申请量的增长。全天候、面对面、多语种的服务可解决韩国和位于日内瓦的WIPO总部之间存在8小时时差的问题，并消除语言障碍。</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韩国在增加PCT、马德里和海牙申请量方面具有极大的潜力。例如，只有6.3%的韩国国内专利申请通过PCT体系在海外进行申请。因此，如果WIPO韩国办事处能够将PCT申请的比例提高至10%</w:t>
      </w:r>
      <w:r w:rsidR="00F85B4A">
        <w:rPr>
          <w:rFonts w:ascii="SimSun" w:hAnsi="SimSun" w:hint="eastAsia"/>
          <w:sz w:val="21"/>
          <w:shd w:val="clear" w:color="auto" w:fill="FFFFFF"/>
        </w:rPr>
        <w:t>（</w:t>
      </w:r>
      <w:r w:rsidRPr="009D5469">
        <w:rPr>
          <w:rFonts w:ascii="SimSun" w:hAnsi="SimSun" w:hint="eastAsia"/>
          <w:sz w:val="21"/>
          <w:shd w:val="clear" w:color="auto" w:fill="FFFFFF"/>
        </w:rPr>
        <w:t>该比例与美国和日本等其他国家的水平持平</w:t>
      </w:r>
      <w:r w:rsidR="00F85B4A">
        <w:rPr>
          <w:rFonts w:ascii="SimSun" w:hAnsi="SimSun" w:hint="eastAsia"/>
          <w:sz w:val="21"/>
          <w:shd w:val="clear" w:color="auto" w:fill="FFFFFF"/>
        </w:rPr>
        <w:t>）</w:t>
      </w:r>
      <w:r w:rsidRPr="009D5469">
        <w:rPr>
          <w:rFonts w:ascii="SimSun" w:hAnsi="SimSun" w:hint="eastAsia"/>
          <w:sz w:val="21"/>
          <w:shd w:val="clear" w:color="auto" w:fill="FFFFFF"/>
        </w:rPr>
        <w:t>，则可能为WIPO带来1400万美元的收入增长。</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WIPO韩国办事处作为发展项目中心</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cs="SimSun" w:hint="eastAsia"/>
          <w:color w:val="000000"/>
          <w:sz w:val="21"/>
        </w:rPr>
        <w:t>设</w:t>
      </w:r>
      <w:r w:rsidRPr="00CD6A66">
        <w:rPr>
          <w:rFonts w:ascii="SimSun" w:hAnsi="SimSun" w:cs="Gulim" w:hint="eastAsia"/>
          <w:color w:val="000000"/>
          <w:sz w:val="21"/>
        </w:rPr>
        <w:t>立在</w:t>
      </w:r>
      <w:r w:rsidRPr="009D5469">
        <w:rPr>
          <w:rFonts w:ascii="SimSun" w:hAnsi="SimSun" w:cs="SimSun" w:hint="eastAsia"/>
          <w:color w:val="000000"/>
          <w:sz w:val="21"/>
        </w:rPr>
        <w:t>韩国</w:t>
      </w:r>
      <w:r w:rsidRPr="00CD6A66">
        <w:rPr>
          <w:rFonts w:ascii="SimSun" w:hAnsi="SimSun" w:cs="Gulim" w:hint="eastAsia"/>
          <w:color w:val="000000"/>
          <w:sz w:val="21"/>
        </w:rPr>
        <w:t>的</w:t>
      </w:r>
      <w:r w:rsidRPr="009D5469">
        <w:rPr>
          <w:rFonts w:ascii="SimSun" w:hAnsi="SimSun" w:hint="eastAsia"/>
          <w:color w:val="000000"/>
          <w:sz w:val="21"/>
        </w:rPr>
        <w:t>WIPO</w:t>
      </w:r>
      <w:r w:rsidRPr="009D5469">
        <w:rPr>
          <w:rFonts w:ascii="SimSun" w:hAnsi="SimSun" w:cs="SimSun" w:hint="eastAsia"/>
          <w:color w:val="000000"/>
          <w:sz w:val="21"/>
        </w:rPr>
        <w:t>驻</w:t>
      </w:r>
      <w:r w:rsidRPr="00CD6A66">
        <w:rPr>
          <w:rFonts w:ascii="SimSun" w:hAnsi="SimSun" w:cs="Gulim" w:hint="eastAsia"/>
          <w:color w:val="000000"/>
          <w:sz w:val="21"/>
        </w:rPr>
        <w:t>外</w:t>
      </w:r>
      <w:r w:rsidRPr="009D5469">
        <w:rPr>
          <w:rFonts w:ascii="SimSun" w:hAnsi="SimSun" w:cs="SimSun" w:hint="eastAsia"/>
          <w:color w:val="000000"/>
          <w:sz w:val="21"/>
        </w:rPr>
        <w:t>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可以通</w:t>
      </w:r>
      <w:r w:rsidRPr="009D5469">
        <w:rPr>
          <w:rFonts w:ascii="SimSun" w:hAnsi="SimSun" w:cs="SimSun" w:hint="eastAsia"/>
          <w:color w:val="000000"/>
          <w:sz w:val="21"/>
        </w:rPr>
        <w:t>过</w:t>
      </w:r>
      <w:r w:rsidRPr="00CD6A66">
        <w:rPr>
          <w:rFonts w:ascii="SimSun" w:hAnsi="SimSun" w:cs="Gulim" w:hint="eastAsia"/>
          <w:color w:val="000000"/>
          <w:sz w:val="21"/>
        </w:rPr>
        <w:t>以更</w:t>
      </w:r>
      <w:r w:rsidRPr="009D5469">
        <w:rPr>
          <w:rFonts w:ascii="SimSun" w:hAnsi="SimSun" w:cs="SimSun" w:hint="eastAsia"/>
          <w:color w:val="000000"/>
          <w:sz w:val="21"/>
        </w:rPr>
        <w:t>为</w:t>
      </w:r>
      <w:r w:rsidRPr="00CD6A66">
        <w:rPr>
          <w:rFonts w:ascii="SimSun" w:hAnsi="SimSun" w:cs="Gulim" w:hint="eastAsia"/>
          <w:color w:val="000000"/>
          <w:sz w:val="21"/>
        </w:rPr>
        <w:t>有效的方式提供大</w:t>
      </w:r>
      <w:r w:rsidRPr="009D5469">
        <w:rPr>
          <w:rFonts w:ascii="SimSun" w:hAnsi="SimSun" w:cs="SimSun" w:hint="eastAsia"/>
          <w:color w:val="000000"/>
          <w:sz w:val="21"/>
        </w:rPr>
        <w:t>规</w:t>
      </w:r>
      <w:r w:rsidRPr="00CD6A66">
        <w:rPr>
          <w:rFonts w:ascii="SimSun" w:hAnsi="SimSun" w:cs="Gulim" w:hint="eastAsia"/>
          <w:color w:val="000000"/>
          <w:sz w:val="21"/>
        </w:rPr>
        <w:t>模</w:t>
      </w:r>
      <w:r w:rsidRPr="009D5469">
        <w:rPr>
          <w:rFonts w:ascii="SimSun" w:hAnsi="SimSun" w:cs="SimSun" w:hint="eastAsia"/>
          <w:color w:val="000000"/>
          <w:sz w:val="21"/>
        </w:rPr>
        <w:t>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cs="Gulim" w:hint="eastAsia"/>
          <w:color w:val="000000"/>
          <w:sz w:val="21"/>
        </w:rPr>
        <w:t>目</w:t>
      </w:r>
      <w:r w:rsidRPr="009D5469">
        <w:rPr>
          <w:rFonts w:ascii="SimSun" w:hAnsi="SimSun" w:cs="SimSun" w:hint="eastAsia"/>
          <w:color w:val="000000"/>
          <w:sz w:val="21"/>
        </w:rPr>
        <w:t>来</w:t>
      </w:r>
      <w:r w:rsidRPr="00CD6A66">
        <w:rPr>
          <w:rFonts w:ascii="SimSun" w:hAnsi="SimSun" w:cs="Gulim" w:hint="eastAsia"/>
          <w:color w:val="000000"/>
          <w:sz w:val="21"/>
        </w:rPr>
        <w:t>更好地支持</w:t>
      </w:r>
      <w:r w:rsidRPr="009D5469">
        <w:rPr>
          <w:rFonts w:ascii="SimSun" w:hAnsi="SimSun" w:cs="SimSun" w:hint="eastAsia"/>
          <w:color w:val="000000"/>
          <w:sz w:val="21"/>
        </w:rPr>
        <w:t>发</w:t>
      </w:r>
      <w:r w:rsidRPr="00CD6A66">
        <w:rPr>
          <w:rFonts w:ascii="SimSun" w:hAnsi="SimSun" w:cs="Gulim" w:hint="eastAsia"/>
          <w:color w:val="000000"/>
          <w:sz w:val="21"/>
        </w:rPr>
        <w:t>展中</w:t>
      </w:r>
      <w:r w:rsidRPr="009D5469">
        <w:rPr>
          <w:rFonts w:ascii="SimSun" w:hAnsi="SimSun" w:cs="SimSun" w:hint="eastAsia"/>
          <w:color w:val="000000"/>
          <w:sz w:val="21"/>
        </w:rPr>
        <w:t>国</w:t>
      </w:r>
      <w:r w:rsidRPr="00CD6A66">
        <w:rPr>
          <w:rFonts w:ascii="SimSun" w:hAnsi="SimSun" w:cs="Gulim" w:hint="eastAsia"/>
          <w:color w:val="000000"/>
          <w:sz w:val="21"/>
        </w:rPr>
        <w:t>家。</w:t>
      </w:r>
      <w:r w:rsidRPr="009D5469">
        <w:rPr>
          <w:rFonts w:ascii="SimSun" w:hAnsi="SimSun" w:hint="eastAsia"/>
          <w:color w:val="000000"/>
          <w:sz w:val="21"/>
        </w:rPr>
        <w:t>我</w:t>
      </w:r>
      <w:r w:rsidRPr="009D5469">
        <w:rPr>
          <w:rFonts w:ascii="SimSun" w:hAnsi="SimSun" w:cs="SimSun" w:hint="eastAsia"/>
          <w:color w:val="000000"/>
          <w:sz w:val="21"/>
        </w:rPr>
        <w:t>们</w:t>
      </w:r>
      <w:r w:rsidRPr="00CD6A66">
        <w:rPr>
          <w:rFonts w:ascii="SimSun" w:hAnsi="SimSun" w:cs="Gulim" w:hint="eastAsia"/>
          <w:color w:val="000000"/>
          <w:sz w:val="21"/>
        </w:rPr>
        <w:t>可以更有效地管理</w:t>
      </w:r>
      <w:r w:rsidRPr="009D5469">
        <w:rPr>
          <w:rFonts w:ascii="SimSun" w:hAnsi="SimSun" w:hint="eastAsia"/>
          <w:color w:val="000000"/>
          <w:sz w:val="21"/>
        </w:rPr>
        <w:t>WIPO</w:t>
      </w:r>
      <w:r w:rsidRPr="009D5469">
        <w:rPr>
          <w:rFonts w:ascii="SimSun" w:hAnsi="SimSun" w:cs="SimSun" w:hint="eastAsia"/>
          <w:color w:val="000000"/>
          <w:sz w:val="21"/>
        </w:rPr>
        <w:t>韩国</w:t>
      </w:r>
      <w:r w:rsidRPr="00CD6A66">
        <w:rPr>
          <w:rFonts w:ascii="SimSun" w:hAnsi="SimSun" w:cs="Gulim" w:hint="eastAsia"/>
          <w:color w:val="000000"/>
          <w:sz w:val="21"/>
        </w:rPr>
        <w:t>信托基金，</w:t>
      </w:r>
      <w:r w:rsidRPr="009D5469">
        <w:rPr>
          <w:rFonts w:ascii="SimSun" w:hAnsi="SimSun" w:cs="SimSun" w:hint="eastAsia"/>
          <w:color w:val="000000"/>
          <w:sz w:val="21"/>
        </w:rPr>
        <w:t>并实</w:t>
      </w:r>
      <w:r w:rsidRPr="00CD6A66">
        <w:rPr>
          <w:rFonts w:ascii="SimSun" w:hAnsi="SimSun" w:cs="Gulim" w:hint="eastAsia"/>
          <w:color w:val="000000"/>
          <w:sz w:val="21"/>
        </w:rPr>
        <w:t>施更多具有</w:t>
      </w:r>
      <w:r w:rsidRPr="009D5469">
        <w:rPr>
          <w:rFonts w:ascii="SimSun" w:hAnsi="SimSun" w:cs="SimSun" w:hint="eastAsia"/>
          <w:color w:val="000000"/>
          <w:sz w:val="21"/>
        </w:rPr>
        <w:t>长</w:t>
      </w:r>
      <w:r w:rsidRPr="00CD6A66">
        <w:rPr>
          <w:rFonts w:ascii="SimSun" w:hAnsi="SimSun" w:cs="Gulim" w:hint="eastAsia"/>
          <w:color w:val="000000"/>
          <w:sz w:val="21"/>
        </w:rPr>
        <w:t>期</w:t>
      </w:r>
      <w:r w:rsidRPr="009D5469">
        <w:rPr>
          <w:rFonts w:ascii="SimSun" w:hAnsi="SimSun" w:cs="SimSun" w:hint="eastAsia"/>
          <w:color w:val="000000"/>
          <w:sz w:val="21"/>
        </w:rPr>
        <w:t>战</w:t>
      </w:r>
      <w:r w:rsidRPr="00CD6A66">
        <w:rPr>
          <w:rFonts w:ascii="SimSun" w:hAnsi="SimSun" w:cs="Gulim" w:hint="eastAsia"/>
          <w:color w:val="000000"/>
          <w:sz w:val="21"/>
        </w:rPr>
        <w:t>略的</w:t>
      </w:r>
      <w:r w:rsidRPr="009D5469">
        <w:rPr>
          <w:rFonts w:ascii="SimSun" w:hAnsi="SimSun" w:cs="SimSun" w:hint="eastAsia"/>
          <w:color w:val="000000"/>
          <w:sz w:val="21"/>
        </w:rPr>
        <w:t>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cs="Gulim" w:hint="eastAsia"/>
          <w:color w:val="000000"/>
          <w:sz w:val="21"/>
        </w:rPr>
        <w:t>目。</w:t>
      </w:r>
      <w:r w:rsidRPr="009D5469">
        <w:rPr>
          <w:rFonts w:ascii="SimSun" w:hAnsi="SimSun" w:hint="eastAsia"/>
          <w:color w:val="000000"/>
          <w:sz w:val="21"/>
        </w:rPr>
        <w:t>WIPO</w:t>
      </w:r>
      <w:r w:rsidRPr="009D5469">
        <w:rPr>
          <w:rFonts w:ascii="SimSun" w:hAnsi="SimSun" w:cs="SimSun" w:hint="eastAsia"/>
          <w:color w:val="000000"/>
          <w:sz w:val="21"/>
        </w:rPr>
        <w:t>韩国办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最</w:t>
      </w:r>
      <w:r w:rsidRPr="009D5469">
        <w:rPr>
          <w:rFonts w:ascii="SimSun" w:hAnsi="SimSun" w:cs="SimSun" w:hint="eastAsia"/>
          <w:color w:val="000000"/>
          <w:sz w:val="21"/>
        </w:rPr>
        <w:t>终将</w:t>
      </w:r>
      <w:r w:rsidRPr="00CD6A66">
        <w:rPr>
          <w:rFonts w:ascii="SimSun" w:hAnsi="SimSun" w:cs="Gulim" w:hint="eastAsia"/>
          <w:color w:val="000000"/>
          <w:sz w:val="21"/>
        </w:rPr>
        <w:t>成</w:t>
      </w:r>
      <w:r w:rsidRPr="009D5469">
        <w:rPr>
          <w:rFonts w:ascii="SimSun" w:hAnsi="SimSun" w:cs="SimSun" w:hint="eastAsia"/>
          <w:color w:val="000000"/>
          <w:sz w:val="21"/>
        </w:rPr>
        <w:t>为启动</w:t>
      </w:r>
      <w:r w:rsidRPr="00CD6A66">
        <w:rPr>
          <w:rFonts w:ascii="SimSun" w:hAnsi="SimSun" w:cs="Gulim" w:hint="eastAsia"/>
          <w:color w:val="000000"/>
          <w:sz w:val="21"/>
        </w:rPr>
        <w:t>未</w:t>
      </w:r>
      <w:r w:rsidRPr="009D5469">
        <w:rPr>
          <w:rFonts w:ascii="SimSun" w:hAnsi="SimSun" w:cs="SimSun" w:hint="eastAsia"/>
          <w:color w:val="000000"/>
          <w:sz w:val="21"/>
        </w:rPr>
        <w:t>来发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hint="eastAsia"/>
          <w:sz w:val="21"/>
          <w:shd w:val="clear" w:color="auto" w:fill="FFFFFF"/>
        </w:rPr>
        <w:t>目的</w:t>
      </w:r>
      <w:r w:rsidRPr="00CD6A66">
        <w:rPr>
          <w:rFonts w:ascii="SimSun" w:hAnsi="SimSun" w:cs="Gulim" w:hint="eastAsia"/>
          <w:color w:val="000000"/>
          <w:sz w:val="21"/>
        </w:rPr>
        <w:t>地</w:t>
      </w:r>
      <w:r w:rsidRPr="009D5469">
        <w:rPr>
          <w:rFonts w:ascii="SimSun" w:hAnsi="SimSun" w:cs="SimSun" w:hint="eastAsia"/>
          <w:color w:val="000000"/>
          <w:sz w:val="21"/>
        </w:rPr>
        <w:t>区</w:t>
      </w:r>
      <w:r w:rsidRPr="00CD6A66">
        <w:rPr>
          <w:rFonts w:ascii="SimSun" w:hAnsi="SimSun" w:cs="Gulim" w:hint="eastAsia"/>
          <w:color w:val="000000"/>
          <w:sz w:val="21"/>
        </w:rPr>
        <w:t>基金</w:t>
      </w:r>
      <w:r w:rsidRPr="009D5469">
        <w:rPr>
          <w:rFonts w:ascii="SimSun" w:hAnsi="SimSun" w:cs="SimSun" w:hint="eastAsia"/>
          <w:color w:val="000000"/>
          <w:sz w:val="21"/>
        </w:rPr>
        <w:t>会</w:t>
      </w:r>
      <w:r w:rsidRPr="00CD6A66">
        <w:rPr>
          <w:rFonts w:ascii="SimSun" w:hAnsi="SimSun" w:cs="Gulim" w:hint="eastAsia"/>
          <w:color w:val="000000"/>
          <w:sz w:val="21"/>
        </w:rPr>
        <w:t>。</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WIPO韩国办事处作为全球知识产权教育中心</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hint="eastAsia"/>
          <w:color w:val="000000"/>
          <w:sz w:val="21"/>
        </w:rPr>
        <w:t>WIPO</w:t>
      </w:r>
      <w:r w:rsidRPr="009D5469">
        <w:rPr>
          <w:rFonts w:ascii="SimSun" w:hAnsi="SimSun" w:cs="SimSun" w:hint="eastAsia"/>
          <w:color w:val="000000"/>
          <w:sz w:val="21"/>
        </w:rPr>
        <w:t>韩国办</w:t>
      </w:r>
      <w:r w:rsidRPr="00CD6A66">
        <w:rPr>
          <w:rFonts w:ascii="SimSun" w:hAnsi="SimSun" w:cs="Gulim" w:hint="eastAsia"/>
          <w:color w:val="000000"/>
          <w:sz w:val="21"/>
        </w:rPr>
        <w:t>事</w:t>
      </w:r>
      <w:r w:rsidRPr="009D5469">
        <w:rPr>
          <w:rFonts w:ascii="SimSun" w:hAnsi="SimSun" w:cs="SimSun" w:hint="eastAsia"/>
          <w:color w:val="000000"/>
          <w:sz w:val="21"/>
        </w:rPr>
        <w:t>处将</w:t>
      </w:r>
      <w:r w:rsidRPr="00CD6A66">
        <w:rPr>
          <w:rFonts w:ascii="SimSun" w:hAnsi="SimSun" w:cs="Gulim" w:hint="eastAsia"/>
          <w:color w:val="000000"/>
          <w:sz w:val="21"/>
        </w:rPr>
        <w:t>利用</w:t>
      </w:r>
      <w:r w:rsidRPr="009D5469">
        <w:rPr>
          <w:rFonts w:ascii="SimSun" w:hAnsi="SimSun" w:cs="SimSun" w:hint="eastAsia"/>
          <w:color w:val="000000"/>
          <w:sz w:val="21"/>
        </w:rPr>
        <w:t>韩国</w:t>
      </w:r>
      <w:r w:rsidRPr="00CD6A66">
        <w:rPr>
          <w:rFonts w:ascii="SimSun" w:hAnsi="SimSun" w:cs="Gulim" w:hint="eastAsia"/>
          <w:color w:val="000000"/>
          <w:sz w:val="21"/>
        </w:rPr>
        <w:t>广泛的</w:t>
      </w:r>
      <w:r w:rsidRPr="009D5469">
        <w:rPr>
          <w:rFonts w:ascii="SimSun" w:hAnsi="SimSun" w:cs="SimSun" w:hint="eastAsia"/>
          <w:color w:val="000000"/>
          <w:sz w:val="21"/>
        </w:rPr>
        <w:t>专长</w:t>
      </w:r>
      <w:r w:rsidRPr="00CD6A66">
        <w:rPr>
          <w:rFonts w:ascii="SimSun" w:hAnsi="SimSun" w:cs="Gulim" w:hint="eastAsia"/>
          <w:color w:val="000000"/>
          <w:sz w:val="21"/>
        </w:rPr>
        <w:t>和</w:t>
      </w:r>
      <w:r w:rsidRPr="009D5469">
        <w:rPr>
          <w:rFonts w:ascii="SimSun" w:hAnsi="SimSun" w:cs="SimSun" w:hint="eastAsia"/>
          <w:color w:val="000000"/>
          <w:sz w:val="21"/>
        </w:rPr>
        <w:t>经验</w:t>
      </w:r>
      <w:r w:rsidRPr="00CD6A66">
        <w:rPr>
          <w:rFonts w:ascii="SimSun" w:hAnsi="SimSun" w:cs="Gulim" w:hint="eastAsia"/>
          <w:color w:val="000000"/>
          <w:sz w:val="21"/>
        </w:rPr>
        <w:t>，通</w:t>
      </w:r>
      <w:r w:rsidRPr="009D5469">
        <w:rPr>
          <w:rFonts w:ascii="SimSun" w:hAnsi="SimSun" w:cs="SimSun" w:hint="eastAsia"/>
          <w:color w:val="000000"/>
          <w:sz w:val="21"/>
        </w:rPr>
        <w:t>过证</w:t>
      </w:r>
      <w:r w:rsidRPr="00CD6A66">
        <w:rPr>
          <w:rFonts w:ascii="SimSun" w:hAnsi="SimSun" w:cs="Gulim" w:hint="eastAsia"/>
          <w:color w:val="000000"/>
          <w:sz w:val="21"/>
        </w:rPr>
        <w:t>明有效的</w:t>
      </w:r>
      <w:r w:rsidRPr="009D5469">
        <w:rPr>
          <w:rFonts w:ascii="SimSun" w:hAnsi="SimSun" w:cs="SimSun" w:hint="eastAsia"/>
          <w:color w:val="000000"/>
          <w:sz w:val="21"/>
        </w:rPr>
        <w:t>教学</w:t>
      </w:r>
      <w:r w:rsidRPr="00CD6A66">
        <w:rPr>
          <w:rFonts w:ascii="SimSun" w:hAnsi="SimSun" w:cs="Gulim" w:hint="eastAsia"/>
          <w:color w:val="000000"/>
          <w:sz w:val="21"/>
        </w:rPr>
        <w:t>方法，由合格的</w:t>
      </w:r>
      <w:r w:rsidRPr="009D5469">
        <w:rPr>
          <w:rFonts w:ascii="SimSun" w:hAnsi="SimSun" w:cs="SimSun" w:hint="eastAsia"/>
          <w:color w:val="000000"/>
          <w:sz w:val="21"/>
        </w:rPr>
        <w:t>教员教</w:t>
      </w:r>
      <w:r w:rsidRPr="00CD6A66">
        <w:rPr>
          <w:rFonts w:ascii="SimSun" w:hAnsi="SimSun" w:cs="Gulim" w:hint="eastAsia"/>
          <w:color w:val="000000"/>
          <w:sz w:val="21"/>
        </w:rPr>
        <w:t>授</w:t>
      </w:r>
      <w:r w:rsidRPr="009D5469">
        <w:rPr>
          <w:rFonts w:ascii="SimSun" w:hAnsi="SimSun" w:cs="SimSun" w:hint="eastAsia"/>
          <w:color w:val="000000"/>
          <w:sz w:val="21"/>
        </w:rPr>
        <w:t>个</w:t>
      </w:r>
      <w:r w:rsidRPr="00CD6A66">
        <w:rPr>
          <w:rFonts w:ascii="SimSun" w:hAnsi="SimSun" w:cs="Gulim" w:hint="eastAsia"/>
          <w:color w:val="000000"/>
          <w:sz w:val="21"/>
        </w:rPr>
        <w:t>性化在</w:t>
      </w:r>
      <w:r w:rsidRPr="009D5469">
        <w:rPr>
          <w:rFonts w:ascii="SimSun" w:hAnsi="SimSun" w:cs="SimSun" w:hint="eastAsia"/>
          <w:color w:val="000000"/>
          <w:sz w:val="21"/>
        </w:rPr>
        <w:t>线</w:t>
      </w:r>
      <w:r w:rsidRPr="00CD6A66">
        <w:rPr>
          <w:rFonts w:ascii="SimSun" w:hAnsi="SimSun" w:cs="Gulim" w:hint="eastAsia"/>
          <w:color w:val="000000"/>
          <w:sz w:val="21"/>
        </w:rPr>
        <w:t>和离</w:t>
      </w:r>
      <w:r w:rsidRPr="009D5469">
        <w:rPr>
          <w:rFonts w:ascii="SimSun" w:hAnsi="SimSun" w:cs="SimSun" w:hint="eastAsia"/>
          <w:color w:val="000000"/>
          <w:sz w:val="21"/>
        </w:rPr>
        <w:t>线教</w:t>
      </w:r>
      <w:r w:rsidRPr="00CD6A66">
        <w:rPr>
          <w:rFonts w:ascii="SimSun" w:hAnsi="SimSun" w:cs="Gulim" w:hint="eastAsia"/>
          <w:color w:val="000000"/>
          <w:sz w:val="21"/>
        </w:rPr>
        <w:t>育</w:t>
      </w:r>
      <w:r w:rsidRPr="009D5469">
        <w:rPr>
          <w:rFonts w:ascii="SimSun" w:hAnsi="SimSun" w:cs="SimSun" w:hint="eastAsia"/>
          <w:color w:val="000000"/>
          <w:sz w:val="21"/>
        </w:rPr>
        <w:t>课</w:t>
      </w:r>
      <w:r w:rsidRPr="00CD6A66">
        <w:rPr>
          <w:rFonts w:ascii="SimSun" w:hAnsi="SimSun" w:cs="Gulim" w:hint="eastAsia"/>
          <w:color w:val="000000"/>
          <w:sz w:val="21"/>
        </w:rPr>
        <w:t>程。</w:t>
      </w:r>
      <w:r w:rsidRPr="009D5469">
        <w:rPr>
          <w:rFonts w:ascii="SimSun" w:hAnsi="SimSun" w:hint="eastAsia"/>
          <w:color w:val="000000"/>
          <w:sz w:val="21"/>
        </w:rPr>
        <w:t>特</w:t>
      </w:r>
      <w:r w:rsidRPr="009D5469">
        <w:rPr>
          <w:rFonts w:ascii="SimSun" w:hAnsi="SimSun" w:cs="SimSun" w:hint="eastAsia"/>
          <w:color w:val="000000"/>
          <w:sz w:val="21"/>
        </w:rPr>
        <w:t>别</w:t>
      </w:r>
      <w:r w:rsidRPr="00CD6A66">
        <w:rPr>
          <w:rFonts w:ascii="SimSun" w:hAnsi="SimSun" w:cs="Gulim" w:hint="eastAsia"/>
          <w:color w:val="000000"/>
          <w:sz w:val="21"/>
        </w:rPr>
        <w:t>地，</w:t>
      </w:r>
      <w:r w:rsidRPr="009D5469">
        <w:rPr>
          <w:rFonts w:ascii="SimSun" w:hAnsi="SimSun" w:cs="SimSun" w:hint="eastAsia"/>
          <w:color w:val="000000"/>
          <w:sz w:val="21"/>
        </w:rPr>
        <w:t>韩国拥</w:t>
      </w:r>
      <w:r w:rsidRPr="00CD6A66">
        <w:rPr>
          <w:rFonts w:ascii="SimSun" w:hAnsi="SimSun" w:cs="Gulim" w:hint="eastAsia"/>
          <w:color w:val="000000"/>
          <w:sz w:val="21"/>
        </w:rPr>
        <w:t>有</w:t>
      </w:r>
      <w:r w:rsidRPr="009D5469">
        <w:rPr>
          <w:rFonts w:ascii="SimSun" w:hAnsi="SimSun" w:cs="SimSun" w:hint="eastAsia"/>
          <w:color w:val="000000"/>
          <w:sz w:val="21"/>
        </w:rPr>
        <w:t>关</w:t>
      </w:r>
      <w:r w:rsidRPr="00CD6A66">
        <w:rPr>
          <w:rFonts w:ascii="SimSun" w:hAnsi="SimSun" w:cs="Gulim" w:hint="eastAsia"/>
          <w:color w:val="000000"/>
          <w:sz w:val="21"/>
        </w:rPr>
        <w:t>于如何</w:t>
      </w:r>
      <w:r w:rsidRPr="009D5469">
        <w:rPr>
          <w:rFonts w:ascii="SimSun" w:hAnsi="SimSun" w:cs="SimSun" w:hint="eastAsia"/>
          <w:color w:val="000000"/>
          <w:sz w:val="21"/>
        </w:rPr>
        <w:t>将</w:t>
      </w:r>
      <w:r w:rsidRPr="00CD6A66">
        <w:rPr>
          <w:rFonts w:ascii="SimSun" w:hAnsi="SimSun" w:cs="Gulim" w:hint="eastAsia"/>
          <w:color w:val="000000"/>
          <w:sz w:val="21"/>
        </w:rPr>
        <w:t>我</w:t>
      </w:r>
      <w:r w:rsidRPr="009D5469">
        <w:rPr>
          <w:rFonts w:ascii="SimSun" w:hAnsi="SimSun" w:cs="SimSun" w:hint="eastAsia"/>
          <w:color w:val="000000"/>
          <w:sz w:val="21"/>
        </w:rPr>
        <w:t>国</w:t>
      </w:r>
      <w:r w:rsidRPr="00CD6A66">
        <w:rPr>
          <w:rFonts w:ascii="SimSun" w:hAnsi="SimSun" w:cs="Gulim" w:hint="eastAsia"/>
          <w:color w:val="000000"/>
          <w:sz w:val="21"/>
        </w:rPr>
        <w:t>先</w:t>
      </w:r>
      <w:r w:rsidRPr="009D5469">
        <w:rPr>
          <w:rFonts w:ascii="SimSun" w:hAnsi="SimSun" w:cs="SimSun" w:hint="eastAsia"/>
          <w:color w:val="000000"/>
          <w:sz w:val="21"/>
        </w:rPr>
        <w:t>进</w:t>
      </w:r>
      <w:r w:rsidRPr="00CD6A66">
        <w:rPr>
          <w:rFonts w:ascii="SimSun" w:hAnsi="SimSun" w:cs="Gulim" w:hint="eastAsia"/>
          <w:color w:val="000000"/>
          <w:sz w:val="21"/>
        </w:rPr>
        <w:t>的信息技</w:t>
      </w:r>
      <w:r w:rsidRPr="009D5469">
        <w:rPr>
          <w:rFonts w:ascii="SimSun" w:hAnsi="SimSun" w:cs="SimSun" w:hint="eastAsia"/>
          <w:color w:val="000000"/>
          <w:sz w:val="21"/>
        </w:rPr>
        <w:t>术</w:t>
      </w:r>
      <w:r w:rsidRPr="00CD6A66">
        <w:rPr>
          <w:rFonts w:ascii="SimSun" w:hAnsi="SimSun" w:cs="Gulim" w:hint="eastAsia"/>
          <w:color w:val="000000"/>
          <w:sz w:val="21"/>
        </w:rPr>
        <w:t>技能</w:t>
      </w:r>
      <w:r w:rsidRPr="009D5469">
        <w:rPr>
          <w:rFonts w:ascii="SimSun" w:hAnsi="SimSun" w:cs="SimSun" w:hint="eastAsia"/>
          <w:color w:val="000000"/>
          <w:sz w:val="21"/>
        </w:rPr>
        <w:t>应</w:t>
      </w:r>
      <w:r w:rsidRPr="00CD6A66">
        <w:rPr>
          <w:rFonts w:ascii="SimSun" w:hAnsi="SimSun" w:cs="Gulim" w:hint="eastAsia"/>
          <w:color w:val="000000"/>
          <w:sz w:val="21"/>
        </w:rPr>
        <w:t>用于有用的知</w:t>
      </w:r>
      <w:r w:rsidRPr="009D5469">
        <w:rPr>
          <w:rFonts w:ascii="SimSun" w:hAnsi="SimSun" w:cs="SimSun" w:hint="eastAsia"/>
          <w:color w:val="000000"/>
          <w:sz w:val="21"/>
        </w:rPr>
        <w:t>识产权教</w:t>
      </w:r>
      <w:r w:rsidRPr="00CD6A66">
        <w:rPr>
          <w:rFonts w:ascii="SimSun" w:hAnsi="SimSun" w:cs="Gulim" w:hint="eastAsia"/>
          <w:color w:val="000000"/>
          <w:sz w:val="21"/>
        </w:rPr>
        <w:t>育中的知</w:t>
      </w:r>
      <w:r w:rsidRPr="009D5469">
        <w:rPr>
          <w:rFonts w:ascii="SimSun" w:hAnsi="SimSun" w:cs="SimSun" w:hint="eastAsia"/>
          <w:color w:val="000000"/>
          <w:sz w:val="21"/>
        </w:rPr>
        <w:t>识</w:t>
      </w:r>
      <w:r w:rsidRPr="00CD6A66">
        <w:rPr>
          <w:rFonts w:ascii="SimSun" w:hAnsi="SimSun" w:cs="Gulim" w:hint="eastAsia"/>
          <w:color w:val="000000"/>
          <w:sz w:val="21"/>
        </w:rPr>
        <w:t>，</w:t>
      </w:r>
      <w:r w:rsidRPr="009D5469">
        <w:rPr>
          <w:rFonts w:ascii="SimSun" w:hAnsi="SimSun" w:cs="SimSun" w:hint="eastAsia"/>
          <w:color w:val="000000"/>
          <w:sz w:val="21"/>
        </w:rPr>
        <w:t>并</w:t>
      </w:r>
      <w:r w:rsidRPr="00CD6A66">
        <w:rPr>
          <w:rFonts w:ascii="SimSun" w:hAnsi="SimSun" w:cs="Gulim" w:hint="eastAsia"/>
          <w:color w:val="000000"/>
          <w:sz w:val="21"/>
        </w:rPr>
        <w:t>通</w:t>
      </w:r>
      <w:r w:rsidRPr="009D5469">
        <w:rPr>
          <w:rFonts w:ascii="SimSun" w:hAnsi="SimSun" w:cs="SimSun" w:hint="eastAsia"/>
          <w:color w:val="000000"/>
          <w:sz w:val="21"/>
        </w:rPr>
        <w:t>过</w:t>
      </w:r>
      <w:r w:rsidRPr="00CD6A66">
        <w:rPr>
          <w:rFonts w:ascii="SimSun" w:hAnsi="SimSun" w:cs="Gulim" w:hint="eastAsia"/>
          <w:color w:val="000000"/>
          <w:sz w:val="21"/>
        </w:rPr>
        <w:t>之前的培</w:t>
      </w:r>
      <w:r w:rsidRPr="009D5469">
        <w:rPr>
          <w:rFonts w:ascii="SimSun" w:hAnsi="SimSun" w:cs="SimSun" w:hint="eastAsia"/>
          <w:color w:val="000000"/>
          <w:sz w:val="21"/>
        </w:rPr>
        <w:t>训计划积</w:t>
      </w:r>
      <w:r w:rsidRPr="00CD6A66">
        <w:rPr>
          <w:rFonts w:ascii="SimSun" w:hAnsi="SimSun" w:cs="Gulim" w:hint="eastAsia"/>
          <w:color w:val="000000"/>
          <w:sz w:val="21"/>
        </w:rPr>
        <w:t>累了</w:t>
      </w:r>
      <w:r w:rsidRPr="009D5469">
        <w:rPr>
          <w:rFonts w:ascii="SimSun" w:hAnsi="SimSun" w:cs="SimSun" w:hint="eastAsia"/>
          <w:color w:val="000000"/>
          <w:sz w:val="21"/>
        </w:rPr>
        <w:t>教学专长</w:t>
      </w:r>
      <w:r w:rsidRPr="00CD6A66">
        <w:rPr>
          <w:rFonts w:ascii="SimSun" w:hAnsi="SimSun" w:cs="Gulim" w:hint="eastAsia"/>
          <w:color w:val="000000"/>
          <w:sz w:val="21"/>
        </w:rPr>
        <w:t>。</w:t>
      </w:r>
      <w:r w:rsidRPr="009D5469">
        <w:rPr>
          <w:rFonts w:ascii="SimSun" w:hAnsi="SimSun" w:cs="SimSun" w:hint="eastAsia"/>
          <w:color w:val="000000"/>
          <w:sz w:val="21"/>
        </w:rPr>
        <w:t>韩国计划</w:t>
      </w:r>
      <w:r w:rsidRPr="00CD6A66">
        <w:rPr>
          <w:rFonts w:ascii="SimSun" w:hAnsi="SimSun" w:cs="Gulim" w:hint="eastAsia"/>
          <w:color w:val="000000"/>
          <w:sz w:val="21"/>
        </w:rPr>
        <w:t>通</w:t>
      </w:r>
      <w:r w:rsidRPr="009D5469">
        <w:rPr>
          <w:rFonts w:ascii="SimSun" w:hAnsi="SimSun" w:cs="SimSun" w:hint="eastAsia"/>
          <w:color w:val="000000"/>
          <w:sz w:val="21"/>
        </w:rPr>
        <w:t>过</w:t>
      </w:r>
      <w:r w:rsidRPr="009D5469">
        <w:rPr>
          <w:rFonts w:ascii="SimSun" w:hAnsi="SimSun" w:hint="eastAsia"/>
          <w:color w:val="000000"/>
          <w:sz w:val="21"/>
        </w:rPr>
        <w:t>WIPO</w:t>
      </w:r>
      <w:r w:rsidRPr="009D5469">
        <w:rPr>
          <w:rFonts w:ascii="SimSun" w:hAnsi="SimSun" w:cs="SimSun" w:hint="eastAsia"/>
          <w:color w:val="000000"/>
          <w:sz w:val="21"/>
        </w:rPr>
        <w:t>驻</w:t>
      </w:r>
      <w:r w:rsidRPr="00CD6A66">
        <w:rPr>
          <w:rFonts w:ascii="SimSun" w:hAnsi="SimSun" w:cs="Gulim" w:hint="eastAsia"/>
          <w:color w:val="000000"/>
          <w:sz w:val="21"/>
        </w:rPr>
        <w:t>外</w:t>
      </w:r>
      <w:r w:rsidRPr="009D5469">
        <w:rPr>
          <w:rFonts w:ascii="SimSun" w:hAnsi="SimSun" w:cs="SimSun" w:hint="eastAsia"/>
          <w:color w:val="000000"/>
          <w:sz w:val="21"/>
        </w:rPr>
        <w:t>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提高知</w:t>
      </w:r>
      <w:r w:rsidRPr="009D5469">
        <w:rPr>
          <w:rFonts w:ascii="SimSun" w:hAnsi="SimSun" w:cs="SimSun" w:hint="eastAsia"/>
          <w:color w:val="000000"/>
          <w:sz w:val="21"/>
        </w:rPr>
        <w:t>识产权教</w:t>
      </w:r>
      <w:r w:rsidRPr="00CD6A66">
        <w:rPr>
          <w:rFonts w:ascii="SimSun" w:hAnsi="SimSun" w:cs="Gulim" w:hint="eastAsia"/>
          <w:color w:val="000000"/>
          <w:sz w:val="21"/>
        </w:rPr>
        <w:t>育的普及率，确保各界人士都能</w:t>
      </w:r>
      <w:r w:rsidRPr="009D5469">
        <w:rPr>
          <w:rFonts w:ascii="SimSun" w:hAnsi="SimSun" w:cs="SimSun" w:hint="eastAsia"/>
          <w:color w:val="000000"/>
          <w:sz w:val="21"/>
        </w:rPr>
        <w:t>够</w:t>
      </w:r>
      <w:r w:rsidRPr="00CD6A66">
        <w:rPr>
          <w:rFonts w:ascii="SimSun" w:hAnsi="SimSun" w:cs="Gulim" w:hint="eastAsia"/>
          <w:color w:val="000000"/>
          <w:sz w:val="21"/>
        </w:rPr>
        <w:t>接受</w:t>
      </w:r>
      <w:r w:rsidRPr="009D5469">
        <w:rPr>
          <w:rFonts w:ascii="SimSun" w:hAnsi="SimSun" w:cs="SimSun" w:hint="eastAsia"/>
          <w:color w:val="000000"/>
          <w:sz w:val="21"/>
        </w:rPr>
        <w:t>教</w:t>
      </w:r>
      <w:r w:rsidRPr="00CD6A66">
        <w:rPr>
          <w:rFonts w:ascii="SimSun" w:hAnsi="SimSun" w:cs="Gulim" w:hint="eastAsia"/>
          <w:color w:val="000000"/>
          <w:sz w:val="21"/>
        </w:rPr>
        <w:t>育，以便在推</w:t>
      </w:r>
      <w:r w:rsidRPr="009D5469">
        <w:rPr>
          <w:rFonts w:ascii="SimSun" w:hAnsi="SimSun" w:cs="SimSun" w:hint="eastAsia"/>
          <w:color w:val="000000"/>
          <w:sz w:val="21"/>
        </w:rPr>
        <w:t>进</w:t>
      </w:r>
      <w:r w:rsidRPr="00CD6A66">
        <w:rPr>
          <w:rFonts w:ascii="SimSun" w:hAnsi="SimSun" w:cs="Gulim" w:hint="eastAsia"/>
          <w:color w:val="000000"/>
          <w:sz w:val="21"/>
        </w:rPr>
        <w:t>全球知</w:t>
      </w:r>
      <w:r w:rsidRPr="009D5469">
        <w:rPr>
          <w:rFonts w:ascii="SimSun" w:hAnsi="SimSun" w:cs="SimSun" w:hint="eastAsia"/>
          <w:color w:val="000000"/>
          <w:sz w:val="21"/>
        </w:rPr>
        <w:t>识产权</w:t>
      </w:r>
      <w:r w:rsidRPr="00CD6A66">
        <w:rPr>
          <w:rFonts w:ascii="SimSun" w:hAnsi="SimSun" w:cs="Gulim" w:hint="eastAsia"/>
          <w:color w:val="000000"/>
          <w:sz w:val="21"/>
        </w:rPr>
        <w:t>制度</w:t>
      </w:r>
      <w:r w:rsidRPr="009D5469">
        <w:rPr>
          <w:rFonts w:ascii="SimSun" w:hAnsi="SimSun" w:cs="SimSun" w:hint="eastAsia"/>
          <w:color w:val="000000"/>
          <w:sz w:val="21"/>
        </w:rPr>
        <w:t>发</w:t>
      </w:r>
      <w:r w:rsidRPr="00CD6A66">
        <w:rPr>
          <w:rFonts w:ascii="SimSun" w:hAnsi="SimSun" w:cs="Gulim" w:hint="eastAsia"/>
          <w:color w:val="000000"/>
          <w:sz w:val="21"/>
        </w:rPr>
        <w:t>展的</w:t>
      </w:r>
      <w:r w:rsidRPr="009D5469">
        <w:rPr>
          <w:rFonts w:ascii="SimSun" w:hAnsi="SimSun" w:cs="SimSun" w:hint="eastAsia"/>
          <w:color w:val="000000"/>
          <w:sz w:val="21"/>
        </w:rPr>
        <w:t>过</w:t>
      </w:r>
      <w:r w:rsidRPr="00CD6A66">
        <w:rPr>
          <w:rFonts w:ascii="SimSun" w:hAnsi="SimSun" w:cs="Gulim" w:hint="eastAsia"/>
          <w:color w:val="000000"/>
          <w:sz w:val="21"/>
        </w:rPr>
        <w:t>程中起到催化作用。</w:t>
      </w:r>
      <w:r w:rsidRPr="009D5469">
        <w:rPr>
          <w:rFonts w:ascii="SimSun" w:hAnsi="SimSun" w:cs="SimSun" w:hint="eastAsia"/>
          <w:color w:val="000000"/>
          <w:sz w:val="21"/>
        </w:rPr>
        <w:t>韩国认为</w:t>
      </w:r>
      <w:r w:rsidRPr="00CD6A66">
        <w:rPr>
          <w:rFonts w:ascii="SimSun" w:hAnsi="SimSun" w:cs="Gulim" w:hint="eastAsia"/>
          <w:color w:val="000000"/>
          <w:sz w:val="21"/>
        </w:rPr>
        <w:t>，在未</w:t>
      </w:r>
      <w:r w:rsidRPr="009D5469">
        <w:rPr>
          <w:rFonts w:ascii="SimSun" w:hAnsi="SimSun" w:cs="SimSun" w:hint="eastAsia"/>
          <w:color w:val="000000"/>
          <w:sz w:val="21"/>
        </w:rPr>
        <w:t>来对</w:t>
      </w:r>
      <w:r w:rsidRPr="00CD6A66">
        <w:rPr>
          <w:rFonts w:ascii="SimSun" w:hAnsi="SimSun" w:cs="Gulim" w:hint="eastAsia"/>
          <w:color w:val="000000"/>
          <w:sz w:val="21"/>
        </w:rPr>
        <w:t>全球知</w:t>
      </w:r>
      <w:r w:rsidRPr="009D5469">
        <w:rPr>
          <w:rFonts w:ascii="SimSun" w:hAnsi="SimSun" w:cs="SimSun" w:hint="eastAsia"/>
          <w:color w:val="000000"/>
          <w:sz w:val="21"/>
        </w:rPr>
        <w:t>识产权</w:t>
      </w:r>
      <w:r w:rsidRPr="00CD6A66">
        <w:rPr>
          <w:rFonts w:ascii="SimSun" w:hAnsi="SimSun" w:cs="Gulim" w:hint="eastAsia"/>
          <w:color w:val="000000"/>
          <w:sz w:val="21"/>
        </w:rPr>
        <w:t>制度</w:t>
      </w:r>
      <w:r w:rsidRPr="009D5469">
        <w:rPr>
          <w:rFonts w:ascii="SimSun" w:hAnsi="SimSun" w:cs="SimSun" w:hint="eastAsia"/>
          <w:color w:val="000000"/>
          <w:sz w:val="21"/>
        </w:rPr>
        <w:t>进</w:t>
      </w:r>
      <w:r w:rsidRPr="00CD6A66">
        <w:rPr>
          <w:rFonts w:ascii="SimSun" w:hAnsi="SimSun" w:cs="Gulim" w:hint="eastAsia"/>
          <w:color w:val="000000"/>
          <w:sz w:val="21"/>
        </w:rPr>
        <w:t>行完善的一</w:t>
      </w:r>
      <w:r w:rsidRPr="009D5469">
        <w:rPr>
          <w:rFonts w:ascii="SimSun" w:hAnsi="SimSun" w:cs="SimSun" w:hint="eastAsia"/>
          <w:color w:val="000000"/>
          <w:sz w:val="21"/>
        </w:rPr>
        <w:t>种</w:t>
      </w:r>
      <w:r w:rsidRPr="00CD6A66">
        <w:rPr>
          <w:rFonts w:ascii="SimSun" w:hAnsi="SimSun" w:cs="Gulim" w:hint="eastAsia"/>
          <w:color w:val="000000"/>
          <w:sz w:val="21"/>
        </w:rPr>
        <w:t>可能方式是收集各</w:t>
      </w:r>
      <w:r w:rsidRPr="009D5469">
        <w:rPr>
          <w:rFonts w:ascii="SimSun" w:hAnsi="SimSun" w:cs="SimSun" w:hint="eastAsia"/>
          <w:color w:val="000000"/>
          <w:sz w:val="21"/>
        </w:rPr>
        <w:t>国</w:t>
      </w:r>
      <w:r w:rsidRPr="00CD6A66">
        <w:rPr>
          <w:rFonts w:ascii="SimSun" w:hAnsi="SimSun" w:cs="Gulim" w:hint="eastAsia"/>
          <w:color w:val="000000"/>
          <w:sz w:val="21"/>
        </w:rPr>
        <w:t>多</w:t>
      </w:r>
      <w:r w:rsidRPr="009D5469">
        <w:rPr>
          <w:rFonts w:ascii="SimSun" w:hAnsi="SimSun" w:cs="SimSun" w:hint="eastAsia"/>
          <w:color w:val="000000"/>
          <w:sz w:val="21"/>
        </w:rPr>
        <w:t>样</w:t>
      </w:r>
      <w:r w:rsidRPr="00CD6A66">
        <w:rPr>
          <w:rFonts w:ascii="SimSun" w:hAnsi="SimSun" w:cs="Gulim" w:hint="eastAsia"/>
          <w:color w:val="000000"/>
          <w:sz w:val="21"/>
        </w:rPr>
        <w:t>化的知</w:t>
      </w:r>
      <w:r w:rsidRPr="009D5469">
        <w:rPr>
          <w:rFonts w:ascii="SimSun" w:hAnsi="SimSun" w:cs="SimSun" w:hint="eastAsia"/>
          <w:color w:val="000000"/>
          <w:sz w:val="21"/>
        </w:rPr>
        <w:t>识产权</w:t>
      </w:r>
      <w:r w:rsidRPr="00CD6A66">
        <w:rPr>
          <w:rFonts w:ascii="SimSun" w:hAnsi="SimSun" w:cs="Gulim" w:hint="eastAsia"/>
          <w:color w:val="000000"/>
          <w:sz w:val="21"/>
        </w:rPr>
        <w:t>背景信息，</w:t>
      </w:r>
      <w:r w:rsidRPr="009D5469">
        <w:rPr>
          <w:rFonts w:ascii="SimSun" w:hAnsi="SimSun" w:cs="SimSun" w:hint="eastAsia"/>
          <w:color w:val="000000"/>
          <w:sz w:val="21"/>
        </w:rPr>
        <w:t>并将它们</w:t>
      </w:r>
      <w:r w:rsidRPr="00CD6A66">
        <w:rPr>
          <w:rFonts w:ascii="SimSun" w:hAnsi="SimSun" w:cs="Gulim" w:hint="eastAsia"/>
          <w:color w:val="000000"/>
          <w:sz w:val="21"/>
        </w:rPr>
        <w:t>整合在一</w:t>
      </w:r>
      <w:r w:rsidRPr="009D5469">
        <w:rPr>
          <w:rFonts w:ascii="SimSun" w:hAnsi="SimSun" w:cs="SimSun" w:hint="eastAsia"/>
          <w:color w:val="000000"/>
          <w:sz w:val="21"/>
        </w:rPr>
        <w:t>个</w:t>
      </w:r>
      <w:r w:rsidRPr="00CD6A66">
        <w:rPr>
          <w:rFonts w:ascii="SimSun" w:hAnsi="SimSun" w:cs="Gulim" w:hint="eastAsia"/>
          <w:color w:val="000000"/>
          <w:sz w:val="21"/>
        </w:rPr>
        <w:t>能</w:t>
      </w:r>
      <w:r w:rsidRPr="009D5469">
        <w:rPr>
          <w:rFonts w:ascii="SimSun" w:hAnsi="SimSun" w:cs="SimSun" w:hint="eastAsia"/>
          <w:color w:val="000000"/>
          <w:sz w:val="21"/>
        </w:rPr>
        <w:t>够</w:t>
      </w:r>
      <w:r w:rsidRPr="00CD6A66">
        <w:rPr>
          <w:rFonts w:ascii="SimSun" w:hAnsi="SimSun" w:cs="Gulim" w:hint="eastAsia"/>
          <w:color w:val="000000"/>
          <w:sz w:val="21"/>
        </w:rPr>
        <w:t>使人</w:t>
      </w:r>
      <w:r w:rsidRPr="009D5469">
        <w:rPr>
          <w:rFonts w:ascii="SimSun" w:hAnsi="SimSun" w:cs="SimSun" w:hint="eastAsia"/>
          <w:color w:val="000000"/>
          <w:sz w:val="21"/>
        </w:rPr>
        <w:t>获</w:t>
      </w:r>
      <w:r w:rsidRPr="00CD6A66">
        <w:rPr>
          <w:rFonts w:ascii="SimSun" w:hAnsi="SimSun" w:cs="Gulim" w:hint="eastAsia"/>
          <w:color w:val="000000"/>
          <w:sz w:val="21"/>
        </w:rPr>
        <w:t>益良多的</w:t>
      </w:r>
      <w:r w:rsidRPr="009D5469">
        <w:rPr>
          <w:rFonts w:ascii="SimSun" w:hAnsi="SimSun" w:cs="SimSun" w:hint="eastAsia"/>
          <w:color w:val="000000"/>
          <w:sz w:val="21"/>
        </w:rPr>
        <w:t>研讨</w:t>
      </w:r>
      <w:r w:rsidRPr="00CD6A66">
        <w:rPr>
          <w:rFonts w:ascii="SimSun" w:hAnsi="SimSun" w:cs="Gulim" w:hint="eastAsia"/>
          <w:color w:val="000000"/>
          <w:sz w:val="21"/>
        </w:rPr>
        <w:t>班中。</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6E7ACC"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CD6A66">
        <w:rPr>
          <w:rFonts w:ascii="SimHei" w:eastAsia="SimHei" w:hAnsi="SimHei"/>
          <w:bCs/>
          <w:smallCaps/>
          <w:color w:val="1F497D" w:themeColor="text2"/>
          <w:sz w:val="21"/>
          <w:szCs w:val="21"/>
          <w:vertAlign w:val="superscript"/>
        </w:rPr>
        <w:footnoteReference w:id="21"/>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shd w:val="clear" w:color="auto" w:fill="FFFFFF"/>
        </w:rPr>
      </w:pPr>
      <w:r w:rsidRPr="009D5469">
        <w:rPr>
          <w:rFonts w:ascii="SimSun" w:hAnsi="SimSun" w:cs="SimSun" w:hint="eastAsia"/>
          <w:color w:val="000000"/>
          <w:sz w:val="21"/>
          <w:shd w:val="clear" w:color="auto" w:fill="FFFFFF"/>
        </w:rPr>
        <w:t>为</w:t>
      </w:r>
      <w:r w:rsidRPr="00CD6A66">
        <w:rPr>
          <w:rFonts w:ascii="SimSun" w:hAnsi="SimSun" w:cs="Batang" w:hint="eastAsia"/>
          <w:color w:val="000000"/>
          <w:sz w:val="21"/>
          <w:shd w:val="clear" w:color="auto" w:fill="FFFFFF"/>
        </w:rPr>
        <w:t>了使</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驻</w:t>
      </w:r>
      <w:r w:rsidRPr="00CD6A66">
        <w:rPr>
          <w:rFonts w:ascii="SimSun" w:hAnsi="SimSun" w:cs="Batang" w:hint="eastAsia"/>
          <w:color w:val="000000"/>
          <w:sz w:val="21"/>
          <w:shd w:val="clear" w:color="auto" w:fill="FFFFFF"/>
        </w:rPr>
        <w:t>外</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得以成功</w:t>
      </w:r>
      <w:r w:rsidRPr="009D5469">
        <w:rPr>
          <w:rFonts w:ascii="SimSun" w:hAnsi="SimSun" w:cs="SimSun" w:hint="eastAsia"/>
          <w:color w:val="000000"/>
          <w:sz w:val="21"/>
          <w:shd w:val="clear" w:color="auto" w:fill="FFFFFF"/>
        </w:rPr>
        <w:t>运转</w:t>
      </w:r>
      <w:r w:rsidRPr="00CD6A66">
        <w:rPr>
          <w:rFonts w:ascii="SimSun" w:hAnsi="SimSun" w:cs="Batang" w:hint="eastAsia"/>
          <w:color w:val="000000"/>
          <w:sz w:val="21"/>
          <w:shd w:val="clear" w:color="auto" w:fill="FFFFFF"/>
        </w:rPr>
        <w:t>，</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自</w:t>
      </w:r>
      <w:r w:rsidRPr="009D5469">
        <w:rPr>
          <w:rFonts w:ascii="SimSun" w:hAnsi="SimSun" w:cs="SimSun" w:hint="eastAsia"/>
          <w:color w:val="000000"/>
          <w:sz w:val="21"/>
          <w:shd w:val="clear" w:color="auto" w:fill="FFFFFF"/>
        </w:rPr>
        <w:t>东</w:t>
      </w:r>
      <w:r w:rsidRPr="00CD6A66">
        <w:rPr>
          <w:rFonts w:ascii="SimSun" w:hAnsi="SimSun" w:cs="Batang" w:hint="eastAsia"/>
          <w:color w:val="000000"/>
          <w:sz w:val="21"/>
          <w:shd w:val="clear" w:color="auto" w:fill="FFFFFF"/>
        </w:rPr>
        <w:t>道</w:t>
      </w:r>
      <w:r w:rsidRPr="009D5469">
        <w:rPr>
          <w:rFonts w:ascii="SimSun" w:hAnsi="SimSun" w:cs="SimSun" w:hint="eastAsia"/>
          <w:color w:val="000000"/>
          <w:sz w:val="21"/>
          <w:shd w:val="clear" w:color="auto" w:fill="FFFFFF"/>
        </w:rPr>
        <w:t>国</w:t>
      </w:r>
      <w:r w:rsidRPr="00CD6A66">
        <w:rPr>
          <w:rFonts w:ascii="SimSun" w:hAnsi="SimSun" w:cs="Batang" w:hint="eastAsia"/>
          <w:color w:val="000000"/>
          <w:sz w:val="21"/>
          <w:shd w:val="clear" w:color="auto" w:fill="FFFFFF"/>
        </w:rPr>
        <w:t>政府的支持至</w:t>
      </w:r>
      <w:r w:rsidRPr="009D5469">
        <w:rPr>
          <w:rFonts w:ascii="SimSun" w:hAnsi="SimSun" w:cs="SimSun" w:hint="eastAsia"/>
          <w:color w:val="000000"/>
          <w:sz w:val="21"/>
          <w:shd w:val="clear" w:color="auto" w:fill="FFFFFF"/>
        </w:rPr>
        <w:t>关</w:t>
      </w:r>
      <w:r w:rsidRPr="00CD6A66">
        <w:rPr>
          <w:rFonts w:ascii="SimSun" w:hAnsi="SimSun" w:cs="Batang" w:hint="eastAsia"/>
          <w:color w:val="000000"/>
          <w:sz w:val="21"/>
          <w:shd w:val="clear" w:color="auto" w:fill="FFFFFF"/>
        </w:rPr>
        <w:t>重要。</w:t>
      </w:r>
      <w:r w:rsidRPr="009D5469">
        <w:rPr>
          <w:rFonts w:ascii="SimSun" w:hAnsi="SimSun" w:cs="SimSun" w:hint="eastAsia"/>
          <w:color w:val="000000"/>
          <w:sz w:val="21"/>
          <w:shd w:val="clear" w:color="auto" w:fill="FFFFFF"/>
        </w:rPr>
        <w:t>这</w:t>
      </w:r>
      <w:r w:rsidRPr="00CD6A66">
        <w:rPr>
          <w:rFonts w:ascii="SimSun" w:hAnsi="SimSun" w:cs="Batang" w:hint="eastAsia"/>
          <w:color w:val="000000"/>
          <w:sz w:val="21"/>
          <w:shd w:val="clear" w:color="auto" w:fill="FFFFFF"/>
        </w:rPr>
        <w:t>不</w:t>
      </w:r>
      <w:r w:rsidRPr="009D5469">
        <w:rPr>
          <w:rFonts w:ascii="SimSun" w:hAnsi="SimSun" w:cs="SimSun" w:hint="eastAsia"/>
          <w:color w:val="000000"/>
          <w:sz w:val="21"/>
          <w:shd w:val="clear" w:color="auto" w:fill="FFFFFF"/>
        </w:rPr>
        <w:t>仅</w:t>
      </w:r>
      <w:r w:rsidRPr="00CD6A66">
        <w:rPr>
          <w:rFonts w:ascii="SimSun" w:hAnsi="SimSun" w:cs="Batang" w:hint="eastAsia"/>
          <w:color w:val="000000"/>
          <w:sz w:val="21"/>
          <w:shd w:val="clear" w:color="auto" w:fill="FFFFFF"/>
        </w:rPr>
        <w:t>意味着提供</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公</w:t>
      </w:r>
      <w:r w:rsidRPr="009D5469">
        <w:rPr>
          <w:rFonts w:ascii="SimSun" w:hAnsi="SimSun" w:cs="SimSun" w:hint="eastAsia"/>
          <w:color w:val="000000"/>
          <w:sz w:val="21"/>
          <w:shd w:val="clear" w:color="auto" w:fill="FFFFFF"/>
        </w:rPr>
        <w:t>场</w:t>
      </w:r>
      <w:r w:rsidRPr="00CD6A66">
        <w:rPr>
          <w:rFonts w:ascii="SimSun" w:hAnsi="SimSun" w:cs="Batang" w:hint="eastAsia"/>
          <w:color w:val="000000"/>
          <w:sz w:val="21"/>
          <w:shd w:val="clear" w:color="auto" w:fill="FFFFFF"/>
        </w:rPr>
        <w:t>地、</w:t>
      </w:r>
      <w:r w:rsidRPr="009D5469">
        <w:rPr>
          <w:rFonts w:ascii="SimSun" w:hAnsi="SimSun" w:cs="SimSun" w:hint="eastAsia"/>
          <w:color w:val="000000"/>
          <w:sz w:val="21"/>
          <w:shd w:val="clear" w:color="auto" w:fill="FFFFFF"/>
        </w:rPr>
        <w:t>设备</w:t>
      </w:r>
      <w:r w:rsidRPr="00CD6A66">
        <w:rPr>
          <w:rFonts w:ascii="SimSun" w:hAnsi="SimSun" w:cs="Batang" w:hint="eastAsia"/>
          <w:color w:val="000000"/>
          <w:sz w:val="21"/>
          <w:shd w:val="clear" w:color="auto" w:fill="FFFFFF"/>
        </w:rPr>
        <w:t>、互</w:t>
      </w:r>
      <w:r w:rsidRPr="009D5469">
        <w:rPr>
          <w:rFonts w:ascii="SimSun" w:hAnsi="SimSun" w:cs="SimSun" w:hint="eastAsia"/>
          <w:color w:val="000000"/>
          <w:sz w:val="21"/>
          <w:shd w:val="clear" w:color="auto" w:fill="FFFFFF"/>
        </w:rPr>
        <w:t>联网</w:t>
      </w:r>
      <w:r w:rsidRPr="00CD6A66">
        <w:rPr>
          <w:rFonts w:ascii="SimSun" w:hAnsi="SimSun" w:cs="Batang" w:hint="eastAsia"/>
          <w:color w:val="000000"/>
          <w:sz w:val="21"/>
          <w:shd w:val="clear" w:color="auto" w:fill="FFFFFF"/>
        </w:rPr>
        <w:t>和安保，</w:t>
      </w:r>
      <w:r w:rsidRPr="009D5469">
        <w:rPr>
          <w:rFonts w:ascii="SimSun" w:hAnsi="SimSun" w:cs="SimSun" w:hint="eastAsia"/>
          <w:color w:val="000000"/>
          <w:sz w:val="21"/>
          <w:shd w:val="clear" w:color="auto" w:fill="FFFFFF"/>
        </w:rPr>
        <w:t>还</w:t>
      </w:r>
      <w:r w:rsidRPr="00CD6A66">
        <w:rPr>
          <w:rFonts w:ascii="SimSun" w:hAnsi="SimSun" w:cs="Batang" w:hint="eastAsia"/>
          <w:color w:val="000000"/>
          <w:sz w:val="21"/>
          <w:shd w:val="clear" w:color="auto" w:fill="FFFFFF"/>
        </w:rPr>
        <w:t>意味着提供物</w:t>
      </w:r>
      <w:r w:rsidRPr="009D5469">
        <w:rPr>
          <w:rFonts w:ascii="SimSun" w:hAnsi="SimSun" w:cs="SimSun" w:hint="eastAsia"/>
          <w:color w:val="000000"/>
          <w:sz w:val="21"/>
          <w:shd w:val="clear" w:color="auto" w:fill="FFFFFF"/>
        </w:rPr>
        <w:t>质资</w:t>
      </w:r>
      <w:r w:rsidRPr="00CD6A66">
        <w:rPr>
          <w:rFonts w:ascii="SimSun" w:hAnsi="SimSun" w:cs="Batang" w:hint="eastAsia"/>
          <w:color w:val="000000"/>
          <w:sz w:val="21"/>
          <w:shd w:val="clear" w:color="auto" w:fill="FFFFFF"/>
        </w:rPr>
        <w:t>源，如人力</w:t>
      </w:r>
      <w:r w:rsidRPr="009D5469">
        <w:rPr>
          <w:rFonts w:ascii="SimSun" w:hAnsi="SimSun" w:cs="SimSun" w:hint="eastAsia"/>
          <w:color w:val="000000"/>
          <w:sz w:val="21"/>
          <w:shd w:val="clear" w:color="auto" w:fill="FFFFFF"/>
        </w:rPr>
        <w:t>资</w:t>
      </w:r>
      <w:r w:rsidRPr="00CD6A66">
        <w:rPr>
          <w:rFonts w:ascii="SimSun" w:hAnsi="SimSun" w:cs="Batang" w:hint="eastAsia"/>
          <w:color w:val="000000"/>
          <w:sz w:val="21"/>
          <w:shd w:val="clear" w:color="auto" w:fill="FFFFFF"/>
        </w:rPr>
        <w:t>源和</w:t>
      </w:r>
      <w:r w:rsidRPr="009D5469">
        <w:rPr>
          <w:rFonts w:ascii="SimSun" w:hAnsi="SimSun" w:cs="SimSun" w:hint="eastAsia"/>
          <w:color w:val="000000"/>
          <w:sz w:val="21"/>
          <w:shd w:val="clear" w:color="auto" w:fill="FFFFFF"/>
        </w:rPr>
        <w:t>预</w:t>
      </w:r>
      <w:r w:rsidRPr="00CD6A66">
        <w:rPr>
          <w:rFonts w:ascii="SimSun" w:hAnsi="SimSun" w:cs="Batang" w:hint="eastAsia"/>
          <w:color w:val="000000"/>
          <w:sz w:val="21"/>
          <w:shd w:val="clear" w:color="auto" w:fill="FFFFFF"/>
        </w:rPr>
        <w:t>算。</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政府</w:t>
      </w:r>
      <w:r w:rsidRPr="009D5469">
        <w:rPr>
          <w:rFonts w:ascii="SimSun" w:hAnsi="SimSun" w:cs="SimSun" w:hint="eastAsia"/>
          <w:color w:val="000000"/>
          <w:sz w:val="21"/>
          <w:shd w:val="clear" w:color="auto" w:fill="FFFFFF"/>
        </w:rPr>
        <w:t>将</w:t>
      </w:r>
      <w:r w:rsidRPr="00CD6A66">
        <w:rPr>
          <w:rFonts w:ascii="SimSun" w:hAnsi="SimSun" w:cs="Batang" w:hint="eastAsia"/>
          <w:color w:val="000000"/>
          <w:sz w:val="21"/>
          <w:shd w:val="clear" w:color="auto" w:fill="FFFFFF"/>
        </w:rPr>
        <w:t>通</w:t>
      </w:r>
      <w:r w:rsidRPr="009D5469">
        <w:rPr>
          <w:rFonts w:ascii="SimSun" w:hAnsi="SimSun" w:cs="SimSun" w:hint="eastAsia"/>
          <w:color w:val="000000"/>
          <w:sz w:val="21"/>
          <w:shd w:val="clear" w:color="auto" w:fill="FFFFFF"/>
        </w:rPr>
        <w:t>过</w:t>
      </w:r>
      <w:r w:rsidRPr="00CD6A66">
        <w:rPr>
          <w:rFonts w:ascii="SimSun" w:hAnsi="SimSun" w:cs="Batang" w:hint="eastAsia"/>
          <w:color w:val="000000"/>
          <w:sz w:val="21"/>
          <w:shd w:val="clear" w:color="auto" w:fill="FFFFFF"/>
        </w:rPr>
        <w:t>使用</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支持</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的</w:t>
      </w:r>
      <w:r w:rsidRPr="009D5469">
        <w:rPr>
          <w:rFonts w:ascii="SimSun" w:hAnsi="SimSun" w:cs="SimSun" w:hint="eastAsia"/>
          <w:color w:val="000000"/>
          <w:sz w:val="21"/>
          <w:shd w:val="clear" w:color="auto" w:fill="FFFFFF"/>
        </w:rPr>
        <w:t>财务</w:t>
      </w:r>
      <w:r w:rsidRPr="00CD6A66">
        <w:rPr>
          <w:rFonts w:ascii="SimSun" w:hAnsi="SimSun" w:cs="Batang" w:hint="eastAsia"/>
          <w:color w:val="000000"/>
          <w:sz w:val="21"/>
          <w:shd w:val="clear" w:color="auto" w:fill="FFFFFF"/>
        </w:rPr>
        <w:t>可持</w:t>
      </w:r>
      <w:r w:rsidRPr="009D5469">
        <w:rPr>
          <w:rFonts w:ascii="SimSun" w:hAnsi="SimSun" w:cs="SimSun" w:hint="eastAsia"/>
          <w:color w:val="000000"/>
          <w:sz w:val="21"/>
          <w:shd w:val="clear" w:color="auto" w:fill="FFFFFF"/>
        </w:rPr>
        <w:t>续</w:t>
      </w:r>
      <w:r w:rsidRPr="00CD6A66">
        <w:rPr>
          <w:rFonts w:ascii="SimSun" w:hAnsi="SimSun" w:cs="Batang" w:hint="eastAsia"/>
          <w:color w:val="000000"/>
          <w:sz w:val="21"/>
          <w:shd w:val="clear" w:color="auto" w:fill="FFFFFF"/>
        </w:rPr>
        <w:t>性，以确保最</w:t>
      </w:r>
      <w:r w:rsidRPr="009D5469">
        <w:rPr>
          <w:rFonts w:ascii="SimSun" w:hAnsi="SimSun" w:cs="SimSun" w:hint="eastAsia"/>
          <w:color w:val="000000"/>
          <w:sz w:val="21"/>
          <w:shd w:val="clear" w:color="auto" w:fill="FFFFFF"/>
        </w:rPr>
        <w:t>优</w:t>
      </w:r>
      <w:r w:rsidRPr="00CD6A66">
        <w:rPr>
          <w:rFonts w:ascii="SimSun" w:hAnsi="SimSun" w:cs="Batang" w:hint="eastAsia"/>
          <w:color w:val="000000"/>
          <w:sz w:val="21"/>
          <w:shd w:val="clear" w:color="auto" w:fill="FFFFFF"/>
        </w:rPr>
        <w:t>的效</w:t>
      </w:r>
      <w:r w:rsidRPr="009D5469">
        <w:rPr>
          <w:rFonts w:ascii="SimSun" w:hAnsi="SimSun" w:cs="SimSun" w:hint="eastAsia"/>
          <w:color w:val="000000"/>
          <w:sz w:val="21"/>
          <w:shd w:val="clear" w:color="auto" w:fill="FFFFFF"/>
        </w:rPr>
        <w:t>绩</w:t>
      </w:r>
      <w:r w:rsidRPr="00CD6A66">
        <w:rPr>
          <w:rFonts w:ascii="SimSun" w:hAnsi="SimSun" w:cs="Batang" w:hint="eastAsia"/>
          <w:color w:val="000000"/>
          <w:sz w:val="21"/>
          <w:shd w:val="clear" w:color="auto" w:fill="FFFFFF"/>
        </w:rPr>
        <w:t>。</w:t>
      </w:r>
      <w:r w:rsidRPr="009D5469">
        <w:rPr>
          <w:rFonts w:ascii="SimSun" w:hAnsi="SimSun" w:hint="eastAsia"/>
          <w:color w:val="000000"/>
          <w:sz w:val="21"/>
          <w:shd w:val="clear" w:color="auto" w:fill="FFFFFF"/>
        </w:rPr>
        <w:t>此外，WIPO</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所在地</w:t>
      </w:r>
      <w:r w:rsidRPr="009D5469">
        <w:rPr>
          <w:rFonts w:ascii="SimSun" w:hAnsi="SimSun" w:cs="SimSun" w:hint="eastAsia"/>
          <w:color w:val="000000"/>
          <w:sz w:val="21"/>
          <w:shd w:val="clear" w:color="auto" w:fill="FFFFFF"/>
        </w:rPr>
        <w:t>将</w:t>
      </w:r>
      <w:r w:rsidRPr="00CD6A66">
        <w:rPr>
          <w:rFonts w:ascii="SimSun" w:hAnsi="SimSun" w:cs="Batang" w:hint="eastAsia"/>
          <w:color w:val="000000"/>
          <w:sz w:val="21"/>
          <w:shd w:val="clear" w:color="auto" w:fill="FFFFFF"/>
        </w:rPr>
        <w:t>位于</w:t>
      </w:r>
      <w:r w:rsidRPr="009D5469">
        <w:rPr>
          <w:rFonts w:ascii="SimSun" w:hAnsi="SimSun" w:cs="SimSun" w:hint="eastAsia"/>
          <w:color w:val="000000"/>
          <w:sz w:val="21"/>
          <w:shd w:val="clear" w:color="auto" w:fill="FFFFFF"/>
        </w:rPr>
        <w:t>邻</w:t>
      </w:r>
      <w:r w:rsidRPr="00CD6A66">
        <w:rPr>
          <w:rFonts w:ascii="SimSun" w:hAnsi="SimSun" w:cs="Batang" w:hint="eastAsia"/>
          <w:color w:val="000000"/>
          <w:sz w:val="21"/>
          <w:shd w:val="clear" w:color="auto" w:fill="FFFFFF"/>
        </w:rPr>
        <w:t>近世界著名的仁川</w:t>
      </w:r>
      <w:r w:rsidRPr="009D5469">
        <w:rPr>
          <w:rFonts w:ascii="SimSun" w:hAnsi="SimSun" w:cs="SimSun" w:hint="eastAsia"/>
          <w:color w:val="000000"/>
          <w:sz w:val="21"/>
          <w:shd w:val="clear" w:color="auto" w:fill="FFFFFF"/>
        </w:rPr>
        <w:t>国际</w:t>
      </w:r>
      <w:r w:rsidRPr="00CD6A66">
        <w:rPr>
          <w:rFonts w:ascii="SimSun" w:hAnsi="SimSun" w:cs="Batang" w:hint="eastAsia"/>
          <w:color w:val="000000"/>
          <w:sz w:val="21"/>
          <w:shd w:val="clear" w:color="auto" w:fill="FFFFFF"/>
        </w:rPr>
        <w:t>机</w:t>
      </w:r>
      <w:r w:rsidRPr="009D5469">
        <w:rPr>
          <w:rFonts w:ascii="SimSun" w:hAnsi="SimSun" w:cs="SimSun" w:hint="eastAsia"/>
          <w:color w:val="000000"/>
          <w:sz w:val="21"/>
          <w:shd w:val="clear" w:color="auto" w:fill="FFFFFF"/>
        </w:rPr>
        <w:t>场</w:t>
      </w:r>
      <w:r w:rsidRPr="00CD6A66">
        <w:rPr>
          <w:rFonts w:ascii="SimSun" w:hAnsi="SimSun" w:cs="Batang" w:hint="eastAsia"/>
          <w:color w:val="000000"/>
          <w:sz w:val="21"/>
          <w:shd w:val="clear" w:color="auto" w:fill="FFFFFF"/>
        </w:rPr>
        <w:t>的一</w:t>
      </w:r>
      <w:r w:rsidRPr="009D5469">
        <w:rPr>
          <w:rFonts w:ascii="SimSun" w:hAnsi="SimSun" w:cs="SimSun" w:hint="eastAsia"/>
          <w:color w:val="000000"/>
          <w:sz w:val="21"/>
          <w:shd w:val="clear" w:color="auto" w:fill="FFFFFF"/>
        </w:rPr>
        <w:t>个设计</w:t>
      </w:r>
      <w:r w:rsidRPr="00CD6A66">
        <w:rPr>
          <w:rFonts w:ascii="SimSun" w:hAnsi="SimSun" w:cs="Batang" w:hint="eastAsia"/>
          <w:color w:val="000000"/>
          <w:sz w:val="21"/>
          <w:shd w:val="clear" w:color="auto" w:fill="FFFFFF"/>
        </w:rPr>
        <w:t>宏大</w:t>
      </w:r>
      <w:r w:rsidRPr="009D5469">
        <w:rPr>
          <w:rFonts w:ascii="SimSun" w:hAnsi="SimSun" w:cs="SimSun" w:hint="eastAsia"/>
          <w:color w:val="000000"/>
          <w:sz w:val="21"/>
          <w:shd w:val="clear" w:color="auto" w:fill="FFFFFF"/>
        </w:rPr>
        <w:t>优</w:t>
      </w:r>
      <w:r w:rsidRPr="00CD6A66">
        <w:rPr>
          <w:rFonts w:ascii="SimSun" w:hAnsi="SimSun" w:cs="Batang" w:hint="eastAsia"/>
          <w:color w:val="000000"/>
          <w:sz w:val="21"/>
          <w:shd w:val="clear" w:color="auto" w:fill="FFFFFF"/>
        </w:rPr>
        <w:t>美的商</w:t>
      </w:r>
      <w:r w:rsidRPr="009D5469">
        <w:rPr>
          <w:rFonts w:ascii="SimSun" w:hAnsi="SimSun" w:cs="SimSun" w:hint="eastAsia"/>
          <w:color w:val="000000"/>
          <w:sz w:val="21"/>
          <w:shd w:val="clear" w:color="auto" w:fill="FFFFFF"/>
        </w:rPr>
        <w:t>业场</w:t>
      </w:r>
      <w:r w:rsidRPr="00CD6A66">
        <w:rPr>
          <w:rFonts w:ascii="SimSun" w:hAnsi="SimSun" w:cs="Batang" w:hint="eastAsia"/>
          <w:color w:val="000000"/>
          <w:sz w:val="21"/>
          <w:shd w:val="clear" w:color="auto" w:fill="FFFFFF"/>
        </w:rPr>
        <w:t>所。</w:t>
      </w:r>
    </w:p>
    <w:p w:rsidR="00B91C3B" w:rsidRPr="00CD6A66"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hint="eastAsia"/>
          <w:color w:val="000000"/>
          <w:sz w:val="21"/>
          <w:shd w:val="clear" w:color="auto" w:fill="FFFFFF"/>
        </w:rPr>
        <w:t>另一</w:t>
      </w:r>
      <w:r w:rsidRPr="009D5469">
        <w:rPr>
          <w:rFonts w:ascii="SimSun" w:hAnsi="SimSun" w:cs="SimSun" w:hint="eastAsia"/>
          <w:color w:val="000000"/>
          <w:sz w:val="21"/>
          <w:shd w:val="clear" w:color="auto" w:fill="FFFFFF"/>
        </w:rPr>
        <w:t>个</w:t>
      </w:r>
      <w:r w:rsidRPr="00CD6A66">
        <w:rPr>
          <w:rFonts w:ascii="SimSun" w:hAnsi="SimSun" w:cs="Batang" w:hint="eastAsia"/>
          <w:color w:val="000000"/>
          <w:sz w:val="21"/>
          <w:shd w:val="clear" w:color="auto" w:fill="FFFFFF"/>
        </w:rPr>
        <w:t>有利方面是，全球主要知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服</w:t>
      </w:r>
      <w:r w:rsidRPr="009D5469">
        <w:rPr>
          <w:rFonts w:ascii="SimSun" w:hAnsi="SimSun" w:cs="SimSun" w:hint="eastAsia"/>
          <w:color w:val="000000"/>
          <w:sz w:val="21"/>
          <w:shd w:val="clear" w:color="auto" w:fill="FFFFFF"/>
        </w:rPr>
        <w:t>务</w:t>
      </w:r>
      <w:r w:rsidRPr="00CD6A66">
        <w:rPr>
          <w:rFonts w:ascii="SimSun" w:hAnsi="SimSun" w:cs="Batang" w:hint="eastAsia"/>
          <w:color w:val="000000"/>
          <w:sz w:val="21"/>
          <w:shd w:val="clear" w:color="auto" w:fill="FFFFFF"/>
        </w:rPr>
        <w:t>使用增</w:t>
      </w:r>
      <w:r w:rsidRPr="009D5469">
        <w:rPr>
          <w:rFonts w:ascii="SimSun" w:hAnsi="SimSun" w:cs="SimSun" w:hint="eastAsia"/>
          <w:color w:val="000000"/>
          <w:sz w:val="21"/>
          <w:shd w:val="clear" w:color="auto" w:fill="FFFFFF"/>
        </w:rPr>
        <w:t>长</w:t>
      </w:r>
      <w:r w:rsidRPr="00CD6A66">
        <w:rPr>
          <w:rFonts w:ascii="SimSun" w:hAnsi="SimSun" w:cs="Batang" w:hint="eastAsia"/>
          <w:color w:val="000000"/>
          <w:sz w:val="21"/>
          <w:shd w:val="clear" w:color="auto" w:fill="FFFFFF"/>
        </w:rPr>
        <w:t>所</w:t>
      </w:r>
      <w:r w:rsidRPr="009D5469">
        <w:rPr>
          <w:rFonts w:ascii="SimSun" w:hAnsi="SimSun" w:cs="SimSun" w:hint="eastAsia"/>
          <w:color w:val="000000"/>
          <w:sz w:val="21"/>
          <w:shd w:val="clear" w:color="auto" w:fill="FFFFFF"/>
        </w:rPr>
        <w:t>带来</w:t>
      </w:r>
      <w:r w:rsidRPr="00CD6A66">
        <w:rPr>
          <w:rFonts w:ascii="SimSun" w:hAnsi="SimSun" w:cs="Batang" w:hint="eastAsia"/>
          <w:color w:val="000000"/>
          <w:sz w:val="21"/>
          <w:shd w:val="clear" w:color="auto" w:fill="FFFFFF"/>
        </w:rPr>
        <w:t>的收入增</w:t>
      </w:r>
      <w:r w:rsidRPr="009D5469">
        <w:rPr>
          <w:rFonts w:ascii="SimSun" w:hAnsi="SimSun" w:cs="SimSun" w:hint="eastAsia"/>
          <w:color w:val="000000"/>
          <w:sz w:val="21"/>
          <w:shd w:val="clear" w:color="auto" w:fill="FFFFFF"/>
        </w:rPr>
        <w:t>长将</w:t>
      </w:r>
      <w:r w:rsidRPr="00CD6A66">
        <w:rPr>
          <w:rFonts w:ascii="SimSun" w:hAnsi="SimSun" w:cs="Batang" w:hint="eastAsia"/>
          <w:color w:val="000000"/>
          <w:sz w:val="21"/>
          <w:shd w:val="clear" w:color="auto" w:fill="FFFFFF"/>
        </w:rPr>
        <w:t>超</w:t>
      </w:r>
      <w:r w:rsidRPr="009D5469">
        <w:rPr>
          <w:rFonts w:ascii="SimSun" w:hAnsi="SimSun" w:cs="SimSun" w:hint="eastAsia"/>
          <w:color w:val="000000"/>
          <w:sz w:val="21"/>
          <w:shd w:val="clear" w:color="auto" w:fill="FFFFFF"/>
        </w:rPr>
        <w:t>过</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处运</w:t>
      </w:r>
      <w:r w:rsidRPr="00CD6A66">
        <w:rPr>
          <w:rFonts w:ascii="SimSun" w:hAnsi="SimSun" w:cs="Batang" w:hint="eastAsia"/>
          <w:color w:val="000000"/>
          <w:sz w:val="21"/>
          <w:shd w:val="clear" w:color="auto" w:fill="FFFFFF"/>
        </w:rPr>
        <w:t>行所需要的</w:t>
      </w:r>
      <w:r w:rsidRPr="009D5469">
        <w:rPr>
          <w:rFonts w:ascii="SimSun" w:hAnsi="SimSun" w:cs="SimSun" w:hint="eastAsia"/>
          <w:color w:val="000000"/>
          <w:sz w:val="21"/>
          <w:shd w:val="clear" w:color="auto" w:fill="FFFFFF"/>
        </w:rPr>
        <w:t>费</w:t>
      </w:r>
      <w:r w:rsidRPr="00CD6A66">
        <w:rPr>
          <w:rFonts w:ascii="SimSun" w:hAnsi="SimSun" w:cs="Batang" w:hint="eastAsia"/>
          <w:color w:val="000000"/>
          <w:sz w:val="21"/>
          <w:shd w:val="clear" w:color="auto" w:fill="FFFFFF"/>
        </w:rPr>
        <w:t>用</w:t>
      </w:r>
      <w:r w:rsidRPr="00CD6A66">
        <w:rPr>
          <w:rFonts w:ascii="SimSun" w:hAnsi="SimSun" w:hint="eastAsia"/>
          <w:sz w:val="21"/>
          <w:shd w:val="clear" w:color="auto" w:fill="FFFFFF"/>
        </w:rPr>
        <w:t>成本</w:t>
      </w:r>
      <w:r w:rsidRPr="00CD6A66">
        <w:rPr>
          <w:rFonts w:ascii="SimSun" w:hAnsi="SimSun" w:cs="Batang" w:hint="eastAsia"/>
          <w:color w:val="000000"/>
          <w:sz w:val="21"/>
          <w:shd w:val="clear" w:color="auto" w:fill="FFFFFF"/>
        </w:rPr>
        <w:t>。</w:t>
      </w:r>
    </w:p>
    <w:p w:rsidR="00B91C3B" w:rsidRPr="00D449C5" w:rsidRDefault="00B91C3B" w:rsidP="00B91C3B">
      <w:pPr>
        <w:jc w:val="both"/>
        <w:rPr>
          <w:rFonts w:ascii="SimSun" w:hAnsi="SimSun"/>
          <w:sz w:val="21"/>
        </w:rPr>
        <w:sectPr w:rsidR="00B91C3B" w:rsidRPr="00D449C5" w:rsidSect="00F85B4A">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4A5C4C">
        <w:rPr>
          <w:rFonts w:ascii="SimHei" w:eastAsia="SimHei" w:hAnsi="SimHei"/>
          <w:bCs/>
          <w:smallCaps/>
          <w:sz w:val="21"/>
          <w:vertAlign w:val="superscript"/>
        </w:rPr>
        <w:footnoteReference w:id="22"/>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4E1678" w:rsidP="007E09FD">
      <w:pPr>
        <w:keepNext/>
        <w:keepLines/>
        <w:spacing w:afterLines="50" w:after="120" w:line="340" w:lineRule="atLeast"/>
        <w:jc w:val="center"/>
        <w:rPr>
          <w:rStyle w:val="1"/>
          <w:rFonts w:ascii="SimSun" w:hAnsi="SimSun"/>
          <w:sz w:val="21"/>
          <w:szCs w:val="21"/>
        </w:rPr>
      </w:pPr>
      <w:bookmarkStart w:id="13" w:name="_Toc454522666"/>
      <w:bookmarkStart w:id="14" w:name="_Toc454547768"/>
      <w:r>
        <w:rPr>
          <w:rStyle w:val="1"/>
          <w:rFonts w:ascii="SimSun" w:hAnsi="SimSun" w:hint="eastAsia"/>
          <w:sz w:val="21"/>
          <w:szCs w:val="21"/>
        </w:rPr>
        <w:t>罗马尼亚</w:t>
      </w:r>
      <w:bookmarkEnd w:id="13"/>
      <w:bookmarkEnd w:id="14"/>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4E1678" w:rsidRPr="00A9523F">
        <w:rPr>
          <w:rFonts w:ascii="SimSun" w:hAnsi="SimSun" w:hint="eastAsia"/>
          <w:sz w:val="21"/>
          <w:szCs w:val="21"/>
        </w:rPr>
        <w:t>以本国名义</w:t>
      </w:r>
      <w:r w:rsidR="004E1678" w:rsidRPr="00E45315">
        <w:rPr>
          <w:rFonts w:ascii="SimSun" w:hAnsi="SimSun" w:hint="eastAsia"/>
          <w:sz w:val="21"/>
          <w:szCs w:val="21"/>
        </w:rPr>
        <w:tab/>
        <w:t>代表国家集团/地区集团</w:t>
      </w:r>
      <w:r w:rsidR="004E1678" w:rsidRPr="00E45315">
        <w:rPr>
          <w:rFonts w:ascii="SimSun" w:hAnsi="SimSun" w:hint="eastAsia"/>
          <w:sz w:val="21"/>
          <w:szCs w:val="21"/>
        </w:rPr>
        <w:tab/>
      </w:r>
      <w:r w:rsidR="004E1678" w:rsidRPr="00E45315">
        <w:rPr>
          <w:rFonts w:ascii="SimSun" w:hAnsi="SimSun" w:hint="eastAsia"/>
          <w:sz w:val="21"/>
          <w:szCs w:val="21"/>
        </w:rPr>
        <w:tab/>
      </w:r>
      <w:r w:rsidR="004E1678" w:rsidRPr="00E45315">
        <w:rPr>
          <w:rFonts w:ascii="SimSun" w:hAnsi="SimSun"/>
          <w:sz w:val="21"/>
          <w:szCs w:val="21"/>
        </w:rPr>
        <w:t>X</w:t>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D449C5" w:rsidRPr="009D5469" w:rsidRDefault="004E1678" w:rsidP="004A5C4C">
      <w:pPr>
        <w:overflowPunct w:val="0"/>
        <w:spacing w:afterLines="50" w:after="120" w:line="340" w:lineRule="atLeast"/>
        <w:jc w:val="both"/>
        <w:rPr>
          <w:rFonts w:ascii="SimSun" w:hAnsi="SimSun"/>
          <w:sz w:val="21"/>
          <w:lang w:eastAsia="ar-SA"/>
        </w:rPr>
      </w:pPr>
      <w:r w:rsidRPr="00CD6A66">
        <w:rPr>
          <w:rFonts w:asciiTheme="minorEastAsia" w:eastAsiaTheme="minorEastAsia" w:hAnsiTheme="minorEastAsia" w:hint="eastAsia"/>
          <w:sz w:val="21"/>
          <w:szCs w:val="21"/>
        </w:rPr>
        <w:t>在[</w:t>
      </w:r>
      <w:r w:rsidRPr="00326E87">
        <w:rPr>
          <w:rFonts w:ascii="KaiTi" w:eastAsia="KaiTi" w:hAnsi="KaiTi" w:hint="eastAsia"/>
          <w:sz w:val="21"/>
          <w:szCs w:val="21"/>
        </w:rPr>
        <w:t>该提案</w:t>
      </w:r>
      <w:r w:rsidRPr="00CD6A66">
        <w:rPr>
          <w:rFonts w:asciiTheme="minorEastAsia" w:eastAsiaTheme="minorEastAsia" w:hAnsiTheme="minorEastAsia" w:hint="eastAsia"/>
          <w:sz w:val="21"/>
          <w:szCs w:val="21"/>
        </w:rPr>
        <w:t>]提交之日，收到了该地区五个国家（阿尔巴尼亚、格鲁吉亚、前南斯拉夫的马其顿共和国、摩尔多瓦共和国和塞尔维亚共和国）对罗马尼亚政府提案的支持函。</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Default="00ED7C4A" w:rsidP="00A9523F">
      <w:pPr>
        <w:keepNext/>
        <w:keepLines/>
        <w:tabs>
          <w:tab w:val="left" w:pos="2880"/>
        </w:tabs>
        <w:spacing w:afterLines="50" w:after="120" w:line="340" w:lineRule="atLeast"/>
        <w:rPr>
          <w:rFonts w:ascii="KaiTi" w:eastAsia="KaiTi" w:hAnsi="KaiTi"/>
          <w:sz w:val="21"/>
          <w:szCs w:val="21"/>
        </w:rPr>
      </w:pPr>
      <w:r w:rsidRPr="00A9523F">
        <w:rPr>
          <w:rFonts w:ascii="KaiTi" w:eastAsia="KaiTi" w:hAnsi="KaiTi" w:hint="eastAsia"/>
          <w:sz w:val="21"/>
          <w:szCs w:val="21"/>
        </w:rPr>
        <w:t>（</w:t>
      </w:r>
      <w:r w:rsidRPr="00A9523F">
        <w:rPr>
          <w:rFonts w:ascii="KaiTi" w:eastAsia="KaiTi" w:hAnsi="KaiTi"/>
          <w:sz w:val="21"/>
          <w:szCs w:val="21"/>
        </w:rPr>
        <w:t>“WIPO</w:t>
      </w:r>
      <w:r w:rsidRPr="00A9523F">
        <w:rPr>
          <w:rFonts w:ascii="KaiTi" w:eastAsia="KaiTi" w:hAnsi="KaiTi" w:hint="eastAsia"/>
          <w:sz w:val="21"/>
          <w:szCs w:val="21"/>
        </w:rPr>
        <w:t>驻外办事处指导原则</w:t>
      </w:r>
      <w:r w:rsidRPr="00A9523F">
        <w:rPr>
          <w:rFonts w:ascii="KaiTi" w:eastAsia="KaiTi" w:hAnsi="KaiTi"/>
          <w:sz w:val="21"/>
          <w:szCs w:val="21"/>
        </w:rPr>
        <w:t>”</w:t>
      </w:r>
      <w:r w:rsidRPr="00A9523F">
        <w:rPr>
          <w:rFonts w:ascii="KaiTi" w:eastAsia="KaiTi" w:hAnsi="KaiTi" w:hint="eastAsia"/>
          <w:sz w:val="21"/>
          <w:szCs w:val="21"/>
        </w:rPr>
        <w:t>第</w:t>
      </w:r>
      <w:r w:rsidRPr="00A9523F">
        <w:rPr>
          <w:rFonts w:ascii="KaiTi" w:eastAsia="KaiTi" w:hAnsi="KaiTi"/>
          <w:sz w:val="21"/>
          <w:szCs w:val="21"/>
        </w:rPr>
        <w:t>2</w:t>
      </w:r>
      <w:r w:rsidRPr="00A9523F">
        <w:rPr>
          <w:rFonts w:ascii="KaiTi" w:eastAsia="KaiTi" w:hAnsi="KaiTi" w:hint="eastAsia"/>
          <w:sz w:val="21"/>
          <w:szCs w:val="21"/>
        </w:rPr>
        <w:t>条规定：</w:t>
      </w:r>
      <w:r w:rsidRPr="00A9523F">
        <w:rPr>
          <w:rFonts w:ascii="KaiTi" w:eastAsia="KaiTi" w:hAnsi="KaiTi"/>
          <w:sz w:val="21"/>
          <w:szCs w:val="21"/>
        </w:rPr>
        <w:t>“</w:t>
      </w:r>
      <w:r w:rsidRPr="00A9523F">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A9523F">
        <w:rPr>
          <w:rFonts w:ascii="KaiTi" w:eastAsia="KaiTi" w:hAnsi="KaiTi"/>
          <w:sz w:val="21"/>
          <w:szCs w:val="21"/>
        </w:rPr>
        <w:t>”</w:t>
      </w:r>
      <w:r w:rsidRPr="00A9523F">
        <w:rPr>
          <w:rFonts w:ascii="KaiTi" w:eastAsia="KaiTi" w:hAnsi="KaiTi" w:hint="eastAsia"/>
          <w:sz w:val="21"/>
          <w:szCs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4A5C4C">
        <w:rPr>
          <w:rFonts w:ascii="SimHei" w:eastAsia="SimHei" w:hAnsi="SimHei"/>
          <w:bCs/>
          <w:sz w:val="21"/>
          <w:szCs w:val="21"/>
          <w:vertAlign w:val="superscript"/>
        </w:rPr>
        <w:footnoteReference w:id="23"/>
      </w:r>
      <w:r w:rsidR="009D5469" w:rsidRPr="009D5469">
        <w:rPr>
          <w:rFonts w:ascii="SimHei" w:eastAsia="SimHei" w:hAnsi="SimHei"/>
          <w:bCs/>
          <w:smallCaps/>
          <w:color w:val="1F497D" w:themeColor="text2"/>
          <w:sz w:val="21"/>
          <w:szCs w:val="21"/>
        </w:rPr>
        <w:t>：</w:t>
      </w:r>
    </w:p>
    <w:p w:rsidR="004E1678" w:rsidRPr="004E1678" w:rsidRDefault="004E1678" w:rsidP="0020457E">
      <w:pPr>
        <w:pStyle w:val="ONUME"/>
        <w:numPr>
          <w:ilvl w:val="0"/>
          <w:numId w:val="9"/>
        </w:numPr>
        <w:spacing w:afterLines="50" w:after="120" w:line="340" w:lineRule="atLeast"/>
        <w:jc w:val="both"/>
        <w:rPr>
          <w:rFonts w:ascii="SimSun" w:hAnsi="SimSun"/>
          <w:sz w:val="21"/>
          <w:szCs w:val="21"/>
        </w:rPr>
      </w:pPr>
      <w:r w:rsidRPr="004E1678">
        <w:rPr>
          <w:rFonts w:ascii="SimSun" w:hAnsi="SimSun"/>
          <w:sz w:val="21"/>
          <w:szCs w:val="21"/>
        </w:rPr>
        <w:t>罗马尼亚认为，在中欧和波罗的海国家地区运行次区域驻外办事处将对WIPO和该地区组成员国都有利，并且绝对不会损害该地区任何其他成员国与WIPO总部保持关系的权利和这种关系的维持，也无损于任何国家尤其在国家层面定期开展WIPO计划活动的权利，包括那些国家直接从WIPO总部获得的任何法律或技术援助。</w:t>
      </w:r>
    </w:p>
    <w:p w:rsidR="004E1678" w:rsidRDefault="004E1678"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该次区域各国在经济上持续表现良好，过去5年里GDP稳定增长。然而，在知识产权申请数量方面，此类积极的经济成果没有得到充分体现。需要加大努力扭转任何下滑的趋势，并进一步整合有关知识产权申请的积极数据。</w:t>
      </w:r>
    </w:p>
    <w:p w:rsidR="004E1678" w:rsidRPr="00DE42CA" w:rsidRDefault="004E1678"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该次区域国家在许多领域与知识产权领域紧密相关，各国的潜力意义重大。显示出对数字环境和互联网的显著倾向。根据Brainbench统计数字，在计算机技术支持、技术服务台、网络技术支持、计算机电子、电信、局域网/无线局域网通信、网络设计、ASP.NET、HTML、PHP、网络开发理念以及其他许多技能方面，该地区各国居于世界前十位。就成人信通技术</w:t>
      </w:r>
      <w:r>
        <w:rPr>
          <w:rFonts w:ascii="SimSun" w:hAnsi="SimSun"/>
          <w:sz w:val="21"/>
          <w:szCs w:val="21"/>
        </w:rPr>
        <w:t>（</w:t>
      </w:r>
      <w:r w:rsidRPr="00637333">
        <w:rPr>
          <w:rFonts w:ascii="SimSun" w:hAnsi="SimSun"/>
          <w:sz w:val="21"/>
          <w:szCs w:val="21"/>
        </w:rPr>
        <w:t>ICT</w:t>
      </w:r>
      <w:r>
        <w:rPr>
          <w:rFonts w:ascii="SimSun" w:hAnsi="SimSun"/>
          <w:sz w:val="21"/>
          <w:szCs w:val="21"/>
        </w:rPr>
        <w:t>）</w:t>
      </w:r>
      <w:r w:rsidRPr="00637333">
        <w:rPr>
          <w:rFonts w:ascii="SimSun" w:hAnsi="SimSun"/>
          <w:sz w:val="21"/>
          <w:szCs w:val="21"/>
        </w:rPr>
        <w:t>扫盲率而言，它们还在欧洲乃至全世界居于领先地位</w:t>
      </w:r>
      <w:r w:rsidRPr="004B6D57">
        <w:rPr>
          <w:rFonts w:ascii="SimSun" w:hAnsi="SimSun"/>
          <w:sz w:val="21"/>
          <w:szCs w:val="21"/>
        </w:rPr>
        <w:t>。</w:t>
      </w:r>
    </w:p>
    <w:p w:rsidR="00D449C5" w:rsidRDefault="004E1678" w:rsidP="0020457E">
      <w:pPr>
        <w:pStyle w:val="ONUME"/>
        <w:numPr>
          <w:ilvl w:val="0"/>
          <w:numId w:val="9"/>
        </w:numPr>
        <w:spacing w:afterLines="50" w:after="120" w:line="340" w:lineRule="atLeast"/>
        <w:jc w:val="both"/>
        <w:rPr>
          <w:rFonts w:ascii="SimSun" w:hAnsi="SimSun"/>
          <w:sz w:val="21"/>
          <w:szCs w:val="21"/>
        </w:rPr>
      </w:pPr>
      <w:r w:rsidRPr="00DE42CA">
        <w:rPr>
          <w:rFonts w:ascii="SimSun" w:hAnsi="SimSun"/>
          <w:sz w:val="21"/>
          <w:szCs w:val="21"/>
        </w:rPr>
        <w:t>关于互联网速度，因特网学会官方排名将CEBS地区的几个国家排在世界前列</w:t>
      </w:r>
      <w:r>
        <w:rPr>
          <w:rFonts w:ascii="SimSun" w:hAnsi="SimSun"/>
          <w:sz w:val="21"/>
          <w:szCs w:val="21"/>
        </w:rPr>
        <w:t>（</w:t>
      </w:r>
      <w:r w:rsidRPr="00DE42CA">
        <w:rPr>
          <w:rFonts w:ascii="SimSun" w:hAnsi="SimSun"/>
          <w:sz w:val="21"/>
          <w:szCs w:val="21"/>
        </w:rPr>
        <w:t>见表3，基于2014年11月网络索引数据；更多资料，见：</w:t>
      </w:r>
      <w:hyperlink r:id="rId22" w:anchor="download-speed-fixed">
        <w:r w:rsidRPr="00DE42CA">
          <w:rPr>
            <w:rFonts w:ascii="SimSun" w:hAnsi="SimSun"/>
            <w:sz w:val="21"/>
            <w:szCs w:val="21"/>
          </w:rPr>
          <w:t>http://www.internetsociety.org/map/global-internet-report/?gclid=COaytPj2_8oCFWLnwgodtpUNQA#download-speed-fixed</w:t>
        </w:r>
      </w:hyperlink>
      <w:r>
        <w:rPr>
          <w:rFonts w:ascii="SimSun" w:hAnsi="SimSun"/>
          <w:sz w:val="21"/>
          <w:szCs w:val="21"/>
        </w:rPr>
        <w:t>）</w:t>
      </w:r>
      <w:r w:rsidRPr="00E17288">
        <w:rPr>
          <w:rFonts w:ascii="SimSun" w:hAnsi="SimSun" w:hint="eastAsia"/>
          <w:sz w:val="21"/>
          <w:szCs w:val="21"/>
        </w:rPr>
        <w:t>。</w:t>
      </w:r>
    </w:p>
    <w:p w:rsidR="00D449C5" w:rsidRPr="009D5469" w:rsidRDefault="004E1678" w:rsidP="0020457E">
      <w:pPr>
        <w:pStyle w:val="ONUME"/>
        <w:numPr>
          <w:ilvl w:val="0"/>
          <w:numId w:val="9"/>
        </w:numPr>
        <w:spacing w:afterLines="50" w:after="120" w:line="340" w:lineRule="atLeast"/>
        <w:jc w:val="both"/>
        <w:rPr>
          <w:rFonts w:ascii="SimSun" w:hAnsi="SimSun"/>
          <w:sz w:val="21"/>
        </w:rPr>
      </w:pPr>
      <w:r w:rsidRPr="00E17288">
        <w:rPr>
          <w:rFonts w:ascii="SimSun" w:hAnsi="SimSun"/>
          <w:sz w:val="21"/>
          <w:szCs w:val="21"/>
        </w:rPr>
        <w:t>毋庸置疑，在布加勒斯特附近的默古雷莱镇建造极端光基础设施－核能</w:t>
      </w:r>
      <w:r>
        <w:rPr>
          <w:rFonts w:ascii="SimSun" w:hAnsi="SimSun"/>
          <w:sz w:val="21"/>
          <w:szCs w:val="21"/>
        </w:rPr>
        <w:t>（</w:t>
      </w:r>
      <w:r w:rsidRPr="00E17288">
        <w:rPr>
          <w:rFonts w:ascii="SimSun" w:hAnsi="SimSun"/>
          <w:sz w:val="21"/>
          <w:szCs w:val="21"/>
        </w:rPr>
        <w:t>ELI-NP</w:t>
      </w:r>
      <w:r>
        <w:rPr>
          <w:rFonts w:ascii="SimSun" w:hAnsi="SimSun"/>
          <w:sz w:val="21"/>
          <w:szCs w:val="21"/>
        </w:rPr>
        <w:t>）</w:t>
      </w:r>
      <w:r w:rsidRPr="00E17288">
        <w:rPr>
          <w:rFonts w:ascii="SimSun" w:hAnsi="SimSun"/>
          <w:sz w:val="21"/>
          <w:szCs w:val="21"/>
        </w:rPr>
        <w:t>研究中心</w:t>
      </w:r>
      <w:r w:rsidRPr="00460FC4">
        <w:rPr>
          <w:rFonts w:ascii="SimSun" w:hAnsi="SimSun"/>
          <w:sz w:val="21"/>
          <w:szCs w:val="21"/>
          <w:vertAlign w:val="superscript"/>
        </w:rPr>
        <w:footnoteReference w:id="24"/>
      </w:r>
      <w:r w:rsidRPr="00E17288">
        <w:rPr>
          <w:rFonts w:ascii="SimSun" w:hAnsi="SimSun"/>
          <w:sz w:val="21"/>
          <w:szCs w:val="21"/>
        </w:rPr>
        <w:t>，显示了该地区在研究和创新领域的巨大潜力，该中心以三大支柱为基础，包括世界上最强激光器，每平方厘米产生10%的太阳能。</w:t>
      </w:r>
    </w:p>
    <w:p w:rsidR="00D449C5" w:rsidRPr="004A5C4C" w:rsidRDefault="004E1678" w:rsidP="004A5C4C">
      <w:pPr>
        <w:keepNext/>
        <w:suppressAutoHyphens/>
        <w:overflowPunct w:val="0"/>
        <w:autoSpaceDE w:val="0"/>
        <w:spacing w:afterLines="50" w:after="120" w:line="340" w:lineRule="atLeast"/>
        <w:rPr>
          <w:rFonts w:ascii="SimSun" w:hAnsi="SimSun"/>
          <w:sz w:val="21"/>
        </w:rPr>
      </w:pPr>
      <w:r w:rsidRPr="004A5C4C">
        <w:rPr>
          <w:rFonts w:ascii="SimSun" w:hAnsi="SimSun"/>
          <w:sz w:val="21"/>
          <w:szCs w:val="21"/>
          <w:u w:val="single"/>
        </w:rPr>
        <w:lastRenderedPageBreak/>
        <w:t>极端光基础设施－核物理设施</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其他两座设施中，一座设在捷克共和国布拉格附近的下布雷扎尼，专门用于研究该地区的二级来源，另一座设在匈牙利塞格德，专门研究阿秒脉冲。</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因此，从2017年起，ELI-NP项目将在该地区创建世界上最重要的实验室之一，坚持不懈地调查各种广泛的科学领域，从基础物理学新领域、新核物理学和天体物理学议题到材料科学的应用、生命科学和核材料管理。</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最重要的是，过去数年里，该次区域的专家代表所开展的创新工作在世界范围内享有声望的商品交易会和国际竞争中得到认可。相当多的发明获得了金质奖章和最高奖项以及在国际发明展览中获得荣誉称号。</w:t>
      </w:r>
    </w:p>
    <w:p w:rsidR="004E1678"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创意产业在该地区发挥了重要作用</w:t>
      </w:r>
      <w:r>
        <w:rPr>
          <w:rFonts w:ascii="SimSun" w:hAnsi="SimSun" w:hint="eastAsia"/>
          <w:sz w:val="21"/>
          <w:szCs w:val="21"/>
        </w:rPr>
        <w:t>[</w:t>
      </w:r>
      <w:r w:rsidRPr="008927ED">
        <w:rPr>
          <w:rFonts w:ascii="KaiTi" w:eastAsia="KaiTi" w:hAnsi="KaiTi"/>
          <w:sz w:val="21"/>
          <w:szCs w:val="21"/>
        </w:rPr>
        <w:t>见</w:t>
      </w:r>
      <w:r w:rsidRPr="008927ED">
        <w:rPr>
          <w:rFonts w:ascii="KaiTi" w:eastAsia="KaiTi" w:hAnsi="KaiTi" w:hint="eastAsia"/>
          <w:sz w:val="21"/>
          <w:szCs w:val="21"/>
        </w:rPr>
        <w:t>提案中“该地区各国版权产业的经济表现”图表</w:t>
      </w:r>
      <w:r>
        <w:rPr>
          <w:rFonts w:ascii="SimSun" w:hAnsi="SimSun" w:hint="eastAsia"/>
          <w:sz w:val="21"/>
          <w:szCs w:val="21"/>
        </w:rPr>
        <w:t>]</w:t>
      </w:r>
      <w:r w:rsidRPr="00070EAA">
        <w:rPr>
          <w:rFonts w:ascii="SimSun" w:hAnsi="SimSun"/>
          <w:sz w:val="21"/>
          <w:szCs w:val="21"/>
        </w:rPr>
        <w:t>。</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基于个人的创造力、才干和技能，在通过知识产权生产和管理创造就业和实现繁荣方面具有巨大潜力，这些产业包括广告业、建筑业、艺术、手工艺、设计、时装、电影、视频、摄影、音乐、视觉艺术、广播电视、</w:t>
      </w:r>
      <w:r w:rsidRPr="004A5C4C">
        <w:rPr>
          <w:rFonts w:ascii="SimSun" w:hAnsi="SimSun"/>
          <w:sz w:val="21"/>
          <w:szCs w:val="21"/>
        </w:rPr>
        <w:t>出版</w:t>
      </w:r>
      <w:r w:rsidRPr="00CD6A66">
        <w:rPr>
          <w:rFonts w:asciiTheme="minorEastAsia" w:eastAsiaTheme="minorEastAsia" w:hAnsiTheme="minorEastAsia"/>
          <w:sz w:val="21"/>
          <w:szCs w:val="21"/>
        </w:rPr>
        <w:t>、软件、电子游戏和电子出版。该领域多项研究强调创意产业比其他经济部门具有更快的增长潜力。另外，根据世界经济论坛最近公布的一项研究，</w:t>
      </w:r>
      <w:r w:rsidRPr="00CD6A66">
        <w:rPr>
          <w:rFonts w:asciiTheme="minorEastAsia" w:eastAsiaTheme="minorEastAsia" w:hAnsiTheme="minorEastAsia"/>
          <w:sz w:val="21"/>
          <w:szCs w:val="21"/>
        </w:rPr>
        <w:footnoteReference w:id="25"/>
      </w:r>
      <w:r w:rsidRPr="00CD6A66">
        <w:rPr>
          <w:rFonts w:asciiTheme="minorEastAsia" w:eastAsiaTheme="minorEastAsia" w:hAnsiTheme="minorEastAsia"/>
          <w:sz w:val="21"/>
          <w:szCs w:val="21"/>
        </w:rPr>
        <w:t>到2020年，创造力将在10项最佳技能中位列第三，而在2015年仅列于第十位。</w:t>
      </w:r>
    </w:p>
    <w:p w:rsidR="00D449C5"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中小企业（SME）是该次区域国家私营行业过半数的重要组成部分，是有潜力的经济增长动力。在首个10年过渡期间，</w:t>
      </w:r>
      <w:r w:rsidRPr="004A5C4C">
        <w:rPr>
          <w:rFonts w:ascii="SimSun" w:hAnsi="SimSun"/>
          <w:sz w:val="21"/>
          <w:szCs w:val="21"/>
        </w:rPr>
        <w:t>中小企业</w:t>
      </w:r>
      <w:r w:rsidRPr="00CD6A66">
        <w:rPr>
          <w:rFonts w:asciiTheme="minorEastAsia" w:eastAsiaTheme="minorEastAsia" w:hAnsiTheme="minorEastAsia"/>
          <w:sz w:val="21"/>
          <w:szCs w:val="21"/>
        </w:rPr>
        <w:t>更注重维持其资产价值，而不是产生利润，但后来它们开始变得更具活力，加大投入促进增长和现代化。随着人均GDP上升以及劳动力成本提高，该次区域国家吸引外国直接投资的能力将不可避免地被削弱。因此，为了弥补当前优势的损失，中小企业部门令人鼓舞的创新尤其显得重要。</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cs="Times New Roman"/>
          <w:sz w:val="21"/>
        </w:rPr>
      </w:pPr>
      <w:r w:rsidRPr="00CD6A66">
        <w:rPr>
          <w:rFonts w:asciiTheme="minorEastAsia" w:eastAsiaTheme="minorEastAsia" w:hAnsiTheme="minorEastAsia" w:cs="Times New Roman"/>
          <w:sz w:val="21"/>
        </w:rPr>
        <w:t>该地区依然存在令人忧心的假冒和盗版现象</w:t>
      </w:r>
      <w:r w:rsidRPr="00CD6A66">
        <w:rPr>
          <w:rFonts w:asciiTheme="minorEastAsia" w:eastAsiaTheme="minorEastAsia" w:hAnsiTheme="minorEastAsia" w:cs="Times New Roman"/>
          <w:sz w:val="21"/>
          <w:vertAlign w:val="superscript"/>
        </w:rPr>
        <w:footnoteReference w:id="26"/>
      </w:r>
      <w:r w:rsidRPr="00CD6A66">
        <w:rPr>
          <w:rFonts w:asciiTheme="minorEastAsia" w:eastAsiaTheme="minorEastAsia" w:hAnsiTheme="minorEastAsia" w:cs="Times New Roman" w:hint="eastAsia"/>
          <w:sz w:val="21"/>
        </w:rPr>
        <w:t>[</w:t>
      </w:r>
      <w:r w:rsidRPr="004E1678">
        <w:rPr>
          <w:rFonts w:ascii="KaiTi" w:eastAsia="KaiTi" w:hAnsi="KaiTi" w:cs="Times New Roman"/>
          <w:sz w:val="21"/>
        </w:rPr>
        <w:t>见</w:t>
      </w:r>
      <w:r w:rsidRPr="004E1678">
        <w:rPr>
          <w:rFonts w:ascii="KaiTi" w:eastAsia="KaiTi" w:hAnsi="KaiTi" w:cs="Times New Roman" w:hint="eastAsia"/>
          <w:sz w:val="21"/>
        </w:rPr>
        <w:t>提案中“未经许可软件使用的全球趋势”的两个</w:t>
      </w:r>
      <w:r w:rsidRPr="004E1678">
        <w:rPr>
          <w:rFonts w:ascii="KaiTi" w:eastAsia="KaiTi" w:hAnsi="KaiTi" w:cs="Times New Roman"/>
          <w:sz w:val="21"/>
        </w:rPr>
        <w:t>图</w:t>
      </w:r>
      <w:r w:rsidRPr="004E1678">
        <w:rPr>
          <w:rFonts w:ascii="KaiTi" w:eastAsia="KaiTi" w:hAnsi="KaiTi" w:cs="Times New Roman" w:hint="eastAsia"/>
          <w:sz w:val="21"/>
        </w:rPr>
        <w:t>表</w:t>
      </w:r>
      <w:r w:rsidRPr="00CD6A66">
        <w:rPr>
          <w:rFonts w:asciiTheme="minorEastAsia" w:eastAsiaTheme="minorEastAsia" w:hAnsiTheme="minorEastAsia" w:cs="Times New Roman" w:hint="eastAsia"/>
          <w:sz w:val="21"/>
        </w:rPr>
        <w:t>]</w:t>
      </w:r>
      <w:r w:rsidRPr="00CD6A66">
        <w:rPr>
          <w:rFonts w:asciiTheme="minorEastAsia" w:eastAsiaTheme="minorEastAsia" w:hAnsiTheme="minorEastAsia" w:cs="Times New Roman"/>
          <w:sz w:val="21"/>
        </w:rPr>
        <w:t>。该地区国家之间一致公认，“这给全球贸易、国家经济增长、消费健康和安全带来重大威胁，是有组织犯罪和腐败现象抬头的主要原因（</w:t>
      </w:r>
      <w:r w:rsidRPr="00CD6A66">
        <w:rPr>
          <w:rFonts w:asciiTheme="minorEastAsia" w:eastAsiaTheme="minorEastAsia" w:hAnsiTheme="minorEastAsia" w:cs="Times New Roman" w:hint="eastAsia"/>
          <w:sz w:val="21"/>
        </w:rPr>
        <w:t>……</w:t>
      </w:r>
      <w:r w:rsidRPr="00CD6A66">
        <w:rPr>
          <w:rFonts w:asciiTheme="minorEastAsia" w:eastAsiaTheme="minorEastAsia" w:hAnsiTheme="minorEastAsia" w:cs="Times New Roman"/>
          <w:sz w:val="21"/>
        </w:rPr>
        <w:t>），在国家、地区和全球各级打击假冒和盗版商品贸易应当提升为最优先事项”</w:t>
      </w:r>
      <w:r w:rsidRPr="00CD6A66">
        <w:rPr>
          <w:rFonts w:asciiTheme="minorEastAsia" w:eastAsiaTheme="minorEastAsia" w:hAnsiTheme="minorEastAsia"/>
          <w:sz w:val="21"/>
        </w:rPr>
        <w:t>。</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随着各经济体提高竞争力的愿望可以通过研究、发展和创新以及技术转让来实现，该次区域国家自然要努力改进其总体知识产权表现。它们还需要继续打击假冒和盗版，因为提高对知识产权的尊重将进一步促进经济增长。</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虽然该次区域绝大多数国家已加入WIPO体系，特别是专利合作条约</w:t>
      </w:r>
      <w:r>
        <w:rPr>
          <w:rFonts w:ascii="SimSun" w:hAnsi="SimSun"/>
          <w:sz w:val="21"/>
          <w:szCs w:val="21"/>
        </w:rPr>
        <w:t>（</w:t>
      </w:r>
      <w:r w:rsidRPr="00637333">
        <w:rPr>
          <w:rFonts w:ascii="SimSun" w:hAnsi="SimSun"/>
          <w:sz w:val="21"/>
          <w:szCs w:val="21"/>
        </w:rPr>
        <w:t>PCT</w:t>
      </w:r>
      <w:r>
        <w:rPr>
          <w:rFonts w:ascii="SimSun" w:hAnsi="SimSun"/>
          <w:sz w:val="21"/>
          <w:szCs w:val="21"/>
        </w:rPr>
        <w:t>）</w:t>
      </w:r>
      <w:r w:rsidRPr="00637333">
        <w:rPr>
          <w:rFonts w:ascii="SimSun" w:hAnsi="SimSun"/>
          <w:sz w:val="21"/>
          <w:szCs w:val="21"/>
        </w:rPr>
        <w:t>、马德里和里斯本体系，但该地区知识产权体系的充分潜力尚未完全发挥出来。</w:t>
      </w:r>
    </w:p>
    <w:p w:rsidR="004E1678" w:rsidRPr="00637333" w:rsidRDefault="004E1678"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对于WIPO，该次区域国家要求获得以下方面的支持：</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制定与国家经济和文化目标一致的符合国情、注重成果的长期国家知识产权战略和计划；</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开展研究和创新并取得知识产权制度效益，特别重视中小企业；</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进一步发展创意产业；</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lastRenderedPageBreak/>
        <w:t>促进集体管理组织</w:t>
      </w:r>
      <w:r>
        <w:rPr>
          <w:rFonts w:ascii="SimSun" w:hAnsi="SimSun"/>
          <w:sz w:val="21"/>
          <w:szCs w:val="21"/>
        </w:rPr>
        <w:t>（</w:t>
      </w:r>
      <w:r w:rsidRPr="00B269B6">
        <w:rPr>
          <w:rFonts w:ascii="SimSun" w:hAnsi="SimSun"/>
          <w:sz w:val="21"/>
          <w:szCs w:val="21"/>
        </w:rPr>
        <w:t>CMO</w:t>
      </w:r>
      <w:r>
        <w:rPr>
          <w:rFonts w:ascii="SimSun" w:hAnsi="SimSun"/>
          <w:sz w:val="21"/>
          <w:szCs w:val="21"/>
        </w:rPr>
        <w:t>）</w:t>
      </w:r>
      <w:r w:rsidRPr="00B269B6">
        <w:rPr>
          <w:rFonts w:ascii="SimSun" w:hAnsi="SimSun"/>
          <w:sz w:val="21"/>
          <w:szCs w:val="21"/>
        </w:rPr>
        <w:t>在透明度、问责制和治理方面追求卓越；</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加强打击假冒和盗版的努力；</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提高各国更广泛的受众对WIPO服务和活动的认识；</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加强WIPO与各国所有知识产权利益攸关方之间的互动；</w:t>
      </w:r>
    </w:p>
    <w:p w:rsidR="00D449C5" w:rsidRDefault="004E1678" w:rsidP="0020457E">
      <w:pPr>
        <w:pStyle w:val="ONUME"/>
        <w:numPr>
          <w:ilvl w:val="0"/>
          <w:numId w:val="19"/>
        </w:numPr>
        <w:topLinePunct/>
        <w:spacing w:afterLines="50" w:after="120" w:line="340" w:lineRule="atLeast"/>
        <w:ind w:left="987"/>
        <w:contextualSpacing/>
        <w:jc w:val="both"/>
        <w:rPr>
          <w:rFonts w:ascii="SimSun" w:hAnsi="SimSun"/>
          <w:sz w:val="21"/>
          <w:szCs w:val="21"/>
        </w:rPr>
      </w:pPr>
      <w:r w:rsidRPr="00B269B6">
        <w:rPr>
          <w:rFonts w:ascii="SimSun" w:hAnsi="SimSun"/>
          <w:sz w:val="21"/>
          <w:szCs w:val="21"/>
        </w:rPr>
        <w:t>建立分享知识产权领域各种经验的共有、可靠和广泛利用的平台，为不同知识产权利益攸关方之间增进了解、提高认识和进行协调提供便利</w:t>
      </w:r>
      <w:r w:rsidRPr="004B6D57">
        <w:rPr>
          <w:rFonts w:ascii="SimSun" w:hAnsi="SimSun"/>
          <w:sz w:val="21"/>
          <w:szCs w:val="21"/>
        </w:rPr>
        <w:t>。</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4A5C4C">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4A5C4C">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7D0BCF" w:rsidRPr="004B6D57" w:rsidRDefault="007D0BCF"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罗马尼亚布加勒斯特驻外办事处将充当该次区域的WIPO服务中心，与其他5个现有的WIPO驻外办事处类似</w:t>
      </w:r>
      <w:r w:rsidRPr="004B6D57">
        <w:rPr>
          <w:rFonts w:ascii="SimSun" w:hAnsi="SimSun"/>
          <w:sz w:val="21"/>
          <w:szCs w:val="21"/>
        </w:rPr>
        <w:t>。</w:t>
      </w:r>
    </w:p>
    <w:p w:rsidR="007D0BCF" w:rsidRDefault="007D0BCF" w:rsidP="0020457E">
      <w:pPr>
        <w:pStyle w:val="ONUME"/>
        <w:numPr>
          <w:ilvl w:val="0"/>
          <w:numId w:val="9"/>
        </w:numPr>
        <w:spacing w:afterLines="50" w:after="120" w:line="340" w:lineRule="atLeast"/>
        <w:jc w:val="both"/>
        <w:rPr>
          <w:rFonts w:ascii="SimSun" w:hAnsi="SimSun"/>
          <w:sz w:val="21"/>
          <w:szCs w:val="21"/>
        </w:rPr>
      </w:pPr>
      <w:r w:rsidRPr="00774371">
        <w:rPr>
          <w:rFonts w:ascii="SimSun" w:hAnsi="SimSun"/>
          <w:sz w:val="21"/>
          <w:szCs w:val="21"/>
        </w:rPr>
        <w:t>其总体目标是使本组织更加贴近该次区域的成员国和利益攸关方，以推动通过</w:t>
      </w:r>
      <w:r w:rsidRPr="00774371">
        <w:rPr>
          <w:rFonts w:ascii="SimSun" w:hAnsi="SimSun" w:hint="eastAsia"/>
          <w:sz w:val="21"/>
          <w:szCs w:val="21"/>
        </w:rPr>
        <w:t>兼顾各方利益的</w:t>
      </w:r>
      <w:r w:rsidRPr="00774371">
        <w:rPr>
          <w:rFonts w:ascii="SimSun" w:hAnsi="SimSun"/>
          <w:sz w:val="21"/>
          <w:szCs w:val="21"/>
        </w:rPr>
        <w:t>有效的国际知识产权制度，促进有利于各国经济、社会和文化发展的创新和创造。</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作为本组织</w:t>
      </w:r>
      <w:r w:rsidRPr="004A5C4C">
        <w:rPr>
          <w:rFonts w:ascii="SimSun" w:hAnsi="SimSun"/>
          <w:sz w:val="21"/>
          <w:szCs w:val="21"/>
        </w:rPr>
        <w:t>不可分割</w:t>
      </w:r>
      <w:r w:rsidRPr="00CD6A66">
        <w:rPr>
          <w:rFonts w:asciiTheme="minorEastAsia" w:eastAsiaTheme="minorEastAsia" w:hAnsiTheme="minorEastAsia"/>
          <w:sz w:val="21"/>
          <w:szCs w:val="21"/>
        </w:rPr>
        <w:t>的组成部分，驻外办事处应当与总部大多数计划合作，推动取得预期成果和实现WIPO战略目标</w:t>
      </w:r>
      <w:r w:rsidRPr="00CD6A66">
        <w:rPr>
          <w:rStyle w:val="FootnoteReference"/>
          <w:rFonts w:asciiTheme="minorEastAsia" w:eastAsiaTheme="minorEastAsia" w:hAnsiTheme="minorEastAsia"/>
          <w:sz w:val="21"/>
          <w:szCs w:val="21"/>
        </w:rPr>
        <w:footnoteReference w:id="27"/>
      </w:r>
      <w:r w:rsidRPr="00CD6A66">
        <w:rPr>
          <w:rFonts w:asciiTheme="minorEastAsia" w:eastAsiaTheme="minorEastAsia" w:hAnsiTheme="minorEastAsia"/>
          <w:sz w:val="21"/>
          <w:szCs w:val="21"/>
        </w:rPr>
        <w:t>。</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具体而言，驻外办事处将与总部相协调，帮助实现以下战略目标及其相关预期成果：</w:t>
      </w:r>
    </w:p>
    <w:p w:rsidR="007D0BCF" w:rsidRPr="00A064B4" w:rsidRDefault="007D0BCF" w:rsidP="007D0BCF">
      <w:pPr>
        <w:keepNext/>
        <w:snapToGrid w:val="0"/>
        <w:spacing w:afterLines="50" w:after="120" w:line="340" w:lineRule="atLeast"/>
        <w:jc w:val="both"/>
        <w:rPr>
          <w:rFonts w:ascii="KaiTi" w:eastAsia="KaiTi" w:hAnsi="KaiTi" w:cs="SimSun"/>
          <w:sz w:val="21"/>
          <w:szCs w:val="21"/>
        </w:rPr>
      </w:pPr>
      <w:r w:rsidRPr="00A064B4">
        <w:rPr>
          <w:rFonts w:ascii="KaiTi" w:eastAsia="KaiTi" w:hAnsi="KaiTi"/>
          <w:sz w:val="21"/>
          <w:szCs w:val="21"/>
        </w:rPr>
        <w:t>战略目标一：以兼顾各方利益的方式发展国际知识产权规范性框架</w:t>
      </w:r>
    </w:p>
    <w:p w:rsidR="007D0BCF" w:rsidRPr="004B6D57" w:rsidRDefault="007D0BCF"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4B6D57">
        <w:rPr>
          <w:rFonts w:ascii="SimSun" w:hAnsi="SimSun"/>
          <w:sz w:val="21"/>
          <w:szCs w:val="21"/>
        </w:rPr>
        <w:t>符合国情、兼顾各方利益的知识产权立法、监管和政策框架（一.2.）</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战略目标二：提供首选全球知识产权服务</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用于提交国际专利申请的</w:t>
      </w:r>
      <w:r w:rsidRPr="00CD6A66">
        <w:rPr>
          <w:rFonts w:asciiTheme="minorEastAsia" w:eastAsiaTheme="minorEastAsia" w:hAnsiTheme="minorEastAsia"/>
          <w:sz w:val="21"/>
          <w:szCs w:val="21"/>
        </w:rPr>
        <w:t>PCT体系得到更加广泛有效的应用（二.1.）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海牙体系得到更广泛有效的利用</w:t>
      </w:r>
      <w:r w:rsidRPr="00CD6A66">
        <w:rPr>
          <w:rFonts w:asciiTheme="minorEastAsia" w:eastAsiaTheme="minorEastAsia" w:hAnsiTheme="minorEastAsia"/>
          <w:sz w:val="21"/>
          <w:szCs w:val="21"/>
        </w:rPr>
        <w:t>，其中包括发展中国家和最不发达国家的利用（二.4.）</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马德里体系得到更广泛有效的利用</w:t>
      </w:r>
      <w:r w:rsidRPr="00CD6A66">
        <w:rPr>
          <w:rFonts w:asciiTheme="minorEastAsia" w:eastAsiaTheme="minorEastAsia" w:hAnsiTheme="minorEastAsia"/>
          <w:sz w:val="21"/>
          <w:szCs w:val="21"/>
        </w:rPr>
        <w:t>，其中包括发展中国家和最不发达国家的利用（二.6.）</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CD6A66">
        <w:rPr>
          <w:rFonts w:asciiTheme="minorEastAsia" w:eastAsiaTheme="minorEastAsia" w:hAnsiTheme="minorEastAsia"/>
          <w:sz w:val="21"/>
          <w:szCs w:val="21"/>
        </w:rPr>
        <w:t>通过WIPO</w:t>
      </w:r>
      <w:r w:rsidRPr="004A5C4C">
        <w:rPr>
          <w:rFonts w:ascii="SimSun" w:hAnsi="SimSun"/>
          <w:sz w:val="21"/>
          <w:szCs w:val="21"/>
        </w:rPr>
        <w:t>调解</w:t>
      </w:r>
      <w:r w:rsidRPr="00CD6A66">
        <w:rPr>
          <w:rFonts w:asciiTheme="minorEastAsia" w:eastAsiaTheme="minorEastAsia" w:hAnsiTheme="minorEastAsia"/>
          <w:sz w:val="21"/>
          <w:szCs w:val="21"/>
        </w:rPr>
        <w:t>、仲裁及其他替代性争议解决办法避免或解决国际和国内知识产权争议的情况增多（二.8.）</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里斯本体系得到更广泛有效的利用</w:t>
      </w:r>
      <w:r w:rsidRPr="00CD6A66">
        <w:rPr>
          <w:rFonts w:asciiTheme="minorEastAsia" w:eastAsiaTheme="minorEastAsia" w:hAnsiTheme="minorEastAsia"/>
          <w:sz w:val="21"/>
          <w:szCs w:val="21"/>
        </w:rPr>
        <w:t>，其中包括发展中国家和最不发达国家的利用（二.10.）</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战略目标三：为利用知识产权促进发展提供便利</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国家创新与</w:t>
      </w:r>
      <w:r w:rsidRPr="00777EDA">
        <w:rPr>
          <w:rFonts w:ascii="SimSun" w:hAnsi="SimSun"/>
          <w:sz w:val="21"/>
          <w:szCs w:val="21"/>
        </w:rPr>
        <w:t>知识产权</w:t>
      </w:r>
      <w:r w:rsidRPr="00CD6A66">
        <w:rPr>
          <w:rFonts w:asciiTheme="minorEastAsia" w:eastAsiaTheme="minorEastAsia" w:hAnsiTheme="minorEastAsia"/>
          <w:sz w:val="21"/>
          <w:szCs w:val="21"/>
        </w:rPr>
        <w:t>战略和计划符合国家发展目标（三.1.）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发展中国家、最</w:t>
      </w:r>
      <w:r w:rsidRPr="004A5C4C">
        <w:rPr>
          <w:rFonts w:ascii="SimSun" w:hAnsi="SimSun"/>
          <w:sz w:val="21"/>
          <w:szCs w:val="21"/>
        </w:rPr>
        <w:t>不发达国家</w:t>
      </w:r>
      <w:r w:rsidRPr="00CD6A66">
        <w:rPr>
          <w:rFonts w:asciiTheme="minorEastAsia" w:eastAsiaTheme="minorEastAsia" w:hAnsiTheme="minorEastAsia"/>
          <w:sz w:val="21"/>
          <w:szCs w:val="21"/>
        </w:rPr>
        <w:t>、经济转型国家的人力资源能力得到加强，可以胜任在有效运用知识产权促进发展方面的广泛要求（三.2.）</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符合发展中国家、最</w:t>
      </w:r>
      <w:r w:rsidRPr="00777EDA">
        <w:rPr>
          <w:rFonts w:ascii="SimSun" w:hAnsi="SimSun"/>
          <w:sz w:val="21"/>
          <w:szCs w:val="21"/>
        </w:rPr>
        <w:t>不发达国家</w:t>
      </w:r>
      <w:r w:rsidRPr="00CD6A66">
        <w:rPr>
          <w:rFonts w:asciiTheme="minorEastAsia" w:eastAsiaTheme="minorEastAsia" w:hAnsiTheme="minorEastAsia"/>
          <w:sz w:val="21"/>
          <w:szCs w:val="21"/>
        </w:rPr>
        <w:t>和经济转型国家需求的合作机制与计划得到加强（三.4.）</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中小企业成功运用</w:t>
      </w:r>
      <w:r w:rsidRPr="004A5C4C">
        <w:rPr>
          <w:rFonts w:ascii="SimSun" w:hAnsi="SimSun"/>
          <w:sz w:val="21"/>
          <w:szCs w:val="21"/>
        </w:rPr>
        <w:t>知识产权</w:t>
      </w:r>
      <w:r w:rsidRPr="00CD6A66">
        <w:rPr>
          <w:rFonts w:asciiTheme="minorEastAsia" w:eastAsiaTheme="minorEastAsia" w:hAnsiTheme="minorEastAsia"/>
          <w:sz w:val="21"/>
          <w:szCs w:val="21"/>
        </w:rPr>
        <w:t>支持创新的能力得到加强（三.6.）</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战略目标四：协调并发展全球知识产权基础设施</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知识产权机构和公众为促进创新和创造对知识产权信息的获取和利用得到加强（四.2.）</w:t>
      </w:r>
    </w:p>
    <w:p w:rsidR="00D449C5" w:rsidRPr="009D5469" w:rsidRDefault="007D0BCF" w:rsidP="0020457E">
      <w:pPr>
        <w:pStyle w:val="ONUME"/>
        <w:numPr>
          <w:ilvl w:val="0"/>
          <w:numId w:val="19"/>
        </w:numPr>
        <w:topLinePunct/>
        <w:spacing w:afterLines="50" w:after="120" w:line="340" w:lineRule="atLeast"/>
        <w:ind w:left="987"/>
        <w:contextualSpacing/>
        <w:jc w:val="both"/>
        <w:rPr>
          <w:rFonts w:ascii="SimSun" w:hAnsi="SimSun"/>
          <w:sz w:val="21"/>
        </w:rPr>
      </w:pPr>
      <w:r w:rsidRPr="00CD6A66">
        <w:rPr>
          <w:rFonts w:asciiTheme="minorEastAsia" w:eastAsiaTheme="minorEastAsia" w:hAnsiTheme="minorEastAsia"/>
          <w:sz w:val="21"/>
          <w:szCs w:val="21"/>
        </w:rPr>
        <w:lastRenderedPageBreak/>
        <w:t>知识产权局和其他知识产权机构的技术和知识基础设施得到加强，为各自的利益</w:t>
      </w:r>
      <w:r w:rsidRPr="00CD6A66">
        <w:rPr>
          <w:rFonts w:asciiTheme="minorEastAsia" w:eastAsiaTheme="minorEastAsia" w:hAnsiTheme="minorEastAsia" w:hint="eastAsia"/>
          <w:sz w:val="21"/>
          <w:szCs w:val="21"/>
        </w:rPr>
        <w:t>攸</w:t>
      </w:r>
      <w:r w:rsidRPr="00CD6A66">
        <w:rPr>
          <w:rFonts w:asciiTheme="minorEastAsia" w:eastAsiaTheme="minorEastAsia" w:hAnsiTheme="minorEastAsia"/>
          <w:sz w:val="21"/>
          <w:szCs w:val="21"/>
        </w:rPr>
        <w:t>关方提供更好的服务（更低廉、更快捷、更</w:t>
      </w:r>
      <w:r w:rsidRPr="00777EDA">
        <w:rPr>
          <w:rFonts w:ascii="SimSun" w:hAnsi="SimSun"/>
          <w:sz w:val="21"/>
          <w:szCs w:val="21"/>
        </w:rPr>
        <w:t>优质</w:t>
      </w:r>
      <w:r w:rsidRPr="00CD6A66">
        <w:rPr>
          <w:rFonts w:asciiTheme="minorEastAsia" w:eastAsiaTheme="minorEastAsia" w:hAnsiTheme="minorEastAsia"/>
          <w:sz w:val="21"/>
          <w:szCs w:val="21"/>
        </w:rPr>
        <w:t>），知识产权行政管理取得更好成果（四.4.</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战略目标五：为全世界提供知识产权信息与分析的参考源</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WIPO</w:t>
      </w:r>
      <w:r w:rsidRPr="004A5C4C">
        <w:rPr>
          <w:rFonts w:ascii="SimSun" w:hAnsi="SimSun"/>
          <w:sz w:val="21"/>
          <w:szCs w:val="21"/>
        </w:rPr>
        <w:t>知识产权</w:t>
      </w:r>
      <w:r w:rsidRPr="00CD6A66">
        <w:rPr>
          <w:rFonts w:asciiTheme="minorEastAsia" w:eastAsiaTheme="minorEastAsia" w:hAnsiTheme="minorEastAsia"/>
          <w:sz w:val="21"/>
          <w:szCs w:val="21"/>
        </w:rPr>
        <w:t>统计信息得到更广泛和更好的利用（五.1.）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WIPO</w:t>
      </w:r>
      <w:r w:rsidRPr="004A5C4C">
        <w:rPr>
          <w:rFonts w:ascii="SimSun" w:hAnsi="SimSun"/>
          <w:sz w:val="21"/>
          <w:szCs w:val="21"/>
        </w:rPr>
        <w:t>经济分析</w:t>
      </w:r>
      <w:r w:rsidRPr="00CD6A66">
        <w:rPr>
          <w:rFonts w:asciiTheme="minorEastAsia" w:eastAsiaTheme="minorEastAsia" w:hAnsiTheme="minorEastAsia"/>
          <w:sz w:val="21"/>
          <w:szCs w:val="21"/>
        </w:rPr>
        <w:t>在政策制定中得到更广泛和更好的利用（五.2.）</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战略目标六：开展国际合作树立尊重知识产权的风尚</w:t>
      </w:r>
    </w:p>
    <w:p w:rsidR="007D0BCF" w:rsidRPr="0011752B" w:rsidRDefault="007D0BCF" w:rsidP="007D0BCF">
      <w:pPr>
        <w:keepNext/>
        <w:snapToGrid w:val="0"/>
        <w:spacing w:afterLines="50" w:after="120" w:line="340" w:lineRule="atLeast"/>
        <w:jc w:val="both"/>
        <w:rPr>
          <w:rFonts w:ascii="KaiTi" w:eastAsia="KaiTi" w:hAnsi="KaiTi"/>
          <w:sz w:val="21"/>
          <w:szCs w:val="21"/>
        </w:rPr>
      </w:pPr>
      <w:r w:rsidRPr="0011752B">
        <w:rPr>
          <w:rFonts w:ascii="KaiTi" w:eastAsia="KaiTi" w:hAnsi="KaiTi"/>
          <w:sz w:val="21"/>
          <w:szCs w:val="21"/>
        </w:rPr>
        <w:t>战略目标八：</w:t>
      </w:r>
      <w:r w:rsidRPr="00511B6B">
        <w:rPr>
          <w:rFonts w:ascii="KaiTi" w:eastAsia="KaiTi" w:hAnsi="KaiTi"/>
          <w:sz w:val="21"/>
          <w:szCs w:val="21"/>
        </w:rPr>
        <w:t>在</w:t>
      </w:r>
      <w:r w:rsidRPr="0011752B">
        <w:rPr>
          <w:rFonts w:ascii="KaiTi" w:eastAsia="KaiTi" w:hAnsi="KaiTi"/>
          <w:sz w:val="21"/>
          <w:szCs w:val="21"/>
        </w:rPr>
        <w:t>WIPO、其成员国和所有利益攸关</w:t>
      </w:r>
      <w:r w:rsidRPr="0011752B">
        <w:rPr>
          <w:rFonts w:ascii="KaiTi" w:eastAsia="KaiTi" w:hAnsi="KaiTi" w:hint="eastAsia"/>
          <w:sz w:val="21"/>
          <w:szCs w:val="21"/>
        </w:rPr>
        <w:t>方</w:t>
      </w:r>
      <w:r w:rsidRPr="0011752B">
        <w:rPr>
          <w:rFonts w:ascii="KaiTi" w:eastAsia="KaiTi" w:hAnsi="KaiTi"/>
          <w:sz w:val="21"/>
          <w:szCs w:val="21"/>
        </w:rPr>
        <w:t>之间建立敏感的交流关系</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就知识产权和WIPO的作用与大众进行的交流更为有效（八.1.）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服务导向和对咨询的反应能力得到提高（八.2.）</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与成员国进行</w:t>
      </w:r>
      <w:r w:rsidRPr="00777EDA">
        <w:rPr>
          <w:rFonts w:ascii="SimSun" w:hAnsi="SimSun"/>
          <w:sz w:val="21"/>
          <w:szCs w:val="21"/>
        </w:rPr>
        <w:t>有效</w:t>
      </w:r>
      <w:r w:rsidRPr="00CD6A66">
        <w:rPr>
          <w:rFonts w:asciiTheme="minorEastAsia" w:eastAsiaTheme="minorEastAsia" w:hAnsiTheme="minorEastAsia"/>
          <w:sz w:val="21"/>
          <w:szCs w:val="21"/>
        </w:rPr>
        <w:t>的交往（八.3.）</w:t>
      </w:r>
    </w:p>
    <w:p w:rsidR="00D449C5" w:rsidRPr="009D5469" w:rsidRDefault="007D0BCF" w:rsidP="0020457E">
      <w:pPr>
        <w:pStyle w:val="ONUME"/>
        <w:numPr>
          <w:ilvl w:val="0"/>
          <w:numId w:val="19"/>
        </w:numPr>
        <w:topLinePunct/>
        <w:spacing w:afterLines="50" w:after="120" w:line="340" w:lineRule="atLeast"/>
        <w:ind w:left="987"/>
        <w:jc w:val="both"/>
        <w:rPr>
          <w:rFonts w:ascii="SimSun" w:hAnsi="SimSun"/>
          <w:sz w:val="21"/>
        </w:rPr>
      </w:pPr>
      <w:r w:rsidRPr="00CD6A66">
        <w:rPr>
          <w:rFonts w:asciiTheme="minorEastAsia" w:eastAsiaTheme="minorEastAsia" w:hAnsiTheme="minorEastAsia"/>
          <w:sz w:val="21"/>
          <w:szCs w:val="21"/>
        </w:rPr>
        <w:t>与非政府</w:t>
      </w:r>
      <w:r w:rsidRPr="00777EDA">
        <w:rPr>
          <w:rFonts w:ascii="SimSun" w:hAnsi="SimSun"/>
          <w:sz w:val="21"/>
          <w:szCs w:val="21"/>
        </w:rPr>
        <w:t>利益</w:t>
      </w:r>
      <w:r w:rsidRPr="00777EDA">
        <w:rPr>
          <w:rFonts w:ascii="SimSun" w:hAnsi="SimSun" w:hint="eastAsia"/>
          <w:sz w:val="21"/>
          <w:szCs w:val="21"/>
        </w:rPr>
        <w:t>攸</w:t>
      </w:r>
      <w:r w:rsidRPr="00777EDA">
        <w:rPr>
          <w:rFonts w:ascii="SimSun" w:hAnsi="SimSun"/>
          <w:sz w:val="21"/>
          <w:szCs w:val="21"/>
        </w:rPr>
        <w:t>关方</w:t>
      </w:r>
      <w:r w:rsidRPr="00CD6A66">
        <w:rPr>
          <w:rFonts w:asciiTheme="minorEastAsia" w:eastAsiaTheme="minorEastAsia" w:hAnsiTheme="minorEastAsia"/>
          <w:sz w:val="21"/>
          <w:szCs w:val="21"/>
        </w:rPr>
        <w:t>进行公开、透明和反应灵敏的交流（八.4.）</w:t>
      </w:r>
    </w:p>
    <w:p w:rsidR="007D0BCF" w:rsidRPr="00637333" w:rsidRDefault="007D0BCF"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驻外办事处还将解决该地区的具体问题，即必须利用知识产权制度的全部潜力，同时处理地方优先</w:t>
      </w:r>
      <w:r w:rsidRPr="00CD6A66">
        <w:rPr>
          <w:rFonts w:asciiTheme="minorEastAsia" w:eastAsiaTheme="minorEastAsia" w:hAnsiTheme="minorEastAsia"/>
          <w:sz w:val="21"/>
          <w:szCs w:val="21"/>
        </w:rPr>
        <w:t>事项</w:t>
      </w:r>
      <w:r>
        <w:rPr>
          <w:rFonts w:ascii="SimSun" w:hAnsi="SimSun"/>
          <w:sz w:val="21"/>
          <w:szCs w:val="21"/>
        </w:rPr>
        <w:t>（</w:t>
      </w:r>
      <w:r w:rsidRPr="00CD6A66">
        <w:rPr>
          <w:rFonts w:asciiTheme="minorEastAsia" w:eastAsiaTheme="minorEastAsia" w:hAnsiTheme="minorEastAsia"/>
          <w:sz w:val="21"/>
          <w:szCs w:val="21"/>
        </w:rPr>
        <w:t>中小企业</w:t>
      </w:r>
      <w:r w:rsidRPr="00637333">
        <w:rPr>
          <w:rFonts w:ascii="SimSun" w:hAnsi="SimSun"/>
          <w:sz w:val="21"/>
          <w:szCs w:val="21"/>
        </w:rPr>
        <w:t>利用知识产权，行使知识产权权利，发展新的和创新的多利益攸关方伙伴关系，在该地区开展专题合作以支持可持续发展和执行2030年发展议程等</w:t>
      </w:r>
      <w:r>
        <w:rPr>
          <w:rFonts w:ascii="SimSun" w:hAnsi="SimSun"/>
          <w:sz w:val="21"/>
          <w:szCs w:val="21"/>
        </w:rPr>
        <w:t>）</w:t>
      </w:r>
      <w:r w:rsidRPr="00637333">
        <w:rPr>
          <w:rFonts w:ascii="SimSun" w:hAnsi="SimSun"/>
          <w:sz w:val="21"/>
          <w:szCs w:val="21"/>
        </w:rPr>
        <w:t>。</w:t>
      </w:r>
    </w:p>
    <w:p w:rsidR="00D449C5"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还将与各地区组织（欧洲联盟、欧洲专利局和内部市场协调局）、私营部门、学术界和非政府组织以及其他一些国际组织（如</w:t>
      </w:r>
      <w:r w:rsidRPr="004A5C4C">
        <w:rPr>
          <w:rFonts w:ascii="SimSun" w:hAnsi="SimSun"/>
          <w:sz w:val="21"/>
          <w:szCs w:val="21"/>
        </w:rPr>
        <w:t>国际刑警组织</w:t>
      </w:r>
      <w:r w:rsidRPr="00CD6A66">
        <w:rPr>
          <w:rFonts w:asciiTheme="minorEastAsia" w:eastAsiaTheme="minorEastAsia" w:hAnsiTheme="minorEastAsia"/>
          <w:sz w:val="21"/>
          <w:szCs w:val="21"/>
        </w:rPr>
        <w:t>、世界海关组织）建立合作。</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00B91C3B" w:rsidRPr="0020457E">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20457E">
        <w:rPr>
          <w:rFonts w:ascii="SimHei" w:eastAsia="SimHei" w:hAnsi="SimHei"/>
          <w:bCs/>
          <w:smallCaps/>
          <w:color w:val="1F497D" w:themeColor="text2"/>
          <w:sz w:val="21"/>
          <w:szCs w:val="21"/>
          <w:vertAlign w:val="superscript"/>
        </w:rPr>
        <w:footnoteReference w:id="28"/>
      </w:r>
      <w:r w:rsidRPr="006D5C33">
        <w:rPr>
          <w:rFonts w:ascii="SimHei" w:eastAsia="SimHei" w:hAnsi="SimHei" w:hint="eastAsia"/>
          <w:bCs/>
          <w:smallCaps/>
          <w:color w:val="1F497D" w:themeColor="text2"/>
          <w:sz w:val="21"/>
          <w:szCs w:val="21"/>
        </w:rPr>
        <w:t>）：</w:t>
      </w:r>
    </w:p>
    <w:p w:rsidR="007D0BCF" w:rsidRPr="009D5469" w:rsidRDefault="007D0BCF" w:rsidP="0020457E">
      <w:pPr>
        <w:pStyle w:val="ONUME"/>
        <w:numPr>
          <w:ilvl w:val="0"/>
          <w:numId w:val="9"/>
        </w:numPr>
        <w:spacing w:afterLines="50" w:after="120" w:line="340" w:lineRule="atLeast"/>
        <w:jc w:val="both"/>
        <w:rPr>
          <w:rFonts w:ascii="SimSun" w:hAnsi="SimSun"/>
          <w:sz w:val="21"/>
        </w:rPr>
      </w:pPr>
      <w:r w:rsidRPr="007D0BCF">
        <w:rPr>
          <w:rFonts w:ascii="SimSun" w:hAnsi="SimSun"/>
          <w:sz w:val="21"/>
          <w:szCs w:val="21"/>
        </w:rPr>
        <w:t>从广义上讲，为了实现以上所列任务授权，驻外办事处将开展以下类型的活动：为WIPO全球知识产权体系提供支持服务；提供能力建设活动，为利用知识产权促进发展提供便利；推广WIPO各项条约，包括最新通过的条约；通过有针对性的宣传并使得与利益攸关方的关系更为贴近，与广大群众进行更有效地交流；支持建立该次区域国家之间交流经验教训和最佳做法的论坛。</w:t>
      </w:r>
    </w:p>
    <w:p w:rsidR="007D0BCF" w:rsidRPr="006F661C"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能力建设计划将以</w:t>
      </w:r>
      <w:r w:rsidRPr="00637333">
        <w:rPr>
          <w:rFonts w:ascii="SimSun" w:hAnsi="SimSun"/>
          <w:sz w:val="21"/>
          <w:szCs w:val="21"/>
        </w:rPr>
        <w:t>需求</w:t>
      </w:r>
      <w:r w:rsidRPr="004B6D57">
        <w:rPr>
          <w:rFonts w:ascii="SimSun" w:hAnsi="SimSun"/>
          <w:sz w:val="21"/>
          <w:szCs w:val="21"/>
        </w:rPr>
        <w:t>为导向并适应各国的需求。行政、管理和运用</w:t>
      </w:r>
      <w:hyperlink r:id="rId23">
        <w:r w:rsidRPr="004B6D57">
          <w:rPr>
            <w:rFonts w:ascii="SimSun" w:hAnsi="SimSun"/>
            <w:sz w:val="21"/>
            <w:szCs w:val="21"/>
          </w:rPr>
          <w:t>知识产权</w:t>
        </w:r>
      </w:hyperlink>
      <w:r w:rsidRPr="004B6D57">
        <w:rPr>
          <w:rFonts w:ascii="SimSun" w:hAnsi="SimSun"/>
          <w:sz w:val="21"/>
          <w:szCs w:val="21"/>
        </w:rPr>
        <w:t>所需的机构能力也将通过</w:t>
      </w:r>
      <w:r w:rsidRPr="00637333">
        <w:rPr>
          <w:rFonts w:ascii="SimSun" w:hAnsi="SimSun"/>
          <w:sz w:val="21"/>
          <w:szCs w:val="21"/>
        </w:rPr>
        <w:t>WIPO专</w:t>
      </w:r>
      <w:r w:rsidRPr="004B6D57">
        <w:rPr>
          <w:rFonts w:ascii="SimSun" w:hAnsi="SimSun"/>
          <w:sz w:val="21"/>
          <w:szCs w:val="21"/>
        </w:rPr>
        <w:t>项计划进行整合。</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此类合作将根据各国知识产权局的具体要求来进行，为各国实现知识产权领域的目标（制定知识产权战略、规划公共意识宣传等）提供便利。</w:t>
      </w:r>
    </w:p>
    <w:p w:rsidR="00D449C5"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WIPO设立的国际知识产权申请和保护体系使申请者得以利用地域广泛的保护措施。驻外办事处将向利益攸关方</w:t>
      </w:r>
      <w:r>
        <w:rPr>
          <w:rFonts w:ascii="SimSun" w:hAnsi="SimSun"/>
          <w:sz w:val="21"/>
          <w:szCs w:val="21"/>
        </w:rPr>
        <w:t>（</w:t>
      </w:r>
      <w:r w:rsidRPr="00637333">
        <w:rPr>
          <w:rFonts w:ascii="SimSun" w:hAnsi="SimSun"/>
          <w:sz w:val="21"/>
          <w:szCs w:val="21"/>
        </w:rPr>
        <w:t>中小企业、大学研究人员等</w:t>
      </w:r>
      <w:r>
        <w:rPr>
          <w:rFonts w:ascii="SimSun" w:hAnsi="SimSun"/>
          <w:sz w:val="21"/>
          <w:szCs w:val="21"/>
        </w:rPr>
        <w:t>）</w:t>
      </w:r>
      <w:r w:rsidRPr="00637333">
        <w:rPr>
          <w:rFonts w:ascii="SimSun" w:hAnsi="SimSun"/>
          <w:sz w:val="21"/>
          <w:szCs w:val="21"/>
        </w:rPr>
        <w:t>提供</w:t>
      </w:r>
      <w:r w:rsidRPr="00637333">
        <w:rPr>
          <w:rFonts w:ascii="SimSun" w:hAnsi="SimSun"/>
          <w:noProof/>
          <w:sz w:val="21"/>
          <w:szCs w:val="21"/>
        </w:rPr>
        <w:t>利用</w:t>
      </w:r>
      <w:hyperlink r:id="rId24">
        <w:r w:rsidRPr="00637333">
          <w:rPr>
            <w:rFonts w:ascii="SimSun" w:hAnsi="SimSun"/>
            <w:sz w:val="21"/>
            <w:szCs w:val="21"/>
          </w:rPr>
          <w:t>PCT</w:t>
        </w:r>
      </w:hyperlink>
      <w:r w:rsidRPr="00637333">
        <w:rPr>
          <w:rFonts w:ascii="SimSun" w:hAnsi="SimSun"/>
          <w:sz w:val="21"/>
          <w:szCs w:val="21"/>
        </w:rPr>
        <w:t>、</w:t>
      </w:r>
      <w:hyperlink r:id="rId25">
        <w:r w:rsidRPr="00637333">
          <w:rPr>
            <w:rFonts w:ascii="SimSun" w:hAnsi="SimSun"/>
            <w:sz w:val="21"/>
            <w:szCs w:val="21"/>
          </w:rPr>
          <w:t>马德里体系</w:t>
        </w:r>
      </w:hyperlink>
      <w:r w:rsidRPr="00637333">
        <w:rPr>
          <w:rFonts w:ascii="SimSun" w:hAnsi="SimSun"/>
          <w:sz w:val="21"/>
          <w:szCs w:val="21"/>
        </w:rPr>
        <w:t>、</w:t>
      </w:r>
      <w:hyperlink r:id="rId26">
        <w:r w:rsidRPr="00637333">
          <w:rPr>
            <w:rFonts w:ascii="SimSun" w:hAnsi="SimSun"/>
            <w:sz w:val="21"/>
            <w:szCs w:val="21"/>
          </w:rPr>
          <w:t>海牙体系</w:t>
        </w:r>
      </w:hyperlink>
      <w:r w:rsidRPr="00637333">
        <w:rPr>
          <w:rFonts w:ascii="SimSun" w:hAnsi="SimSun"/>
          <w:sz w:val="21"/>
          <w:szCs w:val="21"/>
        </w:rPr>
        <w:t>和</w:t>
      </w:r>
      <w:hyperlink r:id="rId27">
        <w:r w:rsidRPr="00637333">
          <w:rPr>
            <w:rFonts w:ascii="SimSun" w:hAnsi="SimSun"/>
            <w:sz w:val="21"/>
            <w:szCs w:val="21"/>
          </w:rPr>
          <w:t>里斯本</w:t>
        </w:r>
      </w:hyperlink>
      <w:r w:rsidRPr="00637333">
        <w:rPr>
          <w:rFonts w:ascii="SimSun" w:hAnsi="SimSun"/>
          <w:sz w:val="21"/>
          <w:szCs w:val="21"/>
        </w:rPr>
        <w:t>体系以及WIPO替代性争议解决服务方面的培训</w:t>
      </w:r>
      <w:r w:rsidRPr="004B6D57">
        <w:rPr>
          <w:rFonts w:ascii="SimSun" w:hAnsi="SimSun"/>
          <w:sz w:val="21"/>
          <w:szCs w:val="21"/>
        </w:rPr>
        <w:t>。</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另外，可以提高版权所有者对必须建立有利可图的版权管理氛围的认识。由于集体管理组织经常受到批评，驻外办事处可以协助它们实施“透明度、问责制和治理”</w:t>
      </w:r>
      <w:r>
        <w:rPr>
          <w:rFonts w:ascii="SimSun" w:hAnsi="SimSun"/>
          <w:sz w:val="21"/>
          <w:szCs w:val="21"/>
        </w:rPr>
        <w:t>（</w:t>
      </w:r>
      <w:r w:rsidRPr="00637333">
        <w:rPr>
          <w:rFonts w:ascii="SimSun" w:hAnsi="SimSun"/>
          <w:sz w:val="21"/>
          <w:szCs w:val="21"/>
        </w:rPr>
        <w:t>TAG</w:t>
      </w:r>
      <w:r>
        <w:rPr>
          <w:rFonts w:ascii="SimSun" w:hAnsi="SimSun"/>
          <w:sz w:val="21"/>
          <w:szCs w:val="21"/>
        </w:rPr>
        <w:t>）</w:t>
      </w:r>
      <w:r w:rsidRPr="00637333">
        <w:rPr>
          <w:rFonts w:ascii="SimSun" w:hAnsi="SimSun"/>
          <w:sz w:val="21"/>
          <w:szCs w:val="21"/>
        </w:rPr>
        <w:t>项目，从而能够推动法律创意市场更好地运作，并使权利持有人和使用者共同受益。</w:t>
      </w:r>
    </w:p>
    <w:p w:rsidR="00334B82" w:rsidRPr="00CD6A66" w:rsidRDefault="00334B82" w:rsidP="0073025F">
      <w:pPr>
        <w:pStyle w:val="ONUME"/>
        <w:keepNext/>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提升对知识产权的认识、了解和尊重的活动将侧重于：</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6F661C">
        <w:rPr>
          <w:rFonts w:ascii="SimSun" w:hAnsi="SimSun" w:cs="SimSun" w:hint="eastAsia"/>
          <w:sz w:val="21"/>
          <w:szCs w:val="21"/>
        </w:rPr>
        <w:t>公共教育，</w:t>
      </w:r>
      <w:r>
        <w:rPr>
          <w:rFonts w:ascii="SimSun" w:hAnsi="SimSun" w:cs="SimSun" w:hint="eastAsia"/>
          <w:sz w:val="21"/>
          <w:szCs w:val="21"/>
        </w:rPr>
        <w:t>（</w:t>
      </w:r>
      <w:r w:rsidRPr="006F661C">
        <w:rPr>
          <w:rFonts w:ascii="SimSun" w:hAnsi="SimSun" w:cs="SimSun" w:hint="eastAsia"/>
          <w:sz w:val="21"/>
          <w:szCs w:val="21"/>
        </w:rPr>
        <w:t>除其他手段和方式外</w:t>
      </w:r>
      <w:r>
        <w:rPr>
          <w:rFonts w:ascii="SimSun" w:hAnsi="SimSun" w:cs="SimSun" w:hint="eastAsia"/>
          <w:sz w:val="21"/>
          <w:szCs w:val="21"/>
        </w:rPr>
        <w:t>）</w:t>
      </w:r>
      <w:r w:rsidRPr="006F661C">
        <w:rPr>
          <w:rFonts w:ascii="SimSun" w:hAnsi="SimSun" w:cs="SimSun" w:hint="eastAsia"/>
          <w:sz w:val="21"/>
          <w:szCs w:val="21"/>
        </w:rPr>
        <w:t>利用互联网、社交媒体渠道、电视现场报道、电台</w:t>
      </w:r>
      <w:r w:rsidRPr="004F3306">
        <w:rPr>
          <w:rFonts w:ascii="SimSun" w:hAnsi="SimSun" w:cs="SimSun" w:hint="eastAsia"/>
          <w:sz w:val="21"/>
          <w:szCs w:val="21"/>
        </w:rPr>
        <w:t>广告、分发传单等大量通讯手段；</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与公共和私营组织合作打击假冒和盗版</w:t>
      </w:r>
      <w:r w:rsidRPr="004F3306">
        <w:rPr>
          <w:rFonts w:ascii="SimSun" w:hAnsi="SimSun" w:cs="SimSun" w:hint="eastAsia"/>
          <w:sz w:val="21"/>
          <w:szCs w:val="21"/>
        </w:rPr>
        <w:t>，与工商会网络、警察和宪兵部队、海关办事处、检察官、</w:t>
      </w:r>
      <w:r w:rsidRPr="00CD6A66">
        <w:rPr>
          <w:rFonts w:asciiTheme="minorEastAsia" w:eastAsiaTheme="minorEastAsia" w:hAnsiTheme="minorEastAsia"/>
          <w:sz w:val="21"/>
          <w:szCs w:val="21"/>
        </w:rPr>
        <w:t>律师和法官合作</w:t>
      </w:r>
      <w:r>
        <w:rPr>
          <w:rFonts w:ascii="SimSun" w:hAnsi="SimSun" w:cs="SimSun" w:hint="eastAsia"/>
          <w:sz w:val="21"/>
          <w:szCs w:val="21"/>
        </w:rPr>
        <w:t>（</w:t>
      </w:r>
      <w:r w:rsidRPr="004F3306">
        <w:rPr>
          <w:rFonts w:ascii="SimSun" w:hAnsi="SimSun" w:cs="SimSun" w:hint="eastAsia"/>
          <w:sz w:val="21"/>
          <w:szCs w:val="21"/>
        </w:rPr>
        <w:t>此类活动包括，例如，公开销毁盗版和假冒产品</w:t>
      </w:r>
      <w:r>
        <w:rPr>
          <w:rFonts w:ascii="SimSun" w:hAnsi="SimSun" w:cs="SimSun" w:hint="eastAsia"/>
          <w:sz w:val="21"/>
          <w:szCs w:val="21"/>
        </w:rPr>
        <w:t>）</w:t>
      </w:r>
      <w:r w:rsidRPr="004F3306">
        <w:rPr>
          <w:rFonts w:ascii="SimSun" w:hAnsi="SimSun" w:cs="SimSun" w:hint="eastAsia"/>
          <w:sz w:val="21"/>
          <w:szCs w:val="21"/>
        </w:rPr>
        <w:t>；</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向知识产权局提供援助</w:t>
      </w:r>
      <w:r w:rsidRPr="004F3306">
        <w:rPr>
          <w:rFonts w:ascii="SimSun" w:hAnsi="SimSun" w:cs="SimSun" w:hint="eastAsia"/>
          <w:sz w:val="21"/>
          <w:szCs w:val="21"/>
        </w:rPr>
        <w:t>，如编制面向高中和大学知识产权课程的现代化、有吸引力和复合型课程包；</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协调实施针对所有相关利益攸关方的国家和地区培训计划</w:t>
      </w:r>
      <w:r w:rsidRPr="004F3306">
        <w:rPr>
          <w:rFonts w:ascii="SimSun" w:hAnsi="SimSun" w:cs="SimSun" w:hint="eastAsia"/>
          <w:sz w:val="21"/>
          <w:szCs w:val="21"/>
        </w:rPr>
        <w:t>；</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各国主管机构之间交流有关执行问题的信息</w:t>
      </w:r>
      <w:r w:rsidRPr="004F3306">
        <w:rPr>
          <w:rFonts w:ascii="SimSun" w:hAnsi="SimSun" w:cs="SimSun" w:hint="eastAsia"/>
          <w:sz w:val="21"/>
          <w:szCs w:val="21"/>
        </w:rPr>
        <w:t>。知识产权局充当联络点，支持在该地区建立知识产权执行政策网络，将公共和私营组织的代表聚集在一起。</w:t>
      </w:r>
    </w:p>
    <w:p w:rsidR="00D449C5" w:rsidRPr="009D5469" w:rsidRDefault="00334B82" w:rsidP="0020457E">
      <w:pPr>
        <w:pStyle w:val="ONUME"/>
        <w:numPr>
          <w:ilvl w:val="0"/>
          <w:numId w:val="19"/>
        </w:numPr>
        <w:topLinePunct/>
        <w:spacing w:afterLines="50" w:after="120" w:line="340" w:lineRule="atLeast"/>
        <w:ind w:left="987"/>
        <w:jc w:val="both"/>
        <w:rPr>
          <w:rFonts w:ascii="SimSun" w:hAnsi="SimSun"/>
          <w:sz w:val="21"/>
        </w:rPr>
      </w:pPr>
      <w:r w:rsidRPr="004F3306">
        <w:rPr>
          <w:rFonts w:ascii="SimSun" w:hAnsi="SimSun" w:cs="SimSun" w:hint="eastAsia"/>
          <w:sz w:val="21"/>
          <w:szCs w:val="21"/>
        </w:rPr>
        <w:t>每年</w:t>
      </w:r>
      <w:r w:rsidRPr="00CD6A66">
        <w:rPr>
          <w:rFonts w:ascii="SimSun" w:eastAsiaTheme="minorHAnsi" w:hAnsi="SimSun"/>
          <w:sz w:val="21"/>
          <w:szCs w:val="21"/>
        </w:rPr>
        <w:t>4</w:t>
      </w:r>
      <w:r w:rsidRPr="004F3306">
        <w:rPr>
          <w:rFonts w:ascii="SimSun" w:hAnsi="SimSun" w:cs="SimSun" w:hint="eastAsia"/>
          <w:sz w:val="21"/>
          <w:szCs w:val="21"/>
        </w:rPr>
        <w:t>月</w:t>
      </w:r>
      <w:r w:rsidRPr="00CD6A66">
        <w:rPr>
          <w:rFonts w:ascii="SimSun" w:eastAsiaTheme="minorHAnsi" w:hAnsi="SimSun"/>
          <w:sz w:val="21"/>
          <w:szCs w:val="21"/>
        </w:rPr>
        <w:t>26</w:t>
      </w:r>
      <w:r w:rsidRPr="00CD6A66">
        <w:rPr>
          <w:rFonts w:asciiTheme="minorEastAsia" w:eastAsiaTheme="minorEastAsia" w:hAnsiTheme="minorEastAsia"/>
          <w:sz w:val="21"/>
          <w:szCs w:val="21"/>
        </w:rPr>
        <w:t>日组织庆祝</w:t>
      </w:r>
      <w:r w:rsidRPr="0020457E">
        <w:rPr>
          <w:rFonts w:asciiTheme="minorEastAsia" w:eastAsiaTheme="minorEastAsia" w:hAnsiTheme="minorEastAsia"/>
          <w:sz w:val="21"/>
          <w:szCs w:val="21"/>
        </w:rPr>
        <w:t>“</w:t>
      </w:r>
      <w:r w:rsidRPr="0020457E">
        <w:rPr>
          <w:rFonts w:asciiTheme="minorEastAsia" w:eastAsiaTheme="minorEastAsia" w:hAnsiTheme="minorEastAsia" w:cs="SimSun" w:hint="eastAsia"/>
          <w:sz w:val="21"/>
          <w:szCs w:val="21"/>
        </w:rPr>
        <w:t>世界知识产权日</w:t>
      </w:r>
      <w:r w:rsidRPr="0020457E">
        <w:rPr>
          <w:rFonts w:asciiTheme="minorEastAsia" w:eastAsiaTheme="minorEastAsia" w:hAnsiTheme="minorEastAsia"/>
          <w:sz w:val="21"/>
          <w:szCs w:val="21"/>
        </w:rPr>
        <w:t>”</w:t>
      </w:r>
      <w:r w:rsidRPr="004F3306">
        <w:rPr>
          <w:rFonts w:ascii="SimSun" w:hAnsi="SimSun" w:cs="SimSun" w:hint="eastAsia"/>
          <w:sz w:val="21"/>
          <w:szCs w:val="21"/>
        </w:rPr>
        <w:t>专项活动。</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驻外办事处将需要鼓励该地区国家批准和加入WIPO条约和公约并为该进程提供援助，包括批准和加入最近</w:t>
      </w:r>
      <w:r w:rsidRPr="004B6D57">
        <w:rPr>
          <w:rFonts w:ascii="SimSun" w:hAnsi="SimSun"/>
          <w:sz w:val="21"/>
          <w:szCs w:val="21"/>
        </w:rPr>
        <w:t>关于</w:t>
      </w:r>
      <w:r w:rsidRPr="00637333">
        <w:rPr>
          <w:rFonts w:ascii="SimSun" w:hAnsi="SimSun"/>
          <w:sz w:val="21"/>
          <w:szCs w:val="21"/>
        </w:rPr>
        <w:t>版权和工业产权的条约</w:t>
      </w:r>
      <w:r>
        <w:rPr>
          <w:rFonts w:ascii="SimSun" w:hAnsi="SimSun"/>
          <w:sz w:val="21"/>
          <w:szCs w:val="21"/>
        </w:rPr>
        <w:t>（</w:t>
      </w:r>
      <w:r w:rsidRPr="00637333">
        <w:rPr>
          <w:rFonts w:ascii="SimSun" w:hAnsi="SimSun"/>
          <w:sz w:val="21"/>
          <w:szCs w:val="21"/>
        </w:rPr>
        <w:t>即《视听表演北京条约》、《关于为盲人、视力障碍者或其他印刷品阅读障碍者获得已出版作品提供便利的马拉喀什条约》以及《原产地名称和地理标志里斯本协定日内瓦文本》</w:t>
      </w:r>
      <w:r>
        <w:rPr>
          <w:rFonts w:ascii="SimSun" w:hAnsi="SimSun"/>
          <w:sz w:val="21"/>
          <w:szCs w:val="21"/>
        </w:rPr>
        <w:t>）</w:t>
      </w:r>
      <w:r w:rsidRPr="00637333">
        <w:rPr>
          <w:rFonts w:ascii="SimSun" w:hAnsi="SimSun"/>
          <w:sz w:val="21"/>
          <w:szCs w:val="21"/>
        </w:rPr>
        <w:t>。由于该地区多数国家尚未批准最新的国际法律文件，提升认识、了解和承认赋予的权利和相关义务将对决策者有所帮助。</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w:t>
      </w:r>
      <w:r w:rsidRPr="004B6D57">
        <w:rPr>
          <w:rFonts w:ascii="SimSun" w:hAnsi="SimSun"/>
          <w:sz w:val="21"/>
          <w:szCs w:val="21"/>
        </w:rPr>
        <w:t>将</w:t>
      </w:r>
      <w:r w:rsidRPr="00637333">
        <w:rPr>
          <w:rFonts w:ascii="SimSun" w:hAnsi="SimSun"/>
          <w:sz w:val="21"/>
          <w:szCs w:val="21"/>
        </w:rPr>
        <w:t>开展各项活动，旨在填补任何信息空白，促进总体上对知识产权、具体而言对WIPO的服务有更好的了解和认识。另外，贴近用户将得以通过提供完全适应地区现实及其查询需求的快速、完整的答复使其直接受益。</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驻外办事处将协助该地区各国在具体经济情形下有效利用知识产权体系，推动依照2030年发展议程实施其国家行动计划。更具体而言，驻外办事处可以：</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sz w:val="21"/>
          <w:szCs w:val="21"/>
        </w:rPr>
      </w:pPr>
      <w:r w:rsidRPr="004F3306">
        <w:rPr>
          <w:rFonts w:ascii="SimSun" w:hAnsi="SimSun" w:cs="SimSun" w:hint="eastAsia"/>
          <w:sz w:val="21"/>
          <w:szCs w:val="21"/>
        </w:rPr>
        <w:t>帮助国家主管机构从知识产权视角应对该地区国家正在面对的挑战，例如气候变化、粮食安全、公共</w:t>
      </w:r>
      <w:r w:rsidRPr="0020457E">
        <w:rPr>
          <w:rFonts w:asciiTheme="minorEastAsia" w:eastAsiaTheme="minorEastAsia" w:hAnsiTheme="minorEastAsia" w:hint="eastAsia"/>
          <w:sz w:val="21"/>
          <w:szCs w:val="21"/>
        </w:rPr>
        <w:t>健康</w:t>
      </w:r>
      <w:r w:rsidRPr="004F3306">
        <w:rPr>
          <w:rFonts w:ascii="SimSun" w:hAnsi="SimSun" w:cs="SimSun" w:hint="eastAsia"/>
          <w:sz w:val="21"/>
          <w:szCs w:val="21"/>
        </w:rPr>
        <w:t>和保护生物多样性；</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4F3306">
        <w:rPr>
          <w:rFonts w:ascii="SimSun" w:hAnsi="SimSun" w:cs="SimSun" w:hint="eastAsia"/>
          <w:sz w:val="21"/>
          <w:szCs w:val="21"/>
        </w:rPr>
        <w:t>协助相关主管机构</w:t>
      </w:r>
      <w:r>
        <w:rPr>
          <w:rFonts w:ascii="SimSun" w:hAnsi="SimSun" w:cs="SimSun" w:hint="eastAsia"/>
          <w:sz w:val="21"/>
          <w:szCs w:val="21"/>
        </w:rPr>
        <w:t>（</w:t>
      </w:r>
      <w:r w:rsidRPr="004F3306">
        <w:rPr>
          <w:rFonts w:ascii="SimSun" w:hAnsi="SimSun" w:cs="SimSun" w:hint="eastAsia"/>
          <w:sz w:val="21"/>
          <w:szCs w:val="21"/>
        </w:rPr>
        <w:t>如研究部委</w:t>
      </w:r>
      <w:r>
        <w:rPr>
          <w:rFonts w:ascii="SimSun" w:hAnsi="SimSun" w:cs="SimSun" w:hint="eastAsia"/>
          <w:sz w:val="21"/>
          <w:szCs w:val="21"/>
        </w:rPr>
        <w:t>）</w:t>
      </w:r>
      <w:r w:rsidRPr="004F3306">
        <w:rPr>
          <w:rFonts w:ascii="SimSun" w:hAnsi="SimSun" w:cs="SimSun" w:hint="eastAsia"/>
          <w:sz w:val="21"/>
          <w:szCs w:val="21"/>
        </w:rPr>
        <w:t>制定支持研究和创新的政策；</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4F3306">
        <w:rPr>
          <w:rFonts w:ascii="SimSun" w:hAnsi="SimSun" w:cs="SimSun" w:hint="eastAsia"/>
          <w:sz w:val="21"/>
          <w:szCs w:val="21"/>
        </w:rPr>
        <w:t>为中小企业、研究机构和大学提供支持，以获取和保护知识产权权利并支助知识产权评估和商业化，包括创造和传播量身定制的信息产品；</w:t>
      </w:r>
    </w:p>
    <w:p w:rsidR="00D449C5" w:rsidRPr="00CD6A66" w:rsidRDefault="00334B82" w:rsidP="0020457E">
      <w:pPr>
        <w:pStyle w:val="ONUME"/>
        <w:numPr>
          <w:ilvl w:val="0"/>
          <w:numId w:val="19"/>
        </w:numPr>
        <w:topLinePunct/>
        <w:spacing w:afterLines="50" w:after="120" w:line="340" w:lineRule="atLeast"/>
        <w:ind w:left="987"/>
        <w:jc w:val="both"/>
        <w:rPr>
          <w:rFonts w:asciiTheme="minorEastAsia" w:eastAsiaTheme="minorEastAsia" w:hAnsiTheme="minorEastAsia"/>
          <w:sz w:val="21"/>
          <w:szCs w:val="21"/>
        </w:rPr>
      </w:pPr>
      <w:r w:rsidRPr="004F3306">
        <w:rPr>
          <w:rFonts w:ascii="SimSun" w:hAnsi="SimSun" w:cs="SimSun" w:hint="eastAsia"/>
          <w:sz w:val="21"/>
          <w:szCs w:val="21"/>
        </w:rPr>
        <w:t>为在该地区设立新的技术与创新支持中心</w:t>
      </w:r>
      <w:r>
        <w:rPr>
          <w:rFonts w:ascii="SimSun" w:hAnsi="SimSun" w:cs="SimSun" w:hint="eastAsia"/>
          <w:sz w:val="21"/>
          <w:szCs w:val="21"/>
        </w:rPr>
        <w:t>（</w:t>
      </w:r>
      <w:r w:rsidRPr="00CD6A66">
        <w:rPr>
          <w:rFonts w:ascii="SimSun" w:eastAsiaTheme="minorHAnsi" w:hAnsi="SimSun"/>
          <w:sz w:val="21"/>
          <w:szCs w:val="21"/>
        </w:rPr>
        <w:t>TISC</w:t>
      </w:r>
      <w:r>
        <w:rPr>
          <w:rFonts w:ascii="SimSun" w:hAnsi="SimSun" w:cs="SimSun" w:hint="eastAsia"/>
          <w:sz w:val="21"/>
          <w:szCs w:val="21"/>
        </w:rPr>
        <w:t>）</w:t>
      </w:r>
      <w:r w:rsidRPr="004F3306">
        <w:rPr>
          <w:rFonts w:ascii="SimSun" w:hAnsi="SimSun" w:cs="SimSun" w:hint="eastAsia"/>
          <w:sz w:val="21"/>
          <w:szCs w:val="21"/>
        </w:rPr>
        <w:t>提供咨询。</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在不断变化的环境中，由于新技术和商业模式快步发展，可能需要制定新政策来应对最新的发展动态。驻外办事处可分享最佳做法，协助各国制定新的政策。</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驻外办事处可协助国家知识产权局和其他机构</w:t>
      </w:r>
      <w:r>
        <w:rPr>
          <w:rFonts w:ascii="SimSun" w:hAnsi="SimSun"/>
          <w:sz w:val="21"/>
          <w:szCs w:val="21"/>
        </w:rPr>
        <w:t>（</w:t>
      </w:r>
      <w:r w:rsidRPr="00637333">
        <w:rPr>
          <w:rFonts w:ascii="SimSun" w:hAnsi="SimSun"/>
          <w:sz w:val="21"/>
          <w:szCs w:val="21"/>
        </w:rPr>
        <w:t>相关部委</w:t>
      </w:r>
      <w:r>
        <w:rPr>
          <w:rFonts w:ascii="SimSun" w:hAnsi="SimSun"/>
          <w:sz w:val="21"/>
          <w:szCs w:val="21"/>
        </w:rPr>
        <w:t>）</w:t>
      </w:r>
      <w:r w:rsidRPr="00637333">
        <w:rPr>
          <w:rFonts w:ascii="SimSun" w:hAnsi="SimSun"/>
          <w:sz w:val="21"/>
          <w:szCs w:val="21"/>
        </w:rPr>
        <w:t>在制订政策时进一步利用WIPO统计信息、数据基础和经济分析。</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驻外办事处将与WIPO学院和该地区其他组织和机构</w:t>
      </w:r>
      <w:r>
        <w:rPr>
          <w:rFonts w:ascii="SimSun" w:hAnsi="SimSun"/>
          <w:sz w:val="21"/>
          <w:szCs w:val="21"/>
        </w:rPr>
        <w:t>（</w:t>
      </w:r>
      <w:r w:rsidRPr="00637333">
        <w:rPr>
          <w:rFonts w:ascii="SimSun" w:hAnsi="SimSun"/>
          <w:sz w:val="21"/>
          <w:szCs w:val="21"/>
        </w:rPr>
        <w:t>欧洲联盟、欧洲专利局</w:t>
      </w:r>
      <w:r>
        <w:rPr>
          <w:rFonts w:ascii="SimSun" w:hAnsi="SimSun"/>
          <w:sz w:val="21"/>
          <w:szCs w:val="21"/>
        </w:rPr>
        <w:t>（</w:t>
      </w:r>
      <w:r w:rsidRPr="00637333">
        <w:rPr>
          <w:rFonts w:ascii="SimSun" w:hAnsi="SimSun"/>
          <w:sz w:val="21"/>
          <w:szCs w:val="21"/>
        </w:rPr>
        <w:t>EPO</w:t>
      </w:r>
      <w:r>
        <w:rPr>
          <w:rFonts w:ascii="SimSun" w:hAnsi="SimSun"/>
          <w:sz w:val="21"/>
          <w:szCs w:val="21"/>
        </w:rPr>
        <w:t>）</w:t>
      </w:r>
      <w:r w:rsidRPr="00637333">
        <w:rPr>
          <w:rFonts w:ascii="SimSun" w:hAnsi="SimSun"/>
          <w:sz w:val="21"/>
          <w:szCs w:val="21"/>
        </w:rPr>
        <w:t>、内部市场协调局</w:t>
      </w:r>
      <w:r>
        <w:rPr>
          <w:rFonts w:ascii="SimSun" w:hAnsi="SimSun"/>
          <w:sz w:val="21"/>
          <w:szCs w:val="21"/>
        </w:rPr>
        <w:t>（</w:t>
      </w:r>
      <w:r w:rsidRPr="00637333">
        <w:rPr>
          <w:rFonts w:ascii="SimSun" w:hAnsi="SimSun"/>
          <w:sz w:val="21"/>
          <w:szCs w:val="21"/>
        </w:rPr>
        <w:t>OHIM</w:t>
      </w:r>
      <w:r>
        <w:rPr>
          <w:rFonts w:ascii="SimSun" w:hAnsi="SimSun"/>
          <w:sz w:val="21"/>
          <w:szCs w:val="21"/>
        </w:rPr>
        <w:t>）</w:t>
      </w:r>
      <w:r w:rsidRPr="00637333">
        <w:rPr>
          <w:rFonts w:ascii="SimSun" w:hAnsi="SimSun"/>
          <w:sz w:val="21"/>
          <w:szCs w:val="21"/>
        </w:rPr>
        <w:t>等</w:t>
      </w:r>
      <w:r>
        <w:rPr>
          <w:rFonts w:ascii="SimSun" w:hAnsi="SimSun"/>
          <w:sz w:val="21"/>
          <w:szCs w:val="21"/>
        </w:rPr>
        <w:t>）</w:t>
      </w:r>
      <w:r w:rsidRPr="00637333">
        <w:rPr>
          <w:rFonts w:ascii="SimSun" w:hAnsi="SimSun"/>
          <w:sz w:val="21"/>
          <w:szCs w:val="21"/>
        </w:rPr>
        <w:t>合作，向知识产权领域的从业者提供培训。</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驻外办事处可以建立自己的联系人一览表，纳入知识产权领域的所有利益攸关方，并鼓励建立公私合作伙伴关系，以促进保护、宣传和尊重知识产权领域的合作。</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以上提及的活动可以通过各种事件来实施：国家和次区域会议、届会、圆桌会议，提供进行对话和交流相关信息的建设性平台的活动；培训课程；公共宣传；知识产权竞赛；展览；研究访问；新书发布会；宣传材料传播；公开销毁假冒和盗版产品等。</w:t>
      </w:r>
    </w:p>
    <w:p w:rsidR="00334B82" w:rsidRPr="00637333" w:rsidRDefault="00334B82"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其中许多活动可以利用互联网等具有广泛曝光度和影响力的现代通讯手段。</w:t>
      </w:r>
    </w:p>
    <w:p w:rsidR="00D449C5"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对WIPO进行充分宣传将提高所有有关各方和民间社会对其崇高目标、在该地区的活动和服务的认识。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20457E">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C1637B" w:rsidRPr="00CD6A66" w:rsidRDefault="00C1637B"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WIPO</w:t>
      </w:r>
      <w:r w:rsidRPr="00637333">
        <w:rPr>
          <w:rFonts w:ascii="SimSun" w:hAnsi="SimSun"/>
          <w:sz w:val="21"/>
          <w:szCs w:val="21"/>
        </w:rPr>
        <w:t>驻</w:t>
      </w:r>
      <w:r>
        <w:rPr>
          <w:rFonts w:ascii="SimSun" w:hAnsi="SimSun"/>
          <w:sz w:val="21"/>
          <w:szCs w:val="21"/>
        </w:rPr>
        <w:t>外办事处</w:t>
      </w:r>
      <w:r w:rsidRPr="00637333">
        <w:rPr>
          <w:rFonts w:ascii="SimSun" w:hAnsi="SimSun"/>
          <w:sz w:val="21"/>
          <w:szCs w:val="21"/>
        </w:rPr>
        <w:t>增加</w:t>
      </w:r>
      <w:r>
        <w:rPr>
          <w:rFonts w:ascii="SimSun" w:hAnsi="SimSun" w:hint="eastAsia"/>
          <w:sz w:val="21"/>
          <w:szCs w:val="21"/>
        </w:rPr>
        <w:t>的</w:t>
      </w:r>
      <w:r w:rsidRPr="00637333">
        <w:rPr>
          <w:rFonts w:ascii="SimSun" w:hAnsi="SimSun"/>
          <w:sz w:val="21"/>
          <w:szCs w:val="21"/>
        </w:rPr>
        <w:t>价值将在于</w:t>
      </w:r>
      <w:r>
        <w:rPr>
          <w:rFonts w:ascii="SimSun" w:hAnsi="SimSun" w:hint="eastAsia"/>
          <w:sz w:val="21"/>
          <w:szCs w:val="21"/>
        </w:rPr>
        <w:t>近距离地</w:t>
      </w:r>
      <w:r w:rsidRPr="00637333">
        <w:rPr>
          <w:rFonts w:ascii="SimSun" w:hAnsi="SimSun"/>
          <w:sz w:val="21"/>
          <w:szCs w:val="21"/>
        </w:rPr>
        <w:t>援助受益人/接受者</w:t>
      </w:r>
      <w:r>
        <w:rPr>
          <w:rFonts w:ascii="SimSun" w:hAnsi="SimSun"/>
          <w:sz w:val="21"/>
          <w:szCs w:val="21"/>
        </w:rPr>
        <w:t>（</w:t>
      </w:r>
      <w:r w:rsidRPr="00637333">
        <w:rPr>
          <w:rFonts w:ascii="SimSun" w:hAnsi="SimSun"/>
          <w:sz w:val="21"/>
          <w:szCs w:val="21"/>
        </w:rPr>
        <w:t>政府、组织、企业或个人</w:t>
      </w:r>
      <w:r>
        <w:rPr>
          <w:rFonts w:ascii="SimSun" w:hAnsi="SimSun"/>
          <w:sz w:val="21"/>
          <w:szCs w:val="21"/>
        </w:rPr>
        <w:t>），从而</w:t>
      </w:r>
      <w:r w:rsidRPr="00637333">
        <w:rPr>
          <w:rFonts w:ascii="SimSun" w:hAnsi="SimSun"/>
          <w:sz w:val="21"/>
          <w:szCs w:val="21"/>
        </w:rPr>
        <w:t>刺激</w:t>
      </w:r>
      <w:r>
        <w:rPr>
          <w:rFonts w:ascii="SimSun" w:hAnsi="SimSun" w:hint="eastAsia"/>
          <w:sz w:val="21"/>
          <w:szCs w:val="21"/>
        </w:rPr>
        <w:t>它们</w:t>
      </w:r>
      <w:r w:rsidRPr="00637333">
        <w:rPr>
          <w:rFonts w:ascii="SimSun" w:hAnsi="SimSun"/>
          <w:sz w:val="21"/>
          <w:szCs w:val="21"/>
        </w:rPr>
        <w:t>参与上游政策起草，</w:t>
      </w:r>
      <w:r>
        <w:rPr>
          <w:rFonts w:ascii="SimSun" w:hAnsi="SimSun" w:hint="eastAsia"/>
          <w:sz w:val="21"/>
          <w:szCs w:val="21"/>
        </w:rPr>
        <w:t>并更好地回应它们的具体需求</w:t>
      </w:r>
      <w:r w:rsidRPr="00637333">
        <w:rPr>
          <w:rFonts w:ascii="SimSun" w:hAnsi="SimSun"/>
          <w:sz w:val="21"/>
          <w:szCs w:val="21"/>
        </w:rPr>
        <w:t>。</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罗马尼亚相信，在布加勒斯特设立驻外办事处将为本组织和次区域各国带来增加价值。</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驻外办事处将有助于更好地宣传WIPO是专门从事知识产区领域工作的国际组织及其价值观和服务。还将加强本组织响应该地区具体需要的能力，这可能有利于提升对知识产权体系的信任。</w:t>
      </w:r>
    </w:p>
    <w:p w:rsidR="00C1637B" w:rsidRPr="00637333" w:rsidRDefault="00C1637B" w:rsidP="0020457E">
      <w:pPr>
        <w:pStyle w:val="ONUME"/>
        <w:spacing w:afterLines="50" w:after="120" w:line="340" w:lineRule="atLeast"/>
        <w:jc w:val="both"/>
        <w:rPr>
          <w:rFonts w:ascii="SimSun" w:hAnsi="SimSun" w:cs="SimSun"/>
          <w:sz w:val="21"/>
          <w:szCs w:val="21"/>
        </w:rPr>
      </w:pPr>
      <w:r w:rsidRPr="00637333">
        <w:rPr>
          <w:rFonts w:ascii="SimSun" w:hAnsi="SimSun"/>
          <w:sz w:val="21"/>
          <w:szCs w:val="21"/>
        </w:rPr>
        <w:t>对于该地区国家而言，总体上，次区域驻外办事处的增加价值将在于更贴近援助受益人/接受者</w:t>
      </w:r>
      <w:r>
        <w:rPr>
          <w:rFonts w:ascii="SimSun" w:hAnsi="SimSun"/>
          <w:sz w:val="21"/>
          <w:szCs w:val="21"/>
        </w:rPr>
        <w:t>（</w:t>
      </w:r>
      <w:r w:rsidRPr="00637333">
        <w:rPr>
          <w:rFonts w:ascii="SimSun" w:hAnsi="SimSun"/>
          <w:sz w:val="21"/>
          <w:szCs w:val="21"/>
        </w:rPr>
        <w:t>政府、组织、企业或个人</w:t>
      </w:r>
      <w:r>
        <w:rPr>
          <w:rFonts w:ascii="SimSun" w:hAnsi="SimSun"/>
          <w:sz w:val="21"/>
          <w:szCs w:val="21"/>
        </w:rPr>
        <w:t>）</w:t>
      </w:r>
      <w:r w:rsidRPr="00637333">
        <w:rPr>
          <w:rFonts w:ascii="SimSun" w:hAnsi="SimSun"/>
          <w:sz w:val="21"/>
          <w:szCs w:val="21"/>
        </w:rPr>
        <w:t>，从而将刺激其参与上游政策起草，并且得以取得更好的知识产权成果。</w:t>
      </w:r>
    </w:p>
    <w:p w:rsidR="00C1637B" w:rsidRPr="00003BEC"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具体而言，在罗马尼亚布加勒斯特设立WIPO驻外办事处可预见的益处如下：传递CEBS成员国致力于进一步发展其知识产权制度的明确的政治信号；提高知识产权申请活动的活力和获得该领域更好的回报；进一步协调打击假冒和盗版行为</w:t>
      </w:r>
      <w:r>
        <w:rPr>
          <w:rFonts w:ascii="SimSun" w:hAnsi="SimSun"/>
          <w:sz w:val="21"/>
          <w:szCs w:val="21"/>
        </w:rPr>
        <w:t>（</w:t>
      </w:r>
      <w:r w:rsidRPr="00637333">
        <w:rPr>
          <w:rFonts w:ascii="SimSun" w:hAnsi="SimSun"/>
          <w:sz w:val="21"/>
          <w:szCs w:val="21"/>
        </w:rPr>
        <w:t>这将对经济、社会和文化数据带来积极影响</w:t>
      </w:r>
      <w:r>
        <w:rPr>
          <w:rFonts w:ascii="SimSun" w:hAnsi="SimSun"/>
          <w:sz w:val="21"/>
          <w:szCs w:val="21"/>
        </w:rPr>
        <w:t>）</w:t>
      </w:r>
      <w:r w:rsidRPr="00637333">
        <w:rPr>
          <w:rFonts w:ascii="SimSun" w:hAnsi="SimSun"/>
          <w:sz w:val="21"/>
          <w:szCs w:val="21"/>
        </w:rPr>
        <w:t>；更准确地评估知识产权政策的影响及该次区域知识产权体系的演变；进一步加深该次区域国家之间的合作。</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驻外办事处还将确保WIPO和该次区域国家均实现成本效益，因为在总部提供同等水平和层面的活动的情况下，将以更低的成本在该地区开展更具活力的知识产权活动。</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637333">
        <w:rPr>
          <w:rFonts w:ascii="SimSun" w:hAnsi="SimSun"/>
          <w:sz w:val="21"/>
          <w:szCs w:val="21"/>
        </w:rPr>
        <w:t>另外，该地区与会者参与布加勒斯特驻外办事处组织的各项活动将节省差旅费用</w:t>
      </w:r>
      <w:r>
        <w:rPr>
          <w:rFonts w:ascii="SimSun" w:hAnsi="SimSun"/>
          <w:sz w:val="21"/>
          <w:szCs w:val="21"/>
        </w:rPr>
        <w:t>（</w:t>
      </w:r>
      <w:r w:rsidRPr="00637333">
        <w:rPr>
          <w:rFonts w:ascii="SimSun" w:hAnsi="SimSun"/>
          <w:sz w:val="21"/>
          <w:szCs w:val="21"/>
        </w:rPr>
        <w:t>该地区许多国家仍然没有从首都到日内瓦的直航航班，而在地理位置上与该办事处总部距离更近</w:t>
      </w:r>
      <w:r>
        <w:rPr>
          <w:rFonts w:ascii="SimSun" w:hAnsi="SimSun"/>
          <w:sz w:val="21"/>
          <w:szCs w:val="21"/>
        </w:rPr>
        <w:t>）</w:t>
      </w:r>
      <w:r w:rsidRPr="00637333">
        <w:rPr>
          <w:rFonts w:ascii="SimSun" w:hAnsi="SimSun"/>
          <w:sz w:val="21"/>
          <w:szCs w:val="21"/>
        </w:rPr>
        <w:t>。</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20457E">
        <w:rPr>
          <w:rFonts w:ascii="SimHei" w:eastAsia="SimHei" w:hAnsi="SimHei"/>
          <w:bCs/>
          <w:smallCaps/>
          <w:sz w:val="21"/>
          <w:szCs w:val="21"/>
          <w:vertAlign w:val="superscript"/>
        </w:rPr>
        <w:footnoteReference w:id="29"/>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罗马尼亚认为，设立次区域WIPO驻外办事处不会对成员国造成额外的财务负担，除非是经批准的预算拨款。</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罗马尼亚政府将为与已设立其他驻外办事处的成员国所提供的类似配套设施提供补助。根据估算，与办事处运作有关的费用将不会妨碍WIPO驻外办事处网络的财务和预算可持续性。</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该办事处将从罗马尼亚国家发明和商标局及罗马尼亚版权局全力支持其开展活动中受益。在这方面，作为实物捐助，罗马尼亚国家发明和商标局</w:t>
      </w:r>
      <w:r>
        <w:rPr>
          <w:rFonts w:ascii="SimSun" w:hAnsi="SimSun"/>
          <w:sz w:val="21"/>
          <w:szCs w:val="21"/>
        </w:rPr>
        <w:t>（</w:t>
      </w:r>
      <w:r w:rsidRPr="00637333">
        <w:rPr>
          <w:rFonts w:ascii="SimSun" w:hAnsi="SimSun"/>
          <w:sz w:val="21"/>
          <w:szCs w:val="21"/>
        </w:rPr>
        <w:t>OSIM</w:t>
      </w:r>
      <w:r>
        <w:rPr>
          <w:rFonts w:ascii="SimSun" w:hAnsi="SimSun"/>
          <w:sz w:val="21"/>
          <w:szCs w:val="21"/>
        </w:rPr>
        <w:t>）</w:t>
      </w:r>
      <w:r w:rsidRPr="00637333">
        <w:rPr>
          <w:rFonts w:ascii="SimSun" w:hAnsi="SimSun"/>
          <w:sz w:val="21"/>
          <w:szCs w:val="21"/>
        </w:rPr>
        <w:t>将准备提供其分散在全国各地由17个区域中心组成的网络。</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地区知识产权中心网络自1999年起建立，目前设在5所大学、8个地方商会、</w:t>
      </w:r>
      <w:r>
        <w:rPr>
          <w:rFonts w:ascii="SimSun" w:hAnsi="SimSun" w:hint="eastAsia"/>
          <w:sz w:val="21"/>
          <w:szCs w:val="21"/>
        </w:rPr>
        <w:t>两</w:t>
      </w:r>
      <w:r w:rsidRPr="00637333">
        <w:rPr>
          <w:rFonts w:ascii="SimSun" w:hAnsi="SimSun"/>
          <w:sz w:val="21"/>
          <w:szCs w:val="21"/>
        </w:rPr>
        <w:t>个中小企业业主协会和</w:t>
      </w:r>
      <w:r>
        <w:rPr>
          <w:rFonts w:ascii="SimSun" w:hAnsi="SimSun" w:hint="eastAsia"/>
          <w:sz w:val="21"/>
          <w:szCs w:val="21"/>
        </w:rPr>
        <w:t>一</w:t>
      </w:r>
      <w:r w:rsidRPr="00637333">
        <w:rPr>
          <w:rFonts w:ascii="SimSun" w:hAnsi="SimSun"/>
          <w:sz w:val="21"/>
          <w:szCs w:val="21"/>
        </w:rPr>
        <w:t>个发明者协会。这些中心的主要目的是向其利益攸关方推广工业产权价值观。</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lastRenderedPageBreak/>
        <w:t>国家发明和商标局可根据请求向知识产权律师和发明者协会提供专门的后勤援助。</w:t>
      </w:r>
    </w:p>
    <w:p w:rsidR="00C1637B" w:rsidRPr="00CD6A66" w:rsidRDefault="00C1637B"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这些中心是国家发明和商标局与地方社区、学术界、企业界、高级中学、发明者、地方机构之间的中间联络点。</w:t>
      </w:r>
    </w:p>
    <w:p w:rsidR="00C1637B" w:rsidRPr="006C6B9E"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此外，该办事处的罗马尼亚机构合作伙伴将在国家层面作出努力，增加私营部门、非政府实体或其他利益攸关方对不同活动的额外资助。还可向欧盟委员会提交财务支助申请。</w:t>
      </w:r>
    </w:p>
    <w:p w:rsidR="00D449C5"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WIPO工作人员在布加勒斯特的安置费用、工作人员住宿的租金、首都城市的生活费以及</w:t>
      </w:r>
      <w:r>
        <w:rPr>
          <w:rFonts w:ascii="SimSun" w:hAnsi="SimSun"/>
          <w:sz w:val="21"/>
          <w:szCs w:val="21"/>
        </w:rPr>
        <w:t>（</w:t>
      </w:r>
      <w:r w:rsidRPr="00637333">
        <w:rPr>
          <w:rFonts w:ascii="SimSun" w:hAnsi="SimSun"/>
          <w:sz w:val="21"/>
          <w:szCs w:val="21"/>
        </w:rPr>
        <w:t>从该地区其他首都</w:t>
      </w:r>
      <w:r>
        <w:rPr>
          <w:rFonts w:ascii="SimSun" w:hAnsi="SimSun"/>
          <w:sz w:val="21"/>
          <w:szCs w:val="21"/>
        </w:rPr>
        <w:t>）</w:t>
      </w:r>
      <w:r w:rsidRPr="00637333">
        <w:rPr>
          <w:rFonts w:ascii="SimSun" w:hAnsi="SimSun"/>
          <w:sz w:val="21"/>
          <w:szCs w:val="21"/>
        </w:rPr>
        <w:t>往来日内瓦的机票费均可负担得起。</w:t>
      </w:r>
    </w:p>
    <w:p w:rsidR="00D449C5" w:rsidRPr="004A5C4C" w:rsidRDefault="00C1637B" w:rsidP="004A5C4C">
      <w:pPr>
        <w:keepNext/>
        <w:suppressAutoHyphens/>
        <w:overflowPunct w:val="0"/>
        <w:autoSpaceDE w:val="0"/>
        <w:spacing w:afterLines="50" w:after="120" w:line="340" w:lineRule="atLeast"/>
        <w:rPr>
          <w:rFonts w:ascii="SimSun" w:hAnsi="SimSun"/>
          <w:sz w:val="21"/>
          <w:szCs w:val="21"/>
          <w:u w:val="single"/>
        </w:rPr>
      </w:pPr>
      <w:r w:rsidRPr="004A5C4C">
        <w:rPr>
          <w:rFonts w:ascii="SimSun" w:hAnsi="SimSun" w:hint="eastAsia"/>
          <w:sz w:val="21"/>
          <w:szCs w:val="21"/>
          <w:u w:val="single"/>
        </w:rPr>
        <w:t>总部</w:t>
      </w:r>
      <w:r w:rsidR="004A5C4C">
        <w:rPr>
          <w:rFonts w:ascii="SimSun" w:hAnsi="SimSun" w:hint="eastAsia"/>
          <w:sz w:val="21"/>
          <w:szCs w:val="21"/>
          <w:u w:val="single"/>
        </w:rPr>
        <w:t>、</w:t>
      </w:r>
      <w:r w:rsidRPr="004A5C4C">
        <w:rPr>
          <w:rFonts w:ascii="SimSun" w:hAnsi="SimSun" w:hint="eastAsia"/>
          <w:sz w:val="21"/>
          <w:szCs w:val="21"/>
          <w:u w:val="single"/>
        </w:rPr>
        <w:t>特权</w:t>
      </w:r>
    </w:p>
    <w:p w:rsidR="00C1637B" w:rsidRPr="00C1637B" w:rsidRDefault="00C1637B" w:rsidP="0020457E">
      <w:pPr>
        <w:pStyle w:val="ONUME"/>
        <w:numPr>
          <w:ilvl w:val="0"/>
          <w:numId w:val="9"/>
        </w:numPr>
        <w:spacing w:afterLines="50" w:after="120" w:line="340" w:lineRule="atLeast"/>
        <w:jc w:val="both"/>
        <w:rPr>
          <w:rFonts w:ascii="SimSun" w:hAnsi="SimSun" w:cs="Times New Roman"/>
          <w:sz w:val="21"/>
          <w:szCs w:val="21"/>
        </w:rPr>
      </w:pPr>
      <w:r w:rsidRPr="004A5C4C">
        <w:rPr>
          <w:rFonts w:ascii="SimSun" w:hAnsi="SimSun" w:hint="eastAsia"/>
          <w:sz w:val="21"/>
          <w:szCs w:val="21"/>
        </w:rPr>
        <w:t>办事处所在地将设在位于布加勒斯特城区的罗马尼亚国家图书馆，拥有宽敞的空间（</w:t>
      </w:r>
      <w:r w:rsidRPr="004A5C4C">
        <w:rPr>
          <w:rFonts w:ascii="SimSun" w:hAnsi="SimSun"/>
          <w:sz w:val="21"/>
          <w:szCs w:val="21"/>
        </w:rPr>
        <w:t>240</w:t>
      </w:r>
      <w:r w:rsidRPr="004A5C4C">
        <w:rPr>
          <w:rFonts w:ascii="SimSun" w:hAnsi="SimSun" w:hint="eastAsia"/>
          <w:sz w:val="21"/>
          <w:szCs w:val="21"/>
        </w:rPr>
        <w:t>平方米）</w:t>
      </w:r>
      <w:r w:rsidRPr="00C1637B">
        <w:rPr>
          <w:rFonts w:ascii="SimSun" w:hAnsi="SimSun" w:cs="Times New Roman" w:hint="eastAsia"/>
          <w:sz w:val="21"/>
          <w:szCs w:val="21"/>
        </w:rPr>
        <w:t>以及先进的设施。在此附上提供给驻外办事处的办公楼和办公区的照片（见附件一）。</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AE07B2">
        <w:rPr>
          <w:rFonts w:ascii="SimSun" w:hAnsi="SimSun" w:cs="Times New Roman" w:hint="eastAsia"/>
          <w:sz w:val="21"/>
          <w:szCs w:val="21"/>
        </w:rPr>
        <w:t>办事处的位置为合作提供了机会。它位于行政区（政府、议会）内，毗邻商业区（罗马尼亚工商会、国际商事仲裁法院、</w:t>
      </w:r>
      <w:r w:rsidRPr="004A5C4C">
        <w:rPr>
          <w:rFonts w:ascii="SimSun" w:hAnsi="SimSun" w:hint="eastAsia"/>
          <w:sz w:val="21"/>
          <w:szCs w:val="21"/>
        </w:rPr>
        <w:t>金融</w:t>
      </w:r>
      <w:r w:rsidRPr="00AE07B2">
        <w:rPr>
          <w:rFonts w:ascii="SimSun" w:hAnsi="SimSun" w:cs="Times New Roman" w:hint="eastAsia"/>
          <w:sz w:val="21"/>
          <w:szCs w:val="21"/>
        </w:rPr>
        <w:t>机构），距离首都国际机场约45分钟的车程。</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AE07B2">
        <w:rPr>
          <w:rFonts w:ascii="SimSun" w:cs="SimSun"/>
          <w:sz w:val="21"/>
          <w:szCs w:val="21"/>
        </w:rPr>
        <w:t>WIPO</w:t>
      </w:r>
      <w:r w:rsidRPr="00AE07B2">
        <w:rPr>
          <w:rFonts w:ascii="SimSun" w:cs="SimSun" w:hint="eastAsia"/>
          <w:sz w:val="21"/>
          <w:szCs w:val="21"/>
        </w:rPr>
        <w:t>驻外办事处在场所方面应当符合</w:t>
      </w:r>
      <w:r w:rsidRPr="00AE07B2">
        <w:rPr>
          <w:rFonts w:ascii="SimSun" w:cs="SimSun"/>
          <w:sz w:val="21"/>
          <w:szCs w:val="21"/>
        </w:rPr>
        <w:t>1946</w:t>
      </w:r>
      <w:r w:rsidRPr="00AE07B2">
        <w:rPr>
          <w:rFonts w:ascii="SimSun" w:cs="SimSun" w:hint="eastAsia"/>
          <w:sz w:val="21"/>
          <w:szCs w:val="21"/>
        </w:rPr>
        <w:t>年</w:t>
      </w:r>
      <w:r w:rsidRPr="00AE07B2">
        <w:rPr>
          <w:rFonts w:ascii="SimSun" w:cs="SimSun"/>
          <w:sz w:val="21"/>
          <w:szCs w:val="21"/>
        </w:rPr>
        <w:t>2</w:t>
      </w:r>
      <w:r w:rsidRPr="00AE07B2">
        <w:rPr>
          <w:rFonts w:ascii="SimSun" w:cs="SimSun" w:hint="eastAsia"/>
          <w:sz w:val="21"/>
          <w:szCs w:val="21"/>
        </w:rPr>
        <w:t>月</w:t>
      </w:r>
      <w:r w:rsidRPr="00AE07B2">
        <w:rPr>
          <w:rFonts w:ascii="SimSun" w:cs="SimSun"/>
          <w:sz w:val="21"/>
          <w:szCs w:val="21"/>
        </w:rPr>
        <w:t>13</w:t>
      </w:r>
      <w:r w:rsidRPr="00AE07B2">
        <w:rPr>
          <w:rFonts w:ascii="SimSun" w:cs="SimSun" w:hint="eastAsia"/>
          <w:sz w:val="21"/>
          <w:szCs w:val="21"/>
        </w:rPr>
        <w:t>日在纽约通过的《联合国特权与豁免公约》和</w:t>
      </w:r>
      <w:r w:rsidRPr="00AE07B2">
        <w:rPr>
          <w:rFonts w:ascii="SimSun" w:cs="SimSun"/>
          <w:sz w:val="21"/>
          <w:szCs w:val="21"/>
        </w:rPr>
        <w:t>1947</w:t>
      </w:r>
      <w:r w:rsidRPr="00AE07B2">
        <w:rPr>
          <w:rFonts w:ascii="SimSun" w:cs="SimSun" w:hint="eastAsia"/>
          <w:sz w:val="21"/>
          <w:szCs w:val="21"/>
        </w:rPr>
        <w:t>年</w:t>
      </w:r>
      <w:r w:rsidRPr="00AE07B2">
        <w:rPr>
          <w:rFonts w:ascii="SimSun" w:cs="SimSun"/>
          <w:sz w:val="21"/>
          <w:szCs w:val="21"/>
        </w:rPr>
        <w:t>11</w:t>
      </w:r>
      <w:r w:rsidRPr="00AE07B2">
        <w:rPr>
          <w:rFonts w:ascii="SimSun" w:cs="SimSun" w:hint="eastAsia"/>
          <w:sz w:val="21"/>
          <w:szCs w:val="21"/>
        </w:rPr>
        <w:t>月</w:t>
      </w:r>
      <w:r w:rsidRPr="00AE07B2">
        <w:rPr>
          <w:rFonts w:ascii="SimSun" w:cs="SimSun"/>
          <w:sz w:val="21"/>
          <w:szCs w:val="21"/>
        </w:rPr>
        <w:t>21</w:t>
      </w:r>
      <w:r w:rsidRPr="00AE07B2">
        <w:rPr>
          <w:rFonts w:ascii="SimSun" w:cs="SimSun" w:hint="eastAsia"/>
          <w:sz w:val="21"/>
          <w:szCs w:val="21"/>
        </w:rPr>
        <w:t>日在纽约通过的《专门机构特权与豁免公约》（附件十五）</w:t>
      </w:r>
      <w:r w:rsidR="0073025F">
        <w:rPr>
          <w:rFonts w:ascii="SimSun" w:cs="SimSun" w:hint="eastAsia"/>
          <w:sz w:val="21"/>
          <w:szCs w:val="21"/>
        </w:rPr>
        <w:t>。</w:t>
      </w:r>
    </w:p>
    <w:p w:rsidR="00B91C3B" w:rsidRDefault="00B91C3B" w:rsidP="00B91C3B">
      <w:pPr>
        <w:jc w:val="both"/>
        <w:rPr>
          <w:rFonts w:ascii="SimSun" w:hAnsi="SimSun"/>
          <w:sz w:val="21"/>
        </w:rPr>
      </w:pPr>
    </w:p>
    <w:p w:rsidR="0073025F" w:rsidRPr="00D449C5" w:rsidRDefault="0073025F" w:rsidP="00B91C3B">
      <w:pPr>
        <w:jc w:val="both"/>
        <w:rPr>
          <w:rFonts w:ascii="SimSun" w:hAnsi="SimSun"/>
          <w:sz w:val="21"/>
        </w:rPr>
        <w:sectPr w:rsidR="0073025F" w:rsidRPr="00D449C5" w:rsidSect="00F85B4A">
          <w:footerReference w:type="default" r:id="rId28"/>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20457E">
        <w:rPr>
          <w:rFonts w:ascii="SimHei" w:eastAsia="SimHei" w:hAnsi="SimHei"/>
          <w:bCs/>
          <w:smallCaps/>
          <w:sz w:val="21"/>
          <w:vertAlign w:val="superscript"/>
        </w:rPr>
        <w:footnoteReference w:id="30"/>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
          <w:rFonts w:ascii="SimSun" w:hAnsi="SimSun"/>
          <w:sz w:val="21"/>
          <w:szCs w:val="21"/>
        </w:rPr>
      </w:pPr>
      <w:r w:rsidRPr="007E09FD">
        <w:rPr>
          <w:rStyle w:val="1"/>
          <w:rFonts w:ascii="SimSun" w:hAnsi="SimSun" w:hint="eastAsia"/>
          <w:sz w:val="21"/>
          <w:szCs w:val="21"/>
        </w:rPr>
        <w:t>沙特阿拉伯</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D449C5"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D449C5"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Pr="0020457E">
        <w:rPr>
          <w:rFonts w:ascii="SimHei" w:eastAsia="SimHei" w:hAnsi="SimHei"/>
          <w:bCs/>
          <w:sz w:val="21"/>
          <w:szCs w:val="21"/>
          <w:vertAlign w:val="superscript"/>
        </w:rPr>
        <w:footnoteReference w:id="31"/>
      </w:r>
      <w:r w:rsidR="009D5469" w:rsidRPr="009D5469">
        <w:rPr>
          <w:rFonts w:ascii="SimHei" w:eastAsia="SimHei" w:hAnsi="SimHei"/>
          <w:bCs/>
          <w:smallCaps/>
          <w:color w:val="1F497D" w:themeColor="text2"/>
          <w:sz w:val="21"/>
          <w:szCs w:val="21"/>
        </w:rPr>
        <w:t>：</w:t>
      </w:r>
    </w:p>
    <w:p w:rsidR="00D449C5" w:rsidRPr="0020457E"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20457E">
        <w:rPr>
          <w:rFonts w:ascii="SimSun" w:hAnsi="SimSun" w:cs="SimSun" w:hint="eastAsia"/>
          <w:sz w:val="21"/>
        </w:rPr>
        <w:t>因其优越的战略地理位置、多样性的自然资源和繁荣的经济、工业和商业活动，沙特阿拉伯拥有提供最佳知识产权（</w:t>
      </w:r>
      <w:r w:rsidRPr="0020457E">
        <w:rPr>
          <w:rFonts w:ascii="SimSun" w:hAnsi="SimSun" w:hint="eastAsia"/>
          <w:sz w:val="21"/>
        </w:rPr>
        <w:t>IPR</w:t>
      </w:r>
      <w:r w:rsidRPr="0020457E">
        <w:rPr>
          <w:rFonts w:ascii="SimSun" w:hAnsi="SimSun" w:cs="SimSun" w:hint="eastAsia"/>
          <w:sz w:val="21"/>
        </w:rPr>
        <w:t>）保护的雄心壮志。在</w:t>
      </w:r>
      <w:r w:rsidRPr="0020457E">
        <w:rPr>
          <w:rFonts w:ascii="SimSun" w:hAnsi="SimSun"/>
          <w:sz w:val="21"/>
        </w:rPr>
        <w:t>“</w:t>
      </w:r>
      <w:r w:rsidRPr="0020457E">
        <w:rPr>
          <w:rFonts w:ascii="SimSun" w:hAnsi="SimSun" w:hint="eastAsia"/>
          <w:sz w:val="21"/>
        </w:rPr>
        <w:t>2030</w:t>
      </w:r>
      <w:r w:rsidRPr="0020457E">
        <w:rPr>
          <w:rFonts w:ascii="SimSun" w:hAnsi="SimSun" w:cs="SimSun" w:hint="eastAsia"/>
          <w:sz w:val="21"/>
        </w:rPr>
        <w:t>远景规划</w:t>
      </w:r>
      <w:r w:rsidRPr="0020457E">
        <w:rPr>
          <w:rFonts w:ascii="SimSun" w:hAnsi="SimSun"/>
          <w:sz w:val="21"/>
        </w:rPr>
        <w:t>”</w:t>
      </w:r>
      <w:r w:rsidRPr="0020457E">
        <w:rPr>
          <w:rFonts w:ascii="SimSun" w:hAnsi="SimSun" w:cs="SimSun" w:hint="eastAsia"/>
          <w:sz w:val="21"/>
        </w:rPr>
        <w:t>这一宏伟蓝图的激励下，对未来充满希望，沙特阿拉伯寻求为全球企业提供一个更加安全可靠和更具吸引力的商业环境。我们对未来的憧憬，就是要使沙特成为非石油部门的经济大国并向知识经济转化。</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2020国家转型计划。实现向知识经济的转型飞跃并巩固这一成果，乃是沙特阿拉伯政府通过其2020国家转型计划寻求实现的主要目标之一。这将包括制定保护组织和个人的知识产权（IPR）领域的法律、法规并使之现代化，提供一个有助于投资和促进建立创新产业的环境。这样，从另一方面又会在确保知识产权保护的同时，为向沙特阿拉伯转让技术提供便利。</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2020国家转型计划，将建立沙特知识产权委员会，以加强沙特阿拉伯在知识产权保护中的作用并使知识产权相关立法现代化。委员会还将使用户能够注册和维持其知识产权，并为他们提供打击侵权的诉讼措施。委员会还将发挥提高公众的知识产权意识的作用，通过高质量的知识产权计划、知识产权各领域的展览和论坛等方式，促进和鼓励创造与创新。委员会还将加强与知识产权利益攸关者和用户的合作，包括中小型企业总署、阿卜杜勒·阿齐兹国王科技城（KACST）、社会开发银行（SDB）、沙特阿拉伯投资管理总局（SAGIA）、大学和科研中心，以及广大公众成员。</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国际层面上，一方面，由于沙特阿拉伯在全球经济和与各国政府间的贸易关系中作用日益凸显，另一方面，鉴于沙特与外国公司之间的商业伙伴关系，沙特阿拉伯在承诺维护其他权利的同时，通过在相关国际条约、特别是在</w:t>
      </w:r>
      <w:r w:rsidRPr="0020457E">
        <w:rPr>
          <w:rFonts w:ascii="SimSun" w:hAnsi="SimSun" w:cs="SimSun" w:hint="eastAsia"/>
          <w:sz w:val="21"/>
        </w:rPr>
        <w:t>世界</w:t>
      </w:r>
      <w:r w:rsidRPr="009D5469">
        <w:rPr>
          <w:rFonts w:ascii="SimSun" w:hAnsi="SimSun" w:hint="eastAsia"/>
          <w:sz w:val="21"/>
        </w:rPr>
        <w:t>贸易组织（WTO）和世界知识产权组织（WIPO）制定的各项条约和协定中发挥积极作用，热衷于保护其各项权利。</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沙特阿拉伯堪称知识产权领域的佼佼者。</w:t>
      </w:r>
      <w:r w:rsidRPr="00D449C5">
        <w:rPr>
          <w:rFonts w:ascii="SimSun" w:hAnsi="SimSun" w:hint="eastAsia"/>
          <w:sz w:val="21"/>
        </w:rPr>
        <w:t>2016年沙特阿拉伯在世界上跻身全球创新指标（GII）的第49位，在阿拉伯国家中位居第二，在伊斯兰世界位居第四，仅次于马来西亚、阿拉伯联合酋长国和土耳其。它已然超越了一些排名靠前的国家，如巴西和印度，在这方面的排名正逐步提升，从2011</w:t>
      </w:r>
      <w:r w:rsidRPr="00D449C5">
        <w:rPr>
          <w:rFonts w:ascii="SimSun" w:hAnsi="SimSun" w:hint="eastAsia"/>
          <w:sz w:val="21"/>
        </w:rPr>
        <w:lastRenderedPageBreak/>
        <w:t>年的第54名上升到2014年的第38位。然而，去年又退回至第43位。此外，沙特阿拉伯在中东和北非地区排名第五。</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根据国际</w:t>
      </w:r>
      <w:r w:rsidRPr="0020457E">
        <w:rPr>
          <w:rFonts w:ascii="SimSun" w:hAnsi="SimSun" w:cs="SimSun" w:hint="eastAsia"/>
          <w:sz w:val="21"/>
        </w:rPr>
        <w:t>知识产权</w:t>
      </w:r>
      <w:r w:rsidRPr="009D5469">
        <w:rPr>
          <w:rFonts w:ascii="SimSun" w:hAnsi="SimSun" w:hint="eastAsia"/>
          <w:sz w:val="21"/>
        </w:rPr>
        <w:t>指标—《2017创新根源》，沙特阿拉伯名列阿拉伯世界之首，在全球排名第21位。这一指标基于六大支柱：专利、商标、版权、商业秘密、市场准入和批准的国际条约。</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沙特阿拉伯的</w:t>
      </w:r>
      <w:r w:rsidRPr="0020457E">
        <w:rPr>
          <w:rFonts w:ascii="SimSun" w:hAnsi="SimSun" w:cs="SimSun" w:hint="eastAsia"/>
          <w:sz w:val="21"/>
        </w:rPr>
        <w:t>具体</w:t>
      </w:r>
      <w:r w:rsidRPr="009D5469">
        <w:rPr>
          <w:rFonts w:ascii="SimSun" w:hAnsi="SimSun" w:hint="eastAsia"/>
          <w:sz w:val="21"/>
        </w:rPr>
        <w:t>优势：</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可以进行在线专利申请的优越的专利环境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可通过2013机制下的链接系统进行生物药品的专利申请</w:t>
      </w:r>
    </w:p>
    <w:p w:rsidR="00D449C5" w:rsidRPr="009D5469" w:rsidRDefault="00FC3CF9" w:rsidP="00744747">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海关可扣押涉嫌假冒商标的商品。</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沙特阿拉伯努力提高公众的知识产权意识，鼓励创新和创造。这项工作是通过开展各种丰富多彩的活动和计划实施的，其中包括：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举办研讨会、会议和讲习班，提高人们的知识产权意识并树立尊重知识产权的风尚。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通过《全球创新指标》（GII）进行监测，以提高沙特阿拉伯的创新水平：</w:t>
      </w:r>
    </w:p>
    <w:p w:rsidR="00FC3CF9" w:rsidRPr="009D5469" w:rsidRDefault="00FC3CF9" w:rsidP="00391E19">
      <w:pPr>
        <w:pStyle w:val="ListParagraph"/>
        <w:numPr>
          <w:ilvl w:val="1"/>
          <w:numId w:val="7"/>
        </w:numPr>
        <w:spacing w:afterLines="50" w:after="120" w:line="340" w:lineRule="atLeast"/>
        <w:ind w:left="1491" w:hanging="357"/>
        <w:contextualSpacing w:val="0"/>
        <w:jc w:val="both"/>
        <w:rPr>
          <w:rFonts w:ascii="SimSun" w:hAnsi="SimSun"/>
          <w:sz w:val="21"/>
        </w:rPr>
      </w:pPr>
      <w:r w:rsidRPr="009D5469">
        <w:rPr>
          <w:rFonts w:ascii="SimSun" w:hAnsi="SimSun" w:hint="eastAsia"/>
          <w:sz w:val="21"/>
        </w:rPr>
        <w:t>建立一个监测GII情况的国家工作组，旨在提高沙特阿拉伯的创新水平，实现根据2030远景规划制定的2020国家转型计划。</w:t>
      </w:r>
    </w:p>
    <w:p w:rsidR="00FC3CF9" w:rsidRPr="009D5469" w:rsidRDefault="00FC3CF9" w:rsidP="00391E19">
      <w:pPr>
        <w:pStyle w:val="ListParagraph"/>
        <w:numPr>
          <w:ilvl w:val="1"/>
          <w:numId w:val="7"/>
        </w:numPr>
        <w:spacing w:afterLines="50" w:after="120" w:line="340" w:lineRule="atLeast"/>
        <w:ind w:left="1491" w:hanging="357"/>
        <w:contextualSpacing w:val="0"/>
        <w:jc w:val="both"/>
        <w:rPr>
          <w:rFonts w:ascii="SimSun" w:hAnsi="SimSun"/>
          <w:sz w:val="21"/>
        </w:rPr>
      </w:pPr>
      <w:r w:rsidRPr="009D5469">
        <w:rPr>
          <w:rFonts w:ascii="SimSun" w:hAnsi="SimSun" w:hint="eastAsia"/>
          <w:sz w:val="21"/>
        </w:rPr>
        <w:t>就沙特阿拉伯的相关指标与WIPO进行协调。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根据知识产权领域的最新发展，修正和制定旨在支持沙特阿拉伯创新、创造的制度、政策和法律。</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创建面向中小型企业的公共机构，这是一种旨在促进创新发展环境的专门机构。</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将会尽快建立一个在同一组织框架内整合知识产权所有领域的沙特知识产权机构。</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对于为沙特阿拉伯的科学、技术和创新发展做出贡献的发明和人才以及支持向知识社会转型过渡的相关产品设立《两圣寺护法》奖；对科学、技术和智力创作领域的发明家和杰出人才予以鼓励和奖励；促进创作与创新并对人才、才能给予鼓励。</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2017年启动了巴迪尔技术孵化器计划，这是一项旨在加速沙特阿拉伯初创企业发展的全方位的国家计划，。</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启动了一项计划，支持创新、科学和技术理念，为那些有助于解决开发和生产方面相关问题的实用创新点子提供研究经费；该项计划为发展创新提供了财政支助。</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启动职业生涯计划，意在向年轻的企业家提供财政支助；除其他项目以外，本计划还包括一个发明进程项目，该计划旨在借款给那些希望创建自己的初创企业或中小型企业的青年发明家；除旨在支持个体创业和小型企业的四个其他项目外，还有一个实现通信本土化项目，该项目向电信设备及相关配件的贸易和维修领域的微型企业提供财政信贷。</w:t>
      </w:r>
    </w:p>
    <w:p w:rsidR="00D449C5" w:rsidRPr="00391E19" w:rsidRDefault="00FC3CF9" w:rsidP="00391E19">
      <w:pPr>
        <w:pStyle w:val="ONUME"/>
        <w:keepNext/>
        <w:numPr>
          <w:ilvl w:val="0"/>
          <w:numId w:val="0"/>
        </w:numPr>
        <w:overflowPunct w:val="0"/>
        <w:spacing w:afterLines="50" w:after="120" w:line="340" w:lineRule="atLeast"/>
        <w:rPr>
          <w:rFonts w:ascii="SimSun" w:hAnsi="SimSun"/>
          <w:sz w:val="21"/>
          <w:u w:val="single"/>
        </w:rPr>
      </w:pPr>
      <w:r w:rsidRPr="00391E19">
        <w:rPr>
          <w:rFonts w:ascii="SimSun" w:hAnsi="SimSun" w:hint="eastAsia"/>
          <w:sz w:val="21"/>
          <w:u w:val="single"/>
        </w:rPr>
        <w:t>WIPO管理的各项条约和其他活动</w:t>
      </w:r>
    </w:p>
    <w:p w:rsidR="00FC3CF9" w:rsidRPr="00D449C5" w:rsidRDefault="00FC3CF9" w:rsidP="0073025F">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沙特阿拉伯已于1982年签署了《世界知识产权组织公约》并成为一个积极的成员国，它参与了各种活动和实质性会议，包括由高级官员出席的大会</w:t>
      </w:r>
      <w:r w:rsidRPr="00D449C5">
        <w:rPr>
          <w:rFonts w:ascii="SimSun" w:hAnsi="SimSun" w:hint="eastAsia"/>
          <w:sz w:val="21"/>
        </w:rPr>
        <w:t>作为WIPO的成员国，沙特阿拉伯受若干由WIPO或世界贸易组织（WTO）管理的条约的约束：《巴黎公约》，2004年；《伯尔尼公约》，2004年；《专利法条约》（PLT），2013年；以及《TRIPS协定》，2005年。沙特阿拉伯还是WTO的成员。在实施沙特阿拉伯受其约束的由WIPO管理的条约进程中，沙特采取了一系列旨在保护本国和外国各项权利的国家行动，即：</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lastRenderedPageBreak/>
        <w:t>主要的知识产权立法：1.《专利、集成电路布图设计、植物品种和工业品外观设计法》；2.《版权法》；3.《商标法》；4.《商业名称法》；5.《地理标志法》（待定）。</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知识产权的相关立法：1.《基本治理法》；2.《部长理事会章程》；3.《协商理事会法》；4.《公司法》；5.《仲裁法》；6.《关于保密信息与文件的传播和公开的刑法》；7.《反商业欺诈法》；8.《司法法》；9.《申诉委员会法》；10.《反网络犯罪法》；11.《电子交易保护法》；12.《海湾阿拉伯国家合作理事会国家反倾销和补偿及预防措施统一法》；13.《分期付款销售法》；14.《竞争法》；15.《反保密法》；16.《制药设备与产品法》；17.《商业数据法》；18.《农业肥料贸易法》；19.《刑事诉讼程序法》；20.《新闻机构法》；21.《电信法》；22.《印刷品和出版法》23.《伊斯兰教法法庭审判程序法》；24.《商业注册法》；25.《存款法》；26.《行政区法》；27.《法赫德国王国家图书馆法》；28.《申诉委员会审判程序规则》；29.《沙特阿拉伯沙特阿拉伯国旗法》；30.《商业法庭法》；31.《商业机构法》。</w:t>
      </w:r>
    </w:p>
    <w:p w:rsidR="00D449C5" w:rsidRPr="00391E19" w:rsidRDefault="00FC3CF9" w:rsidP="00391E19">
      <w:pPr>
        <w:pStyle w:val="ONUME"/>
        <w:keepNext/>
        <w:numPr>
          <w:ilvl w:val="0"/>
          <w:numId w:val="0"/>
        </w:numPr>
        <w:overflowPunct w:val="0"/>
        <w:spacing w:afterLines="50" w:after="120" w:line="340" w:lineRule="atLeast"/>
        <w:rPr>
          <w:rFonts w:ascii="SimSun" w:hAnsi="SimSun"/>
          <w:sz w:val="21"/>
          <w:u w:val="single"/>
        </w:rPr>
      </w:pPr>
      <w:r w:rsidRPr="00391E19">
        <w:rPr>
          <w:rFonts w:ascii="SimSun" w:hAnsi="SimSun" w:hint="eastAsia"/>
          <w:sz w:val="21"/>
          <w:u w:val="single"/>
        </w:rPr>
        <w:t>知识产权执法</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在保护知识产权方面，取得了重大进展：创建了一个知识产权常设委员会，委员会由若干政府机构组成，并向商务与投资部汇报工作。此外，还建立了多个从事知识产权立法和知识产权管理、调查和执法工作的部门。对司法机关工作人员进行了争端解决方面的培训。</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商务与投资部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该部是保护知识产权的骨干；正因为如此，它对上述常设委员会的工作进行监督，并在其组织结构内设立了商标总局（GAT），负责商标法的实施和审查程序的管理，诸如商标的受理、形式审查和实质审查、注册和商业名称的申请。</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GAT为商标注册和续展提供电子服务；</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组织讲习班和提高认识的活动；</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GAT工作人员由21名职员组成，一名具有硕士学历，八名工作人员为学士学历，另有12人为高中或高中以下学历。</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GAT在2016年开展的主要活动或采取的措施：为商标续展提供新型电子服务；实施GCC《商标法》；增加行政</w:t>
      </w:r>
      <w:r w:rsidRPr="0020457E">
        <w:rPr>
          <w:rFonts w:ascii="SimSun" w:hAnsi="SimSun" w:cs="SimSun" w:hint="eastAsia"/>
          <w:sz w:val="21"/>
        </w:rPr>
        <w:t>工作人员</w:t>
      </w:r>
      <w:r w:rsidRPr="009D5469">
        <w:rPr>
          <w:rFonts w:ascii="SimSun" w:hAnsi="SimSun" w:hint="eastAsia"/>
          <w:sz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GAT在2017年的举措：GAT服务的全自动化；向客户提供新的服务，即：注册代理人和申诉及上诉服务。</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文化与信息部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该部掌管知识产权的一个主要分支，监督负责实施《版权法》的版权总局（GAC）的工作。为此目的，创建了以下专业性的行政管理部门：1.文学作品保护部门；2.艺术作品保护部门；3.计算机作品保护部门；4.审查和检查部门；5.国际组织、公共关系和培训部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自从沙特阿拉伯加入世贸组织以来，GAC一直努力执行《版权法》、《伯尔尼公约》和TRIPS协定所规定的各项义务。鼓励政府</w:t>
      </w:r>
      <w:r w:rsidRPr="0020457E">
        <w:rPr>
          <w:rFonts w:ascii="SimSun" w:hAnsi="SimSun" w:cs="SimSun" w:hint="eastAsia"/>
          <w:sz w:val="21"/>
        </w:rPr>
        <w:t>机构</w:t>
      </w:r>
      <w:r w:rsidRPr="009D5469">
        <w:rPr>
          <w:rFonts w:ascii="SimSun" w:hAnsi="SimSun" w:hint="eastAsia"/>
          <w:sz w:val="21"/>
        </w:rPr>
        <w:t>只使用</w:t>
      </w:r>
      <w:r w:rsidRPr="0020457E">
        <w:rPr>
          <w:rFonts w:ascii="SimSun" w:hAnsi="SimSun" w:cs="SimSun" w:hint="eastAsia"/>
          <w:sz w:val="21"/>
        </w:rPr>
        <w:t>原创</w:t>
      </w:r>
      <w:r w:rsidRPr="009D5469">
        <w:rPr>
          <w:rFonts w:ascii="SimSun" w:hAnsi="SimSun" w:hint="eastAsia"/>
          <w:sz w:val="21"/>
        </w:rPr>
        <w:t>作品，在计算机程序的使用上尤其秉承这一原则。</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针对在其业务中使用计算机程序的所有商业单位开展检查活动，以核查它们是否使用了原创计算机程序；对违法行为实施制裁并对要求使用原创程序的单位签发了禁制令。</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GAC参与了检举起诉罪犯的安全运动。在沙特阿拉伯全国各地，查明了一大批盗版窝点。违法行径包括非法复制各种智力作品，诸如计算机程序、电影、音频作品和对卫星电视频道密码的非法解密。</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GAC确保在</w:t>
      </w:r>
      <w:r w:rsidRPr="0020457E">
        <w:rPr>
          <w:rFonts w:ascii="SimSun" w:hAnsi="SimSun" w:cs="SimSun" w:hint="eastAsia"/>
          <w:sz w:val="21"/>
        </w:rPr>
        <w:t>市场</w:t>
      </w:r>
      <w:r w:rsidRPr="009D5469">
        <w:rPr>
          <w:rFonts w:ascii="SimSun" w:hAnsi="SimSun" w:hint="eastAsia"/>
          <w:sz w:val="21"/>
        </w:rPr>
        <w:t>的全天候在岗执勤；现场检查人员掌握第一手违规的商业和信息活动。</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D449C5">
        <w:rPr>
          <w:rFonts w:ascii="SimSun" w:hAnsi="SimSun"/>
          <w:sz w:val="21"/>
        </w:rPr>
        <w:t>G</w:t>
      </w:r>
      <w:r w:rsidRPr="009D5469">
        <w:rPr>
          <w:rFonts w:ascii="SimSun" w:hAnsi="SimSun" w:hint="eastAsia"/>
          <w:sz w:val="21"/>
        </w:rPr>
        <w:t>AC取得的</w:t>
      </w:r>
      <w:r w:rsidRPr="0020457E">
        <w:rPr>
          <w:rFonts w:ascii="SimSun" w:hAnsi="SimSun" w:cs="SimSun" w:hint="eastAsia"/>
          <w:sz w:val="21"/>
        </w:rPr>
        <w:t>主要</w:t>
      </w:r>
      <w:r w:rsidRPr="009D5469">
        <w:rPr>
          <w:rFonts w:ascii="SimSun" w:hAnsi="SimSun" w:hint="eastAsia"/>
          <w:sz w:val="21"/>
        </w:rPr>
        <w:t>成绩：</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缩短了侵权案例的审查周期，在利雅得和吉达设立的两个委员会，使待审期从案例掌控之日起降至两个月。</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鉴于知识产权意识目前已成为商业惯例不可或缺的组成部分，已指示上述两个委员会逐年增加侵权罚款。</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向申诉委员会（BoG）提起的具有震慑性的制裁案例，除非被BoG推翻，否则罚款将超过100,000沙特里亚尔或可招致牢狱之灾。</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采取措施确保适当监管销售卫星设备和电视频道解密卡的商店。在近几个月内，预计将关闭所有这类未经文化与信息部（MCI）认可或违反相关法律、法规的商店。</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定期传播有关侵权和制裁措施方面的信息并公开曝光对非法复制或假冒作品进行处置的视频内容。</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GAC 2016/17年举措：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在MCI网站为GAC划拨专用网络空间，使权利持有人能够在线提交申请、跟踪进度并检测其投诉结果。对该网站目前正在进行改进，以满足GAC的需求并可与权利持有人进行深入互动。</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增强人力资源，对权利人举报的非法利用知识产权作品的商业活动要加倍进行实地检查。</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在国家研讨会和讲习班上提供工作文件。</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阿卜杜勒·阿齐兹国王科技城（KACST）</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20457E">
        <w:rPr>
          <w:rFonts w:ascii="SimSun" w:hAnsi="SimSun" w:cs="SimSun" w:hint="eastAsia"/>
          <w:sz w:val="21"/>
        </w:rPr>
        <w:t>阿卜杜拉·阿齐兹</w:t>
      </w:r>
      <w:r w:rsidRPr="009D5469">
        <w:rPr>
          <w:rFonts w:ascii="SimSun" w:hAnsi="SimSun" w:hint="eastAsia"/>
          <w:sz w:val="21"/>
        </w:rPr>
        <w:t>国王科技城（KACST）是沙特阿拉伯的创新基石，包括沙特专利局（SPO），其主要特色包括：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负责实施《发明、集成电路布图设计、植物品种和工业品外观设计法》。</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负责在沙特阿拉伯受理、审查和授予发明及植物品种专利，并为集成电路布图设计和工业品外观设计颁发证书。</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在电子程序环境下全面运营。</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提供专门知识领域的一般和专业课程及讲习班。</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促进高等院校与技术与创新支助中心（TISC）之间的伙伴关系，推动创新和技术转让。</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有136名工作人员，男性122人，女性14人，分别持有以下学历：博士（1）；硕士学位（27）；知识产权硕士学位（3）；学士（68）；拥有毕业文凭或学历更低者（37）。</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157名雇员在2015/16年期间，从WIPO学院提供的11门远程学习课程中受益。</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八名学员注册参加了夏季班的学校课程。</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SPO主要成绩和举措：1.推特@Kacst_SPO；2.电子申请和管理系统；3.智能设备应用程序；4.用于专利和</w:t>
      </w:r>
      <w:r w:rsidRPr="0020457E">
        <w:rPr>
          <w:rFonts w:ascii="SimSun" w:hAnsi="SimSun" w:cs="SimSun" w:hint="eastAsia"/>
          <w:sz w:val="21"/>
        </w:rPr>
        <w:t>工业品</w:t>
      </w:r>
      <w:r w:rsidRPr="009D5469">
        <w:rPr>
          <w:rFonts w:ascii="SimSun" w:hAnsi="SimSun" w:hint="eastAsia"/>
          <w:sz w:val="21"/>
        </w:rPr>
        <w:t>外观设计审查的《手册》；5.翻译了洛迦诺分类；6.《行政管理程序指南》；7.从视觉上使SPO更加令人瞩目（设计完成了其logo和网站）；以及8.获得了ISO 9001:2008认证。</w:t>
      </w:r>
    </w:p>
    <w:p w:rsidR="00FC3CF9" w:rsidRPr="00D449C5" w:rsidRDefault="00FC3CF9" w:rsidP="00C576CA">
      <w:pPr>
        <w:pStyle w:val="ONUME"/>
        <w:keepNext/>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正在</w:t>
      </w:r>
      <w:r w:rsidRPr="0020457E">
        <w:rPr>
          <w:rFonts w:ascii="SimSun" w:hAnsi="SimSun" w:cs="SimSun" w:hint="eastAsia"/>
          <w:sz w:val="21"/>
        </w:rPr>
        <w:t>付诸实施</w:t>
      </w:r>
      <w:r w:rsidRPr="009D5469">
        <w:rPr>
          <w:rFonts w:ascii="SimSun" w:hAnsi="SimSun" w:hint="eastAsia"/>
          <w:sz w:val="21"/>
        </w:rPr>
        <w:t>的举措：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与司法部和沙特律师协会合作推出了《专利代理人和律师许可条例》（根据相关的法律、法规制定）。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为中小企业提供知识产权管理方面的培训计划。</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为研究机构制定知识产权政策。</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促进获取专利信息以推动创新和创造。</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为培训者计划设计知识产权培训方案。</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建立与各专利局交流审查报告的平台。</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起草最新版的专利和工业品外观设计手册。</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开发供专利使用的翻译引擎（阿文–英文）。</w:t>
      </w:r>
    </w:p>
    <w:p w:rsidR="00FC3CF9"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SPO与WIPO在2017/18年度的主要合作活动：1.与WIPO学院、各高等院校和国家知识产权局共同举办硕士</w:t>
      </w:r>
      <w:r w:rsidRPr="0020457E">
        <w:rPr>
          <w:rFonts w:ascii="SimSun" w:hAnsi="SimSun" w:cs="SimSun" w:hint="eastAsia"/>
          <w:sz w:val="21"/>
        </w:rPr>
        <w:t>学位</w:t>
      </w:r>
      <w:r w:rsidRPr="009D5469">
        <w:rPr>
          <w:rFonts w:ascii="SimSun" w:hAnsi="SimSun" w:hint="eastAsia"/>
          <w:sz w:val="21"/>
        </w:rPr>
        <w:t>课程；2.初创企业学术项目；3.编制知识产权教学材料；4.制定专利代理人许可证；5.WIPO-WEF发明人援助计划；</w:t>
      </w:r>
      <w:r w:rsidRPr="009D5469">
        <w:rPr>
          <w:rFonts w:ascii="SimSun" w:hAnsi="SimSun"/>
          <w:sz w:val="21"/>
        </w:rPr>
        <w:t>6.WIPO GREEN</w:t>
      </w:r>
      <w:r w:rsidRPr="009D5469">
        <w:rPr>
          <w:rFonts w:ascii="SimSun" w:hAnsi="SimSun" w:hint="eastAsia"/>
          <w:sz w:val="21"/>
        </w:rPr>
        <w:t>；</w:t>
      </w:r>
      <w:r w:rsidRPr="009D5469">
        <w:rPr>
          <w:rFonts w:ascii="SimSun" w:hAnsi="SimSun"/>
          <w:sz w:val="21"/>
        </w:rPr>
        <w:t>7.WIPO Re:Search</w:t>
      </w:r>
      <w:r w:rsidRPr="009D5469">
        <w:rPr>
          <w:rFonts w:ascii="SimSun" w:hAnsi="SimSun" w:hint="eastAsia"/>
          <w:sz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与其他主管局之间的合作协议：(i)SPO（KACST）与欧洲专利局（EPO）之间的合作谅解备忘录——进入完成的最后阶段；(ii)摩洛哥工业与商业产权局（OMPIC）与SPO（KACST）之间的合作计划；以及(iii)中国国家知识产权局（SIPO）与沙特阿拉伯SPO（KACST）在沙特阿拉伯签订的谅解备忘录。</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财政部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海关部门（DoC）是财政部授权保护知识产权（IPR）以防止伪劣假冒商品进入沙特阿拉伯的代表机构。为此，DoC已会同30名报关代理人，增强了其知识产权的工作力度，在沙特阿拉伯的每个海关入口点，都派驻了3名左右的报关代理人。在防止欺诈、假冒和知识产权保护等方面对代理人进行了培训。</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DoC的活动与举措：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为报关代理人举办了专门知识领域的一般性和专业性的讲习班，468人从中受益。</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举办了吸纳相关利益攸关者参与的二年一次的知识产权会议。</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举办了两年一次的云集了本地区各国相关专家的高级别知识产权论坛。</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为在知识产权保护中作出杰出贡献者颁发世界海关组织（WCO）奖。</w:t>
      </w:r>
    </w:p>
    <w:p w:rsidR="00D449C5" w:rsidRPr="00391E19" w:rsidRDefault="00FC3CF9" w:rsidP="00391E19">
      <w:pPr>
        <w:pStyle w:val="ONUME"/>
        <w:keepNext/>
        <w:numPr>
          <w:ilvl w:val="0"/>
          <w:numId w:val="0"/>
        </w:numPr>
        <w:spacing w:afterLines="50" w:after="120" w:line="340" w:lineRule="atLeast"/>
        <w:rPr>
          <w:rFonts w:ascii="KaiTi" w:eastAsia="KaiTi" w:hAnsi="KaiTi"/>
          <w:iCs/>
          <w:sz w:val="21"/>
        </w:rPr>
      </w:pPr>
      <w:r w:rsidRPr="00391E19">
        <w:rPr>
          <w:rFonts w:ascii="KaiTi" w:eastAsia="KaiTi" w:hAnsi="KaiTi" w:hint="eastAsia"/>
          <w:iCs/>
          <w:sz w:val="21"/>
        </w:rPr>
        <w:t>申诉委员会（BoG）</w:t>
      </w:r>
    </w:p>
    <w:p w:rsidR="00FC3CF9"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申诉委员会（BoG）是负责审查个人对行政裁决不满并对与知识产权相关的商业和刑事纠纷作出裁定的司法机构。然而，2016年这一刑法权限被移交给公共司法机构的刑事法庭；在公共司法框架内建立对口法庭之前，BoG只剩下处理商业争端的权限。此外，BoG还开启了司法博客，对相关内容进行重新组合，这些内容涉及了所有与知识产权相关的商业和刑事司法判例，除其他事项外，还包括在注册被驳回或撤销后对公共机构提起诉讼的行政裁决。司法博客网址：</w:t>
      </w:r>
      <w:r w:rsidRPr="009D5469">
        <w:rPr>
          <w:rFonts w:ascii="SimSun" w:hAnsi="SimSun"/>
          <w:sz w:val="21"/>
        </w:rPr>
        <w:t>http://www.bog.gov.sa/</w:t>
      </w:r>
      <w:r w:rsidR="0073025F">
        <w:rPr>
          <w:rFonts w:ascii="SimSun" w:hAnsi="SimSun"/>
          <w:sz w:val="21"/>
        </w:rPr>
        <w:t>‌</w:t>
      </w:r>
      <w:r w:rsidRPr="009D5469">
        <w:rPr>
          <w:rFonts w:ascii="SimSun" w:hAnsi="SimSun"/>
          <w:sz w:val="21"/>
        </w:rPr>
        <w:t>ScientificContent/JudicialBlogs/Pages/default.aspx</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最后，BoG努力在2020沙特阿拉伯国际转型计划的指引下，通过组建沙特知识产权局，加强它在实施各项知识产权法中的能力。</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沙特阿拉伯在一元化的财政和行政独立的体制内，在充实完善知识产权课题方面取得了长足进步。我们将期待着与WIPO合作，共同打造一个统一的战略。</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沙特阿拉伯在全球经济和政治上的影响力举足轻重。它是大多数国际组织的主要和最重要的成员，其中包括：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20国集团。</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联合国。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阿拉伯国家联盟。</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阿拉伯国家海湾合作理事会（GCC）（东道国）。GCC设有一个服务其六个成员国的地区专利局。</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不结盟运动。</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世界穆斯林联盟（东道国）。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伊斯兰合作组织（东道国）。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国际货币基金组织。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世界知识产权组织。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世界贸易组织。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石油输出国组织（OPEC）。</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联合国教育、科学及文化组织。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世界海关组织。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国际海事组织。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世界旅游组织。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国际原子能机构。</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世界卫生组织。</w:t>
      </w:r>
    </w:p>
    <w:p w:rsidR="00D449C5" w:rsidRDefault="00FC3CF9" w:rsidP="00391E19">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沙特阿拉伯未被列入因不尊重知识产权而受到任何国际限制的清单内。例如，沙特阿拉伯没有被列入</w:t>
      </w:r>
      <w:r w:rsidRPr="00391E19">
        <w:rPr>
          <w:rFonts w:ascii="SimSun" w:hAnsi="SimSun" w:cs="SimSun" w:hint="eastAsia"/>
          <w:sz w:val="21"/>
        </w:rPr>
        <w:t>美国贸易代表办公室</w:t>
      </w:r>
      <w:r w:rsidRPr="009D5469">
        <w:rPr>
          <w:rFonts w:ascii="SimSun" w:hAnsi="SimSun" w:hint="eastAsia"/>
          <w:sz w:val="21"/>
        </w:rPr>
        <w:t>特别301观察名单。此外，根据世界海关组织（WCO）的统计，沙特已连续两年位居全球跨境查没假冒伪劣商品国家榜单的第二位。</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Pr="00C576CA">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C576C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73025F">
      <w:pPr>
        <w:spacing w:afterLines="50" w:after="120" w:line="340" w:lineRule="atLeast"/>
        <w:rPr>
          <w:rFonts w:ascii="KaiTi" w:eastAsia="KaiTi" w:hAnsi="KaiTi"/>
          <w:iCs/>
          <w:sz w:val="21"/>
        </w:rPr>
      </w:pPr>
      <w:r w:rsidRPr="009D5469">
        <w:rPr>
          <w:rFonts w:ascii="KaiTi" w:eastAsia="KaiTi" w:hAnsi="KaiTi"/>
          <w:iCs/>
          <w:sz w:val="21"/>
        </w:rPr>
        <w:t>[</w:t>
      </w:r>
      <w:r w:rsidRPr="009D5469">
        <w:rPr>
          <w:rFonts w:ascii="KaiTi" w:eastAsia="KaiTi" w:hAnsi="KaiTi" w:cs="SimSun" w:hint="eastAsia"/>
          <w:iCs/>
          <w:sz w:val="21"/>
        </w:rPr>
        <w:t>见</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iCs/>
          <w:sz w:val="21"/>
        </w:rPr>
        <w:t>部分</w:t>
      </w:r>
      <w:r w:rsidRPr="009D5469">
        <w:rPr>
          <w:rFonts w:ascii="KaiTi" w:eastAsia="KaiTi" w:hAnsi="KaiTi"/>
          <w:iCs/>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Pr="00C576CA">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576CA">
        <w:rPr>
          <w:rFonts w:ascii="SimHei" w:eastAsia="SimHei" w:hAnsi="SimHei"/>
          <w:bCs/>
          <w:smallCaps/>
          <w:color w:val="1F497D" w:themeColor="text2"/>
          <w:sz w:val="21"/>
          <w:szCs w:val="21"/>
          <w:vertAlign w:val="superscript"/>
        </w:rPr>
        <w:footnoteReference w:id="32"/>
      </w:r>
      <w:r w:rsidRPr="006D5C33">
        <w:rPr>
          <w:rFonts w:ascii="SimHei" w:eastAsia="SimHei" w:hAnsi="SimHei" w:hint="eastAsia"/>
          <w:bCs/>
          <w:smallCaps/>
          <w:color w:val="1F497D" w:themeColor="text2"/>
          <w:sz w:val="21"/>
          <w:szCs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目前正探索制定一系列战略，向有助于发展的知识经济迈进。本着这一精神，我们过去几年在所有的独立行政区，都建立了很多大学、经济与工业城以及科技中心。这种努力鼓励大学与诸如阿美石油公司、沙特基础工业公司等大型企业，共同创建了专门从事知识产权工作的单位，促进和保护创新、创造。在沙特阿拉伯开设产权驻外办事处，将有助于在上述工作基础上更上一层楼，加强</w:t>
      </w:r>
      <w:r w:rsidRPr="009D5469">
        <w:rPr>
          <w:rFonts w:ascii="SimSun" w:hAnsi="SimSun" w:hint="eastAsia"/>
          <w:sz w:val="21"/>
        </w:rPr>
        <w:t>WIPO</w:t>
      </w:r>
      <w:r w:rsidRPr="009D5469">
        <w:rPr>
          <w:rFonts w:ascii="SimSun" w:hAnsi="SimSun" w:cs="SimSun" w:hint="eastAsia"/>
          <w:sz w:val="21"/>
        </w:rPr>
        <w:t>与这些机构之间的直接合作和协作。</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lastRenderedPageBreak/>
        <w:t>此外，沙特阿拉伯已制定了国家发展战略（</w:t>
      </w:r>
      <w:r w:rsidRPr="009D5469">
        <w:rPr>
          <w:rFonts w:ascii="SimSun" w:hAnsi="SimSun" w:hint="eastAsia"/>
          <w:sz w:val="21"/>
        </w:rPr>
        <w:t>2030</w:t>
      </w:r>
      <w:r w:rsidRPr="009D5469">
        <w:rPr>
          <w:rFonts w:ascii="SimSun" w:hAnsi="SimSun" w:cs="SimSun" w:hint="eastAsia"/>
          <w:sz w:val="21"/>
        </w:rPr>
        <w:t>沙特远景规划），以此作为使本国成为全球非石油经济体强国之一的转折点。</w:t>
      </w:r>
      <w:r w:rsidRPr="009D5469">
        <w:rPr>
          <w:rFonts w:ascii="SimSun" w:hAnsi="SimSun" w:hint="eastAsia"/>
          <w:sz w:val="21"/>
        </w:rPr>
        <w:t>WIPO</w:t>
      </w:r>
      <w:r w:rsidRPr="009D5469">
        <w:rPr>
          <w:rFonts w:ascii="SimSun" w:hAnsi="SimSun" w:cs="SimSun" w:hint="eastAsia"/>
          <w:sz w:val="21"/>
        </w:rPr>
        <w:t>驻外办事处的设立，将有助于实现这一愿景：</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强化中小型企业的能力；</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确保为创新、创造营造有助于学习的环境；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建立有价值的技术型初创企业；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促进外国投资；以及</w:t>
      </w:r>
    </w:p>
    <w:p w:rsidR="00D449C5"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强化与知识产权息息相关和具有杠杆效应的机制。</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C576C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特阿拉伯是一系列重要的海湾和伊斯兰组织的东道国，即：海湾阿拉伯国家合作委员会（</w:t>
      </w:r>
      <w:r w:rsidRPr="009D5469">
        <w:rPr>
          <w:rFonts w:ascii="SimSun" w:hAnsi="SimSun" w:hint="eastAsia"/>
          <w:sz w:val="21"/>
        </w:rPr>
        <w:t>GCC</w:t>
      </w:r>
      <w:r w:rsidRPr="009D5469">
        <w:rPr>
          <w:rFonts w:ascii="SimSun" w:hAnsi="SimSun" w:cs="SimSun" w:hint="eastAsia"/>
          <w:sz w:val="21"/>
        </w:rPr>
        <w:t>）总秘书处、伊斯兰合作组织（</w:t>
      </w:r>
      <w:r w:rsidRPr="009D5469">
        <w:rPr>
          <w:rFonts w:ascii="SimSun" w:hAnsi="SimSun" w:hint="eastAsia"/>
          <w:sz w:val="21"/>
        </w:rPr>
        <w:t>OIC</w:t>
      </w:r>
      <w:r w:rsidRPr="009D5469">
        <w:rPr>
          <w:rFonts w:ascii="SimSun" w:hAnsi="SimSun" w:cs="SimSun" w:hint="eastAsia"/>
          <w:sz w:val="21"/>
        </w:rPr>
        <w:t>）、伊斯兰开发银行（</w:t>
      </w:r>
      <w:r w:rsidRPr="009D5469">
        <w:rPr>
          <w:rFonts w:ascii="SimSun" w:hAnsi="SimSun" w:hint="eastAsia"/>
          <w:sz w:val="21"/>
        </w:rPr>
        <w:t>IDB</w:t>
      </w:r>
      <w:r w:rsidRPr="009D5469">
        <w:rPr>
          <w:rFonts w:ascii="SimSun" w:hAnsi="SimSun" w:cs="SimSun" w:hint="eastAsia"/>
          <w:sz w:val="21"/>
        </w:rPr>
        <w:t>）和海湾合作委员会专利局（</w:t>
      </w:r>
      <w:r w:rsidRPr="009D5469">
        <w:rPr>
          <w:rFonts w:ascii="SimSun" w:hAnsi="SimSun" w:hint="eastAsia"/>
          <w:sz w:val="21"/>
        </w:rPr>
        <w:t>GCCPO</w:t>
      </w:r>
      <w:r w:rsidRPr="009D5469">
        <w:rPr>
          <w:rFonts w:ascii="SimSun" w:hAnsi="SimSun" w:cs="SimSun" w:hint="eastAsia"/>
          <w:sz w:val="21"/>
        </w:rPr>
        <w:t>）。在沙特阿拉伯开设产权驻外办事处将会加强和促进与这些组织的合作与交流。</w:t>
      </w:r>
    </w:p>
    <w:p w:rsidR="00D449C5" w:rsidRDefault="00FC3CF9" w:rsidP="0073025F">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沙特阿拉伯是20国集团成员；产权驻外办事处将有助于通过提出和讨论与知识产权相关的问题，与WIPO进一步加强合作，这些问题诸如向知识经济转型或分别通过G20和阿拉伯集团探讨国际和地区层面上的技术转让。</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C576CA">
        <w:rPr>
          <w:rFonts w:ascii="SimHei" w:eastAsia="SimHei" w:hAnsi="SimHei"/>
          <w:bCs/>
          <w:smallCaps/>
          <w:sz w:val="21"/>
          <w:szCs w:val="21"/>
          <w:vertAlign w:val="superscript"/>
        </w:rPr>
        <w:footnoteReference w:id="33"/>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4B5FD0">
      <w:pPr>
        <w:keepNext/>
        <w:spacing w:afterLines="50" w:after="120" w:line="340" w:lineRule="atLeast"/>
        <w:rPr>
          <w:rFonts w:ascii="KaiTi" w:eastAsia="KaiTi" w:hAnsi="KaiTi"/>
          <w:sz w:val="21"/>
        </w:rPr>
      </w:pPr>
      <w:r w:rsidRPr="009D5469">
        <w:rPr>
          <w:rFonts w:ascii="KaiTi" w:eastAsia="KaiTi" w:hAnsi="KaiTi"/>
          <w:sz w:val="21"/>
        </w:rPr>
        <w:t>[</w:t>
      </w:r>
      <w:r w:rsidRPr="009D5469">
        <w:rPr>
          <w:rFonts w:ascii="KaiTi" w:eastAsia="KaiTi" w:hAnsi="KaiTi" w:cs="SimSun" w:hint="eastAsia"/>
          <w:sz w:val="21"/>
        </w:rPr>
        <w:t>未提供拟作贡献的说明</w:t>
      </w:r>
      <w:r w:rsidRPr="009D5469">
        <w:rPr>
          <w:rFonts w:ascii="KaiTi" w:eastAsia="KaiTi" w:hAnsi="KaiTi"/>
          <w:sz w:val="21"/>
        </w:rPr>
        <w:t>]</w:t>
      </w:r>
    </w:p>
    <w:p w:rsidR="00FC3CF9" w:rsidRPr="00D449C5" w:rsidRDefault="00FC3CF9" w:rsidP="00FC3CF9">
      <w:pPr>
        <w:ind w:left="1440"/>
        <w:rPr>
          <w:rFonts w:ascii="SimSun" w:hAnsi="SimSun"/>
          <w:sz w:val="21"/>
        </w:rPr>
      </w:pPr>
    </w:p>
    <w:p w:rsidR="00FC3CF9" w:rsidRPr="00D449C5" w:rsidRDefault="00FC3CF9" w:rsidP="00FC3CF9">
      <w:pPr>
        <w:jc w:val="both"/>
        <w:rPr>
          <w:rFonts w:ascii="SimSun" w:hAnsi="SimSun"/>
          <w:sz w:val="21"/>
        </w:rPr>
        <w:sectPr w:rsidR="00FC3CF9" w:rsidRPr="00D449C5" w:rsidSect="00F85B4A">
          <w:footerReference w:type="default" r:id="rId29"/>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C8168D">
        <w:rPr>
          <w:rFonts w:ascii="SimHei" w:eastAsia="SimHei" w:hAnsi="SimHei"/>
          <w:bCs/>
          <w:smallCaps/>
          <w:sz w:val="21"/>
          <w:vertAlign w:val="superscript"/>
        </w:rPr>
        <w:footnoteReference w:id="34"/>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
          <w:rFonts w:ascii="SimSun" w:hAnsi="SimSun"/>
          <w:sz w:val="21"/>
          <w:szCs w:val="21"/>
        </w:rPr>
      </w:pPr>
      <w:r w:rsidRPr="007E09FD">
        <w:rPr>
          <w:rStyle w:val="1"/>
          <w:rFonts w:ascii="SimSun" w:hAnsi="SimSun" w:hint="eastAsia"/>
          <w:sz w:val="21"/>
          <w:szCs w:val="21"/>
        </w:rPr>
        <w:t>土耳其</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[该提案提及]设想中的土耳其驻外办事处将具有地区性。</w:t>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[不清楚该提案包括哪些国家，也不清楚该提案得到哪些国家支持。]</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Pr="00C8168D">
        <w:rPr>
          <w:rFonts w:ascii="SimHei" w:eastAsia="SimHei" w:hAnsi="SimHei"/>
          <w:bCs/>
          <w:sz w:val="21"/>
          <w:szCs w:val="21"/>
          <w:vertAlign w:val="superscript"/>
        </w:rPr>
        <w:footnoteReference w:id="35"/>
      </w:r>
      <w:r w:rsidR="009D5469" w:rsidRPr="009D5469">
        <w:rPr>
          <w:rFonts w:ascii="SimHei" w:eastAsia="SimHei" w:hAnsi="SimHei"/>
          <w:bCs/>
          <w:smallCaps/>
          <w:color w:val="1F497D" w:themeColor="text2"/>
          <w:sz w:val="21"/>
          <w:szCs w:val="21"/>
        </w:rPr>
        <w:t>：</w:t>
      </w:r>
    </w:p>
    <w:p w:rsidR="00D449C5" w:rsidRPr="00C8168D"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C8168D">
        <w:rPr>
          <w:rFonts w:ascii="SimSun" w:hAnsi="SimSun" w:hint="eastAsia"/>
          <w:sz w:val="21"/>
        </w:rPr>
        <w:t>2008年，土耳其政府宣布了一项行动计划，表明知识产权保护是土耳其经济发展的主要关切。这一声明带动了知识产权制度的新发展。</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A653D7">
        <w:rPr>
          <w:noProof/>
          <w:lang w:eastAsia="en-US"/>
        </w:rPr>
        <mc:AlternateContent>
          <mc:Choice Requires="wps">
            <w:drawing>
              <wp:anchor distT="0" distB="0" distL="114300" distR="114300" simplePos="0" relativeHeight="251665408" behindDoc="1" locked="0" layoutInCell="1" allowOverlap="1" wp14:anchorId="6D68F468" wp14:editId="6E7521DB">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66" w:rsidRDefault="00CD6A66" w:rsidP="00FC3CF9">
                            <w:pPr>
                              <w:spacing w:line="150" w:lineRule="exact"/>
                              <w:ind w:right="-63"/>
                              <w:rPr>
                                <w:rFonts w:ascii="Times New Roman" w:eastAsia="Times New Roman" w:hAnsi="Times New Roman" w:cs="Times New Roman"/>
                                <w:sz w:val="15"/>
                                <w:szCs w:val="15"/>
                              </w:rPr>
                            </w:pPr>
                            <w:r w:rsidRPr="00D449C5">
                              <w:rPr>
                                <w:rFonts w:ascii="KaiTi" w:eastAsia="KaiTi" w:hAnsi="KaiTi" w:cs="Times New Roman"/>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CD6A66" w:rsidRDefault="00CD6A66" w:rsidP="00FC3CF9">
                      <w:pPr>
                        <w:spacing w:line="150" w:lineRule="exact"/>
                        <w:ind w:right="-63"/>
                        <w:rPr>
                          <w:rFonts w:ascii="Times New Roman" w:eastAsia="Times New Roman" w:hAnsi="Times New Roman" w:cs="Times New Roman"/>
                          <w:sz w:val="15"/>
                          <w:szCs w:val="15"/>
                        </w:rPr>
                      </w:pPr>
                      <w:r w:rsidRPr="00D449C5">
                        <w:rPr>
                          <w:rFonts w:ascii="KaiTi" w:eastAsia="KaiTi" w:hAnsi="KaiTi" w:cs="Times New Roman"/>
                          <w:color w:val="3F3F3F"/>
                          <w:w w:val="133"/>
                          <w:sz w:val="15"/>
                          <w:szCs w:val="15"/>
                        </w:rPr>
                        <w:t>,</w:t>
                      </w:r>
                    </w:p>
                  </w:txbxContent>
                </v:textbox>
                <w10:wrap anchorx="page"/>
              </v:shape>
            </w:pict>
          </mc:Fallback>
        </mc:AlternateContent>
      </w:r>
      <w:r w:rsidRPr="009D5469">
        <w:rPr>
          <w:rFonts w:ascii="SimSun" w:hAnsi="SimSun" w:hint="eastAsia"/>
          <w:sz w:val="21"/>
        </w:rPr>
        <w:t>“</w:t>
      </w:r>
      <w:r w:rsidRPr="009D5469">
        <w:rPr>
          <w:rFonts w:ascii="SimSun" w:hAnsi="SimSun" w:cs="SimSun" w:hint="eastAsia"/>
          <w:sz w:val="21"/>
        </w:rPr>
        <w:t>专门委员会报告</w:t>
      </w:r>
      <w:r w:rsidRPr="009D5469">
        <w:rPr>
          <w:rFonts w:ascii="SimSun" w:hAnsi="SimSun"/>
          <w:sz w:val="21"/>
        </w:rPr>
        <w:t>”</w:t>
      </w:r>
      <w:r w:rsidRPr="009D5469">
        <w:rPr>
          <w:rFonts w:ascii="SimSun" w:hAnsi="SimSun" w:cs="SimSun" w:hint="eastAsia"/>
          <w:sz w:val="21"/>
        </w:rPr>
        <w:t>以及</w:t>
      </w:r>
      <w:r w:rsidRPr="009D5469">
        <w:rPr>
          <w:rFonts w:ascii="SimSun" w:hAnsi="SimSun"/>
          <w:sz w:val="21"/>
        </w:rPr>
        <w:t>“</w:t>
      </w:r>
      <w:r w:rsidRPr="009D5469">
        <w:rPr>
          <w:rFonts w:ascii="SimSun" w:hAnsi="SimSun" w:cs="SimSun" w:hint="eastAsia"/>
          <w:sz w:val="21"/>
        </w:rPr>
        <w:t>第</w:t>
      </w:r>
      <w:r w:rsidRPr="009D5469">
        <w:rPr>
          <w:rFonts w:ascii="SimSun" w:hAnsi="SimSun" w:hint="eastAsia"/>
          <w:sz w:val="21"/>
        </w:rPr>
        <w:t>7</w:t>
      </w:r>
      <w:r w:rsidRPr="009D5469">
        <w:rPr>
          <w:rFonts w:ascii="SimSun" w:hAnsi="SimSun" w:cs="SimSun" w:hint="eastAsia"/>
          <w:sz w:val="21"/>
        </w:rPr>
        <w:t>、第</w:t>
      </w:r>
      <w:r w:rsidRPr="009D5469">
        <w:rPr>
          <w:rFonts w:ascii="SimSun" w:hAnsi="SimSun" w:hint="eastAsia"/>
          <w:sz w:val="21"/>
        </w:rPr>
        <w:t>8</w:t>
      </w:r>
      <w:r w:rsidRPr="009D5469">
        <w:rPr>
          <w:rFonts w:ascii="SimSun" w:hAnsi="SimSun" w:cs="SimSun" w:hint="eastAsia"/>
          <w:sz w:val="21"/>
        </w:rPr>
        <w:t>和第</w:t>
      </w:r>
      <w:r w:rsidRPr="009D5469">
        <w:rPr>
          <w:rFonts w:ascii="SimSun" w:hAnsi="SimSun" w:hint="eastAsia"/>
          <w:sz w:val="21"/>
        </w:rPr>
        <w:t>9</w:t>
      </w:r>
      <w:r w:rsidRPr="009D5469">
        <w:rPr>
          <w:rFonts w:ascii="SimSun" w:hAnsi="SimSun" w:cs="SimSun" w:hint="eastAsia"/>
          <w:sz w:val="21"/>
        </w:rPr>
        <w:t>个五年发展规划</w:t>
      </w:r>
      <w:r w:rsidRPr="009D5469">
        <w:rPr>
          <w:rFonts w:ascii="SimSun" w:hAnsi="SimSun"/>
          <w:sz w:val="21"/>
        </w:rPr>
        <w:t>”</w:t>
      </w:r>
      <w:r w:rsidRPr="009D5469">
        <w:rPr>
          <w:rFonts w:ascii="SimSun" w:hAnsi="SimSun" w:cs="SimSun" w:hint="eastAsia"/>
          <w:sz w:val="21"/>
        </w:rPr>
        <w:t>等国家政策文件包括了自</w:t>
      </w:r>
      <w:r w:rsidRPr="009D5469">
        <w:rPr>
          <w:rFonts w:ascii="SimSun" w:hAnsi="SimSun" w:hint="eastAsia"/>
          <w:sz w:val="21"/>
        </w:rPr>
        <w:t>1995</w:t>
      </w:r>
      <w:r w:rsidRPr="009D5469">
        <w:rPr>
          <w:rFonts w:ascii="SimSun" w:hAnsi="SimSun" w:cs="SimSun" w:hint="eastAsia"/>
          <w:sz w:val="21"/>
        </w:rPr>
        <w:t>年以来的各种声明，这些声明涉及不仅在大学法学院，而且在</w:t>
      </w:r>
      <w:r w:rsidRPr="00365281">
        <w:rPr>
          <w:rFonts w:ascii="SimSun" w:hAnsi="SimSun" w:hint="eastAsia"/>
          <w:sz w:val="21"/>
        </w:rPr>
        <w:t>其他</w:t>
      </w:r>
      <w:r w:rsidRPr="009D5469">
        <w:rPr>
          <w:rFonts w:ascii="SimSun" w:hAnsi="SimSun" w:cs="SimSun" w:hint="eastAsia"/>
          <w:sz w:val="21"/>
        </w:rPr>
        <w:t>相关院系，例如经济、管理、工程、艺术和社会科学中设立知识产权培训和教育项目的必要性。</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这些政策文件主要强调了在知识产权领域对更专业更学术化人员的需求，也强调了公众对知识产权事务相对较低的意识，并建议采取适当措施。</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政府的若干个协调和监督机构以不同的方式处理知识产权事务和知识产权教育。</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改善投资环境协调委员会一直非常关注保护国内和国际投资者的有利环境。这个协调委员会及其相关的技术知识产权委员会一直在直接处理</w:t>
      </w:r>
      <w:r w:rsidRPr="00365281">
        <w:rPr>
          <w:rFonts w:ascii="SimSun" w:hAnsi="SimSun" w:hint="eastAsia"/>
          <w:sz w:val="21"/>
        </w:rPr>
        <w:t>知识产权</w:t>
      </w:r>
      <w:r w:rsidRPr="009D5469">
        <w:rPr>
          <w:rFonts w:ascii="SimSun" w:hAnsi="SimSun" w:cs="SimSun" w:hint="eastAsia"/>
          <w:sz w:val="21"/>
        </w:rPr>
        <w:t>相关事务。在土耳其的私营部门、非政府组织以及最具影响力的企业家和贸易商的推动下，起草了含有时间安排的具体行动、效绩指标以及主管政府机构行动计划。这些行动计划都得到了管理委员会的评估，这个委员会既包括非政府组织代表，也包括私营部门代表，行动计划在评估之后转送给部长管委会。</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改善投资环境协调委员会的技术委员会之一是知识产权委员会。每个技术委员会都根据改善投资环境协调委员会的总体思路和目标，制定有自己的行动计划。知识产权委员会的</w:t>
      </w:r>
      <w:r w:rsidRPr="009D5469">
        <w:rPr>
          <w:rFonts w:ascii="SimSun" w:hAnsi="SimSun" w:hint="eastAsia"/>
          <w:sz w:val="21"/>
        </w:rPr>
        <w:t>2010</w:t>
      </w:r>
      <w:r w:rsidRPr="009D5469">
        <w:rPr>
          <w:rFonts w:ascii="SimSun" w:hAnsi="SimSun" w:cs="SimSun" w:hint="eastAsia"/>
          <w:sz w:val="21"/>
        </w:rPr>
        <w:t>年行动计划针对大学中的知识产权教育提出一项行动，并建议将知识产权课程设为相关院系的必修课。</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A653D7">
        <w:rPr>
          <w:noProof/>
          <w:lang w:eastAsia="en-US"/>
        </w:rPr>
        <mc:AlternateContent>
          <mc:Choice Requires="wpg">
            <w:drawing>
              <wp:anchor distT="0" distB="0" distL="114300" distR="114300" simplePos="0" relativeHeight="251666432" behindDoc="1" locked="0" layoutInCell="1" allowOverlap="1" wp14:anchorId="233EBA58" wp14:editId="387F7EA9">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0048;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9D5469">
        <w:rPr>
          <w:rFonts w:ascii="SimSun" w:hAnsi="SimSun" w:hint="eastAsia"/>
          <w:sz w:val="21"/>
        </w:rPr>
        <w:t>2009</w:t>
      </w:r>
      <w:r w:rsidRPr="009D5469">
        <w:rPr>
          <w:rFonts w:ascii="SimSun" w:hAnsi="SimSun" w:cs="SimSun" w:hint="eastAsia"/>
          <w:sz w:val="21"/>
        </w:rPr>
        <w:t>年，内阁通过了成立</w:t>
      </w:r>
      <w:r w:rsidRPr="00365281">
        <w:rPr>
          <w:rFonts w:ascii="SimSun" w:hAnsi="SimSun" w:hint="eastAsia"/>
          <w:sz w:val="21"/>
        </w:rPr>
        <w:t>土耳其外观设计理事会</w:t>
      </w:r>
      <w:r w:rsidRPr="009D5469">
        <w:rPr>
          <w:rFonts w:ascii="SimSun" w:hAnsi="SimSun" w:cs="SimSun" w:hint="eastAsia"/>
          <w:sz w:val="21"/>
        </w:rPr>
        <w:t>的部长级决议。关于战略的文件草案已经起草，并在理事会对其进行讨论，将在近期最终定稿。</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lastRenderedPageBreak/>
        <w:t>知识产权和工业</w:t>
      </w:r>
      <w:r w:rsidRPr="00365281">
        <w:rPr>
          <w:rFonts w:ascii="SimSun" w:hAnsi="SimSun" w:hint="eastAsia"/>
          <w:sz w:val="21"/>
        </w:rPr>
        <w:t>产权</w:t>
      </w:r>
      <w:r w:rsidRPr="009D5469">
        <w:rPr>
          <w:rFonts w:ascii="SimSun" w:hAnsi="SimSun" w:cs="SimSun" w:hint="eastAsia"/>
          <w:sz w:val="21"/>
        </w:rPr>
        <w:t>协调管委会是根据总理通告成立的。其目标是除其他外，协调相关政府机构以便促进知识产权的有效执法和实施。</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工业贸易部</w:t>
      </w:r>
      <w:r w:rsidRPr="00365281">
        <w:rPr>
          <w:rFonts w:ascii="SimSun" w:hAnsi="SimSun" w:hint="eastAsia"/>
          <w:sz w:val="21"/>
        </w:rPr>
        <w:t>副部</w:t>
      </w:r>
      <w:r w:rsidRPr="009D5469">
        <w:rPr>
          <w:rFonts w:ascii="SimSun" w:hAnsi="SimSun" w:cs="SimSun" w:hint="eastAsia"/>
          <w:sz w:val="21"/>
        </w:rPr>
        <w:t>长和文化旅游部副部长担任管委会理事会主席。管委会理事会不仅包括政府机构的代表，也包括私营部门的代表，其中有土耳其商会暨商品交易联盟，这是代表私营部门的最高机构。</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hint="eastAsia"/>
          <w:sz w:val="21"/>
        </w:rPr>
        <w:t>2015</w:t>
      </w:r>
      <w:r w:rsidRPr="009D5469">
        <w:rPr>
          <w:rFonts w:ascii="SimSun" w:hAnsi="SimSun" w:cs="SimSun" w:hint="eastAsia"/>
          <w:sz w:val="21"/>
        </w:rPr>
        <w:t>年，一份全面的知识产权战略文件和行动计划获得通过，其中提出了四个优先发展领域，即提高能力、进行</w:t>
      </w:r>
      <w:r w:rsidRPr="00365281">
        <w:rPr>
          <w:rFonts w:ascii="SimSun" w:hAnsi="SimSun" w:hint="eastAsia"/>
          <w:sz w:val="21"/>
        </w:rPr>
        <w:t>知识产权</w:t>
      </w:r>
      <w:r w:rsidRPr="009D5469">
        <w:rPr>
          <w:rFonts w:ascii="SimSun" w:hAnsi="SimSun" w:cs="SimSun" w:hint="eastAsia"/>
          <w:sz w:val="21"/>
        </w:rPr>
        <w:t>商业化、树立意识和推进立法发展。这些目标将通过</w:t>
      </w:r>
      <w:r w:rsidRPr="009D5469">
        <w:rPr>
          <w:rFonts w:ascii="SimSun" w:hAnsi="SimSun" w:hint="eastAsia"/>
          <w:sz w:val="21"/>
        </w:rPr>
        <w:t>51</w:t>
      </w:r>
      <w:r w:rsidRPr="009D5469">
        <w:rPr>
          <w:rFonts w:ascii="SimSun" w:hAnsi="SimSun" w:cs="SimSun" w:hint="eastAsia"/>
          <w:sz w:val="21"/>
        </w:rPr>
        <w:t>项行动来实现。同时，</w:t>
      </w:r>
      <w:r w:rsidRPr="009D5469">
        <w:rPr>
          <w:rFonts w:ascii="SimSun" w:hAnsi="SimSun" w:hint="eastAsia"/>
          <w:sz w:val="21"/>
        </w:rPr>
        <w:t>2015</w:t>
      </w:r>
      <w:r w:rsidRPr="009D5469">
        <w:rPr>
          <w:rFonts w:ascii="SimSun" w:hAnsi="SimSun" w:cs="SimSun" w:hint="eastAsia"/>
          <w:sz w:val="21"/>
        </w:rPr>
        <w:t>年还通过了一份关于地理标志战略和行动计划的具体文件，其中提出了要通过提高能力和加强立法，发展一个有效运行的注册制度。</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过去</w:t>
      </w:r>
      <w:r w:rsidRPr="009D5469">
        <w:rPr>
          <w:rFonts w:ascii="SimSun" w:hAnsi="SimSun" w:hint="eastAsia"/>
          <w:sz w:val="21"/>
        </w:rPr>
        <w:t>10</w:t>
      </w:r>
      <w:r w:rsidRPr="009D5469">
        <w:rPr>
          <w:rFonts w:ascii="SimSun" w:hAnsi="SimSun" w:cs="SimSun" w:hint="eastAsia"/>
          <w:sz w:val="21"/>
        </w:rPr>
        <w:t>年，土耳其的经济在不断增长。</w:t>
      </w:r>
      <w:r w:rsidRPr="009D5469">
        <w:rPr>
          <w:rFonts w:ascii="SimSun" w:hAnsi="SimSun" w:hint="eastAsia"/>
          <w:sz w:val="21"/>
        </w:rPr>
        <w:t>2002</w:t>
      </w:r>
      <w:r w:rsidRPr="009D5469">
        <w:rPr>
          <w:rFonts w:ascii="SimSun" w:hAnsi="SimSun" w:cs="SimSun" w:hint="eastAsia"/>
          <w:sz w:val="21"/>
        </w:rPr>
        <w:t>年至</w:t>
      </w:r>
      <w:r w:rsidRPr="009D5469">
        <w:rPr>
          <w:rFonts w:ascii="SimSun" w:hAnsi="SimSun" w:hint="eastAsia"/>
          <w:sz w:val="21"/>
        </w:rPr>
        <w:t>2013</w:t>
      </w:r>
      <w:r w:rsidRPr="009D5469">
        <w:rPr>
          <w:rFonts w:ascii="SimSun" w:hAnsi="SimSun" w:cs="SimSun" w:hint="eastAsia"/>
          <w:sz w:val="21"/>
        </w:rPr>
        <w:t>年的年均实际</w:t>
      </w:r>
      <w:r w:rsidRPr="009D5469">
        <w:rPr>
          <w:rFonts w:ascii="SimSun" w:hAnsi="SimSun" w:hint="eastAsia"/>
          <w:sz w:val="21"/>
        </w:rPr>
        <w:t>GDP</w:t>
      </w:r>
      <w:r w:rsidRPr="009D5469">
        <w:rPr>
          <w:rFonts w:ascii="SimSun" w:hAnsi="SimSun" w:cs="SimSun" w:hint="eastAsia"/>
          <w:sz w:val="21"/>
        </w:rPr>
        <w:t>增长率是</w:t>
      </w:r>
      <w:r w:rsidRPr="009D5469">
        <w:rPr>
          <w:rFonts w:ascii="SimSun" w:hAnsi="SimSun" w:hint="eastAsia"/>
          <w:sz w:val="21"/>
        </w:rPr>
        <w:t>4.9%</w:t>
      </w:r>
      <w:r w:rsidRPr="009D5469">
        <w:rPr>
          <w:rFonts w:ascii="SimSun" w:hAnsi="SimSun" w:cs="SimSun" w:hint="eastAsia"/>
          <w:sz w:val="21"/>
        </w:rPr>
        <w:t>，这是世界上最好的数据之一。</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土耳其有完备的研究院所、政府机构和大学。土耳其有</w:t>
      </w:r>
      <w:r w:rsidRPr="009D5469">
        <w:rPr>
          <w:rFonts w:ascii="SimSun" w:hAnsi="SimSun" w:hint="eastAsia"/>
          <w:sz w:val="21"/>
        </w:rPr>
        <w:t>160</w:t>
      </w:r>
      <w:r w:rsidRPr="009D5469">
        <w:rPr>
          <w:rFonts w:ascii="SimSun" w:hAnsi="SimSun" w:cs="SimSun" w:hint="eastAsia"/>
          <w:sz w:val="21"/>
        </w:rPr>
        <w:t>多所大学，至少每个城市有一所。土耳其的各个城市中都有众多公立和私营研究机构在运行。大学和产业界之间的联系也通过各种工具得到了加强。</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作为欧盟的候选国，成为正式成员的进程一直是一种持续的动力，促使土耳其更新并完善立法，实施法律，其中包括知识产权相关法律。</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在这个总体框架下，土耳其专利局在开展工业产权相关工作方面发挥着重要作用。在贸易额不断增长的发展迅速的经济中，工业产权及其申请对创造和创新有着巨大的影响。除了充分适用工业产权相关法律之外，在相关</w:t>
      </w:r>
      <w:r w:rsidRPr="00365281">
        <w:rPr>
          <w:rFonts w:ascii="SimSun" w:hAnsi="SimSun" w:hint="eastAsia"/>
          <w:sz w:val="21"/>
        </w:rPr>
        <w:t>群体</w:t>
      </w:r>
      <w:r w:rsidRPr="009D5469">
        <w:rPr>
          <w:rFonts w:ascii="SimSun" w:hAnsi="SimSun" w:cs="SimSun" w:hint="eastAsia"/>
          <w:sz w:val="21"/>
        </w:rPr>
        <w:t>中传播知识也至关重要。就此而言，土耳其专利局竭尽全力，采取一切可能的方式，来加强国内和国际上的知识产权知识，并尽可能地将范围扩大到了中亚、中东国家和巴尔干地区。</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土耳其是东西方之间的桥梁。不论在贸易量方面，还是在与邻国的文化和社会交流方面，它都是本地区及本地区之外最活跃的国家之一。</w:t>
      </w:r>
      <w:r w:rsidRPr="00365281">
        <w:rPr>
          <w:rFonts w:ascii="SimSun" w:hAnsi="SimSun" w:hint="eastAsia"/>
          <w:sz w:val="21"/>
        </w:rPr>
        <w:t>知识产权</w:t>
      </w:r>
      <w:r w:rsidRPr="009D5469">
        <w:rPr>
          <w:rFonts w:ascii="SimSun" w:hAnsi="SimSun" w:cs="SimSun" w:hint="eastAsia"/>
          <w:sz w:val="21"/>
        </w:rPr>
        <w:t>方面也不例外，土耳其通过经济合作组织（</w:t>
      </w:r>
      <w:r w:rsidRPr="009D5469">
        <w:rPr>
          <w:rFonts w:ascii="SimSun" w:hAnsi="SimSun" w:hint="eastAsia"/>
          <w:sz w:val="21"/>
        </w:rPr>
        <w:t>ECO</w:t>
      </w:r>
      <w:r w:rsidRPr="009D5469">
        <w:rPr>
          <w:rFonts w:ascii="SimSun" w:hAnsi="SimSun" w:cs="SimSun" w:hint="eastAsia"/>
          <w:sz w:val="21"/>
        </w:rPr>
        <w:t>）、伊斯兰合作组织（</w:t>
      </w:r>
      <w:r w:rsidRPr="009D5469">
        <w:rPr>
          <w:rFonts w:ascii="SimSun" w:hAnsi="SimSun" w:hint="eastAsia"/>
          <w:sz w:val="21"/>
        </w:rPr>
        <w:t>OIC</w:t>
      </w:r>
      <w:r w:rsidRPr="009D5469">
        <w:rPr>
          <w:rFonts w:ascii="SimSun" w:hAnsi="SimSun" w:cs="SimSun" w:hint="eastAsia"/>
          <w:sz w:val="21"/>
        </w:rPr>
        <w:t>）以及黑海经济合作组织（</w:t>
      </w:r>
      <w:r w:rsidRPr="009D5469">
        <w:rPr>
          <w:rFonts w:ascii="SimSun" w:hAnsi="SimSun" w:hint="eastAsia"/>
          <w:sz w:val="21"/>
        </w:rPr>
        <w:t>BSEC</w:t>
      </w:r>
      <w:r w:rsidRPr="009D5469">
        <w:rPr>
          <w:rFonts w:ascii="SimSun" w:hAnsi="SimSun" w:cs="SimSun" w:hint="eastAsia"/>
          <w:sz w:val="21"/>
        </w:rPr>
        <w:t>），与欧盟国家、中亚国家、巴尔干和黑海国家进行密切交往与联系。在</w:t>
      </w:r>
      <w:r w:rsidRPr="009D5469">
        <w:rPr>
          <w:rFonts w:ascii="SimSun" w:hAnsi="SimSun" w:hint="eastAsia"/>
          <w:sz w:val="21"/>
        </w:rPr>
        <w:t>ECO</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，土耳其首次提出了知识产权相关议程，并提出了和知识产权相关的</w:t>
      </w:r>
      <w:r w:rsidRPr="00365281">
        <w:rPr>
          <w:rFonts w:ascii="SimSun" w:hAnsi="SimSun" w:hint="eastAsia"/>
          <w:sz w:val="21"/>
        </w:rPr>
        <w:t>项目建议书</w:t>
      </w:r>
      <w:r w:rsidRPr="009D5469">
        <w:rPr>
          <w:rFonts w:ascii="SimSun" w:hAnsi="SimSun" w:cs="SimSun" w:hint="eastAsia"/>
          <w:sz w:val="21"/>
        </w:rPr>
        <w:t>，以便保持并加强</w:t>
      </w:r>
      <w:r w:rsidRPr="009D5469">
        <w:rPr>
          <w:rFonts w:ascii="SimSun" w:hAnsi="SimSun" w:hint="eastAsia"/>
          <w:sz w:val="21"/>
        </w:rPr>
        <w:t>ECO</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成员国之间的合作。为此，在土耳其举行了多次会议，这对土耳其和其他国家来说都属首次。土耳其所处的地点使它与中亚、巴尔干以及中东国家都有密切联系，并且通过加入</w:t>
      </w:r>
      <w:r w:rsidRPr="009D5469">
        <w:rPr>
          <w:rFonts w:ascii="SimSun" w:hAnsi="SimSun" w:hint="eastAsia"/>
          <w:sz w:val="21"/>
        </w:rPr>
        <w:t>ECO</w:t>
      </w:r>
      <w:r w:rsidRPr="009D5469">
        <w:rPr>
          <w:rFonts w:ascii="SimSun" w:hAnsi="SimSun" w:cs="SimSun" w:hint="eastAsia"/>
          <w:sz w:val="21"/>
        </w:rPr>
        <w:t>、</w:t>
      </w:r>
      <w:r w:rsidRPr="009D5469">
        <w:rPr>
          <w:rFonts w:ascii="SimSun" w:hAnsi="SimSun" w:hint="eastAsia"/>
          <w:sz w:val="21"/>
        </w:rPr>
        <w:t>BSEC</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等组织，与这些组织来自该地区的成员也有密切联系。</w:t>
      </w:r>
    </w:p>
    <w:p w:rsidR="00D449C5" w:rsidRDefault="00FC3CF9" w:rsidP="00365281">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Pr="0036528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spacing w:afterLines="50" w:after="120" w:line="340" w:lineRule="atLeast"/>
        <w:rPr>
          <w:rFonts w:ascii="KaiTi" w:eastAsia="KaiTi" w:hAnsi="KaiTi"/>
          <w:sz w:val="21"/>
        </w:rPr>
      </w:pPr>
      <w:r w:rsidRPr="009D5469">
        <w:rPr>
          <w:rFonts w:ascii="KaiTi" w:eastAsia="KaiTi" w:hAnsi="KaiTi" w:hint="eastAsia"/>
          <w:sz w:val="21"/>
        </w:rPr>
        <w:t>[</w:t>
      </w:r>
      <w:r w:rsidRPr="009D5469">
        <w:rPr>
          <w:rFonts w:ascii="KaiTi" w:eastAsia="KaiTi" w:hAnsi="KaiTi" w:cs="SimSun" w:hint="eastAsia"/>
          <w:sz w:val="21"/>
        </w:rPr>
        <w:t>见</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sz w:val="21"/>
        </w:rPr>
        <w:t>部分</w:t>
      </w:r>
      <w:r w:rsidRPr="009D5469">
        <w:rPr>
          <w:rFonts w:ascii="KaiTi" w:eastAsia="KaiTi" w:hAnsi="KaiTi" w:hint="eastAsia"/>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Pr="00365281">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365281">
        <w:rPr>
          <w:rFonts w:ascii="SimHei" w:eastAsia="SimHei" w:hAnsi="SimHei"/>
          <w:bCs/>
          <w:smallCaps/>
          <w:color w:val="1F497D" w:themeColor="text2"/>
          <w:sz w:val="21"/>
          <w:szCs w:val="21"/>
          <w:vertAlign w:val="superscript"/>
        </w:rPr>
        <w:footnoteReference w:id="36"/>
      </w:r>
      <w:r w:rsidRPr="006D5C33">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我们强烈认为，在土耳其设立驻外办事处将在其任务授权内提供多种益处，而且将补充</w:t>
      </w:r>
      <w:r w:rsidRPr="009D5469">
        <w:rPr>
          <w:rFonts w:ascii="SimSun" w:hAnsi="SimSun" w:hint="eastAsia"/>
          <w:sz w:val="21"/>
        </w:rPr>
        <w:t>WIPO</w:t>
      </w:r>
      <w:r w:rsidRPr="009D5469">
        <w:rPr>
          <w:rFonts w:ascii="SimSun" w:hAnsi="SimSun" w:cs="SimSun" w:hint="eastAsia"/>
          <w:sz w:val="21"/>
        </w:rPr>
        <w:t>和土耳其专利局的工作，首先是</w:t>
      </w:r>
      <w:r w:rsidRPr="00365281">
        <w:rPr>
          <w:rFonts w:ascii="SimSun" w:hAnsi="SimSun" w:hint="eastAsia"/>
          <w:sz w:val="21"/>
        </w:rPr>
        <w:t>知识产权</w:t>
      </w:r>
      <w:r w:rsidRPr="009D5469">
        <w:rPr>
          <w:rFonts w:ascii="SimSun" w:hAnsi="SimSun" w:cs="SimSun" w:hint="eastAsia"/>
          <w:sz w:val="21"/>
        </w:rPr>
        <w:t>知识的传播、提高意识、树立尊重知识产权的风尚，并将进一步通过促进知识产权服务的有效利用加强创新和创造。</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设想中的土耳其驻外办事处也将会补充土耳其专利局的活动。驻外办事处的首要任务授权将是确保传播知识产权方方面面的知识，并与土耳其专利局合作执行项目。目前土耳其专利局执行的项目主要是为了宣传知识，这些项目包括定期培训、</w:t>
      </w:r>
      <w:r w:rsidRPr="009D5469">
        <w:rPr>
          <w:rFonts w:ascii="SimSun" w:hAnsi="SimSun" w:hint="eastAsia"/>
          <w:sz w:val="21"/>
        </w:rPr>
        <w:t>Hezarfen</w:t>
      </w:r>
      <w:r w:rsidRPr="009D5469">
        <w:rPr>
          <w:rFonts w:ascii="SimSun" w:hAnsi="SimSun" w:cs="SimSun" w:hint="eastAsia"/>
          <w:sz w:val="21"/>
        </w:rPr>
        <w:t>项目、大学谷项目和技术转让平台。驻外办事处的贡献将在于通过其经验和国际视角为所有正在运行的项目以及新创项目增加价值。</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土耳其是频繁使用马德里、海牙和</w:t>
      </w:r>
      <w:r w:rsidRPr="009D5469">
        <w:rPr>
          <w:rFonts w:ascii="SimSun" w:hAnsi="SimSun" w:hint="eastAsia"/>
          <w:sz w:val="21"/>
        </w:rPr>
        <w:t>PCT</w:t>
      </w:r>
      <w:r w:rsidRPr="009D5469">
        <w:rPr>
          <w:rFonts w:ascii="SimSun" w:hAnsi="SimSun" w:cs="SimSun" w:hint="eastAsia"/>
          <w:sz w:val="21"/>
        </w:rPr>
        <w:t>等体系的用户之一，就这些全球体系由驻外办事处通过有的放矢的方式针对企业界的需求进行定期培训，有望进一步增加土耳其对全球知识产权体系的使用。</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除了对</w:t>
      </w:r>
      <w:r w:rsidRPr="009D5469">
        <w:rPr>
          <w:rFonts w:ascii="SimSun" w:hAnsi="SimSun" w:hint="eastAsia"/>
          <w:sz w:val="21"/>
        </w:rPr>
        <w:t>WIPO</w:t>
      </w:r>
      <w:r w:rsidRPr="009D5469">
        <w:rPr>
          <w:rFonts w:ascii="SimSun" w:hAnsi="SimSun" w:cs="SimSun" w:hint="eastAsia"/>
          <w:sz w:val="21"/>
        </w:rPr>
        <w:t>的全球知识产权体系给予支持和推介，并提供技术援助和能力建设活动以及意识提高活动，预计在土耳其设立的办事处将更加重视知识产权相关的教育活动。土耳其在知识产权主题方面的教育活动和项目的水平尽管近年来有所提高，但尚未达到理想水平。该地区的其他国家也面临着同样的处境。因此，在这方面加强与</w:t>
      </w:r>
      <w:r w:rsidRPr="009D5469">
        <w:rPr>
          <w:rFonts w:ascii="SimSun" w:hAnsi="SimSun" w:hint="eastAsia"/>
          <w:sz w:val="21"/>
        </w:rPr>
        <w:t>WIPO</w:t>
      </w:r>
      <w:r w:rsidRPr="009D5469">
        <w:rPr>
          <w:rFonts w:ascii="SimSun" w:hAnsi="SimSun" w:cs="SimSun" w:hint="eastAsia"/>
          <w:sz w:val="21"/>
        </w:rPr>
        <w:t>学院的合作将至关重要，也将对土耳其驻外办事处的构建阶段极为有利。</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土耳其办事处所承担工作的主要部分将是在许多方面与</w:t>
      </w:r>
      <w:r w:rsidRPr="009D5469">
        <w:rPr>
          <w:rFonts w:ascii="SimSun" w:hAnsi="SimSun" w:hint="eastAsia"/>
          <w:sz w:val="21"/>
        </w:rPr>
        <w:t>WIPO</w:t>
      </w:r>
      <w:r w:rsidRPr="009D5469">
        <w:rPr>
          <w:rFonts w:ascii="SimSun" w:hAnsi="SimSun" w:cs="SimSun" w:hint="eastAsia"/>
          <w:sz w:val="21"/>
        </w:rPr>
        <w:t>学院交付的项目进行互补，而且不会重复现在已经启动的项目</w:t>
      </w:r>
      <w:r w:rsidRPr="009D5469">
        <w:rPr>
          <w:rFonts w:ascii="SimSun" w:hAnsi="SimSun" w:hint="eastAsia"/>
          <w:sz w:val="21"/>
        </w:rPr>
        <w:t>/</w:t>
      </w:r>
      <w:r w:rsidRPr="009D5469">
        <w:rPr>
          <w:rFonts w:ascii="SimSun" w:hAnsi="SimSun" w:cs="SimSun" w:hint="eastAsia"/>
          <w:sz w:val="21"/>
        </w:rPr>
        <w:t>服务，例如</w:t>
      </w:r>
      <w:r w:rsidRPr="009D5469">
        <w:rPr>
          <w:rFonts w:ascii="SimSun" w:hAnsi="SimSun" w:hint="eastAsia"/>
          <w:sz w:val="21"/>
        </w:rPr>
        <w:t>WIPO</w:t>
      </w:r>
      <w:r w:rsidRPr="009D5469">
        <w:rPr>
          <w:rFonts w:ascii="SimSun" w:hAnsi="SimSun" w:cs="SimSun" w:hint="eastAsia"/>
          <w:sz w:val="21"/>
        </w:rPr>
        <w:t>远程学习课程、在土耳其选定一所大学开设知识产权法硕士学位项目等。首要的一点是，由于驻外办事处在提出实际需求的当场，它将可以更好地确定和识别具体需求和要求，在多数情况下，它会成为</w:t>
      </w:r>
      <w:r w:rsidRPr="009D5469">
        <w:rPr>
          <w:rFonts w:ascii="SimSun" w:hAnsi="SimSun" w:hint="eastAsia"/>
          <w:sz w:val="21"/>
        </w:rPr>
        <w:t>WIPO</w:t>
      </w:r>
      <w:r w:rsidRPr="009D5469">
        <w:rPr>
          <w:rFonts w:ascii="SimSun" w:hAnsi="SimSun" w:cs="SimSun" w:hint="eastAsia"/>
          <w:sz w:val="21"/>
        </w:rPr>
        <w:t>学院和各受益方之间的界面，并将以更加有效和高效的方式服务于各受益方，而不会与</w:t>
      </w:r>
      <w:r w:rsidRPr="009D5469">
        <w:rPr>
          <w:rFonts w:ascii="SimSun" w:hAnsi="SimSun" w:hint="eastAsia"/>
          <w:sz w:val="21"/>
        </w:rPr>
        <w:t>WIPO</w:t>
      </w:r>
      <w:r w:rsidRPr="009D5469">
        <w:rPr>
          <w:rFonts w:ascii="SimSun" w:hAnsi="SimSun" w:cs="SimSun" w:hint="eastAsia"/>
          <w:sz w:val="21"/>
        </w:rPr>
        <w:t>相关的项目发生重叠。驻外办事处将不断与国内各方面保持联络，这包括土耳其的大学、技术转让办公室和其他相关教育机构，由此它将更深入地了解利益攸关方的优先事项和需求。这样可以确保以更加全面和有效的方式对需求作出反应，而不导致重叠。由于身处现场，并且与利益攸关方直接合作，这从很多方面讲，都必然是更具成本效益的方式。毫无疑问，如果优先事项和需求由驻外办事处在当地识别确定，就可以以更加有效和节约成本的方式实现</w:t>
      </w:r>
      <w:r w:rsidRPr="009D5469">
        <w:rPr>
          <w:rFonts w:ascii="SimSun" w:hAnsi="SimSun" w:hint="eastAsia"/>
          <w:sz w:val="21"/>
        </w:rPr>
        <w:t>WIPO</w:t>
      </w:r>
      <w:r w:rsidRPr="009D5469">
        <w:rPr>
          <w:rFonts w:ascii="SimSun" w:hAnsi="SimSun" w:cs="SimSun" w:hint="eastAsia"/>
          <w:sz w:val="21"/>
        </w:rPr>
        <w:t>计划和预算中的效绩指标所确定的计划目标。</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b/>
          <w:sz w:val="21"/>
          <w:szCs w:val="24"/>
        </w:rPr>
      </w:pPr>
      <w:r w:rsidRPr="009D5469">
        <w:rPr>
          <w:rFonts w:ascii="SimSun" w:hAnsi="SimSun" w:cs="SimSun" w:hint="eastAsia"/>
          <w:sz w:val="21"/>
        </w:rPr>
        <w:t>土耳其一直受益于</w:t>
      </w:r>
      <w:r w:rsidRPr="009D5469">
        <w:rPr>
          <w:rFonts w:ascii="SimSun" w:hAnsi="SimSun" w:hint="eastAsia"/>
          <w:sz w:val="21"/>
        </w:rPr>
        <w:t>WIPO</w:t>
      </w:r>
      <w:r w:rsidRPr="009D5469">
        <w:rPr>
          <w:rFonts w:ascii="SimSun" w:hAnsi="SimSun" w:cs="SimSun" w:hint="eastAsia"/>
          <w:sz w:val="21"/>
        </w:rPr>
        <w:t>提供的各种项目和援助。在与</w:t>
      </w:r>
      <w:r w:rsidRPr="009D5469">
        <w:rPr>
          <w:rFonts w:ascii="SimSun" w:hAnsi="SimSun" w:hint="eastAsia"/>
          <w:sz w:val="21"/>
        </w:rPr>
        <w:t>WIPO</w:t>
      </w:r>
      <w:r w:rsidRPr="009D5469">
        <w:rPr>
          <w:rFonts w:ascii="SimSun" w:hAnsi="SimSun" w:cs="SimSun" w:hint="eastAsia"/>
          <w:sz w:val="21"/>
        </w:rPr>
        <w:t>人员建立联系方面，没有任何困难。通过各个计划与</w:t>
      </w:r>
      <w:r w:rsidRPr="009D5469">
        <w:rPr>
          <w:rFonts w:ascii="SimSun" w:hAnsi="SimSun" w:hint="eastAsia"/>
          <w:sz w:val="21"/>
        </w:rPr>
        <w:t>WIPO</w:t>
      </w:r>
      <w:r w:rsidRPr="009D5469">
        <w:rPr>
          <w:rFonts w:ascii="SimSun" w:hAnsi="SimSun" w:cs="SimSun" w:hint="eastAsia"/>
          <w:sz w:val="21"/>
        </w:rPr>
        <w:t>合作执行的活动都非常成功和圆满。然而，在</w:t>
      </w:r>
      <w:r w:rsidRPr="009D5469">
        <w:rPr>
          <w:rFonts w:ascii="SimSun" w:hAnsi="SimSun" w:hint="eastAsia"/>
          <w:sz w:val="21"/>
        </w:rPr>
        <w:t>WIPO</w:t>
      </w:r>
      <w:r w:rsidRPr="009D5469">
        <w:rPr>
          <w:rFonts w:ascii="SimSun" w:hAnsi="SimSun" w:cs="SimSun" w:hint="eastAsia"/>
          <w:sz w:val="21"/>
        </w:rPr>
        <w:t>设计和交付计划方面仍然有改进的空间。那些计划</w:t>
      </w:r>
      <w:r w:rsidRPr="00365281">
        <w:rPr>
          <w:rFonts w:ascii="SimSun" w:hAnsi="SimSun" w:hint="eastAsia"/>
          <w:sz w:val="21"/>
        </w:rPr>
        <w:t>通常</w:t>
      </w:r>
      <w:r w:rsidRPr="009D5469">
        <w:rPr>
          <w:rFonts w:ascii="SimSun" w:hAnsi="SimSun" w:cs="SimSun" w:hint="eastAsia"/>
          <w:sz w:val="21"/>
        </w:rPr>
        <w:t>由</w:t>
      </w:r>
      <w:r w:rsidRPr="009D5469">
        <w:rPr>
          <w:rFonts w:ascii="SimSun" w:hAnsi="SimSun" w:hint="eastAsia"/>
          <w:sz w:val="21"/>
        </w:rPr>
        <w:t>WIPO</w:t>
      </w:r>
      <w:r w:rsidRPr="009D5469">
        <w:rPr>
          <w:rFonts w:ascii="SimSun" w:hAnsi="SimSun" w:cs="SimSun" w:hint="eastAsia"/>
          <w:sz w:val="21"/>
        </w:rPr>
        <w:t>的相关司局制定，例如阿拉伯局、某些欧洲国家和亚洲国家局。设计这些计划时包括的交付工具有讲习班、培训模块和提供援助，但考虑到潜在受益方是多个国家，采用一种统一的方式来满足它们所有的需求和优先事项是非常困难的，因此这些国家的本质需求难以充分满足或评估。在当前的情况下，驻外办事处的数量有限，只能针对某些国家，这种挑战要得到有效的解决，只能通过与</w:t>
      </w:r>
      <w:r w:rsidRPr="009D5469">
        <w:rPr>
          <w:rFonts w:ascii="SimSun" w:hAnsi="SimSun" w:hint="eastAsia"/>
          <w:sz w:val="21"/>
        </w:rPr>
        <w:t>WIPO</w:t>
      </w:r>
      <w:r w:rsidRPr="009D5469">
        <w:rPr>
          <w:rFonts w:ascii="SimSun" w:hAnsi="SimSun" w:cs="SimSun" w:hint="eastAsia"/>
          <w:sz w:val="21"/>
        </w:rPr>
        <w:t>相关司局的工作人员进行密切沟通，或者通过到项目交付地点</w:t>
      </w:r>
      <w:r w:rsidRPr="009D5469">
        <w:rPr>
          <w:rFonts w:ascii="SimSun" w:hAnsi="SimSun" w:hint="eastAsia"/>
          <w:sz w:val="21"/>
        </w:rPr>
        <w:t>/</w:t>
      </w:r>
      <w:r w:rsidRPr="009D5469">
        <w:rPr>
          <w:rFonts w:ascii="SimSun" w:hAnsi="SimSun" w:cs="SimSun" w:hint="eastAsia"/>
          <w:sz w:val="21"/>
        </w:rPr>
        <w:t>国家执行差</w:t>
      </w:r>
      <w:r w:rsidRPr="009D5469">
        <w:rPr>
          <w:rFonts w:ascii="SimSun" w:hAnsi="SimSun" w:cs="SimSun" w:hint="eastAsia"/>
          <w:sz w:val="21"/>
        </w:rPr>
        <w:lastRenderedPageBreak/>
        <w:t>旅的方式。如果能在项目将要交付和实施的国家设立办事处，这些挑战就可以通过有效而且具有成本效益的方式得到解决。</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365281">
        <w:rPr>
          <w:rFonts w:ascii="SimHei" w:eastAsia="SimHei" w:hAnsi="SimHei"/>
          <w:bCs/>
          <w:smallCaps/>
          <w:sz w:val="21"/>
          <w:szCs w:val="21"/>
          <w:vertAlign w:val="superscript"/>
        </w:rPr>
        <w:footnoteReference w:id="37"/>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一旦成员国和</w:t>
      </w:r>
      <w:r w:rsidRPr="009D5469">
        <w:rPr>
          <w:rFonts w:ascii="SimSun" w:hAnsi="SimSun" w:hint="eastAsia"/>
          <w:sz w:val="21"/>
        </w:rPr>
        <w:t>WIPO</w:t>
      </w:r>
      <w:r w:rsidRPr="009D5469">
        <w:rPr>
          <w:rFonts w:ascii="SimSun" w:hAnsi="SimSun" w:cs="SimSun" w:hint="eastAsia"/>
          <w:sz w:val="21"/>
        </w:rPr>
        <w:t>考虑到土耳其所能提供的优越条件，从而确定了土耳其驻外办事处的任务授权，就可以与</w:t>
      </w:r>
      <w:r w:rsidRPr="009D5469">
        <w:rPr>
          <w:rFonts w:ascii="SimSun" w:hAnsi="SimSun" w:hint="eastAsia"/>
          <w:sz w:val="21"/>
        </w:rPr>
        <w:t>WIPO</w:t>
      </w:r>
      <w:r w:rsidRPr="009D5469">
        <w:rPr>
          <w:rFonts w:ascii="SimSun" w:hAnsi="SimSun" w:cs="SimSun" w:hint="eastAsia"/>
          <w:sz w:val="21"/>
        </w:rPr>
        <w:t>服务共同决定所需人力资源、财务资源、物理基础设施以及安设驻外办事处的地点（安卡拉或伊斯坦布尔），以便使之最有效地完成其任务授权。</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szCs w:val="24"/>
        </w:rPr>
      </w:pPr>
      <w:r w:rsidRPr="009D5469">
        <w:rPr>
          <w:rFonts w:ascii="SimSun" w:hAnsi="SimSun" w:cs="SimSun" w:hint="eastAsia"/>
          <w:sz w:val="21"/>
        </w:rPr>
        <w:t>土耳其的地理位置及其对落户土耳其的国际组织办事处的后勤和财政支持，是这些机构选择在土耳其设立总部和</w:t>
      </w:r>
      <w:r w:rsidRPr="009D5469">
        <w:rPr>
          <w:rFonts w:ascii="SimSun" w:hAnsi="SimSun" w:hint="eastAsia"/>
          <w:sz w:val="21"/>
        </w:rPr>
        <w:t>/</w:t>
      </w:r>
      <w:r w:rsidRPr="009D5469">
        <w:rPr>
          <w:rFonts w:ascii="SimSun" w:hAnsi="SimSun" w:cs="SimSun" w:hint="eastAsia"/>
          <w:sz w:val="21"/>
        </w:rPr>
        <w:t>或地区局的动力。在此方面，毋庸置疑，如果就驻外办事处作出决定，它也将受益于这方面的支持。</w:t>
      </w:r>
    </w:p>
    <w:p w:rsidR="00365281" w:rsidRDefault="00365281" w:rsidP="00FC3CF9">
      <w:pPr>
        <w:rPr>
          <w:rFonts w:ascii="SimSun" w:hAnsi="SimSun"/>
          <w:sz w:val="16"/>
        </w:rPr>
        <w:sectPr w:rsidR="00365281" w:rsidSect="00F85B4A">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365281">
        <w:rPr>
          <w:rFonts w:ascii="SimHei" w:eastAsia="SimHei" w:hAnsi="SimHei"/>
          <w:bCs/>
          <w:smallCaps/>
          <w:sz w:val="21"/>
          <w:vertAlign w:val="superscript"/>
        </w:rPr>
        <w:footnoteReference w:id="38"/>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
          <w:rFonts w:ascii="SimSun" w:hAnsi="SimSun"/>
          <w:sz w:val="21"/>
          <w:szCs w:val="21"/>
        </w:rPr>
      </w:pPr>
      <w:r w:rsidRPr="007E09FD">
        <w:rPr>
          <w:rStyle w:val="1"/>
          <w:rFonts w:ascii="SimSun" w:hAnsi="SimSun" w:hint="eastAsia"/>
          <w:sz w:val="21"/>
          <w:szCs w:val="21"/>
        </w:rPr>
        <w:t>阿拉伯联合酋长国</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D449C5"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D449C5" w:rsidRDefault="00FC3CF9" w:rsidP="00365281">
      <w:pPr>
        <w:spacing w:afterLines="50" w:after="120" w:line="340" w:lineRule="atLeast"/>
        <w:jc w:val="both"/>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设立驻外办事处的理由</w:t>
      </w:r>
      <w:r w:rsidRPr="00365281">
        <w:rPr>
          <w:rFonts w:ascii="SimHei" w:eastAsia="SimHei" w:hAnsi="SimHei"/>
          <w:bCs/>
          <w:smallCaps/>
          <w:color w:val="1F497D" w:themeColor="text2"/>
          <w:sz w:val="21"/>
          <w:szCs w:val="21"/>
          <w:u w:val="single"/>
          <w:vertAlign w:val="superscript"/>
        </w:rPr>
        <w:footnoteReference w:id="39"/>
      </w:r>
      <w:r w:rsidR="009D5469" w:rsidRPr="009D5469">
        <w:rPr>
          <w:rFonts w:ascii="SimHei" w:eastAsia="SimHei" w:hAnsi="SimHei"/>
          <w:bCs/>
          <w:smallCaps/>
          <w:color w:val="1F497D" w:themeColor="text2"/>
          <w:sz w:val="21"/>
          <w:szCs w:val="21"/>
        </w:rPr>
        <w:t>：</w:t>
      </w:r>
    </w:p>
    <w:p w:rsidR="00D449C5" w:rsidRPr="00365281"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365281">
        <w:rPr>
          <w:rFonts w:ascii="SimSun" w:hAnsi="SimSun" w:hint="eastAsia"/>
          <w:sz w:val="21"/>
        </w:rPr>
        <w:t>阿拉伯联合酋长国（UAE）战略性地位于亚洲、非洲和欧洲的中心地带，毗邻阿拉伯湾和阿曼湾</w:t>
      </w:r>
      <w:r w:rsidR="00365281">
        <w:rPr>
          <w:rFonts w:ascii="SimSun" w:hAnsi="SimSun" w:hint="eastAsia"/>
          <w:sz w:val="21"/>
        </w:rPr>
        <w:t>。</w:t>
      </w:r>
      <w:r w:rsidRPr="00365281">
        <w:rPr>
          <w:rFonts w:ascii="SimSun" w:hAnsi="SimSun" w:hint="eastAsia"/>
          <w:sz w:val="21"/>
        </w:rPr>
        <w:t>作为一个拥有930万人口的国家，阿联酋以其创新、创造力和开放型经济受到全世界的认可。阿联酋在2017年营商环境报告的190个国家中排名第26位，在2016-17年全球竞争力指数的138个国家中排名第16位，在2016年全球创新指数中排名第41位。</w:t>
      </w:r>
    </w:p>
    <w:p w:rsidR="00D449C5"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阿联酋的</w:t>
      </w:r>
      <w:r w:rsidRPr="009D5469">
        <w:rPr>
          <w:rFonts w:ascii="SimSun" w:hAnsi="SimSun"/>
          <w:sz w:val="21"/>
        </w:rPr>
        <w:t>[</w:t>
      </w:r>
      <w:r w:rsidRPr="009D5469">
        <w:rPr>
          <w:rFonts w:ascii="SimSun" w:hAnsi="SimSun" w:hint="eastAsia"/>
          <w:sz w:val="21"/>
        </w:rPr>
        <w:t>位置</w:t>
      </w:r>
      <w:r w:rsidRPr="009D5469">
        <w:rPr>
          <w:rFonts w:ascii="SimSun" w:hAnsi="SimSun"/>
          <w:sz w:val="21"/>
        </w:rPr>
        <w:t>]</w:t>
      </w:r>
      <w:r w:rsidRPr="009D5469">
        <w:rPr>
          <w:rFonts w:ascii="SimSun" w:hAnsi="SimSun" w:hint="eastAsia"/>
          <w:sz w:val="21"/>
        </w:rPr>
        <w:t>使它能够进入距其4小时飞行时间以内、规模超过20亿人口的市场，并提供了通向中东和北非地区（MENA）、非洲和亚洲新兴世界经济体的理想途径。从阿布扎比可直达55个国家的104个机场。距阿布扎比一小时车程的迪拜拥有世界上最繁忙的规模超过100条航线的国际机场。仅仅是总部位于迪拜的阿联酋航空公司就在横跨六大洲70个国家的140个目的地之间每周飞行3000架次。</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是联合国国际可持续能源署的总部所在地，众多其他国际组织也在阿联酋设有办事处，包括联合国开发计划署（UNDP）、联合国粮食与农业组织（FAO）、联合国环境规划署（UNEP）、联合国儿童基金会（UNICEF）、国际金融公司（IFC）以及世界银行。此外还在阿联酋举办重大国际活动，例如全球创新峰会、世界政府峰会、中小企业世界峰会、社交媒体峰会、世界未来能源峰会以及年度投资会议。</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阿联酋是阿拉伯国家联盟的一员，海湾合作委员会（GCC）的六个成员国之一，其他成员国包括巴林、科威特、阿曼、卡塔尔和沙特阿拉伯。</w:t>
      </w:r>
      <w:r w:rsidRPr="009D5469">
        <w:rPr>
          <w:rFonts w:ascii="SimSun" w:hAnsi="SimSun"/>
          <w:sz w:val="21"/>
        </w:rPr>
        <w:t>G</w:t>
      </w:r>
      <w:r w:rsidRPr="009D5469">
        <w:rPr>
          <w:rFonts w:ascii="SimSun" w:hAnsi="SimSun" w:hint="eastAsia"/>
          <w:sz w:val="21"/>
        </w:rPr>
        <w:t>CC国家实行了一系列政策改革，以支持发展更为创新和多样化的经济。六个GCC国家中的四个现在在全球竞争力指数中的排名位列前40位。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以其在创新和知识产权领域的众多成就为契机，阿联酋目前对于设立WIPO办事处有着很高的积极性，该办事处将为发展带来很大的影响。阿联酋在创新和知识产权领域的成就可归纳为四大支柱：战略、政策和制度、程序以及结果</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lastRenderedPageBreak/>
        <w:t>战略</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阿联酋的愿景2021，阿联酋的目标是成为世界上最为创新的国家之一，在这里“创新、研究、科学和技术将构成极具生产力和竞争力的知识型经济的支柱，在公共和私营部门结成有效合作伙伴关系的商业友好型环境中受企业家的驱动”。</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阿联酋创新战略由三大核心支柱组成：</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有利于创新的环境</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创新领军者</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创新重点部门。</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上述各支柱的基础是对知识产权起到支撑作用的完善的立法和制度环境（特别是推动有利于创新的环境这一支柱）。</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阿联酋自加入本组织以来，已批准了8项WIPO条约：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关于为盲人、视力障碍者或其他印刷品阅读障碍者获得已出版作品提供便利的马拉喀什条约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WIPO表演与录音制品条约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保护表演者、音像制品制作者和广播组织罗马公约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保护文学和艺术作品伯尔尼公约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WIPO版权条约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专利合作条约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保护工业产权巴黎公约</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建立世界知识产权组织公约</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于2014年10月15日成为第三个批准关于为盲人、视力障碍者或其他印刷品阅读障碍者获得已出版作品提供便利的马拉喀什条约（马拉喀什条约）的国家，该条约于2016年9月30日生效。此外，阿联酋于近期加入了视听表演北京条约，该条约旨在提高电影演员和其他表演者的经济权利，以及使表演者能够与制作方分享视听作品在国际范围内产生的收入。该条约还有利于确保表演者的权利，避免在电视、电影和视频等视听媒体中有人未经授权使用其表演。</w:t>
      </w:r>
    </w:p>
    <w:p w:rsidR="00D449C5" w:rsidRPr="009D5469" w:rsidRDefault="00FC3CF9" w:rsidP="00365281">
      <w:pPr>
        <w:pStyle w:val="ONUME"/>
        <w:numPr>
          <w:ilvl w:val="0"/>
          <w:numId w:val="0"/>
        </w:numPr>
        <w:overflowPunct w:val="0"/>
        <w:spacing w:afterLines="50" w:after="120" w:line="340" w:lineRule="atLeast"/>
        <w:jc w:val="both"/>
        <w:rPr>
          <w:rFonts w:ascii="SimSun" w:hAnsi="SimSun"/>
          <w:b/>
          <w:sz w:val="21"/>
        </w:rPr>
      </w:pPr>
      <w:r w:rsidRPr="009D5469">
        <w:rPr>
          <w:rFonts w:ascii="SimSun" w:hAnsi="SimSun" w:hint="eastAsia"/>
          <w:sz w:val="21"/>
        </w:rPr>
        <w:t>此外，阿联酋还加入了其他23项知识产权相关的多边条约，包括1996年4月10日加入的与贸易有关的知识产权协议（TRIPS协议）。在阿联酋于2003年1月1日加入的GCC国家之间地区经济协定中也包含有关知识产权的条款。</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政策与制度</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WIPO及其成员的最佳实践，阿联酋实施了一系列新措施以支持知识产权的发展。例如在2016年设立了专利基金，以帮助处理来自年轻的创新型和工业公司的多达200件专利申请、商业竞争以及可专利检索的学术项目。</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阿联酋目前还正在建立一个专利处理机构，以简化专利处理时间、减少积压、降低费用以及加强对专利的需求。</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作为加速申请流程举措的一部分，经济部还允许申请人在提交文件译文和公证机关批准时享受90天的宽限期。新知识产权法目前正在起草中，它兼顾了来自一系列高校、企业和相关机构的反馈意见。</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经济部就与商标司的自动化项目与WIPO进行了紧密合作，实现了WIPO工业产权自动化系统（IPAS）于2012年2月的部署。阿联酋商标司自此一直通过该系统对阿联酋的商标申请进行电子管理。IPAS在阿联酋的部署被认为是我们在本地区取得成功的项目之一，我们向用户和申请人征求了对该系统的反馈意见，特别是关于系统部署后服务的准确性、速度和质量。</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程序</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对政策和体制进行完善后，阿联酋的政策制定者一直在设计和实施更优的创新和知识产权程序，如简化知识产权流程以把专利注册延迟限制在180天，实行双轨制的专利申请审查制度以进一步加快工业产品专利的授权，以及提供与商标相关的智能服务。此外，阿联酋目前正在对最先进的信息技术基础设施和自动化进行投资。政府在2016年提供了13项与商标相关的智能服务，并采取了一系列措施来支持专利和商标融资。它还正在通过提供一份知识产权律师和基金或资助机会的综合性清单来促进对于信息的获取。</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结果</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由于在战略、政策、制度和程序方面采取了上述举措，专利、商标和工业品外观设计的注册量在2015年增长至超过20,000件。此外，如上所述，阿联酋在2016年全球创新指数（GII）的128个国家中位列第41位。阿联酋通过GII等出版物确定了一系列政策、制度和程序相关领域的改进行动计划。</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驻外办事处的拟议职责范围</w:t>
      </w:r>
      <w:r w:rsidRPr="0036528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提议，设立一个向海湾合作委员会（GCC）7国家以及中东和亚洲发展中国家提供WIPO服务和专门知识的WIPO办事处，包括提供独一无二的知识产权能力建设机会。阿联酋位于亚洲和非洲大陆的中心地带，这一战略位置使其成为上述地区WIPO合作伙伴的理想目的地。WIPO阿联酋办事处最终将提高有关知识产权和WIPO服务的意识，强化知识产权立法和制度环境，并提升公共部门、私营部门以及民间社会的知识产权管理能力。</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在阿联酋开设WIPO办事处有若干优势。WIPO办事处将：</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通过向中东和亚洲的WIPO成员提供独一无二的知识产权能力建设，加强WIPO对于发展的影响力。</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利用阿联酋地处亚洲、非洲和欧洲中心地带这一战略性地理位置以及四通八达的国际机场。</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提升对于知识产权和WIPO服务的意识和了解。</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协助目标国家深化对于已通过WIPO条约的使用，并帮助它们通过更多的WIPO条约。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支持发展现有倡议，如于2016年11月宣布的将建立新阿联酋知识产权审查局。</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提高WIPO研究、统计数据和出版物的可及性。</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愿意划拨必要的预算以建立一个高度引人关注、全面运转的办事处。最终结果将是专利和商标注册量在目标国家的增长，以及提升WIPO的形象，使人们把它作为为保护知识产权、解决争议、制定国际知识产权政策、培训政策制定者、获取数据和知识以及促进国际合作和发展而提供支持服务的“首选”国际机构。</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Pr="00365281">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365281">
        <w:rPr>
          <w:rFonts w:ascii="SimHei" w:eastAsia="SimHei" w:hAnsi="SimHei"/>
          <w:bCs/>
          <w:smallCaps/>
          <w:color w:val="1F497D" w:themeColor="text2"/>
          <w:sz w:val="21"/>
          <w:szCs w:val="21"/>
          <w:vertAlign w:val="superscript"/>
        </w:rPr>
        <w:footnoteReference w:id="40"/>
      </w:r>
      <w:r w:rsidRPr="006D5C33">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根据WIPO的宗旨，办事处的目标将围绕三大核心支柱构建：战略性趋同、政策和程序改进、提升意识和能力。</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战略性趋同</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1)</w:t>
      </w:r>
      <w:r w:rsidRPr="009D5469">
        <w:rPr>
          <w:rFonts w:ascii="KaiTi" w:eastAsia="KaiTi" w:hAnsi="KaiTi" w:hint="eastAsia"/>
          <w:iCs/>
          <w:sz w:val="21"/>
        </w:rPr>
        <w:t>加强WIPO和阿联酋对于中东和亚洲WIPO成员国的发展影响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为了通过创新和创造力加强对于发展的影响，WIPO阿联酋办事处将不仅将其服务扩展至来自海湾合作委员会（GCC）的邻国，还将向中东和亚洲的其他发展中国家提供服务。这些国家将会全面获取到WIPO阿联酋办事处所提供的知识产权专门知识和能力建设。</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2)</w:t>
      </w:r>
      <w:r w:rsidRPr="009D5469">
        <w:rPr>
          <w:rFonts w:ascii="KaiTi" w:eastAsia="KaiTi" w:hAnsi="KaiTi" w:hint="eastAsia"/>
          <w:iCs/>
          <w:sz w:val="21"/>
        </w:rPr>
        <w:t>支持通过阿联酋国家创新战略打造有利于创新的环境，即通过加强监管和体制框架</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尽管阿联酋的知识产权立法目前涵盖知识产权保护的主要支柱，但仍存在尚需完善的领域，在与大学、司法系统、企业和其他机构相关利益攸关方的交流中已特别指出了其中一些领域。WIPO阿联酋办事处将贡献额外的专门知识用于更新阿联酋的知识产权立法，并将帮助确保其在反映关键利益攸关方主要关切的同时，也与阿联酋的战略目标和WIPO在该领域的最佳实践达成平衡。</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此外，阿联酋目前正在准备设计和实施新专利中心，该中心将极大地受益于位于阿布扎比的WIPO办事处所提供的合力和专门知识。</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3)</w:t>
      </w:r>
      <w:r w:rsidRPr="009D5469">
        <w:rPr>
          <w:rFonts w:ascii="KaiTi" w:eastAsia="KaiTi" w:hAnsi="KaiTi" w:hint="eastAsia"/>
          <w:iCs/>
          <w:sz w:val="21"/>
        </w:rPr>
        <w:t>深化和扩展对于已通过WIPO条约的使用</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和涵盖在拟设WIPO办事处范围内的其他目标国在进一步利用已通过的WIPO条约方面有着巨大潜力。例如，通过深化和扩展对于阿联酋已批准8项WIPO条约的使用，阿联酋利益攸关方将提升有关专利注册选项的意识，并实现更优的专利注册结果。该目标将通过更有效地宣传现有WIPO条约所提供的服务，以及针对如何最好地获取这些服务进行个性化指导来实现。</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4)</w:t>
      </w:r>
      <w:r w:rsidRPr="009D5469">
        <w:rPr>
          <w:rFonts w:ascii="KaiTi" w:eastAsia="KaiTi" w:hAnsi="KaiTi" w:hint="eastAsia"/>
          <w:iCs/>
          <w:sz w:val="21"/>
        </w:rPr>
        <w:t>加快成为阿联酋尚未通过WIPO条约成员的进程</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阿联酋和WIPO办事处的其他目标国还尚未通过一系列与促进其创新和创造力有关的WIPO条约。阿联酋尚未通过的条约包括例如马德里体系、海牙国际外观设计体系以及布达佩斯国际微生物体系。WIPO阿联酋办事处将帮助目标国更好地了解通过这些条约的理由，如何操作，并就如何充分利用WIPO相关服务提供指导。</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政策与程序改进</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5)</w:t>
      </w:r>
      <w:r w:rsidRPr="009D5469">
        <w:rPr>
          <w:rFonts w:ascii="KaiTi" w:eastAsia="KaiTi" w:hAnsi="KaiTi" w:hint="eastAsia"/>
          <w:iCs/>
          <w:sz w:val="21"/>
        </w:rPr>
        <w:t>简化专利和商标流程</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WIPO阿联酋办事处服务范围内的国家将受益于专家就如何简化它们的专利和商标流程所提出的意见建议，并从WIPO成员所采用现有模式的优点、缺点和适应性中获得启发。阿联酋已按照国家创新战略中的要求采取了一系列举措以加快知识产权相关流程。本地WIPO办事处的专家支持将使专利注册和其他知识产权流程得到进一步完善，兼顾从其他WIPO成员处所吸取的经验教训。最终目标是根据国际领先标准建立最为有效高效的专利注册流程。</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lastRenderedPageBreak/>
        <w:t>6)</w:t>
      </w:r>
      <w:r w:rsidRPr="009D5469">
        <w:rPr>
          <w:rFonts w:ascii="KaiTi" w:eastAsia="KaiTi" w:hAnsi="KaiTi" w:hint="eastAsia"/>
          <w:iCs/>
          <w:sz w:val="21"/>
        </w:rPr>
        <w:t>为解决争议提供便利</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WIPO办事处还将提供信息、建议和支持，以帮助伙伴国通过调解、仲裁和专家裁决解决国家和国际层面的知识产权争议。它将鼓励并指导利益攸关方充分利用WIPO仲裁与调解中心的服务，如果此种服务相关且适用，该中心提供“及时、合算的替代争议解决（ADR）方案”。</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7)</w:t>
      </w:r>
      <w:r w:rsidRPr="009D5469">
        <w:rPr>
          <w:rFonts w:ascii="KaiTi" w:eastAsia="KaiTi" w:hAnsi="KaiTi" w:hint="eastAsia"/>
          <w:iCs/>
          <w:sz w:val="21"/>
        </w:rPr>
        <w:t>鼓励公共和私营部门之间开展有关知识产权的对话以对政策进行改进</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阿联酋和伙伴政府为了就如何加强知识产权保护（包括知识产权立法、注册程序和执法）与私营部门和大学进行磋商而出台的现有倡议基础上，WIPO办事处将推动并协调公共和私营部门之间就知识产权相关事项开展更为系统化的磋商。将每年举办一次活动，对在知识产权立法和执法方面所取得的进展进行回顾，并确定进一步的改进措施。</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意识和能力提升</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8)</w:t>
      </w:r>
      <w:r w:rsidRPr="009D5469">
        <w:rPr>
          <w:rFonts w:ascii="KaiTi" w:eastAsia="KaiTi" w:hAnsi="KaiTi" w:hint="eastAsia"/>
          <w:iCs/>
          <w:sz w:val="21"/>
        </w:rPr>
        <w:t>提升对于知识产权和WIPO作用的意识、了解和尊重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通过在阿布扎比位置优越的地区设立WIPO专家办事处，阿联酋将明确地表明知识产权和WIPO的重要性，以及它为促进和实施知识产权所做出的广泛承诺。此外，WIPO阿联酋办事处将负责利用包括社交媒体在内的各类不同媒体平台形式来组织知识产权宣传活动。办事处还将在每年11月举行的阿联酋创新周期间组织一系列活动，以突出展示知识产权成就以及政府、企业、大学和其他相关机构所提供的众多服务。</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9)</w:t>
      </w:r>
      <w:r w:rsidRPr="009D5469">
        <w:rPr>
          <w:rFonts w:ascii="KaiTi" w:eastAsia="KaiTi" w:hAnsi="KaiTi" w:hint="eastAsia"/>
          <w:iCs/>
          <w:sz w:val="21"/>
        </w:rPr>
        <w:t>与WIPO学院合作开展知识产权能力建设</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拟设的面向阿联酋和伙伴国政府官员开办的能力建设研讨班将涵盖知识产权法律和制度、知识产权流程、知识产权知识管理最佳实践、公共私营部门对话以及充分利用WIPO条约和其他服务等领域。将在每季度开办能力建设研讨班，由参加者进行系统评估，以持续改进研讨班的相关性和时效性。</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10)</w:t>
      </w:r>
      <w:r w:rsidRPr="009D5469">
        <w:rPr>
          <w:rFonts w:ascii="KaiTi" w:eastAsia="KaiTi" w:hAnsi="KaiTi" w:hint="eastAsia"/>
          <w:iCs/>
          <w:sz w:val="21"/>
        </w:rPr>
        <w:t>为沟通和交流知识产权最佳实践提供便利</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已经在积极推动有关创新和知识产权的知识交流，即通过每年11月举办的阿联酋创新周等论坛。在阿联酋这一经验的基础上，阿联酋和伙伴国之间的沟通和知识交流将通过在阿联酋创新周期间专门为伙伴国之间分享最佳实践举办一次活动，以及在办事处网站上展示最引人关注的知识产权最佳实践而得到进一步拓展。</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FC3CF9" w:rsidRPr="00D449C5" w:rsidRDefault="00FC3CF9" w:rsidP="00365281">
      <w:pPr>
        <w:keepNext/>
        <w:spacing w:afterLines="50" w:after="120" w:line="340" w:lineRule="atLeast"/>
        <w:rPr>
          <w:rFonts w:ascii="SimSun" w:hAnsi="SimSun"/>
          <w:sz w:val="21"/>
        </w:rPr>
      </w:pPr>
      <w:r w:rsidRPr="009D5469">
        <w:rPr>
          <w:rFonts w:ascii="KaiTi" w:eastAsia="KaiTi" w:hAnsi="KaiTi" w:hint="eastAsia"/>
          <w:sz w:val="21"/>
        </w:rPr>
        <w:t>[</w:t>
      </w:r>
      <w:r w:rsidRPr="009D5469">
        <w:rPr>
          <w:rFonts w:ascii="KaiTi" w:eastAsia="KaiTi" w:hAnsi="KaiTi" w:cs="SimSun" w:hint="eastAsia"/>
          <w:sz w:val="21"/>
        </w:rPr>
        <w:t>见“目标”和</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sz w:val="21"/>
        </w:rPr>
        <w:t>部分</w:t>
      </w:r>
      <w:r w:rsidRPr="009D5469">
        <w:rPr>
          <w:rFonts w:ascii="KaiTi" w:eastAsia="KaiTi" w:hAnsi="KaiTi" w:hint="eastAsia"/>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9D5469">
        <w:rPr>
          <w:rFonts w:ascii="SimHei" w:eastAsia="SimHei" w:hAnsi="SimHei"/>
          <w:bCs/>
          <w:smallCaps/>
          <w:sz w:val="21"/>
          <w:szCs w:val="21"/>
          <w:vertAlign w:val="superscript"/>
        </w:rPr>
        <w:footnoteReference w:id="41"/>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提议在经济部这一重要而便利的地点设立WIPO办事处。经济部位于会展区的Liwa大厦，距机场15分钟车程，邻近条件优越的使馆区。为了鼓励最大程度的合力，WIPO办事处将毗邻知识产权司和新近成立的知识产权中心。</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将为WIPO办事处提供共计250平方米的场所，包括设施齐全的办公区域，其中包括办公家具、打印机、电话和不由WIPO提供的任何其他相关设备。</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为了进一步提高影响力和知名度，阿联酋提议在经济部和新WIPO办事处之间实行借调计划。经济部为支持WIPO团队的工作将向其借调两名员工并每年进行一次轮换。还可接受来自相关伙伴国的其他借调。通过借调员工与WIPO专家的日常互动，前者将增长他们在知识产权领域的知识和专业知识。</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阿联酋经济部拨给新WIPO办事处的预计总年度预算将为1,314,000阿联酋迪拉姆或355,000美元。</w:t>
      </w:r>
    </w:p>
    <w:p w:rsidR="00D449C5" w:rsidRPr="009D5469" w:rsidRDefault="00FC3CF9" w:rsidP="00FC3CF9">
      <w:pPr>
        <w:pStyle w:val="ONUME"/>
        <w:numPr>
          <w:ilvl w:val="0"/>
          <w:numId w:val="0"/>
        </w:numPr>
        <w:spacing w:after="0"/>
        <w:rPr>
          <w:rFonts w:ascii="KaiTi" w:eastAsia="KaiTi" w:hAnsi="KaiTi"/>
          <w:iCs/>
          <w:sz w:val="21"/>
        </w:rPr>
      </w:pPr>
      <w:r w:rsidRPr="009D5469">
        <w:rPr>
          <w:rFonts w:ascii="KaiTi" w:eastAsia="KaiTi" w:hAnsi="KaiTi" w:hint="eastAsia"/>
          <w:iCs/>
          <w:sz w:val="21"/>
        </w:rPr>
        <w:t>WIPO阿联酋办事处预算细目</w:t>
      </w:r>
    </w:p>
    <w:p w:rsidR="00D449C5" w:rsidRPr="009D5469" w:rsidRDefault="00FC3CF9" w:rsidP="00FC3CF9">
      <w:pPr>
        <w:pStyle w:val="ONUME"/>
        <w:numPr>
          <w:ilvl w:val="0"/>
          <w:numId w:val="0"/>
        </w:numPr>
        <w:spacing w:after="0"/>
        <w:rPr>
          <w:rFonts w:ascii="SimSun" w:hAnsi="SimSun"/>
          <w:sz w:val="21"/>
        </w:rPr>
      </w:pPr>
      <w:r w:rsidRPr="009D5469">
        <w:rPr>
          <w:rFonts w:ascii="SimSun" w:hAnsi="SimSun"/>
          <w:noProof/>
          <w:sz w:val="21"/>
          <w:lang w:eastAsia="en-US"/>
        </w:rPr>
        <w:drawing>
          <wp:inline distT="0" distB="0" distL="0" distR="0" wp14:anchorId="56253975" wp14:editId="6D1A1924">
            <wp:extent cx="6010275" cy="1990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5797" cy="1992648"/>
                    </a:xfrm>
                    <a:prstGeom prst="rect">
                      <a:avLst/>
                    </a:prstGeom>
                    <a:noFill/>
                  </pic:spPr>
                </pic:pic>
              </a:graphicData>
            </a:graphic>
          </wp:inline>
        </w:drawing>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在五年期间，阿联酋拨给WIPO办事处的预计预算约为690万阿联酋迪拉姆或186万美元（见图6）。WIPO成员无需担忧该提议的财务可持续性，该提议得到了阿联酋政府的全面支持和承诺。</w:t>
      </w:r>
    </w:p>
    <w:p w:rsidR="00D449C5" w:rsidRPr="009D5469" w:rsidRDefault="00FC3CF9" w:rsidP="00FC3CF9">
      <w:pPr>
        <w:keepNext/>
        <w:keepLines/>
        <w:tabs>
          <w:tab w:val="left" w:pos="2880"/>
        </w:tabs>
        <w:rPr>
          <w:rFonts w:ascii="KaiTi" w:eastAsia="KaiTi" w:hAnsi="KaiTi"/>
          <w:iCs/>
          <w:sz w:val="21"/>
        </w:rPr>
      </w:pPr>
      <w:r w:rsidRPr="009D5469">
        <w:rPr>
          <w:rFonts w:ascii="KaiTi" w:eastAsia="KaiTi" w:hAnsi="KaiTi" w:cs="SimSun" w:hint="eastAsia"/>
          <w:iCs/>
          <w:sz w:val="21"/>
        </w:rPr>
        <w:t>五年期</w:t>
      </w:r>
      <w:r w:rsidRPr="009D5469">
        <w:rPr>
          <w:rFonts w:ascii="KaiTi" w:eastAsia="KaiTi" w:hAnsi="KaiTi" w:hint="eastAsia"/>
          <w:iCs/>
          <w:sz w:val="21"/>
        </w:rPr>
        <w:t>WIPO</w:t>
      </w:r>
      <w:r w:rsidRPr="009D5469">
        <w:rPr>
          <w:rFonts w:ascii="KaiTi" w:eastAsia="KaiTi" w:hAnsi="KaiTi" w:cs="SimSun" w:hint="eastAsia"/>
          <w:iCs/>
          <w:sz w:val="21"/>
        </w:rPr>
        <w:t>办事处预算细目</w:t>
      </w:r>
    </w:p>
    <w:p w:rsidR="00D449C5" w:rsidRPr="009D5469" w:rsidRDefault="00FC3CF9" w:rsidP="00FC3CF9">
      <w:pPr>
        <w:keepNext/>
        <w:keepLines/>
        <w:tabs>
          <w:tab w:val="left" w:pos="2880"/>
        </w:tabs>
        <w:rPr>
          <w:rFonts w:ascii="SimSun" w:hAnsi="SimSun"/>
          <w:sz w:val="21"/>
        </w:rPr>
      </w:pPr>
      <w:r>
        <w:rPr>
          <w:rFonts w:eastAsia="Times New Roman"/>
          <w:noProof/>
          <w:sz w:val="20"/>
          <w:lang w:eastAsia="en-US"/>
        </w:rPr>
        <w:drawing>
          <wp:anchor distT="0" distB="0" distL="114300" distR="114300" simplePos="0" relativeHeight="251667456" behindDoc="1" locked="0" layoutInCell="1" allowOverlap="1" wp14:anchorId="1D43598A" wp14:editId="3BCEC658">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FC3CF9" w:rsidRPr="00365281" w:rsidRDefault="00FC3CF9" w:rsidP="00365281">
      <w:pPr>
        <w:pStyle w:val="Endofdocument-Annex"/>
        <w:spacing w:afterLines="50" w:after="120" w:line="340" w:lineRule="atLeast"/>
        <w:rPr>
          <w:rFonts w:ascii="KaiTi" w:eastAsia="KaiTi" w:hAnsi="KaiTi"/>
          <w:sz w:val="21"/>
          <w:lang w:eastAsia="en-US"/>
        </w:rPr>
      </w:pPr>
      <w:r w:rsidRPr="00365281">
        <w:rPr>
          <w:rFonts w:ascii="KaiTi" w:eastAsia="KaiTi" w:hAnsi="KaiTi"/>
          <w:sz w:val="21"/>
          <w:lang w:eastAsia="en-US"/>
        </w:rPr>
        <w:t>[</w:t>
      </w:r>
      <w:r w:rsidRPr="00365281">
        <w:rPr>
          <w:rFonts w:ascii="KaiTi" w:eastAsia="KaiTi" w:hAnsi="KaiTi" w:hint="eastAsia"/>
          <w:sz w:val="21"/>
        </w:rPr>
        <w:t>附件和文件完]</w:t>
      </w:r>
    </w:p>
    <w:sectPr w:rsidR="00FC3CF9" w:rsidRPr="00365281" w:rsidSect="00F85B4A">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66" w:rsidRDefault="00CD6A66">
      <w:r>
        <w:separator/>
      </w:r>
    </w:p>
  </w:endnote>
  <w:endnote w:type="continuationSeparator" w:id="0">
    <w:p w:rsidR="00CD6A66" w:rsidRDefault="00CD6A66" w:rsidP="003B38C1">
      <w:r>
        <w:separator/>
      </w:r>
    </w:p>
    <w:p w:rsidR="00CD6A66" w:rsidRPr="003B38C1" w:rsidRDefault="00CD6A66" w:rsidP="003B38C1">
      <w:pPr>
        <w:spacing w:after="60"/>
        <w:rPr>
          <w:sz w:val="17"/>
        </w:rPr>
      </w:pPr>
      <w:r>
        <w:rPr>
          <w:sz w:val="17"/>
        </w:rPr>
        <w:t>[Endnote continued from previous page]</w:t>
      </w:r>
    </w:p>
  </w:endnote>
  <w:endnote w:type="continuationNotice" w:id="1">
    <w:p w:rsidR="00CD6A66" w:rsidRPr="003B38C1" w:rsidRDefault="00CD6A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B1138C" w:rsidRDefault="00CD6A66" w:rsidP="00163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Footer"/>
      <w:rPr>
        <w:sz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Footer"/>
      <w:rPr>
        <w:sz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Foo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66" w:rsidRDefault="00CD6A66">
      <w:r>
        <w:separator/>
      </w:r>
    </w:p>
  </w:footnote>
  <w:footnote w:type="continuationSeparator" w:id="0">
    <w:p w:rsidR="00CD6A66" w:rsidRDefault="00CD6A66" w:rsidP="008B60B2">
      <w:r>
        <w:separator/>
      </w:r>
    </w:p>
    <w:p w:rsidR="00CD6A66" w:rsidRPr="00ED77FB" w:rsidRDefault="00CD6A66" w:rsidP="008B60B2">
      <w:pPr>
        <w:spacing w:after="60"/>
        <w:rPr>
          <w:sz w:val="17"/>
          <w:szCs w:val="17"/>
        </w:rPr>
      </w:pPr>
      <w:r w:rsidRPr="00ED77FB">
        <w:rPr>
          <w:sz w:val="17"/>
          <w:szCs w:val="17"/>
        </w:rPr>
        <w:t>[Footnote continued from previous page]</w:t>
      </w:r>
    </w:p>
  </w:footnote>
  <w:footnote w:type="continuationNotice" w:id="1">
    <w:p w:rsidR="00CD6A66" w:rsidRPr="00ED77FB" w:rsidRDefault="00CD6A66" w:rsidP="008B60B2">
      <w:pPr>
        <w:spacing w:before="60"/>
        <w:jc w:val="right"/>
        <w:rPr>
          <w:sz w:val="17"/>
          <w:szCs w:val="17"/>
        </w:rPr>
      </w:pPr>
      <w:r w:rsidRPr="00ED77FB">
        <w:rPr>
          <w:sz w:val="17"/>
          <w:szCs w:val="17"/>
        </w:rPr>
        <w:t>[Footnote continued on next page]</w:t>
      </w:r>
    </w:p>
  </w:footnote>
  <w:footnote w:id="2">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00564864">
        <w:rPr>
          <w:rFonts w:asciiTheme="majorEastAsia" w:eastAsiaTheme="majorEastAsia" w:hAnsiTheme="majorEastAsia" w:hint="eastAsia"/>
          <w:szCs w:val="21"/>
        </w:rPr>
        <w:tab/>
      </w:r>
      <w:r w:rsidRPr="00564864">
        <w:rPr>
          <w:rFonts w:asciiTheme="majorEastAsia" w:eastAsiaTheme="majorEastAsia" w:hAnsiTheme="majorEastAsia" w:hint="eastAsia"/>
          <w:szCs w:val="21"/>
        </w:rPr>
        <w:t>为便于查阅，“WIPO驻外办事处指导原则”（载于文件A/55/13 Prov.）作为附件附上。</w:t>
      </w:r>
    </w:p>
  </w:footnote>
  <w:footnote w:id="3">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00564864">
        <w:rPr>
          <w:rFonts w:asciiTheme="majorEastAsia" w:eastAsiaTheme="majorEastAsia" w:hAnsiTheme="majorEastAsia" w:hint="eastAsia"/>
          <w:szCs w:val="21"/>
        </w:rPr>
        <w:tab/>
      </w:r>
      <w:r w:rsidRPr="00564864">
        <w:rPr>
          <w:rFonts w:asciiTheme="majorEastAsia" w:eastAsiaTheme="majorEastAsia" w:hAnsiTheme="majorEastAsia" w:hint="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hint="eastAsia"/>
          <w:szCs w:val="21"/>
        </w:rPr>
        <w:t>（</w:t>
      </w:r>
      <w:r w:rsidRPr="00564864">
        <w:rPr>
          <w:rFonts w:asciiTheme="majorEastAsia" w:eastAsiaTheme="majorEastAsia" w:hAnsiTheme="majorEastAsia" w:hint="eastAsia"/>
          <w:szCs w:val="21"/>
        </w:rPr>
        <w:t>如果有</w:t>
      </w:r>
      <w:r w:rsidR="00F85B4A">
        <w:rPr>
          <w:rFonts w:asciiTheme="majorEastAsia" w:eastAsiaTheme="majorEastAsia" w:hAnsiTheme="majorEastAsia" w:hint="eastAsia"/>
          <w:szCs w:val="21"/>
        </w:rPr>
        <w:t>）</w:t>
      </w:r>
      <w:r w:rsidRPr="00564864">
        <w:rPr>
          <w:rFonts w:asciiTheme="majorEastAsia" w:eastAsiaTheme="majorEastAsia" w:hAnsiTheme="majorEastAsia" w:hint="eastAsia"/>
          <w:szCs w:val="21"/>
        </w:rPr>
        <w:t>；说明为本组织完成项目增加的价值，并特别说明D节[财务和预算可持续性]和E节[地理/选址方面]中列出的考虑。”</w:t>
      </w:r>
    </w:p>
  </w:footnote>
  <w:footnote w:id="4">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5">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w:t>
      </w:r>
      <w:r w:rsidRPr="00564864">
        <w:rPr>
          <w:rFonts w:asciiTheme="majorEastAsia" w:eastAsiaTheme="majorEastAsia" w:hAnsiTheme="majorEastAsia" w:hint="eastAsia"/>
          <w:sz w:val="18"/>
          <w:szCs w:val="21"/>
        </w:rPr>
        <w:t>“</w:t>
      </w:r>
      <w:r w:rsidRPr="00564864">
        <w:rPr>
          <w:rFonts w:asciiTheme="majorEastAsia" w:eastAsiaTheme="majorEastAsia" w:hAnsiTheme="majorEastAsia"/>
          <w:sz w:val="18"/>
          <w:szCs w:val="21"/>
        </w:rPr>
        <w:t>除东道国或其他愿为所设驻外办事处运转作出贡献的国家之外，驻外办事处的筹资不应对成员国造成额外的财务负担，除非是经批准的经常预算拨款。</w:t>
      </w:r>
      <w:r w:rsidRPr="00564864">
        <w:rPr>
          <w:rFonts w:asciiTheme="majorEastAsia" w:eastAsiaTheme="majorEastAsia" w:hAnsiTheme="majorEastAsia" w:hint="eastAsia"/>
          <w:sz w:val="18"/>
          <w:szCs w:val="21"/>
        </w:rPr>
        <w:t>”</w:t>
      </w:r>
    </w:p>
  </w:footnote>
  <w:footnote w:id="6">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7">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8">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9">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10">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1">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12">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13">
    <w:p w:rsidR="00CD6A66" w:rsidRPr="00564864" w:rsidRDefault="00CD6A66" w:rsidP="00564864">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w:t>
      </w:r>
      <w:r w:rsidRPr="00564864">
        <w:rPr>
          <w:rFonts w:asciiTheme="majorEastAsia" w:eastAsiaTheme="majorEastAsia" w:hAnsiTheme="majorEastAsia" w:hint="eastAsia"/>
          <w:sz w:val="18"/>
          <w:szCs w:val="21"/>
        </w:rPr>
        <w:t>“</w:t>
      </w:r>
      <w:r w:rsidRPr="00564864">
        <w:rPr>
          <w:rFonts w:asciiTheme="majorEastAsia" w:eastAsiaTheme="majorEastAsia" w:hAnsiTheme="majorEastAsia"/>
          <w:sz w:val="18"/>
          <w:szCs w:val="21"/>
        </w:rPr>
        <w:t>除东道国或其他愿为所设驻外办事处运转作出贡献的国家之外，驻外办事处的筹资不应对成员国造成额外的财务负担，除非是经批准的经常预算拨款。</w:t>
      </w:r>
      <w:r w:rsidRPr="00564864">
        <w:rPr>
          <w:rFonts w:asciiTheme="majorEastAsia" w:eastAsiaTheme="majorEastAsia" w:hAnsiTheme="majorEastAsia" w:hint="eastAsia"/>
          <w:sz w:val="18"/>
          <w:szCs w:val="21"/>
        </w:rPr>
        <w:t>”</w:t>
      </w:r>
    </w:p>
  </w:footnote>
  <w:footnote w:id="14">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5">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16">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17">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18">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9">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20">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21">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22">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23">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24">
    <w:p w:rsidR="00CD6A66" w:rsidRPr="00564864" w:rsidRDefault="00CD6A66" w:rsidP="00564864">
      <w:pPr>
        <w:pStyle w:val="FootnoteText"/>
        <w:overflowPunct w:val="0"/>
        <w:jc w:val="both"/>
        <w:rPr>
          <w:rFonts w:asciiTheme="majorEastAsia" w:eastAsiaTheme="majorEastAsia" w:hAnsiTheme="majorEastAsia"/>
          <w:color w:val="0070C0"/>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见</w:t>
      </w:r>
      <w:r w:rsidRPr="00F445D7">
        <w:rPr>
          <w:rFonts w:asciiTheme="majorEastAsia" w:eastAsiaTheme="majorEastAsia" w:hAnsiTheme="majorEastAsia" w:hint="eastAsia"/>
          <w:szCs w:val="21"/>
        </w:rPr>
        <w:t>：</w:t>
      </w:r>
      <w:r w:rsidRPr="00F445D7">
        <w:rPr>
          <w:rFonts w:asciiTheme="majorEastAsia" w:eastAsiaTheme="majorEastAsia" w:hAnsiTheme="majorEastAsia"/>
          <w:szCs w:val="21"/>
        </w:rPr>
        <w:t>http://www.</w:t>
      </w:r>
      <w:hyperlink r:id="rId1">
        <w:r w:rsidRPr="00F445D7">
          <w:rPr>
            <w:rStyle w:val="Hyperlink"/>
            <w:rFonts w:asciiTheme="majorEastAsia" w:eastAsiaTheme="majorEastAsia" w:hAnsiTheme="majorEastAsia"/>
            <w:color w:val="auto"/>
            <w:szCs w:val="21"/>
            <w:u w:val="none"/>
          </w:rPr>
          <w:t>eli</w:t>
        </w:r>
      </w:hyperlink>
      <w:r w:rsidRPr="00F445D7">
        <w:rPr>
          <w:rFonts w:asciiTheme="majorEastAsia" w:eastAsiaTheme="majorEastAsia" w:hAnsiTheme="majorEastAsia"/>
          <w:szCs w:val="21"/>
        </w:rPr>
        <w:t>-np.ro/</w:t>
      </w:r>
      <w:r w:rsidRPr="00F445D7">
        <w:rPr>
          <w:rFonts w:asciiTheme="majorEastAsia" w:eastAsiaTheme="majorEastAsia" w:hAnsiTheme="majorEastAsia" w:hint="eastAsia"/>
          <w:szCs w:val="21"/>
        </w:rPr>
        <w:t>。</w:t>
      </w:r>
    </w:p>
  </w:footnote>
  <w:footnote w:id="25">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r>
      <w:r w:rsidRPr="00564864">
        <w:rPr>
          <w:rFonts w:asciiTheme="majorEastAsia" w:eastAsiaTheme="majorEastAsia" w:hAnsiTheme="majorEastAsia"/>
          <w:szCs w:val="21"/>
        </w:rPr>
        <w:t>见：</w:t>
      </w:r>
      <w:hyperlink r:id="rId2" w:history="1">
        <w:r w:rsidRPr="00F445D7">
          <w:rPr>
            <w:rStyle w:val="Hyperlink"/>
            <w:rFonts w:asciiTheme="majorEastAsia" w:eastAsiaTheme="majorEastAsia" w:hAnsiTheme="majorEastAsia"/>
            <w:color w:val="auto"/>
            <w:szCs w:val="21"/>
            <w:u w:val="none"/>
          </w:rPr>
          <w:t>http://www.weforum.org/agenda/2016/01/the-10-skills-you-need-to-thrive-in-the-fourth-industri</w:t>
        </w:r>
        <w:r w:rsidRPr="00F445D7">
          <w:rPr>
            <w:rStyle w:val="Hyperlink"/>
            <w:rFonts w:asciiTheme="majorEastAsia" w:eastAsiaTheme="majorEastAsia" w:hAnsiTheme="majorEastAsia" w:hint="eastAsia"/>
            <w:color w:val="auto"/>
            <w:szCs w:val="21"/>
            <w:u w:val="none"/>
          </w:rPr>
          <w:br/>
        </w:r>
        <w:r w:rsidRPr="00F445D7">
          <w:rPr>
            <w:rStyle w:val="Hyperlink"/>
            <w:rFonts w:asciiTheme="majorEastAsia" w:eastAsiaTheme="majorEastAsia" w:hAnsiTheme="majorEastAsia"/>
            <w:color w:val="auto"/>
            <w:szCs w:val="21"/>
            <w:u w:val="none"/>
          </w:rPr>
          <w:t>al-revolution</w:t>
        </w:r>
      </w:hyperlink>
      <w:r w:rsidRPr="00F445D7">
        <w:rPr>
          <w:rFonts w:asciiTheme="majorEastAsia" w:eastAsiaTheme="majorEastAsia" w:hAnsiTheme="majorEastAsia" w:hint="eastAsia"/>
          <w:szCs w:val="21"/>
        </w:rPr>
        <w:t>。</w:t>
      </w:r>
    </w:p>
  </w:footnote>
  <w:footnote w:id="26">
    <w:p w:rsidR="00CD6A66" w:rsidRPr="00564864" w:rsidRDefault="00CD6A66" w:rsidP="00564864">
      <w:pPr>
        <w:pStyle w:val="PlainText"/>
        <w:overflowPunct w:val="0"/>
        <w:jc w:val="both"/>
        <w:rPr>
          <w:rFonts w:asciiTheme="majorEastAsia" w:eastAsiaTheme="majorEastAsia" w:hAnsiTheme="majorEastAsia"/>
          <w:color w:val="0070C0"/>
          <w:sz w:val="18"/>
        </w:rPr>
      </w:pPr>
      <w:r w:rsidRPr="00564864">
        <w:rPr>
          <w:rStyle w:val="FootnoteReference"/>
          <w:rFonts w:asciiTheme="majorEastAsia" w:eastAsiaTheme="majorEastAsia" w:hAnsiTheme="majorEastAsia"/>
          <w:sz w:val="18"/>
        </w:rPr>
        <w:footnoteRef/>
      </w:r>
      <w:r w:rsidRPr="00564864">
        <w:rPr>
          <w:rFonts w:asciiTheme="majorEastAsia" w:eastAsiaTheme="majorEastAsia" w:hAnsiTheme="majorEastAsia" w:hint="eastAsia"/>
          <w:sz w:val="18"/>
        </w:rPr>
        <w:tab/>
      </w:r>
      <w:r w:rsidRPr="00564864">
        <w:rPr>
          <w:rFonts w:asciiTheme="majorEastAsia" w:eastAsiaTheme="majorEastAsia" w:hAnsiTheme="majorEastAsia"/>
          <w:sz w:val="18"/>
        </w:rPr>
        <w:t>见：</w:t>
      </w:r>
      <w:hyperlink r:id="rId3">
        <w:r w:rsidRPr="00F445D7">
          <w:rPr>
            <w:rFonts w:asciiTheme="majorEastAsia" w:eastAsiaTheme="majorEastAsia" w:hAnsiTheme="majorEastAsia"/>
            <w:sz w:val="18"/>
          </w:rPr>
          <w:t>http://www.ccapcongress.net/archives/Regional/Files/Bucharest%20Declaration.pdf</w:t>
        </w:r>
      </w:hyperlink>
      <w:r w:rsidRPr="00F445D7">
        <w:rPr>
          <w:rFonts w:asciiTheme="majorEastAsia" w:eastAsiaTheme="majorEastAsia" w:hAnsiTheme="majorEastAsia" w:hint="eastAsia"/>
          <w:sz w:val="18"/>
        </w:rPr>
        <w:t>。</w:t>
      </w:r>
    </w:p>
    <w:p w:rsidR="00CD6A66" w:rsidRPr="00564864" w:rsidRDefault="00CD6A66" w:rsidP="00564864">
      <w:pPr>
        <w:pStyle w:val="PlainText"/>
        <w:overflowPunct w:val="0"/>
        <w:jc w:val="both"/>
        <w:rPr>
          <w:rFonts w:asciiTheme="majorEastAsia" w:eastAsiaTheme="majorEastAsia" w:hAnsiTheme="majorEastAsia"/>
          <w:color w:val="0070C0"/>
          <w:sz w:val="18"/>
          <w:lang w:eastAsia="zh-CN"/>
        </w:rPr>
      </w:pPr>
      <w:r w:rsidRPr="00564864">
        <w:rPr>
          <w:rFonts w:asciiTheme="majorEastAsia" w:eastAsiaTheme="majorEastAsia" w:hAnsiTheme="majorEastAsia"/>
          <w:sz w:val="18"/>
          <w:lang w:eastAsia="zh-CN"/>
        </w:rPr>
        <w:t>东欧和中亚打击假冒和盗版地区大会——2006年7月12日</w:t>
      </w:r>
      <w:r w:rsidRPr="00564864">
        <w:rPr>
          <w:rFonts w:asciiTheme="majorEastAsia" w:eastAsiaTheme="majorEastAsia" w:hAnsiTheme="majorEastAsia" w:hint="eastAsia"/>
          <w:sz w:val="18"/>
          <w:lang w:eastAsia="zh-CN"/>
        </w:rPr>
        <w:t>《</w:t>
      </w:r>
      <w:r w:rsidRPr="00564864">
        <w:rPr>
          <w:rFonts w:asciiTheme="majorEastAsia" w:eastAsiaTheme="majorEastAsia" w:hAnsiTheme="majorEastAsia"/>
          <w:sz w:val="18"/>
          <w:lang w:eastAsia="zh-CN"/>
        </w:rPr>
        <w:t>布加勒斯特宣言</w:t>
      </w:r>
      <w:r w:rsidRPr="00564864">
        <w:rPr>
          <w:rFonts w:asciiTheme="majorEastAsia" w:eastAsiaTheme="majorEastAsia" w:hAnsiTheme="majorEastAsia" w:hint="eastAsia"/>
          <w:sz w:val="18"/>
          <w:lang w:eastAsia="zh-CN"/>
        </w:rPr>
        <w:t>》</w:t>
      </w:r>
      <w:r w:rsidRPr="00564864">
        <w:rPr>
          <w:rFonts w:asciiTheme="majorEastAsia" w:eastAsiaTheme="majorEastAsia" w:hAnsiTheme="majorEastAsia"/>
          <w:sz w:val="18"/>
          <w:lang w:eastAsia="zh-CN"/>
        </w:rPr>
        <w:t>。</w:t>
      </w:r>
    </w:p>
  </w:footnote>
  <w:footnote w:id="27">
    <w:p w:rsidR="00CD6A66" w:rsidRPr="00564864" w:rsidRDefault="00CD6A66" w:rsidP="00564864">
      <w:pPr>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见：</w:t>
      </w:r>
      <w:hyperlink r:id="rId4">
        <w:r w:rsidRPr="00F445D7">
          <w:rPr>
            <w:rStyle w:val="Hyperlink"/>
            <w:rFonts w:asciiTheme="majorEastAsia" w:eastAsiaTheme="majorEastAsia" w:hAnsiTheme="majorEastAsia"/>
            <w:color w:val="auto"/>
            <w:sz w:val="18"/>
            <w:szCs w:val="21"/>
            <w:u w:val="none"/>
          </w:rPr>
          <w:t>http://www.wipo.int/export/sites/www/about-wipo/en/budget/pdf/budget_2016_2017.pdf</w:t>
        </w:r>
      </w:hyperlink>
      <w:r w:rsidRPr="00F445D7">
        <w:rPr>
          <w:rFonts w:asciiTheme="majorEastAsia" w:eastAsiaTheme="majorEastAsia" w:hAnsiTheme="majorEastAsia" w:hint="eastAsia"/>
          <w:sz w:val="18"/>
          <w:szCs w:val="21"/>
        </w:rPr>
        <w:t>。</w:t>
      </w:r>
    </w:p>
  </w:footnote>
  <w:footnote w:id="28">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29">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30">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1">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32">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33">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34">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5">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36">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37">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 w:id="38">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9">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Style w:val="FootnoteReference"/>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；说明为本组织完成项目增加的价值，并特别说明D节[财务和预算可持续性]和E节[地理/选址方面]中列出的考虑。”</w:t>
      </w:r>
    </w:p>
  </w:footnote>
  <w:footnote w:id="40">
    <w:p w:rsidR="00CD6A66" w:rsidRPr="00564864" w:rsidRDefault="00CD6A66" w:rsidP="00564864">
      <w:pPr>
        <w:pStyle w:val="FootnoteText"/>
        <w:overflowPunct w:val="0"/>
        <w:jc w:val="both"/>
        <w:rPr>
          <w:rFonts w:asciiTheme="majorEastAsia" w:eastAsiaTheme="majorEastAsia" w:hAnsiTheme="majorEastAsia"/>
          <w:szCs w:val="21"/>
        </w:rPr>
      </w:pPr>
      <w:r w:rsidRPr="00564864">
        <w:rPr>
          <w:rStyle w:val="FootnoteReference"/>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41">
    <w:p w:rsidR="00CD6A66" w:rsidRPr="00031529" w:rsidRDefault="00CD6A66" w:rsidP="00F445D7">
      <w:pPr>
        <w:tabs>
          <w:tab w:val="left" w:pos="567"/>
        </w:tabs>
        <w:overflowPunct w:val="0"/>
        <w:jc w:val="both"/>
        <w:rPr>
          <w:sz w:val="16"/>
          <w:szCs w:val="16"/>
        </w:rPr>
      </w:pPr>
      <w:r w:rsidRPr="00564864">
        <w:rPr>
          <w:rStyle w:val="FootnoteReference"/>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D358DD" w:rsidRDefault="00CD6A66" w:rsidP="005F5E84">
    <w:pPr>
      <w:jc w:val="right"/>
      <w:rPr>
        <w:rFonts w:ascii="SimSun" w:hAnsi="SimSun"/>
        <w:sz w:val="21"/>
        <w:szCs w:val="21"/>
      </w:rPr>
    </w:pPr>
    <w:bookmarkStart w:id="6" w:name="Code2"/>
    <w:bookmarkEnd w:id="6"/>
    <w:r w:rsidRPr="00D358DD">
      <w:rPr>
        <w:rFonts w:ascii="SimSun" w:hAnsi="SimSun"/>
        <w:sz w:val="21"/>
        <w:szCs w:val="21"/>
      </w:rPr>
      <w:t>WO/PBC/26/7</w:t>
    </w:r>
  </w:p>
  <w:p w:rsidR="00CD6A66" w:rsidRPr="00D358DD" w:rsidRDefault="00CD6A66" w:rsidP="005F5E84">
    <w:pPr>
      <w:jc w:val="right"/>
      <w:rPr>
        <w:rFonts w:ascii="SimSun" w:hAnsi="SimSun"/>
        <w:sz w:val="21"/>
        <w:szCs w:val="21"/>
      </w:rPr>
    </w:pPr>
    <w:r w:rsidRPr="00D358DD">
      <w:rPr>
        <w:rFonts w:ascii="SimSun" w:hAnsi="SimSun" w:hint="eastAsia"/>
        <w:sz w:val="21"/>
        <w:szCs w:val="21"/>
      </w:rPr>
      <w:t>第</w:t>
    </w:r>
    <w:r w:rsidRPr="00D358DD">
      <w:rPr>
        <w:rFonts w:ascii="SimSun" w:hAnsi="SimSun"/>
        <w:sz w:val="21"/>
        <w:szCs w:val="21"/>
      </w:rPr>
      <w:fldChar w:fldCharType="begin"/>
    </w:r>
    <w:r w:rsidRPr="00D358DD">
      <w:rPr>
        <w:rFonts w:ascii="SimSun" w:hAnsi="SimSun"/>
        <w:sz w:val="21"/>
        <w:szCs w:val="21"/>
      </w:rPr>
      <w:instrText xml:space="preserve"> PAGE  \* MERGEFORMAT </w:instrText>
    </w:r>
    <w:r w:rsidRPr="00D358DD">
      <w:rPr>
        <w:rFonts w:ascii="SimSun" w:hAnsi="SimSun"/>
        <w:sz w:val="21"/>
        <w:szCs w:val="21"/>
      </w:rPr>
      <w:fldChar w:fldCharType="separate"/>
    </w:r>
    <w:r w:rsidR="00141E27">
      <w:rPr>
        <w:rFonts w:ascii="SimSun" w:hAnsi="SimSun"/>
        <w:noProof/>
        <w:sz w:val="21"/>
        <w:szCs w:val="21"/>
      </w:rPr>
      <w:t>3</w:t>
    </w:r>
    <w:r w:rsidRPr="00D358DD">
      <w:rPr>
        <w:rFonts w:ascii="SimSun" w:hAnsi="SimSun"/>
        <w:sz w:val="21"/>
        <w:szCs w:val="21"/>
      </w:rPr>
      <w:fldChar w:fldCharType="end"/>
    </w:r>
    <w:r w:rsidRPr="00D358DD">
      <w:rPr>
        <w:rFonts w:ascii="SimSun" w:hAnsi="SimSun" w:hint="eastAsia"/>
        <w:sz w:val="21"/>
        <w:szCs w:val="21"/>
      </w:rPr>
      <w:t>页</w:t>
    </w:r>
  </w:p>
  <w:p w:rsidR="00CD6A66" w:rsidRPr="00D358DD" w:rsidRDefault="00CD6A66" w:rsidP="005F5E84">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85B4A" w:rsidRDefault="00CD6A66">
    <w:pPr>
      <w:pStyle w:val="Heade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rPr>
    </w:pPr>
    <w:r w:rsidRPr="00FC3CF9">
      <w:rPr>
        <w:rFonts w:ascii="SimSun" w:hAnsi="SimSun"/>
        <w:sz w:val="21"/>
      </w:rPr>
      <w:t>WO/PBC/26/7</w:t>
    </w:r>
  </w:p>
  <w:p w:rsidR="00CD6A66" w:rsidRPr="00FC3CF9" w:rsidRDefault="00CD6A66" w:rsidP="00FC3CF9">
    <w:pPr>
      <w:jc w:val="right"/>
      <w:rPr>
        <w:rFonts w:ascii="SimSun" w:hAnsi="SimSun"/>
        <w:sz w:val="21"/>
      </w:rPr>
    </w:pPr>
    <w:r w:rsidRPr="00FC3CF9">
      <w:rPr>
        <w:rFonts w:ascii="SimSun" w:hAnsi="SimSun" w:hint="eastAsia"/>
        <w:sz w:val="21"/>
      </w:rPr>
      <w:t>附件第</w:t>
    </w:r>
    <w:r w:rsidRPr="00FC3CF9">
      <w:rPr>
        <w:rFonts w:ascii="SimSun" w:hAnsi="SimSun"/>
        <w:sz w:val="21"/>
      </w:rPr>
      <w:fldChar w:fldCharType="begin"/>
    </w:r>
    <w:r w:rsidRPr="00FC3CF9">
      <w:rPr>
        <w:rFonts w:ascii="SimSun" w:hAnsi="SimSun"/>
        <w:sz w:val="21"/>
      </w:rPr>
      <w:instrText xml:space="preserve"> PAGE   \* MERGEFORMAT </w:instrText>
    </w:r>
    <w:r w:rsidRPr="00FC3CF9">
      <w:rPr>
        <w:rFonts w:ascii="SimSun" w:hAnsi="SimSun"/>
        <w:sz w:val="21"/>
      </w:rPr>
      <w:fldChar w:fldCharType="separate"/>
    </w:r>
    <w:r w:rsidR="00141E27">
      <w:rPr>
        <w:rFonts w:ascii="SimSun" w:hAnsi="SimSun"/>
        <w:noProof/>
        <w:sz w:val="21"/>
      </w:rPr>
      <w:t>33</w:t>
    </w:r>
    <w:r w:rsidRPr="00FC3CF9">
      <w:rPr>
        <w:rFonts w:ascii="SimSun" w:hAnsi="SimSun"/>
        <w:noProof/>
        <w:sz w:val="21"/>
      </w:rPr>
      <w:fldChar w:fldCharType="end"/>
    </w:r>
    <w:r w:rsidRPr="00FC3CF9">
      <w:rPr>
        <w:rFonts w:ascii="SimSun" w:hAnsi="SimSun" w:hint="eastAsia"/>
        <w:noProof/>
        <w:sz w:val="21"/>
      </w:rPr>
      <w:t>页</w:t>
    </w:r>
  </w:p>
  <w:p w:rsidR="00CD6A66" w:rsidRPr="00FC3CF9" w:rsidRDefault="00CD6A66" w:rsidP="00FC3CF9">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CA0DB1" w:rsidRDefault="00CD6A66" w:rsidP="00CA0DB1">
    <w:pPr>
      <w:jc w:val="right"/>
      <w:rPr>
        <w:rFonts w:ascii="SimSun" w:hAnsi="SimSun"/>
        <w:sz w:val="21"/>
      </w:rPr>
    </w:pPr>
    <w:r w:rsidRPr="00CA0DB1">
      <w:rPr>
        <w:rFonts w:ascii="SimSun" w:hAnsi="SimSun"/>
        <w:sz w:val="21"/>
      </w:rPr>
      <w:t>WO/PBC/26/7</w:t>
    </w:r>
  </w:p>
  <w:p w:rsidR="00CD6A66" w:rsidRPr="00CA0DB1" w:rsidRDefault="00CD6A66" w:rsidP="00CA0DB1">
    <w:pPr>
      <w:jc w:val="right"/>
      <w:rPr>
        <w:rFonts w:ascii="SimSun" w:hAnsi="SimSun"/>
        <w:sz w:val="21"/>
      </w:rPr>
    </w:pPr>
    <w:r w:rsidRPr="00CA0DB1">
      <w:rPr>
        <w:rFonts w:ascii="SimSun" w:hAnsi="SimSun" w:hint="eastAsia"/>
        <w:sz w:val="21"/>
      </w:rPr>
      <w:t>附　件</w:t>
    </w:r>
  </w:p>
  <w:p w:rsidR="00CD6A66" w:rsidRPr="00CA0DB1" w:rsidRDefault="00CD6A66" w:rsidP="00CA0DB1">
    <w:pPr>
      <w:pStyle w:val="Heade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CA0DB1" w:rsidRDefault="00CD6A66" w:rsidP="00CA0DB1">
    <w:pPr>
      <w:jc w:val="right"/>
      <w:rPr>
        <w:rFonts w:ascii="SimSun" w:hAnsi="SimSun"/>
        <w:sz w:val="21"/>
      </w:rPr>
    </w:pPr>
    <w:r w:rsidRPr="00CA0DB1">
      <w:rPr>
        <w:rFonts w:ascii="SimSun" w:hAnsi="SimSun"/>
        <w:sz w:val="21"/>
      </w:rPr>
      <w:t>WO/PBC/26/7</w:t>
    </w:r>
  </w:p>
  <w:p w:rsidR="00CD6A66" w:rsidRPr="00CA0DB1" w:rsidRDefault="00CD6A66" w:rsidP="00CA0DB1">
    <w:pPr>
      <w:jc w:val="right"/>
      <w:rPr>
        <w:rFonts w:ascii="SimSun" w:hAnsi="SimSun"/>
        <w:sz w:val="21"/>
      </w:rPr>
    </w:pPr>
    <w:r w:rsidRPr="00CA0DB1">
      <w:rPr>
        <w:rFonts w:ascii="SimSun" w:hAnsi="SimSun" w:hint="eastAsia"/>
        <w:sz w:val="21"/>
      </w:rPr>
      <w:t>附件第</w:t>
    </w:r>
    <w:r w:rsidRPr="00CA0DB1">
      <w:rPr>
        <w:rFonts w:ascii="SimSun" w:hAnsi="SimSun"/>
        <w:sz w:val="21"/>
      </w:rPr>
      <w:fldChar w:fldCharType="begin"/>
    </w:r>
    <w:r w:rsidRPr="00CA0DB1">
      <w:rPr>
        <w:rFonts w:ascii="SimSun" w:hAnsi="SimSun"/>
        <w:sz w:val="21"/>
      </w:rPr>
      <w:instrText>PAGE   \* MERGEFORMAT</w:instrText>
    </w:r>
    <w:r w:rsidRPr="00CA0DB1">
      <w:rPr>
        <w:rFonts w:ascii="SimSun" w:hAnsi="SimSun"/>
        <w:sz w:val="21"/>
      </w:rPr>
      <w:fldChar w:fldCharType="separate"/>
    </w:r>
    <w:r w:rsidR="00141E27" w:rsidRPr="00141E27">
      <w:rPr>
        <w:rFonts w:ascii="SimSun" w:hAnsi="SimSun"/>
        <w:noProof/>
        <w:sz w:val="21"/>
        <w:lang w:val="zh-CN"/>
      </w:rPr>
      <w:t>4</w:t>
    </w:r>
    <w:r w:rsidRPr="00CA0DB1">
      <w:rPr>
        <w:rFonts w:ascii="SimSun" w:hAnsi="SimSun"/>
        <w:sz w:val="21"/>
      </w:rPr>
      <w:fldChar w:fldCharType="end"/>
    </w:r>
    <w:r w:rsidRPr="00CA0DB1">
      <w:rPr>
        <w:rFonts w:ascii="SimSun" w:hAnsi="SimSun" w:hint="eastAsia"/>
        <w:sz w:val="21"/>
      </w:rPr>
      <w:t>页</w:t>
    </w:r>
  </w:p>
  <w:p w:rsidR="00CD6A66" w:rsidRPr="00CA0DB1" w:rsidRDefault="00CD6A66" w:rsidP="00CA0DB1">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lang w:val="fr-FR"/>
      </w:rPr>
    </w:pPr>
    <w:r w:rsidRPr="00FC3CF9">
      <w:rPr>
        <w:rFonts w:ascii="SimSun" w:hAnsi="SimSun"/>
        <w:sz w:val="21"/>
        <w:lang w:val="fr-FR"/>
      </w:rPr>
      <w:t>WO/PBC/26/7</w:t>
    </w:r>
  </w:p>
  <w:p w:rsidR="00CD6A66" w:rsidRPr="00FC3CF9" w:rsidRDefault="00CD6A66" w:rsidP="00FC3CF9">
    <w:pPr>
      <w:jc w:val="right"/>
      <w:rPr>
        <w:rFonts w:ascii="SimSun" w:hAnsi="SimSun"/>
        <w:sz w:val="21"/>
        <w:lang w:val="fr-FR"/>
      </w:rPr>
    </w:pPr>
    <w:r w:rsidRPr="00FC3CF9">
      <w:rPr>
        <w:rFonts w:ascii="SimSun" w:hAnsi="SimSun" w:hint="eastAsia"/>
        <w:sz w:val="21"/>
      </w:rPr>
      <w:t>附件第</w:t>
    </w:r>
    <w:r w:rsidRPr="00FC3CF9">
      <w:rPr>
        <w:rFonts w:ascii="SimSun" w:hAnsi="SimSun"/>
        <w:sz w:val="21"/>
      </w:rPr>
      <w:fldChar w:fldCharType="begin"/>
    </w:r>
    <w:r w:rsidRPr="00FC3CF9">
      <w:rPr>
        <w:rFonts w:ascii="SimSun" w:hAnsi="SimSun"/>
        <w:sz w:val="21"/>
        <w:lang w:val="fr-FR"/>
      </w:rPr>
      <w:instrText xml:space="preserve"> PAGE   \* MERGEFORMAT </w:instrText>
    </w:r>
    <w:r w:rsidRPr="00FC3CF9">
      <w:rPr>
        <w:rFonts w:ascii="SimSun" w:hAnsi="SimSun"/>
        <w:sz w:val="21"/>
      </w:rPr>
      <w:fldChar w:fldCharType="separate"/>
    </w:r>
    <w:r w:rsidR="00141E27">
      <w:rPr>
        <w:rFonts w:ascii="SimSun" w:hAnsi="SimSun"/>
        <w:noProof/>
        <w:sz w:val="21"/>
        <w:lang w:val="fr-FR"/>
      </w:rPr>
      <w:t>27</w:t>
    </w:r>
    <w:r w:rsidRPr="00FC3CF9">
      <w:rPr>
        <w:rFonts w:ascii="SimSun" w:hAnsi="SimSun"/>
        <w:noProof/>
        <w:sz w:val="21"/>
      </w:rPr>
      <w:fldChar w:fldCharType="end"/>
    </w:r>
    <w:r w:rsidRPr="00FC3CF9">
      <w:rPr>
        <w:rFonts w:ascii="SimSun" w:hAnsi="SimSun" w:hint="eastAsia"/>
        <w:noProof/>
        <w:sz w:val="21"/>
      </w:rPr>
      <w:t>页</w:t>
    </w:r>
  </w:p>
  <w:p w:rsidR="00CD6A66" w:rsidRPr="00FC3CF9" w:rsidRDefault="00CD6A66" w:rsidP="00FC3CF9">
    <w:pPr>
      <w:pStyle w:val="Header"/>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Header"/>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szCs w:val="21"/>
        <w:lang w:val="fr-FR"/>
      </w:rPr>
    </w:pPr>
    <w:r w:rsidRPr="00FC3CF9">
      <w:rPr>
        <w:rFonts w:ascii="SimSun" w:hAnsi="SimSun"/>
        <w:sz w:val="21"/>
        <w:szCs w:val="21"/>
        <w:lang w:val="fr-FR"/>
      </w:rPr>
      <w:t>WO/PBC/26/7</w:t>
    </w:r>
  </w:p>
  <w:p w:rsidR="00CD6A66" w:rsidRPr="00FC3CF9" w:rsidRDefault="00CD6A66" w:rsidP="00FC3CF9">
    <w:pPr>
      <w:jc w:val="right"/>
      <w:rPr>
        <w:rFonts w:ascii="SimSun" w:hAnsi="SimSun"/>
        <w:sz w:val="21"/>
        <w:szCs w:val="21"/>
        <w:lang w:val="fr-FR"/>
      </w:rPr>
    </w:pPr>
    <w:r w:rsidRPr="00FC3CF9">
      <w:rPr>
        <w:rFonts w:ascii="SimSun" w:hAnsi="SimSun" w:hint="eastAsia"/>
        <w:sz w:val="21"/>
        <w:szCs w:val="21"/>
      </w:rPr>
      <w:t>附件第</w:t>
    </w:r>
    <w:r w:rsidRPr="00FC3CF9">
      <w:rPr>
        <w:rFonts w:ascii="SimSun" w:hAnsi="SimSun"/>
        <w:sz w:val="21"/>
        <w:szCs w:val="21"/>
      </w:rPr>
      <w:fldChar w:fldCharType="begin"/>
    </w:r>
    <w:r w:rsidRPr="00FC3CF9">
      <w:rPr>
        <w:rFonts w:ascii="SimSun" w:hAnsi="SimSun"/>
        <w:sz w:val="21"/>
        <w:szCs w:val="21"/>
        <w:lang w:val="fr-FR"/>
      </w:rPr>
      <w:instrText xml:space="preserve"> PAGE  \* MERGEFORMAT </w:instrText>
    </w:r>
    <w:r w:rsidRPr="00FC3CF9">
      <w:rPr>
        <w:rFonts w:ascii="SimSun" w:hAnsi="SimSun"/>
        <w:sz w:val="21"/>
        <w:szCs w:val="21"/>
      </w:rPr>
      <w:fldChar w:fldCharType="separate"/>
    </w:r>
    <w:r w:rsidR="00141E27">
      <w:rPr>
        <w:rFonts w:ascii="SimSun" w:hAnsi="SimSun"/>
        <w:noProof/>
        <w:sz w:val="21"/>
        <w:szCs w:val="21"/>
        <w:lang w:val="fr-FR"/>
      </w:rPr>
      <w:t>43</w:t>
    </w:r>
    <w:r w:rsidRPr="00FC3CF9">
      <w:rPr>
        <w:rFonts w:ascii="SimSun" w:hAnsi="SimSun"/>
        <w:sz w:val="21"/>
        <w:szCs w:val="21"/>
      </w:rPr>
      <w:fldChar w:fldCharType="end"/>
    </w:r>
    <w:r w:rsidRPr="00FC3CF9">
      <w:rPr>
        <w:rFonts w:ascii="SimSun" w:hAnsi="SimSun" w:hint="eastAsia"/>
        <w:sz w:val="21"/>
        <w:szCs w:val="21"/>
      </w:rPr>
      <w:t>页</w:t>
    </w:r>
  </w:p>
  <w:p w:rsidR="00CD6A66" w:rsidRPr="00FC3CF9" w:rsidRDefault="00CD6A66" w:rsidP="00FC3CF9">
    <w:pPr>
      <w:pStyle w:val="Header"/>
      <w:jc w:val="right"/>
      <w:rPr>
        <w:rFonts w:ascii="SimSun" w:hAnsi="SimSun"/>
        <w:sz w:val="21"/>
        <w:szCs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szCs w:val="21"/>
        <w:lang w:val="fr-FR"/>
      </w:rPr>
    </w:pPr>
    <w:r w:rsidRPr="00FC3CF9">
      <w:rPr>
        <w:rFonts w:ascii="SimSun" w:hAnsi="SimSun"/>
        <w:sz w:val="21"/>
        <w:szCs w:val="21"/>
        <w:lang w:val="fr-FR"/>
      </w:rPr>
      <w:t>WO/PBC/26/7</w:t>
    </w:r>
  </w:p>
  <w:p w:rsidR="00CD6A66" w:rsidRPr="00FC3CF9" w:rsidRDefault="00CD6A66" w:rsidP="00FC3CF9">
    <w:pPr>
      <w:jc w:val="right"/>
      <w:rPr>
        <w:rFonts w:ascii="SimSun" w:hAnsi="SimSun"/>
        <w:sz w:val="21"/>
        <w:szCs w:val="21"/>
        <w:lang w:val="fr-FR"/>
      </w:rPr>
    </w:pPr>
    <w:r w:rsidRPr="00FC3CF9">
      <w:rPr>
        <w:rFonts w:ascii="SimSun" w:hAnsi="SimSun" w:hint="eastAsia"/>
        <w:sz w:val="21"/>
        <w:szCs w:val="21"/>
      </w:rPr>
      <w:t>附件第</w:t>
    </w:r>
    <w:r w:rsidRPr="00FC3CF9">
      <w:rPr>
        <w:rFonts w:ascii="SimSun" w:hAnsi="SimSun"/>
        <w:sz w:val="21"/>
        <w:szCs w:val="21"/>
      </w:rPr>
      <w:fldChar w:fldCharType="begin"/>
    </w:r>
    <w:r w:rsidRPr="00FC3CF9">
      <w:rPr>
        <w:rFonts w:ascii="SimSun" w:hAnsi="SimSun"/>
        <w:sz w:val="21"/>
        <w:szCs w:val="21"/>
        <w:lang w:val="fr-FR"/>
      </w:rPr>
      <w:instrText xml:space="preserve"> PAGE  \* MERGEFORMAT </w:instrText>
    </w:r>
    <w:r w:rsidRPr="00FC3CF9">
      <w:rPr>
        <w:rFonts w:ascii="SimSun" w:hAnsi="SimSun"/>
        <w:sz w:val="21"/>
        <w:szCs w:val="21"/>
      </w:rPr>
      <w:fldChar w:fldCharType="separate"/>
    </w:r>
    <w:r w:rsidR="00141E27">
      <w:rPr>
        <w:rFonts w:ascii="SimSun" w:hAnsi="SimSun"/>
        <w:noProof/>
        <w:sz w:val="21"/>
        <w:szCs w:val="21"/>
        <w:lang w:val="fr-FR"/>
      </w:rPr>
      <w:t>38</w:t>
    </w:r>
    <w:r w:rsidRPr="00FC3CF9">
      <w:rPr>
        <w:rFonts w:ascii="SimSun" w:hAnsi="SimSun"/>
        <w:sz w:val="21"/>
        <w:szCs w:val="21"/>
      </w:rPr>
      <w:fldChar w:fldCharType="end"/>
    </w:r>
    <w:r w:rsidRPr="00FC3CF9">
      <w:rPr>
        <w:rFonts w:ascii="SimSun" w:hAnsi="SimSun" w:hint="eastAsia"/>
        <w:sz w:val="21"/>
        <w:szCs w:val="21"/>
      </w:rPr>
      <w:t>页</w:t>
    </w:r>
  </w:p>
  <w:p w:rsidR="00CD6A66" w:rsidRPr="00FC3CF9" w:rsidRDefault="00CD6A66" w:rsidP="00FC3CF9">
    <w:pPr>
      <w:pStyle w:val="Header"/>
      <w:jc w:val="right"/>
      <w:rPr>
        <w:rFonts w:ascii="SimSun" w:hAnsi="SimSun"/>
        <w:sz w:val="21"/>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80F"/>
    <w:multiLevelType w:val="hybridMultilevel"/>
    <w:tmpl w:val="F59E5026"/>
    <w:styleLink w:val="ImportedStyle8"/>
    <w:lvl w:ilvl="0" w:tplc="1A3A8752">
      <w:start w:val="1"/>
      <w:numFmt w:val="upperRoman"/>
      <w:lvlText w:val="%1."/>
      <w:lvlJc w:val="left"/>
      <w:pPr>
        <w:ind w:left="847" w:hanging="5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B0F21E">
      <w:start w:val="1"/>
      <w:numFmt w:val="lowerRoman"/>
      <w:lvlText w:val="%2."/>
      <w:lvlJc w:val="left"/>
      <w:pPr>
        <w:ind w:left="910" w:hanging="4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628">
      <w:start w:val="1"/>
      <w:numFmt w:val="lowerRoman"/>
      <w:lvlText w:val="%3."/>
      <w:lvlJc w:val="left"/>
      <w:pPr>
        <w:ind w:left="126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388718">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46A89A">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0EC9C2">
      <w:start w:val="1"/>
      <w:numFmt w:val="lowerRoman"/>
      <w:lvlText w:val="%6."/>
      <w:lvlJc w:val="left"/>
      <w:pPr>
        <w:ind w:left="342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208EEA">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E0A1A">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25A76">
      <w:start w:val="1"/>
      <w:numFmt w:val="lowerRoman"/>
      <w:lvlText w:val="%9."/>
      <w:lvlJc w:val="left"/>
      <w:pPr>
        <w:ind w:left="558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CD29E3"/>
    <w:multiLevelType w:val="multilevel"/>
    <w:tmpl w:val="2D5ECAF6"/>
    <w:lvl w:ilvl="0">
      <w:start w:val="1"/>
      <w:numFmt w:val="decimal"/>
      <w:lvlRestart w:val="0"/>
      <w:pStyle w:val="ONUME"/>
      <w:lvlText w:val="%1."/>
      <w:lvlJc w:val="left"/>
      <w:pPr>
        <w:tabs>
          <w:tab w:val="num" w:pos="567"/>
        </w:tabs>
        <w:ind w:left="0" w:firstLine="0"/>
      </w:pPr>
      <w:rPr>
        <w:rFonts w:hint="default"/>
        <w:b w:val="0"/>
        <w:bCs/>
        <w:i w:val="0"/>
        <w:iCs/>
        <w:color w:val="auto"/>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0C0AE2"/>
    <w:multiLevelType w:val="hybridMultilevel"/>
    <w:tmpl w:val="86226B98"/>
    <w:styleLink w:val="ImportedStyle4"/>
    <w:lvl w:ilvl="0" w:tplc="17347162">
      <w:start w:val="1"/>
      <w:numFmt w:val="upperRoman"/>
      <w:lvlText w:val="%1."/>
      <w:lvlJc w:val="left"/>
      <w:pPr>
        <w:ind w:left="304"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1324">
      <w:start w:val="1"/>
      <w:numFmt w:val="lowerLetter"/>
      <w:lvlText w:val="%2."/>
      <w:lvlJc w:val="left"/>
      <w:pPr>
        <w:ind w:left="7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B0695E">
      <w:start w:val="1"/>
      <w:numFmt w:val="lowerRoman"/>
      <w:suff w:val="nothing"/>
      <w:lvlText w:val="%3."/>
      <w:lvlJc w:val="left"/>
      <w:pPr>
        <w:ind w:left="144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76A13E">
      <w:start w:val="1"/>
      <w:numFmt w:val="decimal"/>
      <w:lvlText w:val="%4."/>
      <w:lvlJc w:val="left"/>
      <w:pPr>
        <w:ind w:left="21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22AE06">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68E30">
      <w:start w:val="1"/>
      <w:numFmt w:val="lowerRoman"/>
      <w:suff w:val="nothing"/>
      <w:lvlText w:val="%6."/>
      <w:lvlJc w:val="left"/>
      <w:pPr>
        <w:ind w:left="360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25A1E">
      <w:start w:val="1"/>
      <w:numFmt w:val="decimal"/>
      <w:lvlText w:val="%7."/>
      <w:lvlJc w:val="left"/>
      <w:pPr>
        <w:ind w:left="43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4BE0A">
      <w:start w:val="1"/>
      <w:numFmt w:val="lowerLetter"/>
      <w:lvlText w:val="%8."/>
      <w:lvlJc w:val="left"/>
      <w:pPr>
        <w:ind w:left="504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749AD8">
      <w:start w:val="1"/>
      <w:numFmt w:val="lowerRoman"/>
      <w:suff w:val="nothing"/>
      <w:lvlText w:val="%9."/>
      <w:lvlJc w:val="left"/>
      <w:pPr>
        <w:ind w:left="576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21B83"/>
    <w:multiLevelType w:val="hybridMultilevel"/>
    <w:tmpl w:val="64EE590C"/>
    <w:styleLink w:val="ImportedStyle7"/>
    <w:lvl w:ilvl="0" w:tplc="7DCA25E2">
      <w:start w:val="1"/>
      <w:numFmt w:val="upperRoman"/>
      <w:lvlText w:val="%1."/>
      <w:lvlJc w:val="left"/>
      <w:pPr>
        <w:ind w:left="313"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2201E8">
      <w:start w:val="1"/>
      <w:numFmt w:val="lowerLetter"/>
      <w:lvlText w:val="%2."/>
      <w:lvlJc w:val="left"/>
      <w:pPr>
        <w:ind w:left="18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6638A">
      <w:start w:val="1"/>
      <w:numFmt w:val="lowerRoman"/>
      <w:suff w:val="nothing"/>
      <w:lvlText w:val="%3."/>
      <w:lvlJc w:val="left"/>
      <w:pPr>
        <w:ind w:left="72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DC563A">
      <w:start w:val="1"/>
      <w:numFmt w:val="decimal"/>
      <w:lvlText w:val="%4."/>
      <w:lvlJc w:val="left"/>
      <w:pPr>
        <w:ind w:left="144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600DE">
      <w:start w:val="1"/>
      <w:numFmt w:val="lowerLetter"/>
      <w:lvlText w:val="%5."/>
      <w:lvlJc w:val="left"/>
      <w:pPr>
        <w:ind w:left="216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72B188">
      <w:start w:val="1"/>
      <w:numFmt w:val="lowerRoman"/>
      <w:suff w:val="nothing"/>
      <w:lvlText w:val="%6."/>
      <w:lvlJc w:val="left"/>
      <w:pPr>
        <w:ind w:left="288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32C094">
      <w:start w:val="1"/>
      <w:numFmt w:val="decimal"/>
      <w:lvlText w:val="%7."/>
      <w:lvlJc w:val="left"/>
      <w:pPr>
        <w:ind w:left="360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546316">
      <w:start w:val="1"/>
      <w:numFmt w:val="lowerLetter"/>
      <w:lvlText w:val="%8."/>
      <w:lvlJc w:val="left"/>
      <w:pPr>
        <w:ind w:left="432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48E93E">
      <w:start w:val="1"/>
      <w:numFmt w:val="lowerRoman"/>
      <w:suff w:val="nothing"/>
      <w:lvlText w:val="%9."/>
      <w:lvlJc w:val="left"/>
      <w:pPr>
        <w:ind w:left="504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67D4E25"/>
    <w:multiLevelType w:val="hybridMultilevel"/>
    <w:tmpl w:val="65C00368"/>
    <w:lvl w:ilvl="0" w:tplc="10341748">
      <w:start w:val="1"/>
      <w:numFmt w:val="decimal"/>
      <w:lvlText w:val="%1."/>
      <w:lvlJc w:val="left"/>
      <w:pPr>
        <w:ind w:left="720" w:hanging="360"/>
      </w:pPr>
      <w:rPr>
        <w:rFonts w:ascii="SimSun" w:eastAsia="SimSun" w:hAnsi="SimSun" w:hint="default"/>
        <w:i w:val="0"/>
        <w:iCs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D1C2616"/>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F03FB7"/>
    <w:multiLevelType w:val="hybridMultilevel"/>
    <w:tmpl w:val="2474F2AE"/>
    <w:styleLink w:val="ImportedStyle2"/>
    <w:lvl w:ilvl="0" w:tplc="86D888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7E6458">
      <w:start w:val="1"/>
      <w:numFmt w:val="lowerRoman"/>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9AC434">
      <w:start w:val="1"/>
      <w:numFmt w:val="lowerRoman"/>
      <w:lvlText w:val="%3."/>
      <w:lvlJc w:val="left"/>
      <w:pPr>
        <w:ind w:left="1439"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C86DA">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EEDF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63F24">
      <w:start w:val="1"/>
      <w:numFmt w:val="lowerRoman"/>
      <w:lvlText w:val="%6."/>
      <w:lvlJc w:val="left"/>
      <w:pPr>
        <w:ind w:left="360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2A74E6">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6A134">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E2A6DC">
      <w:start w:val="1"/>
      <w:numFmt w:val="lowerRoman"/>
      <w:lvlText w:val="%9."/>
      <w:lvlJc w:val="left"/>
      <w:pPr>
        <w:ind w:left="576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3953F7"/>
    <w:multiLevelType w:val="hybridMultilevel"/>
    <w:tmpl w:val="F0B4BCC2"/>
    <w:styleLink w:val="ImportedStyle1"/>
    <w:lvl w:ilvl="0" w:tplc="00528074">
      <w:start w:val="1"/>
      <w:numFmt w:val="upperRoman"/>
      <w:lvlText w:val="%1."/>
      <w:lvlJc w:val="left"/>
      <w:pPr>
        <w:ind w:left="304"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2B8F4">
      <w:start w:val="1"/>
      <w:numFmt w:val="lowerLetter"/>
      <w:lvlText w:val="%2."/>
      <w:lvlJc w:val="left"/>
      <w:pPr>
        <w:ind w:left="7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0F130">
      <w:start w:val="1"/>
      <w:numFmt w:val="lowerRoman"/>
      <w:suff w:val="nothing"/>
      <w:lvlText w:val="%3."/>
      <w:lvlJc w:val="left"/>
      <w:pPr>
        <w:ind w:left="144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98A0B4">
      <w:start w:val="1"/>
      <w:numFmt w:val="decimal"/>
      <w:lvlText w:val="%4."/>
      <w:lvlJc w:val="left"/>
      <w:pPr>
        <w:ind w:left="21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F4BF84">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EE87E">
      <w:start w:val="1"/>
      <w:numFmt w:val="lowerRoman"/>
      <w:suff w:val="nothing"/>
      <w:lvlText w:val="%6."/>
      <w:lvlJc w:val="left"/>
      <w:pPr>
        <w:ind w:left="360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D01AE6">
      <w:start w:val="1"/>
      <w:numFmt w:val="decimal"/>
      <w:lvlText w:val="%7."/>
      <w:lvlJc w:val="left"/>
      <w:pPr>
        <w:ind w:left="43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EC19C6">
      <w:start w:val="1"/>
      <w:numFmt w:val="lowerLetter"/>
      <w:lvlText w:val="%8."/>
      <w:lvlJc w:val="left"/>
      <w:pPr>
        <w:ind w:left="504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E638C">
      <w:start w:val="1"/>
      <w:numFmt w:val="lowerRoman"/>
      <w:suff w:val="nothing"/>
      <w:lvlText w:val="%9."/>
      <w:lvlJc w:val="left"/>
      <w:pPr>
        <w:ind w:left="576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6AA721E"/>
    <w:multiLevelType w:val="hybridMultilevel"/>
    <w:tmpl w:val="B724687A"/>
    <w:lvl w:ilvl="0" w:tplc="D9260C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005478D"/>
    <w:multiLevelType w:val="hybridMultilevel"/>
    <w:tmpl w:val="E8EE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A1D4A"/>
    <w:multiLevelType w:val="hybridMultilevel"/>
    <w:tmpl w:val="4E4E89F8"/>
    <w:lvl w:ilvl="0" w:tplc="D4F2E4E2">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0"/>
  </w:num>
  <w:num w:numId="2">
    <w:abstractNumId w:val="4"/>
  </w:num>
  <w:num w:numId="3">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11"/>
  </w:num>
  <w:num w:numId="14">
    <w:abstractNumId w:val="9"/>
  </w:num>
  <w:num w:numId="15">
    <w:abstractNumId w:val="0"/>
  </w:num>
  <w:num w:numId="16">
    <w:abstractNumId w:val="14"/>
  </w:num>
  <w:num w:numId="17">
    <w:abstractNumId w:val="5"/>
  </w:num>
  <w:num w:numId="18">
    <w:abstractNumId w:val="2"/>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3"/>
  </w:num>
  <w:num w:numId="3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CB"/>
    <w:rsid w:val="00005DF1"/>
    <w:rsid w:val="000077C7"/>
    <w:rsid w:val="00007D64"/>
    <w:rsid w:val="0002278A"/>
    <w:rsid w:val="00023B8A"/>
    <w:rsid w:val="00030D00"/>
    <w:rsid w:val="00037AE9"/>
    <w:rsid w:val="00043CAA"/>
    <w:rsid w:val="000502D8"/>
    <w:rsid w:val="000506B6"/>
    <w:rsid w:val="00075432"/>
    <w:rsid w:val="000865DB"/>
    <w:rsid w:val="00094F4F"/>
    <w:rsid w:val="000968ED"/>
    <w:rsid w:val="00097BD5"/>
    <w:rsid w:val="000A20E3"/>
    <w:rsid w:val="000A43C6"/>
    <w:rsid w:val="000B61AD"/>
    <w:rsid w:val="000B7595"/>
    <w:rsid w:val="000C0696"/>
    <w:rsid w:val="000C21D1"/>
    <w:rsid w:val="000D68D6"/>
    <w:rsid w:val="000E0F52"/>
    <w:rsid w:val="000E6DAE"/>
    <w:rsid w:val="000F3BD0"/>
    <w:rsid w:val="000F5E56"/>
    <w:rsid w:val="0010428D"/>
    <w:rsid w:val="0011399B"/>
    <w:rsid w:val="00114D49"/>
    <w:rsid w:val="00126822"/>
    <w:rsid w:val="001362EE"/>
    <w:rsid w:val="00141E27"/>
    <w:rsid w:val="00146B4A"/>
    <w:rsid w:val="00151A7B"/>
    <w:rsid w:val="00163A59"/>
    <w:rsid w:val="001647D5"/>
    <w:rsid w:val="001832A6"/>
    <w:rsid w:val="00187171"/>
    <w:rsid w:val="00194AD2"/>
    <w:rsid w:val="001A2F1E"/>
    <w:rsid w:val="001B0DCD"/>
    <w:rsid w:val="001D02C6"/>
    <w:rsid w:val="001D7670"/>
    <w:rsid w:val="001E4E7D"/>
    <w:rsid w:val="001E7F7F"/>
    <w:rsid w:val="0020457E"/>
    <w:rsid w:val="002050A9"/>
    <w:rsid w:val="002073FD"/>
    <w:rsid w:val="0021217E"/>
    <w:rsid w:val="00233449"/>
    <w:rsid w:val="002634C4"/>
    <w:rsid w:val="00270691"/>
    <w:rsid w:val="002766EF"/>
    <w:rsid w:val="00277B3F"/>
    <w:rsid w:val="00284286"/>
    <w:rsid w:val="0028716A"/>
    <w:rsid w:val="002928D3"/>
    <w:rsid w:val="002A7949"/>
    <w:rsid w:val="002B4A10"/>
    <w:rsid w:val="002C70D9"/>
    <w:rsid w:val="002D414C"/>
    <w:rsid w:val="002F0ACC"/>
    <w:rsid w:val="002F1FE6"/>
    <w:rsid w:val="002F4E68"/>
    <w:rsid w:val="00302C0B"/>
    <w:rsid w:val="00306C93"/>
    <w:rsid w:val="00312F7F"/>
    <w:rsid w:val="00334B82"/>
    <w:rsid w:val="003368C7"/>
    <w:rsid w:val="00346658"/>
    <w:rsid w:val="003555A4"/>
    <w:rsid w:val="00361450"/>
    <w:rsid w:val="00365281"/>
    <w:rsid w:val="003673CF"/>
    <w:rsid w:val="003845C1"/>
    <w:rsid w:val="00391E19"/>
    <w:rsid w:val="003A6F89"/>
    <w:rsid w:val="003B38C1"/>
    <w:rsid w:val="003C4C6B"/>
    <w:rsid w:val="003C6D88"/>
    <w:rsid w:val="003D435B"/>
    <w:rsid w:val="003E03AD"/>
    <w:rsid w:val="003E21CB"/>
    <w:rsid w:val="003F1938"/>
    <w:rsid w:val="00411B23"/>
    <w:rsid w:val="00412C7B"/>
    <w:rsid w:val="004139DE"/>
    <w:rsid w:val="00415857"/>
    <w:rsid w:val="00423E3E"/>
    <w:rsid w:val="00427AF4"/>
    <w:rsid w:val="004465BB"/>
    <w:rsid w:val="004647DA"/>
    <w:rsid w:val="00474062"/>
    <w:rsid w:val="00475631"/>
    <w:rsid w:val="00477D6B"/>
    <w:rsid w:val="00490957"/>
    <w:rsid w:val="004932BC"/>
    <w:rsid w:val="00497442"/>
    <w:rsid w:val="004A5C4C"/>
    <w:rsid w:val="004B0A27"/>
    <w:rsid w:val="004B5FD0"/>
    <w:rsid w:val="004B6F18"/>
    <w:rsid w:val="004C21DE"/>
    <w:rsid w:val="004E1678"/>
    <w:rsid w:val="004E4041"/>
    <w:rsid w:val="004F1F6F"/>
    <w:rsid w:val="005000B8"/>
    <w:rsid w:val="005019FF"/>
    <w:rsid w:val="00523362"/>
    <w:rsid w:val="0053057A"/>
    <w:rsid w:val="00556C89"/>
    <w:rsid w:val="00560A29"/>
    <w:rsid w:val="00564864"/>
    <w:rsid w:val="00582F71"/>
    <w:rsid w:val="00594483"/>
    <w:rsid w:val="005A1806"/>
    <w:rsid w:val="005B6A77"/>
    <w:rsid w:val="005C6649"/>
    <w:rsid w:val="005D40A0"/>
    <w:rsid w:val="005E537C"/>
    <w:rsid w:val="005F5E84"/>
    <w:rsid w:val="005F6421"/>
    <w:rsid w:val="00605827"/>
    <w:rsid w:val="00610C56"/>
    <w:rsid w:val="00625CC3"/>
    <w:rsid w:val="00633991"/>
    <w:rsid w:val="00646050"/>
    <w:rsid w:val="00656168"/>
    <w:rsid w:val="00661C24"/>
    <w:rsid w:val="006713CA"/>
    <w:rsid w:val="00676C5C"/>
    <w:rsid w:val="006779E8"/>
    <w:rsid w:val="006B4178"/>
    <w:rsid w:val="006E4693"/>
    <w:rsid w:val="006E7ACC"/>
    <w:rsid w:val="006F2B99"/>
    <w:rsid w:val="00710BC7"/>
    <w:rsid w:val="007125CF"/>
    <w:rsid w:val="0071721A"/>
    <w:rsid w:val="0073025F"/>
    <w:rsid w:val="00744747"/>
    <w:rsid w:val="007561DF"/>
    <w:rsid w:val="00756236"/>
    <w:rsid w:val="00780521"/>
    <w:rsid w:val="00787E4A"/>
    <w:rsid w:val="00795A8D"/>
    <w:rsid w:val="007C3F43"/>
    <w:rsid w:val="007D0BCF"/>
    <w:rsid w:val="007D1613"/>
    <w:rsid w:val="007D61B1"/>
    <w:rsid w:val="007E09FD"/>
    <w:rsid w:val="007E4C0E"/>
    <w:rsid w:val="007F0582"/>
    <w:rsid w:val="007F6B04"/>
    <w:rsid w:val="00811D56"/>
    <w:rsid w:val="008226DC"/>
    <w:rsid w:val="00834837"/>
    <w:rsid w:val="008348A9"/>
    <w:rsid w:val="00842EB6"/>
    <w:rsid w:val="00853625"/>
    <w:rsid w:val="008729BF"/>
    <w:rsid w:val="00873E6D"/>
    <w:rsid w:val="00874AD9"/>
    <w:rsid w:val="00892133"/>
    <w:rsid w:val="008B2CC1"/>
    <w:rsid w:val="008B4E0C"/>
    <w:rsid w:val="008B60B2"/>
    <w:rsid w:val="008C23F2"/>
    <w:rsid w:val="008C59A0"/>
    <w:rsid w:val="0090731E"/>
    <w:rsid w:val="00916EE2"/>
    <w:rsid w:val="009170E5"/>
    <w:rsid w:val="00932DD7"/>
    <w:rsid w:val="00935BAB"/>
    <w:rsid w:val="00936B9A"/>
    <w:rsid w:val="00936E6B"/>
    <w:rsid w:val="00956368"/>
    <w:rsid w:val="00965C73"/>
    <w:rsid w:val="00966A22"/>
    <w:rsid w:val="0096722F"/>
    <w:rsid w:val="0096789B"/>
    <w:rsid w:val="00980843"/>
    <w:rsid w:val="00996E75"/>
    <w:rsid w:val="009A0E92"/>
    <w:rsid w:val="009A583E"/>
    <w:rsid w:val="009B5CDC"/>
    <w:rsid w:val="009C45B8"/>
    <w:rsid w:val="009D5469"/>
    <w:rsid w:val="009E2791"/>
    <w:rsid w:val="009E3F6F"/>
    <w:rsid w:val="009E5D66"/>
    <w:rsid w:val="009F12A7"/>
    <w:rsid w:val="009F499F"/>
    <w:rsid w:val="00A02539"/>
    <w:rsid w:val="00A30A02"/>
    <w:rsid w:val="00A402ED"/>
    <w:rsid w:val="00A42DAF"/>
    <w:rsid w:val="00A45BD8"/>
    <w:rsid w:val="00A66316"/>
    <w:rsid w:val="00A869B7"/>
    <w:rsid w:val="00A91C2B"/>
    <w:rsid w:val="00A92CF7"/>
    <w:rsid w:val="00A9523F"/>
    <w:rsid w:val="00AB7808"/>
    <w:rsid w:val="00AC205C"/>
    <w:rsid w:val="00AD634E"/>
    <w:rsid w:val="00AD67FB"/>
    <w:rsid w:val="00AE5C68"/>
    <w:rsid w:val="00AF0A6B"/>
    <w:rsid w:val="00AF40C1"/>
    <w:rsid w:val="00B008FF"/>
    <w:rsid w:val="00B05A69"/>
    <w:rsid w:val="00B4398F"/>
    <w:rsid w:val="00B474F7"/>
    <w:rsid w:val="00B53F45"/>
    <w:rsid w:val="00B75DD9"/>
    <w:rsid w:val="00B832DD"/>
    <w:rsid w:val="00B91C3B"/>
    <w:rsid w:val="00B91F78"/>
    <w:rsid w:val="00B9734B"/>
    <w:rsid w:val="00BA1EB9"/>
    <w:rsid w:val="00BA30BB"/>
    <w:rsid w:val="00BA30E2"/>
    <w:rsid w:val="00BC534A"/>
    <w:rsid w:val="00BD2AC4"/>
    <w:rsid w:val="00BD357F"/>
    <w:rsid w:val="00BD5E05"/>
    <w:rsid w:val="00BE6A4E"/>
    <w:rsid w:val="00BF3C91"/>
    <w:rsid w:val="00BF6721"/>
    <w:rsid w:val="00C04F2F"/>
    <w:rsid w:val="00C06F22"/>
    <w:rsid w:val="00C11BFE"/>
    <w:rsid w:val="00C1637B"/>
    <w:rsid w:val="00C25403"/>
    <w:rsid w:val="00C44F0C"/>
    <w:rsid w:val="00C5068F"/>
    <w:rsid w:val="00C55CB6"/>
    <w:rsid w:val="00C576CA"/>
    <w:rsid w:val="00C65258"/>
    <w:rsid w:val="00C7363E"/>
    <w:rsid w:val="00C750C3"/>
    <w:rsid w:val="00C80569"/>
    <w:rsid w:val="00C8168D"/>
    <w:rsid w:val="00C86D74"/>
    <w:rsid w:val="00C934AA"/>
    <w:rsid w:val="00CA0DB1"/>
    <w:rsid w:val="00CA18A5"/>
    <w:rsid w:val="00CA2E0F"/>
    <w:rsid w:val="00CB252D"/>
    <w:rsid w:val="00CB29C4"/>
    <w:rsid w:val="00CD04F1"/>
    <w:rsid w:val="00CD288A"/>
    <w:rsid w:val="00CD6072"/>
    <w:rsid w:val="00CD6A66"/>
    <w:rsid w:val="00CE2D23"/>
    <w:rsid w:val="00CE6EE0"/>
    <w:rsid w:val="00D01725"/>
    <w:rsid w:val="00D225BF"/>
    <w:rsid w:val="00D25AD8"/>
    <w:rsid w:val="00D358DD"/>
    <w:rsid w:val="00D35ADC"/>
    <w:rsid w:val="00D369D7"/>
    <w:rsid w:val="00D449C5"/>
    <w:rsid w:val="00D45252"/>
    <w:rsid w:val="00D465EE"/>
    <w:rsid w:val="00D46C5F"/>
    <w:rsid w:val="00D627A3"/>
    <w:rsid w:val="00D71B4D"/>
    <w:rsid w:val="00D80CD4"/>
    <w:rsid w:val="00D921AC"/>
    <w:rsid w:val="00D93D55"/>
    <w:rsid w:val="00DC2963"/>
    <w:rsid w:val="00DC42CF"/>
    <w:rsid w:val="00DE5F76"/>
    <w:rsid w:val="00DF1C6D"/>
    <w:rsid w:val="00DF5E9A"/>
    <w:rsid w:val="00E00F29"/>
    <w:rsid w:val="00E03386"/>
    <w:rsid w:val="00E04C42"/>
    <w:rsid w:val="00E067E6"/>
    <w:rsid w:val="00E15015"/>
    <w:rsid w:val="00E15F7A"/>
    <w:rsid w:val="00E335FE"/>
    <w:rsid w:val="00E340E6"/>
    <w:rsid w:val="00E476A3"/>
    <w:rsid w:val="00E50C04"/>
    <w:rsid w:val="00E5174B"/>
    <w:rsid w:val="00E51C25"/>
    <w:rsid w:val="00E60C94"/>
    <w:rsid w:val="00E65850"/>
    <w:rsid w:val="00E679A0"/>
    <w:rsid w:val="00E71A0D"/>
    <w:rsid w:val="00E80A78"/>
    <w:rsid w:val="00E82941"/>
    <w:rsid w:val="00EC4E49"/>
    <w:rsid w:val="00ED77FB"/>
    <w:rsid w:val="00ED7C4A"/>
    <w:rsid w:val="00EE45FA"/>
    <w:rsid w:val="00F2172C"/>
    <w:rsid w:val="00F217A5"/>
    <w:rsid w:val="00F37BD6"/>
    <w:rsid w:val="00F441EC"/>
    <w:rsid w:val="00F445D7"/>
    <w:rsid w:val="00F53D62"/>
    <w:rsid w:val="00F658B1"/>
    <w:rsid w:val="00F65A4E"/>
    <w:rsid w:val="00F66152"/>
    <w:rsid w:val="00F85B4A"/>
    <w:rsid w:val="00F8746E"/>
    <w:rsid w:val="00F92FEC"/>
    <w:rsid w:val="00F9677C"/>
    <w:rsid w:val="00FC1B43"/>
    <w:rsid w:val="00FC3CF9"/>
    <w:rsid w:val="00FC6084"/>
    <w:rsid w:val="00FE1146"/>
    <w:rsid w:val="00FE76F0"/>
    <w:rsid w:val="00FF7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uiPriority w:val="99"/>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imes New Roman"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imes New Roman"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sz w:val="24"/>
      <w:szCs w:val="24"/>
      <w:lang w:eastAsia="ko-KR"/>
    </w:rPr>
  </w:style>
  <w:style w:type="character" w:customStyle="1" w:styleId="Char">
    <w:name w:val="본문 내용 Char"/>
    <w:basedOn w:val="DefaultParagraphFont"/>
    <w:link w:val="a"/>
    <w:rsid w:val="00E067E6"/>
    <w:rPr>
      <w:rFonts w:ascii="Arial" w:eastAsia="SimSun"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 w:type="numbering" w:customStyle="1" w:styleId="ImportedStyle1">
    <w:name w:val="Imported Style 1"/>
    <w:rsid w:val="00D46C5F"/>
    <w:pPr>
      <w:numPr>
        <w:numId w:val="13"/>
      </w:numPr>
    </w:pPr>
  </w:style>
  <w:style w:type="numbering" w:customStyle="1" w:styleId="ImportedStyle2">
    <w:name w:val="Imported Style 2"/>
    <w:rsid w:val="00D46C5F"/>
    <w:pPr>
      <w:numPr>
        <w:numId w:val="14"/>
      </w:numPr>
    </w:pPr>
  </w:style>
  <w:style w:type="numbering" w:customStyle="1" w:styleId="ImportedStyle8">
    <w:name w:val="Imported Style 8"/>
    <w:rsid w:val="00A66316"/>
    <w:pPr>
      <w:numPr>
        <w:numId w:val="15"/>
      </w:numPr>
    </w:pPr>
  </w:style>
  <w:style w:type="paragraph" w:customStyle="1" w:styleId="Body">
    <w:name w:val="Body"/>
    <w:rsid w:val="00A66316"/>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character" w:customStyle="1" w:styleId="1">
    <w:name w:val="标题 #1_"/>
    <w:basedOn w:val="DefaultParagraphFont"/>
    <w:link w:val="10"/>
    <w:locked/>
    <w:rsid w:val="000C21D1"/>
    <w:rPr>
      <w:rFonts w:ascii="Bookman Old Style" w:hAnsi="Bookman Old Style" w:cs="Bookman Old Style"/>
      <w:b/>
      <w:bCs/>
      <w:sz w:val="26"/>
      <w:szCs w:val="26"/>
      <w:shd w:val="clear" w:color="auto" w:fill="FFFFFF"/>
    </w:rPr>
  </w:style>
  <w:style w:type="paragraph" w:customStyle="1" w:styleId="10">
    <w:name w:val="标题 #1"/>
    <w:basedOn w:val="Normal"/>
    <w:link w:val="1"/>
    <w:rsid w:val="000C21D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numbering" w:customStyle="1" w:styleId="ImportedStyle7">
    <w:name w:val="Imported Style 7"/>
    <w:rsid w:val="005A1806"/>
    <w:pPr>
      <w:numPr>
        <w:numId w:val="17"/>
      </w:numPr>
    </w:pPr>
  </w:style>
  <w:style w:type="numbering" w:customStyle="1" w:styleId="ImportedStyle4">
    <w:name w:val="Imported Style 4"/>
    <w:rsid w:val="00A402E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uiPriority w:val="99"/>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imes New Roman"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imes New Roman"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sz w:val="24"/>
      <w:szCs w:val="24"/>
      <w:lang w:eastAsia="ko-KR"/>
    </w:rPr>
  </w:style>
  <w:style w:type="character" w:customStyle="1" w:styleId="Char">
    <w:name w:val="본문 내용 Char"/>
    <w:basedOn w:val="DefaultParagraphFont"/>
    <w:link w:val="a"/>
    <w:rsid w:val="00E067E6"/>
    <w:rPr>
      <w:rFonts w:ascii="Arial" w:eastAsia="SimSun"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 w:type="numbering" w:customStyle="1" w:styleId="ImportedStyle1">
    <w:name w:val="Imported Style 1"/>
    <w:rsid w:val="00D46C5F"/>
    <w:pPr>
      <w:numPr>
        <w:numId w:val="13"/>
      </w:numPr>
    </w:pPr>
  </w:style>
  <w:style w:type="numbering" w:customStyle="1" w:styleId="ImportedStyle2">
    <w:name w:val="Imported Style 2"/>
    <w:rsid w:val="00D46C5F"/>
    <w:pPr>
      <w:numPr>
        <w:numId w:val="14"/>
      </w:numPr>
    </w:pPr>
  </w:style>
  <w:style w:type="numbering" w:customStyle="1" w:styleId="ImportedStyle8">
    <w:name w:val="Imported Style 8"/>
    <w:rsid w:val="00A66316"/>
    <w:pPr>
      <w:numPr>
        <w:numId w:val="15"/>
      </w:numPr>
    </w:pPr>
  </w:style>
  <w:style w:type="paragraph" w:customStyle="1" w:styleId="Body">
    <w:name w:val="Body"/>
    <w:rsid w:val="00A66316"/>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character" w:customStyle="1" w:styleId="1">
    <w:name w:val="标题 #1_"/>
    <w:basedOn w:val="DefaultParagraphFont"/>
    <w:link w:val="10"/>
    <w:locked/>
    <w:rsid w:val="000C21D1"/>
    <w:rPr>
      <w:rFonts w:ascii="Bookman Old Style" w:hAnsi="Bookman Old Style" w:cs="Bookman Old Style"/>
      <w:b/>
      <w:bCs/>
      <w:sz w:val="26"/>
      <w:szCs w:val="26"/>
      <w:shd w:val="clear" w:color="auto" w:fill="FFFFFF"/>
    </w:rPr>
  </w:style>
  <w:style w:type="paragraph" w:customStyle="1" w:styleId="10">
    <w:name w:val="标题 #1"/>
    <w:basedOn w:val="Normal"/>
    <w:link w:val="1"/>
    <w:rsid w:val="000C21D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numbering" w:customStyle="1" w:styleId="ImportedStyle7">
    <w:name w:val="Imported Style 7"/>
    <w:rsid w:val="005A1806"/>
    <w:pPr>
      <w:numPr>
        <w:numId w:val="17"/>
      </w:numPr>
    </w:pPr>
  </w:style>
  <w:style w:type="numbering" w:customStyle="1" w:styleId="ImportedStyle4">
    <w:name w:val="Imported Style 4"/>
    <w:rsid w:val="00A402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ipp.nic.in).&#22269;&#23478;&#32508;&#21512;&#24615;&#30693;&#35782;&#20135;&#26435;&#25919;&#31574;&#22312;2016&#24180;5&#26376;12" TargetMode="External"/><Relationship Id="rId26" Type="http://schemas.openxmlformats.org/officeDocument/2006/relationships/hyperlink" Target="http://www.wipo.int/hague/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wipo.int/madrid/en/"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wipo.int/pct/en/" TargetMode="External"/><Relationship Id="rId32" Type="http://schemas.openxmlformats.org/officeDocument/2006/relationships/footer" Target="footer7.xml"/><Relationship Id="rId37"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wipo.int/about-ip/en/" TargetMode="External"/><Relationship Id="rId28" Type="http://schemas.openxmlformats.org/officeDocument/2006/relationships/footer" Target="footer5.xml"/><Relationship Id="rId36" Type="http://schemas.openxmlformats.org/officeDocument/2006/relationships/image" Target="media/image2.png"/><Relationship Id="rId10" Type="http://schemas.openxmlformats.org/officeDocument/2006/relationships/hyperlink" Target="http://www.wipo.int/meetings/&#8204;en/details.jsp?meeting_id=42294" TargetMode="External"/><Relationship Id="rId19" Type="http://schemas.openxmlformats.org/officeDocument/2006/relationships/header" Target="head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internetsociety.org/map/global-internet-report/?gclid=COaytPj2_8oCFWLnwgodtpUNQA" TargetMode="External"/><Relationship Id="rId27" Type="http://schemas.openxmlformats.org/officeDocument/2006/relationships/hyperlink" Target="http://www.wipo.int/lisbon/en/" TargetMode="External"/><Relationship Id="rId30" Type="http://schemas.openxmlformats.org/officeDocument/2006/relationships/header" Target="header7.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http://www.weforum.org/agenda/2016/01/the-10-skills-you-need-to-thrive-in-the-fourth-industrial-revolution" TargetMode="External"/><Relationship Id="rId1" Type="http://schemas.openxmlformats.org/officeDocument/2006/relationships/hyperlink" Target="file:///C:\Users\traian.filip\Desktop\Dosar%20OMPI\AF\Propunere%20revizuita%20AF%20cu%20sugestii%20acceptate.docx" TargetMode="External"/><Relationship Id="rId4" Type="http://schemas.openxmlformats.org/officeDocument/2006/relationships/hyperlink" Target="http://www.wipo.int/export/sites/www/about-wipo/en/budget/pdf/budget_2016_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9370-EAEF-42D4-97C6-CE324FFC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0</TotalTime>
  <Pages>46</Pages>
  <Words>39842</Words>
  <Characters>4199</Characters>
  <Application>Microsoft Office Word</Application>
  <DocSecurity>0</DocSecurity>
  <Lines>34</Lines>
  <Paragraphs>87</Paragraphs>
  <ScaleCrop>false</ScaleCrop>
  <HeadingPairs>
    <vt:vector size="2" baseType="variant">
      <vt:variant>
        <vt:lpstr>Title</vt:lpstr>
      </vt:variant>
      <vt:variant>
        <vt:i4>1</vt:i4>
      </vt:variant>
    </vt:vector>
  </HeadingPairs>
  <TitlesOfParts>
    <vt:vector size="1" baseType="lpstr">
      <vt:lpstr>WO/PBC/26/7</vt:lpstr>
    </vt:vector>
  </TitlesOfParts>
  <Company>WIPO</Company>
  <LinksUpToDate>false</LinksUpToDate>
  <CharactersWithSpaces>43954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WO/PBC/26/7</dc:title>
  <dc:subject>2018/19两年期开设新的WIPO驻外办事处</dc:subject>
  <dc:creator>ZEBARJADI Nahal</dc:creator>
  <cp:lastModifiedBy>ZEBARJADI-SAR Nahal</cp:lastModifiedBy>
  <cp:revision>3</cp:revision>
  <cp:lastPrinted>2017-05-07T13:04:00Z</cp:lastPrinted>
  <dcterms:created xsi:type="dcterms:W3CDTF">2017-05-19T17:25:00Z</dcterms:created>
  <dcterms:modified xsi:type="dcterms:W3CDTF">2017-05-19T17:25:00Z</dcterms:modified>
</cp:coreProperties>
</file>