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12F4B" w:rsidRPr="00312F4B" w:rsidTr="007A5789">
        <w:trPr>
          <w:trHeight w:val="1977"/>
        </w:trPr>
        <w:tc>
          <w:tcPr>
            <w:tcW w:w="4594" w:type="dxa"/>
            <w:tcBorders>
              <w:bottom w:val="single" w:sz="4" w:space="0" w:color="auto"/>
            </w:tcBorders>
            <w:tcMar>
              <w:bottom w:w="170" w:type="dxa"/>
            </w:tcMar>
          </w:tcPr>
          <w:p w:rsidR="00312F4B" w:rsidRPr="00312F4B" w:rsidRDefault="00312F4B" w:rsidP="00312F4B">
            <w:pPr>
              <w:jc w:val="left"/>
              <w:rPr>
                <w:rFonts w:ascii="Arial" w:hAnsi="Arial" w:cs="Arial"/>
                <w:lang w:val="en-US" w:bidi="ar-SA"/>
              </w:rPr>
            </w:pPr>
            <w:bookmarkStart w:id="0" w:name="_GoBack" w:colFirst="0" w:colLast="0"/>
            <w:r w:rsidRPr="00312F4B">
              <w:rPr>
                <w:rFonts w:ascii="Arial" w:hAnsi="Arial" w:cs="Arial"/>
                <w:noProof/>
                <w:lang w:val="en-US" w:bidi="ar-SA"/>
              </w:rPr>
              <w:drawing>
                <wp:anchor distT="0" distB="0" distL="114300" distR="114300" simplePos="0" relativeHeight="251660800" behindDoc="1" locked="0" layoutInCell="0" allowOverlap="1" wp14:anchorId="5F6078AF" wp14:editId="1302B65B">
                  <wp:simplePos x="0" y="0"/>
                  <wp:positionH relativeFrom="page">
                    <wp:posOffset>3834130</wp:posOffset>
                  </wp:positionH>
                  <wp:positionV relativeFrom="margin">
                    <wp:posOffset>0</wp:posOffset>
                  </wp:positionV>
                  <wp:extent cx="866775" cy="1323975"/>
                  <wp:effectExtent l="0" t="0" r="9525" b="9525"/>
                  <wp:wrapNone/>
                  <wp:docPr id="90" name="图片 90"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12F4B" w:rsidRPr="00312F4B" w:rsidRDefault="00312F4B" w:rsidP="00312F4B">
            <w:pPr>
              <w:jc w:val="left"/>
              <w:rPr>
                <w:rFonts w:ascii="Arial" w:hAnsi="Arial" w:cs="Arial"/>
                <w:lang w:val="en-US" w:bidi="ar-SA"/>
              </w:rPr>
            </w:pPr>
          </w:p>
        </w:tc>
        <w:tc>
          <w:tcPr>
            <w:tcW w:w="425" w:type="dxa"/>
            <w:tcBorders>
              <w:bottom w:val="single" w:sz="4" w:space="0" w:color="auto"/>
            </w:tcBorders>
            <w:tcMar>
              <w:left w:w="0" w:type="dxa"/>
              <w:right w:w="0" w:type="dxa"/>
            </w:tcMar>
          </w:tcPr>
          <w:p w:rsidR="00312F4B" w:rsidRPr="00312F4B" w:rsidRDefault="00312F4B" w:rsidP="00312F4B">
            <w:pPr>
              <w:jc w:val="right"/>
              <w:rPr>
                <w:rFonts w:ascii="Arial" w:hAnsi="Arial" w:cs="Arial"/>
                <w:lang w:val="en-US" w:bidi="ar-SA"/>
              </w:rPr>
            </w:pPr>
            <w:r w:rsidRPr="00312F4B">
              <w:rPr>
                <w:rFonts w:ascii="Arial" w:hAnsi="Arial" w:cs="Arial"/>
                <w:b/>
                <w:sz w:val="40"/>
                <w:szCs w:val="40"/>
                <w:lang w:val="en-US" w:bidi="ar-SA"/>
              </w:rPr>
              <w:t>C</w:t>
            </w:r>
          </w:p>
        </w:tc>
      </w:tr>
      <w:bookmarkEnd w:id="0"/>
      <w:tr w:rsidR="00312F4B" w:rsidRPr="00312F4B" w:rsidTr="007A5789">
        <w:trPr>
          <w:trHeight w:hRule="exact" w:val="340"/>
        </w:trPr>
        <w:tc>
          <w:tcPr>
            <w:tcW w:w="9356" w:type="dxa"/>
            <w:gridSpan w:val="3"/>
            <w:tcBorders>
              <w:top w:val="single" w:sz="4" w:space="0" w:color="auto"/>
            </w:tcBorders>
            <w:tcMar>
              <w:top w:w="170" w:type="dxa"/>
              <w:left w:w="0" w:type="dxa"/>
              <w:right w:w="0" w:type="dxa"/>
            </w:tcMar>
            <w:vAlign w:val="bottom"/>
          </w:tcPr>
          <w:p w:rsidR="00312F4B" w:rsidRPr="00312F4B" w:rsidRDefault="00312F4B" w:rsidP="00F374B8">
            <w:pPr>
              <w:jc w:val="right"/>
              <w:rPr>
                <w:rFonts w:ascii="Arial Black" w:hAnsi="Arial Black" w:cs="Arial"/>
                <w:caps/>
                <w:sz w:val="15"/>
                <w:lang w:val="en-US" w:bidi="ar-SA"/>
              </w:rPr>
            </w:pPr>
            <w:r w:rsidRPr="00312F4B">
              <w:rPr>
                <w:rFonts w:ascii="Arial Black" w:hAnsi="Arial Black" w:cs="Arial"/>
                <w:caps/>
                <w:sz w:val="15"/>
                <w:lang w:val="en-US" w:bidi="ar-SA"/>
              </w:rPr>
              <w:t>wo/pbc/25/</w:t>
            </w:r>
            <w:bookmarkStart w:id="1" w:name="Code"/>
            <w:bookmarkEnd w:id="1"/>
            <w:r w:rsidR="00F374B8">
              <w:rPr>
                <w:rFonts w:ascii="Arial Black" w:hAnsi="Arial Black" w:cs="Arial" w:hint="eastAsia"/>
                <w:caps/>
                <w:sz w:val="15"/>
                <w:lang w:val="en-US" w:bidi="ar-SA"/>
              </w:rPr>
              <w:t>9</w:t>
            </w:r>
          </w:p>
        </w:tc>
      </w:tr>
      <w:tr w:rsidR="00312F4B" w:rsidRPr="00312F4B" w:rsidTr="007A5789">
        <w:trPr>
          <w:trHeight w:hRule="exact" w:val="170"/>
        </w:trPr>
        <w:tc>
          <w:tcPr>
            <w:tcW w:w="9356" w:type="dxa"/>
            <w:gridSpan w:val="3"/>
            <w:noWrap/>
            <w:tcMar>
              <w:left w:w="0" w:type="dxa"/>
              <w:right w:w="0" w:type="dxa"/>
            </w:tcMar>
            <w:vAlign w:val="bottom"/>
          </w:tcPr>
          <w:p w:rsidR="00312F4B" w:rsidRPr="00312F4B" w:rsidRDefault="00312F4B" w:rsidP="00312F4B">
            <w:pPr>
              <w:jc w:val="right"/>
              <w:rPr>
                <w:rFonts w:ascii="Arial Black" w:hAnsi="Arial Black" w:cs="Arial"/>
                <w:b/>
                <w:caps/>
                <w:sz w:val="15"/>
                <w:szCs w:val="15"/>
                <w:lang w:val="en-US" w:bidi="ar-SA"/>
              </w:rPr>
            </w:pPr>
            <w:r w:rsidRPr="00312F4B">
              <w:rPr>
                <w:rFonts w:ascii="Arial" w:eastAsia="SimHei" w:hAnsi="Arial" w:cs="Arial"/>
                <w:b/>
                <w:sz w:val="15"/>
                <w:szCs w:val="15"/>
                <w:lang w:val="en-US" w:bidi="ar-SA"/>
              </w:rPr>
              <w:t>原</w:t>
            </w:r>
            <w:r w:rsidRPr="00312F4B">
              <w:rPr>
                <w:rFonts w:ascii="Arial" w:eastAsia="SimHei" w:hAnsi="Arial" w:cs="Arial"/>
                <w:b/>
                <w:sz w:val="15"/>
                <w:szCs w:val="15"/>
                <w:lang w:val="en-US" w:bidi="ar-SA"/>
              </w:rPr>
              <w:t xml:space="preserve"> </w:t>
            </w:r>
            <w:r w:rsidRPr="00312F4B">
              <w:rPr>
                <w:rFonts w:ascii="Arial" w:eastAsia="SimHei" w:hAnsi="Arial" w:cs="Arial"/>
                <w:b/>
                <w:sz w:val="15"/>
                <w:szCs w:val="15"/>
                <w:lang w:val="en-US" w:bidi="ar-SA"/>
              </w:rPr>
              <w:t>文：</w:t>
            </w:r>
            <w:bookmarkStart w:id="2" w:name="Original"/>
            <w:bookmarkEnd w:id="2"/>
            <w:r w:rsidRPr="00312F4B">
              <w:rPr>
                <w:rFonts w:ascii="Arial" w:eastAsia="SimHei" w:hAnsi="Arial" w:cs="Arial"/>
                <w:b/>
                <w:sz w:val="15"/>
                <w:szCs w:val="15"/>
                <w:lang w:val="en-US" w:bidi="ar-SA"/>
              </w:rPr>
              <w:t>英文</w:t>
            </w:r>
          </w:p>
        </w:tc>
      </w:tr>
      <w:tr w:rsidR="00312F4B" w:rsidRPr="00312F4B" w:rsidTr="007A5789">
        <w:trPr>
          <w:trHeight w:hRule="exact" w:val="198"/>
        </w:trPr>
        <w:tc>
          <w:tcPr>
            <w:tcW w:w="9356" w:type="dxa"/>
            <w:gridSpan w:val="3"/>
            <w:tcMar>
              <w:left w:w="0" w:type="dxa"/>
              <w:right w:w="0" w:type="dxa"/>
            </w:tcMar>
            <w:vAlign w:val="bottom"/>
          </w:tcPr>
          <w:p w:rsidR="00312F4B" w:rsidRPr="00312F4B" w:rsidRDefault="00312F4B" w:rsidP="00F374B8">
            <w:pPr>
              <w:jc w:val="right"/>
              <w:rPr>
                <w:rFonts w:ascii="SimHei" w:eastAsia="SimHei" w:hAnsi="Arial Black" w:cs="Arial"/>
                <w:b/>
                <w:caps/>
                <w:sz w:val="15"/>
                <w:szCs w:val="15"/>
                <w:lang w:val="en-US" w:bidi="ar-SA"/>
              </w:rPr>
            </w:pPr>
            <w:r w:rsidRPr="00312F4B">
              <w:rPr>
                <w:rFonts w:ascii="SimHei" w:eastAsia="SimHei" w:hAnsi="Arial" w:cs="Arial"/>
                <w:b/>
                <w:sz w:val="15"/>
                <w:szCs w:val="15"/>
                <w:lang w:val="en-US" w:bidi="ar-SA"/>
              </w:rPr>
              <w:t>日 期</w:t>
            </w:r>
            <w:r w:rsidRPr="00312F4B">
              <w:rPr>
                <w:rFonts w:ascii="SimHei" w:eastAsia="SimHei" w:cs="Arial"/>
                <w:b/>
                <w:sz w:val="15"/>
                <w:szCs w:val="15"/>
                <w:lang w:val="en-US" w:bidi="ar-SA"/>
              </w:rPr>
              <w:t>：</w:t>
            </w:r>
            <w:bookmarkStart w:id="3" w:name="Date"/>
            <w:bookmarkEnd w:id="3"/>
            <w:r w:rsidRPr="00312F4B">
              <w:rPr>
                <w:rFonts w:ascii="Arial Black" w:eastAsia="SimHei" w:hAnsi="Arial Black" w:cs="Arial"/>
                <w:b/>
                <w:sz w:val="15"/>
                <w:szCs w:val="15"/>
                <w:lang w:val="en-US" w:bidi="ar-SA"/>
              </w:rPr>
              <w:t>2016</w:t>
            </w:r>
            <w:r w:rsidRPr="00312F4B">
              <w:rPr>
                <w:rFonts w:ascii="SimHei" w:eastAsia="SimHei" w:hAnsi="Times New Roman" w:cs="Arial"/>
                <w:b/>
                <w:sz w:val="15"/>
                <w:szCs w:val="15"/>
                <w:lang w:val="en-US" w:bidi="ar-SA"/>
              </w:rPr>
              <w:t>年</w:t>
            </w:r>
            <w:r w:rsidRPr="00312F4B">
              <w:rPr>
                <w:rFonts w:ascii="Arial Black" w:eastAsia="SimHei" w:hAnsi="Arial Black" w:cs="Arial" w:hint="eastAsia"/>
                <w:b/>
                <w:sz w:val="15"/>
                <w:szCs w:val="15"/>
                <w:lang w:val="en-US" w:bidi="ar-SA"/>
              </w:rPr>
              <w:t>6</w:t>
            </w:r>
            <w:r w:rsidRPr="00312F4B">
              <w:rPr>
                <w:rFonts w:ascii="SimHei" w:eastAsia="SimHei" w:hAnsi="Times New Roman" w:cs="Arial"/>
                <w:b/>
                <w:sz w:val="15"/>
                <w:szCs w:val="15"/>
                <w:lang w:val="en-US" w:bidi="ar-SA"/>
              </w:rPr>
              <w:t>月</w:t>
            </w:r>
            <w:r w:rsidR="00F374B8">
              <w:rPr>
                <w:rFonts w:ascii="Arial Black" w:eastAsia="SimHei" w:hAnsi="Arial Black" w:cs="Arial" w:hint="eastAsia"/>
                <w:b/>
                <w:sz w:val="15"/>
                <w:szCs w:val="15"/>
                <w:lang w:val="en-US" w:bidi="ar-SA"/>
              </w:rPr>
              <w:t>27</w:t>
            </w:r>
            <w:r w:rsidRPr="00312F4B">
              <w:rPr>
                <w:rFonts w:ascii="SimHei" w:eastAsia="SimHei" w:hAnsi="Times New Roman" w:cs="Arial"/>
                <w:b/>
                <w:sz w:val="15"/>
                <w:szCs w:val="15"/>
                <w:lang w:val="en-US" w:bidi="ar-SA"/>
              </w:rPr>
              <w:t>日</w:t>
            </w:r>
            <w:r w:rsidRPr="00312F4B">
              <w:rPr>
                <w:rFonts w:ascii="SimHei" w:eastAsia="SimHei" w:hAnsi="Arial Black" w:cs="Arial"/>
                <w:b/>
                <w:caps/>
                <w:sz w:val="15"/>
                <w:szCs w:val="15"/>
                <w:lang w:val="en-US" w:bidi="ar-SA"/>
              </w:rPr>
              <w:t xml:space="preserve">  </w:t>
            </w:r>
          </w:p>
        </w:tc>
      </w:tr>
    </w:tbl>
    <w:p w:rsidR="00312F4B" w:rsidRPr="00312F4B" w:rsidRDefault="00312F4B" w:rsidP="00312F4B">
      <w:pPr>
        <w:jc w:val="left"/>
        <w:rPr>
          <w:rFonts w:ascii="Arial" w:hAnsi="Arial" w:cs="Arial"/>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SimHei" w:eastAsia="SimHei" w:hAnsi="Calibri" w:cs="Times New Roman"/>
          <w:sz w:val="28"/>
          <w:szCs w:val="28"/>
          <w:lang w:val="en-US" w:bidi="ar-SA"/>
        </w:rPr>
      </w:pPr>
      <w:r w:rsidRPr="00312F4B">
        <w:rPr>
          <w:rFonts w:ascii="SimHei" w:eastAsia="SimHei" w:hAnsi="Calibri" w:cs="Times New Roman"/>
          <w:sz w:val="28"/>
          <w:szCs w:val="28"/>
          <w:lang w:val="en-US" w:bidi="ar-SA"/>
        </w:rPr>
        <w:t>计划和预算委员会</w:t>
      </w: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textAlignment w:val="bottom"/>
        <w:rPr>
          <w:rFonts w:ascii="KaiTi" w:eastAsia="KaiTi" w:hAnsi="Calibri" w:cs="Times New Roman"/>
          <w:b/>
          <w:sz w:val="24"/>
          <w:szCs w:val="24"/>
          <w:lang w:val="en-US" w:bidi="ar-SA"/>
        </w:rPr>
      </w:pPr>
      <w:r w:rsidRPr="00312F4B">
        <w:rPr>
          <w:rFonts w:ascii="KaiTi" w:eastAsia="KaiTi" w:hAnsi="Calibri" w:cs="Times New Roman"/>
          <w:b/>
          <w:sz w:val="24"/>
          <w:szCs w:val="24"/>
          <w:lang w:val="en-US" w:bidi="ar-SA"/>
        </w:rPr>
        <w:t>第二十五届会议</w:t>
      </w:r>
    </w:p>
    <w:p w:rsidR="00312F4B" w:rsidRPr="00312F4B" w:rsidRDefault="00312F4B" w:rsidP="00312F4B">
      <w:pPr>
        <w:widowControl w:val="0"/>
        <w:rPr>
          <w:rFonts w:ascii="KaiTi" w:eastAsia="KaiTi" w:hAnsi="KaiTi" w:cs="Times New Roman"/>
          <w:b/>
          <w:sz w:val="24"/>
          <w:szCs w:val="24"/>
          <w:lang w:val="en-US" w:bidi="ar-SA"/>
        </w:rPr>
      </w:pPr>
      <w:r w:rsidRPr="00312F4B">
        <w:rPr>
          <w:rFonts w:ascii="KaiTi" w:eastAsia="KaiTi" w:hAnsi="KaiTi" w:cs="Times New Roman"/>
          <w:sz w:val="24"/>
          <w:szCs w:val="24"/>
          <w:lang w:val="en-US" w:bidi="ar-SA"/>
        </w:rPr>
        <w:t>2016</w:t>
      </w:r>
      <w:r w:rsidRPr="00312F4B">
        <w:rPr>
          <w:rFonts w:ascii="KaiTi" w:eastAsia="KaiTi" w:hAnsi="KaiTi" w:cs="Arial"/>
          <w:b/>
          <w:sz w:val="24"/>
          <w:szCs w:val="24"/>
          <w:lang w:val="en-US" w:bidi="ar-SA"/>
        </w:rPr>
        <w:t>年</w:t>
      </w:r>
      <w:r w:rsidRPr="00312F4B">
        <w:rPr>
          <w:rFonts w:ascii="KaiTi" w:eastAsia="KaiTi" w:hAnsi="KaiTi" w:cs="Times New Roman"/>
          <w:sz w:val="24"/>
          <w:szCs w:val="24"/>
          <w:lang w:val="en-US" w:bidi="ar-SA"/>
        </w:rPr>
        <w:t>8</w:t>
      </w:r>
      <w:r w:rsidRPr="00312F4B">
        <w:rPr>
          <w:rFonts w:ascii="KaiTi" w:eastAsia="KaiTi" w:hAnsi="KaiTi" w:cs="Arial"/>
          <w:b/>
          <w:sz w:val="24"/>
          <w:szCs w:val="24"/>
          <w:lang w:val="en-US" w:bidi="ar-SA"/>
        </w:rPr>
        <w:t>月</w:t>
      </w:r>
      <w:r w:rsidRPr="00312F4B">
        <w:rPr>
          <w:rFonts w:ascii="KaiTi" w:eastAsia="KaiTi" w:hAnsi="KaiTi" w:cs="Arial"/>
          <w:sz w:val="24"/>
          <w:szCs w:val="24"/>
          <w:lang w:val="en-US" w:bidi="ar-SA"/>
        </w:rPr>
        <w:t>29</w:t>
      </w:r>
      <w:r w:rsidRPr="00312F4B">
        <w:rPr>
          <w:rFonts w:ascii="KaiTi" w:eastAsia="KaiTi" w:hAnsi="KaiTi" w:cs="Arial"/>
          <w:b/>
          <w:sz w:val="24"/>
          <w:szCs w:val="24"/>
          <w:lang w:val="en-US" w:bidi="ar-SA"/>
        </w:rPr>
        <w:t>日至</w:t>
      </w:r>
      <w:r w:rsidRPr="00312F4B">
        <w:rPr>
          <w:rFonts w:ascii="KaiTi" w:eastAsia="KaiTi" w:hAnsi="KaiTi" w:cs="Times New Roman"/>
          <w:sz w:val="24"/>
          <w:szCs w:val="24"/>
          <w:lang w:val="en-US" w:bidi="ar-SA"/>
        </w:rPr>
        <w:t>9月2</w:t>
      </w:r>
      <w:r w:rsidRPr="00312F4B">
        <w:rPr>
          <w:rFonts w:ascii="KaiTi" w:eastAsia="KaiTi" w:hAnsi="KaiTi" w:cs="Arial"/>
          <w:b/>
          <w:sz w:val="24"/>
          <w:szCs w:val="24"/>
          <w:lang w:val="en-US" w:bidi="ar-SA"/>
        </w:rPr>
        <w:t>日，日内瓦</w:t>
      </w: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KaiTi" w:eastAsia="KaiTi" w:hAnsi="KaiTi" w:cs="Arial"/>
          <w:caps/>
          <w:sz w:val="24"/>
          <w:szCs w:val="24"/>
          <w:lang w:val="en-US" w:bidi="ar-SA"/>
        </w:rPr>
      </w:pPr>
      <w:bookmarkStart w:id="4" w:name="TitleOfDoc"/>
      <w:bookmarkEnd w:id="4"/>
      <w:r w:rsidRPr="00312F4B">
        <w:rPr>
          <w:rFonts w:ascii="KaiTi" w:eastAsia="KaiTi" w:hAnsi="KaiTi" w:cs="Arial"/>
          <w:caps/>
          <w:sz w:val="24"/>
          <w:szCs w:val="24"/>
          <w:lang w:val="en-US" w:bidi="ar-SA"/>
        </w:rPr>
        <w:t>2015年年度财务报告和财务报表</w:t>
      </w: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KaiTi" w:eastAsia="KaiTi" w:hAnsi="KaiTi" w:cs="Arial"/>
          <w:sz w:val="21"/>
          <w:szCs w:val="21"/>
          <w:lang w:val="en-US" w:bidi="ar-SA"/>
        </w:rPr>
      </w:pPr>
      <w:bookmarkStart w:id="5" w:name="Prepared"/>
      <w:bookmarkEnd w:id="5"/>
      <w:r w:rsidRPr="00312F4B">
        <w:rPr>
          <w:rFonts w:ascii="KaiTi" w:eastAsia="KaiTi" w:hAnsi="KaiTi" w:cs="Arial" w:hint="eastAsia"/>
          <w:sz w:val="21"/>
          <w:szCs w:val="21"/>
          <w:lang w:val="en-US" w:bidi="ar-SA"/>
        </w:rPr>
        <w:t>秘书处编拟</w:t>
      </w:r>
    </w:p>
    <w:p w:rsidR="00312F4B" w:rsidRPr="00312F4B" w:rsidRDefault="00312F4B" w:rsidP="00312F4B">
      <w:pPr>
        <w:jc w:val="left"/>
        <w:rPr>
          <w:rFonts w:ascii="Arial" w:hAnsi="Arial" w:cs="Arial"/>
          <w:lang w:val="en-US" w:bidi="ar-SA"/>
        </w:rPr>
      </w:pPr>
    </w:p>
    <w:p w:rsidR="00312F4B" w:rsidRPr="00312F4B" w:rsidRDefault="00312F4B" w:rsidP="00312F4B">
      <w:pPr>
        <w:jc w:val="left"/>
        <w:rPr>
          <w:rFonts w:ascii="Arial" w:hAnsi="Arial" w:cs="Arial"/>
          <w:lang w:val="en-US" w:bidi="ar-SA"/>
        </w:rPr>
      </w:pPr>
    </w:p>
    <w:p w:rsidR="00312F4B" w:rsidRPr="00312F4B" w:rsidRDefault="00312F4B" w:rsidP="00312F4B">
      <w:pPr>
        <w:jc w:val="left"/>
        <w:rPr>
          <w:rFonts w:ascii="Arial" w:hAnsi="Arial" w:cs="Arial"/>
          <w:lang w:val="en-US" w:bidi="ar-SA"/>
        </w:rPr>
      </w:pPr>
    </w:p>
    <w:p w:rsidR="00312F4B" w:rsidRPr="00312F4B" w:rsidRDefault="00312F4B" w:rsidP="00312F4B">
      <w:pPr>
        <w:jc w:val="left"/>
        <w:rPr>
          <w:rFonts w:ascii="Arial" w:hAnsi="Arial" w:cs="Arial"/>
          <w:lang w:val="en-US" w:bidi="ar-SA"/>
        </w:rPr>
      </w:pPr>
    </w:p>
    <w:p w:rsidR="007A5789" w:rsidRDefault="002F50E3" w:rsidP="00134184">
      <w:pPr>
        <w:numPr>
          <w:ilvl w:val="0"/>
          <w:numId w:val="9"/>
        </w:numPr>
        <w:overflowPunct w:val="0"/>
        <w:spacing w:afterLines="50" w:after="120" w:line="340" w:lineRule="atLeast"/>
        <w:ind w:left="0" w:firstLine="0"/>
        <w:rPr>
          <w:sz w:val="21"/>
        </w:rPr>
      </w:pPr>
      <w:r w:rsidRPr="007A5789">
        <w:rPr>
          <w:sz w:val="21"/>
        </w:rPr>
        <w:t>现根据《财务条例与细则》条例8.11，向计划和预算委员会</w:t>
      </w:r>
      <w:r w:rsidR="00B6014B">
        <w:rPr>
          <w:sz w:val="21"/>
        </w:rPr>
        <w:t>（</w:t>
      </w:r>
      <w:r w:rsidRPr="007A5789">
        <w:rPr>
          <w:sz w:val="21"/>
        </w:rPr>
        <w:t>PBC</w:t>
      </w:r>
      <w:r w:rsidR="00B6014B">
        <w:rPr>
          <w:sz w:val="21"/>
        </w:rPr>
        <w:t>）</w:t>
      </w:r>
      <w:r w:rsidRPr="007A5789">
        <w:rPr>
          <w:sz w:val="21"/>
        </w:rPr>
        <w:t>提交截至2015年12月31日的世界知识产权组织</w:t>
      </w:r>
      <w:r w:rsidR="00B6014B">
        <w:rPr>
          <w:sz w:val="21"/>
        </w:rPr>
        <w:t>（</w:t>
      </w:r>
      <w:r w:rsidRPr="007A5789">
        <w:rPr>
          <w:sz w:val="21"/>
        </w:rPr>
        <w:t>WIPO</w:t>
      </w:r>
      <w:r w:rsidR="00B6014B">
        <w:rPr>
          <w:sz w:val="21"/>
        </w:rPr>
        <w:t>）</w:t>
      </w:r>
      <w:r w:rsidRPr="007A5789">
        <w:rPr>
          <w:sz w:val="21"/>
        </w:rPr>
        <w:t>年度财务报表。条例8.11要求PBC对财务报表及其审计报告进行审查，并酌情附具意见和建议转送大会。</w:t>
      </w:r>
    </w:p>
    <w:p w:rsidR="007A5789" w:rsidRDefault="00F93C2F" w:rsidP="00134184">
      <w:pPr>
        <w:numPr>
          <w:ilvl w:val="0"/>
          <w:numId w:val="9"/>
        </w:numPr>
        <w:overflowPunct w:val="0"/>
        <w:spacing w:afterLines="50" w:after="120" w:line="340" w:lineRule="atLeast"/>
        <w:ind w:left="0" w:firstLine="0"/>
        <w:rPr>
          <w:sz w:val="21"/>
        </w:rPr>
      </w:pPr>
      <w:r w:rsidRPr="007A5789">
        <w:rPr>
          <w:sz w:val="21"/>
        </w:rPr>
        <w:t>2015年财务报表是根据</w:t>
      </w:r>
      <w:r w:rsidR="00AB7CFB" w:rsidRPr="007A5789">
        <w:rPr>
          <w:sz w:val="21"/>
        </w:rPr>
        <w:t>《国际公共部门会计准则》</w:t>
      </w:r>
      <w:r w:rsidR="00B6014B">
        <w:rPr>
          <w:sz w:val="21"/>
        </w:rPr>
        <w:t>（</w:t>
      </w:r>
      <w:r w:rsidRPr="007A5789">
        <w:rPr>
          <w:sz w:val="21"/>
        </w:rPr>
        <w:t>IPSAS</w:t>
      </w:r>
      <w:r w:rsidR="00B6014B">
        <w:rPr>
          <w:sz w:val="21"/>
        </w:rPr>
        <w:t>）</w:t>
      </w:r>
      <w:r w:rsidRPr="007A5789">
        <w:rPr>
          <w:sz w:val="21"/>
        </w:rPr>
        <w:t>编制的。在2007年9月24日至10月3日举行的成员国大会第四十三届会议上，成员国原则同意WIPO在2010年采用IPSAS</w:t>
      </w:r>
      <w:r w:rsidR="00B6014B">
        <w:rPr>
          <w:sz w:val="21"/>
        </w:rPr>
        <w:t>（</w:t>
      </w:r>
      <w:r w:rsidRPr="007A5789">
        <w:rPr>
          <w:sz w:val="21"/>
        </w:rPr>
        <w:t>A/43/5</w:t>
      </w:r>
      <w:r w:rsidR="00B6014B">
        <w:rPr>
          <w:sz w:val="21"/>
        </w:rPr>
        <w:t>）</w:t>
      </w:r>
      <w:r w:rsidRPr="007A5789">
        <w:rPr>
          <w:sz w:val="21"/>
        </w:rPr>
        <w:t>。2015年财务报表是根据IPSAS编制的第六套财务报表。</w:t>
      </w:r>
    </w:p>
    <w:p w:rsidR="007A5789" w:rsidRDefault="002F50E3" w:rsidP="00134184">
      <w:pPr>
        <w:numPr>
          <w:ilvl w:val="0"/>
          <w:numId w:val="9"/>
        </w:numPr>
        <w:overflowPunct w:val="0"/>
        <w:spacing w:afterLines="50" w:after="120" w:line="340" w:lineRule="atLeast"/>
        <w:ind w:left="0" w:firstLine="0"/>
        <w:rPr>
          <w:sz w:val="21"/>
        </w:rPr>
      </w:pPr>
      <w:r w:rsidRPr="007A5789">
        <w:rPr>
          <w:sz w:val="21"/>
        </w:rPr>
        <w:t>外聘审计员对2015年财务报表所作的审计报告及其建议和秘书处的答复一同载于文件WO/PBC/25/4。</w:t>
      </w:r>
    </w:p>
    <w:p w:rsidR="007A5789" w:rsidRDefault="002F50E3" w:rsidP="00134184">
      <w:pPr>
        <w:numPr>
          <w:ilvl w:val="0"/>
          <w:numId w:val="9"/>
        </w:numPr>
        <w:overflowPunct w:val="0"/>
        <w:spacing w:afterLines="50" w:after="120" w:line="340" w:lineRule="atLeast"/>
        <w:ind w:left="0" w:firstLine="0"/>
        <w:rPr>
          <w:sz w:val="21"/>
        </w:rPr>
      </w:pPr>
      <w:r w:rsidRPr="007A5789">
        <w:rPr>
          <w:sz w:val="21"/>
        </w:rPr>
        <w:t>提议决定段落措辞如下。</w:t>
      </w:r>
    </w:p>
    <w:p w:rsidR="007A5789" w:rsidRPr="008B64D0" w:rsidRDefault="002F50E3" w:rsidP="008B64D0">
      <w:pPr>
        <w:overflowPunct w:val="0"/>
        <w:spacing w:afterLines="50" w:after="120" w:line="340" w:lineRule="atLeast"/>
        <w:ind w:left="5534"/>
        <w:rPr>
          <w:rFonts w:ascii="KaiTi" w:eastAsia="KaiTi" w:hAnsi="KaiTi"/>
          <w:sz w:val="21"/>
        </w:rPr>
      </w:pPr>
      <w:r w:rsidRPr="008B64D0">
        <w:rPr>
          <w:rFonts w:ascii="KaiTi" w:eastAsia="KaiTi" w:hAnsi="KaiTi"/>
          <w:sz w:val="21"/>
        </w:rPr>
        <w:t>5.</w:t>
      </w:r>
      <w:r w:rsidR="00624A89" w:rsidRPr="008B64D0">
        <w:rPr>
          <w:rFonts w:ascii="KaiTi" w:eastAsia="KaiTi" w:hAnsi="KaiTi"/>
          <w:sz w:val="21"/>
        </w:rPr>
        <w:tab/>
      </w:r>
      <w:r w:rsidRPr="008B64D0">
        <w:rPr>
          <w:rFonts w:ascii="KaiTi" w:eastAsia="KaiTi" w:hAnsi="KaiTi"/>
          <w:sz w:val="21"/>
        </w:rPr>
        <w:t>计划和预算委员会建议大会和WIPO成员国的其他大会批准2015年年度财务报告和财务报表</w:t>
      </w:r>
      <w:r w:rsidR="00B6014B">
        <w:rPr>
          <w:rFonts w:ascii="KaiTi" w:eastAsia="KaiTi" w:hAnsi="KaiTi"/>
          <w:sz w:val="21"/>
        </w:rPr>
        <w:t>（</w:t>
      </w:r>
      <w:r w:rsidRPr="008B64D0">
        <w:rPr>
          <w:rFonts w:ascii="KaiTi" w:eastAsia="KaiTi" w:hAnsi="KaiTi"/>
          <w:sz w:val="21"/>
        </w:rPr>
        <w:t>文件WO/PBC/25</w:t>
      </w:r>
      <w:r w:rsidR="006F192F">
        <w:rPr>
          <w:rFonts w:ascii="KaiTi" w:eastAsia="KaiTi" w:hAnsi="KaiTi" w:hint="eastAsia"/>
          <w:sz w:val="21"/>
        </w:rPr>
        <w:br/>
      </w:r>
      <w:r w:rsidRPr="008B64D0">
        <w:rPr>
          <w:rFonts w:ascii="KaiTi" w:eastAsia="KaiTi" w:hAnsi="KaiTi"/>
          <w:sz w:val="21"/>
        </w:rPr>
        <w:t>/9</w:t>
      </w:r>
      <w:r w:rsidR="00B6014B">
        <w:rPr>
          <w:rFonts w:ascii="KaiTi" w:eastAsia="KaiTi" w:hAnsi="KaiTi"/>
          <w:sz w:val="21"/>
        </w:rPr>
        <w:t>）</w:t>
      </w:r>
      <w:r w:rsidRPr="008B64D0">
        <w:rPr>
          <w:rFonts w:ascii="KaiTi" w:eastAsia="KaiTi" w:hAnsi="KaiTi"/>
          <w:sz w:val="21"/>
        </w:rPr>
        <w:t>。</w:t>
      </w:r>
    </w:p>
    <w:p w:rsidR="008B64D0" w:rsidRDefault="008B64D0" w:rsidP="008B64D0">
      <w:pPr>
        <w:pStyle w:val="Endofdocument-Annex"/>
        <w:overflowPunct w:val="0"/>
        <w:spacing w:afterLines="50" w:after="120" w:line="340" w:lineRule="atLeast"/>
        <w:rPr>
          <w:rFonts w:ascii="KaiTi" w:eastAsia="KaiTi" w:hAnsi="KaiTi"/>
          <w:sz w:val="21"/>
        </w:rPr>
      </w:pPr>
    </w:p>
    <w:p w:rsidR="00392109" w:rsidRPr="008B64D0" w:rsidRDefault="00F93C2F" w:rsidP="008B64D0">
      <w:pPr>
        <w:pStyle w:val="Endofdocument-Annex"/>
        <w:overflowPunct w:val="0"/>
        <w:spacing w:afterLines="50" w:after="120" w:line="340" w:lineRule="atLeast"/>
        <w:rPr>
          <w:rFonts w:ascii="KaiTi" w:eastAsia="KaiTi" w:hAnsi="KaiTi"/>
          <w:sz w:val="21"/>
        </w:rPr>
      </w:pPr>
      <w:r w:rsidRPr="008B64D0">
        <w:rPr>
          <w:rFonts w:ascii="KaiTi" w:eastAsia="KaiTi" w:hAnsi="KaiTi"/>
          <w:sz w:val="21"/>
        </w:rPr>
        <w:t>[后接2015年财务报表]</w:t>
      </w:r>
    </w:p>
    <w:p w:rsidR="00392109" w:rsidRPr="007A5789" w:rsidRDefault="00392109">
      <w:pPr>
        <w:jc w:val="left"/>
        <w:rPr>
          <w:sz w:val="21"/>
        </w:rPr>
      </w:pPr>
      <w:r w:rsidRPr="007A5789">
        <w:rPr>
          <w:sz w:val="21"/>
        </w:rPr>
        <w:br w:type="page"/>
      </w:r>
    </w:p>
    <w:p w:rsidR="00CB2879" w:rsidRPr="007A5789" w:rsidRDefault="00CB2879">
      <w:pPr>
        <w:jc w:val="left"/>
        <w:rPr>
          <w:sz w:val="21"/>
        </w:rPr>
      </w:pPr>
    </w:p>
    <w:p w:rsidR="00CB2879" w:rsidRPr="007A5789" w:rsidRDefault="00CB2879" w:rsidP="00392109">
      <w:pPr>
        <w:pStyle w:val="Endofdocument-Annex"/>
        <w:rPr>
          <w:sz w:val="21"/>
        </w:rPr>
        <w:sectPr w:rsidR="00CB2879" w:rsidRPr="007A5789" w:rsidSect="008B64D0">
          <w:headerReference w:type="default" r:id="rId10"/>
          <w:endnotePr>
            <w:numFmt w:val="decimal"/>
          </w:endnotePr>
          <w:pgSz w:w="11907" w:h="16840" w:code="9"/>
          <w:pgMar w:top="567" w:right="1134" w:bottom="1418" w:left="1418" w:header="510" w:footer="1021" w:gutter="0"/>
          <w:cols w:space="720"/>
          <w:titlePg/>
          <w:docGrid w:linePitch="299"/>
        </w:sectPr>
      </w:pPr>
    </w:p>
    <w:p w:rsidR="00976C19" w:rsidRPr="007A5789" w:rsidRDefault="00976C19" w:rsidP="00392109">
      <w:pPr>
        <w:pStyle w:val="Endofdocument-Annex"/>
        <w:rPr>
          <w:sz w:val="21"/>
        </w:rPr>
      </w:pPr>
    </w:p>
    <w:p w:rsidR="00976C19" w:rsidRPr="007A5789" w:rsidRDefault="00976C19" w:rsidP="00976C19">
      <w:pPr>
        <w:pStyle w:val="StyleHeading1"/>
        <w:rPr>
          <w:b w:val="0"/>
          <w:sz w:val="28"/>
          <w:szCs w:val="28"/>
        </w:rPr>
      </w:pPr>
    </w:p>
    <w:p w:rsidR="00976C19" w:rsidRPr="007A5789" w:rsidRDefault="00976C19" w:rsidP="00976C19">
      <w:pPr>
        <w:pStyle w:val="StyleHeading1"/>
        <w:rPr>
          <w:b w:val="0"/>
          <w:sz w:val="28"/>
          <w:szCs w:val="28"/>
        </w:rPr>
      </w:pPr>
    </w:p>
    <w:p w:rsidR="00976C19" w:rsidRPr="007A5789" w:rsidRDefault="00976C19" w:rsidP="00976C19">
      <w:pPr>
        <w:pStyle w:val="StyleHeading1"/>
        <w:rPr>
          <w:b w:val="0"/>
          <w:sz w:val="28"/>
          <w:szCs w:val="28"/>
        </w:rPr>
      </w:pPr>
    </w:p>
    <w:p w:rsidR="00976C19" w:rsidRPr="00C8425D" w:rsidRDefault="00976C19" w:rsidP="00976C19">
      <w:pPr>
        <w:pStyle w:val="StyleHeading1"/>
        <w:rPr>
          <w:rFonts w:ascii="SimHei" w:eastAsia="SimHei" w:hAnsi="SimHei"/>
          <w:b w:val="0"/>
          <w:spacing w:val="30"/>
          <w:kern w:val="0"/>
          <w:sz w:val="28"/>
          <w:szCs w:val="28"/>
        </w:rPr>
      </w:pPr>
      <w:r w:rsidRPr="00C8425D">
        <w:rPr>
          <w:rFonts w:ascii="SimHei" w:eastAsia="SimHei" w:hAnsi="SimHei"/>
          <w:b w:val="0"/>
          <w:spacing w:val="30"/>
          <w:kern w:val="0"/>
          <w:sz w:val="28"/>
        </w:rPr>
        <w:t>世界知识产权组织</w:t>
      </w:r>
    </w:p>
    <w:p w:rsidR="00976C19" w:rsidRPr="007A5789" w:rsidRDefault="00976C19" w:rsidP="00C8425D">
      <w:pPr>
        <w:jc w:val="center"/>
        <w:rPr>
          <w:sz w:val="21"/>
        </w:rPr>
      </w:pPr>
    </w:p>
    <w:p w:rsidR="00976C19" w:rsidRPr="007A5789" w:rsidRDefault="00976C19" w:rsidP="00C8425D">
      <w:pPr>
        <w:jc w:val="center"/>
        <w:rPr>
          <w:sz w:val="21"/>
        </w:rPr>
      </w:pPr>
    </w:p>
    <w:p w:rsidR="00976C19" w:rsidRPr="007A5789" w:rsidRDefault="00976C19" w:rsidP="00C8425D">
      <w:pPr>
        <w:jc w:val="center"/>
        <w:rPr>
          <w:sz w:val="21"/>
        </w:rPr>
      </w:pPr>
      <w:r w:rsidRPr="007A5789">
        <w:rPr>
          <w:sz w:val="21"/>
        </w:rPr>
        <w:t>年度财务报告和财务报表</w:t>
      </w:r>
    </w:p>
    <w:p w:rsidR="00976C19" w:rsidRPr="007A5789" w:rsidRDefault="00976C19" w:rsidP="00C8425D">
      <w:pPr>
        <w:jc w:val="center"/>
        <w:rPr>
          <w:sz w:val="21"/>
        </w:rPr>
      </w:pPr>
    </w:p>
    <w:p w:rsidR="007A5789" w:rsidRDefault="00976C19" w:rsidP="00976C19">
      <w:pPr>
        <w:jc w:val="center"/>
        <w:rPr>
          <w:sz w:val="21"/>
        </w:rPr>
      </w:pPr>
      <w:r w:rsidRPr="007A5789">
        <w:rPr>
          <w:sz w:val="21"/>
        </w:rPr>
        <w:t>2015年12月31日截止的年度</w:t>
      </w:r>
    </w:p>
    <w:p w:rsidR="00CB2879" w:rsidRPr="007A5789" w:rsidRDefault="00CB2879">
      <w:pPr>
        <w:jc w:val="left"/>
        <w:rPr>
          <w:sz w:val="21"/>
        </w:rPr>
      </w:pPr>
      <w:r w:rsidRPr="007A5789">
        <w:rPr>
          <w:sz w:val="21"/>
        </w:rPr>
        <w:br w:type="page"/>
      </w:r>
    </w:p>
    <w:p w:rsidR="00817B84" w:rsidRPr="00C8425D" w:rsidRDefault="00976C19" w:rsidP="00C53F31">
      <w:pPr>
        <w:spacing w:before="240" w:after="240"/>
        <w:jc w:val="center"/>
        <w:rPr>
          <w:rFonts w:ascii="SimHei" w:eastAsia="SimHei" w:hAnsi="SimHei"/>
          <w:sz w:val="21"/>
        </w:rPr>
      </w:pPr>
      <w:r w:rsidRPr="007A5789">
        <w:rPr>
          <w:sz w:val="21"/>
        </w:rPr>
        <w:lastRenderedPageBreak/>
        <w:br w:type="page"/>
      </w:r>
      <w:bookmarkStart w:id="6" w:name="_Toc455733210"/>
      <w:r w:rsidR="004C08E2" w:rsidRPr="00C8425D">
        <w:rPr>
          <w:rFonts w:ascii="SimHei" w:eastAsia="SimHei" w:hAnsi="SimHei"/>
          <w:sz w:val="21"/>
        </w:rPr>
        <w:lastRenderedPageBreak/>
        <w:t>目</w:t>
      </w:r>
      <w:r w:rsidR="00C8425D">
        <w:rPr>
          <w:rFonts w:ascii="SimHei" w:eastAsia="SimHei" w:hAnsi="SimHei" w:hint="eastAsia"/>
          <w:sz w:val="21"/>
        </w:rPr>
        <w:t xml:space="preserve">　</w:t>
      </w:r>
      <w:r w:rsidR="004C08E2" w:rsidRPr="00C8425D">
        <w:rPr>
          <w:rFonts w:ascii="SimHei" w:eastAsia="SimHei" w:hAnsi="SimHei"/>
          <w:sz w:val="21"/>
        </w:rPr>
        <w:t>录</w:t>
      </w:r>
      <w:bookmarkEnd w:id="6"/>
    </w:p>
    <w:p w:rsidR="002E0387" w:rsidRPr="00CA720C" w:rsidRDefault="002E0387" w:rsidP="00CA720C">
      <w:pPr>
        <w:ind w:right="-1"/>
        <w:jc w:val="right"/>
        <w:rPr>
          <w:b/>
          <w:bCs/>
          <w:caps/>
          <w:kern w:val="32"/>
          <w:sz w:val="21"/>
          <w:szCs w:val="32"/>
        </w:rPr>
      </w:pPr>
      <w:r w:rsidRPr="00CA720C">
        <w:rPr>
          <w:b/>
          <w:sz w:val="21"/>
        </w:rPr>
        <w:t>页</w:t>
      </w:r>
      <w:r w:rsidR="00D10285" w:rsidRPr="00CA720C">
        <w:rPr>
          <w:rFonts w:hint="eastAsia"/>
          <w:b/>
          <w:sz w:val="21"/>
        </w:rPr>
        <w:t>次</w:t>
      </w:r>
    </w:p>
    <w:p w:rsidR="00C22171" w:rsidRPr="007A5789" w:rsidRDefault="00224ACB" w:rsidP="00C22171">
      <w:pPr>
        <w:pStyle w:val="10"/>
        <w:framePr w:wrap="auto" w:vAnchor="margin" w:yAlign="inline"/>
        <w:tabs>
          <w:tab w:val="right" w:pos="9345"/>
        </w:tabs>
        <w:spacing w:after="0"/>
        <w:rPr>
          <w:rFonts w:cs="Times New Roman"/>
          <w:noProof/>
          <w:kern w:val="2"/>
          <w:sz w:val="21"/>
          <w:szCs w:val="22"/>
          <w:lang w:val="en-US" w:bidi="ar-SA"/>
        </w:rPr>
      </w:pPr>
      <w:r w:rsidRPr="00390119">
        <w:rPr>
          <w:rFonts w:ascii="Times New Roman" w:hAnsi="Times New Roman"/>
        </w:rPr>
        <w:fldChar w:fldCharType="begin"/>
      </w:r>
      <w:r w:rsidRPr="00390119">
        <w:rPr>
          <w:rFonts w:ascii="Times New Roman" w:hAnsi="Times New Roman"/>
        </w:rPr>
        <w:instrText xml:space="preserve"> TOC \o "1-3" \h \z \u </w:instrText>
      </w:r>
      <w:r w:rsidRPr="00390119">
        <w:rPr>
          <w:rFonts w:ascii="Times New Roman" w:hAnsi="Times New Roman"/>
        </w:rPr>
        <w:fldChar w:fldCharType="separate"/>
      </w:r>
      <w:hyperlink w:anchor="_Toc456711723" w:history="1">
        <w:r w:rsidR="00C22171" w:rsidRPr="00CA720C">
          <w:rPr>
            <w:rStyle w:val="ae"/>
            <w:rFonts w:ascii="SimHei" w:eastAsia="SimHei" w:hAnsi="SimHei" w:hint="eastAsia"/>
            <w:noProof/>
            <w:sz w:val="21"/>
          </w:rPr>
          <w:t>年度财务报告</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_Toc456711723 \h </w:instrText>
        </w:r>
        <w:r w:rsidR="00C22171" w:rsidRPr="007A5789">
          <w:rPr>
            <w:noProof/>
            <w:webHidden/>
            <w:sz w:val="21"/>
          </w:rPr>
        </w:r>
        <w:r w:rsidR="00C22171" w:rsidRPr="007A5789">
          <w:rPr>
            <w:noProof/>
            <w:webHidden/>
            <w:sz w:val="21"/>
          </w:rPr>
          <w:fldChar w:fldCharType="separate"/>
        </w:r>
        <w:r w:rsidR="00F75064">
          <w:rPr>
            <w:noProof/>
            <w:webHidden/>
            <w:sz w:val="21"/>
          </w:rPr>
          <w:t>4</w:t>
        </w:r>
        <w:r w:rsidR="00C22171" w:rsidRPr="007A5789">
          <w:rPr>
            <w:noProof/>
            <w:webHidden/>
            <w:sz w:val="21"/>
          </w:rPr>
          <w:fldChar w:fldCharType="end"/>
        </w:r>
      </w:hyperlink>
    </w:p>
    <w:p w:rsidR="00C22171" w:rsidRPr="007A5789" w:rsidRDefault="00EF7E79" w:rsidP="00CA720C">
      <w:pPr>
        <w:pStyle w:val="20"/>
        <w:rPr>
          <w:rFonts w:cs="Times New Roman"/>
          <w:color w:val="auto"/>
          <w:kern w:val="2"/>
          <w:szCs w:val="22"/>
          <w:lang w:val="en-US" w:bidi="ar-SA"/>
        </w:rPr>
      </w:pPr>
      <w:hyperlink w:anchor="_Toc456711724" w:history="1">
        <w:r w:rsidR="00C22171" w:rsidRPr="007A5789">
          <w:rPr>
            <w:rStyle w:val="ae"/>
            <w:rFonts w:ascii="SimSun" w:eastAsia="SimSun" w:hAnsi="SimSun" w:hint="eastAsia"/>
          </w:rPr>
          <w:t>引</w:t>
        </w:r>
        <w:r w:rsidR="00B87A4B">
          <w:rPr>
            <w:rStyle w:val="ae"/>
            <w:rFonts w:ascii="SimSun" w:eastAsia="SimSun" w:hAnsi="SimSun" w:hint="eastAsia"/>
          </w:rPr>
          <w:t xml:space="preserve">　</w:t>
        </w:r>
        <w:r w:rsidR="00C22171" w:rsidRPr="007A5789">
          <w:rPr>
            <w:rStyle w:val="ae"/>
            <w:rFonts w:ascii="SimSun" w:eastAsia="SimSun" w:hAnsi="SimSun" w:hint="eastAsia"/>
          </w:rPr>
          <w:t>言</w:t>
        </w:r>
        <w:r w:rsidR="00C22171" w:rsidRPr="007A5789">
          <w:rPr>
            <w:webHidden/>
          </w:rPr>
          <w:tab/>
        </w:r>
        <w:r w:rsidR="00C22171" w:rsidRPr="007A5789">
          <w:rPr>
            <w:webHidden/>
          </w:rPr>
          <w:fldChar w:fldCharType="begin"/>
        </w:r>
        <w:r w:rsidR="00C22171" w:rsidRPr="007A5789">
          <w:rPr>
            <w:webHidden/>
          </w:rPr>
          <w:instrText xml:space="preserve"> PAGEREF _Toc456711724 \h </w:instrText>
        </w:r>
        <w:r w:rsidR="00C22171" w:rsidRPr="007A5789">
          <w:rPr>
            <w:webHidden/>
          </w:rPr>
        </w:r>
        <w:r w:rsidR="00C22171" w:rsidRPr="007A5789">
          <w:rPr>
            <w:webHidden/>
          </w:rPr>
          <w:fldChar w:fldCharType="separate"/>
        </w:r>
        <w:r w:rsidR="00F75064">
          <w:rPr>
            <w:webHidden/>
          </w:rPr>
          <w:t>4</w:t>
        </w:r>
        <w:r w:rsidR="00C22171" w:rsidRPr="007A5789">
          <w:rPr>
            <w:webHidden/>
          </w:rPr>
          <w:fldChar w:fldCharType="end"/>
        </w:r>
      </w:hyperlink>
    </w:p>
    <w:p w:rsidR="00C22171" w:rsidRPr="007A5789" w:rsidRDefault="00EF7E79" w:rsidP="00CA720C">
      <w:pPr>
        <w:pStyle w:val="20"/>
        <w:rPr>
          <w:rFonts w:cs="Times New Roman"/>
          <w:color w:val="auto"/>
          <w:kern w:val="2"/>
          <w:szCs w:val="22"/>
          <w:lang w:val="en-US" w:bidi="ar-SA"/>
        </w:rPr>
      </w:pPr>
      <w:hyperlink w:anchor="_Toc456711725" w:history="1">
        <w:r w:rsidR="00C22171" w:rsidRPr="007A5789">
          <w:rPr>
            <w:rStyle w:val="ae"/>
            <w:rFonts w:ascii="SimSun" w:eastAsia="SimSun" w:hAnsi="SimSun" w:hint="eastAsia"/>
          </w:rPr>
          <w:t>财务报表讨论与分析</w:t>
        </w:r>
        <w:r w:rsidR="00C22171" w:rsidRPr="007A5789">
          <w:rPr>
            <w:webHidden/>
          </w:rPr>
          <w:tab/>
        </w:r>
        <w:r w:rsidR="00C22171" w:rsidRPr="007A5789">
          <w:rPr>
            <w:webHidden/>
          </w:rPr>
          <w:fldChar w:fldCharType="begin"/>
        </w:r>
        <w:r w:rsidR="00C22171" w:rsidRPr="007A5789">
          <w:rPr>
            <w:webHidden/>
          </w:rPr>
          <w:instrText xml:space="preserve"> PAGEREF _Toc456711725 \h </w:instrText>
        </w:r>
        <w:r w:rsidR="00C22171" w:rsidRPr="007A5789">
          <w:rPr>
            <w:webHidden/>
          </w:rPr>
        </w:r>
        <w:r w:rsidR="00C22171" w:rsidRPr="007A5789">
          <w:rPr>
            <w:webHidden/>
          </w:rPr>
          <w:fldChar w:fldCharType="separate"/>
        </w:r>
        <w:r w:rsidR="00F75064">
          <w:rPr>
            <w:webHidden/>
          </w:rPr>
          <w:t>4</w:t>
        </w:r>
        <w:r w:rsidR="00C22171" w:rsidRPr="007A5789">
          <w:rPr>
            <w:webHidden/>
          </w:rPr>
          <w:fldChar w:fldCharType="end"/>
        </w:r>
      </w:hyperlink>
    </w:p>
    <w:p w:rsidR="00390119" w:rsidRPr="007A5789" w:rsidRDefault="00390119" w:rsidP="00CA720C">
      <w:pPr>
        <w:pStyle w:val="20"/>
        <w:rPr>
          <w:rStyle w:val="ae"/>
          <w:rFonts w:ascii="SimSun" w:eastAsia="SimSun" w:hAnsi="SimSun"/>
          <w:b/>
          <w:color w:val="000000"/>
          <w:u w:val="none"/>
        </w:rPr>
      </w:pPr>
      <w:r w:rsidRPr="00CA720C">
        <w:rPr>
          <w:rStyle w:val="ae"/>
          <w:rFonts w:hint="eastAsia"/>
          <w:color w:val="000000"/>
          <w:u w:val="none"/>
        </w:rPr>
        <w:t>财务报表</w:t>
      </w:r>
      <w:r w:rsidRPr="007A5789">
        <w:rPr>
          <w:rStyle w:val="ae"/>
          <w:rFonts w:ascii="SimSun" w:eastAsia="SimSun" w:hAnsi="SimSun" w:hint="eastAsia"/>
          <w:color w:val="000000"/>
          <w:u w:val="none"/>
        </w:rPr>
        <w:tab/>
        <w:t>22</w:t>
      </w:r>
    </w:p>
    <w:p w:rsidR="00C22171" w:rsidRPr="007A5789" w:rsidRDefault="00EF7E79" w:rsidP="00CA720C">
      <w:pPr>
        <w:pStyle w:val="20"/>
        <w:rPr>
          <w:rFonts w:cs="Times New Roman"/>
          <w:color w:val="auto"/>
          <w:kern w:val="2"/>
          <w:szCs w:val="22"/>
          <w:lang w:val="en-US" w:bidi="ar-SA"/>
        </w:rPr>
      </w:pPr>
      <w:hyperlink w:anchor="_Toc456711726" w:history="1">
        <w:r w:rsidR="00C22171" w:rsidRPr="007A5789">
          <w:rPr>
            <w:rStyle w:val="ae"/>
            <w:rFonts w:ascii="SimSun" w:eastAsia="SimSun" w:hAnsi="SimSun" w:hint="eastAsia"/>
          </w:rPr>
          <w:t>报表一</w:t>
        </w:r>
        <w:r w:rsidR="00C22171" w:rsidRPr="007A5789">
          <w:rPr>
            <w:rStyle w:val="ae"/>
            <w:rFonts w:ascii="SimSun" w:eastAsia="SimSun" w:hAnsi="SimSun"/>
          </w:rPr>
          <w:t>-</w:t>
        </w:r>
        <w:r w:rsidR="00C22171" w:rsidRPr="007A5789">
          <w:rPr>
            <w:rStyle w:val="ae"/>
            <w:rFonts w:ascii="SimSun" w:eastAsia="SimSun" w:hAnsi="SimSun" w:hint="eastAsia"/>
          </w:rPr>
          <w:t>财务状况表</w:t>
        </w:r>
        <w:r w:rsidR="00C22171" w:rsidRPr="007A5789">
          <w:rPr>
            <w:webHidden/>
          </w:rPr>
          <w:tab/>
        </w:r>
        <w:r w:rsidR="00C22171" w:rsidRPr="007A5789">
          <w:rPr>
            <w:webHidden/>
          </w:rPr>
          <w:fldChar w:fldCharType="begin"/>
        </w:r>
        <w:r w:rsidR="00C22171" w:rsidRPr="007A5789">
          <w:rPr>
            <w:webHidden/>
          </w:rPr>
          <w:instrText xml:space="preserve"> PAGEREF _Toc456711726 \h </w:instrText>
        </w:r>
        <w:r w:rsidR="00C22171" w:rsidRPr="007A5789">
          <w:rPr>
            <w:webHidden/>
          </w:rPr>
        </w:r>
        <w:r w:rsidR="00C22171" w:rsidRPr="007A5789">
          <w:rPr>
            <w:webHidden/>
          </w:rPr>
          <w:fldChar w:fldCharType="separate"/>
        </w:r>
        <w:r w:rsidR="00F75064">
          <w:rPr>
            <w:webHidden/>
          </w:rPr>
          <w:t>22</w:t>
        </w:r>
        <w:r w:rsidR="00C22171" w:rsidRPr="007A5789">
          <w:rPr>
            <w:webHidden/>
          </w:rPr>
          <w:fldChar w:fldCharType="end"/>
        </w:r>
      </w:hyperlink>
    </w:p>
    <w:p w:rsidR="00C22171" w:rsidRPr="007A5789" w:rsidRDefault="00EF7E79" w:rsidP="00CA720C">
      <w:pPr>
        <w:pStyle w:val="20"/>
        <w:rPr>
          <w:rFonts w:cs="Times New Roman"/>
          <w:color w:val="auto"/>
          <w:kern w:val="2"/>
          <w:szCs w:val="22"/>
          <w:lang w:val="en-US" w:bidi="ar-SA"/>
        </w:rPr>
      </w:pPr>
      <w:hyperlink w:anchor="_Toc456711727" w:history="1">
        <w:r w:rsidR="00C22171" w:rsidRPr="007A5789">
          <w:rPr>
            <w:rStyle w:val="ae"/>
            <w:rFonts w:ascii="SimSun" w:eastAsia="SimSun" w:hAnsi="SimSun" w:hint="eastAsia"/>
          </w:rPr>
          <w:t>报表二</w:t>
        </w:r>
        <w:r w:rsidR="00C22171" w:rsidRPr="007A5789">
          <w:rPr>
            <w:rStyle w:val="ae"/>
            <w:rFonts w:ascii="SimSun" w:eastAsia="SimSun" w:hAnsi="SimSun"/>
          </w:rPr>
          <w:t xml:space="preserve"> - </w:t>
        </w:r>
        <w:r w:rsidR="00C22171" w:rsidRPr="007A5789">
          <w:rPr>
            <w:rStyle w:val="ae"/>
            <w:rFonts w:ascii="SimSun" w:eastAsia="SimSun" w:hAnsi="SimSun" w:hint="eastAsia"/>
          </w:rPr>
          <w:t>财务执行情况表</w:t>
        </w:r>
        <w:r w:rsidR="00C22171" w:rsidRPr="007A5789">
          <w:rPr>
            <w:webHidden/>
          </w:rPr>
          <w:tab/>
        </w:r>
        <w:r w:rsidR="00C22171" w:rsidRPr="007A5789">
          <w:rPr>
            <w:webHidden/>
          </w:rPr>
          <w:fldChar w:fldCharType="begin"/>
        </w:r>
        <w:r w:rsidR="00C22171" w:rsidRPr="007A5789">
          <w:rPr>
            <w:webHidden/>
          </w:rPr>
          <w:instrText xml:space="preserve"> PAGEREF _Toc456711727 \h </w:instrText>
        </w:r>
        <w:r w:rsidR="00C22171" w:rsidRPr="007A5789">
          <w:rPr>
            <w:webHidden/>
          </w:rPr>
        </w:r>
        <w:r w:rsidR="00C22171" w:rsidRPr="007A5789">
          <w:rPr>
            <w:webHidden/>
          </w:rPr>
          <w:fldChar w:fldCharType="separate"/>
        </w:r>
        <w:r w:rsidR="00F75064">
          <w:rPr>
            <w:webHidden/>
          </w:rPr>
          <w:t>23</w:t>
        </w:r>
        <w:r w:rsidR="00C22171" w:rsidRPr="007A5789">
          <w:rPr>
            <w:webHidden/>
          </w:rPr>
          <w:fldChar w:fldCharType="end"/>
        </w:r>
      </w:hyperlink>
    </w:p>
    <w:p w:rsidR="00C22171" w:rsidRPr="007A5789" w:rsidRDefault="00EF7E79" w:rsidP="00CA720C">
      <w:pPr>
        <w:pStyle w:val="20"/>
        <w:rPr>
          <w:rFonts w:cs="Times New Roman"/>
          <w:color w:val="auto"/>
          <w:kern w:val="2"/>
          <w:szCs w:val="22"/>
          <w:lang w:val="en-US" w:bidi="ar-SA"/>
        </w:rPr>
      </w:pPr>
      <w:hyperlink w:anchor="_Toc456711728" w:history="1">
        <w:r w:rsidR="00C22171" w:rsidRPr="007A5789">
          <w:rPr>
            <w:rStyle w:val="ae"/>
            <w:rFonts w:ascii="SimSun" w:eastAsia="SimSun" w:hAnsi="SimSun" w:hint="eastAsia"/>
          </w:rPr>
          <w:t>报表三</w:t>
        </w:r>
        <w:r w:rsidR="00C22171" w:rsidRPr="007A5789">
          <w:rPr>
            <w:rStyle w:val="ae"/>
            <w:rFonts w:ascii="SimSun" w:eastAsia="SimSun" w:hAnsi="SimSun"/>
          </w:rPr>
          <w:t xml:space="preserve"> - </w:t>
        </w:r>
        <w:r w:rsidR="00C22171" w:rsidRPr="007A5789">
          <w:rPr>
            <w:rStyle w:val="ae"/>
            <w:rFonts w:ascii="SimSun" w:eastAsia="SimSun" w:hAnsi="SimSun" w:hint="eastAsia"/>
          </w:rPr>
          <w:t>净资产变动表</w:t>
        </w:r>
        <w:r w:rsidR="00C22171" w:rsidRPr="007A5789">
          <w:rPr>
            <w:webHidden/>
          </w:rPr>
          <w:tab/>
        </w:r>
        <w:r w:rsidR="00C22171" w:rsidRPr="007A5789">
          <w:rPr>
            <w:webHidden/>
          </w:rPr>
          <w:fldChar w:fldCharType="begin"/>
        </w:r>
        <w:r w:rsidR="00C22171" w:rsidRPr="007A5789">
          <w:rPr>
            <w:webHidden/>
          </w:rPr>
          <w:instrText xml:space="preserve"> PAGEREF _Toc456711728 \h </w:instrText>
        </w:r>
        <w:r w:rsidR="00C22171" w:rsidRPr="007A5789">
          <w:rPr>
            <w:webHidden/>
          </w:rPr>
        </w:r>
        <w:r w:rsidR="00C22171" w:rsidRPr="007A5789">
          <w:rPr>
            <w:webHidden/>
          </w:rPr>
          <w:fldChar w:fldCharType="separate"/>
        </w:r>
        <w:r w:rsidR="00F75064">
          <w:rPr>
            <w:webHidden/>
          </w:rPr>
          <w:t>24</w:t>
        </w:r>
        <w:r w:rsidR="00C22171" w:rsidRPr="007A5789">
          <w:rPr>
            <w:webHidden/>
          </w:rPr>
          <w:fldChar w:fldCharType="end"/>
        </w:r>
      </w:hyperlink>
    </w:p>
    <w:p w:rsidR="00C22171" w:rsidRPr="007A5789" w:rsidRDefault="00EF7E79" w:rsidP="00CA720C">
      <w:pPr>
        <w:pStyle w:val="20"/>
        <w:rPr>
          <w:rFonts w:cs="Times New Roman"/>
          <w:color w:val="auto"/>
          <w:kern w:val="2"/>
          <w:szCs w:val="22"/>
          <w:lang w:val="en-US" w:bidi="ar-SA"/>
        </w:rPr>
      </w:pPr>
      <w:hyperlink w:anchor="_Toc456711729" w:history="1">
        <w:r w:rsidR="00C22171" w:rsidRPr="007A5789">
          <w:rPr>
            <w:rStyle w:val="ae"/>
            <w:rFonts w:ascii="SimSun" w:eastAsia="SimSun" w:hAnsi="SimSun" w:hint="eastAsia"/>
          </w:rPr>
          <w:t>报表四</w:t>
        </w:r>
        <w:r w:rsidR="00C22171" w:rsidRPr="007A5789">
          <w:rPr>
            <w:rStyle w:val="ae"/>
            <w:rFonts w:ascii="SimSun" w:eastAsia="SimSun" w:hAnsi="SimSun"/>
          </w:rPr>
          <w:t xml:space="preserve"> - </w:t>
        </w:r>
        <w:r w:rsidR="00C22171" w:rsidRPr="007A5789">
          <w:rPr>
            <w:rStyle w:val="ae"/>
            <w:rFonts w:ascii="SimSun" w:eastAsia="SimSun" w:hAnsi="SimSun" w:hint="eastAsia"/>
          </w:rPr>
          <w:t>现金流量表</w:t>
        </w:r>
        <w:r w:rsidR="00C22171" w:rsidRPr="007A5789">
          <w:rPr>
            <w:webHidden/>
          </w:rPr>
          <w:tab/>
        </w:r>
        <w:r w:rsidR="00C22171" w:rsidRPr="007A5789">
          <w:rPr>
            <w:webHidden/>
          </w:rPr>
          <w:fldChar w:fldCharType="begin"/>
        </w:r>
        <w:r w:rsidR="00C22171" w:rsidRPr="007A5789">
          <w:rPr>
            <w:webHidden/>
          </w:rPr>
          <w:instrText xml:space="preserve"> PAGEREF _Toc456711729 \h </w:instrText>
        </w:r>
        <w:r w:rsidR="00C22171" w:rsidRPr="007A5789">
          <w:rPr>
            <w:webHidden/>
          </w:rPr>
        </w:r>
        <w:r w:rsidR="00C22171" w:rsidRPr="007A5789">
          <w:rPr>
            <w:webHidden/>
          </w:rPr>
          <w:fldChar w:fldCharType="separate"/>
        </w:r>
        <w:r w:rsidR="00F75064">
          <w:rPr>
            <w:webHidden/>
          </w:rPr>
          <w:t>25</w:t>
        </w:r>
        <w:r w:rsidR="00C22171" w:rsidRPr="007A5789">
          <w:rPr>
            <w:webHidden/>
          </w:rPr>
          <w:fldChar w:fldCharType="end"/>
        </w:r>
      </w:hyperlink>
    </w:p>
    <w:p w:rsidR="00C22171" w:rsidRPr="007A5789" w:rsidRDefault="00EF7E79" w:rsidP="00CA720C">
      <w:pPr>
        <w:pStyle w:val="20"/>
        <w:rPr>
          <w:rFonts w:cs="Times New Roman"/>
          <w:color w:val="auto"/>
          <w:kern w:val="2"/>
          <w:szCs w:val="22"/>
          <w:lang w:val="en-US" w:bidi="ar-SA"/>
        </w:rPr>
      </w:pPr>
      <w:hyperlink w:anchor="_Toc456711730" w:history="1">
        <w:r w:rsidR="00C22171" w:rsidRPr="007A5789">
          <w:rPr>
            <w:rStyle w:val="ae"/>
            <w:rFonts w:ascii="SimSun" w:eastAsia="SimSun" w:hAnsi="SimSun" w:hint="eastAsia"/>
          </w:rPr>
          <w:t>报表五</w:t>
        </w:r>
        <w:r w:rsidR="00C22171" w:rsidRPr="007A5789">
          <w:rPr>
            <w:rStyle w:val="ae"/>
            <w:rFonts w:ascii="SimSun" w:eastAsia="SimSun" w:hAnsi="SimSun"/>
          </w:rPr>
          <w:t xml:space="preserve"> </w:t>
        </w:r>
        <w:r w:rsidR="00C22171" w:rsidRPr="007A5789">
          <w:rPr>
            <w:rStyle w:val="ae"/>
            <w:rFonts w:ascii="SimSun" w:eastAsia="SimSun" w:hAnsi="SimSun" w:hint="eastAsia"/>
          </w:rPr>
          <w:t>预算与实际金额对比表</w:t>
        </w:r>
        <w:r w:rsidR="00C22171" w:rsidRPr="007A5789">
          <w:rPr>
            <w:webHidden/>
          </w:rPr>
          <w:tab/>
        </w:r>
        <w:r w:rsidR="00C22171" w:rsidRPr="007A5789">
          <w:rPr>
            <w:webHidden/>
          </w:rPr>
          <w:fldChar w:fldCharType="begin"/>
        </w:r>
        <w:r w:rsidR="00C22171" w:rsidRPr="007A5789">
          <w:rPr>
            <w:webHidden/>
          </w:rPr>
          <w:instrText xml:space="preserve"> PAGEREF _Toc456711730 \h </w:instrText>
        </w:r>
        <w:r w:rsidR="00C22171" w:rsidRPr="007A5789">
          <w:rPr>
            <w:webHidden/>
          </w:rPr>
        </w:r>
        <w:r w:rsidR="00C22171" w:rsidRPr="007A5789">
          <w:rPr>
            <w:webHidden/>
          </w:rPr>
          <w:fldChar w:fldCharType="separate"/>
        </w:r>
        <w:r w:rsidR="00F75064">
          <w:rPr>
            <w:webHidden/>
          </w:rPr>
          <w:t>26</w:t>
        </w:r>
        <w:r w:rsidR="00C22171" w:rsidRPr="007A5789">
          <w:rPr>
            <w:webHidden/>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35" w:history="1">
        <w:r w:rsidR="00C22171" w:rsidRPr="007A5789">
          <w:rPr>
            <w:rStyle w:val="ae"/>
            <w:rFonts w:hint="eastAsia"/>
            <w:noProof/>
            <w:sz w:val="21"/>
          </w:rPr>
          <w:t>附注</w:t>
        </w:r>
        <w:r w:rsidR="00C22171" w:rsidRPr="007A5789">
          <w:rPr>
            <w:rStyle w:val="ae"/>
            <w:noProof/>
            <w:sz w:val="21"/>
          </w:rPr>
          <w:t>1</w:t>
        </w:r>
        <w:r w:rsidR="00C22171" w:rsidRPr="007A5789">
          <w:rPr>
            <w:rStyle w:val="ae"/>
            <w:rFonts w:hint="eastAsia"/>
            <w:noProof/>
            <w:sz w:val="21"/>
          </w:rPr>
          <w:t>：本组织的目标和预算</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_Toc456711735 \h </w:instrText>
        </w:r>
        <w:r w:rsidR="00C22171" w:rsidRPr="007A5789">
          <w:rPr>
            <w:noProof/>
            <w:webHidden/>
            <w:sz w:val="21"/>
          </w:rPr>
        </w:r>
        <w:r w:rsidR="00C22171" w:rsidRPr="007A5789">
          <w:rPr>
            <w:noProof/>
            <w:webHidden/>
            <w:sz w:val="21"/>
          </w:rPr>
          <w:fldChar w:fldCharType="separate"/>
        </w:r>
        <w:r w:rsidR="00F75064">
          <w:rPr>
            <w:noProof/>
            <w:webHidden/>
            <w:sz w:val="21"/>
          </w:rPr>
          <w:t>30</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36" w:history="1">
        <w:r w:rsidR="00C22171" w:rsidRPr="007A5789">
          <w:rPr>
            <w:rStyle w:val="ae"/>
            <w:rFonts w:hint="eastAsia"/>
            <w:noProof/>
            <w:sz w:val="21"/>
          </w:rPr>
          <w:t>附注</w:t>
        </w:r>
        <w:r w:rsidR="00C22171" w:rsidRPr="007A5789">
          <w:rPr>
            <w:rStyle w:val="ae"/>
            <w:noProof/>
            <w:sz w:val="21"/>
          </w:rPr>
          <w:t>2</w:t>
        </w:r>
        <w:r w:rsidR="00C22171" w:rsidRPr="007A5789">
          <w:rPr>
            <w:rStyle w:val="ae"/>
            <w:rFonts w:hint="eastAsia"/>
            <w:noProof/>
            <w:sz w:val="21"/>
          </w:rPr>
          <w:t>：重大会计政策</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_Toc456711736 \h </w:instrText>
        </w:r>
        <w:r w:rsidR="00C22171" w:rsidRPr="007A5789">
          <w:rPr>
            <w:noProof/>
            <w:webHidden/>
            <w:sz w:val="21"/>
          </w:rPr>
        </w:r>
        <w:r w:rsidR="00C22171" w:rsidRPr="007A5789">
          <w:rPr>
            <w:noProof/>
            <w:webHidden/>
            <w:sz w:val="21"/>
          </w:rPr>
          <w:fldChar w:fldCharType="separate"/>
        </w:r>
        <w:r w:rsidR="00F75064">
          <w:rPr>
            <w:noProof/>
            <w:webHidden/>
            <w:sz w:val="21"/>
          </w:rPr>
          <w:t>31</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37" w:history="1">
        <w:r w:rsidR="00C22171" w:rsidRPr="007A5789">
          <w:rPr>
            <w:rStyle w:val="ae"/>
            <w:rFonts w:hint="eastAsia"/>
            <w:noProof/>
            <w:sz w:val="21"/>
          </w:rPr>
          <w:t>附注</w:t>
        </w:r>
        <w:r w:rsidR="00C22171" w:rsidRPr="007A5789">
          <w:rPr>
            <w:rStyle w:val="ae"/>
            <w:noProof/>
            <w:sz w:val="21"/>
          </w:rPr>
          <w:t>3</w:t>
        </w:r>
        <w:r w:rsidR="00C22171" w:rsidRPr="007A5789">
          <w:rPr>
            <w:rStyle w:val="ae"/>
            <w:rFonts w:hint="eastAsia"/>
            <w:noProof/>
            <w:sz w:val="21"/>
          </w:rPr>
          <w:t>：现金和现金等价物</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_Toc456711737 \h </w:instrText>
        </w:r>
        <w:r w:rsidR="00C22171" w:rsidRPr="007A5789">
          <w:rPr>
            <w:noProof/>
            <w:webHidden/>
            <w:sz w:val="21"/>
          </w:rPr>
        </w:r>
        <w:r w:rsidR="00C22171" w:rsidRPr="007A5789">
          <w:rPr>
            <w:noProof/>
            <w:webHidden/>
            <w:sz w:val="21"/>
          </w:rPr>
          <w:fldChar w:fldCharType="separate"/>
        </w:r>
        <w:r w:rsidR="00F75064">
          <w:rPr>
            <w:noProof/>
            <w:webHidden/>
            <w:sz w:val="21"/>
          </w:rPr>
          <w:t>37</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38" w:history="1">
        <w:r w:rsidR="00C22171" w:rsidRPr="007A5789">
          <w:rPr>
            <w:rStyle w:val="ae"/>
            <w:rFonts w:hint="eastAsia"/>
            <w:noProof/>
            <w:sz w:val="21"/>
          </w:rPr>
          <w:t>附注</w:t>
        </w:r>
        <w:r w:rsidR="00C22171" w:rsidRPr="007A5789">
          <w:rPr>
            <w:rStyle w:val="ae"/>
            <w:noProof/>
            <w:sz w:val="21"/>
          </w:rPr>
          <w:t>4</w:t>
        </w:r>
        <w:r w:rsidR="00C22171" w:rsidRPr="007A5789">
          <w:rPr>
            <w:rStyle w:val="ae"/>
            <w:rFonts w:hint="eastAsia"/>
            <w:noProof/>
            <w:sz w:val="21"/>
          </w:rPr>
          <w:t>：应收账款、预付款和预付项目</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_Toc456711738 \h </w:instrText>
        </w:r>
        <w:r w:rsidR="00C22171" w:rsidRPr="007A5789">
          <w:rPr>
            <w:noProof/>
            <w:webHidden/>
            <w:sz w:val="21"/>
          </w:rPr>
        </w:r>
        <w:r w:rsidR="00C22171" w:rsidRPr="007A5789">
          <w:rPr>
            <w:noProof/>
            <w:webHidden/>
            <w:sz w:val="21"/>
          </w:rPr>
          <w:fldChar w:fldCharType="separate"/>
        </w:r>
        <w:r w:rsidR="00F75064">
          <w:rPr>
            <w:noProof/>
            <w:webHidden/>
            <w:sz w:val="21"/>
          </w:rPr>
          <w:t>38</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39" w:history="1">
        <w:r w:rsidR="00C22171" w:rsidRPr="007A5789">
          <w:rPr>
            <w:rStyle w:val="ae"/>
            <w:rFonts w:hint="eastAsia"/>
            <w:noProof/>
            <w:sz w:val="21"/>
          </w:rPr>
          <w:t>附注</w:t>
        </w:r>
        <w:r w:rsidR="00C22171" w:rsidRPr="007A5789">
          <w:rPr>
            <w:rStyle w:val="ae"/>
            <w:noProof/>
            <w:sz w:val="21"/>
          </w:rPr>
          <w:t>5</w:t>
        </w:r>
        <w:r w:rsidR="00C22171" w:rsidRPr="007A5789">
          <w:rPr>
            <w:rStyle w:val="ae"/>
            <w:rFonts w:hint="eastAsia"/>
            <w:noProof/>
            <w:sz w:val="21"/>
          </w:rPr>
          <w:t>：库存</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_Toc456711739 \h </w:instrText>
        </w:r>
        <w:r w:rsidR="00C22171" w:rsidRPr="007A5789">
          <w:rPr>
            <w:noProof/>
            <w:webHidden/>
            <w:sz w:val="21"/>
          </w:rPr>
        </w:r>
        <w:r w:rsidR="00C22171" w:rsidRPr="007A5789">
          <w:rPr>
            <w:noProof/>
            <w:webHidden/>
            <w:sz w:val="21"/>
          </w:rPr>
          <w:fldChar w:fldCharType="separate"/>
        </w:r>
        <w:r w:rsidR="00F75064">
          <w:rPr>
            <w:noProof/>
            <w:webHidden/>
            <w:sz w:val="21"/>
          </w:rPr>
          <w:t>39</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40" w:history="1">
        <w:r w:rsidR="00C22171" w:rsidRPr="007A5789">
          <w:rPr>
            <w:rStyle w:val="ae"/>
            <w:rFonts w:hint="eastAsia"/>
            <w:noProof/>
            <w:sz w:val="21"/>
          </w:rPr>
          <w:t>附注</w:t>
        </w:r>
        <w:r w:rsidR="00C22171" w:rsidRPr="007A5789">
          <w:rPr>
            <w:rStyle w:val="ae"/>
            <w:noProof/>
            <w:sz w:val="21"/>
          </w:rPr>
          <w:t>6</w:t>
        </w:r>
        <w:r w:rsidR="00C22171" w:rsidRPr="007A5789">
          <w:rPr>
            <w:rStyle w:val="ae"/>
            <w:rFonts w:hint="eastAsia"/>
            <w:noProof/>
            <w:sz w:val="21"/>
          </w:rPr>
          <w:t>：设备</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_Toc456711740 \h </w:instrText>
        </w:r>
        <w:r w:rsidR="00C22171" w:rsidRPr="007A5789">
          <w:rPr>
            <w:noProof/>
            <w:webHidden/>
            <w:sz w:val="21"/>
          </w:rPr>
        </w:r>
        <w:r w:rsidR="00C22171" w:rsidRPr="007A5789">
          <w:rPr>
            <w:noProof/>
            <w:webHidden/>
            <w:sz w:val="21"/>
          </w:rPr>
          <w:fldChar w:fldCharType="separate"/>
        </w:r>
        <w:r w:rsidR="00F75064">
          <w:rPr>
            <w:noProof/>
            <w:webHidden/>
            <w:sz w:val="21"/>
          </w:rPr>
          <w:t>40</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41" w:history="1">
        <w:r w:rsidR="00C22171" w:rsidRPr="007A5789">
          <w:rPr>
            <w:rStyle w:val="ae"/>
            <w:rFonts w:hint="eastAsia"/>
            <w:noProof/>
            <w:sz w:val="21"/>
          </w:rPr>
          <w:t>附注</w:t>
        </w:r>
        <w:r w:rsidR="00C22171" w:rsidRPr="007A5789">
          <w:rPr>
            <w:rStyle w:val="ae"/>
            <w:noProof/>
            <w:sz w:val="21"/>
          </w:rPr>
          <w:t>7</w:t>
        </w:r>
        <w:r w:rsidR="00C22171" w:rsidRPr="007A5789">
          <w:rPr>
            <w:rStyle w:val="ae"/>
            <w:rFonts w:hint="eastAsia"/>
            <w:noProof/>
            <w:sz w:val="21"/>
          </w:rPr>
          <w:t>：投资财产</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_Toc456711741 \h </w:instrText>
        </w:r>
        <w:r w:rsidR="00C22171" w:rsidRPr="007A5789">
          <w:rPr>
            <w:noProof/>
            <w:webHidden/>
            <w:sz w:val="21"/>
          </w:rPr>
        </w:r>
        <w:r w:rsidR="00C22171" w:rsidRPr="007A5789">
          <w:rPr>
            <w:noProof/>
            <w:webHidden/>
            <w:sz w:val="21"/>
          </w:rPr>
          <w:fldChar w:fldCharType="separate"/>
        </w:r>
        <w:r w:rsidR="00F75064">
          <w:rPr>
            <w:noProof/>
            <w:webHidden/>
            <w:sz w:val="21"/>
          </w:rPr>
          <w:t>41</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42" w:history="1">
        <w:r w:rsidR="00C22171" w:rsidRPr="007A5789">
          <w:rPr>
            <w:rStyle w:val="ae"/>
            <w:rFonts w:hint="eastAsia"/>
            <w:noProof/>
            <w:sz w:val="21"/>
          </w:rPr>
          <w:t>附注</w:t>
        </w:r>
        <w:r w:rsidR="00C22171" w:rsidRPr="007A5789">
          <w:rPr>
            <w:rStyle w:val="ae"/>
            <w:noProof/>
            <w:sz w:val="21"/>
          </w:rPr>
          <w:t>9</w:t>
        </w:r>
        <w:r w:rsidR="00C22171" w:rsidRPr="007A5789">
          <w:rPr>
            <w:rStyle w:val="ae"/>
            <w:rFonts w:hint="eastAsia"/>
            <w:noProof/>
            <w:sz w:val="21"/>
          </w:rPr>
          <w:t>：土地和建筑物</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_Toc456711742 \h </w:instrText>
        </w:r>
        <w:r w:rsidR="00C22171" w:rsidRPr="007A5789">
          <w:rPr>
            <w:noProof/>
            <w:webHidden/>
            <w:sz w:val="21"/>
          </w:rPr>
        </w:r>
        <w:r w:rsidR="00C22171" w:rsidRPr="007A5789">
          <w:rPr>
            <w:noProof/>
            <w:webHidden/>
            <w:sz w:val="21"/>
          </w:rPr>
          <w:fldChar w:fldCharType="separate"/>
        </w:r>
        <w:r w:rsidR="00F75064">
          <w:rPr>
            <w:noProof/>
            <w:webHidden/>
            <w:sz w:val="21"/>
          </w:rPr>
          <w:t>43</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43" w:history="1">
        <w:r w:rsidR="00C22171" w:rsidRPr="007A5789">
          <w:rPr>
            <w:rStyle w:val="ae"/>
            <w:rFonts w:hint="eastAsia"/>
            <w:noProof/>
            <w:sz w:val="21"/>
          </w:rPr>
          <w:t>附注</w:t>
        </w:r>
        <w:r w:rsidR="00C22171" w:rsidRPr="007A5789">
          <w:rPr>
            <w:rStyle w:val="ae"/>
            <w:noProof/>
            <w:sz w:val="21"/>
          </w:rPr>
          <w:t>10</w:t>
        </w:r>
        <w:r w:rsidR="00C22171" w:rsidRPr="007A5789">
          <w:rPr>
            <w:rStyle w:val="ae"/>
            <w:rFonts w:hint="eastAsia"/>
            <w:noProof/>
            <w:sz w:val="21"/>
          </w:rPr>
          <w:t>：其他非流动资产</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_Toc456711743 \h </w:instrText>
        </w:r>
        <w:r w:rsidR="00C22171" w:rsidRPr="007A5789">
          <w:rPr>
            <w:noProof/>
            <w:webHidden/>
            <w:sz w:val="21"/>
          </w:rPr>
        </w:r>
        <w:r w:rsidR="00C22171" w:rsidRPr="007A5789">
          <w:rPr>
            <w:noProof/>
            <w:webHidden/>
            <w:sz w:val="21"/>
          </w:rPr>
          <w:fldChar w:fldCharType="separate"/>
        </w:r>
        <w:r w:rsidR="00F75064">
          <w:rPr>
            <w:noProof/>
            <w:webHidden/>
            <w:sz w:val="21"/>
          </w:rPr>
          <w:t>46</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44" w:history="1">
        <w:r w:rsidR="00C22171" w:rsidRPr="007A5789">
          <w:rPr>
            <w:rStyle w:val="ae"/>
            <w:rFonts w:hint="eastAsia"/>
            <w:noProof/>
            <w:sz w:val="21"/>
          </w:rPr>
          <w:t>附注</w:t>
        </w:r>
        <w:r w:rsidR="00C22171" w:rsidRPr="007A5789">
          <w:rPr>
            <w:rStyle w:val="ae"/>
            <w:noProof/>
            <w:sz w:val="21"/>
          </w:rPr>
          <w:t>11</w:t>
        </w:r>
        <w:r w:rsidR="00C22171" w:rsidRPr="007A5789">
          <w:rPr>
            <w:rStyle w:val="ae"/>
            <w:rFonts w:hint="eastAsia"/>
            <w:noProof/>
            <w:sz w:val="21"/>
          </w:rPr>
          <w:t>：应付账款</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_Toc456711744 \h </w:instrText>
        </w:r>
        <w:r w:rsidR="00C22171" w:rsidRPr="007A5789">
          <w:rPr>
            <w:noProof/>
            <w:webHidden/>
            <w:sz w:val="21"/>
          </w:rPr>
        </w:r>
        <w:r w:rsidR="00C22171" w:rsidRPr="007A5789">
          <w:rPr>
            <w:noProof/>
            <w:webHidden/>
            <w:sz w:val="21"/>
          </w:rPr>
          <w:fldChar w:fldCharType="separate"/>
        </w:r>
        <w:r w:rsidR="00F75064">
          <w:rPr>
            <w:noProof/>
            <w:webHidden/>
            <w:sz w:val="21"/>
          </w:rPr>
          <w:t>47</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45" w:history="1">
        <w:r w:rsidR="00C22171" w:rsidRPr="007A5789">
          <w:rPr>
            <w:rStyle w:val="ae"/>
            <w:rFonts w:hint="eastAsia"/>
            <w:noProof/>
            <w:sz w:val="21"/>
          </w:rPr>
          <w:t>附注</w:t>
        </w:r>
        <w:r w:rsidR="00C22171" w:rsidRPr="007A5789">
          <w:rPr>
            <w:rStyle w:val="ae"/>
            <w:noProof/>
            <w:sz w:val="21"/>
          </w:rPr>
          <w:t>12</w:t>
        </w:r>
        <w:r w:rsidR="00C22171" w:rsidRPr="007A5789">
          <w:rPr>
            <w:rStyle w:val="ae"/>
            <w:rFonts w:hint="eastAsia"/>
            <w:noProof/>
            <w:sz w:val="21"/>
          </w:rPr>
          <w:t>：雇员福利</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_Toc456711745 \h </w:instrText>
        </w:r>
        <w:r w:rsidR="00C22171" w:rsidRPr="007A5789">
          <w:rPr>
            <w:noProof/>
            <w:webHidden/>
            <w:sz w:val="21"/>
          </w:rPr>
        </w:r>
        <w:r w:rsidR="00C22171" w:rsidRPr="007A5789">
          <w:rPr>
            <w:noProof/>
            <w:webHidden/>
            <w:sz w:val="21"/>
          </w:rPr>
          <w:fldChar w:fldCharType="separate"/>
        </w:r>
        <w:r w:rsidR="00F75064">
          <w:rPr>
            <w:noProof/>
            <w:webHidden/>
            <w:sz w:val="21"/>
          </w:rPr>
          <w:t>47</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46" w:history="1">
        <w:r w:rsidR="00C22171" w:rsidRPr="007A5789">
          <w:rPr>
            <w:rStyle w:val="ae"/>
            <w:rFonts w:hint="eastAsia"/>
            <w:noProof/>
            <w:sz w:val="21"/>
          </w:rPr>
          <w:t>附注</w:t>
        </w:r>
        <w:r w:rsidR="00C22171" w:rsidRPr="007A5789">
          <w:rPr>
            <w:rStyle w:val="ae"/>
            <w:noProof/>
            <w:sz w:val="21"/>
          </w:rPr>
          <w:t>16</w:t>
        </w:r>
        <w:r w:rsidR="00C22171" w:rsidRPr="007A5789">
          <w:rPr>
            <w:rStyle w:val="ae"/>
            <w:rFonts w:hint="eastAsia"/>
            <w:noProof/>
            <w:sz w:val="21"/>
          </w:rPr>
          <w:t>：准备金</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_Toc456711746 \h </w:instrText>
        </w:r>
        <w:r w:rsidR="00C22171" w:rsidRPr="007A5789">
          <w:rPr>
            <w:noProof/>
            <w:webHidden/>
            <w:sz w:val="21"/>
          </w:rPr>
        </w:r>
        <w:r w:rsidR="00C22171" w:rsidRPr="007A5789">
          <w:rPr>
            <w:noProof/>
            <w:webHidden/>
            <w:sz w:val="21"/>
          </w:rPr>
          <w:fldChar w:fldCharType="separate"/>
        </w:r>
        <w:r w:rsidR="00F75064">
          <w:rPr>
            <w:noProof/>
            <w:webHidden/>
            <w:sz w:val="21"/>
          </w:rPr>
          <w:t>55</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47" w:history="1">
        <w:r w:rsidR="00C22171" w:rsidRPr="007A5789">
          <w:rPr>
            <w:rStyle w:val="ae"/>
            <w:rFonts w:hint="eastAsia"/>
            <w:noProof/>
            <w:sz w:val="21"/>
          </w:rPr>
          <w:t>附注</w:t>
        </w:r>
        <w:r w:rsidR="00C22171" w:rsidRPr="007A5789">
          <w:rPr>
            <w:rStyle w:val="ae"/>
            <w:noProof/>
            <w:sz w:val="21"/>
          </w:rPr>
          <w:t>17</w:t>
        </w:r>
        <w:r w:rsidR="00C22171" w:rsidRPr="007A5789">
          <w:rPr>
            <w:rStyle w:val="ae"/>
            <w:rFonts w:hint="eastAsia"/>
            <w:noProof/>
            <w:sz w:val="21"/>
          </w:rPr>
          <w:t>：其他负债</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_Toc456711747 \h </w:instrText>
        </w:r>
        <w:r w:rsidR="00C22171" w:rsidRPr="007A5789">
          <w:rPr>
            <w:noProof/>
            <w:webHidden/>
            <w:sz w:val="21"/>
          </w:rPr>
        </w:r>
        <w:r w:rsidR="00C22171" w:rsidRPr="007A5789">
          <w:rPr>
            <w:noProof/>
            <w:webHidden/>
            <w:sz w:val="21"/>
          </w:rPr>
          <w:fldChar w:fldCharType="separate"/>
        </w:r>
        <w:r w:rsidR="00F75064">
          <w:rPr>
            <w:noProof/>
            <w:webHidden/>
            <w:sz w:val="21"/>
          </w:rPr>
          <w:t>56</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48" w:history="1">
        <w:r w:rsidR="00C22171" w:rsidRPr="007A5789">
          <w:rPr>
            <w:rStyle w:val="ae"/>
            <w:rFonts w:hint="eastAsia"/>
            <w:noProof/>
            <w:sz w:val="21"/>
          </w:rPr>
          <w:t>附注</w:t>
        </w:r>
        <w:r w:rsidR="00C22171" w:rsidRPr="007A5789">
          <w:rPr>
            <w:rStyle w:val="ae"/>
            <w:noProof/>
            <w:sz w:val="21"/>
          </w:rPr>
          <w:t>18</w:t>
        </w:r>
        <w:r w:rsidR="00C22171" w:rsidRPr="007A5789">
          <w:rPr>
            <w:rStyle w:val="ae"/>
            <w:rFonts w:hint="eastAsia"/>
            <w:noProof/>
            <w:sz w:val="21"/>
          </w:rPr>
          <w:t>：或有资产和负债</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_Toc456711748 \h </w:instrText>
        </w:r>
        <w:r w:rsidR="00C22171" w:rsidRPr="007A5789">
          <w:rPr>
            <w:noProof/>
            <w:webHidden/>
            <w:sz w:val="21"/>
          </w:rPr>
        </w:r>
        <w:r w:rsidR="00C22171" w:rsidRPr="007A5789">
          <w:rPr>
            <w:noProof/>
            <w:webHidden/>
            <w:sz w:val="21"/>
          </w:rPr>
          <w:fldChar w:fldCharType="separate"/>
        </w:r>
        <w:r w:rsidR="00F75064">
          <w:rPr>
            <w:noProof/>
            <w:webHidden/>
            <w:sz w:val="21"/>
          </w:rPr>
          <w:t>56</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49" w:history="1">
        <w:r w:rsidR="00C22171" w:rsidRPr="007A5789">
          <w:rPr>
            <w:rStyle w:val="ae"/>
            <w:rFonts w:hint="eastAsia"/>
            <w:noProof/>
            <w:sz w:val="21"/>
          </w:rPr>
          <w:t>附注</w:t>
        </w:r>
        <w:r w:rsidR="00C22171" w:rsidRPr="007A5789">
          <w:rPr>
            <w:rStyle w:val="ae"/>
            <w:noProof/>
            <w:sz w:val="21"/>
          </w:rPr>
          <w:t>19</w:t>
        </w:r>
        <w:r w:rsidR="00C22171" w:rsidRPr="007A5789">
          <w:rPr>
            <w:rStyle w:val="ae"/>
            <w:rFonts w:hint="eastAsia"/>
            <w:noProof/>
            <w:sz w:val="21"/>
          </w:rPr>
          <w:t>：租赁</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_Toc456711749 \h </w:instrText>
        </w:r>
        <w:r w:rsidR="00C22171" w:rsidRPr="007A5789">
          <w:rPr>
            <w:noProof/>
            <w:webHidden/>
            <w:sz w:val="21"/>
          </w:rPr>
        </w:r>
        <w:r w:rsidR="00C22171" w:rsidRPr="007A5789">
          <w:rPr>
            <w:noProof/>
            <w:webHidden/>
            <w:sz w:val="21"/>
          </w:rPr>
          <w:fldChar w:fldCharType="separate"/>
        </w:r>
        <w:r w:rsidR="00F75064">
          <w:rPr>
            <w:noProof/>
            <w:webHidden/>
            <w:sz w:val="21"/>
          </w:rPr>
          <w:t>57</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50" w:history="1">
        <w:r w:rsidR="00C22171" w:rsidRPr="007A5789">
          <w:rPr>
            <w:rStyle w:val="ae"/>
            <w:rFonts w:hint="eastAsia"/>
            <w:noProof/>
            <w:sz w:val="21"/>
          </w:rPr>
          <w:t>附注</w:t>
        </w:r>
        <w:r w:rsidR="00C22171" w:rsidRPr="007A5789">
          <w:rPr>
            <w:rStyle w:val="ae"/>
            <w:noProof/>
            <w:sz w:val="21"/>
          </w:rPr>
          <w:t>20</w:t>
        </w:r>
        <w:r w:rsidR="00C22171" w:rsidRPr="007A5789">
          <w:rPr>
            <w:rStyle w:val="ae"/>
            <w:rFonts w:hint="eastAsia"/>
            <w:noProof/>
            <w:sz w:val="21"/>
          </w:rPr>
          <w:t>：关联方交易</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_Toc456711750 \h </w:instrText>
        </w:r>
        <w:r w:rsidR="00C22171" w:rsidRPr="007A5789">
          <w:rPr>
            <w:noProof/>
            <w:webHidden/>
            <w:sz w:val="21"/>
          </w:rPr>
        </w:r>
        <w:r w:rsidR="00C22171" w:rsidRPr="007A5789">
          <w:rPr>
            <w:noProof/>
            <w:webHidden/>
            <w:sz w:val="21"/>
          </w:rPr>
          <w:fldChar w:fldCharType="separate"/>
        </w:r>
        <w:r w:rsidR="00F75064">
          <w:rPr>
            <w:noProof/>
            <w:webHidden/>
            <w:sz w:val="21"/>
          </w:rPr>
          <w:t>57</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51" w:history="1">
        <w:r w:rsidR="00C22171" w:rsidRPr="007A5789">
          <w:rPr>
            <w:rStyle w:val="ae"/>
            <w:rFonts w:hint="eastAsia"/>
            <w:noProof/>
            <w:sz w:val="21"/>
          </w:rPr>
          <w:t>附注</w:t>
        </w:r>
        <w:r w:rsidR="00C22171" w:rsidRPr="007A5789">
          <w:rPr>
            <w:rStyle w:val="ae"/>
            <w:noProof/>
            <w:sz w:val="21"/>
          </w:rPr>
          <w:t>21</w:t>
        </w:r>
        <w:r w:rsidR="00C22171" w:rsidRPr="007A5789">
          <w:rPr>
            <w:rStyle w:val="ae"/>
            <w:rFonts w:hint="eastAsia"/>
            <w:noProof/>
            <w:sz w:val="21"/>
          </w:rPr>
          <w:t>：净资产</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_Toc456711751 \h </w:instrText>
        </w:r>
        <w:r w:rsidR="00C22171" w:rsidRPr="007A5789">
          <w:rPr>
            <w:noProof/>
            <w:webHidden/>
            <w:sz w:val="21"/>
          </w:rPr>
        </w:r>
        <w:r w:rsidR="00C22171" w:rsidRPr="007A5789">
          <w:rPr>
            <w:noProof/>
            <w:webHidden/>
            <w:sz w:val="21"/>
          </w:rPr>
          <w:fldChar w:fldCharType="separate"/>
        </w:r>
        <w:r w:rsidR="00F75064">
          <w:rPr>
            <w:noProof/>
            <w:webHidden/>
            <w:sz w:val="21"/>
          </w:rPr>
          <w:t>58</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52" w:history="1">
        <w:r w:rsidR="00C22171" w:rsidRPr="007A5789">
          <w:rPr>
            <w:rStyle w:val="ae"/>
            <w:rFonts w:hint="eastAsia"/>
            <w:noProof/>
            <w:sz w:val="21"/>
          </w:rPr>
          <w:t>附注</w:t>
        </w:r>
        <w:r w:rsidR="00C22171" w:rsidRPr="007A5789">
          <w:rPr>
            <w:rStyle w:val="ae"/>
            <w:noProof/>
            <w:sz w:val="21"/>
          </w:rPr>
          <w:t>22</w:t>
        </w:r>
        <w:r w:rsidR="00C22171" w:rsidRPr="007A5789">
          <w:rPr>
            <w:rStyle w:val="ae"/>
            <w:rFonts w:hint="eastAsia"/>
            <w:noProof/>
            <w:sz w:val="21"/>
          </w:rPr>
          <w:t>：预算比较表和财务执行情况表的对账情况</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_Toc456711752 \h </w:instrText>
        </w:r>
        <w:r w:rsidR="00C22171" w:rsidRPr="007A5789">
          <w:rPr>
            <w:noProof/>
            <w:webHidden/>
            <w:sz w:val="21"/>
          </w:rPr>
        </w:r>
        <w:r w:rsidR="00C22171" w:rsidRPr="007A5789">
          <w:rPr>
            <w:noProof/>
            <w:webHidden/>
            <w:sz w:val="21"/>
          </w:rPr>
          <w:fldChar w:fldCharType="separate"/>
        </w:r>
        <w:r w:rsidR="00F75064">
          <w:rPr>
            <w:noProof/>
            <w:webHidden/>
            <w:sz w:val="21"/>
          </w:rPr>
          <w:t>59</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53" w:history="1">
        <w:r w:rsidR="00C22171" w:rsidRPr="007A5789">
          <w:rPr>
            <w:rStyle w:val="ae"/>
            <w:rFonts w:hint="eastAsia"/>
            <w:noProof/>
            <w:sz w:val="21"/>
          </w:rPr>
          <w:t>附注</w:t>
        </w:r>
        <w:r w:rsidR="00C22171" w:rsidRPr="007A5789">
          <w:rPr>
            <w:rStyle w:val="ae"/>
            <w:noProof/>
            <w:sz w:val="21"/>
          </w:rPr>
          <w:t>23</w:t>
        </w:r>
        <w:r w:rsidR="00C22171" w:rsidRPr="007A5789">
          <w:rPr>
            <w:rStyle w:val="ae"/>
            <w:rFonts w:hint="eastAsia"/>
            <w:noProof/>
            <w:sz w:val="21"/>
          </w:rPr>
          <w:t>：收入</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_Toc456711753 \h </w:instrText>
        </w:r>
        <w:r w:rsidR="00C22171" w:rsidRPr="007A5789">
          <w:rPr>
            <w:noProof/>
            <w:webHidden/>
            <w:sz w:val="21"/>
          </w:rPr>
        </w:r>
        <w:r w:rsidR="00C22171" w:rsidRPr="007A5789">
          <w:rPr>
            <w:noProof/>
            <w:webHidden/>
            <w:sz w:val="21"/>
          </w:rPr>
          <w:fldChar w:fldCharType="separate"/>
        </w:r>
        <w:r w:rsidR="00F75064">
          <w:rPr>
            <w:noProof/>
            <w:webHidden/>
            <w:sz w:val="21"/>
          </w:rPr>
          <w:t>61</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54" w:history="1">
        <w:r w:rsidR="00C22171" w:rsidRPr="007A5789">
          <w:rPr>
            <w:rStyle w:val="ae"/>
            <w:rFonts w:hint="eastAsia"/>
            <w:noProof/>
            <w:sz w:val="21"/>
          </w:rPr>
          <w:t>附注</w:t>
        </w:r>
        <w:r w:rsidR="00C22171" w:rsidRPr="007A5789">
          <w:rPr>
            <w:rStyle w:val="ae"/>
            <w:noProof/>
            <w:sz w:val="21"/>
          </w:rPr>
          <w:t>24</w:t>
        </w:r>
        <w:r w:rsidR="00C22171" w:rsidRPr="007A5789">
          <w:rPr>
            <w:rStyle w:val="ae"/>
            <w:rFonts w:hint="eastAsia"/>
            <w:noProof/>
            <w:sz w:val="21"/>
          </w:rPr>
          <w:t>：支出</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_Toc456711754 \h </w:instrText>
        </w:r>
        <w:r w:rsidR="00C22171" w:rsidRPr="007A5789">
          <w:rPr>
            <w:noProof/>
            <w:webHidden/>
            <w:sz w:val="21"/>
          </w:rPr>
        </w:r>
        <w:r w:rsidR="00C22171" w:rsidRPr="007A5789">
          <w:rPr>
            <w:noProof/>
            <w:webHidden/>
            <w:sz w:val="21"/>
          </w:rPr>
          <w:fldChar w:fldCharType="separate"/>
        </w:r>
        <w:r w:rsidR="00F75064">
          <w:rPr>
            <w:noProof/>
            <w:webHidden/>
            <w:sz w:val="21"/>
          </w:rPr>
          <w:t>63</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55" w:history="1">
        <w:r w:rsidR="00C22171" w:rsidRPr="007A5789">
          <w:rPr>
            <w:rStyle w:val="ae"/>
            <w:rFonts w:hint="eastAsia"/>
            <w:noProof/>
            <w:sz w:val="21"/>
          </w:rPr>
          <w:t>附注</w:t>
        </w:r>
        <w:r w:rsidR="00C22171" w:rsidRPr="007A5789">
          <w:rPr>
            <w:rStyle w:val="ae"/>
            <w:noProof/>
            <w:sz w:val="21"/>
          </w:rPr>
          <w:t>25</w:t>
        </w:r>
        <w:r w:rsidR="00C22171" w:rsidRPr="007A5789">
          <w:rPr>
            <w:rStyle w:val="ae"/>
            <w:rFonts w:hint="eastAsia"/>
            <w:noProof/>
            <w:sz w:val="21"/>
          </w:rPr>
          <w:t>：金融工具</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_Toc456711755 \h </w:instrText>
        </w:r>
        <w:r w:rsidR="00C22171" w:rsidRPr="007A5789">
          <w:rPr>
            <w:noProof/>
            <w:webHidden/>
            <w:sz w:val="21"/>
          </w:rPr>
        </w:r>
        <w:r w:rsidR="00C22171" w:rsidRPr="007A5789">
          <w:rPr>
            <w:noProof/>
            <w:webHidden/>
            <w:sz w:val="21"/>
          </w:rPr>
          <w:fldChar w:fldCharType="separate"/>
        </w:r>
        <w:r w:rsidR="00F75064">
          <w:rPr>
            <w:noProof/>
            <w:webHidden/>
            <w:sz w:val="21"/>
          </w:rPr>
          <w:t>64</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56" w:history="1">
        <w:r w:rsidR="00C22171" w:rsidRPr="007A5789">
          <w:rPr>
            <w:rStyle w:val="ae"/>
            <w:rFonts w:hint="eastAsia"/>
            <w:noProof/>
            <w:sz w:val="21"/>
          </w:rPr>
          <w:t>附注</w:t>
        </w:r>
        <w:r w:rsidR="00C22171" w:rsidRPr="007A5789">
          <w:rPr>
            <w:rStyle w:val="ae"/>
            <w:noProof/>
            <w:sz w:val="21"/>
          </w:rPr>
          <w:t>26</w:t>
        </w:r>
        <w:r w:rsidR="00C22171" w:rsidRPr="007A5789">
          <w:rPr>
            <w:rStyle w:val="ae"/>
            <w:rFonts w:hint="eastAsia"/>
            <w:noProof/>
            <w:sz w:val="21"/>
          </w:rPr>
          <w:t>：汇兑损益</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_Toc456711756 \h </w:instrText>
        </w:r>
        <w:r w:rsidR="00C22171" w:rsidRPr="007A5789">
          <w:rPr>
            <w:noProof/>
            <w:webHidden/>
            <w:sz w:val="21"/>
          </w:rPr>
        </w:r>
        <w:r w:rsidR="00C22171" w:rsidRPr="007A5789">
          <w:rPr>
            <w:noProof/>
            <w:webHidden/>
            <w:sz w:val="21"/>
          </w:rPr>
          <w:fldChar w:fldCharType="separate"/>
        </w:r>
        <w:r w:rsidR="00F75064">
          <w:rPr>
            <w:noProof/>
            <w:webHidden/>
            <w:sz w:val="21"/>
          </w:rPr>
          <w:t>68</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57" w:history="1">
        <w:r w:rsidR="00C22171" w:rsidRPr="007A5789">
          <w:rPr>
            <w:rStyle w:val="ae"/>
            <w:rFonts w:hint="eastAsia"/>
            <w:noProof/>
            <w:sz w:val="21"/>
          </w:rPr>
          <w:t>附注</w:t>
        </w:r>
        <w:r w:rsidR="00C22171" w:rsidRPr="007A5789">
          <w:rPr>
            <w:rStyle w:val="ae"/>
            <w:noProof/>
            <w:sz w:val="21"/>
          </w:rPr>
          <w:t>27</w:t>
        </w:r>
        <w:r w:rsidR="00C22171" w:rsidRPr="007A5789">
          <w:rPr>
            <w:rStyle w:val="ae"/>
            <w:rFonts w:hint="eastAsia"/>
            <w:noProof/>
            <w:sz w:val="21"/>
          </w:rPr>
          <w:t>：报告日之后的活动</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_Toc456711757 \h </w:instrText>
        </w:r>
        <w:r w:rsidR="00C22171" w:rsidRPr="007A5789">
          <w:rPr>
            <w:noProof/>
            <w:webHidden/>
            <w:sz w:val="21"/>
          </w:rPr>
        </w:r>
        <w:r w:rsidR="00C22171" w:rsidRPr="007A5789">
          <w:rPr>
            <w:noProof/>
            <w:webHidden/>
            <w:sz w:val="21"/>
          </w:rPr>
          <w:fldChar w:fldCharType="separate"/>
        </w:r>
        <w:r w:rsidR="00F75064">
          <w:rPr>
            <w:noProof/>
            <w:webHidden/>
            <w:sz w:val="21"/>
          </w:rPr>
          <w:t>68</w:t>
        </w:r>
        <w:r w:rsidR="00C22171" w:rsidRPr="007A5789">
          <w:rPr>
            <w:noProof/>
            <w:webHidden/>
            <w:sz w:val="21"/>
          </w:rPr>
          <w:fldChar w:fldCharType="end"/>
        </w:r>
      </w:hyperlink>
    </w:p>
    <w:p w:rsidR="00C22171" w:rsidRPr="007A5789" w:rsidRDefault="00EF7E79" w:rsidP="00C22171">
      <w:pPr>
        <w:pStyle w:val="30"/>
        <w:tabs>
          <w:tab w:val="clear" w:pos="9344"/>
          <w:tab w:val="right" w:pos="9345"/>
        </w:tabs>
        <w:spacing w:after="0"/>
        <w:rPr>
          <w:rFonts w:cs="Times New Roman"/>
          <w:noProof/>
          <w:kern w:val="2"/>
          <w:sz w:val="21"/>
          <w:szCs w:val="22"/>
          <w:lang w:val="en-US" w:bidi="ar-SA"/>
        </w:rPr>
      </w:pPr>
      <w:hyperlink w:anchor="_Toc456711758" w:history="1">
        <w:r w:rsidR="00C22171" w:rsidRPr="007A5789">
          <w:rPr>
            <w:rStyle w:val="ae"/>
            <w:rFonts w:hint="eastAsia"/>
            <w:noProof/>
            <w:sz w:val="21"/>
          </w:rPr>
          <w:t>附注</w:t>
        </w:r>
        <w:r w:rsidR="00C22171" w:rsidRPr="007A5789">
          <w:rPr>
            <w:rStyle w:val="ae"/>
            <w:noProof/>
            <w:sz w:val="21"/>
          </w:rPr>
          <w:t>28</w:t>
        </w:r>
        <w:r w:rsidR="00C22171" w:rsidRPr="007A5789">
          <w:rPr>
            <w:rStyle w:val="ae"/>
            <w:rFonts w:hint="eastAsia"/>
            <w:noProof/>
            <w:sz w:val="21"/>
          </w:rPr>
          <w:t>：分部报告</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_Toc456711758 \h </w:instrText>
        </w:r>
        <w:r w:rsidR="00C22171" w:rsidRPr="007A5789">
          <w:rPr>
            <w:noProof/>
            <w:webHidden/>
            <w:sz w:val="21"/>
          </w:rPr>
        </w:r>
        <w:r w:rsidR="00C22171" w:rsidRPr="007A5789">
          <w:rPr>
            <w:noProof/>
            <w:webHidden/>
            <w:sz w:val="21"/>
          </w:rPr>
          <w:fldChar w:fldCharType="separate"/>
        </w:r>
        <w:r w:rsidR="00F75064">
          <w:rPr>
            <w:noProof/>
            <w:webHidden/>
            <w:sz w:val="21"/>
          </w:rPr>
          <w:t>68</w:t>
        </w:r>
        <w:r w:rsidR="00C22171" w:rsidRPr="007A5789">
          <w:rPr>
            <w:noProof/>
            <w:webHidden/>
            <w:sz w:val="21"/>
          </w:rPr>
          <w:fldChar w:fldCharType="end"/>
        </w:r>
      </w:hyperlink>
    </w:p>
    <w:p w:rsidR="00EE05B9" w:rsidRPr="00CA720C" w:rsidRDefault="00EE05B9" w:rsidP="00CA720C">
      <w:pPr>
        <w:pStyle w:val="20"/>
        <w:rPr>
          <w:rStyle w:val="ae"/>
        </w:rPr>
      </w:pPr>
      <w:r w:rsidRPr="00CA720C">
        <w:rPr>
          <w:rStyle w:val="ae"/>
          <w:rFonts w:hint="eastAsia"/>
          <w:color w:val="000000"/>
          <w:u w:val="none"/>
        </w:rPr>
        <w:t>附</w:t>
      </w:r>
      <w:r w:rsidR="00B87A4B">
        <w:rPr>
          <w:rStyle w:val="ae"/>
          <w:rFonts w:hint="eastAsia"/>
          <w:color w:val="000000"/>
          <w:u w:val="none"/>
        </w:rPr>
        <w:t xml:space="preserve">　</w:t>
      </w:r>
      <w:r w:rsidRPr="00CA720C">
        <w:rPr>
          <w:rStyle w:val="ae"/>
          <w:rFonts w:hint="eastAsia"/>
          <w:color w:val="000000"/>
          <w:u w:val="none"/>
        </w:rPr>
        <w:t>件</w:t>
      </w:r>
    </w:p>
    <w:p w:rsidR="00C22171" w:rsidRPr="007A5789" w:rsidRDefault="00EF7E79" w:rsidP="00CA720C">
      <w:pPr>
        <w:pStyle w:val="20"/>
        <w:rPr>
          <w:rFonts w:cs="Times New Roman"/>
          <w:color w:val="auto"/>
          <w:kern w:val="2"/>
          <w:szCs w:val="22"/>
          <w:lang w:val="en-US" w:bidi="ar-SA"/>
        </w:rPr>
      </w:pPr>
      <w:hyperlink w:anchor="_Toc456711759" w:history="1">
        <w:r w:rsidR="00C22171" w:rsidRPr="007A5789">
          <w:rPr>
            <w:rStyle w:val="ae"/>
            <w:rFonts w:ascii="SimSun" w:eastAsia="SimSun" w:hAnsi="SimSun" w:hint="eastAsia"/>
          </w:rPr>
          <w:t>附件一</w:t>
        </w:r>
        <w:r w:rsidR="00C22171" w:rsidRPr="007A5789">
          <w:rPr>
            <w:rStyle w:val="ae"/>
            <w:rFonts w:ascii="SimSun" w:eastAsia="SimSun" w:hAnsi="SimSun"/>
          </w:rPr>
          <w:t xml:space="preserve"> - </w:t>
        </w:r>
        <w:r w:rsidR="00C22171" w:rsidRPr="007A5789">
          <w:rPr>
            <w:rStyle w:val="ae"/>
            <w:rFonts w:ascii="SimSun" w:eastAsia="SimSun" w:hAnsi="SimSun" w:hint="eastAsia"/>
          </w:rPr>
          <w:t>按资金来源开列的财务状况表（未经审计）</w:t>
        </w:r>
        <w:r w:rsidR="00C22171" w:rsidRPr="00B87A4B">
          <w:rPr>
            <w:rFonts w:ascii="SimSun" w:eastAsia="SimSun" w:hAnsi="SimSun"/>
            <w:webHidden/>
          </w:rPr>
          <w:tab/>
        </w:r>
        <w:r w:rsidR="00C22171" w:rsidRPr="00B87A4B">
          <w:rPr>
            <w:rFonts w:ascii="SimSun" w:eastAsia="SimSun" w:hAnsi="SimSun"/>
            <w:webHidden/>
          </w:rPr>
          <w:fldChar w:fldCharType="begin"/>
        </w:r>
        <w:r w:rsidR="00C22171" w:rsidRPr="00B87A4B">
          <w:rPr>
            <w:rFonts w:ascii="SimSun" w:eastAsia="SimSun" w:hAnsi="SimSun"/>
            <w:webHidden/>
          </w:rPr>
          <w:instrText xml:space="preserve"> PAGEREF _Toc456711759 \h </w:instrText>
        </w:r>
        <w:r w:rsidR="00C22171" w:rsidRPr="00B87A4B">
          <w:rPr>
            <w:rFonts w:ascii="SimSun" w:eastAsia="SimSun" w:hAnsi="SimSun"/>
            <w:webHidden/>
          </w:rPr>
        </w:r>
        <w:r w:rsidR="00C22171" w:rsidRPr="00B87A4B">
          <w:rPr>
            <w:rFonts w:ascii="SimSun" w:eastAsia="SimSun" w:hAnsi="SimSun"/>
            <w:webHidden/>
          </w:rPr>
          <w:fldChar w:fldCharType="separate"/>
        </w:r>
        <w:r w:rsidR="00F75064" w:rsidRPr="00B87A4B">
          <w:rPr>
            <w:rFonts w:ascii="SimSun" w:eastAsia="SimSun" w:hAnsi="SimSun"/>
            <w:webHidden/>
          </w:rPr>
          <w:t>71</w:t>
        </w:r>
        <w:r w:rsidR="00C22171" w:rsidRPr="00B87A4B">
          <w:rPr>
            <w:rFonts w:ascii="SimSun" w:eastAsia="SimSun" w:hAnsi="SimSun"/>
            <w:webHidden/>
          </w:rPr>
          <w:fldChar w:fldCharType="end"/>
        </w:r>
      </w:hyperlink>
    </w:p>
    <w:p w:rsidR="00C22171" w:rsidRPr="007A5789" w:rsidRDefault="00EF7E79" w:rsidP="00CA720C">
      <w:pPr>
        <w:pStyle w:val="20"/>
        <w:rPr>
          <w:rFonts w:cs="Times New Roman"/>
          <w:color w:val="auto"/>
          <w:kern w:val="2"/>
          <w:szCs w:val="22"/>
          <w:lang w:val="en-US" w:bidi="ar-SA"/>
        </w:rPr>
      </w:pPr>
      <w:hyperlink w:anchor="_Toc456711760" w:history="1">
        <w:r w:rsidR="00C22171" w:rsidRPr="007A5789">
          <w:rPr>
            <w:rStyle w:val="ae"/>
            <w:rFonts w:ascii="SimSun" w:eastAsia="SimSun" w:hAnsi="SimSun" w:hint="eastAsia"/>
            <w:bCs/>
            <w:iCs/>
          </w:rPr>
          <w:t>附件二</w:t>
        </w:r>
        <w:r w:rsidR="00C22171" w:rsidRPr="007A5789">
          <w:rPr>
            <w:rStyle w:val="ae"/>
            <w:rFonts w:ascii="SimSun" w:eastAsia="SimSun" w:hAnsi="SimSun"/>
            <w:bCs/>
            <w:iCs/>
          </w:rPr>
          <w:t xml:space="preserve"> - </w:t>
        </w:r>
        <w:r w:rsidR="00C22171" w:rsidRPr="007A5789">
          <w:rPr>
            <w:rStyle w:val="ae"/>
            <w:rFonts w:ascii="SimSun" w:eastAsia="SimSun" w:hAnsi="SimSun" w:hint="eastAsia"/>
            <w:bCs/>
            <w:iCs/>
          </w:rPr>
          <w:t>按资金来源开列的财务执行情况表（未经审计）</w:t>
        </w:r>
        <w:r w:rsidR="00C22171" w:rsidRPr="00B87A4B">
          <w:rPr>
            <w:rFonts w:ascii="SimSun" w:eastAsia="SimSun" w:hAnsi="SimSun"/>
            <w:webHidden/>
          </w:rPr>
          <w:tab/>
        </w:r>
        <w:r w:rsidR="00C22171" w:rsidRPr="00B87A4B">
          <w:rPr>
            <w:rFonts w:ascii="SimSun" w:eastAsia="SimSun" w:hAnsi="SimSun"/>
            <w:webHidden/>
          </w:rPr>
          <w:fldChar w:fldCharType="begin"/>
        </w:r>
        <w:r w:rsidR="00C22171" w:rsidRPr="00B87A4B">
          <w:rPr>
            <w:rFonts w:ascii="SimSun" w:eastAsia="SimSun" w:hAnsi="SimSun"/>
            <w:webHidden/>
          </w:rPr>
          <w:instrText xml:space="preserve"> PAGEREF _Toc456711760 \h </w:instrText>
        </w:r>
        <w:r w:rsidR="00C22171" w:rsidRPr="00B87A4B">
          <w:rPr>
            <w:rFonts w:ascii="SimSun" w:eastAsia="SimSun" w:hAnsi="SimSun"/>
            <w:webHidden/>
          </w:rPr>
        </w:r>
        <w:r w:rsidR="00C22171" w:rsidRPr="00B87A4B">
          <w:rPr>
            <w:rFonts w:ascii="SimSun" w:eastAsia="SimSun" w:hAnsi="SimSun"/>
            <w:webHidden/>
          </w:rPr>
          <w:fldChar w:fldCharType="separate"/>
        </w:r>
        <w:r w:rsidR="00F75064" w:rsidRPr="00B87A4B">
          <w:rPr>
            <w:rFonts w:ascii="SimSun" w:eastAsia="SimSun" w:hAnsi="SimSun"/>
            <w:webHidden/>
          </w:rPr>
          <w:t>72</w:t>
        </w:r>
        <w:r w:rsidR="00C22171" w:rsidRPr="00B87A4B">
          <w:rPr>
            <w:rFonts w:ascii="SimSun" w:eastAsia="SimSun" w:hAnsi="SimSun"/>
            <w:webHidden/>
          </w:rPr>
          <w:fldChar w:fldCharType="end"/>
        </w:r>
      </w:hyperlink>
    </w:p>
    <w:p w:rsidR="00C22171" w:rsidRPr="007A5789" w:rsidRDefault="00EF7E79" w:rsidP="00CA720C">
      <w:pPr>
        <w:pStyle w:val="20"/>
        <w:rPr>
          <w:rFonts w:cs="Times New Roman"/>
          <w:color w:val="auto"/>
          <w:kern w:val="2"/>
          <w:szCs w:val="22"/>
          <w:lang w:val="en-US" w:bidi="ar-SA"/>
        </w:rPr>
      </w:pPr>
      <w:hyperlink w:anchor="_Toc456711761" w:history="1">
        <w:r w:rsidR="00C22171" w:rsidRPr="007A5789">
          <w:rPr>
            <w:rStyle w:val="ae"/>
            <w:rFonts w:ascii="SimSun" w:eastAsia="SimSun" w:hAnsi="SimSun" w:hint="eastAsia"/>
          </w:rPr>
          <w:t>附件三</w:t>
        </w:r>
        <w:r w:rsidR="00C22171" w:rsidRPr="007A5789">
          <w:rPr>
            <w:rStyle w:val="ae"/>
            <w:rFonts w:ascii="SimSun" w:eastAsia="SimSun" w:hAnsi="SimSun"/>
          </w:rPr>
          <w:t xml:space="preserve"> - </w:t>
        </w:r>
        <w:r w:rsidR="00C22171" w:rsidRPr="007A5789">
          <w:rPr>
            <w:rStyle w:val="ae"/>
            <w:rFonts w:ascii="SimSun" w:eastAsia="SimSun" w:hAnsi="SimSun" w:hint="eastAsia"/>
          </w:rPr>
          <w:t>捐助方捐助特别账户</w:t>
        </w:r>
        <w:r w:rsidR="00C22171" w:rsidRPr="00B87A4B">
          <w:rPr>
            <w:rFonts w:ascii="SimSun" w:eastAsia="SimSun" w:hAnsi="SimSun"/>
            <w:webHidden/>
          </w:rPr>
          <w:tab/>
        </w:r>
        <w:r w:rsidR="00C22171" w:rsidRPr="00B87A4B">
          <w:rPr>
            <w:rFonts w:ascii="SimSun" w:eastAsia="SimSun" w:hAnsi="SimSun"/>
            <w:webHidden/>
          </w:rPr>
          <w:fldChar w:fldCharType="begin"/>
        </w:r>
        <w:r w:rsidR="00C22171" w:rsidRPr="00B87A4B">
          <w:rPr>
            <w:rFonts w:ascii="SimSun" w:eastAsia="SimSun" w:hAnsi="SimSun"/>
            <w:webHidden/>
          </w:rPr>
          <w:instrText xml:space="preserve"> PAGEREF _Toc456711761 \h </w:instrText>
        </w:r>
        <w:r w:rsidR="00C22171" w:rsidRPr="00B87A4B">
          <w:rPr>
            <w:rFonts w:ascii="SimSun" w:eastAsia="SimSun" w:hAnsi="SimSun"/>
            <w:webHidden/>
          </w:rPr>
        </w:r>
        <w:r w:rsidR="00C22171" w:rsidRPr="00B87A4B">
          <w:rPr>
            <w:rFonts w:ascii="SimSun" w:eastAsia="SimSun" w:hAnsi="SimSun"/>
            <w:webHidden/>
          </w:rPr>
          <w:fldChar w:fldCharType="separate"/>
        </w:r>
        <w:r w:rsidR="00F75064" w:rsidRPr="00B87A4B">
          <w:rPr>
            <w:rFonts w:ascii="SimSun" w:eastAsia="SimSun" w:hAnsi="SimSun"/>
            <w:webHidden/>
          </w:rPr>
          <w:t>73</w:t>
        </w:r>
        <w:r w:rsidR="00C22171" w:rsidRPr="00B87A4B">
          <w:rPr>
            <w:rFonts w:ascii="SimSun" w:eastAsia="SimSun" w:hAnsi="SimSun"/>
            <w:webHidden/>
          </w:rPr>
          <w:fldChar w:fldCharType="end"/>
        </w:r>
      </w:hyperlink>
    </w:p>
    <w:p w:rsidR="00C22171" w:rsidRPr="007A5789" w:rsidRDefault="00EF7E79" w:rsidP="00CA720C">
      <w:pPr>
        <w:pStyle w:val="20"/>
        <w:rPr>
          <w:rFonts w:cs="Times New Roman"/>
          <w:color w:val="auto"/>
          <w:kern w:val="2"/>
          <w:szCs w:val="22"/>
          <w:lang w:val="en-US" w:bidi="ar-SA"/>
        </w:rPr>
      </w:pPr>
      <w:hyperlink w:anchor="_Toc456711762" w:history="1">
        <w:r w:rsidR="00C22171" w:rsidRPr="007A5789">
          <w:rPr>
            <w:rStyle w:val="ae"/>
            <w:rFonts w:ascii="SimSun" w:eastAsia="SimSun" w:hAnsi="SimSun" w:hint="eastAsia"/>
          </w:rPr>
          <w:t>附件四</w:t>
        </w:r>
        <w:r w:rsidR="00C22171" w:rsidRPr="007A5789">
          <w:rPr>
            <w:rStyle w:val="ae"/>
            <w:rFonts w:ascii="SimSun" w:eastAsia="SimSun" w:hAnsi="SimSun"/>
          </w:rPr>
          <w:t xml:space="preserve"> - </w:t>
        </w:r>
        <w:r w:rsidR="00C22171" w:rsidRPr="007A5789">
          <w:rPr>
            <w:rStyle w:val="ae"/>
            <w:rFonts w:ascii="SimSun" w:eastAsia="SimSun" w:hAnsi="SimSun" w:hint="eastAsia"/>
          </w:rPr>
          <w:t>惠给金支付</w:t>
        </w:r>
        <w:r w:rsidR="00C22171" w:rsidRPr="00B87A4B">
          <w:rPr>
            <w:rFonts w:ascii="SimSun" w:eastAsia="SimSun" w:hAnsi="SimSun"/>
            <w:webHidden/>
          </w:rPr>
          <w:tab/>
        </w:r>
        <w:r w:rsidR="00C22171" w:rsidRPr="00B87A4B">
          <w:rPr>
            <w:rFonts w:ascii="SimSun" w:eastAsia="SimSun" w:hAnsi="SimSun"/>
            <w:webHidden/>
          </w:rPr>
          <w:fldChar w:fldCharType="begin"/>
        </w:r>
        <w:r w:rsidR="00C22171" w:rsidRPr="00B87A4B">
          <w:rPr>
            <w:rFonts w:ascii="SimSun" w:eastAsia="SimSun" w:hAnsi="SimSun"/>
            <w:webHidden/>
          </w:rPr>
          <w:instrText xml:space="preserve"> PAGEREF _Toc456711762 \h </w:instrText>
        </w:r>
        <w:r w:rsidR="00C22171" w:rsidRPr="00B87A4B">
          <w:rPr>
            <w:rFonts w:ascii="SimSun" w:eastAsia="SimSun" w:hAnsi="SimSun"/>
            <w:webHidden/>
          </w:rPr>
        </w:r>
        <w:r w:rsidR="00C22171" w:rsidRPr="00B87A4B">
          <w:rPr>
            <w:rFonts w:ascii="SimSun" w:eastAsia="SimSun" w:hAnsi="SimSun"/>
            <w:webHidden/>
          </w:rPr>
          <w:fldChar w:fldCharType="separate"/>
        </w:r>
        <w:r w:rsidR="00F75064" w:rsidRPr="00B87A4B">
          <w:rPr>
            <w:rFonts w:ascii="SimSun" w:eastAsia="SimSun" w:hAnsi="SimSun"/>
            <w:webHidden/>
          </w:rPr>
          <w:t>74</w:t>
        </w:r>
        <w:r w:rsidR="00C22171" w:rsidRPr="00B87A4B">
          <w:rPr>
            <w:rFonts w:ascii="SimSun" w:eastAsia="SimSun" w:hAnsi="SimSun"/>
            <w:webHidden/>
          </w:rPr>
          <w:fldChar w:fldCharType="end"/>
        </w:r>
      </w:hyperlink>
    </w:p>
    <w:p w:rsidR="00274C9E" w:rsidRPr="007A5789" w:rsidRDefault="00224ACB" w:rsidP="00C22171">
      <w:pPr>
        <w:tabs>
          <w:tab w:val="right" w:pos="9345"/>
        </w:tabs>
        <w:rPr>
          <w:sz w:val="21"/>
        </w:rPr>
      </w:pPr>
      <w:r w:rsidRPr="00390119">
        <w:rPr>
          <w:rFonts w:ascii="Times New Roman" w:hAnsi="Times New Roman"/>
        </w:rPr>
        <w:fldChar w:fldCharType="end"/>
      </w:r>
    </w:p>
    <w:p w:rsidR="00B125D6" w:rsidRPr="007A5789" w:rsidRDefault="00B125D6">
      <w:pPr>
        <w:rPr>
          <w:sz w:val="21"/>
        </w:rPr>
      </w:pPr>
    </w:p>
    <w:p w:rsidR="00B125D6" w:rsidRPr="007A5789" w:rsidRDefault="00B125D6">
      <w:pPr>
        <w:rPr>
          <w:sz w:val="21"/>
        </w:rPr>
        <w:sectPr w:rsidR="00B125D6" w:rsidRPr="007A5789" w:rsidSect="008B64D0">
          <w:headerReference w:type="even" r:id="rId1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71598D" w:rsidRPr="00C8425D" w:rsidRDefault="0071598D" w:rsidP="007C2134">
      <w:pPr>
        <w:pStyle w:val="1"/>
        <w:spacing w:beforeLines="100" w:afterLines="100" w:line="340" w:lineRule="atLeast"/>
        <w:jc w:val="center"/>
        <w:rPr>
          <w:rFonts w:ascii="SimHei" w:eastAsia="SimHei" w:hAnsi="SimHei"/>
          <w:b w:val="0"/>
          <w:sz w:val="21"/>
        </w:rPr>
      </w:pPr>
      <w:bookmarkStart w:id="7" w:name="_Toc441218480"/>
      <w:bookmarkStart w:id="8" w:name="_Toc455733211"/>
      <w:bookmarkStart w:id="9" w:name="_Toc456697860"/>
      <w:bookmarkStart w:id="10" w:name="_Toc456711723"/>
      <w:r w:rsidRPr="00C8425D">
        <w:rPr>
          <w:rFonts w:ascii="SimHei" w:eastAsia="SimHei" w:hAnsi="SimHei"/>
          <w:b w:val="0"/>
          <w:sz w:val="21"/>
        </w:rPr>
        <w:lastRenderedPageBreak/>
        <w:t>年度财务报告</w:t>
      </w:r>
      <w:bookmarkEnd w:id="7"/>
      <w:bookmarkEnd w:id="8"/>
      <w:bookmarkEnd w:id="9"/>
      <w:bookmarkEnd w:id="10"/>
    </w:p>
    <w:p w:rsidR="0071598D" w:rsidRPr="00C8425D" w:rsidRDefault="0071598D" w:rsidP="00C8425D">
      <w:pPr>
        <w:pStyle w:val="2"/>
        <w:overflowPunct w:val="0"/>
        <w:spacing w:beforeLines="100" w:afterLines="50" w:after="120" w:line="340" w:lineRule="atLeast"/>
        <w:rPr>
          <w:rFonts w:ascii="SimHei" w:eastAsia="SimHei" w:hAnsi="SimHei"/>
          <w:b w:val="0"/>
          <w:sz w:val="21"/>
        </w:rPr>
      </w:pPr>
      <w:bookmarkStart w:id="11" w:name="_Toc441218481"/>
      <w:bookmarkStart w:id="12" w:name="_Toc455733212"/>
      <w:bookmarkStart w:id="13" w:name="_Toc456697861"/>
      <w:bookmarkStart w:id="14" w:name="_Toc456711724"/>
      <w:r w:rsidRPr="00C8425D">
        <w:rPr>
          <w:rFonts w:ascii="SimHei" w:eastAsia="SimHei" w:hAnsi="SimHei"/>
          <w:b w:val="0"/>
          <w:sz w:val="21"/>
        </w:rPr>
        <w:t>引</w:t>
      </w:r>
      <w:r w:rsidR="00C8425D">
        <w:rPr>
          <w:rFonts w:ascii="SimHei" w:eastAsia="SimHei" w:hAnsi="SimHei" w:hint="eastAsia"/>
          <w:b w:val="0"/>
          <w:sz w:val="21"/>
        </w:rPr>
        <w:t xml:space="preserve">　</w:t>
      </w:r>
      <w:r w:rsidRPr="00C8425D">
        <w:rPr>
          <w:rFonts w:ascii="SimHei" w:eastAsia="SimHei" w:hAnsi="SimHei"/>
          <w:b w:val="0"/>
          <w:sz w:val="21"/>
        </w:rPr>
        <w:t>言</w:t>
      </w:r>
      <w:bookmarkEnd w:id="11"/>
      <w:bookmarkEnd w:id="12"/>
      <w:bookmarkEnd w:id="13"/>
      <w:bookmarkEnd w:id="14"/>
    </w:p>
    <w:p w:rsidR="0025563A" w:rsidRPr="007A5789" w:rsidRDefault="00DD5C76" w:rsidP="00B6014B">
      <w:pPr>
        <w:pStyle w:val="ONUME"/>
        <w:tabs>
          <w:tab w:val="clear" w:pos="567"/>
        </w:tabs>
        <w:overflowPunct w:val="0"/>
        <w:spacing w:afterLines="50" w:after="120" w:line="340" w:lineRule="atLeast"/>
        <w:rPr>
          <w:sz w:val="21"/>
        </w:rPr>
      </w:pPr>
      <w:r w:rsidRPr="007A5789">
        <w:rPr>
          <w:sz w:val="21"/>
        </w:rPr>
        <w:t>根据《财务条例与细则》</w:t>
      </w:r>
      <w:r w:rsidR="00B6014B">
        <w:rPr>
          <w:rFonts w:hint="eastAsia"/>
          <w:sz w:val="21"/>
        </w:rPr>
        <w:t>（</w:t>
      </w:r>
      <w:r w:rsidR="005C3256" w:rsidRPr="007A5789">
        <w:rPr>
          <w:rFonts w:hint="eastAsia"/>
          <w:sz w:val="21"/>
        </w:rPr>
        <w:t>FRR</w:t>
      </w:r>
      <w:r w:rsidR="00B6014B">
        <w:rPr>
          <w:rFonts w:hint="eastAsia"/>
          <w:sz w:val="21"/>
        </w:rPr>
        <w:t>）</w:t>
      </w:r>
      <w:r w:rsidRPr="007A5789">
        <w:rPr>
          <w:sz w:val="21"/>
        </w:rPr>
        <w:t>条例6.7的规定，现将截至2015年12月31日的世界知识产权组织</w:t>
      </w:r>
      <w:r w:rsidR="00B6014B">
        <w:rPr>
          <w:sz w:val="21"/>
        </w:rPr>
        <w:t>（</w:t>
      </w:r>
      <w:r w:rsidRPr="007A5789">
        <w:rPr>
          <w:sz w:val="21"/>
        </w:rPr>
        <w:t>WIPO</w:t>
      </w:r>
      <w:r w:rsidR="00B6014B">
        <w:rPr>
          <w:sz w:val="21"/>
        </w:rPr>
        <w:t>）</w:t>
      </w:r>
      <w:r w:rsidRPr="007A5789">
        <w:rPr>
          <w:sz w:val="21"/>
        </w:rPr>
        <w:t>财务报表提交给WIPO成员国大会。财务报表根据</w:t>
      </w:r>
      <w:r w:rsidR="00F76195" w:rsidRPr="007A5789">
        <w:rPr>
          <w:sz w:val="21"/>
        </w:rPr>
        <w:t>国际公共部门会计准则委员会</w:t>
      </w:r>
      <w:r w:rsidR="00B6014B">
        <w:rPr>
          <w:sz w:val="21"/>
        </w:rPr>
        <w:t>（</w:t>
      </w:r>
      <w:r w:rsidR="00F76195" w:rsidRPr="007A5789">
        <w:rPr>
          <w:sz w:val="21"/>
        </w:rPr>
        <w:t>IPSASB</w:t>
      </w:r>
      <w:r w:rsidR="00B6014B">
        <w:rPr>
          <w:sz w:val="21"/>
        </w:rPr>
        <w:t>）</w:t>
      </w:r>
      <w:r w:rsidR="00F76195" w:rsidRPr="007A5789">
        <w:rPr>
          <w:sz w:val="21"/>
        </w:rPr>
        <w:t>制定</w:t>
      </w:r>
      <w:r w:rsidR="00F76195" w:rsidRPr="007A5789">
        <w:rPr>
          <w:rFonts w:hint="eastAsia"/>
          <w:sz w:val="21"/>
        </w:rPr>
        <w:t>并核准</w:t>
      </w:r>
      <w:r w:rsidR="00F76195" w:rsidRPr="007A5789">
        <w:rPr>
          <w:sz w:val="21"/>
        </w:rPr>
        <w:t>的</w:t>
      </w:r>
      <w:r w:rsidRPr="007A5789">
        <w:rPr>
          <w:sz w:val="21"/>
        </w:rPr>
        <w:t>《国际公共部门会计准则》</w:t>
      </w:r>
      <w:r w:rsidR="00B6014B">
        <w:rPr>
          <w:sz w:val="21"/>
        </w:rPr>
        <w:t>（</w:t>
      </w:r>
      <w:r w:rsidRPr="007A5789">
        <w:rPr>
          <w:sz w:val="21"/>
        </w:rPr>
        <w:t>IPSAS</w:t>
      </w:r>
      <w:r w:rsidR="00B6014B">
        <w:rPr>
          <w:sz w:val="21"/>
        </w:rPr>
        <w:t>）</w:t>
      </w:r>
      <w:r w:rsidRPr="007A5789">
        <w:rPr>
          <w:sz w:val="21"/>
        </w:rPr>
        <w:t>编制</w:t>
      </w:r>
      <w:r w:rsidR="00F76195" w:rsidRPr="007A5789">
        <w:rPr>
          <w:rFonts w:hint="eastAsia"/>
          <w:sz w:val="21"/>
        </w:rPr>
        <w:t>而成</w:t>
      </w:r>
      <w:r w:rsidRPr="007A5789">
        <w:rPr>
          <w:sz w:val="21"/>
        </w:rPr>
        <w:t>。</w:t>
      </w:r>
    </w:p>
    <w:p w:rsidR="00DD5C76" w:rsidRPr="007A5789" w:rsidRDefault="00DD5C76" w:rsidP="00B6014B">
      <w:pPr>
        <w:pStyle w:val="ONUME"/>
        <w:tabs>
          <w:tab w:val="clear" w:pos="567"/>
        </w:tabs>
        <w:overflowPunct w:val="0"/>
        <w:spacing w:afterLines="50" w:after="120" w:line="340" w:lineRule="atLeast"/>
        <w:rPr>
          <w:sz w:val="21"/>
        </w:rPr>
      </w:pPr>
      <w:r w:rsidRPr="007A5789">
        <w:rPr>
          <w:sz w:val="21"/>
        </w:rPr>
        <w:t>根据</w:t>
      </w:r>
      <w:r w:rsidR="00372FF8" w:rsidRPr="007A5789">
        <w:rPr>
          <w:rFonts w:hint="eastAsia"/>
          <w:sz w:val="21"/>
        </w:rPr>
        <w:t>FRR</w:t>
      </w:r>
      <w:r w:rsidRPr="007A5789">
        <w:rPr>
          <w:sz w:val="21"/>
        </w:rPr>
        <w:t>条例8.11及附件二的规定，外聘审计员的2015年财务报表审计报告以及对财务报表的意见也一并提交给WIPO成员国大会。</w:t>
      </w:r>
    </w:p>
    <w:p w:rsidR="0071598D" w:rsidRPr="007A5789" w:rsidRDefault="00B56D5F" w:rsidP="00B6014B">
      <w:pPr>
        <w:pStyle w:val="ONUME"/>
        <w:tabs>
          <w:tab w:val="clear" w:pos="567"/>
        </w:tabs>
        <w:overflowPunct w:val="0"/>
        <w:spacing w:afterLines="50" w:after="120" w:line="340" w:lineRule="atLeast"/>
        <w:rPr>
          <w:sz w:val="21"/>
        </w:rPr>
      </w:pPr>
      <w:r w:rsidRPr="007A5789">
        <w:rPr>
          <w:sz w:val="21"/>
        </w:rPr>
        <w:t>财务报表以及包含财务报表讨论与分析在内的年度财务报告均在本文件中列报。</w:t>
      </w:r>
    </w:p>
    <w:p w:rsidR="0071598D" w:rsidRPr="00C8425D" w:rsidRDefault="0071598D" w:rsidP="00C8425D">
      <w:pPr>
        <w:pStyle w:val="2"/>
        <w:overflowPunct w:val="0"/>
        <w:spacing w:beforeLines="100" w:afterLines="50" w:after="120" w:line="340" w:lineRule="atLeast"/>
        <w:rPr>
          <w:rFonts w:ascii="SimHei" w:eastAsia="SimHei" w:hAnsi="SimHei"/>
          <w:b w:val="0"/>
          <w:sz w:val="21"/>
        </w:rPr>
      </w:pPr>
      <w:bookmarkStart w:id="15" w:name="_Toc441218482"/>
      <w:bookmarkStart w:id="16" w:name="_Toc455733213"/>
      <w:bookmarkStart w:id="17" w:name="_Toc456697862"/>
      <w:bookmarkStart w:id="18" w:name="_Toc456711725"/>
      <w:r w:rsidRPr="00C8425D">
        <w:rPr>
          <w:rFonts w:ascii="SimHei" w:eastAsia="SimHei" w:hAnsi="SimHei"/>
          <w:b w:val="0"/>
          <w:sz w:val="21"/>
        </w:rPr>
        <w:t>财务报表讨论与分析</w:t>
      </w:r>
      <w:bookmarkEnd w:id="15"/>
      <w:bookmarkEnd w:id="16"/>
      <w:bookmarkEnd w:id="17"/>
      <w:bookmarkEnd w:id="18"/>
    </w:p>
    <w:p w:rsidR="0025563A" w:rsidRPr="007A5789" w:rsidRDefault="00FD1093" w:rsidP="00B6014B">
      <w:pPr>
        <w:pStyle w:val="ONUME"/>
        <w:tabs>
          <w:tab w:val="clear" w:pos="567"/>
        </w:tabs>
        <w:overflowPunct w:val="0"/>
        <w:spacing w:afterLines="50" w:after="120" w:line="340" w:lineRule="atLeast"/>
        <w:rPr>
          <w:sz w:val="21"/>
        </w:rPr>
      </w:pPr>
      <w:r w:rsidRPr="007A5789">
        <w:rPr>
          <w:sz w:val="21"/>
        </w:rPr>
        <w:t>以下财务报表讨论与分析包含对本组织截至2015年12月31日的运营和环境、财务目标和战略、风险管理战略以及财务执行情况和财务状况的</w:t>
      </w:r>
      <w:r w:rsidR="00684AAC" w:rsidRPr="007A5789">
        <w:rPr>
          <w:rFonts w:hint="eastAsia"/>
          <w:sz w:val="21"/>
        </w:rPr>
        <w:t>概览</w:t>
      </w:r>
      <w:r w:rsidRPr="007A5789">
        <w:rPr>
          <w:sz w:val="21"/>
        </w:rPr>
        <w:t>。财务报表讨论与分析根据《IPSASB建议实践指引2》编制，旨在解释财务报表中呈现的重大项目、交易</w:t>
      </w:r>
      <w:r w:rsidR="0063467D" w:rsidRPr="007A5789">
        <w:rPr>
          <w:rFonts w:hint="eastAsia"/>
          <w:sz w:val="21"/>
        </w:rPr>
        <w:t>和</w:t>
      </w:r>
      <w:r w:rsidRPr="007A5789">
        <w:rPr>
          <w:sz w:val="21"/>
        </w:rPr>
        <w:t>事件及其影响因素。这些讨论和分析不是WIPO财务报表的组成部分，但应与WIPO财务报表第24页至第7</w:t>
      </w:r>
      <w:r w:rsidR="00AB6919">
        <w:rPr>
          <w:rFonts w:hint="eastAsia"/>
          <w:sz w:val="21"/>
        </w:rPr>
        <w:t>0</w:t>
      </w:r>
      <w:r w:rsidRPr="007A5789">
        <w:rPr>
          <w:sz w:val="21"/>
        </w:rPr>
        <w:t>页一起阅读。</w:t>
      </w:r>
    </w:p>
    <w:p w:rsidR="007A5789" w:rsidRPr="00C8425D" w:rsidRDefault="00D47896" w:rsidP="00C8425D">
      <w:pPr>
        <w:keepNext/>
        <w:overflowPunct w:val="0"/>
        <w:spacing w:beforeLines="100" w:before="240" w:afterLines="50" w:after="120" w:line="340" w:lineRule="atLeast"/>
        <w:rPr>
          <w:b/>
          <w:sz w:val="21"/>
          <w:szCs w:val="22"/>
        </w:rPr>
      </w:pPr>
      <w:r w:rsidRPr="00C8425D">
        <w:rPr>
          <w:b/>
          <w:sz w:val="21"/>
        </w:rPr>
        <w:t>WIPO的运营和环境概述</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WIPO是关于知识产权服务、政策、信息与合作的全球论坛。它是联合国的一个专门机构，拥有188个成员国。本组织的使命是领导发展兼顾各方利益的有效国际知识产权制度，让创新和创造惠及各国的经济、社会和文化发展。本组织的任务、领导机构和程序载于《WIPO公约》。WIPO根据该公约于1967年建立。</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WIPO的成员国通过决策机构来决策本组织的方向、预算和活动。WIPO的主要政策和决策机构是大会和协调委员会。大会</w:t>
      </w:r>
      <w:proofErr w:type="gramStart"/>
      <w:r w:rsidRPr="007A5789">
        <w:rPr>
          <w:sz w:val="21"/>
        </w:rPr>
        <w:t>由同时</w:t>
      </w:r>
      <w:proofErr w:type="gramEnd"/>
      <w:r w:rsidRPr="007A5789">
        <w:rPr>
          <w:sz w:val="21"/>
        </w:rPr>
        <w:t>是WIPO管理的各联盟成员的《WIPO公约》成员国组成。协调委员会由巴黎</w:t>
      </w:r>
      <w:r w:rsidR="00AB6919" w:rsidRPr="007A5789">
        <w:rPr>
          <w:sz w:val="21"/>
        </w:rPr>
        <w:t>联盟</w:t>
      </w:r>
      <w:r w:rsidRPr="007A5789">
        <w:rPr>
          <w:sz w:val="21"/>
        </w:rPr>
        <w:t>或伯尔尼联盟的执行委员会的当选委员、非任何联盟成员的《WIPO公约》缔约国的四分之一以及瑞士组成。瑞士是本组织总部的所在地。</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WTPO总干事在由协调委员会提名后，由大会任命。总干事是本组织的首席执行官。WIPO的高层管理团队</w:t>
      </w:r>
      <w:r w:rsidR="00B6014B">
        <w:rPr>
          <w:sz w:val="21"/>
        </w:rPr>
        <w:t>（</w:t>
      </w:r>
      <w:r w:rsidRPr="007A5789">
        <w:rPr>
          <w:sz w:val="21"/>
        </w:rPr>
        <w:t>由副总干事和助理总干事，外加法律顾问和人力资源管理部主任组成</w:t>
      </w:r>
      <w:r w:rsidR="00B6014B">
        <w:rPr>
          <w:sz w:val="21"/>
        </w:rPr>
        <w:t>）</w:t>
      </w:r>
      <w:r w:rsidRPr="007A5789">
        <w:rPr>
          <w:sz w:val="21"/>
        </w:rPr>
        <w:t>协助总干事制定WIPO各项计划的战略导向，并管理各自的部门和计划，从而确保交付成果符合计划和预算。</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WIPO的大部分收入来自知识产权服务用户为专利、商标及工业</w:t>
      </w:r>
      <w:r w:rsidR="0042689C" w:rsidRPr="007A5789">
        <w:rPr>
          <w:sz w:val="21"/>
        </w:rPr>
        <w:t>品外观</w:t>
      </w:r>
      <w:r w:rsidRPr="007A5789">
        <w:rPr>
          <w:sz w:val="21"/>
        </w:rPr>
        <w:t>设计支付的费用。这些服务通过《专利合作条约》</w:t>
      </w:r>
      <w:r w:rsidR="00B6014B">
        <w:rPr>
          <w:sz w:val="21"/>
        </w:rPr>
        <w:t>（</w:t>
      </w:r>
      <w:r w:rsidRPr="007A5789">
        <w:rPr>
          <w:sz w:val="21"/>
        </w:rPr>
        <w:t>PCT</w:t>
      </w:r>
      <w:r w:rsidR="00B6014B">
        <w:rPr>
          <w:sz w:val="21"/>
        </w:rPr>
        <w:t>）</w:t>
      </w:r>
      <w:r w:rsidRPr="007A5789">
        <w:rPr>
          <w:sz w:val="21"/>
        </w:rPr>
        <w:t>、马德里和海牙体系提供。2015年，这些活动收取的费用占本组织全部收入的90.9%，仅PCT体系费用就占72.1%。</w:t>
      </w:r>
    </w:p>
    <w:p w:rsidR="0025563A" w:rsidRPr="007A5789" w:rsidRDefault="00FF1AF9" w:rsidP="00B6014B">
      <w:pPr>
        <w:pStyle w:val="ONUME"/>
        <w:tabs>
          <w:tab w:val="clear" w:pos="567"/>
        </w:tabs>
        <w:overflowPunct w:val="0"/>
        <w:spacing w:afterLines="50" w:after="120" w:line="340" w:lineRule="atLeast"/>
        <w:rPr>
          <w:sz w:val="21"/>
        </w:rPr>
      </w:pPr>
      <w:r w:rsidRPr="007A5789">
        <w:rPr>
          <w:sz w:val="21"/>
        </w:rPr>
        <w:t>国际上对知识产权的需求是推动</w:t>
      </w:r>
      <w:r w:rsidR="00D47896" w:rsidRPr="007A5789">
        <w:rPr>
          <w:sz w:val="21"/>
        </w:rPr>
        <w:t>这些付费服务收入增长的动力。尽管2008年全球金融危机后经济复苏不均衡，但是自2010年起，全球知识产权</w:t>
      </w:r>
      <w:r w:rsidR="00AB6919">
        <w:rPr>
          <w:rFonts w:hint="eastAsia"/>
          <w:sz w:val="21"/>
        </w:rPr>
        <w:t>申请</w:t>
      </w:r>
      <w:r w:rsidR="00D47896" w:rsidRPr="007A5789">
        <w:rPr>
          <w:sz w:val="21"/>
        </w:rPr>
        <w:t>活动持续增长，然而知识产权需求仍然受到全球经济表现影响。截至2014年底的最新</w:t>
      </w:r>
      <w:r w:rsidR="00280FB9" w:rsidRPr="007A5789">
        <w:rPr>
          <w:sz w:val="21"/>
        </w:rPr>
        <w:t>可用</w:t>
      </w:r>
      <w:r w:rsidR="00D47896" w:rsidRPr="007A5789">
        <w:rPr>
          <w:sz w:val="21"/>
        </w:rPr>
        <w:t>统计数据表明，全球专利及商标申请自2010年以来逐年增加。但全球</w:t>
      </w:r>
      <w:r w:rsidR="00280FB9" w:rsidRPr="007A5789">
        <w:rPr>
          <w:sz w:val="21"/>
        </w:rPr>
        <w:t>工业品外观设计</w:t>
      </w:r>
      <w:r w:rsidR="00D47896" w:rsidRPr="007A5789">
        <w:rPr>
          <w:sz w:val="21"/>
        </w:rPr>
        <w:t>申请在增长20多年后于2014年出现下降。</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可能影响本组织服务收入的其他外部因素包括研究和开发投资水平、技术</w:t>
      </w:r>
      <w:r w:rsidR="00AB6919">
        <w:rPr>
          <w:rFonts w:hint="eastAsia"/>
          <w:sz w:val="21"/>
        </w:rPr>
        <w:t>置</w:t>
      </w:r>
      <w:r w:rsidRPr="007A5789">
        <w:rPr>
          <w:sz w:val="21"/>
        </w:rPr>
        <w:t>信水平和汇率波动。尤其是对于PCT体系，其他重要影响因素包括与其他</w:t>
      </w:r>
      <w:r w:rsidR="00AB6919">
        <w:rPr>
          <w:rFonts w:hint="eastAsia"/>
          <w:sz w:val="21"/>
        </w:rPr>
        <w:t>申请</w:t>
      </w:r>
      <w:r w:rsidRPr="007A5789">
        <w:rPr>
          <w:sz w:val="21"/>
        </w:rPr>
        <w:t>路径的服务费用相比PCT</w:t>
      </w:r>
      <w:proofErr w:type="gramStart"/>
      <w:r w:rsidRPr="007A5789">
        <w:rPr>
          <w:sz w:val="21"/>
        </w:rPr>
        <w:t>规</w:t>
      </w:r>
      <w:proofErr w:type="gramEnd"/>
      <w:r w:rsidRPr="007A5789">
        <w:rPr>
          <w:sz w:val="21"/>
        </w:rPr>
        <w:t>费的水平、与其他</w:t>
      </w:r>
      <w:r w:rsidR="00AB6919">
        <w:rPr>
          <w:rFonts w:hint="eastAsia"/>
          <w:sz w:val="21"/>
        </w:rPr>
        <w:t>申请</w:t>
      </w:r>
      <w:r w:rsidRPr="007A5789">
        <w:rPr>
          <w:sz w:val="21"/>
        </w:rPr>
        <w:t>路径相比PCT服务的吸引力和价值、个别企业专利战略。</w:t>
      </w:r>
    </w:p>
    <w:p w:rsidR="007A5789" w:rsidRPr="00C8425D" w:rsidRDefault="00D47896" w:rsidP="00C8425D">
      <w:pPr>
        <w:keepNext/>
        <w:overflowPunct w:val="0"/>
        <w:spacing w:beforeLines="100" w:before="240" w:afterLines="50" w:after="120" w:line="340" w:lineRule="atLeast"/>
        <w:rPr>
          <w:b/>
          <w:sz w:val="21"/>
        </w:rPr>
      </w:pPr>
      <w:r w:rsidRPr="00C8425D">
        <w:rPr>
          <w:b/>
          <w:sz w:val="21"/>
        </w:rPr>
        <w:lastRenderedPageBreak/>
        <w:t>WIPO财务目标和战略概述</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WIPO的财务活动受经大会批准的《财务条例》管辖。《财务细则》由总干事根据《财务条例》规定建立。WIPO的计划和预算委员会会获知《财务细则》的所有修改。《财务细则》管辖本组织的所有财务管理活动。总干事向财务主</w:t>
      </w:r>
      <w:r w:rsidR="00AB6919">
        <w:rPr>
          <w:rFonts w:hint="eastAsia"/>
          <w:sz w:val="21"/>
        </w:rPr>
        <w:t>任</w:t>
      </w:r>
      <w:r w:rsidRPr="007A5789">
        <w:rPr>
          <w:sz w:val="21"/>
        </w:rPr>
        <w:t>授予执行《财务条例与细则》的权限和责任。</w:t>
      </w:r>
    </w:p>
    <w:p w:rsidR="0025563A" w:rsidRPr="007A5789" w:rsidRDefault="00D47896" w:rsidP="00B6014B">
      <w:pPr>
        <w:pStyle w:val="ONUME"/>
        <w:tabs>
          <w:tab w:val="clear" w:pos="567"/>
        </w:tabs>
        <w:overflowPunct w:val="0"/>
        <w:spacing w:afterLines="50" w:after="120" w:line="340" w:lineRule="atLeast"/>
        <w:rPr>
          <w:sz w:val="21"/>
        </w:rPr>
      </w:pPr>
      <w:r w:rsidRPr="007A5789">
        <w:rPr>
          <w:sz w:val="21"/>
        </w:rPr>
        <w:t>总干事每两年向成员国呈交一份计划和预算供其审批。计划和预算详细阐述了所有拟议活动的目标、执行措施和预算规划。2013年12月12日召开的WIPO成员国大会核定了2014/15两年</w:t>
      </w:r>
      <w:proofErr w:type="gramStart"/>
      <w:r w:rsidRPr="007A5789">
        <w:rPr>
          <w:sz w:val="21"/>
        </w:rPr>
        <w:t>期计划</w:t>
      </w:r>
      <w:proofErr w:type="gramEnd"/>
      <w:r w:rsidRPr="007A5789">
        <w:rPr>
          <w:sz w:val="21"/>
        </w:rPr>
        <w:t>和预算。计划和预算在中期战略计划的整体战略框架下提供两年期的规划。</w:t>
      </w:r>
    </w:p>
    <w:p w:rsidR="00D47896" w:rsidRPr="007A5789" w:rsidRDefault="005B0337" w:rsidP="00B6014B">
      <w:pPr>
        <w:pStyle w:val="ONUME"/>
        <w:tabs>
          <w:tab w:val="clear" w:pos="567"/>
        </w:tabs>
        <w:overflowPunct w:val="0"/>
        <w:spacing w:afterLines="50" w:after="120" w:line="340" w:lineRule="atLeast"/>
        <w:rPr>
          <w:sz w:val="21"/>
        </w:rPr>
      </w:pPr>
      <w:r w:rsidRPr="007A5789">
        <w:rPr>
          <w:sz w:val="21"/>
        </w:rPr>
        <w:t>本组织采用以结果为导向的管理系统，从而确保按照组织业绩和优先级安排和使用资源。本组织通过绩效指标、目标和基准定期衡量和分析组织绩效。在这种制度下，计划和预算以及中期战略计划都是WIPO规划框架的一部分，框架还包括年度工作计划和单个工作人员的目标。</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本组织根据储备</w:t>
      </w:r>
      <w:proofErr w:type="gramStart"/>
      <w:r w:rsidRPr="007A5789">
        <w:rPr>
          <w:sz w:val="21"/>
        </w:rPr>
        <w:t>金政策</w:t>
      </w:r>
      <w:proofErr w:type="gramEnd"/>
      <w:r w:rsidRPr="007A5789">
        <w:rPr>
          <w:sz w:val="21"/>
        </w:rPr>
        <w:t>管理储备金水平。储备</w:t>
      </w:r>
      <w:proofErr w:type="gramStart"/>
      <w:r w:rsidRPr="007A5789">
        <w:rPr>
          <w:sz w:val="21"/>
        </w:rPr>
        <w:t>金政策</w:t>
      </w:r>
      <w:proofErr w:type="gramEnd"/>
      <w:r w:rsidRPr="007A5789">
        <w:rPr>
          <w:sz w:val="21"/>
        </w:rPr>
        <w:t>2015年经过修改。WIPO的储备金被记入本组织的净资产，旨在将收入缺口的影响降至最小以及将本组织短期内偿还债务及维持财务稳定的概率增至最大。该政策的一个核心要素是建立一个机制，将要求的储备金水平作为本组织管理下的联盟两年期开支概算的一个百分比。同时，该政策还建立了资本完善一次性项目和特殊情况使用储备金的原则和批准机制。</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本组织根据</w:t>
      </w:r>
      <w:r w:rsidR="00B079E5" w:rsidRPr="007A5789">
        <w:rPr>
          <w:sz w:val="21"/>
        </w:rPr>
        <w:t>自身的</w:t>
      </w:r>
      <w:r w:rsidRPr="007A5789">
        <w:rPr>
          <w:sz w:val="21"/>
        </w:rPr>
        <w:t>投资政策管理投资。投资政策2015年也经过修改。投资政策规定本组织投资管理的主要目标按照重要性顺序应为</w:t>
      </w:r>
      <w:r w:rsidR="00AB6919">
        <w:rPr>
          <w:rFonts w:hint="eastAsia"/>
          <w:sz w:val="21"/>
        </w:rPr>
        <w:t>(</w:t>
      </w:r>
      <w:r w:rsidRPr="007A5789">
        <w:rPr>
          <w:sz w:val="21"/>
        </w:rPr>
        <w:t>i</w:t>
      </w:r>
      <w:r w:rsidR="00880100" w:rsidRPr="007A5789">
        <w:rPr>
          <w:sz w:val="21"/>
        </w:rPr>
        <w:t>)</w:t>
      </w:r>
      <w:r w:rsidRPr="007A5789">
        <w:rPr>
          <w:sz w:val="21"/>
        </w:rPr>
        <w:t>资本保值；</w:t>
      </w:r>
      <w:r w:rsidR="00880100" w:rsidRPr="007A5789">
        <w:rPr>
          <w:sz w:val="21"/>
        </w:rPr>
        <w:t>(</w:t>
      </w:r>
      <w:r w:rsidRPr="007A5789">
        <w:rPr>
          <w:sz w:val="21"/>
        </w:rPr>
        <w:t>ii</w:t>
      </w:r>
      <w:r w:rsidR="00880100" w:rsidRPr="007A5789">
        <w:rPr>
          <w:sz w:val="21"/>
        </w:rPr>
        <w:t>)</w:t>
      </w:r>
      <w:r w:rsidRPr="007A5789">
        <w:rPr>
          <w:sz w:val="21"/>
        </w:rPr>
        <w:t>流动性和</w:t>
      </w:r>
      <w:r w:rsidR="00880100" w:rsidRPr="007A5789">
        <w:rPr>
          <w:sz w:val="21"/>
        </w:rPr>
        <w:t>(</w:t>
      </w:r>
      <w:r w:rsidRPr="007A5789">
        <w:rPr>
          <w:sz w:val="21"/>
        </w:rPr>
        <w:t>iii</w:t>
      </w:r>
      <w:r w:rsidR="00880100" w:rsidRPr="007A5789">
        <w:rPr>
          <w:sz w:val="21"/>
        </w:rPr>
        <w:t>)</w:t>
      </w:r>
      <w:r w:rsidRPr="007A5789">
        <w:rPr>
          <w:sz w:val="21"/>
        </w:rPr>
        <w:t>在</w:t>
      </w:r>
      <w:r w:rsidR="00880100" w:rsidRPr="007A5789">
        <w:rPr>
          <w:sz w:val="21"/>
        </w:rPr>
        <w:t>(</w:t>
      </w:r>
      <w:r w:rsidRPr="007A5789">
        <w:rPr>
          <w:sz w:val="21"/>
        </w:rPr>
        <w:t>i</w:t>
      </w:r>
      <w:r w:rsidR="00880100" w:rsidRPr="007A5789">
        <w:rPr>
          <w:sz w:val="21"/>
        </w:rPr>
        <w:t>)</w:t>
      </w:r>
      <w:r w:rsidRPr="007A5789">
        <w:rPr>
          <w:sz w:val="21"/>
        </w:rPr>
        <w:t>和</w:t>
      </w:r>
      <w:r w:rsidR="00880100" w:rsidRPr="007A5789">
        <w:rPr>
          <w:sz w:val="21"/>
        </w:rPr>
        <w:t>(</w:t>
      </w:r>
      <w:r w:rsidRPr="007A5789">
        <w:rPr>
          <w:sz w:val="21"/>
        </w:rPr>
        <w:t>ii</w:t>
      </w:r>
      <w:r w:rsidR="00880100" w:rsidRPr="007A5789">
        <w:rPr>
          <w:sz w:val="21"/>
        </w:rPr>
        <w:t>)</w:t>
      </w:r>
      <w:r w:rsidRPr="007A5789">
        <w:rPr>
          <w:sz w:val="21"/>
        </w:rPr>
        <w:t>的约束下的回报率。本组织的目标是在适当及可能的情况下实现经营和核心现金的市场回报率。</w:t>
      </w:r>
    </w:p>
    <w:p w:rsidR="004D1B13" w:rsidRPr="00C8425D" w:rsidRDefault="004D1B13" w:rsidP="00C8425D">
      <w:pPr>
        <w:keepNext/>
        <w:overflowPunct w:val="0"/>
        <w:spacing w:beforeLines="100" w:before="240" w:afterLines="50" w:after="120" w:line="340" w:lineRule="atLeast"/>
        <w:rPr>
          <w:b/>
          <w:sz w:val="21"/>
        </w:rPr>
      </w:pPr>
      <w:r w:rsidRPr="00C8425D">
        <w:rPr>
          <w:b/>
          <w:sz w:val="21"/>
        </w:rPr>
        <w:t>WIPO的风险管理战略概述</w:t>
      </w:r>
    </w:p>
    <w:p w:rsidR="004D1B13" w:rsidRPr="007A5789" w:rsidRDefault="004D1B13" w:rsidP="00B6014B">
      <w:pPr>
        <w:pStyle w:val="ONUME"/>
        <w:tabs>
          <w:tab w:val="clear" w:pos="567"/>
        </w:tabs>
        <w:overflowPunct w:val="0"/>
        <w:spacing w:afterLines="50" w:after="120" w:line="340" w:lineRule="atLeast"/>
        <w:rPr>
          <w:sz w:val="21"/>
        </w:rPr>
      </w:pPr>
      <w:r w:rsidRPr="007A5789">
        <w:rPr>
          <w:sz w:val="21"/>
        </w:rPr>
        <w:t>WIPO的风险管理政策规定了本组织以一致且以商业为导向的方式管理风险和内部控制的方法，以支持实现战略目标和预期</w:t>
      </w:r>
      <w:r w:rsidR="004C2129" w:rsidRPr="007A5789">
        <w:rPr>
          <w:rFonts w:hint="eastAsia"/>
          <w:sz w:val="21"/>
        </w:rPr>
        <w:t>成果</w:t>
      </w:r>
      <w:r w:rsidRPr="007A5789">
        <w:rPr>
          <w:sz w:val="21"/>
        </w:rPr>
        <w:t>。</w:t>
      </w:r>
      <w:r w:rsidR="00AA0D2C" w:rsidRPr="007A5789">
        <w:rPr>
          <w:sz w:val="21"/>
        </w:rPr>
        <w:t>该政策</w:t>
      </w:r>
      <w:r w:rsidR="004C2129" w:rsidRPr="007A5789">
        <w:rPr>
          <w:sz w:val="21"/>
        </w:rPr>
        <w:t>以</w:t>
      </w:r>
      <w:r w:rsidRPr="007A5789">
        <w:rPr>
          <w:sz w:val="21"/>
        </w:rPr>
        <w:t>WIPO的</w:t>
      </w:r>
      <w:r w:rsidR="004C2129" w:rsidRPr="007A5789">
        <w:rPr>
          <w:rFonts w:hint="eastAsia"/>
          <w:sz w:val="21"/>
        </w:rPr>
        <w:t>《</w:t>
      </w:r>
      <w:r w:rsidRPr="007A5789">
        <w:rPr>
          <w:sz w:val="21"/>
        </w:rPr>
        <w:t>风险和内部控制管理手册</w:t>
      </w:r>
      <w:r w:rsidR="004C2129" w:rsidRPr="007A5789">
        <w:rPr>
          <w:rFonts w:hint="eastAsia"/>
          <w:sz w:val="21"/>
        </w:rPr>
        <w:t>》</w:t>
      </w:r>
      <w:r w:rsidRPr="007A5789">
        <w:rPr>
          <w:sz w:val="21"/>
        </w:rPr>
        <w:t>作为补充，涵盖风险及内部控制管理的日常操作细节。</w:t>
      </w:r>
      <w:r w:rsidR="00A623F8" w:rsidRPr="007A5789">
        <w:rPr>
          <w:sz w:val="21"/>
        </w:rPr>
        <w:t>WIPO的风险管理框架</w:t>
      </w:r>
      <w:r w:rsidR="00A67E56" w:rsidRPr="007A5789">
        <w:rPr>
          <w:sz w:val="21"/>
        </w:rPr>
        <w:t>由</w:t>
      </w:r>
      <w:r w:rsidRPr="007A5789">
        <w:rPr>
          <w:sz w:val="21"/>
        </w:rPr>
        <w:t>该政策</w:t>
      </w:r>
      <w:r w:rsidR="00A67E56" w:rsidRPr="007A5789">
        <w:rPr>
          <w:rFonts w:hint="eastAsia"/>
          <w:sz w:val="21"/>
        </w:rPr>
        <w:t>、</w:t>
      </w:r>
      <w:r w:rsidR="00A67E56" w:rsidRPr="007A5789">
        <w:rPr>
          <w:sz w:val="21"/>
        </w:rPr>
        <w:t>该</w:t>
      </w:r>
      <w:r w:rsidRPr="007A5789">
        <w:rPr>
          <w:sz w:val="21"/>
        </w:rPr>
        <w:t>手册</w:t>
      </w:r>
      <w:r w:rsidR="00A67E56" w:rsidRPr="007A5789">
        <w:rPr>
          <w:rFonts w:hint="eastAsia"/>
          <w:sz w:val="21"/>
        </w:rPr>
        <w:t>、</w:t>
      </w:r>
      <w:r w:rsidRPr="007A5789">
        <w:rPr>
          <w:sz w:val="21"/>
        </w:rPr>
        <w:t>组织安排、职责确立</w:t>
      </w:r>
      <w:r w:rsidR="00A67E56" w:rsidRPr="007A5789">
        <w:rPr>
          <w:sz w:val="21"/>
        </w:rPr>
        <w:t>以及</w:t>
      </w:r>
      <w:r w:rsidRPr="007A5789">
        <w:rPr>
          <w:sz w:val="21"/>
        </w:rPr>
        <w:t>风险和内部控制</w:t>
      </w:r>
      <w:r w:rsidR="00A623F8" w:rsidRPr="007A5789">
        <w:rPr>
          <w:sz w:val="21"/>
        </w:rPr>
        <w:t>管理</w:t>
      </w:r>
      <w:r w:rsidRPr="007A5789">
        <w:rPr>
          <w:sz w:val="21"/>
        </w:rPr>
        <w:t>流程及活动</w:t>
      </w:r>
      <w:r w:rsidR="00A623F8" w:rsidRPr="007A5789">
        <w:rPr>
          <w:sz w:val="21"/>
        </w:rPr>
        <w:t>共同</w:t>
      </w:r>
      <w:r w:rsidRPr="007A5789">
        <w:rPr>
          <w:sz w:val="21"/>
        </w:rPr>
        <w:t>构成。</w:t>
      </w:r>
    </w:p>
    <w:p w:rsidR="005B0337" w:rsidRPr="007A5789" w:rsidRDefault="00A228C0" w:rsidP="00B6014B">
      <w:pPr>
        <w:pStyle w:val="ONUME"/>
        <w:tabs>
          <w:tab w:val="clear" w:pos="567"/>
        </w:tabs>
        <w:overflowPunct w:val="0"/>
        <w:spacing w:afterLines="50" w:after="120" w:line="340" w:lineRule="atLeast"/>
        <w:rPr>
          <w:sz w:val="21"/>
        </w:rPr>
      </w:pPr>
      <w:r w:rsidRPr="007A5789">
        <w:rPr>
          <w:sz w:val="21"/>
        </w:rPr>
        <w:t>根据WIPO风险管理政策的指导原则，风险管理被视为整个组织的职责。所有工作人员均负责管理风险，风险管理的最终责任由高管团队承担。战略或组织层面的风险由WIPO的风险管理</w:t>
      </w:r>
      <w:r w:rsidR="00AB6919">
        <w:rPr>
          <w:rFonts w:hint="eastAsia"/>
          <w:sz w:val="21"/>
        </w:rPr>
        <w:t>组</w:t>
      </w:r>
      <w:r w:rsidR="00816F5D" w:rsidRPr="007A5789">
        <w:rPr>
          <w:sz w:val="21"/>
        </w:rPr>
        <w:t>进行</w:t>
      </w:r>
      <w:r w:rsidRPr="007A5789">
        <w:rPr>
          <w:sz w:val="21"/>
        </w:rPr>
        <w:t>识别</w:t>
      </w:r>
      <w:r w:rsidR="00816F5D" w:rsidRPr="007A5789">
        <w:rPr>
          <w:rFonts w:hint="eastAsia"/>
          <w:sz w:val="21"/>
        </w:rPr>
        <w:t>和</w:t>
      </w:r>
      <w:r w:rsidRPr="007A5789">
        <w:rPr>
          <w:sz w:val="21"/>
        </w:rPr>
        <w:t>评估。风险管理</w:t>
      </w:r>
      <w:r w:rsidR="00AB6919">
        <w:rPr>
          <w:rFonts w:hint="eastAsia"/>
          <w:sz w:val="21"/>
        </w:rPr>
        <w:t>组</w:t>
      </w:r>
      <w:r w:rsidRPr="007A5789">
        <w:rPr>
          <w:sz w:val="21"/>
        </w:rPr>
        <w:t>由总干事主持。风险管理</w:t>
      </w:r>
      <w:r w:rsidR="008878D1" w:rsidRPr="007A5789">
        <w:rPr>
          <w:rFonts w:hint="eastAsia"/>
          <w:sz w:val="21"/>
        </w:rPr>
        <w:t>是</w:t>
      </w:r>
      <w:r w:rsidR="008878D1" w:rsidRPr="007A5789">
        <w:rPr>
          <w:sz w:val="21"/>
        </w:rPr>
        <w:t>作为</w:t>
      </w:r>
      <w:r w:rsidRPr="007A5789">
        <w:rPr>
          <w:sz w:val="21"/>
        </w:rPr>
        <w:t>本组织</w:t>
      </w:r>
      <w:r w:rsidR="00AB6919">
        <w:rPr>
          <w:rFonts w:hint="eastAsia"/>
          <w:sz w:val="21"/>
        </w:rPr>
        <w:t>成果管理制</w:t>
      </w:r>
      <w:r w:rsidRPr="007A5789">
        <w:rPr>
          <w:sz w:val="21"/>
        </w:rPr>
        <w:t>周期不可分割的一部分</w:t>
      </w:r>
      <w:r w:rsidR="008878D1" w:rsidRPr="007A5789">
        <w:rPr>
          <w:sz w:val="21"/>
        </w:rPr>
        <w:t>来履行的</w:t>
      </w:r>
      <w:r w:rsidRPr="007A5789">
        <w:rPr>
          <w:sz w:val="21"/>
        </w:rPr>
        <w:t>。风险管理战略</w:t>
      </w:r>
      <w:r w:rsidR="00A05103" w:rsidRPr="007A5789">
        <w:rPr>
          <w:rFonts w:hint="eastAsia"/>
          <w:sz w:val="21"/>
        </w:rPr>
        <w:t>以</w:t>
      </w:r>
      <w:r w:rsidRPr="007A5789">
        <w:rPr>
          <w:sz w:val="21"/>
        </w:rPr>
        <w:t>成员国在WIPO</w:t>
      </w:r>
      <w:r w:rsidR="008878D1" w:rsidRPr="007A5789">
        <w:rPr>
          <w:rFonts w:hint="eastAsia"/>
          <w:sz w:val="21"/>
        </w:rPr>
        <w:t>《</w:t>
      </w:r>
      <w:r w:rsidRPr="007A5789">
        <w:rPr>
          <w:sz w:val="21"/>
        </w:rPr>
        <w:t>风险偏好声明</w:t>
      </w:r>
      <w:r w:rsidR="008878D1" w:rsidRPr="007A5789">
        <w:rPr>
          <w:rFonts w:hint="eastAsia"/>
          <w:sz w:val="21"/>
        </w:rPr>
        <w:t>》</w:t>
      </w:r>
      <w:r w:rsidRPr="007A5789">
        <w:rPr>
          <w:sz w:val="21"/>
        </w:rPr>
        <w:t>中规定的风险偏好</w:t>
      </w:r>
      <w:r w:rsidR="00EE7591" w:rsidRPr="007A5789">
        <w:rPr>
          <w:rFonts w:hint="eastAsia"/>
          <w:sz w:val="21"/>
        </w:rPr>
        <w:t>作</w:t>
      </w:r>
      <w:r w:rsidRPr="007A5789">
        <w:rPr>
          <w:sz w:val="21"/>
        </w:rPr>
        <w:t>为指导。</w:t>
      </w:r>
    </w:p>
    <w:p w:rsidR="00D47896" w:rsidRPr="00C8425D" w:rsidRDefault="00D47896" w:rsidP="00C8425D">
      <w:pPr>
        <w:keepNext/>
        <w:overflowPunct w:val="0"/>
        <w:spacing w:beforeLines="100" w:before="240" w:afterLines="50" w:after="120" w:line="340" w:lineRule="atLeast"/>
        <w:rPr>
          <w:b/>
          <w:sz w:val="21"/>
        </w:rPr>
      </w:pPr>
      <w:r w:rsidRPr="00C8425D">
        <w:rPr>
          <w:b/>
          <w:sz w:val="21"/>
        </w:rPr>
        <w:t>财务报表概述</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按照IPSAS编制的财务报表包括：</w:t>
      </w:r>
    </w:p>
    <w:p w:rsidR="00D47896" w:rsidRPr="007A5789" w:rsidRDefault="00D4789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u w:val="single"/>
        </w:rPr>
        <w:t>财务状况表</w:t>
      </w:r>
      <w:r w:rsidRPr="007A5789">
        <w:rPr>
          <w:sz w:val="21"/>
        </w:rPr>
        <w:t>详细描述本组织的净资产</w:t>
      </w:r>
      <w:r w:rsidR="00B6014B">
        <w:rPr>
          <w:sz w:val="21"/>
        </w:rPr>
        <w:t>（</w:t>
      </w:r>
      <w:r w:rsidRPr="007A5789">
        <w:rPr>
          <w:sz w:val="21"/>
        </w:rPr>
        <w:t>总资产和总负债之差</w:t>
      </w:r>
      <w:r w:rsidR="00B6014B">
        <w:rPr>
          <w:sz w:val="21"/>
        </w:rPr>
        <w:t>）</w:t>
      </w:r>
      <w:r w:rsidRPr="007A5789">
        <w:rPr>
          <w:sz w:val="21"/>
        </w:rPr>
        <w:t>。该报表提供了本组织财务实力以及可用于支持其未来目标的资源的信息；</w:t>
      </w:r>
    </w:p>
    <w:p w:rsidR="00D47896" w:rsidRPr="007A5789" w:rsidRDefault="00D4789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u w:val="single"/>
        </w:rPr>
        <w:t>财务执行情况表</w:t>
      </w:r>
      <w:r w:rsidRPr="007A5789">
        <w:rPr>
          <w:sz w:val="21"/>
        </w:rPr>
        <w:t>衡量当年的净盈余或赤字</w:t>
      </w:r>
      <w:r w:rsidR="00B6014B">
        <w:rPr>
          <w:sz w:val="21"/>
        </w:rPr>
        <w:t>（</w:t>
      </w:r>
      <w:r w:rsidRPr="007A5789">
        <w:rPr>
          <w:sz w:val="21"/>
        </w:rPr>
        <w:t>总收入和总支出之差</w:t>
      </w:r>
      <w:r w:rsidR="00B6014B">
        <w:rPr>
          <w:sz w:val="21"/>
        </w:rPr>
        <w:t>）</w:t>
      </w:r>
      <w:r w:rsidRPr="007A5789">
        <w:rPr>
          <w:sz w:val="21"/>
        </w:rPr>
        <w:t>。该报表提供了本组织收入来源及活动开支的信息。年度盈余或赤字按照完全的权责发生制呈报，在本期产生的收入和支出都纳入账目，不管相关的现金</w:t>
      </w:r>
      <w:proofErr w:type="gramStart"/>
      <w:r w:rsidRPr="007A5789">
        <w:rPr>
          <w:sz w:val="21"/>
        </w:rPr>
        <w:t>何时实际</w:t>
      </w:r>
      <w:proofErr w:type="gramEnd"/>
      <w:r w:rsidRPr="007A5789">
        <w:rPr>
          <w:sz w:val="21"/>
        </w:rPr>
        <w:t>收到或支付；</w:t>
      </w:r>
    </w:p>
    <w:p w:rsidR="00D47896" w:rsidRPr="007A5789" w:rsidRDefault="00D4789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u w:val="single"/>
        </w:rPr>
        <w:t>净资产变动表</w:t>
      </w:r>
      <w:r w:rsidRPr="007A5789">
        <w:rPr>
          <w:sz w:val="21"/>
        </w:rPr>
        <w:t>明</w:t>
      </w:r>
      <w:proofErr w:type="gramStart"/>
      <w:r w:rsidRPr="007A5789">
        <w:rPr>
          <w:sz w:val="21"/>
        </w:rPr>
        <w:t>确当年</w:t>
      </w:r>
      <w:proofErr w:type="gramEnd"/>
      <w:r w:rsidRPr="007A5789">
        <w:rPr>
          <w:sz w:val="21"/>
        </w:rPr>
        <w:t>的净资产变动情况。该报表显示本组织总体财务状况的变动来源，包括本期盈余或赤字引起的变动；</w:t>
      </w:r>
    </w:p>
    <w:p w:rsidR="00D47896" w:rsidRPr="007A5789" w:rsidRDefault="00D4789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u w:val="single"/>
        </w:rPr>
        <w:lastRenderedPageBreak/>
        <w:t>现金流量表</w:t>
      </w:r>
      <w:r w:rsidRPr="007A5789">
        <w:rPr>
          <w:sz w:val="21"/>
        </w:rPr>
        <w:t>呈报当年的运营、投资和融资活动所带来的现金流动情况。该报表提供了当年的现金筹集和使用情况的信息，包括借款和还款以及固定资产的购置和出售。与财务执行情况表不同的是，现金流量表衡量流入本组织的现金和流出现金之差；</w:t>
      </w:r>
    </w:p>
    <w:p w:rsidR="00D47896" w:rsidRPr="007A5789" w:rsidRDefault="00D4789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u w:val="single"/>
        </w:rPr>
        <w:t>预算与实际对比表</w:t>
      </w:r>
      <w:r w:rsidRPr="007A5789">
        <w:rPr>
          <w:sz w:val="21"/>
        </w:rPr>
        <w:t>呈报计划和预算下的预算额和当年实际发生额之间的对比。该报表按预算制编制，这是一种修正的权责发生制，反映了资源的获取和使用在多大程度上按照核准的预算进行；</w:t>
      </w:r>
    </w:p>
    <w:p w:rsidR="00D47896" w:rsidRPr="007A5789" w:rsidRDefault="00D4789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u w:val="single"/>
        </w:rPr>
        <w:t>财务报表附注</w:t>
      </w:r>
      <w:r w:rsidRPr="007A5789">
        <w:rPr>
          <w:sz w:val="21"/>
        </w:rPr>
        <w:t>帮助理解主要的财务报表。附注包括重大会计政策的概述及其他解释性信息，同时也披露IPSAS要求的、在主要财务报表中未直接载明的信息。</w:t>
      </w:r>
    </w:p>
    <w:p w:rsidR="00D47896" w:rsidRPr="00C8425D" w:rsidRDefault="00D47896" w:rsidP="00C8425D">
      <w:pPr>
        <w:keepNext/>
        <w:overflowPunct w:val="0"/>
        <w:spacing w:beforeLines="100" w:before="240" w:afterLines="50" w:after="120" w:line="340" w:lineRule="atLeast"/>
        <w:rPr>
          <w:b/>
          <w:sz w:val="21"/>
        </w:rPr>
      </w:pPr>
      <w:r w:rsidRPr="00C8425D">
        <w:rPr>
          <w:b/>
          <w:sz w:val="21"/>
        </w:rPr>
        <w:t>财务报表要点</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根据IPASA编制的2015年WIPO财务报表显示，当年盈余为3,330</w:t>
      </w:r>
      <w:proofErr w:type="gramStart"/>
      <w:r w:rsidRPr="007A5789">
        <w:rPr>
          <w:sz w:val="21"/>
        </w:rPr>
        <w:t>万瑞</w:t>
      </w:r>
      <w:proofErr w:type="gramEnd"/>
      <w:r w:rsidRPr="007A5789">
        <w:rPr>
          <w:sz w:val="21"/>
        </w:rPr>
        <w:t>郎，相应的净资产从2014年的2.458亿瑞郎增加到截至2015年12月31日的2.791亿瑞郎。</w:t>
      </w:r>
    </w:p>
    <w:p w:rsidR="00D47896" w:rsidRPr="007A5789" w:rsidRDefault="00646AC3" w:rsidP="00B6014B">
      <w:pPr>
        <w:pStyle w:val="ONUME"/>
        <w:tabs>
          <w:tab w:val="clear" w:pos="567"/>
        </w:tabs>
        <w:overflowPunct w:val="0"/>
        <w:spacing w:afterLines="50" w:after="120" w:line="340" w:lineRule="atLeast"/>
        <w:rPr>
          <w:sz w:val="21"/>
        </w:rPr>
      </w:pPr>
      <w:r w:rsidRPr="007A5789">
        <w:rPr>
          <w:sz w:val="21"/>
        </w:rPr>
        <w:t>2015年盈余为3,330</w:t>
      </w:r>
      <w:proofErr w:type="gramStart"/>
      <w:r w:rsidRPr="007A5789">
        <w:rPr>
          <w:sz w:val="21"/>
        </w:rPr>
        <w:t>万瑞</w:t>
      </w:r>
      <w:proofErr w:type="gramEnd"/>
      <w:r w:rsidRPr="007A5789">
        <w:rPr>
          <w:sz w:val="21"/>
        </w:rPr>
        <w:t>郎，与2014年3,700</w:t>
      </w:r>
      <w:proofErr w:type="gramStart"/>
      <w:r w:rsidRPr="007A5789">
        <w:rPr>
          <w:sz w:val="21"/>
        </w:rPr>
        <w:t>万瑞</w:t>
      </w:r>
      <w:proofErr w:type="gramEnd"/>
      <w:r w:rsidRPr="007A5789">
        <w:rPr>
          <w:sz w:val="21"/>
        </w:rPr>
        <w:t>郎的盈余不相上下。与2014年数据相比，2015年的总收入增长了1,170</w:t>
      </w:r>
      <w:proofErr w:type="gramStart"/>
      <w:r w:rsidRPr="007A5789">
        <w:rPr>
          <w:sz w:val="21"/>
        </w:rPr>
        <w:t>万瑞</w:t>
      </w:r>
      <w:proofErr w:type="gramEnd"/>
      <w:r w:rsidRPr="007A5789">
        <w:rPr>
          <w:sz w:val="21"/>
        </w:rPr>
        <w:t>郎，主要因为马德里体系费用收入增加了1,280</w:t>
      </w:r>
      <w:proofErr w:type="gramStart"/>
      <w:r w:rsidRPr="007A5789">
        <w:rPr>
          <w:sz w:val="21"/>
        </w:rPr>
        <w:t>万瑞</w:t>
      </w:r>
      <w:proofErr w:type="gramEnd"/>
      <w:r w:rsidRPr="007A5789">
        <w:rPr>
          <w:sz w:val="21"/>
        </w:rPr>
        <w:t>郎。和2014年相比，总支出增加了1,540</w:t>
      </w:r>
      <w:proofErr w:type="gramStart"/>
      <w:r w:rsidRPr="007A5789">
        <w:rPr>
          <w:sz w:val="21"/>
        </w:rPr>
        <w:t>万瑞</w:t>
      </w:r>
      <w:proofErr w:type="gramEnd"/>
      <w:r w:rsidRPr="007A5789">
        <w:rPr>
          <w:sz w:val="21"/>
        </w:rPr>
        <w:t>郎。虽然人事支出同比保持相对稳定，但几乎所有其他支出类别均增加，最显著的是</w:t>
      </w:r>
      <w:r w:rsidR="00BD2A86" w:rsidRPr="007A5789">
        <w:rPr>
          <w:sz w:val="21"/>
        </w:rPr>
        <w:t>2015年的</w:t>
      </w:r>
      <w:r w:rsidRPr="007A5789">
        <w:rPr>
          <w:sz w:val="21"/>
        </w:rPr>
        <w:t>订约承办事务较2014年增加了850</w:t>
      </w:r>
      <w:proofErr w:type="gramStart"/>
      <w:r w:rsidRPr="007A5789">
        <w:rPr>
          <w:sz w:val="21"/>
        </w:rPr>
        <w:t>万瑞</w:t>
      </w:r>
      <w:proofErr w:type="gramEnd"/>
      <w:r w:rsidRPr="007A5789">
        <w:rPr>
          <w:sz w:val="21"/>
        </w:rPr>
        <w:t>郎。</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WIPO的总资产从截至2014年12月31日的9.694亿瑞</w:t>
      </w:r>
      <w:proofErr w:type="gramStart"/>
      <w:r w:rsidRPr="007A5789">
        <w:rPr>
          <w:sz w:val="21"/>
        </w:rPr>
        <w:t>郎增长</w:t>
      </w:r>
      <w:proofErr w:type="gramEnd"/>
      <w:r w:rsidRPr="007A5789">
        <w:rPr>
          <w:sz w:val="21"/>
        </w:rPr>
        <w:t>至截至2015年12月31日的9.77亿瑞郎。截至2015年底，现金及现金等价物共计4.895亿瑞郎</w:t>
      </w:r>
      <w:r w:rsidR="00B6014B">
        <w:rPr>
          <w:sz w:val="21"/>
        </w:rPr>
        <w:t>（</w:t>
      </w:r>
      <w:r w:rsidRPr="007A5789">
        <w:rPr>
          <w:sz w:val="21"/>
        </w:rPr>
        <w:t>占总资产的50.1%</w:t>
      </w:r>
      <w:r w:rsidR="00B6014B">
        <w:rPr>
          <w:sz w:val="21"/>
        </w:rPr>
        <w:t>）</w:t>
      </w:r>
      <w:r w:rsidRPr="007A5789">
        <w:rPr>
          <w:sz w:val="21"/>
        </w:rPr>
        <w:t>。较上年增长1,500</w:t>
      </w:r>
      <w:proofErr w:type="gramStart"/>
      <w:r w:rsidRPr="007A5789">
        <w:rPr>
          <w:sz w:val="21"/>
        </w:rPr>
        <w:t>万瑞</w:t>
      </w:r>
      <w:proofErr w:type="gramEnd"/>
      <w:r w:rsidRPr="007A5789">
        <w:rPr>
          <w:sz w:val="21"/>
        </w:rPr>
        <w:t>郎，尽管本组织于2015年11月一次性偿还了2,400</w:t>
      </w:r>
      <w:proofErr w:type="gramStart"/>
      <w:r w:rsidRPr="007A5789">
        <w:rPr>
          <w:sz w:val="21"/>
        </w:rPr>
        <w:t>万瑞</w:t>
      </w:r>
      <w:proofErr w:type="gramEnd"/>
      <w:r w:rsidRPr="007A5789">
        <w:rPr>
          <w:sz w:val="21"/>
        </w:rPr>
        <w:t>郎的贷款。WIPO保持了相当多的固定资产投资，包括土地、楼宇、投资财产、无形资产和设备，账面净值总额为4.178亿瑞郎</w:t>
      </w:r>
      <w:r w:rsidR="00B6014B">
        <w:rPr>
          <w:sz w:val="21"/>
        </w:rPr>
        <w:t>（</w:t>
      </w:r>
      <w:r w:rsidRPr="007A5789">
        <w:rPr>
          <w:sz w:val="21"/>
        </w:rPr>
        <w:t>占总资产的42.8%</w:t>
      </w:r>
      <w:r w:rsidR="00B6014B">
        <w:rPr>
          <w:sz w:val="21"/>
        </w:rPr>
        <w:t>）</w:t>
      </w:r>
      <w:r w:rsidRPr="007A5789">
        <w:rPr>
          <w:sz w:val="21"/>
        </w:rPr>
        <w:t>。2015年继续投资固定资产，包括增加620</w:t>
      </w:r>
      <w:proofErr w:type="gramStart"/>
      <w:r w:rsidRPr="007A5789">
        <w:rPr>
          <w:sz w:val="21"/>
        </w:rPr>
        <w:t>万瑞</w:t>
      </w:r>
      <w:proofErr w:type="gramEnd"/>
      <w:r w:rsidRPr="007A5789">
        <w:rPr>
          <w:sz w:val="21"/>
        </w:rPr>
        <w:t>郎的楼宇及建筑投资。新会议厅于2014年9月投入使用，内部及周边的一些剩余工程于2015年完工。安保</w:t>
      </w:r>
      <w:r w:rsidR="001723AF" w:rsidRPr="007A5789">
        <w:rPr>
          <w:rFonts w:hint="eastAsia"/>
          <w:sz w:val="21"/>
        </w:rPr>
        <w:t>施工</w:t>
      </w:r>
      <w:r w:rsidRPr="007A5789">
        <w:rPr>
          <w:sz w:val="21"/>
        </w:rPr>
        <w:t>项目也于2015年完工，包括新登记中心、安全运营中心及安全</w:t>
      </w:r>
      <w:r w:rsidR="00667384" w:rsidRPr="007A5789">
        <w:rPr>
          <w:rFonts w:hint="eastAsia"/>
          <w:sz w:val="21"/>
        </w:rPr>
        <w:t>边界</w:t>
      </w:r>
      <w:r w:rsidRPr="007A5789">
        <w:rPr>
          <w:sz w:val="21"/>
        </w:rPr>
        <w:t>。</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截至2015年12月31日，本组织的主要负债是3.598亿瑞郎的应付及预收账款</w:t>
      </w:r>
      <w:r w:rsidR="00B6014B">
        <w:rPr>
          <w:sz w:val="21"/>
        </w:rPr>
        <w:t>（</w:t>
      </w:r>
      <w:r w:rsidRPr="007A5789">
        <w:rPr>
          <w:sz w:val="21"/>
        </w:rPr>
        <w:t>占总负债的51.5%</w:t>
      </w:r>
      <w:r w:rsidR="00B6014B">
        <w:rPr>
          <w:sz w:val="21"/>
        </w:rPr>
        <w:t>）</w:t>
      </w:r>
      <w:r w:rsidRPr="007A5789">
        <w:rPr>
          <w:sz w:val="21"/>
        </w:rPr>
        <w:t>以及1.715亿瑞郎的雇员福利负债</w:t>
      </w:r>
      <w:r w:rsidR="00B6014B">
        <w:rPr>
          <w:sz w:val="21"/>
        </w:rPr>
        <w:t>（</w:t>
      </w:r>
      <w:r w:rsidRPr="007A5789">
        <w:rPr>
          <w:sz w:val="21"/>
        </w:rPr>
        <w:t>占总负债的24.6%</w:t>
      </w:r>
      <w:r w:rsidR="00B6014B">
        <w:rPr>
          <w:sz w:val="21"/>
        </w:rPr>
        <w:t>）</w:t>
      </w:r>
      <w:r w:rsidRPr="007A5789">
        <w:rPr>
          <w:sz w:val="21"/>
        </w:rPr>
        <w:t>。截至2015年底，总借款为1.1亿瑞郎，而2014年底为1.392亿瑞郎。除了定期的年度贷款偿还，如上所述，2015年本组织还一次性偿还了2,400</w:t>
      </w:r>
      <w:proofErr w:type="gramStart"/>
      <w:r w:rsidRPr="007A5789">
        <w:rPr>
          <w:sz w:val="21"/>
        </w:rPr>
        <w:t>万瑞</w:t>
      </w:r>
      <w:proofErr w:type="gramEnd"/>
      <w:r w:rsidRPr="007A5789">
        <w:rPr>
          <w:sz w:val="21"/>
        </w:rPr>
        <w:t>郎贷款。</w:t>
      </w:r>
    </w:p>
    <w:p w:rsidR="0016766F" w:rsidRPr="007A5789" w:rsidRDefault="00700881" w:rsidP="00B6014B">
      <w:pPr>
        <w:pStyle w:val="ONUME"/>
        <w:tabs>
          <w:tab w:val="clear" w:pos="567"/>
        </w:tabs>
        <w:overflowPunct w:val="0"/>
        <w:spacing w:afterLines="50" w:after="120" w:line="340" w:lineRule="atLeast"/>
        <w:rPr>
          <w:sz w:val="21"/>
        </w:rPr>
      </w:pPr>
      <w:r w:rsidRPr="007A5789">
        <w:rPr>
          <w:sz w:val="21"/>
        </w:rPr>
        <w:t>截至2015年底，本组织的净资产共计2.791亿瑞郎，包括储备金及周转基金。WIPO的储备</w:t>
      </w:r>
      <w:proofErr w:type="gramStart"/>
      <w:r w:rsidRPr="007A5789">
        <w:rPr>
          <w:sz w:val="21"/>
        </w:rPr>
        <w:t>金政策</w:t>
      </w:r>
      <w:proofErr w:type="gramEnd"/>
      <w:r w:rsidRPr="007A5789">
        <w:rPr>
          <w:sz w:val="21"/>
        </w:rPr>
        <w:t>在2015年经过修改，修改内容包括建立一</w:t>
      </w:r>
      <w:r w:rsidR="009B5B06" w:rsidRPr="007A5789">
        <w:rPr>
          <w:rFonts w:hint="eastAsia"/>
          <w:sz w:val="21"/>
        </w:rPr>
        <w:t>项</w:t>
      </w:r>
      <w:r w:rsidRPr="007A5789">
        <w:rPr>
          <w:sz w:val="21"/>
        </w:rPr>
        <w:t>独立的可动用储备金的</w:t>
      </w:r>
      <w:r w:rsidR="00AB6919">
        <w:rPr>
          <w:sz w:val="21"/>
        </w:rPr>
        <w:t>特别项目</w:t>
      </w:r>
      <w:r w:rsidRPr="007A5789">
        <w:rPr>
          <w:sz w:val="21"/>
        </w:rPr>
        <w:t>储备金。该储备金目前在财务报表中单独呈报。</w:t>
      </w:r>
      <w:r w:rsidR="00AB6919">
        <w:rPr>
          <w:sz w:val="21"/>
        </w:rPr>
        <w:t>特别项目</w:t>
      </w:r>
      <w:r w:rsidRPr="007A5789">
        <w:rPr>
          <w:sz w:val="21"/>
        </w:rPr>
        <w:t>储备金包含储备金对项目的拨款减去累计支出。截至2015年12月31日，余额为2,370</w:t>
      </w:r>
      <w:proofErr w:type="gramStart"/>
      <w:r w:rsidRPr="007A5789">
        <w:rPr>
          <w:sz w:val="21"/>
        </w:rPr>
        <w:t>万瑞</w:t>
      </w:r>
      <w:proofErr w:type="gramEnd"/>
      <w:r w:rsidRPr="007A5789">
        <w:rPr>
          <w:sz w:val="21"/>
        </w:rPr>
        <w:t>郎，代表已经批准的项目资金。</w:t>
      </w:r>
    </w:p>
    <w:p w:rsidR="00D47896" w:rsidRPr="00C8425D" w:rsidRDefault="00D47896" w:rsidP="00C8425D">
      <w:pPr>
        <w:keepNext/>
        <w:overflowPunct w:val="0"/>
        <w:spacing w:beforeLines="100" w:before="240" w:afterLines="50" w:after="120" w:line="340" w:lineRule="atLeast"/>
        <w:rPr>
          <w:b/>
          <w:sz w:val="21"/>
        </w:rPr>
      </w:pPr>
      <w:r w:rsidRPr="00C8425D">
        <w:rPr>
          <w:b/>
          <w:sz w:val="21"/>
        </w:rPr>
        <w:t>财务执行情况</w:t>
      </w:r>
    </w:p>
    <w:p w:rsidR="005F1034" w:rsidRPr="007A5789" w:rsidRDefault="00D47896" w:rsidP="00B6014B">
      <w:pPr>
        <w:pStyle w:val="ONUME"/>
        <w:tabs>
          <w:tab w:val="clear" w:pos="567"/>
        </w:tabs>
        <w:overflowPunct w:val="0"/>
        <w:spacing w:afterLines="50" w:after="120" w:line="340" w:lineRule="atLeast"/>
        <w:rPr>
          <w:sz w:val="21"/>
        </w:rPr>
      </w:pPr>
      <w:r w:rsidRPr="007A5789">
        <w:rPr>
          <w:sz w:val="21"/>
        </w:rPr>
        <w:t>本组织2015年的结果显示，当年盈余3,330</w:t>
      </w:r>
      <w:proofErr w:type="gramStart"/>
      <w:r w:rsidRPr="007A5789">
        <w:rPr>
          <w:sz w:val="21"/>
        </w:rPr>
        <w:t>万瑞</w:t>
      </w:r>
      <w:proofErr w:type="gramEnd"/>
      <w:r w:rsidRPr="007A5789">
        <w:rPr>
          <w:sz w:val="21"/>
        </w:rPr>
        <w:t>郎，总收入为3.819亿瑞郎，总支出为3.486亿瑞郎。相比之下，2014年盈余为3,700</w:t>
      </w:r>
      <w:proofErr w:type="gramStart"/>
      <w:r w:rsidRPr="007A5789">
        <w:rPr>
          <w:sz w:val="21"/>
        </w:rPr>
        <w:t>万瑞</w:t>
      </w:r>
      <w:proofErr w:type="gramEnd"/>
      <w:r w:rsidRPr="007A5789">
        <w:rPr>
          <w:sz w:val="21"/>
        </w:rPr>
        <w:t>郎，总收入为3.702亿瑞郎，总支出为3.332亿瑞郎。</w:t>
      </w:r>
    </w:p>
    <w:p w:rsidR="00FD1093" w:rsidRPr="007A5789" w:rsidRDefault="00D47896" w:rsidP="00B6014B">
      <w:pPr>
        <w:pStyle w:val="ONUME"/>
        <w:tabs>
          <w:tab w:val="clear" w:pos="567"/>
        </w:tabs>
        <w:overflowPunct w:val="0"/>
        <w:spacing w:afterLines="50" w:after="120" w:line="340" w:lineRule="atLeast"/>
        <w:rPr>
          <w:sz w:val="21"/>
        </w:rPr>
      </w:pPr>
      <w:r w:rsidRPr="007A5789">
        <w:rPr>
          <w:sz w:val="21"/>
        </w:rPr>
        <w:t>采用修正的权责发生制</w:t>
      </w:r>
      <w:r w:rsidR="00B6014B">
        <w:rPr>
          <w:sz w:val="21"/>
        </w:rPr>
        <w:t>（</w:t>
      </w:r>
      <w:r w:rsidRPr="007A5789">
        <w:rPr>
          <w:sz w:val="21"/>
        </w:rPr>
        <w:t>即</w:t>
      </w:r>
      <w:proofErr w:type="gramStart"/>
      <w:r w:rsidRPr="007A5789">
        <w:rPr>
          <w:sz w:val="21"/>
        </w:rPr>
        <w:t>未依据</w:t>
      </w:r>
      <w:proofErr w:type="gramEnd"/>
      <w:r w:rsidRPr="007A5789">
        <w:rPr>
          <w:sz w:val="21"/>
        </w:rPr>
        <w:t>IPSAS进行调整</w:t>
      </w:r>
      <w:r w:rsidR="00B6014B">
        <w:rPr>
          <w:sz w:val="21"/>
        </w:rPr>
        <w:t>）</w:t>
      </w:r>
      <w:r w:rsidRPr="007A5789">
        <w:rPr>
          <w:sz w:val="21"/>
        </w:rPr>
        <w:t>编制的2015年计划和预算结果为盈余6,320</w:t>
      </w:r>
      <w:proofErr w:type="gramStart"/>
      <w:r w:rsidRPr="007A5789">
        <w:rPr>
          <w:sz w:val="21"/>
        </w:rPr>
        <w:t>万瑞</w:t>
      </w:r>
      <w:proofErr w:type="gramEnd"/>
      <w:r w:rsidRPr="007A5789">
        <w:rPr>
          <w:sz w:val="21"/>
        </w:rPr>
        <w:t>郎。本组织2015年依据IPSAS进行核算的结果包括特别账户、由储备金资助的项目以及根据IPSAS标准采用完全的权责发生制进行相关调整产生的影响。</w:t>
      </w:r>
    </w:p>
    <w:p w:rsidR="001864CF" w:rsidRPr="007A5789" w:rsidRDefault="001864CF" w:rsidP="006A1075">
      <w:pPr>
        <w:pStyle w:val="ONUME"/>
        <w:keepNext/>
        <w:numPr>
          <w:ilvl w:val="0"/>
          <w:numId w:val="0"/>
        </w:numPr>
        <w:overflowPunct w:val="0"/>
        <w:spacing w:afterLines="50" w:after="120" w:line="340" w:lineRule="atLeast"/>
        <w:jc w:val="center"/>
        <w:rPr>
          <w:sz w:val="21"/>
          <w:u w:val="single"/>
        </w:rPr>
      </w:pPr>
      <w:proofErr w:type="gramStart"/>
      <w:r w:rsidRPr="007A5789">
        <w:rPr>
          <w:sz w:val="21"/>
          <w:u w:val="single"/>
        </w:rPr>
        <w:lastRenderedPageBreak/>
        <w:t>按供资</w:t>
      </w:r>
      <w:proofErr w:type="gramEnd"/>
      <w:r w:rsidRPr="007A5789">
        <w:rPr>
          <w:sz w:val="21"/>
          <w:u w:val="single"/>
        </w:rPr>
        <w:t>来源开列的财务执行情况概览</w:t>
      </w:r>
    </w:p>
    <w:p w:rsidR="001864CF" w:rsidRPr="007A5789" w:rsidRDefault="006A1075" w:rsidP="006A1075">
      <w:pPr>
        <w:pStyle w:val="ONUME"/>
        <w:numPr>
          <w:ilvl w:val="0"/>
          <w:numId w:val="0"/>
        </w:numPr>
        <w:spacing w:afterLines="50" w:after="120" w:line="340" w:lineRule="atLeast"/>
        <w:jc w:val="center"/>
        <w:rPr>
          <w:sz w:val="21"/>
        </w:rPr>
      </w:pPr>
      <w:r w:rsidRPr="00EF7E79">
        <w:rPr>
          <w:noProof/>
          <w:sz w:val="21"/>
          <w:lang w:val="en-US" w:bidi="ar-SA"/>
        </w:rPr>
        <w:drawing>
          <wp:inline distT="0" distB="0" distL="0" distR="0" wp14:anchorId="5699DA45" wp14:editId="675778B5">
            <wp:extent cx="5940425" cy="1716851"/>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1716851"/>
                    </a:xfrm>
                    <a:prstGeom prst="rect">
                      <a:avLst/>
                    </a:prstGeom>
                    <a:noFill/>
                    <a:ln>
                      <a:noFill/>
                    </a:ln>
                  </pic:spPr>
                </pic:pic>
              </a:graphicData>
            </a:graphic>
          </wp:inline>
        </w:drawing>
      </w:r>
    </w:p>
    <w:p w:rsidR="0016766F" w:rsidRPr="007A5789" w:rsidRDefault="001864CF" w:rsidP="00B6014B">
      <w:pPr>
        <w:pStyle w:val="ONUME"/>
        <w:tabs>
          <w:tab w:val="clear" w:pos="567"/>
        </w:tabs>
        <w:overflowPunct w:val="0"/>
        <w:spacing w:afterLines="50" w:after="120" w:line="340" w:lineRule="atLeast"/>
        <w:rPr>
          <w:sz w:val="21"/>
        </w:rPr>
      </w:pPr>
      <w:r w:rsidRPr="007A5789">
        <w:rPr>
          <w:sz w:val="21"/>
        </w:rPr>
        <w:t>下图摘要说明了计划和预算的6,320</w:t>
      </w:r>
      <w:proofErr w:type="gramStart"/>
      <w:r w:rsidRPr="007A5789">
        <w:rPr>
          <w:sz w:val="21"/>
        </w:rPr>
        <w:t>万瑞</w:t>
      </w:r>
      <w:proofErr w:type="gramEnd"/>
      <w:r w:rsidRPr="007A5789">
        <w:rPr>
          <w:sz w:val="21"/>
        </w:rPr>
        <w:t>郎盈余和按照IPSAS编制的整个组织的3,330</w:t>
      </w:r>
      <w:proofErr w:type="gramStart"/>
      <w:r w:rsidRPr="007A5789">
        <w:rPr>
          <w:sz w:val="21"/>
        </w:rPr>
        <w:t>万瑞</w:t>
      </w:r>
      <w:proofErr w:type="gramEnd"/>
      <w:r w:rsidRPr="007A5789">
        <w:rPr>
          <w:sz w:val="21"/>
        </w:rPr>
        <w:t>郎盈余之间的主要差别。</w:t>
      </w:r>
    </w:p>
    <w:p w:rsidR="001864CF" w:rsidRPr="006A1075" w:rsidRDefault="00B125D6"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2015年从预算结果转向IPSAS结果</w:t>
      </w:r>
    </w:p>
    <w:p w:rsidR="007A5789" w:rsidRDefault="006A1075" w:rsidP="006A1075">
      <w:pPr>
        <w:spacing w:afterLines="50" w:after="120" w:line="340" w:lineRule="atLeast"/>
        <w:jc w:val="center"/>
        <w:rPr>
          <w:sz w:val="21"/>
        </w:rPr>
      </w:pPr>
      <w:r w:rsidRPr="00EF7E79">
        <w:rPr>
          <w:noProof/>
          <w:sz w:val="21"/>
          <w:lang w:val="en-US" w:bidi="ar-SA"/>
        </w:rPr>
        <w:drawing>
          <wp:inline distT="0" distB="0" distL="0" distR="0" wp14:anchorId="2A98DB37" wp14:editId="451E9523">
            <wp:extent cx="5940425" cy="3060847"/>
            <wp:effectExtent l="0" t="0" r="3175"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060847"/>
                    </a:xfrm>
                    <a:prstGeom prst="rect">
                      <a:avLst/>
                    </a:prstGeom>
                    <a:noFill/>
                    <a:ln>
                      <a:noFill/>
                    </a:ln>
                  </pic:spPr>
                </pic:pic>
              </a:graphicData>
            </a:graphic>
          </wp:inline>
        </w:drawing>
      </w:r>
    </w:p>
    <w:p w:rsidR="00B125D6" w:rsidRPr="007A5789" w:rsidRDefault="00B125D6" w:rsidP="00B6014B">
      <w:pPr>
        <w:pStyle w:val="ONUME"/>
        <w:tabs>
          <w:tab w:val="clear" w:pos="567"/>
        </w:tabs>
        <w:overflowPunct w:val="0"/>
        <w:spacing w:afterLines="50" w:after="120" w:line="340" w:lineRule="atLeast"/>
        <w:rPr>
          <w:sz w:val="21"/>
          <w:szCs w:val="22"/>
        </w:rPr>
      </w:pPr>
      <w:r w:rsidRPr="007A5789">
        <w:rPr>
          <w:sz w:val="21"/>
        </w:rPr>
        <w:t>按照IPSAS编制的WIPO财务报表包括整个组织的所有领域和活动。在采用IPSAS进行调整前，纳入结算的有特别账户</w:t>
      </w:r>
      <w:r w:rsidR="00B6014B">
        <w:rPr>
          <w:sz w:val="21"/>
        </w:rPr>
        <w:t>（</w:t>
      </w:r>
      <w:r w:rsidRPr="007A5789">
        <w:rPr>
          <w:sz w:val="21"/>
        </w:rPr>
        <w:t>赤字90</w:t>
      </w:r>
      <w:proofErr w:type="gramStart"/>
      <w:r w:rsidRPr="007A5789">
        <w:rPr>
          <w:sz w:val="21"/>
        </w:rPr>
        <w:t>万瑞</w:t>
      </w:r>
      <w:proofErr w:type="gramEnd"/>
      <w:r w:rsidRPr="007A5789">
        <w:rPr>
          <w:sz w:val="21"/>
        </w:rPr>
        <w:t>郎</w:t>
      </w:r>
      <w:r w:rsidR="00B6014B">
        <w:rPr>
          <w:sz w:val="21"/>
        </w:rPr>
        <w:t>）</w:t>
      </w:r>
      <w:r w:rsidRPr="007A5789">
        <w:rPr>
          <w:sz w:val="21"/>
        </w:rPr>
        <w:t>和储备金供资项目</w:t>
      </w:r>
      <w:r w:rsidR="00B6014B">
        <w:rPr>
          <w:sz w:val="21"/>
        </w:rPr>
        <w:t>（</w:t>
      </w:r>
      <w:r w:rsidRPr="007A5789">
        <w:rPr>
          <w:sz w:val="21"/>
        </w:rPr>
        <w:t>赤字510</w:t>
      </w:r>
      <w:proofErr w:type="gramStart"/>
      <w:r w:rsidRPr="007A5789">
        <w:rPr>
          <w:sz w:val="21"/>
        </w:rPr>
        <w:t>万瑞</w:t>
      </w:r>
      <w:proofErr w:type="gramEnd"/>
      <w:r w:rsidRPr="007A5789">
        <w:rPr>
          <w:sz w:val="21"/>
        </w:rPr>
        <w:t>郎</w:t>
      </w:r>
      <w:r w:rsidR="00B6014B">
        <w:rPr>
          <w:sz w:val="21"/>
        </w:rPr>
        <w:t>）</w:t>
      </w:r>
      <w:r w:rsidRPr="007A5789">
        <w:rPr>
          <w:sz w:val="21"/>
        </w:rPr>
        <w:t>。这构成了预算结算和按照IPSAS编制的财务报表盈余之间的</w:t>
      </w:r>
      <w:r w:rsidRPr="00F374B8">
        <w:rPr>
          <w:sz w:val="21"/>
        </w:rPr>
        <w:t>“</w:t>
      </w:r>
      <w:r w:rsidRPr="007A5789">
        <w:rPr>
          <w:sz w:val="21"/>
        </w:rPr>
        <w:t>实体差异</w:t>
      </w:r>
      <w:r w:rsidRPr="00F374B8">
        <w:rPr>
          <w:sz w:val="21"/>
        </w:rPr>
        <w:t>”</w:t>
      </w:r>
      <w:r w:rsidRPr="007A5789">
        <w:rPr>
          <w:sz w:val="21"/>
        </w:rPr>
        <w:t>。</w:t>
      </w:r>
    </w:p>
    <w:p w:rsidR="00B125D6" w:rsidRPr="007A5789" w:rsidRDefault="00B125D6" w:rsidP="00B6014B">
      <w:pPr>
        <w:pStyle w:val="ONUME"/>
        <w:tabs>
          <w:tab w:val="clear" w:pos="567"/>
        </w:tabs>
        <w:overflowPunct w:val="0"/>
        <w:spacing w:afterLines="50" w:after="120" w:line="340" w:lineRule="atLeast"/>
        <w:rPr>
          <w:sz w:val="21"/>
          <w:szCs w:val="22"/>
        </w:rPr>
      </w:pPr>
      <w:r w:rsidRPr="007A5789">
        <w:rPr>
          <w:sz w:val="21"/>
        </w:rPr>
        <w:t>按照IPSAS采用完全的权责发生制导致若干</w:t>
      </w:r>
      <w:r w:rsidRPr="00F374B8">
        <w:rPr>
          <w:sz w:val="21"/>
        </w:rPr>
        <w:t>“</w:t>
      </w:r>
      <w:r w:rsidRPr="007A5789">
        <w:rPr>
          <w:sz w:val="21"/>
        </w:rPr>
        <w:t>会计基准差异</w:t>
      </w:r>
      <w:r w:rsidRPr="00F374B8">
        <w:rPr>
          <w:sz w:val="21"/>
        </w:rPr>
        <w:t>”</w:t>
      </w:r>
      <w:r w:rsidRPr="007A5789">
        <w:rPr>
          <w:sz w:val="21"/>
        </w:rPr>
        <w:t>，从而影响到当年的结果。这些调整的</w:t>
      </w:r>
      <w:proofErr w:type="gramStart"/>
      <w:r w:rsidRPr="007A5789">
        <w:rPr>
          <w:sz w:val="21"/>
        </w:rPr>
        <w:t>净影响</w:t>
      </w:r>
      <w:proofErr w:type="gramEnd"/>
      <w:r w:rsidRPr="007A5789">
        <w:rPr>
          <w:sz w:val="21"/>
        </w:rPr>
        <w:t>是2,390</w:t>
      </w:r>
      <w:proofErr w:type="gramStart"/>
      <w:r w:rsidRPr="007A5789">
        <w:rPr>
          <w:sz w:val="21"/>
        </w:rPr>
        <w:t>万瑞</w:t>
      </w:r>
      <w:proofErr w:type="gramEnd"/>
      <w:r w:rsidRPr="007A5789">
        <w:rPr>
          <w:sz w:val="21"/>
        </w:rPr>
        <w:t>郎的赤字。</w:t>
      </w:r>
    </w:p>
    <w:p w:rsidR="00B125D6" w:rsidRPr="007A5789" w:rsidRDefault="00B125D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rPr>
        <w:t>根据IPSAS，只要符合捐赠协议的条件且支出按照工作计划发生，特别账户自愿捐款产生的收入</w:t>
      </w:r>
      <w:r w:rsidR="00935F88" w:rsidRPr="007A5789">
        <w:rPr>
          <w:sz w:val="21"/>
        </w:rPr>
        <w:t>即</w:t>
      </w:r>
      <w:r w:rsidRPr="007A5789">
        <w:rPr>
          <w:sz w:val="21"/>
        </w:rPr>
        <w:t>被确认。随之而来的调整导致</w:t>
      </w:r>
      <w:proofErr w:type="gramStart"/>
      <w:r w:rsidRPr="007A5789">
        <w:rPr>
          <w:sz w:val="21"/>
        </w:rPr>
        <w:t>当年业绩</w:t>
      </w:r>
      <w:proofErr w:type="gramEnd"/>
      <w:r w:rsidRPr="007A5789">
        <w:rPr>
          <w:sz w:val="21"/>
        </w:rPr>
        <w:t>增加90</w:t>
      </w:r>
      <w:proofErr w:type="gramStart"/>
      <w:r w:rsidRPr="007A5789">
        <w:rPr>
          <w:sz w:val="21"/>
        </w:rPr>
        <w:t>万瑞</w:t>
      </w:r>
      <w:proofErr w:type="gramEnd"/>
      <w:r w:rsidRPr="007A5789">
        <w:rPr>
          <w:sz w:val="21"/>
        </w:rPr>
        <w:t>郎。</w:t>
      </w:r>
    </w:p>
    <w:p w:rsidR="005E78ED" w:rsidRPr="007A5789" w:rsidRDefault="00B125D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rPr>
        <w:t>在采用IPSAS时，</w:t>
      </w:r>
      <w:proofErr w:type="gramStart"/>
      <w:r w:rsidRPr="007A5789">
        <w:rPr>
          <w:sz w:val="21"/>
        </w:rPr>
        <w:t>规费产生</w:t>
      </w:r>
      <w:proofErr w:type="gramEnd"/>
      <w:r w:rsidRPr="007A5789">
        <w:rPr>
          <w:sz w:val="21"/>
        </w:rPr>
        <w:t>的收入要递延到该笔</w:t>
      </w:r>
      <w:proofErr w:type="gramStart"/>
      <w:r w:rsidRPr="007A5789">
        <w:rPr>
          <w:sz w:val="21"/>
        </w:rPr>
        <w:t>规</w:t>
      </w:r>
      <w:proofErr w:type="gramEnd"/>
      <w:r w:rsidRPr="007A5789">
        <w:rPr>
          <w:sz w:val="21"/>
        </w:rPr>
        <w:t>费被认为已挣到时才入账。就国际申请而言，入账时间为最后公布日。在PCT申请方面，还确认了应收账款，即申请已经提交，但本组织尚未收到</w:t>
      </w:r>
      <w:proofErr w:type="gramStart"/>
      <w:r w:rsidRPr="007A5789">
        <w:rPr>
          <w:sz w:val="21"/>
        </w:rPr>
        <w:t>规</w:t>
      </w:r>
      <w:proofErr w:type="gramEnd"/>
      <w:r w:rsidRPr="007A5789">
        <w:rPr>
          <w:sz w:val="21"/>
        </w:rPr>
        <w:t>费。此外，WIPO还确认了与国际组织不动产基金会</w:t>
      </w:r>
      <w:r w:rsidR="00B6014B">
        <w:rPr>
          <w:sz w:val="21"/>
        </w:rPr>
        <w:t>（</w:t>
      </w:r>
      <w:r w:rsidRPr="007A5789">
        <w:rPr>
          <w:sz w:val="21"/>
        </w:rPr>
        <w:t>FIPOI</w:t>
      </w:r>
      <w:r w:rsidR="00B6014B">
        <w:rPr>
          <w:sz w:val="21"/>
        </w:rPr>
        <w:t>）</w:t>
      </w:r>
      <w:r w:rsidRPr="007A5789">
        <w:rPr>
          <w:sz w:val="21"/>
        </w:rPr>
        <w:t>为安保</w:t>
      </w:r>
      <w:r w:rsidR="004C4B86" w:rsidRPr="007A5789">
        <w:rPr>
          <w:sz w:val="21"/>
        </w:rPr>
        <w:t>施工</w:t>
      </w:r>
      <w:r w:rsidRPr="007A5789">
        <w:rPr>
          <w:sz w:val="21"/>
        </w:rPr>
        <w:t>供</w:t>
      </w:r>
      <w:proofErr w:type="gramStart"/>
      <w:r w:rsidRPr="007A5789">
        <w:rPr>
          <w:sz w:val="21"/>
        </w:rPr>
        <w:t>资相关</w:t>
      </w:r>
      <w:proofErr w:type="gramEnd"/>
      <w:r w:rsidRPr="007A5789">
        <w:rPr>
          <w:sz w:val="21"/>
        </w:rPr>
        <w:t>的递延收入。这些调整的</w:t>
      </w:r>
      <w:proofErr w:type="gramStart"/>
      <w:r w:rsidRPr="007A5789">
        <w:rPr>
          <w:sz w:val="21"/>
        </w:rPr>
        <w:t>净影响</w:t>
      </w:r>
      <w:proofErr w:type="gramEnd"/>
      <w:r w:rsidRPr="007A5789">
        <w:rPr>
          <w:sz w:val="21"/>
        </w:rPr>
        <w:t>是收入减少2,610</w:t>
      </w:r>
      <w:proofErr w:type="gramStart"/>
      <w:r w:rsidRPr="007A5789">
        <w:rPr>
          <w:sz w:val="21"/>
        </w:rPr>
        <w:t>万瑞</w:t>
      </w:r>
      <w:proofErr w:type="gramEnd"/>
      <w:r w:rsidRPr="007A5789">
        <w:rPr>
          <w:sz w:val="21"/>
        </w:rPr>
        <w:t>郎。这主要是因为</w:t>
      </w:r>
      <w:proofErr w:type="gramStart"/>
      <w:r w:rsidRPr="007A5789">
        <w:rPr>
          <w:sz w:val="21"/>
        </w:rPr>
        <w:t>规</w:t>
      </w:r>
      <w:proofErr w:type="gramEnd"/>
      <w:r w:rsidRPr="007A5789">
        <w:rPr>
          <w:sz w:val="21"/>
        </w:rPr>
        <w:t>费</w:t>
      </w:r>
      <w:r w:rsidR="00B6014B">
        <w:rPr>
          <w:sz w:val="21"/>
        </w:rPr>
        <w:t>（</w:t>
      </w:r>
      <w:r w:rsidRPr="007A5789">
        <w:rPr>
          <w:sz w:val="21"/>
        </w:rPr>
        <w:t>PCT、马德里及海牙体系</w:t>
      </w:r>
      <w:r w:rsidR="00B6014B">
        <w:rPr>
          <w:sz w:val="21"/>
        </w:rPr>
        <w:t>）</w:t>
      </w:r>
      <w:r w:rsidRPr="007A5789">
        <w:rPr>
          <w:sz w:val="21"/>
        </w:rPr>
        <w:t>递</w:t>
      </w:r>
      <w:proofErr w:type="gramStart"/>
      <w:r w:rsidRPr="007A5789">
        <w:rPr>
          <w:sz w:val="21"/>
        </w:rPr>
        <w:t>延收入</w:t>
      </w:r>
      <w:proofErr w:type="gramEnd"/>
      <w:r w:rsidRPr="007A5789">
        <w:rPr>
          <w:sz w:val="21"/>
        </w:rPr>
        <w:t>余额从截至2014年12月31日的2.037亿瑞郎增</w:t>
      </w:r>
      <w:r w:rsidRPr="007A5789">
        <w:rPr>
          <w:sz w:val="21"/>
        </w:rPr>
        <w:lastRenderedPageBreak/>
        <w:t>加至截至2015年12月31日的2.192亿瑞郎。在同一时期，PCT</w:t>
      </w:r>
      <w:proofErr w:type="gramStart"/>
      <w:r w:rsidRPr="007A5789">
        <w:rPr>
          <w:sz w:val="21"/>
        </w:rPr>
        <w:t>规</w:t>
      </w:r>
      <w:proofErr w:type="gramEnd"/>
      <w:r w:rsidRPr="007A5789">
        <w:rPr>
          <w:sz w:val="21"/>
        </w:rPr>
        <w:t>费应收账款从4,670</w:t>
      </w:r>
      <w:proofErr w:type="gramStart"/>
      <w:r w:rsidRPr="007A5789">
        <w:rPr>
          <w:sz w:val="21"/>
        </w:rPr>
        <w:t>万瑞</w:t>
      </w:r>
      <w:proofErr w:type="gramEnd"/>
      <w:r w:rsidRPr="007A5789">
        <w:rPr>
          <w:sz w:val="21"/>
        </w:rPr>
        <w:t>郎降低到4,090</w:t>
      </w:r>
      <w:proofErr w:type="gramStart"/>
      <w:r w:rsidRPr="007A5789">
        <w:rPr>
          <w:sz w:val="21"/>
        </w:rPr>
        <w:t>万瑞</w:t>
      </w:r>
      <w:proofErr w:type="gramEnd"/>
      <w:r w:rsidRPr="007A5789">
        <w:rPr>
          <w:sz w:val="21"/>
        </w:rPr>
        <w:t>郎。</w:t>
      </w:r>
    </w:p>
    <w:p w:rsidR="0025563A" w:rsidRPr="007A5789" w:rsidRDefault="005E78ED" w:rsidP="00FF47B9">
      <w:pPr>
        <w:numPr>
          <w:ilvl w:val="0"/>
          <w:numId w:val="4"/>
        </w:numPr>
        <w:tabs>
          <w:tab w:val="clear" w:pos="1021"/>
        </w:tabs>
        <w:overflowPunct w:val="0"/>
        <w:spacing w:afterLines="50" w:after="120" w:line="340" w:lineRule="atLeast"/>
        <w:ind w:left="1134" w:hanging="567"/>
        <w:rPr>
          <w:sz w:val="21"/>
        </w:rPr>
      </w:pPr>
      <w:r w:rsidRPr="007A5789">
        <w:rPr>
          <w:sz w:val="21"/>
        </w:rPr>
        <w:t>依据IPSAS的2015年结算包括办公楼与设备的折旧支出以及无形资产的摊销费，因为这些资产的成本被分摊至其整个使用寿命。当年的折旧和摊销支出为1,110</w:t>
      </w:r>
      <w:proofErr w:type="gramStart"/>
      <w:r w:rsidRPr="007A5789">
        <w:rPr>
          <w:sz w:val="21"/>
        </w:rPr>
        <w:t>万瑞</w:t>
      </w:r>
      <w:proofErr w:type="gramEnd"/>
      <w:r w:rsidRPr="007A5789">
        <w:rPr>
          <w:sz w:val="21"/>
        </w:rPr>
        <w:t>郎。</w:t>
      </w:r>
    </w:p>
    <w:p w:rsidR="0025563A" w:rsidRPr="007A5789" w:rsidRDefault="005E78ED" w:rsidP="00FF47B9">
      <w:pPr>
        <w:numPr>
          <w:ilvl w:val="0"/>
          <w:numId w:val="4"/>
        </w:numPr>
        <w:tabs>
          <w:tab w:val="clear" w:pos="1021"/>
        </w:tabs>
        <w:overflowPunct w:val="0"/>
        <w:spacing w:afterLines="50" w:after="120" w:line="340" w:lineRule="atLeast"/>
        <w:ind w:left="1134" w:hanging="567"/>
        <w:rPr>
          <w:sz w:val="21"/>
        </w:rPr>
      </w:pPr>
      <w:r w:rsidRPr="007A5789">
        <w:rPr>
          <w:sz w:val="21"/>
        </w:rPr>
        <w:t>IPSAS要求，应将工作人员已经赚得、但尚未支付的雇员福利确认为本组织的负债。依据IPSAS进行调整使财务报表中确认的总负债与按照IPSAS进行负债计算的结果一致，包括由外部精算师的计算结果。2015年，根据IPSAS确认的雇员福利负债</w:t>
      </w:r>
      <w:r w:rsidR="00B6014B">
        <w:rPr>
          <w:sz w:val="21"/>
        </w:rPr>
        <w:t>（</w:t>
      </w:r>
      <w:r w:rsidRPr="007A5789">
        <w:rPr>
          <w:sz w:val="21"/>
        </w:rPr>
        <w:t>离职后健康保险-ASHI、回国补助金和差旅费、累计年假、回籍假、加班和关闭的养恤基金</w:t>
      </w:r>
      <w:r w:rsidR="00B6014B">
        <w:rPr>
          <w:sz w:val="21"/>
        </w:rPr>
        <w:t>）</w:t>
      </w:r>
      <w:r w:rsidRPr="007A5789">
        <w:rPr>
          <w:sz w:val="21"/>
        </w:rPr>
        <w:t>增加了1,030</w:t>
      </w:r>
      <w:proofErr w:type="gramStart"/>
      <w:r w:rsidRPr="007A5789">
        <w:rPr>
          <w:sz w:val="21"/>
        </w:rPr>
        <w:t>万瑞</w:t>
      </w:r>
      <w:proofErr w:type="gramEnd"/>
      <w:r w:rsidRPr="007A5789">
        <w:rPr>
          <w:sz w:val="21"/>
        </w:rPr>
        <w:t>郎。依照计划</w:t>
      </w:r>
      <w:r w:rsidR="006521BC" w:rsidRPr="007A5789">
        <w:rPr>
          <w:rFonts w:hint="eastAsia"/>
          <w:sz w:val="21"/>
        </w:rPr>
        <w:t>和</w:t>
      </w:r>
      <w:r w:rsidRPr="007A5789">
        <w:rPr>
          <w:sz w:val="21"/>
        </w:rPr>
        <w:t>预算，6.0%的计提费用用于提供离职后雇员福利的员额成本。2015年期间，扣减当期离职后雇员支出</w:t>
      </w:r>
      <w:r w:rsidR="00B6014B">
        <w:rPr>
          <w:sz w:val="21"/>
        </w:rPr>
        <w:t>（</w:t>
      </w:r>
      <w:r w:rsidRPr="007A5789">
        <w:rPr>
          <w:sz w:val="21"/>
        </w:rPr>
        <w:t>主要是本组织缴纳的退休人员ASHI保费</w:t>
      </w:r>
      <w:r w:rsidR="00B6014B">
        <w:rPr>
          <w:sz w:val="21"/>
        </w:rPr>
        <w:t>）</w:t>
      </w:r>
      <w:r w:rsidRPr="007A5789">
        <w:rPr>
          <w:sz w:val="21"/>
        </w:rPr>
        <w:t>后，该计提费用产生了610</w:t>
      </w:r>
      <w:proofErr w:type="gramStart"/>
      <w:r w:rsidRPr="007A5789">
        <w:rPr>
          <w:sz w:val="21"/>
        </w:rPr>
        <w:t>万瑞</w:t>
      </w:r>
      <w:proofErr w:type="gramEnd"/>
      <w:r w:rsidRPr="007A5789">
        <w:rPr>
          <w:sz w:val="21"/>
        </w:rPr>
        <w:t>郎准备金。截至2015年底，2014/15年员额成本进一步计提2</w:t>
      </w:r>
      <w:r w:rsidR="00E05E40" w:rsidRPr="007A5789">
        <w:rPr>
          <w:rFonts w:hint="eastAsia"/>
          <w:sz w:val="21"/>
        </w:rPr>
        <w:t>.0</w:t>
      </w:r>
      <w:r w:rsidRPr="007A5789">
        <w:rPr>
          <w:sz w:val="21"/>
        </w:rPr>
        <w:t>%，从而再产生710</w:t>
      </w:r>
      <w:proofErr w:type="gramStart"/>
      <w:r w:rsidRPr="007A5789">
        <w:rPr>
          <w:sz w:val="21"/>
        </w:rPr>
        <w:t>万瑞</w:t>
      </w:r>
      <w:proofErr w:type="gramEnd"/>
      <w:r w:rsidRPr="007A5789">
        <w:rPr>
          <w:sz w:val="21"/>
        </w:rPr>
        <w:t>郎计提费用。因此，为使员工福利债务符合IPSAS合</w:t>
      </w:r>
      <w:proofErr w:type="gramStart"/>
      <w:r w:rsidRPr="007A5789">
        <w:rPr>
          <w:sz w:val="21"/>
        </w:rPr>
        <w:t>规</w:t>
      </w:r>
      <w:proofErr w:type="gramEnd"/>
      <w:r w:rsidRPr="007A5789">
        <w:rPr>
          <w:sz w:val="21"/>
        </w:rPr>
        <w:t>计算而需进行的IPSAS调整为290</w:t>
      </w:r>
      <w:proofErr w:type="gramStart"/>
      <w:r w:rsidRPr="007A5789">
        <w:rPr>
          <w:sz w:val="21"/>
        </w:rPr>
        <w:t>万瑞</w:t>
      </w:r>
      <w:proofErr w:type="gramEnd"/>
      <w:r w:rsidRPr="007A5789">
        <w:rPr>
          <w:sz w:val="21"/>
        </w:rPr>
        <w:t>郎，从而导致相应的支出减少。</w:t>
      </w:r>
    </w:p>
    <w:p w:rsidR="005E78ED" w:rsidRPr="007A5789" w:rsidRDefault="005E78ED" w:rsidP="00FF47B9">
      <w:pPr>
        <w:numPr>
          <w:ilvl w:val="0"/>
          <w:numId w:val="4"/>
        </w:numPr>
        <w:tabs>
          <w:tab w:val="clear" w:pos="1021"/>
        </w:tabs>
        <w:overflowPunct w:val="0"/>
        <w:spacing w:afterLines="50" w:after="120" w:line="340" w:lineRule="atLeast"/>
        <w:ind w:left="1134" w:hanging="567"/>
        <w:rPr>
          <w:sz w:val="21"/>
          <w:szCs w:val="22"/>
        </w:rPr>
      </w:pPr>
      <w:r w:rsidRPr="007A5789">
        <w:rPr>
          <w:sz w:val="21"/>
        </w:rPr>
        <w:t>根据IPSAS，与办公楼建设和改善有关的费用已转化为资本，使2015年的支出减少620</w:t>
      </w:r>
      <w:proofErr w:type="gramStart"/>
      <w:r w:rsidRPr="007A5789">
        <w:rPr>
          <w:sz w:val="21"/>
        </w:rPr>
        <w:t>万瑞</w:t>
      </w:r>
      <w:proofErr w:type="gramEnd"/>
      <w:r w:rsidRPr="007A5789">
        <w:rPr>
          <w:sz w:val="21"/>
        </w:rPr>
        <w:t>郎。同样，根据IPSAS，特定设备和软件的购置也转化成资本，使当年支出减少了160</w:t>
      </w:r>
      <w:proofErr w:type="gramStart"/>
      <w:r w:rsidRPr="007A5789">
        <w:rPr>
          <w:sz w:val="21"/>
        </w:rPr>
        <w:t>万瑞</w:t>
      </w:r>
      <w:proofErr w:type="gramEnd"/>
      <w:r w:rsidRPr="007A5789">
        <w:rPr>
          <w:sz w:val="21"/>
        </w:rPr>
        <w:t>郎。</w:t>
      </w:r>
    </w:p>
    <w:p w:rsidR="007A5789" w:rsidRDefault="0074049E" w:rsidP="00FF47B9">
      <w:pPr>
        <w:numPr>
          <w:ilvl w:val="0"/>
          <w:numId w:val="4"/>
        </w:numPr>
        <w:tabs>
          <w:tab w:val="clear" w:pos="1021"/>
        </w:tabs>
        <w:overflowPunct w:val="0"/>
        <w:spacing w:afterLines="50" w:after="120" w:line="340" w:lineRule="atLeast"/>
        <w:ind w:left="1134" w:hanging="567"/>
        <w:rPr>
          <w:sz w:val="21"/>
          <w:szCs w:val="22"/>
        </w:rPr>
      </w:pPr>
      <w:r w:rsidRPr="007A5789">
        <w:rPr>
          <w:sz w:val="21"/>
        </w:rPr>
        <w:t>其他IPSAS调整涉及投资财产公允价值增加</w:t>
      </w:r>
      <w:r w:rsidR="00B6014B">
        <w:rPr>
          <w:sz w:val="21"/>
        </w:rPr>
        <w:t>（</w:t>
      </w:r>
      <w:r w:rsidRPr="007A5789">
        <w:rPr>
          <w:sz w:val="21"/>
        </w:rPr>
        <w:t>带来140</w:t>
      </w:r>
      <w:proofErr w:type="gramStart"/>
      <w:r w:rsidRPr="007A5789">
        <w:rPr>
          <w:sz w:val="21"/>
        </w:rPr>
        <w:t>万瑞</w:t>
      </w:r>
      <w:proofErr w:type="gramEnd"/>
      <w:r w:rsidRPr="007A5789">
        <w:rPr>
          <w:sz w:val="21"/>
        </w:rPr>
        <w:t>郎收入</w:t>
      </w:r>
      <w:r w:rsidR="00B6014B">
        <w:rPr>
          <w:sz w:val="21"/>
        </w:rPr>
        <w:t>）</w:t>
      </w:r>
      <w:r w:rsidRPr="007A5789">
        <w:rPr>
          <w:sz w:val="21"/>
        </w:rPr>
        <w:t>、分摊会费应收账款</w:t>
      </w:r>
      <w:proofErr w:type="gramStart"/>
      <w:r w:rsidRPr="007A5789">
        <w:rPr>
          <w:sz w:val="21"/>
        </w:rPr>
        <w:t>的备抵金</w:t>
      </w:r>
      <w:proofErr w:type="gramEnd"/>
      <w:r w:rsidRPr="007A5789">
        <w:rPr>
          <w:sz w:val="21"/>
        </w:rPr>
        <w:t>下降</w:t>
      </w:r>
      <w:r w:rsidR="00B6014B">
        <w:rPr>
          <w:sz w:val="21"/>
        </w:rPr>
        <w:t>（</w:t>
      </w:r>
      <w:r w:rsidRPr="007A5789">
        <w:rPr>
          <w:sz w:val="21"/>
        </w:rPr>
        <w:t>带来40</w:t>
      </w:r>
      <w:proofErr w:type="gramStart"/>
      <w:r w:rsidRPr="007A5789">
        <w:rPr>
          <w:sz w:val="21"/>
        </w:rPr>
        <w:t>万瑞</w:t>
      </w:r>
      <w:proofErr w:type="gramEnd"/>
      <w:r w:rsidRPr="007A5789">
        <w:rPr>
          <w:sz w:val="21"/>
        </w:rPr>
        <w:t>郎收入</w:t>
      </w:r>
      <w:r w:rsidR="00B6014B">
        <w:rPr>
          <w:sz w:val="21"/>
        </w:rPr>
        <w:t>）</w:t>
      </w:r>
      <w:r w:rsidRPr="007A5789">
        <w:rPr>
          <w:sz w:val="21"/>
        </w:rPr>
        <w:t>以及库存下降</w:t>
      </w:r>
      <w:r w:rsidR="00B6014B">
        <w:rPr>
          <w:sz w:val="21"/>
        </w:rPr>
        <w:t>（</w:t>
      </w:r>
      <w:r w:rsidRPr="007A5789">
        <w:rPr>
          <w:sz w:val="21"/>
        </w:rPr>
        <w:t>带来10</w:t>
      </w:r>
      <w:proofErr w:type="gramStart"/>
      <w:r w:rsidRPr="007A5789">
        <w:rPr>
          <w:sz w:val="21"/>
        </w:rPr>
        <w:t>万瑞</w:t>
      </w:r>
      <w:proofErr w:type="gramEnd"/>
      <w:r w:rsidRPr="007A5789">
        <w:rPr>
          <w:sz w:val="21"/>
        </w:rPr>
        <w:t>郎支出</w:t>
      </w:r>
      <w:r w:rsidR="00B6014B">
        <w:rPr>
          <w:sz w:val="21"/>
        </w:rPr>
        <w:t>）</w:t>
      </w:r>
      <w:r w:rsidRPr="007A5789">
        <w:rPr>
          <w:sz w:val="21"/>
        </w:rPr>
        <w:t>。这些调整的</w:t>
      </w:r>
      <w:proofErr w:type="gramStart"/>
      <w:r w:rsidRPr="007A5789">
        <w:rPr>
          <w:sz w:val="21"/>
        </w:rPr>
        <w:t>净影响</w:t>
      </w:r>
      <w:proofErr w:type="gramEnd"/>
      <w:r w:rsidRPr="007A5789">
        <w:rPr>
          <w:sz w:val="21"/>
        </w:rPr>
        <w:t>是导致</w:t>
      </w:r>
      <w:proofErr w:type="gramStart"/>
      <w:r w:rsidRPr="007A5789">
        <w:rPr>
          <w:sz w:val="21"/>
        </w:rPr>
        <w:t>当年业绩</w:t>
      </w:r>
      <w:proofErr w:type="gramEnd"/>
      <w:r w:rsidRPr="007A5789">
        <w:rPr>
          <w:sz w:val="21"/>
        </w:rPr>
        <w:t>增加170</w:t>
      </w:r>
      <w:proofErr w:type="gramStart"/>
      <w:r w:rsidRPr="007A5789">
        <w:rPr>
          <w:sz w:val="21"/>
        </w:rPr>
        <w:t>万瑞</w:t>
      </w:r>
      <w:proofErr w:type="gramEnd"/>
      <w:r w:rsidRPr="007A5789">
        <w:rPr>
          <w:sz w:val="21"/>
        </w:rPr>
        <w:t>郎。</w:t>
      </w:r>
    </w:p>
    <w:p w:rsidR="0097594F" w:rsidRPr="00FF47B9" w:rsidRDefault="005E78ED" w:rsidP="00FF47B9">
      <w:pPr>
        <w:keepNext/>
        <w:overflowPunct w:val="0"/>
        <w:spacing w:beforeLines="100" w:before="240" w:afterLines="50" w:after="120" w:line="340" w:lineRule="atLeast"/>
        <w:rPr>
          <w:rFonts w:ascii="KaiTi" w:eastAsia="KaiTi" w:hAnsi="KaiTi"/>
          <w:b/>
          <w:sz w:val="21"/>
          <w:szCs w:val="22"/>
        </w:rPr>
      </w:pPr>
      <w:r w:rsidRPr="00FF47B9">
        <w:rPr>
          <w:rFonts w:ascii="KaiTi" w:eastAsia="KaiTi" w:hAnsi="KaiTi"/>
          <w:b/>
          <w:sz w:val="21"/>
        </w:rPr>
        <w:t>收入分析</w:t>
      </w:r>
    </w:p>
    <w:p w:rsidR="006A59EF" w:rsidRPr="007A5789" w:rsidRDefault="006A59EF" w:rsidP="006A1075">
      <w:pPr>
        <w:keepNext/>
        <w:overflowPunct w:val="0"/>
        <w:spacing w:line="340" w:lineRule="atLeast"/>
        <w:jc w:val="center"/>
        <w:rPr>
          <w:sz w:val="21"/>
          <w:u w:val="single"/>
        </w:rPr>
      </w:pPr>
      <w:r w:rsidRPr="007A5789">
        <w:rPr>
          <w:sz w:val="21"/>
          <w:u w:val="single"/>
        </w:rPr>
        <w:t>2015年IPSAS制的收入构成</w:t>
      </w:r>
    </w:p>
    <w:p w:rsidR="006A59EF" w:rsidRPr="006A1075" w:rsidRDefault="00B6014B" w:rsidP="006A1075">
      <w:pPr>
        <w:spacing w:afterLines="50" w:after="120" w:line="340" w:lineRule="atLeast"/>
        <w:jc w:val="center"/>
        <w:rPr>
          <w:rFonts w:ascii="KaiTi" w:eastAsia="KaiTi" w:hAnsi="KaiTi"/>
          <w:sz w:val="21"/>
        </w:rPr>
      </w:pPr>
      <w:r w:rsidRPr="006A1075">
        <w:rPr>
          <w:rFonts w:ascii="KaiTi" w:eastAsia="KaiTi" w:hAnsi="KaiTi"/>
          <w:sz w:val="21"/>
        </w:rPr>
        <w:t>（</w:t>
      </w:r>
      <w:r w:rsidR="006A59EF" w:rsidRPr="006A1075">
        <w:rPr>
          <w:rFonts w:ascii="KaiTi" w:eastAsia="KaiTi" w:hAnsi="KaiTi"/>
          <w:sz w:val="21"/>
        </w:rPr>
        <w:t>单位：百</w:t>
      </w:r>
      <w:proofErr w:type="gramStart"/>
      <w:r w:rsidR="006A59EF" w:rsidRPr="006A1075">
        <w:rPr>
          <w:rFonts w:ascii="KaiTi" w:eastAsia="KaiTi" w:hAnsi="KaiTi"/>
          <w:sz w:val="21"/>
        </w:rPr>
        <w:t>万瑞</w:t>
      </w:r>
      <w:proofErr w:type="gramEnd"/>
      <w:r w:rsidR="006A59EF" w:rsidRPr="006A1075">
        <w:rPr>
          <w:rFonts w:ascii="KaiTi" w:eastAsia="KaiTi" w:hAnsi="KaiTi"/>
          <w:sz w:val="21"/>
        </w:rPr>
        <w:t>郎</w:t>
      </w:r>
      <w:r w:rsidRPr="006A1075">
        <w:rPr>
          <w:rFonts w:ascii="KaiTi" w:eastAsia="KaiTi" w:hAnsi="KaiTi"/>
          <w:sz w:val="21"/>
        </w:rPr>
        <w:t>）</w:t>
      </w:r>
    </w:p>
    <w:p w:rsidR="006A59EF" w:rsidRPr="007A5789" w:rsidRDefault="004E71F1" w:rsidP="00B87A4B">
      <w:pPr>
        <w:spacing w:afterLines="50" w:after="120" w:line="340" w:lineRule="atLeast"/>
        <w:jc w:val="center"/>
        <w:rPr>
          <w:sz w:val="21"/>
          <w:szCs w:val="22"/>
        </w:rPr>
      </w:pPr>
      <w:r>
        <w:rPr>
          <w:rFonts w:ascii="Times New Roman" w:hAnsi="Times New Roman"/>
          <w:noProof/>
          <w:lang w:val="en-US" w:bidi="ar-SA"/>
        </w:rPr>
        <mc:AlternateContent>
          <mc:Choice Requires="wps">
            <w:drawing>
              <wp:anchor distT="0" distB="0" distL="114300" distR="114300" simplePos="0" relativeHeight="251656704" behindDoc="0" locked="0" layoutInCell="1" allowOverlap="1" wp14:anchorId="67A62FCF" wp14:editId="6D84FA81">
                <wp:simplePos x="0" y="0"/>
                <wp:positionH relativeFrom="column">
                  <wp:posOffset>4140587</wp:posOffset>
                </wp:positionH>
                <wp:positionV relativeFrom="paragraph">
                  <wp:posOffset>2477522</wp:posOffset>
                </wp:positionV>
                <wp:extent cx="1609725" cy="445273"/>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45273"/>
                        </a:xfrm>
                        <a:prstGeom prst="rect">
                          <a:avLst/>
                        </a:prstGeom>
                        <a:solidFill>
                          <a:srgbClr val="1F497D">
                            <a:lumMod val="75000"/>
                          </a:srgbClr>
                        </a:solidFill>
                        <a:ln w="9525">
                          <a:noFill/>
                          <a:miter lim="800000"/>
                          <a:headEnd/>
                          <a:tailEnd/>
                        </a:ln>
                      </wps:spPr>
                      <wps:txbx>
                        <w:txbxContent>
                          <w:p w:rsidR="00F75064" w:rsidRPr="00C12629" w:rsidRDefault="00F75064" w:rsidP="00EA07EB">
                            <w:pPr>
                              <w:jc w:val="center"/>
                              <w:rPr>
                                <w:rFonts w:eastAsia="SimHei"/>
                                <w:sz w:val="18"/>
                                <w:szCs w:val="18"/>
                              </w:rPr>
                            </w:pPr>
                            <w:r w:rsidRPr="00C12629">
                              <w:rPr>
                                <w:rFonts w:eastAsia="SimHei"/>
                                <w:sz w:val="18"/>
                              </w:rPr>
                              <w:t>2015</w:t>
                            </w:r>
                            <w:r w:rsidRPr="00C12629">
                              <w:rPr>
                                <w:rFonts w:eastAsia="SimHei"/>
                                <w:sz w:val="18"/>
                              </w:rPr>
                              <w:t>年总收入：</w:t>
                            </w:r>
                          </w:p>
                          <w:p w:rsidR="00F75064" w:rsidRPr="00C12629" w:rsidRDefault="00F75064" w:rsidP="00EA07EB">
                            <w:pPr>
                              <w:jc w:val="center"/>
                              <w:rPr>
                                <w:rFonts w:eastAsia="SimHei"/>
                                <w:sz w:val="18"/>
                                <w:szCs w:val="18"/>
                              </w:rPr>
                            </w:pPr>
                            <w:r w:rsidRPr="00C12629">
                              <w:rPr>
                                <w:rFonts w:eastAsia="SimHei"/>
                                <w:sz w:val="18"/>
                              </w:rPr>
                              <w:t>3.819</w:t>
                            </w:r>
                            <w:r w:rsidRPr="00C12629">
                              <w:rPr>
                                <w:rFonts w:eastAsia="SimHei"/>
                                <w:sz w:val="18"/>
                              </w:rPr>
                              <w:t>亿瑞郎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6.05pt;margin-top:195.1pt;width:126.75pt;height:3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" fillcolor="#17375e" stroked="f">
                <v:textbox>
                  <w:txbxContent>
                    <w:p w:rsidR="00F75064" w:rsidRPr="00C12629" w:rsidRDefault="00F75064" w:rsidP="00EA07EB">
                      <w:pPr>
                        <w:jc w:val="center"/>
                        <w:rPr>
                          <w:rFonts w:eastAsia="SimHei"/>
                          <w:sz w:val="18"/>
                          <w:szCs w:val="18"/>
                        </w:rPr>
                      </w:pPr>
                      <w:r w:rsidRPr="00C12629">
                        <w:rPr>
                          <w:rFonts w:eastAsia="SimHei"/>
                          <w:sz w:val="18"/>
                        </w:rPr>
                        <w:t>2015</w:t>
                      </w:r>
                      <w:r w:rsidRPr="00C12629">
                        <w:rPr>
                          <w:rFonts w:eastAsia="SimHei"/>
                          <w:sz w:val="18"/>
                        </w:rPr>
                        <w:t>年总收入：</w:t>
                      </w:r>
                    </w:p>
                    <w:p w:rsidR="00F75064" w:rsidRPr="00C12629" w:rsidRDefault="00F75064" w:rsidP="00EA07EB">
                      <w:pPr>
                        <w:jc w:val="center"/>
                        <w:rPr>
                          <w:rFonts w:eastAsia="SimHei"/>
                          <w:sz w:val="18"/>
                          <w:szCs w:val="18"/>
                        </w:rPr>
                      </w:pPr>
                      <w:r w:rsidRPr="00C12629">
                        <w:rPr>
                          <w:rFonts w:eastAsia="SimHei"/>
                          <w:sz w:val="18"/>
                        </w:rPr>
                        <w:t>3.819</w:t>
                      </w:r>
                      <w:r w:rsidRPr="00C12629">
                        <w:rPr>
                          <w:rFonts w:eastAsia="SimHei"/>
                          <w:sz w:val="18"/>
                        </w:rPr>
                        <w:t>亿瑞郎</w:t>
                      </w:r>
                    </w:p>
                  </w:txbxContent>
                </v:textbox>
              </v:shape>
            </w:pict>
          </mc:Fallback>
        </mc:AlternateContent>
      </w:r>
      <w:r w:rsidR="006A1075" w:rsidRPr="00EF7E79">
        <w:rPr>
          <w:noProof/>
          <w:sz w:val="21"/>
          <w:lang w:val="en-US" w:bidi="ar-SA"/>
        </w:rPr>
        <w:drawing>
          <wp:inline distT="0" distB="0" distL="0" distR="0" wp14:anchorId="23D2F390" wp14:editId="6ED69DD9">
            <wp:extent cx="4818380" cy="3100705"/>
            <wp:effectExtent l="0" t="0" r="1270" b="444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18380" cy="3100705"/>
                    </a:xfrm>
                    <a:prstGeom prst="rect">
                      <a:avLst/>
                    </a:prstGeom>
                    <a:noFill/>
                    <a:ln>
                      <a:noFill/>
                    </a:ln>
                  </pic:spPr>
                </pic:pic>
              </a:graphicData>
            </a:graphic>
          </wp:inline>
        </w:drawing>
      </w:r>
    </w:p>
    <w:p w:rsidR="007A5789" w:rsidRDefault="007023EA" w:rsidP="00B6014B">
      <w:pPr>
        <w:pStyle w:val="ONUME"/>
        <w:tabs>
          <w:tab w:val="clear" w:pos="567"/>
        </w:tabs>
        <w:overflowPunct w:val="0"/>
        <w:spacing w:afterLines="50" w:after="120" w:line="340" w:lineRule="atLeast"/>
        <w:rPr>
          <w:sz w:val="21"/>
          <w:szCs w:val="22"/>
        </w:rPr>
      </w:pPr>
      <w:r w:rsidRPr="007A5789">
        <w:rPr>
          <w:sz w:val="21"/>
        </w:rPr>
        <w:t>本组织2015年的总收入为3.819亿瑞郎，与2014年3.702亿瑞郎的总收入相比，增收3.2%。2015年收入的最大来源是PCT体系的</w:t>
      </w:r>
      <w:proofErr w:type="gramStart"/>
      <w:r w:rsidR="00FB3946" w:rsidRPr="007A5789">
        <w:rPr>
          <w:rFonts w:hint="eastAsia"/>
          <w:sz w:val="21"/>
        </w:rPr>
        <w:t>规</w:t>
      </w:r>
      <w:proofErr w:type="gramEnd"/>
      <w:r w:rsidR="00FB3946" w:rsidRPr="007A5789">
        <w:rPr>
          <w:rFonts w:hint="eastAsia"/>
          <w:sz w:val="21"/>
        </w:rPr>
        <w:t>费</w:t>
      </w:r>
      <w:r w:rsidRPr="007A5789">
        <w:rPr>
          <w:sz w:val="21"/>
        </w:rPr>
        <w:t>，占总收入的72.1%，尽管</w:t>
      </w:r>
      <w:r w:rsidR="00FB3946" w:rsidRPr="007A5789">
        <w:rPr>
          <w:sz w:val="21"/>
        </w:rPr>
        <w:t>与</w:t>
      </w:r>
      <w:r w:rsidR="00FB3946" w:rsidRPr="007A5789">
        <w:rPr>
          <w:rFonts w:hint="eastAsia"/>
          <w:sz w:val="21"/>
        </w:rPr>
        <w:t>2014年相比</w:t>
      </w:r>
      <w:r w:rsidRPr="007A5789">
        <w:rPr>
          <w:sz w:val="21"/>
        </w:rPr>
        <w:t>下降1.1%。</w:t>
      </w:r>
    </w:p>
    <w:p w:rsidR="0097594F" w:rsidRPr="007A5789" w:rsidRDefault="005378E9" w:rsidP="00B6014B">
      <w:pPr>
        <w:pStyle w:val="ONUME"/>
        <w:tabs>
          <w:tab w:val="clear" w:pos="567"/>
        </w:tabs>
        <w:overflowPunct w:val="0"/>
        <w:spacing w:afterLines="50" w:after="120" w:line="340" w:lineRule="atLeast"/>
        <w:rPr>
          <w:sz w:val="21"/>
          <w:szCs w:val="22"/>
        </w:rPr>
      </w:pPr>
      <w:r w:rsidRPr="007A5789">
        <w:rPr>
          <w:sz w:val="21"/>
        </w:rPr>
        <w:lastRenderedPageBreak/>
        <w:t>2015年收入的第二大来源是马德里体系</w:t>
      </w:r>
      <w:proofErr w:type="gramStart"/>
      <w:r w:rsidRPr="007A5789">
        <w:rPr>
          <w:sz w:val="21"/>
        </w:rPr>
        <w:t>规</w:t>
      </w:r>
      <w:proofErr w:type="gramEnd"/>
      <w:r w:rsidRPr="007A5789">
        <w:rPr>
          <w:sz w:val="21"/>
        </w:rPr>
        <w:t>费，占总收入的17.8%。马德里体系</w:t>
      </w:r>
      <w:proofErr w:type="gramStart"/>
      <w:r w:rsidRPr="007A5789">
        <w:rPr>
          <w:sz w:val="21"/>
        </w:rPr>
        <w:t>规费较</w:t>
      </w:r>
      <w:proofErr w:type="gramEnd"/>
      <w:r w:rsidRPr="007A5789">
        <w:rPr>
          <w:sz w:val="21"/>
        </w:rPr>
        <w:t>2014年大幅增长23.2%。海牙体系</w:t>
      </w:r>
      <w:proofErr w:type="gramStart"/>
      <w:r w:rsidRPr="007A5789">
        <w:rPr>
          <w:sz w:val="21"/>
        </w:rPr>
        <w:t>规</w:t>
      </w:r>
      <w:proofErr w:type="gramEnd"/>
      <w:r w:rsidRPr="007A5789">
        <w:rPr>
          <w:sz w:val="21"/>
        </w:rPr>
        <w:t>费、里斯本体系</w:t>
      </w:r>
      <w:proofErr w:type="gramStart"/>
      <w:r w:rsidRPr="007A5789">
        <w:rPr>
          <w:sz w:val="21"/>
        </w:rPr>
        <w:t>规</w:t>
      </w:r>
      <w:proofErr w:type="gramEnd"/>
      <w:r w:rsidRPr="007A5789">
        <w:rPr>
          <w:sz w:val="21"/>
        </w:rPr>
        <w:t>费、分摊会费、自愿捐款和其他收入</w:t>
      </w:r>
      <w:r w:rsidR="00B6014B">
        <w:rPr>
          <w:sz w:val="21"/>
        </w:rPr>
        <w:t>（</w:t>
      </w:r>
      <w:r w:rsidRPr="007A5789">
        <w:rPr>
          <w:sz w:val="21"/>
        </w:rPr>
        <w:t>投资、出版物、仲裁与调解及其他/杂项收入</w:t>
      </w:r>
      <w:r w:rsidR="00B6014B">
        <w:rPr>
          <w:sz w:val="21"/>
        </w:rPr>
        <w:t>）</w:t>
      </w:r>
      <w:r w:rsidRPr="007A5789">
        <w:rPr>
          <w:sz w:val="21"/>
        </w:rPr>
        <w:t>占本组织总收入的剩余10.1%。下表为与上一年度相比收入类型变化摘</w:t>
      </w:r>
      <w:r w:rsidR="006F192F">
        <w:rPr>
          <w:sz w:val="21"/>
        </w:rPr>
        <w:t>‍</w:t>
      </w:r>
      <w:r w:rsidRPr="007A5789">
        <w:rPr>
          <w:sz w:val="21"/>
        </w:rPr>
        <w:t>要</w:t>
      </w:r>
      <w:r w:rsidR="00AB6919">
        <w:rPr>
          <w:rFonts w:hint="eastAsia"/>
          <w:sz w:val="21"/>
        </w:rPr>
        <w:t>。</w:t>
      </w:r>
    </w:p>
    <w:p w:rsidR="007A5789" w:rsidRPr="006A1075" w:rsidRDefault="005378E9"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2014年和2015相比的</w:t>
      </w:r>
      <w:r w:rsidR="00934959" w:rsidRPr="007A5789">
        <w:rPr>
          <w:rFonts w:hint="eastAsia"/>
          <w:sz w:val="21"/>
          <w:u w:val="single"/>
        </w:rPr>
        <w:t>收入</w:t>
      </w:r>
      <w:r w:rsidRPr="007A5789">
        <w:rPr>
          <w:sz w:val="21"/>
          <w:u w:val="single"/>
        </w:rPr>
        <w:t>变化</w:t>
      </w:r>
    </w:p>
    <w:p w:rsidR="007A5789" w:rsidRDefault="006A1075" w:rsidP="006A1075">
      <w:pPr>
        <w:spacing w:afterLines="50" w:after="120" w:line="340" w:lineRule="atLeast"/>
        <w:jc w:val="center"/>
        <w:rPr>
          <w:sz w:val="21"/>
          <w:szCs w:val="22"/>
        </w:rPr>
      </w:pPr>
      <w:r w:rsidRPr="00EF7E79">
        <w:rPr>
          <w:noProof/>
          <w:sz w:val="21"/>
          <w:lang w:val="en-US" w:bidi="ar-SA"/>
        </w:rPr>
        <w:drawing>
          <wp:inline distT="0" distB="0" distL="0" distR="0" wp14:anchorId="53B4EF93" wp14:editId="5F57AE2C">
            <wp:extent cx="5940425" cy="3199772"/>
            <wp:effectExtent l="0" t="0" r="3175"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3199772"/>
                    </a:xfrm>
                    <a:prstGeom prst="rect">
                      <a:avLst/>
                    </a:prstGeom>
                    <a:noFill/>
                    <a:ln>
                      <a:noFill/>
                    </a:ln>
                  </pic:spPr>
                </pic:pic>
              </a:graphicData>
            </a:graphic>
          </wp:inline>
        </w:drawing>
      </w:r>
    </w:p>
    <w:p w:rsidR="0009149D" w:rsidRPr="007A5789" w:rsidRDefault="0009149D" w:rsidP="00B6014B">
      <w:pPr>
        <w:pStyle w:val="ONUME"/>
        <w:tabs>
          <w:tab w:val="clear" w:pos="567"/>
        </w:tabs>
        <w:overflowPunct w:val="0"/>
        <w:spacing w:afterLines="50" w:after="120" w:line="340" w:lineRule="atLeast"/>
        <w:rPr>
          <w:sz w:val="21"/>
          <w:szCs w:val="22"/>
        </w:rPr>
      </w:pPr>
      <w:r w:rsidRPr="007A5789">
        <w:rPr>
          <w:sz w:val="21"/>
        </w:rPr>
        <w:t>PCT收入主要包括国际申请费用</w:t>
      </w:r>
      <w:r w:rsidR="00B6014B">
        <w:rPr>
          <w:sz w:val="21"/>
        </w:rPr>
        <w:t>（</w:t>
      </w:r>
      <w:r w:rsidRPr="007A5789">
        <w:rPr>
          <w:sz w:val="21"/>
        </w:rPr>
        <w:t>基本费用，加上补充页面费，减去电子申请和最不发达国家优惠</w:t>
      </w:r>
      <w:r w:rsidR="00B6014B">
        <w:rPr>
          <w:sz w:val="21"/>
        </w:rPr>
        <w:t>）</w:t>
      </w:r>
      <w:r w:rsidRPr="007A5789">
        <w:rPr>
          <w:sz w:val="21"/>
        </w:rPr>
        <w:t>。PCT体系</w:t>
      </w:r>
      <w:proofErr w:type="gramStart"/>
      <w:r w:rsidRPr="007A5789">
        <w:rPr>
          <w:sz w:val="21"/>
        </w:rPr>
        <w:t>规</w:t>
      </w:r>
      <w:proofErr w:type="gramEnd"/>
      <w:r w:rsidRPr="007A5789">
        <w:rPr>
          <w:sz w:val="21"/>
        </w:rPr>
        <w:t>费收入总数还包括其他费用</w:t>
      </w:r>
      <w:r w:rsidR="00B6014B">
        <w:rPr>
          <w:sz w:val="21"/>
        </w:rPr>
        <w:t>（</w:t>
      </w:r>
      <w:r w:rsidRPr="007A5789">
        <w:rPr>
          <w:sz w:val="21"/>
        </w:rPr>
        <w:t>包括手续费和转让费</w:t>
      </w:r>
      <w:r w:rsidR="00B6014B">
        <w:rPr>
          <w:sz w:val="21"/>
        </w:rPr>
        <w:t>）</w:t>
      </w:r>
      <w:r w:rsidRPr="007A5789">
        <w:rPr>
          <w:sz w:val="21"/>
        </w:rPr>
        <w:t>和汇兑损益：</w:t>
      </w:r>
    </w:p>
    <w:p w:rsidR="0009149D" w:rsidRPr="006A1075" w:rsidRDefault="0009149D"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2012年至2015年PCT体系</w:t>
      </w:r>
      <w:proofErr w:type="gramStart"/>
      <w:r w:rsidRPr="007A5789">
        <w:rPr>
          <w:sz w:val="21"/>
          <w:u w:val="single"/>
        </w:rPr>
        <w:t>规</w:t>
      </w:r>
      <w:proofErr w:type="gramEnd"/>
      <w:r w:rsidRPr="007A5789">
        <w:rPr>
          <w:sz w:val="21"/>
          <w:u w:val="single"/>
        </w:rPr>
        <w:t>费详情</w:t>
      </w:r>
    </w:p>
    <w:p w:rsidR="0009149D" w:rsidRPr="007A5789" w:rsidRDefault="006A1075" w:rsidP="006A1075">
      <w:pPr>
        <w:spacing w:afterLines="50" w:after="120" w:line="340" w:lineRule="atLeast"/>
        <w:jc w:val="center"/>
        <w:rPr>
          <w:sz w:val="21"/>
          <w:szCs w:val="22"/>
        </w:rPr>
      </w:pPr>
      <w:r w:rsidRPr="00EF7E79">
        <w:rPr>
          <w:noProof/>
          <w:sz w:val="21"/>
          <w:lang w:val="en-US" w:bidi="ar-SA"/>
        </w:rPr>
        <w:drawing>
          <wp:inline distT="0" distB="0" distL="0" distR="0" wp14:anchorId="3DBD5669" wp14:editId="23A8D064">
            <wp:extent cx="5940425" cy="1684251"/>
            <wp:effectExtent l="0" t="0" r="317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1684251"/>
                    </a:xfrm>
                    <a:prstGeom prst="rect">
                      <a:avLst/>
                    </a:prstGeom>
                    <a:noFill/>
                    <a:ln>
                      <a:noFill/>
                    </a:ln>
                  </pic:spPr>
                </pic:pic>
              </a:graphicData>
            </a:graphic>
          </wp:inline>
        </w:drawing>
      </w:r>
    </w:p>
    <w:p w:rsidR="0025563A" w:rsidRPr="007A5789" w:rsidRDefault="0009149D" w:rsidP="00B6014B">
      <w:pPr>
        <w:pStyle w:val="ONUME"/>
        <w:tabs>
          <w:tab w:val="clear" w:pos="567"/>
        </w:tabs>
        <w:overflowPunct w:val="0"/>
        <w:spacing w:afterLines="50" w:after="120" w:line="340" w:lineRule="atLeast"/>
        <w:rPr>
          <w:sz w:val="21"/>
        </w:rPr>
      </w:pPr>
      <w:r w:rsidRPr="007A5789">
        <w:rPr>
          <w:sz w:val="21"/>
        </w:rPr>
        <w:t>IPSAS制的PCT收入较2014年下降1.1%</w:t>
      </w:r>
      <w:r w:rsidR="00982238" w:rsidRPr="007A5789">
        <w:rPr>
          <w:rFonts w:hint="eastAsia"/>
          <w:sz w:val="21"/>
        </w:rPr>
        <w:t>。</w:t>
      </w:r>
      <w:r w:rsidRPr="007A5789">
        <w:rPr>
          <w:sz w:val="21"/>
        </w:rPr>
        <w:t>在IPSAS财务报表中，PCT国际申请费用的收入仅在申请公布之日入账。虽然2015年PCT申请数量继续增加</w:t>
      </w:r>
      <w:r w:rsidR="00B6014B">
        <w:rPr>
          <w:sz w:val="21"/>
        </w:rPr>
        <w:t>（</w:t>
      </w:r>
      <w:r w:rsidRPr="007A5789">
        <w:rPr>
          <w:sz w:val="21"/>
        </w:rPr>
        <w:t>2015年估计申请数量为218,000</w:t>
      </w:r>
      <w:r w:rsidR="00A93427">
        <w:rPr>
          <w:rFonts w:hint="eastAsia"/>
          <w:sz w:val="21"/>
        </w:rPr>
        <w:t>件</w:t>
      </w:r>
      <w:r w:rsidRPr="007A5789">
        <w:rPr>
          <w:sz w:val="21"/>
        </w:rPr>
        <w:t>，而2014年为214,318</w:t>
      </w:r>
      <w:r w:rsidR="00A93427">
        <w:rPr>
          <w:rFonts w:hint="eastAsia"/>
          <w:sz w:val="21"/>
        </w:rPr>
        <w:t>件</w:t>
      </w:r>
      <w:r w:rsidR="00B6014B">
        <w:rPr>
          <w:sz w:val="21"/>
        </w:rPr>
        <w:t>）</w:t>
      </w:r>
      <w:r w:rsidRPr="007A5789">
        <w:rPr>
          <w:sz w:val="21"/>
        </w:rPr>
        <w:t>，但申请公布数量实际上下降</w:t>
      </w:r>
      <w:r w:rsidR="00982238" w:rsidRPr="007A5789">
        <w:rPr>
          <w:sz w:val="21"/>
        </w:rPr>
        <w:t>了</w:t>
      </w:r>
      <w:r w:rsidRPr="007A5789">
        <w:rPr>
          <w:sz w:val="21"/>
        </w:rPr>
        <w:t>。2015年公布200,928</w:t>
      </w:r>
      <w:r w:rsidR="00A93427">
        <w:rPr>
          <w:rFonts w:hint="eastAsia"/>
          <w:sz w:val="21"/>
        </w:rPr>
        <w:t>件</w:t>
      </w:r>
      <w:r w:rsidRPr="007A5789">
        <w:rPr>
          <w:sz w:val="21"/>
        </w:rPr>
        <w:t>，而2014年公布210,609</w:t>
      </w:r>
      <w:r w:rsidR="00A93427">
        <w:rPr>
          <w:rFonts w:hint="eastAsia"/>
          <w:sz w:val="21"/>
        </w:rPr>
        <w:t>件</w:t>
      </w:r>
      <w:r w:rsidRPr="007A5789">
        <w:rPr>
          <w:sz w:val="21"/>
        </w:rPr>
        <w:t>。2014年公布数量较大有两个原因。第一，2014年的公布时间有53周，而不是通常的52周。第二，由于《Leahy-Smith美国发明法》提前一年生效，2014年3月PCT申请猛增。由于在大部分情况下，公布是在提交PCT国际申请6个月之后进行，因此上半年申请猛增导致2014年公布数量按比例增加。</w:t>
      </w:r>
    </w:p>
    <w:p w:rsidR="00EA07EB" w:rsidRPr="007A5789" w:rsidRDefault="00FD69C6" w:rsidP="00B6014B">
      <w:pPr>
        <w:pStyle w:val="ONUME"/>
        <w:tabs>
          <w:tab w:val="clear" w:pos="567"/>
        </w:tabs>
        <w:overflowPunct w:val="0"/>
        <w:spacing w:afterLines="50" w:after="120" w:line="340" w:lineRule="atLeast"/>
        <w:rPr>
          <w:sz w:val="21"/>
          <w:szCs w:val="22"/>
        </w:rPr>
      </w:pPr>
      <w:r w:rsidRPr="007A5789">
        <w:rPr>
          <w:sz w:val="21"/>
        </w:rPr>
        <w:lastRenderedPageBreak/>
        <w:t>当观察按照IPSAS确认的PCT国际申请费收入时，下图显示年收入如何符合当年已公布申请的数量。2015年，WIPO还确认了470</w:t>
      </w:r>
      <w:proofErr w:type="gramStart"/>
      <w:r w:rsidRPr="007A5789">
        <w:rPr>
          <w:sz w:val="21"/>
        </w:rPr>
        <w:t>万瑞</w:t>
      </w:r>
      <w:proofErr w:type="gramEnd"/>
      <w:r w:rsidRPr="007A5789">
        <w:rPr>
          <w:sz w:val="21"/>
        </w:rPr>
        <w:t>郎的支付调整。由于这涉及最早从2004年开始的申请并且与2015年公布的申请无关，因此从国际申请费中单独列出，并且不包含在以下图表分析中</w:t>
      </w:r>
      <w:r w:rsidR="00DD3735" w:rsidRPr="007A5789">
        <w:rPr>
          <w:rFonts w:hint="eastAsia"/>
          <w:sz w:val="21"/>
        </w:rPr>
        <w:t>，</w:t>
      </w:r>
      <w:r w:rsidR="00DD3735" w:rsidRPr="007A5789">
        <w:rPr>
          <w:sz w:val="21"/>
        </w:rPr>
        <w:t>这样</w:t>
      </w:r>
      <w:r w:rsidRPr="007A5789">
        <w:rPr>
          <w:sz w:val="21"/>
        </w:rPr>
        <w:t>2015年</w:t>
      </w:r>
      <w:r w:rsidR="00DD3735" w:rsidRPr="007A5789">
        <w:rPr>
          <w:sz w:val="21"/>
        </w:rPr>
        <w:t>的</w:t>
      </w:r>
      <w:r w:rsidRPr="007A5789">
        <w:rPr>
          <w:sz w:val="21"/>
        </w:rPr>
        <w:t>收入数据</w:t>
      </w:r>
      <w:r w:rsidR="00DD3735" w:rsidRPr="007A5789">
        <w:rPr>
          <w:sz w:val="21"/>
        </w:rPr>
        <w:t>不至于</w:t>
      </w:r>
      <w:r w:rsidRPr="007A5789">
        <w:rPr>
          <w:sz w:val="21"/>
        </w:rPr>
        <w:t>失真：</w:t>
      </w:r>
    </w:p>
    <w:p w:rsidR="005378E9" w:rsidRPr="006A1075" w:rsidRDefault="00EA07EB"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2012年至2015年PCT国际申请费用和出版物</w:t>
      </w:r>
    </w:p>
    <w:p w:rsidR="00FD69C6" w:rsidRPr="007A5789" w:rsidRDefault="00A93427" w:rsidP="006A1075">
      <w:pPr>
        <w:spacing w:afterLines="50" w:after="120" w:line="340" w:lineRule="atLeast"/>
        <w:jc w:val="center"/>
        <w:rPr>
          <w:sz w:val="21"/>
          <w:szCs w:val="22"/>
        </w:rPr>
      </w:pPr>
      <w:r w:rsidRPr="00EF7E79">
        <w:rPr>
          <w:noProof/>
          <w:sz w:val="21"/>
          <w:lang w:val="en-US" w:bidi="ar-SA"/>
        </w:rPr>
        <w:drawing>
          <wp:inline distT="0" distB="0" distL="0" distR="0" wp14:anchorId="61B42EFB" wp14:editId="587B35CA">
            <wp:extent cx="5603240" cy="31527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3240" cy="3152775"/>
                    </a:xfrm>
                    <a:prstGeom prst="rect">
                      <a:avLst/>
                    </a:prstGeom>
                    <a:noFill/>
                    <a:ln>
                      <a:noFill/>
                    </a:ln>
                  </pic:spPr>
                </pic:pic>
              </a:graphicData>
            </a:graphic>
          </wp:inline>
        </w:drawing>
      </w:r>
    </w:p>
    <w:p w:rsidR="007A5789" w:rsidRDefault="00FD69C6" w:rsidP="00B6014B">
      <w:pPr>
        <w:pStyle w:val="ONUME"/>
        <w:tabs>
          <w:tab w:val="clear" w:pos="567"/>
        </w:tabs>
        <w:overflowPunct w:val="0"/>
        <w:spacing w:afterLines="50" w:after="120" w:line="340" w:lineRule="atLeast"/>
        <w:rPr>
          <w:sz w:val="21"/>
          <w:szCs w:val="22"/>
        </w:rPr>
      </w:pPr>
      <w:r w:rsidRPr="007A5789">
        <w:rPr>
          <w:sz w:val="21"/>
        </w:rPr>
        <w:t>当PCT国际申请费用</w:t>
      </w:r>
      <w:proofErr w:type="gramStart"/>
      <w:r w:rsidRPr="007A5789">
        <w:rPr>
          <w:sz w:val="21"/>
        </w:rPr>
        <w:t>以除瑞郎</w:t>
      </w:r>
      <w:proofErr w:type="gramEnd"/>
      <w:r w:rsidRPr="007A5789">
        <w:rPr>
          <w:sz w:val="21"/>
        </w:rPr>
        <w:t>以外的货币收取的时候则产生汇兑损益。WIPO每年设立以各种货币计价的等值费用金额。申请当日适用的等值金额决定以申请人当地货币支付申请费用的金额。WIPO以瑞郎确认的实际金额由其收到付款之日的联合国业务汇率</w:t>
      </w:r>
      <w:r w:rsidR="00B6014B">
        <w:rPr>
          <w:sz w:val="21"/>
        </w:rPr>
        <w:t>（</w:t>
      </w:r>
      <w:r w:rsidRPr="007A5789">
        <w:rPr>
          <w:sz w:val="21"/>
        </w:rPr>
        <w:t>UNORE</w:t>
      </w:r>
      <w:r w:rsidR="00B6014B">
        <w:rPr>
          <w:sz w:val="21"/>
        </w:rPr>
        <w:t>）</w:t>
      </w:r>
      <w:r w:rsidRPr="007A5789">
        <w:rPr>
          <w:sz w:val="21"/>
        </w:rPr>
        <w:t>决定。当等值瑞</w:t>
      </w:r>
      <w:proofErr w:type="gramStart"/>
      <w:r w:rsidRPr="007A5789">
        <w:rPr>
          <w:sz w:val="21"/>
        </w:rPr>
        <w:t>郎费用</w:t>
      </w:r>
      <w:proofErr w:type="gramEnd"/>
      <w:r w:rsidRPr="007A5789">
        <w:rPr>
          <w:sz w:val="21"/>
        </w:rPr>
        <w:t>与付款之日以瑞郎标价的实际金额之间出现差额时即产生费用的汇兑损益。在2015年，本组织已收PCT费用</w:t>
      </w:r>
      <w:r w:rsidR="00B6014B">
        <w:rPr>
          <w:sz w:val="21"/>
        </w:rPr>
        <w:t>（</w:t>
      </w:r>
      <w:r w:rsidRPr="007A5789">
        <w:rPr>
          <w:sz w:val="21"/>
        </w:rPr>
        <w:t>国际申请费和手续费</w:t>
      </w:r>
      <w:r w:rsidR="00B6014B">
        <w:rPr>
          <w:sz w:val="21"/>
        </w:rPr>
        <w:t>）</w:t>
      </w:r>
      <w:r w:rsidRPr="007A5789">
        <w:rPr>
          <w:sz w:val="21"/>
        </w:rPr>
        <w:t>的净汇兑损失70</w:t>
      </w:r>
      <w:proofErr w:type="gramStart"/>
      <w:r w:rsidRPr="007A5789">
        <w:rPr>
          <w:sz w:val="21"/>
        </w:rPr>
        <w:t>万瑞</w:t>
      </w:r>
      <w:proofErr w:type="gramEnd"/>
      <w:r w:rsidRPr="007A5789">
        <w:rPr>
          <w:sz w:val="21"/>
        </w:rPr>
        <w:t>郎。损失主要涉及</w:t>
      </w:r>
      <w:r w:rsidR="00B11B47">
        <w:rPr>
          <w:sz w:val="21"/>
        </w:rPr>
        <w:t>日元</w:t>
      </w:r>
      <w:r w:rsidR="00B6014B">
        <w:rPr>
          <w:sz w:val="21"/>
        </w:rPr>
        <w:t>（</w:t>
      </w:r>
      <w:r w:rsidRPr="007A5789">
        <w:rPr>
          <w:sz w:val="21"/>
        </w:rPr>
        <w:t>损失160</w:t>
      </w:r>
      <w:proofErr w:type="gramStart"/>
      <w:r w:rsidRPr="007A5789">
        <w:rPr>
          <w:sz w:val="21"/>
        </w:rPr>
        <w:t>万瑞</w:t>
      </w:r>
      <w:proofErr w:type="gramEnd"/>
      <w:r w:rsidRPr="007A5789">
        <w:rPr>
          <w:sz w:val="21"/>
        </w:rPr>
        <w:t>郎</w:t>
      </w:r>
      <w:r w:rsidR="00B6014B">
        <w:rPr>
          <w:sz w:val="21"/>
        </w:rPr>
        <w:t>）</w:t>
      </w:r>
      <w:r w:rsidRPr="007A5789">
        <w:rPr>
          <w:sz w:val="21"/>
        </w:rPr>
        <w:t>及欧元</w:t>
      </w:r>
      <w:r w:rsidR="00B6014B">
        <w:rPr>
          <w:sz w:val="21"/>
        </w:rPr>
        <w:t>（</w:t>
      </w:r>
      <w:r w:rsidRPr="007A5789">
        <w:rPr>
          <w:sz w:val="21"/>
        </w:rPr>
        <w:t>损失140</w:t>
      </w:r>
      <w:proofErr w:type="gramStart"/>
      <w:r w:rsidRPr="007A5789">
        <w:rPr>
          <w:sz w:val="21"/>
        </w:rPr>
        <w:t>万瑞</w:t>
      </w:r>
      <w:proofErr w:type="gramEnd"/>
      <w:r w:rsidRPr="007A5789">
        <w:rPr>
          <w:sz w:val="21"/>
        </w:rPr>
        <w:t>郎</w:t>
      </w:r>
      <w:r w:rsidR="00B6014B">
        <w:rPr>
          <w:sz w:val="21"/>
        </w:rPr>
        <w:t>）</w:t>
      </w:r>
      <w:r w:rsidRPr="007A5789">
        <w:rPr>
          <w:sz w:val="21"/>
        </w:rPr>
        <w:t>费用，而美元费用实现260</w:t>
      </w:r>
      <w:proofErr w:type="gramStart"/>
      <w:r w:rsidRPr="007A5789">
        <w:rPr>
          <w:sz w:val="21"/>
        </w:rPr>
        <w:t>万瑞</w:t>
      </w:r>
      <w:proofErr w:type="gramEnd"/>
      <w:r w:rsidRPr="007A5789">
        <w:rPr>
          <w:sz w:val="21"/>
        </w:rPr>
        <w:t>郎的收益。2014年和2013年，WIPO均产生了已收费用的净汇兑损失，而2012年实现净收益750</w:t>
      </w:r>
      <w:proofErr w:type="gramStart"/>
      <w:r w:rsidRPr="007A5789">
        <w:rPr>
          <w:sz w:val="21"/>
        </w:rPr>
        <w:t>万瑞</w:t>
      </w:r>
      <w:proofErr w:type="gramEnd"/>
      <w:r w:rsidRPr="007A5789">
        <w:rPr>
          <w:sz w:val="21"/>
        </w:rPr>
        <w:t>郎。</w:t>
      </w:r>
    </w:p>
    <w:p w:rsidR="007A5789" w:rsidRPr="006A1075" w:rsidRDefault="00B13F12"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2012年至2015年已收PCT费用汇兑益/</w:t>
      </w:r>
      <w:r w:rsidR="00B6014B">
        <w:rPr>
          <w:sz w:val="21"/>
          <w:u w:val="single"/>
        </w:rPr>
        <w:t>（</w:t>
      </w:r>
      <w:r w:rsidRPr="007A5789">
        <w:rPr>
          <w:sz w:val="21"/>
          <w:u w:val="single"/>
        </w:rPr>
        <w:t>损</w:t>
      </w:r>
      <w:r w:rsidR="00B6014B">
        <w:rPr>
          <w:sz w:val="21"/>
          <w:u w:val="single"/>
        </w:rPr>
        <w:t>）</w:t>
      </w:r>
      <w:r w:rsidRPr="007A5789">
        <w:rPr>
          <w:sz w:val="21"/>
          <w:u w:val="single"/>
        </w:rPr>
        <w:t>详情</w:t>
      </w:r>
    </w:p>
    <w:p w:rsidR="006245A4" w:rsidRPr="007A5789" w:rsidRDefault="00B11B47" w:rsidP="00B11B47">
      <w:pPr>
        <w:spacing w:afterLines="50" w:after="120" w:line="340" w:lineRule="atLeast"/>
        <w:jc w:val="center"/>
        <w:rPr>
          <w:sz w:val="21"/>
          <w:szCs w:val="22"/>
        </w:rPr>
      </w:pPr>
      <w:r w:rsidRPr="00B11B47">
        <w:rPr>
          <w:noProof/>
          <w:sz w:val="21"/>
          <w:lang w:val="en-US" w:bidi="ar-SA"/>
        </w:rPr>
        <w:drawing>
          <wp:inline distT="0" distB="0" distL="0" distR="0" wp14:anchorId="4E015C12" wp14:editId="2536020C">
            <wp:extent cx="5940425" cy="133447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1334470"/>
                    </a:xfrm>
                    <a:prstGeom prst="rect">
                      <a:avLst/>
                    </a:prstGeom>
                    <a:noFill/>
                    <a:ln>
                      <a:noFill/>
                    </a:ln>
                  </pic:spPr>
                </pic:pic>
              </a:graphicData>
            </a:graphic>
          </wp:inline>
        </w:drawing>
      </w:r>
    </w:p>
    <w:p w:rsidR="007A5789" w:rsidRDefault="006245A4" w:rsidP="00B6014B">
      <w:pPr>
        <w:pStyle w:val="ONUME"/>
        <w:tabs>
          <w:tab w:val="clear" w:pos="567"/>
        </w:tabs>
        <w:overflowPunct w:val="0"/>
        <w:spacing w:afterLines="50" w:after="120" w:line="340" w:lineRule="atLeast"/>
        <w:rPr>
          <w:sz w:val="21"/>
        </w:rPr>
      </w:pPr>
      <w:r w:rsidRPr="007A5789">
        <w:rPr>
          <w:sz w:val="21"/>
        </w:rPr>
        <w:t>本组织每年根据前一年十月份的第一个星期一的汇率</w:t>
      </w:r>
      <w:proofErr w:type="gramStart"/>
      <w:r w:rsidRPr="007A5789">
        <w:rPr>
          <w:sz w:val="21"/>
        </w:rPr>
        <w:t>确定除瑞郎</w:t>
      </w:r>
      <w:proofErr w:type="gramEnd"/>
      <w:r w:rsidRPr="007A5789">
        <w:rPr>
          <w:sz w:val="21"/>
        </w:rPr>
        <w:t>以外其他货币计价的等值费用金额。如果本年度其他货币与瑞郎之间的兑换汇率在连续四个以上星期五变动5.0%或以上，则等值金额可以重新设定。</w:t>
      </w:r>
    </w:p>
    <w:p w:rsidR="007A5789" w:rsidRDefault="000673A5" w:rsidP="00B6014B">
      <w:pPr>
        <w:pStyle w:val="ONUME"/>
        <w:tabs>
          <w:tab w:val="clear" w:pos="567"/>
        </w:tabs>
        <w:overflowPunct w:val="0"/>
        <w:spacing w:afterLines="50" w:after="120" w:line="340" w:lineRule="atLeast"/>
        <w:rPr>
          <w:sz w:val="21"/>
          <w:szCs w:val="22"/>
        </w:rPr>
      </w:pPr>
      <w:r w:rsidRPr="007A5789">
        <w:rPr>
          <w:sz w:val="21"/>
        </w:rPr>
        <w:t>继2015年1月15日瑞士央行</w:t>
      </w:r>
      <w:r w:rsidR="00B6014B">
        <w:rPr>
          <w:rFonts w:hint="eastAsia"/>
          <w:sz w:val="21"/>
        </w:rPr>
        <w:t>（</w:t>
      </w:r>
      <w:r w:rsidR="002556AB" w:rsidRPr="007A5789">
        <w:rPr>
          <w:sz w:val="21"/>
        </w:rPr>
        <w:t>SNB</w:t>
      </w:r>
      <w:r w:rsidR="00B6014B">
        <w:rPr>
          <w:rFonts w:hint="eastAsia"/>
          <w:sz w:val="21"/>
        </w:rPr>
        <w:t>）</w:t>
      </w:r>
      <w:r w:rsidRPr="007A5789">
        <w:rPr>
          <w:sz w:val="21"/>
        </w:rPr>
        <w:t>宣布终止维持最小汇率欧元兑1.20瑞郎的政策之后，瑞郎大幅升值，所有其他货币兑瑞郎在外汇市场上平均下跌15%。这导致PCT已收费用最初出现汇兑损</w:t>
      </w:r>
      <w:r w:rsidRPr="007A5789">
        <w:rPr>
          <w:sz w:val="21"/>
        </w:rPr>
        <w:lastRenderedPageBreak/>
        <w:t>失。但由于2015年4月1日多个货币确定了新的等值金额以及下半年美元和欧元兑瑞</w:t>
      </w:r>
      <w:proofErr w:type="gramStart"/>
      <w:r w:rsidRPr="007A5789">
        <w:rPr>
          <w:sz w:val="21"/>
        </w:rPr>
        <w:t>郎逐渐</w:t>
      </w:r>
      <w:proofErr w:type="gramEnd"/>
      <w:r w:rsidRPr="007A5789">
        <w:rPr>
          <w:sz w:val="21"/>
        </w:rPr>
        <w:t>升值，2015年PCT已收费用的净汇兑损失被控制在70</w:t>
      </w:r>
      <w:proofErr w:type="gramStart"/>
      <w:r w:rsidRPr="007A5789">
        <w:rPr>
          <w:sz w:val="21"/>
        </w:rPr>
        <w:t>万瑞</w:t>
      </w:r>
      <w:proofErr w:type="gramEnd"/>
      <w:r w:rsidRPr="007A5789">
        <w:rPr>
          <w:sz w:val="21"/>
        </w:rPr>
        <w:t>郎。下表显示2012年至2015年用于确定等值金额的美元、日元和欧元汇率与这三种货币的UNORE之间的差异：</w:t>
      </w:r>
    </w:p>
    <w:p w:rsidR="006245A4" w:rsidRPr="006A1075" w:rsidRDefault="006245A4"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美元</w:t>
      </w:r>
      <w:r w:rsidR="00B11B47">
        <w:rPr>
          <w:rFonts w:hint="eastAsia"/>
          <w:sz w:val="21"/>
          <w:u w:val="single"/>
        </w:rPr>
        <w:t xml:space="preserve"> </w:t>
      </w:r>
      <w:r w:rsidRPr="007A5789">
        <w:rPr>
          <w:sz w:val="21"/>
          <w:u w:val="single"/>
        </w:rPr>
        <w:t>-</w:t>
      </w:r>
      <w:r w:rsidR="00B11B47">
        <w:rPr>
          <w:rFonts w:hint="eastAsia"/>
          <w:sz w:val="21"/>
          <w:u w:val="single"/>
        </w:rPr>
        <w:t xml:space="preserve"> </w:t>
      </w:r>
      <w:r w:rsidRPr="007A5789">
        <w:rPr>
          <w:sz w:val="21"/>
          <w:u w:val="single"/>
        </w:rPr>
        <w:t>2012年至2015年等值</w:t>
      </w:r>
      <w:proofErr w:type="gramStart"/>
      <w:r w:rsidRPr="007A5789">
        <w:rPr>
          <w:sz w:val="21"/>
          <w:u w:val="single"/>
        </w:rPr>
        <w:t>金额汇率</w:t>
      </w:r>
      <w:proofErr w:type="gramEnd"/>
      <w:r w:rsidRPr="007A5789">
        <w:rPr>
          <w:sz w:val="21"/>
          <w:u w:val="single"/>
        </w:rPr>
        <w:t>与UNORE对比情况</w:t>
      </w:r>
    </w:p>
    <w:p w:rsidR="007A5789" w:rsidRDefault="00C52E0D" w:rsidP="00C52E0D">
      <w:pPr>
        <w:spacing w:afterLines="50" w:after="120" w:line="340" w:lineRule="atLeast"/>
        <w:jc w:val="center"/>
        <w:rPr>
          <w:sz w:val="21"/>
          <w:szCs w:val="22"/>
        </w:rPr>
      </w:pPr>
      <w:r w:rsidRPr="00EF7E79">
        <w:rPr>
          <w:noProof/>
          <w:sz w:val="21"/>
          <w:lang w:val="en-US" w:bidi="ar-SA"/>
        </w:rPr>
        <w:drawing>
          <wp:inline distT="0" distB="0" distL="0" distR="0" wp14:anchorId="5A70B9CB" wp14:editId="31947471">
            <wp:extent cx="3841200" cy="3196800"/>
            <wp:effectExtent l="0" t="0" r="6985" b="3810"/>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41200" cy="3196800"/>
                    </a:xfrm>
                    <a:prstGeom prst="rect">
                      <a:avLst/>
                    </a:prstGeom>
                    <a:noFill/>
                    <a:ln>
                      <a:noFill/>
                    </a:ln>
                  </pic:spPr>
                </pic:pic>
              </a:graphicData>
            </a:graphic>
          </wp:inline>
        </w:drawing>
      </w:r>
    </w:p>
    <w:p w:rsidR="00C252AA" w:rsidRPr="006A1075" w:rsidRDefault="00C252AA"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日元</w:t>
      </w:r>
      <w:r w:rsidR="00B11B47">
        <w:rPr>
          <w:rFonts w:hint="eastAsia"/>
          <w:sz w:val="21"/>
          <w:u w:val="single"/>
        </w:rPr>
        <w:t xml:space="preserve"> </w:t>
      </w:r>
      <w:r w:rsidRPr="007A5789">
        <w:rPr>
          <w:sz w:val="21"/>
          <w:u w:val="single"/>
        </w:rPr>
        <w:t>-</w:t>
      </w:r>
      <w:r w:rsidR="00B11B47">
        <w:rPr>
          <w:rFonts w:hint="eastAsia"/>
          <w:sz w:val="21"/>
          <w:u w:val="single"/>
        </w:rPr>
        <w:t xml:space="preserve"> </w:t>
      </w:r>
      <w:r w:rsidRPr="007A5789">
        <w:rPr>
          <w:sz w:val="21"/>
          <w:u w:val="single"/>
        </w:rPr>
        <w:t>2012年至2015年等值</w:t>
      </w:r>
      <w:proofErr w:type="gramStart"/>
      <w:r w:rsidRPr="007A5789">
        <w:rPr>
          <w:sz w:val="21"/>
          <w:u w:val="single"/>
        </w:rPr>
        <w:t>金额汇率</w:t>
      </w:r>
      <w:proofErr w:type="gramEnd"/>
      <w:r w:rsidRPr="007A5789">
        <w:rPr>
          <w:sz w:val="21"/>
          <w:u w:val="single"/>
        </w:rPr>
        <w:t>与UNORE对比情况</w:t>
      </w:r>
    </w:p>
    <w:p w:rsidR="007A5789" w:rsidRDefault="00C52E0D" w:rsidP="00C52E0D">
      <w:pPr>
        <w:spacing w:afterLines="50" w:after="120" w:line="340" w:lineRule="atLeast"/>
        <w:jc w:val="center"/>
        <w:rPr>
          <w:sz w:val="21"/>
          <w:szCs w:val="22"/>
        </w:rPr>
      </w:pPr>
      <w:r w:rsidRPr="00EF7E79">
        <w:rPr>
          <w:noProof/>
          <w:sz w:val="21"/>
          <w:lang w:val="en-US" w:bidi="ar-SA"/>
        </w:rPr>
        <w:drawing>
          <wp:inline distT="0" distB="0" distL="0" distR="0" wp14:anchorId="73459F9C" wp14:editId="51091FE7">
            <wp:extent cx="3463200" cy="2188800"/>
            <wp:effectExtent l="0" t="0" r="4445" b="2540"/>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63200" cy="2188800"/>
                    </a:xfrm>
                    <a:prstGeom prst="rect">
                      <a:avLst/>
                    </a:prstGeom>
                    <a:noFill/>
                    <a:ln>
                      <a:noFill/>
                    </a:ln>
                  </pic:spPr>
                </pic:pic>
              </a:graphicData>
            </a:graphic>
          </wp:inline>
        </w:drawing>
      </w:r>
    </w:p>
    <w:p w:rsidR="00C252AA" w:rsidRPr="006A1075" w:rsidRDefault="002231E4" w:rsidP="006A1075">
      <w:pPr>
        <w:pStyle w:val="ONUME"/>
        <w:keepNext/>
        <w:numPr>
          <w:ilvl w:val="0"/>
          <w:numId w:val="0"/>
        </w:numPr>
        <w:overflowPunct w:val="0"/>
        <w:spacing w:afterLines="50" w:after="120" w:line="340" w:lineRule="atLeast"/>
        <w:jc w:val="center"/>
        <w:rPr>
          <w:sz w:val="21"/>
          <w:u w:val="single"/>
        </w:rPr>
      </w:pPr>
      <w:r w:rsidRPr="007A5789">
        <w:rPr>
          <w:sz w:val="21"/>
          <w:u w:val="single"/>
        </w:rPr>
        <w:lastRenderedPageBreak/>
        <w:t>欧元</w:t>
      </w:r>
      <w:r w:rsidR="00B11B47">
        <w:rPr>
          <w:rFonts w:hint="eastAsia"/>
          <w:sz w:val="21"/>
          <w:u w:val="single"/>
        </w:rPr>
        <w:t xml:space="preserve"> </w:t>
      </w:r>
      <w:r w:rsidRPr="007A5789">
        <w:rPr>
          <w:sz w:val="21"/>
          <w:u w:val="single"/>
        </w:rPr>
        <w:t>-</w:t>
      </w:r>
      <w:r w:rsidR="00B11B47">
        <w:rPr>
          <w:rFonts w:hint="eastAsia"/>
          <w:sz w:val="21"/>
          <w:u w:val="single"/>
        </w:rPr>
        <w:t xml:space="preserve"> </w:t>
      </w:r>
      <w:r w:rsidRPr="007A5789">
        <w:rPr>
          <w:sz w:val="21"/>
          <w:u w:val="single"/>
        </w:rPr>
        <w:t>2012年至2015年等值</w:t>
      </w:r>
      <w:proofErr w:type="gramStart"/>
      <w:r w:rsidRPr="007A5789">
        <w:rPr>
          <w:sz w:val="21"/>
          <w:u w:val="single"/>
        </w:rPr>
        <w:t>金额汇率</w:t>
      </w:r>
      <w:proofErr w:type="gramEnd"/>
      <w:r w:rsidRPr="007A5789">
        <w:rPr>
          <w:sz w:val="21"/>
          <w:u w:val="single"/>
        </w:rPr>
        <w:t>与UNORE对比情况</w:t>
      </w:r>
    </w:p>
    <w:p w:rsidR="007A5789" w:rsidRDefault="00C52E0D" w:rsidP="00B87A4B">
      <w:pPr>
        <w:spacing w:afterLines="50" w:after="120" w:line="340" w:lineRule="atLeast"/>
        <w:jc w:val="center"/>
        <w:rPr>
          <w:sz w:val="21"/>
          <w:szCs w:val="22"/>
        </w:rPr>
      </w:pPr>
      <w:r w:rsidRPr="00EF7E79">
        <w:rPr>
          <w:noProof/>
          <w:sz w:val="21"/>
          <w:lang w:val="en-US" w:bidi="ar-SA"/>
        </w:rPr>
        <w:drawing>
          <wp:inline distT="0" distB="0" distL="0" distR="0" wp14:anchorId="050A2B8C" wp14:editId="7235543A">
            <wp:extent cx="3787200" cy="2379600"/>
            <wp:effectExtent l="0" t="0" r="3810" b="1905"/>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87200" cy="2379600"/>
                    </a:xfrm>
                    <a:prstGeom prst="rect">
                      <a:avLst/>
                    </a:prstGeom>
                    <a:noFill/>
                    <a:ln>
                      <a:noFill/>
                    </a:ln>
                  </pic:spPr>
                </pic:pic>
              </a:graphicData>
            </a:graphic>
          </wp:inline>
        </w:drawing>
      </w:r>
    </w:p>
    <w:p w:rsidR="007A5789" w:rsidRDefault="00E2275A" w:rsidP="00B6014B">
      <w:pPr>
        <w:pStyle w:val="ONUME"/>
        <w:tabs>
          <w:tab w:val="clear" w:pos="567"/>
        </w:tabs>
        <w:overflowPunct w:val="0"/>
        <w:spacing w:afterLines="50" w:after="120" w:line="340" w:lineRule="atLeast"/>
        <w:rPr>
          <w:sz w:val="21"/>
          <w:szCs w:val="22"/>
        </w:rPr>
      </w:pPr>
      <w:r w:rsidRPr="007A5789">
        <w:rPr>
          <w:sz w:val="21"/>
        </w:rPr>
        <w:t>马德里体系</w:t>
      </w:r>
      <w:proofErr w:type="gramStart"/>
      <w:r w:rsidRPr="007A5789">
        <w:rPr>
          <w:sz w:val="21"/>
        </w:rPr>
        <w:t>规</w:t>
      </w:r>
      <w:proofErr w:type="gramEnd"/>
      <w:r w:rsidRPr="007A5789">
        <w:rPr>
          <w:sz w:val="21"/>
        </w:rPr>
        <w:t>费主要包括注册或续展申请的基本费用和后续指定的费用</w:t>
      </w:r>
    </w:p>
    <w:p w:rsidR="007A5789" w:rsidRPr="006A1075" w:rsidRDefault="00500698"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2012年至2015年马德里体系</w:t>
      </w:r>
      <w:proofErr w:type="gramStart"/>
      <w:r w:rsidRPr="007A5789">
        <w:rPr>
          <w:sz w:val="21"/>
          <w:u w:val="single"/>
        </w:rPr>
        <w:t>规</w:t>
      </w:r>
      <w:proofErr w:type="gramEnd"/>
      <w:r w:rsidRPr="007A5789">
        <w:rPr>
          <w:sz w:val="21"/>
          <w:u w:val="single"/>
        </w:rPr>
        <w:t>费详情</w:t>
      </w:r>
    </w:p>
    <w:p w:rsidR="00500698" w:rsidRPr="007A5789" w:rsidRDefault="00C52E0D" w:rsidP="00C52E0D">
      <w:pPr>
        <w:spacing w:afterLines="50" w:after="120" w:line="340" w:lineRule="atLeast"/>
        <w:jc w:val="center"/>
        <w:rPr>
          <w:sz w:val="21"/>
          <w:szCs w:val="22"/>
        </w:rPr>
      </w:pPr>
      <w:r w:rsidRPr="00EF7E79">
        <w:rPr>
          <w:noProof/>
          <w:sz w:val="21"/>
          <w:lang w:val="en-US" w:bidi="ar-SA"/>
        </w:rPr>
        <w:drawing>
          <wp:inline distT="0" distB="0" distL="0" distR="0" wp14:anchorId="5E3ED156" wp14:editId="2AF1C0F0">
            <wp:extent cx="5940425" cy="1393225"/>
            <wp:effectExtent l="0" t="0" r="3175" b="0"/>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1393225"/>
                    </a:xfrm>
                    <a:prstGeom prst="rect">
                      <a:avLst/>
                    </a:prstGeom>
                    <a:noFill/>
                    <a:ln>
                      <a:noFill/>
                    </a:ln>
                  </pic:spPr>
                </pic:pic>
              </a:graphicData>
            </a:graphic>
          </wp:inline>
        </w:drawing>
      </w:r>
    </w:p>
    <w:p w:rsidR="007A5789" w:rsidRDefault="00322320" w:rsidP="00B6014B">
      <w:pPr>
        <w:pStyle w:val="ONUME"/>
        <w:tabs>
          <w:tab w:val="clear" w:pos="567"/>
        </w:tabs>
        <w:overflowPunct w:val="0"/>
        <w:spacing w:afterLines="50" w:after="120" w:line="340" w:lineRule="atLeast"/>
        <w:rPr>
          <w:sz w:val="21"/>
          <w:szCs w:val="22"/>
        </w:rPr>
      </w:pPr>
      <w:r w:rsidRPr="007A5789">
        <w:rPr>
          <w:sz w:val="21"/>
        </w:rPr>
        <w:t>依据IPSAS，马德里的注册、续展和后续指定的费用收入在财务报表中要到公布之日才入账。根据IPSAS确认的注册和续展收入</w:t>
      </w:r>
      <w:r w:rsidR="00B6014B">
        <w:rPr>
          <w:sz w:val="21"/>
        </w:rPr>
        <w:t>（</w:t>
      </w:r>
      <w:r w:rsidRPr="007A5789">
        <w:rPr>
          <w:sz w:val="21"/>
        </w:rPr>
        <w:t>但是不包括其他费用</w:t>
      </w:r>
      <w:r w:rsidR="00B6014B">
        <w:rPr>
          <w:sz w:val="21"/>
        </w:rPr>
        <w:t>）</w:t>
      </w:r>
      <w:r w:rsidRPr="007A5789">
        <w:rPr>
          <w:sz w:val="21"/>
        </w:rPr>
        <w:t>随着注册和续展数目逐年增长而增长。</w:t>
      </w:r>
    </w:p>
    <w:p w:rsidR="00850BA0" w:rsidRPr="007A5789" w:rsidRDefault="00850BA0"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马德里-2012年至2015年基本费用和注册/续展</w:t>
      </w:r>
    </w:p>
    <w:p w:rsidR="00322320" w:rsidRPr="007A5789" w:rsidRDefault="009A4369" w:rsidP="00B87A4B">
      <w:pPr>
        <w:spacing w:afterLines="50" w:after="120" w:line="340" w:lineRule="atLeast"/>
        <w:jc w:val="center"/>
        <w:rPr>
          <w:sz w:val="21"/>
          <w:szCs w:val="22"/>
        </w:rPr>
      </w:pPr>
      <w:r w:rsidRPr="00EF7E79">
        <w:rPr>
          <w:noProof/>
          <w:sz w:val="21"/>
          <w:lang w:val="en-US" w:bidi="ar-SA"/>
        </w:rPr>
        <w:drawing>
          <wp:inline distT="0" distB="0" distL="0" distR="0" wp14:anchorId="2C263950" wp14:editId="51718049">
            <wp:extent cx="5940425" cy="3351621"/>
            <wp:effectExtent l="0" t="0" r="3175" b="1270"/>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0425" cy="3351621"/>
                    </a:xfrm>
                    <a:prstGeom prst="rect">
                      <a:avLst/>
                    </a:prstGeom>
                    <a:noFill/>
                    <a:ln>
                      <a:noFill/>
                    </a:ln>
                  </pic:spPr>
                </pic:pic>
              </a:graphicData>
            </a:graphic>
          </wp:inline>
        </w:drawing>
      </w:r>
    </w:p>
    <w:p w:rsidR="007A5789" w:rsidRDefault="003C0006" w:rsidP="00B6014B">
      <w:pPr>
        <w:pStyle w:val="ONUME"/>
        <w:tabs>
          <w:tab w:val="clear" w:pos="567"/>
        </w:tabs>
        <w:overflowPunct w:val="0"/>
        <w:spacing w:afterLines="50" w:after="120" w:line="340" w:lineRule="atLeast"/>
        <w:rPr>
          <w:sz w:val="21"/>
        </w:rPr>
      </w:pPr>
      <w:r w:rsidRPr="007A5789">
        <w:rPr>
          <w:sz w:val="21"/>
        </w:rPr>
        <w:lastRenderedPageBreak/>
        <w:t>如上所述，2015年马德里体系</w:t>
      </w:r>
      <w:proofErr w:type="gramStart"/>
      <w:r w:rsidRPr="007A5789">
        <w:rPr>
          <w:sz w:val="21"/>
        </w:rPr>
        <w:t>规</w:t>
      </w:r>
      <w:proofErr w:type="gramEnd"/>
      <w:r w:rsidRPr="007A5789">
        <w:rPr>
          <w:sz w:val="21"/>
        </w:rPr>
        <w:t>费收入较2014年大幅增长23.2%。2015年马德里体系注册增加22.4%，共计51,938</w:t>
      </w:r>
      <w:r w:rsidR="00B11B47">
        <w:rPr>
          <w:rFonts w:hint="eastAsia"/>
          <w:sz w:val="21"/>
        </w:rPr>
        <w:t>件</w:t>
      </w:r>
      <w:r w:rsidRPr="007A5789">
        <w:rPr>
          <w:sz w:val="21"/>
        </w:rPr>
        <w:t>，而2014年为42,430</w:t>
      </w:r>
      <w:r w:rsidR="00B11B47">
        <w:rPr>
          <w:rFonts w:hint="eastAsia"/>
          <w:sz w:val="21"/>
        </w:rPr>
        <w:t>件</w:t>
      </w:r>
      <w:r w:rsidRPr="007A5789">
        <w:rPr>
          <w:sz w:val="21"/>
        </w:rPr>
        <w:t>。虽然2015年马德里申请同比增长2.9%，但注册大幅增加主要是因为清理积压申请。2015年续展也从上年的25,729</w:t>
      </w:r>
      <w:r w:rsidR="00B11B47">
        <w:rPr>
          <w:rFonts w:hint="eastAsia"/>
          <w:sz w:val="21"/>
        </w:rPr>
        <w:t>件</w:t>
      </w:r>
      <w:r w:rsidRPr="007A5789">
        <w:rPr>
          <w:sz w:val="21"/>
        </w:rPr>
        <w:t>增至28,501</w:t>
      </w:r>
      <w:r w:rsidR="00B11B47">
        <w:rPr>
          <w:rFonts w:hint="eastAsia"/>
          <w:sz w:val="21"/>
        </w:rPr>
        <w:t>件</w:t>
      </w:r>
      <w:r w:rsidRPr="007A5789">
        <w:rPr>
          <w:sz w:val="21"/>
        </w:rPr>
        <w:t>。</w:t>
      </w:r>
    </w:p>
    <w:p w:rsidR="007A5789" w:rsidRDefault="00850BA0" w:rsidP="00B6014B">
      <w:pPr>
        <w:pStyle w:val="ONUME"/>
        <w:tabs>
          <w:tab w:val="clear" w:pos="567"/>
        </w:tabs>
        <w:overflowPunct w:val="0"/>
        <w:spacing w:afterLines="50" w:after="120" w:line="340" w:lineRule="atLeast"/>
        <w:rPr>
          <w:sz w:val="21"/>
          <w:szCs w:val="22"/>
        </w:rPr>
      </w:pPr>
      <w:r w:rsidRPr="007A5789">
        <w:rPr>
          <w:sz w:val="21"/>
        </w:rPr>
        <w:t>2015年海牙体系</w:t>
      </w:r>
      <w:proofErr w:type="gramStart"/>
      <w:r w:rsidRPr="007A5789">
        <w:rPr>
          <w:sz w:val="21"/>
        </w:rPr>
        <w:t>规</w:t>
      </w:r>
      <w:proofErr w:type="gramEnd"/>
      <w:r w:rsidRPr="007A5789">
        <w:rPr>
          <w:sz w:val="21"/>
        </w:rPr>
        <w:t>费共计390</w:t>
      </w:r>
      <w:proofErr w:type="gramStart"/>
      <w:r w:rsidRPr="007A5789">
        <w:rPr>
          <w:sz w:val="21"/>
        </w:rPr>
        <w:t>万瑞</w:t>
      </w:r>
      <w:proofErr w:type="gramEnd"/>
      <w:r w:rsidRPr="007A5789">
        <w:rPr>
          <w:sz w:val="21"/>
        </w:rPr>
        <w:t>郎。正如PCT和马德里体系</w:t>
      </w:r>
      <w:proofErr w:type="gramStart"/>
      <w:r w:rsidRPr="007A5789">
        <w:rPr>
          <w:sz w:val="21"/>
        </w:rPr>
        <w:t>规</w:t>
      </w:r>
      <w:proofErr w:type="gramEnd"/>
      <w:r w:rsidRPr="007A5789">
        <w:rPr>
          <w:sz w:val="21"/>
        </w:rPr>
        <w:t>费，处理申请的相关费用产生的收入当申请公布时才入账。海牙体系</w:t>
      </w:r>
      <w:proofErr w:type="gramStart"/>
      <w:r w:rsidRPr="007A5789">
        <w:rPr>
          <w:sz w:val="21"/>
        </w:rPr>
        <w:t>规费较</w:t>
      </w:r>
      <w:proofErr w:type="gramEnd"/>
      <w:r w:rsidRPr="007A5789">
        <w:rPr>
          <w:sz w:val="21"/>
        </w:rPr>
        <w:t>2014年增长21.9%。2015年海牙注册从2014年的2,703</w:t>
      </w:r>
      <w:r w:rsidR="00B11B47">
        <w:rPr>
          <w:rFonts w:hint="eastAsia"/>
          <w:sz w:val="21"/>
        </w:rPr>
        <w:t>件</w:t>
      </w:r>
      <w:r w:rsidRPr="007A5789">
        <w:rPr>
          <w:sz w:val="21"/>
        </w:rPr>
        <w:t>增加至3,581</w:t>
      </w:r>
      <w:r w:rsidR="00B11B47">
        <w:rPr>
          <w:rFonts w:hint="eastAsia"/>
          <w:sz w:val="21"/>
        </w:rPr>
        <w:t>件</w:t>
      </w:r>
      <w:r w:rsidRPr="007A5789">
        <w:rPr>
          <w:sz w:val="21"/>
        </w:rPr>
        <w:t>。海牙体系活动增加是因为2014年韩国的加入以及2015年日本和美国的加</w:t>
      </w:r>
      <w:r w:rsidR="006F192F">
        <w:rPr>
          <w:sz w:val="21"/>
        </w:rPr>
        <w:t>‍</w:t>
      </w:r>
      <w:r w:rsidRPr="007A5789">
        <w:rPr>
          <w:sz w:val="21"/>
        </w:rPr>
        <w:t>入。</w:t>
      </w:r>
    </w:p>
    <w:p w:rsidR="007A5789" w:rsidRDefault="007826F4" w:rsidP="00B6014B">
      <w:pPr>
        <w:pStyle w:val="ONUME"/>
        <w:tabs>
          <w:tab w:val="clear" w:pos="567"/>
        </w:tabs>
        <w:overflowPunct w:val="0"/>
        <w:spacing w:afterLines="50" w:after="120" w:line="340" w:lineRule="atLeast"/>
        <w:rPr>
          <w:sz w:val="21"/>
          <w:szCs w:val="22"/>
        </w:rPr>
      </w:pPr>
      <w:r w:rsidRPr="007A5789">
        <w:rPr>
          <w:sz w:val="21"/>
        </w:rPr>
        <w:t>2015年里斯本体系</w:t>
      </w:r>
      <w:proofErr w:type="gramStart"/>
      <w:r w:rsidRPr="007A5789">
        <w:rPr>
          <w:sz w:val="21"/>
        </w:rPr>
        <w:t>规</w:t>
      </w:r>
      <w:proofErr w:type="gramEnd"/>
      <w:r w:rsidRPr="007A5789">
        <w:rPr>
          <w:sz w:val="21"/>
        </w:rPr>
        <w:t>费共计17,000瑞郎，2014年为40,000瑞郎。在里斯本体系下收到的</w:t>
      </w:r>
      <w:r w:rsidR="00B11B47">
        <w:rPr>
          <w:rFonts w:hint="eastAsia"/>
          <w:sz w:val="21"/>
        </w:rPr>
        <w:t>申</w:t>
      </w:r>
      <w:r w:rsidRPr="007A5789">
        <w:rPr>
          <w:sz w:val="21"/>
        </w:rPr>
        <w:t>请数量从2014年的64</w:t>
      </w:r>
      <w:r w:rsidR="00B11B47">
        <w:rPr>
          <w:rFonts w:hint="eastAsia"/>
          <w:sz w:val="21"/>
        </w:rPr>
        <w:t>件</w:t>
      </w:r>
      <w:r w:rsidRPr="007A5789">
        <w:rPr>
          <w:sz w:val="21"/>
        </w:rPr>
        <w:t>降至2015年的34</w:t>
      </w:r>
      <w:r w:rsidR="00B11B47">
        <w:rPr>
          <w:rFonts w:hint="eastAsia"/>
          <w:sz w:val="21"/>
        </w:rPr>
        <w:t>件</w:t>
      </w:r>
      <w:r w:rsidRPr="007A5789">
        <w:rPr>
          <w:sz w:val="21"/>
        </w:rPr>
        <w:t>。</w:t>
      </w:r>
    </w:p>
    <w:p w:rsidR="00850BA0" w:rsidRPr="007A5789" w:rsidRDefault="00850BA0" w:rsidP="00B11B47">
      <w:pPr>
        <w:pStyle w:val="ONUME"/>
        <w:tabs>
          <w:tab w:val="clear" w:pos="567"/>
        </w:tabs>
        <w:overflowPunct w:val="0"/>
        <w:spacing w:afterLines="50" w:after="120" w:line="340" w:lineRule="atLeast"/>
        <w:rPr>
          <w:sz w:val="21"/>
          <w:szCs w:val="22"/>
        </w:rPr>
      </w:pPr>
      <w:r w:rsidRPr="007A5789">
        <w:rPr>
          <w:sz w:val="21"/>
        </w:rPr>
        <w:t>2015年分摊会费收入为1,780</w:t>
      </w:r>
      <w:proofErr w:type="gramStart"/>
      <w:r w:rsidRPr="007A5789">
        <w:rPr>
          <w:sz w:val="21"/>
        </w:rPr>
        <w:t>万瑞</w:t>
      </w:r>
      <w:proofErr w:type="gramEnd"/>
      <w:r w:rsidRPr="007A5789">
        <w:rPr>
          <w:sz w:val="21"/>
        </w:rPr>
        <w:t>郎，占总收入的4.7%。特别账户自愿捐款收入为1,030</w:t>
      </w:r>
      <w:proofErr w:type="gramStart"/>
      <w:r w:rsidRPr="007A5789">
        <w:rPr>
          <w:sz w:val="21"/>
        </w:rPr>
        <w:t>万瑞</w:t>
      </w:r>
      <w:proofErr w:type="gramEnd"/>
      <w:r w:rsidRPr="007A5789">
        <w:rPr>
          <w:sz w:val="21"/>
        </w:rPr>
        <w:t>郎，占总收入的2.7%。在按相关合同履行工作且发生开支的情况下，自愿捐款的收入纳入财务报表。</w:t>
      </w:r>
    </w:p>
    <w:p w:rsidR="007A5789" w:rsidRDefault="00850BA0" w:rsidP="00B6014B">
      <w:pPr>
        <w:pStyle w:val="ONUME"/>
        <w:tabs>
          <w:tab w:val="clear" w:pos="567"/>
        </w:tabs>
        <w:overflowPunct w:val="0"/>
        <w:spacing w:afterLines="50" w:after="120" w:line="340" w:lineRule="atLeast"/>
        <w:rPr>
          <w:sz w:val="21"/>
          <w:szCs w:val="22"/>
        </w:rPr>
      </w:pPr>
      <w:r w:rsidRPr="007A5789">
        <w:rPr>
          <w:sz w:val="21"/>
        </w:rPr>
        <w:t>2015年投资收入共计150</w:t>
      </w:r>
      <w:proofErr w:type="gramStart"/>
      <w:r w:rsidRPr="007A5789">
        <w:rPr>
          <w:sz w:val="21"/>
        </w:rPr>
        <w:t>万瑞</w:t>
      </w:r>
      <w:proofErr w:type="gramEnd"/>
      <w:r w:rsidRPr="007A5789">
        <w:rPr>
          <w:sz w:val="21"/>
        </w:rPr>
        <w:t>郎。该数字几乎完全由本组织的投资财产马德里</w:t>
      </w:r>
      <w:proofErr w:type="gramStart"/>
      <w:r w:rsidRPr="007A5789">
        <w:rPr>
          <w:sz w:val="21"/>
        </w:rPr>
        <w:t>联盟楼</w:t>
      </w:r>
      <w:proofErr w:type="gramEnd"/>
      <w:r w:rsidRPr="007A5789">
        <w:rPr>
          <w:sz w:val="21"/>
        </w:rPr>
        <w:t>140</w:t>
      </w:r>
      <w:proofErr w:type="gramStart"/>
      <w:r w:rsidRPr="007A5789">
        <w:rPr>
          <w:sz w:val="21"/>
        </w:rPr>
        <w:t>万瑞</w:t>
      </w:r>
      <w:proofErr w:type="gramEnd"/>
      <w:r w:rsidRPr="007A5789">
        <w:rPr>
          <w:sz w:val="21"/>
        </w:rPr>
        <w:t>郎的升值组成。利息收入从2014年的160</w:t>
      </w:r>
      <w:proofErr w:type="gramStart"/>
      <w:r w:rsidRPr="007A5789">
        <w:rPr>
          <w:sz w:val="21"/>
        </w:rPr>
        <w:t>万瑞</w:t>
      </w:r>
      <w:proofErr w:type="gramEnd"/>
      <w:r w:rsidRPr="007A5789">
        <w:rPr>
          <w:sz w:val="21"/>
        </w:rPr>
        <w:t>郎降至2015年的10</w:t>
      </w:r>
      <w:proofErr w:type="gramStart"/>
      <w:r w:rsidRPr="007A5789">
        <w:rPr>
          <w:sz w:val="21"/>
        </w:rPr>
        <w:t>万瑞</w:t>
      </w:r>
      <w:proofErr w:type="gramEnd"/>
      <w:r w:rsidRPr="007A5789">
        <w:rPr>
          <w:sz w:val="21"/>
        </w:rPr>
        <w:t>郎。本组织继续将大部分现金余额存放在瑞士联邦金融管理局</w:t>
      </w:r>
      <w:r w:rsidR="00B6014B">
        <w:rPr>
          <w:sz w:val="21"/>
        </w:rPr>
        <w:t>（</w:t>
      </w:r>
      <w:r w:rsidRPr="007A5789">
        <w:rPr>
          <w:sz w:val="21"/>
        </w:rPr>
        <w:t>AFF</w:t>
      </w:r>
      <w:r w:rsidR="00B6014B">
        <w:rPr>
          <w:sz w:val="21"/>
        </w:rPr>
        <w:t>）</w:t>
      </w:r>
      <w:r w:rsidRPr="007A5789">
        <w:rPr>
          <w:sz w:val="21"/>
        </w:rPr>
        <w:t>，从2015年2月起，AFF对这些存款账户实行零利率。2015年仲裁与调解收入150</w:t>
      </w:r>
      <w:proofErr w:type="gramStart"/>
      <w:r w:rsidRPr="007A5789">
        <w:rPr>
          <w:sz w:val="21"/>
        </w:rPr>
        <w:t>万瑞</w:t>
      </w:r>
      <w:proofErr w:type="gramEnd"/>
      <w:r w:rsidRPr="007A5789">
        <w:rPr>
          <w:sz w:val="21"/>
        </w:rPr>
        <w:t>郎，出版物销售收入50</w:t>
      </w:r>
      <w:proofErr w:type="gramStart"/>
      <w:r w:rsidRPr="007A5789">
        <w:rPr>
          <w:sz w:val="21"/>
        </w:rPr>
        <w:t>万瑞</w:t>
      </w:r>
      <w:proofErr w:type="gramEnd"/>
      <w:r w:rsidRPr="007A5789">
        <w:rPr>
          <w:sz w:val="21"/>
        </w:rPr>
        <w:t>郎，其他/杂项收入310</w:t>
      </w:r>
      <w:proofErr w:type="gramStart"/>
      <w:r w:rsidRPr="007A5789">
        <w:rPr>
          <w:sz w:val="21"/>
        </w:rPr>
        <w:t>万瑞</w:t>
      </w:r>
      <w:proofErr w:type="gramEnd"/>
      <w:r w:rsidRPr="007A5789">
        <w:rPr>
          <w:sz w:val="21"/>
        </w:rPr>
        <w:t>郎，基本与前一年持平。</w:t>
      </w:r>
    </w:p>
    <w:p w:rsidR="00850BA0" w:rsidRPr="00FF47B9" w:rsidRDefault="00850BA0" w:rsidP="00FF47B9">
      <w:pPr>
        <w:keepNext/>
        <w:overflowPunct w:val="0"/>
        <w:spacing w:beforeLines="100" w:before="240" w:afterLines="50" w:after="120" w:line="340" w:lineRule="atLeast"/>
        <w:rPr>
          <w:rFonts w:ascii="KaiTi" w:eastAsia="KaiTi" w:hAnsi="KaiTi"/>
          <w:b/>
          <w:sz w:val="21"/>
        </w:rPr>
      </w:pPr>
      <w:r w:rsidRPr="00FF47B9">
        <w:rPr>
          <w:rFonts w:ascii="KaiTi" w:eastAsia="KaiTi" w:hAnsi="KaiTi"/>
          <w:b/>
          <w:sz w:val="21"/>
        </w:rPr>
        <w:t>支出分析</w:t>
      </w:r>
    </w:p>
    <w:p w:rsidR="00850BA0" w:rsidRPr="007A5789" w:rsidRDefault="00850BA0" w:rsidP="00850BA0">
      <w:pPr>
        <w:jc w:val="center"/>
        <w:rPr>
          <w:sz w:val="21"/>
          <w:szCs w:val="22"/>
          <w:u w:val="single"/>
        </w:rPr>
      </w:pPr>
      <w:r w:rsidRPr="007A5789">
        <w:rPr>
          <w:sz w:val="21"/>
          <w:u w:val="single"/>
        </w:rPr>
        <w:t>2015年IPSAS制的支出构成</w:t>
      </w:r>
    </w:p>
    <w:p w:rsidR="00850BA0" w:rsidRPr="006A1075" w:rsidRDefault="00B6014B" w:rsidP="006A1075">
      <w:pPr>
        <w:spacing w:afterLines="50" w:after="120" w:line="340" w:lineRule="atLeast"/>
        <w:jc w:val="center"/>
        <w:rPr>
          <w:rFonts w:ascii="KaiTi" w:eastAsia="KaiTi" w:hAnsi="KaiTi"/>
          <w:sz w:val="21"/>
        </w:rPr>
      </w:pPr>
      <w:r w:rsidRPr="006A1075">
        <w:rPr>
          <w:rFonts w:ascii="KaiTi" w:eastAsia="KaiTi" w:hAnsi="KaiTi"/>
          <w:sz w:val="21"/>
        </w:rPr>
        <w:t>（</w:t>
      </w:r>
      <w:r w:rsidR="00850BA0" w:rsidRPr="006A1075">
        <w:rPr>
          <w:rFonts w:ascii="KaiTi" w:eastAsia="KaiTi" w:hAnsi="KaiTi"/>
          <w:sz w:val="21"/>
        </w:rPr>
        <w:t>单位：百</w:t>
      </w:r>
      <w:proofErr w:type="gramStart"/>
      <w:r w:rsidR="00850BA0" w:rsidRPr="006A1075">
        <w:rPr>
          <w:rFonts w:ascii="KaiTi" w:eastAsia="KaiTi" w:hAnsi="KaiTi"/>
          <w:sz w:val="21"/>
        </w:rPr>
        <w:t>万瑞</w:t>
      </w:r>
      <w:proofErr w:type="gramEnd"/>
      <w:r w:rsidR="00850BA0" w:rsidRPr="006A1075">
        <w:rPr>
          <w:rFonts w:ascii="KaiTi" w:eastAsia="KaiTi" w:hAnsi="KaiTi"/>
          <w:sz w:val="21"/>
        </w:rPr>
        <w:t>郎</w:t>
      </w:r>
      <w:r w:rsidRPr="006A1075">
        <w:rPr>
          <w:rFonts w:ascii="KaiTi" w:eastAsia="KaiTi" w:hAnsi="KaiTi"/>
          <w:sz w:val="21"/>
        </w:rPr>
        <w:t>）</w:t>
      </w:r>
    </w:p>
    <w:p w:rsidR="00850BA0" w:rsidRPr="007A5789" w:rsidRDefault="004E71F1" w:rsidP="00B11B47">
      <w:pPr>
        <w:spacing w:afterLines="50" w:after="120" w:line="340" w:lineRule="atLeast"/>
        <w:jc w:val="center"/>
        <w:rPr>
          <w:sz w:val="21"/>
          <w:szCs w:val="22"/>
        </w:rPr>
      </w:pPr>
      <w:r>
        <w:rPr>
          <w:rFonts w:ascii="Times New Roman" w:hAnsi="Times New Roman"/>
          <w:noProof/>
          <w:lang w:val="en-US" w:bidi="ar-SA"/>
        </w:rPr>
        <mc:AlternateContent>
          <mc:Choice Requires="wps">
            <w:drawing>
              <wp:anchor distT="0" distB="0" distL="114300" distR="114300" simplePos="0" relativeHeight="251657728" behindDoc="0" locked="0" layoutInCell="1" allowOverlap="1" wp14:anchorId="258FB766" wp14:editId="157B82B3">
                <wp:simplePos x="0" y="0"/>
                <wp:positionH relativeFrom="column">
                  <wp:posOffset>4157345</wp:posOffset>
                </wp:positionH>
                <wp:positionV relativeFrom="paragraph">
                  <wp:posOffset>2442845</wp:posOffset>
                </wp:positionV>
                <wp:extent cx="1495425" cy="381000"/>
                <wp:effectExtent l="0" t="0" r="9525"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81000"/>
                        </a:xfrm>
                        <a:prstGeom prst="rect">
                          <a:avLst/>
                        </a:prstGeom>
                        <a:solidFill>
                          <a:srgbClr val="C0504D">
                            <a:lumMod val="50000"/>
                          </a:srgbClr>
                        </a:solidFill>
                        <a:ln w="9525">
                          <a:noFill/>
                          <a:miter lim="800000"/>
                          <a:headEnd/>
                          <a:tailEnd/>
                        </a:ln>
                      </wps:spPr>
                      <wps:txbx>
                        <w:txbxContent>
                          <w:p w:rsidR="00F75064" w:rsidRPr="00797442" w:rsidRDefault="00F75064" w:rsidP="00752F46">
                            <w:pPr>
                              <w:jc w:val="center"/>
                              <w:rPr>
                                <w:rFonts w:eastAsia="SimHei"/>
                                <w:color w:val="FFFFFF"/>
                                <w:sz w:val="18"/>
                                <w:szCs w:val="18"/>
                              </w:rPr>
                            </w:pPr>
                            <w:r w:rsidRPr="00797442">
                              <w:rPr>
                                <w:rFonts w:eastAsia="SimHei"/>
                                <w:color w:val="FFFFFF"/>
                                <w:sz w:val="18"/>
                              </w:rPr>
                              <w:t>2015</w:t>
                            </w:r>
                            <w:r w:rsidRPr="00797442">
                              <w:rPr>
                                <w:rFonts w:eastAsia="SimHei"/>
                                <w:color w:val="FFFFFF"/>
                                <w:sz w:val="18"/>
                              </w:rPr>
                              <w:t>年总支出：</w:t>
                            </w:r>
                          </w:p>
                          <w:p w:rsidR="00F75064" w:rsidRPr="00797442" w:rsidRDefault="00F75064" w:rsidP="00752F46">
                            <w:pPr>
                              <w:jc w:val="center"/>
                              <w:rPr>
                                <w:rFonts w:eastAsia="SimHei"/>
                                <w:color w:val="FFFFFF"/>
                                <w:sz w:val="18"/>
                                <w:szCs w:val="18"/>
                              </w:rPr>
                            </w:pPr>
                            <w:r w:rsidRPr="00797442">
                              <w:rPr>
                                <w:rFonts w:eastAsia="SimHei"/>
                                <w:color w:val="FFFFFF"/>
                                <w:sz w:val="18"/>
                              </w:rPr>
                              <w:t>3.486</w:t>
                            </w:r>
                            <w:r w:rsidRPr="00797442">
                              <w:rPr>
                                <w:rFonts w:eastAsia="SimHei"/>
                                <w:color w:val="FFFFFF"/>
                                <w:sz w:val="18"/>
                              </w:rPr>
                              <w:t>亿瑞郎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7.35pt;margin-top:192.35pt;width:117.7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" fillcolor="#632523" stroked="f">
                <v:textbox>
                  <w:txbxContent>
                    <w:p w:rsidR="00F75064" w:rsidRPr="00797442" w:rsidRDefault="00F75064" w:rsidP="00752F46">
                      <w:pPr>
                        <w:jc w:val="center"/>
                        <w:rPr>
                          <w:rFonts w:eastAsia="SimHei"/>
                          <w:color w:val="FFFFFF"/>
                          <w:sz w:val="18"/>
                          <w:szCs w:val="18"/>
                        </w:rPr>
                      </w:pPr>
                      <w:r w:rsidRPr="00797442">
                        <w:rPr>
                          <w:rFonts w:eastAsia="SimHei"/>
                          <w:color w:val="FFFFFF"/>
                          <w:sz w:val="18"/>
                        </w:rPr>
                        <w:t>2015</w:t>
                      </w:r>
                      <w:r w:rsidRPr="00797442">
                        <w:rPr>
                          <w:rFonts w:eastAsia="SimHei"/>
                          <w:color w:val="FFFFFF"/>
                          <w:sz w:val="18"/>
                        </w:rPr>
                        <w:t>年总支出：</w:t>
                      </w:r>
                    </w:p>
                    <w:p w:rsidR="00F75064" w:rsidRPr="00797442" w:rsidRDefault="00F75064" w:rsidP="00752F46">
                      <w:pPr>
                        <w:jc w:val="center"/>
                        <w:rPr>
                          <w:rFonts w:eastAsia="SimHei"/>
                          <w:color w:val="FFFFFF"/>
                          <w:sz w:val="18"/>
                          <w:szCs w:val="18"/>
                        </w:rPr>
                      </w:pPr>
                      <w:r w:rsidRPr="00797442">
                        <w:rPr>
                          <w:rFonts w:eastAsia="SimHei"/>
                          <w:color w:val="FFFFFF"/>
                          <w:sz w:val="18"/>
                        </w:rPr>
                        <w:t>3.486</w:t>
                      </w:r>
                      <w:r w:rsidRPr="00797442">
                        <w:rPr>
                          <w:rFonts w:eastAsia="SimHei"/>
                          <w:color w:val="FFFFFF"/>
                          <w:sz w:val="18"/>
                        </w:rPr>
                        <w:t>亿瑞郎</w:t>
                      </w:r>
                    </w:p>
                  </w:txbxContent>
                </v:textbox>
              </v:shape>
            </w:pict>
          </mc:Fallback>
        </mc:AlternateContent>
      </w:r>
      <w:r w:rsidR="00B11B47" w:rsidRPr="00B11B47">
        <w:rPr>
          <w:noProof/>
          <w:sz w:val="21"/>
          <w:lang w:val="en-US" w:bidi="ar-SA"/>
        </w:rPr>
        <w:drawing>
          <wp:inline distT="0" distB="0" distL="0" distR="0" wp14:anchorId="1523971D" wp14:editId="1168ECEF">
            <wp:extent cx="5764530" cy="316738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4530" cy="3167380"/>
                    </a:xfrm>
                    <a:prstGeom prst="rect">
                      <a:avLst/>
                    </a:prstGeom>
                    <a:noFill/>
                    <a:ln>
                      <a:noFill/>
                    </a:ln>
                  </pic:spPr>
                </pic:pic>
              </a:graphicData>
            </a:graphic>
          </wp:inline>
        </w:drawing>
      </w:r>
    </w:p>
    <w:p w:rsidR="000A3C01" w:rsidRPr="007A5789" w:rsidRDefault="000A3C01" w:rsidP="00B11B47">
      <w:pPr>
        <w:pStyle w:val="ONUME"/>
        <w:keepNext/>
        <w:tabs>
          <w:tab w:val="clear" w:pos="567"/>
        </w:tabs>
        <w:overflowPunct w:val="0"/>
        <w:spacing w:afterLines="50" w:after="120" w:line="340" w:lineRule="atLeast"/>
        <w:rPr>
          <w:sz w:val="21"/>
          <w:szCs w:val="22"/>
        </w:rPr>
      </w:pPr>
      <w:r w:rsidRPr="007A5789">
        <w:rPr>
          <w:sz w:val="21"/>
        </w:rPr>
        <w:lastRenderedPageBreak/>
        <w:t>本组织2015年的总支出为3.486亿瑞郎，比2014年3.332亿瑞郎的总支出增加了4.6%。本组织的最大支出是2.163亿瑞郎的人事费用，占总支出的62%。本组织第二大支出是花费7,210</w:t>
      </w:r>
      <w:proofErr w:type="gramStart"/>
      <w:r w:rsidRPr="007A5789">
        <w:rPr>
          <w:sz w:val="21"/>
        </w:rPr>
        <w:t>万瑞</w:t>
      </w:r>
      <w:proofErr w:type="gramEnd"/>
      <w:r w:rsidRPr="007A5789">
        <w:rPr>
          <w:sz w:val="21"/>
        </w:rPr>
        <w:t>郎的订约承办事务，其次是2,120</w:t>
      </w:r>
      <w:proofErr w:type="gramStart"/>
      <w:r w:rsidRPr="007A5789">
        <w:rPr>
          <w:sz w:val="21"/>
        </w:rPr>
        <w:t>万瑞</w:t>
      </w:r>
      <w:proofErr w:type="gramEnd"/>
      <w:r w:rsidRPr="007A5789">
        <w:rPr>
          <w:sz w:val="21"/>
        </w:rPr>
        <w:t>郎的业务费用。下表为与上一年度相比支出类型变化摘要：</w:t>
      </w:r>
    </w:p>
    <w:p w:rsidR="000A3C01" w:rsidRPr="007A5789" w:rsidRDefault="00CB63CE" w:rsidP="0059182F">
      <w:pPr>
        <w:pStyle w:val="ONUME"/>
        <w:keepNext/>
        <w:keepLines/>
        <w:numPr>
          <w:ilvl w:val="0"/>
          <w:numId w:val="0"/>
        </w:numPr>
        <w:jc w:val="center"/>
        <w:rPr>
          <w:sz w:val="21"/>
          <w:u w:val="single"/>
        </w:rPr>
      </w:pPr>
      <w:r w:rsidRPr="007A5789">
        <w:rPr>
          <w:sz w:val="21"/>
          <w:u w:val="single"/>
        </w:rPr>
        <w:t>2014年和2015年相比的支出变化</w:t>
      </w:r>
    </w:p>
    <w:p w:rsidR="007A5789" w:rsidRDefault="00B11B47" w:rsidP="009A4369">
      <w:pPr>
        <w:spacing w:afterLines="50" w:after="120" w:line="340" w:lineRule="atLeast"/>
        <w:jc w:val="center"/>
        <w:rPr>
          <w:sz w:val="21"/>
          <w:szCs w:val="22"/>
        </w:rPr>
      </w:pPr>
      <w:r w:rsidRPr="00B11B47">
        <w:rPr>
          <w:noProof/>
          <w:sz w:val="21"/>
          <w:lang w:val="en-US" w:bidi="ar-SA"/>
        </w:rPr>
        <w:drawing>
          <wp:inline distT="0" distB="0" distL="0" distR="0" wp14:anchorId="48AEE9F9" wp14:editId="7952BF8F">
            <wp:extent cx="5940425" cy="2209865"/>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2209865"/>
                    </a:xfrm>
                    <a:prstGeom prst="rect">
                      <a:avLst/>
                    </a:prstGeom>
                    <a:noFill/>
                    <a:ln>
                      <a:noFill/>
                    </a:ln>
                  </pic:spPr>
                </pic:pic>
              </a:graphicData>
            </a:graphic>
          </wp:inline>
        </w:drawing>
      </w:r>
    </w:p>
    <w:p w:rsidR="007A5789" w:rsidRDefault="000A3C01" w:rsidP="00B6014B">
      <w:pPr>
        <w:pStyle w:val="ONUME"/>
        <w:tabs>
          <w:tab w:val="clear" w:pos="567"/>
        </w:tabs>
        <w:overflowPunct w:val="0"/>
        <w:spacing w:afterLines="50" w:after="120" w:line="340" w:lineRule="atLeast"/>
        <w:rPr>
          <w:sz w:val="21"/>
          <w:szCs w:val="22"/>
        </w:rPr>
      </w:pPr>
      <w:r w:rsidRPr="007A5789">
        <w:rPr>
          <w:sz w:val="21"/>
        </w:rPr>
        <w:t>人事支出主要包括基薪净额和</w:t>
      </w:r>
      <w:r w:rsidR="00B11B47">
        <w:rPr>
          <w:rFonts w:hint="eastAsia"/>
          <w:sz w:val="21"/>
        </w:rPr>
        <w:t>员额</w:t>
      </w:r>
      <w:r w:rsidRPr="007A5789">
        <w:rPr>
          <w:sz w:val="21"/>
        </w:rPr>
        <w:t>或临时职位员工的点差价调整。这些组合在一起为1.443亿瑞郎，占2015年人事总支出的66.7%。人事支出的下一个重要要素是本组织对联合国合办工作人员养恤基金</w:t>
      </w:r>
      <w:r w:rsidR="00B6014B">
        <w:rPr>
          <w:sz w:val="21"/>
        </w:rPr>
        <w:t>（</w:t>
      </w:r>
      <w:r w:rsidRPr="007A5789">
        <w:rPr>
          <w:sz w:val="21"/>
        </w:rPr>
        <w:t>UNJSPF</w:t>
      </w:r>
      <w:r w:rsidR="00B6014B">
        <w:rPr>
          <w:sz w:val="21"/>
        </w:rPr>
        <w:t>）</w:t>
      </w:r>
      <w:r w:rsidRPr="007A5789">
        <w:rPr>
          <w:sz w:val="21"/>
        </w:rPr>
        <w:t>缴纳的退休计划缴费，2015年此项总额为2,670</w:t>
      </w:r>
      <w:proofErr w:type="gramStart"/>
      <w:r w:rsidRPr="007A5789">
        <w:rPr>
          <w:sz w:val="21"/>
        </w:rPr>
        <w:t>万瑞</w:t>
      </w:r>
      <w:proofErr w:type="gramEnd"/>
      <w:r w:rsidRPr="007A5789">
        <w:rPr>
          <w:sz w:val="21"/>
        </w:rPr>
        <w:t>郎。目前，WIPO向UNJSPF应缴款占工作人员</w:t>
      </w:r>
      <w:proofErr w:type="gramStart"/>
      <w:r w:rsidRPr="007A5789">
        <w:rPr>
          <w:sz w:val="21"/>
        </w:rPr>
        <w:t>应计养恤金</w:t>
      </w:r>
      <w:proofErr w:type="gramEnd"/>
      <w:r w:rsidRPr="007A5789">
        <w:rPr>
          <w:sz w:val="21"/>
        </w:rPr>
        <w:t>薪酬15.8%。1,660</w:t>
      </w:r>
      <w:proofErr w:type="gramStart"/>
      <w:r w:rsidRPr="007A5789">
        <w:rPr>
          <w:sz w:val="21"/>
        </w:rPr>
        <w:t>万瑞郎备抵</w:t>
      </w:r>
      <w:proofErr w:type="gramEnd"/>
      <w:r w:rsidRPr="007A5789">
        <w:rPr>
          <w:sz w:val="21"/>
        </w:rPr>
        <w:t>金占工作人员总支出的7.7%。</w:t>
      </w:r>
      <w:proofErr w:type="gramStart"/>
      <w:r w:rsidRPr="007A5789">
        <w:rPr>
          <w:sz w:val="21"/>
        </w:rPr>
        <w:t>备抵金</w:t>
      </w:r>
      <w:proofErr w:type="gramEnd"/>
      <w:r w:rsidRPr="007A5789">
        <w:rPr>
          <w:sz w:val="21"/>
        </w:rPr>
        <w:t>主要包括550</w:t>
      </w:r>
      <w:proofErr w:type="gramStart"/>
      <w:r w:rsidRPr="007A5789">
        <w:rPr>
          <w:sz w:val="21"/>
        </w:rPr>
        <w:t>万瑞郎教育</w:t>
      </w:r>
      <w:proofErr w:type="gramEnd"/>
      <w:r w:rsidRPr="007A5789">
        <w:rPr>
          <w:sz w:val="21"/>
        </w:rPr>
        <w:t>补助金、490</w:t>
      </w:r>
      <w:proofErr w:type="gramStart"/>
      <w:r w:rsidRPr="007A5789">
        <w:rPr>
          <w:sz w:val="21"/>
        </w:rPr>
        <w:t>万瑞</w:t>
      </w:r>
      <w:proofErr w:type="gramEnd"/>
      <w:r w:rsidRPr="007A5789">
        <w:rPr>
          <w:sz w:val="21"/>
        </w:rPr>
        <w:t>郎抚养津贴和240</w:t>
      </w:r>
      <w:proofErr w:type="gramStart"/>
      <w:r w:rsidRPr="007A5789">
        <w:rPr>
          <w:sz w:val="21"/>
        </w:rPr>
        <w:t>万瑞</w:t>
      </w:r>
      <w:proofErr w:type="gramEnd"/>
      <w:r w:rsidRPr="007A5789">
        <w:rPr>
          <w:sz w:val="21"/>
        </w:rPr>
        <w:t>郎回籍假。2015年，本组织为在职工作人员缴纳</w:t>
      </w:r>
      <w:proofErr w:type="gramStart"/>
      <w:r w:rsidRPr="007A5789">
        <w:rPr>
          <w:sz w:val="21"/>
        </w:rPr>
        <w:t>月统一</w:t>
      </w:r>
      <w:proofErr w:type="gramEnd"/>
      <w:r w:rsidRPr="007A5789">
        <w:rPr>
          <w:sz w:val="21"/>
        </w:rPr>
        <w:t>医疗保险费支出总计950</w:t>
      </w:r>
      <w:proofErr w:type="gramStart"/>
      <w:r w:rsidRPr="007A5789">
        <w:rPr>
          <w:sz w:val="21"/>
        </w:rPr>
        <w:t>万瑞</w:t>
      </w:r>
      <w:proofErr w:type="gramEnd"/>
      <w:r w:rsidRPr="007A5789">
        <w:rPr>
          <w:sz w:val="21"/>
        </w:rPr>
        <w:t>郎。其他人事支出为380</w:t>
      </w:r>
      <w:proofErr w:type="gramStart"/>
      <w:r w:rsidRPr="007A5789">
        <w:rPr>
          <w:sz w:val="21"/>
        </w:rPr>
        <w:t>万瑞</w:t>
      </w:r>
      <w:proofErr w:type="gramEnd"/>
      <w:r w:rsidRPr="007A5789">
        <w:rPr>
          <w:sz w:val="21"/>
        </w:rPr>
        <w:t>郎，主要包括终止合同。</w:t>
      </w:r>
    </w:p>
    <w:p w:rsidR="008B0F01" w:rsidRPr="007A5789" w:rsidRDefault="008B0F01" w:rsidP="006A1075">
      <w:pPr>
        <w:jc w:val="center"/>
        <w:rPr>
          <w:sz w:val="21"/>
          <w:u w:val="single"/>
        </w:rPr>
      </w:pPr>
      <w:r w:rsidRPr="007A5789">
        <w:rPr>
          <w:sz w:val="21"/>
          <w:u w:val="single"/>
        </w:rPr>
        <w:t>2015年IPSAS制的人事支出构成</w:t>
      </w:r>
    </w:p>
    <w:p w:rsidR="00D67AB1" w:rsidRPr="006A1075" w:rsidRDefault="00B6014B" w:rsidP="006A1075">
      <w:pPr>
        <w:spacing w:afterLines="50" w:after="120" w:line="340" w:lineRule="atLeast"/>
        <w:jc w:val="center"/>
        <w:rPr>
          <w:rFonts w:ascii="KaiTi" w:eastAsia="KaiTi" w:hAnsi="KaiTi"/>
          <w:sz w:val="21"/>
        </w:rPr>
      </w:pPr>
      <w:r w:rsidRPr="006A1075">
        <w:rPr>
          <w:rFonts w:ascii="KaiTi" w:eastAsia="KaiTi" w:hAnsi="KaiTi"/>
          <w:sz w:val="21"/>
        </w:rPr>
        <w:t>（</w:t>
      </w:r>
      <w:r w:rsidR="008B0F01" w:rsidRPr="006A1075">
        <w:rPr>
          <w:rFonts w:ascii="KaiTi" w:eastAsia="KaiTi" w:hAnsi="KaiTi"/>
          <w:sz w:val="21"/>
        </w:rPr>
        <w:t>单位：百</w:t>
      </w:r>
      <w:proofErr w:type="gramStart"/>
      <w:r w:rsidR="008B0F01" w:rsidRPr="006A1075">
        <w:rPr>
          <w:rFonts w:ascii="KaiTi" w:eastAsia="KaiTi" w:hAnsi="KaiTi"/>
          <w:sz w:val="21"/>
        </w:rPr>
        <w:t>万瑞</w:t>
      </w:r>
      <w:proofErr w:type="gramEnd"/>
      <w:r w:rsidR="008B0F01" w:rsidRPr="006A1075">
        <w:rPr>
          <w:rFonts w:ascii="KaiTi" w:eastAsia="KaiTi" w:hAnsi="KaiTi"/>
          <w:sz w:val="21"/>
        </w:rPr>
        <w:t>郎</w:t>
      </w:r>
      <w:r w:rsidRPr="006A1075">
        <w:rPr>
          <w:rFonts w:ascii="KaiTi" w:eastAsia="KaiTi" w:hAnsi="KaiTi"/>
          <w:sz w:val="21"/>
        </w:rPr>
        <w:t>）</w:t>
      </w:r>
    </w:p>
    <w:p w:rsidR="000A3C01" w:rsidRPr="007A5789" w:rsidRDefault="004E71F1" w:rsidP="006627BD">
      <w:pPr>
        <w:spacing w:afterLines="50" w:after="120" w:line="340" w:lineRule="atLeast"/>
        <w:jc w:val="center"/>
        <w:rPr>
          <w:sz w:val="21"/>
          <w:szCs w:val="22"/>
        </w:rPr>
      </w:pPr>
      <w:r>
        <w:rPr>
          <w:rFonts w:ascii="Times New Roman" w:hAnsi="Times New Roman"/>
          <w:noProof/>
          <w:lang w:val="en-US" w:bidi="ar-SA"/>
        </w:rPr>
        <mc:AlternateContent>
          <mc:Choice Requires="wps">
            <w:drawing>
              <wp:anchor distT="0" distB="0" distL="114300" distR="114300" simplePos="0" relativeHeight="251658752" behindDoc="0" locked="0" layoutInCell="1" allowOverlap="1" wp14:anchorId="56666EF8" wp14:editId="32BC0B8B">
                <wp:simplePos x="0" y="0"/>
                <wp:positionH relativeFrom="column">
                  <wp:posOffset>3846499</wp:posOffset>
                </wp:positionH>
                <wp:positionV relativeFrom="paragraph">
                  <wp:posOffset>2615178</wp:posOffset>
                </wp:positionV>
                <wp:extent cx="2038350" cy="437322"/>
                <wp:effectExtent l="0" t="0" r="0" b="127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37322"/>
                        </a:xfrm>
                        <a:prstGeom prst="rect">
                          <a:avLst/>
                        </a:prstGeom>
                        <a:solidFill>
                          <a:srgbClr val="8064A2">
                            <a:lumMod val="50000"/>
                          </a:srgbClr>
                        </a:solidFill>
                        <a:ln w="9525">
                          <a:noFill/>
                          <a:miter lim="800000"/>
                          <a:headEnd/>
                          <a:tailEnd/>
                        </a:ln>
                      </wps:spPr>
                      <wps:txbx>
                        <w:txbxContent>
                          <w:p w:rsidR="00F75064" w:rsidRDefault="00F75064" w:rsidP="008B0F01">
                            <w:pPr>
                              <w:jc w:val="center"/>
                              <w:rPr>
                                <w:rFonts w:eastAsia="SimHei"/>
                                <w:color w:val="FFFFFF"/>
                                <w:sz w:val="18"/>
                              </w:rPr>
                            </w:pPr>
                            <w:r w:rsidRPr="00797442">
                              <w:rPr>
                                <w:rFonts w:eastAsia="SimHei"/>
                                <w:color w:val="FFFFFF"/>
                                <w:sz w:val="18"/>
                              </w:rPr>
                              <w:t>2015</w:t>
                            </w:r>
                            <w:r w:rsidRPr="00797442">
                              <w:rPr>
                                <w:rFonts w:eastAsia="SimHei"/>
                                <w:color w:val="FFFFFF"/>
                                <w:sz w:val="18"/>
                              </w:rPr>
                              <w:t>年人事支出总额：</w:t>
                            </w:r>
                          </w:p>
                          <w:p w:rsidR="00F75064" w:rsidRPr="00797442" w:rsidRDefault="00F75064" w:rsidP="008B0F01">
                            <w:pPr>
                              <w:jc w:val="center"/>
                              <w:rPr>
                                <w:rFonts w:eastAsia="SimHei"/>
                                <w:color w:val="FFFFFF"/>
                                <w:sz w:val="18"/>
                                <w:szCs w:val="18"/>
                              </w:rPr>
                            </w:pPr>
                            <w:r w:rsidRPr="00797442">
                              <w:rPr>
                                <w:rFonts w:eastAsia="SimHei"/>
                                <w:color w:val="FFFFFF"/>
                                <w:sz w:val="18"/>
                              </w:rPr>
                              <w:t>2.163</w:t>
                            </w:r>
                            <w:r w:rsidRPr="00797442">
                              <w:rPr>
                                <w:rFonts w:eastAsia="SimHei"/>
                                <w:color w:val="FFFFFF"/>
                                <w:sz w:val="18"/>
                              </w:rPr>
                              <w:t>亿瑞郎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02.85pt;margin-top:205.9pt;width:160.5pt;height:3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" fillcolor="#403152" stroked="f">
                <v:textbox>
                  <w:txbxContent>
                    <w:p w:rsidR="00F75064" w:rsidRDefault="00F75064" w:rsidP="008B0F01">
                      <w:pPr>
                        <w:jc w:val="center"/>
                        <w:rPr>
                          <w:rFonts w:eastAsia="SimHei" w:hint="eastAsia"/>
                          <w:color w:val="FFFFFF"/>
                          <w:sz w:val="18"/>
                        </w:rPr>
                      </w:pPr>
                      <w:r w:rsidRPr="00797442">
                        <w:rPr>
                          <w:rFonts w:eastAsia="SimHei"/>
                          <w:color w:val="FFFFFF"/>
                          <w:sz w:val="18"/>
                        </w:rPr>
                        <w:t>2015</w:t>
                      </w:r>
                      <w:r w:rsidRPr="00797442">
                        <w:rPr>
                          <w:rFonts w:eastAsia="SimHei"/>
                          <w:color w:val="FFFFFF"/>
                          <w:sz w:val="18"/>
                        </w:rPr>
                        <w:t>年人事支出总额：</w:t>
                      </w:r>
                    </w:p>
                    <w:p w:rsidR="00F75064" w:rsidRPr="00797442" w:rsidRDefault="00F75064" w:rsidP="008B0F01">
                      <w:pPr>
                        <w:jc w:val="center"/>
                        <w:rPr>
                          <w:rFonts w:eastAsia="SimHei"/>
                          <w:color w:val="FFFFFF"/>
                          <w:sz w:val="18"/>
                          <w:szCs w:val="18"/>
                        </w:rPr>
                      </w:pPr>
                      <w:r w:rsidRPr="00797442">
                        <w:rPr>
                          <w:rFonts w:eastAsia="SimHei"/>
                          <w:color w:val="FFFFFF"/>
                          <w:sz w:val="18"/>
                        </w:rPr>
                        <w:t>2.163</w:t>
                      </w:r>
                      <w:r w:rsidRPr="00797442">
                        <w:rPr>
                          <w:rFonts w:eastAsia="SimHei"/>
                          <w:color w:val="FFFFFF"/>
                          <w:sz w:val="18"/>
                        </w:rPr>
                        <w:t>亿瑞郎</w:t>
                      </w:r>
                    </w:p>
                  </w:txbxContent>
                </v:textbox>
              </v:shape>
            </w:pict>
          </mc:Fallback>
        </mc:AlternateContent>
      </w:r>
      <w:r w:rsidR="006627BD" w:rsidRPr="00EF7E79">
        <w:rPr>
          <w:noProof/>
          <w:sz w:val="21"/>
          <w:lang w:val="en-US" w:bidi="ar-SA"/>
        </w:rPr>
        <w:drawing>
          <wp:inline distT="0" distB="0" distL="0" distR="0" wp14:anchorId="3BFBD331" wp14:editId="46E1DFAF">
            <wp:extent cx="4683125" cy="3164840"/>
            <wp:effectExtent l="0" t="0" r="3175" b="0"/>
            <wp:docPr id="295"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83125" cy="3164840"/>
                    </a:xfrm>
                    <a:prstGeom prst="rect">
                      <a:avLst/>
                    </a:prstGeom>
                    <a:noFill/>
                    <a:ln>
                      <a:noFill/>
                    </a:ln>
                  </pic:spPr>
                </pic:pic>
              </a:graphicData>
            </a:graphic>
          </wp:inline>
        </w:drawing>
      </w:r>
    </w:p>
    <w:p w:rsidR="007A5789" w:rsidRDefault="00D67AB1" w:rsidP="00B6014B">
      <w:pPr>
        <w:pStyle w:val="ONUME"/>
        <w:tabs>
          <w:tab w:val="clear" w:pos="567"/>
        </w:tabs>
        <w:overflowPunct w:val="0"/>
        <w:spacing w:afterLines="50" w:after="120" w:line="340" w:lineRule="atLeast"/>
        <w:rPr>
          <w:sz w:val="21"/>
          <w:szCs w:val="22"/>
        </w:rPr>
      </w:pPr>
      <w:r w:rsidRPr="007A5789">
        <w:rPr>
          <w:sz w:val="21"/>
        </w:rPr>
        <w:t>离职后雇员福利是本组织缴纳离职后健康保险</w:t>
      </w:r>
      <w:r w:rsidR="00B6014B">
        <w:rPr>
          <w:sz w:val="21"/>
        </w:rPr>
        <w:t>（</w:t>
      </w:r>
      <w:r w:rsidRPr="007A5789">
        <w:rPr>
          <w:sz w:val="21"/>
        </w:rPr>
        <w:t>ASHI</w:t>
      </w:r>
      <w:r w:rsidR="00B6014B">
        <w:rPr>
          <w:sz w:val="21"/>
        </w:rPr>
        <w:t>）</w:t>
      </w:r>
      <w:r w:rsidRPr="007A5789">
        <w:rPr>
          <w:sz w:val="21"/>
        </w:rPr>
        <w:t>、回国补助金和差旅费以及累计年假的费用</w:t>
      </w:r>
      <w:r w:rsidR="00DF7115">
        <w:rPr>
          <w:sz w:val="21"/>
        </w:rPr>
        <w:t>，</w:t>
      </w:r>
      <w:r w:rsidRPr="007A5789">
        <w:rPr>
          <w:sz w:val="21"/>
        </w:rPr>
        <w:t>为1,540</w:t>
      </w:r>
      <w:proofErr w:type="gramStart"/>
      <w:r w:rsidRPr="007A5789">
        <w:rPr>
          <w:sz w:val="21"/>
        </w:rPr>
        <w:t>万瑞</w:t>
      </w:r>
      <w:proofErr w:type="gramEnd"/>
      <w:r w:rsidRPr="007A5789">
        <w:rPr>
          <w:sz w:val="21"/>
        </w:rPr>
        <w:t>郎。2015年支出等于这些福利的实际现金支出，加上当年总负债金额的变动。</w:t>
      </w:r>
    </w:p>
    <w:p w:rsidR="007A5789" w:rsidRDefault="00401FA9" w:rsidP="006627BD">
      <w:pPr>
        <w:pStyle w:val="ONUME"/>
        <w:keepNext/>
        <w:tabs>
          <w:tab w:val="clear" w:pos="567"/>
        </w:tabs>
        <w:overflowPunct w:val="0"/>
        <w:spacing w:afterLines="50" w:after="120" w:line="340" w:lineRule="atLeast"/>
        <w:rPr>
          <w:sz w:val="21"/>
          <w:szCs w:val="22"/>
        </w:rPr>
      </w:pPr>
      <w:r w:rsidRPr="007A5789">
        <w:rPr>
          <w:sz w:val="21"/>
        </w:rPr>
        <w:lastRenderedPageBreak/>
        <w:t>2015年总人事支出为2.163亿瑞郎，与2014年2.164亿</w:t>
      </w:r>
      <w:proofErr w:type="gramStart"/>
      <w:r w:rsidR="002120E2" w:rsidRPr="007A5789">
        <w:rPr>
          <w:sz w:val="21"/>
        </w:rPr>
        <w:t>瑞郎</w:t>
      </w:r>
      <w:r w:rsidRPr="007A5789">
        <w:rPr>
          <w:sz w:val="21"/>
        </w:rPr>
        <w:t>总人事</w:t>
      </w:r>
      <w:proofErr w:type="gramEnd"/>
      <w:r w:rsidRPr="007A5789">
        <w:rPr>
          <w:sz w:val="21"/>
        </w:rPr>
        <w:t>支出相比保持稳定。下表显示了与2014年相比人事支出及变化的详情：</w:t>
      </w:r>
    </w:p>
    <w:p w:rsidR="007A5789" w:rsidRPr="006A1075" w:rsidRDefault="00401FA9"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2014年和2015年人事支出详情</w:t>
      </w:r>
    </w:p>
    <w:p w:rsidR="0059182F" w:rsidRPr="007A5789" w:rsidRDefault="006627BD" w:rsidP="006627BD">
      <w:pPr>
        <w:overflowPunct w:val="0"/>
        <w:spacing w:afterLines="50" w:after="120" w:line="340" w:lineRule="atLeast"/>
        <w:jc w:val="center"/>
        <w:rPr>
          <w:sz w:val="21"/>
          <w:szCs w:val="22"/>
        </w:rPr>
      </w:pPr>
      <w:r w:rsidRPr="00EF7E79">
        <w:rPr>
          <w:noProof/>
          <w:sz w:val="21"/>
          <w:lang w:val="en-US" w:bidi="ar-SA"/>
        </w:rPr>
        <w:drawing>
          <wp:inline distT="0" distB="0" distL="0" distR="0" wp14:anchorId="0E4F9B5D" wp14:editId="1F0809DE">
            <wp:extent cx="5940425" cy="3482824"/>
            <wp:effectExtent l="0" t="0" r="3175" b="3810"/>
            <wp:docPr id="29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3482824"/>
                    </a:xfrm>
                    <a:prstGeom prst="rect">
                      <a:avLst/>
                    </a:prstGeom>
                    <a:noFill/>
                    <a:ln>
                      <a:noFill/>
                    </a:ln>
                  </pic:spPr>
                </pic:pic>
              </a:graphicData>
            </a:graphic>
          </wp:inline>
        </w:drawing>
      </w:r>
    </w:p>
    <w:p w:rsidR="007A5789" w:rsidRDefault="00FE146B" w:rsidP="00B6014B">
      <w:pPr>
        <w:pStyle w:val="ONUME"/>
        <w:tabs>
          <w:tab w:val="clear" w:pos="567"/>
        </w:tabs>
        <w:overflowPunct w:val="0"/>
        <w:spacing w:afterLines="50" w:after="120" w:line="340" w:lineRule="atLeast"/>
        <w:rPr>
          <w:sz w:val="21"/>
          <w:szCs w:val="22"/>
        </w:rPr>
      </w:pPr>
      <w:r w:rsidRPr="007A5789">
        <w:rPr>
          <w:sz w:val="21"/>
        </w:rPr>
        <w:t>虽然与2014年相比</w:t>
      </w:r>
      <w:r w:rsidR="005F4987" w:rsidRPr="007A5789">
        <w:rPr>
          <w:rFonts w:hint="eastAsia"/>
          <w:sz w:val="21"/>
        </w:rPr>
        <w:t>，</w:t>
      </w:r>
      <w:r w:rsidR="00134184">
        <w:rPr>
          <w:rFonts w:hint="eastAsia"/>
          <w:sz w:val="21"/>
        </w:rPr>
        <w:t>员额工作人员</w:t>
      </w:r>
      <w:r w:rsidRPr="007A5789">
        <w:rPr>
          <w:sz w:val="21"/>
        </w:rPr>
        <w:t>支出上涨了330</w:t>
      </w:r>
      <w:proofErr w:type="gramStart"/>
      <w:r w:rsidRPr="007A5789">
        <w:rPr>
          <w:sz w:val="21"/>
        </w:rPr>
        <w:t>万瑞</w:t>
      </w:r>
      <w:proofErr w:type="gramEnd"/>
      <w:r w:rsidRPr="007A5789">
        <w:rPr>
          <w:sz w:val="21"/>
        </w:rPr>
        <w:t>郎</w:t>
      </w:r>
      <w:r w:rsidR="00497AA0" w:rsidRPr="007A5789">
        <w:rPr>
          <w:rFonts w:hint="eastAsia"/>
          <w:sz w:val="21"/>
        </w:rPr>
        <w:t>，</w:t>
      </w:r>
      <w:r w:rsidRPr="007A5789">
        <w:rPr>
          <w:sz w:val="21"/>
        </w:rPr>
        <w:t>但是临时职位员工支出下降了370</w:t>
      </w:r>
      <w:proofErr w:type="gramStart"/>
      <w:r w:rsidRPr="007A5789">
        <w:rPr>
          <w:sz w:val="21"/>
        </w:rPr>
        <w:t>万瑞</w:t>
      </w:r>
      <w:proofErr w:type="gramEnd"/>
      <w:r w:rsidRPr="007A5789">
        <w:rPr>
          <w:sz w:val="21"/>
        </w:rPr>
        <w:t>郎。主要原因是长期临时职位雇员</w:t>
      </w:r>
      <w:r w:rsidR="00134184">
        <w:rPr>
          <w:rFonts w:hint="eastAsia"/>
          <w:sz w:val="21"/>
        </w:rPr>
        <w:t>的转正，</w:t>
      </w:r>
      <w:r w:rsidRPr="007A5789">
        <w:rPr>
          <w:sz w:val="21"/>
        </w:rPr>
        <w:t>将其从临时雇员调整为</w:t>
      </w:r>
      <w:r w:rsidR="00134184">
        <w:rPr>
          <w:rFonts w:hint="eastAsia"/>
          <w:sz w:val="21"/>
        </w:rPr>
        <w:t>员额</w:t>
      </w:r>
      <w:r w:rsidRPr="007A5789">
        <w:rPr>
          <w:sz w:val="21"/>
        </w:rPr>
        <w:t>。离职后雇员福利成本与2014年相比也增加了170</w:t>
      </w:r>
      <w:proofErr w:type="gramStart"/>
      <w:r w:rsidRPr="007A5789">
        <w:rPr>
          <w:sz w:val="21"/>
        </w:rPr>
        <w:t>万瑞</w:t>
      </w:r>
      <w:proofErr w:type="gramEnd"/>
      <w:r w:rsidRPr="007A5789">
        <w:rPr>
          <w:sz w:val="21"/>
        </w:rPr>
        <w:t>郎，这主要反映出2015年回国补助金和差旅费较2014年增加。上表中单独列报的其他人事费用为</w:t>
      </w:r>
      <w:r w:rsidR="00134184">
        <w:rPr>
          <w:rFonts w:hint="eastAsia"/>
          <w:sz w:val="21"/>
        </w:rPr>
        <w:t>员额</w:t>
      </w:r>
      <w:r w:rsidRPr="007A5789">
        <w:rPr>
          <w:sz w:val="21"/>
        </w:rPr>
        <w:t>和临时职位雇员共有的费用</w:t>
      </w:r>
      <w:r w:rsidR="00B6014B">
        <w:rPr>
          <w:sz w:val="21"/>
        </w:rPr>
        <w:t>（</w:t>
      </w:r>
      <w:r w:rsidRPr="007A5789">
        <w:rPr>
          <w:sz w:val="21"/>
        </w:rPr>
        <w:t>专业的意外险、关闭的养恤基金和诉讼费用</w:t>
      </w:r>
      <w:r w:rsidR="00B6014B">
        <w:rPr>
          <w:sz w:val="21"/>
        </w:rPr>
        <w:t>）</w:t>
      </w:r>
      <w:r w:rsidRPr="007A5789">
        <w:rPr>
          <w:sz w:val="21"/>
        </w:rPr>
        <w:t>。</w:t>
      </w:r>
    </w:p>
    <w:p w:rsidR="007A5789" w:rsidRDefault="004D73F4" w:rsidP="00B6014B">
      <w:pPr>
        <w:pStyle w:val="ONUME"/>
        <w:tabs>
          <w:tab w:val="clear" w:pos="567"/>
        </w:tabs>
        <w:overflowPunct w:val="0"/>
        <w:spacing w:afterLines="50" w:after="120" w:line="340" w:lineRule="atLeast"/>
        <w:rPr>
          <w:sz w:val="21"/>
          <w:szCs w:val="22"/>
        </w:rPr>
      </w:pPr>
      <w:r w:rsidRPr="007A5789">
        <w:rPr>
          <w:sz w:val="21"/>
        </w:rPr>
        <w:t>实习生及WIPO研究金的成本在财务报表中单独列出。由于不受《WIPO工作人员条例</w:t>
      </w:r>
      <w:r w:rsidR="00134184">
        <w:rPr>
          <w:rFonts w:hint="eastAsia"/>
          <w:sz w:val="21"/>
        </w:rPr>
        <w:t>与细则</w:t>
      </w:r>
      <w:r w:rsidRPr="007A5789">
        <w:rPr>
          <w:sz w:val="21"/>
        </w:rPr>
        <w:t>》的约束，实习生及WIPO研究金不属于人事支出。WIPO研究金旨在为个人提供强化知识和专业技能的经历。实习生及WIPO研究金收入从2014年的260</w:t>
      </w:r>
      <w:proofErr w:type="gramStart"/>
      <w:r w:rsidRPr="007A5789">
        <w:rPr>
          <w:sz w:val="21"/>
        </w:rPr>
        <w:t>万瑞</w:t>
      </w:r>
      <w:proofErr w:type="gramEnd"/>
      <w:r w:rsidRPr="007A5789">
        <w:rPr>
          <w:sz w:val="21"/>
        </w:rPr>
        <w:t>郎增加至2015年的310</w:t>
      </w:r>
      <w:proofErr w:type="gramStart"/>
      <w:r w:rsidRPr="007A5789">
        <w:rPr>
          <w:sz w:val="21"/>
        </w:rPr>
        <w:t>万瑞</w:t>
      </w:r>
      <w:proofErr w:type="gramEnd"/>
      <w:r w:rsidRPr="007A5789">
        <w:rPr>
          <w:sz w:val="21"/>
        </w:rPr>
        <w:t>郎。增长完全与WIPO研究金有关，这是因为本组织增加了与各国知识产权局的交换项目的预算以及仲裁与</w:t>
      </w:r>
      <w:r w:rsidR="00134184">
        <w:rPr>
          <w:rFonts w:hint="eastAsia"/>
          <w:sz w:val="21"/>
        </w:rPr>
        <w:t>调解</w:t>
      </w:r>
      <w:r w:rsidRPr="007A5789">
        <w:rPr>
          <w:sz w:val="21"/>
        </w:rPr>
        <w:t>中心的研究金计划。</w:t>
      </w:r>
    </w:p>
    <w:p w:rsidR="007A5789" w:rsidRDefault="00137778" w:rsidP="00B6014B">
      <w:pPr>
        <w:pStyle w:val="ONUME"/>
        <w:tabs>
          <w:tab w:val="clear" w:pos="567"/>
        </w:tabs>
        <w:overflowPunct w:val="0"/>
        <w:spacing w:afterLines="50" w:after="120" w:line="340" w:lineRule="atLeast"/>
        <w:rPr>
          <w:sz w:val="21"/>
          <w:szCs w:val="22"/>
        </w:rPr>
      </w:pPr>
      <w:r w:rsidRPr="007A5789">
        <w:rPr>
          <w:sz w:val="21"/>
        </w:rPr>
        <w:t>2015年的差旅和研究金</w:t>
      </w:r>
      <w:r w:rsidR="00B6014B">
        <w:rPr>
          <w:sz w:val="21"/>
        </w:rPr>
        <w:t>（</w:t>
      </w:r>
      <w:r w:rsidRPr="007A5789">
        <w:rPr>
          <w:sz w:val="21"/>
        </w:rPr>
        <w:t>工作人员</w:t>
      </w:r>
      <w:r w:rsidR="00134184">
        <w:rPr>
          <w:rFonts w:hint="eastAsia"/>
          <w:sz w:val="21"/>
        </w:rPr>
        <w:t>出差</w:t>
      </w:r>
      <w:r w:rsidRPr="007A5789">
        <w:rPr>
          <w:sz w:val="21"/>
        </w:rPr>
        <w:t>、第三方差旅及课程研究金</w:t>
      </w:r>
      <w:r w:rsidR="00B6014B">
        <w:rPr>
          <w:sz w:val="21"/>
        </w:rPr>
        <w:t>）</w:t>
      </w:r>
      <w:r w:rsidRPr="007A5789">
        <w:rPr>
          <w:sz w:val="21"/>
        </w:rPr>
        <w:t>总开支为1,740</w:t>
      </w:r>
      <w:proofErr w:type="gramStart"/>
      <w:r w:rsidRPr="007A5789">
        <w:rPr>
          <w:sz w:val="21"/>
        </w:rPr>
        <w:t>万瑞</w:t>
      </w:r>
      <w:proofErr w:type="gramEnd"/>
      <w:r w:rsidRPr="007A5789">
        <w:rPr>
          <w:sz w:val="21"/>
        </w:rPr>
        <w:t>郎，占总支出的5%。该支出项目中包含的课程研究</w:t>
      </w:r>
      <w:proofErr w:type="gramStart"/>
      <w:r w:rsidRPr="007A5789">
        <w:rPr>
          <w:sz w:val="21"/>
        </w:rPr>
        <w:t>金成本</w:t>
      </w:r>
      <w:proofErr w:type="gramEnd"/>
      <w:r w:rsidRPr="007A5789">
        <w:rPr>
          <w:sz w:val="21"/>
        </w:rPr>
        <w:t>是派遣实习生</w:t>
      </w:r>
      <w:r w:rsidR="00B6014B">
        <w:rPr>
          <w:sz w:val="21"/>
        </w:rPr>
        <w:t>（</w:t>
      </w:r>
      <w:r w:rsidRPr="007A5789">
        <w:rPr>
          <w:sz w:val="21"/>
        </w:rPr>
        <w:t>非员工</w:t>
      </w:r>
      <w:r w:rsidR="00B6014B">
        <w:rPr>
          <w:sz w:val="21"/>
        </w:rPr>
        <w:t>）</w:t>
      </w:r>
      <w:r w:rsidRPr="007A5789">
        <w:rPr>
          <w:sz w:val="21"/>
        </w:rPr>
        <w:t>参加课程和研讨班产生的费用。差旅和课程研究金支出比2014年的1,540</w:t>
      </w:r>
      <w:proofErr w:type="gramStart"/>
      <w:r w:rsidRPr="007A5789">
        <w:rPr>
          <w:sz w:val="21"/>
        </w:rPr>
        <w:t>万瑞</w:t>
      </w:r>
      <w:proofErr w:type="gramEnd"/>
      <w:r w:rsidRPr="007A5789">
        <w:rPr>
          <w:sz w:val="21"/>
        </w:rPr>
        <w:t>郎增加了13%。2015年的差旅费用包括960</w:t>
      </w:r>
      <w:proofErr w:type="gramStart"/>
      <w:r w:rsidRPr="007A5789">
        <w:rPr>
          <w:sz w:val="21"/>
        </w:rPr>
        <w:t>万瑞</w:t>
      </w:r>
      <w:proofErr w:type="gramEnd"/>
      <w:r w:rsidRPr="007A5789">
        <w:rPr>
          <w:sz w:val="21"/>
        </w:rPr>
        <w:t>郎的第三方差旅费用</w:t>
      </w:r>
      <w:r w:rsidR="00B6014B">
        <w:rPr>
          <w:sz w:val="21"/>
        </w:rPr>
        <w:t>（</w:t>
      </w:r>
      <w:r w:rsidRPr="007A5789">
        <w:rPr>
          <w:sz w:val="21"/>
        </w:rPr>
        <w:t>参会人和讲课人开支</w:t>
      </w:r>
      <w:r w:rsidR="00B6014B">
        <w:rPr>
          <w:sz w:val="21"/>
        </w:rPr>
        <w:t>）</w:t>
      </w:r>
      <w:r w:rsidRPr="007A5789">
        <w:rPr>
          <w:sz w:val="21"/>
        </w:rPr>
        <w:t>以及590</w:t>
      </w:r>
      <w:proofErr w:type="gramStart"/>
      <w:r w:rsidRPr="007A5789">
        <w:rPr>
          <w:sz w:val="21"/>
        </w:rPr>
        <w:t>万瑞</w:t>
      </w:r>
      <w:proofErr w:type="gramEnd"/>
      <w:r w:rsidRPr="007A5789">
        <w:rPr>
          <w:sz w:val="21"/>
        </w:rPr>
        <w:t>郎的工作人员</w:t>
      </w:r>
      <w:r w:rsidR="00134184">
        <w:rPr>
          <w:rFonts w:hint="eastAsia"/>
          <w:sz w:val="21"/>
        </w:rPr>
        <w:t>出差</w:t>
      </w:r>
      <w:r w:rsidRPr="007A5789">
        <w:rPr>
          <w:sz w:val="21"/>
        </w:rPr>
        <w:t>费用。虽然工作人员</w:t>
      </w:r>
      <w:r w:rsidR="00134184">
        <w:rPr>
          <w:rFonts w:hint="eastAsia"/>
          <w:sz w:val="21"/>
        </w:rPr>
        <w:t>出差</w:t>
      </w:r>
      <w:r w:rsidRPr="007A5789">
        <w:rPr>
          <w:sz w:val="21"/>
        </w:rPr>
        <w:t>的差旅成本与上年</w:t>
      </w:r>
      <w:r w:rsidR="00B6014B">
        <w:rPr>
          <w:sz w:val="21"/>
        </w:rPr>
        <w:t>（</w:t>
      </w:r>
      <w:r w:rsidRPr="007A5789">
        <w:rPr>
          <w:sz w:val="21"/>
        </w:rPr>
        <w:t>2014年为570</w:t>
      </w:r>
      <w:proofErr w:type="gramStart"/>
      <w:r w:rsidRPr="007A5789">
        <w:rPr>
          <w:sz w:val="21"/>
        </w:rPr>
        <w:t>万瑞</w:t>
      </w:r>
      <w:proofErr w:type="gramEnd"/>
      <w:r w:rsidRPr="007A5789">
        <w:rPr>
          <w:sz w:val="21"/>
        </w:rPr>
        <w:t>郎</w:t>
      </w:r>
      <w:r w:rsidR="00B6014B">
        <w:rPr>
          <w:sz w:val="21"/>
        </w:rPr>
        <w:t>）</w:t>
      </w:r>
      <w:r w:rsidRPr="007A5789">
        <w:rPr>
          <w:sz w:val="21"/>
        </w:rPr>
        <w:t>相比基本稳定，但第三方差旅成本增加了200</w:t>
      </w:r>
      <w:proofErr w:type="gramStart"/>
      <w:r w:rsidRPr="007A5789">
        <w:rPr>
          <w:sz w:val="21"/>
        </w:rPr>
        <w:t>万瑞</w:t>
      </w:r>
      <w:proofErr w:type="gramEnd"/>
      <w:r w:rsidRPr="007A5789">
        <w:rPr>
          <w:sz w:val="21"/>
        </w:rPr>
        <w:t>郎</w:t>
      </w:r>
      <w:r w:rsidR="00B6014B">
        <w:rPr>
          <w:sz w:val="21"/>
        </w:rPr>
        <w:t>（</w:t>
      </w:r>
      <w:r w:rsidRPr="007A5789">
        <w:rPr>
          <w:sz w:val="21"/>
        </w:rPr>
        <w:t>2014年为760</w:t>
      </w:r>
      <w:proofErr w:type="gramStart"/>
      <w:r w:rsidRPr="007A5789">
        <w:rPr>
          <w:sz w:val="21"/>
        </w:rPr>
        <w:t>万瑞</w:t>
      </w:r>
      <w:proofErr w:type="gramEnd"/>
      <w:r w:rsidRPr="007A5789">
        <w:rPr>
          <w:sz w:val="21"/>
        </w:rPr>
        <w:t>郎</w:t>
      </w:r>
      <w:r w:rsidR="00B6014B">
        <w:rPr>
          <w:sz w:val="21"/>
        </w:rPr>
        <w:t>）</w:t>
      </w:r>
      <w:r w:rsidRPr="007A5789">
        <w:rPr>
          <w:sz w:val="21"/>
        </w:rPr>
        <w:t>。与上一年度的190</w:t>
      </w:r>
      <w:proofErr w:type="gramStart"/>
      <w:r w:rsidRPr="007A5789">
        <w:rPr>
          <w:sz w:val="21"/>
        </w:rPr>
        <w:t>万瑞</w:t>
      </w:r>
      <w:proofErr w:type="gramEnd"/>
      <w:r w:rsidRPr="007A5789">
        <w:rPr>
          <w:sz w:val="21"/>
        </w:rPr>
        <w:t>郎相比，2015年课程研究</w:t>
      </w:r>
      <w:proofErr w:type="gramStart"/>
      <w:r w:rsidRPr="007A5789">
        <w:rPr>
          <w:sz w:val="21"/>
        </w:rPr>
        <w:t>金费用</w:t>
      </w:r>
      <w:proofErr w:type="gramEnd"/>
      <w:r w:rsidRPr="007A5789">
        <w:rPr>
          <w:sz w:val="21"/>
        </w:rPr>
        <w:t>总计210</w:t>
      </w:r>
      <w:proofErr w:type="gramStart"/>
      <w:r w:rsidRPr="007A5789">
        <w:rPr>
          <w:sz w:val="21"/>
        </w:rPr>
        <w:t>万瑞</w:t>
      </w:r>
      <w:proofErr w:type="gramEnd"/>
      <w:r w:rsidRPr="007A5789">
        <w:rPr>
          <w:sz w:val="21"/>
        </w:rPr>
        <w:t>郎。</w:t>
      </w:r>
    </w:p>
    <w:p w:rsidR="007A5789" w:rsidRDefault="009E52B3" w:rsidP="00B6014B">
      <w:pPr>
        <w:pStyle w:val="ONUME"/>
        <w:tabs>
          <w:tab w:val="clear" w:pos="567"/>
        </w:tabs>
        <w:overflowPunct w:val="0"/>
        <w:spacing w:afterLines="50" w:after="120" w:line="340" w:lineRule="atLeast"/>
        <w:rPr>
          <w:sz w:val="21"/>
          <w:szCs w:val="22"/>
        </w:rPr>
      </w:pPr>
      <w:r w:rsidRPr="007A5789">
        <w:rPr>
          <w:sz w:val="21"/>
        </w:rPr>
        <w:t>2015年订约承办事务总计7,210</w:t>
      </w:r>
      <w:proofErr w:type="gramStart"/>
      <w:r w:rsidRPr="007A5789">
        <w:rPr>
          <w:sz w:val="21"/>
        </w:rPr>
        <w:t>万瑞</w:t>
      </w:r>
      <w:proofErr w:type="gramEnd"/>
      <w:r w:rsidRPr="007A5789">
        <w:rPr>
          <w:sz w:val="21"/>
        </w:rPr>
        <w:t>郎。这些支出比2014年的6,360</w:t>
      </w:r>
      <w:proofErr w:type="gramStart"/>
      <w:r w:rsidRPr="007A5789">
        <w:rPr>
          <w:sz w:val="21"/>
        </w:rPr>
        <w:t>万瑞</w:t>
      </w:r>
      <w:proofErr w:type="gramEnd"/>
      <w:r w:rsidRPr="007A5789">
        <w:rPr>
          <w:sz w:val="21"/>
        </w:rPr>
        <w:t>郎增加了13.4%。2015年的订约承办事务主要涉及商业翻译服务</w:t>
      </w:r>
      <w:r w:rsidR="00B6014B">
        <w:rPr>
          <w:sz w:val="21"/>
        </w:rPr>
        <w:t>（</w:t>
      </w:r>
      <w:r w:rsidRPr="007A5789">
        <w:rPr>
          <w:sz w:val="21"/>
        </w:rPr>
        <w:t>2,410</w:t>
      </w:r>
      <w:proofErr w:type="gramStart"/>
      <w:r w:rsidRPr="007A5789">
        <w:rPr>
          <w:sz w:val="21"/>
        </w:rPr>
        <w:t>万瑞</w:t>
      </w:r>
      <w:proofErr w:type="gramEnd"/>
      <w:r w:rsidRPr="007A5789">
        <w:rPr>
          <w:sz w:val="21"/>
        </w:rPr>
        <w:t>郎</w:t>
      </w:r>
      <w:r w:rsidR="00B6014B">
        <w:rPr>
          <w:sz w:val="21"/>
        </w:rPr>
        <w:t>）</w:t>
      </w:r>
      <w:r w:rsidRPr="007A5789">
        <w:rPr>
          <w:sz w:val="21"/>
        </w:rPr>
        <w:t>、IT商业服务</w:t>
      </w:r>
      <w:r w:rsidR="00B6014B">
        <w:rPr>
          <w:sz w:val="21"/>
        </w:rPr>
        <w:t>（</w:t>
      </w:r>
      <w:r w:rsidRPr="007A5789">
        <w:rPr>
          <w:sz w:val="21"/>
        </w:rPr>
        <w:t>1,260</w:t>
      </w:r>
      <w:proofErr w:type="gramStart"/>
      <w:r w:rsidRPr="007A5789">
        <w:rPr>
          <w:sz w:val="21"/>
        </w:rPr>
        <w:t>万瑞</w:t>
      </w:r>
      <w:proofErr w:type="gramEnd"/>
      <w:r w:rsidRPr="007A5789">
        <w:rPr>
          <w:sz w:val="21"/>
        </w:rPr>
        <w:t>郎</w:t>
      </w:r>
      <w:r w:rsidR="00B6014B">
        <w:rPr>
          <w:sz w:val="21"/>
        </w:rPr>
        <w:t>）</w:t>
      </w:r>
      <w:r w:rsidRPr="007A5789">
        <w:rPr>
          <w:sz w:val="21"/>
        </w:rPr>
        <w:t>、个人订约承办事务</w:t>
      </w:r>
      <w:r w:rsidR="00B6014B">
        <w:rPr>
          <w:sz w:val="21"/>
        </w:rPr>
        <w:t>（</w:t>
      </w:r>
      <w:r w:rsidRPr="007A5789">
        <w:rPr>
          <w:sz w:val="21"/>
        </w:rPr>
        <w:t>1,170</w:t>
      </w:r>
      <w:proofErr w:type="gramStart"/>
      <w:r w:rsidRPr="007A5789">
        <w:rPr>
          <w:sz w:val="21"/>
        </w:rPr>
        <w:t>万瑞</w:t>
      </w:r>
      <w:proofErr w:type="gramEnd"/>
      <w:r w:rsidRPr="007A5789">
        <w:rPr>
          <w:sz w:val="21"/>
        </w:rPr>
        <w:t>郎</w:t>
      </w:r>
      <w:r w:rsidR="00B6014B">
        <w:rPr>
          <w:sz w:val="21"/>
        </w:rPr>
        <w:t>）</w:t>
      </w:r>
      <w:r w:rsidRPr="007A5789">
        <w:rPr>
          <w:sz w:val="21"/>
        </w:rPr>
        <w:t>以及国际电子计算中心服务</w:t>
      </w:r>
      <w:r w:rsidR="00B6014B">
        <w:rPr>
          <w:sz w:val="21"/>
        </w:rPr>
        <w:t>（</w:t>
      </w:r>
      <w:r w:rsidRPr="007A5789">
        <w:rPr>
          <w:sz w:val="21"/>
        </w:rPr>
        <w:t>1,090</w:t>
      </w:r>
      <w:proofErr w:type="gramStart"/>
      <w:r w:rsidRPr="007A5789">
        <w:rPr>
          <w:sz w:val="21"/>
        </w:rPr>
        <w:t>万瑞</w:t>
      </w:r>
      <w:proofErr w:type="gramEnd"/>
      <w:r w:rsidRPr="007A5789">
        <w:rPr>
          <w:sz w:val="21"/>
        </w:rPr>
        <w:t>郎</w:t>
      </w:r>
      <w:r w:rsidR="00B6014B">
        <w:rPr>
          <w:sz w:val="21"/>
        </w:rPr>
        <w:t>）</w:t>
      </w:r>
      <w:r w:rsidRPr="007A5789">
        <w:rPr>
          <w:sz w:val="21"/>
        </w:rPr>
        <w:t>。商业翻译服务比2014年增长160</w:t>
      </w:r>
      <w:proofErr w:type="gramStart"/>
      <w:r w:rsidRPr="007A5789">
        <w:rPr>
          <w:sz w:val="21"/>
        </w:rPr>
        <w:t>万瑞</w:t>
      </w:r>
      <w:proofErr w:type="gramEnd"/>
      <w:r w:rsidRPr="007A5789">
        <w:rPr>
          <w:sz w:val="21"/>
        </w:rPr>
        <w:t>郎，部分因为外包</w:t>
      </w:r>
      <w:proofErr w:type="gramStart"/>
      <w:r w:rsidRPr="007A5789">
        <w:rPr>
          <w:sz w:val="21"/>
        </w:rPr>
        <w:t>可专利</w:t>
      </w:r>
      <w:proofErr w:type="gramEnd"/>
      <w:r w:rsidRPr="007A5789">
        <w:rPr>
          <w:sz w:val="21"/>
        </w:rPr>
        <w:t>性报告翻译的平均长度增加。IT商业服务较2014年增</w:t>
      </w:r>
      <w:r w:rsidRPr="007A5789">
        <w:rPr>
          <w:sz w:val="21"/>
        </w:rPr>
        <w:lastRenderedPageBreak/>
        <w:t>长250</w:t>
      </w:r>
      <w:proofErr w:type="gramStart"/>
      <w:r w:rsidRPr="007A5789">
        <w:rPr>
          <w:sz w:val="21"/>
        </w:rPr>
        <w:t>万瑞</w:t>
      </w:r>
      <w:proofErr w:type="gramEnd"/>
      <w:r w:rsidRPr="007A5789">
        <w:rPr>
          <w:sz w:val="21"/>
        </w:rPr>
        <w:t>郎，个人订约承办事务的费用也比2014年增加120</w:t>
      </w:r>
      <w:proofErr w:type="gramStart"/>
      <w:r w:rsidRPr="007A5789">
        <w:rPr>
          <w:sz w:val="21"/>
        </w:rPr>
        <w:t>万瑞</w:t>
      </w:r>
      <w:proofErr w:type="gramEnd"/>
      <w:r w:rsidRPr="007A5789">
        <w:rPr>
          <w:sz w:val="21"/>
        </w:rPr>
        <w:t>郎。但国际电子计算中心服务成本较2014年下降60</w:t>
      </w:r>
      <w:proofErr w:type="gramStart"/>
      <w:r w:rsidRPr="007A5789">
        <w:rPr>
          <w:sz w:val="21"/>
        </w:rPr>
        <w:t>万瑞</w:t>
      </w:r>
      <w:proofErr w:type="gramEnd"/>
      <w:r w:rsidRPr="007A5789">
        <w:rPr>
          <w:sz w:val="21"/>
        </w:rPr>
        <w:t>郎。</w:t>
      </w:r>
    </w:p>
    <w:p w:rsidR="00AD1872" w:rsidRPr="007A5789" w:rsidRDefault="00C43E3B" w:rsidP="00B6014B">
      <w:pPr>
        <w:pStyle w:val="ONUME"/>
        <w:tabs>
          <w:tab w:val="clear" w:pos="567"/>
        </w:tabs>
        <w:overflowPunct w:val="0"/>
        <w:spacing w:afterLines="50" w:after="120" w:line="340" w:lineRule="atLeast"/>
        <w:rPr>
          <w:sz w:val="21"/>
        </w:rPr>
      </w:pPr>
      <w:r w:rsidRPr="007A5789">
        <w:rPr>
          <w:sz w:val="21"/>
        </w:rPr>
        <w:t>2015年业务费用总计2,120</w:t>
      </w:r>
      <w:proofErr w:type="gramStart"/>
      <w:r w:rsidRPr="007A5789">
        <w:rPr>
          <w:sz w:val="21"/>
        </w:rPr>
        <w:t>万瑞</w:t>
      </w:r>
      <w:proofErr w:type="gramEnd"/>
      <w:r w:rsidRPr="007A5789">
        <w:rPr>
          <w:sz w:val="21"/>
        </w:rPr>
        <w:t>郎，与2014年2,080</w:t>
      </w:r>
      <w:proofErr w:type="gramStart"/>
      <w:r w:rsidRPr="007A5789">
        <w:rPr>
          <w:sz w:val="21"/>
        </w:rPr>
        <w:t>万瑞</w:t>
      </w:r>
      <w:proofErr w:type="gramEnd"/>
      <w:r w:rsidRPr="007A5789">
        <w:rPr>
          <w:sz w:val="21"/>
        </w:rPr>
        <w:t>郎相比小幅增加了1.9%。2015年业务费用主要包括房舍和维修费用</w:t>
      </w:r>
      <w:r w:rsidR="00B6014B">
        <w:rPr>
          <w:sz w:val="21"/>
        </w:rPr>
        <w:t>（</w:t>
      </w:r>
      <w:r w:rsidRPr="007A5789">
        <w:rPr>
          <w:sz w:val="21"/>
        </w:rPr>
        <w:t>1,740</w:t>
      </w:r>
      <w:proofErr w:type="gramStart"/>
      <w:r w:rsidRPr="007A5789">
        <w:rPr>
          <w:sz w:val="21"/>
        </w:rPr>
        <w:t>万瑞</w:t>
      </w:r>
      <w:proofErr w:type="gramEnd"/>
      <w:r w:rsidRPr="007A5789">
        <w:rPr>
          <w:sz w:val="21"/>
        </w:rPr>
        <w:t>郎</w:t>
      </w:r>
      <w:r w:rsidR="00B6014B">
        <w:rPr>
          <w:sz w:val="21"/>
        </w:rPr>
        <w:t>）</w:t>
      </w:r>
      <w:r w:rsidRPr="007A5789">
        <w:rPr>
          <w:sz w:val="21"/>
        </w:rPr>
        <w:t>、通讯费</w:t>
      </w:r>
      <w:r w:rsidR="00B6014B">
        <w:rPr>
          <w:sz w:val="21"/>
        </w:rPr>
        <w:t>（</w:t>
      </w:r>
      <w:r w:rsidRPr="007A5789">
        <w:rPr>
          <w:sz w:val="21"/>
        </w:rPr>
        <w:t>220</w:t>
      </w:r>
      <w:proofErr w:type="gramStart"/>
      <w:r w:rsidRPr="007A5789">
        <w:rPr>
          <w:sz w:val="21"/>
        </w:rPr>
        <w:t>万瑞</w:t>
      </w:r>
      <w:proofErr w:type="gramEnd"/>
      <w:r w:rsidRPr="007A5789">
        <w:rPr>
          <w:sz w:val="21"/>
        </w:rPr>
        <w:t>郎</w:t>
      </w:r>
      <w:r w:rsidR="00B6014B">
        <w:rPr>
          <w:sz w:val="21"/>
        </w:rPr>
        <w:t>）</w:t>
      </w:r>
      <w:r w:rsidRPr="007A5789">
        <w:rPr>
          <w:sz w:val="21"/>
        </w:rPr>
        <w:t>和管理费</w:t>
      </w:r>
      <w:r w:rsidR="00B6014B">
        <w:rPr>
          <w:sz w:val="21"/>
        </w:rPr>
        <w:t>（</w:t>
      </w:r>
      <w:r w:rsidRPr="007A5789">
        <w:rPr>
          <w:sz w:val="21"/>
        </w:rPr>
        <w:t>50</w:t>
      </w:r>
      <w:proofErr w:type="gramStart"/>
      <w:r w:rsidRPr="007A5789">
        <w:rPr>
          <w:sz w:val="21"/>
        </w:rPr>
        <w:t>万瑞</w:t>
      </w:r>
      <w:proofErr w:type="gramEnd"/>
      <w:r w:rsidRPr="007A5789">
        <w:rPr>
          <w:sz w:val="21"/>
        </w:rPr>
        <w:t>郎</w:t>
      </w:r>
      <w:r w:rsidR="00B6014B">
        <w:rPr>
          <w:sz w:val="21"/>
        </w:rPr>
        <w:t>）</w:t>
      </w:r>
      <w:r w:rsidRPr="007A5789">
        <w:rPr>
          <w:sz w:val="21"/>
        </w:rPr>
        <w:t>。</w:t>
      </w:r>
    </w:p>
    <w:p w:rsidR="0025563A" w:rsidRPr="007A5789" w:rsidRDefault="00C43E3B" w:rsidP="00B6014B">
      <w:pPr>
        <w:pStyle w:val="ONUME"/>
        <w:tabs>
          <w:tab w:val="clear" w:pos="567"/>
        </w:tabs>
        <w:overflowPunct w:val="0"/>
        <w:spacing w:afterLines="50" w:after="120" w:line="340" w:lineRule="atLeast"/>
        <w:rPr>
          <w:sz w:val="21"/>
        </w:rPr>
      </w:pPr>
      <w:r w:rsidRPr="007A5789">
        <w:rPr>
          <w:sz w:val="21"/>
        </w:rPr>
        <w:t>用品和材料开支为350</w:t>
      </w:r>
      <w:proofErr w:type="gramStart"/>
      <w:r w:rsidRPr="007A5789">
        <w:rPr>
          <w:sz w:val="21"/>
        </w:rPr>
        <w:t>万瑞</w:t>
      </w:r>
      <w:proofErr w:type="gramEnd"/>
      <w:r w:rsidRPr="007A5789">
        <w:rPr>
          <w:sz w:val="21"/>
        </w:rPr>
        <w:t>郎，比2014年增加了94.4%。家具和设备费也有所增加，从2014年的20</w:t>
      </w:r>
      <w:proofErr w:type="gramStart"/>
      <w:r w:rsidRPr="007A5789">
        <w:rPr>
          <w:sz w:val="21"/>
        </w:rPr>
        <w:t>万瑞</w:t>
      </w:r>
      <w:proofErr w:type="gramEnd"/>
      <w:r w:rsidRPr="007A5789">
        <w:rPr>
          <w:sz w:val="21"/>
        </w:rPr>
        <w:t>郎增加至2015年的80</w:t>
      </w:r>
      <w:proofErr w:type="gramStart"/>
      <w:r w:rsidRPr="007A5789">
        <w:rPr>
          <w:sz w:val="21"/>
        </w:rPr>
        <w:t>万瑞</w:t>
      </w:r>
      <w:proofErr w:type="gramEnd"/>
      <w:r w:rsidRPr="007A5789">
        <w:rPr>
          <w:sz w:val="21"/>
        </w:rPr>
        <w:t>郎。家具和设备</w:t>
      </w:r>
      <w:proofErr w:type="gramStart"/>
      <w:r w:rsidRPr="007A5789">
        <w:rPr>
          <w:sz w:val="21"/>
        </w:rPr>
        <w:t>费涉及</w:t>
      </w:r>
      <w:proofErr w:type="gramEnd"/>
      <w:r w:rsidRPr="007A5789">
        <w:rPr>
          <w:sz w:val="21"/>
        </w:rPr>
        <w:t>不满足本组织资本化门槛5,000瑞郎的项目，因此立即被确认为支出。</w:t>
      </w:r>
    </w:p>
    <w:p w:rsidR="00C43E3B" w:rsidRPr="007A5789" w:rsidRDefault="00DF4509" w:rsidP="00B6014B">
      <w:pPr>
        <w:pStyle w:val="ONUME"/>
        <w:tabs>
          <w:tab w:val="clear" w:pos="567"/>
        </w:tabs>
        <w:overflowPunct w:val="0"/>
        <w:spacing w:afterLines="50" w:after="120" w:line="340" w:lineRule="atLeast"/>
        <w:rPr>
          <w:sz w:val="21"/>
          <w:szCs w:val="22"/>
        </w:rPr>
      </w:pPr>
      <w:r w:rsidRPr="007A5789">
        <w:rPr>
          <w:sz w:val="21"/>
        </w:rPr>
        <w:t>如上所述，依据IPSAS的支出包括办公楼与设备的折旧支出以及无形资产的摊销费，因为这些资产的成本被分摊至其整个使用寿命。2015年，折旧摊销总计1,110</w:t>
      </w:r>
      <w:proofErr w:type="gramStart"/>
      <w:r w:rsidRPr="007A5789">
        <w:rPr>
          <w:sz w:val="21"/>
        </w:rPr>
        <w:t>万瑞</w:t>
      </w:r>
      <w:proofErr w:type="gramEnd"/>
      <w:r w:rsidRPr="007A5789">
        <w:rPr>
          <w:sz w:val="21"/>
        </w:rPr>
        <w:t>郎，相比之下2014年为910</w:t>
      </w:r>
      <w:proofErr w:type="gramStart"/>
      <w:r w:rsidRPr="007A5789">
        <w:rPr>
          <w:sz w:val="21"/>
        </w:rPr>
        <w:t>万瑞</w:t>
      </w:r>
      <w:proofErr w:type="gramEnd"/>
      <w:r w:rsidRPr="007A5789">
        <w:rPr>
          <w:sz w:val="21"/>
        </w:rPr>
        <w:t>郎。增长与新会议厅有关，全年折旧支出为210</w:t>
      </w:r>
      <w:proofErr w:type="gramStart"/>
      <w:r w:rsidRPr="007A5789">
        <w:rPr>
          <w:sz w:val="21"/>
        </w:rPr>
        <w:t>万瑞</w:t>
      </w:r>
      <w:proofErr w:type="gramEnd"/>
      <w:r w:rsidRPr="007A5789">
        <w:rPr>
          <w:sz w:val="21"/>
        </w:rPr>
        <w:t>郎，2014年9月投入使用后当年最后4个月折旧70</w:t>
      </w:r>
      <w:proofErr w:type="gramStart"/>
      <w:r w:rsidRPr="007A5789">
        <w:rPr>
          <w:sz w:val="21"/>
        </w:rPr>
        <w:t>万瑞</w:t>
      </w:r>
      <w:proofErr w:type="gramEnd"/>
      <w:r w:rsidRPr="007A5789">
        <w:rPr>
          <w:sz w:val="21"/>
        </w:rPr>
        <w:t>郎。此外，在安保建筑项目2015年完工之后，投入使用的各个部分</w:t>
      </w:r>
      <w:r w:rsidR="00B6014B">
        <w:rPr>
          <w:sz w:val="21"/>
        </w:rPr>
        <w:t>（</w:t>
      </w:r>
      <w:r w:rsidRPr="007A5789">
        <w:rPr>
          <w:sz w:val="21"/>
        </w:rPr>
        <w:t>新登记中心、安全运营中心及安全</w:t>
      </w:r>
      <w:r w:rsidR="00667384" w:rsidRPr="007A5789">
        <w:rPr>
          <w:rFonts w:hint="eastAsia"/>
          <w:sz w:val="21"/>
        </w:rPr>
        <w:t>边界</w:t>
      </w:r>
      <w:r w:rsidR="00B6014B">
        <w:rPr>
          <w:sz w:val="21"/>
        </w:rPr>
        <w:t>）</w:t>
      </w:r>
      <w:r w:rsidRPr="007A5789">
        <w:rPr>
          <w:sz w:val="21"/>
        </w:rPr>
        <w:t>目前记入折旧。</w:t>
      </w:r>
    </w:p>
    <w:p w:rsidR="007A5789" w:rsidRDefault="00C43E3B" w:rsidP="00B6014B">
      <w:pPr>
        <w:pStyle w:val="ONUME"/>
        <w:tabs>
          <w:tab w:val="clear" w:pos="567"/>
        </w:tabs>
        <w:overflowPunct w:val="0"/>
        <w:spacing w:afterLines="50" w:after="120" w:line="340" w:lineRule="atLeast"/>
        <w:rPr>
          <w:sz w:val="21"/>
          <w:szCs w:val="22"/>
        </w:rPr>
      </w:pPr>
      <w:r w:rsidRPr="007A5789">
        <w:rPr>
          <w:sz w:val="21"/>
        </w:rPr>
        <w:t>融资成本与前一年度相比相对保持稳定，2015年总计为310</w:t>
      </w:r>
      <w:proofErr w:type="gramStart"/>
      <w:r w:rsidRPr="007A5789">
        <w:rPr>
          <w:sz w:val="21"/>
        </w:rPr>
        <w:t>万瑞</w:t>
      </w:r>
      <w:proofErr w:type="gramEnd"/>
      <w:r w:rsidRPr="007A5789">
        <w:rPr>
          <w:sz w:val="21"/>
        </w:rPr>
        <w:t>郎，2014年为330</w:t>
      </w:r>
      <w:proofErr w:type="gramStart"/>
      <w:r w:rsidRPr="007A5789">
        <w:rPr>
          <w:sz w:val="21"/>
        </w:rPr>
        <w:t>万瑞</w:t>
      </w:r>
      <w:proofErr w:type="gramEnd"/>
      <w:r w:rsidRPr="007A5789">
        <w:rPr>
          <w:sz w:val="21"/>
        </w:rPr>
        <w:t>郎。2015年融资成本总计290</w:t>
      </w:r>
      <w:proofErr w:type="gramStart"/>
      <w:r w:rsidRPr="007A5789">
        <w:rPr>
          <w:sz w:val="21"/>
        </w:rPr>
        <w:t>万瑞</w:t>
      </w:r>
      <w:proofErr w:type="gramEnd"/>
      <w:r w:rsidRPr="007A5789">
        <w:rPr>
          <w:sz w:val="21"/>
        </w:rPr>
        <w:t>郎，主要是偿还BCG/BCV新楼贷款利息。随着贷款余额减少，这些利息偿还正在下降。其他融资成本涉及银行手续费。</w:t>
      </w:r>
    </w:p>
    <w:p w:rsidR="005872F2" w:rsidRPr="00C8425D" w:rsidRDefault="005872F2" w:rsidP="00C8425D">
      <w:pPr>
        <w:keepNext/>
        <w:overflowPunct w:val="0"/>
        <w:spacing w:beforeLines="100" w:before="240" w:afterLines="50" w:after="120" w:line="340" w:lineRule="atLeast"/>
        <w:rPr>
          <w:b/>
          <w:sz w:val="21"/>
        </w:rPr>
      </w:pPr>
      <w:r w:rsidRPr="00C8425D">
        <w:rPr>
          <w:b/>
          <w:sz w:val="21"/>
        </w:rPr>
        <w:t>财务状况</w:t>
      </w:r>
    </w:p>
    <w:p w:rsidR="007A5789" w:rsidRDefault="005872F2" w:rsidP="00B6014B">
      <w:pPr>
        <w:pStyle w:val="ONUME"/>
        <w:tabs>
          <w:tab w:val="clear" w:pos="567"/>
        </w:tabs>
        <w:overflowPunct w:val="0"/>
        <w:spacing w:afterLines="50" w:after="120" w:line="340" w:lineRule="atLeast"/>
        <w:rPr>
          <w:sz w:val="21"/>
          <w:szCs w:val="22"/>
        </w:rPr>
      </w:pPr>
      <w:r w:rsidRPr="007A5789">
        <w:rPr>
          <w:sz w:val="21"/>
        </w:rPr>
        <w:t>截至2015年12月31日，本组织净资产为2.791亿瑞郎，总资产为9.77亿瑞郎，总负债为6.979亿瑞郎。由于2015年出现盈余，净资产较2014年底的2.458亿瑞郎增加3,330</w:t>
      </w:r>
      <w:proofErr w:type="gramStart"/>
      <w:r w:rsidRPr="007A5789">
        <w:rPr>
          <w:sz w:val="21"/>
        </w:rPr>
        <w:t>万瑞</w:t>
      </w:r>
      <w:proofErr w:type="gramEnd"/>
      <w:r w:rsidRPr="007A5789">
        <w:rPr>
          <w:sz w:val="21"/>
        </w:rPr>
        <w:t>郎。2014年，本组织报告的盈余为3,700</w:t>
      </w:r>
      <w:proofErr w:type="gramStart"/>
      <w:r w:rsidRPr="007A5789">
        <w:rPr>
          <w:sz w:val="21"/>
        </w:rPr>
        <w:t>万瑞</w:t>
      </w:r>
      <w:proofErr w:type="gramEnd"/>
      <w:r w:rsidRPr="007A5789">
        <w:rPr>
          <w:sz w:val="21"/>
        </w:rPr>
        <w:t>郎。因此，2014/15年期间，净资产较2013年底的2.088亿瑞郎增加7,030</w:t>
      </w:r>
      <w:proofErr w:type="gramStart"/>
      <w:r w:rsidRPr="007A5789">
        <w:rPr>
          <w:sz w:val="21"/>
        </w:rPr>
        <w:t>万瑞</w:t>
      </w:r>
      <w:proofErr w:type="gramEnd"/>
      <w:r w:rsidRPr="007A5789">
        <w:rPr>
          <w:sz w:val="21"/>
        </w:rPr>
        <w:t>郎：</w:t>
      </w:r>
    </w:p>
    <w:p w:rsidR="007A5789" w:rsidRDefault="001B0B5F"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2013年至2015年的净资产变动</w:t>
      </w:r>
    </w:p>
    <w:p w:rsidR="007A5789" w:rsidRDefault="006627BD" w:rsidP="006627BD">
      <w:pPr>
        <w:overflowPunct w:val="0"/>
        <w:spacing w:afterLines="50" w:after="120" w:line="340" w:lineRule="atLeast"/>
        <w:jc w:val="center"/>
        <w:rPr>
          <w:sz w:val="21"/>
          <w:szCs w:val="22"/>
        </w:rPr>
      </w:pPr>
      <w:r w:rsidRPr="00EF7E79">
        <w:rPr>
          <w:noProof/>
          <w:sz w:val="21"/>
          <w:lang w:val="en-US" w:bidi="ar-SA"/>
        </w:rPr>
        <w:drawing>
          <wp:inline distT="0" distB="0" distL="0" distR="0" wp14:anchorId="508E860A" wp14:editId="06B8FEC9">
            <wp:extent cx="5940425" cy="3471872"/>
            <wp:effectExtent l="0" t="0" r="3175" b="0"/>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3471872"/>
                    </a:xfrm>
                    <a:prstGeom prst="rect">
                      <a:avLst/>
                    </a:prstGeom>
                    <a:noFill/>
                    <a:ln>
                      <a:noFill/>
                    </a:ln>
                  </pic:spPr>
                </pic:pic>
              </a:graphicData>
            </a:graphic>
          </wp:inline>
        </w:drawing>
      </w:r>
    </w:p>
    <w:p w:rsidR="00741957" w:rsidRPr="007A5789" w:rsidRDefault="00281939" w:rsidP="00B6014B">
      <w:pPr>
        <w:pStyle w:val="ONUME"/>
        <w:tabs>
          <w:tab w:val="clear" w:pos="567"/>
        </w:tabs>
        <w:overflowPunct w:val="0"/>
        <w:spacing w:afterLines="50" w:after="120" w:line="340" w:lineRule="atLeast"/>
        <w:rPr>
          <w:sz w:val="21"/>
          <w:szCs w:val="22"/>
        </w:rPr>
      </w:pPr>
      <w:r w:rsidRPr="007A5789">
        <w:rPr>
          <w:sz w:val="21"/>
        </w:rPr>
        <w:lastRenderedPageBreak/>
        <w:t>下图为截至2015年12月31日的WIPO财务状况报表摘要。9.77亿瑞郎的总资产主要由现金及现金等价物和固定资产组成。6.979亿瑞郎的总负债主要是应付款及预收款、员工福利以及借款：</w:t>
      </w:r>
    </w:p>
    <w:p w:rsidR="005E3154" w:rsidRPr="006A1075" w:rsidRDefault="005E3154"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截至2015年12月31日的资产和负债摘要</w:t>
      </w:r>
    </w:p>
    <w:p w:rsidR="007A5789" w:rsidRDefault="006627BD" w:rsidP="006627BD">
      <w:pPr>
        <w:spacing w:afterLines="50" w:after="120" w:line="340" w:lineRule="atLeast"/>
        <w:jc w:val="center"/>
        <w:rPr>
          <w:sz w:val="21"/>
          <w:szCs w:val="22"/>
        </w:rPr>
      </w:pPr>
      <w:r w:rsidRPr="00EF7E79">
        <w:rPr>
          <w:noProof/>
          <w:sz w:val="21"/>
          <w:lang w:val="en-US" w:bidi="ar-SA"/>
        </w:rPr>
        <w:drawing>
          <wp:inline distT="0" distB="0" distL="0" distR="0" wp14:anchorId="2FFEC490" wp14:editId="5BC79172">
            <wp:extent cx="5940425" cy="3380270"/>
            <wp:effectExtent l="0" t="0" r="3175" b="0"/>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425" cy="3380270"/>
                    </a:xfrm>
                    <a:prstGeom prst="rect">
                      <a:avLst/>
                    </a:prstGeom>
                    <a:noFill/>
                    <a:ln>
                      <a:noFill/>
                    </a:ln>
                  </pic:spPr>
                </pic:pic>
              </a:graphicData>
            </a:graphic>
          </wp:inline>
        </w:drawing>
      </w:r>
    </w:p>
    <w:p w:rsidR="005E3154" w:rsidRPr="00FF47B9" w:rsidRDefault="005E3154" w:rsidP="00FF47B9">
      <w:pPr>
        <w:keepNext/>
        <w:overflowPunct w:val="0"/>
        <w:spacing w:beforeLines="100" w:before="240" w:afterLines="50" w:after="120" w:line="340" w:lineRule="atLeast"/>
        <w:rPr>
          <w:rFonts w:ascii="KaiTi" w:eastAsia="KaiTi" w:hAnsi="KaiTi"/>
          <w:b/>
          <w:sz w:val="21"/>
        </w:rPr>
      </w:pPr>
      <w:r w:rsidRPr="00FF47B9">
        <w:rPr>
          <w:rFonts w:ascii="KaiTi" w:eastAsia="KaiTi" w:hAnsi="KaiTi"/>
          <w:b/>
          <w:sz w:val="21"/>
        </w:rPr>
        <w:t>资</w:t>
      </w:r>
      <w:r w:rsidR="006E59E2">
        <w:rPr>
          <w:rFonts w:ascii="KaiTi" w:eastAsia="KaiTi" w:hAnsi="KaiTi" w:hint="eastAsia"/>
          <w:b/>
          <w:sz w:val="21"/>
        </w:rPr>
        <w:t xml:space="preserve">　</w:t>
      </w:r>
      <w:r w:rsidRPr="00FF47B9">
        <w:rPr>
          <w:rFonts w:ascii="KaiTi" w:eastAsia="KaiTi" w:hAnsi="KaiTi"/>
          <w:b/>
          <w:sz w:val="21"/>
        </w:rPr>
        <w:t>产</w:t>
      </w:r>
    </w:p>
    <w:p w:rsidR="005E3154" w:rsidRPr="007A5789" w:rsidRDefault="005E3154" w:rsidP="00B6014B">
      <w:pPr>
        <w:pStyle w:val="ONUME"/>
        <w:tabs>
          <w:tab w:val="clear" w:pos="567"/>
        </w:tabs>
        <w:overflowPunct w:val="0"/>
        <w:spacing w:afterLines="50" w:after="120" w:line="340" w:lineRule="atLeast"/>
        <w:rPr>
          <w:sz w:val="21"/>
          <w:szCs w:val="22"/>
        </w:rPr>
      </w:pPr>
      <w:r w:rsidRPr="007A5789">
        <w:rPr>
          <w:sz w:val="21"/>
        </w:rPr>
        <w:t>本组织拥有4.895亿瑞郎的现金余额，占总资产的50.1%，尽管其中包括按IPSAS被归类为受限制的2.508亿瑞郎。与截止2014年12月31日的4.745亿瑞郎余额相比，现金余额总量增加了1,500</w:t>
      </w:r>
      <w:proofErr w:type="gramStart"/>
      <w:r w:rsidRPr="007A5789">
        <w:rPr>
          <w:sz w:val="21"/>
        </w:rPr>
        <w:t>万瑞</w:t>
      </w:r>
      <w:proofErr w:type="gramEnd"/>
      <w:r w:rsidRPr="007A5789">
        <w:rPr>
          <w:sz w:val="21"/>
        </w:rPr>
        <w:t>郎，且根据WIPO</w:t>
      </w:r>
      <w:r w:rsidR="00B1767E" w:rsidRPr="007A5789">
        <w:rPr>
          <w:rFonts w:hint="eastAsia"/>
          <w:sz w:val="21"/>
        </w:rPr>
        <w:t>《</w:t>
      </w:r>
      <w:r w:rsidRPr="007A5789">
        <w:rPr>
          <w:sz w:val="21"/>
        </w:rPr>
        <w:t>投资政策</w:t>
      </w:r>
      <w:r w:rsidR="00B1767E" w:rsidRPr="007A5789">
        <w:rPr>
          <w:rFonts w:hint="eastAsia"/>
          <w:sz w:val="21"/>
        </w:rPr>
        <w:t>》</w:t>
      </w:r>
      <w:r w:rsidR="00B1767E" w:rsidRPr="007A5789">
        <w:rPr>
          <w:sz w:val="21"/>
        </w:rPr>
        <w:t>规定</w:t>
      </w:r>
      <w:r w:rsidRPr="007A5789">
        <w:rPr>
          <w:sz w:val="21"/>
        </w:rPr>
        <w:t>的使用情况进行了投资。现金及等价物余额增长，尽管本组织2015年11月一次性偿还了2,400</w:t>
      </w:r>
      <w:proofErr w:type="gramStart"/>
      <w:r w:rsidRPr="007A5789">
        <w:rPr>
          <w:sz w:val="21"/>
        </w:rPr>
        <w:t>万瑞</w:t>
      </w:r>
      <w:proofErr w:type="gramEnd"/>
      <w:r w:rsidRPr="007A5789">
        <w:rPr>
          <w:sz w:val="21"/>
        </w:rPr>
        <w:t>郎BCG/BCV新楼贷款。</w:t>
      </w:r>
    </w:p>
    <w:p w:rsidR="001B0B5F" w:rsidRPr="007A5789" w:rsidRDefault="005E3154" w:rsidP="00B6014B">
      <w:pPr>
        <w:pStyle w:val="ONUME"/>
        <w:tabs>
          <w:tab w:val="clear" w:pos="567"/>
        </w:tabs>
        <w:overflowPunct w:val="0"/>
        <w:spacing w:afterLines="50" w:after="120" w:line="340" w:lineRule="atLeast"/>
        <w:rPr>
          <w:sz w:val="21"/>
          <w:szCs w:val="22"/>
        </w:rPr>
      </w:pPr>
      <w:r w:rsidRPr="007A5789">
        <w:rPr>
          <w:sz w:val="21"/>
        </w:rPr>
        <w:t>本组织持有大量固定资产</w:t>
      </w:r>
      <w:r w:rsidR="00B6014B">
        <w:rPr>
          <w:sz w:val="21"/>
        </w:rPr>
        <w:t>（</w:t>
      </w:r>
      <w:r w:rsidRPr="007A5789">
        <w:rPr>
          <w:sz w:val="21"/>
        </w:rPr>
        <w:t>土地、办公楼、投资财产、无形资产及设备</w:t>
      </w:r>
      <w:r w:rsidR="00B6014B">
        <w:rPr>
          <w:sz w:val="21"/>
        </w:rPr>
        <w:t>）</w:t>
      </w:r>
      <w:r w:rsidRPr="007A5789">
        <w:rPr>
          <w:sz w:val="21"/>
        </w:rPr>
        <w:t>，账面净值总计为4.178亿瑞郎。安保建筑项目2015年完工，包括新登记中心、安全运营中心及安全边界。现有办公楼的扩建和改进工程费用也计入资本，包括</w:t>
      </w:r>
      <w:r w:rsidR="000C49C5">
        <w:rPr>
          <w:rFonts w:hint="eastAsia"/>
          <w:sz w:val="21"/>
        </w:rPr>
        <w:t>新会议厅</w:t>
      </w:r>
      <w:r w:rsidRPr="007A5789">
        <w:rPr>
          <w:sz w:val="21"/>
        </w:rPr>
        <w:t>内部及周边的一些剩余工程。2015年，大楼和建设总计投入620</w:t>
      </w:r>
      <w:proofErr w:type="gramStart"/>
      <w:r w:rsidRPr="007A5789">
        <w:rPr>
          <w:sz w:val="21"/>
        </w:rPr>
        <w:t>万瑞</w:t>
      </w:r>
      <w:proofErr w:type="gramEnd"/>
      <w:r w:rsidRPr="007A5789">
        <w:rPr>
          <w:sz w:val="21"/>
        </w:rPr>
        <w:t>郎。2015年，独立专家对本组织的投资财产马德里</w:t>
      </w:r>
      <w:proofErr w:type="gramStart"/>
      <w:r w:rsidRPr="007A5789">
        <w:rPr>
          <w:sz w:val="21"/>
        </w:rPr>
        <w:t>联盟楼</w:t>
      </w:r>
      <w:proofErr w:type="gramEnd"/>
      <w:r w:rsidRPr="007A5789">
        <w:rPr>
          <w:sz w:val="21"/>
        </w:rPr>
        <w:t>进行了重新估值。公允价值因此增加140</w:t>
      </w:r>
      <w:proofErr w:type="gramStart"/>
      <w:r w:rsidRPr="007A5789">
        <w:rPr>
          <w:sz w:val="21"/>
        </w:rPr>
        <w:t>万瑞</w:t>
      </w:r>
      <w:proofErr w:type="gramEnd"/>
      <w:r w:rsidRPr="007A5789">
        <w:rPr>
          <w:sz w:val="21"/>
        </w:rPr>
        <w:t>郎。所有固定资产的折旧及摊销总额为1,110</w:t>
      </w:r>
      <w:proofErr w:type="gramStart"/>
      <w:r w:rsidRPr="007A5789">
        <w:rPr>
          <w:sz w:val="21"/>
        </w:rPr>
        <w:t>万瑞</w:t>
      </w:r>
      <w:proofErr w:type="gramEnd"/>
      <w:r w:rsidRPr="007A5789">
        <w:rPr>
          <w:sz w:val="21"/>
        </w:rPr>
        <w:t>郎。</w:t>
      </w:r>
    </w:p>
    <w:p w:rsidR="004E7E0E" w:rsidRPr="007A5789" w:rsidRDefault="005E3154" w:rsidP="00B6014B">
      <w:pPr>
        <w:pStyle w:val="ONUME"/>
        <w:tabs>
          <w:tab w:val="clear" w:pos="567"/>
        </w:tabs>
        <w:overflowPunct w:val="0"/>
        <w:spacing w:afterLines="50" w:after="120" w:line="340" w:lineRule="atLeast"/>
        <w:rPr>
          <w:sz w:val="21"/>
          <w:szCs w:val="22"/>
        </w:rPr>
      </w:pPr>
      <w:r w:rsidRPr="007A5789">
        <w:rPr>
          <w:sz w:val="21"/>
        </w:rPr>
        <w:t>下表概述了本组织持有的固定资产。依据IPSAS，土地和财产根据使用目的，或持有合同权利或协议的性质进行不同分类。除了下列计入固定资产的土地和财产外，本组织在日内瓦租赁额外的场所、仓储和设施，并且为其部分驻外办事处租赁办公场所</w:t>
      </w:r>
      <w:r w:rsidR="00B6014B">
        <w:rPr>
          <w:sz w:val="21"/>
        </w:rPr>
        <w:t>（</w:t>
      </w:r>
      <w:r w:rsidRPr="007A5789">
        <w:rPr>
          <w:sz w:val="21"/>
        </w:rPr>
        <w:t>见附注19</w:t>
      </w:r>
      <w:r w:rsidR="00B6014B">
        <w:rPr>
          <w:sz w:val="21"/>
        </w:rPr>
        <w:t>）</w:t>
      </w:r>
      <w:r w:rsidRPr="007A5789">
        <w:rPr>
          <w:sz w:val="21"/>
        </w:rPr>
        <w:t>。本组织还拥有某些总部办公楼的地面权。这些权利由于是无偿获得，因此没有在财务报表中予以确认，但是予以披露</w:t>
      </w:r>
      <w:r w:rsidR="00B6014B">
        <w:rPr>
          <w:sz w:val="21"/>
        </w:rPr>
        <w:t>（</w:t>
      </w:r>
      <w:r w:rsidRPr="007A5789">
        <w:rPr>
          <w:sz w:val="21"/>
        </w:rPr>
        <w:t>见附注</w:t>
      </w:r>
      <w:r w:rsidR="006F192F">
        <w:rPr>
          <w:sz w:val="21"/>
        </w:rPr>
        <w:t>‍</w:t>
      </w:r>
      <w:r w:rsidRPr="007A5789">
        <w:rPr>
          <w:sz w:val="21"/>
        </w:rPr>
        <w:t>8</w:t>
      </w:r>
      <w:r w:rsidR="00B6014B">
        <w:rPr>
          <w:sz w:val="21"/>
        </w:rPr>
        <w:t>）</w:t>
      </w:r>
      <w:r w:rsidRPr="007A5789">
        <w:rPr>
          <w:sz w:val="21"/>
        </w:rPr>
        <w:t>。</w:t>
      </w:r>
    </w:p>
    <w:p w:rsidR="004E7E0E" w:rsidRPr="006A1075" w:rsidRDefault="004E7E0E" w:rsidP="006A1075">
      <w:pPr>
        <w:pStyle w:val="ONUME"/>
        <w:keepNext/>
        <w:numPr>
          <w:ilvl w:val="0"/>
          <w:numId w:val="0"/>
        </w:numPr>
        <w:overflowPunct w:val="0"/>
        <w:spacing w:afterLines="50" w:after="120" w:line="340" w:lineRule="atLeast"/>
        <w:jc w:val="center"/>
        <w:rPr>
          <w:sz w:val="21"/>
          <w:u w:val="single"/>
        </w:rPr>
      </w:pPr>
      <w:r w:rsidRPr="007A5789">
        <w:rPr>
          <w:sz w:val="21"/>
          <w:u w:val="single"/>
        </w:rPr>
        <w:lastRenderedPageBreak/>
        <w:t>截至2015年12月31日的固定资产</w:t>
      </w:r>
    </w:p>
    <w:p w:rsidR="000F3F0F" w:rsidRPr="007A5789" w:rsidRDefault="006627BD" w:rsidP="00FB0A33">
      <w:pPr>
        <w:spacing w:after="220"/>
        <w:jc w:val="center"/>
        <w:rPr>
          <w:sz w:val="21"/>
          <w:szCs w:val="22"/>
        </w:rPr>
      </w:pPr>
      <w:r w:rsidRPr="00EF7E79">
        <w:rPr>
          <w:noProof/>
          <w:sz w:val="21"/>
          <w:lang w:val="en-US" w:bidi="ar-SA"/>
        </w:rPr>
        <w:drawing>
          <wp:inline distT="0" distB="0" distL="0" distR="0" wp14:anchorId="7A7EE32C" wp14:editId="70DDFD93">
            <wp:extent cx="5931535" cy="3212465"/>
            <wp:effectExtent l="0" t="0" r="0" b="6985"/>
            <wp:docPr id="30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1535" cy="3212465"/>
                    </a:xfrm>
                    <a:prstGeom prst="rect">
                      <a:avLst/>
                    </a:prstGeom>
                    <a:noFill/>
                    <a:ln>
                      <a:noFill/>
                    </a:ln>
                  </pic:spPr>
                </pic:pic>
              </a:graphicData>
            </a:graphic>
          </wp:inline>
        </w:drawing>
      </w:r>
    </w:p>
    <w:p w:rsidR="007A5789" w:rsidRDefault="000F3F0F" w:rsidP="00B6014B">
      <w:pPr>
        <w:pStyle w:val="ONUME"/>
        <w:tabs>
          <w:tab w:val="clear" w:pos="567"/>
        </w:tabs>
        <w:overflowPunct w:val="0"/>
        <w:spacing w:afterLines="50" w:after="120" w:line="340" w:lineRule="atLeast"/>
        <w:rPr>
          <w:sz w:val="21"/>
          <w:szCs w:val="22"/>
        </w:rPr>
      </w:pPr>
      <w:r w:rsidRPr="007A5789">
        <w:rPr>
          <w:sz w:val="21"/>
        </w:rPr>
        <w:t>本组织的其他资产总计6,970</w:t>
      </w:r>
      <w:proofErr w:type="gramStart"/>
      <w:r w:rsidRPr="007A5789">
        <w:rPr>
          <w:sz w:val="21"/>
        </w:rPr>
        <w:t>万瑞</w:t>
      </w:r>
      <w:proofErr w:type="gramEnd"/>
      <w:r w:rsidRPr="007A5789">
        <w:rPr>
          <w:sz w:val="21"/>
        </w:rPr>
        <w:t>郎，包括应收账款、库存和预付款。其中，最主要的是PCT应收账款，共计4,090</w:t>
      </w:r>
      <w:proofErr w:type="gramStart"/>
      <w:r w:rsidRPr="007A5789">
        <w:rPr>
          <w:sz w:val="21"/>
        </w:rPr>
        <w:t>万瑞</w:t>
      </w:r>
      <w:proofErr w:type="gramEnd"/>
      <w:r w:rsidRPr="007A5789">
        <w:rPr>
          <w:sz w:val="21"/>
        </w:rPr>
        <w:t>郎。在任</w:t>
      </w:r>
      <w:proofErr w:type="gramStart"/>
      <w:r w:rsidRPr="007A5789">
        <w:rPr>
          <w:sz w:val="21"/>
        </w:rPr>
        <w:t>一</w:t>
      </w:r>
      <w:proofErr w:type="gramEnd"/>
      <w:r w:rsidRPr="007A5789">
        <w:rPr>
          <w:sz w:val="21"/>
        </w:rPr>
        <w:t>特定时间，受理局乃至WIPO都受理了大量的PCT申请，但本组织却没有收到相应的</w:t>
      </w:r>
      <w:proofErr w:type="gramStart"/>
      <w:r w:rsidRPr="007A5789">
        <w:rPr>
          <w:sz w:val="21"/>
        </w:rPr>
        <w:t>规</w:t>
      </w:r>
      <w:proofErr w:type="gramEnd"/>
      <w:r w:rsidRPr="007A5789">
        <w:rPr>
          <w:sz w:val="21"/>
        </w:rPr>
        <w:t>费。PCT应收账款余额总计为4,670</w:t>
      </w:r>
      <w:proofErr w:type="gramStart"/>
      <w:r w:rsidRPr="007A5789">
        <w:rPr>
          <w:sz w:val="21"/>
        </w:rPr>
        <w:t>万瑞</w:t>
      </w:r>
      <w:proofErr w:type="gramEnd"/>
      <w:r w:rsidRPr="007A5789">
        <w:rPr>
          <w:sz w:val="21"/>
        </w:rPr>
        <w:t>郎，与上一年度相比下降。2014年底，前12个月内提交的申请中约有16%的申请仍未支付。2015年底，这个比例跌至约12.8%。</w:t>
      </w:r>
    </w:p>
    <w:p w:rsidR="00EE3A29" w:rsidRPr="00FF47B9" w:rsidRDefault="00EE3A29" w:rsidP="00FF47B9">
      <w:pPr>
        <w:keepNext/>
        <w:overflowPunct w:val="0"/>
        <w:spacing w:beforeLines="100" w:before="240" w:afterLines="50" w:after="120" w:line="340" w:lineRule="atLeast"/>
        <w:rPr>
          <w:rFonts w:ascii="KaiTi" w:eastAsia="KaiTi" w:hAnsi="KaiTi"/>
          <w:b/>
          <w:sz w:val="21"/>
        </w:rPr>
      </w:pPr>
      <w:r w:rsidRPr="00FF47B9">
        <w:rPr>
          <w:rFonts w:ascii="KaiTi" w:eastAsia="KaiTi" w:hAnsi="KaiTi"/>
          <w:b/>
          <w:sz w:val="21"/>
        </w:rPr>
        <w:t>负</w:t>
      </w:r>
      <w:r w:rsidR="006E59E2">
        <w:rPr>
          <w:rFonts w:ascii="KaiTi" w:eastAsia="KaiTi" w:hAnsi="KaiTi" w:hint="eastAsia"/>
          <w:b/>
          <w:sz w:val="21"/>
        </w:rPr>
        <w:t xml:space="preserve">　</w:t>
      </w:r>
      <w:r w:rsidRPr="00FF47B9">
        <w:rPr>
          <w:rFonts w:ascii="KaiTi" w:eastAsia="KaiTi" w:hAnsi="KaiTi"/>
          <w:b/>
          <w:sz w:val="21"/>
        </w:rPr>
        <w:t>债</w:t>
      </w:r>
    </w:p>
    <w:p w:rsidR="009109B9" w:rsidRPr="007A5789" w:rsidRDefault="00160147" w:rsidP="00B6014B">
      <w:pPr>
        <w:pStyle w:val="ONUME"/>
        <w:tabs>
          <w:tab w:val="clear" w:pos="567"/>
        </w:tabs>
        <w:overflowPunct w:val="0"/>
        <w:spacing w:afterLines="50" w:after="120" w:line="340" w:lineRule="atLeast"/>
        <w:rPr>
          <w:sz w:val="21"/>
          <w:szCs w:val="22"/>
        </w:rPr>
      </w:pPr>
      <w:r w:rsidRPr="007A5789">
        <w:rPr>
          <w:sz w:val="21"/>
        </w:rPr>
        <w:t>截至2015年12月31日，应付及预收账款总计3.598亿瑞郎，主要包括国际申请处理递</w:t>
      </w:r>
      <w:proofErr w:type="gramStart"/>
      <w:r w:rsidRPr="007A5789">
        <w:rPr>
          <w:sz w:val="21"/>
        </w:rPr>
        <w:t>延收入</w:t>
      </w:r>
      <w:proofErr w:type="gramEnd"/>
      <w:r w:rsidRPr="007A5789">
        <w:rPr>
          <w:sz w:val="21"/>
        </w:rPr>
        <w:t>2.192亿瑞郎</w:t>
      </w:r>
      <w:r w:rsidR="00B6014B">
        <w:rPr>
          <w:sz w:val="21"/>
        </w:rPr>
        <w:t>（</w:t>
      </w:r>
      <w:r w:rsidRPr="007A5789">
        <w:rPr>
          <w:sz w:val="21"/>
        </w:rPr>
        <w:t>按照PCT、马德里及海牙体系</w:t>
      </w:r>
      <w:r w:rsidR="00B6014B">
        <w:rPr>
          <w:sz w:val="21"/>
        </w:rPr>
        <w:t>）</w:t>
      </w:r>
      <w:r w:rsidRPr="007A5789">
        <w:rPr>
          <w:sz w:val="21"/>
        </w:rPr>
        <w:t>。这一递</w:t>
      </w:r>
      <w:proofErr w:type="gramStart"/>
      <w:r w:rsidRPr="007A5789">
        <w:rPr>
          <w:sz w:val="21"/>
        </w:rPr>
        <w:t>延收入</w:t>
      </w:r>
      <w:proofErr w:type="gramEnd"/>
      <w:r w:rsidRPr="007A5789">
        <w:rPr>
          <w:sz w:val="21"/>
        </w:rPr>
        <w:t>余额主要涉及2.171亿瑞郎的PCT体系</w:t>
      </w:r>
      <w:proofErr w:type="gramStart"/>
      <w:r w:rsidRPr="007A5789">
        <w:rPr>
          <w:sz w:val="21"/>
        </w:rPr>
        <w:t>规</w:t>
      </w:r>
      <w:proofErr w:type="gramEnd"/>
      <w:r w:rsidRPr="007A5789">
        <w:rPr>
          <w:sz w:val="21"/>
        </w:rPr>
        <w:t>费。与国际申请处理相关的收入递延到相关申请公布为止。在任</w:t>
      </w:r>
      <w:proofErr w:type="gramStart"/>
      <w:r w:rsidRPr="007A5789">
        <w:rPr>
          <w:sz w:val="21"/>
        </w:rPr>
        <w:t>一</w:t>
      </w:r>
      <w:proofErr w:type="gramEnd"/>
      <w:r w:rsidRPr="007A5789">
        <w:rPr>
          <w:sz w:val="21"/>
        </w:rPr>
        <w:t>特定时间，受理局或WIPO都受理了大量有待公布的PCT申请。截至2015年12月31日，就2014年或2015年提交的申请而言，大约还有155,534件申请有待公布。2014年底，大约有145,157件2013年或2014年提交的申请有待公布，PCT体系</w:t>
      </w:r>
      <w:proofErr w:type="gramStart"/>
      <w:r w:rsidRPr="007A5789">
        <w:rPr>
          <w:sz w:val="21"/>
        </w:rPr>
        <w:t>规</w:t>
      </w:r>
      <w:proofErr w:type="gramEnd"/>
      <w:r w:rsidRPr="007A5789">
        <w:rPr>
          <w:sz w:val="21"/>
        </w:rPr>
        <w:t>费的递</w:t>
      </w:r>
      <w:proofErr w:type="gramStart"/>
      <w:r w:rsidRPr="007A5789">
        <w:rPr>
          <w:sz w:val="21"/>
        </w:rPr>
        <w:t>延收入</w:t>
      </w:r>
      <w:proofErr w:type="gramEnd"/>
      <w:r w:rsidRPr="007A5789">
        <w:rPr>
          <w:sz w:val="21"/>
        </w:rPr>
        <w:t>余额为1.997亿瑞郎。</w:t>
      </w:r>
    </w:p>
    <w:p w:rsidR="000F3F0F" w:rsidRPr="007A5789" w:rsidRDefault="002F07DF" w:rsidP="00B6014B">
      <w:pPr>
        <w:pStyle w:val="ONUME"/>
        <w:tabs>
          <w:tab w:val="clear" w:pos="567"/>
        </w:tabs>
        <w:overflowPunct w:val="0"/>
        <w:spacing w:afterLines="50" w:after="120" w:line="340" w:lineRule="atLeast"/>
        <w:rPr>
          <w:sz w:val="21"/>
          <w:szCs w:val="22"/>
        </w:rPr>
      </w:pPr>
      <w:r w:rsidRPr="007A5789">
        <w:rPr>
          <w:sz w:val="21"/>
        </w:rPr>
        <w:t>雇员福利负债为1.715亿瑞郎，主要是1.372亿瑞郎的离职后健康保险</w:t>
      </w:r>
      <w:r w:rsidR="00B6014B">
        <w:rPr>
          <w:sz w:val="21"/>
        </w:rPr>
        <w:t>（</w:t>
      </w:r>
      <w:r w:rsidRPr="007A5789">
        <w:rPr>
          <w:sz w:val="21"/>
        </w:rPr>
        <w:t>ASHI</w:t>
      </w:r>
      <w:r w:rsidR="00B6014B">
        <w:rPr>
          <w:sz w:val="21"/>
        </w:rPr>
        <w:t>）</w:t>
      </w:r>
      <w:r w:rsidRPr="007A5789">
        <w:rPr>
          <w:sz w:val="21"/>
        </w:rPr>
        <w:t>负债，占截至2015年12月31日的雇员福利负债总额的80%。和2014年相比，ASHI负债增加了930</w:t>
      </w:r>
      <w:proofErr w:type="gramStart"/>
      <w:r w:rsidRPr="007A5789">
        <w:rPr>
          <w:sz w:val="21"/>
        </w:rPr>
        <w:t>万瑞</w:t>
      </w:r>
      <w:proofErr w:type="gramEnd"/>
      <w:r w:rsidRPr="007A5789">
        <w:rPr>
          <w:sz w:val="21"/>
        </w:rPr>
        <w:t>郎。该负债由独立的精算师计算，反映了WIPO为其已退休人员以及在职WIPO工作人员将来要退休的预计人数所承担的集体医疗保险费的全部未来成本。</w:t>
      </w:r>
    </w:p>
    <w:p w:rsidR="002F07DF" w:rsidRPr="006A1075" w:rsidRDefault="002F07DF" w:rsidP="006A1075">
      <w:pPr>
        <w:pStyle w:val="ONUME"/>
        <w:keepNext/>
        <w:numPr>
          <w:ilvl w:val="0"/>
          <w:numId w:val="0"/>
        </w:numPr>
        <w:overflowPunct w:val="0"/>
        <w:spacing w:afterLines="50" w:after="120" w:line="340" w:lineRule="atLeast"/>
        <w:jc w:val="center"/>
        <w:rPr>
          <w:sz w:val="21"/>
          <w:u w:val="single"/>
        </w:rPr>
      </w:pPr>
      <w:r w:rsidRPr="007A5789">
        <w:rPr>
          <w:sz w:val="21"/>
          <w:u w:val="single"/>
        </w:rPr>
        <w:lastRenderedPageBreak/>
        <w:t>截至2015年12月31日雇员福利负债构成</w:t>
      </w:r>
    </w:p>
    <w:p w:rsidR="002F07DF" w:rsidRPr="007A5789" w:rsidRDefault="0022533A" w:rsidP="0022533A">
      <w:pPr>
        <w:pStyle w:val="ONUME"/>
        <w:numPr>
          <w:ilvl w:val="0"/>
          <w:numId w:val="0"/>
        </w:numPr>
        <w:spacing w:afterLines="50" w:after="120" w:line="340" w:lineRule="atLeast"/>
        <w:jc w:val="center"/>
        <w:rPr>
          <w:sz w:val="21"/>
          <w:szCs w:val="22"/>
        </w:rPr>
      </w:pPr>
      <w:r w:rsidRPr="00EF7E79">
        <w:rPr>
          <w:noProof/>
          <w:sz w:val="21"/>
          <w:lang w:val="en-US" w:bidi="ar-SA"/>
        </w:rPr>
        <w:drawing>
          <wp:inline distT="0" distB="0" distL="0" distR="0" wp14:anchorId="6F91B554" wp14:editId="43E647C2">
            <wp:extent cx="5931535" cy="2321560"/>
            <wp:effectExtent l="0" t="0" r="0" b="2540"/>
            <wp:docPr id="302"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1535" cy="2321560"/>
                    </a:xfrm>
                    <a:prstGeom prst="rect">
                      <a:avLst/>
                    </a:prstGeom>
                    <a:noFill/>
                    <a:ln>
                      <a:noFill/>
                    </a:ln>
                  </pic:spPr>
                </pic:pic>
              </a:graphicData>
            </a:graphic>
          </wp:inline>
        </w:drawing>
      </w:r>
    </w:p>
    <w:p w:rsidR="007A5789" w:rsidRDefault="008B7FDA" w:rsidP="00B6014B">
      <w:pPr>
        <w:pStyle w:val="ONUME"/>
        <w:tabs>
          <w:tab w:val="clear" w:pos="567"/>
        </w:tabs>
        <w:overflowPunct w:val="0"/>
        <w:spacing w:afterLines="50" w:after="120" w:line="340" w:lineRule="atLeast"/>
        <w:rPr>
          <w:sz w:val="21"/>
        </w:rPr>
      </w:pPr>
      <w:r w:rsidRPr="007A5789">
        <w:rPr>
          <w:sz w:val="21"/>
        </w:rPr>
        <w:t>ASHI负债在过去七年间稳步增长，同时按照精算预算，接下来预计将继续保持增长的势头。负债每年随着本期服务费用和利息成本而增加，且每年随着本组织支付的福利而减少。本期服务费用是本年度雇员服务产生的净影响。利息成本是每一位在职工作人员每接近ASHI参与资格的年龄一年而产生的影响。本组织每年支付的福利是其每月为退休人员参加ASHI缴纳的款项</w:t>
      </w:r>
      <w:r w:rsidR="00B6014B">
        <w:rPr>
          <w:sz w:val="21"/>
        </w:rPr>
        <w:t>（</w:t>
      </w:r>
      <w:r w:rsidRPr="007A5789">
        <w:rPr>
          <w:sz w:val="21"/>
        </w:rPr>
        <w:t>目前是保费的</w:t>
      </w:r>
      <w:r w:rsidR="00A45FF1" w:rsidRPr="007A5789">
        <w:rPr>
          <w:sz w:val="21"/>
        </w:rPr>
        <w:t>6</w:t>
      </w:r>
      <w:r w:rsidR="00A45FF1" w:rsidRPr="007A5789">
        <w:rPr>
          <w:rFonts w:hint="eastAsia"/>
          <w:sz w:val="21"/>
        </w:rPr>
        <w:t>5</w:t>
      </w:r>
      <w:r w:rsidRPr="007A5789">
        <w:rPr>
          <w:sz w:val="21"/>
        </w:rPr>
        <w:t>%</w:t>
      </w:r>
      <w:r w:rsidR="00B6014B">
        <w:rPr>
          <w:sz w:val="21"/>
        </w:rPr>
        <w:t>）</w:t>
      </w:r>
      <w:r w:rsidRPr="007A5789">
        <w:rPr>
          <w:sz w:val="21"/>
        </w:rPr>
        <w:t>。因此，WIPO工作人员的人口统计概况，以及目前在职工作人员与退休人员的比例对负债变动产生重大影响。</w:t>
      </w:r>
    </w:p>
    <w:p w:rsidR="007A5789" w:rsidRPr="006A1075" w:rsidRDefault="008B7FDA"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2009年至2019年ASHI负债变动</w:t>
      </w:r>
    </w:p>
    <w:p w:rsidR="00F97423" w:rsidRPr="007A5789" w:rsidRDefault="0022533A" w:rsidP="0022533A">
      <w:pPr>
        <w:spacing w:afterLines="50" w:after="120" w:line="340" w:lineRule="atLeast"/>
        <w:jc w:val="center"/>
        <w:rPr>
          <w:sz w:val="21"/>
        </w:rPr>
      </w:pPr>
      <w:r w:rsidRPr="00EF7E79">
        <w:rPr>
          <w:noProof/>
          <w:sz w:val="21"/>
          <w:lang w:val="en-US" w:bidi="ar-SA"/>
        </w:rPr>
        <w:drawing>
          <wp:inline distT="0" distB="0" distL="0" distR="0" wp14:anchorId="7E2429A1" wp14:editId="4C5DF701">
            <wp:extent cx="4985385" cy="3021330"/>
            <wp:effectExtent l="0" t="0" r="5715" b="7620"/>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5385" cy="3021330"/>
                    </a:xfrm>
                    <a:prstGeom prst="rect">
                      <a:avLst/>
                    </a:prstGeom>
                    <a:noFill/>
                    <a:ln>
                      <a:noFill/>
                    </a:ln>
                  </pic:spPr>
                </pic:pic>
              </a:graphicData>
            </a:graphic>
          </wp:inline>
        </w:drawing>
      </w:r>
    </w:p>
    <w:p w:rsidR="00E14CE0" w:rsidRPr="007A5789" w:rsidRDefault="008B7FDA" w:rsidP="00B6014B">
      <w:pPr>
        <w:pStyle w:val="ONUME"/>
        <w:tabs>
          <w:tab w:val="clear" w:pos="567"/>
        </w:tabs>
        <w:overflowPunct w:val="0"/>
        <w:spacing w:afterLines="50" w:after="120" w:line="340" w:lineRule="atLeast"/>
        <w:rPr>
          <w:sz w:val="21"/>
          <w:szCs w:val="22"/>
        </w:rPr>
      </w:pPr>
      <w:r w:rsidRPr="007A5789">
        <w:rPr>
          <w:sz w:val="21"/>
        </w:rPr>
        <w:t>独立精算师的计算还包括大量精算假设，包括贴现率、医疗费</w:t>
      </w:r>
      <w:proofErr w:type="gramStart"/>
      <w:r w:rsidRPr="007A5789">
        <w:rPr>
          <w:sz w:val="21"/>
        </w:rPr>
        <w:t>用趋势率</w:t>
      </w:r>
      <w:proofErr w:type="gramEnd"/>
      <w:r w:rsidRPr="007A5789">
        <w:rPr>
          <w:sz w:val="21"/>
        </w:rPr>
        <w:t>、员工流动率和死亡率。这些假设的同比变动导致精算损益。根据IPSAS，WIPO采用居间法对这些精算损益进行会计处理，这意味着他们没有立即在财务报表中予以确认。应该注意的是</w:t>
      </w:r>
      <w:r w:rsidR="00A45FF1" w:rsidRPr="007A5789">
        <w:rPr>
          <w:rFonts w:hint="eastAsia"/>
          <w:sz w:val="21"/>
        </w:rPr>
        <w:t>《</w:t>
      </w:r>
      <w:r w:rsidRPr="007A5789">
        <w:rPr>
          <w:sz w:val="21"/>
        </w:rPr>
        <w:t>国际财务报告准则</w:t>
      </w:r>
      <w:r w:rsidR="00A45FF1" w:rsidRPr="007A5789">
        <w:rPr>
          <w:rFonts w:hint="eastAsia"/>
          <w:sz w:val="21"/>
        </w:rPr>
        <w:t>》</w:t>
      </w:r>
      <w:r w:rsidR="00B6014B">
        <w:rPr>
          <w:sz w:val="21"/>
        </w:rPr>
        <w:t>（</w:t>
      </w:r>
      <w:r w:rsidRPr="007A5789">
        <w:rPr>
          <w:sz w:val="21"/>
        </w:rPr>
        <w:t>IFRS</w:t>
      </w:r>
      <w:r w:rsidR="00B6014B">
        <w:rPr>
          <w:sz w:val="21"/>
        </w:rPr>
        <w:t>）</w:t>
      </w:r>
      <w:r w:rsidRPr="007A5789">
        <w:rPr>
          <w:sz w:val="21"/>
        </w:rPr>
        <w:t>如今已经淘汰了用居间法来递延确认精算损益。2016年1月，IPSASB发布了</w:t>
      </w:r>
      <w:r w:rsidR="000D40DA" w:rsidRPr="007A5789">
        <w:rPr>
          <w:rFonts w:hint="eastAsia"/>
          <w:sz w:val="21"/>
        </w:rPr>
        <w:t>《</w:t>
      </w:r>
      <w:r w:rsidRPr="007A5789">
        <w:rPr>
          <w:sz w:val="21"/>
        </w:rPr>
        <w:t>征求意见稿</w:t>
      </w:r>
      <w:r w:rsidR="000D40DA" w:rsidRPr="007A5789">
        <w:rPr>
          <w:rFonts w:hint="eastAsia"/>
          <w:sz w:val="21"/>
        </w:rPr>
        <w:t>》</w:t>
      </w:r>
      <w:r w:rsidRPr="007A5789">
        <w:rPr>
          <w:sz w:val="21"/>
        </w:rPr>
        <w:t>，提出修订IPSAS 25员工福利，包括取消居间法。如果修订被最终批准，这将会引发财务状况表确认的ASHI负债出现更大幅的波动。截至2015年12月31日，WIPO与ASHI相关的累计未确认精算损失总额为7,880</w:t>
      </w:r>
      <w:proofErr w:type="gramStart"/>
      <w:r w:rsidRPr="007A5789">
        <w:rPr>
          <w:sz w:val="21"/>
        </w:rPr>
        <w:t>万瑞</w:t>
      </w:r>
      <w:proofErr w:type="gramEnd"/>
      <w:r w:rsidRPr="007A5789">
        <w:rPr>
          <w:sz w:val="21"/>
        </w:rPr>
        <w:t>郎。</w:t>
      </w:r>
    </w:p>
    <w:p w:rsidR="007A5789" w:rsidRDefault="008B7FDA" w:rsidP="00B6014B">
      <w:pPr>
        <w:pStyle w:val="ONUME"/>
        <w:tabs>
          <w:tab w:val="clear" w:pos="567"/>
        </w:tabs>
        <w:overflowPunct w:val="0"/>
        <w:spacing w:afterLines="50" w:after="120" w:line="340" w:lineRule="atLeast"/>
        <w:rPr>
          <w:sz w:val="21"/>
          <w:szCs w:val="22"/>
        </w:rPr>
      </w:pPr>
      <w:r w:rsidRPr="007A5789">
        <w:rPr>
          <w:sz w:val="21"/>
        </w:rPr>
        <w:lastRenderedPageBreak/>
        <w:t>借款为国际组织不动产基金会</w:t>
      </w:r>
      <w:r w:rsidR="00B6014B">
        <w:rPr>
          <w:sz w:val="21"/>
        </w:rPr>
        <w:t>（</w:t>
      </w:r>
      <w:r w:rsidRPr="007A5789">
        <w:rPr>
          <w:sz w:val="21"/>
        </w:rPr>
        <w:t>FIPOI</w:t>
      </w:r>
      <w:r w:rsidR="00B6014B">
        <w:rPr>
          <w:sz w:val="21"/>
        </w:rPr>
        <w:t>）</w:t>
      </w:r>
      <w:r w:rsidRPr="007A5789">
        <w:rPr>
          <w:sz w:val="21"/>
        </w:rPr>
        <w:t>的贷款</w:t>
      </w:r>
      <w:r w:rsidR="00B6014B">
        <w:rPr>
          <w:sz w:val="21"/>
        </w:rPr>
        <w:t>（</w:t>
      </w:r>
      <w:r w:rsidRPr="007A5789">
        <w:rPr>
          <w:sz w:val="21"/>
        </w:rPr>
        <w:t>1,960</w:t>
      </w:r>
      <w:proofErr w:type="gramStart"/>
      <w:r w:rsidRPr="007A5789">
        <w:rPr>
          <w:sz w:val="21"/>
        </w:rPr>
        <w:t>万瑞</w:t>
      </w:r>
      <w:proofErr w:type="gramEnd"/>
      <w:r w:rsidRPr="007A5789">
        <w:rPr>
          <w:sz w:val="21"/>
        </w:rPr>
        <w:t>郎</w:t>
      </w:r>
      <w:r w:rsidR="00B6014B">
        <w:rPr>
          <w:sz w:val="21"/>
        </w:rPr>
        <w:t>）</w:t>
      </w:r>
      <w:r w:rsidRPr="007A5789">
        <w:rPr>
          <w:sz w:val="21"/>
        </w:rPr>
        <w:t>和BCG/BCV新楼贷款</w:t>
      </w:r>
      <w:r w:rsidR="00B6014B">
        <w:rPr>
          <w:sz w:val="21"/>
        </w:rPr>
        <w:t>（</w:t>
      </w:r>
      <w:r w:rsidRPr="007A5789">
        <w:rPr>
          <w:sz w:val="21"/>
        </w:rPr>
        <w:t>9,040</w:t>
      </w:r>
      <w:proofErr w:type="gramStart"/>
      <w:r w:rsidRPr="007A5789">
        <w:rPr>
          <w:sz w:val="21"/>
        </w:rPr>
        <w:t>万瑞</w:t>
      </w:r>
      <w:proofErr w:type="gramEnd"/>
      <w:r w:rsidRPr="007A5789">
        <w:rPr>
          <w:sz w:val="21"/>
        </w:rPr>
        <w:t>郎</w:t>
      </w:r>
      <w:r w:rsidR="00B6014B">
        <w:rPr>
          <w:sz w:val="21"/>
        </w:rPr>
        <w:t>）</w:t>
      </w:r>
      <w:r w:rsidRPr="007A5789">
        <w:rPr>
          <w:sz w:val="21"/>
        </w:rPr>
        <w:t>。2015年偿还本金2,920</w:t>
      </w:r>
      <w:proofErr w:type="gramStart"/>
      <w:r w:rsidRPr="007A5789">
        <w:rPr>
          <w:sz w:val="21"/>
        </w:rPr>
        <w:t>万瑞</w:t>
      </w:r>
      <w:proofErr w:type="gramEnd"/>
      <w:r w:rsidRPr="007A5789">
        <w:rPr>
          <w:sz w:val="21"/>
        </w:rPr>
        <w:t>郎。本组织于2015年11月进行了第一期一次性偿还BCG/BCV新楼贷款，偿还金额为2,400</w:t>
      </w:r>
      <w:proofErr w:type="gramStart"/>
      <w:r w:rsidRPr="007A5789">
        <w:rPr>
          <w:sz w:val="21"/>
        </w:rPr>
        <w:t>万瑞</w:t>
      </w:r>
      <w:proofErr w:type="gramEnd"/>
      <w:r w:rsidRPr="007A5789">
        <w:rPr>
          <w:sz w:val="21"/>
        </w:rPr>
        <w:t>郎。本组织的其他负债总计为5,660</w:t>
      </w:r>
      <w:proofErr w:type="gramStart"/>
      <w:r w:rsidRPr="007A5789">
        <w:rPr>
          <w:sz w:val="21"/>
        </w:rPr>
        <w:t>万瑞</w:t>
      </w:r>
      <w:proofErr w:type="gramEnd"/>
      <w:r w:rsidRPr="007A5789">
        <w:rPr>
          <w:sz w:val="21"/>
        </w:rPr>
        <w:t>郎，其中包括代表申请人和缔约方持有的5,580</w:t>
      </w:r>
      <w:proofErr w:type="gramStart"/>
      <w:r w:rsidRPr="007A5789">
        <w:rPr>
          <w:sz w:val="21"/>
        </w:rPr>
        <w:t>万瑞</w:t>
      </w:r>
      <w:proofErr w:type="gramEnd"/>
      <w:r w:rsidRPr="007A5789">
        <w:rPr>
          <w:sz w:val="21"/>
        </w:rPr>
        <w:t>郎的</w:t>
      </w:r>
      <w:r w:rsidR="00237C47">
        <w:rPr>
          <w:rFonts w:hint="eastAsia"/>
          <w:sz w:val="21"/>
        </w:rPr>
        <w:t>往来</w:t>
      </w:r>
      <w:r w:rsidRPr="007A5789">
        <w:rPr>
          <w:sz w:val="21"/>
        </w:rPr>
        <w:t>账户存款，以及80</w:t>
      </w:r>
      <w:proofErr w:type="gramStart"/>
      <w:r w:rsidRPr="007A5789">
        <w:rPr>
          <w:sz w:val="21"/>
        </w:rPr>
        <w:t>万瑞</w:t>
      </w:r>
      <w:proofErr w:type="gramEnd"/>
      <w:r w:rsidRPr="007A5789">
        <w:rPr>
          <w:sz w:val="21"/>
        </w:rPr>
        <w:t>郎的法律费用准备金。</w:t>
      </w:r>
    </w:p>
    <w:p w:rsidR="007A5789" w:rsidRPr="00C8425D" w:rsidRDefault="00594A73" w:rsidP="00C8425D">
      <w:pPr>
        <w:keepNext/>
        <w:overflowPunct w:val="0"/>
        <w:spacing w:beforeLines="100" w:before="240" w:afterLines="50" w:after="120" w:line="340" w:lineRule="atLeast"/>
        <w:rPr>
          <w:b/>
          <w:sz w:val="21"/>
        </w:rPr>
      </w:pPr>
      <w:r w:rsidRPr="00C8425D">
        <w:rPr>
          <w:b/>
          <w:sz w:val="21"/>
        </w:rPr>
        <w:t>现金流量</w:t>
      </w:r>
    </w:p>
    <w:p w:rsidR="007A5789" w:rsidRDefault="00594A73" w:rsidP="00B6014B">
      <w:pPr>
        <w:pStyle w:val="ONUME"/>
        <w:tabs>
          <w:tab w:val="clear" w:pos="567"/>
        </w:tabs>
        <w:overflowPunct w:val="0"/>
        <w:spacing w:afterLines="50" w:after="120" w:line="340" w:lineRule="atLeast"/>
        <w:rPr>
          <w:sz w:val="21"/>
          <w:szCs w:val="22"/>
        </w:rPr>
      </w:pPr>
      <w:r w:rsidRPr="007A5789">
        <w:rPr>
          <w:sz w:val="21"/>
        </w:rPr>
        <w:t>截至2015年12月31日</w:t>
      </w:r>
      <w:r w:rsidR="00DF7115">
        <w:rPr>
          <w:sz w:val="21"/>
        </w:rPr>
        <w:t>，</w:t>
      </w:r>
      <w:r w:rsidRPr="007A5789">
        <w:rPr>
          <w:sz w:val="21"/>
        </w:rPr>
        <w:t>本组织现金余额为4.895亿瑞郎</w:t>
      </w:r>
      <w:r w:rsidR="00DF7115">
        <w:rPr>
          <w:sz w:val="21"/>
        </w:rPr>
        <w:t>，</w:t>
      </w:r>
      <w:r w:rsidRPr="007A5789">
        <w:rPr>
          <w:sz w:val="21"/>
        </w:rPr>
        <w:t>相比之下</w:t>
      </w:r>
      <w:r w:rsidR="00DF7115">
        <w:rPr>
          <w:sz w:val="21"/>
        </w:rPr>
        <w:t>，</w:t>
      </w:r>
      <w:r w:rsidRPr="007A5789">
        <w:rPr>
          <w:sz w:val="21"/>
        </w:rPr>
        <w:t>截至2014年12月31日</w:t>
      </w:r>
      <w:r w:rsidR="00DF7115">
        <w:rPr>
          <w:sz w:val="21"/>
        </w:rPr>
        <w:t>，</w:t>
      </w:r>
      <w:r w:rsidRPr="007A5789">
        <w:rPr>
          <w:sz w:val="21"/>
        </w:rPr>
        <w:t>现金余额为4.745亿瑞郎。现金余额总额自2011年起持续增长。尽管2015年11月一次性偿还贷款2,400</w:t>
      </w:r>
      <w:proofErr w:type="gramStart"/>
      <w:r w:rsidRPr="007A5789">
        <w:rPr>
          <w:sz w:val="21"/>
        </w:rPr>
        <w:t>万瑞</w:t>
      </w:r>
      <w:proofErr w:type="gramEnd"/>
      <w:r w:rsidRPr="007A5789">
        <w:rPr>
          <w:sz w:val="21"/>
        </w:rPr>
        <w:t>郎，但2014-2015年仍实现1,500</w:t>
      </w:r>
      <w:proofErr w:type="gramStart"/>
      <w:r w:rsidRPr="007A5789">
        <w:rPr>
          <w:sz w:val="21"/>
        </w:rPr>
        <w:t>万瑞</w:t>
      </w:r>
      <w:proofErr w:type="gramEnd"/>
      <w:r w:rsidRPr="007A5789">
        <w:rPr>
          <w:sz w:val="21"/>
        </w:rPr>
        <w:t>郎的增长。</w:t>
      </w:r>
    </w:p>
    <w:p w:rsidR="007A5789" w:rsidRDefault="00EE23D0" w:rsidP="00B6014B">
      <w:pPr>
        <w:pStyle w:val="ONUME"/>
        <w:tabs>
          <w:tab w:val="clear" w:pos="567"/>
        </w:tabs>
        <w:overflowPunct w:val="0"/>
        <w:spacing w:afterLines="50" w:after="120" w:line="340" w:lineRule="atLeast"/>
        <w:rPr>
          <w:sz w:val="21"/>
          <w:szCs w:val="22"/>
        </w:rPr>
      </w:pPr>
      <w:r w:rsidRPr="007A5789">
        <w:rPr>
          <w:sz w:val="21"/>
        </w:rPr>
        <w:t>本组织的现金存款通常存储在可随时访问的银行账户和记息账户。但2015年，大量现金存款转移至短期投资以避免某些可随时访问的银行账户在实施负利率后产生费用。</w:t>
      </w:r>
    </w:p>
    <w:p w:rsidR="007A5789" w:rsidRDefault="00EE23D0" w:rsidP="00B6014B">
      <w:pPr>
        <w:pStyle w:val="ONUME"/>
        <w:tabs>
          <w:tab w:val="clear" w:pos="567"/>
        </w:tabs>
        <w:overflowPunct w:val="0"/>
        <w:spacing w:afterLines="50" w:after="120" w:line="340" w:lineRule="atLeast"/>
        <w:rPr>
          <w:sz w:val="21"/>
          <w:szCs w:val="22"/>
        </w:rPr>
      </w:pPr>
      <w:r w:rsidRPr="007A5789">
        <w:rPr>
          <w:sz w:val="21"/>
        </w:rPr>
        <w:t>在财务报表中</w:t>
      </w:r>
      <w:r w:rsidR="00B6014B">
        <w:rPr>
          <w:sz w:val="21"/>
        </w:rPr>
        <w:t>（</w:t>
      </w:r>
      <w:r w:rsidRPr="007A5789">
        <w:rPr>
          <w:sz w:val="21"/>
        </w:rPr>
        <w:t>见附注3</w:t>
      </w:r>
      <w:r w:rsidR="00B6014B">
        <w:rPr>
          <w:sz w:val="21"/>
        </w:rPr>
        <w:t>）</w:t>
      </w:r>
      <w:r w:rsidRPr="007A5789">
        <w:rPr>
          <w:sz w:val="21"/>
        </w:rPr>
        <w:t>，现金按照受限和不受限余额分别列示：</w:t>
      </w:r>
    </w:p>
    <w:p w:rsidR="00E17626" w:rsidRPr="006A1075" w:rsidRDefault="00E17626"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2010年至2015年非受限和受限现金余额</w:t>
      </w:r>
    </w:p>
    <w:p w:rsidR="00594A73" w:rsidRPr="007A5789" w:rsidRDefault="0022533A" w:rsidP="0022533A">
      <w:pPr>
        <w:pStyle w:val="ONUME"/>
        <w:numPr>
          <w:ilvl w:val="0"/>
          <w:numId w:val="0"/>
        </w:numPr>
        <w:spacing w:afterLines="50" w:after="120" w:line="340" w:lineRule="atLeast"/>
        <w:jc w:val="center"/>
        <w:rPr>
          <w:sz w:val="21"/>
          <w:szCs w:val="22"/>
        </w:rPr>
      </w:pPr>
      <w:r w:rsidRPr="00EF7E79">
        <w:rPr>
          <w:noProof/>
          <w:sz w:val="21"/>
          <w:lang w:val="en-US" w:bidi="ar-SA"/>
        </w:rPr>
        <w:drawing>
          <wp:inline distT="0" distB="0" distL="0" distR="0" wp14:anchorId="7C037F25" wp14:editId="2D31A235">
            <wp:extent cx="5876290" cy="3554095"/>
            <wp:effectExtent l="0" t="0" r="0" b="8255"/>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76290" cy="3554095"/>
                    </a:xfrm>
                    <a:prstGeom prst="rect">
                      <a:avLst/>
                    </a:prstGeom>
                    <a:noFill/>
                    <a:ln>
                      <a:noFill/>
                    </a:ln>
                  </pic:spPr>
                </pic:pic>
              </a:graphicData>
            </a:graphic>
          </wp:inline>
        </w:drawing>
      </w:r>
    </w:p>
    <w:p w:rsidR="007A5789" w:rsidRDefault="00EE23D0" w:rsidP="00B6014B">
      <w:pPr>
        <w:pStyle w:val="ONUME"/>
        <w:tabs>
          <w:tab w:val="clear" w:pos="567"/>
        </w:tabs>
        <w:overflowPunct w:val="0"/>
        <w:spacing w:afterLines="50" w:after="120" w:line="340" w:lineRule="atLeast"/>
        <w:rPr>
          <w:sz w:val="21"/>
          <w:szCs w:val="22"/>
        </w:rPr>
      </w:pPr>
      <w:r w:rsidRPr="007A5789">
        <w:rPr>
          <w:sz w:val="21"/>
        </w:rPr>
        <w:t>现金及现金等价物的多个部分被分类为受限。受限现金包括为第三方持有的往来账户</w:t>
      </w:r>
      <w:r w:rsidR="00B6014B">
        <w:rPr>
          <w:sz w:val="21"/>
        </w:rPr>
        <w:t>（</w:t>
      </w:r>
      <w:r w:rsidRPr="007A5789">
        <w:rPr>
          <w:sz w:val="21"/>
        </w:rPr>
        <w:t>PCT、马德里及海牙体系下的</w:t>
      </w:r>
      <w:r w:rsidR="00177F34">
        <w:rPr>
          <w:sz w:val="21"/>
        </w:rPr>
        <w:t>申请人</w:t>
      </w:r>
      <w:r w:rsidRPr="007A5789">
        <w:rPr>
          <w:sz w:val="21"/>
        </w:rPr>
        <w:t>以及某些缔约方</w:t>
      </w:r>
      <w:r w:rsidR="00B6014B">
        <w:rPr>
          <w:sz w:val="21"/>
        </w:rPr>
        <w:t>）</w:t>
      </w:r>
      <w:r w:rsidRPr="007A5789">
        <w:rPr>
          <w:sz w:val="21"/>
        </w:rPr>
        <w:t>、代表缔约方收集的费用、收到的与商标未决程序相关</w:t>
      </w:r>
      <w:r w:rsidR="00237C47">
        <w:rPr>
          <w:rFonts w:hint="eastAsia"/>
          <w:sz w:val="21"/>
        </w:rPr>
        <w:t>预付款</w:t>
      </w:r>
      <w:r w:rsidRPr="007A5789">
        <w:rPr>
          <w:sz w:val="21"/>
        </w:rPr>
        <w:t>、以及代表自愿捐款的捐助人持有的特殊账户。</w:t>
      </w:r>
    </w:p>
    <w:p w:rsidR="007A5789" w:rsidRDefault="00893CF0" w:rsidP="00B6014B">
      <w:pPr>
        <w:pStyle w:val="ONUME"/>
        <w:tabs>
          <w:tab w:val="clear" w:pos="567"/>
        </w:tabs>
        <w:overflowPunct w:val="0"/>
        <w:spacing w:afterLines="50" w:after="120" w:line="340" w:lineRule="atLeast"/>
        <w:rPr>
          <w:sz w:val="21"/>
        </w:rPr>
      </w:pPr>
      <w:r w:rsidRPr="007A5789">
        <w:rPr>
          <w:sz w:val="21"/>
        </w:rPr>
        <w:t>被分类为受限现金的还有本组织持有的用于未来离职后雇员福利负债</w:t>
      </w:r>
      <w:r w:rsidR="00B6014B">
        <w:rPr>
          <w:sz w:val="21"/>
        </w:rPr>
        <w:t>（</w:t>
      </w:r>
      <w:r w:rsidRPr="007A5789">
        <w:rPr>
          <w:sz w:val="21"/>
        </w:rPr>
        <w:t>包括ASHI</w:t>
      </w:r>
      <w:r w:rsidR="00B6014B">
        <w:rPr>
          <w:sz w:val="21"/>
        </w:rPr>
        <w:t>）</w:t>
      </w:r>
      <w:r w:rsidRPr="007A5789">
        <w:rPr>
          <w:sz w:val="21"/>
        </w:rPr>
        <w:t>融资的资金。这些资金持有在独立银行账户中，截至2015年12月31日账户余额为8,890</w:t>
      </w:r>
      <w:proofErr w:type="gramStart"/>
      <w:r w:rsidRPr="007A5789">
        <w:rPr>
          <w:sz w:val="21"/>
        </w:rPr>
        <w:t>万瑞</w:t>
      </w:r>
      <w:proofErr w:type="gramEnd"/>
      <w:r w:rsidRPr="007A5789">
        <w:rPr>
          <w:sz w:val="21"/>
        </w:rPr>
        <w:t>郎。2015年，用于为离职后雇员福利融资的员额成本计提产生1,320</w:t>
      </w:r>
      <w:proofErr w:type="gramStart"/>
      <w:r w:rsidRPr="007A5789">
        <w:rPr>
          <w:sz w:val="21"/>
        </w:rPr>
        <w:t>万瑞</w:t>
      </w:r>
      <w:proofErr w:type="gramEnd"/>
      <w:r w:rsidRPr="007A5789">
        <w:rPr>
          <w:sz w:val="21"/>
        </w:rPr>
        <w:t>郎的额外资金。这些资金将于2016年转入独立的银行账户。</w:t>
      </w:r>
    </w:p>
    <w:p w:rsidR="003D2CFC" w:rsidRPr="007A5789" w:rsidRDefault="003D2CFC" w:rsidP="00B6014B">
      <w:pPr>
        <w:pStyle w:val="ONUME"/>
        <w:tabs>
          <w:tab w:val="clear" w:pos="567"/>
        </w:tabs>
        <w:overflowPunct w:val="0"/>
        <w:spacing w:afterLines="50" w:after="120" w:line="340" w:lineRule="atLeast"/>
        <w:rPr>
          <w:sz w:val="21"/>
        </w:rPr>
      </w:pPr>
      <w:r w:rsidRPr="007A5789">
        <w:rPr>
          <w:sz w:val="21"/>
        </w:rPr>
        <w:lastRenderedPageBreak/>
        <w:t>如上文所述，本组织在2015年开始一次性偿还BCG/BCV新楼贷款。本组织于2015年11月进行了第一期一次性偿还贷款，偿还金额为2,400</w:t>
      </w:r>
      <w:proofErr w:type="gramStart"/>
      <w:r w:rsidRPr="007A5789">
        <w:rPr>
          <w:sz w:val="21"/>
        </w:rPr>
        <w:t>万瑞</w:t>
      </w:r>
      <w:proofErr w:type="gramEnd"/>
      <w:r w:rsidRPr="007A5789">
        <w:rPr>
          <w:sz w:val="21"/>
        </w:rPr>
        <w:t>郎。2016年1月进行了第二期一次性偿还贷款，金额为1,600</w:t>
      </w:r>
      <w:proofErr w:type="gramStart"/>
      <w:r w:rsidRPr="007A5789">
        <w:rPr>
          <w:sz w:val="21"/>
        </w:rPr>
        <w:t>万瑞</w:t>
      </w:r>
      <w:proofErr w:type="gramEnd"/>
      <w:r w:rsidRPr="007A5789">
        <w:rPr>
          <w:sz w:val="21"/>
        </w:rPr>
        <w:t>郎。</w:t>
      </w:r>
    </w:p>
    <w:p w:rsidR="00673422" w:rsidRPr="007A5789" w:rsidRDefault="003D2CFC" w:rsidP="00B6014B">
      <w:pPr>
        <w:pStyle w:val="ONUME"/>
        <w:tabs>
          <w:tab w:val="clear" w:pos="567"/>
        </w:tabs>
        <w:overflowPunct w:val="0"/>
        <w:spacing w:afterLines="50" w:after="120" w:line="340" w:lineRule="atLeast"/>
        <w:rPr>
          <w:sz w:val="21"/>
          <w:szCs w:val="22"/>
        </w:rPr>
      </w:pPr>
      <w:r w:rsidRPr="007A5789">
        <w:rPr>
          <w:sz w:val="21"/>
        </w:rPr>
        <w:t>本组织主要的现金流入是PCT体系</w:t>
      </w:r>
      <w:proofErr w:type="gramStart"/>
      <w:r w:rsidRPr="007A5789">
        <w:rPr>
          <w:sz w:val="21"/>
        </w:rPr>
        <w:t>规</w:t>
      </w:r>
      <w:proofErr w:type="gramEnd"/>
      <w:r w:rsidRPr="007A5789">
        <w:rPr>
          <w:sz w:val="21"/>
        </w:rPr>
        <w:t>费的付款。2015年，PCT体系</w:t>
      </w:r>
      <w:proofErr w:type="gramStart"/>
      <w:r w:rsidRPr="007A5789">
        <w:rPr>
          <w:sz w:val="21"/>
        </w:rPr>
        <w:t>规</w:t>
      </w:r>
      <w:proofErr w:type="gramEnd"/>
      <w:r w:rsidRPr="007A5789">
        <w:rPr>
          <w:sz w:val="21"/>
        </w:rPr>
        <w:t>费的月度现金流入平均为2,520</w:t>
      </w:r>
      <w:proofErr w:type="gramStart"/>
      <w:r w:rsidRPr="007A5789">
        <w:rPr>
          <w:sz w:val="21"/>
        </w:rPr>
        <w:t>万瑞</w:t>
      </w:r>
      <w:proofErr w:type="gramEnd"/>
      <w:r w:rsidRPr="007A5789">
        <w:rPr>
          <w:sz w:val="21"/>
        </w:rPr>
        <w:t>郎，2014年为2,460</w:t>
      </w:r>
      <w:proofErr w:type="gramStart"/>
      <w:r w:rsidRPr="007A5789">
        <w:rPr>
          <w:sz w:val="21"/>
        </w:rPr>
        <w:t>万瑞</w:t>
      </w:r>
      <w:proofErr w:type="gramEnd"/>
      <w:r w:rsidRPr="007A5789">
        <w:rPr>
          <w:sz w:val="21"/>
        </w:rPr>
        <w:t>郎。如下表所示，各月现金流入有着显著差异。由于弥补2013年申请的欠款以及2014年3月申请水平上升，2014年4月和5月来自PCT体系</w:t>
      </w:r>
      <w:proofErr w:type="gramStart"/>
      <w:r w:rsidRPr="007A5789">
        <w:rPr>
          <w:sz w:val="21"/>
        </w:rPr>
        <w:t>规</w:t>
      </w:r>
      <w:proofErr w:type="gramEnd"/>
      <w:r w:rsidRPr="007A5789">
        <w:rPr>
          <w:sz w:val="21"/>
        </w:rPr>
        <w:t>费的现金流量明显较高。2015年各月之间的流入情况更加一致。2015年流入最高的月份是12月，其中包括470</w:t>
      </w:r>
      <w:proofErr w:type="gramStart"/>
      <w:r w:rsidRPr="007A5789">
        <w:rPr>
          <w:sz w:val="21"/>
        </w:rPr>
        <w:t>万瑞</w:t>
      </w:r>
      <w:proofErr w:type="gramEnd"/>
      <w:r w:rsidRPr="007A5789">
        <w:rPr>
          <w:sz w:val="21"/>
        </w:rPr>
        <w:t>郎的支付调整。</w:t>
      </w:r>
    </w:p>
    <w:p w:rsidR="00C83CDF" w:rsidRPr="006A1075" w:rsidRDefault="00C83CDF"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2014-2015年月度PCT体系现金流入</w:t>
      </w:r>
    </w:p>
    <w:p w:rsidR="00C83CDF" w:rsidRPr="007A5789" w:rsidRDefault="0022533A" w:rsidP="0022533A">
      <w:pPr>
        <w:pStyle w:val="ONUME"/>
        <w:numPr>
          <w:ilvl w:val="0"/>
          <w:numId w:val="0"/>
        </w:numPr>
        <w:spacing w:afterLines="50" w:after="120" w:line="340" w:lineRule="atLeast"/>
        <w:jc w:val="center"/>
        <w:rPr>
          <w:sz w:val="21"/>
          <w:szCs w:val="22"/>
        </w:rPr>
      </w:pPr>
      <w:r w:rsidRPr="00EF7E79">
        <w:rPr>
          <w:noProof/>
          <w:sz w:val="21"/>
          <w:lang w:val="en-US" w:bidi="ar-SA"/>
        </w:rPr>
        <w:drawing>
          <wp:inline distT="0" distB="0" distL="0" distR="0" wp14:anchorId="043BB373" wp14:editId="015FF50F">
            <wp:extent cx="5780405" cy="3506470"/>
            <wp:effectExtent l="0" t="0" r="0" b="0"/>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80405" cy="3506470"/>
                    </a:xfrm>
                    <a:prstGeom prst="rect">
                      <a:avLst/>
                    </a:prstGeom>
                    <a:noFill/>
                    <a:ln>
                      <a:noFill/>
                    </a:ln>
                  </pic:spPr>
                </pic:pic>
              </a:graphicData>
            </a:graphic>
          </wp:inline>
        </w:drawing>
      </w:r>
    </w:p>
    <w:p w:rsidR="0071598D" w:rsidRPr="00021B97" w:rsidRDefault="00D47896" w:rsidP="00CB5537">
      <w:pPr>
        <w:pStyle w:val="2"/>
        <w:keepNext w:val="0"/>
        <w:spacing w:before="0" w:afterLines="100" w:after="240" w:line="340" w:lineRule="atLeast"/>
        <w:jc w:val="center"/>
        <w:rPr>
          <w:rFonts w:ascii="SimHei" w:eastAsia="SimHei" w:hAnsi="SimHei"/>
          <w:bCs w:val="0"/>
          <w:iCs w:val="0"/>
          <w:sz w:val="21"/>
        </w:rPr>
      </w:pPr>
      <w:r w:rsidRPr="007A5789">
        <w:rPr>
          <w:sz w:val="21"/>
        </w:rPr>
        <w:br w:type="page"/>
      </w:r>
      <w:bookmarkStart w:id="19" w:name="_Toc441218483"/>
      <w:bookmarkStart w:id="20" w:name="_Toc455733214"/>
      <w:bookmarkStart w:id="21" w:name="_Toc456697863"/>
      <w:bookmarkStart w:id="22" w:name="_Toc456711726"/>
      <w:r w:rsidR="0071598D" w:rsidRPr="00021B97">
        <w:rPr>
          <w:rFonts w:ascii="SimHei" w:eastAsia="SimHei" w:hAnsi="SimHei"/>
          <w:b w:val="0"/>
          <w:sz w:val="21"/>
        </w:rPr>
        <w:lastRenderedPageBreak/>
        <w:t>报表</w:t>
      </w:r>
      <w:proofErr w:type="gramStart"/>
      <w:r w:rsidR="0071598D" w:rsidRPr="00021B97">
        <w:rPr>
          <w:rFonts w:ascii="SimHei" w:eastAsia="SimHei" w:hAnsi="SimHei"/>
          <w:b w:val="0"/>
          <w:sz w:val="21"/>
        </w:rPr>
        <w:t>一</w:t>
      </w:r>
      <w:proofErr w:type="gramEnd"/>
      <w:r w:rsidR="00021B97">
        <w:rPr>
          <w:rFonts w:ascii="SimHei" w:eastAsia="SimHei" w:hAnsi="SimHei" w:hint="eastAsia"/>
          <w:b w:val="0"/>
          <w:sz w:val="21"/>
        </w:rPr>
        <w:t xml:space="preserve"> </w:t>
      </w:r>
      <w:r w:rsidR="0071598D" w:rsidRPr="00021B97">
        <w:rPr>
          <w:rFonts w:ascii="SimHei" w:eastAsia="SimHei" w:hAnsi="SimHei"/>
          <w:b w:val="0"/>
          <w:sz w:val="21"/>
        </w:rPr>
        <w:t>-</w:t>
      </w:r>
      <w:r w:rsidR="00021B97">
        <w:rPr>
          <w:rFonts w:ascii="SimHei" w:eastAsia="SimHei" w:hAnsi="SimHei" w:hint="eastAsia"/>
          <w:b w:val="0"/>
          <w:sz w:val="21"/>
        </w:rPr>
        <w:t xml:space="preserve"> </w:t>
      </w:r>
      <w:r w:rsidR="0071598D" w:rsidRPr="00021B97">
        <w:rPr>
          <w:rFonts w:ascii="SimHei" w:eastAsia="SimHei" w:hAnsi="SimHei"/>
          <w:b w:val="0"/>
          <w:sz w:val="21"/>
        </w:rPr>
        <w:t>财务状况表</w:t>
      </w:r>
      <w:bookmarkEnd w:id="19"/>
      <w:bookmarkEnd w:id="20"/>
      <w:bookmarkEnd w:id="21"/>
      <w:bookmarkEnd w:id="22"/>
    </w:p>
    <w:p w:rsidR="002F1992" w:rsidRPr="00021B97" w:rsidRDefault="002F1992" w:rsidP="00021B97">
      <w:pPr>
        <w:keepNext/>
        <w:spacing w:line="340" w:lineRule="atLeast"/>
        <w:jc w:val="center"/>
        <w:rPr>
          <w:b/>
          <w:sz w:val="21"/>
          <w:szCs w:val="22"/>
        </w:rPr>
      </w:pPr>
      <w:r w:rsidRPr="00021B97">
        <w:rPr>
          <w:b/>
          <w:sz w:val="21"/>
        </w:rPr>
        <w:t>截至2015年12月31日</w:t>
      </w:r>
    </w:p>
    <w:p w:rsidR="007A5789" w:rsidRPr="00021B97" w:rsidRDefault="00B6014B" w:rsidP="00021B97">
      <w:pPr>
        <w:spacing w:afterLines="50" w:after="120" w:line="340" w:lineRule="atLeast"/>
        <w:jc w:val="center"/>
        <w:rPr>
          <w:rFonts w:ascii="KaiTi" w:eastAsia="KaiTi" w:hAnsi="KaiTi"/>
          <w:sz w:val="21"/>
          <w:szCs w:val="22"/>
        </w:rPr>
      </w:pPr>
      <w:r w:rsidRPr="00021B97">
        <w:rPr>
          <w:rFonts w:ascii="KaiTi" w:eastAsia="KaiTi" w:hAnsi="KaiTi"/>
          <w:sz w:val="21"/>
        </w:rPr>
        <w:t>（</w:t>
      </w:r>
      <w:r w:rsidR="002F1992" w:rsidRPr="00021B97">
        <w:rPr>
          <w:rFonts w:ascii="KaiTi" w:eastAsia="KaiTi" w:hAnsi="KaiTi"/>
          <w:sz w:val="21"/>
        </w:rPr>
        <w:t>单位：</w:t>
      </w:r>
      <w:proofErr w:type="gramStart"/>
      <w:r w:rsidR="002F1992" w:rsidRPr="00021B97">
        <w:rPr>
          <w:rFonts w:ascii="KaiTi" w:eastAsia="KaiTi" w:hAnsi="KaiTi"/>
          <w:sz w:val="21"/>
        </w:rPr>
        <w:t>千瑞郎</w:t>
      </w:r>
      <w:proofErr w:type="gramEnd"/>
      <w:r w:rsidRPr="00021B97">
        <w:rPr>
          <w:rFonts w:ascii="KaiTi" w:eastAsia="KaiTi" w:hAnsi="KaiTi"/>
          <w:sz w:val="21"/>
        </w:rPr>
        <w:t>）</w:t>
      </w:r>
    </w:p>
    <w:p w:rsidR="007A5789" w:rsidRDefault="00CB5537" w:rsidP="00CB5537">
      <w:pPr>
        <w:spacing w:afterLines="50" w:after="120" w:line="340" w:lineRule="atLeast"/>
        <w:jc w:val="center"/>
        <w:rPr>
          <w:sz w:val="21"/>
        </w:rPr>
      </w:pPr>
      <w:r w:rsidRPr="00EF7E79">
        <w:rPr>
          <w:noProof/>
          <w:sz w:val="21"/>
          <w:lang w:val="en-US" w:bidi="ar-SA"/>
        </w:rPr>
        <w:drawing>
          <wp:inline distT="0" distB="0" distL="0" distR="0" wp14:anchorId="5E1344A8" wp14:editId="243DDB17">
            <wp:extent cx="5940425" cy="6491246"/>
            <wp:effectExtent l="0" t="0" r="3175" b="508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0425" cy="6491246"/>
                    </a:xfrm>
                    <a:prstGeom prst="rect">
                      <a:avLst/>
                    </a:prstGeom>
                    <a:noFill/>
                    <a:ln>
                      <a:noFill/>
                    </a:ln>
                  </pic:spPr>
                </pic:pic>
              </a:graphicData>
            </a:graphic>
          </wp:inline>
        </w:drawing>
      </w:r>
    </w:p>
    <w:p w:rsidR="00F97423" w:rsidRPr="007A5789" w:rsidRDefault="00F97423" w:rsidP="00F97423">
      <w:pPr>
        <w:rPr>
          <w:sz w:val="21"/>
        </w:rPr>
        <w:sectPr w:rsidR="00F97423" w:rsidRPr="007A5789" w:rsidSect="008B64D0">
          <w:headerReference w:type="even" r:id="rId38"/>
          <w:headerReference w:type="default" r:id="rId39"/>
          <w:headerReference w:type="first" r:id="rId40"/>
          <w:endnotePr>
            <w:numFmt w:val="decimal"/>
          </w:endnotePr>
          <w:pgSz w:w="11907" w:h="16840" w:code="9"/>
          <w:pgMar w:top="567" w:right="1134" w:bottom="1418" w:left="1418" w:header="510" w:footer="1021" w:gutter="0"/>
          <w:cols w:space="720"/>
          <w:titlePg/>
          <w:docGrid w:linePitch="299"/>
        </w:sectPr>
      </w:pPr>
    </w:p>
    <w:p w:rsidR="0071598D" w:rsidRPr="00021B97" w:rsidRDefault="0071598D" w:rsidP="00021B97">
      <w:pPr>
        <w:pStyle w:val="2"/>
        <w:spacing w:before="0" w:afterLines="100" w:after="240" w:line="340" w:lineRule="atLeast"/>
        <w:jc w:val="center"/>
        <w:rPr>
          <w:rFonts w:ascii="SimHei" w:eastAsia="SimHei" w:hAnsi="SimHei"/>
          <w:b w:val="0"/>
          <w:sz w:val="21"/>
        </w:rPr>
      </w:pPr>
      <w:bookmarkStart w:id="23" w:name="_Toc441218484"/>
      <w:bookmarkStart w:id="24" w:name="_Toc455733215"/>
      <w:bookmarkStart w:id="25" w:name="_Toc456697864"/>
      <w:bookmarkStart w:id="26" w:name="_Toc456711727"/>
      <w:r w:rsidRPr="00021B97">
        <w:rPr>
          <w:rFonts w:ascii="SimHei" w:eastAsia="SimHei" w:hAnsi="SimHei"/>
          <w:b w:val="0"/>
          <w:sz w:val="21"/>
        </w:rPr>
        <w:lastRenderedPageBreak/>
        <w:t>报表二 - 财务执行情况表</w:t>
      </w:r>
      <w:bookmarkEnd w:id="23"/>
      <w:bookmarkEnd w:id="24"/>
      <w:bookmarkEnd w:id="25"/>
      <w:bookmarkEnd w:id="26"/>
    </w:p>
    <w:p w:rsidR="002F1992" w:rsidRPr="00021B97" w:rsidRDefault="002F1992" w:rsidP="00021B97">
      <w:pPr>
        <w:keepNext/>
        <w:spacing w:line="340" w:lineRule="atLeast"/>
        <w:jc w:val="center"/>
        <w:rPr>
          <w:b/>
          <w:sz w:val="21"/>
        </w:rPr>
      </w:pPr>
      <w:r w:rsidRPr="00021B97">
        <w:rPr>
          <w:b/>
          <w:sz w:val="21"/>
        </w:rPr>
        <w:t>2015年12月31日截止的年度</w:t>
      </w:r>
    </w:p>
    <w:p w:rsidR="007A5789" w:rsidRPr="00021B97" w:rsidRDefault="00B6014B" w:rsidP="00021B97">
      <w:pPr>
        <w:spacing w:afterLines="50" w:after="120" w:line="340" w:lineRule="atLeast"/>
        <w:jc w:val="center"/>
        <w:rPr>
          <w:rFonts w:ascii="KaiTi" w:eastAsia="KaiTi" w:hAnsi="KaiTi"/>
          <w:sz w:val="21"/>
        </w:rPr>
      </w:pPr>
      <w:r w:rsidRPr="00021B97">
        <w:rPr>
          <w:rFonts w:ascii="KaiTi" w:eastAsia="KaiTi" w:hAnsi="KaiTi"/>
          <w:sz w:val="21"/>
        </w:rPr>
        <w:t>（</w:t>
      </w:r>
      <w:r w:rsidR="002F1992" w:rsidRPr="00021B97">
        <w:rPr>
          <w:rFonts w:ascii="KaiTi" w:eastAsia="KaiTi" w:hAnsi="KaiTi"/>
          <w:sz w:val="21"/>
        </w:rPr>
        <w:t>单位：</w:t>
      </w:r>
      <w:proofErr w:type="gramStart"/>
      <w:r w:rsidR="002F1992" w:rsidRPr="00021B97">
        <w:rPr>
          <w:rFonts w:ascii="KaiTi" w:eastAsia="KaiTi" w:hAnsi="KaiTi"/>
          <w:sz w:val="21"/>
        </w:rPr>
        <w:t>千瑞郎</w:t>
      </w:r>
      <w:proofErr w:type="gramEnd"/>
      <w:r w:rsidRPr="00021B97">
        <w:rPr>
          <w:rFonts w:ascii="KaiTi" w:eastAsia="KaiTi" w:hAnsi="KaiTi"/>
          <w:sz w:val="21"/>
        </w:rPr>
        <w:t>）</w:t>
      </w:r>
    </w:p>
    <w:p w:rsidR="007A5789" w:rsidRDefault="00CB5537" w:rsidP="00CB5537">
      <w:pPr>
        <w:spacing w:afterLines="50" w:after="120" w:line="340" w:lineRule="atLeast"/>
        <w:jc w:val="center"/>
        <w:rPr>
          <w:sz w:val="21"/>
        </w:rPr>
      </w:pPr>
      <w:r w:rsidRPr="00EF7E79">
        <w:rPr>
          <w:noProof/>
          <w:sz w:val="21"/>
          <w:lang w:val="en-US" w:bidi="ar-SA"/>
        </w:rPr>
        <w:drawing>
          <wp:inline distT="0" distB="0" distL="0" distR="0" wp14:anchorId="5EE9C5F3" wp14:editId="495BD138">
            <wp:extent cx="5836285" cy="5574030"/>
            <wp:effectExtent l="0" t="0" r="0" b="7620"/>
            <wp:docPr id="309"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36285" cy="5574030"/>
                    </a:xfrm>
                    <a:prstGeom prst="rect">
                      <a:avLst/>
                    </a:prstGeom>
                    <a:noFill/>
                    <a:ln>
                      <a:noFill/>
                    </a:ln>
                  </pic:spPr>
                </pic:pic>
              </a:graphicData>
            </a:graphic>
          </wp:inline>
        </w:drawing>
      </w:r>
    </w:p>
    <w:p w:rsidR="00F97423" w:rsidRPr="007A5789" w:rsidRDefault="00F97423" w:rsidP="00F97423">
      <w:pPr>
        <w:rPr>
          <w:sz w:val="21"/>
        </w:rPr>
        <w:sectPr w:rsidR="00F97423" w:rsidRPr="007A5789" w:rsidSect="00817B84">
          <w:headerReference w:type="first" r:id="rId42"/>
          <w:endnotePr>
            <w:numFmt w:val="decimal"/>
          </w:endnotePr>
          <w:pgSz w:w="11907" w:h="16840" w:code="9"/>
          <w:pgMar w:top="567" w:right="1134" w:bottom="1418" w:left="1418" w:header="510" w:footer="1021" w:gutter="0"/>
          <w:cols w:space="720"/>
          <w:titlePg/>
          <w:docGrid w:linePitch="299"/>
        </w:sectPr>
      </w:pPr>
    </w:p>
    <w:p w:rsidR="0071598D" w:rsidRPr="00021B97" w:rsidRDefault="0071598D" w:rsidP="00021B97">
      <w:pPr>
        <w:pStyle w:val="2"/>
        <w:spacing w:before="0" w:afterLines="100" w:after="240" w:line="340" w:lineRule="atLeast"/>
        <w:jc w:val="center"/>
        <w:rPr>
          <w:rFonts w:ascii="SimHei" w:eastAsia="SimHei" w:hAnsi="SimHei"/>
          <w:b w:val="0"/>
          <w:sz w:val="21"/>
        </w:rPr>
      </w:pPr>
      <w:bookmarkStart w:id="27" w:name="_Toc441218485"/>
      <w:bookmarkStart w:id="28" w:name="_Toc455733216"/>
      <w:bookmarkStart w:id="29" w:name="_Toc456697865"/>
      <w:bookmarkStart w:id="30" w:name="_Toc456711728"/>
      <w:r w:rsidRPr="00021B97">
        <w:rPr>
          <w:rFonts w:ascii="SimHei" w:eastAsia="SimHei" w:hAnsi="SimHei"/>
          <w:b w:val="0"/>
          <w:sz w:val="21"/>
        </w:rPr>
        <w:lastRenderedPageBreak/>
        <w:t>报表三 - 净资产变动表</w:t>
      </w:r>
      <w:bookmarkEnd w:id="27"/>
      <w:bookmarkEnd w:id="28"/>
      <w:bookmarkEnd w:id="29"/>
      <w:bookmarkEnd w:id="30"/>
    </w:p>
    <w:p w:rsidR="00BF7D1E" w:rsidRPr="00021B97" w:rsidRDefault="00BF7D1E" w:rsidP="00021B97">
      <w:pPr>
        <w:keepNext/>
        <w:spacing w:line="340" w:lineRule="atLeast"/>
        <w:jc w:val="center"/>
        <w:rPr>
          <w:b/>
          <w:sz w:val="21"/>
        </w:rPr>
      </w:pPr>
      <w:r w:rsidRPr="00021B97">
        <w:rPr>
          <w:b/>
          <w:sz w:val="21"/>
        </w:rPr>
        <w:t>2015年12月31日截止的年度</w:t>
      </w:r>
    </w:p>
    <w:p w:rsidR="007A5789" w:rsidRPr="00021B97" w:rsidRDefault="00B6014B" w:rsidP="00021B97">
      <w:pPr>
        <w:spacing w:afterLines="50" w:after="120" w:line="340" w:lineRule="atLeast"/>
        <w:jc w:val="center"/>
        <w:rPr>
          <w:rFonts w:ascii="KaiTi" w:eastAsia="KaiTi" w:hAnsi="KaiTi"/>
          <w:sz w:val="21"/>
        </w:rPr>
      </w:pPr>
      <w:r w:rsidRPr="00021B97">
        <w:rPr>
          <w:rFonts w:ascii="KaiTi" w:eastAsia="KaiTi" w:hAnsi="KaiTi"/>
          <w:sz w:val="21"/>
        </w:rPr>
        <w:t>（</w:t>
      </w:r>
      <w:r w:rsidR="00BF7D1E" w:rsidRPr="00021B97">
        <w:rPr>
          <w:rFonts w:ascii="KaiTi" w:eastAsia="KaiTi" w:hAnsi="KaiTi"/>
          <w:sz w:val="21"/>
        </w:rPr>
        <w:t>单位：</w:t>
      </w:r>
      <w:proofErr w:type="gramStart"/>
      <w:r w:rsidR="00BF7D1E" w:rsidRPr="00021B97">
        <w:rPr>
          <w:rFonts w:ascii="KaiTi" w:eastAsia="KaiTi" w:hAnsi="KaiTi"/>
          <w:sz w:val="21"/>
        </w:rPr>
        <w:t>千瑞郎</w:t>
      </w:r>
      <w:proofErr w:type="gramEnd"/>
      <w:r w:rsidRPr="00021B97">
        <w:rPr>
          <w:rFonts w:ascii="KaiTi" w:eastAsia="KaiTi" w:hAnsi="KaiTi"/>
          <w:sz w:val="21"/>
        </w:rPr>
        <w:t>）</w:t>
      </w:r>
    </w:p>
    <w:p w:rsidR="00673422" w:rsidRPr="007A5789" w:rsidRDefault="00237C47" w:rsidP="001933CD">
      <w:pPr>
        <w:jc w:val="center"/>
        <w:rPr>
          <w:sz w:val="21"/>
        </w:rPr>
      </w:pPr>
      <w:r w:rsidRPr="00EF7E79">
        <w:rPr>
          <w:noProof/>
          <w:sz w:val="21"/>
          <w:lang w:val="en-US" w:bidi="ar-SA"/>
        </w:rPr>
        <w:drawing>
          <wp:inline distT="0" distB="0" distL="0" distR="0" wp14:anchorId="6C5A851D" wp14:editId="67B18AA4">
            <wp:extent cx="5940425" cy="4031702"/>
            <wp:effectExtent l="0" t="0" r="317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0425" cy="4031702"/>
                    </a:xfrm>
                    <a:prstGeom prst="rect">
                      <a:avLst/>
                    </a:prstGeom>
                    <a:noFill/>
                    <a:ln>
                      <a:noFill/>
                    </a:ln>
                  </pic:spPr>
                </pic:pic>
              </a:graphicData>
            </a:graphic>
          </wp:inline>
        </w:drawing>
      </w:r>
    </w:p>
    <w:p w:rsidR="0071598D" w:rsidRPr="00021B97" w:rsidRDefault="00197D20" w:rsidP="00CB5537">
      <w:pPr>
        <w:pStyle w:val="2"/>
        <w:spacing w:before="0" w:afterLines="100" w:after="240" w:line="340" w:lineRule="atLeast"/>
        <w:jc w:val="center"/>
        <w:rPr>
          <w:rFonts w:ascii="SimHei" w:eastAsia="SimHei" w:hAnsi="SimHei"/>
          <w:b w:val="0"/>
          <w:sz w:val="21"/>
        </w:rPr>
      </w:pPr>
      <w:bookmarkStart w:id="31" w:name="_Toc441218486"/>
      <w:bookmarkStart w:id="32" w:name="_Toc455733217"/>
      <w:bookmarkStart w:id="33" w:name="_Toc456697866"/>
      <w:bookmarkStart w:id="34" w:name="_Toc456711729"/>
      <w:r w:rsidRPr="00021B97">
        <w:rPr>
          <w:rFonts w:ascii="SimHei" w:eastAsia="SimHei" w:hAnsi="SimHei"/>
          <w:b w:val="0"/>
          <w:sz w:val="21"/>
        </w:rPr>
        <w:lastRenderedPageBreak/>
        <w:t>报表四 - 现金流量表</w:t>
      </w:r>
      <w:bookmarkEnd w:id="31"/>
      <w:bookmarkEnd w:id="32"/>
      <w:bookmarkEnd w:id="33"/>
      <w:bookmarkEnd w:id="34"/>
    </w:p>
    <w:p w:rsidR="00D26027" w:rsidRPr="00021B97" w:rsidRDefault="00D26027" w:rsidP="00021B97">
      <w:pPr>
        <w:keepNext/>
        <w:spacing w:line="340" w:lineRule="atLeast"/>
        <w:jc w:val="center"/>
        <w:rPr>
          <w:b/>
          <w:sz w:val="21"/>
        </w:rPr>
      </w:pPr>
      <w:r w:rsidRPr="00021B97">
        <w:rPr>
          <w:b/>
          <w:sz w:val="21"/>
        </w:rPr>
        <w:t>2015年12月31日截止的年度</w:t>
      </w:r>
    </w:p>
    <w:p w:rsidR="007A5789" w:rsidRPr="00021B97" w:rsidRDefault="00B6014B" w:rsidP="00021B97">
      <w:pPr>
        <w:keepNext/>
        <w:spacing w:afterLines="50" w:after="120" w:line="340" w:lineRule="atLeast"/>
        <w:jc w:val="center"/>
        <w:rPr>
          <w:rFonts w:ascii="KaiTi" w:eastAsia="KaiTi" w:hAnsi="KaiTi"/>
          <w:sz w:val="21"/>
        </w:rPr>
      </w:pPr>
      <w:r w:rsidRPr="00021B97">
        <w:rPr>
          <w:rFonts w:ascii="KaiTi" w:eastAsia="KaiTi" w:hAnsi="KaiTi"/>
          <w:sz w:val="21"/>
        </w:rPr>
        <w:t>（</w:t>
      </w:r>
      <w:r w:rsidR="00D26027" w:rsidRPr="00021B97">
        <w:rPr>
          <w:rFonts w:ascii="KaiTi" w:eastAsia="KaiTi" w:hAnsi="KaiTi"/>
          <w:sz w:val="21"/>
        </w:rPr>
        <w:t>单位：</w:t>
      </w:r>
      <w:proofErr w:type="gramStart"/>
      <w:r w:rsidR="00D26027" w:rsidRPr="00021B97">
        <w:rPr>
          <w:rFonts w:ascii="KaiTi" w:eastAsia="KaiTi" w:hAnsi="KaiTi"/>
          <w:sz w:val="21"/>
        </w:rPr>
        <w:t>千瑞郎</w:t>
      </w:r>
      <w:proofErr w:type="gramEnd"/>
      <w:r w:rsidRPr="00021B97">
        <w:rPr>
          <w:rFonts w:ascii="KaiTi" w:eastAsia="KaiTi" w:hAnsi="KaiTi"/>
          <w:sz w:val="21"/>
        </w:rPr>
        <w:t>）</w:t>
      </w:r>
    </w:p>
    <w:p w:rsidR="00274C9E" w:rsidRPr="007A5789" w:rsidRDefault="002050E3" w:rsidP="002050E3">
      <w:pPr>
        <w:spacing w:afterLines="50" w:after="120" w:line="340" w:lineRule="atLeast"/>
        <w:jc w:val="center"/>
        <w:rPr>
          <w:sz w:val="21"/>
        </w:rPr>
      </w:pPr>
      <w:r w:rsidRPr="00EF7E79">
        <w:rPr>
          <w:noProof/>
          <w:sz w:val="21"/>
          <w:lang w:val="en-US" w:bidi="ar-SA"/>
        </w:rPr>
        <w:drawing>
          <wp:inline distT="0" distB="0" distL="0" distR="0" wp14:anchorId="7B80B2A4" wp14:editId="13523026">
            <wp:extent cx="5899785" cy="6249670"/>
            <wp:effectExtent l="0" t="0" r="5715" b="0"/>
            <wp:docPr id="312"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99785" cy="6249670"/>
                    </a:xfrm>
                    <a:prstGeom prst="rect">
                      <a:avLst/>
                    </a:prstGeom>
                    <a:noFill/>
                    <a:ln>
                      <a:noFill/>
                    </a:ln>
                  </pic:spPr>
                </pic:pic>
              </a:graphicData>
            </a:graphic>
          </wp:inline>
        </w:drawing>
      </w:r>
    </w:p>
    <w:p w:rsidR="00B6141C" w:rsidRPr="007A5789" w:rsidRDefault="00B6141C" w:rsidP="00B6141C">
      <w:pPr>
        <w:rPr>
          <w:sz w:val="16"/>
          <w:szCs w:val="16"/>
        </w:rPr>
      </w:pPr>
      <w:r w:rsidRPr="007A5789">
        <w:rPr>
          <w:sz w:val="16"/>
        </w:rPr>
        <w:t>(1)-不包括利息所得和为借款支付的利息，以及汇率变化对现金及现金等价物产生的影响。利息所得包括在投资收入中，见附注23。为借款支付的利息详见附注15。汇率变化对现金及现金等价物产生的影响见附注26</w:t>
      </w:r>
      <w:r w:rsidR="00223417" w:rsidRPr="007A5789">
        <w:rPr>
          <w:rFonts w:hint="eastAsia"/>
          <w:sz w:val="16"/>
        </w:rPr>
        <w:t>。</w:t>
      </w:r>
    </w:p>
    <w:p w:rsidR="007A5789" w:rsidRPr="00021B97" w:rsidRDefault="008B4A68" w:rsidP="00021B97">
      <w:pPr>
        <w:pStyle w:val="2"/>
        <w:spacing w:before="0" w:afterLines="100" w:after="240" w:line="340" w:lineRule="atLeast"/>
        <w:jc w:val="center"/>
        <w:rPr>
          <w:rFonts w:ascii="SimHei" w:eastAsia="SimHei" w:hAnsi="SimHei"/>
          <w:b w:val="0"/>
          <w:sz w:val="21"/>
        </w:rPr>
      </w:pPr>
      <w:bookmarkStart w:id="35" w:name="_Toc456711730"/>
      <w:r w:rsidRPr="00021B97">
        <w:rPr>
          <w:rFonts w:ascii="SimHei" w:eastAsia="SimHei" w:hAnsi="SimHei"/>
          <w:b w:val="0"/>
          <w:sz w:val="21"/>
        </w:rPr>
        <w:lastRenderedPageBreak/>
        <w:t>报表五</w:t>
      </w:r>
      <w:r w:rsidR="007D26F4" w:rsidRPr="00021B97">
        <w:rPr>
          <w:rFonts w:ascii="SimHei" w:eastAsia="SimHei" w:hAnsi="SimHei" w:hint="eastAsia"/>
          <w:b w:val="0"/>
          <w:sz w:val="21"/>
        </w:rPr>
        <w:br/>
      </w:r>
      <w:r w:rsidRPr="00021B97">
        <w:rPr>
          <w:rFonts w:ascii="SimHei" w:eastAsia="SimHei" w:hAnsi="SimHei"/>
          <w:b w:val="0"/>
          <w:sz w:val="21"/>
        </w:rPr>
        <w:t>预算与实际金额对比表</w:t>
      </w:r>
      <w:r w:rsidR="00021B97">
        <w:rPr>
          <w:rFonts w:ascii="SimHei" w:eastAsia="SimHei" w:hAnsi="SimHei" w:hint="eastAsia"/>
          <w:b w:val="0"/>
          <w:sz w:val="21"/>
        </w:rPr>
        <w:t xml:space="preserve"> </w:t>
      </w:r>
      <w:r w:rsidRPr="00021B97">
        <w:rPr>
          <w:rFonts w:ascii="SimHei" w:eastAsia="SimHei" w:hAnsi="SimHei"/>
          <w:b w:val="0"/>
          <w:sz w:val="21"/>
        </w:rPr>
        <w:t>-</w:t>
      </w:r>
      <w:r w:rsidR="00021B97">
        <w:rPr>
          <w:rFonts w:ascii="SimHei" w:eastAsia="SimHei" w:hAnsi="SimHei" w:hint="eastAsia"/>
          <w:b w:val="0"/>
          <w:sz w:val="21"/>
        </w:rPr>
        <w:t xml:space="preserve"> </w:t>
      </w:r>
      <w:r w:rsidRPr="00021B97">
        <w:rPr>
          <w:rFonts w:ascii="SimHei" w:eastAsia="SimHei" w:hAnsi="SimHei"/>
          <w:b w:val="0"/>
          <w:sz w:val="21"/>
        </w:rPr>
        <w:t>收入</w:t>
      </w:r>
      <w:bookmarkEnd w:id="35"/>
    </w:p>
    <w:p w:rsidR="008B4A68" w:rsidRPr="00021B97" w:rsidRDefault="008B4A68" w:rsidP="00021B97">
      <w:pPr>
        <w:keepNext/>
        <w:spacing w:line="340" w:lineRule="atLeast"/>
        <w:jc w:val="center"/>
        <w:rPr>
          <w:b/>
          <w:sz w:val="21"/>
        </w:rPr>
      </w:pPr>
      <w:r w:rsidRPr="00021B97">
        <w:rPr>
          <w:b/>
          <w:sz w:val="21"/>
        </w:rPr>
        <w:t>2015年12月31日截止的年度</w:t>
      </w:r>
    </w:p>
    <w:p w:rsidR="007A5789" w:rsidRPr="00021B97" w:rsidRDefault="00B6014B" w:rsidP="00021B97">
      <w:pPr>
        <w:keepNext/>
        <w:spacing w:afterLines="50" w:after="120" w:line="340" w:lineRule="atLeast"/>
        <w:jc w:val="center"/>
        <w:rPr>
          <w:rFonts w:ascii="KaiTi" w:eastAsia="KaiTi" w:hAnsi="KaiTi"/>
          <w:sz w:val="21"/>
        </w:rPr>
      </w:pPr>
      <w:r w:rsidRPr="00021B97">
        <w:rPr>
          <w:rFonts w:ascii="KaiTi" w:eastAsia="KaiTi" w:hAnsi="KaiTi"/>
          <w:sz w:val="21"/>
        </w:rPr>
        <w:t>（</w:t>
      </w:r>
      <w:r w:rsidR="00D17207" w:rsidRPr="00021B97">
        <w:rPr>
          <w:rFonts w:ascii="KaiTi" w:eastAsia="KaiTi" w:hAnsi="KaiTi"/>
          <w:sz w:val="21"/>
        </w:rPr>
        <w:t>单位：</w:t>
      </w:r>
      <w:proofErr w:type="gramStart"/>
      <w:r w:rsidR="00D17207" w:rsidRPr="00021B97">
        <w:rPr>
          <w:rFonts w:ascii="KaiTi" w:eastAsia="KaiTi" w:hAnsi="KaiTi"/>
          <w:sz w:val="21"/>
        </w:rPr>
        <w:t>千瑞郎</w:t>
      </w:r>
      <w:proofErr w:type="gramEnd"/>
      <w:r w:rsidRPr="00021B97">
        <w:rPr>
          <w:rFonts w:ascii="KaiTi" w:eastAsia="KaiTi" w:hAnsi="KaiTi"/>
          <w:sz w:val="21"/>
        </w:rPr>
        <w:t>）</w:t>
      </w:r>
    </w:p>
    <w:p w:rsidR="007A5789" w:rsidRDefault="00316F63" w:rsidP="002050E3">
      <w:pPr>
        <w:spacing w:afterLines="50" w:after="120" w:line="340" w:lineRule="atLeast"/>
        <w:jc w:val="center"/>
        <w:rPr>
          <w:sz w:val="21"/>
        </w:rPr>
      </w:pPr>
      <w:r w:rsidRPr="00EF7E79">
        <w:rPr>
          <w:noProof/>
          <w:sz w:val="21"/>
          <w:lang w:val="en-US" w:bidi="ar-SA"/>
        </w:rPr>
        <w:drawing>
          <wp:inline distT="0" distB="0" distL="0" distR="0" wp14:anchorId="532F4EAD" wp14:editId="58EA157E">
            <wp:extent cx="5940425" cy="3168351"/>
            <wp:effectExtent l="0" t="0" r="317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0425" cy="3168351"/>
                    </a:xfrm>
                    <a:prstGeom prst="rect">
                      <a:avLst/>
                    </a:prstGeom>
                    <a:noFill/>
                    <a:ln>
                      <a:noFill/>
                    </a:ln>
                  </pic:spPr>
                </pic:pic>
              </a:graphicData>
            </a:graphic>
          </wp:inline>
        </w:drawing>
      </w:r>
    </w:p>
    <w:p w:rsidR="00316F63" w:rsidRDefault="00316F63" w:rsidP="00F17D98">
      <w:pPr>
        <w:tabs>
          <w:tab w:val="left" w:pos="644"/>
        </w:tabs>
        <w:rPr>
          <w:sz w:val="16"/>
        </w:rPr>
      </w:pPr>
    </w:p>
    <w:p w:rsidR="0025563A" w:rsidRPr="007A5789" w:rsidRDefault="00880100" w:rsidP="00F17D98">
      <w:pPr>
        <w:tabs>
          <w:tab w:val="left" w:pos="644"/>
        </w:tabs>
        <w:rPr>
          <w:sz w:val="16"/>
        </w:rPr>
      </w:pPr>
      <w:r w:rsidRPr="007A5789">
        <w:rPr>
          <w:sz w:val="16"/>
        </w:rPr>
        <w:t>(</w:t>
      </w:r>
      <w:r w:rsidR="00F17D98" w:rsidRPr="007A5789">
        <w:rPr>
          <w:sz w:val="16"/>
        </w:rPr>
        <w:t>1</w:t>
      </w:r>
      <w:r w:rsidRPr="007A5789">
        <w:rPr>
          <w:sz w:val="16"/>
        </w:rPr>
        <w:t>)</w:t>
      </w:r>
      <w:r w:rsidR="00F17D98" w:rsidRPr="007A5789">
        <w:rPr>
          <w:sz w:val="16"/>
        </w:rPr>
        <w:t>-原始预算和</w:t>
      </w:r>
      <w:r w:rsidR="00F17D98" w:rsidRPr="00F94318">
        <w:rPr>
          <w:sz w:val="16"/>
        </w:rPr>
        <w:t>“</w:t>
      </w:r>
      <w:r w:rsidR="00F17D98" w:rsidRPr="007A5789">
        <w:rPr>
          <w:sz w:val="16"/>
        </w:rPr>
        <w:t>最终</w:t>
      </w:r>
      <w:r w:rsidR="007C045C" w:rsidRPr="00F94318">
        <w:rPr>
          <w:sz w:val="16"/>
        </w:rPr>
        <w:t>”</w:t>
      </w:r>
      <w:r w:rsidR="00F17D98" w:rsidRPr="007A5789">
        <w:rPr>
          <w:sz w:val="16"/>
        </w:rPr>
        <w:t>预算两栏表示2014/15两年期核定预算的第二年。</w:t>
      </w:r>
    </w:p>
    <w:p w:rsidR="007A5789" w:rsidRDefault="00880100" w:rsidP="00F17D98">
      <w:pPr>
        <w:tabs>
          <w:tab w:val="left" w:pos="540"/>
        </w:tabs>
        <w:rPr>
          <w:sz w:val="16"/>
          <w:szCs w:val="16"/>
        </w:rPr>
      </w:pPr>
      <w:r w:rsidRPr="007A5789">
        <w:rPr>
          <w:sz w:val="16"/>
        </w:rPr>
        <w:t>(</w:t>
      </w:r>
      <w:r w:rsidR="00F17D98" w:rsidRPr="007A5789">
        <w:rPr>
          <w:sz w:val="16"/>
        </w:rPr>
        <w:t>2</w:t>
      </w:r>
      <w:r w:rsidRPr="007A5789">
        <w:rPr>
          <w:sz w:val="16"/>
        </w:rPr>
        <w:t>)</w:t>
      </w:r>
      <w:r w:rsidR="00F17D98" w:rsidRPr="007A5789">
        <w:rPr>
          <w:sz w:val="16"/>
        </w:rPr>
        <w:t>-表示2015年</w:t>
      </w:r>
      <w:r w:rsidR="00F17D98" w:rsidRPr="00F94318">
        <w:rPr>
          <w:sz w:val="16"/>
        </w:rPr>
        <w:t>“</w:t>
      </w:r>
      <w:r w:rsidR="00F17D98" w:rsidRPr="007A5789">
        <w:rPr>
          <w:sz w:val="16"/>
        </w:rPr>
        <w:t>最终</w:t>
      </w:r>
      <w:r w:rsidR="00F17D98" w:rsidRPr="00F94318">
        <w:rPr>
          <w:sz w:val="16"/>
        </w:rPr>
        <w:t>”</w:t>
      </w:r>
      <w:r w:rsidR="00F17D98" w:rsidRPr="007A5789">
        <w:rPr>
          <w:sz w:val="16"/>
        </w:rPr>
        <w:t>预算与2015年12月31日截止的年度实际可比收入的差额。</w:t>
      </w:r>
    </w:p>
    <w:p w:rsidR="007A5789" w:rsidRPr="00021B97" w:rsidRDefault="008B4A68" w:rsidP="00021B97">
      <w:pPr>
        <w:pStyle w:val="2"/>
        <w:spacing w:before="0" w:afterLines="100" w:after="240" w:line="340" w:lineRule="atLeast"/>
        <w:jc w:val="center"/>
        <w:rPr>
          <w:rFonts w:ascii="SimHei" w:eastAsia="SimHei" w:hAnsi="SimHei"/>
          <w:b w:val="0"/>
          <w:sz w:val="21"/>
        </w:rPr>
      </w:pPr>
      <w:bookmarkStart w:id="36" w:name="_Toc456711731"/>
      <w:r w:rsidRPr="00021B97">
        <w:rPr>
          <w:rFonts w:ascii="SimHei" w:eastAsia="SimHei" w:hAnsi="SimHei"/>
          <w:b w:val="0"/>
          <w:sz w:val="21"/>
        </w:rPr>
        <w:lastRenderedPageBreak/>
        <w:t>报表五</w:t>
      </w:r>
      <w:bookmarkEnd w:id="36"/>
      <w:r w:rsidR="00021B97">
        <w:rPr>
          <w:rFonts w:ascii="SimHei" w:eastAsia="SimHei" w:hAnsi="SimHei" w:hint="eastAsia"/>
          <w:b w:val="0"/>
          <w:sz w:val="21"/>
        </w:rPr>
        <w:br/>
      </w:r>
      <w:bookmarkStart w:id="37" w:name="_Toc456711732"/>
      <w:r w:rsidRPr="00021B97">
        <w:rPr>
          <w:rFonts w:ascii="SimHei" w:eastAsia="SimHei" w:hAnsi="SimHei"/>
          <w:b w:val="0"/>
          <w:sz w:val="21"/>
        </w:rPr>
        <w:t>预算与实际金额对比表</w:t>
      </w:r>
      <w:r w:rsidR="00021B97">
        <w:rPr>
          <w:rFonts w:ascii="SimHei" w:eastAsia="SimHei" w:hAnsi="SimHei" w:hint="eastAsia"/>
          <w:b w:val="0"/>
          <w:sz w:val="21"/>
        </w:rPr>
        <w:t xml:space="preserve"> </w:t>
      </w:r>
      <w:r w:rsidRPr="00021B97">
        <w:rPr>
          <w:rFonts w:ascii="SimHei" w:eastAsia="SimHei" w:hAnsi="SimHei"/>
          <w:b w:val="0"/>
          <w:sz w:val="21"/>
        </w:rPr>
        <w:t>-</w:t>
      </w:r>
      <w:r w:rsidR="00021B97">
        <w:rPr>
          <w:rFonts w:ascii="SimHei" w:eastAsia="SimHei" w:hAnsi="SimHei" w:hint="eastAsia"/>
          <w:b w:val="0"/>
          <w:sz w:val="21"/>
        </w:rPr>
        <w:t xml:space="preserve"> </w:t>
      </w:r>
      <w:r w:rsidRPr="00021B97">
        <w:rPr>
          <w:rFonts w:ascii="SimHei" w:eastAsia="SimHei" w:hAnsi="SimHei"/>
          <w:b w:val="0"/>
          <w:sz w:val="21"/>
        </w:rPr>
        <w:t>支出</w:t>
      </w:r>
      <w:bookmarkEnd w:id="37"/>
    </w:p>
    <w:p w:rsidR="008B4A68" w:rsidRPr="00021B97" w:rsidRDefault="008B4A68" w:rsidP="00021B97">
      <w:pPr>
        <w:keepNext/>
        <w:spacing w:line="340" w:lineRule="atLeast"/>
        <w:jc w:val="center"/>
        <w:rPr>
          <w:b/>
          <w:sz w:val="21"/>
        </w:rPr>
      </w:pPr>
      <w:r w:rsidRPr="00021B97">
        <w:rPr>
          <w:b/>
          <w:sz w:val="21"/>
        </w:rPr>
        <w:t>2015年12月31日截止的年度</w:t>
      </w:r>
    </w:p>
    <w:p w:rsidR="007A5789" w:rsidRPr="00021B97" w:rsidRDefault="00B6014B" w:rsidP="00021B97">
      <w:pPr>
        <w:keepNext/>
        <w:spacing w:afterLines="50" w:after="120" w:line="340" w:lineRule="atLeast"/>
        <w:jc w:val="center"/>
        <w:rPr>
          <w:rFonts w:ascii="KaiTi" w:eastAsia="KaiTi" w:hAnsi="KaiTi"/>
          <w:sz w:val="21"/>
        </w:rPr>
      </w:pPr>
      <w:r w:rsidRPr="00021B97">
        <w:rPr>
          <w:rFonts w:ascii="KaiTi" w:eastAsia="KaiTi" w:hAnsi="KaiTi"/>
          <w:sz w:val="21"/>
        </w:rPr>
        <w:t>（</w:t>
      </w:r>
      <w:r w:rsidR="00F17D98" w:rsidRPr="00021B97">
        <w:rPr>
          <w:rFonts w:ascii="KaiTi" w:eastAsia="KaiTi" w:hAnsi="KaiTi"/>
          <w:sz w:val="21"/>
        </w:rPr>
        <w:t>单位：</w:t>
      </w:r>
      <w:proofErr w:type="gramStart"/>
      <w:r w:rsidR="00F17D98" w:rsidRPr="00021B97">
        <w:rPr>
          <w:rFonts w:ascii="KaiTi" w:eastAsia="KaiTi" w:hAnsi="KaiTi"/>
          <w:sz w:val="21"/>
        </w:rPr>
        <w:t>千瑞郎</w:t>
      </w:r>
      <w:proofErr w:type="gramEnd"/>
      <w:r w:rsidRPr="00021B97">
        <w:rPr>
          <w:rFonts w:ascii="KaiTi" w:eastAsia="KaiTi" w:hAnsi="KaiTi"/>
          <w:sz w:val="21"/>
        </w:rPr>
        <w:t>）</w:t>
      </w:r>
    </w:p>
    <w:p w:rsidR="00F17D98" w:rsidRPr="007A5789" w:rsidRDefault="006D1B5C" w:rsidP="006D1B5C">
      <w:pPr>
        <w:spacing w:afterLines="50" w:after="120" w:line="340" w:lineRule="atLeast"/>
        <w:jc w:val="center"/>
        <w:rPr>
          <w:sz w:val="21"/>
        </w:rPr>
      </w:pPr>
      <w:r w:rsidRPr="00EF7E79">
        <w:rPr>
          <w:noProof/>
          <w:sz w:val="21"/>
          <w:lang w:val="en-US" w:bidi="ar-SA"/>
        </w:rPr>
        <w:drawing>
          <wp:inline distT="0" distB="0" distL="0" distR="0" wp14:anchorId="79BB4D8E" wp14:editId="219B3793">
            <wp:extent cx="5940425" cy="6908539"/>
            <wp:effectExtent l="0" t="0" r="3175" b="0"/>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0425" cy="6908539"/>
                    </a:xfrm>
                    <a:prstGeom prst="rect">
                      <a:avLst/>
                    </a:prstGeom>
                    <a:noFill/>
                    <a:ln>
                      <a:noFill/>
                    </a:ln>
                  </pic:spPr>
                </pic:pic>
              </a:graphicData>
            </a:graphic>
          </wp:inline>
        </w:drawing>
      </w:r>
    </w:p>
    <w:p w:rsidR="00F17D98" w:rsidRPr="007A5789" w:rsidRDefault="00880100" w:rsidP="006D1B5C">
      <w:pPr>
        <w:rPr>
          <w:sz w:val="16"/>
          <w:szCs w:val="16"/>
        </w:rPr>
      </w:pPr>
      <w:r w:rsidRPr="007A5789">
        <w:rPr>
          <w:sz w:val="16"/>
        </w:rPr>
        <w:t>(</w:t>
      </w:r>
      <w:r w:rsidR="00F17D98" w:rsidRPr="007A5789">
        <w:rPr>
          <w:sz w:val="16"/>
        </w:rPr>
        <w:t>1</w:t>
      </w:r>
      <w:r w:rsidRPr="007A5789">
        <w:rPr>
          <w:sz w:val="16"/>
        </w:rPr>
        <w:t>)</w:t>
      </w:r>
      <w:r w:rsidR="00F17D98" w:rsidRPr="007A5789">
        <w:rPr>
          <w:sz w:val="16"/>
        </w:rPr>
        <w:t>-原始预算和</w:t>
      </w:r>
      <w:r w:rsidR="00F17D98" w:rsidRPr="00F94318">
        <w:rPr>
          <w:sz w:val="16"/>
        </w:rPr>
        <w:t>“</w:t>
      </w:r>
      <w:r w:rsidR="00F17D98" w:rsidRPr="007A5789">
        <w:rPr>
          <w:sz w:val="16"/>
        </w:rPr>
        <w:t>最终</w:t>
      </w:r>
      <w:r w:rsidR="007C045C" w:rsidRPr="00F94318">
        <w:rPr>
          <w:sz w:val="16"/>
        </w:rPr>
        <w:t>”</w:t>
      </w:r>
      <w:r w:rsidR="00F17D98" w:rsidRPr="007A5789">
        <w:rPr>
          <w:sz w:val="16"/>
        </w:rPr>
        <w:t>预算两栏表示2014/15两年期核定预算的第二年。由于WIPO实行两年预算周期，2014/15年在《财务条例与细则》</w:t>
      </w:r>
      <w:r w:rsidR="00B6014B">
        <w:rPr>
          <w:sz w:val="16"/>
        </w:rPr>
        <w:t>（</w:t>
      </w:r>
      <w:r w:rsidR="00F17D98" w:rsidRPr="007A5789">
        <w:rPr>
          <w:sz w:val="16"/>
        </w:rPr>
        <w:t>条例5.5</w:t>
      </w:r>
      <w:r w:rsidR="000650CA">
        <w:rPr>
          <w:rFonts w:hint="eastAsia"/>
          <w:sz w:val="16"/>
        </w:rPr>
        <w:t>）</w:t>
      </w:r>
      <w:r w:rsidR="00F17D98" w:rsidRPr="007A5789">
        <w:rPr>
          <w:sz w:val="16"/>
        </w:rPr>
        <w:t>规定的限制内发生的各计划之间的预算调剂使用体现在标题为</w:t>
      </w:r>
      <w:r w:rsidR="00F17D98" w:rsidRPr="00F94318">
        <w:rPr>
          <w:sz w:val="16"/>
        </w:rPr>
        <w:t>“</w:t>
      </w:r>
      <w:r w:rsidR="00F17D98" w:rsidRPr="007A5789">
        <w:rPr>
          <w:sz w:val="16"/>
        </w:rPr>
        <w:t>2014/15年调剂使用后的最终预算</w:t>
      </w:r>
      <w:r w:rsidR="00F17D98" w:rsidRPr="00F94318">
        <w:rPr>
          <w:sz w:val="16"/>
        </w:rPr>
        <w:t>”</w:t>
      </w:r>
      <w:r w:rsidR="00F17D98" w:rsidRPr="007A5789">
        <w:rPr>
          <w:sz w:val="16"/>
        </w:rPr>
        <w:t>中的两年预算数字中。2014/15年调剂使用后的最终预算与2014/15年原始批准预算之间的对比请参考2014/15年的报表五。原始预算基于WIPO成员国大会2013年12月12日批准的6.74亿瑞郎的两年期预算</w:t>
      </w:r>
      <w:r w:rsidR="007C045C" w:rsidRPr="007A5789">
        <w:rPr>
          <w:rFonts w:hint="eastAsia"/>
          <w:sz w:val="16"/>
        </w:rPr>
        <w:t>。</w:t>
      </w:r>
    </w:p>
    <w:p w:rsidR="0025563A" w:rsidRPr="007A5789" w:rsidRDefault="00880100" w:rsidP="00F17D98">
      <w:pPr>
        <w:rPr>
          <w:sz w:val="16"/>
        </w:rPr>
      </w:pPr>
      <w:r w:rsidRPr="007A5789">
        <w:rPr>
          <w:sz w:val="16"/>
        </w:rPr>
        <w:t>(</w:t>
      </w:r>
      <w:r w:rsidR="00F17D98" w:rsidRPr="007A5789">
        <w:rPr>
          <w:sz w:val="16"/>
        </w:rPr>
        <w:t>2</w:t>
      </w:r>
      <w:r w:rsidRPr="007A5789">
        <w:rPr>
          <w:sz w:val="16"/>
        </w:rPr>
        <w:t>)</w:t>
      </w:r>
      <w:r w:rsidR="00F17D98" w:rsidRPr="007A5789">
        <w:rPr>
          <w:sz w:val="16"/>
        </w:rPr>
        <w:t>-表示2015年</w:t>
      </w:r>
      <w:r w:rsidR="00F17D98" w:rsidRPr="00F94318">
        <w:rPr>
          <w:sz w:val="16"/>
        </w:rPr>
        <w:t>“</w:t>
      </w:r>
      <w:r w:rsidR="00F17D98" w:rsidRPr="007A5789">
        <w:rPr>
          <w:sz w:val="16"/>
        </w:rPr>
        <w:t>最终</w:t>
      </w:r>
      <w:r w:rsidR="00F17D98" w:rsidRPr="00F94318">
        <w:rPr>
          <w:sz w:val="16"/>
        </w:rPr>
        <w:t>”</w:t>
      </w:r>
      <w:r w:rsidR="00F17D98" w:rsidRPr="007A5789">
        <w:rPr>
          <w:sz w:val="16"/>
        </w:rPr>
        <w:t>预算与2015年12月31日截止的年度实际可比支出的差额。</w:t>
      </w:r>
    </w:p>
    <w:p w:rsidR="00880100" w:rsidRPr="007A5789" w:rsidRDefault="00880100" w:rsidP="00A92B75">
      <w:pPr>
        <w:rPr>
          <w:sz w:val="16"/>
        </w:rPr>
      </w:pPr>
      <w:r w:rsidRPr="007A5789">
        <w:rPr>
          <w:sz w:val="16"/>
        </w:rPr>
        <w:t>(</w:t>
      </w:r>
      <w:r w:rsidR="00F17D98" w:rsidRPr="007A5789">
        <w:rPr>
          <w:sz w:val="16"/>
        </w:rPr>
        <w:t>3</w:t>
      </w:r>
      <w:r w:rsidRPr="007A5789">
        <w:rPr>
          <w:sz w:val="16"/>
        </w:rPr>
        <w:t>)</w:t>
      </w:r>
      <w:r w:rsidR="00F17D98" w:rsidRPr="007A5789">
        <w:rPr>
          <w:sz w:val="16"/>
        </w:rPr>
        <w:t>-依据IPSAS对盈余的调整详见财务报表附注22。</w:t>
      </w:r>
    </w:p>
    <w:p w:rsidR="007A5789" w:rsidRPr="00021B97" w:rsidRDefault="00A92B75" w:rsidP="00021B97">
      <w:pPr>
        <w:pStyle w:val="2"/>
        <w:spacing w:before="0" w:afterLines="100" w:after="240" w:line="340" w:lineRule="atLeast"/>
        <w:jc w:val="center"/>
        <w:rPr>
          <w:rFonts w:ascii="SimHei" w:eastAsia="SimHei" w:hAnsi="SimHei"/>
          <w:b w:val="0"/>
          <w:sz w:val="21"/>
        </w:rPr>
      </w:pPr>
      <w:bookmarkStart w:id="38" w:name="_Toc456711733"/>
      <w:r w:rsidRPr="00021B97">
        <w:rPr>
          <w:rFonts w:ascii="SimHei" w:eastAsia="SimHei" w:hAnsi="SimHei"/>
          <w:b w:val="0"/>
          <w:sz w:val="21"/>
        </w:rPr>
        <w:lastRenderedPageBreak/>
        <w:t>报表五</w:t>
      </w:r>
      <w:r w:rsidR="007D26F4" w:rsidRPr="00021B97">
        <w:rPr>
          <w:rFonts w:ascii="SimHei" w:eastAsia="SimHei" w:hAnsi="SimHei" w:hint="eastAsia"/>
          <w:b w:val="0"/>
          <w:sz w:val="21"/>
        </w:rPr>
        <w:br/>
      </w:r>
      <w:r w:rsidRPr="00021B97">
        <w:rPr>
          <w:rFonts w:ascii="SimHei" w:eastAsia="SimHei" w:hAnsi="SimHei"/>
          <w:b w:val="0"/>
          <w:sz w:val="21"/>
        </w:rPr>
        <w:t>预算与实际金额对比表</w:t>
      </w:r>
      <w:r w:rsidR="00021B97">
        <w:rPr>
          <w:rFonts w:ascii="SimHei" w:eastAsia="SimHei" w:hAnsi="SimHei" w:hint="eastAsia"/>
          <w:b w:val="0"/>
          <w:sz w:val="21"/>
        </w:rPr>
        <w:t xml:space="preserve"> </w:t>
      </w:r>
      <w:r w:rsidRPr="00021B97">
        <w:rPr>
          <w:rFonts w:ascii="SimHei" w:eastAsia="SimHei" w:hAnsi="SimHei"/>
          <w:b w:val="0"/>
          <w:sz w:val="21"/>
        </w:rPr>
        <w:t>-</w:t>
      </w:r>
      <w:r w:rsidR="00021B97">
        <w:rPr>
          <w:rFonts w:ascii="SimHei" w:eastAsia="SimHei" w:hAnsi="SimHei" w:hint="eastAsia"/>
          <w:b w:val="0"/>
          <w:sz w:val="21"/>
        </w:rPr>
        <w:t xml:space="preserve"> </w:t>
      </w:r>
      <w:r w:rsidRPr="00021B97">
        <w:rPr>
          <w:rFonts w:ascii="SimHei" w:eastAsia="SimHei" w:hAnsi="SimHei"/>
          <w:b w:val="0"/>
          <w:sz w:val="21"/>
        </w:rPr>
        <w:t>收入</w:t>
      </w:r>
      <w:bookmarkEnd w:id="38"/>
    </w:p>
    <w:p w:rsidR="00A92B75" w:rsidRPr="00021B97" w:rsidRDefault="00A92B75" w:rsidP="00021B97">
      <w:pPr>
        <w:keepNext/>
        <w:spacing w:line="340" w:lineRule="atLeast"/>
        <w:jc w:val="center"/>
        <w:rPr>
          <w:b/>
          <w:sz w:val="21"/>
        </w:rPr>
      </w:pPr>
      <w:r w:rsidRPr="00021B97">
        <w:rPr>
          <w:b/>
          <w:sz w:val="21"/>
        </w:rPr>
        <w:t>2015年12月31日截止的两年</w:t>
      </w:r>
    </w:p>
    <w:p w:rsidR="007A5789" w:rsidRPr="00021B97" w:rsidRDefault="00B6014B" w:rsidP="00021B97">
      <w:pPr>
        <w:keepNext/>
        <w:spacing w:afterLines="50" w:after="120" w:line="340" w:lineRule="atLeast"/>
        <w:jc w:val="center"/>
        <w:rPr>
          <w:rFonts w:ascii="KaiTi" w:eastAsia="KaiTi" w:hAnsi="KaiTi"/>
          <w:sz w:val="21"/>
        </w:rPr>
      </w:pPr>
      <w:r w:rsidRPr="00021B97">
        <w:rPr>
          <w:rFonts w:ascii="KaiTi" w:eastAsia="KaiTi" w:hAnsi="KaiTi"/>
          <w:sz w:val="21"/>
        </w:rPr>
        <w:t>（</w:t>
      </w:r>
      <w:r w:rsidR="00A92B75" w:rsidRPr="00021B97">
        <w:rPr>
          <w:rFonts w:ascii="KaiTi" w:eastAsia="KaiTi" w:hAnsi="KaiTi"/>
          <w:sz w:val="21"/>
        </w:rPr>
        <w:t>单位：</w:t>
      </w:r>
      <w:proofErr w:type="gramStart"/>
      <w:r w:rsidR="00A92B75" w:rsidRPr="00021B97">
        <w:rPr>
          <w:rFonts w:ascii="KaiTi" w:eastAsia="KaiTi" w:hAnsi="KaiTi"/>
          <w:sz w:val="21"/>
        </w:rPr>
        <w:t>千瑞郎</w:t>
      </w:r>
      <w:proofErr w:type="gramEnd"/>
      <w:r w:rsidRPr="00021B97">
        <w:rPr>
          <w:rFonts w:ascii="KaiTi" w:eastAsia="KaiTi" w:hAnsi="KaiTi"/>
          <w:sz w:val="21"/>
        </w:rPr>
        <w:t>）</w:t>
      </w:r>
    </w:p>
    <w:p w:rsidR="008B4A68" w:rsidRPr="007A5789" w:rsidRDefault="00316F63" w:rsidP="006D1B5C">
      <w:pPr>
        <w:jc w:val="center"/>
        <w:rPr>
          <w:sz w:val="21"/>
        </w:rPr>
      </w:pPr>
      <w:r w:rsidRPr="00EF7E79">
        <w:rPr>
          <w:noProof/>
          <w:sz w:val="21"/>
          <w:lang w:val="en-US" w:bidi="ar-SA"/>
        </w:rPr>
        <w:drawing>
          <wp:inline distT="0" distB="0" distL="0" distR="0" wp14:anchorId="2470ACED" wp14:editId="11A6C69C">
            <wp:extent cx="5940425" cy="3275183"/>
            <wp:effectExtent l="0" t="0" r="3175"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0425" cy="3275183"/>
                    </a:xfrm>
                    <a:prstGeom prst="rect">
                      <a:avLst/>
                    </a:prstGeom>
                    <a:noFill/>
                    <a:ln>
                      <a:noFill/>
                    </a:ln>
                  </pic:spPr>
                </pic:pic>
              </a:graphicData>
            </a:graphic>
          </wp:inline>
        </w:drawing>
      </w:r>
    </w:p>
    <w:p w:rsidR="00316F63" w:rsidRDefault="00316F63" w:rsidP="00DB0039">
      <w:pPr>
        <w:tabs>
          <w:tab w:val="left" w:pos="644"/>
        </w:tabs>
        <w:rPr>
          <w:sz w:val="16"/>
        </w:rPr>
      </w:pPr>
    </w:p>
    <w:p w:rsidR="00DB0039" w:rsidRPr="007A5789" w:rsidRDefault="00DB0039" w:rsidP="00DB0039">
      <w:pPr>
        <w:tabs>
          <w:tab w:val="left" w:pos="644"/>
        </w:tabs>
        <w:rPr>
          <w:sz w:val="16"/>
          <w:szCs w:val="16"/>
        </w:rPr>
      </w:pPr>
      <w:r w:rsidRPr="007A5789">
        <w:rPr>
          <w:sz w:val="16"/>
        </w:rPr>
        <w:t>(1)–表示2014/2015年已批准的两年</w:t>
      </w:r>
      <w:r w:rsidR="006D1B5C">
        <w:rPr>
          <w:rFonts w:hint="eastAsia"/>
          <w:sz w:val="16"/>
        </w:rPr>
        <w:t>期</w:t>
      </w:r>
      <w:r w:rsidRPr="007A5789">
        <w:rPr>
          <w:sz w:val="16"/>
        </w:rPr>
        <w:t>预算。</w:t>
      </w:r>
    </w:p>
    <w:p w:rsidR="0025563A" w:rsidRPr="007A5789" w:rsidRDefault="00DB0039" w:rsidP="00DB0039">
      <w:pPr>
        <w:tabs>
          <w:tab w:val="left" w:pos="644"/>
        </w:tabs>
        <w:rPr>
          <w:sz w:val="16"/>
        </w:rPr>
      </w:pPr>
      <w:r w:rsidRPr="007A5789">
        <w:rPr>
          <w:sz w:val="16"/>
        </w:rPr>
        <w:t>(2)–表示2014/15年调剂使用后的最终预算。</w:t>
      </w:r>
    </w:p>
    <w:p w:rsidR="008B4A68" w:rsidRPr="007A5789" w:rsidRDefault="00880100" w:rsidP="00DB0039">
      <w:pPr>
        <w:rPr>
          <w:sz w:val="21"/>
        </w:rPr>
      </w:pPr>
      <w:r w:rsidRPr="007A5789">
        <w:rPr>
          <w:sz w:val="16"/>
        </w:rPr>
        <w:t>(</w:t>
      </w:r>
      <w:r w:rsidR="00DB0039" w:rsidRPr="007A5789">
        <w:rPr>
          <w:sz w:val="16"/>
        </w:rPr>
        <w:t>3</w:t>
      </w:r>
      <w:r w:rsidRPr="007A5789">
        <w:rPr>
          <w:sz w:val="16"/>
        </w:rPr>
        <w:t>)</w:t>
      </w:r>
      <w:r w:rsidR="000650CA" w:rsidRPr="007A5789">
        <w:rPr>
          <w:sz w:val="16"/>
        </w:rPr>
        <w:t>–</w:t>
      </w:r>
      <w:r w:rsidR="00DB0039" w:rsidRPr="007A5789">
        <w:rPr>
          <w:sz w:val="16"/>
        </w:rPr>
        <w:t>表示2014/15年调剂使用后的最终预算与2015年12月31日截止的两年实际可比收入的差额。</w:t>
      </w:r>
    </w:p>
    <w:p w:rsidR="007A5789" w:rsidRPr="00021B97" w:rsidRDefault="00A92B75" w:rsidP="00021B97">
      <w:pPr>
        <w:pStyle w:val="2"/>
        <w:spacing w:before="0" w:afterLines="100" w:after="240" w:line="340" w:lineRule="atLeast"/>
        <w:jc w:val="center"/>
        <w:rPr>
          <w:rFonts w:ascii="SimHei" w:eastAsia="SimHei" w:hAnsi="SimHei"/>
          <w:b w:val="0"/>
          <w:sz w:val="21"/>
        </w:rPr>
      </w:pPr>
      <w:bookmarkStart w:id="39" w:name="_Toc456711734"/>
      <w:r w:rsidRPr="00021B97">
        <w:rPr>
          <w:rFonts w:ascii="SimHei" w:eastAsia="SimHei" w:hAnsi="SimHei"/>
          <w:b w:val="0"/>
          <w:sz w:val="21"/>
        </w:rPr>
        <w:lastRenderedPageBreak/>
        <w:t>报表五</w:t>
      </w:r>
      <w:r w:rsidR="00DC1190" w:rsidRPr="00021B97">
        <w:rPr>
          <w:rFonts w:ascii="SimHei" w:eastAsia="SimHei" w:hAnsi="SimHei" w:hint="eastAsia"/>
          <w:b w:val="0"/>
          <w:sz w:val="21"/>
        </w:rPr>
        <w:br/>
      </w:r>
      <w:r w:rsidRPr="00021B97">
        <w:rPr>
          <w:rFonts w:ascii="SimHei" w:eastAsia="SimHei" w:hAnsi="SimHei"/>
          <w:b w:val="0"/>
          <w:sz w:val="21"/>
        </w:rPr>
        <w:t>预算与实际金额对比表</w:t>
      </w:r>
      <w:r w:rsidR="00021B97">
        <w:rPr>
          <w:rFonts w:ascii="SimHei" w:eastAsia="SimHei" w:hAnsi="SimHei" w:hint="eastAsia"/>
          <w:b w:val="0"/>
          <w:sz w:val="21"/>
        </w:rPr>
        <w:t xml:space="preserve"> </w:t>
      </w:r>
      <w:r w:rsidRPr="00021B97">
        <w:rPr>
          <w:rFonts w:ascii="SimHei" w:eastAsia="SimHei" w:hAnsi="SimHei"/>
          <w:b w:val="0"/>
          <w:sz w:val="21"/>
        </w:rPr>
        <w:t>-</w:t>
      </w:r>
      <w:r w:rsidR="00021B97">
        <w:rPr>
          <w:rFonts w:ascii="SimHei" w:eastAsia="SimHei" w:hAnsi="SimHei" w:hint="eastAsia"/>
          <w:b w:val="0"/>
          <w:sz w:val="21"/>
        </w:rPr>
        <w:t xml:space="preserve"> </w:t>
      </w:r>
      <w:r w:rsidRPr="00021B97">
        <w:rPr>
          <w:rFonts w:ascii="SimHei" w:eastAsia="SimHei" w:hAnsi="SimHei"/>
          <w:b w:val="0"/>
          <w:sz w:val="21"/>
        </w:rPr>
        <w:t>支出</w:t>
      </w:r>
      <w:bookmarkEnd w:id="39"/>
    </w:p>
    <w:p w:rsidR="00A92B75" w:rsidRPr="00021B97" w:rsidRDefault="00A92B75" w:rsidP="00021B97">
      <w:pPr>
        <w:keepNext/>
        <w:spacing w:line="340" w:lineRule="atLeast"/>
        <w:jc w:val="center"/>
        <w:rPr>
          <w:b/>
          <w:sz w:val="21"/>
        </w:rPr>
      </w:pPr>
      <w:r w:rsidRPr="00021B97">
        <w:rPr>
          <w:b/>
          <w:sz w:val="21"/>
        </w:rPr>
        <w:t>2015年12月31日截止的两年</w:t>
      </w:r>
    </w:p>
    <w:p w:rsidR="007A5789" w:rsidRPr="00021B97" w:rsidRDefault="00B6014B" w:rsidP="00021B97">
      <w:pPr>
        <w:keepNext/>
        <w:spacing w:afterLines="50" w:after="120" w:line="340" w:lineRule="atLeast"/>
        <w:jc w:val="center"/>
        <w:rPr>
          <w:rFonts w:ascii="KaiTi" w:eastAsia="KaiTi" w:hAnsi="KaiTi"/>
          <w:sz w:val="21"/>
        </w:rPr>
      </w:pPr>
      <w:r w:rsidRPr="00021B97">
        <w:rPr>
          <w:rFonts w:ascii="KaiTi" w:eastAsia="KaiTi" w:hAnsi="KaiTi"/>
          <w:sz w:val="21"/>
        </w:rPr>
        <w:t>（</w:t>
      </w:r>
      <w:r w:rsidR="00A92B75" w:rsidRPr="00021B97">
        <w:rPr>
          <w:rFonts w:ascii="KaiTi" w:eastAsia="KaiTi" w:hAnsi="KaiTi"/>
          <w:sz w:val="21"/>
        </w:rPr>
        <w:t>单位：</w:t>
      </w:r>
      <w:proofErr w:type="gramStart"/>
      <w:r w:rsidR="00A92B75" w:rsidRPr="00021B97">
        <w:rPr>
          <w:rFonts w:ascii="KaiTi" w:eastAsia="KaiTi" w:hAnsi="KaiTi"/>
          <w:sz w:val="21"/>
        </w:rPr>
        <w:t>千瑞郎</w:t>
      </w:r>
      <w:proofErr w:type="gramEnd"/>
      <w:r w:rsidRPr="00021B97">
        <w:rPr>
          <w:rFonts w:ascii="KaiTi" w:eastAsia="KaiTi" w:hAnsi="KaiTi"/>
          <w:sz w:val="21"/>
        </w:rPr>
        <w:t>）</w:t>
      </w:r>
    </w:p>
    <w:p w:rsidR="008B4A68" w:rsidRPr="007A5789" w:rsidRDefault="00316F63" w:rsidP="006D1B5C">
      <w:pPr>
        <w:spacing w:afterLines="50" w:after="120" w:line="340" w:lineRule="atLeast"/>
        <w:jc w:val="center"/>
        <w:rPr>
          <w:sz w:val="21"/>
        </w:rPr>
      </w:pPr>
      <w:r w:rsidRPr="00316F63">
        <w:rPr>
          <w:noProof/>
          <w:sz w:val="21"/>
          <w:lang w:val="en-US" w:bidi="ar-SA"/>
        </w:rPr>
        <w:drawing>
          <wp:inline distT="0" distB="0" distL="0" distR="0" wp14:anchorId="7E7462D2" wp14:editId="52000CDF">
            <wp:extent cx="5940425" cy="6901287"/>
            <wp:effectExtent l="0" t="0" r="317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0425" cy="6901287"/>
                    </a:xfrm>
                    <a:prstGeom prst="rect">
                      <a:avLst/>
                    </a:prstGeom>
                    <a:noFill/>
                    <a:ln>
                      <a:noFill/>
                    </a:ln>
                  </pic:spPr>
                </pic:pic>
              </a:graphicData>
            </a:graphic>
          </wp:inline>
        </w:drawing>
      </w:r>
    </w:p>
    <w:p w:rsidR="00316F63" w:rsidRDefault="00316F63" w:rsidP="006D1B5C">
      <w:pPr>
        <w:rPr>
          <w:sz w:val="16"/>
        </w:rPr>
      </w:pPr>
    </w:p>
    <w:p w:rsidR="00DB0039" w:rsidRPr="007A5789" w:rsidRDefault="00DB0039" w:rsidP="006D1B5C">
      <w:pPr>
        <w:rPr>
          <w:sz w:val="16"/>
          <w:szCs w:val="16"/>
        </w:rPr>
      </w:pPr>
      <w:r w:rsidRPr="007A5789">
        <w:rPr>
          <w:sz w:val="16"/>
        </w:rPr>
        <w:t>(1)–表示2014/2015年已批准的两年预算6.74亿瑞郎，由WIPO成员国大会于2013年12月12</w:t>
      </w:r>
      <w:r w:rsidR="000650CA">
        <w:rPr>
          <w:sz w:val="16"/>
        </w:rPr>
        <w:t>日批准</w:t>
      </w:r>
      <w:r w:rsidR="000650CA">
        <w:rPr>
          <w:rFonts w:hint="eastAsia"/>
          <w:sz w:val="16"/>
        </w:rPr>
        <w:t>。</w:t>
      </w:r>
    </w:p>
    <w:p w:rsidR="0025563A" w:rsidRPr="007A5789" w:rsidRDefault="00DB0039" w:rsidP="006D1B5C">
      <w:pPr>
        <w:rPr>
          <w:sz w:val="16"/>
        </w:rPr>
      </w:pPr>
      <w:r w:rsidRPr="007A5789">
        <w:rPr>
          <w:sz w:val="16"/>
        </w:rPr>
        <w:t>(2)–表示2014/15年调剂使用后的最终预算。</w:t>
      </w:r>
    </w:p>
    <w:p w:rsidR="00DB0039" w:rsidRPr="007A5789" w:rsidRDefault="00880100" w:rsidP="006D1B5C">
      <w:pPr>
        <w:rPr>
          <w:sz w:val="16"/>
          <w:szCs w:val="16"/>
        </w:rPr>
      </w:pPr>
      <w:r w:rsidRPr="007A5789">
        <w:rPr>
          <w:sz w:val="16"/>
        </w:rPr>
        <w:t>(</w:t>
      </w:r>
      <w:r w:rsidR="00DB0039" w:rsidRPr="007A5789">
        <w:rPr>
          <w:sz w:val="16"/>
        </w:rPr>
        <w:t>3</w:t>
      </w:r>
      <w:r w:rsidRPr="007A5789">
        <w:rPr>
          <w:sz w:val="16"/>
        </w:rPr>
        <w:t>)</w:t>
      </w:r>
      <w:r w:rsidR="000650CA" w:rsidRPr="007A5789">
        <w:rPr>
          <w:sz w:val="16"/>
        </w:rPr>
        <w:t>–</w:t>
      </w:r>
      <w:r w:rsidR="00DB0039" w:rsidRPr="007A5789">
        <w:rPr>
          <w:sz w:val="16"/>
        </w:rPr>
        <w:t>表示2014/15年调剂使用后的最终预算与2015年12月31日截止的两年实际可比支出的差额。</w:t>
      </w:r>
    </w:p>
    <w:p w:rsidR="00C3539C" w:rsidRPr="007A5789" w:rsidRDefault="00880100" w:rsidP="00DB0039">
      <w:pPr>
        <w:rPr>
          <w:sz w:val="16"/>
        </w:rPr>
      </w:pPr>
      <w:r w:rsidRPr="007A5789">
        <w:rPr>
          <w:sz w:val="16"/>
        </w:rPr>
        <w:t>(</w:t>
      </w:r>
      <w:r w:rsidR="00DB0039" w:rsidRPr="007A5789">
        <w:rPr>
          <w:sz w:val="16"/>
        </w:rPr>
        <w:t>4</w:t>
      </w:r>
      <w:r w:rsidRPr="007A5789">
        <w:rPr>
          <w:sz w:val="16"/>
        </w:rPr>
        <w:t>)</w:t>
      </w:r>
      <w:r w:rsidR="000650CA" w:rsidRPr="007A5789">
        <w:rPr>
          <w:sz w:val="16"/>
        </w:rPr>
        <w:t>–</w:t>
      </w:r>
      <w:r w:rsidR="00DB0039" w:rsidRPr="007A5789">
        <w:rPr>
          <w:sz w:val="16"/>
        </w:rPr>
        <w:t>依据IPSAS对盈余的调整详见财务报表附注22。</w:t>
      </w:r>
    </w:p>
    <w:p w:rsidR="00FC542D" w:rsidRPr="007C2134" w:rsidRDefault="00DB0039" w:rsidP="007C2134">
      <w:pPr>
        <w:spacing w:beforeLines="100" w:before="240" w:afterLines="100" w:after="240" w:line="340" w:lineRule="atLeast"/>
        <w:jc w:val="center"/>
        <w:rPr>
          <w:rFonts w:ascii="SimHei" w:eastAsia="SimHei" w:hAnsi="SimHei"/>
          <w:sz w:val="21"/>
        </w:rPr>
      </w:pPr>
      <w:r w:rsidRPr="007A5789">
        <w:rPr>
          <w:sz w:val="21"/>
        </w:rPr>
        <w:br w:type="page"/>
      </w:r>
      <w:bookmarkStart w:id="40" w:name="_Toc441218488"/>
      <w:bookmarkStart w:id="41" w:name="_Toc455733219"/>
      <w:bookmarkStart w:id="42" w:name="_Toc456697868"/>
      <w:r w:rsidR="00F2215F" w:rsidRPr="007C2134">
        <w:rPr>
          <w:rFonts w:ascii="SimHei" w:eastAsia="SimHei" w:hAnsi="SimHei"/>
          <w:sz w:val="21"/>
        </w:rPr>
        <w:lastRenderedPageBreak/>
        <w:t>财务报表附注</w:t>
      </w:r>
      <w:bookmarkEnd w:id="40"/>
      <w:bookmarkEnd w:id="41"/>
      <w:bookmarkEnd w:id="42"/>
    </w:p>
    <w:p w:rsidR="007A5789" w:rsidRPr="007C2134" w:rsidRDefault="00F2215F" w:rsidP="007C2134">
      <w:pPr>
        <w:pStyle w:val="3"/>
        <w:overflowPunct w:val="0"/>
        <w:spacing w:beforeLines="100" w:afterLines="50" w:after="120" w:line="340" w:lineRule="atLeast"/>
        <w:rPr>
          <w:rFonts w:ascii="SimHei" w:eastAsia="SimHei" w:hAnsi="SimHei"/>
          <w:b w:val="0"/>
          <w:sz w:val="21"/>
        </w:rPr>
      </w:pPr>
      <w:bookmarkStart w:id="43" w:name="_Toc441218489"/>
      <w:bookmarkStart w:id="44" w:name="_Toc455733220"/>
      <w:bookmarkStart w:id="45" w:name="_Toc456697869"/>
      <w:bookmarkStart w:id="46" w:name="_Toc456711735"/>
      <w:r w:rsidRPr="007C2134">
        <w:rPr>
          <w:rFonts w:ascii="SimHei" w:eastAsia="SimHei" w:hAnsi="SimHei"/>
          <w:b w:val="0"/>
          <w:sz w:val="21"/>
        </w:rPr>
        <w:t>附注1：本组织的目标和预算</w:t>
      </w:r>
      <w:bookmarkEnd w:id="43"/>
      <w:bookmarkEnd w:id="44"/>
      <w:bookmarkEnd w:id="45"/>
      <w:bookmarkEnd w:id="46"/>
    </w:p>
    <w:p w:rsidR="007A5789" w:rsidRDefault="0058420A" w:rsidP="00134184">
      <w:pPr>
        <w:pStyle w:val="Style3"/>
        <w:numPr>
          <w:ilvl w:val="0"/>
          <w:numId w:val="10"/>
        </w:numPr>
        <w:tabs>
          <w:tab w:val="left" w:pos="770"/>
        </w:tabs>
        <w:overflowPunct w:val="0"/>
        <w:spacing w:afterLines="50" w:line="340" w:lineRule="atLeast"/>
        <w:ind w:left="0" w:firstLine="0"/>
        <w:rPr>
          <w:sz w:val="21"/>
        </w:rPr>
      </w:pPr>
      <w:r w:rsidRPr="007A5789">
        <w:rPr>
          <w:sz w:val="21"/>
        </w:rPr>
        <w:t>世界知识产权组织</w:t>
      </w:r>
      <w:r w:rsidR="00B6014B">
        <w:rPr>
          <w:sz w:val="21"/>
        </w:rPr>
        <w:t>（</w:t>
      </w:r>
      <w:r w:rsidRPr="007A5789">
        <w:rPr>
          <w:sz w:val="21"/>
        </w:rPr>
        <w:t>WIPO</w:t>
      </w:r>
      <w:r w:rsidR="00B6014B">
        <w:rPr>
          <w:sz w:val="21"/>
        </w:rPr>
        <w:t>）</w:t>
      </w:r>
      <w:r w:rsidRPr="007A5789">
        <w:rPr>
          <w:sz w:val="21"/>
        </w:rPr>
        <w:t>成立于1967年，前身为保护知识产权联合国际局</w:t>
      </w:r>
      <w:r w:rsidR="00B6014B">
        <w:rPr>
          <w:sz w:val="21"/>
        </w:rPr>
        <w:t>（</w:t>
      </w:r>
      <w:r w:rsidRPr="007A5789">
        <w:rPr>
          <w:sz w:val="21"/>
        </w:rPr>
        <w:t>BIRPI</w:t>
      </w:r>
      <w:r w:rsidR="00B6014B">
        <w:rPr>
          <w:sz w:val="21"/>
        </w:rPr>
        <w:t>）</w:t>
      </w:r>
      <w:r w:rsidRPr="007A5789">
        <w:rPr>
          <w:sz w:val="21"/>
        </w:rPr>
        <w:t>。BIRPI是法文缩写，全称为Bureaux Internationaux Réunis pour la Protection de la Propriété Intellectuelle，成立于1893年，目的是管理《保护工业产权巴黎公约》</w:t>
      </w:r>
      <w:r w:rsidR="00B6014B">
        <w:rPr>
          <w:sz w:val="21"/>
        </w:rPr>
        <w:t>（</w:t>
      </w:r>
      <w:r w:rsidRPr="007A5789">
        <w:rPr>
          <w:sz w:val="21"/>
        </w:rPr>
        <w:t>1883年</w:t>
      </w:r>
      <w:r w:rsidR="00B6014B">
        <w:rPr>
          <w:sz w:val="21"/>
        </w:rPr>
        <w:t>）</w:t>
      </w:r>
      <w:r w:rsidRPr="007A5789">
        <w:rPr>
          <w:sz w:val="21"/>
        </w:rPr>
        <w:t>和《保护文学和艺术作品伯尓尼公约》</w:t>
      </w:r>
      <w:r w:rsidR="00B6014B">
        <w:rPr>
          <w:sz w:val="21"/>
        </w:rPr>
        <w:t>（</w:t>
      </w:r>
      <w:r w:rsidRPr="007A5789">
        <w:rPr>
          <w:sz w:val="21"/>
        </w:rPr>
        <w:t>1886年</w:t>
      </w:r>
      <w:r w:rsidR="00B6014B">
        <w:rPr>
          <w:sz w:val="21"/>
        </w:rPr>
        <w:t>）</w:t>
      </w:r>
      <w:r w:rsidRPr="007A5789">
        <w:rPr>
          <w:sz w:val="21"/>
        </w:rPr>
        <w:t>。1974年，WIPO被认可为联合国专门机构。</w:t>
      </w:r>
    </w:p>
    <w:p w:rsidR="007A5789" w:rsidRDefault="0058420A" w:rsidP="00134184">
      <w:pPr>
        <w:pStyle w:val="Style3"/>
        <w:numPr>
          <w:ilvl w:val="0"/>
          <w:numId w:val="10"/>
        </w:numPr>
        <w:tabs>
          <w:tab w:val="left" w:pos="770"/>
        </w:tabs>
        <w:overflowPunct w:val="0"/>
        <w:spacing w:afterLines="50" w:line="340" w:lineRule="atLeast"/>
        <w:ind w:left="0" w:firstLine="0"/>
        <w:rPr>
          <w:sz w:val="21"/>
          <w:szCs w:val="22"/>
        </w:rPr>
      </w:pPr>
      <w:r w:rsidRPr="007A5789">
        <w:rPr>
          <w:sz w:val="21"/>
        </w:rPr>
        <w:t>WIPO开展多种与知识产权保护有关的工作，包括：帮助各国政府和各种组织发展必要的政策、结构和技能以挖掘知识产权促进经济发展的潜力；与成员国一同制定国际知识产权法律；管理条约；管理商标、工业品外观设计和原产地名称的全球注册体系和专利申请体系；提供争议解决服务；为知情辩论和交流专门知识提供论坛。</w:t>
      </w:r>
    </w:p>
    <w:p w:rsidR="007A5789" w:rsidRDefault="0058420A" w:rsidP="00134184">
      <w:pPr>
        <w:pStyle w:val="Style3"/>
        <w:numPr>
          <w:ilvl w:val="0"/>
          <w:numId w:val="10"/>
        </w:numPr>
        <w:tabs>
          <w:tab w:val="left" w:pos="770"/>
        </w:tabs>
        <w:overflowPunct w:val="0"/>
        <w:spacing w:afterLines="50" w:line="340" w:lineRule="atLeast"/>
        <w:ind w:left="0" w:firstLine="0"/>
        <w:rPr>
          <w:sz w:val="21"/>
          <w:szCs w:val="22"/>
        </w:rPr>
      </w:pPr>
      <w:r w:rsidRPr="007A5789">
        <w:rPr>
          <w:sz w:val="21"/>
        </w:rPr>
        <w:t>本组织依照1967年7月14日于斯德哥</w:t>
      </w:r>
      <w:proofErr w:type="gramStart"/>
      <w:r w:rsidRPr="007A5789">
        <w:rPr>
          <w:sz w:val="21"/>
        </w:rPr>
        <w:t>尓摩签署</w:t>
      </w:r>
      <w:proofErr w:type="gramEnd"/>
      <w:r w:rsidRPr="007A5789">
        <w:rPr>
          <w:sz w:val="21"/>
        </w:rPr>
        <w:t>并于1979年9月28日修订的《WIPO公约》开展活动。WIPO现有188个成员国。WIPO总部位于瑞士日内瓦，在北京、莫斯科、里约热内卢、新加坡及东京设有驻外办事处，在纽约设有协调办事处。本组织享有1947年联合国《专门机构特权和豁免公约》和与瑞士联邦委员会签署的1970年总部协定中给予的特权和豁免权，特别是免除支付多种形式的直接税和间接税。</w:t>
      </w:r>
    </w:p>
    <w:p w:rsidR="007A5789" w:rsidRDefault="0058420A" w:rsidP="00134184">
      <w:pPr>
        <w:pStyle w:val="Style3"/>
        <w:numPr>
          <w:ilvl w:val="0"/>
          <w:numId w:val="10"/>
        </w:numPr>
        <w:tabs>
          <w:tab w:val="left" w:pos="770"/>
        </w:tabs>
        <w:overflowPunct w:val="0"/>
        <w:spacing w:afterLines="50" w:line="340" w:lineRule="atLeast"/>
        <w:ind w:left="0" w:firstLine="0"/>
        <w:rPr>
          <w:sz w:val="21"/>
        </w:rPr>
      </w:pPr>
      <w:r w:rsidRPr="007A5789">
        <w:rPr>
          <w:sz w:val="21"/>
        </w:rPr>
        <w:t>根据《建立世界知识产权组织公约》设立的以下组成机关是世界知识产权组织的最高决策机构。这些机构至少每两年举行一次例会，可隔年举行特别会议：</w:t>
      </w:r>
    </w:p>
    <w:p w:rsidR="007A5789" w:rsidRDefault="0058420A" w:rsidP="001E1DEA">
      <w:pPr>
        <w:pStyle w:val="STYLEDUTEXTE"/>
        <w:numPr>
          <w:ilvl w:val="0"/>
          <w:numId w:val="5"/>
        </w:numPr>
        <w:overflowPunct w:val="0"/>
        <w:spacing w:afterLines="50" w:after="120" w:line="340" w:lineRule="atLeast"/>
        <w:ind w:left="1134" w:hanging="567"/>
        <w:rPr>
          <w:sz w:val="21"/>
        </w:rPr>
      </w:pPr>
      <w:r w:rsidRPr="007A5789">
        <w:rPr>
          <w:sz w:val="21"/>
        </w:rPr>
        <w:t>大会</w:t>
      </w:r>
      <w:proofErr w:type="gramStart"/>
      <w:r w:rsidRPr="007A5789">
        <w:rPr>
          <w:sz w:val="21"/>
        </w:rPr>
        <w:t>由同时</w:t>
      </w:r>
      <w:proofErr w:type="gramEnd"/>
      <w:r w:rsidRPr="007A5789">
        <w:rPr>
          <w:sz w:val="21"/>
        </w:rPr>
        <w:t>是各联盟成员的《WIPO公约》成员国组成，负责任命总干事，总干事任期固定，每任不少于六年；通过各联盟共同开支预算；通过财务条例；邀请有关国家成为成员国，以及履行公约所规定的其他所有任务。</w:t>
      </w:r>
    </w:p>
    <w:p w:rsidR="007A5789" w:rsidRDefault="0058420A" w:rsidP="001E1DEA">
      <w:pPr>
        <w:pStyle w:val="STYLEDUTEXTE"/>
        <w:numPr>
          <w:ilvl w:val="0"/>
          <w:numId w:val="5"/>
        </w:numPr>
        <w:overflowPunct w:val="0"/>
        <w:spacing w:afterLines="50" w:after="120" w:line="340" w:lineRule="atLeast"/>
        <w:ind w:left="1134" w:hanging="567"/>
        <w:rPr>
          <w:sz w:val="21"/>
          <w:szCs w:val="22"/>
        </w:rPr>
      </w:pPr>
      <w:r w:rsidRPr="007A5789">
        <w:rPr>
          <w:sz w:val="21"/>
        </w:rPr>
        <w:t>成员国会议由所有成员国组成，不管其是否属于某一联盟。成员国会议通过预算、通过对《公约》的修正并酌情履行其他任务。</w:t>
      </w:r>
    </w:p>
    <w:p w:rsidR="007A5789" w:rsidRDefault="0058420A" w:rsidP="001E1DEA">
      <w:pPr>
        <w:pStyle w:val="Style3"/>
        <w:numPr>
          <w:ilvl w:val="0"/>
          <w:numId w:val="5"/>
        </w:numPr>
        <w:overflowPunct w:val="0"/>
        <w:spacing w:afterLines="50" w:line="340" w:lineRule="atLeast"/>
        <w:ind w:left="1134" w:hanging="567"/>
        <w:rPr>
          <w:sz w:val="21"/>
          <w:szCs w:val="22"/>
        </w:rPr>
      </w:pPr>
      <w:r w:rsidRPr="007A5789">
        <w:rPr>
          <w:sz w:val="21"/>
        </w:rPr>
        <w:t>协调委员会由巴黎或伯尔尼联盟的执行委员会的委员、非各联盟成员的《WIPO公约》成员国的四分之一，以及瑞士组成。瑞士是本组织总部的所在地。协调委员会提名总干事候选人，编拟大会议程和成员国会议的计划和预算，并履行《WIPO公约》分配的其他职责。</w:t>
      </w:r>
    </w:p>
    <w:p w:rsidR="00AD1872" w:rsidRPr="007A5789" w:rsidRDefault="0058420A" w:rsidP="001E1DEA">
      <w:pPr>
        <w:pStyle w:val="Style3"/>
        <w:numPr>
          <w:ilvl w:val="0"/>
          <w:numId w:val="5"/>
        </w:numPr>
        <w:overflowPunct w:val="0"/>
        <w:spacing w:afterLines="50" w:line="340" w:lineRule="atLeast"/>
        <w:ind w:left="1134" w:hanging="567"/>
        <w:rPr>
          <w:sz w:val="21"/>
        </w:rPr>
      </w:pPr>
      <w:r w:rsidRPr="007A5789">
        <w:rPr>
          <w:sz w:val="21"/>
        </w:rPr>
        <w:t>伯</w:t>
      </w:r>
      <w:proofErr w:type="gramStart"/>
      <w:r w:rsidRPr="007A5789">
        <w:rPr>
          <w:sz w:val="21"/>
        </w:rPr>
        <w:t>尓</w:t>
      </w:r>
      <w:proofErr w:type="gramEnd"/>
      <w:r w:rsidRPr="007A5789">
        <w:rPr>
          <w:sz w:val="21"/>
        </w:rPr>
        <w:t>尼、海牙、尼斯、里斯本、</w:t>
      </w:r>
      <w:proofErr w:type="gramStart"/>
      <w:r w:rsidRPr="007A5789">
        <w:rPr>
          <w:sz w:val="21"/>
        </w:rPr>
        <w:t>洛迦</w:t>
      </w:r>
      <w:proofErr w:type="gramEnd"/>
      <w:r w:rsidRPr="007A5789">
        <w:rPr>
          <w:sz w:val="21"/>
        </w:rPr>
        <w:t>诺、维也纳、布达佩斯</w:t>
      </w:r>
      <w:r w:rsidR="00316F63">
        <w:rPr>
          <w:rFonts w:hint="eastAsia"/>
          <w:sz w:val="21"/>
        </w:rPr>
        <w:t>、</w:t>
      </w:r>
      <w:r w:rsidRPr="007A5789">
        <w:rPr>
          <w:sz w:val="21"/>
        </w:rPr>
        <w:t>国际专利分类和巴黎联盟等联盟大会根据WIPO管理的创建各联盟的各个条约的授权举行会议。它们采用WIPO预算中仅与各自收入和费用相关的部分，以及确定为根据各条约所提供服务而需向WIPO支付费用的水平。</w:t>
      </w:r>
    </w:p>
    <w:p w:rsidR="00274C9E" w:rsidRPr="007A5789" w:rsidRDefault="0058420A" w:rsidP="00134184">
      <w:pPr>
        <w:pStyle w:val="Style3"/>
        <w:numPr>
          <w:ilvl w:val="0"/>
          <w:numId w:val="10"/>
        </w:numPr>
        <w:tabs>
          <w:tab w:val="left" w:pos="770"/>
        </w:tabs>
        <w:overflowPunct w:val="0"/>
        <w:spacing w:afterLines="50" w:line="340" w:lineRule="atLeast"/>
        <w:ind w:left="0" w:firstLine="0"/>
        <w:rPr>
          <w:sz w:val="21"/>
        </w:rPr>
      </w:pPr>
      <w:r w:rsidRPr="007A5789">
        <w:rPr>
          <w:sz w:val="21"/>
        </w:rPr>
        <w:t>WIPO的资金来源包括从本组织提供的各项服务中收取的费用、成员国支付的分摊会费以及成员国和其他捐助方的自愿捐款。本组织在提供批款的两年</w:t>
      </w:r>
      <w:proofErr w:type="gramStart"/>
      <w:r w:rsidRPr="007A5789">
        <w:rPr>
          <w:sz w:val="21"/>
        </w:rPr>
        <w:t>期计划</w:t>
      </w:r>
      <w:proofErr w:type="gramEnd"/>
      <w:r w:rsidRPr="007A5789">
        <w:rPr>
          <w:sz w:val="21"/>
        </w:rPr>
        <w:t>和预算的框架内开展工作，</w:t>
      </w:r>
      <w:r w:rsidRPr="00F374B8">
        <w:rPr>
          <w:sz w:val="21"/>
        </w:rPr>
        <w:t>“</w:t>
      </w:r>
      <w:r w:rsidRPr="007A5789">
        <w:rPr>
          <w:sz w:val="21"/>
        </w:rPr>
        <w:t>批款</w:t>
      </w:r>
      <w:r w:rsidRPr="00F374B8">
        <w:rPr>
          <w:sz w:val="21"/>
        </w:rPr>
        <w:t>”</w:t>
      </w:r>
      <w:r w:rsidRPr="007A5789">
        <w:rPr>
          <w:sz w:val="21"/>
        </w:rPr>
        <w:t>系指大会为每一财政期间批准的预算支出授权。批准批款向总干事提供了承付和授权支出以及为批款限度内指定目的而支付款项的权利。</w:t>
      </w:r>
    </w:p>
    <w:p w:rsidR="007A5789" w:rsidRPr="007C2134" w:rsidRDefault="00F2215F" w:rsidP="007C2134">
      <w:pPr>
        <w:pStyle w:val="3"/>
        <w:overflowPunct w:val="0"/>
        <w:spacing w:beforeLines="100" w:afterLines="50" w:after="120" w:line="340" w:lineRule="atLeast"/>
        <w:rPr>
          <w:rFonts w:ascii="SimHei" w:eastAsia="SimHei" w:hAnsi="SimHei"/>
          <w:b w:val="0"/>
          <w:sz w:val="21"/>
        </w:rPr>
      </w:pPr>
      <w:bookmarkStart w:id="47" w:name="_Toc441218490"/>
      <w:bookmarkStart w:id="48" w:name="_Toc455733221"/>
      <w:bookmarkStart w:id="49" w:name="_Toc456697870"/>
      <w:bookmarkStart w:id="50" w:name="_Toc456711736"/>
      <w:r w:rsidRPr="007C2134">
        <w:rPr>
          <w:rFonts w:ascii="SimHei" w:eastAsia="SimHei" w:hAnsi="SimHei"/>
          <w:b w:val="0"/>
          <w:sz w:val="21"/>
        </w:rPr>
        <w:lastRenderedPageBreak/>
        <w:t>附注2：重大会计政策</w:t>
      </w:r>
      <w:bookmarkEnd w:id="47"/>
      <w:bookmarkEnd w:id="48"/>
      <w:bookmarkEnd w:id="49"/>
      <w:bookmarkEnd w:id="50"/>
    </w:p>
    <w:p w:rsidR="007A5789" w:rsidRPr="001E1DEA" w:rsidRDefault="00131284" w:rsidP="001E1DEA">
      <w:pPr>
        <w:pStyle w:val="Style3Bold"/>
        <w:keepNext/>
        <w:spacing w:beforeLines="100" w:before="240" w:afterLines="50" w:line="340" w:lineRule="atLeast"/>
        <w:rPr>
          <w:sz w:val="21"/>
          <w:szCs w:val="22"/>
        </w:rPr>
      </w:pPr>
      <w:r w:rsidRPr="001E1DEA">
        <w:rPr>
          <w:sz w:val="21"/>
        </w:rPr>
        <w:t>编制基准</w:t>
      </w:r>
    </w:p>
    <w:p w:rsidR="007A5789" w:rsidRDefault="00131284" w:rsidP="00134184">
      <w:pPr>
        <w:pStyle w:val="Style3"/>
        <w:numPr>
          <w:ilvl w:val="0"/>
          <w:numId w:val="11"/>
        </w:numPr>
        <w:tabs>
          <w:tab w:val="left" w:pos="770"/>
        </w:tabs>
        <w:overflowPunct w:val="0"/>
        <w:spacing w:afterLines="50" w:line="340" w:lineRule="atLeast"/>
        <w:ind w:left="0" w:firstLine="0"/>
        <w:rPr>
          <w:sz w:val="21"/>
        </w:rPr>
      </w:pPr>
      <w:r w:rsidRPr="007A5789">
        <w:rPr>
          <w:sz w:val="21"/>
        </w:rPr>
        <w:t>财务报表根据</w:t>
      </w:r>
      <w:r w:rsidR="007C045C" w:rsidRPr="007A5789">
        <w:rPr>
          <w:rFonts w:hint="eastAsia"/>
          <w:sz w:val="21"/>
        </w:rPr>
        <w:t>《</w:t>
      </w:r>
      <w:r w:rsidRPr="007A5789">
        <w:rPr>
          <w:sz w:val="21"/>
        </w:rPr>
        <w:t>国际公共部门会计</w:t>
      </w:r>
      <w:r w:rsidR="007C045C" w:rsidRPr="007A5789">
        <w:rPr>
          <w:rFonts w:hint="eastAsia"/>
          <w:sz w:val="21"/>
        </w:rPr>
        <w:t>准则》</w:t>
      </w:r>
      <w:r w:rsidR="00B6014B">
        <w:rPr>
          <w:sz w:val="21"/>
        </w:rPr>
        <w:t>（</w:t>
      </w:r>
      <w:r w:rsidRPr="007A5789">
        <w:rPr>
          <w:sz w:val="21"/>
        </w:rPr>
        <w:t>IPSAS</w:t>
      </w:r>
      <w:r w:rsidR="00B6014B">
        <w:rPr>
          <w:sz w:val="21"/>
        </w:rPr>
        <w:t>）</w:t>
      </w:r>
      <w:r w:rsidRPr="007A5789">
        <w:rPr>
          <w:sz w:val="21"/>
        </w:rPr>
        <w:t>编制，并符合这些</w:t>
      </w:r>
      <w:r w:rsidR="007C045C" w:rsidRPr="007A5789">
        <w:rPr>
          <w:rFonts w:hint="eastAsia"/>
          <w:sz w:val="21"/>
        </w:rPr>
        <w:t>准则</w:t>
      </w:r>
      <w:r w:rsidRPr="007A5789">
        <w:rPr>
          <w:sz w:val="21"/>
        </w:rPr>
        <w:t>。财务报表以WIPO的报告和功能货币瑞郎为单位，所有金额的最小计数单位为千。会计政策连贯应用于呈报的所有年</w:t>
      </w:r>
      <w:r w:rsidR="006F192F">
        <w:rPr>
          <w:sz w:val="21"/>
        </w:rPr>
        <w:t>‍</w:t>
      </w:r>
      <w:r w:rsidRPr="007A5789">
        <w:rPr>
          <w:sz w:val="21"/>
        </w:rPr>
        <w:t>度。</w:t>
      </w:r>
    </w:p>
    <w:p w:rsidR="007A5789" w:rsidRDefault="00432356" w:rsidP="00134184">
      <w:pPr>
        <w:pStyle w:val="Style3"/>
        <w:numPr>
          <w:ilvl w:val="0"/>
          <w:numId w:val="11"/>
        </w:numPr>
        <w:tabs>
          <w:tab w:val="left" w:pos="770"/>
        </w:tabs>
        <w:overflowPunct w:val="0"/>
        <w:spacing w:afterLines="50" w:line="340" w:lineRule="atLeast"/>
        <w:ind w:left="0" w:firstLine="0"/>
        <w:rPr>
          <w:sz w:val="21"/>
        </w:rPr>
      </w:pPr>
      <w:r w:rsidRPr="007A5789">
        <w:rPr>
          <w:sz w:val="21"/>
        </w:rPr>
        <w:t>财务报表在历史成本的基础上编制，除非另有说明。现金流量表采用间接法编制。财务报表根据权责发生制和持续经营编制。</w:t>
      </w:r>
    </w:p>
    <w:p w:rsidR="007A5789" w:rsidRDefault="00456815"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IPSAS</w:t>
      </w:r>
      <w:r w:rsidR="008C6F1F" w:rsidRPr="007A5789">
        <w:rPr>
          <w:rFonts w:hint="eastAsia"/>
          <w:sz w:val="21"/>
        </w:rPr>
        <w:t>准则</w:t>
      </w:r>
      <w:r w:rsidRPr="007A5789">
        <w:rPr>
          <w:sz w:val="21"/>
        </w:rPr>
        <w:t>34、35、36、37及38在2015年采用，</w:t>
      </w:r>
      <w:r w:rsidR="007F2679" w:rsidRPr="007A5789">
        <w:rPr>
          <w:rFonts w:hint="eastAsia"/>
          <w:sz w:val="21"/>
        </w:rPr>
        <w:t>早于</w:t>
      </w:r>
      <w:r w:rsidRPr="007A5789">
        <w:rPr>
          <w:sz w:val="21"/>
        </w:rPr>
        <w:t>规定的实施日期。这些标准没有对本组织的财务报表产生影响。</w:t>
      </w:r>
    </w:p>
    <w:p w:rsidR="007A5789" w:rsidRDefault="007D5376"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2016年1月，IPSAS委员会发布了</w:t>
      </w:r>
      <w:r w:rsidR="007F2679" w:rsidRPr="007A5789">
        <w:rPr>
          <w:rFonts w:hint="eastAsia"/>
          <w:sz w:val="21"/>
        </w:rPr>
        <w:t>《</w:t>
      </w:r>
      <w:r w:rsidRPr="007A5789">
        <w:rPr>
          <w:sz w:val="21"/>
        </w:rPr>
        <w:t>征求意见稿59</w:t>
      </w:r>
      <w:r w:rsidR="00316F63">
        <w:rPr>
          <w:rFonts w:hint="eastAsia"/>
          <w:sz w:val="21"/>
        </w:rPr>
        <w:t>：</w:t>
      </w:r>
      <w:r w:rsidRPr="007A5789">
        <w:rPr>
          <w:sz w:val="21"/>
        </w:rPr>
        <w:t>IPSAS 25</w:t>
      </w:r>
      <w:r w:rsidR="0069659C">
        <w:rPr>
          <w:rFonts w:hint="eastAsia"/>
          <w:sz w:val="21"/>
        </w:rPr>
        <w:t>〈</w:t>
      </w:r>
      <w:r w:rsidR="00316F63" w:rsidRPr="007A5789">
        <w:rPr>
          <w:sz w:val="21"/>
        </w:rPr>
        <w:t>员工福利</w:t>
      </w:r>
      <w:r w:rsidR="0069659C">
        <w:rPr>
          <w:rFonts w:hint="eastAsia"/>
          <w:sz w:val="21"/>
        </w:rPr>
        <w:t>〉</w:t>
      </w:r>
      <w:r w:rsidRPr="007A5789">
        <w:rPr>
          <w:sz w:val="21"/>
        </w:rPr>
        <w:t>修订</w:t>
      </w:r>
      <w:r w:rsidR="00FD644E" w:rsidRPr="007A5789">
        <w:rPr>
          <w:sz w:val="21"/>
        </w:rPr>
        <w:t>稿</w:t>
      </w:r>
      <w:r w:rsidR="00FD644E" w:rsidRPr="007A5789">
        <w:rPr>
          <w:rFonts w:hint="eastAsia"/>
          <w:sz w:val="21"/>
        </w:rPr>
        <w:t>》</w:t>
      </w:r>
      <w:r w:rsidRPr="007A5789">
        <w:rPr>
          <w:sz w:val="21"/>
        </w:rPr>
        <w:t>。征求意见</w:t>
      </w:r>
      <w:proofErr w:type="gramStart"/>
      <w:r w:rsidRPr="007A5789">
        <w:rPr>
          <w:sz w:val="21"/>
        </w:rPr>
        <w:t>稿推出</w:t>
      </w:r>
      <w:proofErr w:type="gramEnd"/>
      <w:r w:rsidRPr="007A5789">
        <w:rPr>
          <w:sz w:val="21"/>
        </w:rPr>
        <w:t>修订IPSAS 25，包括取消确认精算损益的居间法。WIPO目前对</w:t>
      </w:r>
      <w:r w:rsidR="00F829D9" w:rsidRPr="007A5789">
        <w:rPr>
          <w:sz w:val="21"/>
        </w:rPr>
        <w:t>离职后健康保健</w:t>
      </w:r>
      <w:r w:rsidR="00B6014B">
        <w:rPr>
          <w:rFonts w:hint="eastAsia"/>
          <w:sz w:val="21"/>
        </w:rPr>
        <w:t>（</w:t>
      </w:r>
      <w:r w:rsidRPr="007A5789">
        <w:rPr>
          <w:sz w:val="21"/>
        </w:rPr>
        <w:t>ASHI</w:t>
      </w:r>
      <w:r w:rsidR="00B6014B">
        <w:rPr>
          <w:rFonts w:hint="eastAsia"/>
          <w:sz w:val="21"/>
        </w:rPr>
        <w:t>）</w:t>
      </w:r>
      <w:r w:rsidRPr="007A5789">
        <w:rPr>
          <w:sz w:val="21"/>
        </w:rPr>
        <w:t>负债采用居间法。若被批准，取消居间法将可能对WIPO的财务报表造成影响，因为其将要求记入目前不记入的精算损失</w:t>
      </w:r>
      <w:r w:rsidR="00B6014B">
        <w:rPr>
          <w:sz w:val="21"/>
        </w:rPr>
        <w:t>（</w:t>
      </w:r>
      <w:r w:rsidRPr="007A5789">
        <w:rPr>
          <w:sz w:val="21"/>
        </w:rPr>
        <w:t>见附注12</w:t>
      </w:r>
      <w:r w:rsidR="00B6014B">
        <w:rPr>
          <w:sz w:val="21"/>
        </w:rPr>
        <w:t>）</w:t>
      </w:r>
      <w:r w:rsidRPr="007A5789">
        <w:rPr>
          <w:sz w:val="21"/>
        </w:rPr>
        <w:t>。</w:t>
      </w:r>
    </w:p>
    <w:p w:rsidR="007A5789" w:rsidRPr="001E1DEA" w:rsidRDefault="00281939" w:rsidP="001E1DEA">
      <w:pPr>
        <w:pStyle w:val="Style3Bold"/>
        <w:keepNext/>
        <w:spacing w:beforeLines="100" w:before="240" w:afterLines="50" w:line="340" w:lineRule="atLeast"/>
        <w:rPr>
          <w:sz w:val="21"/>
        </w:rPr>
      </w:pPr>
      <w:r w:rsidRPr="001E1DEA">
        <w:rPr>
          <w:sz w:val="21"/>
        </w:rPr>
        <w:t>现金和现金等价物</w:t>
      </w:r>
    </w:p>
    <w:p w:rsid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现金和现金等价物包括库存现金、银行通知存款、不超过90天的存款及其他可随时变现且价值变动风险不大的短期高流动性投资。</w:t>
      </w:r>
    </w:p>
    <w:p w:rsidR="007A5789" w:rsidRPr="001E1DEA" w:rsidRDefault="00915477" w:rsidP="001E1DEA">
      <w:pPr>
        <w:pStyle w:val="Style3Bold"/>
        <w:keepNext/>
        <w:spacing w:beforeLines="100" w:before="240" w:afterLines="50" w:line="340" w:lineRule="atLeast"/>
        <w:rPr>
          <w:sz w:val="21"/>
        </w:rPr>
      </w:pPr>
      <w:r w:rsidRPr="001E1DEA">
        <w:rPr>
          <w:sz w:val="21"/>
        </w:rPr>
        <w:t>借款成本</w:t>
      </w:r>
    </w:p>
    <w:p w:rsidR="007A5789" w:rsidRDefault="00915477"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直接因收购、建设或生产符合条件资产而引起的一般及具体借款成本在资产为预期用途做好充分准备之前被加入到这些资产的成本中。这些资产为预期用途做好准备有必要耗费较长时间。与建设新楼</w:t>
      </w:r>
      <w:r w:rsidR="00B6014B">
        <w:rPr>
          <w:sz w:val="21"/>
        </w:rPr>
        <w:t>（</w:t>
      </w:r>
      <w:r w:rsidRPr="007A5789">
        <w:rPr>
          <w:sz w:val="21"/>
        </w:rPr>
        <w:t>利息和费用</w:t>
      </w:r>
      <w:r w:rsidR="00B6014B">
        <w:rPr>
          <w:sz w:val="21"/>
        </w:rPr>
        <w:t>）</w:t>
      </w:r>
      <w:r w:rsidRPr="007A5789">
        <w:rPr>
          <w:sz w:val="21"/>
        </w:rPr>
        <w:t>及新会议厅</w:t>
      </w:r>
      <w:r w:rsidR="00B6014B">
        <w:rPr>
          <w:sz w:val="21"/>
        </w:rPr>
        <w:t>（</w:t>
      </w:r>
      <w:r w:rsidRPr="007A5789">
        <w:rPr>
          <w:sz w:val="21"/>
        </w:rPr>
        <w:t>未动用贷款金额手续费</w:t>
      </w:r>
      <w:r w:rsidR="00B6014B">
        <w:rPr>
          <w:sz w:val="21"/>
        </w:rPr>
        <w:t>）</w:t>
      </w:r>
      <w:r w:rsidRPr="007A5789">
        <w:rPr>
          <w:sz w:val="21"/>
        </w:rPr>
        <w:t>有关的借款成本已经作为各施工阶段的在建项目转化为资本</w:t>
      </w:r>
      <w:r w:rsidR="00B6014B">
        <w:rPr>
          <w:sz w:val="21"/>
        </w:rPr>
        <w:t>（</w:t>
      </w:r>
      <w:r w:rsidRPr="007A5789">
        <w:rPr>
          <w:sz w:val="21"/>
        </w:rPr>
        <w:t>见附注9</w:t>
      </w:r>
      <w:r w:rsidR="00B6014B">
        <w:rPr>
          <w:sz w:val="21"/>
        </w:rPr>
        <w:t>）</w:t>
      </w:r>
      <w:r w:rsidRPr="007A5789">
        <w:rPr>
          <w:sz w:val="21"/>
        </w:rPr>
        <w:t>。从世界气象组织收购PCT楼所在地土地权</w:t>
      </w:r>
      <w:r w:rsidR="00B6014B">
        <w:rPr>
          <w:sz w:val="21"/>
        </w:rPr>
        <w:t>（</w:t>
      </w:r>
      <w:r w:rsidRPr="007A5789">
        <w:rPr>
          <w:sz w:val="21"/>
        </w:rPr>
        <w:t>droits de superficie</w:t>
      </w:r>
      <w:r w:rsidR="00B6014B">
        <w:rPr>
          <w:sz w:val="21"/>
        </w:rPr>
        <w:t>）</w:t>
      </w:r>
      <w:r w:rsidRPr="007A5789">
        <w:rPr>
          <w:sz w:val="21"/>
        </w:rPr>
        <w:t>有关的借款成本</w:t>
      </w:r>
      <w:r w:rsidR="00B6014B">
        <w:rPr>
          <w:sz w:val="21"/>
        </w:rPr>
        <w:t>（</w:t>
      </w:r>
      <w:r w:rsidRPr="007A5789">
        <w:rPr>
          <w:sz w:val="21"/>
        </w:rPr>
        <w:t>利息和费用</w:t>
      </w:r>
      <w:r w:rsidR="00B6014B">
        <w:rPr>
          <w:sz w:val="21"/>
        </w:rPr>
        <w:t>）</w:t>
      </w:r>
      <w:r w:rsidRPr="007A5789">
        <w:rPr>
          <w:sz w:val="21"/>
        </w:rPr>
        <w:t>作为资产价值的一部分计入了资本</w:t>
      </w:r>
      <w:r w:rsidR="00B6014B">
        <w:rPr>
          <w:sz w:val="21"/>
        </w:rPr>
        <w:t>（</w:t>
      </w:r>
      <w:r w:rsidRPr="007A5789">
        <w:rPr>
          <w:sz w:val="21"/>
        </w:rPr>
        <w:t>见附注8</w:t>
      </w:r>
      <w:r w:rsidR="00B6014B">
        <w:rPr>
          <w:sz w:val="21"/>
        </w:rPr>
        <w:t>）</w:t>
      </w:r>
      <w:r w:rsidRPr="007A5789">
        <w:rPr>
          <w:sz w:val="21"/>
        </w:rPr>
        <w:t>。</w:t>
      </w:r>
    </w:p>
    <w:p w:rsidR="007A5789" w:rsidRDefault="00DD3CD9"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所有其他借款成本在产生时期的财务执行情况表中被确认为支出。</w:t>
      </w:r>
    </w:p>
    <w:p w:rsidR="007A5789" w:rsidRPr="001E1DEA" w:rsidRDefault="0091737F" w:rsidP="001E1DEA">
      <w:pPr>
        <w:pStyle w:val="Style3Bold"/>
        <w:keepNext/>
        <w:spacing w:beforeLines="100" w:before="240" w:afterLines="50" w:line="340" w:lineRule="atLeast"/>
        <w:rPr>
          <w:sz w:val="21"/>
        </w:rPr>
      </w:pPr>
      <w:r w:rsidRPr="001E1DEA">
        <w:rPr>
          <w:sz w:val="21"/>
        </w:rPr>
        <w:t>外汇交易</w:t>
      </w:r>
    </w:p>
    <w:p w:rsidR="007A5789" w:rsidRDefault="0091737F"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WIPO的功能货币是瑞郎。以其他货币进行的所有交易根据交易当天的联合国业务汇率</w:t>
      </w:r>
      <w:r w:rsidR="00B6014B">
        <w:rPr>
          <w:sz w:val="21"/>
        </w:rPr>
        <w:t>（</w:t>
      </w:r>
      <w:r w:rsidRPr="007A5789">
        <w:rPr>
          <w:sz w:val="21"/>
        </w:rPr>
        <w:t>UNORE</w:t>
      </w:r>
      <w:r w:rsidR="00B6014B">
        <w:rPr>
          <w:sz w:val="21"/>
        </w:rPr>
        <w:t>）</w:t>
      </w:r>
      <w:r w:rsidRPr="007A5789">
        <w:rPr>
          <w:sz w:val="21"/>
        </w:rPr>
        <w:t>兑换成瑞士法郎。在报告</w:t>
      </w:r>
      <w:proofErr w:type="gramStart"/>
      <w:r w:rsidRPr="007A5789">
        <w:rPr>
          <w:sz w:val="21"/>
        </w:rPr>
        <w:t>日因此种交易和因重新</w:t>
      </w:r>
      <w:proofErr w:type="gramEnd"/>
      <w:r w:rsidRPr="007A5789">
        <w:rPr>
          <w:sz w:val="21"/>
        </w:rPr>
        <w:t>对以WIPO功能货币之外的货币计价的资产与负债进行换算而产生的已变现及未变现的收益和亏损在财务执行情况表中确认。</w:t>
      </w:r>
    </w:p>
    <w:p w:rsidR="007A5789" w:rsidRPr="001E1DEA" w:rsidRDefault="00915477" w:rsidP="001E1DEA">
      <w:pPr>
        <w:pStyle w:val="Style3Bold"/>
        <w:keepNext/>
        <w:spacing w:beforeLines="100" w:before="240" w:afterLines="50" w:line="340" w:lineRule="atLeast"/>
        <w:rPr>
          <w:sz w:val="21"/>
        </w:rPr>
      </w:pPr>
      <w:r w:rsidRPr="001E1DEA">
        <w:rPr>
          <w:sz w:val="21"/>
        </w:rPr>
        <w:t>收入确认</w:t>
      </w:r>
    </w:p>
    <w:p w:rsidR="007A5789" w:rsidRDefault="00915477"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由在PCT、马德里及海牙体系下申请</w:t>
      </w:r>
      <w:proofErr w:type="gramStart"/>
      <w:r w:rsidRPr="007A5789">
        <w:rPr>
          <w:sz w:val="21"/>
        </w:rPr>
        <w:t>规</w:t>
      </w:r>
      <w:proofErr w:type="gramEnd"/>
      <w:r w:rsidRPr="007A5789">
        <w:rPr>
          <w:sz w:val="21"/>
        </w:rPr>
        <w:t>费构成的外汇交易收入在公布之日入账。在报告日已收到申请</w:t>
      </w:r>
      <w:proofErr w:type="gramStart"/>
      <w:r w:rsidRPr="007A5789">
        <w:rPr>
          <w:sz w:val="21"/>
        </w:rPr>
        <w:t>规</w:t>
      </w:r>
      <w:proofErr w:type="gramEnd"/>
      <w:r w:rsidRPr="007A5789">
        <w:rPr>
          <w:sz w:val="21"/>
        </w:rPr>
        <w:t>费但申请未公布的，该收入要递延到公布完成之时才入账。公布之后收到的用于非英文</w:t>
      </w:r>
      <w:proofErr w:type="gramStart"/>
      <w:r w:rsidRPr="007A5789">
        <w:rPr>
          <w:sz w:val="21"/>
        </w:rPr>
        <w:t>可专利</w:t>
      </w:r>
      <w:proofErr w:type="gramEnd"/>
      <w:r w:rsidRPr="007A5789">
        <w:rPr>
          <w:sz w:val="21"/>
        </w:rPr>
        <w:t>性报告的翻译部分的PCT申请</w:t>
      </w:r>
      <w:proofErr w:type="gramStart"/>
      <w:r w:rsidRPr="007A5789">
        <w:rPr>
          <w:sz w:val="21"/>
        </w:rPr>
        <w:t>规</w:t>
      </w:r>
      <w:proofErr w:type="gramEnd"/>
      <w:r w:rsidRPr="007A5789">
        <w:rPr>
          <w:sz w:val="21"/>
        </w:rPr>
        <w:t>费也推迟到翻译完成之时入账。PCT、马德里及海牙体系下的所有其他</w:t>
      </w:r>
      <w:proofErr w:type="gramStart"/>
      <w:r w:rsidRPr="007A5789">
        <w:rPr>
          <w:sz w:val="21"/>
        </w:rPr>
        <w:t>规</w:t>
      </w:r>
      <w:proofErr w:type="gramEnd"/>
      <w:r w:rsidRPr="007A5789">
        <w:rPr>
          <w:sz w:val="21"/>
        </w:rPr>
        <w:t>费在提供收费服务后入账。出版物和仲裁与调解服务收入在货物或服务完全交付时入账。</w:t>
      </w:r>
    </w:p>
    <w:p w:rsidR="007A5789" w:rsidRDefault="00915477"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lastRenderedPageBreak/>
        <w:t>非外汇交易收入，例如可实施协议支持下的特别账户自愿捐款，在协议产生约束力时作为收入入账，除非协议中包含强制执行或未支余额归还的相关条件。这种协议需要推迟收入确认负债的初步认可，然后收入才能入账，因为负债是通过执行协议内的具体条件来解除的。</w:t>
      </w:r>
    </w:p>
    <w:p w:rsidR="007A5789" w:rsidRDefault="00915477"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分摊会费被作为分摊相关预算期期</w:t>
      </w:r>
      <w:proofErr w:type="gramStart"/>
      <w:r w:rsidRPr="007A5789">
        <w:rPr>
          <w:sz w:val="21"/>
        </w:rPr>
        <w:t>初收入</w:t>
      </w:r>
      <w:proofErr w:type="gramEnd"/>
      <w:r w:rsidRPr="007A5789">
        <w:rPr>
          <w:sz w:val="21"/>
        </w:rPr>
        <w:t>入账。</w:t>
      </w:r>
    </w:p>
    <w:p w:rsidR="007A5789" w:rsidRPr="001E1DEA" w:rsidRDefault="00915477" w:rsidP="001E1DEA">
      <w:pPr>
        <w:pStyle w:val="Style3Bold"/>
        <w:keepNext/>
        <w:spacing w:beforeLines="100" w:before="240" w:afterLines="50" w:line="340" w:lineRule="atLeast"/>
        <w:rPr>
          <w:sz w:val="21"/>
        </w:rPr>
      </w:pPr>
      <w:r w:rsidRPr="001E1DEA">
        <w:rPr>
          <w:sz w:val="21"/>
        </w:rPr>
        <w:t>费用确认</w:t>
      </w:r>
    </w:p>
    <w:p w:rsidR="007A5789" w:rsidRDefault="00915477"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货物收到和服务交付时，即可记为费用已支出。</w:t>
      </w:r>
    </w:p>
    <w:p w:rsidR="007A5789" w:rsidRPr="001E1DEA" w:rsidRDefault="0091737F" w:rsidP="001E1DEA">
      <w:pPr>
        <w:pStyle w:val="Style3Bold"/>
        <w:keepNext/>
        <w:spacing w:beforeLines="100" w:before="240" w:afterLines="50" w:line="340" w:lineRule="atLeast"/>
        <w:rPr>
          <w:sz w:val="21"/>
        </w:rPr>
      </w:pPr>
      <w:r w:rsidRPr="001E1DEA">
        <w:rPr>
          <w:sz w:val="21"/>
        </w:rPr>
        <w:t>应收</w:t>
      </w:r>
      <w:r w:rsidR="00A23161" w:rsidRPr="001E1DEA">
        <w:rPr>
          <w:rFonts w:hint="eastAsia"/>
          <w:sz w:val="21"/>
        </w:rPr>
        <w:t>账</w:t>
      </w:r>
      <w:r w:rsidRPr="001E1DEA">
        <w:rPr>
          <w:sz w:val="21"/>
        </w:rPr>
        <w:t>款</w:t>
      </w:r>
    </w:p>
    <w:p w:rsidR="007A5789" w:rsidRDefault="0091737F"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外汇交易应收账款包括对通过PCT、马德里及海牙体系使用WIPO知识产权服务的用户收取的费用。这些费用以在国际申请提交后应收PCT、马德里及海牙体系</w:t>
      </w:r>
      <w:proofErr w:type="gramStart"/>
      <w:r w:rsidRPr="007A5789">
        <w:rPr>
          <w:sz w:val="21"/>
        </w:rPr>
        <w:t>规</w:t>
      </w:r>
      <w:proofErr w:type="gramEnd"/>
      <w:r w:rsidRPr="007A5789">
        <w:rPr>
          <w:sz w:val="21"/>
        </w:rPr>
        <w:t>费的公允价值进行计量。</w:t>
      </w:r>
    </w:p>
    <w:p w:rsidR="007A5789" w:rsidRDefault="003A11FB"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非外汇交易应收账款包括未收分摊会费。这些费用以应付账款的公允价值计量。大会采取行动冻结的分摊会费加上按照《世界知识产权组织公约》第11条的规定已丧失表决权的成员国的应缴会费总额，设立不可收回应收</w:t>
      </w:r>
      <w:proofErr w:type="gramStart"/>
      <w:r w:rsidRPr="007A5789">
        <w:rPr>
          <w:sz w:val="21"/>
        </w:rPr>
        <w:t>账款备抵金</w:t>
      </w:r>
      <w:proofErr w:type="gramEnd"/>
      <w:r w:rsidRPr="007A5789">
        <w:rPr>
          <w:sz w:val="21"/>
        </w:rPr>
        <w:t>。</w:t>
      </w:r>
    </w:p>
    <w:p w:rsidR="007A5789" w:rsidRPr="001E1DEA" w:rsidRDefault="001F563B" w:rsidP="001E1DEA">
      <w:pPr>
        <w:pStyle w:val="Style3Bold"/>
        <w:keepNext/>
        <w:spacing w:beforeLines="100" w:before="240" w:afterLines="50" w:line="340" w:lineRule="atLeast"/>
        <w:rPr>
          <w:sz w:val="21"/>
        </w:rPr>
      </w:pPr>
      <w:r w:rsidRPr="007A5789">
        <w:rPr>
          <w:sz w:val="21"/>
        </w:rPr>
        <w:t>库</w:t>
      </w:r>
      <w:r w:rsidR="00316F63">
        <w:rPr>
          <w:rFonts w:hint="eastAsia"/>
          <w:sz w:val="21"/>
        </w:rPr>
        <w:t xml:space="preserve">　</w:t>
      </w:r>
      <w:r w:rsidRPr="007A5789">
        <w:rPr>
          <w:sz w:val="21"/>
        </w:rPr>
        <w:t>存</w:t>
      </w:r>
    </w:p>
    <w:p w:rsidR="007A5789" w:rsidRDefault="001F563B"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库存包括用于销售的出版物和免费发行的出版物的价值、用于生产出版物的用品和材料的价值以及零售店商品的价值。出版物的总价值根据每页出版物的平均费用</w:t>
      </w:r>
      <w:r w:rsidR="00B6014B">
        <w:rPr>
          <w:sz w:val="21"/>
        </w:rPr>
        <w:t>（</w:t>
      </w:r>
      <w:r w:rsidRPr="007A5789">
        <w:rPr>
          <w:sz w:val="21"/>
        </w:rPr>
        <w:t>除销售和发行费用以外</w:t>
      </w:r>
      <w:r w:rsidR="00B6014B">
        <w:rPr>
          <w:sz w:val="21"/>
        </w:rPr>
        <w:t>）</w:t>
      </w:r>
      <w:r w:rsidRPr="007A5789">
        <w:rPr>
          <w:sz w:val="21"/>
        </w:rPr>
        <w:t>乘以出版物库存的出版物页数来计算，经调整来反映成本的降低</w:t>
      </w:r>
      <w:proofErr w:type="gramStart"/>
      <w:r w:rsidRPr="007A5789">
        <w:rPr>
          <w:sz w:val="21"/>
        </w:rPr>
        <w:t>或净变现价</w:t>
      </w:r>
      <w:proofErr w:type="gramEnd"/>
      <w:r w:rsidRPr="007A5789">
        <w:rPr>
          <w:sz w:val="21"/>
        </w:rPr>
        <w:t>值。撤出销售或免费发行的出版物的价值在出版物过时</w:t>
      </w:r>
      <w:r w:rsidR="00C558E8" w:rsidRPr="007A5789">
        <w:rPr>
          <w:rFonts w:hint="eastAsia"/>
          <w:sz w:val="21"/>
        </w:rPr>
        <w:t>的</w:t>
      </w:r>
      <w:r w:rsidRPr="007A5789">
        <w:rPr>
          <w:sz w:val="21"/>
        </w:rPr>
        <w:t>当年注销。</w:t>
      </w:r>
    </w:p>
    <w:p w:rsidR="007A5789" w:rsidRDefault="001F563B"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每年的实际库存由所有库存出版物供应存货和零售店待售物品来确定。永续库存由待售出版物来确定，而当年通过抽样实际盘点来核对库存余额。每年年底从待售出版物或免费发行的出版物目录中清除物品，与可以预料不再免费发行或可能销售的物品一道从库存中注销，这些物品的价值计账为零。</w:t>
      </w:r>
    </w:p>
    <w:p w:rsidR="007A5789" w:rsidRDefault="001F563B"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用于生产过程中的纸张和其他用品的成本价值采用先入先出法</w:t>
      </w:r>
      <w:r w:rsidR="00B6014B">
        <w:rPr>
          <w:sz w:val="21"/>
        </w:rPr>
        <w:t>（</w:t>
      </w:r>
      <w:r w:rsidRPr="007A5789">
        <w:rPr>
          <w:sz w:val="21"/>
        </w:rPr>
        <w:t>FIFO</w:t>
      </w:r>
      <w:r w:rsidR="00B6014B">
        <w:rPr>
          <w:sz w:val="21"/>
        </w:rPr>
        <w:t>）</w:t>
      </w:r>
      <w:r w:rsidRPr="007A5789">
        <w:rPr>
          <w:sz w:val="21"/>
        </w:rPr>
        <w:t>计账。零售店持有的物品价值按本组织的成本计算。库存如果有损失或已陈旧则相应调低价值以反映</w:t>
      </w:r>
      <w:proofErr w:type="gramStart"/>
      <w:r w:rsidRPr="007A5789">
        <w:rPr>
          <w:sz w:val="21"/>
        </w:rPr>
        <w:t>其净变现价</w:t>
      </w:r>
      <w:proofErr w:type="gramEnd"/>
      <w:r w:rsidRPr="007A5789">
        <w:rPr>
          <w:sz w:val="21"/>
        </w:rPr>
        <w:t>值。库存没有用作负债抵押。</w:t>
      </w:r>
    </w:p>
    <w:p w:rsidR="007A5789" w:rsidRPr="001E1DEA" w:rsidRDefault="003A11FB" w:rsidP="001E1DEA">
      <w:pPr>
        <w:pStyle w:val="Style3Bold"/>
        <w:keepNext/>
        <w:spacing w:beforeLines="100" w:before="240" w:afterLines="50" w:line="340" w:lineRule="atLeast"/>
        <w:rPr>
          <w:sz w:val="21"/>
        </w:rPr>
      </w:pPr>
      <w:r w:rsidRPr="001E1DEA">
        <w:rPr>
          <w:sz w:val="21"/>
        </w:rPr>
        <w:t>设</w:t>
      </w:r>
      <w:r w:rsidR="00316F63">
        <w:rPr>
          <w:rFonts w:hint="eastAsia"/>
          <w:sz w:val="21"/>
        </w:rPr>
        <w:t xml:space="preserve">　</w:t>
      </w:r>
      <w:r w:rsidRPr="001E1DEA">
        <w:rPr>
          <w:sz w:val="21"/>
        </w:rPr>
        <w:t>备</w:t>
      </w:r>
    </w:p>
    <w:p w:rsidR="007A5789" w:rsidRDefault="003A11FB"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设备按成本减累计折旧和损耗计账。如设备单位价值为5,000瑞郎或以上，则被确认为一项资产。通过实收款项与资产账面金额进行比较来确定出售资产带来的盈余和亏损，并纳入财务执行情况报表。包括捐赠的艺术作品在内的遗产资产不在财务报表中计账。</w:t>
      </w:r>
    </w:p>
    <w:p w:rsidR="00A72FF4" w:rsidRPr="007A5789" w:rsidRDefault="00A72FF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为了冲销设备的完全成本，按照估计使用年限，使用直线法来计算折旧。如设备仅用于当年部分时间</w:t>
      </w:r>
      <w:r w:rsidR="00B6014B">
        <w:rPr>
          <w:sz w:val="21"/>
        </w:rPr>
        <w:t>（</w:t>
      </w:r>
      <w:r w:rsidRPr="007A5789">
        <w:rPr>
          <w:sz w:val="21"/>
        </w:rPr>
        <w:t>由于当年的收购、处置或报废</w:t>
      </w:r>
      <w:r w:rsidR="00B6014B">
        <w:rPr>
          <w:sz w:val="21"/>
        </w:rPr>
        <w:t>）</w:t>
      </w:r>
      <w:r w:rsidRPr="007A5789">
        <w:rPr>
          <w:sz w:val="21"/>
        </w:rPr>
        <w:t>，则只针对固定资产所使用的月份来计算折旧。以下使用寿命范围适用于不同类别的设备：</w:t>
      </w:r>
    </w:p>
    <w:tbl>
      <w:tblPr>
        <w:tblW w:w="7596" w:type="dxa"/>
        <w:jc w:val="center"/>
        <w:tblLook w:val="0000" w:firstRow="0" w:lastRow="0" w:firstColumn="0" w:lastColumn="0" w:noHBand="0" w:noVBand="0"/>
      </w:tblPr>
      <w:tblGrid>
        <w:gridCol w:w="4867"/>
        <w:gridCol w:w="2729"/>
      </w:tblGrid>
      <w:tr w:rsidR="00A72FF4" w:rsidRPr="00AC4C1F" w:rsidTr="002767E2">
        <w:trPr>
          <w:trHeight w:val="345"/>
          <w:jc w:val="center"/>
        </w:trPr>
        <w:tc>
          <w:tcPr>
            <w:tcW w:w="4867" w:type="dxa"/>
            <w:tcBorders>
              <w:top w:val="single" w:sz="4" w:space="0" w:color="auto"/>
              <w:left w:val="nil"/>
              <w:bottom w:val="single" w:sz="4" w:space="0" w:color="auto"/>
              <w:right w:val="nil"/>
            </w:tcBorders>
            <w:shd w:val="clear" w:color="auto" w:fill="F2F2F2"/>
            <w:noWrap/>
            <w:vAlign w:val="center"/>
          </w:tcPr>
          <w:p w:rsidR="00A72FF4" w:rsidRPr="00AC4C1F" w:rsidRDefault="00A72FF4" w:rsidP="00111426">
            <w:pPr>
              <w:jc w:val="left"/>
              <w:rPr>
                <w:b/>
                <w:sz w:val="18"/>
                <w:szCs w:val="18"/>
              </w:rPr>
            </w:pPr>
            <w:r w:rsidRPr="00AC4C1F">
              <w:rPr>
                <w:b/>
                <w:sz w:val="18"/>
              </w:rPr>
              <w:t>分类</w:t>
            </w:r>
          </w:p>
        </w:tc>
        <w:tc>
          <w:tcPr>
            <w:tcW w:w="2729" w:type="dxa"/>
            <w:tcBorders>
              <w:top w:val="single" w:sz="4" w:space="0" w:color="auto"/>
              <w:left w:val="nil"/>
              <w:bottom w:val="single" w:sz="4" w:space="0" w:color="auto"/>
              <w:right w:val="nil"/>
            </w:tcBorders>
            <w:shd w:val="clear" w:color="auto" w:fill="F2F2F2"/>
            <w:vAlign w:val="center"/>
          </w:tcPr>
          <w:p w:rsidR="00A72FF4" w:rsidRPr="00AC4C1F" w:rsidRDefault="00A72FF4" w:rsidP="00111426">
            <w:pPr>
              <w:jc w:val="right"/>
              <w:rPr>
                <w:b/>
                <w:sz w:val="18"/>
                <w:szCs w:val="18"/>
              </w:rPr>
            </w:pPr>
            <w:r w:rsidRPr="00AC4C1F">
              <w:rPr>
                <w:b/>
                <w:sz w:val="18"/>
              </w:rPr>
              <w:t>预计使用寿命</w:t>
            </w:r>
          </w:p>
        </w:tc>
      </w:tr>
      <w:tr w:rsidR="00A72FF4" w:rsidRPr="00167CE7" w:rsidTr="002767E2">
        <w:trPr>
          <w:trHeight w:val="285"/>
          <w:jc w:val="center"/>
        </w:trPr>
        <w:tc>
          <w:tcPr>
            <w:tcW w:w="4867" w:type="dxa"/>
            <w:tcBorders>
              <w:top w:val="nil"/>
              <w:left w:val="nil"/>
              <w:bottom w:val="nil"/>
              <w:right w:val="nil"/>
            </w:tcBorders>
            <w:shd w:val="clear" w:color="auto" w:fill="auto"/>
            <w:noWrap/>
            <w:vAlign w:val="center"/>
          </w:tcPr>
          <w:p w:rsidR="00A72FF4" w:rsidRPr="00167CE7" w:rsidRDefault="00A72FF4" w:rsidP="00DD608E">
            <w:pPr>
              <w:rPr>
                <w:sz w:val="18"/>
                <w:szCs w:val="18"/>
              </w:rPr>
            </w:pPr>
            <w:r w:rsidRPr="00167CE7">
              <w:rPr>
                <w:sz w:val="18"/>
              </w:rPr>
              <w:t>通信和IT设备</w:t>
            </w:r>
          </w:p>
        </w:tc>
        <w:tc>
          <w:tcPr>
            <w:tcW w:w="2729" w:type="dxa"/>
            <w:tcBorders>
              <w:top w:val="nil"/>
              <w:left w:val="nil"/>
              <w:bottom w:val="nil"/>
              <w:right w:val="nil"/>
            </w:tcBorders>
            <w:shd w:val="clear" w:color="auto" w:fill="auto"/>
            <w:vAlign w:val="center"/>
          </w:tcPr>
          <w:p w:rsidR="00A72FF4" w:rsidRPr="00167CE7" w:rsidRDefault="00A72FF4" w:rsidP="00DD608E">
            <w:pPr>
              <w:jc w:val="right"/>
              <w:rPr>
                <w:sz w:val="18"/>
                <w:szCs w:val="18"/>
              </w:rPr>
            </w:pPr>
            <w:r w:rsidRPr="00167CE7">
              <w:rPr>
                <w:sz w:val="18"/>
              </w:rPr>
              <w:t>5年</w:t>
            </w:r>
          </w:p>
        </w:tc>
      </w:tr>
      <w:tr w:rsidR="00A72FF4" w:rsidRPr="00167CE7" w:rsidTr="002767E2">
        <w:trPr>
          <w:trHeight w:val="285"/>
          <w:jc w:val="center"/>
        </w:trPr>
        <w:tc>
          <w:tcPr>
            <w:tcW w:w="4867" w:type="dxa"/>
            <w:tcBorders>
              <w:top w:val="nil"/>
              <w:left w:val="nil"/>
              <w:bottom w:val="nil"/>
              <w:right w:val="nil"/>
            </w:tcBorders>
            <w:shd w:val="clear" w:color="auto" w:fill="auto"/>
            <w:noWrap/>
            <w:vAlign w:val="center"/>
          </w:tcPr>
          <w:p w:rsidR="00A72FF4" w:rsidRPr="00167CE7" w:rsidRDefault="00A72FF4" w:rsidP="00DD608E">
            <w:pPr>
              <w:rPr>
                <w:sz w:val="18"/>
                <w:szCs w:val="18"/>
              </w:rPr>
            </w:pPr>
            <w:r w:rsidRPr="00167CE7">
              <w:rPr>
                <w:sz w:val="18"/>
              </w:rPr>
              <w:t>车辆</w:t>
            </w:r>
          </w:p>
        </w:tc>
        <w:tc>
          <w:tcPr>
            <w:tcW w:w="2729" w:type="dxa"/>
            <w:tcBorders>
              <w:top w:val="nil"/>
              <w:left w:val="nil"/>
              <w:bottom w:val="nil"/>
              <w:right w:val="nil"/>
            </w:tcBorders>
            <w:shd w:val="clear" w:color="auto" w:fill="auto"/>
            <w:vAlign w:val="center"/>
          </w:tcPr>
          <w:p w:rsidR="00A72FF4" w:rsidRPr="00167CE7" w:rsidRDefault="00A72FF4" w:rsidP="00DD608E">
            <w:pPr>
              <w:jc w:val="right"/>
              <w:rPr>
                <w:sz w:val="18"/>
                <w:szCs w:val="18"/>
              </w:rPr>
            </w:pPr>
            <w:r w:rsidRPr="00167CE7">
              <w:rPr>
                <w:sz w:val="18"/>
              </w:rPr>
              <w:t>5年</w:t>
            </w:r>
          </w:p>
        </w:tc>
      </w:tr>
      <w:tr w:rsidR="00A72FF4" w:rsidRPr="00167CE7" w:rsidTr="002767E2">
        <w:trPr>
          <w:trHeight w:val="285"/>
          <w:jc w:val="center"/>
        </w:trPr>
        <w:tc>
          <w:tcPr>
            <w:tcW w:w="4867" w:type="dxa"/>
            <w:tcBorders>
              <w:top w:val="nil"/>
              <w:left w:val="nil"/>
              <w:bottom w:val="nil"/>
              <w:right w:val="nil"/>
            </w:tcBorders>
            <w:shd w:val="clear" w:color="auto" w:fill="auto"/>
            <w:noWrap/>
            <w:vAlign w:val="center"/>
          </w:tcPr>
          <w:p w:rsidR="00A72FF4" w:rsidRPr="00167CE7" w:rsidRDefault="00A72FF4" w:rsidP="00DD608E">
            <w:pPr>
              <w:rPr>
                <w:sz w:val="18"/>
                <w:szCs w:val="18"/>
              </w:rPr>
            </w:pPr>
            <w:r w:rsidRPr="00167CE7">
              <w:rPr>
                <w:sz w:val="18"/>
              </w:rPr>
              <w:t>家具和固定装置</w:t>
            </w:r>
          </w:p>
        </w:tc>
        <w:tc>
          <w:tcPr>
            <w:tcW w:w="2729" w:type="dxa"/>
            <w:tcBorders>
              <w:top w:val="nil"/>
              <w:left w:val="nil"/>
              <w:bottom w:val="nil"/>
              <w:right w:val="nil"/>
            </w:tcBorders>
            <w:shd w:val="clear" w:color="auto" w:fill="auto"/>
            <w:vAlign w:val="center"/>
          </w:tcPr>
          <w:p w:rsidR="00A72FF4" w:rsidRPr="00167CE7" w:rsidRDefault="00A72FF4" w:rsidP="00DD608E">
            <w:pPr>
              <w:jc w:val="right"/>
              <w:rPr>
                <w:sz w:val="18"/>
                <w:szCs w:val="18"/>
              </w:rPr>
            </w:pPr>
            <w:r w:rsidRPr="00167CE7">
              <w:rPr>
                <w:sz w:val="18"/>
              </w:rPr>
              <w:t>10年</w:t>
            </w:r>
          </w:p>
        </w:tc>
      </w:tr>
    </w:tbl>
    <w:p w:rsidR="007A5789" w:rsidRDefault="00A72FF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lastRenderedPageBreak/>
        <w:t>如果偶尔事件或情况变化表明资产账面价值可能无法恢复，应就损耗对设备的账面价值进行审查。如果存在这种情况，应对资产可恢复数额进行评估，以确定损耗的程度。任何损耗均计入财务执行情况表。</w:t>
      </w:r>
    </w:p>
    <w:p w:rsidR="007A5789" w:rsidRPr="001E1DEA" w:rsidRDefault="00A72FF4" w:rsidP="001E1DEA">
      <w:pPr>
        <w:pStyle w:val="Style3Bold"/>
        <w:keepNext/>
        <w:spacing w:beforeLines="100" w:before="240" w:afterLines="50" w:line="340" w:lineRule="atLeast"/>
        <w:rPr>
          <w:sz w:val="21"/>
        </w:rPr>
      </w:pPr>
      <w:r w:rsidRPr="001E1DEA">
        <w:rPr>
          <w:sz w:val="21"/>
        </w:rPr>
        <w:t>投资财产</w:t>
      </w:r>
    </w:p>
    <w:p w:rsidR="007A5789" w:rsidRDefault="00A72FF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投资财产</w:t>
      </w:r>
      <w:r w:rsidR="00C0360F" w:rsidRPr="007A5789">
        <w:rPr>
          <w:rFonts w:hint="eastAsia"/>
          <w:sz w:val="21"/>
        </w:rPr>
        <w:t>以</w:t>
      </w:r>
      <w:r w:rsidRPr="007A5789">
        <w:rPr>
          <w:sz w:val="21"/>
        </w:rPr>
        <w:t>根据国际评估标准经独立评估确定的公允价值</w:t>
      </w:r>
      <w:r w:rsidR="00C0360F" w:rsidRPr="007A5789">
        <w:rPr>
          <w:rFonts w:hint="eastAsia"/>
          <w:sz w:val="21"/>
        </w:rPr>
        <w:t>记账</w:t>
      </w:r>
      <w:r w:rsidRPr="007A5789">
        <w:rPr>
          <w:sz w:val="21"/>
        </w:rPr>
        <w:t>。公允价值变动计入财务执行情况表。</w:t>
      </w:r>
    </w:p>
    <w:p w:rsidR="007A5789" w:rsidRPr="001E1DEA" w:rsidRDefault="00A72FF4" w:rsidP="001E1DEA">
      <w:pPr>
        <w:pStyle w:val="Style3Bold"/>
        <w:keepNext/>
        <w:spacing w:beforeLines="100" w:before="240" w:afterLines="50" w:line="340" w:lineRule="atLeast"/>
        <w:rPr>
          <w:sz w:val="21"/>
        </w:rPr>
      </w:pPr>
      <w:r w:rsidRPr="001E1DEA">
        <w:rPr>
          <w:sz w:val="21"/>
        </w:rPr>
        <w:t>无形资产</w:t>
      </w:r>
    </w:p>
    <w:p w:rsidR="00A72FF4" w:rsidRPr="007A5789" w:rsidRDefault="00A72FF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无形资产以成本减</w:t>
      </w:r>
      <w:r w:rsidR="00C0360F" w:rsidRPr="007A5789">
        <w:rPr>
          <w:rFonts w:hint="eastAsia"/>
          <w:sz w:val="21"/>
        </w:rPr>
        <w:t>去</w:t>
      </w:r>
      <w:r w:rsidRPr="007A5789">
        <w:rPr>
          <w:sz w:val="21"/>
        </w:rPr>
        <w:t>累计摊销和损耗记账。针对所有具有有限寿命的无形资产，使用直线法，以能冲销其使用寿命期间资产的成本或价值的比率计算摊销。主要类别的无形资产的预计使用寿命如下：</w:t>
      </w:r>
    </w:p>
    <w:tbl>
      <w:tblPr>
        <w:tblW w:w="7702" w:type="dxa"/>
        <w:jc w:val="center"/>
        <w:tblLook w:val="0000" w:firstRow="0" w:lastRow="0" w:firstColumn="0" w:lastColumn="0" w:noHBand="0" w:noVBand="0"/>
      </w:tblPr>
      <w:tblGrid>
        <w:gridCol w:w="5172"/>
        <w:gridCol w:w="2530"/>
      </w:tblGrid>
      <w:tr w:rsidR="00A72FF4" w:rsidRPr="00AC4C1F" w:rsidTr="002767E2">
        <w:trPr>
          <w:trHeight w:val="345"/>
          <w:jc w:val="center"/>
        </w:trPr>
        <w:tc>
          <w:tcPr>
            <w:tcW w:w="5172" w:type="dxa"/>
            <w:tcBorders>
              <w:top w:val="single" w:sz="4" w:space="0" w:color="auto"/>
              <w:left w:val="nil"/>
              <w:bottom w:val="single" w:sz="4" w:space="0" w:color="auto"/>
              <w:right w:val="nil"/>
            </w:tcBorders>
            <w:shd w:val="clear" w:color="auto" w:fill="F2F2F2"/>
            <w:noWrap/>
            <w:vAlign w:val="center"/>
          </w:tcPr>
          <w:p w:rsidR="00A72FF4" w:rsidRPr="00AC4C1F" w:rsidRDefault="00A72FF4" w:rsidP="00111426">
            <w:pPr>
              <w:jc w:val="left"/>
              <w:rPr>
                <w:b/>
                <w:sz w:val="18"/>
                <w:szCs w:val="18"/>
              </w:rPr>
            </w:pPr>
            <w:r w:rsidRPr="00AC4C1F">
              <w:rPr>
                <w:b/>
                <w:sz w:val="18"/>
              </w:rPr>
              <w:t>分类</w:t>
            </w:r>
          </w:p>
        </w:tc>
        <w:tc>
          <w:tcPr>
            <w:tcW w:w="2530" w:type="dxa"/>
            <w:tcBorders>
              <w:top w:val="single" w:sz="4" w:space="0" w:color="auto"/>
              <w:left w:val="nil"/>
              <w:bottom w:val="single" w:sz="4" w:space="0" w:color="auto"/>
              <w:right w:val="nil"/>
            </w:tcBorders>
            <w:shd w:val="clear" w:color="auto" w:fill="F2F2F2"/>
            <w:vAlign w:val="center"/>
          </w:tcPr>
          <w:p w:rsidR="00A72FF4" w:rsidRPr="00AC4C1F" w:rsidRDefault="00A72FF4" w:rsidP="00111426">
            <w:pPr>
              <w:jc w:val="right"/>
              <w:rPr>
                <w:b/>
                <w:sz w:val="18"/>
                <w:szCs w:val="18"/>
              </w:rPr>
            </w:pPr>
            <w:r w:rsidRPr="00AC4C1F">
              <w:rPr>
                <w:b/>
                <w:sz w:val="18"/>
              </w:rPr>
              <w:t>预计使用寿命</w:t>
            </w:r>
          </w:p>
        </w:tc>
      </w:tr>
      <w:tr w:rsidR="00A72FF4" w:rsidRPr="007A5789" w:rsidTr="002767E2">
        <w:trPr>
          <w:trHeight w:val="285"/>
          <w:jc w:val="center"/>
        </w:trPr>
        <w:tc>
          <w:tcPr>
            <w:tcW w:w="5172" w:type="dxa"/>
            <w:tcBorders>
              <w:top w:val="nil"/>
              <w:left w:val="nil"/>
              <w:bottom w:val="nil"/>
              <w:right w:val="nil"/>
            </w:tcBorders>
            <w:shd w:val="clear" w:color="auto" w:fill="auto"/>
            <w:noWrap/>
            <w:vAlign w:val="center"/>
          </w:tcPr>
          <w:p w:rsidR="00A72FF4" w:rsidRPr="007A5789" w:rsidRDefault="00A72FF4" w:rsidP="00DD608E">
            <w:pPr>
              <w:rPr>
                <w:sz w:val="18"/>
                <w:szCs w:val="18"/>
              </w:rPr>
            </w:pPr>
            <w:r w:rsidRPr="007A5789">
              <w:rPr>
                <w:sz w:val="18"/>
              </w:rPr>
              <w:t>外部购买的软件</w:t>
            </w:r>
          </w:p>
        </w:tc>
        <w:tc>
          <w:tcPr>
            <w:tcW w:w="2530" w:type="dxa"/>
            <w:tcBorders>
              <w:top w:val="nil"/>
              <w:left w:val="nil"/>
              <w:bottom w:val="nil"/>
              <w:right w:val="nil"/>
            </w:tcBorders>
            <w:shd w:val="clear" w:color="auto" w:fill="auto"/>
            <w:vAlign w:val="center"/>
          </w:tcPr>
          <w:p w:rsidR="00A72FF4" w:rsidRPr="007A5789" w:rsidRDefault="00A72FF4" w:rsidP="00111426">
            <w:pPr>
              <w:jc w:val="right"/>
              <w:rPr>
                <w:sz w:val="18"/>
                <w:szCs w:val="18"/>
              </w:rPr>
            </w:pPr>
            <w:r w:rsidRPr="007A5789">
              <w:rPr>
                <w:sz w:val="18"/>
              </w:rPr>
              <w:t>5年</w:t>
            </w:r>
          </w:p>
        </w:tc>
      </w:tr>
      <w:tr w:rsidR="00A72FF4" w:rsidRPr="007A5789" w:rsidTr="002767E2">
        <w:trPr>
          <w:trHeight w:val="285"/>
          <w:jc w:val="center"/>
        </w:trPr>
        <w:tc>
          <w:tcPr>
            <w:tcW w:w="5172" w:type="dxa"/>
            <w:tcBorders>
              <w:top w:val="nil"/>
              <w:left w:val="nil"/>
              <w:bottom w:val="nil"/>
              <w:right w:val="nil"/>
            </w:tcBorders>
            <w:shd w:val="clear" w:color="auto" w:fill="auto"/>
            <w:noWrap/>
            <w:vAlign w:val="center"/>
          </w:tcPr>
          <w:p w:rsidR="00A72FF4" w:rsidRPr="007A5789" w:rsidRDefault="00A72FF4" w:rsidP="00DD608E">
            <w:pPr>
              <w:rPr>
                <w:sz w:val="18"/>
                <w:szCs w:val="18"/>
              </w:rPr>
            </w:pPr>
            <w:r w:rsidRPr="007A5789">
              <w:rPr>
                <w:sz w:val="18"/>
              </w:rPr>
              <w:t>内部开发的软件</w:t>
            </w:r>
          </w:p>
        </w:tc>
        <w:tc>
          <w:tcPr>
            <w:tcW w:w="2530" w:type="dxa"/>
            <w:tcBorders>
              <w:top w:val="nil"/>
              <w:left w:val="nil"/>
              <w:bottom w:val="nil"/>
              <w:right w:val="nil"/>
            </w:tcBorders>
            <w:shd w:val="clear" w:color="auto" w:fill="auto"/>
            <w:vAlign w:val="center"/>
          </w:tcPr>
          <w:p w:rsidR="00A72FF4" w:rsidRPr="007A5789" w:rsidRDefault="00A72FF4" w:rsidP="00111426">
            <w:pPr>
              <w:jc w:val="right"/>
              <w:rPr>
                <w:sz w:val="18"/>
                <w:szCs w:val="18"/>
              </w:rPr>
            </w:pPr>
            <w:r w:rsidRPr="007A5789">
              <w:rPr>
                <w:sz w:val="18"/>
              </w:rPr>
              <w:t>5年</w:t>
            </w:r>
          </w:p>
        </w:tc>
      </w:tr>
      <w:tr w:rsidR="00A72FF4" w:rsidRPr="007A5789" w:rsidTr="002767E2">
        <w:trPr>
          <w:trHeight w:val="285"/>
          <w:jc w:val="center"/>
        </w:trPr>
        <w:tc>
          <w:tcPr>
            <w:tcW w:w="5172" w:type="dxa"/>
            <w:tcBorders>
              <w:top w:val="nil"/>
              <w:left w:val="nil"/>
              <w:bottom w:val="nil"/>
              <w:right w:val="nil"/>
            </w:tcBorders>
            <w:shd w:val="clear" w:color="auto" w:fill="auto"/>
            <w:noWrap/>
            <w:vAlign w:val="center"/>
          </w:tcPr>
          <w:p w:rsidR="00A72FF4" w:rsidRPr="007A5789" w:rsidRDefault="00A72FF4" w:rsidP="00DD608E">
            <w:pPr>
              <w:rPr>
                <w:sz w:val="18"/>
                <w:szCs w:val="18"/>
              </w:rPr>
            </w:pPr>
            <w:r w:rsidRPr="007A5789">
              <w:rPr>
                <w:sz w:val="18"/>
              </w:rPr>
              <w:t>许可证和权利</w:t>
            </w:r>
          </w:p>
        </w:tc>
        <w:tc>
          <w:tcPr>
            <w:tcW w:w="2530" w:type="dxa"/>
            <w:tcBorders>
              <w:top w:val="nil"/>
              <w:left w:val="nil"/>
              <w:bottom w:val="nil"/>
              <w:right w:val="nil"/>
            </w:tcBorders>
            <w:shd w:val="clear" w:color="auto" w:fill="auto"/>
            <w:vAlign w:val="center"/>
          </w:tcPr>
          <w:p w:rsidR="00A72FF4" w:rsidRPr="007A5789" w:rsidRDefault="00A72FF4" w:rsidP="00111426">
            <w:pPr>
              <w:jc w:val="right"/>
              <w:rPr>
                <w:sz w:val="18"/>
                <w:szCs w:val="18"/>
              </w:rPr>
            </w:pPr>
            <w:r w:rsidRPr="007A5789">
              <w:rPr>
                <w:sz w:val="18"/>
              </w:rPr>
              <w:t>许可期/权利期</w:t>
            </w:r>
          </w:p>
        </w:tc>
      </w:tr>
    </w:tbl>
    <w:p w:rsidR="007A5789" w:rsidRDefault="00A72FF4" w:rsidP="00134184">
      <w:pPr>
        <w:pStyle w:val="Style3"/>
        <w:numPr>
          <w:ilvl w:val="0"/>
          <w:numId w:val="11"/>
        </w:numPr>
        <w:tabs>
          <w:tab w:val="left" w:pos="770"/>
        </w:tabs>
        <w:overflowPunct w:val="0"/>
        <w:spacing w:afterLines="50" w:line="340" w:lineRule="atLeast"/>
        <w:ind w:left="0" w:firstLine="0"/>
        <w:rPr>
          <w:sz w:val="21"/>
        </w:rPr>
      </w:pPr>
      <w:r w:rsidRPr="007A5789">
        <w:rPr>
          <w:sz w:val="21"/>
        </w:rPr>
        <w:t>购买的计算机软件许可根据购买或使用特定软件所发生的费用转化为资本。从外部采购的软件或软件许可如每件费用至少5,000瑞郎则记为资产。与WIPO所使用软件的开发直接相关的费用作为无形资产转化为资本。直接费用包括软件程序开发人员费用。内部开发的软件</w:t>
      </w:r>
      <w:proofErr w:type="gramStart"/>
      <w:r w:rsidRPr="007A5789">
        <w:rPr>
          <w:sz w:val="21"/>
        </w:rPr>
        <w:t>如费用</w:t>
      </w:r>
      <w:proofErr w:type="gramEnd"/>
      <w:r w:rsidRPr="007A5789">
        <w:rPr>
          <w:sz w:val="21"/>
        </w:rPr>
        <w:t>至少为100,000瑞郎则记为资产。</w:t>
      </w:r>
    </w:p>
    <w:p w:rsidR="007A5789" w:rsidRDefault="00A72FF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本组织通过购买在日内瓦州内所获得的物业使用权已以历史成本入账，并在授予残存期间分期摊销。无偿获得的日内瓦州授予的物业使用权将于授予年限到期时归还，这种物业使用权没有入</w:t>
      </w:r>
      <w:r w:rsidR="006F192F">
        <w:rPr>
          <w:sz w:val="21"/>
        </w:rPr>
        <w:t>‍</w:t>
      </w:r>
      <w:r w:rsidRPr="007A5789">
        <w:rPr>
          <w:sz w:val="21"/>
        </w:rPr>
        <w:t>账。</w:t>
      </w:r>
    </w:p>
    <w:p w:rsidR="007A5789" w:rsidRPr="001E1DEA" w:rsidRDefault="002767E2" w:rsidP="001E1DEA">
      <w:pPr>
        <w:pStyle w:val="Style3Bold"/>
        <w:keepNext/>
        <w:spacing w:beforeLines="100" w:before="240" w:afterLines="50" w:line="340" w:lineRule="atLeast"/>
        <w:rPr>
          <w:sz w:val="21"/>
        </w:rPr>
      </w:pPr>
      <w:r w:rsidRPr="001E1DEA">
        <w:rPr>
          <w:sz w:val="21"/>
        </w:rPr>
        <w:t>土地和建筑物</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土地附带根据国际评估标准经独立评估确定的公允价值。公允价值变动通过重估值盈余储备金直接记入净资产。</w:t>
      </w:r>
    </w:p>
    <w:p w:rsidR="007A5789" w:rsidRDefault="00182B53" w:rsidP="00134184">
      <w:pPr>
        <w:pStyle w:val="Style3"/>
        <w:numPr>
          <w:ilvl w:val="0"/>
          <w:numId w:val="11"/>
        </w:numPr>
        <w:tabs>
          <w:tab w:val="left" w:pos="770"/>
        </w:tabs>
        <w:overflowPunct w:val="0"/>
        <w:spacing w:afterLines="50" w:line="340" w:lineRule="atLeast"/>
        <w:ind w:left="0" w:firstLine="0"/>
        <w:rPr>
          <w:sz w:val="21"/>
        </w:rPr>
      </w:pPr>
      <w:r w:rsidRPr="007A5789">
        <w:rPr>
          <w:sz w:val="21"/>
        </w:rPr>
        <w:t>使用中的大楼和建筑物的估值为落成时的建设成本加上之后的改建，再减去累计折旧。落成时的价值参照外聘顾问计算的估算成本确定，并表明建筑物每一部分的价值加2010年1月1日</w:t>
      </w:r>
      <w:r w:rsidR="00B6014B">
        <w:rPr>
          <w:sz w:val="21"/>
        </w:rPr>
        <w:t>（</w:t>
      </w:r>
      <w:r w:rsidRPr="007A5789">
        <w:rPr>
          <w:sz w:val="21"/>
        </w:rPr>
        <w:t>转换到IPSAS的日期</w:t>
      </w:r>
      <w:r w:rsidR="00B6014B">
        <w:rPr>
          <w:sz w:val="21"/>
        </w:rPr>
        <w:t>）</w:t>
      </w:r>
      <w:r w:rsidRPr="007A5789">
        <w:rPr>
          <w:sz w:val="21"/>
        </w:rPr>
        <w:t>最初认可日期已有的改进，按照每一部分的残存使用年限减累计折旧。对增长或扩大今后经济收益或服务潜力的大楼和建筑物所进行的重大翻修和改善的后期费用按成本计账。</w:t>
      </w:r>
    </w:p>
    <w:p w:rsidR="002767E2" w:rsidRP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为了冲销大楼和建筑物的完全成本，按照估计使用年限，使用直线法来计算折旧。如大楼和建筑物仅</w:t>
      </w:r>
      <w:r w:rsidR="00E32452" w:rsidRPr="007A5789">
        <w:rPr>
          <w:rFonts w:hint="eastAsia"/>
          <w:sz w:val="21"/>
        </w:rPr>
        <w:t>在</w:t>
      </w:r>
      <w:r w:rsidRPr="007A5789">
        <w:rPr>
          <w:sz w:val="21"/>
        </w:rPr>
        <w:t>当年部分时间</w:t>
      </w:r>
      <w:r w:rsidR="00E32452" w:rsidRPr="007A5789">
        <w:rPr>
          <w:rFonts w:hint="eastAsia"/>
          <w:sz w:val="21"/>
        </w:rPr>
        <w:t>使用</w:t>
      </w:r>
      <w:r w:rsidR="00B6014B">
        <w:rPr>
          <w:sz w:val="21"/>
        </w:rPr>
        <w:t>（</w:t>
      </w:r>
      <w:r w:rsidRPr="007A5789">
        <w:rPr>
          <w:sz w:val="21"/>
        </w:rPr>
        <w:t>由于当年的收购、处置或报废</w:t>
      </w:r>
      <w:r w:rsidR="00B6014B">
        <w:rPr>
          <w:sz w:val="21"/>
        </w:rPr>
        <w:t>）</w:t>
      </w:r>
      <w:r w:rsidRPr="007A5789">
        <w:rPr>
          <w:sz w:val="21"/>
        </w:rPr>
        <w:t>，则只针对固定资产所使用的月份来计算折旧。以下使用寿命范围适用于大楼和建筑物的不同部分：</w:t>
      </w:r>
    </w:p>
    <w:tbl>
      <w:tblPr>
        <w:tblW w:w="7761" w:type="dxa"/>
        <w:jc w:val="center"/>
        <w:tblLook w:val="0000" w:firstRow="0" w:lastRow="0" w:firstColumn="0" w:lastColumn="0" w:noHBand="0" w:noVBand="0"/>
      </w:tblPr>
      <w:tblGrid>
        <w:gridCol w:w="5310"/>
        <w:gridCol w:w="2451"/>
      </w:tblGrid>
      <w:tr w:rsidR="002767E2" w:rsidRPr="007A5789" w:rsidTr="003B35E6">
        <w:trPr>
          <w:trHeight w:val="345"/>
          <w:tblHeader/>
          <w:jc w:val="center"/>
        </w:trPr>
        <w:tc>
          <w:tcPr>
            <w:tcW w:w="5310" w:type="dxa"/>
            <w:tcBorders>
              <w:top w:val="single" w:sz="4" w:space="0" w:color="auto"/>
              <w:left w:val="nil"/>
              <w:bottom w:val="single" w:sz="4" w:space="0" w:color="auto"/>
              <w:right w:val="nil"/>
            </w:tcBorders>
            <w:shd w:val="clear" w:color="auto" w:fill="F2F2F2"/>
            <w:vAlign w:val="center"/>
          </w:tcPr>
          <w:p w:rsidR="002767E2" w:rsidRPr="007A5789" w:rsidRDefault="002767E2" w:rsidP="00111426">
            <w:pPr>
              <w:jc w:val="left"/>
              <w:rPr>
                <w:sz w:val="18"/>
                <w:szCs w:val="18"/>
              </w:rPr>
            </w:pPr>
            <w:r w:rsidRPr="007A5789">
              <w:rPr>
                <w:sz w:val="18"/>
              </w:rPr>
              <w:t>组成部分</w:t>
            </w:r>
          </w:p>
        </w:tc>
        <w:tc>
          <w:tcPr>
            <w:tcW w:w="2451" w:type="dxa"/>
            <w:tcBorders>
              <w:top w:val="single" w:sz="4" w:space="0" w:color="auto"/>
              <w:left w:val="nil"/>
              <w:bottom w:val="single" w:sz="4" w:space="0" w:color="auto"/>
              <w:right w:val="nil"/>
            </w:tcBorders>
            <w:shd w:val="clear" w:color="auto" w:fill="F2F2F2"/>
            <w:vAlign w:val="center"/>
          </w:tcPr>
          <w:p w:rsidR="002767E2" w:rsidRPr="007A5789" w:rsidRDefault="002767E2" w:rsidP="00111426">
            <w:pPr>
              <w:jc w:val="right"/>
              <w:rPr>
                <w:sz w:val="18"/>
                <w:szCs w:val="18"/>
              </w:rPr>
            </w:pPr>
            <w:r w:rsidRPr="007A5789">
              <w:rPr>
                <w:sz w:val="18"/>
              </w:rPr>
              <w:t>预计使用寿命</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5841DF" w:rsidP="00DD608E">
            <w:pPr>
              <w:rPr>
                <w:sz w:val="18"/>
                <w:szCs w:val="18"/>
              </w:rPr>
            </w:pPr>
            <w:r w:rsidRPr="007A5789">
              <w:rPr>
                <w:sz w:val="18"/>
              </w:rPr>
              <w:t>结构 - 混凝土/金属</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100年</w:t>
            </w:r>
          </w:p>
        </w:tc>
      </w:tr>
      <w:tr w:rsidR="005841DF" w:rsidRPr="007A5789" w:rsidTr="003B35E6">
        <w:trPr>
          <w:trHeight w:val="285"/>
          <w:jc w:val="center"/>
        </w:trPr>
        <w:tc>
          <w:tcPr>
            <w:tcW w:w="5310" w:type="dxa"/>
            <w:tcBorders>
              <w:top w:val="nil"/>
              <w:left w:val="nil"/>
              <w:bottom w:val="nil"/>
              <w:right w:val="nil"/>
            </w:tcBorders>
            <w:shd w:val="clear" w:color="auto" w:fill="auto"/>
            <w:vAlign w:val="center"/>
          </w:tcPr>
          <w:p w:rsidR="005841DF" w:rsidRPr="007A5789" w:rsidRDefault="005841DF" w:rsidP="00DD608E">
            <w:pPr>
              <w:rPr>
                <w:sz w:val="18"/>
                <w:szCs w:val="18"/>
              </w:rPr>
            </w:pPr>
            <w:r w:rsidRPr="007A5789">
              <w:rPr>
                <w:sz w:val="18"/>
              </w:rPr>
              <w:t>结构 - 混凝土/木材</w:t>
            </w:r>
          </w:p>
        </w:tc>
        <w:tc>
          <w:tcPr>
            <w:tcW w:w="2451" w:type="dxa"/>
            <w:tcBorders>
              <w:top w:val="nil"/>
              <w:left w:val="nil"/>
              <w:bottom w:val="nil"/>
              <w:right w:val="nil"/>
            </w:tcBorders>
            <w:shd w:val="clear" w:color="auto" w:fill="auto"/>
            <w:vAlign w:val="center"/>
          </w:tcPr>
          <w:p w:rsidR="005841DF" w:rsidRPr="007A5789" w:rsidRDefault="005841DF" w:rsidP="00DD608E">
            <w:pPr>
              <w:jc w:val="right"/>
              <w:rPr>
                <w:sz w:val="18"/>
                <w:szCs w:val="18"/>
              </w:rPr>
            </w:pPr>
            <w:r w:rsidRPr="007A5789">
              <w:rPr>
                <w:sz w:val="18"/>
              </w:rPr>
              <w:t>80年</w:t>
            </w:r>
          </w:p>
        </w:tc>
      </w:tr>
      <w:tr w:rsidR="005841DF" w:rsidRPr="007A5789" w:rsidTr="003B35E6">
        <w:trPr>
          <w:trHeight w:val="285"/>
          <w:jc w:val="center"/>
        </w:trPr>
        <w:tc>
          <w:tcPr>
            <w:tcW w:w="5310" w:type="dxa"/>
            <w:tcBorders>
              <w:top w:val="nil"/>
              <w:left w:val="nil"/>
              <w:bottom w:val="nil"/>
              <w:right w:val="nil"/>
            </w:tcBorders>
            <w:shd w:val="clear" w:color="auto" w:fill="auto"/>
            <w:vAlign w:val="center"/>
          </w:tcPr>
          <w:p w:rsidR="005841DF" w:rsidRPr="007A5789" w:rsidRDefault="005841DF" w:rsidP="00DD608E">
            <w:pPr>
              <w:rPr>
                <w:sz w:val="18"/>
                <w:szCs w:val="18"/>
              </w:rPr>
            </w:pPr>
            <w:r w:rsidRPr="007A5789">
              <w:rPr>
                <w:sz w:val="18"/>
              </w:rPr>
              <w:t>结构 - 专业通道</w:t>
            </w:r>
          </w:p>
        </w:tc>
        <w:tc>
          <w:tcPr>
            <w:tcW w:w="2451" w:type="dxa"/>
            <w:tcBorders>
              <w:top w:val="nil"/>
              <w:left w:val="nil"/>
              <w:bottom w:val="nil"/>
              <w:right w:val="nil"/>
            </w:tcBorders>
            <w:shd w:val="clear" w:color="auto" w:fill="auto"/>
            <w:vAlign w:val="center"/>
          </w:tcPr>
          <w:p w:rsidR="005841DF" w:rsidRPr="007A5789" w:rsidRDefault="005841DF" w:rsidP="00DD608E">
            <w:pPr>
              <w:jc w:val="right"/>
              <w:rPr>
                <w:sz w:val="18"/>
                <w:szCs w:val="18"/>
              </w:rPr>
            </w:pPr>
            <w:r w:rsidRPr="007A5789">
              <w:rPr>
                <w:sz w:val="18"/>
              </w:rPr>
              <w:t>50年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外立面</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50年</w:t>
            </w:r>
          </w:p>
        </w:tc>
      </w:tr>
      <w:tr w:rsidR="00A5115E" w:rsidRPr="007A5789" w:rsidTr="003B35E6">
        <w:trPr>
          <w:trHeight w:val="285"/>
          <w:jc w:val="center"/>
        </w:trPr>
        <w:tc>
          <w:tcPr>
            <w:tcW w:w="5310" w:type="dxa"/>
            <w:tcBorders>
              <w:top w:val="nil"/>
              <w:left w:val="nil"/>
              <w:bottom w:val="nil"/>
              <w:right w:val="nil"/>
            </w:tcBorders>
            <w:shd w:val="clear" w:color="auto" w:fill="auto"/>
            <w:vAlign w:val="center"/>
          </w:tcPr>
          <w:p w:rsidR="00A5115E" w:rsidRPr="007A5789" w:rsidRDefault="005841DF" w:rsidP="00DD608E">
            <w:pPr>
              <w:rPr>
                <w:sz w:val="18"/>
                <w:szCs w:val="18"/>
              </w:rPr>
            </w:pPr>
            <w:r w:rsidRPr="007A5789">
              <w:rPr>
                <w:sz w:val="18"/>
              </w:rPr>
              <w:t>围墙</w:t>
            </w:r>
          </w:p>
        </w:tc>
        <w:tc>
          <w:tcPr>
            <w:tcW w:w="2451" w:type="dxa"/>
            <w:tcBorders>
              <w:top w:val="nil"/>
              <w:left w:val="nil"/>
              <w:bottom w:val="nil"/>
              <w:right w:val="nil"/>
            </w:tcBorders>
            <w:shd w:val="clear" w:color="auto" w:fill="auto"/>
            <w:vAlign w:val="center"/>
          </w:tcPr>
          <w:p w:rsidR="00A5115E" w:rsidRPr="007A5789" w:rsidRDefault="00A5115E" w:rsidP="00DD608E">
            <w:pPr>
              <w:jc w:val="right"/>
              <w:rPr>
                <w:sz w:val="18"/>
                <w:szCs w:val="18"/>
              </w:rPr>
            </w:pPr>
            <w:r w:rsidRPr="007A5789">
              <w:rPr>
                <w:sz w:val="18"/>
              </w:rPr>
              <w:t>80年</w:t>
            </w:r>
          </w:p>
        </w:tc>
      </w:tr>
      <w:tr w:rsidR="005841DF" w:rsidRPr="007A5789" w:rsidTr="003B35E6">
        <w:trPr>
          <w:trHeight w:val="285"/>
          <w:jc w:val="center"/>
        </w:trPr>
        <w:tc>
          <w:tcPr>
            <w:tcW w:w="5310" w:type="dxa"/>
            <w:tcBorders>
              <w:top w:val="nil"/>
              <w:left w:val="nil"/>
              <w:bottom w:val="nil"/>
              <w:right w:val="nil"/>
            </w:tcBorders>
            <w:shd w:val="clear" w:color="auto" w:fill="auto"/>
            <w:vAlign w:val="center"/>
          </w:tcPr>
          <w:p w:rsidR="005841DF" w:rsidRPr="007A5789" w:rsidRDefault="005841DF" w:rsidP="00DD608E">
            <w:pPr>
              <w:rPr>
                <w:sz w:val="18"/>
                <w:szCs w:val="18"/>
              </w:rPr>
            </w:pPr>
            <w:r w:rsidRPr="007A5789">
              <w:rPr>
                <w:sz w:val="18"/>
              </w:rPr>
              <w:t>周边护柱</w:t>
            </w:r>
          </w:p>
        </w:tc>
        <w:tc>
          <w:tcPr>
            <w:tcW w:w="2451" w:type="dxa"/>
            <w:tcBorders>
              <w:top w:val="nil"/>
              <w:left w:val="nil"/>
              <w:bottom w:val="nil"/>
              <w:right w:val="nil"/>
            </w:tcBorders>
            <w:shd w:val="clear" w:color="auto" w:fill="auto"/>
            <w:vAlign w:val="center"/>
          </w:tcPr>
          <w:p w:rsidR="005841DF" w:rsidRPr="007A5789" w:rsidRDefault="005841DF" w:rsidP="00DD608E">
            <w:pPr>
              <w:jc w:val="right"/>
              <w:rPr>
                <w:sz w:val="18"/>
                <w:szCs w:val="18"/>
              </w:rPr>
            </w:pPr>
            <w:r w:rsidRPr="007A5789">
              <w:rPr>
                <w:sz w:val="18"/>
              </w:rPr>
              <w:t>20年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lastRenderedPageBreak/>
              <w:t>地面改造</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40-50年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屋顶</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50-60年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地板、墙壁、楼梯</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50年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地板铺设、墙面材料</w:t>
            </w:r>
          </w:p>
        </w:tc>
        <w:tc>
          <w:tcPr>
            <w:tcW w:w="2451" w:type="dxa"/>
            <w:tcBorders>
              <w:top w:val="nil"/>
              <w:left w:val="nil"/>
              <w:bottom w:val="nil"/>
              <w:right w:val="nil"/>
            </w:tcBorders>
            <w:shd w:val="clear" w:color="auto" w:fill="auto"/>
            <w:vAlign w:val="center"/>
          </w:tcPr>
          <w:p w:rsidR="002767E2" w:rsidRPr="007A5789" w:rsidRDefault="006E3E75" w:rsidP="00DD608E">
            <w:pPr>
              <w:jc w:val="right"/>
              <w:rPr>
                <w:sz w:val="18"/>
                <w:szCs w:val="18"/>
              </w:rPr>
            </w:pPr>
            <w:r w:rsidRPr="007A5789">
              <w:rPr>
                <w:sz w:val="18"/>
              </w:rPr>
              <w:t>20-40年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5841DF" w:rsidP="00DD608E">
            <w:pPr>
              <w:rPr>
                <w:sz w:val="18"/>
                <w:szCs w:val="18"/>
              </w:rPr>
            </w:pPr>
            <w:r w:rsidRPr="007A5789">
              <w:rPr>
                <w:sz w:val="18"/>
              </w:rPr>
              <w:t>专业配件 - 固定设备</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40年</w:t>
            </w:r>
          </w:p>
        </w:tc>
      </w:tr>
      <w:tr w:rsidR="005841DF" w:rsidRPr="007A5789" w:rsidTr="003B35E6">
        <w:trPr>
          <w:trHeight w:val="285"/>
          <w:jc w:val="center"/>
        </w:trPr>
        <w:tc>
          <w:tcPr>
            <w:tcW w:w="5310" w:type="dxa"/>
            <w:tcBorders>
              <w:top w:val="nil"/>
              <w:left w:val="nil"/>
              <w:bottom w:val="nil"/>
              <w:right w:val="nil"/>
            </w:tcBorders>
            <w:shd w:val="clear" w:color="auto" w:fill="auto"/>
            <w:vAlign w:val="center"/>
          </w:tcPr>
          <w:p w:rsidR="005841DF" w:rsidRPr="007A5789" w:rsidRDefault="005841DF" w:rsidP="00DD608E">
            <w:pPr>
              <w:rPr>
                <w:sz w:val="18"/>
                <w:szCs w:val="18"/>
              </w:rPr>
            </w:pPr>
            <w:r w:rsidRPr="007A5789">
              <w:rPr>
                <w:sz w:val="18"/>
              </w:rPr>
              <w:t>专业配件 - 厨房设备</w:t>
            </w:r>
          </w:p>
        </w:tc>
        <w:tc>
          <w:tcPr>
            <w:tcW w:w="2451" w:type="dxa"/>
            <w:tcBorders>
              <w:top w:val="nil"/>
              <w:left w:val="nil"/>
              <w:bottom w:val="nil"/>
              <w:right w:val="nil"/>
            </w:tcBorders>
            <w:shd w:val="clear" w:color="auto" w:fill="auto"/>
            <w:vAlign w:val="center"/>
          </w:tcPr>
          <w:p w:rsidR="005841DF" w:rsidRPr="007A5789" w:rsidRDefault="005841DF" w:rsidP="00DD608E">
            <w:pPr>
              <w:jc w:val="right"/>
              <w:rPr>
                <w:sz w:val="18"/>
                <w:szCs w:val="18"/>
              </w:rPr>
            </w:pPr>
            <w:r w:rsidRPr="007A5789">
              <w:rPr>
                <w:sz w:val="18"/>
              </w:rPr>
              <w:t>20-40年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6E3E75" w:rsidP="00DD608E">
            <w:pPr>
              <w:rPr>
                <w:sz w:val="18"/>
                <w:szCs w:val="18"/>
              </w:rPr>
            </w:pPr>
            <w:r w:rsidRPr="007A5789">
              <w:rPr>
                <w:sz w:val="18"/>
              </w:rPr>
              <w:t>专业配件 - 固定会议设备</w:t>
            </w:r>
          </w:p>
        </w:tc>
        <w:tc>
          <w:tcPr>
            <w:tcW w:w="2451" w:type="dxa"/>
            <w:tcBorders>
              <w:top w:val="nil"/>
              <w:left w:val="nil"/>
              <w:bottom w:val="nil"/>
              <w:right w:val="nil"/>
            </w:tcBorders>
            <w:shd w:val="clear" w:color="auto" w:fill="auto"/>
            <w:vAlign w:val="center"/>
          </w:tcPr>
          <w:p w:rsidR="002767E2" w:rsidRPr="007A5789" w:rsidRDefault="005841DF" w:rsidP="00DD608E">
            <w:pPr>
              <w:jc w:val="right"/>
              <w:rPr>
                <w:sz w:val="18"/>
                <w:szCs w:val="18"/>
              </w:rPr>
            </w:pPr>
            <w:r w:rsidRPr="007A5789">
              <w:rPr>
                <w:sz w:val="18"/>
              </w:rPr>
              <w:t>15年</w:t>
            </w:r>
          </w:p>
        </w:tc>
      </w:tr>
      <w:tr w:rsidR="005841DF" w:rsidRPr="007A5789" w:rsidTr="003B35E6">
        <w:trPr>
          <w:trHeight w:val="285"/>
          <w:jc w:val="center"/>
        </w:trPr>
        <w:tc>
          <w:tcPr>
            <w:tcW w:w="5310" w:type="dxa"/>
            <w:tcBorders>
              <w:top w:val="nil"/>
              <w:left w:val="nil"/>
              <w:bottom w:val="nil"/>
              <w:right w:val="nil"/>
            </w:tcBorders>
            <w:shd w:val="clear" w:color="auto" w:fill="auto"/>
            <w:vAlign w:val="center"/>
          </w:tcPr>
          <w:p w:rsidR="005841DF" w:rsidRPr="007A5789" w:rsidRDefault="005841DF" w:rsidP="00DD608E">
            <w:pPr>
              <w:rPr>
                <w:sz w:val="18"/>
                <w:szCs w:val="18"/>
              </w:rPr>
            </w:pPr>
            <w:r w:rsidRPr="007A5789">
              <w:rPr>
                <w:sz w:val="18"/>
              </w:rPr>
              <w:t>专业配件 - 多媒体监控设备</w:t>
            </w:r>
          </w:p>
        </w:tc>
        <w:tc>
          <w:tcPr>
            <w:tcW w:w="2451" w:type="dxa"/>
            <w:tcBorders>
              <w:top w:val="nil"/>
              <w:left w:val="nil"/>
              <w:bottom w:val="nil"/>
              <w:right w:val="nil"/>
            </w:tcBorders>
            <w:shd w:val="clear" w:color="auto" w:fill="auto"/>
            <w:vAlign w:val="center"/>
          </w:tcPr>
          <w:p w:rsidR="005841DF" w:rsidRPr="007A5789" w:rsidRDefault="005841DF" w:rsidP="00DD608E">
            <w:pPr>
              <w:jc w:val="right"/>
              <w:rPr>
                <w:sz w:val="18"/>
                <w:szCs w:val="18"/>
              </w:rPr>
            </w:pPr>
            <w:r w:rsidRPr="007A5789">
              <w:rPr>
                <w:sz w:val="18"/>
              </w:rPr>
              <w:t>5年</w:t>
            </w:r>
          </w:p>
        </w:tc>
      </w:tr>
      <w:tr w:rsidR="005841DF" w:rsidRPr="007A5789" w:rsidTr="003B35E6">
        <w:trPr>
          <w:trHeight w:val="285"/>
          <w:jc w:val="center"/>
        </w:trPr>
        <w:tc>
          <w:tcPr>
            <w:tcW w:w="5310" w:type="dxa"/>
            <w:tcBorders>
              <w:top w:val="nil"/>
              <w:left w:val="nil"/>
              <w:bottom w:val="nil"/>
              <w:right w:val="nil"/>
            </w:tcBorders>
            <w:shd w:val="clear" w:color="auto" w:fill="auto"/>
            <w:vAlign w:val="center"/>
          </w:tcPr>
          <w:p w:rsidR="005841DF" w:rsidRPr="007A5789" w:rsidRDefault="005841DF" w:rsidP="00DD608E">
            <w:pPr>
              <w:rPr>
                <w:sz w:val="18"/>
                <w:szCs w:val="18"/>
              </w:rPr>
            </w:pPr>
            <w:r w:rsidRPr="007A5789">
              <w:rPr>
                <w:sz w:val="18"/>
              </w:rPr>
              <w:t>专业配件 - 十字转门</w:t>
            </w:r>
          </w:p>
        </w:tc>
        <w:tc>
          <w:tcPr>
            <w:tcW w:w="2451" w:type="dxa"/>
            <w:tcBorders>
              <w:top w:val="nil"/>
              <w:left w:val="nil"/>
              <w:bottom w:val="nil"/>
              <w:right w:val="nil"/>
            </w:tcBorders>
            <w:shd w:val="clear" w:color="auto" w:fill="auto"/>
            <w:vAlign w:val="center"/>
          </w:tcPr>
          <w:p w:rsidR="005841DF" w:rsidRPr="007A5789" w:rsidRDefault="005841DF" w:rsidP="00DD608E">
            <w:pPr>
              <w:jc w:val="right"/>
              <w:rPr>
                <w:sz w:val="18"/>
                <w:szCs w:val="18"/>
              </w:rPr>
            </w:pPr>
            <w:r w:rsidRPr="007A5789">
              <w:rPr>
                <w:sz w:val="18"/>
              </w:rPr>
              <w:t>20年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5841DF" w:rsidP="00DD608E">
            <w:pPr>
              <w:rPr>
                <w:sz w:val="18"/>
                <w:szCs w:val="18"/>
              </w:rPr>
            </w:pPr>
            <w:r w:rsidRPr="007A5789">
              <w:rPr>
                <w:sz w:val="18"/>
              </w:rPr>
              <w:t>暖通</w:t>
            </w:r>
          </w:p>
        </w:tc>
        <w:tc>
          <w:tcPr>
            <w:tcW w:w="2451" w:type="dxa"/>
            <w:tcBorders>
              <w:top w:val="nil"/>
              <w:left w:val="nil"/>
              <w:bottom w:val="nil"/>
              <w:right w:val="nil"/>
            </w:tcBorders>
            <w:shd w:val="clear" w:color="auto" w:fill="auto"/>
            <w:vAlign w:val="center"/>
          </w:tcPr>
          <w:p w:rsidR="002767E2" w:rsidRPr="007A5789" w:rsidRDefault="006E3E75" w:rsidP="00DD608E">
            <w:pPr>
              <w:jc w:val="right"/>
              <w:rPr>
                <w:sz w:val="18"/>
                <w:szCs w:val="18"/>
              </w:rPr>
            </w:pPr>
            <w:r w:rsidRPr="007A5789">
              <w:rPr>
                <w:sz w:val="18"/>
              </w:rPr>
              <w:t>25-30年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卫生设施</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40年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电气装置</w:t>
            </w:r>
          </w:p>
        </w:tc>
        <w:tc>
          <w:tcPr>
            <w:tcW w:w="2451" w:type="dxa"/>
            <w:tcBorders>
              <w:top w:val="nil"/>
              <w:left w:val="nil"/>
              <w:bottom w:val="nil"/>
              <w:right w:val="nil"/>
            </w:tcBorders>
            <w:shd w:val="clear" w:color="auto" w:fill="auto"/>
            <w:vAlign w:val="center"/>
          </w:tcPr>
          <w:p w:rsidR="002767E2" w:rsidRPr="007A5789" w:rsidRDefault="006E3E75" w:rsidP="00DD608E">
            <w:pPr>
              <w:jc w:val="right"/>
              <w:rPr>
                <w:sz w:val="18"/>
                <w:szCs w:val="18"/>
              </w:rPr>
            </w:pPr>
            <w:r w:rsidRPr="007A5789">
              <w:rPr>
                <w:sz w:val="18"/>
              </w:rPr>
              <w:t>25-50年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电梯</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40年</w:t>
            </w:r>
          </w:p>
        </w:tc>
      </w:tr>
    </w:tbl>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如果偶尔事件或情况变化表明资产账面价值可能无法恢复，应就损耗对大楼和建筑物的账面价值进行审查。如果存在这种情况，应对资产可恢复数额进行评估，以确定损耗的程度。任何损耗均计入财务执行情况表。</w:t>
      </w:r>
    </w:p>
    <w:p w:rsidR="007A5789" w:rsidRPr="001E1DEA" w:rsidRDefault="002767E2" w:rsidP="001E1DEA">
      <w:pPr>
        <w:pStyle w:val="Style3Bold"/>
        <w:keepNext/>
        <w:spacing w:beforeLines="100" w:before="240" w:afterLines="50" w:line="340" w:lineRule="atLeast"/>
        <w:rPr>
          <w:sz w:val="21"/>
        </w:rPr>
      </w:pPr>
      <w:r w:rsidRPr="001E1DEA">
        <w:rPr>
          <w:sz w:val="21"/>
        </w:rPr>
        <w:t>金融工具</w:t>
      </w:r>
    </w:p>
    <w:p w:rsidR="007A5789" w:rsidRPr="00167CE7" w:rsidRDefault="002767E2" w:rsidP="00167CE7">
      <w:pPr>
        <w:pStyle w:val="Style3"/>
        <w:keepNext/>
        <w:spacing w:afterLines="50" w:line="340" w:lineRule="atLeast"/>
        <w:rPr>
          <w:rFonts w:ascii="KaiTi" w:eastAsia="KaiTi" w:hAnsi="KaiTi"/>
          <w:b/>
          <w:sz w:val="21"/>
          <w:szCs w:val="22"/>
        </w:rPr>
      </w:pPr>
      <w:r w:rsidRPr="00167CE7">
        <w:rPr>
          <w:rFonts w:ascii="KaiTi" w:eastAsia="KaiTi" w:hAnsi="KaiTi"/>
          <w:b/>
          <w:sz w:val="21"/>
        </w:rPr>
        <w:t>金融资产</w:t>
      </w:r>
    </w:p>
    <w:p w:rsidR="0025563A" w:rsidRPr="007A5789" w:rsidRDefault="002767E2" w:rsidP="00167CE7">
      <w:pPr>
        <w:keepNext/>
        <w:overflowPunct w:val="0"/>
        <w:adjustRightInd w:val="0"/>
        <w:spacing w:line="340" w:lineRule="atLeast"/>
        <w:rPr>
          <w:sz w:val="21"/>
        </w:rPr>
      </w:pPr>
      <w:r w:rsidRPr="007A5789">
        <w:rPr>
          <w:sz w:val="21"/>
        </w:rPr>
        <w:t>初始确认与计量：</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IPSAS 29《金融工具：确认与计量》范围内的金融资产酌情分为按公允价值列入盈余或赤字之金融资产、贷款和应收账款、持有到期投资或可供出售金融资产。本组织在初始确认时决定其金融资产的分类。本组织的金融资产包括现金和短期存款、短期投资、贷款和应收账款。</w:t>
      </w:r>
    </w:p>
    <w:p w:rsidR="002767E2" w:rsidRPr="007A5789" w:rsidRDefault="002767E2" w:rsidP="00167CE7">
      <w:pPr>
        <w:keepNext/>
        <w:overflowPunct w:val="0"/>
        <w:adjustRightInd w:val="0"/>
        <w:spacing w:line="340" w:lineRule="atLeast"/>
        <w:rPr>
          <w:iCs/>
          <w:sz w:val="21"/>
          <w:szCs w:val="22"/>
        </w:rPr>
      </w:pPr>
      <w:r w:rsidRPr="007A5789">
        <w:rPr>
          <w:sz w:val="21"/>
        </w:rPr>
        <w:t>后续计量：</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金融资产的后续计量取决于其分类。</w:t>
      </w:r>
    </w:p>
    <w:p w:rsidR="002767E2" w:rsidRPr="00167CE7" w:rsidRDefault="002767E2" w:rsidP="00167CE7">
      <w:pPr>
        <w:keepNext/>
        <w:overflowPunct w:val="0"/>
        <w:adjustRightInd w:val="0"/>
        <w:spacing w:line="340" w:lineRule="atLeast"/>
        <w:rPr>
          <w:rFonts w:ascii="KaiTi" w:eastAsia="KaiTi" w:hAnsi="KaiTi"/>
          <w:bCs/>
          <w:sz w:val="21"/>
          <w:szCs w:val="22"/>
        </w:rPr>
      </w:pPr>
      <w:r w:rsidRPr="00167CE7">
        <w:rPr>
          <w:rFonts w:ascii="KaiTi" w:eastAsia="KaiTi" w:hAnsi="KaiTi"/>
          <w:sz w:val="21"/>
        </w:rPr>
        <w:t>按公允价值列入盈余或赤字的金融资产</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按公允价值列入盈余或赤字的金融资产包括交易性金融资产和初始确认时指定按公允价值列入盈余或赤字的金融资产。出于短期内出售或回购目的收购的金融资产归类为交易性金融资产。按公允价值列入盈余或赤字的金融资产按公允价值载于财务状况表，公允价值的变化计入盈余或赤字。</w:t>
      </w:r>
    </w:p>
    <w:p w:rsidR="002767E2" w:rsidRPr="00167CE7" w:rsidRDefault="002767E2" w:rsidP="00167CE7">
      <w:pPr>
        <w:keepNext/>
        <w:overflowPunct w:val="0"/>
        <w:adjustRightInd w:val="0"/>
        <w:spacing w:line="340" w:lineRule="atLeast"/>
        <w:rPr>
          <w:rFonts w:ascii="KaiTi" w:eastAsia="KaiTi" w:hAnsi="KaiTi"/>
          <w:sz w:val="21"/>
        </w:rPr>
      </w:pPr>
      <w:r w:rsidRPr="00167CE7">
        <w:rPr>
          <w:rFonts w:ascii="KaiTi" w:eastAsia="KaiTi" w:hAnsi="KaiTi"/>
          <w:sz w:val="21"/>
        </w:rPr>
        <w:t>贷款与应收账款：</w:t>
      </w:r>
    </w:p>
    <w:p w:rsidR="007A5789" w:rsidRDefault="002767E2" w:rsidP="00134184">
      <w:pPr>
        <w:pStyle w:val="Style3"/>
        <w:numPr>
          <w:ilvl w:val="0"/>
          <w:numId w:val="11"/>
        </w:numPr>
        <w:tabs>
          <w:tab w:val="left" w:pos="770"/>
        </w:tabs>
        <w:overflowPunct w:val="0"/>
        <w:spacing w:afterLines="50" w:line="340" w:lineRule="atLeast"/>
        <w:ind w:left="0" w:firstLine="0"/>
        <w:rPr>
          <w:sz w:val="21"/>
        </w:rPr>
      </w:pPr>
      <w:r w:rsidRPr="007A5789">
        <w:rPr>
          <w:sz w:val="21"/>
        </w:rPr>
        <w:t>贷款与应收账款是要进行固定或可确定支付的非衍生金融资产，不在活跃市场上报价。在初始计量后，此类金融资产随后用实际利率法按摊销成本计量。摊销成本的计算考虑了收购时的任何折价或溢价以及构成实际利率的费用或成本。减值带来的损失计入盈余或赤字。</w:t>
      </w:r>
    </w:p>
    <w:p w:rsidR="002767E2" w:rsidRPr="00167CE7" w:rsidRDefault="002767E2" w:rsidP="00167CE7">
      <w:pPr>
        <w:keepNext/>
        <w:overflowPunct w:val="0"/>
        <w:adjustRightInd w:val="0"/>
        <w:spacing w:line="340" w:lineRule="atLeast"/>
        <w:rPr>
          <w:sz w:val="21"/>
        </w:rPr>
      </w:pPr>
      <w:r w:rsidRPr="007A5789">
        <w:rPr>
          <w:sz w:val="21"/>
        </w:rPr>
        <w:t>终止确认：</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如从某项金融资产，或在适用情况下某项金融资产的一部分或一组类似金融资产的一部分收到现金流的权利已到期或被放弃，本组织终止确认该项资产。</w:t>
      </w:r>
    </w:p>
    <w:p w:rsidR="002767E2" w:rsidRPr="00167CE7" w:rsidRDefault="002767E2" w:rsidP="00167CE7">
      <w:pPr>
        <w:keepNext/>
        <w:overflowPunct w:val="0"/>
        <w:adjustRightInd w:val="0"/>
        <w:spacing w:line="340" w:lineRule="atLeast"/>
        <w:rPr>
          <w:sz w:val="21"/>
        </w:rPr>
      </w:pPr>
      <w:r w:rsidRPr="007A5789">
        <w:rPr>
          <w:sz w:val="21"/>
        </w:rPr>
        <w:t>金融资产减值：</w:t>
      </w:r>
    </w:p>
    <w:p w:rsidR="007A5789" w:rsidRDefault="002767E2" w:rsidP="00134184">
      <w:pPr>
        <w:pStyle w:val="Style3"/>
        <w:numPr>
          <w:ilvl w:val="0"/>
          <w:numId w:val="11"/>
        </w:numPr>
        <w:tabs>
          <w:tab w:val="left" w:pos="770"/>
        </w:tabs>
        <w:overflowPunct w:val="0"/>
        <w:spacing w:afterLines="50" w:line="340" w:lineRule="atLeast"/>
        <w:ind w:left="0" w:firstLine="0"/>
        <w:rPr>
          <w:sz w:val="21"/>
        </w:rPr>
      </w:pPr>
      <w:r w:rsidRPr="007A5789">
        <w:rPr>
          <w:sz w:val="21"/>
        </w:rPr>
        <w:t>本组织在每个报告日评估是否有客观证据表明一项/一组金融资产出现减值。当且仅当有客观证据表明在一项金融资产或一组金融资产初始确认后发生的一起或多起事件导致减值</w:t>
      </w:r>
      <w:r w:rsidR="00B6014B">
        <w:rPr>
          <w:sz w:val="21"/>
        </w:rPr>
        <w:t>（</w:t>
      </w:r>
      <w:r w:rsidRPr="007A5789">
        <w:rPr>
          <w:sz w:val="21"/>
        </w:rPr>
        <w:t>已发生损失事</w:t>
      </w:r>
      <w:r w:rsidRPr="007A5789">
        <w:rPr>
          <w:sz w:val="21"/>
        </w:rPr>
        <w:lastRenderedPageBreak/>
        <w:t>件</w:t>
      </w:r>
      <w:r w:rsidR="00B6014B">
        <w:rPr>
          <w:sz w:val="21"/>
        </w:rPr>
        <w:t>）</w:t>
      </w:r>
      <w:r w:rsidRPr="007A5789">
        <w:rPr>
          <w:sz w:val="21"/>
        </w:rPr>
        <w:t>并且该损失事件对该项/该组金融资产未来的现金流量产生了可以可靠概算的影响时，该项/该组金融资产被认为出现减值。</w:t>
      </w:r>
    </w:p>
    <w:p w:rsidR="007A5789" w:rsidRPr="00167CE7" w:rsidRDefault="002767E2" w:rsidP="00167CE7">
      <w:pPr>
        <w:pStyle w:val="Style3"/>
        <w:keepNext/>
        <w:spacing w:afterLines="50" w:line="340" w:lineRule="atLeast"/>
        <w:rPr>
          <w:rFonts w:ascii="KaiTi" w:eastAsia="KaiTi" w:hAnsi="KaiTi"/>
          <w:b/>
          <w:sz w:val="21"/>
        </w:rPr>
      </w:pPr>
      <w:r w:rsidRPr="00167CE7">
        <w:rPr>
          <w:rFonts w:ascii="KaiTi" w:eastAsia="KaiTi" w:hAnsi="KaiTi"/>
          <w:b/>
          <w:sz w:val="21"/>
        </w:rPr>
        <w:t>金融负债</w:t>
      </w:r>
    </w:p>
    <w:p w:rsidR="002767E2" w:rsidRPr="007A5789" w:rsidRDefault="002767E2" w:rsidP="00134184">
      <w:pPr>
        <w:pStyle w:val="Style3"/>
        <w:numPr>
          <w:ilvl w:val="0"/>
          <w:numId w:val="11"/>
        </w:numPr>
        <w:tabs>
          <w:tab w:val="left" w:pos="770"/>
        </w:tabs>
        <w:overflowPunct w:val="0"/>
        <w:spacing w:after="0" w:line="340" w:lineRule="atLeast"/>
        <w:ind w:left="0" w:firstLine="0"/>
        <w:rPr>
          <w:bCs/>
          <w:sz w:val="21"/>
          <w:szCs w:val="22"/>
        </w:rPr>
      </w:pPr>
      <w:r w:rsidRPr="007A5789">
        <w:rPr>
          <w:sz w:val="21"/>
        </w:rPr>
        <w:t>初始确认与计量：</w:t>
      </w:r>
    </w:p>
    <w:p w:rsidR="007A5789" w:rsidRDefault="002767E2" w:rsidP="00167CE7">
      <w:pPr>
        <w:pStyle w:val="Style3"/>
        <w:tabs>
          <w:tab w:val="left" w:pos="770"/>
        </w:tabs>
        <w:overflowPunct w:val="0"/>
        <w:spacing w:afterLines="50" w:line="340" w:lineRule="atLeast"/>
        <w:rPr>
          <w:sz w:val="21"/>
          <w:szCs w:val="22"/>
        </w:rPr>
      </w:pPr>
      <w:r w:rsidRPr="007A5789">
        <w:rPr>
          <w:sz w:val="21"/>
        </w:rPr>
        <w:t>IPSAS 29范围内的金融负债酌情分为按公允价值列入盈余或赤字的金融负债或贷款和借款。本组织在初始确认时决定其金融负债的分类。所有的金融负债</w:t>
      </w:r>
      <w:proofErr w:type="gramStart"/>
      <w:r w:rsidRPr="007A5789">
        <w:rPr>
          <w:sz w:val="21"/>
        </w:rPr>
        <w:t>初始均</w:t>
      </w:r>
      <w:proofErr w:type="gramEnd"/>
      <w:r w:rsidRPr="007A5789">
        <w:rPr>
          <w:sz w:val="21"/>
        </w:rPr>
        <w:t>按公允价值确认，如涉及贷款和借款，还要加上直</w:t>
      </w:r>
      <w:proofErr w:type="gramStart"/>
      <w:r w:rsidRPr="007A5789">
        <w:rPr>
          <w:sz w:val="21"/>
        </w:rPr>
        <w:t>接应占</w:t>
      </w:r>
      <w:proofErr w:type="gramEnd"/>
      <w:r w:rsidRPr="007A5789">
        <w:rPr>
          <w:sz w:val="21"/>
        </w:rPr>
        <w:t>交易成本。本组织的金融负债包括贸易及其他应付款项、贷款和借款。</w:t>
      </w:r>
    </w:p>
    <w:p w:rsidR="002767E2" w:rsidRPr="007A5789" w:rsidRDefault="002767E2" w:rsidP="00134184">
      <w:pPr>
        <w:pStyle w:val="Style3"/>
        <w:numPr>
          <w:ilvl w:val="0"/>
          <w:numId w:val="11"/>
        </w:numPr>
        <w:tabs>
          <w:tab w:val="left" w:pos="770"/>
        </w:tabs>
        <w:overflowPunct w:val="0"/>
        <w:spacing w:after="0" w:line="340" w:lineRule="atLeast"/>
        <w:ind w:left="0" w:firstLine="0"/>
        <w:rPr>
          <w:bCs/>
          <w:sz w:val="21"/>
          <w:szCs w:val="22"/>
        </w:rPr>
      </w:pPr>
      <w:r w:rsidRPr="007A5789">
        <w:rPr>
          <w:sz w:val="21"/>
        </w:rPr>
        <w:t>后续计量：</w:t>
      </w:r>
    </w:p>
    <w:p w:rsidR="007A5789" w:rsidRDefault="002767E2" w:rsidP="00167CE7">
      <w:pPr>
        <w:pStyle w:val="Style3"/>
        <w:tabs>
          <w:tab w:val="left" w:pos="770"/>
        </w:tabs>
        <w:overflowPunct w:val="0"/>
        <w:spacing w:afterLines="50" w:line="340" w:lineRule="atLeast"/>
        <w:rPr>
          <w:sz w:val="21"/>
          <w:szCs w:val="22"/>
        </w:rPr>
      </w:pPr>
      <w:r w:rsidRPr="007A5789">
        <w:rPr>
          <w:sz w:val="21"/>
        </w:rPr>
        <w:t>金融负债的后续计量取决于其分类。</w:t>
      </w:r>
    </w:p>
    <w:p w:rsidR="002767E2" w:rsidRPr="00167CE7" w:rsidRDefault="002767E2" w:rsidP="00167CE7">
      <w:pPr>
        <w:keepNext/>
        <w:overflowPunct w:val="0"/>
        <w:adjustRightInd w:val="0"/>
        <w:spacing w:line="340" w:lineRule="atLeast"/>
        <w:rPr>
          <w:rFonts w:ascii="KaiTi" w:eastAsia="KaiTi" w:hAnsi="KaiTi"/>
          <w:sz w:val="21"/>
        </w:rPr>
      </w:pPr>
      <w:r w:rsidRPr="00167CE7">
        <w:rPr>
          <w:rFonts w:ascii="KaiTi" w:eastAsia="KaiTi" w:hAnsi="KaiTi"/>
          <w:sz w:val="21"/>
        </w:rPr>
        <w:t>按公允价值列入盈余或赤字的金融负债</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按公允价值列入盈余或赤字的金融负债包括持有交易性金融负债和初始确认时指定按公允价值列入盈余或赤字的金融负债。出于短期内出售目的收购的金融负债归类为交易性金融负债。交易性金融负债出现的收益或损失计入盈余或赤字。</w:t>
      </w:r>
    </w:p>
    <w:p w:rsidR="002767E2" w:rsidRPr="00167CE7" w:rsidRDefault="002767E2" w:rsidP="00167CE7">
      <w:pPr>
        <w:keepNext/>
        <w:overflowPunct w:val="0"/>
        <w:adjustRightInd w:val="0"/>
        <w:spacing w:line="340" w:lineRule="atLeast"/>
        <w:rPr>
          <w:rFonts w:ascii="KaiTi" w:eastAsia="KaiTi" w:hAnsi="KaiTi"/>
          <w:sz w:val="21"/>
        </w:rPr>
      </w:pPr>
      <w:r w:rsidRPr="00167CE7">
        <w:rPr>
          <w:rFonts w:ascii="KaiTi" w:eastAsia="KaiTi" w:hAnsi="KaiTi"/>
          <w:sz w:val="21"/>
        </w:rPr>
        <w:t>贷款与借款：</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在初始计量后，贷款与借款随后用实际利率法按摊销成本计量。在终止确认负债时并通过实际利率法摊销过程，收益和损失计入盈余或赤字。摊销成本的计算考虑了收购时的任何折价或溢价以及构成实际利率的费用或成本。</w:t>
      </w:r>
    </w:p>
    <w:p w:rsidR="002767E2" w:rsidRPr="007A5789" w:rsidRDefault="002767E2" w:rsidP="00134184">
      <w:pPr>
        <w:pStyle w:val="Style3"/>
        <w:numPr>
          <w:ilvl w:val="0"/>
          <w:numId w:val="11"/>
        </w:numPr>
        <w:tabs>
          <w:tab w:val="left" w:pos="770"/>
        </w:tabs>
        <w:overflowPunct w:val="0"/>
        <w:spacing w:after="0" w:line="340" w:lineRule="atLeast"/>
        <w:ind w:left="0" w:firstLine="0"/>
        <w:rPr>
          <w:bCs/>
          <w:sz w:val="21"/>
          <w:szCs w:val="22"/>
        </w:rPr>
      </w:pPr>
      <w:r w:rsidRPr="007A5789">
        <w:rPr>
          <w:sz w:val="21"/>
        </w:rPr>
        <w:t>终止确认：</w:t>
      </w:r>
    </w:p>
    <w:p w:rsidR="007A5789" w:rsidRDefault="002767E2" w:rsidP="00612CF1">
      <w:pPr>
        <w:pStyle w:val="Style3"/>
        <w:tabs>
          <w:tab w:val="left" w:pos="770"/>
        </w:tabs>
        <w:overflowPunct w:val="0"/>
        <w:spacing w:afterLines="50" w:line="340" w:lineRule="atLeast"/>
        <w:rPr>
          <w:sz w:val="21"/>
        </w:rPr>
      </w:pPr>
      <w:r w:rsidRPr="007A5789">
        <w:rPr>
          <w:sz w:val="21"/>
        </w:rPr>
        <w:t>当一项金融负债所涉义务已履行、撤销或到期时，该项金融负债终止确认。如某项现有金融负债由相同借贷方按实质上不同的条款提供的另一项金融负债所取代，或现有负债的条款受到实质性修订，则此种交换或修订被视为终止确认原有负债并确认新负债，彼此账面数额之间的差额计入盈余或赤字。</w:t>
      </w:r>
    </w:p>
    <w:p w:rsidR="007A5789" w:rsidRPr="001E1DEA" w:rsidRDefault="00131284" w:rsidP="001E1DEA">
      <w:pPr>
        <w:pStyle w:val="Style3Bold"/>
        <w:keepNext/>
        <w:spacing w:beforeLines="100" w:before="240" w:afterLines="50" w:line="340" w:lineRule="atLeast"/>
        <w:rPr>
          <w:sz w:val="21"/>
        </w:rPr>
      </w:pPr>
      <w:r w:rsidRPr="001E1DEA">
        <w:rPr>
          <w:sz w:val="21"/>
        </w:rPr>
        <w:t>雇员福利</w:t>
      </w:r>
    </w:p>
    <w:p w:rsid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根据独立精算师利用预计单位福利法在年度基础上确定的结果，把离职后健康保险</w:t>
      </w:r>
      <w:r w:rsidR="00B6014B">
        <w:rPr>
          <w:sz w:val="21"/>
        </w:rPr>
        <w:t>（</w:t>
      </w:r>
      <w:r w:rsidRPr="007A5789">
        <w:rPr>
          <w:sz w:val="21"/>
        </w:rPr>
        <w:t>ASHI</w:t>
      </w:r>
      <w:r w:rsidR="00B6014B">
        <w:rPr>
          <w:sz w:val="21"/>
        </w:rPr>
        <w:t>）</w:t>
      </w:r>
      <w:r w:rsidRPr="007A5789">
        <w:rPr>
          <w:sz w:val="21"/>
        </w:rPr>
        <w:t>和回国补助金以及旅费规定为负债。ASHI负债的精算盈余和亏损用居间法来认定，并按照在职工作人员的未来平均服务年数摊销。此外，在报告日尚未支付的累计假期、未执行</w:t>
      </w:r>
      <w:proofErr w:type="gramStart"/>
      <w:r w:rsidRPr="007A5789">
        <w:rPr>
          <w:sz w:val="21"/>
        </w:rPr>
        <w:t>回籍假和</w:t>
      </w:r>
      <w:proofErr w:type="gramEnd"/>
      <w:r w:rsidRPr="007A5789">
        <w:rPr>
          <w:sz w:val="21"/>
        </w:rPr>
        <w:t>加班费的相应费用、离职福利、绩效奖励以及在报告日没有纳入当期支出的应支付教育补助金也规定为负债。</w:t>
      </w:r>
    </w:p>
    <w:p w:rsid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WIPO为联合国合办工作人员养恤基金</w:t>
      </w:r>
      <w:r w:rsidR="00B6014B">
        <w:rPr>
          <w:sz w:val="21"/>
        </w:rPr>
        <w:t>（</w:t>
      </w:r>
      <w:r w:rsidRPr="007A5789">
        <w:rPr>
          <w:sz w:val="21"/>
        </w:rPr>
        <w:t>UNJSPF</w:t>
      </w:r>
      <w:r w:rsidR="00B6014B">
        <w:rPr>
          <w:sz w:val="21"/>
        </w:rPr>
        <w:t>）</w:t>
      </w:r>
      <w:r w:rsidRPr="007A5789">
        <w:rPr>
          <w:sz w:val="21"/>
        </w:rPr>
        <w:t>的成员组织，该基金由联合国大会成立，旨在为雇员提供退休、死亡、残障和相关福利。养恤基金是一个多雇主资助和有明确规定的福利计划。根据该基金条例第3条</w:t>
      </w:r>
      <w:r w:rsidR="0069659C">
        <w:rPr>
          <w:rFonts w:hint="eastAsia"/>
          <w:sz w:val="21"/>
        </w:rPr>
        <w:t>(</w:t>
      </w:r>
      <w:r w:rsidRPr="007A5789">
        <w:rPr>
          <w:sz w:val="21"/>
        </w:rPr>
        <w:t>b</w:t>
      </w:r>
      <w:r w:rsidR="0069659C">
        <w:rPr>
          <w:rFonts w:hint="eastAsia"/>
          <w:sz w:val="21"/>
        </w:rPr>
        <w:t>)</w:t>
      </w:r>
      <w:r w:rsidRPr="007A5789">
        <w:rPr>
          <w:sz w:val="21"/>
        </w:rPr>
        <w:t>款的规定，该基金的成员资格须向联合国专门机构以及参加联合国薪金、津贴和其他福利统一制度的任何其他国际、政府间组织及专门机构开放。</w:t>
      </w:r>
    </w:p>
    <w:p w:rsid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该计划使成员组织面临着</w:t>
      </w:r>
      <w:r w:rsidR="000A1290" w:rsidRPr="007A5789">
        <w:rPr>
          <w:rFonts w:hint="eastAsia"/>
          <w:sz w:val="21"/>
        </w:rPr>
        <w:t>与参加该</w:t>
      </w:r>
      <w:r w:rsidR="000A1290" w:rsidRPr="007A5789">
        <w:rPr>
          <w:sz w:val="21"/>
        </w:rPr>
        <w:t>基金的</w:t>
      </w:r>
      <w:r w:rsidRPr="007A5789">
        <w:rPr>
          <w:sz w:val="21"/>
        </w:rPr>
        <w:t>其他组织</w:t>
      </w:r>
      <w:r w:rsidR="009C73D3" w:rsidRPr="007A5789">
        <w:rPr>
          <w:rFonts w:hint="eastAsia"/>
          <w:sz w:val="21"/>
        </w:rPr>
        <w:t>的</w:t>
      </w:r>
      <w:r w:rsidRPr="007A5789">
        <w:rPr>
          <w:sz w:val="21"/>
        </w:rPr>
        <w:t>现有和前雇员</w:t>
      </w:r>
      <w:r w:rsidR="009C73D3" w:rsidRPr="007A5789">
        <w:rPr>
          <w:rFonts w:hint="eastAsia"/>
          <w:sz w:val="21"/>
        </w:rPr>
        <w:t>有关</w:t>
      </w:r>
      <w:r w:rsidRPr="007A5789">
        <w:rPr>
          <w:sz w:val="21"/>
        </w:rPr>
        <w:t>的精算风险。其结果是，在将</w:t>
      </w:r>
      <w:r w:rsidR="0069659C">
        <w:rPr>
          <w:rFonts w:hint="eastAsia"/>
          <w:sz w:val="21"/>
        </w:rPr>
        <w:t>债</w:t>
      </w:r>
      <w:r w:rsidRPr="007A5789">
        <w:rPr>
          <w:sz w:val="21"/>
        </w:rPr>
        <w:t>务、计划资产和费用分配</w:t>
      </w:r>
      <w:proofErr w:type="gramStart"/>
      <w:r w:rsidRPr="007A5789">
        <w:rPr>
          <w:sz w:val="21"/>
        </w:rPr>
        <w:t>至参与</w:t>
      </w:r>
      <w:proofErr w:type="gramEnd"/>
      <w:r w:rsidRPr="007A5789">
        <w:rPr>
          <w:sz w:val="21"/>
        </w:rPr>
        <w:t>该计划的各个组织方面没有统一、可靠的基准。WIPO和UNJSPF与其他参与基金的组织一样，无法从财务角度以足够的可靠性来确定其与该计划相关的固定福利</w:t>
      </w:r>
      <w:r w:rsidR="0069659C">
        <w:rPr>
          <w:rFonts w:hint="eastAsia"/>
          <w:sz w:val="21"/>
        </w:rPr>
        <w:t>债</w:t>
      </w:r>
      <w:r w:rsidRPr="007A5789">
        <w:rPr>
          <w:sz w:val="21"/>
        </w:rPr>
        <w:t>务、计划资产和费用的相应份额，因此WIPO将该计划当成是符合IPSAS 25要求的固定缴款计划。WIPO在本财务期内为该计划的缴款在财务执行情况表中被列为支出。</w:t>
      </w:r>
    </w:p>
    <w:p w:rsidR="007A5789" w:rsidRPr="001E1DEA" w:rsidRDefault="00131284" w:rsidP="001E1DEA">
      <w:pPr>
        <w:pStyle w:val="Style3Bold"/>
        <w:keepNext/>
        <w:spacing w:beforeLines="100" w:before="240" w:afterLines="50" w:line="340" w:lineRule="atLeast"/>
        <w:rPr>
          <w:sz w:val="21"/>
        </w:rPr>
      </w:pPr>
      <w:r w:rsidRPr="007A5789">
        <w:rPr>
          <w:sz w:val="21"/>
        </w:rPr>
        <w:lastRenderedPageBreak/>
        <w:t>准备金</w:t>
      </w:r>
    </w:p>
    <w:p w:rsidR="007A5789" w:rsidRDefault="00131284" w:rsidP="00134184">
      <w:pPr>
        <w:pStyle w:val="Style3"/>
        <w:numPr>
          <w:ilvl w:val="0"/>
          <w:numId w:val="11"/>
        </w:numPr>
        <w:tabs>
          <w:tab w:val="left" w:pos="770"/>
        </w:tabs>
        <w:overflowPunct w:val="0"/>
        <w:spacing w:afterLines="50" w:line="340" w:lineRule="atLeast"/>
        <w:ind w:left="0" w:firstLine="0"/>
        <w:rPr>
          <w:sz w:val="21"/>
        </w:rPr>
      </w:pPr>
      <w:r w:rsidRPr="007A5789">
        <w:rPr>
          <w:sz w:val="21"/>
        </w:rPr>
        <w:t>在本组织因某一过去事件而负有法律或推定责任时设立准备金，</w:t>
      </w:r>
      <w:r w:rsidR="00172858" w:rsidRPr="007A5789">
        <w:rPr>
          <w:rFonts w:hint="eastAsia"/>
          <w:sz w:val="21"/>
        </w:rPr>
        <w:t>条件</w:t>
      </w:r>
      <w:r w:rsidRPr="007A5789">
        <w:rPr>
          <w:sz w:val="21"/>
        </w:rPr>
        <w:t>可能需要通过资源外流来履行责任，且该责任所需金额可</w:t>
      </w:r>
      <w:proofErr w:type="gramStart"/>
      <w:r w:rsidRPr="007A5789">
        <w:rPr>
          <w:sz w:val="21"/>
        </w:rPr>
        <w:t>作出</w:t>
      </w:r>
      <w:proofErr w:type="gramEnd"/>
      <w:r w:rsidRPr="007A5789">
        <w:rPr>
          <w:sz w:val="21"/>
        </w:rPr>
        <w:t>可靠估计。</w:t>
      </w:r>
    </w:p>
    <w:p w:rsidR="007A5789" w:rsidRPr="001E1DEA" w:rsidRDefault="00131284" w:rsidP="001E1DEA">
      <w:pPr>
        <w:pStyle w:val="Style3Bold"/>
        <w:keepNext/>
        <w:spacing w:beforeLines="100" w:before="240" w:afterLines="50" w:line="340" w:lineRule="atLeast"/>
        <w:rPr>
          <w:sz w:val="21"/>
        </w:rPr>
      </w:pPr>
      <w:r w:rsidRPr="001E1DEA">
        <w:rPr>
          <w:sz w:val="21"/>
        </w:rPr>
        <w:t>分部报告</w:t>
      </w:r>
    </w:p>
    <w:p w:rsidR="00131284" w:rsidRP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分部报告基于组成WIPO的各</w:t>
      </w:r>
      <w:r w:rsidR="00F67EFB" w:rsidRPr="007A5789">
        <w:rPr>
          <w:rFonts w:hint="eastAsia"/>
          <w:sz w:val="21"/>
        </w:rPr>
        <w:t>个</w:t>
      </w:r>
      <w:r w:rsidRPr="007A5789">
        <w:rPr>
          <w:sz w:val="21"/>
        </w:rPr>
        <w:t>联盟。本组织发生的收入和开支根据经世界知识产权组织大会批准的分配方法[2014/15年计划和预算</w:t>
      </w:r>
      <w:r w:rsidR="006508E4" w:rsidRPr="007A5789">
        <w:rPr>
          <w:rFonts w:hint="eastAsia"/>
          <w:sz w:val="21"/>
        </w:rPr>
        <w:t>，</w:t>
      </w:r>
      <w:r w:rsidRPr="007A5789">
        <w:rPr>
          <w:sz w:val="21"/>
        </w:rPr>
        <w:t>附件三]在联盟之间进行分配。该方法结合直接收入和开支、工作人员数量和各联盟根据当前收入和储备金自身确定的支付能力，对每一计划和每一联盟的收入和开支进行分配。WIPO的资产与负债没有分配给各个部门，因为从整体来说所有权属于整个组织，然而，包括储备金和周转</w:t>
      </w:r>
      <w:r w:rsidR="006508E4" w:rsidRPr="007A5789">
        <w:rPr>
          <w:rFonts w:hint="eastAsia"/>
          <w:sz w:val="21"/>
        </w:rPr>
        <w:t>基金</w:t>
      </w:r>
      <w:r w:rsidRPr="007A5789">
        <w:rPr>
          <w:sz w:val="21"/>
        </w:rPr>
        <w:t>在内的本组织各联盟的净资产份额是以部门为单位确认的</w:t>
      </w:r>
      <w:r w:rsidR="00B6014B">
        <w:rPr>
          <w:sz w:val="21"/>
        </w:rPr>
        <w:t>（</w:t>
      </w:r>
      <w:r w:rsidRPr="007A5789">
        <w:rPr>
          <w:sz w:val="21"/>
        </w:rPr>
        <w:t>参见附注</w:t>
      </w:r>
      <w:r w:rsidR="006F192F">
        <w:rPr>
          <w:sz w:val="21"/>
        </w:rPr>
        <w:t>‍</w:t>
      </w:r>
      <w:r w:rsidRPr="007A5789">
        <w:rPr>
          <w:sz w:val="21"/>
        </w:rPr>
        <w:t>28</w:t>
      </w:r>
      <w:r w:rsidR="00B6014B">
        <w:rPr>
          <w:sz w:val="21"/>
        </w:rPr>
        <w:t>）</w:t>
      </w:r>
      <w:r w:rsidRPr="007A5789">
        <w:rPr>
          <w:sz w:val="21"/>
        </w:rPr>
        <w:t>。</w:t>
      </w:r>
    </w:p>
    <w:p w:rsidR="007A5789" w:rsidRPr="001E1DEA" w:rsidRDefault="00131284" w:rsidP="001E1DEA">
      <w:pPr>
        <w:pStyle w:val="Style3Bold"/>
        <w:keepNext/>
        <w:spacing w:beforeLines="100" w:before="240" w:afterLines="50" w:line="340" w:lineRule="atLeast"/>
        <w:rPr>
          <w:sz w:val="21"/>
        </w:rPr>
      </w:pPr>
      <w:r w:rsidRPr="001E1DEA">
        <w:rPr>
          <w:sz w:val="21"/>
        </w:rPr>
        <w:t>呈报的变化</w:t>
      </w:r>
    </w:p>
    <w:p w:rsidR="007A5789" w:rsidRDefault="00976868" w:rsidP="00134184">
      <w:pPr>
        <w:pStyle w:val="Style3"/>
        <w:numPr>
          <w:ilvl w:val="0"/>
          <w:numId w:val="11"/>
        </w:numPr>
        <w:tabs>
          <w:tab w:val="left" w:pos="770"/>
        </w:tabs>
        <w:overflowPunct w:val="0"/>
        <w:spacing w:afterLines="50" w:line="340" w:lineRule="atLeast"/>
        <w:ind w:left="0" w:firstLine="0"/>
        <w:rPr>
          <w:sz w:val="21"/>
        </w:rPr>
      </w:pPr>
      <w:r w:rsidRPr="007A5789">
        <w:rPr>
          <w:sz w:val="21"/>
        </w:rPr>
        <w:t>2015年，本组织的储备</w:t>
      </w:r>
      <w:proofErr w:type="gramStart"/>
      <w:r w:rsidRPr="007A5789">
        <w:rPr>
          <w:sz w:val="21"/>
        </w:rPr>
        <w:t>金政策</w:t>
      </w:r>
      <w:proofErr w:type="gramEnd"/>
      <w:r w:rsidRPr="007A5789">
        <w:rPr>
          <w:sz w:val="21"/>
        </w:rPr>
        <w:t>被WIPO成员国大会第五十五届系列会议修改并通过。修改后的政策包括建立名为</w:t>
      </w:r>
      <w:r w:rsidR="00AB6919">
        <w:rPr>
          <w:sz w:val="21"/>
        </w:rPr>
        <w:t>特别项目</w:t>
      </w:r>
      <w:r w:rsidRPr="007A5789">
        <w:rPr>
          <w:sz w:val="21"/>
        </w:rPr>
        <w:t>储备金的独立储备金。</w:t>
      </w:r>
      <w:r w:rsidR="00AB6919">
        <w:rPr>
          <w:sz w:val="21"/>
        </w:rPr>
        <w:t>特别项目</w:t>
      </w:r>
      <w:r w:rsidRPr="007A5789">
        <w:rPr>
          <w:sz w:val="21"/>
        </w:rPr>
        <w:t>储备金目前在财务报表中单独列出</w:t>
      </w:r>
      <w:r w:rsidR="00B6014B">
        <w:rPr>
          <w:sz w:val="21"/>
        </w:rPr>
        <w:t>（</w:t>
      </w:r>
      <w:r w:rsidRPr="007A5789">
        <w:rPr>
          <w:sz w:val="21"/>
        </w:rPr>
        <w:t>在财务状况表、净资产变动表及附注21净资产中</w:t>
      </w:r>
      <w:r w:rsidR="00B6014B">
        <w:rPr>
          <w:sz w:val="21"/>
        </w:rPr>
        <w:t>）</w:t>
      </w:r>
      <w:r w:rsidRPr="007A5789">
        <w:rPr>
          <w:sz w:val="21"/>
        </w:rPr>
        <w:t>。2014年可比呈报也被修改以单独披露</w:t>
      </w:r>
      <w:r w:rsidR="00AB6919">
        <w:rPr>
          <w:sz w:val="21"/>
        </w:rPr>
        <w:t>特别项目</w:t>
      </w:r>
      <w:r w:rsidRPr="007A5789">
        <w:rPr>
          <w:sz w:val="21"/>
        </w:rPr>
        <w:t>储备</w:t>
      </w:r>
      <w:r w:rsidR="006F192F">
        <w:rPr>
          <w:sz w:val="21"/>
        </w:rPr>
        <w:t>‍</w:t>
      </w:r>
      <w:r w:rsidRPr="007A5789">
        <w:rPr>
          <w:sz w:val="21"/>
        </w:rPr>
        <w:t>金。</w:t>
      </w:r>
    </w:p>
    <w:p w:rsidR="007A5789" w:rsidRPr="001E1DEA" w:rsidRDefault="00131284" w:rsidP="001E1DEA">
      <w:pPr>
        <w:pStyle w:val="Style3Bold"/>
        <w:keepNext/>
        <w:spacing w:beforeLines="100" w:before="240" w:afterLines="50" w:line="340" w:lineRule="atLeast"/>
        <w:rPr>
          <w:sz w:val="21"/>
        </w:rPr>
      </w:pPr>
      <w:r w:rsidRPr="001E1DEA">
        <w:rPr>
          <w:sz w:val="21"/>
        </w:rPr>
        <w:t>估计的使用</w:t>
      </w:r>
    </w:p>
    <w:p w:rsid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财务报表不可避免地包括了根据管理人员的估计和假设确定的数额。估计包括但不限于：ASHI、回国补助金以及旅费负债</w:t>
      </w:r>
      <w:r w:rsidR="00B6014B">
        <w:rPr>
          <w:sz w:val="21"/>
        </w:rPr>
        <w:t>（</w:t>
      </w:r>
      <w:r w:rsidRPr="007A5789">
        <w:rPr>
          <w:sz w:val="21"/>
        </w:rPr>
        <w:t>金额由独立精算师计算</w:t>
      </w:r>
      <w:r w:rsidR="00B6014B">
        <w:rPr>
          <w:sz w:val="21"/>
        </w:rPr>
        <w:t>）</w:t>
      </w:r>
      <w:r w:rsidRPr="007A5789">
        <w:rPr>
          <w:sz w:val="21"/>
        </w:rPr>
        <w:t>、其他雇员福利负债、诉讼准备金、出版物库存估值、应收账款的财务风险、应计费用和固定资产损耗度。实际数额可能与这些概算有所不同。对概算的修改将反映在已知发生实际数额所涉的时期。</w:t>
      </w:r>
    </w:p>
    <w:p w:rsidR="00131284" w:rsidRP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所有的数额都</w:t>
      </w:r>
      <w:proofErr w:type="gramStart"/>
      <w:r w:rsidRPr="007A5789">
        <w:rPr>
          <w:sz w:val="21"/>
        </w:rPr>
        <w:t>以千瑞郎</w:t>
      </w:r>
      <w:proofErr w:type="gramEnd"/>
      <w:r w:rsidRPr="007A5789">
        <w:rPr>
          <w:sz w:val="21"/>
        </w:rPr>
        <w:t>显示，因而可能会</w:t>
      </w:r>
      <w:proofErr w:type="gramStart"/>
      <w:r w:rsidRPr="007A5789">
        <w:rPr>
          <w:sz w:val="21"/>
        </w:rPr>
        <w:t>产生化整误差</w:t>
      </w:r>
      <w:proofErr w:type="gramEnd"/>
      <w:r w:rsidRPr="007A5789">
        <w:rPr>
          <w:sz w:val="21"/>
        </w:rPr>
        <w:t>。</w:t>
      </w:r>
    </w:p>
    <w:p w:rsidR="007A5789" w:rsidRPr="007C2134" w:rsidRDefault="004C08E2" w:rsidP="007C2134">
      <w:pPr>
        <w:pStyle w:val="3"/>
        <w:overflowPunct w:val="0"/>
        <w:spacing w:beforeLines="100" w:afterLines="50" w:after="120" w:line="340" w:lineRule="atLeast"/>
        <w:rPr>
          <w:rFonts w:ascii="SimHei" w:eastAsia="SimHei" w:hAnsi="SimHei"/>
          <w:b w:val="0"/>
          <w:sz w:val="21"/>
        </w:rPr>
      </w:pPr>
      <w:bookmarkStart w:id="51" w:name="_Toc441218491"/>
      <w:bookmarkStart w:id="52" w:name="_Toc455733222"/>
      <w:bookmarkStart w:id="53" w:name="_Toc456697871"/>
      <w:bookmarkStart w:id="54" w:name="_Toc456711737"/>
      <w:r w:rsidRPr="007C2134">
        <w:rPr>
          <w:rFonts w:ascii="SimHei" w:eastAsia="SimHei" w:hAnsi="SimHei"/>
          <w:b w:val="0"/>
          <w:sz w:val="21"/>
        </w:rPr>
        <w:lastRenderedPageBreak/>
        <w:t>附注3：现金和现金等价物</w:t>
      </w:r>
      <w:bookmarkEnd w:id="51"/>
      <w:bookmarkEnd w:id="52"/>
      <w:bookmarkEnd w:id="53"/>
      <w:bookmarkEnd w:id="54"/>
    </w:p>
    <w:p w:rsidR="00274C9E" w:rsidRPr="007A5789" w:rsidRDefault="00612CF1" w:rsidP="0069659C">
      <w:pPr>
        <w:spacing w:afterLines="50" w:after="120" w:line="340" w:lineRule="atLeast"/>
        <w:jc w:val="center"/>
        <w:rPr>
          <w:sz w:val="21"/>
        </w:rPr>
      </w:pPr>
      <w:r w:rsidRPr="0069659C">
        <w:rPr>
          <w:noProof/>
          <w:sz w:val="21"/>
          <w:lang w:val="en-US" w:bidi="ar-SA"/>
        </w:rPr>
        <w:drawing>
          <wp:inline distT="0" distB="0" distL="0" distR="0" wp14:anchorId="2A2D8AC5" wp14:editId="303167A2">
            <wp:extent cx="5931535" cy="3856355"/>
            <wp:effectExtent l="0" t="0" r="0" b="0"/>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31535" cy="3856355"/>
                    </a:xfrm>
                    <a:prstGeom prst="rect">
                      <a:avLst/>
                    </a:prstGeom>
                    <a:noFill/>
                    <a:ln>
                      <a:noFill/>
                    </a:ln>
                  </pic:spPr>
                </pic:pic>
              </a:graphicData>
            </a:graphic>
          </wp:inline>
        </w:drawing>
      </w:r>
    </w:p>
    <w:p w:rsidR="007A5789" w:rsidRDefault="00E05A41" w:rsidP="00134184">
      <w:pPr>
        <w:pStyle w:val="Style3"/>
        <w:numPr>
          <w:ilvl w:val="0"/>
          <w:numId w:val="12"/>
        </w:numPr>
        <w:tabs>
          <w:tab w:val="left" w:pos="770"/>
        </w:tabs>
        <w:overflowPunct w:val="0"/>
        <w:spacing w:afterLines="50" w:line="340" w:lineRule="atLeast"/>
        <w:ind w:left="0" w:firstLine="0"/>
        <w:rPr>
          <w:sz w:val="21"/>
          <w:szCs w:val="22"/>
        </w:rPr>
      </w:pPr>
      <w:r w:rsidRPr="007A5789">
        <w:rPr>
          <w:sz w:val="21"/>
        </w:rPr>
        <w:t>现金存款通常存储在可随时访问的银行账户和记息账户。2015年，本组织将大量现金存款转移至短期投资，通知期为31天或35天。这种调整是为了避免某些可随时访问的银行账户在实施负利率后产生费用。</w:t>
      </w:r>
    </w:p>
    <w:p w:rsidR="007A5789" w:rsidRDefault="00E05A41" w:rsidP="00134184">
      <w:pPr>
        <w:pStyle w:val="Style3"/>
        <w:numPr>
          <w:ilvl w:val="0"/>
          <w:numId w:val="12"/>
        </w:numPr>
        <w:tabs>
          <w:tab w:val="left" w:pos="770"/>
        </w:tabs>
        <w:overflowPunct w:val="0"/>
        <w:spacing w:afterLines="50" w:line="340" w:lineRule="atLeast"/>
        <w:ind w:left="0" w:firstLine="0"/>
        <w:rPr>
          <w:sz w:val="21"/>
          <w:szCs w:val="22"/>
        </w:rPr>
      </w:pPr>
      <w:r w:rsidRPr="007A5789">
        <w:rPr>
          <w:sz w:val="21"/>
        </w:rPr>
        <w:t>本组织继续持有瑞士联邦金融管理局</w:t>
      </w:r>
      <w:r w:rsidR="00B6014B">
        <w:rPr>
          <w:sz w:val="21"/>
        </w:rPr>
        <w:t>（</w:t>
      </w:r>
      <w:r w:rsidRPr="007A5789">
        <w:rPr>
          <w:sz w:val="21"/>
        </w:rPr>
        <w:t>AFF</w:t>
      </w:r>
      <w:r w:rsidR="00B6014B">
        <w:rPr>
          <w:sz w:val="21"/>
        </w:rPr>
        <w:t>）</w:t>
      </w:r>
      <w:r w:rsidRPr="007A5789">
        <w:rPr>
          <w:sz w:val="21"/>
        </w:rPr>
        <w:t>的存款账户。AFF执行关于开立和维持存款账户的新规定后，WIPO接到通知，自2015年年底起，WIPO不能再将存款放在AFF。但经WIPO请求，截止日期延长至2017年12月15日。根据延长的条件，WIPO不能</w:t>
      </w:r>
      <w:r w:rsidR="001A05C1" w:rsidRPr="007A5789">
        <w:rPr>
          <w:rFonts w:hint="eastAsia"/>
          <w:sz w:val="21"/>
        </w:rPr>
        <w:t>超出</w:t>
      </w:r>
      <w:r w:rsidRPr="007A5789">
        <w:rPr>
          <w:sz w:val="21"/>
        </w:rPr>
        <w:t>2015年9月底持有的存款余额。2015年1月，存在AFF的存款的利息为0.15%，</w:t>
      </w:r>
      <w:r w:rsidR="001A05C1" w:rsidRPr="007A5789">
        <w:rPr>
          <w:rFonts w:hint="eastAsia"/>
          <w:sz w:val="21"/>
        </w:rPr>
        <w:t>在当年</w:t>
      </w:r>
      <w:r w:rsidRPr="007A5789">
        <w:rPr>
          <w:sz w:val="21"/>
        </w:rPr>
        <w:t>剩余时间</w:t>
      </w:r>
      <w:r w:rsidR="001A05C1" w:rsidRPr="007A5789">
        <w:rPr>
          <w:rFonts w:hint="eastAsia"/>
          <w:sz w:val="21"/>
        </w:rPr>
        <w:t>则</w:t>
      </w:r>
      <w:r w:rsidRPr="007A5789">
        <w:rPr>
          <w:sz w:val="21"/>
        </w:rPr>
        <w:t>为0%。</w:t>
      </w:r>
    </w:p>
    <w:p w:rsidR="007A5789" w:rsidRDefault="00E05A41" w:rsidP="00134184">
      <w:pPr>
        <w:pStyle w:val="Style3"/>
        <w:numPr>
          <w:ilvl w:val="0"/>
          <w:numId w:val="12"/>
        </w:numPr>
        <w:tabs>
          <w:tab w:val="left" w:pos="770"/>
        </w:tabs>
        <w:overflowPunct w:val="0"/>
        <w:spacing w:afterLines="50" w:line="340" w:lineRule="atLeast"/>
        <w:ind w:left="0" w:firstLine="0"/>
        <w:rPr>
          <w:sz w:val="21"/>
        </w:rPr>
      </w:pPr>
      <w:r w:rsidRPr="007A5789">
        <w:rPr>
          <w:sz w:val="21"/>
        </w:rPr>
        <w:t>受限现金包括为第三方持有的往来账户。本组织为PCT、马德里及海牙体系下的申请</w:t>
      </w:r>
      <w:r w:rsidR="0069659C">
        <w:rPr>
          <w:rFonts w:hint="eastAsia"/>
          <w:sz w:val="21"/>
        </w:rPr>
        <w:t>人</w:t>
      </w:r>
      <w:r w:rsidRPr="007A5789">
        <w:rPr>
          <w:sz w:val="21"/>
        </w:rPr>
        <w:t>提供存放未来申请和续展所用资金的工具，以及为某些缔约方提供转移代表本组织所收集资金的工具。被分类为受限现金的还有由WIPO国际局受理局代表《马德里协定》和《议定书》以及《海牙协定》的缔约方以及代表PCT国际检索单位</w:t>
      </w:r>
      <w:r w:rsidR="00B6014B">
        <w:rPr>
          <w:sz w:val="21"/>
        </w:rPr>
        <w:t>（</w:t>
      </w:r>
      <w:r w:rsidRPr="007A5789">
        <w:rPr>
          <w:sz w:val="21"/>
        </w:rPr>
        <w:t>ISA</w:t>
      </w:r>
      <w:r w:rsidR="00B6014B">
        <w:rPr>
          <w:sz w:val="21"/>
        </w:rPr>
        <w:t>）</w:t>
      </w:r>
      <w:r w:rsidRPr="007A5789">
        <w:rPr>
          <w:sz w:val="21"/>
        </w:rPr>
        <w:t>所收取的</w:t>
      </w:r>
      <w:proofErr w:type="gramStart"/>
      <w:r w:rsidRPr="007A5789">
        <w:rPr>
          <w:sz w:val="21"/>
        </w:rPr>
        <w:t>规</w:t>
      </w:r>
      <w:proofErr w:type="gramEnd"/>
      <w:r w:rsidRPr="007A5789">
        <w:rPr>
          <w:sz w:val="21"/>
        </w:rPr>
        <w:t>费。此外，收到的与商标未决程序相关</w:t>
      </w:r>
      <w:r w:rsidR="0069659C">
        <w:rPr>
          <w:rFonts w:hint="eastAsia"/>
          <w:sz w:val="21"/>
        </w:rPr>
        <w:t>预付款</w:t>
      </w:r>
      <w:r w:rsidR="00B6014B">
        <w:rPr>
          <w:sz w:val="21"/>
        </w:rPr>
        <w:t>（</w:t>
      </w:r>
      <w:r w:rsidRPr="007A5789">
        <w:rPr>
          <w:sz w:val="21"/>
        </w:rPr>
        <w:t>预计向本组织缴纳的预付款</w:t>
      </w:r>
      <w:r w:rsidR="0069659C">
        <w:rPr>
          <w:rFonts w:hint="eastAsia"/>
          <w:sz w:val="21"/>
        </w:rPr>
        <w:t>部分</w:t>
      </w:r>
      <w:r w:rsidRPr="007A5789">
        <w:rPr>
          <w:sz w:val="21"/>
        </w:rPr>
        <w:t>除外</w:t>
      </w:r>
      <w:r w:rsidR="00B6014B">
        <w:rPr>
          <w:sz w:val="21"/>
        </w:rPr>
        <w:t>）</w:t>
      </w:r>
      <w:r w:rsidRPr="007A5789">
        <w:rPr>
          <w:sz w:val="21"/>
        </w:rPr>
        <w:t>，为代表第三方收取的资金，被认为是受限制资金。</w:t>
      </w:r>
    </w:p>
    <w:p w:rsidR="007A5789" w:rsidRDefault="00534DA0" w:rsidP="00134184">
      <w:pPr>
        <w:pStyle w:val="Style3"/>
        <w:numPr>
          <w:ilvl w:val="0"/>
          <w:numId w:val="12"/>
        </w:numPr>
        <w:tabs>
          <w:tab w:val="left" w:pos="770"/>
        </w:tabs>
        <w:overflowPunct w:val="0"/>
        <w:spacing w:afterLines="50" w:line="340" w:lineRule="atLeast"/>
        <w:ind w:left="0" w:firstLine="0"/>
        <w:rPr>
          <w:sz w:val="21"/>
        </w:rPr>
      </w:pPr>
      <w:r w:rsidRPr="007A5789">
        <w:rPr>
          <w:sz w:val="21"/>
        </w:rPr>
        <w:t>本组织持有未来离职后雇员福利负债融资资金，包括ASHI。这些资金存放在独立的银行账户中并被分类为受限现金。截至2015年12月31日，存放在独立银行账户中的这些资金的余额为8,890</w:t>
      </w:r>
      <w:proofErr w:type="gramStart"/>
      <w:r w:rsidRPr="007A5789">
        <w:rPr>
          <w:sz w:val="21"/>
        </w:rPr>
        <w:t>万瑞</w:t>
      </w:r>
      <w:proofErr w:type="gramEnd"/>
      <w:r w:rsidRPr="007A5789">
        <w:rPr>
          <w:sz w:val="21"/>
        </w:rPr>
        <w:t>郎。2015年，用于为离职后雇员福利融资的员额成本计提产生1,320</w:t>
      </w:r>
      <w:proofErr w:type="gramStart"/>
      <w:r w:rsidRPr="007A5789">
        <w:rPr>
          <w:sz w:val="21"/>
        </w:rPr>
        <w:t>万瑞</w:t>
      </w:r>
      <w:proofErr w:type="gramEnd"/>
      <w:r w:rsidRPr="007A5789">
        <w:rPr>
          <w:sz w:val="21"/>
        </w:rPr>
        <w:t>郎的额外资金。这些资金将于2016年转入独立的银行账户。</w:t>
      </w:r>
    </w:p>
    <w:p w:rsidR="00E05A41" w:rsidRPr="007A5789" w:rsidRDefault="00E05A41" w:rsidP="00134184">
      <w:pPr>
        <w:pStyle w:val="Style3"/>
        <w:numPr>
          <w:ilvl w:val="0"/>
          <w:numId w:val="12"/>
        </w:numPr>
        <w:tabs>
          <w:tab w:val="left" w:pos="770"/>
        </w:tabs>
        <w:overflowPunct w:val="0"/>
        <w:spacing w:afterLines="50" w:line="340" w:lineRule="atLeast"/>
        <w:ind w:left="0" w:firstLine="0"/>
        <w:rPr>
          <w:sz w:val="21"/>
          <w:szCs w:val="22"/>
        </w:rPr>
      </w:pPr>
      <w:r w:rsidRPr="007A5789">
        <w:rPr>
          <w:sz w:val="21"/>
        </w:rPr>
        <w:t>根据与信托基金捐助方的约定，代表自愿捐助的捐助人持有的特别账户被分类为受限现金并以报告</w:t>
      </w:r>
      <w:r w:rsidR="00D1421A" w:rsidRPr="007A5789">
        <w:rPr>
          <w:sz w:val="21"/>
        </w:rPr>
        <w:t>支出</w:t>
      </w:r>
      <w:r w:rsidR="00D1421A" w:rsidRPr="007A5789">
        <w:rPr>
          <w:rFonts w:hint="eastAsia"/>
          <w:sz w:val="21"/>
        </w:rPr>
        <w:t>时</w:t>
      </w:r>
      <w:r w:rsidR="00D1421A" w:rsidRPr="007A5789">
        <w:rPr>
          <w:sz w:val="21"/>
        </w:rPr>
        <w:t>使用</w:t>
      </w:r>
      <w:r w:rsidRPr="007A5789">
        <w:rPr>
          <w:sz w:val="21"/>
        </w:rPr>
        <w:t>的币种存储。</w:t>
      </w:r>
      <w:bookmarkStart w:id="55" w:name="_Toc441218492"/>
    </w:p>
    <w:p w:rsidR="004C08E2" w:rsidRPr="007C2134" w:rsidRDefault="004C08E2" w:rsidP="007C2134">
      <w:pPr>
        <w:pStyle w:val="3"/>
        <w:overflowPunct w:val="0"/>
        <w:spacing w:beforeLines="100" w:afterLines="50" w:after="120" w:line="340" w:lineRule="atLeast"/>
        <w:rPr>
          <w:rFonts w:ascii="SimHei" w:eastAsia="SimHei" w:hAnsi="SimHei"/>
          <w:b w:val="0"/>
          <w:sz w:val="21"/>
        </w:rPr>
      </w:pPr>
      <w:bookmarkStart w:id="56" w:name="_Toc455733223"/>
      <w:bookmarkStart w:id="57" w:name="_Toc456697872"/>
      <w:bookmarkStart w:id="58" w:name="_Toc456711738"/>
      <w:r w:rsidRPr="007C2134">
        <w:rPr>
          <w:rFonts w:ascii="SimHei" w:eastAsia="SimHei" w:hAnsi="SimHei"/>
          <w:b w:val="0"/>
          <w:sz w:val="21"/>
        </w:rPr>
        <w:lastRenderedPageBreak/>
        <w:t>附注4：应收账款、预付款和预付项目</w:t>
      </w:r>
      <w:bookmarkEnd w:id="55"/>
      <w:bookmarkEnd w:id="56"/>
      <w:bookmarkEnd w:id="57"/>
      <w:bookmarkEnd w:id="58"/>
    </w:p>
    <w:p w:rsidR="00274C9E" w:rsidRPr="007A5789" w:rsidRDefault="00612CF1" w:rsidP="00B87A4B">
      <w:pPr>
        <w:spacing w:afterLines="50" w:after="120" w:line="340" w:lineRule="atLeast"/>
        <w:jc w:val="center"/>
        <w:rPr>
          <w:sz w:val="21"/>
        </w:rPr>
      </w:pPr>
      <w:r w:rsidRPr="00EF7E79">
        <w:rPr>
          <w:noProof/>
          <w:sz w:val="21"/>
          <w:lang w:val="en-US" w:bidi="ar-SA"/>
        </w:rPr>
        <w:drawing>
          <wp:inline distT="0" distB="0" distL="0" distR="0" wp14:anchorId="78855169" wp14:editId="2D913291">
            <wp:extent cx="5931535" cy="7362825"/>
            <wp:effectExtent l="0" t="0" r="0" b="0"/>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31535" cy="7362825"/>
                    </a:xfrm>
                    <a:prstGeom prst="rect">
                      <a:avLst/>
                    </a:prstGeom>
                    <a:noFill/>
                    <a:ln>
                      <a:noFill/>
                    </a:ln>
                  </pic:spPr>
                </pic:pic>
              </a:graphicData>
            </a:graphic>
          </wp:inline>
        </w:drawing>
      </w:r>
    </w:p>
    <w:p w:rsidR="007A5789" w:rsidRDefault="00534DA0" w:rsidP="00134184">
      <w:pPr>
        <w:pStyle w:val="Style3"/>
        <w:numPr>
          <w:ilvl w:val="0"/>
          <w:numId w:val="13"/>
        </w:numPr>
        <w:tabs>
          <w:tab w:val="left" w:pos="770"/>
        </w:tabs>
        <w:overflowPunct w:val="0"/>
        <w:spacing w:afterLines="50" w:line="340" w:lineRule="atLeast"/>
        <w:ind w:left="0" w:firstLine="0"/>
        <w:rPr>
          <w:sz w:val="21"/>
        </w:rPr>
      </w:pPr>
      <w:r w:rsidRPr="007A5789">
        <w:rPr>
          <w:sz w:val="21"/>
        </w:rPr>
        <w:t>分摊会费为WIPO单一会费制度的未收收入，由成员国大会和WIPO管理的各联盟批准。成员国大会设定以瑞士法郎计</w:t>
      </w:r>
      <w:r w:rsidR="00DE47C7" w:rsidRPr="007A5789">
        <w:rPr>
          <w:rFonts w:hint="eastAsia"/>
          <w:sz w:val="21"/>
        </w:rPr>
        <w:t>算</w:t>
      </w:r>
      <w:r w:rsidRPr="007A5789">
        <w:rPr>
          <w:sz w:val="21"/>
        </w:rPr>
        <w:t>的会费单位数值，并确定两年期财政年度预算。每一会费等级要求缴纳具体数量的会费单位。除某些发展中国家自动列入三个特殊等级之一之外，成员国自由选择确定其缴纳会费基准的等级。</w:t>
      </w:r>
    </w:p>
    <w:p w:rsidR="007A5789" w:rsidRDefault="00534DA0" w:rsidP="00134184">
      <w:pPr>
        <w:pStyle w:val="Style3"/>
        <w:numPr>
          <w:ilvl w:val="0"/>
          <w:numId w:val="13"/>
        </w:numPr>
        <w:tabs>
          <w:tab w:val="left" w:pos="770"/>
        </w:tabs>
        <w:overflowPunct w:val="0"/>
        <w:spacing w:afterLines="50" w:line="340" w:lineRule="atLeast"/>
        <w:ind w:left="0" w:firstLine="0"/>
        <w:rPr>
          <w:sz w:val="21"/>
          <w:szCs w:val="22"/>
        </w:rPr>
      </w:pPr>
      <w:r w:rsidRPr="007A5789">
        <w:rPr>
          <w:sz w:val="21"/>
        </w:rPr>
        <w:lastRenderedPageBreak/>
        <w:t>设立了</w:t>
      </w:r>
      <w:proofErr w:type="gramStart"/>
      <w:r w:rsidRPr="007A5789">
        <w:rPr>
          <w:sz w:val="21"/>
        </w:rPr>
        <w:t>一项备抵金</w:t>
      </w:r>
      <w:proofErr w:type="gramEnd"/>
      <w:r w:rsidRPr="007A5789">
        <w:rPr>
          <w:sz w:val="21"/>
        </w:rPr>
        <w:t>，用以抵</w:t>
      </w:r>
      <w:r w:rsidR="00360370" w:rsidRPr="007A5789">
        <w:rPr>
          <w:rFonts w:hint="eastAsia"/>
          <w:sz w:val="21"/>
        </w:rPr>
        <w:t>消</w:t>
      </w:r>
      <w:r w:rsidRPr="007A5789">
        <w:rPr>
          <w:sz w:val="21"/>
        </w:rPr>
        <w:t>分摊会费应收账款和涉及1994年采用单一会费之前各联盟欠付的应收周转基金会费两种数值。</w:t>
      </w:r>
      <w:proofErr w:type="gramStart"/>
      <w:r w:rsidRPr="007A5789">
        <w:rPr>
          <w:sz w:val="21"/>
        </w:rPr>
        <w:t>这项备抵金</w:t>
      </w:r>
      <w:proofErr w:type="gramEnd"/>
      <w:r w:rsidR="00134E5A" w:rsidRPr="007A5789">
        <w:rPr>
          <w:rFonts w:hint="eastAsia"/>
          <w:sz w:val="21"/>
        </w:rPr>
        <w:t>用于</w:t>
      </w:r>
      <w:r w:rsidRPr="007A5789">
        <w:rPr>
          <w:sz w:val="21"/>
        </w:rPr>
        <w:t>支付根据</w:t>
      </w:r>
      <w:r w:rsidR="006118F6" w:rsidRPr="007A5789">
        <w:rPr>
          <w:rFonts w:hint="eastAsia"/>
          <w:sz w:val="21"/>
        </w:rPr>
        <w:t>《</w:t>
      </w:r>
      <w:r w:rsidRPr="007A5789">
        <w:rPr>
          <w:sz w:val="21"/>
        </w:rPr>
        <w:t>WIPO公约</w:t>
      </w:r>
      <w:r w:rsidR="00134E5A" w:rsidRPr="007A5789">
        <w:rPr>
          <w:rFonts w:hint="eastAsia"/>
          <w:sz w:val="21"/>
        </w:rPr>
        <w:t>》</w:t>
      </w:r>
      <w:r w:rsidRPr="007A5789">
        <w:rPr>
          <w:sz w:val="21"/>
        </w:rPr>
        <w:t>第11条第5</w:t>
      </w:r>
      <w:r w:rsidR="00134E5A" w:rsidRPr="007A5789">
        <w:rPr>
          <w:rFonts w:hint="eastAsia"/>
          <w:sz w:val="21"/>
        </w:rPr>
        <w:t>款</w:t>
      </w:r>
      <w:r w:rsidRPr="007A5789">
        <w:rPr>
          <w:sz w:val="21"/>
        </w:rPr>
        <w:t>已丧失选举权的成员国欠交数额和大会决定冻结的最不发达国家的会费。截至2015年12月31日，</w:t>
      </w:r>
      <w:proofErr w:type="gramStart"/>
      <w:r w:rsidRPr="007A5789">
        <w:rPr>
          <w:sz w:val="21"/>
        </w:rPr>
        <w:t>备抵金</w:t>
      </w:r>
      <w:proofErr w:type="gramEnd"/>
      <w:r w:rsidRPr="007A5789">
        <w:rPr>
          <w:sz w:val="21"/>
        </w:rPr>
        <w:t>总计为630</w:t>
      </w:r>
      <w:proofErr w:type="gramStart"/>
      <w:r w:rsidRPr="007A5789">
        <w:rPr>
          <w:sz w:val="21"/>
        </w:rPr>
        <w:t>万瑞</w:t>
      </w:r>
      <w:proofErr w:type="gramEnd"/>
      <w:r w:rsidRPr="007A5789">
        <w:rPr>
          <w:sz w:val="21"/>
        </w:rPr>
        <w:t>郎[截至2014年12月31日为680</w:t>
      </w:r>
      <w:proofErr w:type="gramStart"/>
      <w:r w:rsidRPr="007A5789">
        <w:rPr>
          <w:sz w:val="21"/>
        </w:rPr>
        <w:t>万瑞</w:t>
      </w:r>
      <w:proofErr w:type="gramEnd"/>
      <w:r w:rsidRPr="007A5789">
        <w:rPr>
          <w:sz w:val="21"/>
        </w:rPr>
        <w:t>郎]。</w:t>
      </w:r>
    </w:p>
    <w:p w:rsidR="007A5789" w:rsidRDefault="00534DA0" w:rsidP="00134184">
      <w:pPr>
        <w:pStyle w:val="Style3"/>
        <w:numPr>
          <w:ilvl w:val="0"/>
          <w:numId w:val="13"/>
        </w:numPr>
        <w:tabs>
          <w:tab w:val="left" w:pos="770"/>
        </w:tabs>
        <w:overflowPunct w:val="0"/>
        <w:spacing w:afterLines="50" w:line="340" w:lineRule="atLeast"/>
        <w:ind w:left="0" w:firstLine="0"/>
        <w:rPr>
          <w:sz w:val="21"/>
          <w:szCs w:val="22"/>
        </w:rPr>
      </w:pPr>
      <w:r w:rsidRPr="007A5789">
        <w:rPr>
          <w:sz w:val="21"/>
        </w:rPr>
        <w:t>PCT</w:t>
      </w:r>
      <w:r w:rsidR="00134E5A" w:rsidRPr="007A5789">
        <w:rPr>
          <w:rFonts w:hint="eastAsia"/>
          <w:sz w:val="21"/>
        </w:rPr>
        <w:t>应收</w:t>
      </w:r>
      <w:r w:rsidR="00134E5A" w:rsidRPr="007A5789">
        <w:rPr>
          <w:sz w:val="21"/>
        </w:rPr>
        <w:t>款项</w:t>
      </w:r>
      <w:r w:rsidRPr="007A5789">
        <w:rPr>
          <w:sz w:val="21"/>
        </w:rPr>
        <w:t>指的是在报告日期之前提交的PCT申请的未付国际申请</w:t>
      </w:r>
      <w:proofErr w:type="gramStart"/>
      <w:r w:rsidRPr="007A5789">
        <w:rPr>
          <w:sz w:val="21"/>
        </w:rPr>
        <w:t>规</w:t>
      </w:r>
      <w:proofErr w:type="gramEnd"/>
      <w:r w:rsidRPr="007A5789">
        <w:rPr>
          <w:sz w:val="21"/>
        </w:rPr>
        <w:t>费。包括对国家受理局在报告日之前收到但不是在报告日之前传递给本组织PCT国际局的国际专利申请的估算。</w:t>
      </w:r>
    </w:p>
    <w:p w:rsidR="007A5789" w:rsidRDefault="00534DA0" w:rsidP="00134184">
      <w:pPr>
        <w:pStyle w:val="Style3"/>
        <w:numPr>
          <w:ilvl w:val="0"/>
          <w:numId w:val="13"/>
        </w:numPr>
        <w:tabs>
          <w:tab w:val="left" w:pos="770"/>
        </w:tabs>
        <w:overflowPunct w:val="0"/>
        <w:spacing w:afterLines="50" w:line="340" w:lineRule="atLeast"/>
        <w:ind w:left="0" w:firstLine="0"/>
        <w:rPr>
          <w:sz w:val="21"/>
          <w:szCs w:val="22"/>
        </w:rPr>
      </w:pPr>
      <w:r w:rsidRPr="007A5789">
        <w:rPr>
          <w:sz w:val="21"/>
        </w:rPr>
        <w:t>国际工作人员，居住在其本国的除外，均可领取一笔补助金，这笔补助金可以支付75.0%的受抚养子女教育费，直至高等教育学习的第四年为止，但是不能超过每一子女年满25周岁这一学年</w:t>
      </w:r>
      <w:r w:rsidR="009876C5" w:rsidRPr="007A5789">
        <w:rPr>
          <w:rFonts w:hint="eastAsia"/>
          <w:sz w:val="21"/>
        </w:rPr>
        <w:t>的</w:t>
      </w:r>
      <w:r w:rsidRPr="007A5789">
        <w:rPr>
          <w:sz w:val="21"/>
        </w:rPr>
        <w:t>年底。为每一国家设立了最高补助金限额。国际工作人员可以领取一笔预付金，这笔预付金相当每一子女在入学之初教育补助金的估算金额。工作人员教育补助金预付款为2015-2016学年的补助金总额。</w:t>
      </w:r>
    </w:p>
    <w:p w:rsidR="007A5789" w:rsidRDefault="00534DA0" w:rsidP="00134184">
      <w:pPr>
        <w:pStyle w:val="Style3"/>
        <w:numPr>
          <w:ilvl w:val="0"/>
          <w:numId w:val="13"/>
        </w:numPr>
        <w:tabs>
          <w:tab w:val="left" w:pos="770"/>
        </w:tabs>
        <w:overflowPunct w:val="0"/>
        <w:spacing w:afterLines="50" w:line="340" w:lineRule="atLeast"/>
        <w:ind w:left="0" w:firstLine="0"/>
        <w:rPr>
          <w:sz w:val="21"/>
          <w:szCs w:val="22"/>
        </w:rPr>
      </w:pPr>
      <w:r w:rsidRPr="007A5789">
        <w:rPr>
          <w:sz w:val="21"/>
        </w:rPr>
        <w:t>向联合国开发计划署</w:t>
      </w:r>
      <w:r w:rsidR="00B6014B">
        <w:rPr>
          <w:sz w:val="21"/>
        </w:rPr>
        <w:t>（</w:t>
      </w:r>
      <w:r w:rsidRPr="007A5789">
        <w:rPr>
          <w:sz w:val="21"/>
        </w:rPr>
        <w:t>UNDP</w:t>
      </w:r>
      <w:r w:rsidR="00B6014B">
        <w:rPr>
          <w:sz w:val="21"/>
        </w:rPr>
        <w:t>）</w:t>
      </w:r>
      <w:r w:rsidRPr="007A5789">
        <w:rPr>
          <w:sz w:val="21"/>
        </w:rPr>
        <w:t>预付的资金被用来以本组织名义付款。所显示的债务总额包括因付款尚未收到确认或付款确认正在被验证过程中而向UNDP提出的要求数额。国际植物新品种保护联盟</w:t>
      </w:r>
      <w:r w:rsidR="00B6014B">
        <w:rPr>
          <w:sz w:val="21"/>
        </w:rPr>
        <w:t>（</w:t>
      </w:r>
      <w:r w:rsidRPr="007A5789">
        <w:rPr>
          <w:sz w:val="21"/>
        </w:rPr>
        <w:t>UPOV</w:t>
      </w:r>
      <w:r w:rsidR="00B6014B">
        <w:rPr>
          <w:sz w:val="21"/>
        </w:rPr>
        <w:t>）</w:t>
      </w:r>
      <w:r w:rsidRPr="007A5789">
        <w:rPr>
          <w:sz w:val="21"/>
        </w:rPr>
        <w:t>可补偿支出是本组织代表UPOV支付但尚未收到还款的款项。</w:t>
      </w:r>
    </w:p>
    <w:p w:rsidR="00274C9E" w:rsidRPr="007A5789" w:rsidRDefault="00ED56EC" w:rsidP="00134184">
      <w:pPr>
        <w:pStyle w:val="Style3"/>
        <w:numPr>
          <w:ilvl w:val="0"/>
          <w:numId w:val="13"/>
        </w:numPr>
        <w:tabs>
          <w:tab w:val="left" w:pos="770"/>
        </w:tabs>
        <w:overflowPunct w:val="0"/>
        <w:spacing w:afterLines="50" w:line="340" w:lineRule="atLeast"/>
        <w:ind w:left="0" w:firstLine="0"/>
        <w:rPr>
          <w:sz w:val="21"/>
          <w:szCs w:val="22"/>
        </w:rPr>
      </w:pPr>
      <w:r w:rsidRPr="007A5789">
        <w:rPr>
          <w:sz w:val="21"/>
        </w:rPr>
        <w:t>应退美国税款指的是为缴纳美利坚合众国的所得税而代表WIPO雇佣的美国公民向美国当局预付的款项。根据本组织与美利坚合众国之间的协议，这些税款将向本组织偿还。应退美国税款是以摊销成本计量，并按照历史支付模式计算。瑞士可偿还税款包括支付VAT、印花税和瑞士联邦预扣税款。根据本组织与瑞士政府的总部协定，本组织具有被偿还税款资格。</w:t>
      </w:r>
    </w:p>
    <w:p w:rsidR="007A5789" w:rsidRPr="007C2134" w:rsidRDefault="004C08E2" w:rsidP="007C2134">
      <w:pPr>
        <w:pStyle w:val="3"/>
        <w:overflowPunct w:val="0"/>
        <w:spacing w:beforeLines="100" w:afterLines="50" w:after="120" w:line="340" w:lineRule="atLeast"/>
        <w:rPr>
          <w:rFonts w:ascii="SimHei" w:eastAsia="SimHei" w:hAnsi="SimHei"/>
          <w:b w:val="0"/>
          <w:sz w:val="21"/>
        </w:rPr>
      </w:pPr>
      <w:bookmarkStart w:id="59" w:name="_Toc441218493"/>
      <w:bookmarkStart w:id="60" w:name="_Toc455733224"/>
      <w:bookmarkStart w:id="61" w:name="_Toc456697873"/>
      <w:bookmarkStart w:id="62" w:name="_Toc456711739"/>
      <w:r w:rsidRPr="007C2134">
        <w:rPr>
          <w:rFonts w:ascii="SimHei" w:eastAsia="SimHei" w:hAnsi="SimHei"/>
          <w:b w:val="0"/>
          <w:sz w:val="21"/>
        </w:rPr>
        <w:t>附注5：库存</w:t>
      </w:r>
      <w:bookmarkEnd w:id="59"/>
      <w:bookmarkEnd w:id="60"/>
      <w:bookmarkEnd w:id="61"/>
      <w:bookmarkEnd w:id="62"/>
    </w:p>
    <w:p w:rsidR="00274C9E" w:rsidRPr="007A5789" w:rsidRDefault="00612CF1" w:rsidP="0069659C">
      <w:pPr>
        <w:spacing w:afterLines="50" w:after="120" w:line="340" w:lineRule="atLeast"/>
        <w:jc w:val="center"/>
        <w:rPr>
          <w:sz w:val="21"/>
        </w:rPr>
      </w:pPr>
      <w:r w:rsidRPr="00EF7E79">
        <w:rPr>
          <w:noProof/>
          <w:sz w:val="21"/>
          <w:lang w:val="en-US" w:bidi="ar-SA"/>
        </w:rPr>
        <w:drawing>
          <wp:inline distT="0" distB="0" distL="0" distR="0" wp14:anchorId="5A90994E" wp14:editId="78561B47">
            <wp:extent cx="5804535" cy="1654175"/>
            <wp:effectExtent l="0" t="0" r="5715" b="0"/>
            <wp:docPr id="319"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04535" cy="1654175"/>
                    </a:xfrm>
                    <a:prstGeom prst="rect">
                      <a:avLst/>
                    </a:prstGeom>
                    <a:noFill/>
                    <a:ln>
                      <a:noFill/>
                    </a:ln>
                  </pic:spPr>
                </pic:pic>
              </a:graphicData>
            </a:graphic>
          </wp:inline>
        </w:drawing>
      </w:r>
    </w:p>
    <w:p w:rsidR="004B1BE2" w:rsidRPr="007A5789" w:rsidRDefault="00534DA0" w:rsidP="00134184">
      <w:pPr>
        <w:pStyle w:val="af"/>
        <w:numPr>
          <w:ilvl w:val="0"/>
          <w:numId w:val="14"/>
        </w:numPr>
        <w:tabs>
          <w:tab w:val="left" w:pos="770"/>
        </w:tabs>
        <w:overflowPunct w:val="0"/>
        <w:spacing w:afterLines="50" w:after="120" w:line="340" w:lineRule="atLeast"/>
        <w:ind w:left="0" w:firstLine="0"/>
        <w:rPr>
          <w:rStyle w:val="Style3Char"/>
          <w:sz w:val="21"/>
          <w:szCs w:val="22"/>
        </w:rPr>
      </w:pPr>
      <w:r w:rsidRPr="007A5789">
        <w:rPr>
          <w:rStyle w:val="Style3Char"/>
          <w:sz w:val="21"/>
        </w:rPr>
        <w:t>成品出版物的库存到可实现净值的减值达到27,000瑞郎</w:t>
      </w:r>
      <w:r w:rsidR="00B6014B">
        <w:rPr>
          <w:rStyle w:val="Style3Char"/>
          <w:sz w:val="21"/>
        </w:rPr>
        <w:t>（</w:t>
      </w:r>
      <w:r w:rsidRPr="007A5789">
        <w:rPr>
          <w:rStyle w:val="Style3Char"/>
          <w:sz w:val="21"/>
        </w:rPr>
        <w:t>2014年为59,000瑞郎</w:t>
      </w:r>
      <w:r w:rsidR="00B6014B">
        <w:rPr>
          <w:rStyle w:val="Style3Char"/>
          <w:sz w:val="21"/>
        </w:rPr>
        <w:t>）</w:t>
      </w:r>
      <w:r w:rsidRPr="007A5789">
        <w:rPr>
          <w:rStyle w:val="Style3Char"/>
          <w:sz w:val="21"/>
        </w:rPr>
        <w:t>。没有出现任何减值的逆转。</w:t>
      </w:r>
    </w:p>
    <w:p w:rsidR="007A5789" w:rsidRPr="007C2134" w:rsidRDefault="004C08E2" w:rsidP="007C2134">
      <w:pPr>
        <w:pStyle w:val="3"/>
        <w:overflowPunct w:val="0"/>
        <w:spacing w:beforeLines="100" w:afterLines="50" w:after="120" w:line="340" w:lineRule="atLeast"/>
        <w:rPr>
          <w:rFonts w:ascii="SimHei" w:eastAsia="SimHei" w:hAnsi="SimHei"/>
          <w:b w:val="0"/>
          <w:sz w:val="21"/>
        </w:rPr>
      </w:pPr>
      <w:bookmarkStart w:id="63" w:name="_Toc441218494"/>
      <w:bookmarkStart w:id="64" w:name="_Toc455733225"/>
      <w:bookmarkStart w:id="65" w:name="_Toc456697874"/>
      <w:bookmarkStart w:id="66" w:name="_Toc456711740"/>
      <w:r w:rsidRPr="007C2134">
        <w:rPr>
          <w:rFonts w:ascii="SimHei" w:eastAsia="SimHei" w:hAnsi="SimHei"/>
          <w:b w:val="0"/>
          <w:sz w:val="21"/>
        </w:rPr>
        <w:lastRenderedPageBreak/>
        <w:t>附注6：设备</w:t>
      </w:r>
      <w:bookmarkEnd w:id="63"/>
      <w:bookmarkEnd w:id="64"/>
      <w:bookmarkEnd w:id="65"/>
      <w:bookmarkEnd w:id="66"/>
    </w:p>
    <w:p w:rsidR="00A62F43" w:rsidRPr="007A5789" w:rsidRDefault="00612CF1" w:rsidP="00612CF1">
      <w:pPr>
        <w:spacing w:afterLines="50" w:after="120" w:line="340" w:lineRule="atLeast"/>
        <w:jc w:val="center"/>
        <w:rPr>
          <w:sz w:val="21"/>
        </w:rPr>
      </w:pPr>
      <w:r w:rsidRPr="00EF7E79">
        <w:rPr>
          <w:noProof/>
          <w:sz w:val="21"/>
          <w:lang w:val="en-US" w:bidi="ar-SA"/>
        </w:rPr>
        <w:drawing>
          <wp:inline distT="0" distB="0" distL="0" distR="0" wp14:anchorId="23BCBDE5" wp14:editId="1ACDB4F0">
            <wp:extent cx="5940425" cy="3539272"/>
            <wp:effectExtent l="0" t="0" r="3175" b="0"/>
            <wp:docPr id="320"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0425" cy="3539272"/>
                    </a:xfrm>
                    <a:prstGeom prst="rect">
                      <a:avLst/>
                    </a:prstGeom>
                    <a:noFill/>
                    <a:ln>
                      <a:noFill/>
                    </a:ln>
                  </pic:spPr>
                </pic:pic>
              </a:graphicData>
            </a:graphic>
          </wp:inline>
        </w:drawing>
      </w:r>
    </w:p>
    <w:p w:rsidR="00D52684" w:rsidRPr="007A5789" w:rsidRDefault="00612CF1" w:rsidP="00612CF1">
      <w:pPr>
        <w:spacing w:afterLines="50" w:after="120" w:line="340" w:lineRule="atLeast"/>
        <w:jc w:val="center"/>
        <w:rPr>
          <w:sz w:val="21"/>
        </w:rPr>
      </w:pPr>
      <w:r w:rsidRPr="00EF7E79">
        <w:rPr>
          <w:noProof/>
          <w:sz w:val="21"/>
          <w:lang w:val="en-US" w:bidi="ar-SA"/>
        </w:rPr>
        <w:drawing>
          <wp:inline distT="0" distB="0" distL="0" distR="0" wp14:anchorId="6CCC4687" wp14:editId="73BA9B9B">
            <wp:extent cx="5940425" cy="3404893"/>
            <wp:effectExtent l="0" t="0" r="3175" b="0"/>
            <wp:docPr id="321"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40425" cy="3404893"/>
                    </a:xfrm>
                    <a:prstGeom prst="rect">
                      <a:avLst/>
                    </a:prstGeom>
                    <a:noFill/>
                    <a:ln>
                      <a:noFill/>
                    </a:ln>
                  </pic:spPr>
                </pic:pic>
              </a:graphicData>
            </a:graphic>
          </wp:inline>
        </w:drawing>
      </w:r>
    </w:p>
    <w:p w:rsidR="004B1BE2" w:rsidRPr="007A5789" w:rsidRDefault="00EF30E4" w:rsidP="002C437E">
      <w:pPr>
        <w:pStyle w:val="af"/>
        <w:overflowPunct w:val="0"/>
        <w:spacing w:afterLines="50" w:after="120" w:line="340" w:lineRule="atLeast"/>
        <w:ind w:left="0"/>
        <w:jc w:val="both"/>
        <w:rPr>
          <w:sz w:val="21"/>
          <w:szCs w:val="22"/>
        </w:rPr>
      </w:pPr>
      <w:r w:rsidRPr="007A5789">
        <w:rPr>
          <w:sz w:val="21"/>
        </w:rPr>
        <w:t>6.1</w:t>
      </w:r>
      <w:r w:rsidR="002C437E">
        <w:rPr>
          <w:rFonts w:hint="eastAsia"/>
          <w:sz w:val="21"/>
        </w:rPr>
        <w:t>.</w:t>
      </w:r>
      <w:r w:rsidR="002C437E">
        <w:rPr>
          <w:rFonts w:hint="eastAsia"/>
          <w:sz w:val="21"/>
        </w:rPr>
        <w:tab/>
      </w:r>
      <w:r w:rsidRPr="00742D22">
        <w:rPr>
          <w:sz w:val="21"/>
        </w:rPr>
        <w:t>所有库存设备的价值根据直线法按成本计账，减去折旧。</w:t>
      </w:r>
      <w:r w:rsidRPr="007A5789">
        <w:rPr>
          <w:sz w:val="21"/>
        </w:rPr>
        <w:t>家具和陈设以十年使用寿命期计算折旧。所有其他设备以五年使用寿命计算折旧。截至2015年12月31日，WIPO持有仍在使用的完全折旧设备的账面金额总值为1,030</w:t>
      </w:r>
      <w:proofErr w:type="gramStart"/>
      <w:r w:rsidRPr="007A5789">
        <w:rPr>
          <w:sz w:val="21"/>
        </w:rPr>
        <w:t>万瑞</w:t>
      </w:r>
      <w:proofErr w:type="gramEnd"/>
      <w:r w:rsidRPr="007A5789">
        <w:rPr>
          <w:sz w:val="21"/>
        </w:rPr>
        <w:t>郎。包括捐赠的艺术作品在内的遗产资产在财务状况报表中不列为资产。</w:t>
      </w:r>
    </w:p>
    <w:p w:rsidR="007A5789" w:rsidRPr="007C2134" w:rsidRDefault="004C08E2" w:rsidP="007C2134">
      <w:pPr>
        <w:pStyle w:val="3"/>
        <w:overflowPunct w:val="0"/>
        <w:spacing w:beforeLines="100" w:afterLines="50" w:after="120" w:line="340" w:lineRule="atLeast"/>
        <w:rPr>
          <w:rFonts w:ascii="SimHei" w:eastAsia="SimHei" w:hAnsi="SimHei"/>
          <w:b w:val="0"/>
          <w:sz w:val="21"/>
        </w:rPr>
      </w:pPr>
      <w:bookmarkStart w:id="67" w:name="_Toc441218495"/>
      <w:bookmarkStart w:id="68" w:name="_Toc455733226"/>
      <w:bookmarkStart w:id="69" w:name="_Toc456697875"/>
      <w:bookmarkStart w:id="70" w:name="_Toc456711741"/>
      <w:r w:rsidRPr="007C2134">
        <w:rPr>
          <w:rFonts w:ascii="SimHei" w:eastAsia="SimHei" w:hAnsi="SimHei"/>
          <w:b w:val="0"/>
          <w:sz w:val="21"/>
        </w:rPr>
        <w:lastRenderedPageBreak/>
        <w:t>附注7：投资财产</w:t>
      </w:r>
      <w:bookmarkEnd w:id="67"/>
      <w:bookmarkEnd w:id="68"/>
      <w:bookmarkEnd w:id="69"/>
      <w:bookmarkEnd w:id="70"/>
    </w:p>
    <w:p w:rsidR="00274C9E" w:rsidRPr="007A5789" w:rsidRDefault="00612CF1" w:rsidP="00B87A4B">
      <w:pPr>
        <w:spacing w:afterLines="50" w:after="120" w:line="340" w:lineRule="atLeast"/>
        <w:jc w:val="center"/>
        <w:rPr>
          <w:sz w:val="21"/>
        </w:rPr>
      </w:pPr>
      <w:r w:rsidRPr="00EF7E79">
        <w:rPr>
          <w:noProof/>
          <w:sz w:val="21"/>
          <w:lang w:val="en-US" w:bidi="ar-SA"/>
        </w:rPr>
        <w:drawing>
          <wp:inline distT="0" distB="0" distL="0" distR="0" wp14:anchorId="1D4B8A30" wp14:editId="760106AF">
            <wp:extent cx="5931535" cy="1534795"/>
            <wp:effectExtent l="0" t="0" r="0" b="8255"/>
            <wp:docPr id="322"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31535" cy="1534795"/>
                    </a:xfrm>
                    <a:prstGeom prst="rect">
                      <a:avLst/>
                    </a:prstGeom>
                    <a:noFill/>
                    <a:ln>
                      <a:noFill/>
                    </a:ln>
                  </pic:spPr>
                </pic:pic>
              </a:graphicData>
            </a:graphic>
          </wp:inline>
        </w:drawing>
      </w:r>
    </w:p>
    <w:p w:rsidR="007A5789" w:rsidRDefault="00CB2A7C" w:rsidP="00134184">
      <w:pPr>
        <w:pStyle w:val="af"/>
        <w:numPr>
          <w:ilvl w:val="0"/>
          <w:numId w:val="15"/>
        </w:numPr>
        <w:tabs>
          <w:tab w:val="left" w:pos="770"/>
        </w:tabs>
        <w:overflowPunct w:val="0"/>
        <w:spacing w:afterLines="50" w:after="120" w:line="340" w:lineRule="atLeast"/>
        <w:ind w:left="0" w:firstLine="0"/>
        <w:jc w:val="both"/>
        <w:rPr>
          <w:sz w:val="21"/>
        </w:rPr>
      </w:pPr>
      <w:r w:rsidRPr="007A5789">
        <w:rPr>
          <w:sz w:val="21"/>
        </w:rPr>
        <w:t>本组织1974年在瑞士日内瓦州Meyrin获得一项投资财产。该建筑物于1964年首次投入使用。这项物业于2015年10月1日由具备认可的相关专业资格、具有日内瓦州财产评估最新经验的独立专家以公允价值进行估价。公允价值根据基于投资的评估确定，因此这项物业今后的估计收益源流按恰当投资收益率转化为资本。回收率的选择是通过参照感知质量、收入期限和进一步提高租金的可能性进行的，并通过可比交易所提供的证据得到交叉核实。2015年10月1日的估价显示该建筑物公允价值提高了140</w:t>
      </w:r>
      <w:proofErr w:type="gramStart"/>
      <w:r w:rsidRPr="007A5789">
        <w:rPr>
          <w:sz w:val="21"/>
        </w:rPr>
        <w:t>万瑞</w:t>
      </w:r>
      <w:proofErr w:type="gramEnd"/>
      <w:r w:rsidRPr="007A5789">
        <w:rPr>
          <w:sz w:val="21"/>
        </w:rPr>
        <w:t>郎。2015年，该项增加在财务执行情况表中被确认为投资收入。</w:t>
      </w:r>
    </w:p>
    <w:p w:rsidR="007A5789" w:rsidRDefault="00CB2A7C" w:rsidP="00134184">
      <w:pPr>
        <w:pStyle w:val="af"/>
        <w:numPr>
          <w:ilvl w:val="0"/>
          <w:numId w:val="15"/>
        </w:numPr>
        <w:tabs>
          <w:tab w:val="left" w:pos="770"/>
        </w:tabs>
        <w:overflowPunct w:val="0"/>
        <w:spacing w:afterLines="50" w:after="120" w:line="340" w:lineRule="atLeast"/>
        <w:ind w:left="0" w:firstLine="0"/>
        <w:jc w:val="both"/>
        <w:rPr>
          <w:sz w:val="21"/>
        </w:rPr>
      </w:pPr>
      <w:r w:rsidRPr="007A5789">
        <w:rPr>
          <w:sz w:val="21"/>
        </w:rPr>
        <w:t>马德里</w:t>
      </w:r>
      <w:proofErr w:type="gramStart"/>
      <w:r w:rsidRPr="007A5789">
        <w:rPr>
          <w:sz w:val="21"/>
        </w:rPr>
        <w:t>联盟楼</w:t>
      </w:r>
      <w:proofErr w:type="gramEnd"/>
      <w:r w:rsidRPr="007A5789">
        <w:rPr>
          <w:sz w:val="21"/>
        </w:rPr>
        <w:t>的公寓、停车场和其他设施的租赁事宜，由负责收取所有租金收入和支付经营楼宇时产生的所有费用的租赁中介管理。租赁通常为期五年，根据日内瓦州批准的租赁形式进行。在出租期间，所有租约不可取消。中介收取总租金收入的3.9%作为服务补偿。截至2015年12月31日不可取消租约的价值如下：</w:t>
      </w:r>
    </w:p>
    <w:p w:rsidR="005D59F9" w:rsidRPr="007A5789" w:rsidRDefault="00612CF1" w:rsidP="00612CF1">
      <w:pPr>
        <w:spacing w:afterLines="50" w:after="120" w:line="340" w:lineRule="atLeast"/>
        <w:jc w:val="center"/>
        <w:rPr>
          <w:sz w:val="21"/>
        </w:rPr>
      </w:pPr>
      <w:r w:rsidRPr="00EF7E79">
        <w:rPr>
          <w:noProof/>
          <w:sz w:val="21"/>
          <w:lang w:val="en-US" w:bidi="ar-SA"/>
        </w:rPr>
        <w:drawing>
          <wp:inline distT="0" distB="0" distL="0" distR="0" wp14:anchorId="2E807F01" wp14:editId="12951D70">
            <wp:extent cx="5931535" cy="1359535"/>
            <wp:effectExtent l="0" t="0" r="0" b="0"/>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31535" cy="1359535"/>
                    </a:xfrm>
                    <a:prstGeom prst="rect">
                      <a:avLst/>
                    </a:prstGeom>
                    <a:noFill/>
                    <a:ln>
                      <a:noFill/>
                    </a:ln>
                  </pic:spPr>
                </pic:pic>
              </a:graphicData>
            </a:graphic>
          </wp:inline>
        </w:drawing>
      </w:r>
    </w:p>
    <w:p w:rsidR="007A5789" w:rsidRDefault="005D59F9" w:rsidP="00134184">
      <w:pPr>
        <w:pStyle w:val="af"/>
        <w:numPr>
          <w:ilvl w:val="0"/>
          <w:numId w:val="15"/>
        </w:numPr>
        <w:tabs>
          <w:tab w:val="left" w:pos="770"/>
        </w:tabs>
        <w:overflowPunct w:val="0"/>
        <w:spacing w:afterLines="50" w:after="120" w:line="340" w:lineRule="atLeast"/>
        <w:ind w:left="0" w:firstLine="0"/>
        <w:jc w:val="both"/>
        <w:rPr>
          <w:sz w:val="21"/>
        </w:rPr>
      </w:pPr>
      <w:r w:rsidRPr="007A5789">
        <w:rPr>
          <w:sz w:val="21"/>
        </w:rPr>
        <w:t>2015年，大楼出租的收入共计358,000瑞郎，大楼的经营支出共计177,000瑞郎。本组织不了解在投资财产收入的可变现性或收入转出方面存在任何限制。</w:t>
      </w:r>
    </w:p>
    <w:p w:rsidR="005D59F9" w:rsidRPr="007A5789" w:rsidRDefault="005D59F9" w:rsidP="00134184">
      <w:pPr>
        <w:pStyle w:val="af"/>
        <w:numPr>
          <w:ilvl w:val="0"/>
          <w:numId w:val="15"/>
        </w:numPr>
        <w:tabs>
          <w:tab w:val="left" w:pos="770"/>
        </w:tabs>
        <w:overflowPunct w:val="0"/>
        <w:spacing w:afterLines="50" w:after="120" w:line="340" w:lineRule="atLeast"/>
        <w:ind w:left="0" w:firstLine="0"/>
        <w:jc w:val="both"/>
        <w:rPr>
          <w:sz w:val="21"/>
          <w:szCs w:val="22"/>
        </w:rPr>
      </w:pPr>
      <w:r w:rsidRPr="007A5789">
        <w:rPr>
          <w:sz w:val="21"/>
        </w:rPr>
        <w:t>运营开支不包括大楼的折旧。在本报告日没有购买、建造或开发投资财产的合同义务，也没有修理、维护或提升现有物业的合同义务。但根据瑞士建筑法规，必须开展工作修复现有物业的外立面。该工作未来成本估计为80</w:t>
      </w:r>
      <w:proofErr w:type="gramStart"/>
      <w:r w:rsidRPr="007A5789">
        <w:rPr>
          <w:sz w:val="21"/>
        </w:rPr>
        <w:t>万瑞</w:t>
      </w:r>
      <w:proofErr w:type="gramEnd"/>
      <w:r w:rsidRPr="007A5789">
        <w:rPr>
          <w:sz w:val="21"/>
        </w:rPr>
        <w:t>郎，已经包含在截至2015年10月1日的最新估值中。</w:t>
      </w:r>
    </w:p>
    <w:p w:rsidR="007A5789" w:rsidRPr="007C2134" w:rsidRDefault="004C08E2" w:rsidP="007C2134">
      <w:pPr>
        <w:pStyle w:val="3"/>
        <w:overflowPunct w:val="0"/>
        <w:spacing w:beforeLines="100" w:afterLines="50" w:after="120" w:line="340" w:lineRule="atLeast"/>
        <w:rPr>
          <w:rFonts w:ascii="SimHei" w:eastAsia="SimHei" w:hAnsi="SimHei"/>
          <w:b w:val="0"/>
          <w:sz w:val="21"/>
        </w:rPr>
      </w:pPr>
      <w:bookmarkStart w:id="71" w:name="_Toc441218496"/>
      <w:bookmarkStart w:id="72" w:name="_Toc455733227"/>
      <w:bookmarkStart w:id="73" w:name="_Toc456697876"/>
      <w:r w:rsidRPr="007C2134">
        <w:rPr>
          <w:rFonts w:ascii="SimHei" w:eastAsia="SimHei" w:hAnsi="SimHei"/>
          <w:b w:val="0"/>
          <w:sz w:val="21"/>
        </w:rPr>
        <w:lastRenderedPageBreak/>
        <w:t>附注8：无形资产</w:t>
      </w:r>
      <w:bookmarkEnd w:id="71"/>
      <w:bookmarkEnd w:id="72"/>
      <w:bookmarkEnd w:id="73"/>
    </w:p>
    <w:p w:rsidR="007A5789" w:rsidRDefault="00612CF1" w:rsidP="00612CF1">
      <w:pPr>
        <w:spacing w:afterLines="50" w:after="120" w:line="340" w:lineRule="atLeast"/>
        <w:jc w:val="center"/>
        <w:rPr>
          <w:sz w:val="21"/>
        </w:rPr>
      </w:pPr>
      <w:r w:rsidRPr="00EF7E79">
        <w:rPr>
          <w:noProof/>
          <w:sz w:val="21"/>
          <w:lang w:val="en-US" w:bidi="ar-SA"/>
        </w:rPr>
        <w:drawing>
          <wp:inline distT="0" distB="0" distL="0" distR="0" wp14:anchorId="2488BB1F" wp14:editId="2C7F6C01">
            <wp:extent cx="5940425" cy="3638642"/>
            <wp:effectExtent l="0" t="0" r="3175" b="0"/>
            <wp:docPr id="324"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40425" cy="3638642"/>
                    </a:xfrm>
                    <a:prstGeom prst="rect">
                      <a:avLst/>
                    </a:prstGeom>
                    <a:noFill/>
                    <a:ln>
                      <a:noFill/>
                    </a:ln>
                  </pic:spPr>
                </pic:pic>
              </a:graphicData>
            </a:graphic>
          </wp:inline>
        </w:drawing>
      </w:r>
    </w:p>
    <w:p w:rsidR="00D52684" w:rsidRPr="007A5789" w:rsidRDefault="00612CF1" w:rsidP="00612CF1">
      <w:pPr>
        <w:spacing w:afterLines="50" w:after="120" w:line="340" w:lineRule="atLeast"/>
        <w:jc w:val="center"/>
        <w:rPr>
          <w:sz w:val="21"/>
        </w:rPr>
      </w:pPr>
      <w:r w:rsidRPr="00EF7E79">
        <w:rPr>
          <w:noProof/>
          <w:sz w:val="21"/>
          <w:lang w:val="en-US" w:bidi="ar-SA"/>
        </w:rPr>
        <w:drawing>
          <wp:inline distT="0" distB="0" distL="0" distR="0" wp14:anchorId="71DD9C59" wp14:editId="5DC3EC6E">
            <wp:extent cx="5940425" cy="3631191"/>
            <wp:effectExtent l="0" t="0" r="3175" b="0"/>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40425" cy="3631191"/>
                    </a:xfrm>
                    <a:prstGeom prst="rect">
                      <a:avLst/>
                    </a:prstGeom>
                    <a:noFill/>
                    <a:ln>
                      <a:noFill/>
                    </a:ln>
                  </pic:spPr>
                </pic:pic>
              </a:graphicData>
            </a:graphic>
          </wp:inline>
        </w:drawing>
      </w:r>
    </w:p>
    <w:p w:rsidR="007A5789" w:rsidRDefault="004B4679" w:rsidP="002C437E">
      <w:pPr>
        <w:pStyle w:val="Style3"/>
        <w:tabs>
          <w:tab w:val="left" w:pos="770"/>
        </w:tabs>
        <w:overflowPunct w:val="0"/>
        <w:spacing w:afterLines="50" w:line="340" w:lineRule="atLeast"/>
        <w:rPr>
          <w:sz w:val="21"/>
        </w:rPr>
      </w:pPr>
      <w:r w:rsidRPr="007A5789">
        <w:rPr>
          <w:sz w:val="21"/>
        </w:rPr>
        <w:t>8.1.</w:t>
      </w:r>
      <w:r w:rsidR="00624A89" w:rsidRPr="007A5789">
        <w:rPr>
          <w:sz w:val="21"/>
        </w:rPr>
        <w:tab/>
      </w:r>
      <w:r w:rsidRPr="007A5789">
        <w:rPr>
          <w:sz w:val="21"/>
        </w:rPr>
        <w:t>1996年，本组织从世界气象组织</w:t>
      </w:r>
      <w:r w:rsidR="00B6014B">
        <w:rPr>
          <w:sz w:val="21"/>
        </w:rPr>
        <w:t>（</w:t>
      </w:r>
      <w:r w:rsidRPr="007A5789">
        <w:rPr>
          <w:sz w:val="21"/>
        </w:rPr>
        <w:t>WMO</w:t>
      </w:r>
      <w:r w:rsidR="00B6014B">
        <w:rPr>
          <w:sz w:val="21"/>
        </w:rPr>
        <w:t>）</w:t>
      </w:r>
      <w:r w:rsidRPr="007A5789">
        <w:rPr>
          <w:sz w:val="21"/>
        </w:rPr>
        <w:t>获得了日内瓦市Petit-Saconnex编号为4008的地块的土地地面使用权，这块土地是由日内瓦共和</w:t>
      </w:r>
      <w:r w:rsidR="00742D22">
        <w:rPr>
          <w:rFonts w:hint="eastAsia"/>
          <w:sz w:val="21"/>
        </w:rPr>
        <w:t>体</w:t>
      </w:r>
      <w:r w:rsidRPr="007A5789">
        <w:rPr>
          <w:rFonts w:hint="eastAsia"/>
          <w:sz w:val="21"/>
        </w:rPr>
        <w:t>与州</w:t>
      </w:r>
      <w:r w:rsidRPr="007A5789">
        <w:rPr>
          <w:sz w:val="21"/>
        </w:rPr>
        <w:t>以3</w:t>
      </w:r>
      <w:r w:rsidR="00AD1872" w:rsidRPr="007A5789">
        <w:rPr>
          <w:rFonts w:hint="eastAsia"/>
          <w:sz w:val="21"/>
        </w:rPr>
        <w:t>,</w:t>
      </w:r>
      <w:r w:rsidRPr="007A5789">
        <w:rPr>
          <w:sz w:val="21"/>
        </w:rPr>
        <w:t>430</w:t>
      </w:r>
      <w:proofErr w:type="gramStart"/>
      <w:r w:rsidRPr="007A5789">
        <w:rPr>
          <w:sz w:val="21"/>
        </w:rPr>
        <w:t>万瑞</w:t>
      </w:r>
      <w:proofErr w:type="gramEnd"/>
      <w:r w:rsidRPr="007A5789">
        <w:rPr>
          <w:sz w:val="21"/>
        </w:rPr>
        <w:t>郎的价格</w:t>
      </w:r>
      <w:r w:rsidR="00B6014B">
        <w:rPr>
          <w:sz w:val="21"/>
        </w:rPr>
        <w:t>（</w:t>
      </w:r>
      <w:r w:rsidRPr="007A5789">
        <w:rPr>
          <w:sz w:val="21"/>
        </w:rPr>
        <w:t>包括利息和手续费在内</w:t>
      </w:r>
      <w:r w:rsidR="00B6014B">
        <w:rPr>
          <w:sz w:val="21"/>
        </w:rPr>
        <w:t>）</w:t>
      </w:r>
      <w:r w:rsidRPr="007A5789">
        <w:rPr>
          <w:sz w:val="21"/>
        </w:rPr>
        <w:t>出让给WMO的。在购买当日，根据瑞士法律</w:t>
      </w:r>
      <w:r w:rsidRPr="007A5789">
        <w:rPr>
          <w:rFonts w:hint="eastAsia"/>
          <w:sz w:val="21"/>
        </w:rPr>
        <w:t>，</w:t>
      </w:r>
      <w:r w:rsidRPr="007A5789">
        <w:rPr>
          <w:sz w:val="21"/>
        </w:rPr>
        <w:t>原有</w:t>
      </w:r>
      <w:proofErr w:type="gramStart"/>
      <w:r w:rsidRPr="007A5789">
        <w:rPr>
          <w:sz w:val="21"/>
        </w:rPr>
        <w:t>权还有</w:t>
      </w:r>
      <w:proofErr w:type="gramEnd"/>
      <w:r w:rsidRPr="007A5789">
        <w:rPr>
          <w:sz w:val="21"/>
        </w:rPr>
        <w:t>78年剩余，于2073年到期，除</w:t>
      </w:r>
      <w:proofErr w:type="gramStart"/>
      <w:r w:rsidRPr="007A5789">
        <w:rPr>
          <w:sz w:val="21"/>
        </w:rPr>
        <w:t>非</w:t>
      </w:r>
      <w:r w:rsidR="00742D22">
        <w:rPr>
          <w:rFonts w:hint="eastAsia"/>
          <w:sz w:val="21"/>
        </w:rPr>
        <w:t>州</w:t>
      </w:r>
      <w:proofErr w:type="gramEnd"/>
      <w:r w:rsidRPr="007A5789">
        <w:rPr>
          <w:sz w:val="21"/>
        </w:rPr>
        <w:t>续期。历史成本在剩余使用寿命中摊销。AB和GB两幢大楼所占土地是日内瓦共和</w:t>
      </w:r>
      <w:r w:rsidR="00742D22">
        <w:rPr>
          <w:rFonts w:hint="eastAsia"/>
          <w:sz w:val="21"/>
        </w:rPr>
        <w:t>体</w:t>
      </w:r>
      <w:r w:rsidRPr="007A5789">
        <w:rPr>
          <w:rFonts w:hint="eastAsia"/>
          <w:sz w:val="21"/>
        </w:rPr>
        <w:t>与</w:t>
      </w:r>
      <w:r w:rsidRPr="007A5789">
        <w:rPr>
          <w:sz w:val="21"/>
        </w:rPr>
        <w:t>州的财产，日内瓦共和</w:t>
      </w:r>
      <w:r w:rsidR="00742D22">
        <w:rPr>
          <w:rFonts w:hint="eastAsia"/>
          <w:sz w:val="21"/>
        </w:rPr>
        <w:t>体</w:t>
      </w:r>
      <w:r w:rsidRPr="007A5789">
        <w:rPr>
          <w:rFonts w:hint="eastAsia"/>
          <w:sz w:val="21"/>
        </w:rPr>
        <w:t>与</w:t>
      </w:r>
      <w:r w:rsidRPr="007A5789">
        <w:rPr>
          <w:sz w:val="21"/>
        </w:rPr>
        <w:t>州授予本组织地面使用权，包括60年内建筑楼宇的权利，以及仅由本组织行使的延长另一</w:t>
      </w:r>
      <w:r w:rsidRPr="007A5789">
        <w:rPr>
          <w:sz w:val="21"/>
        </w:rPr>
        <w:lastRenderedPageBreak/>
        <w:t>30年期的权利。本组织无偿获得这些地面使用权，并没有在财务报表中确认价值，因为本组织无权转让归还日内瓦共和体</w:t>
      </w:r>
      <w:r w:rsidR="0074262A">
        <w:rPr>
          <w:rFonts w:hint="eastAsia"/>
          <w:sz w:val="21"/>
        </w:rPr>
        <w:t>与</w:t>
      </w:r>
      <w:r w:rsidRPr="007A5789">
        <w:rPr>
          <w:sz w:val="21"/>
        </w:rPr>
        <w:t>州的权利，除续期之外。</w:t>
      </w:r>
    </w:p>
    <w:p w:rsidR="007A5789" w:rsidRDefault="004B4679" w:rsidP="002C437E">
      <w:pPr>
        <w:pStyle w:val="Style3"/>
        <w:tabs>
          <w:tab w:val="left" w:pos="770"/>
        </w:tabs>
        <w:overflowPunct w:val="0"/>
        <w:spacing w:afterLines="50" w:line="340" w:lineRule="atLeast"/>
        <w:rPr>
          <w:sz w:val="21"/>
        </w:rPr>
      </w:pPr>
      <w:r w:rsidRPr="007A5789">
        <w:rPr>
          <w:sz w:val="21"/>
        </w:rPr>
        <w:t>8.2</w:t>
      </w:r>
      <w:r w:rsidR="00B773D8" w:rsidRPr="007A5789">
        <w:rPr>
          <w:rFonts w:hint="eastAsia"/>
          <w:sz w:val="21"/>
        </w:rPr>
        <w:t>.</w:t>
      </w:r>
      <w:r w:rsidR="00B773D8" w:rsidRPr="007A5789">
        <w:rPr>
          <w:rFonts w:hint="eastAsia"/>
          <w:sz w:val="21"/>
        </w:rPr>
        <w:tab/>
      </w:r>
      <w:r w:rsidRPr="007A5789">
        <w:rPr>
          <w:sz w:val="21"/>
        </w:rPr>
        <w:t>自2012年1月1日起，WIPO已将外部购买和内部开发的软件转化为资本。开发</w:t>
      </w:r>
      <w:r w:rsidRPr="007A5789">
        <w:rPr>
          <w:rFonts w:hint="eastAsia"/>
          <w:sz w:val="21"/>
        </w:rPr>
        <w:t>中</w:t>
      </w:r>
      <w:r w:rsidRPr="007A5789">
        <w:rPr>
          <w:sz w:val="21"/>
        </w:rPr>
        <w:t>的无形资产涉及尚未投入使用的内部所开发的软件。</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74" w:name="_Toc441218497"/>
      <w:bookmarkStart w:id="75" w:name="_Toc455733228"/>
      <w:bookmarkStart w:id="76" w:name="_Toc456711742"/>
      <w:r w:rsidRPr="007C2134">
        <w:rPr>
          <w:rFonts w:ascii="SimHei" w:eastAsia="SimHei" w:hAnsi="SimHei"/>
          <w:b w:val="0"/>
          <w:sz w:val="21"/>
        </w:rPr>
        <w:t>附注9：土地和建筑物</w:t>
      </w:r>
      <w:bookmarkEnd w:id="74"/>
      <w:bookmarkEnd w:id="75"/>
      <w:bookmarkEnd w:id="76"/>
    </w:p>
    <w:p w:rsidR="007A5789" w:rsidRDefault="004B4679" w:rsidP="00134184">
      <w:pPr>
        <w:pStyle w:val="Style3"/>
        <w:numPr>
          <w:ilvl w:val="0"/>
          <w:numId w:val="16"/>
        </w:numPr>
        <w:tabs>
          <w:tab w:val="left" w:pos="770"/>
        </w:tabs>
        <w:overflowPunct w:val="0"/>
        <w:spacing w:afterLines="50" w:line="340" w:lineRule="atLeast"/>
        <w:ind w:left="0" w:firstLine="0"/>
        <w:rPr>
          <w:sz w:val="21"/>
        </w:rPr>
      </w:pPr>
      <w:r w:rsidRPr="007A5789">
        <w:rPr>
          <w:sz w:val="21"/>
        </w:rPr>
        <w:t>本组织的土地和建筑物包括本组织设在瑞士日内瓦万国广场的总部，并包括土地、大楼以及安保</w:t>
      </w:r>
      <w:r w:rsidRPr="007A5789">
        <w:rPr>
          <w:rFonts w:hint="eastAsia"/>
          <w:sz w:val="21"/>
        </w:rPr>
        <w:t>施工</w:t>
      </w:r>
      <w:r w:rsidRPr="007A5789">
        <w:rPr>
          <w:sz w:val="21"/>
        </w:rPr>
        <w:t>。在2010年1月1日转换到IPSAS后，所占用的建筑物的价值在该日由外部顾问进行独立评估确定数额计价，这一价格为建筑物落成时的估计价值</w:t>
      </w:r>
      <w:r w:rsidR="00B6014B">
        <w:rPr>
          <w:sz w:val="21"/>
        </w:rPr>
        <w:t>（</w:t>
      </w:r>
      <w:r w:rsidRPr="007A5789">
        <w:rPr>
          <w:sz w:val="21"/>
        </w:rPr>
        <w:t>视为建造成本</w:t>
      </w:r>
      <w:r w:rsidR="00B6014B">
        <w:rPr>
          <w:sz w:val="21"/>
        </w:rPr>
        <w:t>）</w:t>
      </w:r>
      <w:r w:rsidRPr="007A5789">
        <w:rPr>
          <w:sz w:val="21"/>
        </w:rPr>
        <w:t>，包括自最初占用以来所进行的修缮和大修的估计价值减去累计折旧和损耗。2010年1月1日之后投入使用的建筑物最初以成本估价。所有建筑物根据直线法基于建筑物的每一主要部分的使用寿命进行折旧。</w:t>
      </w:r>
    </w:p>
    <w:p w:rsidR="007A5789" w:rsidRDefault="004B4679" w:rsidP="00134184">
      <w:pPr>
        <w:pStyle w:val="Style3"/>
        <w:numPr>
          <w:ilvl w:val="0"/>
          <w:numId w:val="16"/>
        </w:numPr>
        <w:tabs>
          <w:tab w:val="left" w:pos="770"/>
        </w:tabs>
        <w:overflowPunct w:val="0"/>
        <w:spacing w:afterLines="50" w:line="340" w:lineRule="atLeast"/>
        <w:ind w:left="0" w:firstLine="0"/>
        <w:rPr>
          <w:sz w:val="21"/>
        </w:rPr>
      </w:pPr>
      <w:r w:rsidRPr="007A5789">
        <w:rPr>
          <w:sz w:val="21"/>
        </w:rPr>
        <w:t>1998年本组织出价1,360</w:t>
      </w:r>
      <w:proofErr w:type="gramStart"/>
      <w:r w:rsidRPr="007A5789">
        <w:rPr>
          <w:sz w:val="21"/>
        </w:rPr>
        <w:t>万瑞郎购买</w:t>
      </w:r>
      <w:proofErr w:type="gramEnd"/>
      <w:r w:rsidRPr="007A5789">
        <w:rPr>
          <w:sz w:val="21"/>
        </w:rPr>
        <w:t>了用以建设新大楼的土地，并于2009年12月31日由独立鉴定人根据国际评估标准按公允价格重估价值为2,860</w:t>
      </w:r>
      <w:proofErr w:type="gramStart"/>
      <w:r w:rsidRPr="007A5789">
        <w:rPr>
          <w:sz w:val="21"/>
        </w:rPr>
        <w:t>万瑞</w:t>
      </w:r>
      <w:proofErr w:type="gramEnd"/>
      <w:r w:rsidRPr="007A5789">
        <w:rPr>
          <w:sz w:val="21"/>
        </w:rPr>
        <w:t>郎。1,500</w:t>
      </w:r>
      <w:proofErr w:type="gramStart"/>
      <w:r w:rsidRPr="007A5789">
        <w:rPr>
          <w:sz w:val="21"/>
        </w:rPr>
        <w:t>万瑞</w:t>
      </w:r>
      <w:proofErr w:type="gramEnd"/>
      <w:r w:rsidRPr="007A5789">
        <w:rPr>
          <w:sz w:val="21"/>
        </w:rPr>
        <w:t>郎的重新估价净增值归入重估值储备金盈余，形成了WIPO净资产的一部分。2013年12月31日，由独立鉴定人对土地进行更新估价，结果与</w:t>
      </w:r>
      <w:proofErr w:type="gramStart"/>
      <w:r w:rsidRPr="007A5789">
        <w:rPr>
          <w:sz w:val="21"/>
        </w:rPr>
        <w:t>先前所估</w:t>
      </w:r>
      <w:proofErr w:type="gramEnd"/>
      <w:r w:rsidRPr="007A5789">
        <w:rPr>
          <w:sz w:val="21"/>
        </w:rPr>
        <w:t>2,860</w:t>
      </w:r>
      <w:proofErr w:type="gramStart"/>
      <w:r w:rsidRPr="007A5789">
        <w:rPr>
          <w:sz w:val="21"/>
        </w:rPr>
        <w:t>万瑞</w:t>
      </w:r>
      <w:proofErr w:type="gramEnd"/>
      <w:r w:rsidRPr="007A5789">
        <w:rPr>
          <w:sz w:val="21"/>
        </w:rPr>
        <w:t>郎的公允价值相比没有变化。通过以恰当投资收益率将该项物业今后潜在收入流转化为资本的方式对其市场价值进行了评估。潜在收入以市场可比较租金为基准，并考虑了空间质量和位置。参照感知质量、收入期限和进一步提高租金的潜在性选择了投资收益，并通过可比较销售提供的证据进行了交叉核实。</w:t>
      </w:r>
    </w:p>
    <w:p w:rsidR="007A5789" w:rsidRDefault="004B4679" w:rsidP="00134184">
      <w:pPr>
        <w:pStyle w:val="Style3"/>
        <w:numPr>
          <w:ilvl w:val="0"/>
          <w:numId w:val="16"/>
        </w:numPr>
        <w:tabs>
          <w:tab w:val="left" w:pos="770"/>
        </w:tabs>
        <w:overflowPunct w:val="0"/>
        <w:spacing w:afterLines="50" w:line="340" w:lineRule="atLeast"/>
        <w:ind w:left="0" w:firstLine="0"/>
        <w:rPr>
          <w:sz w:val="21"/>
        </w:rPr>
      </w:pPr>
      <w:r w:rsidRPr="007A5789">
        <w:rPr>
          <w:sz w:val="21"/>
        </w:rPr>
        <w:t>新会议厅</w:t>
      </w:r>
      <w:r w:rsidR="00B6014B">
        <w:rPr>
          <w:sz w:val="21"/>
        </w:rPr>
        <w:t>（</w:t>
      </w:r>
      <w:r w:rsidRPr="007A5789">
        <w:rPr>
          <w:sz w:val="21"/>
        </w:rPr>
        <w:t>NCH</w:t>
      </w:r>
      <w:r w:rsidR="00B6014B">
        <w:rPr>
          <w:sz w:val="21"/>
        </w:rPr>
        <w:t>）</w:t>
      </w:r>
      <w:r w:rsidRPr="007A5789">
        <w:rPr>
          <w:sz w:val="21"/>
        </w:rPr>
        <w:t>于2014年9月投入使用。2015年，NCH大楼内部及周边的一些剩余工程完工。因此，建筑物总计250</w:t>
      </w:r>
      <w:proofErr w:type="gramStart"/>
      <w:r w:rsidRPr="007A5789">
        <w:rPr>
          <w:sz w:val="21"/>
        </w:rPr>
        <w:t>万瑞</w:t>
      </w:r>
      <w:proofErr w:type="gramEnd"/>
      <w:r w:rsidRPr="007A5789">
        <w:rPr>
          <w:sz w:val="21"/>
        </w:rPr>
        <w:t>郎的投入在2015年入账。</w:t>
      </w:r>
    </w:p>
    <w:p w:rsidR="00AD1872" w:rsidRPr="007A5789" w:rsidRDefault="004B4679" w:rsidP="00134184">
      <w:pPr>
        <w:pStyle w:val="Style3"/>
        <w:numPr>
          <w:ilvl w:val="0"/>
          <w:numId w:val="16"/>
        </w:numPr>
        <w:tabs>
          <w:tab w:val="left" w:pos="770"/>
        </w:tabs>
        <w:overflowPunct w:val="0"/>
        <w:spacing w:afterLines="50" w:line="340" w:lineRule="atLeast"/>
        <w:ind w:left="0" w:firstLine="0"/>
        <w:rPr>
          <w:sz w:val="21"/>
        </w:rPr>
      </w:pPr>
      <w:r w:rsidRPr="007A5789">
        <w:rPr>
          <w:sz w:val="21"/>
        </w:rPr>
        <w:t>WIPO</w:t>
      </w:r>
      <w:r w:rsidR="0074262A">
        <w:rPr>
          <w:sz w:val="21"/>
        </w:rPr>
        <w:t>已经开展了一个重要项目，根据落实联合国安全管理</w:t>
      </w:r>
      <w:r w:rsidRPr="007A5789">
        <w:rPr>
          <w:sz w:val="21"/>
        </w:rPr>
        <w:t>系</w:t>
      </w:r>
      <w:r w:rsidR="0074262A">
        <w:rPr>
          <w:rFonts w:hint="eastAsia"/>
          <w:sz w:val="21"/>
        </w:rPr>
        <w:t>统</w:t>
      </w:r>
      <w:r w:rsidRPr="007A5789">
        <w:rPr>
          <w:sz w:val="21"/>
        </w:rPr>
        <w:t>的建议来对其现有各个大楼的安全与安保标准进行升级。截至并包含2015年，本组织产生的与该建设项目有关的成本被记入在建工程。该</w:t>
      </w:r>
      <w:r w:rsidRPr="007A5789">
        <w:rPr>
          <w:rFonts w:hint="eastAsia"/>
          <w:sz w:val="21"/>
        </w:rPr>
        <w:t>施工</w:t>
      </w:r>
      <w:r w:rsidRPr="007A5789">
        <w:rPr>
          <w:sz w:val="21"/>
        </w:rPr>
        <w:t>项目已部分地得到国际组织</w:t>
      </w:r>
      <w:r w:rsidR="0074262A">
        <w:rPr>
          <w:rFonts w:hint="eastAsia"/>
          <w:sz w:val="21"/>
        </w:rPr>
        <w:t>不动产</w:t>
      </w:r>
      <w:r w:rsidRPr="007A5789">
        <w:rPr>
          <w:sz w:val="21"/>
        </w:rPr>
        <w:t>基金会</w:t>
      </w:r>
      <w:r w:rsidR="00B6014B">
        <w:rPr>
          <w:sz w:val="21"/>
        </w:rPr>
        <w:t>（</w:t>
      </w:r>
      <w:r w:rsidRPr="007A5789">
        <w:rPr>
          <w:sz w:val="21"/>
        </w:rPr>
        <w:t>FIPOI</w:t>
      </w:r>
      <w:r w:rsidR="00B6014B">
        <w:rPr>
          <w:sz w:val="21"/>
        </w:rPr>
        <w:t>）</w:t>
      </w:r>
      <w:r w:rsidRPr="007A5789">
        <w:rPr>
          <w:sz w:val="21"/>
        </w:rPr>
        <w:t>所提供的资金支持。得到FIPOI供资的</w:t>
      </w:r>
      <w:r w:rsidRPr="007A5789">
        <w:rPr>
          <w:rFonts w:hint="eastAsia"/>
          <w:sz w:val="21"/>
        </w:rPr>
        <w:t>施工</w:t>
      </w:r>
      <w:r w:rsidRPr="007A5789">
        <w:rPr>
          <w:sz w:val="21"/>
        </w:rPr>
        <w:t>工作也已被记入在建工程，相应的一部分金额也被作为递</w:t>
      </w:r>
      <w:proofErr w:type="gramStart"/>
      <w:r w:rsidRPr="007A5789">
        <w:rPr>
          <w:sz w:val="21"/>
        </w:rPr>
        <w:t>延收入</w:t>
      </w:r>
      <w:proofErr w:type="gramEnd"/>
      <w:r w:rsidRPr="007A5789">
        <w:rPr>
          <w:sz w:val="21"/>
        </w:rPr>
        <w:t>得到确认</w:t>
      </w:r>
      <w:r w:rsidR="00B6014B">
        <w:rPr>
          <w:sz w:val="21"/>
        </w:rPr>
        <w:t>（</w:t>
      </w:r>
      <w:r w:rsidRPr="007A5789">
        <w:rPr>
          <w:sz w:val="21"/>
        </w:rPr>
        <w:t>参见附注14</w:t>
      </w:r>
      <w:r w:rsidR="00B6014B">
        <w:rPr>
          <w:sz w:val="21"/>
        </w:rPr>
        <w:t>）</w:t>
      </w:r>
      <w:r w:rsidRPr="007A5789">
        <w:rPr>
          <w:sz w:val="21"/>
        </w:rPr>
        <w:t>。该建设项目于2015年完工，包含新登记中心</w:t>
      </w:r>
      <w:r w:rsidR="00B6014B">
        <w:rPr>
          <w:sz w:val="21"/>
        </w:rPr>
        <w:t>（</w:t>
      </w:r>
      <w:r w:rsidRPr="007A5789">
        <w:rPr>
          <w:sz w:val="21"/>
        </w:rPr>
        <w:t>360</w:t>
      </w:r>
      <w:proofErr w:type="gramStart"/>
      <w:r w:rsidRPr="007A5789">
        <w:rPr>
          <w:sz w:val="21"/>
        </w:rPr>
        <w:t>万瑞</w:t>
      </w:r>
      <w:proofErr w:type="gramEnd"/>
      <w:r w:rsidRPr="007A5789">
        <w:rPr>
          <w:sz w:val="21"/>
        </w:rPr>
        <w:t>郎包含在AB建筑物中</w:t>
      </w:r>
      <w:r w:rsidR="00B6014B">
        <w:rPr>
          <w:sz w:val="21"/>
        </w:rPr>
        <w:t>）</w:t>
      </w:r>
      <w:r w:rsidRPr="007A5789">
        <w:rPr>
          <w:sz w:val="21"/>
        </w:rPr>
        <w:t>、安全运营中心</w:t>
      </w:r>
      <w:r w:rsidR="00B6014B">
        <w:rPr>
          <w:sz w:val="21"/>
        </w:rPr>
        <w:t>（</w:t>
      </w:r>
      <w:r w:rsidRPr="007A5789">
        <w:rPr>
          <w:sz w:val="21"/>
        </w:rPr>
        <w:t>200</w:t>
      </w:r>
      <w:proofErr w:type="gramStart"/>
      <w:r w:rsidRPr="007A5789">
        <w:rPr>
          <w:sz w:val="21"/>
        </w:rPr>
        <w:t>万瑞</w:t>
      </w:r>
      <w:proofErr w:type="gramEnd"/>
      <w:r w:rsidRPr="007A5789">
        <w:rPr>
          <w:sz w:val="21"/>
        </w:rPr>
        <w:t>郎包含在GB</w:t>
      </w:r>
      <w:r w:rsidR="006A3CDF" w:rsidRPr="007A5789">
        <w:rPr>
          <w:rFonts w:hint="eastAsia"/>
          <w:sz w:val="21"/>
        </w:rPr>
        <w:t>一号楼</w:t>
      </w:r>
      <w:r w:rsidRPr="007A5789">
        <w:rPr>
          <w:sz w:val="21"/>
        </w:rPr>
        <w:t>中</w:t>
      </w:r>
      <w:r w:rsidR="00B6014B">
        <w:rPr>
          <w:sz w:val="21"/>
        </w:rPr>
        <w:t>）</w:t>
      </w:r>
      <w:r w:rsidRPr="007A5789">
        <w:rPr>
          <w:sz w:val="21"/>
        </w:rPr>
        <w:t>及安全边界</w:t>
      </w:r>
      <w:r w:rsidR="00B6014B">
        <w:rPr>
          <w:sz w:val="21"/>
        </w:rPr>
        <w:t>（</w:t>
      </w:r>
      <w:r w:rsidRPr="007A5789">
        <w:rPr>
          <w:sz w:val="21"/>
        </w:rPr>
        <w:t>900</w:t>
      </w:r>
      <w:proofErr w:type="gramStart"/>
      <w:r w:rsidRPr="007A5789">
        <w:rPr>
          <w:sz w:val="21"/>
        </w:rPr>
        <w:t>万瑞</w:t>
      </w:r>
      <w:proofErr w:type="gramEnd"/>
      <w:r w:rsidRPr="007A5789">
        <w:rPr>
          <w:sz w:val="21"/>
        </w:rPr>
        <w:t>郎作为单独</w:t>
      </w:r>
      <w:r w:rsidRPr="007A5789">
        <w:rPr>
          <w:rFonts w:hint="eastAsia"/>
          <w:sz w:val="21"/>
        </w:rPr>
        <w:t>施工费用</w:t>
      </w:r>
      <w:r w:rsidR="00B6014B">
        <w:rPr>
          <w:sz w:val="21"/>
        </w:rPr>
        <w:t>）</w:t>
      </w:r>
      <w:r w:rsidRPr="007A5789">
        <w:rPr>
          <w:sz w:val="21"/>
        </w:rPr>
        <w:t>。</w:t>
      </w:r>
    </w:p>
    <w:p w:rsidR="004B4679" w:rsidRPr="007A5789" w:rsidRDefault="004B4679" w:rsidP="004B4679">
      <w:pPr>
        <w:pStyle w:val="Style3"/>
        <w:spacing w:after="0"/>
        <w:rPr>
          <w:sz w:val="21"/>
        </w:rPr>
        <w:sectPr w:rsidR="004B4679" w:rsidRPr="007A5789" w:rsidSect="008B64D0">
          <w:headerReference w:type="even" r:id="rId58"/>
          <w:headerReference w:type="default" r:id="rId59"/>
          <w:headerReference w:type="first" r:id="rId60"/>
          <w:endnotePr>
            <w:numFmt w:val="decimal"/>
          </w:endnotePr>
          <w:pgSz w:w="11907" w:h="16840" w:code="9"/>
          <w:pgMar w:top="567" w:right="1134" w:bottom="1418" w:left="1418" w:header="510" w:footer="1021" w:gutter="0"/>
          <w:cols w:space="720"/>
          <w:titlePg/>
          <w:docGrid w:linePitch="299"/>
        </w:sectPr>
      </w:pPr>
    </w:p>
    <w:p w:rsidR="004B4679" w:rsidRPr="007A5789" w:rsidRDefault="004B4679" w:rsidP="00612CF1">
      <w:pPr>
        <w:pStyle w:val="a4"/>
        <w:spacing w:afterLines="50" w:after="120" w:line="340" w:lineRule="atLeast"/>
        <w:rPr>
          <w:sz w:val="21"/>
          <w:szCs w:val="22"/>
        </w:rPr>
      </w:pPr>
      <w:r w:rsidRPr="007A5789">
        <w:rPr>
          <w:sz w:val="21"/>
        </w:rPr>
        <w:lastRenderedPageBreak/>
        <w:t>2015年土地和建筑物变动情况：</w:t>
      </w:r>
    </w:p>
    <w:p w:rsidR="004B4679" w:rsidRPr="007A5789" w:rsidRDefault="00612CF1" w:rsidP="00612CF1">
      <w:pPr>
        <w:pStyle w:val="Style3"/>
        <w:spacing w:after="0"/>
        <w:jc w:val="center"/>
        <w:rPr>
          <w:sz w:val="21"/>
        </w:rPr>
      </w:pPr>
      <w:r w:rsidRPr="00EF7E79">
        <w:rPr>
          <w:noProof/>
          <w:sz w:val="21"/>
          <w:lang w:val="en-US" w:bidi="ar-SA"/>
        </w:rPr>
        <w:drawing>
          <wp:inline distT="0" distB="0" distL="0" distR="0" wp14:anchorId="28ACA9B2" wp14:editId="02F6E477">
            <wp:extent cx="9876155" cy="4539776"/>
            <wp:effectExtent l="0" t="0" r="0" b="0"/>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876155" cy="4539776"/>
                    </a:xfrm>
                    <a:prstGeom prst="rect">
                      <a:avLst/>
                    </a:prstGeom>
                    <a:noFill/>
                    <a:ln>
                      <a:noFill/>
                    </a:ln>
                  </pic:spPr>
                </pic:pic>
              </a:graphicData>
            </a:graphic>
          </wp:inline>
        </w:drawing>
      </w:r>
    </w:p>
    <w:p w:rsidR="004B4679" w:rsidRPr="007A5789" w:rsidRDefault="004B4679" w:rsidP="004B4679">
      <w:pPr>
        <w:jc w:val="left"/>
        <w:rPr>
          <w:sz w:val="21"/>
        </w:rPr>
      </w:pPr>
      <w:r w:rsidRPr="007A5789">
        <w:rPr>
          <w:sz w:val="21"/>
        </w:rPr>
        <w:br w:type="page"/>
      </w:r>
    </w:p>
    <w:p w:rsidR="004B4679" w:rsidRPr="007A5789" w:rsidRDefault="004B4679" w:rsidP="00612CF1">
      <w:pPr>
        <w:pStyle w:val="a4"/>
        <w:spacing w:afterLines="50" w:after="120" w:line="340" w:lineRule="atLeast"/>
        <w:rPr>
          <w:sz w:val="21"/>
          <w:szCs w:val="22"/>
        </w:rPr>
      </w:pPr>
      <w:r w:rsidRPr="007A5789">
        <w:rPr>
          <w:sz w:val="21"/>
        </w:rPr>
        <w:lastRenderedPageBreak/>
        <w:t>2014年土地和建筑物变动情况：</w:t>
      </w:r>
    </w:p>
    <w:p w:rsidR="007A5789" w:rsidRDefault="00612CF1" w:rsidP="004B4679">
      <w:pPr>
        <w:jc w:val="center"/>
        <w:rPr>
          <w:sz w:val="21"/>
        </w:rPr>
      </w:pPr>
      <w:r w:rsidRPr="00EF7E79">
        <w:rPr>
          <w:noProof/>
          <w:sz w:val="21"/>
          <w:lang w:val="en-US" w:bidi="ar-SA"/>
        </w:rPr>
        <w:drawing>
          <wp:inline distT="0" distB="0" distL="0" distR="0" wp14:anchorId="31F5D071" wp14:editId="3E4A4110">
            <wp:extent cx="9876155" cy="4713434"/>
            <wp:effectExtent l="0" t="0" r="0" b="0"/>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876155" cy="4713434"/>
                    </a:xfrm>
                    <a:prstGeom prst="rect">
                      <a:avLst/>
                    </a:prstGeom>
                    <a:noFill/>
                    <a:ln>
                      <a:noFill/>
                    </a:ln>
                  </pic:spPr>
                </pic:pic>
              </a:graphicData>
            </a:graphic>
          </wp:inline>
        </w:drawing>
      </w:r>
    </w:p>
    <w:p w:rsidR="004B4679" w:rsidRPr="007A5789" w:rsidRDefault="004B4679" w:rsidP="004B4679">
      <w:pPr>
        <w:pStyle w:val="3"/>
        <w:rPr>
          <w:b w:val="0"/>
          <w:sz w:val="21"/>
        </w:rPr>
        <w:sectPr w:rsidR="004B4679" w:rsidRPr="007A5789" w:rsidSect="00714234">
          <w:headerReference w:type="default" r:id="rId63"/>
          <w:headerReference w:type="first" r:id="rId64"/>
          <w:endnotePr>
            <w:numFmt w:val="decimal"/>
          </w:endnotePr>
          <w:pgSz w:w="16840" w:h="11907" w:orient="landscape" w:code="9"/>
          <w:pgMar w:top="1418" w:right="567" w:bottom="1134" w:left="720" w:header="510" w:footer="1021" w:gutter="0"/>
          <w:cols w:space="720"/>
          <w:titlePg/>
          <w:docGrid w:linePitch="299"/>
        </w:sectPr>
      </w:pPr>
      <w:bookmarkStart w:id="77" w:name="_Toc441218498"/>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78" w:name="_Toc455733229"/>
      <w:bookmarkStart w:id="79" w:name="_Toc456711743"/>
      <w:r w:rsidRPr="007C2134">
        <w:rPr>
          <w:rFonts w:ascii="SimHei" w:eastAsia="SimHei" w:hAnsi="SimHei"/>
          <w:b w:val="0"/>
          <w:sz w:val="21"/>
        </w:rPr>
        <w:lastRenderedPageBreak/>
        <w:t>附注10：其他非流动资产</w:t>
      </w:r>
      <w:bookmarkEnd w:id="77"/>
      <w:bookmarkEnd w:id="78"/>
      <w:bookmarkEnd w:id="79"/>
    </w:p>
    <w:p w:rsidR="004B4679" w:rsidRPr="007A5789" w:rsidRDefault="00612CF1" w:rsidP="0074262A">
      <w:pPr>
        <w:spacing w:afterLines="50" w:after="120" w:line="340" w:lineRule="atLeast"/>
        <w:rPr>
          <w:sz w:val="21"/>
        </w:rPr>
      </w:pPr>
      <w:r w:rsidRPr="00EF7E79">
        <w:rPr>
          <w:noProof/>
          <w:sz w:val="21"/>
          <w:lang w:val="en-US" w:bidi="ar-SA"/>
        </w:rPr>
        <w:drawing>
          <wp:inline distT="0" distB="0" distL="0" distR="0" wp14:anchorId="6C7922A8" wp14:editId="7E337792">
            <wp:extent cx="5934075" cy="1371600"/>
            <wp:effectExtent l="0" t="0" r="9525" b="0"/>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rsidR="007A5789" w:rsidRDefault="004B4679" w:rsidP="00134184">
      <w:pPr>
        <w:pStyle w:val="Style3"/>
        <w:numPr>
          <w:ilvl w:val="0"/>
          <w:numId w:val="17"/>
        </w:numPr>
        <w:tabs>
          <w:tab w:val="left" w:pos="770"/>
        </w:tabs>
        <w:overflowPunct w:val="0"/>
        <w:spacing w:afterLines="50" w:line="340" w:lineRule="atLeast"/>
        <w:ind w:left="0" w:firstLine="0"/>
        <w:rPr>
          <w:sz w:val="21"/>
        </w:rPr>
      </w:pPr>
      <w:r w:rsidRPr="007A5789">
        <w:rPr>
          <w:sz w:val="21"/>
        </w:rPr>
        <w:t>1991年，本组织与日内瓦基金国际中心</w:t>
      </w:r>
      <w:r w:rsidR="00B6014B">
        <w:rPr>
          <w:sz w:val="21"/>
        </w:rPr>
        <w:t>（</w:t>
      </w:r>
      <w:r w:rsidRPr="007A5789">
        <w:rPr>
          <w:sz w:val="21"/>
        </w:rPr>
        <w:t>FCIG</w:t>
      </w:r>
      <w:r w:rsidR="00B6014B">
        <w:rPr>
          <w:sz w:val="21"/>
        </w:rPr>
        <w:t>）</w:t>
      </w:r>
      <w:r w:rsidRPr="007A5789">
        <w:rPr>
          <w:sz w:val="21"/>
        </w:rPr>
        <w:t>就瑞士日内瓦Morillons街的一幢办公楼的</w:t>
      </w:r>
      <w:r w:rsidRPr="007A5789">
        <w:rPr>
          <w:rFonts w:hint="eastAsia"/>
          <w:sz w:val="21"/>
        </w:rPr>
        <w:t>施工</w:t>
      </w:r>
      <w:r w:rsidRPr="007A5789">
        <w:rPr>
          <w:sz w:val="21"/>
        </w:rPr>
        <w:t>事宜以总成本2,040</w:t>
      </w:r>
      <w:proofErr w:type="gramStart"/>
      <w:r w:rsidRPr="007A5789">
        <w:rPr>
          <w:sz w:val="21"/>
        </w:rPr>
        <w:t>万瑞郎达成</w:t>
      </w:r>
      <w:proofErr w:type="gramEnd"/>
      <w:r w:rsidRPr="007A5789">
        <w:rPr>
          <w:sz w:val="21"/>
        </w:rPr>
        <w:t>一项协定。该协定规定本组织提前支付初始款项1,000</w:t>
      </w:r>
      <w:proofErr w:type="gramStart"/>
      <w:r w:rsidRPr="007A5789">
        <w:rPr>
          <w:sz w:val="21"/>
        </w:rPr>
        <w:t>万瑞</w:t>
      </w:r>
      <w:proofErr w:type="gramEnd"/>
      <w:r w:rsidRPr="007A5789">
        <w:rPr>
          <w:sz w:val="21"/>
        </w:rPr>
        <w:t>郎，加上初始预付款利息100</w:t>
      </w:r>
      <w:proofErr w:type="gramStart"/>
      <w:r w:rsidRPr="007A5789">
        <w:rPr>
          <w:sz w:val="21"/>
        </w:rPr>
        <w:t>万瑞</w:t>
      </w:r>
      <w:proofErr w:type="gramEnd"/>
      <w:r w:rsidRPr="007A5789">
        <w:rPr>
          <w:sz w:val="21"/>
        </w:rPr>
        <w:t>郎，总计1,100</w:t>
      </w:r>
      <w:proofErr w:type="gramStart"/>
      <w:r w:rsidRPr="007A5789">
        <w:rPr>
          <w:sz w:val="21"/>
        </w:rPr>
        <w:t>万瑞</w:t>
      </w:r>
      <w:proofErr w:type="gramEnd"/>
      <w:r w:rsidRPr="007A5789">
        <w:rPr>
          <w:sz w:val="21"/>
        </w:rPr>
        <w:t>郎。</w:t>
      </w:r>
      <w:r w:rsidRPr="007A5789">
        <w:rPr>
          <w:rFonts w:hint="eastAsia"/>
          <w:sz w:val="21"/>
        </w:rPr>
        <w:t>施工</w:t>
      </w:r>
      <w:r w:rsidRPr="007A5789">
        <w:rPr>
          <w:sz w:val="21"/>
        </w:rPr>
        <w:t>成本余额由FCIG和日内瓦州立银行</w:t>
      </w:r>
      <w:r w:rsidR="00B6014B">
        <w:rPr>
          <w:sz w:val="21"/>
        </w:rPr>
        <w:t>（</w:t>
      </w:r>
      <w:r w:rsidRPr="007A5789">
        <w:rPr>
          <w:sz w:val="21"/>
        </w:rPr>
        <w:t>BCG</w:t>
      </w:r>
      <w:r w:rsidR="00B6014B">
        <w:rPr>
          <w:sz w:val="21"/>
        </w:rPr>
        <w:t>）</w:t>
      </w:r>
      <w:r w:rsidRPr="007A5789">
        <w:rPr>
          <w:sz w:val="21"/>
        </w:rPr>
        <w:t>之间的按揭贷款承担。本组织还与FCIG达成了租赁其大楼的一项协议。租赁协议从2012年1月1日起续期7年。</w:t>
      </w:r>
    </w:p>
    <w:p w:rsidR="007A5789" w:rsidRDefault="004B4679" w:rsidP="00134184">
      <w:pPr>
        <w:pStyle w:val="Style3"/>
        <w:numPr>
          <w:ilvl w:val="0"/>
          <w:numId w:val="17"/>
        </w:numPr>
        <w:tabs>
          <w:tab w:val="left" w:pos="770"/>
        </w:tabs>
        <w:overflowPunct w:val="0"/>
        <w:spacing w:afterLines="50" w:line="340" w:lineRule="atLeast"/>
        <w:ind w:left="0" w:firstLine="0"/>
        <w:rPr>
          <w:sz w:val="21"/>
        </w:rPr>
      </w:pPr>
      <w:r w:rsidRPr="007A5789">
        <w:rPr>
          <w:sz w:val="21"/>
        </w:rPr>
        <w:t>根据本组织和FCIG之间签订的租赁协议，双方都有权在任何时候通过双方书面同意来终止协议。WIPO每年支付的租金数额相当于FCIG与BCG之间的按揭借贷每年应偿还的数额</w:t>
      </w:r>
      <w:r w:rsidR="00B6014B">
        <w:rPr>
          <w:sz w:val="21"/>
        </w:rPr>
        <w:t>（</w:t>
      </w:r>
      <w:r w:rsidRPr="007A5789">
        <w:rPr>
          <w:sz w:val="21"/>
        </w:rPr>
        <w:t>利息加上本金</w:t>
      </w:r>
      <w:r w:rsidR="00B6014B">
        <w:rPr>
          <w:sz w:val="21"/>
        </w:rPr>
        <w:t>）</w:t>
      </w:r>
      <w:r w:rsidRPr="007A5789">
        <w:rPr>
          <w:sz w:val="21"/>
        </w:rPr>
        <w:t>。2015年期间，WIPO据此所支付的租金共计232,596瑞郎</w:t>
      </w:r>
      <w:r w:rsidR="00B6014B">
        <w:rPr>
          <w:sz w:val="21"/>
        </w:rPr>
        <w:t>（</w:t>
      </w:r>
      <w:r w:rsidRPr="007A5789">
        <w:rPr>
          <w:sz w:val="21"/>
        </w:rPr>
        <w:t>2014年期间为234,124瑞郎</w:t>
      </w:r>
      <w:r w:rsidR="00B6014B">
        <w:rPr>
          <w:sz w:val="21"/>
        </w:rPr>
        <w:t>）</w:t>
      </w:r>
      <w:r w:rsidRPr="007A5789">
        <w:rPr>
          <w:sz w:val="21"/>
        </w:rPr>
        <w:t>。当前利率为1.48%，将执行到2018年12月31日。自2012年1月1日起，WIPO还确认了针对其向FCIG支付的预付款的年度摊销额188,679瑞郎。此外，本组织还以每年140,112瑞郎租赁停车位。在没有相互终止租赁协定时，WIPO未来在2018年租赁结束前的支付项目</w:t>
      </w:r>
      <w:r w:rsidR="00B6014B">
        <w:rPr>
          <w:sz w:val="21"/>
        </w:rPr>
        <w:t>（</w:t>
      </w:r>
      <w:r w:rsidRPr="007A5789">
        <w:rPr>
          <w:sz w:val="21"/>
        </w:rPr>
        <w:t>包括偿还抵押贷款、预付款摊销和停车位租金</w:t>
      </w:r>
      <w:r w:rsidR="00B6014B">
        <w:rPr>
          <w:sz w:val="21"/>
        </w:rPr>
        <w:t>）</w:t>
      </w:r>
      <w:r w:rsidRPr="007A5789">
        <w:rPr>
          <w:sz w:val="21"/>
        </w:rPr>
        <w:t>如下：</w:t>
      </w:r>
    </w:p>
    <w:p w:rsidR="004B4679" w:rsidRPr="007A5789" w:rsidRDefault="00612CF1" w:rsidP="0074262A">
      <w:pPr>
        <w:spacing w:afterLines="50" w:after="120" w:line="340" w:lineRule="atLeast"/>
        <w:rPr>
          <w:sz w:val="21"/>
        </w:rPr>
      </w:pPr>
      <w:r w:rsidRPr="00EF7E79">
        <w:rPr>
          <w:noProof/>
          <w:sz w:val="21"/>
          <w:lang w:val="en-US" w:bidi="ar-SA"/>
        </w:rPr>
        <w:drawing>
          <wp:inline distT="0" distB="0" distL="0" distR="0" wp14:anchorId="016893EA" wp14:editId="23FF2544">
            <wp:extent cx="5940425" cy="1304228"/>
            <wp:effectExtent l="0" t="0" r="3175" b="0"/>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0425" cy="1304228"/>
                    </a:xfrm>
                    <a:prstGeom prst="rect">
                      <a:avLst/>
                    </a:prstGeom>
                    <a:noFill/>
                    <a:ln>
                      <a:noFill/>
                    </a:ln>
                  </pic:spPr>
                </pic:pic>
              </a:graphicData>
            </a:graphic>
          </wp:inline>
        </w:drawing>
      </w:r>
    </w:p>
    <w:p w:rsidR="007A5789" w:rsidRDefault="004B4679" w:rsidP="00134184">
      <w:pPr>
        <w:pStyle w:val="Style3"/>
        <w:numPr>
          <w:ilvl w:val="0"/>
          <w:numId w:val="17"/>
        </w:numPr>
        <w:tabs>
          <w:tab w:val="left" w:pos="770"/>
        </w:tabs>
        <w:overflowPunct w:val="0"/>
        <w:spacing w:afterLines="50" w:line="340" w:lineRule="atLeast"/>
        <w:ind w:left="0" w:firstLine="0"/>
        <w:rPr>
          <w:sz w:val="21"/>
          <w:szCs w:val="22"/>
        </w:rPr>
      </w:pPr>
      <w:r w:rsidRPr="007A5789">
        <w:rPr>
          <w:sz w:val="21"/>
        </w:rPr>
        <w:t>在腾空楼宇时，将偿还WIPO摊销后的预付款余额1,100</w:t>
      </w:r>
      <w:proofErr w:type="gramStart"/>
      <w:r w:rsidRPr="007A5789">
        <w:rPr>
          <w:sz w:val="21"/>
        </w:rPr>
        <w:t>万瑞</w:t>
      </w:r>
      <w:proofErr w:type="gramEnd"/>
      <w:r w:rsidRPr="007A5789">
        <w:rPr>
          <w:sz w:val="21"/>
        </w:rPr>
        <w:t>郎。预付款中剩余的100</w:t>
      </w:r>
      <w:proofErr w:type="gramStart"/>
      <w:r w:rsidRPr="007A5789">
        <w:rPr>
          <w:sz w:val="21"/>
        </w:rPr>
        <w:t>万瑞</w:t>
      </w:r>
      <w:proofErr w:type="gramEnd"/>
      <w:r w:rsidRPr="007A5789">
        <w:rPr>
          <w:sz w:val="21"/>
        </w:rPr>
        <w:t>郎将由FCIG持有，用以将楼宇复还为其原始状态。</w:t>
      </w:r>
    </w:p>
    <w:p w:rsidR="004B4679" w:rsidRPr="007A5789" w:rsidRDefault="004B4679" w:rsidP="00134184">
      <w:pPr>
        <w:pStyle w:val="Style3"/>
        <w:numPr>
          <w:ilvl w:val="0"/>
          <w:numId w:val="17"/>
        </w:numPr>
        <w:tabs>
          <w:tab w:val="left" w:pos="770"/>
        </w:tabs>
        <w:overflowPunct w:val="0"/>
        <w:spacing w:afterLines="50" w:line="340" w:lineRule="atLeast"/>
        <w:ind w:left="0" w:firstLine="0"/>
        <w:rPr>
          <w:sz w:val="21"/>
        </w:rPr>
      </w:pPr>
      <w:r w:rsidRPr="007A5789">
        <w:rPr>
          <w:sz w:val="21"/>
        </w:rPr>
        <w:t>为方便在财务报表中呈现，摊销总值被视为预付租金，并分为流动性部分</w:t>
      </w:r>
      <w:r w:rsidR="00B6014B">
        <w:rPr>
          <w:sz w:val="21"/>
        </w:rPr>
        <w:t>（</w:t>
      </w:r>
      <w:r w:rsidRPr="007A5789">
        <w:rPr>
          <w:sz w:val="21"/>
        </w:rPr>
        <w:t>见附注4</w:t>
      </w:r>
      <w:r w:rsidR="00B6014B">
        <w:rPr>
          <w:sz w:val="21"/>
        </w:rPr>
        <w:t>）</w:t>
      </w:r>
      <w:r w:rsidRPr="007A5789">
        <w:rPr>
          <w:sz w:val="21"/>
        </w:rPr>
        <w:t>和非流动性部分。截至2015年12月31日，该笔预付款总值为60</w:t>
      </w:r>
      <w:proofErr w:type="gramStart"/>
      <w:r w:rsidRPr="007A5789">
        <w:rPr>
          <w:sz w:val="21"/>
        </w:rPr>
        <w:t>万瑞</w:t>
      </w:r>
      <w:proofErr w:type="gramEnd"/>
      <w:r w:rsidRPr="007A5789">
        <w:rPr>
          <w:sz w:val="21"/>
        </w:rPr>
        <w:t>郎。根据IPSAS，WIPO向FCIG支付的预付款余额的剩余部分被视为优惠贷款，</w:t>
      </w:r>
      <w:proofErr w:type="gramStart"/>
      <w:r w:rsidRPr="007A5789">
        <w:rPr>
          <w:sz w:val="21"/>
        </w:rPr>
        <w:t>按折余成本</w:t>
      </w:r>
      <w:proofErr w:type="gramEnd"/>
      <w:r w:rsidRPr="007A5789">
        <w:rPr>
          <w:sz w:val="21"/>
        </w:rPr>
        <w:t>计量。优惠贷款中的免息部分也记为预付款，并分为流动性部分</w:t>
      </w:r>
      <w:r w:rsidR="00B6014B">
        <w:rPr>
          <w:sz w:val="21"/>
        </w:rPr>
        <w:t>（</w:t>
      </w:r>
      <w:r w:rsidRPr="007A5789">
        <w:rPr>
          <w:sz w:val="21"/>
        </w:rPr>
        <w:t>见附注4</w:t>
      </w:r>
      <w:r w:rsidR="00B6014B">
        <w:rPr>
          <w:sz w:val="21"/>
        </w:rPr>
        <w:t>）</w:t>
      </w:r>
      <w:r w:rsidRPr="007A5789">
        <w:rPr>
          <w:sz w:val="21"/>
        </w:rPr>
        <w:t>和非流动性部分。该笔预付款在租赁协议期内不断减少，截至2015年12月31日，预付款总值为40</w:t>
      </w:r>
      <w:proofErr w:type="gramStart"/>
      <w:r w:rsidRPr="007A5789">
        <w:rPr>
          <w:sz w:val="21"/>
        </w:rPr>
        <w:t>万瑞</w:t>
      </w:r>
      <w:proofErr w:type="gramEnd"/>
      <w:r w:rsidRPr="007A5789">
        <w:rPr>
          <w:sz w:val="21"/>
        </w:rPr>
        <w:t>郎。</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80" w:name="_Toc441218499"/>
      <w:bookmarkStart w:id="81" w:name="_Toc455733230"/>
      <w:bookmarkStart w:id="82" w:name="_Toc456711744"/>
      <w:r w:rsidRPr="007C2134">
        <w:rPr>
          <w:rFonts w:ascii="SimHei" w:eastAsia="SimHei" w:hAnsi="SimHei"/>
          <w:b w:val="0"/>
          <w:sz w:val="21"/>
        </w:rPr>
        <w:lastRenderedPageBreak/>
        <w:t>附注11：应付账款</w:t>
      </w:r>
      <w:bookmarkEnd w:id="80"/>
      <w:bookmarkEnd w:id="81"/>
      <w:bookmarkEnd w:id="82"/>
    </w:p>
    <w:p w:rsidR="004B4679" w:rsidRPr="007A5789" w:rsidRDefault="007525E4" w:rsidP="007525E4">
      <w:pPr>
        <w:spacing w:afterLines="50" w:after="120" w:line="340" w:lineRule="atLeast"/>
        <w:jc w:val="center"/>
        <w:rPr>
          <w:sz w:val="21"/>
        </w:rPr>
      </w:pPr>
      <w:r w:rsidRPr="00EF7E79">
        <w:rPr>
          <w:noProof/>
          <w:sz w:val="21"/>
          <w:lang w:val="en-US" w:bidi="ar-SA"/>
        </w:rPr>
        <w:drawing>
          <wp:inline distT="0" distB="0" distL="0" distR="0" wp14:anchorId="18F7F3D0" wp14:editId="7B513056">
            <wp:extent cx="5934075" cy="1362075"/>
            <wp:effectExtent l="0" t="0" r="9525" b="0"/>
            <wp:docPr id="33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34075" cy="1362075"/>
                    </a:xfrm>
                    <a:prstGeom prst="rect">
                      <a:avLst/>
                    </a:prstGeom>
                    <a:noFill/>
                    <a:ln>
                      <a:noFill/>
                    </a:ln>
                  </pic:spPr>
                </pic:pic>
              </a:graphicData>
            </a:graphic>
          </wp:inline>
        </w:drawing>
      </w:r>
    </w:p>
    <w:p w:rsidR="00AD1872" w:rsidRPr="007A5789" w:rsidRDefault="004B4679" w:rsidP="002C437E">
      <w:pPr>
        <w:pStyle w:val="Style3"/>
        <w:tabs>
          <w:tab w:val="left" w:pos="770"/>
        </w:tabs>
        <w:overflowPunct w:val="0"/>
        <w:spacing w:afterLines="50" w:line="340" w:lineRule="atLeast"/>
        <w:rPr>
          <w:sz w:val="21"/>
        </w:rPr>
      </w:pPr>
      <w:r w:rsidRPr="007A5789">
        <w:rPr>
          <w:sz w:val="21"/>
        </w:rPr>
        <w:t>11.1.</w:t>
      </w:r>
      <w:r w:rsidR="00624A89" w:rsidRPr="007A5789">
        <w:rPr>
          <w:sz w:val="21"/>
        </w:rPr>
        <w:tab/>
      </w:r>
      <w:r w:rsidRPr="007A5789">
        <w:rPr>
          <w:sz w:val="21"/>
        </w:rPr>
        <w:t>应付账款包括从供应商那里收取但尚未结账的发票，其中包括以瑞郎之外的货币计价的应付发票重估数值。</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83" w:name="_Toc441218500"/>
      <w:bookmarkStart w:id="84" w:name="_Toc455733231"/>
      <w:bookmarkStart w:id="85" w:name="_Toc456711745"/>
      <w:r w:rsidRPr="007C2134">
        <w:rPr>
          <w:rFonts w:ascii="SimHei" w:eastAsia="SimHei" w:hAnsi="SimHei"/>
          <w:b w:val="0"/>
          <w:sz w:val="21"/>
        </w:rPr>
        <w:t>附注12：雇员福利</w:t>
      </w:r>
      <w:bookmarkEnd w:id="83"/>
      <w:bookmarkEnd w:id="84"/>
      <w:bookmarkEnd w:id="85"/>
    </w:p>
    <w:p w:rsidR="004B4679" w:rsidRPr="007A5789" w:rsidRDefault="007525E4" w:rsidP="007525E4">
      <w:pPr>
        <w:spacing w:afterLines="50" w:after="120" w:line="340" w:lineRule="atLeast"/>
        <w:jc w:val="center"/>
        <w:rPr>
          <w:sz w:val="21"/>
        </w:rPr>
      </w:pPr>
      <w:r w:rsidRPr="00EF7E79">
        <w:rPr>
          <w:noProof/>
          <w:sz w:val="21"/>
          <w:lang w:val="en-US" w:bidi="ar-SA"/>
        </w:rPr>
        <w:drawing>
          <wp:inline distT="0" distB="0" distL="0" distR="0" wp14:anchorId="5FE8ACBA" wp14:editId="7C374DAF">
            <wp:extent cx="5934075" cy="3571875"/>
            <wp:effectExtent l="0" t="0" r="9525" b="0"/>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34075" cy="3571875"/>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雇员福利包括：</w:t>
      </w:r>
    </w:p>
    <w:p w:rsidR="007A5789" w:rsidRDefault="004B4679" w:rsidP="007525E4">
      <w:pPr>
        <w:pStyle w:val="Style3"/>
        <w:tabs>
          <w:tab w:val="left" w:pos="567"/>
          <w:tab w:val="left" w:pos="709"/>
        </w:tabs>
        <w:spacing w:afterLines="50" w:line="340" w:lineRule="atLeast"/>
        <w:ind w:leftChars="350" w:left="770"/>
        <w:rPr>
          <w:sz w:val="21"/>
        </w:rPr>
      </w:pPr>
      <w:r w:rsidRPr="007525E4">
        <w:rPr>
          <w:rFonts w:ascii="KaiTi" w:eastAsia="KaiTi" w:hAnsi="KaiTi"/>
          <w:sz w:val="21"/>
        </w:rPr>
        <w:t>短期雇员福利</w:t>
      </w:r>
      <w:r w:rsidRPr="007A5789">
        <w:rPr>
          <w:sz w:val="21"/>
        </w:rPr>
        <w:t>，包括薪水、津贴、初次分配工作津贴、受抚养子女教育津贴、带薪年假、带薪病假、事故和人寿保险。</w:t>
      </w:r>
    </w:p>
    <w:p w:rsidR="007A5789" w:rsidRDefault="004B4679" w:rsidP="007525E4">
      <w:pPr>
        <w:pStyle w:val="Style3"/>
        <w:tabs>
          <w:tab w:val="left" w:pos="567"/>
          <w:tab w:val="left" w:pos="709"/>
        </w:tabs>
        <w:spacing w:afterLines="50" w:line="340" w:lineRule="atLeast"/>
        <w:ind w:leftChars="350" w:left="770"/>
        <w:rPr>
          <w:sz w:val="21"/>
        </w:rPr>
      </w:pPr>
      <w:r w:rsidRPr="007525E4">
        <w:rPr>
          <w:rFonts w:ascii="KaiTi" w:eastAsia="KaiTi" w:hAnsi="KaiTi"/>
          <w:sz w:val="21"/>
        </w:rPr>
        <w:t>长期雇员福利</w:t>
      </w:r>
      <w:r w:rsidR="00B6014B">
        <w:rPr>
          <w:sz w:val="21"/>
        </w:rPr>
        <w:t>（</w:t>
      </w:r>
      <w:r w:rsidRPr="007A5789">
        <w:rPr>
          <w:sz w:val="21"/>
        </w:rPr>
        <w:t>或离职后雇员福利</w:t>
      </w:r>
      <w:r w:rsidR="00B6014B">
        <w:rPr>
          <w:sz w:val="21"/>
        </w:rPr>
        <w:t>）</w:t>
      </w:r>
      <w:r w:rsidRPr="007A5789">
        <w:rPr>
          <w:sz w:val="21"/>
        </w:rPr>
        <w:t>包括ASHI等离职后福利，以及其他长期雇员福利，如离职福利，包含由回国补助金、回国差旅和私人物品装运；</w:t>
      </w:r>
    </w:p>
    <w:p w:rsidR="004B4679" w:rsidRPr="007A5789" w:rsidRDefault="004B4679" w:rsidP="007525E4">
      <w:pPr>
        <w:pStyle w:val="a4"/>
        <w:tabs>
          <w:tab w:val="left" w:pos="567"/>
        </w:tabs>
        <w:spacing w:afterLines="50" w:after="120" w:line="340" w:lineRule="atLeast"/>
        <w:ind w:leftChars="350" w:left="770"/>
        <w:rPr>
          <w:sz w:val="21"/>
          <w:szCs w:val="22"/>
        </w:rPr>
      </w:pPr>
      <w:r w:rsidRPr="00270372">
        <w:rPr>
          <w:rFonts w:ascii="KaiTi" w:eastAsia="KaiTi" w:hAnsi="KaiTi"/>
          <w:sz w:val="21"/>
        </w:rPr>
        <w:t>终止津贴</w:t>
      </w:r>
      <w:r w:rsidRPr="007A5789">
        <w:rPr>
          <w:sz w:val="21"/>
        </w:rPr>
        <w:t>，包括向持有长期或固定任期合同而其任期已在合同终止前由本组织终止的工作人员支付的赔偿金。</w:t>
      </w:r>
    </w:p>
    <w:p w:rsidR="007A5789" w:rsidRDefault="004B4679" w:rsidP="001E1DEA">
      <w:pPr>
        <w:pStyle w:val="Style3Bold"/>
        <w:keepNext/>
        <w:spacing w:beforeLines="100" w:before="240" w:afterLines="50" w:line="340" w:lineRule="atLeast"/>
        <w:rPr>
          <w:sz w:val="21"/>
        </w:rPr>
      </w:pPr>
      <w:r w:rsidRPr="007A5789">
        <w:rPr>
          <w:sz w:val="21"/>
        </w:rPr>
        <w:t>短期雇员福利</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本组织还确认了以下短期津贴义务，其价值以报告日应向每一工作人员支付的金额为准。</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AC4C1F">
        <w:rPr>
          <w:rFonts w:ascii="KaiTi" w:eastAsia="KaiTi" w:hAnsi="KaiTi"/>
          <w:b/>
          <w:sz w:val="21"/>
        </w:rPr>
        <w:lastRenderedPageBreak/>
        <w:t>累计假期</w:t>
      </w:r>
      <w:r w:rsidRPr="007A5789">
        <w:rPr>
          <w:sz w:val="21"/>
        </w:rPr>
        <w:t>：工作人员享有30天年假。根据《工作人员条例</w:t>
      </w:r>
      <w:r w:rsidR="0074262A">
        <w:rPr>
          <w:rFonts w:hint="eastAsia"/>
          <w:sz w:val="21"/>
        </w:rPr>
        <w:t>与细则</w:t>
      </w:r>
      <w:r w:rsidRPr="007A5789">
        <w:rPr>
          <w:sz w:val="21"/>
        </w:rPr>
        <w:t>》</w:t>
      </w:r>
      <w:r w:rsidR="0074262A">
        <w:rPr>
          <w:sz w:val="21"/>
        </w:rPr>
        <w:t>（</w:t>
      </w:r>
      <w:r w:rsidR="0074262A" w:rsidRPr="007A5789">
        <w:rPr>
          <w:sz w:val="21"/>
        </w:rPr>
        <w:t>SRR</w:t>
      </w:r>
      <w:r w:rsidR="0074262A">
        <w:rPr>
          <w:sz w:val="21"/>
        </w:rPr>
        <w:t>）</w:t>
      </w:r>
      <w:r w:rsidRPr="007A5789">
        <w:rPr>
          <w:sz w:val="21"/>
        </w:rPr>
        <w:t>，工作人员可以将至多15天的年假累积到给定的某一年，共可累计60天。但是，在2013年1月1日前累计年假超过60天的工作人员有权保留这些年假到2018年1月1日。尽管年假是一种短期雇员福利，但是工作人员有权累计未使用的年假并在离职时收取款项代替未使用的年假</w:t>
      </w:r>
      <w:r w:rsidR="00DF7115">
        <w:rPr>
          <w:sz w:val="21"/>
        </w:rPr>
        <w:t>，</w:t>
      </w:r>
      <w:r w:rsidRPr="007A5789">
        <w:rPr>
          <w:sz w:val="21"/>
        </w:rPr>
        <w:t>因此累计的假期被归类为非流动负债。在特殊情况下，工作人员可能提前获得最多10个工作日的年假。这些工作人员包含在累计</w:t>
      </w:r>
      <w:proofErr w:type="gramStart"/>
      <w:r w:rsidRPr="007A5789">
        <w:rPr>
          <w:rFonts w:hint="eastAsia"/>
          <w:sz w:val="21"/>
        </w:rPr>
        <w:t>休假</w:t>
      </w:r>
      <w:r w:rsidRPr="007A5789">
        <w:rPr>
          <w:sz w:val="21"/>
        </w:rPr>
        <w:t>总</w:t>
      </w:r>
      <w:proofErr w:type="gramEnd"/>
      <w:r w:rsidRPr="007A5789">
        <w:rPr>
          <w:sz w:val="21"/>
        </w:rPr>
        <w:t>余额计算中。报告日时的</w:t>
      </w:r>
      <w:proofErr w:type="gramStart"/>
      <w:r w:rsidRPr="007A5789">
        <w:rPr>
          <w:sz w:val="21"/>
        </w:rPr>
        <w:t>未偿</w:t>
      </w:r>
      <w:proofErr w:type="gramEnd"/>
      <w:r w:rsidRPr="007A5789">
        <w:rPr>
          <w:sz w:val="21"/>
        </w:rPr>
        <w:t>债务总额为1,260</w:t>
      </w:r>
      <w:proofErr w:type="gramStart"/>
      <w:r w:rsidRPr="007A5789">
        <w:rPr>
          <w:sz w:val="21"/>
        </w:rPr>
        <w:t>万瑞</w:t>
      </w:r>
      <w:proofErr w:type="gramEnd"/>
      <w:r w:rsidRPr="007A5789">
        <w:rPr>
          <w:sz w:val="21"/>
        </w:rPr>
        <w:t>郎</w:t>
      </w:r>
      <w:r w:rsidR="00B6014B">
        <w:rPr>
          <w:sz w:val="21"/>
        </w:rPr>
        <w:t>（</w:t>
      </w:r>
      <w:r w:rsidRPr="007A5789">
        <w:rPr>
          <w:sz w:val="21"/>
        </w:rPr>
        <w:t>2014年12月31日为1,290</w:t>
      </w:r>
      <w:proofErr w:type="gramStart"/>
      <w:r w:rsidRPr="007A5789">
        <w:rPr>
          <w:sz w:val="21"/>
        </w:rPr>
        <w:t>万瑞</w:t>
      </w:r>
      <w:proofErr w:type="gramEnd"/>
      <w:r w:rsidRPr="007A5789">
        <w:rPr>
          <w:sz w:val="21"/>
        </w:rPr>
        <w:t>郎</w:t>
      </w:r>
      <w:r w:rsidR="00B6014B">
        <w:rPr>
          <w:sz w:val="21"/>
        </w:rPr>
        <w:t>）</w:t>
      </w:r>
      <w:r w:rsidRPr="007A5789">
        <w:rPr>
          <w:sz w:val="21"/>
        </w:rPr>
        <w:t>。</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AC4C1F">
        <w:rPr>
          <w:rFonts w:ascii="KaiTi" w:eastAsia="KaiTi" w:hAnsi="KaiTi"/>
          <w:b/>
          <w:sz w:val="21"/>
        </w:rPr>
        <w:t>回籍假</w:t>
      </w:r>
      <w:r w:rsidRPr="007A5789">
        <w:rPr>
          <w:sz w:val="21"/>
        </w:rPr>
        <w:t>：某些国际征</w:t>
      </w:r>
      <w:r w:rsidR="0074262A">
        <w:rPr>
          <w:rFonts w:hint="eastAsia"/>
          <w:sz w:val="21"/>
        </w:rPr>
        <w:t>聘</w:t>
      </w:r>
      <w:r w:rsidRPr="007A5789">
        <w:rPr>
          <w:sz w:val="21"/>
        </w:rPr>
        <w:t>工作人员本人和家属每隔一年享有返回其家庭所在国家的回籍假。在报告日应得却未休的回籍假</w:t>
      </w:r>
      <w:proofErr w:type="gramStart"/>
      <w:r w:rsidRPr="007A5789">
        <w:rPr>
          <w:sz w:val="21"/>
        </w:rPr>
        <w:t>未偿</w:t>
      </w:r>
      <w:proofErr w:type="gramEnd"/>
      <w:r w:rsidRPr="007A5789">
        <w:rPr>
          <w:sz w:val="21"/>
        </w:rPr>
        <w:t>债务总额为30</w:t>
      </w:r>
      <w:proofErr w:type="gramStart"/>
      <w:r w:rsidRPr="007A5789">
        <w:rPr>
          <w:sz w:val="21"/>
        </w:rPr>
        <w:t>万瑞</w:t>
      </w:r>
      <w:proofErr w:type="gramEnd"/>
      <w:r w:rsidRPr="007A5789">
        <w:rPr>
          <w:sz w:val="21"/>
        </w:rPr>
        <w:t>郎</w:t>
      </w:r>
      <w:r w:rsidR="00B6014B">
        <w:rPr>
          <w:sz w:val="21"/>
        </w:rPr>
        <w:t>（</w:t>
      </w:r>
      <w:r w:rsidRPr="007A5789">
        <w:rPr>
          <w:sz w:val="21"/>
        </w:rPr>
        <w:t>2014年12月31日为50</w:t>
      </w:r>
      <w:proofErr w:type="gramStart"/>
      <w:r w:rsidRPr="007A5789">
        <w:rPr>
          <w:sz w:val="21"/>
        </w:rPr>
        <w:t>万瑞</w:t>
      </w:r>
      <w:proofErr w:type="gramEnd"/>
      <w:r w:rsidRPr="007A5789">
        <w:rPr>
          <w:sz w:val="21"/>
        </w:rPr>
        <w:t>郎</w:t>
      </w:r>
      <w:r w:rsidR="00B6014B">
        <w:rPr>
          <w:sz w:val="21"/>
        </w:rPr>
        <w:t>）</w:t>
      </w:r>
      <w:r w:rsidRPr="007A5789">
        <w:rPr>
          <w:sz w:val="21"/>
        </w:rPr>
        <w:t>。</w:t>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AC4C1F">
        <w:rPr>
          <w:rFonts w:ascii="KaiTi" w:eastAsia="KaiTi" w:hAnsi="KaiTi"/>
          <w:b/>
          <w:sz w:val="21"/>
        </w:rPr>
        <w:t>加班</w:t>
      </w:r>
      <w:r w:rsidRPr="007A5789">
        <w:rPr>
          <w:sz w:val="21"/>
        </w:rPr>
        <w:t>：某些工作人员在SRR确定的期限到期之后加班可以获得现金支付。报告日时应付金额共计60</w:t>
      </w:r>
      <w:proofErr w:type="gramStart"/>
      <w:r w:rsidRPr="007A5789">
        <w:rPr>
          <w:sz w:val="21"/>
        </w:rPr>
        <w:t>万瑞</w:t>
      </w:r>
      <w:proofErr w:type="gramEnd"/>
      <w:r w:rsidRPr="007A5789">
        <w:rPr>
          <w:sz w:val="21"/>
        </w:rPr>
        <w:t>郎[2014年12月31日为50</w:t>
      </w:r>
      <w:proofErr w:type="gramStart"/>
      <w:r w:rsidRPr="007A5789">
        <w:rPr>
          <w:sz w:val="21"/>
        </w:rPr>
        <w:t>万瑞</w:t>
      </w:r>
      <w:proofErr w:type="gramEnd"/>
      <w:r w:rsidRPr="007A5789">
        <w:rPr>
          <w:sz w:val="21"/>
        </w:rPr>
        <w:t>郎]。</w:t>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AC4C1F">
        <w:rPr>
          <w:rFonts w:ascii="KaiTi" w:eastAsia="KaiTi" w:hAnsi="KaiTi"/>
          <w:b/>
          <w:sz w:val="21"/>
        </w:rPr>
        <w:t>教育补助金</w:t>
      </w:r>
      <w:r w:rsidR="0074262A">
        <w:rPr>
          <w:sz w:val="21"/>
        </w:rPr>
        <w:t>：某些国际</w:t>
      </w:r>
      <w:r w:rsidR="0074262A">
        <w:rPr>
          <w:rFonts w:hint="eastAsia"/>
          <w:sz w:val="21"/>
        </w:rPr>
        <w:t>征聘</w:t>
      </w:r>
      <w:r w:rsidRPr="007A5789">
        <w:rPr>
          <w:sz w:val="21"/>
        </w:rPr>
        <w:t>的工作人员，居住在其本国的除外，均可领取一笔补助金，这笔补助金可以支付75.0%的受抚养子女教育费，直至高等教育学习的第四年为止，但是不能超过每一子女年满25周岁这一学年年底为止。应付教育补助金的负债与从学校/大学学年开始至2015年12月31日期间应缴费的月数有关。报告日时的债务总额为190</w:t>
      </w:r>
      <w:proofErr w:type="gramStart"/>
      <w:r w:rsidRPr="007A5789">
        <w:rPr>
          <w:sz w:val="21"/>
        </w:rPr>
        <w:t>万瑞</w:t>
      </w:r>
      <w:proofErr w:type="gramEnd"/>
      <w:r w:rsidRPr="007A5789">
        <w:rPr>
          <w:sz w:val="21"/>
        </w:rPr>
        <w:t>郎</w:t>
      </w:r>
      <w:r w:rsidR="00B6014B">
        <w:rPr>
          <w:sz w:val="21"/>
        </w:rPr>
        <w:t>（</w:t>
      </w:r>
      <w:r w:rsidRPr="007A5789">
        <w:rPr>
          <w:sz w:val="21"/>
        </w:rPr>
        <w:t>2014年12月31日为190</w:t>
      </w:r>
      <w:proofErr w:type="gramStart"/>
      <w:r w:rsidRPr="007A5789">
        <w:rPr>
          <w:sz w:val="21"/>
        </w:rPr>
        <w:t>万瑞</w:t>
      </w:r>
      <w:proofErr w:type="gramEnd"/>
      <w:r w:rsidRPr="007A5789">
        <w:rPr>
          <w:sz w:val="21"/>
        </w:rPr>
        <w:t>郎</w:t>
      </w:r>
      <w:r w:rsidR="00B6014B">
        <w:rPr>
          <w:sz w:val="21"/>
        </w:rPr>
        <w:t>）</w:t>
      </w:r>
      <w:r w:rsidRPr="007A5789">
        <w:rPr>
          <w:sz w:val="21"/>
        </w:rPr>
        <w:t>。</w:t>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AC4C1F">
        <w:rPr>
          <w:rFonts w:ascii="KaiTi" w:eastAsia="KaiTi" w:hAnsi="KaiTi"/>
          <w:b/>
          <w:sz w:val="21"/>
        </w:rPr>
        <w:t>绩效奖励</w:t>
      </w:r>
      <w:r w:rsidRPr="007A5789">
        <w:rPr>
          <w:sz w:val="21"/>
        </w:rPr>
        <w:t>：按照WIPO奖励与表彰计划，对于</w:t>
      </w:r>
      <w:r w:rsidR="0074262A">
        <w:rPr>
          <w:sz w:val="21"/>
        </w:rPr>
        <w:t>绩效</w:t>
      </w:r>
      <w:r w:rsidRPr="007A5789">
        <w:rPr>
          <w:sz w:val="21"/>
        </w:rPr>
        <w:t>出色的工作人员，可考虑给予2,500瑞郎或5,000瑞郎的一次性总付现金奖励。根据当年所作决定，截至2015年12月31日应付员工的</w:t>
      </w:r>
      <w:r w:rsidR="0074262A">
        <w:rPr>
          <w:sz w:val="21"/>
        </w:rPr>
        <w:t>绩效</w:t>
      </w:r>
      <w:r w:rsidRPr="007A5789">
        <w:rPr>
          <w:sz w:val="21"/>
        </w:rPr>
        <w:t>奖励总额为30</w:t>
      </w:r>
      <w:proofErr w:type="gramStart"/>
      <w:r w:rsidRPr="007A5789">
        <w:rPr>
          <w:sz w:val="21"/>
        </w:rPr>
        <w:t>万瑞</w:t>
      </w:r>
      <w:proofErr w:type="gramEnd"/>
      <w:r w:rsidRPr="007A5789">
        <w:rPr>
          <w:sz w:val="21"/>
        </w:rPr>
        <w:t>郎[2014年12月31日为20</w:t>
      </w:r>
      <w:proofErr w:type="gramStart"/>
      <w:r w:rsidRPr="007A5789">
        <w:rPr>
          <w:sz w:val="21"/>
        </w:rPr>
        <w:t>万瑞</w:t>
      </w:r>
      <w:proofErr w:type="gramEnd"/>
      <w:r w:rsidRPr="007A5789">
        <w:rPr>
          <w:sz w:val="21"/>
        </w:rPr>
        <w:t>郎]。</w:t>
      </w:r>
    </w:p>
    <w:p w:rsidR="007A5789" w:rsidRDefault="004B4679" w:rsidP="001E1DEA">
      <w:pPr>
        <w:pStyle w:val="Style3Bold"/>
        <w:keepNext/>
        <w:spacing w:beforeLines="100" w:before="240" w:afterLines="50" w:line="340" w:lineRule="atLeast"/>
        <w:rPr>
          <w:sz w:val="21"/>
        </w:rPr>
      </w:pPr>
      <w:r w:rsidRPr="007A5789">
        <w:rPr>
          <w:sz w:val="21"/>
        </w:rPr>
        <w:t>长期雇员福利</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AC4C1F">
        <w:rPr>
          <w:rFonts w:ascii="KaiTi" w:eastAsia="KaiTi" w:hAnsi="KaiTi"/>
          <w:b/>
          <w:sz w:val="21"/>
        </w:rPr>
        <w:t>关闭的养恤基金</w:t>
      </w:r>
      <w:r w:rsidR="00B6014B" w:rsidRPr="00AC4C1F">
        <w:rPr>
          <w:rFonts w:ascii="KaiTi" w:eastAsia="KaiTi" w:hAnsi="KaiTi"/>
          <w:b/>
          <w:sz w:val="21"/>
        </w:rPr>
        <w:t>（</w:t>
      </w:r>
      <w:r w:rsidRPr="00AC4C1F">
        <w:rPr>
          <w:rFonts w:ascii="KaiTi" w:eastAsia="KaiTi" w:hAnsi="KaiTi"/>
          <w:b/>
          <w:sz w:val="21"/>
        </w:rPr>
        <w:t>CROMPI</w:t>
      </w:r>
      <w:r w:rsidR="00B6014B" w:rsidRPr="00AC4C1F">
        <w:rPr>
          <w:rFonts w:ascii="KaiTi" w:eastAsia="KaiTi" w:hAnsi="KaiTi"/>
          <w:b/>
          <w:sz w:val="21"/>
        </w:rPr>
        <w:t>）</w:t>
      </w:r>
      <w:r w:rsidRPr="007A5789">
        <w:rPr>
          <w:sz w:val="21"/>
        </w:rPr>
        <w:t>：在加入联合国合办工作人员养恤基金</w:t>
      </w:r>
      <w:r w:rsidR="00B6014B">
        <w:rPr>
          <w:sz w:val="21"/>
        </w:rPr>
        <w:t>（</w:t>
      </w:r>
      <w:r w:rsidRPr="007A5789">
        <w:rPr>
          <w:sz w:val="21"/>
        </w:rPr>
        <w:t>UNJSPF</w:t>
      </w:r>
      <w:r w:rsidR="00B6014B">
        <w:rPr>
          <w:sz w:val="21"/>
        </w:rPr>
        <w:t>）</w:t>
      </w:r>
      <w:r w:rsidRPr="007A5789">
        <w:rPr>
          <w:sz w:val="21"/>
        </w:rPr>
        <w:t>之前，WIPO的前身组织拥有其自身于1955年建立的养恤基金。该养恤基金已于1975年9月30日对新成员关闭，并在基金理事会的管理下对终止时的成员继续生效。根据关闭的养恤基金与本组织之间的协定以及国际劳工组织行政法庭的一项决定，WIPO有义务资助与关闭的养恤基金有关的某些成本：</w:t>
      </w:r>
    </w:p>
    <w:p w:rsidR="004B4679" w:rsidRPr="007A5789" w:rsidRDefault="004B4679" w:rsidP="00134184">
      <w:pPr>
        <w:pStyle w:val="af"/>
        <w:numPr>
          <w:ilvl w:val="0"/>
          <w:numId w:val="6"/>
        </w:numPr>
        <w:spacing w:afterLines="50" w:after="120" w:line="340" w:lineRule="atLeast"/>
        <w:ind w:left="1134" w:hanging="567"/>
        <w:jc w:val="both"/>
        <w:rPr>
          <w:sz w:val="21"/>
          <w:szCs w:val="22"/>
        </w:rPr>
      </w:pPr>
      <w:r w:rsidRPr="007A5789">
        <w:rPr>
          <w:sz w:val="21"/>
        </w:rPr>
        <w:t>向参与关闭的养恤基金的前工作人员到65岁之前支付退休金费用的义务。根据2015年进行的最新精算估计，截至2015年12月31日估计负债为2,000瑞郎[2014年为13,000瑞郎]。2016年将是产生</w:t>
      </w:r>
      <w:proofErr w:type="gramStart"/>
      <w:r w:rsidRPr="007A5789">
        <w:rPr>
          <w:sz w:val="21"/>
        </w:rPr>
        <w:t>该成本</w:t>
      </w:r>
      <w:proofErr w:type="gramEnd"/>
      <w:r w:rsidRPr="007A5789">
        <w:rPr>
          <w:sz w:val="21"/>
        </w:rPr>
        <w:t>的最后一年。</w:t>
      </w:r>
    </w:p>
    <w:p w:rsidR="007A5789" w:rsidRDefault="004B4679" w:rsidP="00134184">
      <w:pPr>
        <w:pStyle w:val="af"/>
        <w:numPr>
          <w:ilvl w:val="0"/>
          <w:numId w:val="6"/>
        </w:numPr>
        <w:spacing w:afterLines="50" w:after="120" w:line="340" w:lineRule="atLeast"/>
        <w:ind w:left="1134" w:hanging="567"/>
        <w:jc w:val="both"/>
        <w:rPr>
          <w:sz w:val="21"/>
          <w:szCs w:val="22"/>
        </w:rPr>
      </w:pPr>
      <w:r w:rsidRPr="007A5789">
        <w:rPr>
          <w:sz w:val="21"/>
        </w:rPr>
        <w:t>根据2006年国际劳工组织行政法庭的一项决定，支付关闭的养恤基金规定的成员应收退休金和基于2015年进行的最新精算估计截至2015年12月31日数额为270</w:t>
      </w:r>
      <w:proofErr w:type="gramStart"/>
      <w:r w:rsidRPr="007A5789">
        <w:rPr>
          <w:sz w:val="21"/>
        </w:rPr>
        <w:t>万瑞</w:t>
      </w:r>
      <w:proofErr w:type="gramEnd"/>
      <w:r w:rsidRPr="007A5789">
        <w:rPr>
          <w:sz w:val="21"/>
        </w:rPr>
        <w:t>郎[2014年为280</w:t>
      </w:r>
      <w:proofErr w:type="gramStart"/>
      <w:r w:rsidRPr="007A5789">
        <w:rPr>
          <w:sz w:val="21"/>
        </w:rPr>
        <w:t>万瑞</w:t>
      </w:r>
      <w:proofErr w:type="gramEnd"/>
      <w:r w:rsidRPr="007A5789">
        <w:rPr>
          <w:sz w:val="21"/>
        </w:rPr>
        <w:t>郎]的UNJSPF应收账款之间的某些差额的义务。</w:t>
      </w:r>
    </w:p>
    <w:p w:rsidR="007A5789" w:rsidRDefault="004B4679" w:rsidP="0074262A">
      <w:pPr>
        <w:pStyle w:val="Style3"/>
        <w:keepNext/>
        <w:numPr>
          <w:ilvl w:val="0"/>
          <w:numId w:val="18"/>
        </w:numPr>
        <w:tabs>
          <w:tab w:val="left" w:pos="770"/>
        </w:tabs>
        <w:overflowPunct w:val="0"/>
        <w:spacing w:afterLines="50" w:line="340" w:lineRule="atLeast"/>
        <w:ind w:left="0" w:firstLine="0"/>
        <w:rPr>
          <w:sz w:val="21"/>
        </w:rPr>
      </w:pPr>
      <w:r w:rsidRPr="00AC4C1F">
        <w:rPr>
          <w:rFonts w:ascii="KaiTi" w:eastAsia="KaiTi" w:hAnsi="KaiTi"/>
          <w:b/>
          <w:sz w:val="21"/>
        </w:rPr>
        <w:lastRenderedPageBreak/>
        <w:t>回国补助金和差旅费</w:t>
      </w:r>
      <w:r w:rsidR="002161B6">
        <w:rPr>
          <w:sz w:val="21"/>
        </w:rPr>
        <w:t>：</w:t>
      </w:r>
      <w:r w:rsidRPr="007A5789">
        <w:rPr>
          <w:sz w:val="21"/>
        </w:rPr>
        <w:t>本组织负有契约义务，为某些国际征</w:t>
      </w:r>
      <w:r w:rsidR="0074262A">
        <w:rPr>
          <w:rFonts w:hint="eastAsia"/>
          <w:sz w:val="21"/>
        </w:rPr>
        <w:t>聘</w:t>
      </w:r>
      <w:r w:rsidRPr="007A5789">
        <w:rPr>
          <w:sz w:val="21"/>
        </w:rPr>
        <w:t>工作人员在离职时提供诸如回国补助金及差旅和搬迁费的福利。对于临时职位的专业工作人员来说</w:t>
      </w:r>
      <w:r w:rsidR="0074262A">
        <w:rPr>
          <w:rFonts w:hint="eastAsia"/>
          <w:sz w:val="21"/>
        </w:rPr>
        <w:t>，</w:t>
      </w:r>
      <w:r w:rsidRPr="007A5789">
        <w:rPr>
          <w:sz w:val="21"/>
        </w:rPr>
        <w:t>离职时的回国差旅和搬迁费由WIPO估计</w:t>
      </w:r>
      <w:r w:rsidR="0074262A">
        <w:rPr>
          <w:rFonts w:hint="eastAsia"/>
          <w:sz w:val="21"/>
        </w:rPr>
        <w:t>，</w:t>
      </w:r>
      <w:r w:rsidRPr="007A5789">
        <w:rPr>
          <w:sz w:val="21"/>
        </w:rPr>
        <w:t>并且被视为一种流动负债。对于国际征</w:t>
      </w:r>
      <w:r w:rsidR="0074262A">
        <w:rPr>
          <w:rFonts w:hint="eastAsia"/>
          <w:sz w:val="21"/>
        </w:rPr>
        <w:t>聘</w:t>
      </w:r>
      <w:r w:rsidRPr="007A5789">
        <w:rPr>
          <w:sz w:val="21"/>
        </w:rPr>
        <w:t>的在职专业工作人员，回国补助金、差旅和搬迁负债由独立精算师计算。负债总额在报告</w:t>
      </w:r>
      <w:proofErr w:type="gramStart"/>
      <w:r w:rsidRPr="007A5789">
        <w:rPr>
          <w:sz w:val="21"/>
        </w:rPr>
        <w:t>日估计</w:t>
      </w:r>
      <w:proofErr w:type="gramEnd"/>
      <w:r w:rsidRPr="007A5789">
        <w:rPr>
          <w:sz w:val="21"/>
        </w:rPr>
        <w:t>如下：</w:t>
      </w:r>
    </w:p>
    <w:p w:rsidR="004B4679" w:rsidRPr="007A5789" w:rsidRDefault="00270372" w:rsidP="00270372">
      <w:pPr>
        <w:pStyle w:val="Style3"/>
        <w:spacing w:afterLines="50" w:line="340" w:lineRule="atLeast"/>
        <w:jc w:val="center"/>
        <w:rPr>
          <w:sz w:val="21"/>
        </w:rPr>
      </w:pPr>
      <w:r w:rsidRPr="00EF7E79">
        <w:rPr>
          <w:noProof/>
          <w:sz w:val="21"/>
          <w:lang w:val="en-US" w:bidi="ar-SA"/>
        </w:rPr>
        <w:drawing>
          <wp:inline distT="0" distB="0" distL="0" distR="0" wp14:anchorId="171105E5" wp14:editId="031BD06D">
            <wp:extent cx="5940425" cy="1362651"/>
            <wp:effectExtent l="0" t="0" r="3175" b="0"/>
            <wp:docPr id="332"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40425" cy="1362651"/>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关于回国补助金和差旅的精算估计，下表详细描述了财务执行情况表中确认的回国补助金和差旅支出：</w:t>
      </w:r>
    </w:p>
    <w:p w:rsidR="004B4679" w:rsidRPr="007A5789" w:rsidRDefault="00444BEA" w:rsidP="00444BEA">
      <w:pPr>
        <w:pStyle w:val="Style3"/>
        <w:spacing w:afterLines="50" w:line="340" w:lineRule="atLeast"/>
        <w:jc w:val="center"/>
        <w:rPr>
          <w:sz w:val="21"/>
        </w:rPr>
      </w:pPr>
      <w:r w:rsidRPr="00EF7E79">
        <w:rPr>
          <w:noProof/>
          <w:sz w:val="21"/>
          <w:lang w:val="en-US" w:bidi="ar-SA"/>
        </w:rPr>
        <w:drawing>
          <wp:inline distT="0" distB="0" distL="0" distR="0" wp14:anchorId="6DC29ACA" wp14:editId="5DB928BF">
            <wp:extent cx="5934710" cy="1501140"/>
            <wp:effectExtent l="0" t="0" r="8890" b="3810"/>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34710" cy="1501140"/>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回国补助金和差旅的精算损益在财务执行情况表中立即予以确认。下表详细描述了回国补助金和差旅</w:t>
      </w:r>
      <w:r w:rsidR="009F536B">
        <w:rPr>
          <w:sz w:val="21"/>
        </w:rPr>
        <w:t>待遇确定型债务</w:t>
      </w:r>
      <w:r w:rsidRPr="007A5789">
        <w:rPr>
          <w:sz w:val="21"/>
        </w:rPr>
        <w:t>的变化情况：</w:t>
      </w:r>
    </w:p>
    <w:p w:rsidR="004B4679" w:rsidRPr="007A5789" w:rsidRDefault="009F536B" w:rsidP="00444BEA">
      <w:pPr>
        <w:pStyle w:val="Style3"/>
        <w:spacing w:afterLines="50" w:line="340" w:lineRule="atLeast"/>
        <w:jc w:val="center"/>
        <w:rPr>
          <w:sz w:val="21"/>
          <w:szCs w:val="22"/>
        </w:rPr>
      </w:pPr>
      <w:r w:rsidRPr="00EF7E79">
        <w:rPr>
          <w:noProof/>
          <w:sz w:val="21"/>
          <w:lang w:val="en-US" w:bidi="ar-SA"/>
        </w:rPr>
        <w:drawing>
          <wp:inline distT="0" distB="0" distL="0" distR="0" wp14:anchorId="46C1E92B" wp14:editId="181AE347">
            <wp:extent cx="5931535" cy="1693545"/>
            <wp:effectExtent l="0" t="0" r="0" b="19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31535" cy="1693545"/>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2015年本组织对回国补助金和差旅的缴费总计130</w:t>
      </w:r>
      <w:proofErr w:type="gramStart"/>
      <w:r w:rsidRPr="007A5789">
        <w:rPr>
          <w:sz w:val="21"/>
        </w:rPr>
        <w:t>万瑞</w:t>
      </w:r>
      <w:proofErr w:type="gramEnd"/>
      <w:r w:rsidRPr="007A5789">
        <w:rPr>
          <w:sz w:val="21"/>
        </w:rPr>
        <w:t>郎</w:t>
      </w:r>
      <w:r w:rsidR="00B6014B">
        <w:rPr>
          <w:sz w:val="21"/>
        </w:rPr>
        <w:t>（</w:t>
      </w:r>
      <w:r w:rsidRPr="007A5789">
        <w:rPr>
          <w:sz w:val="21"/>
        </w:rPr>
        <w:t>2014年为20</w:t>
      </w:r>
      <w:proofErr w:type="gramStart"/>
      <w:r w:rsidRPr="007A5789">
        <w:rPr>
          <w:sz w:val="21"/>
        </w:rPr>
        <w:t>万瑞</w:t>
      </w:r>
      <w:proofErr w:type="gramEnd"/>
      <w:r w:rsidRPr="007A5789">
        <w:rPr>
          <w:sz w:val="21"/>
        </w:rPr>
        <w:t>郎</w:t>
      </w:r>
      <w:r w:rsidR="00B6014B">
        <w:rPr>
          <w:sz w:val="21"/>
        </w:rPr>
        <w:t>）</w:t>
      </w:r>
      <w:r w:rsidRPr="007A5789">
        <w:rPr>
          <w:sz w:val="21"/>
        </w:rPr>
        <w:t>。预计2016年回国补助金和差旅的缴费额为130</w:t>
      </w:r>
      <w:proofErr w:type="gramStart"/>
      <w:r w:rsidRPr="007A5789">
        <w:rPr>
          <w:sz w:val="21"/>
        </w:rPr>
        <w:t>万瑞</w:t>
      </w:r>
      <w:proofErr w:type="gramEnd"/>
      <w:r w:rsidRPr="007A5789">
        <w:rPr>
          <w:sz w:val="21"/>
        </w:rPr>
        <w:t>郎。下表详细描述了2015年及以前4年回国补助金和差旅负债产生的</w:t>
      </w:r>
      <w:r w:rsidR="00DF7115">
        <w:rPr>
          <w:rFonts w:hint="eastAsia"/>
          <w:sz w:val="21"/>
        </w:rPr>
        <w:t>待遇确定型债</w:t>
      </w:r>
      <w:r w:rsidRPr="007A5789">
        <w:rPr>
          <w:sz w:val="21"/>
        </w:rPr>
        <w:t>务和经验调整的现值。</w:t>
      </w:r>
    </w:p>
    <w:p w:rsidR="004B4679" w:rsidRPr="007A5789" w:rsidRDefault="00444BEA" w:rsidP="00444BEA">
      <w:pPr>
        <w:pStyle w:val="Style3"/>
        <w:spacing w:afterLines="50" w:line="340" w:lineRule="atLeast"/>
        <w:jc w:val="center"/>
        <w:rPr>
          <w:sz w:val="21"/>
        </w:rPr>
      </w:pPr>
      <w:r w:rsidRPr="00EF7E79">
        <w:rPr>
          <w:noProof/>
          <w:sz w:val="21"/>
          <w:lang w:val="en-US" w:bidi="ar-SA"/>
        </w:rPr>
        <w:drawing>
          <wp:inline distT="0" distB="0" distL="0" distR="0" wp14:anchorId="0C23AAC5" wp14:editId="4F5AFA38">
            <wp:extent cx="5940425" cy="969010"/>
            <wp:effectExtent l="0" t="0" r="3175" b="2540"/>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40425" cy="969010"/>
                    </a:xfrm>
                    <a:prstGeom prst="rect">
                      <a:avLst/>
                    </a:prstGeom>
                    <a:noFill/>
                    <a:ln>
                      <a:noFill/>
                    </a:ln>
                  </pic:spPr>
                </pic:pic>
              </a:graphicData>
            </a:graphic>
          </wp:inline>
        </w:drawing>
      </w:r>
    </w:p>
    <w:p w:rsidR="007A5789" w:rsidRDefault="004B4679" w:rsidP="00134184">
      <w:pPr>
        <w:pStyle w:val="Style3"/>
        <w:keepNext/>
        <w:numPr>
          <w:ilvl w:val="0"/>
          <w:numId w:val="18"/>
        </w:numPr>
        <w:tabs>
          <w:tab w:val="left" w:pos="770"/>
        </w:tabs>
        <w:overflowPunct w:val="0"/>
        <w:spacing w:afterLines="50" w:line="340" w:lineRule="atLeast"/>
        <w:ind w:left="0" w:firstLine="0"/>
        <w:rPr>
          <w:sz w:val="21"/>
          <w:szCs w:val="22"/>
        </w:rPr>
      </w:pPr>
      <w:r w:rsidRPr="007A5789">
        <w:rPr>
          <w:sz w:val="21"/>
        </w:rPr>
        <w:lastRenderedPageBreak/>
        <w:t>决定回国补助金和差旅负债以及</w:t>
      </w:r>
      <w:r w:rsidR="00444BEA" w:rsidRPr="00444BEA">
        <w:rPr>
          <w:sz w:val="21"/>
        </w:rPr>
        <w:t>待遇确定型</w:t>
      </w:r>
      <w:r w:rsidR="00DF7115">
        <w:rPr>
          <w:rFonts w:hint="eastAsia"/>
          <w:sz w:val="21"/>
        </w:rPr>
        <w:t>债</w:t>
      </w:r>
      <w:r w:rsidRPr="007A5789">
        <w:rPr>
          <w:sz w:val="21"/>
        </w:rPr>
        <w:t>务采用的主要假设如下所示：</w:t>
      </w:r>
    </w:p>
    <w:p w:rsidR="004B4679" w:rsidRPr="009F536B" w:rsidRDefault="009F536B" w:rsidP="00444BEA">
      <w:pPr>
        <w:pStyle w:val="Style3"/>
        <w:spacing w:afterLines="50" w:line="340" w:lineRule="atLeast"/>
        <w:jc w:val="center"/>
        <w:rPr>
          <w:sz w:val="21"/>
        </w:rPr>
      </w:pPr>
      <w:r w:rsidRPr="00EF7E79">
        <w:rPr>
          <w:noProof/>
          <w:sz w:val="21"/>
          <w:lang w:val="en-US" w:bidi="ar-SA"/>
        </w:rPr>
        <w:drawing>
          <wp:inline distT="0" distB="0" distL="0" distR="0" wp14:anchorId="16C93AB7" wp14:editId="40DE4896">
            <wp:extent cx="5931535" cy="163766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31535" cy="1637665"/>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AC4C1F">
        <w:rPr>
          <w:rFonts w:ascii="KaiTi" w:eastAsia="KaiTi" w:hAnsi="KaiTi"/>
          <w:b/>
          <w:sz w:val="21"/>
        </w:rPr>
        <w:t>离职后健康保险</w:t>
      </w:r>
      <w:r w:rsidR="00B6014B" w:rsidRPr="00AC4C1F">
        <w:rPr>
          <w:rFonts w:ascii="KaiTi" w:eastAsia="KaiTi" w:hAnsi="KaiTi"/>
          <w:b/>
          <w:sz w:val="21"/>
        </w:rPr>
        <w:t>（</w:t>
      </w:r>
      <w:r w:rsidRPr="00AC4C1F">
        <w:rPr>
          <w:rFonts w:ascii="KaiTi" w:eastAsia="KaiTi" w:hAnsi="KaiTi"/>
          <w:b/>
          <w:sz w:val="21"/>
        </w:rPr>
        <w:t>ASHI</w:t>
      </w:r>
      <w:r w:rsidR="00B6014B" w:rsidRPr="00AC4C1F">
        <w:rPr>
          <w:rFonts w:ascii="KaiTi" w:eastAsia="KaiTi" w:hAnsi="KaiTi"/>
          <w:b/>
          <w:sz w:val="21"/>
        </w:rPr>
        <w:t>）</w:t>
      </w:r>
      <w:r w:rsidRPr="007A5789">
        <w:rPr>
          <w:sz w:val="21"/>
        </w:rPr>
        <w:t>：本组织还负有以集体医疗保险计划保险金的形式向其员工提供离职后医疗福利的契约义务。退休工作人员</w:t>
      </w:r>
      <w:r w:rsidR="00B6014B">
        <w:rPr>
          <w:sz w:val="21"/>
        </w:rPr>
        <w:t>（</w:t>
      </w:r>
      <w:r w:rsidRPr="007A5789">
        <w:rPr>
          <w:sz w:val="21"/>
        </w:rPr>
        <w:t>及其配偶、受抚养的子女和遗属</w:t>
      </w:r>
      <w:r w:rsidR="00B6014B">
        <w:rPr>
          <w:sz w:val="21"/>
        </w:rPr>
        <w:t>）</w:t>
      </w:r>
      <w:r w:rsidRPr="007A5789">
        <w:rPr>
          <w:sz w:val="21"/>
        </w:rPr>
        <w:t>如果离职后继续参与集体医疗保险计划，便属于ASHI范围。根据《WIPO工作人员条例</w:t>
      </w:r>
      <w:r w:rsidR="00DF7115">
        <w:rPr>
          <w:rFonts w:hint="eastAsia"/>
          <w:sz w:val="21"/>
        </w:rPr>
        <w:t>与细则</w:t>
      </w:r>
      <w:r w:rsidRPr="007A5789">
        <w:rPr>
          <w:sz w:val="21"/>
        </w:rPr>
        <w:t>》，本组织将支付</w:t>
      </w:r>
      <w:proofErr w:type="gramStart"/>
      <w:r w:rsidRPr="007A5789">
        <w:rPr>
          <w:sz w:val="21"/>
        </w:rPr>
        <w:t>月医疗</w:t>
      </w:r>
      <w:proofErr w:type="gramEnd"/>
      <w:r w:rsidRPr="007A5789">
        <w:rPr>
          <w:sz w:val="21"/>
        </w:rPr>
        <w:t>保险费的65%份额。自2016年1月1日起，成人和</w:t>
      </w:r>
      <w:proofErr w:type="gramStart"/>
      <w:r w:rsidRPr="007A5789">
        <w:rPr>
          <w:sz w:val="21"/>
        </w:rPr>
        <w:t>子女月医疗</w:t>
      </w:r>
      <w:proofErr w:type="gramEnd"/>
      <w:r w:rsidRPr="007A5789">
        <w:rPr>
          <w:sz w:val="21"/>
        </w:rPr>
        <w:t>保险费金额分别为552瑞郎和246瑞郎</w:t>
      </w:r>
      <w:r w:rsidR="00B6014B">
        <w:rPr>
          <w:sz w:val="21"/>
        </w:rPr>
        <w:t>（</w:t>
      </w:r>
      <w:r w:rsidRPr="007A5789">
        <w:rPr>
          <w:sz w:val="21"/>
        </w:rPr>
        <w:t>之前成人和子女分别为538瑞郎和240瑞郎</w:t>
      </w:r>
      <w:r w:rsidR="00B6014B">
        <w:rPr>
          <w:sz w:val="21"/>
        </w:rPr>
        <w:t>）</w:t>
      </w:r>
      <w:r w:rsidRPr="007A5789">
        <w:rPr>
          <w:sz w:val="21"/>
        </w:rPr>
        <w:t>。使用预计单位信贷来确定离职后医疗保险所规定福利的当前值，包括使用基于瑞士法郎高级公司债券和瑞士公债的贴现率对预计未来现金流出进行贴现。根据IPSAS，本组织的ASHI负债被视为无</w:t>
      </w:r>
      <w:r w:rsidR="00DF7115">
        <w:rPr>
          <w:rFonts w:hint="eastAsia"/>
          <w:sz w:val="21"/>
        </w:rPr>
        <w:t>供</w:t>
      </w:r>
      <w:r w:rsidRPr="007A5789">
        <w:rPr>
          <w:sz w:val="21"/>
        </w:rPr>
        <w:t>资，因为没有一个法律上独立的实体或基金持有计划资产，因此没有计划资产从财务状况表所确认的负债中扣除。但应注意的是，本组织已经设立了一个单独的银行账户来持有未来离职后雇员福利负债融资资金，包括ASHI</w:t>
      </w:r>
      <w:r w:rsidR="00B6014B">
        <w:rPr>
          <w:sz w:val="21"/>
        </w:rPr>
        <w:t>（</w:t>
      </w:r>
      <w:r w:rsidRPr="007A5789">
        <w:rPr>
          <w:sz w:val="21"/>
        </w:rPr>
        <w:t>见附注3</w:t>
      </w:r>
      <w:r w:rsidR="00B6014B">
        <w:rPr>
          <w:sz w:val="21"/>
        </w:rPr>
        <w:t>）</w:t>
      </w:r>
      <w:r w:rsidRPr="007A5789">
        <w:rPr>
          <w:sz w:val="21"/>
        </w:rPr>
        <w:t>。根据2015年12月一</w:t>
      </w:r>
      <w:proofErr w:type="gramStart"/>
      <w:r w:rsidRPr="007A5789">
        <w:rPr>
          <w:sz w:val="21"/>
        </w:rPr>
        <w:t>个</w:t>
      </w:r>
      <w:proofErr w:type="gramEnd"/>
      <w:r w:rsidRPr="007A5789">
        <w:rPr>
          <w:sz w:val="21"/>
        </w:rPr>
        <w:t>独立事务所进行的一项精算估计，本组织的ASHI负债在本报告</w:t>
      </w:r>
      <w:proofErr w:type="gramStart"/>
      <w:r w:rsidRPr="007A5789">
        <w:rPr>
          <w:sz w:val="21"/>
        </w:rPr>
        <w:t>日估计</w:t>
      </w:r>
      <w:proofErr w:type="gramEnd"/>
      <w:r w:rsidRPr="007A5789">
        <w:rPr>
          <w:sz w:val="21"/>
        </w:rPr>
        <w:t>如下：</w:t>
      </w:r>
    </w:p>
    <w:p w:rsidR="004B4679" w:rsidRPr="007A5789" w:rsidRDefault="00444BEA" w:rsidP="00444BEA">
      <w:pPr>
        <w:pStyle w:val="Style3"/>
        <w:spacing w:afterLines="50" w:line="340" w:lineRule="atLeast"/>
        <w:jc w:val="center"/>
        <w:rPr>
          <w:sz w:val="21"/>
        </w:rPr>
      </w:pPr>
      <w:r w:rsidRPr="00EF7E79">
        <w:rPr>
          <w:noProof/>
          <w:sz w:val="21"/>
          <w:lang w:val="en-US" w:bidi="ar-SA"/>
        </w:rPr>
        <w:drawing>
          <wp:inline distT="0" distB="0" distL="0" distR="0" wp14:anchorId="75079237" wp14:editId="3E813A9F">
            <wp:extent cx="5934710" cy="1000760"/>
            <wp:effectExtent l="0" t="0" r="8890" b="8890"/>
            <wp:docPr id="338"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34710" cy="1000760"/>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下表详细描述了财务执行情况表中确认的ASHI支出：</w:t>
      </w:r>
    </w:p>
    <w:p w:rsidR="004B4679" w:rsidRPr="007A5789" w:rsidRDefault="00444BEA" w:rsidP="00444BEA">
      <w:pPr>
        <w:spacing w:afterLines="50" w:after="120" w:line="340" w:lineRule="atLeast"/>
        <w:jc w:val="center"/>
        <w:rPr>
          <w:sz w:val="21"/>
        </w:rPr>
      </w:pPr>
      <w:r w:rsidRPr="00EF7E79">
        <w:rPr>
          <w:noProof/>
          <w:sz w:val="21"/>
          <w:lang w:val="en-US" w:bidi="ar-SA"/>
        </w:rPr>
        <w:drawing>
          <wp:inline distT="0" distB="0" distL="0" distR="0" wp14:anchorId="29E90E91" wp14:editId="6CE0A7D1">
            <wp:extent cx="5934710" cy="1501140"/>
            <wp:effectExtent l="0" t="0" r="8890" b="3810"/>
            <wp:docPr id="339"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34710" cy="1501140"/>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WIPO采用居间法确认ASHI的精算损益。根据此项会计政策，如果上一个报告期末的累计未确认损益净额超过当日</w:t>
      </w:r>
      <w:r w:rsidR="009F536B">
        <w:rPr>
          <w:sz w:val="21"/>
        </w:rPr>
        <w:t>待遇确定型债务</w:t>
      </w:r>
      <w:r w:rsidRPr="007A5789">
        <w:rPr>
          <w:sz w:val="21"/>
        </w:rPr>
        <w:t>现值的10%，则对净精算损益的一部分予以确认。下表详细描述ASHI</w:t>
      </w:r>
      <w:r w:rsidR="009F536B">
        <w:rPr>
          <w:sz w:val="21"/>
        </w:rPr>
        <w:t>待遇确定型债务</w:t>
      </w:r>
      <w:r w:rsidRPr="007A5789">
        <w:rPr>
          <w:sz w:val="21"/>
        </w:rPr>
        <w:t>的变化情况，并且对</w:t>
      </w:r>
      <w:r w:rsidR="009F536B">
        <w:rPr>
          <w:sz w:val="21"/>
        </w:rPr>
        <w:t>待遇确定型债务</w:t>
      </w:r>
      <w:r w:rsidRPr="007A5789">
        <w:rPr>
          <w:sz w:val="21"/>
        </w:rPr>
        <w:t>和财务状况表确认的负债进行对账。</w:t>
      </w:r>
    </w:p>
    <w:p w:rsidR="004B4679" w:rsidRPr="009F536B" w:rsidRDefault="009F536B" w:rsidP="009F536B">
      <w:pPr>
        <w:spacing w:afterLines="50" w:after="120" w:line="340" w:lineRule="atLeast"/>
        <w:jc w:val="center"/>
        <w:rPr>
          <w:sz w:val="21"/>
        </w:rPr>
      </w:pPr>
      <w:r w:rsidRPr="00EF7E79">
        <w:rPr>
          <w:noProof/>
          <w:sz w:val="21"/>
          <w:lang w:val="en-US" w:bidi="ar-SA"/>
        </w:rPr>
        <w:lastRenderedPageBreak/>
        <w:drawing>
          <wp:inline distT="0" distB="0" distL="0" distR="0" wp14:anchorId="7AB2FE73" wp14:editId="3FD868E1">
            <wp:extent cx="5931535" cy="2075180"/>
            <wp:effectExtent l="0" t="0" r="0"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31535" cy="2075180"/>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2015年本组织的缴费总计260</w:t>
      </w:r>
      <w:proofErr w:type="gramStart"/>
      <w:r w:rsidRPr="007A5789">
        <w:rPr>
          <w:sz w:val="21"/>
        </w:rPr>
        <w:t>万瑞</w:t>
      </w:r>
      <w:proofErr w:type="gramEnd"/>
      <w:r w:rsidRPr="007A5789">
        <w:rPr>
          <w:sz w:val="21"/>
        </w:rPr>
        <w:t>郎</w:t>
      </w:r>
      <w:r w:rsidR="00B6014B">
        <w:rPr>
          <w:sz w:val="21"/>
        </w:rPr>
        <w:t>（</w:t>
      </w:r>
      <w:r w:rsidRPr="007A5789">
        <w:rPr>
          <w:sz w:val="21"/>
        </w:rPr>
        <w:t>2014年为250</w:t>
      </w:r>
      <w:proofErr w:type="gramStart"/>
      <w:r w:rsidRPr="007A5789">
        <w:rPr>
          <w:sz w:val="21"/>
        </w:rPr>
        <w:t>万瑞</w:t>
      </w:r>
      <w:proofErr w:type="gramEnd"/>
      <w:r w:rsidRPr="007A5789">
        <w:rPr>
          <w:sz w:val="21"/>
        </w:rPr>
        <w:t>郎</w:t>
      </w:r>
      <w:r w:rsidR="00B6014B">
        <w:rPr>
          <w:sz w:val="21"/>
        </w:rPr>
        <w:t>）</w:t>
      </w:r>
      <w:r w:rsidRPr="007A5789">
        <w:rPr>
          <w:sz w:val="21"/>
        </w:rPr>
        <w:t>。2016年给ASHI的缴费额预计为290</w:t>
      </w:r>
      <w:proofErr w:type="gramStart"/>
      <w:r w:rsidRPr="007A5789">
        <w:rPr>
          <w:sz w:val="21"/>
        </w:rPr>
        <w:t>万瑞</w:t>
      </w:r>
      <w:proofErr w:type="gramEnd"/>
      <w:r w:rsidRPr="007A5789">
        <w:rPr>
          <w:sz w:val="21"/>
        </w:rPr>
        <w:t>郎。</w:t>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下表详细描述了2015年及2014年以前4年ASHI负债产生的</w:t>
      </w:r>
      <w:r w:rsidR="009F536B">
        <w:rPr>
          <w:sz w:val="21"/>
        </w:rPr>
        <w:t>待遇确定型债务</w:t>
      </w:r>
      <w:r w:rsidRPr="007A5789">
        <w:rPr>
          <w:sz w:val="21"/>
        </w:rPr>
        <w:t>和经验调整的现</w:t>
      </w:r>
      <w:r w:rsidR="006F192F">
        <w:rPr>
          <w:sz w:val="21"/>
        </w:rPr>
        <w:t>‍</w:t>
      </w:r>
      <w:r w:rsidRPr="007A5789">
        <w:rPr>
          <w:sz w:val="21"/>
        </w:rPr>
        <w:t>值。</w:t>
      </w:r>
    </w:p>
    <w:p w:rsidR="007A5789" w:rsidRDefault="00B674DC" w:rsidP="00B674DC">
      <w:pPr>
        <w:spacing w:afterLines="50" w:after="120" w:line="340" w:lineRule="atLeast"/>
        <w:jc w:val="center"/>
        <w:rPr>
          <w:sz w:val="21"/>
        </w:rPr>
      </w:pPr>
      <w:r w:rsidRPr="00EF7E79">
        <w:rPr>
          <w:noProof/>
          <w:sz w:val="21"/>
          <w:lang w:val="en-US" w:bidi="ar-SA"/>
        </w:rPr>
        <w:drawing>
          <wp:inline distT="0" distB="0" distL="0" distR="0" wp14:anchorId="63A404A8" wp14:editId="26539CBD">
            <wp:extent cx="5940425" cy="969010"/>
            <wp:effectExtent l="0" t="0" r="3175" b="2540"/>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40425" cy="969010"/>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决定ASHI负债以及</w:t>
      </w:r>
      <w:r w:rsidR="009F536B">
        <w:rPr>
          <w:sz w:val="21"/>
        </w:rPr>
        <w:t>待遇确定型债务</w:t>
      </w:r>
      <w:r w:rsidRPr="007A5789">
        <w:rPr>
          <w:sz w:val="21"/>
        </w:rPr>
        <w:t>采用的主要假设如下所示：</w:t>
      </w:r>
    </w:p>
    <w:p w:rsidR="004B4679" w:rsidRPr="007A5789" w:rsidRDefault="009F536B" w:rsidP="009F536B">
      <w:pPr>
        <w:spacing w:afterLines="50" w:after="120" w:line="340" w:lineRule="atLeast"/>
        <w:jc w:val="center"/>
        <w:rPr>
          <w:sz w:val="21"/>
        </w:rPr>
      </w:pPr>
      <w:r w:rsidRPr="00EF7E79">
        <w:rPr>
          <w:noProof/>
          <w:sz w:val="21"/>
          <w:lang w:val="en-US" w:bidi="ar-SA"/>
        </w:rPr>
        <w:drawing>
          <wp:inline distT="0" distB="0" distL="0" distR="0" wp14:anchorId="4ACA9F8B" wp14:editId="5A5775AE">
            <wp:extent cx="5931535" cy="2759075"/>
            <wp:effectExtent l="0" t="0" r="0" b="31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31535" cy="2759075"/>
                    </a:xfrm>
                    <a:prstGeom prst="rect">
                      <a:avLst/>
                    </a:prstGeom>
                    <a:noFill/>
                    <a:ln>
                      <a:noFill/>
                    </a:ln>
                  </pic:spPr>
                </pic:pic>
              </a:graphicData>
            </a:graphic>
          </wp:inline>
        </w:drawing>
      </w:r>
    </w:p>
    <w:p w:rsidR="007A5789" w:rsidRDefault="004B4679" w:rsidP="00134184">
      <w:pPr>
        <w:pStyle w:val="Style3"/>
        <w:keepNext/>
        <w:numPr>
          <w:ilvl w:val="0"/>
          <w:numId w:val="18"/>
        </w:numPr>
        <w:tabs>
          <w:tab w:val="left" w:pos="770"/>
        </w:tabs>
        <w:overflowPunct w:val="0"/>
        <w:spacing w:afterLines="50" w:line="340" w:lineRule="atLeast"/>
        <w:ind w:left="0" w:firstLine="0"/>
        <w:rPr>
          <w:sz w:val="21"/>
          <w:szCs w:val="22"/>
        </w:rPr>
      </w:pPr>
      <w:r w:rsidRPr="007A5789">
        <w:rPr>
          <w:sz w:val="21"/>
        </w:rPr>
        <w:lastRenderedPageBreak/>
        <w:t>假设的医疗成本趋势对ASHI债务计算的数额带来了重大影响。假设的医疗成本趋势中一个百分点的变化便会产生以下影响：</w:t>
      </w:r>
    </w:p>
    <w:p w:rsidR="007A5789" w:rsidRDefault="009F536B" w:rsidP="00B674DC">
      <w:pPr>
        <w:spacing w:afterLines="50" w:after="120" w:line="340" w:lineRule="atLeast"/>
        <w:jc w:val="center"/>
        <w:rPr>
          <w:sz w:val="21"/>
        </w:rPr>
      </w:pPr>
      <w:r w:rsidRPr="00EF7E79">
        <w:rPr>
          <w:noProof/>
          <w:sz w:val="21"/>
          <w:lang w:val="en-US" w:bidi="ar-SA"/>
        </w:rPr>
        <w:drawing>
          <wp:inline distT="0" distB="0" distL="0" distR="0" wp14:anchorId="0C47050F" wp14:editId="1B99CE0B">
            <wp:extent cx="5940425" cy="1741705"/>
            <wp:effectExtent l="0" t="0" r="317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40425" cy="1741705"/>
                    </a:xfrm>
                    <a:prstGeom prst="rect">
                      <a:avLst/>
                    </a:prstGeom>
                    <a:noFill/>
                    <a:ln>
                      <a:noFill/>
                    </a:ln>
                  </pic:spPr>
                </pic:pic>
              </a:graphicData>
            </a:graphic>
          </wp:inline>
        </w:drawing>
      </w:r>
    </w:p>
    <w:p w:rsidR="007A5789" w:rsidRDefault="004B4679" w:rsidP="001E1DEA">
      <w:pPr>
        <w:pStyle w:val="Style3Bold"/>
        <w:keepNext/>
        <w:spacing w:beforeLines="100" w:before="240" w:afterLines="50" w:line="340" w:lineRule="atLeast"/>
        <w:rPr>
          <w:sz w:val="21"/>
        </w:rPr>
      </w:pPr>
      <w:r w:rsidRPr="007A5789">
        <w:rPr>
          <w:sz w:val="21"/>
        </w:rPr>
        <w:t>联合国合办工作人员养恤基金</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《养恤基金条例》规定，养恤金委员会应聘请顾问精算</w:t>
      </w:r>
      <w:proofErr w:type="gramStart"/>
      <w:r w:rsidRPr="007A5789">
        <w:rPr>
          <w:sz w:val="21"/>
        </w:rPr>
        <w:t>师至少</w:t>
      </w:r>
      <w:proofErr w:type="gramEnd"/>
      <w:r w:rsidRPr="007A5789">
        <w:rPr>
          <w:sz w:val="21"/>
        </w:rPr>
        <w:t>每三年对基金进行一次精算估值。养恤金委员会沿用的惯例是使用开放团体总额方法，每两年进行一次精算估值。精算估值的主要目的在于确定养恤基金当前和估算的未来资产是否将足以偿付其负债。</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WIPO对UNJSPF承担的财务义务，包括以联合国大会确定的比率计算的应缴部分</w:t>
      </w:r>
      <w:r w:rsidR="00B6014B">
        <w:rPr>
          <w:sz w:val="21"/>
        </w:rPr>
        <w:t>（</w:t>
      </w:r>
      <w:r w:rsidRPr="007A5789">
        <w:rPr>
          <w:sz w:val="21"/>
        </w:rPr>
        <w:t>目前参加者支付7.9%，成员组织支付15.8%</w:t>
      </w:r>
      <w:r w:rsidR="00B6014B">
        <w:rPr>
          <w:sz w:val="21"/>
        </w:rPr>
        <w:t>）</w:t>
      </w:r>
      <w:r w:rsidRPr="007A5789">
        <w:rPr>
          <w:sz w:val="21"/>
        </w:rPr>
        <w:t>以及根据《养恤基金条例》第26条的规定本组织在任何应付精算短缺付款中的份额。只有联合国大会在依据估值日对养恤金基金的精算充足性进行评估，确定需要付款以弥补短缺并援引《养恤基金条例》第26条的规定时，才应支付这种款项。每个成员组织应按估值日之前三年在交款总额中各自支付所占比例，分摊该短缺金额。</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精算估值是在2013年12月31日进行的。估值结果显示了占</w:t>
      </w:r>
      <w:proofErr w:type="gramStart"/>
      <w:r w:rsidRPr="007A5789">
        <w:rPr>
          <w:sz w:val="21"/>
        </w:rPr>
        <w:t>应计养恤金</w:t>
      </w:r>
      <w:proofErr w:type="gramEnd"/>
      <w:r w:rsidRPr="007A5789">
        <w:rPr>
          <w:sz w:val="21"/>
        </w:rPr>
        <w:t>薪酬0.72%</w:t>
      </w:r>
      <w:r w:rsidR="00B6014B">
        <w:rPr>
          <w:sz w:val="21"/>
        </w:rPr>
        <w:t>（</w:t>
      </w:r>
      <w:r w:rsidRPr="007A5789">
        <w:rPr>
          <w:sz w:val="21"/>
        </w:rPr>
        <w:t>2011年估值结果为1.87%</w:t>
      </w:r>
      <w:r w:rsidR="00B6014B">
        <w:rPr>
          <w:sz w:val="21"/>
        </w:rPr>
        <w:t>）</w:t>
      </w:r>
      <w:r w:rsidRPr="007A5789">
        <w:rPr>
          <w:sz w:val="21"/>
        </w:rPr>
        <w:t>的精算赤字，这意味着从2013年12月31日起要实现平衡，理论上所需的缴费率为</w:t>
      </w:r>
      <w:proofErr w:type="gramStart"/>
      <w:r w:rsidRPr="007A5789">
        <w:rPr>
          <w:sz w:val="21"/>
        </w:rPr>
        <w:t>应计养恤金</w:t>
      </w:r>
      <w:proofErr w:type="gramEnd"/>
      <w:r w:rsidRPr="007A5789">
        <w:rPr>
          <w:sz w:val="21"/>
        </w:rPr>
        <w:t>薪酬的24.42%，相比之下，</w:t>
      </w:r>
      <w:proofErr w:type="gramStart"/>
      <w:r w:rsidRPr="007A5789">
        <w:rPr>
          <w:sz w:val="21"/>
        </w:rPr>
        <w:t>实际养</w:t>
      </w:r>
      <w:proofErr w:type="gramEnd"/>
      <w:r w:rsidRPr="007A5789">
        <w:rPr>
          <w:sz w:val="21"/>
        </w:rPr>
        <w:t>恤金缴费率为23.7%。下一次精算估值将根据2015年12月31日的状况进行，编制本财务报表时无法提供。</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截至2013年12月31日，精算资产与精算负债的资助比率，在未进行未来养恤金调整的情况下为127.5%</w:t>
      </w:r>
      <w:r w:rsidR="00B6014B">
        <w:rPr>
          <w:sz w:val="21"/>
        </w:rPr>
        <w:t>（</w:t>
      </w:r>
      <w:r w:rsidRPr="007A5789">
        <w:rPr>
          <w:sz w:val="21"/>
        </w:rPr>
        <w:t>2011年估值为130.0%</w:t>
      </w:r>
      <w:r w:rsidR="00B6014B">
        <w:rPr>
          <w:sz w:val="21"/>
        </w:rPr>
        <w:t>）</w:t>
      </w:r>
      <w:r w:rsidRPr="007A5789">
        <w:rPr>
          <w:sz w:val="21"/>
        </w:rPr>
        <w:t>。在顾及当前养恤金调整制度的情况下，资助比率为91.2%</w:t>
      </w:r>
      <w:r w:rsidR="00B6014B">
        <w:rPr>
          <w:sz w:val="21"/>
        </w:rPr>
        <w:t>（</w:t>
      </w:r>
      <w:r w:rsidRPr="007A5789">
        <w:rPr>
          <w:sz w:val="21"/>
        </w:rPr>
        <w:t>2011年为86.2%</w:t>
      </w:r>
      <w:r w:rsidR="00B6014B">
        <w:rPr>
          <w:sz w:val="21"/>
        </w:rPr>
        <w:t>）</w:t>
      </w:r>
      <w:r w:rsidRPr="007A5789">
        <w:rPr>
          <w:sz w:val="21"/>
        </w:rPr>
        <w:t>。</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在对基金的精算充足性进行评估后，顾问精算师得出结论，截至2013年12月31日，由于基金下资产的精算价值超过了所有累计负债的精算价值，因此，不存在根据《基金条例》第26条所要求的短缺支付问题。此外，截至估值日止，资产的市场价值亦超过了所有累计负债的价值。在本报告发布时，大会并未援引第26条的条款。</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2012年12月和2013年4月，大会授权将基金新参加者的正常退休年龄和强制离职年龄分别提高至65岁，最迟于2014年1月1日开始实行。大会于2013年12月核准了《养恤基金条例》的相关变化。从2013年12月31日起，提高正常的退休年龄将反映在基金的精算估值中。</w:t>
      </w:r>
    </w:p>
    <w:p w:rsidR="004B4679" w:rsidRP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2015年，WIPO对UNJSPF缴纳的退休计划缴费总额为2,670</w:t>
      </w:r>
      <w:proofErr w:type="gramStart"/>
      <w:r w:rsidRPr="007A5789">
        <w:rPr>
          <w:sz w:val="21"/>
        </w:rPr>
        <w:t>万瑞</w:t>
      </w:r>
      <w:proofErr w:type="gramEnd"/>
      <w:r w:rsidRPr="007A5789">
        <w:rPr>
          <w:sz w:val="21"/>
        </w:rPr>
        <w:t>郎</w:t>
      </w:r>
      <w:r w:rsidR="00B6014B">
        <w:rPr>
          <w:sz w:val="21"/>
        </w:rPr>
        <w:t>（</w:t>
      </w:r>
      <w:r w:rsidRPr="007A5789">
        <w:rPr>
          <w:sz w:val="21"/>
        </w:rPr>
        <w:t>2014年为2,600</w:t>
      </w:r>
      <w:proofErr w:type="gramStart"/>
      <w:r w:rsidRPr="007A5789">
        <w:rPr>
          <w:sz w:val="21"/>
        </w:rPr>
        <w:t>万瑞</w:t>
      </w:r>
      <w:proofErr w:type="gramEnd"/>
      <w:r w:rsidRPr="007A5789">
        <w:rPr>
          <w:sz w:val="21"/>
        </w:rPr>
        <w:t>郎</w:t>
      </w:r>
      <w:r w:rsidR="00B6014B">
        <w:rPr>
          <w:sz w:val="21"/>
        </w:rPr>
        <w:t>）</w:t>
      </w:r>
      <w:r w:rsidRPr="007A5789">
        <w:rPr>
          <w:sz w:val="21"/>
        </w:rPr>
        <w:t>。预期2016年到期的缴费额为2,640</w:t>
      </w:r>
      <w:proofErr w:type="gramStart"/>
      <w:r w:rsidRPr="007A5789">
        <w:rPr>
          <w:sz w:val="21"/>
        </w:rPr>
        <w:t>万瑞</w:t>
      </w:r>
      <w:proofErr w:type="gramEnd"/>
      <w:r w:rsidRPr="007A5789">
        <w:rPr>
          <w:sz w:val="21"/>
        </w:rPr>
        <w:t>郎。联合国审计委员会每年对UNJSPF进行一次审议，并就审计情况每年向UNJSPF养恤金委员会做出报告。UNJSPF每季度发表投资报告。有关这些报告的详情，可访问UNJSPF网站：</w:t>
      </w:r>
      <w:hyperlink r:id="rId80">
        <w:r w:rsidRPr="00B674DC">
          <w:rPr>
            <w:rStyle w:val="ae"/>
            <w:color w:val="auto"/>
            <w:sz w:val="21"/>
          </w:rPr>
          <w:t>www.unjspf.org</w:t>
        </w:r>
      </w:hyperlink>
      <w:r w:rsidRPr="007A5789">
        <w:rPr>
          <w:sz w:val="21"/>
        </w:rPr>
        <w:t>。</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86" w:name="_Toc441218501"/>
      <w:bookmarkStart w:id="87" w:name="_Toc455733232"/>
      <w:r w:rsidRPr="007C2134">
        <w:rPr>
          <w:rFonts w:ascii="SimHei" w:eastAsia="SimHei" w:hAnsi="SimHei"/>
          <w:b w:val="0"/>
          <w:sz w:val="21"/>
        </w:rPr>
        <w:lastRenderedPageBreak/>
        <w:t>附注13：应付转账款</w:t>
      </w:r>
      <w:bookmarkEnd w:id="86"/>
      <w:bookmarkEnd w:id="87"/>
    </w:p>
    <w:p w:rsidR="004B4679" w:rsidRPr="007A5789" w:rsidRDefault="00B674DC" w:rsidP="00B674DC">
      <w:pPr>
        <w:spacing w:afterLines="50" w:after="120" w:line="340" w:lineRule="atLeast"/>
        <w:jc w:val="center"/>
        <w:rPr>
          <w:sz w:val="21"/>
        </w:rPr>
      </w:pPr>
      <w:r w:rsidRPr="009F536B">
        <w:rPr>
          <w:noProof/>
          <w:sz w:val="21"/>
          <w:lang w:val="en-US" w:bidi="ar-SA"/>
        </w:rPr>
        <w:drawing>
          <wp:inline distT="0" distB="0" distL="0" distR="0" wp14:anchorId="387AAB4F" wp14:editId="550AD98A">
            <wp:extent cx="5934710" cy="2562225"/>
            <wp:effectExtent l="0" t="0" r="8890" b="9525"/>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34710" cy="2562225"/>
                    </a:xfrm>
                    <a:prstGeom prst="rect">
                      <a:avLst/>
                    </a:prstGeom>
                    <a:noFill/>
                    <a:ln>
                      <a:noFill/>
                    </a:ln>
                  </pic:spPr>
                </pic:pic>
              </a:graphicData>
            </a:graphic>
          </wp:inline>
        </w:drawing>
      </w:r>
    </w:p>
    <w:p w:rsidR="007A5789" w:rsidRDefault="004B4679" w:rsidP="00134184">
      <w:pPr>
        <w:pStyle w:val="Style3"/>
        <w:numPr>
          <w:ilvl w:val="0"/>
          <w:numId w:val="19"/>
        </w:numPr>
        <w:tabs>
          <w:tab w:val="left" w:pos="770"/>
        </w:tabs>
        <w:overflowPunct w:val="0"/>
        <w:spacing w:afterLines="50" w:line="340" w:lineRule="atLeast"/>
        <w:ind w:left="0" w:firstLine="0"/>
        <w:rPr>
          <w:sz w:val="21"/>
        </w:rPr>
      </w:pPr>
      <w:r w:rsidRPr="007A5789">
        <w:rPr>
          <w:sz w:val="21"/>
        </w:rPr>
        <w:t>本组织代表《马德里协定》和《议定书》以及《海牙协定共同实施细则》的缔约方收费。本组织的PCT国际局向申请人收取资金，用以抵偿向国际检索单位支付的费用。此外，本组织收取在通过仲裁与调解中心处理的案件中直接支付给调解人、仲裁人或专门小组成员的费用。本组织在根据本组织管辖的各项条约和协定向最终受益人移交之前暂时持有这些资金。</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马德里联盟补充费和附加费</w:t>
      </w:r>
      <w:r w:rsidRPr="007A5789">
        <w:rPr>
          <w:sz w:val="21"/>
        </w:rPr>
        <w:t>：根据《马德里协定》</w:t>
      </w:r>
      <w:r w:rsidR="00B6014B">
        <w:rPr>
          <w:sz w:val="21"/>
        </w:rPr>
        <w:t>（</w:t>
      </w:r>
      <w:r w:rsidRPr="007A5789">
        <w:rPr>
          <w:sz w:val="21"/>
        </w:rPr>
        <w:t>第8条第(2)款(b)项和(c)项</w:t>
      </w:r>
      <w:r w:rsidR="00B6014B">
        <w:rPr>
          <w:sz w:val="21"/>
        </w:rPr>
        <w:t>）</w:t>
      </w:r>
      <w:r w:rsidRPr="007A5789">
        <w:rPr>
          <w:sz w:val="21"/>
        </w:rPr>
        <w:t>和《马德里议定书》</w:t>
      </w:r>
      <w:r w:rsidR="00B6014B">
        <w:rPr>
          <w:sz w:val="21"/>
        </w:rPr>
        <w:t>（</w:t>
      </w:r>
      <w:r w:rsidRPr="007A5789">
        <w:rPr>
          <w:sz w:val="21"/>
        </w:rPr>
        <w:t>第8条第(2)款(ii)项和第(iii)项</w:t>
      </w:r>
      <w:r w:rsidR="00B6014B">
        <w:rPr>
          <w:sz w:val="21"/>
        </w:rPr>
        <w:t>）</w:t>
      </w:r>
      <w:r w:rsidRPr="007A5789">
        <w:rPr>
          <w:sz w:val="21"/>
        </w:rPr>
        <w:t>，本组织代表缔约方收取补充费和附加费，每份申请或续展为100瑞郎。应付给每一缔约方的金额根据该方提供的服务</w:t>
      </w:r>
      <w:r w:rsidR="00B6014B">
        <w:rPr>
          <w:sz w:val="21"/>
        </w:rPr>
        <w:t>（</w:t>
      </w:r>
      <w:r w:rsidRPr="007A5789">
        <w:rPr>
          <w:sz w:val="21"/>
        </w:rPr>
        <w:t>执行审查</w:t>
      </w:r>
      <w:r w:rsidR="00B6014B">
        <w:rPr>
          <w:sz w:val="21"/>
        </w:rPr>
        <w:t>）</w:t>
      </w:r>
      <w:r w:rsidRPr="007A5789">
        <w:rPr>
          <w:sz w:val="21"/>
        </w:rPr>
        <w:t>不等。资金每年于报告日之后在上半年转账。</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马德里联盟单独</w:t>
      </w:r>
      <w:proofErr w:type="gramStart"/>
      <w:r w:rsidRPr="00AC4C1F">
        <w:rPr>
          <w:rFonts w:ascii="KaiTi" w:eastAsia="KaiTi" w:hAnsi="KaiTi"/>
          <w:sz w:val="21"/>
        </w:rPr>
        <w:t>规</w:t>
      </w:r>
      <w:proofErr w:type="gramEnd"/>
      <w:r w:rsidRPr="00AC4C1F">
        <w:rPr>
          <w:rFonts w:ascii="KaiTi" w:eastAsia="KaiTi" w:hAnsi="KaiTi"/>
          <w:sz w:val="21"/>
        </w:rPr>
        <w:t>费</w:t>
      </w:r>
      <w:r w:rsidRPr="007A5789">
        <w:rPr>
          <w:sz w:val="21"/>
        </w:rPr>
        <w:t>：根据《马德里议定书》第8条第(7)款及《共同实施细则》第38条，缔约方可规定费用，由本组织收取，在登记费用所涉的注册或续展指定后一个月内向缔约方转付。选择规定单独</w:t>
      </w:r>
      <w:proofErr w:type="gramStart"/>
      <w:r w:rsidRPr="007A5789">
        <w:rPr>
          <w:sz w:val="21"/>
        </w:rPr>
        <w:t>规</w:t>
      </w:r>
      <w:proofErr w:type="gramEnd"/>
      <w:r w:rsidRPr="007A5789">
        <w:rPr>
          <w:sz w:val="21"/>
        </w:rPr>
        <w:t>费的缔约方不能收取上述补充费和附加费。列出的应付额为报告期期末待转账的</w:t>
      </w:r>
      <w:proofErr w:type="gramStart"/>
      <w:r w:rsidRPr="007A5789">
        <w:rPr>
          <w:sz w:val="21"/>
        </w:rPr>
        <w:t>规</w:t>
      </w:r>
      <w:proofErr w:type="gramEnd"/>
      <w:r w:rsidRPr="007A5789">
        <w:rPr>
          <w:sz w:val="21"/>
        </w:rPr>
        <w:t>费。</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马德里联盟预缴款</w:t>
      </w:r>
      <w:r w:rsidRPr="007A5789">
        <w:rPr>
          <w:sz w:val="21"/>
        </w:rPr>
        <w:t>：本组织从马德里体系申请人处收到支付的款项，按照与商标相关的未决程序，这些款项被视为预缴款。在这些预缴款中，有一部分是WIPO代第三方收取的资金，随后要按照条约转账。财务报表的应付转账款包含了这部分预交款的概算。预缴款中由本组织预先收取的费用概算包含在财务报表的预</w:t>
      </w:r>
      <w:r w:rsidR="009F536B">
        <w:rPr>
          <w:rFonts w:hint="eastAsia"/>
          <w:sz w:val="21"/>
        </w:rPr>
        <w:t>收</w:t>
      </w:r>
      <w:r w:rsidRPr="007A5789">
        <w:rPr>
          <w:sz w:val="21"/>
        </w:rPr>
        <w:t>款中</w:t>
      </w:r>
      <w:r w:rsidR="00B6014B">
        <w:rPr>
          <w:sz w:val="21"/>
        </w:rPr>
        <w:t>（</w:t>
      </w:r>
      <w:r w:rsidRPr="007A5789">
        <w:rPr>
          <w:sz w:val="21"/>
        </w:rPr>
        <w:t>见附注14</w:t>
      </w:r>
      <w:r w:rsidR="00B6014B">
        <w:rPr>
          <w:sz w:val="21"/>
        </w:rPr>
        <w:t>）</w:t>
      </w:r>
      <w:r w:rsidRPr="007A5789">
        <w:rPr>
          <w:sz w:val="21"/>
        </w:rPr>
        <w:t>。</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海牙联盟分配</w:t>
      </w:r>
      <w:r w:rsidRPr="007A5789">
        <w:rPr>
          <w:sz w:val="21"/>
        </w:rPr>
        <w:t>：根据《海牙协定共同实施细则》的细则13.2条(a)款(iii)项、细则13.2条(e)款和细则24.2条，本组织代表缔约方为国际注册或续展收取一般国家规费、国家续展费和新颖性审查费。这些资金每月向缔约方支付。列出的应付额为报告期期末待转账的数额。</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马德里和海牙联盟待分费</w:t>
      </w:r>
      <w:r w:rsidRPr="007A5789">
        <w:rPr>
          <w:sz w:val="21"/>
        </w:rPr>
        <w:t>：如果未收到明确的付款指示或者缔约方要求确认后再付款，本组织则持有应付给缔约方的资金。所列数额包括总额为180</w:t>
      </w:r>
      <w:proofErr w:type="gramStart"/>
      <w:r w:rsidRPr="007A5789">
        <w:rPr>
          <w:sz w:val="21"/>
        </w:rPr>
        <w:t>万瑞</w:t>
      </w:r>
      <w:proofErr w:type="gramEnd"/>
      <w:r w:rsidRPr="007A5789">
        <w:rPr>
          <w:sz w:val="21"/>
        </w:rPr>
        <w:t>郎的款项，应付给所有组成前南斯拉夫联邦共和国的国家，即波斯尼亚和黑塞哥维那、克罗地亚、黑山、塞尔维亚、斯洛文尼亚和前南斯拉夫的马其顿共和国。国际局一旦收到相关成员国之间关于应付给每个国家的金额的相互协定，即进行支付。</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lastRenderedPageBreak/>
        <w:t>仲裁与调解中心预缴款</w:t>
      </w:r>
      <w:r w:rsidRPr="007A5789">
        <w:rPr>
          <w:sz w:val="21"/>
        </w:rPr>
        <w:t>：本组织为通过仲裁与调解中心进行的有关域名及其他知识产权相关问题的仲裁收取费用。除了付给本组织的费用外，当事人预缴一笔款项，数额相当于估算的仲裁员费用。如果仲裁员的费用超过估计，本组织可要求当事人提供所需的额外资金。收取的款项直接付给仲裁员，本组织不将其计为收入。前表所列金额为当事人已付但报告日未付给仲裁员的净金额。</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PCT国际检索单位</w:t>
      </w:r>
      <w:r w:rsidRPr="007A5789">
        <w:rPr>
          <w:sz w:val="21"/>
        </w:rPr>
        <w:t>：国际局向在国际局提交国际专利申请的申请人收取费用，以支付本组织按PCT指定的国际检索单位进行国际检索的费用。前表所列金额为报告日应向国际检索单位转付的金额。</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应付给EPO的USPTO检索费</w:t>
      </w:r>
      <w:r w:rsidRPr="007A5789">
        <w:rPr>
          <w:sz w:val="21"/>
        </w:rPr>
        <w:t>：根据欧洲专利局</w:t>
      </w:r>
      <w:r w:rsidR="00B6014B">
        <w:rPr>
          <w:sz w:val="21"/>
        </w:rPr>
        <w:t>（</w:t>
      </w:r>
      <w:r w:rsidRPr="007A5789">
        <w:rPr>
          <w:sz w:val="21"/>
        </w:rPr>
        <w:t>EPO</w:t>
      </w:r>
      <w:r w:rsidR="00B6014B">
        <w:rPr>
          <w:sz w:val="21"/>
        </w:rPr>
        <w:t>）</w:t>
      </w:r>
      <w:r w:rsidRPr="007A5789">
        <w:rPr>
          <w:sz w:val="21"/>
        </w:rPr>
        <w:t>、美国专利商标局</w:t>
      </w:r>
      <w:r w:rsidR="00B6014B">
        <w:rPr>
          <w:sz w:val="21"/>
        </w:rPr>
        <w:t>（</w:t>
      </w:r>
      <w:r w:rsidRPr="007A5789">
        <w:rPr>
          <w:sz w:val="21"/>
        </w:rPr>
        <w:t>USPTO</w:t>
      </w:r>
      <w:r w:rsidR="00B6014B">
        <w:rPr>
          <w:sz w:val="21"/>
        </w:rPr>
        <w:t>）</w:t>
      </w:r>
      <w:r w:rsidRPr="007A5789">
        <w:rPr>
          <w:sz w:val="21"/>
        </w:rPr>
        <w:t>和WIPO达成的谅解备忘录，WIPO从USPTO获取应从USPTO</w:t>
      </w:r>
      <w:r w:rsidR="00B6014B">
        <w:rPr>
          <w:sz w:val="21"/>
        </w:rPr>
        <w:t>（</w:t>
      </w:r>
      <w:r w:rsidRPr="007A5789">
        <w:rPr>
          <w:sz w:val="21"/>
        </w:rPr>
        <w:t>作为PCT收取单位</w:t>
      </w:r>
      <w:r w:rsidR="00B6014B">
        <w:rPr>
          <w:sz w:val="21"/>
        </w:rPr>
        <w:t>）</w:t>
      </w:r>
      <w:r w:rsidRPr="007A5789">
        <w:rPr>
          <w:sz w:val="21"/>
        </w:rPr>
        <w:t>转付给EPO</w:t>
      </w:r>
      <w:r w:rsidR="00B6014B">
        <w:rPr>
          <w:sz w:val="21"/>
        </w:rPr>
        <w:t>（</w:t>
      </w:r>
      <w:r w:rsidRPr="007A5789">
        <w:rPr>
          <w:sz w:val="21"/>
        </w:rPr>
        <w:t>作为国际检索单位</w:t>
      </w:r>
      <w:r w:rsidR="00B6014B">
        <w:rPr>
          <w:sz w:val="21"/>
        </w:rPr>
        <w:t>）</w:t>
      </w:r>
      <w:r w:rsidRPr="007A5789">
        <w:rPr>
          <w:sz w:val="21"/>
        </w:rPr>
        <w:t>的PCT检索费用，再由WIPO转付给EPO。此份谅解备忘录旨在完善检索费用转付的管理，降低国际</w:t>
      </w:r>
      <w:proofErr w:type="gramStart"/>
      <w:r w:rsidRPr="007A5789">
        <w:rPr>
          <w:sz w:val="21"/>
        </w:rPr>
        <w:t>局履行</w:t>
      </w:r>
      <w:proofErr w:type="gramEnd"/>
      <w:r w:rsidRPr="007A5789">
        <w:rPr>
          <w:sz w:val="21"/>
        </w:rPr>
        <w:t>PCT第16.1</w:t>
      </w:r>
      <w:r w:rsidR="00AB1CF0" w:rsidRPr="007A5789">
        <w:rPr>
          <w:sz w:val="21"/>
        </w:rPr>
        <w:t>(</w:t>
      </w:r>
      <w:r w:rsidRPr="007A5789">
        <w:rPr>
          <w:sz w:val="21"/>
        </w:rPr>
        <w:t>e</w:t>
      </w:r>
      <w:r w:rsidR="00AB1CF0" w:rsidRPr="007A5789">
        <w:rPr>
          <w:sz w:val="21"/>
        </w:rPr>
        <w:t>)</w:t>
      </w:r>
      <w:r w:rsidRPr="007A5789">
        <w:rPr>
          <w:sz w:val="21"/>
        </w:rPr>
        <w:t>条规定因汇率波动而遭受的损失。前表所列金额为WIPO在报告日获取的但尚未转付给EPO的转付余额。</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88" w:name="_Toc441218502"/>
      <w:bookmarkStart w:id="89" w:name="_Toc455733233"/>
      <w:r w:rsidRPr="007C2134">
        <w:rPr>
          <w:rFonts w:ascii="SimHei" w:eastAsia="SimHei" w:hAnsi="SimHei"/>
          <w:b w:val="0"/>
          <w:sz w:val="21"/>
        </w:rPr>
        <w:t>附注14：预收款</w:t>
      </w:r>
      <w:bookmarkEnd w:id="88"/>
      <w:bookmarkEnd w:id="89"/>
    </w:p>
    <w:p w:rsidR="004B4679" w:rsidRPr="007A5789" w:rsidRDefault="00B674DC" w:rsidP="00B674DC">
      <w:pPr>
        <w:spacing w:afterLines="50" w:after="120" w:line="340" w:lineRule="atLeast"/>
        <w:jc w:val="center"/>
        <w:rPr>
          <w:sz w:val="21"/>
        </w:rPr>
      </w:pPr>
      <w:r w:rsidRPr="00EF7E79">
        <w:rPr>
          <w:noProof/>
          <w:sz w:val="21"/>
          <w:lang w:val="en-US" w:bidi="ar-SA"/>
        </w:rPr>
        <w:drawing>
          <wp:inline distT="0" distB="0" distL="0" distR="0" wp14:anchorId="7D2A3231" wp14:editId="56D4829A">
            <wp:extent cx="5934710" cy="3277870"/>
            <wp:effectExtent l="0" t="0" r="8890" b="0"/>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34710" cy="3277870"/>
                    </a:xfrm>
                    <a:prstGeom prst="rect">
                      <a:avLst/>
                    </a:prstGeom>
                    <a:noFill/>
                    <a:ln>
                      <a:noFill/>
                    </a:ln>
                  </pic:spPr>
                </pic:pic>
              </a:graphicData>
            </a:graphic>
          </wp:inline>
        </w:drawing>
      </w:r>
    </w:p>
    <w:p w:rsidR="007A5789" w:rsidRDefault="004B4679" w:rsidP="00134184">
      <w:pPr>
        <w:pStyle w:val="Style3"/>
        <w:numPr>
          <w:ilvl w:val="0"/>
          <w:numId w:val="20"/>
        </w:numPr>
        <w:tabs>
          <w:tab w:val="left" w:pos="770"/>
        </w:tabs>
        <w:overflowPunct w:val="0"/>
        <w:spacing w:afterLines="50" w:line="340" w:lineRule="atLeast"/>
        <w:ind w:left="0" w:firstLine="0"/>
        <w:rPr>
          <w:sz w:val="21"/>
          <w:szCs w:val="22"/>
        </w:rPr>
      </w:pPr>
      <w:r w:rsidRPr="007A5789">
        <w:rPr>
          <w:sz w:val="21"/>
        </w:rPr>
        <w:t>许多情况下，本组织在服务全部履行之前，或根据本组织管理的条约、协定、议定书和条例挣</w:t>
      </w:r>
      <w:proofErr w:type="gramStart"/>
      <w:r w:rsidRPr="007A5789">
        <w:rPr>
          <w:sz w:val="21"/>
        </w:rPr>
        <w:t>得费用</w:t>
      </w:r>
      <w:proofErr w:type="gramEnd"/>
      <w:r w:rsidRPr="007A5789">
        <w:rPr>
          <w:sz w:val="21"/>
        </w:rPr>
        <w:t>之前，便收取了</w:t>
      </w:r>
      <w:proofErr w:type="gramStart"/>
      <w:r w:rsidRPr="007A5789">
        <w:rPr>
          <w:sz w:val="21"/>
        </w:rPr>
        <w:t>规</w:t>
      </w:r>
      <w:proofErr w:type="gramEnd"/>
      <w:r w:rsidRPr="007A5789">
        <w:rPr>
          <w:sz w:val="21"/>
        </w:rPr>
        <w:t>费和服务费。有关国际申请处理的费用收入</w:t>
      </w:r>
      <w:r w:rsidR="00B6014B">
        <w:rPr>
          <w:sz w:val="21"/>
        </w:rPr>
        <w:t>（</w:t>
      </w:r>
      <w:r w:rsidRPr="007A5789">
        <w:rPr>
          <w:sz w:val="21"/>
        </w:rPr>
        <w:t>在PCT、马德里及海牙体系下</w:t>
      </w:r>
      <w:r w:rsidR="00B6014B">
        <w:rPr>
          <w:sz w:val="21"/>
        </w:rPr>
        <w:t>）</w:t>
      </w:r>
      <w:r w:rsidRPr="007A5789">
        <w:rPr>
          <w:sz w:val="21"/>
        </w:rPr>
        <w:t>在申请公布后入账。以纸件或EASY模式提交的PCT申请的增加页数费用收入推迟到相关申请公布时再予以确认。此外，包括非英文专利性报告的翻译费用在内的PCT申请</w:t>
      </w:r>
      <w:proofErr w:type="gramStart"/>
      <w:r w:rsidRPr="007A5789">
        <w:rPr>
          <w:sz w:val="21"/>
        </w:rPr>
        <w:t>规</w:t>
      </w:r>
      <w:proofErr w:type="gramEnd"/>
      <w:r w:rsidRPr="007A5789">
        <w:rPr>
          <w:sz w:val="21"/>
        </w:rPr>
        <w:t>费部分也推迟到翻译完成之时予以确认。所有</w:t>
      </w:r>
      <w:proofErr w:type="gramStart"/>
      <w:r w:rsidRPr="007A5789">
        <w:rPr>
          <w:sz w:val="21"/>
        </w:rPr>
        <w:t>规</w:t>
      </w:r>
      <w:proofErr w:type="gramEnd"/>
      <w:r w:rsidRPr="007A5789">
        <w:rPr>
          <w:sz w:val="21"/>
        </w:rPr>
        <w:t>费收入，包括续展、</w:t>
      </w:r>
      <w:r w:rsidR="009F536B">
        <w:rPr>
          <w:rFonts w:hint="eastAsia"/>
          <w:sz w:val="21"/>
        </w:rPr>
        <w:t>摘录</w:t>
      </w:r>
      <w:r w:rsidRPr="007A5789">
        <w:rPr>
          <w:sz w:val="21"/>
        </w:rPr>
        <w:t>、</w:t>
      </w:r>
      <w:r w:rsidR="009F536B">
        <w:rPr>
          <w:rFonts w:hint="eastAsia"/>
          <w:sz w:val="21"/>
        </w:rPr>
        <w:t>变更</w:t>
      </w:r>
      <w:r w:rsidRPr="007A5789">
        <w:rPr>
          <w:sz w:val="21"/>
        </w:rPr>
        <w:t>、放弃、转让、确认和调整费用，在完成服务时予以计入。</w:t>
      </w:r>
    </w:p>
    <w:p w:rsidR="007A5789" w:rsidRDefault="004B4679" w:rsidP="00134184">
      <w:pPr>
        <w:pStyle w:val="Style3"/>
        <w:numPr>
          <w:ilvl w:val="0"/>
          <w:numId w:val="20"/>
        </w:numPr>
        <w:tabs>
          <w:tab w:val="left" w:pos="770"/>
        </w:tabs>
        <w:overflowPunct w:val="0"/>
        <w:spacing w:afterLines="50" w:line="340" w:lineRule="atLeast"/>
        <w:ind w:left="0" w:firstLine="0"/>
        <w:rPr>
          <w:sz w:val="21"/>
        </w:rPr>
      </w:pPr>
      <w:r w:rsidRPr="007A5789">
        <w:rPr>
          <w:sz w:val="21"/>
        </w:rPr>
        <w:t>载明要求本组织向受援国政府或</w:t>
      </w:r>
      <w:proofErr w:type="gramStart"/>
      <w:r w:rsidRPr="007A5789">
        <w:rPr>
          <w:sz w:val="21"/>
        </w:rPr>
        <w:t>其他第三</w:t>
      </w:r>
      <w:proofErr w:type="gramEnd"/>
      <w:r w:rsidRPr="007A5789">
        <w:rPr>
          <w:sz w:val="21"/>
        </w:rPr>
        <w:t>方提供服务条件的特别账户中捐助方的自愿捐助，被视为递延收入，直至提供自愿捐助所涉及的服务之后，才计入收入。</w:t>
      </w:r>
    </w:p>
    <w:p w:rsidR="004B4679" w:rsidRPr="007A5789" w:rsidRDefault="004B4679" w:rsidP="00134184">
      <w:pPr>
        <w:pStyle w:val="Style3"/>
        <w:numPr>
          <w:ilvl w:val="0"/>
          <w:numId w:val="20"/>
        </w:numPr>
        <w:tabs>
          <w:tab w:val="left" w:pos="770"/>
        </w:tabs>
        <w:overflowPunct w:val="0"/>
        <w:spacing w:afterLines="50" w:line="340" w:lineRule="atLeast"/>
        <w:ind w:left="0" w:firstLine="0"/>
        <w:rPr>
          <w:sz w:val="21"/>
        </w:rPr>
      </w:pPr>
      <w:r w:rsidRPr="007A5789">
        <w:rPr>
          <w:sz w:val="21"/>
        </w:rPr>
        <w:lastRenderedPageBreak/>
        <w:t>升级WIPO现有办公楼安全和安保标准的建筑项目由国际组织</w:t>
      </w:r>
      <w:r w:rsidR="009F536B">
        <w:rPr>
          <w:rFonts w:hint="eastAsia"/>
          <w:sz w:val="21"/>
        </w:rPr>
        <w:t>不动产</w:t>
      </w:r>
      <w:r w:rsidRPr="007A5789">
        <w:rPr>
          <w:sz w:val="21"/>
        </w:rPr>
        <w:t>基金会</w:t>
      </w:r>
      <w:r w:rsidR="00B6014B">
        <w:rPr>
          <w:sz w:val="21"/>
        </w:rPr>
        <w:t>（</w:t>
      </w:r>
      <w:r w:rsidRPr="007A5789">
        <w:rPr>
          <w:sz w:val="21"/>
        </w:rPr>
        <w:t>FIPOI</w:t>
      </w:r>
      <w:r w:rsidR="00B6014B">
        <w:rPr>
          <w:sz w:val="21"/>
        </w:rPr>
        <w:t>）</w:t>
      </w:r>
      <w:r w:rsidRPr="007A5789">
        <w:rPr>
          <w:sz w:val="21"/>
        </w:rPr>
        <w:t>供应部分资金。FIPOI供资的</w:t>
      </w:r>
      <w:r w:rsidRPr="007A5789">
        <w:rPr>
          <w:rFonts w:hint="eastAsia"/>
          <w:sz w:val="21"/>
        </w:rPr>
        <w:t>施工</w:t>
      </w:r>
      <w:r w:rsidRPr="007A5789">
        <w:rPr>
          <w:sz w:val="21"/>
        </w:rPr>
        <w:t>工程</w:t>
      </w:r>
      <w:r w:rsidRPr="007A5789">
        <w:rPr>
          <w:rFonts w:hint="eastAsia"/>
          <w:sz w:val="21"/>
        </w:rPr>
        <w:t>作为</w:t>
      </w:r>
      <w:r w:rsidRPr="007A5789">
        <w:rPr>
          <w:sz w:val="21"/>
        </w:rPr>
        <w:t>安保边界成本</w:t>
      </w:r>
      <w:r w:rsidRPr="007A5789">
        <w:rPr>
          <w:rFonts w:hint="eastAsia"/>
          <w:sz w:val="21"/>
        </w:rPr>
        <w:t>的</w:t>
      </w:r>
      <w:r w:rsidRPr="007A5789">
        <w:rPr>
          <w:sz w:val="21"/>
        </w:rPr>
        <w:t>一部分而资本</w:t>
      </w:r>
      <w:r w:rsidRPr="007A5789">
        <w:rPr>
          <w:rFonts w:hint="eastAsia"/>
          <w:sz w:val="21"/>
        </w:rPr>
        <w:t>化</w:t>
      </w:r>
      <w:r w:rsidRPr="007A5789">
        <w:rPr>
          <w:sz w:val="21"/>
        </w:rPr>
        <w:t>，相应的金额记为递延收入。截至2015年12月31日，递</w:t>
      </w:r>
      <w:proofErr w:type="gramStart"/>
      <w:r w:rsidRPr="007A5789">
        <w:rPr>
          <w:sz w:val="21"/>
        </w:rPr>
        <w:t>延收入</w:t>
      </w:r>
      <w:proofErr w:type="gramEnd"/>
      <w:r w:rsidRPr="007A5789">
        <w:rPr>
          <w:sz w:val="21"/>
        </w:rPr>
        <w:t>余额为430</w:t>
      </w:r>
      <w:proofErr w:type="gramStart"/>
      <w:r w:rsidRPr="007A5789">
        <w:rPr>
          <w:sz w:val="21"/>
        </w:rPr>
        <w:t>万瑞</w:t>
      </w:r>
      <w:proofErr w:type="gramEnd"/>
      <w:r w:rsidRPr="007A5789">
        <w:rPr>
          <w:sz w:val="21"/>
        </w:rPr>
        <w:t>郎</w:t>
      </w:r>
      <w:r w:rsidR="00B6014B">
        <w:rPr>
          <w:sz w:val="21"/>
        </w:rPr>
        <w:t>（</w:t>
      </w:r>
      <w:r w:rsidRPr="007A5789">
        <w:rPr>
          <w:sz w:val="21"/>
        </w:rPr>
        <w:t>2014年12月31日为300</w:t>
      </w:r>
      <w:proofErr w:type="gramStart"/>
      <w:r w:rsidRPr="007A5789">
        <w:rPr>
          <w:sz w:val="21"/>
        </w:rPr>
        <w:t>万瑞</w:t>
      </w:r>
      <w:proofErr w:type="gramEnd"/>
      <w:r w:rsidRPr="007A5789">
        <w:rPr>
          <w:sz w:val="21"/>
        </w:rPr>
        <w:t>郎</w:t>
      </w:r>
      <w:r w:rsidR="00B6014B">
        <w:rPr>
          <w:sz w:val="21"/>
        </w:rPr>
        <w:t>）</w:t>
      </w:r>
      <w:r w:rsidRPr="007A5789">
        <w:rPr>
          <w:sz w:val="21"/>
        </w:rPr>
        <w:t>。随着安保建筑在有效寿命期内不断折旧，这一收入是逐步计入。</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90" w:name="_Toc441218503"/>
      <w:bookmarkStart w:id="91" w:name="_Toc455733234"/>
      <w:r w:rsidRPr="007C2134">
        <w:rPr>
          <w:rFonts w:ascii="SimHei" w:eastAsia="SimHei" w:hAnsi="SimHei"/>
          <w:b w:val="0"/>
          <w:sz w:val="21"/>
        </w:rPr>
        <w:t>附注15：借款</w:t>
      </w:r>
      <w:bookmarkEnd w:id="90"/>
      <w:bookmarkEnd w:id="91"/>
    </w:p>
    <w:p w:rsidR="004B4679" w:rsidRPr="007A5789" w:rsidRDefault="00B674DC" w:rsidP="00B674DC">
      <w:pPr>
        <w:spacing w:afterLines="50" w:after="120" w:line="340" w:lineRule="atLeast"/>
        <w:jc w:val="center"/>
        <w:rPr>
          <w:sz w:val="21"/>
        </w:rPr>
      </w:pPr>
      <w:r w:rsidRPr="00EF7E79">
        <w:rPr>
          <w:noProof/>
          <w:sz w:val="21"/>
          <w:lang w:val="en-US" w:bidi="ar-SA"/>
        </w:rPr>
        <w:drawing>
          <wp:inline distT="0" distB="0" distL="0" distR="0" wp14:anchorId="5C9E8BA7" wp14:editId="49607922">
            <wp:extent cx="5934710" cy="2026920"/>
            <wp:effectExtent l="0" t="0" r="8890" b="0"/>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934710" cy="2026920"/>
                    </a:xfrm>
                    <a:prstGeom prst="rect">
                      <a:avLst/>
                    </a:prstGeom>
                    <a:noFill/>
                    <a:ln>
                      <a:noFill/>
                    </a:ln>
                  </pic:spPr>
                </pic:pic>
              </a:graphicData>
            </a:graphic>
          </wp:inline>
        </w:drawing>
      </w:r>
    </w:p>
    <w:p w:rsidR="007A5789" w:rsidRDefault="004B4679" w:rsidP="00134184">
      <w:pPr>
        <w:pStyle w:val="Style3"/>
        <w:numPr>
          <w:ilvl w:val="0"/>
          <w:numId w:val="21"/>
        </w:numPr>
        <w:tabs>
          <w:tab w:val="left" w:pos="770"/>
        </w:tabs>
        <w:overflowPunct w:val="0"/>
        <w:spacing w:afterLines="50" w:line="340" w:lineRule="atLeast"/>
        <w:ind w:left="0" w:firstLine="0"/>
        <w:rPr>
          <w:sz w:val="21"/>
        </w:rPr>
      </w:pPr>
      <w:r w:rsidRPr="007A5789">
        <w:rPr>
          <w:sz w:val="21"/>
        </w:rPr>
        <w:t>本组织为建设其位于瑞士日内瓦的总部办公楼，从FIPOI借入了资金</w:t>
      </w:r>
      <w:r w:rsidR="00B6014B">
        <w:rPr>
          <w:sz w:val="21"/>
        </w:rPr>
        <w:t>（</w:t>
      </w:r>
      <w:r w:rsidRPr="007A5789">
        <w:rPr>
          <w:sz w:val="21"/>
        </w:rPr>
        <w:t>1977年和1987年分别批准了5,080</w:t>
      </w:r>
      <w:proofErr w:type="gramStart"/>
      <w:r w:rsidRPr="007A5789">
        <w:rPr>
          <w:sz w:val="21"/>
        </w:rPr>
        <w:t>万瑞</w:t>
      </w:r>
      <w:proofErr w:type="gramEnd"/>
      <w:r w:rsidRPr="007A5789">
        <w:rPr>
          <w:sz w:val="21"/>
        </w:rPr>
        <w:t>郎和840</w:t>
      </w:r>
      <w:proofErr w:type="gramStart"/>
      <w:r w:rsidRPr="007A5789">
        <w:rPr>
          <w:sz w:val="21"/>
        </w:rPr>
        <w:t>万瑞</w:t>
      </w:r>
      <w:proofErr w:type="gramEnd"/>
      <w:r w:rsidRPr="007A5789">
        <w:rPr>
          <w:sz w:val="21"/>
        </w:rPr>
        <w:t>郎</w:t>
      </w:r>
      <w:r w:rsidR="00B6014B">
        <w:rPr>
          <w:sz w:val="21"/>
        </w:rPr>
        <w:t>）</w:t>
      </w:r>
      <w:r w:rsidRPr="007A5789">
        <w:rPr>
          <w:sz w:val="21"/>
        </w:rPr>
        <w:t>。这些贷款最初要求支付利息。但1996年，瑞士联邦政府外交部同意免除进一步的利息支付。目前贷款仅需偿还本金。</w:t>
      </w:r>
    </w:p>
    <w:p w:rsidR="007A5789" w:rsidRDefault="004B4679" w:rsidP="00134184">
      <w:pPr>
        <w:pStyle w:val="Style3"/>
        <w:numPr>
          <w:ilvl w:val="0"/>
          <w:numId w:val="21"/>
        </w:numPr>
        <w:tabs>
          <w:tab w:val="left" w:pos="770"/>
        </w:tabs>
        <w:overflowPunct w:val="0"/>
        <w:spacing w:afterLines="50" w:line="340" w:lineRule="atLeast"/>
        <w:ind w:left="0" w:firstLine="0"/>
        <w:rPr>
          <w:sz w:val="21"/>
        </w:rPr>
      </w:pPr>
      <w:r w:rsidRPr="007A5789">
        <w:rPr>
          <w:sz w:val="21"/>
        </w:rPr>
        <w:t>2008年2月，为资助新楼建筑的部分成本，本组织与日内瓦州立银行</w:t>
      </w:r>
      <w:r w:rsidR="00B6014B">
        <w:rPr>
          <w:sz w:val="21"/>
        </w:rPr>
        <w:t>（</w:t>
      </w:r>
      <w:r w:rsidRPr="007A5789">
        <w:rPr>
          <w:sz w:val="21"/>
        </w:rPr>
        <w:t>BCG</w:t>
      </w:r>
      <w:r w:rsidR="00B6014B">
        <w:rPr>
          <w:sz w:val="21"/>
        </w:rPr>
        <w:t>）</w:t>
      </w:r>
      <w:r w:rsidRPr="007A5789">
        <w:rPr>
          <w:sz w:val="21"/>
        </w:rPr>
        <w:t>和</w:t>
      </w:r>
      <w:proofErr w:type="gramStart"/>
      <w:r w:rsidRPr="007A5789">
        <w:rPr>
          <w:sz w:val="21"/>
        </w:rPr>
        <w:t>沃州</w:t>
      </w:r>
      <w:proofErr w:type="gramEnd"/>
      <w:r w:rsidRPr="007A5789">
        <w:rPr>
          <w:sz w:val="21"/>
        </w:rPr>
        <w:t>州立银行</w:t>
      </w:r>
      <w:r w:rsidR="00B6014B">
        <w:rPr>
          <w:sz w:val="21"/>
        </w:rPr>
        <w:t>（</w:t>
      </w:r>
      <w:r w:rsidRPr="007A5789">
        <w:rPr>
          <w:sz w:val="21"/>
        </w:rPr>
        <w:t>BCV</w:t>
      </w:r>
      <w:r w:rsidR="00B6014B">
        <w:rPr>
          <w:sz w:val="21"/>
        </w:rPr>
        <w:t>）</w:t>
      </w:r>
      <w:r w:rsidRPr="007A5789">
        <w:rPr>
          <w:sz w:val="21"/>
        </w:rPr>
        <w:t>签订了一项金额为1.14亿瑞郎、外加1,600</w:t>
      </w:r>
      <w:proofErr w:type="gramStart"/>
      <w:r w:rsidRPr="007A5789">
        <w:rPr>
          <w:sz w:val="21"/>
        </w:rPr>
        <w:t>万瑞郎可能</w:t>
      </w:r>
      <w:proofErr w:type="gramEnd"/>
      <w:r w:rsidRPr="007A5789">
        <w:rPr>
          <w:sz w:val="21"/>
        </w:rPr>
        <w:t>增加额的贷款合约，贷款使用期至2011年2月28日。2011年1月27日，本组织支取了增加的1,600</w:t>
      </w:r>
      <w:proofErr w:type="gramStart"/>
      <w:r w:rsidRPr="007A5789">
        <w:rPr>
          <w:sz w:val="21"/>
        </w:rPr>
        <w:t>万瑞</w:t>
      </w:r>
      <w:proofErr w:type="gramEnd"/>
      <w:r w:rsidRPr="007A5789">
        <w:rPr>
          <w:sz w:val="21"/>
        </w:rPr>
        <w:t>郎。贷款利率固定为瑞士法郎伦敦银行同业拆借互换利率，期限为15年，并根据本组织确定的期限长度另加0.30%至0.70%不等的利润。2015年支付的利息总计为290</w:t>
      </w:r>
      <w:proofErr w:type="gramStart"/>
      <w:r w:rsidRPr="007A5789">
        <w:rPr>
          <w:sz w:val="21"/>
        </w:rPr>
        <w:t>万瑞</w:t>
      </w:r>
      <w:proofErr w:type="gramEnd"/>
      <w:r w:rsidRPr="007A5789">
        <w:rPr>
          <w:sz w:val="21"/>
        </w:rPr>
        <w:t>郎，本年度加权平均利率为2.60%。除支付利息外，合约还规定，针对1.14亿瑞郎的最初贷款和1,600</w:t>
      </w:r>
      <w:proofErr w:type="gramStart"/>
      <w:r w:rsidRPr="007A5789">
        <w:rPr>
          <w:sz w:val="21"/>
        </w:rPr>
        <w:t>万瑞</w:t>
      </w:r>
      <w:proofErr w:type="gramEnd"/>
      <w:r w:rsidRPr="007A5789">
        <w:rPr>
          <w:sz w:val="21"/>
        </w:rPr>
        <w:t>郎的补充贷款，从2012年2月28日起开始逐年偿还本金，每年还款额为借款总额的3%。本组织于2015年11月进行了第一期一次性偿还贷款，偿还金额为2,400</w:t>
      </w:r>
      <w:proofErr w:type="gramStart"/>
      <w:r w:rsidRPr="007A5789">
        <w:rPr>
          <w:sz w:val="21"/>
        </w:rPr>
        <w:t>万瑞</w:t>
      </w:r>
      <w:proofErr w:type="gramEnd"/>
      <w:r w:rsidRPr="007A5789">
        <w:rPr>
          <w:sz w:val="21"/>
        </w:rPr>
        <w:t>郎。2016年1月进行了第二期一次性偿还贷款，金额为1,600</w:t>
      </w:r>
      <w:proofErr w:type="gramStart"/>
      <w:r w:rsidRPr="007A5789">
        <w:rPr>
          <w:sz w:val="21"/>
        </w:rPr>
        <w:t>万瑞</w:t>
      </w:r>
      <w:proofErr w:type="gramEnd"/>
      <w:r w:rsidRPr="007A5789">
        <w:rPr>
          <w:sz w:val="21"/>
        </w:rPr>
        <w:t>郎。</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92" w:name="_Toc441218504"/>
      <w:bookmarkStart w:id="93" w:name="_Toc455733235"/>
      <w:bookmarkStart w:id="94" w:name="_Toc456711746"/>
      <w:r w:rsidRPr="007C2134">
        <w:rPr>
          <w:rFonts w:ascii="SimHei" w:eastAsia="SimHei" w:hAnsi="SimHei"/>
          <w:b w:val="0"/>
          <w:sz w:val="21"/>
        </w:rPr>
        <w:t>附注16：准备金</w:t>
      </w:r>
      <w:bookmarkEnd w:id="92"/>
      <w:bookmarkEnd w:id="93"/>
      <w:bookmarkEnd w:id="94"/>
    </w:p>
    <w:p w:rsidR="004B4679" w:rsidRPr="007A5789" w:rsidRDefault="00B674DC" w:rsidP="00B674DC">
      <w:pPr>
        <w:spacing w:afterLines="50" w:after="120" w:line="340" w:lineRule="atLeast"/>
        <w:jc w:val="center"/>
        <w:rPr>
          <w:sz w:val="21"/>
        </w:rPr>
      </w:pPr>
      <w:r w:rsidRPr="00EF7E79">
        <w:rPr>
          <w:noProof/>
          <w:sz w:val="21"/>
          <w:lang w:val="en-US" w:bidi="ar-SA"/>
        </w:rPr>
        <w:drawing>
          <wp:inline distT="0" distB="0" distL="0" distR="0" wp14:anchorId="3711FA8D" wp14:editId="47C5CE7C">
            <wp:extent cx="5934710" cy="1026795"/>
            <wp:effectExtent l="0" t="0" r="8890" b="1905"/>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34710" cy="1026795"/>
                    </a:xfrm>
                    <a:prstGeom prst="rect">
                      <a:avLst/>
                    </a:prstGeom>
                    <a:noFill/>
                    <a:ln>
                      <a:noFill/>
                    </a:ln>
                  </pic:spPr>
                </pic:pic>
              </a:graphicData>
            </a:graphic>
          </wp:inline>
        </w:drawing>
      </w:r>
    </w:p>
    <w:p w:rsidR="007A5789" w:rsidRDefault="004B4679" w:rsidP="002C437E">
      <w:pPr>
        <w:pStyle w:val="Style3"/>
        <w:tabs>
          <w:tab w:val="left" w:pos="770"/>
        </w:tabs>
        <w:overflowPunct w:val="0"/>
        <w:spacing w:afterLines="50" w:line="340" w:lineRule="atLeast"/>
        <w:rPr>
          <w:sz w:val="21"/>
        </w:rPr>
      </w:pPr>
      <w:r w:rsidRPr="007A5789">
        <w:rPr>
          <w:sz w:val="21"/>
        </w:rPr>
        <w:t>16.1</w:t>
      </w:r>
      <w:r w:rsidR="002C437E">
        <w:rPr>
          <w:rFonts w:hint="eastAsia"/>
          <w:sz w:val="21"/>
        </w:rPr>
        <w:t>.</w:t>
      </w:r>
      <w:r w:rsidR="002C437E">
        <w:rPr>
          <w:rFonts w:hint="eastAsia"/>
          <w:sz w:val="21"/>
        </w:rPr>
        <w:tab/>
      </w:r>
      <w:r w:rsidRPr="007A5789">
        <w:rPr>
          <w:sz w:val="21"/>
        </w:rPr>
        <w:t>作为其正常活动的一部分，本组织也会经历诉讼。截至报告日，2015年12月31日之前开展的活动已经形成了一定的法律债务。由于这些债务未来可能需要清算，并且由于可以对清算金额做出可靠的估算，因此设立了法律费用准备金。未来清算的时间在报告日</w:t>
      </w:r>
      <w:r w:rsidRPr="007A5789">
        <w:rPr>
          <w:rFonts w:hint="eastAsia"/>
          <w:sz w:val="21"/>
        </w:rPr>
        <w:t>方面</w:t>
      </w:r>
      <w:r w:rsidRPr="007A5789">
        <w:rPr>
          <w:sz w:val="21"/>
        </w:rPr>
        <w:t>存在不确定性。在估算准备金的数额时，根据可用信息，尽可能做了贴近实际的估算。</w:t>
      </w:r>
    </w:p>
    <w:p w:rsidR="004B4679" w:rsidRPr="007A5789" w:rsidRDefault="00C01572" w:rsidP="00B87A4B">
      <w:pPr>
        <w:pStyle w:val="Style3"/>
        <w:spacing w:afterLines="50" w:line="340" w:lineRule="atLeast"/>
        <w:jc w:val="center"/>
        <w:rPr>
          <w:sz w:val="21"/>
        </w:rPr>
      </w:pPr>
      <w:r w:rsidRPr="00EF7E79">
        <w:rPr>
          <w:noProof/>
          <w:sz w:val="21"/>
          <w:lang w:val="en-US" w:bidi="ar-SA"/>
        </w:rPr>
        <w:lastRenderedPageBreak/>
        <w:drawing>
          <wp:inline distT="0" distB="0" distL="0" distR="0" wp14:anchorId="36B13A5C" wp14:editId="4818B0C4">
            <wp:extent cx="4442460" cy="3407410"/>
            <wp:effectExtent l="0" t="0" r="0" b="2540"/>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442460" cy="3407410"/>
                    </a:xfrm>
                    <a:prstGeom prst="rect">
                      <a:avLst/>
                    </a:prstGeom>
                    <a:noFill/>
                    <a:ln>
                      <a:noFill/>
                    </a:ln>
                  </pic:spPr>
                </pic:pic>
              </a:graphicData>
            </a:graphic>
          </wp:inline>
        </w:drawing>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95" w:name="_Toc441218505"/>
      <w:bookmarkStart w:id="96" w:name="_Toc455733236"/>
      <w:bookmarkStart w:id="97" w:name="_Toc456711747"/>
      <w:r w:rsidRPr="007C2134">
        <w:rPr>
          <w:rFonts w:ascii="SimHei" w:eastAsia="SimHei" w:hAnsi="SimHei"/>
          <w:b w:val="0"/>
          <w:sz w:val="21"/>
        </w:rPr>
        <w:t>附注17：其他负债</w:t>
      </w:r>
      <w:bookmarkEnd w:id="95"/>
      <w:bookmarkEnd w:id="96"/>
      <w:bookmarkEnd w:id="97"/>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6289840A" wp14:editId="509B51D1">
            <wp:extent cx="5934710" cy="1026795"/>
            <wp:effectExtent l="0" t="0" r="8890" b="1905"/>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34710" cy="1026795"/>
                    </a:xfrm>
                    <a:prstGeom prst="rect">
                      <a:avLst/>
                    </a:prstGeom>
                    <a:noFill/>
                    <a:ln>
                      <a:noFill/>
                    </a:ln>
                  </pic:spPr>
                </pic:pic>
              </a:graphicData>
            </a:graphic>
          </wp:inline>
        </w:drawing>
      </w:r>
    </w:p>
    <w:p w:rsidR="007A5789" w:rsidRDefault="004B4679" w:rsidP="002C437E">
      <w:pPr>
        <w:pStyle w:val="Style3"/>
        <w:tabs>
          <w:tab w:val="left" w:pos="770"/>
        </w:tabs>
        <w:overflowPunct w:val="0"/>
        <w:spacing w:afterLines="50" w:line="340" w:lineRule="atLeast"/>
        <w:rPr>
          <w:sz w:val="21"/>
        </w:rPr>
      </w:pPr>
      <w:r w:rsidRPr="007A5789">
        <w:rPr>
          <w:sz w:val="21"/>
        </w:rPr>
        <w:t>17.1.</w:t>
      </w:r>
      <w:r w:rsidR="00624A89" w:rsidRPr="007A5789">
        <w:rPr>
          <w:sz w:val="21"/>
        </w:rPr>
        <w:tab/>
      </w:r>
      <w:r w:rsidRPr="007A5789">
        <w:rPr>
          <w:sz w:val="21"/>
        </w:rPr>
        <w:t>本组织向PCT、马德里及海牙体系下的申请人提供便利，使其可以将资金存入</w:t>
      </w:r>
      <w:r w:rsidRPr="00F374B8">
        <w:rPr>
          <w:sz w:val="21"/>
        </w:rPr>
        <w:t>“</w:t>
      </w:r>
      <w:r w:rsidRPr="007A5789">
        <w:rPr>
          <w:sz w:val="21"/>
        </w:rPr>
        <w:t>往来账户</w:t>
      </w:r>
      <w:r w:rsidRPr="00F374B8">
        <w:rPr>
          <w:sz w:val="21"/>
        </w:rPr>
        <w:t>”</w:t>
      </w:r>
      <w:r w:rsidRPr="007A5789">
        <w:rPr>
          <w:sz w:val="21"/>
        </w:rPr>
        <w:t>。在该项资金使用前，本组织担任资金的保管人，用以支付与个人申请和续展相关的应缴费用。这些资金一直被保存至递交特定申请之际。在收到申请和授权后，往来账户余额将相应减少。在申请被注册前，这些资金被视为预缴款。</w:t>
      </w:r>
    </w:p>
    <w:p w:rsidR="004B4679" w:rsidRPr="007A5789" w:rsidRDefault="004B4679" w:rsidP="002C437E">
      <w:pPr>
        <w:pStyle w:val="Style3"/>
        <w:tabs>
          <w:tab w:val="left" w:pos="770"/>
        </w:tabs>
        <w:overflowPunct w:val="0"/>
        <w:spacing w:afterLines="50" w:line="340" w:lineRule="atLeast"/>
        <w:rPr>
          <w:sz w:val="21"/>
        </w:rPr>
      </w:pPr>
      <w:r w:rsidRPr="007A5789">
        <w:rPr>
          <w:sz w:val="21"/>
        </w:rPr>
        <w:t>17.2.</w:t>
      </w:r>
      <w:r w:rsidR="00624A89" w:rsidRPr="007A5789">
        <w:rPr>
          <w:sz w:val="21"/>
        </w:rPr>
        <w:tab/>
      </w:r>
      <w:r w:rsidRPr="007A5789">
        <w:rPr>
          <w:sz w:val="21"/>
        </w:rPr>
        <w:t>此外，本组织还以其名义持有银行账户，向某些缔约方提供一种转付资金的机制，这些资金由缔约方代表本组织收取。在缔约方通知本组织这些账户所持资金为本组织的收入之前，账户所剩余额不计为收入。</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98" w:name="_Toc441218506"/>
      <w:bookmarkStart w:id="99" w:name="_Toc455733237"/>
      <w:bookmarkStart w:id="100" w:name="_Toc456711748"/>
      <w:r w:rsidRPr="007C2134">
        <w:rPr>
          <w:rFonts w:ascii="SimHei" w:eastAsia="SimHei" w:hAnsi="SimHei"/>
          <w:b w:val="0"/>
          <w:sz w:val="21"/>
        </w:rPr>
        <w:t>附注18：或有资产和负债</w:t>
      </w:r>
      <w:bookmarkEnd w:id="98"/>
      <w:bookmarkEnd w:id="99"/>
      <w:bookmarkEnd w:id="100"/>
    </w:p>
    <w:p w:rsidR="007A5789" w:rsidRDefault="004B4679" w:rsidP="002C437E">
      <w:pPr>
        <w:pStyle w:val="Style3"/>
        <w:tabs>
          <w:tab w:val="left" w:pos="770"/>
        </w:tabs>
        <w:overflowPunct w:val="0"/>
        <w:spacing w:afterLines="50" w:line="340" w:lineRule="atLeast"/>
        <w:rPr>
          <w:sz w:val="21"/>
        </w:rPr>
      </w:pPr>
      <w:r w:rsidRPr="007A5789">
        <w:rPr>
          <w:sz w:val="21"/>
        </w:rPr>
        <w:t>18.1.</w:t>
      </w:r>
      <w:r w:rsidR="00624A89" w:rsidRPr="007A5789">
        <w:rPr>
          <w:sz w:val="21"/>
        </w:rPr>
        <w:tab/>
      </w:r>
      <w:r w:rsidRPr="007A5789">
        <w:rPr>
          <w:sz w:val="21"/>
        </w:rPr>
        <w:t>WIPO的若干名工作人员与本组织存在着纠纷。对正在由WIPO申诉委员会</w:t>
      </w:r>
      <w:r w:rsidR="00B6014B">
        <w:rPr>
          <w:sz w:val="21"/>
        </w:rPr>
        <w:t>（</w:t>
      </w:r>
      <w:r w:rsidRPr="007A5789">
        <w:rPr>
          <w:sz w:val="21"/>
        </w:rPr>
        <w:t>WAB</w:t>
      </w:r>
      <w:r w:rsidR="00B6014B">
        <w:rPr>
          <w:sz w:val="21"/>
        </w:rPr>
        <w:t>）</w:t>
      </w:r>
      <w:r w:rsidRPr="007A5789">
        <w:rPr>
          <w:sz w:val="21"/>
        </w:rPr>
        <w:t>或国际劳工组织行政法庭</w:t>
      </w:r>
      <w:r w:rsidR="00B6014B">
        <w:rPr>
          <w:sz w:val="21"/>
        </w:rPr>
        <w:t>（</w:t>
      </w:r>
      <w:r w:rsidRPr="007A5789">
        <w:rPr>
          <w:sz w:val="21"/>
        </w:rPr>
        <w:t>ILOAT</w:t>
      </w:r>
      <w:r w:rsidR="00B6014B">
        <w:rPr>
          <w:sz w:val="21"/>
        </w:rPr>
        <w:t>）</w:t>
      </w:r>
      <w:r w:rsidRPr="007A5789">
        <w:rPr>
          <w:sz w:val="21"/>
        </w:rPr>
        <w:t>审理案件计提的准备金见附注16。对于WAB或ILOAT审理的其他一些案件，在法律意见表明这些案件不太可能导致债务的情况下，未</w:t>
      </w:r>
      <w:proofErr w:type="gramStart"/>
      <w:r w:rsidRPr="007A5789">
        <w:rPr>
          <w:sz w:val="21"/>
        </w:rPr>
        <w:t>予计</w:t>
      </w:r>
      <w:proofErr w:type="gramEnd"/>
      <w:r w:rsidRPr="007A5789">
        <w:rPr>
          <w:sz w:val="21"/>
        </w:rPr>
        <w:t>提准备金。在报告日，本组织对这些案件产生的索赔可能支付的或有债务估值为85,000瑞郎。人事方面还存在处于申请审理状态的案件。由于这些案件的索赔数额尚有待确认，因此未就此确认准备金。在报告日，本组织没有因这些案件可能做出的结算支付的或有债务。</w:t>
      </w:r>
    </w:p>
    <w:p w:rsidR="007A5789" w:rsidRDefault="004B4679" w:rsidP="002C437E">
      <w:pPr>
        <w:pStyle w:val="Style3"/>
        <w:tabs>
          <w:tab w:val="left" w:pos="770"/>
        </w:tabs>
        <w:overflowPunct w:val="0"/>
        <w:spacing w:afterLines="50" w:line="340" w:lineRule="atLeast"/>
        <w:rPr>
          <w:sz w:val="21"/>
        </w:rPr>
      </w:pPr>
      <w:r w:rsidRPr="007A5789">
        <w:rPr>
          <w:sz w:val="21"/>
        </w:rPr>
        <w:t>18.2.</w:t>
      </w:r>
      <w:r w:rsidR="00624A89" w:rsidRPr="007A5789">
        <w:rPr>
          <w:sz w:val="21"/>
        </w:rPr>
        <w:tab/>
      </w:r>
      <w:r w:rsidRPr="007A5789">
        <w:rPr>
          <w:sz w:val="21"/>
        </w:rPr>
        <w:t>截至2015年12月31日，本组织的不可撤销商品及服务合约总价值为170</w:t>
      </w:r>
      <w:proofErr w:type="gramStart"/>
      <w:r w:rsidRPr="007A5789">
        <w:rPr>
          <w:sz w:val="21"/>
        </w:rPr>
        <w:t>万瑞</w:t>
      </w:r>
      <w:proofErr w:type="gramEnd"/>
      <w:r w:rsidRPr="007A5789">
        <w:rPr>
          <w:sz w:val="21"/>
        </w:rPr>
        <w:t>郎。</w:t>
      </w:r>
    </w:p>
    <w:p w:rsidR="007A5789" w:rsidRDefault="004B4679" w:rsidP="002C437E">
      <w:pPr>
        <w:pStyle w:val="Style3"/>
        <w:tabs>
          <w:tab w:val="left" w:pos="770"/>
        </w:tabs>
        <w:overflowPunct w:val="0"/>
        <w:spacing w:afterLines="50" w:line="340" w:lineRule="atLeast"/>
        <w:rPr>
          <w:sz w:val="21"/>
        </w:rPr>
      </w:pPr>
      <w:r w:rsidRPr="007A5789">
        <w:rPr>
          <w:sz w:val="21"/>
        </w:rPr>
        <w:lastRenderedPageBreak/>
        <w:t>18.3.</w:t>
      </w:r>
      <w:r w:rsidR="00624A89" w:rsidRPr="007A5789">
        <w:rPr>
          <w:sz w:val="21"/>
        </w:rPr>
        <w:tab/>
      </w:r>
      <w:r w:rsidRPr="007A5789">
        <w:rPr>
          <w:sz w:val="21"/>
        </w:rPr>
        <w:t>WIPO是国际电子计算中心</w:t>
      </w:r>
      <w:r w:rsidR="00B6014B">
        <w:rPr>
          <w:sz w:val="21"/>
        </w:rPr>
        <w:t>（</w:t>
      </w:r>
      <w:r w:rsidRPr="007A5789">
        <w:rPr>
          <w:sz w:val="21"/>
        </w:rPr>
        <w:t>ICC</w:t>
      </w:r>
      <w:r w:rsidR="00B6014B">
        <w:rPr>
          <w:sz w:val="21"/>
        </w:rPr>
        <w:t>）</w:t>
      </w:r>
      <w:r w:rsidRPr="007A5789">
        <w:rPr>
          <w:sz w:val="21"/>
        </w:rPr>
        <w:t>的一个伙伴组织。ICC是为提供信息技术服务而创建的一个组织间机构。根据ICC的授权条款，伙伴组织应负责承担因ICC运行而产生的某些债务份额。</w:t>
      </w:r>
    </w:p>
    <w:p w:rsidR="004B4679" w:rsidRPr="007A5789" w:rsidRDefault="004B4679" w:rsidP="00D91203">
      <w:pPr>
        <w:pStyle w:val="Style3"/>
        <w:tabs>
          <w:tab w:val="left" w:pos="770"/>
        </w:tabs>
        <w:overflowPunct w:val="0"/>
        <w:spacing w:afterLines="50" w:line="340" w:lineRule="atLeast"/>
        <w:rPr>
          <w:sz w:val="21"/>
        </w:rPr>
      </w:pPr>
      <w:r w:rsidRPr="007A5789">
        <w:rPr>
          <w:sz w:val="21"/>
        </w:rPr>
        <w:t>18.4.</w:t>
      </w:r>
      <w:r w:rsidR="00624A89" w:rsidRPr="007A5789">
        <w:rPr>
          <w:sz w:val="21"/>
        </w:rPr>
        <w:tab/>
      </w:r>
      <w:r w:rsidRPr="007A5789">
        <w:rPr>
          <w:sz w:val="21"/>
        </w:rPr>
        <w:t>WIPO存在着与不可撤销的租赁协议有关的合约承诺款项，详见附注19。</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01" w:name="_Toc441218507"/>
      <w:bookmarkStart w:id="102" w:name="_Toc455733238"/>
      <w:bookmarkStart w:id="103" w:name="_Toc456711749"/>
      <w:r w:rsidRPr="007C2134">
        <w:rPr>
          <w:rFonts w:ascii="SimHei" w:eastAsia="SimHei" w:hAnsi="SimHei"/>
          <w:b w:val="0"/>
          <w:sz w:val="21"/>
        </w:rPr>
        <w:t>附注19：租赁</w:t>
      </w:r>
      <w:bookmarkEnd w:id="101"/>
      <w:bookmarkEnd w:id="102"/>
      <w:bookmarkEnd w:id="103"/>
    </w:p>
    <w:p w:rsidR="007A5789" w:rsidRPr="00AC4C1F" w:rsidRDefault="004B4679" w:rsidP="00C01572">
      <w:pPr>
        <w:keepNext/>
        <w:spacing w:beforeLines="100" w:before="240" w:afterLines="50" w:after="120" w:line="340" w:lineRule="atLeast"/>
        <w:rPr>
          <w:rFonts w:ascii="KaiTi" w:eastAsia="KaiTi" w:hAnsi="KaiTi"/>
          <w:b/>
          <w:sz w:val="21"/>
          <w:szCs w:val="22"/>
        </w:rPr>
      </w:pPr>
      <w:r w:rsidRPr="00AC4C1F">
        <w:rPr>
          <w:rFonts w:ascii="KaiTi" w:eastAsia="KaiTi" w:hAnsi="KaiTi"/>
          <w:b/>
          <w:sz w:val="21"/>
        </w:rPr>
        <w:t>WIPO作为承租人</w:t>
      </w:r>
    </w:p>
    <w:p w:rsidR="007A5789" w:rsidRDefault="004B4679" w:rsidP="00134184">
      <w:pPr>
        <w:pStyle w:val="Style3"/>
        <w:numPr>
          <w:ilvl w:val="0"/>
          <w:numId w:val="22"/>
        </w:numPr>
        <w:tabs>
          <w:tab w:val="left" w:pos="770"/>
        </w:tabs>
        <w:overflowPunct w:val="0"/>
        <w:spacing w:afterLines="50" w:line="340" w:lineRule="atLeast"/>
        <w:ind w:left="0" w:firstLine="0"/>
        <w:rPr>
          <w:sz w:val="21"/>
        </w:rPr>
      </w:pPr>
      <w:r w:rsidRPr="007A5789">
        <w:rPr>
          <w:sz w:val="21"/>
        </w:rPr>
        <w:t>本组织持有若干租约，在日内瓦提供额外的场所、仓储和专用设施。此外，本组织为里约热内卢和东京的驻外办事处以及纽约的协调办事处租赁办公室。未来不可撤销经营租赁下的最低租赁</w:t>
      </w:r>
      <w:proofErr w:type="gramStart"/>
      <w:r w:rsidRPr="007A5789">
        <w:rPr>
          <w:sz w:val="21"/>
        </w:rPr>
        <w:t>付款值</w:t>
      </w:r>
      <w:proofErr w:type="gramEnd"/>
      <w:r w:rsidRPr="007A5789">
        <w:rPr>
          <w:sz w:val="21"/>
        </w:rPr>
        <w:t>如下：</w:t>
      </w:r>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6E31B389" wp14:editId="03C172CE">
            <wp:extent cx="5934710" cy="1147445"/>
            <wp:effectExtent l="0" t="0" r="8890" b="0"/>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34710" cy="1147445"/>
                    </a:xfrm>
                    <a:prstGeom prst="rect">
                      <a:avLst/>
                    </a:prstGeom>
                    <a:noFill/>
                    <a:ln>
                      <a:noFill/>
                    </a:ln>
                  </pic:spPr>
                </pic:pic>
              </a:graphicData>
            </a:graphic>
          </wp:inline>
        </w:drawing>
      </w:r>
    </w:p>
    <w:p w:rsidR="007A5789" w:rsidRDefault="004B4679" w:rsidP="00134184">
      <w:pPr>
        <w:pStyle w:val="Style3"/>
        <w:numPr>
          <w:ilvl w:val="0"/>
          <w:numId w:val="22"/>
        </w:numPr>
        <w:tabs>
          <w:tab w:val="left" w:pos="770"/>
        </w:tabs>
        <w:overflowPunct w:val="0"/>
        <w:spacing w:afterLines="50" w:line="340" w:lineRule="atLeast"/>
        <w:ind w:left="0" w:firstLine="0"/>
        <w:rPr>
          <w:sz w:val="21"/>
        </w:rPr>
      </w:pPr>
      <w:r w:rsidRPr="007A5789">
        <w:rPr>
          <w:sz w:val="21"/>
        </w:rPr>
        <w:t>本组织还达成了一项租赁日内瓦基金国际中心</w:t>
      </w:r>
      <w:r w:rsidR="00B6014B">
        <w:rPr>
          <w:sz w:val="21"/>
        </w:rPr>
        <w:t>（</w:t>
      </w:r>
      <w:r w:rsidRPr="007A5789">
        <w:rPr>
          <w:sz w:val="21"/>
        </w:rPr>
        <w:t>FCIG</w:t>
      </w:r>
      <w:r w:rsidR="00B6014B">
        <w:rPr>
          <w:sz w:val="21"/>
        </w:rPr>
        <w:t>）</w:t>
      </w:r>
      <w:r w:rsidRPr="007A5789">
        <w:rPr>
          <w:sz w:val="21"/>
        </w:rPr>
        <w:t>大楼的协定。该协定详情，包括未来的租赁付款，单独在附注10列示。</w:t>
      </w:r>
    </w:p>
    <w:p w:rsidR="007A5789" w:rsidRDefault="004B4679" w:rsidP="00134184">
      <w:pPr>
        <w:pStyle w:val="Style3"/>
        <w:numPr>
          <w:ilvl w:val="0"/>
          <w:numId w:val="22"/>
        </w:numPr>
        <w:tabs>
          <w:tab w:val="left" w:pos="770"/>
        </w:tabs>
        <w:overflowPunct w:val="0"/>
        <w:spacing w:afterLines="50" w:line="340" w:lineRule="atLeast"/>
        <w:ind w:left="0" w:firstLine="0"/>
        <w:rPr>
          <w:sz w:val="21"/>
        </w:rPr>
      </w:pPr>
      <w:r w:rsidRPr="007A5789">
        <w:rPr>
          <w:sz w:val="21"/>
        </w:rPr>
        <w:t>本组织在报告日没有视为融资租赁的未清租约。在报告期被确认为开支的租赁付款总额为190</w:t>
      </w:r>
      <w:proofErr w:type="gramStart"/>
      <w:r w:rsidRPr="007A5789">
        <w:rPr>
          <w:sz w:val="21"/>
        </w:rPr>
        <w:t>万瑞</w:t>
      </w:r>
      <w:proofErr w:type="gramEnd"/>
      <w:r w:rsidRPr="007A5789">
        <w:rPr>
          <w:sz w:val="21"/>
        </w:rPr>
        <w:t>郎</w:t>
      </w:r>
      <w:r w:rsidR="00B6014B">
        <w:rPr>
          <w:sz w:val="21"/>
        </w:rPr>
        <w:t>（</w:t>
      </w:r>
      <w:r w:rsidRPr="007A5789">
        <w:rPr>
          <w:sz w:val="21"/>
        </w:rPr>
        <w:t>2014年为190</w:t>
      </w:r>
      <w:proofErr w:type="gramStart"/>
      <w:r w:rsidRPr="007A5789">
        <w:rPr>
          <w:sz w:val="21"/>
        </w:rPr>
        <w:t>万瑞</w:t>
      </w:r>
      <w:proofErr w:type="gramEnd"/>
      <w:r w:rsidRPr="007A5789">
        <w:rPr>
          <w:sz w:val="21"/>
        </w:rPr>
        <w:t>郎</w:t>
      </w:r>
      <w:r w:rsidR="00B6014B">
        <w:rPr>
          <w:sz w:val="21"/>
        </w:rPr>
        <w:t>）</w:t>
      </w:r>
      <w:r w:rsidRPr="007A5789">
        <w:rPr>
          <w:sz w:val="21"/>
        </w:rPr>
        <w:t>。</w:t>
      </w:r>
    </w:p>
    <w:p w:rsidR="007A5789" w:rsidRPr="00AC4C1F" w:rsidRDefault="004B4679" w:rsidP="00C01572">
      <w:pPr>
        <w:keepNext/>
        <w:spacing w:beforeLines="100" w:before="240" w:afterLines="50" w:after="120" w:line="340" w:lineRule="atLeast"/>
        <w:rPr>
          <w:rFonts w:ascii="KaiTi" w:eastAsia="KaiTi" w:hAnsi="KaiTi"/>
          <w:b/>
          <w:sz w:val="21"/>
        </w:rPr>
      </w:pPr>
      <w:r w:rsidRPr="00AC4C1F">
        <w:rPr>
          <w:rFonts w:ascii="KaiTi" w:eastAsia="KaiTi" w:hAnsi="KaiTi"/>
          <w:b/>
          <w:sz w:val="21"/>
        </w:rPr>
        <w:t>WIPO作为出租人</w:t>
      </w:r>
    </w:p>
    <w:p w:rsidR="007A5789" w:rsidRDefault="004B4679" w:rsidP="00134184">
      <w:pPr>
        <w:pStyle w:val="Style3"/>
        <w:numPr>
          <w:ilvl w:val="0"/>
          <w:numId w:val="22"/>
        </w:numPr>
        <w:tabs>
          <w:tab w:val="left" w:pos="770"/>
        </w:tabs>
        <w:overflowPunct w:val="0"/>
        <w:spacing w:afterLines="50" w:line="340" w:lineRule="atLeast"/>
        <w:ind w:left="0" w:firstLine="0"/>
        <w:rPr>
          <w:sz w:val="21"/>
        </w:rPr>
      </w:pPr>
      <w:r w:rsidRPr="007A5789">
        <w:rPr>
          <w:sz w:val="21"/>
        </w:rPr>
        <w:t>本组织达成了</w:t>
      </w:r>
      <w:proofErr w:type="gramStart"/>
      <w:r w:rsidRPr="007A5789">
        <w:rPr>
          <w:sz w:val="21"/>
        </w:rPr>
        <w:t>若干将</w:t>
      </w:r>
      <w:proofErr w:type="gramEnd"/>
      <w:r w:rsidRPr="007A5789">
        <w:rPr>
          <w:sz w:val="21"/>
        </w:rPr>
        <w:t>其总部大楼内的空间租赁给第三方的协定。这些租约均可撤销，且遵守协议规定的通知期。报告期内这些租赁安排的租金收入总额为60</w:t>
      </w:r>
      <w:proofErr w:type="gramStart"/>
      <w:r w:rsidRPr="007A5789">
        <w:rPr>
          <w:sz w:val="21"/>
        </w:rPr>
        <w:t>万瑞</w:t>
      </w:r>
      <w:proofErr w:type="gramEnd"/>
      <w:r w:rsidRPr="007A5789">
        <w:rPr>
          <w:sz w:val="21"/>
        </w:rPr>
        <w:t>郎</w:t>
      </w:r>
      <w:r w:rsidR="00B6014B">
        <w:rPr>
          <w:sz w:val="21"/>
        </w:rPr>
        <w:t>（</w:t>
      </w:r>
      <w:r w:rsidRPr="007A5789">
        <w:rPr>
          <w:sz w:val="21"/>
        </w:rPr>
        <w:t>2014年为60</w:t>
      </w:r>
      <w:proofErr w:type="gramStart"/>
      <w:r w:rsidRPr="007A5789">
        <w:rPr>
          <w:sz w:val="21"/>
        </w:rPr>
        <w:t>万瑞</w:t>
      </w:r>
      <w:proofErr w:type="gramEnd"/>
      <w:r w:rsidRPr="007A5789">
        <w:rPr>
          <w:sz w:val="21"/>
        </w:rPr>
        <w:t>郎</w:t>
      </w:r>
      <w:r w:rsidR="00B6014B">
        <w:rPr>
          <w:sz w:val="21"/>
        </w:rPr>
        <w:t>）</w:t>
      </w:r>
      <w:r w:rsidRPr="007A5789">
        <w:rPr>
          <w:sz w:val="21"/>
        </w:rPr>
        <w:t>。本组织还出租马德里联盟楼中的公寓、停车场和其他设施。马德里</w:t>
      </w:r>
      <w:proofErr w:type="gramStart"/>
      <w:r w:rsidRPr="007A5789">
        <w:rPr>
          <w:sz w:val="21"/>
        </w:rPr>
        <w:t>联盟楼</w:t>
      </w:r>
      <w:proofErr w:type="gramEnd"/>
      <w:r w:rsidRPr="007A5789">
        <w:rPr>
          <w:sz w:val="21"/>
        </w:rPr>
        <w:t>的不可撤销租赁和租金收入的价值在附注7中列示。</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04" w:name="_Toc441218508"/>
      <w:bookmarkStart w:id="105" w:name="_Toc455733239"/>
      <w:bookmarkStart w:id="106" w:name="_Toc456711750"/>
      <w:r w:rsidRPr="007C2134">
        <w:rPr>
          <w:rFonts w:ascii="SimHei" w:eastAsia="SimHei" w:hAnsi="SimHei"/>
          <w:b w:val="0"/>
          <w:sz w:val="21"/>
        </w:rPr>
        <w:t>附注20：关联方交易</w:t>
      </w:r>
      <w:bookmarkEnd w:id="104"/>
      <w:bookmarkEnd w:id="105"/>
      <w:bookmarkEnd w:id="106"/>
    </w:p>
    <w:p w:rsidR="007A5789" w:rsidRDefault="004B4679" w:rsidP="00134184">
      <w:pPr>
        <w:pStyle w:val="Style3"/>
        <w:numPr>
          <w:ilvl w:val="0"/>
          <w:numId w:val="23"/>
        </w:numPr>
        <w:tabs>
          <w:tab w:val="left" w:pos="770"/>
        </w:tabs>
        <w:overflowPunct w:val="0"/>
        <w:spacing w:afterLines="50" w:line="340" w:lineRule="atLeast"/>
        <w:ind w:left="0" w:firstLine="0"/>
        <w:rPr>
          <w:sz w:val="21"/>
        </w:rPr>
      </w:pPr>
      <w:r w:rsidRPr="007A5789">
        <w:rPr>
          <w:sz w:val="21"/>
        </w:rPr>
        <w:t>本组织由WIPO大会管辖，大会由各联盟成员的《WIPO公约》成员国代表组成。这些代表不领取本组织的酬金。本组织由总干事、副总干事、助理总干事和官员</w:t>
      </w:r>
      <w:r w:rsidR="00B6014B">
        <w:rPr>
          <w:sz w:val="21"/>
        </w:rPr>
        <w:t>（</w:t>
      </w:r>
      <w:r w:rsidRPr="007A5789">
        <w:rPr>
          <w:sz w:val="21"/>
        </w:rPr>
        <w:t>主要管理人员</w:t>
      </w:r>
      <w:r w:rsidR="00B6014B">
        <w:rPr>
          <w:sz w:val="21"/>
        </w:rPr>
        <w:t>）</w:t>
      </w:r>
      <w:r w:rsidRPr="007A5789">
        <w:rPr>
          <w:sz w:val="21"/>
        </w:rPr>
        <w:t>领导，他们在本组织领取报酬。支付主要管理人员的总薪酬包括薪金、津贴、法定的差旅费和根据适用于所有工作人员的《工作人员条例与细则》支付的其他应享权利。此外，总干事、副总干事和助理总干事领取交际津贴。主要管理人员是工作人员和本组织向其缴费的联合国养恤基金的成员，也有资格参与集体医疗保险计划。主要管理人员及其总薪酬如下表所示：不存在向主要管理人员或其近亲属提供</w:t>
      </w:r>
      <w:r w:rsidRPr="007A5789">
        <w:rPr>
          <w:rFonts w:hint="eastAsia"/>
          <w:sz w:val="21"/>
        </w:rPr>
        <w:t>但</w:t>
      </w:r>
      <w:r w:rsidRPr="007A5789">
        <w:rPr>
          <w:sz w:val="21"/>
        </w:rPr>
        <w:t>不向其他类别工作人员提供的贷款。不存在对主要管理人员或其近亲属的其他薪酬或补偿。</w:t>
      </w:r>
    </w:p>
    <w:p w:rsidR="007A5789" w:rsidRDefault="002F334E" w:rsidP="00C01572">
      <w:pPr>
        <w:pStyle w:val="Style3"/>
        <w:spacing w:afterLines="50" w:line="340" w:lineRule="atLeast"/>
        <w:jc w:val="center"/>
        <w:rPr>
          <w:sz w:val="18"/>
        </w:rPr>
      </w:pPr>
      <w:r w:rsidRPr="00EF7E79">
        <w:rPr>
          <w:noProof/>
          <w:sz w:val="21"/>
          <w:lang w:val="en-US" w:bidi="ar-SA"/>
        </w:rPr>
        <w:drawing>
          <wp:inline distT="0" distB="0" distL="0" distR="0" wp14:anchorId="40B9FC5C" wp14:editId="3A132C1D">
            <wp:extent cx="5940425" cy="1200003"/>
            <wp:effectExtent l="0" t="0" r="3175" b="63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940425" cy="1200003"/>
                    </a:xfrm>
                    <a:prstGeom prst="rect">
                      <a:avLst/>
                    </a:prstGeom>
                    <a:noFill/>
                    <a:ln>
                      <a:noFill/>
                    </a:ln>
                  </pic:spPr>
                </pic:pic>
              </a:graphicData>
            </a:graphic>
          </wp:inline>
        </w:drawing>
      </w:r>
    </w:p>
    <w:p w:rsidR="007A5789" w:rsidRDefault="004B4679" w:rsidP="00134184">
      <w:pPr>
        <w:pStyle w:val="Style3"/>
        <w:numPr>
          <w:ilvl w:val="0"/>
          <w:numId w:val="23"/>
        </w:numPr>
        <w:tabs>
          <w:tab w:val="left" w:pos="770"/>
        </w:tabs>
        <w:overflowPunct w:val="0"/>
        <w:spacing w:afterLines="50" w:line="340" w:lineRule="atLeast"/>
        <w:ind w:left="0" w:firstLine="0"/>
        <w:rPr>
          <w:sz w:val="21"/>
        </w:rPr>
      </w:pPr>
      <w:r w:rsidRPr="007A5789">
        <w:rPr>
          <w:sz w:val="21"/>
        </w:rPr>
        <w:lastRenderedPageBreak/>
        <w:t>本组织在联合公司或合资企业中没有所有者权益</w:t>
      </w:r>
      <w:r w:rsidR="00DF7115">
        <w:rPr>
          <w:sz w:val="21"/>
        </w:rPr>
        <w:t>，</w:t>
      </w:r>
      <w:r w:rsidRPr="007A5789">
        <w:rPr>
          <w:sz w:val="21"/>
        </w:rPr>
        <w:t>同时也没有控股实体。WIPO是联合国养恤基金的成员，一些以前的工作人员是WIPO已关闭养恤基金</w:t>
      </w:r>
      <w:r w:rsidR="00B6014B">
        <w:rPr>
          <w:sz w:val="21"/>
        </w:rPr>
        <w:t>（</w:t>
      </w:r>
      <w:r w:rsidRPr="007A5789">
        <w:rPr>
          <w:sz w:val="21"/>
        </w:rPr>
        <w:t>CROMPI</w:t>
      </w:r>
      <w:r w:rsidR="00B6014B">
        <w:rPr>
          <w:sz w:val="21"/>
        </w:rPr>
        <w:t>）</w:t>
      </w:r>
      <w:r w:rsidRPr="007A5789">
        <w:rPr>
          <w:sz w:val="21"/>
        </w:rPr>
        <w:t>的成员。附注12对这两个基金的关系做了详细说明。</w:t>
      </w:r>
    </w:p>
    <w:p w:rsidR="007A5789" w:rsidRDefault="004B4679" w:rsidP="00134184">
      <w:pPr>
        <w:pStyle w:val="Style3"/>
        <w:numPr>
          <w:ilvl w:val="0"/>
          <w:numId w:val="23"/>
        </w:numPr>
        <w:tabs>
          <w:tab w:val="left" w:pos="770"/>
        </w:tabs>
        <w:overflowPunct w:val="0"/>
        <w:spacing w:afterLines="50" w:line="340" w:lineRule="atLeast"/>
        <w:ind w:left="0" w:firstLine="0"/>
        <w:rPr>
          <w:sz w:val="21"/>
        </w:rPr>
      </w:pPr>
      <w:r w:rsidRPr="007A5789">
        <w:rPr>
          <w:sz w:val="21"/>
        </w:rPr>
        <w:t>本组织与国际植物新品种保护联盟</w:t>
      </w:r>
      <w:r w:rsidR="00B6014B">
        <w:rPr>
          <w:sz w:val="21"/>
        </w:rPr>
        <w:t>（</w:t>
      </w:r>
      <w:r w:rsidRPr="007A5789">
        <w:rPr>
          <w:sz w:val="21"/>
        </w:rPr>
        <w:t>UPOV</w:t>
      </w:r>
      <w:r w:rsidR="00B6014B">
        <w:rPr>
          <w:sz w:val="21"/>
        </w:rPr>
        <w:t>）</w:t>
      </w:r>
      <w:r w:rsidRPr="007A5789">
        <w:rPr>
          <w:sz w:val="21"/>
        </w:rPr>
        <w:t>保持着关系，本组织总干事担任UPOV的秘书长。作为UPOV领导机构的UPOV理事会由1961年12月2日《国际植物新品种保护公约》</w:t>
      </w:r>
      <w:r w:rsidR="00B6014B">
        <w:rPr>
          <w:sz w:val="21"/>
        </w:rPr>
        <w:t>（</w:t>
      </w:r>
      <w:r w:rsidRPr="007A5789">
        <w:rPr>
          <w:sz w:val="21"/>
        </w:rPr>
        <w:t>经修订</w:t>
      </w:r>
      <w:r w:rsidR="00B6014B">
        <w:rPr>
          <w:sz w:val="21"/>
        </w:rPr>
        <w:t>）</w:t>
      </w:r>
      <w:r w:rsidRPr="007A5789">
        <w:rPr>
          <w:sz w:val="21"/>
        </w:rPr>
        <w:t>缔约方的代表组成。根据UPOV</w:t>
      </w:r>
      <w:r w:rsidRPr="007A5789">
        <w:rPr>
          <w:rFonts w:hint="eastAsia"/>
          <w:sz w:val="21"/>
        </w:rPr>
        <w:t>《细则和</w:t>
      </w:r>
      <w:r w:rsidRPr="007A5789">
        <w:rPr>
          <w:sz w:val="21"/>
        </w:rPr>
        <w:t>条例</w:t>
      </w:r>
      <w:r w:rsidRPr="007A5789">
        <w:rPr>
          <w:rFonts w:hint="eastAsia"/>
          <w:sz w:val="21"/>
        </w:rPr>
        <w:t>》</w:t>
      </w:r>
      <w:r w:rsidRPr="007A5789">
        <w:rPr>
          <w:sz w:val="21"/>
        </w:rPr>
        <w:t>，UPOV办公室由UPOV秘书长和工作人员组成，完全独立于本组织行使职能。根据1982年11月26日本组织与UPOV签订的协议条款，本组织负责向UPOV提供办公场地、人事管理、财务管理、采购服务和其他行政支助。UPOV根据上述协议条款向本组织偿还这些服务的费用。2015年，本组织从UPOV收到服务费用618,000瑞郎。此外，WIPO收到偿还代表UPOV支付的所有资金。</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07" w:name="_Toc441218509"/>
      <w:bookmarkStart w:id="108" w:name="_Toc455733240"/>
      <w:bookmarkStart w:id="109" w:name="_Toc456711751"/>
      <w:r w:rsidRPr="007C2134">
        <w:rPr>
          <w:rFonts w:ascii="SimHei" w:eastAsia="SimHei" w:hAnsi="SimHei"/>
          <w:b w:val="0"/>
          <w:sz w:val="21"/>
        </w:rPr>
        <w:t>附注21：</w:t>
      </w:r>
      <w:bookmarkEnd w:id="107"/>
      <w:r w:rsidRPr="007C2134">
        <w:rPr>
          <w:rFonts w:ascii="SimHei" w:eastAsia="SimHei" w:hAnsi="SimHei"/>
          <w:b w:val="0"/>
          <w:sz w:val="21"/>
        </w:rPr>
        <w:t>净资产</w:t>
      </w:r>
      <w:bookmarkEnd w:id="108"/>
      <w:bookmarkEnd w:id="109"/>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1338C013" wp14:editId="032D5766">
            <wp:extent cx="5940425" cy="2572080"/>
            <wp:effectExtent l="0" t="0" r="3175" b="0"/>
            <wp:docPr id="352"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940425" cy="2572080"/>
                    </a:xfrm>
                    <a:prstGeom prst="rect">
                      <a:avLst/>
                    </a:prstGeom>
                    <a:noFill/>
                    <a:ln>
                      <a:noFill/>
                    </a:ln>
                  </pic:spPr>
                </pic:pic>
              </a:graphicData>
            </a:graphic>
          </wp:inline>
        </w:drawing>
      </w:r>
    </w:p>
    <w:p w:rsidR="007A5789" w:rsidRDefault="004B4679" w:rsidP="00134184">
      <w:pPr>
        <w:pStyle w:val="Style3"/>
        <w:numPr>
          <w:ilvl w:val="0"/>
          <w:numId w:val="24"/>
        </w:numPr>
        <w:tabs>
          <w:tab w:val="left" w:pos="770"/>
        </w:tabs>
        <w:overflowPunct w:val="0"/>
        <w:spacing w:afterLines="50" w:line="340" w:lineRule="atLeast"/>
        <w:ind w:left="0" w:firstLine="0"/>
        <w:rPr>
          <w:sz w:val="21"/>
        </w:rPr>
      </w:pPr>
      <w:r w:rsidRPr="007A5789">
        <w:rPr>
          <w:sz w:val="21"/>
        </w:rPr>
        <w:t>本组织的净资产总额为储备金余额，包括储备金</w:t>
      </w:r>
      <w:r w:rsidR="00B6014B">
        <w:rPr>
          <w:sz w:val="21"/>
        </w:rPr>
        <w:t>（</w:t>
      </w:r>
      <w:r w:rsidRPr="007A5789">
        <w:rPr>
          <w:sz w:val="21"/>
        </w:rPr>
        <w:t>累计盈余、</w:t>
      </w:r>
      <w:r w:rsidR="00AB6919">
        <w:rPr>
          <w:sz w:val="21"/>
        </w:rPr>
        <w:t>特别项目</w:t>
      </w:r>
      <w:r w:rsidRPr="007A5789">
        <w:rPr>
          <w:sz w:val="21"/>
        </w:rPr>
        <w:t>储备金及重估值盈余储备金</w:t>
      </w:r>
      <w:r w:rsidR="00B6014B">
        <w:rPr>
          <w:sz w:val="21"/>
        </w:rPr>
        <w:t>）</w:t>
      </w:r>
      <w:r w:rsidRPr="007A5789">
        <w:rPr>
          <w:sz w:val="21"/>
        </w:rPr>
        <w:t>及周转</w:t>
      </w:r>
      <w:r w:rsidRPr="007A5789">
        <w:rPr>
          <w:rFonts w:hint="eastAsia"/>
          <w:sz w:val="21"/>
        </w:rPr>
        <w:t>基金</w:t>
      </w:r>
      <w:r w:rsidRPr="007A5789">
        <w:rPr>
          <w:sz w:val="21"/>
        </w:rPr>
        <w:t>。本组织根据储备</w:t>
      </w:r>
      <w:proofErr w:type="gramStart"/>
      <w:r w:rsidRPr="007A5789">
        <w:rPr>
          <w:sz w:val="21"/>
        </w:rPr>
        <w:t>金政策</w:t>
      </w:r>
      <w:proofErr w:type="gramEnd"/>
      <w:r w:rsidRPr="007A5789">
        <w:rPr>
          <w:sz w:val="21"/>
        </w:rPr>
        <w:t>管理储备金水平。2015年，该政策被WIPO成员国大会第五十五届系列会议修改并通过。本组织包括周转</w:t>
      </w:r>
      <w:r w:rsidRPr="007A5789">
        <w:rPr>
          <w:rFonts w:hint="eastAsia"/>
          <w:sz w:val="21"/>
        </w:rPr>
        <w:t>基金</w:t>
      </w:r>
      <w:r w:rsidRPr="007A5789">
        <w:rPr>
          <w:sz w:val="21"/>
        </w:rPr>
        <w:t>在内的储备金的目标水平按照各联盟估计两年支出百分比在联盟层面确定。</w:t>
      </w:r>
    </w:p>
    <w:p w:rsidR="007A5789" w:rsidRDefault="004B4679" w:rsidP="00134184">
      <w:pPr>
        <w:pStyle w:val="Style3"/>
        <w:numPr>
          <w:ilvl w:val="0"/>
          <w:numId w:val="24"/>
        </w:numPr>
        <w:tabs>
          <w:tab w:val="left" w:pos="770"/>
        </w:tabs>
        <w:overflowPunct w:val="0"/>
        <w:spacing w:afterLines="50" w:line="340" w:lineRule="atLeast"/>
        <w:ind w:left="0" w:firstLine="0"/>
        <w:rPr>
          <w:sz w:val="21"/>
        </w:rPr>
      </w:pPr>
      <w:r w:rsidRPr="007A5789">
        <w:rPr>
          <w:sz w:val="21"/>
        </w:rPr>
        <w:t>储备</w:t>
      </w:r>
      <w:proofErr w:type="gramStart"/>
      <w:r w:rsidRPr="007A5789">
        <w:rPr>
          <w:sz w:val="21"/>
        </w:rPr>
        <w:t>金政策</w:t>
      </w:r>
      <w:proofErr w:type="gramEnd"/>
      <w:r w:rsidRPr="007A5789">
        <w:rPr>
          <w:sz w:val="21"/>
        </w:rPr>
        <w:t>要求在会计和报告中明确区分周转</w:t>
      </w:r>
      <w:r w:rsidRPr="007A5789">
        <w:rPr>
          <w:rFonts w:hint="eastAsia"/>
          <w:sz w:val="21"/>
        </w:rPr>
        <w:t>基金</w:t>
      </w:r>
      <w:r w:rsidRPr="007A5789">
        <w:rPr>
          <w:sz w:val="21"/>
        </w:rPr>
        <w:t>和储备金的其他部分。建立周转</w:t>
      </w:r>
      <w:r w:rsidRPr="007A5789">
        <w:rPr>
          <w:rFonts w:hint="eastAsia"/>
          <w:sz w:val="21"/>
        </w:rPr>
        <w:t>基金</w:t>
      </w:r>
      <w:r w:rsidRPr="007A5789">
        <w:rPr>
          <w:sz w:val="21"/>
        </w:rPr>
        <w:t>的用途是在出现暂时的流动性短缺时提供拨款的预先筹资以及成员国和联盟大会规定的其他用途。周转</w:t>
      </w:r>
      <w:r w:rsidRPr="007A5789">
        <w:rPr>
          <w:rFonts w:hint="eastAsia"/>
          <w:sz w:val="21"/>
        </w:rPr>
        <w:t>基金</w:t>
      </w:r>
      <w:r w:rsidRPr="007A5789">
        <w:rPr>
          <w:sz w:val="21"/>
        </w:rPr>
        <w:t>由会费筹资，并由WIPO为各自联盟的成员国托管。经WIPO成员国大会第五十五届系列会议批准，周转</w:t>
      </w:r>
      <w:r w:rsidRPr="007A5789">
        <w:rPr>
          <w:rFonts w:hint="eastAsia"/>
          <w:sz w:val="21"/>
        </w:rPr>
        <w:t>基金</w:t>
      </w:r>
      <w:r w:rsidRPr="007A5789">
        <w:rPr>
          <w:sz w:val="21"/>
        </w:rPr>
        <w:t>中PCT联盟的200</w:t>
      </w:r>
      <w:proofErr w:type="gramStart"/>
      <w:r w:rsidRPr="007A5789">
        <w:rPr>
          <w:sz w:val="21"/>
        </w:rPr>
        <w:t>万瑞郎部分</w:t>
      </w:r>
      <w:proofErr w:type="gramEnd"/>
      <w:r w:rsidRPr="007A5789">
        <w:rPr>
          <w:sz w:val="21"/>
        </w:rPr>
        <w:t>将通过从2016/17年会费发票中扣除的方式退还PCT联盟的成员国。</w:t>
      </w:r>
    </w:p>
    <w:p w:rsidR="007A5789" w:rsidRDefault="004B4679" w:rsidP="00134184">
      <w:pPr>
        <w:pStyle w:val="Style3"/>
        <w:numPr>
          <w:ilvl w:val="0"/>
          <w:numId w:val="24"/>
        </w:numPr>
        <w:tabs>
          <w:tab w:val="left" w:pos="770"/>
        </w:tabs>
        <w:overflowPunct w:val="0"/>
        <w:spacing w:afterLines="50" w:line="340" w:lineRule="atLeast"/>
        <w:ind w:left="0" w:firstLine="0"/>
        <w:rPr>
          <w:sz w:val="21"/>
        </w:rPr>
      </w:pPr>
      <w:r w:rsidRPr="007A5789">
        <w:rPr>
          <w:sz w:val="21"/>
        </w:rPr>
        <w:t>本组织的累计盈余为2015年和前期业务的累计净额，不包括IPSAS的影响。重估值盈余储备</w:t>
      </w:r>
      <w:proofErr w:type="gramStart"/>
      <w:r w:rsidRPr="007A5789">
        <w:rPr>
          <w:sz w:val="21"/>
        </w:rPr>
        <w:t>金包括</w:t>
      </w:r>
      <w:proofErr w:type="gramEnd"/>
      <w:r w:rsidRPr="007A5789">
        <w:rPr>
          <w:sz w:val="21"/>
        </w:rPr>
        <w:t>本组织用于建设新大楼的自有土地的重估值</w:t>
      </w:r>
      <w:r w:rsidR="00B6014B">
        <w:rPr>
          <w:sz w:val="21"/>
        </w:rPr>
        <w:t>（</w:t>
      </w:r>
      <w:r w:rsidRPr="007A5789">
        <w:rPr>
          <w:sz w:val="21"/>
        </w:rPr>
        <w:t>从历史成本转为公允价值</w:t>
      </w:r>
      <w:r w:rsidR="00B6014B">
        <w:rPr>
          <w:sz w:val="21"/>
        </w:rPr>
        <w:t>）</w:t>
      </w:r>
      <w:r w:rsidRPr="007A5789">
        <w:rPr>
          <w:sz w:val="21"/>
        </w:rPr>
        <w:t>结果</w:t>
      </w:r>
      <w:r w:rsidR="00B6014B">
        <w:rPr>
          <w:sz w:val="21"/>
        </w:rPr>
        <w:t>（</w:t>
      </w:r>
      <w:r w:rsidRPr="007A5789">
        <w:rPr>
          <w:sz w:val="21"/>
        </w:rPr>
        <w:t>见附注9</w:t>
      </w:r>
      <w:r w:rsidR="00B6014B">
        <w:rPr>
          <w:sz w:val="21"/>
        </w:rPr>
        <w:t>）</w:t>
      </w:r>
      <w:r w:rsidRPr="007A5789">
        <w:rPr>
          <w:sz w:val="21"/>
        </w:rPr>
        <w:t>。公允价值经过独立评估确定。</w:t>
      </w:r>
    </w:p>
    <w:p w:rsidR="007A5789" w:rsidRDefault="004B4679" w:rsidP="00134184">
      <w:pPr>
        <w:pStyle w:val="Style3"/>
        <w:numPr>
          <w:ilvl w:val="0"/>
          <w:numId w:val="24"/>
        </w:numPr>
        <w:tabs>
          <w:tab w:val="left" w:pos="770"/>
        </w:tabs>
        <w:overflowPunct w:val="0"/>
        <w:spacing w:afterLines="50" w:line="340" w:lineRule="atLeast"/>
        <w:ind w:left="0" w:firstLine="0"/>
        <w:rPr>
          <w:sz w:val="21"/>
        </w:rPr>
      </w:pPr>
      <w:r w:rsidRPr="007A5789">
        <w:rPr>
          <w:sz w:val="21"/>
        </w:rPr>
        <w:t>同时，WIPO储备</w:t>
      </w:r>
      <w:proofErr w:type="gramStart"/>
      <w:r w:rsidRPr="007A5789">
        <w:rPr>
          <w:sz w:val="21"/>
        </w:rPr>
        <w:t>金政策</w:t>
      </w:r>
      <w:proofErr w:type="gramEnd"/>
      <w:r w:rsidRPr="007A5789">
        <w:rPr>
          <w:sz w:val="21"/>
        </w:rPr>
        <w:t>还建立了资本完善一次性项目和特殊情况使用储备金的原则和批准机制。</w:t>
      </w:r>
      <w:r w:rsidR="00AB6919">
        <w:rPr>
          <w:sz w:val="21"/>
        </w:rPr>
        <w:t>特别项目</w:t>
      </w:r>
      <w:r w:rsidRPr="007A5789">
        <w:rPr>
          <w:sz w:val="21"/>
        </w:rPr>
        <w:t>储备金包含储备金对这些项目的拨款减去累计支出。</w:t>
      </w:r>
      <w:r w:rsidR="00AB6919">
        <w:rPr>
          <w:sz w:val="21"/>
        </w:rPr>
        <w:t>特别项目</w:t>
      </w:r>
      <w:r w:rsidRPr="007A5789">
        <w:rPr>
          <w:sz w:val="21"/>
        </w:rPr>
        <w:t>储备金在WIPO储备</w:t>
      </w:r>
      <w:proofErr w:type="gramStart"/>
      <w:r w:rsidRPr="007A5789">
        <w:rPr>
          <w:sz w:val="21"/>
        </w:rPr>
        <w:t>金政策</w:t>
      </w:r>
      <w:proofErr w:type="gramEnd"/>
      <w:r w:rsidRPr="007A5789">
        <w:rPr>
          <w:sz w:val="21"/>
        </w:rPr>
        <w:t>2015年修改后设立。报告日的余额为将用于已核准项目的金额。下表详细描述了由储备金筹资的项目、当年支出及截至2015年12月31日的余额：</w:t>
      </w:r>
    </w:p>
    <w:p w:rsidR="007A5789" w:rsidRDefault="00C01572" w:rsidP="00B87A4B">
      <w:pPr>
        <w:spacing w:afterLines="50" w:after="120" w:line="340" w:lineRule="atLeast"/>
        <w:jc w:val="center"/>
        <w:rPr>
          <w:sz w:val="21"/>
        </w:rPr>
      </w:pPr>
      <w:r w:rsidRPr="00EF7E79">
        <w:rPr>
          <w:noProof/>
          <w:sz w:val="21"/>
          <w:lang w:val="en-US" w:bidi="ar-SA"/>
        </w:rPr>
        <w:lastRenderedPageBreak/>
        <w:drawing>
          <wp:inline distT="0" distB="0" distL="0" distR="0" wp14:anchorId="7996EFF6" wp14:editId="2E80A63B">
            <wp:extent cx="5940425" cy="3856459"/>
            <wp:effectExtent l="0" t="0" r="3175" b="0"/>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940425" cy="3856459"/>
                    </a:xfrm>
                    <a:prstGeom prst="rect">
                      <a:avLst/>
                    </a:prstGeom>
                    <a:noFill/>
                    <a:ln>
                      <a:noFill/>
                    </a:ln>
                  </pic:spPr>
                </pic:pic>
              </a:graphicData>
            </a:graphic>
          </wp:inline>
        </w:drawing>
      </w:r>
    </w:p>
    <w:p w:rsidR="004B4679" w:rsidRPr="007A5789" w:rsidRDefault="004B4679" w:rsidP="004B4679">
      <w:pPr>
        <w:rPr>
          <w:sz w:val="16"/>
          <w:szCs w:val="16"/>
        </w:rPr>
      </w:pPr>
      <w:r w:rsidRPr="007A5789">
        <w:rPr>
          <w:sz w:val="16"/>
        </w:rPr>
        <w:t>(1)新建</w:t>
      </w:r>
      <w:r w:rsidR="002F334E">
        <w:rPr>
          <w:rFonts w:hint="eastAsia"/>
          <w:sz w:val="16"/>
        </w:rPr>
        <w:t>筑</w:t>
      </w:r>
      <w:r w:rsidRPr="007A5789">
        <w:rPr>
          <w:sz w:val="16"/>
        </w:rPr>
        <w:t>项目由借款筹资，参见附注15</w:t>
      </w:r>
      <w:r w:rsidR="00D9706A" w:rsidRPr="007A5789">
        <w:rPr>
          <w:rFonts w:hint="eastAsia"/>
          <w:sz w:val="16"/>
        </w:rPr>
        <w:t>。</w:t>
      </w:r>
    </w:p>
    <w:p w:rsidR="004B4679" w:rsidRPr="007A5789" w:rsidRDefault="004B4679" w:rsidP="004B4679">
      <w:pPr>
        <w:rPr>
          <w:sz w:val="16"/>
          <w:szCs w:val="16"/>
        </w:rPr>
      </w:pPr>
      <w:r w:rsidRPr="007A5789">
        <w:rPr>
          <w:sz w:val="16"/>
        </w:rPr>
        <w:t>(2)WIPO成员国大会2015年10月例外批准了2014/15年常规预算下额外拨款不超过350</w:t>
      </w:r>
      <w:proofErr w:type="gramStart"/>
      <w:r w:rsidRPr="007A5789">
        <w:rPr>
          <w:sz w:val="16"/>
        </w:rPr>
        <w:t>万瑞郎用于</w:t>
      </w:r>
      <w:proofErr w:type="gramEnd"/>
      <w:r w:rsidRPr="007A5789">
        <w:rPr>
          <w:sz w:val="16"/>
        </w:rPr>
        <w:t>填补有关新会议厅项目完工的支出</w:t>
      </w:r>
      <w:r w:rsidR="00B6014B">
        <w:rPr>
          <w:sz w:val="16"/>
        </w:rPr>
        <w:t>（</w:t>
      </w:r>
      <w:r w:rsidRPr="007A5789">
        <w:rPr>
          <w:sz w:val="16"/>
        </w:rPr>
        <w:t>文件A/55/13</w:t>
      </w:r>
      <w:r w:rsidR="00B6014B">
        <w:rPr>
          <w:sz w:val="16"/>
        </w:rPr>
        <w:t>）</w:t>
      </w:r>
      <w:r w:rsidRPr="007A5789">
        <w:rPr>
          <w:sz w:val="16"/>
        </w:rPr>
        <w:t>。这项拨款中未使用的余额不得结转至下一个预算周期。</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10" w:name="_Toc441218510"/>
      <w:bookmarkStart w:id="111" w:name="_Toc455733241"/>
      <w:bookmarkStart w:id="112" w:name="_Toc456711752"/>
      <w:r w:rsidRPr="007C2134">
        <w:rPr>
          <w:rFonts w:ascii="SimHei" w:eastAsia="SimHei" w:hAnsi="SimHei"/>
          <w:b w:val="0"/>
          <w:sz w:val="21"/>
        </w:rPr>
        <w:t>附注22：预算比较表和财务执行情况表的对账情况</w:t>
      </w:r>
      <w:bookmarkEnd w:id="110"/>
      <w:bookmarkEnd w:id="111"/>
      <w:bookmarkEnd w:id="112"/>
    </w:p>
    <w:p w:rsidR="007A5789" w:rsidRDefault="004B4679" w:rsidP="00134184">
      <w:pPr>
        <w:pStyle w:val="Style3"/>
        <w:numPr>
          <w:ilvl w:val="0"/>
          <w:numId w:val="25"/>
        </w:numPr>
        <w:tabs>
          <w:tab w:val="left" w:pos="770"/>
        </w:tabs>
        <w:overflowPunct w:val="0"/>
        <w:spacing w:afterLines="50" w:line="340" w:lineRule="atLeast"/>
        <w:ind w:left="0" w:firstLine="0"/>
        <w:rPr>
          <w:sz w:val="21"/>
        </w:rPr>
      </w:pPr>
      <w:r w:rsidRPr="007A5789">
        <w:rPr>
          <w:sz w:val="21"/>
        </w:rPr>
        <w:t>WIPO计划和预算是根据《财务条例与细则》在修正的权责发生制基础上编制的，并经成员国大会批准。2014/15两年</w:t>
      </w:r>
      <w:proofErr w:type="gramStart"/>
      <w:r w:rsidRPr="007A5789">
        <w:rPr>
          <w:sz w:val="21"/>
        </w:rPr>
        <w:t>期计划</w:t>
      </w:r>
      <w:proofErr w:type="gramEnd"/>
      <w:r w:rsidRPr="007A5789">
        <w:rPr>
          <w:sz w:val="21"/>
        </w:rPr>
        <w:t>和预算为该两年</w:t>
      </w:r>
      <w:proofErr w:type="gramStart"/>
      <w:r w:rsidRPr="007A5789">
        <w:rPr>
          <w:sz w:val="21"/>
        </w:rPr>
        <w:t>期确定</w:t>
      </w:r>
      <w:proofErr w:type="gramEnd"/>
      <w:r w:rsidRPr="007A5789">
        <w:rPr>
          <w:sz w:val="21"/>
        </w:rPr>
        <w:t>了支出6.7</w:t>
      </w:r>
      <w:r w:rsidR="00D9706A" w:rsidRPr="007A5789">
        <w:rPr>
          <w:sz w:val="21"/>
        </w:rPr>
        <w:t>4</w:t>
      </w:r>
      <w:r w:rsidRPr="007A5789">
        <w:rPr>
          <w:sz w:val="21"/>
        </w:rPr>
        <w:t>亿瑞郎的概算。</w:t>
      </w:r>
    </w:p>
    <w:p w:rsidR="007A5789" w:rsidRDefault="004B4679" w:rsidP="00134184">
      <w:pPr>
        <w:pStyle w:val="Style3"/>
        <w:numPr>
          <w:ilvl w:val="0"/>
          <w:numId w:val="25"/>
        </w:numPr>
        <w:tabs>
          <w:tab w:val="left" w:pos="770"/>
        </w:tabs>
        <w:overflowPunct w:val="0"/>
        <w:spacing w:afterLines="50" w:line="340" w:lineRule="atLeast"/>
        <w:ind w:left="0" w:firstLine="0"/>
        <w:rPr>
          <w:sz w:val="21"/>
        </w:rPr>
      </w:pPr>
      <w:r w:rsidRPr="007A5789">
        <w:rPr>
          <w:sz w:val="21"/>
        </w:rPr>
        <w:t>2015年是本两年期的第二年，</w:t>
      </w:r>
      <w:proofErr w:type="gramStart"/>
      <w:r w:rsidRPr="007A5789">
        <w:rPr>
          <w:sz w:val="21"/>
        </w:rPr>
        <w:t>初步和</w:t>
      </w:r>
      <w:proofErr w:type="gramEnd"/>
      <w:r w:rsidRPr="007A5789">
        <w:rPr>
          <w:sz w:val="21"/>
        </w:rPr>
        <w:t>最终预算的收入为3.62亿瑞郎，支出为3.37亿瑞郎。在本两年期的第二年，采用修正的权责发生制的实际收入为3.97亿瑞郎。在本两年期的第二年，采用修正的权责发生制的实际支出为3.338亿瑞郎。</w:t>
      </w:r>
    </w:p>
    <w:p w:rsidR="007A5789" w:rsidRDefault="004B4679" w:rsidP="00134184">
      <w:pPr>
        <w:pStyle w:val="Style3"/>
        <w:numPr>
          <w:ilvl w:val="0"/>
          <w:numId w:val="25"/>
        </w:numPr>
        <w:tabs>
          <w:tab w:val="left" w:pos="770"/>
        </w:tabs>
        <w:overflowPunct w:val="0"/>
        <w:spacing w:afterLines="50" w:line="340" w:lineRule="atLeast"/>
        <w:ind w:left="0" w:firstLine="0"/>
        <w:rPr>
          <w:sz w:val="21"/>
        </w:rPr>
      </w:pPr>
      <w:r w:rsidRPr="007A5789">
        <w:rPr>
          <w:sz w:val="21"/>
        </w:rPr>
        <w:t>对于2014/15</w:t>
      </w:r>
      <w:r w:rsidR="006C0F4F" w:rsidRPr="007A5789">
        <w:rPr>
          <w:rFonts w:hint="eastAsia"/>
          <w:sz w:val="21"/>
        </w:rPr>
        <w:t>两</w:t>
      </w:r>
      <w:r w:rsidRPr="007A5789">
        <w:rPr>
          <w:sz w:val="21"/>
        </w:rPr>
        <w:t>年</w:t>
      </w:r>
      <w:r w:rsidR="006C0F4F" w:rsidRPr="007A5789">
        <w:rPr>
          <w:rFonts w:hint="eastAsia"/>
          <w:sz w:val="21"/>
        </w:rPr>
        <w:t>期</w:t>
      </w:r>
      <w:r w:rsidRPr="007A5789">
        <w:rPr>
          <w:sz w:val="21"/>
        </w:rPr>
        <w:t>，</w:t>
      </w:r>
      <w:proofErr w:type="gramStart"/>
      <w:r w:rsidRPr="007A5789">
        <w:rPr>
          <w:sz w:val="21"/>
        </w:rPr>
        <w:t>初步和</w:t>
      </w:r>
      <w:proofErr w:type="gramEnd"/>
      <w:r w:rsidRPr="007A5789">
        <w:rPr>
          <w:sz w:val="21"/>
        </w:rPr>
        <w:t>调剂使用后的最终预算的收入为7.133亿瑞郎，支出为6.74亿瑞郎。采用修正的权责发生制的实际收入为7.757亿瑞郎。采用修正的权责发生制的实际支出为6.426亿瑞郎。</w:t>
      </w:r>
    </w:p>
    <w:p w:rsidR="007A5789" w:rsidRDefault="004B4679" w:rsidP="00134184">
      <w:pPr>
        <w:pStyle w:val="Style3"/>
        <w:numPr>
          <w:ilvl w:val="0"/>
          <w:numId w:val="25"/>
        </w:numPr>
        <w:tabs>
          <w:tab w:val="left" w:pos="770"/>
        </w:tabs>
        <w:overflowPunct w:val="0"/>
        <w:spacing w:afterLines="50" w:line="340" w:lineRule="atLeast"/>
        <w:ind w:left="0" w:firstLine="0"/>
        <w:rPr>
          <w:sz w:val="21"/>
        </w:rPr>
      </w:pPr>
      <w:r w:rsidRPr="007A5789">
        <w:rPr>
          <w:sz w:val="21"/>
        </w:rPr>
        <w:t>2014/15年计划</w:t>
      </w:r>
      <w:r w:rsidR="0074262A">
        <w:rPr>
          <w:sz w:val="21"/>
        </w:rPr>
        <w:t>绩效</w:t>
      </w:r>
      <w:r w:rsidRPr="007A5789">
        <w:rPr>
          <w:sz w:val="21"/>
        </w:rPr>
        <w:t>报告对原预算和调剂使用后最终预算之间的变动以及预算数额和实际数额之间的实质性差异进行了解释。WIPO的预算和财务账目是使用两种不同基准编制的。财务状况表、财务执行情况表、净资产变动表和现金流量表是以完全的权责发生制编制的，而预算和实际数额对比表</w:t>
      </w:r>
      <w:r w:rsidR="00B6014B">
        <w:rPr>
          <w:sz w:val="21"/>
        </w:rPr>
        <w:t>（</w:t>
      </w:r>
      <w:r w:rsidRPr="007A5789">
        <w:rPr>
          <w:sz w:val="21"/>
        </w:rPr>
        <w:t>报表五</w:t>
      </w:r>
      <w:r w:rsidR="00B6014B">
        <w:rPr>
          <w:sz w:val="21"/>
        </w:rPr>
        <w:t>）</w:t>
      </w:r>
      <w:r w:rsidRPr="007A5789">
        <w:rPr>
          <w:sz w:val="21"/>
        </w:rPr>
        <w:t>是根据修正的权责发生制编制的。</w:t>
      </w:r>
    </w:p>
    <w:p w:rsidR="007A5789" w:rsidRDefault="004B4679" w:rsidP="00134184">
      <w:pPr>
        <w:pStyle w:val="Style3"/>
        <w:numPr>
          <w:ilvl w:val="0"/>
          <w:numId w:val="25"/>
        </w:numPr>
        <w:tabs>
          <w:tab w:val="left" w:pos="770"/>
        </w:tabs>
        <w:overflowPunct w:val="0"/>
        <w:spacing w:afterLines="50" w:line="340" w:lineRule="atLeast"/>
        <w:ind w:left="0" w:firstLine="0"/>
        <w:rPr>
          <w:sz w:val="21"/>
        </w:rPr>
      </w:pPr>
      <w:r w:rsidRPr="007A5789">
        <w:rPr>
          <w:sz w:val="21"/>
        </w:rPr>
        <w:t>根据IPSAS 24的要求，对报表五所载的实际可比数和财务账目上所列的实际数进行了对账，分别区分了基准、时间安排和实体差异。两年期的各年度和整个两年期分别进行对账。WIPO的预算是成员国大会按两年期通过的，但是为两个年度的每一年编制了单独的概算。因此，没有需要报告的时间安排差异。核定预算不按完全的权责发生制会计基准编制，因此存在基准差异。基准差异包括资产折旧、准备金的完全计入和未实现收入的递延。实体差异表现在WIPO的财务账目中包括特别账户和储</w:t>
      </w:r>
      <w:r w:rsidRPr="007A5789">
        <w:rPr>
          <w:sz w:val="21"/>
        </w:rPr>
        <w:lastRenderedPageBreak/>
        <w:t>备金供资项目，但WIPO已公布的计划和预算中不包括这些项目。呈报上的差异体现在建筑物、设备和无形资产投资以及投资财产收益在报表四中被作为投资活动处理。</w:t>
      </w:r>
    </w:p>
    <w:p w:rsidR="007A5789" w:rsidRDefault="004B4679" w:rsidP="001E1DEA">
      <w:pPr>
        <w:pStyle w:val="Style3Bold"/>
        <w:keepNext/>
        <w:spacing w:beforeLines="100" w:before="240" w:afterLines="50" w:line="340" w:lineRule="atLeast"/>
        <w:rPr>
          <w:sz w:val="21"/>
        </w:rPr>
      </w:pPr>
      <w:r w:rsidRPr="007A5789">
        <w:rPr>
          <w:sz w:val="21"/>
        </w:rPr>
        <w:t>2015年对账：</w:t>
      </w:r>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0036C478" wp14:editId="501BEC5C">
            <wp:extent cx="5940425" cy="3790336"/>
            <wp:effectExtent l="0" t="0" r="3175" b="635"/>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940425" cy="3790336"/>
                    </a:xfrm>
                    <a:prstGeom prst="rect">
                      <a:avLst/>
                    </a:prstGeom>
                    <a:noFill/>
                    <a:ln>
                      <a:noFill/>
                    </a:ln>
                  </pic:spPr>
                </pic:pic>
              </a:graphicData>
            </a:graphic>
          </wp:inline>
        </w:drawing>
      </w:r>
    </w:p>
    <w:p w:rsidR="007A5789" w:rsidRDefault="004B4679" w:rsidP="001E1DEA">
      <w:pPr>
        <w:pStyle w:val="Style3Bold"/>
        <w:keepNext/>
        <w:spacing w:beforeLines="100" w:before="240" w:afterLines="50" w:line="340" w:lineRule="atLeast"/>
        <w:rPr>
          <w:sz w:val="21"/>
        </w:rPr>
      </w:pPr>
      <w:r w:rsidRPr="007A5789">
        <w:rPr>
          <w:sz w:val="21"/>
        </w:rPr>
        <w:lastRenderedPageBreak/>
        <w:t>2014/15两年期对账：</w:t>
      </w:r>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00E778D7" wp14:editId="4B137B44">
            <wp:extent cx="5940425" cy="3960492"/>
            <wp:effectExtent l="0" t="0" r="3175" b="2540"/>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940425" cy="3960492"/>
                    </a:xfrm>
                    <a:prstGeom prst="rect">
                      <a:avLst/>
                    </a:prstGeom>
                    <a:noFill/>
                    <a:ln>
                      <a:noFill/>
                    </a:ln>
                  </pic:spPr>
                </pic:pic>
              </a:graphicData>
            </a:graphic>
          </wp:inline>
        </w:drawing>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13" w:name="_Toc441218511"/>
      <w:bookmarkStart w:id="114" w:name="_Toc455733242"/>
      <w:bookmarkStart w:id="115" w:name="_Toc456711753"/>
      <w:r w:rsidRPr="007C2134">
        <w:rPr>
          <w:rFonts w:ascii="SimHei" w:eastAsia="SimHei" w:hAnsi="SimHei"/>
          <w:b w:val="0"/>
          <w:sz w:val="21"/>
        </w:rPr>
        <w:t>附注23：收入</w:t>
      </w:r>
      <w:bookmarkEnd w:id="113"/>
      <w:bookmarkEnd w:id="114"/>
      <w:bookmarkEnd w:id="115"/>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74EEFF76" wp14:editId="0FCB3B38">
            <wp:extent cx="5940425" cy="3865246"/>
            <wp:effectExtent l="0" t="0" r="3175" b="1905"/>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940425" cy="3865246"/>
                    </a:xfrm>
                    <a:prstGeom prst="rect">
                      <a:avLst/>
                    </a:prstGeom>
                    <a:noFill/>
                    <a:ln>
                      <a:noFill/>
                    </a:ln>
                  </pic:spPr>
                </pic:pic>
              </a:graphicData>
            </a:graphic>
          </wp:inline>
        </w:drawing>
      </w:r>
    </w:p>
    <w:p w:rsidR="007A5789" w:rsidRDefault="004B4679" w:rsidP="00134184">
      <w:pPr>
        <w:pStyle w:val="Style3"/>
        <w:numPr>
          <w:ilvl w:val="0"/>
          <w:numId w:val="26"/>
        </w:numPr>
        <w:tabs>
          <w:tab w:val="left" w:pos="770"/>
        </w:tabs>
        <w:overflowPunct w:val="0"/>
        <w:spacing w:afterLines="50" w:line="340" w:lineRule="atLeast"/>
        <w:ind w:left="0" w:firstLine="0"/>
        <w:rPr>
          <w:sz w:val="21"/>
          <w:szCs w:val="22"/>
        </w:rPr>
      </w:pPr>
      <w:r w:rsidRPr="007A5789">
        <w:rPr>
          <w:sz w:val="21"/>
        </w:rPr>
        <w:lastRenderedPageBreak/>
        <w:t>所显示的计划和预算数为所收到的实际收入，涉及大会通过的本组织的预算。自愿捐款为所收到的收入，涉及捐赠人对未包括在计划和预算内的单项计划所捐助的款项。</w:t>
      </w:r>
    </w:p>
    <w:p w:rsidR="007A5789" w:rsidRDefault="004B4679" w:rsidP="00134184">
      <w:pPr>
        <w:pStyle w:val="Style3"/>
        <w:numPr>
          <w:ilvl w:val="0"/>
          <w:numId w:val="26"/>
        </w:numPr>
        <w:tabs>
          <w:tab w:val="left" w:pos="770"/>
        </w:tabs>
        <w:overflowPunct w:val="0"/>
        <w:spacing w:afterLines="50" w:line="340" w:lineRule="atLeast"/>
        <w:ind w:left="0" w:firstLine="0"/>
        <w:rPr>
          <w:sz w:val="21"/>
        </w:rPr>
      </w:pPr>
      <w:r w:rsidRPr="007A5789">
        <w:rPr>
          <w:sz w:val="21"/>
        </w:rPr>
        <w:t>IPSAS调</w:t>
      </w:r>
      <w:r w:rsidR="002F334E">
        <w:rPr>
          <w:rFonts w:hint="eastAsia"/>
          <w:sz w:val="21"/>
        </w:rPr>
        <w:t>整</w:t>
      </w:r>
      <w:r w:rsidRPr="007A5789">
        <w:rPr>
          <w:sz w:val="21"/>
        </w:rPr>
        <w:t>主要与未实现收入的递延有关。源于自愿捐助的</w:t>
      </w:r>
      <w:proofErr w:type="gramStart"/>
      <w:r w:rsidRPr="007A5789">
        <w:rPr>
          <w:sz w:val="21"/>
        </w:rPr>
        <w:t>收入被递延至</w:t>
      </w:r>
      <w:proofErr w:type="gramEnd"/>
      <w:r w:rsidRPr="007A5789">
        <w:rPr>
          <w:sz w:val="21"/>
        </w:rPr>
        <w:t>通过提供与捐助方商定的工作计划中所规定的特定服务而获得实现时为止。</w:t>
      </w:r>
    </w:p>
    <w:p w:rsidR="007A5789" w:rsidRDefault="004B4679" w:rsidP="00134184">
      <w:pPr>
        <w:pStyle w:val="Style3"/>
        <w:numPr>
          <w:ilvl w:val="0"/>
          <w:numId w:val="26"/>
        </w:numPr>
        <w:tabs>
          <w:tab w:val="left" w:pos="770"/>
        </w:tabs>
        <w:overflowPunct w:val="0"/>
        <w:spacing w:afterLines="50" w:line="340" w:lineRule="atLeast"/>
        <w:ind w:left="0" w:firstLine="0"/>
        <w:rPr>
          <w:sz w:val="21"/>
        </w:rPr>
      </w:pPr>
      <w:r w:rsidRPr="007A5789">
        <w:rPr>
          <w:sz w:val="21"/>
        </w:rPr>
        <w:t>PCT、马德里和海牙体系</w:t>
      </w:r>
      <w:proofErr w:type="gramStart"/>
      <w:r w:rsidRPr="007A5789">
        <w:rPr>
          <w:sz w:val="21"/>
        </w:rPr>
        <w:t>规</w:t>
      </w:r>
      <w:proofErr w:type="gramEnd"/>
      <w:r w:rsidRPr="007A5789">
        <w:rPr>
          <w:sz w:val="21"/>
        </w:rPr>
        <w:t>费的</w:t>
      </w:r>
      <w:proofErr w:type="gramStart"/>
      <w:r w:rsidRPr="007A5789">
        <w:rPr>
          <w:sz w:val="21"/>
        </w:rPr>
        <w:t>收入被递延至</w:t>
      </w:r>
      <w:proofErr w:type="gramEnd"/>
      <w:r w:rsidRPr="007A5789">
        <w:rPr>
          <w:sz w:val="21"/>
        </w:rPr>
        <w:t>通过根据每个联盟的规则公布国际申请而实现时为止。2015年，WIPO还在PCT体系规费收入中记入了</w:t>
      </w:r>
      <w:r w:rsidRPr="007A5789">
        <w:rPr>
          <w:rFonts w:hint="eastAsia"/>
          <w:sz w:val="21"/>
        </w:rPr>
        <w:t>与</w:t>
      </w:r>
      <w:r w:rsidRPr="007A5789">
        <w:rPr>
          <w:sz w:val="21"/>
        </w:rPr>
        <w:t>2004-2013提交年</w:t>
      </w:r>
      <w:r w:rsidRPr="007A5789">
        <w:rPr>
          <w:rFonts w:hint="eastAsia"/>
          <w:sz w:val="21"/>
        </w:rPr>
        <w:t>有关的</w:t>
      </w:r>
      <w:r w:rsidRPr="007A5789">
        <w:rPr>
          <w:sz w:val="21"/>
        </w:rPr>
        <w:t>470万瑞郎的支付调</w:t>
      </w:r>
      <w:r w:rsidR="006F192F">
        <w:rPr>
          <w:sz w:val="21"/>
        </w:rPr>
        <w:t>‍</w:t>
      </w:r>
      <w:r w:rsidRPr="007A5789">
        <w:rPr>
          <w:sz w:val="21"/>
        </w:rPr>
        <w:t>整。</w:t>
      </w:r>
    </w:p>
    <w:p w:rsidR="004B4679" w:rsidRPr="007C2134" w:rsidRDefault="004B4679" w:rsidP="007C2134">
      <w:pPr>
        <w:pStyle w:val="3"/>
        <w:overflowPunct w:val="0"/>
        <w:spacing w:beforeLines="100" w:afterLines="50" w:after="120" w:line="340" w:lineRule="atLeast"/>
        <w:rPr>
          <w:rFonts w:ascii="SimHei" w:eastAsia="SimHei" w:hAnsi="SimHei"/>
          <w:b w:val="0"/>
          <w:sz w:val="21"/>
        </w:rPr>
      </w:pPr>
      <w:bookmarkStart w:id="116" w:name="_Toc441218512"/>
      <w:bookmarkStart w:id="117" w:name="_Toc455733243"/>
      <w:bookmarkStart w:id="118" w:name="_Toc456711754"/>
      <w:r w:rsidRPr="007C2134">
        <w:rPr>
          <w:rFonts w:ascii="SimHei" w:eastAsia="SimHei" w:hAnsi="SimHei"/>
          <w:b w:val="0"/>
          <w:sz w:val="21"/>
        </w:rPr>
        <w:lastRenderedPageBreak/>
        <w:t>附注24：支出</w:t>
      </w:r>
      <w:bookmarkEnd w:id="116"/>
      <w:bookmarkEnd w:id="117"/>
      <w:bookmarkEnd w:id="118"/>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0B991E5C" wp14:editId="0C2E581D">
            <wp:extent cx="5940425" cy="7359116"/>
            <wp:effectExtent l="0" t="0" r="3175" b="0"/>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40425" cy="7359116"/>
                    </a:xfrm>
                    <a:prstGeom prst="rect">
                      <a:avLst/>
                    </a:prstGeom>
                    <a:noFill/>
                    <a:ln>
                      <a:noFill/>
                    </a:ln>
                  </pic:spPr>
                </pic:pic>
              </a:graphicData>
            </a:graphic>
          </wp:inline>
        </w:drawing>
      </w:r>
    </w:p>
    <w:p w:rsid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在扣除IPSAS调整的影响之前，计划和预算、特别账户和储备金资助项目中的支出是根据修正的权责发生</w:t>
      </w:r>
      <w:proofErr w:type="gramStart"/>
      <w:r w:rsidRPr="007A5789">
        <w:rPr>
          <w:sz w:val="21"/>
        </w:rPr>
        <w:t>制报告</w:t>
      </w:r>
      <w:proofErr w:type="gramEnd"/>
      <w:r w:rsidRPr="007A5789">
        <w:rPr>
          <w:sz w:val="21"/>
        </w:rPr>
        <w:t>的，支出的确认以收到货物和服务得到提供为准。</w:t>
      </w:r>
    </w:p>
    <w:p w:rsidR="00AD1872" w:rsidRP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IPSAS调整主要涉及相对固定资产成本的折旧和摊销确认。确认调整还为了记入收购设备、</w:t>
      </w:r>
      <w:proofErr w:type="gramStart"/>
      <w:r w:rsidRPr="007A5789">
        <w:rPr>
          <w:sz w:val="21"/>
        </w:rPr>
        <w:t>投资大楼</w:t>
      </w:r>
      <w:proofErr w:type="gramEnd"/>
      <w:r w:rsidRPr="007A5789">
        <w:rPr>
          <w:sz w:val="21"/>
        </w:rPr>
        <w:t>和建筑物或收购及开发无形资产的支出。</w:t>
      </w:r>
      <w:r w:rsidRPr="007A5789">
        <w:rPr>
          <w:rFonts w:hint="eastAsia"/>
          <w:sz w:val="21"/>
        </w:rPr>
        <w:t>为</w:t>
      </w:r>
      <w:r w:rsidRPr="007A5789">
        <w:rPr>
          <w:sz w:val="21"/>
        </w:rPr>
        <w:t>使包括ASHI在内的雇员福利负债</w:t>
      </w:r>
      <w:r w:rsidRPr="007A5789">
        <w:rPr>
          <w:rFonts w:hint="eastAsia"/>
          <w:sz w:val="21"/>
        </w:rPr>
        <w:t>符合</w:t>
      </w:r>
      <w:r w:rsidRPr="007A5789">
        <w:rPr>
          <w:sz w:val="21"/>
        </w:rPr>
        <w:t>IPSAS计算</w:t>
      </w:r>
      <w:r w:rsidRPr="007A5789">
        <w:rPr>
          <w:rFonts w:hint="eastAsia"/>
          <w:sz w:val="21"/>
        </w:rPr>
        <w:t>结果</w:t>
      </w:r>
      <w:r w:rsidRPr="007A5789">
        <w:rPr>
          <w:sz w:val="21"/>
        </w:rPr>
        <w:t>，对人事支出</w:t>
      </w:r>
      <w:r w:rsidRPr="007A5789">
        <w:rPr>
          <w:rFonts w:hint="eastAsia"/>
          <w:sz w:val="21"/>
        </w:rPr>
        <w:t>进行了</w:t>
      </w:r>
      <w:r w:rsidRPr="007A5789">
        <w:rPr>
          <w:sz w:val="21"/>
        </w:rPr>
        <w:t>调整。</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19" w:name="_Toc441218513"/>
      <w:bookmarkStart w:id="120" w:name="_Toc455733244"/>
      <w:bookmarkStart w:id="121" w:name="_Toc456711755"/>
      <w:r w:rsidRPr="007C2134">
        <w:rPr>
          <w:rFonts w:ascii="SimHei" w:eastAsia="SimHei" w:hAnsi="SimHei"/>
          <w:b w:val="0"/>
          <w:sz w:val="21"/>
        </w:rPr>
        <w:lastRenderedPageBreak/>
        <w:t>附注25：金融工具</w:t>
      </w:r>
      <w:bookmarkEnd w:id="119"/>
      <w:bookmarkEnd w:id="120"/>
      <w:bookmarkEnd w:id="121"/>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本组织面临着在日常运营中产生的外币兑换、信用、利率和流动性风险。本附注提供了本组织在上述每个风险领域面临的风险情况，以及衡量和管理风险的政策和过程。</w:t>
      </w:r>
    </w:p>
    <w:p w:rsid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本组织根据其投资政策管理投资。2015年，该政策被WIPO成员国大会第五十五届系列会议修改并通过。修改后的政策包含两项具体投资政策，一项关于经营及核心现金，另一项关于战略现金。经营现金指的是本组织为满足日常付款要求以及确保流动资产可提供目标储备金等值金额而规定的现金。核心现金指的是经营和战略现金被扣除后剩余的现金。战略现金指的是划拨用于为包括ASHI在内的离职后雇员福利负债筹资的现金。</w:t>
      </w:r>
    </w:p>
    <w:p w:rsidR="007A5789" w:rsidRPr="001E1DEA" w:rsidRDefault="004B4679" w:rsidP="001E1DEA">
      <w:pPr>
        <w:pStyle w:val="Style3Bold"/>
        <w:keepNext/>
        <w:spacing w:beforeLines="100" w:before="240" w:afterLines="50" w:line="340" w:lineRule="atLeast"/>
        <w:rPr>
          <w:sz w:val="21"/>
        </w:rPr>
      </w:pPr>
      <w:r w:rsidRPr="007A5789">
        <w:rPr>
          <w:sz w:val="21"/>
        </w:rPr>
        <w:t>公允价值</w:t>
      </w:r>
    </w:p>
    <w:p w:rsid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以下所示为本组织金融工具账面数额和公允价值的分类比较：</w:t>
      </w:r>
    </w:p>
    <w:p w:rsidR="004B4679" w:rsidRPr="007A5789" w:rsidRDefault="002161B6" w:rsidP="002161B6">
      <w:pPr>
        <w:spacing w:afterLines="50" w:after="120" w:line="340" w:lineRule="atLeast"/>
        <w:jc w:val="center"/>
        <w:rPr>
          <w:sz w:val="21"/>
        </w:rPr>
      </w:pPr>
      <w:r w:rsidRPr="00EF7E79">
        <w:rPr>
          <w:noProof/>
          <w:sz w:val="21"/>
          <w:lang w:val="en-US" w:bidi="ar-SA"/>
        </w:rPr>
        <w:drawing>
          <wp:inline distT="0" distB="0" distL="0" distR="0" wp14:anchorId="68B48D84" wp14:editId="71A5EC19">
            <wp:extent cx="5934710" cy="4865370"/>
            <wp:effectExtent l="0" t="0" r="8890" b="0"/>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34710" cy="4865370"/>
                    </a:xfrm>
                    <a:prstGeom prst="rect">
                      <a:avLst/>
                    </a:prstGeom>
                    <a:noFill/>
                    <a:ln>
                      <a:noFill/>
                    </a:ln>
                  </pic:spPr>
                </pic:pic>
              </a:graphicData>
            </a:graphic>
          </wp:inline>
        </w:drawing>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金融资产和负债的公允价值是按照该项工具在自愿交易方目前的交易中可交换的数额计入的，而不是按照强制出售或清偿的情况计算。公允价值的概算利用了以下方法和假定：</w:t>
      </w:r>
    </w:p>
    <w:p w:rsidR="004B4679" w:rsidRPr="007A5789" w:rsidRDefault="004B4679" w:rsidP="002F334E">
      <w:pPr>
        <w:numPr>
          <w:ilvl w:val="0"/>
          <w:numId w:val="8"/>
        </w:numPr>
        <w:tabs>
          <w:tab w:val="clear" w:pos="720"/>
        </w:tabs>
        <w:adjustRightInd w:val="0"/>
        <w:spacing w:afterLines="50" w:after="120" w:line="340" w:lineRule="atLeast"/>
        <w:ind w:leftChars="350" w:left="1337" w:hanging="567"/>
        <w:rPr>
          <w:sz w:val="21"/>
          <w:szCs w:val="22"/>
        </w:rPr>
      </w:pPr>
      <w:r w:rsidRPr="007A5789">
        <w:rPr>
          <w:sz w:val="21"/>
        </w:rPr>
        <w:t>现金和短期存款、外汇交易应收款、应付账款和其他的流动负债大致相当于其账面数额，主要是因为这些工具短期内到期；</w:t>
      </w:r>
    </w:p>
    <w:p w:rsidR="007A5789" w:rsidRDefault="004B4679" w:rsidP="002F334E">
      <w:pPr>
        <w:numPr>
          <w:ilvl w:val="0"/>
          <w:numId w:val="8"/>
        </w:numPr>
        <w:tabs>
          <w:tab w:val="clear" w:pos="720"/>
        </w:tabs>
        <w:adjustRightInd w:val="0"/>
        <w:spacing w:afterLines="50" w:after="120" w:line="340" w:lineRule="atLeast"/>
        <w:ind w:leftChars="350" w:left="1337" w:hanging="567"/>
        <w:rPr>
          <w:sz w:val="21"/>
          <w:szCs w:val="22"/>
        </w:rPr>
      </w:pPr>
      <w:r w:rsidRPr="007A5789">
        <w:rPr>
          <w:sz w:val="21"/>
        </w:rPr>
        <w:t>长期贷款、应收账款和借款由本组织根据诸如利率和风险特征等参数进行评估。为非外汇交易应收账款设立</w:t>
      </w:r>
      <w:proofErr w:type="gramStart"/>
      <w:r w:rsidRPr="007A5789">
        <w:rPr>
          <w:sz w:val="21"/>
        </w:rPr>
        <w:t>的备抵金</w:t>
      </w:r>
      <w:proofErr w:type="gramEnd"/>
      <w:r w:rsidRPr="007A5789">
        <w:rPr>
          <w:sz w:val="21"/>
        </w:rPr>
        <w:t>用于支付根据《WIPO公约》第11条第5</w:t>
      </w:r>
      <w:r w:rsidR="00BA1F25" w:rsidRPr="007A5789">
        <w:rPr>
          <w:rFonts w:hint="eastAsia"/>
          <w:sz w:val="21"/>
        </w:rPr>
        <w:t>款</w:t>
      </w:r>
      <w:r w:rsidRPr="007A5789">
        <w:rPr>
          <w:sz w:val="21"/>
        </w:rPr>
        <w:t>已丧失投票权</w:t>
      </w:r>
      <w:r w:rsidRPr="007A5789">
        <w:rPr>
          <w:sz w:val="21"/>
        </w:rPr>
        <w:lastRenderedPageBreak/>
        <w:t>的成员国欠交数额和大会决定冻结的最不发达国家的会费。为FCIG提供的优惠贷款按照以1.48%的贴现率贴现的现金</w:t>
      </w:r>
      <w:proofErr w:type="gramStart"/>
      <w:r w:rsidRPr="007A5789">
        <w:rPr>
          <w:sz w:val="21"/>
        </w:rPr>
        <w:t>流价值</w:t>
      </w:r>
      <w:proofErr w:type="gramEnd"/>
      <w:r w:rsidRPr="007A5789">
        <w:rPr>
          <w:sz w:val="21"/>
        </w:rPr>
        <w:t>计入摊销的成本。应退美国税款按照以2.09%的贴现率贴现的现金</w:t>
      </w:r>
      <w:proofErr w:type="gramStart"/>
      <w:r w:rsidRPr="007A5789">
        <w:rPr>
          <w:sz w:val="21"/>
        </w:rPr>
        <w:t>流价值</w:t>
      </w:r>
      <w:proofErr w:type="gramEnd"/>
      <w:r w:rsidRPr="007A5789">
        <w:rPr>
          <w:sz w:val="21"/>
        </w:rPr>
        <w:t>计入摊销的成本。</w:t>
      </w:r>
    </w:p>
    <w:p w:rsidR="007A5789" w:rsidRPr="001E1DEA" w:rsidRDefault="004B4679" w:rsidP="001E1DEA">
      <w:pPr>
        <w:pStyle w:val="Style3Bold"/>
        <w:keepNext/>
        <w:spacing w:beforeLines="100" w:before="240" w:afterLines="50" w:line="340" w:lineRule="atLeast"/>
        <w:rPr>
          <w:sz w:val="21"/>
        </w:rPr>
      </w:pPr>
      <w:r w:rsidRPr="007A5789">
        <w:rPr>
          <w:sz w:val="21"/>
        </w:rPr>
        <w:t>信贷风险</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信贷风险系指本组织在金融工具交易对手未能履行其合同义务的情况下面临的财务损失风险。这主要涉及本组织的贷款、应收账款、现金和现金等价物。金融资产的账面数额代表最高信贷风险。截至2015年12月31日，最高信贷风险敞口如下：</w:t>
      </w:r>
    </w:p>
    <w:p w:rsidR="004B4679" w:rsidRPr="007A5789" w:rsidRDefault="002161B6" w:rsidP="002161B6">
      <w:pPr>
        <w:spacing w:afterLines="50" w:after="120" w:line="340" w:lineRule="atLeast"/>
        <w:jc w:val="center"/>
        <w:rPr>
          <w:sz w:val="21"/>
        </w:rPr>
      </w:pPr>
      <w:r w:rsidRPr="003A2E23">
        <w:rPr>
          <w:noProof/>
          <w:sz w:val="21"/>
          <w:lang w:val="en-US" w:bidi="ar-SA"/>
        </w:rPr>
        <w:drawing>
          <wp:inline distT="0" distB="0" distL="0" distR="0" wp14:anchorId="0ED93148" wp14:editId="3D4453C6">
            <wp:extent cx="5936400" cy="1198800"/>
            <wp:effectExtent l="0" t="0" r="0" b="1905"/>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936400" cy="1198800"/>
                    </a:xfrm>
                    <a:prstGeom prst="rect">
                      <a:avLst/>
                    </a:prstGeom>
                    <a:noFill/>
                    <a:ln>
                      <a:noFill/>
                    </a:ln>
                  </pic:spPr>
                </pic:pic>
              </a:graphicData>
            </a:graphic>
          </wp:inline>
        </w:drawing>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本组织的非外汇交易应收账款几乎全部来自代表主权政府的成员国，因此与信用相关的风险较小。对于预计在短期内得不到支付的应收账款，已根据应收账款的资产价值设立了</w:t>
      </w:r>
      <w:proofErr w:type="gramStart"/>
      <w:r w:rsidRPr="007A5789">
        <w:rPr>
          <w:sz w:val="21"/>
        </w:rPr>
        <w:t>一项备抵金</w:t>
      </w:r>
      <w:proofErr w:type="gramEnd"/>
      <w:r w:rsidRPr="007A5789">
        <w:rPr>
          <w:sz w:val="21"/>
        </w:rPr>
        <w:t>。</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根据本组织的投资政策，现金及现金等价物只能存放在短期信用评级至少为A-2/P-2或长期信用评级至少为A-/A3的机构。据此，截至2015年12月31日的现金和现金等价物的信用评级如下：</w:t>
      </w:r>
    </w:p>
    <w:p w:rsidR="007A5789" w:rsidRDefault="002161B6" w:rsidP="002161B6">
      <w:pPr>
        <w:spacing w:afterLines="50" w:after="120" w:line="340" w:lineRule="atLeast"/>
        <w:jc w:val="center"/>
        <w:rPr>
          <w:sz w:val="21"/>
        </w:rPr>
      </w:pPr>
      <w:r w:rsidRPr="00EF7E79">
        <w:rPr>
          <w:noProof/>
          <w:sz w:val="21"/>
          <w:lang w:val="en-US" w:bidi="ar-SA"/>
        </w:rPr>
        <w:drawing>
          <wp:inline distT="0" distB="0" distL="0" distR="0" wp14:anchorId="3993C214" wp14:editId="74895846">
            <wp:extent cx="5940425" cy="1355612"/>
            <wp:effectExtent l="0" t="0" r="3175" b="0"/>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40425" cy="1355612"/>
                    </a:xfrm>
                    <a:prstGeom prst="rect">
                      <a:avLst/>
                    </a:prstGeom>
                    <a:noFill/>
                    <a:ln>
                      <a:noFill/>
                    </a:ln>
                  </pic:spPr>
                </pic:pic>
              </a:graphicData>
            </a:graphic>
          </wp:inline>
        </w:drawing>
      </w:r>
    </w:p>
    <w:p w:rsid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根据投资政策，货币市场投资、债券、票据或其他债务以及其他固定收益产品只能存放在短期信用评级至少为A-2/P-2或长期信用评级至少为A-/A3的机构。唯一的例外是企业发行</w:t>
      </w:r>
      <w:r w:rsidR="00B6014B">
        <w:rPr>
          <w:sz w:val="21"/>
        </w:rPr>
        <w:t>（</w:t>
      </w:r>
      <w:r w:rsidRPr="007A5789">
        <w:rPr>
          <w:sz w:val="21"/>
        </w:rPr>
        <w:t>公司债券及商业票据</w:t>
      </w:r>
      <w:r w:rsidR="00B6014B">
        <w:rPr>
          <w:sz w:val="21"/>
        </w:rPr>
        <w:t>）</w:t>
      </w:r>
      <w:r w:rsidRPr="007A5789">
        <w:rPr>
          <w:sz w:val="21"/>
        </w:rPr>
        <w:t>，</w:t>
      </w:r>
      <w:r w:rsidRPr="007A5789">
        <w:rPr>
          <w:rFonts w:hint="eastAsia"/>
          <w:sz w:val="21"/>
        </w:rPr>
        <w:t>其</w:t>
      </w:r>
      <w:r w:rsidRPr="007A5789">
        <w:rPr>
          <w:sz w:val="21"/>
        </w:rPr>
        <w:t>短期评级</w:t>
      </w:r>
      <w:r w:rsidRPr="007A5789">
        <w:rPr>
          <w:rFonts w:hint="eastAsia"/>
          <w:sz w:val="21"/>
        </w:rPr>
        <w:t>可以是</w:t>
      </w:r>
      <w:r w:rsidRPr="007A5789">
        <w:rPr>
          <w:sz w:val="21"/>
        </w:rPr>
        <w:t>A-3/P-3或长期评级为BBB-/Baa3。</w:t>
      </w:r>
    </w:p>
    <w:p w:rsidR="007A5789" w:rsidRPr="001E1DEA" w:rsidRDefault="004B4679" w:rsidP="001E1DEA">
      <w:pPr>
        <w:pStyle w:val="Style3Bold"/>
        <w:keepNext/>
        <w:spacing w:beforeLines="100" w:before="240" w:afterLines="50" w:line="340" w:lineRule="atLeast"/>
        <w:rPr>
          <w:sz w:val="21"/>
        </w:rPr>
      </w:pPr>
      <w:r w:rsidRPr="007A5789">
        <w:rPr>
          <w:sz w:val="21"/>
        </w:rPr>
        <w:t>流动性风险</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流动性风险指本组织无法在债务到期时偿还债务的风险。</w:t>
      </w:r>
    </w:p>
    <w:p w:rsid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本组织的流动性风险敞口较小，因为从经营业绩中补充的非受限现金资源丰富。本组织的投资政策要求，经营及核心现金的投资方式要确保满足本组织现金</w:t>
      </w:r>
      <w:proofErr w:type="gramStart"/>
      <w:r w:rsidRPr="007A5789">
        <w:rPr>
          <w:sz w:val="21"/>
        </w:rPr>
        <w:t>流要求</w:t>
      </w:r>
      <w:proofErr w:type="gramEnd"/>
      <w:r w:rsidRPr="007A5789">
        <w:rPr>
          <w:sz w:val="21"/>
        </w:rPr>
        <w:t>所需的流动性。短期内</w:t>
      </w:r>
      <w:r w:rsidR="00B6014B">
        <w:rPr>
          <w:sz w:val="21"/>
        </w:rPr>
        <w:t>（</w:t>
      </w:r>
      <w:r w:rsidRPr="007A5789">
        <w:rPr>
          <w:sz w:val="21"/>
        </w:rPr>
        <w:t>距离到期不超过12个月</w:t>
      </w:r>
      <w:r w:rsidR="00B6014B">
        <w:rPr>
          <w:sz w:val="21"/>
        </w:rPr>
        <w:t>）</w:t>
      </w:r>
      <w:r w:rsidRPr="007A5789">
        <w:rPr>
          <w:sz w:val="21"/>
        </w:rPr>
        <w:t>，经营现金余额投资于可低成本或无成本方便清算的低风险资产类别。中期内</w:t>
      </w:r>
      <w:r w:rsidR="00B6014B">
        <w:rPr>
          <w:sz w:val="21"/>
        </w:rPr>
        <w:t>（</w:t>
      </w:r>
      <w:r w:rsidRPr="007A5789">
        <w:rPr>
          <w:sz w:val="21"/>
        </w:rPr>
        <w:t>超过12个月</w:t>
      </w:r>
      <w:r w:rsidR="00B6014B">
        <w:rPr>
          <w:sz w:val="21"/>
        </w:rPr>
        <w:t>）</w:t>
      </w:r>
      <w:r w:rsidRPr="007A5789">
        <w:rPr>
          <w:sz w:val="21"/>
        </w:rPr>
        <w:t>，核心现金将以可偶尔动用部分现金的方式投资，从而便于计划中的大额付款。战略现金进行长期投资，目前没有短期或中期流动性要求。</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下表为WIPO借款到期分析。截至2015年12月31日的BCG/BCV新楼贷款到期分析包括每年还款390</w:t>
      </w:r>
      <w:proofErr w:type="gramStart"/>
      <w:r w:rsidRPr="007A5789">
        <w:rPr>
          <w:sz w:val="21"/>
        </w:rPr>
        <w:t>万瑞</w:t>
      </w:r>
      <w:proofErr w:type="gramEnd"/>
      <w:r w:rsidRPr="007A5789">
        <w:rPr>
          <w:sz w:val="21"/>
        </w:rPr>
        <w:t>郎</w:t>
      </w:r>
      <w:r w:rsidR="00B6014B">
        <w:rPr>
          <w:sz w:val="21"/>
        </w:rPr>
        <w:t>（</w:t>
      </w:r>
      <w:r w:rsidRPr="007A5789">
        <w:rPr>
          <w:sz w:val="21"/>
        </w:rPr>
        <w:t>占贷款总价值的3.0%</w:t>
      </w:r>
      <w:r w:rsidR="00B6014B">
        <w:rPr>
          <w:sz w:val="21"/>
        </w:rPr>
        <w:t>）</w:t>
      </w:r>
      <w:r w:rsidRPr="007A5789">
        <w:rPr>
          <w:sz w:val="21"/>
        </w:rPr>
        <w:t>以及2016年1月按期一次性还款1,600</w:t>
      </w:r>
      <w:proofErr w:type="gramStart"/>
      <w:r w:rsidRPr="007A5789">
        <w:rPr>
          <w:sz w:val="21"/>
        </w:rPr>
        <w:t>万瑞</w:t>
      </w:r>
      <w:proofErr w:type="gramEnd"/>
      <w:r w:rsidRPr="007A5789">
        <w:rPr>
          <w:sz w:val="21"/>
        </w:rPr>
        <w:t>郎</w:t>
      </w:r>
      <w:r w:rsidR="002161B6">
        <w:rPr>
          <w:rFonts w:hint="eastAsia"/>
          <w:sz w:val="21"/>
        </w:rPr>
        <w:t>：</w:t>
      </w:r>
    </w:p>
    <w:p w:rsidR="004B4679" w:rsidRDefault="002161B6" w:rsidP="002161B6">
      <w:pPr>
        <w:spacing w:afterLines="50" w:after="120" w:line="340" w:lineRule="atLeast"/>
        <w:jc w:val="center"/>
        <w:rPr>
          <w:sz w:val="21"/>
        </w:rPr>
      </w:pPr>
      <w:r w:rsidRPr="00EF7E79">
        <w:rPr>
          <w:noProof/>
          <w:sz w:val="21"/>
          <w:lang w:val="en-US" w:bidi="ar-SA"/>
        </w:rPr>
        <w:lastRenderedPageBreak/>
        <w:drawing>
          <wp:inline distT="0" distB="0" distL="0" distR="0" wp14:anchorId="7921469A" wp14:editId="0C9E70FE">
            <wp:extent cx="5940425" cy="977450"/>
            <wp:effectExtent l="0" t="0" r="3175" b="0"/>
            <wp:docPr id="36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40425" cy="977450"/>
                    </a:xfrm>
                    <a:prstGeom prst="rect">
                      <a:avLst/>
                    </a:prstGeom>
                    <a:noFill/>
                    <a:ln>
                      <a:noFill/>
                    </a:ln>
                  </pic:spPr>
                </pic:pic>
              </a:graphicData>
            </a:graphic>
          </wp:inline>
        </w:drawing>
      </w:r>
    </w:p>
    <w:p w:rsidR="002161B6" w:rsidRPr="007A5789" w:rsidRDefault="002161B6" w:rsidP="002161B6">
      <w:pPr>
        <w:spacing w:afterLines="50" w:after="120" w:line="340" w:lineRule="atLeast"/>
        <w:jc w:val="center"/>
        <w:rPr>
          <w:sz w:val="21"/>
        </w:rPr>
      </w:pPr>
      <w:r w:rsidRPr="00EF7E79">
        <w:rPr>
          <w:noProof/>
          <w:sz w:val="21"/>
          <w:lang w:val="en-US" w:bidi="ar-SA"/>
        </w:rPr>
        <w:drawing>
          <wp:inline distT="0" distB="0" distL="0" distR="0" wp14:anchorId="77BC11BF" wp14:editId="0501B7EA">
            <wp:extent cx="5940425" cy="977450"/>
            <wp:effectExtent l="0" t="0" r="3175" b="0"/>
            <wp:docPr id="362"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40425" cy="977450"/>
                    </a:xfrm>
                    <a:prstGeom prst="rect">
                      <a:avLst/>
                    </a:prstGeom>
                    <a:noFill/>
                    <a:ln>
                      <a:noFill/>
                    </a:ln>
                  </pic:spPr>
                </pic:pic>
              </a:graphicData>
            </a:graphic>
          </wp:inline>
        </w:drawing>
      </w:r>
    </w:p>
    <w:p w:rsidR="007A5789" w:rsidRPr="001E1DEA" w:rsidRDefault="004B4679" w:rsidP="001E1DEA">
      <w:pPr>
        <w:pStyle w:val="Style3Bold"/>
        <w:keepNext/>
        <w:spacing w:beforeLines="100" w:before="240" w:afterLines="50" w:line="340" w:lineRule="atLeast"/>
        <w:rPr>
          <w:sz w:val="21"/>
        </w:rPr>
      </w:pPr>
      <w:r w:rsidRPr="007A5789">
        <w:rPr>
          <w:sz w:val="21"/>
        </w:rPr>
        <w:t>货币风险</w:t>
      </w:r>
    </w:p>
    <w:p w:rsid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本组织获取</w:t>
      </w:r>
      <w:proofErr w:type="gramStart"/>
      <w:r w:rsidRPr="007A5789">
        <w:rPr>
          <w:sz w:val="21"/>
        </w:rPr>
        <w:t>规</w:t>
      </w:r>
      <w:proofErr w:type="gramEnd"/>
      <w:r w:rsidRPr="007A5789">
        <w:rPr>
          <w:sz w:val="21"/>
        </w:rPr>
        <w:t>费和各币种的自愿捐款收入，并在不是其功能货币</w:t>
      </w:r>
      <w:r w:rsidR="003A2E23">
        <w:rPr>
          <w:rFonts w:hint="eastAsia"/>
          <w:sz w:val="21"/>
        </w:rPr>
        <w:t>——</w:t>
      </w:r>
      <w:r w:rsidRPr="007A5789">
        <w:rPr>
          <w:sz w:val="21"/>
        </w:rPr>
        <w:t>即瑞士法郎</w:t>
      </w:r>
      <w:r w:rsidR="003A2E23">
        <w:rPr>
          <w:rFonts w:hint="eastAsia"/>
          <w:sz w:val="21"/>
        </w:rPr>
        <w:t>——</w:t>
      </w:r>
      <w:r w:rsidRPr="007A5789">
        <w:rPr>
          <w:sz w:val="21"/>
        </w:rPr>
        <w:t>的其他货币方面产生费用。因此，面临着因外汇兑换率浮动而产生的外汇兑换风险。本组织还面临着根据《专利合作条约实施细则》向国际检索机构应付金额与国家专利局从国际专利申请</w:t>
      </w:r>
      <w:r w:rsidR="003A2E23">
        <w:rPr>
          <w:rFonts w:hint="eastAsia"/>
          <w:sz w:val="21"/>
        </w:rPr>
        <w:t>人</w:t>
      </w:r>
      <w:r w:rsidRPr="007A5789">
        <w:rPr>
          <w:sz w:val="21"/>
        </w:rPr>
        <w:t>那里收取的国际检索</w:t>
      </w:r>
      <w:proofErr w:type="gramStart"/>
      <w:r w:rsidRPr="007A5789">
        <w:rPr>
          <w:sz w:val="21"/>
        </w:rPr>
        <w:t>规</w:t>
      </w:r>
      <w:proofErr w:type="gramEnd"/>
      <w:r w:rsidRPr="007A5789">
        <w:rPr>
          <w:sz w:val="21"/>
        </w:rPr>
        <w:t>费数额之间所出现的货币差异所带来的汇率风险。</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本组织还进一步面临着与之前加入已关闭的养恤基金而现已为联合国合办工作人员养恤基金</w:t>
      </w:r>
      <w:r w:rsidR="00B6014B">
        <w:rPr>
          <w:sz w:val="21"/>
        </w:rPr>
        <w:t>（</w:t>
      </w:r>
      <w:r w:rsidRPr="007A5789">
        <w:rPr>
          <w:sz w:val="21"/>
        </w:rPr>
        <w:t>UNJSPF</w:t>
      </w:r>
      <w:r w:rsidR="00B6014B">
        <w:rPr>
          <w:sz w:val="21"/>
        </w:rPr>
        <w:t>）</w:t>
      </w:r>
      <w:r w:rsidRPr="007A5789">
        <w:rPr>
          <w:sz w:val="21"/>
        </w:rPr>
        <w:t>成员的工作人员的养恤金费用有关的汇率风险。此外，本组织在巴西、中国、日本、俄罗斯、新加坡和美利坚合众国设有驻外办事处，保有有限的当地货币资产。截至报告日，没有要履行的对冲合约。</w:t>
      </w:r>
    </w:p>
    <w:p w:rsidR="007A5789" w:rsidRPr="001E1DEA" w:rsidRDefault="004B4679" w:rsidP="001E1DEA">
      <w:pPr>
        <w:pStyle w:val="Style3Bold"/>
        <w:keepNext/>
        <w:spacing w:beforeLines="100" w:before="240" w:afterLines="50" w:line="340" w:lineRule="atLeast"/>
        <w:rPr>
          <w:sz w:val="21"/>
        </w:rPr>
      </w:pPr>
      <w:r w:rsidRPr="007A5789">
        <w:rPr>
          <w:sz w:val="21"/>
        </w:rPr>
        <w:t>汇率敏感度分析</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汇率敏感度分析是基于汇率的合理变动。瑞士国家银行于2015年1月15日宣布终止维持1.20瑞郎兑欧元的最低汇率政策后的几个月间，其他货币</w:t>
      </w:r>
      <w:r w:rsidRPr="007A5789">
        <w:rPr>
          <w:rFonts w:hint="eastAsia"/>
          <w:sz w:val="21"/>
        </w:rPr>
        <w:t>对</w:t>
      </w:r>
      <w:r w:rsidRPr="007A5789">
        <w:rPr>
          <w:sz w:val="21"/>
        </w:rPr>
        <w:t>瑞郎贬值，基于此，本组织采用了10.0%的汇率。该分析适用于</w:t>
      </w:r>
      <w:proofErr w:type="gramStart"/>
      <w:r w:rsidRPr="007A5789">
        <w:rPr>
          <w:sz w:val="21"/>
        </w:rPr>
        <w:t>以除瑞郎</w:t>
      </w:r>
      <w:proofErr w:type="gramEnd"/>
      <w:r w:rsidRPr="007A5789">
        <w:rPr>
          <w:sz w:val="21"/>
        </w:rPr>
        <w:t>之外的货币持有的金融资产和金融负债，对盈余的影响汇总见下表：</w:t>
      </w:r>
    </w:p>
    <w:p w:rsidR="004B4679" w:rsidRPr="007A5789" w:rsidRDefault="002161B6" w:rsidP="002161B6">
      <w:pPr>
        <w:spacing w:afterLines="50" w:after="120" w:line="340" w:lineRule="atLeast"/>
        <w:jc w:val="center"/>
        <w:rPr>
          <w:sz w:val="21"/>
        </w:rPr>
      </w:pPr>
      <w:r w:rsidRPr="00EF7E79">
        <w:rPr>
          <w:noProof/>
          <w:sz w:val="21"/>
          <w:lang w:val="en-US" w:bidi="ar-SA"/>
        </w:rPr>
        <w:drawing>
          <wp:inline distT="0" distB="0" distL="0" distR="0" wp14:anchorId="4C0B607B" wp14:editId="6B812479">
            <wp:extent cx="5940425" cy="3231705"/>
            <wp:effectExtent l="0" t="0" r="3175" b="6985"/>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940425" cy="3231705"/>
                    </a:xfrm>
                    <a:prstGeom prst="rect">
                      <a:avLst/>
                    </a:prstGeom>
                    <a:noFill/>
                    <a:ln>
                      <a:noFill/>
                    </a:ln>
                  </pic:spPr>
                </pic:pic>
              </a:graphicData>
            </a:graphic>
          </wp:inline>
        </w:drawing>
      </w:r>
    </w:p>
    <w:p w:rsidR="007A5789" w:rsidRPr="001E1DEA" w:rsidRDefault="004B4679" w:rsidP="001E1DEA">
      <w:pPr>
        <w:pStyle w:val="Style3Bold"/>
        <w:keepNext/>
        <w:spacing w:beforeLines="100" w:before="240" w:afterLines="50" w:line="340" w:lineRule="atLeast"/>
        <w:rPr>
          <w:sz w:val="21"/>
        </w:rPr>
      </w:pPr>
      <w:r w:rsidRPr="001E1DEA">
        <w:rPr>
          <w:sz w:val="21"/>
        </w:rPr>
        <w:lastRenderedPageBreak/>
        <w:t>市场风险</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市场风险是市场价格变化的风险，如利率，对本组织的收入或持有的金融工具的价值产生影响。本组织在有限的程度上面临利率下降的风险，因为仅仅0.21%的运营预算是由投资收入产生的收益供资。适用于BCG/BCV新楼贷款的利率在贷款提取期间保持固定不变。本组织目前不使用金融工具对</w:t>
      </w:r>
      <w:proofErr w:type="gramStart"/>
      <w:r w:rsidRPr="007A5789">
        <w:rPr>
          <w:sz w:val="21"/>
        </w:rPr>
        <w:t>冲利率</w:t>
      </w:r>
      <w:proofErr w:type="gramEnd"/>
      <w:r w:rsidRPr="007A5789">
        <w:rPr>
          <w:sz w:val="21"/>
        </w:rPr>
        <w:t>风险。截至2015年12月31日和2014年12月31日</w:t>
      </w:r>
      <w:r w:rsidR="00554072" w:rsidRPr="007A5789">
        <w:rPr>
          <w:rFonts w:hint="eastAsia"/>
          <w:sz w:val="21"/>
        </w:rPr>
        <w:t>，</w:t>
      </w:r>
      <w:r w:rsidRPr="007A5789">
        <w:rPr>
          <w:sz w:val="21"/>
        </w:rPr>
        <w:t>金融工具的利率和到期情况如下：</w:t>
      </w:r>
    </w:p>
    <w:p w:rsidR="004B4679" w:rsidRPr="007A5789" w:rsidRDefault="002161B6" w:rsidP="002161B6">
      <w:pPr>
        <w:pStyle w:val="Style3"/>
        <w:spacing w:afterLines="50" w:line="340" w:lineRule="atLeast"/>
        <w:jc w:val="center"/>
        <w:rPr>
          <w:sz w:val="21"/>
          <w:szCs w:val="22"/>
        </w:rPr>
      </w:pPr>
      <w:r w:rsidRPr="00EF7E79">
        <w:rPr>
          <w:noProof/>
          <w:sz w:val="21"/>
          <w:lang w:val="en-US" w:bidi="ar-SA"/>
        </w:rPr>
        <w:drawing>
          <wp:inline distT="0" distB="0" distL="0" distR="0" wp14:anchorId="3047F5FE" wp14:editId="53B4CB44">
            <wp:extent cx="5940425" cy="2226408"/>
            <wp:effectExtent l="0" t="0" r="3175" b="2540"/>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940425" cy="2226408"/>
                    </a:xfrm>
                    <a:prstGeom prst="rect">
                      <a:avLst/>
                    </a:prstGeom>
                    <a:noFill/>
                    <a:ln>
                      <a:noFill/>
                    </a:ln>
                  </pic:spPr>
                </pic:pic>
              </a:graphicData>
            </a:graphic>
          </wp:inline>
        </w:drawing>
      </w:r>
    </w:p>
    <w:p w:rsidR="004B4679" w:rsidRPr="007A5789" w:rsidRDefault="002161B6" w:rsidP="002161B6">
      <w:pPr>
        <w:pStyle w:val="Style3"/>
        <w:spacing w:afterLines="50" w:line="340" w:lineRule="atLeast"/>
        <w:jc w:val="center"/>
        <w:rPr>
          <w:sz w:val="21"/>
          <w:szCs w:val="22"/>
        </w:rPr>
      </w:pPr>
      <w:r w:rsidRPr="00EF7E79">
        <w:rPr>
          <w:noProof/>
          <w:sz w:val="21"/>
          <w:lang w:val="en-US" w:bidi="ar-SA"/>
        </w:rPr>
        <w:drawing>
          <wp:inline distT="0" distB="0" distL="0" distR="0" wp14:anchorId="0932C41D" wp14:editId="7B9A54FD">
            <wp:extent cx="5940425" cy="1588951"/>
            <wp:effectExtent l="0" t="0" r="3175" b="0"/>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940425" cy="1588951"/>
                    </a:xfrm>
                    <a:prstGeom prst="rect">
                      <a:avLst/>
                    </a:prstGeom>
                    <a:noFill/>
                    <a:ln>
                      <a:noFill/>
                    </a:ln>
                  </pic:spPr>
                </pic:pic>
              </a:graphicData>
            </a:graphic>
          </wp:inline>
        </w:drawing>
      </w:r>
    </w:p>
    <w:p w:rsidR="007A5789" w:rsidRPr="001E1DEA" w:rsidRDefault="004B4679" w:rsidP="001E1DEA">
      <w:pPr>
        <w:pStyle w:val="Style3Bold"/>
        <w:keepNext/>
        <w:spacing w:beforeLines="100" w:before="240" w:afterLines="50" w:line="340" w:lineRule="atLeast"/>
        <w:rPr>
          <w:sz w:val="21"/>
        </w:rPr>
      </w:pPr>
      <w:r w:rsidRPr="007A5789">
        <w:rPr>
          <w:sz w:val="21"/>
        </w:rPr>
        <w:t>利率敏感度分析</w:t>
      </w:r>
    </w:p>
    <w:p w:rsidR="007A5789" w:rsidRDefault="004B4679" w:rsidP="00134184">
      <w:pPr>
        <w:pStyle w:val="Style3"/>
        <w:keepNext/>
        <w:numPr>
          <w:ilvl w:val="0"/>
          <w:numId w:val="27"/>
        </w:numPr>
        <w:tabs>
          <w:tab w:val="left" w:pos="770"/>
        </w:tabs>
        <w:overflowPunct w:val="0"/>
        <w:spacing w:afterLines="50" w:line="340" w:lineRule="atLeast"/>
        <w:ind w:left="0" w:firstLine="0"/>
        <w:rPr>
          <w:sz w:val="21"/>
          <w:szCs w:val="22"/>
        </w:rPr>
      </w:pPr>
      <w:r w:rsidRPr="007A5789">
        <w:rPr>
          <w:sz w:val="21"/>
        </w:rPr>
        <w:t>如果本年度平均利率比现实水平高或低50个基点</w:t>
      </w:r>
      <w:r w:rsidR="00CB02C3" w:rsidRPr="007A5789">
        <w:rPr>
          <w:rFonts w:hint="eastAsia"/>
          <w:sz w:val="21"/>
        </w:rPr>
        <w:t>，</w:t>
      </w:r>
      <w:r w:rsidRPr="007A5789">
        <w:rPr>
          <w:sz w:val="21"/>
        </w:rPr>
        <w:t>则利息收入或利息支出将受到如下影响</w:t>
      </w:r>
      <w:r w:rsidR="00CB02C3" w:rsidRPr="007A5789">
        <w:rPr>
          <w:rFonts w:hint="eastAsia"/>
          <w:sz w:val="21"/>
        </w:rPr>
        <w:t>：</w:t>
      </w:r>
    </w:p>
    <w:p w:rsidR="004B4679" w:rsidRPr="007A5789" w:rsidRDefault="002161B6" w:rsidP="002161B6">
      <w:pPr>
        <w:spacing w:afterLines="50" w:after="120" w:line="340" w:lineRule="atLeast"/>
        <w:jc w:val="center"/>
        <w:rPr>
          <w:sz w:val="21"/>
        </w:rPr>
      </w:pPr>
      <w:r w:rsidRPr="00EF7E79">
        <w:rPr>
          <w:noProof/>
          <w:sz w:val="21"/>
          <w:lang w:val="en-US" w:bidi="ar-SA"/>
        </w:rPr>
        <w:drawing>
          <wp:inline distT="0" distB="0" distL="0" distR="0" wp14:anchorId="3173D79E" wp14:editId="44238C6F">
            <wp:extent cx="5883275" cy="2907030"/>
            <wp:effectExtent l="0" t="0" r="3175" b="7620"/>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883275" cy="2907030"/>
                    </a:xfrm>
                    <a:prstGeom prst="rect">
                      <a:avLst/>
                    </a:prstGeom>
                    <a:noFill/>
                    <a:ln>
                      <a:noFill/>
                    </a:ln>
                  </pic:spPr>
                </pic:pic>
              </a:graphicData>
            </a:graphic>
          </wp:inline>
        </w:drawing>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22" w:name="_Toc441218514"/>
      <w:bookmarkStart w:id="123" w:name="_Toc455733245"/>
      <w:bookmarkStart w:id="124" w:name="_Toc456711756"/>
      <w:r w:rsidRPr="007C2134">
        <w:rPr>
          <w:rFonts w:ascii="SimHei" w:eastAsia="SimHei" w:hAnsi="SimHei"/>
          <w:b w:val="0"/>
          <w:sz w:val="21"/>
        </w:rPr>
        <w:lastRenderedPageBreak/>
        <w:t>附注26：汇兑损益</w:t>
      </w:r>
      <w:bookmarkEnd w:id="122"/>
      <w:bookmarkEnd w:id="123"/>
      <w:bookmarkEnd w:id="124"/>
    </w:p>
    <w:p w:rsidR="004B4679" w:rsidRPr="007A5789" w:rsidRDefault="002161B6" w:rsidP="002161B6">
      <w:pPr>
        <w:spacing w:afterLines="50" w:after="120" w:line="340" w:lineRule="atLeast"/>
        <w:jc w:val="center"/>
        <w:rPr>
          <w:sz w:val="21"/>
        </w:rPr>
      </w:pPr>
      <w:r w:rsidRPr="00EF7E79">
        <w:rPr>
          <w:noProof/>
          <w:sz w:val="21"/>
          <w:lang w:val="en-US" w:bidi="ar-SA"/>
        </w:rPr>
        <w:drawing>
          <wp:inline distT="0" distB="0" distL="0" distR="0" wp14:anchorId="070E9997" wp14:editId="5626E3C9">
            <wp:extent cx="5940425" cy="4488859"/>
            <wp:effectExtent l="0" t="0" r="3175" b="6985"/>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40425" cy="4488859"/>
                    </a:xfrm>
                    <a:prstGeom prst="rect">
                      <a:avLst/>
                    </a:prstGeom>
                    <a:noFill/>
                    <a:ln>
                      <a:noFill/>
                    </a:ln>
                  </pic:spPr>
                </pic:pic>
              </a:graphicData>
            </a:graphic>
          </wp:inline>
        </w:drawing>
      </w:r>
    </w:p>
    <w:p w:rsidR="007A5789" w:rsidRDefault="004B4679" w:rsidP="00D91203">
      <w:pPr>
        <w:pStyle w:val="Styletexte"/>
        <w:tabs>
          <w:tab w:val="left" w:pos="770"/>
        </w:tabs>
        <w:overflowPunct w:val="0"/>
        <w:spacing w:afterLines="50" w:line="340" w:lineRule="atLeast"/>
        <w:rPr>
          <w:sz w:val="21"/>
        </w:rPr>
      </w:pPr>
      <w:r w:rsidRPr="007A5789">
        <w:rPr>
          <w:sz w:val="21"/>
        </w:rPr>
        <w:t>26.1.</w:t>
      </w:r>
      <w:r w:rsidR="00624A89" w:rsidRPr="007A5789">
        <w:rPr>
          <w:sz w:val="21"/>
        </w:rPr>
        <w:tab/>
      </w:r>
      <w:r w:rsidRPr="007A5789">
        <w:rPr>
          <w:sz w:val="21"/>
        </w:rPr>
        <w:t>根据交易日有效的汇率，本组织在应付账款和应收账款上实现以瑞郎以外的货币进行交易时产生的汇兑损益。在本组织以瑞郎以外的货币收到根据《专利合作条约》提交的国际申请费和处理费时，以及在根据《专利合作条约》对国际检索单位</w:t>
      </w:r>
      <w:r w:rsidR="00B6014B">
        <w:rPr>
          <w:sz w:val="21"/>
        </w:rPr>
        <w:t>（</w:t>
      </w:r>
      <w:r w:rsidRPr="007A5789">
        <w:rPr>
          <w:sz w:val="21"/>
        </w:rPr>
        <w:t>ISA</w:t>
      </w:r>
      <w:r w:rsidR="00B6014B">
        <w:rPr>
          <w:sz w:val="21"/>
        </w:rPr>
        <w:t>）</w:t>
      </w:r>
      <w:r w:rsidRPr="007A5789">
        <w:rPr>
          <w:sz w:val="21"/>
        </w:rPr>
        <w:t>做出支付</w:t>
      </w:r>
      <w:r w:rsidR="00B6014B">
        <w:rPr>
          <w:sz w:val="21"/>
        </w:rPr>
        <w:t>（</w:t>
      </w:r>
      <w:r w:rsidRPr="007A5789">
        <w:rPr>
          <w:sz w:val="21"/>
        </w:rPr>
        <w:t>此种支付以国际检索单位的货币估价，但是由WIPO以瑞郎或国家</w:t>
      </w:r>
      <w:proofErr w:type="gramStart"/>
      <w:r w:rsidRPr="007A5789">
        <w:rPr>
          <w:sz w:val="21"/>
        </w:rPr>
        <w:t>接收局</w:t>
      </w:r>
      <w:proofErr w:type="gramEnd"/>
      <w:r w:rsidRPr="007A5789">
        <w:rPr>
          <w:sz w:val="21"/>
        </w:rPr>
        <w:t>以当地货币收取</w:t>
      </w:r>
      <w:r w:rsidR="00B6014B">
        <w:rPr>
          <w:sz w:val="21"/>
        </w:rPr>
        <w:t>）</w:t>
      </w:r>
      <w:r w:rsidRPr="007A5789">
        <w:rPr>
          <w:sz w:val="21"/>
        </w:rPr>
        <w:t>时，产生汇兑损益。此外，涉及以报告日有效的瑞郎汇率重新估价的银行账目和其他货币性资产和负债的未实现汇兑损益，也在财务报表中得到确认。在财务执行情况表中，2015年380</w:t>
      </w:r>
      <w:proofErr w:type="gramStart"/>
      <w:r w:rsidRPr="007A5789">
        <w:rPr>
          <w:sz w:val="21"/>
        </w:rPr>
        <w:t>万瑞</w:t>
      </w:r>
      <w:proofErr w:type="gramEnd"/>
      <w:r w:rsidRPr="007A5789">
        <w:rPr>
          <w:sz w:val="21"/>
        </w:rPr>
        <w:t>郎</w:t>
      </w:r>
      <w:r w:rsidR="00B6014B">
        <w:rPr>
          <w:sz w:val="21"/>
        </w:rPr>
        <w:t>（</w:t>
      </w:r>
      <w:r w:rsidRPr="007A5789">
        <w:rPr>
          <w:sz w:val="21"/>
        </w:rPr>
        <w:t>2014年为90</w:t>
      </w:r>
      <w:proofErr w:type="gramStart"/>
      <w:r w:rsidRPr="007A5789">
        <w:rPr>
          <w:sz w:val="21"/>
        </w:rPr>
        <w:t>万瑞</w:t>
      </w:r>
      <w:proofErr w:type="gramEnd"/>
      <w:r w:rsidRPr="007A5789">
        <w:rPr>
          <w:sz w:val="21"/>
        </w:rPr>
        <w:t>郎</w:t>
      </w:r>
      <w:r w:rsidR="00B6014B">
        <w:rPr>
          <w:sz w:val="21"/>
        </w:rPr>
        <w:t>）</w:t>
      </w:r>
      <w:r w:rsidRPr="007A5789">
        <w:rPr>
          <w:sz w:val="21"/>
        </w:rPr>
        <w:t>的全部汇兑损益影响净额计为收入的一部分，主要计入PCT体系</w:t>
      </w:r>
      <w:proofErr w:type="gramStart"/>
      <w:r w:rsidRPr="007A5789">
        <w:rPr>
          <w:sz w:val="21"/>
        </w:rPr>
        <w:t>规</w:t>
      </w:r>
      <w:proofErr w:type="gramEnd"/>
      <w:r w:rsidRPr="007A5789">
        <w:rPr>
          <w:sz w:val="21"/>
        </w:rPr>
        <w:t>费。</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25" w:name="_Toc441218515"/>
      <w:bookmarkStart w:id="126" w:name="_Toc455733246"/>
      <w:bookmarkStart w:id="127" w:name="_Toc456711757"/>
      <w:r w:rsidRPr="007C2134">
        <w:rPr>
          <w:rFonts w:ascii="SimHei" w:eastAsia="SimHei" w:hAnsi="SimHei"/>
          <w:b w:val="0"/>
          <w:sz w:val="21"/>
        </w:rPr>
        <w:t>附注27：报告日之后的活动</w:t>
      </w:r>
      <w:bookmarkEnd w:id="125"/>
      <w:bookmarkEnd w:id="126"/>
      <w:bookmarkEnd w:id="127"/>
    </w:p>
    <w:p w:rsidR="007A5789" w:rsidRDefault="004B4679" w:rsidP="00D91203">
      <w:pPr>
        <w:tabs>
          <w:tab w:val="left" w:pos="770"/>
        </w:tabs>
        <w:overflowPunct w:val="0"/>
        <w:spacing w:afterLines="50" w:after="120" w:line="340" w:lineRule="atLeast"/>
        <w:rPr>
          <w:sz w:val="21"/>
        </w:rPr>
      </w:pPr>
      <w:r w:rsidRPr="007A5789">
        <w:rPr>
          <w:sz w:val="21"/>
        </w:rPr>
        <w:t>27.1.</w:t>
      </w:r>
      <w:r w:rsidR="00624A89" w:rsidRPr="007A5789">
        <w:rPr>
          <w:sz w:val="21"/>
        </w:rPr>
        <w:tab/>
      </w:r>
      <w:r w:rsidRPr="007A5789">
        <w:rPr>
          <w:sz w:val="21"/>
        </w:rPr>
        <w:t>WIPO的报告日是2015年12月31日，其财务报表是2016年4月28日授权发布。在报告日与财务报表授权发布日之间没有发生对财务报表造成影响的任何有利或不利的重大活动。</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28" w:name="_Toc441218516"/>
      <w:bookmarkStart w:id="129" w:name="_Toc455733247"/>
      <w:bookmarkStart w:id="130" w:name="_Toc456711758"/>
      <w:r w:rsidRPr="007C2134">
        <w:rPr>
          <w:rFonts w:ascii="SimHei" w:eastAsia="SimHei" w:hAnsi="SimHei"/>
          <w:b w:val="0"/>
          <w:sz w:val="21"/>
        </w:rPr>
        <w:t>附注28：分部报告</w:t>
      </w:r>
      <w:bookmarkEnd w:id="128"/>
      <w:bookmarkEnd w:id="129"/>
      <w:bookmarkEnd w:id="130"/>
    </w:p>
    <w:p w:rsidR="007A5789" w:rsidRDefault="004B4679" w:rsidP="00134184">
      <w:pPr>
        <w:pStyle w:val="Styletexte"/>
        <w:numPr>
          <w:ilvl w:val="0"/>
          <w:numId w:val="28"/>
        </w:numPr>
        <w:tabs>
          <w:tab w:val="left" w:pos="770"/>
        </w:tabs>
        <w:overflowPunct w:val="0"/>
        <w:spacing w:afterLines="50" w:line="340" w:lineRule="atLeast"/>
        <w:ind w:left="0" w:firstLine="0"/>
        <w:rPr>
          <w:sz w:val="21"/>
        </w:rPr>
      </w:pPr>
      <w:r w:rsidRPr="007A5789">
        <w:rPr>
          <w:sz w:val="21"/>
        </w:rPr>
        <w:t>分部报告以代表WIPO各部分的各联盟的形式呈报。联盟由WIPO管辖的各种条约创立。</w:t>
      </w:r>
    </w:p>
    <w:p w:rsidR="007A5789" w:rsidRDefault="004B4679" w:rsidP="00134184">
      <w:pPr>
        <w:pStyle w:val="Styletexte"/>
        <w:numPr>
          <w:ilvl w:val="0"/>
          <w:numId w:val="28"/>
        </w:numPr>
        <w:tabs>
          <w:tab w:val="left" w:pos="770"/>
        </w:tabs>
        <w:overflowPunct w:val="0"/>
        <w:spacing w:afterLines="50" w:line="340" w:lineRule="atLeast"/>
        <w:ind w:left="0" w:firstLine="0"/>
        <w:rPr>
          <w:sz w:val="21"/>
        </w:rPr>
      </w:pPr>
      <w:r w:rsidRPr="007A5789">
        <w:rPr>
          <w:sz w:val="21"/>
        </w:rPr>
        <w:t>为呈报目的，合并了WIPO的各个会费供资联盟。这些联盟包括巴黎、伯尔尼、</w:t>
      </w:r>
      <w:proofErr w:type="gramStart"/>
      <w:r w:rsidRPr="007A5789">
        <w:rPr>
          <w:sz w:val="21"/>
        </w:rPr>
        <w:t>洛迦</w:t>
      </w:r>
      <w:proofErr w:type="gramEnd"/>
      <w:r w:rsidRPr="007A5789">
        <w:rPr>
          <w:sz w:val="21"/>
        </w:rPr>
        <w:t>诺、尼斯、</w:t>
      </w:r>
      <w:r w:rsidR="00177F34">
        <w:rPr>
          <w:rFonts w:hint="eastAsia"/>
          <w:sz w:val="21"/>
        </w:rPr>
        <w:t>维也纳</w:t>
      </w:r>
      <w:r w:rsidRPr="007A5789">
        <w:rPr>
          <w:sz w:val="21"/>
        </w:rPr>
        <w:t>和IPC联盟以及由</w:t>
      </w:r>
      <w:r w:rsidR="00B16462" w:rsidRPr="007A5789">
        <w:rPr>
          <w:rFonts w:hint="eastAsia"/>
          <w:sz w:val="21"/>
        </w:rPr>
        <w:t>《</w:t>
      </w:r>
      <w:r w:rsidRPr="007A5789">
        <w:rPr>
          <w:sz w:val="21"/>
        </w:rPr>
        <w:t>WIPO公约</w:t>
      </w:r>
      <w:r w:rsidR="00B16462" w:rsidRPr="007A5789">
        <w:rPr>
          <w:rFonts w:hint="eastAsia"/>
          <w:sz w:val="21"/>
        </w:rPr>
        <w:t>》</w:t>
      </w:r>
      <w:r w:rsidRPr="007A5789">
        <w:rPr>
          <w:sz w:val="21"/>
        </w:rPr>
        <w:t>规定的职能。《专利合作条约》联盟、马德里联盟、海牙联盟和里斯本联盟均由大会管理，大会一年召开一次，旨在通过预算，并根据有关条约采取此类其他恰当行动。</w:t>
      </w:r>
    </w:p>
    <w:p w:rsidR="007A5789" w:rsidRDefault="004B4679" w:rsidP="00134184">
      <w:pPr>
        <w:pStyle w:val="Styletexte"/>
        <w:numPr>
          <w:ilvl w:val="0"/>
          <w:numId w:val="28"/>
        </w:numPr>
        <w:tabs>
          <w:tab w:val="left" w:pos="770"/>
        </w:tabs>
        <w:overflowPunct w:val="0"/>
        <w:spacing w:afterLines="50" w:line="340" w:lineRule="atLeast"/>
        <w:ind w:left="0" w:firstLine="0"/>
        <w:rPr>
          <w:sz w:val="21"/>
        </w:rPr>
      </w:pPr>
      <w:r w:rsidRPr="007A5789">
        <w:rPr>
          <w:sz w:val="21"/>
        </w:rPr>
        <w:lastRenderedPageBreak/>
        <w:t>除作为净资产的储备金以外，WIPO资产与负债归整个组织所有，由整个组织负责，而不是单一联盟或部门的资产或负债。资产与负债一般支持为多个联盟</w:t>
      </w:r>
      <w:r w:rsidR="00B6014B">
        <w:rPr>
          <w:sz w:val="21"/>
        </w:rPr>
        <w:t>（</w:t>
      </w:r>
      <w:r w:rsidRPr="007A5789">
        <w:rPr>
          <w:sz w:val="21"/>
        </w:rPr>
        <w:t>部门</w:t>
      </w:r>
      <w:r w:rsidR="00B6014B">
        <w:rPr>
          <w:sz w:val="21"/>
        </w:rPr>
        <w:t>）</w:t>
      </w:r>
      <w:r w:rsidRPr="007A5789">
        <w:rPr>
          <w:sz w:val="21"/>
        </w:rPr>
        <w:t>提供的种类繁多的服务活动。唯一的例外是在Meyrin的房地产投资归马德里联盟所有。因此，单项资产与负债不会反映在单一部门或联盟的信息披露中。仅有包括储备金和周转</w:t>
      </w:r>
      <w:r w:rsidRPr="007A5789">
        <w:rPr>
          <w:rFonts w:hint="eastAsia"/>
          <w:sz w:val="21"/>
        </w:rPr>
        <w:t>基金</w:t>
      </w:r>
      <w:r w:rsidRPr="007A5789">
        <w:rPr>
          <w:sz w:val="21"/>
        </w:rPr>
        <w:t>在内的净资产或储备金按单一部门显示。</w:t>
      </w:r>
    </w:p>
    <w:p w:rsidR="008B64D0" w:rsidRDefault="004B4679" w:rsidP="00134184">
      <w:pPr>
        <w:pStyle w:val="Styletexte"/>
        <w:numPr>
          <w:ilvl w:val="0"/>
          <w:numId w:val="28"/>
        </w:numPr>
        <w:tabs>
          <w:tab w:val="left" w:pos="770"/>
        </w:tabs>
        <w:overflowPunct w:val="0"/>
        <w:spacing w:afterLines="50" w:line="340" w:lineRule="atLeast"/>
        <w:ind w:left="0" w:firstLine="0"/>
        <w:rPr>
          <w:sz w:val="21"/>
        </w:rPr>
      </w:pPr>
      <w:r w:rsidRPr="007A5789">
        <w:rPr>
          <w:sz w:val="21"/>
        </w:rPr>
        <w:t>大多数收入按联盟记入WIPO的账目。利息所得收入基于2015年的总现金储备和当期收入在联盟之间分配。支出按计划结算，然后基于WIPO大会在通过WIPO的2014/15年计划和预算时所采纳的方法，被重新分配给各个联盟。</w:t>
      </w:r>
    </w:p>
    <w:p w:rsidR="008B64D0" w:rsidRDefault="004B4679" w:rsidP="00134184">
      <w:pPr>
        <w:pStyle w:val="Styletexte"/>
        <w:numPr>
          <w:ilvl w:val="0"/>
          <w:numId w:val="28"/>
        </w:numPr>
        <w:tabs>
          <w:tab w:val="left" w:pos="770"/>
        </w:tabs>
        <w:overflowPunct w:val="0"/>
        <w:spacing w:afterLines="50" w:line="340" w:lineRule="atLeast"/>
        <w:ind w:left="0" w:firstLine="0"/>
        <w:rPr>
          <w:sz w:val="21"/>
        </w:rPr>
      </w:pPr>
      <w:r w:rsidRPr="007A5789">
        <w:rPr>
          <w:sz w:val="21"/>
        </w:rPr>
        <w:t>为特</w:t>
      </w:r>
      <w:r w:rsidR="00177F34">
        <w:rPr>
          <w:rFonts w:hint="eastAsia"/>
          <w:sz w:val="21"/>
        </w:rPr>
        <w:t>别</w:t>
      </w:r>
      <w:r w:rsidRPr="007A5789">
        <w:rPr>
          <w:sz w:val="21"/>
        </w:rPr>
        <w:t>账户设立了一个单独部门，以显示WIPO代表单个捐助</w:t>
      </w:r>
      <w:proofErr w:type="gramStart"/>
      <w:r w:rsidRPr="007A5789">
        <w:rPr>
          <w:sz w:val="21"/>
        </w:rPr>
        <w:t>方执行</w:t>
      </w:r>
      <w:proofErr w:type="gramEnd"/>
      <w:r w:rsidRPr="007A5789">
        <w:rPr>
          <w:sz w:val="21"/>
        </w:rPr>
        <w:t>与WIPO任务相关计划所管理的自愿捐款。与特</w:t>
      </w:r>
      <w:r w:rsidR="00177F34">
        <w:rPr>
          <w:rFonts w:hint="eastAsia"/>
          <w:sz w:val="21"/>
        </w:rPr>
        <w:t>别</w:t>
      </w:r>
      <w:r w:rsidRPr="007A5789">
        <w:rPr>
          <w:sz w:val="21"/>
        </w:rPr>
        <w:t>账户相关的收入和开支在财会系统中分别结算。</w:t>
      </w:r>
    </w:p>
    <w:p w:rsidR="008B64D0" w:rsidRDefault="004B4679" w:rsidP="00134184">
      <w:pPr>
        <w:pStyle w:val="Styletexte"/>
        <w:numPr>
          <w:ilvl w:val="0"/>
          <w:numId w:val="28"/>
        </w:numPr>
        <w:tabs>
          <w:tab w:val="left" w:pos="770"/>
        </w:tabs>
        <w:overflowPunct w:val="0"/>
        <w:spacing w:afterLines="50" w:line="340" w:lineRule="atLeast"/>
        <w:ind w:left="0" w:firstLine="0"/>
        <w:rPr>
          <w:sz w:val="21"/>
        </w:rPr>
      </w:pPr>
      <w:r w:rsidRPr="007A5789">
        <w:rPr>
          <w:sz w:val="21"/>
        </w:rPr>
        <w:t>仅有的一笔部门</w:t>
      </w:r>
      <w:proofErr w:type="gramStart"/>
      <w:r w:rsidRPr="007A5789">
        <w:rPr>
          <w:sz w:val="21"/>
        </w:rPr>
        <w:t>间费用</w:t>
      </w:r>
      <w:proofErr w:type="gramEnd"/>
      <w:r w:rsidRPr="007A5789">
        <w:rPr>
          <w:sz w:val="21"/>
        </w:rPr>
        <w:t>为各联盟</w:t>
      </w:r>
      <w:r w:rsidRPr="007A5789">
        <w:rPr>
          <w:rFonts w:hint="eastAsia"/>
          <w:sz w:val="21"/>
        </w:rPr>
        <w:t>因</w:t>
      </w:r>
      <w:r w:rsidRPr="007A5789">
        <w:rPr>
          <w:sz w:val="21"/>
        </w:rPr>
        <w:t>支持特别账户</w:t>
      </w:r>
      <w:r w:rsidRPr="007A5789">
        <w:rPr>
          <w:rFonts w:hint="eastAsia"/>
          <w:sz w:val="21"/>
        </w:rPr>
        <w:t>而</w:t>
      </w:r>
      <w:r w:rsidRPr="007A5789">
        <w:rPr>
          <w:sz w:val="21"/>
        </w:rPr>
        <w:t>发生的计划支助费用。根据与提供自愿捐助的捐助方签订的协议所规定的直接开支总额的百分数，计划支助费用被记入特别账户。</w:t>
      </w:r>
    </w:p>
    <w:p w:rsidR="008B64D0" w:rsidRDefault="004B4679" w:rsidP="001E1DEA">
      <w:pPr>
        <w:pStyle w:val="Style3Bold"/>
        <w:keepNext/>
        <w:spacing w:beforeLines="100" w:before="240" w:afterLines="50" w:line="340" w:lineRule="atLeast"/>
        <w:rPr>
          <w:sz w:val="21"/>
        </w:rPr>
      </w:pPr>
      <w:r w:rsidRPr="007A5789">
        <w:rPr>
          <w:sz w:val="21"/>
        </w:rPr>
        <w:lastRenderedPageBreak/>
        <w:t>按分部开列的收入、支出和储备金</w:t>
      </w:r>
    </w:p>
    <w:p w:rsidR="008B64D0" w:rsidRDefault="001C3A91" w:rsidP="001C3A91">
      <w:pPr>
        <w:spacing w:afterLines="50" w:after="120" w:line="340" w:lineRule="atLeast"/>
        <w:jc w:val="center"/>
        <w:rPr>
          <w:sz w:val="21"/>
        </w:rPr>
      </w:pPr>
      <w:r w:rsidRPr="00EF7E79">
        <w:rPr>
          <w:noProof/>
          <w:sz w:val="21"/>
          <w:lang w:val="en-US" w:bidi="ar-SA"/>
        </w:rPr>
        <w:drawing>
          <wp:inline distT="0" distB="0" distL="0" distR="0" wp14:anchorId="13B5E5B5" wp14:editId="443A0341">
            <wp:extent cx="5940425" cy="7280760"/>
            <wp:effectExtent l="0" t="0" r="3175" b="0"/>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940425" cy="7280760"/>
                    </a:xfrm>
                    <a:prstGeom prst="rect">
                      <a:avLst/>
                    </a:prstGeom>
                    <a:noFill/>
                    <a:ln>
                      <a:noFill/>
                    </a:ln>
                  </pic:spPr>
                </pic:pic>
              </a:graphicData>
            </a:graphic>
          </wp:inline>
        </w:drawing>
      </w:r>
    </w:p>
    <w:p w:rsidR="004B4679" w:rsidRPr="007A5789" w:rsidRDefault="004B4679" w:rsidP="004B4679">
      <w:pPr>
        <w:rPr>
          <w:sz w:val="21"/>
        </w:rPr>
      </w:pPr>
      <w:r w:rsidRPr="007A5789">
        <w:rPr>
          <w:sz w:val="18"/>
        </w:rPr>
        <w:t>注：马德里联盟承担了海牙联盟对马德里和海牙国际注册系统信息技术现代化项目300</w:t>
      </w:r>
      <w:proofErr w:type="gramStart"/>
      <w:r w:rsidRPr="007A5789">
        <w:rPr>
          <w:sz w:val="18"/>
        </w:rPr>
        <w:t>万瑞郎捐款</w:t>
      </w:r>
      <w:proofErr w:type="gramEnd"/>
      <w:r w:rsidRPr="007A5789">
        <w:rPr>
          <w:sz w:val="18"/>
        </w:rPr>
        <w:t>的融资。在海牙联盟储备基金的储备金水平达到能够偿付这一金额的水平时，海牙联盟将立即向马德里联盟偿付这一金额。</w:t>
      </w:r>
    </w:p>
    <w:p w:rsidR="004B4679" w:rsidRPr="007A5789" w:rsidRDefault="004B4679" w:rsidP="004B4679">
      <w:pPr>
        <w:rPr>
          <w:sz w:val="21"/>
        </w:rPr>
        <w:sectPr w:rsidR="004B4679" w:rsidRPr="007A5789" w:rsidSect="008B64D0">
          <w:headerReference w:type="even" r:id="rId106"/>
          <w:headerReference w:type="default" r:id="rId107"/>
          <w:headerReference w:type="first" r:id="rId108"/>
          <w:endnotePr>
            <w:numFmt w:val="decimal"/>
          </w:endnotePr>
          <w:pgSz w:w="11907" w:h="16840" w:code="9"/>
          <w:pgMar w:top="567" w:right="1134" w:bottom="1418" w:left="1418" w:header="510" w:footer="1021" w:gutter="0"/>
          <w:cols w:space="720"/>
          <w:titlePg/>
          <w:docGrid w:linePitch="299"/>
        </w:sectPr>
      </w:pPr>
    </w:p>
    <w:p w:rsidR="004B4679" w:rsidRPr="0062296B" w:rsidRDefault="004B4679" w:rsidP="0062296B">
      <w:pPr>
        <w:pStyle w:val="2"/>
        <w:spacing w:before="0" w:after="0" w:line="340" w:lineRule="atLeast"/>
        <w:jc w:val="center"/>
        <w:rPr>
          <w:rFonts w:ascii="SimHei" w:eastAsia="SimHei" w:hAnsi="SimHei"/>
          <w:b w:val="0"/>
          <w:sz w:val="21"/>
        </w:rPr>
      </w:pPr>
      <w:bookmarkStart w:id="131" w:name="_Toc441218518"/>
      <w:bookmarkStart w:id="132" w:name="_Toc455733248"/>
      <w:bookmarkStart w:id="133" w:name="_Toc456711759"/>
      <w:r w:rsidRPr="0062296B">
        <w:rPr>
          <w:rFonts w:ascii="SimHei" w:eastAsia="SimHei" w:hAnsi="SimHei"/>
          <w:b w:val="0"/>
          <w:sz w:val="21"/>
        </w:rPr>
        <w:lastRenderedPageBreak/>
        <w:t>附件一 - 按资金来源开列的财务状况表</w:t>
      </w:r>
      <w:r w:rsidR="00FA183C" w:rsidRPr="0062296B">
        <w:rPr>
          <w:rFonts w:ascii="SimHei" w:eastAsia="SimHei" w:hAnsi="SimHei" w:hint="eastAsia"/>
          <w:b w:val="0"/>
          <w:sz w:val="21"/>
        </w:rPr>
        <w:t>（</w:t>
      </w:r>
      <w:r w:rsidRPr="0062296B">
        <w:rPr>
          <w:rFonts w:ascii="SimHei" w:eastAsia="SimHei" w:hAnsi="SimHei"/>
          <w:b w:val="0"/>
          <w:sz w:val="21"/>
        </w:rPr>
        <w:t>未经审计</w:t>
      </w:r>
      <w:bookmarkEnd w:id="131"/>
      <w:bookmarkEnd w:id="132"/>
      <w:r w:rsidR="00FA183C" w:rsidRPr="0062296B">
        <w:rPr>
          <w:rFonts w:ascii="SimHei" w:eastAsia="SimHei" w:hAnsi="SimHei" w:hint="eastAsia"/>
          <w:b w:val="0"/>
          <w:sz w:val="21"/>
        </w:rPr>
        <w:t>）</w:t>
      </w:r>
      <w:bookmarkEnd w:id="133"/>
    </w:p>
    <w:p w:rsidR="004B4679" w:rsidRPr="0062296B" w:rsidRDefault="004B4679" w:rsidP="0062296B">
      <w:pPr>
        <w:jc w:val="center"/>
        <w:rPr>
          <w:b/>
          <w:sz w:val="21"/>
        </w:rPr>
      </w:pPr>
      <w:r w:rsidRPr="0062296B">
        <w:rPr>
          <w:b/>
          <w:sz w:val="21"/>
        </w:rPr>
        <w:t>截至2015年12月31日</w:t>
      </w:r>
    </w:p>
    <w:p w:rsidR="004B4679" w:rsidRPr="0062296B" w:rsidRDefault="00FA183C" w:rsidP="0062296B">
      <w:pPr>
        <w:spacing w:afterLines="50" w:after="120"/>
        <w:jc w:val="center"/>
        <w:rPr>
          <w:rFonts w:ascii="KaiTi" w:eastAsia="KaiTi" w:hAnsi="KaiTi"/>
          <w:sz w:val="21"/>
        </w:rPr>
      </w:pPr>
      <w:r w:rsidRPr="0062296B">
        <w:rPr>
          <w:rFonts w:ascii="KaiTi" w:eastAsia="KaiTi" w:hAnsi="KaiTi" w:hint="eastAsia"/>
          <w:sz w:val="21"/>
        </w:rPr>
        <w:t>（</w:t>
      </w:r>
      <w:r w:rsidR="004B4679" w:rsidRPr="0062296B">
        <w:rPr>
          <w:rFonts w:ascii="KaiTi" w:eastAsia="KaiTi" w:hAnsi="KaiTi"/>
          <w:sz w:val="21"/>
        </w:rPr>
        <w:t>单位：</w:t>
      </w:r>
      <w:proofErr w:type="gramStart"/>
      <w:r w:rsidR="004B4679" w:rsidRPr="0062296B">
        <w:rPr>
          <w:rFonts w:ascii="KaiTi" w:eastAsia="KaiTi" w:hAnsi="KaiTi"/>
          <w:sz w:val="21"/>
        </w:rPr>
        <w:t>千瑞郎</w:t>
      </w:r>
      <w:proofErr w:type="gramEnd"/>
      <w:r w:rsidRPr="0062296B">
        <w:rPr>
          <w:rFonts w:ascii="KaiTi" w:eastAsia="KaiTi" w:hAnsi="KaiTi" w:hint="eastAsia"/>
          <w:sz w:val="21"/>
        </w:rPr>
        <w:t>）</w:t>
      </w:r>
    </w:p>
    <w:p w:rsidR="00DA6A33" w:rsidRPr="007A5789" w:rsidRDefault="0062296B" w:rsidP="0062296B">
      <w:pPr>
        <w:jc w:val="center"/>
        <w:rPr>
          <w:noProof/>
          <w:sz w:val="21"/>
          <w:lang w:val="en-US" w:bidi="ar-SA"/>
        </w:rPr>
      </w:pPr>
      <w:r w:rsidRPr="00EF7E79">
        <w:rPr>
          <w:noProof/>
          <w:sz w:val="21"/>
          <w:lang w:val="en-US" w:bidi="ar-SA"/>
        </w:rPr>
        <w:drawing>
          <wp:inline distT="0" distB="0" distL="0" distR="0" wp14:anchorId="71F30D9E" wp14:editId="145E561F">
            <wp:extent cx="7812000" cy="5306400"/>
            <wp:effectExtent l="0" t="0" r="0" b="8890"/>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7812000" cy="5306400"/>
                    </a:xfrm>
                    <a:prstGeom prst="rect">
                      <a:avLst/>
                    </a:prstGeom>
                    <a:noFill/>
                    <a:ln>
                      <a:noFill/>
                    </a:ln>
                  </pic:spPr>
                </pic:pic>
              </a:graphicData>
            </a:graphic>
          </wp:inline>
        </w:drawing>
      </w:r>
    </w:p>
    <w:p w:rsidR="004B4679" w:rsidRPr="0062296B" w:rsidRDefault="004B4679" w:rsidP="0062296B">
      <w:pPr>
        <w:pStyle w:val="2"/>
        <w:spacing w:before="0" w:after="0" w:line="340" w:lineRule="atLeast"/>
        <w:jc w:val="center"/>
        <w:rPr>
          <w:rFonts w:ascii="SimHei" w:eastAsia="SimHei" w:hAnsi="SimHei"/>
          <w:b w:val="0"/>
          <w:sz w:val="21"/>
        </w:rPr>
      </w:pPr>
      <w:bookmarkStart w:id="134" w:name="_Toc441218519"/>
      <w:bookmarkStart w:id="135" w:name="_Toc455733249"/>
      <w:bookmarkStart w:id="136" w:name="_Toc456711760"/>
      <w:r w:rsidRPr="0062296B">
        <w:rPr>
          <w:rFonts w:ascii="SimHei" w:eastAsia="SimHei" w:hAnsi="SimHei"/>
          <w:b w:val="0"/>
          <w:sz w:val="21"/>
        </w:rPr>
        <w:lastRenderedPageBreak/>
        <w:t>附件二 - 按资金来源开列的财务执行情况表</w:t>
      </w:r>
      <w:r w:rsidR="007A2028" w:rsidRPr="0062296B">
        <w:rPr>
          <w:rFonts w:ascii="SimHei" w:eastAsia="SimHei" w:hAnsi="SimHei" w:hint="eastAsia"/>
          <w:b w:val="0"/>
          <w:sz w:val="21"/>
        </w:rPr>
        <w:t>（</w:t>
      </w:r>
      <w:r w:rsidRPr="0062296B">
        <w:rPr>
          <w:rFonts w:ascii="SimHei" w:eastAsia="SimHei" w:hAnsi="SimHei"/>
          <w:b w:val="0"/>
          <w:sz w:val="21"/>
        </w:rPr>
        <w:t>未经审计</w:t>
      </w:r>
      <w:bookmarkEnd w:id="134"/>
      <w:bookmarkEnd w:id="135"/>
      <w:r w:rsidR="007A2028" w:rsidRPr="0062296B">
        <w:rPr>
          <w:rFonts w:ascii="SimHei" w:eastAsia="SimHei" w:hAnsi="SimHei" w:hint="eastAsia"/>
          <w:b w:val="0"/>
          <w:sz w:val="21"/>
        </w:rPr>
        <w:t>）</w:t>
      </w:r>
      <w:bookmarkEnd w:id="136"/>
    </w:p>
    <w:p w:rsidR="004B4679" w:rsidRPr="0062296B" w:rsidRDefault="004B4679" w:rsidP="004B4679">
      <w:pPr>
        <w:jc w:val="center"/>
        <w:rPr>
          <w:b/>
          <w:sz w:val="21"/>
        </w:rPr>
      </w:pPr>
      <w:r w:rsidRPr="0062296B">
        <w:rPr>
          <w:b/>
          <w:sz w:val="21"/>
        </w:rPr>
        <w:t>2015年12月31日截止的年度</w:t>
      </w:r>
    </w:p>
    <w:p w:rsidR="004B4679" w:rsidRPr="0062296B" w:rsidRDefault="00EE11FF" w:rsidP="0062296B">
      <w:pPr>
        <w:spacing w:afterLines="50" w:after="120"/>
        <w:jc w:val="center"/>
        <w:rPr>
          <w:rFonts w:ascii="KaiTi" w:eastAsia="KaiTi" w:hAnsi="KaiTi"/>
          <w:sz w:val="21"/>
        </w:rPr>
      </w:pPr>
      <w:r w:rsidRPr="0062296B">
        <w:rPr>
          <w:rFonts w:ascii="KaiTi" w:eastAsia="KaiTi" w:hAnsi="KaiTi" w:hint="eastAsia"/>
          <w:sz w:val="21"/>
        </w:rPr>
        <w:t>（</w:t>
      </w:r>
      <w:r w:rsidR="004B4679" w:rsidRPr="0062296B">
        <w:rPr>
          <w:rFonts w:ascii="KaiTi" w:eastAsia="KaiTi" w:hAnsi="KaiTi"/>
          <w:sz w:val="21"/>
        </w:rPr>
        <w:t>单位：</w:t>
      </w:r>
      <w:proofErr w:type="gramStart"/>
      <w:r w:rsidR="004B4679" w:rsidRPr="0062296B">
        <w:rPr>
          <w:rFonts w:ascii="KaiTi" w:eastAsia="KaiTi" w:hAnsi="KaiTi"/>
          <w:sz w:val="21"/>
        </w:rPr>
        <w:t>千瑞郎</w:t>
      </w:r>
      <w:proofErr w:type="gramEnd"/>
      <w:r w:rsidRPr="0062296B">
        <w:rPr>
          <w:rFonts w:ascii="KaiTi" w:eastAsia="KaiTi" w:hAnsi="KaiTi" w:hint="eastAsia"/>
          <w:sz w:val="21"/>
        </w:rPr>
        <w:t>）</w:t>
      </w:r>
    </w:p>
    <w:p w:rsidR="00DA6A33" w:rsidRPr="007A5789" w:rsidRDefault="0062296B" w:rsidP="0062296B">
      <w:pPr>
        <w:jc w:val="center"/>
        <w:rPr>
          <w:noProof/>
          <w:sz w:val="21"/>
          <w:lang w:val="en-US" w:bidi="ar-SA"/>
        </w:rPr>
      </w:pPr>
      <w:r w:rsidRPr="00B87A4B">
        <w:rPr>
          <w:noProof/>
          <w:sz w:val="21"/>
          <w:lang w:val="en-US" w:bidi="ar-SA"/>
        </w:rPr>
        <w:drawing>
          <wp:inline distT="0" distB="0" distL="0" distR="0" wp14:anchorId="3DA9B99B" wp14:editId="33423525">
            <wp:extent cx="7812000" cy="4942800"/>
            <wp:effectExtent l="0" t="0" r="0" b="0"/>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812000" cy="4942800"/>
                    </a:xfrm>
                    <a:prstGeom prst="rect">
                      <a:avLst/>
                    </a:prstGeom>
                    <a:noFill/>
                    <a:ln>
                      <a:noFill/>
                    </a:ln>
                  </pic:spPr>
                </pic:pic>
              </a:graphicData>
            </a:graphic>
          </wp:inline>
        </w:drawing>
      </w:r>
    </w:p>
    <w:p w:rsidR="004B4679" w:rsidRPr="0062296B" w:rsidRDefault="004B4679" w:rsidP="0062296B">
      <w:pPr>
        <w:pStyle w:val="2"/>
        <w:spacing w:before="0" w:after="0" w:line="340" w:lineRule="atLeast"/>
        <w:jc w:val="center"/>
        <w:rPr>
          <w:rFonts w:ascii="SimHei" w:eastAsia="SimHei" w:hAnsi="SimHei"/>
          <w:b w:val="0"/>
          <w:sz w:val="21"/>
        </w:rPr>
      </w:pPr>
      <w:bookmarkStart w:id="137" w:name="_Toc441218520"/>
      <w:bookmarkStart w:id="138" w:name="_Toc455733250"/>
      <w:bookmarkStart w:id="139" w:name="_Toc456711761"/>
      <w:r w:rsidRPr="0062296B">
        <w:rPr>
          <w:rFonts w:ascii="SimHei" w:eastAsia="SimHei" w:hAnsi="SimHei"/>
          <w:b w:val="0"/>
          <w:sz w:val="21"/>
        </w:rPr>
        <w:lastRenderedPageBreak/>
        <w:t>附件三 - 捐助方捐助特别账户</w:t>
      </w:r>
      <w:bookmarkEnd w:id="137"/>
      <w:bookmarkEnd w:id="138"/>
      <w:bookmarkEnd w:id="139"/>
    </w:p>
    <w:p w:rsidR="008B64D0" w:rsidRPr="0062296B" w:rsidRDefault="00EE11FF" w:rsidP="0062296B">
      <w:pPr>
        <w:keepNext/>
        <w:spacing w:afterLines="50" w:after="120"/>
        <w:jc w:val="center"/>
        <w:rPr>
          <w:rFonts w:ascii="KaiTi" w:eastAsia="KaiTi" w:hAnsi="KaiTi"/>
          <w:sz w:val="21"/>
        </w:rPr>
      </w:pPr>
      <w:r w:rsidRPr="0062296B">
        <w:rPr>
          <w:rFonts w:ascii="KaiTi" w:eastAsia="KaiTi" w:hAnsi="KaiTi" w:hint="eastAsia"/>
          <w:sz w:val="21"/>
        </w:rPr>
        <w:t>（</w:t>
      </w:r>
      <w:r w:rsidR="004B4679" w:rsidRPr="0062296B">
        <w:rPr>
          <w:rFonts w:ascii="KaiTi" w:eastAsia="KaiTi" w:hAnsi="KaiTi"/>
          <w:sz w:val="21"/>
        </w:rPr>
        <w:t>单位：瑞郎</w:t>
      </w:r>
      <w:r w:rsidRPr="0062296B">
        <w:rPr>
          <w:rFonts w:ascii="KaiTi" w:eastAsia="KaiTi" w:hAnsi="KaiTi" w:hint="eastAsia"/>
          <w:sz w:val="21"/>
        </w:rPr>
        <w:t>）</w:t>
      </w:r>
    </w:p>
    <w:p w:rsidR="004B4679" w:rsidRPr="007A5789" w:rsidRDefault="00177F34" w:rsidP="00177F34">
      <w:pPr>
        <w:spacing w:afterLines="50" w:after="120"/>
        <w:jc w:val="center"/>
        <w:rPr>
          <w:sz w:val="21"/>
        </w:rPr>
      </w:pPr>
      <w:r w:rsidRPr="00B87A4B">
        <w:rPr>
          <w:noProof/>
          <w:sz w:val="21"/>
          <w:lang w:val="en-US" w:bidi="ar-SA"/>
        </w:rPr>
        <w:drawing>
          <wp:inline distT="0" distB="0" distL="0" distR="0" wp14:anchorId="52CA98E7" wp14:editId="4158B334">
            <wp:extent cx="9613265" cy="4295517"/>
            <wp:effectExtent l="0" t="0" r="698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613265" cy="4295517"/>
                    </a:xfrm>
                    <a:prstGeom prst="rect">
                      <a:avLst/>
                    </a:prstGeom>
                    <a:noFill/>
                    <a:ln>
                      <a:noFill/>
                    </a:ln>
                  </pic:spPr>
                </pic:pic>
              </a:graphicData>
            </a:graphic>
          </wp:inline>
        </w:drawing>
      </w:r>
    </w:p>
    <w:p w:rsidR="004B4679" w:rsidRPr="007A5789" w:rsidRDefault="004B4679" w:rsidP="003A2E23">
      <w:pPr>
        <w:tabs>
          <w:tab w:val="left" w:pos="14490"/>
        </w:tabs>
        <w:adjustRightInd w:val="0"/>
        <w:rPr>
          <w:sz w:val="18"/>
          <w:szCs w:val="18"/>
        </w:rPr>
      </w:pPr>
      <w:r w:rsidRPr="007A5789">
        <w:rPr>
          <w:rFonts w:hint="eastAsia"/>
          <w:sz w:val="18"/>
        </w:rPr>
        <w:t>本</w:t>
      </w:r>
      <w:r w:rsidRPr="007A5789">
        <w:rPr>
          <w:sz w:val="18"/>
        </w:rPr>
        <w:t>表采用修正的权责发生</w:t>
      </w:r>
      <w:proofErr w:type="gramStart"/>
      <w:r w:rsidRPr="007A5789">
        <w:rPr>
          <w:sz w:val="18"/>
        </w:rPr>
        <w:t>制根据</w:t>
      </w:r>
      <w:proofErr w:type="gramEnd"/>
      <w:r w:rsidRPr="007A5789">
        <w:rPr>
          <w:sz w:val="18"/>
        </w:rPr>
        <w:t>捐助方报告要求编制，表中未包括应计开支。对期末余额</w:t>
      </w:r>
      <w:r w:rsidR="00B6014B">
        <w:rPr>
          <w:sz w:val="18"/>
        </w:rPr>
        <w:t>（</w:t>
      </w:r>
      <w:r w:rsidRPr="007A5789">
        <w:rPr>
          <w:sz w:val="18"/>
        </w:rPr>
        <w:t>2015年12月31日</w:t>
      </w:r>
      <w:r w:rsidR="00B6014B">
        <w:rPr>
          <w:sz w:val="18"/>
        </w:rPr>
        <w:t>）</w:t>
      </w:r>
      <w:r w:rsidRPr="007A5789">
        <w:rPr>
          <w:sz w:val="18"/>
        </w:rPr>
        <w:t>进行的IPSAS调整没有纳入该表，但计入附注14</w:t>
      </w:r>
      <w:r w:rsidRPr="00F94318">
        <w:rPr>
          <w:sz w:val="18"/>
        </w:rPr>
        <w:t>“</w:t>
      </w:r>
      <w:r w:rsidRPr="007A5789">
        <w:rPr>
          <w:sz w:val="18"/>
        </w:rPr>
        <w:t>预收款</w:t>
      </w:r>
      <w:r w:rsidRPr="00F94318">
        <w:rPr>
          <w:sz w:val="18"/>
        </w:rPr>
        <w:t>”</w:t>
      </w:r>
      <w:r w:rsidRPr="007A5789">
        <w:rPr>
          <w:sz w:val="18"/>
        </w:rPr>
        <w:t>所涉数额中</w:t>
      </w:r>
      <w:r w:rsidR="00B6014B">
        <w:rPr>
          <w:sz w:val="18"/>
        </w:rPr>
        <w:t>（</w:t>
      </w:r>
      <w:r w:rsidRPr="007A5789">
        <w:rPr>
          <w:sz w:val="18"/>
        </w:rPr>
        <w:t>见</w:t>
      </w:r>
      <w:r w:rsidRPr="00F94318">
        <w:rPr>
          <w:sz w:val="18"/>
        </w:rPr>
        <w:t>“</w:t>
      </w:r>
      <w:r w:rsidRPr="007A5789">
        <w:rPr>
          <w:sz w:val="18"/>
        </w:rPr>
        <w:t>非交换递延收入</w:t>
      </w:r>
      <w:r w:rsidRPr="00F94318">
        <w:rPr>
          <w:sz w:val="18"/>
        </w:rPr>
        <w:t>”</w:t>
      </w:r>
      <w:r w:rsidRPr="007A5789">
        <w:rPr>
          <w:sz w:val="18"/>
        </w:rPr>
        <w:t>项</w:t>
      </w:r>
      <w:r w:rsidR="00B6014B">
        <w:rPr>
          <w:sz w:val="18"/>
        </w:rPr>
        <w:t>）</w:t>
      </w:r>
      <w:r w:rsidRPr="007A5789">
        <w:rPr>
          <w:sz w:val="18"/>
        </w:rPr>
        <w:t>。</w:t>
      </w:r>
    </w:p>
    <w:p w:rsidR="004B4679" w:rsidRPr="007A5789" w:rsidRDefault="004B4679" w:rsidP="003A2E23">
      <w:pPr>
        <w:adjustRightInd w:val="0"/>
        <w:ind w:left="-448" w:right="284" w:hanging="91"/>
        <w:rPr>
          <w:sz w:val="18"/>
          <w:szCs w:val="18"/>
        </w:rPr>
        <w:sectPr w:rsidR="004B4679" w:rsidRPr="007A5789" w:rsidSect="00EF30E4">
          <w:headerReference w:type="default" r:id="rId112"/>
          <w:pgSz w:w="16840" w:h="11907" w:orient="landscape" w:code="9"/>
          <w:pgMar w:top="851" w:right="567" w:bottom="1021" w:left="1134" w:header="709" w:footer="187" w:gutter="0"/>
          <w:cols w:space="708"/>
          <w:docGrid w:linePitch="360"/>
        </w:sectPr>
      </w:pPr>
    </w:p>
    <w:p w:rsidR="008B64D0" w:rsidRPr="0062296B" w:rsidRDefault="004B4679" w:rsidP="0062296B">
      <w:pPr>
        <w:pStyle w:val="2"/>
        <w:spacing w:beforeLines="100" w:afterLines="100" w:after="240" w:line="340" w:lineRule="atLeast"/>
        <w:jc w:val="center"/>
        <w:rPr>
          <w:rFonts w:ascii="SimHei" w:eastAsia="SimHei" w:hAnsi="SimHei"/>
          <w:b w:val="0"/>
          <w:sz w:val="21"/>
        </w:rPr>
      </w:pPr>
      <w:bookmarkStart w:id="140" w:name="_Toc441218521"/>
      <w:bookmarkStart w:id="141" w:name="_Toc455733251"/>
      <w:bookmarkStart w:id="142" w:name="_Toc456711762"/>
      <w:r w:rsidRPr="0062296B">
        <w:rPr>
          <w:rFonts w:ascii="SimHei" w:eastAsia="SimHei" w:hAnsi="SimHei"/>
          <w:b w:val="0"/>
          <w:sz w:val="21"/>
        </w:rPr>
        <w:lastRenderedPageBreak/>
        <w:t xml:space="preserve">附件四 - </w:t>
      </w:r>
      <w:proofErr w:type="gramStart"/>
      <w:r w:rsidRPr="0062296B">
        <w:rPr>
          <w:rFonts w:ascii="SimHei" w:eastAsia="SimHei" w:hAnsi="SimHei"/>
          <w:b w:val="0"/>
          <w:sz w:val="21"/>
        </w:rPr>
        <w:t>惠给金</w:t>
      </w:r>
      <w:proofErr w:type="gramEnd"/>
      <w:r w:rsidRPr="0062296B">
        <w:rPr>
          <w:rFonts w:ascii="SimHei" w:eastAsia="SimHei" w:hAnsi="SimHei"/>
          <w:b w:val="0"/>
          <w:sz w:val="21"/>
        </w:rPr>
        <w:t>支付</w:t>
      </w:r>
      <w:bookmarkEnd w:id="140"/>
      <w:bookmarkEnd w:id="141"/>
      <w:bookmarkEnd w:id="142"/>
    </w:p>
    <w:p w:rsidR="008B64D0" w:rsidRDefault="004B4679" w:rsidP="003A2E23">
      <w:pPr>
        <w:adjustRightInd w:val="0"/>
        <w:spacing w:afterLines="50" w:after="120" w:line="340" w:lineRule="atLeast"/>
        <w:ind w:firstLineChars="200" w:firstLine="420"/>
        <w:rPr>
          <w:sz w:val="21"/>
          <w:szCs w:val="22"/>
        </w:rPr>
      </w:pPr>
      <w:r w:rsidRPr="007A5789">
        <w:rPr>
          <w:sz w:val="21"/>
        </w:rPr>
        <w:t>财务条例5.10规定，应在本组织财务报表中加入所涉日历年</w:t>
      </w:r>
      <w:proofErr w:type="gramStart"/>
      <w:r w:rsidRPr="007A5789">
        <w:rPr>
          <w:sz w:val="21"/>
        </w:rPr>
        <w:t>中惠给金</w:t>
      </w:r>
      <w:proofErr w:type="gramEnd"/>
      <w:r w:rsidRPr="007A5789">
        <w:rPr>
          <w:sz w:val="21"/>
        </w:rPr>
        <w:t>的简要说明。</w:t>
      </w:r>
    </w:p>
    <w:p w:rsidR="008B64D0" w:rsidRDefault="004B4679" w:rsidP="003A2E23">
      <w:pPr>
        <w:adjustRightInd w:val="0"/>
        <w:spacing w:afterLines="50" w:after="120" w:line="340" w:lineRule="atLeast"/>
        <w:ind w:firstLineChars="200" w:firstLine="420"/>
        <w:rPr>
          <w:sz w:val="21"/>
          <w:szCs w:val="22"/>
        </w:rPr>
      </w:pPr>
      <w:r w:rsidRPr="007A5789">
        <w:rPr>
          <w:sz w:val="21"/>
        </w:rPr>
        <w:t>2015年1月，向本组织的一位前任副总干事支付了一笔12,500瑞郎的金额，作为其任务期满后产生的两个月租金费用的补偿。这笔付款的相应支出已经在截至2014年12月31日的年度确认。</w:t>
      </w:r>
    </w:p>
    <w:p w:rsidR="0062296B" w:rsidRDefault="0062296B" w:rsidP="0062296B">
      <w:pPr>
        <w:pStyle w:val="Endofdocument-Annex"/>
        <w:spacing w:afterLines="50" w:after="120" w:line="340" w:lineRule="atLeast"/>
        <w:rPr>
          <w:rFonts w:ascii="KaiTi" w:eastAsia="KaiTi" w:hAnsi="KaiTi"/>
          <w:sz w:val="21"/>
        </w:rPr>
      </w:pPr>
    </w:p>
    <w:p w:rsidR="00351587" w:rsidRPr="0062296B" w:rsidRDefault="004B4679" w:rsidP="0062296B">
      <w:pPr>
        <w:pStyle w:val="Endofdocument-Annex"/>
        <w:spacing w:afterLines="50" w:after="120" w:line="340" w:lineRule="atLeast"/>
        <w:rPr>
          <w:rFonts w:ascii="KaiTi" w:eastAsia="KaiTi" w:hAnsi="KaiTi"/>
          <w:sz w:val="21"/>
        </w:rPr>
      </w:pPr>
      <w:r w:rsidRPr="0062296B">
        <w:rPr>
          <w:rFonts w:ascii="KaiTi" w:eastAsia="KaiTi" w:hAnsi="KaiTi"/>
          <w:sz w:val="21"/>
        </w:rPr>
        <w:t>[文件完]</w:t>
      </w:r>
    </w:p>
    <w:sectPr w:rsidR="00351587" w:rsidRPr="0062296B" w:rsidSect="008B64D0">
      <w:headerReference w:type="first" r:id="rId1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064" w:rsidRDefault="00F75064">
      <w:r>
        <w:separator/>
      </w:r>
    </w:p>
  </w:endnote>
  <w:endnote w:type="continuationSeparator" w:id="0">
    <w:p w:rsidR="00F75064" w:rsidRDefault="00F75064" w:rsidP="003B38C1">
      <w:r>
        <w:separator/>
      </w:r>
    </w:p>
    <w:p w:rsidR="00F75064" w:rsidRPr="00293681" w:rsidRDefault="00F75064" w:rsidP="003B38C1">
      <w:pPr>
        <w:spacing w:after="60"/>
        <w:rPr>
          <w:sz w:val="17"/>
          <w:lang w:val="en-US"/>
        </w:rPr>
      </w:pPr>
      <w:r w:rsidRPr="00293681">
        <w:rPr>
          <w:sz w:val="17"/>
          <w:lang w:val="en-US"/>
        </w:rPr>
        <w:t>[Endnote continued from previous page]</w:t>
      </w:r>
    </w:p>
  </w:endnote>
  <w:endnote w:type="continuationNotice" w:id="1">
    <w:p w:rsidR="00F75064" w:rsidRPr="00293681" w:rsidRDefault="00F75064" w:rsidP="003B38C1">
      <w:pPr>
        <w:spacing w:before="60"/>
        <w:jc w:val="right"/>
        <w:rPr>
          <w:sz w:val="17"/>
          <w:szCs w:val="17"/>
          <w:lang w:val="en-US"/>
        </w:rPr>
      </w:pPr>
      <w:r w:rsidRPr="0029368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064" w:rsidRDefault="00F75064">
      <w:r>
        <w:separator/>
      </w:r>
    </w:p>
  </w:footnote>
  <w:footnote w:type="continuationSeparator" w:id="0">
    <w:p w:rsidR="00F75064" w:rsidRDefault="00F75064" w:rsidP="008B60B2">
      <w:r>
        <w:separator/>
      </w:r>
    </w:p>
    <w:p w:rsidR="00F75064" w:rsidRPr="00293681" w:rsidRDefault="00F75064" w:rsidP="008B60B2">
      <w:pPr>
        <w:spacing w:after="60"/>
        <w:rPr>
          <w:sz w:val="17"/>
          <w:szCs w:val="17"/>
          <w:lang w:val="en-US"/>
        </w:rPr>
      </w:pPr>
      <w:r w:rsidRPr="00293681">
        <w:rPr>
          <w:sz w:val="17"/>
          <w:szCs w:val="17"/>
          <w:lang w:val="en-US"/>
        </w:rPr>
        <w:t>[Footnote continued from previous page]</w:t>
      </w:r>
    </w:p>
  </w:footnote>
  <w:footnote w:type="continuationNotice" w:id="1">
    <w:p w:rsidR="00F75064" w:rsidRPr="00293681" w:rsidRDefault="00F75064" w:rsidP="008B60B2">
      <w:pPr>
        <w:spacing w:before="60"/>
        <w:jc w:val="right"/>
        <w:rPr>
          <w:sz w:val="17"/>
          <w:szCs w:val="17"/>
          <w:lang w:val="en-US"/>
        </w:rPr>
      </w:pPr>
      <w:r w:rsidRPr="00293681">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064" w:rsidRPr="007A5789" w:rsidRDefault="00F75064" w:rsidP="00CB2879">
    <w:pPr>
      <w:pStyle w:val="ab"/>
      <w:jc w:val="right"/>
      <w:rPr>
        <w:sz w:val="18"/>
      </w:rPr>
    </w:pPr>
    <w:r w:rsidRPr="007A5789">
      <w:rPr>
        <w:sz w:val="18"/>
      </w:rPr>
      <w:t>2015年年度财务报告和财务报表</w:t>
    </w:r>
  </w:p>
  <w:p w:rsidR="00F75064" w:rsidRPr="007A5789" w:rsidRDefault="00F75064"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4F2055">
      <w:rPr>
        <w:noProof/>
        <w:sz w:val="18"/>
      </w:rPr>
      <w:t>3</w:t>
    </w:r>
    <w:r w:rsidRPr="007A5789">
      <w:rPr>
        <w:noProof/>
        <w:sz w:val="18"/>
      </w:rPr>
      <w:fldChar w:fldCharType="end"/>
    </w:r>
    <w:r w:rsidRPr="007A5789">
      <w:rPr>
        <w:sz w:val="18"/>
      </w:rPr>
      <w:t>页</w:t>
    </w:r>
  </w:p>
  <w:p w:rsidR="00F75064" w:rsidRPr="007A5789" w:rsidRDefault="00F75064" w:rsidP="00CB2879">
    <w:pPr>
      <w:pStyle w:val="ab"/>
      <w:jc w:val="right"/>
      <w:rPr>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right"/>
      <w:rPr>
        <w:sz w:val="18"/>
      </w:rPr>
    </w:pPr>
    <w:r w:rsidRPr="007A5789">
      <w:rPr>
        <w:sz w:val="18"/>
      </w:rPr>
      <w:t>2015年年度财务报告和财务报表</w:t>
    </w:r>
  </w:p>
  <w:p w:rsidR="004F2055" w:rsidRPr="007A5789" w:rsidRDefault="004F2055"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43</w:t>
    </w:r>
    <w:r w:rsidRPr="007A5789">
      <w:rPr>
        <w:noProof/>
        <w:sz w:val="18"/>
      </w:rPr>
      <w:fldChar w:fldCharType="end"/>
    </w:r>
    <w:r w:rsidRPr="007A5789">
      <w:rPr>
        <w:sz w:val="18"/>
      </w:rPr>
      <w:t>页</w:t>
    </w:r>
  </w:p>
  <w:p w:rsidR="004F2055" w:rsidRPr="004F2055" w:rsidRDefault="004F2055" w:rsidP="00CB2879">
    <w:pPr>
      <w:pStyle w:val="ab"/>
      <w:jc w:val="right"/>
      <w:rPr>
        <w:sz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4F2055">
    <w:pPr>
      <w:pStyle w:val="ab"/>
      <w:jc w:val="left"/>
      <w:rPr>
        <w:sz w:val="18"/>
      </w:rPr>
    </w:pPr>
    <w:r w:rsidRPr="007A5789">
      <w:rPr>
        <w:sz w:val="18"/>
      </w:rPr>
      <w:t>2015年年度财务报告和财务报表</w:t>
    </w:r>
  </w:p>
  <w:p w:rsidR="004F2055" w:rsidRDefault="004F2055" w:rsidP="004F2055">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24</w:t>
    </w:r>
    <w:r w:rsidRPr="007A5789">
      <w:rPr>
        <w:noProof/>
        <w:sz w:val="18"/>
      </w:rPr>
      <w:fldChar w:fldCharType="end"/>
    </w:r>
    <w:r w:rsidRPr="007A5789">
      <w:rPr>
        <w:sz w:val="18"/>
      </w:rPr>
      <w:t>页</w:t>
    </w:r>
  </w:p>
  <w:p w:rsidR="004F2055" w:rsidRPr="004F2055" w:rsidRDefault="004F2055" w:rsidP="004F2055">
    <w:pPr>
      <w:pStyle w:val="ab"/>
      <w:jc w:val="left"/>
      <w:rPr>
        <w:rFonts w:ascii="Times New Roman" w:hAnsi="Times New Roman"/>
        <w:sz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right"/>
      <w:rPr>
        <w:sz w:val="18"/>
      </w:rPr>
    </w:pPr>
    <w:r w:rsidRPr="007A5789">
      <w:rPr>
        <w:sz w:val="18"/>
      </w:rPr>
      <w:t>2015年年度财务报告和财务报表</w:t>
    </w:r>
  </w:p>
  <w:p w:rsidR="004F2055" w:rsidRPr="007A5789" w:rsidRDefault="004F2055"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45</w:t>
    </w:r>
    <w:r w:rsidRPr="007A5789">
      <w:rPr>
        <w:noProof/>
        <w:sz w:val="18"/>
      </w:rPr>
      <w:fldChar w:fldCharType="end"/>
    </w:r>
    <w:r w:rsidRPr="007A5789">
      <w:rPr>
        <w:sz w:val="18"/>
      </w:rPr>
      <w:t>页</w:t>
    </w:r>
  </w:p>
  <w:p w:rsidR="004F2055" w:rsidRPr="004F2055" w:rsidRDefault="004F2055" w:rsidP="00CB2879">
    <w:pPr>
      <w:pStyle w:val="ab"/>
      <w:jc w:val="right"/>
      <w:rPr>
        <w:sz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064" w:rsidRPr="007A5789" w:rsidRDefault="00F75064" w:rsidP="00AD1872">
    <w:pPr>
      <w:pStyle w:val="ab"/>
      <w:jc w:val="left"/>
      <w:rPr>
        <w:sz w:val="18"/>
      </w:rPr>
    </w:pPr>
    <w:r w:rsidRPr="007A5789">
      <w:rPr>
        <w:sz w:val="18"/>
      </w:rPr>
      <w:t>2015年年度财务报告和财务报表</w:t>
    </w:r>
  </w:p>
  <w:p w:rsidR="00F75064" w:rsidRPr="007A5789" w:rsidRDefault="00F75064" w:rsidP="00AD1872">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44</w:t>
    </w:r>
    <w:r w:rsidRPr="007A5789">
      <w:rPr>
        <w:noProof/>
        <w:sz w:val="18"/>
      </w:rPr>
      <w:fldChar w:fldCharType="end"/>
    </w:r>
    <w:r w:rsidRPr="007A5789">
      <w:rPr>
        <w:sz w:val="18"/>
      </w:rPr>
      <w:t>页</w:t>
    </w:r>
  </w:p>
  <w:p w:rsidR="00F75064" w:rsidRPr="004F2055" w:rsidRDefault="00F75064" w:rsidP="00AD1872">
    <w:pPr>
      <w:pStyle w:val="ab"/>
      <w:jc w:val="left"/>
      <w:rPr>
        <w:rFonts w:ascii="Times New Roman" w:hAnsi="Times New Roman"/>
        <w:sz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left"/>
      <w:rPr>
        <w:sz w:val="18"/>
      </w:rPr>
    </w:pPr>
    <w:r w:rsidRPr="007A5789">
      <w:rPr>
        <w:sz w:val="18"/>
      </w:rPr>
      <w:t>2015年年度财务报告和财务报表</w:t>
    </w:r>
  </w:p>
  <w:p w:rsidR="004F2055" w:rsidRPr="007A5789" w:rsidRDefault="004F2055" w:rsidP="00CB2879">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72</w:t>
    </w:r>
    <w:r w:rsidRPr="007A5789">
      <w:rPr>
        <w:noProof/>
        <w:sz w:val="18"/>
      </w:rPr>
      <w:fldChar w:fldCharType="end"/>
    </w:r>
    <w:r w:rsidRPr="007A5789">
      <w:rPr>
        <w:sz w:val="18"/>
      </w:rPr>
      <w:t>页</w:t>
    </w:r>
  </w:p>
  <w:p w:rsidR="004F2055" w:rsidRPr="004F2055" w:rsidRDefault="004F2055" w:rsidP="00CB2879">
    <w:pPr>
      <w:pStyle w:val="ab"/>
      <w:jc w:val="left"/>
      <w:rPr>
        <w:noProof/>
        <w:sz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right"/>
      <w:rPr>
        <w:sz w:val="18"/>
      </w:rPr>
    </w:pPr>
    <w:r w:rsidRPr="007A5789">
      <w:rPr>
        <w:sz w:val="18"/>
      </w:rPr>
      <w:t>2015年年度财务报告和财务报表</w:t>
    </w:r>
  </w:p>
  <w:p w:rsidR="004F2055" w:rsidRPr="007A5789" w:rsidRDefault="004F2055"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69</w:t>
    </w:r>
    <w:r w:rsidRPr="007A5789">
      <w:rPr>
        <w:noProof/>
        <w:sz w:val="18"/>
      </w:rPr>
      <w:fldChar w:fldCharType="end"/>
    </w:r>
    <w:r w:rsidRPr="007A5789">
      <w:rPr>
        <w:sz w:val="18"/>
      </w:rPr>
      <w:t>页</w:t>
    </w:r>
  </w:p>
  <w:p w:rsidR="004F2055" w:rsidRPr="004F2055" w:rsidRDefault="004F2055" w:rsidP="00CB2879">
    <w:pPr>
      <w:pStyle w:val="ab"/>
      <w:jc w:val="right"/>
      <w:rPr>
        <w:sz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AD1872">
    <w:pPr>
      <w:pStyle w:val="ab"/>
      <w:jc w:val="left"/>
      <w:rPr>
        <w:sz w:val="18"/>
      </w:rPr>
    </w:pPr>
    <w:r w:rsidRPr="007A5789">
      <w:rPr>
        <w:sz w:val="18"/>
      </w:rPr>
      <w:t>2015年年度财务报告和财务报表</w:t>
    </w:r>
  </w:p>
  <w:p w:rsidR="004F2055" w:rsidRPr="007A5789" w:rsidRDefault="004F2055" w:rsidP="00AD1872">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46</w:t>
    </w:r>
    <w:r w:rsidRPr="007A5789">
      <w:rPr>
        <w:noProof/>
        <w:sz w:val="18"/>
      </w:rPr>
      <w:fldChar w:fldCharType="end"/>
    </w:r>
    <w:r w:rsidRPr="007A5789">
      <w:rPr>
        <w:sz w:val="18"/>
      </w:rPr>
      <w:t>页</w:t>
    </w:r>
  </w:p>
  <w:p w:rsidR="004F2055" w:rsidRPr="004F2055" w:rsidRDefault="004F2055" w:rsidP="00AD1872">
    <w:pPr>
      <w:pStyle w:val="ab"/>
      <w:jc w:val="left"/>
      <w:rPr>
        <w:rFonts w:ascii="Times New Roman" w:hAnsi="Times New Roman"/>
        <w:sz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right"/>
      <w:rPr>
        <w:sz w:val="18"/>
      </w:rPr>
    </w:pPr>
    <w:r w:rsidRPr="007A5789">
      <w:rPr>
        <w:sz w:val="18"/>
      </w:rPr>
      <w:t>2015年年度财务报告和财务报表</w:t>
    </w:r>
  </w:p>
  <w:p w:rsidR="004F2055" w:rsidRPr="007A5789" w:rsidRDefault="004F2055"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71</w:t>
    </w:r>
    <w:r w:rsidRPr="007A5789">
      <w:rPr>
        <w:noProof/>
        <w:sz w:val="18"/>
      </w:rPr>
      <w:fldChar w:fldCharType="end"/>
    </w:r>
    <w:r w:rsidRPr="007A5789">
      <w:rPr>
        <w:sz w:val="18"/>
      </w:rPr>
      <w:t>页</w:t>
    </w:r>
  </w:p>
  <w:p w:rsidR="004F2055" w:rsidRPr="004F2055" w:rsidRDefault="004F2055" w:rsidP="00CB2879">
    <w:pPr>
      <w:pStyle w:val="ab"/>
      <w:jc w:val="right"/>
      <w:rPr>
        <w:sz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AD1872">
    <w:pPr>
      <w:pStyle w:val="ab"/>
      <w:jc w:val="left"/>
      <w:rPr>
        <w:sz w:val="18"/>
      </w:rPr>
    </w:pPr>
    <w:r w:rsidRPr="007A5789">
      <w:rPr>
        <w:sz w:val="18"/>
      </w:rPr>
      <w:t>2015年年度财务报告和财务报表</w:t>
    </w:r>
  </w:p>
  <w:p w:rsidR="004F2055" w:rsidRPr="007A5789" w:rsidRDefault="004F2055" w:rsidP="00AD1872">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74</w:t>
    </w:r>
    <w:r w:rsidRPr="007A5789">
      <w:rPr>
        <w:noProof/>
        <w:sz w:val="18"/>
      </w:rPr>
      <w:fldChar w:fldCharType="end"/>
    </w:r>
    <w:r w:rsidRPr="007A5789">
      <w:rPr>
        <w:sz w:val="18"/>
      </w:rPr>
      <w:t>页</w:t>
    </w:r>
  </w:p>
  <w:p w:rsidR="004F2055" w:rsidRPr="004F2055" w:rsidRDefault="004F2055" w:rsidP="00AD1872">
    <w:pPr>
      <w:pStyle w:val="ab"/>
      <w:jc w:val="left"/>
      <w:rPr>
        <w:rFonts w:ascii="Times New Roman" w:hAnsi="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064" w:rsidRPr="007A5789" w:rsidRDefault="00F75064" w:rsidP="00CB2879">
    <w:pPr>
      <w:pStyle w:val="ab"/>
      <w:jc w:val="left"/>
      <w:rPr>
        <w:sz w:val="18"/>
      </w:rPr>
    </w:pPr>
    <w:r w:rsidRPr="007A5789">
      <w:rPr>
        <w:sz w:val="18"/>
      </w:rPr>
      <w:t>2015年年度财务报告和财务报表</w:t>
    </w:r>
  </w:p>
  <w:p w:rsidR="00F75064" w:rsidRPr="007A5789" w:rsidRDefault="00F75064" w:rsidP="00CB2879">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2</w:t>
    </w:r>
    <w:r w:rsidRPr="007A5789">
      <w:rPr>
        <w:noProof/>
        <w:sz w:val="18"/>
      </w:rPr>
      <w:fldChar w:fldCharType="end"/>
    </w:r>
    <w:r w:rsidRPr="007A5789">
      <w:rPr>
        <w:sz w:val="18"/>
      </w:rPr>
      <w:t>页</w:t>
    </w:r>
  </w:p>
  <w:p w:rsidR="00F75064" w:rsidRPr="004F2055" w:rsidRDefault="00F75064" w:rsidP="00CB2879">
    <w:pPr>
      <w:pStyle w:val="ab"/>
      <w:jc w:val="left"/>
      <w:rPr>
        <w:noProof/>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right"/>
      <w:rPr>
        <w:sz w:val="18"/>
      </w:rPr>
    </w:pPr>
    <w:r w:rsidRPr="007A5789">
      <w:rPr>
        <w:sz w:val="18"/>
      </w:rPr>
      <w:t>2015年年度财务报告和财务报表</w:t>
    </w:r>
  </w:p>
  <w:p w:rsidR="004F2055" w:rsidRPr="007A5789" w:rsidRDefault="004F2055"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3</w:t>
    </w:r>
    <w:r w:rsidRPr="007A5789">
      <w:rPr>
        <w:noProof/>
        <w:sz w:val="18"/>
      </w:rPr>
      <w:fldChar w:fldCharType="end"/>
    </w:r>
    <w:r w:rsidRPr="007A5789">
      <w:rPr>
        <w:sz w:val="18"/>
      </w:rPr>
      <w:t>页</w:t>
    </w:r>
  </w:p>
  <w:p w:rsidR="004F2055" w:rsidRPr="004F2055" w:rsidRDefault="004F2055" w:rsidP="00CB2879">
    <w:pPr>
      <w:pStyle w:val="ab"/>
      <w:jc w:val="right"/>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Default="004F2055">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left"/>
      <w:rPr>
        <w:sz w:val="18"/>
      </w:rPr>
    </w:pPr>
    <w:r w:rsidRPr="007A5789">
      <w:rPr>
        <w:sz w:val="18"/>
      </w:rPr>
      <w:t>2015年年度财务报告和财务报表</w:t>
    </w:r>
  </w:p>
  <w:p w:rsidR="004F2055" w:rsidRPr="007A5789" w:rsidRDefault="004F2055" w:rsidP="00CB2879">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22</w:t>
    </w:r>
    <w:r w:rsidRPr="007A5789">
      <w:rPr>
        <w:noProof/>
        <w:sz w:val="18"/>
      </w:rPr>
      <w:fldChar w:fldCharType="end"/>
    </w:r>
    <w:r w:rsidRPr="007A5789">
      <w:rPr>
        <w:sz w:val="18"/>
      </w:rPr>
      <w:t>页</w:t>
    </w:r>
  </w:p>
  <w:p w:rsidR="004F2055" w:rsidRPr="004F2055" w:rsidRDefault="004F2055" w:rsidP="00CB2879">
    <w:pPr>
      <w:pStyle w:val="ab"/>
      <w:jc w:val="left"/>
      <w:rPr>
        <w:noProof/>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right"/>
      <w:rPr>
        <w:sz w:val="18"/>
      </w:rPr>
    </w:pPr>
    <w:r w:rsidRPr="007A5789">
      <w:rPr>
        <w:sz w:val="18"/>
      </w:rPr>
      <w:t>2015年年度财务报告和财务报表</w:t>
    </w:r>
  </w:p>
  <w:p w:rsidR="004F2055" w:rsidRPr="007A5789" w:rsidRDefault="004F2055"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21</w:t>
    </w:r>
    <w:r w:rsidRPr="007A5789">
      <w:rPr>
        <w:noProof/>
        <w:sz w:val="18"/>
      </w:rPr>
      <w:fldChar w:fldCharType="end"/>
    </w:r>
    <w:r w:rsidRPr="007A5789">
      <w:rPr>
        <w:sz w:val="18"/>
      </w:rPr>
      <w:t>页</w:t>
    </w:r>
  </w:p>
  <w:p w:rsidR="004F2055" w:rsidRPr="004F2055" w:rsidRDefault="004F2055" w:rsidP="00CB2879">
    <w:pPr>
      <w:pStyle w:val="ab"/>
      <w:jc w:val="right"/>
      <w:rPr>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064" w:rsidRPr="007A5789" w:rsidRDefault="00F75064" w:rsidP="004F2055">
    <w:pPr>
      <w:pStyle w:val="ab"/>
      <w:jc w:val="left"/>
      <w:rPr>
        <w:sz w:val="18"/>
      </w:rPr>
    </w:pPr>
    <w:r w:rsidRPr="007A5789">
      <w:rPr>
        <w:sz w:val="18"/>
      </w:rPr>
      <w:t>2015年年度财务报告和财务报表</w:t>
    </w:r>
  </w:p>
  <w:p w:rsidR="00F75064" w:rsidRDefault="00F75064" w:rsidP="004F2055">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4</w:t>
    </w:r>
    <w:r w:rsidRPr="007A5789">
      <w:rPr>
        <w:noProof/>
        <w:sz w:val="18"/>
      </w:rPr>
      <w:fldChar w:fldCharType="end"/>
    </w:r>
    <w:r w:rsidRPr="007A5789">
      <w:rPr>
        <w:sz w:val="18"/>
      </w:rPr>
      <w:t>页</w:t>
    </w:r>
  </w:p>
  <w:p w:rsidR="004F2055" w:rsidRPr="004F2055" w:rsidRDefault="004F2055" w:rsidP="004F2055">
    <w:pPr>
      <w:pStyle w:val="ab"/>
      <w:jc w:val="left"/>
      <w:rPr>
        <w:rFonts w:ascii="Times New Roman" w:hAnsi="Times New Roman"/>
        <w:sz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4F2055">
    <w:pPr>
      <w:pStyle w:val="ab"/>
      <w:jc w:val="right"/>
      <w:rPr>
        <w:sz w:val="18"/>
      </w:rPr>
    </w:pPr>
    <w:r w:rsidRPr="007A5789">
      <w:rPr>
        <w:sz w:val="18"/>
      </w:rPr>
      <w:t>2015年年度财务报告和财务报表</w:t>
    </w:r>
  </w:p>
  <w:p w:rsidR="004F2055" w:rsidRDefault="004F2055" w:rsidP="004F2055">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23</w:t>
    </w:r>
    <w:r w:rsidRPr="007A5789">
      <w:rPr>
        <w:noProof/>
        <w:sz w:val="18"/>
      </w:rPr>
      <w:fldChar w:fldCharType="end"/>
    </w:r>
    <w:r w:rsidRPr="007A5789">
      <w:rPr>
        <w:sz w:val="18"/>
      </w:rPr>
      <w:t>页</w:t>
    </w:r>
  </w:p>
  <w:p w:rsidR="004F2055" w:rsidRPr="004F2055" w:rsidRDefault="004F2055" w:rsidP="004F2055">
    <w:pPr>
      <w:pStyle w:val="ab"/>
      <w:jc w:val="right"/>
      <w:rPr>
        <w:rFonts w:ascii="Times New Roman" w:hAnsi="Times New Roman"/>
        <w:sz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left"/>
      <w:rPr>
        <w:sz w:val="18"/>
      </w:rPr>
    </w:pPr>
    <w:r w:rsidRPr="007A5789">
      <w:rPr>
        <w:sz w:val="18"/>
      </w:rPr>
      <w:t>2015年年度财务报告和财务报表</w:t>
    </w:r>
  </w:p>
  <w:p w:rsidR="004F2055" w:rsidRPr="007A5789" w:rsidRDefault="004F2055" w:rsidP="00CB2879">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EF7E79">
      <w:rPr>
        <w:noProof/>
        <w:sz w:val="18"/>
      </w:rPr>
      <w:t>42</w:t>
    </w:r>
    <w:r w:rsidRPr="007A5789">
      <w:rPr>
        <w:noProof/>
        <w:sz w:val="18"/>
      </w:rPr>
      <w:fldChar w:fldCharType="end"/>
    </w:r>
    <w:r w:rsidRPr="007A5789">
      <w:rPr>
        <w:sz w:val="18"/>
      </w:rPr>
      <w:t>页</w:t>
    </w:r>
  </w:p>
  <w:p w:rsidR="004F2055" w:rsidRPr="004F2055" w:rsidRDefault="004F2055" w:rsidP="00CB2879">
    <w:pPr>
      <w:pStyle w:val="ab"/>
      <w:jc w:val="left"/>
      <w:rPr>
        <w:noProof/>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6940155A"/>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F418E7"/>
    <w:multiLevelType w:val="hybridMultilevel"/>
    <w:tmpl w:val="BB18290C"/>
    <w:lvl w:ilvl="0" w:tplc="368C169C">
      <w:start w:val="1"/>
      <w:numFmt w:val="decimal"/>
      <w:lvlText w:val="14.%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83B14"/>
    <w:multiLevelType w:val="hybridMultilevel"/>
    <w:tmpl w:val="0924F0A6"/>
    <w:lvl w:ilvl="0" w:tplc="092072BC">
      <w:start w:val="1"/>
      <w:numFmt w:val="decimal"/>
      <w:lvlText w:val="2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D1D2B"/>
    <w:multiLevelType w:val="hybridMultilevel"/>
    <w:tmpl w:val="6D782AF2"/>
    <w:lvl w:ilvl="0" w:tplc="A5B480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A07D61"/>
    <w:multiLevelType w:val="hybridMultilevel"/>
    <w:tmpl w:val="7C3C7118"/>
    <w:lvl w:ilvl="0" w:tplc="2C1CA354">
      <w:start w:val="1"/>
      <w:numFmt w:val="decimal"/>
      <w:lvlText w:val="15.%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1335E43"/>
    <w:multiLevelType w:val="hybridMultilevel"/>
    <w:tmpl w:val="B420D974"/>
    <w:lvl w:ilvl="0" w:tplc="6908C734">
      <w:start w:val="1"/>
      <w:numFmt w:val="decimal"/>
      <w:lvlText w:val="23.%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B58CF"/>
    <w:multiLevelType w:val="hybridMultilevel"/>
    <w:tmpl w:val="280EFFF0"/>
    <w:lvl w:ilvl="0" w:tplc="9B9AE0EA">
      <w:start w:val="1"/>
      <w:numFmt w:val="decimal"/>
      <w:lvlText w:val="12.%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860CA"/>
    <w:multiLevelType w:val="hybridMultilevel"/>
    <w:tmpl w:val="2482FFA0"/>
    <w:lvl w:ilvl="0" w:tplc="60949AFC">
      <w:start w:val="1"/>
      <w:numFmt w:val="decimal"/>
      <w:lvlText w:val="13.%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21811"/>
    <w:multiLevelType w:val="hybridMultilevel"/>
    <w:tmpl w:val="03869704"/>
    <w:lvl w:ilvl="0" w:tplc="1694B294">
      <w:start w:val="1"/>
      <w:numFmt w:val="decimal"/>
      <w:lvlText w:val="4.%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2D37FA"/>
    <w:multiLevelType w:val="hybridMultilevel"/>
    <w:tmpl w:val="EFAA0B54"/>
    <w:lvl w:ilvl="0" w:tplc="D0F28C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629B6"/>
    <w:multiLevelType w:val="hybridMultilevel"/>
    <w:tmpl w:val="702CA728"/>
    <w:lvl w:ilvl="0" w:tplc="D9F889F2">
      <w:start w:val="1"/>
      <w:numFmt w:val="decimal"/>
      <w:lvlText w:val="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AFD340A"/>
    <w:multiLevelType w:val="hybridMultilevel"/>
    <w:tmpl w:val="FB126600"/>
    <w:lvl w:ilvl="0" w:tplc="7750A9A0">
      <w:start w:val="1"/>
      <w:numFmt w:val="decimal"/>
      <w:lvlText w:val="25.%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AE14A8"/>
    <w:multiLevelType w:val="hybridMultilevel"/>
    <w:tmpl w:val="7EBC5D98"/>
    <w:lvl w:ilvl="0" w:tplc="07861922">
      <w:start w:val="1"/>
      <w:numFmt w:val="decimal"/>
      <w:lvlText w:val="19.%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332B0A"/>
    <w:multiLevelType w:val="hybridMultilevel"/>
    <w:tmpl w:val="297E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1D224C"/>
    <w:multiLevelType w:val="hybridMultilevel"/>
    <w:tmpl w:val="D2B621F8"/>
    <w:lvl w:ilvl="0" w:tplc="76BA32EC">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C123BA"/>
    <w:multiLevelType w:val="hybridMultilevel"/>
    <w:tmpl w:val="4CD01E2E"/>
    <w:lvl w:ilvl="0" w:tplc="4BC8CBA0">
      <w:start w:val="1"/>
      <w:numFmt w:val="decimal"/>
      <w:lvlText w:val="22.%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D81B2E"/>
    <w:multiLevelType w:val="hybridMultilevel"/>
    <w:tmpl w:val="FA900178"/>
    <w:lvl w:ilvl="0" w:tplc="F9722814">
      <w:start w:val="1"/>
      <w:numFmt w:val="decimal"/>
      <w:lvlText w:val="3.%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224321"/>
    <w:multiLevelType w:val="hybridMultilevel"/>
    <w:tmpl w:val="251E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0A0CF1"/>
    <w:multiLevelType w:val="hybridMultilevel"/>
    <w:tmpl w:val="EA7E94B6"/>
    <w:lvl w:ilvl="0" w:tplc="CD108DA2">
      <w:start w:val="1"/>
      <w:numFmt w:val="decimal"/>
      <w:lvlText w:val="20.%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132C39"/>
    <w:multiLevelType w:val="hybridMultilevel"/>
    <w:tmpl w:val="95DC9AAE"/>
    <w:lvl w:ilvl="0" w:tplc="66E010A2">
      <w:start w:val="1"/>
      <w:numFmt w:val="decimal"/>
      <w:lvlText w:val="21.%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76C4B"/>
    <w:multiLevelType w:val="hybridMultilevel"/>
    <w:tmpl w:val="635C45AA"/>
    <w:lvl w:ilvl="0" w:tplc="140C87B4">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D4C85"/>
    <w:multiLevelType w:val="hybridMultilevel"/>
    <w:tmpl w:val="D8BC2A38"/>
    <w:lvl w:ilvl="0" w:tplc="F4EA4D1E">
      <w:start w:val="1"/>
      <w:numFmt w:val="decimal"/>
      <w:lvlText w:val="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50420C"/>
    <w:multiLevelType w:val="hybridMultilevel"/>
    <w:tmpl w:val="068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47018A"/>
    <w:multiLevelType w:val="hybridMultilevel"/>
    <w:tmpl w:val="E5D844A2"/>
    <w:lvl w:ilvl="0" w:tplc="2B3ACE6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6"/>
  </w:num>
  <w:num w:numId="4">
    <w:abstractNumId w:val="5"/>
  </w:num>
  <w:num w:numId="5">
    <w:abstractNumId w:val="16"/>
  </w:num>
  <w:num w:numId="6">
    <w:abstractNumId w:val="26"/>
  </w:num>
  <w:num w:numId="7">
    <w:abstractNumId w:val="3"/>
  </w:num>
  <w:num w:numId="8">
    <w:abstractNumId w:val="13"/>
  </w:num>
  <w:num w:numId="9">
    <w:abstractNumId w:val="21"/>
  </w:num>
  <w:num w:numId="10">
    <w:abstractNumId w:val="27"/>
  </w:num>
  <w:num w:numId="11">
    <w:abstractNumId w:val="18"/>
  </w:num>
  <w:num w:numId="12">
    <w:abstractNumId w:val="20"/>
  </w:num>
  <w:num w:numId="13">
    <w:abstractNumId w:val="10"/>
  </w:num>
  <w:num w:numId="14">
    <w:abstractNumId w:val="12"/>
  </w:num>
  <w:num w:numId="15">
    <w:abstractNumId w:val="25"/>
  </w:num>
  <w:num w:numId="16">
    <w:abstractNumId w:val="24"/>
  </w:num>
  <w:num w:numId="17">
    <w:abstractNumId w:val="11"/>
  </w:num>
  <w:num w:numId="18">
    <w:abstractNumId w:val="8"/>
  </w:num>
  <w:num w:numId="19">
    <w:abstractNumId w:val="9"/>
  </w:num>
  <w:num w:numId="20">
    <w:abstractNumId w:val="1"/>
  </w:num>
  <w:num w:numId="21">
    <w:abstractNumId w:val="4"/>
  </w:num>
  <w:num w:numId="22">
    <w:abstractNumId w:val="15"/>
  </w:num>
  <w:num w:numId="23">
    <w:abstractNumId w:val="22"/>
  </w:num>
  <w:num w:numId="24">
    <w:abstractNumId w:val="23"/>
  </w:num>
  <w:num w:numId="25">
    <w:abstractNumId w:val="19"/>
  </w:num>
  <w:num w:numId="26">
    <w:abstractNumId w:val="7"/>
  </w:num>
  <w:num w:numId="27">
    <w:abstractNumId w:val="14"/>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84"/>
    <w:rsid w:val="00003FC4"/>
    <w:rsid w:val="00007B93"/>
    <w:rsid w:val="00010600"/>
    <w:rsid w:val="00011912"/>
    <w:rsid w:val="00012E17"/>
    <w:rsid w:val="00021B97"/>
    <w:rsid w:val="00024ACE"/>
    <w:rsid w:val="00026B9B"/>
    <w:rsid w:val="000275F2"/>
    <w:rsid w:val="00033016"/>
    <w:rsid w:val="00042278"/>
    <w:rsid w:val="00042E81"/>
    <w:rsid w:val="00043CAA"/>
    <w:rsid w:val="00046B74"/>
    <w:rsid w:val="00061913"/>
    <w:rsid w:val="000650CA"/>
    <w:rsid w:val="000673A5"/>
    <w:rsid w:val="0007171A"/>
    <w:rsid w:val="00072D0E"/>
    <w:rsid w:val="00075432"/>
    <w:rsid w:val="000755FA"/>
    <w:rsid w:val="00076D7C"/>
    <w:rsid w:val="00081FFB"/>
    <w:rsid w:val="00084485"/>
    <w:rsid w:val="0009149D"/>
    <w:rsid w:val="00096898"/>
    <w:rsid w:val="000968ED"/>
    <w:rsid w:val="000A1290"/>
    <w:rsid w:val="000A3C01"/>
    <w:rsid w:val="000A7853"/>
    <w:rsid w:val="000B2E48"/>
    <w:rsid w:val="000B6027"/>
    <w:rsid w:val="000B71C2"/>
    <w:rsid w:val="000C33B2"/>
    <w:rsid w:val="000C374D"/>
    <w:rsid w:val="000C49C5"/>
    <w:rsid w:val="000C514B"/>
    <w:rsid w:val="000C779D"/>
    <w:rsid w:val="000D071E"/>
    <w:rsid w:val="000D260A"/>
    <w:rsid w:val="000D301B"/>
    <w:rsid w:val="000D40DA"/>
    <w:rsid w:val="000D5420"/>
    <w:rsid w:val="000D5AD6"/>
    <w:rsid w:val="000D73C1"/>
    <w:rsid w:val="000E14CD"/>
    <w:rsid w:val="000E4106"/>
    <w:rsid w:val="000E4D89"/>
    <w:rsid w:val="000E7D4A"/>
    <w:rsid w:val="000F123E"/>
    <w:rsid w:val="000F3F0F"/>
    <w:rsid w:val="000F5697"/>
    <w:rsid w:val="000F5E56"/>
    <w:rsid w:val="000F6462"/>
    <w:rsid w:val="000F6CC6"/>
    <w:rsid w:val="0010706F"/>
    <w:rsid w:val="00110211"/>
    <w:rsid w:val="00111426"/>
    <w:rsid w:val="001135F1"/>
    <w:rsid w:val="001308BC"/>
    <w:rsid w:val="00131284"/>
    <w:rsid w:val="00134184"/>
    <w:rsid w:val="00134E5A"/>
    <w:rsid w:val="001362EE"/>
    <w:rsid w:val="00137778"/>
    <w:rsid w:val="00147072"/>
    <w:rsid w:val="00151FE4"/>
    <w:rsid w:val="001521E7"/>
    <w:rsid w:val="0015665F"/>
    <w:rsid w:val="00160147"/>
    <w:rsid w:val="001613D4"/>
    <w:rsid w:val="00164D37"/>
    <w:rsid w:val="0016766F"/>
    <w:rsid w:val="00167CE7"/>
    <w:rsid w:val="001723AF"/>
    <w:rsid w:val="00172858"/>
    <w:rsid w:val="00173F96"/>
    <w:rsid w:val="00177640"/>
    <w:rsid w:val="00177F34"/>
    <w:rsid w:val="00180912"/>
    <w:rsid w:val="00182B53"/>
    <w:rsid w:val="001832A6"/>
    <w:rsid w:val="00184849"/>
    <w:rsid w:val="001864CF"/>
    <w:rsid w:val="00191D99"/>
    <w:rsid w:val="00192893"/>
    <w:rsid w:val="00192ECE"/>
    <w:rsid w:val="001933CD"/>
    <w:rsid w:val="00197D20"/>
    <w:rsid w:val="001A05C1"/>
    <w:rsid w:val="001A2030"/>
    <w:rsid w:val="001A411F"/>
    <w:rsid w:val="001A6151"/>
    <w:rsid w:val="001B0B5F"/>
    <w:rsid w:val="001B48D4"/>
    <w:rsid w:val="001B552A"/>
    <w:rsid w:val="001C3A91"/>
    <w:rsid w:val="001D3FBF"/>
    <w:rsid w:val="001D7CAA"/>
    <w:rsid w:val="001E1DEA"/>
    <w:rsid w:val="001E226D"/>
    <w:rsid w:val="001E3DB0"/>
    <w:rsid w:val="001E50BB"/>
    <w:rsid w:val="001E765F"/>
    <w:rsid w:val="001F39CA"/>
    <w:rsid w:val="001F563B"/>
    <w:rsid w:val="002014E0"/>
    <w:rsid w:val="002050E3"/>
    <w:rsid w:val="00207C89"/>
    <w:rsid w:val="00210A8A"/>
    <w:rsid w:val="002120E2"/>
    <w:rsid w:val="00214A68"/>
    <w:rsid w:val="002161B6"/>
    <w:rsid w:val="00222040"/>
    <w:rsid w:val="00222379"/>
    <w:rsid w:val="002231E4"/>
    <w:rsid w:val="00223417"/>
    <w:rsid w:val="00224ACB"/>
    <w:rsid w:val="0022533A"/>
    <w:rsid w:val="0023253A"/>
    <w:rsid w:val="002327F0"/>
    <w:rsid w:val="00237C47"/>
    <w:rsid w:val="00241067"/>
    <w:rsid w:val="00241702"/>
    <w:rsid w:val="002546A8"/>
    <w:rsid w:val="0025563A"/>
    <w:rsid w:val="002556AB"/>
    <w:rsid w:val="002577C1"/>
    <w:rsid w:val="002601CA"/>
    <w:rsid w:val="00261D76"/>
    <w:rsid w:val="002634C4"/>
    <w:rsid w:val="00265B43"/>
    <w:rsid w:val="00270372"/>
    <w:rsid w:val="00274C9E"/>
    <w:rsid w:val="002767E2"/>
    <w:rsid w:val="00280FB9"/>
    <w:rsid w:val="0028154F"/>
    <w:rsid w:val="00281857"/>
    <w:rsid w:val="00281939"/>
    <w:rsid w:val="00282BCD"/>
    <w:rsid w:val="00287DD3"/>
    <w:rsid w:val="002928D3"/>
    <w:rsid w:val="00293681"/>
    <w:rsid w:val="002947E7"/>
    <w:rsid w:val="00295079"/>
    <w:rsid w:val="002A5F64"/>
    <w:rsid w:val="002A65BF"/>
    <w:rsid w:val="002B00D3"/>
    <w:rsid w:val="002C0601"/>
    <w:rsid w:val="002C437E"/>
    <w:rsid w:val="002C6B90"/>
    <w:rsid w:val="002D06C1"/>
    <w:rsid w:val="002D2376"/>
    <w:rsid w:val="002D27E8"/>
    <w:rsid w:val="002D3E41"/>
    <w:rsid w:val="002D6942"/>
    <w:rsid w:val="002E0387"/>
    <w:rsid w:val="002E1EE6"/>
    <w:rsid w:val="002E5207"/>
    <w:rsid w:val="002E71E9"/>
    <w:rsid w:val="002F07DF"/>
    <w:rsid w:val="002F1992"/>
    <w:rsid w:val="002F1FE6"/>
    <w:rsid w:val="002F334E"/>
    <w:rsid w:val="002F4086"/>
    <w:rsid w:val="002F4E68"/>
    <w:rsid w:val="002F50E3"/>
    <w:rsid w:val="002F718E"/>
    <w:rsid w:val="00306720"/>
    <w:rsid w:val="00312F4B"/>
    <w:rsid w:val="00312F7F"/>
    <w:rsid w:val="00316F63"/>
    <w:rsid w:val="00322320"/>
    <w:rsid w:val="003256FB"/>
    <w:rsid w:val="00334C05"/>
    <w:rsid w:val="00337271"/>
    <w:rsid w:val="00343A5A"/>
    <w:rsid w:val="003447D9"/>
    <w:rsid w:val="00350404"/>
    <w:rsid w:val="00351587"/>
    <w:rsid w:val="00353F59"/>
    <w:rsid w:val="00355FD1"/>
    <w:rsid w:val="00357F42"/>
    <w:rsid w:val="00360370"/>
    <w:rsid w:val="00360E17"/>
    <w:rsid w:val="00361450"/>
    <w:rsid w:val="0036300F"/>
    <w:rsid w:val="0036514A"/>
    <w:rsid w:val="003673CF"/>
    <w:rsid w:val="00367FAB"/>
    <w:rsid w:val="00370428"/>
    <w:rsid w:val="00372FF8"/>
    <w:rsid w:val="00374121"/>
    <w:rsid w:val="00381101"/>
    <w:rsid w:val="00381820"/>
    <w:rsid w:val="003845C1"/>
    <w:rsid w:val="00390119"/>
    <w:rsid w:val="00391BB4"/>
    <w:rsid w:val="00392109"/>
    <w:rsid w:val="00393371"/>
    <w:rsid w:val="00393903"/>
    <w:rsid w:val="003947C0"/>
    <w:rsid w:val="00396EE7"/>
    <w:rsid w:val="003A11FB"/>
    <w:rsid w:val="003A2E23"/>
    <w:rsid w:val="003A3020"/>
    <w:rsid w:val="003A50FC"/>
    <w:rsid w:val="003A6C2D"/>
    <w:rsid w:val="003A6F89"/>
    <w:rsid w:val="003B05AB"/>
    <w:rsid w:val="003B20A0"/>
    <w:rsid w:val="003B22B3"/>
    <w:rsid w:val="003B35E6"/>
    <w:rsid w:val="003B38C1"/>
    <w:rsid w:val="003C0006"/>
    <w:rsid w:val="003C125D"/>
    <w:rsid w:val="003C6F4C"/>
    <w:rsid w:val="003D1AFA"/>
    <w:rsid w:val="003D2CFC"/>
    <w:rsid w:val="003D5463"/>
    <w:rsid w:val="003D693D"/>
    <w:rsid w:val="003D6E33"/>
    <w:rsid w:val="003D73A7"/>
    <w:rsid w:val="003E203B"/>
    <w:rsid w:val="003E3D38"/>
    <w:rsid w:val="003F0955"/>
    <w:rsid w:val="003F0CE2"/>
    <w:rsid w:val="00401262"/>
    <w:rsid w:val="00401FA9"/>
    <w:rsid w:val="00405770"/>
    <w:rsid w:val="00407E50"/>
    <w:rsid w:val="00410F39"/>
    <w:rsid w:val="004118B8"/>
    <w:rsid w:val="00412068"/>
    <w:rsid w:val="00413553"/>
    <w:rsid w:val="004138BA"/>
    <w:rsid w:val="00423D09"/>
    <w:rsid w:val="00423E3E"/>
    <w:rsid w:val="0042689C"/>
    <w:rsid w:val="00426A71"/>
    <w:rsid w:val="00427AF4"/>
    <w:rsid w:val="00432356"/>
    <w:rsid w:val="00434028"/>
    <w:rsid w:val="00435612"/>
    <w:rsid w:val="00435DD1"/>
    <w:rsid w:val="00436EBB"/>
    <w:rsid w:val="00437C4A"/>
    <w:rsid w:val="00442342"/>
    <w:rsid w:val="004433CB"/>
    <w:rsid w:val="00444BEA"/>
    <w:rsid w:val="00446921"/>
    <w:rsid w:val="0045088F"/>
    <w:rsid w:val="00451573"/>
    <w:rsid w:val="00456815"/>
    <w:rsid w:val="00457373"/>
    <w:rsid w:val="00462748"/>
    <w:rsid w:val="00463EFD"/>
    <w:rsid w:val="004647DA"/>
    <w:rsid w:val="00465109"/>
    <w:rsid w:val="00465CCC"/>
    <w:rsid w:val="00467FBB"/>
    <w:rsid w:val="004701FC"/>
    <w:rsid w:val="0047229F"/>
    <w:rsid w:val="00474062"/>
    <w:rsid w:val="00477D6B"/>
    <w:rsid w:val="00482A3C"/>
    <w:rsid w:val="00484C25"/>
    <w:rsid w:val="00486F0F"/>
    <w:rsid w:val="00496562"/>
    <w:rsid w:val="00497AA0"/>
    <w:rsid w:val="00497BBA"/>
    <w:rsid w:val="004A120A"/>
    <w:rsid w:val="004A298B"/>
    <w:rsid w:val="004B1BE2"/>
    <w:rsid w:val="004B4679"/>
    <w:rsid w:val="004C08E2"/>
    <w:rsid w:val="004C0FCD"/>
    <w:rsid w:val="004C2129"/>
    <w:rsid w:val="004C4926"/>
    <w:rsid w:val="004C4B86"/>
    <w:rsid w:val="004C5FAF"/>
    <w:rsid w:val="004C7078"/>
    <w:rsid w:val="004D1B13"/>
    <w:rsid w:val="004D73F4"/>
    <w:rsid w:val="004E35F9"/>
    <w:rsid w:val="004E3BF7"/>
    <w:rsid w:val="004E71F1"/>
    <w:rsid w:val="004E7E0E"/>
    <w:rsid w:val="004F0C85"/>
    <w:rsid w:val="004F2055"/>
    <w:rsid w:val="004F49A4"/>
    <w:rsid w:val="004F5040"/>
    <w:rsid w:val="00500698"/>
    <w:rsid w:val="005019FF"/>
    <w:rsid w:val="0050507A"/>
    <w:rsid w:val="00505770"/>
    <w:rsid w:val="00506375"/>
    <w:rsid w:val="0051224E"/>
    <w:rsid w:val="00513467"/>
    <w:rsid w:val="0051440E"/>
    <w:rsid w:val="005160DA"/>
    <w:rsid w:val="00523233"/>
    <w:rsid w:val="00523C34"/>
    <w:rsid w:val="005240BF"/>
    <w:rsid w:val="00524872"/>
    <w:rsid w:val="00530135"/>
    <w:rsid w:val="0053057A"/>
    <w:rsid w:val="00531D09"/>
    <w:rsid w:val="00534DA0"/>
    <w:rsid w:val="00536421"/>
    <w:rsid w:val="005378E9"/>
    <w:rsid w:val="00541080"/>
    <w:rsid w:val="0054649B"/>
    <w:rsid w:val="00554072"/>
    <w:rsid w:val="00557E18"/>
    <w:rsid w:val="00560A29"/>
    <w:rsid w:val="0056159A"/>
    <w:rsid w:val="0056241B"/>
    <w:rsid w:val="005628FA"/>
    <w:rsid w:val="00565E41"/>
    <w:rsid w:val="005735CE"/>
    <w:rsid w:val="00576186"/>
    <w:rsid w:val="005819A2"/>
    <w:rsid w:val="005841DF"/>
    <w:rsid w:val="0058420A"/>
    <w:rsid w:val="00584BB7"/>
    <w:rsid w:val="005872F2"/>
    <w:rsid w:val="0059182F"/>
    <w:rsid w:val="0059204D"/>
    <w:rsid w:val="00594A73"/>
    <w:rsid w:val="0059573C"/>
    <w:rsid w:val="005A2216"/>
    <w:rsid w:val="005A52C0"/>
    <w:rsid w:val="005A75DE"/>
    <w:rsid w:val="005B0337"/>
    <w:rsid w:val="005B1CB3"/>
    <w:rsid w:val="005B58F9"/>
    <w:rsid w:val="005C3256"/>
    <w:rsid w:val="005C32D7"/>
    <w:rsid w:val="005C6649"/>
    <w:rsid w:val="005C70FB"/>
    <w:rsid w:val="005D18F3"/>
    <w:rsid w:val="005D1B4D"/>
    <w:rsid w:val="005D59F9"/>
    <w:rsid w:val="005D63DF"/>
    <w:rsid w:val="005E3154"/>
    <w:rsid w:val="005E573C"/>
    <w:rsid w:val="005E6E5F"/>
    <w:rsid w:val="005E78ED"/>
    <w:rsid w:val="005F1034"/>
    <w:rsid w:val="005F4987"/>
    <w:rsid w:val="00605827"/>
    <w:rsid w:val="006118F6"/>
    <w:rsid w:val="00611CE1"/>
    <w:rsid w:val="00612907"/>
    <w:rsid w:val="00612CF1"/>
    <w:rsid w:val="00614EF9"/>
    <w:rsid w:val="00620D55"/>
    <w:rsid w:val="0062296B"/>
    <w:rsid w:val="0062364C"/>
    <w:rsid w:val="006245A4"/>
    <w:rsid w:val="00624A89"/>
    <w:rsid w:val="00626D17"/>
    <w:rsid w:val="00627306"/>
    <w:rsid w:val="0063467D"/>
    <w:rsid w:val="00634CC3"/>
    <w:rsid w:val="00642BA0"/>
    <w:rsid w:val="00646050"/>
    <w:rsid w:val="00646AC3"/>
    <w:rsid w:val="006508E4"/>
    <w:rsid w:val="0065215A"/>
    <w:rsid w:val="006521BC"/>
    <w:rsid w:val="00656511"/>
    <w:rsid w:val="006627BD"/>
    <w:rsid w:val="006650BC"/>
    <w:rsid w:val="00666FED"/>
    <w:rsid w:val="00667384"/>
    <w:rsid w:val="006713CA"/>
    <w:rsid w:val="00673422"/>
    <w:rsid w:val="00673778"/>
    <w:rsid w:val="006751B8"/>
    <w:rsid w:val="00676C5C"/>
    <w:rsid w:val="00682095"/>
    <w:rsid w:val="00684AAC"/>
    <w:rsid w:val="006950A0"/>
    <w:rsid w:val="0069659C"/>
    <w:rsid w:val="006A1075"/>
    <w:rsid w:val="006A2997"/>
    <w:rsid w:val="006A3CDF"/>
    <w:rsid w:val="006A59EF"/>
    <w:rsid w:val="006B0F83"/>
    <w:rsid w:val="006C068B"/>
    <w:rsid w:val="006C0F4F"/>
    <w:rsid w:val="006C3E9E"/>
    <w:rsid w:val="006C5BD0"/>
    <w:rsid w:val="006C6898"/>
    <w:rsid w:val="006D02DE"/>
    <w:rsid w:val="006D1B5C"/>
    <w:rsid w:val="006D2AFA"/>
    <w:rsid w:val="006D7E0C"/>
    <w:rsid w:val="006E2A3C"/>
    <w:rsid w:val="006E3E19"/>
    <w:rsid w:val="006E3E75"/>
    <w:rsid w:val="006E59E2"/>
    <w:rsid w:val="006E7322"/>
    <w:rsid w:val="006F0531"/>
    <w:rsid w:val="006F192F"/>
    <w:rsid w:val="006F220D"/>
    <w:rsid w:val="006F28EC"/>
    <w:rsid w:val="00700881"/>
    <w:rsid w:val="007020E3"/>
    <w:rsid w:val="007023EA"/>
    <w:rsid w:val="00703CCE"/>
    <w:rsid w:val="00714234"/>
    <w:rsid w:val="007151C4"/>
    <w:rsid w:val="0071598D"/>
    <w:rsid w:val="00721341"/>
    <w:rsid w:val="0072185F"/>
    <w:rsid w:val="00723D08"/>
    <w:rsid w:val="00726678"/>
    <w:rsid w:val="0072689A"/>
    <w:rsid w:val="0073064F"/>
    <w:rsid w:val="00731917"/>
    <w:rsid w:val="00736FA3"/>
    <w:rsid w:val="0073720D"/>
    <w:rsid w:val="0074049E"/>
    <w:rsid w:val="00741957"/>
    <w:rsid w:val="0074262A"/>
    <w:rsid w:val="00742D22"/>
    <w:rsid w:val="00751F42"/>
    <w:rsid w:val="007525E4"/>
    <w:rsid w:val="00752F46"/>
    <w:rsid w:val="00760B96"/>
    <w:rsid w:val="0076288A"/>
    <w:rsid w:val="00767F60"/>
    <w:rsid w:val="00774D24"/>
    <w:rsid w:val="00774E70"/>
    <w:rsid w:val="007826F4"/>
    <w:rsid w:val="00797442"/>
    <w:rsid w:val="007A2028"/>
    <w:rsid w:val="007A5789"/>
    <w:rsid w:val="007B1670"/>
    <w:rsid w:val="007B1A06"/>
    <w:rsid w:val="007B37D6"/>
    <w:rsid w:val="007B7DB1"/>
    <w:rsid w:val="007C045C"/>
    <w:rsid w:val="007C1BEE"/>
    <w:rsid w:val="007C2134"/>
    <w:rsid w:val="007C35CC"/>
    <w:rsid w:val="007C4A93"/>
    <w:rsid w:val="007D1613"/>
    <w:rsid w:val="007D26F4"/>
    <w:rsid w:val="007D5376"/>
    <w:rsid w:val="007D7D4B"/>
    <w:rsid w:val="007F2679"/>
    <w:rsid w:val="00807176"/>
    <w:rsid w:val="00816F5D"/>
    <w:rsid w:val="00817B84"/>
    <w:rsid w:val="00823A8C"/>
    <w:rsid w:val="008310D4"/>
    <w:rsid w:val="00837543"/>
    <w:rsid w:val="00837A08"/>
    <w:rsid w:val="00843BEC"/>
    <w:rsid w:val="00845E78"/>
    <w:rsid w:val="00850BA0"/>
    <w:rsid w:val="008529D9"/>
    <w:rsid w:val="00853E5B"/>
    <w:rsid w:val="0085595C"/>
    <w:rsid w:val="00860903"/>
    <w:rsid w:val="00860EA4"/>
    <w:rsid w:val="00861DD9"/>
    <w:rsid w:val="008629D9"/>
    <w:rsid w:val="00864404"/>
    <w:rsid w:val="0086725F"/>
    <w:rsid w:val="00871AB1"/>
    <w:rsid w:val="00875CCC"/>
    <w:rsid w:val="00876848"/>
    <w:rsid w:val="00876E3A"/>
    <w:rsid w:val="00880100"/>
    <w:rsid w:val="00882BA9"/>
    <w:rsid w:val="008830AB"/>
    <w:rsid w:val="0088387C"/>
    <w:rsid w:val="00884F0E"/>
    <w:rsid w:val="008878D1"/>
    <w:rsid w:val="0089356B"/>
    <w:rsid w:val="00893CF0"/>
    <w:rsid w:val="008965A7"/>
    <w:rsid w:val="008971A2"/>
    <w:rsid w:val="008A570E"/>
    <w:rsid w:val="008B0F01"/>
    <w:rsid w:val="008B2CC1"/>
    <w:rsid w:val="008B4A68"/>
    <w:rsid w:val="008B60B2"/>
    <w:rsid w:val="008B64D0"/>
    <w:rsid w:val="008B6974"/>
    <w:rsid w:val="008B7FDA"/>
    <w:rsid w:val="008C3F70"/>
    <w:rsid w:val="008C562B"/>
    <w:rsid w:val="008C6F1F"/>
    <w:rsid w:val="008D1C7E"/>
    <w:rsid w:val="008D688E"/>
    <w:rsid w:val="008D69E6"/>
    <w:rsid w:val="008E4022"/>
    <w:rsid w:val="008F1B21"/>
    <w:rsid w:val="008F4D16"/>
    <w:rsid w:val="008F7466"/>
    <w:rsid w:val="00900197"/>
    <w:rsid w:val="00901262"/>
    <w:rsid w:val="00903D0C"/>
    <w:rsid w:val="0090731E"/>
    <w:rsid w:val="009109B9"/>
    <w:rsid w:val="00915477"/>
    <w:rsid w:val="00916EE2"/>
    <w:rsid w:val="0091737F"/>
    <w:rsid w:val="00920757"/>
    <w:rsid w:val="009267AF"/>
    <w:rsid w:val="00927806"/>
    <w:rsid w:val="00934959"/>
    <w:rsid w:val="00935F88"/>
    <w:rsid w:val="0093655D"/>
    <w:rsid w:val="00943ADC"/>
    <w:rsid w:val="00952000"/>
    <w:rsid w:val="00956AE3"/>
    <w:rsid w:val="00961845"/>
    <w:rsid w:val="00966A22"/>
    <w:rsid w:val="0096722F"/>
    <w:rsid w:val="0097337E"/>
    <w:rsid w:val="0097362E"/>
    <w:rsid w:val="0097506B"/>
    <w:rsid w:val="0097594F"/>
    <w:rsid w:val="00976868"/>
    <w:rsid w:val="00976C19"/>
    <w:rsid w:val="00980843"/>
    <w:rsid w:val="00982238"/>
    <w:rsid w:val="00984DC2"/>
    <w:rsid w:val="009876C5"/>
    <w:rsid w:val="0099668F"/>
    <w:rsid w:val="009A4369"/>
    <w:rsid w:val="009B15CB"/>
    <w:rsid w:val="009B5B06"/>
    <w:rsid w:val="009B6AF1"/>
    <w:rsid w:val="009B7771"/>
    <w:rsid w:val="009C4FDD"/>
    <w:rsid w:val="009C73D3"/>
    <w:rsid w:val="009D2023"/>
    <w:rsid w:val="009E2791"/>
    <w:rsid w:val="009E3F6F"/>
    <w:rsid w:val="009E4A19"/>
    <w:rsid w:val="009E52B3"/>
    <w:rsid w:val="009E5A08"/>
    <w:rsid w:val="009F499F"/>
    <w:rsid w:val="009F511E"/>
    <w:rsid w:val="009F536B"/>
    <w:rsid w:val="009F5B81"/>
    <w:rsid w:val="009F63F3"/>
    <w:rsid w:val="00A05103"/>
    <w:rsid w:val="00A05D7E"/>
    <w:rsid w:val="00A05E56"/>
    <w:rsid w:val="00A10A0D"/>
    <w:rsid w:val="00A13F30"/>
    <w:rsid w:val="00A14905"/>
    <w:rsid w:val="00A20053"/>
    <w:rsid w:val="00A228C0"/>
    <w:rsid w:val="00A23161"/>
    <w:rsid w:val="00A24C64"/>
    <w:rsid w:val="00A26F15"/>
    <w:rsid w:val="00A3050F"/>
    <w:rsid w:val="00A40F88"/>
    <w:rsid w:val="00A42DAF"/>
    <w:rsid w:val="00A45BD8"/>
    <w:rsid w:val="00A45FF1"/>
    <w:rsid w:val="00A5115E"/>
    <w:rsid w:val="00A52B35"/>
    <w:rsid w:val="00A537AE"/>
    <w:rsid w:val="00A54B40"/>
    <w:rsid w:val="00A55AC8"/>
    <w:rsid w:val="00A623F8"/>
    <w:rsid w:val="00A626A2"/>
    <w:rsid w:val="00A62F43"/>
    <w:rsid w:val="00A67565"/>
    <w:rsid w:val="00A67983"/>
    <w:rsid w:val="00A67E56"/>
    <w:rsid w:val="00A72FF4"/>
    <w:rsid w:val="00A80CBC"/>
    <w:rsid w:val="00A83AAE"/>
    <w:rsid w:val="00A83C62"/>
    <w:rsid w:val="00A850AE"/>
    <w:rsid w:val="00A852F8"/>
    <w:rsid w:val="00A869B7"/>
    <w:rsid w:val="00A91198"/>
    <w:rsid w:val="00A92B75"/>
    <w:rsid w:val="00A93019"/>
    <w:rsid w:val="00A93427"/>
    <w:rsid w:val="00A97771"/>
    <w:rsid w:val="00AA0876"/>
    <w:rsid w:val="00AA0D2C"/>
    <w:rsid w:val="00AA0E64"/>
    <w:rsid w:val="00AA25B8"/>
    <w:rsid w:val="00AA3676"/>
    <w:rsid w:val="00AA43E2"/>
    <w:rsid w:val="00AA61C2"/>
    <w:rsid w:val="00AB1842"/>
    <w:rsid w:val="00AB1CF0"/>
    <w:rsid w:val="00AB6919"/>
    <w:rsid w:val="00AB7661"/>
    <w:rsid w:val="00AB7CFB"/>
    <w:rsid w:val="00AC1336"/>
    <w:rsid w:val="00AC205C"/>
    <w:rsid w:val="00AC4C1F"/>
    <w:rsid w:val="00AD1872"/>
    <w:rsid w:val="00AE0319"/>
    <w:rsid w:val="00AE241D"/>
    <w:rsid w:val="00AE7368"/>
    <w:rsid w:val="00AF0A6B"/>
    <w:rsid w:val="00AF3F7A"/>
    <w:rsid w:val="00AF4245"/>
    <w:rsid w:val="00AF5CFD"/>
    <w:rsid w:val="00B009E1"/>
    <w:rsid w:val="00B040D3"/>
    <w:rsid w:val="00B05A69"/>
    <w:rsid w:val="00B079E5"/>
    <w:rsid w:val="00B07A67"/>
    <w:rsid w:val="00B11B47"/>
    <w:rsid w:val="00B123D1"/>
    <w:rsid w:val="00B125D6"/>
    <w:rsid w:val="00B13F12"/>
    <w:rsid w:val="00B146C7"/>
    <w:rsid w:val="00B15A76"/>
    <w:rsid w:val="00B16462"/>
    <w:rsid w:val="00B1767E"/>
    <w:rsid w:val="00B24052"/>
    <w:rsid w:val="00B278A5"/>
    <w:rsid w:val="00B37992"/>
    <w:rsid w:val="00B419B8"/>
    <w:rsid w:val="00B42068"/>
    <w:rsid w:val="00B47275"/>
    <w:rsid w:val="00B5223F"/>
    <w:rsid w:val="00B535C0"/>
    <w:rsid w:val="00B56D5F"/>
    <w:rsid w:val="00B6014B"/>
    <w:rsid w:val="00B6141C"/>
    <w:rsid w:val="00B66F77"/>
    <w:rsid w:val="00B674DC"/>
    <w:rsid w:val="00B71807"/>
    <w:rsid w:val="00B773D8"/>
    <w:rsid w:val="00B82613"/>
    <w:rsid w:val="00B82C12"/>
    <w:rsid w:val="00B83703"/>
    <w:rsid w:val="00B83A8E"/>
    <w:rsid w:val="00B86B51"/>
    <w:rsid w:val="00B87A4B"/>
    <w:rsid w:val="00B87AB6"/>
    <w:rsid w:val="00B906A0"/>
    <w:rsid w:val="00B95ABA"/>
    <w:rsid w:val="00B95FE4"/>
    <w:rsid w:val="00B9734B"/>
    <w:rsid w:val="00BA1F25"/>
    <w:rsid w:val="00BA3B3D"/>
    <w:rsid w:val="00BA7202"/>
    <w:rsid w:val="00BB31E2"/>
    <w:rsid w:val="00BD2A86"/>
    <w:rsid w:val="00BD4288"/>
    <w:rsid w:val="00BD786B"/>
    <w:rsid w:val="00BE479D"/>
    <w:rsid w:val="00BE4934"/>
    <w:rsid w:val="00BE7F37"/>
    <w:rsid w:val="00BF6912"/>
    <w:rsid w:val="00BF7D1E"/>
    <w:rsid w:val="00C01572"/>
    <w:rsid w:val="00C01A32"/>
    <w:rsid w:val="00C0360F"/>
    <w:rsid w:val="00C113AC"/>
    <w:rsid w:val="00C11BFE"/>
    <w:rsid w:val="00C11D9F"/>
    <w:rsid w:val="00C12629"/>
    <w:rsid w:val="00C13592"/>
    <w:rsid w:val="00C140AC"/>
    <w:rsid w:val="00C1548C"/>
    <w:rsid w:val="00C17341"/>
    <w:rsid w:val="00C22171"/>
    <w:rsid w:val="00C226A4"/>
    <w:rsid w:val="00C239C5"/>
    <w:rsid w:val="00C252AA"/>
    <w:rsid w:val="00C2602D"/>
    <w:rsid w:val="00C26F2F"/>
    <w:rsid w:val="00C3539C"/>
    <w:rsid w:val="00C356C6"/>
    <w:rsid w:val="00C36D6F"/>
    <w:rsid w:val="00C3777C"/>
    <w:rsid w:val="00C41DEE"/>
    <w:rsid w:val="00C43E3B"/>
    <w:rsid w:val="00C45075"/>
    <w:rsid w:val="00C51350"/>
    <w:rsid w:val="00C51B86"/>
    <w:rsid w:val="00C52E0D"/>
    <w:rsid w:val="00C53F31"/>
    <w:rsid w:val="00C558E8"/>
    <w:rsid w:val="00C60C73"/>
    <w:rsid w:val="00C64779"/>
    <w:rsid w:val="00C671D8"/>
    <w:rsid w:val="00C6760F"/>
    <w:rsid w:val="00C776D3"/>
    <w:rsid w:val="00C8364B"/>
    <w:rsid w:val="00C83CDF"/>
    <w:rsid w:val="00C8425D"/>
    <w:rsid w:val="00C86F41"/>
    <w:rsid w:val="00C91B91"/>
    <w:rsid w:val="00C9315A"/>
    <w:rsid w:val="00CA58D6"/>
    <w:rsid w:val="00CA720C"/>
    <w:rsid w:val="00CB02C3"/>
    <w:rsid w:val="00CB0E32"/>
    <w:rsid w:val="00CB2879"/>
    <w:rsid w:val="00CB2A7C"/>
    <w:rsid w:val="00CB5537"/>
    <w:rsid w:val="00CB61B3"/>
    <w:rsid w:val="00CB63CE"/>
    <w:rsid w:val="00CB73A4"/>
    <w:rsid w:val="00CC397A"/>
    <w:rsid w:val="00CD2420"/>
    <w:rsid w:val="00CD67DC"/>
    <w:rsid w:val="00CE3A43"/>
    <w:rsid w:val="00CE3C0D"/>
    <w:rsid w:val="00CE6ADE"/>
    <w:rsid w:val="00CF0598"/>
    <w:rsid w:val="00D0039F"/>
    <w:rsid w:val="00D01C21"/>
    <w:rsid w:val="00D01D57"/>
    <w:rsid w:val="00D0252D"/>
    <w:rsid w:val="00D10285"/>
    <w:rsid w:val="00D1421A"/>
    <w:rsid w:val="00D1566C"/>
    <w:rsid w:val="00D16986"/>
    <w:rsid w:val="00D17207"/>
    <w:rsid w:val="00D26027"/>
    <w:rsid w:val="00D4148C"/>
    <w:rsid w:val="00D45252"/>
    <w:rsid w:val="00D4645C"/>
    <w:rsid w:val="00D47464"/>
    <w:rsid w:val="00D47896"/>
    <w:rsid w:val="00D52684"/>
    <w:rsid w:val="00D67AB1"/>
    <w:rsid w:val="00D70099"/>
    <w:rsid w:val="00D703C0"/>
    <w:rsid w:val="00D71B4D"/>
    <w:rsid w:val="00D747CB"/>
    <w:rsid w:val="00D74F1E"/>
    <w:rsid w:val="00D75A6A"/>
    <w:rsid w:val="00D77DAF"/>
    <w:rsid w:val="00D80C60"/>
    <w:rsid w:val="00D91203"/>
    <w:rsid w:val="00D93D55"/>
    <w:rsid w:val="00D9546B"/>
    <w:rsid w:val="00D964B3"/>
    <w:rsid w:val="00D9706A"/>
    <w:rsid w:val="00DA0C4B"/>
    <w:rsid w:val="00DA0F29"/>
    <w:rsid w:val="00DA6A33"/>
    <w:rsid w:val="00DB0039"/>
    <w:rsid w:val="00DB3F7E"/>
    <w:rsid w:val="00DC1190"/>
    <w:rsid w:val="00DC15D1"/>
    <w:rsid w:val="00DC2224"/>
    <w:rsid w:val="00DC424F"/>
    <w:rsid w:val="00DD3735"/>
    <w:rsid w:val="00DD3CD9"/>
    <w:rsid w:val="00DD5C76"/>
    <w:rsid w:val="00DD608E"/>
    <w:rsid w:val="00DD77E4"/>
    <w:rsid w:val="00DE039F"/>
    <w:rsid w:val="00DE20EA"/>
    <w:rsid w:val="00DE47C7"/>
    <w:rsid w:val="00DE6EC0"/>
    <w:rsid w:val="00DF21F2"/>
    <w:rsid w:val="00DF3539"/>
    <w:rsid w:val="00DF4509"/>
    <w:rsid w:val="00DF636C"/>
    <w:rsid w:val="00DF66A1"/>
    <w:rsid w:val="00DF7115"/>
    <w:rsid w:val="00E01892"/>
    <w:rsid w:val="00E01D2F"/>
    <w:rsid w:val="00E0253C"/>
    <w:rsid w:val="00E05A41"/>
    <w:rsid w:val="00E05E40"/>
    <w:rsid w:val="00E12393"/>
    <w:rsid w:val="00E14CE0"/>
    <w:rsid w:val="00E1643A"/>
    <w:rsid w:val="00E17626"/>
    <w:rsid w:val="00E2275A"/>
    <w:rsid w:val="00E22862"/>
    <w:rsid w:val="00E32452"/>
    <w:rsid w:val="00E335FE"/>
    <w:rsid w:val="00E34CA8"/>
    <w:rsid w:val="00E400AE"/>
    <w:rsid w:val="00E4218E"/>
    <w:rsid w:val="00E42E0E"/>
    <w:rsid w:val="00E51CE7"/>
    <w:rsid w:val="00E525EB"/>
    <w:rsid w:val="00E57C4A"/>
    <w:rsid w:val="00E61BF4"/>
    <w:rsid w:val="00E62B5B"/>
    <w:rsid w:val="00E62FB6"/>
    <w:rsid w:val="00E645F4"/>
    <w:rsid w:val="00E64D45"/>
    <w:rsid w:val="00E74771"/>
    <w:rsid w:val="00E773B0"/>
    <w:rsid w:val="00E83A94"/>
    <w:rsid w:val="00E83B9E"/>
    <w:rsid w:val="00E87A9D"/>
    <w:rsid w:val="00E9035C"/>
    <w:rsid w:val="00E96409"/>
    <w:rsid w:val="00EA07EB"/>
    <w:rsid w:val="00EA203A"/>
    <w:rsid w:val="00EA2327"/>
    <w:rsid w:val="00EA456C"/>
    <w:rsid w:val="00EA7EF9"/>
    <w:rsid w:val="00EB07DE"/>
    <w:rsid w:val="00EC4E49"/>
    <w:rsid w:val="00ED0059"/>
    <w:rsid w:val="00ED4D79"/>
    <w:rsid w:val="00ED56EC"/>
    <w:rsid w:val="00ED751E"/>
    <w:rsid w:val="00ED77FB"/>
    <w:rsid w:val="00EE05B9"/>
    <w:rsid w:val="00EE11FF"/>
    <w:rsid w:val="00EE23D0"/>
    <w:rsid w:val="00EE3A29"/>
    <w:rsid w:val="00EE45FA"/>
    <w:rsid w:val="00EE4968"/>
    <w:rsid w:val="00EE5045"/>
    <w:rsid w:val="00EE74A1"/>
    <w:rsid w:val="00EE7591"/>
    <w:rsid w:val="00EF1639"/>
    <w:rsid w:val="00EF30E4"/>
    <w:rsid w:val="00EF3299"/>
    <w:rsid w:val="00EF3769"/>
    <w:rsid w:val="00EF5FB1"/>
    <w:rsid w:val="00EF7E79"/>
    <w:rsid w:val="00F00DD3"/>
    <w:rsid w:val="00F04F6F"/>
    <w:rsid w:val="00F05147"/>
    <w:rsid w:val="00F124D0"/>
    <w:rsid w:val="00F17D98"/>
    <w:rsid w:val="00F2087F"/>
    <w:rsid w:val="00F2215F"/>
    <w:rsid w:val="00F222A3"/>
    <w:rsid w:val="00F277F0"/>
    <w:rsid w:val="00F34F99"/>
    <w:rsid w:val="00F374B8"/>
    <w:rsid w:val="00F43C95"/>
    <w:rsid w:val="00F44B63"/>
    <w:rsid w:val="00F50BC0"/>
    <w:rsid w:val="00F539D4"/>
    <w:rsid w:val="00F566BD"/>
    <w:rsid w:val="00F65E4C"/>
    <w:rsid w:val="00F66152"/>
    <w:rsid w:val="00F67AC1"/>
    <w:rsid w:val="00F67EFB"/>
    <w:rsid w:val="00F703E9"/>
    <w:rsid w:val="00F73B73"/>
    <w:rsid w:val="00F75064"/>
    <w:rsid w:val="00F76195"/>
    <w:rsid w:val="00F762A7"/>
    <w:rsid w:val="00F829D9"/>
    <w:rsid w:val="00F85CF0"/>
    <w:rsid w:val="00F92E18"/>
    <w:rsid w:val="00F92E84"/>
    <w:rsid w:val="00F93C2F"/>
    <w:rsid w:val="00F94318"/>
    <w:rsid w:val="00F97423"/>
    <w:rsid w:val="00FA11AD"/>
    <w:rsid w:val="00FA183C"/>
    <w:rsid w:val="00FA2810"/>
    <w:rsid w:val="00FA3769"/>
    <w:rsid w:val="00FA75FC"/>
    <w:rsid w:val="00FB0A33"/>
    <w:rsid w:val="00FB1360"/>
    <w:rsid w:val="00FB3946"/>
    <w:rsid w:val="00FB5825"/>
    <w:rsid w:val="00FC542D"/>
    <w:rsid w:val="00FC788A"/>
    <w:rsid w:val="00FD1093"/>
    <w:rsid w:val="00FD111A"/>
    <w:rsid w:val="00FD44BD"/>
    <w:rsid w:val="00FD644E"/>
    <w:rsid w:val="00FD69C6"/>
    <w:rsid w:val="00FE146B"/>
    <w:rsid w:val="00FF1AF9"/>
    <w:rsid w:val="00FF2048"/>
    <w:rsid w:val="00FF47B9"/>
    <w:rsid w:val="00FF4B40"/>
    <w:rsid w:val="00FF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Sun" w:eastAsia="SimSun" w:hAnsi="SimSun" w:cs="SimSu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7896"/>
    <w:pPr>
      <w:jc w:val="both"/>
    </w:pPr>
    <w:rPr>
      <w:sz w:val="22"/>
      <w:lang w:val="zh-CN" w:bidi="zh-CN"/>
    </w:rPr>
  </w:style>
  <w:style w:type="paragraph" w:styleId="1">
    <w:name w:val="heading 1"/>
    <w:basedOn w:val="a0"/>
    <w:next w:val="a0"/>
    <w:qFormat/>
    <w:rsid w:val="00D47896"/>
    <w:pPr>
      <w:keepNext/>
      <w:spacing w:before="240" w:after="240"/>
      <w:outlineLvl w:val="0"/>
    </w:pPr>
    <w:rPr>
      <w:b/>
      <w:bCs/>
      <w:caps/>
      <w:kern w:val="32"/>
      <w:szCs w:val="32"/>
    </w:rPr>
  </w:style>
  <w:style w:type="paragraph" w:styleId="2">
    <w:name w:val="heading 2"/>
    <w:basedOn w:val="a0"/>
    <w:next w:val="a0"/>
    <w:qFormat/>
    <w:rsid w:val="005F1034"/>
    <w:pPr>
      <w:keepNext/>
      <w:spacing w:before="240" w:after="200"/>
      <w:outlineLvl w:val="1"/>
    </w:pPr>
    <w:rPr>
      <w:b/>
      <w:bCs/>
      <w:iCs/>
      <w:szCs w:val="28"/>
    </w:rPr>
  </w:style>
  <w:style w:type="paragraph" w:styleId="3">
    <w:name w:val="heading 3"/>
    <w:basedOn w:val="a0"/>
    <w:next w:val="a0"/>
    <w:qFormat/>
    <w:rsid w:val="00D4645C"/>
    <w:pPr>
      <w:keepNext/>
      <w:spacing w:before="240" w:after="60"/>
      <w:outlineLvl w:val="2"/>
    </w:pPr>
    <w:rPr>
      <w:b/>
      <w:bCs/>
      <w:caps/>
      <w:szCs w:val="26"/>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817B84"/>
    <w:rPr>
      <w:sz w:val="16"/>
      <w:szCs w:val="16"/>
    </w:rPr>
  </w:style>
  <w:style w:type="paragraph" w:styleId="aa">
    <w:name w:val="footnote text"/>
    <w:basedOn w:val="a0"/>
    <w:semiHidden/>
    <w:rsid w:val="00676C5C"/>
    <w:rPr>
      <w:sz w:val="18"/>
    </w:rPr>
  </w:style>
  <w:style w:type="paragraph" w:styleId="ab">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link w:val="a9"/>
    <w:rsid w:val="00817B84"/>
    <w:rPr>
      <w:rFonts w:ascii="SimSun" w:eastAsia="SimSun" w:hAnsi="SimSun" w:cs="SimSun"/>
      <w:sz w:val="16"/>
      <w:szCs w:val="16"/>
      <w:lang w:eastAsia="zh-CN"/>
    </w:rPr>
  </w:style>
  <w:style w:type="paragraph" w:styleId="10">
    <w:name w:val="toc 1"/>
    <w:basedOn w:val="a0"/>
    <w:next w:val="a0"/>
    <w:autoRedefine/>
    <w:uiPriority w:val="39"/>
    <w:qFormat/>
    <w:rsid w:val="000F6CC6"/>
    <w:pPr>
      <w:framePr w:wrap="around" w:vAnchor="text" w:hAnchor="text" w:y="1"/>
      <w:tabs>
        <w:tab w:val="right" w:leader="dot" w:pos="9345"/>
      </w:tabs>
      <w:spacing w:after="100"/>
    </w:pPr>
  </w:style>
  <w:style w:type="paragraph" w:styleId="20">
    <w:name w:val="toc 2"/>
    <w:basedOn w:val="a0"/>
    <w:next w:val="a0"/>
    <w:autoRedefine/>
    <w:uiPriority w:val="39"/>
    <w:qFormat/>
    <w:rsid w:val="00CA720C"/>
    <w:pPr>
      <w:tabs>
        <w:tab w:val="right" w:pos="9345"/>
      </w:tabs>
    </w:pPr>
    <w:rPr>
      <w:rFonts w:ascii="SimHei" w:eastAsia="SimHei" w:hAnsi="SimHei"/>
      <w:noProof/>
      <w:color w:val="000000"/>
      <w:sz w:val="21"/>
    </w:rPr>
  </w:style>
  <w:style w:type="character" w:styleId="ae">
    <w:name w:val="Hyperlink"/>
    <w:uiPriority w:val="99"/>
    <w:unhideWhenUsed/>
    <w:rsid w:val="0071598D"/>
    <w:rPr>
      <w:color w:val="0000FF"/>
      <w:u w:val="single"/>
    </w:rPr>
  </w:style>
  <w:style w:type="paragraph" w:styleId="30">
    <w:name w:val="toc 3"/>
    <w:basedOn w:val="a0"/>
    <w:next w:val="a0"/>
    <w:autoRedefine/>
    <w:uiPriority w:val="39"/>
    <w:qFormat/>
    <w:rsid w:val="000F6CC6"/>
    <w:pPr>
      <w:tabs>
        <w:tab w:val="right" w:leader="dot" w:pos="9344"/>
      </w:tabs>
      <w:spacing w:after="100"/>
      <w:ind w:left="442"/>
    </w:pPr>
  </w:style>
  <w:style w:type="character" w:customStyle="1" w:styleId="Char0">
    <w:name w:val="页眉 Char"/>
    <w:link w:val="ab"/>
    <w:uiPriority w:val="99"/>
    <w:rsid w:val="00274C9E"/>
    <w:rPr>
      <w:rFonts w:ascii="SimSun" w:eastAsia="SimSun" w:hAnsi="SimSun" w:cs="SimSun"/>
      <w:sz w:val="22"/>
      <w:lang w:eastAsia="zh-CN"/>
    </w:rPr>
  </w:style>
  <w:style w:type="paragraph" w:customStyle="1" w:styleId="Style3">
    <w:name w:val="Style3"/>
    <w:basedOn w:val="a0"/>
    <w:link w:val="Style3Char"/>
    <w:rsid w:val="00CB2A7C"/>
    <w:pPr>
      <w:spacing w:after="120"/>
    </w:pPr>
  </w:style>
  <w:style w:type="character" w:customStyle="1" w:styleId="Style3Char">
    <w:name w:val="Style3 Char"/>
    <w:link w:val="Style3"/>
    <w:rsid w:val="00CB2A7C"/>
    <w:rPr>
      <w:rFonts w:ascii="SimSun" w:hAnsi="SimSun"/>
      <w:sz w:val="22"/>
    </w:rPr>
  </w:style>
  <w:style w:type="paragraph" w:customStyle="1" w:styleId="style30">
    <w:name w:val="style3"/>
    <w:basedOn w:val="a0"/>
    <w:rsid w:val="00901262"/>
    <w:pPr>
      <w:spacing w:after="120"/>
    </w:pPr>
    <w:rPr>
      <w:szCs w:val="22"/>
    </w:rPr>
  </w:style>
  <w:style w:type="paragraph" w:customStyle="1" w:styleId="Styletexte">
    <w:name w:val="Style texte"/>
    <w:basedOn w:val="a0"/>
    <w:link w:val="StyletexteChar"/>
    <w:rsid w:val="00A40F88"/>
    <w:pPr>
      <w:spacing w:after="120"/>
    </w:pPr>
  </w:style>
  <w:style w:type="character" w:customStyle="1" w:styleId="StyletexteChar">
    <w:name w:val="Style texte Char"/>
    <w:link w:val="Styletexte"/>
    <w:rsid w:val="00A40F88"/>
    <w:rPr>
      <w:rFonts w:ascii="SimSun" w:hAnsi="SimSun"/>
      <w:sz w:val="22"/>
    </w:rPr>
  </w:style>
  <w:style w:type="paragraph" w:styleId="af">
    <w:name w:val="List Paragraph"/>
    <w:basedOn w:val="a0"/>
    <w:uiPriority w:val="34"/>
    <w:qFormat/>
    <w:rsid w:val="00D47896"/>
    <w:pPr>
      <w:ind w:left="720"/>
      <w:jc w:val="left"/>
    </w:pPr>
    <w:rPr>
      <w:sz w:val="24"/>
      <w:szCs w:val="24"/>
    </w:rPr>
  </w:style>
  <w:style w:type="paragraph" w:styleId="TOC">
    <w:name w:val="TOC Heading"/>
    <w:basedOn w:val="1"/>
    <w:next w:val="a0"/>
    <w:uiPriority w:val="39"/>
    <w:unhideWhenUsed/>
    <w:qFormat/>
    <w:rsid w:val="002C0601"/>
    <w:pPr>
      <w:keepLines/>
      <w:spacing w:before="480" w:after="0" w:line="276" w:lineRule="auto"/>
      <w:jc w:val="left"/>
      <w:outlineLvl w:val="9"/>
    </w:pPr>
    <w:rPr>
      <w:rFonts w:cs="Times New Roman"/>
      <w:caps w:val="0"/>
      <w:color w:val="365F91"/>
      <w:kern w:val="0"/>
      <w:sz w:val="28"/>
      <w:szCs w:val="28"/>
    </w:rPr>
  </w:style>
  <w:style w:type="paragraph" w:customStyle="1" w:styleId="STYLEDUTEXTE">
    <w:name w:val="STYLE DU TEXTE"/>
    <w:basedOn w:val="Styletexte"/>
    <w:link w:val="STYLEDUTEXTEChar"/>
    <w:rsid w:val="0058420A"/>
    <w:pPr>
      <w:spacing w:after="0"/>
    </w:pPr>
  </w:style>
  <w:style w:type="character" w:customStyle="1" w:styleId="STYLEDUTEXTEChar">
    <w:name w:val="STYLE DU TEXTE Char"/>
    <w:link w:val="STYLEDUTEXTE"/>
    <w:rsid w:val="0058420A"/>
    <w:rPr>
      <w:rFonts w:ascii="SimSun" w:hAnsi="SimSun"/>
      <w:sz w:val="22"/>
    </w:rPr>
  </w:style>
  <w:style w:type="paragraph" w:customStyle="1" w:styleId="StyleHeading1">
    <w:name w:val="Style Heading 1"/>
    <w:aliases w:val="Level 1 + Arial Auto Centered Left:  0 cm First..."/>
    <w:rsid w:val="00976C19"/>
    <w:pPr>
      <w:jc w:val="center"/>
    </w:pPr>
    <w:rPr>
      <w:b/>
      <w:bCs/>
      <w:kern w:val="40"/>
      <w:sz w:val="72"/>
      <w:lang w:val="zh-CN" w:bidi="zh-CN"/>
    </w:rPr>
  </w:style>
  <w:style w:type="paragraph" w:customStyle="1" w:styleId="Style3Bold">
    <w:name w:val="Style3 + Bold"/>
    <w:basedOn w:val="Style3"/>
    <w:rsid w:val="001312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Sun" w:eastAsia="SimSun" w:hAnsi="SimSun" w:cs="SimSu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7896"/>
    <w:pPr>
      <w:jc w:val="both"/>
    </w:pPr>
    <w:rPr>
      <w:sz w:val="22"/>
      <w:lang w:val="zh-CN" w:bidi="zh-CN"/>
    </w:rPr>
  </w:style>
  <w:style w:type="paragraph" w:styleId="1">
    <w:name w:val="heading 1"/>
    <w:basedOn w:val="a0"/>
    <w:next w:val="a0"/>
    <w:qFormat/>
    <w:rsid w:val="00D47896"/>
    <w:pPr>
      <w:keepNext/>
      <w:spacing w:before="240" w:after="240"/>
      <w:outlineLvl w:val="0"/>
    </w:pPr>
    <w:rPr>
      <w:b/>
      <w:bCs/>
      <w:caps/>
      <w:kern w:val="32"/>
      <w:szCs w:val="32"/>
    </w:rPr>
  </w:style>
  <w:style w:type="paragraph" w:styleId="2">
    <w:name w:val="heading 2"/>
    <w:basedOn w:val="a0"/>
    <w:next w:val="a0"/>
    <w:qFormat/>
    <w:rsid w:val="005F1034"/>
    <w:pPr>
      <w:keepNext/>
      <w:spacing w:before="240" w:after="200"/>
      <w:outlineLvl w:val="1"/>
    </w:pPr>
    <w:rPr>
      <w:b/>
      <w:bCs/>
      <w:iCs/>
      <w:szCs w:val="28"/>
    </w:rPr>
  </w:style>
  <w:style w:type="paragraph" w:styleId="3">
    <w:name w:val="heading 3"/>
    <w:basedOn w:val="a0"/>
    <w:next w:val="a0"/>
    <w:qFormat/>
    <w:rsid w:val="00D4645C"/>
    <w:pPr>
      <w:keepNext/>
      <w:spacing w:before="240" w:after="60"/>
      <w:outlineLvl w:val="2"/>
    </w:pPr>
    <w:rPr>
      <w:b/>
      <w:bCs/>
      <w:caps/>
      <w:szCs w:val="26"/>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817B84"/>
    <w:rPr>
      <w:sz w:val="16"/>
      <w:szCs w:val="16"/>
    </w:rPr>
  </w:style>
  <w:style w:type="paragraph" w:styleId="aa">
    <w:name w:val="footnote text"/>
    <w:basedOn w:val="a0"/>
    <w:semiHidden/>
    <w:rsid w:val="00676C5C"/>
    <w:rPr>
      <w:sz w:val="18"/>
    </w:rPr>
  </w:style>
  <w:style w:type="paragraph" w:styleId="ab">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link w:val="a9"/>
    <w:rsid w:val="00817B84"/>
    <w:rPr>
      <w:rFonts w:ascii="SimSun" w:eastAsia="SimSun" w:hAnsi="SimSun" w:cs="SimSun"/>
      <w:sz w:val="16"/>
      <w:szCs w:val="16"/>
      <w:lang w:eastAsia="zh-CN"/>
    </w:rPr>
  </w:style>
  <w:style w:type="paragraph" w:styleId="10">
    <w:name w:val="toc 1"/>
    <w:basedOn w:val="a0"/>
    <w:next w:val="a0"/>
    <w:autoRedefine/>
    <w:uiPriority w:val="39"/>
    <w:qFormat/>
    <w:rsid w:val="000F6CC6"/>
    <w:pPr>
      <w:framePr w:wrap="around" w:vAnchor="text" w:hAnchor="text" w:y="1"/>
      <w:tabs>
        <w:tab w:val="right" w:leader="dot" w:pos="9345"/>
      </w:tabs>
      <w:spacing w:after="100"/>
    </w:pPr>
  </w:style>
  <w:style w:type="paragraph" w:styleId="20">
    <w:name w:val="toc 2"/>
    <w:basedOn w:val="a0"/>
    <w:next w:val="a0"/>
    <w:autoRedefine/>
    <w:uiPriority w:val="39"/>
    <w:qFormat/>
    <w:rsid w:val="00CA720C"/>
    <w:pPr>
      <w:tabs>
        <w:tab w:val="right" w:pos="9345"/>
      </w:tabs>
    </w:pPr>
    <w:rPr>
      <w:rFonts w:ascii="SimHei" w:eastAsia="SimHei" w:hAnsi="SimHei"/>
      <w:noProof/>
      <w:color w:val="000000"/>
      <w:sz w:val="21"/>
    </w:rPr>
  </w:style>
  <w:style w:type="character" w:styleId="ae">
    <w:name w:val="Hyperlink"/>
    <w:uiPriority w:val="99"/>
    <w:unhideWhenUsed/>
    <w:rsid w:val="0071598D"/>
    <w:rPr>
      <w:color w:val="0000FF"/>
      <w:u w:val="single"/>
    </w:rPr>
  </w:style>
  <w:style w:type="paragraph" w:styleId="30">
    <w:name w:val="toc 3"/>
    <w:basedOn w:val="a0"/>
    <w:next w:val="a0"/>
    <w:autoRedefine/>
    <w:uiPriority w:val="39"/>
    <w:qFormat/>
    <w:rsid w:val="000F6CC6"/>
    <w:pPr>
      <w:tabs>
        <w:tab w:val="right" w:leader="dot" w:pos="9344"/>
      </w:tabs>
      <w:spacing w:after="100"/>
      <w:ind w:left="442"/>
    </w:pPr>
  </w:style>
  <w:style w:type="character" w:customStyle="1" w:styleId="Char0">
    <w:name w:val="页眉 Char"/>
    <w:link w:val="ab"/>
    <w:uiPriority w:val="99"/>
    <w:rsid w:val="00274C9E"/>
    <w:rPr>
      <w:rFonts w:ascii="SimSun" w:eastAsia="SimSun" w:hAnsi="SimSun" w:cs="SimSun"/>
      <w:sz w:val="22"/>
      <w:lang w:eastAsia="zh-CN"/>
    </w:rPr>
  </w:style>
  <w:style w:type="paragraph" w:customStyle="1" w:styleId="Style3">
    <w:name w:val="Style3"/>
    <w:basedOn w:val="a0"/>
    <w:link w:val="Style3Char"/>
    <w:rsid w:val="00CB2A7C"/>
    <w:pPr>
      <w:spacing w:after="120"/>
    </w:pPr>
  </w:style>
  <w:style w:type="character" w:customStyle="1" w:styleId="Style3Char">
    <w:name w:val="Style3 Char"/>
    <w:link w:val="Style3"/>
    <w:rsid w:val="00CB2A7C"/>
    <w:rPr>
      <w:rFonts w:ascii="SimSun" w:hAnsi="SimSun"/>
      <w:sz w:val="22"/>
    </w:rPr>
  </w:style>
  <w:style w:type="paragraph" w:customStyle="1" w:styleId="style30">
    <w:name w:val="style3"/>
    <w:basedOn w:val="a0"/>
    <w:rsid w:val="00901262"/>
    <w:pPr>
      <w:spacing w:after="120"/>
    </w:pPr>
    <w:rPr>
      <w:szCs w:val="22"/>
    </w:rPr>
  </w:style>
  <w:style w:type="paragraph" w:customStyle="1" w:styleId="Styletexte">
    <w:name w:val="Style texte"/>
    <w:basedOn w:val="a0"/>
    <w:link w:val="StyletexteChar"/>
    <w:rsid w:val="00A40F88"/>
    <w:pPr>
      <w:spacing w:after="120"/>
    </w:pPr>
  </w:style>
  <w:style w:type="character" w:customStyle="1" w:styleId="StyletexteChar">
    <w:name w:val="Style texte Char"/>
    <w:link w:val="Styletexte"/>
    <w:rsid w:val="00A40F88"/>
    <w:rPr>
      <w:rFonts w:ascii="SimSun" w:hAnsi="SimSun"/>
      <w:sz w:val="22"/>
    </w:rPr>
  </w:style>
  <w:style w:type="paragraph" w:styleId="af">
    <w:name w:val="List Paragraph"/>
    <w:basedOn w:val="a0"/>
    <w:uiPriority w:val="34"/>
    <w:qFormat/>
    <w:rsid w:val="00D47896"/>
    <w:pPr>
      <w:ind w:left="720"/>
      <w:jc w:val="left"/>
    </w:pPr>
    <w:rPr>
      <w:sz w:val="24"/>
      <w:szCs w:val="24"/>
    </w:rPr>
  </w:style>
  <w:style w:type="paragraph" w:styleId="TOC">
    <w:name w:val="TOC Heading"/>
    <w:basedOn w:val="1"/>
    <w:next w:val="a0"/>
    <w:uiPriority w:val="39"/>
    <w:unhideWhenUsed/>
    <w:qFormat/>
    <w:rsid w:val="002C0601"/>
    <w:pPr>
      <w:keepLines/>
      <w:spacing w:before="480" w:after="0" w:line="276" w:lineRule="auto"/>
      <w:jc w:val="left"/>
      <w:outlineLvl w:val="9"/>
    </w:pPr>
    <w:rPr>
      <w:rFonts w:cs="Times New Roman"/>
      <w:caps w:val="0"/>
      <w:color w:val="365F91"/>
      <w:kern w:val="0"/>
      <w:sz w:val="28"/>
      <w:szCs w:val="28"/>
    </w:rPr>
  </w:style>
  <w:style w:type="paragraph" w:customStyle="1" w:styleId="STYLEDUTEXTE">
    <w:name w:val="STYLE DU TEXTE"/>
    <w:basedOn w:val="Styletexte"/>
    <w:link w:val="STYLEDUTEXTEChar"/>
    <w:rsid w:val="0058420A"/>
    <w:pPr>
      <w:spacing w:after="0"/>
    </w:pPr>
  </w:style>
  <w:style w:type="character" w:customStyle="1" w:styleId="STYLEDUTEXTEChar">
    <w:name w:val="STYLE DU TEXTE Char"/>
    <w:link w:val="STYLEDUTEXTE"/>
    <w:rsid w:val="0058420A"/>
    <w:rPr>
      <w:rFonts w:ascii="SimSun" w:hAnsi="SimSun"/>
      <w:sz w:val="22"/>
    </w:rPr>
  </w:style>
  <w:style w:type="paragraph" w:customStyle="1" w:styleId="StyleHeading1">
    <w:name w:val="Style Heading 1"/>
    <w:aliases w:val="Level 1 + Arial Auto Centered Left:  0 cm First..."/>
    <w:rsid w:val="00976C19"/>
    <w:pPr>
      <w:jc w:val="center"/>
    </w:pPr>
    <w:rPr>
      <w:b/>
      <w:bCs/>
      <w:kern w:val="40"/>
      <w:sz w:val="72"/>
      <w:lang w:val="zh-CN" w:bidi="zh-CN"/>
    </w:rPr>
  </w:style>
  <w:style w:type="paragraph" w:customStyle="1" w:styleId="Style3Bold">
    <w:name w:val="Style3 + Bold"/>
    <w:basedOn w:val="Style3"/>
    <w:rsid w:val="00131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858899">
      <w:bodyDiv w:val="1"/>
      <w:marLeft w:val="0"/>
      <w:marRight w:val="0"/>
      <w:marTop w:val="0"/>
      <w:marBottom w:val="0"/>
      <w:divBdr>
        <w:top w:val="none" w:sz="0" w:space="0" w:color="auto"/>
        <w:left w:val="none" w:sz="0" w:space="0" w:color="auto"/>
        <w:bottom w:val="none" w:sz="0" w:space="0" w:color="auto"/>
        <w:right w:val="none" w:sz="0" w:space="0" w:color="auto"/>
      </w:divBdr>
    </w:div>
    <w:div w:id="1414089505">
      <w:bodyDiv w:val="1"/>
      <w:marLeft w:val="0"/>
      <w:marRight w:val="0"/>
      <w:marTop w:val="0"/>
      <w:marBottom w:val="0"/>
      <w:divBdr>
        <w:top w:val="none" w:sz="0" w:space="0" w:color="auto"/>
        <w:left w:val="none" w:sz="0" w:space="0" w:color="auto"/>
        <w:bottom w:val="none" w:sz="0" w:space="0" w:color="auto"/>
        <w:right w:val="none" w:sz="0" w:space="0" w:color="auto"/>
      </w:divBdr>
    </w:div>
    <w:div w:id="2018800559">
      <w:bodyDiv w:val="1"/>
      <w:marLeft w:val="0"/>
      <w:marRight w:val="0"/>
      <w:marTop w:val="0"/>
      <w:marBottom w:val="0"/>
      <w:divBdr>
        <w:top w:val="none" w:sz="0" w:space="0" w:color="auto"/>
        <w:left w:val="none" w:sz="0" w:space="0" w:color="auto"/>
        <w:bottom w:val="none" w:sz="0" w:space="0" w:color="auto"/>
        <w:right w:val="none" w:sz="0" w:space="0" w:color="auto"/>
      </w:divBdr>
    </w:div>
    <w:div w:id="2137943772">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emf"/><Relationship Id="rId21" Type="http://schemas.openxmlformats.org/officeDocument/2006/relationships/image" Target="media/image9.emf"/><Relationship Id="rId42" Type="http://schemas.openxmlformats.org/officeDocument/2006/relationships/header" Target="header8.xml"/><Relationship Id="rId47" Type="http://schemas.openxmlformats.org/officeDocument/2006/relationships/image" Target="media/image31.emf"/><Relationship Id="rId63" Type="http://schemas.openxmlformats.org/officeDocument/2006/relationships/header" Target="header12.xml"/><Relationship Id="rId68" Type="http://schemas.openxmlformats.org/officeDocument/2006/relationships/image" Target="media/image47.emf"/><Relationship Id="rId84" Type="http://schemas.openxmlformats.org/officeDocument/2006/relationships/image" Target="media/image62.emf"/><Relationship Id="rId89" Type="http://schemas.openxmlformats.org/officeDocument/2006/relationships/image" Target="media/image67.emf"/><Relationship Id="rId112" Type="http://schemas.openxmlformats.org/officeDocument/2006/relationships/header" Target="header17.xml"/><Relationship Id="rId16" Type="http://schemas.openxmlformats.org/officeDocument/2006/relationships/image" Target="media/image4.emf"/><Relationship Id="rId107" Type="http://schemas.openxmlformats.org/officeDocument/2006/relationships/header" Target="header15.xml"/><Relationship Id="rId11" Type="http://schemas.openxmlformats.org/officeDocument/2006/relationships/header" Target="header2.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header" Target="header7.xml"/><Relationship Id="rId45" Type="http://schemas.openxmlformats.org/officeDocument/2006/relationships/image" Target="media/image29.emf"/><Relationship Id="rId53" Type="http://schemas.openxmlformats.org/officeDocument/2006/relationships/image" Target="media/image37.emf"/><Relationship Id="rId58" Type="http://schemas.openxmlformats.org/officeDocument/2006/relationships/header" Target="header9.xml"/><Relationship Id="rId66" Type="http://schemas.openxmlformats.org/officeDocument/2006/relationships/image" Target="media/image45.emf"/><Relationship Id="rId74" Type="http://schemas.openxmlformats.org/officeDocument/2006/relationships/image" Target="media/image53.emf"/><Relationship Id="rId79" Type="http://schemas.openxmlformats.org/officeDocument/2006/relationships/image" Target="media/image58.emf"/><Relationship Id="rId87" Type="http://schemas.openxmlformats.org/officeDocument/2006/relationships/image" Target="media/image65.emf"/><Relationship Id="rId102" Type="http://schemas.openxmlformats.org/officeDocument/2006/relationships/image" Target="media/image80.emf"/><Relationship Id="rId110" Type="http://schemas.openxmlformats.org/officeDocument/2006/relationships/image" Target="media/image85.emf"/><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42.emf"/><Relationship Id="rId82" Type="http://schemas.openxmlformats.org/officeDocument/2006/relationships/image" Target="media/image60.emf"/><Relationship Id="rId90" Type="http://schemas.openxmlformats.org/officeDocument/2006/relationships/image" Target="media/image68.emf"/><Relationship Id="rId95" Type="http://schemas.openxmlformats.org/officeDocument/2006/relationships/image" Target="media/image73.emf"/><Relationship Id="rId19" Type="http://schemas.openxmlformats.org/officeDocument/2006/relationships/image" Target="media/image7.emf"/><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27.emf"/><Relationship Id="rId48" Type="http://schemas.openxmlformats.org/officeDocument/2006/relationships/image" Target="media/image32.emf"/><Relationship Id="rId56" Type="http://schemas.openxmlformats.org/officeDocument/2006/relationships/image" Target="media/image40.emf"/><Relationship Id="rId64" Type="http://schemas.openxmlformats.org/officeDocument/2006/relationships/header" Target="header13.xml"/><Relationship Id="rId69" Type="http://schemas.openxmlformats.org/officeDocument/2006/relationships/image" Target="media/image48.emf"/><Relationship Id="rId77" Type="http://schemas.openxmlformats.org/officeDocument/2006/relationships/image" Target="media/image56.emf"/><Relationship Id="rId100" Type="http://schemas.openxmlformats.org/officeDocument/2006/relationships/image" Target="media/image78.emf"/><Relationship Id="rId105" Type="http://schemas.openxmlformats.org/officeDocument/2006/relationships/image" Target="media/image83.emf"/><Relationship Id="rId113" Type="http://schemas.openxmlformats.org/officeDocument/2006/relationships/header" Target="header18.xml"/><Relationship Id="rId8" Type="http://schemas.openxmlformats.org/officeDocument/2006/relationships/endnotes" Target="endnotes.xml"/><Relationship Id="rId51" Type="http://schemas.openxmlformats.org/officeDocument/2006/relationships/image" Target="media/image35.emf"/><Relationship Id="rId72" Type="http://schemas.openxmlformats.org/officeDocument/2006/relationships/image" Target="media/image51.emf"/><Relationship Id="rId80" Type="http://schemas.openxmlformats.org/officeDocument/2006/relationships/hyperlink" Target="http://www.unjspf.org/" TargetMode="External"/><Relationship Id="rId85" Type="http://schemas.openxmlformats.org/officeDocument/2006/relationships/image" Target="media/image63.emf"/><Relationship Id="rId93" Type="http://schemas.openxmlformats.org/officeDocument/2006/relationships/image" Target="media/image71.emf"/><Relationship Id="rId98" Type="http://schemas.openxmlformats.org/officeDocument/2006/relationships/image" Target="media/image76.e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header" Target="header5.xml"/><Relationship Id="rId46" Type="http://schemas.openxmlformats.org/officeDocument/2006/relationships/image" Target="media/image30.emf"/><Relationship Id="rId59" Type="http://schemas.openxmlformats.org/officeDocument/2006/relationships/header" Target="header10.xml"/><Relationship Id="rId67" Type="http://schemas.openxmlformats.org/officeDocument/2006/relationships/image" Target="media/image46.emf"/><Relationship Id="rId103" Type="http://schemas.openxmlformats.org/officeDocument/2006/relationships/image" Target="media/image81.emf"/><Relationship Id="rId108" Type="http://schemas.openxmlformats.org/officeDocument/2006/relationships/header" Target="header16.xml"/><Relationship Id="rId20" Type="http://schemas.openxmlformats.org/officeDocument/2006/relationships/image" Target="media/image8.emf"/><Relationship Id="rId41" Type="http://schemas.openxmlformats.org/officeDocument/2006/relationships/image" Target="media/image26.emf"/><Relationship Id="rId54" Type="http://schemas.openxmlformats.org/officeDocument/2006/relationships/image" Target="media/image38.emf"/><Relationship Id="rId62" Type="http://schemas.openxmlformats.org/officeDocument/2006/relationships/image" Target="media/image43.emf"/><Relationship Id="rId70" Type="http://schemas.openxmlformats.org/officeDocument/2006/relationships/image" Target="media/image49.emf"/><Relationship Id="rId75" Type="http://schemas.openxmlformats.org/officeDocument/2006/relationships/image" Target="media/image54.emf"/><Relationship Id="rId83" Type="http://schemas.openxmlformats.org/officeDocument/2006/relationships/image" Target="media/image61.emf"/><Relationship Id="rId88" Type="http://schemas.openxmlformats.org/officeDocument/2006/relationships/image" Target="media/image66.emf"/><Relationship Id="rId91" Type="http://schemas.openxmlformats.org/officeDocument/2006/relationships/image" Target="media/image69.emf"/><Relationship Id="rId96" Type="http://schemas.openxmlformats.org/officeDocument/2006/relationships/image" Target="media/image74.emf"/><Relationship Id="rId111" Type="http://schemas.openxmlformats.org/officeDocument/2006/relationships/image" Target="media/image86.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3.emf"/><Relationship Id="rId57" Type="http://schemas.openxmlformats.org/officeDocument/2006/relationships/image" Target="media/image41.emf"/><Relationship Id="rId106" Type="http://schemas.openxmlformats.org/officeDocument/2006/relationships/header" Target="header14.xml"/><Relationship Id="rId114"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image" Target="media/image19.emf"/><Relationship Id="rId44" Type="http://schemas.openxmlformats.org/officeDocument/2006/relationships/image" Target="media/image28.emf"/><Relationship Id="rId52" Type="http://schemas.openxmlformats.org/officeDocument/2006/relationships/image" Target="media/image36.emf"/><Relationship Id="rId60" Type="http://schemas.openxmlformats.org/officeDocument/2006/relationships/header" Target="header11.xml"/><Relationship Id="rId65" Type="http://schemas.openxmlformats.org/officeDocument/2006/relationships/image" Target="media/image44.emf"/><Relationship Id="rId73" Type="http://schemas.openxmlformats.org/officeDocument/2006/relationships/image" Target="media/image52.emf"/><Relationship Id="rId78" Type="http://schemas.openxmlformats.org/officeDocument/2006/relationships/image" Target="media/image57.emf"/><Relationship Id="rId81" Type="http://schemas.openxmlformats.org/officeDocument/2006/relationships/image" Target="media/image59.emf"/><Relationship Id="rId86" Type="http://schemas.openxmlformats.org/officeDocument/2006/relationships/image" Target="media/image64.emf"/><Relationship Id="rId94" Type="http://schemas.openxmlformats.org/officeDocument/2006/relationships/image" Target="media/image72.emf"/><Relationship Id="rId99" Type="http://schemas.openxmlformats.org/officeDocument/2006/relationships/image" Target="media/image77.emf"/><Relationship Id="rId101" Type="http://schemas.openxmlformats.org/officeDocument/2006/relationships/image" Target="media/image79.emf"/><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image" Target="media/image6.emf"/><Relationship Id="rId39" Type="http://schemas.openxmlformats.org/officeDocument/2006/relationships/header" Target="header6.xml"/><Relationship Id="rId109" Type="http://schemas.openxmlformats.org/officeDocument/2006/relationships/image" Target="media/image84.emf"/><Relationship Id="rId34" Type="http://schemas.openxmlformats.org/officeDocument/2006/relationships/image" Target="media/image22.emf"/><Relationship Id="rId50" Type="http://schemas.openxmlformats.org/officeDocument/2006/relationships/image" Target="media/image34.emf"/><Relationship Id="rId55" Type="http://schemas.openxmlformats.org/officeDocument/2006/relationships/image" Target="media/image39.emf"/><Relationship Id="rId76" Type="http://schemas.openxmlformats.org/officeDocument/2006/relationships/image" Target="media/image55.emf"/><Relationship Id="rId97" Type="http://schemas.openxmlformats.org/officeDocument/2006/relationships/image" Target="media/image75.emf"/><Relationship Id="rId104" Type="http://schemas.openxmlformats.org/officeDocument/2006/relationships/image" Target="media/image82.emf"/><Relationship Id="rId7" Type="http://schemas.openxmlformats.org/officeDocument/2006/relationships/footnotes" Target="footnotes.xml"/><Relationship Id="rId71" Type="http://schemas.openxmlformats.org/officeDocument/2006/relationships/image" Target="media/image50.emf"/><Relationship Id="rId92" Type="http://schemas.openxmlformats.org/officeDocument/2006/relationships/image" Target="media/image70.emf"/><Relationship Id="rId2" Type="http://schemas.openxmlformats.org/officeDocument/2006/relationships/numbering" Target="numbering.xml"/><Relationship Id="rId29" Type="http://schemas.openxmlformats.org/officeDocument/2006/relationships/image" Target="media/image1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9F41D-AA4C-4DBA-B8D7-82DBB790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76</Pages>
  <Words>35101</Words>
  <Characters>7703</Characters>
  <Application>Microsoft Office Word</Application>
  <DocSecurity>0</DocSecurity>
  <Lines>64</Lines>
  <Paragraphs>85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42719</CharactersWithSpaces>
  <SharedDoc>false</SharedDoc>
  <HLinks>
    <vt:vector size="222" baseType="variant">
      <vt:variant>
        <vt:i4>3604515</vt:i4>
      </vt:variant>
      <vt:variant>
        <vt:i4>219</vt:i4>
      </vt:variant>
      <vt:variant>
        <vt:i4>0</vt:i4>
      </vt:variant>
      <vt:variant>
        <vt:i4>5</vt:i4>
      </vt:variant>
      <vt:variant>
        <vt:lpwstr>http://www.unjspf.org/</vt:lpwstr>
      </vt:variant>
      <vt:variant>
        <vt:lpwstr/>
      </vt:variant>
      <vt:variant>
        <vt:i4>1179700</vt:i4>
      </vt:variant>
      <vt:variant>
        <vt:i4>212</vt:i4>
      </vt:variant>
      <vt:variant>
        <vt:i4>0</vt:i4>
      </vt:variant>
      <vt:variant>
        <vt:i4>5</vt:i4>
      </vt:variant>
      <vt:variant>
        <vt:lpwstr/>
      </vt:variant>
      <vt:variant>
        <vt:lpwstr>_Toc456711762</vt:lpwstr>
      </vt:variant>
      <vt:variant>
        <vt:i4>1179700</vt:i4>
      </vt:variant>
      <vt:variant>
        <vt:i4>206</vt:i4>
      </vt:variant>
      <vt:variant>
        <vt:i4>0</vt:i4>
      </vt:variant>
      <vt:variant>
        <vt:i4>5</vt:i4>
      </vt:variant>
      <vt:variant>
        <vt:lpwstr/>
      </vt:variant>
      <vt:variant>
        <vt:lpwstr>_Toc456711761</vt:lpwstr>
      </vt:variant>
      <vt:variant>
        <vt:i4>1179700</vt:i4>
      </vt:variant>
      <vt:variant>
        <vt:i4>200</vt:i4>
      </vt:variant>
      <vt:variant>
        <vt:i4>0</vt:i4>
      </vt:variant>
      <vt:variant>
        <vt:i4>5</vt:i4>
      </vt:variant>
      <vt:variant>
        <vt:lpwstr/>
      </vt:variant>
      <vt:variant>
        <vt:lpwstr>_Toc456711760</vt:lpwstr>
      </vt:variant>
      <vt:variant>
        <vt:i4>1114164</vt:i4>
      </vt:variant>
      <vt:variant>
        <vt:i4>194</vt:i4>
      </vt:variant>
      <vt:variant>
        <vt:i4>0</vt:i4>
      </vt:variant>
      <vt:variant>
        <vt:i4>5</vt:i4>
      </vt:variant>
      <vt:variant>
        <vt:lpwstr/>
      </vt:variant>
      <vt:variant>
        <vt:lpwstr>_Toc456711759</vt:lpwstr>
      </vt:variant>
      <vt:variant>
        <vt:i4>1114164</vt:i4>
      </vt:variant>
      <vt:variant>
        <vt:i4>188</vt:i4>
      </vt:variant>
      <vt:variant>
        <vt:i4>0</vt:i4>
      </vt:variant>
      <vt:variant>
        <vt:i4>5</vt:i4>
      </vt:variant>
      <vt:variant>
        <vt:lpwstr/>
      </vt:variant>
      <vt:variant>
        <vt:lpwstr>_Toc456711758</vt:lpwstr>
      </vt:variant>
      <vt:variant>
        <vt:i4>1114164</vt:i4>
      </vt:variant>
      <vt:variant>
        <vt:i4>182</vt:i4>
      </vt:variant>
      <vt:variant>
        <vt:i4>0</vt:i4>
      </vt:variant>
      <vt:variant>
        <vt:i4>5</vt:i4>
      </vt:variant>
      <vt:variant>
        <vt:lpwstr/>
      </vt:variant>
      <vt:variant>
        <vt:lpwstr>_Toc456711757</vt:lpwstr>
      </vt:variant>
      <vt:variant>
        <vt:i4>1114164</vt:i4>
      </vt:variant>
      <vt:variant>
        <vt:i4>176</vt:i4>
      </vt:variant>
      <vt:variant>
        <vt:i4>0</vt:i4>
      </vt:variant>
      <vt:variant>
        <vt:i4>5</vt:i4>
      </vt:variant>
      <vt:variant>
        <vt:lpwstr/>
      </vt:variant>
      <vt:variant>
        <vt:lpwstr>_Toc456711756</vt:lpwstr>
      </vt:variant>
      <vt:variant>
        <vt:i4>1114164</vt:i4>
      </vt:variant>
      <vt:variant>
        <vt:i4>170</vt:i4>
      </vt:variant>
      <vt:variant>
        <vt:i4>0</vt:i4>
      </vt:variant>
      <vt:variant>
        <vt:i4>5</vt:i4>
      </vt:variant>
      <vt:variant>
        <vt:lpwstr/>
      </vt:variant>
      <vt:variant>
        <vt:lpwstr>_Toc456711755</vt:lpwstr>
      </vt:variant>
      <vt:variant>
        <vt:i4>1114164</vt:i4>
      </vt:variant>
      <vt:variant>
        <vt:i4>164</vt:i4>
      </vt:variant>
      <vt:variant>
        <vt:i4>0</vt:i4>
      </vt:variant>
      <vt:variant>
        <vt:i4>5</vt:i4>
      </vt:variant>
      <vt:variant>
        <vt:lpwstr/>
      </vt:variant>
      <vt:variant>
        <vt:lpwstr>_Toc456711754</vt:lpwstr>
      </vt:variant>
      <vt:variant>
        <vt:i4>1114164</vt:i4>
      </vt:variant>
      <vt:variant>
        <vt:i4>158</vt:i4>
      </vt:variant>
      <vt:variant>
        <vt:i4>0</vt:i4>
      </vt:variant>
      <vt:variant>
        <vt:i4>5</vt:i4>
      </vt:variant>
      <vt:variant>
        <vt:lpwstr/>
      </vt:variant>
      <vt:variant>
        <vt:lpwstr>_Toc456711753</vt:lpwstr>
      </vt:variant>
      <vt:variant>
        <vt:i4>1114164</vt:i4>
      </vt:variant>
      <vt:variant>
        <vt:i4>152</vt:i4>
      </vt:variant>
      <vt:variant>
        <vt:i4>0</vt:i4>
      </vt:variant>
      <vt:variant>
        <vt:i4>5</vt:i4>
      </vt:variant>
      <vt:variant>
        <vt:lpwstr/>
      </vt:variant>
      <vt:variant>
        <vt:lpwstr>_Toc456711752</vt:lpwstr>
      </vt:variant>
      <vt:variant>
        <vt:i4>1114164</vt:i4>
      </vt:variant>
      <vt:variant>
        <vt:i4>146</vt:i4>
      </vt:variant>
      <vt:variant>
        <vt:i4>0</vt:i4>
      </vt:variant>
      <vt:variant>
        <vt:i4>5</vt:i4>
      </vt:variant>
      <vt:variant>
        <vt:lpwstr/>
      </vt:variant>
      <vt:variant>
        <vt:lpwstr>_Toc456711751</vt:lpwstr>
      </vt:variant>
      <vt:variant>
        <vt:i4>1114164</vt:i4>
      </vt:variant>
      <vt:variant>
        <vt:i4>140</vt:i4>
      </vt:variant>
      <vt:variant>
        <vt:i4>0</vt:i4>
      </vt:variant>
      <vt:variant>
        <vt:i4>5</vt:i4>
      </vt:variant>
      <vt:variant>
        <vt:lpwstr/>
      </vt:variant>
      <vt:variant>
        <vt:lpwstr>_Toc456711750</vt:lpwstr>
      </vt:variant>
      <vt:variant>
        <vt:i4>1048628</vt:i4>
      </vt:variant>
      <vt:variant>
        <vt:i4>134</vt:i4>
      </vt:variant>
      <vt:variant>
        <vt:i4>0</vt:i4>
      </vt:variant>
      <vt:variant>
        <vt:i4>5</vt:i4>
      </vt:variant>
      <vt:variant>
        <vt:lpwstr/>
      </vt:variant>
      <vt:variant>
        <vt:lpwstr>_Toc456711749</vt:lpwstr>
      </vt:variant>
      <vt:variant>
        <vt:i4>1048628</vt:i4>
      </vt:variant>
      <vt:variant>
        <vt:i4>128</vt:i4>
      </vt:variant>
      <vt:variant>
        <vt:i4>0</vt:i4>
      </vt:variant>
      <vt:variant>
        <vt:i4>5</vt:i4>
      </vt:variant>
      <vt:variant>
        <vt:lpwstr/>
      </vt:variant>
      <vt:variant>
        <vt:lpwstr>_Toc456711748</vt:lpwstr>
      </vt:variant>
      <vt:variant>
        <vt:i4>1048628</vt:i4>
      </vt:variant>
      <vt:variant>
        <vt:i4>122</vt:i4>
      </vt:variant>
      <vt:variant>
        <vt:i4>0</vt:i4>
      </vt:variant>
      <vt:variant>
        <vt:i4>5</vt:i4>
      </vt:variant>
      <vt:variant>
        <vt:lpwstr/>
      </vt:variant>
      <vt:variant>
        <vt:lpwstr>_Toc456711747</vt:lpwstr>
      </vt:variant>
      <vt:variant>
        <vt:i4>1048628</vt:i4>
      </vt:variant>
      <vt:variant>
        <vt:i4>116</vt:i4>
      </vt:variant>
      <vt:variant>
        <vt:i4>0</vt:i4>
      </vt:variant>
      <vt:variant>
        <vt:i4>5</vt:i4>
      </vt:variant>
      <vt:variant>
        <vt:lpwstr/>
      </vt:variant>
      <vt:variant>
        <vt:lpwstr>_Toc456711746</vt:lpwstr>
      </vt:variant>
      <vt:variant>
        <vt:i4>1048628</vt:i4>
      </vt:variant>
      <vt:variant>
        <vt:i4>110</vt:i4>
      </vt:variant>
      <vt:variant>
        <vt:i4>0</vt:i4>
      </vt:variant>
      <vt:variant>
        <vt:i4>5</vt:i4>
      </vt:variant>
      <vt:variant>
        <vt:lpwstr/>
      </vt:variant>
      <vt:variant>
        <vt:lpwstr>_Toc456711745</vt:lpwstr>
      </vt:variant>
      <vt:variant>
        <vt:i4>1048628</vt:i4>
      </vt:variant>
      <vt:variant>
        <vt:i4>104</vt:i4>
      </vt:variant>
      <vt:variant>
        <vt:i4>0</vt:i4>
      </vt:variant>
      <vt:variant>
        <vt:i4>5</vt:i4>
      </vt:variant>
      <vt:variant>
        <vt:lpwstr/>
      </vt:variant>
      <vt:variant>
        <vt:lpwstr>_Toc456711744</vt:lpwstr>
      </vt:variant>
      <vt:variant>
        <vt:i4>1048628</vt:i4>
      </vt:variant>
      <vt:variant>
        <vt:i4>98</vt:i4>
      </vt:variant>
      <vt:variant>
        <vt:i4>0</vt:i4>
      </vt:variant>
      <vt:variant>
        <vt:i4>5</vt:i4>
      </vt:variant>
      <vt:variant>
        <vt:lpwstr/>
      </vt:variant>
      <vt:variant>
        <vt:lpwstr>_Toc456711743</vt:lpwstr>
      </vt:variant>
      <vt:variant>
        <vt:i4>1048628</vt:i4>
      </vt:variant>
      <vt:variant>
        <vt:i4>92</vt:i4>
      </vt:variant>
      <vt:variant>
        <vt:i4>0</vt:i4>
      </vt:variant>
      <vt:variant>
        <vt:i4>5</vt:i4>
      </vt:variant>
      <vt:variant>
        <vt:lpwstr/>
      </vt:variant>
      <vt:variant>
        <vt:lpwstr>_Toc456711742</vt:lpwstr>
      </vt:variant>
      <vt:variant>
        <vt:i4>1048628</vt:i4>
      </vt:variant>
      <vt:variant>
        <vt:i4>86</vt:i4>
      </vt:variant>
      <vt:variant>
        <vt:i4>0</vt:i4>
      </vt:variant>
      <vt:variant>
        <vt:i4>5</vt:i4>
      </vt:variant>
      <vt:variant>
        <vt:lpwstr/>
      </vt:variant>
      <vt:variant>
        <vt:lpwstr>_Toc456711741</vt:lpwstr>
      </vt:variant>
      <vt:variant>
        <vt:i4>1048628</vt:i4>
      </vt:variant>
      <vt:variant>
        <vt:i4>80</vt:i4>
      </vt:variant>
      <vt:variant>
        <vt:i4>0</vt:i4>
      </vt:variant>
      <vt:variant>
        <vt:i4>5</vt:i4>
      </vt:variant>
      <vt:variant>
        <vt:lpwstr/>
      </vt:variant>
      <vt:variant>
        <vt:lpwstr>_Toc456711740</vt:lpwstr>
      </vt:variant>
      <vt:variant>
        <vt:i4>1507380</vt:i4>
      </vt:variant>
      <vt:variant>
        <vt:i4>74</vt:i4>
      </vt:variant>
      <vt:variant>
        <vt:i4>0</vt:i4>
      </vt:variant>
      <vt:variant>
        <vt:i4>5</vt:i4>
      </vt:variant>
      <vt:variant>
        <vt:lpwstr/>
      </vt:variant>
      <vt:variant>
        <vt:lpwstr>_Toc456711739</vt:lpwstr>
      </vt:variant>
      <vt:variant>
        <vt:i4>1507380</vt:i4>
      </vt:variant>
      <vt:variant>
        <vt:i4>68</vt:i4>
      </vt:variant>
      <vt:variant>
        <vt:i4>0</vt:i4>
      </vt:variant>
      <vt:variant>
        <vt:i4>5</vt:i4>
      </vt:variant>
      <vt:variant>
        <vt:lpwstr/>
      </vt:variant>
      <vt:variant>
        <vt:lpwstr>_Toc456711738</vt:lpwstr>
      </vt:variant>
      <vt:variant>
        <vt:i4>1507380</vt:i4>
      </vt:variant>
      <vt:variant>
        <vt:i4>62</vt:i4>
      </vt:variant>
      <vt:variant>
        <vt:i4>0</vt:i4>
      </vt:variant>
      <vt:variant>
        <vt:i4>5</vt:i4>
      </vt:variant>
      <vt:variant>
        <vt:lpwstr/>
      </vt:variant>
      <vt:variant>
        <vt:lpwstr>_Toc456711737</vt:lpwstr>
      </vt:variant>
      <vt:variant>
        <vt:i4>1507380</vt:i4>
      </vt:variant>
      <vt:variant>
        <vt:i4>56</vt:i4>
      </vt:variant>
      <vt:variant>
        <vt:i4>0</vt:i4>
      </vt:variant>
      <vt:variant>
        <vt:i4>5</vt:i4>
      </vt:variant>
      <vt:variant>
        <vt:lpwstr/>
      </vt:variant>
      <vt:variant>
        <vt:lpwstr>_Toc456711736</vt:lpwstr>
      </vt:variant>
      <vt:variant>
        <vt:i4>1507380</vt:i4>
      </vt:variant>
      <vt:variant>
        <vt:i4>50</vt:i4>
      </vt:variant>
      <vt:variant>
        <vt:i4>0</vt:i4>
      </vt:variant>
      <vt:variant>
        <vt:i4>5</vt:i4>
      </vt:variant>
      <vt:variant>
        <vt:lpwstr/>
      </vt:variant>
      <vt:variant>
        <vt:lpwstr>_Toc456711735</vt:lpwstr>
      </vt:variant>
      <vt:variant>
        <vt:i4>1507380</vt:i4>
      </vt:variant>
      <vt:variant>
        <vt:i4>44</vt:i4>
      </vt:variant>
      <vt:variant>
        <vt:i4>0</vt:i4>
      </vt:variant>
      <vt:variant>
        <vt:i4>5</vt:i4>
      </vt:variant>
      <vt:variant>
        <vt:lpwstr/>
      </vt:variant>
      <vt:variant>
        <vt:lpwstr>_Toc456711730</vt:lpwstr>
      </vt:variant>
      <vt:variant>
        <vt:i4>1441844</vt:i4>
      </vt:variant>
      <vt:variant>
        <vt:i4>38</vt:i4>
      </vt:variant>
      <vt:variant>
        <vt:i4>0</vt:i4>
      </vt:variant>
      <vt:variant>
        <vt:i4>5</vt:i4>
      </vt:variant>
      <vt:variant>
        <vt:lpwstr/>
      </vt:variant>
      <vt:variant>
        <vt:lpwstr>_Toc456711729</vt:lpwstr>
      </vt:variant>
      <vt:variant>
        <vt:i4>1441844</vt:i4>
      </vt:variant>
      <vt:variant>
        <vt:i4>32</vt:i4>
      </vt:variant>
      <vt:variant>
        <vt:i4>0</vt:i4>
      </vt:variant>
      <vt:variant>
        <vt:i4>5</vt:i4>
      </vt:variant>
      <vt:variant>
        <vt:lpwstr/>
      </vt:variant>
      <vt:variant>
        <vt:lpwstr>_Toc456711728</vt:lpwstr>
      </vt:variant>
      <vt:variant>
        <vt:i4>1441844</vt:i4>
      </vt:variant>
      <vt:variant>
        <vt:i4>26</vt:i4>
      </vt:variant>
      <vt:variant>
        <vt:i4>0</vt:i4>
      </vt:variant>
      <vt:variant>
        <vt:i4>5</vt:i4>
      </vt:variant>
      <vt:variant>
        <vt:lpwstr/>
      </vt:variant>
      <vt:variant>
        <vt:lpwstr>_Toc456711727</vt:lpwstr>
      </vt:variant>
      <vt:variant>
        <vt:i4>1441844</vt:i4>
      </vt:variant>
      <vt:variant>
        <vt:i4>20</vt:i4>
      </vt:variant>
      <vt:variant>
        <vt:i4>0</vt:i4>
      </vt:variant>
      <vt:variant>
        <vt:i4>5</vt:i4>
      </vt:variant>
      <vt:variant>
        <vt:lpwstr/>
      </vt:variant>
      <vt:variant>
        <vt:lpwstr>_Toc456711726</vt:lpwstr>
      </vt:variant>
      <vt:variant>
        <vt:i4>1441844</vt:i4>
      </vt:variant>
      <vt:variant>
        <vt:i4>14</vt:i4>
      </vt:variant>
      <vt:variant>
        <vt:i4>0</vt:i4>
      </vt:variant>
      <vt:variant>
        <vt:i4>5</vt:i4>
      </vt:variant>
      <vt:variant>
        <vt:lpwstr/>
      </vt:variant>
      <vt:variant>
        <vt:lpwstr>_Toc456711725</vt:lpwstr>
      </vt:variant>
      <vt:variant>
        <vt:i4>1441844</vt:i4>
      </vt:variant>
      <vt:variant>
        <vt:i4>8</vt:i4>
      </vt:variant>
      <vt:variant>
        <vt:i4>0</vt:i4>
      </vt:variant>
      <vt:variant>
        <vt:i4>5</vt:i4>
      </vt:variant>
      <vt:variant>
        <vt:lpwstr/>
      </vt:variant>
      <vt:variant>
        <vt:lpwstr>_Toc456711724</vt:lpwstr>
      </vt:variant>
      <vt:variant>
        <vt:i4>1441844</vt:i4>
      </vt:variant>
      <vt:variant>
        <vt:i4>2</vt:i4>
      </vt:variant>
      <vt:variant>
        <vt:i4>0</vt:i4>
      </vt:variant>
      <vt:variant>
        <vt:i4>5</vt:i4>
      </vt:variant>
      <vt:variant>
        <vt:lpwstr/>
      </vt:variant>
      <vt:variant>
        <vt:lpwstr>_Toc456711723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WO/PBC/25/9</dc:title>
  <dc:subject>2015年年度财务报告和财务报表</dc:subject>
  <dc:creator/>
  <cp:lastModifiedBy>MA Weihai</cp:lastModifiedBy>
  <cp:revision>38</cp:revision>
  <cp:lastPrinted>2016-07-08T19:06:00Z</cp:lastPrinted>
  <dcterms:created xsi:type="dcterms:W3CDTF">2016-07-20T07:19:00Z</dcterms:created>
  <dcterms:modified xsi:type="dcterms:W3CDTF">2016-07-21T12:07:00Z</dcterms:modified>
</cp:coreProperties>
</file>