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4E7EAD" w:rsidRPr="0082092A" w:rsidTr="00F25CF1">
        <w:trPr>
          <w:trHeight w:val="1977"/>
        </w:trPr>
        <w:tc>
          <w:tcPr>
            <w:tcW w:w="4594" w:type="dxa"/>
            <w:tcBorders>
              <w:bottom w:val="single" w:sz="4" w:space="0" w:color="auto"/>
            </w:tcBorders>
            <w:tcMar>
              <w:bottom w:w="170" w:type="dxa"/>
            </w:tcMar>
          </w:tcPr>
          <w:p w:rsidR="004E7EAD" w:rsidRPr="0082092A" w:rsidRDefault="004E7EAD" w:rsidP="00F25CF1">
            <w:r w:rsidRPr="0082092A">
              <w:rPr>
                <w:noProof/>
              </w:rPr>
              <w:drawing>
                <wp:anchor distT="0" distB="0" distL="114300" distR="114300" simplePos="0" relativeHeight="251659264" behindDoc="1" locked="0" layoutInCell="0" allowOverlap="1" wp14:anchorId="21296538" wp14:editId="4C1CD076">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4E7EAD" w:rsidRPr="0082092A" w:rsidRDefault="004E7EAD" w:rsidP="00F25CF1"/>
        </w:tc>
        <w:tc>
          <w:tcPr>
            <w:tcW w:w="425" w:type="dxa"/>
            <w:tcBorders>
              <w:bottom w:val="single" w:sz="4" w:space="0" w:color="auto"/>
            </w:tcBorders>
            <w:tcMar>
              <w:left w:w="0" w:type="dxa"/>
              <w:right w:w="0" w:type="dxa"/>
            </w:tcMar>
          </w:tcPr>
          <w:p w:rsidR="004E7EAD" w:rsidRPr="0082092A" w:rsidRDefault="004E7EAD" w:rsidP="00F25CF1">
            <w:pPr>
              <w:jc w:val="right"/>
            </w:pPr>
            <w:r w:rsidRPr="0082092A">
              <w:rPr>
                <w:b/>
                <w:sz w:val="40"/>
                <w:szCs w:val="40"/>
              </w:rPr>
              <w:t>C</w:t>
            </w:r>
          </w:p>
        </w:tc>
      </w:tr>
      <w:tr w:rsidR="004E7EAD" w:rsidRPr="0082092A" w:rsidTr="00F25CF1">
        <w:trPr>
          <w:trHeight w:hRule="exact" w:val="340"/>
        </w:trPr>
        <w:tc>
          <w:tcPr>
            <w:tcW w:w="9356" w:type="dxa"/>
            <w:gridSpan w:val="3"/>
            <w:tcBorders>
              <w:top w:val="single" w:sz="4" w:space="0" w:color="auto"/>
            </w:tcBorders>
            <w:tcMar>
              <w:top w:w="170" w:type="dxa"/>
              <w:left w:w="0" w:type="dxa"/>
              <w:right w:w="0" w:type="dxa"/>
            </w:tcMar>
            <w:vAlign w:val="bottom"/>
          </w:tcPr>
          <w:p w:rsidR="004E7EAD" w:rsidRPr="0082092A" w:rsidRDefault="004E7EAD" w:rsidP="004E7EAD">
            <w:pPr>
              <w:wordWrap w:val="0"/>
              <w:jc w:val="right"/>
              <w:rPr>
                <w:rFonts w:ascii="Arial Black" w:hAnsi="Arial Black"/>
                <w:caps/>
                <w:sz w:val="15"/>
              </w:rPr>
            </w:pPr>
            <w:r w:rsidRPr="0082092A">
              <w:rPr>
                <w:rFonts w:ascii="Arial Black" w:hAnsi="Arial Black"/>
                <w:caps/>
                <w:sz w:val="15"/>
              </w:rPr>
              <w:t>wo/pbc</w:t>
            </w:r>
            <w:r w:rsidRPr="0082092A">
              <w:rPr>
                <w:rFonts w:ascii="Arial Black" w:hAnsi="Arial Black" w:hint="eastAsia"/>
                <w:caps/>
                <w:sz w:val="15"/>
              </w:rPr>
              <w:t>/2</w:t>
            </w:r>
            <w:r>
              <w:rPr>
                <w:rFonts w:ascii="Arial Black" w:hAnsi="Arial Black" w:hint="eastAsia"/>
                <w:caps/>
                <w:sz w:val="15"/>
              </w:rPr>
              <w:t>4</w:t>
            </w:r>
            <w:r w:rsidRPr="0082092A">
              <w:rPr>
                <w:rFonts w:ascii="Arial Black" w:hAnsi="Arial Black" w:hint="eastAsia"/>
                <w:caps/>
                <w:sz w:val="15"/>
              </w:rPr>
              <w:t>/</w:t>
            </w:r>
            <w:bookmarkStart w:id="0" w:name="Code"/>
            <w:bookmarkEnd w:id="0"/>
            <w:r>
              <w:rPr>
                <w:rFonts w:ascii="Arial Black" w:hAnsi="Arial Black" w:hint="eastAsia"/>
                <w:caps/>
                <w:sz w:val="15"/>
              </w:rPr>
              <w:t>inf.3</w:t>
            </w:r>
          </w:p>
        </w:tc>
      </w:tr>
      <w:tr w:rsidR="004E7EAD" w:rsidRPr="0082092A" w:rsidTr="00F25CF1">
        <w:trPr>
          <w:trHeight w:hRule="exact" w:val="170"/>
        </w:trPr>
        <w:tc>
          <w:tcPr>
            <w:tcW w:w="9356" w:type="dxa"/>
            <w:gridSpan w:val="3"/>
            <w:noWrap/>
            <w:tcMar>
              <w:left w:w="0" w:type="dxa"/>
              <w:right w:w="0" w:type="dxa"/>
            </w:tcMar>
            <w:vAlign w:val="bottom"/>
          </w:tcPr>
          <w:p w:rsidR="004E7EAD" w:rsidRPr="0082092A" w:rsidRDefault="004E7EAD" w:rsidP="00F25CF1">
            <w:pPr>
              <w:jc w:val="right"/>
              <w:rPr>
                <w:rFonts w:ascii="Arial Black" w:hAnsi="Arial Black"/>
                <w:b/>
                <w:caps/>
                <w:sz w:val="15"/>
                <w:szCs w:val="15"/>
              </w:rPr>
            </w:pPr>
            <w:r w:rsidRPr="0082092A">
              <w:rPr>
                <w:rFonts w:eastAsia="SimHei" w:hint="eastAsia"/>
                <w:b/>
                <w:sz w:val="15"/>
                <w:szCs w:val="15"/>
              </w:rPr>
              <w:t>原</w:t>
            </w:r>
            <w:r w:rsidRPr="0082092A">
              <w:rPr>
                <w:rFonts w:eastAsia="SimHei"/>
                <w:b/>
                <w:sz w:val="15"/>
                <w:szCs w:val="15"/>
                <w:lang w:val="pt-BR"/>
              </w:rPr>
              <w:t xml:space="preserve"> </w:t>
            </w:r>
            <w:r w:rsidRPr="0082092A">
              <w:rPr>
                <w:rFonts w:eastAsia="SimHei" w:hint="eastAsia"/>
                <w:b/>
                <w:sz w:val="15"/>
                <w:szCs w:val="15"/>
              </w:rPr>
              <w:t>文</w:t>
            </w:r>
            <w:r w:rsidRPr="0082092A">
              <w:rPr>
                <w:rFonts w:eastAsia="SimHei" w:hint="eastAsia"/>
                <w:b/>
                <w:sz w:val="15"/>
                <w:szCs w:val="15"/>
                <w:lang w:val="pt-BR"/>
              </w:rPr>
              <w:t>：</w:t>
            </w:r>
            <w:bookmarkStart w:id="1" w:name="Original"/>
            <w:bookmarkEnd w:id="1"/>
            <w:r w:rsidRPr="0082092A">
              <w:rPr>
                <w:rFonts w:eastAsia="SimHei" w:hint="eastAsia"/>
                <w:b/>
                <w:sz w:val="15"/>
                <w:szCs w:val="15"/>
                <w:lang w:val="pt-BR"/>
              </w:rPr>
              <w:t>英文</w:t>
            </w:r>
          </w:p>
        </w:tc>
      </w:tr>
      <w:tr w:rsidR="004E7EAD" w:rsidRPr="0082092A" w:rsidTr="00F25CF1">
        <w:trPr>
          <w:trHeight w:hRule="exact" w:val="198"/>
        </w:trPr>
        <w:tc>
          <w:tcPr>
            <w:tcW w:w="9356" w:type="dxa"/>
            <w:gridSpan w:val="3"/>
            <w:tcMar>
              <w:left w:w="0" w:type="dxa"/>
              <w:right w:w="0" w:type="dxa"/>
            </w:tcMar>
            <w:vAlign w:val="bottom"/>
          </w:tcPr>
          <w:p w:rsidR="004E7EAD" w:rsidRPr="0082092A" w:rsidRDefault="004E7EAD" w:rsidP="00F25CF1">
            <w:pPr>
              <w:jc w:val="right"/>
              <w:rPr>
                <w:rFonts w:ascii="SimHei" w:eastAsia="SimHei" w:hAnsi="Arial Black"/>
                <w:b/>
                <w:caps/>
                <w:sz w:val="15"/>
                <w:szCs w:val="15"/>
              </w:rPr>
            </w:pPr>
            <w:r w:rsidRPr="0082092A">
              <w:rPr>
                <w:rFonts w:ascii="SimHei" w:eastAsia="SimHei" w:hint="eastAsia"/>
                <w:b/>
                <w:sz w:val="15"/>
                <w:szCs w:val="15"/>
              </w:rPr>
              <w:t>日</w:t>
            </w:r>
            <w:r w:rsidRPr="0082092A">
              <w:rPr>
                <w:rFonts w:ascii="SimHei" w:eastAsia="SimHei" w:hint="eastAsia"/>
                <w:b/>
                <w:sz w:val="15"/>
                <w:szCs w:val="15"/>
                <w:lang w:val="pt-BR"/>
              </w:rPr>
              <w:t xml:space="preserve"> </w:t>
            </w:r>
            <w:r w:rsidRPr="0082092A">
              <w:rPr>
                <w:rFonts w:ascii="SimHei" w:eastAsia="SimHei" w:hint="eastAsia"/>
                <w:b/>
                <w:sz w:val="15"/>
                <w:szCs w:val="15"/>
              </w:rPr>
              <w:t>期</w:t>
            </w:r>
            <w:r w:rsidRPr="0082092A">
              <w:rPr>
                <w:rFonts w:ascii="SimHei" w:eastAsia="SimHei" w:hAnsi="SimSun" w:hint="eastAsia"/>
                <w:b/>
                <w:sz w:val="15"/>
                <w:szCs w:val="15"/>
                <w:lang w:val="pt-BR"/>
              </w:rPr>
              <w:t>：</w:t>
            </w:r>
            <w:bookmarkStart w:id="2" w:name="Date"/>
            <w:bookmarkEnd w:id="2"/>
            <w:r w:rsidRPr="0082092A">
              <w:rPr>
                <w:rFonts w:ascii="Arial Black" w:eastAsia="SimHei" w:hAnsi="Arial Black" w:hint="eastAsia"/>
                <w:b/>
                <w:sz w:val="15"/>
                <w:szCs w:val="15"/>
                <w:lang w:val="pt-BR"/>
              </w:rPr>
              <w:t>2015</w:t>
            </w:r>
            <w:r w:rsidRPr="0082092A">
              <w:rPr>
                <w:rFonts w:ascii="SimHei" w:eastAsia="SimHei" w:hAnsi="Times New Roman" w:hint="eastAsia"/>
                <w:b/>
                <w:sz w:val="15"/>
                <w:szCs w:val="15"/>
              </w:rPr>
              <w:t>年</w:t>
            </w:r>
            <w:r>
              <w:rPr>
                <w:rFonts w:ascii="Arial Black" w:eastAsia="SimHei" w:hAnsi="Arial Black" w:hint="eastAsia"/>
                <w:b/>
                <w:sz w:val="15"/>
                <w:szCs w:val="15"/>
                <w:lang w:val="pt-BR"/>
              </w:rPr>
              <w:t>9</w:t>
            </w:r>
            <w:r w:rsidRPr="0082092A">
              <w:rPr>
                <w:rFonts w:ascii="SimHei" w:eastAsia="SimHei" w:hAnsi="Times New Roman" w:hint="eastAsia"/>
                <w:b/>
                <w:sz w:val="15"/>
                <w:szCs w:val="15"/>
              </w:rPr>
              <w:t>月</w:t>
            </w:r>
            <w:r>
              <w:rPr>
                <w:rFonts w:ascii="Arial Black" w:eastAsia="SimHei" w:hAnsi="Arial Black" w:hint="eastAsia"/>
                <w:b/>
                <w:sz w:val="15"/>
                <w:szCs w:val="15"/>
              </w:rPr>
              <w:t>4</w:t>
            </w:r>
            <w:r w:rsidRPr="0082092A">
              <w:rPr>
                <w:rFonts w:ascii="SimHei" w:eastAsia="SimHei" w:hAnsi="Times New Roman" w:hint="eastAsia"/>
                <w:b/>
                <w:sz w:val="15"/>
                <w:szCs w:val="15"/>
              </w:rPr>
              <w:t>日</w:t>
            </w:r>
            <w:r w:rsidRPr="0082092A">
              <w:rPr>
                <w:rFonts w:ascii="SimHei" w:eastAsia="SimHei" w:hAnsi="Arial Black" w:hint="eastAsia"/>
                <w:b/>
                <w:caps/>
                <w:sz w:val="15"/>
                <w:szCs w:val="15"/>
              </w:rPr>
              <w:t xml:space="preserve">  </w:t>
            </w:r>
          </w:p>
        </w:tc>
      </w:tr>
    </w:tbl>
    <w:p w:rsidR="004E7EAD" w:rsidRPr="0082092A" w:rsidRDefault="004E7EAD" w:rsidP="004E7EAD"/>
    <w:p w:rsidR="004E7EAD" w:rsidRPr="0082092A" w:rsidRDefault="004E7EAD" w:rsidP="004E7EAD">
      <w:pPr>
        <w:widowControl w:val="0"/>
        <w:jc w:val="both"/>
        <w:rPr>
          <w:rFonts w:cs="Times New Roman"/>
          <w:kern w:val="2"/>
          <w:szCs w:val="22"/>
        </w:rPr>
      </w:pPr>
    </w:p>
    <w:p w:rsidR="004E7EAD" w:rsidRPr="0082092A" w:rsidRDefault="004E7EAD" w:rsidP="004E7EAD">
      <w:pPr>
        <w:widowControl w:val="0"/>
        <w:jc w:val="both"/>
        <w:rPr>
          <w:rFonts w:cs="Times New Roman"/>
          <w:kern w:val="2"/>
          <w:szCs w:val="22"/>
        </w:rPr>
      </w:pPr>
    </w:p>
    <w:p w:rsidR="004E7EAD" w:rsidRPr="0082092A" w:rsidRDefault="004E7EAD" w:rsidP="004E7EAD">
      <w:pPr>
        <w:widowControl w:val="0"/>
        <w:jc w:val="both"/>
        <w:rPr>
          <w:rFonts w:cs="Times New Roman"/>
          <w:kern w:val="2"/>
          <w:szCs w:val="22"/>
        </w:rPr>
      </w:pPr>
    </w:p>
    <w:p w:rsidR="004E7EAD" w:rsidRPr="0082092A" w:rsidRDefault="004E7EAD" w:rsidP="004E7EAD">
      <w:pPr>
        <w:widowControl w:val="0"/>
        <w:jc w:val="both"/>
        <w:rPr>
          <w:rFonts w:cs="Times New Roman"/>
          <w:kern w:val="2"/>
          <w:szCs w:val="22"/>
        </w:rPr>
      </w:pPr>
    </w:p>
    <w:p w:rsidR="004E7EAD" w:rsidRPr="0082092A" w:rsidRDefault="004E7EAD" w:rsidP="004E7EAD">
      <w:pPr>
        <w:widowControl w:val="0"/>
        <w:jc w:val="both"/>
        <w:rPr>
          <w:rFonts w:ascii="SimHei" w:eastAsia="SimHei" w:hAnsi="Calibri" w:cs="Times New Roman"/>
          <w:kern w:val="2"/>
          <w:sz w:val="28"/>
          <w:szCs w:val="28"/>
        </w:rPr>
      </w:pPr>
      <w:r w:rsidRPr="0082092A">
        <w:rPr>
          <w:rFonts w:ascii="SimHei" w:eastAsia="SimHei" w:hAnsi="Calibri" w:cs="Times New Roman" w:hint="eastAsia"/>
          <w:kern w:val="2"/>
          <w:sz w:val="28"/>
          <w:szCs w:val="28"/>
        </w:rPr>
        <w:t>计划和预算委员会</w:t>
      </w:r>
    </w:p>
    <w:p w:rsidR="004E7EAD" w:rsidRPr="0082092A" w:rsidRDefault="004E7EAD" w:rsidP="004E7EAD">
      <w:pPr>
        <w:widowControl w:val="0"/>
        <w:jc w:val="both"/>
        <w:rPr>
          <w:rFonts w:cs="Times New Roman"/>
          <w:kern w:val="2"/>
          <w:szCs w:val="22"/>
        </w:rPr>
      </w:pPr>
    </w:p>
    <w:p w:rsidR="004E7EAD" w:rsidRPr="0082092A" w:rsidRDefault="004E7EAD" w:rsidP="004E7EAD">
      <w:pPr>
        <w:widowControl w:val="0"/>
        <w:jc w:val="both"/>
        <w:rPr>
          <w:rFonts w:cs="Times New Roman"/>
          <w:kern w:val="2"/>
          <w:szCs w:val="22"/>
        </w:rPr>
      </w:pPr>
    </w:p>
    <w:p w:rsidR="004E7EAD" w:rsidRPr="0082092A" w:rsidRDefault="004E7EAD" w:rsidP="004E7EAD">
      <w:pPr>
        <w:widowControl w:val="0"/>
        <w:autoSpaceDE w:val="0"/>
        <w:autoSpaceDN w:val="0"/>
        <w:jc w:val="both"/>
        <w:textAlignment w:val="bottom"/>
        <w:rPr>
          <w:rFonts w:ascii="KaiTi" w:eastAsia="KaiTi" w:hAnsi="Calibri" w:cs="Times New Roman"/>
          <w:b/>
          <w:kern w:val="2"/>
          <w:sz w:val="24"/>
          <w:szCs w:val="24"/>
        </w:rPr>
      </w:pPr>
      <w:r w:rsidRPr="0082092A">
        <w:rPr>
          <w:rFonts w:ascii="KaiTi" w:eastAsia="KaiTi" w:hAnsi="Calibri" w:cs="Times New Roman" w:hint="eastAsia"/>
          <w:b/>
          <w:kern w:val="2"/>
          <w:sz w:val="24"/>
          <w:szCs w:val="24"/>
        </w:rPr>
        <w:t>第二十</w:t>
      </w:r>
      <w:r>
        <w:rPr>
          <w:rFonts w:ascii="KaiTi" w:eastAsia="KaiTi" w:hAnsi="Calibri" w:cs="Times New Roman" w:hint="eastAsia"/>
          <w:b/>
          <w:kern w:val="2"/>
          <w:sz w:val="24"/>
          <w:szCs w:val="24"/>
        </w:rPr>
        <w:t>四</w:t>
      </w:r>
      <w:r w:rsidRPr="0082092A">
        <w:rPr>
          <w:rFonts w:ascii="KaiTi" w:eastAsia="KaiTi" w:hAnsi="Calibri" w:cs="Times New Roman" w:hint="eastAsia"/>
          <w:b/>
          <w:kern w:val="2"/>
          <w:sz w:val="24"/>
          <w:szCs w:val="24"/>
        </w:rPr>
        <w:t>届会议</w:t>
      </w:r>
    </w:p>
    <w:p w:rsidR="004E7EAD" w:rsidRPr="0082092A" w:rsidRDefault="004E7EAD" w:rsidP="004E7EAD">
      <w:pPr>
        <w:widowControl w:val="0"/>
        <w:jc w:val="both"/>
        <w:rPr>
          <w:rFonts w:ascii="KaiTi" w:eastAsia="KaiTi" w:hAnsi="KaiTi" w:cs="Times New Roman"/>
          <w:b/>
          <w:kern w:val="2"/>
          <w:sz w:val="24"/>
          <w:szCs w:val="24"/>
        </w:rPr>
      </w:pPr>
      <w:r w:rsidRPr="0082092A">
        <w:rPr>
          <w:rFonts w:ascii="KaiTi" w:eastAsia="KaiTi" w:hAnsi="KaiTi" w:cs="Times New Roman"/>
          <w:kern w:val="2"/>
          <w:sz w:val="24"/>
          <w:szCs w:val="24"/>
        </w:rPr>
        <w:t>201</w:t>
      </w:r>
      <w:r w:rsidRPr="0082092A">
        <w:rPr>
          <w:rFonts w:ascii="KaiTi" w:eastAsia="KaiTi" w:hAnsi="KaiTi" w:cs="Times New Roman" w:hint="eastAsia"/>
          <w:kern w:val="2"/>
          <w:sz w:val="24"/>
          <w:szCs w:val="24"/>
        </w:rPr>
        <w:t>5</w:t>
      </w:r>
      <w:r w:rsidRPr="0082092A">
        <w:rPr>
          <w:rFonts w:ascii="KaiTi" w:eastAsia="KaiTi" w:hAnsi="KaiTi" w:hint="eastAsia"/>
          <w:b/>
          <w:kern w:val="2"/>
          <w:sz w:val="24"/>
          <w:szCs w:val="24"/>
        </w:rPr>
        <w:t>年</w:t>
      </w:r>
      <w:r>
        <w:rPr>
          <w:rFonts w:ascii="KaiTi" w:eastAsia="KaiTi" w:hAnsi="KaiTi" w:cs="Times New Roman" w:hint="eastAsia"/>
          <w:kern w:val="2"/>
          <w:sz w:val="24"/>
          <w:szCs w:val="24"/>
        </w:rPr>
        <w:t>9</w:t>
      </w:r>
      <w:r w:rsidRPr="0082092A">
        <w:rPr>
          <w:rFonts w:ascii="KaiTi" w:eastAsia="KaiTi" w:hAnsi="KaiTi" w:hint="eastAsia"/>
          <w:b/>
          <w:kern w:val="2"/>
          <w:sz w:val="24"/>
          <w:szCs w:val="24"/>
        </w:rPr>
        <w:t>月</w:t>
      </w:r>
      <w:r w:rsidRPr="0082092A">
        <w:rPr>
          <w:rFonts w:ascii="KaiTi" w:eastAsia="KaiTi" w:hAnsi="KaiTi" w:hint="eastAsia"/>
          <w:kern w:val="2"/>
          <w:sz w:val="24"/>
          <w:szCs w:val="24"/>
        </w:rPr>
        <w:t>1</w:t>
      </w:r>
      <w:r>
        <w:rPr>
          <w:rFonts w:ascii="KaiTi" w:eastAsia="KaiTi" w:hAnsi="KaiTi" w:hint="eastAsia"/>
          <w:kern w:val="2"/>
          <w:sz w:val="24"/>
          <w:szCs w:val="24"/>
        </w:rPr>
        <w:t>4</w:t>
      </w:r>
      <w:r w:rsidRPr="0082092A">
        <w:rPr>
          <w:rFonts w:ascii="KaiTi" w:eastAsia="KaiTi" w:hAnsi="KaiTi" w:hint="eastAsia"/>
          <w:b/>
          <w:kern w:val="2"/>
          <w:sz w:val="24"/>
          <w:szCs w:val="24"/>
        </w:rPr>
        <w:t>日至</w:t>
      </w:r>
      <w:r w:rsidRPr="0082092A">
        <w:rPr>
          <w:rFonts w:ascii="KaiTi" w:eastAsia="KaiTi" w:hAnsi="KaiTi" w:cs="Times New Roman" w:hint="eastAsia"/>
          <w:kern w:val="2"/>
          <w:sz w:val="24"/>
          <w:szCs w:val="24"/>
        </w:rPr>
        <w:t>1</w:t>
      </w:r>
      <w:r>
        <w:rPr>
          <w:rFonts w:ascii="KaiTi" w:eastAsia="KaiTi" w:hAnsi="KaiTi" w:cs="Times New Roman" w:hint="eastAsia"/>
          <w:kern w:val="2"/>
          <w:sz w:val="24"/>
          <w:szCs w:val="24"/>
        </w:rPr>
        <w:t>8</w:t>
      </w:r>
      <w:r w:rsidRPr="0082092A">
        <w:rPr>
          <w:rFonts w:ascii="KaiTi" w:eastAsia="KaiTi" w:hAnsi="KaiTi" w:hint="eastAsia"/>
          <w:b/>
          <w:kern w:val="2"/>
          <w:sz w:val="24"/>
          <w:szCs w:val="24"/>
        </w:rPr>
        <w:t>日，日内瓦</w:t>
      </w:r>
    </w:p>
    <w:p w:rsidR="004E7EAD" w:rsidRPr="0082092A" w:rsidRDefault="004E7EAD" w:rsidP="004E7EAD">
      <w:pPr>
        <w:widowControl w:val="0"/>
        <w:jc w:val="both"/>
        <w:rPr>
          <w:rFonts w:cs="Times New Roman"/>
          <w:kern w:val="2"/>
          <w:szCs w:val="22"/>
        </w:rPr>
      </w:pPr>
    </w:p>
    <w:p w:rsidR="004E7EAD" w:rsidRPr="0082092A" w:rsidRDefault="004E7EAD" w:rsidP="004E7EAD">
      <w:pPr>
        <w:widowControl w:val="0"/>
        <w:jc w:val="both"/>
        <w:rPr>
          <w:rFonts w:cs="Times New Roman"/>
          <w:kern w:val="2"/>
          <w:szCs w:val="22"/>
        </w:rPr>
      </w:pPr>
    </w:p>
    <w:p w:rsidR="004E7EAD" w:rsidRPr="0082092A" w:rsidRDefault="004E7EAD" w:rsidP="004E7EAD">
      <w:pPr>
        <w:widowControl w:val="0"/>
        <w:jc w:val="both"/>
        <w:rPr>
          <w:rFonts w:cs="Times New Roman"/>
          <w:kern w:val="2"/>
          <w:szCs w:val="22"/>
        </w:rPr>
      </w:pPr>
    </w:p>
    <w:p w:rsidR="004E7EAD" w:rsidRPr="0082092A" w:rsidRDefault="004E7EAD" w:rsidP="004E7EAD">
      <w:pPr>
        <w:widowControl w:val="0"/>
        <w:ind w:rightChars="-493" w:right="-1085"/>
        <w:jc w:val="both"/>
        <w:rPr>
          <w:rFonts w:ascii="KaiTi" w:eastAsia="KaiTi" w:hAnsi="KaiTi"/>
          <w:caps/>
          <w:kern w:val="2"/>
          <w:sz w:val="24"/>
          <w:szCs w:val="24"/>
        </w:rPr>
      </w:pPr>
      <w:bookmarkStart w:id="3" w:name="TitleOfDoc"/>
      <w:bookmarkEnd w:id="3"/>
      <w:r w:rsidRPr="004E7EAD">
        <w:rPr>
          <w:rFonts w:ascii="KaiTi" w:eastAsia="KaiTi" w:hAnsi="KaiTi" w:hint="eastAsia"/>
          <w:caps/>
          <w:kern w:val="2"/>
          <w:sz w:val="24"/>
          <w:szCs w:val="24"/>
        </w:rPr>
        <w:t>专利合作条约(PCT)工作组PCT收入对</w:t>
      </w:r>
      <w:proofErr w:type="gramStart"/>
      <w:r w:rsidRPr="004E7EAD">
        <w:rPr>
          <w:rFonts w:ascii="KaiTi" w:eastAsia="KaiTi" w:hAnsi="KaiTi" w:hint="eastAsia"/>
          <w:caps/>
          <w:kern w:val="2"/>
          <w:sz w:val="24"/>
          <w:szCs w:val="24"/>
        </w:rPr>
        <w:t>冲战略</w:t>
      </w:r>
      <w:proofErr w:type="gramEnd"/>
      <w:r w:rsidRPr="004E7EAD">
        <w:rPr>
          <w:rFonts w:ascii="KaiTi" w:eastAsia="KaiTi" w:hAnsi="KaiTi" w:hint="eastAsia"/>
          <w:caps/>
          <w:kern w:val="2"/>
          <w:sz w:val="24"/>
          <w:szCs w:val="24"/>
        </w:rPr>
        <w:t>提案的最新情况</w:t>
      </w:r>
    </w:p>
    <w:p w:rsidR="004E7EAD" w:rsidRPr="0082092A" w:rsidRDefault="004E7EAD" w:rsidP="004E7EAD">
      <w:pPr>
        <w:widowControl w:val="0"/>
        <w:jc w:val="both"/>
        <w:rPr>
          <w:rFonts w:cs="Times New Roman"/>
          <w:kern w:val="2"/>
          <w:szCs w:val="22"/>
        </w:rPr>
      </w:pPr>
    </w:p>
    <w:p w:rsidR="004E7EAD" w:rsidRPr="0082092A" w:rsidRDefault="004E7EAD" w:rsidP="004E7EAD">
      <w:pPr>
        <w:widowControl w:val="0"/>
        <w:jc w:val="both"/>
        <w:rPr>
          <w:rFonts w:ascii="KaiTi" w:eastAsia="KaiTi" w:hAnsi="KaiTi"/>
          <w:i/>
          <w:kern w:val="2"/>
          <w:sz w:val="21"/>
          <w:szCs w:val="21"/>
        </w:rPr>
      </w:pPr>
      <w:bookmarkStart w:id="4" w:name="Prepared"/>
      <w:bookmarkEnd w:id="4"/>
      <w:r>
        <w:rPr>
          <w:rFonts w:ascii="KaiTi" w:eastAsia="KaiTi" w:hAnsi="KaiTi" w:hint="eastAsia"/>
          <w:i/>
          <w:kern w:val="2"/>
          <w:sz w:val="21"/>
          <w:szCs w:val="21"/>
        </w:rPr>
        <w:t>秘书处编拟的文件</w:t>
      </w:r>
    </w:p>
    <w:p w:rsidR="004E7EAD" w:rsidRPr="0082092A" w:rsidRDefault="004E7EAD" w:rsidP="004E7EAD"/>
    <w:p w:rsidR="004E7EAD" w:rsidRPr="0082092A" w:rsidRDefault="004E7EAD" w:rsidP="004E7EAD"/>
    <w:p w:rsidR="004E7EAD" w:rsidRPr="0082092A" w:rsidRDefault="004E7EAD" w:rsidP="004E7EAD"/>
    <w:p w:rsidR="004E7EAD" w:rsidRPr="0082092A" w:rsidRDefault="004E7EAD" w:rsidP="004E7EAD"/>
    <w:p w:rsidR="004E7EAD" w:rsidRDefault="00E27AA3" w:rsidP="004E7EAD">
      <w:pPr>
        <w:pStyle w:val="a0"/>
        <w:tabs>
          <w:tab w:val="clear" w:pos="709"/>
        </w:tabs>
        <w:overflowPunct w:val="0"/>
        <w:spacing w:afterLines="50" w:after="120" w:line="340" w:lineRule="atLeast"/>
        <w:ind w:left="0"/>
        <w:jc w:val="both"/>
        <w:rPr>
          <w:rFonts w:ascii="SimSun" w:hAnsi="SimSun"/>
          <w:sz w:val="21"/>
        </w:rPr>
      </w:pPr>
      <w:r w:rsidRPr="004E7EAD">
        <w:rPr>
          <w:rFonts w:ascii="SimSun" w:hAnsi="SimSun"/>
          <w:sz w:val="21"/>
        </w:rPr>
        <w:t>在</w:t>
      </w:r>
      <w:r w:rsidRPr="004E7EAD">
        <w:rPr>
          <w:rFonts w:ascii="SimSun" w:hAnsi="SimSun" w:hint="eastAsia"/>
          <w:sz w:val="21"/>
        </w:rPr>
        <w:t>2015年7月13日至17日召开的计划和预算委员会</w:t>
      </w:r>
      <w:r w:rsidRPr="004E7EAD">
        <w:rPr>
          <w:rFonts w:ascii="SimSun" w:hAnsi="SimSun"/>
          <w:sz w:val="21"/>
        </w:rPr>
        <w:t>(PBC</w:t>
      </w:r>
      <w:r w:rsidRPr="004E7EAD">
        <w:rPr>
          <w:rFonts w:ascii="SimSun" w:hAnsi="SimSun" w:hint="eastAsia"/>
          <w:sz w:val="21"/>
        </w:rPr>
        <w:t>)</w:t>
      </w:r>
      <w:r w:rsidRPr="004E7EAD">
        <w:rPr>
          <w:rFonts w:ascii="SimSun" w:hAnsi="SimSun"/>
          <w:sz w:val="21"/>
        </w:rPr>
        <w:t>第二十三届会议上，</w:t>
      </w:r>
      <w:r w:rsidR="002D3060" w:rsidRPr="004E7EAD">
        <w:rPr>
          <w:rFonts w:ascii="SimSun" w:hAnsi="SimSun"/>
          <w:sz w:val="21"/>
        </w:rPr>
        <w:t>委员会要求秘书处在</w:t>
      </w:r>
      <w:r w:rsidR="00315ACB" w:rsidRPr="004E7EAD">
        <w:rPr>
          <w:rFonts w:ascii="SimSun" w:hAnsi="SimSun"/>
          <w:sz w:val="21"/>
        </w:rPr>
        <w:t>第</w:t>
      </w:r>
      <w:r w:rsidR="004E7EAD">
        <w:rPr>
          <w:rFonts w:ascii="SimSun" w:hAnsi="SimSun" w:hint="eastAsia"/>
          <w:sz w:val="21"/>
        </w:rPr>
        <w:t>二十四</w:t>
      </w:r>
      <w:r w:rsidR="00315ACB" w:rsidRPr="004E7EAD">
        <w:rPr>
          <w:rFonts w:ascii="SimSun" w:hAnsi="SimSun" w:hint="eastAsia"/>
          <w:sz w:val="21"/>
        </w:rPr>
        <w:t>届会议上提供关于PCT收入对</w:t>
      </w:r>
      <w:proofErr w:type="gramStart"/>
      <w:r w:rsidR="00315ACB" w:rsidRPr="004E7EAD">
        <w:rPr>
          <w:rFonts w:ascii="SimSun" w:hAnsi="SimSun" w:hint="eastAsia"/>
          <w:sz w:val="21"/>
        </w:rPr>
        <w:t>冲战略</w:t>
      </w:r>
      <w:proofErr w:type="gramEnd"/>
      <w:r w:rsidR="00315ACB" w:rsidRPr="004E7EAD">
        <w:rPr>
          <w:rFonts w:ascii="SimSun" w:hAnsi="SimSun" w:hint="eastAsia"/>
          <w:sz w:val="21"/>
        </w:rPr>
        <w:t>实施进展情况的最新情况介绍</w:t>
      </w:r>
      <w:r w:rsidR="00803503" w:rsidRPr="004E7EAD">
        <w:rPr>
          <w:rFonts w:ascii="SimSun" w:hAnsi="SimSun"/>
          <w:sz w:val="21"/>
        </w:rPr>
        <w:t>(</w:t>
      </w:r>
      <w:hyperlink r:id="rId10" w:history="1">
        <w:r w:rsidR="00803503" w:rsidRPr="004E7EAD">
          <w:rPr>
            <w:rFonts w:ascii="SimSun" w:hAnsi="SimSun"/>
            <w:sz w:val="21"/>
            <w:szCs w:val="22"/>
          </w:rPr>
          <w:t>WO/PBC/23/REF/HEDGING STRATEGY FOR PCT INCOME</w:t>
        </w:r>
      </w:hyperlink>
      <w:r w:rsidR="00803503" w:rsidRPr="004E7EAD">
        <w:rPr>
          <w:rFonts w:ascii="SimSun" w:hAnsi="SimSun"/>
          <w:sz w:val="21"/>
        </w:rPr>
        <w:t>)</w:t>
      </w:r>
      <w:r w:rsidR="004E7EAD">
        <w:rPr>
          <w:rFonts w:ascii="SimSun" w:hAnsi="SimSun" w:hint="eastAsia"/>
          <w:sz w:val="21"/>
        </w:rPr>
        <w:t>。</w:t>
      </w:r>
      <w:r w:rsidR="00803503" w:rsidRPr="004E7EAD">
        <w:rPr>
          <w:rFonts w:ascii="SimSun" w:hAnsi="SimSun"/>
          <w:sz w:val="21"/>
        </w:rPr>
        <w:t>此前，专利合作条约</w:t>
      </w:r>
      <w:r w:rsidR="00803503" w:rsidRPr="004E7EAD">
        <w:rPr>
          <w:rFonts w:ascii="SimSun" w:hAnsi="SimSun" w:hint="eastAsia"/>
          <w:sz w:val="21"/>
        </w:rPr>
        <w:t>(</w:t>
      </w:r>
      <w:r w:rsidR="00803503" w:rsidRPr="004E7EAD">
        <w:rPr>
          <w:rFonts w:ascii="SimSun" w:hAnsi="SimSun"/>
          <w:sz w:val="21"/>
        </w:rPr>
        <w:t>PCT</w:t>
      </w:r>
      <w:r w:rsidR="00803503" w:rsidRPr="004E7EAD">
        <w:rPr>
          <w:rFonts w:ascii="SimSun" w:hAnsi="SimSun" w:hint="eastAsia"/>
          <w:sz w:val="21"/>
        </w:rPr>
        <w:t>)</w:t>
      </w:r>
      <w:r w:rsidR="00803503" w:rsidRPr="004E7EAD">
        <w:rPr>
          <w:rFonts w:ascii="SimSun" w:hAnsi="SimSun"/>
          <w:sz w:val="21"/>
        </w:rPr>
        <w:t>工作组</w:t>
      </w:r>
      <w:r w:rsidR="00803503" w:rsidRPr="004E7EAD">
        <w:rPr>
          <w:rFonts w:ascii="SimSun" w:hAnsi="SimSun" w:hint="eastAsia"/>
          <w:sz w:val="21"/>
        </w:rPr>
        <w:t>在2015年5月的会议上就“关于</w:t>
      </w:r>
      <w:r w:rsidR="002D3060" w:rsidRPr="004E7EAD">
        <w:rPr>
          <w:rFonts w:ascii="SimSun" w:hAnsi="SimSun" w:hint="eastAsia"/>
          <w:sz w:val="21"/>
        </w:rPr>
        <w:t>某些费用建立等值数额</w:t>
      </w:r>
      <w:r w:rsidR="00803503" w:rsidRPr="004E7EAD">
        <w:rPr>
          <w:rFonts w:ascii="SimSun" w:hAnsi="SimSun" w:hint="eastAsia"/>
          <w:sz w:val="21"/>
        </w:rPr>
        <w:t>的大会指令”拟议修改取得了协商一致，</w:t>
      </w:r>
      <w:r w:rsidR="00CE73CD" w:rsidRPr="004E7EAD">
        <w:rPr>
          <w:rFonts w:ascii="SimSun" w:hAnsi="SimSun" w:hint="eastAsia"/>
          <w:sz w:val="21"/>
        </w:rPr>
        <w:t>以便在2015年10月的会议上将这些修改提交PCT大会审议和通过(</w:t>
      </w:r>
      <w:r w:rsidR="00CE73CD" w:rsidRPr="004E7EAD">
        <w:rPr>
          <w:rFonts w:ascii="SimSun" w:hAnsi="SimSun"/>
          <w:sz w:val="21"/>
        </w:rPr>
        <w:t>见文件PCT/A/47/5</w:t>
      </w:r>
      <w:r w:rsidR="00CE73CD" w:rsidRPr="004E7EAD">
        <w:rPr>
          <w:rFonts w:ascii="SimSun" w:hAnsi="SimSun" w:hint="eastAsia"/>
          <w:sz w:val="21"/>
        </w:rPr>
        <w:t>)</w:t>
      </w:r>
      <w:r w:rsidR="00315ACB" w:rsidRPr="004E7EAD">
        <w:rPr>
          <w:rFonts w:ascii="SimSun" w:hAnsi="SimSun" w:hint="eastAsia"/>
          <w:sz w:val="21"/>
        </w:rPr>
        <w:t>。</w:t>
      </w:r>
      <w:r w:rsidR="000A4EF1" w:rsidRPr="004E7EAD">
        <w:rPr>
          <w:rFonts w:ascii="SimSun" w:hAnsi="SimSun" w:hint="eastAsia"/>
          <w:sz w:val="21"/>
        </w:rPr>
        <w:t>如果得到通过</w:t>
      </w:r>
      <w:r w:rsidR="00D65B8C" w:rsidRPr="004E7EAD">
        <w:rPr>
          <w:rFonts w:ascii="SimSun" w:hAnsi="SimSun" w:hint="eastAsia"/>
          <w:sz w:val="21"/>
        </w:rPr>
        <w:t>，这些修改将使国际局</w:t>
      </w:r>
      <w:r w:rsidR="00C135D1" w:rsidRPr="004E7EAD">
        <w:rPr>
          <w:rFonts w:ascii="SimSun" w:hAnsi="SimSun" w:hint="eastAsia"/>
          <w:sz w:val="21"/>
        </w:rPr>
        <w:t>开始针对欧元、日元和美元交易所带来的风险对国际申请费进行对冲。这项</w:t>
      </w:r>
      <w:r w:rsidR="00D65B8C" w:rsidRPr="004E7EAD">
        <w:rPr>
          <w:rFonts w:ascii="SimSun" w:hAnsi="SimSun" w:hint="eastAsia"/>
          <w:sz w:val="21"/>
        </w:rPr>
        <w:t>最新情况介绍是</w:t>
      </w:r>
      <w:r w:rsidR="00C135D1" w:rsidRPr="004E7EAD">
        <w:rPr>
          <w:rFonts w:ascii="SimSun" w:hAnsi="SimSun" w:hint="eastAsia"/>
          <w:sz w:val="21"/>
        </w:rPr>
        <w:t>对PBC的要求</w:t>
      </w:r>
      <w:proofErr w:type="gramStart"/>
      <w:r w:rsidR="00C135D1" w:rsidRPr="004E7EAD">
        <w:rPr>
          <w:rFonts w:ascii="SimSun" w:hAnsi="SimSun" w:hint="eastAsia"/>
          <w:sz w:val="21"/>
        </w:rPr>
        <w:t>作出</w:t>
      </w:r>
      <w:proofErr w:type="gramEnd"/>
      <w:r w:rsidR="00C135D1" w:rsidRPr="004E7EAD">
        <w:rPr>
          <w:rFonts w:ascii="SimSun" w:hAnsi="SimSun" w:hint="eastAsia"/>
          <w:sz w:val="21"/>
        </w:rPr>
        <w:t>的回复。</w:t>
      </w:r>
    </w:p>
    <w:p w:rsidR="00D53E8E" w:rsidRPr="004E7EAD" w:rsidRDefault="00F53E02" w:rsidP="006479AF">
      <w:pPr>
        <w:pStyle w:val="1"/>
        <w:spacing w:beforeLines="100" w:afterLines="50" w:after="120" w:line="340" w:lineRule="atLeast"/>
        <w:rPr>
          <w:rFonts w:ascii="SimHei" w:eastAsia="SimHei" w:hAnsi="SimHei"/>
          <w:b w:val="0"/>
          <w:sz w:val="21"/>
        </w:rPr>
      </w:pPr>
      <w:r w:rsidRPr="004E7EAD">
        <w:rPr>
          <w:rFonts w:ascii="SimHei" w:eastAsia="SimHei" w:hAnsi="SimHei"/>
          <w:b w:val="0"/>
          <w:sz w:val="21"/>
        </w:rPr>
        <w:t>关于实施PCT收入对</w:t>
      </w:r>
      <w:proofErr w:type="gramStart"/>
      <w:r w:rsidRPr="004E7EAD">
        <w:rPr>
          <w:rFonts w:ascii="SimHei" w:eastAsia="SimHei" w:hAnsi="SimHei"/>
          <w:b w:val="0"/>
          <w:sz w:val="21"/>
        </w:rPr>
        <w:t>冲战略</w:t>
      </w:r>
      <w:proofErr w:type="gramEnd"/>
      <w:r w:rsidRPr="004E7EAD">
        <w:rPr>
          <w:rFonts w:ascii="SimHei" w:eastAsia="SimHei" w:hAnsi="SimHei"/>
          <w:b w:val="0"/>
          <w:sz w:val="21"/>
        </w:rPr>
        <w:t>提案的背景信息</w:t>
      </w:r>
    </w:p>
    <w:p w:rsidR="004E7EAD" w:rsidRDefault="007C0C18" w:rsidP="004E7EAD">
      <w:pPr>
        <w:pStyle w:val="a0"/>
        <w:tabs>
          <w:tab w:val="clear" w:pos="709"/>
        </w:tabs>
        <w:overflowPunct w:val="0"/>
        <w:spacing w:afterLines="50" w:after="120" w:line="340" w:lineRule="atLeast"/>
        <w:ind w:left="0"/>
        <w:jc w:val="both"/>
        <w:rPr>
          <w:rFonts w:ascii="SimSun" w:hAnsi="SimSun"/>
          <w:sz w:val="21"/>
        </w:rPr>
      </w:pPr>
      <w:r w:rsidRPr="004E7EAD">
        <w:rPr>
          <w:rFonts w:ascii="SimSun" w:hAnsi="SimSun"/>
          <w:sz w:val="21"/>
        </w:rPr>
        <w:t>在</w:t>
      </w:r>
      <w:r w:rsidRPr="004E7EAD">
        <w:rPr>
          <w:rFonts w:ascii="SimSun" w:hAnsi="SimSun" w:hint="eastAsia"/>
          <w:sz w:val="21"/>
        </w:rPr>
        <w:t>2013年第四季度，WIPO启动了一个财务审查项目，其关键目标是对WIPO目前的财务管理职能、政策和程序进行独立、客观的评价，包括对WIPO的财务</w:t>
      </w:r>
      <w:r w:rsidR="00AF258F" w:rsidRPr="004E7EAD">
        <w:rPr>
          <w:rFonts w:ascii="SimSun" w:hAnsi="SimSun" w:hint="eastAsia"/>
          <w:sz w:val="21"/>
        </w:rPr>
        <w:t>风险</w:t>
      </w:r>
      <w:r w:rsidR="00776E0B" w:rsidRPr="004E7EAD">
        <w:rPr>
          <w:rFonts w:ascii="SimSun" w:hAnsi="SimSun" w:hint="eastAsia"/>
          <w:sz w:val="21"/>
        </w:rPr>
        <w:t>进行审查。这项审查包括WIPO的外汇风险，特别是PCT</w:t>
      </w:r>
      <w:r w:rsidR="00C135D1" w:rsidRPr="004E7EAD">
        <w:rPr>
          <w:rFonts w:ascii="SimSun" w:hAnsi="SimSun" w:hint="eastAsia"/>
          <w:sz w:val="21"/>
        </w:rPr>
        <w:t>费用收入所产生的风险，并提出了实施</w:t>
      </w:r>
      <w:r w:rsidR="00776E0B" w:rsidRPr="004E7EAD">
        <w:rPr>
          <w:rFonts w:ascii="SimSun" w:hAnsi="SimSun" w:hint="eastAsia"/>
          <w:sz w:val="21"/>
        </w:rPr>
        <w:t>以对冲为基础的新外汇风险管理战略</w:t>
      </w:r>
      <w:r w:rsidR="00C135D1" w:rsidRPr="004E7EAD">
        <w:rPr>
          <w:rFonts w:ascii="SimSun" w:hAnsi="SimSun" w:hint="eastAsia"/>
          <w:sz w:val="21"/>
        </w:rPr>
        <w:t>的建</w:t>
      </w:r>
      <w:r w:rsidR="006479AF">
        <w:rPr>
          <w:rFonts w:ascii="SimSun" w:hAnsi="SimSun"/>
          <w:sz w:val="21"/>
        </w:rPr>
        <w:t>‍</w:t>
      </w:r>
      <w:r w:rsidR="00C135D1" w:rsidRPr="004E7EAD">
        <w:rPr>
          <w:rFonts w:ascii="SimSun" w:hAnsi="SimSun" w:hint="eastAsia"/>
          <w:sz w:val="21"/>
        </w:rPr>
        <w:t>议</w:t>
      </w:r>
      <w:r w:rsidR="00776E0B" w:rsidRPr="004E7EAD">
        <w:rPr>
          <w:rFonts w:ascii="SimSun" w:hAnsi="SimSun" w:hint="eastAsia"/>
          <w:sz w:val="21"/>
        </w:rPr>
        <w:t>。</w:t>
      </w:r>
    </w:p>
    <w:p w:rsidR="004E7EAD" w:rsidRDefault="00C135D1" w:rsidP="004E7EAD">
      <w:pPr>
        <w:pStyle w:val="a0"/>
        <w:tabs>
          <w:tab w:val="clear" w:pos="709"/>
        </w:tabs>
        <w:overflowPunct w:val="0"/>
        <w:spacing w:afterLines="50" w:after="120" w:line="340" w:lineRule="atLeast"/>
        <w:ind w:left="0"/>
        <w:jc w:val="both"/>
        <w:rPr>
          <w:rFonts w:ascii="SimSun" w:hAnsi="SimSun"/>
          <w:sz w:val="21"/>
        </w:rPr>
      </w:pPr>
      <w:r w:rsidRPr="004E7EAD">
        <w:rPr>
          <w:rFonts w:ascii="SimSun" w:hAnsi="SimSun"/>
          <w:sz w:val="21"/>
        </w:rPr>
        <w:t>通函</w:t>
      </w:r>
      <w:r w:rsidRPr="004E7EAD">
        <w:rPr>
          <w:rFonts w:ascii="SimSun" w:hAnsi="SimSun" w:hint="eastAsia"/>
          <w:sz w:val="21"/>
        </w:rPr>
        <w:t>C.PCT(</w:t>
      </w:r>
      <w:r w:rsidR="00D31938" w:rsidRPr="00E444AD">
        <w:rPr>
          <w:rFonts w:ascii="KaiTi" w:eastAsia="KaiTi" w:hAnsi="KaiTi"/>
          <w:i/>
          <w:sz w:val="21"/>
        </w:rPr>
        <w:t>PCT费用收入：降低货币汇率浮动风险的可能措施</w:t>
      </w:r>
      <w:r w:rsidRPr="004E7EAD">
        <w:rPr>
          <w:rFonts w:ascii="SimSun" w:hAnsi="SimSun" w:hint="eastAsia"/>
          <w:sz w:val="21"/>
        </w:rPr>
        <w:t>)</w:t>
      </w:r>
      <w:r w:rsidR="00D31938" w:rsidRPr="004E7EAD">
        <w:rPr>
          <w:rFonts w:ascii="SimSun" w:hAnsi="SimSun" w:hint="eastAsia"/>
          <w:sz w:val="21"/>
        </w:rPr>
        <w:t>载有对对冲提案的解释，以及其他各项降低PCT费用收入货币汇率浮动风险的拟议措施。2</w:t>
      </w:r>
      <w:r w:rsidR="00D31938" w:rsidRPr="004E7EAD">
        <w:rPr>
          <w:rFonts w:ascii="SimSun" w:hAnsi="SimSun"/>
          <w:sz w:val="21"/>
        </w:rPr>
        <w:t>015年</w:t>
      </w:r>
      <w:r w:rsidR="00D31938" w:rsidRPr="004E7EAD">
        <w:rPr>
          <w:rFonts w:ascii="SimSun" w:hAnsi="SimSun" w:hint="eastAsia"/>
          <w:sz w:val="21"/>
        </w:rPr>
        <w:t>1月向PCT所有利益攸关方发送了该通函。</w:t>
      </w:r>
      <w:r w:rsidR="001C2E46" w:rsidRPr="004E7EAD">
        <w:rPr>
          <w:rFonts w:ascii="SimSun" w:hAnsi="SimSun" w:hint="eastAsia"/>
          <w:sz w:val="21"/>
        </w:rPr>
        <w:t>文件</w:t>
      </w:r>
      <w:r w:rsidR="001C2E46" w:rsidRPr="004E7EAD">
        <w:rPr>
          <w:rFonts w:ascii="SimSun" w:hAnsi="SimSun"/>
          <w:sz w:val="21"/>
        </w:rPr>
        <w:t>PCT/WG/8/15对所收到的对于通函的反馈进行了答复，详细陈述了通函中提出的各项可能降低PCT费用收入风险的措施，</w:t>
      </w:r>
      <w:r w:rsidR="007917C8" w:rsidRPr="004E7EAD">
        <w:rPr>
          <w:rFonts w:ascii="SimSun" w:hAnsi="SimSun" w:hint="eastAsia"/>
          <w:sz w:val="21"/>
        </w:rPr>
        <w:t>并在2015年5</w:t>
      </w:r>
      <w:r w:rsidR="00357BBB" w:rsidRPr="004E7EAD">
        <w:rPr>
          <w:rFonts w:ascii="SimSun" w:hAnsi="SimSun" w:hint="eastAsia"/>
          <w:sz w:val="21"/>
        </w:rPr>
        <w:t>月</w:t>
      </w:r>
      <w:r w:rsidR="007917C8" w:rsidRPr="004E7EAD">
        <w:rPr>
          <w:rFonts w:ascii="SimSun" w:hAnsi="SimSun" w:hint="eastAsia"/>
          <w:sz w:val="21"/>
        </w:rPr>
        <w:t>提交给PCT工作组第</w:t>
      </w:r>
      <w:r w:rsidR="006479AF">
        <w:rPr>
          <w:rFonts w:ascii="SimSun" w:hAnsi="SimSun" w:hint="eastAsia"/>
          <w:sz w:val="21"/>
        </w:rPr>
        <w:t>八</w:t>
      </w:r>
      <w:r w:rsidR="007917C8" w:rsidRPr="004E7EAD">
        <w:rPr>
          <w:rFonts w:ascii="SimSun" w:hAnsi="SimSun" w:hint="eastAsia"/>
          <w:sz w:val="21"/>
        </w:rPr>
        <w:t>届会议。</w:t>
      </w:r>
    </w:p>
    <w:p w:rsidR="00D53E8E" w:rsidRPr="004E7EAD" w:rsidRDefault="007917C8" w:rsidP="004E7EAD">
      <w:pPr>
        <w:pStyle w:val="a0"/>
        <w:tabs>
          <w:tab w:val="clear" w:pos="709"/>
        </w:tabs>
        <w:overflowPunct w:val="0"/>
        <w:spacing w:afterLines="50" w:after="120" w:line="340" w:lineRule="atLeast"/>
        <w:ind w:left="0"/>
        <w:jc w:val="both"/>
        <w:rPr>
          <w:rFonts w:ascii="SimSun" w:hAnsi="SimSun"/>
          <w:sz w:val="21"/>
        </w:rPr>
      </w:pPr>
      <w:r w:rsidRPr="004E7EAD">
        <w:rPr>
          <w:rFonts w:ascii="SimSun" w:hAnsi="SimSun" w:hint="eastAsia"/>
          <w:sz w:val="21"/>
        </w:rPr>
        <w:lastRenderedPageBreak/>
        <w:t>在PCT工作组第</w:t>
      </w:r>
      <w:r w:rsidR="006479AF">
        <w:rPr>
          <w:rFonts w:ascii="SimSun" w:hAnsi="SimSun" w:hint="eastAsia"/>
          <w:sz w:val="21"/>
        </w:rPr>
        <w:t>八</w:t>
      </w:r>
      <w:r w:rsidRPr="004E7EAD">
        <w:rPr>
          <w:rFonts w:ascii="SimSun" w:hAnsi="SimSun" w:hint="eastAsia"/>
          <w:sz w:val="21"/>
        </w:rPr>
        <w:t>届会议期间，发言的各代表团欢迎开始针对</w:t>
      </w:r>
      <w:r w:rsidR="00340466" w:rsidRPr="004E7EAD">
        <w:rPr>
          <w:rFonts w:ascii="SimSun" w:hAnsi="SimSun" w:hint="eastAsia"/>
          <w:sz w:val="21"/>
        </w:rPr>
        <w:t>以</w:t>
      </w:r>
      <w:r w:rsidRPr="004E7EAD">
        <w:rPr>
          <w:rFonts w:ascii="SimSun" w:hAnsi="SimSun" w:hint="eastAsia"/>
          <w:sz w:val="21"/>
        </w:rPr>
        <w:t>欧元</w:t>
      </w:r>
      <w:r w:rsidRPr="004E7EAD">
        <w:rPr>
          <w:rFonts w:ascii="SimSun" w:hAnsi="SimSun"/>
          <w:sz w:val="21"/>
        </w:rPr>
        <w:t>(EUR)</w:t>
      </w:r>
      <w:r w:rsidRPr="004E7EAD">
        <w:rPr>
          <w:rFonts w:ascii="SimSun" w:hAnsi="SimSun" w:hint="eastAsia"/>
          <w:sz w:val="21"/>
        </w:rPr>
        <w:t>、日元</w:t>
      </w:r>
      <w:r w:rsidRPr="004E7EAD">
        <w:rPr>
          <w:rFonts w:ascii="SimSun" w:hAnsi="SimSun"/>
          <w:sz w:val="21"/>
        </w:rPr>
        <w:t>(JPY)</w:t>
      </w:r>
      <w:r w:rsidRPr="004E7EAD">
        <w:rPr>
          <w:rFonts w:ascii="SimSun" w:hAnsi="SimSun" w:hint="eastAsia"/>
          <w:sz w:val="21"/>
        </w:rPr>
        <w:t>和美元</w:t>
      </w:r>
      <w:r w:rsidRPr="004E7EAD">
        <w:rPr>
          <w:rFonts w:ascii="SimSun" w:hAnsi="SimSun"/>
          <w:sz w:val="21"/>
        </w:rPr>
        <w:t>(USD)</w:t>
      </w:r>
      <w:r w:rsidR="00340466" w:rsidRPr="004E7EAD">
        <w:rPr>
          <w:rFonts w:ascii="SimSun" w:hAnsi="SimSun" w:hint="eastAsia"/>
          <w:sz w:val="21"/>
        </w:rPr>
        <w:t>计价</w:t>
      </w:r>
      <w:r w:rsidRPr="004E7EAD">
        <w:rPr>
          <w:rFonts w:ascii="SimSun" w:hAnsi="SimSun" w:hint="eastAsia"/>
          <w:sz w:val="21"/>
        </w:rPr>
        <w:t>交易所产生的风险</w:t>
      </w:r>
      <w:r w:rsidR="00956795" w:rsidRPr="004E7EAD">
        <w:rPr>
          <w:rFonts w:ascii="SimSun" w:hAnsi="SimSun" w:hint="eastAsia"/>
          <w:sz w:val="21"/>
        </w:rPr>
        <w:t>，</w:t>
      </w:r>
      <w:r w:rsidRPr="004E7EAD">
        <w:rPr>
          <w:rFonts w:ascii="SimSun" w:hAnsi="SimSun" w:hint="eastAsia"/>
          <w:sz w:val="21"/>
        </w:rPr>
        <w:t>对PCT国际申请费进行对冲的提案。</w:t>
      </w:r>
      <w:r w:rsidR="00340466" w:rsidRPr="004E7EAD">
        <w:rPr>
          <w:rFonts w:ascii="SimSun" w:hAnsi="SimSun" w:hint="eastAsia"/>
          <w:sz w:val="21"/>
        </w:rPr>
        <w:t>讨论的详细信息载于主席总结(文件</w:t>
      </w:r>
      <w:r w:rsidR="00340466" w:rsidRPr="004E7EAD">
        <w:rPr>
          <w:rFonts w:ascii="SimSun" w:hAnsi="SimSun"/>
          <w:sz w:val="21"/>
        </w:rPr>
        <w:t>PCT/WG/8/25</w:t>
      </w:r>
      <w:r w:rsidR="00340466" w:rsidRPr="004E7EAD">
        <w:rPr>
          <w:rFonts w:ascii="SimSun" w:hAnsi="SimSun" w:hint="eastAsia"/>
          <w:sz w:val="21"/>
        </w:rPr>
        <w:t>)第21至36段。将在2015年10月会议上提交大会决定的工作组主要建议如下：</w:t>
      </w:r>
    </w:p>
    <w:p w:rsidR="00D53E8E" w:rsidRPr="004E7EAD" w:rsidRDefault="00340466" w:rsidP="006479AF">
      <w:pPr>
        <w:pStyle w:val="ONUME"/>
        <w:numPr>
          <w:ilvl w:val="1"/>
          <w:numId w:val="2"/>
        </w:numPr>
        <w:tabs>
          <w:tab w:val="clear" w:pos="1134"/>
        </w:tabs>
        <w:overflowPunct w:val="0"/>
        <w:spacing w:afterLines="50" w:after="120" w:line="340" w:lineRule="atLeast"/>
        <w:jc w:val="both"/>
        <w:rPr>
          <w:rFonts w:ascii="SimSun" w:hAnsi="SimSun"/>
          <w:sz w:val="21"/>
        </w:rPr>
      </w:pPr>
      <w:r w:rsidRPr="004E7EAD">
        <w:rPr>
          <w:rFonts w:ascii="SimSun" w:hAnsi="SimSun" w:hint="eastAsia"/>
          <w:sz w:val="21"/>
        </w:rPr>
        <w:t>自2016年1月1日起，对于欧元、日元和美元交易，开始对PCT国际申请费进行对冲；</w:t>
      </w:r>
    </w:p>
    <w:p w:rsidR="00D53E8E" w:rsidRPr="004E7EAD" w:rsidRDefault="008D28EC" w:rsidP="006479AF">
      <w:pPr>
        <w:pStyle w:val="ONUME"/>
        <w:numPr>
          <w:ilvl w:val="1"/>
          <w:numId w:val="2"/>
        </w:numPr>
        <w:tabs>
          <w:tab w:val="clear" w:pos="1134"/>
        </w:tabs>
        <w:overflowPunct w:val="0"/>
        <w:spacing w:afterLines="50" w:after="120" w:line="340" w:lineRule="atLeast"/>
        <w:jc w:val="both"/>
        <w:rPr>
          <w:rFonts w:ascii="SimSun" w:hAnsi="SimSun"/>
          <w:sz w:val="21"/>
        </w:rPr>
      </w:pPr>
      <w:r w:rsidRPr="004E7EAD">
        <w:rPr>
          <w:rFonts w:ascii="SimSun" w:hAnsi="SimSun" w:hint="eastAsia"/>
          <w:sz w:val="21"/>
        </w:rPr>
        <w:t>对某些PCT费用现行的</w:t>
      </w:r>
      <w:r w:rsidR="00956795" w:rsidRPr="004E7EAD">
        <w:rPr>
          <w:rFonts w:ascii="SimSun" w:hAnsi="SimSun" w:hint="eastAsia"/>
          <w:sz w:val="21"/>
        </w:rPr>
        <w:t>等值数额</w:t>
      </w:r>
      <w:r w:rsidRPr="004E7EAD">
        <w:rPr>
          <w:rFonts w:ascii="SimSun" w:hAnsi="SimSun" w:hint="eastAsia"/>
          <w:sz w:val="21"/>
        </w:rPr>
        <w:t>法进行修改，</w:t>
      </w:r>
      <w:r w:rsidR="00495FDC" w:rsidRPr="004E7EAD">
        <w:rPr>
          <w:rFonts w:ascii="SimSun" w:hAnsi="SimSun" w:hint="eastAsia"/>
          <w:sz w:val="21"/>
        </w:rPr>
        <w:t>每年仅规定一次PCT国际申请费的新</w:t>
      </w:r>
      <w:r w:rsidR="000C3134" w:rsidRPr="004E7EAD">
        <w:rPr>
          <w:rFonts w:ascii="SimSun" w:hAnsi="SimSun" w:hint="eastAsia"/>
          <w:sz w:val="21"/>
        </w:rPr>
        <w:t>等值数额</w:t>
      </w:r>
      <w:r w:rsidR="00495FDC" w:rsidRPr="004E7EAD">
        <w:rPr>
          <w:rFonts w:ascii="SimSun" w:hAnsi="SimSun" w:hint="eastAsia"/>
          <w:sz w:val="21"/>
        </w:rPr>
        <w:t>，保持12个月不变，并对关于制定某些PCT费用</w:t>
      </w:r>
      <w:r w:rsidR="000C3134" w:rsidRPr="004E7EAD">
        <w:rPr>
          <w:rFonts w:ascii="SimSun" w:hAnsi="SimSun" w:hint="eastAsia"/>
          <w:sz w:val="21"/>
        </w:rPr>
        <w:t>等值数额</w:t>
      </w:r>
      <w:r w:rsidR="00495FDC" w:rsidRPr="004E7EAD">
        <w:rPr>
          <w:rFonts w:ascii="SimSun" w:hAnsi="SimSun" w:hint="eastAsia"/>
          <w:sz w:val="21"/>
        </w:rPr>
        <w:t>的PCT大会指令</w:t>
      </w:r>
      <w:proofErr w:type="gramStart"/>
      <w:r w:rsidR="00495FDC" w:rsidRPr="004E7EAD">
        <w:rPr>
          <w:rFonts w:ascii="SimSun" w:hAnsi="SimSun" w:hint="eastAsia"/>
          <w:sz w:val="21"/>
        </w:rPr>
        <w:t>作出</w:t>
      </w:r>
      <w:proofErr w:type="gramEnd"/>
      <w:r w:rsidR="00495FDC" w:rsidRPr="004E7EAD">
        <w:rPr>
          <w:rFonts w:ascii="SimSun" w:hAnsi="SimSun" w:hint="eastAsia"/>
          <w:sz w:val="21"/>
        </w:rPr>
        <w:t>相应修改</w:t>
      </w:r>
      <w:r w:rsidR="00956795" w:rsidRPr="004E7EAD">
        <w:rPr>
          <w:rFonts w:ascii="SimSun" w:hAnsi="SimSun" w:hint="eastAsia"/>
          <w:sz w:val="21"/>
        </w:rPr>
        <w:t>；及</w:t>
      </w:r>
    </w:p>
    <w:p w:rsidR="00D53E8E" w:rsidRPr="004E7EAD" w:rsidRDefault="00495FDC" w:rsidP="006479AF">
      <w:pPr>
        <w:pStyle w:val="ONUME"/>
        <w:numPr>
          <w:ilvl w:val="1"/>
          <w:numId w:val="2"/>
        </w:numPr>
        <w:tabs>
          <w:tab w:val="clear" w:pos="1134"/>
        </w:tabs>
        <w:overflowPunct w:val="0"/>
        <w:spacing w:afterLines="50" w:after="120" w:line="340" w:lineRule="atLeast"/>
        <w:jc w:val="both"/>
        <w:rPr>
          <w:rFonts w:ascii="SimSun" w:hAnsi="SimSun"/>
          <w:sz w:val="21"/>
        </w:rPr>
      </w:pPr>
      <w:r w:rsidRPr="004E7EAD">
        <w:rPr>
          <w:rFonts w:ascii="SimSun" w:hAnsi="SimSun" w:hint="eastAsia"/>
          <w:sz w:val="21"/>
        </w:rPr>
        <w:t>对检索费对冲进行“概念验证”</w:t>
      </w:r>
      <w:r w:rsidR="00481ED3" w:rsidRPr="004E7EAD">
        <w:rPr>
          <w:rFonts w:ascii="SimSun" w:hAnsi="SimSun" w:hint="eastAsia"/>
          <w:sz w:val="21"/>
        </w:rPr>
        <w:t>模拟</w:t>
      </w:r>
      <w:r w:rsidR="00956795" w:rsidRPr="004E7EAD">
        <w:rPr>
          <w:rFonts w:ascii="SimSun" w:hAnsi="SimSun" w:hint="eastAsia"/>
          <w:sz w:val="21"/>
        </w:rPr>
        <w:t>工作</w:t>
      </w:r>
      <w:r w:rsidR="00481ED3" w:rsidRPr="004E7EAD">
        <w:rPr>
          <w:rFonts w:ascii="SimSun" w:hAnsi="SimSun" w:hint="eastAsia"/>
          <w:sz w:val="21"/>
        </w:rPr>
        <w:t>，以便秘书处在2016年工作组下届会议上对一项具体提案进行讨论。</w:t>
      </w:r>
    </w:p>
    <w:p w:rsidR="00D53E8E" w:rsidRPr="004E7EAD" w:rsidRDefault="00481ED3" w:rsidP="006479AF">
      <w:pPr>
        <w:pStyle w:val="1"/>
        <w:spacing w:beforeLines="100" w:afterLines="50" w:after="120" w:line="340" w:lineRule="atLeast"/>
        <w:rPr>
          <w:rFonts w:ascii="SimHei" w:eastAsia="SimHei" w:hAnsi="SimHei"/>
          <w:b w:val="0"/>
          <w:sz w:val="21"/>
        </w:rPr>
      </w:pPr>
      <w:r w:rsidRPr="004E7EAD">
        <w:rPr>
          <w:rFonts w:ascii="SimHei" w:eastAsia="SimHei" w:hAnsi="SimHei" w:hint="eastAsia"/>
          <w:b w:val="0"/>
          <w:sz w:val="21"/>
        </w:rPr>
        <w:t>到目前为止秘书处开展的工作</w:t>
      </w:r>
    </w:p>
    <w:p w:rsidR="004E7EAD" w:rsidRDefault="00481ED3" w:rsidP="004E7EAD">
      <w:pPr>
        <w:pStyle w:val="a0"/>
        <w:tabs>
          <w:tab w:val="clear" w:pos="709"/>
        </w:tabs>
        <w:overflowPunct w:val="0"/>
        <w:spacing w:afterLines="50" w:after="120" w:line="340" w:lineRule="atLeast"/>
        <w:ind w:left="0"/>
        <w:jc w:val="both"/>
        <w:rPr>
          <w:rFonts w:ascii="SimSun" w:hAnsi="SimSun"/>
          <w:sz w:val="21"/>
        </w:rPr>
      </w:pPr>
      <w:r w:rsidRPr="004E7EAD">
        <w:rPr>
          <w:rFonts w:ascii="SimSun" w:hAnsi="SimSun" w:hint="eastAsia"/>
          <w:sz w:val="21"/>
        </w:rPr>
        <w:t>根据PCT工作组2015年5月</w:t>
      </w:r>
      <w:r w:rsidR="003F4108" w:rsidRPr="004E7EAD">
        <w:rPr>
          <w:rFonts w:ascii="SimSun" w:hAnsi="SimSun" w:hint="eastAsia"/>
          <w:sz w:val="21"/>
        </w:rPr>
        <w:t>的决定，秘书处开始与其主要的银行合作伙伴进行磋商，以建立实行这类对</w:t>
      </w:r>
      <w:proofErr w:type="gramStart"/>
      <w:r w:rsidR="003F4108" w:rsidRPr="004E7EAD">
        <w:rPr>
          <w:rFonts w:ascii="SimSun" w:hAnsi="SimSun" w:hint="eastAsia"/>
          <w:sz w:val="21"/>
        </w:rPr>
        <w:t>冲战略</w:t>
      </w:r>
      <w:proofErr w:type="gramEnd"/>
      <w:r w:rsidR="003F4108" w:rsidRPr="004E7EAD">
        <w:rPr>
          <w:rFonts w:ascii="SimSun" w:hAnsi="SimSun" w:hint="eastAsia"/>
          <w:sz w:val="21"/>
        </w:rPr>
        <w:t>所需的信用额度。这些磋商取得了进展，在若干银行中，必需的信用额度正在得到建立。此外，秘书处与</w:t>
      </w:r>
      <w:r w:rsidR="006479AF">
        <w:rPr>
          <w:rFonts w:ascii="SimSun" w:hAnsi="SimSun" w:hint="eastAsia"/>
          <w:sz w:val="21"/>
        </w:rPr>
        <w:t>其他</w:t>
      </w:r>
      <w:r w:rsidR="003F4108" w:rsidRPr="004E7EAD">
        <w:rPr>
          <w:rFonts w:ascii="SimSun" w:hAnsi="SimSun" w:hint="eastAsia"/>
          <w:sz w:val="21"/>
        </w:rPr>
        <w:t>对</w:t>
      </w:r>
      <w:proofErr w:type="gramStart"/>
      <w:r w:rsidR="003F4108" w:rsidRPr="004E7EAD">
        <w:rPr>
          <w:rFonts w:ascii="SimSun" w:hAnsi="SimSun" w:hint="eastAsia"/>
          <w:sz w:val="21"/>
        </w:rPr>
        <w:t>冲货币</w:t>
      </w:r>
      <w:proofErr w:type="gramEnd"/>
      <w:r w:rsidR="003F4108" w:rsidRPr="004E7EAD">
        <w:rPr>
          <w:rFonts w:ascii="SimSun" w:hAnsi="SimSun" w:hint="eastAsia"/>
          <w:sz w:val="21"/>
        </w:rPr>
        <w:t>风险的联合国机构进行了讨论，以便了解它们如何实施对冲计划，并获得有用的比较信息。</w:t>
      </w:r>
    </w:p>
    <w:p w:rsidR="00D53E8E" w:rsidRPr="004E7EAD" w:rsidRDefault="003F4108" w:rsidP="004E7EAD">
      <w:pPr>
        <w:pStyle w:val="a0"/>
        <w:tabs>
          <w:tab w:val="clear" w:pos="709"/>
        </w:tabs>
        <w:overflowPunct w:val="0"/>
        <w:spacing w:afterLines="50" w:after="120" w:line="340" w:lineRule="atLeast"/>
        <w:ind w:left="0"/>
        <w:jc w:val="both"/>
        <w:rPr>
          <w:rFonts w:ascii="SimSun" w:hAnsi="SimSun"/>
          <w:sz w:val="21"/>
        </w:rPr>
      </w:pPr>
      <w:r w:rsidRPr="004E7EAD">
        <w:rPr>
          <w:rFonts w:ascii="SimSun" w:hAnsi="SimSun" w:hint="eastAsia"/>
          <w:sz w:val="21"/>
        </w:rPr>
        <w:t>秘书处还请顾问对以下领域进行了研究：</w:t>
      </w:r>
    </w:p>
    <w:p w:rsidR="00D53E8E" w:rsidRPr="004E7EAD" w:rsidRDefault="003F4108" w:rsidP="006479AF">
      <w:pPr>
        <w:pStyle w:val="ONUME"/>
        <w:numPr>
          <w:ilvl w:val="1"/>
          <w:numId w:val="6"/>
        </w:numPr>
        <w:tabs>
          <w:tab w:val="clear" w:pos="1134"/>
        </w:tabs>
        <w:overflowPunct w:val="0"/>
        <w:spacing w:afterLines="50" w:after="120" w:line="340" w:lineRule="atLeast"/>
        <w:jc w:val="both"/>
        <w:rPr>
          <w:rFonts w:ascii="SimSun" w:hAnsi="SimSun"/>
          <w:sz w:val="21"/>
        </w:rPr>
      </w:pPr>
      <w:r w:rsidRPr="004E7EAD">
        <w:rPr>
          <w:rFonts w:ascii="SimSun" w:hAnsi="SimSun" w:hint="eastAsia"/>
          <w:sz w:val="21"/>
        </w:rPr>
        <w:t>在2013年、2014年和2015年(截至8月)</w:t>
      </w:r>
      <w:r w:rsidR="00C23281" w:rsidRPr="004E7EAD">
        <w:rPr>
          <w:rFonts w:ascii="SimSun" w:hAnsi="SimSun" w:hint="eastAsia"/>
          <w:sz w:val="21"/>
        </w:rPr>
        <w:t>实行了</w:t>
      </w:r>
      <w:r w:rsidRPr="004E7EAD">
        <w:rPr>
          <w:rFonts w:ascii="SimSun" w:hAnsi="SimSun" w:hint="eastAsia"/>
          <w:sz w:val="21"/>
        </w:rPr>
        <w:t>对</w:t>
      </w:r>
      <w:proofErr w:type="gramStart"/>
      <w:r w:rsidRPr="004E7EAD">
        <w:rPr>
          <w:rFonts w:ascii="SimSun" w:hAnsi="SimSun" w:hint="eastAsia"/>
          <w:sz w:val="21"/>
        </w:rPr>
        <w:t>冲战略</w:t>
      </w:r>
      <w:proofErr w:type="gramEnd"/>
      <w:r w:rsidR="00C23281" w:rsidRPr="004E7EAD">
        <w:rPr>
          <w:rFonts w:ascii="SimSun" w:hAnsi="SimSun" w:hint="eastAsia"/>
          <w:sz w:val="21"/>
        </w:rPr>
        <w:t>的情况下</w:t>
      </w:r>
      <w:r w:rsidR="00956795" w:rsidRPr="004E7EAD">
        <w:rPr>
          <w:rFonts w:ascii="SimSun" w:hAnsi="SimSun" w:hint="eastAsia"/>
          <w:sz w:val="21"/>
        </w:rPr>
        <w:t>，</w:t>
      </w:r>
      <w:r w:rsidR="00C23281" w:rsidRPr="004E7EAD">
        <w:rPr>
          <w:rFonts w:ascii="SimSun" w:hAnsi="SimSun" w:hint="eastAsia"/>
          <w:sz w:val="21"/>
        </w:rPr>
        <w:t>给WIPO的</w:t>
      </w:r>
      <w:proofErr w:type="gramStart"/>
      <w:r w:rsidR="00C23281" w:rsidRPr="004E7EAD">
        <w:rPr>
          <w:rFonts w:ascii="SimSun" w:hAnsi="SimSun" w:hint="eastAsia"/>
          <w:sz w:val="21"/>
        </w:rPr>
        <w:t>净结果</w:t>
      </w:r>
      <w:proofErr w:type="gramEnd"/>
      <w:r w:rsidR="00C23281" w:rsidRPr="004E7EAD">
        <w:rPr>
          <w:rFonts w:ascii="SimSun" w:hAnsi="SimSun" w:hint="eastAsia"/>
          <w:sz w:val="21"/>
        </w:rPr>
        <w:t>带来的影响；</w:t>
      </w:r>
    </w:p>
    <w:p w:rsidR="00D53E8E" w:rsidRPr="004E7EAD" w:rsidRDefault="00C23281" w:rsidP="006479AF">
      <w:pPr>
        <w:pStyle w:val="ONUME"/>
        <w:numPr>
          <w:ilvl w:val="1"/>
          <w:numId w:val="2"/>
        </w:numPr>
        <w:tabs>
          <w:tab w:val="clear" w:pos="1134"/>
        </w:tabs>
        <w:overflowPunct w:val="0"/>
        <w:spacing w:afterLines="50" w:after="120" w:line="340" w:lineRule="atLeast"/>
        <w:jc w:val="both"/>
        <w:rPr>
          <w:rFonts w:ascii="SimSun" w:hAnsi="SimSun"/>
          <w:sz w:val="21"/>
        </w:rPr>
      </w:pPr>
      <w:r w:rsidRPr="004E7EAD">
        <w:rPr>
          <w:rFonts w:ascii="SimSun" w:hAnsi="SimSun" w:hint="eastAsia"/>
          <w:sz w:val="21"/>
        </w:rPr>
        <w:t>在2016年对冲日元、美元和欧元所需要的</w:t>
      </w:r>
      <w:r w:rsidR="00EA748D" w:rsidRPr="004E7EAD">
        <w:rPr>
          <w:rFonts w:ascii="SimSun" w:hAnsi="SimSun" w:hint="eastAsia"/>
          <w:sz w:val="21"/>
        </w:rPr>
        <w:t>预计</w:t>
      </w:r>
      <w:r w:rsidRPr="004E7EAD">
        <w:rPr>
          <w:rFonts w:ascii="SimSun" w:hAnsi="SimSun" w:hint="eastAsia"/>
          <w:sz w:val="21"/>
        </w:rPr>
        <w:t>现金流</w:t>
      </w:r>
      <w:r w:rsidR="00956795" w:rsidRPr="004E7EAD">
        <w:rPr>
          <w:rFonts w:ascii="SimSun" w:hAnsi="SimSun" w:hint="eastAsia"/>
          <w:sz w:val="21"/>
        </w:rPr>
        <w:t>；</w:t>
      </w:r>
    </w:p>
    <w:p w:rsidR="00D53E8E" w:rsidRPr="004E7EAD" w:rsidRDefault="00956795" w:rsidP="006479AF">
      <w:pPr>
        <w:pStyle w:val="ONUME"/>
        <w:numPr>
          <w:ilvl w:val="1"/>
          <w:numId w:val="2"/>
        </w:numPr>
        <w:tabs>
          <w:tab w:val="clear" w:pos="1134"/>
        </w:tabs>
        <w:overflowPunct w:val="0"/>
        <w:spacing w:afterLines="50" w:after="120" w:line="340" w:lineRule="atLeast"/>
        <w:jc w:val="both"/>
        <w:rPr>
          <w:rFonts w:ascii="SimSun" w:hAnsi="SimSun"/>
          <w:sz w:val="21"/>
        </w:rPr>
      </w:pPr>
      <w:r w:rsidRPr="004E7EAD">
        <w:rPr>
          <w:rFonts w:ascii="SimSun" w:hAnsi="SimSun" w:hint="eastAsia"/>
          <w:sz w:val="21"/>
        </w:rPr>
        <w:t>实行对</w:t>
      </w:r>
      <w:proofErr w:type="gramStart"/>
      <w:r w:rsidRPr="004E7EAD">
        <w:rPr>
          <w:rFonts w:ascii="SimSun" w:hAnsi="SimSun" w:hint="eastAsia"/>
          <w:sz w:val="21"/>
        </w:rPr>
        <w:t>冲战略</w:t>
      </w:r>
      <w:proofErr w:type="gramEnd"/>
      <w:r w:rsidRPr="004E7EAD">
        <w:rPr>
          <w:rFonts w:ascii="SimSun" w:hAnsi="SimSun" w:hint="eastAsia"/>
          <w:sz w:val="21"/>
        </w:rPr>
        <w:t>给本组织带来</w:t>
      </w:r>
      <w:r w:rsidR="00EA748D" w:rsidRPr="004E7EAD">
        <w:rPr>
          <w:rFonts w:ascii="SimSun" w:hAnsi="SimSun" w:hint="eastAsia"/>
          <w:sz w:val="21"/>
        </w:rPr>
        <w:t>的附加风险；</w:t>
      </w:r>
    </w:p>
    <w:p w:rsidR="00D53E8E" w:rsidRPr="004E7EAD" w:rsidRDefault="00EA748D" w:rsidP="006479AF">
      <w:pPr>
        <w:pStyle w:val="ONUME"/>
        <w:numPr>
          <w:ilvl w:val="1"/>
          <w:numId w:val="2"/>
        </w:numPr>
        <w:tabs>
          <w:tab w:val="clear" w:pos="1134"/>
        </w:tabs>
        <w:overflowPunct w:val="0"/>
        <w:spacing w:afterLines="50" w:after="120" w:line="340" w:lineRule="atLeast"/>
        <w:jc w:val="both"/>
        <w:rPr>
          <w:rFonts w:ascii="SimSun" w:hAnsi="SimSun"/>
          <w:sz w:val="21"/>
        </w:rPr>
      </w:pPr>
      <w:r w:rsidRPr="004E7EAD">
        <w:rPr>
          <w:rFonts w:ascii="SimSun" w:hAnsi="SimSun" w:hint="eastAsia"/>
          <w:sz w:val="21"/>
        </w:rPr>
        <w:t>AIMS中应实施的会计政策和程序，以便</w:t>
      </w:r>
      <w:r w:rsidR="000C3134" w:rsidRPr="004E7EAD">
        <w:rPr>
          <w:rFonts w:ascii="SimSun" w:hAnsi="SimSun" w:hint="eastAsia"/>
          <w:sz w:val="21"/>
        </w:rPr>
        <w:t>WIPO仍完全符合国际公共部门会计标准</w:t>
      </w:r>
      <w:r w:rsidR="000C3134" w:rsidRPr="004E7EAD">
        <w:rPr>
          <w:rFonts w:ascii="SimSun" w:hAnsi="SimSun"/>
          <w:sz w:val="21"/>
        </w:rPr>
        <w:t>(IPSAS)</w:t>
      </w:r>
      <w:r w:rsidR="000C3134" w:rsidRPr="004E7EAD">
        <w:rPr>
          <w:rFonts w:ascii="SimSun" w:hAnsi="SimSun" w:hint="eastAsia"/>
          <w:sz w:val="21"/>
        </w:rPr>
        <w:t>。</w:t>
      </w:r>
    </w:p>
    <w:p w:rsidR="00D53E8E" w:rsidRPr="004E7EAD" w:rsidRDefault="000C3134" w:rsidP="006479AF">
      <w:pPr>
        <w:pStyle w:val="1"/>
        <w:spacing w:beforeLines="100" w:afterLines="50" w:after="120" w:line="340" w:lineRule="atLeast"/>
        <w:rPr>
          <w:rFonts w:ascii="SimHei" w:eastAsia="SimHei" w:hAnsi="SimHei"/>
          <w:b w:val="0"/>
          <w:sz w:val="21"/>
        </w:rPr>
      </w:pPr>
      <w:r w:rsidRPr="004E7EAD">
        <w:rPr>
          <w:rFonts w:ascii="SimHei" w:eastAsia="SimHei" w:hAnsi="SimHei" w:hint="eastAsia"/>
          <w:b w:val="0"/>
          <w:sz w:val="21"/>
        </w:rPr>
        <w:t>问</w:t>
      </w:r>
      <w:r w:rsidR="006479AF">
        <w:rPr>
          <w:rFonts w:ascii="SimHei" w:eastAsia="SimHei" w:hAnsi="SimHei" w:hint="eastAsia"/>
          <w:b w:val="0"/>
          <w:sz w:val="21"/>
        </w:rPr>
        <w:t xml:space="preserve">　</w:t>
      </w:r>
      <w:r w:rsidRPr="004E7EAD">
        <w:rPr>
          <w:rFonts w:ascii="SimHei" w:eastAsia="SimHei" w:hAnsi="SimHei" w:hint="eastAsia"/>
          <w:b w:val="0"/>
          <w:sz w:val="21"/>
        </w:rPr>
        <w:t>题</w:t>
      </w:r>
    </w:p>
    <w:p w:rsidR="00D53E8E" w:rsidRPr="004E7EAD" w:rsidRDefault="000C3134" w:rsidP="004E7EAD">
      <w:pPr>
        <w:pStyle w:val="a0"/>
        <w:tabs>
          <w:tab w:val="clear" w:pos="709"/>
        </w:tabs>
        <w:overflowPunct w:val="0"/>
        <w:spacing w:afterLines="50" w:after="120" w:line="340" w:lineRule="atLeast"/>
        <w:ind w:left="0"/>
        <w:jc w:val="both"/>
        <w:rPr>
          <w:rFonts w:ascii="SimSun" w:hAnsi="SimSun"/>
          <w:sz w:val="21"/>
        </w:rPr>
      </w:pPr>
      <w:r w:rsidRPr="004E7EAD">
        <w:rPr>
          <w:rFonts w:ascii="SimSun" w:hAnsi="SimSun" w:hint="eastAsia"/>
          <w:sz w:val="21"/>
        </w:rPr>
        <w:t>对于通过进行对冲来应对与PCT</w:t>
      </w:r>
      <w:r w:rsidR="00956795" w:rsidRPr="004E7EAD">
        <w:rPr>
          <w:rFonts w:ascii="SimSun" w:hAnsi="SimSun" w:hint="eastAsia"/>
          <w:sz w:val="21"/>
        </w:rPr>
        <w:t>费用收入有关的货币汇率风险，在顾问</w:t>
      </w:r>
      <w:r w:rsidRPr="004E7EAD">
        <w:rPr>
          <w:rFonts w:ascii="SimSun" w:hAnsi="SimSun" w:hint="eastAsia"/>
          <w:sz w:val="21"/>
        </w:rPr>
        <w:t>开展的分析中发现了以下问题：</w:t>
      </w:r>
    </w:p>
    <w:p w:rsidR="00D53E8E" w:rsidRPr="006479AF" w:rsidRDefault="00552E97" w:rsidP="006479AF">
      <w:pPr>
        <w:pStyle w:val="2"/>
        <w:spacing w:before="0" w:afterLines="50" w:after="120" w:line="340" w:lineRule="atLeast"/>
        <w:rPr>
          <w:rFonts w:ascii="SimSun" w:hAnsi="SimSun"/>
          <w:b/>
          <w:sz w:val="21"/>
        </w:rPr>
      </w:pPr>
      <w:r w:rsidRPr="006479AF">
        <w:rPr>
          <w:rFonts w:ascii="SimSun" w:hAnsi="SimSun" w:hint="eastAsia"/>
          <w:b/>
          <w:sz w:val="21"/>
        </w:rPr>
        <w:t>预测的准确性</w:t>
      </w:r>
    </w:p>
    <w:p w:rsidR="004E7EAD" w:rsidRDefault="00552E97" w:rsidP="004E7EAD">
      <w:pPr>
        <w:pStyle w:val="a0"/>
        <w:tabs>
          <w:tab w:val="clear" w:pos="709"/>
        </w:tabs>
        <w:overflowPunct w:val="0"/>
        <w:spacing w:afterLines="50" w:after="120" w:line="340" w:lineRule="atLeast"/>
        <w:ind w:left="0"/>
        <w:jc w:val="both"/>
        <w:rPr>
          <w:rFonts w:ascii="SimSun" w:hAnsi="SimSun"/>
          <w:sz w:val="21"/>
        </w:rPr>
      </w:pPr>
      <w:r w:rsidRPr="004E7EAD">
        <w:rPr>
          <w:rFonts w:ascii="SimSun" w:hAnsi="SimSun" w:hint="eastAsia"/>
          <w:sz w:val="21"/>
        </w:rPr>
        <w:t>WIPO的战略是</w:t>
      </w:r>
      <w:r w:rsidR="00402546" w:rsidRPr="004E7EAD">
        <w:rPr>
          <w:rFonts w:ascii="SimSun" w:hAnsi="SimSun" w:hint="eastAsia"/>
          <w:sz w:val="21"/>
        </w:rPr>
        <w:t>对收到的三种货币收入</w:t>
      </w:r>
      <w:r w:rsidR="00B05241" w:rsidRPr="004E7EAD">
        <w:rPr>
          <w:rFonts w:ascii="SimSun" w:hAnsi="SimSun" w:hint="eastAsia"/>
          <w:sz w:val="21"/>
        </w:rPr>
        <w:t>分别进行</w:t>
      </w:r>
      <w:r w:rsidR="00956795" w:rsidRPr="004E7EAD">
        <w:rPr>
          <w:rFonts w:ascii="SimSun" w:hAnsi="SimSun" w:hint="eastAsia"/>
          <w:sz w:val="21"/>
        </w:rPr>
        <w:t>可能</w:t>
      </w:r>
      <w:r w:rsidR="00402546" w:rsidRPr="004E7EAD">
        <w:rPr>
          <w:rFonts w:ascii="SimSun" w:hAnsi="SimSun" w:hint="eastAsia"/>
          <w:sz w:val="21"/>
        </w:rPr>
        <w:t>性很高的</w:t>
      </w:r>
      <w:r w:rsidR="00B05241" w:rsidRPr="004E7EAD">
        <w:rPr>
          <w:rFonts w:ascii="SimSun" w:hAnsi="SimSun" w:hint="eastAsia"/>
          <w:sz w:val="21"/>
        </w:rPr>
        <w:t>预测，并对预测结果进行对冲。</w:t>
      </w:r>
      <w:r w:rsidR="00402546" w:rsidRPr="004E7EAD">
        <w:rPr>
          <w:rFonts w:ascii="SimSun" w:hAnsi="SimSun" w:hint="eastAsia"/>
          <w:sz w:val="21"/>
        </w:rPr>
        <w:t>经济与统计</w:t>
      </w:r>
      <w:proofErr w:type="gramStart"/>
      <w:r w:rsidR="00402546" w:rsidRPr="004E7EAD">
        <w:rPr>
          <w:rFonts w:ascii="SimSun" w:hAnsi="SimSun" w:hint="eastAsia"/>
          <w:sz w:val="21"/>
        </w:rPr>
        <w:t>司数据</w:t>
      </w:r>
      <w:proofErr w:type="gramEnd"/>
      <w:r w:rsidR="00402546" w:rsidRPr="004E7EAD">
        <w:rPr>
          <w:rFonts w:ascii="SimSun" w:hAnsi="SimSun" w:hint="eastAsia"/>
          <w:sz w:val="21"/>
        </w:rPr>
        <w:t>开发处在每个两年期对收入进行预测，并每年进行更新，包括预计PCT申请</w:t>
      </w:r>
      <w:r w:rsidR="00B05241" w:rsidRPr="004E7EAD">
        <w:rPr>
          <w:rFonts w:ascii="SimSun" w:hAnsi="SimSun" w:hint="eastAsia"/>
          <w:sz w:val="21"/>
        </w:rPr>
        <w:t>量</w:t>
      </w:r>
      <w:r w:rsidR="00402546" w:rsidRPr="004E7EAD">
        <w:rPr>
          <w:rFonts w:ascii="SimSun" w:hAnsi="SimSun" w:hint="eastAsia"/>
          <w:sz w:val="21"/>
        </w:rPr>
        <w:t>的低、中和高</w:t>
      </w:r>
      <w:r w:rsidR="00B05241" w:rsidRPr="004E7EAD">
        <w:rPr>
          <w:rFonts w:ascii="SimSun" w:hAnsi="SimSun" w:hint="eastAsia"/>
          <w:sz w:val="21"/>
        </w:rPr>
        <w:t>档。计划规划与财务司与专利与技术部门合作，根据制定预算时所掌握的信息来决定在计算预算估算</w:t>
      </w:r>
      <w:r w:rsidR="00C837DC" w:rsidRPr="004E7EAD">
        <w:rPr>
          <w:rFonts w:ascii="SimSun" w:hAnsi="SimSun" w:hint="eastAsia"/>
          <w:sz w:val="21"/>
        </w:rPr>
        <w:t>数</w:t>
      </w:r>
      <w:r w:rsidR="00B05241" w:rsidRPr="004E7EAD">
        <w:rPr>
          <w:rFonts w:ascii="SimSun" w:hAnsi="SimSun" w:hint="eastAsia"/>
          <w:sz w:val="21"/>
        </w:rPr>
        <w:t>时使用哪一档。所使用的估</w:t>
      </w:r>
      <w:r w:rsidR="00956795" w:rsidRPr="004E7EAD">
        <w:rPr>
          <w:rFonts w:ascii="SimSun" w:hAnsi="SimSun" w:hint="eastAsia"/>
          <w:sz w:val="21"/>
        </w:rPr>
        <w:t>算数</w:t>
      </w:r>
      <w:r w:rsidR="00B05241" w:rsidRPr="004E7EAD">
        <w:rPr>
          <w:rFonts w:ascii="SimSun" w:hAnsi="SimSun" w:hint="eastAsia"/>
          <w:sz w:val="21"/>
        </w:rPr>
        <w:t>趋于保守，因此实际收入超过预测值。</w:t>
      </w:r>
    </w:p>
    <w:p w:rsidR="004E7EAD" w:rsidRDefault="00C837DC" w:rsidP="004E7EAD">
      <w:pPr>
        <w:pStyle w:val="a0"/>
        <w:tabs>
          <w:tab w:val="clear" w:pos="709"/>
        </w:tabs>
        <w:overflowPunct w:val="0"/>
        <w:spacing w:afterLines="50" w:after="120" w:line="340" w:lineRule="atLeast"/>
        <w:ind w:left="0"/>
        <w:jc w:val="both"/>
        <w:rPr>
          <w:rFonts w:ascii="SimSun" w:hAnsi="SimSun"/>
          <w:sz w:val="21"/>
          <w:szCs w:val="22"/>
        </w:rPr>
      </w:pPr>
      <w:r w:rsidRPr="004E7EAD">
        <w:rPr>
          <w:rFonts w:ascii="SimSun" w:hAnsi="SimSun" w:hint="eastAsia"/>
          <w:sz w:val="21"/>
          <w:szCs w:val="22"/>
        </w:rPr>
        <w:t>在对</w:t>
      </w:r>
      <w:proofErr w:type="gramStart"/>
      <w:r w:rsidRPr="004E7EAD">
        <w:rPr>
          <w:rFonts w:ascii="SimSun" w:hAnsi="SimSun" w:hint="eastAsia"/>
          <w:sz w:val="21"/>
          <w:szCs w:val="22"/>
        </w:rPr>
        <w:t>冲战略</w:t>
      </w:r>
      <w:proofErr w:type="gramEnd"/>
      <w:r w:rsidRPr="004E7EAD">
        <w:rPr>
          <w:rFonts w:ascii="SimSun" w:hAnsi="SimSun" w:hint="eastAsia"/>
          <w:sz w:val="21"/>
          <w:szCs w:val="22"/>
        </w:rPr>
        <w:t>制定完成后，会使用相同的估算数来预测在12个月的</w:t>
      </w:r>
      <w:proofErr w:type="gramStart"/>
      <w:r w:rsidRPr="004E7EAD">
        <w:rPr>
          <w:rFonts w:ascii="SimSun" w:hAnsi="SimSun" w:hint="eastAsia"/>
          <w:sz w:val="21"/>
          <w:szCs w:val="22"/>
        </w:rPr>
        <w:t>对冲期中</w:t>
      </w:r>
      <w:proofErr w:type="gramEnd"/>
      <w:r w:rsidRPr="004E7EAD">
        <w:rPr>
          <w:rFonts w:ascii="SimSun" w:hAnsi="SimSun" w:hint="eastAsia"/>
          <w:sz w:val="21"/>
          <w:szCs w:val="22"/>
        </w:rPr>
        <w:t>的预期收入。如果所使用的预测值过高，三种货币收入之一小于预期，则本组织就没有足够的美元、日元或欧元来达到该货币月度远期购买协议中的数额要求。在这种情况下，WIPO必须卖出瑞士法郎，以从银行购回足够数额的相关货币。如果该货币对瑞士法郎的价值</w:t>
      </w:r>
      <w:r w:rsidR="0083615F" w:rsidRPr="004E7EAD">
        <w:rPr>
          <w:rFonts w:ascii="SimSun" w:hAnsi="SimSun" w:hint="eastAsia"/>
          <w:sz w:val="21"/>
          <w:szCs w:val="22"/>
        </w:rPr>
        <w:t>下降</w:t>
      </w:r>
      <w:r w:rsidRPr="004E7EAD">
        <w:rPr>
          <w:rFonts w:ascii="SimSun" w:hAnsi="SimSun" w:hint="eastAsia"/>
          <w:sz w:val="21"/>
          <w:szCs w:val="22"/>
        </w:rPr>
        <w:t>，这</w:t>
      </w:r>
      <w:r w:rsidR="0083615F" w:rsidRPr="004E7EAD">
        <w:rPr>
          <w:rFonts w:ascii="SimSun" w:hAnsi="SimSun" w:hint="eastAsia"/>
          <w:sz w:val="21"/>
          <w:szCs w:val="22"/>
        </w:rPr>
        <w:t>可能会造成严重的资金损失。</w:t>
      </w:r>
    </w:p>
    <w:p w:rsidR="004E7EAD" w:rsidRDefault="00686B9F" w:rsidP="004E7EAD">
      <w:pPr>
        <w:pStyle w:val="a0"/>
        <w:tabs>
          <w:tab w:val="clear" w:pos="709"/>
        </w:tabs>
        <w:overflowPunct w:val="0"/>
        <w:spacing w:afterLines="50" w:after="120" w:line="340" w:lineRule="atLeast"/>
        <w:ind w:left="0"/>
        <w:jc w:val="both"/>
        <w:rPr>
          <w:rFonts w:ascii="SimSun" w:hAnsi="SimSun"/>
          <w:sz w:val="21"/>
          <w:szCs w:val="22"/>
        </w:rPr>
      </w:pPr>
      <w:r w:rsidRPr="004E7EAD">
        <w:rPr>
          <w:rFonts w:ascii="SimSun" w:hAnsi="SimSun" w:hint="eastAsia"/>
          <w:sz w:val="21"/>
          <w:szCs w:val="22"/>
        </w:rPr>
        <w:lastRenderedPageBreak/>
        <w:t>如果对某种货币的预测过低，超出预测的那部分所缴纳费用就不能得到对冲，如果该货币对瑞士法郎的价值下降，这会造成潜在额外收入的损失。但要</w:t>
      </w:r>
      <w:r w:rsidRPr="004E7EAD">
        <w:rPr>
          <w:rFonts w:ascii="SimSun" w:hAnsi="SimSun" w:hint="eastAsia"/>
          <w:sz w:val="21"/>
        </w:rPr>
        <w:t>注意</w:t>
      </w:r>
      <w:r w:rsidRPr="004E7EAD">
        <w:rPr>
          <w:rFonts w:ascii="SimSun" w:hAnsi="SimSun" w:hint="eastAsia"/>
          <w:sz w:val="21"/>
          <w:szCs w:val="22"/>
        </w:rPr>
        <w:t>的是，该损失不会对本组织的预算收入构成影响。</w:t>
      </w:r>
    </w:p>
    <w:p w:rsidR="00D53E8E" w:rsidRPr="004E7EAD" w:rsidRDefault="00686B9F" w:rsidP="004E7EAD">
      <w:pPr>
        <w:pStyle w:val="a0"/>
        <w:tabs>
          <w:tab w:val="clear" w:pos="709"/>
        </w:tabs>
        <w:overflowPunct w:val="0"/>
        <w:spacing w:afterLines="50" w:after="120" w:line="340" w:lineRule="atLeast"/>
        <w:ind w:left="0"/>
        <w:jc w:val="both"/>
        <w:rPr>
          <w:rFonts w:ascii="SimSun" w:hAnsi="SimSun"/>
          <w:sz w:val="21"/>
          <w:szCs w:val="22"/>
        </w:rPr>
      </w:pPr>
      <w:r w:rsidRPr="004E7EAD">
        <w:rPr>
          <w:rFonts w:ascii="SimSun" w:hAnsi="SimSun" w:hint="eastAsia"/>
          <w:sz w:val="21"/>
          <w:szCs w:val="22"/>
        </w:rPr>
        <w:t>经济与统计司、专利与技术部门(PCT管理部门)和计划规划与财务司将进行讨论，以确保用于远期合同的预测值尽可能准确，并包含监测对</w:t>
      </w:r>
      <w:proofErr w:type="gramStart"/>
      <w:r w:rsidRPr="004E7EAD">
        <w:rPr>
          <w:rFonts w:ascii="SimSun" w:hAnsi="SimSun" w:hint="eastAsia"/>
          <w:sz w:val="21"/>
          <w:szCs w:val="22"/>
        </w:rPr>
        <w:t>冲战略</w:t>
      </w:r>
      <w:proofErr w:type="gramEnd"/>
      <w:r w:rsidRPr="004E7EAD">
        <w:rPr>
          <w:rFonts w:ascii="SimSun" w:hAnsi="SimSun" w:hint="eastAsia"/>
          <w:sz w:val="21"/>
          <w:szCs w:val="22"/>
        </w:rPr>
        <w:t>有效性所需的所有信息。此外，当前的做法是对每个日历季度和每个国家进行预测，有必要</w:t>
      </w:r>
      <w:r w:rsidR="00C434F4" w:rsidRPr="004E7EAD">
        <w:rPr>
          <w:rFonts w:ascii="SimSun" w:hAnsi="SimSun" w:hint="eastAsia"/>
          <w:sz w:val="21"/>
          <w:szCs w:val="22"/>
        </w:rPr>
        <w:t>确定目前这种方式是否将提供确定适当对冲水平以及监测各月度远期合同有效性所需的所有信息。</w:t>
      </w:r>
    </w:p>
    <w:p w:rsidR="00D53E8E" w:rsidRPr="006479AF" w:rsidRDefault="00C434F4" w:rsidP="006479AF">
      <w:pPr>
        <w:pStyle w:val="2"/>
        <w:spacing w:before="0" w:afterLines="50" w:after="120" w:line="340" w:lineRule="atLeast"/>
        <w:rPr>
          <w:rFonts w:ascii="SimSun" w:hAnsi="SimSun"/>
          <w:b/>
          <w:sz w:val="21"/>
        </w:rPr>
      </w:pPr>
      <w:r w:rsidRPr="006479AF">
        <w:rPr>
          <w:rFonts w:ascii="SimSun" w:hAnsi="SimSun" w:hint="eastAsia"/>
          <w:b/>
          <w:sz w:val="21"/>
        </w:rPr>
        <w:t>只对各币种现金的净额进行对冲</w:t>
      </w:r>
    </w:p>
    <w:p w:rsidR="004E7EAD" w:rsidRDefault="00A64779" w:rsidP="004E7EAD">
      <w:pPr>
        <w:pStyle w:val="a0"/>
        <w:tabs>
          <w:tab w:val="clear" w:pos="709"/>
        </w:tabs>
        <w:overflowPunct w:val="0"/>
        <w:spacing w:afterLines="50" w:after="120" w:line="340" w:lineRule="atLeast"/>
        <w:ind w:left="0"/>
        <w:jc w:val="both"/>
        <w:rPr>
          <w:rFonts w:ascii="SimSun" w:hAnsi="SimSun"/>
          <w:sz w:val="21"/>
        </w:rPr>
      </w:pPr>
      <w:r w:rsidRPr="004E7EAD">
        <w:rPr>
          <w:rFonts w:ascii="SimSun" w:hAnsi="SimSun" w:hint="eastAsia"/>
          <w:sz w:val="21"/>
        </w:rPr>
        <w:t>WIPO</w:t>
      </w:r>
      <w:r w:rsidR="00DF3CC1" w:rsidRPr="004E7EAD">
        <w:rPr>
          <w:rFonts w:ascii="SimSun" w:hAnsi="SimSun" w:hint="eastAsia"/>
          <w:sz w:val="21"/>
        </w:rPr>
        <w:t>只能针对在12个月</w:t>
      </w:r>
      <w:proofErr w:type="gramStart"/>
      <w:r w:rsidR="00DF3CC1" w:rsidRPr="004E7EAD">
        <w:rPr>
          <w:rFonts w:ascii="SimSun" w:hAnsi="SimSun" w:hint="eastAsia"/>
          <w:sz w:val="21"/>
        </w:rPr>
        <w:t>对冲期内</w:t>
      </w:r>
      <w:proofErr w:type="gramEnd"/>
      <w:r w:rsidR="00DF3CC1" w:rsidRPr="004E7EAD">
        <w:rPr>
          <w:rFonts w:ascii="SimSun" w:hAnsi="SimSun" w:hint="eastAsia"/>
          <w:sz w:val="21"/>
        </w:rPr>
        <w:t>的各币种净额签订远期购买协议。虽然WIPO只有日元名义支付额，但美元支付额达到了月均600万美元，即所收到美元总年收入的45%。支付额包括向联合国合办工作人员养恤基金缴纳的费用、向国际技术中心缴纳的费用、美国员工的税款以及差旅费等，这些费用要求</w:t>
      </w:r>
      <w:r w:rsidR="003F1471" w:rsidRPr="004E7EAD">
        <w:rPr>
          <w:rFonts w:ascii="SimSun" w:hAnsi="SimSun" w:hint="eastAsia"/>
          <w:sz w:val="21"/>
        </w:rPr>
        <w:t>必须</w:t>
      </w:r>
      <w:r w:rsidR="00DF3CC1" w:rsidRPr="004E7EAD">
        <w:rPr>
          <w:rFonts w:ascii="SimSun" w:hAnsi="SimSun" w:hint="eastAsia"/>
          <w:sz w:val="21"/>
        </w:rPr>
        <w:t>以美元缴纳。欧元支付额每年平均为2</w:t>
      </w:r>
      <w:r w:rsidR="006479AF">
        <w:rPr>
          <w:rFonts w:ascii="SimSun" w:hAnsi="SimSun" w:hint="eastAsia"/>
          <w:sz w:val="21"/>
        </w:rPr>
        <w:t>,</w:t>
      </w:r>
      <w:r w:rsidR="00DF3CC1" w:rsidRPr="004E7EAD">
        <w:rPr>
          <w:rFonts w:ascii="SimSun" w:hAnsi="SimSun" w:hint="eastAsia"/>
          <w:sz w:val="21"/>
        </w:rPr>
        <w:t>000万欧元，</w:t>
      </w:r>
      <w:r w:rsidR="003F1471" w:rsidRPr="004E7EAD">
        <w:rPr>
          <w:rFonts w:ascii="SimSun" w:hAnsi="SimSun" w:hint="eastAsia"/>
          <w:sz w:val="21"/>
        </w:rPr>
        <w:t>即所收到欧元总收入的40%，其中大部分是国际局作为PCT受理局(RO，大部分为瑞郎，也有美元和欧元)收到的应付给作为PCT国际检索单位的欧洲专利局(EPO)的PCT检索费。</w:t>
      </w:r>
    </w:p>
    <w:p w:rsidR="004E7EAD" w:rsidRDefault="003F1471" w:rsidP="004E7EAD">
      <w:pPr>
        <w:pStyle w:val="a0"/>
        <w:tabs>
          <w:tab w:val="clear" w:pos="709"/>
        </w:tabs>
        <w:overflowPunct w:val="0"/>
        <w:spacing w:afterLines="50" w:after="120" w:line="340" w:lineRule="atLeast"/>
        <w:ind w:left="0"/>
        <w:jc w:val="both"/>
        <w:rPr>
          <w:rFonts w:ascii="SimSun" w:hAnsi="SimSun"/>
          <w:sz w:val="21"/>
        </w:rPr>
      </w:pPr>
      <w:r w:rsidRPr="004E7EAD">
        <w:rPr>
          <w:rFonts w:ascii="SimSun" w:hAnsi="SimSun" w:hint="eastAsia"/>
          <w:sz w:val="21"/>
        </w:rPr>
        <w:t>2014年3月编拟的WIPO财务管理研究提出了上述问题，指出只有部分PCT美元和欧元费用收入能够得到对冲，这会造成潜在问题。由于三种货币的应付费用将以混合对冲汇率计算，约55%的美元和约40%的欧元费用将</w:t>
      </w:r>
      <w:r w:rsidR="00AD6AA8" w:rsidRPr="004E7EAD">
        <w:rPr>
          <w:rFonts w:ascii="SimSun" w:hAnsi="SimSun" w:hint="eastAsia"/>
          <w:sz w:val="21"/>
        </w:rPr>
        <w:t>由申请人以混合对冲汇率为基础的费用水平支付，虽然货币汇率调整不会</w:t>
      </w:r>
      <w:r w:rsidR="0017795C" w:rsidRPr="004E7EAD">
        <w:rPr>
          <w:rFonts w:ascii="SimSun" w:hAnsi="SimSun" w:hint="eastAsia"/>
          <w:sz w:val="21"/>
        </w:rPr>
        <w:t>抵消</w:t>
      </w:r>
      <w:r w:rsidR="00AD6AA8" w:rsidRPr="004E7EAD">
        <w:rPr>
          <w:rFonts w:ascii="SimSun" w:hAnsi="SimSun" w:hint="eastAsia"/>
          <w:sz w:val="21"/>
        </w:rPr>
        <w:t>远期购买协议价值的变化。</w:t>
      </w:r>
    </w:p>
    <w:p w:rsidR="004E7EAD" w:rsidRDefault="00AD6AA8" w:rsidP="004E7EAD">
      <w:pPr>
        <w:pStyle w:val="a0"/>
        <w:tabs>
          <w:tab w:val="clear" w:pos="709"/>
        </w:tabs>
        <w:overflowPunct w:val="0"/>
        <w:spacing w:afterLines="50" w:after="120" w:line="340" w:lineRule="atLeast"/>
        <w:ind w:left="0"/>
        <w:jc w:val="both"/>
        <w:rPr>
          <w:rFonts w:ascii="SimSun" w:hAnsi="SimSun"/>
          <w:sz w:val="21"/>
        </w:rPr>
      </w:pPr>
      <w:r w:rsidRPr="004E7EAD">
        <w:rPr>
          <w:rFonts w:ascii="SimSun" w:hAnsi="SimSun" w:hint="eastAsia"/>
          <w:sz w:val="21"/>
        </w:rPr>
        <w:t>目前，如果对瑞郎</w:t>
      </w:r>
      <w:r w:rsidR="0017795C" w:rsidRPr="004E7EAD">
        <w:rPr>
          <w:rFonts w:ascii="SimSun" w:hAnsi="SimSun" w:hint="eastAsia"/>
          <w:sz w:val="21"/>
        </w:rPr>
        <w:t>的汇率</w:t>
      </w:r>
      <w:r w:rsidRPr="004E7EAD">
        <w:rPr>
          <w:rFonts w:ascii="SimSun" w:hAnsi="SimSun" w:hint="eastAsia"/>
          <w:sz w:val="21"/>
        </w:rPr>
        <w:t>下降所造成的收入变化连续四个星期五超过PCT大会指令规定的5%，总干事可以采取这样的应对措施，即经过磋商，规定一个调整后的汇率。但如果实行对冲战略，对冲汇率在12个月内是固定的，不能对其进行调整，虽然只有部分PCT收入会受到远期合同的保护。</w:t>
      </w:r>
      <w:r w:rsidR="001C3820" w:rsidRPr="004E7EAD">
        <w:rPr>
          <w:rFonts w:ascii="SimSun" w:hAnsi="SimSun" w:hint="eastAsia"/>
          <w:sz w:val="21"/>
        </w:rPr>
        <w:t>如果将现行的PCT新等值数额程序取消，并以混合对冲汇率计算各币种的所有应付费用，WIPO将无法规避PCT费用收入未对</w:t>
      </w:r>
      <w:proofErr w:type="gramStart"/>
      <w:r w:rsidR="001C3820" w:rsidRPr="004E7EAD">
        <w:rPr>
          <w:rFonts w:ascii="SimSun" w:hAnsi="SimSun" w:hint="eastAsia"/>
          <w:sz w:val="21"/>
        </w:rPr>
        <w:t>冲部分</w:t>
      </w:r>
      <w:proofErr w:type="gramEnd"/>
      <w:r w:rsidR="001C3820" w:rsidRPr="004E7EAD">
        <w:rPr>
          <w:rFonts w:ascii="SimSun" w:hAnsi="SimSun" w:hint="eastAsia"/>
          <w:sz w:val="21"/>
        </w:rPr>
        <w:t>的汇兑损益所造成的风险。</w:t>
      </w:r>
    </w:p>
    <w:p w:rsidR="00D53E8E" w:rsidRPr="004E7EAD" w:rsidRDefault="00EC4828" w:rsidP="004E7EAD">
      <w:pPr>
        <w:pStyle w:val="a0"/>
        <w:tabs>
          <w:tab w:val="clear" w:pos="709"/>
        </w:tabs>
        <w:overflowPunct w:val="0"/>
        <w:spacing w:afterLines="50" w:after="120" w:line="340" w:lineRule="atLeast"/>
        <w:ind w:left="0"/>
        <w:jc w:val="both"/>
        <w:rPr>
          <w:rFonts w:ascii="SimSun" w:hAnsi="SimSun"/>
          <w:sz w:val="21"/>
        </w:rPr>
      </w:pPr>
      <w:r w:rsidRPr="004E7EAD">
        <w:rPr>
          <w:rFonts w:ascii="SimSun" w:hAnsi="SimSun" w:hint="eastAsia"/>
          <w:sz w:val="21"/>
        </w:rPr>
        <w:t>在一定程度上，未得到对冲的PCT</w:t>
      </w:r>
      <w:r w:rsidR="0017795C" w:rsidRPr="004E7EAD">
        <w:rPr>
          <w:rFonts w:ascii="SimSun" w:hAnsi="SimSun" w:hint="eastAsia"/>
          <w:sz w:val="21"/>
        </w:rPr>
        <w:t>欧元和美元费用收入在以下情况中可能被抵消</w:t>
      </w:r>
      <w:r w:rsidRPr="004E7EAD">
        <w:rPr>
          <w:rFonts w:ascii="SimSun" w:hAnsi="SimSun" w:hint="eastAsia"/>
          <w:sz w:val="21"/>
        </w:rPr>
        <w:t>，即如果汇率减少了上述币种PCT收入的瑞郎价值，则这些币种支付额的瑞</w:t>
      </w:r>
      <w:proofErr w:type="gramStart"/>
      <w:r w:rsidRPr="004E7EAD">
        <w:rPr>
          <w:rFonts w:ascii="SimSun" w:hAnsi="SimSun" w:hint="eastAsia"/>
          <w:sz w:val="21"/>
        </w:rPr>
        <w:t>郎价值</w:t>
      </w:r>
      <w:proofErr w:type="gramEnd"/>
      <w:r w:rsidRPr="004E7EAD">
        <w:rPr>
          <w:rFonts w:ascii="SimSun" w:hAnsi="SimSun" w:hint="eastAsia"/>
          <w:sz w:val="21"/>
        </w:rPr>
        <w:t>也会减少。但是，这种支付额“</w:t>
      </w:r>
      <w:r w:rsidR="0017795C" w:rsidRPr="004E7EAD">
        <w:rPr>
          <w:rFonts w:ascii="SimSun" w:hAnsi="SimSun" w:hint="eastAsia"/>
          <w:sz w:val="21"/>
        </w:rPr>
        <w:t>抵消</w:t>
      </w:r>
      <w:r w:rsidRPr="004E7EAD">
        <w:rPr>
          <w:rFonts w:ascii="SimSun" w:hAnsi="SimSun" w:hint="eastAsia"/>
          <w:sz w:val="21"/>
        </w:rPr>
        <w:t>”在现行的新等值数额程序中业已存在，无论是否实行对冲战略，WIPO都会由于支付</w:t>
      </w:r>
      <w:proofErr w:type="gramStart"/>
      <w:r w:rsidRPr="004E7EAD">
        <w:rPr>
          <w:rFonts w:ascii="SimSun" w:hAnsi="SimSun" w:hint="eastAsia"/>
          <w:sz w:val="21"/>
        </w:rPr>
        <w:t>额瑞郎价值</w:t>
      </w:r>
      <w:proofErr w:type="gramEnd"/>
      <w:r w:rsidRPr="004E7EAD">
        <w:rPr>
          <w:rFonts w:ascii="SimSun" w:hAnsi="SimSun" w:hint="eastAsia"/>
          <w:sz w:val="21"/>
        </w:rPr>
        <w:t>的变化而</w:t>
      </w:r>
      <w:r w:rsidR="00804DCA" w:rsidRPr="004E7EAD">
        <w:rPr>
          <w:rFonts w:ascii="SimSun" w:hAnsi="SimSun" w:hint="eastAsia"/>
          <w:sz w:val="21"/>
        </w:rPr>
        <w:t>产生</w:t>
      </w:r>
      <w:r w:rsidRPr="004E7EAD">
        <w:rPr>
          <w:rFonts w:ascii="SimSun" w:hAnsi="SimSun" w:hint="eastAsia"/>
          <w:sz w:val="21"/>
        </w:rPr>
        <w:t>损益。</w:t>
      </w:r>
    </w:p>
    <w:p w:rsidR="00D53E8E" w:rsidRPr="006479AF" w:rsidRDefault="00EC4828" w:rsidP="006479AF">
      <w:pPr>
        <w:pStyle w:val="2"/>
        <w:spacing w:before="0" w:afterLines="50" w:after="120" w:line="340" w:lineRule="atLeast"/>
        <w:rPr>
          <w:rFonts w:ascii="SimSun" w:hAnsi="SimSun"/>
          <w:b/>
          <w:sz w:val="21"/>
        </w:rPr>
      </w:pPr>
      <w:r w:rsidRPr="006479AF">
        <w:rPr>
          <w:rFonts w:ascii="SimSun" w:hAnsi="SimSun" w:hint="eastAsia"/>
          <w:b/>
          <w:sz w:val="21"/>
        </w:rPr>
        <w:t>质量和数据</w:t>
      </w:r>
      <w:r w:rsidR="00F411C7" w:rsidRPr="006479AF">
        <w:rPr>
          <w:rFonts w:ascii="SimSun" w:hAnsi="SimSun" w:hint="eastAsia"/>
          <w:b/>
          <w:sz w:val="21"/>
        </w:rPr>
        <w:t>存取</w:t>
      </w:r>
    </w:p>
    <w:p w:rsidR="004E7EAD" w:rsidRDefault="00804DCA" w:rsidP="004E7EAD">
      <w:pPr>
        <w:pStyle w:val="a0"/>
        <w:tabs>
          <w:tab w:val="clear" w:pos="709"/>
        </w:tabs>
        <w:overflowPunct w:val="0"/>
        <w:spacing w:afterLines="50" w:after="120" w:line="340" w:lineRule="atLeast"/>
        <w:ind w:left="0"/>
        <w:jc w:val="both"/>
        <w:rPr>
          <w:rFonts w:ascii="SimSun" w:hAnsi="SimSun"/>
          <w:sz w:val="21"/>
        </w:rPr>
      </w:pPr>
      <w:r w:rsidRPr="004E7EAD">
        <w:rPr>
          <w:rFonts w:ascii="SimSun" w:hAnsi="SimSun" w:hint="eastAsia"/>
          <w:sz w:val="21"/>
        </w:rPr>
        <w:t>如果WIPO实行对冲战略，则至关重要的一点是用于预测要求和监测对冲有效性的所有数据要尽可能准确。目前，PCT信息技术系统</w:t>
      </w:r>
      <w:r w:rsidRPr="004E7EAD">
        <w:rPr>
          <w:rFonts w:ascii="SimSun" w:hAnsi="SimSun"/>
          <w:sz w:val="21"/>
        </w:rPr>
        <w:t>(</w:t>
      </w:r>
      <w:proofErr w:type="spellStart"/>
      <w:r w:rsidRPr="004E7EAD">
        <w:rPr>
          <w:rFonts w:ascii="SimSun" w:hAnsi="SimSun"/>
          <w:sz w:val="21"/>
        </w:rPr>
        <w:t>BibAdmin</w:t>
      </w:r>
      <w:proofErr w:type="spellEnd"/>
      <w:r w:rsidRPr="004E7EAD">
        <w:rPr>
          <w:rFonts w:ascii="SimSun" w:hAnsi="SimSun"/>
          <w:sz w:val="21"/>
        </w:rPr>
        <w:t>)</w:t>
      </w:r>
      <w:r w:rsidRPr="004E7EAD">
        <w:rPr>
          <w:rFonts w:ascii="SimSun" w:hAnsi="SimSun" w:hint="eastAsia"/>
          <w:sz w:val="21"/>
        </w:rPr>
        <w:t>和财务信息技术系统</w:t>
      </w:r>
      <w:r w:rsidRPr="004E7EAD">
        <w:rPr>
          <w:rFonts w:ascii="SimSun" w:hAnsi="SimSun"/>
          <w:sz w:val="21"/>
        </w:rPr>
        <w:t>(AIMS)</w:t>
      </w:r>
      <w:r w:rsidRPr="004E7EAD">
        <w:rPr>
          <w:rFonts w:ascii="SimSun" w:hAnsi="SimSun" w:hint="eastAsia"/>
          <w:sz w:val="21"/>
        </w:rPr>
        <w:t>之间没有自动化接口。这主要是出于安全考虑，旨在控制对与国际申请有关数据的存取。但如果实行了对冲战略，关于PCT申请的统计信息和关于收入收取的信息尽可能紧密地关联，以及两个系统中的数据尽可能准确</w:t>
      </w:r>
      <w:r w:rsidR="00F411C7" w:rsidRPr="004E7EAD">
        <w:rPr>
          <w:rFonts w:ascii="SimSun" w:hAnsi="SimSun" w:hint="eastAsia"/>
          <w:sz w:val="21"/>
        </w:rPr>
        <w:t>，这</w:t>
      </w:r>
      <w:r w:rsidRPr="004E7EAD">
        <w:rPr>
          <w:rFonts w:ascii="SimSun" w:hAnsi="SimSun" w:hint="eastAsia"/>
          <w:sz w:val="21"/>
        </w:rPr>
        <w:t>将变得日益重要</w:t>
      </w:r>
      <w:r w:rsidR="00F411C7" w:rsidRPr="004E7EAD">
        <w:rPr>
          <w:rFonts w:ascii="SimSun" w:hAnsi="SimSun" w:hint="eastAsia"/>
          <w:sz w:val="21"/>
        </w:rPr>
        <w:t>，以便对有关</w:t>
      </w:r>
      <w:r w:rsidR="008D581A" w:rsidRPr="004E7EAD">
        <w:rPr>
          <w:rFonts w:ascii="SimSun" w:hAnsi="SimSun" w:hint="eastAsia"/>
          <w:sz w:val="21"/>
        </w:rPr>
        <w:t>兑换差额</w:t>
      </w:r>
      <w:r w:rsidR="00F411C7" w:rsidRPr="004E7EAD">
        <w:rPr>
          <w:rFonts w:ascii="SimSun" w:hAnsi="SimSun" w:hint="eastAsia"/>
          <w:sz w:val="21"/>
        </w:rPr>
        <w:t>的趋势进行跟踪，并快速解决问题。仍要制定计划，确保数据存取和质量得到保证。</w:t>
      </w:r>
    </w:p>
    <w:p w:rsidR="00D53E8E" w:rsidRPr="004E7EAD" w:rsidRDefault="00C70D9E" w:rsidP="004E7EAD">
      <w:pPr>
        <w:pStyle w:val="a0"/>
        <w:tabs>
          <w:tab w:val="clear" w:pos="709"/>
        </w:tabs>
        <w:overflowPunct w:val="0"/>
        <w:spacing w:afterLines="50" w:after="120" w:line="340" w:lineRule="atLeast"/>
        <w:ind w:left="0"/>
        <w:jc w:val="both"/>
        <w:rPr>
          <w:rFonts w:ascii="SimSun" w:hAnsi="SimSun"/>
          <w:sz w:val="21"/>
        </w:rPr>
      </w:pPr>
      <w:r w:rsidRPr="004E7EAD">
        <w:rPr>
          <w:rFonts w:ascii="SimSun" w:hAnsi="SimSun" w:hint="eastAsia"/>
          <w:sz w:val="21"/>
        </w:rPr>
        <w:t>此外，为了确保符合IPSAS的规定，WIPO的会计制度为权责发生制。</w:t>
      </w:r>
      <w:r w:rsidR="00C10C45" w:rsidRPr="004E7EAD">
        <w:rPr>
          <w:rFonts w:ascii="SimSun" w:hAnsi="SimSun" w:hint="eastAsia"/>
          <w:sz w:val="21"/>
        </w:rPr>
        <w:t>监测和评估现金流所必需的数据报告必须得到完善，保证员工能够实时获得所需信息。相关部门将对关键报告要求进行协调。</w:t>
      </w:r>
    </w:p>
    <w:p w:rsidR="00D53E8E" w:rsidRPr="006479AF" w:rsidRDefault="00C10C45" w:rsidP="006479AF">
      <w:pPr>
        <w:pStyle w:val="2"/>
        <w:spacing w:before="0" w:afterLines="50" w:after="120" w:line="340" w:lineRule="atLeast"/>
        <w:rPr>
          <w:rFonts w:ascii="SimSun" w:hAnsi="SimSun"/>
          <w:b/>
          <w:sz w:val="21"/>
        </w:rPr>
      </w:pPr>
      <w:r w:rsidRPr="006479AF">
        <w:rPr>
          <w:rFonts w:ascii="SimSun" w:hAnsi="SimSun" w:hint="eastAsia"/>
          <w:b/>
          <w:sz w:val="21"/>
        </w:rPr>
        <w:lastRenderedPageBreak/>
        <w:t>现金流的不确定性</w:t>
      </w:r>
    </w:p>
    <w:p w:rsidR="004E7EAD" w:rsidRDefault="00215A66" w:rsidP="004E7EAD">
      <w:pPr>
        <w:pStyle w:val="a0"/>
        <w:tabs>
          <w:tab w:val="clear" w:pos="709"/>
        </w:tabs>
        <w:overflowPunct w:val="0"/>
        <w:spacing w:afterLines="50" w:after="120" w:line="340" w:lineRule="atLeast"/>
        <w:ind w:left="0"/>
        <w:jc w:val="both"/>
        <w:rPr>
          <w:rFonts w:ascii="SimSun" w:hAnsi="SimSun"/>
          <w:sz w:val="21"/>
        </w:rPr>
      </w:pPr>
      <w:r w:rsidRPr="004E7EAD">
        <w:rPr>
          <w:rFonts w:ascii="SimSun" w:hAnsi="SimSun" w:hint="eastAsia"/>
          <w:sz w:val="21"/>
        </w:rPr>
        <w:t>对从2012年至2015年(8月)国际局</w:t>
      </w:r>
      <w:r w:rsidRPr="004E7EAD">
        <w:rPr>
          <w:rFonts w:ascii="SimSun" w:hAnsi="SimSun"/>
          <w:sz w:val="21"/>
        </w:rPr>
        <w:t>(IB)</w:t>
      </w:r>
      <w:r w:rsidRPr="004E7EAD">
        <w:rPr>
          <w:rFonts w:ascii="SimSun" w:hAnsi="SimSun" w:hint="eastAsia"/>
          <w:sz w:val="21"/>
        </w:rPr>
        <w:t>向PCT受理局</w:t>
      </w:r>
      <w:r w:rsidRPr="004E7EAD">
        <w:rPr>
          <w:rFonts w:ascii="SimSun" w:hAnsi="SimSun"/>
          <w:sz w:val="21"/>
        </w:rPr>
        <w:t>(RO)</w:t>
      </w:r>
      <w:r w:rsidRPr="004E7EAD">
        <w:rPr>
          <w:rFonts w:ascii="SimSun" w:hAnsi="SimSun" w:hint="eastAsia"/>
          <w:sz w:val="21"/>
        </w:rPr>
        <w:t>转拨资金数据的审查表明，虽然受理局比较规律地向国际局转拨支付给国际局的PCT费用，但几乎每年都会出现这种情况，即</w:t>
      </w:r>
      <w:r w:rsidR="0017795C" w:rsidRPr="004E7EAD">
        <w:rPr>
          <w:rFonts w:ascii="SimSun" w:hAnsi="SimSun" w:hint="eastAsia"/>
          <w:sz w:val="21"/>
        </w:rPr>
        <w:t>在</w:t>
      </w:r>
      <w:r w:rsidRPr="004E7EAD">
        <w:rPr>
          <w:rFonts w:ascii="SimSun" w:hAnsi="SimSun" w:hint="eastAsia"/>
          <w:sz w:val="21"/>
        </w:rPr>
        <w:t>一个月或更长时间段内的上述PCT费用并未如PCT受理局指南要求的那样在下个月进行支付。</w:t>
      </w:r>
      <w:r w:rsidR="005D521B" w:rsidRPr="004E7EAD">
        <w:rPr>
          <w:rFonts w:ascii="SimSun" w:hAnsi="SimSun" w:hint="eastAsia"/>
          <w:sz w:val="21"/>
        </w:rPr>
        <w:t>由于会在远期购买合同中与一家或多家签约银行针对各币种约定一个每月执行合同的具体日期，WIPO必须确保在合同规定的日期具有三个币种的充足资金。</w:t>
      </w:r>
    </w:p>
    <w:p w:rsidR="004E7EAD" w:rsidRDefault="005D521B" w:rsidP="004E7EAD">
      <w:pPr>
        <w:pStyle w:val="a0"/>
        <w:tabs>
          <w:tab w:val="clear" w:pos="709"/>
        </w:tabs>
        <w:overflowPunct w:val="0"/>
        <w:spacing w:afterLines="50" w:after="120" w:line="340" w:lineRule="atLeast"/>
        <w:ind w:left="0"/>
        <w:jc w:val="both"/>
        <w:rPr>
          <w:rFonts w:ascii="SimSun" w:hAnsi="SimSun"/>
          <w:sz w:val="21"/>
        </w:rPr>
      </w:pPr>
      <w:r w:rsidRPr="004E7EAD">
        <w:rPr>
          <w:rFonts w:ascii="SimSun" w:hAnsi="SimSun" w:hint="eastAsia"/>
          <w:sz w:val="21"/>
        </w:rPr>
        <w:t>如上文第9段所述，如果在合同规定日期，日元、美元或欧元资金不足，WIPO就必须(可能是亏本)卖出瑞郎，以</w:t>
      </w:r>
      <w:r w:rsidR="00A65FD1" w:rsidRPr="004E7EAD">
        <w:rPr>
          <w:rFonts w:ascii="SimSun" w:hAnsi="SimSun" w:hint="eastAsia"/>
          <w:sz w:val="21"/>
        </w:rPr>
        <w:t>达到合同数额。为了降低这一风险，WIPO必须保留至少与各币种一个月预计到款额等值的充足资金。保留大量上述币种的资金会造成另一个风险，因为要在月末对存款额</w:t>
      </w:r>
      <w:r w:rsidR="008D581A" w:rsidRPr="004E7EAD">
        <w:rPr>
          <w:rFonts w:ascii="SimSun" w:hAnsi="SimSun" w:hint="eastAsia"/>
          <w:sz w:val="21"/>
        </w:rPr>
        <w:t>调整币值</w:t>
      </w:r>
      <w:r w:rsidR="00A65FD1" w:rsidRPr="004E7EAD">
        <w:rPr>
          <w:rFonts w:ascii="SimSun" w:hAnsi="SimSun" w:hint="eastAsia"/>
          <w:sz w:val="21"/>
        </w:rPr>
        <w:t>，以反映与瑞郎的兑换差额。</w:t>
      </w:r>
      <w:r w:rsidR="008D581A" w:rsidRPr="004E7EAD">
        <w:rPr>
          <w:rFonts w:ascii="SimSun" w:hAnsi="SimSun" w:hint="eastAsia"/>
          <w:sz w:val="21"/>
        </w:rPr>
        <w:t>由此产生的任何</w:t>
      </w:r>
      <w:r w:rsidR="001A5538" w:rsidRPr="004E7EAD">
        <w:rPr>
          <w:rFonts w:ascii="SimSun" w:hAnsi="SimSun" w:hint="eastAsia"/>
          <w:sz w:val="21"/>
        </w:rPr>
        <w:t>汇兑损益</w:t>
      </w:r>
      <w:r w:rsidR="008D581A" w:rsidRPr="004E7EAD">
        <w:rPr>
          <w:rFonts w:ascii="SimSun" w:hAnsi="SimSun" w:hint="eastAsia"/>
          <w:sz w:val="21"/>
        </w:rPr>
        <w:t>将在财务报表中反映在WIPO的财务状况中。</w:t>
      </w:r>
    </w:p>
    <w:p w:rsidR="004E7EAD" w:rsidRDefault="007047DE" w:rsidP="004E7EAD">
      <w:pPr>
        <w:pStyle w:val="a0"/>
        <w:tabs>
          <w:tab w:val="clear" w:pos="709"/>
        </w:tabs>
        <w:overflowPunct w:val="0"/>
        <w:spacing w:afterLines="50" w:after="120" w:line="340" w:lineRule="atLeast"/>
        <w:ind w:left="0"/>
        <w:jc w:val="both"/>
        <w:rPr>
          <w:rFonts w:ascii="SimSun" w:hAnsi="SimSun"/>
          <w:sz w:val="21"/>
        </w:rPr>
      </w:pPr>
      <w:r w:rsidRPr="004E7EAD">
        <w:rPr>
          <w:rFonts w:ascii="SimSun" w:hAnsi="SimSun" w:hint="eastAsia"/>
          <w:sz w:val="21"/>
        </w:rPr>
        <w:t>此外，</w:t>
      </w:r>
      <w:r w:rsidR="00965DDD" w:rsidRPr="004E7EAD">
        <w:rPr>
          <w:rFonts w:ascii="SimSun" w:hAnsi="SimSun" w:hint="eastAsia"/>
          <w:sz w:val="21"/>
        </w:rPr>
        <w:t>国际局在受理局收到付款后</w:t>
      </w:r>
      <w:r w:rsidR="00567C91" w:rsidRPr="004E7EAD">
        <w:rPr>
          <w:rFonts w:ascii="SimSun" w:hAnsi="SimSun" w:hint="eastAsia"/>
          <w:sz w:val="21"/>
        </w:rPr>
        <w:t>一个月中的哪天收到资金通常差异很大。根据分析，有必要将月度远期合同日期规定在一个月中比原来预期更晚的日期，可以在当月25日或更晚。日期越晚，联合国</w:t>
      </w:r>
      <w:proofErr w:type="gramStart"/>
      <w:r w:rsidR="00567C91" w:rsidRPr="004E7EAD">
        <w:rPr>
          <w:rFonts w:ascii="SimSun" w:hAnsi="SimSun" w:hint="eastAsia"/>
          <w:sz w:val="21"/>
        </w:rPr>
        <w:t>业务汇率</w:t>
      </w:r>
      <w:proofErr w:type="gramEnd"/>
      <w:r w:rsidR="00567C91" w:rsidRPr="004E7EAD">
        <w:rPr>
          <w:rFonts w:ascii="SimSun" w:hAnsi="SimSun" w:hint="eastAsia"/>
          <w:sz w:val="21"/>
        </w:rPr>
        <w:t>(UNORE)(在当月1日设定，如果汇率变化超过3%，在当月15日进行调整)与和签约银行议定的对冲汇率之间的汇率差就越大。由于在财务报表中使用UNORE来计算远期合同在执行时的价值，所规定的合同执行日在一个月中的日期越晚，对</w:t>
      </w:r>
      <w:proofErr w:type="gramStart"/>
      <w:r w:rsidR="00567C91" w:rsidRPr="004E7EAD">
        <w:rPr>
          <w:rFonts w:ascii="SimSun" w:hAnsi="SimSun" w:hint="eastAsia"/>
          <w:sz w:val="21"/>
        </w:rPr>
        <w:t>冲战略</w:t>
      </w:r>
      <w:proofErr w:type="gramEnd"/>
      <w:r w:rsidR="00AE34C7" w:rsidRPr="004E7EAD">
        <w:rPr>
          <w:rFonts w:ascii="SimSun" w:hAnsi="SimSun" w:hint="eastAsia"/>
          <w:sz w:val="21"/>
        </w:rPr>
        <w:t>出现潜在</w:t>
      </w:r>
      <w:r w:rsidR="00965DDD" w:rsidRPr="004E7EAD">
        <w:rPr>
          <w:rFonts w:ascii="SimSun" w:hAnsi="SimSun" w:hint="eastAsia"/>
          <w:sz w:val="21"/>
        </w:rPr>
        <w:t>汇兑</w:t>
      </w:r>
      <w:r w:rsidR="00AE34C7" w:rsidRPr="004E7EAD">
        <w:rPr>
          <w:rFonts w:ascii="SimSun" w:hAnsi="SimSun" w:hint="eastAsia"/>
          <w:sz w:val="21"/>
        </w:rPr>
        <w:t>波动的可能性就越大。</w:t>
      </w:r>
    </w:p>
    <w:p w:rsidR="00D53E8E" w:rsidRPr="004E7EAD" w:rsidRDefault="00114CB4" w:rsidP="004E7EAD">
      <w:pPr>
        <w:pStyle w:val="a0"/>
        <w:tabs>
          <w:tab w:val="clear" w:pos="709"/>
        </w:tabs>
        <w:overflowPunct w:val="0"/>
        <w:spacing w:afterLines="50" w:after="120" w:line="340" w:lineRule="atLeast"/>
        <w:ind w:left="0"/>
        <w:jc w:val="both"/>
        <w:rPr>
          <w:rFonts w:ascii="SimSun" w:hAnsi="SimSun"/>
          <w:sz w:val="21"/>
        </w:rPr>
      </w:pPr>
      <w:r w:rsidRPr="004E7EAD">
        <w:rPr>
          <w:rFonts w:ascii="SimSun" w:hAnsi="SimSun" w:hint="eastAsia"/>
          <w:sz w:val="21"/>
        </w:rPr>
        <w:t>还有一个问题就是，虽然收入估算比较保守，但月度应收</w:t>
      </w:r>
      <w:r w:rsidR="00965DDD" w:rsidRPr="004E7EAD">
        <w:rPr>
          <w:rFonts w:ascii="SimSun" w:hAnsi="SimSun" w:hint="eastAsia"/>
          <w:sz w:val="21"/>
        </w:rPr>
        <w:t>账款</w:t>
      </w:r>
      <w:r w:rsidRPr="004E7EAD">
        <w:rPr>
          <w:rFonts w:ascii="SimSun" w:hAnsi="SimSun" w:hint="eastAsia"/>
          <w:sz w:val="21"/>
        </w:rPr>
        <w:t>每年差异很大，难以对月度到款进行预测，因此也就难以规定适当的月度远期合同水平。分析显示</w:t>
      </w:r>
      <w:r w:rsidR="00965DDD" w:rsidRPr="004E7EAD">
        <w:rPr>
          <w:rFonts w:ascii="SimSun" w:hAnsi="SimSun" w:hint="eastAsia"/>
          <w:sz w:val="21"/>
        </w:rPr>
        <w:t>，</w:t>
      </w:r>
      <w:r w:rsidRPr="004E7EAD">
        <w:rPr>
          <w:rFonts w:ascii="SimSun" w:hAnsi="SimSun" w:hint="eastAsia"/>
          <w:sz w:val="21"/>
        </w:rPr>
        <w:t>不可能对现金支付模式进行识别。由于存在这个问题，远期合同必须规定与现金</w:t>
      </w:r>
      <w:proofErr w:type="gramStart"/>
      <w:r w:rsidRPr="004E7EAD">
        <w:rPr>
          <w:rFonts w:ascii="SimSun" w:hAnsi="SimSun" w:hint="eastAsia"/>
          <w:sz w:val="21"/>
        </w:rPr>
        <w:t>流没有</w:t>
      </w:r>
      <w:proofErr w:type="gramEnd"/>
      <w:r w:rsidRPr="004E7EAD">
        <w:rPr>
          <w:rFonts w:ascii="SimSun" w:hAnsi="SimSun" w:hint="eastAsia"/>
          <w:sz w:val="21"/>
        </w:rPr>
        <w:t>直接关系的每月固定数额。为了</w:t>
      </w:r>
      <w:r w:rsidR="00965DDD" w:rsidRPr="004E7EAD">
        <w:rPr>
          <w:rFonts w:ascii="SimSun" w:hAnsi="SimSun" w:hint="eastAsia"/>
          <w:sz w:val="21"/>
        </w:rPr>
        <w:t>进一步提供</w:t>
      </w:r>
      <w:r w:rsidRPr="004E7EAD">
        <w:rPr>
          <w:rFonts w:ascii="SimSun" w:hAnsi="SimSun" w:hint="eastAsia"/>
          <w:sz w:val="21"/>
        </w:rPr>
        <w:t>保证，看起来有必要在</w:t>
      </w:r>
      <w:proofErr w:type="gramStart"/>
      <w:r w:rsidRPr="004E7EAD">
        <w:rPr>
          <w:rFonts w:ascii="SimSun" w:hAnsi="SimSun" w:hint="eastAsia"/>
          <w:sz w:val="21"/>
        </w:rPr>
        <w:t>对冲期伊始</w:t>
      </w:r>
      <w:proofErr w:type="gramEnd"/>
      <w:r w:rsidRPr="004E7EAD">
        <w:rPr>
          <w:rFonts w:ascii="SimSun" w:hAnsi="SimSun" w:hint="eastAsia"/>
          <w:sz w:val="21"/>
        </w:rPr>
        <w:t>将远期合同数额规定在一个较小的水平，以便本组织在年度初期积累三种货币的款额，</w:t>
      </w:r>
      <w:r w:rsidR="00965DDD" w:rsidRPr="004E7EAD">
        <w:rPr>
          <w:rFonts w:ascii="SimSun" w:hAnsi="SimSun" w:hint="eastAsia"/>
          <w:sz w:val="21"/>
        </w:rPr>
        <w:t>再加上上述的一个月预测数，以应对每月从受理局转拨</w:t>
      </w:r>
      <w:r w:rsidR="00641F41" w:rsidRPr="004E7EAD">
        <w:rPr>
          <w:rFonts w:ascii="SimSun" w:hAnsi="SimSun" w:hint="eastAsia"/>
          <w:sz w:val="21"/>
        </w:rPr>
        <w:t>的资金到账延迟的问题。</w:t>
      </w:r>
    </w:p>
    <w:p w:rsidR="00D53E8E" w:rsidRPr="006479AF" w:rsidRDefault="00341D9C" w:rsidP="006479AF">
      <w:pPr>
        <w:pStyle w:val="2"/>
        <w:spacing w:before="0" w:afterLines="50" w:after="120" w:line="340" w:lineRule="atLeast"/>
        <w:rPr>
          <w:rFonts w:ascii="SimSun" w:hAnsi="SimSun"/>
          <w:b/>
          <w:sz w:val="21"/>
        </w:rPr>
      </w:pPr>
      <w:r w:rsidRPr="006479AF">
        <w:rPr>
          <w:rFonts w:ascii="SimSun" w:hAnsi="SimSun" w:hint="eastAsia"/>
          <w:b/>
          <w:sz w:val="21"/>
        </w:rPr>
        <w:t>对冲期</w:t>
      </w:r>
    </w:p>
    <w:p w:rsidR="004E7EAD" w:rsidRDefault="00460CDD" w:rsidP="004E7EAD">
      <w:pPr>
        <w:pStyle w:val="a0"/>
        <w:tabs>
          <w:tab w:val="clear" w:pos="709"/>
        </w:tabs>
        <w:overflowPunct w:val="0"/>
        <w:spacing w:afterLines="50" w:after="120" w:line="340" w:lineRule="atLeast"/>
        <w:ind w:left="0"/>
        <w:jc w:val="both"/>
        <w:rPr>
          <w:rFonts w:ascii="SimSun" w:hAnsi="SimSun"/>
          <w:sz w:val="21"/>
        </w:rPr>
      </w:pPr>
      <w:r w:rsidRPr="004E7EAD">
        <w:rPr>
          <w:rFonts w:ascii="SimSun" w:hAnsi="SimSun" w:hint="eastAsia"/>
          <w:sz w:val="21"/>
        </w:rPr>
        <w:t>PCT工作组所议定的提案要求对</w:t>
      </w:r>
      <w:proofErr w:type="gramStart"/>
      <w:r w:rsidRPr="004E7EAD">
        <w:rPr>
          <w:rFonts w:ascii="SimSun" w:hAnsi="SimSun" w:hint="eastAsia"/>
          <w:sz w:val="21"/>
        </w:rPr>
        <w:t>冲战略</w:t>
      </w:r>
      <w:proofErr w:type="gramEnd"/>
      <w:r w:rsidRPr="004E7EAD">
        <w:rPr>
          <w:rFonts w:ascii="SimSun" w:hAnsi="SimSun" w:hint="eastAsia"/>
          <w:sz w:val="21"/>
        </w:rPr>
        <w:t>从2016年1月开始实行，并假设远期合同涵盖的时期为自每年1月起的12个月。但需要对此进行进一步审查，这是由于</w:t>
      </w:r>
      <w:r w:rsidR="00965DDD" w:rsidRPr="004E7EAD">
        <w:rPr>
          <w:rFonts w:ascii="SimSun" w:hAnsi="SimSun" w:hint="eastAsia"/>
          <w:sz w:val="21"/>
        </w:rPr>
        <w:t>经过</w:t>
      </w:r>
      <w:r w:rsidRPr="004E7EAD">
        <w:rPr>
          <w:rFonts w:ascii="SimSun" w:hAnsi="SimSun" w:hint="eastAsia"/>
          <w:sz w:val="21"/>
        </w:rPr>
        <w:t>外聘审计员</w:t>
      </w:r>
      <w:r w:rsidR="0052513B" w:rsidRPr="004E7EAD">
        <w:rPr>
          <w:rFonts w:ascii="SimSun" w:hAnsi="SimSun" w:hint="eastAsia"/>
          <w:sz w:val="21"/>
        </w:rPr>
        <w:t>同意的PCT收入在财务报表中的确认方法。</w:t>
      </w:r>
    </w:p>
    <w:p w:rsidR="004E7EAD" w:rsidRDefault="0052513B" w:rsidP="004E7EAD">
      <w:pPr>
        <w:pStyle w:val="a0"/>
        <w:tabs>
          <w:tab w:val="clear" w:pos="709"/>
        </w:tabs>
        <w:overflowPunct w:val="0"/>
        <w:spacing w:afterLines="50" w:after="120" w:line="340" w:lineRule="atLeast"/>
        <w:ind w:left="0"/>
        <w:jc w:val="both"/>
        <w:rPr>
          <w:rFonts w:ascii="SimSun" w:hAnsi="SimSun"/>
          <w:sz w:val="21"/>
        </w:rPr>
      </w:pPr>
      <w:r w:rsidRPr="004E7EAD">
        <w:rPr>
          <w:rFonts w:ascii="SimSun" w:hAnsi="SimSun" w:hint="eastAsia"/>
          <w:sz w:val="21"/>
        </w:rPr>
        <w:t>在符合IPSAS规定的财务报表中，当申请人向受理局提交PCT申请时，会在WIPO的</w:t>
      </w:r>
      <w:r w:rsidR="00965DDD" w:rsidRPr="004E7EAD">
        <w:rPr>
          <w:rFonts w:ascii="SimSun" w:hAnsi="SimSun" w:hint="eastAsia"/>
          <w:sz w:val="21"/>
        </w:rPr>
        <w:t>账目</w:t>
      </w:r>
      <w:r w:rsidRPr="004E7EAD">
        <w:rPr>
          <w:rFonts w:ascii="SimSun" w:hAnsi="SimSun" w:hint="eastAsia"/>
          <w:sz w:val="21"/>
        </w:rPr>
        <w:t>中确认一项应收账款，币种就是在申请日向受理局缴纳PCT费用时使用的货币。</w:t>
      </w:r>
      <w:proofErr w:type="gramStart"/>
      <w:r w:rsidRPr="004E7EAD">
        <w:rPr>
          <w:rFonts w:ascii="SimSun" w:hAnsi="SimSun" w:hint="eastAsia"/>
          <w:sz w:val="21"/>
        </w:rPr>
        <w:t>当费用</w:t>
      </w:r>
      <w:proofErr w:type="gramEnd"/>
      <w:r w:rsidRPr="004E7EAD">
        <w:rPr>
          <w:rFonts w:ascii="SimSun" w:hAnsi="SimSun" w:hint="eastAsia"/>
          <w:sz w:val="21"/>
        </w:rPr>
        <w:t>从受理局转给国际局时，应收账款被撤销。应收账款在申请日用联合国</w:t>
      </w:r>
      <w:proofErr w:type="gramStart"/>
      <w:r w:rsidRPr="004E7EAD">
        <w:rPr>
          <w:rFonts w:ascii="SimSun" w:hAnsi="SimSun" w:hint="eastAsia"/>
          <w:sz w:val="21"/>
        </w:rPr>
        <w:t>业务汇率</w:t>
      </w:r>
      <w:proofErr w:type="gramEnd"/>
      <w:r w:rsidRPr="004E7EAD">
        <w:rPr>
          <w:rFonts w:ascii="SimSun" w:hAnsi="SimSun" w:hint="eastAsia"/>
          <w:sz w:val="21"/>
        </w:rPr>
        <w:t>(UNORE)计算出的瑞</w:t>
      </w:r>
      <w:proofErr w:type="gramStart"/>
      <w:r w:rsidRPr="004E7EAD">
        <w:rPr>
          <w:rFonts w:ascii="SimSun" w:hAnsi="SimSun" w:hint="eastAsia"/>
          <w:sz w:val="21"/>
        </w:rPr>
        <w:t>郎价值</w:t>
      </w:r>
      <w:proofErr w:type="gramEnd"/>
      <w:r w:rsidRPr="004E7EAD">
        <w:rPr>
          <w:rFonts w:ascii="SimSun" w:hAnsi="SimSun" w:hint="eastAsia"/>
          <w:sz w:val="21"/>
        </w:rPr>
        <w:t>和在国际局收到资金之日的价值</w:t>
      </w:r>
      <w:r w:rsidR="00ED4C37" w:rsidRPr="004E7EAD">
        <w:rPr>
          <w:rFonts w:ascii="SimSun" w:hAnsi="SimSun" w:hint="eastAsia"/>
          <w:sz w:val="21"/>
        </w:rPr>
        <w:t>之间的差额</w:t>
      </w:r>
      <w:r w:rsidRPr="004E7EAD">
        <w:rPr>
          <w:rFonts w:ascii="SimSun" w:hAnsi="SimSun" w:hint="eastAsia"/>
          <w:sz w:val="21"/>
        </w:rPr>
        <w:t>被作为</w:t>
      </w:r>
      <w:r w:rsidR="001A5538" w:rsidRPr="004E7EAD">
        <w:rPr>
          <w:rFonts w:ascii="SimSun" w:hAnsi="SimSun" w:hint="eastAsia"/>
          <w:sz w:val="21"/>
        </w:rPr>
        <w:t>汇兑损益</w:t>
      </w:r>
      <w:r w:rsidRPr="004E7EAD">
        <w:rPr>
          <w:rFonts w:ascii="SimSun" w:hAnsi="SimSun" w:hint="eastAsia"/>
          <w:sz w:val="21"/>
        </w:rPr>
        <w:t>。</w:t>
      </w:r>
      <w:r w:rsidR="00965DDD" w:rsidRPr="004E7EAD">
        <w:rPr>
          <w:rFonts w:ascii="SimSun" w:hAnsi="SimSun" w:hint="eastAsia"/>
          <w:sz w:val="21"/>
        </w:rPr>
        <w:t>由于受到</w:t>
      </w:r>
      <w:r w:rsidRPr="004E7EAD">
        <w:rPr>
          <w:rFonts w:ascii="SimSun" w:hAnsi="SimSun" w:hint="eastAsia"/>
          <w:sz w:val="21"/>
        </w:rPr>
        <w:t>这些交易的影响</w:t>
      </w:r>
      <w:r w:rsidR="00965DDD" w:rsidRPr="004E7EAD">
        <w:rPr>
          <w:rFonts w:ascii="SimSun" w:hAnsi="SimSun" w:hint="eastAsia"/>
          <w:sz w:val="21"/>
        </w:rPr>
        <w:t>，</w:t>
      </w:r>
      <w:r w:rsidR="00ED4C37" w:rsidRPr="004E7EAD">
        <w:rPr>
          <w:rFonts w:ascii="SimSun" w:hAnsi="SimSun" w:hint="eastAsia"/>
          <w:sz w:val="21"/>
        </w:rPr>
        <w:t>在过去若干年间</w:t>
      </w:r>
      <w:r w:rsidR="00965DDD" w:rsidRPr="004E7EAD">
        <w:rPr>
          <w:rFonts w:ascii="SimSun" w:hAnsi="SimSun" w:hint="eastAsia"/>
          <w:sz w:val="21"/>
        </w:rPr>
        <w:t>，</w:t>
      </w:r>
      <w:r w:rsidR="00ED4C37" w:rsidRPr="004E7EAD">
        <w:rPr>
          <w:rFonts w:ascii="SimSun" w:hAnsi="SimSun" w:hint="eastAsia"/>
          <w:sz w:val="21"/>
        </w:rPr>
        <w:t>在</w:t>
      </w:r>
      <w:r w:rsidR="00965DDD" w:rsidRPr="004E7EAD">
        <w:rPr>
          <w:rFonts w:ascii="SimSun" w:hAnsi="SimSun" w:hint="eastAsia"/>
          <w:sz w:val="21"/>
        </w:rPr>
        <w:t>账目中产生了大量如下汇兑</w:t>
      </w:r>
      <w:r w:rsidR="00ED4C37" w:rsidRPr="004E7EAD">
        <w:rPr>
          <w:rFonts w:ascii="SimSun" w:hAnsi="SimSun" w:hint="eastAsia"/>
          <w:sz w:val="21"/>
        </w:rPr>
        <w:t>差额：</w:t>
      </w:r>
    </w:p>
    <w:p w:rsidR="004E7EAD" w:rsidRDefault="002D7D68" w:rsidP="00FC00AF">
      <w:pPr>
        <w:pStyle w:val="Default"/>
        <w:jc w:val="center"/>
        <w:rPr>
          <w:rFonts w:ascii="SimSun" w:eastAsia="SimSun" w:hAnsi="SimSun"/>
          <w:sz w:val="21"/>
          <w:szCs w:val="22"/>
          <w:lang w:eastAsia="zh-CN"/>
        </w:rPr>
      </w:pPr>
      <w:r w:rsidRPr="002D7D68">
        <w:drawing>
          <wp:inline distT="0" distB="0" distL="0" distR="0">
            <wp:extent cx="5086350" cy="17907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86350" cy="1790700"/>
                    </a:xfrm>
                    <a:prstGeom prst="rect">
                      <a:avLst/>
                    </a:prstGeom>
                    <a:noFill/>
                    <a:ln>
                      <a:noFill/>
                    </a:ln>
                  </pic:spPr>
                </pic:pic>
              </a:graphicData>
            </a:graphic>
          </wp:inline>
        </w:drawing>
      </w:r>
      <w:bookmarkStart w:id="5" w:name="_GoBack"/>
      <w:bookmarkEnd w:id="5"/>
    </w:p>
    <w:p w:rsidR="004E7EAD" w:rsidRDefault="00DB7420" w:rsidP="004E7EAD">
      <w:pPr>
        <w:pStyle w:val="a0"/>
        <w:tabs>
          <w:tab w:val="clear" w:pos="709"/>
        </w:tabs>
        <w:overflowPunct w:val="0"/>
        <w:spacing w:afterLines="50" w:after="120" w:line="340" w:lineRule="atLeast"/>
        <w:ind w:left="0"/>
        <w:jc w:val="both"/>
        <w:rPr>
          <w:rFonts w:ascii="SimSun" w:hAnsi="SimSun"/>
          <w:sz w:val="21"/>
        </w:rPr>
      </w:pPr>
      <w:r w:rsidRPr="004E7EAD">
        <w:rPr>
          <w:rFonts w:ascii="SimSun" w:hAnsi="SimSun" w:hint="eastAsia"/>
          <w:sz w:val="21"/>
        </w:rPr>
        <w:lastRenderedPageBreak/>
        <w:t>一般来说，申请日与国际局收到费用的日期之间存在一到三个月的时间间隔。通过与就会计程序提供技术意见的顾问进行讨论，发现如果对</w:t>
      </w:r>
      <w:proofErr w:type="gramStart"/>
      <w:r w:rsidRPr="004E7EAD">
        <w:rPr>
          <w:rFonts w:ascii="SimSun" w:hAnsi="SimSun" w:hint="eastAsia"/>
          <w:sz w:val="21"/>
        </w:rPr>
        <w:t>冲战略</w:t>
      </w:r>
      <w:proofErr w:type="gramEnd"/>
      <w:r w:rsidRPr="004E7EAD">
        <w:rPr>
          <w:rFonts w:ascii="SimSun" w:hAnsi="SimSun" w:hint="eastAsia"/>
          <w:sz w:val="21"/>
        </w:rPr>
        <w:t>在每年的1月至12月之间实行，则在财务报表中无法完全抵消1月或2月提交申请的</w:t>
      </w:r>
      <w:r w:rsidR="00965DDD" w:rsidRPr="004E7EAD">
        <w:rPr>
          <w:rFonts w:ascii="SimSun" w:hAnsi="SimSun" w:hint="eastAsia"/>
          <w:sz w:val="21"/>
        </w:rPr>
        <w:t>汇兑</w:t>
      </w:r>
      <w:r w:rsidRPr="004E7EAD">
        <w:rPr>
          <w:rFonts w:ascii="SimSun" w:hAnsi="SimSun" w:hint="eastAsia"/>
          <w:sz w:val="21"/>
        </w:rPr>
        <w:t>损益。对于这两个月，申请人缴纳的费用是通过上年混合对冲汇率计算得到的，而远期合同使用的是当年汇率。因此，在这个时期的财务报表中仍</w:t>
      </w:r>
      <w:r w:rsidR="00786043" w:rsidRPr="004E7EAD">
        <w:rPr>
          <w:rFonts w:ascii="SimSun" w:hAnsi="SimSun" w:hint="eastAsia"/>
          <w:sz w:val="21"/>
        </w:rPr>
        <w:t>反映</w:t>
      </w:r>
      <w:r w:rsidRPr="004E7EAD">
        <w:rPr>
          <w:rFonts w:ascii="SimSun" w:hAnsi="SimSun" w:hint="eastAsia"/>
          <w:sz w:val="21"/>
        </w:rPr>
        <w:t>所产生的</w:t>
      </w:r>
      <w:r w:rsidR="001A5538" w:rsidRPr="004E7EAD">
        <w:rPr>
          <w:rFonts w:ascii="SimSun" w:hAnsi="SimSun" w:hint="eastAsia"/>
          <w:sz w:val="21"/>
        </w:rPr>
        <w:t>汇兑损益</w:t>
      </w:r>
      <w:r w:rsidRPr="004E7EAD">
        <w:rPr>
          <w:rFonts w:ascii="SimSun" w:hAnsi="SimSun" w:hint="eastAsia"/>
          <w:sz w:val="21"/>
        </w:rPr>
        <w:t>。</w:t>
      </w:r>
    </w:p>
    <w:p w:rsidR="004E7EAD" w:rsidRDefault="0089362C" w:rsidP="004E7EAD">
      <w:pPr>
        <w:pStyle w:val="a0"/>
        <w:tabs>
          <w:tab w:val="clear" w:pos="709"/>
        </w:tabs>
        <w:overflowPunct w:val="0"/>
        <w:spacing w:afterLines="50" w:after="120" w:line="340" w:lineRule="atLeast"/>
        <w:ind w:left="0"/>
        <w:jc w:val="both"/>
        <w:rPr>
          <w:rFonts w:ascii="SimSun" w:hAnsi="SimSun"/>
          <w:sz w:val="21"/>
        </w:rPr>
      </w:pPr>
      <w:r w:rsidRPr="004E7EAD">
        <w:rPr>
          <w:rFonts w:ascii="SimSun" w:hAnsi="SimSun" w:hint="eastAsia"/>
          <w:sz w:val="21"/>
        </w:rPr>
        <w:t>对</w:t>
      </w:r>
      <w:proofErr w:type="gramStart"/>
      <w:r w:rsidRPr="004E7EAD">
        <w:rPr>
          <w:rFonts w:ascii="SimSun" w:hAnsi="SimSun" w:hint="eastAsia"/>
          <w:sz w:val="21"/>
        </w:rPr>
        <w:t>冲对于</w:t>
      </w:r>
      <w:proofErr w:type="gramEnd"/>
      <w:r w:rsidRPr="004E7EAD">
        <w:rPr>
          <w:rFonts w:ascii="SimSun" w:hAnsi="SimSun" w:hint="eastAsia"/>
          <w:sz w:val="21"/>
        </w:rPr>
        <w:t>财务报表的影响由于以下事实而进一步复杂化，即</w:t>
      </w:r>
      <w:r w:rsidR="00786043" w:rsidRPr="004E7EAD">
        <w:rPr>
          <w:rFonts w:ascii="SimSun" w:hAnsi="SimSun" w:hint="eastAsia"/>
          <w:sz w:val="21"/>
        </w:rPr>
        <w:t>收入反映在财务状况报表中和反映在预算中，两者发生在国际申请周期的不同阶段</w:t>
      </w:r>
      <w:r w:rsidR="00A64637" w:rsidRPr="004E7EAD">
        <w:rPr>
          <w:rFonts w:ascii="SimSun" w:hAnsi="SimSun" w:hint="eastAsia"/>
          <w:sz w:val="21"/>
        </w:rPr>
        <w:t>。收入反映在预算中是以现金为依据——当国际局从受理局收到资金。在财务报表中，当一件申请被提交给受理局(或国际局作为受理局)，它被作为预收款项，并作为负债反映在WIPO的账目中，直至国际局关于申请的全部工作都已完成。已规定这是指申请公布在公报上的日期。公布一般在申请日之后6个月进行。在这一日期，收入</w:t>
      </w:r>
      <w:r w:rsidR="00DB75CC" w:rsidRPr="004E7EAD">
        <w:rPr>
          <w:rFonts w:ascii="SimSun" w:hAnsi="SimSun" w:hint="eastAsia"/>
          <w:sz w:val="21"/>
        </w:rPr>
        <w:t>是</w:t>
      </w:r>
      <w:r w:rsidR="00A64637" w:rsidRPr="004E7EAD">
        <w:rPr>
          <w:rFonts w:ascii="SimSun" w:hAnsi="SimSun" w:hint="eastAsia"/>
          <w:sz w:val="21"/>
        </w:rPr>
        <w:t>在申请日所缴纳费用的瑞郎价值</w:t>
      </w:r>
      <w:r w:rsidR="00FC614C" w:rsidRPr="004E7EAD">
        <w:rPr>
          <w:rFonts w:ascii="SimSun" w:hAnsi="SimSun" w:hint="eastAsia"/>
          <w:sz w:val="21"/>
        </w:rPr>
        <w:t>。</w:t>
      </w:r>
    </w:p>
    <w:p w:rsidR="004E7EAD" w:rsidRDefault="00DB75CC" w:rsidP="004E7EAD">
      <w:pPr>
        <w:pStyle w:val="a0"/>
        <w:tabs>
          <w:tab w:val="clear" w:pos="709"/>
        </w:tabs>
        <w:overflowPunct w:val="0"/>
        <w:spacing w:afterLines="50" w:after="120" w:line="340" w:lineRule="atLeast"/>
        <w:ind w:left="0"/>
        <w:jc w:val="both"/>
        <w:rPr>
          <w:rFonts w:ascii="SimSun" w:hAnsi="SimSun"/>
          <w:sz w:val="21"/>
        </w:rPr>
      </w:pPr>
      <w:r w:rsidRPr="004E7EAD">
        <w:rPr>
          <w:rFonts w:ascii="SimSun" w:hAnsi="SimSun" w:hint="eastAsia"/>
          <w:sz w:val="21"/>
        </w:rPr>
        <w:t>例如，</w:t>
      </w:r>
      <w:r w:rsidR="00FC614C" w:rsidRPr="004E7EAD">
        <w:rPr>
          <w:rFonts w:ascii="SimSun" w:hAnsi="SimSun" w:hint="eastAsia"/>
          <w:sz w:val="21"/>
        </w:rPr>
        <w:t>如果实行对冲战略，2016</w:t>
      </w:r>
      <w:r w:rsidR="00965DDD" w:rsidRPr="004E7EAD">
        <w:rPr>
          <w:rFonts w:ascii="SimSun" w:hAnsi="SimSun" w:hint="eastAsia"/>
          <w:sz w:val="21"/>
        </w:rPr>
        <w:t>年缴纳</w:t>
      </w:r>
      <w:r w:rsidR="00FC614C" w:rsidRPr="004E7EAD">
        <w:rPr>
          <w:rFonts w:ascii="SimSun" w:hAnsi="SimSun" w:hint="eastAsia"/>
          <w:sz w:val="21"/>
        </w:rPr>
        <w:t>费用依据的是2015年10月底设定的混合对冲汇率。但在2016年的头六个月，反映在财务报表中的收入是在PCT新等值数额法下2015年后六个月缴纳的费用和远期合同所使用的混合对冲汇率计算得出的2016年后六个月缴纳的费用。在2017年，所反映的收入是使用2016年对冲汇率的头六个月费用和使用2017年对冲汇率的后六个月费用。</w:t>
      </w:r>
    </w:p>
    <w:p w:rsidR="004E7EAD" w:rsidRDefault="00660EAF" w:rsidP="004E7EAD">
      <w:pPr>
        <w:pStyle w:val="a0"/>
        <w:tabs>
          <w:tab w:val="clear" w:pos="709"/>
        </w:tabs>
        <w:overflowPunct w:val="0"/>
        <w:spacing w:afterLines="50" w:after="120" w:line="340" w:lineRule="atLeast"/>
        <w:ind w:left="0"/>
        <w:jc w:val="both"/>
        <w:rPr>
          <w:rFonts w:ascii="SimSun" w:hAnsi="SimSun"/>
          <w:sz w:val="21"/>
        </w:rPr>
      </w:pPr>
      <w:r w:rsidRPr="004E7EAD">
        <w:rPr>
          <w:rFonts w:ascii="SimSun" w:hAnsi="SimSun" w:hint="eastAsia"/>
          <w:sz w:val="21"/>
        </w:rPr>
        <w:t>为了抵消申请日与从受理局到账日之间的第一个汇率差，需要将对冲生效日期调整为</w:t>
      </w:r>
      <w:r w:rsidR="00FE646B" w:rsidRPr="004E7EAD">
        <w:rPr>
          <w:rFonts w:ascii="SimSun" w:hAnsi="SimSun" w:hint="eastAsia"/>
          <w:sz w:val="21"/>
        </w:rPr>
        <w:t>从每年3月开始，下年2月结束。为了</w:t>
      </w:r>
      <w:r w:rsidR="00FC3B55" w:rsidRPr="004E7EAD">
        <w:rPr>
          <w:rFonts w:ascii="SimSun" w:hAnsi="SimSun" w:hint="eastAsia"/>
          <w:sz w:val="21"/>
        </w:rPr>
        <w:t>抵消第二个(收入确认)</w:t>
      </w:r>
      <w:r w:rsidR="00965DDD" w:rsidRPr="004E7EAD">
        <w:rPr>
          <w:rFonts w:ascii="SimSun" w:hAnsi="SimSun" w:hint="eastAsia"/>
          <w:sz w:val="21"/>
        </w:rPr>
        <w:t>汇兑</w:t>
      </w:r>
      <w:r w:rsidR="00FC3B55" w:rsidRPr="004E7EAD">
        <w:rPr>
          <w:rFonts w:ascii="SimSun" w:hAnsi="SimSun" w:hint="eastAsia"/>
          <w:sz w:val="21"/>
        </w:rPr>
        <w:t>差额，适当的做法是将对冲生效日期调整为从7月到下年6月，而非采用日历年度。仍要确定哪个对</w:t>
      </w:r>
      <w:proofErr w:type="gramStart"/>
      <w:r w:rsidR="00FC3B55" w:rsidRPr="004E7EAD">
        <w:rPr>
          <w:rFonts w:ascii="SimSun" w:hAnsi="SimSun" w:hint="eastAsia"/>
          <w:sz w:val="21"/>
        </w:rPr>
        <w:t>冲期能为</w:t>
      </w:r>
      <w:proofErr w:type="gramEnd"/>
      <w:r w:rsidR="00FC3B55" w:rsidRPr="004E7EAD">
        <w:rPr>
          <w:rFonts w:ascii="SimSun" w:hAnsi="SimSun" w:hint="eastAsia"/>
          <w:sz w:val="21"/>
        </w:rPr>
        <w:t>WIPO的收入提供最大保护。要与外聘审计员对这些潜在调整的影响进行进一步研究讨论，以确保所使用的方法与收入确认完全协调一致。</w:t>
      </w:r>
    </w:p>
    <w:p w:rsidR="00D53E8E" w:rsidRPr="004E7EAD" w:rsidRDefault="00491ECF" w:rsidP="004E7EAD">
      <w:pPr>
        <w:pStyle w:val="a0"/>
        <w:tabs>
          <w:tab w:val="clear" w:pos="709"/>
        </w:tabs>
        <w:overflowPunct w:val="0"/>
        <w:spacing w:afterLines="50" w:after="120" w:line="340" w:lineRule="atLeast"/>
        <w:ind w:left="0"/>
        <w:jc w:val="both"/>
        <w:rPr>
          <w:rFonts w:ascii="SimSun" w:hAnsi="SimSun"/>
          <w:sz w:val="21"/>
        </w:rPr>
      </w:pPr>
      <w:r w:rsidRPr="004E7EAD">
        <w:rPr>
          <w:rFonts w:ascii="SimSun" w:hAnsi="SimSun" w:hint="eastAsia"/>
          <w:sz w:val="21"/>
        </w:rPr>
        <w:t>还必须注意的一点是，将</w:t>
      </w:r>
      <w:proofErr w:type="gramStart"/>
      <w:r w:rsidRPr="004E7EAD">
        <w:rPr>
          <w:rFonts w:ascii="SimSun" w:hAnsi="SimSun" w:hint="eastAsia"/>
          <w:sz w:val="21"/>
        </w:rPr>
        <w:t>对冲期从</w:t>
      </w:r>
      <w:proofErr w:type="gramEnd"/>
      <w:r w:rsidRPr="004E7EAD">
        <w:rPr>
          <w:rFonts w:ascii="SimSun" w:hAnsi="SimSun" w:hint="eastAsia"/>
          <w:sz w:val="21"/>
        </w:rPr>
        <w:t>日历年度调整为3月至2月或7月至6月会</w:t>
      </w:r>
      <w:r w:rsidR="00B66CF0" w:rsidRPr="004E7EAD">
        <w:rPr>
          <w:rFonts w:ascii="SimSun" w:hAnsi="SimSun" w:hint="eastAsia"/>
          <w:sz w:val="21"/>
        </w:rPr>
        <w:t>使对冲远期的日期从自远期合同执行之日(上年10月第一个星期一)起15个月变为17个月(3月至2月)或21个月(7月至6月)。该调整会增加远期合同成本以及混合对冲汇率水平，因为签约银行在</w:t>
      </w:r>
      <w:r w:rsidR="00517E9B" w:rsidRPr="004E7EAD">
        <w:rPr>
          <w:rFonts w:ascii="SimSun" w:hAnsi="SimSun" w:hint="eastAsia"/>
          <w:sz w:val="21"/>
        </w:rPr>
        <w:t>投标时</w:t>
      </w:r>
      <w:r w:rsidR="00B66CF0" w:rsidRPr="004E7EAD">
        <w:rPr>
          <w:rFonts w:ascii="SimSun" w:hAnsi="SimSun" w:hint="eastAsia"/>
          <w:sz w:val="21"/>
        </w:rPr>
        <w:t>必须将附加风险考虑在内。</w:t>
      </w:r>
    </w:p>
    <w:p w:rsidR="00D53E8E" w:rsidRPr="006479AF" w:rsidRDefault="00517E9B" w:rsidP="006479AF">
      <w:pPr>
        <w:pStyle w:val="2"/>
        <w:spacing w:before="0" w:afterLines="50" w:after="120" w:line="340" w:lineRule="atLeast"/>
        <w:rPr>
          <w:rFonts w:ascii="SimSun" w:hAnsi="SimSun"/>
          <w:b/>
          <w:sz w:val="21"/>
        </w:rPr>
      </w:pPr>
      <w:r w:rsidRPr="006479AF">
        <w:rPr>
          <w:rFonts w:ascii="SimSun" w:hAnsi="SimSun" w:hint="eastAsia"/>
          <w:b/>
          <w:sz w:val="21"/>
        </w:rPr>
        <w:t>对冲检索费</w:t>
      </w:r>
    </w:p>
    <w:p w:rsidR="004E7EAD" w:rsidRDefault="005A57F6" w:rsidP="004E7EAD">
      <w:pPr>
        <w:pStyle w:val="a0"/>
        <w:tabs>
          <w:tab w:val="clear" w:pos="709"/>
        </w:tabs>
        <w:overflowPunct w:val="0"/>
        <w:spacing w:afterLines="50" w:after="120" w:line="340" w:lineRule="atLeast"/>
        <w:ind w:left="0"/>
        <w:jc w:val="both"/>
        <w:rPr>
          <w:rFonts w:ascii="SimSun" w:hAnsi="SimSun"/>
          <w:sz w:val="21"/>
        </w:rPr>
      </w:pPr>
      <w:r w:rsidRPr="004E7EAD">
        <w:rPr>
          <w:rFonts w:ascii="SimSun" w:hAnsi="SimSun" w:hint="eastAsia"/>
          <w:sz w:val="21"/>
        </w:rPr>
        <w:t>在一个</w:t>
      </w:r>
      <w:r w:rsidR="00E444AD">
        <w:rPr>
          <w:rFonts w:ascii="SimSun" w:hAnsi="SimSun" w:hint="eastAsia"/>
          <w:sz w:val="21"/>
        </w:rPr>
        <w:t>美</w:t>
      </w:r>
      <w:r w:rsidRPr="004E7EAD">
        <w:rPr>
          <w:rFonts w:ascii="SimSun" w:hAnsi="SimSun" w:hint="eastAsia"/>
          <w:sz w:val="21"/>
        </w:rPr>
        <w:t>国专利商标局(USPTO)、欧洲专利局</w:t>
      </w:r>
      <w:r w:rsidRPr="004E7EAD">
        <w:rPr>
          <w:rFonts w:ascii="SimSun" w:hAnsi="SimSun"/>
          <w:sz w:val="21"/>
        </w:rPr>
        <w:t>(EPO)</w:t>
      </w:r>
      <w:r w:rsidRPr="004E7EAD">
        <w:rPr>
          <w:rFonts w:ascii="SimSun" w:hAnsi="SimSun" w:hint="eastAsia"/>
          <w:sz w:val="21"/>
        </w:rPr>
        <w:t>和国际局共同进行的试点计划中，对于提交给USPTO</w:t>
      </w:r>
      <w:r w:rsidR="00E444AD">
        <w:rPr>
          <w:rFonts w:ascii="SimSun" w:hAnsi="SimSun" w:hint="eastAsia"/>
          <w:sz w:val="21"/>
        </w:rPr>
        <w:t>且</w:t>
      </w:r>
      <w:r w:rsidRPr="004E7EAD">
        <w:rPr>
          <w:rFonts w:ascii="SimSun" w:hAnsi="SimSun" w:hint="eastAsia"/>
          <w:sz w:val="21"/>
        </w:rPr>
        <w:t>EPO是相关国际检索单位的PCT申请，WIPO目前接收美元的检索费，而EPO以欧元收取费用。WIPO使用它的欧元存款将欧元的检索费转给EPO。</w:t>
      </w:r>
      <w:r w:rsidR="00980D93" w:rsidRPr="004E7EAD">
        <w:rPr>
          <w:rFonts w:ascii="SimSun" w:hAnsi="SimSun" w:hint="eastAsia"/>
          <w:sz w:val="21"/>
        </w:rPr>
        <w:t>所涉及的</w:t>
      </w:r>
      <w:r w:rsidRPr="004E7EAD">
        <w:rPr>
          <w:rFonts w:ascii="SimSun" w:hAnsi="SimSun" w:hint="eastAsia"/>
          <w:sz w:val="21"/>
        </w:rPr>
        <w:t>欧元</w:t>
      </w:r>
      <w:r w:rsidR="00980D93" w:rsidRPr="004E7EAD">
        <w:rPr>
          <w:rFonts w:ascii="SimSun" w:hAnsi="SimSun" w:hint="eastAsia"/>
          <w:sz w:val="21"/>
        </w:rPr>
        <w:t>数额很大，2014年总计5</w:t>
      </w:r>
      <w:r w:rsidR="00E444AD">
        <w:rPr>
          <w:rFonts w:ascii="SimSun" w:hAnsi="SimSun" w:hint="eastAsia"/>
          <w:sz w:val="21"/>
        </w:rPr>
        <w:t>,</w:t>
      </w:r>
      <w:r w:rsidR="00980D93" w:rsidRPr="004E7EAD">
        <w:rPr>
          <w:rFonts w:ascii="SimSun" w:hAnsi="SimSun" w:hint="eastAsia"/>
          <w:sz w:val="21"/>
        </w:rPr>
        <w:t>180万美元。这一程序目前没有对</w:t>
      </w:r>
      <w:r w:rsidR="001A5538" w:rsidRPr="004E7EAD">
        <w:rPr>
          <w:rFonts w:ascii="SimSun" w:hAnsi="SimSun" w:hint="eastAsia"/>
          <w:sz w:val="21"/>
        </w:rPr>
        <w:t>汇兑损益</w:t>
      </w:r>
      <w:r w:rsidR="00980D93" w:rsidRPr="004E7EAD">
        <w:rPr>
          <w:rFonts w:ascii="SimSun" w:hAnsi="SimSun" w:hint="eastAsia"/>
          <w:sz w:val="21"/>
        </w:rPr>
        <w:t>造成影响，因为交易在一个日历月内就处理完成，没有出现货币汇率波动的情况。</w:t>
      </w:r>
    </w:p>
    <w:p w:rsidR="004E7EAD" w:rsidRDefault="00980D93" w:rsidP="004E7EAD">
      <w:pPr>
        <w:pStyle w:val="a0"/>
        <w:tabs>
          <w:tab w:val="clear" w:pos="709"/>
        </w:tabs>
        <w:overflowPunct w:val="0"/>
        <w:spacing w:afterLines="50" w:after="120" w:line="340" w:lineRule="atLeast"/>
        <w:ind w:left="0"/>
        <w:jc w:val="both"/>
        <w:rPr>
          <w:rFonts w:ascii="SimSun" w:hAnsi="SimSun"/>
          <w:sz w:val="21"/>
        </w:rPr>
      </w:pPr>
      <w:r w:rsidRPr="004E7EAD">
        <w:rPr>
          <w:rFonts w:ascii="SimSun" w:hAnsi="SimSun" w:hint="eastAsia"/>
          <w:sz w:val="21"/>
        </w:rPr>
        <w:t>但是，如上文第12段的讨论，WIPO对其收入进行对冲以应对一种货币的汇率损益，对冲数额最多为WIPO每月现成的货币净额</w:t>
      </w:r>
      <w:r w:rsidR="00795F1A" w:rsidRPr="004E7EAD">
        <w:rPr>
          <w:rFonts w:ascii="SimSun" w:hAnsi="SimSun" w:hint="eastAsia"/>
          <w:sz w:val="21"/>
        </w:rPr>
        <w:t>。如果目前向EPO转拨资金的程序继续进行，WIPO每月的美元数额会增加，欧元会减少，如上文第12段的讨论，这会显著改变这些货币净额的比例。</w:t>
      </w:r>
    </w:p>
    <w:p w:rsidR="00D53E8E" w:rsidRPr="004E7EAD" w:rsidRDefault="00E4473E" w:rsidP="00E444AD">
      <w:pPr>
        <w:pStyle w:val="a0"/>
        <w:tabs>
          <w:tab w:val="clear" w:pos="709"/>
        </w:tabs>
        <w:overflowPunct w:val="0"/>
        <w:spacing w:afterLines="50" w:after="120" w:line="340" w:lineRule="atLeast"/>
        <w:ind w:left="0"/>
        <w:jc w:val="both"/>
        <w:rPr>
          <w:rFonts w:ascii="SimSun" w:hAnsi="SimSun"/>
          <w:sz w:val="21"/>
        </w:rPr>
      </w:pPr>
      <w:r w:rsidRPr="004E7EAD">
        <w:rPr>
          <w:rFonts w:ascii="SimSun" w:hAnsi="SimSun" w:hint="eastAsia"/>
          <w:sz w:val="21"/>
        </w:rPr>
        <w:t>目前，这是一个有待年度审查的试点研究。通过以下替代性战略可以使WIPO继续这种安排：</w:t>
      </w:r>
    </w:p>
    <w:p w:rsidR="00D53E8E" w:rsidRPr="004E7EAD" w:rsidRDefault="00967E38" w:rsidP="006479AF">
      <w:pPr>
        <w:pStyle w:val="ONUME"/>
        <w:numPr>
          <w:ilvl w:val="1"/>
          <w:numId w:val="7"/>
        </w:numPr>
        <w:overflowPunct w:val="0"/>
        <w:spacing w:afterLines="50" w:after="120" w:line="340" w:lineRule="atLeast"/>
        <w:jc w:val="both"/>
        <w:rPr>
          <w:rFonts w:ascii="SimSun" w:hAnsi="SimSun"/>
          <w:sz w:val="21"/>
        </w:rPr>
      </w:pPr>
      <w:r w:rsidRPr="004E7EAD">
        <w:rPr>
          <w:rFonts w:ascii="SimSun" w:hAnsi="SimSun" w:hint="eastAsia"/>
          <w:sz w:val="21"/>
        </w:rPr>
        <w:t>继续使用现有的欧元向EPO转拨欧元的检索费，并保留USPTO转给WIPO的美元。这将改变上文第12段中讨论的比例，应收的美元PCT费用对</w:t>
      </w:r>
      <w:proofErr w:type="gramStart"/>
      <w:r w:rsidRPr="004E7EAD">
        <w:rPr>
          <w:rFonts w:ascii="SimSun" w:hAnsi="SimSun" w:hint="eastAsia"/>
          <w:sz w:val="21"/>
        </w:rPr>
        <w:t>冲比例</w:t>
      </w:r>
      <w:proofErr w:type="gramEnd"/>
      <w:r w:rsidRPr="004E7EAD">
        <w:rPr>
          <w:rFonts w:ascii="SimSun" w:hAnsi="SimSun" w:hint="eastAsia"/>
          <w:sz w:val="21"/>
        </w:rPr>
        <w:t>将达到90%，而不是55%。但是，没有可用的欧元来对冲欧元PCT费用，因为WIPO没有欧元来通过远期合同兑换成瑞郎。</w:t>
      </w:r>
    </w:p>
    <w:p w:rsidR="00D53E8E" w:rsidRPr="004E7EAD" w:rsidRDefault="00967E38" w:rsidP="006479AF">
      <w:pPr>
        <w:pStyle w:val="ONUME"/>
        <w:numPr>
          <w:ilvl w:val="1"/>
          <w:numId w:val="2"/>
        </w:numPr>
        <w:overflowPunct w:val="0"/>
        <w:spacing w:afterLines="50" w:after="120" w:line="340" w:lineRule="atLeast"/>
        <w:jc w:val="both"/>
        <w:rPr>
          <w:rFonts w:ascii="SimSun" w:hAnsi="SimSun"/>
          <w:sz w:val="21"/>
        </w:rPr>
      </w:pPr>
      <w:r w:rsidRPr="004E7EAD">
        <w:rPr>
          <w:rFonts w:ascii="SimSun" w:hAnsi="SimSun" w:hint="eastAsia"/>
          <w:sz w:val="21"/>
        </w:rPr>
        <w:lastRenderedPageBreak/>
        <w:t>卖出收到的美元来买入欧元。但是，这会造成</w:t>
      </w:r>
      <w:r w:rsidR="00CD7C9A" w:rsidRPr="004E7EAD">
        <w:rPr>
          <w:rFonts w:ascii="SimSun" w:hAnsi="SimSun" w:hint="eastAsia"/>
          <w:sz w:val="21"/>
        </w:rPr>
        <w:t>汇兑</w:t>
      </w:r>
      <w:r w:rsidRPr="004E7EAD">
        <w:rPr>
          <w:rFonts w:ascii="SimSun" w:hAnsi="SimSun" w:hint="eastAsia"/>
          <w:sz w:val="21"/>
        </w:rPr>
        <w:t>差额，即便美元被立即卖出，因为卖出价是由银行设定的，</w:t>
      </w:r>
      <w:proofErr w:type="gramStart"/>
      <w:r w:rsidRPr="004E7EAD">
        <w:rPr>
          <w:rFonts w:ascii="SimSun" w:hAnsi="SimSun" w:hint="eastAsia"/>
          <w:sz w:val="21"/>
        </w:rPr>
        <w:t>银行汇率</w:t>
      </w:r>
      <w:proofErr w:type="gramEnd"/>
      <w:r w:rsidRPr="004E7EAD">
        <w:rPr>
          <w:rFonts w:ascii="SimSun" w:hAnsi="SimSun" w:hint="eastAsia"/>
          <w:sz w:val="21"/>
        </w:rPr>
        <w:t>和UNORE汇率之间在卖出日的任何差额都会被作为</w:t>
      </w:r>
      <w:r w:rsidR="001A5538" w:rsidRPr="004E7EAD">
        <w:rPr>
          <w:rFonts w:ascii="SimSun" w:hAnsi="SimSun" w:hint="eastAsia"/>
          <w:sz w:val="21"/>
        </w:rPr>
        <w:t>汇兑损益</w:t>
      </w:r>
      <w:r w:rsidRPr="004E7EAD">
        <w:rPr>
          <w:rFonts w:ascii="SimSun" w:hAnsi="SimSun" w:hint="eastAsia"/>
          <w:sz w:val="21"/>
        </w:rPr>
        <w:t>。</w:t>
      </w:r>
    </w:p>
    <w:p w:rsidR="00D53E8E" w:rsidRPr="004E7EAD" w:rsidRDefault="00967E38" w:rsidP="006479AF">
      <w:pPr>
        <w:pStyle w:val="ONUME"/>
        <w:numPr>
          <w:ilvl w:val="1"/>
          <w:numId w:val="2"/>
        </w:numPr>
        <w:overflowPunct w:val="0"/>
        <w:spacing w:afterLines="50" w:after="120" w:line="340" w:lineRule="atLeast"/>
        <w:jc w:val="both"/>
        <w:rPr>
          <w:rFonts w:ascii="SimSun" w:hAnsi="SimSun"/>
          <w:sz w:val="21"/>
        </w:rPr>
      </w:pPr>
      <w:r w:rsidRPr="004E7EAD">
        <w:rPr>
          <w:rFonts w:ascii="SimSun" w:hAnsi="SimSun" w:hint="eastAsia"/>
          <w:sz w:val="21"/>
        </w:rPr>
        <w:t>购买一份远期合同，</w:t>
      </w:r>
      <w:r w:rsidR="00A060BA" w:rsidRPr="004E7EAD">
        <w:rPr>
          <w:rFonts w:ascii="SimSun" w:hAnsi="SimSun" w:hint="eastAsia"/>
          <w:sz w:val="21"/>
        </w:rPr>
        <w:t>独立于PCT收入对冲之外</w:t>
      </w:r>
      <w:r w:rsidRPr="004E7EAD">
        <w:rPr>
          <w:rFonts w:ascii="SimSun" w:hAnsi="SimSun" w:hint="eastAsia"/>
          <w:sz w:val="21"/>
        </w:rPr>
        <w:t>对该交易进行对冲。这看起来是最为实际的解决方案。但是，这会</w:t>
      </w:r>
      <w:r w:rsidR="00A060BA" w:rsidRPr="004E7EAD">
        <w:rPr>
          <w:rFonts w:ascii="SimSun" w:hAnsi="SimSun" w:hint="eastAsia"/>
          <w:sz w:val="21"/>
        </w:rPr>
        <w:t>引起与上文第18至21段所讨论情况相似的现金流问题。</w:t>
      </w:r>
    </w:p>
    <w:p w:rsidR="00D53E8E" w:rsidRPr="004E7EAD" w:rsidRDefault="00A060BA" w:rsidP="004E7EAD">
      <w:pPr>
        <w:pStyle w:val="a0"/>
        <w:tabs>
          <w:tab w:val="clear" w:pos="709"/>
        </w:tabs>
        <w:overflowPunct w:val="0"/>
        <w:spacing w:afterLines="50" w:after="120" w:line="340" w:lineRule="atLeast"/>
        <w:ind w:left="0"/>
        <w:jc w:val="both"/>
        <w:rPr>
          <w:rFonts w:ascii="SimSun" w:hAnsi="SimSun"/>
          <w:sz w:val="21"/>
        </w:rPr>
      </w:pPr>
      <w:r w:rsidRPr="004E7EAD">
        <w:rPr>
          <w:rFonts w:ascii="SimSun" w:hAnsi="SimSun" w:hint="eastAsia"/>
          <w:sz w:val="21"/>
        </w:rPr>
        <w:t>在就是否扩展现有安排达成协商一致之前，要进一步开展研究。这项研究将作为检索费对冲“概念验证”模拟</w:t>
      </w:r>
      <w:r w:rsidR="00CD7C9A" w:rsidRPr="004E7EAD">
        <w:rPr>
          <w:rFonts w:ascii="SimSun" w:hAnsi="SimSun" w:hint="eastAsia"/>
          <w:sz w:val="21"/>
        </w:rPr>
        <w:t>工作</w:t>
      </w:r>
      <w:r w:rsidRPr="004E7EAD">
        <w:rPr>
          <w:rFonts w:ascii="SimSun" w:hAnsi="SimSun" w:hint="eastAsia"/>
          <w:sz w:val="21"/>
        </w:rPr>
        <w:t>的一部分进行，“概念验证”是应PCT工作组的要求开展的(见上文</w:t>
      </w:r>
      <w:r w:rsidR="00E444AD">
        <w:rPr>
          <w:rFonts w:ascii="SimSun" w:hAnsi="SimSun" w:hint="eastAsia"/>
          <w:sz w:val="21"/>
        </w:rPr>
        <w:t>第</w:t>
      </w:r>
      <w:r w:rsidRPr="004E7EAD">
        <w:rPr>
          <w:rFonts w:ascii="SimSun" w:hAnsi="SimSun" w:hint="eastAsia"/>
          <w:sz w:val="21"/>
        </w:rPr>
        <w:t>4</w:t>
      </w:r>
      <w:r w:rsidR="00E444AD">
        <w:rPr>
          <w:rFonts w:ascii="SimSun" w:hAnsi="SimSun" w:hint="eastAsia"/>
          <w:sz w:val="21"/>
        </w:rPr>
        <w:t>(</w:t>
      </w:r>
      <w:r w:rsidRPr="004E7EAD">
        <w:rPr>
          <w:rFonts w:ascii="SimSun" w:hAnsi="SimSun" w:hint="eastAsia"/>
          <w:sz w:val="21"/>
        </w:rPr>
        <w:t>c</w:t>
      </w:r>
      <w:r w:rsidR="00E444AD">
        <w:rPr>
          <w:rFonts w:ascii="SimSun" w:hAnsi="SimSun" w:hint="eastAsia"/>
          <w:sz w:val="21"/>
        </w:rPr>
        <w:t>)</w:t>
      </w:r>
      <w:r w:rsidRPr="004E7EAD">
        <w:rPr>
          <w:rFonts w:ascii="SimSun" w:hAnsi="SimSun" w:hint="eastAsia"/>
          <w:sz w:val="21"/>
        </w:rPr>
        <w:t>段)。此外，</w:t>
      </w:r>
      <w:r w:rsidR="009344FD" w:rsidRPr="004E7EAD">
        <w:rPr>
          <w:rFonts w:ascii="SimSun" w:hAnsi="SimSun" w:hint="eastAsia"/>
          <w:sz w:val="21"/>
        </w:rPr>
        <w:t>在采用所确定的最为适当的会计方法前，必须经过与外聘审计员的讨论，以确保该方法不会</w:t>
      </w:r>
      <w:r w:rsidR="00A97B40" w:rsidRPr="004E7EAD">
        <w:rPr>
          <w:rFonts w:ascii="SimSun" w:hAnsi="SimSun" w:hint="eastAsia"/>
          <w:sz w:val="21"/>
        </w:rPr>
        <w:t>造成对于</w:t>
      </w:r>
      <w:r w:rsidR="009344FD" w:rsidRPr="004E7EAD">
        <w:rPr>
          <w:rFonts w:ascii="SimSun" w:hAnsi="SimSun" w:hint="eastAsia"/>
          <w:sz w:val="21"/>
        </w:rPr>
        <w:t>WIPO财务报表的</w:t>
      </w:r>
      <w:r w:rsidR="00A97B40" w:rsidRPr="004E7EAD">
        <w:rPr>
          <w:rFonts w:ascii="SimSun" w:hAnsi="SimSun" w:hint="eastAsia"/>
          <w:sz w:val="21"/>
        </w:rPr>
        <w:t>限制。</w:t>
      </w:r>
    </w:p>
    <w:p w:rsidR="00D53E8E" w:rsidRPr="006479AF" w:rsidRDefault="00FA7E91" w:rsidP="006479AF">
      <w:pPr>
        <w:pStyle w:val="2"/>
        <w:spacing w:before="0" w:afterLines="50" w:after="120" w:line="340" w:lineRule="atLeast"/>
        <w:rPr>
          <w:rFonts w:ascii="SimSun" w:hAnsi="SimSun"/>
          <w:b/>
          <w:sz w:val="21"/>
        </w:rPr>
      </w:pPr>
      <w:r w:rsidRPr="006479AF">
        <w:rPr>
          <w:rFonts w:ascii="SimSun" w:hAnsi="SimSun" w:hint="eastAsia"/>
          <w:b/>
          <w:sz w:val="21"/>
        </w:rPr>
        <w:t>对于对冲的会计处理方式</w:t>
      </w:r>
    </w:p>
    <w:p w:rsidR="00D53E8E" w:rsidRPr="004E7EAD" w:rsidRDefault="009344FD" w:rsidP="004E7EAD">
      <w:pPr>
        <w:pStyle w:val="a0"/>
        <w:tabs>
          <w:tab w:val="clear" w:pos="709"/>
        </w:tabs>
        <w:overflowPunct w:val="0"/>
        <w:spacing w:afterLines="50" w:after="120" w:line="340" w:lineRule="atLeast"/>
        <w:ind w:left="0"/>
        <w:jc w:val="both"/>
        <w:rPr>
          <w:rFonts w:ascii="SimSun" w:hAnsi="SimSun"/>
          <w:sz w:val="21"/>
        </w:rPr>
      </w:pPr>
      <w:r w:rsidRPr="004E7EAD">
        <w:rPr>
          <w:rFonts w:ascii="SimSun" w:hAnsi="SimSun" w:hint="eastAsia"/>
          <w:sz w:val="21"/>
        </w:rPr>
        <w:t>如上所述，</w:t>
      </w:r>
      <w:r w:rsidR="00CD0B21" w:rsidRPr="004E7EAD">
        <w:rPr>
          <w:rFonts w:ascii="SimSun" w:hAnsi="SimSun" w:hint="eastAsia"/>
          <w:sz w:val="21"/>
        </w:rPr>
        <w:t>聘请了一名顾问提供关于会计交易的信息，要求在对</w:t>
      </w:r>
      <w:proofErr w:type="gramStart"/>
      <w:r w:rsidR="00CD0B21" w:rsidRPr="004E7EAD">
        <w:rPr>
          <w:rFonts w:ascii="SimSun" w:hAnsi="SimSun" w:hint="eastAsia"/>
          <w:sz w:val="21"/>
        </w:rPr>
        <w:t>冲战略</w:t>
      </w:r>
      <w:proofErr w:type="gramEnd"/>
      <w:r w:rsidR="00CD0B21" w:rsidRPr="004E7EAD">
        <w:rPr>
          <w:rFonts w:ascii="SimSun" w:hAnsi="SimSun" w:hint="eastAsia"/>
          <w:sz w:val="21"/>
        </w:rPr>
        <w:t>实行后，会计处理方式仍然完全符合IPSAS的规定。IPSAS-29</w:t>
      </w:r>
      <w:r w:rsidR="00E444AD">
        <w:rPr>
          <w:rFonts w:ascii="SimSun" w:hAnsi="SimSun" w:hint="eastAsia"/>
          <w:sz w:val="21"/>
        </w:rPr>
        <w:t>“</w:t>
      </w:r>
      <w:r w:rsidR="00E444AD" w:rsidRPr="00E444AD">
        <w:rPr>
          <w:rFonts w:ascii="SimSun" w:hAnsi="SimSun"/>
          <w:sz w:val="21"/>
        </w:rPr>
        <w:t>金融工具：确认与计量</w:t>
      </w:r>
      <w:r w:rsidR="00E444AD">
        <w:rPr>
          <w:rFonts w:ascii="SimSun" w:hAnsi="SimSun" w:hint="eastAsia"/>
          <w:sz w:val="21"/>
        </w:rPr>
        <w:t>”</w:t>
      </w:r>
      <w:r w:rsidR="00CD0B21" w:rsidRPr="004E7EAD">
        <w:rPr>
          <w:rFonts w:ascii="SimSun" w:hAnsi="SimSun" w:hint="eastAsia"/>
          <w:sz w:val="21"/>
        </w:rPr>
        <w:t>提供了</w:t>
      </w:r>
      <w:r w:rsidR="00A34265" w:rsidRPr="004E7EAD">
        <w:rPr>
          <w:rFonts w:ascii="SimSun" w:hAnsi="SimSun" w:hint="eastAsia"/>
          <w:sz w:val="21"/>
        </w:rPr>
        <w:t>可选会计方法，当</w:t>
      </w:r>
      <w:r w:rsidR="00544395" w:rsidRPr="004E7EAD">
        <w:rPr>
          <w:rFonts w:ascii="SimSun" w:hAnsi="SimSun" w:hint="eastAsia"/>
          <w:sz w:val="21"/>
        </w:rPr>
        <w:t>通过一系列月度远期合同对</w:t>
      </w:r>
      <w:r w:rsidR="00A34265" w:rsidRPr="004E7EAD">
        <w:rPr>
          <w:rFonts w:ascii="SimSun" w:hAnsi="SimSun" w:hint="eastAsia"/>
          <w:sz w:val="21"/>
        </w:rPr>
        <w:t>很可能发生的PCT费用收入预期交易进行对冲时</w:t>
      </w:r>
      <w:r w:rsidR="00544395" w:rsidRPr="004E7EAD">
        <w:rPr>
          <w:rFonts w:ascii="SimSun" w:hAnsi="SimSun" w:hint="eastAsia"/>
          <w:sz w:val="21"/>
        </w:rPr>
        <w:t>，</w:t>
      </w:r>
      <w:r w:rsidR="00A34265" w:rsidRPr="004E7EAD">
        <w:rPr>
          <w:rFonts w:ascii="SimSun" w:hAnsi="SimSun" w:hint="eastAsia"/>
          <w:sz w:val="21"/>
        </w:rPr>
        <w:t>可以使用这些方法。</w:t>
      </w:r>
      <w:r w:rsidR="00544395" w:rsidRPr="004E7EAD">
        <w:rPr>
          <w:rFonts w:ascii="SimSun" w:hAnsi="SimSun" w:hint="eastAsia"/>
          <w:sz w:val="21"/>
        </w:rPr>
        <w:t>每个方法都有优缺点，要对它们进行审查，以确定哪种处理方式最有效地契合PCT工作组的建议。顾问将提供有关可选方案影响的详细信息，并与建议一并提交。</w:t>
      </w:r>
    </w:p>
    <w:p w:rsidR="00D53E8E" w:rsidRPr="006479AF" w:rsidRDefault="00544395" w:rsidP="006479AF">
      <w:pPr>
        <w:pStyle w:val="2"/>
        <w:spacing w:before="0" w:afterLines="50" w:after="120" w:line="340" w:lineRule="atLeast"/>
        <w:rPr>
          <w:rFonts w:ascii="SimSun" w:hAnsi="SimSun"/>
          <w:b/>
          <w:sz w:val="21"/>
        </w:rPr>
      </w:pPr>
      <w:r w:rsidRPr="006479AF">
        <w:rPr>
          <w:rFonts w:ascii="SimSun" w:hAnsi="SimSun" w:hint="eastAsia"/>
          <w:b/>
          <w:sz w:val="21"/>
        </w:rPr>
        <w:t>对财务报表的影响</w:t>
      </w:r>
    </w:p>
    <w:p w:rsidR="004E7EAD" w:rsidRDefault="00544395" w:rsidP="004E7EAD">
      <w:pPr>
        <w:pStyle w:val="a0"/>
        <w:tabs>
          <w:tab w:val="clear" w:pos="709"/>
        </w:tabs>
        <w:overflowPunct w:val="0"/>
        <w:spacing w:afterLines="50" w:after="120" w:line="340" w:lineRule="atLeast"/>
        <w:ind w:left="0"/>
        <w:jc w:val="both"/>
        <w:rPr>
          <w:rFonts w:ascii="SimSun" w:hAnsi="SimSun"/>
          <w:sz w:val="21"/>
        </w:rPr>
      </w:pPr>
      <w:r w:rsidRPr="004E7EAD">
        <w:rPr>
          <w:rFonts w:ascii="SimSun" w:hAnsi="SimSun" w:hint="eastAsia"/>
          <w:sz w:val="21"/>
        </w:rPr>
        <w:t>除了</w:t>
      </w:r>
      <w:r w:rsidR="003A70EA" w:rsidRPr="004E7EAD">
        <w:rPr>
          <w:rFonts w:ascii="SimSun" w:hAnsi="SimSun" w:hint="eastAsia"/>
          <w:sz w:val="21"/>
        </w:rPr>
        <w:t>审查对</w:t>
      </w:r>
      <w:proofErr w:type="gramStart"/>
      <w:r w:rsidR="003A70EA" w:rsidRPr="004E7EAD">
        <w:rPr>
          <w:rFonts w:ascii="SimSun" w:hAnsi="SimSun" w:hint="eastAsia"/>
          <w:sz w:val="21"/>
        </w:rPr>
        <w:t>冲战略</w:t>
      </w:r>
      <w:proofErr w:type="gramEnd"/>
      <w:r w:rsidR="003A70EA" w:rsidRPr="004E7EAD">
        <w:rPr>
          <w:rFonts w:ascii="SimSun" w:hAnsi="SimSun" w:hint="eastAsia"/>
          <w:sz w:val="21"/>
        </w:rPr>
        <w:t>对于预算结果的影响，审查对</w:t>
      </w:r>
      <w:proofErr w:type="gramStart"/>
      <w:r w:rsidR="003A70EA" w:rsidRPr="004E7EAD">
        <w:rPr>
          <w:rFonts w:ascii="SimSun" w:hAnsi="SimSun" w:hint="eastAsia"/>
          <w:sz w:val="21"/>
        </w:rPr>
        <w:t>冲实施</w:t>
      </w:r>
      <w:proofErr w:type="gramEnd"/>
      <w:r w:rsidR="003A70EA" w:rsidRPr="004E7EAD">
        <w:rPr>
          <w:rFonts w:ascii="SimSun" w:hAnsi="SimSun" w:hint="eastAsia"/>
          <w:sz w:val="21"/>
        </w:rPr>
        <w:t>战略对于财务状况和在IPSAS下在财务报表中所报告的净资产/储备金的影响至关重要。一名分析师正在</w:t>
      </w:r>
      <w:r w:rsidR="003754F3" w:rsidRPr="004E7EAD">
        <w:rPr>
          <w:rFonts w:ascii="SimSun" w:hAnsi="SimSun" w:hint="eastAsia"/>
          <w:sz w:val="21"/>
        </w:rPr>
        <w:t>对对</w:t>
      </w:r>
      <w:proofErr w:type="gramStart"/>
      <w:r w:rsidR="003754F3" w:rsidRPr="004E7EAD">
        <w:rPr>
          <w:rFonts w:ascii="SimSun" w:hAnsi="SimSun" w:hint="eastAsia"/>
          <w:sz w:val="21"/>
        </w:rPr>
        <w:t>冲战略</w:t>
      </w:r>
      <w:proofErr w:type="gramEnd"/>
      <w:r w:rsidR="003754F3" w:rsidRPr="004E7EAD">
        <w:rPr>
          <w:rFonts w:ascii="SimSun" w:hAnsi="SimSun" w:hint="eastAsia"/>
          <w:sz w:val="21"/>
        </w:rPr>
        <w:t>可能对WIPO在2013年、2014年和2015年上半年的预算结果和财务报表结果产生的影响进行研究分析。这将有助于确定哪种会计方法能最好地保护WIPO的预算结果和基于IPSAS的净资产/储备金免受汇率波动的影响。</w:t>
      </w:r>
      <w:r w:rsidR="00104E0B" w:rsidRPr="004E7EAD">
        <w:rPr>
          <w:rFonts w:ascii="SimSun" w:hAnsi="SimSun" w:hint="eastAsia"/>
          <w:sz w:val="21"/>
        </w:rPr>
        <w:t>要与外聘审计员详细讨论选定的最优战略，确保就该方法对经过审计财务报表的影响取得了协商一致。</w:t>
      </w:r>
    </w:p>
    <w:p w:rsidR="00D53E8E" w:rsidRPr="004E7EAD" w:rsidRDefault="00104E0B" w:rsidP="004E7EAD">
      <w:pPr>
        <w:pStyle w:val="a0"/>
        <w:tabs>
          <w:tab w:val="clear" w:pos="709"/>
        </w:tabs>
        <w:overflowPunct w:val="0"/>
        <w:spacing w:afterLines="50" w:after="120" w:line="340" w:lineRule="atLeast"/>
        <w:ind w:left="0"/>
        <w:jc w:val="both"/>
        <w:rPr>
          <w:rFonts w:ascii="SimSun" w:hAnsi="SimSun"/>
          <w:sz w:val="21"/>
        </w:rPr>
      </w:pPr>
      <w:r w:rsidRPr="004E7EAD">
        <w:rPr>
          <w:rFonts w:ascii="SimSun" w:hAnsi="SimSun" w:hint="eastAsia"/>
          <w:sz w:val="21"/>
        </w:rPr>
        <w:t>研究历史信息的一个难点是，这三种货币与瑞郎的关系变化差别很大。有关三种货币与瑞</w:t>
      </w:r>
      <w:proofErr w:type="gramStart"/>
      <w:r w:rsidRPr="004E7EAD">
        <w:rPr>
          <w:rFonts w:ascii="SimSun" w:hAnsi="SimSun" w:hint="eastAsia"/>
          <w:sz w:val="21"/>
        </w:rPr>
        <w:t>郎关系</w:t>
      </w:r>
      <w:proofErr w:type="gramEnd"/>
      <w:r w:rsidRPr="004E7EAD">
        <w:rPr>
          <w:rFonts w:ascii="SimSun" w:hAnsi="SimSun" w:hint="eastAsia"/>
          <w:sz w:val="21"/>
        </w:rPr>
        <w:t>的近期变化所产生影响的信息载于附件一。</w:t>
      </w:r>
    </w:p>
    <w:p w:rsidR="00D53E8E" w:rsidRPr="006479AF" w:rsidRDefault="00E077F0" w:rsidP="006479AF">
      <w:pPr>
        <w:pStyle w:val="1"/>
        <w:spacing w:beforeLines="100" w:afterLines="50" w:after="120" w:line="340" w:lineRule="atLeast"/>
        <w:rPr>
          <w:rFonts w:ascii="SimHei" w:eastAsia="SimHei" w:hAnsi="SimHei"/>
          <w:b w:val="0"/>
          <w:sz w:val="21"/>
        </w:rPr>
      </w:pPr>
      <w:r w:rsidRPr="006479AF">
        <w:rPr>
          <w:rFonts w:ascii="SimHei" w:eastAsia="SimHei" w:hAnsi="SimHei" w:hint="eastAsia"/>
          <w:b w:val="0"/>
          <w:sz w:val="21"/>
        </w:rPr>
        <w:t>未来工作</w:t>
      </w:r>
    </w:p>
    <w:p w:rsidR="004E7EAD" w:rsidRDefault="00E077F0" w:rsidP="004E7EAD">
      <w:pPr>
        <w:pStyle w:val="a0"/>
        <w:tabs>
          <w:tab w:val="clear" w:pos="709"/>
        </w:tabs>
        <w:overflowPunct w:val="0"/>
        <w:spacing w:afterLines="50" w:after="120" w:line="340" w:lineRule="atLeast"/>
        <w:ind w:left="0"/>
        <w:jc w:val="both"/>
        <w:rPr>
          <w:rFonts w:ascii="SimSun" w:hAnsi="SimSun"/>
          <w:sz w:val="21"/>
        </w:rPr>
      </w:pPr>
      <w:r w:rsidRPr="004E7EAD">
        <w:rPr>
          <w:rFonts w:ascii="SimSun" w:hAnsi="SimSun" w:hint="eastAsia"/>
          <w:sz w:val="21"/>
        </w:rPr>
        <w:t>如上文的解释，</w:t>
      </w:r>
      <w:r w:rsidR="00CD7C9A" w:rsidRPr="004E7EAD">
        <w:rPr>
          <w:rFonts w:ascii="SimSun" w:hAnsi="SimSun" w:hint="eastAsia"/>
          <w:sz w:val="21"/>
        </w:rPr>
        <w:t>本文件</w:t>
      </w:r>
      <w:r w:rsidRPr="004E7EAD">
        <w:rPr>
          <w:rFonts w:ascii="SimSun" w:hAnsi="SimSun" w:hint="eastAsia"/>
          <w:sz w:val="21"/>
        </w:rPr>
        <w:t>对若干关切和风险进行了识别，秘书处认为，要对这些关切和风险进行进一步研究和充分分析，然后才能决定实行</w:t>
      </w:r>
      <w:r w:rsidR="00CD7C9A" w:rsidRPr="004E7EAD">
        <w:rPr>
          <w:rFonts w:ascii="SimSun" w:hAnsi="SimSun" w:hint="eastAsia"/>
          <w:sz w:val="21"/>
        </w:rPr>
        <w:t>哪种</w:t>
      </w:r>
      <w:r w:rsidR="00EA4595" w:rsidRPr="004E7EAD">
        <w:rPr>
          <w:rFonts w:ascii="SimSun" w:hAnsi="SimSun" w:hint="eastAsia"/>
          <w:sz w:val="21"/>
        </w:rPr>
        <w:t>对冲战略，并与对</w:t>
      </w:r>
      <w:proofErr w:type="gramStart"/>
      <w:r w:rsidR="00EA4595" w:rsidRPr="004E7EAD">
        <w:rPr>
          <w:rFonts w:ascii="SimSun" w:hAnsi="SimSun" w:hint="eastAsia"/>
          <w:sz w:val="21"/>
        </w:rPr>
        <w:t>冲对手</w:t>
      </w:r>
      <w:proofErr w:type="gramEnd"/>
      <w:r w:rsidR="00EA4595" w:rsidRPr="004E7EAD">
        <w:rPr>
          <w:rFonts w:ascii="SimSun" w:hAnsi="SimSun" w:hint="eastAsia"/>
          <w:sz w:val="21"/>
        </w:rPr>
        <w:t>达成合同关系。这项工作显然需要时间和资源，并且考虑到所涉及问题的复杂性，可能需要投入大量时间。如果在未能对所发现问题的风险进行</w:t>
      </w:r>
      <w:r w:rsidR="00CD7C9A" w:rsidRPr="004E7EAD">
        <w:rPr>
          <w:rFonts w:ascii="SimSun" w:hAnsi="SimSun" w:hint="eastAsia"/>
          <w:sz w:val="21"/>
        </w:rPr>
        <w:t>控制</w:t>
      </w:r>
      <w:r w:rsidR="00EA4595" w:rsidRPr="004E7EAD">
        <w:rPr>
          <w:rFonts w:ascii="SimSun" w:hAnsi="SimSun" w:hint="eastAsia"/>
          <w:sz w:val="21"/>
        </w:rPr>
        <w:t>的情况下就实行对冲战略，本组织可能要承担相当大的潜在财务成本。</w:t>
      </w:r>
    </w:p>
    <w:p w:rsidR="004E7EAD" w:rsidRDefault="00EA4595" w:rsidP="004E7EAD">
      <w:pPr>
        <w:pStyle w:val="a0"/>
        <w:tabs>
          <w:tab w:val="clear" w:pos="709"/>
        </w:tabs>
        <w:overflowPunct w:val="0"/>
        <w:spacing w:afterLines="50" w:after="120" w:line="340" w:lineRule="atLeast"/>
        <w:ind w:left="0"/>
        <w:jc w:val="both"/>
        <w:rPr>
          <w:rFonts w:ascii="SimSun" w:hAnsi="SimSun"/>
          <w:sz w:val="21"/>
        </w:rPr>
      </w:pPr>
      <w:r w:rsidRPr="004E7EAD">
        <w:rPr>
          <w:rFonts w:ascii="SimSun" w:hAnsi="SimSun" w:hint="eastAsia"/>
          <w:sz w:val="21"/>
        </w:rPr>
        <w:t>因此，在此就在现阶段如何最好地推进工作寻求委员会的指导，注意到邀请PCT联盟大会在即将召开的</w:t>
      </w:r>
      <w:r w:rsidR="001E042B" w:rsidRPr="004E7EAD">
        <w:rPr>
          <w:rFonts w:ascii="SimSun" w:hAnsi="SimSun" w:hint="eastAsia"/>
          <w:sz w:val="21"/>
        </w:rPr>
        <w:t>2015年10</w:t>
      </w:r>
      <w:r w:rsidR="00CD7C9A" w:rsidRPr="004E7EAD">
        <w:rPr>
          <w:rFonts w:ascii="SimSun" w:hAnsi="SimSun" w:hint="eastAsia"/>
          <w:sz w:val="21"/>
        </w:rPr>
        <w:t>月</w:t>
      </w:r>
      <w:r w:rsidR="001E042B" w:rsidRPr="004E7EAD">
        <w:rPr>
          <w:rFonts w:ascii="SimSun" w:hAnsi="SimSun" w:hint="eastAsia"/>
          <w:sz w:val="21"/>
        </w:rPr>
        <w:t>会议上通过对于PCT法律框架的修改，以便国际局可以开始针对欧元、日元和美元交易所产生的风险对国际申请费进行对冲。</w:t>
      </w:r>
    </w:p>
    <w:p w:rsidR="004E7EAD" w:rsidRDefault="004E7EAD" w:rsidP="004E7EAD">
      <w:pPr>
        <w:spacing w:afterLines="50" w:after="120" w:line="340" w:lineRule="atLeast"/>
        <w:ind w:left="5534"/>
        <w:rPr>
          <w:rFonts w:ascii="KaiTi" w:eastAsia="KaiTi" w:hAnsi="KaiTi"/>
          <w:sz w:val="21"/>
        </w:rPr>
      </w:pPr>
    </w:p>
    <w:p w:rsidR="009F3F59" w:rsidRPr="004E7EAD" w:rsidRDefault="00D53E8E" w:rsidP="004E7EAD">
      <w:pPr>
        <w:spacing w:afterLines="50" w:after="120" w:line="340" w:lineRule="atLeast"/>
        <w:ind w:left="5534"/>
        <w:rPr>
          <w:rFonts w:ascii="KaiTi" w:eastAsia="KaiTi" w:hAnsi="KaiTi"/>
          <w:sz w:val="21"/>
        </w:rPr>
      </w:pPr>
      <w:r w:rsidRPr="004E7EAD">
        <w:rPr>
          <w:rFonts w:ascii="KaiTi" w:eastAsia="KaiTi" w:hAnsi="KaiTi"/>
          <w:sz w:val="21"/>
        </w:rPr>
        <w:t>[</w:t>
      </w:r>
      <w:r w:rsidR="001E042B" w:rsidRPr="004E7EAD">
        <w:rPr>
          <w:rFonts w:ascii="KaiTi" w:eastAsia="KaiTi" w:hAnsi="KaiTi" w:hint="eastAsia"/>
          <w:sz w:val="21"/>
        </w:rPr>
        <w:t>后接附件</w:t>
      </w:r>
      <w:r w:rsidRPr="004E7EAD">
        <w:rPr>
          <w:rFonts w:ascii="KaiTi" w:eastAsia="KaiTi" w:hAnsi="KaiTi"/>
          <w:sz w:val="21"/>
        </w:rPr>
        <w:t>]</w:t>
      </w:r>
    </w:p>
    <w:p w:rsidR="004E7EAD" w:rsidRDefault="004E7EAD" w:rsidP="00D53E8E">
      <w:pPr>
        <w:spacing w:after="120"/>
        <w:ind w:left="5529"/>
        <w:rPr>
          <w:rFonts w:ascii="SimSun" w:hAnsi="SimSun"/>
          <w:sz w:val="21"/>
        </w:rPr>
      </w:pPr>
    </w:p>
    <w:p w:rsidR="004E7EAD" w:rsidRPr="004E7EAD" w:rsidRDefault="004E7EAD" w:rsidP="00D53E8E">
      <w:pPr>
        <w:spacing w:after="120"/>
        <w:ind w:left="5529"/>
        <w:rPr>
          <w:rFonts w:ascii="SimSun" w:hAnsi="SimSun"/>
          <w:sz w:val="21"/>
        </w:rPr>
        <w:sectPr w:rsidR="004E7EAD" w:rsidRPr="004E7EAD" w:rsidSect="00E37350">
          <w:headerReference w:type="default" r:id="rId12"/>
          <w:endnotePr>
            <w:numFmt w:val="decimal"/>
          </w:endnotePr>
          <w:pgSz w:w="11907" w:h="16840" w:code="9"/>
          <w:pgMar w:top="567" w:right="1134" w:bottom="1418" w:left="1418" w:header="510" w:footer="1021" w:gutter="0"/>
          <w:cols w:space="720"/>
          <w:titlePg/>
          <w:docGrid w:linePitch="299"/>
        </w:sectPr>
      </w:pPr>
    </w:p>
    <w:p w:rsidR="004E7EAD" w:rsidRDefault="00C61008" w:rsidP="009304A9">
      <w:pPr>
        <w:keepNext/>
        <w:spacing w:beforeLines="100" w:before="240" w:afterLines="100" w:after="240" w:line="340" w:lineRule="atLeast"/>
        <w:outlineLvl w:val="0"/>
        <w:rPr>
          <w:rFonts w:ascii="SimHei" w:eastAsia="SimHei" w:hAnsi="SimHei"/>
          <w:bCs/>
          <w:caps/>
          <w:kern w:val="32"/>
          <w:sz w:val="21"/>
          <w:szCs w:val="32"/>
        </w:rPr>
      </w:pPr>
      <w:r w:rsidRPr="004E7EAD">
        <w:rPr>
          <w:rFonts w:ascii="SimHei" w:eastAsia="SimHei" w:hAnsi="SimHei" w:hint="eastAsia"/>
          <w:bCs/>
          <w:caps/>
          <w:kern w:val="32"/>
          <w:sz w:val="21"/>
          <w:szCs w:val="32"/>
        </w:rPr>
        <w:lastRenderedPageBreak/>
        <w:t>2013年、2014年和2015年(截至2015年7月31日)欧元、日元和美元与</w:t>
      </w:r>
      <w:r w:rsidR="001727E6" w:rsidRPr="004E7EAD">
        <w:rPr>
          <w:rFonts w:ascii="SimHei" w:eastAsia="SimHei" w:hAnsi="SimHei" w:hint="eastAsia"/>
          <w:bCs/>
          <w:caps/>
          <w:kern w:val="32"/>
          <w:sz w:val="21"/>
          <w:szCs w:val="32"/>
        </w:rPr>
        <w:t>瑞郎</w:t>
      </w:r>
      <w:r w:rsidRPr="004E7EAD">
        <w:rPr>
          <w:rFonts w:ascii="SimHei" w:eastAsia="SimHei" w:hAnsi="SimHei" w:hint="eastAsia"/>
          <w:bCs/>
          <w:caps/>
          <w:kern w:val="32"/>
          <w:sz w:val="21"/>
          <w:szCs w:val="32"/>
        </w:rPr>
        <w:t>的关系</w:t>
      </w:r>
    </w:p>
    <w:p w:rsidR="00D53E8E" w:rsidRPr="004E7EAD" w:rsidRDefault="00C61008" w:rsidP="009304A9">
      <w:pPr>
        <w:numPr>
          <w:ilvl w:val="0"/>
          <w:numId w:val="5"/>
        </w:numPr>
        <w:tabs>
          <w:tab w:val="clear" w:pos="567"/>
        </w:tabs>
        <w:overflowPunct w:val="0"/>
        <w:spacing w:afterLines="50" w:after="120" w:line="340" w:lineRule="atLeast"/>
        <w:jc w:val="both"/>
        <w:rPr>
          <w:rFonts w:ascii="SimSun" w:hAnsi="SimSun"/>
          <w:sz w:val="21"/>
        </w:rPr>
      </w:pPr>
      <w:r w:rsidRPr="004E7EAD">
        <w:rPr>
          <w:rFonts w:ascii="SimSun" w:hAnsi="SimSun" w:hint="eastAsia"/>
          <w:sz w:val="21"/>
        </w:rPr>
        <w:t>以下图表显示了要对冲的三种货币与瑞郎在2013年、2014年和2015年头七个月的关系。短划线显示的是计算PCT费用所使用的汇率，虚线是联合国业务汇率，实线是如果在每年10月购买远期合同，则会作为混合对冲汇率使用的估算汇率。</w:t>
      </w:r>
    </w:p>
    <w:p w:rsidR="00D53E8E" w:rsidRPr="004E7EAD" w:rsidRDefault="00C61008" w:rsidP="004E7EAD">
      <w:pPr>
        <w:numPr>
          <w:ilvl w:val="0"/>
          <w:numId w:val="5"/>
        </w:numPr>
        <w:tabs>
          <w:tab w:val="clear" w:pos="567"/>
        </w:tabs>
        <w:overflowPunct w:val="0"/>
        <w:spacing w:afterLines="50" w:after="120" w:line="340" w:lineRule="atLeast"/>
        <w:jc w:val="both"/>
        <w:rPr>
          <w:rFonts w:ascii="SimSun" w:hAnsi="SimSun"/>
          <w:sz w:val="21"/>
        </w:rPr>
      </w:pPr>
      <w:r w:rsidRPr="004E7EAD">
        <w:rPr>
          <w:rFonts w:ascii="SimSun" w:hAnsi="SimSun" w:hint="eastAsia"/>
          <w:sz w:val="21"/>
        </w:rPr>
        <w:t>从2013年1月至2015年1月，瑞郎与欧元“挂钩”，两者的关系只允许在很小的范围内波动。在此期间，PCT费用水平没有变化，PCT</w:t>
      </w:r>
      <w:proofErr w:type="gramStart"/>
      <w:r w:rsidRPr="004E7EAD">
        <w:rPr>
          <w:rFonts w:ascii="SimSun" w:hAnsi="SimSun" w:hint="eastAsia"/>
          <w:sz w:val="21"/>
        </w:rPr>
        <w:t>费用</w:t>
      </w:r>
      <w:r w:rsidR="00430261" w:rsidRPr="004E7EAD">
        <w:rPr>
          <w:rFonts w:ascii="SimSun" w:hAnsi="SimSun" w:hint="eastAsia"/>
          <w:sz w:val="21"/>
        </w:rPr>
        <w:t>汇率</w:t>
      </w:r>
      <w:proofErr w:type="gramEnd"/>
      <w:r w:rsidRPr="004E7EAD">
        <w:rPr>
          <w:rFonts w:ascii="SimSun" w:hAnsi="SimSun" w:hint="eastAsia"/>
          <w:sz w:val="21"/>
        </w:rPr>
        <w:t>与对冲</w:t>
      </w:r>
      <w:r w:rsidR="00430261" w:rsidRPr="004E7EAD">
        <w:rPr>
          <w:rFonts w:ascii="SimSun" w:hAnsi="SimSun" w:hint="eastAsia"/>
          <w:sz w:val="21"/>
        </w:rPr>
        <w:t>汇率是相同的。但是，当瑞士国家银行将瑞郎与欧元脱钩后，汇率下降</w:t>
      </w:r>
      <w:r w:rsidR="00955E93" w:rsidRPr="004E7EAD">
        <w:rPr>
          <w:rFonts w:ascii="SimSun" w:hAnsi="SimSun" w:hint="eastAsia"/>
          <w:sz w:val="21"/>
        </w:rPr>
        <w:t>了</w:t>
      </w:r>
      <w:r w:rsidR="00430261" w:rsidRPr="004E7EAD">
        <w:rPr>
          <w:rFonts w:ascii="SimSun" w:hAnsi="SimSun" w:hint="eastAsia"/>
          <w:sz w:val="21"/>
        </w:rPr>
        <w:t>17%，尽管自7月开始有所回升。通过目前正在生效的PCT新等值数额法，自2015年4月1日起规定了PCT费用新等值数额，使WIPO</w:t>
      </w:r>
      <w:r w:rsidR="00233FE5" w:rsidRPr="004E7EAD">
        <w:rPr>
          <w:rFonts w:ascii="SimSun" w:hAnsi="SimSun" w:hint="eastAsia"/>
          <w:sz w:val="21"/>
        </w:rPr>
        <w:t>能够将</w:t>
      </w:r>
      <w:r w:rsidR="00430261" w:rsidRPr="004E7EAD">
        <w:rPr>
          <w:rFonts w:ascii="SimSun" w:hAnsi="SimSun" w:hint="eastAsia"/>
          <w:sz w:val="21"/>
        </w:rPr>
        <w:t>PCT</w:t>
      </w:r>
      <w:r w:rsidR="00233FE5" w:rsidRPr="004E7EAD">
        <w:rPr>
          <w:rFonts w:ascii="SimSun" w:hAnsi="SimSun" w:hint="eastAsia"/>
          <w:sz w:val="21"/>
        </w:rPr>
        <w:t>费用收入</w:t>
      </w:r>
      <w:r w:rsidR="00430261" w:rsidRPr="004E7EAD">
        <w:rPr>
          <w:rFonts w:ascii="SimSun" w:hAnsi="SimSun" w:hint="eastAsia"/>
          <w:sz w:val="21"/>
        </w:rPr>
        <w:t>损失</w:t>
      </w:r>
      <w:r w:rsidR="00233FE5" w:rsidRPr="004E7EAD">
        <w:rPr>
          <w:rFonts w:ascii="SimSun" w:hAnsi="SimSun" w:hint="eastAsia"/>
          <w:sz w:val="21"/>
        </w:rPr>
        <w:t>稳定下</w:t>
      </w:r>
      <w:r w:rsidR="009304A9">
        <w:rPr>
          <w:rFonts w:ascii="SimSun" w:hAnsi="SimSun"/>
          <w:sz w:val="21"/>
        </w:rPr>
        <w:t>‍</w:t>
      </w:r>
      <w:r w:rsidR="00233FE5" w:rsidRPr="004E7EAD">
        <w:rPr>
          <w:rFonts w:ascii="SimSun" w:hAnsi="SimSun" w:hint="eastAsia"/>
          <w:sz w:val="21"/>
        </w:rPr>
        <w:t>来</w:t>
      </w:r>
      <w:r w:rsidR="00430261" w:rsidRPr="004E7EAD">
        <w:rPr>
          <w:rFonts w:ascii="SimSun" w:hAnsi="SimSun" w:hint="eastAsia"/>
          <w:sz w:val="21"/>
        </w:rPr>
        <w:t>。</w:t>
      </w:r>
    </w:p>
    <w:p w:rsidR="004E7EAD" w:rsidRDefault="00233FE5" w:rsidP="004E7EAD">
      <w:pPr>
        <w:numPr>
          <w:ilvl w:val="0"/>
          <w:numId w:val="5"/>
        </w:numPr>
        <w:tabs>
          <w:tab w:val="clear" w:pos="567"/>
        </w:tabs>
        <w:overflowPunct w:val="0"/>
        <w:spacing w:afterLines="50" w:after="120" w:line="340" w:lineRule="atLeast"/>
        <w:jc w:val="both"/>
        <w:rPr>
          <w:rFonts w:ascii="SimSun" w:hAnsi="SimSun"/>
          <w:sz w:val="21"/>
        </w:rPr>
      </w:pPr>
      <w:r w:rsidRPr="004E7EAD">
        <w:rPr>
          <w:rFonts w:ascii="SimSun" w:hAnsi="SimSun" w:hint="eastAsia"/>
          <w:sz w:val="21"/>
        </w:rPr>
        <w:t>如果已经实行了经过修改的拟议等值数额法，则会用2014年10月，即脱钩前设定的混合对冲汇率计算应付的欧元PCT费用。因此，申请人会继续缴纳较低的欧元费用，造成本组织PCT费用收入的损失和总收入的显著下降。但是，该损失可以通过远期合同执行所取得的收益来抵消(</w:t>
      </w:r>
      <w:r w:rsidR="006B57CE" w:rsidRPr="004E7EAD">
        <w:rPr>
          <w:rFonts w:ascii="SimSun" w:hAnsi="SimSun" w:hint="eastAsia"/>
          <w:sz w:val="21"/>
        </w:rPr>
        <w:t>从远期收到的以混合对冲汇率计算的瑞</w:t>
      </w:r>
      <w:proofErr w:type="gramStart"/>
      <w:r w:rsidR="006B57CE" w:rsidRPr="004E7EAD">
        <w:rPr>
          <w:rFonts w:ascii="SimSun" w:hAnsi="SimSun" w:hint="eastAsia"/>
          <w:sz w:val="21"/>
        </w:rPr>
        <w:t>郎</w:t>
      </w:r>
      <w:r w:rsidR="009304A9">
        <w:rPr>
          <w:rFonts w:ascii="SimSun" w:hAnsi="SimSun" w:hint="eastAsia"/>
          <w:sz w:val="21"/>
        </w:rPr>
        <w:t>相对</w:t>
      </w:r>
      <w:proofErr w:type="gramEnd"/>
      <w:r w:rsidR="009304A9">
        <w:rPr>
          <w:rFonts w:ascii="SimSun" w:hAnsi="SimSun" w:hint="eastAsia"/>
          <w:sz w:val="21"/>
        </w:rPr>
        <w:t>于</w:t>
      </w:r>
      <w:r w:rsidR="006B57CE" w:rsidRPr="004E7EAD">
        <w:rPr>
          <w:rFonts w:ascii="SimSun" w:hAnsi="SimSun" w:hint="eastAsia"/>
          <w:sz w:val="21"/>
        </w:rPr>
        <w:t>以UNORE计算的应收瑞郎</w:t>
      </w:r>
      <w:r w:rsidRPr="004E7EAD">
        <w:rPr>
          <w:rFonts w:ascii="SimSun" w:hAnsi="SimSun" w:hint="eastAsia"/>
          <w:sz w:val="21"/>
        </w:rPr>
        <w:t>)。</w:t>
      </w:r>
    </w:p>
    <w:p w:rsidR="00D53E8E" w:rsidRPr="004E7EAD" w:rsidRDefault="006B57CE" w:rsidP="00063C7C">
      <w:pPr>
        <w:keepNext/>
        <w:autoSpaceDE w:val="0"/>
        <w:autoSpaceDN w:val="0"/>
        <w:adjustRightInd w:val="0"/>
        <w:spacing w:line="340" w:lineRule="atLeast"/>
        <w:jc w:val="center"/>
        <w:rPr>
          <w:rFonts w:ascii="SimSun" w:hAnsi="SimSun"/>
          <w:color w:val="000000"/>
          <w:sz w:val="21"/>
          <w:szCs w:val="22"/>
        </w:rPr>
      </w:pPr>
      <w:r w:rsidRPr="004E7EAD">
        <w:rPr>
          <w:rFonts w:ascii="SimSun" w:hAnsi="SimSun" w:hint="eastAsia"/>
          <w:color w:val="000000"/>
          <w:sz w:val="21"/>
          <w:szCs w:val="22"/>
        </w:rPr>
        <w:t>欧元</w:t>
      </w:r>
      <w:r w:rsidR="00D53E8E" w:rsidRPr="004E7EAD">
        <w:rPr>
          <w:rFonts w:ascii="SimSun" w:hAnsi="SimSun"/>
          <w:color w:val="000000"/>
          <w:sz w:val="21"/>
          <w:szCs w:val="22"/>
          <w:lang w:eastAsia="en-US"/>
        </w:rPr>
        <w:t>(EUR)</w:t>
      </w:r>
      <w:r w:rsidR="00E309E6">
        <w:rPr>
          <w:rFonts w:ascii="SimSun" w:hAnsi="SimSun" w:hint="eastAsia"/>
          <w:color w:val="000000"/>
          <w:sz w:val="21"/>
          <w:szCs w:val="22"/>
        </w:rPr>
        <w:t xml:space="preserve"> </w:t>
      </w:r>
      <w:r w:rsidR="00D53E8E" w:rsidRPr="004E7EAD">
        <w:rPr>
          <w:rFonts w:ascii="SimSun" w:hAnsi="SimSun"/>
          <w:color w:val="000000"/>
          <w:sz w:val="21"/>
          <w:szCs w:val="22"/>
          <w:lang w:eastAsia="en-US"/>
        </w:rPr>
        <w:t>=</w:t>
      </w:r>
      <w:r w:rsidR="00E309E6">
        <w:rPr>
          <w:rFonts w:ascii="SimSun" w:hAnsi="SimSun" w:hint="eastAsia"/>
          <w:color w:val="000000"/>
          <w:sz w:val="21"/>
          <w:szCs w:val="22"/>
        </w:rPr>
        <w:t xml:space="preserve"> </w:t>
      </w:r>
      <w:r w:rsidRPr="004E7EAD">
        <w:rPr>
          <w:rFonts w:ascii="SimSun" w:hAnsi="SimSun" w:hint="eastAsia"/>
          <w:color w:val="000000"/>
          <w:sz w:val="21"/>
          <w:szCs w:val="22"/>
        </w:rPr>
        <w:t>瑞郎</w:t>
      </w:r>
    </w:p>
    <w:p w:rsidR="00D53E8E" w:rsidRPr="004E7EAD" w:rsidRDefault="00063C7C" w:rsidP="00063C7C">
      <w:pPr>
        <w:autoSpaceDE w:val="0"/>
        <w:autoSpaceDN w:val="0"/>
        <w:adjustRightInd w:val="0"/>
        <w:ind w:left="142"/>
        <w:jc w:val="center"/>
        <w:rPr>
          <w:rFonts w:ascii="SimSun" w:hAnsi="SimSun"/>
          <w:color w:val="000000"/>
          <w:sz w:val="21"/>
          <w:szCs w:val="22"/>
          <w:lang w:eastAsia="en-US"/>
        </w:rPr>
      </w:pPr>
      <w:r w:rsidRPr="00063C7C">
        <w:rPr>
          <w:noProof/>
        </w:rPr>
        <w:drawing>
          <wp:inline distT="0" distB="0" distL="0" distR="0">
            <wp:extent cx="5766435" cy="3766820"/>
            <wp:effectExtent l="0" t="0" r="5715" b="508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66435" cy="3766820"/>
                    </a:xfrm>
                    <a:prstGeom prst="rect">
                      <a:avLst/>
                    </a:prstGeom>
                    <a:noFill/>
                    <a:ln>
                      <a:noFill/>
                    </a:ln>
                  </pic:spPr>
                </pic:pic>
              </a:graphicData>
            </a:graphic>
          </wp:inline>
        </w:drawing>
      </w:r>
    </w:p>
    <w:p w:rsidR="004E7EAD" w:rsidRDefault="00955E93" w:rsidP="004E7EAD">
      <w:pPr>
        <w:numPr>
          <w:ilvl w:val="0"/>
          <w:numId w:val="5"/>
        </w:numPr>
        <w:tabs>
          <w:tab w:val="clear" w:pos="567"/>
        </w:tabs>
        <w:overflowPunct w:val="0"/>
        <w:spacing w:afterLines="50" w:after="120" w:line="340" w:lineRule="atLeast"/>
        <w:jc w:val="both"/>
        <w:rPr>
          <w:rFonts w:ascii="SimSun" w:hAnsi="SimSun"/>
          <w:sz w:val="21"/>
        </w:rPr>
      </w:pPr>
      <w:r w:rsidRPr="004E7EAD">
        <w:rPr>
          <w:rFonts w:ascii="SimSun" w:hAnsi="SimSun" w:hint="eastAsia"/>
          <w:sz w:val="21"/>
        </w:rPr>
        <w:t>美元兑</w:t>
      </w:r>
      <w:r w:rsidR="00181167" w:rsidRPr="004E7EAD">
        <w:rPr>
          <w:rFonts w:ascii="SimSun" w:hAnsi="SimSun" w:hint="eastAsia"/>
          <w:sz w:val="21"/>
        </w:rPr>
        <w:t>瑞郎的汇率</w:t>
      </w:r>
      <w:r w:rsidR="008D09E1" w:rsidRPr="004E7EAD">
        <w:rPr>
          <w:rFonts w:ascii="SimSun" w:hAnsi="SimSun" w:hint="eastAsia"/>
          <w:sz w:val="21"/>
        </w:rPr>
        <w:t>从</w:t>
      </w:r>
      <w:r w:rsidR="00181167" w:rsidRPr="004E7EAD">
        <w:rPr>
          <w:rFonts w:ascii="SimSun" w:hAnsi="SimSun" w:hint="eastAsia"/>
          <w:sz w:val="21"/>
        </w:rPr>
        <w:t>2013年1月至2015年7月出现了波动，但在四个星期五期间一直保持在</w:t>
      </w:r>
      <w:r w:rsidR="00126346" w:rsidRPr="004E7EAD">
        <w:rPr>
          <w:rFonts w:ascii="SimSun" w:hAnsi="SimSun" w:hint="eastAsia"/>
          <w:sz w:val="21"/>
        </w:rPr>
        <w:t>现行PCT新等值数额法规定的</w:t>
      </w:r>
      <w:r w:rsidR="00181167" w:rsidRPr="004E7EAD">
        <w:rPr>
          <w:rFonts w:ascii="SimSun" w:hAnsi="SimSun" w:hint="eastAsia"/>
          <w:sz w:val="21"/>
        </w:rPr>
        <w:t>5%的范围以内</w:t>
      </w:r>
      <w:r w:rsidR="00126346" w:rsidRPr="004E7EAD">
        <w:rPr>
          <w:rFonts w:ascii="SimSun" w:hAnsi="SimSun" w:hint="eastAsia"/>
          <w:sz w:val="21"/>
        </w:rPr>
        <w:t>。</w:t>
      </w:r>
      <w:r w:rsidR="00181167" w:rsidRPr="004E7EAD">
        <w:rPr>
          <w:rFonts w:ascii="SimSun" w:hAnsi="SimSun" w:hint="eastAsia"/>
          <w:sz w:val="21"/>
        </w:rPr>
        <w:t>因此，在整个31个月的时间中，使用新等值数额法计算出的PCT费用没有出现变化，如果采用了混合对冲汇率，该汇率会非常接近美元费用汇率。UNORE汇率在这期间上下浮动比较大，</w:t>
      </w:r>
      <w:r w:rsidR="00601025" w:rsidRPr="004E7EAD">
        <w:rPr>
          <w:rFonts w:ascii="SimSun" w:hAnsi="SimSun" w:hint="eastAsia"/>
          <w:sz w:val="21"/>
        </w:rPr>
        <w:t>造成2013年出现</w:t>
      </w:r>
      <w:r w:rsidR="00126346" w:rsidRPr="004E7EAD">
        <w:rPr>
          <w:rFonts w:ascii="SimSun" w:hAnsi="SimSun" w:hint="eastAsia"/>
          <w:sz w:val="21"/>
        </w:rPr>
        <w:t>大额损失，在2015年出现大额收益(年初至今)，可见上文第23</w:t>
      </w:r>
      <w:r w:rsidRPr="004E7EAD">
        <w:rPr>
          <w:rFonts w:ascii="SimSun" w:hAnsi="SimSun" w:hint="eastAsia"/>
          <w:sz w:val="21"/>
        </w:rPr>
        <w:t>段之后的表格。一项审查表明，对</w:t>
      </w:r>
      <w:proofErr w:type="gramStart"/>
      <w:r w:rsidRPr="004E7EAD">
        <w:rPr>
          <w:rFonts w:ascii="SimSun" w:hAnsi="SimSun" w:hint="eastAsia"/>
          <w:sz w:val="21"/>
        </w:rPr>
        <w:t>冲战略</w:t>
      </w:r>
      <w:proofErr w:type="gramEnd"/>
      <w:r w:rsidRPr="004E7EAD">
        <w:rPr>
          <w:rFonts w:ascii="SimSun" w:hAnsi="SimSun" w:hint="eastAsia"/>
          <w:sz w:val="21"/>
        </w:rPr>
        <w:t>对以美元缴纳费用的影响微乎其微</w:t>
      </w:r>
      <w:r w:rsidR="00126346" w:rsidRPr="004E7EAD">
        <w:rPr>
          <w:rFonts w:ascii="SimSun" w:hAnsi="SimSun" w:hint="eastAsia"/>
          <w:sz w:val="21"/>
        </w:rPr>
        <w:t>。</w:t>
      </w:r>
    </w:p>
    <w:p w:rsidR="004E7EAD" w:rsidRDefault="00126346" w:rsidP="00063C7C">
      <w:pPr>
        <w:keepNext/>
        <w:autoSpaceDE w:val="0"/>
        <w:autoSpaceDN w:val="0"/>
        <w:adjustRightInd w:val="0"/>
        <w:spacing w:line="340" w:lineRule="atLeast"/>
        <w:jc w:val="center"/>
        <w:rPr>
          <w:rFonts w:ascii="SimSun" w:hAnsi="SimSun"/>
          <w:color w:val="000000"/>
          <w:sz w:val="21"/>
          <w:szCs w:val="22"/>
        </w:rPr>
      </w:pPr>
      <w:r w:rsidRPr="004E7EAD">
        <w:rPr>
          <w:rFonts w:ascii="SimSun" w:hAnsi="SimSun" w:hint="eastAsia"/>
          <w:color w:val="000000"/>
          <w:sz w:val="21"/>
          <w:szCs w:val="22"/>
        </w:rPr>
        <w:lastRenderedPageBreak/>
        <w:t>美元</w:t>
      </w:r>
      <w:r w:rsidR="00E309E6">
        <w:rPr>
          <w:rFonts w:ascii="SimSun" w:hAnsi="SimSun" w:hint="eastAsia"/>
          <w:color w:val="000000"/>
          <w:sz w:val="21"/>
          <w:szCs w:val="22"/>
        </w:rPr>
        <w:t xml:space="preserve"> </w:t>
      </w:r>
      <w:r w:rsidR="00D53E8E" w:rsidRPr="004E7EAD">
        <w:rPr>
          <w:rFonts w:ascii="SimSun" w:hAnsi="SimSun"/>
          <w:color w:val="000000"/>
          <w:sz w:val="21"/>
          <w:szCs w:val="22"/>
          <w:lang w:eastAsia="en-US"/>
        </w:rPr>
        <w:t>=</w:t>
      </w:r>
      <w:r w:rsidR="00E309E6">
        <w:rPr>
          <w:rFonts w:ascii="SimSun" w:hAnsi="SimSun" w:hint="eastAsia"/>
          <w:color w:val="000000"/>
          <w:sz w:val="21"/>
          <w:szCs w:val="22"/>
        </w:rPr>
        <w:t xml:space="preserve"> </w:t>
      </w:r>
      <w:r w:rsidRPr="004E7EAD">
        <w:rPr>
          <w:rFonts w:ascii="SimSun" w:hAnsi="SimSun" w:hint="eastAsia"/>
          <w:color w:val="000000"/>
          <w:sz w:val="21"/>
          <w:szCs w:val="22"/>
        </w:rPr>
        <w:t>瑞郎</w:t>
      </w:r>
    </w:p>
    <w:p w:rsidR="004E7EAD" w:rsidRDefault="00063C7C" w:rsidP="00063C7C">
      <w:pPr>
        <w:autoSpaceDE w:val="0"/>
        <w:autoSpaceDN w:val="0"/>
        <w:adjustRightInd w:val="0"/>
        <w:jc w:val="center"/>
        <w:rPr>
          <w:rFonts w:ascii="SimSun" w:hAnsi="SimSun"/>
          <w:color w:val="000000"/>
          <w:sz w:val="21"/>
          <w:szCs w:val="22"/>
          <w:lang w:eastAsia="en-US"/>
        </w:rPr>
      </w:pPr>
      <w:r w:rsidRPr="00063C7C">
        <w:rPr>
          <w:noProof/>
        </w:rPr>
        <w:drawing>
          <wp:inline distT="0" distB="0" distL="0" distR="0" wp14:anchorId="155C0219" wp14:editId="05C93D32">
            <wp:extent cx="5622925" cy="3916680"/>
            <wp:effectExtent l="0" t="0" r="0" b="762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622925" cy="3916680"/>
                    </a:xfrm>
                    <a:prstGeom prst="rect">
                      <a:avLst/>
                    </a:prstGeom>
                    <a:noFill/>
                    <a:ln>
                      <a:noFill/>
                    </a:ln>
                  </pic:spPr>
                </pic:pic>
              </a:graphicData>
            </a:graphic>
          </wp:inline>
        </w:drawing>
      </w:r>
    </w:p>
    <w:p w:rsidR="00D53E8E" w:rsidRPr="004E7EAD" w:rsidRDefault="008D09E1" w:rsidP="004E7EAD">
      <w:pPr>
        <w:numPr>
          <w:ilvl w:val="0"/>
          <w:numId w:val="5"/>
        </w:numPr>
        <w:tabs>
          <w:tab w:val="clear" w:pos="567"/>
        </w:tabs>
        <w:overflowPunct w:val="0"/>
        <w:spacing w:afterLines="50" w:after="120" w:line="340" w:lineRule="atLeast"/>
        <w:jc w:val="both"/>
        <w:rPr>
          <w:rFonts w:ascii="SimSun" w:hAnsi="SimSun"/>
          <w:sz w:val="21"/>
        </w:rPr>
      </w:pPr>
      <w:r w:rsidRPr="004E7EAD">
        <w:rPr>
          <w:rFonts w:ascii="SimSun" w:hAnsi="SimSun" w:hint="eastAsia"/>
          <w:sz w:val="21"/>
        </w:rPr>
        <w:t>从2013年1月至2015年7月，瑞郎与日元之间一直呈现稳步的、几乎直线下降的关系。在2013年1月，1瑞郎兑换82日元，到今年7月涨至128日元，升幅超过55%。</w:t>
      </w:r>
    </w:p>
    <w:p w:rsidR="00D53E8E" w:rsidRPr="004E7EAD" w:rsidRDefault="00DB0E4B" w:rsidP="004E7EAD">
      <w:pPr>
        <w:numPr>
          <w:ilvl w:val="0"/>
          <w:numId w:val="5"/>
        </w:numPr>
        <w:tabs>
          <w:tab w:val="clear" w:pos="567"/>
        </w:tabs>
        <w:overflowPunct w:val="0"/>
        <w:spacing w:afterLines="50" w:after="120" w:line="340" w:lineRule="atLeast"/>
        <w:jc w:val="both"/>
        <w:rPr>
          <w:rFonts w:ascii="SimSun" w:hAnsi="SimSun"/>
          <w:sz w:val="21"/>
        </w:rPr>
      </w:pPr>
      <w:r w:rsidRPr="004E7EAD">
        <w:rPr>
          <w:rFonts w:ascii="SimSun" w:hAnsi="SimSun" w:hint="eastAsia"/>
          <w:sz w:val="21"/>
        </w:rPr>
        <w:t>如下所示，在31个月的时间里，通过现有的新等值数额法，应付的日元PCT</w:t>
      </w:r>
      <w:proofErr w:type="gramStart"/>
      <w:r w:rsidRPr="004E7EAD">
        <w:rPr>
          <w:rFonts w:ascii="SimSun" w:hAnsi="SimSun" w:hint="eastAsia"/>
          <w:sz w:val="21"/>
        </w:rPr>
        <w:t>费用汇率</w:t>
      </w:r>
      <w:proofErr w:type="gramEnd"/>
      <w:r w:rsidRPr="004E7EAD">
        <w:rPr>
          <w:rFonts w:ascii="SimSun" w:hAnsi="SimSun" w:hint="eastAsia"/>
          <w:sz w:val="21"/>
        </w:rPr>
        <w:t>经过了六次调整；计划在2015年9月1日再降8.4%。</w:t>
      </w:r>
    </w:p>
    <w:p w:rsidR="00D53E8E" w:rsidRPr="004E7EAD" w:rsidRDefault="001D347D" w:rsidP="001D347D">
      <w:pPr>
        <w:autoSpaceDE w:val="0"/>
        <w:autoSpaceDN w:val="0"/>
        <w:adjustRightInd w:val="0"/>
        <w:jc w:val="center"/>
        <w:rPr>
          <w:rFonts w:ascii="SimSun" w:hAnsi="SimSun"/>
          <w:color w:val="000000"/>
          <w:sz w:val="21"/>
          <w:szCs w:val="22"/>
          <w:lang w:eastAsia="en-US"/>
        </w:rPr>
      </w:pPr>
      <w:r w:rsidRPr="001D347D">
        <w:rPr>
          <w:noProof/>
          <w:sz w:val="21"/>
        </w:rPr>
        <w:drawing>
          <wp:inline distT="0" distB="0" distL="0" distR="0" wp14:anchorId="2B834D6D" wp14:editId="673E21EA">
            <wp:extent cx="4968875" cy="1475105"/>
            <wp:effectExtent l="0" t="0" r="317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968875" cy="1475105"/>
                    </a:xfrm>
                    <a:prstGeom prst="rect">
                      <a:avLst/>
                    </a:prstGeom>
                    <a:noFill/>
                    <a:ln>
                      <a:noFill/>
                    </a:ln>
                  </pic:spPr>
                </pic:pic>
              </a:graphicData>
            </a:graphic>
          </wp:inline>
        </w:drawing>
      </w:r>
    </w:p>
    <w:p w:rsidR="004E7EAD" w:rsidRDefault="00DB0E4B" w:rsidP="004E7EAD">
      <w:pPr>
        <w:numPr>
          <w:ilvl w:val="0"/>
          <w:numId w:val="5"/>
        </w:numPr>
        <w:tabs>
          <w:tab w:val="clear" w:pos="567"/>
        </w:tabs>
        <w:overflowPunct w:val="0"/>
        <w:spacing w:afterLines="50" w:after="120" w:line="340" w:lineRule="atLeast"/>
        <w:jc w:val="both"/>
        <w:rPr>
          <w:rFonts w:ascii="SimSun" w:hAnsi="SimSun"/>
          <w:sz w:val="21"/>
        </w:rPr>
      </w:pPr>
      <w:r w:rsidRPr="004E7EAD">
        <w:rPr>
          <w:rFonts w:ascii="SimSun" w:hAnsi="SimSun" w:hint="eastAsia"/>
          <w:sz w:val="21"/>
        </w:rPr>
        <w:t>如果在这31个月期间实行了对冲战略，以在上年10月设定的混合对冲汇率计算出的费用每年将是固定的(与上表的1月1日汇率相似)。这会大幅减少所收到的收入，2013年会减少超过20%，2014年和2015年年初至今的降幅相对较小。但是，收入损失会被远期合同的价值增长所抵消，不会使WIPO出现净</w:t>
      </w:r>
      <w:r w:rsidR="00067DFF" w:rsidRPr="004E7EAD">
        <w:rPr>
          <w:rFonts w:ascii="SimSun" w:hAnsi="SimSun" w:hint="eastAsia"/>
          <w:sz w:val="21"/>
        </w:rPr>
        <w:t>亏损</w:t>
      </w:r>
      <w:r w:rsidRPr="004E7EAD">
        <w:rPr>
          <w:rFonts w:ascii="SimSun" w:hAnsi="SimSun" w:hint="eastAsia"/>
          <w:sz w:val="21"/>
        </w:rPr>
        <w:t>。</w:t>
      </w:r>
    </w:p>
    <w:p w:rsidR="004E7EAD" w:rsidRDefault="00DB0E4B" w:rsidP="00063C7C">
      <w:pPr>
        <w:keepNext/>
        <w:autoSpaceDE w:val="0"/>
        <w:autoSpaceDN w:val="0"/>
        <w:adjustRightInd w:val="0"/>
        <w:spacing w:line="340" w:lineRule="atLeast"/>
        <w:jc w:val="center"/>
        <w:rPr>
          <w:rFonts w:ascii="SimSun" w:hAnsi="SimSun"/>
          <w:color w:val="000000"/>
          <w:sz w:val="21"/>
          <w:szCs w:val="22"/>
        </w:rPr>
      </w:pPr>
      <w:r w:rsidRPr="004E7EAD">
        <w:rPr>
          <w:rFonts w:ascii="SimSun" w:hAnsi="SimSun" w:hint="eastAsia"/>
          <w:color w:val="000000"/>
          <w:sz w:val="21"/>
          <w:szCs w:val="22"/>
        </w:rPr>
        <w:lastRenderedPageBreak/>
        <w:t>瑞郎</w:t>
      </w:r>
      <w:r w:rsidR="00E309E6">
        <w:rPr>
          <w:rFonts w:ascii="SimSun" w:hAnsi="SimSun" w:hint="eastAsia"/>
          <w:color w:val="000000"/>
          <w:sz w:val="21"/>
          <w:szCs w:val="22"/>
        </w:rPr>
        <w:t xml:space="preserve"> </w:t>
      </w:r>
      <w:r w:rsidRPr="004E7EAD">
        <w:rPr>
          <w:rFonts w:ascii="SimSun" w:hAnsi="SimSun"/>
          <w:color w:val="000000"/>
          <w:sz w:val="21"/>
          <w:szCs w:val="22"/>
          <w:lang w:eastAsia="en-US"/>
        </w:rPr>
        <w:t>=</w:t>
      </w:r>
      <w:r w:rsidR="00E309E6">
        <w:rPr>
          <w:rFonts w:ascii="SimSun" w:hAnsi="SimSun" w:hint="eastAsia"/>
          <w:color w:val="000000"/>
          <w:sz w:val="21"/>
          <w:szCs w:val="22"/>
        </w:rPr>
        <w:t xml:space="preserve"> </w:t>
      </w:r>
      <w:r w:rsidRPr="004E7EAD">
        <w:rPr>
          <w:rFonts w:ascii="SimSun" w:hAnsi="SimSun" w:hint="eastAsia"/>
          <w:color w:val="000000"/>
          <w:sz w:val="21"/>
          <w:szCs w:val="22"/>
        </w:rPr>
        <w:t>日元</w:t>
      </w:r>
    </w:p>
    <w:p w:rsidR="004E7EAD" w:rsidRDefault="00063C7C" w:rsidP="00063C7C">
      <w:pPr>
        <w:autoSpaceDE w:val="0"/>
        <w:autoSpaceDN w:val="0"/>
        <w:adjustRightInd w:val="0"/>
        <w:jc w:val="center"/>
        <w:rPr>
          <w:rFonts w:ascii="SimSun" w:hAnsi="SimSun"/>
          <w:color w:val="000000"/>
          <w:sz w:val="21"/>
          <w:szCs w:val="22"/>
          <w:lang w:eastAsia="en-US"/>
        </w:rPr>
      </w:pPr>
      <w:r w:rsidRPr="00063C7C">
        <w:rPr>
          <w:noProof/>
        </w:rPr>
        <w:drawing>
          <wp:inline distT="0" distB="0" distL="0" distR="0">
            <wp:extent cx="4977130" cy="3002280"/>
            <wp:effectExtent l="0" t="0" r="0" b="762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977130" cy="3002280"/>
                    </a:xfrm>
                    <a:prstGeom prst="rect">
                      <a:avLst/>
                    </a:prstGeom>
                    <a:noFill/>
                    <a:ln>
                      <a:noFill/>
                    </a:ln>
                  </pic:spPr>
                </pic:pic>
              </a:graphicData>
            </a:graphic>
          </wp:inline>
        </w:drawing>
      </w:r>
    </w:p>
    <w:p w:rsidR="004E7EAD" w:rsidRDefault="00817192" w:rsidP="004E7EAD">
      <w:pPr>
        <w:numPr>
          <w:ilvl w:val="0"/>
          <w:numId w:val="5"/>
        </w:numPr>
        <w:tabs>
          <w:tab w:val="clear" w:pos="567"/>
        </w:tabs>
        <w:overflowPunct w:val="0"/>
        <w:spacing w:afterLines="50" w:after="120" w:line="340" w:lineRule="atLeast"/>
        <w:jc w:val="both"/>
        <w:rPr>
          <w:rFonts w:ascii="SimSun" w:hAnsi="SimSun"/>
          <w:sz w:val="21"/>
        </w:rPr>
      </w:pPr>
      <w:r w:rsidRPr="004E7EAD">
        <w:rPr>
          <w:rFonts w:ascii="SimSun" w:hAnsi="SimSun" w:hint="eastAsia"/>
          <w:sz w:val="21"/>
        </w:rPr>
        <w:t>如上表所示，如果在整个三年期间实行日元对冲战略，从2015年年初至今实行欧元对冲战略，则申请人缴纳的费用会显著下降，造成WIPO出现收入</w:t>
      </w:r>
      <w:r w:rsidR="00CB2F31" w:rsidRPr="004E7EAD">
        <w:rPr>
          <w:rFonts w:ascii="SimSun" w:hAnsi="SimSun" w:hint="eastAsia"/>
          <w:sz w:val="21"/>
        </w:rPr>
        <w:t>损失。但是，该损失会被执行远期合同所产生的汇兑收益收入所抵消。但是，如果情况相反，并且日元和欧元与瑞郎相比升值，就会出现相反的情况，即申请人</w:t>
      </w:r>
      <w:r w:rsidR="00A63108" w:rsidRPr="004E7EAD">
        <w:rPr>
          <w:rFonts w:ascii="SimSun" w:hAnsi="SimSun" w:hint="eastAsia"/>
          <w:sz w:val="21"/>
        </w:rPr>
        <w:t>缴纳比在当前制度下更高的费用，</w:t>
      </w:r>
      <w:r w:rsidR="003C09F3" w:rsidRPr="004E7EAD">
        <w:rPr>
          <w:rFonts w:ascii="SimSun" w:hAnsi="SimSun" w:hint="eastAsia"/>
          <w:sz w:val="21"/>
        </w:rPr>
        <w:t>提高了费用收入水平，但被远期合同的亏损所抵消。</w:t>
      </w:r>
    </w:p>
    <w:p w:rsidR="004E7EAD" w:rsidRDefault="004E7EAD" w:rsidP="004E7EAD">
      <w:pPr>
        <w:spacing w:afterLines="50" w:after="120" w:line="340" w:lineRule="atLeast"/>
        <w:ind w:left="5534"/>
        <w:rPr>
          <w:rFonts w:ascii="KaiTi" w:eastAsia="KaiTi" w:hAnsi="KaiTi"/>
          <w:sz w:val="21"/>
        </w:rPr>
      </w:pPr>
    </w:p>
    <w:p w:rsidR="00D53E8E" w:rsidRPr="004E7EAD" w:rsidRDefault="00D53E8E" w:rsidP="004E7EAD">
      <w:pPr>
        <w:spacing w:afterLines="50" w:after="120" w:line="340" w:lineRule="atLeast"/>
        <w:ind w:left="5534"/>
        <w:rPr>
          <w:rFonts w:ascii="KaiTi" w:eastAsia="KaiTi" w:hAnsi="KaiTi"/>
          <w:sz w:val="21"/>
        </w:rPr>
      </w:pPr>
      <w:r w:rsidRPr="004E7EAD">
        <w:rPr>
          <w:rFonts w:ascii="KaiTi" w:eastAsia="KaiTi" w:hAnsi="KaiTi"/>
          <w:sz w:val="21"/>
        </w:rPr>
        <w:t>[</w:t>
      </w:r>
      <w:r w:rsidR="00817192" w:rsidRPr="004E7EAD">
        <w:rPr>
          <w:rFonts w:ascii="KaiTi" w:eastAsia="KaiTi" w:hAnsi="KaiTi" w:hint="eastAsia"/>
          <w:sz w:val="21"/>
        </w:rPr>
        <w:t>附件和文件完</w:t>
      </w:r>
      <w:r w:rsidRPr="004E7EAD">
        <w:rPr>
          <w:rFonts w:ascii="KaiTi" w:eastAsia="KaiTi" w:hAnsi="KaiTi"/>
          <w:sz w:val="21"/>
        </w:rPr>
        <w:t>]</w:t>
      </w:r>
    </w:p>
    <w:sectPr w:rsidR="00D53E8E" w:rsidRPr="004E7EAD" w:rsidSect="004E7EAD">
      <w:headerReference w:type="default" r:id="rId17"/>
      <w:headerReference w:type="first" r:id="rId18"/>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04B1" w:rsidRDefault="004D04B1">
      <w:r>
        <w:separator/>
      </w:r>
    </w:p>
  </w:endnote>
  <w:endnote w:type="continuationSeparator" w:id="0">
    <w:p w:rsidR="004D04B1" w:rsidRDefault="004D04B1" w:rsidP="003B38C1">
      <w:r>
        <w:separator/>
      </w:r>
    </w:p>
    <w:p w:rsidR="004D04B1" w:rsidRPr="003B38C1" w:rsidRDefault="004D04B1" w:rsidP="003B38C1">
      <w:pPr>
        <w:spacing w:after="60"/>
        <w:rPr>
          <w:sz w:val="17"/>
        </w:rPr>
      </w:pPr>
      <w:r>
        <w:rPr>
          <w:sz w:val="17"/>
        </w:rPr>
        <w:t>[Endnote continued from previous page]</w:t>
      </w:r>
    </w:p>
  </w:endnote>
  <w:endnote w:type="continuationNotice" w:id="1">
    <w:p w:rsidR="004D04B1" w:rsidRPr="003B38C1" w:rsidRDefault="004D04B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KaiTi">
    <w:altName w:val="Arial Unicode MS"/>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04B1" w:rsidRDefault="004D04B1">
      <w:r>
        <w:separator/>
      </w:r>
    </w:p>
  </w:footnote>
  <w:footnote w:type="continuationSeparator" w:id="0">
    <w:p w:rsidR="004D04B1" w:rsidRDefault="004D04B1" w:rsidP="008B60B2">
      <w:r>
        <w:separator/>
      </w:r>
    </w:p>
    <w:p w:rsidR="004D04B1" w:rsidRPr="00ED77FB" w:rsidRDefault="004D04B1" w:rsidP="008B60B2">
      <w:pPr>
        <w:spacing w:after="60"/>
        <w:rPr>
          <w:sz w:val="17"/>
          <w:szCs w:val="17"/>
        </w:rPr>
      </w:pPr>
      <w:r w:rsidRPr="00ED77FB">
        <w:rPr>
          <w:sz w:val="17"/>
          <w:szCs w:val="17"/>
        </w:rPr>
        <w:t>[Footnote continued from previous page]</w:t>
      </w:r>
    </w:p>
  </w:footnote>
  <w:footnote w:type="continuationNotice" w:id="1">
    <w:p w:rsidR="004D04B1" w:rsidRPr="00ED77FB" w:rsidRDefault="004D04B1"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7DFF" w:rsidRPr="004E7EAD" w:rsidRDefault="00067DFF" w:rsidP="00477D6B">
    <w:pPr>
      <w:jc w:val="right"/>
      <w:rPr>
        <w:rFonts w:ascii="SimSun" w:hAnsi="SimSun"/>
        <w:sz w:val="21"/>
        <w:lang w:val="fr-CH"/>
      </w:rPr>
    </w:pPr>
    <w:bookmarkStart w:id="6" w:name="Code2"/>
    <w:bookmarkEnd w:id="6"/>
    <w:r w:rsidRPr="004E7EAD">
      <w:rPr>
        <w:rFonts w:ascii="SimSun" w:hAnsi="SimSun"/>
        <w:sz w:val="21"/>
        <w:lang w:val="fr-CH"/>
      </w:rPr>
      <w:t>WO/PBC/24/INF.3</w:t>
    </w:r>
  </w:p>
  <w:p w:rsidR="00067DFF" w:rsidRPr="004E7EAD" w:rsidRDefault="009A4B1E" w:rsidP="00477D6B">
    <w:pPr>
      <w:jc w:val="right"/>
      <w:rPr>
        <w:rFonts w:ascii="SimSun" w:hAnsi="SimSun"/>
        <w:sz w:val="21"/>
        <w:lang w:val="fr-CH"/>
      </w:rPr>
    </w:pPr>
    <w:r w:rsidRPr="004E7EAD">
      <w:rPr>
        <w:rFonts w:ascii="SimSun" w:hAnsi="SimSun" w:hint="eastAsia"/>
        <w:sz w:val="21"/>
        <w:lang w:val="fr-CH"/>
      </w:rPr>
      <w:t>第</w:t>
    </w:r>
    <w:r w:rsidR="00787027" w:rsidRPr="004E7EAD">
      <w:rPr>
        <w:rFonts w:ascii="SimSun" w:hAnsi="SimSun"/>
        <w:sz w:val="21"/>
      </w:rPr>
      <w:fldChar w:fldCharType="begin"/>
    </w:r>
    <w:r w:rsidR="00067DFF" w:rsidRPr="004E7EAD">
      <w:rPr>
        <w:rFonts w:ascii="SimSun" w:hAnsi="SimSun"/>
        <w:sz w:val="21"/>
        <w:lang w:val="fr-CH"/>
      </w:rPr>
      <w:instrText xml:space="preserve"> PAGE  \* MERGEFORMAT </w:instrText>
    </w:r>
    <w:r w:rsidR="00787027" w:rsidRPr="004E7EAD">
      <w:rPr>
        <w:rFonts w:ascii="SimSun" w:hAnsi="SimSun"/>
        <w:sz w:val="21"/>
      </w:rPr>
      <w:fldChar w:fldCharType="separate"/>
    </w:r>
    <w:r w:rsidR="002D7D68">
      <w:rPr>
        <w:rFonts w:ascii="SimSun" w:hAnsi="SimSun"/>
        <w:noProof/>
        <w:sz w:val="21"/>
        <w:lang w:val="fr-CH"/>
      </w:rPr>
      <w:t>6</w:t>
    </w:r>
    <w:r w:rsidR="00787027" w:rsidRPr="004E7EAD">
      <w:rPr>
        <w:rFonts w:ascii="SimSun" w:hAnsi="SimSun"/>
        <w:sz w:val="21"/>
      </w:rPr>
      <w:fldChar w:fldCharType="end"/>
    </w:r>
    <w:r w:rsidRPr="004E7EAD">
      <w:rPr>
        <w:rFonts w:ascii="SimSun" w:hAnsi="SimSun" w:hint="eastAsia"/>
        <w:sz w:val="21"/>
      </w:rPr>
      <w:t>页</w:t>
    </w:r>
  </w:p>
  <w:p w:rsidR="00067DFF" w:rsidRDefault="00067DFF" w:rsidP="00477D6B">
    <w:pPr>
      <w:jc w:val="right"/>
      <w:rPr>
        <w:rFonts w:ascii="SimSun" w:hAnsi="SimSun"/>
        <w:sz w:val="21"/>
        <w:lang w:val="fr-CH"/>
      </w:rPr>
    </w:pPr>
  </w:p>
  <w:p w:rsidR="004E7EAD" w:rsidRPr="004E7EAD" w:rsidRDefault="004E7EAD" w:rsidP="00477D6B">
    <w:pPr>
      <w:jc w:val="right"/>
      <w:rPr>
        <w:rFonts w:ascii="SimSun" w:hAnsi="SimSun"/>
        <w:sz w:val="21"/>
        <w:lang w:val="fr-CH"/>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7DFF" w:rsidRPr="004E7EAD" w:rsidRDefault="00067DFF" w:rsidP="00477D6B">
    <w:pPr>
      <w:jc w:val="right"/>
      <w:rPr>
        <w:rFonts w:ascii="SimSun" w:hAnsi="SimSun"/>
        <w:sz w:val="21"/>
        <w:lang w:val="fr-CH"/>
      </w:rPr>
    </w:pPr>
    <w:r w:rsidRPr="004E7EAD">
      <w:rPr>
        <w:rFonts w:ascii="SimSun" w:hAnsi="SimSun"/>
        <w:sz w:val="21"/>
        <w:lang w:val="fr-CH"/>
      </w:rPr>
      <w:t>WO/PBC/24/INF.3</w:t>
    </w:r>
  </w:p>
  <w:p w:rsidR="00067DFF" w:rsidRDefault="009A4B1E" w:rsidP="00477D6B">
    <w:pPr>
      <w:jc w:val="right"/>
      <w:rPr>
        <w:rFonts w:ascii="SimSun" w:hAnsi="SimSun"/>
        <w:sz w:val="21"/>
      </w:rPr>
    </w:pPr>
    <w:proofErr w:type="gramStart"/>
    <w:r w:rsidRPr="004E7EAD">
      <w:rPr>
        <w:rFonts w:ascii="SimSun" w:hAnsi="SimSun" w:hint="eastAsia"/>
        <w:sz w:val="21"/>
        <w:lang w:val="fr-CH"/>
      </w:rPr>
      <w:t>附件第</w:t>
    </w:r>
    <w:proofErr w:type="gramEnd"/>
    <w:r w:rsidR="00787027" w:rsidRPr="004E7EAD">
      <w:rPr>
        <w:rFonts w:ascii="SimSun" w:hAnsi="SimSun"/>
        <w:sz w:val="21"/>
      </w:rPr>
      <w:fldChar w:fldCharType="begin"/>
    </w:r>
    <w:r w:rsidR="00067DFF" w:rsidRPr="004E7EAD">
      <w:rPr>
        <w:rFonts w:ascii="SimSun" w:hAnsi="SimSun"/>
        <w:sz w:val="21"/>
        <w:lang w:val="fr-CH"/>
      </w:rPr>
      <w:instrText xml:space="preserve"> PAGE  \* MERGEFORMAT </w:instrText>
    </w:r>
    <w:r w:rsidR="00787027" w:rsidRPr="004E7EAD">
      <w:rPr>
        <w:rFonts w:ascii="SimSun" w:hAnsi="SimSun"/>
        <w:sz w:val="21"/>
      </w:rPr>
      <w:fldChar w:fldCharType="separate"/>
    </w:r>
    <w:r w:rsidR="002D7D68">
      <w:rPr>
        <w:rFonts w:ascii="SimSun" w:hAnsi="SimSun"/>
        <w:noProof/>
        <w:sz w:val="21"/>
        <w:lang w:val="fr-CH"/>
      </w:rPr>
      <w:t>2</w:t>
    </w:r>
    <w:r w:rsidR="00787027" w:rsidRPr="004E7EAD">
      <w:rPr>
        <w:rFonts w:ascii="SimSun" w:hAnsi="SimSun"/>
        <w:sz w:val="21"/>
      </w:rPr>
      <w:fldChar w:fldCharType="end"/>
    </w:r>
    <w:r w:rsidRPr="004E7EAD">
      <w:rPr>
        <w:rFonts w:ascii="SimSun" w:hAnsi="SimSun" w:hint="eastAsia"/>
        <w:sz w:val="21"/>
      </w:rPr>
      <w:t>页</w:t>
    </w:r>
  </w:p>
  <w:p w:rsidR="004E7EAD" w:rsidRDefault="004E7EAD" w:rsidP="00477D6B">
    <w:pPr>
      <w:jc w:val="right"/>
      <w:rPr>
        <w:rFonts w:ascii="SimSun" w:hAnsi="SimSun"/>
        <w:sz w:val="21"/>
      </w:rPr>
    </w:pPr>
  </w:p>
  <w:p w:rsidR="004E7EAD" w:rsidRPr="004E7EAD" w:rsidRDefault="004E7EAD" w:rsidP="00477D6B">
    <w:pPr>
      <w:jc w:val="right"/>
      <w:rPr>
        <w:rFonts w:ascii="SimSun" w:hAnsi="SimSun"/>
        <w:sz w:val="21"/>
        <w:lang w:val="fr-CH"/>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7DFF" w:rsidRPr="004E7EAD" w:rsidRDefault="00067DFF" w:rsidP="009F3F59">
    <w:pPr>
      <w:pStyle w:val="ab"/>
      <w:jc w:val="right"/>
      <w:rPr>
        <w:rFonts w:ascii="SimSun" w:hAnsi="SimSun"/>
        <w:sz w:val="21"/>
      </w:rPr>
    </w:pPr>
    <w:r w:rsidRPr="004E7EAD">
      <w:rPr>
        <w:rFonts w:ascii="SimSun" w:hAnsi="SimSun"/>
        <w:sz w:val="21"/>
      </w:rPr>
      <w:t>WO/PBC/24/INF.3</w:t>
    </w:r>
  </w:p>
  <w:p w:rsidR="00067DFF" w:rsidRPr="004E7EAD" w:rsidRDefault="009A4B1E" w:rsidP="009F3F59">
    <w:pPr>
      <w:pStyle w:val="ab"/>
      <w:jc w:val="right"/>
      <w:rPr>
        <w:rFonts w:ascii="SimSun" w:hAnsi="SimSun"/>
        <w:sz w:val="21"/>
      </w:rPr>
    </w:pPr>
    <w:r w:rsidRPr="004E7EAD">
      <w:rPr>
        <w:rFonts w:ascii="SimSun" w:hAnsi="SimSun" w:hint="eastAsia"/>
        <w:sz w:val="21"/>
      </w:rPr>
      <w:t>附</w:t>
    </w:r>
    <w:r w:rsidR="004E7EAD">
      <w:rPr>
        <w:rFonts w:ascii="SimSun" w:hAnsi="SimSun" w:hint="eastAsia"/>
        <w:sz w:val="21"/>
      </w:rPr>
      <w:t xml:space="preserve">　</w:t>
    </w:r>
    <w:r w:rsidRPr="004E7EAD">
      <w:rPr>
        <w:rFonts w:ascii="SimSun" w:hAnsi="SimSun" w:hint="eastAsia"/>
        <w:sz w:val="21"/>
      </w:rPr>
      <w:t>件</w:t>
    </w:r>
  </w:p>
  <w:p w:rsidR="00067DFF" w:rsidRDefault="00067DFF" w:rsidP="009F3F59">
    <w:pPr>
      <w:pStyle w:val="ab"/>
      <w:jc w:val="right"/>
      <w:rPr>
        <w:rFonts w:ascii="SimSun" w:hAnsi="SimSun"/>
        <w:sz w:val="21"/>
      </w:rPr>
    </w:pPr>
  </w:p>
  <w:p w:rsidR="004E7EAD" w:rsidRPr="004E7EAD" w:rsidRDefault="004E7EAD" w:rsidP="009F3F59">
    <w:pPr>
      <w:pStyle w:val="ab"/>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E203ED3"/>
    <w:multiLevelType w:val="hybridMultilevel"/>
    <w:tmpl w:val="BCAEEC64"/>
    <w:lvl w:ilvl="0" w:tplc="0409000F">
      <w:start w:val="1"/>
      <w:numFmt w:val="decimal"/>
      <w:pStyle w:val="a0"/>
      <w:lvlText w:val="%1."/>
      <w:lvlJc w:val="left"/>
      <w:pPr>
        <w:tabs>
          <w:tab w:val="num" w:pos="709"/>
        </w:tabs>
        <w:ind w:left="142"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 w:numId="4">
    <w:abstractNumId w:val="3"/>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num>
  <w:num w:numId="19">
    <w:abstractNumId w:val="3"/>
  </w:num>
  <w:num w:numId="20">
    <w:abstractNumId w:val="3"/>
  </w:num>
  <w:num w:numId="21">
    <w:abstractNumId w:val="3"/>
  </w:num>
  <w:num w:numId="22">
    <w:abstractNumId w:val="3"/>
  </w:num>
  <w:num w:numId="23">
    <w:abstractNumId w:val="3"/>
  </w:num>
  <w:num w:numId="24">
    <w:abstractNumId w:val="3"/>
  </w:num>
  <w:num w:numId="25">
    <w:abstractNumId w:val="3"/>
  </w:num>
  <w:num w:numId="26">
    <w:abstractNumId w:val="3"/>
  </w:num>
  <w:num w:numId="27">
    <w:abstractNumId w:val="3"/>
  </w:num>
  <w:num w:numId="28">
    <w:abstractNumId w:val="3"/>
  </w:num>
  <w:num w:numId="29">
    <w:abstractNumId w:val="3"/>
  </w:num>
  <w:num w:numId="30">
    <w:abstractNumId w:val="3"/>
  </w:num>
  <w:num w:numId="31">
    <w:abstractNumId w:val="3"/>
  </w:num>
  <w:num w:numId="32">
    <w:abstractNumId w:val="3"/>
  </w:num>
  <w:num w:numId="33">
    <w:abstractNumId w:val="3"/>
  </w:num>
  <w:num w:numId="34">
    <w:abstractNumId w:val="3"/>
  </w:num>
  <w:num w:numId="35">
    <w:abstractNumId w:val="3"/>
  </w:num>
  <w:num w:numId="36">
    <w:abstractNumId w:val="3"/>
  </w:num>
  <w:num w:numId="37">
    <w:abstractNumId w:val="3"/>
  </w:num>
  <w:num w:numId="38">
    <w:abstractNumId w:val="3"/>
  </w:num>
  <w:num w:numId="39">
    <w:abstractNumId w:val="3"/>
  </w:num>
  <w:num w:numId="40">
    <w:abstractNumId w:val="3"/>
  </w:num>
  <w:num w:numId="41">
    <w:abstractNumId w:val="3"/>
  </w:num>
  <w:num w:numId="42">
    <w:abstractNumId w:val="3"/>
  </w:num>
  <w:num w:numId="43">
    <w:abstractNumId w:val="3"/>
  </w:num>
  <w:num w:numId="44">
    <w:abstractNumId w:val="3"/>
  </w:num>
  <w:num w:numId="45">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3E8E"/>
    <w:rsid w:val="0003439B"/>
    <w:rsid w:val="0004193B"/>
    <w:rsid w:val="00043CAA"/>
    <w:rsid w:val="000614CD"/>
    <w:rsid w:val="00063C7C"/>
    <w:rsid w:val="00067DFF"/>
    <w:rsid w:val="00075432"/>
    <w:rsid w:val="0009551A"/>
    <w:rsid w:val="000968ED"/>
    <w:rsid w:val="000A4EF1"/>
    <w:rsid w:val="000B5AEC"/>
    <w:rsid w:val="000C2142"/>
    <w:rsid w:val="000C3134"/>
    <w:rsid w:val="000C4E02"/>
    <w:rsid w:val="000E2850"/>
    <w:rsid w:val="000E77FC"/>
    <w:rsid w:val="000F1025"/>
    <w:rsid w:val="000F5E56"/>
    <w:rsid w:val="00104E0B"/>
    <w:rsid w:val="00114CB4"/>
    <w:rsid w:val="00126346"/>
    <w:rsid w:val="001362EE"/>
    <w:rsid w:val="001727E6"/>
    <w:rsid w:val="0017795C"/>
    <w:rsid w:val="00181167"/>
    <w:rsid w:val="001832A6"/>
    <w:rsid w:val="001850F1"/>
    <w:rsid w:val="001A5538"/>
    <w:rsid w:val="001A7224"/>
    <w:rsid w:val="001C2E46"/>
    <w:rsid w:val="001C3820"/>
    <w:rsid w:val="001D347D"/>
    <w:rsid w:val="001E042B"/>
    <w:rsid w:val="001E7BE5"/>
    <w:rsid w:val="00215A66"/>
    <w:rsid w:val="00233FE5"/>
    <w:rsid w:val="00247A90"/>
    <w:rsid w:val="00247CB9"/>
    <w:rsid w:val="002634C4"/>
    <w:rsid w:val="002928D3"/>
    <w:rsid w:val="002D3060"/>
    <w:rsid w:val="002D7D68"/>
    <w:rsid w:val="002E6414"/>
    <w:rsid w:val="002F1FE6"/>
    <w:rsid w:val="002F2F39"/>
    <w:rsid w:val="002F4E68"/>
    <w:rsid w:val="00312F7F"/>
    <w:rsid w:val="00315ACB"/>
    <w:rsid w:val="00340466"/>
    <w:rsid w:val="00341D9C"/>
    <w:rsid w:val="00357BBB"/>
    <w:rsid w:val="00361450"/>
    <w:rsid w:val="003673CF"/>
    <w:rsid w:val="003754F3"/>
    <w:rsid w:val="003845C1"/>
    <w:rsid w:val="003A6F89"/>
    <w:rsid w:val="003A70EA"/>
    <w:rsid w:val="003A7DA8"/>
    <w:rsid w:val="003B38C1"/>
    <w:rsid w:val="003C09F3"/>
    <w:rsid w:val="003F1471"/>
    <w:rsid w:val="003F4108"/>
    <w:rsid w:val="00402546"/>
    <w:rsid w:val="0042142C"/>
    <w:rsid w:val="00423E3E"/>
    <w:rsid w:val="00427AF4"/>
    <w:rsid w:val="00430261"/>
    <w:rsid w:val="00460CDD"/>
    <w:rsid w:val="004647DA"/>
    <w:rsid w:val="00474062"/>
    <w:rsid w:val="00477D6B"/>
    <w:rsid w:val="00481ED3"/>
    <w:rsid w:val="00491ECF"/>
    <w:rsid w:val="00495FDC"/>
    <w:rsid w:val="004B73E2"/>
    <w:rsid w:val="004D04B1"/>
    <w:rsid w:val="004E7EAD"/>
    <w:rsid w:val="005019FF"/>
    <w:rsid w:val="005179AE"/>
    <w:rsid w:val="00517E9B"/>
    <w:rsid w:val="00523C51"/>
    <w:rsid w:val="0052513B"/>
    <w:rsid w:val="0053057A"/>
    <w:rsid w:val="00537355"/>
    <w:rsid w:val="00544395"/>
    <w:rsid w:val="00552E97"/>
    <w:rsid w:val="00560A29"/>
    <w:rsid w:val="00567C91"/>
    <w:rsid w:val="00570B74"/>
    <w:rsid w:val="005725F2"/>
    <w:rsid w:val="00572797"/>
    <w:rsid w:val="005A2E04"/>
    <w:rsid w:val="005A3271"/>
    <w:rsid w:val="005A57F6"/>
    <w:rsid w:val="005B71AE"/>
    <w:rsid w:val="005C6649"/>
    <w:rsid w:val="005D521B"/>
    <w:rsid w:val="00601025"/>
    <w:rsid w:val="00605827"/>
    <w:rsid w:val="00614032"/>
    <w:rsid w:val="00620DD4"/>
    <w:rsid w:val="00641F41"/>
    <w:rsid w:val="00646050"/>
    <w:rsid w:val="006479AF"/>
    <w:rsid w:val="00660EAF"/>
    <w:rsid w:val="006713CA"/>
    <w:rsid w:val="00676C5C"/>
    <w:rsid w:val="00686B9F"/>
    <w:rsid w:val="006A6849"/>
    <w:rsid w:val="006B57CE"/>
    <w:rsid w:val="007047DE"/>
    <w:rsid w:val="0073463A"/>
    <w:rsid w:val="007519D2"/>
    <w:rsid w:val="00770963"/>
    <w:rsid w:val="00776E0B"/>
    <w:rsid w:val="00786043"/>
    <w:rsid w:val="00787027"/>
    <w:rsid w:val="007917C8"/>
    <w:rsid w:val="00795F1A"/>
    <w:rsid w:val="007A396E"/>
    <w:rsid w:val="007B5351"/>
    <w:rsid w:val="007B71D3"/>
    <w:rsid w:val="007C0C18"/>
    <w:rsid w:val="007D1613"/>
    <w:rsid w:val="007F2586"/>
    <w:rsid w:val="00803503"/>
    <w:rsid w:val="00804DCA"/>
    <w:rsid w:val="00817192"/>
    <w:rsid w:val="00834E78"/>
    <w:rsid w:val="0083615F"/>
    <w:rsid w:val="0089362C"/>
    <w:rsid w:val="008A5745"/>
    <w:rsid w:val="008B2CC1"/>
    <w:rsid w:val="008B329F"/>
    <w:rsid w:val="008B60B2"/>
    <w:rsid w:val="008C1209"/>
    <w:rsid w:val="008D09E1"/>
    <w:rsid w:val="008D28EC"/>
    <w:rsid w:val="008D2A04"/>
    <w:rsid w:val="008D581A"/>
    <w:rsid w:val="0090462F"/>
    <w:rsid w:val="0090731E"/>
    <w:rsid w:val="00916EE2"/>
    <w:rsid w:val="00921D5A"/>
    <w:rsid w:val="009304A9"/>
    <w:rsid w:val="009344FD"/>
    <w:rsid w:val="00941E1D"/>
    <w:rsid w:val="00953096"/>
    <w:rsid w:val="00955E93"/>
    <w:rsid w:val="00956795"/>
    <w:rsid w:val="00965DDD"/>
    <w:rsid w:val="00966A22"/>
    <w:rsid w:val="0096722F"/>
    <w:rsid w:val="00967E38"/>
    <w:rsid w:val="00980843"/>
    <w:rsid w:val="00980D93"/>
    <w:rsid w:val="009973E9"/>
    <w:rsid w:val="009A38C1"/>
    <w:rsid w:val="009A4B1E"/>
    <w:rsid w:val="009B1896"/>
    <w:rsid w:val="009B36E8"/>
    <w:rsid w:val="009C5ACB"/>
    <w:rsid w:val="009E2791"/>
    <w:rsid w:val="009E3F6F"/>
    <w:rsid w:val="009F3F59"/>
    <w:rsid w:val="009F499F"/>
    <w:rsid w:val="00A02175"/>
    <w:rsid w:val="00A060BA"/>
    <w:rsid w:val="00A172D2"/>
    <w:rsid w:val="00A24CF0"/>
    <w:rsid w:val="00A33CDB"/>
    <w:rsid w:val="00A34265"/>
    <w:rsid w:val="00A42DAF"/>
    <w:rsid w:val="00A45BD8"/>
    <w:rsid w:val="00A467ED"/>
    <w:rsid w:val="00A63108"/>
    <w:rsid w:val="00A64637"/>
    <w:rsid w:val="00A64779"/>
    <w:rsid w:val="00A65FD1"/>
    <w:rsid w:val="00A77461"/>
    <w:rsid w:val="00A869B7"/>
    <w:rsid w:val="00A97B40"/>
    <w:rsid w:val="00AA58F5"/>
    <w:rsid w:val="00AC205C"/>
    <w:rsid w:val="00AD0002"/>
    <w:rsid w:val="00AD1C6D"/>
    <w:rsid w:val="00AD6AA8"/>
    <w:rsid w:val="00AE34C7"/>
    <w:rsid w:val="00AF0A6B"/>
    <w:rsid w:val="00AF258F"/>
    <w:rsid w:val="00B05241"/>
    <w:rsid w:val="00B05A69"/>
    <w:rsid w:val="00B502CF"/>
    <w:rsid w:val="00B66CF0"/>
    <w:rsid w:val="00B8382E"/>
    <w:rsid w:val="00B92758"/>
    <w:rsid w:val="00B9734B"/>
    <w:rsid w:val="00BB6A70"/>
    <w:rsid w:val="00C10C45"/>
    <w:rsid w:val="00C11BFE"/>
    <w:rsid w:val="00C135D1"/>
    <w:rsid w:val="00C23281"/>
    <w:rsid w:val="00C42FFD"/>
    <w:rsid w:val="00C434F4"/>
    <w:rsid w:val="00C56403"/>
    <w:rsid w:val="00C61008"/>
    <w:rsid w:val="00C61230"/>
    <w:rsid w:val="00C70D9E"/>
    <w:rsid w:val="00C837DC"/>
    <w:rsid w:val="00CB2F31"/>
    <w:rsid w:val="00CB7696"/>
    <w:rsid w:val="00CD0A5A"/>
    <w:rsid w:val="00CD0B21"/>
    <w:rsid w:val="00CD7C9A"/>
    <w:rsid w:val="00CE73CD"/>
    <w:rsid w:val="00D04697"/>
    <w:rsid w:val="00D31938"/>
    <w:rsid w:val="00D45252"/>
    <w:rsid w:val="00D4592C"/>
    <w:rsid w:val="00D53CFE"/>
    <w:rsid w:val="00D53E8E"/>
    <w:rsid w:val="00D61B97"/>
    <w:rsid w:val="00D65B8C"/>
    <w:rsid w:val="00D71B4D"/>
    <w:rsid w:val="00D93D55"/>
    <w:rsid w:val="00DA1B2F"/>
    <w:rsid w:val="00DB0DE4"/>
    <w:rsid w:val="00DB0E4B"/>
    <w:rsid w:val="00DB7420"/>
    <w:rsid w:val="00DB75CC"/>
    <w:rsid w:val="00DF3CC1"/>
    <w:rsid w:val="00E077F0"/>
    <w:rsid w:val="00E1032B"/>
    <w:rsid w:val="00E27AA3"/>
    <w:rsid w:val="00E309E6"/>
    <w:rsid w:val="00E335FE"/>
    <w:rsid w:val="00E37350"/>
    <w:rsid w:val="00E444AD"/>
    <w:rsid w:val="00E4473E"/>
    <w:rsid w:val="00EA4595"/>
    <w:rsid w:val="00EA748D"/>
    <w:rsid w:val="00EB339A"/>
    <w:rsid w:val="00EC4828"/>
    <w:rsid w:val="00EC4E49"/>
    <w:rsid w:val="00ED4C37"/>
    <w:rsid w:val="00ED77FB"/>
    <w:rsid w:val="00EE45FA"/>
    <w:rsid w:val="00EE7D11"/>
    <w:rsid w:val="00F411C7"/>
    <w:rsid w:val="00F516DC"/>
    <w:rsid w:val="00F53E02"/>
    <w:rsid w:val="00F66152"/>
    <w:rsid w:val="00F96287"/>
    <w:rsid w:val="00FA7E91"/>
    <w:rsid w:val="00FC00AF"/>
    <w:rsid w:val="00FC3B55"/>
    <w:rsid w:val="00FC614C"/>
    <w:rsid w:val="00FD1AEE"/>
    <w:rsid w:val="00FE646B"/>
    <w:rsid w:val="00FF47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76C5C"/>
    <w:rPr>
      <w:rFonts w:ascii="Arial" w:eastAsia="SimSun" w:hAnsi="Arial" w:cs="Arial"/>
      <w:sz w:val="22"/>
    </w:rPr>
  </w:style>
  <w:style w:type="paragraph" w:styleId="1">
    <w:name w:val="heading 1"/>
    <w:basedOn w:val="a1"/>
    <w:next w:val="a1"/>
    <w:link w:val="1Char"/>
    <w:qFormat/>
    <w:rsid w:val="00676C5C"/>
    <w:pPr>
      <w:keepNext/>
      <w:spacing w:before="240" w:after="60"/>
      <w:outlineLvl w:val="0"/>
    </w:pPr>
    <w:rPr>
      <w:b/>
      <w:bCs/>
      <w:caps/>
      <w:kern w:val="32"/>
      <w:szCs w:val="32"/>
    </w:rPr>
  </w:style>
  <w:style w:type="paragraph" w:styleId="2">
    <w:name w:val="heading 2"/>
    <w:basedOn w:val="a1"/>
    <w:next w:val="a1"/>
    <w:link w:val="2Char"/>
    <w:qFormat/>
    <w:rsid w:val="00676C5C"/>
    <w:pPr>
      <w:keepNext/>
      <w:spacing w:before="240" w:after="60"/>
      <w:outlineLvl w:val="1"/>
    </w:pPr>
    <w:rPr>
      <w:bCs/>
      <w:iCs/>
      <w:caps/>
      <w:szCs w:val="28"/>
    </w:rPr>
  </w:style>
  <w:style w:type="paragraph" w:styleId="3">
    <w:name w:val="heading 3"/>
    <w:basedOn w:val="a1"/>
    <w:next w:val="a1"/>
    <w:qFormat/>
    <w:rsid w:val="00676C5C"/>
    <w:pPr>
      <w:keepNext/>
      <w:spacing w:before="240" w:after="60"/>
      <w:outlineLvl w:val="2"/>
    </w:pPr>
    <w:rPr>
      <w:bCs/>
      <w:szCs w:val="26"/>
      <w:u w:val="single"/>
    </w:rPr>
  </w:style>
  <w:style w:type="paragraph" w:styleId="4">
    <w:name w:val="heading 4"/>
    <w:basedOn w:val="a1"/>
    <w:next w:val="a1"/>
    <w:qFormat/>
    <w:rsid w:val="00676C5C"/>
    <w:pPr>
      <w:keepNext/>
      <w:spacing w:before="240" w:after="60"/>
      <w:outlineLvl w:val="3"/>
    </w:pPr>
    <w:rPr>
      <w:bCs/>
      <w:i/>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Endofdocument-Annex">
    <w:name w:val="[End of document - Annex]"/>
    <w:basedOn w:val="a1"/>
    <w:rsid w:val="0053057A"/>
    <w:pPr>
      <w:ind w:left="5534"/>
    </w:pPr>
  </w:style>
  <w:style w:type="paragraph" w:styleId="a5">
    <w:name w:val="Body Text"/>
    <w:basedOn w:val="a1"/>
    <w:rsid w:val="00676C5C"/>
    <w:pPr>
      <w:spacing w:after="220"/>
    </w:pPr>
  </w:style>
  <w:style w:type="paragraph" w:styleId="a6">
    <w:name w:val="caption"/>
    <w:basedOn w:val="a1"/>
    <w:next w:val="a1"/>
    <w:qFormat/>
    <w:rsid w:val="00676C5C"/>
    <w:rPr>
      <w:b/>
      <w:bCs/>
      <w:sz w:val="18"/>
    </w:rPr>
  </w:style>
  <w:style w:type="paragraph" w:styleId="a7">
    <w:name w:val="annotation text"/>
    <w:basedOn w:val="a1"/>
    <w:semiHidden/>
    <w:rsid w:val="00676C5C"/>
    <w:rPr>
      <w:sz w:val="18"/>
    </w:rPr>
  </w:style>
  <w:style w:type="paragraph" w:styleId="a8">
    <w:name w:val="endnote text"/>
    <w:basedOn w:val="a1"/>
    <w:semiHidden/>
    <w:rsid w:val="00676C5C"/>
    <w:rPr>
      <w:sz w:val="18"/>
    </w:rPr>
  </w:style>
  <w:style w:type="paragraph" w:styleId="a9">
    <w:name w:val="footer"/>
    <w:basedOn w:val="a1"/>
    <w:semiHidden/>
    <w:rsid w:val="00676C5C"/>
    <w:pPr>
      <w:tabs>
        <w:tab w:val="center" w:pos="4320"/>
        <w:tab w:val="right" w:pos="8640"/>
      </w:tabs>
    </w:pPr>
  </w:style>
  <w:style w:type="paragraph" w:styleId="aa">
    <w:name w:val="footnote text"/>
    <w:basedOn w:val="a1"/>
    <w:semiHidden/>
    <w:rsid w:val="00676C5C"/>
    <w:rPr>
      <w:sz w:val="18"/>
    </w:rPr>
  </w:style>
  <w:style w:type="paragraph" w:styleId="ab">
    <w:name w:val="header"/>
    <w:basedOn w:val="a1"/>
    <w:link w:val="Char"/>
    <w:uiPriority w:val="99"/>
    <w:rsid w:val="00676C5C"/>
    <w:pPr>
      <w:tabs>
        <w:tab w:val="center" w:pos="4536"/>
        <w:tab w:val="right" w:pos="9072"/>
      </w:tabs>
    </w:pPr>
  </w:style>
  <w:style w:type="paragraph" w:styleId="a">
    <w:name w:val="List Number"/>
    <w:basedOn w:val="a1"/>
    <w:semiHidden/>
    <w:rsid w:val="00676C5C"/>
    <w:pPr>
      <w:numPr>
        <w:numId w:val="1"/>
      </w:numPr>
    </w:pPr>
  </w:style>
  <w:style w:type="paragraph" w:customStyle="1" w:styleId="ONUME">
    <w:name w:val="ONUM E"/>
    <w:basedOn w:val="a5"/>
    <w:rsid w:val="00676C5C"/>
    <w:pPr>
      <w:numPr>
        <w:numId w:val="2"/>
      </w:numPr>
    </w:pPr>
  </w:style>
  <w:style w:type="paragraph" w:customStyle="1" w:styleId="ONUMFS">
    <w:name w:val="ONUM FS"/>
    <w:basedOn w:val="a5"/>
    <w:rsid w:val="00676C5C"/>
    <w:pPr>
      <w:numPr>
        <w:numId w:val="3"/>
      </w:numPr>
    </w:pPr>
  </w:style>
  <w:style w:type="paragraph" w:styleId="a0">
    <w:name w:val="Salutation"/>
    <w:basedOn w:val="a1"/>
    <w:next w:val="a1"/>
    <w:semiHidden/>
    <w:rsid w:val="00676C5C"/>
    <w:pPr>
      <w:numPr>
        <w:numId w:val="4"/>
      </w:numPr>
    </w:pPr>
  </w:style>
  <w:style w:type="paragraph" w:styleId="ac">
    <w:name w:val="Signature"/>
    <w:basedOn w:val="a1"/>
    <w:semiHidden/>
    <w:rsid w:val="00676C5C"/>
    <w:pPr>
      <w:ind w:left="5250"/>
    </w:pPr>
  </w:style>
  <w:style w:type="paragraph" w:styleId="ad">
    <w:name w:val="Balloon Text"/>
    <w:basedOn w:val="a1"/>
    <w:link w:val="Char0"/>
    <w:rsid w:val="00A77461"/>
    <w:rPr>
      <w:rFonts w:ascii="Tahoma" w:hAnsi="Tahoma" w:cs="Tahoma"/>
      <w:sz w:val="16"/>
      <w:szCs w:val="16"/>
    </w:rPr>
  </w:style>
  <w:style w:type="character" w:customStyle="1" w:styleId="Char0">
    <w:name w:val="批注框文本 Char"/>
    <w:basedOn w:val="a2"/>
    <w:link w:val="ad"/>
    <w:rsid w:val="00A77461"/>
    <w:rPr>
      <w:rFonts w:ascii="Tahoma" w:eastAsia="SimSun" w:hAnsi="Tahoma" w:cs="Tahoma"/>
      <w:sz w:val="16"/>
      <w:szCs w:val="16"/>
    </w:rPr>
  </w:style>
  <w:style w:type="character" w:customStyle="1" w:styleId="1Char">
    <w:name w:val="标题 1 Char"/>
    <w:basedOn w:val="a2"/>
    <w:link w:val="1"/>
    <w:rsid w:val="00D53E8E"/>
    <w:rPr>
      <w:rFonts w:ascii="Arial" w:eastAsia="SimSun" w:hAnsi="Arial" w:cs="Arial"/>
      <w:b/>
      <w:bCs/>
      <w:caps/>
      <w:kern w:val="32"/>
      <w:sz w:val="22"/>
      <w:szCs w:val="32"/>
    </w:rPr>
  </w:style>
  <w:style w:type="character" w:customStyle="1" w:styleId="2Char">
    <w:name w:val="标题 2 Char"/>
    <w:basedOn w:val="a2"/>
    <w:link w:val="2"/>
    <w:rsid w:val="00D53E8E"/>
    <w:rPr>
      <w:rFonts w:ascii="Arial" w:eastAsia="SimSun" w:hAnsi="Arial" w:cs="Arial"/>
      <w:bCs/>
      <w:iCs/>
      <w:caps/>
      <w:sz w:val="22"/>
      <w:szCs w:val="28"/>
    </w:rPr>
  </w:style>
  <w:style w:type="paragraph" w:customStyle="1" w:styleId="Default">
    <w:name w:val="Default"/>
    <w:rsid w:val="00D53E8E"/>
    <w:pPr>
      <w:autoSpaceDE w:val="0"/>
      <w:autoSpaceDN w:val="0"/>
      <w:adjustRightInd w:val="0"/>
    </w:pPr>
    <w:rPr>
      <w:rFonts w:ascii="Arial" w:hAnsi="Arial" w:cs="Arial"/>
      <w:color w:val="000000"/>
      <w:sz w:val="24"/>
      <w:szCs w:val="24"/>
      <w:lang w:eastAsia="en-US"/>
    </w:rPr>
  </w:style>
  <w:style w:type="character" w:customStyle="1" w:styleId="Char">
    <w:name w:val="页眉 Char"/>
    <w:basedOn w:val="a2"/>
    <w:link w:val="ab"/>
    <w:uiPriority w:val="99"/>
    <w:rsid w:val="00D53E8E"/>
    <w:rPr>
      <w:rFonts w:ascii="Arial" w:eastAsia="SimSun"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76C5C"/>
    <w:rPr>
      <w:rFonts w:ascii="Arial" w:eastAsia="SimSun" w:hAnsi="Arial" w:cs="Arial"/>
      <w:sz w:val="22"/>
    </w:rPr>
  </w:style>
  <w:style w:type="paragraph" w:styleId="1">
    <w:name w:val="heading 1"/>
    <w:basedOn w:val="a1"/>
    <w:next w:val="a1"/>
    <w:link w:val="1Char"/>
    <w:qFormat/>
    <w:rsid w:val="00676C5C"/>
    <w:pPr>
      <w:keepNext/>
      <w:spacing w:before="240" w:after="60"/>
      <w:outlineLvl w:val="0"/>
    </w:pPr>
    <w:rPr>
      <w:b/>
      <w:bCs/>
      <w:caps/>
      <w:kern w:val="32"/>
      <w:szCs w:val="32"/>
    </w:rPr>
  </w:style>
  <w:style w:type="paragraph" w:styleId="2">
    <w:name w:val="heading 2"/>
    <w:basedOn w:val="a1"/>
    <w:next w:val="a1"/>
    <w:link w:val="2Char"/>
    <w:qFormat/>
    <w:rsid w:val="00676C5C"/>
    <w:pPr>
      <w:keepNext/>
      <w:spacing w:before="240" w:after="60"/>
      <w:outlineLvl w:val="1"/>
    </w:pPr>
    <w:rPr>
      <w:bCs/>
      <w:iCs/>
      <w:caps/>
      <w:szCs w:val="28"/>
    </w:rPr>
  </w:style>
  <w:style w:type="paragraph" w:styleId="3">
    <w:name w:val="heading 3"/>
    <w:basedOn w:val="a1"/>
    <w:next w:val="a1"/>
    <w:qFormat/>
    <w:rsid w:val="00676C5C"/>
    <w:pPr>
      <w:keepNext/>
      <w:spacing w:before="240" w:after="60"/>
      <w:outlineLvl w:val="2"/>
    </w:pPr>
    <w:rPr>
      <w:bCs/>
      <w:szCs w:val="26"/>
      <w:u w:val="single"/>
    </w:rPr>
  </w:style>
  <w:style w:type="paragraph" w:styleId="4">
    <w:name w:val="heading 4"/>
    <w:basedOn w:val="a1"/>
    <w:next w:val="a1"/>
    <w:qFormat/>
    <w:rsid w:val="00676C5C"/>
    <w:pPr>
      <w:keepNext/>
      <w:spacing w:before="240" w:after="60"/>
      <w:outlineLvl w:val="3"/>
    </w:pPr>
    <w:rPr>
      <w:bCs/>
      <w:i/>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Endofdocument-Annex">
    <w:name w:val="[End of document - Annex]"/>
    <w:basedOn w:val="a1"/>
    <w:rsid w:val="0053057A"/>
    <w:pPr>
      <w:ind w:left="5534"/>
    </w:pPr>
  </w:style>
  <w:style w:type="paragraph" w:styleId="a5">
    <w:name w:val="Body Text"/>
    <w:basedOn w:val="a1"/>
    <w:rsid w:val="00676C5C"/>
    <w:pPr>
      <w:spacing w:after="220"/>
    </w:pPr>
  </w:style>
  <w:style w:type="paragraph" w:styleId="a6">
    <w:name w:val="caption"/>
    <w:basedOn w:val="a1"/>
    <w:next w:val="a1"/>
    <w:qFormat/>
    <w:rsid w:val="00676C5C"/>
    <w:rPr>
      <w:b/>
      <w:bCs/>
      <w:sz w:val="18"/>
    </w:rPr>
  </w:style>
  <w:style w:type="paragraph" w:styleId="a7">
    <w:name w:val="annotation text"/>
    <w:basedOn w:val="a1"/>
    <w:semiHidden/>
    <w:rsid w:val="00676C5C"/>
    <w:rPr>
      <w:sz w:val="18"/>
    </w:rPr>
  </w:style>
  <w:style w:type="paragraph" w:styleId="a8">
    <w:name w:val="endnote text"/>
    <w:basedOn w:val="a1"/>
    <w:semiHidden/>
    <w:rsid w:val="00676C5C"/>
    <w:rPr>
      <w:sz w:val="18"/>
    </w:rPr>
  </w:style>
  <w:style w:type="paragraph" w:styleId="a9">
    <w:name w:val="footer"/>
    <w:basedOn w:val="a1"/>
    <w:semiHidden/>
    <w:rsid w:val="00676C5C"/>
    <w:pPr>
      <w:tabs>
        <w:tab w:val="center" w:pos="4320"/>
        <w:tab w:val="right" w:pos="8640"/>
      </w:tabs>
    </w:pPr>
  </w:style>
  <w:style w:type="paragraph" w:styleId="aa">
    <w:name w:val="footnote text"/>
    <w:basedOn w:val="a1"/>
    <w:semiHidden/>
    <w:rsid w:val="00676C5C"/>
    <w:rPr>
      <w:sz w:val="18"/>
    </w:rPr>
  </w:style>
  <w:style w:type="paragraph" w:styleId="ab">
    <w:name w:val="header"/>
    <w:basedOn w:val="a1"/>
    <w:link w:val="Char"/>
    <w:uiPriority w:val="99"/>
    <w:rsid w:val="00676C5C"/>
    <w:pPr>
      <w:tabs>
        <w:tab w:val="center" w:pos="4536"/>
        <w:tab w:val="right" w:pos="9072"/>
      </w:tabs>
    </w:pPr>
  </w:style>
  <w:style w:type="paragraph" w:styleId="a">
    <w:name w:val="List Number"/>
    <w:basedOn w:val="a1"/>
    <w:semiHidden/>
    <w:rsid w:val="00676C5C"/>
    <w:pPr>
      <w:numPr>
        <w:numId w:val="1"/>
      </w:numPr>
    </w:pPr>
  </w:style>
  <w:style w:type="paragraph" w:customStyle="1" w:styleId="ONUME">
    <w:name w:val="ONUM E"/>
    <w:basedOn w:val="a5"/>
    <w:rsid w:val="00676C5C"/>
    <w:pPr>
      <w:numPr>
        <w:numId w:val="2"/>
      </w:numPr>
    </w:pPr>
  </w:style>
  <w:style w:type="paragraph" w:customStyle="1" w:styleId="ONUMFS">
    <w:name w:val="ONUM FS"/>
    <w:basedOn w:val="a5"/>
    <w:rsid w:val="00676C5C"/>
    <w:pPr>
      <w:numPr>
        <w:numId w:val="3"/>
      </w:numPr>
    </w:pPr>
  </w:style>
  <w:style w:type="paragraph" w:styleId="a0">
    <w:name w:val="Salutation"/>
    <w:basedOn w:val="a1"/>
    <w:next w:val="a1"/>
    <w:semiHidden/>
    <w:rsid w:val="00676C5C"/>
    <w:pPr>
      <w:numPr>
        <w:numId w:val="4"/>
      </w:numPr>
    </w:pPr>
  </w:style>
  <w:style w:type="paragraph" w:styleId="ac">
    <w:name w:val="Signature"/>
    <w:basedOn w:val="a1"/>
    <w:semiHidden/>
    <w:rsid w:val="00676C5C"/>
    <w:pPr>
      <w:ind w:left="5250"/>
    </w:pPr>
  </w:style>
  <w:style w:type="paragraph" w:styleId="ad">
    <w:name w:val="Balloon Text"/>
    <w:basedOn w:val="a1"/>
    <w:link w:val="Char0"/>
    <w:rsid w:val="00A77461"/>
    <w:rPr>
      <w:rFonts w:ascii="Tahoma" w:hAnsi="Tahoma" w:cs="Tahoma"/>
      <w:sz w:val="16"/>
      <w:szCs w:val="16"/>
    </w:rPr>
  </w:style>
  <w:style w:type="character" w:customStyle="1" w:styleId="Char0">
    <w:name w:val="批注框文本 Char"/>
    <w:basedOn w:val="a2"/>
    <w:link w:val="ad"/>
    <w:rsid w:val="00A77461"/>
    <w:rPr>
      <w:rFonts w:ascii="Tahoma" w:eastAsia="SimSun" w:hAnsi="Tahoma" w:cs="Tahoma"/>
      <w:sz w:val="16"/>
      <w:szCs w:val="16"/>
    </w:rPr>
  </w:style>
  <w:style w:type="character" w:customStyle="1" w:styleId="1Char">
    <w:name w:val="标题 1 Char"/>
    <w:basedOn w:val="a2"/>
    <w:link w:val="1"/>
    <w:rsid w:val="00D53E8E"/>
    <w:rPr>
      <w:rFonts w:ascii="Arial" w:eastAsia="SimSun" w:hAnsi="Arial" w:cs="Arial"/>
      <w:b/>
      <w:bCs/>
      <w:caps/>
      <w:kern w:val="32"/>
      <w:sz w:val="22"/>
      <w:szCs w:val="32"/>
    </w:rPr>
  </w:style>
  <w:style w:type="character" w:customStyle="1" w:styleId="2Char">
    <w:name w:val="标题 2 Char"/>
    <w:basedOn w:val="a2"/>
    <w:link w:val="2"/>
    <w:rsid w:val="00D53E8E"/>
    <w:rPr>
      <w:rFonts w:ascii="Arial" w:eastAsia="SimSun" w:hAnsi="Arial" w:cs="Arial"/>
      <w:bCs/>
      <w:iCs/>
      <w:caps/>
      <w:sz w:val="22"/>
      <w:szCs w:val="28"/>
    </w:rPr>
  </w:style>
  <w:style w:type="paragraph" w:customStyle="1" w:styleId="Default">
    <w:name w:val="Default"/>
    <w:rsid w:val="00D53E8E"/>
    <w:pPr>
      <w:autoSpaceDE w:val="0"/>
      <w:autoSpaceDN w:val="0"/>
      <w:adjustRightInd w:val="0"/>
    </w:pPr>
    <w:rPr>
      <w:rFonts w:ascii="Arial" w:hAnsi="Arial" w:cs="Arial"/>
      <w:color w:val="000000"/>
      <w:sz w:val="24"/>
      <w:szCs w:val="24"/>
      <w:lang w:eastAsia="en-US"/>
    </w:rPr>
  </w:style>
  <w:style w:type="character" w:customStyle="1" w:styleId="Char">
    <w:name w:val="页眉 Char"/>
    <w:basedOn w:val="a2"/>
    <w:link w:val="ab"/>
    <w:uiPriority w:val="99"/>
    <w:rsid w:val="00D53E8E"/>
    <w:rPr>
      <w:rFonts w:ascii="Arial" w:eastAsia="SimSun"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1298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image" Target="media/image5.emf"/><Relationship Id="rId10" Type="http://schemas.openxmlformats.org/officeDocument/2006/relationships/hyperlink" Target="http://www.wipo.int/meetings/en/doc_details.jsp?doc_id=308440"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5D3ADD-1109-43D8-99EF-6343315C2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9</Pages>
  <Words>7319</Words>
  <Characters>877</Characters>
  <Application>Microsoft Office Word</Application>
  <DocSecurity>0</DocSecurity>
  <Lines>27</Lines>
  <Paragraphs>81</Paragraphs>
  <ScaleCrop>false</ScaleCrop>
  <HeadingPairs>
    <vt:vector size="2" baseType="variant">
      <vt:variant>
        <vt:lpstr>Title</vt:lpstr>
      </vt:variant>
      <vt:variant>
        <vt:i4>1</vt:i4>
      </vt:variant>
    </vt:vector>
  </HeadingPairs>
  <TitlesOfParts>
    <vt:vector size="1" baseType="lpstr">
      <vt:lpstr>WO/PBC/24/</vt:lpstr>
    </vt:vector>
  </TitlesOfParts>
  <Company>WIPO</Company>
  <LinksUpToDate>false</LinksUpToDate>
  <CharactersWithSpaces>8115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WO/PBC/24/INF.3</dc:title>
  <dc:subject>专利合作条约(PCT)工作组PCT收入对冲战略提案的最新情况</dc:subject>
  <dc:creator/>
  <cp:lastModifiedBy>MA Weihai</cp:lastModifiedBy>
  <cp:revision>7</cp:revision>
  <cp:lastPrinted>2015-09-07T12:13:00Z</cp:lastPrinted>
  <dcterms:created xsi:type="dcterms:W3CDTF">2015-09-13T13:34:00Z</dcterms:created>
  <dcterms:modified xsi:type="dcterms:W3CDTF">2015-09-13T14:25:00Z</dcterms:modified>
</cp:coreProperties>
</file>