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F5882" w:rsidRPr="003F5882" w:rsidTr="003F588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F5882" w:rsidRPr="003F5882" w:rsidRDefault="003F5882" w:rsidP="003F5882">
            <w:pPr>
              <w:widowControl w:val="0"/>
              <w:jc w:val="both"/>
              <w:rPr>
                <w:rFonts w:ascii="Calibri" w:eastAsia="SimSun" w:hAnsi="Calibri" w:cs="Times New Roman"/>
                <w:kern w:val="2"/>
                <w:sz w:val="21"/>
                <w:szCs w:val="22"/>
                <w:lang w:val="en-US" w:bidi="ar-SA"/>
              </w:rPr>
            </w:pPr>
            <w:bookmarkStart w:id="0" w:name="_GoBack"/>
            <w:bookmarkEnd w:id="0"/>
            <w:r w:rsidRPr="003F5882">
              <w:rPr>
                <w:rFonts w:ascii="Calibri" w:eastAsia="SimSun" w:hAnsi="Calibri" w:cs="Times New Roman"/>
                <w:noProof/>
                <w:kern w:val="2"/>
                <w:sz w:val="21"/>
                <w:szCs w:val="22"/>
                <w:lang w:val="en-US" w:bidi="ar-SA"/>
              </w:rPr>
              <w:drawing>
                <wp:anchor distT="0" distB="0" distL="114300" distR="114300" simplePos="0" relativeHeight="251664384" behindDoc="1" locked="0" layoutInCell="0" allowOverlap="1" wp14:anchorId="6D5462B3" wp14:editId="595B52A1">
                  <wp:simplePos x="0" y="0"/>
                  <wp:positionH relativeFrom="page">
                    <wp:posOffset>3834130</wp:posOffset>
                  </wp:positionH>
                  <wp:positionV relativeFrom="margin">
                    <wp:posOffset>0</wp:posOffset>
                  </wp:positionV>
                  <wp:extent cx="866775" cy="1323975"/>
                  <wp:effectExtent l="0" t="0" r="9525" b="9525"/>
                  <wp:wrapNone/>
                  <wp:docPr id="93" name="图片 9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F5882" w:rsidRPr="003F5882" w:rsidRDefault="003F5882" w:rsidP="003F5882">
            <w:pPr>
              <w:widowControl w:val="0"/>
              <w:jc w:val="both"/>
              <w:rPr>
                <w:rFonts w:ascii="Calibri" w:eastAsia="SimSun" w:hAnsi="Calibri" w:cs="Times New Roman"/>
                <w:kern w:val="2"/>
                <w:sz w:val="21"/>
                <w:szCs w:val="22"/>
                <w:lang w:val="en-US" w:bidi="ar-SA"/>
              </w:rPr>
            </w:pPr>
          </w:p>
        </w:tc>
        <w:tc>
          <w:tcPr>
            <w:tcW w:w="425" w:type="dxa"/>
            <w:tcBorders>
              <w:top w:val="nil"/>
              <w:left w:val="nil"/>
              <w:bottom w:val="single" w:sz="4" w:space="0" w:color="auto"/>
              <w:right w:val="nil"/>
            </w:tcBorders>
            <w:tcMar>
              <w:top w:w="0" w:type="dxa"/>
              <w:left w:w="0" w:type="dxa"/>
              <w:bottom w:w="0" w:type="dxa"/>
              <w:right w:w="0" w:type="dxa"/>
            </w:tcMar>
            <w:hideMark/>
          </w:tcPr>
          <w:p w:rsidR="003F5882" w:rsidRPr="003F5882" w:rsidRDefault="003F5882" w:rsidP="003F5882">
            <w:pPr>
              <w:widowControl w:val="0"/>
              <w:jc w:val="right"/>
              <w:rPr>
                <w:rFonts w:ascii="Arial" w:eastAsia="SimSun" w:hAnsi="Arial" w:cs="Arial"/>
                <w:kern w:val="2"/>
                <w:sz w:val="21"/>
                <w:szCs w:val="22"/>
                <w:lang w:val="en-US" w:bidi="ar-SA"/>
              </w:rPr>
            </w:pPr>
            <w:r w:rsidRPr="003F5882">
              <w:rPr>
                <w:rFonts w:ascii="Arial" w:eastAsia="SimSun" w:hAnsi="Arial" w:cs="Arial"/>
                <w:b/>
                <w:kern w:val="2"/>
                <w:sz w:val="40"/>
                <w:szCs w:val="40"/>
                <w:lang w:val="en-US" w:bidi="ar-SA"/>
              </w:rPr>
              <w:t>C</w:t>
            </w:r>
          </w:p>
        </w:tc>
      </w:tr>
      <w:tr w:rsidR="003F5882" w:rsidRPr="003F5882" w:rsidTr="003F588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F5882" w:rsidRPr="003F5882" w:rsidRDefault="003F5882" w:rsidP="00B31204">
            <w:pPr>
              <w:widowControl w:val="0"/>
              <w:wordWrap w:val="0"/>
              <w:jc w:val="right"/>
              <w:rPr>
                <w:rFonts w:ascii="Arial Black" w:eastAsia="SimHei" w:hAnsi="Arial Black" w:cs="Times New Roman"/>
                <w:caps/>
                <w:kern w:val="2"/>
                <w:sz w:val="15"/>
                <w:szCs w:val="22"/>
                <w:lang w:val="en-US" w:bidi="ar-SA"/>
              </w:rPr>
            </w:pPr>
            <w:r w:rsidRPr="003F5882">
              <w:rPr>
                <w:rFonts w:ascii="Arial Black" w:eastAsia="SimHei" w:hAnsi="Arial Black" w:cs="Times New Roman"/>
                <w:caps/>
                <w:kern w:val="2"/>
                <w:sz w:val="15"/>
                <w:szCs w:val="22"/>
                <w:lang w:val="en-US" w:bidi="ar-SA"/>
              </w:rPr>
              <w:t>WO/PBC/</w:t>
            </w:r>
            <w:r w:rsidRPr="003F5882">
              <w:rPr>
                <w:rFonts w:ascii="Arial Black" w:eastAsia="SimHei" w:hAnsi="Arial Black" w:cs="Times New Roman" w:hint="eastAsia"/>
                <w:caps/>
                <w:kern w:val="2"/>
                <w:sz w:val="15"/>
                <w:szCs w:val="22"/>
                <w:lang w:val="en-US" w:bidi="ar-SA"/>
              </w:rPr>
              <w:t>24</w:t>
            </w:r>
            <w:r w:rsidRPr="003F5882">
              <w:rPr>
                <w:rFonts w:ascii="Arial Black" w:eastAsia="SimHei" w:hAnsi="Arial Black" w:cs="Times New Roman"/>
                <w:caps/>
                <w:kern w:val="2"/>
                <w:sz w:val="15"/>
                <w:szCs w:val="22"/>
                <w:lang w:val="en-US" w:bidi="ar-SA"/>
              </w:rPr>
              <w:t>/</w:t>
            </w:r>
            <w:bookmarkStart w:id="1" w:name="Code"/>
            <w:bookmarkEnd w:id="1"/>
            <w:r w:rsidR="00B31204">
              <w:rPr>
                <w:rFonts w:ascii="Arial Black" w:eastAsia="SimHei" w:hAnsi="Arial Black" w:cs="Times New Roman" w:hint="eastAsia"/>
                <w:caps/>
                <w:kern w:val="2"/>
                <w:sz w:val="15"/>
                <w:szCs w:val="22"/>
                <w:lang w:val="en-US" w:bidi="ar-SA"/>
              </w:rPr>
              <w:t>8</w:t>
            </w:r>
          </w:p>
        </w:tc>
      </w:tr>
      <w:tr w:rsidR="003F5882" w:rsidRPr="003F5882" w:rsidTr="003F5882">
        <w:trPr>
          <w:trHeight w:hRule="exact" w:val="170"/>
        </w:trPr>
        <w:tc>
          <w:tcPr>
            <w:tcW w:w="9360" w:type="dxa"/>
            <w:gridSpan w:val="3"/>
            <w:noWrap/>
            <w:tcMar>
              <w:top w:w="0" w:type="dxa"/>
              <w:left w:w="0" w:type="dxa"/>
              <w:bottom w:w="0" w:type="dxa"/>
              <w:right w:w="0" w:type="dxa"/>
            </w:tcMar>
            <w:vAlign w:val="bottom"/>
            <w:hideMark/>
          </w:tcPr>
          <w:p w:rsidR="003F5882" w:rsidRPr="003F5882" w:rsidRDefault="003F5882" w:rsidP="003F5882">
            <w:pPr>
              <w:widowControl w:val="0"/>
              <w:jc w:val="right"/>
              <w:rPr>
                <w:rFonts w:ascii="Arial Black" w:eastAsia="SimHei" w:hAnsi="Arial Black" w:cs="Times New Roman"/>
                <w:b/>
                <w:caps/>
                <w:kern w:val="2"/>
                <w:sz w:val="15"/>
                <w:szCs w:val="15"/>
                <w:lang w:val="en-US" w:bidi="ar-SA"/>
              </w:rPr>
            </w:pPr>
            <w:r w:rsidRPr="003F5882">
              <w:rPr>
                <w:rFonts w:ascii="Arial Black" w:eastAsia="SimHei" w:hAnsi="Arial Black" w:cs="Times New Roman" w:hint="eastAsia"/>
                <w:b/>
                <w:kern w:val="2"/>
                <w:sz w:val="15"/>
                <w:szCs w:val="15"/>
                <w:lang w:val="en-US" w:bidi="ar-SA"/>
              </w:rPr>
              <w:t>原</w:t>
            </w:r>
            <w:r w:rsidRPr="003F5882">
              <w:rPr>
                <w:rFonts w:ascii="Arial Black" w:eastAsia="SimHei" w:hAnsi="Arial Black" w:cs="Times New Roman" w:hint="eastAsia"/>
                <w:b/>
                <w:kern w:val="2"/>
                <w:sz w:val="15"/>
                <w:szCs w:val="15"/>
                <w:lang w:val="pt-BR" w:bidi="ar-SA"/>
              </w:rPr>
              <w:t xml:space="preserve">　</w:t>
            </w:r>
            <w:r w:rsidRPr="003F5882">
              <w:rPr>
                <w:rFonts w:ascii="Arial Black" w:eastAsia="SimHei" w:hAnsi="Arial Black" w:cs="Times New Roman" w:hint="eastAsia"/>
                <w:b/>
                <w:kern w:val="2"/>
                <w:sz w:val="15"/>
                <w:szCs w:val="15"/>
                <w:lang w:val="en-US" w:bidi="ar-SA"/>
              </w:rPr>
              <w:t>文</w:t>
            </w:r>
            <w:r w:rsidRPr="003F5882">
              <w:rPr>
                <w:rFonts w:ascii="Arial Black" w:eastAsia="SimHei" w:hAnsi="Arial Black" w:cs="Times New Roman" w:hint="eastAsia"/>
                <w:b/>
                <w:kern w:val="2"/>
                <w:sz w:val="15"/>
                <w:szCs w:val="15"/>
                <w:lang w:val="pt-BR" w:bidi="ar-SA"/>
              </w:rPr>
              <w:t>：</w:t>
            </w:r>
            <w:bookmarkStart w:id="2" w:name="Language"/>
            <w:bookmarkEnd w:id="2"/>
            <w:r w:rsidRPr="003F5882">
              <w:rPr>
                <w:rFonts w:ascii="Arial Black" w:eastAsia="SimHei" w:hAnsi="Arial Black" w:cs="Times New Roman" w:hint="eastAsia"/>
                <w:b/>
                <w:kern w:val="2"/>
                <w:sz w:val="15"/>
                <w:szCs w:val="15"/>
                <w:lang w:val="en-US" w:bidi="ar-SA"/>
              </w:rPr>
              <w:t>英文</w:t>
            </w:r>
          </w:p>
        </w:tc>
      </w:tr>
      <w:tr w:rsidR="003F5882" w:rsidRPr="003F5882" w:rsidTr="003F5882">
        <w:trPr>
          <w:trHeight w:hRule="exact" w:val="198"/>
        </w:trPr>
        <w:tc>
          <w:tcPr>
            <w:tcW w:w="9360" w:type="dxa"/>
            <w:gridSpan w:val="3"/>
            <w:tcMar>
              <w:top w:w="0" w:type="dxa"/>
              <w:left w:w="0" w:type="dxa"/>
              <w:bottom w:w="0" w:type="dxa"/>
              <w:right w:w="0" w:type="dxa"/>
            </w:tcMar>
            <w:vAlign w:val="bottom"/>
            <w:hideMark/>
          </w:tcPr>
          <w:p w:rsidR="003F5882" w:rsidRPr="003F5882" w:rsidRDefault="003F5882" w:rsidP="00B31204">
            <w:pPr>
              <w:widowControl w:val="0"/>
              <w:jc w:val="right"/>
              <w:rPr>
                <w:rFonts w:ascii="Arial Black" w:eastAsia="SimHei" w:hAnsi="Arial Black" w:cs="Times New Roman"/>
                <w:kern w:val="2"/>
                <w:sz w:val="15"/>
                <w:szCs w:val="15"/>
                <w:lang w:val="pt-BR" w:bidi="ar-SA"/>
              </w:rPr>
            </w:pPr>
            <w:r w:rsidRPr="003F5882">
              <w:rPr>
                <w:rFonts w:ascii="Arial Black" w:eastAsia="SimHei" w:hAnsi="Arial Black" w:cs="Times New Roman" w:hint="eastAsia"/>
                <w:b/>
                <w:kern w:val="2"/>
                <w:sz w:val="15"/>
                <w:szCs w:val="15"/>
                <w:lang w:val="pt-BR" w:bidi="ar-SA"/>
              </w:rPr>
              <w:t>日　期：</w:t>
            </w:r>
            <w:bookmarkStart w:id="3" w:name="Date"/>
            <w:bookmarkEnd w:id="3"/>
            <w:r w:rsidRPr="003F5882">
              <w:rPr>
                <w:rFonts w:ascii="Arial Black" w:eastAsia="SimHei" w:hAnsi="Arial Black" w:cs="Times New Roman"/>
                <w:kern w:val="2"/>
                <w:sz w:val="15"/>
                <w:szCs w:val="15"/>
                <w:lang w:val="pt-BR" w:bidi="ar-SA"/>
              </w:rPr>
              <w:t>201</w:t>
            </w:r>
            <w:r w:rsidRPr="003F5882">
              <w:rPr>
                <w:rFonts w:ascii="Arial Black" w:eastAsia="SimHei" w:hAnsi="Arial Black" w:cs="Times New Roman" w:hint="eastAsia"/>
                <w:kern w:val="2"/>
                <w:sz w:val="15"/>
                <w:szCs w:val="15"/>
                <w:lang w:val="pt-BR" w:bidi="ar-SA"/>
              </w:rPr>
              <w:t>5</w:t>
            </w:r>
            <w:r w:rsidRPr="003F5882">
              <w:rPr>
                <w:rFonts w:ascii="Arial Black" w:eastAsia="SimHei" w:hAnsi="Arial Black" w:cs="Times New Roman" w:hint="eastAsia"/>
                <w:b/>
                <w:kern w:val="2"/>
                <w:sz w:val="15"/>
                <w:szCs w:val="15"/>
                <w:lang w:val="pt-BR" w:bidi="ar-SA"/>
              </w:rPr>
              <w:t>年</w:t>
            </w:r>
            <w:r w:rsidRPr="003F5882">
              <w:rPr>
                <w:rFonts w:ascii="Arial Black" w:eastAsia="SimHei" w:hAnsi="Arial Black" w:cs="Times New Roman" w:hint="eastAsia"/>
                <w:kern w:val="2"/>
                <w:sz w:val="15"/>
                <w:szCs w:val="15"/>
                <w:lang w:val="pt-BR" w:bidi="ar-SA"/>
              </w:rPr>
              <w:t>7</w:t>
            </w:r>
            <w:r w:rsidRPr="003F5882">
              <w:rPr>
                <w:rFonts w:ascii="Arial Black" w:eastAsia="SimHei" w:hAnsi="Arial Black" w:cs="Times New Roman" w:hint="eastAsia"/>
                <w:b/>
                <w:kern w:val="2"/>
                <w:sz w:val="15"/>
                <w:szCs w:val="15"/>
                <w:lang w:val="pt-BR" w:bidi="ar-SA"/>
              </w:rPr>
              <w:t>月</w:t>
            </w:r>
            <w:r w:rsidR="00B31204">
              <w:rPr>
                <w:rFonts w:ascii="Arial Black" w:eastAsia="SimHei" w:hAnsi="Arial Black" w:cs="Times New Roman" w:hint="eastAsia"/>
                <w:b/>
                <w:kern w:val="2"/>
                <w:sz w:val="15"/>
                <w:szCs w:val="15"/>
                <w:lang w:val="pt-BR" w:bidi="ar-SA"/>
              </w:rPr>
              <w:t>10</w:t>
            </w:r>
            <w:r w:rsidRPr="003F5882">
              <w:rPr>
                <w:rFonts w:ascii="Arial Black" w:eastAsia="SimHei" w:hAnsi="Arial Black" w:cs="Times New Roman" w:hint="eastAsia"/>
                <w:b/>
                <w:kern w:val="2"/>
                <w:sz w:val="15"/>
                <w:szCs w:val="15"/>
                <w:lang w:val="pt-BR" w:bidi="ar-SA"/>
              </w:rPr>
              <w:t>日</w:t>
            </w:r>
          </w:p>
        </w:tc>
      </w:tr>
    </w:tbl>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SimHei" w:eastAsia="SimHei" w:hAnsi="Calibri" w:cs="Times New Roman"/>
          <w:kern w:val="2"/>
          <w:sz w:val="28"/>
          <w:szCs w:val="28"/>
          <w:lang w:val="en-US" w:bidi="ar-SA"/>
        </w:rPr>
      </w:pPr>
      <w:r w:rsidRPr="003F5882">
        <w:rPr>
          <w:rFonts w:ascii="SimHei" w:eastAsia="SimHei" w:hAnsi="Calibri" w:cs="Times New Roman" w:hint="eastAsia"/>
          <w:kern w:val="2"/>
          <w:sz w:val="28"/>
          <w:szCs w:val="28"/>
          <w:lang w:val="en-US" w:bidi="ar-SA"/>
        </w:rPr>
        <w:t>计划和预算委员会</w:t>
      </w: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autoSpaceDE w:val="0"/>
        <w:autoSpaceDN w:val="0"/>
        <w:spacing w:line="380" w:lineRule="atLeast"/>
        <w:jc w:val="both"/>
        <w:textAlignment w:val="bottom"/>
        <w:rPr>
          <w:rFonts w:ascii="KaiTi" w:eastAsia="KaiTi" w:hAnsi="Calibri" w:cs="Times New Roman"/>
          <w:b/>
          <w:kern w:val="2"/>
          <w:lang w:val="en-US" w:bidi="ar-SA"/>
        </w:rPr>
      </w:pPr>
      <w:r w:rsidRPr="003F5882">
        <w:rPr>
          <w:rFonts w:ascii="KaiTi" w:eastAsia="KaiTi" w:hAnsi="Calibri" w:cs="Times New Roman" w:hint="eastAsia"/>
          <w:b/>
          <w:kern w:val="2"/>
          <w:lang w:val="en-US" w:bidi="ar-SA"/>
        </w:rPr>
        <w:t>第二十四届会议</w:t>
      </w:r>
    </w:p>
    <w:p w:rsidR="003F5882" w:rsidRPr="003F5882" w:rsidRDefault="003F5882" w:rsidP="003F5882">
      <w:pPr>
        <w:widowControl w:val="0"/>
        <w:spacing w:line="336" w:lineRule="exact"/>
        <w:jc w:val="both"/>
        <w:rPr>
          <w:rFonts w:ascii="KaiTi" w:eastAsia="KaiTi" w:hAnsi="KaiTi" w:cs="Times New Roman"/>
          <w:b/>
          <w:kern w:val="2"/>
          <w:lang w:val="en-US" w:bidi="ar-SA"/>
        </w:rPr>
      </w:pPr>
      <w:r w:rsidRPr="003F5882">
        <w:rPr>
          <w:rFonts w:ascii="KaiTi" w:eastAsia="KaiTi" w:hAnsi="KaiTi" w:cs="Times New Roman"/>
          <w:kern w:val="2"/>
          <w:lang w:val="en-US" w:bidi="ar-SA"/>
        </w:rPr>
        <w:t>201</w:t>
      </w:r>
      <w:r w:rsidRPr="003F5882">
        <w:rPr>
          <w:rFonts w:ascii="KaiTi" w:eastAsia="KaiTi" w:hAnsi="KaiTi" w:cs="Times New Roman" w:hint="eastAsia"/>
          <w:kern w:val="2"/>
          <w:lang w:val="en-US" w:bidi="ar-SA"/>
        </w:rPr>
        <w:t>5</w:t>
      </w:r>
      <w:r w:rsidRPr="003F5882">
        <w:rPr>
          <w:rFonts w:ascii="KaiTi" w:eastAsia="KaiTi" w:hAnsi="KaiTi" w:cs="Arial" w:hint="eastAsia"/>
          <w:b/>
          <w:kern w:val="2"/>
          <w:lang w:val="en-US" w:bidi="ar-SA"/>
        </w:rPr>
        <w:t>年</w:t>
      </w:r>
      <w:r w:rsidRPr="003F5882">
        <w:rPr>
          <w:rFonts w:ascii="KaiTi" w:eastAsia="KaiTi" w:hAnsi="KaiTi" w:cs="Times New Roman" w:hint="eastAsia"/>
          <w:kern w:val="2"/>
          <w:lang w:val="en-US" w:bidi="ar-SA"/>
        </w:rPr>
        <w:t>9</w:t>
      </w:r>
      <w:r w:rsidRPr="003F5882">
        <w:rPr>
          <w:rFonts w:ascii="KaiTi" w:eastAsia="KaiTi" w:hAnsi="KaiTi" w:cs="Arial" w:hint="eastAsia"/>
          <w:b/>
          <w:kern w:val="2"/>
          <w:lang w:val="en-US" w:bidi="ar-SA"/>
        </w:rPr>
        <w:t>月</w:t>
      </w:r>
      <w:r w:rsidRPr="003F5882">
        <w:rPr>
          <w:rFonts w:ascii="KaiTi" w:eastAsia="KaiTi" w:hAnsi="KaiTi" w:cs="Arial" w:hint="eastAsia"/>
          <w:kern w:val="2"/>
          <w:lang w:val="en-US" w:bidi="ar-SA"/>
        </w:rPr>
        <w:t>14</w:t>
      </w:r>
      <w:r w:rsidRPr="003F5882">
        <w:rPr>
          <w:rFonts w:ascii="KaiTi" w:eastAsia="KaiTi" w:hAnsi="KaiTi" w:cs="Arial" w:hint="eastAsia"/>
          <w:b/>
          <w:kern w:val="2"/>
          <w:lang w:val="en-US" w:bidi="ar-SA"/>
        </w:rPr>
        <w:t>日至</w:t>
      </w:r>
      <w:r w:rsidRPr="003F5882">
        <w:rPr>
          <w:rFonts w:ascii="KaiTi" w:eastAsia="KaiTi" w:hAnsi="KaiTi" w:cs="Times New Roman" w:hint="eastAsia"/>
          <w:kern w:val="2"/>
          <w:lang w:val="en-US" w:bidi="ar-SA"/>
        </w:rPr>
        <w:t>18</w:t>
      </w:r>
      <w:r w:rsidRPr="003F5882">
        <w:rPr>
          <w:rFonts w:ascii="KaiTi" w:eastAsia="KaiTi" w:hAnsi="KaiTi" w:cs="Arial" w:hint="eastAsia"/>
          <w:b/>
          <w:kern w:val="2"/>
          <w:lang w:val="en-US" w:bidi="ar-SA"/>
        </w:rPr>
        <w:t>日，日内瓦</w:t>
      </w: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2C7CB0" w:rsidRPr="002C7CB0" w:rsidRDefault="002C7CB0" w:rsidP="002C7CB0">
      <w:pPr>
        <w:widowControl w:val="0"/>
        <w:ind w:rightChars="-493" w:right="-1183"/>
        <w:jc w:val="both"/>
        <w:rPr>
          <w:rFonts w:ascii="KaiTi" w:eastAsia="KaiTi" w:hAnsi="KaiTi" w:cs="Arial"/>
          <w:caps/>
          <w:kern w:val="2"/>
          <w:lang w:val="en-US" w:bidi="ar-SA"/>
        </w:rPr>
      </w:pPr>
      <w:bookmarkStart w:id="4" w:name="TitleOfDoc"/>
      <w:bookmarkEnd w:id="4"/>
      <w:r w:rsidRPr="002C7CB0">
        <w:rPr>
          <w:rFonts w:ascii="KaiTi" w:eastAsia="KaiTi" w:hAnsi="KaiTi" w:cs="Arial"/>
          <w:caps/>
          <w:kern w:val="2"/>
          <w:lang w:val="en-US" w:bidi="ar-SA"/>
        </w:rPr>
        <w:t>2014年年度财务报告和财务报表</w:t>
      </w:r>
    </w:p>
    <w:p w:rsidR="002C7CB0" w:rsidRPr="002C7CB0" w:rsidRDefault="002C7CB0" w:rsidP="002C7CB0">
      <w:pPr>
        <w:widowControl w:val="0"/>
        <w:jc w:val="both"/>
        <w:rPr>
          <w:rFonts w:ascii="Arial" w:eastAsia="SimSun" w:hAnsi="Arial" w:cs="Times New Roman"/>
          <w:kern w:val="2"/>
          <w:sz w:val="22"/>
          <w:szCs w:val="22"/>
          <w:lang w:val="en-US" w:bidi="ar-SA"/>
        </w:rPr>
      </w:pPr>
    </w:p>
    <w:p w:rsidR="002C7CB0" w:rsidRPr="002C7CB0" w:rsidRDefault="002C7CB0" w:rsidP="002C7CB0">
      <w:pPr>
        <w:widowControl w:val="0"/>
        <w:jc w:val="both"/>
        <w:rPr>
          <w:rFonts w:ascii="KaiTi" w:eastAsia="KaiTi" w:hAnsi="KaiTi" w:cs="Arial"/>
          <w:i/>
          <w:kern w:val="2"/>
          <w:sz w:val="21"/>
          <w:szCs w:val="21"/>
          <w:lang w:val="en-US" w:bidi="ar-SA"/>
        </w:rPr>
      </w:pPr>
      <w:bookmarkStart w:id="5" w:name="Prepared"/>
      <w:bookmarkEnd w:id="5"/>
      <w:r w:rsidRPr="002C7CB0">
        <w:rPr>
          <w:rFonts w:ascii="KaiTi" w:eastAsia="KaiTi" w:hAnsi="KaiTi" w:cs="Arial" w:hint="eastAsia"/>
          <w:i/>
          <w:kern w:val="2"/>
          <w:sz w:val="21"/>
          <w:szCs w:val="21"/>
          <w:lang w:val="en-US" w:bidi="ar-SA"/>
        </w:rPr>
        <w:t>秘书处编拟</w:t>
      </w:r>
    </w:p>
    <w:p w:rsidR="002C7CB0" w:rsidRPr="002C7CB0" w:rsidRDefault="002C7CB0" w:rsidP="002C7CB0">
      <w:pPr>
        <w:rPr>
          <w:rFonts w:ascii="Arial" w:eastAsia="SimSun" w:hAnsi="Arial" w:cs="Arial"/>
          <w:sz w:val="22"/>
          <w:szCs w:val="20"/>
          <w:lang w:val="en-US" w:bidi="ar-SA"/>
        </w:rPr>
      </w:pPr>
    </w:p>
    <w:p w:rsidR="002C7CB0" w:rsidRPr="002C7CB0" w:rsidRDefault="002C7CB0" w:rsidP="002C7CB0">
      <w:pPr>
        <w:rPr>
          <w:rFonts w:ascii="Arial" w:eastAsia="SimSun" w:hAnsi="Arial" w:cs="Arial"/>
          <w:sz w:val="22"/>
          <w:szCs w:val="20"/>
          <w:lang w:val="en-US" w:bidi="ar-SA"/>
        </w:rPr>
      </w:pPr>
    </w:p>
    <w:p w:rsidR="002C7CB0" w:rsidRPr="002C7CB0" w:rsidRDefault="002C7CB0" w:rsidP="002C7CB0">
      <w:pPr>
        <w:rPr>
          <w:rFonts w:ascii="Arial" w:eastAsia="SimSun" w:hAnsi="Arial" w:cs="Arial"/>
          <w:sz w:val="22"/>
          <w:szCs w:val="20"/>
          <w:lang w:val="en-US" w:bidi="ar-SA"/>
        </w:rPr>
      </w:pPr>
    </w:p>
    <w:p w:rsidR="002C7CB0" w:rsidRPr="002C7CB0" w:rsidRDefault="002C7CB0" w:rsidP="002C7CB0">
      <w:pPr>
        <w:rPr>
          <w:rFonts w:ascii="Arial" w:eastAsia="SimSun" w:hAnsi="Arial" w:cs="Arial"/>
          <w:sz w:val="22"/>
          <w:szCs w:val="20"/>
          <w:lang w:val="en-US" w:bidi="ar-SA"/>
        </w:rPr>
      </w:pP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现根据《财务条例与细则》条例8.11，向计划和预算委员会</w:t>
      </w:r>
      <w:r w:rsidR="002C7CB0" w:rsidRPr="002C7CB0">
        <w:rPr>
          <w:rFonts w:eastAsia="SimSun" w:cs="Times New Roman" w:hint="eastAsia"/>
          <w:sz w:val="21"/>
        </w:rPr>
        <w:t>(</w:t>
      </w:r>
      <w:r w:rsidRPr="002C7CB0">
        <w:rPr>
          <w:rFonts w:eastAsia="SimSun" w:cs="Times New Roman"/>
          <w:sz w:val="21"/>
        </w:rPr>
        <w:t>PBC</w:t>
      </w:r>
      <w:r w:rsidR="002C7CB0" w:rsidRPr="002C7CB0">
        <w:rPr>
          <w:rFonts w:eastAsia="SimSun" w:cs="Times New Roman" w:hint="eastAsia"/>
          <w:sz w:val="21"/>
        </w:rPr>
        <w:t>)</w:t>
      </w:r>
      <w:r w:rsidRPr="002C7CB0">
        <w:rPr>
          <w:rFonts w:eastAsia="SimSun" w:cs="Times New Roman"/>
          <w:sz w:val="21"/>
        </w:rPr>
        <w:t>提交截至2014年12月31日的世界知识产权组织</w:t>
      </w:r>
      <w:r w:rsidR="002C7CB0" w:rsidRPr="002C7CB0">
        <w:rPr>
          <w:rFonts w:eastAsia="SimSun" w:cs="Times New Roman" w:hint="eastAsia"/>
          <w:sz w:val="21"/>
        </w:rPr>
        <w:t>(</w:t>
      </w:r>
      <w:r w:rsidRPr="002C7CB0">
        <w:rPr>
          <w:rFonts w:eastAsia="SimSun" w:cs="Times New Roman"/>
          <w:sz w:val="21"/>
        </w:rPr>
        <w:t>WIPO</w:t>
      </w:r>
      <w:r w:rsidR="002C7CB0" w:rsidRPr="002C7CB0">
        <w:rPr>
          <w:rFonts w:eastAsia="SimSun" w:cs="Times New Roman" w:hint="eastAsia"/>
          <w:sz w:val="21"/>
        </w:rPr>
        <w:t>)</w:t>
      </w:r>
      <w:r w:rsidRPr="002C7CB0">
        <w:rPr>
          <w:rFonts w:eastAsia="SimSun" w:cs="Times New Roman"/>
          <w:sz w:val="21"/>
        </w:rPr>
        <w:t>年度财务报表。条例8.11要求PBC对财务报表及其审计报告进行审查，并酌情附具意见和建议转送大会。</w:t>
      </w: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2014年财务报表是根据《国际公共部门会计</w:t>
      </w:r>
      <w:r w:rsidR="00E04F07" w:rsidRPr="002C7CB0">
        <w:rPr>
          <w:rFonts w:eastAsia="SimSun" w:cs="Times New Roman" w:hint="eastAsia"/>
          <w:sz w:val="21"/>
        </w:rPr>
        <w:t>准则</w:t>
      </w:r>
      <w:r w:rsidRPr="002C7CB0">
        <w:rPr>
          <w:rFonts w:eastAsia="SimSun" w:cs="Times New Roman"/>
          <w:sz w:val="21"/>
        </w:rPr>
        <w:t>》</w:t>
      </w:r>
      <w:r w:rsidR="002C7CB0" w:rsidRPr="002C7CB0">
        <w:rPr>
          <w:rFonts w:eastAsia="SimSun" w:cs="Times New Roman" w:hint="eastAsia"/>
          <w:sz w:val="21"/>
        </w:rPr>
        <w:t>(</w:t>
      </w:r>
      <w:r w:rsidRPr="002C7CB0">
        <w:rPr>
          <w:rFonts w:eastAsia="SimSun" w:cs="Times New Roman"/>
          <w:sz w:val="21"/>
        </w:rPr>
        <w:t>IPSAS</w:t>
      </w:r>
      <w:r w:rsidR="002C7CB0" w:rsidRPr="002C7CB0">
        <w:rPr>
          <w:rFonts w:eastAsia="SimSun" w:cs="Times New Roman" w:hint="eastAsia"/>
          <w:sz w:val="21"/>
        </w:rPr>
        <w:t>)</w:t>
      </w:r>
      <w:r w:rsidRPr="002C7CB0">
        <w:rPr>
          <w:rFonts w:eastAsia="SimSun" w:cs="Times New Roman"/>
          <w:sz w:val="21"/>
        </w:rPr>
        <w:t>编制的。在2007年9月24日至10月3日举行的成员国大会第四十三届会议上，成员国原则同意WIPO在2010年采用IPSAS</w:t>
      </w:r>
      <w:r w:rsidR="002C7CB0" w:rsidRPr="002C7CB0">
        <w:rPr>
          <w:rFonts w:eastAsia="SimSun" w:cs="Times New Roman" w:hint="eastAsia"/>
          <w:sz w:val="21"/>
        </w:rPr>
        <w:t>(</w:t>
      </w:r>
      <w:r w:rsidRPr="002C7CB0">
        <w:rPr>
          <w:rFonts w:eastAsia="SimSun" w:cs="Times New Roman"/>
          <w:sz w:val="21"/>
        </w:rPr>
        <w:t>A/43/5</w:t>
      </w:r>
      <w:r w:rsidR="002C7CB0" w:rsidRPr="002C7CB0">
        <w:rPr>
          <w:rFonts w:eastAsia="SimSun" w:cs="Times New Roman" w:hint="eastAsia"/>
          <w:sz w:val="21"/>
        </w:rPr>
        <w:t>)</w:t>
      </w:r>
      <w:r w:rsidRPr="002C7CB0">
        <w:rPr>
          <w:rFonts w:eastAsia="SimSun" w:cs="Times New Roman"/>
          <w:sz w:val="21"/>
        </w:rPr>
        <w:t>。2014年财务报表是根据IPSAS编制的第五套财务报表。</w:t>
      </w: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外聘审计员对2014年财务报表所作的审计报告及其建议和秘书处的答复一同载于文件WO/PBC/24/5。</w:t>
      </w: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提议决定段落措辞如下。</w:t>
      </w:r>
    </w:p>
    <w:p w:rsidR="005C4FAF" w:rsidRPr="002C7CB0" w:rsidRDefault="005C4FAF" w:rsidP="002C7CB0">
      <w:pPr>
        <w:numPr>
          <w:ilvl w:val="0"/>
          <w:numId w:val="8"/>
        </w:numPr>
        <w:overflowPunct w:val="0"/>
        <w:spacing w:afterLines="50" w:after="120" w:line="340" w:lineRule="atLeast"/>
        <w:ind w:left="5534" w:firstLine="0"/>
        <w:jc w:val="both"/>
        <w:rPr>
          <w:rFonts w:ascii="KaiTi" w:eastAsia="KaiTi" w:hAnsi="KaiTi" w:cs="Times New Roman"/>
          <w:i/>
          <w:sz w:val="21"/>
          <w:szCs w:val="20"/>
        </w:rPr>
      </w:pPr>
      <w:r w:rsidRPr="002C7CB0">
        <w:rPr>
          <w:rFonts w:ascii="KaiTi" w:eastAsia="KaiTi" w:hAnsi="KaiTi" w:cs="Times New Roman"/>
          <w:i/>
          <w:sz w:val="21"/>
        </w:rPr>
        <w:t>计划和预算委员会</w:t>
      </w:r>
      <w:r w:rsidR="002C7CB0" w:rsidRPr="002C7CB0">
        <w:rPr>
          <w:rFonts w:ascii="KaiTi" w:eastAsia="KaiTi" w:hAnsi="KaiTi" w:cs="Times New Roman" w:hint="eastAsia"/>
          <w:i/>
          <w:sz w:val="21"/>
        </w:rPr>
        <w:t>(</w:t>
      </w:r>
      <w:r w:rsidR="002A46D2" w:rsidRPr="002C7CB0">
        <w:rPr>
          <w:rFonts w:ascii="KaiTi" w:eastAsia="KaiTi" w:hAnsi="KaiTi" w:cs="Times New Roman"/>
          <w:i/>
          <w:sz w:val="21"/>
        </w:rPr>
        <w:t>PBC</w:t>
      </w:r>
      <w:r w:rsidR="002C7CB0" w:rsidRPr="002C7CB0">
        <w:rPr>
          <w:rFonts w:ascii="KaiTi" w:eastAsia="KaiTi" w:hAnsi="KaiTi" w:cs="Times New Roman" w:hint="eastAsia"/>
          <w:i/>
          <w:sz w:val="21"/>
        </w:rPr>
        <w:t>)</w:t>
      </w:r>
      <w:r w:rsidRPr="002C7CB0">
        <w:rPr>
          <w:rFonts w:ascii="KaiTi" w:eastAsia="KaiTi" w:hAnsi="KaiTi" w:cs="Times New Roman"/>
          <w:i/>
          <w:sz w:val="21"/>
        </w:rPr>
        <w:t>建议大会和WIPO成员国的其他大会批准2014年年度财务报告和财务报表</w:t>
      </w:r>
      <w:r w:rsidR="002C7CB0" w:rsidRPr="002C7CB0">
        <w:rPr>
          <w:rFonts w:ascii="KaiTi" w:eastAsia="KaiTi" w:hAnsi="KaiTi" w:cs="Times New Roman" w:hint="eastAsia"/>
          <w:i/>
          <w:sz w:val="21"/>
        </w:rPr>
        <w:t>(</w:t>
      </w:r>
      <w:r w:rsidRPr="002C7CB0">
        <w:rPr>
          <w:rFonts w:ascii="KaiTi" w:eastAsia="KaiTi" w:hAnsi="KaiTi" w:cs="Times New Roman"/>
          <w:i/>
          <w:sz w:val="21"/>
        </w:rPr>
        <w:t>文件WO/PBC/</w:t>
      </w:r>
      <w:r w:rsidR="00F453AC">
        <w:rPr>
          <w:rFonts w:ascii="KaiTi" w:eastAsia="KaiTi" w:hAnsi="KaiTi" w:cs="Times New Roman" w:hint="eastAsia"/>
          <w:i/>
          <w:sz w:val="21"/>
        </w:rPr>
        <w:t>2</w:t>
      </w:r>
      <w:r w:rsidRPr="002C7CB0">
        <w:rPr>
          <w:rFonts w:ascii="KaiTi" w:eastAsia="KaiTi" w:hAnsi="KaiTi" w:cs="Times New Roman"/>
          <w:i/>
          <w:sz w:val="21"/>
        </w:rPr>
        <w:t>4/8</w:t>
      </w:r>
      <w:r w:rsidR="002C7CB0" w:rsidRPr="002C7CB0">
        <w:rPr>
          <w:rFonts w:ascii="KaiTi" w:eastAsia="KaiTi" w:hAnsi="KaiTi" w:cs="Times New Roman" w:hint="eastAsia"/>
          <w:i/>
          <w:sz w:val="21"/>
        </w:rPr>
        <w:t>)</w:t>
      </w:r>
      <w:r w:rsidRPr="002C7CB0">
        <w:rPr>
          <w:rFonts w:ascii="KaiTi" w:eastAsia="KaiTi" w:hAnsi="KaiTi" w:cs="Times New Roman"/>
          <w:i/>
          <w:sz w:val="21"/>
        </w:rPr>
        <w:t>。</w:t>
      </w:r>
    </w:p>
    <w:p w:rsidR="00F453AC" w:rsidRDefault="00F453AC" w:rsidP="00F453AC">
      <w:pPr>
        <w:overflowPunct w:val="0"/>
        <w:spacing w:afterLines="50" w:after="120" w:line="340" w:lineRule="atLeast"/>
        <w:ind w:left="5534"/>
        <w:jc w:val="both"/>
        <w:rPr>
          <w:rFonts w:ascii="KaiTi" w:eastAsia="KaiTi" w:hAnsi="KaiTi" w:cs="Times New Roman"/>
          <w:sz w:val="21"/>
        </w:rPr>
      </w:pPr>
    </w:p>
    <w:p w:rsidR="005C4FAF" w:rsidRPr="00F453AC" w:rsidRDefault="00F453AC" w:rsidP="00F453AC">
      <w:pPr>
        <w:overflowPunct w:val="0"/>
        <w:spacing w:afterLines="50" w:after="120" w:line="340" w:lineRule="atLeast"/>
        <w:ind w:left="5534"/>
        <w:jc w:val="both"/>
        <w:rPr>
          <w:rFonts w:ascii="KaiTi" w:eastAsia="KaiTi" w:hAnsi="KaiTi" w:cs="Times New Roman"/>
          <w:sz w:val="21"/>
        </w:rPr>
      </w:pPr>
      <w:r>
        <w:rPr>
          <w:rFonts w:ascii="KaiTi" w:eastAsia="KaiTi" w:hAnsi="KaiTi" w:cs="Times New Roman"/>
          <w:sz w:val="21"/>
        </w:rPr>
        <w:t>［</w:t>
      </w:r>
      <w:r w:rsidR="005C4FAF" w:rsidRPr="00F453AC">
        <w:rPr>
          <w:rFonts w:ascii="KaiTi" w:eastAsia="KaiTi" w:hAnsi="KaiTi" w:cs="Times New Roman"/>
          <w:sz w:val="21"/>
        </w:rPr>
        <w:t>后接2014年财务报表</w:t>
      </w:r>
      <w:r>
        <w:rPr>
          <w:rFonts w:ascii="KaiTi" w:eastAsia="KaiTi" w:hAnsi="KaiTi" w:cs="Times New Roman"/>
          <w:sz w:val="21"/>
        </w:rPr>
        <w:t>］</w:t>
      </w:r>
    </w:p>
    <w:p w:rsidR="00F453AC" w:rsidRPr="002C7CB0" w:rsidRDefault="00F453AC" w:rsidP="005C4FAF">
      <w:pPr>
        <w:ind w:firstLine="5529"/>
        <w:rPr>
          <w:rFonts w:eastAsia="SimSun" w:cs="Times New Roman"/>
          <w:sz w:val="21"/>
          <w:szCs w:val="20"/>
        </w:rPr>
        <w:sectPr w:rsidR="00F453AC" w:rsidRPr="002C7CB0" w:rsidSect="002C7CB0">
          <w:headerReference w:type="default" r:id="rId10"/>
          <w:endnotePr>
            <w:numFmt w:val="decimal"/>
          </w:endnotePr>
          <w:pgSz w:w="11907" w:h="16840" w:code="9"/>
          <w:pgMar w:top="567" w:right="1134" w:bottom="1418" w:left="1418" w:header="510" w:footer="1021" w:gutter="0"/>
          <w:cols w:space="720"/>
          <w:titlePg/>
          <w:docGrid w:linePitch="299"/>
        </w:sectPr>
      </w:pPr>
    </w:p>
    <w:p w:rsidR="005C4FAF" w:rsidRPr="00F453AC" w:rsidRDefault="005C4FAF" w:rsidP="005C4FAF">
      <w:pPr>
        <w:rPr>
          <w:rFonts w:ascii="Arial" w:eastAsia="SimSun" w:hAnsi="Arial" w:cs="Times New Roman"/>
          <w:sz w:val="21"/>
          <w:szCs w:val="20"/>
        </w:rPr>
      </w:pPr>
    </w:p>
    <w:p w:rsidR="005C4FAF" w:rsidRPr="00F453AC" w:rsidRDefault="005C4FAF" w:rsidP="005C4FAF">
      <w:pPr>
        <w:pStyle w:val="StyleHeading1"/>
        <w:rPr>
          <w:rFonts w:ascii="Arial" w:eastAsia="SimHei" w:hAnsi="Arial" w:cs="Times New Roman"/>
          <w:b w:val="0"/>
          <w:sz w:val="28"/>
          <w:szCs w:val="28"/>
        </w:rPr>
      </w:pPr>
    </w:p>
    <w:p w:rsidR="005C4FAF" w:rsidRPr="00F453AC" w:rsidRDefault="005C4FAF" w:rsidP="005C4FAF">
      <w:pPr>
        <w:pStyle w:val="StyleHeading1"/>
        <w:rPr>
          <w:rFonts w:ascii="Arial" w:eastAsia="SimHei" w:hAnsi="Arial" w:cs="Times New Roman"/>
          <w:b w:val="0"/>
          <w:sz w:val="28"/>
          <w:szCs w:val="28"/>
        </w:rPr>
      </w:pPr>
    </w:p>
    <w:p w:rsidR="005C4FAF" w:rsidRPr="00F453AC" w:rsidRDefault="005C4FAF" w:rsidP="005C4FAF">
      <w:pPr>
        <w:pStyle w:val="StyleHeading1"/>
        <w:rPr>
          <w:rFonts w:ascii="Arial" w:eastAsia="SimHei" w:hAnsi="Arial" w:cs="Times New Roman"/>
          <w:b w:val="0"/>
          <w:sz w:val="28"/>
          <w:szCs w:val="28"/>
        </w:rPr>
      </w:pPr>
    </w:p>
    <w:p w:rsidR="005C4FAF" w:rsidRPr="00F453AC" w:rsidRDefault="005C4FAF" w:rsidP="005C4FAF">
      <w:pPr>
        <w:pStyle w:val="StyleHeading1"/>
        <w:rPr>
          <w:rFonts w:ascii="Arial" w:eastAsia="SimHei" w:hAnsi="Arial" w:cs="Times New Roman"/>
          <w:b w:val="0"/>
          <w:sz w:val="28"/>
          <w:szCs w:val="28"/>
        </w:rPr>
      </w:pPr>
      <w:r w:rsidRPr="00F453AC">
        <w:rPr>
          <w:rFonts w:ascii="Arial" w:eastAsia="SimHei" w:hAnsi="Arial" w:cs="Times New Roman"/>
          <w:b w:val="0"/>
          <w:sz w:val="28"/>
        </w:rPr>
        <w:t>世界知识产权组织</w:t>
      </w: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r w:rsidRPr="003F5882">
        <w:rPr>
          <w:rFonts w:ascii="Arial" w:hAnsi="Arial" w:cs="Times New Roman"/>
        </w:rPr>
        <w:t>年度财务报告和财务报表</w:t>
      </w: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r w:rsidRPr="003F5882">
        <w:rPr>
          <w:rFonts w:ascii="Arial" w:hAnsi="Arial" w:cs="Times New Roman"/>
        </w:rPr>
        <w:t>2014年12月31日截止的年度</w:t>
      </w: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F453AC" w:rsidRDefault="005C4FAF" w:rsidP="005C4FAF">
      <w:pPr>
        <w:tabs>
          <w:tab w:val="left" w:pos="0"/>
        </w:tabs>
        <w:jc w:val="center"/>
        <w:rPr>
          <w:rFonts w:ascii="Arial" w:eastAsia="SimHei" w:hAnsi="Arial" w:cs="Times New Roman"/>
          <w:sz w:val="72"/>
          <w:szCs w:val="72"/>
        </w:rPr>
      </w:pPr>
    </w:p>
    <w:p w:rsidR="005C4FAF" w:rsidRPr="00F453AC" w:rsidRDefault="005C4FAF" w:rsidP="005C4FAF">
      <w:pPr>
        <w:tabs>
          <w:tab w:val="left" w:pos="0"/>
        </w:tabs>
        <w:jc w:val="center"/>
        <w:rPr>
          <w:rFonts w:ascii="Arial" w:eastAsia="SimHei" w:hAnsi="Arial" w:cs="Times New Roman"/>
          <w:sz w:val="72"/>
          <w:szCs w:val="72"/>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jc w:val="both"/>
        <w:rPr>
          <w:rFonts w:ascii="Arial" w:hAnsi="Arial" w:cs="Times New Roman"/>
          <w:sz w:val="18"/>
          <w:szCs w:val="18"/>
        </w:rPr>
        <w:sectPr w:rsidR="005C4FAF" w:rsidRPr="003F5882" w:rsidSect="003312C4">
          <w:headerReference w:type="even" r:id="rId11"/>
          <w:headerReference w:type="default" r:id="rId12"/>
          <w:footerReference w:type="even" r:id="rId13"/>
          <w:footerReference w:type="default" r:id="rId14"/>
          <w:headerReference w:type="first" r:id="rId15"/>
          <w:footerReference w:type="first" r:id="rId16"/>
          <w:pgSz w:w="11907" w:h="16840" w:code="9"/>
          <w:pgMar w:top="851" w:right="1247" w:bottom="1191" w:left="1247" w:header="709" w:footer="709" w:gutter="0"/>
          <w:cols w:space="708"/>
          <w:docGrid w:linePitch="360"/>
        </w:sectPr>
      </w:pPr>
    </w:p>
    <w:p w:rsidR="005C4FAF" w:rsidRPr="00F453AC" w:rsidRDefault="005C4FAF" w:rsidP="005C4FAF">
      <w:pPr>
        <w:jc w:val="center"/>
        <w:rPr>
          <w:rFonts w:ascii="Arial" w:eastAsia="SimHei" w:hAnsi="Arial" w:cs="Times New Roman"/>
          <w:sz w:val="21"/>
          <w:szCs w:val="22"/>
        </w:rPr>
      </w:pPr>
      <w:r w:rsidRPr="00F453AC">
        <w:rPr>
          <w:rFonts w:ascii="Arial" w:eastAsia="SimHei" w:hAnsi="Arial" w:cs="Times New Roman"/>
          <w:sz w:val="21"/>
        </w:rPr>
        <w:lastRenderedPageBreak/>
        <w:t>目录</w:t>
      </w:r>
    </w:p>
    <w:p w:rsidR="005C4FAF" w:rsidRPr="003F5882" w:rsidRDefault="005C4FAF" w:rsidP="005C4FAF">
      <w:pPr>
        <w:rPr>
          <w:rFonts w:ascii="Arial" w:hAnsi="Aria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5C4FAF" w:rsidRPr="003F5882" w:rsidTr="003312C4">
        <w:tc>
          <w:tcPr>
            <w:tcW w:w="8568" w:type="dxa"/>
            <w:shd w:val="clear" w:color="auto" w:fill="F2F2F2"/>
          </w:tcPr>
          <w:p w:rsidR="005C4FAF" w:rsidRPr="003F5882" w:rsidRDefault="005C4FAF" w:rsidP="003312C4">
            <w:pPr>
              <w:rPr>
                <w:rFonts w:ascii="Arial" w:hAnsi="Arial" w:cs="Times New Roman"/>
                <w:sz w:val="21"/>
                <w:szCs w:val="22"/>
              </w:rPr>
            </w:pPr>
          </w:p>
        </w:tc>
        <w:tc>
          <w:tcPr>
            <w:tcW w:w="1061" w:type="dxa"/>
            <w:shd w:val="clear" w:color="auto" w:fill="F2F2F2"/>
          </w:tcPr>
          <w:p w:rsidR="005C4FAF" w:rsidRPr="00F453AC" w:rsidRDefault="005C4FAF" w:rsidP="003312C4">
            <w:pPr>
              <w:jc w:val="center"/>
              <w:rPr>
                <w:rFonts w:ascii="Arial" w:eastAsia="SimHei" w:hAnsi="Arial" w:cs="Times New Roman"/>
                <w:sz w:val="21"/>
                <w:szCs w:val="22"/>
              </w:rPr>
            </w:pPr>
            <w:r w:rsidRPr="00F453AC">
              <w:rPr>
                <w:rFonts w:ascii="Arial" w:eastAsia="SimHei" w:hAnsi="Arial" w:cs="Times New Roman"/>
                <w:sz w:val="21"/>
              </w:rPr>
              <w:t>页码</w:t>
            </w:r>
          </w:p>
        </w:tc>
      </w:tr>
      <w:tr w:rsidR="005C4FAF" w:rsidRPr="003F5882" w:rsidTr="003312C4">
        <w:tc>
          <w:tcPr>
            <w:tcW w:w="8568" w:type="dxa"/>
            <w:shd w:val="clear" w:color="auto" w:fill="auto"/>
            <w:vAlign w:val="center"/>
          </w:tcPr>
          <w:p w:rsidR="005C4FAF" w:rsidRPr="00F453AC" w:rsidRDefault="005C4FAF" w:rsidP="003312C4">
            <w:pPr>
              <w:rPr>
                <w:rFonts w:ascii="Arial" w:eastAsia="SimHei" w:hAnsi="Arial" w:cs="Times New Roman"/>
                <w:sz w:val="21"/>
                <w:szCs w:val="22"/>
              </w:rPr>
            </w:pPr>
            <w:r w:rsidRPr="00F453AC">
              <w:rPr>
                <w:rFonts w:ascii="Arial" w:eastAsia="SimHei" w:hAnsi="Arial" w:cs="Times New Roman"/>
                <w:sz w:val="21"/>
              </w:rPr>
              <w:t>年度财务报告</w:t>
            </w:r>
          </w:p>
        </w:tc>
        <w:tc>
          <w:tcPr>
            <w:tcW w:w="1061" w:type="dxa"/>
            <w:shd w:val="clear" w:color="auto" w:fill="auto"/>
            <w:vAlign w:val="center"/>
          </w:tcPr>
          <w:p w:rsidR="005C4FAF" w:rsidRPr="003F5882" w:rsidRDefault="005C4FAF" w:rsidP="003312C4">
            <w:pPr>
              <w:jc w:val="right"/>
              <w:rPr>
                <w:rFonts w:ascii="Arial" w:hAnsi="Arial" w:cs="Times New Roman"/>
                <w:sz w:val="21"/>
                <w:szCs w:val="22"/>
              </w:rPr>
            </w:pP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引言</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财务报表讨论与分析</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w:t>
            </w:r>
          </w:p>
        </w:tc>
      </w:tr>
      <w:tr w:rsidR="005C4FAF" w:rsidRPr="003F5882" w:rsidTr="003312C4">
        <w:tc>
          <w:tcPr>
            <w:tcW w:w="8568" w:type="dxa"/>
            <w:shd w:val="clear" w:color="auto" w:fill="auto"/>
            <w:vAlign w:val="center"/>
          </w:tcPr>
          <w:p w:rsidR="005C4FAF" w:rsidRPr="00F453AC" w:rsidRDefault="005C4FAF" w:rsidP="003312C4">
            <w:pPr>
              <w:rPr>
                <w:rFonts w:ascii="Arial" w:eastAsia="SimHei" w:hAnsi="Arial" w:cs="Times New Roman"/>
                <w:sz w:val="21"/>
                <w:szCs w:val="22"/>
              </w:rPr>
            </w:pPr>
            <w:r w:rsidRPr="00F453AC">
              <w:rPr>
                <w:rFonts w:ascii="Arial" w:eastAsia="SimHei" w:hAnsi="Arial" w:cs="Times New Roman"/>
                <w:sz w:val="21"/>
              </w:rPr>
              <w:t>财务报表</w:t>
            </w:r>
          </w:p>
        </w:tc>
        <w:tc>
          <w:tcPr>
            <w:tcW w:w="1061" w:type="dxa"/>
            <w:shd w:val="clear" w:color="auto" w:fill="auto"/>
            <w:vAlign w:val="center"/>
          </w:tcPr>
          <w:p w:rsidR="005C4FAF" w:rsidRPr="003F5882" w:rsidRDefault="005C4FAF" w:rsidP="003312C4">
            <w:pPr>
              <w:jc w:val="right"/>
              <w:rPr>
                <w:rFonts w:ascii="Arial" w:hAnsi="Arial" w:cs="Times New Roman"/>
                <w:sz w:val="21"/>
                <w:szCs w:val="22"/>
              </w:rPr>
            </w:pP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报表一 - 财务状况表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2</w:t>
            </w:r>
          </w:p>
        </w:tc>
      </w:tr>
      <w:tr w:rsidR="005C4FAF" w:rsidRPr="003F5882" w:rsidTr="003312C4">
        <w:tc>
          <w:tcPr>
            <w:tcW w:w="8568" w:type="dxa"/>
            <w:shd w:val="clear" w:color="auto" w:fill="auto"/>
            <w:vAlign w:val="center"/>
          </w:tcPr>
          <w:p w:rsidR="005C4FAF" w:rsidRPr="003F5882" w:rsidRDefault="005C4FAF" w:rsidP="00E04F07">
            <w:pPr>
              <w:rPr>
                <w:rFonts w:ascii="Arial" w:hAnsi="Arial" w:cs="Times New Roman"/>
                <w:sz w:val="21"/>
                <w:szCs w:val="22"/>
              </w:rPr>
            </w:pPr>
            <w:r w:rsidRPr="003F5882">
              <w:rPr>
                <w:rFonts w:ascii="Arial" w:hAnsi="Arial" w:cs="Times New Roman"/>
                <w:sz w:val="21"/>
              </w:rPr>
              <w:t>报表二 - 财务</w:t>
            </w:r>
            <w:r w:rsidR="00E04F07" w:rsidRPr="003F5882">
              <w:rPr>
                <w:rFonts w:ascii="Arial" w:hAnsi="Arial" w:cs="Times New Roman" w:hint="eastAsia"/>
                <w:sz w:val="21"/>
              </w:rPr>
              <w:t>执行情况</w:t>
            </w:r>
            <w:r w:rsidRPr="003F5882">
              <w:rPr>
                <w:rFonts w:ascii="Arial" w:hAnsi="Arial" w:cs="Times New Roman"/>
                <w:sz w:val="21"/>
              </w:rPr>
              <w:t>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3</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报表三 - 净资产变动表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报表四 - 现金流量表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5</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报表五 - 预算与实际</w:t>
            </w:r>
            <w:r w:rsidR="00E04F07" w:rsidRPr="003F5882">
              <w:rPr>
                <w:rFonts w:ascii="Arial" w:hAnsi="Arial" w:cs="Times New Roman" w:hint="eastAsia"/>
                <w:sz w:val="21"/>
              </w:rPr>
              <w:t>金额</w:t>
            </w:r>
            <w:r w:rsidRPr="003F5882">
              <w:rPr>
                <w:rFonts w:ascii="Arial" w:hAnsi="Arial" w:cs="Times New Roman"/>
                <w:sz w:val="21"/>
              </w:rPr>
              <w:t>对比表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6</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财务报表附注</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附注1：本组织的目标和预算</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附注2：重大会计政策</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29</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附注3：现金和现金等价物</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3</w:t>
            </w:r>
            <w:r w:rsidR="004813DC" w:rsidRPr="003F5882">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附注4：应收账款、预付款和预付项目</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35</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附注5：库存</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36</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附注6：设备</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37</w:t>
            </w:r>
          </w:p>
        </w:tc>
      </w:tr>
      <w:tr w:rsidR="005C4FAF" w:rsidRPr="003F5882" w:rsidTr="003312C4">
        <w:tc>
          <w:tcPr>
            <w:tcW w:w="8568" w:type="dxa"/>
            <w:shd w:val="clear" w:color="auto" w:fill="auto"/>
            <w:vAlign w:val="center"/>
          </w:tcPr>
          <w:p w:rsidR="005C4FAF" w:rsidRPr="003F5882" w:rsidRDefault="005C4FAF" w:rsidP="00E04F07">
            <w:pPr>
              <w:ind w:left="900"/>
              <w:rPr>
                <w:rFonts w:ascii="Arial" w:hAnsi="Arial" w:cs="Times New Roman"/>
                <w:sz w:val="21"/>
                <w:szCs w:val="22"/>
              </w:rPr>
            </w:pPr>
            <w:r w:rsidRPr="003F5882">
              <w:rPr>
                <w:rFonts w:ascii="Arial" w:hAnsi="Arial" w:cs="Times New Roman"/>
                <w:sz w:val="21"/>
              </w:rPr>
              <w:t>附注7：投资</w:t>
            </w:r>
            <w:r w:rsidR="00E04F07" w:rsidRPr="003F5882">
              <w:rPr>
                <w:rFonts w:ascii="Arial" w:hAnsi="Arial" w:cs="Times New Roman" w:hint="eastAsia"/>
                <w:sz w:val="21"/>
              </w:rPr>
              <w:t>财</w:t>
            </w:r>
            <w:r w:rsidRPr="003F5882">
              <w:rPr>
                <w:rFonts w:ascii="Arial" w:hAnsi="Arial" w:cs="Times New Roman"/>
                <w:sz w:val="21"/>
              </w:rPr>
              <w:t>产</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附注8：无形资产</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39</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附注9：土地和建筑物</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4</w:t>
            </w:r>
            <w:r w:rsidR="004813DC" w:rsidRPr="003F5882">
              <w:rPr>
                <w:rFonts w:ascii="Arial" w:hAnsi="Arial" w:cs="Times New Roman" w:hint="eastAsia"/>
                <w:sz w:val="21"/>
              </w:rPr>
              <w:t>0</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附注10：其他非流动资产</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43</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附注11：应付账款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44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附注12：雇员福利</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4</w:t>
            </w:r>
            <w:r w:rsidR="004813DC" w:rsidRPr="003F5882">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附注13：应付转账款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50</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附注14：预收款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51</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附注15：借款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52</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附注16：准备金</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53</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附注17：其他负债</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53</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附注18：或有资产和负债</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附注19：租赁</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附注20：相关方交易</w:t>
            </w:r>
          </w:p>
        </w:tc>
        <w:tc>
          <w:tcPr>
            <w:tcW w:w="1061" w:type="dxa"/>
            <w:shd w:val="clear" w:color="auto" w:fill="auto"/>
            <w:vAlign w:val="center"/>
          </w:tcPr>
          <w:p w:rsidR="005C4FAF" w:rsidRPr="003F5882" w:rsidRDefault="004813DC" w:rsidP="00B31204">
            <w:pPr>
              <w:jc w:val="right"/>
              <w:rPr>
                <w:rFonts w:ascii="Arial" w:hAnsi="Arial" w:cs="Times New Roman"/>
                <w:sz w:val="21"/>
                <w:szCs w:val="22"/>
              </w:rPr>
            </w:pPr>
            <w:r w:rsidRPr="003F5882">
              <w:rPr>
                <w:rFonts w:ascii="Arial" w:hAnsi="Arial" w:cs="Times New Roman" w:hint="eastAsia"/>
                <w:sz w:val="21"/>
              </w:rPr>
              <w:t>5</w:t>
            </w:r>
            <w:r w:rsidR="00B31204">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附注21：储备金和基金结余</w:t>
            </w:r>
          </w:p>
        </w:tc>
        <w:tc>
          <w:tcPr>
            <w:tcW w:w="1061" w:type="dxa"/>
            <w:shd w:val="clear" w:color="auto" w:fill="auto"/>
            <w:vAlign w:val="center"/>
          </w:tcPr>
          <w:p w:rsidR="005C4FAF" w:rsidRPr="003F5882" w:rsidRDefault="004813DC" w:rsidP="00B31204">
            <w:pPr>
              <w:jc w:val="right"/>
              <w:rPr>
                <w:rFonts w:ascii="Arial" w:hAnsi="Arial" w:cs="Times New Roman"/>
                <w:sz w:val="21"/>
                <w:szCs w:val="22"/>
              </w:rPr>
            </w:pPr>
            <w:r w:rsidRPr="003F5882">
              <w:rPr>
                <w:rFonts w:ascii="Arial" w:hAnsi="Arial" w:cs="Times New Roman" w:hint="eastAsia"/>
                <w:sz w:val="21"/>
              </w:rPr>
              <w:t>5</w:t>
            </w:r>
            <w:r w:rsidR="00B31204">
              <w:rPr>
                <w:rFonts w:ascii="Arial" w:hAnsi="Arial" w:cs="Times New Roman" w:hint="eastAsia"/>
                <w:sz w:val="21"/>
              </w:rPr>
              <w:t>5</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附注22：预算比较表和财务执行情况表的对账情况</w:t>
            </w:r>
          </w:p>
        </w:tc>
        <w:tc>
          <w:tcPr>
            <w:tcW w:w="1061" w:type="dxa"/>
            <w:shd w:val="clear" w:color="auto" w:fill="auto"/>
            <w:vAlign w:val="center"/>
          </w:tcPr>
          <w:p w:rsidR="005C4FAF" w:rsidRPr="003F5882" w:rsidRDefault="004813DC" w:rsidP="00B31204">
            <w:pPr>
              <w:jc w:val="right"/>
              <w:rPr>
                <w:rFonts w:ascii="Arial" w:hAnsi="Arial" w:cs="Times New Roman"/>
                <w:sz w:val="21"/>
                <w:szCs w:val="22"/>
              </w:rPr>
            </w:pPr>
            <w:r w:rsidRPr="003F5882">
              <w:rPr>
                <w:rFonts w:ascii="Arial" w:hAnsi="Arial" w:cs="Times New Roman" w:hint="eastAsia"/>
                <w:sz w:val="21"/>
              </w:rPr>
              <w:t>5</w:t>
            </w:r>
            <w:r w:rsidR="00B31204">
              <w:rPr>
                <w:rFonts w:ascii="Arial" w:hAnsi="Arial" w:cs="Times New Roman" w:hint="eastAsia"/>
                <w:sz w:val="21"/>
              </w:rPr>
              <w:t>6</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附注23：收入</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附注24：支出</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59</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附注25：金融工具</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60</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附注26：汇兑损益</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附注27：报告日之后的活动</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附注28：分部报告</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65</w:t>
            </w:r>
          </w:p>
        </w:tc>
      </w:tr>
      <w:tr w:rsidR="005C4FAF" w:rsidRPr="003F5882" w:rsidTr="003312C4">
        <w:tc>
          <w:tcPr>
            <w:tcW w:w="8568" w:type="dxa"/>
            <w:shd w:val="clear" w:color="auto" w:fill="auto"/>
            <w:vAlign w:val="center"/>
          </w:tcPr>
          <w:p w:rsidR="005C4FAF" w:rsidRPr="00F453AC" w:rsidRDefault="005C4FAF" w:rsidP="003312C4">
            <w:pPr>
              <w:rPr>
                <w:rFonts w:ascii="Arial" w:eastAsia="SimHei" w:hAnsi="Arial" w:cs="Times New Roman"/>
                <w:sz w:val="21"/>
                <w:szCs w:val="22"/>
              </w:rPr>
            </w:pPr>
            <w:r w:rsidRPr="00F453AC">
              <w:rPr>
                <w:rFonts w:ascii="Arial" w:eastAsia="SimHei" w:hAnsi="Arial" w:cs="Times New Roman"/>
                <w:sz w:val="21"/>
              </w:rPr>
              <w:t>附件</w:t>
            </w:r>
          </w:p>
        </w:tc>
        <w:tc>
          <w:tcPr>
            <w:tcW w:w="1061" w:type="dxa"/>
            <w:shd w:val="clear" w:color="auto" w:fill="auto"/>
            <w:vAlign w:val="center"/>
          </w:tcPr>
          <w:p w:rsidR="005C4FAF" w:rsidRPr="003F5882" w:rsidRDefault="005C4FAF" w:rsidP="003312C4">
            <w:pPr>
              <w:jc w:val="right"/>
              <w:rPr>
                <w:rFonts w:ascii="Arial" w:hAnsi="Arial" w:cs="Times New Roman"/>
                <w:sz w:val="21"/>
                <w:szCs w:val="22"/>
              </w:rPr>
            </w:pP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附件一 - 按资金来源开列的财务状况表</w:t>
            </w:r>
            <w:r w:rsidR="00F453AC" w:rsidRPr="003F5882">
              <w:rPr>
                <w:rFonts w:ascii="Arial" w:hAnsi="Arial" w:cs="Times New Roman"/>
                <w:sz w:val="21"/>
              </w:rPr>
              <w:t>［</w:t>
            </w:r>
            <w:r w:rsidRPr="003F5882">
              <w:rPr>
                <w:rFonts w:ascii="Arial" w:hAnsi="Arial" w:cs="Times New Roman"/>
                <w:sz w:val="21"/>
              </w:rPr>
              <w:t>未经审计</w:t>
            </w:r>
            <w:r w:rsidR="00F453AC" w:rsidRPr="003F5882">
              <w:rPr>
                <w:rFonts w:ascii="Arial" w:hAnsi="Arial" w:cs="Times New Roman"/>
                <w:sz w:val="21"/>
              </w:rPr>
              <w:t>］</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67</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附件二 - 按资金来源开列的财务执行情况表</w:t>
            </w:r>
            <w:r w:rsidR="00F453AC" w:rsidRPr="003F5882">
              <w:rPr>
                <w:rFonts w:ascii="Arial" w:hAnsi="Arial" w:cs="Times New Roman"/>
                <w:sz w:val="21"/>
              </w:rPr>
              <w:t>［</w:t>
            </w:r>
            <w:r w:rsidRPr="003F5882">
              <w:rPr>
                <w:rFonts w:ascii="Arial" w:hAnsi="Arial" w:cs="Times New Roman"/>
                <w:sz w:val="21"/>
              </w:rPr>
              <w:t>未经审计</w:t>
            </w:r>
            <w:r w:rsidR="00F453AC" w:rsidRPr="003F5882">
              <w:rPr>
                <w:rFonts w:ascii="Arial" w:hAnsi="Arial" w:cs="Times New Roman"/>
                <w:sz w:val="21"/>
              </w:rPr>
              <w:t>］</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68</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附件三 - 捐助方捐助特别账户</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69</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 xml:space="preserve">附件四 - </w:t>
            </w:r>
            <w:proofErr w:type="gramStart"/>
            <w:r w:rsidRPr="003F5882">
              <w:rPr>
                <w:rFonts w:ascii="Arial" w:hAnsi="Arial" w:cs="Times New Roman"/>
                <w:sz w:val="21"/>
              </w:rPr>
              <w:t>惠给金</w:t>
            </w:r>
            <w:proofErr w:type="gramEnd"/>
            <w:r w:rsidRPr="003F5882">
              <w:rPr>
                <w:rFonts w:ascii="Arial" w:hAnsi="Arial" w:cs="Times New Roman"/>
                <w:sz w:val="21"/>
              </w:rPr>
              <w:t>支付</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70</w:t>
            </w:r>
          </w:p>
        </w:tc>
      </w:tr>
    </w:tbl>
    <w:p w:rsidR="005C4FAF" w:rsidRPr="003F5882" w:rsidRDefault="005C4FAF" w:rsidP="005C4FAF">
      <w:pPr>
        <w:rPr>
          <w:rFonts w:ascii="Arial" w:hAnsi="Arial" w:cs="Times New Roman"/>
        </w:rPr>
      </w:pPr>
    </w:p>
    <w:p w:rsidR="005C4FAF" w:rsidRPr="003F5882" w:rsidRDefault="005C4FAF" w:rsidP="005C4FAF">
      <w:pPr>
        <w:rPr>
          <w:rFonts w:ascii="Arial" w:hAnsi="Arial" w:cs="Times New Roman"/>
          <w:sz w:val="20"/>
          <w:szCs w:val="20"/>
        </w:rPr>
      </w:pPr>
    </w:p>
    <w:p w:rsidR="005C4FAF" w:rsidRPr="003F5882" w:rsidRDefault="005C4FAF" w:rsidP="005C4FAF">
      <w:pPr>
        <w:jc w:val="both"/>
        <w:rPr>
          <w:rFonts w:ascii="Arial" w:hAnsi="Arial" w:cs="Times New Roman"/>
          <w:sz w:val="18"/>
          <w:szCs w:val="18"/>
        </w:rPr>
      </w:pPr>
    </w:p>
    <w:p w:rsidR="005C4FAF" w:rsidRPr="003F5882" w:rsidRDefault="005C4FAF" w:rsidP="005C4FAF">
      <w:pPr>
        <w:jc w:val="both"/>
        <w:rPr>
          <w:rFonts w:ascii="Arial" w:hAnsi="Arial" w:cs="Times New Roman"/>
          <w:sz w:val="18"/>
          <w:szCs w:val="18"/>
        </w:rPr>
      </w:pPr>
    </w:p>
    <w:p w:rsidR="005C4FAF" w:rsidRPr="003F5882" w:rsidRDefault="005C4FAF" w:rsidP="005C4FAF">
      <w:pPr>
        <w:jc w:val="both"/>
        <w:rPr>
          <w:rFonts w:ascii="Arial" w:hAnsi="Arial" w:cs="Times New Roman"/>
          <w:sz w:val="18"/>
          <w:szCs w:val="18"/>
        </w:rPr>
        <w:sectPr w:rsidR="005C4FAF" w:rsidRPr="003F5882" w:rsidSect="003312C4">
          <w:headerReference w:type="default" r:id="rId17"/>
          <w:footerReference w:type="default" r:id="rId18"/>
          <w:headerReference w:type="first" r:id="rId19"/>
          <w:pgSz w:w="11907" w:h="16840" w:code="9"/>
          <w:pgMar w:top="851" w:right="1247" w:bottom="1191" w:left="1247" w:header="709" w:footer="709" w:gutter="0"/>
          <w:pgNumType w:start="1"/>
          <w:cols w:space="708"/>
          <w:titlePg/>
          <w:docGrid w:linePitch="360"/>
        </w:sectPr>
      </w:pPr>
    </w:p>
    <w:p w:rsidR="005C4FAF" w:rsidRPr="00F453AC" w:rsidRDefault="005C4FAF" w:rsidP="00F04843">
      <w:pPr>
        <w:keepNext/>
        <w:spacing w:beforeLines="100" w:before="240" w:afterLines="100" w:after="240" w:line="340" w:lineRule="atLeast"/>
        <w:jc w:val="center"/>
        <w:outlineLvl w:val="0"/>
        <w:rPr>
          <w:rFonts w:ascii="Arial" w:eastAsia="SimHei" w:hAnsi="Arial" w:cs="Times New Roman"/>
          <w:bCs/>
          <w:caps/>
          <w:kern w:val="32"/>
          <w:sz w:val="21"/>
          <w:szCs w:val="22"/>
        </w:rPr>
      </w:pPr>
      <w:bookmarkStart w:id="6" w:name="_Toc292716986"/>
      <w:bookmarkStart w:id="7" w:name="_Toc292717126"/>
      <w:bookmarkStart w:id="8" w:name="_Toc292717463"/>
      <w:r w:rsidRPr="00F453AC">
        <w:rPr>
          <w:rFonts w:ascii="Arial" w:eastAsia="SimHei" w:hAnsi="Arial" w:cs="Times New Roman"/>
          <w:caps/>
          <w:kern w:val="32"/>
          <w:sz w:val="21"/>
        </w:rPr>
        <w:lastRenderedPageBreak/>
        <w:t>年度财务报告</w:t>
      </w:r>
    </w:p>
    <w:p w:rsidR="005C4FAF" w:rsidRPr="00F453AC" w:rsidRDefault="005C4FAF" w:rsidP="00F04843">
      <w:pPr>
        <w:keepNext/>
        <w:overflowPunct w:val="0"/>
        <w:spacing w:beforeLines="100" w:before="240" w:afterLines="50" w:after="120" w:line="340" w:lineRule="atLeast"/>
        <w:jc w:val="both"/>
        <w:outlineLvl w:val="0"/>
        <w:rPr>
          <w:rFonts w:ascii="Arial" w:eastAsia="SimHei" w:hAnsi="Arial" w:cs="Times New Roman"/>
          <w:bCs/>
          <w:kern w:val="40"/>
          <w:sz w:val="21"/>
          <w:szCs w:val="22"/>
        </w:rPr>
      </w:pPr>
      <w:r w:rsidRPr="00F453AC">
        <w:rPr>
          <w:rFonts w:ascii="Arial" w:eastAsia="SimHei" w:hAnsi="Arial" w:cs="Times New Roman"/>
          <w:caps/>
          <w:kern w:val="32"/>
          <w:sz w:val="21"/>
        </w:rPr>
        <w:t>引</w:t>
      </w:r>
      <w:r w:rsidR="00F04843">
        <w:rPr>
          <w:rFonts w:ascii="Arial" w:eastAsia="SimHei" w:hAnsi="Arial" w:cs="Times New Roman" w:hint="eastAsia"/>
          <w:caps/>
          <w:kern w:val="32"/>
          <w:sz w:val="21"/>
        </w:rPr>
        <w:t xml:space="preserve">　</w:t>
      </w:r>
      <w:r w:rsidRPr="00F453AC">
        <w:rPr>
          <w:rFonts w:ascii="Arial" w:eastAsia="SimHei" w:hAnsi="Arial" w:cs="Times New Roman"/>
          <w:caps/>
          <w:kern w:val="32"/>
          <w:sz w:val="21"/>
        </w:rPr>
        <w:t>言</w:t>
      </w:r>
      <w:bookmarkEnd w:id="6"/>
      <w:bookmarkEnd w:id="7"/>
      <w:bookmarkEnd w:id="8"/>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0"/>
        </w:rPr>
      </w:pPr>
      <w:r w:rsidRPr="003F5882">
        <w:rPr>
          <w:rFonts w:ascii="Arial" w:hAnsi="Arial" w:cs="Times New Roman"/>
          <w:sz w:val="21"/>
        </w:rPr>
        <w:t>根据《财务条例与细则》条例6.7的规定，现将截至2014年12月31日的世界知识产权组织</w:t>
      </w:r>
      <w:r w:rsidR="00F453AC" w:rsidRPr="003F5882">
        <w:rPr>
          <w:rFonts w:ascii="Arial" w:hAnsi="Arial" w:cs="Times New Roman" w:hint="eastAsia"/>
          <w:sz w:val="21"/>
        </w:rPr>
        <w:t>（</w:t>
      </w:r>
      <w:r w:rsidRPr="003F5882">
        <w:rPr>
          <w:rFonts w:ascii="Arial" w:hAnsi="Arial" w:cs="Times New Roman"/>
          <w:sz w:val="21"/>
        </w:rPr>
        <w:t>WIPO</w:t>
      </w:r>
      <w:r w:rsidR="00F453AC" w:rsidRPr="003F5882">
        <w:rPr>
          <w:rFonts w:ascii="Arial" w:hAnsi="Arial" w:cs="Times New Roman" w:hint="eastAsia"/>
          <w:sz w:val="21"/>
        </w:rPr>
        <w:t>）</w:t>
      </w:r>
      <w:r w:rsidRPr="003F5882">
        <w:rPr>
          <w:rFonts w:ascii="Arial" w:hAnsi="Arial" w:cs="Times New Roman"/>
          <w:sz w:val="21"/>
        </w:rPr>
        <w:t>财务报表提交给WIPO成员国大会。财务报表根据</w:t>
      </w:r>
      <w:r w:rsidR="00E04F07" w:rsidRPr="003F5882">
        <w:rPr>
          <w:rFonts w:ascii="Arial" w:hAnsi="Arial" w:cs="Times New Roman" w:hint="eastAsia"/>
          <w:sz w:val="21"/>
        </w:rPr>
        <w:t>《</w:t>
      </w:r>
      <w:r w:rsidRPr="003F5882">
        <w:rPr>
          <w:rFonts w:ascii="Arial" w:hAnsi="Arial" w:cs="Times New Roman"/>
          <w:sz w:val="21"/>
        </w:rPr>
        <w:t>国际公共部门会计</w:t>
      </w:r>
      <w:r w:rsidR="00E04F07" w:rsidRPr="003F5882">
        <w:rPr>
          <w:rFonts w:ascii="Arial" w:hAnsi="Arial" w:cs="Times New Roman" w:hint="eastAsia"/>
          <w:sz w:val="21"/>
        </w:rPr>
        <w:t>准则》</w:t>
      </w:r>
      <w:r w:rsidR="00F453AC" w:rsidRPr="003F5882">
        <w:rPr>
          <w:rFonts w:ascii="Arial" w:hAnsi="Arial" w:cs="Times New Roman" w:hint="eastAsia"/>
          <w:sz w:val="21"/>
        </w:rPr>
        <w:t>（</w:t>
      </w:r>
      <w:r w:rsidRPr="003F5882">
        <w:rPr>
          <w:rFonts w:ascii="Arial" w:hAnsi="Arial" w:cs="Times New Roman"/>
          <w:sz w:val="21"/>
        </w:rPr>
        <w:t>IPSAS</w:t>
      </w:r>
      <w:r w:rsidR="00F453AC" w:rsidRPr="003F5882">
        <w:rPr>
          <w:rFonts w:ascii="Arial" w:hAnsi="Arial" w:cs="Times New Roman" w:hint="eastAsia"/>
          <w:sz w:val="21"/>
        </w:rPr>
        <w:t>）</w:t>
      </w:r>
      <w:r w:rsidRPr="003F5882">
        <w:rPr>
          <w:rFonts w:ascii="Arial" w:hAnsi="Arial" w:cs="Times New Roman"/>
          <w:sz w:val="21"/>
        </w:rPr>
        <w:t>编制，这是WIPO自2010年1月1日开始实行IPSAS以来编制的第五套采用IPSAS的财务报表。</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根据《财务条例与细则》</w:t>
      </w:r>
      <w:r w:rsidR="00F453AC" w:rsidRPr="003F5882">
        <w:rPr>
          <w:rFonts w:ascii="Arial" w:hAnsi="Arial" w:cs="Times New Roman" w:hint="eastAsia"/>
          <w:sz w:val="21"/>
        </w:rPr>
        <w:t>（</w:t>
      </w:r>
      <w:r w:rsidR="00416115" w:rsidRPr="003F5882">
        <w:rPr>
          <w:rFonts w:ascii="Arial" w:hAnsi="Arial" w:cs="Times New Roman" w:hint="eastAsia"/>
          <w:sz w:val="21"/>
        </w:rPr>
        <w:t>FRR</w:t>
      </w:r>
      <w:r w:rsidR="00F453AC" w:rsidRPr="003F5882">
        <w:rPr>
          <w:rFonts w:ascii="Arial" w:hAnsi="Arial" w:cs="Times New Roman" w:hint="eastAsia"/>
          <w:sz w:val="21"/>
        </w:rPr>
        <w:t>）</w:t>
      </w:r>
      <w:r w:rsidRPr="003F5882">
        <w:rPr>
          <w:rFonts w:ascii="Arial" w:hAnsi="Arial" w:cs="Times New Roman"/>
          <w:sz w:val="21"/>
        </w:rPr>
        <w:t>条例8.11及附件二的规定，外聘审计员的2014年财务报表审计报告以及对财务报表的意见也一并提交给WIPO成员国大会。</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财务报表以及对财务报表的讨论与分析都在本年度财务报告中列报。</w:t>
      </w:r>
    </w:p>
    <w:p w:rsidR="005C4FAF" w:rsidRPr="00F04843" w:rsidRDefault="005C4FAF" w:rsidP="00F04843">
      <w:pPr>
        <w:keepNext/>
        <w:overflowPunct w:val="0"/>
        <w:spacing w:beforeLines="100" w:before="240" w:afterLines="50" w:after="120" w:line="340" w:lineRule="atLeast"/>
        <w:jc w:val="both"/>
        <w:outlineLvl w:val="0"/>
        <w:rPr>
          <w:rFonts w:ascii="Arial" w:eastAsia="SimHei" w:hAnsi="Arial" w:cs="Times New Roman"/>
          <w:caps/>
          <w:kern w:val="32"/>
          <w:sz w:val="21"/>
        </w:rPr>
      </w:pPr>
      <w:r w:rsidRPr="00F453AC">
        <w:rPr>
          <w:rFonts w:ascii="Arial" w:eastAsia="SimHei" w:hAnsi="Arial" w:cs="Times New Roman"/>
          <w:caps/>
          <w:kern w:val="32"/>
          <w:sz w:val="21"/>
        </w:rPr>
        <w:t>财务报表讨论与分析</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WIPO年度财务报告的本部分呈现了对本组织截至201</w:t>
      </w:r>
      <w:r w:rsidR="001E3836" w:rsidRPr="003F5882">
        <w:rPr>
          <w:rFonts w:ascii="Arial" w:hAnsi="Arial" w:cs="Times New Roman" w:hint="eastAsia"/>
          <w:sz w:val="21"/>
        </w:rPr>
        <w:t>4</w:t>
      </w:r>
      <w:r w:rsidRPr="003F5882">
        <w:rPr>
          <w:rFonts w:ascii="Arial" w:hAnsi="Arial" w:cs="Times New Roman"/>
          <w:sz w:val="21"/>
        </w:rPr>
        <w:t>年12月31日的当年运营和环境、财务目标和战略以及财务执行情况和状况的讨论和分析。这些讨论和分析不是WIPO财务报表的组成部分，但应与第</w:t>
      </w:r>
      <w:r w:rsidR="00CA45E3" w:rsidRPr="003F5882">
        <w:rPr>
          <w:rFonts w:ascii="Arial" w:hAnsi="Arial" w:cs="Times New Roman" w:hint="eastAsia"/>
          <w:sz w:val="21"/>
        </w:rPr>
        <w:t>22</w:t>
      </w:r>
      <w:r w:rsidRPr="003F5882">
        <w:rPr>
          <w:rFonts w:ascii="Arial" w:hAnsi="Arial" w:cs="Times New Roman"/>
          <w:sz w:val="21"/>
        </w:rPr>
        <w:t>页至第</w:t>
      </w:r>
      <w:r w:rsidR="00CA45E3" w:rsidRPr="003F5882">
        <w:rPr>
          <w:rFonts w:ascii="Arial" w:hAnsi="Arial" w:cs="Times New Roman" w:hint="eastAsia"/>
          <w:sz w:val="21"/>
        </w:rPr>
        <w:t>66</w:t>
      </w:r>
      <w:r w:rsidRPr="003F5882">
        <w:rPr>
          <w:rFonts w:ascii="Arial" w:hAnsi="Arial" w:cs="Times New Roman"/>
          <w:sz w:val="21"/>
        </w:rPr>
        <w:t>页的WIPO财务报表一起阅读。</w:t>
      </w:r>
    </w:p>
    <w:p w:rsidR="005C4FAF" w:rsidRPr="00F04843" w:rsidRDefault="005C4FAF" w:rsidP="00F04843">
      <w:pPr>
        <w:keepNext/>
        <w:overflowPunct w:val="0"/>
        <w:spacing w:beforeLines="50" w:before="120" w:afterLines="50" w:after="120" w:line="340" w:lineRule="atLeast"/>
        <w:jc w:val="both"/>
        <w:rPr>
          <w:rFonts w:eastAsia="SimSun" w:cs="Times New Roman"/>
          <w:b/>
          <w:sz w:val="21"/>
          <w:szCs w:val="22"/>
        </w:rPr>
      </w:pPr>
      <w:r w:rsidRPr="00F04843">
        <w:rPr>
          <w:rFonts w:eastAsia="SimSun" w:cs="Times New Roman"/>
          <w:b/>
          <w:sz w:val="21"/>
        </w:rPr>
        <w:t>WIPO的运营和环境概述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WIPO是关于知识产权服务、政策、信息与合作的全球论坛。它是联合国的一个专</w:t>
      </w:r>
      <w:r w:rsidR="007E1D46" w:rsidRPr="003F5882">
        <w:rPr>
          <w:rFonts w:ascii="Arial" w:hAnsi="Arial" w:cs="Times New Roman" w:hint="eastAsia"/>
          <w:sz w:val="21"/>
        </w:rPr>
        <w:t>门</w:t>
      </w:r>
      <w:r w:rsidRPr="003F5882">
        <w:rPr>
          <w:rFonts w:ascii="Arial" w:hAnsi="Arial" w:cs="Times New Roman"/>
          <w:sz w:val="21"/>
        </w:rPr>
        <w:t>机构，拥有188个成员国。</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本组织的使命是领导发展兼顾各方利益的有效国际知识产权制度，让创新和创造惠及各国的经济、社会和文化发展。本组织的任务、领导机构和程序载于《WIPO公约》。WIPO根据该公约于1967年建立。</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WIPO的成员国通过决策机构来决策本组织的方向、预算和活动。WIPO的主要政策和决策机构是大会和协调委员会。大会由同时是</w:t>
      </w:r>
      <w:r w:rsidR="00471850" w:rsidRPr="003F5882">
        <w:rPr>
          <w:rFonts w:ascii="Arial" w:hAnsi="Arial" w:cs="Times New Roman" w:hint="eastAsia"/>
          <w:sz w:val="21"/>
        </w:rPr>
        <w:t>WIPO管理的</w:t>
      </w:r>
      <w:r w:rsidRPr="003F5882">
        <w:rPr>
          <w:rFonts w:ascii="Arial" w:hAnsi="Arial" w:cs="Times New Roman"/>
          <w:sz w:val="21"/>
        </w:rPr>
        <w:t>各联盟成员的《WIPO公约》成员国组成。协调委员会由巴黎或伯尔尼联盟的执行委员会的当选委员、非</w:t>
      </w:r>
      <w:r w:rsidR="00471850" w:rsidRPr="003F5882">
        <w:rPr>
          <w:rFonts w:ascii="Arial" w:hAnsi="Arial" w:cs="Times New Roman" w:hint="eastAsia"/>
          <w:sz w:val="21"/>
        </w:rPr>
        <w:t>任何</w:t>
      </w:r>
      <w:r w:rsidRPr="003F5882">
        <w:rPr>
          <w:rFonts w:ascii="Arial" w:hAnsi="Arial" w:cs="Times New Roman"/>
          <w:sz w:val="21"/>
        </w:rPr>
        <w:t>联盟成员的《WIPO公约》</w:t>
      </w:r>
      <w:r w:rsidR="007F25D6" w:rsidRPr="003F5882">
        <w:rPr>
          <w:rFonts w:ascii="Arial" w:hAnsi="Arial" w:cs="Times New Roman" w:hint="eastAsia"/>
          <w:sz w:val="21"/>
        </w:rPr>
        <w:t>缔约</w:t>
      </w:r>
      <w:r w:rsidRPr="003F5882">
        <w:rPr>
          <w:rFonts w:ascii="Arial" w:hAnsi="Arial" w:cs="Times New Roman"/>
          <w:sz w:val="21"/>
        </w:rPr>
        <w:t>国的四分之一以及瑞</w:t>
      </w:r>
      <w:r w:rsidR="00471850" w:rsidRPr="003F5882">
        <w:rPr>
          <w:rFonts w:ascii="Arial" w:hAnsi="Arial" w:cs="Times New Roman" w:hint="eastAsia"/>
          <w:sz w:val="21"/>
        </w:rPr>
        <w:t>士</w:t>
      </w:r>
      <w:r w:rsidRPr="003F5882">
        <w:rPr>
          <w:rFonts w:ascii="Arial" w:hAnsi="Arial" w:cs="Times New Roman"/>
          <w:sz w:val="21"/>
        </w:rPr>
        <w:t>组成。瑞</w:t>
      </w:r>
      <w:r w:rsidR="00471850" w:rsidRPr="003F5882">
        <w:rPr>
          <w:rFonts w:ascii="Arial" w:hAnsi="Arial" w:cs="Times New Roman" w:hint="eastAsia"/>
          <w:sz w:val="21"/>
        </w:rPr>
        <w:t>士</w:t>
      </w:r>
      <w:r w:rsidRPr="003F5882">
        <w:rPr>
          <w:rFonts w:ascii="Arial" w:hAnsi="Arial" w:cs="Times New Roman"/>
          <w:sz w:val="21"/>
        </w:rPr>
        <w:t>是本组织总部的所在地。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w:t>
      </w:r>
      <w:r w:rsidR="00E04F07" w:rsidRPr="003F5882">
        <w:rPr>
          <w:rFonts w:ascii="Arial" w:hAnsi="Arial" w:cs="Times New Roman"/>
          <w:sz w:val="21"/>
        </w:rPr>
        <w:t>I</w:t>
      </w:r>
      <w:r w:rsidRPr="003F5882">
        <w:rPr>
          <w:rFonts w:ascii="Arial" w:hAnsi="Arial" w:cs="Times New Roman"/>
          <w:sz w:val="21"/>
        </w:rPr>
        <w:t>PO总干事</w:t>
      </w:r>
      <w:r w:rsidR="00AA048B" w:rsidRPr="003F5882">
        <w:rPr>
          <w:rFonts w:ascii="Arial" w:hAnsi="Arial" w:cs="Times New Roman" w:hint="eastAsia"/>
          <w:sz w:val="21"/>
        </w:rPr>
        <w:t>在由</w:t>
      </w:r>
      <w:r w:rsidR="00AA048B" w:rsidRPr="003F5882">
        <w:rPr>
          <w:rFonts w:ascii="Arial" w:hAnsi="Arial" w:cs="Times New Roman"/>
          <w:sz w:val="21"/>
        </w:rPr>
        <w:t>协调委员会提名</w:t>
      </w:r>
      <w:r w:rsidR="00AA048B" w:rsidRPr="003F5882">
        <w:rPr>
          <w:rFonts w:ascii="Arial" w:hAnsi="Arial" w:cs="Times New Roman" w:hint="eastAsia"/>
          <w:sz w:val="21"/>
        </w:rPr>
        <w:t>后</w:t>
      </w:r>
      <w:r w:rsidRPr="003F5882">
        <w:rPr>
          <w:rFonts w:ascii="Arial" w:hAnsi="Arial" w:cs="Times New Roman"/>
          <w:sz w:val="21"/>
        </w:rPr>
        <w:t>，</w:t>
      </w:r>
      <w:r w:rsidR="00AA048B" w:rsidRPr="003F5882">
        <w:rPr>
          <w:rFonts w:ascii="Arial" w:hAnsi="Arial" w:cs="Times New Roman" w:hint="eastAsia"/>
          <w:sz w:val="21"/>
        </w:rPr>
        <w:t>由</w:t>
      </w:r>
      <w:r w:rsidRPr="003F5882">
        <w:rPr>
          <w:rFonts w:ascii="Arial" w:hAnsi="Arial" w:cs="Times New Roman"/>
          <w:sz w:val="21"/>
        </w:rPr>
        <w:t>大会任命。总干事是本组织的首席执行官。WIPO的高层管理团队</w:t>
      </w:r>
      <w:r w:rsidR="00F453AC" w:rsidRPr="003F5882">
        <w:rPr>
          <w:rFonts w:ascii="Arial" w:hAnsi="Arial" w:cs="Times New Roman"/>
          <w:sz w:val="21"/>
        </w:rPr>
        <w:t>（</w:t>
      </w:r>
      <w:r w:rsidRPr="003F5882">
        <w:rPr>
          <w:rFonts w:ascii="Arial" w:hAnsi="Arial" w:cs="Times New Roman"/>
          <w:sz w:val="21"/>
        </w:rPr>
        <w:t>由四名副总干事和四名助理总干事，外加法律顾问和人力资源管理部主任组成</w:t>
      </w:r>
      <w:r w:rsidR="00F453AC" w:rsidRPr="003F5882">
        <w:rPr>
          <w:rFonts w:ascii="Arial" w:hAnsi="Arial" w:cs="Times New Roman"/>
          <w:sz w:val="21"/>
        </w:rPr>
        <w:t>）</w:t>
      </w:r>
      <w:r w:rsidRPr="003F5882">
        <w:rPr>
          <w:rFonts w:ascii="Arial" w:hAnsi="Arial" w:cs="Times New Roman"/>
          <w:sz w:val="21"/>
        </w:rPr>
        <w:t>协助总干事制定WIPO各项计划的战略导向，并管理各自的部门和计划，从而确保交付成果符合计划和预算。</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WIPO的收入主要来自于通过《专利合作条约》</w:t>
      </w:r>
      <w:r w:rsidR="00F453AC" w:rsidRPr="003F5882">
        <w:rPr>
          <w:rFonts w:ascii="Arial" w:hAnsi="Arial" w:cs="Times New Roman" w:hint="eastAsia"/>
          <w:sz w:val="21"/>
        </w:rPr>
        <w:t>（</w:t>
      </w:r>
      <w:r w:rsidRPr="003F5882">
        <w:rPr>
          <w:rFonts w:ascii="Arial" w:hAnsi="Arial" w:cs="Times New Roman"/>
          <w:sz w:val="21"/>
        </w:rPr>
        <w:t>PCT</w:t>
      </w:r>
      <w:r w:rsidR="00F453AC" w:rsidRPr="003F5882">
        <w:rPr>
          <w:rFonts w:ascii="Arial" w:hAnsi="Arial" w:cs="Times New Roman" w:hint="eastAsia"/>
          <w:sz w:val="21"/>
        </w:rPr>
        <w:t>）</w:t>
      </w:r>
      <w:r w:rsidRPr="003F5882">
        <w:rPr>
          <w:rFonts w:ascii="Arial" w:hAnsi="Arial" w:cs="Times New Roman"/>
          <w:sz w:val="21"/>
        </w:rPr>
        <w:t>、马德里和海牙体系向国际注册系统用户提供的付费服务。2014年，这些活动收取的费用占本组织全部收入的91</w:t>
      </w:r>
      <w:r w:rsidR="002A46D2" w:rsidRPr="003F5882">
        <w:rPr>
          <w:rFonts w:ascii="Arial" w:hAnsi="Arial" w:cs="Times New Roman" w:hint="eastAsia"/>
          <w:sz w:val="21"/>
        </w:rPr>
        <w:t>.0</w:t>
      </w:r>
      <w:r w:rsidRPr="003F5882">
        <w:rPr>
          <w:rFonts w:ascii="Arial" w:hAnsi="Arial" w:cs="Times New Roman"/>
          <w:sz w:val="21"/>
        </w:rPr>
        <w:t>%，仅PCT体系费用就占75.2%。</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这些付费服务收入增长的动力是国际上对知识产权的需求。尽管2008年全球金融危机后经济复苏不均衡，但是自2010年起，全球知识产权备案活动持续增长，然</w:t>
      </w:r>
      <w:r w:rsidR="00A71BFE" w:rsidRPr="003F5882">
        <w:rPr>
          <w:rFonts w:ascii="Arial" w:hAnsi="Arial" w:cs="Times New Roman" w:hint="eastAsia"/>
          <w:sz w:val="21"/>
        </w:rPr>
        <w:t>而</w:t>
      </w:r>
      <w:r w:rsidRPr="003F5882">
        <w:rPr>
          <w:rFonts w:ascii="Arial" w:hAnsi="Arial" w:cs="Times New Roman"/>
          <w:sz w:val="21"/>
        </w:rPr>
        <w:t>知识产权需求仍然受到全球经济表现影响。</w:t>
      </w:r>
      <w:r w:rsidR="00A71BFE" w:rsidRPr="003F5882">
        <w:rPr>
          <w:rFonts w:ascii="Arial" w:hAnsi="Arial" w:cs="Times New Roman" w:hint="eastAsia"/>
          <w:sz w:val="21"/>
        </w:rPr>
        <w:t>可能</w:t>
      </w:r>
      <w:r w:rsidRPr="003F5882">
        <w:rPr>
          <w:rFonts w:ascii="Arial" w:hAnsi="Arial" w:cs="Times New Roman"/>
          <w:sz w:val="21"/>
        </w:rPr>
        <w:t>影响本组织服务收入的其他外部因素包括研究和开发投资水平、技术</w:t>
      </w:r>
      <w:r w:rsidR="00AF51BD" w:rsidRPr="003F5882">
        <w:rPr>
          <w:rFonts w:ascii="Arial" w:hAnsi="Arial" w:cs="Times New Roman" w:hint="eastAsia"/>
          <w:sz w:val="21"/>
        </w:rPr>
        <w:t>可信度</w:t>
      </w:r>
      <w:r w:rsidRPr="003F5882">
        <w:rPr>
          <w:rFonts w:ascii="Arial" w:hAnsi="Arial" w:cs="Times New Roman"/>
          <w:sz w:val="21"/>
        </w:rPr>
        <w:t>水平和汇率波动。尤其是对于PCT体系，其他重要影响因素包括与其他备案路径的服务费用相比PCT</w:t>
      </w:r>
      <w:proofErr w:type="gramStart"/>
      <w:r w:rsidRPr="003F5882">
        <w:rPr>
          <w:rFonts w:ascii="Arial" w:hAnsi="Arial" w:cs="Times New Roman"/>
          <w:sz w:val="21"/>
        </w:rPr>
        <w:t>规</w:t>
      </w:r>
      <w:proofErr w:type="gramEnd"/>
      <w:r w:rsidRPr="003F5882">
        <w:rPr>
          <w:rFonts w:ascii="Arial" w:hAnsi="Arial" w:cs="Times New Roman"/>
          <w:sz w:val="21"/>
        </w:rPr>
        <w:t>费的水平、与其他备案路径相比PCT服务的吸引力和价值、个</w:t>
      </w:r>
      <w:r w:rsidR="00AF51BD" w:rsidRPr="003F5882">
        <w:rPr>
          <w:rFonts w:ascii="Arial" w:hAnsi="Arial" w:cs="Times New Roman" w:hint="eastAsia"/>
          <w:sz w:val="21"/>
        </w:rPr>
        <w:t>别</w:t>
      </w:r>
      <w:r w:rsidRPr="003F5882">
        <w:rPr>
          <w:rFonts w:ascii="Arial" w:hAnsi="Arial" w:cs="Times New Roman"/>
          <w:sz w:val="21"/>
        </w:rPr>
        <w:t>企业专利战略。</w:t>
      </w:r>
    </w:p>
    <w:p w:rsidR="005C4FAF" w:rsidRPr="00F04843" w:rsidRDefault="005C4FAF" w:rsidP="00F04843">
      <w:pPr>
        <w:keepNext/>
        <w:overflowPunct w:val="0"/>
        <w:spacing w:beforeLines="50" w:before="120" w:afterLines="50" w:after="120" w:line="340" w:lineRule="atLeast"/>
        <w:jc w:val="both"/>
        <w:rPr>
          <w:rFonts w:eastAsia="SimSun" w:cs="Times New Roman"/>
          <w:b/>
          <w:sz w:val="21"/>
        </w:rPr>
      </w:pPr>
      <w:r w:rsidRPr="00F04843">
        <w:rPr>
          <w:rFonts w:eastAsia="SimSun" w:cs="Times New Roman"/>
          <w:b/>
          <w:sz w:val="21"/>
        </w:rPr>
        <w:lastRenderedPageBreak/>
        <w:t>WIPO财务目标和战略概述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WIPO的财务活动受经大会批准的《财务条例》管辖。《财务细则》由总干事根据《财务条例》规定建立。WIPO的计划和预算委员会</w:t>
      </w:r>
      <w:r w:rsidR="00AF51BD" w:rsidRPr="003F5882">
        <w:rPr>
          <w:rFonts w:ascii="Arial" w:hAnsi="Arial" w:cs="Times New Roman" w:hint="eastAsia"/>
          <w:sz w:val="21"/>
        </w:rPr>
        <w:t>会获知</w:t>
      </w:r>
      <w:r w:rsidRPr="003F5882">
        <w:rPr>
          <w:rFonts w:ascii="Arial" w:hAnsi="Arial" w:cs="Times New Roman"/>
          <w:sz w:val="21"/>
        </w:rPr>
        <w:t>《财务细则》的所有修</w:t>
      </w:r>
      <w:r w:rsidR="00AF51BD" w:rsidRPr="003F5882">
        <w:rPr>
          <w:rFonts w:ascii="Arial" w:hAnsi="Arial" w:cs="Times New Roman" w:hint="eastAsia"/>
          <w:sz w:val="21"/>
        </w:rPr>
        <w:t>改</w:t>
      </w:r>
      <w:r w:rsidRPr="003F5882">
        <w:rPr>
          <w:rFonts w:ascii="Arial" w:hAnsi="Arial" w:cs="Times New Roman"/>
          <w:sz w:val="21"/>
        </w:rPr>
        <w:t>。《财务细则》管辖本组织的所有财务管理活动。总干事向财务主管授予执行《财务条例与细则》的权</w:t>
      </w:r>
      <w:r w:rsidR="00AF51BD" w:rsidRPr="003F5882">
        <w:rPr>
          <w:rFonts w:ascii="Arial" w:hAnsi="Arial" w:cs="Times New Roman" w:hint="eastAsia"/>
          <w:sz w:val="21"/>
        </w:rPr>
        <w:t>限</w:t>
      </w:r>
      <w:r w:rsidRPr="003F5882">
        <w:rPr>
          <w:rFonts w:ascii="Arial" w:hAnsi="Arial" w:cs="Times New Roman"/>
          <w:sz w:val="21"/>
        </w:rPr>
        <w:t>和责任。</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总干事每两年向成员国呈交一份计划和预算供其审批。计划和预算详细阐述了所有拟议活动的目标、执行措施和预算规划。2013年12月12日召开的WIPO成员国大会核定了2014/15两年期计划和预算。计划和预算在中期战略计划的整体战略框架下提供两年期的规划。</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采用以结果为导向的管理系统，从而确保按照组织业绩和优先级安排和使用资源。本组织通过绩效指标、目标和基准定期衡量和分析组织绩效。在这种制度下，计划和预算以及中期战略计划都是WIPO规划框架的一部分，框架还包括年度工作计划和单个</w:t>
      </w:r>
      <w:r w:rsidR="00FE0F2D" w:rsidRPr="003F5882">
        <w:rPr>
          <w:rFonts w:ascii="Arial" w:hAnsi="Arial" w:cs="Times New Roman" w:hint="eastAsia"/>
          <w:sz w:val="21"/>
        </w:rPr>
        <w:t>工作人员</w:t>
      </w:r>
      <w:r w:rsidRPr="003F5882">
        <w:rPr>
          <w:rFonts w:ascii="Arial" w:hAnsi="Arial" w:cs="Times New Roman"/>
          <w:sz w:val="21"/>
        </w:rPr>
        <w:t>的目标。</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本组织根据储备</w:t>
      </w:r>
      <w:proofErr w:type="gramStart"/>
      <w:r w:rsidRPr="003F5882">
        <w:rPr>
          <w:rFonts w:ascii="Arial" w:hAnsi="Arial" w:cs="Times New Roman"/>
          <w:sz w:val="21"/>
        </w:rPr>
        <w:t>金政策</w:t>
      </w:r>
      <w:proofErr w:type="gramEnd"/>
      <w:r w:rsidRPr="003F5882">
        <w:rPr>
          <w:rFonts w:ascii="Arial" w:hAnsi="Arial" w:cs="Times New Roman"/>
          <w:sz w:val="21"/>
        </w:rPr>
        <w:t>管理储备金水平。该政策的一个核心要素是建立一个机制，将要求的储备金水平作为本组织管理下的联盟两年期开支概算的一个百分比。同时，该政策还建立了资本支出和战略</w:t>
      </w:r>
      <w:r w:rsidR="00FE0F2D" w:rsidRPr="003F5882">
        <w:rPr>
          <w:rFonts w:ascii="Arial" w:hAnsi="Arial" w:cs="Times New Roman" w:hint="eastAsia"/>
          <w:sz w:val="21"/>
        </w:rPr>
        <w:t>举措</w:t>
      </w:r>
      <w:r w:rsidRPr="003F5882">
        <w:rPr>
          <w:rFonts w:ascii="Arial" w:hAnsi="Arial" w:cs="Times New Roman"/>
          <w:sz w:val="21"/>
        </w:rPr>
        <w:t>储备金使用的</w:t>
      </w:r>
      <w:r w:rsidR="00FE0F2D" w:rsidRPr="003F5882">
        <w:rPr>
          <w:rFonts w:ascii="Arial" w:hAnsi="Arial" w:cs="Times New Roman" w:hint="eastAsia"/>
          <w:sz w:val="21"/>
        </w:rPr>
        <w:t>原则</w:t>
      </w:r>
      <w:r w:rsidRPr="003F5882">
        <w:rPr>
          <w:rFonts w:ascii="Arial" w:hAnsi="Arial" w:cs="Times New Roman"/>
          <w:sz w:val="21"/>
        </w:rPr>
        <w:t>和批准机制。</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color w:val="000000"/>
          <w:sz w:val="21"/>
        </w:rPr>
        <w:t>本组织根据其投资政策管理投资。投资政策规定本组织投资管理的主要目标按照重要性顺序应为</w:t>
      </w:r>
      <w:r w:rsidR="00E83775" w:rsidRPr="003F5882">
        <w:rPr>
          <w:rFonts w:ascii="Arial" w:hAnsi="Arial" w:cs="Times New Roman" w:hint="eastAsia"/>
          <w:color w:val="000000"/>
          <w:sz w:val="21"/>
        </w:rPr>
        <w:t>(</w:t>
      </w:r>
      <w:r w:rsidRPr="003F5882">
        <w:rPr>
          <w:rFonts w:ascii="Arial" w:hAnsi="Arial" w:cs="Times New Roman"/>
          <w:color w:val="000000"/>
          <w:sz w:val="21"/>
        </w:rPr>
        <w:t>i</w:t>
      </w:r>
      <w:r w:rsidR="00E83775" w:rsidRPr="003F5882">
        <w:rPr>
          <w:rFonts w:ascii="Arial" w:hAnsi="Arial" w:cs="Times New Roman" w:hint="eastAsia"/>
          <w:color w:val="000000"/>
          <w:sz w:val="21"/>
        </w:rPr>
        <w:t>)</w:t>
      </w:r>
      <w:r w:rsidR="003F5882">
        <w:rPr>
          <w:rFonts w:ascii="Arial" w:hAnsi="Arial" w:cs="Times New Roman"/>
          <w:color w:val="000000"/>
          <w:sz w:val="21"/>
          <w:lang w:val="en-US"/>
        </w:rPr>
        <w:t> </w:t>
      </w:r>
      <w:r w:rsidRPr="003F5882">
        <w:rPr>
          <w:rFonts w:ascii="Arial" w:hAnsi="Arial" w:cs="Times New Roman"/>
          <w:color w:val="000000"/>
          <w:sz w:val="21"/>
        </w:rPr>
        <w:t>资本保存；</w:t>
      </w:r>
      <w:r w:rsidR="00E83775" w:rsidRPr="003F5882">
        <w:rPr>
          <w:rFonts w:ascii="Arial" w:hAnsi="Arial" w:cs="Times New Roman" w:hint="eastAsia"/>
          <w:color w:val="000000"/>
          <w:sz w:val="21"/>
        </w:rPr>
        <w:t>(</w:t>
      </w:r>
      <w:r w:rsidRPr="003F5882">
        <w:rPr>
          <w:rFonts w:ascii="Arial" w:hAnsi="Arial" w:cs="Times New Roman"/>
          <w:color w:val="000000"/>
          <w:sz w:val="21"/>
        </w:rPr>
        <w:t>ii</w:t>
      </w:r>
      <w:r w:rsidR="00E83775" w:rsidRPr="003F5882">
        <w:rPr>
          <w:rFonts w:ascii="Arial" w:hAnsi="Arial" w:cs="Times New Roman" w:hint="eastAsia"/>
          <w:color w:val="000000"/>
          <w:sz w:val="21"/>
        </w:rPr>
        <w:t>)</w:t>
      </w:r>
      <w:r w:rsidR="003F5882">
        <w:rPr>
          <w:rFonts w:ascii="Arial" w:hAnsi="Arial" w:cs="Times New Roman"/>
          <w:color w:val="000000"/>
          <w:sz w:val="21"/>
          <w:lang w:val="en-US"/>
        </w:rPr>
        <w:t> </w:t>
      </w:r>
      <w:r w:rsidRPr="003F5882">
        <w:rPr>
          <w:rFonts w:ascii="Arial" w:hAnsi="Arial" w:cs="Times New Roman"/>
          <w:color w:val="000000"/>
          <w:sz w:val="21"/>
        </w:rPr>
        <w:t>流动性和</w:t>
      </w:r>
      <w:r w:rsidR="00E83775" w:rsidRPr="003F5882">
        <w:rPr>
          <w:rFonts w:ascii="Arial" w:hAnsi="Arial" w:cs="Times New Roman" w:hint="eastAsia"/>
          <w:color w:val="000000"/>
          <w:sz w:val="21"/>
        </w:rPr>
        <w:t>(</w:t>
      </w:r>
      <w:r w:rsidRPr="003F5882">
        <w:rPr>
          <w:rFonts w:ascii="Arial" w:hAnsi="Arial" w:cs="Times New Roman"/>
          <w:color w:val="000000"/>
          <w:sz w:val="21"/>
        </w:rPr>
        <w:t>iii</w:t>
      </w:r>
      <w:r w:rsidR="00E83775" w:rsidRPr="003F5882">
        <w:rPr>
          <w:rFonts w:ascii="Arial" w:hAnsi="Arial" w:cs="Times New Roman" w:hint="eastAsia"/>
          <w:color w:val="000000"/>
          <w:sz w:val="21"/>
        </w:rPr>
        <w:t>)</w:t>
      </w:r>
      <w:r w:rsidR="003F5882">
        <w:rPr>
          <w:rFonts w:ascii="Arial" w:hAnsi="Arial" w:cs="Times New Roman"/>
          <w:color w:val="000000"/>
          <w:sz w:val="21"/>
          <w:lang w:val="en-US"/>
        </w:rPr>
        <w:t> </w:t>
      </w:r>
      <w:r w:rsidR="00E83775" w:rsidRPr="003F5882">
        <w:rPr>
          <w:rFonts w:ascii="Arial" w:hAnsi="Arial" w:cs="Times New Roman" w:hint="eastAsia"/>
          <w:color w:val="000000"/>
          <w:sz w:val="21"/>
        </w:rPr>
        <w:t>(</w:t>
      </w:r>
      <w:r w:rsidRPr="003F5882">
        <w:rPr>
          <w:rFonts w:ascii="Arial" w:hAnsi="Arial" w:cs="Times New Roman"/>
          <w:color w:val="000000"/>
          <w:sz w:val="21"/>
        </w:rPr>
        <w:t>i</w:t>
      </w:r>
      <w:r w:rsidR="00E83775" w:rsidRPr="003F5882">
        <w:rPr>
          <w:rFonts w:ascii="Arial" w:hAnsi="Arial" w:cs="Times New Roman" w:hint="eastAsia"/>
          <w:color w:val="000000"/>
          <w:sz w:val="21"/>
        </w:rPr>
        <w:t>)</w:t>
      </w:r>
      <w:r w:rsidRPr="003F5882">
        <w:rPr>
          <w:rFonts w:ascii="Arial" w:hAnsi="Arial" w:cs="Times New Roman"/>
          <w:color w:val="000000"/>
          <w:sz w:val="21"/>
        </w:rPr>
        <w:t>和</w:t>
      </w:r>
      <w:r w:rsidR="00E83775" w:rsidRPr="003F5882">
        <w:rPr>
          <w:rFonts w:ascii="Arial" w:hAnsi="Arial" w:cs="Times New Roman" w:hint="eastAsia"/>
          <w:color w:val="000000"/>
          <w:sz w:val="21"/>
        </w:rPr>
        <w:t>(</w:t>
      </w:r>
      <w:r w:rsidRPr="003F5882">
        <w:rPr>
          <w:rFonts w:ascii="Arial" w:hAnsi="Arial" w:cs="Times New Roman"/>
          <w:color w:val="000000"/>
          <w:sz w:val="21"/>
        </w:rPr>
        <w:t>ii</w:t>
      </w:r>
      <w:r w:rsidR="00E83775" w:rsidRPr="003F5882">
        <w:rPr>
          <w:rFonts w:ascii="Arial" w:hAnsi="Arial" w:cs="Times New Roman" w:hint="eastAsia"/>
          <w:color w:val="000000"/>
          <w:sz w:val="21"/>
        </w:rPr>
        <w:t>)</w:t>
      </w:r>
      <w:r w:rsidRPr="003F5882">
        <w:rPr>
          <w:rFonts w:ascii="Arial" w:hAnsi="Arial" w:cs="Times New Roman"/>
          <w:color w:val="000000"/>
          <w:sz w:val="21"/>
        </w:rPr>
        <w:t>的约束下的回报率。</w:t>
      </w:r>
    </w:p>
    <w:p w:rsidR="005C4FAF" w:rsidRPr="00CA4DB8" w:rsidRDefault="005C4FAF"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财务报表概述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按照IPSAS编制的财务报表包括：</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财务状况表</w:t>
      </w:r>
      <w:r w:rsidRPr="003F5882">
        <w:rPr>
          <w:rFonts w:ascii="Arial" w:hAnsi="Arial" w:cs="Times New Roman"/>
          <w:sz w:val="21"/>
        </w:rPr>
        <w:t>详细描述本组织的净资产</w:t>
      </w:r>
      <w:r w:rsidR="00F453AC" w:rsidRPr="003F5882">
        <w:rPr>
          <w:rFonts w:ascii="Arial" w:hAnsi="Arial" w:cs="Times New Roman"/>
          <w:sz w:val="21"/>
        </w:rPr>
        <w:t>（</w:t>
      </w:r>
      <w:r w:rsidRPr="003F5882">
        <w:rPr>
          <w:rFonts w:ascii="Arial" w:hAnsi="Arial" w:cs="Times New Roman"/>
          <w:sz w:val="21"/>
        </w:rPr>
        <w:t>总资产和总负债之差</w:t>
      </w:r>
      <w:r w:rsidR="00F453AC" w:rsidRPr="003F5882">
        <w:rPr>
          <w:rFonts w:ascii="Arial" w:hAnsi="Arial" w:cs="Times New Roman"/>
          <w:sz w:val="21"/>
        </w:rPr>
        <w:t>）</w:t>
      </w:r>
      <w:r w:rsidRPr="003F5882">
        <w:rPr>
          <w:rFonts w:ascii="Arial" w:hAnsi="Arial" w:cs="Times New Roman"/>
          <w:sz w:val="21"/>
        </w:rPr>
        <w:t>。该报表提供了本组织财务实力以及可用于支持其未来目标的资源的信息；</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财务执行情况表</w:t>
      </w:r>
      <w:r w:rsidRPr="003F5882">
        <w:rPr>
          <w:rFonts w:ascii="Arial" w:hAnsi="Arial" w:cs="Times New Roman"/>
          <w:sz w:val="21"/>
        </w:rPr>
        <w:t>衡量当年的净盈余或赤字</w:t>
      </w:r>
      <w:r w:rsidR="00F453AC" w:rsidRPr="003F5882">
        <w:rPr>
          <w:rFonts w:ascii="Arial" w:hAnsi="Arial" w:cs="Times New Roman"/>
          <w:sz w:val="21"/>
        </w:rPr>
        <w:t>（</w:t>
      </w:r>
      <w:r w:rsidRPr="003F5882">
        <w:rPr>
          <w:rFonts w:ascii="Arial" w:hAnsi="Arial" w:cs="Times New Roman"/>
          <w:sz w:val="21"/>
        </w:rPr>
        <w:t>总收入和总支出之差</w:t>
      </w:r>
      <w:r w:rsidR="00F453AC" w:rsidRPr="003F5882">
        <w:rPr>
          <w:rFonts w:ascii="Arial" w:hAnsi="Arial" w:cs="Times New Roman"/>
          <w:sz w:val="21"/>
        </w:rPr>
        <w:t>）</w:t>
      </w:r>
      <w:r w:rsidRPr="003F5882">
        <w:rPr>
          <w:rFonts w:ascii="Arial" w:hAnsi="Arial" w:cs="Times New Roman"/>
          <w:sz w:val="21"/>
        </w:rPr>
        <w:t>。该报表提供了本组织收入来源及活动开支的信息。年度盈余或赤字按照完全的权责发生制呈报，在本期产生的收入和支出都纳入账目，不管相关的现金何时实际收到或支付；</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净资产变动表</w:t>
      </w:r>
      <w:r w:rsidRPr="003F5882">
        <w:rPr>
          <w:rFonts w:ascii="Arial" w:hAnsi="Arial" w:cs="Times New Roman"/>
          <w:sz w:val="21"/>
        </w:rPr>
        <w:t>明</w:t>
      </w:r>
      <w:proofErr w:type="gramStart"/>
      <w:r w:rsidRPr="003F5882">
        <w:rPr>
          <w:rFonts w:ascii="Arial" w:hAnsi="Arial" w:cs="Times New Roman"/>
          <w:sz w:val="21"/>
        </w:rPr>
        <w:t>确当年</w:t>
      </w:r>
      <w:proofErr w:type="gramEnd"/>
      <w:r w:rsidRPr="003F5882">
        <w:rPr>
          <w:rFonts w:ascii="Arial" w:hAnsi="Arial" w:cs="Times New Roman"/>
          <w:sz w:val="21"/>
        </w:rPr>
        <w:t>的净资产变动情况。该报表显示本组织总体财务状况的变动来源，包括本期盈余或赤字引起的变动；</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现金流量表</w:t>
      </w:r>
      <w:r w:rsidRPr="003F5882">
        <w:rPr>
          <w:rFonts w:ascii="Arial" w:hAnsi="Arial" w:cs="Times New Roman"/>
          <w:sz w:val="21"/>
        </w:rPr>
        <w:t>呈报当年的运营、投资和融资活动所带来的现金流动情况。该报表提供了当年的现金筹集和使用情况的信息，包括借款和还款以及固定资产的购置和出售。与财务执行情况表不同的是，现金流量表衡量流入本组织的现金和流出现金之差；</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预算与实际对比表</w:t>
      </w:r>
      <w:r w:rsidRPr="003F5882">
        <w:rPr>
          <w:rFonts w:ascii="Arial" w:hAnsi="Arial" w:cs="Times New Roman"/>
          <w:sz w:val="21"/>
        </w:rPr>
        <w:t>呈报计划和预算下的预算额和当年实际发生额之间的对比。该报表按预算制编制，这是一种修正的权责发生制，反映了资源的获取和使用在多大程度上按照核准的预算进行；</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财务报表附注</w:t>
      </w:r>
      <w:r w:rsidRPr="003F5882">
        <w:rPr>
          <w:rFonts w:ascii="Arial" w:hAnsi="Arial" w:cs="Times New Roman"/>
          <w:sz w:val="21"/>
        </w:rPr>
        <w:t>帮助理解主要的财务报表。附注包括重大会计政策的概述及其他解释性信息，同时也披露IPSAS要求的、在主要财务报表中未直接载明的信息。</w:t>
      </w:r>
    </w:p>
    <w:p w:rsidR="005C4FAF" w:rsidRPr="00CA4DB8" w:rsidRDefault="005C4FAF"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财务报表要点</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根据IPASA编制的2014年WIPO财务报表显示，当年盈余为3,700万瑞郎，相应的净资产从2013年的2.088亿瑞郎增加到截至2014年12月31日的2.458亿瑞郎。</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2013年盈余为1,510万瑞郎，相比之下2014年盈余为3,700万瑞郎。与2013年数据相比，2014年的总收入增长了1,860万瑞郎，主要因为PCT体系规费收入增加了2,110万瑞郎，但被其他/杂项收入减少320万瑞郎所部分抵消。和2013年相比，总支出下降了330万瑞郎。尽管人事</w:t>
      </w:r>
      <w:r w:rsidR="001F344E" w:rsidRPr="003F5882">
        <w:rPr>
          <w:rFonts w:ascii="Arial" w:hAnsi="Arial" w:cs="Times New Roman" w:hint="eastAsia"/>
          <w:sz w:val="21"/>
        </w:rPr>
        <w:t>费用</w:t>
      </w:r>
      <w:r w:rsidRPr="003F5882">
        <w:rPr>
          <w:rFonts w:ascii="Arial" w:hAnsi="Arial" w:cs="Times New Roman"/>
          <w:sz w:val="21"/>
        </w:rPr>
        <w:t>上涨了240万瑞郎，但是差旅和研究金、用品和材料、订约承办事务和业务费用均比上一年度低。</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WIPO的总资产从截至2013年12月的9.006亿瑞郎增长至截至2014年12月31日的9.694亿瑞郎。最显著的是，截至2014年12月31日，现金及现金等价物总计为4.745亿瑞郎</w:t>
      </w:r>
      <w:r w:rsidR="00F453AC" w:rsidRPr="003F5882">
        <w:rPr>
          <w:rFonts w:ascii="Arial" w:hAnsi="Arial" w:cs="Times New Roman"/>
          <w:sz w:val="21"/>
        </w:rPr>
        <w:t>（</w:t>
      </w:r>
      <w:r w:rsidRPr="003F5882">
        <w:rPr>
          <w:rFonts w:ascii="Arial" w:hAnsi="Arial" w:cs="Times New Roman"/>
          <w:sz w:val="21"/>
        </w:rPr>
        <w:t>占总资产的48.9%</w:t>
      </w:r>
      <w:r w:rsidR="00F453AC" w:rsidRPr="003F5882">
        <w:rPr>
          <w:rFonts w:ascii="Arial" w:hAnsi="Arial" w:cs="Times New Roman"/>
          <w:sz w:val="21"/>
        </w:rPr>
        <w:t>）</w:t>
      </w:r>
      <w:r w:rsidRPr="003F5882">
        <w:rPr>
          <w:rFonts w:ascii="Arial" w:hAnsi="Arial" w:cs="Times New Roman"/>
          <w:sz w:val="21"/>
        </w:rPr>
        <w:t>，与上一年度相比增幅为6</w:t>
      </w:r>
      <w:r w:rsidR="00E04F07" w:rsidRPr="003F5882">
        <w:rPr>
          <w:rFonts w:ascii="Arial" w:hAnsi="Arial" w:cs="Times New Roman" w:hint="eastAsia"/>
          <w:sz w:val="21"/>
        </w:rPr>
        <w:t>,</w:t>
      </w:r>
      <w:r w:rsidRPr="003F5882">
        <w:rPr>
          <w:rFonts w:ascii="Arial" w:hAnsi="Arial" w:cs="Times New Roman"/>
          <w:sz w:val="21"/>
        </w:rPr>
        <w:t>460</w:t>
      </w:r>
      <w:proofErr w:type="gramStart"/>
      <w:r w:rsidRPr="003F5882">
        <w:rPr>
          <w:rFonts w:ascii="Arial" w:hAnsi="Arial" w:cs="Times New Roman"/>
          <w:sz w:val="21"/>
        </w:rPr>
        <w:t>万瑞</w:t>
      </w:r>
      <w:proofErr w:type="gramEnd"/>
      <w:r w:rsidRPr="003F5882">
        <w:rPr>
          <w:rFonts w:ascii="Arial" w:hAnsi="Arial" w:cs="Times New Roman"/>
          <w:sz w:val="21"/>
        </w:rPr>
        <w:t>郎。本组织保持了相当多的固定资产投资，包括土地、楼宇、投资财产、无形资产和设备，账面净值总额为4.197亿瑞郎</w:t>
      </w:r>
      <w:r w:rsidR="00F453AC" w:rsidRPr="003F5882">
        <w:rPr>
          <w:rFonts w:ascii="Arial" w:hAnsi="Arial" w:cs="Times New Roman"/>
          <w:sz w:val="21"/>
        </w:rPr>
        <w:t>（</w:t>
      </w:r>
      <w:r w:rsidRPr="003F5882">
        <w:rPr>
          <w:rFonts w:ascii="Arial" w:hAnsi="Arial" w:cs="Times New Roman"/>
          <w:sz w:val="21"/>
        </w:rPr>
        <w:t>占总资产的43.3%</w:t>
      </w:r>
      <w:r w:rsidR="00F453AC" w:rsidRPr="003F5882">
        <w:rPr>
          <w:rFonts w:ascii="Arial" w:hAnsi="Arial" w:cs="Times New Roman"/>
          <w:sz w:val="21"/>
        </w:rPr>
        <w:t>）</w:t>
      </w:r>
      <w:r w:rsidRPr="003F5882">
        <w:rPr>
          <w:rFonts w:ascii="Arial" w:hAnsi="Arial" w:cs="Times New Roman"/>
          <w:sz w:val="21"/>
        </w:rPr>
        <w:t>。2014年，固定资产投资继续保持增长，账面净值总额比2013年年底增长了2,330万瑞郎。新会议厅建设项目以及</w:t>
      </w:r>
      <w:r w:rsidR="007B516A" w:rsidRPr="003F5882">
        <w:rPr>
          <w:rFonts w:ascii="Arial" w:hAnsi="Arial" w:cs="Times New Roman" w:hint="eastAsia"/>
          <w:sz w:val="21"/>
        </w:rPr>
        <w:t>阿·鲍格胥楼</w:t>
      </w:r>
      <w:r w:rsidRPr="003F5882">
        <w:rPr>
          <w:rFonts w:ascii="Arial" w:hAnsi="Arial" w:cs="Times New Roman"/>
          <w:sz w:val="21"/>
        </w:rPr>
        <w:t>改进工程在本年度完成。新会议厅如今已投入使用，并且以使用寿命计算折旧。安保施工项目，包括新的通道中心和安全参数</w:t>
      </w:r>
      <w:r w:rsidR="007C0F20" w:rsidRPr="003F5882">
        <w:rPr>
          <w:rFonts w:ascii="Arial" w:hAnsi="Arial" w:cs="Times New Roman" w:hint="eastAsia"/>
          <w:sz w:val="21"/>
        </w:rPr>
        <w:t>，</w:t>
      </w:r>
      <w:r w:rsidRPr="003F5882">
        <w:rPr>
          <w:rFonts w:ascii="Arial" w:hAnsi="Arial" w:cs="Times New Roman"/>
          <w:sz w:val="21"/>
        </w:rPr>
        <w:t>预计在2015年上半年完工。</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截至2014年12月31日，本组织的主要负债是3.587亿瑞郎的应付及预收账款</w:t>
      </w:r>
      <w:r w:rsidR="00F453AC" w:rsidRPr="003F5882">
        <w:rPr>
          <w:rFonts w:ascii="Arial" w:hAnsi="Arial" w:cs="Times New Roman" w:hint="eastAsia"/>
          <w:sz w:val="21"/>
        </w:rPr>
        <w:t>（</w:t>
      </w:r>
      <w:r w:rsidRPr="003F5882">
        <w:rPr>
          <w:rFonts w:ascii="Arial" w:hAnsi="Arial" w:cs="Times New Roman"/>
          <w:sz w:val="21"/>
        </w:rPr>
        <w:t>占总负债的49.6%</w:t>
      </w:r>
      <w:r w:rsidR="00F453AC" w:rsidRPr="003F5882">
        <w:rPr>
          <w:rFonts w:ascii="Arial" w:hAnsi="Arial" w:cs="Times New Roman" w:hint="eastAsia"/>
          <w:sz w:val="21"/>
        </w:rPr>
        <w:t>）</w:t>
      </w:r>
      <w:r w:rsidRPr="003F5882">
        <w:rPr>
          <w:rFonts w:ascii="Arial" w:hAnsi="Arial" w:cs="Times New Roman"/>
          <w:sz w:val="21"/>
        </w:rPr>
        <w:t>、1.612亿瑞郎的雇员福利负债</w:t>
      </w:r>
      <w:r w:rsidR="00F453AC" w:rsidRPr="003F5882">
        <w:rPr>
          <w:rFonts w:ascii="Arial" w:hAnsi="Arial" w:cs="Times New Roman" w:hint="eastAsia"/>
          <w:sz w:val="21"/>
        </w:rPr>
        <w:t>（</w:t>
      </w:r>
      <w:r w:rsidRPr="003F5882">
        <w:rPr>
          <w:rFonts w:ascii="Arial" w:hAnsi="Arial" w:cs="Times New Roman"/>
          <w:sz w:val="21"/>
        </w:rPr>
        <w:t>占</w:t>
      </w:r>
      <w:r w:rsidR="007C0F20" w:rsidRPr="003F5882">
        <w:rPr>
          <w:rFonts w:ascii="Arial" w:hAnsi="Arial" w:cs="Times New Roman" w:hint="eastAsia"/>
          <w:sz w:val="21"/>
        </w:rPr>
        <w:t>总负债的</w:t>
      </w:r>
      <w:r w:rsidRPr="003F5882">
        <w:rPr>
          <w:rFonts w:ascii="Arial" w:hAnsi="Arial" w:cs="Times New Roman"/>
          <w:sz w:val="21"/>
        </w:rPr>
        <w:t>22.3%</w:t>
      </w:r>
      <w:r w:rsidR="00F453AC" w:rsidRPr="003F5882">
        <w:rPr>
          <w:rFonts w:ascii="Arial" w:hAnsi="Arial" w:cs="Times New Roman" w:hint="eastAsia"/>
          <w:sz w:val="21"/>
        </w:rPr>
        <w:t>）</w:t>
      </w:r>
      <w:r w:rsidRPr="003F5882">
        <w:rPr>
          <w:rFonts w:ascii="Arial" w:hAnsi="Arial" w:cs="Times New Roman"/>
          <w:sz w:val="21"/>
        </w:rPr>
        <w:t>和1.392亿瑞郎的借款</w:t>
      </w:r>
      <w:r w:rsidR="00F453AC" w:rsidRPr="003F5882">
        <w:rPr>
          <w:rFonts w:ascii="Arial" w:hAnsi="Arial" w:cs="Times New Roman" w:hint="eastAsia"/>
          <w:sz w:val="21"/>
        </w:rPr>
        <w:t>（</w:t>
      </w:r>
      <w:r w:rsidRPr="003F5882">
        <w:rPr>
          <w:rFonts w:ascii="Arial" w:hAnsi="Arial" w:cs="Times New Roman"/>
          <w:sz w:val="21"/>
        </w:rPr>
        <w:t>占19.2%</w:t>
      </w:r>
      <w:r w:rsidR="00F453AC" w:rsidRPr="003F5882">
        <w:rPr>
          <w:rFonts w:ascii="Arial" w:hAnsi="Arial" w:cs="Times New Roman" w:hint="eastAsia"/>
          <w:sz w:val="21"/>
        </w:rPr>
        <w:t>）</w:t>
      </w:r>
      <w:r w:rsidRPr="003F5882">
        <w:rPr>
          <w:rFonts w:ascii="Arial" w:hAnsi="Arial" w:cs="Times New Roman"/>
          <w:sz w:val="21"/>
        </w:rPr>
        <w:t>。</w:t>
      </w:r>
    </w:p>
    <w:p w:rsidR="005C4FAF" w:rsidRPr="00CA4DB8" w:rsidRDefault="005C4FAF"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财务执行情况</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本组织2014年的结果显示，当年盈余3</w:t>
      </w:r>
      <w:r w:rsidR="00061502" w:rsidRPr="003F5882">
        <w:rPr>
          <w:rFonts w:ascii="Arial" w:hAnsi="Arial" w:cs="Times New Roman" w:hint="eastAsia"/>
          <w:sz w:val="21"/>
        </w:rPr>
        <w:t>,</w:t>
      </w:r>
      <w:r w:rsidRPr="003F5882">
        <w:rPr>
          <w:rFonts w:ascii="Arial" w:hAnsi="Arial" w:cs="Times New Roman"/>
          <w:sz w:val="21"/>
        </w:rPr>
        <w:t>700万瑞郎，总收入为3.702亿瑞郎，总支出为3.332亿瑞郎。相比之下，2013年盈余为1,510万瑞郎，总收入为3.516亿瑞郎，总支出为3.365亿瑞郎。</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采用修正的权责发生制</w:t>
      </w:r>
      <w:r w:rsidR="00F453AC" w:rsidRPr="003F5882">
        <w:rPr>
          <w:rFonts w:ascii="Arial" w:hAnsi="Arial" w:cs="Times New Roman" w:hint="eastAsia"/>
          <w:sz w:val="21"/>
        </w:rPr>
        <w:t>（</w:t>
      </w:r>
      <w:r w:rsidRPr="003F5882">
        <w:rPr>
          <w:rFonts w:ascii="Arial" w:hAnsi="Arial" w:cs="Times New Roman"/>
          <w:sz w:val="21"/>
        </w:rPr>
        <w:t>即</w:t>
      </w:r>
      <w:proofErr w:type="gramStart"/>
      <w:r w:rsidRPr="003F5882">
        <w:rPr>
          <w:rFonts w:ascii="Arial" w:hAnsi="Arial" w:cs="Times New Roman"/>
          <w:sz w:val="21"/>
        </w:rPr>
        <w:t>未依据</w:t>
      </w:r>
      <w:proofErr w:type="gramEnd"/>
      <w:r w:rsidRPr="003F5882">
        <w:rPr>
          <w:rFonts w:ascii="Arial" w:hAnsi="Arial" w:cs="Times New Roman"/>
          <w:sz w:val="21"/>
        </w:rPr>
        <w:t>IPSAS进行调整</w:t>
      </w:r>
      <w:r w:rsidR="00F453AC" w:rsidRPr="003F5882">
        <w:rPr>
          <w:rFonts w:ascii="Arial" w:hAnsi="Arial" w:cs="Times New Roman" w:hint="eastAsia"/>
          <w:sz w:val="21"/>
        </w:rPr>
        <w:t>）</w:t>
      </w:r>
      <w:r w:rsidRPr="003F5882">
        <w:rPr>
          <w:rFonts w:ascii="Arial" w:hAnsi="Arial" w:cs="Times New Roman"/>
          <w:sz w:val="21"/>
        </w:rPr>
        <w:t>编制的2014年计划和预算结果为盈余6,990</w:t>
      </w:r>
      <w:proofErr w:type="gramStart"/>
      <w:r w:rsidRPr="003F5882">
        <w:rPr>
          <w:rFonts w:ascii="Arial" w:hAnsi="Arial" w:cs="Times New Roman"/>
          <w:sz w:val="21"/>
        </w:rPr>
        <w:t>万瑞</w:t>
      </w:r>
      <w:proofErr w:type="gramEnd"/>
      <w:r w:rsidRPr="003F5882">
        <w:rPr>
          <w:rFonts w:ascii="Arial" w:hAnsi="Arial" w:cs="Times New Roman"/>
          <w:sz w:val="21"/>
        </w:rPr>
        <w:t>郎。本组织2014年依据IPSAS进行核算的结果包括特别账户、由储备金资助的项目以及根据IPSAS标准采用完全的权责发生制进行相关调整产生的影响。</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按供资来源开列的财务执行情况概览</w:t>
      </w:r>
    </w:p>
    <w:p w:rsidR="005C4FAF" w:rsidRPr="00F453AC" w:rsidRDefault="003F5882" w:rsidP="003F5882">
      <w:pPr>
        <w:spacing w:afterLines="50" w:after="120" w:line="340" w:lineRule="atLeast"/>
        <w:jc w:val="center"/>
        <w:rPr>
          <w:rFonts w:ascii="Arial" w:eastAsia="SimSun" w:hAnsi="Arial" w:cs="Times New Roman"/>
        </w:rPr>
      </w:pPr>
      <w:r w:rsidRPr="003F5882">
        <w:rPr>
          <w:noProof/>
          <w:lang w:val="en-US" w:bidi="ar-SA"/>
        </w:rPr>
        <w:drawing>
          <wp:inline distT="0" distB="0" distL="0" distR="0" wp14:anchorId="3E5FEED3" wp14:editId="0159F803">
            <wp:extent cx="5977255" cy="1474985"/>
            <wp:effectExtent l="0" t="0" r="4445"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147498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下图摘要说明了计划和预算的6,990</w:t>
      </w:r>
      <w:proofErr w:type="gramStart"/>
      <w:r w:rsidRPr="003F5882">
        <w:rPr>
          <w:rFonts w:ascii="Arial" w:hAnsi="Arial" w:cs="Times New Roman"/>
          <w:sz w:val="21"/>
        </w:rPr>
        <w:t>万瑞</w:t>
      </w:r>
      <w:proofErr w:type="gramEnd"/>
      <w:r w:rsidRPr="003F5882">
        <w:rPr>
          <w:rFonts w:ascii="Arial" w:hAnsi="Arial" w:cs="Times New Roman"/>
          <w:sz w:val="21"/>
        </w:rPr>
        <w:t>郎盈余和按照IPSAS编制的整个组织的3,700</w:t>
      </w:r>
      <w:proofErr w:type="gramStart"/>
      <w:r w:rsidRPr="003F5882">
        <w:rPr>
          <w:rFonts w:ascii="Arial" w:hAnsi="Arial" w:cs="Times New Roman"/>
          <w:sz w:val="21"/>
        </w:rPr>
        <w:t>万瑞</w:t>
      </w:r>
      <w:proofErr w:type="gramEnd"/>
      <w:r w:rsidRPr="003F5882">
        <w:rPr>
          <w:rFonts w:ascii="Arial" w:hAnsi="Arial" w:cs="Times New Roman"/>
          <w:sz w:val="21"/>
        </w:rPr>
        <w:t>郎盈余之间的主要差别</w:t>
      </w:r>
      <w:r w:rsidR="00611D86" w:rsidRPr="003F5882">
        <w:rPr>
          <w:rFonts w:ascii="Arial" w:hAnsi="Arial" w:cs="Times New Roman" w:hint="eastAsia"/>
          <w:sz w:val="21"/>
        </w:rPr>
        <w:t>：</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2014年从预算结果转向IPSAS结果</w:t>
      </w:r>
    </w:p>
    <w:p w:rsidR="00051289"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14:anchorId="2AD594CE" wp14:editId="5EBA7BC6">
            <wp:extent cx="5977255" cy="3288665"/>
            <wp:effectExtent l="0" t="0" r="444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7255" cy="328866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按照IPSAS编制的WIPO财务报表包括整个组织的所有领域和活动。在采用IPSAS进行调整前，纳入结算的有特别账户</w:t>
      </w:r>
      <w:r w:rsidR="00F453AC" w:rsidRPr="003F5882">
        <w:rPr>
          <w:rFonts w:ascii="Arial" w:hAnsi="Arial" w:cs="Times New Roman" w:hint="eastAsia"/>
          <w:sz w:val="21"/>
        </w:rPr>
        <w:t>（</w:t>
      </w:r>
      <w:r w:rsidRPr="003F5882">
        <w:rPr>
          <w:rFonts w:ascii="Arial" w:hAnsi="Arial" w:cs="Times New Roman"/>
          <w:sz w:val="21"/>
        </w:rPr>
        <w:t>盈余80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和储备金供资项目</w:t>
      </w:r>
      <w:r w:rsidR="00F453AC" w:rsidRPr="003F5882">
        <w:rPr>
          <w:rFonts w:ascii="Arial" w:hAnsi="Arial" w:cs="Times New Roman" w:hint="eastAsia"/>
          <w:sz w:val="21"/>
        </w:rPr>
        <w:t>（</w:t>
      </w:r>
      <w:r w:rsidRPr="003F5882">
        <w:rPr>
          <w:rFonts w:ascii="Arial" w:hAnsi="Arial" w:cs="Times New Roman"/>
          <w:sz w:val="21"/>
        </w:rPr>
        <w:t>赤字3,520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。这构成了预算结算和按照IPSAS编制的财务报表盈余之间的</w:t>
      </w:r>
      <w:r w:rsidR="00E04F07" w:rsidRPr="003F5882">
        <w:rPr>
          <w:rFonts w:ascii="Arial" w:hAnsi="Arial" w:cs="Times New Roman" w:hint="eastAsia"/>
          <w:sz w:val="21"/>
        </w:rPr>
        <w:t>“</w:t>
      </w:r>
      <w:r w:rsidRPr="003F5882">
        <w:rPr>
          <w:rFonts w:ascii="Arial" w:hAnsi="Arial" w:cs="Times New Roman"/>
          <w:sz w:val="21"/>
        </w:rPr>
        <w:t>实体差异</w:t>
      </w:r>
      <w:r w:rsidR="00E04F07" w:rsidRPr="003F5882">
        <w:rPr>
          <w:rFonts w:ascii="Arial" w:hAnsi="Arial" w:cs="Times New Roman" w:hint="eastAsia"/>
          <w:sz w:val="21"/>
        </w:rPr>
        <w:t>”</w:t>
      </w:r>
      <w:r w:rsidRPr="003F5882">
        <w:rPr>
          <w:rFonts w:ascii="Arial" w:hAnsi="Arial" w:cs="Times New Roman"/>
          <w:sz w:val="21"/>
        </w:rPr>
        <w:t>。</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按照IPSAS采用完全的权责发生制导致若干</w:t>
      </w:r>
      <w:r w:rsidR="00E04F07" w:rsidRPr="003F5882">
        <w:rPr>
          <w:rFonts w:ascii="Arial" w:hAnsi="Arial" w:cs="Times New Roman" w:hint="eastAsia"/>
          <w:sz w:val="21"/>
        </w:rPr>
        <w:t>“</w:t>
      </w:r>
      <w:r w:rsidRPr="003F5882">
        <w:rPr>
          <w:rFonts w:ascii="Arial" w:hAnsi="Arial" w:cs="Times New Roman"/>
          <w:sz w:val="21"/>
        </w:rPr>
        <w:t>会计基准差异</w:t>
      </w:r>
      <w:r w:rsidR="00E04F07" w:rsidRPr="003F5882">
        <w:rPr>
          <w:rFonts w:ascii="Arial" w:hAnsi="Arial" w:cs="Times New Roman" w:hint="eastAsia"/>
          <w:sz w:val="21"/>
        </w:rPr>
        <w:t>”</w:t>
      </w:r>
      <w:r w:rsidRPr="003F5882">
        <w:rPr>
          <w:rFonts w:ascii="Arial" w:hAnsi="Arial" w:cs="Times New Roman"/>
          <w:sz w:val="21"/>
        </w:rPr>
        <w:t>，从而影响到当年的结果。这些调整的净影响是150万瑞郎的盈余</w:t>
      </w:r>
      <w:r w:rsidR="00D71275" w:rsidRPr="003F5882">
        <w:rPr>
          <w:rFonts w:ascii="Arial" w:hAnsi="Arial" w:cs="Times New Roman" w:hint="eastAsia"/>
          <w:sz w:val="21"/>
        </w:rPr>
        <w:t>：</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根据IPSAS，只要符合捐赠协议的条件且支出按照工作计划发生，特别账户自愿捐款产生的收入被确认。如收到的捐款超过履行工作的开支，捐款则视为递延收入负债，这导致当年结算减少了80万瑞郎。</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在采用IPSAS时，规费产生的收入要递延到该笔规费被认为已挣到时才入账。就国际申请而言，入账时间为最后公布日。在PCT申请方面，还确认了应收账款，即申请已经提交，但本组织尚未收到</w:t>
      </w:r>
      <w:proofErr w:type="gramStart"/>
      <w:r w:rsidRPr="003F5882">
        <w:rPr>
          <w:rFonts w:ascii="Arial" w:hAnsi="Arial" w:cs="Times New Roman"/>
          <w:sz w:val="21"/>
        </w:rPr>
        <w:t>规</w:t>
      </w:r>
      <w:proofErr w:type="gramEnd"/>
      <w:r w:rsidRPr="003F5882">
        <w:rPr>
          <w:rFonts w:ascii="Arial" w:hAnsi="Arial" w:cs="Times New Roman"/>
          <w:sz w:val="21"/>
        </w:rPr>
        <w:t>费。</w:t>
      </w:r>
    </w:p>
    <w:p w:rsidR="005C4FAF" w:rsidRPr="00F453AC" w:rsidRDefault="00F453AC" w:rsidP="003F5882">
      <w:pPr>
        <w:overflowPunct w:val="0"/>
        <w:spacing w:afterLines="50" w:after="120" w:line="340" w:lineRule="atLeast"/>
        <w:ind w:left="720"/>
        <w:jc w:val="both"/>
        <w:rPr>
          <w:rFonts w:ascii="Arial" w:eastAsia="SimSun" w:hAnsi="Arial" w:cs="Times New Roman"/>
          <w:sz w:val="21"/>
          <w:szCs w:val="20"/>
        </w:rPr>
      </w:pPr>
      <w:r w:rsidRPr="003F5882">
        <w:rPr>
          <w:rFonts w:ascii="Arial" w:hAnsi="Arial" w:cs="Times New Roman" w:hint="eastAsia"/>
          <w:sz w:val="21"/>
        </w:rPr>
        <w:t>（</w:t>
      </w:r>
      <w:r w:rsidR="005C4FAF" w:rsidRPr="003F5882">
        <w:rPr>
          <w:rFonts w:ascii="Arial" w:hAnsi="Arial" w:cs="Times New Roman"/>
          <w:sz w:val="21"/>
        </w:rPr>
        <w:t>PCT、商标、工业品外观设计</w:t>
      </w:r>
      <w:r w:rsidRPr="003F5882">
        <w:rPr>
          <w:rFonts w:ascii="Arial" w:hAnsi="Arial" w:cs="Times New Roman" w:hint="eastAsia"/>
          <w:sz w:val="21"/>
        </w:rPr>
        <w:t>）</w:t>
      </w:r>
      <w:proofErr w:type="gramStart"/>
      <w:r w:rsidR="005C4FAF" w:rsidRPr="003F5882">
        <w:rPr>
          <w:rFonts w:ascii="Arial" w:hAnsi="Arial" w:cs="Times New Roman"/>
          <w:sz w:val="21"/>
        </w:rPr>
        <w:t>规费递延收入</w:t>
      </w:r>
      <w:proofErr w:type="gramEnd"/>
      <w:r w:rsidR="005C4FAF" w:rsidRPr="003F5882">
        <w:rPr>
          <w:rFonts w:ascii="Arial" w:hAnsi="Arial" w:cs="Times New Roman"/>
          <w:sz w:val="21"/>
        </w:rPr>
        <w:t>余额从2013年12月31日的1.985亿瑞郎增加至2014年12月31日的2.037亿瑞郎。在同一时期，PCT规费应收账款从6,240万瑞郎</w:t>
      </w:r>
      <w:r w:rsidR="005A1605" w:rsidRPr="003F5882">
        <w:rPr>
          <w:rFonts w:ascii="Arial" w:hAnsi="Arial" w:cs="Times New Roman" w:hint="eastAsia"/>
          <w:sz w:val="21"/>
        </w:rPr>
        <w:t>降低</w:t>
      </w:r>
      <w:r w:rsidR="005C4FAF" w:rsidRPr="003F5882">
        <w:rPr>
          <w:rFonts w:ascii="Arial" w:hAnsi="Arial" w:cs="Times New Roman"/>
          <w:sz w:val="21"/>
        </w:rPr>
        <w:t>到4,670万瑞郎。应收账款的下降部分是由于2014年12月31日PCT往来账户被部分抵消，抵消金额为390万瑞郎，其中部分往来账户余额被确认为与申请有关。净影响是收入降低了1,700万瑞郎。</w:t>
      </w:r>
    </w:p>
    <w:p w:rsidR="005C4FAF" w:rsidRPr="00F453AC" w:rsidRDefault="005C4FAF" w:rsidP="003F5882">
      <w:pPr>
        <w:overflowPunct w:val="0"/>
        <w:spacing w:afterLines="50" w:after="120" w:line="340" w:lineRule="atLeast"/>
        <w:ind w:left="720"/>
        <w:jc w:val="both"/>
        <w:rPr>
          <w:rFonts w:ascii="Arial" w:eastAsia="SimSun" w:hAnsi="Arial" w:cs="Times New Roman"/>
          <w:sz w:val="21"/>
          <w:szCs w:val="22"/>
        </w:rPr>
      </w:pPr>
      <w:r w:rsidRPr="003F5882">
        <w:rPr>
          <w:rFonts w:ascii="Arial" w:hAnsi="Arial" w:cs="Times New Roman"/>
          <w:sz w:val="21"/>
        </w:rPr>
        <w:t>2014年期间，国际组织不动产基金会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为安保建筑的供资中也有110</w:t>
      </w:r>
      <w:proofErr w:type="gramStart"/>
      <w:r w:rsidRPr="003F5882">
        <w:rPr>
          <w:rFonts w:ascii="Arial" w:hAnsi="Arial" w:cs="Times New Roman"/>
          <w:sz w:val="21"/>
        </w:rPr>
        <w:t>万瑞</w:t>
      </w:r>
      <w:proofErr w:type="gramEnd"/>
      <w:r w:rsidRPr="003F5882">
        <w:rPr>
          <w:rFonts w:ascii="Arial" w:hAnsi="Arial" w:cs="Times New Roman"/>
          <w:sz w:val="21"/>
        </w:rPr>
        <w:t>郎被</w:t>
      </w:r>
      <w:proofErr w:type="gramStart"/>
      <w:r w:rsidRPr="003F5882">
        <w:rPr>
          <w:rFonts w:ascii="Arial" w:hAnsi="Arial" w:cs="Times New Roman"/>
          <w:sz w:val="21"/>
        </w:rPr>
        <w:t>确认为递延</w:t>
      </w:r>
      <w:proofErr w:type="gramEnd"/>
      <w:r w:rsidRPr="003F5882">
        <w:rPr>
          <w:rFonts w:ascii="Arial" w:hAnsi="Arial" w:cs="Times New Roman"/>
          <w:sz w:val="21"/>
        </w:rPr>
        <w:t>收入。总的来说，递</w:t>
      </w:r>
      <w:proofErr w:type="gramStart"/>
      <w:r w:rsidRPr="003F5882">
        <w:rPr>
          <w:rFonts w:ascii="Arial" w:hAnsi="Arial" w:cs="Times New Roman"/>
          <w:sz w:val="21"/>
        </w:rPr>
        <w:t>延收入</w:t>
      </w:r>
      <w:proofErr w:type="gramEnd"/>
      <w:r w:rsidRPr="003F5882">
        <w:rPr>
          <w:rFonts w:ascii="Arial" w:hAnsi="Arial" w:cs="Times New Roman"/>
          <w:sz w:val="21"/>
        </w:rPr>
        <w:t>所涉的1,810</w:t>
      </w:r>
      <w:proofErr w:type="gramStart"/>
      <w:r w:rsidRPr="003F5882">
        <w:rPr>
          <w:rFonts w:ascii="Arial" w:hAnsi="Arial" w:cs="Times New Roman"/>
          <w:sz w:val="21"/>
        </w:rPr>
        <w:t>万瑞郎调整</w:t>
      </w:r>
      <w:proofErr w:type="gramEnd"/>
      <w:r w:rsidRPr="003F5882">
        <w:rPr>
          <w:rFonts w:ascii="Arial" w:hAnsi="Arial" w:cs="Times New Roman"/>
          <w:sz w:val="21"/>
        </w:rPr>
        <w:t>由以下部分组成：</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2014年收入递</w:t>
      </w:r>
      <w:proofErr w:type="gramStart"/>
      <w:r w:rsidRPr="003F5882">
        <w:rPr>
          <w:rFonts w:ascii="Arial" w:hAnsi="Arial" w:cs="Times New Roman"/>
          <w:sz w:val="21"/>
          <w:u w:val="single"/>
        </w:rPr>
        <w:t>延依据</w:t>
      </w:r>
      <w:proofErr w:type="gramEnd"/>
      <w:r w:rsidRPr="003F5882">
        <w:rPr>
          <w:rFonts w:ascii="Arial" w:hAnsi="Arial" w:cs="Times New Roman"/>
          <w:sz w:val="21"/>
          <w:u w:val="single"/>
        </w:rPr>
        <w:t>IPSAS进行调整的摘要</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3971290" cy="1419225"/>
            <wp:effectExtent l="0" t="0" r="0" b="952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1290" cy="1419225"/>
                    </a:xfrm>
                    <a:prstGeom prst="rect">
                      <a:avLst/>
                    </a:prstGeom>
                    <a:noFill/>
                    <a:ln>
                      <a:noFill/>
                    </a:ln>
                  </pic:spPr>
                </pic:pic>
              </a:graphicData>
            </a:graphic>
          </wp:inline>
        </w:drawing>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依据IPSAS的2014年结算包括办公楼与设备的折旧支出以及无形资产的摊销费，因为这些资产的成本被分摊至其整个使用寿命。当年的折旧和摊销支出为910万瑞郎。</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IPSAS要求，应将工作人员已经赚得、但尚未支付的雇员福利确认为本组织的负债。依据IPSAS进行调整使财务报表中确认的总负债与按照IPSAS进行负债计算的结果一致，包括由外部精算师的计算结果。2014年，根据IPSAS确认的雇员福利负债</w:t>
      </w:r>
      <w:r w:rsidR="00F453AC" w:rsidRPr="003F5882">
        <w:rPr>
          <w:rFonts w:ascii="Arial" w:hAnsi="Arial" w:cs="Times New Roman"/>
          <w:sz w:val="21"/>
        </w:rPr>
        <w:t>（</w:t>
      </w:r>
      <w:r w:rsidRPr="003F5882">
        <w:rPr>
          <w:rFonts w:ascii="Arial" w:hAnsi="Arial" w:cs="Times New Roman"/>
          <w:sz w:val="21"/>
        </w:rPr>
        <w:t>离职后健康保险-ASHI、回国补助金和差旅费、累计年假、回籍假、加班和关闭的养恤基金</w:t>
      </w:r>
      <w:r w:rsidR="00F453AC" w:rsidRPr="003F5882">
        <w:rPr>
          <w:rFonts w:ascii="Arial" w:hAnsi="Arial" w:cs="Times New Roman"/>
          <w:sz w:val="21"/>
        </w:rPr>
        <w:t>）</w:t>
      </w:r>
      <w:r w:rsidRPr="003F5882">
        <w:rPr>
          <w:rFonts w:ascii="Arial" w:hAnsi="Arial" w:cs="Times New Roman"/>
          <w:sz w:val="21"/>
        </w:rPr>
        <w:t>增加了1,020</w:t>
      </w:r>
      <w:proofErr w:type="gramStart"/>
      <w:r w:rsidRPr="003F5882">
        <w:rPr>
          <w:rFonts w:ascii="Arial" w:hAnsi="Arial" w:cs="Times New Roman"/>
          <w:sz w:val="21"/>
        </w:rPr>
        <w:t>万瑞</w:t>
      </w:r>
      <w:proofErr w:type="gramEnd"/>
      <w:r w:rsidRPr="003F5882">
        <w:rPr>
          <w:rFonts w:ascii="Arial" w:hAnsi="Arial" w:cs="Times New Roman"/>
          <w:sz w:val="21"/>
        </w:rPr>
        <w:t>郎。依照计划和预算，6.0%的计提费用用于提供离职后雇员福利的员额成本。2014年期间，扣减当期离职后雇员支出</w:t>
      </w:r>
      <w:r w:rsidR="00F453AC" w:rsidRPr="003F5882">
        <w:rPr>
          <w:rFonts w:ascii="Arial" w:hAnsi="Arial" w:cs="Times New Roman"/>
          <w:sz w:val="21"/>
        </w:rPr>
        <w:t>（</w:t>
      </w:r>
      <w:r w:rsidRPr="003F5882">
        <w:rPr>
          <w:rFonts w:ascii="Arial" w:hAnsi="Arial" w:cs="Times New Roman"/>
          <w:sz w:val="21"/>
        </w:rPr>
        <w:t>主要是本组织缴纳的退休人员ASHI保费</w:t>
      </w:r>
      <w:r w:rsidR="00F453AC" w:rsidRPr="003F5882">
        <w:rPr>
          <w:rFonts w:ascii="Arial" w:hAnsi="Arial" w:cs="Times New Roman"/>
          <w:sz w:val="21"/>
        </w:rPr>
        <w:t>）</w:t>
      </w:r>
      <w:r w:rsidRPr="003F5882">
        <w:rPr>
          <w:rFonts w:ascii="Arial" w:hAnsi="Arial" w:cs="Times New Roman"/>
          <w:sz w:val="21"/>
        </w:rPr>
        <w:t>后，该计提费用产生了740</w:t>
      </w:r>
      <w:proofErr w:type="gramStart"/>
      <w:r w:rsidRPr="003F5882">
        <w:rPr>
          <w:rFonts w:ascii="Arial" w:hAnsi="Arial" w:cs="Times New Roman"/>
          <w:sz w:val="21"/>
        </w:rPr>
        <w:t>万瑞</w:t>
      </w:r>
      <w:proofErr w:type="gramEnd"/>
      <w:r w:rsidRPr="003F5882">
        <w:rPr>
          <w:rFonts w:ascii="Arial" w:hAnsi="Arial" w:cs="Times New Roman"/>
          <w:sz w:val="21"/>
        </w:rPr>
        <w:t>郎准备金。因此，为了抵偿员工福利负债增长1,020万瑞郎的剩余部分而依据IPSAS进行调整的金额为280万瑞郎。</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其他依据IPSAS进行的调整涉及库存下降</w:t>
      </w:r>
      <w:r w:rsidR="00F453AC" w:rsidRPr="003F5882">
        <w:rPr>
          <w:rFonts w:ascii="Arial" w:hAnsi="Arial" w:cs="Times New Roman"/>
          <w:sz w:val="21"/>
        </w:rPr>
        <w:t>（</w:t>
      </w:r>
      <w:r w:rsidRPr="003F5882">
        <w:rPr>
          <w:rFonts w:ascii="Arial" w:hAnsi="Arial" w:cs="Times New Roman"/>
          <w:sz w:val="21"/>
        </w:rPr>
        <w:t>产生40</w:t>
      </w:r>
      <w:proofErr w:type="gramStart"/>
      <w:r w:rsidRPr="003F5882">
        <w:rPr>
          <w:rFonts w:ascii="Arial" w:hAnsi="Arial" w:cs="Times New Roman"/>
          <w:sz w:val="21"/>
        </w:rPr>
        <w:t>万瑞</w:t>
      </w:r>
      <w:proofErr w:type="gramEnd"/>
      <w:r w:rsidRPr="003F5882">
        <w:rPr>
          <w:rFonts w:ascii="Arial" w:hAnsi="Arial" w:cs="Times New Roman"/>
          <w:sz w:val="21"/>
        </w:rPr>
        <w:t>郎的支出</w:t>
      </w:r>
      <w:r w:rsidR="00F453AC" w:rsidRPr="003F5882">
        <w:rPr>
          <w:rFonts w:ascii="Arial" w:hAnsi="Arial" w:cs="Times New Roman"/>
          <w:sz w:val="21"/>
        </w:rPr>
        <w:t>）</w:t>
      </w:r>
      <w:r w:rsidRPr="003F5882">
        <w:rPr>
          <w:rFonts w:ascii="Arial" w:hAnsi="Arial" w:cs="Times New Roman"/>
          <w:sz w:val="21"/>
        </w:rPr>
        <w:t>和分摊会费应收账款</w:t>
      </w:r>
      <w:proofErr w:type="gramStart"/>
      <w:r w:rsidRPr="003F5882">
        <w:rPr>
          <w:rFonts w:ascii="Arial" w:hAnsi="Arial" w:cs="Times New Roman"/>
          <w:sz w:val="21"/>
        </w:rPr>
        <w:t>的备抵金</w:t>
      </w:r>
      <w:proofErr w:type="gramEnd"/>
      <w:r w:rsidRPr="003F5882">
        <w:rPr>
          <w:rFonts w:ascii="Arial" w:hAnsi="Arial" w:cs="Times New Roman"/>
          <w:sz w:val="21"/>
        </w:rPr>
        <w:t>下降</w:t>
      </w:r>
      <w:r w:rsidR="00F453AC" w:rsidRPr="003F5882">
        <w:rPr>
          <w:rFonts w:ascii="Arial" w:hAnsi="Arial" w:cs="Times New Roman"/>
          <w:sz w:val="21"/>
        </w:rPr>
        <w:t>（</w:t>
      </w:r>
      <w:r w:rsidRPr="003F5882">
        <w:rPr>
          <w:rFonts w:ascii="Arial" w:hAnsi="Arial" w:cs="Times New Roman"/>
          <w:sz w:val="21"/>
        </w:rPr>
        <w:t>产生30</w:t>
      </w:r>
      <w:proofErr w:type="gramStart"/>
      <w:r w:rsidRPr="003F5882">
        <w:rPr>
          <w:rFonts w:ascii="Arial" w:hAnsi="Arial" w:cs="Times New Roman"/>
          <w:sz w:val="21"/>
        </w:rPr>
        <w:t>万瑞</w:t>
      </w:r>
      <w:proofErr w:type="gramEnd"/>
      <w:r w:rsidRPr="003F5882">
        <w:rPr>
          <w:rFonts w:ascii="Arial" w:hAnsi="Arial" w:cs="Times New Roman"/>
          <w:sz w:val="21"/>
        </w:rPr>
        <w:t>郎的收入</w:t>
      </w:r>
      <w:r w:rsidR="00F453AC" w:rsidRPr="003F5882">
        <w:rPr>
          <w:rFonts w:ascii="Arial" w:hAnsi="Arial" w:cs="Times New Roman"/>
          <w:sz w:val="21"/>
        </w:rPr>
        <w:t>）</w:t>
      </w:r>
      <w:r w:rsidRPr="003F5882">
        <w:rPr>
          <w:rFonts w:ascii="Arial" w:hAnsi="Arial" w:cs="Times New Roman"/>
          <w:sz w:val="21"/>
        </w:rPr>
        <w:t>。</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根据IPSAS，与办公楼建设和改善有关的费用已转化为资本，使2014年的支出减少3,040万瑞郎。同样，根据IPSAS，特定设备和软件的购置也转化成资本，使当年支出减少了200万瑞郎。</w:t>
      </w:r>
    </w:p>
    <w:p w:rsidR="005C4FAF" w:rsidRPr="003F5882" w:rsidRDefault="005C4FAF" w:rsidP="003F5882">
      <w:pPr>
        <w:keepNext/>
        <w:spacing w:afterLines="50" w:after="120" w:line="340" w:lineRule="atLeast"/>
        <w:jc w:val="both"/>
        <w:rPr>
          <w:rFonts w:ascii="Arial" w:eastAsia="KaiTi" w:hAnsi="Arial" w:cs="Times New Roman"/>
          <w:b/>
          <w:i/>
          <w:sz w:val="21"/>
          <w:szCs w:val="20"/>
        </w:rPr>
      </w:pPr>
      <w:r w:rsidRPr="003F5882">
        <w:rPr>
          <w:rFonts w:ascii="Arial" w:eastAsia="KaiTi" w:hAnsi="Arial" w:cs="Times New Roman"/>
          <w:b/>
          <w:i/>
          <w:sz w:val="21"/>
        </w:rPr>
        <w:t>收入分析</w:t>
      </w:r>
    </w:p>
    <w:p w:rsidR="005C4FAF" w:rsidRPr="00F453AC" w:rsidRDefault="005C4FAF" w:rsidP="005273FB">
      <w:pPr>
        <w:keepNext/>
        <w:spacing w:line="340" w:lineRule="atLeast"/>
        <w:jc w:val="center"/>
        <w:rPr>
          <w:rFonts w:ascii="Arial" w:eastAsia="SimSun" w:hAnsi="Arial" w:cs="Times New Roman"/>
          <w:sz w:val="21"/>
          <w:szCs w:val="20"/>
          <w:u w:val="single"/>
        </w:rPr>
      </w:pPr>
      <w:r w:rsidRPr="003F5882">
        <w:rPr>
          <w:rFonts w:ascii="Arial" w:hAnsi="Arial" w:cs="Times New Roman"/>
          <w:sz w:val="21"/>
          <w:u w:val="single"/>
        </w:rPr>
        <w:t>2014年IPSAS制的收入构成</w:t>
      </w:r>
    </w:p>
    <w:p w:rsidR="005C4FAF" w:rsidRPr="005273FB" w:rsidRDefault="00F453AC" w:rsidP="005273FB">
      <w:pPr>
        <w:keepNext/>
        <w:spacing w:afterLines="50" w:after="120" w:line="340" w:lineRule="atLeast"/>
        <w:jc w:val="center"/>
        <w:rPr>
          <w:rFonts w:ascii="Arial" w:eastAsia="KaiTi" w:hAnsi="Arial" w:cs="Times New Roman"/>
          <w:i/>
          <w:sz w:val="21"/>
          <w:szCs w:val="20"/>
        </w:rPr>
      </w:pPr>
      <w:r w:rsidRPr="005273FB">
        <w:rPr>
          <w:rFonts w:ascii="Arial" w:eastAsia="KaiTi" w:hAnsi="Arial" w:cs="Times New Roman" w:hint="eastAsia"/>
          <w:i/>
          <w:sz w:val="21"/>
        </w:rPr>
        <w:t>（</w:t>
      </w:r>
      <w:r w:rsidR="005C4FAF" w:rsidRPr="005273FB">
        <w:rPr>
          <w:rFonts w:ascii="Arial" w:eastAsia="KaiTi" w:hAnsi="Arial" w:cs="Times New Roman"/>
          <w:i/>
          <w:sz w:val="21"/>
        </w:rPr>
        <w:t>单位：百</w:t>
      </w:r>
      <w:proofErr w:type="gramStart"/>
      <w:r w:rsidR="005C4FAF" w:rsidRPr="005273FB">
        <w:rPr>
          <w:rFonts w:ascii="Arial" w:eastAsia="KaiTi" w:hAnsi="Arial" w:cs="Times New Roman"/>
          <w:i/>
          <w:sz w:val="21"/>
        </w:rPr>
        <w:t>万瑞</w:t>
      </w:r>
      <w:proofErr w:type="gramEnd"/>
      <w:r w:rsidR="005C4FAF" w:rsidRPr="005273FB">
        <w:rPr>
          <w:rFonts w:ascii="Arial" w:eastAsia="KaiTi" w:hAnsi="Arial" w:cs="Times New Roman"/>
          <w:i/>
          <w:sz w:val="21"/>
        </w:rPr>
        <w:t>郎</w:t>
      </w:r>
      <w:r w:rsidRPr="005273FB">
        <w:rPr>
          <w:rFonts w:ascii="Arial" w:eastAsia="KaiTi" w:hAnsi="Arial" w:cs="Times New Roman" w:hint="eastAsia"/>
          <w:i/>
          <w:sz w:val="21"/>
        </w:rPr>
        <w:t>）</w:t>
      </w:r>
    </w:p>
    <w:p w:rsidR="005C4FAF" w:rsidRPr="003F5882" w:rsidRDefault="005273FB" w:rsidP="005273FB">
      <w:pPr>
        <w:spacing w:afterLines="50" w:after="120" w:line="340" w:lineRule="atLeast"/>
        <w:jc w:val="center"/>
        <w:rPr>
          <w:rFonts w:ascii="Arial" w:eastAsia="KaiTi" w:hAnsi="Arial" w:cs="Times New Roman"/>
          <w:sz w:val="21"/>
          <w:szCs w:val="22"/>
        </w:rPr>
      </w:pPr>
      <w:r w:rsidRPr="005273FB">
        <w:rPr>
          <w:noProof/>
          <w:lang w:val="en-US" w:bidi="ar-SA"/>
        </w:rPr>
        <w:drawing>
          <wp:inline distT="0" distB="0" distL="0" distR="0" wp14:anchorId="4BC41227" wp14:editId="3BF9460C">
            <wp:extent cx="5977255" cy="2907463"/>
            <wp:effectExtent l="0" t="0" r="4445"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7255" cy="2907463"/>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本组织2014年的总收入为3.702亿瑞郎，与2013年3.516亿瑞郎的总收入相比，增收5.3%。2014年收入的最大来源是PCT体系的收费，占总收入的75.2%</w:t>
      </w:r>
      <w:r w:rsidR="00A61802" w:rsidRPr="003F5882">
        <w:rPr>
          <w:rFonts w:ascii="Arial" w:hAnsi="Arial" w:cs="Times New Roman" w:hint="eastAsia"/>
          <w:sz w:val="21"/>
        </w:rPr>
        <w:t>，</w:t>
      </w:r>
      <w:r w:rsidRPr="003F5882">
        <w:rPr>
          <w:rFonts w:ascii="Arial" w:hAnsi="Arial" w:cs="Times New Roman"/>
          <w:sz w:val="21"/>
        </w:rPr>
        <w:t>比2013年PCT体系收费收入增加了8.2%。</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尽管比2013年下跌了30</w:t>
      </w:r>
      <w:proofErr w:type="gramStart"/>
      <w:r w:rsidRPr="003F5882">
        <w:rPr>
          <w:rFonts w:ascii="Arial" w:hAnsi="Arial" w:cs="Times New Roman"/>
          <w:sz w:val="21"/>
        </w:rPr>
        <w:t>万瑞</w:t>
      </w:r>
      <w:proofErr w:type="gramEnd"/>
      <w:r w:rsidRPr="003F5882">
        <w:rPr>
          <w:rFonts w:ascii="Arial" w:hAnsi="Arial" w:cs="Times New Roman"/>
          <w:sz w:val="21"/>
        </w:rPr>
        <w:t>郎，但是马德里体系</w:t>
      </w:r>
      <w:proofErr w:type="gramStart"/>
      <w:r w:rsidRPr="003F5882">
        <w:rPr>
          <w:rFonts w:ascii="Arial" w:hAnsi="Arial" w:cs="Times New Roman"/>
          <w:sz w:val="21"/>
        </w:rPr>
        <w:t>规</w:t>
      </w:r>
      <w:proofErr w:type="gramEnd"/>
      <w:r w:rsidRPr="003F5882">
        <w:rPr>
          <w:rFonts w:ascii="Arial" w:hAnsi="Arial" w:cs="Times New Roman"/>
          <w:sz w:val="21"/>
        </w:rPr>
        <w:t>费仍是2014年本组织收入的第二大来源，占总收入的14.9%。海牙体系</w:t>
      </w:r>
      <w:proofErr w:type="gramStart"/>
      <w:r w:rsidRPr="003F5882">
        <w:rPr>
          <w:rFonts w:ascii="Arial" w:hAnsi="Arial" w:cs="Times New Roman"/>
          <w:sz w:val="21"/>
        </w:rPr>
        <w:t>规</w:t>
      </w:r>
      <w:proofErr w:type="gramEnd"/>
      <w:r w:rsidRPr="003F5882">
        <w:rPr>
          <w:rFonts w:ascii="Arial" w:hAnsi="Arial" w:cs="Times New Roman"/>
          <w:sz w:val="21"/>
        </w:rPr>
        <w:t>费、分摊会费、自愿捐款和其他收入</w:t>
      </w:r>
      <w:r w:rsidR="00F453AC" w:rsidRPr="003F5882">
        <w:rPr>
          <w:rFonts w:ascii="Arial" w:hAnsi="Arial" w:cs="Times New Roman"/>
          <w:sz w:val="21"/>
        </w:rPr>
        <w:t>（</w:t>
      </w:r>
      <w:r w:rsidRPr="003F5882">
        <w:rPr>
          <w:rFonts w:ascii="Arial" w:hAnsi="Arial" w:cs="Times New Roman"/>
          <w:sz w:val="21"/>
        </w:rPr>
        <w:t>投资、出版物、仲裁与调解、杂项收入和其他收费</w:t>
      </w:r>
      <w:r w:rsidR="00F453AC" w:rsidRPr="003F5882">
        <w:rPr>
          <w:rFonts w:ascii="Arial" w:hAnsi="Arial" w:cs="Times New Roman"/>
          <w:sz w:val="21"/>
        </w:rPr>
        <w:t>）</w:t>
      </w:r>
      <w:r w:rsidRPr="003F5882">
        <w:rPr>
          <w:rFonts w:ascii="Arial" w:hAnsi="Arial" w:cs="Times New Roman"/>
          <w:sz w:val="21"/>
        </w:rPr>
        <w:t>占本组织总收入的剩余9.9%。下表为与上一年度相比收入类型变化摘要</w:t>
      </w:r>
      <w:r w:rsidR="001852D6" w:rsidRPr="003F5882">
        <w:rPr>
          <w:rFonts w:ascii="Arial" w:hAnsi="Arial" w:cs="Times New Roman" w:hint="eastAsia"/>
          <w:sz w:val="21"/>
        </w:rPr>
        <w:t>。</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w:t>
      </w:r>
      <w:r w:rsidR="001852D6" w:rsidRPr="003F5882">
        <w:rPr>
          <w:rFonts w:ascii="Arial" w:hAnsi="Arial" w:cs="Times New Roman" w:hint="eastAsia"/>
          <w:sz w:val="21"/>
          <w:u w:val="single"/>
        </w:rPr>
        <w:t>4</w:t>
      </w:r>
      <w:r w:rsidRPr="003F5882">
        <w:rPr>
          <w:rFonts w:ascii="Arial" w:hAnsi="Arial" w:cs="Times New Roman"/>
          <w:sz w:val="21"/>
          <w:u w:val="single"/>
        </w:rPr>
        <w:t>年和201</w:t>
      </w:r>
      <w:r w:rsidR="001852D6" w:rsidRPr="003F5882">
        <w:rPr>
          <w:rFonts w:ascii="Arial" w:hAnsi="Arial" w:cs="Times New Roman" w:hint="eastAsia"/>
          <w:sz w:val="21"/>
          <w:u w:val="single"/>
        </w:rPr>
        <w:t>3</w:t>
      </w:r>
      <w:r w:rsidR="00E04F07" w:rsidRPr="003F5882">
        <w:rPr>
          <w:rFonts w:ascii="Arial" w:hAnsi="Arial" w:cs="Times New Roman" w:hint="eastAsia"/>
          <w:sz w:val="21"/>
          <w:u w:val="single"/>
        </w:rPr>
        <w:t>年</w:t>
      </w:r>
      <w:r w:rsidRPr="003F5882">
        <w:rPr>
          <w:rFonts w:ascii="Arial" w:hAnsi="Arial" w:cs="Times New Roman"/>
          <w:sz w:val="21"/>
          <w:u w:val="single"/>
        </w:rPr>
        <w:t>相比的收入变化</w:t>
      </w:r>
    </w:p>
    <w:p w:rsidR="00850567"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5970905" cy="330263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0905" cy="330263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2014年的PCT活动继续增加，2014年的总申请量为214,900</w:t>
      </w:r>
      <w:r w:rsidR="00F453AC" w:rsidRPr="003F5882">
        <w:rPr>
          <w:rFonts w:ascii="Arial" w:hAnsi="Arial" w:cs="Times New Roman"/>
          <w:sz w:val="21"/>
        </w:rPr>
        <w:t>（</w:t>
      </w:r>
      <w:r w:rsidRPr="003F5882">
        <w:rPr>
          <w:rFonts w:ascii="Arial" w:hAnsi="Arial" w:cs="Times New Roman"/>
          <w:sz w:val="21"/>
        </w:rPr>
        <w:t>根据2015年2月编制的概算</w:t>
      </w:r>
      <w:r w:rsidR="00F453AC" w:rsidRPr="003F5882">
        <w:rPr>
          <w:rFonts w:ascii="Arial" w:hAnsi="Arial" w:cs="Times New Roman"/>
          <w:sz w:val="21"/>
        </w:rPr>
        <w:t>）</w:t>
      </w:r>
      <w:r w:rsidRPr="003F5882">
        <w:rPr>
          <w:rFonts w:ascii="Arial" w:hAnsi="Arial" w:cs="Times New Roman"/>
          <w:sz w:val="21"/>
        </w:rPr>
        <w:t>。PCT申请水平是PCT体系规费收入水平的直接指标，自2010年起逐年增长。根据2015年1月编制的预测显示，申请有望在未来三年继续增长</w:t>
      </w:r>
      <w:r w:rsidR="00BF026B" w:rsidRPr="003F5882">
        <w:rPr>
          <w:rFonts w:ascii="Arial" w:hAnsi="Arial" w:cs="Times New Roman" w:hint="eastAsia"/>
          <w:sz w:val="21"/>
        </w:rPr>
        <w:t>：</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2010年至2017年</w:t>
      </w:r>
      <w:r w:rsidR="00695D01" w:rsidRPr="003F5882">
        <w:rPr>
          <w:rFonts w:ascii="Arial" w:hAnsi="Arial" w:cs="Times New Roman" w:hint="eastAsia"/>
          <w:sz w:val="21"/>
          <w:u w:val="single"/>
        </w:rPr>
        <w:t>逐年</w:t>
      </w:r>
      <w:r w:rsidRPr="003F5882">
        <w:rPr>
          <w:rFonts w:ascii="Arial" w:hAnsi="Arial" w:cs="Times New Roman"/>
          <w:sz w:val="21"/>
          <w:u w:val="single"/>
        </w:rPr>
        <w:t>PCT申请情况</w:t>
      </w:r>
    </w:p>
    <w:p w:rsidR="005C4FAF" w:rsidRPr="00F453AC" w:rsidRDefault="005273FB" w:rsidP="005273FB">
      <w:pPr>
        <w:spacing w:line="340" w:lineRule="atLeast"/>
        <w:jc w:val="center"/>
        <w:rPr>
          <w:rFonts w:ascii="Arial" w:eastAsia="SimSun" w:hAnsi="Arial" w:cs="Times New Roman"/>
          <w:sz w:val="21"/>
          <w:szCs w:val="22"/>
        </w:rPr>
      </w:pPr>
      <w:r w:rsidRPr="005273FB">
        <w:rPr>
          <w:noProof/>
          <w:lang w:val="en-US" w:bidi="ar-SA"/>
        </w:rPr>
        <w:drawing>
          <wp:inline distT="0" distB="0" distL="0" distR="0">
            <wp:extent cx="4558665" cy="259969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8665" cy="2599690"/>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PCT收入主要包括国际申请费用</w:t>
      </w:r>
      <w:r w:rsidR="00F453AC" w:rsidRPr="003F5882">
        <w:rPr>
          <w:rFonts w:ascii="Arial" w:hAnsi="Arial" w:cs="Times New Roman"/>
          <w:sz w:val="21"/>
        </w:rPr>
        <w:t>（</w:t>
      </w:r>
      <w:r w:rsidRPr="003F5882">
        <w:rPr>
          <w:rFonts w:ascii="Arial" w:hAnsi="Arial" w:cs="Times New Roman"/>
          <w:sz w:val="21"/>
        </w:rPr>
        <w:t>基本费用，加上</w:t>
      </w:r>
      <w:r w:rsidR="006208DD" w:rsidRPr="003F5882">
        <w:rPr>
          <w:rFonts w:ascii="Arial" w:hAnsi="Arial" w:cs="Times New Roman" w:hint="eastAsia"/>
          <w:sz w:val="21"/>
        </w:rPr>
        <w:t>补充</w:t>
      </w:r>
      <w:r w:rsidRPr="003F5882">
        <w:rPr>
          <w:rFonts w:ascii="Arial" w:hAnsi="Arial" w:cs="Times New Roman"/>
          <w:sz w:val="21"/>
        </w:rPr>
        <w:t>页</w:t>
      </w:r>
      <w:r w:rsidR="006208DD" w:rsidRPr="003F5882">
        <w:rPr>
          <w:rFonts w:ascii="Arial" w:hAnsi="Arial" w:cs="Times New Roman" w:hint="eastAsia"/>
          <w:sz w:val="21"/>
        </w:rPr>
        <w:t>面</w:t>
      </w:r>
      <w:r w:rsidRPr="003F5882">
        <w:rPr>
          <w:rFonts w:ascii="Arial" w:hAnsi="Arial" w:cs="Times New Roman"/>
          <w:sz w:val="21"/>
        </w:rPr>
        <w:t>费，减去电子申请和最不发达国家优惠</w:t>
      </w:r>
      <w:r w:rsidR="00F453AC" w:rsidRPr="003F5882">
        <w:rPr>
          <w:rFonts w:ascii="Arial" w:hAnsi="Arial" w:cs="Times New Roman"/>
          <w:sz w:val="21"/>
        </w:rPr>
        <w:t>）</w:t>
      </w:r>
      <w:r w:rsidRPr="003F5882">
        <w:rPr>
          <w:rFonts w:ascii="Arial" w:hAnsi="Arial" w:cs="Times New Roman"/>
          <w:sz w:val="21"/>
        </w:rPr>
        <w:t>。PCT体系</w:t>
      </w:r>
      <w:proofErr w:type="gramStart"/>
      <w:r w:rsidRPr="003F5882">
        <w:rPr>
          <w:rFonts w:ascii="Arial" w:hAnsi="Arial" w:cs="Times New Roman"/>
          <w:sz w:val="21"/>
        </w:rPr>
        <w:t>规</w:t>
      </w:r>
      <w:proofErr w:type="gramEnd"/>
      <w:r w:rsidRPr="003F5882">
        <w:rPr>
          <w:rFonts w:ascii="Arial" w:hAnsi="Arial" w:cs="Times New Roman"/>
          <w:sz w:val="21"/>
        </w:rPr>
        <w:t>费</w:t>
      </w:r>
      <w:r w:rsidR="006208DD" w:rsidRPr="003F5882">
        <w:rPr>
          <w:rFonts w:ascii="Arial" w:hAnsi="Arial" w:cs="Times New Roman" w:hint="eastAsia"/>
          <w:sz w:val="21"/>
        </w:rPr>
        <w:t>收入</w:t>
      </w:r>
      <w:r w:rsidRPr="003F5882">
        <w:rPr>
          <w:rFonts w:ascii="Arial" w:hAnsi="Arial" w:cs="Times New Roman"/>
          <w:sz w:val="21"/>
        </w:rPr>
        <w:t>总数还包括其他费用</w:t>
      </w:r>
      <w:r w:rsidR="00F453AC" w:rsidRPr="003F5882">
        <w:rPr>
          <w:rFonts w:ascii="Arial" w:hAnsi="Arial" w:cs="Times New Roman"/>
          <w:sz w:val="21"/>
        </w:rPr>
        <w:t>（</w:t>
      </w:r>
      <w:r w:rsidRPr="003F5882">
        <w:rPr>
          <w:rFonts w:ascii="Arial" w:hAnsi="Arial" w:cs="Times New Roman"/>
          <w:sz w:val="21"/>
        </w:rPr>
        <w:t>包括手续费和转让费</w:t>
      </w:r>
      <w:r w:rsidR="00F453AC" w:rsidRPr="003F5882">
        <w:rPr>
          <w:rFonts w:ascii="Arial" w:hAnsi="Arial" w:cs="Times New Roman"/>
          <w:sz w:val="21"/>
        </w:rPr>
        <w:t>）</w:t>
      </w:r>
      <w:r w:rsidRPr="003F5882">
        <w:rPr>
          <w:rFonts w:ascii="Arial" w:hAnsi="Arial" w:cs="Times New Roman"/>
          <w:sz w:val="21"/>
        </w:rPr>
        <w:t>和汇兑损益：</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2012年至2014年PCT体系</w:t>
      </w:r>
      <w:proofErr w:type="gramStart"/>
      <w:r w:rsidRPr="003F5882">
        <w:rPr>
          <w:rFonts w:ascii="Arial" w:hAnsi="Arial" w:cs="Times New Roman"/>
          <w:sz w:val="21"/>
          <w:u w:val="single"/>
        </w:rPr>
        <w:t>规</w:t>
      </w:r>
      <w:proofErr w:type="gramEnd"/>
      <w:r w:rsidRPr="003F5882">
        <w:rPr>
          <w:rFonts w:ascii="Arial" w:hAnsi="Arial" w:cs="Times New Roman"/>
          <w:sz w:val="21"/>
          <w:u w:val="single"/>
        </w:rPr>
        <w:t>费详情</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4988560" cy="1562735"/>
            <wp:effectExtent l="0" t="0" r="254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8560" cy="156273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在IPSAS财务报表中，PCT国际申请费用的收入仅在申请公布之日入账。在多数情况下，PCT国际申请在提交后六个月予以公布。在申请时，收费记入应收余额，直至本组织已收到收费。每份申请均计入递延收入负债直到申请公布为止。这与计划和预算的预算结果不同，在后者中，收入在本组织收到现金支付费用时被确认。</w:t>
      </w:r>
      <w:r w:rsidR="00E7458E" w:rsidRPr="003F5882">
        <w:rPr>
          <w:rFonts w:ascii="Arial" w:hAnsi="Arial" w:cs="Times New Roman" w:hint="eastAsia"/>
          <w:sz w:val="21"/>
        </w:rPr>
        <w:t>从按照</w:t>
      </w:r>
      <w:r w:rsidR="00E7458E" w:rsidRPr="003F5882">
        <w:rPr>
          <w:rFonts w:ascii="Arial" w:hAnsi="Arial" w:cs="Times New Roman"/>
          <w:sz w:val="21"/>
        </w:rPr>
        <w:t>IPSAS</w:t>
      </w:r>
      <w:r w:rsidR="00E7458E" w:rsidRPr="003F5882">
        <w:rPr>
          <w:rFonts w:ascii="Arial" w:hAnsi="Arial" w:cs="Times New Roman" w:hint="eastAsia"/>
          <w:sz w:val="21"/>
        </w:rPr>
        <w:t>入账的</w:t>
      </w:r>
      <w:r w:rsidRPr="003F5882">
        <w:rPr>
          <w:rFonts w:ascii="Arial" w:hAnsi="Arial" w:cs="Times New Roman"/>
          <w:sz w:val="21"/>
        </w:rPr>
        <w:t>PCT国际申请费用产生的收入，</w:t>
      </w:r>
      <w:r w:rsidR="00E7458E" w:rsidRPr="003F5882">
        <w:rPr>
          <w:rFonts w:ascii="Arial" w:hAnsi="Arial" w:cs="Times New Roman" w:hint="eastAsia"/>
          <w:sz w:val="21"/>
        </w:rPr>
        <w:t>就</w:t>
      </w:r>
      <w:r w:rsidRPr="003F5882">
        <w:rPr>
          <w:rFonts w:ascii="Arial" w:hAnsi="Arial" w:cs="Times New Roman"/>
          <w:sz w:val="21"/>
        </w:rPr>
        <w:t>可以看出该收入随着年度出版物的增加而增长：</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2012年至2014年PCT国际申请费用和出版物</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5588635" cy="2974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8635" cy="297497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当PCT国际申请费用</w:t>
      </w:r>
      <w:proofErr w:type="gramStart"/>
      <w:r w:rsidRPr="003F5882">
        <w:rPr>
          <w:rFonts w:ascii="Arial" w:hAnsi="Arial" w:cs="Times New Roman"/>
          <w:sz w:val="21"/>
        </w:rPr>
        <w:t>以除瑞郎</w:t>
      </w:r>
      <w:proofErr w:type="gramEnd"/>
      <w:r w:rsidR="001F702E" w:rsidRPr="003F5882">
        <w:rPr>
          <w:rFonts w:ascii="Arial" w:hAnsi="Arial" w:cs="Times New Roman" w:hint="eastAsia"/>
          <w:sz w:val="21"/>
        </w:rPr>
        <w:t>以</w:t>
      </w:r>
      <w:r w:rsidRPr="003F5882">
        <w:rPr>
          <w:rFonts w:ascii="Arial" w:hAnsi="Arial" w:cs="Times New Roman"/>
          <w:sz w:val="21"/>
        </w:rPr>
        <w:t>外</w:t>
      </w:r>
      <w:r w:rsidR="001F702E" w:rsidRPr="003F5882">
        <w:rPr>
          <w:rFonts w:ascii="Arial" w:hAnsi="Arial" w:cs="Times New Roman" w:hint="eastAsia"/>
          <w:sz w:val="21"/>
        </w:rPr>
        <w:t>的</w:t>
      </w:r>
      <w:r w:rsidRPr="003F5882">
        <w:rPr>
          <w:rFonts w:ascii="Arial" w:hAnsi="Arial" w:cs="Times New Roman"/>
          <w:sz w:val="21"/>
        </w:rPr>
        <w:t>货币收取的时候则产生汇兑损益。WIPO每年设立以各种货币计价的等值费用金额。申请当日适用的等值金额决定</w:t>
      </w:r>
      <w:r w:rsidR="001F702E" w:rsidRPr="003F5882">
        <w:rPr>
          <w:rFonts w:ascii="Arial" w:hAnsi="Arial" w:cs="Times New Roman" w:hint="eastAsia"/>
          <w:sz w:val="21"/>
        </w:rPr>
        <w:t>申请人</w:t>
      </w:r>
      <w:r w:rsidRPr="003F5882">
        <w:rPr>
          <w:rFonts w:ascii="Arial" w:hAnsi="Arial" w:cs="Times New Roman"/>
          <w:sz w:val="21"/>
        </w:rPr>
        <w:t>以当地货币支付申请费用的金额。WIPO以瑞郎确认的实际金额由其收到付款之日的联合国业务汇率</w:t>
      </w:r>
      <w:r w:rsidR="00F453AC" w:rsidRPr="003F5882">
        <w:rPr>
          <w:rFonts w:ascii="Arial" w:hAnsi="Arial" w:cs="Times New Roman"/>
          <w:sz w:val="21"/>
        </w:rPr>
        <w:t>（</w:t>
      </w:r>
      <w:r w:rsidRPr="003F5882">
        <w:rPr>
          <w:rFonts w:ascii="Arial" w:hAnsi="Arial" w:cs="Times New Roman"/>
          <w:sz w:val="21"/>
        </w:rPr>
        <w:t>UNORE</w:t>
      </w:r>
      <w:r w:rsidR="00F453AC" w:rsidRPr="003F5882">
        <w:rPr>
          <w:rFonts w:ascii="Arial" w:hAnsi="Arial" w:cs="Times New Roman"/>
          <w:sz w:val="21"/>
        </w:rPr>
        <w:t>）</w:t>
      </w:r>
      <w:r w:rsidRPr="003F5882">
        <w:rPr>
          <w:rFonts w:ascii="Arial" w:hAnsi="Arial" w:cs="Times New Roman"/>
          <w:sz w:val="21"/>
        </w:rPr>
        <w:t>决定。当等值瑞郎费用与付款之日以瑞郎标价的实际金额之间出现差额时即产生费用的汇兑损益。在2014年，本组织</w:t>
      </w:r>
      <w:r w:rsidR="006936B7" w:rsidRPr="003F5882">
        <w:rPr>
          <w:rFonts w:ascii="Arial" w:hAnsi="Arial" w:cs="Times New Roman" w:hint="eastAsia"/>
          <w:sz w:val="21"/>
        </w:rPr>
        <w:t>已</w:t>
      </w:r>
      <w:r w:rsidR="001F702E" w:rsidRPr="003F5882">
        <w:rPr>
          <w:rFonts w:ascii="Arial" w:hAnsi="Arial" w:cs="Times New Roman" w:hint="eastAsia"/>
          <w:sz w:val="21"/>
        </w:rPr>
        <w:t>收</w:t>
      </w:r>
      <w:r w:rsidRPr="003F5882">
        <w:rPr>
          <w:rFonts w:ascii="Arial" w:hAnsi="Arial" w:cs="Times New Roman"/>
          <w:sz w:val="21"/>
        </w:rPr>
        <w:t>PCT费用</w:t>
      </w:r>
      <w:r w:rsidR="00F453AC" w:rsidRPr="003F5882">
        <w:rPr>
          <w:rFonts w:ascii="Arial" w:hAnsi="Arial" w:cs="Times New Roman"/>
          <w:sz w:val="21"/>
        </w:rPr>
        <w:t>（</w:t>
      </w:r>
      <w:r w:rsidRPr="003F5882">
        <w:rPr>
          <w:rFonts w:ascii="Arial" w:hAnsi="Arial" w:cs="Times New Roman"/>
          <w:sz w:val="21"/>
        </w:rPr>
        <w:t>国际申请费和手续费</w:t>
      </w:r>
      <w:r w:rsidR="00F453AC" w:rsidRPr="003F5882">
        <w:rPr>
          <w:rFonts w:ascii="Arial" w:hAnsi="Arial" w:cs="Times New Roman"/>
          <w:sz w:val="21"/>
        </w:rPr>
        <w:t>）</w:t>
      </w:r>
      <w:r w:rsidRPr="003F5882">
        <w:rPr>
          <w:rFonts w:ascii="Arial" w:hAnsi="Arial" w:cs="Times New Roman"/>
          <w:sz w:val="21"/>
        </w:rPr>
        <w:t>的净汇兑损失170</w:t>
      </w:r>
      <w:proofErr w:type="gramStart"/>
      <w:r w:rsidRPr="003F5882">
        <w:rPr>
          <w:rFonts w:ascii="Arial" w:hAnsi="Arial" w:cs="Times New Roman"/>
          <w:sz w:val="21"/>
        </w:rPr>
        <w:t>万瑞</w:t>
      </w:r>
      <w:proofErr w:type="gramEnd"/>
      <w:r w:rsidRPr="003F5882">
        <w:rPr>
          <w:rFonts w:ascii="Arial" w:hAnsi="Arial" w:cs="Times New Roman"/>
          <w:sz w:val="21"/>
        </w:rPr>
        <w:t>郎。该损失主要涉及日元费用</w:t>
      </w:r>
      <w:r w:rsidR="00F453AC" w:rsidRPr="003F5882">
        <w:rPr>
          <w:rFonts w:ascii="Arial" w:hAnsi="Arial" w:cs="Times New Roman"/>
          <w:sz w:val="21"/>
        </w:rPr>
        <w:t>（</w:t>
      </w:r>
      <w:r w:rsidRPr="003F5882">
        <w:rPr>
          <w:rFonts w:ascii="Arial" w:hAnsi="Arial" w:cs="Times New Roman"/>
          <w:sz w:val="21"/>
        </w:rPr>
        <w:t>损失130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。在2013年，本组织</w:t>
      </w:r>
      <w:r w:rsidR="006936B7" w:rsidRPr="003F5882">
        <w:rPr>
          <w:rFonts w:ascii="Arial" w:hAnsi="Arial" w:cs="Times New Roman" w:hint="eastAsia"/>
          <w:sz w:val="21"/>
        </w:rPr>
        <w:t>已</w:t>
      </w:r>
      <w:r w:rsidR="001F702E" w:rsidRPr="003F5882">
        <w:rPr>
          <w:rFonts w:ascii="Arial" w:hAnsi="Arial" w:cs="Times New Roman" w:hint="eastAsia"/>
          <w:sz w:val="21"/>
        </w:rPr>
        <w:t>收</w:t>
      </w:r>
      <w:r w:rsidRPr="003F5882">
        <w:rPr>
          <w:rFonts w:ascii="Arial" w:hAnsi="Arial" w:cs="Times New Roman"/>
          <w:sz w:val="21"/>
        </w:rPr>
        <w:t>PCT费用的净汇兑损失600万瑞郎，而在2012年，本组织实现净汇兑收益750万瑞郎：</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2012年至2014年</w:t>
      </w:r>
      <w:r w:rsidR="006936B7" w:rsidRPr="003F5882">
        <w:rPr>
          <w:rFonts w:ascii="Arial" w:hAnsi="Arial" w:cs="Times New Roman" w:hint="eastAsia"/>
          <w:sz w:val="21"/>
          <w:u w:val="single"/>
        </w:rPr>
        <w:t>已收</w:t>
      </w:r>
      <w:r w:rsidRPr="003F5882">
        <w:rPr>
          <w:rFonts w:ascii="Arial" w:hAnsi="Arial" w:cs="Times New Roman"/>
          <w:sz w:val="21"/>
          <w:u w:val="single"/>
        </w:rPr>
        <w:t>PCT费用汇兑</w:t>
      </w:r>
      <w:r w:rsidR="006936B7" w:rsidRPr="003F5882">
        <w:rPr>
          <w:rFonts w:ascii="Arial" w:hAnsi="Arial" w:cs="Times New Roman" w:hint="eastAsia"/>
          <w:sz w:val="21"/>
          <w:u w:val="single"/>
        </w:rPr>
        <w:t>益/</w:t>
      </w:r>
      <w:r w:rsidR="00F453AC" w:rsidRPr="003F5882">
        <w:rPr>
          <w:rFonts w:ascii="Arial" w:hAnsi="Arial" w:cs="Times New Roman" w:hint="eastAsia"/>
          <w:sz w:val="21"/>
          <w:u w:val="single"/>
        </w:rPr>
        <w:t>（</w:t>
      </w:r>
      <w:r w:rsidR="006936B7" w:rsidRPr="003F5882">
        <w:rPr>
          <w:rFonts w:ascii="Arial" w:hAnsi="Arial" w:cs="Times New Roman" w:hint="eastAsia"/>
          <w:sz w:val="21"/>
          <w:u w:val="single"/>
        </w:rPr>
        <w:t>损</w:t>
      </w:r>
      <w:r w:rsidR="00F453AC" w:rsidRPr="003F5882">
        <w:rPr>
          <w:rFonts w:ascii="Arial" w:hAnsi="Arial" w:cs="Times New Roman" w:hint="eastAsia"/>
          <w:sz w:val="21"/>
          <w:u w:val="single"/>
        </w:rPr>
        <w:t>）</w:t>
      </w:r>
      <w:r w:rsidRPr="003F5882">
        <w:rPr>
          <w:rFonts w:ascii="Arial" w:hAnsi="Arial" w:cs="Times New Roman"/>
          <w:sz w:val="21"/>
          <w:u w:val="single"/>
        </w:rPr>
        <w:t>详情</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5083810" cy="1535430"/>
            <wp:effectExtent l="0" t="0" r="254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3810" cy="1535430"/>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本组织每年根据前一年十月</w:t>
      </w:r>
      <w:r w:rsidR="001F6BD3" w:rsidRPr="003F5882">
        <w:rPr>
          <w:rFonts w:ascii="Arial" w:hAnsi="Arial" w:cs="Times New Roman" w:hint="eastAsia"/>
          <w:sz w:val="21"/>
        </w:rPr>
        <w:t>份</w:t>
      </w:r>
      <w:r w:rsidRPr="003F5882">
        <w:rPr>
          <w:rFonts w:ascii="Arial" w:hAnsi="Arial" w:cs="Times New Roman"/>
          <w:sz w:val="21"/>
        </w:rPr>
        <w:t>的</w:t>
      </w:r>
      <w:r w:rsidR="001F6BD3" w:rsidRPr="003F5882">
        <w:rPr>
          <w:rFonts w:ascii="Arial" w:hAnsi="Arial" w:cs="Times New Roman" w:hint="eastAsia"/>
          <w:sz w:val="21"/>
        </w:rPr>
        <w:t>第</w:t>
      </w:r>
      <w:r w:rsidRPr="003F5882">
        <w:rPr>
          <w:rFonts w:ascii="Arial" w:hAnsi="Arial" w:cs="Times New Roman"/>
          <w:sz w:val="21"/>
        </w:rPr>
        <w:t>一个星期一的汇率</w:t>
      </w:r>
      <w:proofErr w:type="gramStart"/>
      <w:r w:rsidRPr="003F5882">
        <w:rPr>
          <w:rFonts w:ascii="Arial" w:hAnsi="Arial" w:cs="Times New Roman"/>
          <w:sz w:val="21"/>
        </w:rPr>
        <w:t>确定除瑞郎</w:t>
      </w:r>
      <w:proofErr w:type="gramEnd"/>
      <w:r w:rsidRPr="003F5882">
        <w:rPr>
          <w:rFonts w:ascii="Arial" w:hAnsi="Arial" w:cs="Times New Roman"/>
          <w:sz w:val="21"/>
        </w:rPr>
        <w:t>以外其他货币计价的等值费用金额。如果本年度其他货币与瑞郎之间的兑换汇率在连续四个以上星期五变动5.0%或以上，则等值金额可以重新设定。下表显示2012年至2014年用于确定等值金额的美元、日元和欧元汇率与这三种货币的UNORE之间的差异：</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美元</w:t>
      </w:r>
      <w:r w:rsidR="00E04F07" w:rsidRPr="003F5882">
        <w:rPr>
          <w:rFonts w:ascii="Arial" w:hAnsi="Arial" w:cs="Times New Roman" w:hint="eastAsia"/>
          <w:sz w:val="21"/>
          <w:u w:val="single"/>
        </w:rPr>
        <w:t>——</w:t>
      </w:r>
      <w:r w:rsidRPr="003F5882">
        <w:rPr>
          <w:rFonts w:ascii="Arial" w:hAnsi="Arial" w:cs="Times New Roman"/>
          <w:sz w:val="21"/>
          <w:u w:val="single"/>
        </w:rPr>
        <w:t>2012年至2014年等值</w:t>
      </w:r>
      <w:proofErr w:type="gramStart"/>
      <w:r w:rsidRPr="003F5882">
        <w:rPr>
          <w:rFonts w:ascii="Arial" w:hAnsi="Arial" w:cs="Times New Roman"/>
          <w:sz w:val="21"/>
          <w:u w:val="single"/>
        </w:rPr>
        <w:t>金额汇率</w:t>
      </w:r>
      <w:proofErr w:type="gramEnd"/>
      <w:r w:rsidRPr="003F5882">
        <w:rPr>
          <w:rFonts w:ascii="Arial" w:hAnsi="Arial" w:cs="Times New Roman"/>
          <w:sz w:val="21"/>
          <w:u w:val="single"/>
        </w:rPr>
        <w:t>与UNORE对比情况</w:t>
      </w:r>
    </w:p>
    <w:p w:rsidR="005C4FAF" w:rsidRPr="00F453AC" w:rsidRDefault="00907170" w:rsidP="00907170">
      <w:pPr>
        <w:spacing w:afterLines="50" w:after="120" w:line="340" w:lineRule="atLeast"/>
        <w:jc w:val="center"/>
        <w:rPr>
          <w:rFonts w:ascii="Arial" w:eastAsia="SimSun" w:hAnsi="Arial" w:cs="Times New Roman"/>
        </w:rPr>
      </w:pPr>
      <w:r w:rsidRPr="00907170">
        <w:rPr>
          <w:noProof/>
          <w:lang w:val="en-US" w:bidi="ar-SA"/>
        </w:rPr>
        <w:drawing>
          <wp:inline distT="0" distB="0" distL="0" distR="0">
            <wp:extent cx="4428490" cy="257238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28490" cy="2572385"/>
                    </a:xfrm>
                    <a:prstGeom prst="rect">
                      <a:avLst/>
                    </a:prstGeom>
                    <a:noFill/>
                    <a:ln>
                      <a:noFill/>
                    </a:ln>
                  </pic:spPr>
                </pic:pic>
              </a:graphicData>
            </a:graphic>
          </wp:inline>
        </w:drawing>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日元</w:t>
      </w:r>
      <w:r w:rsidR="00E04F07" w:rsidRPr="003F5882">
        <w:rPr>
          <w:rFonts w:ascii="Arial" w:hAnsi="Arial" w:cs="Times New Roman" w:hint="eastAsia"/>
          <w:sz w:val="21"/>
          <w:u w:val="single"/>
        </w:rPr>
        <w:t>——</w:t>
      </w:r>
      <w:r w:rsidRPr="003F5882">
        <w:rPr>
          <w:rFonts w:ascii="Arial" w:hAnsi="Arial" w:cs="Times New Roman"/>
          <w:sz w:val="21"/>
          <w:u w:val="single"/>
        </w:rPr>
        <w:t>2012年至2014年等值</w:t>
      </w:r>
      <w:proofErr w:type="gramStart"/>
      <w:r w:rsidRPr="003F5882">
        <w:rPr>
          <w:rFonts w:ascii="Arial" w:hAnsi="Arial" w:cs="Times New Roman"/>
          <w:sz w:val="21"/>
          <w:u w:val="single"/>
        </w:rPr>
        <w:t>金额汇率</w:t>
      </w:r>
      <w:proofErr w:type="gramEnd"/>
      <w:r w:rsidRPr="003F5882">
        <w:rPr>
          <w:rFonts w:ascii="Arial" w:hAnsi="Arial" w:cs="Times New Roman"/>
          <w:sz w:val="21"/>
          <w:u w:val="single"/>
        </w:rPr>
        <w:t>与UNORE对比情况</w:t>
      </w:r>
    </w:p>
    <w:p w:rsidR="005C4FAF" w:rsidRPr="003F5882" w:rsidRDefault="00907170" w:rsidP="00907170">
      <w:pPr>
        <w:spacing w:afterLines="50" w:after="120" w:line="340" w:lineRule="atLeast"/>
        <w:jc w:val="center"/>
        <w:rPr>
          <w:rFonts w:ascii="Arial" w:hAnsi="Arial" w:cs="Times New Roman"/>
          <w:noProof/>
        </w:rPr>
      </w:pPr>
      <w:r w:rsidRPr="00907170">
        <w:rPr>
          <w:noProof/>
          <w:lang w:val="en-US" w:bidi="ar-SA"/>
        </w:rPr>
        <w:drawing>
          <wp:inline distT="0" distB="0" distL="0" distR="0">
            <wp:extent cx="4572000" cy="2736215"/>
            <wp:effectExtent l="0" t="0" r="0" b="6985"/>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2736215"/>
                    </a:xfrm>
                    <a:prstGeom prst="rect">
                      <a:avLst/>
                    </a:prstGeom>
                    <a:noFill/>
                    <a:ln>
                      <a:noFill/>
                    </a:ln>
                  </pic:spPr>
                </pic:pic>
              </a:graphicData>
            </a:graphic>
          </wp:inline>
        </w:drawing>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欧元</w:t>
      </w:r>
      <w:r w:rsidR="00E04F07" w:rsidRPr="003F5882">
        <w:rPr>
          <w:rFonts w:ascii="Arial" w:hAnsi="Arial" w:cs="Times New Roman" w:hint="eastAsia"/>
          <w:sz w:val="21"/>
          <w:u w:val="single"/>
        </w:rPr>
        <w:t>——</w:t>
      </w:r>
      <w:r w:rsidRPr="003F5882">
        <w:rPr>
          <w:rFonts w:ascii="Arial" w:hAnsi="Arial" w:cs="Times New Roman"/>
          <w:sz w:val="21"/>
          <w:u w:val="single"/>
        </w:rPr>
        <w:t>2012年至2014年等值</w:t>
      </w:r>
      <w:proofErr w:type="gramStart"/>
      <w:r w:rsidRPr="003F5882">
        <w:rPr>
          <w:rFonts w:ascii="Arial" w:hAnsi="Arial" w:cs="Times New Roman"/>
          <w:sz w:val="21"/>
          <w:u w:val="single"/>
        </w:rPr>
        <w:t>金额汇率</w:t>
      </w:r>
      <w:proofErr w:type="gramEnd"/>
      <w:r w:rsidRPr="003F5882">
        <w:rPr>
          <w:rFonts w:ascii="Arial" w:hAnsi="Arial" w:cs="Times New Roman"/>
          <w:sz w:val="21"/>
          <w:u w:val="single"/>
        </w:rPr>
        <w:t>与UNORE对比情况</w:t>
      </w:r>
    </w:p>
    <w:p w:rsidR="005C4FAF"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extent cx="4517390" cy="2640965"/>
            <wp:effectExtent l="0" t="0" r="0" b="698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17390" cy="264096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2011年9月，瑞士国家银行</w:t>
      </w:r>
      <w:r w:rsidR="00F453AC" w:rsidRPr="003F5882">
        <w:rPr>
          <w:rFonts w:ascii="Arial" w:hAnsi="Arial" w:cs="Times New Roman"/>
          <w:sz w:val="21"/>
        </w:rPr>
        <w:t>（</w:t>
      </w:r>
      <w:r w:rsidRPr="003F5882">
        <w:rPr>
          <w:rFonts w:ascii="Arial" w:hAnsi="Arial" w:cs="Times New Roman"/>
          <w:sz w:val="21"/>
        </w:rPr>
        <w:t>SNB</w:t>
      </w:r>
      <w:r w:rsidR="00F453AC" w:rsidRPr="003F5882">
        <w:rPr>
          <w:rFonts w:ascii="Arial" w:hAnsi="Arial" w:cs="Times New Roman"/>
          <w:sz w:val="21"/>
        </w:rPr>
        <w:t>）</w:t>
      </w:r>
      <w:r w:rsidRPr="003F5882">
        <w:rPr>
          <w:rFonts w:ascii="Arial" w:hAnsi="Arial" w:cs="Times New Roman"/>
          <w:sz w:val="21"/>
        </w:rPr>
        <w:t>出台</w:t>
      </w:r>
      <w:r w:rsidR="00235C78" w:rsidRPr="003F5882">
        <w:rPr>
          <w:rFonts w:ascii="Arial" w:hAnsi="Arial" w:cs="Times New Roman" w:hint="eastAsia"/>
          <w:sz w:val="21"/>
        </w:rPr>
        <w:t>了</w:t>
      </w:r>
      <w:r w:rsidRPr="003F5882">
        <w:rPr>
          <w:rFonts w:ascii="Arial" w:hAnsi="Arial" w:cs="Times New Roman"/>
          <w:sz w:val="21"/>
        </w:rPr>
        <w:t>一项政策，规定欧元兑瑞郎的最低汇率为1欧元兑1.2瑞郎。该政策有效地</w:t>
      </w:r>
      <w:r w:rsidR="00D0312D" w:rsidRPr="003F5882">
        <w:rPr>
          <w:rFonts w:ascii="Arial" w:hAnsi="Arial" w:cs="Times New Roman" w:hint="eastAsia"/>
          <w:sz w:val="21"/>
        </w:rPr>
        <w:t>限制</w:t>
      </w:r>
      <w:r w:rsidRPr="003F5882">
        <w:rPr>
          <w:rFonts w:ascii="Arial" w:hAnsi="Arial" w:cs="Times New Roman"/>
          <w:sz w:val="21"/>
        </w:rPr>
        <w:t>了本组织</w:t>
      </w:r>
      <w:r w:rsidR="00D0312D" w:rsidRPr="003F5882">
        <w:rPr>
          <w:rFonts w:ascii="Arial" w:hAnsi="Arial" w:cs="Times New Roman" w:hint="eastAsia"/>
          <w:sz w:val="21"/>
        </w:rPr>
        <w:t>在</w:t>
      </w:r>
      <w:r w:rsidRPr="003F5882">
        <w:rPr>
          <w:rFonts w:ascii="Arial" w:hAnsi="Arial" w:cs="Times New Roman"/>
          <w:sz w:val="21"/>
        </w:rPr>
        <w:t>欧元费用收入</w:t>
      </w:r>
      <w:r w:rsidR="00D0312D" w:rsidRPr="003F5882">
        <w:rPr>
          <w:rFonts w:ascii="Arial" w:hAnsi="Arial" w:cs="Times New Roman" w:hint="eastAsia"/>
          <w:sz w:val="21"/>
        </w:rPr>
        <w:t>方面遭受</w:t>
      </w:r>
      <w:r w:rsidRPr="003F5882">
        <w:rPr>
          <w:rFonts w:ascii="Arial" w:hAnsi="Arial" w:cs="Times New Roman"/>
          <w:sz w:val="21"/>
        </w:rPr>
        <w:t>汇兑损失。但是，2015年1月15日，SNB宣布中止该政策。随后，瑞郎价值大幅上涨，货币市场上其他货币兑瑞郎平均损失15</w:t>
      </w:r>
      <w:r w:rsidR="00D0312D" w:rsidRPr="003F5882">
        <w:rPr>
          <w:rFonts w:ascii="Arial" w:hAnsi="Arial" w:cs="Times New Roman" w:hint="eastAsia"/>
          <w:sz w:val="21"/>
        </w:rPr>
        <w:t>.0</w:t>
      </w:r>
      <w:r w:rsidRPr="003F5882">
        <w:rPr>
          <w:rFonts w:ascii="Arial" w:hAnsi="Arial" w:cs="Times New Roman"/>
          <w:sz w:val="21"/>
        </w:rPr>
        <w:t>%。下表概述了SNB公告后，2014年底和2015年初用于确定等值申请费用金额的美元、日元和欧元汇率与UNORE之间的差异：</w:t>
      </w:r>
    </w:p>
    <w:p w:rsidR="005A383E" w:rsidRPr="00F453AC" w:rsidRDefault="00E8494E" w:rsidP="00E8494E">
      <w:pPr>
        <w:spacing w:afterLines="50" w:after="120" w:line="340" w:lineRule="atLeast"/>
        <w:jc w:val="center"/>
        <w:rPr>
          <w:rFonts w:ascii="Arial" w:eastAsia="SimSun" w:hAnsi="Arial" w:cs="Times New Roman"/>
        </w:rPr>
      </w:pPr>
      <w:r w:rsidRPr="00E8494E">
        <w:rPr>
          <w:noProof/>
          <w:lang w:val="en-US" w:bidi="ar-SA"/>
        </w:rPr>
        <w:drawing>
          <wp:inline distT="0" distB="0" distL="0" distR="0" wp14:anchorId="443CD146" wp14:editId="6C353D13">
            <wp:extent cx="5977255" cy="2553977"/>
            <wp:effectExtent l="0" t="0" r="4445"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7255" cy="2553977"/>
                    </a:xfrm>
                    <a:prstGeom prst="rect">
                      <a:avLst/>
                    </a:prstGeom>
                    <a:noFill/>
                    <a:ln>
                      <a:noFill/>
                    </a:ln>
                  </pic:spPr>
                </pic:pic>
              </a:graphicData>
            </a:graphic>
          </wp:inline>
        </w:drawing>
      </w:r>
    </w:p>
    <w:p w:rsidR="005A383E" w:rsidRPr="003F5882" w:rsidRDefault="005A383E" w:rsidP="00F04843">
      <w:pPr>
        <w:numPr>
          <w:ilvl w:val="0"/>
          <w:numId w:val="1"/>
        </w:numPr>
        <w:tabs>
          <w:tab w:val="clear" w:pos="567"/>
        </w:tabs>
        <w:overflowPunct w:val="0"/>
        <w:spacing w:afterLines="50" w:after="120" w:line="340" w:lineRule="atLeast"/>
        <w:jc w:val="both"/>
        <w:rPr>
          <w:rFonts w:ascii="Arial" w:hAnsi="Arial" w:cs="Times New Roman"/>
          <w:sz w:val="21"/>
        </w:rPr>
      </w:pPr>
      <w:r w:rsidRPr="003F5882">
        <w:rPr>
          <w:rFonts w:ascii="Arial" w:hAnsi="Arial" w:cs="Times New Roman"/>
          <w:sz w:val="21"/>
        </w:rPr>
        <w:t>WIPO预计</w:t>
      </w:r>
      <w:r w:rsidR="00BC092F" w:rsidRPr="003F5882">
        <w:rPr>
          <w:rFonts w:ascii="Arial" w:hAnsi="Arial" w:cs="Times New Roman" w:hint="eastAsia"/>
          <w:sz w:val="21"/>
        </w:rPr>
        <w:t>会</w:t>
      </w:r>
      <w:r w:rsidRPr="003F5882">
        <w:rPr>
          <w:rFonts w:ascii="Arial" w:hAnsi="Arial" w:cs="Times New Roman"/>
          <w:sz w:val="21"/>
        </w:rPr>
        <w:t>在SNB公告前未支付的2014年申请以及在2015年4月1日起实施新的等值金额前</w:t>
      </w:r>
      <w:r w:rsidR="00BC092F" w:rsidRPr="003F5882">
        <w:rPr>
          <w:rFonts w:ascii="Arial" w:hAnsi="Arial" w:cs="Times New Roman" w:hint="eastAsia"/>
          <w:sz w:val="21"/>
        </w:rPr>
        <w:t>、</w:t>
      </w:r>
      <w:r w:rsidRPr="003F5882">
        <w:rPr>
          <w:rFonts w:ascii="Arial" w:hAnsi="Arial" w:cs="Times New Roman"/>
          <w:sz w:val="21"/>
        </w:rPr>
        <w:t>2015年前三个月提出的申请方面蒙受汇兑损失。这些申请费用预计</w:t>
      </w:r>
      <w:r w:rsidR="00BC092F" w:rsidRPr="003F5882">
        <w:rPr>
          <w:rFonts w:ascii="Arial" w:hAnsi="Arial" w:cs="Times New Roman" w:hint="eastAsia"/>
          <w:sz w:val="21"/>
        </w:rPr>
        <w:t>将</w:t>
      </w:r>
      <w:r w:rsidRPr="003F5882">
        <w:rPr>
          <w:rFonts w:ascii="Arial" w:hAnsi="Arial" w:cs="Times New Roman"/>
          <w:sz w:val="21"/>
        </w:rPr>
        <w:t>在2015年前五个月期间收取，因此损失的程度取决于现金流入模式和未来汇率。</w:t>
      </w:r>
      <w:r w:rsidR="00BC092F" w:rsidRPr="003F5882">
        <w:rPr>
          <w:rFonts w:ascii="Arial" w:hAnsi="Arial" w:cs="Times New Roman" w:hint="eastAsia"/>
          <w:sz w:val="21"/>
        </w:rPr>
        <w:t>有人</w:t>
      </w:r>
      <w:r w:rsidRPr="003F5882">
        <w:rPr>
          <w:rFonts w:ascii="Arial" w:hAnsi="Arial" w:cs="Times New Roman"/>
          <w:sz w:val="21"/>
        </w:rPr>
        <w:t>注意</w:t>
      </w:r>
      <w:r w:rsidR="00BC092F" w:rsidRPr="003F5882">
        <w:rPr>
          <w:rFonts w:ascii="Arial" w:hAnsi="Arial" w:cs="Times New Roman" w:hint="eastAsia"/>
          <w:sz w:val="21"/>
        </w:rPr>
        <w:t>到，已宣布的</w:t>
      </w:r>
      <w:r w:rsidRPr="003F5882">
        <w:rPr>
          <w:rFonts w:ascii="Arial" w:hAnsi="Arial" w:cs="Times New Roman"/>
          <w:sz w:val="21"/>
        </w:rPr>
        <w:t>自2015年4月1日起生效的新的等值金额包括欧元，但不包括美元和日元。由于其价值</w:t>
      </w:r>
      <w:r w:rsidR="00BC092F" w:rsidRPr="003F5882">
        <w:rPr>
          <w:rFonts w:ascii="Arial" w:hAnsi="Arial" w:cs="Times New Roman" w:hint="eastAsia"/>
          <w:sz w:val="21"/>
        </w:rPr>
        <w:t>相对于</w:t>
      </w:r>
      <w:r w:rsidRPr="003F5882">
        <w:rPr>
          <w:rFonts w:ascii="Arial" w:hAnsi="Arial" w:cs="Times New Roman"/>
          <w:sz w:val="21"/>
        </w:rPr>
        <w:t>瑞郎</w:t>
      </w:r>
      <w:r w:rsidR="00BC092F" w:rsidRPr="003F5882">
        <w:rPr>
          <w:rFonts w:ascii="Arial" w:hAnsi="Arial" w:cs="Times New Roman" w:hint="eastAsia"/>
          <w:sz w:val="21"/>
        </w:rPr>
        <w:t>而言</w:t>
      </w:r>
      <w:r w:rsidRPr="003F5882">
        <w:rPr>
          <w:rFonts w:ascii="Arial" w:hAnsi="Arial" w:cs="Times New Roman"/>
          <w:sz w:val="21"/>
        </w:rPr>
        <w:t>已大部分复苏，因此美元和日元不满足设定新等值金额的条件。预计在SNB公告后，WIPO在2015年前五个月收取的PCT国际申请费用</w:t>
      </w:r>
      <w:r w:rsidR="00BC092F" w:rsidRPr="003F5882">
        <w:rPr>
          <w:rFonts w:ascii="Arial" w:hAnsi="Arial" w:cs="Times New Roman" w:hint="eastAsia"/>
          <w:sz w:val="21"/>
        </w:rPr>
        <w:t>方面</w:t>
      </w:r>
      <w:r w:rsidRPr="003F5882">
        <w:rPr>
          <w:rFonts w:ascii="Arial" w:hAnsi="Arial" w:cs="Times New Roman"/>
          <w:sz w:val="21"/>
        </w:rPr>
        <w:t>会遭受200万瑞郎到500万瑞郎的汇兑损失。</w:t>
      </w:r>
    </w:p>
    <w:p w:rsidR="005A383E" w:rsidRPr="003F5882" w:rsidRDefault="005A383E" w:rsidP="00F04843">
      <w:pPr>
        <w:numPr>
          <w:ilvl w:val="0"/>
          <w:numId w:val="1"/>
        </w:numPr>
        <w:tabs>
          <w:tab w:val="clear" w:pos="567"/>
        </w:tabs>
        <w:overflowPunct w:val="0"/>
        <w:spacing w:afterLines="50" w:after="120" w:line="340" w:lineRule="atLeast"/>
        <w:jc w:val="both"/>
        <w:rPr>
          <w:rFonts w:ascii="Arial" w:hAnsi="Arial" w:cs="Times New Roman"/>
          <w:sz w:val="21"/>
        </w:rPr>
      </w:pPr>
      <w:r w:rsidRPr="003F5882">
        <w:rPr>
          <w:rFonts w:ascii="Arial" w:hAnsi="Arial" w:cs="Times New Roman"/>
          <w:sz w:val="21"/>
        </w:rPr>
        <w:t>马德里体系规费主要包括注册或续展申请的基本费用和后</w:t>
      </w:r>
      <w:r w:rsidR="00BC092F" w:rsidRPr="003F5882">
        <w:rPr>
          <w:rFonts w:ascii="Arial" w:hAnsi="Arial" w:cs="Times New Roman" w:hint="eastAsia"/>
          <w:sz w:val="21"/>
        </w:rPr>
        <w:t>期</w:t>
      </w:r>
      <w:r w:rsidRPr="003F5882">
        <w:rPr>
          <w:rFonts w:ascii="Arial" w:hAnsi="Arial" w:cs="Times New Roman"/>
          <w:sz w:val="21"/>
        </w:rPr>
        <w:t>指定的费用</w:t>
      </w:r>
      <w:r w:rsidR="00BC092F"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2012年至2014年马德里体系</w:t>
      </w:r>
      <w:proofErr w:type="gramStart"/>
      <w:r w:rsidRPr="003F5882">
        <w:rPr>
          <w:rFonts w:ascii="Arial" w:hAnsi="Arial" w:cs="Times New Roman"/>
          <w:sz w:val="21"/>
          <w:u w:val="single"/>
        </w:rPr>
        <w:t>规</w:t>
      </w:r>
      <w:proofErr w:type="gramEnd"/>
      <w:r w:rsidRPr="003F5882">
        <w:rPr>
          <w:rFonts w:ascii="Arial" w:hAnsi="Arial" w:cs="Times New Roman"/>
          <w:sz w:val="21"/>
          <w:u w:val="single"/>
        </w:rPr>
        <w:t>费详情</w:t>
      </w:r>
    </w:p>
    <w:p w:rsidR="005A383E"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extent cx="4988560" cy="1419225"/>
            <wp:effectExtent l="0" t="0" r="254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88560" cy="141922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依据IPSAS，马德里的注册、续展和后</w:t>
      </w:r>
      <w:r w:rsidR="00BC092F" w:rsidRPr="003F5882">
        <w:rPr>
          <w:rFonts w:ascii="Arial" w:hAnsi="Arial" w:cs="Times New Roman" w:hint="eastAsia"/>
          <w:sz w:val="21"/>
        </w:rPr>
        <w:t>期</w:t>
      </w:r>
      <w:r w:rsidRPr="003F5882">
        <w:rPr>
          <w:rFonts w:ascii="Arial" w:hAnsi="Arial" w:cs="Times New Roman"/>
          <w:sz w:val="21"/>
        </w:rPr>
        <w:t>指定的费用收入在财务报表中要到公布之日才入账。根据IPSAS</w:t>
      </w:r>
      <w:r w:rsidR="00BC092F" w:rsidRPr="003F5882">
        <w:rPr>
          <w:rFonts w:ascii="Arial" w:hAnsi="Arial" w:cs="Times New Roman" w:hint="eastAsia"/>
          <w:sz w:val="21"/>
        </w:rPr>
        <w:t>入账</w:t>
      </w:r>
      <w:r w:rsidRPr="003F5882">
        <w:rPr>
          <w:rFonts w:ascii="Arial" w:hAnsi="Arial" w:cs="Times New Roman"/>
          <w:sz w:val="21"/>
        </w:rPr>
        <w:t>的注册和续展收入</w:t>
      </w:r>
      <w:r w:rsidR="00F453AC" w:rsidRPr="003F5882">
        <w:rPr>
          <w:rFonts w:ascii="Arial" w:hAnsi="Arial" w:cs="Times New Roman"/>
          <w:sz w:val="21"/>
        </w:rPr>
        <w:t>（</w:t>
      </w:r>
      <w:r w:rsidRPr="003F5882">
        <w:rPr>
          <w:rFonts w:ascii="Arial" w:hAnsi="Arial" w:cs="Times New Roman"/>
          <w:sz w:val="21"/>
        </w:rPr>
        <w:t>但是不包括其他费用</w:t>
      </w:r>
      <w:r w:rsidR="00F453AC" w:rsidRPr="003F5882">
        <w:rPr>
          <w:rFonts w:ascii="Arial" w:hAnsi="Arial" w:cs="Times New Roman"/>
          <w:sz w:val="21"/>
        </w:rPr>
        <w:t>）</w:t>
      </w:r>
      <w:r w:rsidRPr="003F5882">
        <w:rPr>
          <w:rFonts w:ascii="Arial" w:hAnsi="Arial" w:cs="Times New Roman"/>
          <w:sz w:val="21"/>
        </w:rPr>
        <w:t>随着注册和续展数目逐年增长而增长</w:t>
      </w:r>
      <w:r w:rsidR="00BC092F"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t>马德里</w:t>
      </w:r>
      <w:r w:rsidR="00E04F07" w:rsidRPr="00F453AC">
        <w:rPr>
          <w:rFonts w:ascii="Arial" w:hAnsi="Arial" w:cs="Times New Roman" w:hint="eastAsia"/>
          <w:sz w:val="21"/>
          <w:u w:val="single"/>
        </w:rPr>
        <w:t>——</w:t>
      </w:r>
      <w:r w:rsidRPr="00F453AC">
        <w:rPr>
          <w:rFonts w:ascii="Arial" w:hAnsi="Arial" w:cs="Times New Roman"/>
          <w:sz w:val="21"/>
          <w:u w:val="single"/>
        </w:rPr>
        <w:t>2012年至2014年基本费用和注册/续展</w:t>
      </w:r>
    </w:p>
    <w:p w:rsidR="005A383E"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14:anchorId="07D53B29" wp14:editId="1A4B431A">
            <wp:extent cx="5977255" cy="2932536"/>
            <wp:effectExtent l="0" t="0" r="4445" b="127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2932536"/>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2014年，海牙体系</w:t>
      </w:r>
      <w:proofErr w:type="gramStart"/>
      <w:r w:rsidRPr="003F5882">
        <w:rPr>
          <w:rFonts w:ascii="Arial" w:hAnsi="Arial" w:cs="Times New Roman"/>
          <w:sz w:val="21"/>
        </w:rPr>
        <w:t>规</w:t>
      </w:r>
      <w:proofErr w:type="gramEnd"/>
      <w:r w:rsidRPr="003F5882">
        <w:rPr>
          <w:rFonts w:ascii="Arial" w:hAnsi="Arial" w:cs="Times New Roman"/>
          <w:sz w:val="21"/>
        </w:rPr>
        <w:t>费总计为320</w:t>
      </w:r>
      <w:proofErr w:type="gramStart"/>
      <w:r w:rsidRPr="003F5882">
        <w:rPr>
          <w:rFonts w:ascii="Arial" w:hAnsi="Arial" w:cs="Times New Roman"/>
          <w:sz w:val="21"/>
        </w:rPr>
        <w:t>万瑞</w:t>
      </w:r>
      <w:proofErr w:type="gramEnd"/>
      <w:r w:rsidRPr="003F5882">
        <w:rPr>
          <w:rFonts w:ascii="Arial" w:hAnsi="Arial" w:cs="Times New Roman"/>
          <w:sz w:val="21"/>
        </w:rPr>
        <w:t>郎。正如PCT和马德里体系规费，处理申请的相关费用产生的收入</w:t>
      </w:r>
      <w:r w:rsidR="00016113" w:rsidRPr="003F5882">
        <w:rPr>
          <w:rFonts w:ascii="Arial" w:hAnsi="Arial" w:cs="Times New Roman" w:hint="eastAsia"/>
          <w:sz w:val="21"/>
        </w:rPr>
        <w:t>要到</w:t>
      </w:r>
      <w:r w:rsidRPr="003F5882">
        <w:rPr>
          <w:rFonts w:ascii="Arial" w:hAnsi="Arial" w:cs="Times New Roman"/>
          <w:sz w:val="21"/>
        </w:rPr>
        <w:t>申请公布时才入账。海牙体系规费保持稳定，与前一年相比没有发生重大变化。</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分摊会费收入为1,790</w:t>
      </w:r>
      <w:proofErr w:type="gramStart"/>
      <w:r w:rsidRPr="003F5882">
        <w:rPr>
          <w:rFonts w:ascii="Arial" w:hAnsi="Arial" w:cs="Times New Roman"/>
          <w:sz w:val="21"/>
        </w:rPr>
        <w:t>万瑞</w:t>
      </w:r>
      <w:proofErr w:type="gramEnd"/>
      <w:r w:rsidRPr="003F5882">
        <w:rPr>
          <w:rFonts w:ascii="Arial" w:hAnsi="Arial" w:cs="Times New Roman"/>
          <w:sz w:val="21"/>
        </w:rPr>
        <w:t>郎，占总收入的4.8%。特别账户自愿捐款收入为890万瑞郎，占总收入的2.4%。在按相关合同履行工作且发生开支的情况下，自愿捐款的收入纳入财务报表。</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2014年的投资收入总计160万瑞郎，和2013年相比下降了23.8%。由于在瑞士联邦金融管理</w:t>
      </w:r>
      <w:r w:rsidR="004A754C" w:rsidRPr="003F5882">
        <w:rPr>
          <w:rFonts w:ascii="Arial" w:hAnsi="Arial" w:cs="Times New Roman" w:hint="eastAsia"/>
          <w:sz w:val="21"/>
        </w:rPr>
        <w:t>局</w:t>
      </w:r>
      <w:r w:rsidR="00F453AC" w:rsidRPr="003F5882">
        <w:rPr>
          <w:rFonts w:ascii="Arial" w:hAnsi="Arial" w:cs="Times New Roman" w:hint="eastAsia"/>
          <w:sz w:val="21"/>
        </w:rPr>
        <w:t>（</w:t>
      </w:r>
      <w:r w:rsidR="004A754C" w:rsidRPr="003F5882">
        <w:rPr>
          <w:rFonts w:ascii="Arial" w:hAnsi="Arial" w:cs="Times New Roman" w:hint="eastAsia"/>
          <w:sz w:val="21"/>
        </w:rPr>
        <w:t>AFF</w:t>
      </w:r>
      <w:r w:rsidR="00F453AC" w:rsidRPr="003F5882">
        <w:rPr>
          <w:rFonts w:ascii="Arial" w:hAnsi="Arial" w:cs="Times New Roman" w:hint="eastAsia"/>
          <w:sz w:val="21"/>
        </w:rPr>
        <w:t>）</w:t>
      </w:r>
      <w:r w:rsidRPr="003F5882">
        <w:rPr>
          <w:rFonts w:ascii="Arial" w:hAnsi="Arial" w:cs="Times New Roman"/>
          <w:sz w:val="21"/>
        </w:rPr>
        <w:t>开设的计息账户和投资在2014年的平均利率是0.421%，而2013年的平均利率为0.558%，因此利息收入有所下降。2014年仲裁与调解收入150万瑞郎，出版物销售收入40万瑞郎，基本与前一年持平。其他/杂项收入从2013年的620万瑞郎下跌至2014年的300万瑞郎。该数据2013年较高是因为2013年本组织收到430</w:t>
      </w:r>
      <w:proofErr w:type="gramStart"/>
      <w:r w:rsidRPr="003F5882">
        <w:rPr>
          <w:rFonts w:ascii="Arial" w:hAnsi="Arial" w:cs="Times New Roman"/>
          <w:sz w:val="21"/>
        </w:rPr>
        <w:t>万瑞</w:t>
      </w:r>
      <w:proofErr w:type="gramEnd"/>
      <w:r w:rsidRPr="003F5882">
        <w:rPr>
          <w:rFonts w:ascii="Arial" w:hAnsi="Arial" w:cs="Times New Roman"/>
          <w:sz w:val="21"/>
        </w:rPr>
        <w:t>郎的信用票据，基本上都来自国际计算中心</w:t>
      </w:r>
      <w:r w:rsidR="00F453AC" w:rsidRPr="003F5882">
        <w:rPr>
          <w:rFonts w:ascii="Arial" w:hAnsi="Arial" w:cs="Times New Roman" w:hint="eastAsia"/>
          <w:sz w:val="21"/>
        </w:rPr>
        <w:t>（</w:t>
      </w:r>
      <w:r w:rsidRPr="003F5882">
        <w:rPr>
          <w:rFonts w:ascii="Arial" w:hAnsi="Arial" w:cs="Times New Roman"/>
          <w:sz w:val="21"/>
        </w:rPr>
        <w:t>ICC</w:t>
      </w:r>
      <w:r w:rsidR="00F453AC" w:rsidRPr="003F5882">
        <w:rPr>
          <w:rFonts w:ascii="Arial" w:hAnsi="Arial" w:cs="Times New Roman" w:hint="eastAsia"/>
          <w:sz w:val="21"/>
        </w:rPr>
        <w:t>）</w:t>
      </w:r>
      <w:r w:rsidRPr="003F5882">
        <w:rPr>
          <w:rFonts w:ascii="Arial" w:hAnsi="Arial" w:cs="Times New Roman"/>
          <w:sz w:val="21"/>
        </w:rPr>
        <w:t>。</w:t>
      </w:r>
    </w:p>
    <w:p w:rsidR="005A383E" w:rsidRPr="003F5882" w:rsidRDefault="005A383E" w:rsidP="003F5882">
      <w:pPr>
        <w:keepNext/>
        <w:spacing w:afterLines="50" w:after="120" w:line="340" w:lineRule="atLeast"/>
        <w:jc w:val="both"/>
        <w:rPr>
          <w:rFonts w:ascii="Arial" w:eastAsia="KaiTi" w:hAnsi="Arial" w:cs="Times New Roman"/>
          <w:b/>
          <w:i/>
          <w:sz w:val="21"/>
        </w:rPr>
      </w:pPr>
      <w:r w:rsidRPr="003F5882">
        <w:rPr>
          <w:rFonts w:ascii="Arial" w:eastAsia="KaiTi" w:hAnsi="Arial" w:cs="Times New Roman"/>
          <w:b/>
          <w:i/>
          <w:sz w:val="21"/>
        </w:rPr>
        <w:lastRenderedPageBreak/>
        <w:t>支出分析</w:t>
      </w:r>
    </w:p>
    <w:p w:rsidR="005A383E" w:rsidRPr="00F453AC" w:rsidRDefault="005A383E" w:rsidP="00E8494E">
      <w:pPr>
        <w:keepNext/>
        <w:spacing w:line="340" w:lineRule="atLeast"/>
        <w:jc w:val="center"/>
        <w:rPr>
          <w:rFonts w:ascii="Arial" w:eastAsia="SimSun" w:hAnsi="Arial" w:cs="Times New Roman"/>
          <w:sz w:val="21"/>
          <w:szCs w:val="22"/>
          <w:u w:val="single"/>
        </w:rPr>
      </w:pPr>
      <w:r w:rsidRPr="003F5882">
        <w:rPr>
          <w:rFonts w:ascii="Arial" w:hAnsi="Arial" w:cs="Times New Roman"/>
          <w:sz w:val="21"/>
          <w:u w:val="single"/>
        </w:rPr>
        <w:t>2014年IPSAS制的支出构成</w:t>
      </w:r>
    </w:p>
    <w:p w:rsidR="005A383E" w:rsidRPr="005273FB" w:rsidRDefault="00F453AC" w:rsidP="005273FB">
      <w:pPr>
        <w:keepNext/>
        <w:spacing w:afterLines="50" w:after="120" w:line="340" w:lineRule="atLeast"/>
        <w:jc w:val="center"/>
        <w:rPr>
          <w:rFonts w:ascii="Arial" w:eastAsia="KaiTi" w:hAnsi="Arial" w:cs="Times New Roman"/>
          <w:i/>
          <w:sz w:val="21"/>
        </w:rPr>
      </w:pPr>
      <w:r w:rsidRPr="005273FB">
        <w:rPr>
          <w:rFonts w:ascii="Arial" w:eastAsia="KaiTi" w:hAnsi="Arial" w:cs="Times New Roman" w:hint="eastAsia"/>
          <w:i/>
          <w:sz w:val="21"/>
        </w:rPr>
        <w:t>（</w:t>
      </w:r>
      <w:r w:rsidR="005A383E" w:rsidRPr="005273FB">
        <w:rPr>
          <w:rFonts w:ascii="Arial" w:eastAsia="KaiTi" w:hAnsi="Arial" w:cs="Times New Roman"/>
          <w:i/>
          <w:sz w:val="21"/>
        </w:rPr>
        <w:t>单位：百</w:t>
      </w:r>
      <w:proofErr w:type="gramStart"/>
      <w:r w:rsidR="005A383E" w:rsidRPr="005273FB">
        <w:rPr>
          <w:rFonts w:ascii="Arial" w:eastAsia="KaiTi" w:hAnsi="Arial" w:cs="Times New Roman"/>
          <w:i/>
          <w:sz w:val="21"/>
        </w:rPr>
        <w:t>万瑞</w:t>
      </w:r>
      <w:proofErr w:type="gramEnd"/>
      <w:r w:rsidR="005A383E" w:rsidRPr="005273FB">
        <w:rPr>
          <w:rFonts w:ascii="Arial" w:eastAsia="KaiTi" w:hAnsi="Arial" w:cs="Times New Roman"/>
          <w:i/>
          <w:sz w:val="21"/>
        </w:rPr>
        <w:t>郎</w:t>
      </w:r>
      <w:r w:rsidRPr="005273FB">
        <w:rPr>
          <w:rFonts w:ascii="Arial" w:eastAsia="KaiTi" w:hAnsi="Arial" w:cs="Times New Roman" w:hint="eastAsia"/>
          <w:i/>
          <w:sz w:val="21"/>
        </w:rPr>
        <w:t>）</w:t>
      </w:r>
    </w:p>
    <w:p w:rsidR="005A383E" w:rsidRPr="00F453AC" w:rsidRDefault="003C407D" w:rsidP="00E8494E">
      <w:pPr>
        <w:spacing w:afterLines="50" w:after="120" w:line="340" w:lineRule="atLeast"/>
        <w:jc w:val="center"/>
        <w:rPr>
          <w:rFonts w:ascii="Arial" w:eastAsia="SimSun" w:hAnsi="Arial" w:cs="Times New Roman"/>
          <w:sz w:val="21"/>
          <w:szCs w:val="22"/>
        </w:rPr>
      </w:pPr>
      <w:r w:rsidRPr="003C407D">
        <w:rPr>
          <w:noProof/>
          <w:lang w:val="en-US" w:bidi="ar-SA"/>
        </w:rPr>
        <w:drawing>
          <wp:inline distT="0" distB="0" distL="0" distR="0" wp14:anchorId="401F136C" wp14:editId="0338E151">
            <wp:extent cx="5977255" cy="286514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7255" cy="286514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本组织2014年的总支出为3.332亿瑞郎，比2013年3.365亿瑞郎的总支</w:t>
      </w:r>
      <w:proofErr w:type="gramStart"/>
      <w:r w:rsidRPr="003F5882">
        <w:rPr>
          <w:rFonts w:ascii="Arial" w:hAnsi="Arial" w:cs="Times New Roman"/>
          <w:sz w:val="21"/>
        </w:rPr>
        <w:t>出降低</w:t>
      </w:r>
      <w:proofErr w:type="gramEnd"/>
      <w:r w:rsidRPr="003F5882">
        <w:rPr>
          <w:rFonts w:ascii="Arial" w:hAnsi="Arial" w:cs="Times New Roman"/>
          <w:sz w:val="21"/>
        </w:rPr>
        <w:t>了1.0%。本组织的最大支出是2.164亿瑞郎的人事费用，占总支出的64.9%。本组织第二大支出是花费6,360万瑞郎的订约承办事务，</w:t>
      </w:r>
      <w:r w:rsidR="00D765A0" w:rsidRPr="003F5882">
        <w:rPr>
          <w:rFonts w:ascii="Arial" w:hAnsi="Arial" w:cs="Times New Roman" w:hint="eastAsia"/>
          <w:sz w:val="21"/>
        </w:rPr>
        <w:t>再</w:t>
      </w:r>
      <w:r w:rsidRPr="003F5882">
        <w:rPr>
          <w:rFonts w:ascii="Arial" w:hAnsi="Arial" w:cs="Times New Roman"/>
          <w:sz w:val="21"/>
        </w:rPr>
        <w:t>次是2,080</w:t>
      </w:r>
      <w:r w:rsidR="00D765A0" w:rsidRPr="003F5882">
        <w:rPr>
          <w:rFonts w:ascii="Arial" w:hAnsi="Arial" w:cs="Times New Roman" w:hint="eastAsia"/>
          <w:sz w:val="21"/>
        </w:rPr>
        <w:t>万</w:t>
      </w:r>
      <w:r w:rsidRPr="003F5882">
        <w:rPr>
          <w:rFonts w:ascii="Arial" w:hAnsi="Arial" w:cs="Times New Roman"/>
          <w:sz w:val="21"/>
        </w:rPr>
        <w:t>瑞郎的业务费用。下表为与上一年度相比支出类型变化摘要</w:t>
      </w:r>
      <w:r w:rsidR="00D765A0"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t>201</w:t>
      </w:r>
      <w:r w:rsidR="00D765A0" w:rsidRPr="00F453AC">
        <w:rPr>
          <w:rFonts w:ascii="Arial" w:hAnsi="Arial" w:cs="Times New Roman" w:hint="eastAsia"/>
          <w:sz w:val="21"/>
          <w:u w:val="single"/>
        </w:rPr>
        <w:t>4</w:t>
      </w:r>
      <w:r w:rsidRPr="00F453AC">
        <w:rPr>
          <w:rFonts w:ascii="Arial" w:hAnsi="Arial" w:cs="Times New Roman"/>
          <w:sz w:val="21"/>
          <w:u w:val="single"/>
        </w:rPr>
        <w:t>年和201</w:t>
      </w:r>
      <w:r w:rsidR="00D765A0" w:rsidRPr="00F453AC">
        <w:rPr>
          <w:rFonts w:ascii="Arial" w:hAnsi="Arial" w:cs="Times New Roman" w:hint="eastAsia"/>
          <w:sz w:val="21"/>
          <w:u w:val="single"/>
        </w:rPr>
        <w:t>3</w:t>
      </w:r>
      <w:r w:rsidRPr="00F453AC">
        <w:rPr>
          <w:rFonts w:ascii="Arial" w:hAnsi="Arial" w:cs="Times New Roman"/>
          <w:sz w:val="21"/>
          <w:u w:val="single"/>
        </w:rPr>
        <w:t>年相比的支出变化</w:t>
      </w:r>
    </w:p>
    <w:p w:rsidR="005A383E"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extent cx="5970905" cy="244983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0905" cy="244983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人事</w:t>
      </w:r>
      <w:r w:rsidR="009F2BBA" w:rsidRPr="003F5882">
        <w:rPr>
          <w:rFonts w:ascii="Arial" w:hAnsi="Arial" w:cs="Times New Roman" w:hint="eastAsia"/>
          <w:sz w:val="21"/>
        </w:rPr>
        <w:t>费用</w:t>
      </w:r>
      <w:r w:rsidRPr="003F5882">
        <w:rPr>
          <w:rFonts w:ascii="Arial" w:hAnsi="Arial" w:cs="Times New Roman"/>
          <w:sz w:val="21"/>
        </w:rPr>
        <w:t>主要包括基薪净额和在职或临时职位员工的</w:t>
      </w:r>
      <w:r w:rsidR="009F2BBA" w:rsidRPr="003F5882">
        <w:rPr>
          <w:rFonts w:ascii="Arial" w:hAnsi="Arial" w:cs="Times New Roman" w:hint="eastAsia"/>
          <w:sz w:val="21"/>
        </w:rPr>
        <w:t>工作地</w:t>
      </w:r>
      <w:r w:rsidRPr="003F5882">
        <w:rPr>
          <w:rFonts w:ascii="Arial" w:hAnsi="Arial" w:cs="Times New Roman"/>
          <w:sz w:val="21"/>
        </w:rPr>
        <w:t>点差价调整</w:t>
      </w:r>
      <w:r w:rsidR="009F2BBA" w:rsidRPr="003F5882">
        <w:rPr>
          <w:rFonts w:ascii="Arial" w:hAnsi="Arial" w:cs="Times New Roman" w:hint="eastAsia"/>
          <w:sz w:val="21"/>
        </w:rPr>
        <w:t>数</w:t>
      </w:r>
      <w:r w:rsidRPr="003F5882">
        <w:rPr>
          <w:rFonts w:ascii="Arial" w:hAnsi="Arial" w:cs="Times New Roman"/>
          <w:sz w:val="21"/>
        </w:rPr>
        <w:t>。这些组合在一起为1.453亿瑞郎，占2014年人事</w:t>
      </w:r>
      <w:r w:rsidR="009F2BBA" w:rsidRPr="003F5882">
        <w:rPr>
          <w:rFonts w:ascii="Arial" w:hAnsi="Arial" w:cs="Times New Roman" w:hint="eastAsia"/>
          <w:sz w:val="21"/>
        </w:rPr>
        <w:t>费用</w:t>
      </w:r>
      <w:r w:rsidRPr="003F5882">
        <w:rPr>
          <w:rFonts w:ascii="Arial" w:hAnsi="Arial" w:cs="Times New Roman"/>
          <w:sz w:val="21"/>
        </w:rPr>
        <w:t>的67.2%。</w:t>
      </w:r>
      <w:r w:rsidR="00821F3A" w:rsidRPr="003F5882">
        <w:rPr>
          <w:rFonts w:ascii="Arial" w:hAnsi="Arial" w:cs="Times New Roman"/>
          <w:sz w:val="21"/>
        </w:rPr>
        <w:t>人事</w:t>
      </w:r>
      <w:r w:rsidR="009F2BBA" w:rsidRPr="003F5882">
        <w:rPr>
          <w:rFonts w:ascii="Arial" w:hAnsi="Arial" w:cs="Times New Roman" w:hint="eastAsia"/>
          <w:sz w:val="21"/>
        </w:rPr>
        <w:t>费用</w:t>
      </w:r>
      <w:r w:rsidR="00821F3A" w:rsidRPr="003F5882">
        <w:rPr>
          <w:rFonts w:ascii="Arial" w:hAnsi="Arial" w:cs="Times New Roman"/>
          <w:sz w:val="21"/>
        </w:rPr>
        <w:t>的下一个</w:t>
      </w:r>
      <w:r w:rsidR="009F2BBA" w:rsidRPr="003F5882">
        <w:rPr>
          <w:rFonts w:ascii="Arial" w:hAnsi="Arial" w:cs="Times New Roman" w:hint="eastAsia"/>
          <w:sz w:val="21"/>
        </w:rPr>
        <w:t>最</w:t>
      </w:r>
      <w:r w:rsidR="00821F3A" w:rsidRPr="003F5882">
        <w:rPr>
          <w:rFonts w:ascii="Arial" w:hAnsi="Arial" w:cs="Times New Roman"/>
          <w:sz w:val="21"/>
        </w:rPr>
        <w:t>重要要素是本组织对联合国合办工作人员养恤基金</w:t>
      </w:r>
      <w:r w:rsidR="00F453AC" w:rsidRPr="003F5882">
        <w:rPr>
          <w:rFonts w:ascii="Arial" w:hAnsi="Arial" w:cs="Times New Roman"/>
          <w:sz w:val="21"/>
        </w:rPr>
        <w:t>（</w:t>
      </w:r>
      <w:r w:rsidR="00821F3A" w:rsidRPr="003F5882">
        <w:rPr>
          <w:rFonts w:ascii="Arial" w:hAnsi="Arial" w:cs="Times New Roman"/>
          <w:sz w:val="21"/>
        </w:rPr>
        <w:t>UNJSPF</w:t>
      </w:r>
      <w:r w:rsidR="00F453AC" w:rsidRPr="003F5882">
        <w:rPr>
          <w:rFonts w:ascii="Arial" w:hAnsi="Arial" w:cs="Times New Roman"/>
          <w:sz w:val="21"/>
        </w:rPr>
        <w:t>）</w:t>
      </w:r>
      <w:r w:rsidR="00821F3A" w:rsidRPr="003F5882">
        <w:rPr>
          <w:rFonts w:ascii="Arial" w:hAnsi="Arial" w:cs="Times New Roman"/>
          <w:sz w:val="21"/>
        </w:rPr>
        <w:t>缴纳的退休计划缴费，2014年此项总额为2,600</w:t>
      </w:r>
      <w:proofErr w:type="gramStart"/>
      <w:r w:rsidR="00821F3A" w:rsidRPr="003F5882">
        <w:rPr>
          <w:rFonts w:ascii="Arial" w:hAnsi="Arial" w:cs="Times New Roman"/>
          <w:sz w:val="21"/>
        </w:rPr>
        <w:t>万瑞</w:t>
      </w:r>
      <w:proofErr w:type="gramEnd"/>
      <w:r w:rsidR="00821F3A" w:rsidRPr="003F5882">
        <w:rPr>
          <w:rFonts w:ascii="Arial" w:hAnsi="Arial" w:cs="Times New Roman"/>
          <w:sz w:val="21"/>
        </w:rPr>
        <w:t>郎。</w:t>
      </w:r>
      <w:r w:rsidRPr="003F5882">
        <w:rPr>
          <w:rFonts w:ascii="Arial" w:hAnsi="Arial" w:cs="Times New Roman"/>
          <w:sz w:val="21"/>
        </w:rPr>
        <w:t>目前，WIPO向UNJSPF</w:t>
      </w:r>
      <w:r w:rsidR="00821F3A" w:rsidRPr="003F5882">
        <w:rPr>
          <w:rFonts w:ascii="Arial" w:hAnsi="Arial" w:cs="Times New Roman"/>
          <w:sz w:val="21"/>
        </w:rPr>
        <w:t>应缴</w:t>
      </w:r>
      <w:r w:rsidRPr="003F5882">
        <w:rPr>
          <w:rFonts w:ascii="Arial" w:hAnsi="Arial" w:cs="Times New Roman"/>
          <w:sz w:val="21"/>
        </w:rPr>
        <w:t>款占工作人员应计养恤金薪酬</w:t>
      </w:r>
      <w:r w:rsidR="009F2BBA" w:rsidRPr="003F5882">
        <w:rPr>
          <w:rFonts w:ascii="Arial" w:hAnsi="Arial" w:cs="Times New Roman" w:hint="eastAsia"/>
          <w:sz w:val="21"/>
        </w:rPr>
        <w:t>的</w:t>
      </w:r>
      <w:r w:rsidRPr="003F5882">
        <w:rPr>
          <w:rFonts w:ascii="Arial" w:hAnsi="Arial" w:cs="Times New Roman"/>
          <w:sz w:val="21"/>
        </w:rPr>
        <w:t>15.8%。1,630万瑞郎备抵金占工作人员总支出的7.5%。备抵金主要包括480万瑞郎抚养津贴、540万瑞郎教育补助金和300万瑞郎回籍假。2014年，本组织为在职工作人员缴纳月医疗保险费支出总计1,000万瑞郎。其他人事</w:t>
      </w:r>
      <w:r w:rsidR="009F2BBA" w:rsidRPr="003F5882">
        <w:rPr>
          <w:rFonts w:ascii="Arial" w:hAnsi="Arial" w:cs="Times New Roman" w:hint="eastAsia"/>
          <w:sz w:val="21"/>
        </w:rPr>
        <w:t>费用</w:t>
      </w:r>
      <w:r w:rsidRPr="003F5882">
        <w:rPr>
          <w:rFonts w:ascii="Arial" w:hAnsi="Arial" w:cs="Times New Roman"/>
          <w:sz w:val="21"/>
        </w:rPr>
        <w:t>为510万瑞郎，</w:t>
      </w:r>
      <w:r w:rsidR="00E93C63" w:rsidRPr="003F5882">
        <w:rPr>
          <w:rFonts w:ascii="Arial" w:hAnsi="Arial" w:cs="Times New Roman" w:hint="eastAsia"/>
          <w:sz w:val="21"/>
        </w:rPr>
        <w:t>其中</w:t>
      </w:r>
      <w:r w:rsidRPr="003F5882">
        <w:rPr>
          <w:rFonts w:ascii="Arial" w:hAnsi="Arial" w:cs="Times New Roman"/>
          <w:sz w:val="21"/>
        </w:rPr>
        <w:t>包括其他员工保险缴款和终止合同。</w:t>
      </w:r>
    </w:p>
    <w:p w:rsidR="005A383E" w:rsidRPr="00F453AC" w:rsidRDefault="005A383E"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lastRenderedPageBreak/>
        <w:t>2014年IPSAS制的人事</w:t>
      </w:r>
      <w:r w:rsidR="00E93C63" w:rsidRPr="00F453AC">
        <w:rPr>
          <w:rFonts w:ascii="Arial" w:hAnsi="Arial" w:cs="Times New Roman" w:hint="eastAsia"/>
          <w:sz w:val="21"/>
          <w:u w:val="single"/>
        </w:rPr>
        <w:t>费用</w:t>
      </w:r>
      <w:r w:rsidRPr="00F453AC">
        <w:rPr>
          <w:rFonts w:ascii="Arial" w:hAnsi="Arial" w:cs="Times New Roman"/>
          <w:sz w:val="21"/>
          <w:u w:val="single"/>
        </w:rPr>
        <w:t>构成</w:t>
      </w:r>
    </w:p>
    <w:p w:rsidR="005A383E" w:rsidRPr="005273FB" w:rsidRDefault="00F453AC" w:rsidP="005273FB">
      <w:pPr>
        <w:keepNext/>
        <w:spacing w:afterLines="50" w:after="120" w:line="340" w:lineRule="atLeast"/>
        <w:jc w:val="center"/>
        <w:rPr>
          <w:rFonts w:ascii="Arial" w:eastAsia="KaiTi" w:hAnsi="Arial" w:cs="Times New Roman"/>
          <w:i/>
          <w:sz w:val="21"/>
        </w:rPr>
      </w:pPr>
      <w:r w:rsidRPr="005273FB">
        <w:rPr>
          <w:rFonts w:ascii="Arial" w:eastAsia="KaiTi" w:hAnsi="Arial" w:cs="Times New Roman" w:hint="eastAsia"/>
          <w:i/>
          <w:sz w:val="21"/>
        </w:rPr>
        <w:t>（</w:t>
      </w:r>
      <w:r w:rsidR="005A383E" w:rsidRPr="005273FB">
        <w:rPr>
          <w:rFonts w:ascii="Arial" w:eastAsia="KaiTi" w:hAnsi="Arial" w:cs="Times New Roman"/>
          <w:i/>
          <w:sz w:val="21"/>
        </w:rPr>
        <w:t>单位：百</w:t>
      </w:r>
      <w:proofErr w:type="gramStart"/>
      <w:r w:rsidR="005A383E" w:rsidRPr="005273FB">
        <w:rPr>
          <w:rFonts w:ascii="Arial" w:eastAsia="KaiTi" w:hAnsi="Arial" w:cs="Times New Roman"/>
          <w:i/>
          <w:sz w:val="21"/>
        </w:rPr>
        <w:t>万瑞</w:t>
      </w:r>
      <w:proofErr w:type="gramEnd"/>
      <w:r w:rsidR="005A383E" w:rsidRPr="005273FB">
        <w:rPr>
          <w:rFonts w:ascii="Arial" w:eastAsia="KaiTi" w:hAnsi="Arial" w:cs="Times New Roman"/>
          <w:i/>
          <w:sz w:val="21"/>
        </w:rPr>
        <w:t>郎</w:t>
      </w:r>
      <w:r w:rsidRPr="005273FB">
        <w:rPr>
          <w:rFonts w:ascii="Arial" w:eastAsia="KaiTi" w:hAnsi="Arial" w:cs="Times New Roman" w:hint="eastAsia"/>
          <w:i/>
          <w:sz w:val="21"/>
        </w:rPr>
        <w:t>）</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4305935" cy="285940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5935" cy="285940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离职后雇员福利是本组织缴纳离职后健康保险</w:t>
      </w:r>
      <w:r w:rsidR="00F453AC" w:rsidRPr="003F5882">
        <w:rPr>
          <w:rFonts w:ascii="Arial" w:hAnsi="Arial" w:cs="Times New Roman"/>
          <w:sz w:val="21"/>
        </w:rPr>
        <w:t>（</w:t>
      </w:r>
      <w:r w:rsidRPr="003F5882">
        <w:rPr>
          <w:rFonts w:ascii="Arial" w:hAnsi="Arial" w:cs="Times New Roman"/>
          <w:sz w:val="21"/>
        </w:rPr>
        <w:t>ASHI</w:t>
      </w:r>
      <w:r w:rsidR="00F453AC" w:rsidRPr="003F5882">
        <w:rPr>
          <w:rFonts w:ascii="Arial" w:hAnsi="Arial" w:cs="Times New Roman"/>
          <w:sz w:val="21"/>
        </w:rPr>
        <w:t>）</w:t>
      </w:r>
      <w:r w:rsidRPr="003F5882">
        <w:rPr>
          <w:rFonts w:ascii="Arial" w:hAnsi="Arial" w:cs="Times New Roman"/>
          <w:sz w:val="21"/>
        </w:rPr>
        <w:t>、回国补助金和差旅费以及累计年假的费用,为1,370</w:t>
      </w:r>
      <w:proofErr w:type="gramStart"/>
      <w:r w:rsidRPr="003F5882">
        <w:rPr>
          <w:rFonts w:ascii="Arial" w:hAnsi="Arial" w:cs="Times New Roman"/>
          <w:sz w:val="21"/>
        </w:rPr>
        <w:t>万瑞</w:t>
      </w:r>
      <w:proofErr w:type="gramEnd"/>
      <w:r w:rsidRPr="003F5882">
        <w:rPr>
          <w:rFonts w:ascii="Arial" w:hAnsi="Arial" w:cs="Times New Roman"/>
          <w:sz w:val="21"/>
        </w:rPr>
        <w:t>郎。2014年支出等于这些福利的实际现金支出，加上与2013年12月31日相比总负债金额的变动。</w:t>
      </w:r>
    </w:p>
    <w:p w:rsidR="005A383E" w:rsidRPr="00F453AC" w:rsidRDefault="005A383E" w:rsidP="003F5882">
      <w:pPr>
        <w:keepNext/>
        <w:spacing w:afterLines="50" w:after="120" w:line="340" w:lineRule="atLeast"/>
        <w:jc w:val="center"/>
        <w:rPr>
          <w:rFonts w:ascii="Arial" w:eastAsia="SimSun" w:hAnsi="Arial" w:cs="Times New Roman"/>
          <w:sz w:val="21"/>
          <w:szCs w:val="22"/>
        </w:rPr>
      </w:pPr>
      <w:r w:rsidRPr="003F5882">
        <w:rPr>
          <w:rFonts w:ascii="Arial" w:hAnsi="Arial" w:cs="Times New Roman"/>
          <w:sz w:val="21"/>
          <w:u w:val="single"/>
        </w:rPr>
        <w:t>2014年离职后雇员福利支出</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821045" cy="1849120"/>
            <wp:effectExtent l="0" t="0" r="8255"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1045" cy="184912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总人事</w:t>
      </w:r>
      <w:r w:rsidR="00060D99" w:rsidRPr="003F5882">
        <w:rPr>
          <w:rFonts w:ascii="Arial" w:hAnsi="Arial" w:cs="Times New Roman" w:hint="eastAsia"/>
          <w:sz w:val="21"/>
        </w:rPr>
        <w:t>费用</w:t>
      </w:r>
      <w:r w:rsidRPr="003F5882">
        <w:rPr>
          <w:rFonts w:ascii="Arial" w:hAnsi="Arial" w:cs="Times New Roman"/>
          <w:sz w:val="21"/>
        </w:rPr>
        <w:t>为2.164亿瑞郎，与2013年2.14</w:t>
      </w:r>
      <w:r w:rsidR="00060D99" w:rsidRPr="003F5882">
        <w:rPr>
          <w:rFonts w:ascii="Arial" w:hAnsi="Arial" w:cs="Times New Roman" w:hint="eastAsia"/>
          <w:sz w:val="21"/>
        </w:rPr>
        <w:t>0</w:t>
      </w:r>
      <w:r w:rsidRPr="003F5882">
        <w:rPr>
          <w:rFonts w:ascii="Arial" w:hAnsi="Arial" w:cs="Times New Roman"/>
          <w:sz w:val="21"/>
        </w:rPr>
        <w:t>亿总人事</w:t>
      </w:r>
      <w:r w:rsidR="00060D99" w:rsidRPr="003F5882">
        <w:rPr>
          <w:rFonts w:ascii="Arial" w:hAnsi="Arial" w:cs="Times New Roman" w:hint="eastAsia"/>
          <w:sz w:val="21"/>
        </w:rPr>
        <w:t>费用</w:t>
      </w:r>
      <w:r w:rsidRPr="003F5882">
        <w:rPr>
          <w:rFonts w:ascii="Arial" w:hAnsi="Arial" w:cs="Times New Roman"/>
          <w:sz w:val="21"/>
        </w:rPr>
        <w:t>相比增幅为1.1%。下表显示了人事</w:t>
      </w:r>
      <w:r w:rsidR="00060D99" w:rsidRPr="003F5882">
        <w:rPr>
          <w:rFonts w:ascii="Arial" w:hAnsi="Arial" w:cs="Times New Roman" w:hint="eastAsia"/>
          <w:sz w:val="21"/>
        </w:rPr>
        <w:t>费用的分类详情</w:t>
      </w:r>
      <w:r w:rsidRPr="003F5882">
        <w:rPr>
          <w:rFonts w:ascii="Arial" w:hAnsi="Arial" w:cs="Times New Roman"/>
          <w:sz w:val="21"/>
        </w:rPr>
        <w:t>及</w:t>
      </w:r>
      <w:r w:rsidR="00060D99" w:rsidRPr="003F5882">
        <w:rPr>
          <w:rFonts w:ascii="Arial" w:hAnsi="Arial" w:cs="Times New Roman"/>
          <w:sz w:val="21"/>
        </w:rPr>
        <w:t>与2013年相比</w:t>
      </w:r>
      <w:r w:rsidR="00060D99" w:rsidRPr="003F5882">
        <w:rPr>
          <w:rFonts w:ascii="Arial" w:hAnsi="Arial" w:cs="Times New Roman" w:hint="eastAsia"/>
          <w:sz w:val="21"/>
        </w:rPr>
        <w:t>的</w:t>
      </w:r>
      <w:r w:rsidRPr="003F5882">
        <w:rPr>
          <w:rFonts w:ascii="Arial" w:hAnsi="Arial" w:cs="Times New Roman"/>
          <w:sz w:val="21"/>
        </w:rPr>
        <w:t>变化</w:t>
      </w:r>
      <w:r w:rsidR="00060D99"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2013年和2014年人事</w:t>
      </w:r>
      <w:r w:rsidR="00380F24" w:rsidRPr="003F5882">
        <w:rPr>
          <w:rFonts w:ascii="Arial" w:hAnsi="Arial" w:cs="Times New Roman" w:hint="eastAsia"/>
          <w:sz w:val="21"/>
          <w:u w:val="single"/>
        </w:rPr>
        <w:t>费用</w:t>
      </w:r>
      <w:r w:rsidRPr="003F5882">
        <w:rPr>
          <w:rFonts w:ascii="Arial" w:hAnsi="Arial" w:cs="Times New Roman"/>
          <w:sz w:val="21"/>
          <w:u w:val="single"/>
        </w:rPr>
        <w:t>详情</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793740" cy="3712210"/>
            <wp:effectExtent l="0" t="0" r="0" b="254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93740" cy="3712210"/>
                    </a:xfrm>
                    <a:prstGeom prst="rect">
                      <a:avLst/>
                    </a:prstGeom>
                    <a:noFill/>
                    <a:ln>
                      <a:noFill/>
                    </a:ln>
                  </pic:spPr>
                </pic:pic>
              </a:graphicData>
            </a:graphic>
          </wp:inline>
        </w:drawing>
      </w:r>
    </w:p>
    <w:p w:rsidR="005A383E" w:rsidRPr="003F5882" w:rsidRDefault="005A383E" w:rsidP="00F04843">
      <w:pPr>
        <w:numPr>
          <w:ilvl w:val="0"/>
          <w:numId w:val="1"/>
        </w:numPr>
        <w:tabs>
          <w:tab w:val="clear" w:pos="567"/>
        </w:tabs>
        <w:overflowPunct w:val="0"/>
        <w:spacing w:afterLines="50" w:after="120" w:line="340" w:lineRule="atLeast"/>
        <w:jc w:val="both"/>
        <w:rPr>
          <w:rFonts w:ascii="Arial" w:eastAsia="KaiTi" w:hAnsi="Arial" w:cs="Times New Roman"/>
          <w:sz w:val="21"/>
          <w:szCs w:val="22"/>
        </w:rPr>
      </w:pPr>
      <w:r w:rsidRPr="003F5882">
        <w:rPr>
          <w:rFonts w:ascii="Arial" w:hAnsi="Arial" w:cs="Times New Roman"/>
          <w:sz w:val="21"/>
        </w:rPr>
        <w:t>虽然与2013年相比</w:t>
      </w:r>
      <w:r w:rsidR="002E1CCE" w:rsidRPr="003F5882">
        <w:rPr>
          <w:rFonts w:ascii="Arial" w:hAnsi="Arial" w:cs="Times New Roman" w:hint="eastAsia"/>
          <w:sz w:val="21"/>
        </w:rPr>
        <w:t>，</w:t>
      </w:r>
      <w:r w:rsidRPr="003F5882">
        <w:rPr>
          <w:rFonts w:ascii="Arial" w:hAnsi="Arial" w:cs="Times New Roman"/>
          <w:sz w:val="21"/>
        </w:rPr>
        <w:t>在职</w:t>
      </w:r>
      <w:r w:rsidR="007606A8" w:rsidRPr="003F5882">
        <w:rPr>
          <w:rFonts w:ascii="Arial" w:hAnsi="Arial" w:cs="Times New Roman"/>
          <w:sz w:val="21"/>
        </w:rPr>
        <w:t>工作人员</w:t>
      </w:r>
      <w:r w:rsidRPr="003F5882">
        <w:rPr>
          <w:rFonts w:ascii="Arial" w:hAnsi="Arial" w:cs="Times New Roman"/>
          <w:sz w:val="21"/>
        </w:rPr>
        <w:t>支出上涨了690</w:t>
      </w:r>
      <w:proofErr w:type="gramStart"/>
      <w:r w:rsidRPr="003F5882">
        <w:rPr>
          <w:rFonts w:ascii="Arial" w:hAnsi="Arial" w:cs="Times New Roman"/>
          <w:sz w:val="21"/>
        </w:rPr>
        <w:t>万瑞</w:t>
      </w:r>
      <w:proofErr w:type="gramEnd"/>
      <w:r w:rsidRPr="003F5882">
        <w:rPr>
          <w:rFonts w:ascii="Arial" w:hAnsi="Arial" w:cs="Times New Roman"/>
          <w:sz w:val="21"/>
        </w:rPr>
        <w:t>郎</w:t>
      </w:r>
      <w:r w:rsidR="002E1CCE" w:rsidRPr="003F5882">
        <w:rPr>
          <w:rFonts w:ascii="Arial" w:hAnsi="Arial" w:cs="Times New Roman" w:hint="eastAsia"/>
          <w:sz w:val="21"/>
        </w:rPr>
        <w:t>，</w:t>
      </w:r>
      <w:r w:rsidRPr="003F5882">
        <w:rPr>
          <w:rFonts w:ascii="Arial" w:hAnsi="Arial" w:cs="Times New Roman"/>
          <w:sz w:val="21"/>
        </w:rPr>
        <w:t>但是临时职位</w:t>
      </w:r>
      <w:r w:rsidR="007606A8" w:rsidRPr="003F5882">
        <w:rPr>
          <w:rFonts w:ascii="Arial" w:hAnsi="Arial" w:cs="Times New Roman"/>
          <w:sz w:val="21"/>
        </w:rPr>
        <w:t>工作人员</w:t>
      </w:r>
      <w:r w:rsidRPr="003F5882">
        <w:rPr>
          <w:rFonts w:ascii="Arial" w:hAnsi="Arial" w:cs="Times New Roman"/>
          <w:sz w:val="21"/>
        </w:rPr>
        <w:t>支出下降了450</w:t>
      </w:r>
      <w:proofErr w:type="gramStart"/>
      <w:r w:rsidRPr="003F5882">
        <w:rPr>
          <w:rFonts w:ascii="Arial" w:hAnsi="Arial" w:cs="Times New Roman"/>
          <w:sz w:val="21"/>
        </w:rPr>
        <w:t>万瑞</w:t>
      </w:r>
      <w:proofErr w:type="gramEnd"/>
      <w:r w:rsidRPr="003F5882">
        <w:rPr>
          <w:rFonts w:ascii="Arial" w:hAnsi="Arial" w:cs="Times New Roman"/>
          <w:sz w:val="21"/>
        </w:rPr>
        <w:t>郎。主要原因是为规范长期临时职位雇员而将其从临时雇员调整为在职雇员。离职后雇员福利支出增加210万瑞郎，这与离职后雇员福利负债的整体变化有关，2013年与2014年之间的变</w:t>
      </w:r>
      <w:r w:rsidR="002E1CCE" w:rsidRPr="003F5882">
        <w:rPr>
          <w:rFonts w:ascii="Arial" w:hAnsi="Arial" w:cs="Times New Roman" w:hint="eastAsia"/>
          <w:sz w:val="21"/>
        </w:rPr>
        <w:t>动</w:t>
      </w:r>
      <w:r w:rsidRPr="003F5882">
        <w:rPr>
          <w:rFonts w:ascii="Arial" w:hAnsi="Arial" w:cs="Times New Roman"/>
          <w:sz w:val="21"/>
        </w:rPr>
        <w:t>要大于2012年与2013年之间的变动。上表中单独列报的其他人事费用为在职雇员和临时职位雇员共有的费用</w:t>
      </w:r>
      <w:r w:rsidR="00F453AC" w:rsidRPr="003F5882">
        <w:rPr>
          <w:rFonts w:ascii="Arial" w:hAnsi="Arial" w:cs="Times New Roman"/>
          <w:sz w:val="21"/>
        </w:rPr>
        <w:t>（</w:t>
      </w:r>
      <w:r w:rsidRPr="003F5882">
        <w:rPr>
          <w:rFonts w:ascii="Arial" w:hAnsi="Arial" w:cs="Times New Roman"/>
          <w:sz w:val="21"/>
        </w:rPr>
        <w:t>专业的意外险、关闭的养恤基金和诉讼费用</w:t>
      </w:r>
      <w:r w:rsidR="00F453AC" w:rsidRPr="003F5882">
        <w:rPr>
          <w:rFonts w:ascii="Arial" w:hAnsi="Arial" w:cs="Times New Roman"/>
          <w:sz w:val="21"/>
        </w:rPr>
        <w:t>）</w:t>
      </w:r>
      <w:r w:rsidRPr="003F5882">
        <w:rPr>
          <w:rFonts w:ascii="Arial" w:hAnsi="Arial" w:cs="Times New Roman"/>
          <w:sz w:val="21"/>
        </w:rPr>
        <w:t>。</w:t>
      </w:r>
    </w:p>
    <w:p w:rsidR="005A383E" w:rsidRPr="003F5882" w:rsidRDefault="005A383E" w:rsidP="00F04843">
      <w:pPr>
        <w:numPr>
          <w:ilvl w:val="0"/>
          <w:numId w:val="1"/>
        </w:numPr>
        <w:tabs>
          <w:tab w:val="clear" w:pos="567"/>
        </w:tabs>
        <w:overflowPunct w:val="0"/>
        <w:spacing w:afterLines="50" w:after="120" w:line="340" w:lineRule="atLeast"/>
        <w:jc w:val="both"/>
        <w:rPr>
          <w:rFonts w:ascii="Arial" w:eastAsia="KaiTi" w:hAnsi="Arial" w:cs="Times New Roman"/>
          <w:sz w:val="21"/>
          <w:szCs w:val="22"/>
        </w:rPr>
      </w:pPr>
      <w:r w:rsidRPr="003F5882">
        <w:rPr>
          <w:rFonts w:ascii="Arial" w:hAnsi="Arial" w:cs="Times New Roman"/>
          <w:sz w:val="21"/>
        </w:rPr>
        <w:t>在2014年的财务报表中，实习生费用不再归入人事</w:t>
      </w:r>
      <w:r w:rsidR="00C60132" w:rsidRPr="003F5882">
        <w:rPr>
          <w:rFonts w:ascii="Arial" w:hAnsi="Arial" w:cs="Times New Roman" w:hint="eastAsia"/>
          <w:sz w:val="21"/>
        </w:rPr>
        <w:t>费用</w:t>
      </w:r>
      <w:r w:rsidRPr="003F5882">
        <w:rPr>
          <w:rFonts w:ascii="Arial" w:hAnsi="Arial" w:cs="Times New Roman"/>
          <w:sz w:val="21"/>
        </w:rPr>
        <w:t>。这样可以更好地体现这些人员与本组织关系的性质，因为他们不在《工作人员条例与细则》涵盖范围之内。</w:t>
      </w:r>
      <w:r w:rsidR="00C60132" w:rsidRPr="003F5882">
        <w:rPr>
          <w:rFonts w:ascii="Arial" w:hAnsi="Arial" w:cs="Times New Roman"/>
          <w:sz w:val="21"/>
        </w:rPr>
        <w:t>实习生</w:t>
      </w:r>
      <w:r w:rsidR="00C60132" w:rsidRPr="003F5882">
        <w:rPr>
          <w:rFonts w:ascii="Arial" w:hAnsi="Arial" w:cs="Times New Roman" w:hint="eastAsia"/>
          <w:sz w:val="21"/>
        </w:rPr>
        <w:t>费用现在归入</w:t>
      </w:r>
      <w:r w:rsidRPr="003F5882">
        <w:rPr>
          <w:rFonts w:ascii="Arial" w:hAnsi="Arial" w:cs="Times New Roman"/>
          <w:sz w:val="21"/>
        </w:rPr>
        <w:t>之前</w:t>
      </w:r>
      <w:r w:rsidR="00C60132" w:rsidRPr="003F5882">
        <w:rPr>
          <w:rFonts w:ascii="Arial" w:hAnsi="Arial" w:cs="Times New Roman" w:hint="eastAsia"/>
          <w:sz w:val="21"/>
        </w:rPr>
        <w:t>包含在</w:t>
      </w:r>
      <w:r w:rsidRPr="003F5882">
        <w:rPr>
          <w:rFonts w:ascii="Arial" w:hAnsi="Arial" w:cs="Times New Roman"/>
          <w:sz w:val="21"/>
        </w:rPr>
        <w:t>差旅和研究金</w:t>
      </w:r>
      <w:r w:rsidR="00227EC4" w:rsidRPr="003F5882">
        <w:rPr>
          <w:rFonts w:ascii="Arial" w:hAnsi="Arial" w:cs="Times New Roman" w:hint="eastAsia"/>
          <w:sz w:val="21"/>
        </w:rPr>
        <w:t>支出项</w:t>
      </w:r>
      <w:r w:rsidRPr="003F5882">
        <w:rPr>
          <w:rFonts w:ascii="Arial" w:hAnsi="Arial" w:cs="Times New Roman"/>
          <w:sz w:val="21"/>
        </w:rPr>
        <w:t>的WIPO研究金</w:t>
      </w:r>
      <w:r w:rsidR="00227EC4" w:rsidRPr="003F5882">
        <w:rPr>
          <w:rFonts w:ascii="Arial" w:hAnsi="Arial" w:cs="Times New Roman" w:hint="eastAsia"/>
          <w:sz w:val="21"/>
        </w:rPr>
        <w:t>之中</w:t>
      </w:r>
      <w:r w:rsidRPr="003F5882">
        <w:rPr>
          <w:rFonts w:ascii="Arial" w:hAnsi="Arial" w:cs="Times New Roman"/>
          <w:sz w:val="21"/>
        </w:rPr>
        <w:t>。WIPO研究金旨在为个人提供强化知识和专业技能的经历。这些费用与课程研究金分别列示，课程研究金是派遣</w:t>
      </w:r>
      <w:r w:rsidR="00227EC4" w:rsidRPr="003F5882">
        <w:rPr>
          <w:rFonts w:ascii="Arial" w:hAnsi="Arial" w:cs="Times New Roman" w:hint="eastAsia"/>
          <w:sz w:val="21"/>
        </w:rPr>
        <w:t>见习员</w:t>
      </w:r>
      <w:r w:rsidR="00F453AC" w:rsidRPr="003F5882">
        <w:rPr>
          <w:rFonts w:ascii="Arial" w:hAnsi="Arial" w:cs="Times New Roman"/>
          <w:sz w:val="21"/>
        </w:rPr>
        <w:t>（</w:t>
      </w:r>
      <w:r w:rsidRPr="003F5882">
        <w:rPr>
          <w:rFonts w:ascii="Arial" w:hAnsi="Arial" w:cs="Times New Roman"/>
          <w:sz w:val="21"/>
        </w:rPr>
        <w:t>非</w:t>
      </w:r>
      <w:r w:rsidR="00227EC4" w:rsidRPr="003F5882">
        <w:rPr>
          <w:rFonts w:ascii="Arial" w:hAnsi="Arial" w:cs="Times New Roman" w:hint="eastAsia"/>
          <w:sz w:val="21"/>
        </w:rPr>
        <w:t>雇员</w:t>
      </w:r>
      <w:r w:rsidR="00F453AC" w:rsidRPr="003F5882">
        <w:rPr>
          <w:rFonts w:ascii="Arial" w:hAnsi="Arial" w:cs="Times New Roman"/>
          <w:sz w:val="21"/>
        </w:rPr>
        <w:t>）</w:t>
      </w:r>
      <w:r w:rsidRPr="003F5882">
        <w:rPr>
          <w:rFonts w:ascii="Arial" w:hAnsi="Arial" w:cs="Times New Roman"/>
          <w:sz w:val="21"/>
        </w:rPr>
        <w:t>参加课程和研讨</w:t>
      </w:r>
      <w:r w:rsidR="00227EC4" w:rsidRPr="003F5882">
        <w:rPr>
          <w:rFonts w:ascii="Arial" w:hAnsi="Arial" w:cs="Times New Roman" w:hint="eastAsia"/>
          <w:sz w:val="21"/>
        </w:rPr>
        <w:t>会</w:t>
      </w:r>
      <w:r w:rsidRPr="003F5882">
        <w:rPr>
          <w:rFonts w:ascii="Arial" w:hAnsi="Arial" w:cs="Times New Roman"/>
          <w:sz w:val="21"/>
        </w:rPr>
        <w:t>产生的费用，</w:t>
      </w:r>
      <w:r w:rsidR="00227EC4" w:rsidRPr="003F5882">
        <w:rPr>
          <w:rFonts w:ascii="Arial" w:hAnsi="Arial" w:cs="Times New Roman" w:hint="eastAsia"/>
          <w:sz w:val="21"/>
        </w:rPr>
        <w:t>归</w:t>
      </w:r>
      <w:r w:rsidRPr="003F5882">
        <w:rPr>
          <w:rFonts w:ascii="Arial" w:hAnsi="Arial" w:cs="Times New Roman"/>
          <w:sz w:val="21"/>
        </w:rPr>
        <w:t>入差旅和研究金</w:t>
      </w:r>
      <w:r w:rsidR="00227EC4" w:rsidRPr="003F5882">
        <w:rPr>
          <w:rFonts w:ascii="Arial" w:hAnsi="Arial" w:cs="Times New Roman" w:hint="eastAsia"/>
          <w:sz w:val="21"/>
        </w:rPr>
        <w:t>支出项</w:t>
      </w:r>
      <w:r w:rsidRPr="003F5882">
        <w:rPr>
          <w:rFonts w:ascii="Arial" w:hAnsi="Arial" w:cs="Times New Roman"/>
          <w:sz w:val="21"/>
        </w:rPr>
        <w:t>。与2013年相比，WIPO研究金费用增加了80万瑞郎，这是因为本组织增加了与各国知识产权局的交换项目的预算以及仲裁与调节中心的研究金计划。</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2014年的差旅和研究金总开支为1,540</w:t>
      </w:r>
      <w:proofErr w:type="gramStart"/>
      <w:r w:rsidRPr="003F5882">
        <w:rPr>
          <w:rFonts w:ascii="Arial" w:hAnsi="Arial" w:cs="Times New Roman"/>
          <w:sz w:val="21"/>
        </w:rPr>
        <w:t>万瑞</w:t>
      </w:r>
      <w:proofErr w:type="gramEnd"/>
      <w:r w:rsidRPr="003F5882">
        <w:rPr>
          <w:rFonts w:ascii="Arial" w:hAnsi="Arial" w:cs="Times New Roman"/>
          <w:sz w:val="21"/>
        </w:rPr>
        <w:t>郎，占总支出的4.6%。这些支出比2013年的1,920万瑞郎下降了19.8%。差旅费用包括760</w:t>
      </w:r>
      <w:proofErr w:type="gramStart"/>
      <w:r w:rsidRPr="003F5882">
        <w:rPr>
          <w:rFonts w:ascii="Arial" w:hAnsi="Arial" w:cs="Times New Roman"/>
          <w:sz w:val="21"/>
        </w:rPr>
        <w:t>万瑞</w:t>
      </w:r>
      <w:proofErr w:type="gramEnd"/>
      <w:r w:rsidRPr="003F5882">
        <w:rPr>
          <w:rFonts w:ascii="Arial" w:hAnsi="Arial" w:cs="Times New Roman"/>
          <w:sz w:val="21"/>
        </w:rPr>
        <w:t>郎的第三方差旅费用</w:t>
      </w:r>
      <w:r w:rsidR="00F453AC" w:rsidRPr="003F5882">
        <w:rPr>
          <w:rFonts w:ascii="Arial" w:hAnsi="Arial" w:cs="Times New Roman"/>
          <w:sz w:val="21"/>
        </w:rPr>
        <w:t>（</w:t>
      </w:r>
      <w:r w:rsidRPr="003F5882">
        <w:rPr>
          <w:rFonts w:ascii="Arial" w:hAnsi="Arial" w:cs="Times New Roman"/>
          <w:sz w:val="21"/>
        </w:rPr>
        <w:t>参会人和讲课人开支</w:t>
      </w:r>
      <w:r w:rsidR="00F453AC" w:rsidRPr="003F5882">
        <w:rPr>
          <w:rFonts w:ascii="Arial" w:hAnsi="Arial" w:cs="Times New Roman"/>
          <w:sz w:val="21"/>
        </w:rPr>
        <w:t>）</w:t>
      </w:r>
      <w:r w:rsidRPr="003F5882">
        <w:rPr>
          <w:rFonts w:ascii="Arial" w:hAnsi="Arial" w:cs="Times New Roman"/>
          <w:sz w:val="21"/>
        </w:rPr>
        <w:t>以及570</w:t>
      </w:r>
      <w:proofErr w:type="gramStart"/>
      <w:r w:rsidRPr="003F5882">
        <w:rPr>
          <w:rFonts w:ascii="Arial" w:hAnsi="Arial" w:cs="Times New Roman"/>
          <w:sz w:val="21"/>
        </w:rPr>
        <w:t>万瑞</w:t>
      </w:r>
      <w:proofErr w:type="gramEnd"/>
      <w:r w:rsidRPr="003F5882">
        <w:rPr>
          <w:rFonts w:ascii="Arial" w:hAnsi="Arial" w:cs="Times New Roman"/>
          <w:sz w:val="21"/>
        </w:rPr>
        <w:t>郎的工作人员和顾问团费用。差旅费用比2013年下降了350万瑞郎，基本与该费用领域中削减的预算相符。2013年在马拉喀什举行了一场重要的会议</w:t>
      </w:r>
      <w:r w:rsidR="00F453AC" w:rsidRPr="003F5882">
        <w:rPr>
          <w:rFonts w:ascii="Arial" w:hAnsi="Arial" w:cs="Times New Roman"/>
          <w:sz w:val="21"/>
        </w:rPr>
        <w:t>（</w:t>
      </w:r>
      <w:r w:rsidRPr="003F5882">
        <w:rPr>
          <w:rFonts w:ascii="Arial" w:hAnsi="Arial" w:cs="Times New Roman"/>
          <w:sz w:val="21"/>
        </w:rPr>
        <w:t>关于缔结一项为视力障碍者和印刷品阅读障碍者获</w:t>
      </w:r>
      <w:r w:rsidR="005A3711" w:rsidRPr="003F5882">
        <w:rPr>
          <w:rFonts w:ascii="Arial" w:hAnsi="Arial" w:cs="Times New Roman" w:hint="eastAsia"/>
          <w:sz w:val="21"/>
        </w:rPr>
        <w:t>得</w:t>
      </w:r>
      <w:r w:rsidRPr="003F5882">
        <w:rPr>
          <w:rFonts w:ascii="Arial" w:hAnsi="Arial" w:cs="Times New Roman"/>
          <w:sz w:val="21"/>
        </w:rPr>
        <w:t>已</w:t>
      </w:r>
      <w:r w:rsidR="005A3711" w:rsidRPr="003F5882">
        <w:rPr>
          <w:rFonts w:ascii="Arial" w:hAnsi="Arial" w:cs="Times New Roman" w:hint="eastAsia"/>
          <w:sz w:val="21"/>
        </w:rPr>
        <w:t>出版</w:t>
      </w:r>
      <w:r w:rsidRPr="003F5882">
        <w:rPr>
          <w:rFonts w:ascii="Arial" w:hAnsi="Arial" w:cs="Times New Roman"/>
          <w:sz w:val="21"/>
        </w:rPr>
        <w:t>作品提供便利的条约的外交会议</w:t>
      </w:r>
      <w:r w:rsidR="00F453AC" w:rsidRPr="003F5882">
        <w:rPr>
          <w:rFonts w:ascii="Arial" w:hAnsi="Arial" w:cs="Times New Roman"/>
          <w:sz w:val="21"/>
        </w:rPr>
        <w:t>）</w:t>
      </w:r>
      <w:r w:rsidRPr="003F5882">
        <w:rPr>
          <w:rFonts w:ascii="Arial" w:hAnsi="Arial" w:cs="Times New Roman"/>
          <w:sz w:val="21"/>
        </w:rPr>
        <w:t>。2014年投</w:t>
      </w:r>
      <w:r w:rsidR="005A3711" w:rsidRPr="003F5882">
        <w:rPr>
          <w:rFonts w:ascii="Arial" w:hAnsi="Arial" w:cs="Times New Roman" w:hint="eastAsia"/>
          <w:sz w:val="21"/>
        </w:rPr>
        <w:t>入使用</w:t>
      </w:r>
      <w:r w:rsidRPr="003F5882">
        <w:rPr>
          <w:rFonts w:ascii="Arial" w:hAnsi="Arial" w:cs="Times New Roman"/>
          <w:sz w:val="21"/>
        </w:rPr>
        <w:t>的</w:t>
      </w:r>
      <w:r w:rsidR="007606A8" w:rsidRPr="003F5882">
        <w:rPr>
          <w:rFonts w:ascii="Arial" w:hAnsi="Arial" w:cs="Times New Roman"/>
          <w:sz w:val="21"/>
        </w:rPr>
        <w:t>新的</w:t>
      </w:r>
      <w:r w:rsidRPr="003F5882">
        <w:rPr>
          <w:rFonts w:ascii="Arial" w:hAnsi="Arial" w:cs="Times New Roman"/>
          <w:sz w:val="21"/>
        </w:rPr>
        <w:t>在线旅行预订工具</w:t>
      </w:r>
      <w:r w:rsidR="005F55CA" w:rsidRPr="003F5882">
        <w:rPr>
          <w:rFonts w:ascii="Arial" w:hAnsi="Arial" w:cs="Times New Roman" w:hint="eastAsia"/>
          <w:sz w:val="21"/>
        </w:rPr>
        <w:t>也将</w:t>
      </w:r>
      <w:r w:rsidRPr="003F5882">
        <w:rPr>
          <w:rFonts w:ascii="Arial" w:hAnsi="Arial" w:cs="Times New Roman"/>
          <w:sz w:val="21"/>
        </w:rPr>
        <w:t>降低本组织的差旅费用。与上一年度的240</w:t>
      </w:r>
      <w:proofErr w:type="gramStart"/>
      <w:r w:rsidRPr="003F5882">
        <w:rPr>
          <w:rFonts w:ascii="Arial" w:hAnsi="Arial" w:cs="Times New Roman"/>
          <w:sz w:val="21"/>
        </w:rPr>
        <w:t>万瑞</w:t>
      </w:r>
      <w:proofErr w:type="gramEnd"/>
      <w:r w:rsidRPr="003F5882">
        <w:rPr>
          <w:rFonts w:ascii="Arial" w:hAnsi="Arial" w:cs="Times New Roman"/>
          <w:sz w:val="21"/>
        </w:rPr>
        <w:t>郎相比，2014年课程研究</w:t>
      </w:r>
      <w:proofErr w:type="gramStart"/>
      <w:r w:rsidRPr="003F5882">
        <w:rPr>
          <w:rFonts w:ascii="Arial" w:hAnsi="Arial" w:cs="Times New Roman"/>
          <w:sz w:val="21"/>
        </w:rPr>
        <w:t>金费用</w:t>
      </w:r>
      <w:proofErr w:type="gramEnd"/>
      <w:r w:rsidRPr="003F5882">
        <w:rPr>
          <w:rFonts w:ascii="Arial" w:hAnsi="Arial" w:cs="Times New Roman"/>
          <w:sz w:val="21"/>
        </w:rPr>
        <w:t>总计210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3F5882" w:rsidRDefault="005A383E" w:rsidP="00F04843">
      <w:pPr>
        <w:numPr>
          <w:ilvl w:val="0"/>
          <w:numId w:val="1"/>
        </w:numPr>
        <w:tabs>
          <w:tab w:val="clear" w:pos="567"/>
        </w:tabs>
        <w:overflowPunct w:val="0"/>
        <w:spacing w:afterLines="50" w:after="120" w:line="340" w:lineRule="atLeast"/>
        <w:jc w:val="both"/>
        <w:rPr>
          <w:rFonts w:ascii="Arial" w:eastAsia="KaiTi" w:hAnsi="Arial" w:cs="Times New Roman"/>
          <w:sz w:val="21"/>
          <w:szCs w:val="22"/>
        </w:rPr>
      </w:pPr>
      <w:r w:rsidRPr="003F5882">
        <w:rPr>
          <w:rFonts w:ascii="Arial" w:hAnsi="Arial" w:cs="Times New Roman"/>
          <w:sz w:val="21"/>
        </w:rPr>
        <w:t>2014年订约承办事务总计6,360万瑞郎。这些支出比2013年的6,500万瑞郎下降了2.2%。2014年的订约承办事务主要涉及商业翻译服务</w:t>
      </w:r>
      <w:r w:rsidR="00F453AC" w:rsidRPr="003F5882">
        <w:rPr>
          <w:rFonts w:ascii="Arial" w:hAnsi="Arial" w:cs="Times New Roman"/>
          <w:sz w:val="21"/>
        </w:rPr>
        <w:t>（</w:t>
      </w:r>
      <w:r w:rsidRPr="003F5882">
        <w:rPr>
          <w:rFonts w:ascii="Arial" w:hAnsi="Arial" w:cs="Times New Roman"/>
          <w:sz w:val="21"/>
        </w:rPr>
        <w:t>2,250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、国际电子计算中心服务</w:t>
      </w:r>
      <w:r w:rsidR="00F453AC" w:rsidRPr="003F5882">
        <w:rPr>
          <w:rFonts w:ascii="Arial" w:hAnsi="Arial" w:cs="Times New Roman"/>
          <w:sz w:val="21"/>
        </w:rPr>
        <w:t>（</w:t>
      </w:r>
      <w:r w:rsidRPr="003F5882">
        <w:rPr>
          <w:rFonts w:ascii="Arial" w:hAnsi="Arial" w:cs="Times New Roman"/>
          <w:sz w:val="21"/>
        </w:rPr>
        <w:t>1,150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、IT商业服务</w:t>
      </w:r>
      <w:r w:rsidR="00F453AC" w:rsidRPr="003F5882">
        <w:rPr>
          <w:rFonts w:ascii="Arial" w:hAnsi="Arial" w:cs="Times New Roman"/>
          <w:sz w:val="21"/>
        </w:rPr>
        <w:t>（</w:t>
      </w:r>
      <w:r w:rsidRPr="003F5882">
        <w:rPr>
          <w:rFonts w:ascii="Arial" w:hAnsi="Arial" w:cs="Times New Roman"/>
          <w:sz w:val="21"/>
        </w:rPr>
        <w:t>1,010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以及个人订约承办事务</w:t>
      </w:r>
      <w:r w:rsidR="00F453AC" w:rsidRPr="003F5882">
        <w:rPr>
          <w:rFonts w:ascii="Arial" w:hAnsi="Arial" w:cs="Times New Roman"/>
          <w:sz w:val="21"/>
        </w:rPr>
        <w:t>（</w:t>
      </w:r>
      <w:r w:rsidRPr="003F5882">
        <w:rPr>
          <w:rFonts w:ascii="Arial" w:hAnsi="Arial" w:cs="Times New Roman"/>
          <w:sz w:val="21"/>
        </w:rPr>
        <w:t>1,050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。商业翻译服务比2013年增长210</w:t>
      </w:r>
      <w:proofErr w:type="gramStart"/>
      <w:r w:rsidR="0060785A" w:rsidRPr="003F5882">
        <w:rPr>
          <w:rFonts w:ascii="Arial" w:hAnsi="Arial" w:cs="Times New Roman" w:hint="eastAsia"/>
          <w:sz w:val="21"/>
        </w:rPr>
        <w:t>万</w:t>
      </w:r>
      <w:r w:rsidRPr="003F5882">
        <w:rPr>
          <w:rFonts w:ascii="Arial" w:hAnsi="Arial" w:cs="Times New Roman"/>
          <w:sz w:val="21"/>
        </w:rPr>
        <w:t>瑞</w:t>
      </w:r>
      <w:proofErr w:type="gramEnd"/>
      <w:r w:rsidRPr="003F5882">
        <w:rPr>
          <w:rFonts w:ascii="Arial" w:hAnsi="Arial" w:cs="Times New Roman"/>
          <w:sz w:val="21"/>
        </w:rPr>
        <w:lastRenderedPageBreak/>
        <w:t>郎，部分因为外包</w:t>
      </w:r>
      <w:r w:rsidR="0060785A" w:rsidRPr="003F5882">
        <w:rPr>
          <w:rFonts w:ascii="Arial" w:hAnsi="Arial" w:cs="Times New Roman" w:hint="eastAsia"/>
          <w:sz w:val="21"/>
        </w:rPr>
        <w:t>的</w:t>
      </w:r>
      <w:r w:rsidRPr="003F5882">
        <w:rPr>
          <w:rFonts w:ascii="Arial" w:hAnsi="Arial" w:cs="Times New Roman"/>
          <w:sz w:val="21"/>
        </w:rPr>
        <w:t>专利性报告翻译的平均长度增加</w:t>
      </w:r>
      <w:r w:rsidR="00F453AC" w:rsidRPr="003F5882">
        <w:rPr>
          <w:rFonts w:ascii="Arial" w:hAnsi="Arial" w:cs="Times New Roman"/>
          <w:sz w:val="21"/>
        </w:rPr>
        <w:t>（</w:t>
      </w:r>
      <w:r w:rsidRPr="003F5882">
        <w:rPr>
          <w:rFonts w:ascii="Arial" w:hAnsi="Arial" w:cs="Times New Roman"/>
          <w:sz w:val="21"/>
        </w:rPr>
        <w:t>2013年的612个单词增加到2014年的687个单词</w:t>
      </w:r>
      <w:r w:rsidR="00F453AC" w:rsidRPr="003F5882">
        <w:rPr>
          <w:rFonts w:ascii="Arial" w:hAnsi="Arial" w:cs="Times New Roman"/>
          <w:sz w:val="21"/>
        </w:rPr>
        <w:t>）</w:t>
      </w:r>
      <w:r w:rsidRPr="003F5882">
        <w:rPr>
          <w:rFonts w:ascii="Arial" w:hAnsi="Arial" w:cs="Times New Roman"/>
          <w:sz w:val="21"/>
        </w:rPr>
        <w:t>。但是，个人订约承办事务的费用比2013年下降210</w:t>
      </w:r>
      <w:proofErr w:type="gramStart"/>
      <w:r w:rsidRPr="003F5882">
        <w:rPr>
          <w:rFonts w:ascii="Arial" w:hAnsi="Arial" w:cs="Times New Roman"/>
          <w:sz w:val="21"/>
        </w:rPr>
        <w:t>万瑞</w:t>
      </w:r>
      <w:proofErr w:type="gramEnd"/>
      <w:r w:rsidRPr="003F5882">
        <w:rPr>
          <w:rFonts w:ascii="Arial" w:hAnsi="Arial" w:cs="Times New Roman"/>
          <w:sz w:val="21"/>
        </w:rPr>
        <w:t>郎，会务费用</w:t>
      </w:r>
      <w:r w:rsidR="0060785A" w:rsidRPr="003F5882">
        <w:rPr>
          <w:rFonts w:ascii="Arial" w:hAnsi="Arial" w:cs="Times New Roman" w:hint="eastAsia"/>
          <w:sz w:val="21"/>
        </w:rPr>
        <w:t>也</w:t>
      </w:r>
      <w:r w:rsidRPr="003F5882">
        <w:rPr>
          <w:rFonts w:ascii="Arial" w:hAnsi="Arial" w:cs="Times New Roman"/>
          <w:sz w:val="21"/>
        </w:rPr>
        <w:t>比前一年度下降90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2014年业务费用总计2,080</w:t>
      </w:r>
      <w:proofErr w:type="gramStart"/>
      <w:r w:rsidRPr="003F5882">
        <w:rPr>
          <w:rFonts w:ascii="Arial" w:hAnsi="Arial" w:cs="Times New Roman"/>
          <w:sz w:val="21"/>
        </w:rPr>
        <w:t>万瑞</w:t>
      </w:r>
      <w:proofErr w:type="gramEnd"/>
      <w:r w:rsidRPr="003F5882">
        <w:rPr>
          <w:rFonts w:ascii="Arial" w:hAnsi="Arial" w:cs="Times New Roman"/>
          <w:sz w:val="21"/>
        </w:rPr>
        <w:t>郎，与2013年2,110</w:t>
      </w:r>
      <w:proofErr w:type="gramStart"/>
      <w:r w:rsidRPr="003F5882">
        <w:rPr>
          <w:rFonts w:ascii="Arial" w:hAnsi="Arial" w:cs="Times New Roman"/>
          <w:sz w:val="21"/>
        </w:rPr>
        <w:t>万瑞</w:t>
      </w:r>
      <w:proofErr w:type="gramEnd"/>
      <w:r w:rsidRPr="003F5882">
        <w:rPr>
          <w:rFonts w:ascii="Arial" w:hAnsi="Arial" w:cs="Times New Roman"/>
          <w:sz w:val="21"/>
        </w:rPr>
        <w:t>郎相比微</w:t>
      </w:r>
      <w:r w:rsidR="00B77B78" w:rsidRPr="003F5882">
        <w:rPr>
          <w:rFonts w:ascii="Arial" w:hAnsi="Arial" w:cs="Times New Roman" w:hint="eastAsia"/>
          <w:sz w:val="21"/>
        </w:rPr>
        <w:t>降</w:t>
      </w:r>
      <w:r w:rsidRPr="003F5882">
        <w:rPr>
          <w:rFonts w:ascii="Arial" w:hAnsi="Arial" w:cs="Times New Roman"/>
          <w:sz w:val="21"/>
        </w:rPr>
        <w:t>1.4%。2014年业务费用主要包括房舍和维修费用</w:t>
      </w:r>
      <w:r w:rsidR="00F453AC" w:rsidRPr="003F5882">
        <w:rPr>
          <w:rFonts w:ascii="Arial" w:hAnsi="Arial" w:cs="Times New Roman"/>
          <w:sz w:val="21"/>
        </w:rPr>
        <w:t>（</w:t>
      </w:r>
      <w:r w:rsidRPr="003F5882">
        <w:rPr>
          <w:rFonts w:ascii="Arial" w:hAnsi="Arial" w:cs="Times New Roman"/>
          <w:sz w:val="21"/>
        </w:rPr>
        <w:t>1,680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、通</w:t>
      </w:r>
      <w:r w:rsidR="00B77B78" w:rsidRPr="003F5882">
        <w:rPr>
          <w:rFonts w:ascii="Arial" w:hAnsi="Arial" w:cs="Times New Roman" w:hint="eastAsia"/>
          <w:sz w:val="21"/>
        </w:rPr>
        <w:t>信</w:t>
      </w:r>
      <w:r w:rsidRPr="003F5882">
        <w:rPr>
          <w:rFonts w:ascii="Arial" w:hAnsi="Arial" w:cs="Times New Roman"/>
          <w:sz w:val="21"/>
        </w:rPr>
        <w:t>费</w:t>
      </w:r>
      <w:r w:rsidR="00F453AC" w:rsidRPr="003F5882">
        <w:rPr>
          <w:rFonts w:ascii="Arial" w:hAnsi="Arial" w:cs="Times New Roman"/>
          <w:sz w:val="21"/>
        </w:rPr>
        <w:t>（</w:t>
      </w:r>
      <w:r w:rsidRPr="003F5882">
        <w:rPr>
          <w:rFonts w:ascii="Arial" w:hAnsi="Arial" w:cs="Times New Roman"/>
          <w:sz w:val="21"/>
        </w:rPr>
        <w:t>230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和管理费</w:t>
      </w:r>
      <w:r w:rsidR="00F453AC" w:rsidRPr="003F5882">
        <w:rPr>
          <w:rFonts w:ascii="Arial" w:hAnsi="Arial" w:cs="Times New Roman"/>
          <w:sz w:val="21"/>
        </w:rPr>
        <w:t>（</w:t>
      </w:r>
      <w:r w:rsidRPr="003F5882">
        <w:rPr>
          <w:rFonts w:ascii="Arial" w:hAnsi="Arial" w:cs="Times New Roman"/>
          <w:sz w:val="21"/>
        </w:rPr>
        <w:t>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。由于传统邮寄减少，因此与2013年相比通</w:t>
      </w:r>
      <w:r w:rsidR="00B77B78" w:rsidRPr="003F5882">
        <w:rPr>
          <w:rFonts w:ascii="Arial" w:hAnsi="Arial" w:cs="Times New Roman" w:hint="eastAsia"/>
          <w:sz w:val="21"/>
        </w:rPr>
        <w:t>信</w:t>
      </w:r>
      <w:r w:rsidRPr="003F5882">
        <w:rPr>
          <w:rFonts w:ascii="Arial" w:hAnsi="Arial" w:cs="Times New Roman"/>
          <w:sz w:val="21"/>
        </w:rPr>
        <w:t>费下降了30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用品和材料开支为180万瑞郎，比2013年下降了45.5%。家具和设备费也有所</w:t>
      </w:r>
      <w:r w:rsidR="00B77B78" w:rsidRPr="003F5882">
        <w:rPr>
          <w:rFonts w:ascii="Arial" w:hAnsi="Arial" w:cs="Times New Roman" w:hint="eastAsia"/>
          <w:sz w:val="21"/>
        </w:rPr>
        <w:t>减少</w:t>
      </w:r>
      <w:r w:rsidRPr="003F5882">
        <w:rPr>
          <w:rFonts w:ascii="Arial" w:hAnsi="Arial" w:cs="Times New Roman"/>
          <w:sz w:val="21"/>
        </w:rPr>
        <w:t>，从2013年的90万瑞郎下</w:t>
      </w:r>
      <w:r w:rsidR="00B77B78" w:rsidRPr="003F5882">
        <w:rPr>
          <w:rFonts w:ascii="Arial" w:hAnsi="Arial" w:cs="Times New Roman" w:hint="eastAsia"/>
          <w:sz w:val="21"/>
        </w:rPr>
        <w:t>降</w:t>
      </w:r>
      <w:r w:rsidRPr="003F5882">
        <w:rPr>
          <w:rFonts w:ascii="Arial" w:hAnsi="Arial" w:cs="Times New Roman"/>
          <w:sz w:val="21"/>
        </w:rPr>
        <w:t>至2014年的20万瑞郎。家具和设备费涉及不满足本组织资本化门槛5,000瑞郎的项目，因此立即被确认为支出。尤其是，此类性质的IT设备支出从2013年的60</w:t>
      </w:r>
      <w:proofErr w:type="gramStart"/>
      <w:r w:rsidRPr="003F5882">
        <w:rPr>
          <w:rFonts w:ascii="Arial" w:hAnsi="Arial" w:cs="Times New Roman"/>
          <w:sz w:val="21"/>
        </w:rPr>
        <w:t>万瑞郎下降</w:t>
      </w:r>
      <w:proofErr w:type="gramEnd"/>
      <w:r w:rsidRPr="003F5882">
        <w:rPr>
          <w:rFonts w:ascii="Arial" w:hAnsi="Arial" w:cs="Times New Roman"/>
          <w:sz w:val="21"/>
        </w:rPr>
        <w:t>到2014年的10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如上所述，依据IPSAS</w:t>
      </w:r>
      <w:r w:rsidR="00B77B78" w:rsidRPr="003F5882">
        <w:rPr>
          <w:rFonts w:ascii="Arial" w:hAnsi="Arial" w:cs="Times New Roman" w:hint="eastAsia"/>
          <w:sz w:val="21"/>
        </w:rPr>
        <w:t>计算</w:t>
      </w:r>
      <w:r w:rsidRPr="003F5882">
        <w:rPr>
          <w:rFonts w:ascii="Arial" w:hAnsi="Arial" w:cs="Times New Roman"/>
          <w:sz w:val="21"/>
        </w:rPr>
        <w:t>的支出包括办公楼与设备的折旧支出以及无形资产的摊销费，因为这些资产的成本被分摊至其整个使用寿命。2014年，这些项目总计910万瑞郎，相比之下</w:t>
      </w:r>
      <w:r w:rsidR="00F2198B" w:rsidRPr="003F5882">
        <w:rPr>
          <w:rFonts w:ascii="Arial" w:hAnsi="Arial" w:cs="Times New Roman" w:hint="eastAsia"/>
          <w:sz w:val="21"/>
        </w:rPr>
        <w:t>，</w:t>
      </w:r>
      <w:r w:rsidRPr="003F5882">
        <w:rPr>
          <w:rFonts w:ascii="Arial" w:hAnsi="Arial" w:cs="Times New Roman"/>
          <w:sz w:val="21"/>
        </w:rPr>
        <w:t>2013年为790万瑞郎。出现增长是因为新会议厅完工，2014年9月新会议厅投入使用后产生</w:t>
      </w:r>
      <w:r w:rsidR="00F2198B" w:rsidRPr="003F5882">
        <w:rPr>
          <w:rFonts w:ascii="Arial" w:hAnsi="Arial" w:cs="Times New Roman" w:hint="eastAsia"/>
          <w:sz w:val="21"/>
        </w:rPr>
        <w:t>了</w:t>
      </w:r>
      <w:r w:rsidRPr="003F5882">
        <w:rPr>
          <w:rFonts w:ascii="Arial" w:hAnsi="Arial" w:cs="Times New Roman"/>
          <w:sz w:val="21"/>
        </w:rPr>
        <w:t>70万瑞郎的折旧支出，此外</w:t>
      </w:r>
      <w:r w:rsidR="00F2198B" w:rsidRPr="003F5882">
        <w:rPr>
          <w:rFonts w:ascii="Arial" w:hAnsi="Arial" w:cs="Times New Roman" w:hint="eastAsia"/>
          <w:sz w:val="21"/>
        </w:rPr>
        <w:t>，</w:t>
      </w:r>
      <w:r w:rsidRPr="003F5882">
        <w:rPr>
          <w:rFonts w:ascii="Arial" w:hAnsi="Arial" w:cs="Times New Roman"/>
          <w:sz w:val="21"/>
        </w:rPr>
        <w:t>2014年初内部开发的软件项目完成，从而在当年产生了60万瑞郎的额外摊销支出。</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在2014年的财务报表中，融资成本第一次单独在财务执行情况表中直接披露。此前，融资成本计入业务费用。融资成本与前一年度相比保持</w:t>
      </w:r>
      <w:r w:rsidR="00E82A23" w:rsidRPr="003F5882">
        <w:rPr>
          <w:rFonts w:ascii="Arial" w:hAnsi="Arial" w:cs="Times New Roman"/>
          <w:sz w:val="21"/>
        </w:rPr>
        <w:t>相对</w:t>
      </w:r>
      <w:r w:rsidRPr="003F5882">
        <w:rPr>
          <w:rFonts w:ascii="Arial" w:hAnsi="Arial" w:cs="Times New Roman"/>
          <w:sz w:val="21"/>
        </w:rPr>
        <w:t>稳定，2014年总计为330万瑞郎，2013年为340万瑞郎。2014年融资成本主要</w:t>
      </w:r>
      <w:r w:rsidR="00E82A23" w:rsidRPr="003F5882">
        <w:rPr>
          <w:rFonts w:ascii="Arial" w:hAnsi="Arial" w:cs="Times New Roman" w:hint="eastAsia"/>
          <w:sz w:val="21"/>
        </w:rPr>
        <w:t>用于</w:t>
      </w:r>
      <w:r w:rsidRPr="003F5882">
        <w:rPr>
          <w:rFonts w:ascii="Arial" w:hAnsi="Arial" w:cs="Times New Roman"/>
          <w:sz w:val="21"/>
        </w:rPr>
        <w:t>偿还BCG/BCV新办公楼贷款利息</w:t>
      </w:r>
      <w:r w:rsidR="00E82A23" w:rsidRPr="003F5882">
        <w:rPr>
          <w:rFonts w:ascii="Arial" w:hAnsi="Arial" w:cs="Times New Roman" w:hint="eastAsia"/>
          <w:sz w:val="21"/>
        </w:rPr>
        <w:t>，</w:t>
      </w:r>
      <w:r w:rsidR="00E82A23" w:rsidRPr="003F5882">
        <w:rPr>
          <w:rFonts w:ascii="Arial" w:hAnsi="Arial" w:cs="Times New Roman"/>
          <w:sz w:val="21"/>
        </w:rPr>
        <w:t>总计310万瑞郎</w:t>
      </w:r>
      <w:r w:rsidRPr="003F5882">
        <w:rPr>
          <w:rFonts w:ascii="Arial" w:hAnsi="Arial" w:cs="Times New Roman"/>
          <w:sz w:val="21"/>
        </w:rPr>
        <w:t>。其他融资成本涉及银行手续费。</w:t>
      </w:r>
    </w:p>
    <w:p w:rsidR="005A383E" w:rsidRPr="00CA4DB8" w:rsidRDefault="005A383E"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财务状况</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截至2014年12月31日，本组织净资产为2.458亿瑞郎，总资产为9.694亿瑞郎，总负债为7.236亿瑞郎。由于2014年盈余3,700</w:t>
      </w:r>
      <w:proofErr w:type="gramStart"/>
      <w:r w:rsidRPr="003F5882">
        <w:rPr>
          <w:rFonts w:ascii="Arial" w:hAnsi="Arial" w:cs="Times New Roman"/>
          <w:sz w:val="21"/>
        </w:rPr>
        <w:t>万瑞</w:t>
      </w:r>
      <w:proofErr w:type="gramEnd"/>
      <w:r w:rsidRPr="003F5882">
        <w:rPr>
          <w:rFonts w:ascii="Arial" w:hAnsi="Arial" w:cs="Times New Roman"/>
          <w:sz w:val="21"/>
        </w:rPr>
        <w:t>郎，净资产从2013年底的2.088亿瑞郎增加到2014年底的2.458亿瑞郎。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要注意的是，在涉及确认国际专利申请收入的会计政策变化之后，WIPO被要求重编其截至2012年12月31日的净资产。2012年底，重编的资产净额为1.937亿瑞郎</w:t>
      </w:r>
      <w:r w:rsidR="00F453AC" w:rsidRPr="003F5882">
        <w:rPr>
          <w:rFonts w:ascii="Arial" w:hAnsi="Arial" w:cs="Times New Roman"/>
          <w:sz w:val="21"/>
        </w:rPr>
        <w:t>（</w:t>
      </w:r>
      <w:r w:rsidRPr="003F5882">
        <w:rPr>
          <w:rFonts w:ascii="Arial" w:hAnsi="Arial" w:cs="Times New Roman"/>
          <w:sz w:val="21"/>
        </w:rPr>
        <w:t>相比之下，之前编制的资产净额为1.782亿瑞郎</w:t>
      </w:r>
      <w:r w:rsidR="00F453AC" w:rsidRPr="003F5882">
        <w:rPr>
          <w:rFonts w:ascii="Arial" w:hAnsi="Arial" w:cs="Times New Roman"/>
          <w:sz w:val="21"/>
        </w:rPr>
        <w:t>）</w:t>
      </w:r>
      <w:r w:rsidRPr="003F5882">
        <w:rPr>
          <w:rFonts w:ascii="Arial" w:hAnsi="Arial" w:cs="Times New Roman"/>
          <w:sz w:val="21"/>
        </w:rPr>
        <w:t>。2013年，本组织</w:t>
      </w:r>
      <w:r w:rsidR="00EE1B94" w:rsidRPr="003F5882">
        <w:rPr>
          <w:rFonts w:ascii="Arial" w:hAnsi="Arial" w:cs="Times New Roman" w:hint="eastAsia"/>
          <w:sz w:val="21"/>
        </w:rPr>
        <w:t>记录</w:t>
      </w:r>
      <w:r w:rsidRPr="003F5882">
        <w:rPr>
          <w:rFonts w:ascii="Arial" w:hAnsi="Arial" w:cs="Times New Roman"/>
          <w:sz w:val="21"/>
        </w:rPr>
        <w:t>的盈余为1</w:t>
      </w:r>
      <w:r w:rsidR="00E04F07" w:rsidRPr="003F5882">
        <w:rPr>
          <w:rFonts w:ascii="Arial" w:hAnsi="Arial" w:cs="Times New Roman" w:hint="eastAsia"/>
          <w:sz w:val="21"/>
        </w:rPr>
        <w:t>,</w:t>
      </w:r>
      <w:r w:rsidRPr="003F5882">
        <w:rPr>
          <w:rFonts w:ascii="Arial" w:hAnsi="Arial" w:cs="Times New Roman"/>
          <w:sz w:val="21"/>
        </w:rPr>
        <w:t>510万瑞郎。</w:t>
      </w:r>
    </w:p>
    <w:p w:rsidR="005A383E" w:rsidRPr="00F453AC" w:rsidRDefault="005A383E" w:rsidP="003F5882">
      <w:pPr>
        <w:keepNext/>
        <w:spacing w:afterLines="50" w:after="120" w:line="340" w:lineRule="atLeast"/>
        <w:jc w:val="center"/>
        <w:rPr>
          <w:rFonts w:ascii="Arial" w:eastAsia="SimSun" w:hAnsi="Arial" w:cs="Times New Roman"/>
          <w:sz w:val="21"/>
          <w:szCs w:val="20"/>
          <w:u w:val="single"/>
        </w:rPr>
      </w:pPr>
      <w:r w:rsidRPr="003F5882">
        <w:rPr>
          <w:rFonts w:ascii="Arial" w:hAnsi="Arial" w:cs="Times New Roman"/>
          <w:sz w:val="21"/>
          <w:u w:val="single"/>
        </w:rPr>
        <w:t>2012年至2014年的净资产变动</w:t>
      </w:r>
    </w:p>
    <w:p w:rsidR="005A383E" w:rsidRPr="00F453AC" w:rsidRDefault="00D84912" w:rsidP="00D84912">
      <w:pPr>
        <w:spacing w:afterLines="50" w:after="120" w:line="340" w:lineRule="atLeast"/>
        <w:jc w:val="center"/>
        <w:rPr>
          <w:rFonts w:ascii="Arial" w:eastAsia="SimSun" w:hAnsi="Arial" w:cs="Times New Roman"/>
          <w:sz w:val="21"/>
          <w:szCs w:val="20"/>
        </w:rPr>
      </w:pPr>
      <w:r w:rsidRPr="00D84912">
        <w:rPr>
          <w:noProof/>
          <w:lang w:val="en-US" w:bidi="ar-SA"/>
        </w:rPr>
        <w:drawing>
          <wp:inline distT="0" distB="0" distL="0" distR="0">
            <wp:extent cx="5165725" cy="32004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65725" cy="320040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下表为截至2014年12月31日的WIPO财务状况表摘要。</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截至2014年12月31日的资产和负债摘要</w:t>
      </w:r>
    </w:p>
    <w:p w:rsidR="005A383E" w:rsidRPr="00F453AC" w:rsidRDefault="00D84912" w:rsidP="00D84912">
      <w:pPr>
        <w:spacing w:afterLines="50" w:after="120" w:line="340" w:lineRule="atLeast"/>
        <w:jc w:val="center"/>
        <w:rPr>
          <w:rFonts w:ascii="Arial" w:eastAsia="SimSun" w:hAnsi="Arial" w:cs="Times New Roman"/>
          <w:sz w:val="16"/>
          <w:szCs w:val="22"/>
        </w:rPr>
      </w:pPr>
      <w:r w:rsidRPr="00D84912">
        <w:rPr>
          <w:noProof/>
          <w:lang w:val="en-US" w:bidi="ar-SA"/>
        </w:rPr>
        <w:drawing>
          <wp:inline distT="0" distB="0" distL="0" distR="0" wp14:anchorId="26FE7D1A" wp14:editId="0C121C4D">
            <wp:extent cx="5977255" cy="3271176"/>
            <wp:effectExtent l="0" t="0" r="4445" b="5715"/>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271176"/>
                    </a:xfrm>
                    <a:prstGeom prst="rect">
                      <a:avLst/>
                    </a:prstGeom>
                    <a:noFill/>
                    <a:ln>
                      <a:noFill/>
                    </a:ln>
                  </pic:spPr>
                </pic:pic>
              </a:graphicData>
            </a:graphic>
          </wp:inline>
        </w:drawing>
      </w:r>
    </w:p>
    <w:p w:rsidR="005A383E" w:rsidRPr="003F5882" w:rsidRDefault="005A383E" w:rsidP="003F5882">
      <w:pPr>
        <w:keepNext/>
        <w:spacing w:afterLines="50" w:after="120" w:line="340" w:lineRule="atLeast"/>
        <w:jc w:val="both"/>
        <w:rPr>
          <w:rFonts w:ascii="Arial" w:eastAsia="KaiTi" w:hAnsi="Arial" w:cs="Times New Roman"/>
          <w:b/>
          <w:i/>
          <w:sz w:val="21"/>
        </w:rPr>
      </w:pPr>
      <w:r w:rsidRPr="003F5882">
        <w:rPr>
          <w:rFonts w:ascii="Arial" w:eastAsia="KaiTi" w:hAnsi="Arial" w:cs="Times New Roman"/>
          <w:b/>
          <w:i/>
          <w:sz w:val="21"/>
        </w:rPr>
        <w:t>资</w:t>
      </w:r>
      <w:r w:rsidR="003F5882">
        <w:rPr>
          <w:rFonts w:ascii="Arial" w:eastAsia="KaiTi" w:hAnsi="Arial" w:cs="Times New Roman" w:hint="eastAsia"/>
          <w:b/>
          <w:i/>
          <w:sz w:val="21"/>
        </w:rPr>
        <w:t xml:space="preserve">　</w:t>
      </w:r>
      <w:r w:rsidRPr="003F5882">
        <w:rPr>
          <w:rFonts w:ascii="Arial" w:eastAsia="KaiTi" w:hAnsi="Arial" w:cs="Times New Roman"/>
          <w:b/>
          <w:i/>
          <w:sz w:val="21"/>
        </w:rPr>
        <w:t>产</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本组织拥有4.745亿瑞郎的现金余额，占总资产的48.9%，尽管其中包括按IPSAS被归类为受限制的2.498亿瑞郎。与截</w:t>
      </w:r>
      <w:r w:rsidR="007D2159" w:rsidRPr="003F5882">
        <w:rPr>
          <w:rFonts w:ascii="Arial" w:hAnsi="Arial" w:cs="Times New Roman" w:hint="eastAsia"/>
          <w:sz w:val="21"/>
        </w:rPr>
        <w:t>至</w:t>
      </w:r>
      <w:r w:rsidRPr="003F5882">
        <w:rPr>
          <w:rFonts w:ascii="Arial" w:hAnsi="Arial" w:cs="Times New Roman"/>
          <w:sz w:val="21"/>
        </w:rPr>
        <w:t>2013年12月31日的4.099亿瑞郎余额相比，现金余额总量大幅增加，且根据WIPO投资政策规定的</w:t>
      </w:r>
      <w:r w:rsidR="007D2159" w:rsidRPr="003F5882">
        <w:rPr>
          <w:rFonts w:ascii="Arial" w:hAnsi="Arial" w:cs="Times New Roman" w:hint="eastAsia"/>
          <w:sz w:val="21"/>
        </w:rPr>
        <w:t>适</w:t>
      </w:r>
      <w:r w:rsidRPr="003F5882">
        <w:rPr>
          <w:rFonts w:ascii="Arial" w:hAnsi="Arial" w:cs="Times New Roman"/>
          <w:sz w:val="21"/>
        </w:rPr>
        <w:t>用情况进行了投资。</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本组织持有大量固定资产</w:t>
      </w:r>
      <w:r w:rsidR="00F453AC" w:rsidRPr="003F5882">
        <w:rPr>
          <w:rFonts w:ascii="Arial" w:hAnsi="Arial" w:cs="Times New Roman" w:hint="eastAsia"/>
          <w:sz w:val="21"/>
        </w:rPr>
        <w:t>（</w:t>
      </w:r>
      <w:r w:rsidRPr="003F5882">
        <w:rPr>
          <w:rFonts w:ascii="Arial" w:hAnsi="Arial" w:cs="Times New Roman"/>
          <w:sz w:val="21"/>
        </w:rPr>
        <w:t>土地、办公楼、投资财产、无形资产及设备</w:t>
      </w:r>
      <w:r w:rsidR="00F453AC" w:rsidRPr="003F5882">
        <w:rPr>
          <w:rFonts w:ascii="Arial" w:hAnsi="Arial" w:cs="Times New Roman" w:hint="eastAsia"/>
          <w:sz w:val="21"/>
        </w:rPr>
        <w:t>）</w:t>
      </w:r>
      <w:r w:rsidRPr="003F5882">
        <w:rPr>
          <w:rFonts w:ascii="Arial" w:hAnsi="Arial" w:cs="Times New Roman"/>
          <w:sz w:val="21"/>
        </w:rPr>
        <w:t>，账面净值总计为4.197亿瑞郎。相比之下，截至2013年12月31日的固定资产账面净值为3.964亿瑞郎。2014年，本组织把新会议厅建设和安保施工项目</w:t>
      </w:r>
      <w:r w:rsidR="00F453AC" w:rsidRPr="003F5882">
        <w:rPr>
          <w:rFonts w:ascii="Arial" w:hAnsi="Arial" w:cs="Times New Roman"/>
          <w:sz w:val="21"/>
        </w:rPr>
        <w:t>（</w:t>
      </w:r>
      <w:r w:rsidRPr="003F5882">
        <w:rPr>
          <w:rFonts w:ascii="Arial" w:hAnsi="Arial" w:cs="Times New Roman"/>
          <w:sz w:val="21"/>
        </w:rPr>
        <w:t>包括通道中心和安全参数</w:t>
      </w:r>
      <w:r w:rsidR="00F453AC" w:rsidRPr="003F5882">
        <w:rPr>
          <w:rFonts w:ascii="Arial" w:hAnsi="Arial" w:cs="Times New Roman"/>
          <w:sz w:val="21"/>
        </w:rPr>
        <w:t>）</w:t>
      </w:r>
      <w:r w:rsidRPr="003F5882">
        <w:rPr>
          <w:rFonts w:ascii="Arial" w:hAnsi="Arial" w:cs="Times New Roman"/>
          <w:sz w:val="21"/>
        </w:rPr>
        <w:t>的费用记为资本，</w:t>
      </w:r>
      <w:r w:rsidR="00EE03D2" w:rsidRPr="003F5882">
        <w:rPr>
          <w:rFonts w:ascii="Arial" w:hAnsi="Arial" w:cs="Times New Roman" w:hint="eastAsia"/>
          <w:sz w:val="21"/>
        </w:rPr>
        <w:t>还</w:t>
      </w:r>
      <w:r w:rsidRPr="003F5882">
        <w:rPr>
          <w:rFonts w:ascii="Arial" w:hAnsi="Arial" w:cs="Times New Roman"/>
          <w:sz w:val="21"/>
        </w:rPr>
        <w:t>把现有办公楼</w:t>
      </w:r>
      <w:r w:rsidR="00EE03D2" w:rsidRPr="003F5882">
        <w:rPr>
          <w:rFonts w:ascii="Arial" w:hAnsi="Arial" w:cs="Times New Roman" w:hint="eastAsia"/>
          <w:sz w:val="21"/>
        </w:rPr>
        <w:t>、主要</w:t>
      </w:r>
      <w:r w:rsidR="00EE03D2" w:rsidRPr="003F5882">
        <w:rPr>
          <w:rFonts w:ascii="Arial" w:hAnsi="Arial" w:cs="Times New Roman"/>
          <w:sz w:val="21"/>
        </w:rPr>
        <w:t>是</w:t>
      </w:r>
      <w:r w:rsidR="007B516A" w:rsidRPr="003F5882">
        <w:rPr>
          <w:rFonts w:ascii="Arial" w:hAnsi="Arial" w:cs="Times New Roman" w:hint="eastAsia"/>
          <w:sz w:val="21"/>
        </w:rPr>
        <w:t>阿·鲍格</w:t>
      </w:r>
      <w:proofErr w:type="gramStart"/>
      <w:r w:rsidR="007B516A" w:rsidRPr="003F5882">
        <w:rPr>
          <w:rFonts w:ascii="Arial" w:hAnsi="Arial" w:cs="Times New Roman" w:hint="eastAsia"/>
          <w:sz w:val="21"/>
        </w:rPr>
        <w:t>胥</w:t>
      </w:r>
      <w:proofErr w:type="gramEnd"/>
      <w:r w:rsidR="007B516A" w:rsidRPr="003F5882">
        <w:rPr>
          <w:rFonts w:ascii="Arial" w:hAnsi="Arial" w:cs="Times New Roman" w:hint="eastAsia"/>
          <w:sz w:val="21"/>
        </w:rPr>
        <w:t>楼</w:t>
      </w:r>
      <w:r w:rsidRPr="003F5882">
        <w:rPr>
          <w:rFonts w:ascii="Arial" w:hAnsi="Arial" w:cs="Times New Roman"/>
          <w:sz w:val="21"/>
        </w:rPr>
        <w:t>的扩建和改进工程费用记为资本。新会议厅于2014年9月投入使用，安保施工项目有望于2015</w:t>
      </w:r>
      <w:r w:rsidR="00FC3643" w:rsidRPr="003F5882">
        <w:rPr>
          <w:rFonts w:ascii="Arial" w:hAnsi="Arial" w:cs="Times New Roman" w:hint="eastAsia"/>
          <w:sz w:val="21"/>
        </w:rPr>
        <w:t>年</w:t>
      </w:r>
      <w:r w:rsidRPr="003F5882">
        <w:rPr>
          <w:rFonts w:ascii="Arial" w:hAnsi="Arial" w:cs="Times New Roman"/>
          <w:sz w:val="21"/>
        </w:rPr>
        <w:t>上半年完工。2014年，总计3,040万瑞郎费用已转化为资本且添加至</w:t>
      </w:r>
      <w:r w:rsidR="00FC3643" w:rsidRPr="003F5882">
        <w:rPr>
          <w:rFonts w:ascii="Arial" w:hAnsi="Arial" w:cs="Times New Roman" w:hint="eastAsia"/>
          <w:sz w:val="21"/>
        </w:rPr>
        <w:t>2014年</w:t>
      </w:r>
      <w:r w:rsidRPr="003F5882">
        <w:rPr>
          <w:rFonts w:ascii="Arial" w:hAnsi="Arial" w:cs="Times New Roman"/>
          <w:sz w:val="21"/>
        </w:rPr>
        <w:t>本组织办公楼的费用</w:t>
      </w:r>
      <w:r w:rsidR="00C42D2A" w:rsidRPr="003F5882">
        <w:rPr>
          <w:rFonts w:ascii="Arial" w:hAnsi="Arial" w:cs="Times New Roman" w:hint="eastAsia"/>
          <w:sz w:val="21"/>
        </w:rPr>
        <w:t>中。它</w:t>
      </w:r>
      <w:r w:rsidRPr="003F5882">
        <w:rPr>
          <w:rFonts w:ascii="Arial" w:hAnsi="Arial" w:cs="Times New Roman"/>
          <w:sz w:val="21"/>
        </w:rPr>
        <w:t>部分被本年度办公楼折旧费用710万瑞郎所抵消。</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下表概述了本组织持有的固定资产。依据IPSAS，土地和财产根据使用目的或</w:t>
      </w:r>
      <w:r w:rsidR="00614A71" w:rsidRPr="003F5882">
        <w:rPr>
          <w:rFonts w:ascii="Arial" w:hAnsi="Arial" w:cs="Times New Roman" w:hint="eastAsia"/>
          <w:sz w:val="21"/>
        </w:rPr>
        <w:t>据以</w:t>
      </w:r>
      <w:r w:rsidRPr="003F5882">
        <w:rPr>
          <w:rFonts w:ascii="Arial" w:hAnsi="Arial" w:cs="Times New Roman"/>
          <w:sz w:val="21"/>
        </w:rPr>
        <w:t>持有</w:t>
      </w:r>
      <w:r w:rsidR="00614A71" w:rsidRPr="003F5882">
        <w:rPr>
          <w:rFonts w:ascii="Arial" w:hAnsi="Arial" w:cs="Times New Roman" w:hint="eastAsia"/>
          <w:sz w:val="21"/>
        </w:rPr>
        <w:t>土地和财产的</w:t>
      </w:r>
      <w:r w:rsidRPr="003F5882">
        <w:rPr>
          <w:rFonts w:ascii="Arial" w:hAnsi="Arial" w:cs="Times New Roman"/>
          <w:sz w:val="21"/>
        </w:rPr>
        <w:t>合同权利或</w:t>
      </w:r>
      <w:r w:rsidR="00614A71" w:rsidRPr="003F5882">
        <w:rPr>
          <w:rFonts w:ascii="Arial" w:hAnsi="Arial" w:cs="Times New Roman" w:hint="eastAsia"/>
          <w:sz w:val="21"/>
        </w:rPr>
        <w:t>协定</w:t>
      </w:r>
      <w:r w:rsidRPr="003F5882">
        <w:rPr>
          <w:rFonts w:ascii="Arial" w:hAnsi="Arial" w:cs="Times New Roman"/>
          <w:sz w:val="21"/>
        </w:rPr>
        <w:t>的性质进行不同分类。</w:t>
      </w:r>
      <w:r w:rsidRPr="003F5882">
        <w:rPr>
          <w:rFonts w:ascii="Arial" w:hAnsi="Arial" w:cs="Times New Roman"/>
        </w:rPr>
        <w:t>除了下列计入固定资产的土地和财产外，本组织在日内瓦租赁额外的场所、仓储和设施，</w:t>
      </w:r>
      <w:r w:rsidRPr="003F5882">
        <w:rPr>
          <w:rFonts w:ascii="Arial" w:hAnsi="Arial" w:cs="Times New Roman"/>
          <w:sz w:val="21"/>
        </w:rPr>
        <w:t>并且</w:t>
      </w:r>
      <w:r w:rsidRPr="003F5882">
        <w:rPr>
          <w:rFonts w:ascii="Arial" w:hAnsi="Arial" w:cs="Times New Roman"/>
        </w:rPr>
        <w:t>为其部分驻外办事处租赁办公场所</w:t>
      </w:r>
      <w:r w:rsidR="00F453AC" w:rsidRPr="003F5882">
        <w:rPr>
          <w:rFonts w:ascii="Arial" w:hAnsi="Arial" w:cs="Times New Roman" w:hint="eastAsia"/>
        </w:rPr>
        <w:t>（</w:t>
      </w:r>
      <w:r w:rsidR="00614A71" w:rsidRPr="003F5882">
        <w:rPr>
          <w:rFonts w:ascii="Arial" w:hAnsi="Arial" w:cs="Times New Roman" w:hint="eastAsia"/>
        </w:rPr>
        <w:t>见附注19</w:t>
      </w:r>
      <w:r w:rsidR="00F453AC" w:rsidRPr="003F5882">
        <w:rPr>
          <w:rFonts w:ascii="Arial" w:hAnsi="Arial" w:cs="Times New Roman" w:hint="eastAsia"/>
        </w:rPr>
        <w:t>）</w:t>
      </w:r>
      <w:r w:rsidRPr="003F5882">
        <w:rPr>
          <w:rFonts w:ascii="Arial" w:hAnsi="Arial" w:cs="Times New Roman"/>
        </w:rPr>
        <w:t>。</w:t>
      </w:r>
      <w:r w:rsidRPr="003F5882">
        <w:rPr>
          <w:rFonts w:ascii="Arial" w:hAnsi="Arial" w:cs="Times New Roman"/>
          <w:sz w:val="21"/>
        </w:rPr>
        <w:t>本组织还拥有某些总部办公楼的地面权。这些权利由于是无偿获得，因此没有在财务报表中予以确认，但是予以披露</w:t>
      </w:r>
      <w:r w:rsidR="00F453AC" w:rsidRPr="003F5882">
        <w:rPr>
          <w:rFonts w:ascii="Arial" w:hAnsi="Arial" w:cs="Times New Roman"/>
          <w:sz w:val="21"/>
        </w:rPr>
        <w:t>（</w:t>
      </w:r>
      <w:r w:rsidRPr="003F5882">
        <w:rPr>
          <w:rFonts w:ascii="Arial" w:hAnsi="Arial" w:cs="Times New Roman"/>
          <w:sz w:val="21"/>
        </w:rPr>
        <w:t>见附注8</w:t>
      </w:r>
      <w:r w:rsidR="00F453AC" w:rsidRPr="003F5882">
        <w:rPr>
          <w:rFonts w:ascii="Arial" w:hAnsi="Arial" w:cs="Times New Roman"/>
          <w:sz w:val="21"/>
        </w:rPr>
        <w:t>）</w:t>
      </w:r>
      <w:r w:rsidRPr="003F5882">
        <w:rPr>
          <w:rFonts w:ascii="Arial" w:hAnsi="Arial" w:cs="Times New Roman"/>
          <w:sz w:val="21"/>
        </w:rPr>
        <w:t>。</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截至2014年12月31日的固定资产</w:t>
      </w:r>
    </w:p>
    <w:p w:rsidR="005A383E" w:rsidRPr="00F453AC" w:rsidRDefault="00D84912" w:rsidP="00D84912">
      <w:pPr>
        <w:spacing w:afterLines="50" w:after="120" w:line="340" w:lineRule="atLeast"/>
        <w:jc w:val="center"/>
        <w:rPr>
          <w:rFonts w:ascii="Arial" w:eastAsia="SimSun" w:hAnsi="Arial" w:cs="Times New Roman"/>
        </w:rPr>
      </w:pPr>
      <w:r w:rsidRPr="00D84912">
        <w:rPr>
          <w:noProof/>
          <w:lang w:val="en-US" w:bidi="ar-SA"/>
        </w:rPr>
        <w:drawing>
          <wp:inline distT="0" distB="0" distL="0" distR="0">
            <wp:extent cx="5541010" cy="3343910"/>
            <wp:effectExtent l="0" t="0" r="254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41010" cy="334391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本组织持有设备的账面净值从2013年底的230</w:t>
      </w:r>
      <w:proofErr w:type="gramStart"/>
      <w:r w:rsidRPr="003F5882">
        <w:rPr>
          <w:rFonts w:ascii="Arial" w:hAnsi="Arial" w:cs="Times New Roman"/>
          <w:sz w:val="21"/>
        </w:rPr>
        <w:t>万瑞郎下跌</w:t>
      </w:r>
      <w:proofErr w:type="gramEnd"/>
      <w:r w:rsidRPr="003F5882">
        <w:rPr>
          <w:rFonts w:ascii="Arial" w:hAnsi="Arial" w:cs="Times New Roman"/>
          <w:sz w:val="21"/>
        </w:rPr>
        <w:t>至2014年</w:t>
      </w:r>
      <w:r w:rsidR="00B301A7" w:rsidRPr="003F5882">
        <w:rPr>
          <w:rFonts w:ascii="Arial" w:hAnsi="Arial" w:cs="Times New Roman" w:hint="eastAsia"/>
          <w:sz w:val="21"/>
        </w:rPr>
        <w:t>底</w:t>
      </w:r>
      <w:r w:rsidRPr="003F5882">
        <w:rPr>
          <w:rFonts w:ascii="Arial" w:hAnsi="Arial" w:cs="Times New Roman"/>
          <w:sz w:val="21"/>
        </w:rPr>
        <w:t>的170</w:t>
      </w:r>
      <w:proofErr w:type="gramStart"/>
      <w:r w:rsidRPr="003F5882">
        <w:rPr>
          <w:rFonts w:ascii="Arial" w:hAnsi="Arial" w:cs="Times New Roman"/>
          <w:sz w:val="21"/>
        </w:rPr>
        <w:t>万瑞</w:t>
      </w:r>
      <w:proofErr w:type="gramEnd"/>
      <w:r w:rsidRPr="003F5882">
        <w:rPr>
          <w:rFonts w:ascii="Arial" w:hAnsi="Arial" w:cs="Times New Roman"/>
          <w:sz w:val="21"/>
        </w:rPr>
        <w:t>郎，跌幅为60</w:t>
      </w:r>
      <w:proofErr w:type="gramStart"/>
      <w:r w:rsidRPr="003F5882">
        <w:rPr>
          <w:rFonts w:ascii="Arial" w:hAnsi="Arial" w:cs="Times New Roman"/>
          <w:sz w:val="21"/>
        </w:rPr>
        <w:t>万瑞</w:t>
      </w:r>
      <w:proofErr w:type="gramEnd"/>
      <w:r w:rsidRPr="003F5882">
        <w:rPr>
          <w:rFonts w:ascii="Arial" w:hAnsi="Arial" w:cs="Times New Roman"/>
          <w:sz w:val="21"/>
        </w:rPr>
        <w:t>郎。此下跌是由于80万瑞郎的折旧，部分被设备增</w:t>
      </w:r>
      <w:r w:rsidR="00B301A7" w:rsidRPr="003F5882">
        <w:rPr>
          <w:rFonts w:ascii="Arial" w:hAnsi="Arial" w:cs="Times New Roman" w:hint="eastAsia"/>
          <w:sz w:val="21"/>
        </w:rPr>
        <w:t>加</w:t>
      </w:r>
      <w:r w:rsidRPr="003F5882">
        <w:rPr>
          <w:rFonts w:ascii="Arial" w:hAnsi="Arial" w:cs="Times New Roman"/>
          <w:sz w:val="21"/>
        </w:rPr>
        <w:t>所抵消。在本年度大量处置了</w:t>
      </w:r>
      <w:r w:rsidR="00B301A7" w:rsidRPr="003F5882">
        <w:rPr>
          <w:rFonts w:ascii="Arial" w:hAnsi="Arial" w:cs="Times New Roman" w:hint="eastAsia"/>
          <w:sz w:val="21"/>
        </w:rPr>
        <w:t>老旧过时</w:t>
      </w:r>
      <w:r w:rsidRPr="003F5882">
        <w:rPr>
          <w:rFonts w:ascii="Arial" w:hAnsi="Arial" w:cs="Times New Roman"/>
          <w:sz w:val="21"/>
        </w:rPr>
        <w:t>的IT设备。尽管处置的账面金额总值为530万瑞郎，但是由于该设备几乎</w:t>
      </w:r>
      <w:r w:rsidR="002B5228" w:rsidRPr="003F5882">
        <w:rPr>
          <w:rFonts w:ascii="Arial" w:hAnsi="Arial" w:cs="Times New Roman" w:hint="eastAsia"/>
          <w:sz w:val="21"/>
        </w:rPr>
        <w:t>已经</w:t>
      </w:r>
      <w:r w:rsidRPr="003F5882">
        <w:rPr>
          <w:rFonts w:ascii="Arial" w:hAnsi="Arial" w:cs="Times New Roman"/>
          <w:sz w:val="21"/>
        </w:rPr>
        <w:t>完全折旧，因此账面净额仅为8,771瑞郎。2014年，由于软件增</w:t>
      </w:r>
      <w:r w:rsidR="002B5228" w:rsidRPr="003F5882">
        <w:rPr>
          <w:rFonts w:ascii="Arial" w:hAnsi="Arial" w:cs="Times New Roman" w:hint="eastAsia"/>
          <w:sz w:val="21"/>
        </w:rPr>
        <w:t>加被</w:t>
      </w:r>
      <w:r w:rsidRPr="003F5882">
        <w:rPr>
          <w:rFonts w:ascii="Arial" w:hAnsi="Arial" w:cs="Times New Roman"/>
          <w:sz w:val="21"/>
        </w:rPr>
        <w:t>记为资本，因此本组织无形资产的账面净额增长了60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的其他资产总计7,520万瑞郎，包括应收账款、库存和预付款。其中，最主要的是PCT应收账款，共计4,670万瑞郎。在任一特定时间，受理局乃至WIPO都受理了大量的PCT申请，但本组织却没有收到相应的规费。PCT应收账款余额与上一年度相比大幅下降</w:t>
      </w:r>
      <w:r w:rsidR="004D3DB5" w:rsidRPr="003F5882">
        <w:rPr>
          <w:rFonts w:ascii="Arial" w:hAnsi="Arial" w:cs="Times New Roman" w:hint="eastAsia"/>
          <w:sz w:val="21"/>
        </w:rPr>
        <w:t>，上一年度</w:t>
      </w:r>
      <w:r w:rsidR="004D3DB5" w:rsidRPr="003F5882">
        <w:rPr>
          <w:rFonts w:ascii="Arial" w:hAnsi="Arial" w:cs="Times New Roman"/>
          <w:sz w:val="21"/>
        </w:rPr>
        <w:t>总计为6,240万瑞郎</w:t>
      </w:r>
      <w:r w:rsidRPr="003F5882">
        <w:rPr>
          <w:rFonts w:ascii="Arial" w:hAnsi="Arial" w:cs="Times New Roman"/>
          <w:sz w:val="21"/>
        </w:rPr>
        <w:t>。2013年底，前12个月内提交的申请中约有23.8%的申请仍未支付</w:t>
      </w:r>
      <w:r w:rsidR="004D3DB5" w:rsidRPr="003F5882">
        <w:rPr>
          <w:rFonts w:ascii="Arial" w:hAnsi="Arial" w:cs="Times New Roman" w:hint="eastAsia"/>
          <w:sz w:val="21"/>
        </w:rPr>
        <w:t>费用</w:t>
      </w:r>
      <w:r w:rsidRPr="003F5882">
        <w:rPr>
          <w:rFonts w:ascii="Arial" w:hAnsi="Arial" w:cs="Times New Roman"/>
          <w:sz w:val="21"/>
        </w:rPr>
        <w:t>。2014年底，这个比例跌至约16.0%。除了年底未支付申请的比例下跌，2014年还弥补了2013年申请的欠款。这两个因素共同促使了PCT应收账款余额的下降。</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2013年和2014年PCT应收</w:t>
      </w:r>
      <w:r w:rsidR="004D3DB5" w:rsidRPr="003F5882">
        <w:rPr>
          <w:rFonts w:ascii="Arial" w:hAnsi="Arial" w:cs="Times New Roman" w:hint="eastAsia"/>
          <w:sz w:val="21"/>
          <w:u w:val="single"/>
        </w:rPr>
        <w:t>账</w:t>
      </w:r>
      <w:r w:rsidRPr="003F5882">
        <w:rPr>
          <w:rFonts w:ascii="Arial" w:hAnsi="Arial" w:cs="Times New Roman"/>
          <w:sz w:val="21"/>
          <w:u w:val="single"/>
        </w:rPr>
        <w:t>款</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4817745" cy="1924050"/>
            <wp:effectExtent l="0" t="0" r="190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17745" cy="1924050"/>
                    </a:xfrm>
                    <a:prstGeom prst="rect">
                      <a:avLst/>
                    </a:prstGeom>
                    <a:noFill/>
                    <a:ln>
                      <a:noFill/>
                    </a:ln>
                  </pic:spPr>
                </pic:pic>
              </a:graphicData>
            </a:graphic>
          </wp:inline>
        </w:drawing>
      </w:r>
    </w:p>
    <w:p w:rsidR="005A383E" w:rsidRPr="003F5882" w:rsidRDefault="005A383E" w:rsidP="003F5882">
      <w:pPr>
        <w:keepNext/>
        <w:spacing w:afterLines="50" w:after="120" w:line="340" w:lineRule="atLeast"/>
        <w:jc w:val="both"/>
        <w:rPr>
          <w:rFonts w:ascii="Arial" w:eastAsia="KaiTi" w:hAnsi="Arial" w:cs="Times New Roman"/>
          <w:b/>
          <w:i/>
          <w:sz w:val="21"/>
        </w:rPr>
      </w:pPr>
      <w:r w:rsidRPr="003F5882">
        <w:rPr>
          <w:rFonts w:ascii="Arial" w:eastAsia="KaiTi" w:hAnsi="Arial" w:cs="Times New Roman"/>
          <w:b/>
          <w:i/>
          <w:sz w:val="21"/>
        </w:rPr>
        <w:t>负</w:t>
      </w:r>
      <w:r w:rsidR="003F5882">
        <w:rPr>
          <w:rFonts w:ascii="Arial" w:eastAsia="KaiTi" w:hAnsi="Arial" w:cs="Times New Roman" w:hint="eastAsia"/>
          <w:b/>
          <w:i/>
          <w:sz w:val="21"/>
        </w:rPr>
        <w:t xml:space="preserve">　</w:t>
      </w:r>
      <w:r w:rsidRPr="003F5882">
        <w:rPr>
          <w:rFonts w:ascii="Arial" w:eastAsia="KaiTi" w:hAnsi="Arial" w:cs="Times New Roman"/>
          <w:b/>
          <w:i/>
          <w:sz w:val="21"/>
        </w:rPr>
        <w:t>债</w:t>
      </w:r>
    </w:p>
    <w:p w:rsidR="005A383E" w:rsidRPr="00F453AC" w:rsidRDefault="005A383E" w:rsidP="005A383E">
      <w:pPr>
        <w:jc w:val="center"/>
        <w:rPr>
          <w:rFonts w:ascii="Arial" w:eastAsia="SimSun" w:hAnsi="Arial" w:cs="Times New Roman"/>
          <w:sz w:val="21"/>
          <w:szCs w:val="22"/>
        </w:rPr>
      </w:pP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应付及预收账款总计3.587亿瑞郎，主要包括国际申请</w:t>
      </w:r>
      <w:r w:rsidR="00F453AC" w:rsidRPr="003F5882">
        <w:rPr>
          <w:rFonts w:ascii="Arial" w:hAnsi="Arial" w:cs="Times New Roman"/>
          <w:sz w:val="21"/>
        </w:rPr>
        <w:t>（</w:t>
      </w:r>
      <w:r w:rsidR="00650B87" w:rsidRPr="003F5882">
        <w:rPr>
          <w:rFonts w:ascii="Arial" w:hAnsi="Arial" w:cs="Times New Roman"/>
          <w:sz w:val="21"/>
        </w:rPr>
        <w:t>商标、工业</w:t>
      </w:r>
      <w:r w:rsidR="007B51AD" w:rsidRPr="003F5882">
        <w:rPr>
          <w:rFonts w:ascii="Arial" w:hAnsi="Arial" w:cs="Times New Roman" w:hint="eastAsia"/>
          <w:sz w:val="21"/>
        </w:rPr>
        <w:t>品</w:t>
      </w:r>
      <w:r w:rsidR="00650B87" w:rsidRPr="003F5882">
        <w:rPr>
          <w:rFonts w:ascii="Arial" w:hAnsi="Arial" w:cs="Times New Roman"/>
          <w:sz w:val="21"/>
        </w:rPr>
        <w:t>外观设计、专利</w:t>
      </w:r>
      <w:r w:rsidR="00F453AC" w:rsidRPr="003F5882">
        <w:rPr>
          <w:rFonts w:ascii="Arial" w:hAnsi="Arial" w:cs="Times New Roman"/>
          <w:sz w:val="21"/>
        </w:rPr>
        <w:t>）</w:t>
      </w:r>
      <w:r w:rsidRPr="003F5882">
        <w:rPr>
          <w:rFonts w:ascii="Arial" w:hAnsi="Arial" w:cs="Times New Roman"/>
          <w:sz w:val="21"/>
        </w:rPr>
        <w:t>处理</w:t>
      </w:r>
      <w:r w:rsidR="00650B87" w:rsidRPr="003F5882">
        <w:rPr>
          <w:rFonts w:ascii="Arial" w:hAnsi="Arial" w:cs="Times New Roman" w:hint="eastAsia"/>
          <w:sz w:val="21"/>
        </w:rPr>
        <w:t>的</w:t>
      </w:r>
      <w:r w:rsidRPr="003F5882">
        <w:rPr>
          <w:rFonts w:ascii="Arial" w:hAnsi="Arial" w:cs="Times New Roman"/>
          <w:sz w:val="21"/>
        </w:rPr>
        <w:t>递</w:t>
      </w:r>
      <w:proofErr w:type="gramStart"/>
      <w:r w:rsidRPr="003F5882">
        <w:rPr>
          <w:rFonts w:ascii="Arial" w:hAnsi="Arial" w:cs="Times New Roman"/>
          <w:sz w:val="21"/>
        </w:rPr>
        <w:t>延收入</w:t>
      </w:r>
      <w:proofErr w:type="gramEnd"/>
      <w:r w:rsidRPr="003F5882">
        <w:rPr>
          <w:rFonts w:ascii="Arial" w:hAnsi="Arial" w:cs="Times New Roman"/>
          <w:sz w:val="21"/>
        </w:rPr>
        <w:t>2.037亿瑞郎。这一递延收入余额主要涉及1.997亿瑞郎的PCT规费。与国际申请处理相关的收入递延到相关申请公布为止。在任一特定时间，受理局或WIPO都受理了</w:t>
      </w:r>
      <w:r w:rsidR="00ED723C" w:rsidRPr="003F5882">
        <w:rPr>
          <w:rFonts w:ascii="Arial" w:hAnsi="Arial" w:cs="Times New Roman" w:hint="eastAsia"/>
          <w:sz w:val="21"/>
        </w:rPr>
        <w:t>一些</w:t>
      </w:r>
      <w:r w:rsidRPr="003F5882">
        <w:rPr>
          <w:rFonts w:ascii="Arial" w:hAnsi="Arial" w:cs="Times New Roman"/>
          <w:sz w:val="21"/>
        </w:rPr>
        <w:t>有待公布的PCT申请。截至2014年12月31日，就2013年或2014年提交的申请而言，大约还有145,157件申请有待公布。尽管这一数目比2013年</w:t>
      </w:r>
      <w:r w:rsidR="002C1A71" w:rsidRPr="003F5882">
        <w:rPr>
          <w:rFonts w:ascii="Arial" w:hAnsi="Arial" w:cs="Times New Roman" w:hint="eastAsia"/>
          <w:sz w:val="21"/>
        </w:rPr>
        <w:t>底的少</w:t>
      </w:r>
      <w:r w:rsidRPr="003F5882">
        <w:rPr>
          <w:rFonts w:ascii="Arial" w:hAnsi="Arial" w:cs="Times New Roman"/>
          <w:sz w:val="21"/>
        </w:rPr>
        <w:t>，但是因2014年下半年美元兑瑞郎升值，以及专利性报告翻译的平均费用增加，递延收入的总额增加。</w:t>
      </w:r>
    </w:p>
    <w:p w:rsidR="005A383E" w:rsidRPr="00F453AC" w:rsidRDefault="005A383E" w:rsidP="003F5882">
      <w:pPr>
        <w:keepNext/>
        <w:spacing w:afterLines="50" w:after="120" w:line="340" w:lineRule="atLeast"/>
        <w:jc w:val="center"/>
        <w:rPr>
          <w:rFonts w:ascii="Arial" w:eastAsia="SimSun" w:hAnsi="Arial" w:cs="Times New Roman"/>
          <w:sz w:val="21"/>
          <w:szCs w:val="20"/>
        </w:rPr>
      </w:pPr>
      <w:r w:rsidRPr="003F5882">
        <w:rPr>
          <w:rFonts w:ascii="Arial" w:hAnsi="Arial" w:cs="Times New Roman"/>
          <w:sz w:val="21"/>
          <w:u w:val="single"/>
        </w:rPr>
        <w:t>2013年和2014年PCT递延收入</w:t>
      </w:r>
    </w:p>
    <w:p w:rsidR="005A383E" w:rsidRPr="00F453AC" w:rsidRDefault="00D84912" w:rsidP="00D84912">
      <w:pPr>
        <w:spacing w:afterLines="50" w:after="120" w:line="340" w:lineRule="atLeast"/>
        <w:jc w:val="center"/>
        <w:rPr>
          <w:rFonts w:ascii="Arial" w:eastAsia="SimSun" w:hAnsi="Arial" w:cs="Times New Roman"/>
          <w:sz w:val="21"/>
          <w:szCs w:val="22"/>
          <w:u w:val="single"/>
        </w:rPr>
      </w:pPr>
      <w:r w:rsidRPr="00D84912">
        <w:rPr>
          <w:noProof/>
          <w:lang w:val="en-US" w:bidi="ar-SA"/>
        </w:rPr>
        <w:drawing>
          <wp:inline distT="0" distB="0" distL="0" distR="0">
            <wp:extent cx="4817745" cy="2231390"/>
            <wp:effectExtent l="0" t="0" r="1905"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17745" cy="223139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雇员福利负债为1.612亿瑞郎，主要是1.279亿瑞郎的离职后健康保险</w:t>
      </w:r>
      <w:r w:rsidR="00F453AC" w:rsidRPr="003F5882">
        <w:rPr>
          <w:rFonts w:ascii="Arial" w:hAnsi="Arial" w:cs="Times New Roman" w:hint="eastAsia"/>
          <w:sz w:val="21"/>
        </w:rPr>
        <w:t>（</w:t>
      </w:r>
      <w:r w:rsidRPr="003F5882">
        <w:rPr>
          <w:rFonts w:ascii="Arial" w:hAnsi="Arial" w:cs="Times New Roman"/>
          <w:sz w:val="21"/>
        </w:rPr>
        <w:t>ASHI</w:t>
      </w:r>
      <w:r w:rsidR="00F453AC" w:rsidRPr="003F5882">
        <w:rPr>
          <w:rFonts w:ascii="Arial" w:hAnsi="Arial" w:cs="Times New Roman" w:hint="eastAsia"/>
          <w:sz w:val="21"/>
        </w:rPr>
        <w:t>）</w:t>
      </w:r>
      <w:r w:rsidRPr="003F5882">
        <w:rPr>
          <w:rFonts w:ascii="Arial" w:hAnsi="Arial" w:cs="Times New Roman"/>
          <w:sz w:val="21"/>
        </w:rPr>
        <w:t>负债，占截至2014年12月31日的雇员福利负债总额的79.4%。和2013年相比，ASHI负债增加了830万瑞郎。该负债由独立的精算师计算，反映了WIPO为其已退休人员以及在职WIPO工作人员将来要退休的预计人数所承担的健康保险费的全部未来成本。</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截至2014年12月31日雇员福利负债构成</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657215" cy="2456815"/>
            <wp:effectExtent l="0" t="0" r="635"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57215" cy="245681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ASHI负债在过去六年间稳步增长，同时按照精算预</w:t>
      </w:r>
      <w:r w:rsidR="00D01893" w:rsidRPr="003F5882">
        <w:rPr>
          <w:rFonts w:ascii="Arial" w:hAnsi="Arial" w:cs="Times New Roman" w:hint="eastAsia"/>
          <w:sz w:val="21"/>
        </w:rPr>
        <w:t>测</w:t>
      </w:r>
      <w:r w:rsidRPr="003F5882">
        <w:rPr>
          <w:rFonts w:ascii="Arial" w:hAnsi="Arial" w:cs="Times New Roman"/>
          <w:sz w:val="21"/>
        </w:rPr>
        <w:t>，接下来预计将继续保持增长的势头。负债每年随着本期服务费用和利息成本而增加，且每年随着本组织支付的福利而减少。本期服务费用是本年度雇员服务产生的净影响。利息成本是每一位在职工作人员接近ASHI参与资格的年龄一年而产生的影响。本组织每年支付的福利是其每月为退休人员参加ASHI缴纳的款项</w:t>
      </w:r>
      <w:r w:rsidR="00F453AC" w:rsidRPr="003F5882">
        <w:rPr>
          <w:rFonts w:ascii="Arial" w:hAnsi="Arial" w:cs="Times New Roman"/>
          <w:sz w:val="21"/>
        </w:rPr>
        <w:t>（</w:t>
      </w:r>
      <w:r w:rsidRPr="003F5882">
        <w:rPr>
          <w:rFonts w:ascii="Arial" w:hAnsi="Arial" w:cs="Times New Roman"/>
          <w:sz w:val="21"/>
        </w:rPr>
        <w:t>目前是保费的6</w:t>
      </w:r>
      <w:r w:rsidR="00D01893" w:rsidRPr="003F5882">
        <w:rPr>
          <w:rFonts w:ascii="Arial" w:hAnsi="Arial" w:cs="Times New Roman" w:hint="eastAsia"/>
          <w:sz w:val="21"/>
        </w:rPr>
        <w:t>5.</w:t>
      </w:r>
      <w:r w:rsidRPr="003F5882">
        <w:rPr>
          <w:rFonts w:ascii="Arial" w:hAnsi="Arial" w:cs="Times New Roman"/>
          <w:sz w:val="21"/>
        </w:rPr>
        <w:t>0%</w:t>
      </w:r>
      <w:r w:rsidR="00F453AC" w:rsidRPr="003F5882">
        <w:rPr>
          <w:rFonts w:ascii="Arial" w:hAnsi="Arial" w:cs="Times New Roman"/>
          <w:sz w:val="21"/>
        </w:rPr>
        <w:t>）</w:t>
      </w:r>
      <w:r w:rsidRPr="003F5882">
        <w:rPr>
          <w:rFonts w:ascii="Arial" w:hAnsi="Arial" w:cs="Times New Roman"/>
          <w:sz w:val="21"/>
        </w:rPr>
        <w:t>。因此，WIPO工作人员的人口统计概况，以及目前在职工作人员与退休人员的比例对负债变动产生重大影响。在</w:t>
      </w:r>
      <w:r w:rsidRPr="003F5882">
        <w:rPr>
          <w:rFonts w:ascii="Arial" w:hAnsi="Arial" w:cs="Times New Roman"/>
          <w:sz w:val="21"/>
        </w:rPr>
        <w:lastRenderedPageBreak/>
        <w:t>这种情况下，应注意到2014年1月1日当天或之后任命生效的工作人员退休年龄</w:t>
      </w:r>
      <w:r w:rsidR="00D01893" w:rsidRPr="003F5882">
        <w:rPr>
          <w:rFonts w:ascii="Arial" w:hAnsi="Arial" w:cs="Times New Roman" w:hint="eastAsia"/>
          <w:sz w:val="21"/>
        </w:rPr>
        <w:t>最近的</w:t>
      </w:r>
      <w:r w:rsidRPr="003F5882">
        <w:rPr>
          <w:rFonts w:ascii="Arial" w:hAnsi="Arial" w:cs="Times New Roman"/>
          <w:sz w:val="21"/>
        </w:rPr>
        <w:t>变化。对于这些工作人员来说，其退休年龄</w:t>
      </w:r>
      <w:r w:rsidR="00D01893" w:rsidRPr="003F5882">
        <w:rPr>
          <w:rFonts w:ascii="Arial" w:hAnsi="Arial" w:cs="Times New Roman" w:hint="eastAsia"/>
          <w:sz w:val="21"/>
        </w:rPr>
        <w:t>已经提高至65岁，而</w:t>
      </w:r>
      <w:r w:rsidRPr="003F5882">
        <w:rPr>
          <w:rFonts w:ascii="Arial" w:hAnsi="Arial" w:cs="Times New Roman"/>
          <w:sz w:val="21"/>
        </w:rPr>
        <w:t>1990年11月1日当天或之后</w:t>
      </w:r>
      <w:r w:rsidR="00D01893" w:rsidRPr="003F5882">
        <w:rPr>
          <w:rFonts w:ascii="Arial" w:hAnsi="Arial" w:cs="Times New Roman" w:hint="eastAsia"/>
          <w:sz w:val="21"/>
        </w:rPr>
        <w:t>、</w:t>
      </w:r>
      <w:r w:rsidRPr="003F5882">
        <w:rPr>
          <w:rFonts w:ascii="Arial" w:hAnsi="Arial" w:cs="Times New Roman"/>
          <w:sz w:val="21"/>
        </w:rPr>
        <w:t>2014年1月1日以前任命生效的工作人员</w:t>
      </w:r>
      <w:r w:rsidR="00383E7F" w:rsidRPr="003F5882">
        <w:rPr>
          <w:rFonts w:ascii="Arial" w:hAnsi="Arial" w:cs="Times New Roman" w:hint="eastAsia"/>
          <w:sz w:val="21"/>
        </w:rPr>
        <w:t>则为</w:t>
      </w:r>
      <w:r w:rsidRPr="003F5882">
        <w:rPr>
          <w:rFonts w:ascii="Arial" w:hAnsi="Arial" w:cs="Times New Roman"/>
          <w:sz w:val="21"/>
        </w:rPr>
        <w:t>62岁。</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2009年至2018年ASHI负债变动</w:t>
      </w:r>
    </w:p>
    <w:p w:rsidR="005A383E" w:rsidRPr="00F453AC" w:rsidRDefault="00D84912" w:rsidP="00D84912">
      <w:pPr>
        <w:spacing w:afterLines="50" w:after="120" w:line="340" w:lineRule="atLeast"/>
        <w:jc w:val="center"/>
        <w:rPr>
          <w:rFonts w:ascii="Arial" w:eastAsia="SimSun" w:hAnsi="Arial" w:cs="Times New Roman"/>
        </w:rPr>
      </w:pPr>
      <w:r w:rsidRPr="00D84912">
        <w:rPr>
          <w:noProof/>
          <w:lang w:val="en-US" w:bidi="ar-SA"/>
        </w:rPr>
        <w:drawing>
          <wp:inline distT="0" distB="0" distL="0" distR="0">
            <wp:extent cx="4994910" cy="282511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94910" cy="282511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独立精算师的计算还包括</w:t>
      </w:r>
      <w:r w:rsidR="0084216B" w:rsidRPr="003F5882">
        <w:rPr>
          <w:rFonts w:ascii="Arial" w:hAnsi="Arial" w:cs="Times New Roman" w:hint="eastAsia"/>
          <w:sz w:val="21"/>
        </w:rPr>
        <w:t>一些</w:t>
      </w:r>
      <w:r w:rsidRPr="003F5882">
        <w:rPr>
          <w:rFonts w:ascii="Arial" w:hAnsi="Arial" w:cs="Times New Roman"/>
          <w:sz w:val="21"/>
        </w:rPr>
        <w:t>精算假设，包括贴现率、医疗费</w:t>
      </w:r>
      <w:proofErr w:type="gramStart"/>
      <w:r w:rsidRPr="003F5882">
        <w:rPr>
          <w:rFonts w:ascii="Arial" w:hAnsi="Arial" w:cs="Times New Roman"/>
          <w:sz w:val="21"/>
        </w:rPr>
        <w:t>用趋势率</w:t>
      </w:r>
      <w:proofErr w:type="gramEnd"/>
      <w:r w:rsidRPr="003F5882">
        <w:rPr>
          <w:rFonts w:ascii="Arial" w:hAnsi="Arial" w:cs="Times New Roman"/>
          <w:sz w:val="21"/>
        </w:rPr>
        <w:t>、员工流动率和死亡率。这些假设的同比变动导致精算</w:t>
      </w:r>
      <w:r w:rsidR="0084216B" w:rsidRPr="003F5882">
        <w:rPr>
          <w:rFonts w:ascii="Arial" w:hAnsi="Arial" w:cs="Times New Roman" w:hint="eastAsia"/>
          <w:sz w:val="21"/>
        </w:rPr>
        <w:t>盈余和亏损</w:t>
      </w:r>
      <w:r w:rsidRPr="003F5882">
        <w:rPr>
          <w:rFonts w:ascii="Arial" w:hAnsi="Arial" w:cs="Times New Roman"/>
          <w:sz w:val="21"/>
        </w:rPr>
        <w:t>。根据IPSAS，WIPO采用居间法对这些精算</w:t>
      </w:r>
      <w:r w:rsidR="0084216B" w:rsidRPr="003F5882">
        <w:rPr>
          <w:rFonts w:ascii="Arial" w:hAnsi="Arial" w:cs="Times New Roman" w:hint="eastAsia"/>
          <w:sz w:val="21"/>
        </w:rPr>
        <w:t>盈余和亏损</w:t>
      </w:r>
      <w:r w:rsidRPr="003F5882">
        <w:rPr>
          <w:rFonts w:ascii="Arial" w:hAnsi="Arial" w:cs="Times New Roman"/>
          <w:sz w:val="21"/>
        </w:rPr>
        <w:t>进行会计处理，这意味着他们没有立即在财务报表中予以</w:t>
      </w:r>
      <w:r w:rsidR="0084216B" w:rsidRPr="003F5882">
        <w:rPr>
          <w:rFonts w:ascii="Arial" w:hAnsi="Arial" w:cs="Times New Roman" w:hint="eastAsia"/>
          <w:sz w:val="21"/>
        </w:rPr>
        <w:t>认定</w:t>
      </w:r>
      <w:r w:rsidRPr="003F5882">
        <w:rPr>
          <w:rFonts w:ascii="Arial" w:hAnsi="Arial" w:cs="Times New Roman"/>
          <w:sz w:val="21"/>
        </w:rPr>
        <w:t>。应该注意的是</w:t>
      </w:r>
      <w:r w:rsidR="0084216B" w:rsidRPr="003F5882">
        <w:rPr>
          <w:rFonts w:ascii="Arial" w:hAnsi="Arial" w:cs="Times New Roman" w:hint="eastAsia"/>
          <w:sz w:val="21"/>
        </w:rPr>
        <w:t>，</w:t>
      </w:r>
      <w:r w:rsidR="00E04F07" w:rsidRPr="003F5882">
        <w:rPr>
          <w:rFonts w:ascii="Arial" w:hAnsi="Arial" w:cs="Times New Roman" w:hint="eastAsia"/>
          <w:sz w:val="21"/>
        </w:rPr>
        <w:t>《</w:t>
      </w:r>
      <w:r w:rsidRPr="003F5882">
        <w:rPr>
          <w:rFonts w:ascii="Arial" w:hAnsi="Arial" w:cs="Times New Roman"/>
          <w:sz w:val="21"/>
        </w:rPr>
        <w:t>国际财务报告准则</w:t>
      </w:r>
      <w:r w:rsidR="00E04F07" w:rsidRPr="003F5882">
        <w:rPr>
          <w:rFonts w:ascii="Arial" w:hAnsi="Arial" w:cs="Times New Roman" w:hint="eastAsia"/>
          <w:sz w:val="21"/>
        </w:rPr>
        <w:t>》</w:t>
      </w:r>
      <w:r w:rsidR="00F453AC" w:rsidRPr="003F5882">
        <w:rPr>
          <w:rFonts w:ascii="Arial" w:hAnsi="Arial" w:cs="Times New Roman"/>
          <w:sz w:val="21"/>
        </w:rPr>
        <w:t>（</w:t>
      </w:r>
      <w:r w:rsidRPr="003F5882">
        <w:rPr>
          <w:rFonts w:ascii="Arial" w:hAnsi="Arial" w:cs="Times New Roman"/>
          <w:sz w:val="21"/>
        </w:rPr>
        <w:t>IFRS</w:t>
      </w:r>
      <w:r w:rsidR="00F453AC" w:rsidRPr="003F5882">
        <w:rPr>
          <w:rFonts w:ascii="Arial" w:hAnsi="Arial" w:cs="Times New Roman"/>
          <w:sz w:val="21"/>
        </w:rPr>
        <w:t>）</w:t>
      </w:r>
      <w:r w:rsidRPr="003F5882">
        <w:rPr>
          <w:rFonts w:ascii="Arial" w:hAnsi="Arial" w:cs="Times New Roman"/>
          <w:sz w:val="21"/>
        </w:rPr>
        <w:t>如今已经淘汰了用居间法来递延</w:t>
      </w:r>
      <w:r w:rsidR="0084216B" w:rsidRPr="003F5882">
        <w:rPr>
          <w:rFonts w:ascii="Arial" w:hAnsi="Arial" w:cs="Times New Roman" w:hint="eastAsia"/>
          <w:sz w:val="21"/>
        </w:rPr>
        <w:t>认定</w:t>
      </w:r>
      <w:r w:rsidRPr="003F5882">
        <w:rPr>
          <w:rFonts w:ascii="Arial" w:hAnsi="Arial" w:cs="Times New Roman"/>
          <w:sz w:val="21"/>
        </w:rPr>
        <w:t>精算</w:t>
      </w:r>
      <w:r w:rsidR="0084216B" w:rsidRPr="003F5882">
        <w:rPr>
          <w:rFonts w:ascii="Arial" w:hAnsi="Arial" w:cs="Times New Roman" w:hint="eastAsia"/>
          <w:sz w:val="21"/>
        </w:rPr>
        <w:t>盈余和亏损</w:t>
      </w:r>
      <w:r w:rsidRPr="003F5882">
        <w:rPr>
          <w:rFonts w:ascii="Arial" w:hAnsi="Arial" w:cs="Times New Roman"/>
          <w:sz w:val="21"/>
        </w:rPr>
        <w:t>。如果IPSAS标准遵守IFRS的这一变更，这</w:t>
      </w:r>
      <w:r w:rsidR="0084216B" w:rsidRPr="003F5882">
        <w:rPr>
          <w:rFonts w:ascii="Arial" w:hAnsi="Arial" w:cs="Times New Roman" w:hint="eastAsia"/>
          <w:sz w:val="21"/>
        </w:rPr>
        <w:t>可能</w:t>
      </w:r>
      <w:r w:rsidRPr="003F5882">
        <w:rPr>
          <w:rFonts w:ascii="Arial" w:hAnsi="Arial" w:cs="Times New Roman"/>
          <w:sz w:val="21"/>
        </w:rPr>
        <w:t>会引发财务状况表确认的ASHI负债出现更大幅的波动。截至2014年12月31日，WIPO与ASHI相关的累计未</w:t>
      </w:r>
      <w:r w:rsidR="0084216B" w:rsidRPr="003F5882">
        <w:rPr>
          <w:rFonts w:ascii="Arial" w:hAnsi="Arial" w:cs="Times New Roman" w:hint="eastAsia"/>
          <w:sz w:val="21"/>
        </w:rPr>
        <w:t>认定</w:t>
      </w:r>
      <w:r w:rsidRPr="003F5882">
        <w:rPr>
          <w:rFonts w:ascii="Arial" w:hAnsi="Arial" w:cs="Times New Roman"/>
          <w:sz w:val="21"/>
        </w:rPr>
        <w:t>精算</w:t>
      </w:r>
      <w:r w:rsidR="0084216B" w:rsidRPr="003F5882">
        <w:rPr>
          <w:rFonts w:ascii="Arial" w:hAnsi="Arial" w:cs="Times New Roman" w:hint="eastAsia"/>
          <w:sz w:val="21"/>
        </w:rPr>
        <w:t>亏损</w:t>
      </w:r>
      <w:r w:rsidRPr="003F5882">
        <w:rPr>
          <w:rFonts w:ascii="Arial" w:hAnsi="Arial" w:cs="Times New Roman"/>
          <w:sz w:val="21"/>
        </w:rPr>
        <w:t>总额为2,660万瑞郎。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借款为国际组织不动产基金会</w:t>
      </w:r>
      <w:r w:rsidR="00F453AC" w:rsidRPr="003F5882">
        <w:rPr>
          <w:rFonts w:ascii="Arial" w:hAnsi="Arial" w:cs="Times New Roman"/>
          <w:sz w:val="21"/>
        </w:rPr>
        <w:t>（</w:t>
      </w:r>
      <w:r w:rsidRPr="003F5882">
        <w:rPr>
          <w:rFonts w:ascii="Arial" w:hAnsi="Arial" w:cs="Times New Roman"/>
          <w:sz w:val="21"/>
        </w:rPr>
        <w:t>FIPOI</w:t>
      </w:r>
      <w:r w:rsidR="00F453AC" w:rsidRPr="003F5882">
        <w:rPr>
          <w:rFonts w:ascii="Arial" w:hAnsi="Arial" w:cs="Times New Roman"/>
          <w:sz w:val="21"/>
        </w:rPr>
        <w:t>）</w:t>
      </w:r>
      <w:r w:rsidRPr="003F5882">
        <w:rPr>
          <w:rFonts w:ascii="Arial" w:hAnsi="Arial" w:cs="Times New Roman"/>
          <w:sz w:val="21"/>
        </w:rPr>
        <w:t>的贷款</w:t>
      </w:r>
      <w:r w:rsidR="00F453AC" w:rsidRPr="003F5882">
        <w:rPr>
          <w:rFonts w:ascii="Arial" w:hAnsi="Arial" w:cs="Times New Roman" w:hint="eastAsia"/>
          <w:sz w:val="21"/>
        </w:rPr>
        <w:t>（</w:t>
      </w:r>
      <w:r w:rsidRPr="003F5882">
        <w:rPr>
          <w:rFonts w:ascii="Arial" w:hAnsi="Arial" w:cs="Times New Roman"/>
          <w:sz w:val="21"/>
        </w:rPr>
        <w:t>2,090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和日内瓦州立银行和</w:t>
      </w:r>
      <w:proofErr w:type="gramStart"/>
      <w:r w:rsidRPr="003F5882">
        <w:rPr>
          <w:rFonts w:ascii="Arial" w:hAnsi="Arial" w:cs="Times New Roman"/>
          <w:sz w:val="21"/>
        </w:rPr>
        <w:t>沃州</w:t>
      </w:r>
      <w:proofErr w:type="gramEnd"/>
      <w:r w:rsidRPr="003F5882">
        <w:rPr>
          <w:rFonts w:ascii="Arial" w:hAnsi="Arial" w:cs="Times New Roman"/>
          <w:sz w:val="21"/>
        </w:rPr>
        <w:t>州立银行</w:t>
      </w:r>
      <w:r w:rsidR="00F453AC" w:rsidRPr="003F5882">
        <w:rPr>
          <w:rFonts w:ascii="Arial" w:hAnsi="Arial" w:cs="Times New Roman"/>
          <w:sz w:val="21"/>
        </w:rPr>
        <w:t>（</w:t>
      </w:r>
      <w:r w:rsidRPr="003F5882">
        <w:rPr>
          <w:rFonts w:ascii="Arial" w:hAnsi="Arial" w:cs="Times New Roman"/>
          <w:sz w:val="21"/>
        </w:rPr>
        <w:t>BCG/BCV</w:t>
      </w:r>
      <w:r w:rsidR="00F453AC" w:rsidRPr="003F5882">
        <w:rPr>
          <w:rFonts w:ascii="Arial" w:hAnsi="Arial" w:cs="Times New Roman"/>
          <w:sz w:val="21"/>
        </w:rPr>
        <w:t>）</w:t>
      </w:r>
      <w:r w:rsidRPr="003F5882">
        <w:rPr>
          <w:rFonts w:ascii="Arial" w:hAnsi="Arial" w:cs="Times New Roman"/>
          <w:sz w:val="21"/>
        </w:rPr>
        <w:t>新办公楼贷款</w:t>
      </w:r>
      <w:r w:rsidR="00F453AC" w:rsidRPr="003F5882">
        <w:rPr>
          <w:rFonts w:ascii="Arial" w:hAnsi="Arial" w:cs="Times New Roman" w:hint="eastAsia"/>
          <w:sz w:val="21"/>
        </w:rPr>
        <w:t>（</w:t>
      </w:r>
      <w:r w:rsidRPr="003F5882">
        <w:rPr>
          <w:rFonts w:ascii="Arial" w:hAnsi="Arial" w:cs="Times New Roman"/>
          <w:sz w:val="21"/>
        </w:rPr>
        <w:t>1.183亿瑞郎</w:t>
      </w:r>
      <w:r w:rsidR="00F453AC" w:rsidRPr="003F5882">
        <w:rPr>
          <w:rFonts w:ascii="Arial" w:hAnsi="Arial" w:cs="Times New Roman" w:hint="eastAsia"/>
          <w:sz w:val="21"/>
        </w:rPr>
        <w:t>）</w:t>
      </w:r>
      <w:r w:rsidRPr="003F5882">
        <w:rPr>
          <w:rFonts w:ascii="Arial" w:hAnsi="Arial" w:cs="Times New Roman"/>
          <w:sz w:val="21"/>
        </w:rPr>
        <w:t>。这些贷款本金2014年还款总额为530</w:t>
      </w:r>
      <w:proofErr w:type="gramStart"/>
      <w:r w:rsidRPr="003F5882">
        <w:rPr>
          <w:rFonts w:ascii="Arial" w:hAnsi="Arial" w:cs="Times New Roman"/>
          <w:sz w:val="21"/>
        </w:rPr>
        <w:t>万瑞</w:t>
      </w:r>
      <w:proofErr w:type="gramEnd"/>
      <w:r w:rsidRPr="003F5882">
        <w:rPr>
          <w:rFonts w:ascii="Arial" w:hAnsi="Arial" w:cs="Times New Roman"/>
          <w:sz w:val="21"/>
        </w:rPr>
        <w:t>郎。本组织将于2015年11月进行第一期一次性偿还BCG/BCV新办公楼贷款，偿还金额为2,400</w:t>
      </w:r>
      <w:proofErr w:type="gramStart"/>
      <w:r w:rsidRPr="003F5882">
        <w:rPr>
          <w:rFonts w:ascii="Arial" w:hAnsi="Arial" w:cs="Times New Roman"/>
          <w:sz w:val="21"/>
        </w:rPr>
        <w:t>万瑞</w:t>
      </w:r>
      <w:proofErr w:type="gramEnd"/>
      <w:r w:rsidRPr="003F5882">
        <w:rPr>
          <w:rFonts w:ascii="Arial" w:hAnsi="Arial" w:cs="Times New Roman"/>
          <w:sz w:val="21"/>
        </w:rPr>
        <w:t>郎。其他负债总计为6,450</w:t>
      </w:r>
      <w:proofErr w:type="gramStart"/>
      <w:r w:rsidRPr="003F5882">
        <w:rPr>
          <w:rFonts w:ascii="Arial" w:hAnsi="Arial" w:cs="Times New Roman"/>
          <w:sz w:val="21"/>
        </w:rPr>
        <w:t>万瑞</w:t>
      </w:r>
      <w:proofErr w:type="gramEnd"/>
      <w:r w:rsidRPr="003F5882">
        <w:rPr>
          <w:rFonts w:ascii="Arial" w:hAnsi="Arial" w:cs="Times New Roman"/>
          <w:sz w:val="21"/>
        </w:rPr>
        <w:t>郎，其中主要包括代表申请人和缔约方持有的6,360</w:t>
      </w:r>
      <w:proofErr w:type="gramStart"/>
      <w:r w:rsidRPr="003F5882">
        <w:rPr>
          <w:rFonts w:ascii="Arial" w:hAnsi="Arial" w:cs="Times New Roman"/>
          <w:sz w:val="21"/>
        </w:rPr>
        <w:t>万瑞</w:t>
      </w:r>
      <w:proofErr w:type="gramEnd"/>
      <w:r w:rsidRPr="003F5882">
        <w:rPr>
          <w:rFonts w:ascii="Arial" w:hAnsi="Arial" w:cs="Times New Roman"/>
          <w:sz w:val="21"/>
        </w:rPr>
        <w:t>郎的活期账户存款，以及90</w:t>
      </w:r>
      <w:proofErr w:type="gramStart"/>
      <w:r w:rsidRPr="003F5882">
        <w:rPr>
          <w:rFonts w:ascii="Arial" w:hAnsi="Arial" w:cs="Times New Roman"/>
          <w:sz w:val="21"/>
        </w:rPr>
        <w:t>万瑞</w:t>
      </w:r>
      <w:proofErr w:type="gramEnd"/>
      <w:r w:rsidRPr="003F5882">
        <w:rPr>
          <w:rFonts w:ascii="Arial" w:hAnsi="Arial" w:cs="Times New Roman"/>
          <w:sz w:val="21"/>
        </w:rPr>
        <w:t>郎的法律费用准备金。</w:t>
      </w:r>
    </w:p>
    <w:p w:rsidR="006C0099" w:rsidRPr="00CA4DB8" w:rsidRDefault="006C0099"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现金流量</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t>截至2014年12月31日,本组织现金余额为4.745亿瑞郎</w:t>
      </w:r>
      <w:r w:rsidR="007B1C92" w:rsidRPr="003F5882">
        <w:rPr>
          <w:rFonts w:ascii="Arial" w:hAnsi="Arial" w:cs="Times New Roman" w:hint="eastAsia"/>
          <w:sz w:val="21"/>
        </w:rPr>
        <w:t>，</w:t>
      </w:r>
      <w:r w:rsidRPr="003F5882">
        <w:rPr>
          <w:rFonts w:ascii="Arial" w:hAnsi="Arial" w:cs="Times New Roman"/>
          <w:sz w:val="21"/>
        </w:rPr>
        <w:t>相比之下</w:t>
      </w:r>
      <w:r w:rsidR="007B1C92" w:rsidRPr="003F5882">
        <w:rPr>
          <w:rFonts w:ascii="Arial" w:hAnsi="Arial" w:cs="Times New Roman" w:hint="eastAsia"/>
          <w:sz w:val="21"/>
        </w:rPr>
        <w:t>，</w:t>
      </w:r>
      <w:r w:rsidRPr="003F5882">
        <w:rPr>
          <w:rFonts w:ascii="Arial" w:hAnsi="Arial" w:cs="Times New Roman"/>
          <w:sz w:val="21"/>
        </w:rPr>
        <w:t>截至2013年12月31日</w:t>
      </w:r>
      <w:r w:rsidR="007B1C92" w:rsidRPr="003F5882">
        <w:rPr>
          <w:rFonts w:ascii="Arial" w:hAnsi="Arial" w:cs="Times New Roman" w:hint="eastAsia"/>
          <w:sz w:val="21"/>
        </w:rPr>
        <w:t>的</w:t>
      </w:r>
      <w:r w:rsidRPr="003F5882">
        <w:rPr>
          <w:rFonts w:ascii="Arial" w:hAnsi="Arial" w:cs="Times New Roman"/>
          <w:sz w:val="21"/>
        </w:rPr>
        <w:t>现金余额为4.099亿瑞郎。现金余额总额自2011年起持续增长。2014年现金余额比2013年增长了6,460万瑞郎，这主要因为本年度PCT体系规费现金收入水平</w:t>
      </w:r>
      <w:r w:rsidR="007B1C92" w:rsidRPr="003F5882">
        <w:rPr>
          <w:rFonts w:ascii="Arial" w:hAnsi="Arial" w:cs="Times New Roman" w:hint="eastAsia"/>
          <w:sz w:val="21"/>
        </w:rPr>
        <w:t>提高</w:t>
      </w:r>
      <w:r w:rsidRPr="003F5882">
        <w:rPr>
          <w:rFonts w:ascii="Arial" w:hAnsi="Arial" w:cs="Times New Roman"/>
          <w:sz w:val="21"/>
        </w:rPr>
        <w:t>。此外，还因为为第三方持有的往来账户余额增加</w:t>
      </w:r>
      <w:r w:rsidR="00353659" w:rsidRPr="003F5882">
        <w:rPr>
          <w:rFonts w:ascii="Arial" w:hAnsi="Arial" w:cs="Times New Roman" w:hint="eastAsia"/>
          <w:sz w:val="21"/>
        </w:rPr>
        <w:t>了</w:t>
      </w:r>
      <w:r w:rsidRPr="003F5882">
        <w:rPr>
          <w:rFonts w:ascii="Arial" w:hAnsi="Arial" w:cs="Times New Roman"/>
          <w:sz w:val="21"/>
        </w:rPr>
        <w:t>870</w:t>
      </w:r>
      <w:proofErr w:type="gramStart"/>
      <w:r w:rsidRPr="003F5882">
        <w:rPr>
          <w:rFonts w:ascii="Arial" w:hAnsi="Arial" w:cs="Times New Roman"/>
          <w:sz w:val="21"/>
        </w:rPr>
        <w:t>万瑞</w:t>
      </w:r>
      <w:proofErr w:type="gramEnd"/>
      <w:r w:rsidRPr="003F5882">
        <w:rPr>
          <w:rFonts w:ascii="Arial" w:hAnsi="Arial" w:cs="Times New Roman"/>
          <w:sz w:val="21"/>
        </w:rPr>
        <w:t>郎，马德里联盟存款</w:t>
      </w:r>
      <w:r w:rsidR="00F453AC" w:rsidRPr="003F5882">
        <w:rPr>
          <w:rFonts w:ascii="Arial" w:hAnsi="Arial" w:cs="Times New Roman"/>
          <w:sz w:val="21"/>
        </w:rPr>
        <w:t>（</w:t>
      </w:r>
      <w:r w:rsidRPr="003F5882">
        <w:rPr>
          <w:rFonts w:ascii="Arial" w:hAnsi="Arial" w:cs="Times New Roman"/>
          <w:sz w:val="21"/>
        </w:rPr>
        <w:t>归为应付转账款或预收账款</w:t>
      </w:r>
      <w:r w:rsidR="00F453AC" w:rsidRPr="003F5882">
        <w:rPr>
          <w:rFonts w:ascii="Arial" w:hAnsi="Arial" w:cs="Times New Roman"/>
          <w:sz w:val="21"/>
        </w:rPr>
        <w:t>）</w:t>
      </w:r>
      <w:r w:rsidRPr="003F5882">
        <w:rPr>
          <w:rFonts w:ascii="Arial" w:hAnsi="Arial" w:cs="Times New Roman"/>
          <w:sz w:val="21"/>
        </w:rPr>
        <w:t>增加</w:t>
      </w:r>
      <w:r w:rsidR="00353659" w:rsidRPr="003F5882">
        <w:rPr>
          <w:rFonts w:ascii="Arial" w:hAnsi="Arial" w:cs="Times New Roman" w:hint="eastAsia"/>
          <w:sz w:val="21"/>
        </w:rPr>
        <w:t>了</w:t>
      </w:r>
      <w:r w:rsidRPr="003F5882">
        <w:rPr>
          <w:rFonts w:ascii="Arial" w:hAnsi="Arial" w:cs="Times New Roman"/>
          <w:sz w:val="21"/>
        </w:rPr>
        <w:t>840</w:t>
      </w:r>
      <w:proofErr w:type="gramStart"/>
      <w:r w:rsidRPr="003F5882">
        <w:rPr>
          <w:rFonts w:ascii="Arial" w:hAnsi="Arial" w:cs="Times New Roman"/>
          <w:sz w:val="21"/>
        </w:rPr>
        <w:t>万瑞</w:t>
      </w:r>
      <w:proofErr w:type="gramEnd"/>
      <w:r w:rsidRPr="003F5882">
        <w:rPr>
          <w:rFonts w:ascii="Arial" w:hAnsi="Arial" w:cs="Times New Roman"/>
          <w:sz w:val="21"/>
        </w:rPr>
        <w:t>郎。</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t>在财务报表中</w:t>
      </w:r>
      <w:r w:rsidR="00F453AC" w:rsidRPr="003F5882">
        <w:rPr>
          <w:rFonts w:ascii="Arial" w:hAnsi="Arial" w:cs="Times New Roman"/>
          <w:sz w:val="21"/>
        </w:rPr>
        <w:t>（</w:t>
      </w:r>
      <w:r w:rsidRPr="003F5882">
        <w:rPr>
          <w:rFonts w:ascii="Arial" w:hAnsi="Arial" w:cs="Times New Roman"/>
          <w:sz w:val="21"/>
        </w:rPr>
        <w:t>见附注3</w:t>
      </w:r>
      <w:r w:rsidR="00F453AC" w:rsidRPr="003F5882">
        <w:rPr>
          <w:rFonts w:ascii="Arial" w:hAnsi="Arial" w:cs="Times New Roman"/>
          <w:sz w:val="21"/>
        </w:rPr>
        <w:t>）</w:t>
      </w:r>
      <w:r w:rsidRPr="003F5882">
        <w:rPr>
          <w:rFonts w:ascii="Arial" w:hAnsi="Arial" w:cs="Times New Roman"/>
          <w:sz w:val="21"/>
        </w:rPr>
        <w:t>，现金按照受限和不受限分别列示。受限资金包括</w:t>
      </w:r>
      <w:r w:rsidR="007B51AD" w:rsidRPr="003F5882">
        <w:rPr>
          <w:rFonts w:ascii="Arial" w:hAnsi="Arial" w:cs="Times New Roman" w:hint="eastAsia"/>
          <w:sz w:val="21"/>
        </w:rPr>
        <w:t>为</w:t>
      </w:r>
      <w:r w:rsidR="007B51AD" w:rsidRPr="003F5882">
        <w:rPr>
          <w:rFonts w:ascii="Arial" w:hAnsi="Arial" w:cs="Times New Roman"/>
          <w:sz w:val="21"/>
        </w:rPr>
        <w:t>商标或工业品外观设计</w:t>
      </w:r>
      <w:r w:rsidR="00F35C80" w:rsidRPr="003F5882">
        <w:rPr>
          <w:rFonts w:ascii="Arial" w:hAnsi="Arial" w:cs="Times New Roman" w:hint="eastAsia"/>
          <w:sz w:val="21"/>
        </w:rPr>
        <w:t>注册而</w:t>
      </w:r>
      <w:r w:rsidRPr="003F5882">
        <w:rPr>
          <w:rFonts w:ascii="Arial" w:hAnsi="Arial" w:cs="Times New Roman"/>
          <w:sz w:val="21"/>
        </w:rPr>
        <w:t>代表第三方持有的资金，还包括</w:t>
      </w:r>
      <w:r w:rsidR="00F35C80" w:rsidRPr="003F5882">
        <w:rPr>
          <w:rFonts w:ascii="Arial" w:hAnsi="Arial" w:cs="Times New Roman" w:hint="eastAsia"/>
          <w:sz w:val="21"/>
        </w:rPr>
        <w:t>代表</w:t>
      </w:r>
      <w:r w:rsidRPr="003F5882">
        <w:rPr>
          <w:rFonts w:ascii="Arial" w:hAnsi="Arial" w:cs="Times New Roman"/>
          <w:sz w:val="21"/>
        </w:rPr>
        <w:t>《马德里协定》和《议定书》</w:t>
      </w:r>
      <w:r w:rsidR="00F35C80" w:rsidRPr="003F5882">
        <w:rPr>
          <w:rFonts w:ascii="Arial" w:hAnsi="Arial" w:cs="Times New Roman" w:hint="eastAsia"/>
          <w:sz w:val="21"/>
        </w:rPr>
        <w:t>以及</w:t>
      </w:r>
      <w:r w:rsidRPr="003F5882">
        <w:rPr>
          <w:rFonts w:ascii="Arial" w:hAnsi="Arial" w:cs="Times New Roman"/>
          <w:sz w:val="21"/>
        </w:rPr>
        <w:t>《海牙协定》的缔约方以及代表PCT国际检索单位</w:t>
      </w:r>
      <w:r w:rsidR="00F453AC" w:rsidRPr="003F5882">
        <w:rPr>
          <w:rFonts w:ascii="Arial" w:hAnsi="Arial" w:cs="Times New Roman" w:hint="eastAsia"/>
          <w:sz w:val="21"/>
        </w:rPr>
        <w:t>（</w:t>
      </w:r>
      <w:r w:rsidRPr="003F5882">
        <w:rPr>
          <w:rFonts w:ascii="Arial" w:hAnsi="Arial" w:cs="Times New Roman"/>
          <w:sz w:val="21"/>
        </w:rPr>
        <w:t>ISAs</w:t>
      </w:r>
      <w:r w:rsidR="00F453AC" w:rsidRPr="003F5882">
        <w:rPr>
          <w:rFonts w:ascii="Arial" w:hAnsi="Arial" w:cs="Times New Roman" w:hint="eastAsia"/>
          <w:sz w:val="21"/>
        </w:rPr>
        <w:t>）</w:t>
      </w:r>
      <w:r w:rsidRPr="003F5882">
        <w:rPr>
          <w:rFonts w:ascii="Arial" w:hAnsi="Arial" w:cs="Times New Roman"/>
          <w:sz w:val="21"/>
        </w:rPr>
        <w:t>收取的</w:t>
      </w:r>
      <w:proofErr w:type="gramStart"/>
      <w:r w:rsidRPr="003F5882">
        <w:rPr>
          <w:rFonts w:ascii="Arial" w:hAnsi="Arial" w:cs="Times New Roman"/>
          <w:sz w:val="21"/>
        </w:rPr>
        <w:t>规</w:t>
      </w:r>
      <w:proofErr w:type="gramEnd"/>
      <w:r w:rsidRPr="003F5882">
        <w:rPr>
          <w:rFonts w:ascii="Arial" w:hAnsi="Arial" w:cs="Times New Roman"/>
          <w:sz w:val="21"/>
        </w:rPr>
        <w:t>费。收到的与商标未决程序相关押金</w:t>
      </w:r>
      <w:r w:rsidR="00F453AC" w:rsidRPr="003F5882">
        <w:rPr>
          <w:rFonts w:ascii="Arial" w:hAnsi="Arial" w:cs="Times New Roman" w:hint="eastAsia"/>
          <w:sz w:val="21"/>
        </w:rPr>
        <w:t>（</w:t>
      </w:r>
      <w:r w:rsidRPr="003F5882">
        <w:rPr>
          <w:rFonts w:ascii="Arial" w:hAnsi="Arial" w:cs="Times New Roman"/>
          <w:sz w:val="21"/>
        </w:rPr>
        <w:t>预计向本组织缴纳的预付款比例除外</w:t>
      </w:r>
      <w:r w:rsidR="00F453AC" w:rsidRPr="003F5882">
        <w:rPr>
          <w:rFonts w:ascii="Arial" w:hAnsi="Arial" w:cs="Times New Roman" w:hint="eastAsia"/>
          <w:sz w:val="21"/>
        </w:rPr>
        <w:t>）</w:t>
      </w:r>
      <w:r w:rsidRPr="003F5882">
        <w:rPr>
          <w:rFonts w:ascii="Arial" w:hAnsi="Arial" w:cs="Times New Roman"/>
          <w:sz w:val="21"/>
        </w:rPr>
        <w:t>也被视为受限资金，</w:t>
      </w:r>
      <w:r w:rsidR="00F35C80" w:rsidRPr="003F5882">
        <w:rPr>
          <w:rFonts w:ascii="Arial" w:hAnsi="Arial" w:cs="Times New Roman" w:hint="eastAsia"/>
          <w:sz w:val="21"/>
        </w:rPr>
        <w:t>一如</w:t>
      </w:r>
      <w:r w:rsidRPr="003F5882">
        <w:rPr>
          <w:rFonts w:ascii="Arial" w:hAnsi="Arial" w:cs="Times New Roman"/>
          <w:sz w:val="21"/>
        </w:rPr>
        <w:t>代表自愿捐款的捐助人</w:t>
      </w:r>
      <w:r w:rsidR="00F35C80" w:rsidRPr="003F5882">
        <w:rPr>
          <w:rFonts w:ascii="Arial" w:hAnsi="Arial" w:cs="Times New Roman" w:hint="eastAsia"/>
          <w:sz w:val="21"/>
        </w:rPr>
        <w:t>所</w:t>
      </w:r>
      <w:r w:rsidRPr="003F5882">
        <w:rPr>
          <w:rFonts w:ascii="Arial" w:hAnsi="Arial" w:cs="Times New Roman"/>
          <w:sz w:val="21"/>
        </w:rPr>
        <w:t>持有的账户。</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lastRenderedPageBreak/>
        <w:t>2014年期间，本组织向为持有</w:t>
      </w:r>
      <w:r w:rsidR="00F35C80" w:rsidRPr="003F5882">
        <w:rPr>
          <w:rFonts w:ascii="Arial" w:hAnsi="Arial" w:cs="Times New Roman" w:hint="eastAsia"/>
          <w:sz w:val="21"/>
        </w:rPr>
        <w:t>被分配用于</w:t>
      </w:r>
      <w:r w:rsidRPr="003F5882">
        <w:rPr>
          <w:rFonts w:ascii="Arial" w:hAnsi="Arial" w:cs="Times New Roman"/>
          <w:sz w:val="21"/>
        </w:rPr>
        <w:t>未来离职后雇员福利负债融资</w:t>
      </w:r>
      <w:r w:rsidR="00F35C80" w:rsidRPr="003F5882">
        <w:rPr>
          <w:rFonts w:ascii="Arial" w:hAnsi="Arial" w:cs="Times New Roman" w:hint="eastAsia"/>
          <w:sz w:val="21"/>
        </w:rPr>
        <w:t>的</w:t>
      </w:r>
      <w:r w:rsidRPr="003F5882">
        <w:rPr>
          <w:rFonts w:ascii="Arial" w:hAnsi="Arial" w:cs="Times New Roman"/>
          <w:sz w:val="21"/>
        </w:rPr>
        <w:t>资金而开立的单独银行账户转账8,520</w:t>
      </w:r>
      <w:proofErr w:type="gramStart"/>
      <w:r w:rsidRPr="003F5882">
        <w:rPr>
          <w:rFonts w:ascii="Arial" w:hAnsi="Arial" w:cs="Times New Roman"/>
          <w:sz w:val="21"/>
        </w:rPr>
        <w:t>万瑞</w:t>
      </w:r>
      <w:proofErr w:type="gramEnd"/>
      <w:r w:rsidRPr="003F5882">
        <w:rPr>
          <w:rFonts w:ascii="Arial" w:hAnsi="Arial" w:cs="Times New Roman"/>
          <w:sz w:val="21"/>
        </w:rPr>
        <w:t>郎。该账户截至2014年12月31日的余额也被归为受限资金。</w:t>
      </w:r>
    </w:p>
    <w:p w:rsidR="006C0099" w:rsidRPr="00F453AC" w:rsidRDefault="006C0099"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2010年至2014年非受限和受限现金余额</w:t>
      </w:r>
    </w:p>
    <w:p w:rsidR="006C0099"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370195" cy="3343910"/>
            <wp:effectExtent l="0" t="0" r="1905" b="889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70195" cy="3343910"/>
                    </a:xfrm>
                    <a:prstGeom prst="rect">
                      <a:avLst/>
                    </a:prstGeom>
                    <a:noFill/>
                    <a:ln>
                      <a:noFill/>
                    </a:ln>
                  </pic:spPr>
                </pic:pic>
              </a:graphicData>
            </a:graphic>
          </wp:inline>
        </w:drawing>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rPr>
      </w:pPr>
      <w:r w:rsidRPr="003F5882">
        <w:rPr>
          <w:rFonts w:ascii="Arial" w:hAnsi="Arial" w:cs="Times New Roman"/>
          <w:sz w:val="21"/>
        </w:rPr>
        <w:t>如以上借款分析中所述，本组织在2015年计划开始一次性偿还BCG/BCV新办公楼贷款。第一次还款</w:t>
      </w:r>
      <w:r w:rsidR="00F4070F" w:rsidRPr="003F5882">
        <w:rPr>
          <w:rFonts w:ascii="Arial" w:hAnsi="Arial" w:cs="Times New Roman" w:hint="eastAsia"/>
          <w:sz w:val="21"/>
        </w:rPr>
        <w:t>是在</w:t>
      </w:r>
      <w:r w:rsidRPr="003F5882">
        <w:rPr>
          <w:rFonts w:ascii="Arial" w:hAnsi="Arial" w:cs="Times New Roman"/>
          <w:sz w:val="21"/>
        </w:rPr>
        <w:t>2015年11月</w:t>
      </w:r>
      <w:r w:rsidR="00F4070F" w:rsidRPr="003F5882">
        <w:rPr>
          <w:rFonts w:ascii="Arial" w:hAnsi="Arial" w:cs="Times New Roman" w:hint="eastAsia"/>
          <w:sz w:val="21"/>
        </w:rPr>
        <w:t>支付</w:t>
      </w:r>
      <w:r w:rsidRPr="003F5882">
        <w:rPr>
          <w:rFonts w:ascii="Arial" w:hAnsi="Arial" w:cs="Times New Roman"/>
          <w:sz w:val="21"/>
        </w:rPr>
        <w:t>2,400万瑞郎，这</w:t>
      </w:r>
      <w:r w:rsidR="00F4070F" w:rsidRPr="003F5882">
        <w:rPr>
          <w:rFonts w:ascii="Arial" w:hAnsi="Arial" w:cs="Times New Roman" w:hint="eastAsia"/>
          <w:sz w:val="21"/>
        </w:rPr>
        <w:t>显然</w:t>
      </w:r>
      <w:r w:rsidRPr="003F5882">
        <w:rPr>
          <w:rFonts w:ascii="Arial" w:hAnsi="Arial" w:cs="Times New Roman"/>
          <w:sz w:val="21"/>
        </w:rPr>
        <w:t>将极大地影响本组织在2015年年底的现金余额。</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t>本组织主要的现金流入是PCT活动相关的付款。2014年来自PCT活动的月均现金流入为2,460万瑞郎，相比之下，2013年的月均现金流入为2,110万瑞郎</w:t>
      </w:r>
      <w:r w:rsidR="000E71F4" w:rsidRPr="003F5882">
        <w:rPr>
          <w:rFonts w:ascii="Arial" w:hAnsi="Arial" w:cs="Times New Roman" w:hint="eastAsia"/>
          <w:sz w:val="21"/>
        </w:rPr>
        <w:t>；</w:t>
      </w:r>
      <w:r w:rsidRPr="003F5882">
        <w:rPr>
          <w:rFonts w:ascii="Arial" w:hAnsi="Arial" w:cs="Times New Roman"/>
          <w:sz w:val="21"/>
        </w:rPr>
        <w:t>而2014年其他来源的月均现金流入为700万瑞郎，相比之下，2013年为730万瑞郎。如下一页的图</w:t>
      </w:r>
      <w:r w:rsidR="000E71F4" w:rsidRPr="003F5882">
        <w:rPr>
          <w:rFonts w:ascii="Arial" w:hAnsi="Arial" w:cs="Times New Roman" w:hint="eastAsia"/>
          <w:sz w:val="21"/>
        </w:rPr>
        <w:t>表</w:t>
      </w:r>
      <w:r w:rsidRPr="003F5882">
        <w:rPr>
          <w:rFonts w:ascii="Arial" w:hAnsi="Arial" w:cs="Times New Roman"/>
          <w:sz w:val="21"/>
        </w:rPr>
        <w:t>所示，各月现金流入有着显著差异。由于弥补2013年申请的欠款以及2014年3月申请水平上升，2014年4月和5月来自PCT活动的现金流</w:t>
      </w:r>
      <w:r w:rsidR="000E71F4" w:rsidRPr="003F5882">
        <w:rPr>
          <w:rFonts w:ascii="Arial" w:hAnsi="Arial" w:cs="Times New Roman" w:hint="eastAsia"/>
          <w:sz w:val="21"/>
        </w:rPr>
        <w:t>入</w:t>
      </w:r>
      <w:r w:rsidRPr="003F5882">
        <w:rPr>
          <w:rFonts w:ascii="Arial" w:hAnsi="Arial" w:cs="Times New Roman"/>
          <w:sz w:val="21"/>
        </w:rPr>
        <w:t>明显较高。2014年7月</w:t>
      </w:r>
      <w:r w:rsidR="007E074E" w:rsidRPr="003F5882">
        <w:rPr>
          <w:rFonts w:ascii="Arial" w:hAnsi="Arial" w:cs="Times New Roman" w:hint="eastAsia"/>
          <w:sz w:val="21"/>
        </w:rPr>
        <w:t>，</w:t>
      </w:r>
      <w:r w:rsidRPr="003F5882">
        <w:rPr>
          <w:rFonts w:ascii="Arial" w:hAnsi="Arial" w:cs="Times New Roman"/>
          <w:sz w:val="21"/>
        </w:rPr>
        <w:t>由于未从</w:t>
      </w:r>
      <w:r w:rsidR="007E074E" w:rsidRPr="003F5882">
        <w:rPr>
          <w:rFonts w:ascii="Arial" w:hAnsi="Arial" w:cs="Times New Roman" w:hint="eastAsia"/>
          <w:sz w:val="21"/>
        </w:rPr>
        <w:t>两个</w:t>
      </w:r>
      <w:r w:rsidRPr="003F5882">
        <w:rPr>
          <w:rFonts w:ascii="Arial" w:hAnsi="Arial" w:cs="Times New Roman"/>
          <w:sz w:val="21"/>
        </w:rPr>
        <w:t>受理局收到付款，因此现金流入低于平均水平。</w:t>
      </w:r>
    </w:p>
    <w:p w:rsidR="006C0099" w:rsidRPr="003F5882" w:rsidRDefault="006C0099"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lastRenderedPageBreak/>
        <w:t>2014年</w:t>
      </w:r>
      <w:r w:rsidR="007F3925" w:rsidRPr="00F453AC">
        <w:rPr>
          <w:rFonts w:ascii="Arial" w:hAnsi="Arial" w:cs="Times New Roman" w:hint="eastAsia"/>
          <w:sz w:val="21"/>
          <w:u w:val="single"/>
        </w:rPr>
        <w:t>每</w:t>
      </w:r>
      <w:r w:rsidRPr="00F453AC">
        <w:rPr>
          <w:rFonts w:ascii="Arial" w:hAnsi="Arial" w:cs="Times New Roman"/>
          <w:sz w:val="21"/>
          <w:u w:val="single"/>
        </w:rPr>
        <w:t>月现金流入</w:t>
      </w:r>
    </w:p>
    <w:p w:rsidR="006C0099" w:rsidRPr="00F453AC" w:rsidRDefault="00D84912" w:rsidP="00D84912">
      <w:pPr>
        <w:pStyle w:val="ONUME"/>
        <w:numPr>
          <w:ilvl w:val="0"/>
          <w:numId w:val="0"/>
        </w:numPr>
        <w:spacing w:afterLines="50" w:after="120" w:line="340" w:lineRule="atLeast"/>
        <w:jc w:val="center"/>
        <w:rPr>
          <w:rFonts w:ascii="Arial" w:hAnsi="Arial" w:cs="Times New Roman"/>
          <w:sz w:val="21"/>
        </w:rPr>
      </w:pPr>
      <w:r w:rsidRPr="00D84912">
        <w:rPr>
          <w:noProof/>
          <w:lang w:val="en-US" w:bidi="ar-SA"/>
        </w:rPr>
        <w:drawing>
          <wp:inline distT="0" distB="0" distL="0" distR="0">
            <wp:extent cx="5124450" cy="295465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24450" cy="2954655"/>
                    </a:xfrm>
                    <a:prstGeom prst="rect">
                      <a:avLst/>
                    </a:prstGeom>
                    <a:noFill/>
                    <a:ln>
                      <a:noFill/>
                    </a:ln>
                  </pic:spPr>
                </pic:pic>
              </a:graphicData>
            </a:graphic>
          </wp:inline>
        </w:drawing>
      </w:r>
    </w:p>
    <w:p w:rsidR="006C0099" w:rsidRPr="00F453AC" w:rsidRDefault="006C0099" w:rsidP="003F5882">
      <w:pPr>
        <w:keepNext/>
        <w:spacing w:afterLines="50" w:after="120" w:line="340" w:lineRule="atLeast"/>
        <w:jc w:val="center"/>
        <w:rPr>
          <w:rFonts w:ascii="Arial" w:hAnsi="Arial" w:cs="Times New Roman"/>
          <w:sz w:val="21"/>
          <w:szCs w:val="22"/>
          <w:u w:val="single"/>
        </w:rPr>
      </w:pPr>
      <w:r w:rsidRPr="00F453AC">
        <w:rPr>
          <w:rFonts w:ascii="Arial" w:hAnsi="Arial" w:cs="Times New Roman"/>
          <w:sz w:val="21"/>
          <w:u w:val="single"/>
        </w:rPr>
        <w:t>2013年</w:t>
      </w:r>
      <w:r w:rsidR="007F3925" w:rsidRPr="00F453AC">
        <w:rPr>
          <w:rFonts w:ascii="Arial" w:hAnsi="Arial" w:cs="Times New Roman" w:hint="eastAsia"/>
          <w:sz w:val="21"/>
          <w:u w:val="single"/>
        </w:rPr>
        <w:t>每</w:t>
      </w:r>
      <w:r w:rsidRPr="00F453AC">
        <w:rPr>
          <w:rFonts w:ascii="Arial" w:hAnsi="Arial" w:cs="Times New Roman"/>
          <w:sz w:val="21"/>
          <w:u w:val="single"/>
        </w:rPr>
        <w:t>月现金流入</w:t>
      </w:r>
    </w:p>
    <w:p w:rsidR="00D84912" w:rsidRDefault="00D84912" w:rsidP="00D84912">
      <w:pPr>
        <w:pStyle w:val="ONUME"/>
        <w:numPr>
          <w:ilvl w:val="0"/>
          <w:numId w:val="0"/>
        </w:numPr>
        <w:spacing w:afterLines="50" w:after="120" w:line="340" w:lineRule="atLeast"/>
        <w:jc w:val="center"/>
        <w:rPr>
          <w:rFonts w:ascii="Arial" w:hAnsi="Arial" w:cs="Times New Roman"/>
          <w:noProof/>
          <w:sz w:val="21"/>
          <w:lang w:val="en-US" w:bidi="ar-SA"/>
        </w:rPr>
      </w:pPr>
      <w:r w:rsidRPr="00D84912">
        <w:rPr>
          <w:rFonts w:hint="eastAsia"/>
          <w:noProof/>
          <w:lang w:val="en-US" w:bidi="ar-SA"/>
        </w:rPr>
        <w:drawing>
          <wp:inline distT="0" distB="0" distL="0" distR="0">
            <wp:extent cx="5131435" cy="292036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31435" cy="2920365"/>
                    </a:xfrm>
                    <a:prstGeom prst="rect">
                      <a:avLst/>
                    </a:prstGeom>
                    <a:noFill/>
                    <a:ln>
                      <a:noFill/>
                    </a:ln>
                  </pic:spPr>
                </pic:pic>
              </a:graphicData>
            </a:graphic>
          </wp:inline>
        </w:drawing>
      </w:r>
    </w:p>
    <w:p w:rsidR="006C0099" w:rsidRPr="00F453AC" w:rsidRDefault="006C0099" w:rsidP="00637B23">
      <w:pPr>
        <w:pStyle w:val="ONUME"/>
        <w:numPr>
          <w:ilvl w:val="0"/>
          <w:numId w:val="0"/>
        </w:numPr>
        <w:spacing w:afterLines="50" w:after="120" w:line="340" w:lineRule="atLeast"/>
        <w:jc w:val="center"/>
        <w:rPr>
          <w:rFonts w:ascii="Arial" w:hAnsi="Arial" w:cs="Times New Roman"/>
          <w:sz w:val="21"/>
          <w:szCs w:val="22"/>
        </w:rPr>
      </w:pPr>
      <w:r w:rsidRPr="00F453AC">
        <w:rPr>
          <w:rFonts w:ascii="Arial" w:hAnsi="Arial" w:cs="Times New Roman"/>
          <w:sz w:val="21"/>
        </w:rPr>
        <w:br w:type="page"/>
      </w:r>
      <w:r w:rsidRPr="00F453AC">
        <w:rPr>
          <w:rFonts w:ascii="Arial" w:eastAsia="SimHei" w:hAnsi="Arial" w:cs="Times New Roman"/>
          <w:caps/>
          <w:kern w:val="32"/>
          <w:sz w:val="21"/>
        </w:rPr>
        <w:lastRenderedPageBreak/>
        <w:t>报表一</w:t>
      </w:r>
      <w:r w:rsidRPr="00F453AC">
        <w:rPr>
          <w:rFonts w:ascii="Arial" w:eastAsia="SimHei" w:hAnsi="Arial" w:cs="Times New Roman"/>
          <w:bCs/>
          <w:caps/>
          <w:kern w:val="32"/>
          <w:sz w:val="21"/>
          <w:szCs w:val="32"/>
        </w:rPr>
        <w:br/>
      </w:r>
      <w:r w:rsidRPr="00F453AC">
        <w:rPr>
          <w:rFonts w:ascii="Arial" w:eastAsia="SimHei" w:hAnsi="Arial" w:cs="Times New Roman"/>
          <w:bCs/>
          <w:caps/>
          <w:kern w:val="32"/>
          <w:sz w:val="21"/>
          <w:szCs w:val="32"/>
        </w:rPr>
        <w:br/>
      </w:r>
      <w:r w:rsidRPr="00F453AC">
        <w:rPr>
          <w:rFonts w:ascii="Arial" w:eastAsia="SimHei" w:hAnsi="Arial" w:cs="Times New Roman"/>
          <w:caps/>
          <w:kern w:val="32"/>
          <w:sz w:val="21"/>
        </w:rPr>
        <w:t>财务状况表</w:t>
      </w:r>
    </w:p>
    <w:p w:rsidR="006C0099" w:rsidRPr="005D406D" w:rsidRDefault="006C0099" w:rsidP="005D406D">
      <w:pPr>
        <w:spacing w:line="340" w:lineRule="atLeast"/>
        <w:jc w:val="center"/>
        <w:rPr>
          <w:rFonts w:eastAsia="SimSun" w:cs="Times New Roman"/>
          <w:b/>
          <w:sz w:val="21"/>
          <w:szCs w:val="22"/>
        </w:rPr>
      </w:pPr>
      <w:r w:rsidRPr="005D406D">
        <w:rPr>
          <w:rFonts w:eastAsia="SimSun" w:cs="Times New Roman"/>
          <w:b/>
          <w:sz w:val="21"/>
        </w:rPr>
        <w:t>截至2014年12月31日</w:t>
      </w:r>
    </w:p>
    <w:p w:rsidR="006C0099" w:rsidRPr="005D406D" w:rsidRDefault="00F453AC" w:rsidP="005D406D">
      <w:pPr>
        <w:spacing w:afterLines="200" w:after="480" w:line="340" w:lineRule="atLeast"/>
        <w:jc w:val="center"/>
        <w:rPr>
          <w:rFonts w:ascii="Arial" w:eastAsia="KaiTi" w:hAnsi="Arial" w:cs="Times New Roman"/>
          <w:i/>
          <w:sz w:val="21"/>
          <w:szCs w:val="22"/>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F453AC" w:rsidRDefault="00DA4636" w:rsidP="006C0099">
      <w:pPr>
        <w:jc w:val="center"/>
        <w:rPr>
          <w:rFonts w:ascii="Arial" w:eastAsia="SimSun" w:hAnsi="Arial" w:cs="Times New Roman"/>
        </w:rPr>
      </w:pPr>
      <w:r w:rsidRPr="00DA4636">
        <w:rPr>
          <w:noProof/>
          <w:lang w:val="en-US" w:bidi="ar-SA"/>
        </w:rPr>
        <w:drawing>
          <wp:inline distT="0" distB="0" distL="0" distR="0" wp14:anchorId="5033FF1D" wp14:editId="75CEE781">
            <wp:extent cx="5977255" cy="6955914"/>
            <wp:effectExtent l="0" t="0" r="4445"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6955914"/>
                    </a:xfrm>
                    <a:prstGeom prst="rect">
                      <a:avLst/>
                    </a:prstGeom>
                    <a:noFill/>
                    <a:ln>
                      <a:noFill/>
                    </a:ln>
                  </pic:spPr>
                </pic:pic>
              </a:graphicData>
            </a:graphic>
          </wp:inline>
        </w:drawing>
      </w:r>
    </w:p>
    <w:p w:rsidR="006C0099" w:rsidRDefault="006C0099" w:rsidP="006C0099">
      <w:pPr>
        <w:rPr>
          <w:rFonts w:ascii="Arial" w:hAnsi="Arial" w:cs="Times New Roman"/>
        </w:rPr>
      </w:pPr>
    </w:p>
    <w:p w:rsidR="00DA4636" w:rsidRPr="003F5882" w:rsidRDefault="00DA4636" w:rsidP="006C0099">
      <w:pPr>
        <w:rPr>
          <w:rFonts w:ascii="Arial" w:hAnsi="Arial" w:cs="Times New Roman"/>
        </w:rPr>
        <w:sectPr w:rsidR="00DA4636" w:rsidRPr="003F5882" w:rsidSect="00737FA8">
          <w:headerReference w:type="even" r:id="rId51"/>
          <w:pgSz w:w="11907" w:h="16840" w:code="9"/>
          <w:pgMar w:top="851" w:right="1247" w:bottom="1191" w:left="1247" w:header="709" w:footer="709" w:gutter="0"/>
          <w:cols w:space="708"/>
          <w:docGrid w:linePitch="360"/>
        </w:sectPr>
      </w:pP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5D406D">
        <w:rPr>
          <w:rFonts w:ascii="Arial" w:eastAsia="SimHei" w:hAnsi="Arial" w:cs="Times New Roman"/>
          <w:caps/>
          <w:kern w:val="32"/>
          <w:sz w:val="21"/>
        </w:rPr>
        <w:lastRenderedPageBreak/>
        <w:t>报表</w:t>
      </w:r>
      <w:r w:rsidRPr="00F453AC">
        <w:rPr>
          <w:rFonts w:ascii="Arial" w:eastAsia="SimHei" w:hAnsi="Arial" w:cs="Times New Roman"/>
          <w:b/>
          <w:caps/>
          <w:kern w:val="32"/>
          <w:sz w:val="21"/>
        </w:rPr>
        <w:t>二</w:t>
      </w:r>
      <w:r w:rsidRPr="00F453AC">
        <w:rPr>
          <w:rFonts w:ascii="Arial" w:eastAsia="SimHei" w:hAnsi="Arial" w:cs="Times New Roman"/>
          <w:b/>
          <w:bCs/>
          <w:caps/>
          <w:kern w:val="32"/>
          <w:sz w:val="21"/>
          <w:szCs w:val="32"/>
        </w:rPr>
        <w:br/>
      </w:r>
      <w:r w:rsidRPr="005D406D">
        <w:rPr>
          <w:rFonts w:ascii="Arial" w:eastAsia="SimHei" w:hAnsi="Arial" w:cs="Times New Roman"/>
          <w:caps/>
          <w:kern w:val="32"/>
          <w:sz w:val="21"/>
        </w:rPr>
        <w:br/>
        <w:t>财务执行情况表</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DA4636" w:rsidRDefault="00DA4636" w:rsidP="00DA4636">
      <w:pPr>
        <w:pStyle w:val="ONUME"/>
        <w:numPr>
          <w:ilvl w:val="0"/>
          <w:numId w:val="0"/>
        </w:numPr>
        <w:spacing w:after="0"/>
        <w:jc w:val="center"/>
        <w:rPr>
          <w:rFonts w:ascii="Arial" w:eastAsia="SimHei" w:hAnsi="Arial" w:cs="Times New Roman"/>
          <w:b/>
          <w:noProof/>
          <w:lang w:val="en-US" w:bidi="ar-SA"/>
        </w:rPr>
      </w:pPr>
      <w:r w:rsidRPr="00DA4636">
        <w:rPr>
          <w:rFonts w:hint="eastAsia"/>
          <w:noProof/>
          <w:lang w:val="en-US" w:bidi="ar-SA"/>
        </w:rPr>
        <w:drawing>
          <wp:inline distT="0" distB="0" distL="0" distR="0">
            <wp:extent cx="5841365" cy="5479415"/>
            <wp:effectExtent l="0" t="0" r="6985" b="6985"/>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1365" cy="5479415"/>
                    </a:xfrm>
                    <a:prstGeom prst="rect">
                      <a:avLst/>
                    </a:prstGeom>
                    <a:noFill/>
                    <a:ln>
                      <a:noFill/>
                    </a:ln>
                  </pic:spPr>
                </pic:pic>
              </a:graphicData>
            </a:graphic>
          </wp:inline>
        </w:drawing>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报表三</w:t>
      </w:r>
      <w:r w:rsidRPr="005D406D">
        <w:rPr>
          <w:rFonts w:ascii="Arial" w:eastAsia="SimHei" w:hAnsi="Arial" w:cs="Times New Roman"/>
          <w:caps/>
          <w:kern w:val="32"/>
          <w:sz w:val="21"/>
        </w:rPr>
        <w:br/>
      </w:r>
      <w:r w:rsidRPr="005D406D">
        <w:rPr>
          <w:rFonts w:ascii="Arial" w:eastAsia="SimHei" w:hAnsi="Arial" w:cs="Times New Roman"/>
          <w:caps/>
          <w:kern w:val="32"/>
          <w:sz w:val="21"/>
        </w:rPr>
        <w:br/>
        <w:t>净资产变动表</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DA4636" w:rsidRDefault="00DA4636" w:rsidP="00DA4636">
      <w:pPr>
        <w:pStyle w:val="ONUME"/>
        <w:numPr>
          <w:ilvl w:val="0"/>
          <w:numId w:val="0"/>
        </w:numPr>
        <w:spacing w:after="0"/>
        <w:jc w:val="center"/>
        <w:rPr>
          <w:rFonts w:ascii="Arial" w:eastAsia="SimHei" w:hAnsi="Arial" w:cs="Times New Roman"/>
          <w:b/>
          <w:noProof/>
          <w:lang w:val="en-US" w:bidi="ar-SA"/>
        </w:rPr>
      </w:pPr>
      <w:r w:rsidRPr="00DA4636">
        <w:rPr>
          <w:rFonts w:hint="eastAsia"/>
          <w:noProof/>
          <w:lang w:val="en-US" w:bidi="ar-SA"/>
        </w:rPr>
        <w:drawing>
          <wp:inline distT="0" distB="0" distL="0" distR="0" wp14:anchorId="41940065" wp14:editId="65DFE8E6">
            <wp:extent cx="5977255" cy="2636246"/>
            <wp:effectExtent l="0" t="0" r="4445"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7255" cy="2636246"/>
                    </a:xfrm>
                    <a:prstGeom prst="rect">
                      <a:avLst/>
                    </a:prstGeom>
                    <a:noFill/>
                    <a:ln>
                      <a:noFill/>
                    </a:ln>
                  </pic:spPr>
                </pic:pic>
              </a:graphicData>
            </a:graphic>
          </wp:inline>
        </w:drawing>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报表四</w:t>
      </w:r>
      <w:r w:rsidRPr="005D406D">
        <w:rPr>
          <w:rFonts w:ascii="Arial" w:eastAsia="SimHei" w:hAnsi="Arial" w:cs="Times New Roman"/>
          <w:caps/>
          <w:kern w:val="32"/>
          <w:sz w:val="21"/>
        </w:rPr>
        <w:br/>
      </w:r>
      <w:r w:rsidRPr="005D406D">
        <w:rPr>
          <w:rFonts w:ascii="Arial" w:eastAsia="SimHei" w:hAnsi="Arial" w:cs="Times New Roman"/>
          <w:caps/>
          <w:kern w:val="32"/>
          <w:sz w:val="21"/>
        </w:rPr>
        <w:br/>
        <w:t>现金流量表</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3F5882" w:rsidRDefault="00DA4636" w:rsidP="006C0099">
      <w:pPr>
        <w:jc w:val="center"/>
        <w:rPr>
          <w:rFonts w:ascii="Arial" w:hAnsi="Arial" w:cs="Times New Roman"/>
        </w:rPr>
      </w:pPr>
      <w:r w:rsidRPr="00DA4636">
        <w:rPr>
          <w:noProof/>
          <w:lang w:val="en-US" w:bidi="ar-SA"/>
        </w:rPr>
        <w:drawing>
          <wp:inline distT="0" distB="0" distL="0" distR="0">
            <wp:extent cx="5827395" cy="5970905"/>
            <wp:effectExtent l="0" t="0" r="1905"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27395" cy="5970905"/>
                    </a:xfrm>
                    <a:prstGeom prst="rect">
                      <a:avLst/>
                    </a:prstGeom>
                    <a:noFill/>
                    <a:ln>
                      <a:noFill/>
                    </a:ln>
                  </pic:spPr>
                </pic:pic>
              </a:graphicData>
            </a:graphic>
          </wp:inline>
        </w:drawing>
      </w:r>
    </w:p>
    <w:p w:rsidR="006C0099" w:rsidRPr="003F5882" w:rsidRDefault="006C0099" w:rsidP="006C0099">
      <w:pPr>
        <w:jc w:val="both"/>
        <w:rPr>
          <w:rFonts w:ascii="Arial" w:hAnsi="Arial" w:cs="Times New Roman"/>
          <w:sz w:val="16"/>
          <w:szCs w:val="16"/>
        </w:rPr>
      </w:pPr>
      <w:r w:rsidRPr="00F453AC">
        <w:rPr>
          <w:rFonts w:ascii="Arial" w:eastAsia="SimHei" w:hAnsi="Arial" w:cs="Times New Roman"/>
          <w:sz w:val="16"/>
        </w:rPr>
        <w:t>(1)</w:t>
      </w:r>
      <w:r w:rsidRPr="003F5882">
        <w:rPr>
          <w:rFonts w:ascii="Arial" w:hAnsi="Arial" w:cs="Times New Roman"/>
          <w:sz w:val="16"/>
        </w:rPr>
        <w:t xml:space="preserve"> -不包括利息所得和为借款支付的利息，以及汇率变化对现金及现金等价物产生的影响。利息所得包括在投资收入中，见附注23。为借款支付的利息详见附注15。汇率变化对现金及现金等价物产生的影响见附注26</w:t>
      </w:r>
      <w:r w:rsidR="00E04F07" w:rsidRPr="003F5882">
        <w:rPr>
          <w:rFonts w:ascii="Arial" w:hAnsi="Arial" w:cs="Times New Roman" w:hint="eastAsia"/>
          <w:sz w:val="16"/>
        </w:rPr>
        <w:t>。</w:t>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报表五</w:t>
      </w:r>
      <w:r w:rsidRPr="005D406D">
        <w:rPr>
          <w:rFonts w:ascii="Arial" w:eastAsia="SimHei" w:hAnsi="Arial" w:cs="Times New Roman"/>
          <w:caps/>
          <w:kern w:val="32"/>
          <w:sz w:val="21"/>
        </w:rPr>
        <w:br/>
      </w:r>
      <w:r w:rsidRPr="005D406D">
        <w:rPr>
          <w:rFonts w:ascii="Arial" w:eastAsia="SimHei" w:hAnsi="Arial" w:cs="Times New Roman"/>
          <w:caps/>
          <w:kern w:val="32"/>
          <w:sz w:val="21"/>
        </w:rPr>
        <w:br/>
        <w:t>预算与实际金额对比表-收入</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3F5882" w:rsidRDefault="00DA4636" w:rsidP="006C0099">
      <w:pPr>
        <w:jc w:val="center"/>
        <w:rPr>
          <w:rFonts w:ascii="Arial" w:hAnsi="Arial" w:cs="Times New Roman"/>
          <w:sz w:val="21"/>
          <w:szCs w:val="22"/>
        </w:rPr>
      </w:pPr>
      <w:r w:rsidRPr="00DA4636">
        <w:rPr>
          <w:noProof/>
          <w:lang w:val="en-US" w:bidi="ar-SA"/>
        </w:rPr>
        <w:drawing>
          <wp:inline distT="0" distB="0" distL="0" distR="0">
            <wp:extent cx="5950585" cy="3268345"/>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50585" cy="3268345"/>
                    </a:xfrm>
                    <a:prstGeom prst="rect">
                      <a:avLst/>
                    </a:prstGeom>
                    <a:noFill/>
                    <a:ln>
                      <a:noFill/>
                    </a:ln>
                  </pic:spPr>
                </pic:pic>
              </a:graphicData>
            </a:graphic>
          </wp:inline>
        </w:drawing>
      </w:r>
    </w:p>
    <w:p w:rsidR="006C0099" w:rsidRPr="003F5882" w:rsidRDefault="002C7CB0" w:rsidP="006C0099">
      <w:pPr>
        <w:tabs>
          <w:tab w:val="left" w:pos="644"/>
        </w:tabs>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1</w:t>
      </w:r>
      <w:r w:rsidRPr="003F5882">
        <w:rPr>
          <w:rFonts w:ascii="Arial" w:hAnsi="Arial" w:cs="Times New Roman"/>
          <w:sz w:val="16"/>
        </w:rPr>
        <w:t>)</w:t>
      </w:r>
      <w:r w:rsidR="006C0099" w:rsidRPr="003F5882">
        <w:rPr>
          <w:rFonts w:ascii="Arial" w:hAnsi="Arial" w:cs="Times New Roman"/>
          <w:sz w:val="16"/>
        </w:rPr>
        <w:t>-</w:t>
      </w:r>
      <w:r w:rsidR="002C0646" w:rsidRPr="003F5882">
        <w:rPr>
          <w:rFonts w:ascii="Arial" w:hAnsi="Arial" w:cs="Times New Roman" w:hint="eastAsia"/>
          <w:sz w:val="16"/>
        </w:rPr>
        <w:t>“</w:t>
      </w:r>
      <w:r w:rsidR="006C0099" w:rsidRPr="003F5882">
        <w:rPr>
          <w:rFonts w:ascii="Arial" w:hAnsi="Arial" w:cs="Times New Roman"/>
          <w:sz w:val="16"/>
        </w:rPr>
        <w:t>原始预算</w:t>
      </w:r>
      <w:r w:rsidR="00E04F07" w:rsidRPr="003F5882">
        <w:rPr>
          <w:rFonts w:ascii="Arial" w:hAnsi="Arial" w:cs="Times New Roman" w:hint="eastAsia"/>
          <w:sz w:val="16"/>
        </w:rPr>
        <w:t>”</w:t>
      </w:r>
      <w:r w:rsidR="006C0099" w:rsidRPr="003F5882">
        <w:rPr>
          <w:rFonts w:ascii="Arial" w:hAnsi="Arial" w:cs="Times New Roman"/>
          <w:sz w:val="16"/>
        </w:rPr>
        <w:t>和</w:t>
      </w:r>
      <w:r w:rsidR="00E04F07" w:rsidRPr="003F5882">
        <w:rPr>
          <w:rFonts w:ascii="Arial" w:hAnsi="Arial" w:cs="Times New Roman" w:hint="eastAsia"/>
          <w:sz w:val="16"/>
        </w:rPr>
        <w:t>“</w:t>
      </w:r>
      <w:r w:rsidR="006C0099" w:rsidRPr="003F5882">
        <w:rPr>
          <w:rFonts w:ascii="Arial" w:hAnsi="Arial" w:cs="Times New Roman"/>
          <w:sz w:val="16"/>
        </w:rPr>
        <w:t>最终预算</w:t>
      </w:r>
      <w:r w:rsidR="00E04F07" w:rsidRPr="003F5882">
        <w:rPr>
          <w:rFonts w:ascii="Arial" w:hAnsi="Arial" w:cs="Times New Roman" w:hint="eastAsia"/>
          <w:sz w:val="16"/>
        </w:rPr>
        <w:t>”</w:t>
      </w:r>
      <w:r w:rsidR="006C0099" w:rsidRPr="003F5882">
        <w:rPr>
          <w:rFonts w:ascii="Arial" w:hAnsi="Arial" w:cs="Times New Roman"/>
          <w:sz w:val="16"/>
        </w:rPr>
        <w:t>两栏表示2014/15两年期核定预算的第一年。</w:t>
      </w:r>
    </w:p>
    <w:p w:rsidR="006C0099" w:rsidRPr="003F5882" w:rsidRDefault="002C7CB0" w:rsidP="006C0099">
      <w:pPr>
        <w:tabs>
          <w:tab w:val="left" w:pos="540"/>
        </w:tabs>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2</w:t>
      </w:r>
      <w:r w:rsidRPr="003F5882">
        <w:rPr>
          <w:rFonts w:ascii="Arial" w:hAnsi="Arial" w:cs="Times New Roman"/>
          <w:sz w:val="16"/>
        </w:rPr>
        <w:t>)</w:t>
      </w:r>
      <w:r w:rsidR="006C0099" w:rsidRPr="003F5882">
        <w:rPr>
          <w:rFonts w:ascii="Arial" w:hAnsi="Arial" w:cs="Times New Roman"/>
          <w:sz w:val="16"/>
        </w:rPr>
        <w:t>-表示2014年</w:t>
      </w:r>
      <w:r w:rsidR="00E04F07" w:rsidRPr="003F5882">
        <w:rPr>
          <w:rFonts w:ascii="Arial" w:hAnsi="Arial" w:cs="Times New Roman" w:hint="eastAsia"/>
          <w:sz w:val="16"/>
        </w:rPr>
        <w:t>“</w:t>
      </w:r>
      <w:r w:rsidR="006C0099" w:rsidRPr="003F5882">
        <w:rPr>
          <w:rFonts w:ascii="Arial" w:hAnsi="Arial" w:cs="Times New Roman"/>
          <w:sz w:val="16"/>
        </w:rPr>
        <w:t>最终</w:t>
      </w:r>
      <w:r w:rsidR="00E04F07" w:rsidRPr="003F5882">
        <w:rPr>
          <w:rFonts w:ascii="Arial" w:hAnsi="Arial" w:cs="Times New Roman" w:hint="eastAsia"/>
          <w:sz w:val="16"/>
        </w:rPr>
        <w:t>”</w:t>
      </w:r>
      <w:r w:rsidR="006C0099" w:rsidRPr="003F5882">
        <w:rPr>
          <w:rFonts w:ascii="Arial" w:hAnsi="Arial" w:cs="Times New Roman"/>
          <w:sz w:val="16"/>
        </w:rPr>
        <w:t>预算与2014年12月31日截止的年度实际可比收入的差额。</w:t>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报表五</w:t>
      </w:r>
      <w:r w:rsidRPr="005D406D">
        <w:rPr>
          <w:rFonts w:ascii="Arial" w:eastAsia="SimHei" w:hAnsi="Arial" w:cs="Times New Roman"/>
          <w:caps/>
          <w:kern w:val="32"/>
          <w:sz w:val="21"/>
        </w:rPr>
        <w:br/>
      </w:r>
      <w:r w:rsidRPr="005D406D">
        <w:rPr>
          <w:rFonts w:ascii="Arial" w:eastAsia="SimHei" w:hAnsi="Arial" w:cs="Times New Roman"/>
          <w:caps/>
          <w:kern w:val="32"/>
          <w:sz w:val="21"/>
        </w:rPr>
        <w:br/>
        <w:t>预算与实际金额对比表-支出</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3F5882" w:rsidRDefault="00DA4636" w:rsidP="006C0099">
      <w:pPr>
        <w:jc w:val="center"/>
        <w:rPr>
          <w:rFonts w:ascii="Arial" w:hAnsi="Arial" w:cs="Times New Roman"/>
          <w:noProof/>
        </w:rPr>
      </w:pPr>
      <w:r w:rsidRPr="00DA4636">
        <w:rPr>
          <w:noProof/>
          <w:lang w:val="en-US" w:bidi="ar-SA"/>
        </w:rPr>
        <w:drawing>
          <wp:inline distT="0" distB="0" distL="0" distR="0" wp14:anchorId="5512FF91" wp14:editId="54E337F7">
            <wp:extent cx="5977255" cy="6919303"/>
            <wp:effectExtent l="0" t="0" r="4445"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6919303"/>
                    </a:xfrm>
                    <a:prstGeom prst="rect">
                      <a:avLst/>
                    </a:prstGeom>
                    <a:noFill/>
                    <a:ln>
                      <a:noFill/>
                    </a:ln>
                  </pic:spPr>
                </pic:pic>
              </a:graphicData>
            </a:graphic>
          </wp:inline>
        </w:drawing>
      </w:r>
    </w:p>
    <w:p w:rsidR="006C0099" w:rsidRPr="003F5882" w:rsidRDefault="002C7CB0" w:rsidP="006C0099">
      <w:pPr>
        <w:tabs>
          <w:tab w:val="left" w:pos="644"/>
        </w:tabs>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1</w:t>
      </w:r>
      <w:r w:rsidRPr="003F5882">
        <w:rPr>
          <w:rFonts w:ascii="Arial" w:hAnsi="Arial" w:cs="Times New Roman"/>
          <w:sz w:val="16"/>
        </w:rPr>
        <w:t>)</w:t>
      </w:r>
      <w:r w:rsidR="006C0099" w:rsidRPr="003F5882">
        <w:rPr>
          <w:rFonts w:ascii="Arial" w:hAnsi="Arial" w:cs="Times New Roman"/>
          <w:sz w:val="16"/>
        </w:rPr>
        <w:t>-</w:t>
      </w:r>
      <w:r w:rsidR="00154D37" w:rsidRPr="003F5882">
        <w:rPr>
          <w:rFonts w:ascii="Arial" w:hAnsi="Arial" w:cs="Times New Roman" w:hint="eastAsia"/>
          <w:sz w:val="16"/>
        </w:rPr>
        <w:t>“</w:t>
      </w:r>
      <w:r w:rsidR="006C0099" w:rsidRPr="003F5882">
        <w:rPr>
          <w:rFonts w:ascii="Arial" w:hAnsi="Arial" w:cs="Times New Roman"/>
          <w:sz w:val="16"/>
        </w:rPr>
        <w:t>原始预算</w:t>
      </w:r>
      <w:r w:rsidR="00E04F07" w:rsidRPr="003F5882">
        <w:rPr>
          <w:rFonts w:ascii="Arial" w:hAnsi="Arial" w:cs="Times New Roman" w:hint="eastAsia"/>
          <w:sz w:val="16"/>
        </w:rPr>
        <w:t>”</w:t>
      </w:r>
      <w:r w:rsidR="006C0099" w:rsidRPr="003F5882">
        <w:rPr>
          <w:rFonts w:ascii="Arial" w:hAnsi="Arial" w:cs="Times New Roman"/>
          <w:sz w:val="16"/>
        </w:rPr>
        <w:t>和</w:t>
      </w:r>
      <w:r w:rsidR="00E04F07" w:rsidRPr="003F5882">
        <w:rPr>
          <w:rFonts w:ascii="Arial" w:hAnsi="Arial" w:cs="Times New Roman" w:hint="eastAsia"/>
          <w:sz w:val="16"/>
        </w:rPr>
        <w:t>“</w:t>
      </w:r>
      <w:r w:rsidR="006C0099" w:rsidRPr="003F5882">
        <w:rPr>
          <w:rFonts w:ascii="Arial" w:hAnsi="Arial" w:cs="Times New Roman"/>
          <w:sz w:val="16"/>
        </w:rPr>
        <w:t>最终预算</w:t>
      </w:r>
      <w:r w:rsidR="00E04F07" w:rsidRPr="003F5882">
        <w:rPr>
          <w:rFonts w:ascii="Arial" w:hAnsi="Arial" w:cs="Times New Roman" w:hint="eastAsia"/>
          <w:sz w:val="16"/>
        </w:rPr>
        <w:t>”</w:t>
      </w:r>
      <w:r w:rsidR="006C0099" w:rsidRPr="003F5882">
        <w:rPr>
          <w:rFonts w:ascii="Arial" w:hAnsi="Arial" w:cs="Times New Roman"/>
          <w:sz w:val="16"/>
        </w:rPr>
        <w:t>两栏表示2014/15两年期核定预算的第一年。原始预算基于WIPO成员国大会2013年12月12日批准的6.74</w:t>
      </w:r>
      <w:r w:rsidR="00154D37" w:rsidRPr="003F5882">
        <w:rPr>
          <w:rFonts w:ascii="Arial" w:hAnsi="Arial" w:cs="Times New Roman" w:hint="eastAsia"/>
          <w:sz w:val="16"/>
        </w:rPr>
        <w:t>0</w:t>
      </w:r>
      <w:r w:rsidR="006C0099" w:rsidRPr="003F5882">
        <w:rPr>
          <w:rFonts w:ascii="Arial" w:hAnsi="Arial" w:cs="Times New Roman"/>
          <w:sz w:val="16"/>
        </w:rPr>
        <w:t>亿瑞郎的两年期预算</w:t>
      </w:r>
      <w:r w:rsidR="00154D37" w:rsidRPr="003F5882">
        <w:rPr>
          <w:rFonts w:ascii="Arial" w:hAnsi="Arial" w:cs="Times New Roman" w:hint="eastAsia"/>
          <w:sz w:val="16"/>
        </w:rPr>
        <w:t>。</w:t>
      </w:r>
    </w:p>
    <w:p w:rsidR="006C0099" w:rsidRPr="003F5882" w:rsidRDefault="002C7CB0" w:rsidP="006C0099">
      <w:pPr>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2</w:t>
      </w:r>
      <w:r w:rsidRPr="003F5882">
        <w:rPr>
          <w:rFonts w:ascii="Arial" w:hAnsi="Arial" w:cs="Times New Roman"/>
          <w:sz w:val="16"/>
        </w:rPr>
        <w:t>)</w:t>
      </w:r>
      <w:r w:rsidR="006C0099" w:rsidRPr="003F5882">
        <w:rPr>
          <w:rFonts w:ascii="Arial" w:hAnsi="Arial" w:cs="Times New Roman"/>
          <w:sz w:val="16"/>
        </w:rPr>
        <w:t>-表示2014年</w:t>
      </w:r>
      <w:r w:rsidR="003D06E3" w:rsidRPr="003F5882">
        <w:rPr>
          <w:rFonts w:ascii="Arial" w:hAnsi="Arial" w:cs="Times New Roman" w:hint="eastAsia"/>
          <w:sz w:val="16"/>
        </w:rPr>
        <w:t>“</w:t>
      </w:r>
      <w:r w:rsidR="006C0099" w:rsidRPr="003F5882">
        <w:rPr>
          <w:rFonts w:ascii="Arial" w:hAnsi="Arial" w:cs="Times New Roman"/>
          <w:sz w:val="16"/>
        </w:rPr>
        <w:t>最终</w:t>
      </w:r>
      <w:r w:rsidR="003D06E3" w:rsidRPr="003F5882">
        <w:rPr>
          <w:rFonts w:ascii="Arial" w:hAnsi="Arial" w:cs="Times New Roman" w:hint="eastAsia"/>
          <w:sz w:val="16"/>
        </w:rPr>
        <w:t>”</w:t>
      </w:r>
      <w:r w:rsidR="006C0099" w:rsidRPr="003F5882">
        <w:rPr>
          <w:rFonts w:ascii="Arial" w:hAnsi="Arial" w:cs="Times New Roman"/>
          <w:sz w:val="16"/>
        </w:rPr>
        <w:t>预算与2014年12月31日截止的年度实际可比支出的差额。</w:t>
      </w:r>
    </w:p>
    <w:p w:rsidR="006C0099" w:rsidRPr="003F5882" w:rsidRDefault="002C7CB0" w:rsidP="006C0099">
      <w:pPr>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3</w:t>
      </w:r>
      <w:r w:rsidRPr="003F5882">
        <w:rPr>
          <w:rFonts w:ascii="Arial" w:hAnsi="Arial" w:cs="Times New Roman"/>
          <w:sz w:val="16"/>
        </w:rPr>
        <w:t>)</w:t>
      </w:r>
      <w:r w:rsidR="006C0099" w:rsidRPr="003F5882">
        <w:rPr>
          <w:rFonts w:ascii="Arial" w:hAnsi="Arial" w:cs="Times New Roman"/>
          <w:sz w:val="16"/>
        </w:rPr>
        <w:t>-依据IPSAS对盈余的调整详见财务报表附注22。</w:t>
      </w:r>
    </w:p>
    <w:p w:rsidR="006C0099" w:rsidRPr="00F453AC" w:rsidRDefault="006C0099" w:rsidP="006C0099">
      <w:pPr>
        <w:rPr>
          <w:rFonts w:ascii="Arial" w:eastAsia="SimHei" w:hAnsi="Arial" w:cs="Times New Roman"/>
          <w:sz w:val="21"/>
          <w:szCs w:val="22"/>
        </w:rPr>
        <w:sectPr w:rsidR="006C0099" w:rsidRPr="00F453AC" w:rsidSect="000E71F4">
          <w:headerReference w:type="default" r:id="rId57"/>
          <w:footerReference w:type="default" r:id="rId58"/>
          <w:pgSz w:w="11907" w:h="16840" w:code="9"/>
          <w:pgMar w:top="851" w:right="1247" w:bottom="1191" w:left="1247" w:header="709" w:footer="709" w:gutter="0"/>
          <w:cols w:space="708"/>
          <w:docGrid w:linePitch="360"/>
        </w:sectPr>
      </w:pPr>
    </w:p>
    <w:p w:rsidR="006C0099" w:rsidRPr="007D62CB" w:rsidRDefault="006C0099" w:rsidP="007D62CB">
      <w:pPr>
        <w:keepNext/>
        <w:spacing w:beforeLines="100" w:before="240" w:afterLines="100" w:after="240" w:line="340" w:lineRule="atLeast"/>
        <w:jc w:val="center"/>
        <w:outlineLvl w:val="0"/>
        <w:rPr>
          <w:rFonts w:eastAsia="SimHei"/>
          <w:b/>
          <w:caps/>
          <w:kern w:val="32"/>
          <w:sz w:val="21"/>
        </w:rPr>
      </w:pPr>
      <w:bookmarkStart w:id="9" w:name="_Toc301187116"/>
      <w:r w:rsidRPr="007D62CB">
        <w:rPr>
          <w:rFonts w:ascii="Arial" w:eastAsia="SimHei" w:hAnsi="Arial" w:cs="Times New Roman"/>
          <w:caps/>
          <w:kern w:val="32"/>
          <w:sz w:val="21"/>
        </w:rPr>
        <w:lastRenderedPageBreak/>
        <w:t>财务报表附注</w:t>
      </w:r>
      <w:bookmarkEnd w:id="9"/>
    </w:p>
    <w:p w:rsidR="006C0099" w:rsidRPr="00F453AC"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附注1：</w:t>
      </w:r>
      <w:r w:rsidRPr="00F453AC">
        <w:rPr>
          <w:rFonts w:ascii="Arial" w:eastAsia="SimHei" w:hAnsi="Arial" w:cs="Times New Roman"/>
          <w:b w:val="0"/>
          <w:sz w:val="21"/>
        </w:rPr>
        <w:tab/>
        <w:t>本组织的目标和预算</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世界知识产权组织</w:t>
      </w:r>
      <w:r w:rsidR="00F453AC" w:rsidRPr="003F5882">
        <w:rPr>
          <w:rFonts w:ascii="Arial" w:hAnsi="Arial" w:cs="Times New Roman" w:hint="eastAsia"/>
          <w:sz w:val="21"/>
        </w:rPr>
        <w:t>（</w:t>
      </w:r>
      <w:r w:rsidRPr="003F5882">
        <w:rPr>
          <w:rFonts w:ascii="Arial" w:hAnsi="Arial" w:cs="Times New Roman"/>
          <w:sz w:val="21"/>
        </w:rPr>
        <w:t>WIPO</w:t>
      </w:r>
      <w:r w:rsidR="00F453AC" w:rsidRPr="003F5882">
        <w:rPr>
          <w:rFonts w:ascii="Arial" w:hAnsi="Arial" w:cs="Times New Roman" w:hint="eastAsia"/>
          <w:sz w:val="21"/>
        </w:rPr>
        <w:t>）</w:t>
      </w:r>
      <w:r w:rsidRPr="003F5882">
        <w:rPr>
          <w:rFonts w:ascii="Arial" w:hAnsi="Arial" w:cs="Times New Roman"/>
          <w:sz w:val="21"/>
        </w:rPr>
        <w:t>成立于1967年，前身为保护知识产权联合国际局</w:t>
      </w:r>
      <w:r w:rsidR="00F453AC" w:rsidRPr="003F5882">
        <w:rPr>
          <w:rFonts w:ascii="Arial" w:hAnsi="Arial" w:cs="Times New Roman" w:hint="eastAsia"/>
          <w:sz w:val="21"/>
        </w:rPr>
        <w:t>（</w:t>
      </w:r>
      <w:r w:rsidRPr="003F5882">
        <w:rPr>
          <w:rFonts w:ascii="Arial" w:hAnsi="Arial" w:cs="Times New Roman"/>
          <w:sz w:val="21"/>
        </w:rPr>
        <w:t>BIRPI</w:t>
      </w:r>
      <w:r w:rsidR="00F453AC" w:rsidRPr="003F5882">
        <w:rPr>
          <w:rFonts w:ascii="Arial" w:hAnsi="Arial" w:cs="Times New Roman" w:hint="eastAsia"/>
          <w:sz w:val="21"/>
        </w:rPr>
        <w:t>）</w:t>
      </w:r>
      <w:r w:rsidRPr="003F5882">
        <w:rPr>
          <w:rFonts w:ascii="Arial" w:hAnsi="Arial" w:cs="Times New Roman"/>
          <w:sz w:val="21"/>
        </w:rPr>
        <w:t>。BIRPI是法文缩写，全称为</w:t>
      </w:r>
      <w:r w:rsidRPr="003F5882">
        <w:rPr>
          <w:rFonts w:ascii="Arial" w:eastAsia="KaiTi" w:hAnsi="Arial" w:cs="Times New Roman"/>
          <w:sz w:val="21"/>
        </w:rPr>
        <w:t>Bureaux Internationaux Réunis pour la Protection de la Propriété Intellectuelle</w:t>
      </w:r>
      <w:r w:rsidRPr="003F5882">
        <w:rPr>
          <w:rFonts w:ascii="Arial" w:hAnsi="Arial" w:cs="Times New Roman"/>
          <w:sz w:val="21"/>
        </w:rPr>
        <w:t>，成立于1893年，目的是管理《保护工业产权巴黎公约》</w:t>
      </w:r>
      <w:r w:rsidR="00F453AC" w:rsidRPr="003F5882">
        <w:rPr>
          <w:rFonts w:ascii="Arial" w:hAnsi="Arial" w:cs="Times New Roman" w:hint="eastAsia"/>
          <w:sz w:val="21"/>
        </w:rPr>
        <w:t>（</w:t>
      </w:r>
      <w:r w:rsidRPr="003F5882">
        <w:rPr>
          <w:rFonts w:ascii="Arial" w:hAnsi="Arial" w:cs="Times New Roman"/>
          <w:sz w:val="21"/>
        </w:rPr>
        <w:t>1883年</w:t>
      </w:r>
      <w:r w:rsidR="00F453AC" w:rsidRPr="003F5882">
        <w:rPr>
          <w:rFonts w:ascii="Arial" w:hAnsi="Arial" w:cs="Times New Roman" w:hint="eastAsia"/>
          <w:sz w:val="21"/>
        </w:rPr>
        <w:t>）</w:t>
      </w:r>
      <w:r w:rsidRPr="003F5882">
        <w:rPr>
          <w:rFonts w:ascii="Arial" w:hAnsi="Arial" w:cs="Times New Roman"/>
          <w:sz w:val="21"/>
        </w:rPr>
        <w:t>和《保护文学和艺术作品伯尓尼公约》</w:t>
      </w:r>
      <w:r w:rsidR="00F453AC" w:rsidRPr="003F5882">
        <w:rPr>
          <w:rFonts w:ascii="Arial" w:hAnsi="Arial" w:cs="Times New Roman" w:hint="eastAsia"/>
          <w:sz w:val="21"/>
        </w:rPr>
        <w:t>（</w:t>
      </w:r>
      <w:r w:rsidRPr="003F5882">
        <w:rPr>
          <w:rFonts w:ascii="Arial" w:hAnsi="Arial" w:cs="Times New Roman"/>
          <w:sz w:val="21"/>
        </w:rPr>
        <w:t>1886年</w:t>
      </w:r>
      <w:r w:rsidR="00F453AC" w:rsidRPr="003F5882">
        <w:rPr>
          <w:rFonts w:ascii="Arial" w:hAnsi="Arial" w:cs="Times New Roman" w:hint="eastAsia"/>
          <w:sz w:val="21"/>
        </w:rPr>
        <w:t>）</w:t>
      </w:r>
      <w:r w:rsidRPr="003F5882">
        <w:rPr>
          <w:rFonts w:ascii="Arial" w:hAnsi="Arial" w:cs="Times New Roman"/>
          <w:sz w:val="21"/>
        </w:rPr>
        <w:t>。1974年，WIPO被认可为联合国专门机构。</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本组织依照1967年7月14日于斯德哥</w:t>
      </w:r>
      <w:proofErr w:type="gramStart"/>
      <w:r w:rsidRPr="003F5882">
        <w:rPr>
          <w:rFonts w:ascii="Arial" w:hAnsi="Arial" w:cs="Times New Roman"/>
          <w:sz w:val="21"/>
        </w:rPr>
        <w:t>尓摩签署</w:t>
      </w:r>
      <w:proofErr w:type="gramEnd"/>
      <w:r w:rsidRPr="003F5882">
        <w:rPr>
          <w:rFonts w:ascii="Arial" w:hAnsi="Arial" w:cs="Times New Roman"/>
          <w:sz w:val="21"/>
        </w:rPr>
        <w:t>并于1979年9月28日修订的《WIPO公约》开展活动。WIPO现有188个成员国。WIPO总部设在瑞士日内瓦，并在北京、莫斯科</w:t>
      </w:r>
      <w:r w:rsidR="00F453AC" w:rsidRPr="003F5882">
        <w:rPr>
          <w:rFonts w:ascii="Arial" w:hAnsi="Arial" w:cs="Times New Roman"/>
          <w:sz w:val="21"/>
        </w:rPr>
        <w:t>（</w:t>
      </w:r>
      <w:r w:rsidRPr="003F5882">
        <w:rPr>
          <w:rFonts w:ascii="Arial" w:hAnsi="Arial" w:cs="Times New Roman"/>
          <w:sz w:val="21"/>
        </w:rPr>
        <w:t>均于2014年成立</w:t>
      </w:r>
      <w:r w:rsidR="00F453AC" w:rsidRPr="003F5882">
        <w:rPr>
          <w:rFonts w:ascii="Arial" w:hAnsi="Arial" w:cs="Times New Roman"/>
          <w:sz w:val="21"/>
        </w:rPr>
        <w:t>）</w:t>
      </w:r>
      <w:r w:rsidRPr="003F5882">
        <w:rPr>
          <w:rFonts w:ascii="Arial" w:hAnsi="Arial" w:cs="Times New Roman"/>
          <w:sz w:val="21"/>
        </w:rPr>
        <w:t>、纽约、里约热内卢、新加坡和东京设有代表处。本组织享有1947年联合国《专门机构特权和豁免公约》和与瑞士联邦委员会签署的</w:t>
      </w:r>
      <w:r w:rsidR="003D06E3" w:rsidRPr="003F5882">
        <w:rPr>
          <w:rFonts w:ascii="Arial" w:hAnsi="Arial" w:cs="Times New Roman" w:hint="eastAsia"/>
          <w:sz w:val="21"/>
        </w:rPr>
        <w:t>1970年《</w:t>
      </w:r>
      <w:r w:rsidRPr="003F5882">
        <w:rPr>
          <w:rFonts w:ascii="Arial" w:hAnsi="Arial" w:cs="Times New Roman"/>
          <w:sz w:val="21"/>
        </w:rPr>
        <w:t>总部协定</w:t>
      </w:r>
      <w:r w:rsidR="003D06E3" w:rsidRPr="003F5882">
        <w:rPr>
          <w:rFonts w:ascii="Arial" w:hAnsi="Arial" w:cs="Times New Roman" w:hint="eastAsia"/>
          <w:sz w:val="21"/>
        </w:rPr>
        <w:t>》</w:t>
      </w:r>
      <w:r w:rsidRPr="003F5882">
        <w:rPr>
          <w:rFonts w:ascii="Arial" w:hAnsi="Arial" w:cs="Times New Roman"/>
          <w:sz w:val="21"/>
        </w:rPr>
        <w:t>中给予的特权和豁免权，特别是免除支付多种形式的直接税和间接税。</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根据《建立世界知识产权组织公约》设立的以下组成机关是世界知识产权组织的最高决策机构。这些机构至少每两年举行一次例会，可隔年举行特别会议：</w:t>
      </w:r>
    </w:p>
    <w:p w:rsidR="007D62CB" w:rsidRDefault="006C0099" w:rsidP="003374D7">
      <w:pPr>
        <w:pStyle w:val="STYLEDUTEXTE"/>
        <w:numPr>
          <w:ilvl w:val="0"/>
          <w:numId w:val="10"/>
        </w:numPr>
        <w:overflowPunct w:val="0"/>
        <w:spacing w:afterLines="50" w:after="120" w:line="340" w:lineRule="atLeast"/>
        <w:ind w:left="714" w:hanging="357"/>
        <w:rPr>
          <w:rFonts w:ascii="Arial" w:hAnsi="Arial" w:cs="Times New Roman"/>
          <w:sz w:val="21"/>
          <w:szCs w:val="22"/>
        </w:rPr>
      </w:pPr>
      <w:r w:rsidRPr="003F5882">
        <w:rPr>
          <w:rFonts w:ascii="Arial" w:hAnsi="Arial" w:cs="Times New Roman"/>
          <w:sz w:val="21"/>
        </w:rPr>
        <w:t>大会</w:t>
      </w:r>
      <w:proofErr w:type="gramStart"/>
      <w:r w:rsidRPr="003F5882">
        <w:rPr>
          <w:rFonts w:ascii="Arial" w:hAnsi="Arial" w:cs="Times New Roman"/>
          <w:sz w:val="21"/>
        </w:rPr>
        <w:t>由同时</w:t>
      </w:r>
      <w:proofErr w:type="gramEnd"/>
      <w:r w:rsidRPr="003F5882">
        <w:rPr>
          <w:rFonts w:ascii="Arial" w:hAnsi="Arial" w:cs="Times New Roman"/>
          <w:sz w:val="21"/>
        </w:rPr>
        <w:t>是各联盟成员的《WIPO公约》</w:t>
      </w:r>
      <w:r w:rsidR="00621366" w:rsidRPr="003F5882">
        <w:rPr>
          <w:rFonts w:ascii="Arial" w:hAnsi="Arial" w:cs="Times New Roman" w:hint="eastAsia"/>
          <w:sz w:val="21"/>
        </w:rPr>
        <w:t>缔约</w:t>
      </w:r>
      <w:r w:rsidRPr="003F5882">
        <w:rPr>
          <w:rFonts w:ascii="Arial" w:hAnsi="Arial" w:cs="Times New Roman"/>
          <w:sz w:val="21"/>
        </w:rPr>
        <w:t>国组成，负责任命总干事，总干事任期固定，每任不少于六年；通过各联盟共同开支预算；通过财务条例；邀请有关国家成为成员国，以及履行</w:t>
      </w:r>
      <w:r w:rsidR="003D06E3" w:rsidRPr="003F5882">
        <w:rPr>
          <w:rFonts w:ascii="Arial" w:hAnsi="Arial" w:cs="Times New Roman" w:hint="eastAsia"/>
          <w:sz w:val="21"/>
        </w:rPr>
        <w:t>《</w:t>
      </w:r>
      <w:r w:rsidRPr="003F5882">
        <w:rPr>
          <w:rFonts w:ascii="Arial" w:hAnsi="Arial" w:cs="Times New Roman"/>
          <w:sz w:val="21"/>
        </w:rPr>
        <w:t>公约</w:t>
      </w:r>
      <w:r w:rsidR="003D06E3" w:rsidRPr="003F5882">
        <w:rPr>
          <w:rFonts w:ascii="Arial" w:hAnsi="Arial" w:cs="Times New Roman" w:hint="eastAsia"/>
          <w:sz w:val="21"/>
        </w:rPr>
        <w:t>》</w:t>
      </w:r>
      <w:r w:rsidRPr="003F5882">
        <w:rPr>
          <w:rFonts w:ascii="Arial" w:hAnsi="Arial" w:cs="Times New Roman"/>
          <w:sz w:val="21"/>
        </w:rPr>
        <w:t>所规定的其他所有任务。</w:t>
      </w:r>
    </w:p>
    <w:p w:rsidR="007D62CB" w:rsidRDefault="006C0099" w:rsidP="003374D7">
      <w:pPr>
        <w:pStyle w:val="STYLEDUTEXTE"/>
        <w:numPr>
          <w:ilvl w:val="0"/>
          <w:numId w:val="10"/>
        </w:numPr>
        <w:overflowPunct w:val="0"/>
        <w:spacing w:afterLines="50" w:after="120" w:line="340" w:lineRule="atLeast"/>
        <w:ind w:left="714" w:hanging="357"/>
        <w:rPr>
          <w:rFonts w:ascii="Arial" w:hAnsi="Arial" w:cs="Times New Roman"/>
          <w:sz w:val="21"/>
          <w:szCs w:val="22"/>
        </w:rPr>
      </w:pPr>
      <w:r w:rsidRPr="003F5882">
        <w:rPr>
          <w:rFonts w:ascii="Arial" w:hAnsi="Arial" w:cs="Times New Roman"/>
          <w:sz w:val="21"/>
        </w:rPr>
        <w:t>成员国会议由所有成员国组成，不管其是否属于某一联盟。成员国会议通过预算、通过对《公约》的修正并酌情履行其他任务。</w:t>
      </w:r>
    </w:p>
    <w:p w:rsidR="007D62CB" w:rsidRDefault="006C0099" w:rsidP="003374D7">
      <w:pPr>
        <w:pStyle w:val="Style3"/>
        <w:numPr>
          <w:ilvl w:val="0"/>
          <w:numId w:val="10"/>
        </w:numPr>
        <w:overflowPunct w:val="0"/>
        <w:spacing w:afterLines="50" w:line="340" w:lineRule="atLeast"/>
        <w:ind w:left="714" w:hanging="357"/>
        <w:rPr>
          <w:rFonts w:ascii="Arial" w:hAnsi="Arial" w:cs="Times New Roman"/>
          <w:sz w:val="21"/>
          <w:szCs w:val="22"/>
        </w:rPr>
      </w:pPr>
      <w:r w:rsidRPr="003F5882">
        <w:rPr>
          <w:rFonts w:ascii="Arial" w:hAnsi="Arial" w:cs="Times New Roman"/>
          <w:sz w:val="21"/>
        </w:rPr>
        <w:t>协调委员会由巴黎或伯尔尼联盟的执行委员会的委员、非</w:t>
      </w:r>
      <w:r w:rsidR="00DC3A3F" w:rsidRPr="003F5882">
        <w:rPr>
          <w:rFonts w:ascii="Arial" w:hAnsi="Arial" w:cs="Times New Roman" w:hint="eastAsia"/>
          <w:sz w:val="21"/>
        </w:rPr>
        <w:t>任何</w:t>
      </w:r>
      <w:r w:rsidRPr="003F5882">
        <w:rPr>
          <w:rFonts w:ascii="Arial" w:hAnsi="Arial" w:cs="Times New Roman"/>
          <w:sz w:val="21"/>
        </w:rPr>
        <w:t>联盟成员的《WIPO公约》</w:t>
      </w:r>
      <w:r w:rsidR="00DC3A3F" w:rsidRPr="003F5882">
        <w:rPr>
          <w:rFonts w:ascii="Arial" w:hAnsi="Arial" w:cs="Times New Roman" w:hint="eastAsia"/>
          <w:sz w:val="21"/>
        </w:rPr>
        <w:t>缔约</w:t>
      </w:r>
      <w:r w:rsidRPr="003F5882">
        <w:rPr>
          <w:rFonts w:ascii="Arial" w:hAnsi="Arial" w:cs="Times New Roman"/>
          <w:sz w:val="21"/>
        </w:rPr>
        <w:t>国的四分之一以及瑞士组成。瑞士是本组织总部的所在地。协调委员会提名总干事候选人，编拟大会议程和成员国会议的计划和预算，并履行《WIPO公约》分配的其他职责。</w:t>
      </w:r>
    </w:p>
    <w:p w:rsidR="007D62CB" w:rsidRDefault="006C0099" w:rsidP="003374D7">
      <w:pPr>
        <w:pStyle w:val="Style3"/>
        <w:numPr>
          <w:ilvl w:val="0"/>
          <w:numId w:val="10"/>
        </w:numPr>
        <w:overflowPunct w:val="0"/>
        <w:spacing w:afterLines="50" w:line="340" w:lineRule="atLeast"/>
        <w:ind w:left="714" w:hanging="357"/>
        <w:rPr>
          <w:rFonts w:ascii="Arial" w:hAnsi="Arial" w:cs="Times New Roman"/>
          <w:sz w:val="21"/>
          <w:szCs w:val="22"/>
        </w:rPr>
      </w:pPr>
      <w:r w:rsidRPr="003F5882">
        <w:rPr>
          <w:rFonts w:ascii="Arial" w:hAnsi="Arial" w:cs="Times New Roman"/>
          <w:sz w:val="21"/>
        </w:rPr>
        <w:t>伯</w:t>
      </w:r>
      <w:proofErr w:type="gramStart"/>
      <w:r w:rsidRPr="003F5882">
        <w:rPr>
          <w:rFonts w:ascii="Arial" w:hAnsi="Arial" w:cs="Times New Roman"/>
          <w:sz w:val="21"/>
        </w:rPr>
        <w:t>尓</w:t>
      </w:r>
      <w:proofErr w:type="gramEnd"/>
      <w:r w:rsidRPr="003F5882">
        <w:rPr>
          <w:rFonts w:ascii="Arial" w:hAnsi="Arial" w:cs="Times New Roman"/>
          <w:sz w:val="21"/>
        </w:rPr>
        <w:t>尼、海牙、尼斯、里斯本、</w:t>
      </w:r>
      <w:proofErr w:type="gramStart"/>
      <w:r w:rsidRPr="003F5882">
        <w:rPr>
          <w:rFonts w:ascii="Arial" w:hAnsi="Arial" w:cs="Times New Roman"/>
          <w:sz w:val="21"/>
        </w:rPr>
        <w:t>洛迦</w:t>
      </w:r>
      <w:proofErr w:type="gramEnd"/>
      <w:r w:rsidRPr="003F5882">
        <w:rPr>
          <w:rFonts w:ascii="Arial" w:hAnsi="Arial" w:cs="Times New Roman"/>
          <w:sz w:val="21"/>
        </w:rPr>
        <w:t>诺、维也纳、布达佩斯国际专利分类和巴黎联盟等联盟大会，根据WIPO管理的创建各联盟的各个条约的授权举行会议，并通过WIPO预算中仅与各自收入和费用相关的部分，以及确定向WIPO根据每一条约提供服务需支付费用的水平。</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的资金来源包括从本组织提供的各项服务中收取的费用、成员国支付的分摊会费以及成员国和其他捐助方的自愿捐款。本组织在提供批款的两年期计划和预算的框架内开展工作，“批款”系指大会为每一财政期间批准的预算支出授权。批准批款向总干事提供了承付和授权支出以及为批款限度内指定目的而支付款项的权利。</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附注2：</w:t>
      </w:r>
      <w:r w:rsidRPr="00F453AC">
        <w:rPr>
          <w:rFonts w:ascii="Arial" w:eastAsia="SimHei" w:hAnsi="Arial" w:cs="Times New Roman"/>
          <w:b w:val="0"/>
          <w:sz w:val="21"/>
        </w:rPr>
        <w:tab/>
        <w:t>重大会计政策</w:t>
      </w:r>
    </w:p>
    <w:p w:rsidR="007D62CB" w:rsidRPr="003374D7" w:rsidRDefault="006C0099" w:rsidP="003374D7">
      <w:pPr>
        <w:pStyle w:val="Style3Bold"/>
        <w:keepNext/>
        <w:spacing w:afterLines="50" w:line="340" w:lineRule="atLeast"/>
        <w:rPr>
          <w:rFonts w:eastAsia="SimSun" w:cs="Times New Roman"/>
          <w:sz w:val="21"/>
          <w:szCs w:val="22"/>
        </w:rPr>
      </w:pPr>
      <w:r w:rsidRPr="003374D7">
        <w:rPr>
          <w:rFonts w:eastAsia="SimSun" w:cs="Times New Roman"/>
          <w:sz w:val="21"/>
        </w:rPr>
        <w:t>编制基准</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本套财务报表是根据权责发生制和持续经营编制的，整个财务期间会计政策都得到了持续应用。财务报表符合</w:t>
      </w:r>
      <w:r w:rsidR="003D06E3" w:rsidRPr="003F5882">
        <w:rPr>
          <w:rFonts w:ascii="Arial" w:hAnsi="Arial" w:cs="Times New Roman" w:hint="eastAsia"/>
          <w:sz w:val="21"/>
        </w:rPr>
        <w:t>《</w:t>
      </w:r>
      <w:r w:rsidRPr="003F5882">
        <w:rPr>
          <w:rFonts w:ascii="Arial" w:hAnsi="Arial" w:cs="Times New Roman"/>
          <w:sz w:val="21"/>
        </w:rPr>
        <w:t>国际公共部门会计</w:t>
      </w:r>
      <w:r w:rsidR="003D06E3" w:rsidRPr="003F5882">
        <w:rPr>
          <w:rFonts w:ascii="Arial" w:hAnsi="Arial" w:cs="Times New Roman" w:hint="eastAsia"/>
          <w:sz w:val="21"/>
        </w:rPr>
        <w:t>准则》</w:t>
      </w:r>
      <w:r w:rsidR="00F453AC" w:rsidRPr="003F5882">
        <w:rPr>
          <w:rFonts w:ascii="Arial" w:hAnsi="Arial" w:cs="Times New Roman" w:hint="eastAsia"/>
          <w:sz w:val="21"/>
        </w:rPr>
        <w:t>（</w:t>
      </w:r>
      <w:r w:rsidRPr="003F5882">
        <w:rPr>
          <w:rFonts w:ascii="Arial" w:hAnsi="Arial" w:cs="Times New Roman"/>
          <w:sz w:val="21"/>
        </w:rPr>
        <w:t>IPSAS</w:t>
      </w:r>
      <w:r w:rsidR="00F453AC" w:rsidRPr="003F5882">
        <w:rPr>
          <w:rFonts w:ascii="Arial" w:hAnsi="Arial" w:cs="Times New Roman" w:hint="eastAsia"/>
          <w:sz w:val="21"/>
        </w:rPr>
        <w:t>）</w:t>
      </w:r>
      <w:r w:rsidRPr="003F5882">
        <w:rPr>
          <w:rFonts w:ascii="Arial" w:hAnsi="Arial" w:cs="Times New Roman"/>
          <w:sz w:val="21"/>
        </w:rPr>
        <w:t>的要求。</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借款成本</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所有与借款有关的成本都被作为这些成本发生期间的支出。与建设新办公楼有关的借款成本</w:t>
      </w:r>
      <w:r w:rsidR="00F453AC" w:rsidRPr="003F5882">
        <w:rPr>
          <w:rFonts w:ascii="Arial" w:hAnsi="Arial" w:cs="Times New Roman" w:hint="eastAsia"/>
          <w:sz w:val="21"/>
        </w:rPr>
        <w:t>（</w:t>
      </w:r>
      <w:r w:rsidRPr="003F5882">
        <w:rPr>
          <w:rFonts w:ascii="Arial" w:hAnsi="Arial" w:cs="Times New Roman"/>
          <w:sz w:val="21"/>
        </w:rPr>
        <w:t>利息和费用</w:t>
      </w:r>
      <w:r w:rsidR="00F453AC" w:rsidRPr="003F5882">
        <w:rPr>
          <w:rFonts w:ascii="Arial" w:hAnsi="Arial" w:cs="Times New Roman" w:hint="eastAsia"/>
          <w:sz w:val="21"/>
        </w:rPr>
        <w:t>）</w:t>
      </w:r>
      <w:r w:rsidRPr="003F5882">
        <w:rPr>
          <w:rFonts w:ascii="Arial" w:hAnsi="Arial" w:cs="Times New Roman"/>
          <w:sz w:val="21"/>
        </w:rPr>
        <w:t>已经作为在建项目转化为资本</w:t>
      </w:r>
      <w:r w:rsidR="00F453AC" w:rsidRPr="003F5882">
        <w:rPr>
          <w:rFonts w:ascii="Arial" w:hAnsi="Arial" w:cs="Times New Roman" w:hint="eastAsia"/>
          <w:sz w:val="21"/>
        </w:rPr>
        <w:t>（</w:t>
      </w:r>
      <w:r w:rsidRPr="003F5882">
        <w:rPr>
          <w:rFonts w:ascii="Arial" w:hAnsi="Arial" w:cs="Times New Roman"/>
          <w:sz w:val="21"/>
        </w:rPr>
        <w:t>见附注9</w:t>
      </w:r>
      <w:r w:rsidR="00F453AC" w:rsidRPr="003F5882">
        <w:rPr>
          <w:rFonts w:ascii="Arial" w:hAnsi="Arial" w:cs="Times New Roman" w:hint="eastAsia"/>
          <w:sz w:val="21"/>
        </w:rPr>
        <w:t>）</w:t>
      </w:r>
      <w:r w:rsidRPr="003F5882">
        <w:rPr>
          <w:rFonts w:ascii="Arial" w:hAnsi="Arial" w:cs="Times New Roman"/>
          <w:sz w:val="21"/>
        </w:rPr>
        <w:t>。与建设新</w:t>
      </w:r>
      <w:r w:rsidR="00884E92" w:rsidRPr="003F5882">
        <w:rPr>
          <w:rFonts w:ascii="Arial" w:hAnsi="Arial" w:cs="Times New Roman" w:hint="eastAsia"/>
          <w:sz w:val="21"/>
        </w:rPr>
        <w:t>会议厅</w:t>
      </w:r>
      <w:r w:rsidRPr="003F5882">
        <w:rPr>
          <w:rFonts w:ascii="Arial" w:hAnsi="Arial" w:cs="Times New Roman"/>
          <w:sz w:val="21"/>
        </w:rPr>
        <w:t>有关的借款成本</w:t>
      </w:r>
      <w:r w:rsidR="00F453AC" w:rsidRPr="003F5882">
        <w:rPr>
          <w:rFonts w:ascii="Arial" w:hAnsi="Arial" w:cs="Times New Roman" w:hint="eastAsia"/>
          <w:sz w:val="21"/>
        </w:rPr>
        <w:t>（</w:t>
      </w:r>
      <w:r w:rsidRPr="003F5882">
        <w:rPr>
          <w:rFonts w:ascii="Arial" w:hAnsi="Arial" w:cs="Times New Roman"/>
          <w:sz w:val="21"/>
        </w:rPr>
        <w:t>未动用贷款金额手续费</w:t>
      </w:r>
      <w:r w:rsidR="00F453AC" w:rsidRPr="003F5882">
        <w:rPr>
          <w:rFonts w:ascii="Arial" w:hAnsi="Arial" w:cs="Times New Roman" w:hint="eastAsia"/>
          <w:sz w:val="21"/>
        </w:rPr>
        <w:t>）</w:t>
      </w:r>
      <w:r w:rsidRPr="003F5882">
        <w:rPr>
          <w:rFonts w:ascii="Arial" w:hAnsi="Arial" w:cs="Times New Roman"/>
          <w:sz w:val="21"/>
        </w:rPr>
        <w:t>已经作为在建项目转化为资本</w:t>
      </w:r>
      <w:r w:rsidR="00F453AC" w:rsidRPr="003F5882">
        <w:rPr>
          <w:rFonts w:ascii="Arial" w:hAnsi="Arial" w:cs="Times New Roman" w:hint="eastAsia"/>
          <w:sz w:val="21"/>
        </w:rPr>
        <w:t>（</w:t>
      </w:r>
      <w:r w:rsidRPr="003F5882">
        <w:rPr>
          <w:rFonts w:ascii="Arial" w:hAnsi="Arial" w:cs="Times New Roman"/>
          <w:sz w:val="21"/>
        </w:rPr>
        <w:t>见附注9</w:t>
      </w:r>
      <w:r w:rsidR="00F453AC" w:rsidRPr="003F5882">
        <w:rPr>
          <w:rFonts w:ascii="Arial" w:hAnsi="Arial" w:cs="Times New Roman" w:hint="eastAsia"/>
          <w:sz w:val="21"/>
        </w:rPr>
        <w:t>）</w:t>
      </w:r>
      <w:r w:rsidRPr="003F5882">
        <w:rPr>
          <w:rFonts w:ascii="Arial" w:hAnsi="Arial" w:cs="Times New Roman"/>
          <w:sz w:val="21"/>
        </w:rPr>
        <w:t>。从世界气象组织收购PCT楼所在地土地权</w:t>
      </w:r>
      <w:r w:rsidR="00F453AC" w:rsidRPr="003F5882">
        <w:rPr>
          <w:rFonts w:ascii="Arial" w:hAnsi="Arial" w:cs="Times New Roman" w:hint="eastAsia"/>
          <w:sz w:val="21"/>
        </w:rPr>
        <w:t>（</w:t>
      </w:r>
      <w:r w:rsidRPr="003F5882">
        <w:rPr>
          <w:rFonts w:ascii="Arial" w:eastAsia="KaiTi" w:hAnsi="Arial" w:cs="Times New Roman"/>
          <w:sz w:val="21"/>
        </w:rPr>
        <w:t>droits de superficie</w:t>
      </w:r>
      <w:r w:rsidR="00F453AC" w:rsidRPr="003F5882">
        <w:rPr>
          <w:rFonts w:ascii="Arial" w:hAnsi="Arial" w:cs="Times New Roman" w:hint="eastAsia"/>
          <w:sz w:val="21"/>
        </w:rPr>
        <w:t>）</w:t>
      </w:r>
      <w:r w:rsidRPr="003F5882">
        <w:rPr>
          <w:rFonts w:ascii="Arial" w:hAnsi="Arial" w:cs="Times New Roman"/>
          <w:sz w:val="21"/>
        </w:rPr>
        <w:t>有关的借款成本</w:t>
      </w:r>
      <w:r w:rsidR="00F453AC" w:rsidRPr="003F5882">
        <w:rPr>
          <w:rFonts w:ascii="Arial" w:hAnsi="Arial" w:cs="Times New Roman" w:hint="eastAsia"/>
          <w:sz w:val="21"/>
        </w:rPr>
        <w:t>（</w:t>
      </w:r>
      <w:r w:rsidRPr="003F5882">
        <w:rPr>
          <w:rFonts w:ascii="Arial" w:hAnsi="Arial" w:cs="Times New Roman"/>
          <w:sz w:val="21"/>
        </w:rPr>
        <w:t>利息和费用</w:t>
      </w:r>
      <w:r w:rsidR="00F453AC" w:rsidRPr="003F5882">
        <w:rPr>
          <w:rFonts w:ascii="Arial" w:hAnsi="Arial" w:cs="Times New Roman" w:hint="eastAsia"/>
          <w:sz w:val="21"/>
        </w:rPr>
        <w:t>）</w:t>
      </w:r>
      <w:r w:rsidRPr="003F5882">
        <w:rPr>
          <w:rFonts w:ascii="Arial" w:hAnsi="Arial" w:cs="Times New Roman"/>
          <w:sz w:val="21"/>
        </w:rPr>
        <w:t>已作为资产价值的一部分计入资本，并在土地权的剩余年限中摊销</w:t>
      </w:r>
      <w:r w:rsidR="00F453AC" w:rsidRPr="003F5882">
        <w:rPr>
          <w:rFonts w:ascii="Arial" w:hAnsi="Arial" w:cs="Times New Roman" w:hint="eastAsia"/>
          <w:sz w:val="21"/>
        </w:rPr>
        <w:t>（</w:t>
      </w:r>
      <w:r w:rsidRPr="003F5882">
        <w:rPr>
          <w:rFonts w:ascii="Arial" w:hAnsi="Arial" w:cs="Times New Roman"/>
          <w:sz w:val="21"/>
        </w:rPr>
        <w:t>见附注8</w:t>
      </w:r>
      <w:r w:rsidR="00F453AC" w:rsidRPr="003F5882">
        <w:rPr>
          <w:rFonts w:ascii="Arial" w:hAnsi="Arial" w:cs="Times New Roman" w:hint="eastAsia"/>
          <w:sz w:val="21"/>
        </w:rPr>
        <w:t>）</w:t>
      </w:r>
      <w:r w:rsidRPr="003F5882">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现金、投资和其他金融资产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现金和现金等价物包括库存现金、银行通知存款、不超过90天的存款及其他可随时变现且价值变动风险不大的短期高流动性投资。</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雇员福利</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根据独立精算师利用预计单位福利法在年度基础上确定的结果，把离职后健康保险</w:t>
      </w:r>
      <w:r w:rsidR="00F453AC" w:rsidRPr="003F5882">
        <w:rPr>
          <w:rFonts w:ascii="Arial" w:hAnsi="Arial" w:cs="Times New Roman" w:hint="eastAsia"/>
          <w:sz w:val="21"/>
        </w:rPr>
        <w:t>（</w:t>
      </w:r>
      <w:r w:rsidRPr="003F5882">
        <w:rPr>
          <w:rFonts w:ascii="Arial" w:hAnsi="Arial" w:cs="Times New Roman"/>
          <w:sz w:val="21"/>
        </w:rPr>
        <w:t>ASHI</w:t>
      </w:r>
      <w:r w:rsidR="00F453AC" w:rsidRPr="003F5882">
        <w:rPr>
          <w:rFonts w:ascii="Arial" w:hAnsi="Arial" w:cs="Times New Roman" w:hint="eastAsia"/>
          <w:sz w:val="21"/>
        </w:rPr>
        <w:t>）</w:t>
      </w:r>
      <w:r w:rsidRPr="003F5882">
        <w:rPr>
          <w:rFonts w:ascii="Arial" w:hAnsi="Arial" w:cs="Times New Roman"/>
          <w:sz w:val="21"/>
        </w:rPr>
        <w:t>和回国补助金以及旅费规定为负债。ASHI负债的精算盈余和亏损用居间法来认定，并按照在职工作人员的未来平均服务年数摊销。此外，在报告日尚未支付的累计假期、未执行回籍假</w:t>
      </w:r>
      <w:r w:rsidR="0004367C" w:rsidRPr="003F5882">
        <w:rPr>
          <w:rFonts w:ascii="Arial" w:hAnsi="Arial" w:cs="Times New Roman" w:hint="eastAsia"/>
          <w:sz w:val="21"/>
        </w:rPr>
        <w:t>、未支付</w:t>
      </w:r>
      <w:r w:rsidRPr="003F5882">
        <w:rPr>
          <w:rFonts w:ascii="Arial" w:hAnsi="Arial" w:cs="Times New Roman"/>
          <w:sz w:val="21"/>
        </w:rPr>
        <w:t>加班费、离职福利、绩效奖励以及在报告日没有纳入当期支出的应支付教育补助金也规定为负债。</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WIPO为联合国合办工作人员养恤基金</w:t>
      </w:r>
      <w:r w:rsidR="00F453AC" w:rsidRPr="003F5882">
        <w:rPr>
          <w:rFonts w:ascii="Arial" w:hAnsi="Arial" w:cs="Times New Roman" w:hint="eastAsia"/>
          <w:sz w:val="21"/>
        </w:rPr>
        <w:t>（</w:t>
      </w:r>
      <w:r w:rsidRPr="003F5882">
        <w:rPr>
          <w:rFonts w:ascii="Arial" w:hAnsi="Arial" w:cs="Times New Roman"/>
          <w:sz w:val="21"/>
        </w:rPr>
        <w:t>UNJSPF</w:t>
      </w:r>
      <w:r w:rsidR="00F453AC" w:rsidRPr="003F5882">
        <w:rPr>
          <w:rFonts w:ascii="Arial" w:hAnsi="Arial" w:cs="Times New Roman" w:hint="eastAsia"/>
          <w:sz w:val="21"/>
        </w:rPr>
        <w:t>）</w:t>
      </w:r>
      <w:r w:rsidRPr="003F5882">
        <w:rPr>
          <w:rFonts w:ascii="Arial" w:hAnsi="Arial" w:cs="Times New Roman"/>
          <w:sz w:val="21"/>
        </w:rPr>
        <w:t>的成员组织，该基金由联合国大会成立，旨在为雇员提供退休、死亡、残障和相关福利。养恤基金是一个多雇主资助和有明确规定的福利计划。根据该基金条例第3</w:t>
      </w:r>
      <w:r w:rsidR="003D06E3" w:rsidRPr="003F5882">
        <w:rPr>
          <w:rFonts w:ascii="Arial" w:hAnsi="Arial" w:cs="Times New Roman"/>
          <w:sz w:val="21"/>
        </w:rPr>
        <w:t>条</w:t>
      </w:r>
      <w:r w:rsidRPr="003F5882">
        <w:rPr>
          <w:rFonts w:ascii="Arial" w:hAnsi="Arial" w:cs="Times New Roman"/>
          <w:sz w:val="21"/>
        </w:rPr>
        <w:t>b款的规定，该基金的成员资格须向联合国专门机构以及参加联合国薪金、津贴和其他福利统一制度的任何其他国际、政府间组织及专门机构开放。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该计划使成员组织面临着有关其他组织现有和前雇员的精算风险。其结果是，在将义务、计划资产和费用分配至参与该计划的各个组织方面没有统一、可靠的基准。WIPO和UNJSPF与其他参与基金的组织一样，无法从财务角度以足够的可靠性来确定其与该计划相关的</w:t>
      </w:r>
      <w:r w:rsidR="007B516A" w:rsidRPr="003F5882">
        <w:rPr>
          <w:rFonts w:ascii="Arial" w:hAnsi="Arial" w:cs="Times New Roman"/>
          <w:sz w:val="21"/>
        </w:rPr>
        <w:t>固定福利债务</w:t>
      </w:r>
      <w:r w:rsidRPr="003F5882">
        <w:rPr>
          <w:rFonts w:ascii="Arial" w:hAnsi="Arial" w:cs="Times New Roman"/>
          <w:sz w:val="21"/>
        </w:rPr>
        <w:t>、计划资产和费用的相应份额，因此WIPO将该计划当成是符合IPSAS 25要求的固定缴款计划。WIPO在本财务期内为该计划的缴款在财务执行情况表中被列为支出。</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费用确认</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货物收到和服务交付时，即可记为费用已支出。</w:t>
      </w:r>
    </w:p>
    <w:p w:rsidR="007D62CB" w:rsidRPr="003374D7" w:rsidRDefault="006C0099" w:rsidP="003374D7">
      <w:pPr>
        <w:pStyle w:val="Style3Bold"/>
        <w:keepNext/>
        <w:spacing w:afterLines="50" w:line="340" w:lineRule="atLeast"/>
        <w:rPr>
          <w:rFonts w:eastAsia="SimSun" w:cs="Times New Roman"/>
          <w:sz w:val="21"/>
        </w:rPr>
      </w:pPr>
      <w:r w:rsidRPr="003374D7">
        <w:rPr>
          <w:rFonts w:eastAsia="SimSun" w:cs="Times New Roman"/>
          <w:sz w:val="21"/>
        </w:rPr>
        <w:t>金融工具</w:t>
      </w:r>
    </w:p>
    <w:p w:rsidR="007D62CB" w:rsidRPr="003374D7" w:rsidRDefault="006C0099" w:rsidP="003374D7">
      <w:pPr>
        <w:pStyle w:val="Style3"/>
        <w:keepNext/>
        <w:spacing w:afterLines="50" w:line="340" w:lineRule="atLeast"/>
        <w:rPr>
          <w:rFonts w:ascii="Arial" w:eastAsia="KaiTi" w:hAnsi="Arial" w:cs="Times New Roman"/>
          <w:b/>
          <w:i/>
          <w:sz w:val="21"/>
          <w:szCs w:val="22"/>
        </w:rPr>
      </w:pPr>
      <w:r w:rsidRPr="003374D7">
        <w:rPr>
          <w:rFonts w:ascii="Arial" w:eastAsia="KaiTi" w:hAnsi="Arial" w:cs="Times New Roman"/>
          <w:b/>
          <w:i/>
          <w:sz w:val="21"/>
        </w:rPr>
        <w:t>金融资产</w:t>
      </w:r>
    </w:p>
    <w:p w:rsidR="006C0099" w:rsidRPr="003F5882" w:rsidRDefault="006C0099" w:rsidP="003374D7">
      <w:pPr>
        <w:pStyle w:val="Style3"/>
        <w:keepNext/>
        <w:spacing w:after="0" w:line="340" w:lineRule="atLeast"/>
        <w:rPr>
          <w:rFonts w:ascii="Arial" w:hAnsi="Arial" w:cs="Times New Roman"/>
          <w:bCs/>
          <w:sz w:val="21"/>
          <w:szCs w:val="22"/>
        </w:rPr>
      </w:pPr>
      <w:r w:rsidRPr="003F5882">
        <w:rPr>
          <w:rFonts w:ascii="Arial" w:hAnsi="Arial" w:cs="Times New Roman"/>
          <w:sz w:val="21"/>
        </w:rPr>
        <w:t>初始确认与计量：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IPSAS 29《金融工具：确认与计量》范围内的金融资产酌情分为按公允价值列入盈余或赤字之金融资产、贷款和应收账款、持有到期投资或可供出售金融资产。本组织在初始确认时决定其金融资产的分类。本组织的金融资产包括现金和短期存款、贷款和应收账款。</w:t>
      </w:r>
    </w:p>
    <w:p w:rsidR="006C0099" w:rsidRPr="003F5882" w:rsidRDefault="006C0099" w:rsidP="003374D7">
      <w:pPr>
        <w:pStyle w:val="Style3"/>
        <w:keepNext/>
        <w:spacing w:after="0" w:line="340" w:lineRule="atLeast"/>
        <w:rPr>
          <w:rFonts w:ascii="Arial" w:eastAsia="KaiTi" w:hAnsi="Arial" w:cs="Times New Roman"/>
          <w:iCs/>
          <w:sz w:val="21"/>
          <w:szCs w:val="22"/>
        </w:rPr>
      </w:pPr>
      <w:r w:rsidRPr="003F5882">
        <w:rPr>
          <w:rFonts w:ascii="Arial" w:hAnsi="Arial" w:cs="Times New Roman"/>
          <w:sz w:val="21"/>
        </w:rPr>
        <w:lastRenderedPageBreak/>
        <w:t>后续计量：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金融资产的后续计量取决于其分类。</w:t>
      </w:r>
    </w:p>
    <w:p w:rsidR="006C0099" w:rsidRPr="00DA4636" w:rsidRDefault="006C0099" w:rsidP="003374D7">
      <w:pPr>
        <w:keepNext/>
        <w:autoSpaceDE w:val="0"/>
        <w:autoSpaceDN w:val="0"/>
        <w:adjustRightInd w:val="0"/>
        <w:jc w:val="both"/>
        <w:rPr>
          <w:rFonts w:ascii="Arial" w:eastAsia="KaiTi" w:hAnsi="Arial" w:cs="Times New Roman"/>
          <w:bCs/>
          <w:i/>
          <w:sz w:val="21"/>
          <w:szCs w:val="22"/>
        </w:rPr>
      </w:pPr>
      <w:r w:rsidRPr="00DA4636">
        <w:rPr>
          <w:rFonts w:ascii="Arial" w:eastAsia="KaiTi" w:hAnsi="Arial" w:cs="Times New Roman"/>
          <w:i/>
          <w:sz w:val="21"/>
        </w:rPr>
        <w:t>按公允价值列入盈余或赤字的金融资产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按公允价值列入盈余或赤字的金融资产包括交易性金融资产和初始确认时指定按公允价值列入盈余或赤字的金融资产。出于短期内出售或回购目的收购的金融资产归类为交易性金融资产。按公允价值列入盈余或赤字的金融资产按公允价值载于财务状况表，公允价值的变化计入盈余或赤字。</w:t>
      </w:r>
    </w:p>
    <w:p w:rsidR="006C0099" w:rsidRPr="00DA4636" w:rsidRDefault="006C0099" w:rsidP="003374D7">
      <w:pPr>
        <w:keepNext/>
        <w:autoSpaceDE w:val="0"/>
        <w:autoSpaceDN w:val="0"/>
        <w:adjustRightInd w:val="0"/>
        <w:jc w:val="both"/>
        <w:rPr>
          <w:rFonts w:ascii="Arial" w:eastAsia="KaiTi" w:hAnsi="Arial" w:cs="Times New Roman"/>
          <w:i/>
          <w:sz w:val="21"/>
        </w:rPr>
      </w:pPr>
      <w:r w:rsidRPr="00DA4636">
        <w:rPr>
          <w:rFonts w:ascii="Arial" w:eastAsia="KaiTi" w:hAnsi="Arial" w:cs="Times New Roman"/>
          <w:i/>
          <w:sz w:val="21"/>
        </w:rPr>
        <w:t>贷款与应收账款：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贷款与应收账款是要进行固定或可确定支付的非衍生金融资产，不在活跃市场上报价。在初始计量后，此类金融资产随后用实际利率法按摊销成本计量。摊销成本的计算考虑了收购时的任何折价或溢价以及构成实际利率的费用或成本。减值带来的损失计入盈余或赤字。</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终止确认：</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如从某项金融资产，或在适用情况下某项金融资产的一部分或一组类似金融资产的一部分收到现金流的权利已到期或被放弃，本组织终止确认该项资产。</w:t>
      </w:r>
    </w:p>
    <w:p w:rsidR="006C0099" w:rsidRPr="003F5882" w:rsidRDefault="006C0099" w:rsidP="003374D7">
      <w:pPr>
        <w:pStyle w:val="Style3"/>
        <w:keepNext/>
        <w:spacing w:after="0" w:line="340" w:lineRule="atLeast"/>
        <w:rPr>
          <w:rFonts w:ascii="Arial" w:hAnsi="Arial" w:cs="Times New Roman"/>
          <w:sz w:val="21"/>
          <w:szCs w:val="22"/>
        </w:rPr>
      </w:pPr>
      <w:r w:rsidRPr="003F5882">
        <w:rPr>
          <w:rFonts w:ascii="Arial" w:hAnsi="Arial" w:cs="Times New Roman"/>
          <w:sz w:val="21"/>
        </w:rPr>
        <w:t>金融资产减值：</w:t>
      </w:r>
    </w:p>
    <w:p w:rsidR="007D62CB" w:rsidRDefault="006C0099" w:rsidP="007D62CB">
      <w:pPr>
        <w:pStyle w:val="Style3"/>
        <w:spacing w:afterLines="50" w:line="340" w:lineRule="atLeast"/>
        <w:rPr>
          <w:rFonts w:ascii="Arial" w:eastAsia="KaiTi" w:hAnsi="Arial" w:cs="Times New Roman"/>
          <w:iCs/>
          <w:sz w:val="21"/>
          <w:szCs w:val="22"/>
        </w:rPr>
      </w:pPr>
      <w:r w:rsidRPr="003F5882">
        <w:rPr>
          <w:rFonts w:ascii="Arial" w:hAnsi="Arial" w:cs="Times New Roman"/>
          <w:sz w:val="21"/>
        </w:rPr>
        <w:t>本组织在每个报告日评估是否有客观证据表明一项/一组金融资产出现减值。当且仅当有客观证据表明在一项金融资产或一组金融资产初始确认后发生的一起或多起事件导致减值</w:t>
      </w:r>
      <w:r w:rsidR="00F453AC" w:rsidRPr="003F5882">
        <w:rPr>
          <w:rFonts w:ascii="Arial" w:hAnsi="Arial" w:cs="Times New Roman" w:hint="eastAsia"/>
          <w:sz w:val="21"/>
        </w:rPr>
        <w:t>（</w:t>
      </w:r>
      <w:r w:rsidRPr="003F5882">
        <w:rPr>
          <w:rFonts w:ascii="Arial" w:hAnsi="Arial" w:cs="Times New Roman"/>
          <w:sz w:val="21"/>
        </w:rPr>
        <w:t>已发生损失事件</w:t>
      </w:r>
      <w:r w:rsidR="00F453AC" w:rsidRPr="003F5882">
        <w:rPr>
          <w:rFonts w:ascii="Arial" w:hAnsi="Arial" w:cs="Times New Roman" w:hint="eastAsia"/>
          <w:sz w:val="21"/>
        </w:rPr>
        <w:t>）</w:t>
      </w:r>
      <w:r w:rsidRPr="003F5882">
        <w:rPr>
          <w:rFonts w:ascii="Arial" w:hAnsi="Arial" w:cs="Times New Roman"/>
          <w:sz w:val="21"/>
        </w:rPr>
        <w:t>并且该损失事件对该项/该组金融资产未来的现金流量产生了可以可靠概算的影响时，该项/该组金融资产被认为出现减值。</w:t>
      </w:r>
    </w:p>
    <w:p w:rsidR="007D62CB" w:rsidRPr="003374D7" w:rsidRDefault="006C0099" w:rsidP="003374D7">
      <w:pPr>
        <w:pStyle w:val="Style3"/>
        <w:keepNext/>
        <w:spacing w:afterLines="50" w:line="340" w:lineRule="atLeast"/>
        <w:rPr>
          <w:rFonts w:ascii="Arial" w:eastAsia="KaiTi" w:hAnsi="Arial" w:cs="Times New Roman"/>
          <w:b/>
          <w:i/>
          <w:sz w:val="21"/>
        </w:rPr>
      </w:pPr>
      <w:r w:rsidRPr="003374D7">
        <w:rPr>
          <w:rFonts w:ascii="Arial" w:eastAsia="KaiTi" w:hAnsi="Arial" w:cs="Times New Roman"/>
          <w:b/>
          <w:i/>
          <w:sz w:val="21"/>
        </w:rPr>
        <w:t>金融负债</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初始确认与计量：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IPSAS 29范围内的金融负债酌情分为按公允价值列入盈余或赤字的金融负债或贷款和借款。本组织在初始确认时决定其金融负债的分类。所有的金融负债初始均按公允价值确认，如涉及贷款和借款，还要加上直接应占交易成本。本组织的金融负债包括贸易及其他应付款项、贷款和借款。</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后续计量：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金融负债的后续计量取决于其分类。</w:t>
      </w:r>
    </w:p>
    <w:p w:rsidR="006C0099" w:rsidRPr="003374D7" w:rsidRDefault="006C0099" w:rsidP="003374D7">
      <w:pPr>
        <w:keepNext/>
        <w:autoSpaceDE w:val="0"/>
        <w:autoSpaceDN w:val="0"/>
        <w:adjustRightInd w:val="0"/>
        <w:jc w:val="both"/>
        <w:rPr>
          <w:rFonts w:ascii="Arial" w:eastAsia="KaiTi" w:hAnsi="Arial" w:cs="Times New Roman"/>
          <w:i/>
          <w:sz w:val="21"/>
        </w:rPr>
      </w:pPr>
      <w:r w:rsidRPr="003374D7">
        <w:rPr>
          <w:rFonts w:ascii="Arial" w:eastAsia="KaiTi" w:hAnsi="Arial" w:cs="Times New Roman"/>
          <w:i/>
          <w:sz w:val="21"/>
        </w:rPr>
        <w:t>按公允价值列入盈余或赤字的金融负债</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按公允价值列入盈余或赤字的金融负债包括持有交易性金融负债和初始确认时指定按公允价值列入盈余或赤字的金融负债。出于短期内出售目的收购的金融负债归类为交易性金融负债。交易性金融负债出现的收益或损失计入盈余或赤字。</w:t>
      </w:r>
    </w:p>
    <w:p w:rsidR="006C0099" w:rsidRPr="003374D7" w:rsidRDefault="006C0099" w:rsidP="003374D7">
      <w:pPr>
        <w:keepNext/>
        <w:autoSpaceDE w:val="0"/>
        <w:autoSpaceDN w:val="0"/>
        <w:adjustRightInd w:val="0"/>
        <w:jc w:val="both"/>
        <w:rPr>
          <w:rFonts w:ascii="Arial" w:eastAsia="KaiTi" w:hAnsi="Arial" w:cs="Times New Roman"/>
          <w:i/>
          <w:sz w:val="21"/>
        </w:rPr>
      </w:pPr>
      <w:r w:rsidRPr="003374D7">
        <w:rPr>
          <w:rFonts w:ascii="Arial" w:eastAsia="KaiTi" w:hAnsi="Arial" w:cs="Times New Roman"/>
          <w:i/>
          <w:sz w:val="21"/>
        </w:rPr>
        <w:t>贷款与借款：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初始计量后，贷款与借款随后用实际利率法按摊销成本计量。在终止确认负债时并通过实际利率法摊销过程，收益和损失计入盈余或赤字。摊销成本的计算考虑了收购时的任何折价或溢价以及构成实际利率的费用或成本。</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终止确认：</w:t>
      </w:r>
    </w:p>
    <w:p w:rsidR="007D62CB" w:rsidRDefault="006C0099" w:rsidP="007D62CB">
      <w:pPr>
        <w:pStyle w:val="Style3"/>
        <w:spacing w:afterLines="50" w:line="340" w:lineRule="atLeast"/>
        <w:rPr>
          <w:rFonts w:ascii="Arial" w:eastAsia="KaiTi" w:hAnsi="Arial" w:cs="Times New Roman"/>
          <w:iCs/>
          <w:sz w:val="21"/>
          <w:szCs w:val="22"/>
        </w:rPr>
      </w:pPr>
      <w:r w:rsidRPr="003F5882">
        <w:rPr>
          <w:rFonts w:ascii="Arial" w:hAnsi="Arial" w:cs="Times New Roman"/>
          <w:sz w:val="21"/>
        </w:rPr>
        <w:t>当一项金融负债所涉义务已履行、撤销或到期时，该项金融负债终止确认。如某项现有金融负债由相同借贷方按实质上不同的条款提供的另一项金融负债所取代，或现有负债的条款受到实质性修订，则此种交换或修订被视为终止确认原有负债并确认新负债，彼此账面数额之间的差额计入盈余或赤字。</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lastRenderedPageBreak/>
        <w:t>外汇交易</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WIPO的功能货币是瑞士法郎，财务报表采用该货币。以其他货币进行的所有交易根据交易当天的联合国业务汇率</w:t>
      </w:r>
      <w:r w:rsidR="00F453AC" w:rsidRPr="003F5882">
        <w:rPr>
          <w:rFonts w:ascii="Arial" w:hAnsi="Arial" w:cs="Times New Roman"/>
          <w:sz w:val="21"/>
        </w:rPr>
        <w:t>（</w:t>
      </w:r>
      <w:r w:rsidRPr="003F5882">
        <w:rPr>
          <w:rFonts w:ascii="Arial" w:hAnsi="Arial" w:cs="Times New Roman"/>
          <w:sz w:val="21"/>
        </w:rPr>
        <w:t>UNORE</w:t>
      </w:r>
      <w:r w:rsidR="00F453AC" w:rsidRPr="003F5882">
        <w:rPr>
          <w:rFonts w:ascii="Arial" w:hAnsi="Arial" w:cs="Times New Roman"/>
          <w:sz w:val="21"/>
        </w:rPr>
        <w:t>）</w:t>
      </w:r>
      <w:r w:rsidRPr="003F5882">
        <w:rPr>
          <w:rFonts w:ascii="Arial" w:hAnsi="Arial" w:cs="Times New Roman"/>
          <w:sz w:val="21"/>
        </w:rPr>
        <w:t>兑换成瑞士法郎。在报告</w:t>
      </w:r>
      <w:proofErr w:type="gramStart"/>
      <w:r w:rsidRPr="003F5882">
        <w:rPr>
          <w:rFonts w:ascii="Arial" w:hAnsi="Arial" w:cs="Times New Roman"/>
          <w:sz w:val="21"/>
        </w:rPr>
        <w:t>日因此种交易和因重新</w:t>
      </w:r>
      <w:proofErr w:type="gramEnd"/>
      <w:r w:rsidRPr="003F5882">
        <w:rPr>
          <w:rFonts w:ascii="Arial" w:hAnsi="Arial" w:cs="Times New Roman"/>
          <w:sz w:val="21"/>
        </w:rPr>
        <w:t>对以WIPO功能货币之外的货币计价的资产与负债进行换算而产生的已变现及未变现的收益和亏损在财务执行情况表中确认。</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固定资产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设备按成本减累计折旧和损耗计账。如设备单位价值为5,000瑞郎或以上，则被确认为一项资产。土地和物业投资根据国际评估标准经独立评估确定的公允价值显示。根据独立专家进行的鉴定，已启用建筑物按落成时的成本加随后改善的成本计账，减累计折旧。落成时的价值参照外聘顾问计算的估算成本确定，并表明建筑物每一部分的价值加2010年1月1日</w:t>
      </w:r>
      <w:r w:rsidR="00F453AC" w:rsidRPr="003F5882">
        <w:rPr>
          <w:rFonts w:ascii="Arial" w:hAnsi="Arial" w:cs="Times New Roman" w:hint="eastAsia"/>
          <w:sz w:val="21"/>
        </w:rPr>
        <w:t>（</w:t>
      </w:r>
      <w:r w:rsidRPr="003F5882">
        <w:rPr>
          <w:rFonts w:ascii="Arial" w:hAnsi="Arial" w:cs="Times New Roman"/>
          <w:sz w:val="21"/>
        </w:rPr>
        <w:t>转换到IPSAS的日期</w:t>
      </w:r>
      <w:r w:rsidR="00F453AC" w:rsidRPr="003F5882">
        <w:rPr>
          <w:rFonts w:ascii="Arial" w:hAnsi="Arial" w:cs="Times New Roman" w:hint="eastAsia"/>
          <w:sz w:val="21"/>
        </w:rPr>
        <w:t>）</w:t>
      </w:r>
      <w:r w:rsidRPr="003F5882">
        <w:rPr>
          <w:rFonts w:ascii="Arial" w:hAnsi="Arial" w:cs="Times New Roman"/>
          <w:sz w:val="21"/>
        </w:rPr>
        <w:t>最初认可日期已有的改进，按照每一部分的残存使用年限减累计折旧。对增长或扩大今后经济收益或服务潜力的固定资产所进行的重大翻修和改善的后期费用按成本计账。通过实收款项与资产账面金额进行比较来确定出售资产带来的盈余和亏损，并纳入财务执行情况报表。包括捐赠的艺术作品在内的遗产资产不在财务报表中计账。</w:t>
      </w:r>
    </w:p>
    <w:p w:rsidR="006C0099" w:rsidRPr="003F5882"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为了冲销土地和施工中的地产以外的固定资产的完全成本，按照估计使用年限，使用直线法来计算折旧。如固定资产仅用于当年部分时间</w:t>
      </w:r>
      <w:r w:rsidR="00F453AC" w:rsidRPr="003F5882">
        <w:rPr>
          <w:rFonts w:ascii="Arial" w:hAnsi="Arial" w:cs="Times New Roman" w:hint="eastAsia"/>
          <w:sz w:val="21"/>
        </w:rPr>
        <w:t>（</w:t>
      </w:r>
      <w:r w:rsidRPr="003F5882">
        <w:rPr>
          <w:rFonts w:ascii="Arial" w:hAnsi="Arial" w:cs="Times New Roman"/>
          <w:sz w:val="21"/>
        </w:rPr>
        <w:t>由于当年的收购、处置或报废</w:t>
      </w:r>
      <w:r w:rsidR="00F453AC" w:rsidRPr="003F5882">
        <w:rPr>
          <w:rFonts w:ascii="Arial" w:hAnsi="Arial" w:cs="Times New Roman" w:hint="eastAsia"/>
          <w:sz w:val="21"/>
        </w:rPr>
        <w:t>）</w:t>
      </w:r>
      <w:r w:rsidRPr="003F5882">
        <w:rPr>
          <w:rFonts w:ascii="Arial" w:hAnsi="Arial" w:cs="Times New Roman"/>
          <w:sz w:val="21"/>
        </w:rPr>
        <w:t>，则只针对固定资产所使用的月份来计算折旧。以下使用寿命范围适用于不同类别的固定资产：</w:t>
      </w:r>
    </w:p>
    <w:p w:rsidR="006C0099" w:rsidRPr="003F5882" w:rsidRDefault="006C0099" w:rsidP="006C0099">
      <w:pPr>
        <w:pStyle w:val="Style3"/>
        <w:spacing w:after="0"/>
        <w:rPr>
          <w:rFonts w:ascii="Arial" w:hAnsi="Arial" w:cs="Times New Roman"/>
          <w:sz w:val="21"/>
          <w:szCs w:val="22"/>
        </w:rPr>
      </w:pPr>
    </w:p>
    <w:tbl>
      <w:tblPr>
        <w:tblW w:w="7710" w:type="dxa"/>
        <w:jc w:val="center"/>
        <w:tblLook w:val="0000" w:firstRow="0" w:lastRow="0" w:firstColumn="0" w:lastColumn="0" w:noHBand="0" w:noVBand="0"/>
      </w:tblPr>
      <w:tblGrid>
        <w:gridCol w:w="3109"/>
        <w:gridCol w:w="2520"/>
        <w:gridCol w:w="2081"/>
      </w:tblGrid>
      <w:tr w:rsidR="006C0099" w:rsidRPr="003F5882" w:rsidTr="000E71F4">
        <w:trPr>
          <w:trHeight w:val="345"/>
          <w:jc w:val="center"/>
        </w:trPr>
        <w:tc>
          <w:tcPr>
            <w:tcW w:w="3109" w:type="dxa"/>
            <w:tcBorders>
              <w:top w:val="single" w:sz="4" w:space="0" w:color="auto"/>
              <w:left w:val="nil"/>
              <w:bottom w:val="single" w:sz="4" w:space="0" w:color="auto"/>
              <w:right w:val="nil"/>
            </w:tcBorders>
            <w:shd w:val="clear" w:color="auto" w:fill="F2F2F2"/>
            <w:noWrap/>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分类</w:t>
            </w:r>
          </w:p>
        </w:tc>
        <w:tc>
          <w:tcPr>
            <w:tcW w:w="2520" w:type="dxa"/>
            <w:tcBorders>
              <w:top w:val="single" w:sz="4" w:space="0" w:color="auto"/>
              <w:left w:val="nil"/>
              <w:bottom w:val="single" w:sz="4" w:space="0" w:color="auto"/>
              <w:right w:val="nil"/>
            </w:tcBorders>
            <w:shd w:val="clear" w:color="auto" w:fill="F2F2F2"/>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组成部分</w:t>
            </w:r>
          </w:p>
        </w:tc>
        <w:tc>
          <w:tcPr>
            <w:tcW w:w="2081" w:type="dxa"/>
            <w:tcBorders>
              <w:top w:val="single" w:sz="4" w:space="0" w:color="auto"/>
              <w:left w:val="nil"/>
              <w:bottom w:val="single" w:sz="4" w:space="0" w:color="auto"/>
              <w:right w:val="nil"/>
            </w:tcBorders>
            <w:shd w:val="clear" w:color="auto" w:fill="F2F2F2"/>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预计使用寿命</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通信和IT设备</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车辆</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家具和固定装置</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10年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建筑物：</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结构和地基</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80-100年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外立面</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地面改造</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40-50年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屋顶</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50-60年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地板、墙壁、楼梯</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地板铺设、墙面材料</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30-40年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厨房设备</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20-40年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会议设备</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5-40年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供暖、通风</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30年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卫生设施</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电气装置</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30-50年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电梯</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40年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外部清洗设备</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45年</w:t>
            </w:r>
          </w:p>
        </w:tc>
      </w:tr>
    </w:tbl>
    <w:p w:rsidR="006C0099" w:rsidRPr="003F5882" w:rsidRDefault="006C0099" w:rsidP="006C0099">
      <w:pPr>
        <w:pStyle w:val="Style3"/>
        <w:spacing w:after="0"/>
        <w:rPr>
          <w:rFonts w:ascii="Arial" w:hAnsi="Arial" w:cs="Times New Roman"/>
          <w:sz w:val="20"/>
        </w:rPr>
      </w:pPr>
    </w:p>
    <w:p w:rsidR="006C0099" w:rsidRPr="003F5882"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如果偶尔事件或情况变化表明资产账面价值可能无法恢复，应就损耗对固定资产的账面价值进行审查。如果存在这种情况，应对资产可恢复数额进行评估，以确定损耗的程度。任何损耗均计入财务执行情况表。</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库存</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库存包括用于销售的出版物和免费发行的出版物的价值、用于生产出版物的用品和材料的价值以及零售店商品的价值。出版物的总价值根据每页出版物的平均费用</w:t>
      </w:r>
      <w:r w:rsidR="00F453AC" w:rsidRPr="003F5882">
        <w:rPr>
          <w:rFonts w:ascii="Arial" w:hAnsi="Arial" w:cs="Times New Roman" w:hint="eastAsia"/>
          <w:sz w:val="21"/>
        </w:rPr>
        <w:t>（</w:t>
      </w:r>
      <w:r w:rsidRPr="003F5882">
        <w:rPr>
          <w:rFonts w:ascii="Arial" w:hAnsi="Arial" w:cs="Times New Roman"/>
          <w:sz w:val="21"/>
        </w:rPr>
        <w:t>除销售和发行费用以外</w:t>
      </w:r>
      <w:r w:rsidR="00F453AC" w:rsidRPr="003F5882">
        <w:rPr>
          <w:rFonts w:ascii="Arial" w:hAnsi="Arial" w:cs="Times New Roman" w:hint="eastAsia"/>
          <w:sz w:val="21"/>
        </w:rPr>
        <w:t>）</w:t>
      </w:r>
      <w:r w:rsidRPr="003F5882">
        <w:rPr>
          <w:rFonts w:ascii="Arial" w:hAnsi="Arial" w:cs="Times New Roman"/>
          <w:sz w:val="21"/>
        </w:rPr>
        <w:t>乘以出版物库存</w:t>
      </w:r>
      <w:r w:rsidRPr="003F5882">
        <w:rPr>
          <w:rFonts w:ascii="Arial" w:hAnsi="Arial" w:cs="Times New Roman"/>
          <w:sz w:val="21"/>
        </w:rPr>
        <w:lastRenderedPageBreak/>
        <w:t>的出版物页数来计算，经调整来反映成本的降低</w:t>
      </w:r>
      <w:proofErr w:type="gramStart"/>
      <w:r w:rsidRPr="003F5882">
        <w:rPr>
          <w:rFonts w:ascii="Arial" w:hAnsi="Arial" w:cs="Times New Roman"/>
          <w:sz w:val="21"/>
        </w:rPr>
        <w:t>或净变现价</w:t>
      </w:r>
      <w:proofErr w:type="gramEnd"/>
      <w:r w:rsidRPr="003F5882">
        <w:rPr>
          <w:rFonts w:ascii="Arial" w:hAnsi="Arial" w:cs="Times New Roman"/>
          <w:sz w:val="21"/>
        </w:rPr>
        <w:t>值。撤出销售或免费发行的出版物的价值在出版物过时当年注销。</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每年的实际库存由所有库存出版物供应存货和零售店待售物品来确定。永续库存由待售出版物来确定，而当年通过抽样实际盘点来核对库存余额。每年年底从待售出版物或免费发行的出版物目录中清除物品，与可以预料不再免费发行或可能销售的物品一道从库存中注销，这些物品的价值计账为零。</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用于生产过程中的纸张和其他用品的成本价值采用先入先出法</w:t>
      </w:r>
      <w:r w:rsidR="00F453AC" w:rsidRPr="003F5882">
        <w:rPr>
          <w:rFonts w:ascii="Arial" w:hAnsi="Arial" w:cs="Times New Roman" w:hint="eastAsia"/>
          <w:sz w:val="21"/>
        </w:rPr>
        <w:t>（</w:t>
      </w:r>
      <w:r w:rsidRPr="003F5882">
        <w:rPr>
          <w:rFonts w:ascii="Arial" w:hAnsi="Arial" w:cs="Times New Roman"/>
          <w:sz w:val="21"/>
        </w:rPr>
        <w:t>FIFO</w:t>
      </w:r>
      <w:r w:rsidR="00F453AC" w:rsidRPr="003F5882">
        <w:rPr>
          <w:rFonts w:ascii="Arial" w:hAnsi="Arial" w:cs="Times New Roman" w:hint="eastAsia"/>
          <w:sz w:val="21"/>
        </w:rPr>
        <w:t>）</w:t>
      </w:r>
      <w:r w:rsidRPr="003F5882">
        <w:rPr>
          <w:rFonts w:ascii="Arial" w:hAnsi="Arial" w:cs="Times New Roman"/>
          <w:sz w:val="21"/>
        </w:rPr>
        <w:t>计账。零售店持有的物品价值按本组织的成本计算。库存如果有损失或已陈旧则相应调低价值以反映其净变现价值。库存没有用作负债抵押。</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无形资产</w:t>
      </w:r>
    </w:p>
    <w:p w:rsidR="006C0099" w:rsidRPr="003F5882"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无形资产以成本减累计摊销和损耗记账。针对所有具有有限寿命的无形资产，使用直线法，以能冲销其使用寿命期间资产的成本或价值的比率计算摊销。主要类别的无形资产的预计使用寿命如下：</w:t>
      </w:r>
    </w:p>
    <w:p w:rsidR="006C0099" w:rsidRPr="003F5882" w:rsidRDefault="006C0099" w:rsidP="006C0099">
      <w:pPr>
        <w:pStyle w:val="Style3"/>
        <w:spacing w:after="0"/>
        <w:rPr>
          <w:rFonts w:ascii="Arial" w:hAnsi="Arial" w:cs="Times New Roman"/>
          <w:sz w:val="21"/>
          <w:szCs w:val="22"/>
        </w:rPr>
      </w:pPr>
    </w:p>
    <w:tbl>
      <w:tblPr>
        <w:tblW w:w="5610" w:type="dxa"/>
        <w:jc w:val="center"/>
        <w:tblInd w:w="328" w:type="dxa"/>
        <w:tblLook w:val="0000" w:firstRow="0" w:lastRow="0" w:firstColumn="0" w:lastColumn="0" w:noHBand="0" w:noVBand="0"/>
      </w:tblPr>
      <w:tblGrid>
        <w:gridCol w:w="3080"/>
        <w:gridCol w:w="2530"/>
      </w:tblGrid>
      <w:tr w:rsidR="006C0099" w:rsidRPr="003F5882" w:rsidTr="000E71F4">
        <w:trPr>
          <w:trHeight w:val="345"/>
          <w:jc w:val="center"/>
        </w:trPr>
        <w:tc>
          <w:tcPr>
            <w:tcW w:w="3080" w:type="dxa"/>
            <w:tcBorders>
              <w:top w:val="single" w:sz="4" w:space="0" w:color="auto"/>
              <w:left w:val="nil"/>
              <w:bottom w:val="single" w:sz="4" w:space="0" w:color="auto"/>
              <w:right w:val="nil"/>
            </w:tcBorders>
            <w:shd w:val="clear" w:color="auto" w:fill="F2F2F2"/>
            <w:noWrap/>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分类</w:t>
            </w:r>
          </w:p>
        </w:tc>
        <w:tc>
          <w:tcPr>
            <w:tcW w:w="2530" w:type="dxa"/>
            <w:tcBorders>
              <w:top w:val="single" w:sz="4" w:space="0" w:color="auto"/>
              <w:left w:val="nil"/>
              <w:bottom w:val="single" w:sz="4" w:space="0" w:color="auto"/>
              <w:right w:val="nil"/>
            </w:tcBorders>
            <w:shd w:val="clear" w:color="auto" w:fill="F2F2F2"/>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预计使用寿命</w:t>
            </w:r>
          </w:p>
        </w:tc>
      </w:tr>
      <w:tr w:rsidR="006C0099" w:rsidRPr="003F5882" w:rsidTr="000E71F4">
        <w:trPr>
          <w:trHeight w:val="285"/>
          <w:jc w:val="center"/>
        </w:trPr>
        <w:tc>
          <w:tcPr>
            <w:tcW w:w="3080"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外部购买的软件</w:t>
            </w:r>
          </w:p>
        </w:tc>
        <w:tc>
          <w:tcPr>
            <w:tcW w:w="2530" w:type="dxa"/>
            <w:tcBorders>
              <w:top w:val="nil"/>
              <w:left w:val="nil"/>
              <w:bottom w:val="nil"/>
              <w:right w:val="nil"/>
            </w:tcBorders>
            <w:shd w:val="clear" w:color="auto" w:fill="auto"/>
            <w:vAlign w:val="center"/>
          </w:tcPr>
          <w:p w:rsidR="006C0099" w:rsidRPr="003F5882" w:rsidRDefault="006C0099" w:rsidP="000E71F4">
            <w:pPr>
              <w:jc w:val="center"/>
              <w:rPr>
                <w:rFonts w:ascii="Arial" w:hAnsi="Arial" w:cs="Times New Roman"/>
                <w:sz w:val="18"/>
                <w:szCs w:val="18"/>
              </w:rPr>
            </w:pPr>
            <w:r w:rsidRPr="003F5882">
              <w:rPr>
                <w:rFonts w:ascii="Arial" w:hAnsi="Arial" w:cs="Times New Roman"/>
                <w:sz w:val="18"/>
              </w:rPr>
              <w:t>5年</w:t>
            </w:r>
          </w:p>
        </w:tc>
      </w:tr>
      <w:tr w:rsidR="006C0099" w:rsidRPr="003F5882" w:rsidTr="000E71F4">
        <w:trPr>
          <w:trHeight w:val="285"/>
          <w:jc w:val="center"/>
        </w:trPr>
        <w:tc>
          <w:tcPr>
            <w:tcW w:w="3080"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内部开发的软件</w:t>
            </w:r>
          </w:p>
        </w:tc>
        <w:tc>
          <w:tcPr>
            <w:tcW w:w="2530" w:type="dxa"/>
            <w:tcBorders>
              <w:top w:val="nil"/>
              <w:left w:val="nil"/>
              <w:bottom w:val="nil"/>
              <w:right w:val="nil"/>
            </w:tcBorders>
            <w:shd w:val="clear" w:color="auto" w:fill="auto"/>
            <w:vAlign w:val="center"/>
          </w:tcPr>
          <w:p w:rsidR="006C0099" w:rsidRPr="003F5882" w:rsidRDefault="006C0099" w:rsidP="000E71F4">
            <w:pPr>
              <w:jc w:val="center"/>
              <w:rPr>
                <w:rFonts w:ascii="Arial" w:hAnsi="Arial" w:cs="Times New Roman"/>
                <w:sz w:val="18"/>
                <w:szCs w:val="18"/>
              </w:rPr>
            </w:pPr>
            <w:r w:rsidRPr="003F5882">
              <w:rPr>
                <w:rFonts w:ascii="Arial" w:hAnsi="Arial" w:cs="Times New Roman"/>
                <w:sz w:val="18"/>
              </w:rPr>
              <w:t>5年</w:t>
            </w:r>
          </w:p>
        </w:tc>
      </w:tr>
      <w:tr w:rsidR="006C0099" w:rsidRPr="003F5882" w:rsidTr="000E71F4">
        <w:trPr>
          <w:trHeight w:val="285"/>
          <w:jc w:val="center"/>
        </w:trPr>
        <w:tc>
          <w:tcPr>
            <w:tcW w:w="3080"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许可证和权利</w:t>
            </w:r>
          </w:p>
        </w:tc>
        <w:tc>
          <w:tcPr>
            <w:tcW w:w="2530" w:type="dxa"/>
            <w:tcBorders>
              <w:top w:val="nil"/>
              <w:left w:val="nil"/>
              <w:bottom w:val="nil"/>
              <w:right w:val="nil"/>
            </w:tcBorders>
            <w:shd w:val="clear" w:color="auto" w:fill="auto"/>
            <w:vAlign w:val="center"/>
          </w:tcPr>
          <w:p w:rsidR="006C0099" w:rsidRPr="003F5882" w:rsidRDefault="006C0099" w:rsidP="000E71F4">
            <w:pPr>
              <w:jc w:val="center"/>
              <w:rPr>
                <w:rFonts w:ascii="Arial" w:hAnsi="Arial" w:cs="Times New Roman"/>
                <w:sz w:val="18"/>
                <w:szCs w:val="18"/>
              </w:rPr>
            </w:pPr>
            <w:r w:rsidRPr="003F5882">
              <w:rPr>
                <w:rFonts w:ascii="Arial" w:hAnsi="Arial" w:cs="Times New Roman"/>
                <w:sz w:val="18"/>
              </w:rPr>
              <w:t>许可期/权利期</w:t>
            </w:r>
          </w:p>
        </w:tc>
      </w:tr>
    </w:tbl>
    <w:p w:rsidR="006C0099" w:rsidRPr="003F5882" w:rsidRDefault="006C0099" w:rsidP="006C0099">
      <w:pPr>
        <w:pStyle w:val="Style3"/>
        <w:spacing w:after="0"/>
        <w:rPr>
          <w:rFonts w:ascii="Arial" w:hAnsi="Arial" w:cs="Times New Roman"/>
          <w:sz w:val="21"/>
          <w:szCs w:val="22"/>
        </w:rPr>
      </w:pPr>
    </w:p>
    <w:p w:rsidR="007D62CB" w:rsidRDefault="006C0099" w:rsidP="007D62CB">
      <w:pPr>
        <w:pStyle w:val="Style3"/>
        <w:spacing w:afterLines="50" w:line="340" w:lineRule="atLeast"/>
        <w:rPr>
          <w:rFonts w:ascii="Arial" w:eastAsia="KaiTi" w:hAnsi="Arial" w:cs="Times New Roman"/>
          <w:sz w:val="21"/>
          <w:szCs w:val="22"/>
        </w:rPr>
      </w:pPr>
      <w:r w:rsidRPr="003F5882">
        <w:rPr>
          <w:rFonts w:ascii="Arial" w:hAnsi="Arial" w:cs="Times New Roman"/>
          <w:sz w:val="21"/>
        </w:rPr>
        <w:t>购买的计算机软件许可根据购买或使用特定软件所发生的费用转化为资本。从外部采购的软件或软件许可如每件费用至少5,000瑞郎则记为资产。与WIPO所使用软件的开发直接相关的费用作为无形资产转化为资本。直接费用包括软件程序开发人员费用。内部开发的软件</w:t>
      </w:r>
      <w:proofErr w:type="gramStart"/>
      <w:r w:rsidRPr="003F5882">
        <w:rPr>
          <w:rFonts w:ascii="Arial" w:hAnsi="Arial" w:cs="Times New Roman"/>
          <w:sz w:val="21"/>
        </w:rPr>
        <w:t>如费用</w:t>
      </w:r>
      <w:proofErr w:type="gramEnd"/>
      <w:r w:rsidRPr="003F5882">
        <w:rPr>
          <w:rFonts w:ascii="Arial" w:hAnsi="Arial" w:cs="Times New Roman"/>
          <w:sz w:val="21"/>
        </w:rPr>
        <w:t>至少为100,000瑞郎则记为资产。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本组织通过购买在日内瓦州内所获得的物业使用权已以历史成本入账，并在授予残存期间分期摊销。无偿获得的日内瓦州授予的物业使用权将于授予年限到期时归还，这种物业使用权没有入账。</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准备金</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在本组织因某一过去事件而负有法律或推定责任时设立准备金，前提是</w:t>
      </w:r>
      <w:proofErr w:type="gramStart"/>
      <w:r w:rsidRPr="003F5882">
        <w:rPr>
          <w:rFonts w:ascii="Arial" w:hAnsi="Arial" w:cs="Times New Roman"/>
          <w:sz w:val="21"/>
        </w:rPr>
        <w:t>该过去</w:t>
      </w:r>
      <w:proofErr w:type="gramEnd"/>
      <w:r w:rsidRPr="003F5882">
        <w:rPr>
          <w:rFonts w:ascii="Arial" w:hAnsi="Arial" w:cs="Times New Roman"/>
          <w:sz w:val="21"/>
        </w:rPr>
        <w:t>事件可能需要通过资源外流来履行责任，且该责任所需金额可</w:t>
      </w:r>
      <w:proofErr w:type="gramStart"/>
      <w:r w:rsidRPr="003F5882">
        <w:rPr>
          <w:rFonts w:ascii="Arial" w:hAnsi="Arial" w:cs="Times New Roman"/>
          <w:sz w:val="21"/>
        </w:rPr>
        <w:t>作出</w:t>
      </w:r>
      <w:proofErr w:type="gramEnd"/>
      <w:r w:rsidRPr="003F5882">
        <w:rPr>
          <w:rFonts w:ascii="Arial" w:hAnsi="Arial" w:cs="Times New Roman"/>
          <w:sz w:val="21"/>
        </w:rPr>
        <w:t>可靠估计。</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应收</w:t>
      </w:r>
      <w:r w:rsidR="007B51AD" w:rsidRPr="003374D7">
        <w:rPr>
          <w:rFonts w:eastAsia="SimSun" w:cs="Times New Roman" w:hint="eastAsia"/>
          <w:sz w:val="21"/>
        </w:rPr>
        <w:t>账</w:t>
      </w:r>
      <w:r w:rsidRPr="003374D7">
        <w:rPr>
          <w:rFonts w:eastAsia="SimSun" w:cs="Times New Roman"/>
          <w:sz w:val="21"/>
        </w:rPr>
        <w:t>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来自外汇交易的应收账款，包括收取的国际专利、国际商标注册和工业品外观设计注册及其他服务和出版物的收费，以在国际申请注册后</w:t>
      </w:r>
      <w:r w:rsidR="00E01750" w:rsidRPr="003F5882">
        <w:rPr>
          <w:rFonts w:ascii="Arial" w:hAnsi="Arial" w:cs="Times New Roman"/>
          <w:sz w:val="21"/>
        </w:rPr>
        <w:t>以及其他收入现金收讫时</w:t>
      </w:r>
      <w:r w:rsidRPr="003F5882">
        <w:rPr>
          <w:rFonts w:ascii="Arial" w:hAnsi="Arial" w:cs="Times New Roman"/>
          <w:sz w:val="21"/>
        </w:rPr>
        <w:t>收到或应收</w:t>
      </w:r>
      <w:r w:rsidR="00E01750" w:rsidRPr="003F5882">
        <w:rPr>
          <w:rFonts w:ascii="Arial" w:hAnsi="Arial" w:cs="Times New Roman" w:hint="eastAsia"/>
          <w:sz w:val="21"/>
        </w:rPr>
        <w:t>的</w:t>
      </w:r>
      <w:r w:rsidRPr="003F5882">
        <w:rPr>
          <w:rFonts w:ascii="Arial" w:hAnsi="Arial" w:cs="Times New Roman"/>
          <w:sz w:val="21"/>
        </w:rPr>
        <w:t>商标、工业品外观设计和PCT</w:t>
      </w:r>
      <w:proofErr w:type="gramStart"/>
      <w:r w:rsidRPr="003F5882">
        <w:rPr>
          <w:rFonts w:ascii="Arial" w:hAnsi="Arial" w:cs="Times New Roman"/>
          <w:sz w:val="21"/>
        </w:rPr>
        <w:t>规</w:t>
      </w:r>
      <w:proofErr w:type="gramEnd"/>
      <w:r w:rsidRPr="003F5882">
        <w:rPr>
          <w:rFonts w:ascii="Arial" w:hAnsi="Arial" w:cs="Times New Roman"/>
          <w:sz w:val="21"/>
        </w:rPr>
        <w:t>费</w:t>
      </w:r>
      <w:r w:rsidR="00E01750" w:rsidRPr="003F5882">
        <w:rPr>
          <w:rFonts w:ascii="Arial" w:hAnsi="Arial" w:cs="Times New Roman" w:hint="eastAsia"/>
          <w:sz w:val="21"/>
        </w:rPr>
        <w:t>的对价</w:t>
      </w:r>
      <w:r w:rsidRPr="003F5882">
        <w:rPr>
          <w:rFonts w:ascii="Arial" w:hAnsi="Arial" w:cs="Times New Roman"/>
          <w:sz w:val="21"/>
        </w:rPr>
        <w:t>的公允价值进行计量。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分摊会费在财政年年</w:t>
      </w:r>
      <w:proofErr w:type="gramStart"/>
      <w:r w:rsidRPr="003F5882">
        <w:rPr>
          <w:rFonts w:ascii="Arial" w:hAnsi="Arial" w:cs="Times New Roman"/>
          <w:sz w:val="21"/>
        </w:rPr>
        <w:t>初作为</w:t>
      </w:r>
      <w:proofErr w:type="gramEnd"/>
      <w:r w:rsidRPr="003F5882">
        <w:rPr>
          <w:rFonts w:ascii="Arial" w:hAnsi="Arial" w:cs="Times New Roman"/>
          <w:sz w:val="21"/>
        </w:rPr>
        <w:t>收入入账。根据大会采取行动冻结的分摊会费加上按照《建立世界知识产权组织公约》第11条的规定已丧失表决权的成员国的应缴会费总额，设立不可收回应收</w:t>
      </w:r>
      <w:proofErr w:type="gramStart"/>
      <w:r w:rsidRPr="003F5882">
        <w:rPr>
          <w:rFonts w:ascii="Arial" w:hAnsi="Arial" w:cs="Times New Roman"/>
          <w:sz w:val="21"/>
        </w:rPr>
        <w:t>账款备抵金</w:t>
      </w:r>
      <w:proofErr w:type="gramEnd"/>
      <w:r w:rsidRPr="003F5882">
        <w:rPr>
          <w:rFonts w:ascii="Arial" w:hAnsi="Arial" w:cs="Times New Roman"/>
          <w:sz w:val="21"/>
        </w:rPr>
        <w:t>。</w:t>
      </w:r>
    </w:p>
    <w:p w:rsidR="007D62CB" w:rsidRDefault="006C0099" w:rsidP="006C0099">
      <w:pPr>
        <w:pStyle w:val="Style3"/>
        <w:spacing w:after="0"/>
        <w:rPr>
          <w:rFonts w:ascii="Arial" w:hAnsi="Arial" w:cs="Times New Roman"/>
          <w:sz w:val="21"/>
          <w:szCs w:val="22"/>
        </w:rPr>
      </w:pPr>
      <w:r w:rsidRPr="003F5882">
        <w:rPr>
          <w:rFonts w:ascii="Arial" w:hAnsi="Arial" w:cs="Times New Roman"/>
          <w:sz w:val="21"/>
        </w:rPr>
        <w:t>关于所有其他应收账款，根据对报告日未收到金额进行的审查确定不可收回应收</w:t>
      </w:r>
      <w:proofErr w:type="gramStart"/>
      <w:r w:rsidRPr="003F5882">
        <w:rPr>
          <w:rFonts w:ascii="Arial" w:hAnsi="Arial" w:cs="Times New Roman"/>
          <w:sz w:val="21"/>
        </w:rPr>
        <w:t>账款备抵金</w:t>
      </w:r>
      <w:proofErr w:type="gramEnd"/>
      <w:r w:rsidRPr="003F5882">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收入确认</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由国际专利申请，包括用纸件或简易形式提交的申请增加页数，以及商标国际注册和工业品外观设计国际注册收取的</w:t>
      </w:r>
      <w:proofErr w:type="gramStart"/>
      <w:r w:rsidRPr="003F5882">
        <w:rPr>
          <w:rFonts w:ascii="Arial" w:hAnsi="Arial" w:cs="Times New Roman"/>
          <w:sz w:val="21"/>
        </w:rPr>
        <w:t>规</w:t>
      </w:r>
      <w:proofErr w:type="gramEnd"/>
      <w:r w:rsidRPr="003F5882">
        <w:rPr>
          <w:rFonts w:ascii="Arial" w:hAnsi="Arial" w:cs="Times New Roman"/>
          <w:sz w:val="21"/>
        </w:rPr>
        <w:t>费构成的外汇交易收入，在公布之日入账。在报告日已收到申请规费但申请未公布的，该收入要递延到公布完成之时才入账。公布之后收到的用于非英文专利性报告的翻译部分的专利申请规</w:t>
      </w:r>
      <w:r w:rsidRPr="003F5882">
        <w:rPr>
          <w:rFonts w:ascii="Arial" w:hAnsi="Arial" w:cs="Times New Roman"/>
          <w:sz w:val="21"/>
        </w:rPr>
        <w:lastRenderedPageBreak/>
        <w:t>费也推迟到翻译完成之时入账。与专利、商标和工业品外观设计相关的申请，包括续展，在提供收费服务时入账。出版物和仲裁与调解服务收入在货物或服务完全交付时入账。</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非外汇交易收入，例如可实施协议支持下的特别账户自愿捐款，在协议产生约束力时作为收入入账，除非协议中包含强制执行或未支余额归还的相关条件。这种协议需要推迟收入确认负债的初步认可，然后收入才能入账，因为负债是通过执行协议内的具体条件来解除的。</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分摊会费被作为分摊相关预算期期</w:t>
      </w:r>
      <w:proofErr w:type="gramStart"/>
      <w:r w:rsidRPr="003F5882">
        <w:rPr>
          <w:rFonts w:ascii="Arial" w:hAnsi="Arial" w:cs="Times New Roman"/>
          <w:sz w:val="21"/>
        </w:rPr>
        <w:t>初收入</w:t>
      </w:r>
      <w:proofErr w:type="gramEnd"/>
      <w:r w:rsidRPr="003F5882">
        <w:rPr>
          <w:rFonts w:ascii="Arial" w:hAnsi="Arial" w:cs="Times New Roman"/>
          <w:sz w:val="21"/>
        </w:rPr>
        <w:t>入账。</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分部报告</w:t>
      </w:r>
    </w:p>
    <w:p w:rsidR="007D62CB" w:rsidRPr="007D62CB" w:rsidRDefault="006C0099" w:rsidP="007D62CB">
      <w:pPr>
        <w:pStyle w:val="Style3"/>
        <w:spacing w:afterLines="50" w:line="340" w:lineRule="atLeast"/>
        <w:rPr>
          <w:rFonts w:ascii="Arial" w:hAnsi="Arial" w:cs="Times New Roman"/>
          <w:sz w:val="21"/>
        </w:rPr>
      </w:pPr>
      <w:r w:rsidRPr="007D62CB">
        <w:rPr>
          <w:rFonts w:ascii="Arial" w:hAnsi="Arial" w:cs="Times New Roman"/>
          <w:sz w:val="21"/>
        </w:rPr>
        <w:t>分部报告基于组成世界知识产权组织的各联盟。本组织发生的收入和开支根据经世界知识产权组织大会批准的分配方法</w:t>
      </w:r>
      <w:r w:rsidR="00F453AC" w:rsidRPr="007D62CB">
        <w:rPr>
          <w:rFonts w:ascii="Arial" w:hAnsi="Arial" w:cs="Times New Roman"/>
          <w:sz w:val="21"/>
        </w:rPr>
        <w:t>［</w:t>
      </w:r>
      <w:r w:rsidRPr="007D62CB">
        <w:rPr>
          <w:rFonts w:ascii="Arial" w:hAnsi="Arial" w:cs="Times New Roman"/>
          <w:sz w:val="21"/>
        </w:rPr>
        <w:t>2014/15年计划和预算</w:t>
      </w:r>
      <w:r w:rsidR="00817E19" w:rsidRPr="007D62CB">
        <w:rPr>
          <w:rFonts w:ascii="Arial" w:hAnsi="Arial" w:cs="Times New Roman" w:hint="eastAsia"/>
          <w:sz w:val="21"/>
        </w:rPr>
        <w:t>，</w:t>
      </w:r>
      <w:r w:rsidRPr="007D62CB">
        <w:rPr>
          <w:rFonts w:ascii="Arial" w:hAnsi="Arial" w:cs="Times New Roman"/>
          <w:sz w:val="21"/>
        </w:rPr>
        <w:t>附件三</w:t>
      </w:r>
      <w:r w:rsidR="00F453AC" w:rsidRPr="007D62CB">
        <w:rPr>
          <w:rFonts w:ascii="Arial" w:hAnsi="Arial" w:cs="Times New Roman"/>
          <w:sz w:val="21"/>
        </w:rPr>
        <w:t>］</w:t>
      </w:r>
      <w:r w:rsidRPr="007D62CB">
        <w:rPr>
          <w:rFonts w:ascii="Arial" w:hAnsi="Arial" w:cs="Times New Roman"/>
          <w:sz w:val="21"/>
        </w:rPr>
        <w:t>在联盟之间进行分配。该方法结合直接收入和开支、工作人员数量和各联盟根据当前收入和储备金自身确定的支付能力，对每一计划和每一联盟的收入和开支进行分配。WIPO的资产与负债没有分配给各个部门，因为从整体来说所有权属于整个组织，然而，包括累计资金</w:t>
      </w:r>
      <w:r w:rsidR="00817E19" w:rsidRPr="007D62CB">
        <w:rPr>
          <w:rFonts w:ascii="Arial" w:hAnsi="Arial" w:cs="Times New Roman" w:hint="eastAsia"/>
          <w:sz w:val="21"/>
        </w:rPr>
        <w:t>余</w:t>
      </w:r>
      <w:r w:rsidRPr="007D62CB">
        <w:rPr>
          <w:rFonts w:ascii="Arial" w:hAnsi="Arial" w:cs="Times New Roman"/>
          <w:sz w:val="21"/>
        </w:rPr>
        <w:t>额、重估盈余和周转资金在内的本组织各联盟的净资产份额是以部门为单位确认的</w:t>
      </w:r>
      <w:r w:rsidR="00F453AC" w:rsidRPr="007D62CB">
        <w:rPr>
          <w:rFonts w:ascii="Arial" w:hAnsi="Arial" w:cs="Times New Roman" w:hint="eastAsia"/>
          <w:sz w:val="21"/>
        </w:rPr>
        <w:t>（</w:t>
      </w:r>
      <w:r w:rsidRPr="007D62CB">
        <w:rPr>
          <w:rFonts w:ascii="Arial" w:hAnsi="Arial" w:cs="Times New Roman"/>
          <w:sz w:val="21"/>
        </w:rPr>
        <w:t>见附注28</w:t>
      </w:r>
      <w:r w:rsidR="00F453AC" w:rsidRPr="007D62CB">
        <w:rPr>
          <w:rFonts w:ascii="Arial" w:hAnsi="Arial" w:cs="Times New Roman" w:hint="eastAsia"/>
          <w:sz w:val="21"/>
        </w:rPr>
        <w:t>）</w:t>
      </w:r>
      <w:r w:rsidRPr="007D62CB">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呈报的变化</w:t>
      </w:r>
    </w:p>
    <w:p w:rsidR="007D62CB" w:rsidRPr="007D62CB" w:rsidRDefault="006C0099" w:rsidP="007D62CB">
      <w:pPr>
        <w:pStyle w:val="Style3"/>
        <w:spacing w:afterLines="50" w:line="340" w:lineRule="atLeast"/>
        <w:rPr>
          <w:rFonts w:ascii="Arial" w:hAnsi="Arial" w:cs="Times New Roman"/>
          <w:sz w:val="21"/>
        </w:rPr>
      </w:pPr>
      <w:r w:rsidRPr="007D62CB">
        <w:rPr>
          <w:rFonts w:ascii="Arial" w:hAnsi="Arial" w:cs="Times New Roman"/>
          <w:sz w:val="21"/>
        </w:rPr>
        <w:t>对2013年可比数据的呈报做出以下变化，从而使其匹配2014年财务报表中的</w:t>
      </w:r>
      <w:r w:rsidR="00002E6A" w:rsidRPr="007D62CB">
        <w:rPr>
          <w:rFonts w:ascii="Arial" w:hAnsi="Arial" w:cs="Times New Roman" w:hint="eastAsia"/>
          <w:sz w:val="21"/>
        </w:rPr>
        <w:t>项目</w:t>
      </w:r>
      <w:r w:rsidRPr="007D62CB">
        <w:rPr>
          <w:rFonts w:ascii="Arial" w:hAnsi="Arial" w:cs="Times New Roman"/>
          <w:sz w:val="21"/>
        </w:rPr>
        <w:t>分类：</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340</w:t>
      </w:r>
      <w:proofErr w:type="gramStart"/>
      <w:r w:rsidRPr="003F5882">
        <w:rPr>
          <w:rFonts w:ascii="Arial" w:hAnsi="Arial" w:cs="Times New Roman"/>
          <w:b w:val="0"/>
          <w:sz w:val="21"/>
        </w:rPr>
        <w:t>万瑞</w:t>
      </w:r>
      <w:proofErr w:type="gramEnd"/>
      <w:r w:rsidRPr="003F5882">
        <w:rPr>
          <w:rFonts w:ascii="Arial" w:hAnsi="Arial" w:cs="Times New Roman"/>
          <w:b w:val="0"/>
          <w:sz w:val="21"/>
        </w:rPr>
        <w:t>郎从业务费用被重新归类为融资成本，</w:t>
      </w:r>
      <w:r w:rsidR="001F344E" w:rsidRPr="003F5882">
        <w:rPr>
          <w:rFonts w:ascii="Arial" w:hAnsi="Arial" w:cs="Times New Roman" w:hint="eastAsia"/>
          <w:b w:val="0"/>
          <w:sz w:val="21"/>
        </w:rPr>
        <w:t>融资成本现在</w:t>
      </w:r>
      <w:proofErr w:type="gramStart"/>
      <w:r w:rsidRPr="003F5882">
        <w:rPr>
          <w:rFonts w:ascii="Arial" w:hAnsi="Arial" w:cs="Times New Roman"/>
          <w:b w:val="0"/>
          <w:sz w:val="21"/>
        </w:rPr>
        <w:t>在</w:t>
      </w:r>
      <w:proofErr w:type="gramEnd"/>
      <w:r w:rsidRPr="003F5882">
        <w:rPr>
          <w:rFonts w:ascii="Arial" w:hAnsi="Arial" w:cs="Times New Roman"/>
          <w:b w:val="0"/>
          <w:sz w:val="21"/>
        </w:rPr>
        <w:t>财务执行情况表中被单独列示</w:t>
      </w:r>
      <w:r w:rsidR="001F344E" w:rsidRPr="003F5882">
        <w:rPr>
          <w:rFonts w:ascii="Arial" w:hAnsi="Arial" w:cs="Times New Roman" w:hint="eastAsia"/>
          <w:b w:val="0"/>
          <w:sz w:val="21"/>
        </w:rPr>
        <w:t>；</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50万瑞郎从</w:t>
      </w:r>
      <w:r w:rsidR="001F344E" w:rsidRPr="003F5882">
        <w:rPr>
          <w:rFonts w:ascii="Arial" w:hAnsi="Arial" w:cs="Times New Roman" w:hint="eastAsia"/>
          <w:b w:val="0"/>
          <w:sz w:val="21"/>
        </w:rPr>
        <w:t>人事费用</w:t>
      </w:r>
      <w:r w:rsidRPr="003F5882">
        <w:rPr>
          <w:rFonts w:ascii="Arial" w:hAnsi="Arial" w:cs="Times New Roman"/>
          <w:b w:val="0"/>
          <w:sz w:val="21"/>
        </w:rPr>
        <w:t>被重新归类为实习生及WIPO研究金，</w:t>
      </w:r>
      <w:r w:rsidR="001F344E" w:rsidRPr="003F5882">
        <w:rPr>
          <w:rFonts w:ascii="Arial" w:hAnsi="Arial" w:cs="Times New Roman"/>
          <w:b w:val="0"/>
          <w:sz w:val="21"/>
        </w:rPr>
        <w:t>实习生及WIPO研究金</w:t>
      </w:r>
      <w:r w:rsidR="001F344E" w:rsidRPr="003F5882">
        <w:rPr>
          <w:rFonts w:ascii="Arial" w:hAnsi="Arial" w:cs="Times New Roman" w:hint="eastAsia"/>
          <w:b w:val="0"/>
          <w:sz w:val="21"/>
        </w:rPr>
        <w:t>现在</w:t>
      </w:r>
      <w:r w:rsidRPr="003F5882">
        <w:rPr>
          <w:rFonts w:ascii="Arial" w:hAnsi="Arial" w:cs="Times New Roman"/>
          <w:b w:val="0"/>
          <w:sz w:val="21"/>
        </w:rPr>
        <w:t>在财务执行情况表中被单独列示。这笔费用涉及实习生成本，因此不再计入</w:t>
      </w:r>
      <w:r w:rsidR="001F344E" w:rsidRPr="003F5882">
        <w:rPr>
          <w:rFonts w:ascii="Arial" w:hAnsi="Arial" w:cs="Times New Roman" w:hint="eastAsia"/>
          <w:b w:val="0"/>
          <w:sz w:val="21"/>
        </w:rPr>
        <w:t>人事费用</w:t>
      </w:r>
      <w:r w:rsidRPr="003F5882">
        <w:rPr>
          <w:rFonts w:ascii="Arial" w:hAnsi="Arial" w:cs="Times New Roman"/>
          <w:b w:val="0"/>
          <w:sz w:val="21"/>
        </w:rPr>
        <w:t>部分以便更恰当地反映这些人员与本组织关系的性质；</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130万瑞郎从差旅和研究金被重新归类为实习生及WIPO研究金，</w:t>
      </w:r>
      <w:r w:rsidR="001F344E" w:rsidRPr="003F5882">
        <w:rPr>
          <w:rFonts w:ascii="Arial" w:hAnsi="Arial" w:cs="Times New Roman"/>
          <w:b w:val="0"/>
          <w:sz w:val="21"/>
        </w:rPr>
        <w:t>实习生及WIPO研究金</w:t>
      </w:r>
      <w:r w:rsidR="001F344E" w:rsidRPr="003F5882">
        <w:rPr>
          <w:rFonts w:ascii="Arial" w:hAnsi="Arial" w:cs="Times New Roman" w:hint="eastAsia"/>
          <w:b w:val="0"/>
          <w:sz w:val="21"/>
        </w:rPr>
        <w:t>现在</w:t>
      </w:r>
      <w:r w:rsidRPr="003F5882">
        <w:rPr>
          <w:rFonts w:ascii="Arial" w:hAnsi="Arial" w:cs="Times New Roman"/>
          <w:b w:val="0"/>
          <w:sz w:val="21"/>
        </w:rPr>
        <w:t>在财务执行情况表中被单独列示。此前，差旅和研究金项下包括一个单独的研究金类别，但是在本组织实施合同改革后，有两个研究金类别需要单独</w:t>
      </w:r>
      <w:r w:rsidR="001F344E" w:rsidRPr="003F5882">
        <w:rPr>
          <w:rFonts w:ascii="Arial" w:hAnsi="Arial" w:cs="Times New Roman" w:hint="eastAsia"/>
          <w:b w:val="0"/>
          <w:sz w:val="21"/>
        </w:rPr>
        <w:t>入账</w:t>
      </w:r>
      <w:r w:rsidRPr="003F5882">
        <w:rPr>
          <w:rFonts w:ascii="Arial" w:hAnsi="Arial" w:cs="Times New Roman"/>
          <w:b w:val="0"/>
          <w:sz w:val="21"/>
        </w:rPr>
        <w:t>，即WIPO研究金和课程研究金。课程研究金仍作为差旅和研究金的一部分；</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在财务状况表中，应退美国税款相关的310</w:t>
      </w:r>
      <w:proofErr w:type="gramStart"/>
      <w:r w:rsidRPr="003F5882">
        <w:rPr>
          <w:rFonts w:ascii="Arial" w:hAnsi="Arial" w:cs="Times New Roman"/>
          <w:b w:val="0"/>
          <w:sz w:val="21"/>
        </w:rPr>
        <w:t>万瑞</w:t>
      </w:r>
      <w:proofErr w:type="gramEnd"/>
      <w:r w:rsidRPr="003F5882">
        <w:rPr>
          <w:rFonts w:ascii="Arial" w:hAnsi="Arial" w:cs="Times New Roman"/>
          <w:b w:val="0"/>
          <w:sz w:val="21"/>
        </w:rPr>
        <w:t>郎从流动应收账款被重新归类为非流动应收</w:t>
      </w:r>
      <w:r w:rsidR="001F344E" w:rsidRPr="003F5882">
        <w:rPr>
          <w:rFonts w:ascii="Arial" w:hAnsi="Arial" w:cs="Times New Roman" w:hint="eastAsia"/>
          <w:b w:val="0"/>
          <w:sz w:val="21"/>
        </w:rPr>
        <w:t>账款</w:t>
      </w:r>
      <w:r w:rsidR="00F453AC" w:rsidRPr="003F5882">
        <w:rPr>
          <w:rFonts w:ascii="Arial" w:hAnsi="Arial" w:cs="Times New Roman" w:hint="eastAsia"/>
          <w:b w:val="0"/>
          <w:sz w:val="21"/>
        </w:rPr>
        <w:t>（</w:t>
      </w:r>
      <w:r w:rsidRPr="003F5882">
        <w:rPr>
          <w:rFonts w:ascii="Arial" w:hAnsi="Arial" w:cs="Times New Roman"/>
          <w:b w:val="0"/>
          <w:sz w:val="21"/>
        </w:rPr>
        <w:t>外汇交易</w:t>
      </w:r>
      <w:r w:rsidR="00F453AC" w:rsidRPr="003F5882">
        <w:rPr>
          <w:rFonts w:ascii="Arial" w:hAnsi="Arial" w:cs="Times New Roman" w:hint="eastAsia"/>
          <w:b w:val="0"/>
          <w:sz w:val="21"/>
        </w:rPr>
        <w:t>）</w:t>
      </w:r>
      <w:r w:rsidRPr="003F5882">
        <w:rPr>
          <w:rFonts w:ascii="Arial" w:hAnsi="Arial" w:cs="Times New Roman"/>
          <w:b w:val="0"/>
          <w:sz w:val="21"/>
        </w:rPr>
        <w:t>；</w:t>
      </w:r>
    </w:p>
    <w:p w:rsidR="007D62CB" w:rsidRDefault="006C0099" w:rsidP="003374D7">
      <w:pPr>
        <w:pStyle w:val="Style3Bold"/>
        <w:numPr>
          <w:ilvl w:val="0"/>
          <w:numId w:val="9"/>
        </w:numPr>
        <w:spacing w:afterLines="50" w:line="340" w:lineRule="atLeast"/>
        <w:ind w:left="714" w:hanging="357"/>
        <w:rPr>
          <w:rFonts w:ascii="Arial" w:hAnsi="Arial" w:cs="Times New Roman"/>
          <w:b w:val="0"/>
          <w:sz w:val="21"/>
          <w:szCs w:val="22"/>
        </w:rPr>
      </w:pPr>
      <w:r w:rsidRPr="003F5882">
        <w:rPr>
          <w:rFonts w:ascii="Arial" w:hAnsi="Arial" w:cs="Times New Roman"/>
          <w:b w:val="0"/>
          <w:sz w:val="21"/>
        </w:rPr>
        <w:t>在财务状况表中，离职福利相关的10</w:t>
      </w:r>
      <w:proofErr w:type="gramStart"/>
      <w:r w:rsidRPr="003F5882">
        <w:rPr>
          <w:rFonts w:ascii="Arial" w:hAnsi="Arial" w:cs="Times New Roman"/>
          <w:b w:val="0"/>
          <w:sz w:val="21"/>
        </w:rPr>
        <w:t>万瑞</w:t>
      </w:r>
      <w:proofErr w:type="gramEnd"/>
      <w:r w:rsidRPr="003F5882">
        <w:rPr>
          <w:rFonts w:ascii="Arial" w:hAnsi="Arial" w:cs="Times New Roman"/>
          <w:b w:val="0"/>
          <w:sz w:val="21"/>
        </w:rPr>
        <w:t>郎从应收账款</w:t>
      </w:r>
      <w:r w:rsidR="00F453AC" w:rsidRPr="003F5882">
        <w:rPr>
          <w:rFonts w:ascii="Arial" w:hAnsi="Arial" w:cs="Times New Roman" w:hint="eastAsia"/>
          <w:b w:val="0"/>
          <w:sz w:val="21"/>
        </w:rPr>
        <w:t>（</w:t>
      </w:r>
      <w:r w:rsidRPr="003F5882">
        <w:rPr>
          <w:rFonts w:ascii="Arial" w:hAnsi="Arial" w:cs="Times New Roman"/>
          <w:b w:val="0"/>
          <w:sz w:val="21"/>
        </w:rPr>
        <w:t>外汇交易</w:t>
      </w:r>
      <w:r w:rsidR="00F453AC" w:rsidRPr="003F5882">
        <w:rPr>
          <w:rFonts w:ascii="Arial" w:hAnsi="Arial" w:cs="Times New Roman" w:hint="eastAsia"/>
          <w:b w:val="0"/>
          <w:sz w:val="21"/>
        </w:rPr>
        <w:t>）</w:t>
      </w:r>
      <w:r w:rsidRPr="003F5882">
        <w:rPr>
          <w:rFonts w:ascii="Arial" w:hAnsi="Arial" w:cs="Times New Roman"/>
          <w:b w:val="0"/>
          <w:sz w:val="21"/>
        </w:rPr>
        <w:t>被重新归类为雇员福利</w:t>
      </w:r>
      <w:r w:rsidR="001F344E" w:rsidRPr="003F5882">
        <w:rPr>
          <w:rFonts w:ascii="Arial" w:hAnsi="Arial" w:cs="Times New Roman" w:hint="eastAsia"/>
          <w:b w:val="0"/>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概算的使用</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财务报表不可避免地包括了根据管理人员的估计和假设确定的数额。概算包括但不限于：已确定的福利医疗保险和其他离职后福利义务</w:t>
      </w:r>
      <w:r w:rsidR="00F453AC" w:rsidRPr="003F5882">
        <w:rPr>
          <w:rFonts w:ascii="Arial" w:hAnsi="Arial" w:cs="Times New Roman" w:hint="eastAsia"/>
          <w:sz w:val="21"/>
        </w:rPr>
        <w:t>（</w:t>
      </w:r>
      <w:r w:rsidRPr="003F5882">
        <w:rPr>
          <w:rFonts w:ascii="Arial" w:hAnsi="Arial" w:cs="Times New Roman"/>
          <w:sz w:val="21"/>
        </w:rPr>
        <w:t>其价值由独立精算师计算</w:t>
      </w:r>
      <w:r w:rsidR="00F453AC" w:rsidRPr="003F5882">
        <w:rPr>
          <w:rFonts w:ascii="Arial" w:hAnsi="Arial" w:cs="Times New Roman" w:hint="eastAsia"/>
          <w:sz w:val="21"/>
        </w:rPr>
        <w:t>）</w:t>
      </w:r>
      <w:r w:rsidRPr="003F5882">
        <w:rPr>
          <w:rFonts w:ascii="Arial" w:hAnsi="Arial" w:cs="Times New Roman"/>
          <w:sz w:val="21"/>
        </w:rPr>
        <w:t>、诉讼金额、出版物库存概算，应收账款的财务风险、累计费用和固定资产损耗度。实际数额可能与这些概算有所不同。对概算的修改将反映在已知发生实际数额所涉的时期。</w:t>
      </w:r>
    </w:p>
    <w:p w:rsidR="007D62CB" w:rsidRPr="00DA4636" w:rsidRDefault="006C0099" w:rsidP="007D62CB">
      <w:pPr>
        <w:pStyle w:val="Style3"/>
        <w:spacing w:afterLines="50" w:line="340" w:lineRule="atLeast"/>
        <w:rPr>
          <w:rFonts w:ascii="Arial" w:hAnsi="Arial" w:cs="Times New Roman"/>
          <w:sz w:val="21"/>
          <w:szCs w:val="22"/>
        </w:rPr>
      </w:pPr>
      <w:r w:rsidRPr="00DA4636">
        <w:rPr>
          <w:rFonts w:ascii="Arial" w:hAnsi="Arial" w:cs="Times New Roman"/>
          <w:sz w:val="21"/>
        </w:rPr>
        <w:t>所有的数额都</w:t>
      </w:r>
      <w:proofErr w:type="gramStart"/>
      <w:r w:rsidRPr="00DA4636">
        <w:rPr>
          <w:rFonts w:ascii="Arial" w:hAnsi="Arial" w:cs="Times New Roman"/>
          <w:sz w:val="21"/>
        </w:rPr>
        <w:t>以千瑞郎</w:t>
      </w:r>
      <w:proofErr w:type="gramEnd"/>
      <w:r w:rsidRPr="00DA4636">
        <w:rPr>
          <w:rFonts w:ascii="Arial" w:hAnsi="Arial" w:cs="Times New Roman"/>
          <w:sz w:val="21"/>
        </w:rPr>
        <w:t>显示，因而可能会</w:t>
      </w:r>
      <w:proofErr w:type="gramStart"/>
      <w:r w:rsidRPr="00DA4636">
        <w:rPr>
          <w:rFonts w:ascii="Arial" w:hAnsi="Arial" w:cs="Times New Roman"/>
          <w:sz w:val="21"/>
        </w:rPr>
        <w:t>产生化整误差</w:t>
      </w:r>
      <w:proofErr w:type="gramEnd"/>
      <w:r w:rsidRPr="00DA4636">
        <w:rPr>
          <w:rFonts w:ascii="Arial" w:hAnsi="Arial" w:cs="Times New Roman"/>
          <w:sz w:val="21"/>
        </w:rPr>
        <w:t>。</w:t>
      </w:r>
    </w:p>
    <w:p w:rsidR="006C0099" w:rsidRPr="00F453AC"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附注3：</w:t>
      </w:r>
      <w:r w:rsidRPr="00F453AC">
        <w:rPr>
          <w:rFonts w:ascii="Arial" w:eastAsia="SimHei" w:hAnsi="Arial" w:cs="Times New Roman"/>
          <w:b w:val="0"/>
          <w:sz w:val="21"/>
        </w:rPr>
        <w:tab/>
        <w:t>现金和现金等价物</w:t>
      </w:r>
    </w:p>
    <w:p w:rsidR="007D62CB" w:rsidRDefault="00DA4636" w:rsidP="00DA4636">
      <w:pPr>
        <w:spacing w:afterLines="50" w:after="120" w:line="340" w:lineRule="atLeast"/>
        <w:jc w:val="center"/>
        <w:rPr>
          <w:rFonts w:ascii="Arial" w:hAnsi="Arial" w:cs="Times New Roman"/>
          <w:szCs w:val="22"/>
        </w:rPr>
      </w:pPr>
      <w:r w:rsidRPr="00DA4636">
        <w:rPr>
          <w:noProof/>
          <w:lang w:val="en-US" w:bidi="ar-SA"/>
        </w:rPr>
        <w:drawing>
          <wp:inline distT="0" distB="0" distL="0" distR="0">
            <wp:extent cx="5732145" cy="3568700"/>
            <wp:effectExtent l="0" t="0" r="190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2145" cy="356870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现金存款通常存储在可随时访问的银行账户和记息账户。2014年在瑞士联邦金融管理</w:t>
      </w:r>
      <w:r w:rsidR="009F5D8E" w:rsidRPr="003F5882">
        <w:rPr>
          <w:rFonts w:ascii="Arial" w:hAnsi="Arial" w:cs="Times New Roman" w:hint="eastAsia"/>
          <w:sz w:val="21"/>
        </w:rPr>
        <w:t>局</w:t>
      </w:r>
      <w:r w:rsidR="00F453AC" w:rsidRPr="003F5882">
        <w:rPr>
          <w:rFonts w:ascii="Arial" w:hAnsi="Arial" w:cs="Times New Roman"/>
          <w:sz w:val="21"/>
        </w:rPr>
        <w:t>（</w:t>
      </w:r>
      <w:r w:rsidRPr="003F5882">
        <w:rPr>
          <w:rFonts w:ascii="Arial" w:hAnsi="Arial" w:cs="Times New Roman"/>
          <w:sz w:val="21"/>
        </w:rPr>
        <w:t>AFF</w:t>
      </w:r>
      <w:r w:rsidR="00F453AC" w:rsidRPr="003F5882">
        <w:rPr>
          <w:rFonts w:ascii="Arial" w:hAnsi="Arial" w:cs="Times New Roman"/>
          <w:sz w:val="21"/>
        </w:rPr>
        <w:t>）</w:t>
      </w:r>
      <w:r w:rsidRPr="003F5882">
        <w:rPr>
          <w:rFonts w:ascii="Arial" w:hAnsi="Arial" w:cs="Times New Roman"/>
          <w:sz w:val="21"/>
        </w:rPr>
        <w:t>开立的计息账户和投资</w:t>
      </w:r>
      <w:r w:rsidR="009F5D8E" w:rsidRPr="003F5882">
        <w:rPr>
          <w:rFonts w:ascii="Arial" w:hAnsi="Arial" w:cs="Times New Roman" w:hint="eastAsia"/>
          <w:sz w:val="21"/>
        </w:rPr>
        <w:t>所获得</w:t>
      </w:r>
      <w:r w:rsidRPr="003F5882">
        <w:rPr>
          <w:rFonts w:ascii="Arial" w:hAnsi="Arial" w:cs="Times New Roman"/>
          <w:sz w:val="21"/>
        </w:rPr>
        <w:t>的平均利率是0.421%</w:t>
      </w:r>
      <w:r w:rsidR="00F453AC" w:rsidRPr="003F5882">
        <w:rPr>
          <w:rFonts w:ascii="Arial" w:hAnsi="Arial" w:cs="Times New Roman"/>
          <w:sz w:val="21"/>
        </w:rPr>
        <w:t>［</w:t>
      </w:r>
      <w:r w:rsidRPr="003F5882">
        <w:rPr>
          <w:rFonts w:ascii="Arial" w:hAnsi="Arial" w:cs="Times New Roman"/>
          <w:sz w:val="21"/>
        </w:rPr>
        <w:t>2013年为0.558%</w:t>
      </w:r>
      <w:r w:rsidR="00F453AC" w:rsidRPr="003F5882">
        <w:rPr>
          <w:rFonts w:ascii="Arial" w:hAnsi="Arial" w:cs="Times New Roman"/>
          <w:sz w:val="21"/>
        </w:rPr>
        <w:t>］</w:t>
      </w:r>
      <w:r w:rsidRPr="003F5882">
        <w:rPr>
          <w:rFonts w:ascii="Arial" w:hAnsi="Arial" w:cs="Times New Roman"/>
          <w:sz w:val="21"/>
        </w:rPr>
        <w:t>。AFF执行关于开立存款账户和记账的新规定后，自2015年年底起，WIPO不能在AFF开立存款账户。</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受限资金包括代表第三方因注册商标或工业品外观设计、订阅WIPO期刊等以瑞士法郎货币持有的资金，还包括由WIPO国际局受理局代表马德里和海牙条约的缔约方以及代表PCT国际检索单位</w:t>
      </w:r>
      <w:r w:rsidR="00F453AC" w:rsidRPr="003F5882">
        <w:rPr>
          <w:rFonts w:ascii="Arial" w:hAnsi="Arial" w:cs="Times New Roman" w:hint="eastAsia"/>
          <w:sz w:val="21"/>
        </w:rPr>
        <w:t>（</w:t>
      </w:r>
      <w:r w:rsidRPr="003F5882">
        <w:rPr>
          <w:rFonts w:ascii="Arial" w:hAnsi="Arial" w:cs="Times New Roman"/>
          <w:sz w:val="21"/>
        </w:rPr>
        <w:t>ISAs</w:t>
      </w:r>
      <w:r w:rsidR="00F453AC" w:rsidRPr="003F5882">
        <w:rPr>
          <w:rFonts w:ascii="Arial" w:hAnsi="Arial" w:cs="Times New Roman" w:hint="eastAsia"/>
          <w:sz w:val="21"/>
        </w:rPr>
        <w:t>）</w:t>
      </w:r>
      <w:r w:rsidRPr="003F5882">
        <w:rPr>
          <w:rFonts w:ascii="Arial" w:hAnsi="Arial" w:cs="Times New Roman"/>
          <w:sz w:val="21"/>
        </w:rPr>
        <w:t>而收取的</w:t>
      </w:r>
      <w:proofErr w:type="gramStart"/>
      <w:r w:rsidRPr="003F5882">
        <w:rPr>
          <w:rFonts w:ascii="Arial" w:hAnsi="Arial" w:cs="Times New Roman"/>
          <w:sz w:val="21"/>
        </w:rPr>
        <w:t>规</w:t>
      </w:r>
      <w:proofErr w:type="gramEnd"/>
      <w:r w:rsidRPr="003F5882">
        <w:rPr>
          <w:rFonts w:ascii="Arial" w:hAnsi="Arial" w:cs="Times New Roman"/>
          <w:sz w:val="21"/>
        </w:rPr>
        <w:t>费。此外，收到的与商标未决程序相关押金</w:t>
      </w:r>
      <w:r w:rsidR="00F453AC" w:rsidRPr="003F5882">
        <w:rPr>
          <w:rFonts w:ascii="Arial" w:hAnsi="Arial" w:cs="Times New Roman" w:hint="eastAsia"/>
          <w:sz w:val="21"/>
        </w:rPr>
        <w:t>（</w:t>
      </w:r>
      <w:r w:rsidRPr="003F5882">
        <w:rPr>
          <w:rFonts w:ascii="Arial" w:hAnsi="Arial" w:cs="Times New Roman"/>
          <w:sz w:val="21"/>
        </w:rPr>
        <w:t>预计向本组织缴纳的预付款比例除外</w:t>
      </w:r>
      <w:r w:rsidR="00F453AC" w:rsidRPr="003F5882">
        <w:rPr>
          <w:rFonts w:ascii="Arial" w:hAnsi="Arial" w:cs="Times New Roman" w:hint="eastAsia"/>
          <w:sz w:val="21"/>
        </w:rPr>
        <w:t>）</w:t>
      </w:r>
      <w:r w:rsidRPr="003F5882">
        <w:rPr>
          <w:rFonts w:ascii="Arial" w:hAnsi="Arial" w:cs="Times New Roman"/>
          <w:sz w:val="21"/>
        </w:rPr>
        <w:t>为代表第三方收取的资金，被认为是受限制资金。</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2014年期间，本组织向为持有</w:t>
      </w:r>
      <w:r w:rsidR="00954694" w:rsidRPr="003F5882">
        <w:rPr>
          <w:rFonts w:ascii="Arial" w:hAnsi="Arial" w:cs="Times New Roman" w:hint="eastAsia"/>
          <w:sz w:val="21"/>
        </w:rPr>
        <w:t>被分配用于</w:t>
      </w:r>
      <w:r w:rsidRPr="003F5882">
        <w:rPr>
          <w:rFonts w:ascii="Arial" w:hAnsi="Arial" w:cs="Times New Roman"/>
          <w:sz w:val="21"/>
        </w:rPr>
        <w:t>未来离职后雇员福利负债融资</w:t>
      </w:r>
      <w:r w:rsidR="00954694" w:rsidRPr="003F5882">
        <w:rPr>
          <w:rFonts w:ascii="Arial" w:hAnsi="Arial" w:cs="Times New Roman" w:hint="eastAsia"/>
          <w:sz w:val="21"/>
        </w:rPr>
        <w:t>的</w:t>
      </w:r>
      <w:r w:rsidRPr="003F5882">
        <w:rPr>
          <w:rFonts w:ascii="Arial" w:hAnsi="Arial" w:cs="Times New Roman"/>
          <w:sz w:val="21"/>
        </w:rPr>
        <w:t>资金而开立的单独银行账户转账8,520</w:t>
      </w:r>
      <w:proofErr w:type="gramStart"/>
      <w:r w:rsidRPr="003F5882">
        <w:rPr>
          <w:rFonts w:ascii="Arial" w:hAnsi="Arial" w:cs="Times New Roman"/>
          <w:sz w:val="21"/>
        </w:rPr>
        <w:t>万瑞</w:t>
      </w:r>
      <w:proofErr w:type="gramEnd"/>
      <w:r w:rsidRPr="003F5882">
        <w:rPr>
          <w:rFonts w:ascii="Arial" w:hAnsi="Arial" w:cs="Times New Roman"/>
          <w:sz w:val="21"/>
        </w:rPr>
        <w:t>郎。这些资金也被归类为受限资金。</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根据与信托基金捐助方的约定，代表自愿捐助的捐助人持有的特别账户已经以支出报告的币种存储。</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附注4：</w:t>
      </w:r>
      <w:r w:rsidRPr="00F453AC">
        <w:rPr>
          <w:rFonts w:ascii="Arial" w:eastAsia="SimHei" w:hAnsi="Arial" w:cs="Times New Roman"/>
          <w:b w:val="0"/>
          <w:sz w:val="21"/>
        </w:rPr>
        <w:tab/>
        <w:t>应收账款、预付款和预付项目</w:t>
      </w:r>
    </w:p>
    <w:p w:rsidR="006C0099" w:rsidRPr="003F5882" w:rsidRDefault="00DA4636" w:rsidP="00DA4636">
      <w:pPr>
        <w:spacing w:afterLines="50" w:after="120" w:line="340" w:lineRule="atLeast"/>
        <w:jc w:val="center"/>
        <w:rPr>
          <w:rFonts w:ascii="Arial" w:hAnsi="Arial" w:cs="Times New Roman"/>
        </w:rPr>
      </w:pPr>
      <w:r w:rsidRPr="00DA4636">
        <w:rPr>
          <w:noProof/>
          <w:lang w:val="en-US" w:bidi="ar-SA"/>
        </w:rPr>
        <w:drawing>
          <wp:inline distT="0" distB="0" distL="0" distR="0">
            <wp:extent cx="5732145" cy="7355840"/>
            <wp:effectExtent l="0" t="0" r="1905"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2145" cy="735584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分摊会费为WIPO单一会费制度的未收收入，</w:t>
      </w:r>
      <w:r w:rsidR="00C40A56" w:rsidRPr="003F5882">
        <w:rPr>
          <w:rFonts w:ascii="Arial" w:hAnsi="Arial" w:cs="Times New Roman" w:hint="eastAsia"/>
          <w:sz w:val="21"/>
        </w:rPr>
        <w:t>这一制度</w:t>
      </w:r>
      <w:r w:rsidRPr="003F5882">
        <w:rPr>
          <w:rFonts w:ascii="Arial" w:hAnsi="Arial" w:cs="Times New Roman"/>
          <w:sz w:val="21"/>
        </w:rPr>
        <w:t>由成员国大会和WIPO管理的各联盟批准。成员国大会设定以瑞士法郎计的一个会费单位的数值，并确定两年期财政年度预算。每一会费等级要求缴纳具体数量的会费单位。除某些发展中国家自动列入三个特殊等级之一之外，成员国自由选择确定其缴纳会费基准的等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设立了</w:t>
      </w:r>
      <w:proofErr w:type="gramStart"/>
      <w:r w:rsidRPr="003F5882">
        <w:rPr>
          <w:rFonts w:ascii="Arial" w:hAnsi="Arial" w:cs="Times New Roman"/>
          <w:sz w:val="21"/>
        </w:rPr>
        <w:t>一项备抵金</w:t>
      </w:r>
      <w:proofErr w:type="gramEnd"/>
      <w:r w:rsidRPr="003F5882">
        <w:rPr>
          <w:rFonts w:ascii="Arial" w:hAnsi="Arial" w:cs="Times New Roman"/>
          <w:sz w:val="21"/>
        </w:rPr>
        <w:t>，用以抵</w:t>
      </w:r>
      <w:r w:rsidR="003D06E3" w:rsidRPr="003F5882">
        <w:rPr>
          <w:rFonts w:ascii="Arial" w:hAnsi="Arial" w:cs="Times New Roman" w:hint="eastAsia"/>
          <w:sz w:val="21"/>
        </w:rPr>
        <w:t>消</w:t>
      </w:r>
      <w:r w:rsidRPr="003F5882">
        <w:rPr>
          <w:rFonts w:ascii="Arial" w:hAnsi="Arial" w:cs="Times New Roman"/>
          <w:sz w:val="21"/>
        </w:rPr>
        <w:t>分摊会费应收账款和涉及1994年采用单一会费之前各联盟欠付的应收周转基金会费两种数值。这项备抵金支付根据</w:t>
      </w:r>
      <w:r w:rsidR="002E7744" w:rsidRPr="003F5882">
        <w:rPr>
          <w:rFonts w:ascii="Arial" w:hAnsi="Arial" w:cs="Times New Roman" w:hint="eastAsia"/>
          <w:sz w:val="21"/>
        </w:rPr>
        <w:t>《</w:t>
      </w:r>
      <w:r w:rsidRPr="003F5882">
        <w:rPr>
          <w:rFonts w:ascii="Arial" w:hAnsi="Arial" w:cs="Times New Roman"/>
          <w:sz w:val="21"/>
        </w:rPr>
        <w:t>WIPO公约</w:t>
      </w:r>
      <w:r w:rsidR="002E7744" w:rsidRPr="003F5882">
        <w:rPr>
          <w:rFonts w:ascii="Arial" w:hAnsi="Arial" w:cs="Times New Roman" w:hint="eastAsia"/>
          <w:sz w:val="21"/>
        </w:rPr>
        <w:t>》</w:t>
      </w:r>
      <w:r w:rsidRPr="003F5882">
        <w:rPr>
          <w:rFonts w:ascii="Arial" w:hAnsi="Arial" w:cs="Times New Roman"/>
          <w:sz w:val="21"/>
        </w:rPr>
        <w:t>第11条第5</w:t>
      </w:r>
      <w:r w:rsidR="002E7744" w:rsidRPr="003F5882">
        <w:rPr>
          <w:rFonts w:ascii="Arial" w:hAnsi="Arial" w:cs="Times New Roman" w:hint="eastAsia"/>
          <w:sz w:val="21"/>
        </w:rPr>
        <w:t>款</w:t>
      </w:r>
      <w:r w:rsidRPr="003F5882">
        <w:rPr>
          <w:rFonts w:ascii="Arial" w:hAnsi="Arial" w:cs="Times New Roman"/>
          <w:sz w:val="21"/>
        </w:rPr>
        <w:t>已丧失选举权的成员国欠交数额和大会决定冻结的最不发达国家的会费。截至2014年12月31日，</w:t>
      </w:r>
      <w:proofErr w:type="gramStart"/>
      <w:r w:rsidRPr="003F5882">
        <w:rPr>
          <w:rFonts w:ascii="Arial" w:hAnsi="Arial" w:cs="Times New Roman"/>
          <w:sz w:val="21"/>
        </w:rPr>
        <w:t>备抵金</w:t>
      </w:r>
      <w:proofErr w:type="gramEnd"/>
      <w:r w:rsidRPr="003F5882">
        <w:rPr>
          <w:rFonts w:ascii="Arial" w:hAnsi="Arial" w:cs="Times New Roman"/>
          <w:sz w:val="21"/>
        </w:rPr>
        <w:t>总计为680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截至2013年12月31日为71</w:t>
      </w:r>
      <w:r w:rsidR="002E7744" w:rsidRPr="003F5882">
        <w:rPr>
          <w:rFonts w:ascii="Arial" w:hAnsi="Arial" w:cs="Times New Roman" w:hint="eastAsia"/>
          <w:sz w:val="21"/>
        </w:rPr>
        <w:t>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PCT应收账款是报告日</w:t>
      </w:r>
      <w:r w:rsidR="003867EE" w:rsidRPr="003F5882">
        <w:rPr>
          <w:rFonts w:ascii="Arial" w:hAnsi="Arial" w:cs="Times New Roman" w:hint="eastAsia"/>
          <w:sz w:val="21"/>
        </w:rPr>
        <w:t>之</w:t>
      </w:r>
      <w:r w:rsidRPr="003F5882">
        <w:rPr>
          <w:rFonts w:ascii="Arial" w:hAnsi="Arial" w:cs="Times New Roman"/>
          <w:sz w:val="21"/>
        </w:rPr>
        <w:t>前提交的PCT申请尚未支付的国际申请费用，包括对国家受理局在报告日之前收到但不是在报告日之前</w:t>
      </w:r>
      <w:r w:rsidR="003867EE" w:rsidRPr="003F5882">
        <w:rPr>
          <w:rFonts w:ascii="Arial" w:hAnsi="Arial" w:cs="Times New Roman" w:hint="eastAsia"/>
          <w:sz w:val="21"/>
        </w:rPr>
        <w:t>转递</w:t>
      </w:r>
      <w:r w:rsidRPr="003F5882">
        <w:rPr>
          <w:rFonts w:ascii="Arial" w:hAnsi="Arial" w:cs="Times New Roman"/>
          <w:sz w:val="21"/>
        </w:rPr>
        <w:t>给本组织PCT国际局的国际专利申请的估算。</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国际工作人员，居住在其本国的除外，均可领取一笔补助金，这笔补助金可以支付75.0%的受抚养子女教育费，直至</w:t>
      </w:r>
      <w:r w:rsidR="00B638D5" w:rsidRPr="003F5882">
        <w:rPr>
          <w:rFonts w:ascii="Arial" w:hAnsi="Arial" w:cs="Times New Roman" w:hint="eastAsia"/>
          <w:sz w:val="21"/>
        </w:rPr>
        <w:t>中学后</w:t>
      </w:r>
      <w:r w:rsidRPr="003F5882">
        <w:rPr>
          <w:rFonts w:ascii="Arial" w:hAnsi="Arial" w:cs="Times New Roman"/>
          <w:sz w:val="21"/>
        </w:rPr>
        <w:t>教育学习的第四年为止，但是不能超过子女年满25周岁</w:t>
      </w:r>
      <w:r w:rsidR="00B638D5" w:rsidRPr="003F5882">
        <w:rPr>
          <w:rFonts w:ascii="Arial" w:hAnsi="Arial" w:cs="Times New Roman" w:hint="eastAsia"/>
          <w:sz w:val="21"/>
        </w:rPr>
        <w:t>那</w:t>
      </w:r>
      <w:r w:rsidRPr="003F5882">
        <w:rPr>
          <w:rFonts w:ascii="Arial" w:hAnsi="Arial" w:cs="Times New Roman"/>
          <w:sz w:val="21"/>
        </w:rPr>
        <w:t>一学年年底。为每一国家设立了最高补助金限额。国际工作人员可以领取一笔预付金，这笔预付金相当</w:t>
      </w:r>
      <w:r w:rsidR="00B638D5" w:rsidRPr="003F5882">
        <w:rPr>
          <w:rFonts w:ascii="Arial" w:hAnsi="Arial" w:cs="Times New Roman" w:hint="eastAsia"/>
          <w:sz w:val="21"/>
        </w:rPr>
        <w:t>于</w:t>
      </w:r>
      <w:r w:rsidRPr="003F5882">
        <w:rPr>
          <w:rFonts w:ascii="Arial" w:hAnsi="Arial" w:cs="Times New Roman"/>
          <w:sz w:val="21"/>
        </w:rPr>
        <w:t>每一子女在入学之初教育补助金的估算金额。工作人员教育补助金预付款为2014-2015学年</w:t>
      </w:r>
      <w:r w:rsidR="00B638D5" w:rsidRPr="003F5882">
        <w:rPr>
          <w:rFonts w:ascii="Arial" w:hAnsi="Arial" w:cs="Times New Roman" w:hint="eastAsia"/>
          <w:sz w:val="21"/>
        </w:rPr>
        <w:t>预付</w:t>
      </w:r>
      <w:r w:rsidRPr="003F5882">
        <w:rPr>
          <w:rFonts w:ascii="Arial" w:hAnsi="Arial" w:cs="Times New Roman"/>
          <w:sz w:val="21"/>
        </w:rPr>
        <w:t>的补助金总额。</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向联合国开发计划署</w:t>
      </w:r>
      <w:r w:rsidR="00F453AC" w:rsidRPr="003F5882">
        <w:rPr>
          <w:rFonts w:ascii="Arial" w:hAnsi="Arial" w:cs="Times New Roman" w:hint="eastAsia"/>
          <w:sz w:val="21"/>
        </w:rPr>
        <w:t>（</w:t>
      </w:r>
      <w:r w:rsidRPr="003F5882">
        <w:rPr>
          <w:rFonts w:ascii="Arial" w:hAnsi="Arial" w:cs="Times New Roman"/>
          <w:sz w:val="21"/>
        </w:rPr>
        <w:t>UNDP</w:t>
      </w:r>
      <w:r w:rsidR="00F453AC" w:rsidRPr="003F5882">
        <w:rPr>
          <w:rFonts w:ascii="Arial" w:hAnsi="Arial" w:cs="Times New Roman" w:hint="eastAsia"/>
          <w:sz w:val="21"/>
        </w:rPr>
        <w:t>）</w:t>
      </w:r>
      <w:r w:rsidRPr="003F5882">
        <w:rPr>
          <w:rFonts w:ascii="Arial" w:hAnsi="Arial" w:cs="Times New Roman"/>
          <w:sz w:val="21"/>
        </w:rPr>
        <w:t>预付的资金被用来以本组织名义付款。所显示的</w:t>
      </w:r>
      <w:r w:rsidR="00BF6EC2" w:rsidRPr="003F5882">
        <w:rPr>
          <w:rFonts w:ascii="Arial" w:hAnsi="Arial" w:cs="Times New Roman" w:hint="eastAsia"/>
          <w:sz w:val="21"/>
        </w:rPr>
        <w:t>应收账款</w:t>
      </w:r>
      <w:r w:rsidRPr="003F5882">
        <w:rPr>
          <w:rFonts w:ascii="Arial" w:hAnsi="Arial" w:cs="Times New Roman"/>
          <w:sz w:val="21"/>
        </w:rPr>
        <w:t>总额包括因付款尚未收到确认或付款确认正在被验证过程中而向UNDP提出的要求数额。国际植物新品种保护联盟</w:t>
      </w:r>
      <w:r w:rsidR="00F453AC" w:rsidRPr="003F5882">
        <w:rPr>
          <w:rFonts w:ascii="Arial" w:hAnsi="Arial" w:cs="Times New Roman"/>
          <w:sz w:val="21"/>
        </w:rPr>
        <w:t>（</w:t>
      </w:r>
      <w:r w:rsidRPr="003F5882">
        <w:rPr>
          <w:rFonts w:ascii="Arial" w:hAnsi="Arial" w:cs="Times New Roman"/>
          <w:sz w:val="21"/>
        </w:rPr>
        <w:t>UPOV</w:t>
      </w:r>
      <w:r w:rsidR="00F453AC" w:rsidRPr="003F5882">
        <w:rPr>
          <w:rFonts w:ascii="Arial" w:hAnsi="Arial" w:cs="Times New Roman"/>
          <w:sz w:val="21"/>
        </w:rPr>
        <w:t>）</w:t>
      </w:r>
      <w:r w:rsidRPr="003F5882">
        <w:rPr>
          <w:rFonts w:ascii="Arial" w:hAnsi="Arial" w:cs="Times New Roman"/>
          <w:sz w:val="21"/>
        </w:rPr>
        <w:t>可补偿支出是本组织代表UPOV支付但尚未收到还款的款项。</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应收美国税款是向员工预付的款项，用以向其补偿交至美国的收入税。根据本组织与美利坚合众国之间的协议，这些税款将向本组织偿还。应退美国税款是以摊销成本计量，并按照历史支付模式计算。瑞士可偿还税款包括支付VAT、印花税和瑞士联邦预扣税款</w:t>
      </w:r>
      <w:r w:rsidR="00FD26C9" w:rsidRPr="003F5882">
        <w:rPr>
          <w:rFonts w:ascii="Arial" w:hAnsi="Arial" w:cs="Times New Roman" w:hint="eastAsia"/>
          <w:sz w:val="21"/>
        </w:rPr>
        <w:t>的金额</w:t>
      </w:r>
      <w:r w:rsidRPr="003F5882">
        <w:rPr>
          <w:rFonts w:ascii="Arial" w:hAnsi="Arial" w:cs="Times New Roman"/>
          <w:sz w:val="21"/>
        </w:rPr>
        <w:t>。根据本组织与瑞士政府的总部协定，本组织具有被偿还税款资格。</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附注5：</w:t>
      </w:r>
      <w:r w:rsidRPr="00F453AC">
        <w:rPr>
          <w:rFonts w:ascii="Arial" w:eastAsia="SimHei" w:hAnsi="Arial" w:cs="Times New Roman"/>
          <w:b w:val="0"/>
          <w:sz w:val="21"/>
        </w:rPr>
        <w:tab/>
        <w:t>库</w:t>
      </w:r>
      <w:r w:rsidR="00DA4636">
        <w:rPr>
          <w:rFonts w:ascii="Arial" w:eastAsia="SimHei" w:hAnsi="Arial" w:cs="Times New Roman" w:hint="eastAsia"/>
          <w:b w:val="0"/>
          <w:sz w:val="21"/>
        </w:rPr>
        <w:t xml:space="preserve">　</w:t>
      </w:r>
      <w:r w:rsidRPr="00F453AC">
        <w:rPr>
          <w:rFonts w:ascii="Arial" w:eastAsia="SimHei" w:hAnsi="Arial" w:cs="Times New Roman"/>
          <w:b w:val="0"/>
          <w:sz w:val="21"/>
        </w:rPr>
        <w:t>存</w:t>
      </w:r>
    </w:p>
    <w:p w:rsidR="007D62CB" w:rsidRDefault="00DA4636" w:rsidP="00DA4636">
      <w:pPr>
        <w:spacing w:afterLines="50" w:after="120" w:line="340" w:lineRule="atLeast"/>
        <w:jc w:val="center"/>
        <w:rPr>
          <w:rStyle w:val="Style3Char"/>
          <w:rFonts w:ascii="Arial" w:hAnsi="Arial" w:cs="Times New Roman"/>
          <w:sz w:val="21"/>
          <w:szCs w:val="22"/>
        </w:rPr>
      </w:pPr>
      <w:r w:rsidRPr="00DA4636">
        <w:rPr>
          <w:noProof/>
          <w:lang w:val="en-US" w:bidi="ar-SA"/>
        </w:rPr>
        <w:drawing>
          <wp:inline distT="0" distB="0" distL="0" distR="0">
            <wp:extent cx="5602605" cy="1364615"/>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02605" cy="1364615"/>
                    </a:xfrm>
                    <a:prstGeom prst="rect">
                      <a:avLst/>
                    </a:prstGeom>
                    <a:noFill/>
                    <a:ln>
                      <a:noFill/>
                    </a:ln>
                  </pic:spPr>
                </pic:pic>
              </a:graphicData>
            </a:graphic>
          </wp:inline>
        </w:drawing>
      </w:r>
    </w:p>
    <w:p w:rsidR="006C0099" w:rsidRPr="003F5882" w:rsidRDefault="006C0099" w:rsidP="007D62CB">
      <w:pPr>
        <w:pStyle w:val="Style3"/>
        <w:spacing w:afterLines="50" w:line="340" w:lineRule="atLeast"/>
        <w:rPr>
          <w:rFonts w:ascii="Arial" w:hAnsi="Arial" w:cs="Times New Roman"/>
          <w:sz w:val="21"/>
          <w:szCs w:val="22"/>
        </w:rPr>
      </w:pPr>
      <w:r w:rsidRPr="003F5882">
        <w:rPr>
          <w:rStyle w:val="Style3Char"/>
          <w:rFonts w:ascii="Arial" w:hAnsi="Arial" w:cs="Times New Roman"/>
          <w:sz w:val="21"/>
        </w:rPr>
        <w:t>成品出版物的库存到可实现净值的减值达到10</w:t>
      </w:r>
      <w:proofErr w:type="gramStart"/>
      <w:r w:rsidRPr="003F5882">
        <w:rPr>
          <w:rStyle w:val="Style3Char"/>
          <w:rFonts w:ascii="Arial" w:hAnsi="Arial" w:cs="Times New Roman"/>
          <w:sz w:val="21"/>
        </w:rPr>
        <w:t>万瑞</w:t>
      </w:r>
      <w:proofErr w:type="gramEnd"/>
      <w:r w:rsidRPr="003F5882">
        <w:rPr>
          <w:rStyle w:val="Style3Char"/>
          <w:rFonts w:ascii="Arial" w:hAnsi="Arial" w:cs="Times New Roman"/>
          <w:sz w:val="21"/>
        </w:rPr>
        <w:t>郎</w:t>
      </w:r>
      <w:r w:rsidR="00F453AC" w:rsidRPr="003F5882">
        <w:rPr>
          <w:rStyle w:val="Style3Char"/>
          <w:rFonts w:ascii="Arial" w:hAnsi="Arial" w:cs="Times New Roman" w:hint="eastAsia"/>
          <w:sz w:val="21"/>
        </w:rPr>
        <w:t>（</w:t>
      </w:r>
      <w:r w:rsidRPr="003F5882">
        <w:rPr>
          <w:rStyle w:val="Style3Char"/>
          <w:rFonts w:ascii="Arial" w:hAnsi="Arial" w:cs="Times New Roman"/>
          <w:sz w:val="21"/>
        </w:rPr>
        <w:t>2013年为20</w:t>
      </w:r>
      <w:proofErr w:type="gramStart"/>
      <w:r w:rsidRPr="003F5882">
        <w:rPr>
          <w:rStyle w:val="Style3Char"/>
          <w:rFonts w:ascii="Arial" w:hAnsi="Arial" w:cs="Times New Roman"/>
          <w:sz w:val="21"/>
        </w:rPr>
        <w:t>万瑞</w:t>
      </w:r>
      <w:proofErr w:type="gramEnd"/>
      <w:r w:rsidRPr="003F5882">
        <w:rPr>
          <w:rStyle w:val="Style3Char"/>
          <w:rFonts w:ascii="Arial" w:hAnsi="Arial" w:cs="Times New Roman"/>
          <w:sz w:val="21"/>
        </w:rPr>
        <w:t>郎</w:t>
      </w:r>
      <w:r w:rsidR="00F453AC" w:rsidRPr="003F5882">
        <w:rPr>
          <w:rStyle w:val="Style3Char"/>
          <w:rFonts w:ascii="Arial" w:hAnsi="Arial" w:cs="Times New Roman" w:hint="eastAsia"/>
          <w:sz w:val="21"/>
        </w:rPr>
        <w:t>）</w:t>
      </w:r>
      <w:r w:rsidRPr="003F5882">
        <w:rPr>
          <w:rStyle w:val="Style3Char"/>
          <w:rFonts w:ascii="Arial" w:hAnsi="Arial" w:cs="Times New Roman"/>
          <w:sz w:val="21"/>
        </w:rPr>
        <w:t>。没有出现任何减值的逆转。</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附注6：</w:t>
      </w:r>
      <w:r w:rsidRPr="00F453AC">
        <w:rPr>
          <w:rFonts w:ascii="Arial" w:eastAsia="SimHei" w:hAnsi="Arial" w:cs="Times New Roman"/>
          <w:b w:val="0"/>
          <w:sz w:val="21"/>
        </w:rPr>
        <w:tab/>
        <w:t>设备</w:t>
      </w:r>
    </w:p>
    <w:p w:rsidR="006C0099" w:rsidRPr="003F5882" w:rsidRDefault="00DA4636" w:rsidP="006C0099">
      <w:pPr>
        <w:pStyle w:val="Style3"/>
        <w:spacing w:after="0"/>
        <w:jc w:val="center"/>
        <w:rPr>
          <w:rFonts w:ascii="Arial" w:hAnsi="Arial" w:cs="Times New Roman"/>
          <w:sz w:val="21"/>
        </w:rPr>
      </w:pPr>
      <w:r w:rsidRPr="00DA4636">
        <w:rPr>
          <w:noProof/>
          <w:lang w:val="en-US" w:bidi="ar-SA"/>
        </w:rPr>
        <w:drawing>
          <wp:inline distT="0" distB="0" distL="0" distR="0">
            <wp:extent cx="5718175" cy="3555365"/>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8175" cy="3555365"/>
                    </a:xfrm>
                    <a:prstGeom prst="rect">
                      <a:avLst/>
                    </a:prstGeom>
                    <a:noFill/>
                    <a:ln>
                      <a:noFill/>
                    </a:ln>
                  </pic:spPr>
                </pic:pic>
              </a:graphicData>
            </a:graphic>
          </wp:inline>
        </w:drawing>
      </w:r>
    </w:p>
    <w:p w:rsidR="006C0099" w:rsidRPr="003F5882" w:rsidRDefault="00DA4636" w:rsidP="00DA4636">
      <w:pPr>
        <w:pStyle w:val="Style3"/>
        <w:spacing w:afterLines="50"/>
        <w:jc w:val="center"/>
        <w:rPr>
          <w:rFonts w:ascii="Arial" w:hAnsi="Arial" w:cs="Times New Roman"/>
          <w:sz w:val="21"/>
        </w:rPr>
      </w:pPr>
      <w:r w:rsidRPr="00DA4636">
        <w:rPr>
          <w:noProof/>
          <w:lang w:val="en-US" w:bidi="ar-SA"/>
        </w:rPr>
        <w:drawing>
          <wp:inline distT="0" distB="0" distL="0" distR="0">
            <wp:extent cx="5718175" cy="33985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8175" cy="3398520"/>
                    </a:xfrm>
                    <a:prstGeom prst="rect">
                      <a:avLst/>
                    </a:prstGeom>
                    <a:noFill/>
                    <a:ln>
                      <a:noFill/>
                    </a:ln>
                  </pic:spPr>
                </pic:pic>
              </a:graphicData>
            </a:graphic>
          </wp:inline>
        </w:drawing>
      </w:r>
    </w:p>
    <w:p w:rsidR="006C0099" w:rsidRPr="00F453AC" w:rsidRDefault="006C0099" w:rsidP="007D62CB">
      <w:pPr>
        <w:pStyle w:val="Style3"/>
        <w:spacing w:afterLines="50" w:line="340" w:lineRule="atLeast"/>
        <w:rPr>
          <w:rFonts w:ascii="Arial" w:eastAsia="SimHei" w:hAnsi="Arial" w:cs="Times New Roman"/>
          <w:sz w:val="21"/>
          <w:szCs w:val="22"/>
        </w:rPr>
      </w:pPr>
      <w:r w:rsidRPr="003F5882">
        <w:rPr>
          <w:rFonts w:ascii="Arial" w:hAnsi="Arial" w:cs="Times New Roman"/>
          <w:sz w:val="21"/>
        </w:rPr>
        <w:t>所有库存设备的价值根据直线法按成本计账，减去折旧。家具和室内陈设以十年使用寿命期计算折旧。所有其他设备以五年使用寿命计算折旧。2014年处置的设备主要包括废弃设备，其账面金额总值为530万瑞郎，在累计折旧后，其账面金额净值为8,771瑞郎。该处置数据包括核销无法定位的设备，其账面金额总值为80万瑞郎，账面金额净值为5,657瑞郎。包括捐赠的艺术作品在内的遗产资产在财务状况表中不列为资产。</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附注7：</w:t>
      </w:r>
      <w:r w:rsidRPr="00F453AC">
        <w:rPr>
          <w:rFonts w:ascii="Arial" w:eastAsia="SimHei" w:hAnsi="Arial" w:cs="Times New Roman"/>
          <w:b w:val="0"/>
          <w:sz w:val="21"/>
        </w:rPr>
        <w:tab/>
        <w:t>投资财产</w:t>
      </w:r>
    </w:p>
    <w:p w:rsidR="007D62CB" w:rsidRDefault="00DA4636" w:rsidP="00DA4636">
      <w:pPr>
        <w:pStyle w:val="Style3"/>
        <w:spacing w:afterLines="50" w:line="340" w:lineRule="atLeast"/>
        <w:jc w:val="center"/>
        <w:rPr>
          <w:rFonts w:ascii="Arial" w:hAnsi="Arial" w:cs="Times New Roman"/>
          <w:sz w:val="21"/>
        </w:rPr>
      </w:pPr>
      <w:r w:rsidRPr="00DA4636">
        <w:rPr>
          <w:noProof/>
          <w:lang w:val="en-US" w:bidi="ar-SA"/>
        </w:rPr>
        <w:drawing>
          <wp:inline distT="0" distB="0" distL="0" distR="0">
            <wp:extent cx="5732145" cy="1515110"/>
            <wp:effectExtent l="0" t="0" r="1905" b="889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2145" cy="151511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w:t>
      </w:r>
      <w:r w:rsidR="003D06E3" w:rsidRPr="003F5882">
        <w:rPr>
          <w:rFonts w:ascii="Arial" w:hAnsi="Arial" w:cs="Times New Roman" w:hint="eastAsia"/>
          <w:sz w:val="21"/>
        </w:rPr>
        <w:t>于</w:t>
      </w:r>
      <w:r w:rsidRPr="003F5882">
        <w:rPr>
          <w:rFonts w:ascii="Arial" w:hAnsi="Arial" w:cs="Times New Roman"/>
          <w:sz w:val="21"/>
        </w:rPr>
        <w:t>1974年在瑞士日内瓦州Meyrin获得一项投资财产。该建筑物于1964年首次投入使用。这项物业于20</w:t>
      </w:r>
      <w:r w:rsidR="000668D1" w:rsidRPr="003F5882">
        <w:rPr>
          <w:rFonts w:ascii="Arial" w:hAnsi="Arial" w:cs="Times New Roman" w:hint="eastAsia"/>
          <w:sz w:val="21"/>
        </w:rPr>
        <w:t>12</w:t>
      </w:r>
      <w:r w:rsidRPr="003F5882">
        <w:rPr>
          <w:rFonts w:ascii="Arial" w:hAnsi="Arial" w:cs="Times New Roman"/>
          <w:sz w:val="21"/>
        </w:rPr>
        <w:t>年12月31日由具备认可的相关专业资格、具有日内瓦州财产评估最新经验的独立专家以公允价值进行估价。公允价值根据基于投资的评估确定，因此这项物业今后的收益源流按恰当投资收益率转化为资本。回收率的选择是通过参照感知质量、收入期限和进一步提高租金的可能性进行的，并通过可比较销售所提供的证据得到交叉核实。2012年12月31日的估价显示该建筑物公允价值提高了50万瑞郎。2012年，该项增加在财务执行情况表中被确认为投资收入。</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马德里联盟办公楼的公寓、停车场和其他设施的租赁事宜，由负责收取所有租金收入和支付经营楼宇时产生的所有费用的租赁中介管理。租赁通常为期两年，根据日内瓦州批准的租赁形式进行。在出租期间，所有租约不可取消。中介收取总租金收入的3.9%作为服务补偿。</w:t>
      </w:r>
      <w:r w:rsidR="00040C60" w:rsidRPr="003F5882">
        <w:rPr>
          <w:rFonts w:ascii="Arial" w:hAnsi="Arial" w:cs="Times New Roman" w:hint="eastAsia"/>
          <w:sz w:val="21"/>
        </w:rPr>
        <w:t>截至</w:t>
      </w:r>
      <w:r w:rsidRPr="003F5882">
        <w:rPr>
          <w:rFonts w:ascii="Arial" w:hAnsi="Arial" w:cs="Times New Roman"/>
          <w:sz w:val="21"/>
        </w:rPr>
        <w:t>2014年12月31日</w:t>
      </w:r>
      <w:r w:rsidR="00040C60" w:rsidRPr="003F5882">
        <w:rPr>
          <w:rFonts w:ascii="Arial" w:hAnsi="Arial" w:cs="Times New Roman" w:hint="eastAsia"/>
          <w:sz w:val="21"/>
        </w:rPr>
        <w:t>，</w:t>
      </w:r>
      <w:r w:rsidRPr="003F5882">
        <w:rPr>
          <w:rFonts w:ascii="Arial" w:hAnsi="Arial" w:cs="Times New Roman"/>
          <w:sz w:val="21"/>
        </w:rPr>
        <w:t>不可取消租约的价值如下：</w:t>
      </w:r>
    </w:p>
    <w:p w:rsidR="007D62CB" w:rsidRDefault="00DA4636" w:rsidP="00DA4636">
      <w:pPr>
        <w:spacing w:afterLines="50" w:after="120" w:line="340" w:lineRule="atLeast"/>
        <w:jc w:val="center"/>
        <w:rPr>
          <w:rFonts w:ascii="Arial" w:hAnsi="Arial" w:cs="Times New Roman"/>
        </w:rPr>
      </w:pPr>
      <w:r w:rsidRPr="00DA4636">
        <w:rPr>
          <w:noProof/>
          <w:lang w:val="en-US" w:bidi="ar-SA"/>
        </w:rPr>
        <w:drawing>
          <wp:inline distT="0" distB="0" distL="0" distR="0">
            <wp:extent cx="5602605" cy="1344295"/>
            <wp:effectExtent l="0" t="0" r="0" b="825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602605" cy="134429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2014年，大楼出租的收入共计377,000瑞郎，大楼的</w:t>
      </w:r>
      <w:r w:rsidR="00C80CF8" w:rsidRPr="003F5882">
        <w:rPr>
          <w:rFonts w:ascii="Arial" w:hAnsi="Arial" w:cs="Times New Roman" w:hint="eastAsia"/>
          <w:sz w:val="21"/>
        </w:rPr>
        <w:t>运营开支</w:t>
      </w:r>
      <w:r w:rsidRPr="003F5882">
        <w:rPr>
          <w:rFonts w:ascii="Arial" w:hAnsi="Arial" w:cs="Times New Roman"/>
          <w:sz w:val="21"/>
        </w:rPr>
        <w:t>共计211,000瑞郎。本组织不了解在投资财产收入的可变现性或收入转出方面存在任何限制。</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运营开支不包括大楼的折旧。在本报告日没有购买、建造或开发投资财产的合同义务，也没有修理、维护或提升现有物业的合同义务。</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附注8：</w:t>
      </w:r>
      <w:r w:rsidRPr="00F453AC">
        <w:rPr>
          <w:rFonts w:ascii="Arial" w:eastAsia="SimHei" w:hAnsi="Arial" w:cs="Times New Roman"/>
          <w:b w:val="0"/>
          <w:sz w:val="21"/>
        </w:rPr>
        <w:tab/>
        <w:t>无形资产</w:t>
      </w:r>
    </w:p>
    <w:p w:rsidR="006C0099" w:rsidRPr="00F453AC" w:rsidRDefault="00DA4636" w:rsidP="006C0099">
      <w:pPr>
        <w:pStyle w:val="STYLETITRENOTES"/>
        <w:jc w:val="center"/>
        <w:rPr>
          <w:rFonts w:ascii="Arial" w:eastAsia="SimHei" w:hAnsi="Arial" w:cs="Times New Roman"/>
          <w:b w:val="0"/>
          <w:sz w:val="21"/>
        </w:rPr>
      </w:pPr>
      <w:r w:rsidRPr="00DA4636">
        <w:rPr>
          <w:noProof/>
          <w:lang w:val="en-US" w:bidi="ar-SA"/>
        </w:rPr>
        <w:drawing>
          <wp:inline distT="0" distB="0" distL="0" distR="0">
            <wp:extent cx="5875655" cy="3725545"/>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75655" cy="3725545"/>
                    </a:xfrm>
                    <a:prstGeom prst="rect">
                      <a:avLst/>
                    </a:prstGeom>
                    <a:noFill/>
                    <a:ln>
                      <a:noFill/>
                    </a:ln>
                  </pic:spPr>
                </pic:pic>
              </a:graphicData>
            </a:graphic>
          </wp:inline>
        </w:drawing>
      </w:r>
    </w:p>
    <w:p w:rsidR="006C0099" w:rsidRPr="00F453AC" w:rsidRDefault="00DA4636" w:rsidP="006C0099">
      <w:pPr>
        <w:pStyle w:val="STYLETITRENOTES"/>
        <w:jc w:val="center"/>
        <w:rPr>
          <w:rFonts w:ascii="Arial" w:eastAsia="SimHei" w:hAnsi="Arial" w:cs="Times New Roman"/>
          <w:b w:val="0"/>
          <w:noProof/>
          <w:sz w:val="21"/>
        </w:rPr>
      </w:pPr>
      <w:r w:rsidRPr="00DA4636">
        <w:rPr>
          <w:noProof/>
          <w:lang w:val="en-US" w:bidi="ar-SA"/>
        </w:rPr>
        <w:drawing>
          <wp:inline distT="0" distB="0" distL="0" distR="0">
            <wp:extent cx="5875655" cy="353504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75655" cy="353504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1996年，本组织从世界气象组织</w:t>
      </w:r>
      <w:r w:rsidR="00F453AC" w:rsidRPr="003F5882">
        <w:rPr>
          <w:rFonts w:ascii="Arial" w:hAnsi="Arial" w:cs="Times New Roman" w:hint="eastAsia"/>
          <w:sz w:val="21"/>
        </w:rPr>
        <w:t>（</w:t>
      </w:r>
      <w:r w:rsidRPr="003F5882">
        <w:rPr>
          <w:rFonts w:ascii="Arial" w:hAnsi="Arial" w:cs="Times New Roman"/>
          <w:sz w:val="21"/>
        </w:rPr>
        <w:t>WMO</w:t>
      </w:r>
      <w:r w:rsidR="00F453AC" w:rsidRPr="003F5882">
        <w:rPr>
          <w:rFonts w:ascii="Arial" w:hAnsi="Arial" w:cs="Times New Roman" w:hint="eastAsia"/>
          <w:sz w:val="21"/>
        </w:rPr>
        <w:t>）</w:t>
      </w:r>
      <w:r w:rsidRPr="003F5882">
        <w:rPr>
          <w:rFonts w:ascii="Arial" w:hAnsi="Arial" w:cs="Times New Roman"/>
          <w:sz w:val="21"/>
        </w:rPr>
        <w:t>获得了日内瓦市Petit-Saconnex编号为4008的地块的土地地面使用权，这块土地是由日内瓦共和体和州以3</w:t>
      </w:r>
      <w:r w:rsidR="00811D36" w:rsidRPr="003F5882">
        <w:rPr>
          <w:rFonts w:ascii="Arial" w:hAnsi="Arial" w:cs="Times New Roman" w:hint="eastAsia"/>
          <w:sz w:val="21"/>
        </w:rPr>
        <w:t>,</w:t>
      </w:r>
      <w:r w:rsidRPr="003F5882">
        <w:rPr>
          <w:rFonts w:ascii="Arial" w:hAnsi="Arial" w:cs="Times New Roman"/>
          <w:sz w:val="21"/>
        </w:rPr>
        <w:t>430</w:t>
      </w:r>
      <w:proofErr w:type="gramStart"/>
      <w:r w:rsidRPr="003F5882">
        <w:rPr>
          <w:rFonts w:ascii="Arial" w:hAnsi="Arial" w:cs="Times New Roman"/>
          <w:sz w:val="21"/>
        </w:rPr>
        <w:t>万瑞</w:t>
      </w:r>
      <w:proofErr w:type="gramEnd"/>
      <w:r w:rsidRPr="003F5882">
        <w:rPr>
          <w:rFonts w:ascii="Arial" w:hAnsi="Arial" w:cs="Times New Roman"/>
          <w:sz w:val="21"/>
        </w:rPr>
        <w:t>郎的价格</w:t>
      </w:r>
      <w:r w:rsidR="00F453AC" w:rsidRPr="003F5882">
        <w:rPr>
          <w:rFonts w:ascii="Arial" w:hAnsi="Arial" w:cs="Times New Roman" w:hint="eastAsia"/>
          <w:sz w:val="21"/>
        </w:rPr>
        <w:t>（</w:t>
      </w:r>
      <w:r w:rsidRPr="003F5882">
        <w:rPr>
          <w:rFonts w:ascii="Arial" w:hAnsi="Arial" w:cs="Times New Roman"/>
          <w:sz w:val="21"/>
        </w:rPr>
        <w:t>包括利息和手续费在内</w:t>
      </w:r>
      <w:r w:rsidR="00F453AC" w:rsidRPr="003F5882">
        <w:rPr>
          <w:rFonts w:ascii="Arial" w:hAnsi="Arial" w:cs="Times New Roman" w:hint="eastAsia"/>
          <w:sz w:val="21"/>
        </w:rPr>
        <w:t>）</w:t>
      </w:r>
      <w:r w:rsidRPr="003F5882">
        <w:rPr>
          <w:rFonts w:ascii="Arial" w:hAnsi="Arial" w:cs="Times New Roman"/>
          <w:sz w:val="21"/>
        </w:rPr>
        <w:t>出让给WMO的。在购买当日，根据瑞士法律原权</w:t>
      </w:r>
      <w:r w:rsidR="00811D36" w:rsidRPr="003F5882">
        <w:rPr>
          <w:rFonts w:ascii="Arial" w:hAnsi="Arial" w:cs="Times New Roman" w:hint="eastAsia"/>
          <w:sz w:val="21"/>
        </w:rPr>
        <w:t>利</w:t>
      </w:r>
      <w:r w:rsidRPr="003F5882">
        <w:rPr>
          <w:rFonts w:ascii="Arial" w:hAnsi="Arial" w:cs="Times New Roman"/>
          <w:sz w:val="21"/>
        </w:rPr>
        <w:t>还有78年剩余，于2073年到期，除非行政区续期。历史成本在剩余使用寿命中摊销。A</w:t>
      </w:r>
      <w:r w:rsidR="00811D36" w:rsidRPr="003F5882">
        <w:rPr>
          <w:rFonts w:ascii="Arial" w:hAnsi="Arial" w:cs="Times New Roman" w:hint="eastAsia"/>
          <w:sz w:val="21"/>
        </w:rPr>
        <w:t>.鲍格</w:t>
      </w:r>
      <w:proofErr w:type="gramStart"/>
      <w:r w:rsidR="00811D36" w:rsidRPr="003F5882">
        <w:rPr>
          <w:rFonts w:ascii="Arial" w:hAnsi="Arial" w:cs="Times New Roman" w:hint="eastAsia"/>
          <w:sz w:val="21"/>
        </w:rPr>
        <w:t>胥</w:t>
      </w:r>
      <w:proofErr w:type="gramEnd"/>
      <w:r w:rsidRPr="003F5882">
        <w:rPr>
          <w:rFonts w:ascii="Arial" w:hAnsi="Arial" w:cs="Times New Roman"/>
          <w:sz w:val="21"/>
        </w:rPr>
        <w:t>和G</w:t>
      </w:r>
      <w:r w:rsidR="00811D36" w:rsidRPr="003F5882">
        <w:rPr>
          <w:rFonts w:ascii="Arial" w:hAnsi="Arial" w:cs="Times New Roman" w:hint="eastAsia"/>
          <w:sz w:val="21"/>
        </w:rPr>
        <w:t>.博登</w:t>
      </w:r>
      <w:proofErr w:type="gramStart"/>
      <w:r w:rsidR="00811D36" w:rsidRPr="003F5882">
        <w:rPr>
          <w:rFonts w:ascii="Arial" w:hAnsi="Arial" w:cs="Times New Roman" w:hint="eastAsia"/>
          <w:sz w:val="21"/>
        </w:rPr>
        <w:t>浩森</w:t>
      </w:r>
      <w:proofErr w:type="gramEnd"/>
      <w:r w:rsidRPr="003F5882">
        <w:rPr>
          <w:rFonts w:ascii="Arial" w:hAnsi="Arial" w:cs="Times New Roman"/>
          <w:sz w:val="21"/>
        </w:rPr>
        <w:t>两幢大楼所占土地是日内瓦共和体和州的财产，日内瓦共和体和州授予本组织地面使用权，包括60年内建筑楼宇的权利，以及仅由本组织行使的延长另一30年期的权利。</w:t>
      </w:r>
      <w:r w:rsidRPr="003F5882">
        <w:rPr>
          <w:rFonts w:ascii="Arial" w:hAnsi="Arial" w:cs="Times New Roman"/>
          <w:sz w:val="21"/>
        </w:rPr>
        <w:lastRenderedPageBreak/>
        <w:t>本组织无偿获得这些地面使用权，并没有确认价值，因为本组织无权转让归还日内瓦共和体和州的权利，除续期之外。</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自2012年1月1日起，WIPO已将外部购买和内部开发的软件转化为资本。正开发的无形资产涉及尚未投入使用的内部所开发的软件。</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附注9：</w:t>
      </w:r>
      <w:r w:rsidRPr="00F453AC">
        <w:rPr>
          <w:rFonts w:ascii="Arial" w:eastAsia="SimHei" w:hAnsi="Arial" w:cs="Times New Roman"/>
          <w:b w:val="0"/>
          <w:sz w:val="21"/>
        </w:rPr>
        <w:tab/>
        <w:t>土地和建筑物</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本组织的土地和建筑物包括本组织设在瑞士日内瓦万国广场的总部，并包括土地、正在施工的建筑物以及已占用的建筑物。在2010年1月1日</w:t>
      </w:r>
      <w:r w:rsidR="00E2416B" w:rsidRPr="003F5882">
        <w:rPr>
          <w:rFonts w:ascii="Arial" w:hAnsi="Arial" w:cs="Times New Roman" w:hint="eastAsia"/>
          <w:sz w:val="21"/>
        </w:rPr>
        <w:t>过渡</w:t>
      </w:r>
      <w:r w:rsidRPr="003F5882">
        <w:rPr>
          <w:rFonts w:ascii="Arial" w:hAnsi="Arial" w:cs="Times New Roman"/>
          <w:sz w:val="21"/>
        </w:rPr>
        <w:t>到</w:t>
      </w:r>
      <w:r w:rsidR="00E2416B" w:rsidRPr="003F5882">
        <w:rPr>
          <w:rFonts w:ascii="Arial" w:hAnsi="Arial" w:cs="Times New Roman" w:hint="eastAsia"/>
          <w:sz w:val="21"/>
        </w:rPr>
        <w:t>《</w:t>
      </w:r>
      <w:r w:rsidRPr="003F5882">
        <w:rPr>
          <w:rFonts w:ascii="Arial" w:hAnsi="Arial" w:cs="Times New Roman"/>
          <w:sz w:val="21"/>
        </w:rPr>
        <w:t>国际公共部门会计</w:t>
      </w:r>
      <w:r w:rsidR="00E2416B" w:rsidRPr="003F5882">
        <w:rPr>
          <w:rFonts w:ascii="Arial" w:hAnsi="Arial" w:cs="Times New Roman" w:hint="eastAsia"/>
          <w:sz w:val="21"/>
        </w:rPr>
        <w:t>准则》</w:t>
      </w:r>
      <w:r w:rsidRPr="003F5882">
        <w:rPr>
          <w:rFonts w:ascii="Arial" w:hAnsi="Arial" w:cs="Times New Roman"/>
          <w:sz w:val="21"/>
        </w:rPr>
        <w:t>后，所占用的建筑物的价值在该日由外部顾问进行独立评估确定数额计价，这一价格为建筑物落成时的估计价值</w:t>
      </w:r>
      <w:r w:rsidR="00F453AC" w:rsidRPr="003F5882">
        <w:rPr>
          <w:rFonts w:ascii="Arial" w:hAnsi="Arial" w:cs="Times New Roman" w:hint="eastAsia"/>
          <w:sz w:val="21"/>
        </w:rPr>
        <w:t>（</w:t>
      </w:r>
      <w:r w:rsidRPr="003F5882">
        <w:rPr>
          <w:rFonts w:ascii="Arial" w:hAnsi="Arial" w:cs="Times New Roman"/>
          <w:sz w:val="21"/>
        </w:rPr>
        <w:t>视为建造成本</w:t>
      </w:r>
      <w:r w:rsidR="00F453AC" w:rsidRPr="003F5882">
        <w:rPr>
          <w:rFonts w:ascii="Arial" w:hAnsi="Arial" w:cs="Times New Roman" w:hint="eastAsia"/>
          <w:sz w:val="21"/>
        </w:rPr>
        <w:t>）</w:t>
      </w:r>
      <w:r w:rsidRPr="003F5882">
        <w:rPr>
          <w:rFonts w:ascii="Arial" w:hAnsi="Arial" w:cs="Times New Roman"/>
          <w:sz w:val="21"/>
        </w:rPr>
        <w:t>，包括自最初占用以来所进行的修缮和大修的估计价值减去累计折旧和损耗。2010年1月1日之后投入使用的建筑物最初以成本估价。所有建筑物根据直线法基于建筑物的每一主要部分的使用寿命进行折旧。</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1998年本组织出价1,360</w:t>
      </w:r>
      <w:proofErr w:type="gramStart"/>
      <w:r w:rsidRPr="003F5882">
        <w:rPr>
          <w:rFonts w:ascii="Arial" w:hAnsi="Arial" w:cs="Times New Roman"/>
          <w:sz w:val="21"/>
        </w:rPr>
        <w:t>万瑞郎购买</w:t>
      </w:r>
      <w:proofErr w:type="gramEnd"/>
      <w:r w:rsidRPr="003F5882">
        <w:rPr>
          <w:rFonts w:ascii="Arial" w:hAnsi="Arial" w:cs="Times New Roman"/>
          <w:sz w:val="21"/>
        </w:rPr>
        <w:t>了用以建设新大楼的土地，并于2009年12月31日由独立鉴定人根据国际评估标准按公允价格重估价值为2,860</w:t>
      </w:r>
      <w:proofErr w:type="gramStart"/>
      <w:r w:rsidRPr="003F5882">
        <w:rPr>
          <w:rFonts w:ascii="Arial" w:hAnsi="Arial" w:cs="Times New Roman"/>
          <w:sz w:val="21"/>
        </w:rPr>
        <w:t>万瑞</w:t>
      </w:r>
      <w:proofErr w:type="gramEnd"/>
      <w:r w:rsidRPr="003F5882">
        <w:rPr>
          <w:rFonts w:ascii="Arial" w:hAnsi="Arial" w:cs="Times New Roman"/>
          <w:sz w:val="21"/>
        </w:rPr>
        <w:t>郎。1,500万瑞郎的重新估价净增值归入重估价盈余，形成了WIPO净资产的一部分。2013年12月31日，由独立鉴定人对土地进行更新估价，结果与先前所估2,860万瑞郎的公允价值相比没有变化。通过以恰当投资收益率将该项物业今后潜在收入流转化为资本的方式对其市场价值进行了评估。潜在收入以市场可比较租金为基准，并考虑了空间质量和位置。参照感知质量、收入期限和进一步提高租金的潜在性选择了投资收益，并通过可比较销售提供的证据进行了交叉核实。</w:t>
      </w:r>
    </w:p>
    <w:p w:rsidR="006C0099" w:rsidRPr="003F5882"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2009年10月，成员国大会批准了与</w:t>
      </w:r>
      <w:r w:rsidR="00A0386B" w:rsidRPr="003F5882">
        <w:rPr>
          <w:rFonts w:ascii="Arial" w:hAnsi="Arial" w:cs="Times New Roman" w:hint="eastAsia"/>
          <w:sz w:val="21"/>
        </w:rPr>
        <w:t>A.</w:t>
      </w:r>
      <w:r w:rsidRPr="003F5882">
        <w:rPr>
          <w:rFonts w:ascii="Arial" w:hAnsi="Arial" w:cs="Times New Roman"/>
          <w:sz w:val="21"/>
        </w:rPr>
        <w:t>鲍格</w:t>
      </w:r>
      <w:proofErr w:type="gramStart"/>
      <w:r w:rsidRPr="003F5882">
        <w:rPr>
          <w:rFonts w:ascii="Arial" w:hAnsi="Arial" w:cs="Times New Roman"/>
          <w:sz w:val="21"/>
        </w:rPr>
        <w:t>胥</w:t>
      </w:r>
      <w:proofErr w:type="gramEnd"/>
      <w:r w:rsidR="00F453AC" w:rsidRPr="003F5882">
        <w:rPr>
          <w:rFonts w:ascii="Arial" w:hAnsi="Arial" w:cs="Times New Roman"/>
          <w:sz w:val="21"/>
        </w:rPr>
        <w:t>（</w:t>
      </w:r>
      <w:r w:rsidRPr="003F5882">
        <w:rPr>
          <w:rFonts w:ascii="Arial" w:hAnsi="Arial" w:cs="Times New Roman"/>
          <w:sz w:val="21"/>
        </w:rPr>
        <w:t>AB</w:t>
      </w:r>
      <w:r w:rsidR="00F453AC" w:rsidRPr="003F5882">
        <w:rPr>
          <w:rFonts w:ascii="Arial" w:hAnsi="Arial" w:cs="Times New Roman"/>
          <w:sz w:val="21"/>
        </w:rPr>
        <w:t>）</w:t>
      </w:r>
      <w:r w:rsidRPr="003F5882">
        <w:rPr>
          <w:rFonts w:ascii="Arial" w:hAnsi="Arial" w:cs="Times New Roman"/>
          <w:sz w:val="21"/>
        </w:rPr>
        <w:t>大楼邻接的新会议厅</w:t>
      </w:r>
      <w:r w:rsidR="00F453AC" w:rsidRPr="003F5882">
        <w:rPr>
          <w:rFonts w:ascii="Arial" w:hAnsi="Arial" w:cs="Times New Roman"/>
          <w:sz w:val="21"/>
        </w:rPr>
        <w:t>（</w:t>
      </w:r>
      <w:r w:rsidRPr="003F5882">
        <w:rPr>
          <w:rFonts w:ascii="Arial" w:hAnsi="Arial" w:cs="Times New Roman"/>
          <w:sz w:val="21"/>
        </w:rPr>
        <w:t>NCH</w:t>
      </w:r>
      <w:r w:rsidR="00F453AC" w:rsidRPr="003F5882">
        <w:rPr>
          <w:rFonts w:ascii="Arial" w:hAnsi="Arial" w:cs="Times New Roman"/>
          <w:sz w:val="21"/>
        </w:rPr>
        <w:t>）</w:t>
      </w:r>
      <w:r w:rsidRPr="003F5882">
        <w:rPr>
          <w:rFonts w:ascii="Arial" w:hAnsi="Arial" w:cs="Times New Roman"/>
          <w:sz w:val="21"/>
        </w:rPr>
        <w:t>建设项目。该项目在2014年完工，NCH于2014年9月投入使用。该项目还涉及AB大楼区域部分拆除、后续重建以及改善。拆除区域计为施工阶段减值。如今，减值区域已经在财务报表中终止确认，取而代之的是完工的重建和改进工程。WIPO还在开展一个项目，根据联合国安全管理体系建议</w:t>
      </w:r>
      <w:r w:rsidR="00074192" w:rsidRPr="003F5882">
        <w:rPr>
          <w:rFonts w:ascii="Arial" w:hAnsi="Arial" w:cs="Times New Roman" w:hint="eastAsia"/>
          <w:sz w:val="21"/>
        </w:rPr>
        <w:t>的落实情况</w:t>
      </w:r>
      <w:r w:rsidRPr="003F5882">
        <w:rPr>
          <w:rFonts w:ascii="Arial" w:hAnsi="Arial" w:cs="Times New Roman"/>
          <w:sz w:val="21"/>
        </w:rPr>
        <w:t>来对其现有各个大楼的安全与安保标准进行升级。这涉及把安全与安保标准提升到联合国总部最低</w:t>
      </w:r>
      <w:r w:rsidR="00074192" w:rsidRPr="003F5882">
        <w:rPr>
          <w:rFonts w:ascii="Arial" w:hAnsi="Arial" w:cs="Times New Roman" w:hint="eastAsia"/>
          <w:sz w:val="21"/>
        </w:rPr>
        <w:t>运作</w:t>
      </w:r>
      <w:r w:rsidRPr="003F5882">
        <w:rPr>
          <w:rFonts w:ascii="Arial" w:hAnsi="Arial" w:cs="Times New Roman"/>
          <w:sz w:val="21"/>
        </w:rPr>
        <w:t>安</w:t>
      </w:r>
      <w:r w:rsidR="00074192" w:rsidRPr="003F5882">
        <w:rPr>
          <w:rFonts w:ascii="Arial" w:hAnsi="Arial" w:cs="Times New Roman" w:hint="eastAsia"/>
          <w:sz w:val="21"/>
        </w:rPr>
        <w:t>保</w:t>
      </w:r>
      <w:r w:rsidRPr="003F5882">
        <w:rPr>
          <w:rFonts w:ascii="Arial" w:hAnsi="Arial" w:cs="Times New Roman"/>
          <w:sz w:val="21"/>
        </w:rPr>
        <w:t>标准</w:t>
      </w:r>
      <w:r w:rsidR="00F453AC" w:rsidRPr="003F5882">
        <w:rPr>
          <w:rFonts w:ascii="Arial" w:hAnsi="Arial" w:cs="Times New Roman" w:hint="eastAsia"/>
          <w:sz w:val="21"/>
        </w:rPr>
        <w:t>（</w:t>
      </w:r>
      <w:r w:rsidRPr="003F5882">
        <w:rPr>
          <w:rFonts w:ascii="Arial" w:hAnsi="Arial" w:cs="Times New Roman"/>
          <w:sz w:val="21"/>
        </w:rPr>
        <w:t>H-MOSS</w:t>
      </w:r>
      <w:r w:rsidR="00F453AC" w:rsidRPr="003F5882">
        <w:rPr>
          <w:rFonts w:ascii="Arial" w:hAnsi="Arial" w:cs="Times New Roman" w:hint="eastAsia"/>
          <w:sz w:val="21"/>
        </w:rPr>
        <w:t>）</w:t>
      </w:r>
      <w:r w:rsidRPr="003F5882">
        <w:rPr>
          <w:rFonts w:ascii="Arial" w:hAnsi="Arial" w:cs="Times New Roman"/>
          <w:sz w:val="21"/>
        </w:rPr>
        <w:t>。该项目包括构建一种安全参数</w:t>
      </w:r>
      <w:r w:rsidR="009B1044" w:rsidRPr="003F5882">
        <w:rPr>
          <w:rFonts w:ascii="Arial" w:hAnsi="Arial" w:cs="Times New Roman" w:hint="eastAsia"/>
          <w:sz w:val="21"/>
        </w:rPr>
        <w:t>、新的通道中心</w:t>
      </w:r>
      <w:r w:rsidRPr="003F5882">
        <w:rPr>
          <w:rFonts w:ascii="Arial" w:hAnsi="Arial" w:cs="Times New Roman"/>
          <w:sz w:val="21"/>
        </w:rPr>
        <w:t>和内部安全措施。本组织开展的此项施工工程的相关成本已经在2014年随着工程的进展而转化为资本，该工程有望在2015年上半年完工。该建筑项目已部分地得到国际组织办公楼基金会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所提供的资金支持。得到FIPOI供资的建筑工作已被作为在建工程转化为资本，相应的一部分金额也被作为递</w:t>
      </w:r>
      <w:proofErr w:type="gramStart"/>
      <w:r w:rsidRPr="003F5882">
        <w:rPr>
          <w:rFonts w:ascii="Arial" w:hAnsi="Arial" w:cs="Times New Roman"/>
          <w:sz w:val="21"/>
        </w:rPr>
        <w:t>延收入</w:t>
      </w:r>
      <w:proofErr w:type="gramEnd"/>
      <w:r w:rsidRPr="003F5882">
        <w:rPr>
          <w:rFonts w:ascii="Arial" w:hAnsi="Arial" w:cs="Times New Roman"/>
          <w:sz w:val="21"/>
        </w:rPr>
        <w:t>得到确认</w:t>
      </w:r>
      <w:r w:rsidR="00F453AC" w:rsidRPr="003F5882">
        <w:rPr>
          <w:rFonts w:ascii="Arial" w:hAnsi="Arial" w:cs="Times New Roman" w:hint="eastAsia"/>
          <w:sz w:val="21"/>
        </w:rPr>
        <w:t>（</w:t>
      </w:r>
      <w:r w:rsidRPr="003F5882">
        <w:rPr>
          <w:rFonts w:ascii="Arial" w:hAnsi="Arial" w:cs="Times New Roman"/>
          <w:sz w:val="21"/>
        </w:rPr>
        <w:t>见附注14</w:t>
      </w:r>
      <w:r w:rsidR="00F453AC" w:rsidRPr="003F5882">
        <w:rPr>
          <w:rFonts w:ascii="Arial" w:hAnsi="Arial" w:cs="Times New Roman" w:hint="eastAsia"/>
          <w:sz w:val="21"/>
        </w:rPr>
        <w:t>）</w:t>
      </w:r>
      <w:r w:rsidRPr="003F5882">
        <w:rPr>
          <w:rFonts w:ascii="Arial" w:hAnsi="Arial" w:cs="Times New Roman"/>
          <w:sz w:val="21"/>
        </w:rPr>
        <w:t>。</w:t>
      </w:r>
    </w:p>
    <w:p w:rsidR="006C0099" w:rsidRPr="003F5882" w:rsidRDefault="006C0099" w:rsidP="006C0099">
      <w:pPr>
        <w:pStyle w:val="Style3"/>
        <w:spacing w:after="0"/>
        <w:rPr>
          <w:rFonts w:ascii="Arial" w:hAnsi="Arial" w:cs="Times New Roman"/>
          <w:sz w:val="21"/>
        </w:rPr>
        <w:sectPr w:rsidR="006C0099" w:rsidRPr="003F5882" w:rsidSect="000E71F4">
          <w:headerReference w:type="default" r:id="rId68"/>
          <w:footerReference w:type="default" r:id="rId69"/>
          <w:pgSz w:w="11907" w:h="16840" w:code="9"/>
          <w:pgMar w:top="851" w:right="1247" w:bottom="1531" w:left="1247" w:header="709" w:footer="709" w:gutter="0"/>
          <w:cols w:space="708"/>
          <w:docGrid w:linePitch="360"/>
        </w:sectPr>
      </w:pP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2014年土地和建筑物变动情况：</w:t>
      </w:r>
    </w:p>
    <w:p w:rsidR="007D62CB" w:rsidRDefault="007D62CB" w:rsidP="006C0099">
      <w:pPr>
        <w:pStyle w:val="StyleHeading211ptNotBoldNotItalicAllcaps"/>
        <w:spacing w:before="0" w:after="0"/>
        <w:rPr>
          <w:rFonts w:ascii="Arial" w:eastAsia="SimHei" w:hAnsi="Arial" w:cs="Times New Roman"/>
          <w:b w:val="0"/>
          <w:sz w:val="21"/>
          <w:szCs w:val="22"/>
        </w:rPr>
      </w:pPr>
    </w:p>
    <w:p w:rsidR="007D62CB" w:rsidRDefault="00DA4636" w:rsidP="00DA4636">
      <w:pPr>
        <w:pStyle w:val="StyleHeading211ptNotBoldNotItalicAllcaps"/>
        <w:keepNext w:val="0"/>
        <w:spacing w:before="0" w:after="0"/>
        <w:ind w:right="49"/>
        <w:jc w:val="center"/>
        <w:rPr>
          <w:rFonts w:ascii="Arial" w:eastAsia="SimHei" w:hAnsi="Arial" w:cs="Times New Roman"/>
          <w:b w:val="0"/>
          <w:sz w:val="21"/>
        </w:rPr>
      </w:pPr>
      <w:r w:rsidRPr="00DA4636">
        <w:rPr>
          <w:rFonts w:eastAsia="SimHei"/>
          <w:noProof/>
          <w:lang w:val="en-US" w:bidi="ar-SA"/>
        </w:rPr>
        <w:drawing>
          <wp:inline distT="0" distB="0" distL="0" distR="0" wp14:anchorId="3F474B38" wp14:editId="2D1D83A1">
            <wp:extent cx="9575165" cy="4508896"/>
            <wp:effectExtent l="0" t="0" r="6985" b="635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75165" cy="4508896"/>
                    </a:xfrm>
                    <a:prstGeom prst="rect">
                      <a:avLst/>
                    </a:prstGeom>
                    <a:noFill/>
                    <a:ln>
                      <a:noFill/>
                    </a:ln>
                  </pic:spPr>
                </pic:pic>
              </a:graphicData>
            </a:graphic>
          </wp:inline>
        </w:drawing>
      </w:r>
    </w:p>
    <w:p w:rsidR="006C0099" w:rsidRPr="00F453AC" w:rsidRDefault="006C0099" w:rsidP="006C0099">
      <w:pPr>
        <w:pStyle w:val="StyleHeading211ptNotBoldNotItalicAllcaps"/>
        <w:spacing w:before="0" w:after="0"/>
        <w:rPr>
          <w:rFonts w:ascii="Arial" w:eastAsia="SimHei" w:hAnsi="Arial" w:cs="Times New Roman"/>
          <w:b w:val="0"/>
          <w:sz w:val="21"/>
        </w:rPr>
        <w:sectPr w:rsidR="006C0099" w:rsidRPr="00F453AC" w:rsidSect="000E71F4">
          <w:pgSz w:w="16840" w:h="11907" w:orient="landscape" w:code="9"/>
          <w:pgMar w:top="1247" w:right="910" w:bottom="1247" w:left="851" w:header="709" w:footer="709" w:gutter="0"/>
          <w:cols w:space="708"/>
          <w:docGrid w:linePitch="360"/>
        </w:sectPr>
      </w:pP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之前的2013年土地和建筑物变动情况：</w:t>
      </w:r>
    </w:p>
    <w:p w:rsidR="007D62CB" w:rsidRDefault="006F16A3" w:rsidP="006F16A3">
      <w:pPr>
        <w:pStyle w:val="StyleHeading211ptNotBoldNotItalicAllcaps"/>
        <w:keepNext w:val="0"/>
        <w:spacing w:before="0" w:after="0"/>
        <w:jc w:val="center"/>
        <w:rPr>
          <w:rFonts w:ascii="Arial" w:eastAsia="SimHei" w:hAnsi="Arial" w:cs="Times New Roman"/>
          <w:b w:val="0"/>
          <w:sz w:val="21"/>
          <w:szCs w:val="22"/>
        </w:rPr>
      </w:pPr>
      <w:r w:rsidRPr="006F16A3">
        <w:rPr>
          <w:rFonts w:eastAsia="SimHei"/>
          <w:noProof/>
          <w:lang w:val="en-US" w:bidi="ar-SA"/>
        </w:rPr>
        <w:drawing>
          <wp:inline distT="0" distB="0" distL="0" distR="0" wp14:anchorId="351A64EA" wp14:editId="509E25F8">
            <wp:extent cx="9575165" cy="4259355"/>
            <wp:effectExtent l="0" t="0" r="6985"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75165" cy="4259355"/>
                    </a:xfrm>
                    <a:prstGeom prst="rect">
                      <a:avLst/>
                    </a:prstGeom>
                    <a:noFill/>
                    <a:ln>
                      <a:noFill/>
                    </a:ln>
                  </pic:spPr>
                </pic:pic>
              </a:graphicData>
            </a:graphic>
          </wp:inline>
        </w:drawing>
      </w:r>
    </w:p>
    <w:p w:rsidR="007D62CB" w:rsidRDefault="007D62CB" w:rsidP="006F16A3">
      <w:pPr>
        <w:pStyle w:val="StyleHeading211ptNotBoldNotItalicAllcaps"/>
        <w:keepNext w:val="0"/>
        <w:spacing w:before="0" w:after="0"/>
        <w:rPr>
          <w:rFonts w:ascii="Arial" w:eastAsia="SimHei" w:hAnsi="Arial" w:cs="Times New Roman"/>
          <w:b w:val="0"/>
          <w:sz w:val="21"/>
          <w:szCs w:val="22"/>
        </w:rPr>
      </w:pPr>
    </w:p>
    <w:p w:rsidR="006C0099" w:rsidRPr="00F453AC" w:rsidRDefault="006C0099" w:rsidP="006F16A3">
      <w:pPr>
        <w:pStyle w:val="StyleHeading211ptNotBoldNotItalicAllcaps"/>
        <w:keepNext w:val="0"/>
        <w:spacing w:before="0" w:after="0"/>
        <w:rPr>
          <w:rFonts w:ascii="Arial" w:eastAsia="SimHei" w:hAnsi="Arial" w:cs="Times New Roman"/>
          <w:b w:val="0"/>
          <w:sz w:val="21"/>
          <w:szCs w:val="22"/>
        </w:rPr>
      </w:pPr>
    </w:p>
    <w:p w:rsidR="006C0099" w:rsidRPr="00F453AC" w:rsidRDefault="006C0099" w:rsidP="006F16A3">
      <w:pPr>
        <w:pStyle w:val="StyleHeading211ptNotBoldNotItalicAllcaps"/>
        <w:keepNext w:val="0"/>
        <w:rPr>
          <w:rFonts w:ascii="Arial" w:eastAsia="SimHei" w:hAnsi="Arial" w:cs="Times New Roman"/>
          <w:b w:val="0"/>
          <w:sz w:val="20"/>
          <w:szCs w:val="20"/>
        </w:rPr>
        <w:sectPr w:rsidR="006C0099" w:rsidRPr="00F453AC" w:rsidSect="000E71F4">
          <w:pgSz w:w="16840" w:h="11907" w:orient="landscape" w:code="9"/>
          <w:pgMar w:top="1247" w:right="910" w:bottom="1247" w:left="851" w:header="709" w:footer="709" w:gutter="0"/>
          <w:cols w:space="708"/>
          <w:docGrid w:linePitch="360"/>
        </w:sectPr>
      </w:pP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附注10：</w:t>
      </w:r>
      <w:r w:rsidRPr="00F453AC">
        <w:rPr>
          <w:rFonts w:ascii="Arial" w:eastAsia="SimHei" w:hAnsi="Arial" w:cs="Times New Roman"/>
          <w:b w:val="0"/>
          <w:sz w:val="21"/>
        </w:rPr>
        <w:tab/>
        <w:t>其他非流动资产</w:t>
      </w:r>
    </w:p>
    <w:p w:rsidR="006C0099" w:rsidRPr="003F5882" w:rsidRDefault="006F16A3" w:rsidP="006F16A3">
      <w:pPr>
        <w:pStyle w:val="Style3"/>
        <w:spacing w:afterLines="50"/>
        <w:jc w:val="center"/>
        <w:rPr>
          <w:rFonts w:ascii="Arial" w:hAnsi="Arial" w:cs="Times New Roman"/>
          <w:sz w:val="20"/>
        </w:rPr>
      </w:pPr>
      <w:r w:rsidRPr="006F16A3">
        <w:rPr>
          <w:noProof/>
          <w:lang w:val="en-US" w:bidi="ar-SA"/>
        </w:rPr>
        <w:drawing>
          <wp:inline distT="0" distB="0" distL="0" distR="0">
            <wp:extent cx="5736590" cy="136271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6590" cy="136271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1991年，本组织与日内瓦基金国际中心</w:t>
      </w:r>
      <w:r w:rsidR="00F453AC" w:rsidRPr="003F5882">
        <w:rPr>
          <w:rFonts w:ascii="Arial" w:hAnsi="Arial" w:cs="Times New Roman" w:hint="eastAsia"/>
          <w:sz w:val="21"/>
        </w:rPr>
        <w:t>（</w:t>
      </w:r>
      <w:r w:rsidRPr="003F5882">
        <w:rPr>
          <w:rFonts w:ascii="Arial" w:hAnsi="Arial" w:cs="Times New Roman"/>
          <w:sz w:val="21"/>
        </w:rPr>
        <w:t>FCIG</w:t>
      </w:r>
      <w:r w:rsidR="00F453AC" w:rsidRPr="003F5882">
        <w:rPr>
          <w:rFonts w:ascii="Arial" w:hAnsi="Arial" w:cs="Times New Roman" w:hint="eastAsia"/>
          <w:sz w:val="21"/>
        </w:rPr>
        <w:t>）</w:t>
      </w:r>
      <w:r w:rsidRPr="003F5882">
        <w:rPr>
          <w:rFonts w:ascii="Arial" w:hAnsi="Arial" w:cs="Times New Roman"/>
          <w:sz w:val="21"/>
        </w:rPr>
        <w:t>就瑞士日内瓦Morillons街的一幢办公楼的建筑事宜以总成本2,040</w:t>
      </w:r>
      <w:proofErr w:type="gramStart"/>
      <w:r w:rsidRPr="003F5882">
        <w:rPr>
          <w:rFonts w:ascii="Arial" w:hAnsi="Arial" w:cs="Times New Roman"/>
          <w:sz w:val="21"/>
        </w:rPr>
        <w:t>万瑞郎达成</w:t>
      </w:r>
      <w:proofErr w:type="gramEnd"/>
      <w:r w:rsidRPr="003F5882">
        <w:rPr>
          <w:rFonts w:ascii="Arial" w:hAnsi="Arial" w:cs="Times New Roman"/>
          <w:sz w:val="21"/>
        </w:rPr>
        <w:t>一项协定。该协定规定</w:t>
      </w:r>
      <w:r w:rsidR="001A0441" w:rsidRPr="003F5882">
        <w:rPr>
          <w:rFonts w:ascii="Arial" w:hAnsi="Arial" w:cs="Times New Roman" w:hint="eastAsia"/>
          <w:sz w:val="21"/>
        </w:rPr>
        <w:t>，</w:t>
      </w:r>
      <w:r w:rsidRPr="003F5882">
        <w:rPr>
          <w:rFonts w:ascii="Arial" w:hAnsi="Arial" w:cs="Times New Roman"/>
          <w:sz w:val="21"/>
        </w:rPr>
        <w:t>本组织提前支付初始款项1,000万瑞郎，加上初始预付款利息100万瑞郎，总计1,100万瑞郎。建筑成本余额由FCIG和日内瓦州立银行之间的按揭贷款承担。本组织还与FCIG达成了租赁其大楼的一项协议。租赁协议从2012年1月1日起续期7年。</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根据本组织和FCIG之间签订的租赁协议，双方都有权在任何时候通过双方书面同意来终止协议。WIPO每年支付的租金数额相当于FCIG向日内瓦州立银行按揭借贷每年应偿还的数额</w:t>
      </w:r>
      <w:r w:rsidR="00F453AC" w:rsidRPr="003F5882">
        <w:rPr>
          <w:rFonts w:ascii="Arial" w:hAnsi="Arial" w:cs="Times New Roman" w:hint="eastAsia"/>
          <w:sz w:val="21"/>
        </w:rPr>
        <w:t>（</w:t>
      </w:r>
      <w:r w:rsidRPr="003F5882">
        <w:rPr>
          <w:rFonts w:ascii="Arial" w:hAnsi="Arial" w:cs="Times New Roman"/>
          <w:sz w:val="21"/>
        </w:rPr>
        <w:t>利息加上本金</w:t>
      </w:r>
      <w:r w:rsidR="00F453AC" w:rsidRPr="003F5882">
        <w:rPr>
          <w:rFonts w:ascii="Arial" w:hAnsi="Arial" w:cs="Times New Roman" w:hint="eastAsia"/>
          <w:sz w:val="21"/>
        </w:rPr>
        <w:t>）</w:t>
      </w:r>
      <w:r w:rsidRPr="003F5882">
        <w:rPr>
          <w:rFonts w:ascii="Arial" w:hAnsi="Arial" w:cs="Times New Roman"/>
          <w:sz w:val="21"/>
        </w:rPr>
        <w:t>。2014年期间，WIPO据此所支付的租金共计234,124瑞郎</w:t>
      </w:r>
      <w:r w:rsidR="00F453AC" w:rsidRPr="003F5882">
        <w:rPr>
          <w:rFonts w:ascii="Arial" w:hAnsi="Arial" w:cs="Times New Roman" w:hint="eastAsia"/>
          <w:sz w:val="21"/>
        </w:rPr>
        <w:t>（</w:t>
      </w:r>
      <w:r w:rsidRPr="003F5882">
        <w:rPr>
          <w:rFonts w:ascii="Arial" w:hAnsi="Arial" w:cs="Times New Roman"/>
          <w:sz w:val="21"/>
        </w:rPr>
        <w:t>2013年期间为235,709瑞郎</w:t>
      </w:r>
      <w:r w:rsidR="00F453AC" w:rsidRPr="003F5882">
        <w:rPr>
          <w:rFonts w:ascii="Arial" w:hAnsi="Arial" w:cs="Times New Roman" w:hint="eastAsia"/>
          <w:sz w:val="21"/>
        </w:rPr>
        <w:t>）</w:t>
      </w:r>
      <w:r w:rsidRPr="003F5882">
        <w:rPr>
          <w:rFonts w:ascii="Arial" w:hAnsi="Arial" w:cs="Times New Roman"/>
          <w:sz w:val="21"/>
        </w:rPr>
        <w:t>。当前利率为1.48%，将执行到2018年12月31日。自2012年1月1日起，WIPO还确认了针对其向FCIG支付的预付款的年度摊销额188,679瑞郎。此外，本组织还以每年148,452瑞郎租赁停车位。在没有相互终止租赁协定时，WIPO未来在2018年租赁结束前的支付项目</w:t>
      </w:r>
      <w:r w:rsidR="00F453AC" w:rsidRPr="003F5882">
        <w:rPr>
          <w:rFonts w:ascii="Arial" w:hAnsi="Arial" w:cs="Times New Roman"/>
          <w:sz w:val="21"/>
        </w:rPr>
        <w:t>（</w:t>
      </w:r>
      <w:r w:rsidRPr="003F5882">
        <w:rPr>
          <w:rFonts w:ascii="Arial" w:hAnsi="Arial" w:cs="Times New Roman"/>
          <w:sz w:val="21"/>
        </w:rPr>
        <w:t>包括</w:t>
      </w:r>
      <w:r w:rsidR="00885AC6" w:rsidRPr="003F5882">
        <w:rPr>
          <w:rFonts w:ascii="Arial" w:hAnsi="Arial" w:cs="Times New Roman" w:hint="eastAsia"/>
          <w:sz w:val="21"/>
        </w:rPr>
        <w:t>按揭还款</w:t>
      </w:r>
      <w:r w:rsidRPr="003F5882">
        <w:rPr>
          <w:rFonts w:ascii="Arial" w:hAnsi="Arial" w:cs="Times New Roman"/>
          <w:sz w:val="21"/>
        </w:rPr>
        <w:t>、预付款摊销和停车位租金</w:t>
      </w:r>
      <w:r w:rsidR="00F453AC" w:rsidRPr="003F5882">
        <w:rPr>
          <w:rFonts w:ascii="Arial" w:hAnsi="Arial" w:cs="Times New Roman"/>
          <w:sz w:val="21"/>
        </w:rPr>
        <w:t>）</w:t>
      </w:r>
      <w:r w:rsidRPr="003F5882">
        <w:rPr>
          <w:rFonts w:ascii="Arial" w:hAnsi="Arial" w:cs="Times New Roman"/>
          <w:sz w:val="21"/>
        </w:rPr>
        <w:t>如下：</w:t>
      </w:r>
    </w:p>
    <w:p w:rsidR="006C0099" w:rsidRPr="003F5882" w:rsidRDefault="006F16A3" w:rsidP="006F16A3">
      <w:pPr>
        <w:pStyle w:val="Style3"/>
        <w:spacing w:after="0"/>
        <w:jc w:val="center"/>
        <w:rPr>
          <w:rFonts w:ascii="Arial" w:hAnsi="Arial" w:cs="Times New Roman"/>
          <w:sz w:val="21"/>
        </w:rPr>
      </w:pPr>
      <w:r w:rsidRPr="006F16A3">
        <w:rPr>
          <w:noProof/>
          <w:lang w:val="en-US" w:bidi="ar-SA"/>
        </w:rPr>
        <w:drawing>
          <wp:inline distT="0" distB="0" distL="0" distR="0">
            <wp:extent cx="5581015" cy="1242060"/>
            <wp:effectExtent l="0" t="0" r="635"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1015" cy="124206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在腾空楼宇时，将偿还WIPO摊销后的预付款余额1,100</w:t>
      </w:r>
      <w:proofErr w:type="gramStart"/>
      <w:r w:rsidRPr="003F5882">
        <w:rPr>
          <w:rFonts w:ascii="Arial" w:hAnsi="Arial" w:cs="Times New Roman"/>
          <w:sz w:val="21"/>
        </w:rPr>
        <w:t>万瑞</w:t>
      </w:r>
      <w:proofErr w:type="gramEnd"/>
      <w:r w:rsidRPr="003F5882">
        <w:rPr>
          <w:rFonts w:ascii="Arial" w:hAnsi="Arial" w:cs="Times New Roman"/>
          <w:sz w:val="21"/>
        </w:rPr>
        <w:t>郎。预付款中剩余的100</w:t>
      </w:r>
      <w:proofErr w:type="gramStart"/>
      <w:r w:rsidRPr="003F5882">
        <w:rPr>
          <w:rFonts w:ascii="Arial" w:hAnsi="Arial" w:cs="Times New Roman"/>
          <w:sz w:val="21"/>
        </w:rPr>
        <w:t>万瑞</w:t>
      </w:r>
      <w:proofErr w:type="gramEnd"/>
      <w:r w:rsidRPr="003F5882">
        <w:rPr>
          <w:rFonts w:ascii="Arial" w:hAnsi="Arial" w:cs="Times New Roman"/>
          <w:sz w:val="21"/>
        </w:rPr>
        <w:t>郎将由FCIG持有，用以将楼宇复还为其原始状态。</w:t>
      </w:r>
    </w:p>
    <w:p w:rsidR="007D62CB" w:rsidRDefault="006C0099" w:rsidP="007D62CB">
      <w:pPr>
        <w:pStyle w:val="Style3"/>
        <w:spacing w:afterLines="50" w:line="340" w:lineRule="atLeast"/>
        <w:rPr>
          <w:rFonts w:ascii="Arial" w:eastAsia="SimHei" w:hAnsi="Arial" w:cs="Times New Roman"/>
          <w:sz w:val="21"/>
          <w:szCs w:val="22"/>
        </w:rPr>
      </w:pPr>
      <w:r w:rsidRPr="003F5882">
        <w:rPr>
          <w:rFonts w:ascii="Arial" w:hAnsi="Arial" w:cs="Times New Roman"/>
          <w:sz w:val="21"/>
        </w:rPr>
        <w:t>为方便在财务报表中呈现，摊销总值被视为预付租金，并分为流动性部分</w:t>
      </w:r>
      <w:r w:rsidR="00F453AC" w:rsidRPr="003F5882">
        <w:rPr>
          <w:rFonts w:ascii="Arial" w:hAnsi="Arial" w:cs="Times New Roman" w:hint="eastAsia"/>
          <w:sz w:val="21"/>
        </w:rPr>
        <w:t>（</w:t>
      </w:r>
      <w:r w:rsidRPr="003F5882">
        <w:rPr>
          <w:rFonts w:ascii="Arial" w:hAnsi="Arial" w:cs="Times New Roman"/>
          <w:sz w:val="21"/>
        </w:rPr>
        <w:t>见附注4</w:t>
      </w:r>
      <w:r w:rsidR="00F453AC" w:rsidRPr="003F5882">
        <w:rPr>
          <w:rFonts w:ascii="Arial" w:hAnsi="Arial" w:cs="Times New Roman" w:hint="eastAsia"/>
          <w:sz w:val="21"/>
        </w:rPr>
        <w:t>）</w:t>
      </w:r>
      <w:r w:rsidRPr="003F5882">
        <w:rPr>
          <w:rFonts w:ascii="Arial" w:hAnsi="Arial" w:cs="Times New Roman"/>
          <w:sz w:val="21"/>
        </w:rPr>
        <w:t>和非流动性部分。截至2014年12月31日，该笔预付款总值为80万瑞郎。根据IPSAS，WIPO向FCIG支付的预付款余额的剩余部分被视为优惠贷款，按折余成本计量。优惠贷款中的免息部分也记为预付款，并分为流动性部分</w:t>
      </w:r>
      <w:r w:rsidR="00F453AC" w:rsidRPr="003F5882">
        <w:rPr>
          <w:rFonts w:ascii="Arial" w:hAnsi="Arial" w:cs="Times New Roman" w:hint="eastAsia"/>
          <w:sz w:val="21"/>
        </w:rPr>
        <w:t>（</w:t>
      </w:r>
      <w:r w:rsidRPr="003F5882">
        <w:rPr>
          <w:rFonts w:ascii="Arial" w:hAnsi="Arial" w:cs="Times New Roman"/>
          <w:sz w:val="21"/>
        </w:rPr>
        <w:t>见附注4</w:t>
      </w:r>
      <w:r w:rsidR="00F453AC" w:rsidRPr="003F5882">
        <w:rPr>
          <w:rFonts w:ascii="Arial" w:hAnsi="Arial" w:cs="Times New Roman" w:hint="eastAsia"/>
          <w:sz w:val="21"/>
        </w:rPr>
        <w:t>）</w:t>
      </w:r>
      <w:r w:rsidRPr="003F5882">
        <w:rPr>
          <w:rFonts w:ascii="Arial" w:hAnsi="Arial" w:cs="Times New Roman"/>
          <w:sz w:val="21"/>
        </w:rPr>
        <w:t>和非流动性部分。该笔预付款在租赁协议期内不断减少，截至2014年12月31日，预付款总值为50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附注11：</w:t>
      </w:r>
      <w:r w:rsidRPr="00F453AC">
        <w:rPr>
          <w:rFonts w:ascii="Arial" w:eastAsia="SimHei" w:hAnsi="Arial" w:cs="Times New Roman"/>
          <w:b w:val="0"/>
          <w:sz w:val="21"/>
        </w:rPr>
        <w:tab/>
        <w:t>应付</w:t>
      </w:r>
      <w:r w:rsidR="007B51AD" w:rsidRPr="00F453AC">
        <w:rPr>
          <w:rFonts w:ascii="Arial" w:eastAsia="SimHei" w:hAnsi="Arial" w:cs="Times New Roman"/>
          <w:b w:val="0"/>
          <w:sz w:val="21"/>
        </w:rPr>
        <w:t>账</w:t>
      </w:r>
      <w:r w:rsidRPr="00F453AC">
        <w:rPr>
          <w:rFonts w:ascii="Arial" w:eastAsia="SimHei" w:hAnsi="Arial" w:cs="Times New Roman"/>
          <w:b w:val="0"/>
          <w:sz w:val="21"/>
        </w:rPr>
        <w:t>款</w:t>
      </w:r>
    </w:p>
    <w:p w:rsidR="006C0099" w:rsidRPr="003F5882" w:rsidRDefault="006F16A3" w:rsidP="006C0099">
      <w:pPr>
        <w:jc w:val="center"/>
        <w:rPr>
          <w:rFonts w:ascii="Arial" w:hAnsi="Arial" w:cs="Times New Roman"/>
          <w:sz w:val="20"/>
          <w:szCs w:val="20"/>
        </w:rPr>
      </w:pPr>
      <w:r w:rsidRPr="006F16A3">
        <w:rPr>
          <w:noProof/>
          <w:lang w:val="en-US" w:bidi="ar-SA"/>
        </w:rPr>
        <w:drawing>
          <wp:inline distT="0" distB="0" distL="0" distR="0">
            <wp:extent cx="5736590" cy="1345565"/>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6590" cy="134556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应付账款包括从供应商那里收取但尚未结账的发票，其中包括以瑞郎之外的货币计价的应付发票重估数值。</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t>附注12：</w:t>
      </w:r>
      <w:r w:rsidRPr="00F453AC">
        <w:rPr>
          <w:rFonts w:ascii="Arial" w:eastAsia="SimHei" w:hAnsi="Arial" w:cs="Times New Roman"/>
          <w:b w:val="0"/>
          <w:sz w:val="21"/>
        </w:rPr>
        <w:tab/>
        <w:t>雇员福利</w:t>
      </w:r>
    </w:p>
    <w:p w:rsidR="006C0099" w:rsidRPr="00F453AC" w:rsidRDefault="006F16A3" w:rsidP="006F16A3">
      <w:pPr>
        <w:pStyle w:val="STYLETITRENOTES"/>
        <w:spacing w:afterLines="50" w:after="120"/>
        <w:jc w:val="center"/>
        <w:rPr>
          <w:rFonts w:ascii="Arial" w:eastAsia="SimHei" w:hAnsi="Arial" w:cs="Times New Roman"/>
          <w:b w:val="0"/>
          <w:sz w:val="21"/>
          <w:szCs w:val="22"/>
        </w:rPr>
      </w:pPr>
      <w:r w:rsidRPr="006F16A3">
        <w:rPr>
          <w:noProof/>
          <w:lang w:val="en-US" w:bidi="ar-SA"/>
        </w:rPr>
        <w:drawing>
          <wp:inline distT="0" distB="0" distL="0" distR="0">
            <wp:extent cx="5736590" cy="3674745"/>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6590" cy="3674745"/>
                    </a:xfrm>
                    <a:prstGeom prst="rect">
                      <a:avLst/>
                    </a:prstGeom>
                    <a:noFill/>
                    <a:ln>
                      <a:noFill/>
                    </a:ln>
                  </pic:spPr>
                </pic:pic>
              </a:graphicData>
            </a:graphic>
          </wp:inline>
        </w:drawing>
      </w:r>
    </w:p>
    <w:p w:rsidR="007D62CB" w:rsidRDefault="006C0099" w:rsidP="006C0099">
      <w:pPr>
        <w:pStyle w:val="Style3"/>
        <w:spacing w:after="0"/>
        <w:rPr>
          <w:rFonts w:ascii="Arial" w:hAnsi="Arial" w:cs="Times New Roman"/>
          <w:sz w:val="21"/>
        </w:rPr>
      </w:pPr>
      <w:r w:rsidRPr="003F5882">
        <w:rPr>
          <w:rFonts w:ascii="Arial" w:hAnsi="Arial" w:cs="Times New Roman"/>
          <w:sz w:val="21"/>
        </w:rPr>
        <w:t>雇员福利包括：</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i/>
          <w:sz w:val="21"/>
        </w:rPr>
        <w:t>短期</w:t>
      </w:r>
      <w:r w:rsidR="00362309" w:rsidRPr="00DA4636">
        <w:rPr>
          <w:rFonts w:ascii="Arial" w:eastAsia="KaiTi" w:hAnsi="Arial" w:cs="Times New Roman" w:hint="eastAsia"/>
          <w:i/>
          <w:sz w:val="21"/>
        </w:rPr>
        <w:t>雇员</w:t>
      </w:r>
      <w:r w:rsidRPr="00DA4636">
        <w:rPr>
          <w:rFonts w:ascii="Arial" w:eastAsia="KaiTi" w:hAnsi="Arial" w:cs="Times New Roman"/>
          <w:i/>
          <w:sz w:val="21"/>
        </w:rPr>
        <w:t>福利</w:t>
      </w:r>
      <w:r w:rsidRPr="003F5882">
        <w:rPr>
          <w:rFonts w:ascii="Arial" w:hAnsi="Arial" w:cs="Times New Roman"/>
          <w:sz w:val="21"/>
        </w:rPr>
        <w:t>，包括薪水、津贴、初次分配工作津贴、受抚养子女教育津贴、带薪年假、带薪病假、事故和人寿保险</w:t>
      </w:r>
      <w:r w:rsidR="00362309" w:rsidRPr="003F5882">
        <w:rPr>
          <w:rFonts w:ascii="Arial" w:hAnsi="Arial" w:cs="Times New Roman" w:hint="eastAsia"/>
          <w:sz w:val="21"/>
        </w:rPr>
        <w:t>；</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i/>
          <w:sz w:val="21"/>
        </w:rPr>
        <w:t>离职后福利</w:t>
      </w:r>
      <w:r w:rsidRPr="003F5882">
        <w:rPr>
          <w:rFonts w:ascii="Arial" w:hAnsi="Arial" w:cs="Times New Roman"/>
          <w:sz w:val="21"/>
        </w:rPr>
        <w:t>，包括由回国补助金、回国差旅和私人物品装运和离职后健康保险</w:t>
      </w:r>
      <w:r w:rsidR="00F453AC" w:rsidRPr="003F5882">
        <w:rPr>
          <w:rFonts w:ascii="Arial" w:hAnsi="Arial" w:cs="Times New Roman"/>
          <w:sz w:val="21"/>
        </w:rPr>
        <w:t>（</w:t>
      </w:r>
      <w:r w:rsidRPr="003F5882">
        <w:rPr>
          <w:rFonts w:ascii="Arial" w:hAnsi="Arial" w:cs="Times New Roman"/>
          <w:sz w:val="21"/>
        </w:rPr>
        <w:t>ASHI</w:t>
      </w:r>
      <w:r w:rsidR="00F453AC" w:rsidRPr="003F5882">
        <w:rPr>
          <w:rFonts w:ascii="Arial" w:hAnsi="Arial" w:cs="Times New Roman"/>
          <w:sz w:val="21"/>
        </w:rPr>
        <w:t>）</w:t>
      </w:r>
      <w:r w:rsidRPr="003F5882">
        <w:rPr>
          <w:rFonts w:ascii="Arial" w:hAnsi="Arial" w:cs="Times New Roman"/>
          <w:sz w:val="21"/>
        </w:rPr>
        <w:t>组成的离职福利</w:t>
      </w:r>
      <w:r w:rsidR="00362309" w:rsidRPr="003F5882">
        <w:rPr>
          <w:rFonts w:ascii="Arial" w:hAnsi="Arial" w:cs="Times New Roman" w:hint="eastAsia"/>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i/>
          <w:sz w:val="21"/>
        </w:rPr>
        <w:t>终止津贴</w:t>
      </w:r>
      <w:r w:rsidRPr="003F5882">
        <w:rPr>
          <w:rFonts w:ascii="Arial" w:hAnsi="Arial" w:cs="Times New Roman"/>
          <w:sz w:val="21"/>
        </w:rPr>
        <w:t>，包括向持有长期或固定任期合同而其任期已在合同终止前由本组织终止的工作人员支付的赔偿金。</w:t>
      </w:r>
    </w:p>
    <w:p w:rsidR="007D62CB" w:rsidRPr="003374D7" w:rsidRDefault="006C0099" w:rsidP="003374D7">
      <w:pPr>
        <w:pStyle w:val="Style3Bold"/>
        <w:keepNext/>
        <w:spacing w:afterLines="50" w:line="340" w:lineRule="atLeast"/>
        <w:rPr>
          <w:rFonts w:eastAsia="SimSun" w:cs="Times New Roman"/>
          <w:sz w:val="21"/>
        </w:rPr>
      </w:pPr>
      <w:r w:rsidRPr="003374D7">
        <w:rPr>
          <w:rFonts w:eastAsia="SimSun" w:cs="Times New Roman"/>
          <w:sz w:val="21"/>
        </w:rPr>
        <w:t>短期雇员福利</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本组织还确认了以下短期</w:t>
      </w:r>
      <w:r w:rsidR="000C1F8F" w:rsidRPr="003F5882">
        <w:rPr>
          <w:rFonts w:ascii="Arial" w:hAnsi="Arial" w:cs="Times New Roman" w:hint="eastAsia"/>
          <w:sz w:val="21"/>
        </w:rPr>
        <w:t>福利</w:t>
      </w:r>
      <w:r w:rsidRPr="003F5882">
        <w:rPr>
          <w:rFonts w:ascii="Arial" w:hAnsi="Arial" w:cs="Times New Roman"/>
          <w:sz w:val="21"/>
        </w:rPr>
        <w:t>义务，其价值以报告日应向每一工作人员支付的金额为准。</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lastRenderedPageBreak/>
        <w:t>累计假期</w:t>
      </w:r>
      <w:r w:rsidRPr="003F5882">
        <w:rPr>
          <w:rFonts w:ascii="Arial" w:hAnsi="Arial" w:cs="Times New Roman"/>
          <w:sz w:val="21"/>
        </w:rPr>
        <w:t>：工作人员享有30天年假。根据《工作人员条例和规则》</w:t>
      </w:r>
      <w:r w:rsidR="00F453AC" w:rsidRPr="003F5882">
        <w:rPr>
          <w:rFonts w:ascii="Arial" w:hAnsi="Arial" w:cs="Times New Roman" w:hint="eastAsia"/>
          <w:sz w:val="21"/>
        </w:rPr>
        <w:t>（</w:t>
      </w:r>
      <w:r w:rsidR="001D4FAE" w:rsidRPr="003F5882">
        <w:rPr>
          <w:rFonts w:ascii="Arial" w:hAnsi="Arial" w:cs="Times New Roman"/>
          <w:sz w:val="21"/>
        </w:rPr>
        <w:t>SRR</w:t>
      </w:r>
      <w:r w:rsidR="00F453AC" w:rsidRPr="003F5882">
        <w:rPr>
          <w:rFonts w:ascii="Arial" w:hAnsi="Arial" w:cs="Times New Roman" w:hint="eastAsia"/>
          <w:sz w:val="21"/>
        </w:rPr>
        <w:t>）</w:t>
      </w:r>
      <w:r w:rsidRPr="003F5882">
        <w:rPr>
          <w:rFonts w:ascii="Arial" w:hAnsi="Arial" w:cs="Times New Roman"/>
          <w:sz w:val="21"/>
        </w:rPr>
        <w:t>，工作人员可以将至多15天的年假累积到给定的某一年，共可累计60天。但是，在2013年1月1日前累计年假超过60天的工作人员有权保留这些年假到2018年1月1日。尽管年假是一种短期雇员福利，但是工作人员有权累计未使用的年假并在离职时收取款项代替未使用的年假</w:t>
      </w:r>
      <w:r w:rsidR="007656B8" w:rsidRPr="003F5882">
        <w:rPr>
          <w:rFonts w:ascii="Arial" w:hAnsi="Arial" w:cs="Times New Roman" w:hint="eastAsia"/>
          <w:sz w:val="21"/>
        </w:rPr>
        <w:t>，</w:t>
      </w:r>
      <w:r w:rsidRPr="003F5882">
        <w:rPr>
          <w:rFonts w:ascii="Arial" w:hAnsi="Arial" w:cs="Times New Roman"/>
          <w:sz w:val="21"/>
        </w:rPr>
        <w:t>因此累计的假期被归类为非流动负债。报告日的</w:t>
      </w:r>
      <w:proofErr w:type="gramStart"/>
      <w:r w:rsidRPr="003F5882">
        <w:rPr>
          <w:rFonts w:ascii="Arial" w:hAnsi="Arial" w:cs="Times New Roman"/>
          <w:sz w:val="21"/>
        </w:rPr>
        <w:t>未偿</w:t>
      </w:r>
      <w:proofErr w:type="gramEnd"/>
      <w:r w:rsidRPr="003F5882">
        <w:rPr>
          <w:rFonts w:ascii="Arial" w:hAnsi="Arial" w:cs="Times New Roman"/>
          <w:sz w:val="21"/>
        </w:rPr>
        <w:t>债务总额为1,290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2013年12月31日为1,220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回籍假</w:t>
      </w:r>
      <w:r w:rsidRPr="003F5882">
        <w:rPr>
          <w:rFonts w:ascii="Arial" w:hAnsi="Arial" w:cs="Times New Roman"/>
          <w:sz w:val="21"/>
        </w:rPr>
        <w:t>：国际征募工作人员本人和家属每隔一年享有返回其应征国家的回籍假。在报告日应得却未休的回籍假</w:t>
      </w:r>
      <w:proofErr w:type="gramStart"/>
      <w:r w:rsidRPr="003F5882">
        <w:rPr>
          <w:rFonts w:ascii="Arial" w:hAnsi="Arial" w:cs="Times New Roman"/>
          <w:sz w:val="21"/>
        </w:rPr>
        <w:t>未偿</w:t>
      </w:r>
      <w:proofErr w:type="gramEnd"/>
      <w:r w:rsidRPr="003F5882">
        <w:rPr>
          <w:rFonts w:ascii="Arial" w:hAnsi="Arial" w:cs="Times New Roman"/>
          <w:sz w:val="21"/>
        </w:rPr>
        <w:t>债务总额为50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2013年12月31日为50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b/>
          <w:i/>
          <w:sz w:val="21"/>
        </w:rPr>
        <w:t>加班</w:t>
      </w:r>
      <w:r w:rsidRPr="003F5882">
        <w:rPr>
          <w:rFonts w:ascii="Arial" w:hAnsi="Arial" w:cs="Times New Roman"/>
          <w:sz w:val="21"/>
        </w:rPr>
        <w:t>：某些工作人员在《工作人员条例与细则》确定的期限到期之后加班可以获得现金支付。报告日应付金额共计50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2013年12月31日为80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b/>
          <w:i/>
          <w:sz w:val="21"/>
        </w:rPr>
        <w:t>教育补助金</w:t>
      </w:r>
      <w:r w:rsidRPr="003F5882">
        <w:rPr>
          <w:rFonts w:ascii="Arial" w:hAnsi="Arial" w:cs="Times New Roman"/>
          <w:sz w:val="21"/>
        </w:rPr>
        <w:t>：国际工作人员，居住在其本国的除外，均可领取一笔补助金，</w:t>
      </w:r>
      <w:r w:rsidR="00D36BCD" w:rsidRPr="003F5882">
        <w:rPr>
          <w:rFonts w:ascii="Arial" w:hAnsi="Arial" w:cs="Times New Roman" w:hint="eastAsia"/>
          <w:sz w:val="21"/>
        </w:rPr>
        <w:t>用</w:t>
      </w:r>
      <w:r w:rsidRPr="003F5882">
        <w:rPr>
          <w:rFonts w:ascii="Arial" w:hAnsi="Arial" w:cs="Times New Roman"/>
          <w:sz w:val="21"/>
        </w:rPr>
        <w:t>以支付受抚养子女</w:t>
      </w:r>
      <w:r w:rsidR="00D36BCD" w:rsidRPr="003F5882">
        <w:rPr>
          <w:rFonts w:ascii="Arial" w:hAnsi="Arial" w:cs="Times New Roman"/>
          <w:sz w:val="21"/>
        </w:rPr>
        <w:t>75.0%的</w:t>
      </w:r>
      <w:r w:rsidRPr="003F5882">
        <w:rPr>
          <w:rFonts w:ascii="Arial" w:hAnsi="Arial" w:cs="Times New Roman"/>
          <w:sz w:val="21"/>
        </w:rPr>
        <w:t>教育费，</w:t>
      </w:r>
      <w:r w:rsidR="000C712F" w:rsidRPr="003F5882">
        <w:rPr>
          <w:rFonts w:ascii="Arial" w:hAnsi="Arial" w:cs="Times New Roman" w:hint="eastAsia"/>
          <w:sz w:val="21"/>
        </w:rPr>
        <w:t>教育期限</w:t>
      </w:r>
      <w:r w:rsidRPr="003F5882">
        <w:rPr>
          <w:rFonts w:ascii="Arial" w:hAnsi="Arial" w:cs="Times New Roman"/>
          <w:sz w:val="21"/>
        </w:rPr>
        <w:t>直至</w:t>
      </w:r>
      <w:r w:rsidR="00D36BCD" w:rsidRPr="003F5882">
        <w:rPr>
          <w:rFonts w:ascii="Arial" w:hAnsi="Arial" w:cs="Times New Roman" w:hint="eastAsia"/>
          <w:sz w:val="21"/>
        </w:rPr>
        <w:t>中学后</w:t>
      </w:r>
      <w:r w:rsidRPr="003F5882">
        <w:rPr>
          <w:rFonts w:ascii="Arial" w:hAnsi="Arial" w:cs="Times New Roman"/>
          <w:sz w:val="21"/>
        </w:rPr>
        <w:t>学习的第四年为止，但是不能超过子女年满25周岁</w:t>
      </w:r>
      <w:r w:rsidR="00D36BCD" w:rsidRPr="003F5882">
        <w:rPr>
          <w:rFonts w:ascii="Arial" w:hAnsi="Arial" w:cs="Times New Roman" w:hint="eastAsia"/>
          <w:sz w:val="21"/>
        </w:rPr>
        <w:t>那</w:t>
      </w:r>
      <w:r w:rsidRPr="003F5882">
        <w:rPr>
          <w:rFonts w:ascii="Arial" w:hAnsi="Arial" w:cs="Times New Roman"/>
          <w:sz w:val="21"/>
        </w:rPr>
        <w:t>一学年年底。应付教育补助金的负债与从学校/大学学年开始至2014年12月31日期间应缴费的月数有关。报告日的债务总额为190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2013年12月31日为180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b/>
          <w:i/>
          <w:sz w:val="21"/>
        </w:rPr>
        <w:t>绩效奖励</w:t>
      </w:r>
      <w:r w:rsidRPr="003F5882">
        <w:rPr>
          <w:rFonts w:ascii="Arial" w:hAnsi="Arial" w:cs="Times New Roman"/>
          <w:sz w:val="21"/>
        </w:rPr>
        <w:t>：2013年，WIPO启动了奖励与表彰计划。据此计划，对于获得出色效绩评级的工作人员，可考虑给予2,500瑞郎或5,000瑞郎的一次性总付现金奖励。根据当年所作决定，截至2014年12月31日应付员工的效绩奖励总额为20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2013年12月31日为10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离职后福利</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关闭的养恤基金</w:t>
      </w:r>
      <w:r w:rsidR="00F453AC" w:rsidRPr="00DA4636">
        <w:rPr>
          <w:rFonts w:ascii="Arial" w:eastAsia="KaiTi" w:hAnsi="Arial" w:cs="Times New Roman"/>
          <w:b/>
          <w:i/>
          <w:sz w:val="21"/>
        </w:rPr>
        <w:t>（</w:t>
      </w:r>
      <w:r w:rsidRPr="00DA4636">
        <w:rPr>
          <w:rFonts w:ascii="Arial" w:eastAsia="KaiTi" w:hAnsi="Arial" w:cs="Times New Roman"/>
          <w:b/>
          <w:i/>
          <w:sz w:val="21"/>
        </w:rPr>
        <w:t>CROMPI</w:t>
      </w:r>
      <w:r w:rsidR="00F453AC" w:rsidRPr="00DA4636">
        <w:rPr>
          <w:rFonts w:ascii="Arial" w:eastAsia="KaiTi" w:hAnsi="Arial" w:cs="Times New Roman"/>
          <w:b/>
          <w:i/>
          <w:sz w:val="21"/>
        </w:rPr>
        <w:t>）</w:t>
      </w:r>
      <w:r w:rsidRPr="003F5882">
        <w:rPr>
          <w:rFonts w:ascii="Arial" w:hAnsi="Arial" w:cs="Times New Roman"/>
          <w:sz w:val="21"/>
        </w:rPr>
        <w:t>：在加入联合国合办工作人员养恤基金</w:t>
      </w:r>
      <w:r w:rsidR="00F453AC" w:rsidRPr="003F5882">
        <w:rPr>
          <w:rFonts w:ascii="Arial" w:hAnsi="Arial" w:cs="Times New Roman" w:hint="eastAsia"/>
          <w:sz w:val="21"/>
        </w:rPr>
        <w:t>（</w:t>
      </w:r>
      <w:r w:rsidRPr="003F5882">
        <w:rPr>
          <w:rFonts w:ascii="Arial" w:hAnsi="Arial" w:cs="Times New Roman"/>
          <w:sz w:val="21"/>
        </w:rPr>
        <w:t>UNJSPF</w:t>
      </w:r>
      <w:r w:rsidR="00F453AC" w:rsidRPr="003F5882">
        <w:rPr>
          <w:rFonts w:ascii="Arial" w:hAnsi="Arial" w:cs="Times New Roman" w:hint="eastAsia"/>
          <w:sz w:val="21"/>
        </w:rPr>
        <w:t>）</w:t>
      </w:r>
      <w:r w:rsidRPr="003F5882">
        <w:rPr>
          <w:rFonts w:ascii="Arial" w:hAnsi="Arial" w:cs="Times New Roman"/>
          <w:sz w:val="21"/>
        </w:rPr>
        <w:t>之前，WIPO的前身组织拥有其自身于1955年建立的养恤基金。该养恤基金已于1975年9月30日对新成员关闭，并在基金理事会的管理下对终止时</w:t>
      </w:r>
      <w:r w:rsidR="00B12580" w:rsidRPr="003F5882">
        <w:rPr>
          <w:rFonts w:ascii="Arial" w:hAnsi="Arial" w:cs="Times New Roman" w:hint="eastAsia"/>
          <w:sz w:val="21"/>
        </w:rPr>
        <w:t>已加入</w:t>
      </w:r>
      <w:r w:rsidRPr="003F5882">
        <w:rPr>
          <w:rFonts w:ascii="Arial" w:hAnsi="Arial" w:cs="Times New Roman"/>
          <w:sz w:val="21"/>
        </w:rPr>
        <w:t>的成员继续生效。根据关闭的养恤基金与本组织</w:t>
      </w:r>
      <w:r w:rsidR="00B12580" w:rsidRPr="003F5882">
        <w:rPr>
          <w:rFonts w:ascii="Arial" w:hAnsi="Arial" w:cs="Times New Roman" w:hint="eastAsia"/>
          <w:sz w:val="21"/>
        </w:rPr>
        <w:t>之间</w:t>
      </w:r>
      <w:r w:rsidRPr="003F5882">
        <w:rPr>
          <w:rFonts w:ascii="Arial" w:hAnsi="Arial" w:cs="Times New Roman"/>
          <w:sz w:val="21"/>
        </w:rPr>
        <w:t>的</w:t>
      </w:r>
      <w:r w:rsidR="00B12580" w:rsidRPr="003F5882">
        <w:rPr>
          <w:rFonts w:ascii="Arial" w:hAnsi="Arial" w:cs="Times New Roman" w:hint="eastAsia"/>
          <w:sz w:val="21"/>
        </w:rPr>
        <w:t>一项</w:t>
      </w:r>
      <w:r w:rsidRPr="003F5882">
        <w:rPr>
          <w:rFonts w:ascii="Arial" w:hAnsi="Arial" w:cs="Times New Roman"/>
          <w:sz w:val="21"/>
        </w:rPr>
        <w:t>公约以及一项由国际劳工组织</w:t>
      </w:r>
      <w:r w:rsidR="00F453AC" w:rsidRPr="003F5882">
        <w:rPr>
          <w:rFonts w:ascii="Arial" w:hAnsi="Arial" w:cs="Times New Roman" w:hint="eastAsia"/>
          <w:sz w:val="21"/>
        </w:rPr>
        <w:t>（</w:t>
      </w:r>
      <w:r w:rsidRPr="003F5882">
        <w:rPr>
          <w:rFonts w:ascii="Arial" w:hAnsi="Arial" w:cs="Times New Roman"/>
          <w:sz w:val="21"/>
        </w:rPr>
        <w:t>ILO</w:t>
      </w:r>
      <w:r w:rsidR="00F453AC" w:rsidRPr="003F5882">
        <w:rPr>
          <w:rFonts w:ascii="Arial" w:hAnsi="Arial" w:cs="Times New Roman" w:hint="eastAsia"/>
          <w:sz w:val="21"/>
        </w:rPr>
        <w:t>）</w:t>
      </w:r>
      <w:r w:rsidRPr="003F5882">
        <w:rPr>
          <w:rFonts w:ascii="Arial" w:hAnsi="Arial" w:cs="Times New Roman"/>
          <w:sz w:val="21"/>
        </w:rPr>
        <w:t>行政法庭</w:t>
      </w:r>
      <w:proofErr w:type="gramStart"/>
      <w:r w:rsidRPr="003F5882">
        <w:rPr>
          <w:rFonts w:ascii="Arial" w:hAnsi="Arial" w:cs="Times New Roman"/>
          <w:sz w:val="21"/>
        </w:rPr>
        <w:t>作出</w:t>
      </w:r>
      <w:proofErr w:type="gramEnd"/>
      <w:r w:rsidRPr="003F5882">
        <w:rPr>
          <w:rFonts w:ascii="Arial" w:hAnsi="Arial" w:cs="Times New Roman"/>
          <w:sz w:val="21"/>
        </w:rPr>
        <w:t>的</w:t>
      </w:r>
      <w:r w:rsidR="00291B82" w:rsidRPr="003F5882">
        <w:rPr>
          <w:rFonts w:ascii="Arial" w:hAnsi="Arial" w:cs="Times New Roman" w:hint="eastAsia"/>
          <w:sz w:val="21"/>
        </w:rPr>
        <w:t>裁决</w:t>
      </w:r>
      <w:r w:rsidRPr="003F5882">
        <w:rPr>
          <w:rFonts w:ascii="Arial" w:hAnsi="Arial" w:cs="Times New Roman"/>
          <w:sz w:val="21"/>
        </w:rPr>
        <w:t>，WIPO负责资助由关闭的养恤基金产生的有关外汇汇率差额以及关闭的养恤基金和联合国合办工作人员养恤基金</w:t>
      </w:r>
      <w:r w:rsidR="00293E42" w:rsidRPr="003F5882">
        <w:rPr>
          <w:rFonts w:ascii="Arial" w:hAnsi="Arial" w:cs="Times New Roman" w:hint="eastAsia"/>
          <w:sz w:val="21"/>
        </w:rPr>
        <w:t>规定</w:t>
      </w:r>
      <w:r w:rsidRPr="003F5882">
        <w:rPr>
          <w:rFonts w:ascii="Arial" w:hAnsi="Arial" w:cs="Times New Roman"/>
          <w:sz w:val="21"/>
        </w:rPr>
        <w:t>的退休年龄差异费用。本组织对关闭的养恤基金的参与者负有若干义务，包括：</w:t>
      </w:r>
    </w:p>
    <w:p w:rsidR="007D62CB" w:rsidRDefault="00291B82" w:rsidP="003374D7">
      <w:pPr>
        <w:pStyle w:val="Style3"/>
        <w:numPr>
          <w:ilvl w:val="0"/>
          <w:numId w:val="11"/>
        </w:numPr>
        <w:spacing w:afterLines="50" w:line="340" w:lineRule="atLeast"/>
        <w:ind w:left="714" w:hanging="357"/>
        <w:rPr>
          <w:rFonts w:ascii="Arial" w:hAnsi="Arial" w:cs="Times New Roman"/>
          <w:sz w:val="21"/>
        </w:rPr>
      </w:pPr>
      <w:r w:rsidRPr="003F5882">
        <w:rPr>
          <w:rFonts w:ascii="Arial" w:hAnsi="Arial" w:cs="Times New Roman" w:hint="eastAsia"/>
          <w:sz w:val="21"/>
        </w:rPr>
        <w:t>在</w:t>
      </w:r>
      <w:r w:rsidR="006C0099" w:rsidRPr="003F5882">
        <w:rPr>
          <w:rFonts w:ascii="Arial" w:hAnsi="Arial" w:cs="Times New Roman"/>
          <w:sz w:val="21"/>
        </w:rPr>
        <w:t>参与关闭的养恤基金的以前工作人员</w:t>
      </w:r>
      <w:r w:rsidRPr="003F5882">
        <w:rPr>
          <w:rFonts w:ascii="Arial" w:hAnsi="Arial" w:cs="Times New Roman" w:hint="eastAsia"/>
          <w:sz w:val="21"/>
        </w:rPr>
        <w:t>满</w:t>
      </w:r>
      <w:r w:rsidR="006C0099" w:rsidRPr="003F5882">
        <w:rPr>
          <w:rFonts w:ascii="Arial" w:hAnsi="Arial" w:cs="Times New Roman"/>
          <w:sz w:val="21"/>
        </w:rPr>
        <w:t>65岁之前</w:t>
      </w:r>
      <w:r w:rsidRPr="003F5882">
        <w:rPr>
          <w:rFonts w:ascii="Arial" w:hAnsi="Arial" w:cs="Times New Roman" w:hint="eastAsia"/>
          <w:sz w:val="21"/>
        </w:rPr>
        <w:t>向他们</w:t>
      </w:r>
      <w:r w:rsidR="006C0099" w:rsidRPr="003F5882">
        <w:rPr>
          <w:rFonts w:ascii="Arial" w:hAnsi="Arial" w:cs="Times New Roman"/>
          <w:sz w:val="21"/>
        </w:rPr>
        <w:t>支付退休金费用的义务。根据2014年进行的最新精算估计，截至2014年12月31日估计负债为13,000瑞郎</w:t>
      </w:r>
      <w:r w:rsidR="00F453AC" w:rsidRPr="003F5882">
        <w:rPr>
          <w:rFonts w:ascii="Arial" w:hAnsi="Arial" w:cs="Times New Roman"/>
          <w:sz w:val="21"/>
        </w:rPr>
        <w:t>［</w:t>
      </w:r>
      <w:r w:rsidR="006C0099" w:rsidRPr="003F5882">
        <w:rPr>
          <w:rFonts w:ascii="Arial" w:hAnsi="Arial" w:cs="Times New Roman"/>
          <w:sz w:val="21"/>
        </w:rPr>
        <w:t>2013年为47,000瑞郎</w:t>
      </w:r>
      <w:r w:rsidR="00F453AC" w:rsidRPr="003F5882">
        <w:rPr>
          <w:rFonts w:ascii="Arial" w:hAnsi="Arial" w:cs="Times New Roman"/>
          <w:sz w:val="21"/>
        </w:rPr>
        <w:t>］</w:t>
      </w:r>
      <w:r w:rsidR="006C0099" w:rsidRPr="003F5882">
        <w:rPr>
          <w:rFonts w:ascii="Arial" w:hAnsi="Arial" w:cs="Times New Roman"/>
          <w:sz w:val="21"/>
        </w:rPr>
        <w:t>。</w:t>
      </w:r>
    </w:p>
    <w:p w:rsidR="007D62CB" w:rsidRDefault="006C0099" w:rsidP="003374D7">
      <w:pPr>
        <w:pStyle w:val="Style3"/>
        <w:numPr>
          <w:ilvl w:val="0"/>
          <w:numId w:val="11"/>
        </w:numPr>
        <w:spacing w:afterLines="50" w:line="340" w:lineRule="atLeast"/>
        <w:ind w:left="714" w:hanging="357"/>
        <w:rPr>
          <w:rFonts w:ascii="Arial" w:hAnsi="Arial" w:cs="Times New Roman"/>
          <w:sz w:val="21"/>
        </w:rPr>
      </w:pPr>
      <w:r w:rsidRPr="003F5882">
        <w:rPr>
          <w:rFonts w:ascii="Arial" w:hAnsi="Arial" w:cs="Times New Roman"/>
          <w:sz w:val="21"/>
        </w:rPr>
        <w:t>根据2006年国际劳工组织行政法庭的一项</w:t>
      </w:r>
      <w:r w:rsidR="00291B82" w:rsidRPr="003F5882">
        <w:rPr>
          <w:rFonts w:ascii="Arial" w:hAnsi="Arial" w:cs="Times New Roman" w:hint="eastAsia"/>
          <w:sz w:val="21"/>
        </w:rPr>
        <w:t>裁决</w:t>
      </w:r>
      <w:r w:rsidRPr="003F5882">
        <w:rPr>
          <w:rFonts w:ascii="Arial" w:hAnsi="Arial" w:cs="Times New Roman"/>
          <w:sz w:val="21"/>
        </w:rPr>
        <w:t>，支付关闭的养恤基金成员</w:t>
      </w:r>
      <w:r w:rsidR="00414186" w:rsidRPr="003F5882">
        <w:rPr>
          <w:rFonts w:ascii="Arial" w:hAnsi="Arial" w:cs="Times New Roman" w:hint="eastAsia"/>
          <w:sz w:val="21"/>
        </w:rPr>
        <w:t>根据关闭的养恤基金</w:t>
      </w:r>
      <w:r w:rsidRPr="003F5882">
        <w:rPr>
          <w:rFonts w:ascii="Arial" w:hAnsi="Arial" w:cs="Times New Roman"/>
          <w:sz w:val="21"/>
        </w:rPr>
        <w:t>应收退休金和</w:t>
      </w:r>
      <w:r w:rsidR="00414186" w:rsidRPr="003F5882">
        <w:rPr>
          <w:rFonts w:ascii="Arial" w:hAnsi="Arial" w:cs="Times New Roman" w:hint="eastAsia"/>
          <w:sz w:val="21"/>
        </w:rPr>
        <w:t>从</w:t>
      </w:r>
      <w:r w:rsidRPr="003F5882">
        <w:rPr>
          <w:rFonts w:ascii="Arial" w:hAnsi="Arial" w:cs="Times New Roman"/>
          <w:sz w:val="21"/>
        </w:rPr>
        <w:t>基于2014年进行的最新精算估计</w:t>
      </w:r>
      <w:r w:rsidR="00414186" w:rsidRPr="003F5882">
        <w:rPr>
          <w:rFonts w:ascii="Arial" w:hAnsi="Arial" w:cs="Times New Roman" w:hint="eastAsia"/>
          <w:sz w:val="21"/>
        </w:rPr>
        <w:t>、</w:t>
      </w:r>
      <w:r w:rsidRPr="003F5882">
        <w:rPr>
          <w:rFonts w:ascii="Arial" w:hAnsi="Arial" w:cs="Times New Roman"/>
          <w:sz w:val="21"/>
        </w:rPr>
        <w:t>截至2014年12月31日数额为280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2013年为300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的UNJSPF应收</w:t>
      </w:r>
      <w:r w:rsidR="00414186" w:rsidRPr="003F5882">
        <w:rPr>
          <w:rFonts w:ascii="Arial" w:hAnsi="Arial" w:cs="Times New Roman" w:hint="eastAsia"/>
          <w:sz w:val="21"/>
        </w:rPr>
        <w:t>退休金</w:t>
      </w:r>
      <w:r w:rsidRPr="003F5882">
        <w:rPr>
          <w:rFonts w:ascii="Arial" w:hAnsi="Arial" w:cs="Times New Roman"/>
          <w:sz w:val="21"/>
        </w:rPr>
        <w:t>之间的某些差额的义务。</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回国补助金和差旅费</w:t>
      </w:r>
      <w:r w:rsidR="00F46055" w:rsidRPr="003F5882">
        <w:rPr>
          <w:rFonts w:ascii="Arial" w:hAnsi="Arial" w:cs="Times New Roman" w:hint="eastAsia"/>
          <w:sz w:val="21"/>
        </w:rPr>
        <w:t>：</w:t>
      </w:r>
      <w:r w:rsidRPr="003F5882">
        <w:rPr>
          <w:rFonts w:ascii="Arial" w:hAnsi="Arial" w:cs="Times New Roman"/>
          <w:sz w:val="21"/>
        </w:rPr>
        <w:t>本组织负有契约义务，为某些国际征募工作人员在离职时提供诸如回国补助金及差旅和搬迁费的福利。对于临时职位的专业工作人员来说</w:t>
      </w:r>
      <w:r w:rsidR="00C274D1" w:rsidRPr="003F5882">
        <w:rPr>
          <w:rFonts w:ascii="Arial" w:hAnsi="Arial" w:cs="Times New Roman" w:hint="eastAsia"/>
          <w:sz w:val="21"/>
        </w:rPr>
        <w:t>，</w:t>
      </w:r>
      <w:r w:rsidRPr="003F5882">
        <w:rPr>
          <w:rFonts w:ascii="Arial" w:hAnsi="Arial" w:cs="Times New Roman"/>
          <w:sz w:val="21"/>
        </w:rPr>
        <w:t>离职时的回国差旅和搬迁费由WIPO估计</w:t>
      </w:r>
      <w:r w:rsidR="00C274D1" w:rsidRPr="003F5882">
        <w:rPr>
          <w:rFonts w:ascii="Arial" w:hAnsi="Arial" w:cs="Times New Roman" w:hint="eastAsia"/>
          <w:sz w:val="21"/>
        </w:rPr>
        <w:t>，</w:t>
      </w:r>
      <w:r w:rsidRPr="003F5882">
        <w:rPr>
          <w:rFonts w:ascii="Arial" w:hAnsi="Arial" w:cs="Times New Roman"/>
          <w:sz w:val="21"/>
        </w:rPr>
        <w:t>并且被视为一种流动负债。对于国际征募的在职专业工作人员，回国补助金、差旅和搬迁负债由独立精算师计算。负债总额在报告</w:t>
      </w:r>
      <w:proofErr w:type="gramStart"/>
      <w:r w:rsidRPr="003F5882">
        <w:rPr>
          <w:rFonts w:ascii="Arial" w:hAnsi="Arial" w:cs="Times New Roman"/>
          <w:sz w:val="21"/>
        </w:rPr>
        <w:t>日估计</w:t>
      </w:r>
      <w:proofErr w:type="gramEnd"/>
      <w:r w:rsidRPr="003F5882">
        <w:rPr>
          <w:rFonts w:ascii="Arial" w:hAnsi="Arial" w:cs="Times New Roman"/>
          <w:sz w:val="21"/>
        </w:rPr>
        <w:t>如下：</w:t>
      </w:r>
    </w:p>
    <w:p w:rsidR="006C0099" w:rsidRPr="003F5882" w:rsidRDefault="006F16A3" w:rsidP="006F16A3">
      <w:pPr>
        <w:pStyle w:val="Style3"/>
        <w:spacing w:afterLines="50"/>
        <w:jc w:val="center"/>
        <w:rPr>
          <w:rFonts w:ascii="Arial" w:hAnsi="Arial" w:cs="Times New Roman"/>
          <w:sz w:val="21"/>
        </w:rPr>
      </w:pPr>
      <w:r w:rsidRPr="006F16A3">
        <w:rPr>
          <w:noProof/>
          <w:lang w:val="en-US" w:bidi="ar-SA"/>
        </w:rPr>
        <w:lastRenderedPageBreak/>
        <w:drawing>
          <wp:inline distT="0" distB="0" distL="0" distR="0">
            <wp:extent cx="5909310" cy="158750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09310" cy="158750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关于回国补助金和差旅的精算估计，下表详细描述了财务执行情况表中确认的回国补助金和差旅支出：</w:t>
      </w:r>
    </w:p>
    <w:p w:rsidR="006C0099" w:rsidRPr="003F5882" w:rsidRDefault="006F16A3" w:rsidP="006F16A3">
      <w:pPr>
        <w:pStyle w:val="Style3"/>
        <w:spacing w:afterLines="50"/>
        <w:jc w:val="center"/>
        <w:rPr>
          <w:rFonts w:ascii="Arial" w:hAnsi="Arial" w:cs="Times New Roman"/>
          <w:sz w:val="21"/>
        </w:rPr>
      </w:pPr>
      <w:r w:rsidRPr="006F16A3">
        <w:rPr>
          <w:noProof/>
          <w:lang w:val="en-US" w:bidi="ar-SA"/>
        </w:rPr>
        <w:drawing>
          <wp:inline distT="0" distB="0" distL="0" distR="0">
            <wp:extent cx="5736590" cy="1682115"/>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6590" cy="168211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回国补助金和差旅的精算</w:t>
      </w:r>
      <w:r w:rsidR="00B04DC8" w:rsidRPr="003F5882">
        <w:rPr>
          <w:rFonts w:ascii="Arial" w:hAnsi="Arial" w:cs="Times New Roman" w:hint="eastAsia"/>
          <w:sz w:val="21"/>
        </w:rPr>
        <w:t>盈余和亏损</w:t>
      </w:r>
      <w:r w:rsidRPr="003F5882">
        <w:rPr>
          <w:rFonts w:ascii="Arial" w:hAnsi="Arial" w:cs="Times New Roman"/>
          <w:sz w:val="21"/>
        </w:rPr>
        <w:t>在财务执行情况表中立即予以确认。下表详细描述了回国补助金和差旅</w:t>
      </w:r>
      <w:r w:rsidR="007B516A" w:rsidRPr="003F5882">
        <w:rPr>
          <w:rFonts w:ascii="Arial" w:hAnsi="Arial" w:cs="Times New Roman"/>
          <w:sz w:val="21"/>
        </w:rPr>
        <w:t>固定福利债务</w:t>
      </w:r>
      <w:r w:rsidRPr="003F5882">
        <w:rPr>
          <w:rFonts w:ascii="Arial" w:hAnsi="Arial" w:cs="Times New Roman"/>
          <w:sz w:val="21"/>
        </w:rPr>
        <w:t>的变化情况：</w:t>
      </w:r>
    </w:p>
    <w:p w:rsidR="006C0099" w:rsidRPr="003F5882" w:rsidRDefault="006F16A3" w:rsidP="006F16A3">
      <w:pPr>
        <w:pStyle w:val="Style3"/>
        <w:spacing w:afterLines="50"/>
        <w:jc w:val="center"/>
        <w:rPr>
          <w:rFonts w:ascii="Arial" w:hAnsi="Arial" w:cs="Times New Roman"/>
          <w:sz w:val="21"/>
          <w:szCs w:val="22"/>
        </w:rPr>
      </w:pPr>
      <w:r w:rsidRPr="006F16A3">
        <w:rPr>
          <w:noProof/>
          <w:lang w:val="en-US" w:bidi="ar-SA"/>
        </w:rPr>
        <w:drawing>
          <wp:inline distT="0" distB="0" distL="0" distR="0">
            <wp:extent cx="5736590" cy="188087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6590" cy="188087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2014年本组织对回国补助金和差旅的缴费总计20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2013年为80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。预计2015年回国补助金和差旅的缴费额为150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下表详细描述了2014年</w:t>
      </w:r>
      <w:proofErr w:type="gramStart"/>
      <w:r w:rsidRPr="003F5882">
        <w:rPr>
          <w:rFonts w:ascii="Arial" w:hAnsi="Arial" w:cs="Times New Roman"/>
          <w:sz w:val="21"/>
        </w:rPr>
        <w:t>及</w:t>
      </w:r>
      <w:r w:rsidR="00B04DC8" w:rsidRPr="003F5882">
        <w:rPr>
          <w:rFonts w:ascii="Arial" w:hAnsi="Arial" w:cs="Times New Roman" w:hint="eastAsia"/>
          <w:sz w:val="21"/>
        </w:rPr>
        <w:t>之</w:t>
      </w:r>
      <w:r w:rsidRPr="003F5882">
        <w:rPr>
          <w:rFonts w:ascii="Arial" w:hAnsi="Arial" w:cs="Times New Roman"/>
          <w:sz w:val="21"/>
        </w:rPr>
        <w:t>前</w:t>
      </w:r>
      <w:proofErr w:type="gramEnd"/>
      <w:r w:rsidR="00D80801" w:rsidRPr="003F5882">
        <w:rPr>
          <w:rFonts w:ascii="Arial" w:hAnsi="Arial" w:cs="Times New Roman" w:hint="eastAsia"/>
          <w:sz w:val="21"/>
        </w:rPr>
        <w:t>四</w:t>
      </w:r>
      <w:r w:rsidRPr="003F5882">
        <w:rPr>
          <w:rFonts w:ascii="Arial" w:hAnsi="Arial" w:cs="Times New Roman"/>
          <w:sz w:val="21"/>
        </w:rPr>
        <w:t>年回国补助金和差旅负债产生的</w:t>
      </w:r>
      <w:r w:rsidR="007B516A" w:rsidRPr="003F5882">
        <w:rPr>
          <w:rFonts w:ascii="Arial" w:hAnsi="Arial" w:cs="Times New Roman"/>
          <w:sz w:val="21"/>
        </w:rPr>
        <w:t>固定福利债务</w:t>
      </w:r>
      <w:r w:rsidRPr="003F5882">
        <w:rPr>
          <w:rFonts w:ascii="Arial" w:hAnsi="Arial" w:cs="Times New Roman"/>
          <w:sz w:val="21"/>
        </w:rPr>
        <w:t>和经验调整的现值</w:t>
      </w:r>
      <w:r w:rsidR="00B04DC8" w:rsidRPr="003F5882">
        <w:rPr>
          <w:rFonts w:ascii="Arial" w:hAnsi="Arial" w:cs="Times New Roman" w:hint="eastAsia"/>
          <w:sz w:val="21"/>
        </w:rPr>
        <w:t>：</w:t>
      </w:r>
    </w:p>
    <w:p w:rsidR="006C0099" w:rsidRPr="003F5882" w:rsidRDefault="006F16A3" w:rsidP="006F16A3">
      <w:pPr>
        <w:spacing w:afterLines="50" w:after="120"/>
        <w:jc w:val="center"/>
        <w:rPr>
          <w:rFonts w:ascii="Arial" w:hAnsi="Arial" w:cs="Times New Roman"/>
        </w:rPr>
      </w:pPr>
      <w:r w:rsidRPr="006F16A3">
        <w:rPr>
          <w:noProof/>
          <w:lang w:val="en-US" w:bidi="ar-SA"/>
        </w:rPr>
        <w:drawing>
          <wp:inline distT="0" distB="0" distL="0" distR="0">
            <wp:extent cx="5960745" cy="1078230"/>
            <wp:effectExtent l="0" t="0" r="1905"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60745" cy="1078230"/>
                    </a:xfrm>
                    <a:prstGeom prst="rect">
                      <a:avLst/>
                    </a:prstGeom>
                    <a:noFill/>
                    <a:ln>
                      <a:noFill/>
                    </a:ln>
                  </pic:spPr>
                </pic:pic>
              </a:graphicData>
            </a:graphic>
          </wp:inline>
        </w:drawing>
      </w:r>
    </w:p>
    <w:p w:rsidR="007D62CB" w:rsidRDefault="006C0099" w:rsidP="006F16A3">
      <w:pPr>
        <w:pStyle w:val="Style3"/>
        <w:keepNext/>
        <w:spacing w:afterLines="50" w:line="340" w:lineRule="atLeast"/>
        <w:rPr>
          <w:rFonts w:ascii="Arial" w:hAnsi="Arial" w:cs="Times New Roman"/>
          <w:sz w:val="21"/>
          <w:szCs w:val="22"/>
        </w:rPr>
      </w:pPr>
      <w:r w:rsidRPr="003F5882">
        <w:rPr>
          <w:rFonts w:ascii="Arial" w:hAnsi="Arial" w:cs="Times New Roman"/>
          <w:sz w:val="21"/>
        </w:rPr>
        <w:lastRenderedPageBreak/>
        <w:t>决定回国补助金和差旅负债以及</w:t>
      </w:r>
      <w:r w:rsidR="007B516A" w:rsidRPr="003F5882">
        <w:rPr>
          <w:rFonts w:ascii="Arial" w:hAnsi="Arial" w:cs="Times New Roman"/>
          <w:sz w:val="21"/>
        </w:rPr>
        <w:t>固定福利债务</w:t>
      </w:r>
      <w:r w:rsidRPr="003F5882">
        <w:rPr>
          <w:rFonts w:ascii="Arial" w:hAnsi="Arial" w:cs="Times New Roman"/>
          <w:sz w:val="21"/>
        </w:rPr>
        <w:t>采用的主要假设如下所示：</w:t>
      </w:r>
    </w:p>
    <w:p w:rsidR="007D62CB" w:rsidRDefault="006F16A3" w:rsidP="006F16A3">
      <w:pPr>
        <w:spacing w:afterLines="50" w:after="120"/>
        <w:jc w:val="center"/>
        <w:rPr>
          <w:rFonts w:ascii="Arial" w:hAnsi="Arial" w:cs="Times New Roman"/>
        </w:rPr>
      </w:pPr>
      <w:r w:rsidRPr="006F16A3">
        <w:rPr>
          <w:noProof/>
          <w:lang w:val="en-US" w:bidi="ar-SA"/>
        </w:rPr>
        <w:drawing>
          <wp:inline distT="0" distB="0" distL="0" distR="0">
            <wp:extent cx="5736590" cy="1647825"/>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6590" cy="164782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离职后健康保险</w:t>
      </w:r>
      <w:r w:rsidR="00F453AC" w:rsidRPr="00DA4636">
        <w:rPr>
          <w:rFonts w:ascii="Arial" w:eastAsia="KaiTi" w:hAnsi="Arial" w:cs="Times New Roman"/>
          <w:b/>
          <w:i/>
          <w:sz w:val="21"/>
        </w:rPr>
        <w:t>（</w:t>
      </w:r>
      <w:r w:rsidRPr="00DA4636">
        <w:rPr>
          <w:rFonts w:ascii="Arial" w:eastAsia="KaiTi" w:hAnsi="Arial" w:cs="Times New Roman"/>
          <w:b/>
          <w:i/>
          <w:sz w:val="21"/>
        </w:rPr>
        <w:t>ASHI</w:t>
      </w:r>
      <w:r w:rsidR="00F453AC" w:rsidRPr="00DA4636">
        <w:rPr>
          <w:rFonts w:ascii="Arial" w:eastAsia="KaiTi" w:hAnsi="Arial" w:cs="Times New Roman"/>
          <w:b/>
          <w:i/>
          <w:sz w:val="21"/>
        </w:rPr>
        <w:t>）</w:t>
      </w:r>
      <w:r w:rsidRPr="003F5882">
        <w:rPr>
          <w:rFonts w:ascii="Arial" w:hAnsi="Arial" w:cs="Times New Roman"/>
          <w:sz w:val="21"/>
        </w:rPr>
        <w:t>：本组织还负有以医疗和意外事故保险计划保险金的形式向其员工提供离职后医疗福利的契约义务。退休工作人员</w:t>
      </w:r>
      <w:r w:rsidR="00F453AC" w:rsidRPr="003F5882">
        <w:rPr>
          <w:rFonts w:ascii="Arial" w:hAnsi="Arial" w:cs="Times New Roman" w:hint="eastAsia"/>
          <w:sz w:val="21"/>
        </w:rPr>
        <w:t>（</w:t>
      </w:r>
      <w:r w:rsidRPr="003F5882">
        <w:rPr>
          <w:rFonts w:ascii="Arial" w:hAnsi="Arial" w:cs="Times New Roman"/>
          <w:sz w:val="21"/>
        </w:rPr>
        <w:t>及其配偶、受抚养的子女和遗属</w:t>
      </w:r>
      <w:r w:rsidR="00F453AC" w:rsidRPr="003F5882">
        <w:rPr>
          <w:rFonts w:ascii="Arial" w:hAnsi="Arial" w:cs="Times New Roman" w:hint="eastAsia"/>
          <w:sz w:val="21"/>
        </w:rPr>
        <w:t>）</w:t>
      </w:r>
      <w:r w:rsidRPr="003F5882">
        <w:rPr>
          <w:rFonts w:ascii="Arial" w:hAnsi="Arial" w:cs="Times New Roman"/>
          <w:sz w:val="21"/>
        </w:rPr>
        <w:t>如果离职后继续参与离职后健康保险方案，便属于ASHI范围。根据《WIPO工作人员条例和规则》，本组织将支付月医疗保险费的65%份额。自2015年1月1日起，成人和</w:t>
      </w:r>
      <w:proofErr w:type="gramStart"/>
      <w:r w:rsidRPr="003F5882">
        <w:rPr>
          <w:rFonts w:ascii="Arial" w:hAnsi="Arial" w:cs="Times New Roman"/>
          <w:sz w:val="21"/>
        </w:rPr>
        <w:t>子女月医疗</w:t>
      </w:r>
      <w:proofErr w:type="gramEnd"/>
      <w:r w:rsidRPr="003F5882">
        <w:rPr>
          <w:rFonts w:ascii="Arial" w:hAnsi="Arial" w:cs="Times New Roman"/>
          <w:sz w:val="21"/>
        </w:rPr>
        <w:t>保险费金额分别为538瑞郎和240瑞郎</w:t>
      </w:r>
      <w:r w:rsidR="00F453AC" w:rsidRPr="003F5882">
        <w:rPr>
          <w:rFonts w:ascii="Arial" w:hAnsi="Arial" w:cs="Times New Roman"/>
          <w:sz w:val="21"/>
        </w:rPr>
        <w:t>（</w:t>
      </w:r>
      <w:r w:rsidRPr="003F5882">
        <w:rPr>
          <w:rFonts w:ascii="Arial" w:hAnsi="Arial" w:cs="Times New Roman"/>
          <w:sz w:val="21"/>
        </w:rPr>
        <w:t>之前成人和子女分别为552瑞郎和245瑞郎</w:t>
      </w:r>
      <w:r w:rsidR="00F453AC" w:rsidRPr="003F5882">
        <w:rPr>
          <w:rFonts w:ascii="Arial" w:hAnsi="Arial" w:cs="Times New Roman"/>
          <w:sz w:val="21"/>
        </w:rPr>
        <w:t>）</w:t>
      </w:r>
      <w:r w:rsidRPr="003F5882">
        <w:rPr>
          <w:rFonts w:ascii="Arial" w:hAnsi="Arial" w:cs="Times New Roman"/>
          <w:sz w:val="21"/>
        </w:rPr>
        <w:t>。使用预计单位信贷</w:t>
      </w:r>
      <w:r w:rsidR="00F76015" w:rsidRPr="003F5882">
        <w:rPr>
          <w:rFonts w:ascii="Arial" w:hAnsi="Arial" w:cs="Times New Roman" w:hint="eastAsia"/>
          <w:sz w:val="21"/>
        </w:rPr>
        <w:t>方法</w:t>
      </w:r>
      <w:r w:rsidRPr="003F5882">
        <w:rPr>
          <w:rFonts w:ascii="Arial" w:hAnsi="Arial" w:cs="Times New Roman"/>
          <w:sz w:val="21"/>
        </w:rPr>
        <w:t>来确定离职后医疗保险</w:t>
      </w:r>
      <w:r w:rsidR="00F76015" w:rsidRPr="003F5882">
        <w:rPr>
          <w:rFonts w:ascii="Arial" w:hAnsi="Arial" w:cs="Times New Roman" w:hint="eastAsia"/>
          <w:sz w:val="21"/>
        </w:rPr>
        <w:t>的</w:t>
      </w:r>
      <w:r w:rsidR="007B516A" w:rsidRPr="003F5882">
        <w:rPr>
          <w:rFonts w:ascii="Arial" w:hAnsi="Arial" w:cs="Times New Roman" w:hint="eastAsia"/>
          <w:sz w:val="21"/>
        </w:rPr>
        <w:t>固定福利债务</w:t>
      </w:r>
      <w:r w:rsidRPr="003F5882">
        <w:rPr>
          <w:rFonts w:ascii="Arial" w:hAnsi="Arial" w:cs="Times New Roman"/>
          <w:sz w:val="21"/>
        </w:rPr>
        <w:t>的当前值，包括使用基于瑞士法郎高级公司债券和瑞士公债的贴现率对预计未来现金流出进行贴现。该计划是无资助的，而且长期雇员福利基金中也没有计划资产。根据2014年12月一</w:t>
      </w:r>
      <w:proofErr w:type="gramStart"/>
      <w:r w:rsidRPr="003F5882">
        <w:rPr>
          <w:rFonts w:ascii="Arial" w:hAnsi="Arial" w:cs="Times New Roman"/>
          <w:sz w:val="21"/>
        </w:rPr>
        <w:t>个</w:t>
      </w:r>
      <w:proofErr w:type="gramEnd"/>
      <w:r w:rsidRPr="003F5882">
        <w:rPr>
          <w:rFonts w:ascii="Arial" w:hAnsi="Arial" w:cs="Times New Roman"/>
          <w:sz w:val="21"/>
        </w:rPr>
        <w:t>独立事务所进行的一项精算估计，这一负债在本报告日概算如下：</w:t>
      </w:r>
    </w:p>
    <w:p w:rsidR="006C0099" w:rsidRPr="003F5882" w:rsidRDefault="006F16A3" w:rsidP="006F16A3">
      <w:pPr>
        <w:pStyle w:val="Style3"/>
        <w:spacing w:afterLines="50"/>
        <w:jc w:val="center"/>
        <w:rPr>
          <w:rFonts w:ascii="Arial" w:hAnsi="Arial" w:cs="Times New Roman"/>
          <w:sz w:val="20"/>
        </w:rPr>
      </w:pPr>
      <w:r w:rsidRPr="006F16A3">
        <w:rPr>
          <w:noProof/>
          <w:lang w:val="en-US" w:bidi="ar-SA"/>
        </w:rPr>
        <w:drawing>
          <wp:inline distT="0" distB="0" distL="0" distR="0">
            <wp:extent cx="5736590" cy="116459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6590" cy="1164590"/>
                    </a:xfrm>
                    <a:prstGeom prst="rect">
                      <a:avLst/>
                    </a:prstGeom>
                    <a:noFill/>
                    <a:ln>
                      <a:noFill/>
                    </a:ln>
                  </pic:spPr>
                </pic:pic>
              </a:graphicData>
            </a:graphic>
          </wp:inline>
        </w:drawing>
      </w:r>
    </w:p>
    <w:p w:rsidR="007D62CB" w:rsidRDefault="006C0099" w:rsidP="006F16A3">
      <w:pPr>
        <w:pStyle w:val="Style3"/>
        <w:spacing w:afterLines="50" w:line="340" w:lineRule="atLeast"/>
        <w:rPr>
          <w:rFonts w:ascii="Arial" w:hAnsi="Arial" w:cs="Times New Roman"/>
          <w:sz w:val="21"/>
          <w:szCs w:val="22"/>
        </w:rPr>
      </w:pPr>
      <w:r w:rsidRPr="003F5882">
        <w:rPr>
          <w:rFonts w:ascii="Arial" w:hAnsi="Arial" w:cs="Times New Roman"/>
          <w:sz w:val="21"/>
        </w:rPr>
        <w:t>下表详细描述了财务执行情况表中确认的ASHI支出：</w:t>
      </w:r>
    </w:p>
    <w:p w:rsidR="006C0099" w:rsidRPr="003F5882"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736590" cy="1682115"/>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6590" cy="168211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WIPO采用居间法确认ASHI的精算</w:t>
      </w:r>
      <w:r w:rsidR="00961838" w:rsidRPr="003F5882">
        <w:rPr>
          <w:rFonts w:ascii="Arial" w:hAnsi="Arial" w:cs="Times New Roman" w:hint="eastAsia"/>
          <w:sz w:val="21"/>
        </w:rPr>
        <w:t>盈余和亏损</w:t>
      </w:r>
      <w:r w:rsidRPr="003F5882">
        <w:rPr>
          <w:rFonts w:ascii="Arial" w:hAnsi="Arial" w:cs="Times New Roman"/>
          <w:sz w:val="21"/>
        </w:rPr>
        <w:t>。根据此项会计政策，如果上一个报告期末的累计未确认</w:t>
      </w:r>
      <w:r w:rsidR="00961838" w:rsidRPr="003F5882">
        <w:rPr>
          <w:rFonts w:ascii="Arial" w:hAnsi="Arial" w:cs="Times New Roman" w:hint="eastAsia"/>
          <w:sz w:val="21"/>
        </w:rPr>
        <w:t>盈余和亏损的</w:t>
      </w:r>
      <w:r w:rsidRPr="003F5882">
        <w:rPr>
          <w:rFonts w:ascii="Arial" w:hAnsi="Arial" w:cs="Times New Roman"/>
          <w:sz w:val="21"/>
        </w:rPr>
        <w:t>净额超过当日</w:t>
      </w:r>
      <w:r w:rsidR="007B516A" w:rsidRPr="003F5882">
        <w:rPr>
          <w:rFonts w:ascii="Arial" w:hAnsi="Arial" w:cs="Times New Roman"/>
          <w:sz w:val="21"/>
        </w:rPr>
        <w:t>固定福利债务</w:t>
      </w:r>
      <w:r w:rsidRPr="003F5882">
        <w:rPr>
          <w:rFonts w:ascii="Arial" w:hAnsi="Arial" w:cs="Times New Roman"/>
          <w:sz w:val="21"/>
        </w:rPr>
        <w:t>现值的10%，则对净精算</w:t>
      </w:r>
      <w:r w:rsidR="00961838" w:rsidRPr="003F5882">
        <w:rPr>
          <w:rFonts w:ascii="Arial" w:hAnsi="Arial" w:cs="Times New Roman" w:hint="eastAsia"/>
          <w:sz w:val="21"/>
        </w:rPr>
        <w:t>盈余和亏损</w:t>
      </w:r>
      <w:r w:rsidRPr="003F5882">
        <w:rPr>
          <w:rFonts w:ascii="Arial" w:hAnsi="Arial" w:cs="Times New Roman"/>
          <w:sz w:val="21"/>
        </w:rPr>
        <w:t>的一部分予以确认。下表详细描述</w:t>
      </w:r>
      <w:r w:rsidR="00961838" w:rsidRPr="003F5882">
        <w:rPr>
          <w:rFonts w:ascii="Arial" w:hAnsi="Arial" w:cs="Times New Roman" w:hint="eastAsia"/>
          <w:sz w:val="21"/>
        </w:rPr>
        <w:t>了</w:t>
      </w:r>
      <w:r w:rsidRPr="003F5882">
        <w:rPr>
          <w:rFonts w:ascii="Arial" w:hAnsi="Arial" w:cs="Times New Roman"/>
          <w:sz w:val="21"/>
        </w:rPr>
        <w:t>ASHI</w:t>
      </w:r>
      <w:r w:rsidR="007B516A" w:rsidRPr="003F5882">
        <w:rPr>
          <w:rFonts w:ascii="Arial" w:hAnsi="Arial" w:cs="Times New Roman"/>
          <w:sz w:val="21"/>
        </w:rPr>
        <w:t>固定福利债务</w:t>
      </w:r>
      <w:r w:rsidRPr="003F5882">
        <w:rPr>
          <w:rFonts w:ascii="Arial" w:hAnsi="Arial" w:cs="Times New Roman"/>
          <w:sz w:val="21"/>
        </w:rPr>
        <w:t>的变化情况，并且对</w:t>
      </w:r>
      <w:r w:rsidR="007B516A" w:rsidRPr="003F5882">
        <w:rPr>
          <w:rFonts w:ascii="Arial" w:hAnsi="Arial" w:cs="Times New Roman"/>
          <w:sz w:val="21"/>
        </w:rPr>
        <w:t>固定福利债务</w:t>
      </w:r>
      <w:r w:rsidRPr="003F5882">
        <w:rPr>
          <w:rFonts w:ascii="Arial" w:hAnsi="Arial" w:cs="Times New Roman"/>
          <w:sz w:val="21"/>
        </w:rPr>
        <w:t>和财务状况表确认的负债进行对账</w:t>
      </w:r>
      <w:r w:rsidR="00961838" w:rsidRPr="003F5882">
        <w:rPr>
          <w:rFonts w:ascii="Arial" w:hAnsi="Arial" w:cs="Times New Roman" w:hint="eastAsia"/>
          <w:sz w:val="21"/>
        </w:rPr>
        <w:t>：</w:t>
      </w:r>
    </w:p>
    <w:p w:rsidR="006C0099" w:rsidRPr="003F5882" w:rsidRDefault="006F16A3" w:rsidP="006F16A3">
      <w:pPr>
        <w:spacing w:afterLines="50" w:after="120"/>
        <w:jc w:val="center"/>
        <w:rPr>
          <w:rFonts w:ascii="Arial" w:hAnsi="Arial" w:cs="Times New Roman"/>
        </w:rPr>
      </w:pPr>
      <w:r w:rsidRPr="006F16A3">
        <w:rPr>
          <w:noProof/>
          <w:lang w:val="en-US" w:bidi="ar-SA"/>
        </w:rPr>
        <w:lastRenderedPageBreak/>
        <w:drawing>
          <wp:inline distT="0" distB="0" distL="0" distR="0">
            <wp:extent cx="5736590" cy="2259965"/>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6590" cy="225996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2014年本组织</w:t>
      </w:r>
      <w:r w:rsidR="00D80801" w:rsidRPr="003F5882">
        <w:rPr>
          <w:rFonts w:ascii="Arial" w:hAnsi="Arial" w:cs="Times New Roman" w:hint="eastAsia"/>
          <w:sz w:val="21"/>
        </w:rPr>
        <w:t>给ASHI</w:t>
      </w:r>
      <w:r w:rsidRPr="003F5882">
        <w:rPr>
          <w:rFonts w:ascii="Arial" w:hAnsi="Arial" w:cs="Times New Roman"/>
          <w:sz w:val="21"/>
        </w:rPr>
        <w:t>的缴费总计250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2013年为230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。2015年给ASHI的缴费额预计为270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下表详细描述了2014年</w:t>
      </w:r>
      <w:proofErr w:type="gramStart"/>
      <w:r w:rsidRPr="003F5882">
        <w:rPr>
          <w:rFonts w:ascii="Arial" w:hAnsi="Arial" w:cs="Times New Roman"/>
          <w:sz w:val="21"/>
        </w:rPr>
        <w:t>及</w:t>
      </w:r>
      <w:r w:rsidR="00D80801" w:rsidRPr="003F5882">
        <w:rPr>
          <w:rFonts w:ascii="Arial" w:hAnsi="Arial" w:cs="Times New Roman" w:hint="eastAsia"/>
          <w:sz w:val="21"/>
        </w:rPr>
        <w:t>之</w:t>
      </w:r>
      <w:r w:rsidRPr="003F5882">
        <w:rPr>
          <w:rFonts w:ascii="Arial" w:hAnsi="Arial" w:cs="Times New Roman"/>
          <w:sz w:val="21"/>
        </w:rPr>
        <w:t>前</w:t>
      </w:r>
      <w:proofErr w:type="gramEnd"/>
      <w:r w:rsidR="00D80801" w:rsidRPr="003F5882">
        <w:rPr>
          <w:rFonts w:ascii="Arial" w:hAnsi="Arial" w:cs="Times New Roman" w:hint="eastAsia"/>
          <w:sz w:val="21"/>
        </w:rPr>
        <w:t>四</w:t>
      </w:r>
      <w:r w:rsidRPr="003F5882">
        <w:rPr>
          <w:rFonts w:ascii="Arial" w:hAnsi="Arial" w:cs="Times New Roman"/>
          <w:sz w:val="21"/>
        </w:rPr>
        <w:t>年ASHI负债产生的</w:t>
      </w:r>
      <w:r w:rsidR="007B516A" w:rsidRPr="003F5882">
        <w:rPr>
          <w:rFonts w:ascii="Arial" w:hAnsi="Arial" w:cs="Times New Roman"/>
          <w:sz w:val="21"/>
        </w:rPr>
        <w:t>固定福利债务</w:t>
      </w:r>
      <w:r w:rsidRPr="003F5882">
        <w:rPr>
          <w:rFonts w:ascii="Arial" w:hAnsi="Arial" w:cs="Times New Roman"/>
          <w:sz w:val="21"/>
        </w:rPr>
        <w:t>和经验调整的现值</w:t>
      </w:r>
      <w:r w:rsidR="00D80801" w:rsidRPr="003F5882">
        <w:rPr>
          <w:rFonts w:ascii="Arial" w:hAnsi="Arial" w:cs="Times New Roman" w:hint="eastAsia"/>
          <w:sz w:val="21"/>
        </w:rPr>
        <w:t>：</w:t>
      </w:r>
    </w:p>
    <w:p w:rsidR="006C0099" w:rsidRPr="003F5882"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960745" cy="1078230"/>
            <wp:effectExtent l="0" t="0" r="1905" b="762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60745" cy="1078230"/>
                    </a:xfrm>
                    <a:prstGeom prst="rect">
                      <a:avLst/>
                    </a:prstGeom>
                    <a:noFill/>
                    <a:ln>
                      <a:noFill/>
                    </a:ln>
                  </pic:spPr>
                </pic:pic>
              </a:graphicData>
            </a:graphic>
          </wp:inline>
        </w:drawing>
      </w:r>
    </w:p>
    <w:p w:rsidR="007D62CB" w:rsidRDefault="00167580" w:rsidP="007D62CB">
      <w:pPr>
        <w:pStyle w:val="Style3"/>
        <w:spacing w:afterLines="50" w:line="340" w:lineRule="atLeast"/>
        <w:rPr>
          <w:rFonts w:ascii="Arial" w:hAnsi="Arial" w:cs="Times New Roman"/>
          <w:sz w:val="21"/>
          <w:szCs w:val="22"/>
        </w:rPr>
      </w:pPr>
      <w:r w:rsidRPr="003F5882">
        <w:rPr>
          <w:rFonts w:ascii="Arial" w:hAnsi="Arial" w:cs="Times New Roman" w:hint="eastAsia"/>
          <w:sz w:val="21"/>
        </w:rPr>
        <w:t>确</w:t>
      </w:r>
      <w:r w:rsidR="006C0099" w:rsidRPr="003F5882">
        <w:rPr>
          <w:rFonts w:ascii="Arial" w:hAnsi="Arial" w:cs="Times New Roman"/>
          <w:sz w:val="21"/>
        </w:rPr>
        <w:t>定ASHI负债以及</w:t>
      </w:r>
      <w:r w:rsidR="007B516A" w:rsidRPr="003F5882">
        <w:rPr>
          <w:rFonts w:ascii="Arial" w:hAnsi="Arial" w:cs="Times New Roman"/>
          <w:sz w:val="21"/>
        </w:rPr>
        <w:t>固定福利债务</w:t>
      </w:r>
      <w:r w:rsidR="006C0099" w:rsidRPr="003F5882">
        <w:rPr>
          <w:rFonts w:ascii="Arial" w:hAnsi="Arial" w:cs="Times New Roman"/>
          <w:sz w:val="21"/>
        </w:rPr>
        <w:t>采用的主要假设如下所示：</w:t>
      </w:r>
    </w:p>
    <w:p w:rsidR="007D62CB"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736590" cy="3528060"/>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6590" cy="3528060"/>
                    </a:xfrm>
                    <a:prstGeom prst="rect">
                      <a:avLst/>
                    </a:prstGeom>
                    <a:noFill/>
                    <a:ln>
                      <a:noFill/>
                    </a:ln>
                  </pic:spPr>
                </pic:pic>
              </a:graphicData>
            </a:graphic>
          </wp:inline>
        </w:drawing>
      </w:r>
    </w:p>
    <w:p w:rsidR="007D62CB" w:rsidRDefault="006C0099" w:rsidP="006F16A3">
      <w:pPr>
        <w:pStyle w:val="Style3"/>
        <w:keepNext/>
        <w:spacing w:afterLines="50" w:line="340" w:lineRule="atLeast"/>
        <w:rPr>
          <w:rFonts w:ascii="Arial" w:hAnsi="Arial" w:cs="Times New Roman"/>
          <w:sz w:val="21"/>
          <w:szCs w:val="22"/>
        </w:rPr>
      </w:pPr>
      <w:r w:rsidRPr="003F5882">
        <w:rPr>
          <w:rFonts w:ascii="Arial" w:hAnsi="Arial" w:cs="Times New Roman"/>
          <w:noProof/>
          <w:sz w:val="21"/>
        </w:rPr>
        <w:lastRenderedPageBreak/>
        <w:t>假设的医疗成本趋势对ASHI债务计算的数额带来了重大影响。假设的医疗成本趋势中一个百分点的变化便会产生以下影响：</w:t>
      </w:r>
    </w:p>
    <w:p w:rsidR="007D62CB" w:rsidRDefault="006F16A3" w:rsidP="006F16A3">
      <w:pPr>
        <w:spacing w:afterLines="50" w:after="120"/>
        <w:jc w:val="center"/>
        <w:rPr>
          <w:rFonts w:ascii="Arial" w:hAnsi="Arial" w:cs="Times New Roman"/>
          <w:sz w:val="20"/>
          <w:szCs w:val="20"/>
        </w:rPr>
      </w:pPr>
      <w:r w:rsidRPr="006F16A3">
        <w:rPr>
          <w:noProof/>
          <w:lang w:val="en-US" w:bidi="ar-SA"/>
        </w:rPr>
        <w:drawing>
          <wp:inline distT="0" distB="0" distL="0" distR="0">
            <wp:extent cx="5943600" cy="1915160"/>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3600" cy="1915160"/>
                    </a:xfrm>
                    <a:prstGeom prst="rect">
                      <a:avLst/>
                    </a:prstGeom>
                    <a:noFill/>
                    <a:ln>
                      <a:noFill/>
                    </a:ln>
                  </pic:spPr>
                </pic:pic>
              </a:graphicData>
            </a:graphic>
          </wp:inline>
        </w:drawing>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联合国合办工作人员养恤基金</w:t>
      </w:r>
      <w:r w:rsidR="00F453AC" w:rsidRPr="003374D7">
        <w:rPr>
          <w:rFonts w:eastAsia="SimSun" w:cs="Times New Roman" w:hint="eastAsia"/>
          <w:sz w:val="21"/>
        </w:rPr>
        <w:t>（</w:t>
      </w:r>
      <w:r w:rsidRPr="003374D7">
        <w:rPr>
          <w:rFonts w:eastAsia="SimSun" w:cs="Times New Roman"/>
          <w:sz w:val="21"/>
        </w:rPr>
        <w:t>UNJSPF</w:t>
      </w:r>
      <w:r w:rsidR="00F453AC" w:rsidRPr="003374D7">
        <w:rPr>
          <w:rFonts w:eastAsia="SimSun" w:cs="Times New Roman" w:hint="eastAsia"/>
          <w:sz w:val="21"/>
        </w:rPr>
        <w:t>）</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《养恤基金条例》规定，养恤金委员会应聘请顾问精算</w:t>
      </w:r>
      <w:proofErr w:type="gramStart"/>
      <w:r w:rsidRPr="003F5882">
        <w:rPr>
          <w:rFonts w:ascii="Arial" w:hAnsi="Arial" w:cs="Times New Roman"/>
          <w:sz w:val="21"/>
        </w:rPr>
        <w:t>师至少</w:t>
      </w:r>
      <w:proofErr w:type="gramEnd"/>
      <w:r w:rsidRPr="003F5882">
        <w:rPr>
          <w:rFonts w:ascii="Arial" w:hAnsi="Arial" w:cs="Times New Roman"/>
          <w:sz w:val="21"/>
        </w:rPr>
        <w:t>每三年对基金进行一次精算估值。养恤金委员会沿用的惯例是使用开放团体总额方法，每两年进行一次精算估值。精算估值的主要目的在于确定养恤基金当前和估算的未来资产是否将足以偿付其负债。</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WIPO对UNJSPF承担的财务义务，包括以联合国大会确定的比率计算的应缴部分</w:t>
      </w:r>
      <w:r w:rsidR="00F453AC" w:rsidRPr="003F5882">
        <w:rPr>
          <w:rFonts w:ascii="Arial" w:hAnsi="Arial" w:cs="Times New Roman" w:hint="eastAsia"/>
          <w:sz w:val="21"/>
        </w:rPr>
        <w:t>（</w:t>
      </w:r>
      <w:r w:rsidRPr="003F5882">
        <w:rPr>
          <w:rFonts w:ascii="Arial" w:hAnsi="Arial" w:cs="Times New Roman"/>
          <w:sz w:val="21"/>
        </w:rPr>
        <w:t>目前参加者支付7.9%，成员组织支付15.8%</w:t>
      </w:r>
      <w:r w:rsidR="00F453AC" w:rsidRPr="003F5882">
        <w:rPr>
          <w:rFonts w:ascii="Arial" w:hAnsi="Arial" w:cs="Times New Roman" w:hint="eastAsia"/>
          <w:sz w:val="21"/>
        </w:rPr>
        <w:t>）</w:t>
      </w:r>
      <w:r w:rsidRPr="003F5882">
        <w:rPr>
          <w:rFonts w:ascii="Arial" w:hAnsi="Arial" w:cs="Times New Roman"/>
          <w:sz w:val="21"/>
        </w:rPr>
        <w:t>以及根据《养恤基金条例》第26条的规定本组织在任何应付精算短缺付款中的份额。只有联合国大会在依据估值日对养恤金基金的精算充足性进行评估，确定需要付款以弥补短缺并援引《养恤基金条例》第26条的规定时，才应支付这种款项。每个成员组织应按估值日之前三年在交款总额中各自支付所占比例，分摊该短缺金额。</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精算估值是在2013年12月31日进行的。估值结果显示了占</w:t>
      </w:r>
      <w:proofErr w:type="gramStart"/>
      <w:r w:rsidRPr="003F5882">
        <w:rPr>
          <w:rFonts w:ascii="Arial" w:hAnsi="Arial" w:cs="Times New Roman"/>
          <w:sz w:val="21"/>
        </w:rPr>
        <w:t>应计养恤金</w:t>
      </w:r>
      <w:proofErr w:type="gramEnd"/>
      <w:r w:rsidRPr="003F5882">
        <w:rPr>
          <w:rFonts w:ascii="Arial" w:hAnsi="Arial" w:cs="Times New Roman"/>
          <w:sz w:val="21"/>
        </w:rPr>
        <w:t>薪酬0.72%</w:t>
      </w:r>
      <w:r w:rsidR="00F453AC" w:rsidRPr="003F5882">
        <w:rPr>
          <w:rFonts w:ascii="Arial" w:hAnsi="Arial" w:cs="Times New Roman" w:hint="eastAsia"/>
          <w:sz w:val="21"/>
        </w:rPr>
        <w:t>（</w:t>
      </w:r>
      <w:r w:rsidRPr="003F5882">
        <w:rPr>
          <w:rFonts w:ascii="Arial" w:hAnsi="Arial" w:cs="Times New Roman"/>
          <w:sz w:val="21"/>
        </w:rPr>
        <w:t>2011年估值结果为1.87%</w:t>
      </w:r>
      <w:r w:rsidR="00F453AC" w:rsidRPr="003F5882">
        <w:rPr>
          <w:rFonts w:ascii="Arial" w:hAnsi="Arial" w:cs="Times New Roman" w:hint="eastAsia"/>
          <w:sz w:val="21"/>
        </w:rPr>
        <w:t>）</w:t>
      </w:r>
      <w:r w:rsidRPr="003F5882">
        <w:rPr>
          <w:rFonts w:ascii="Arial" w:hAnsi="Arial" w:cs="Times New Roman"/>
          <w:sz w:val="21"/>
        </w:rPr>
        <w:t>的精算赤字，这意味着从2013年12月31日起要实现平衡，理论上所需的缴费率为</w:t>
      </w:r>
      <w:proofErr w:type="gramStart"/>
      <w:r w:rsidRPr="003F5882">
        <w:rPr>
          <w:rFonts w:ascii="Arial" w:hAnsi="Arial" w:cs="Times New Roman"/>
          <w:sz w:val="21"/>
        </w:rPr>
        <w:t>应计养恤金</w:t>
      </w:r>
      <w:proofErr w:type="gramEnd"/>
      <w:r w:rsidRPr="003F5882">
        <w:rPr>
          <w:rFonts w:ascii="Arial" w:hAnsi="Arial" w:cs="Times New Roman"/>
          <w:sz w:val="21"/>
        </w:rPr>
        <w:t>薪酬的24.42%，相比之下，</w:t>
      </w:r>
      <w:proofErr w:type="gramStart"/>
      <w:r w:rsidRPr="003F5882">
        <w:rPr>
          <w:rFonts w:ascii="Arial" w:hAnsi="Arial" w:cs="Times New Roman"/>
          <w:sz w:val="21"/>
        </w:rPr>
        <w:t>实际养</w:t>
      </w:r>
      <w:proofErr w:type="gramEnd"/>
      <w:r w:rsidRPr="003F5882">
        <w:rPr>
          <w:rFonts w:ascii="Arial" w:hAnsi="Arial" w:cs="Times New Roman"/>
          <w:sz w:val="21"/>
        </w:rPr>
        <w:t>恤金缴费率为23.7</w:t>
      </w:r>
      <w:r w:rsidR="005B3B2F" w:rsidRPr="003F5882">
        <w:rPr>
          <w:rFonts w:ascii="Arial" w:hAnsi="Arial" w:cs="Times New Roman" w:hint="eastAsia"/>
          <w:sz w:val="21"/>
        </w:rPr>
        <w:t>0</w:t>
      </w:r>
      <w:r w:rsidRPr="003F5882">
        <w:rPr>
          <w:rFonts w:ascii="Arial" w:hAnsi="Arial" w:cs="Times New Roman"/>
          <w:sz w:val="21"/>
        </w:rPr>
        <w:t>%。下一次精算估值将</w:t>
      </w:r>
      <w:r w:rsidR="005B3B2F" w:rsidRPr="003F5882">
        <w:rPr>
          <w:rFonts w:ascii="Arial" w:hAnsi="Arial" w:cs="Times New Roman" w:hint="eastAsia"/>
          <w:sz w:val="21"/>
        </w:rPr>
        <w:t>在</w:t>
      </w:r>
      <w:r w:rsidRPr="003F5882">
        <w:rPr>
          <w:rFonts w:ascii="Arial" w:hAnsi="Arial" w:cs="Times New Roman"/>
          <w:sz w:val="21"/>
        </w:rPr>
        <w:t>2015年12月31日</w:t>
      </w:r>
      <w:r w:rsidRPr="003F5882">
        <w:rPr>
          <w:rFonts w:ascii="Arial" w:hAnsi="Arial" w:cs="Times New Roman" w:hint="eastAsia"/>
          <w:sz w:val="21"/>
        </w:rPr>
        <w:t>开始进行。</w:t>
      </w:r>
    </w:p>
    <w:p w:rsidR="007D62CB" w:rsidRDefault="006C0099" w:rsidP="006C0099">
      <w:pPr>
        <w:tabs>
          <w:tab w:val="num" w:pos="1080"/>
        </w:tabs>
        <w:autoSpaceDE w:val="0"/>
        <w:autoSpaceDN w:val="0"/>
        <w:adjustRightInd w:val="0"/>
        <w:jc w:val="both"/>
        <w:rPr>
          <w:rFonts w:ascii="Arial" w:hAnsi="Arial" w:cs="Times New Roman"/>
          <w:sz w:val="21"/>
          <w:szCs w:val="22"/>
        </w:rPr>
      </w:pPr>
      <w:r w:rsidRPr="003F5882">
        <w:rPr>
          <w:rFonts w:ascii="Arial" w:hAnsi="Arial" w:cs="Times New Roman"/>
          <w:sz w:val="21"/>
        </w:rPr>
        <w:t>截至2013年12月31日，精算资产与精算负债的资助比率，在未进行未来养恤金调整的情况下为127.5%</w:t>
      </w:r>
      <w:r w:rsidR="00F453AC" w:rsidRPr="003F5882">
        <w:rPr>
          <w:rFonts w:ascii="Arial" w:hAnsi="Arial" w:cs="Times New Roman" w:hint="eastAsia"/>
          <w:sz w:val="21"/>
        </w:rPr>
        <w:t>（</w:t>
      </w:r>
      <w:r w:rsidRPr="003F5882">
        <w:rPr>
          <w:rFonts w:ascii="Arial" w:hAnsi="Arial" w:cs="Times New Roman"/>
          <w:sz w:val="21"/>
        </w:rPr>
        <w:t>2011年估值为130.0%</w:t>
      </w:r>
      <w:r w:rsidR="00F453AC" w:rsidRPr="003F5882">
        <w:rPr>
          <w:rFonts w:ascii="Arial" w:hAnsi="Arial" w:cs="Times New Roman" w:hint="eastAsia"/>
          <w:sz w:val="21"/>
        </w:rPr>
        <w:t>）</w:t>
      </w:r>
      <w:r w:rsidRPr="003F5882">
        <w:rPr>
          <w:rFonts w:ascii="Arial" w:hAnsi="Arial" w:cs="Times New Roman"/>
          <w:sz w:val="21"/>
        </w:rPr>
        <w:t>。在顾及当前养恤金调整制度的情况下，资助比率为91.2%</w:t>
      </w:r>
      <w:r w:rsidR="00F453AC" w:rsidRPr="003F5882">
        <w:rPr>
          <w:rFonts w:ascii="Arial" w:hAnsi="Arial" w:cs="Times New Roman" w:hint="eastAsia"/>
          <w:sz w:val="21"/>
        </w:rPr>
        <w:t>（</w:t>
      </w:r>
      <w:r w:rsidRPr="003F5882">
        <w:rPr>
          <w:rFonts w:ascii="Arial" w:hAnsi="Arial" w:cs="Times New Roman"/>
          <w:sz w:val="21"/>
        </w:rPr>
        <w:t>2011年为86.2%</w:t>
      </w:r>
      <w:r w:rsidR="00F453AC" w:rsidRPr="003F5882">
        <w:rPr>
          <w:rFonts w:ascii="Arial" w:hAnsi="Arial" w:cs="Times New Roman" w:hint="eastAsia"/>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对基金的精算充足性进行评估后，顾问精算师得出结论，截至2013年12月31日，由于基金下资产的精算价值超过了所有累计负债的精算价值，因此，不存在根据《基金条例》第26条所要求的短缺支付问题。此外，截至估值日止，资产的市场价值亦超过了所有累计负债的价值。在本报告发布时，大会并未援引第26条的条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2012年12月和2013年4月，大会授权将基金新参加者的正常退休年龄和强制离职年龄分别提高至65岁，最迟于2014年1月1日开始实行。大会于2013年12月核准了《养恤基金条例》的相关变化。从2013年12月31日起，提高正常的退休年龄将反映在基金的精算估值中。</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2014年，WIPO对UNJSPF缴纳的退休计划缴费总额为2,600</w:t>
      </w:r>
      <w:proofErr w:type="gramStart"/>
      <w:r w:rsidRPr="003F5882">
        <w:rPr>
          <w:rFonts w:ascii="Arial" w:hAnsi="Arial" w:cs="Times New Roman"/>
          <w:sz w:val="21"/>
        </w:rPr>
        <w:t>万瑞</w:t>
      </w:r>
      <w:proofErr w:type="gramEnd"/>
      <w:r w:rsidRPr="003F5882">
        <w:rPr>
          <w:rFonts w:ascii="Arial" w:hAnsi="Arial" w:cs="Times New Roman"/>
          <w:sz w:val="21"/>
        </w:rPr>
        <w:t>郎［2013年为2,610</w:t>
      </w:r>
      <w:proofErr w:type="gramStart"/>
      <w:r w:rsidRPr="003F5882">
        <w:rPr>
          <w:rFonts w:ascii="Arial" w:hAnsi="Arial" w:cs="Times New Roman"/>
          <w:sz w:val="21"/>
        </w:rPr>
        <w:t>万瑞</w:t>
      </w:r>
      <w:proofErr w:type="gramEnd"/>
      <w:r w:rsidRPr="003F5882">
        <w:rPr>
          <w:rFonts w:ascii="Arial" w:hAnsi="Arial" w:cs="Times New Roman"/>
          <w:sz w:val="21"/>
        </w:rPr>
        <w:t>郎］。预期2015年到期的缴费额为2,660万瑞郎。联合国审计委员会每年对UNJSPF进行一次审</w:t>
      </w:r>
      <w:r w:rsidR="0062686F" w:rsidRPr="003F5882">
        <w:rPr>
          <w:rFonts w:ascii="Arial" w:hAnsi="Arial" w:cs="Times New Roman" w:hint="eastAsia"/>
          <w:sz w:val="21"/>
        </w:rPr>
        <w:t>计</w:t>
      </w:r>
      <w:r w:rsidRPr="003F5882">
        <w:rPr>
          <w:rFonts w:ascii="Arial" w:hAnsi="Arial" w:cs="Times New Roman"/>
          <w:sz w:val="21"/>
        </w:rPr>
        <w:t>，并就审计情况每年向UNJSPF养恤金委员会做出报告。UNJSPF每季度发表投资报告。有关这些报告的详情，可访问UNJSPF网站：</w:t>
      </w:r>
      <w:hyperlink r:id="rId87">
        <w:r w:rsidRPr="003F5882">
          <w:rPr>
            <w:rStyle w:val="ac"/>
            <w:rFonts w:ascii="Arial" w:hAnsi="Arial" w:cs="Times New Roman"/>
            <w:sz w:val="21"/>
          </w:rPr>
          <w:t>www.unjspf.org</w:t>
        </w:r>
      </w:hyperlink>
      <w:r w:rsidR="0062686F" w:rsidRPr="003F5882">
        <w:rPr>
          <w:rFonts w:ascii="Arial" w:hAnsi="Arial" w:cs="Times New Roman" w:hint="eastAsia"/>
          <w:sz w:val="21"/>
        </w:rPr>
        <w:t>。</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附注13：</w:t>
      </w:r>
      <w:r w:rsidRPr="00F453AC">
        <w:rPr>
          <w:rFonts w:ascii="Arial" w:eastAsia="SimHei" w:hAnsi="Arial" w:cs="Times New Roman"/>
          <w:b w:val="0"/>
          <w:sz w:val="21"/>
        </w:rPr>
        <w:tab/>
        <w:t>应付转</w:t>
      </w:r>
      <w:r w:rsidR="007B51AD" w:rsidRPr="00F453AC">
        <w:rPr>
          <w:rFonts w:ascii="Arial" w:eastAsia="SimHei" w:hAnsi="Arial" w:cs="Times New Roman"/>
          <w:b w:val="0"/>
          <w:sz w:val="21"/>
        </w:rPr>
        <w:t>账</w:t>
      </w:r>
      <w:r w:rsidRPr="00F453AC">
        <w:rPr>
          <w:rFonts w:ascii="Arial" w:eastAsia="SimHei" w:hAnsi="Arial" w:cs="Times New Roman"/>
          <w:b w:val="0"/>
          <w:sz w:val="21"/>
        </w:rPr>
        <w:t>款</w:t>
      </w:r>
    </w:p>
    <w:p w:rsidR="006C0099" w:rsidRPr="003F5882"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736590" cy="2717165"/>
            <wp:effectExtent l="0" t="0" r="0"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6590" cy="2717165"/>
                    </a:xfrm>
                    <a:prstGeom prst="rect">
                      <a:avLst/>
                    </a:prstGeom>
                    <a:noFill/>
                    <a:ln>
                      <a:noFill/>
                    </a:ln>
                  </pic:spPr>
                </pic:pic>
              </a:graphicData>
            </a:graphic>
          </wp:inline>
        </w:drawing>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本组织代表《马德里协定》和《议定书》以及《海牙协定共同实施细则》的缔约方收费。本组织的PCT国际局向申请人收取资金，用以抵偿向国际检索单位支付的费用。此外，本组织收取在通过仲裁与调解中心处理的案件中直接支付给调解人、仲裁人或专</w:t>
      </w:r>
      <w:r w:rsidR="00867E7C" w:rsidRPr="003F5882">
        <w:rPr>
          <w:rFonts w:ascii="Arial" w:hAnsi="Arial" w:cs="Times New Roman" w:hint="eastAsia"/>
          <w:sz w:val="21"/>
        </w:rPr>
        <w:t>家</w:t>
      </w:r>
      <w:r w:rsidRPr="003F5882">
        <w:rPr>
          <w:rFonts w:ascii="Arial" w:hAnsi="Arial" w:cs="Times New Roman"/>
          <w:sz w:val="21"/>
        </w:rPr>
        <w:t>组成员的费用。本组织在根据本组织管辖的各项条约和协定向最终受益人移交之前暂时持有这些资金。以下是本组织在本两年期的收费总额和对各项收费的说明：</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马德里联盟补充费和附加费</w:t>
      </w:r>
      <w:r w:rsidRPr="003F5882">
        <w:rPr>
          <w:rFonts w:ascii="Arial" w:hAnsi="Arial" w:cs="Times New Roman"/>
          <w:sz w:val="21"/>
        </w:rPr>
        <w:t>：根据《马德里协定》</w:t>
      </w:r>
      <w:r w:rsidR="00F453AC" w:rsidRPr="003F5882">
        <w:rPr>
          <w:rFonts w:ascii="Arial" w:hAnsi="Arial" w:cs="Times New Roman"/>
          <w:sz w:val="21"/>
        </w:rPr>
        <w:t>［</w:t>
      </w:r>
      <w:r w:rsidRPr="003F5882">
        <w:rPr>
          <w:rFonts w:ascii="Arial" w:hAnsi="Arial" w:cs="Times New Roman"/>
          <w:sz w:val="21"/>
        </w:rPr>
        <w:t>第8条第(2)款(b)项和(c)项</w:t>
      </w:r>
      <w:r w:rsidR="00F453AC" w:rsidRPr="003F5882">
        <w:rPr>
          <w:rFonts w:ascii="Arial" w:hAnsi="Arial" w:cs="Times New Roman"/>
          <w:sz w:val="21"/>
        </w:rPr>
        <w:t>］</w:t>
      </w:r>
      <w:r w:rsidRPr="003F5882">
        <w:rPr>
          <w:rFonts w:ascii="Arial" w:hAnsi="Arial" w:cs="Times New Roman"/>
          <w:sz w:val="21"/>
        </w:rPr>
        <w:t>和《马德里议定书》</w:t>
      </w:r>
      <w:r w:rsidR="00F453AC" w:rsidRPr="003F5882">
        <w:rPr>
          <w:rFonts w:ascii="Arial" w:hAnsi="Arial" w:cs="Times New Roman"/>
          <w:sz w:val="21"/>
        </w:rPr>
        <w:t>［</w:t>
      </w:r>
      <w:r w:rsidRPr="003F5882">
        <w:rPr>
          <w:rFonts w:ascii="Arial" w:hAnsi="Arial" w:cs="Times New Roman"/>
          <w:sz w:val="21"/>
        </w:rPr>
        <w:t>第8条第(2)款第(ii)项和第(iii)项</w:t>
      </w:r>
      <w:r w:rsidR="00F453AC" w:rsidRPr="003F5882">
        <w:rPr>
          <w:rFonts w:ascii="Arial" w:hAnsi="Arial" w:cs="Times New Roman"/>
          <w:sz w:val="21"/>
        </w:rPr>
        <w:t>］</w:t>
      </w:r>
      <w:r w:rsidRPr="003F5882">
        <w:rPr>
          <w:rFonts w:ascii="Arial" w:hAnsi="Arial" w:cs="Times New Roman"/>
          <w:sz w:val="21"/>
        </w:rPr>
        <w:t>，本组织代表缔约方收取补充费和附加费，每份申请或续展为100瑞郎。应付给每一缔约方的金额根据该方提供的服务</w:t>
      </w:r>
      <w:r w:rsidR="00F453AC" w:rsidRPr="003F5882">
        <w:rPr>
          <w:rFonts w:ascii="Arial" w:hAnsi="Arial" w:cs="Times New Roman" w:hint="eastAsia"/>
          <w:sz w:val="21"/>
        </w:rPr>
        <w:t>（</w:t>
      </w:r>
      <w:r w:rsidRPr="003F5882">
        <w:rPr>
          <w:rFonts w:ascii="Arial" w:hAnsi="Arial" w:cs="Times New Roman"/>
          <w:sz w:val="21"/>
        </w:rPr>
        <w:t>执行审查</w:t>
      </w:r>
      <w:r w:rsidR="00F453AC" w:rsidRPr="003F5882">
        <w:rPr>
          <w:rFonts w:ascii="Arial" w:hAnsi="Arial" w:cs="Times New Roman" w:hint="eastAsia"/>
          <w:sz w:val="21"/>
        </w:rPr>
        <w:t>）</w:t>
      </w:r>
      <w:r w:rsidRPr="003F5882">
        <w:rPr>
          <w:rFonts w:ascii="Arial" w:hAnsi="Arial" w:cs="Times New Roman"/>
          <w:sz w:val="21"/>
        </w:rPr>
        <w:t>不等。资金每年于报告日之后在上半年转账。</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马德里联盟单独</w:t>
      </w:r>
      <w:proofErr w:type="gramStart"/>
      <w:r w:rsidRPr="00DA4636">
        <w:rPr>
          <w:rFonts w:ascii="Arial" w:eastAsia="KaiTi" w:hAnsi="Arial" w:cs="Times New Roman"/>
          <w:i/>
          <w:sz w:val="21"/>
        </w:rPr>
        <w:t>规</w:t>
      </w:r>
      <w:proofErr w:type="gramEnd"/>
      <w:r w:rsidRPr="00DA4636">
        <w:rPr>
          <w:rFonts w:ascii="Arial" w:eastAsia="KaiTi" w:hAnsi="Arial" w:cs="Times New Roman"/>
          <w:i/>
          <w:sz w:val="21"/>
        </w:rPr>
        <w:t>费</w:t>
      </w:r>
      <w:r w:rsidRPr="003F5882">
        <w:rPr>
          <w:rFonts w:ascii="Arial" w:hAnsi="Arial" w:cs="Times New Roman"/>
          <w:sz w:val="21"/>
        </w:rPr>
        <w:t>：根据《马德里议定书》第8条第(7)款及《共同实施细则》第38条，缔约方可规定费用，由本组织收取，在登记费用所涉的注册或续展指定后一个月内向缔约方转付。选择规定单独规费的缔约方不能收取上述补充费和附加费。列出的应付额为报告期期末待转账的</w:t>
      </w:r>
      <w:proofErr w:type="gramStart"/>
      <w:r w:rsidRPr="003F5882">
        <w:rPr>
          <w:rFonts w:ascii="Arial" w:hAnsi="Arial" w:cs="Times New Roman"/>
          <w:sz w:val="21"/>
        </w:rPr>
        <w:t>规</w:t>
      </w:r>
      <w:proofErr w:type="gramEnd"/>
      <w:r w:rsidRPr="003F5882">
        <w:rPr>
          <w:rFonts w:ascii="Arial" w:hAnsi="Arial" w:cs="Times New Roman"/>
          <w:sz w:val="21"/>
        </w:rPr>
        <w:t>费。</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马德里联盟预缴款</w:t>
      </w:r>
      <w:r w:rsidRPr="003F5882">
        <w:rPr>
          <w:rFonts w:ascii="Arial" w:hAnsi="Arial" w:cs="Times New Roman"/>
          <w:sz w:val="21"/>
        </w:rPr>
        <w:t>：本组织从马德里体系申请人处收到支付的款项，按照与商标相关的未决程序，这些款项被视为预缴款。在这些预缴款中，有一部分是WIPO代第三方收取的资金，随后要按照条约转账。财务报表的应付转账款包含了这部分预交款的概算。预缴款中由本组织预先收取的费用概算包含在财务报表的预售款中</w:t>
      </w:r>
      <w:r w:rsidR="00F453AC" w:rsidRPr="003F5882">
        <w:rPr>
          <w:rFonts w:ascii="Arial" w:hAnsi="Arial" w:cs="Times New Roman" w:hint="eastAsia"/>
          <w:sz w:val="21"/>
        </w:rPr>
        <w:t>（</w:t>
      </w:r>
      <w:r w:rsidRPr="003F5882">
        <w:rPr>
          <w:rFonts w:ascii="Arial" w:hAnsi="Arial" w:cs="Times New Roman"/>
          <w:sz w:val="21"/>
        </w:rPr>
        <w:t>见附注14</w:t>
      </w:r>
      <w:r w:rsidR="00F453AC" w:rsidRPr="003F5882">
        <w:rPr>
          <w:rFonts w:ascii="Arial" w:hAnsi="Arial" w:cs="Times New Roman" w:hint="eastAsia"/>
          <w:sz w:val="21"/>
        </w:rPr>
        <w:t>）</w:t>
      </w:r>
      <w:r w:rsidRPr="003F5882">
        <w:rPr>
          <w:rFonts w:ascii="Arial" w:hAnsi="Arial" w:cs="Times New Roman"/>
          <w:sz w:val="21"/>
        </w:rPr>
        <w:t>。</w:t>
      </w:r>
    </w:p>
    <w:p w:rsidR="007D62CB" w:rsidRDefault="006C0099" w:rsidP="003374D7">
      <w:pPr>
        <w:pStyle w:val="Style3"/>
        <w:numPr>
          <w:ilvl w:val="0"/>
          <w:numId w:val="12"/>
        </w:numPr>
        <w:spacing w:afterLines="50" w:line="340" w:lineRule="atLeast"/>
        <w:ind w:left="714" w:hanging="357"/>
        <w:rPr>
          <w:rFonts w:ascii="Arial" w:hAnsi="Arial" w:cs="Times New Roman"/>
          <w:sz w:val="21"/>
          <w:u w:val="single"/>
        </w:rPr>
      </w:pPr>
      <w:r w:rsidRPr="00DA4636">
        <w:rPr>
          <w:rFonts w:ascii="Arial" w:eastAsia="KaiTi" w:hAnsi="Arial" w:cs="Times New Roman"/>
          <w:i/>
          <w:sz w:val="21"/>
        </w:rPr>
        <w:t>海牙联盟分配</w:t>
      </w:r>
      <w:r w:rsidRPr="003F5882">
        <w:rPr>
          <w:rFonts w:ascii="Arial" w:hAnsi="Arial" w:cs="Times New Roman"/>
          <w:sz w:val="21"/>
        </w:rPr>
        <w:t>：根据《海牙协定共同实施细则》的细则13.2条(a)款(iii)项、细则13.2条(e)款和细则24.2条，本组织代表缔约方为国际注册或续展收取一般国家规费、国家续展费和新颖性审查费。这些资金每月向缔约方支付。列出的应付额为报告期期末待转账的数额。</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马德里和海牙联盟待分费</w:t>
      </w:r>
      <w:r w:rsidRPr="003F5882">
        <w:rPr>
          <w:rFonts w:ascii="Arial" w:hAnsi="Arial" w:cs="Times New Roman"/>
          <w:sz w:val="21"/>
        </w:rPr>
        <w:t>：如果未收到明确的付款指示或者缔约方要求确认后再付款，本组织则持有应付给缔约方的资金。所列数额包括总额为180万瑞郎的款项，应付给所有组成前南斯拉夫联</w:t>
      </w:r>
      <w:r w:rsidR="0034571D" w:rsidRPr="003F5882">
        <w:rPr>
          <w:rFonts w:ascii="Arial" w:hAnsi="Arial" w:cs="Times New Roman" w:hint="eastAsia"/>
          <w:sz w:val="21"/>
        </w:rPr>
        <w:t>盟</w:t>
      </w:r>
      <w:r w:rsidRPr="003F5882">
        <w:rPr>
          <w:rFonts w:ascii="Arial" w:hAnsi="Arial" w:cs="Times New Roman"/>
          <w:sz w:val="21"/>
        </w:rPr>
        <w:t>共和国的国家，即波斯尼亚和黑塞哥维那、克罗地亚、黑山、塞尔维亚、斯洛文尼亚和</w:t>
      </w:r>
      <w:r w:rsidRPr="003F5882">
        <w:rPr>
          <w:rFonts w:ascii="Arial" w:hAnsi="Arial" w:cs="Times New Roman"/>
          <w:sz w:val="21"/>
        </w:rPr>
        <w:lastRenderedPageBreak/>
        <w:t>前南斯拉夫的马其顿共和国。国际局一旦收到相关成员国之间关于应付给每个国家的金额的相互协定，即进行支付。</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仲裁与调解中心预缴款</w:t>
      </w:r>
      <w:r w:rsidRPr="003F5882">
        <w:rPr>
          <w:rFonts w:ascii="Arial" w:hAnsi="Arial" w:cs="Times New Roman"/>
          <w:sz w:val="21"/>
        </w:rPr>
        <w:t>：本组织为通过仲裁与调解中心进行的有关域名及其他知识产权相关问题的仲裁收取费用。除了付给本组织的费用外，当事人预缴一笔款项，数额相当于估算的仲裁员费用。如果仲裁员的费用超过估计，本组织可要求当事人提供所需的额外资金。收取的款项直接付给仲裁员，本组织不将其计为收入。前表所列金额为当事人已付但报告日未付给仲裁员的净金额。</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PCT国际检索单位</w:t>
      </w:r>
      <w:r w:rsidRPr="003F5882">
        <w:rPr>
          <w:rFonts w:ascii="Arial" w:hAnsi="Arial" w:cs="Times New Roman"/>
          <w:sz w:val="21"/>
        </w:rPr>
        <w:t>：国际局向在国际局提交国际专利申请的申请人收取费用，以支付本组织按《专利合作条约》</w:t>
      </w:r>
      <w:r w:rsidR="00F453AC" w:rsidRPr="003F5882">
        <w:rPr>
          <w:rFonts w:ascii="Arial" w:hAnsi="Arial" w:cs="Times New Roman" w:hint="eastAsia"/>
          <w:sz w:val="21"/>
        </w:rPr>
        <w:t>（</w:t>
      </w:r>
      <w:r w:rsidRPr="003F5882">
        <w:rPr>
          <w:rFonts w:ascii="Arial" w:hAnsi="Arial" w:cs="Times New Roman"/>
          <w:sz w:val="21"/>
        </w:rPr>
        <w:t>PCT</w:t>
      </w:r>
      <w:r w:rsidR="00F453AC" w:rsidRPr="003F5882">
        <w:rPr>
          <w:rFonts w:ascii="Arial" w:hAnsi="Arial" w:cs="Times New Roman" w:hint="eastAsia"/>
          <w:sz w:val="21"/>
        </w:rPr>
        <w:t>）</w:t>
      </w:r>
      <w:r w:rsidRPr="003F5882">
        <w:rPr>
          <w:rFonts w:ascii="Arial" w:hAnsi="Arial" w:cs="Times New Roman"/>
          <w:sz w:val="21"/>
        </w:rPr>
        <w:t>指定的国际检索单位进行国际检索的费用。前表所列金额为报告日应向国际检索单位转付的金额。</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应付给EOP的USPTO检索费</w:t>
      </w:r>
      <w:r w:rsidRPr="003F5882">
        <w:rPr>
          <w:rFonts w:ascii="Arial" w:hAnsi="Arial" w:cs="Times New Roman"/>
          <w:sz w:val="21"/>
        </w:rPr>
        <w:t>：根据欧洲专利局</w:t>
      </w:r>
      <w:r w:rsidR="00F453AC" w:rsidRPr="003F5882">
        <w:rPr>
          <w:rFonts w:ascii="Arial" w:hAnsi="Arial" w:cs="Times New Roman"/>
          <w:sz w:val="21"/>
        </w:rPr>
        <w:t>（</w:t>
      </w:r>
      <w:r w:rsidRPr="003F5882">
        <w:rPr>
          <w:rFonts w:ascii="Arial" w:hAnsi="Arial" w:cs="Times New Roman"/>
          <w:sz w:val="21"/>
        </w:rPr>
        <w:t>EPO</w:t>
      </w:r>
      <w:r w:rsidR="00F453AC" w:rsidRPr="003F5882">
        <w:rPr>
          <w:rFonts w:ascii="Arial" w:hAnsi="Arial" w:cs="Times New Roman"/>
          <w:sz w:val="21"/>
        </w:rPr>
        <w:t>）</w:t>
      </w:r>
      <w:r w:rsidRPr="003F5882">
        <w:rPr>
          <w:rFonts w:ascii="Arial" w:hAnsi="Arial" w:cs="Times New Roman"/>
          <w:sz w:val="21"/>
        </w:rPr>
        <w:t>、美国专利与商标局</w:t>
      </w:r>
      <w:r w:rsidR="00F453AC" w:rsidRPr="003F5882">
        <w:rPr>
          <w:rFonts w:ascii="Arial" w:hAnsi="Arial" w:cs="Times New Roman"/>
          <w:sz w:val="21"/>
        </w:rPr>
        <w:t>（</w:t>
      </w:r>
      <w:r w:rsidRPr="003F5882">
        <w:rPr>
          <w:rFonts w:ascii="Arial" w:hAnsi="Arial" w:cs="Times New Roman"/>
          <w:sz w:val="21"/>
        </w:rPr>
        <w:t>USPTO</w:t>
      </w:r>
      <w:r w:rsidR="00F453AC" w:rsidRPr="003F5882">
        <w:rPr>
          <w:rFonts w:ascii="Arial" w:hAnsi="Arial" w:cs="Times New Roman"/>
          <w:sz w:val="21"/>
        </w:rPr>
        <w:t>）</w:t>
      </w:r>
      <w:r w:rsidRPr="003F5882">
        <w:rPr>
          <w:rFonts w:ascii="Arial" w:hAnsi="Arial" w:cs="Times New Roman"/>
          <w:sz w:val="21"/>
        </w:rPr>
        <w:t>和WIPO达成的谅解备忘录，WIPO从USPTO获取应从USPTO</w:t>
      </w:r>
      <w:r w:rsidR="00F453AC" w:rsidRPr="003F5882">
        <w:rPr>
          <w:rFonts w:ascii="Arial" w:hAnsi="Arial" w:cs="Times New Roman" w:hint="eastAsia"/>
          <w:sz w:val="21"/>
        </w:rPr>
        <w:t>（</w:t>
      </w:r>
      <w:r w:rsidRPr="003F5882">
        <w:rPr>
          <w:rFonts w:ascii="Arial" w:hAnsi="Arial" w:cs="Times New Roman"/>
          <w:sz w:val="21"/>
        </w:rPr>
        <w:t>作为PCT收取单位</w:t>
      </w:r>
      <w:r w:rsidR="00F453AC" w:rsidRPr="003F5882">
        <w:rPr>
          <w:rFonts w:ascii="Arial" w:hAnsi="Arial" w:cs="Times New Roman" w:hint="eastAsia"/>
          <w:sz w:val="21"/>
        </w:rPr>
        <w:t>）</w:t>
      </w:r>
      <w:r w:rsidRPr="003F5882">
        <w:rPr>
          <w:rFonts w:ascii="Arial" w:hAnsi="Arial" w:cs="Times New Roman"/>
          <w:sz w:val="21"/>
        </w:rPr>
        <w:t>转付给EPO</w:t>
      </w:r>
      <w:r w:rsidR="00F453AC" w:rsidRPr="003F5882">
        <w:rPr>
          <w:rFonts w:ascii="Arial" w:hAnsi="Arial" w:cs="Times New Roman" w:hint="eastAsia"/>
          <w:sz w:val="21"/>
        </w:rPr>
        <w:t>（</w:t>
      </w:r>
      <w:r w:rsidRPr="003F5882">
        <w:rPr>
          <w:rFonts w:ascii="Arial" w:hAnsi="Arial" w:cs="Times New Roman"/>
          <w:sz w:val="21"/>
        </w:rPr>
        <w:t>作为国际检索单位</w:t>
      </w:r>
      <w:r w:rsidR="00F453AC" w:rsidRPr="003F5882">
        <w:rPr>
          <w:rFonts w:ascii="Arial" w:hAnsi="Arial" w:cs="Times New Roman"/>
          <w:sz w:val="21"/>
        </w:rPr>
        <w:t>）</w:t>
      </w:r>
      <w:r w:rsidRPr="003F5882">
        <w:rPr>
          <w:rFonts w:ascii="Arial" w:hAnsi="Arial" w:cs="Times New Roman"/>
          <w:sz w:val="21"/>
        </w:rPr>
        <w:t>的PCT检索费用，再由WIPO转付给EPO。此份谅解备忘录旨在完善检索费用转付的管理，降低国际</w:t>
      </w:r>
      <w:proofErr w:type="gramStart"/>
      <w:r w:rsidRPr="003F5882">
        <w:rPr>
          <w:rFonts w:ascii="Arial" w:hAnsi="Arial" w:cs="Times New Roman"/>
          <w:sz w:val="21"/>
        </w:rPr>
        <w:t>局履行</w:t>
      </w:r>
      <w:proofErr w:type="gramEnd"/>
      <w:r w:rsidRPr="003F5882">
        <w:rPr>
          <w:rFonts w:ascii="Arial" w:hAnsi="Arial" w:cs="Times New Roman"/>
          <w:sz w:val="21"/>
        </w:rPr>
        <w:t>PCT第16.1</w:t>
      </w:r>
      <w:r w:rsidR="00762C26" w:rsidRPr="003F5882">
        <w:rPr>
          <w:rFonts w:ascii="Arial" w:hAnsi="Arial" w:cs="Times New Roman" w:hint="eastAsia"/>
          <w:sz w:val="21"/>
        </w:rPr>
        <w:t>(</w:t>
      </w:r>
      <w:r w:rsidRPr="003F5882">
        <w:rPr>
          <w:rFonts w:ascii="Arial" w:hAnsi="Arial" w:cs="Times New Roman"/>
          <w:sz w:val="21"/>
        </w:rPr>
        <w:t>e</w:t>
      </w:r>
      <w:r w:rsidR="00762C26" w:rsidRPr="003F5882">
        <w:rPr>
          <w:rFonts w:ascii="Arial" w:hAnsi="Arial" w:cs="Times New Roman" w:hint="eastAsia"/>
          <w:sz w:val="21"/>
        </w:rPr>
        <w:t>)</w:t>
      </w:r>
      <w:r w:rsidRPr="003F5882">
        <w:rPr>
          <w:rFonts w:ascii="Arial" w:hAnsi="Arial" w:cs="Times New Roman"/>
          <w:sz w:val="21"/>
        </w:rPr>
        <w:t>条规定因汇率波动而遭受的损失。前表所列金额为WIPO获取的但</w:t>
      </w:r>
      <w:r w:rsidR="00762C26" w:rsidRPr="003F5882">
        <w:rPr>
          <w:rFonts w:ascii="Arial" w:hAnsi="Arial" w:cs="Times New Roman"/>
          <w:sz w:val="21"/>
        </w:rPr>
        <w:t>在报告日</w:t>
      </w:r>
      <w:r w:rsidRPr="003F5882">
        <w:rPr>
          <w:rFonts w:ascii="Arial" w:hAnsi="Arial" w:cs="Times New Roman"/>
          <w:sz w:val="21"/>
        </w:rPr>
        <w:t>尚未转付给EPO的转付余额。</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t>附注14：</w:t>
      </w:r>
      <w:r w:rsidRPr="00F453AC">
        <w:rPr>
          <w:rFonts w:ascii="Arial" w:eastAsia="SimHei" w:hAnsi="Arial" w:cs="Times New Roman"/>
          <w:b w:val="0"/>
          <w:sz w:val="21"/>
        </w:rPr>
        <w:tab/>
        <w:t>预收款</w:t>
      </w:r>
    </w:p>
    <w:p w:rsidR="006C0099" w:rsidRPr="003F5882" w:rsidRDefault="006F16A3" w:rsidP="006F16A3">
      <w:pPr>
        <w:spacing w:afterLines="50" w:after="120"/>
        <w:jc w:val="center"/>
        <w:rPr>
          <w:rFonts w:ascii="Arial" w:hAnsi="Arial" w:cs="Times New Roman"/>
        </w:rPr>
      </w:pPr>
      <w:r w:rsidRPr="006F16A3">
        <w:rPr>
          <w:noProof/>
          <w:lang w:val="en-US" w:bidi="ar-SA"/>
        </w:rPr>
        <w:drawing>
          <wp:inline distT="0" distB="0" distL="0" distR="0">
            <wp:extent cx="5736590" cy="3105785"/>
            <wp:effectExtent l="0" t="0" r="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6590" cy="3105785"/>
                    </a:xfrm>
                    <a:prstGeom prst="rect">
                      <a:avLst/>
                    </a:prstGeom>
                    <a:noFill/>
                    <a:ln>
                      <a:noFill/>
                    </a:ln>
                  </pic:spPr>
                </pic:pic>
              </a:graphicData>
            </a:graphic>
          </wp:inline>
        </w:drawing>
      </w:r>
    </w:p>
    <w:p w:rsidR="007D62CB" w:rsidRDefault="006C0099" w:rsidP="003374D7">
      <w:pPr>
        <w:pStyle w:val="Style3"/>
        <w:spacing w:afterLines="50" w:line="340" w:lineRule="atLeast"/>
        <w:rPr>
          <w:rFonts w:ascii="Arial" w:hAnsi="Arial" w:cs="Times New Roman"/>
          <w:sz w:val="21"/>
          <w:szCs w:val="22"/>
        </w:rPr>
      </w:pPr>
      <w:r w:rsidRPr="003F5882">
        <w:rPr>
          <w:rFonts w:ascii="Arial" w:hAnsi="Arial" w:cs="Times New Roman"/>
          <w:sz w:val="21"/>
        </w:rPr>
        <w:t>许多情况下，本组织在服务全部履行之前，或根据本组织管理的条约、协定、议定书和条例挣</w:t>
      </w:r>
      <w:proofErr w:type="gramStart"/>
      <w:r w:rsidRPr="003F5882">
        <w:rPr>
          <w:rFonts w:ascii="Arial" w:hAnsi="Arial" w:cs="Times New Roman"/>
          <w:sz w:val="21"/>
        </w:rPr>
        <w:t>得费用</w:t>
      </w:r>
      <w:proofErr w:type="gramEnd"/>
      <w:r w:rsidRPr="003F5882">
        <w:rPr>
          <w:rFonts w:ascii="Arial" w:hAnsi="Arial" w:cs="Times New Roman"/>
          <w:sz w:val="21"/>
        </w:rPr>
        <w:t>之前，便收取了</w:t>
      </w:r>
      <w:proofErr w:type="gramStart"/>
      <w:r w:rsidRPr="003F5882">
        <w:rPr>
          <w:rFonts w:ascii="Arial" w:hAnsi="Arial" w:cs="Times New Roman"/>
          <w:sz w:val="21"/>
        </w:rPr>
        <w:t>规</w:t>
      </w:r>
      <w:proofErr w:type="gramEnd"/>
      <w:r w:rsidRPr="003F5882">
        <w:rPr>
          <w:rFonts w:ascii="Arial" w:hAnsi="Arial" w:cs="Times New Roman"/>
          <w:sz w:val="21"/>
        </w:rPr>
        <w:t>费和服务费。有关国际申请处理的费用收入</w:t>
      </w:r>
      <w:r w:rsidR="00F453AC" w:rsidRPr="003F5882">
        <w:rPr>
          <w:rFonts w:ascii="Arial" w:hAnsi="Arial" w:cs="Times New Roman" w:hint="eastAsia"/>
          <w:sz w:val="21"/>
        </w:rPr>
        <w:t>（</w:t>
      </w:r>
      <w:r w:rsidRPr="003F5882">
        <w:rPr>
          <w:rFonts w:ascii="Arial" w:hAnsi="Arial" w:cs="Times New Roman"/>
          <w:sz w:val="21"/>
        </w:rPr>
        <w:t>商标、工业</w:t>
      </w:r>
      <w:r w:rsidR="007B51AD" w:rsidRPr="003F5882">
        <w:rPr>
          <w:rFonts w:ascii="Arial" w:hAnsi="Arial" w:cs="Times New Roman" w:hint="eastAsia"/>
          <w:sz w:val="21"/>
        </w:rPr>
        <w:t>品</w:t>
      </w:r>
      <w:r w:rsidRPr="003F5882">
        <w:rPr>
          <w:rFonts w:ascii="Arial" w:hAnsi="Arial" w:cs="Times New Roman"/>
          <w:sz w:val="21"/>
        </w:rPr>
        <w:t>外观设计、专利</w:t>
      </w:r>
      <w:r w:rsidR="00F453AC" w:rsidRPr="003F5882">
        <w:rPr>
          <w:rFonts w:ascii="Arial" w:hAnsi="Arial" w:cs="Times New Roman" w:hint="eastAsia"/>
          <w:sz w:val="21"/>
        </w:rPr>
        <w:t>）</w:t>
      </w:r>
      <w:r w:rsidRPr="003F5882">
        <w:rPr>
          <w:rFonts w:ascii="Arial" w:hAnsi="Arial" w:cs="Times New Roman"/>
          <w:sz w:val="21"/>
        </w:rPr>
        <w:t>在申请公布后入账。以纸件或EASY模式提交的国际专利申请的增加页数费用收入推迟到相关申请公布时再予以确认。此外，包括非英文专利性报告的翻译费用在内的国际专利申请规费部分也推迟到翻译完成之时予以确认。所有</w:t>
      </w:r>
      <w:proofErr w:type="gramStart"/>
      <w:r w:rsidRPr="003F5882">
        <w:rPr>
          <w:rFonts w:ascii="Arial" w:hAnsi="Arial" w:cs="Times New Roman"/>
          <w:sz w:val="21"/>
        </w:rPr>
        <w:t>规</w:t>
      </w:r>
      <w:proofErr w:type="gramEnd"/>
      <w:r w:rsidRPr="003F5882">
        <w:rPr>
          <w:rFonts w:ascii="Arial" w:hAnsi="Arial" w:cs="Times New Roman"/>
          <w:sz w:val="21"/>
        </w:rPr>
        <w:t>费收入，包括续展、提取、修改、放弃、转让、确认和调整费用，在完成服务时予以计入。</w:t>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载明要求本组织向受援国政府或</w:t>
      </w:r>
      <w:proofErr w:type="gramStart"/>
      <w:r w:rsidRPr="003F5882">
        <w:rPr>
          <w:rFonts w:ascii="Arial" w:hAnsi="Arial" w:cs="Times New Roman"/>
          <w:sz w:val="21"/>
        </w:rPr>
        <w:t>其他第三</w:t>
      </w:r>
      <w:proofErr w:type="gramEnd"/>
      <w:r w:rsidRPr="003F5882">
        <w:rPr>
          <w:rFonts w:ascii="Arial" w:hAnsi="Arial" w:cs="Times New Roman"/>
          <w:sz w:val="21"/>
        </w:rPr>
        <w:t>方提供服务条件的特别账户中捐助方的自愿捐助，被视为递延收入，直至提供自愿捐助所涉及的服务之后，才计入收入。</w:t>
      </w:r>
    </w:p>
    <w:p w:rsidR="007D62CB" w:rsidRDefault="006C0099" w:rsidP="003374D7">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升级WIPO现有办公楼安全和安保标准的建筑项目由国际组织办公楼基金会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供应部分资金。FIPOI供资的建筑工程纳入在建工程并转化为资本，相应的金额记为递延收入。截至2014年12月31日，递</w:t>
      </w:r>
      <w:proofErr w:type="gramStart"/>
      <w:r w:rsidRPr="003F5882">
        <w:rPr>
          <w:rFonts w:ascii="Arial" w:hAnsi="Arial" w:cs="Times New Roman"/>
          <w:sz w:val="21"/>
        </w:rPr>
        <w:t>延收入</w:t>
      </w:r>
      <w:proofErr w:type="gramEnd"/>
      <w:r w:rsidRPr="003F5882">
        <w:rPr>
          <w:rFonts w:ascii="Arial" w:hAnsi="Arial" w:cs="Times New Roman"/>
          <w:sz w:val="21"/>
        </w:rPr>
        <w:t>余额为300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2013年12月31日为190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。随着安保建筑在有效寿命期内不断折旧，这一收入是逐步计入。</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附注15：</w:t>
      </w:r>
      <w:r w:rsidRPr="00F453AC">
        <w:rPr>
          <w:rFonts w:ascii="Arial" w:eastAsia="SimHei" w:hAnsi="Arial" w:cs="Times New Roman"/>
          <w:b w:val="0"/>
          <w:sz w:val="21"/>
        </w:rPr>
        <w:tab/>
        <w:t>借</w:t>
      </w:r>
      <w:r w:rsidR="00B31204">
        <w:rPr>
          <w:rFonts w:ascii="Arial" w:eastAsia="SimHei" w:hAnsi="Arial" w:cs="Times New Roman" w:hint="eastAsia"/>
          <w:b w:val="0"/>
          <w:sz w:val="21"/>
        </w:rPr>
        <w:t xml:space="preserve">　</w:t>
      </w:r>
      <w:r w:rsidRPr="00F453AC">
        <w:rPr>
          <w:rFonts w:ascii="Arial" w:eastAsia="SimHei" w:hAnsi="Arial" w:cs="Times New Roman"/>
          <w:b w:val="0"/>
          <w:sz w:val="21"/>
        </w:rPr>
        <w:t>款</w:t>
      </w:r>
    </w:p>
    <w:p w:rsidR="006C0099" w:rsidRPr="003F5882" w:rsidRDefault="006F16A3" w:rsidP="006F16A3">
      <w:pPr>
        <w:pStyle w:val="style30"/>
        <w:spacing w:afterLines="50"/>
        <w:jc w:val="center"/>
        <w:rPr>
          <w:rFonts w:ascii="Arial" w:hAnsi="Arial" w:cs="Times New Roman"/>
          <w:sz w:val="21"/>
        </w:rPr>
      </w:pPr>
      <w:r w:rsidRPr="006F16A3">
        <w:rPr>
          <w:noProof/>
          <w:lang w:val="en-US" w:bidi="ar-SA"/>
        </w:rPr>
        <w:drawing>
          <wp:inline distT="0" distB="0" distL="0" distR="0">
            <wp:extent cx="5736590" cy="2173605"/>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6590" cy="2173605"/>
                    </a:xfrm>
                    <a:prstGeom prst="rect">
                      <a:avLst/>
                    </a:prstGeom>
                    <a:noFill/>
                    <a:ln>
                      <a:noFill/>
                    </a:ln>
                  </pic:spPr>
                </pic:pic>
              </a:graphicData>
            </a:graphic>
          </wp:inline>
        </w:drawing>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本组织为建设其位于瑞士日内瓦的总部办公楼，从国际组织不动产基金会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借入了资金</w:t>
      </w:r>
      <w:r w:rsidR="00F453AC" w:rsidRPr="003F5882">
        <w:rPr>
          <w:rFonts w:ascii="Arial" w:hAnsi="Arial" w:cs="Times New Roman" w:hint="eastAsia"/>
          <w:sz w:val="21"/>
        </w:rPr>
        <w:t>（</w:t>
      </w:r>
      <w:r w:rsidRPr="003F5882">
        <w:rPr>
          <w:rFonts w:ascii="Arial" w:hAnsi="Arial" w:cs="Times New Roman"/>
          <w:sz w:val="21"/>
        </w:rPr>
        <w:t>1977年和1987年分别批准了5,080</w:t>
      </w:r>
      <w:proofErr w:type="gramStart"/>
      <w:r w:rsidRPr="003F5882">
        <w:rPr>
          <w:rFonts w:ascii="Arial" w:hAnsi="Arial" w:cs="Times New Roman"/>
          <w:sz w:val="21"/>
        </w:rPr>
        <w:t>万瑞</w:t>
      </w:r>
      <w:proofErr w:type="gramEnd"/>
      <w:r w:rsidRPr="003F5882">
        <w:rPr>
          <w:rFonts w:ascii="Arial" w:hAnsi="Arial" w:cs="Times New Roman"/>
          <w:sz w:val="21"/>
        </w:rPr>
        <w:t>郎和841</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。这些贷款最初要求支付利息。但1996年，瑞士联邦政府外交部同意免除进一步的利息支付。目前贷款仅需偿还本金。</w:t>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2008年2月，为资助新办公楼建筑的部分成本，本组织与日内瓦州立银行</w:t>
      </w:r>
      <w:r w:rsidR="00F453AC" w:rsidRPr="003F5882">
        <w:rPr>
          <w:rFonts w:ascii="Arial" w:hAnsi="Arial" w:cs="Times New Roman"/>
          <w:sz w:val="21"/>
        </w:rPr>
        <w:t>（</w:t>
      </w:r>
      <w:r w:rsidRPr="003F5882">
        <w:rPr>
          <w:rFonts w:ascii="Arial" w:hAnsi="Arial" w:cs="Times New Roman"/>
          <w:sz w:val="21"/>
        </w:rPr>
        <w:t>BCG</w:t>
      </w:r>
      <w:r w:rsidR="00F453AC" w:rsidRPr="003F5882">
        <w:rPr>
          <w:rFonts w:ascii="Arial" w:hAnsi="Arial" w:cs="Times New Roman"/>
          <w:sz w:val="21"/>
        </w:rPr>
        <w:t>）</w:t>
      </w:r>
      <w:r w:rsidRPr="003F5882">
        <w:rPr>
          <w:rFonts w:ascii="Arial" w:hAnsi="Arial" w:cs="Times New Roman"/>
          <w:sz w:val="21"/>
        </w:rPr>
        <w:t>和</w:t>
      </w:r>
      <w:proofErr w:type="gramStart"/>
      <w:r w:rsidRPr="003F5882">
        <w:rPr>
          <w:rFonts w:ascii="Arial" w:hAnsi="Arial" w:cs="Times New Roman"/>
          <w:sz w:val="21"/>
        </w:rPr>
        <w:t>沃州</w:t>
      </w:r>
      <w:proofErr w:type="gramEnd"/>
      <w:r w:rsidRPr="003F5882">
        <w:rPr>
          <w:rFonts w:ascii="Arial" w:hAnsi="Arial" w:cs="Times New Roman"/>
          <w:sz w:val="21"/>
        </w:rPr>
        <w:t>州立银行</w:t>
      </w:r>
      <w:r w:rsidR="00F453AC" w:rsidRPr="003F5882">
        <w:rPr>
          <w:rFonts w:ascii="Arial" w:hAnsi="Arial" w:cs="Times New Roman"/>
          <w:sz w:val="21"/>
        </w:rPr>
        <w:t>（</w:t>
      </w:r>
      <w:r w:rsidRPr="003F5882">
        <w:rPr>
          <w:rFonts w:ascii="Arial" w:hAnsi="Arial" w:cs="Times New Roman"/>
          <w:sz w:val="21"/>
        </w:rPr>
        <w:t>BCV</w:t>
      </w:r>
      <w:r w:rsidR="00F453AC" w:rsidRPr="003F5882">
        <w:rPr>
          <w:rFonts w:ascii="Arial" w:hAnsi="Arial" w:cs="Times New Roman"/>
          <w:sz w:val="21"/>
        </w:rPr>
        <w:t>）</w:t>
      </w:r>
      <w:r w:rsidRPr="003F5882">
        <w:rPr>
          <w:rFonts w:ascii="Arial" w:hAnsi="Arial" w:cs="Times New Roman"/>
          <w:sz w:val="21"/>
        </w:rPr>
        <w:t>签订了一项金额为1.14</w:t>
      </w:r>
      <w:r w:rsidR="00FD0477" w:rsidRPr="003F5882">
        <w:rPr>
          <w:rFonts w:ascii="Arial" w:hAnsi="Arial" w:cs="Times New Roman" w:hint="eastAsia"/>
          <w:sz w:val="21"/>
        </w:rPr>
        <w:t>0</w:t>
      </w:r>
      <w:r w:rsidRPr="003F5882">
        <w:rPr>
          <w:rFonts w:ascii="Arial" w:hAnsi="Arial" w:cs="Times New Roman"/>
          <w:sz w:val="21"/>
        </w:rPr>
        <w:t>亿瑞郎、外加1,600</w:t>
      </w:r>
      <w:proofErr w:type="gramStart"/>
      <w:r w:rsidRPr="003F5882">
        <w:rPr>
          <w:rFonts w:ascii="Arial" w:hAnsi="Arial" w:cs="Times New Roman"/>
          <w:sz w:val="21"/>
        </w:rPr>
        <w:t>万瑞郎可能</w:t>
      </w:r>
      <w:proofErr w:type="gramEnd"/>
      <w:r w:rsidRPr="003F5882">
        <w:rPr>
          <w:rFonts w:ascii="Arial" w:hAnsi="Arial" w:cs="Times New Roman"/>
          <w:sz w:val="21"/>
        </w:rPr>
        <w:t>增加额的贷款合约，贷款使用期至2011年2月28日。2011年1月27日，本组织支取了增加的1,600</w:t>
      </w:r>
      <w:proofErr w:type="gramStart"/>
      <w:r w:rsidRPr="003F5882">
        <w:rPr>
          <w:rFonts w:ascii="Arial" w:hAnsi="Arial" w:cs="Times New Roman"/>
          <w:sz w:val="21"/>
        </w:rPr>
        <w:t>万瑞</w:t>
      </w:r>
      <w:proofErr w:type="gramEnd"/>
      <w:r w:rsidRPr="003F5882">
        <w:rPr>
          <w:rFonts w:ascii="Arial" w:hAnsi="Arial" w:cs="Times New Roman"/>
          <w:sz w:val="21"/>
        </w:rPr>
        <w:t>郎。贷款利率固定为瑞士法郎伦敦银行同业拆借互换利率，期限为15年，并根据本组织确定的期限长度另加0.30%至0.70%不等的利润。2014年支付的利息总计为310</w:t>
      </w:r>
      <w:proofErr w:type="gramStart"/>
      <w:r w:rsidRPr="003F5882">
        <w:rPr>
          <w:rFonts w:ascii="Arial" w:hAnsi="Arial" w:cs="Times New Roman"/>
          <w:sz w:val="21"/>
        </w:rPr>
        <w:t>万瑞</w:t>
      </w:r>
      <w:proofErr w:type="gramEnd"/>
      <w:r w:rsidRPr="003F5882">
        <w:rPr>
          <w:rFonts w:ascii="Arial" w:hAnsi="Arial" w:cs="Times New Roman"/>
          <w:sz w:val="21"/>
        </w:rPr>
        <w:t>郎，本年度加权平均利率为2.60%。除支付利息外，合约还规定，针对1.14</w:t>
      </w:r>
      <w:r w:rsidR="00FD0477" w:rsidRPr="003F5882">
        <w:rPr>
          <w:rFonts w:ascii="Arial" w:hAnsi="Arial" w:cs="Times New Roman" w:hint="eastAsia"/>
          <w:sz w:val="21"/>
        </w:rPr>
        <w:t>0</w:t>
      </w:r>
      <w:r w:rsidRPr="003F5882">
        <w:rPr>
          <w:rFonts w:ascii="Arial" w:hAnsi="Arial" w:cs="Times New Roman"/>
          <w:sz w:val="21"/>
        </w:rPr>
        <w:t>亿瑞郎的最初贷款和1,600</w:t>
      </w:r>
      <w:proofErr w:type="gramStart"/>
      <w:r w:rsidRPr="003F5882">
        <w:rPr>
          <w:rFonts w:ascii="Arial" w:hAnsi="Arial" w:cs="Times New Roman"/>
          <w:sz w:val="21"/>
        </w:rPr>
        <w:t>万瑞</w:t>
      </w:r>
      <w:proofErr w:type="gramEnd"/>
      <w:r w:rsidRPr="003F5882">
        <w:rPr>
          <w:rFonts w:ascii="Arial" w:hAnsi="Arial" w:cs="Times New Roman"/>
          <w:sz w:val="21"/>
        </w:rPr>
        <w:t>郎的补充贷款，从2012年2月28日起开始逐年偿还本金，每年还款额为借款总额的3%。本组织将于2015年11月进行第一期一次性偿还贷款，偿还金额为2,400</w:t>
      </w:r>
      <w:proofErr w:type="gramStart"/>
      <w:r w:rsidRPr="003F5882">
        <w:rPr>
          <w:rFonts w:ascii="Arial" w:hAnsi="Arial" w:cs="Times New Roman"/>
          <w:sz w:val="21"/>
        </w:rPr>
        <w:t>万瑞</w:t>
      </w:r>
      <w:proofErr w:type="gramEnd"/>
      <w:r w:rsidRPr="003F5882">
        <w:rPr>
          <w:rFonts w:ascii="Arial" w:hAnsi="Arial" w:cs="Times New Roman"/>
          <w:sz w:val="21"/>
        </w:rPr>
        <w:t>郎。第二期一次性偿还贷款目前安排在2016年1月，金额为1,600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2010年10月，日内瓦州立银行、沃州州立银行和WIPO批准了贷款合约的修正案，其中规定提供4,000</w:t>
      </w:r>
      <w:proofErr w:type="gramStart"/>
      <w:r w:rsidRPr="003F5882">
        <w:rPr>
          <w:rFonts w:ascii="Arial" w:hAnsi="Arial" w:cs="Times New Roman"/>
          <w:sz w:val="21"/>
        </w:rPr>
        <w:t>万瑞</w:t>
      </w:r>
      <w:proofErr w:type="gramEnd"/>
      <w:r w:rsidRPr="003F5882">
        <w:rPr>
          <w:rFonts w:ascii="Arial" w:hAnsi="Arial" w:cs="Times New Roman"/>
          <w:sz w:val="21"/>
        </w:rPr>
        <w:t>郎的增加额，作为资助新会议厅的部分成本，可在2011年3月31日至2014年3月31日期间使用。2014年期间，本组织选择不提取该4,000万瑞郎的增加额。应指出，在可用期间，本组织为未动用贷款金额每年支付0.15%的手续费。</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7D62CB">
        <w:rPr>
          <w:rFonts w:ascii="Arial" w:eastAsia="SimHei" w:hAnsi="Arial" w:cs="Times New Roman"/>
          <w:b w:val="0"/>
          <w:sz w:val="21"/>
        </w:rPr>
        <w:t>16</w:t>
      </w:r>
      <w:r w:rsidRPr="00F453AC">
        <w:rPr>
          <w:rFonts w:ascii="Arial" w:eastAsia="SimHei" w:hAnsi="Arial"/>
          <w:b w:val="0"/>
          <w:sz w:val="21"/>
        </w:rPr>
        <w:t>：</w:t>
      </w:r>
      <w:r w:rsidRPr="00F453AC">
        <w:rPr>
          <w:rFonts w:ascii="Arial" w:eastAsia="SimHei" w:hAnsi="Arial"/>
          <w:b w:val="0"/>
          <w:sz w:val="21"/>
        </w:rPr>
        <w:tab/>
        <w:t>准备金</w:t>
      </w:r>
    </w:p>
    <w:p w:rsidR="00C14A2F" w:rsidRPr="003F5882" w:rsidRDefault="006F16A3" w:rsidP="00C14A2F">
      <w:pPr>
        <w:jc w:val="center"/>
        <w:rPr>
          <w:rFonts w:ascii="Arial" w:hAnsi="Arial"/>
          <w:sz w:val="20"/>
          <w:szCs w:val="20"/>
        </w:rPr>
      </w:pPr>
      <w:r w:rsidRPr="006F16A3">
        <w:rPr>
          <w:noProof/>
          <w:lang w:val="en-US" w:bidi="ar-SA"/>
        </w:rPr>
        <w:drawing>
          <wp:inline distT="0" distB="0" distL="0" distR="0">
            <wp:extent cx="5736590" cy="1181735"/>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6590" cy="1181735"/>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lastRenderedPageBreak/>
        <w:t>作为其正常活动的一部分，本组织也会经历诉讼。截至报告日，2014年12月31日之前开展的活动已经形成了一定的法律债务。由于这些债务未来可能需要清算，并且由于可以对清算金额做出可靠的估算，因此设立了法律费用准备金。在估算准备金的数额时，根据可用信息，尽可能做了贴近实际的估算。</w:t>
      </w:r>
    </w:p>
    <w:p w:rsidR="00C14A2F" w:rsidRPr="003F5882" w:rsidRDefault="006F16A3" w:rsidP="006F16A3">
      <w:pPr>
        <w:pStyle w:val="Style3"/>
        <w:spacing w:afterLines="50"/>
        <w:jc w:val="center"/>
        <w:rPr>
          <w:rFonts w:ascii="Arial" w:hAnsi="Arial"/>
          <w:sz w:val="21"/>
          <w:szCs w:val="22"/>
        </w:rPr>
      </w:pPr>
      <w:r w:rsidRPr="006F16A3">
        <w:rPr>
          <w:noProof/>
          <w:lang w:val="en-US" w:bidi="ar-SA"/>
        </w:rPr>
        <w:drawing>
          <wp:inline distT="0" distB="0" distL="0" distR="0">
            <wp:extent cx="4442460" cy="320929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42460" cy="3209290"/>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t>附注17：</w:t>
      </w:r>
      <w:r w:rsidRPr="00F453AC">
        <w:rPr>
          <w:rFonts w:ascii="Arial" w:eastAsia="SimHei" w:hAnsi="Arial"/>
          <w:b w:val="0"/>
          <w:sz w:val="21"/>
        </w:rPr>
        <w:tab/>
        <w:t>其他负债</w:t>
      </w:r>
    </w:p>
    <w:p w:rsidR="00C14A2F" w:rsidRPr="003F5882" w:rsidRDefault="006F16A3" w:rsidP="006F16A3">
      <w:pPr>
        <w:spacing w:afterLines="50" w:after="120"/>
        <w:jc w:val="center"/>
        <w:rPr>
          <w:rFonts w:ascii="Arial" w:hAnsi="Arial"/>
          <w:sz w:val="20"/>
          <w:szCs w:val="20"/>
        </w:rPr>
      </w:pPr>
      <w:r w:rsidRPr="006F16A3">
        <w:rPr>
          <w:noProof/>
          <w:lang w:val="en-US" w:bidi="ar-SA"/>
        </w:rPr>
        <w:drawing>
          <wp:inline distT="0" distB="0" distL="0" distR="0">
            <wp:extent cx="5736590" cy="1190625"/>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6590" cy="1190625"/>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t>本组织向PCT、商标和工业品外观设计的申请人提供便利，使其可以将资金存入</w:t>
      </w:r>
      <w:r w:rsidR="003D06E3" w:rsidRPr="003F5882">
        <w:rPr>
          <w:rFonts w:ascii="Arial" w:hAnsi="Arial" w:hint="eastAsia"/>
          <w:sz w:val="21"/>
        </w:rPr>
        <w:t>“</w:t>
      </w:r>
      <w:r w:rsidRPr="003F5882">
        <w:rPr>
          <w:rFonts w:ascii="Arial" w:hAnsi="Arial"/>
          <w:sz w:val="21"/>
        </w:rPr>
        <w:t>往来账户</w:t>
      </w:r>
      <w:r w:rsidR="003D06E3" w:rsidRPr="003F5882">
        <w:rPr>
          <w:rFonts w:ascii="Arial" w:hAnsi="Arial" w:hint="eastAsia"/>
          <w:sz w:val="21"/>
        </w:rPr>
        <w:t>”</w:t>
      </w:r>
      <w:r w:rsidRPr="003F5882">
        <w:rPr>
          <w:rFonts w:ascii="Arial" w:hAnsi="Arial"/>
          <w:sz w:val="21"/>
        </w:rPr>
        <w:t>。在该项资金使用前，本组织担任资金的保管人，用以支付与个人申请和续展相关的应缴费用。这些资金一直被保存至递交特定申请之际。在收到申请和授权后，往来账户余额将相应减少。在申请被注册前，这些资金被视为预缴款。</w:t>
      </w:r>
    </w:p>
    <w:p w:rsidR="007D62CB" w:rsidRDefault="00C14A2F" w:rsidP="003374D7">
      <w:pPr>
        <w:pStyle w:val="Style3"/>
        <w:spacing w:afterLines="50" w:line="340" w:lineRule="atLeast"/>
        <w:rPr>
          <w:rFonts w:ascii="Arial" w:hAnsi="Arial"/>
          <w:sz w:val="21"/>
        </w:rPr>
      </w:pPr>
      <w:r w:rsidRPr="003F5882">
        <w:rPr>
          <w:rFonts w:ascii="Arial" w:hAnsi="Arial"/>
          <w:sz w:val="21"/>
        </w:rPr>
        <w:t>此外，本组织还以其名义持有银行账户，向某些缔约方提供一种转付资金的机制，这些资金由</w:t>
      </w:r>
      <w:r w:rsidRPr="003374D7">
        <w:rPr>
          <w:rFonts w:ascii="Arial" w:hAnsi="Arial" w:cs="Times New Roman"/>
          <w:sz w:val="21"/>
        </w:rPr>
        <w:t>缔约</w:t>
      </w:r>
      <w:r w:rsidRPr="003F5882">
        <w:rPr>
          <w:rFonts w:ascii="Arial" w:hAnsi="Arial"/>
          <w:sz w:val="21"/>
        </w:rPr>
        <w:t>方代表本组织收取。在缔约方通知本组织这些账户所持资金为本组织的收入之前，账户所剩余额不计为收入。</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附注18：</w:t>
      </w:r>
      <w:r w:rsidRPr="00F453AC">
        <w:rPr>
          <w:rFonts w:ascii="Arial" w:eastAsia="SimHei" w:hAnsi="Arial"/>
          <w:b w:val="0"/>
          <w:sz w:val="21"/>
        </w:rPr>
        <w:tab/>
        <w:t>或有资产和负债</w:t>
      </w:r>
    </w:p>
    <w:p w:rsidR="007D62CB" w:rsidRDefault="00C14A2F" w:rsidP="003374D7">
      <w:pPr>
        <w:pStyle w:val="Style3"/>
        <w:spacing w:afterLines="50" w:line="340" w:lineRule="atLeast"/>
        <w:rPr>
          <w:rFonts w:ascii="Arial" w:hAnsi="Arial"/>
          <w:sz w:val="21"/>
        </w:rPr>
      </w:pPr>
      <w:r w:rsidRPr="003F5882">
        <w:rPr>
          <w:rFonts w:ascii="Arial" w:hAnsi="Arial"/>
          <w:sz w:val="21"/>
        </w:rPr>
        <w:t>WIPO的若干名工作人员与本组织存在着纠纷。对正在由WIPO申诉委员会</w:t>
      </w:r>
      <w:r w:rsidR="00F453AC" w:rsidRPr="003F5882">
        <w:rPr>
          <w:rFonts w:ascii="Arial" w:hAnsi="Arial"/>
          <w:sz w:val="21"/>
        </w:rPr>
        <w:t>（</w:t>
      </w:r>
      <w:r w:rsidRPr="003F5882">
        <w:rPr>
          <w:rFonts w:ascii="Arial" w:hAnsi="Arial"/>
          <w:sz w:val="21"/>
        </w:rPr>
        <w:t>WAB</w:t>
      </w:r>
      <w:r w:rsidR="00F453AC" w:rsidRPr="003F5882">
        <w:rPr>
          <w:rFonts w:ascii="Arial" w:hAnsi="Arial"/>
          <w:sz w:val="21"/>
        </w:rPr>
        <w:t>）</w:t>
      </w:r>
      <w:r w:rsidRPr="003F5882">
        <w:rPr>
          <w:rFonts w:ascii="Arial" w:hAnsi="Arial"/>
          <w:sz w:val="21"/>
        </w:rPr>
        <w:t>或国际劳工组织行政法庭</w:t>
      </w:r>
      <w:r w:rsidR="00F453AC" w:rsidRPr="003F5882">
        <w:rPr>
          <w:rFonts w:ascii="Arial" w:hAnsi="Arial"/>
          <w:sz w:val="21"/>
        </w:rPr>
        <w:t>（</w:t>
      </w:r>
      <w:r w:rsidRPr="003F5882">
        <w:rPr>
          <w:rFonts w:ascii="Arial" w:hAnsi="Arial"/>
          <w:sz w:val="21"/>
        </w:rPr>
        <w:t>ILOAT</w:t>
      </w:r>
      <w:r w:rsidR="00F453AC" w:rsidRPr="003F5882">
        <w:rPr>
          <w:rFonts w:ascii="Arial" w:hAnsi="Arial"/>
          <w:sz w:val="21"/>
        </w:rPr>
        <w:t>）</w:t>
      </w:r>
      <w:r w:rsidRPr="003F5882">
        <w:rPr>
          <w:rFonts w:ascii="Arial" w:hAnsi="Arial"/>
          <w:sz w:val="21"/>
        </w:rPr>
        <w:t>审理案件计提的准备金见附注16。对于WAB或ILOAT审理的其他一些案件，在法律意见表明这些案件不太可能导致债务的情况下，未</w:t>
      </w:r>
      <w:proofErr w:type="gramStart"/>
      <w:r w:rsidRPr="003F5882">
        <w:rPr>
          <w:rFonts w:ascii="Arial" w:hAnsi="Arial"/>
          <w:sz w:val="21"/>
        </w:rPr>
        <w:t>予计</w:t>
      </w:r>
      <w:proofErr w:type="gramEnd"/>
      <w:r w:rsidRPr="003F5882">
        <w:rPr>
          <w:rFonts w:ascii="Arial" w:hAnsi="Arial"/>
          <w:sz w:val="21"/>
        </w:rPr>
        <w:t>提准备金。在报告日，本组织对</w:t>
      </w:r>
      <w:r w:rsidRPr="003374D7">
        <w:rPr>
          <w:rFonts w:ascii="Arial" w:hAnsi="Arial" w:cs="Times New Roman"/>
          <w:sz w:val="21"/>
        </w:rPr>
        <w:t>这些</w:t>
      </w:r>
      <w:r w:rsidRPr="003F5882">
        <w:rPr>
          <w:rFonts w:ascii="Arial" w:hAnsi="Arial"/>
          <w:sz w:val="21"/>
        </w:rPr>
        <w:t>案件产生的索赔可能支付的或有债务估值为605,500瑞郎。人事方面还存在处于申请审理状态的案件。由于这些案件的索赔</w:t>
      </w:r>
      <w:r w:rsidRPr="003F5882">
        <w:rPr>
          <w:rFonts w:ascii="Arial" w:hAnsi="Arial"/>
          <w:sz w:val="21"/>
        </w:rPr>
        <w:lastRenderedPageBreak/>
        <w:t>数额尚有待确认，因此未就此确认准备金。在报告日，本组织因这些案件可能做出的结算支付的或有债务估值为1,000瑞郎。</w:t>
      </w:r>
    </w:p>
    <w:p w:rsidR="007D62CB" w:rsidRDefault="00C14A2F" w:rsidP="003374D7">
      <w:pPr>
        <w:pStyle w:val="Style3"/>
        <w:spacing w:afterLines="50" w:line="340" w:lineRule="atLeast"/>
        <w:rPr>
          <w:rFonts w:ascii="Arial" w:hAnsi="Arial"/>
          <w:sz w:val="21"/>
        </w:rPr>
      </w:pPr>
      <w:r w:rsidRPr="003F5882">
        <w:rPr>
          <w:rFonts w:ascii="Arial" w:hAnsi="Arial"/>
          <w:sz w:val="21"/>
        </w:rPr>
        <w:t>截至2014年12月31日，尚未履行的新会议厅建设合同总额为20</w:t>
      </w:r>
      <w:proofErr w:type="gramStart"/>
      <w:r w:rsidRPr="003F5882">
        <w:rPr>
          <w:rFonts w:ascii="Arial" w:hAnsi="Arial"/>
          <w:sz w:val="21"/>
        </w:rPr>
        <w:t>万瑞</w:t>
      </w:r>
      <w:proofErr w:type="gramEnd"/>
      <w:r w:rsidRPr="003F5882">
        <w:rPr>
          <w:rFonts w:ascii="Arial" w:hAnsi="Arial"/>
          <w:sz w:val="21"/>
        </w:rPr>
        <w:t>郎，尚未</w:t>
      </w:r>
      <w:r w:rsidRPr="003374D7">
        <w:rPr>
          <w:rFonts w:ascii="Arial" w:hAnsi="Arial" w:cs="Times New Roman"/>
          <w:sz w:val="21"/>
        </w:rPr>
        <w:t>履行</w:t>
      </w:r>
      <w:r w:rsidRPr="003F5882">
        <w:rPr>
          <w:rFonts w:ascii="Arial" w:hAnsi="Arial"/>
          <w:sz w:val="21"/>
        </w:rPr>
        <w:t>的安保建筑合</w:t>
      </w:r>
      <w:r w:rsidR="00512FC5" w:rsidRPr="003F5882">
        <w:rPr>
          <w:rFonts w:ascii="Arial" w:hAnsi="Arial" w:hint="eastAsia"/>
          <w:sz w:val="21"/>
        </w:rPr>
        <w:t>同</w:t>
      </w:r>
      <w:r w:rsidRPr="003F5882">
        <w:rPr>
          <w:rFonts w:ascii="Arial" w:hAnsi="Arial"/>
          <w:sz w:val="21"/>
        </w:rPr>
        <w:t>总额为60</w:t>
      </w:r>
      <w:proofErr w:type="gramStart"/>
      <w:r w:rsidRPr="003F5882">
        <w:rPr>
          <w:rFonts w:ascii="Arial" w:hAnsi="Arial"/>
          <w:sz w:val="21"/>
        </w:rPr>
        <w:t>万瑞</w:t>
      </w:r>
      <w:proofErr w:type="gramEnd"/>
      <w:r w:rsidRPr="003F5882">
        <w:rPr>
          <w:rFonts w:ascii="Arial" w:hAnsi="Arial"/>
          <w:sz w:val="21"/>
        </w:rPr>
        <w:t>郎。本组织还有不可撤销服务合约总价值为150</w:t>
      </w:r>
      <w:proofErr w:type="gramStart"/>
      <w:r w:rsidRPr="003F5882">
        <w:rPr>
          <w:rFonts w:ascii="Arial" w:hAnsi="Arial"/>
          <w:sz w:val="21"/>
        </w:rPr>
        <w:t>万瑞</w:t>
      </w:r>
      <w:proofErr w:type="gramEnd"/>
      <w:r w:rsidRPr="003F5882">
        <w:rPr>
          <w:rFonts w:ascii="Arial" w:hAnsi="Arial"/>
          <w:sz w:val="21"/>
        </w:rPr>
        <w:t>郎。</w:t>
      </w:r>
    </w:p>
    <w:p w:rsidR="007D62CB" w:rsidRDefault="00C14A2F" w:rsidP="003374D7">
      <w:pPr>
        <w:pStyle w:val="Style3"/>
        <w:spacing w:afterLines="50" w:line="340" w:lineRule="atLeast"/>
        <w:rPr>
          <w:rFonts w:ascii="Arial" w:hAnsi="Arial"/>
          <w:sz w:val="21"/>
        </w:rPr>
      </w:pPr>
      <w:r w:rsidRPr="003F5882">
        <w:rPr>
          <w:rFonts w:ascii="Arial" w:hAnsi="Arial"/>
          <w:sz w:val="21"/>
        </w:rPr>
        <w:t>WIPO是国际电子计算中心</w:t>
      </w:r>
      <w:r w:rsidR="00F453AC" w:rsidRPr="003F5882">
        <w:rPr>
          <w:rFonts w:ascii="Arial" w:hAnsi="Arial"/>
          <w:sz w:val="21"/>
        </w:rPr>
        <w:t>（</w:t>
      </w:r>
      <w:r w:rsidRPr="003F5882">
        <w:rPr>
          <w:rFonts w:ascii="Arial" w:hAnsi="Arial"/>
          <w:sz w:val="21"/>
        </w:rPr>
        <w:t>ICC</w:t>
      </w:r>
      <w:r w:rsidR="00F453AC" w:rsidRPr="003F5882">
        <w:rPr>
          <w:rFonts w:ascii="Arial" w:hAnsi="Arial"/>
          <w:sz w:val="21"/>
        </w:rPr>
        <w:t>）</w:t>
      </w:r>
      <w:r w:rsidRPr="003F5882">
        <w:rPr>
          <w:rFonts w:ascii="Arial" w:hAnsi="Arial"/>
          <w:sz w:val="21"/>
        </w:rPr>
        <w:t>的一个伙伴组织。ICC是为提供信息技术服务而创建的一个组织间机构。根据ICC的授权条款，伙伴组织应负责承担因ICC运行而产生的某些债务份额。</w:t>
      </w:r>
    </w:p>
    <w:p w:rsidR="007D62CB" w:rsidRDefault="00C14A2F" w:rsidP="003374D7">
      <w:pPr>
        <w:pStyle w:val="Style3"/>
        <w:spacing w:afterLines="50" w:line="340" w:lineRule="atLeast"/>
        <w:rPr>
          <w:rFonts w:ascii="Arial" w:hAnsi="Arial"/>
          <w:sz w:val="21"/>
        </w:rPr>
      </w:pPr>
      <w:r w:rsidRPr="003F5882">
        <w:rPr>
          <w:rFonts w:ascii="Arial" w:hAnsi="Arial"/>
          <w:sz w:val="21"/>
        </w:rPr>
        <w:t>WIPO存在着与不可撤销的租赁协议有关的合约承诺款项，详见附注19。</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7D62CB">
        <w:rPr>
          <w:rFonts w:ascii="Arial" w:eastAsia="SimHei" w:hAnsi="Arial" w:cs="Times New Roman"/>
          <w:b w:val="0"/>
          <w:sz w:val="21"/>
        </w:rPr>
        <w:t>19</w:t>
      </w:r>
      <w:r w:rsidRPr="00F453AC">
        <w:rPr>
          <w:rFonts w:ascii="Arial" w:eastAsia="SimHei" w:hAnsi="Arial"/>
          <w:b w:val="0"/>
          <w:sz w:val="21"/>
        </w:rPr>
        <w:t>：</w:t>
      </w:r>
      <w:r w:rsidRPr="00F453AC">
        <w:rPr>
          <w:rFonts w:ascii="Arial" w:eastAsia="SimHei" w:hAnsi="Arial"/>
          <w:b w:val="0"/>
          <w:sz w:val="21"/>
        </w:rPr>
        <w:tab/>
        <w:t>租赁</w:t>
      </w:r>
    </w:p>
    <w:p w:rsidR="00C14A2F" w:rsidRPr="00DA4636" w:rsidRDefault="00C14A2F" w:rsidP="003374D7">
      <w:pPr>
        <w:keepNext/>
        <w:spacing w:afterLines="50" w:after="120" w:line="340" w:lineRule="atLeast"/>
        <w:jc w:val="both"/>
        <w:rPr>
          <w:rFonts w:ascii="Arial" w:eastAsia="KaiTi" w:hAnsi="Arial"/>
          <w:b/>
          <w:i/>
          <w:sz w:val="21"/>
          <w:szCs w:val="22"/>
        </w:rPr>
      </w:pPr>
      <w:r w:rsidRPr="00DA4636">
        <w:rPr>
          <w:rFonts w:ascii="Arial" w:eastAsia="KaiTi" w:hAnsi="Arial"/>
          <w:b/>
          <w:i/>
          <w:sz w:val="21"/>
        </w:rPr>
        <w:t>WIPO作为承租人</w:t>
      </w:r>
    </w:p>
    <w:p w:rsidR="007D62CB" w:rsidRDefault="00C14A2F" w:rsidP="003374D7">
      <w:pPr>
        <w:pStyle w:val="Style3"/>
        <w:spacing w:afterLines="50" w:line="340" w:lineRule="atLeast"/>
        <w:rPr>
          <w:rFonts w:ascii="Arial" w:hAnsi="Arial"/>
          <w:sz w:val="21"/>
        </w:rPr>
      </w:pPr>
      <w:r w:rsidRPr="003F5882">
        <w:rPr>
          <w:rFonts w:ascii="Arial" w:hAnsi="Arial"/>
          <w:sz w:val="21"/>
        </w:rPr>
        <w:t>本组织持有若干租约，在日内瓦提供额外的场所、仓储和专用设施。此外，本组织还为驻纽约、里约热内卢和东京的驻外办事处租赁有办公场所。未来不可撤销经营租赁下的最低租赁付款</w:t>
      </w:r>
      <w:r w:rsidR="0074278E" w:rsidRPr="003F5882">
        <w:rPr>
          <w:rFonts w:ascii="Arial" w:hAnsi="Arial" w:hint="eastAsia"/>
          <w:sz w:val="21"/>
        </w:rPr>
        <w:t>价</w:t>
      </w:r>
      <w:r w:rsidRPr="003F5882">
        <w:rPr>
          <w:rFonts w:ascii="Arial" w:hAnsi="Arial"/>
          <w:sz w:val="21"/>
        </w:rPr>
        <w:t>值如下：</w:t>
      </w:r>
    </w:p>
    <w:p w:rsidR="007D62CB" w:rsidRDefault="006F16A3" w:rsidP="006F16A3">
      <w:pPr>
        <w:pStyle w:val="Style3"/>
        <w:spacing w:afterLines="50"/>
        <w:jc w:val="center"/>
        <w:rPr>
          <w:rFonts w:ascii="Arial" w:hAnsi="Arial"/>
          <w:sz w:val="21"/>
        </w:rPr>
      </w:pPr>
      <w:r w:rsidRPr="006F16A3">
        <w:rPr>
          <w:noProof/>
          <w:lang w:val="en-US" w:bidi="ar-SA"/>
        </w:rPr>
        <w:drawing>
          <wp:inline distT="0" distB="0" distL="0" distR="0">
            <wp:extent cx="5581015" cy="1242060"/>
            <wp:effectExtent l="0" t="0" r="635"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81015" cy="1242060"/>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t>本组织还达成了一项租赁日内瓦基金国际中心</w:t>
      </w:r>
      <w:r w:rsidR="00F453AC" w:rsidRPr="003F5882">
        <w:rPr>
          <w:rFonts w:ascii="Arial" w:hAnsi="Arial"/>
          <w:sz w:val="21"/>
        </w:rPr>
        <w:t>（</w:t>
      </w:r>
      <w:r w:rsidRPr="003F5882">
        <w:rPr>
          <w:rFonts w:ascii="Arial" w:hAnsi="Arial"/>
          <w:sz w:val="21"/>
        </w:rPr>
        <w:t>FCIG</w:t>
      </w:r>
      <w:r w:rsidR="00F453AC" w:rsidRPr="003F5882">
        <w:rPr>
          <w:rFonts w:ascii="Arial" w:hAnsi="Arial"/>
          <w:sz w:val="21"/>
        </w:rPr>
        <w:t>）</w:t>
      </w:r>
      <w:r w:rsidRPr="003F5882">
        <w:rPr>
          <w:rFonts w:ascii="Arial" w:hAnsi="Arial"/>
          <w:sz w:val="21"/>
        </w:rPr>
        <w:t>大楼的协定。该协定详情，包括未来的租赁付款，单独在附注10列示。</w:t>
      </w:r>
    </w:p>
    <w:p w:rsidR="007D62CB" w:rsidRDefault="00C14A2F" w:rsidP="003374D7">
      <w:pPr>
        <w:pStyle w:val="Style3"/>
        <w:spacing w:afterLines="50" w:line="340" w:lineRule="atLeast"/>
        <w:rPr>
          <w:rFonts w:ascii="Arial" w:hAnsi="Arial"/>
          <w:sz w:val="21"/>
        </w:rPr>
      </w:pPr>
      <w:r w:rsidRPr="003F5882">
        <w:rPr>
          <w:rFonts w:ascii="Arial" w:hAnsi="Arial"/>
          <w:sz w:val="21"/>
        </w:rPr>
        <w:t>本组织在报告日没有视为融资租赁的未清租约。在报告期被确认为开支的租赁付款总额为190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2013年为200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w:t>
      </w:r>
    </w:p>
    <w:p w:rsidR="00C14A2F" w:rsidRPr="00DA4636" w:rsidRDefault="00C14A2F" w:rsidP="003374D7">
      <w:pPr>
        <w:keepNext/>
        <w:spacing w:afterLines="50" w:after="120" w:line="340" w:lineRule="atLeast"/>
        <w:jc w:val="both"/>
        <w:rPr>
          <w:rFonts w:ascii="Arial" w:eastAsia="KaiTi" w:hAnsi="Arial"/>
          <w:b/>
          <w:i/>
          <w:sz w:val="21"/>
        </w:rPr>
      </w:pPr>
      <w:r w:rsidRPr="00DA4636">
        <w:rPr>
          <w:rFonts w:ascii="Arial" w:eastAsia="KaiTi" w:hAnsi="Arial"/>
          <w:b/>
          <w:i/>
          <w:sz w:val="21"/>
        </w:rPr>
        <w:t>WIPO作为出租人</w:t>
      </w:r>
    </w:p>
    <w:p w:rsidR="007D62CB" w:rsidRDefault="00C14A2F" w:rsidP="003374D7">
      <w:pPr>
        <w:pStyle w:val="Style3"/>
        <w:spacing w:afterLines="50" w:line="340" w:lineRule="atLeast"/>
        <w:rPr>
          <w:rFonts w:ascii="Arial" w:hAnsi="Arial"/>
          <w:sz w:val="21"/>
        </w:rPr>
      </w:pPr>
      <w:r w:rsidRPr="003F5882">
        <w:rPr>
          <w:rFonts w:ascii="Arial" w:hAnsi="Arial"/>
          <w:sz w:val="21"/>
        </w:rPr>
        <w:t>本组织达成了若干将其总部大楼内的空间租赁给第三方的协定。这些租约均可撤销，</w:t>
      </w:r>
      <w:r w:rsidR="007D03BB" w:rsidRPr="003F5882">
        <w:rPr>
          <w:rFonts w:ascii="Arial" w:hAnsi="Arial" w:hint="eastAsia"/>
          <w:sz w:val="21"/>
        </w:rPr>
        <w:t>但要</w:t>
      </w:r>
      <w:r w:rsidRPr="003F5882">
        <w:rPr>
          <w:rFonts w:ascii="Arial" w:hAnsi="Arial"/>
          <w:sz w:val="21"/>
        </w:rPr>
        <w:t>遵守协议规定的通知期。报告期内这些租赁安排的</w:t>
      </w:r>
      <w:r w:rsidRPr="003374D7">
        <w:rPr>
          <w:rFonts w:ascii="Arial" w:hAnsi="Arial" w:cs="Times New Roman"/>
          <w:sz w:val="21"/>
        </w:rPr>
        <w:t>租金</w:t>
      </w:r>
      <w:r w:rsidRPr="003F5882">
        <w:rPr>
          <w:rFonts w:ascii="Arial" w:hAnsi="Arial"/>
          <w:sz w:val="21"/>
        </w:rPr>
        <w:t>收入总额为60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2013年为60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。本组织还出租马德里联盟办公楼中的公寓、停车场和其他设施。马德里联盟办公楼的不可撤销租赁和租金收入的价值在附注7中列示。</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附注20：</w:t>
      </w:r>
      <w:r w:rsidRPr="00F453AC">
        <w:rPr>
          <w:rFonts w:ascii="Arial" w:eastAsia="SimHei" w:hAnsi="Arial"/>
          <w:b w:val="0"/>
          <w:sz w:val="21"/>
        </w:rPr>
        <w:tab/>
        <w:t>相关方交易</w:t>
      </w:r>
    </w:p>
    <w:p w:rsidR="007D62CB" w:rsidRDefault="00C14A2F" w:rsidP="003374D7">
      <w:pPr>
        <w:pStyle w:val="Style3"/>
        <w:spacing w:afterLines="50" w:line="340" w:lineRule="atLeast"/>
        <w:rPr>
          <w:rFonts w:ascii="Arial" w:hAnsi="Arial"/>
          <w:sz w:val="21"/>
        </w:rPr>
      </w:pPr>
      <w:r w:rsidRPr="003F5882">
        <w:rPr>
          <w:rFonts w:ascii="Arial" w:hAnsi="Arial"/>
          <w:sz w:val="21"/>
        </w:rPr>
        <w:t>本组织由WIPO大会管理。WIPO大会由各成员国代表组成，他们不领取本组织的酬金。本组织由总干事、副总干事、助理总干事和官员</w:t>
      </w:r>
      <w:r w:rsidR="00F453AC" w:rsidRPr="003F5882">
        <w:rPr>
          <w:rFonts w:ascii="Arial" w:hAnsi="Arial"/>
          <w:sz w:val="21"/>
        </w:rPr>
        <w:t>（</w:t>
      </w:r>
      <w:r w:rsidRPr="003F5882">
        <w:rPr>
          <w:rFonts w:ascii="Arial" w:hAnsi="Arial"/>
          <w:sz w:val="21"/>
        </w:rPr>
        <w:t>主要管理人员</w:t>
      </w:r>
      <w:r w:rsidR="00F453AC" w:rsidRPr="003F5882">
        <w:rPr>
          <w:rFonts w:ascii="Arial" w:hAnsi="Arial"/>
          <w:sz w:val="21"/>
        </w:rPr>
        <w:t>）</w:t>
      </w:r>
      <w:r w:rsidRPr="003F5882">
        <w:rPr>
          <w:rFonts w:ascii="Arial" w:hAnsi="Arial"/>
          <w:sz w:val="21"/>
        </w:rPr>
        <w:t>领导，他们在本组织领取报酬。支付主要管理人员的总薪酬包括薪金、津贴、法定的差旅费和根据适用于所有工作人员的《工作人员条例与细则》支付的其他应享权利。此外，总干事、副总干事和助理总干事领取交际津贴。主要管理人员是工作人员和本组织向其缴费的联合国养恤基金的成员，也有资格参与工作人员健康保险方案，如果符合资格条件也包括离职后医疗保险方案。本组织在联合公司或合资企业中没有所有者权益</w:t>
      </w:r>
      <w:r w:rsidR="00E362AF" w:rsidRPr="003F5882">
        <w:rPr>
          <w:rFonts w:ascii="Arial" w:hAnsi="Arial" w:hint="eastAsia"/>
          <w:sz w:val="21"/>
        </w:rPr>
        <w:t>，</w:t>
      </w:r>
      <w:r w:rsidRPr="003F5882">
        <w:rPr>
          <w:rFonts w:ascii="Arial" w:hAnsi="Arial"/>
          <w:sz w:val="21"/>
        </w:rPr>
        <w:t>同时也没有控股实体。WIPO是联合</w:t>
      </w:r>
      <w:r w:rsidRPr="003F5882">
        <w:rPr>
          <w:rFonts w:ascii="Arial" w:hAnsi="Arial"/>
          <w:sz w:val="21"/>
        </w:rPr>
        <w:lastRenderedPageBreak/>
        <w:t>国养恤基金的成员，一些以前的工作人员是WIPO已关闭养恤基金</w:t>
      </w:r>
      <w:r w:rsidR="00F453AC" w:rsidRPr="003F5882">
        <w:rPr>
          <w:rFonts w:ascii="Arial" w:hAnsi="Arial" w:hint="eastAsia"/>
          <w:sz w:val="21"/>
        </w:rPr>
        <w:t>（</w:t>
      </w:r>
      <w:r w:rsidRPr="003F5882">
        <w:rPr>
          <w:rFonts w:ascii="Arial" w:hAnsi="Arial"/>
          <w:sz w:val="21"/>
        </w:rPr>
        <w:t>CROMPI</w:t>
      </w:r>
      <w:r w:rsidR="00F453AC" w:rsidRPr="003F5882">
        <w:rPr>
          <w:rFonts w:ascii="Arial" w:hAnsi="Arial"/>
          <w:sz w:val="21"/>
        </w:rPr>
        <w:t>）</w:t>
      </w:r>
      <w:r w:rsidRPr="003F5882">
        <w:rPr>
          <w:rFonts w:ascii="Arial" w:hAnsi="Arial"/>
          <w:sz w:val="21"/>
        </w:rPr>
        <w:t>的成员。附注12对这两个基金的关系做了详细说明。</w:t>
      </w:r>
    </w:p>
    <w:p w:rsidR="007D62CB" w:rsidRDefault="00C14A2F" w:rsidP="003374D7">
      <w:pPr>
        <w:pStyle w:val="Style3"/>
        <w:spacing w:afterLines="50" w:line="340" w:lineRule="atLeast"/>
        <w:rPr>
          <w:rFonts w:ascii="Arial" w:hAnsi="Arial"/>
          <w:sz w:val="21"/>
        </w:rPr>
      </w:pPr>
      <w:r w:rsidRPr="003F5882">
        <w:rPr>
          <w:rFonts w:ascii="Arial" w:hAnsi="Arial"/>
          <w:sz w:val="21"/>
        </w:rPr>
        <w:t>本组织与国际植物新品种保护联盟</w:t>
      </w:r>
      <w:r w:rsidR="00F453AC" w:rsidRPr="003F5882">
        <w:rPr>
          <w:rFonts w:ascii="Arial" w:hAnsi="Arial" w:hint="eastAsia"/>
          <w:sz w:val="21"/>
        </w:rPr>
        <w:t>（</w:t>
      </w:r>
      <w:r w:rsidRPr="003F5882">
        <w:rPr>
          <w:rFonts w:ascii="Arial" w:hAnsi="Arial"/>
          <w:sz w:val="21"/>
        </w:rPr>
        <w:t>UPOV</w:t>
      </w:r>
      <w:r w:rsidR="00F453AC" w:rsidRPr="003F5882">
        <w:rPr>
          <w:rFonts w:ascii="Arial" w:hAnsi="Arial" w:hint="eastAsia"/>
          <w:sz w:val="21"/>
        </w:rPr>
        <w:t>）</w:t>
      </w:r>
      <w:r w:rsidRPr="003F5882">
        <w:rPr>
          <w:rFonts w:ascii="Arial" w:hAnsi="Arial"/>
          <w:sz w:val="21"/>
        </w:rPr>
        <w:t>保持着关系，本组织总干事担任UPOV的秘书长。根据1982年11月26日本组织与UPOV签订的协议条款，本组织负责向UPOV提供办公场地、人事管理、财务管理、采购服务和其他行政支助。UPOV根据上述协议条款向本组织偿还这些服务的费用。作为UPOV领导机构的UPOV理事会由1961年12月2日《国际植物新品种保护公约》</w:t>
      </w:r>
      <w:r w:rsidR="00F453AC" w:rsidRPr="003F5882">
        <w:rPr>
          <w:rFonts w:ascii="Arial" w:hAnsi="Arial"/>
          <w:sz w:val="21"/>
        </w:rPr>
        <w:t>（</w:t>
      </w:r>
      <w:r w:rsidRPr="003F5882">
        <w:rPr>
          <w:rFonts w:ascii="Arial" w:hAnsi="Arial"/>
          <w:sz w:val="21"/>
        </w:rPr>
        <w:t>经修订</w:t>
      </w:r>
      <w:r w:rsidR="00F453AC" w:rsidRPr="003F5882">
        <w:rPr>
          <w:rFonts w:ascii="Arial" w:hAnsi="Arial"/>
          <w:sz w:val="21"/>
        </w:rPr>
        <w:t>）</w:t>
      </w:r>
      <w:r w:rsidRPr="003F5882">
        <w:rPr>
          <w:rFonts w:ascii="Arial" w:hAnsi="Arial"/>
          <w:sz w:val="21"/>
        </w:rPr>
        <w:t>缔约方的代表组成。根据UPOV规则与条例，UPOV办公室由UPOV秘书长和工作人员组成，完全独立于本组织行使职能。</w:t>
      </w:r>
    </w:p>
    <w:p w:rsidR="007D62CB" w:rsidRDefault="00C14A2F" w:rsidP="003374D7">
      <w:pPr>
        <w:pStyle w:val="Style3"/>
        <w:spacing w:afterLines="50" w:line="340" w:lineRule="atLeast"/>
        <w:rPr>
          <w:rFonts w:ascii="Arial" w:hAnsi="Arial"/>
          <w:sz w:val="21"/>
        </w:rPr>
      </w:pPr>
      <w:r w:rsidRPr="003F5882">
        <w:rPr>
          <w:rFonts w:ascii="Arial" w:hAnsi="Arial"/>
          <w:sz w:val="21"/>
        </w:rPr>
        <w:t>除偿还由本组织代表UPOV支付的所有资金外，本组织每年从UPOV收到61.8</w:t>
      </w:r>
      <w:proofErr w:type="gramStart"/>
      <w:r w:rsidRPr="003F5882">
        <w:rPr>
          <w:rFonts w:ascii="Arial" w:hAnsi="Arial"/>
          <w:sz w:val="21"/>
        </w:rPr>
        <w:t>万瑞</w:t>
      </w:r>
      <w:proofErr w:type="gramEnd"/>
      <w:r w:rsidRPr="003F5882">
        <w:rPr>
          <w:rFonts w:ascii="Arial" w:hAnsi="Arial"/>
          <w:sz w:val="21"/>
        </w:rPr>
        <w:t>郎，用于支付根据两个组织之间的协议所提供的各种服务。2014年期间，不存在其他重大的相关方交易。</w:t>
      </w:r>
    </w:p>
    <w:p w:rsidR="007D62CB" w:rsidRDefault="00C14A2F" w:rsidP="003374D7">
      <w:pPr>
        <w:pStyle w:val="Style3"/>
        <w:spacing w:afterLines="50" w:line="340" w:lineRule="atLeast"/>
        <w:rPr>
          <w:rFonts w:ascii="Arial" w:hAnsi="Arial"/>
          <w:sz w:val="21"/>
        </w:rPr>
      </w:pPr>
      <w:r w:rsidRPr="003F5882">
        <w:rPr>
          <w:rFonts w:ascii="Arial" w:hAnsi="Arial"/>
          <w:sz w:val="21"/>
        </w:rPr>
        <w:t>主要管理人员及其总薪酬</w:t>
      </w:r>
      <w:r w:rsidR="00D73A44" w:rsidRPr="003F5882">
        <w:rPr>
          <w:rFonts w:ascii="Arial" w:hAnsi="Arial" w:hint="eastAsia"/>
          <w:sz w:val="21"/>
        </w:rPr>
        <w:t>详见</w:t>
      </w:r>
      <w:r w:rsidRPr="003F5882">
        <w:rPr>
          <w:rFonts w:ascii="Arial" w:hAnsi="Arial"/>
          <w:sz w:val="21"/>
        </w:rPr>
        <w:t>下表所示：不存在向主要管理人员或其近亲属提供</w:t>
      </w:r>
      <w:r w:rsidR="00D73A44" w:rsidRPr="003F5882">
        <w:rPr>
          <w:rFonts w:ascii="Arial" w:hAnsi="Arial" w:hint="eastAsia"/>
          <w:sz w:val="21"/>
        </w:rPr>
        <w:t>、而</w:t>
      </w:r>
      <w:r w:rsidRPr="003F5882">
        <w:rPr>
          <w:rFonts w:ascii="Arial" w:hAnsi="Arial"/>
          <w:sz w:val="21"/>
        </w:rPr>
        <w:t>不向其他工作人员类别提供的贷款。不存在对主要管理人员或其近亲属的其他薪酬或补偿。</w:t>
      </w:r>
    </w:p>
    <w:p w:rsidR="007D62CB" w:rsidRDefault="006F16A3" w:rsidP="00C14A2F">
      <w:pPr>
        <w:pStyle w:val="Style3"/>
        <w:spacing w:after="0"/>
        <w:jc w:val="center"/>
        <w:rPr>
          <w:rFonts w:ascii="Arial" w:hAnsi="Arial"/>
          <w:sz w:val="21"/>
        </w:rPr>
      </w:pPr>
      <w:r w:rsidRPr="006F16A3">
        <w:rPr>
          <w:noProof/>
          <w:lang w:val="en-US" w:bidi="ar-SA"/>
        </w:rPr>
        <w:drawing>
          <wp:inline distT="0" distB="0" distL="0" distR="0">
            <wp:extent cx="5969635" cy="1449070"/>
            <wp:effectExtent l="0" t="0" r="0" b="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69635" cy="1449070"/>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附注21：</w:t>
      </w:r>
      <w:r w:rsidRPr="00F453AC">
        <w:rPr>
          <w:rFonts w:ascii="Arial" w:eastAsia="SimHei" w:hAnsi="Arial"/>
          <w:b w:val="0"/>
          <w:sz w:val="21"/>
        </w:rPr>
        <w:tab/>
        <w:t>储备金和基金结余</w:t>
      </w:r>
    </w:p>
    <w:p w:rsidR="00C14A2F" w:rsidRPr="003F5882" w:rsidRDefault="006F16A3" w:rsidP="00C14A2F">
      <w:pPr>
        <w:pStyle w:val="STYLEDUTEXTE"/>
        <w:jc w:val="center"/>
        <w:rPr>
          <w:rFonts w:ascii="Arial" w:hAnsi="Arial"/>
          <w:sz w:val="20"/>
        </w:rPr>
      </w:pPr>
      <w:r w:rsidRPr="006F16A3">
        <w:rPr>
          <w:noProof/>
          <w:lang w:val="en-US" w:bidi="ar-SA"/>
        </w:rPr>
        <w:drawing>
          <wp:inline distT="0" distB="0" distL="0" distR="0" wp14:anchorId="75CA5687" wp14:editId="6E667918">
            <wp:extent cx="5977255" cy="2899141"/>
            <wp:effectExtent l="0" t="0" r="4445" b="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77255" cy="2899141"/>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t>本组织的资金结余为2014年和前期业务的累计净额。</w:t>
      </w:r>
    </w:p>
    <w:p w:rsidR="007D62CB" w:rsidRDefault="00C14A2F" w:rsidP="003374D7">
      <w:pPr>
        <w:pStyle w:val="Style3"/>
        <w:spacing w:afterLines="50" w:line="340" w:lineRule="atLeast"/>
        <w:rPr>
          <w:rFonts w:ascii="Arial" w:hAnsi="Arial"/>
          <w:sz w:val="21"/>
        </w:rPr>
      </w:pPr>
      <w:r w:rsidRPr="003F5882">
        <w:rPr>
          <w:rFonts w:ascii="Arial" w:hAnsi="Arial"/>
          <w:sz w:val="21"/>
        </w:rPr>
        <w:t>重估值盈余储备</w:t>
      </w:r>
      <w:proofErr w:type="gramStart"/>
      <w:r w:rsidRPr="003F5882">
        <w:rPr>
          <w:rFonts w:ascii="Arial" w:hAnsi="Arial"/>
          <w:sz w:val="21"/>
        </w:rPr>
        <w:t>金包括</w:t>
      </w:r>
      <w:proofErr w:type="gramEnd"/>
      <w:r w:rsidRPr="003F5882">
        <w:rPr>
          <w:rFonts w:ascii="Arial" w:hAnsi="Arial"/>
          <w:sz w:val="21"/>
        </w:rPr>
        <w:t>本组织用于建设新大楼的自有土地的重估值</w:t>
      </w:r>
      <w:r w:rsidR="00F453AC" w:rsidRPr="003F5882">
        <w:rPr>
          <w:rFonts w:ascii="Arial" w:hAnsi="Arial"/>
          <w:sz w:val="21"/>
        </w:rPr>
        <w:t>（</w:t>
      </w:r>
      <w:r w:rsidRPr="003F5882">
        <w:rPr>
          <w:rFonts w:ascii="Arial" w:hAnsi="Arial"/>
          <w:sz w:val="21"/>
        </w:rPr>
        <w:t>从历史成本转为公允价值</w:t>
      </w:r>
      <w:r w:rsidR="00F453AC" w:rsidRPr="003F5882">
        <w:rPr>
          <w:rFonts w:ascii="Arial" w:hAnsi="Arial"/>
          <w:sz w:val="21"/>
        </w:rPr>
        <w:t>）</w:t>
      </w:r>
      <w:r w:rsidRPr="003F5882">
        <w:rPr>
          <w:rFonts w:ascii="Arial" w:hAnsi="Arial"/>
          <w:sz w:val="21"/>
        </w:rPr>
        <w:t>结果。公允价值经过独立评估确定。储备</w:t>
      </w:r>
      <w:proofErr w:type="gramStart"/>
      <w:r w:rsidRPr="003F5882">
        <w:rPr>
          <w:rFonts w:ascii="Arial" w:hAnsi="Arial"/>
          <w:sz w:val="21"/>
        </w:rPr>
        <w:t>金包括</w:t>
      </w:r>
      <w:proofErr w:type="gramEnd"/>
      <w:r w:rsidRPr="003F5882">
        <w:rPr>
          <w:rFonts w:ascii="Arial" w:hAnsi="Arial"/>
          <w:sz w:val="21"/>
        </w:rPr>
        <w:t>由每一联盟的成员国大会设立的周转基金，用于在出现暂时的流动性短缺时提供拨款的预先筹资。</w:t>
      </w:r>
    </w:p>
    <w:p w:rsidR="007D62CB" w:rsidRDefault="00C14A2F" w:rsidP="003374D7">
      <w:pPr>
        <w:pStyle w:val="Style3"/>
        <w:spacing w:afterLines="50" w:line="340" w:lineRule="atLeast"/>
        <w:rPr>
          <w:rFonts w:ascii="Arial" w:hAnsi="Arial"/>
          <w:sz w:val="21"/>
        </w:rPr>
      </w:pPr>
      <w:r w:rsidRPr="003F5882">
        <w:rPr>
          <w:rFonts w:ascii="Arial" w:hAnsi="Arial"/>
          <w:sz w:val="21"/>
        </w:rPr>
        <w:lastRenderedPageBreak/>
        <w:t>WIPO的资本由累计盈余和周转基金组成，它们构成资产净额的一部分。资本的管理是依照2010年WIPO成员国大会第四十八届系列会议</w:t>
      </w:r>
      <w:r w:rsidR="00F453AC" w:rsidRPr="003F5882">
        <w:rPr>
          <w:rFonts w:ascii="Arial" w:hAnsi="Arial"/>
          <w:sz w:val="21"/>
        </w:rPr>
        <w:t>［</w:t>
      </w:r>
      <w:r w:rsidRPr="003F5882">
        <w:rPr>
          <w:rFonts w:ascii="Arial" w:hAnsi="Arial"/>
          <w:sz w:val="21"/>
        </w:rPr>
        <w:t>A/48/9</w:t>
      </w:r>
      <w:r w:rsidR="00F453AC" w:rsidRPr="003F5882">
        <w:rPr>
          <w:rFonts w:ascii="Arial" w:hAnsi="Arial"/>
          <w:sz w:val="21"/>
        </w:rPr>
        <w:t>］</w:t>
      </w:r>
      <w:r w:rsidRPr="003F5882">
        <w:rPr>
          <w:rFonts w:ascii="Arial" w:hAnsi="Arial"/>
          <w:sz w:val="21"/>
        </w:rPr>
        <w:t>通过的储备基金政策和储备金使用原则进行的。该政策制定了累计盈余目标数额，相当于本组织的每一联盟两年期开支概算的一个百分比。此外，各联盟的条约协定明确了周转基金数额。拨出等于累计盈余和周转基金目标水平的资金来保持足够的流动性水平，并在业务出现赤字时用来弥补赤字。根据WIPO大会建立的储备</w:t>
      </w:r>
      <w:proofErr w:type="gramStart"/>
      <w:r w:rsidRPr="003F5882">
        <w:rPr>
          <w:rFonts w:ascii="Arial" w:hAnsi="Arial"/>
          <w:sz w:val="21"/>
        </w:rPr>
        <w:t>金利用</w:t>
      </w:r>
      <w:proofErr w:type="gramEnd"/>
      <w:r w:rsidRPr="003F5882">
        <w:rPr>
          <w:rFonts w:ascii="Arial" w:hAnsi="Arial"/>
          <w:sz w:val="21"/>
        </w:rPr>
        <w:t>政策，大会可以用超过目标的累计盈余为完善基建或其他优先项目提供资助。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截至2014年12月31日，累计盈余余额包括依照这一政策核准</w:t>
      </w:r>
      <w:r w:rsidRPr="003374D7">
        <w:rPr>
          <w:rFonts w:ascii="Arial" w:hAnsi="Arial" w:cs="Times New Roman"/>
          <w:sz w:val="21"/>
        </w:rPr>
        <w:t>用于</w:t>
      </w:r>
      <w:r w:rsidRPr="003F5882">
        <w:rPr>
          <w:rFonts w:ascii="Arial" w:hAnsi="Arial"/>
          <w:sz w:val="21"/>
        </w:rPr>
        <w:t>项目的资金。报告日核准的特殊项目的</w:t>
      </w:r>
      <w:r w:rsidR="00986E9F" w:rsidRPr="003F5882">
        <w:rPr>
          <w:rFonts w:ascii="Arial" w:hAnsi="Arial" w:hint="eastAsia"/>
          <w:sz w:val="21"/>
        </w:rPr>
        <w:t>剩余</w:t>
      </w:r>
      <w:r w:rsidRPr="003F5882">
        <w:rPr>
          <w:rFonts w:ascii="Arial" w:hAnsi="Arial"/>
          <w:sz w:val="21"/>
        </w:rPr>
        <w:t>余额为2,560万瑞郎。报告日发展议程储备金部分的</w:t>
      </w:r>
      <w:r w:rsidR="00986E9F" w:rsidRPr="003F5882">
        <w:rPr>
          <w:rFonts w:ascii="Arial" w:hAnsi="Arial" w:hint="eastAsia"/>
          <w:sz w:val="21"/>
        </w:rPr>
        <w:t>剩余</w:t>
      </w:r>
      <w:r w:rsidRPr="003F5882">
        <w:rPr>
          <w:rFonts w:ascii="Arial" w:hAnsi="Arial"/>
          <w:sz w:val="21"/>
        </w:rPr>
        <w:t>余额为100万瑞郎。还要注意的是，截至2014年12月31日，办公楼建筑项目的余额为60万瑞郎。这些建筑项目在建期间不会影响净资产水平，因为产生的支出作为在建工程转化为资本。下表详细描述了本年度储备金供资的项目以及净支出。</w:t>
      </w:r>
    </w:p>
    <w:p w:rsidR="007D62CB" w:rsidRDefault="006F16A3" w:rsidP="00C14A2F">
      <w:pPr>
        <w:pStyle w:val="STYLEDUTEXTE"/>
        <w:jc w:val="center"/>
        <w:rPr>
          <w:rFonts w:ascii="Arial" w:hAnsi="Arial"/>
          <w:sz w:val="21"/>
        </w:rPr>
      </w:pPr>
      <w:r w:rsidRPr="006F16A3">
        <w:rPr>
          <w:noProof/>
          <w:lang w:val="en-US" w:bidi="ar-SA"/>
        </w:rPr>
        <w:drawing>
          <wp:inline distT="0" distB="0" distL="0" distR="0" wp14:anchorId="06AA5248" wp14:editId="4F2356B1">
            <wp:extent cx="5977255" cy="3790959"/>
            <wp:effectExtent l="0" t="0" r="4445"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7255" cy="3790959"/>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附注22：</w:t>
      </w:r>
      <w:r w:rsidRPr="00F453AC">
        <w:rPr>
          <w:rFonts w:ascii="Arial" w:eastAsia="SimHei" w:hAnsi="Arial"/>
          <w:b w:val="0"/>
          <w:sz w:val="21"/>
        </w:rPr>
        <w:tab/>
        <w:t>预算比较表和财务执行情况表的对账情况</w:t>
      </w:r>
    </w:p>
    <w:p w:rsidR="007D62CB" w:rsidRDefault="00C14A2F" w:rsidP="003374D7">
      <w:pPr>
        <w:pStyle w:val="Style3"/>
        <w:spacing w:afterLines="50" w:line="340" w:lineRule="atLeast"/>
        <w:rPr>
          <w:rFonts w:ascii="Arial" w:hAnsi="Arial"/>
          <w:sz w:val="21"/>
        </w:rPr>
      </w:pPr>
      <w:r w:rsidRPr="003F5882">
        <w:rPr>
          <w:rFonts w:ascii="Arial" w:hAnsi="Arial"/>
          <w:sz w:val="21"/>
        </w:rPr>
        <w:t>WIPO计划和预算是根据《财务条例与细则》在修正的权责发生制基础上编制的，并经成员国大会批准。2014/15两年期计划和预算为该两年期确定了6.</w:t>
      </w:r>
      <w:r w:rsidR="005D4062" w:rsidRPr="003F5882">
        <w:rPr>
          <w:rFonts w:ascii="Arial" w:hAnsi="Arial" w:hint="eastAsia"/>
          <w:sz w:val="21"/>
        </w:rPr>
        <w:t>74</w:t>
      </w:r>
      <w:r w:rsidRPr="003F5882">
        <w:rPr>
          <w:rFonts w:ascii="Arial" w:hAnsi="Arial"/>
          <w:sz w:val="21"/>
        </w:rPr>
        <w:t>0亿瑞郎的概算。2014年是本两年期的第一年，初步和最终预算的收入概算为3.513亿瑞郎，支出概算为3.37</w:t>
      </w:r>
      <w:r w:rsidR="005D4062" w:rsidRPr="003F5882">
        <w:rPr>
          <w:rFonts w:ascii="Arial" w:hAnsi="Arial" w:hint="eastAsia"/>
          <w:sz w:val="21"/>
        </w:rPr>
        <w:t>0</w:t>
      </w:r>
      <w:r w:rsidRPr="003F5882">
        <w:rPr>
          <w:rFonts w:ascii="Arial" w:hAnsi="Arial"/>
          <w:sz w:val="21"/>
        </w:rPr>
        <w:t>亿瑞郎。在本两年期的第一年，采用修正的权责发生制的实际收入为3.787亿瑞郎。在本两年期的第一年，采用修正的权责发生制的实际支出为3.088亿瑞郎。</w:t>
      </w:r>
    </w:p>
    <w:p w:rsidR="007D62CB" w:rsidRDefault="003D06E3" w:rsidP="003374D7">
      <w:pPr>
        <w:pStyle w:val="Style3"/>
        <w:spacing w:afterLines="50" w:line="340" w:lineRule="atLeast"/>
        <w:rPr>
          <w:rFonts w:ascii="Arial" w:hAnsi="Arial"/>
          <w:sz w:val="21"/>
        </w:rPr>
      </w:pPr>
      <w:r w:rsidRPr="003F5882">
        <w:rPr>
          <w:rFonts w:ascii="Arial" w:hAnsi="Arial" w:hint="eastAsia"/>
          <w:sz w:val="21"/>
        </w:rPr>
        <w:t>《</w:t>
      </w:r>
      <w:r w:rsidR="00C14A2F" w:rsidRPr="003F5882">
        <w:rPr>
          <w:rFonts w:ascii="Arial" w:hAnsi="Arial"/>
          <w:sz w:val="21"/>
        </w:rPr>
        <w:t>2014年计划效绩报告</w:t>
      </w:r>
      <w:r w:rsidRPr="003F5882">
        <w:rPr>
          <w:rFonts w:ascii="Arial" w:hAnsi="Arial" w:hint="eastAsia"/>
          <w:sz w:val="21"/>
        </w:rPr>
        <w:t>》</w:t>
      </w:r>
      <w:r w:rsidR="00C14A2F" w:rsidRPr="003F5882">
        <w:rPr>
          <w:rFonts w:ascii="Arial" w:hAnsi="Arial"/>
          <w:sz w:val="21"/>
        </w:rPr>
        <w:t>对原预算和调剂使用后最终预算之间的变动以及预算数额和实际数额之间的实质性差异进行了解释。WIPO的预算和财务账目是使用两种不同基准</w:t>
      </w:r>
      <w:r w:rsidR="00C14A2F" w:rsidRPr="003374D7">
        <w:rPr>
          <w:rFonts w:ascii="Arial" w:hAnsi="Arial" w:cs="Times New Roman"/>
          <w:sz w:val="21"/>
        </w:rPr>
        <w:t>编制</w:t>
      </w:r>
      <w:r w:rsidR="00C14A2F" w:rsidRPr="003F5882">
        <w:rPr>
          <w:rFonts w:ascii="Arial" w:hAnsi="Arial"/>
          <w:sz w:val="21"/>
        </w:rPr>
        <w:t>的。财务状况表、财务执行情况表、净资产变动表和现金流量表是以完全的权责发生制编制的，而预算和实际数额对比表</w:t>
      </w:r>
      <w:r w:rsidR="00F453AC" w:rsidRPr="003F5882">
        <w:rPr>
          <w:rFonts w:ascii="Arial" w:hAnsi="Arial" w:hint="eastAsia"/>
          <w:sz w:val="21"/>
        </w:rPr>
        <w:t>（</w:t>
      </w:r>
      <w:r w:rsidR="00C14A2F" w:rsidRPr="003F5882">
        <w:rPr>
          <w:rFonts w:ascii="Arial" w:hAnsi="Arial"/>
          <w:sz w:val="21"/>
        </w:rPr>
        <w:t>报表五</w:t>
      </w:r>
      <w:r w:rsidR="00F453AC" w:rsidRPr="003F5882">
        <w:rPr>
          <w:rFonts w:ascii="Arial" w:hAnsi="Arial"/>
          <w:sz w:val="21"/>
        </w:rPr>
        <w:t>）</w:t>
      </w:r>
      <w:r w:rsidR="00C14A2F" w:rsidRPr="003F5882">
        <w:rPr>
          <w:rFonts w:ascii="Arial" w:hAnsi="Arial"/>
          <w:sz w:val="21"/>
        </w:rPr>
        <w:t>是根据修正的权责发生制编制的。</w:t>
      </w:r>
    </w:p>
    <w:p w:rsidR="007D62CB" w:rsidRDefault="00C14A2F" w:rsidP="003374D7">
      <w:pPr>
        <w:pStyle w:val="Style3"/>
        <w:spacing w:afterLines="50" w:line="340" w:lineRule="atLeast"/>
        <w:rPr>
          <w:rFonts w:ascii="Arial" w:hAnsi="Arial"/>
          <w:sz w:val="21"/>
        </w:rPr>
      </w:pPr>
      <w:r w:rsidRPr="003F5882">
        <w:rPr>
          <w:rFonts w:ascii="Arial" w:hAnsi="Arial"/>
          <w:sz w:val="21"/>
        </w:rPr>
        <w:lastRenderedPageBreak/>
        <w:t>根据IPSAS-24的要求，对报表五所载的实际可比数和财务账目上所列的实际数进行了对账，分别区分了基准、时间安排和实体差异。WIPO的预算是成员国大会按两年期通过的，但是为两个年度的每一年编制了单独的概算。因此，没有需要报告的时间安排差异。核定预算不按完全的权责发生制会计基准编制，因此存在基准差异。基准差异包括资产折旧、准备金的完全计入和未实现收入的递延。实体差异表现在WIPO的财务账目中包括特别账户和储备金供资项目，但WIPO已公布的计划和预算中不包括这些项目。呈报上的差异体现在投资财产收益在报表四中被作为投资活动处理。</w:t>
      </w:r>
    </w:p>
    <w:p w:rsidR="007D62CB" w:rsidRDefault="006F16A3" w:rsidP="00C14A2F">
      <w:pPr>
        <w:pStyle w:val="STYLEDUTEXTE"/>
        <w:jc w:val="center"/>
        <w:rPr>
          <w:rFonts w:ascii="Arial" w:hAnsi="Arial"/>
          <w:sz w:val="20"/>
        </w:rPr>
      </w:pPr>
      <w:r w:rsidRPr="006F16A3">
        <w:rPr>
          <w:noProof/>
          <w:lang w:val="en-US" w:bidi="ar-SA"/>
        </w:rPr>
        <w:drawing>
          <wp:inline distT="0" distB="0" distL="0" distR="0">
            <wp:extent cx="5831205" cy="3994150"/>
            <wp:effectExtent l="0" t="0" r="0" b="0"/>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31205" cy="3994150"/>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lastRenderedPageBreak/>
        <w:t>附注23：收入</w:t>
      </w:r>
    </w:p>
    <w:p w:rsidR="00C14A2F" w:rsidRPr="00F453AC" w:rsidRDefault="006F16A3" w:rsidP="003D06E3">
      <w:pPr>
        <w:pStyle w:val="StyleHeading211ptNotBoldNotItalicAllcaps"/>
        <w:keepNext w:val="0"/>
        <w:widowControl w:val="0"/>
        <w:spacing w:before="0" w:after="0"/>
        <w:jc w:val="center"/>
        <w:rPr>
          <w:rFonts w:ascii="Arial" w:eastAsia="SimHei" w:hAnsi="Arial"/>
          <w:b w:val="0"/>
          <w:sz w:val="21"/>
        </w:rPr>
      </w:pPr>
      <w:r w:rsidRPr="006F16A3">
        <w:rPr>
          <w:rFonts w:eastAsia="SimHei"/>
          <w:noProof/>
          <w:lang w:val="en-US" w:bidi="ar-SA"/>
        </w:rPr>
        <w:drawing>
          <wp:inline distT="0" distB="0" distL="0" distR="0" wp14:anchorId="7C475D48" wp14:editId="58D2898B">
            <wp:extent cx="5977255" cy="4166554"/>
            <wp:effectExtent l="0" t="0" r="4445"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77255" cy="4166554"/>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所显示的计划和预算数为所收到的实际收入，涉及大会通过的本组织的预算。自愿捐款为所收到的收入，涉及捐赠人对未包括在计划和预算内的单项计划所捐助的款项。</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IPSAS调节主要与未实现收入的递延有关。源于自愿</w:t>
      </w:r>
      <w:r w:rsidRPr="003374D7">
        <w:rPr>
          <w:rFonts w:ascii="Arial" w:hAnsi="Arial" w:cs="Times New Roman"/>
          <w:sz w:val="21"/>
        </w:rPr>
        <w:t>捐助</w:t>
      </w:r>
      <w:r w:rsidRPr="003F5882">
        <w:rPr>
          <w:rFonts w:ascii="Arial" w:hAnsi="Arial"/>
          <w:sz w:val="21"/>
        </w:rPr>
        <w:t>的</w:t>
      </w:r>
      <w:proofErr w:type="gramStart"/>
      <w:r w:rsidRPr="003F5882">
        <w:rPr>
          <w:rFonts w:ascii="Arial" w:hAnsi="Arial"/>
          <w:sz w:val="21"/>
        </w:rPr>
        <w:t>收入被递延至</w:t>
      </w:r>
      <w:proofErr w:type="gramEnd"/>
      <w:r w:rsidRPr="003F5882">
        <w:rPr>
          <w:rFonts w:ascii="Arial" w:hAnsi="Arial"/>
          <w:sz w:val="21"/>
        </w:rPr>
        <w:t>通过提供与捐助方商定的工作计划中所规定的特定服务而获得实现时为止。</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PCT、马德里和海牙</w:t>
      </w:r>
      <w:proofErr w:type="gramStart"/>
      <w:r w:rsidRPr="003F5882">
        <w:rPr>
          <w:rFonts w:ascii="Arial" w:hAnsi="Arial"/>
          <w:sz w:val="21"/>
        </w:rPr>
        <w:t>规</w:t>
      </w:r>
      <w:proofErr w:type="gramEnd"/>
      <w:r w:rsidRPr="003F5882">
        <w:rPr>
          <w:rFonts w:ascii="Arial" w:hAnsi="Arial"/>
          <w:sz w:val="21"/>
        </w:rPr>
        <w:t>费的</w:t>
      </w:r>
      <w:proofErr w:type="gramStart"/>
      <w:r w:rsidRPr="003F5882">
        <w:rPr>
          <w:rFonts w:ascii="Arial" w:hAnsi="Arial"/>
          <w:sz w:val="21"/>
        </w:rPr>
        <w:t>收入被递延至</w:t>
      </w:r>
      <w:proofErr w:type="gramEnd"/>
      <w:r w:rsidRPr="003F5882">
        <w:rPr>
          <w:rFonts w:ascii="Arial" w:hAnsi="Arial"/>
          <w:sz w:val="21"/>
        </w:rPr>
        <w:t>通过根据每个联盟的规则公布国际申请而实现时为止。</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lastRenderedPageBreak/>
        <w:t>附注24：</w:t>
      </w:r>
      <w:r w:rsidRPr="007D62CB">
        <w:rPr>
          <w:rFonts w:ascii="Arial" w:eastAsia="SimHei" w:hAnsi="Arial" w:cs="Times New Roman"/>
          <w:b w:val="0"/>
          <w:sz w:val="21"/>
        </w:rPr>
        <w:t>支出</w:t>
      </w:r>
    </w:p>
    <w:p w:rsidR="00C14A2F" w:rsidRPr="003F5882" w:rsidRDefault="006F16A3" w:rsidP="00C14A2F">
      <w:pPr>
        <w:jc w:val="center"/>
        <w:rPr>
          <w:rFonts w:ascii="Arial" w:hAnsi="Arial"/>
          <w:sz w:val="21"/>
          <w:szCs w:val="22"/>
        </w:rPr>
      </w:pPr>
      <w:r w:rsidRPr="006F16A3">
        <w:rPr>
          <w:noProof/>
          <w:lang w:val="en-US" w:bidi="ar-SA"/>
        </w:rPr>
        <w:drawing>
          <wp:inline distT="0" distB="0" distL="0" distR="0" wp14:anchorId="72A9E63B" wp14:editId="7AF256F2">
            <wp:extent cx="5977255" cy="7300256"/>
            <wp:effectExtent l="0" t="0" r="4445"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77255" cy="7300256"/>
                    </a:xfrm>
                    <a:prstGeom prst="rect">
                      <a:avLst/>
                    </a:prstGeom>
                    <a:noFill/>
                    <a:ln>
                      <a:noFill/>
                    </a:ln>
                  </pic:spPr>
                </pic:pic>
              </a:graphicData>
            </a:graphic>
          </wp:inline>
        </w:drawing>
      </w:r>
    </w:p>
    <w:p w:rsidR="00C14A2F" w:rsidRPr="003F5882" w:rsidRDefault="00C14A2F" w:rsidP="003374D7">
      <w:pPr>
        <w:pStyle w:val="Style3"/>
        <w:spacing w:afterLines="50" w:line="340" w:lineRule="atLeast"/>
        <w:rPr>
          <w:rFonts w:ascii="Arial" w:hAnsi="Arial"/>
          <w:sz w:val="21"/>
          <w:szCs w:val="22"/>
        </w:rPr>
      </w:pPr>
      <w:r w:rsidRPr="003F5882">
        <w:rPr>
          <w:rFonts w:ascii="Arial" w:hAnsi="Arial"/>
          <w:sz w:val="21"/>
        </w:rPr>
        <w:t>计划和预算、特别账户和储备金资助项目中的支出是根据修正的权责发生</w:t>
      </w:r>
      <w:proofErr w:type="gramStart"/>
      <w:r w:rsidRPr="003F5882">
        <w:rPr>
          <w:rFonts w:ascii="Arial" w:hAnsi="Arial"/>
          <w:sz w:val="21"/>
        </w:rPr>
        <w:t>制报告</w:t>
      </w:r>
      <w:proofErr w:type="gramEnd"/>
      <w:r w:rsidRPr="003F5882">
        <w:rPr>
          <w:rFonts w:ascii="Arial" w:hAnsi="Arial"/>
          <w:sz w:val="21"/>
        </w:rPr>
        <w:t>的，支出的确认以收到货物和服务得到提供为准。然而，在计入IPSAS调整</w:t>
      </w:r>
      <w:r w:rsidRPr="003374D7">
        <w:rPr>
          <w:rFonts w:ascii="Arial" w:hAnsi="Arial" w:cs="Times New Roman"/>
          <w:sz w:val="21"/>
        </w:rPr>
        <w:t>影响</w:t>
      </w:r>
      <w:r w:rsidRPr="003F5882">
        <w:rPr>
          <w:rFonts w:ascii="Arial" w:hAnsi="Arial"/>
          <w:sz w:val="21"/>
        </w:rPr>
        <w:t>之前，设备采购费用、库存生产相关开支和建筑相关开支在支付后才记为支出，离职后福利准备金仅就到位资金予以确认。依照WIPO</w:t>
      </w:r>
      <w:r w:rsidR="003D06E3" w:rsidRPr="003F5882">
        <w:rPr>
          <w:rFonts w:ascii="Arial" w:hAnsi="Arial" w:hint="eastAsia"/>
          <w:sz w:val="21"/>
        </w:rPr>
        <w:t>《</w:t>
      </w:r>
      <w:r w:rsidRPr="003F5882">
        <w:rPr>
          <w:rFonts w:ascii="Arial" w:hAnsi="Arial"/>
          <w:sz w:val="21"/>
        </w:rPr>
        <w:t>2014/15两年期计划和预算</w:t>
      </w:r>
      <w:r w:rsidR="003D06E3" w:rsidRPr="003F5882">
        <w:rPr>
          <w:rFonts w:ascii="Arial" w:hAnsi="Arial" w:hint="eastAsia"/>
          <w:sz w:val="21"/>
        </w:rPr>
        <w:t>》</w:t>
      </w:r>
      <w:r w:rsidRPr="003F5882">
        <w:rPr>
          <w:rFonts w:ascii="Arial" w:hAnsi="Arial"/>
          <w:sz w:val="21"/>
        </w:rPr>
        <w:t>第39段，2014年计入了员额成本中6%的增加计提费用，以更好地提供离职后雇员福利。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lastRenderedPageBreak/>
        <w:t>此外，呆账准备金的变动、设备和建筑物折旧和设备处置不被认定为采用修正的权责发生制项下的支出。这样，建筑物折旧费</w:t>
      </w:r>
      <w:r w:rsidR="00F453AC" w:rsidRPr="003F5882">
        <w:rPr>
          <w:rFonts w:ascii="Arial" w:hAnsi="Arial"/>
          <w:sz w:val="21"/>
        </w:rPr>
        <w:t>（</w:t>
      </w:r>
      <w:r w:rsidRPr="003F5882">
        <w:rPr>
          <w:rFonts w:ascii="Arial" w:hAnsi="Arial"/>
          <w:sz w:val="21"/>
        </w:rPr>
        <w:t>710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、无形资产</w:t>
      </w:r>
      <w:r w:rsidR="00F453AC" w:rsidRPr="003F5882">
        <w:rPr>
          <w:rFonts w:ascii="Arial" w:hAnsi="Arial"/>
          <w:sz w:val="21"/>
        </w:rPr>
        <w:t>（</w:t>
      </w:r>
      <w:r w:rsidRPr="003F5882">
        <w:rPr>
          <w:rFonts w:ascii="Arial" w:hAnsi="Arial"/>
          <w:sz w:val="21"/>
        </w:rPr>
        <w:t>120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和设备</w:t>
      </w:r>
      <w:r w:rsidR="00F453AC" w:rsidRPr="003F5882">
        <w:rPr>
          <w:rFonts w:ascii="Arial" w:hAnsi="Arial"/>
          <w:sz w:val="21"/>
        </w:rPr>
        <w:t>（</w:t>
      </w:r>
      <w:r w:rsidRPr="003F5882">
        <w:rPr>
          <w:rFonts w:ascii="Arial" w:hAnsi="Arial"/>
          <w:sz w:val="21"/>
        </w:rPr>
        <w:t>80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被视为IPSAS调整。建筑成本以及建筑附属物</w:t>
      </w:r>
      <w:r w:rsidR="00F453AC" w:rsidRPr="003F5882">
        <w:rPr>
          <w:rFonts w:ascii="Arial" w:hAnsi="Arial"/>
          <w:sz w:val="21"/>
        </w:rPr>
        <w:t>（</w:t>
      </w:r>
      <w:r w:rsidRPr="003F5882">
        <w:rPr>
          <w:rFonts w:ascii="Arial" w:hAnsi="Arial"/>
          <w:sz w:val="21"/>
        </w:rPr>
        <w:t>3,040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转入固定资产，也包括在IPSAS调整之内。</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附注25：</w:t>
      </w:r>
      <w:r w:rsidRPr="00F453AC">
        <w:rPr>
          <w:rFonts w:ascii="Arial" w:eastAsia="SimHei" w:hAnsi="Arial"/>
          <w:b w:val="0"/>
          <w:sz w:val="21"/>
        </w:rPr>
        <w:tab/>
        <w:t>金融工具</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本组织面临着在日常运营中产生的外币兑换、信用、利率和</w:t>
      </w:r>
      <w:r w:rsidRPr="003374D7">
        <w:rPr>
          <w:rFonts w:ascii="Arial" w:hAnsi="Arial" w:cs="Times New Roman"/>
          <w:sz w:val="21"/>
        </w:rPr>
        <w:t>流动性</w:t>
      </w:r>
      <w:r w:rsidRPr="003F5882">
        <w:rPr>
          <w:rFonts w:ascii="Arial" w:hAnsi="Arial"/>
          <w:sz w:val="21"/>
        </w:rPr>
        <w:t>风险。本附注提供了本组织在上述每个风险领域面临的风险情况，以及衡量和管理风险的政策和过程。</w:t>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公允价值</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以下所示为本组织金融工具账面数额和公允价值的分类比较。</w:t>
      </w:r>
    </w:p>
    <w:p w:rsidR="00C14A2F" w:rsidRPr="003F5882" w:rsidRDefault="006F16A3" w:rsidP="00C14A2F">
      <w:pPr>
        <w:autoSpaceDE w:val="0"/>
        <w:autoSpaceDN w:val="0"/>
        <w:adjustRightInd w:val="0"/>
        <w:jc w:val="center"/>
        <w:rPr>
          <w:rFonts w:ascii="Arial" w:hAnsi="Arial"/>
          <w:sz w:val="21"/>
          <w:szCs w:val="22"/>
        </w:rPr>
      </w:pPr>
      <w:r w:rsidRPr="006F16A3">
        <w:rPr>
          <w:noProof/>
          <w:lang w:val="en-US" w:bidi="ar-SA"/>
        </w:rPr>
        <w:drawing>
          <wp:inline distT="0" distB="0" distL="0" distR="0">
            <wp:extent cx="5581015" cy="2165350"/>
            <wp:effectExtent l="0" t="0" r="635" b="635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81015" cy="2165350"/>
                    </a:xfrm>
                    <a:prstGeom prst="rect">
                      <a:avLst/>
                    </a:prstGeom>
                    <a:noFill/>
                    <a:ln>
                      <a:noFill/>
                    </a:ln>
                  </pic:spPr>
                </pic:pic>
              </a:graphicData>
            </a:graphic>
          </wp:inline>
        </w:drawing>
      </w:r>
    </w:p>
    <w:p w:rsidR="00C14A2F" w:rsidRPr="003F5882" w:rsidRDefault="006F16A3" w:rsidP="00C14A2F">
      <w:pPr>
        <w:jc w:val="center"/>
        <w:rPr>
          <w:rFonts w:ascii="Arial" w:hAnsi="Arial"/>
          <w:sz w:val="21"/>
          <w:szCs w:val="22"/>
        </w:rPr>
      </w:pPr>
      <w:r w:rsidRPr="006F16A3">
        <w:rPr>
          <w:noProof/>
          <w:lang w:val="en-US" w:bidi="ar-SA"/>
        </w:rPr>
        <w:drawing>
          <wp:inline distT="0" distB="0" distL="0" distR="0">
            <wp:extent cx="5581015" cy="2458720"/>
            <wp:effectExtent l="0" t="0" r="635" b="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81015" cy="2458720"/>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金融资产和负债的公允价值是按照该项工具在自愿交易方目前的交易中可交换的数额计入的，而不是按照强制出售或清偿的情况计算。公允价值的概算利用了以下方法和假定：</w:t>
      </w:r>
    </w:p>
    <w:p w:rsidR="00C14A2F" w:rsidRPr="003F5882" w:rsidRDefault="00C14A2F" w:rsidP="003374D7">
      <w:pPr>
        <w:numPr>
          <w:ilvl w:val="0"/>
          <w:numId w:val="13"/>
        </w:numPr>
        <w:autoSpaceDE w:val="0"/>
        <w:autoSpaceDN w:val="0"/>
        <w:adjustRightInd w:val="0"/>
        <w:spacing w:afterLines="50" w:after="120" w:line="340" w:lineRule="atLeast"/>
        <w:ind w:left="714" w:hanging="357"/>
        <w:jc w:val="both"/>
        <w:rPr>
          <w:rFonts w:ascii="Arial" w:hAnsi="Arial"/>
          <w:sz w:val="21"/>
          <w:szCs w:val="22"/>
        </w:rPr>
      </w:pPr>
      <w:r w:rsidRPr="003F5882">
        <w:rPr>
          <w:rFonts w:ascii="Arial" w:hAnsi="Arial"/>
          <w:sz w:val="21"/>
        </w:rPr>
        <w:t>现金和短期存款、外汇交易应收款、应付账款和其他的流动负债大致相当于其账面数额，主要是因为这些工具短期内到期。</w:t>
      </w:r>
    </w:p>
    <w:p w:rsidR="007D62CB" w:rsidRDefault="00C14A2F" w:rsidP="003374D7">
      <w:pPr>
        <w:numPr>
          <w:ilvl w:val="0"/>
          <w:numId w:val="13"/>
        </w:numPr>
        <w:spacing w:afterLines="50" w:after="120" w:line="340" w:lineRule="atLeast"/>
        <w:ind w:left="714" w:hanging="357"/>
        <w:jc w:val="both"/>
        <w:rPr>
          <w:rFonts w:ascii="Arial" w:eastAsia="SimHei" w:hAnsi="Arial"/>
          <w:sz w:val="21"/>
          <w:szCs w:val="22"/>
        </w:rPr>
      </w:pPr>
      <w:r w:rsidRPr="003F5882">
        <w:rPr>
          <w:rFonts w:ascii="Arial" w:hAnsi="Arial"/>
          <w:sz w:val="21"/>
        </w:rPr>
        <w:t>长期贷款、应收账款和借款由本组织根据诸如利率和风险特征等参数进行评估。为非外汇交易应收账款设立的备抵金用于支付根据《WIPO公约》第11条第5</w:t>
      </w:r>
      <w:r w:rsidR="003D06E3" w:rsidRPr="003F5882">
        <w:rPr>
          <w:rFonts w:ascii="Arial" w:hAnsi="Arial" w:hint="eastAsia"/>
          <w:sz w:val="21"/>
        </w:rPr>
        <w:t>款</w:t>
      </w:r>
      <w:r w:rsidRPr="003F5882">
        <w:rPr>
          <w:rFonts w:ascii="Arial" w:hAnsi="Arial"/>
          <w:sz w:val="21"/>
        </w:rPr>
        <w:t>已丧失投票权的成员国欠交数额和大会决定冻结的最不发达国家的会费。为FCIG提供的优惠贷款按照以1.48%的贴现率贴现的现</w:t>
      </w:r>
      <w:r w:rsidRPr="003F5882">
        <w:rPr>
          <w:rFonts w:ascii="Arial" w:hAnsi="Arial"/>
          <w:sz w:val="21"/>
        </w:rPr>
        <w:lastRenderedPageBreak/>
        <w:t>金流价值计入摊销的成本。应收美国税款按照以1.81%的贴现率贴现的现金</w:t>
      </w:r>
      <w:proofErr w:type="gramStart"/>
      <w:r w:rsidRPr="003F5882">
        <w:rPr>
          <w:rFonts w:ascii="Arial" w:hAnsi="Arial"/>
          <w:sz w:val="21"/>
        </w:rPr>
        <w:t>流价值</w:t>
      </w:r>
      <w:proofErr w:type="gramEnd"/>
      <w:r w:rsidRPr="003F5882">
        <w:rPr>
          <w:rFonts w:ascii="Arial" w:hAnsi="Arial"/>
          <w:sz w:val="21"/>
        </w:rPr>
        <w:t>计入摊销的成本。</w:t>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信贷风险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信贷风险系指本组织在金融工具</w:t>
      </w:r>
      <w:r w:rsidRPr="003374D7">
        <w:rPr>
          <w:rFonts w:ascii="Arial" w:hAnsi="Arial" w:cs="Times New Roman"/>
          <w:sz w:val="21"/>
        </w:rPr>
        <w:t>交易</w:t>
      </w:r>
      <w:r w:rsidRPr="003F5882">
        <w:rPr>
          <w:rFonts w:ascii="Arial" w:hAnsi="Arial"/>
          <w:sz w:val="21"/>
        </w:rPr>
        <w:t>对手未能履行其合同义务的情况下面临的财务损失风险。这主要涉及本组织的贷款、应收账款、现金和现金等价物。金融资产的账面数额代表最高信贷风险。截至2014年12月31日，最高信贷风险敞口为：</w:t>
      </w:r>
    </w:p>
    <w:p w:rsidR="00C14A2F" w:rsidRPr="003F5882" w:rsidRDefault="006F16A3" w:rsidP="00C14A2F">
      <w:pPr>
        <w:autoSpaceDE w:val="0"/>
        <w:autoSpaceDN w:val="0"/>
        <w:adjustRightInd w:val="0"/>
        <w:jc w:val="center"/>
        <w:rPr>
          <w:rFonts w:ascii="Arial" w:hAnsi="Arial"/>
          <w:sz w:val="21"/>
          <w:szCs w:val="22"/>
        </w:rPr>
      </w:pPr>
      <w:r w:rsidRPr="006F16A3">
        <w:rPr>
          <w:noProof/>
          <w:lang w:val="en-US" w:bidi="ar-SA"/>
        </w:rPr>
        <w:drawing>
          <wp:inline distT="0" distB="0" distL="0" distR="0">
            <wp:extent cx="5736590" cy="1345565"/>
            <wp:effectExtent l="0" t="0" r="0"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6590" cy="1345565"/>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本组织的非外汇交易应收账款几乎全部来自代表主权政府的成员国，因此与信用相关的风险较小。对于预计在短期内得不到支付的</w:t>
      </w:r>
      <w:r w:rsidRPr="003374D7">
        <w:rPr>
          <w:rFonts w:ascii="Arial" w:hAnsi="Arial" w:cs="Times New Roman"/>
          <w:sz w:val="21"/>
        </w:rPr>
        <w:t>应收</w:t>
      </w:r>
      <w:r w:rsidRPr="003F5882">
        <w:rPr>
          <w:rFonts w:ascii="Arial" w:hAnsi="Arial"/>
          <w:sz w:val="21"/>
        </w:rPr>
        <w:t>账款，已根据应收账款的资产价值设立了</w:t>
      </w:r>
      <w:proofErr w:type="gramStart"/>
      <w:r w:rsidRPr="003F5882">
        <w:rPr>
          <w:rFonts w:ascii="Arial" w:hAnsi="Arial"/>
          <w:sz w:val="21"/>
        </w:rPr>
        <w:t>一项备抵金</w:t>
      </w:r>
      <w:proofErr w:type="gramEnd"/>
      <w:r w:rsidRPr="003F5882">
        <w:rPr>
          <w:rFonts w:ascii="Arial" w:hAnsi="Arial"/>
          <w:sz w:val="21"/>
        </w:rPr>
        <w:t>。</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持有的各项投资置于主权风险或信用评级为AA-或更高等级的银行。为将现金和现金等价物的信用风险减小到最低程度，本组织将其持有的绝大部分资金放入高或中高信用评级的银行。但是，在某些情况下，出于特殊的运作目的，会将资金交给低于中级评级的银行持有。据此，现金和现金等价物的信用评级如下：</w:t>
      </w:r>
    </w:p>
    <w:p w:rsidR="00C14A2F" w:rsidRPr="003F5882" w:rsidRDefault="006F16A3" w:rsidP="006F16A3">
      <w:pPr>
        <w:spacing w:afterLines="50" w:after="120"/>
        <w:jc w:val="center"/>
        <w:rPr>
          <w:rFonts w:ascii="Arial" w:hAnsi="Arial"/>
          <w:sz w:val="21"/>
          <w:szCs w:val="22"/>
        </w:rPr>
      </w:pPr>
      <w:r w:rsidRPr="006F16A3">
        <w:rPr>
          <w:noProof/>
          <w:lang w:val="en-US" w:bidi="ar-SA"/>
        </w:rPr>
        <w:drawing>
          <wp:inline distT="0" distB="0" distL="0" distR="0" wp14:anchorId="5337AA13" wp14:editId="19846A67">
            <wp:extent cx="5977255" cy="1470214"/>
            <wp:effectExtent l="0" t="0" r="4445" b="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77255" cy="1470214"/>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流动性风险</w:t>
      </w:r>
    </w:p>
    <w:p w:rsidR="00C14A2F" w:rsidRPr="003F5882" w:rsidRDefault="00D3024C" w:rsidP="003374D7">
      <w:pPr>
        <w:pStyle w:val="Style3"/>
        <w:spacing w:afterLines="50" w:line="340" w:lineRule="atLeast"/>
        <w:rPr>
          <w:rFonts w:ascii="Arial" w:hAnsi="Arial"/>
          <w:sz w:val="21"/>
          <w:szCs w:val="22"/>
        </w:rPr>
      </w:pPr>
      <w:r w:rsidRPr="003F5882">
        <w:rPr>
          <w:rFonts w:ascii="Arial" w:hAnsi="Arial" w:cs="Arial"/>
          <w:sz w:val="21"/>
          <w:szCs w:val="22"/>
          <w:lang w:val="en-GB"/>
        </w:rPr>
        <w:t>流动性风险系指本组织不能如期</w:t>
      </w:r>
      <w:r w:rsidRPr="003374D7">
        <w:rPr>
          <w:rFonts w:ascii="Arial" w:hAnsi="Arial" w:cs="Times New Roman"/>
          <w:sz w:val="21"/>
        </w:rPr>
        <w:t>偿债</w:t>
      </w:r>
      <w:r w:rsidRPr="003F5882">
        <w:rPr>
          <w:rFonts w:ascii="Arial" w:hAnsi="Arial" w:cs="Arial"/>
          <w:sz w:val="21"/>
          <w:szCs w:val="22"/>
          <w:lang w:val="en-GB"/>
        </w:rPr>
        <w:t>的风险。</w:t>
      </w:r>
    </w:p>
    <w:p w:rsidR="007D62CB" w:rsidRDefault="00D3024C" w:rsidP="003374D7">
      <w:pPr>
        <w:pStyle w:val="Style3"/>
        <w:spacing w:afterLines="50" w:line="340" w:lineRule="atLeast"/>
        <w:rPr>
          <w:rFonts w:ascii="Arial" w:hAnsi="Arial"/>
          <w:sz w:val="21"/>
          <w:szCs w:val="22"/>
        </w:rPr>
      </w:pPr>
      <w:r w:rsidRPr="003F5882">
        <w:rPr>
          <w:rFonts w:ascii="Arial" w:hAnsi="Arial" w:cs="Arial"/>
          <w:sz w:val="21"/>
          <w:szCs w:val="22"/>
        </w:rPr>
        <w:t>本组织没有面临重大流动性风险，因为本组织具有充足的不受限制的现金资源，这些现金资源通过其业务成果得到补充。本组织制定了投资</w:t>
      </w:r>
      <w:r w:rsidRPr="003374D7">
        <w:rPr>
          <w:rFonts w:ascii="Arial" w:hAnsi="Arial" w:cs="Times New Roman"/>
          <w:sz w:val="21"/>
        </w:rPr>
        <w:t>政策</w:t>
      </w:r>
      <w:r w:rsidRPr="003F5882">
        <w:rPr>
          <w:rFonts w:ascii="Arial" w:hAnsi="Arial" w:cs="Arial"/>
          <w:sz w:val="21"/>
          <w:szCs w:val="22"/>
        </w:rPr>
        <w:t>，以保证其投资首先保存为流动短期存款</w:t>
      </w:r>
      <w:r w:rsidR="00C14A2F" w:rsidRPr="003F5882">
        <w:rPr>
          <w:rFonts w:ascii="Arial" w:hAnsi="Arial"/>
          <w:sz w:val="21"/>
          <w:szCs w:val="22"/>
        </w:rPr>
        <w:t>。</w:t>
      </w:r>
      <w:r w:rsidR="00C14A2F" w:rsidRPr="003F5882">
        <w:rPr>
          <w:rFonts w:ascii="Arial" w:hAnsi="Arial"/>
          <w:sz w:val="21"/>
        </w:rPr>
        <w:t>下表为WIPO借款到期分析。截至2014年12月31日的BCG/BCV新办公楼贷款到期分析包括每年还款390</w:t>
      </w:r>
      <w:proofErr w:type="gramStart"/>
      <w:r w:rsidR="00C14A2F" w:rsidRPr="003F5882">
        <w:rPr>
          <w:rFonts w:ascii="Arial" w:hAnsi="Arial"/>
          <w:sz w:val="21"/>
        </w:rPr>
        <w:t>万瑞</w:t>
      </w:r>
      <w:proofErr w:type="gramEnd"/>
      <w:r w:rsidR="00C14A2F" w:rsidRPr="003F5882">
        <w:rPr>
          <w:rFonts w:ascii="Arial" w:hAnsi="Arial"/>
          <w:sz w:val="21"/>
        </w:rPr>
        <w:t>郎</w:t>
      </w:r>
      <w:r w:rsidR="00F453AC" w:rsidRPr="003F5882">
        <w:rPr>
          <w:rFonts w:ascii="Arial" w:hAnsi="Arial"/>
          <w:sz w:val="21"/>
        </w:rPr>
        <w:t>（</w:t>
      </w:r>
      <w:r w:rsidR="00C14A2F" w:rsidRPr="003F5882">
        <w:rPr>
          <w:rFonts w:ascii="Arial" w:hAnsi="Arial"/>
          <w:sz w:val="21"/>
        </w:rPr>
        <w:t>占贷款总价值的3.0%</w:t>
      </w:r>
      <w:r w:rsidR="00F453AC" w:rsidRPr="003F5882">
        <w:rPr>
          <w:rFonts w:ascii="Arial" w:hAnsi="Arial"/>
          <w:sz w:val="21"/>
        </w:rPr>
        <w:t>）</w:t>
      </w:r>
      <w:r w:rsidR="00C14A2F" w:rsidRPr="003F5882">
        <w:rPr>
          <w:rFonts w:ascii="Arial" w:hAnsi="Arial"/>
          <w:sz w:val="21"/>
        </w:rPr>
        <w:t>以及2015年11月和2016年1月</w:t>
      </w:r>
      <w:r w:rsidR="00267C92" w:rsidRPr="003F5882">
        <w:rPr>
          <w:rFonts w:ascii="Arial" w:hAnsi="Arial" w:hint="eastAsia"/>
          <w:sz w:val="21"/>
        </w:rPr>
        <w:t>计划</w:t>
      </w:r>
      <w:r w:rsidR="00C14A2F" w:rsidRPr="003F5882">
        <w:rPr>
          <w:rFonts w:ascii="Arial" w:hAnsi="Arial"/>
          <w:sz w:val="21"/>
        </w:rPr>
        <w:t>分别一次性还款2,400</w:t>
      </w:r>
      <w:proofErr w:type="gramStart"/>
      <w:r w:rsidR="00C14A2F" w:rsidRPr="003F5882">
        <w:rPr>
          <w:rFonts w:ascii="Arial" w:hAnsi="Arial"/>
          <w:sz w:val="21"/>
        </w:rPr>
        <w:t>万瑞</w:t>
      </w:r>
      <w:proofErr w:type="gramEnd"/>
      <w:r w:rsidR="00C14A2F" w:rsidRPr="003F5882">
        <w:rPr>
          <w:rFonts w:ascii="Arial" w:hAnsi="Arial"/>
          <w:sz w:val="21"/>
        </w:rPr>
        <w:t>郎和1,600</w:t>
      </w:r>
      <w:proofErr w:type="gramStart"/>
      <w:r w:rsidR="00C14A2F" w:rsidRPr="003F5882">
        <w:rPr>
          <w:rFonts w:ascii="Arial" w:hAnsi="Arial"/>
          <w:sz w:val="21"/>
        </w:rPr>
        <w:t>万瑞</w:t>
      </w:r>
      <w:proofErr w:type="gramEnd"/>
      <w:r w:rsidR="00C14A2F" w:rsidRPr="003F5882">
        <w:rPr>
          <w:rFonts w:ascii="Arial" w:hAnsi="Arial"/>
          <w:sz w:val="21"/>
        </w:rPr>
        <w:t>郎</w:t>
      </w:r>
      <w:r w:rsidR="00267C92" w:rsidRPr="003F5882">
        <w:rPr>
          <w:rFonts w:ascii="Arial" w:hAnsi="Arial" w:hint="eastAsia"/>
          <w:sz w:val="21"/>
        </w:rPr>
        <w:t>：</w:t>
      </w:r>
    </w:p>
    <w:p w:rsidR="00C14A2F" w:rsidRDefault="00FB3BEB" w:rsidP="00C14A2F">
      <w:pPr>
        <w:pStyle w:val="Style3"/>
        <w:spacing w:after="0"/>
        <w:jc w:val="center"/>
        <w:rPr>
          <w:rFonts w:ascii="Arial" w:hAnsi="Arial"/>
          <w:sz w:val="21"/>
        </w:rPr>
      </w:pPr>
      <w:r w:rsidRPr="00FB3BEB">
        <w:rPr>
          <w:noProof/>
          <w:lang w:val="en-US" w:bidi="ar-SA"/>
        </w:rPr>
        <w:drawing>
          <wp:inline distT="0" distB="0" distL="0" distR="0" wp14:anchorId="692810A3" wp14:editId="41132FA1">
            <wp:extent cx="5977255" cy="1095259"/>
            <wp:effectExtent l="0" t="0" r="4445"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77255" cy="1095259"/>
                    </a:xfrm>
                    <a:prstGeom prst="rect">
                      <a:avLst/>
                    </a:prstGeom>
                    <a:noFill/>
                    <a:ln>
                      <a:noFill/>
                    </a:ln>
                  </pic:spPr>
                </pic:pic>
              </a:graphicData>
            </a:graphic>
          </wp:inline>
        </w:drawing>
      </w:r>
    </w:p>
    <w:p w:rsidR="00FB3BEB" w:rsidRPr="003F5882" w:rsidRDefault="00FB3BEB" w:rsidP="00FB3BEB">
      <w:pPr>
        <w:pStyle w:val="Style3"/>
        <w:spacing w:afterLines="50"/>
        <w:jc w:val="center"/>
        <w:rPr>
          <w:rFonts w:ascii="Arial" w:hAnsi="Arial"/>
          <w:sz w:val="21"/>
        </w:rPr>
      </w:pPr>
      <w:r w:rsidRPr="00FB3BEB">
        <w:rPr>
          <w:noProof/>
          <w:lang w:val="en-US" w:bidi="ar-SA"/>
        </w:rPr>
        <w:lastRenderedPageBreak/>
        <w:drawing>
          <wp:inline distT="0" distB="0" distL="0" distR="0" wp14:anchorId="38208270" wp14:editId="5238E2D2">
            <wp:extent cx="5977255" cy="1078115"/>
            <wp:effectExtent l="0" t="0" r="4445" b="8255"/>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77255" cy="1078115"/>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货币风险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本组织获取</w:t>
      </w:r>
      <w:proofErr w:type="gramStart"/>
      <w:r w:rsidRPr="003F5882">
        <w:rPr>
          <w:rFonts w:ascii="Arial" w:hAnsi="Arial"/>
          <w:sz w:val="21"/>
        </w:rPr>
        <w:t>规</w:t>
      </w:r>
      <w:proofErr w:type="gramEnd"/>
      <w:r w:rsidRPr="003F5882">
        <w:rPr>
          <w:rFonts w:ascii="Arial" w:hAnsi="Arial"/>
          <w:sz w:val="21"/>
        </w:rPr>
        <w:t>费和各币种的自愿捐款收入，并在不是其功能货币</w:t>
      </w:r>
      <w:r w:rsidR="00F453AC" w:rsidRPr="003F5882">
        <w:rPr>
          <w:rFonts w:ascii="Arial" w:hAnsi="Arial" w:hint="eastAsia"/>
          <w:sz w:val="21"/>
        </w:rPr>
        <w:t>（</w:t>
      </w:r>
      <w:r w:rsidRPr="003F5882">
        <w:rPr>
          <w:rFonts w:ascii="Arial" w:hAnsi="Arial"/>
          <w:sz w:val="21"/>
        </w:rPr>
        <w:t>即瑞士法郎</w:t>
      </w:r>
      <w:r w:rsidR="00F453AC" w:rsidRPr="003F5882">
        <w:rPr>
          <w:rFonts w:ascii="Arial" w:hAnsi="Arial" w:hint="eastAsia"/>
          <w:sz w:val="21"/>
        </w:rPr>
        <w:t>）</w:t>
      </w:r>
      <w:r w:rsidRPr="003F5882">
        <w:rPr>
          <w:rFonts w:ascii="Arial" w:hAnsi="Arial"/>
          <w:sz w:val="21"/>
        </w:rPr>
        <w:t>的其他货币方面产生费用。因此，面临着因外汇兑换率浮动而产生的外汇兑换风险。本组织还面临着根据《专利合作条约实施细则》向国际检索机构应付金额与国家专利局从国际专利申请者那里收取的国际检索</w:t>
      </w:r>
      <w:proofErr w:type="gramStart"/>
      <w:r w:rsidRPr="003F5882">
        <w:rPr>
          <w:rFonts w:ascii="Arial" w:hAnsi="Arial"/>
          <w:sz w:val="21"/>
        </w:rPr>
        <w:t>规</w:t>
      </w:r>
      <w:proofErr w:type="gramEnd"/>
      <w:r w:rsidRPr="003F5882">
        <w:rPr>
          <w:rFonts w:ascii="Arial" w:hAnsi="Arial"/>
          <w:sz w:val="21"/>
        </w:rPr>
        <w:t>费数额之间所出现的货币差异所带来的汇率风险。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本组织还进一步面临着与之前加入已关闭的养恤基金而现已为联合国合办工作人员养恤基金</w:t>
      </w:r>
      <w:r w:rsidR="00F453AC" w:rsidRPr="003F5882">
        <w:rPr>
          <w:rFonts w:ascii="Arial" w:hAnsi="Arial"/>
          <w:sz w:val="21"/>
        </w:rPr>
        <w:t>（</w:t>
      </w:r>
      <w:r w:rsidRPr="003F5882">
        <w:rPr>
          <w:rFonts w:ascii="Arial" w:hAnsi="Arial"/>
          <w:sz w:val="21"/>
        </w:rPr>
        <w:t>UNJSPF</w:t>
      </w:r>
      <w:r w:rsidR="00F453AC" w:rsidRPr="003F5882">
        <w:rPr>
          <w:rFonts w:ascii="Arial" w:hAnsi="Arial"/>
          <w:sz w:val="21"/>
        </w:rPr>
        <w:t>）</w:t>
      </w:r>
      <w:r w:rsidRPr="003F5882">
        <w:rPr>
          <w:rFonts w:ascii="Arial" w:hAnsi="Arial"/>
          <w:sz w:val="21"/>
        </w:rPr>
        <w:t>成员的工作人员的养恤金费用有关的汇率风险。此外，本组织在巴西、中国、日本、俄罗斯、新加坡和美利坚合众国设有驻外办事处，保有有限的当地</w:t>
      </w:r>
      <w:r w:rsidRPr="003374D7">
        <w:rPr>
          <w:rFonts w:ascii="Arial" w:hAnsi="Arial" w:cs="Times New Roman"/>
          <w:sz w:val="21"/>
        </w:rPr>
        <w:t>货币</w:t>
      </w:r>
      <w:r w:rsidRPr="003F5882">
        <w:rPr>
          <w:rFonts w:ascii="Arial" w:hAnsi="Arial"/>
          <w:sz w:val="21"/>
        </w:rPr>
        <w:t>资产。本组织仅有限地使用金融工具对冲汇率风险，特别是针对把瑞郎兑换成欧元不超过两个月的短期投资。截至报告日，没有要履行的对冲合约。</w:t>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汇率敏感度分析</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汇率敏感度分析是基于汇率的合理变动。瑞士国家银行于2015年1月15日发布公告后的几个月间，其他货币兑瑞郎贬值</w:t>
      </w:r>
      <w:r w:rsidR="00F453AC" w:rsidRPr="003F5882">
        <w:rPr>
          <w:rFonts w:ascii="Arial" w:hAnsi="Arial"/>
          <w:sz w:val="21"/>
        </w:rPr>
        <w:t>（</w:t>
      </w:r>
      <w:r w:rsidRPr="003F5882">
        <w:rPr>
          <w:rFonts w:ascii="Arial" w:hAnsi="Arial"/>
          <w:sz w:val="21"/>
        </w:rPr>
        <w:t>见附注27报告日之后的活动</w:t>
      </w:r>
      <w:r w:rsidR="00F453AC" w:rsidRPr="003F5882">
        <w:rPr>
          <w:rFonts w:ascii="Arial" w:hAnsi="Arial"/>
          <w:sz w:val="21"/>
        </w:rPr>
        <w:t>）</w:t>
      </w:r>
      <w:r w:rsidRPr="003F5882">
        <w:rPr>
          <w:rFonts w:ascii="Arial" w:hAnsi="Arial"/>
          <w:sz w:val="21"/>
        </w:rPr>
        <w:t>，基于此</w:t>
      </w:r>
      <w:r w:rsidR="00847D63" w:rsidRPr="003F5882">
        <w:rPr>
          <w:rFonts w:ascii="Arial" w:hAnsi="Arial" w:hint="eastAsia"/>
          <w:sz w:val="21"/>
        </w:rPr>
        <w:t>，</w:t>
      </w:r>
      <w:r w:rsidRPr="003F5882">
        <w:rPr>
          <w:rFonts w:ascii="Arial" w:hAnsi="Arial"/>
          <w:sz w:val="21"/>
        </w:rPr>
        <w:t>本组织采用了10.0%的汇率。该分析适用于</w:t>
      </w:r>
      <w:proofErr w:type="gramStart"/>
      <w:r w:rsidRPr="003F5882">
        <w:rPr>
          <w:rFonts w:ascii="Arial" w:hAnsi="Arial"/>
          <w:sz w:val="21"/>
        </w:rPr>
        <w:t>以除瑞郎</w:t>
      </w:r>
      <w:proofErr w:type="gramEnd"/>
      <w:r w:rsidRPr="003F5882">
        <w:rPr>
          <w:rFonts w:ascii="Arial" w:hAnsi="Arial"/>
          <w:sz w:val="21"/>
        </w:rPr>
        <w:t>之外的货币持有的金融资产和金融负债，对盈余的影响汇总见下表：</w:t>
      </w:r>
    </w:p>
    <w:p w:rsidR="007D62CB" w:rsidRDefault="00FB3BEB" w:rsidP="00FB3BEB">
      <w:pPr>
        <w:pStyle w:val="Style3Bold"/>
        <w:spacing w:afterLines="50"/>
        <w:jc w:val="center"/>
        <w:rPr>
          <w:rFonts w:ascii="Arial" w:eastAsia="SimHei" w:hAnsi="Arial"/>
          <w:b w:val="0"/>
          <w:sz w:val="21"/>
        </w:rPr>
      </w:pPr>
      <w:r w:rsidRPr="00FB3BEB">
        <w:rPr>
          <w:noProof/>
          <w:lang w:val="en-US" w:bidi="ar-SA"/>
        </w:rPr>
        <w:drawing>
          <wp:inline distT="0" distB="0" distL="0" distR="0">
            <wp:extent cx="5607050" cy="2984500"/>
            <wp:effectExtent l="0" t="0" r="0" b="635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607050" cy="2984500"/>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市场风险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市场风险是市场价格变化的风险，如利率，对本组织的收入或持有的金融工具的价值产生影响。本组织在有限的程度上面临利率下降的风险，因为</w:t>
      </w:r>
      <w:r w:rsidRPr="003374D7">
        <w:rPr>
          <w:rFonts w:ascii="Arial" w:hAnsi="Arial" w:cs="Times New Roman"/>
          <w:sz w:val="21"/>
        </w:rPr>
        <w:t>仅仅</w:t>
      </w:r>
      <w:r w:rsidRPr="003F5882">
        <w:rPr>
          <w:rFonts w:ascii="Arial" w:hAnsi="Arial"/>
          <w:sz w:val="21"/>
        </w:rPr>
        <w:t>0.22%的运营预算是由投资收入产生的收益供资。适用于BCG/BCV新办公楼贷款的利率在贷款提取期间保持固定不变。本组织不使用金融工具对冲利率风险。截至2014年12月31日和2013年12月31日</w:t>
      </w:r>
      <w:r w:rsidR="003D06E3" w:rsidRPr="003F5882">
        <w:rPr>
          <w:rFonts w:ascii="Arial" w:hAnsi="Arial" w:hint="eastAsia"/>
          <w:sz w:val="21"/>
        </w:rPr>
        <w:t>，</w:t>
      </w:r>
      <w:r w:rsidRPr="003F5882">
        <w:rPr>
          <w:rFonts w:ascii="Arial" w:hAnsi="Arial"/>
          <w:sz w:val="21"/>
        </w:rPr>
        <w:t>金融工具的利率和到期情况如下：</w:t>
      </w:r>
    </w:p>
    <w:p w:rsidR="00C14A2F" w:rsidRPr="003F5882" w:rsidRDefault="00FB3BEB" w:rsidP="00C14A2F">
      <w:pPr>
        <w:pStyle w:val="Style3"/>
        <w:spacing w:after="0"/>
        <w:jc w:val="center"/>
        <w:rPr>
          <w:rFonts w:ascii="Arial" w:hAnsi="Arial"/>
          <w:sz w:val="21"/>
        </w:rPr>
      </w:pPr>
      <w:r w:rsidRPr="00FB3BEB">
        <w:rPr>
          <w:noProof/>
          <w:lang w:val="en-US" w:bidi="ar-SA"/>
        </w:rPr>
        <w:lastRenderedPageBreak/>
        <w:drawing>
          <wp:inline distT="0" distB="0" distL="0" distR="0">
            <wp:extent cx="5503545" cy="1682115"/>
            <wp:effectExtent l="0" t="0" r="1905"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503545" cy="1682115"/>
                    </a:xfrm>
                    <a:prstGeom prst="rect">
                      <a:avLst/>
                    </a:prstGeom>
                    <a:noFill/>
                    <a:ln>
                      <a:noFill/>
                    </a:ln>
                  </pic:spPr>
                </pic:pic>
              </a:graphicData>
            </a:graphic>
          </wp:inline>
        </w:drawing>
      </w:r>
    </w:p>
    <w:p w:rsidR="007D62CB" w:rsidRDefault="00FB3BEB" w:rsidP="00FB3BEB">
      <w:pPr>
        <w:pStyle w:val="Style3"/>
        <w:spacing w:afterLines="50"/>
        <w:jc w:val="center"/>
        <w:rPr>
          <w:rFonts w:ascii="Arial" w:hAnsi="Arial"/>
          <w:sz w:val="21"/>
        </w:rPr>
      </w:pPr>
      <w:r w:rsidRPr="00FB3BEB">
        <w:rPr>
          <w:noProof/>
          <w:lang w:val="en-US" w:bidi="ar-SA"/>
        </w:rPr>
        <w:drawing>
          <wp:inline distT="0" distB="0" distL="0" distR="0">
            <wp:extent cx="5503545" cy="1682115"/>
            <wp:effectExtent l="0" t="0" r="1905"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503545" cy="1682115"/>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利率敏感度分析</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如果本年度平均利率比现实水平高或低50个基点</w:t>
      </w:r>
      <w:r w:rsidR="003D06E3" w:rsidRPr="003F5882">
        <w:rPr>
          <w:rFonts w:ascii="Arial" w:hAnsi="Arial" w:hint="eastAsia"/>
          <w:sz w:val="21"/>
        </w:rPr>
        <w:t>，</w:t>
      </w:r>
      <w:r w:rsidRPr="003F5882">
        <w:rPr>
          <w:rFonts w:ascii="Arial" w:hAnsi="Arial"/>
          <w:sz w:val="21"/>
        </w:rPr>
        <w:t>则利息收入或利息支出将受到如下影响:</w:t>
      </w:r>
    </w:p>
    <w:p w:rsidR="00C14A2F" w:rsidRPr="003F5882" w:rsidRDefault="00FB3BEB" w:rsidP="00C14A2F">
      <w:pPr>
        <w:pStyle w:val="Style3"/>
        <w:spacing w:after="0"/>
        <w:jc w:val="center"/>
        <w:rPr>
          <w:rFonts w:ascii="Arial" w:hAnsi="Arial"/>
          <w:sz w:val="21"/>
          <w:szCs w:val="22"/>
        </w:rPr>
      </w:pPr>
      <w:r w:rsidRPr="00FB3BEB">
        <w:rPr>
          <w:noProof/>
          <w:lang w:val="en-US" w:bidi="ar-SA"/>
        </w:rPr>
        <w:drawing>
          <wp:inline distT="0" distB="0" distL="0" distR="0">
            <wp:extent cx="4951730" cy="1819910"/>
            <wp:effectExtent l="0" t="0" r="1270" b="889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951730" cy="1819910"/>
                    </a:xfrm>
                    <a:prstGeom prst="rect">
                      <a:avLst/>
                    </a:prstGeom>
                    <a:noFill/>
                    <a:ln>
                      <a:noFill/>
                    </a:ln>
                  </pic:spPr>
                </pic:pic>
              </a:graphicData>
            </a:graphic>
          </wp:inline>
        </w:drawing>
      </w:r>
    </w:p>
    <w:p w:rsidR="00C14A2F" w:rsidRPr="00F453AC"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lastRenderedPageBreak/>
        <w:t>附注26：</w:t>
      </w:r>
      <w:r w:rsidRPr="00F453AC">
        <w:rPr>
          <w:rFonts w:ascii="Arial" w:eastAsia="SimHei" w:hAnsi="Arial"/>
          <w:b w:val="0"/>
          <w:sz w:val="21"/>
        </w:rPr>
        <w:tab/>
        <w:t>汇兑</w:t>
      </w:r>
      <w:r w:rsidRPr="007D62CB">
        <w:rPr>
          <w:rFonts w:ascii="Arial" w:eastAsia="SimHei" w:hAnsi="Arial" w:cs="Times New Roman"/>
          <w:b w:val="0"/>
          <w:sz w:val="21"/>
        </w:rPr>
        <w:t>损益</w:t>
      </w:r>
    </w:p>
    <w:p w:rsidR="00DA4636" w:rsidRDefault="00FB3BEB" w:rsidP="00FB3BEB">
      <w:pPr>
        <w:pStyle w:val="StyleHeading211ptNotBoldNotItalicAllcaps"/>
        <w:keepNext w:val="0"/>
        <w:spacing w:before="0" w:after="0"/>
        <w:jc w:val="center"/>
        <w:rPr>
          <w:rFonts w:eastAsia="SimSun"/>
          <w:sz w:val="21"/>
        </w:rPr>
      </w:pPr>
      <w:r w:rsidRPr="00FB3BEB">
        <w:rPr>
          <w:rFonts w:eastAsia="SimSun" w:hint="eastAsia"/>
          <w:noProof/>
          <w:lang w:val="en-US" w:bidi="ar-SA"/>
        </w:rPr>
        <w:drawing>
          <wp:inline distT="0" distB="0" distL="0" distR="0" wp14:anchorId="04C1DA02" wp14:editId="1BD53CC5">
            <wp:extent cx="5977255" cy="5140870"/>
            <wp:effectExtent l="0" t="0" r="4445" b="3175"/>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77255" cy="5140870"/>
                    </a:xfrm>
                    <a:prstGeom prst="rect">
                      <a:avLst/>
                    </a:prstGeom>
                    <a:noFill/>
                    <a:ln>
                      <a:noFill/>
                    </a:ln>
                  </pic:spPr>
                </pic:pic>
              </a:graphicData>
            </a:graphic>
          </wp:inline>
        </w:drawing>
      </w:r>
    </w:p>
    <w:p w:rsidR="007D62CB" w:rsidRPr="00DA4636" w:rsidRDefault="00C14A2F" w:rsidP="00DA4636">
      <w:pPr>
        <w:pStyle w:val="Style3"/>
        <w:spacing w:afterLines="50" w:line="340" w:lineRule="atLeast"/>
        <w:rPr>
          <w:rFonts w:ascii="Arial" w:hAnsi="Arial"/>
          <w:sz w:val="21"/>
        </w:rPr>
      </w:pPr>
      <w:r w:rsidRPr="00DA4636">
        <w:rPr>
          <w:rFonts w:eastAsia="SimSun" w:hint="eastAsia"/>
          <w:sz w:val="21"/>
        </w:rPr>
        <w:t>根据交易日有效的汇率，本组织在应付账款和应收账款上实现以瑞郎以外的货币进行交易时产生的汇兑损益。在本组织以瑞郎以外的货币收到根据《专利合作条约》提交的国际申请费和</w:t>
      </w:r>
      <w:r w:rsidR="00507F46" w:rsidRPr="00DA4636">
        <w:rPr>
          <w:rFonts w:eastAsia="SimSun" w:hint="eastAsia"/>
          <w:sz w:val="21"/>
        </w:rPr>
        <w:t>手续</w:t>
      </w:r>
      <w:r w:rsidRPr="00DA4636">
        <w:rPr>
          <w:rFonts w:eastAsia="SimSun" w:hint="eastAsia"/>
          <w:sz w:val="21"/>
        </w:rPr>
        <w:t>费时，以及在根据《专利合作条约》对国际检索单位</w:t>
      </w:r>
      <w:r w:rsidR="00F453AC" w:rsidRPr="00DA4636">
        <w:rPr>
          <w:rFonts w:eastAsia="SimSun" w:hint="eastAsia"/>
          <w:sz w:val="21"/>
        </w:rPr>
        <w:t>（</w:t>
      </w:r>
      <w:r w:rsidRPr="00DA4636">
        <w:rPr>
          <w:rFonts w:ascii="Arial" w:hAnsi="Arial"/>
          <w:sz w:val="21"/>
        </w:rPr>
        <w:t>ISA</w:t>
      </w:r>
      <w:r w:rsidR="00F453AC" w:rsidRPr="00DA4636">
        <w:rPr>
          <w:rFonts w:eastAsia="SimSun" w:hint="eastAsia"/>
          <w:sz w:val="21"/>
        </w:rPr>
        <w:t>）</w:t>
      </w:r>
      <w:r w:rsidRPr="00DA4636">
        <w:rPr>
          <w:rFonts w:eastAsia="SimSun" w:hint="eastAsia"/>
          <w:sz w:val="21"/>
        </w:rPr>
        <w:t>做出支付</w:t>
      </w:r>
      <w:r w:rsidR="00F453AC" w:rsidRPr="00DA4636">
        <w:rPr>
          <w:rFonts w:eastAsia="SimSun" w:hint="eastAsia"/>
          <w:sz w:val="21"/>
        </w:rPr>
        <w:t>（</w:t>
      </w:r>
      <w:r w:rsidRPr="00DA4636">
        <w:rPr>
          <w:rFonts w:eastAsia="SimSun" w:hint="eastAsia"/>
          <w:sz w:val="21"/>
        </w:rPr>
        <w:t>此种支付以国际检索单位的货币估价，但是由</w:t>
      </w:r>
      <w:r w:rsidRPr="00DA4636">
        <w:rPr>
          <w:rFonts w:ascii="Arial" w:hAnsi="Arial"/>
          <w:sz w:val="21"/>
        </w:rPr>
        <w:t>WIPO</w:t>
      </w:r>
      <w:r w:rsidRPr="00DA4636">
        <w:rPr>
          <w:rFonts w:eastAsia="SimSun" w:hint="eastAsia"/>
          <w:sz w:val="21"/>
        </w:rPr>
        <w:t>以瑞郎或国家</w:t>
      </w:r>
      <w:proofErr w:type="gramStart"/>
      <w:r w:rsidRPr="00DA4636">
        <w:rPr>
          <w:rFonts w:eastAsia="SimSun" w:hint="eastAsia"/>
          <w:sz w:val="21"/>
        </w:rPr>
        <w:t>接收局</w:t>
      </w:r>
      <w:proofErr w:type="gramEnd"/>
      <w:r w:rsidRPr="00DA4636">
        <w:rPr>
          <w:rFonts w:eastAsia="SimSun" w:hint="eastAsia"/>
          <w:sz w:val="21"/>
        </w:rPr>
        <w:t>以当地货币收取</w:t>
      </w:r>
      <w:r w:rsidR="00F453AC" w:rsidRPr="00DA4636">
        <w:rPr>
          <w:rFonts w:eastAsia="SimSun" w:hint="eastAsia"/>
          <w:sz w:val="21"/>
        </w:rPr>
        <w:t>）</w:t>
      </w:r>
      <w:r w:rsidRPr="00DA4636">
        <w:rPr>
          <w:rFonts w:eastAsia="SimSun" w:hint="eastAsia"/>
          <w:sz w:val="21"/>
        </w:rPr>
        <w:t>时，产生汇兑损益。此外，涉及以报告日有效的瑞郎汇率重新估价的银行账目和其他货币性资产和负债的未实现</w:t>
      </w:r>
      <w:r w:rsidRPr="00DA4636">
        <w:rPr>
          <w:rFonts w:ascii="Arial" w:hAnsi="Arial" w:hint="eastAsia"/>
          <w:sz w:val="21"/>
        </w:rPr>
        <w:t>汇兑</w:t>
      </w:r>
      <w:r w:rsidRPr="00DA4636">
        <w:rPr>
          <w:rFonts w:eastAsia="SimSun" w:hint="eastAsia"/>
          <w:sz w:val="21"/>
        </w:rPr>
        <w:t>损益，也在财务报表中得到确认。在财务执行情况表中，</w:t>
      </w:r>
      <w:r w:rsidRPr="00DA4636">
        <w:rPr>
          <w:rFonts w:ascii="Arial" w:hAnsi="Arial"/>
          <w:sz w:val="21"/>
        </w:rPr>
        <w:t>90</w:t>
      </w:r>
      <w:proofErr w:type="gramStart"/>
      <w:r w:rsidRPr="00DA4636">
        <w:rPr>
          <w:rFonts w:eastAsia="SimSun" w:hint="eastAsia"/>
          <w:sz w:val="21"/>
        </w:rPr>
        <w:t>万瑞</w:t>
      </w:r>
      <w:proofErr w:type="gramEnd"/>
      <w:r w:rsidRPr="00DA4636">
        <w:rPr>
          <w:rFonts w:eastAsia="SimSun" w:hint="eastAsia"/>
          <w:sz w:val="21"/>
        </w:rPr>
        <w:t>郎的全部汇兑损益影响净额计为收入的一部分，主要计入</w:t>
      </w:r>
      <w:r w:rsidRPr="00DA4636">
        <w:rPr>
          <w:rFonts w:ascii="Arial" w:hAnsi="Arial"/>
          <w:sz w:val="21"/>
        </w:rPr>
        <w:t>PCT</w:t>
      </w:r>
      <w:r w:rsidRPr="00DA4636">
        <w:rPr>
          <w:rFonts w:eastAsia="SimSun" w:hint="eastAsia"/>
          <w:sz w:val="21"/>
        </w:rPr>
        <w:t>体系</w:t>
      </w:r>
      <w:proofErr w:type="gramStart"/>
      <w:r w:rsidRPr="00DA4636">
        <w:rPr>
          <w:rFonts w:eastAsia="SimSun" w:hint="eastAsia"/>
          <w:sz w:val="21"/>
        </w:rPr>
        <w:t>规</w:t>
      </w:r>
      <w:proofErr w:type="gramEnd"/>
      <w:r w:rsidRPr="00DA4636">
        <w:rPr>
          <w:rFonts w:eastAsia="SimSun" w:hint="eastAsia"/>
          <w:sz w:val="21"/>
        </w:rPr>
        <w:t>费</w:t>
      </w:r>
      <w:r w:rsidR="00507F46" w:rsidRPr="00DA4636">
        <w:rPr>
          <w:rFonts w:eastAsia="SimSun" w:hint="eastAsia"/>
          <w:sz w:val="21"/>
        </w:rPr>
        <w:t>项</w:t>
      </w:r>
      <w:r w:rsidRPr="00DA4636">
        <w:rPr>
          <w:rFonts w:eastAsia="SimSun" w:hint="eastAsia"/>
          <w:sz w:val="21"/>
        </w:rPr>
        <w:t>。</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t>附注27：</w:t>
      </w:r>
      <w:r w:rsidRPr="00F453AC">
        <w:rPr>
          <w:rFonts w:ascii="Arial" w:eastAsia="SimHei" w:hAnsi="Arial"/>
          <w:b w:val="0"/>
          <w:sz w:val="21"/>
        </w:rPr>
        <w:tab/>
        <w:t>报告日之后的活动</w:t>
      </w:r>
    </w:p>
    <w:p w:rsidR="007D62CB" w:rsidRDefault="00C14A2F" w:rsidP="003374D7">
      <w:pPr>
        <w:pStyle w:val="Style3"/>
        <w:spacing w:afterLines="50" w:line="340" w:lineRule="atLeast"/>
        <w:rPr>
          <w:rFonts w:ascii="Arial" w:hAnsi="Arial"/>
          <w:sz w:val="21"/>
        </w:rPr>
      </w:pPr>
      <w:r w:rsidRPr="003F5882">
        <w:rPr>
          <w:rFonts w:ascii="Arial" w:hAnsi="Arial"/>
          <w:sz w:val="21"/>
        </w:rPr>
        <w:t>WIPO的报告日是2014年12月31日，其财务报表是2015年5月1日授权发布。</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2015年1月15日</w:t>
      </w:r>
      <w:r w:rsidR="00F2666B" w:rsidRPr="003F5882">
        <w:rPr>
          <w:rFonts w:ascii="Arial" w:hAnsi="Arial" w:hint="eastAsia"/>
          <w:sz w:val="21"/>
        </w:rPr>
        <w:t>，</w:t>
      </w:r>
      <w:r w:rsidRPr="003F5882">
        <w:rPr>
          <w:rFonts w:ascii="Arial" w:hAnsi="Arial"/>
          <w:sz w:val="21"/>
        </w:rPr>
        <w:t>瑞士国家银行</w:t>
      </w:r>
      <w:r w:rsidR="00F453AC" w:rsidRPr="003F5882">
        <w:rPr>
          <w:rFonts w:ascii="Arial" w:hAnsi="Arial"/>
          <w:sz w:val="21"/>
        </w:rPr>
        <w:t>（</w:t>
      </w:r>
      <w:r w:rsidRPr="003F5882">
        <w:rPr>
          <w:rFonts w:ascii="Arial" w:hAnsi="Arial"/>
          <w:sz w:val="21"/>
        </w:rPr>
        <w:t>SNB</w:t>
      </w:r>
      <w:r w:rsidR="00F453AC" w:rsidRPr="003F5882">
        <w:rPr>
          <w:rFonts w:ascii="Arial" w:hAnsi="Arial"/>
          <w:sz w:val="21"/>
        </w:rPr>
        <w:t>）</w:t>
      </w:r>
      <w:r w:rsidRPr="003F5882">
        <w:rPr>
          <w:rFonts w:ascii="Arial" w:hAnsi="Arial"/>
          <w:sz w:val="21"/>
        </w:rPr>
        <w:t>宣布中止保持欧元兑瑞郎的最低汇率为1欧元兑1.2瑞郎的政策。这项政策于2011年9月6日开始实施。公告发布后，瑞郎大幅升值，货币市场上</w:t>
      </w:r>
      <w:r w:rsidR="00E37ABC" w:rsidRPr="003F5882">
        <w:rPr>
          <w:rFonts w:ascii="Arial" w:hAnsi="Arial" w:hint="eastAsia"/>
          <w:sz w:val="21"/>
        </w:rPr>
        <w:t>所有</w:t>
      </w:r>
      <w:r w:rsidRPr="003F5882">
        <w:rPr>
          <w:rFonts w:ascii="Arial" w:hAnsi="Arial"/>
          <w:sz w:val="21"/>
        </w:rPr>
        <w:t>其他货币兑瑞郎平均贬值15.0%。2015年1月15日起生效的联合国业务汇率</w:t>
      </w:r>
      <w:r w:rsidR="00F453AC" w:rsidRPr="003F5882">
        <w:rPr>
          <w:rFonts w:ascii="Arial" w:hAnsi="Arial"/>
          <w:sz w:val="21"/>
        </w:rPr>
        <w:t>（</w:t>
      </w:r>
      <w:r w:rsidRPr="003F5882">
        <w:rPr>
          <w:rFonts w:ascii="Arial" w:hAnsi="Arial"/>
          <w:sz w:val="21"/>
        </w:rPr>
        <w:t>UNORE</w:t>
      </w:r>
      <w:r w:rsidR="00F453AC" w:rsidRPr="003F5882">
        <w:rPr>
          <w:rFonts w:ascii="Arial" w:hAnsi="Arial"/>
          <w:sz w:val="21"/>
        </w:rPr>
        <w:t>）</w:t>
      </w:r>
      <w:r w:rsidRPr="003F5882">
        <w:rPr>
          <w:rFonts w:ascii="Arial" w:hAnsi="Arial"/>
          <w:sz w:val="21"/>
        </w:rPr>
        <w:t>已经在两天前公布，因此</w:t>
      </w:r>
      <w:r w:rsidR="00E37ABC" w:rsidRPr="003F5882">
        <w:rPr>
          <w:rFonts w:ascii="Arial" w:hAnsi="Arial" w:hint="eastAsia"/>
          <w:sz w:val="21"/>
        </w:rPr>
        <w:t>没有将</w:t>
      </w:r>
      <w:r w:rsidRPr="003F5882">
        <w:rPr>
          <w:rFonts w:ascii="Arial" w:hAnsi="Arial"/>
          <w:sz w:val="21"/>
        </w:rPr>
        <w:t>SNB公告的影响考虑在内。但是，随后在2015年1月29日、2月26日和3月11日分别公布了新的UNORE。本组织收取</w:t>
      </w:r>
      <w:r w:rsidRPr="003F5882">
        <w:rPr>
          <w:rFonts w:ascii="Arial" w:hAnsi="Arial"/>
          <w:sz w:val="21"/>
        </w:rPr>
        <w:lastRenderedPageBreak/>
        <w:t>费用中最大的一部分</w:t>
      </w:r>
      <w:proofErr w:type="gramStart"/>
      <w:r w:rsidRPr="003F5882">
        <w:rPr>
          <w:rFonts w:ascii="Arial" w:hAnsi="Arial"/>
          <w:sz w:val="21"/>
        </w:rPr>
        <w:t>以除瑞郎</w:t>
      </w:r>
      <w:proofErr w:type="gramEnd"/>
      <w:r w:rsidRPr="003F5882">
        <w:rPr>
          <w:rFonts w:ascii="Arial" w:hAnsi="Arial"/>
          <w:sz w:val="21"/>
        </w:rPr>
        <w:t>以外的三种货币计价，下表显示采用SNB公告发布之前以及之后公布的UNORE，这些货币兑瑞郎贬值的百分比</w:t>
      </w:r>
      <w:r w:rsidR="00E37ABC" w:rsidRPr="003F5882">
        <w:rPr>
          <w:rFonts w:ascii="Arial" w:hAnsi="Arial" w:hint="eastAsia"/>
          <w:sz w:val="21"/>
        </w:rPr>
        <w:t>：</w:t>
      </w:r>
    </w:p>
    <w:p w:rsidR="00C14A2F" w:rsidRPr="003F5882" w:rsidRDefault="00FB3BEB" w:rsidP="00C14A2F">
      <w:pPr>
        <w:pStyle w:val="Styletexte"/>
        <w:spacing w:after="0"/>
        <w:jc w:val="center"/>
        <w:rPr>
          <w:rFonts w:ascii="Arial" w:hAnsi="Arial"/>
          <w:sz w:val="21"/>
          <w:szCs w:val="22"/>
        </w:rPr>
      </w:pPr>
      <w:r w:rsidRPr="00FB3BEB">
        <w:rPr>
          <w:noProof/>
          <w:lang w:val="en-US" w:bidi="ar-SA"/>
        </w:rPr>
        <w:drawing>
          <wp:inline distT="0" distB="0" distL="0" distR="0" wp14:anchorId="0D7AA79B" wp14:editId="357C9710">
            <wp:extent cx="5977255" cy="1336776"/>
            <wp:effectExtent l="0" t="0" r="4445"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77255" cy="1336776"/>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如</w:t>
      </w:r>
      <w:r w:rsidR="00EE35D7" w:rsidRPr="003F5882">
        <w:rPr>
          <w:rFonts w:ascii="Arial" w:hAnsi="Arial" w:hint="eastAsia"/>
          <w:sz w:val="21"/>
        </w:rPr>
        <w:t>上</w:t>
      </w:r>
      <w:r w:rsidRPr="003F5882">
        <w:rPr>
          <w:rFonts w:ascii="Arial" w:hAnsi="Arial"/>
          <w:sz w:val="21"/>
        </w:rPr>
        <w:t>表所示，在经过最初平均贬值15.0%后，这三种货币在接下来的两个月均有不同程度的复苏,但是欧元仍然停留在SNB公告前贬值11.4%的水平。尽管很难完整地估算2015年瑞郎升值对WIPO产生的财务影响，但是瑞郎升值显然至少会对WIPO在本年度第一个季度收取的以除瑞郎以外货币支付的PCT申请费用产生负面影响。由于瑞郎升值，</w:t>
      </w:r>
      <w:r w:rsidR="00EE35D7" w:rsidRPr="003F5882">
        <w:rPr>
          <w:rFonts w:ascii="Arial" w:hAnsi="Arial" w:hint="eastAsia"/>
          <w:sz w:val="21"/>
        </w:rPr>
        <w:t>针对若干货币公布了</w:t>
      </w:r>
      <w:r w:rsidRPr="003F5882">
        <w:rPr>
          <w:rFonts w:ascii="Arial" w:hAnsi="Arial"/>
          <w:sz w:val="21"/>
        </w:rPr>
        <w:t>PCT国际申请费用和</w:t>
      </w:r>
      <w:r w:rsidR="00EE35D7" w:rsidRPr="003F5882">
        <w:rPr>
          <w:rFonts w:ascii="Arial" w:hAnsi="Arial" w:hint="eastAsia"/>
          <w:sz w:val="21"/>
        </w:rPr>
        <w:t>手续</w:t>
      </w:r>
      <w:r w:rsidRPr="003F5882">
        <w:rPr>
          <w:rFonts w:ascii="Arial" w:hAnsi="Arial"/>
          <w:sz w:val="21"/>
        </w:rPr>
        <w:t>费用的新的等值金额</w:t>
      </w:r>
      <w:r w:rsidR="00EE35D7" w:rsidRPr="003F5882">
        <w:rPr>
          <w:rFonts w:ascii="Arial" w:hAnsi="Arial" w:hint="eastAsia"/>
          <w:sz w:val="21"/>
        </w:rPr>
        <w:t>，</w:t>
      </w:r>
      <w:r w:rsidR="00EE35D7" w:rsidRPr="003F5882">
        <w:rPr>
          <w:rFonts w:ascii="Arial" w:hAnsi="Arial"/>
          <w:sz w:val="21"/>
        </w:rPr>
        <w:t>自2015年4月1日起</w:t>
      </w:r>
      <w:r w:rsidR="00EE35D7" w:rsidRPr="003F5882">
        <w:rPr>
          <w:rFonts w:ascii="Arial" w:hAnsi="Arial" w:hint="eastAsia"/>
          <w:sz w:val="21"/>
        </w:rPr>
        <w:t>生效</w:t>
      </w:r>
      <w:r w:rsidRPr="003F5882">
        <w:rPr>
          <w:rFonts w:ascii="Arial" w:hAnsi="Arial"/>
          <w:sz w:val="21"/>
        </w:rPr>
        <w:t>。这包括欧元，但不包括美元和日元</w:t>
      </w:r>
      <w:r w:rsidR="00EE35D7" w:rsidRPr="003F5882">
        <w:rPr>
          <w:rFonts w:ascii="Arial" w:hAnsi="Arial" w:hint="eastAsia"/>
          <w:sz w:val="21"/>
        </w:rPr>
        <w:t>，因为美元和日元的</w:t>
      </w:r>
      <w:r w:rsidRPr="003F5882">
        <w:rPr>
          <w:rFonts w:ascii="Arial" w:hAnsi="Arial"/>
          <w:sz w:val="21"/>
        </w:rPr>
        <w:t>价值相对于瑞郎而言已大部分复苏，不满足设定新等值金额的条件。根据对2014年和2015年申请的等值金额的分析以及SNB公告后的UNORE，收取PCT</w:t>
      </w:r>
      <w:r w:rsidR="00EE35D7" w:rsidRPr="003F5882">
        <w:rPr>
          <w:rFonts w:ascii="Arial" w:hAnsi="Arial" w:hint="eastAsia"/>
          <w:sz w:val="21"/>
        </w:rPr>
        <w:t>申请的</w:t>
      </w:r>
      <w:r w:rsidRPr="003F5882">
        <w:rPr>
          <w:rFonts w:ascii="Arial" w:hAnsi="Arial"/>
          <w:sz w:val="21"/>
        </w:rPr>
        <w:t>国际申请费用时的预估汇兑损失在200</w:t>
      </w:r>
      <w:proofErr w:type="gramStart"/>
      <w:r w:rsidRPr="003F5882">
        <w:rPr>
          <w:rFonts w:ascii="Arial" w:hAnsi="Arial"/>
          <w:sz w:val="21"/>
        </w:rPr>
        <w:t>万瑞郎至</w:t>
      </w:r>
      <w:proofErr w:type="gramEnd"/>
      <w:r w:rsidRPr="003F5882">
        <w:rPr>
          <w:rFonts w:ascii="Arial" w:hAnsi="Arial"/>
          <w:sz w:val="21"/>
        </w:rPr>
        <w:t>500</w:t>
      </w:r>
      <w:proofErr w:type="gramStart"/>
      <w:r w:rsidRPr="003F5882">
        <w:rPr>
          <w:rFonts w:ascii="Arial" w:hAnsi="Arial"/>
          <w:sz w:val="21"/>
        </w:rPr>
        <w:t>万瑞</w:t>
      </w:r>
      <w:proofErr w:type="gramEnd"/>
      <w:r w:rsidRPr="003F5882">
        <w:rPr>
          <w:rFonts w:ascii="Arial" w:hAnsi="Arial"/>
          <w:sz w:val="21"/>
        </w:rPr>
        <w:t>郎</w:t>
      </w:r>
      <w:r w:rsidR="00EE35D7" w:rsidRPr="003F5882">
        <w:rPr>
          <w:rFonts w:ascii="Arial" w:hAnsi="Arial" w:hint="eastAsia"/>
          <w:sz w:val="21"/>
        </w:rPr>
        <w:t>之间</w:t>
      </w:r>
      <w:r w:rsidR="00F453AC" w:rsidRPr="003F5882">
        <w:rPr>
          <w:rFonts w:ascii="Arial" w:hAnsi="Arial"/>
          <w:sz w:val="21"/>
        </w:rPr>
        <w:t>（</w:t>
      </w:r>
      <w:r w:rsidRPr="003F5882">
        <w:rPr>
          <w:rFonts w:ascii="Arial" w:hAnsi="Arial"/>
          <w:sz w:val="21"/>
        </w:rPr>
        <w:t>见财务报表讨论与分析第</w:t>
      </w:r>
      <w:r w:rsidR="00CA45E3" w:rsidRPr="003F5882">
        <w:rPr>
          <w:rFonts w:ascii="Arial" w:hAnsi="Arial" w:hint="eastAsia"/>
          <w:sz w:val="21"/>
        </w:rPr>
        <w:t>11</w:t>
      </w:r>
      <w:r w:rsidRPr="003F5882">
        <w:rPr>
          <w:rFonts w:ascii="Arial" w:hAnsi="Arial"/>
          <w:sz w:val="21"/>
        </w:rPr>
        <w:t>页</w:t>
      </w:r>
      <w:r w:rsidR="00F453AC" w:rsidRPr="003F5882">
        <w:rPr>
          <w:rFonts w:ascii="Arial" w:hAnsi="Arial"/>
          <w:sz w:val="21"/>
        </w:rPr>
        <w:t>）</w:t>
      </w:r>
      <w:r w:rsidRPr="003F5882">
        <w:rPr>
          <w:rFonts w:ascii="Arial" w:hAnsi="Arial"/>
          <w:sz w:val="21"/>
        </w:rPr>
        <w:t>。该估算取决于PCT国际申请费用的未来现金流入模式，以及2015年3月11日公布UNORE之后汇率的变化情况。</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t>附注28：</w:t>
      </w:r>
      <w:r w:rsidRPr="00F453AC">
        <w:rPr>
          <w:rFonts w:ascii="Arial" w:eastAsia="SimHei" w:hAnsi="Arial"/>
          <w:b w:val="0"/>
          <w:sz w:val="21"/>
        </w:rPr>
        <w:tab/>
        <w:t>分部报告</w:t>
      </w:r>
    </w:p>
    <w:p w:rsidR="007D62CB" w:rsidRDefault="00C14A2F" w:rsidP="00C14A2F">
      <w:pPr>
        <w:pStyle w:val="Styletexte"/>
        <w:spacing w:after="0"/>
        <w:rPr>
          <w:rFonts w:ascii="Arial" w:hAnsi="Arial"/>
          <w:sz w:val="21"/>
        </w:rPr>
      </w:pPr>
      <w:r w:rsidRPr="003F5882">
        <w:rPr>
          <w:rFonts w:ascii="Arial" w:hAnsi="Arial"/>
          <w:sz w:val="21"/>
        </w:rPr>
        <w:t>分部报告以代表世界知识产权组织各部分的各联盟的形式呈报。联盟由WIPO管辖的各种条约创立。</w:t>
      </w:r>
    </w:p>
    <w:p w:rsidR="007D62CB" w:rsidRDefault="00C14A2F" w:rsidP="003374D7">
      <w:pPr>
        <w:pStyle w:val="Style3"/>
        <w:spacing w:afterLines="50" w:line="340" w:lineRule="atLeast"/>
        <w:rPr>
          <w:rFonts w:ascii="Arial" w:hAnsi="Arial"/>
          <w:sz w:val="21"/>
        </w:rPr>
      </w:pPr>
      <w:r w:rsidRPr="003F5882">
        <w:rPr>
          <w:rFonts w:ascii="Arial" w:hAnsi="Arial"/>
          <w:sz w:val="21"/>
        </w:rPr>
        <w:t>为呈报目的，合并了WIPO的各个会费供资联盟。这些联盟包括巴黎、伯尔尼、洛迦诺、尼斯、越南和IPC联盟以及由</w:t>
      </w:r>
      <w:r w:rsidR="00E808BC" w:rsidRPr="003F5882">
        <w:rPr>
          <w:rFonts w:ascii="Arial" w:hAnsi="Arial" w:hint="eastAsia"/>
          <w:sz w:val="21"/>
        </w:rPr>
        <w:t>《</w:t>
      </w:r>
      <w:r w:rsidRPr="003F5882">
        <w:rPr>
          <w:rFonts w:ascii="Arial" w:hAnsi="Arial"/>
          <w:sz w:val="21"/>
        </w:rPr>
        <w:t>WIPO公约</w:t>
      </w:r>
      <w:r w:rsidR="00E808BC" w:rsidRPr="003F5882">
        <w:rPr>
          <w:rFonts w:ascii="Arial" w:hAnsi="Arial" w:hint="eastAsia"/>
          <w:sz w:val="21"/>
        </w:rPr>
        <w:t>》</w:t>
      </w:r>
      <w:r w:rsidRPr="003F5882">
        <w:rPr>
          <w:rFonts w:ascii="Arial" w:hAnsi="Arial"/>
          <w:sz w:val="21"/>
        </w:rPr>
        <w:t>规定的职能。《专利合作条约》</w:t>
      </w:r>
      <w:r w:rsidR="00F453AC" w:rsidRPr="003F5882">
        <w:rPr>
          <w:rFonts w:ascii="Arial" w:hAnsi="Arial"/>
          <w:sz w:val="21"/>
        </w:rPr>
        <w:t>（</w:t>
      </w:r>
      <w:r w:rsidRPr="003374D7">
        <w:rPr>
          <w:rFonts w:ascii="Arial" w:hAnsi="Arial" w:cs="Times New Roman"/>
          <w:sz w:val="21"/>
        </w:rPr>
        <w:t>PCT</w:t>
      </w:r>
      <w:r w:rsidR="00F453AC" w:rsidRPr="003F5882">
        <w:rPr>
          <w:rFonts w:ascii="Arial" w:hAnsi="Arial"/>
          <w:sz w:val="21"/>
        </w:rPr>
        <w:t>）</w:t>
      </w:r>
      <w:r w:rsidRPr="003F5882">
        <w:rPr>
          <w:rFonts w:ascii="Arial" w:hAnsi="Arial"/>
          <w:sz w:val="21"/>
        </w:rPr>
        <w:t>联盟、马德里联盟</w:t>
      </w:r>
      <w:r w:rsidR="00F453AC" w:rsidRPr="003F5882">
        <w:rPr>
          <w:rFonts w:ascii="Arial" w:hAnsi="Arial"/>
          <w:sz w:val="21"/>
        </w:rPr>
        <w:t>（</w:t>
      </w:r>
      <w:r w:rsidRPr="003F5882">
        <w:rPr>
          <w:rFonts w:ascii="Arial" w:hAnsi="Arial"/>
          <w:sz w:val="21"/>
        </w:rPr>
        <w:t>商标</w:t>
      </w:r>
      <w:r w:rsidR="00F453AC" w:rsidRPr="003F5882">
        <w:rPr>
          <w:rFonts w:ascii="Arial" w:hAnsi="Arial"/>
          <w:sz w:val="21"/>
        </w:rPr>
        <w:t>）</w:t>
      </w:r>
      <w:r w:rsidRPr="003F5882">
        <w:rPr>
          <w:rFonts w:ascii="Arial" w:hAnsi="Arial"/>
          <w:sz w:val="21"/>
        </w:rPr>
        <w:t>、海牙联盟</w:t>
      </w:r>
      <w:r w:rsidR="00F453AC" w:rsidRPr="003F5882">
        <w:rPr>
          <w:rFonts w:ascii="Arial" w:hAnsi="Arial"/>
          <w:sz w:val="21"/>
        </w:rPr>
        <w:t>（</w:t>
      </w:r>
      <w:r w:rsidRPr="003F5882">
        <w:rPr>
          <w:rFonts w:ascii="Arial" w:hAnsi="Arial"/>
          <w:sz w:val="21"/>
        </w:rPr>
        <w:t>工业</w:t>
      </w:r>
      <w:r w:rsidR="00E808BC" w:rsidRPr="003F5882">
        <w:rPr>
          <w:rFonts w:ascii="Arial" w:hAnsi="Arial" w:hint="eastAsia"/>
          <w:sz w:val="21"/>
        </w:rPr>
        <w:t>品</w:t>
      </w:r>
      <w:r w:rsidRPr="003F5882">
        <w:rPr>
          <w:rFonts w:ascii="Arial" w:hAnsi="Arial"/>
          <w:sz w:val="21"/>
        </w:rPr>
        <w:t>外观设计</w:t>
      </w:r>
      <w:r w:rsidR="00F453AC" w:rsidRPr="003F5882">
        <w:rPr>
          <w:rFonts w:ascii="Arial" w:hAnsi="Arial"/>
          <w:sz w:val="21"/>
        </w:rPr>
        <w:t>）</w:t>
      </w:r>
      <w:r w:rsidRPr="003F5882">
        <w:rPr>
          <w:rFonts w:ascii="Arial" w:hAnsi="Arial"/>
          <w:sz w:val="21"/>
        </w:rPr>
        <w:t>和里斯本联盟</w:t>
      </w:r>
      <w:r w:rsidR="00F453AC" w:rsidRPr="003F5882">
        <w:rPr>
          <w:rFonts w:ascii="Arial" w:hAnsi="Arial"/>
          <w:sz w:val="21"/>
        </w:rPr>
        <w:t>（</w:t>
      </w:r>
      <w:r w:rsidRPr="003F5882">
        <w:rPr>
          <w:rFonts w:ascii="Arial" w:hAnsi="Arial"/>
          <w:sz w:val="21"/>
        </w:rPr>
        <w:t>原产地名称</w:t>
      </w:r>
      <w:r w:rsidR="00F453AC" w:rsidRPr="003F5882">
        <w:rPr>
          <w:rFonts w:ascii="Arial" w:hAnsi="Arial"/>
          <w:sz w:val="21"/>
        </w:rPr>
        <w:t>）</w:t>
      </w:r>
      <w:r w:rsidRPr="003F5882">
        <w:rPr>
          <w:rFonts w:ascii="Arial" w:hAnsi="Arial"/>
          <w:sz w:val="21"/>
        </w:rPr>
        <w:t>均由大会管理，大会一年召开一次</w:t>
      </w:r>
      <w:r w:rsidR="00E808BC" w:rsidRPr="003F5882">
        <w:rPr>
          <w:rFonts w:ascii="Arial" w:hAnsi="Arial" w:hint="eastAsia"/>
          <w:sz w:val="21"/>
        </w:rPr>
        <w:t>会议</w:t>
      </w:r>
      <w:r w:rsidRPr="003F5882">
        <w:rPr>
          <w:rFonts w:ascii="Arial" w:hAnsi="Arial"/>
          <w:sz w:val="21"/>
        </w:rPr>
        <w:t>，旨在通过预算，并根据有关条约采取此类其他恰当行动。</w:t>
      </w:r>
    </w:p>
    <w:p w:rsidR="007D62CB" w:rsidRDefault="00C14A2F" w:rsidP="003374D7">
      <w:pPr>
        <w:pStyle w:val="Style3"/>
        <w:spacing w:afterLines="50" w:line="340" w:lineRule="atLeast"/>
        <w:rPr>
          <w:rFonts w:ascii="Arial" w:hAnsi="Arial"/>
          <w:sz w:val="21"/>
        </w:rPr>
      </w:pPr>
      <w:r w:rsidRPr="003F5882">
        <w:rPr>
          <w:rFonts w:ascii="Arial" w:hAnsi="Arial"/>
          <w:sz w:val="21"/>
        </w:rPr>
        <w:t>除作为净资产的储备金以外，WIPO资产与负债归整个组织所有，由整个组织负责，而不是单一联盟或部门的资产或负债。资产与负债一般支持为多个联盟</w:t>
      </w:r>
      <w:r w:rsidR="00F453AC" w:rsidRPr="003F5882">
        <w:rPr>
          <w:rFonts w:ascii="Arial" w:hAnsi="Arial"/>
          <w:sz w:val="21"/>
        </w:rPr>
        <w:t>（</w:t>
      </w:r>
      <w:r w:rsidRPr="003F5882">
        <w:rPr>
          <w:rFonts w:ascii="Arial" w:hAnsi="Arial"/>
          <w:sz w:val="21"/>
        </w:rPr>
        <w:t>部门</w:t>
      </w:r>
      <w:r w:rsidR="00F453AC" w:rsidRPr="003F5882">
        <w:rPr>
          <w:rFonts w:ascii="Arial" w:hAnsi="Arial"/>
          <w:sz w:val="21"/>
        </w:rPr>
        <w:t>）</w:t>
      </w:r>
      <w:r w:rsidRPr="003F5882">
        <w:rPr>
          <w:rFonts w:ascii="Arial" w:hAnsi="Arial"/>
          <w:sz w:val="21"/>
        </w:rPr>
        <w:t>提供的种类繁多的服务活动。唯一的例外是在Meyrin的房地产投资归马德里联盟所有。因此，单项资产与负债不会反映在单一部门或联盟的信息披露中。仅有包括周转基金和储备金在内的净资产/权益按单一部门显示。</w:t>
      </w:r>
    </w:p>
    <w:p w:rsidR="007D62CB" w:rsidRDefault="00C14A2F" w:rsidP="003374D7">
      <w:pPr>
        <w:pStyle w:val="Style3"/>
        <w:spacing w:afterLines="50" w:line="340" w:lineRule="atLeast"/>
        <w:rPr>
          <w:rFonts w:ascii="Arial" w:hAnsi="Arial"/>
          <w:sz w:val="21"/>
        </w:rPr>
      </w:pPr>
      <w:r w:rsidRPr="003F5882">
        <w:rPr>
          <w:rFonts w:ascii="Arial" w:hAnsi="Arial"/>
          <w:sz w:val="21"/>
        </w:rPr>
        <w:t>大多数收入按联盟记入WIPO的账目。利息所得收入基于</w:t>
      </w:r>
      <w:r w:rsidRPr="003374D7">
        <w:rPr>
          <w:rFonts w:ascii="Arial" w:hAnsi="Arial" w:cs="Times New Roman"/>
          <w:sz w:val="21"/>
        </w:rPr>
        <w:t>2014年</w:t>
      </w:r>
      <w:r w:rsidRPr="003F5882">
        <w:rPr>
          <w:rFonts w:ascii="Arial" w:hAnsi="Arial"/>
          <w:sz w:val="21"/>
        </w:rPr>
        <w:t>的总现金储备和当期收入在联盟之间分配。支出按计划结算，然后基于WIPO大会在通过WIPO的</w:t>
      </w:r>
      <w:r w:rsidR="00181706" w:rsidRPr="003F5882">
        <w:rPr>
          <w:rFonts w:ascii="Arial" w:hAnsi="Arial" w:hint="eastAsia"/>
          <w:sz w:val="21"/>
        </w:rPr>
        <w:t>《</w:t>
      </w:r>
      <w:r w:rsidRPr="003F5882">
        <w:rPr>
          <w:rFonts w:ascii="Arial" w:hAnsi="Arial"/>
          <w:sz w:val="21"/>
        </w:rPr>
        <w:t>2014/15年计划和预算</w:t>
      </w:r>
      <w:r w:rsidR="00181706" w:rsidRPr="003F5882">
        <w:rPr>
          <w:rFonts w:ascii="Arial" w:hAnsi="Arial" w:hint="eastAsia"/>
          <w:sz w:val="21"/>
        </w:rPr>
        <w:t>》</w:t>
      </w:r>
      <w:r w:rsidRPr="003F5882">
        <w:rPr>
          <w:rFonts w:ascii="Arial" w:hAnsi="Arial"/>
          <w:sz w:val="21"/>
        </w:rPr>
        <w:t>时所采纳的方法，被重新分配给各个联盟。</w:t>
      </w:r>
    </w:p>
    <w:p w:rsidR="007D62CB" w:rsidRDefault="00C14A2F" w:rsidP="003374D7">
      <w:pPr>
        <w:pStyle w:val="Style3"/>
        <w:spacing w:afterLines="50" w:line="340" w:lineRule="atLeast"/>
        <w:rPr>
          <w:rFonts w:ascii="Arial" w:hAnsi="Arial"/>
          <w:sz w:val="21"/>
        </w:rPr>
      </w:pPr>
      <w:r w:rsidRPr="003F5882">
        <w:rPr>
          <w:rFonts w:ascii="Arial" w:hAnsi="Arial"/>
          <w:sz w:val="21"/>
        </w:rPr>
        <w:t>为自愿捐款设立了一个单独的部分，以显示WIPO代表</w:t>
      </w:r>
      <w:r w:rsidRPr="003374D7">
        <w:rPr>
          <w:rFonts w:ascii="Arial" w:hAnsi="Arial" w:cs="Times New Roman"/>
          <w:sz w:val="21"/>
        </w:rPr>
        <w:t>单个</w:t>
      </w:r>
      <w:r w:rsidRPr="003F5882">
        <w:rPr>
          <w:rFonts w:ascii="Arial" w:hAnsi="Arial"/>
          <w:sz w:val="21"/>
        </w:rPr>
        <w:t>捐助</w:t>
      </w:r>
      <w:proofErr w:type="gramStart"/>
      <w:r w:rsidRPr="003F5882">
        <w:rPr>
          <w:rFonts w:ascii="Arial" w:hAnsi="Arial"/>
          <w:sz w:val="21"/>
        </w:rPr>
        <w:t>方执行</w:t>
      </w:r>
      <w:proofErr w:type="gramEnd"/>
      <w:r w:rsidRPr="003F5882">
        <w:rPr>
          <w:rFonts w:ascii="Arial" w:hAnsi="Arial"/>
          <w:sz w:val="21"/>
        </w:rPr>
        <w:t>与WIPO任务相关计划所管理的数额。与自愿捐款</w:t>
      </w:r>
      <w:r w:rsidR="00F453AC" w:rsidRPr="003F5882">
        <w:rPr>
          <w:rFonts w:ascii="Arial" w:hAnsi="Arial"/>
          <w:sz w:val="21"/>
        </w:rPr>
        <w:t>（</w:t>
      </w:r>
      <w:r w:rsidRPr="003F5882">
        <w:rPr>
          <w:rFonts w:ascii="Arial" w:hAnsi="Arial"/>
          <w:sz w:val="21"/>
        </w:rPr>
        <w:t>特别账户</w:t>
      </w:r>
      <w:r w:rsidR="00F453AC" w:rsidRPr="003F5882">
        <w:rPr>
          <w:rFonts w:ascii="Arial" w:hAnsi="Arial"/>
          <w:sz w:val="21"/>
        </w:rPr>
        <w:t>）</w:t>
      </w:r>
      <w:r w:rsidRPr="003F5882">
        <w:rPr>
          <w:rFonts w:ascii="Arial" w:hAnsi="Arial"/>
          <w:sz w:val="21"/>
        </w:rPr>
        <w:t>相关的收入和开支在财会系统中分别结算。</w:t>
      </w:r>
    </w:p>
    <w:p w:rsidR="00C14A2F" w:rsidRPr="003F5882" w:rsidRDefault="00C14A2F" w:rsidP="003374D7">
      <w:pPr>
        <w:pStyle w:val="Style3"/>
        <w:spacing w:afterLines="50" w:line="340" w:lineRule="atLeast"/>
        <w:rPr>
          <w:rFonts w:ascii="Arial" w:hAnsi="Arial"/>
          <w:sz w:val="21"/>
        </w:rPr>
      </w:pPr>
      <w:r w:rsidRPr="003F5882">
        <w:rPr>
          <w:rFonts w:ascii="Arial" w:hAnsi="Arial"/>
          <w:sz w:val="21"/>
        </w:rPr>
        <w:t>所有费用基于经批准的分配方法在组成各部门的联盟之间进行分配。与本组织接收的自愿捐助有关的特别账户部分开支按实际成本记账。仅有的一笔部门间</w:t>
      </w:r>
      <w:r w:rsidRPr="003374D7">
        <w:rPr>
          <w:rFonts w:ascii="Arial" w:hAnsi="Arial" w:cs="Times New Roman"/>
          <w:sz w:val="21"/>
        </w:rPr>
        <w:t>费用</w:t>
      </w:r>
      <w:r w:rsidRPr="003F5882">
        <w:rPr>
          <w:rFonts w:ascii="Arial" w:hAnsi="Arial"/>
          <w:sz w:val="21"/>
        </w:rPr>
        <w:t>为各联盟支持特别账户所发生的计划支助费用。根据与提供自愿捐助的捐助方签订的协议所规定的直接开支总额的百分数，计划支助费用被记入特别账户。</w:t>
      </w:r>
    </w:p>
    <w:p w:rsidR="007D62CB" w:rsidRDefault="00C14A2F" w:rsidP="00C14A2F">
      <w:pPr>
        <w:pStyle w:val="Styletexte"/>
        <w:spacing w:after="0"/>
        <w:rPr>
          <w:rFonts w:ascii="Arial" w:eastAsia="SimHei" w:hAnsi="Arial"/>
          <w:sz w:val="21"/>
        </w:rPr>
      </w:pPr>
      <w:r w:rsidRPr="003F5882">
        <w:rPr>
          <w:rFonts w:ascii="Arial" w:hAnsi="Arial"/>
          <w:sz w:val="21"/>
        </w:rPr>
        <w:br w:type="page"/>
      </w:r>
      <w:r w:rsidRPr="00F453AC">
        <w:rPr>
          <w:rFonts w:ascii="Arial" w:eastAsia="SimHei" w:hAnsi="Arial"/>
          <w:sz w:val="21"/>
        </w:rPr>
        <w:lastRenderedPageBreak/>
        <w:t>按分部开列的收入、支出和储备金</w:t>
      </w:r>
    </w:p>
    <w:p w:rsidR="00C14A2F" w:rsidRPr="003F5882" w:rsidRDefault="00FB3BEB" w:rsidP="00C14A2F">
      <w:pPr>
        <w:pStyle w:val="Styletexte"/>
        <w:spacing w:after="0"/>
        <w:jc w:val="center"/>
        <w:rPr>
          <w:rFonts w:ascii="Arial" w:hAnsi="Arial"/>
          <w:sz w:val="21"/>
        </w:rPr>
      </w:pPr>
      <w:r w:rsidRPr="00FB3BEB">
        <w:rPr>
          <w:noProof/>
          <w:lang w:val="en-US" w:bidi="ar-SA"/>
        </w:rPr>
        <w:drawing>
          <wp:inline distT="0" distB="0" distL="0" distR="0" wp14:anchorId="05528DFD" wp14:editId="4B1DE79E">
            <wp:extent cx="5977255" cy="7510147"/>
            <wp:effectExtent l="0" t="0" r="4445"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77255" cy="7510147"/>
                    </a:xfrm>
                    <a:prstGeom prst="rect">
                      <a:avLst/>
                    </a:prstGeom>
                    <a:noFill/>
                    <a:ln>
                      <a:noFill/>
                    </a:ln>
                  </pic:spPr>
                </pic:pic>
              </a:graphicData>
            </a:graphic>
          </wp:inline>
        </w:drawing>
      </w:r>
    </w:p>
    <w:p w:rsidR="00C14A2F" w:rsidRPr="003F5882" w:rsidRDefault="00C14A2F" w:rsidP="00C14A2F">
      <w:pPr>
        <w:pStyle w:val="Styletexte"/>
        <w:spacing w:after="0"/>
        <w:rPr>
          <w:rFonts w:ascii="Arial" w:hAnsi="Arial"/>
          <w:sz w:val="21"/>
        </w:rPr>
      </w:pPr>
      <w:r w:rsidRPr="003F5882">
        <w:rPr>
          <w:rFonts w:ascii="Arial" w:hAnsi="Arial"/>
          <w:sz w:val="18"/>
        </w:rPr>
        <w:t>注：马德里联盟承担了海牙联盟对马德里和海牙国际注册系统信息技术现代化项目300</w:t>
      </w:r>
      <w:proofErr w:type="gramStart"/>
      <w:r w:rsidRPr="003F5882">
        <w:rPr>
          <w:rFonts w:ascii="Arial" w:hAnsi="Arial"/>
          <w:sz w:val="18"/>
        </w:rPr>
        <w:t>万瑞郎捐款</w:t>
      </w:r>
      <w:proofErr w:type="gramEnd"/>
      <w:r w:rsidRPr="003F5882">
        <w:rPr>
          <w:rFonts w:ascii="Arial" w:hAnsi="Arial"/>
          <w:sz w:val="18"/>
        </w:rPr>
        <w:t>的融资。在海牙联盟储备基金的储备金水平达到能够偿付这一金额的水平时，海牙联盟将立即向马德里联盟偿付这一金额。</w:t>
      </w:r>
    </w:p>
    <w:p w:rsidR="00C14A2F" w:rsidRPr="003F5882" w:rsidRDefault="00C14A2F" w:rsidP="00C14A2F">
      <w:pPr>
        <w:pStyle w:val="Styletexte"/>
        <w:spacing w:after="0"/>
        <w:rPr>
          <w:rFonts w:ascii="Arial" w:hAnsi="Arial"/>
          <w:sz w:val="21"/>
        </w:rPr>
        <w:sectPr w:rsidR="00C14A2F" w:rsidRPr="003F5882" w:rsidSect="0074278E">
          <w:footerReference w:type="default" r:id="rId114"/>
          <w:pgSz w:w="11907" w:h="16840" w:code="9"/>
          <w:pgMar w:top="851" w:right="1247" w:bottom="1531" w:left="1247" w:header="709" w:footer="709" w:gutter="0"/>
          <w:cols w:space="708"/>
          <w:docGrid w:linePitch="360"/>
        </w:sectPr>
      </w:pPr>
    </w:p>
    <w:p w:rsidR="00C14A2F" w:rsidRPr="00F453AC" w:rsidRDefault="00C14A2F" w:rsidP="00C14A2F">
      <w:pPr>
        <w:pStyle w:val="STYLE2LASTONE"/>
        <w:ind w:left="0" w:firstLine="0"/>
        <w:jc w:val="center"/>
        <w:rPr>
          <w:rFonts w:ascii="Arial" w:eastAsia="SimHei" w:hAnsi="Arial"/>
          <w:b w:val="0"/>
          <w:bCs w:val="0"/>
          <w:caps/>
          <w:color w:val="auto"/>
          <w:kern w:val="32"/>
          <w:sz w:val="21"/>
          <w:szCs w:val="32"/>
        </w:rPr>
      </w:pPr>
      <w:bookmarkStart w:id="10" w:name="_Toc301187119"/>
      <w:r w:rsidRPr="00F453AC">
        <w:rPr>
          <w:rFonts w:ascii="Arial" w:eastAsia="SimHei" w:hAnsi="Arial"/>
          <w:b w:val="0"/>
          <w:sz w:val="21"/>
        </w:rPr>
        <w:lastRenderedPageBreak/>
        <w:t>nor</w:t>
      </w:r>
      <w:bookmarkEnd w:id="10"/>
      <w:r w:rsidRPr="00F453AC">
        <w:rPr>
          <w:rFonts w:ascii="Arial" w:eastAsia="SimHei" w:hAnsi="Arial"/>
          <w:b w:val="0"/>
          <w:caps/>
          <w:color w:val="auto"/>
          <w:kern w:val="32"/>
          <w:sz w:val="21"/>
        </w:rPr>
        <w:t>附件一</w:t>
      </w:r>
      <w:r w:rsidRPr="00F453AC">
        <w:rPr>
          <w:rFonts w:ascii="Arial" w:eastAsia="SimHei" w:hAnsi="Arial" w:cs="Arial"/>
          <w:b w:val="0"/>
          <w:bCs w:val="0"/>
          <w:caps/>
          <w:color w:val="auto"/>
          <w:kern w:val="32"/>
          <w:sz w:val="21"/>
          <w:szCs w:val="32"/>
        </w:rPr>
        <w:br/>
      </w:r>
      <w:r w:rsidRPr="00F453AC">
        <w:rPr>
          <w:rFonts w:ascii="Arial" w:eastAsia="SimHei" w:hAnsi="Arial"/>
          <w:b w:val="0"/>
          <w:caps/>
          <w:color w:val="auto"/>
          <w:kern w:val="32"/>
          <w:sz w:val="21"/>
        </w:rPr>
        <w:t>按资金来源开</w:t>
      </w:r>
      <w:r w:rsidR="009B1CAD" w:rsidRPr="00F453AC">
        <w:rPr>
          <w:rFonts w:ascii="Arial" w:eastAsia="SimHei" w:hAnsi="Arial" w:hint="eastAsia"/>
          <w:b w:val="0"/>
          <w:caps/>
          <w:color w:val="auto"/>
          <w:kern w:val="32"/>
          <w:sz w:val="21"/>
        </w:rPr>
        <w:t>列</w:t>
      </w:r>
      <w:r w:rsidRPr="00F453AC">
        <w:rPr>
          <w:rFonts w:ascii="Arial" w:eastAsia="SimHei" w:hAnsi="Arial"/>
          <w:b w:val="0"/>
          <w:caps/>
          <w:color w:val="auto"/>
          <w:kern w:val="32"/>
          <w:sz w:val="21"/>
        </w:rPr>
        <w:t>的财务状况表</w:t>
      </w:r>
      <w:r w:rsidR="00F453AC">
        <w:rPr>
          <w:rFonts w:ascii="Arial" w:eastAsia="SimHei" w:hAnsi="Arial"/>
          <w:b w:val="0"/>
          <w:caps/>
          <w:color w:val="auto"/>
          <w:kern w:val="32"/>
          <w:sz w:val="21"/>
        </w:rPr>
        <w:t>［</w:t>
      </w:r>
      <w:r w:rsidRPr="00F453AC">
        <w:rPr>
          <w:rFonts w:ascii="Arial" w:eastAsia="SimHei" w:hAnsi="Arial"/>
          <w:b w:val="0"/>
          <w:caps/>
          <w:color w:val="auto"/>
          <w:kern w:val="32"/>
          <w:sz w:val="21"/>
        </w:rPr>
        <w:t>未经审计</w:t>
      </w:r>
      <w:r w:rsidR="00F453AC">
        <w:rPr>
          <w:rFonts w:ascii="Arial" w:eastAsia="SimHei" w:hAnsi="Arial"/>
          <w:b w:val="0"/>
          <w:caps/>
          <w:color w:val="auto"/>
          <w:kern w:val="32"/>
          <w:sz w:val="21"/>
        </w:rPr>
        <w:t>］</w:t>
      </w:r>
    </w:p>
    <w:p w:rsidR="00C14A2F" w:rsidRPr="00F453AC" w:rsidRDefault="00C14A2F" w:rsidP="00C14A2F">
      <w:pPr>
        <w:jc w:val="center"/>
        <w:rPr>
          <w:rFonts w:ascii="Arial" w:eastAsia="SimHei" w:hAnsi="Arial"/>
          <w:sz w:val="20"/>
          <w:szCs w:val="20"/>
        </w:rPr>
      </w:pPr>
      <w:r w:rsidRPr="00F453AC">
        <w:rPr>
          <w:rFonts w:ascii="Arial" w:eastAsia="SimHei" w:hAnsi="Arial"/>
          <w:sz w:val="20"/>
        </w:rPr>
        <w:t>截至2014年12月31日</w:t>
      </w:r>
    </w:p>
    <w:p w:rsidR="007D62CB" w:rsidRPr="00DA4636" w:rsidRDefault="00F453AC" w:rsidP="00C14A2F">
      <w:pPr>
        <w:jc w:val="center"/>
        <w:rPr>
          <w:rFonts w:ascii="Arial" w:eastAsia="KaiTi" w:hAnsi="Arial"/>
          <w:i/>
          <w:sz w:val="20"/>
          <w:szCs w:val="20"/>
        </w:rPr>
      </w:pPr>
      <w:r w:rsidRPr="00DA4636">
        <w:rPr>
          <w:rFonts w:ascii="Arial" w:eastAsia="KaiTi" w:hAnsi="Arial"/>
          <w:i/>
          <w:sz w:val="20"/>
        </w:rPr>
        <w:t>（</w:t>
      </w:r>
      <w:r w:rsidR="00C14A2F" w:rsidRPr="00DA4636">
        <w:rPr>
          <w:rFonts w:ascii="Arial" w:eastAsia="KaiTi" w:hAnsi="Arial"/>
          <w:i/>
          <w:sz w:val="20"/>
        </w:rPr>
        <w:t>单位：</w:t>
      </w:r>
      <w:proofErr w:type="gramStart"/>
      <w:r w:rsidR="00C14A2F" w:rsidRPr="00DA4636">
        <w:rPr>
          <w:rFonts w:ascii="Arial" w:eastAsia="KaiTi" w:hAnsi="Arial"/>
          <w:i/>
          <w:sz w:val="20"/>
        </w:rPr>
        <w:t>千瑞郎</w:t>
      </w:r>
      <w:proofErr w:type="gramEnd"/>
      <w:r w:rsidRPr="00DA4636">
        <w:rPr>
          <w:rFonts w:ascii="Arial" w:eastAsia="KaiTi" w:hAnsi="Arial"/>
          <w:i/>
          <w:sz w:val="20"/>
        </w:rPr>
        <w:t>）</w:t>
      </w:r>
    </w:p>
    <w:p w:rsidR="00C14A2F" w:rsidRPr="003F5882" w:rsidRDefault="00FB3BEB" w:rsidP="00C14A2F">
      <w:pPr>
        <w:pStyle w:val="Styletexte"/>
        <w:spacing w:after="0"/>
        <w:jc w:val="center"/>
        <w:rPr>
          <w:rFonts w:ascii="Arial" w:hAnsi="Arial"/>
          <w:sz w:val="21"/>
        </w:rPr>
      </w:pPr>
      <w:r w:rsidRPr="00FB3BEB">
        <w:rPr>
          <w:noProof/>
          <w:lang w:val="en-US" w:bidi="ar-SA"/>
        </w:rPr>
        <w:drawing>
          <wp:inline distT="0" distB="0" distL="0" distR="0" wp14:anchorId="50058E54" wp14:editId="00320024">
            <wp:extent cx="7912800" cy="5101200"/>
            <wp:effectExtent l="0" t="0" r="0" b="4445"/>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912800" cy="5101200"/>
                    </a:xfrm>
                    <a:prstGeom prst="rect">
                      <a:avLst/>
                    </a:prstGeom>
                    <a:noFill/>
                    <a:ln>
                      <a:noFill/>
                    </a:ln>
                  </pic:spPr>
                </pic:pic>
              </a:graphicData>
            </a:graphic>
          </wp:inline>
        </w:drawing>
      </w:r>
    </w:p>
    <w:p w:rsidR="00C14A2F" w:rsidRPr="00F453AC" w:rsidRDefault="00C14A2F" w:rsidP="00FB3BEB">
      <w:pPr>
        <w:pStyle w:val="1"/>
        <w:spacing w:after="0"/>
        <w:ind w:left="0" w:firstLine="0"/>
        <w:jc w:val="center"/>
        <w:rPr>
          <w:rFonts w:ascii="Arial" w:eastAsia="SimHei" w:hAnsi="Arial"/>
          <w:b w:val="0"/>
          <w:bCs/>
          <w:caps/>
          <w:color w:val="auto"/>
          <w:kern w:val="32"/>
          <w:sz w:val="21"/>
          <w:szCs w:val="32"/>
        </w:rPr>
      </w:pPr>
      <w:r w:rsidRPr="00FB3BEB">
        <w:rPr>
          <w:rFonts w:ascii="Arial" w:eastAsia="SimHei" w:hAnsi="Arial"/>
          <w:b w:val="0"/>
          <w:sz w:val="20"/>
        </w:rPr>
        <w:br w:type="page"/>
      </w:r>
      <w:r w:rsidRPr="00F453AC">
        <w:rPr>
          <w:rFonts w:ascii="Arial" w:eastAsia="SimHei" w:hAnsi="Arial"/>
          <w:b w:val="0"/>
          <w:caps/>
          <w:color w:val="auto"/>
          <w:kern w:val="32"/>
          <w:sz w:val="21"/>
        </w:rPr>
        <w:lastRenderedPageBreak/>
        <w:t>附件二</w:t>
      </w:r>
      <w:r w:rsidRPr="00F453AC">
        <w:rPr>
          <w:rFonts w:ascii="Arial" w:eastAsia="SimHei" w:hAnsi="Arial" w:cs="Arial"/>
          <w:b w:val="0"/>
          <w:bCs/>
          <w:caps/>
          <w:color w:val="auto"/>
          <w:kern w:val="32"/>
          <w:sz w:val="21"/>
          <w:szCs w:val="32"/>
        </w:rPr>
        <w:br/>
      </w:r>
      <w:r w:rsidRPr="00F453AC">
        <w:rPr>
          <w:rFonts w:ascii="Arial" w:eastAsia="SimHei" w:hAnsi="Arial"/>
          <w:b w:val="0"/>
          <w:caps/>
          <w:color w:val="auto"/>
          <w:kern w:val="32"/>
          <w:sz w:val="21"/>
        </w:rPr>
        <w:t>按资金来源开列的财务执行情况表</w:t>
      </w:r>
      <w:r w:rsidR="00F453AC">
        <w:rPr>
          <w:rFonts w:ascii="Arial" w:eastAsia="SimHei" w:hAnsi="Arial"/>
          <w:b w:val="0"/>
          <w:caps/>
          <w:color w:val="auto"/>
          <w:kern w:val="32"/>
          <w:sz w:val="21"/>
        </w:rPr>
        <w:t>［</w:t>
      </w:r>
      <w:r w:rsidRPr="00F453AC">
        <w:rPr>
          <w:rFonts w:ascii="Arial" w:eastAsia="SimHei" w:hAnsi="Arial"/>
          <w:b w:val="0"/>
          <w:caps/>
          <w:color w:val="auto"/>
          <w:kern w:val="32"/>
          <w:sz w:val="21"/>
        </w:rPr>
        <w:t>未经审计</w:t>
      </w:r>
      <w:r w:rsidR="00F453AC">
        <w:rPr>
          <w:rFonts w:ascii="Arial" w:eastAsia="SimHei" w:hAnsi="Arial"/>
          <w:b w:val="0"/>
          <w:caps/>
          <w:color w:val="auto"/>
          <w:kern w:val="32"/>
          <w:sz w:val="21"/>
        </w:rPr>
        <w:t>］</w:t>
      </w:r>
    </w:p>
    <w:p w:rsidR="00C14A2F" w:rsidRPr="00F453AC" w:rsidRDefault="00C14A2F" w:rsidP="00C14A2F">
      <w:pPr>
        <w:jc w:val="center"/>
        <w:rPr>
          <w:rFonts w:ascii="Arial" w:eastAsia="SimHei" w:hAnsi="Arial"/>
          <w:sz w:val="20"/>
          <w:szCs w:val="20"/>
        </w:rPr>
      </w:pPr>
      <w:r w:rsidRPr="00F453AC">
        <w:rPr>
          <w:rFonts w:ascii="Arial" w:eastAsia="SimHei" w:hAnsi="Arial"/>
          <w:sz w:val="20"/>
        </w:rPr>
        <w:t>2014年12月31日截止的年度</w:t>
      </w:r>
    </w:p>
    <w:p w:rsidR="007D62CB" w:rsidRPr="00DA4636" w:rsidRDefault="00F453AC" w:rsidP="00C14A2F">
      <w:pPr>
        <w:pStyle w:val="Styletexte"/>
        <w:spacing w:after="0"/>
        <w:jc w:val="center"/>
        <w:rPr>
          <w:rFonts w:ascii="Arial" w:eastAsia="KaiTi" w:hAnsi="Arial"/>
          <w:i/>
          <w:sz w:val="20"/>
        </w:rPr>
      </w:pPr>
      <w:r w:rsidRPr="00DA4636">
        <w:rPr>
          <w:rFonts w:ascii="Arial" w:eastAsia="KaiTi" w:hAnsi="Arial"/>
          <w:i/>
          <w:sz w:val="20"/>
        </w:rPr>
        <w:t>（</w:t>
      </w:r>
      <w:r w:rsidR="00C14A2F" w:rsidRPr="00DA4636">
        <w:rPr>
          <w:rFonts w:ascii="Arial" w:eastAsia="KaiTi" w:hAnsi="Arial"/>
          <w:i/>
          <w:sz w:val="20"/>
        </w:rPr>
        <w:t>单位：</w:t>
      </w:r>
      <w:proofErr w:type="gramStart"/>
      <w:r w:rsidR="00C14A2F" w:rsidRPr="00DA4636">
        <w:rPr>
          <w:rFonts w:ascii="Arial" w:eastAsia="KaiTi" w:hAnsi="Arial"/>
          <w:i/>
          <w:sz w:val="20"/>
        </w:rPr>
        <w:t>千瑞郎</w:t>
      </w:r>
      <w:proofErr w:type="gramEnd"/>
      <w:r w:rsidRPr="00DA4636">
        <w:rPr>
          <w:rFonts w:ascii="Arial" w:eastAsia="KaiTi" w:hAnsi="Arial"/>
          <w:i/>
          <w:sz w:val="20"/>
        </w:rPr>
        <w:t>）</w:t>
      </w:r>
    </w:p>
    <w:p w:rsidR="00C14A2F" w:rsidRPr="003F5882" w:rsidRDefault="00FB3BEB" w:rsidP="00C14A2F">
      <w:pPr>
        <w:jc w:val="center"/>
        <w:rPr>
          <w:rFonts w:ascii="Arial" w:hAnsi="Arial"/>
        </w:rPr>
      </w:pPr>
      <w:r w:rsidRPr="00FB3BEB">
        <w:rPr>
          <w:noProof/>
          <w:lang w:val="en-US" w:bidi="ar-SA"/>
        </w:rPr>
        <w:drawing>
          <wp:inline distT="0" distB="0" distL="0" distR="0" wp14:anchorId="7431AC2E" wp14:editId="30A74C16">
            <wp:extent cx="8215200" cy="5058000"/>
            <wp:effectExtent l="0" t="0" r="0" b="9525"/>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15200" cy="5058000"/>
                    </a:xfrm>
                    <a:prstGeom prst="rect">
                      <a:avLst/>
                    </a:prstGeom>
                    <a:noFill/>
                    <a:ln>
                      <a:noFill/>
                    </a:ln>
                  </pic:spPr>
                </pic:pic>
              </a:graphicData>
            </a:graphic>
          </wp:inline>
        </w:drawing>
      </w:r>
    </w:p>
    <w:p w:rsidR="00C14A2F" w:rsidRPr="003F5882" w:rsidRDefault="00C14A2F" w:rsidP="00C14A2F">
      <w:pPr>
        <w:rPr>
          <w:rFonts w:ascii="Arial" w:hAnsi="Arial"/>
        </w:rPr>
        <w:sectPr w:rsidR="00C14A2F" w:rsidRPr="003F5882" w:rsidSect="0074278E">
          <w:footerReference w:type="even" r:id="rId117"/>
          <w:pgSz w:w="16840" w:h="11907" w:orient="landscape" w:code="9"/>
          <w:pgMar w:top="851" w:right="1247" w:bottom="1079" w:left="1247" w:header="709" w:footer="188" w:gutter="0"/>
          <w:cols w:space="708"/>
          <w:docGrid w:linePitch="360"/>
        </w:sectPr>
      </w:pPr>
    </w:p>
    <w:p w:rsidR="00C14A2F" w:rsidRPr="00F453AC" w:rsidRDefault="00C14A2F" w:rsidP="00C14A2F">
      <w:pPr>
        <w:pStyle w:val="1"/>
        <w:keepNext/>
        <w:spacing w:after="0"/>
        <w:ind w:left="0" w:firstLine="0"/>
        <w:jc w:val="center"/>
        <w:rPr>
          <w:rFonts w:ascii="Arial" w:eastAsia="SimHei" w:hAnsi="Arial"/>
          <w:b w:val="0"/>
          <w:bCs/>
          <w:caps/>
          <w:color w:val="auto"/>
          <w:kern w:val="32"/>
          <w:sz w:val="21"/>
          <w:szCs w:val="32"/>
        </w:rPr>
      </w:pPr>
      <w:r w:rsidRPr="00F453AC">
        <w:rPr>
          <w:rFonts w:ascii="Arial" w:eastAsia="SimHei" w:hAnsi="Arial"/>
          <w:b w:val="0"/>
          <w:caps/>
          <w:color w:val="auto"/>
          <w:kern w:val="32"/>
          <w:sz w:val="21"/>
        </w:rPr>
        <w:lastRenderedPageBreak/>
        <w:t>附件三</w:t>
      </w:r>
      <w:r w:rsidRPr="00F453AC">
        <w:rPr>
          <w:rFonts w:ascii="Arial" w:eastAsia="SimHei" w:hAnsi="Arial" w:cs="Arial"/>
          <w:b w:val="0"/>
          <w:bCs/>
          <w:caps/>
          <w:color w:val="auto"/>
          <w:kern w:val="32"/>
          <w:sz w:val="21"/>
          <w:szCs w:val="32"/>
        </w:rPr>
        <w:br/>
      </w:r>
      <w:r w:rsidRPr="00F453AC">
        <w:rPr>
          <w:rFonts w:ascii="Arial" w:eastAsia="SimHei" w:hAnsi="Arial"/>
          <w:b w:val="0"/>
          <w:caps/>
          <w:color w:val="auto"/>
          <w:kern w:val="32"/>
          <w:sz w:val="21"/>
        </w:rPr>
        <w:t>捐助方捐助特别账户</w:t>
      </w:r>
    </w:p>
    <w:p w:rsidR="007D62CB" w:rsidRDefault="00F453AC" w:rsidP="00C14A2F">
      <w:pPr>
        <w:jc w:val="center"/>
        <w:rPr>
          <w:rFonts w:ascii="Arial" w:eastAsia="SimHei" w:hAnsi="Arial"/>
          <w:sz w:val="20"/>
          <w:szCs w:val="20"/>
        </w:rPr>
      </w:pPr>
      <w:r>
        <w:rPr>
          <w:rFonts w:ascii="Arial" w:eastAsia="SimHei" w:hAnsi="Arial"/>
          <w:sz w:val="20"/>
        </w:rPr>
        <w:t>（</w:t>
      </w:r>
      <w:r w:rsidR="00C14A2F" w:rsidRPr="00F453AC">
        <w:rPr>
          <w:rFonts w:ascii="Arial" w:eastAsia="SimHei" w:hAnsi="Arial"/>
          <w:sz w:val="20"/>
        </w:rPr>
        <w:t>单位：瑞郎</w:t>
      </w:r>
      <w:r>
        <w:rPr>
          <w:rFonts w:ascii="Arial" w:eastAsia="SimHei" w:hAnsi="Arial"/>
          <w:sz w:val="20"/>
        </w:rPr>
        <w:t>）</w:t>
      </w:r>
    </w:p>
    <w:p w:rsidR="00C14A2F" w:rsidRPr="00F453AC" w:rsidRDefault="00FB3BEB" w:rsidP="00C14A2F">
      <w:pPr>
        <w:jc w:val="center"/>
        <w:rPr>
          <w:rFonts w:ascii="Arial" w:eastAsia="SimSun" w:hAnsi="Arial"/>
        </w:rPr>
      </w:pPr>
      <w:r w:rsidRPr="00FB3BEB">
        <w:rPr>
          <w:noProof/>
          <w:lang w:val="en-US" w:bidi="ar-SA"/>
        </w:rPr>
        <w:drawing>
          <wp:inline distT="0" distB="0" distL="0" distR="0" wp14:anchorId="43F7BA69" wp14:editId="11B72B5C">
            <wp:extent cx="9109710" cy="4029503"/>
            <wp:effectExtent l="0" t="0" r="0" b="9525"/>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109710" cy="4029503"/>
                    </a:xfrm>
                    <a:prstGeom prst="rect">
                      <a:avLst/>
                    </a:prstGeom>
                    <a:noFill/>
                    <a:ln>
                      <a:noFill/>
                    </a:ln>
                  </pic:spPr>
                </pic:pic>
              </a:graphicData>
            </a:graphic>
          </wp:inline>
        </w:drawing>
      </w:r>
    </w:p>
    <w:p w:rsidR="00C14A2F" w:rsidRPr="003F5882" w:rsidRDefault="00C14A2F" w:rsidP="00C14A2F">
      <w:pPr>
        <w:autoSpaceDE w:val="0"/>
        <w:autoSpaceDN w:val="0"/>
        <w:adjustRightInd w:val="0"/>
        <w:jc w:val="both"/>
        <w:rPr>
          <w:rFonts w:ascii="Arial" w:hAnsi="Arial"/>
          <w:sz w:val="18"/>
          <w:szCs w:val="18"/>
        </w:rPr>
        <w:sectPr w:rsidR="00C14A2F" w:rsidRPr="003F5882" w:rsidSect="0074278E">
          <w:pgSz w:w="16840" w:h="11907" w:orient="landscape" w:code="9"/>
          <w:pgMar w:top="851" w:right="1247" w:bottom="1079" w:left="1247" w:header="709" w:footer="188" w:gutter="0"/>
          <w:cols w:space="708"/>
          <w:docGrid w:linePitch="360"/>
        </w:sectPr>
      </w:pPr>
      <w:r w:rsidRPr="003F5882">
        <w:rPr>
          <w:rFonts w:ascii="Arial" w:hAnsi="Arial"/>
          <w:sz w:val="18"/>
        </w:rPr>
        <w:t>该表根据捐助方报告要求按</w:t>
      </w:r>
      <w:r w:rsidR="00181706" w:rsidRPr="003F5882">
        <w:rPr>
          <w:rFonts w:ascii="Arial" w:hAnsi="Arial" w:hint="eastAsia"/>
          <w:sz w:val="18"/>
        </w:rPr>
        <w:t>《</w:t>
      </w:r>
      <w:r w:rsidRPr="003F5882">
        <w:rPr>
          <w:rFonts w:ascii="Arial" w:hAnsi="Arial"/>
          <w:sz w:val="18"/>
        </w:rPr>
        <w:t>联合国系统会计标准</w:t>
      </w:r>
      <w:r w:rsidR="00181706" w:rsidRPr="003F5882">
        <w:rPr>
          <w:rFonts w:ascii="Arial" w:hAnsi="Arial" w:hint="eastAsia"/>
          <w:sz w:val="18"/>
        </w:rPr>
        <w:t>》</w:t>
      </w:r>
      <w:r w:rsidRPr="003F5882">
        <w:rPr>
          <w:rFonts w:ascii="Arial" w:hAnsi="Arial"/>
          <w:sz w:val="18"/>
        </w:rPr>
        <w:t>编制，表中未包括应计开支。对期末余额</w:t>
      </w:r>
      <w:r w:rsidR="00F453AC" w:rsidRPr="003F5882">
        <w:rPr>
          <w:rFonts w:ascii="Arial" w:hAnsi="Arial"/>
          <w:sz w:val="18"/>
        </w:rPr>
        <w:t>（</w:t>
      </w:r>
      <w:r w:rsidRPr="003F5882">
        <w:rPr>
          <w:rFonts w:ascii="Arial" w:hAnsi="Arial"/>
          <w:sz w:val="18"/>
        </w:rPr>
        <w:t>2014年12月31日</w:t>
      </w:r>
      <w:r w:rsidR="00F453AC" w:rsidRPr="003F5882">
        <w:rPr>
          <w:rFonts w:ascii="Arial" w:hAnsi="Arial"/>
          <w:sz w:val="18"/>
        </w:rPr>
        <w:t>）</w:t>
      </w:r>
      <w:r w:rsidRPr="003F5882">
        <w:rPr>
          <w:rFonts w:ascii="Arial" w:hAnsi="Arial"/>
          <w:sz w:val="18"/>
        </w:rPr>
        <w:t>进行的IPSAS调整没有纳入该表，但计入附注14</w:t>
      </w:r>
      <w:r w:rsidR="00181706" w:rsidRPr="003F5882">
        <w:rPr>
          <w:rFonts w:ascii="Arial" w:hAnsi="Arial" w:hint="eastAsia"/>
          <w:sz w:val="18"/>
        </w:rPr>
        <w:t>“</w:t>
      </w:r>
      <w:r w:rsidRPr="003F5882">
        <w:rPr>
          <w:rFonts w:ascii="Arial" w:hAnsi="Arial"/>
          <w:sz w:val="18"/>
        </w:rPr>
        <w:t>预收款</w:t>
      </w:r>
      <w:r w:rsidR="00181706" w:rsidRPr="003F5882">
        <w:rPr>
          <w:rFonts w:ascii="Arial" w:hAnsi="Arial" w:hint="eastAsia"/>
          <w:sz w:val="18"/>
        </w:rPr>
        <w:t>”</w:t>
      </w:r>
      <w:r w:rsidRPr="003F5882">
        <w:rPr>
          <w:rFonts w:ascii="Arial" w:hAnsi="Arial"/>
          <w:sz w:val="18"/>
        </w:rPr>
        <w:t>所涉数额中</w:t>
      </w:r>
      <w:r w:rsidR="00F453AC" w:rsidRPr="003F5882">
        <w:rPr>
          <w:rFonts w:ascii="Arial" w:hAnsi="Arial"/>
          <w:sz w:val="18"/>
        </w:rPr>
        <w:t>（</w:t>
      </w:r>
      <w:r w:rsidRPr="003F5882">
        <w:rPr>
          <w:rFonts w:ascii="Arial" w:hAnsi="Arial"/>
          <w:sz w:val="18"/>
        </w:rPr>
        <w:t>见</w:t>
      </w:r>
      <w:r w:rsidR="00181706" w:rsidRPr="003F5882">
        <w:rPr>
          <w:rFonts w:ascii="Arial" w:hAnsi="Arial" w:hint="eastAsia"/>
          <w:sz w:val="18"/>
        </w:rPr>
        <w:t>“</w:t>
      </w:r>
      <w:r w:rsidRPr="003F5882">
        <w:rPr>
          <w:rFonts w:ascii="Arial" w:hAnsi="Arial"/>
          <w:sz w:val="18"/>
        </w:rPr>
        <w:t>递延非交换收入</w:t>
      </w:r>
      <w:r w:rsidR="00181706" w:rsidRPr="003F5882">
        <w:rPr>
          <w:rFonts w:ascii="Arial" w:hAnsi="Arial" w:hint="eastAsia"/>
          <w:sz w:val="18"/>
        </w:rPr>
        <w:t>”</w:t>
      </w:r>
      <w:r w:rsidRPr="003F5882">
        <w:rPr>
          <w:rFonts w:ascii="Arial" w:hAnsi="Arial"/>
          <w:sz w:val="18"/>
        </w:rPr>
        <w:t>项</w:t>
      </w:r>
      <w:r w:rsidR="00F453AC" w:rsidRPr="003F5882">
        <w:rPr>
          <w:rFonts w:ascii="Arial" w:hAnsi="Arial"/>
          <w:sz w:val="18"/>
        </w:rPr>
        <w:t>）</w:t>
      </w:r>
      <w:r w:rsidRPr="003F5882">
        <w:rPr>
          <w:rFonts w:ascii="Arial" w:hAnsi="Arial"/>
          <w:sz w:val="18"/>
        </w:rPr>
        <w:t>。</w:t>
      </w:r>
    </w:p>
    <w:p w:rsidR="007D62CB" w:rsidRDefault="00C14A2F" w:rsidP="00C14A2F">
      <w:pPr>
        <w:pStyle w:val="1"/>
        <w:keepNext/>
        <w:spacing w:after="0"/>
        <w:ind w:left="0" w:firstLine="0"/>
        <w:jc w:val="center"/>
        <w:rPr>
          <w:rFonts w:ascii="Arial" w:eastAsia="SimHei" w:hAnsi="Arial"/>
          <w:b w:val="0"/>
          <w:caps/>
          <w:color w:val="auto"/>
          <w:kern w:val="32"/>
          <w:sz w:val="21"/>
        </w:rPr>
      </w:pPr>
      <w:r w:rsidRPr="00F453AC">
        <w:rPr>
          <w:rFonts w:ascii="Arial" w:eastAsia="SimHei" w:hAnsi="Arial"/>
          <w:b w:val="0"/>
          <w:caps/>
          <w:color w:val="auto"/>
          <w:kern w:val="32"/>
          <w:sz w:val="21"/>
        </w:rPr>
        <w:lastRenderedPageBreak/>
        <w:t>附件四</w:t>
      </w:r>
      <w:r w:rsidRPr="00F453AC">
        <w:rPr>
          <w:rFonts w:ascii="Arial" w:eastAsia="SimHei" w:hAnsi="Arial" w:cs="Arial"/>
          <w:b w:val="0"/>
          <w:bCs/>
          <w:caps/>
          <w:color w:val="auto"/>
          <w:kern w:val="32"/>
          <w:sz w:val="21"/>
          <w:szCs w:val="32"/>
        </w:rPr>
        <w:br/>
      </w:r>
      <w:r w:rsidRPr="00F453AC">
        <w:rPr>
          <w:rFonts w:ascii="Arial" w:eastAsia="SimHei" w:hAnsi="Arial"/>
          <w:b w:val="0"/>
          <w:caps/>
          <w:color w:val="auto"/>
          <w:kern w:val="32"/>
          <w:sz w:val="21"/>
        </w:rPr>
        <w:t>WIPO</w:t>
      </w:r>
      <w:proofErr w:type="gramStart"/>
      <w:r w:rsidRPr="00F453AC">
        <w:rPr>
          <w:rFonts w:ascii="Arial" w:eastAsia="SimHei" w:hAnsi="Arial"/>
          <w:b w:val="0"/>
          <w:caps/>
          <w:color w:val="auto"/>
          <w:kern w:val="32"/>
          <w:sz w:val="21"/>
        </w:rPr>
        <w:t>惠给金</w:t>
      </w:r>
      <w:proofErr w:type="gramEnd"/>
      <w:r w:rsidRPr="00F453AC">
        <w:rPr>
          <w:rFonts w:ascii="Arial" w:eastAsia="SimHei" w:hAnsi="Arial"/>
          <w:b w:val="0"/>
          <w:caps/>
          <w:color w:val="auto"/>
          <w:kern w:val="32"/>
          <w:sz w:val="21"/>
        </w:rPr>
        <w:t>支付</w:t>
      </w:r>
    </w:p>
    <w:p w:rsidR="00FB3BEB" w:rsidRPr="00FB3BEB" w:rsidRDefault="00FB3BEB" w:rsidP="00FB3BEB"/>
    <w:p w:rsidR="007D62CB" w:rsidRDefault="00C14A2F" w:rsidP="00DA4636">
      <w:pPr>
        <w:pStyle w:val="Style3"/>
        <w:spacing w:afterLines="50" w:line="340" w:lineRule="atLeast"/>
        <w:rPr>
          <w:rFonts w:ascii="Arial" w:hAnsi="Arial"/>
          <w:sz w:val="21"/>
          <w:szCs w:val="22"/>
        </w:rPr>
      </w:pPr>
      <w:r w:rsidRPr="003F5882">
        <w:rPr>
          <w:rFonts w:ascii="Arial" w:hAnsi="Arial"/>
          <w:sz w:val="21"/>
        </w:rPr>
        <w:t>财务条例5.10规定，应在本</w:t>
      </w:r>
      <w:r w:rsidRPr="003374D7">
        <w:rPr>
          <w:rFonts w:ascii="Arial" w:hAnsi="Arial" w:cs="Times New Roman"/>
          <w:sz w:val="21"/>
        </w:rPr>
        <w:t>组织</w:t>
      </w:r>
      <w:r w:rsidRPr="003F5882">
        <w:rPr>
          <w:rFonts w:ascii="Arial" w:hAnsi="Arial"/>
          <w:sz w:val="21"/>
        </w:rPr>
        <w:t>财务报表中加入所涉日历年</w:t>
      </w:r>
      <w:proofErr w:type="gramStart"/>
      <w:r w:rsidRPr="003F5882">
        <w:rPr>
          <w:rFonts w:ascii="Arial" w:hAnsi="Arial"/>
          <w:sz w:val="21"/>
        </w:rPr>
        <w:t>中惠给金</w:t>
      </w:r>
      <w:proofErr w:type="gramEnd"/>
      <w:r w:rsidRPr="003F5882">
        <w:rPr>
          <w:rFonts w:ascii="Arial" w:hAnsi="Arial"/>
          <w:sz w:val="21"/>
        </w:rPr>
        <w:t>的简要说明。</w:t>
      </w:r>
    </w:p>
    <w:p w:rsidR="007D62CB" w:rsidRDefault="00C14A2F" w:rsidP="00DA4636">
      <w:pPr>
        <w:pStyle w:val="Style3"/>
        <w:spacing w:afterLines="50" w:line="340" w:lineRule="atLeast"/>
        <w:rPr>
          <w:rFonts w:ascii="Arial" w:hAnsi="Arial"/>
          <w:sz w:val="21"/>
          <w:szCs w:val="22"/>
        </w:rPr>
      </w:pPr>
      <w:r w:rsidRPr="003F5882">
        <w:rPr>
          <w:rFonts w:ascii="Arial" w:hAnsi="Arial"/>
          <w:sz w:val="21"/>
        </w:rPr>
        <w:t>在2014年12月31日截止的年度期间，本组织确认了</w:t>
      </w:r>
      <w:proofErr w:type="gramStart"/>
      <w:r w:rsidRPr="003F5882">
        <w:rPr>
          <w:rFonts w:ascii="Arial" w:hAnsi="Arial"/>
          <w:sz w:val="21"/>
        </w:rPr>
        <w:t>一笔惠给金</w:t>
      </w:r>
      <w:proofErr w:type="gramEnd"/>
      <w:r w:rsidRPr="003F5882">
        <w:rPr>
          <w:rFonts w:ascii="Arial" w:hAnsi="Arial"/>
          <w:sz w:val="21"/>
        </w:rPr>
        <w:t>支出。</w:t>
      </w:r>
      <w:proofErr w:type="gramStart"/>
      <w:r w:rsidRPr="003F5882">
        <w:rPr>
          <w:rFonts w:ascii="Arial" w:hAnsi="Arial"/>
          <w:sz w:val="21"/>
        </w:rPr>
        <w:t>该项惠给金</w:t>
      </w:r>
      <w:proofErr w:type="gramEnd"/>
      <w:r w:rsidRPr="003F5882">
        <w:rPr>
          <w:rFonts w:ascii="Arial" w:hAnsi="Arial"/>
          <w:sz w:val="21"/>
        </w:rPr>
        <w:t>数额为12,500瑞郎，在2015年初支付给了本组织的一位前任副总</w:t>
      </w:r>
      <w:r w:rsidRPr="003374D7">
        <w:rPr>
          <w:rFonts w:ascii="Arial" w:hAnsi="Arial" w:cs="Times New Roman"/>
          <w:sz w:val="21"/>
        </w:rPr>
        <w:t>干事</w:t>
      </w:r>
      <w:r w:rsidRPr="003F5882">
        <w:rPr>
          <w:rFonts w:ascii="Arial" w:hAnsi="Arial"/>
          <w:sz w:val="21"/>
        </w:rPr>
        <w:t>作为其任务期满后产生的两个月租金费用的补偿。</w:t>
      </w:r>
    </w:p>
    <w:p w:rsidR="007D62CB" w:rsidRDefault="007D62CB" w:rsidP="00C14A2F">
      <w:pPr>
        <w:pStyle w:val="Styletexte"/>
        <w:spacing w:after="0"/>
        <w:rPr>
          <w:rFonts w:ascii="Arial" w:hAnsi="Arial"/>
          <w:sz w:val="21"/>
          <w:szCs w:val="22"/>
        </w:rPr>
      </w:pPr>
    </w:p>
    <w:p w:rsidR="00C14A2F" w:rsidRPr="00DA4636" w:rsidRDefault="00DA4636" w:rsidP="00DA4636">
      <w:pPr>
        <w:autoSpaceDE w:val="0"/>
        <w:autoSpaceDN w:val="0"/>
        <w:adjustRightInd w:val="0"/>
        <w:spacing w:afterLines="50" w:after="120" w:line="340" w:lineRule="atLeast"/>
        <w:ind w:left="5534"/>
        <w:jc w:val="both"/>
        <w:rPr>
          <w:rFonts w:ascii="KaiTi" w:eastAsia="KaiTi" w:hAnsi="KaiTi" w:cs="Times New Roman"/>
          <w:sz w:val="21"/>
        </w:rPr>
      </w:pPr>
      <w:r>
        <w:rPr>
          <w:rFonts w:ascii="KaiTi" w:eastAsia="KaiTi" w:hAnsi="KaiTi" w:cs="Arial" w:hint="eastAsia"/>
          <w:sz w:val="21"/>
          <w:szCs w:val="22"/>
        </w:rPr>
        <w:t>[</w:t>
      </w:r>
      <w:r w:rsidR="00C14A2F" w:rsidRPr="00DA4636">
        <w:rPr>
          <w:rFonts w:ascii="KaiTi" w:eastAsia="KaiTi" w:hAnsi="KaiTi"/>
          <w:sz w:val="21"/>
        </w:rPr>
        <w:t>文件完</w:t>
      </w:r>
      <w:r w:rsidR="00C14A2F" w:rsidRPr="00DA4636">
        <w:rPr>
          <w:rFonts w:ascii="KaiTi" w:eastAsia="KaiTi" w:hAnsi="KaiTi" w:cs="Arial"/>
          <w:sz w:val="21"/>
          <w:szCs w:val="22"/>
        </w:rPr>
        <w:sym w:font="Symbol" w:char="F05D"/>
      </w:r>
    </w:p>
    <w:sectPr w:rsidR="00C14A2F" w:rsidRPr="00DA4636" w:rsidSect="00D96679">
      <w:pgSz w:w="11907" w:h="16840" w:code="9"/>
      <w:pgMar w:top="851" w:right="1247" w:bottom="1531" w:left="1247" w:header="720" w:footer="720" w:gutter="0"/>
      <w:cols w:space="720"/>
      <w:docGrid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82" w:rsidRPr="003F5882" w:rsidRDefault="003F5882">
      <w:r w:rsidRPr="003F5882">
        <w:separator/>
      </w:r>
    </w:p>
  </w:endnote>
  <w:endnote w:type="continuationSeparator" w:id="0">
    <w:p w:rsidR="003F5882" w:rsidRPr="003F5882" w:rsidRDefault="003F5882">
      <w:r w:rsidRPr="003F5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3"/>
      <w:jc w:val="center"/>
      <w:rPr>
        <w:rFonts w:ascii="Arial" w:hAnsi="Arial" w:cs="Arial"/>
      </w:rPr>
    </w:pPr>
  </w:p>
  <w:p w:rsidR="003F5882" w:rsidRPr="003F5882" w:rsidRDefault="003F588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3"/>
      <w:jc w:val="center"/>
      <w:rPr>
        <w:rFonts w:ascii="Arial" w:hAnsi="Arial" w:cs="Arial"/>
      </w:rPr>
    </w:pPr>
  </w:p>
  <w:p w:rsidR="003F5882" w:rsidRPr="003F5882" w:rsidRDefault="003F5882" w:rsidP="003312C4">
    <w:pPr>
      <w:pStyle w:val="a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pPr>
      <w:pStyle w:val="a3"/>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82" w:rsidRPr="003F5882" w:rsidRDefault="003F5882">
      <w:r w:rsidRPr="003F5882">
        <w:separator/>
      </w:r>
    </w:p>
  </w:footnote>
  <w:footnote w:type="continuationSeparator" w:id="0">
    <w:p w:rsidR="003F5882" w:rsidRPr="003F5882" w:rsidRDefault="003F5882">
      <w:r w:rsidRPr="003F588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jc w:val="right"/>
    </w:pPr>
    <w:r w:rsidRPr="003F5882">
      <w:t>WO/PBC/24/8</w:t>
    </w:r>
  </w:p>
  <w:p w:rsidR="003F5882" w:rsidRPr="003F5882" w:rsidRDefault="003F5882" w:rsidP="003312C4">
    <w:pPr>
      <w:jc w:val="right"/>
    </w:pPr>
    <w:r w:rsidRPr="003F5882">
      <w:t xml:space="preserve">page </w:t>
    </w:r>
    <w:r w:rsidRPr="003F5882">
      <w:fldChar w:fldCharType="begin"/>
    </w:r>
    <w:r w:rsidRPr="003F5882">
      <w:instrText xml:space="preserve"> PAGE  \* MERGEFORMAT </w:instrText>
    </w:r>
    <w:r w:rsidRPr="003F5882">
      <w:fldChar w:fldCharType="separate"/>
    </w:r>
    <w:r w:rsidR="00B31204">
      <w:rPr>
        <w:noProof/>
      </w:rPr>
      <w:t>70</w:t>
    </w:r>
    <w:r w:rsidRPr="003F5882">
      <w:rPr>
        <w:noProof/>
      </w:rPr>
      <w:fldChar w:fldCharType="end"/>
    </w:r>
  </w:p>
  <w:p w:rsidR="003F5882" w:rsidRPr="003F5882" w:rsidRDefault="003F5882" w:rsidP="003312C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5"/>
      <w:rPr>
        <w:b/>
        <w:sz w:val="18"/>
        <w:szCs w:val="18"/>
      </w:rPr>
    </w:pPr>
    <w:r w:rsidRPr="003F5882">
      <w:rPr>
        <w:b/>
        <w:sz w:val="18"/>
      </w:rPr>
      <w:t>2010年财务报表</w:t>
    </w:r>
  </w:p>
  <w:p w:rsidR="003F5882" w:rsidRPr="003F5882" w:rsidRDefault="003F5882" w:rsidP="003312C4">
    <w:pPr>
      <w:pStyle w:val="a5"/>
      <w:rPr>
        <w:rFonts w:ascii="Arial" w:hAnsi="Arial" w:cs="Arial"/>
        <w:b/>
        <w:sz w:val="18"/>
        <w:szCs w:val="18"/>
      </w:rPr>
    </w:pPr>
  </w:p>
  <w:p w:rsidR="003F5882" w:rsidRPr="003F5882" w:rsidRDefault="003F5882" w:rsidP="003312C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3312C4">
    <w:pPr>
      <w:pStyle w:val="a5"/>
      <w:jc w:val="right"/>
      <w:rPr>
        <w:rStyle w:val="a4"/>
        <w:rFonts w:ascii="Arial" w:eastAsia="SimHei" w:hAnsi="Arial" w:cs="Times New Roman"/>
        <w:sz w:val="18"/>
        <w:szCs w:val="18"/>
      </w:rPr>
    </w:pPr>
    <w:r w:rsidRPr="00F453AC">
      <w:rPr>
        <w:rStyle w:val="a4"/>
        <w:rFonts w:ascii="Arial" w:eastAsia="SimHei" w:hAnsi="Arial" w:cs="Times New Roman"/>
        <w:sz w:val="18"/>
      </w:rPr>
      <w:t>2014年年度财务报告和财务报表</w:t>
    </w:r>
  </w:p>
  <w:p w:rsidR="003F5882" w:rsidRDefault="003F5882" w:rsidP="00CA4DB8">
    <w:pPr>
      <w:pStyle w:val="a5"/>
      <w:jc w:val="right"/>
      <w:rPr>
        <w:rFonts w:ascii="Arial" w:eastAsia="SimHei" w:hAnsi="Arial" w:cs="Times New Roman"/>
        <w:noProof/>
        <w:sz w:val="18"/>
        <w:szCs w:val="18"/>
      </w:rPr>
    </w:pPr>
    <w:r w:rsidRPr="00F453AC">
      <w:rPr>
        <w:rStyle w:val="a4"/>
        <w:rFonts w:ascii="Arial" w:eastAsia="SimHei" w:hAnsi="Arial" w:cs="Times New Roman"/>
        <w:sz w:val="18"/>
      </w:rPr>
      <w:t>第</w:t>
    </w:r>
    <w:r w:rsidRPr="00F453AC">
      <w:rPr>
        <w:rFonts w:ascii="Arial" w:eastAsia="SimHei" w:hAnsi="Arial" w:cs="Times New Roman"/>
        <w:sz w:val="18"/>
        <w:szCs w:val="18"/>
      </w:rPr>
      <w:fldChar w:fldCharType="begin"/>
    </w:r>
    <w:r w:rsidRPr="00F453AC">
      <w:rPr>
        <w:rFonts w:ascii="Arial" w:eastAsia="SimHei" w:hAnsi="Arial" w:cs="Times New Roman"/>
        <w:sz w:val="18"/>
        <w:szCs w:val="18"/>
      </w:rPr>
      <w:instrText xml:space="preserve"> PAGE   \* MERGEFORMAT </w:instrText>
    </w:r>
    <w:r w:rsidRPr="00F453AC">
      <w:rPr>
        <w:rFonts w:ascii="Arial" w:eastAsia="SimHei" w:hAnsi="Arial" w:cs="Times New Roman"/>
        <w:sz w:val="18"/>
        <w:szCs w:val="18"/>
      </w:rPr>
      <w:fldChar w:fldCharType="separate"/>
    </w:r>
    <w:r w:rsidR="00D96679">
      <w:rPr>
        <w:rFonts w:ascii="Arial" w:eastAsia="SimHei" w:hAnsi="Arial" w:cs="Times New Roman"/>
        <w:noProof/>
        <w:sz w:val="18"/>
        <w:szCs w:val="18"/>
      </w:rPr>
      <w:t>21</w:t>
    </w:r>
    <w:r w:rsidRPr="00F453AC">
      <w:rPr>
        <w:rFonts w:ascii="Arial" w:eastAsia="SimHei" w:hAnsi="Arial" w:cs="Times New Roman"/>
        <w:noProof/>
        <w:sz w:val="18"/>
        <w:szCs w:val="18"/>
      </w:rPr>
      <w:fldChar w:fldCharType="end"/>
    </w:r>
    <w:r w:rsidRPr="00F453AC">
      <w:rPr>
        <w:rFonts w:ascii="Arial" w:eastAsia="SimHei" w:hAnsi="Arial" w:cs="Times New Roman"/>
        <w:noProof/>
        <w:sz w:val="18"/>
        <w:szCs w:val="18"/>
      </w:rPr>
      <w:t>页</w:t>
    </w:r>
  </w:p>
  <w:p w:rsidR="003F5882" w:rsidRPr="003F5882" w:rsidRDefault="003F5882" w:rsidP="00CA4DB8">
    <w:pPr>
      <w:pStyle w:val="a5"/>
      <w:jc w:val="right"/>
      <w:rPr>
        <w:rFonts w:ascii="Arial" w:hAnsi="Arial" w:cs="Arial"/>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737FA8">
    <w:pPr>
      <w:pStyle w:val="a5"/>
      <w:rPr>
        <w:rStyle w:val="a4"/>
        <w:rFonts w:ascii="Arial" w:eastAsia="SimHei" w:hAnsi="Arial" w:cs="Times New Roman"/>
        <w:sz w:val="18"/>
      </w:rPr>
    </w:pPr>
    <w:r w:rsidRPr="00F453AC">
      <w:rPr>
        <w:rStyle w:val="a4"/>
        <w:rFonts w:ascii="Arial" w:eastAsia="SimHei" w:hAnsi="Arial" w:cs="Times New Roman"/>
        <w:sz w:val="18"/>
      </w:rPr>
      <w:t>2014年年度财务报告和财务</w:t>
    </w:r>
    <w:r>
      <w:rPr>
        <w:rStyle w:val="a4"/>
        <w:rFonts w:ascii="Arial" w:eastAsia="SimHei" w:hAnsi="Arial" w:cs="Times New Roman" w:hint="eastAsia"/>
        <w:sz w:val="18"/>
      </w:rPr>
      <w:t>报</w:t>
    </w:r>
    <w:r w:rsidRPr="00F453AC">
      <w:rPr>
        <w:rStyle w:val="a4"/>
        <w:rFonts w:ascii="Arial" w:eastAsia="SimHei" w:hAnsi="Arial" w:cs="Times New Roman"/>
        <w:sz w:val="18"/>
      </w:rPr>
      <w:t>表</w:t>
    </w:r>
  </w:p>
  <w:p w:rsidR="003F5882" w:rsidRPr="00F453AC" w:rsidRDefault="003F5882" w:rsidP="00737FA8">
    <w:pPr>
      <w:pStyle w:val="a5"/>
      <w:rPr>
        <w:rStyle w:val="a4"/>
        <w:rFonts w:ascii="Arial" w:eastAsia="SimHei" w:hAnsi="Arial" w:cs="Times New Roman"/>
      </w:rPr>
    </w:pPr>
    <w:r w:rsidRPr="00F453AC">
      <w:rPr>
        <w:rStyle w:val="a4"/>
        <w:rFonts w:ascii="Arial" w:eastAsia="SimHei" w:hAnsi="Arial" w:cs="Times New Roman" w:hint="eastAsia"/>
        <w:sz w:val="18"/>
      </w:rPr>
      <w:t>第</w:t>
    </w:r>
    <w:r w:rsidRPr="00F453AC">
      <w:rPr>
        <w:rStyle w:val="a4"/>
        <w:rFonts w:ascii="Arial" w:eastAsia="SimHei" w:hAnsi="Arial" w:cs="Times New Roman"/>
        <w:sz w:val="18"/>
      </w:rPr>
      <w:fldChar w:fldCharType="begin"/>
    </w:r>
    <w:r w:rsidRPr="00F453AC">
      <w:rPr>
        <w:rStyle w:val="a4"/>
        <w:rFonts w:ascii="Arial" w:eastAsia="SimHei" w:hAnsi="Arial" w:cs="Times New Roman"/>
        <w:sz w:val="18"/>
      </w:rPr>
      <w:instrText xml:space="preserve"> PAGE   \* MERGEFORMAT </w:instrText>
    </w:r>
    <w:r w:rsidRPr="00F453AC">
      <w:rPr>
        <w:rStyle w:val="a4"/>
        <w:rFonts w:ascii="Arial" w:eastAsia="SimHei" w:hAnsi="Arial" w:cs="Times New Roman"/>
        <w:sz w:val="18"/>
      </w:rPr>
      <w:fldChar w:fldCharType="separate"/>
    </w:r>
    <w:r w:rsidR="00D96679">
      <w:rPr>
        <w:rStyle w:val="a4"/>
        <w:rFonts w:ascii="Arial" w:eastAsia="SimHei" w:hAnsi="Arial" w:cs="Times New Roman"/>
        <w:noProof/>
        <w:sz w:val="18"/>
      </w:rPr>
      <w:t>2</w:t>
    </w:r>
    <w:r w:rsidRPr="00F453AC">
      <w:rPr>
        <w:rStyle w:val="a4"/>
        <w:rFonts w:ascii="Arial" w:eastAsia="SimHei" w:hAnsi="Arial" w:cs="Times New Roman"/>
        <w:sz w:val="18"/>
      </w:rPr>
      <w:fldChar w:fldCharType="end"/>
    </w:r>
    <w:r w:rsidRPr="00F453AC">
      <w:rPr>
        <w:rStyle w:val="a4"/>
        <w:rFonts w:ascii="Arial" w:eastAsia="SimHei" w:hAnsi="Arial" w:cs="Times New Roman" w:hint="eastAsia"/>
        <w:sz w:val="18"/>
      </w:rPr>
      <w:t>页</w:t>
    </w:r>
  </w:p>
  <w:p w:rsidR="003F5882" w:rsidRPr="003F5882" w:rsidRDefault="003F5882" w:rsidP="000E71F4">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E04F07">
    <w:pPr>
      <w:pStyle w:val="a5"/>
      <w:jc w:val="right"/>
      <w:rPr>
        <w:rStyle w:val="a4"/>
        <w:rFonts w:ascii="Arial" w:eastAsia="SimHei" w:hAnsi="Arial" w:cs="Times New Roman"/>
        <w:sz w:val="18"/>
      </w:rPr>
    </w:pPr>
    <w:r w:rsidRPr="00F453AC">
      <w:rPr>
        <w:rStyle w:val="a4"/>
        <w:rFonts w:ascii="Arial" w:eastAsia="SimHei" w:hAnsi="Arial" w:cs="Times New Roman"/>
        <w:sz w:val="18"/>
      </w:rPr>
      <w:t>2014年年度财务报告和财务</w:t>
    </w:r>
    <w:r>
      <w:rPr>
        <w:rStyle w:val="a4"/>
        <w:rFonts w:ascii="Arial" w:eastAsia="SimHei" w:hAnsi="Arial" w:cs="Times New Roman" w:hint="eastAsia"/>
        <w:sz w:val="18"/>
      </w:rPr>
      <w:t>报</w:t>
    </w:r>
    <w:r w:rsidRPr="00F453AC">
      <w:rPr>
        <w:rStyle w:val="a4"/>
        <w:rFonts w:ascii="Arial" w:eastAsia="SimHei" w:hAnsi="Arial" w:cs="Times New Roman"/>
        <w:sz w:val="18"/>
      </w:rPr>
      <w:t>表</w:t>
    </w:r>
  </w:p>
  <w:p w:rsidR="003F5882" w:rsidRDefault="003F5882" w:rsidP="00CA4DB8">
    <w:pPr>
      <w:pStyle w:val="a5"/>
      <w:jc w:val="right"/>
      <w:rPr>
        <w:rStyle w:val="a4"/>
        <w:rFonts w:ascii="Arial" w:eastAsia="SimHei" w:hAnsi="Arial" w:cs="Times New Roman"/>
        <w:sz w:val="18"/>
      </w:rPr>
    </w:pPr>
    <w:r w:rsidRPr="00F453AC">
      <w:rPr>
        <w:rStyle w:val="a4"/>
        <w:rFonts w:ascii="Arial" w:eastAsia="SimHei" w:hAnsi="Arial" w:cs="Times New Roman" w:hint="eastAsia"/>
        <w:sz w:val="18"/>
      </w:rPr>
      <w:t>第</w:t>
    </w:r>
    <w:r w:rsidRPr="00F453AC">
      <w:rPr>
        <w:rStyle w:val="a4"/>
        <w:rFonts w:ascii="Arial" w:eastAsia="SimHei" w:hAnsi="Arial" w:cs="Times New Roman"/>
        <w:sz w:val="18"/>
      </w:rPr>
      <w:fldChar w:fldCharType="begin"/>
    </w:r>
    <w:r w:rsidRPr="00F453AC">
      <w:rPr>
        <w:rStyle w:val="a4"/>
        <w:rFonts w:ascii="Arial" w:eastAsia="SimHei" w:hAnsi="Arial" w:cs="Times New Roman"/>
        <w:sz w:val="18"/>
      </w:rPr>
      <w:instrText xml:space="preserve"> PAGE   \* MERGEFORMAT </w:instrText>
    </w:r>
    <w:r w:rsidRPr="00F453AC">
      <w:rPr>
        <w:rStyle w:val="a4"/>
        <w:rFonts w:ascii="Arial" w:eastAsia="SimHei" w:hAnsi="Arial" w:cs="Times New Roman"/>
        <w:sz w:val="18"/>
      </w:rPr>
      <w:fldChar w:fldCharType="separate"/>
    </w:r>
    <w:r w:rsidR="00D96679">
      <w:rPr>
        <w:rStyle w:val="a4"/>
        <w:rFonts w:ascii="Arial" w:eastAsia="SimHei" w:hAnsi="Arial" w:cs="Times New Roman"/>
        <w:noProof/>
        <w:sz w:val="18"/>
      </w:rPr>
      <w:t>23</w:t>
    </w:r>
    <w:r w:rsidRPr="00F453AC">
      <w:rPr>
        <w:rStyle w:val="a4"/>
        <w:rFonts w:ascii="Arial" w:eastAsia="SimHei" w:hAnsi="Arial" w:cs="Times New Roman"/>
        <w:sz w:val="18"/>
      </w:rPr>
      <w:fldChar w:fldCharType="end"/>
    </w:r>
    <w:r w:rsidRPr="00F453AC">
      <w:rPr>
        <w:rStyle w:val="a4"/>
        <w:rFonts w:ascii="Arial" w:eastAsia="SimHei" w:hAnsi="Arial" w:cs="Times New Roman" w:hint="eastAsia"/>
        <w:sz w:val="18"/>
      </w:rPr>
      <w:t>页</w:t>
    </w:r>
  </w:p>
  <w:p w:rsidR="003F5882" w:rsidRPr="003F5882" w:rsidRDefault="003F5882" w:rsidP="00CA4DB8">
    <w:pPr>
      <w:pStyle w:val="a5"/>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0E71F4">
    <w:pPr>
      <w:pStyle w:val="a5"/>
      <w:jc w:val="right"/>
      <w:rPr>
        <w:rFonts w:ascii="Arial" w:eastAsia="SimHei" w:hAnsi="Arial" w:cs="Times New Roman"/>
        <w:sz w:val="18"/>
        <w:szCs w:val="18"/>
      </w:rPr>
    </w:pPr>
    <w:r w:rsidRPr="00F453AC">
      <w:rPr>
        <w:rFonts w:ascii="Arial" w:eastAsia="SimHei" w:hAnsi="Arial" w:cs="Times New Roman"/>
        <w:sz w:val="18"/>
      </w:rPr>
      <w:t>2014年年度财务报告和财务</w:t>
    </w:r>
    <w:r>
      <w:rPr>
        <w:rFonts w:ascii="Arial" w:eastAsia="SimHei" w:hAnsi="Arial" w:cs="Times New Roman" w:hint="eastAsia"/>
        <w:sz w:val="18"/>
      </w:rPr>
      <w:t>报</w:t>
    </w:r>
    <w:r w:rsidRPr="00F453AC">
      <w:rPr>
        <w:rFonts w:ascii="Arial" w:eastAsia="SimHei" w:hAnsi="Arial" w:cs="Times New Roman"/>
        <w:sz w:val="18"/>
      </w:rPr>
      <w:t>表</w:t>
    </w:r>
  </w:p>
  <w:p w:rsidR="003F5882" w:rsidRDefault="003F5882" w:rsidP="00CA4DB8">
    <w:pPr>
      <w:pStyle w:val="a5"/>
      <w:jc w:val="right"/>
      <w:rPr>
        <w:rStyle w:val="a4"/>
        <w:rFonts w:ascii="Arial" w:eastAsia="SimHei" w:hAnsi="Arial" w:cs="Times New Roman"/>
        <w:sz w:val="18"/>
        <w:szCs w:val="18"/>
      </w:rPr>
    </w:pPr>
    <w:r w:rsidRPr="00F453AC">
      <w:rPr>
        <w:rStyle w:val="a4"/>
        <w:rFonts w:ascii="Arial" w:eastAsia="SimHei" w:hAnsi="Arial" w:cs="Times New Roman" w:hint="eastAsia"/>
        <w:sz w:val="18"/>
      </w:rPr>
      <w:t>第</w:t>
    </w:r>
    <w:r w:rsidRPr="00F453AC">
      <w:rPr>
        <w:rStyle w:val="a4"/>
        <w:rFonts w:ascii="Arial" w:eastAsia="SimHei" w:hAnsi="Arial" w:cs="Times New Roman"/>
        <w:sz w:val="18"/>
        <w:szCs w:val="18"/>
      </w:rPr>
      <w:fldChar w:fldCharType="begin"/>
    </w:r>
    <w:r w:rsidRPr="00F453AC">
      <w:rPr>
        <w:rStyle w:val="a4"/>
        <w:rFonts w:ascii="Arial" w:eastAsia="SimHei" w:hAnsi="Arial" w:cs="Times New Roman"/>
        <w:sz w:val="18"/>
        <w:szCs w:val="18"/>
      </w:rPr>
      <w:instrText xml:space="preserve"> PAGE </w:instrText>
    </w:r>
    <w:r w:rsidRPr="00F453AC">
      <w:rPr>
        <w:rStyle w:val="a4"/>
        <w:rFonts w:ascii="Arial" w:eastAsia="SimHei" w:hAnsi="Arial" w:cs="Times New Roman"/>
        <w:sz w:val="18"/>
        <w:szCs w:val="18"/>
      </w:rPr>
      <w:fldChar w:fldCharType="separate"/>
    </w:r>
    <w:r w:rsidR="00D96679">
      <w:rPr>
        <w:rStyle w:val="a4"/>
        <w:rFonts w:ascii="Arial" w:eastAsia="SimHei" w:hAnsi="Arial" w:cs="Times New Roman"/>
        <w:noProof/>
        <w:sz w:val="18"/>
        <w:szCs w:val="18"/>
      </w:rPr>
      <w:t>41</w:t>
    </w:r>
    <w:r w:rsidRPr="00F453AC">
      <w:rPr>
        <w:rStyle w:val="a4"/>
        <w:rFonts w:ascii="Arial" w:eastAsia="SimHei" w:hAnsi="Arial" w:cs="Times New Roman"/>
        <w:sz w:val="18"/>
        <w:szCs w:val="18"/>
      </w:rPr>
      <w:fldChar w:fldCharType="end"/>
    </w:r>
    <w:r w:rsidRPr="00F453AC">
      <w:rPr>
        <w:rStyle w:val="a4"/>
        <w:rFonts w:ascii="Arial" w:eastAsia="SimHei" w:hAnsi="Arial" w:cs="Times New Roman" w:hint="eastAsia"/>
        <w:sz w:val="18"/>
        <w:szCs w:val="18"/>
      </w:rPr>
      <w:t>页</w:t>
    </w:r>
  </w:p>
  <w:p w:rsidR="003F5882" w:rsidRPr="003F5882" w:rsidRDefault="003F5882" w:rsidP="00CA4DB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BA6097C"/>
    <w:lvl w:ilvl="0">
      <w:start w:val="1"/>
      <w:numFmt w:val="decimal"/>
      <w:lvlRestart w:val="0"/>
      <w:pStyle w:val="ONUME"/>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6">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8">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73A46"/>
    <w:multiLevelType w:val="hybridMultilevel"/>
    <w:tmpl w:val="94A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1">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num w:numId="1">
    <w:abstractNumId w:val="0"/>
  </w:num>
  <w:num w:numId="2">
    <w:abstractNumId w:val="1"/>
  </w:num>
  <w:num w:numId="3">
    <w:abstractNumId w:val="10"/>
  </w:num>
  <w:num w:numId="4">
    <w:abstractNumId w:val="7"/>
  </w:num>
  <w:num w:numId="5">
    <w:abstractNumId w:val="12"/>
  </w:num>
  <w:num w:numId="6">
    <w:abstractNumId w:val="2"/>
  </w:num>
  <w:num w:numId="7">
    <w:abstractNumId w:val="5"/>
  </w:num>
  <w:num w:numId="8">
    <w:abstractNumId w:val="8"/>
  </w:num>
  <w:num w:numId="9">
    <w:abstractNumId w:val="9"/>
  </w:num>
  <w:num w:numId="10">
    <w:abstractNumId w:val="4"/>
  </w:num>
  <w:num w:numId="11">
    <w:abstractNumId w:val="6"/>
  </w:num>
  <w:num w:numId="12">
    <w:abstractNumId w:val="11"/>
  </w:num>
  <w:num w:numId="13">
    <w:abstractNumId w:val="3"/>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evenAndOddHeaders/>
  <w:drawingGridHorizontalSpacing w:val="120"/>
  <w:drawingGridVerticalSpacing w:val="200"/>
  <w:displayHorizontalDrawingGridEvery w:val="0"/>
  <w:displayVerticalDrawingGridEvery w:val="2"/>
  <w:characterSpacingControl w:val="compressPunctuation"/>
  <w:hdrShapeDefaults>
    <o:shapedefaults v:ext="edit" spidmax="2560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AF"/>
    <w:rsid w:val="00002E6A"/>
    <w:rsid w:val="00015333"/>
    <w:rsid w:val="00016113"/>
    <w:rsid w:val="00040C60"/>
    <w:rsid w:val="0004367C"/>
    <w:rsid w:val="00043A60"/>
    <w:rsid w:val="00051289"/>
    <w:rsid w:val="00060D99"/>
    <w:rsid w:val="00061502"/>
    <w:rsid w:val="000668D1"/>
    <w:rsid w:val="00074192"/>
    <w:rsid w:val="000903EB"/>
    <w:rsid w:val="00090C60"/>
    <w:rsid w:val="000B17C9"/>
    <w:rsid w:val="000B25F1"/>
    <w:rsid w:val="000B4427"/>
    <w:rsid w:val="000B5928"/>
    <w:rsid w:val="000C1F8F"/>
    <w:rsid w:val="000C712F"/>
    <w:rsid w:val="000E71F4"/>
    <w:rsid w:val="000F19EB"/>
    <w:rsid w:val="0010307E"/>
    <w:rsid w:val="00147D0B"/>
    <w:rsid w:val="00154D37"/>
    <w:rsid w:val="001551C5"/>
    <w:rsid w:val="001562FA"/>
    <w:rsid w:val="00156D1C"/>
    <w:rsid w:val="001626A9"/>
    <w:rsid w:val="00167580"/>
    <w:rsid w:val="00172565"/>
    <w:rsid w:val="001756F8"/>
    <w:rsid w:val="00180F28"/>
    <w:rsid w:val="00181706"/>
    <w:rsid w:val="00182DD3"/>
    <w:rsid w:val="001852D6"/>
    <w:rsid w:val="00197394"/>
    <w:rsid w:val="001A0441"/>
    <w:rsid w:val="001C002D"/>
    <w:rsid w:val="001D182D"/>
    <w:rsid w:val="001D4FAE"/>
    <w:rsid w:val="001E0C61"/>
    <w:rsid w:val="001E3836"/>
    <w:rsid w:val="001E38DA"/>
    <w:rsid w:val="001F344E"/>
    <w:rsid w:val="001F5553"/>
    <w:rsid w:val="001F6BD3"/>
    <w:rsid w:val="001F702E"/>
    <w:rsid w:val="002157BD"/>
    <w:rsid w:val="00224322"/>
    <w:rsid w:val="00227EC4"/>
    <w:rsid w:val="002311C9"/>
    <w:rsid w:val="002319B5"/>
    <w:rsid w:val="00232119"/>
    <w:rsid w:val="00235C78"/>
    <w:rsid w:val="002569A2"/>
    <w:rsid w:val="00256E0A"/>
    <w:rsid w:val="00262868"/>
    <w:rsid w:val="00263AAA"/>
    <w:rsid w:val="00267468"/>
    <w:rsid w:val="00267C92"/>
    <w:rsid w:val="00291B82"/>
    <w:rsid w:val="00293B04"/>
    <w:rsid w:val="00293E42"/>
    <w:rsid w:val="002A46D2"/>
    <w:rsid w:val="002B5151"/>
    <w:rsid w:val="002B5228"/>
    <w:rsid w:val="002B5921"/>
    <w:rsid w:val="002C0646"/>
    <w:rsid w:val="002C1A71"/>
    <w:rsid w:val="002C41FE"/>
    <w:rsid w:val="002C790A"/>
    <w:rsid w:val="002C7CB0"/>
    <w:rsid w:val="002E1CCE"/>
    <w:rsid w:val="002E7744"/>
    <w:rsid w:val="00330F27"/>
    <w:rsid w:val="003310BD"/>
    <w:rsid w:val="003312C4"/>
    <w:rsid w:val="003374D7"/>
    <w:rsid w:val="00337550"/>
    <w:rsid w:val="00343D11"/>
    <w:rsid w:val="0034571D"/>
    <w:rsid w:val="00345CDB"/>
    <w:rsid w:val="0035169C"/>
    <w:rsid w:val="00353659"/>
    <w:rsid w:val="003607F7"/>
    <w:rsid w:val="00362309"/>
    <w:rsid w:val="00364017"/>
    <w:rsid w:val="00375393"/>
    <w:rsid w:val="00380B3D"/>
    <w:rsid w:val="00380F24"/>
    <w:rsid w:val="00382D64"/>
    <w:rsid w:val="00383E7F"/>
    <w:rsid w:val="003867EE"/>
    <w:rsid w:val="003A221D"/>
    <w:rsid w:val="003A3368"/>
    <w:rsid w:val="003A4316"/>
    <w:rsid w:val="003A760D"/>
    <w:rsid w:val="003C407D"/>
    <w:rsid w:val="003D06E3"/>
    <w:rsid w:val="003D34C9"/>
    <w:rsid w:val="003D6232"/>
    <w:rsid w:val="003F5882"/>
    <w:rsid w:val="00414186"/>
    <w:rsid w:val="00416115"/>
    <w:rsid w:val="004628EC"/>
    <w:rsid w:val="00466C8D"/>
    <w:rsid w:val="00467D0E"/>
    <w:rsid w:val="00471850"/>
    <w:rsid w:val="00471F02"/>
    <w:rsid w:val="00477034"/>
    <w:rsid w:val="00477C6B"/>
    <w:rsid w:val="004813DC"/>
    <w:rsid w:val="0049079D"/>
    <w:rsid w:val="00492B34"/>
    <w:rsid w:val="004A3DCB"/>
    <w:rsid w:val="004A6EA6"/>
    <w:rsid w:val="004A754C"/>
    <w:rsid w:val="004C2A4E"/>
    <w:rsid w:val="004D3DB5"/>
    <w:rsid w:val="004D3E79"/>
    <w:rsid w:val="00507F46"/>
    <w:rsid w:val="005124A1"/>
    <w:rsid w:val="00512FC5"/>
    <w:rsid w:val="00513111"/>
    <w:rsid w:val="005273FB"/>
    <w:rsid w:val="00537B0E"/>
    <w:rsid w:val="0055211E"/>
    <w:rsid w:val="00590211"/>
    <w:rsid w:val="005A1605"/>
    <w:rsid w:val="005A3711"/>
    <w:rsid w:val="005A383E"/>
    <w:rsid w:val="005B3B2F"/>
    <w:rsid w:val="005B7C1B"/>
    <w:rsid w:val="005C201C"/>
    <w:rsid w:val="005C4FAF"/>
    <w:rsid w:val="005D2147"/>
    <w:rsid w:val="005D3ED9"/>
    <w:rsid w:val="005D4062"/>
    <w:rsid w:val="005D406D"/>
    <w:rsid w:val="005E0B89"/>
    <w:rsid w:val="005E25B7"/>
    <w:rsid w:val="005F14E0"/>
    <w:rsid w:val="005F55CA"/>
    <w:rsid w:val="005F7738"/>
    <w:rsid w:val="00600D47"/>
    <w:rsid w:val="0060785A"/>
    <w:rsid w:val="0061101B"/>
    <w:rsid w:val="00611D86"/>
    <w:rsid w:val="00614A71"/>
    <w:rsid w:val="006208DD"/>
    <w:rsid w:val="00621366"/>
    <w:rsid w:val="00626523"/>
    <w:rsid w:val="0062686F"/>
    <w:rsid w:val="00637B23"/>
    <w:rsid w:val="00640C72"/>
    <w:rsid w:val="00643AAB"/>
    <w:rsid w:val="00650B87"/>
    <w:rsid w:val="00662C7A"/>
    <w:rsid w:val="00667D28"/>
    <w:rsid w:val="00676755"/>
    <w:rsid w:val="006800C6"/>
    <w:rsid w:val="006804F0"/>
    <w:rsid w:val="00690AF5"/>
    <w:rsid w:val="006936B7"/>
    <w:rsid w:val="00693EB3"/>
    <w:rsid w:val="00694522"/>
    <w:rsid w:val="00695D01"/>
    <w:rsid w:val="006B22C6"/>
    <w:rsid w:val="006B388F"/>
    <w:rsid w:val="006C0099"/>
    <w:rsid w:val="006D0602"/>
    <w:rsid w:val="006E1873"/>
    <w:rsid w:val="006E2576"/>
    <w:rsid w:val="006E6F50"/>
    <w:rsid w:val="006F16A3"/>
    <w:rsid w:val="006F274B"/>
    <w:rsid w:val="006F45CF"/>
    <w:rsid w:val="00704CA6"/>
    <w:rsid w:val="00715D9C"/>
    <w:rsid w:val="00737FA8"/>
    <w:rsid w:val="0074278E"/>
    <w:rsid w:val="007474BF"/>
    <w:rsid w:val="007475C1"/>
    <w:rsid w:val="00750D97"/>
    <w:rsid w:val="007568E0"/>
    <w:rsid w:val="00757EF5"/>
    <w:rsid w:val="007606A8"/>
    <w:rsid w:val="00761A36"/>
    <w:rsid w:val="00762732"/>
    <w:rsid w:val="00762C26"/>
    <w:rsid w:val="007656B8"/>
    <w:rsid w:val="007710D4"/>
    <w:rsid w:val="00780FB8"/>
    <w:rsid w:val="00782EE3"/>
    <w:rsid w:val="007958AA"/>
    <w:rsid w:val="007B1C92"/>
    <w:rsid w:val="007B516A"/>
    <w:rsid w:val="007B51AD"/>
    <w:rsid w:val="007C0F20"/>
    <w:rsid w:val="007C383E"/>
    <w:rsid w:val="007C7570"/>
    <w:rsid w:val="007D03BB"/>
    <w:rsid w:val="007D2159"/>
    <w:rsid w:val="007D590A"/>
    <w:rsid w:val="007D62CB"/>
    <w:rsid w:val="007E074E"/>
    <w:rsid w:val="007E1D46"/>
    <w:rsid w:val="007E2741"/>
    <w:rsid w:val="007E5E03"/>
    <w:rsid w:val="007E60D3"/>
    <w:rsid w:val="007F07E4"/>
    <w:rsid w:val="007F25D6"/>
    <w:rsid w:val="007F3925"/>
    <w:rsid w:val="00811D36"/>
    <w:rsid w:val="00817E19"/>
    <w:rsid w:val="00821F3A"/>
    <w:rsid w:val="0083060A"/>
    <w:rsid w:val="00836F15"/>
    <w:rsid w:val="0084216B"/>
    <w:rsid w:val="00842F05"/>
    <w:rsid w:val="00844EA1"/>
    <w:rsid w:val="0084670D"/>
    <w:rsid w:val="00847D63"/>
    <w:rsid w:val="00850567"/>
    <w:rsid w:val="0085112C"/>
    <w:rsid w:val="00867E7C"/>
    <w:rsid w:val="00872A6B"/>
    <w:rsid w:val="008736CD"/>
    <w:rsid w:val="008753BF"/>
    <w:rsid w:val="00884C79"/>
    <w:rsid w:val="00884E92"/>
    <w:rsid w:val="00885AC6"/>
    <w:rsid w:val="008870B9"/>
    <w:rsid w:val="00895A93"/>
    <w:rsid w:val="008A06FA"/>
    <w:rsid w:val="008B4B0B"/>
    <w:rsid w:val="008B7B1D"/>
    <w:rsid w:val="008D4D04"/>
    <w:rsid w:val="008F15ED"/>
    <w:rsid w:val="008F4CC3"/>
    <w:rsid w:val="00907170"/>
    <w:rsid w:val="0093544E"/>
    <w:rsid w:val="0094391D"/>
    <w:rsid w:val="009534EC"/>
    <w:rsid w:val="00954694"/>
    <w:rsid w:val="00957E5D"/>
    <w:rsid w:val="00961838"/>
    <w:rsid w:val="00963AC8"/>
    <w:rsid w:val="00967D64"/>
    <w:rsid w:val="00982BE3"/>
    <w:rsid w:val="00986E9F"/>
    <w:rsid w:val="009B1044"/>
    <w:rsid w:val="009B1432"/>
    <w:rsid w:val="009B1CAD"/>
    <w:rsid w:val="009F2BBA"/>
    <w:rsid w:val="009F5D8E"/>
    <w:rsid w:val="00A0016C"/>
    <w:rsid w:val="00A0386B"/>
    <w:rsid w:val="00A34DF1"/>
    <w:rsid w:val="00A41241"/>
    <w:rsid w:val="00A53669"/>
    <w:rsid w:val="00A61802"/>
    <w:rsid w:val="00A714C5"/>
    <w:rsid w:val="00A71BFE"/>
    <w:rsid w:val="00A729D7"/>
    <w:rsid w:val="00A838A5"/>
    <w:rsid w:val="00A9327B"/>
    <w:rsid w:val="00AA048B"/>
    <w:rsid w:val="00AA180B"/>
    <w:rsid w:val="00AA7885"/>
    <w:rsid w:val="00AC0413"/>
    <w:rsid w:val="00AC6731"/>
    <w:rsid w:val="00AD7009"/>
    <w:rsid w:val="00AE4EBB"/>
    <w:rsid w:val="00AF51BD"/>
    <w:rsid w:val="00AF7E89"/>
    <w:rsid w:val="00B04DC8"/>
    <w:rsid w:val="00B072EB"/>
    <w:rsid w:val="00B1086F"/>
    <w:rsid w:val="00B12580"/>
    <w:rsid w:val="00B15343"/>
    <w:rsid w:val="00B22ED9"/>
    <w:rsid w:val="00B301A7"/>
    <w:rsid w:val="00B31204"/>
    <w:rsid w:val="00B31D61"/>
    <w:rsid w:val="00B33124"/>
    <w:rsid w:val="00B377CC"/>
    <w:rsid w:val="00B420D8"/>
    <w:rsid w:val="00B508F5"/>
    <w:rsid w:val="00B638D5"/>
    <w:rsid w:val="00B77B78"/>
    <w:rsid w:val="00B83BD2"/>
    <w:rsid w:val="00B85169"/>
    <w:rsid w:val="00B95BF6"/>
    <w:rsid w:val="00B97946"/>
    <w:rsid w:val="00BA2AAC"/>
    <w:rsid w:val="00BA526B"/>
    <w:rsid w:val="00BA6CEA"/>
    <w:rsid w:val="00BC092F"/>
    <w:rsid w:val="00BC4623"/>
    <w:rsid w:val="00BE10B8"/>
    <w:rsid w:val="00BE2288"/>
    <w:rsid w:val="00BF026B"/>
    <w:rsid w:val="00BF2C42"/>
    <w:rsid w:val="00BF6EC2"/>
    <w:rsid w:val="00C053BA"/>
    <w:rsid w:val="00C118DF"/>
    <w:rsid w:val="00C14A2F"/>
    <w:rsid w:val="00C14F98"/>
    <w:rsid w:val="00C274D1"/>
    <w:rsid w:val="00C274FA"/>
    <w:rsid w:val="00C40A56"/>
    <w:rsid w:val="00C42D2A"/>
    <w:rsid w:val="00C4609B"/>
    <w:rsid w:val="00C56674"/>
    <w:rsid w:val="00C5721D"/>
    <w:rsid w:val="00C57683"/>
    <w:rsid w:val="00C60132"/>
    <w:rsid w:val="00C6578D"/>
    <w:rsid w:val="00C66D53"/>
    <w:rsid w:val="00C80CF8"/>
    <w:rsid w:val="00C8125B"/>
    <w:rsid w:val="00C82FE1"/>
    <w:rsid w:val="00C91F1C"/>
    <w:rsid w:val="00CA321F"/>
    <w:rsid w:val="00CA45E3"/>
    <w:rsid w:val="00CA4DB8"/>
    <w:rsid w:val="00CD0651"/>
    <w:rsid w:val="00CD5819"/>
    <w:rsid w:val="00CD5D7B"/>
    <w:rsid w:val="00CE65FB"/>
    <w:rsid w:val="00CE6755"/>
    <w:rsid w:val="00CF7798"/>
    <w:rsid w:val="00D01893"/>
    <w:rsid w:val="00D02669"/>
    <w:rsid w:val="00D0312D"/>
    <w:rsid w:val="00D176A7"/>
    <w:rsid w:val="00D20BAD"/>
    <w:rsid w:val="00D300F6"/>
    <w:rsid w:val="00D3024C"/>
    <w:rsid w:val="00D36BCD"/>
    <w:rsid w:val="00D36FA1"/>
    <w:rsid w:val="00D47C16"/>
    <w:rsid w:val="00D50C4F"/>
    <w:rsid w:val="00D518EB"/>
    <w:rsid w:val="00D52655"/>
    <w:rsid w:val="00D536E8"/>
    <w:rsid w:val="00D71275"/>
    <w:rsid w:val="00D73A44"/>
    <w:rsid w:val="00D765A0"/>
    <w:rsid w:val="00D80801"/>
    <w:rsid w:val="00D84912"/>
    <w:rsid w:val="00D84B47"/>
    <w:rsid w:val="00D85315"/>
    <w:rsid w:val="00D96679"/>
    <w:rsid w:val="00DA4636"/>
    <w:rsid w:val="00DB7C3B"/>
    <w:rsid w:val="00DC3A3F"/>
    <w:rsid w:val="00DE6C6A"/>
    <w:rsid w:val="00E010EA"/>
    <w:rsid w:val="00E01750"/>
    <w:rsid w:val="00E04F07"/>
    <w:rsid w:val="00E1711C"/>
    <w:rsid w:val="00E2416B"/>
    <w:rsid w:val="00E34444"/>
    <w:rsid w:val="00E362AF"/>
    <w:rsid w:val="00E37ABC"/>
    <w:rsid w:val="00E4149A"/>
    <w:rsid w:val="00E50D0E"/>
    <w:rsid w:val="00E5772C"/>
    <w:rsid w:val="00E614B6"/>
    <w:rsid w:val="00E70772"/>
    <w:rsid w:val="00E7458E"/>
    <w:rsid w:val="00E77665"/>
    <w:rsid w:val="00E808BC"/>
    <w:rsid w:val="00E82A23"/>
    <w:rsid w:val="00E83775"/>
    <w:rsid w:val="00E8494E"/>
    <w:rsid w:val="00E93C63"/>
    <w:rsid w:val="00E96AAE"/>
    <w:rsid w:val="00EC45F5"/>
    <w:rsid w:val="00EC5A89"/>
    <w:rsid w:val="00ED723C"/>
    <w:rsid w:val="00EE03D2"/>
    <w:rsid w:val="00EE1B94"/>
    <w:rsid w:val="00EE35D7"/>
    <w:rsid w:val="00EE7A78"/>
    <w:rsid w:val="00F04843"/>
    <w:rsid w:val="00F10AD5"/>
    <w:rsid w:val="00F2198B"/>
    <w:rsid w:val="00F2666B"/>
    <w:rsid w:val="00F34386"/>
    <w:rsid w:val="00F35C80"/>
    <w:rsid w:val="00F4070F"/>
    <w:rsid w:val="00F4341B"/>
    <w:rsid w:val="00F453AC"/>
    <w:rsid w:val="00F46055"/>
    <w:rsid w:val="00F50283"/>
    <w:rsid w:val="00F659A8"/>
    <w:rsid w:val="00F672BE"/>
    <w:rsid w:val="00F70C99"/>
    <w:rsid w:val="00F73C3F"/>
    <w:rsid w:val="00F76015"/>
    <w:rsid w:val="00F77F5D"/>
    <w:rsid w:val="00F85FF0"/>
    <w:rsid w:val="00F86392"/>
    <w:rsid w:val="00F87FBE"/>
    <w:rsid w:val="00F94C09"/>
    <w:rsid w:val="00F96989"/>
    <w:rsid w:val="00FA52DE"/>
    <w:rsid w:val="00FB3BEB"/>
    <w:rsid w:val="00FC3643"/>
    <w:rsid w:val="00FD0477"/>
    <w:rsid w:val="00FD26C9"/>
    <w:rsid w:val="00FE0F2D"/>
    <w:rsid w:val="00FE2109"/>
    <w:rsid w:val="00FE3CAB"/>
    <w:rsid w:val="00FF1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AF"/>
    <w:rPr>
      <w:rFonts w:ascii="SimSun" w:hAnsi="SimSun" w:cs="SimSun"/>
      <w:kern w:val="0"/>
    </w:rPr>
  </w:style>
  <w:style w:type="paragraph" w:styleId="1">
    <w:name w:val="heading 1"/>
    <w:aliases w:val="Level 1"/>
    <w:basedOn w:val="a"/>
    <w:next w:val="a"/>
    <w:link w:val="1Char"/>
    <w:qFormat/>
    <w:rsid w:val="006C0099"/>
    <w:pPr>
      <w:spacing w:after="360"/>
      <w:ind w:left="284" w:hanging="284"/>
      <w:jc w:val="right"/>
      <w:outlineLvl w:val="0"/>
    </w:pPr>
    <w:rPr>
      <w:b/>
      <w:color w:val="FF0000"/>
      <w:kern w:val="40"/>
      <w:sz w:val="72"/>
    </w:rPr>
  </w:style>
  <w:style w:type="paragraph" w:styleId="2">
    <w:name w:val="heading 2"/>
    <w:basedOn w:val="a"/>
    <w:next w:val="a"/>
    <w:link w:val="2Char"/>
    <w:uiPriority w:val="9"/>
    <w:semiHidden/>
    <w:unhideWhenUsed/>
    <w:qFormat/>
    <w:rsid w:val="006C0099"/>
    <w:pPr>
      <w:keepNext/>
      <w:keepLines/>
      <w:spacing w:before="260" w:after="260" w:line="416" w:lineRule="auto"/>
      <w:outlineLvl w:val="1"/>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4FAF"/>
    <w:pPr>
      <w:tabs>
        <w:tab w:val="center" w:pos="4320"/>
        <w:tab w:val="right" w:pos="8640"/>
      </w:tabs>
    </w:pPr>
  </w:style>
  <w:style w:type="character" w:customStyle="1" w:styleId="Char">
    <w:name w:val="页脚 Char"/>
    <w:basedOn w:val="a0"/>
    <w:link w:val="a3"/>
    <w:uiPriority w:val="99"/>
    <w:rsid w:val="005C4FAF"/>
    <w:rPr>
      <w:rFonts w:ascii="SimSun" w:hAnsi="SimSun" w:cs="SimSun"/>
      <w:kern w:val="0"/>
      <w:lang w:eastAsia="zh-CN"/>
    </w:rPr>
  </w:style>
  <w:style w:type="character" w:styleId="a4">
    <w:name w:val="page number"/>
    <w:basedOn w:val="a0"/>
    <w:rsid w:val="005C4FAF"/>
  </w:style>
  <w:style w:type="paragraph" w:styleId="a5">
    <w:name w:val="header"/>
    <w:basedOn w:val="a"/>
    <w:link w:val="Char0"/>
    <w:uiPriority w:val="99"/>
    <w:rsid w:val="005C4FAF"/>
    <w:pPr>
      <w:tabs>
        <w:tab w:val="center" w:pos="4320"/>
        <w:tab w:val="right" w:pos="8640"/>
      </w:tabs>
    </w:pPr>
  </w:style>
  <w:style w:type="character" w:customStyle="1" w:styleId="Char0">
    <w:name w:val="页眉 Char"/>
    <w:basedOn w:val="a0"/>
    <w:link w:val="a5"/>
    <w:uiPriority w:val="99"/>
    <w:rsid w:val="005C4FAF"/>
    <w:rPr>
      <w:rFonts w:ascii="SimSun" w:hAnsi="SimSun" w:cs="SimSun"/>
      <w:kern w:val="0"/>
      <w:lang w:eastAsia="zh-CN"/>
    </w:rPr>
  </w:style>
  <w:style w:type="paragraph" w:customStyle="1" w:styleId="StyleHeading1">
    <w:name w:val="Style Heading 1"/>
    <w:aliases w:val="Level 1 + Arial Auto Centered Left:  0 cm First..."/>
    <w:rsid w:val="005C4FAF"/>
    <w:pPr>
      <w:jc w:val="center"/>
    </w:pPr>
    <w:rPr>
      <w:rFonts w:ascii="SimSun" w:hAnsi="SimSun" w:cs="SimSun"/>
      <w:b/>
      <w:bCs/>
      <w:kern w:val="40"/>
      <w:sz w:val="72"/>
      <w:szCs w:val="20"/>
    </w:rPr>
  </w:style>
  <w:style w:type="paragraph" w:customStyle="1" w:styleId="ONUME">
    <w:name w:val="ONUM E"/>
    <w:basedOn w:val="a6"/>
    <w:rsid w:val="005C4FAF"/>
    <w:pPr>
      <w:numPr>
        <w:numId w:val="1"/>
      </w:numPr>
      <w:spacing w:after="220"/>
    </w:pPr>
    <w:rPr>
      <w:rFonts w:eastAsia="SimSun"/>
      <w:sz w:val="22"/>
      <w:szCs w:val="20"/>
    </w:rPr>
  </w:style>
  <w:style w:type="paragraph" w:styleId="a7">
    <w:name w:val="List Paragraph"/>
    <w:basedOn w:val="a"/>
    <w:uiPriority w:val="34"/>
    <w:qFormat/>
    <w:rsid w:val="005C4FAF"/>
    <w:pPr>
      <w:ind w:left="720"/>
    </w:pPr>
  </w:style>
  <w:style w:type="paragraph" w:styleId="a6">
    <w:name w:val="Body Text"/>
    <w:basedOn w:val="a"/>
    <w:link w:val="Char1"/>
    <w:uiPriority w:val="99"/>
    <w:semiHidden/>
    <w:unhideWhenUsed/>
    <w:rsid w:val="005C4FAF"/>
    <w:pPr>
      <w:spacing w:after="120"/>
    </w:pPr>
  </w:style>
  <w:style w:type="character" w:customStyle="1" w:styleId="Char1">
    <w:name w:val="正文文本 Char"/>
    <w:basedOn w:val="a0"/>
    <w:link w:val="a6"/>
    <w:uiPriority w:val="99"/>
    <w:semiHidden/>
    <w:rsid w:val="005C4FAF"/>
    <w:rPr>
      <w:rFonts w:ascii="SimSun" w:hAnsi="SimSun" w:cs="SimSun"/>
      <w:kern w:val="0"/>
      <w:lang w:eastAsia="zh-CN"/>
    </w:rPr>
  </w:style>
  <w:style w:type="paragraph" w:styleId="a8">
    <w:name w:val="Balloon Text"/>
    <w:basedOn w:val="a"/>
    <w:link w:val="Char2"/>
    <w:uiPriority w:val="99"/>
    <w:semiHidden/>
    <w:unhideWhenUsed/>
    <w:rsid w:val="005C4FAF"/>
    <w:rPr>
      <w:sz w:val="18"/>
      <w:szCs w:val="18"/>
    </w:rPr>
  </w:style>
  <w:style w:type="character" w:customStyle="1" w:styleId="Char2">
    <w:name w:val="批注框文本 Char"/>
    <w:basedOn w:val="a0"/>
    <w:link w:val="a8"/>
    <w:uiPriority w:val="99"/>
    <w:semiHidden/>
    <w:rsid w:val="005C4FAF"/>
    <w:rPr>
      <w:rFonts w:ascii="SimSun" w:hAnsi="SimSun" w:cs="SimSun"/>
      <w:kern w:val="0"/>
      <w:sz w:val="18"/>
      <w:szCs w:val="18"/>
      <w:lang w:eastAsia="zh-CN"/>
    </w:rPr>
  </w:style>
  <w:style w:type="paragraph" w:styleId="a9">
    <w:name w:val="annotation text"/>
    <w:basedOn w:val="a"/>
    <w:link w:val="Char3"/>
    <w:uiPriority w:val="99"/>
    <w:semiHidden/>
    <w:unhideWhenUsed/>
  </w:style>
  <w:style w:type="character" w:customStyle="1" w:styleId="Char3">
    <w:name w:val="批注文字 Char"/>
    <w:basedOn w:val="a0"/>
    <w:link w:val="a9"/>
    <w:uiPriority w:val="99"/>
    <w:semiHidden/>
    <w:rPr>
      <w:rFonts w:ascii="SimSun" w:hAnsi="SimSun" w:cs="SimSun"/>
      <w:kern w:val="0"/>
    </w:rPr>
  </w:style>
  <w:style w:type="character" w:styleId="aa">
    <w:name w:val="annotation reference"/>
    <w:basedOn w:val="a0"/>
    <w:uiPriority w:val="99"/>
    <w:semiHidden/>
    <w:unhideWhenUsed/>
    <w:rPr>
      <w:sz w:val="21"/>
      <w:szCs w:val="21"/>
    </w:rPr>
  </w:style>
  <w:style w:type="paragraph" w:styleId="ab">
    <w:name w:val="annotation subject"/>
    <w:basedOn w:val="a9"/>
    <w:next w:val="a9"/>
    <w:link w:val="Char4"/>
    <w:uiPriority w:val="99"/>
    <w:semiHidden/>
    <w:unhideWhenUsed/>
    <w:rsid w:val="004A3DCB"/>
    <w:rPr>
      <w:b/>
      <w:bCs/>
    </w:rPr>
  </w:style>
  <w:style w:type="character" w:customStyle="1" w:styleId="Char4">
    <w:name w:val="批注主题 Char"/>
    <w:basedOn w:val="Char3"/>
    <w:link w:val="ab"/>
    <w:uiPriority w:val="99"/>
    <w:semiHidden/>
    <w:rsid w:val="004A3DCB"/>
    <w:rPr>
      <w:rFonts w:ascii="SimSun" w:hAnsi="SimSun" w:cs="SimSun"/>
      <w:b/>
      <w:bCs/>
      <w:kern w:val="0"/>
    </w:rPr>
  </w:style>
  <w:style w:type="character" w:customStyle="1" w:styleId="1Char">
    <w:name w:val="标题 1 Char"/>
    <w:aliases w:val="Level 1 Char"/>
    <w:basedOn w:val="a0"/>
    <w:link w:val="1"/>
    <w:rsid w:val="006C0099"/>
    <w:rPr>
      <w:rFonts w:ascii="SimSun" w:hAnsi="SimSun" w:cs="SimSun"/>
      <w:b/>
      <w:color w:val="FF0000"/>
      <w:kern w:val="40"/>
      <w:sz w:val="72"/>
    </w:rPr>
  </w:style>
  <w:style w:type="paragraph" w:customStyle="1" w:styleId="Style1">
    <w:name w:val="Style1"/>
    <w:basedOn w:val="a"/>
    <w:link w:val="Style1Char"/>
    <w:rsid w:val="006C0099"/>
    <w:pPr>
      <w:tabs>
        <w:tab w:val="left" w:pos="8640"/>
      </w:tabs>
    </w:pPr>
    <w:rPr>
      <w:b/>
      <w:color w:val="333399"/>
      <w:sz w:val="52"/>
      <w:szCs w:val="52"/>
    </w:rPr>
  </w:style>
  <w:style w:type="character" w:customStyle="1" w:styleId="Style1Char">
    <w:name w:val="Style1 Char"/>
    <w:link w:val="Style1"/>
    <w:rsid w:val="006C0099"/>
    <w:rPr>
      <w:rFonts w:ascii="SimSun" w:hAnsi="SimSun" w:cs="SimSun"/>
      <w:b/>
      <w:color w:val="333399"/>
      <w:kern w:val="0"/>
      <w:sz w:val="52"/>
      <w:szCs w:val="52"/>
    </w:rPr>
  </w:style>
  <w:style w:type="paragraph" w:customStyle="1" w:styleId="StyleArial10pt">
    <w:name w:val="Style Arial 10 pt"/>
    <w:basedOn w:val="a"/>
    <w:link w:val="StyleArial10ptChar"/>
    <w:rsid w:val="006C0099"/>
    <w:pPr>
      <w:ind w:firstLineChars="100" w:firstLine="200"/>
    </w:pPr>
    <w:rPr>
      <w:sz w:val="20"/>
      <w:szCs w:val="20"/>
    </w:rPr>
  </w:style>
  <w:style w:type="paragraph" w:customStyle="1" w:styleId="Style3">
    <w:name w:val="Style3"/>
    <w:basedOn w:val="a"/>
    <w:link w:val="Style3Char"/>
    <w:rsid w:val="006C0099"/>
    <w:pPr>
      <w:spacing w:after="120"/>
      <w:jc w:val="both"/>
    </w:pPr>
    <w:rPr>
      <w:sz w:val="22"/>
      <w:szCs w:val="20"/>
    </w:rPr>
  </w:style>
  <w:style w:type="paragraph" w:customStyle="1" w:styleId="Style3Bold">
    <w:name w:val="Style3 + Bold"/>
    <w:basedOn w:val="Style3"/>
    <w:rsid w:val="006C0099"/>
    <w:rPr>
      <w:b/>
      <w:bCs/>
    </w:rPr>
  </w:style>
  <w:style w:type="character" w:customStyle="1" w:styleId="Style3Char">
    <w:name w:val="Style3 Char"/>
    <w:link w:val="Style3"/>
    <w:rsid w:val="006C0099"/>
    <w:rPr>
      <w:rFonts w:ascii="SimSun" w:hAnsi="SimSun" w:cs="SimSun"/>
      <w:kern w:val="0"/>
      <w:sz w:val="22"/>
      <w:szCs w:val="20"/>
    </w:rPr>
  </w:style>
  <w:style w:type="paragraph" w:customStyle="1" w:styleId="STYLETITRENOTES">
    <w:name w:val="STYLE TITRE NOTES"/>
    <w:basedOn w:val="a"/>
    <w:rsid w:val="006C0099"/>
    <w:pPr>
      <w:jc w:val="both"/>
    </w:pPr>
    <w:rPr>
      <w:b/>
      <w:bCs/>
      <w:smallCaps/>
      <w:sz w:val="22"/>
      <w:szCs w:val="20"/>
    </w:rPr>
  </w:style>
  <w:style w:type="paragraph" w:customStyle="1" w:styleId="STYLE1LASTONE">
    <w:name w:val="STYLE 1 LAST ONE"/>
    <w:basedOn w:val="a"/>
    <w:next w:val="a"/>
    <w:link w:val="STYLE1LASTONEChar"/>
    <w:rsid w:val="006C0099"/>
    <w:pPr>
      <w:spacing w:after="360"/>
      <w:ind w:left="284" w:hanging="284"/>
      <w:jc w:val="center"/>
      <w:outlineLvl w:val="0"/>
    </w:pPr>
    <w:rPr>
      <w:b/>
      <w:bCs/>
      <w:kern w:val="40"/>
      <w:sz w:val="28"/>
      <w:szCs w:val="28"/>
    </w:rPr>
  </w:style>
  <w:style w:type="paragraph" w:customStyle="1" w:styleId="STYLE2LASTONE">
    <w:name w:val="STYLE 2 LAST ONE"/>
    <w:basedOn w:val="STYLE1LASTONE"/>
    <w:link w:val="STYLE2LASTONEChar"/>
    <w:rsid w:val="006C0099"/>
    <w:pPr>
      <w:spacing w:after="0"/>
      <w:jc w:val="left"/>
    </w:pPr>
    <w:rPr>
      <w:color w:val="FFFFFF"/>
      <w:sz w:val="16"/>
    </w:rPr>
  </w:style>
  <w:style w:type="paragraph" w:customStyle="1" w:styleId="STYLEDUTEXTE">
    <w:name w:val="STYLE DU TEXTE"/>
    <w:basedOn w:val="a"/>
    <w:link w:val="STYLEDUTEXTEChar"/>
    <w:rsid w:val="006C0099"/>
    <w:pPr>
      <w:jc w:val="both"/>
    </w:pPr>
    <w:rPr>
      <w:sz w:val="22"/>
      <w:szCs w:val="20"/>
    </w:rPr>
  </w:style>
  <w:style w:type="character" w:customStyle="1" w:styleId="STYLE1LASTONEChar">
    <w:name w:val="STYLE 1 LAST ONE Char"/>
    <w:link w:val="STYLE1LASTONE"/>
    <w:rsid w:val="006C0099"/>
    <w:rPr>
      <w:rFonts w:ascii="SimSun" w:hAnsi="SimSun" w:cs="SimSun"/>
      <w:b/>
      <w:bCs/>
      <w:kern w:val="40"/>
      <w:sz w:val="28"/>
      <w:szCs w:val="28"/>
    </w:rPr>
  </w:style>
  <w:style w:type="character" w:customStyle="1" w:styleId="STYLEDUTEXTEChar">
    <w:name w:val="STYLE DU TEXTE Char"/>
    <w:link w:val="STYLEDUTEXTE"/>
    <w:rsid w:val="006C0099"/>
    <w:rPr>
      <w:rFonts w:ascii="SimSun" w:hAnsi="SimSun" w:cs="SimSun"/>
      <w:kern w:val="0"/>
      <w:sz w:val="22"/>
      <w:szCs w:val="20"/>
    </w:rPr>
  </w:style>
  <w:style w:type="character" w:customStyle="1" w:styleId="STYLE2LASTONEChar">
    <w:name w:val="STYLE 2 LAST ONE Char"/>
    <w:link w:val="STYLE2LASTONE"/>
    <w:rsid w:val="006C0099"/>
    <w:rPr>
      <w:rFonts w:ascii="SimSun" w:hAnsi="SimSun" w:cs="SimSun"/>
      <w:b/>
      <w:bCs/>
      <w:color w:val="FFFFFF"/>
      <w:kern w:val="40"/>
      <w:sz w:val="16"/>
      <w:szCs w:val="28"/>
    </w:rPr>
  </w:style>
  <w:style w:type="character" w:customStyle="1" w:styleId="StyleArial10ptChar">
    <w:name w:val="Style Arial 10 pt Char"/>
    <w:link w:val="StyleArial10pt"/>
    <w:rsid w:val="006C0099"/>
    <w:rPr>
      <w:rFonts w:ascii="SimSun" w:hAnsi="SimSun" w:cs="SimSun"/>
      <w:kern w:val="0"/>
      <w:sz w:val="20"/>
      <w:szCs w:val="20"/>
    </w:rPr>
  </w:style>
  <w:style w:type="paragraph" w:customStyle="1" w:styleId="StyleHeading211ptNotBoldNotItalicAllcaps">
    <w:name w:val="Style Heading 2 + 11 pt Not Bold Not Italic All caps"/>
    <w:basedOn w:val="2"/>
    <w:rsid w:val="006C0099"/>
    <w:pPr>
      <w:keepLines w:val="0"/>
      <w:spacing w:before="240" w:after="60" w:line="240" w:lineRule="auto"/>
    </w:pPr>
    <w:rPr>
      <w:rFonts w:ascii="SimSun" w:hAnsi="SimSun" w:cs="SimSun"/>
      <w:bCs w:val="0"/>
      <w:caps/>
      <w:sz w:val="22"/>
      <w:szCs w:val="28"/>
    </w:rPr>
  </w:style>
  <w:style w:type="character" w:styleId="ac">
    <w:name w:val="Hyperlink"/>
    <w:rsid w:val="006C0099"/>
    <w:rPr>
      <w:color w:val="000099"/>
      <w:u w:val="single"/>
    </w:rPr>
  </w:style>
  <w:style w:type="paragraph" w:customStyle="1" w:styleId="style30">
    <w:name w:val="style3"/>
    <w:basedOn w:val="a"/>
    <w:rsid w:val="006C0099"/>
    <w:pPr>
      <w:spacing w:after="120"/>
      <w:jc w:val="both"/>
    </w:pPr>
    <w:rPr>
      <w:sz w:val="22"/>
      <w:szCs w:val="22"/>
    </w:rPr>
  </w:style>
  <w:style w:type="character" w:customStyle="1" w:styleId="2Char">
    <w:name w:val="标题 2 Char"/>
    <w:basedOn w:val="a0"/>
    <w:link w:val="2"/>
    <w:uiPriority w:val="9"/>
    <w:semiHidden/>
    <w:rsid w:val="006C0099"/>
    <w:rPr>
      <w:rFonts w:ascii="Times New Roman" w:eastAsia="Times New Roman" w:hAnsi="Times New Roman" w:cs="Times New Roman"/>
      <w:b/>
      <w:bCs/>
      <w:kern w:val="0"/>
      <w:sz w:val="32"/>
      <w:szCs w:val="32"/>
    </w:rPr>
  </w:style>
  <w:style w:type="paragraph" w:customStyle="1" w:styleId="Styletexte">
    <w:name w:val="Style texte"/>
    <w:basedOn w:val="a"/>
    <w:link w:val="StyletexteChar"/>
    <w:rsid w:val="00C14A2F"/>
    <w:pPr>
      <w:spacing w:after="120"/>
      <w:jc w:val="both"/>
    </w:pPr>
    <w:rPr>
      <w:sz w:val="22"/>
      <w:szCs w:val="20"/>
    </w:rPr>
  </w:style>
  <w:style w:type="character" w:customStyle="1" w:styleId="StyletexteChar">
    <w:name w:val="Style texte Char"/>
    <w:link w:val="Styletexte"/>
    <w:rsid w:val="00C14A2F"/>
    <w:rPr>
      <w:rFonts w:ascii="SimSun" w:hAnsi="SimSun" w:cs="SimSun"/>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AF"/>
    <w:rPr>
      <w:rFonts w:ascii="SimSun" w:hAnsi="SimSun" w:cs="SimSun"/>
      <w:kern w:val="0"/>
    </w:rPr>
  </w:style>
  <w:style w:type="paragraph" w:styleId="1">
    <w:name w:val="heading 1"/>
    <w:aliases w:val="Level 1"/>
    <w:basedOn w:val="a"/>
    <w:next w:val="a"/>
    <w:link w:val="1Char"/>
    <w:qFormat/>
    <w:rsid w:val="006C0099"/>
    <w:pPr>
      <w:spacing w:after="360"/>
      <w:ind w:left="284" w:hanging="284"/>
      <w:jc w:val="right"/>
      <w:outlineLvl w:val="0"/>
    </w:pPr>
    <w:rPr>
      <w:b/>
      <w:color w:val="FF0000"/>
      <w:kern w:val="40"/>
      <w:sz w:val="72"/>
    </w:rPr>
  </w:style>
  <w:style w:type="paragraph" w:styleId="2">
    <w:name w:val="heading 2"/>
    <w:basedOn w:val="a"/>
    <w:next w:val="a"/>
    <w:link w:val="2Char"/>
    <w:uiPriority w:val="9"/>
    <w:semiHidden/>
    <w:unhideWhenUsed/>
    <w:qFormat/>
    <w:rsid w:val="006C0099"/>
    <w:pPr>
      <w:keepNext/>
      <w:keepLines/>
      <w:spacing w:before="260" w:after="260" w:line="416" w:lineRule="auto"/>
      <w:outlineLvl w:val="1"/>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4FAF"/>
    <w:pPr>
      <w:tabs>
        <w:tab w:val="center" w:pos="4320"/>
        <w:tab w:val="right" w:pos="8640"/>
      </w:tabs>
    </w:pPr>
  </w:style>
  <w:style w:type="character" w:customStyle="1" w:styleId="Char">
    <w:name w:val="页脚 Char"/>
    <w:basedOn w:val="a0"/>
    <w:link w:val="a3"/>
    <w:uiPriority w:val="99"/>
    <w:rsid w:val="005C4FAF"/>
    <w:rPr>
      <w:rFonts w:ascii="SimSun" w:hAnsi="SimSun" w:cs="SimSun"/>
      <w:kern w:val="0"/>
      <w:lang w:eastAsia="zh-CN"/>
    </w:rPr>
  </w:style>
  <w:style w:type="character" w:styleId="a4">
    <w:name w:val="page number"/>
    <w:basedOn w:val="a0"/>
    <w:rsid w:val="005C4FAF"/>
  </w:style>
  <w:style w:type="paragraph" w:styleId="a5">
    <w:name w:val="header"/>
    <w:basedOn w:val="a"/>
    <w:link w:val="Char0"/>
    <w:uiPriority w:val="99"/>
    <w:rsid w:val="005C4FAF"/>
    <w:pPr>
      <w:tabs>
        <w:tab w:val="center" w:pos="4320"/>
        <w:tab w:val="right" w:pos="8640"/>
      </w:tabs>
    </w:pPr>
  </w:style>
  <w:style w:type="character" w:customStyle="1" w:styleId="Char0">
    <w:name w:val="页眉 Char"/>
    <w:basedOn w:val="a0"/>
    <w:link w:val="a5"/>
    <w:uiPriority w:val="99"/>
    <w:rsid w:val="005C4FAF"/>
    <w:rPr>
      <w:rFonts w:ascii="SimSun" w:hAnsi="SimSun" w:cs="SimSun"/>
      <w:kern w:val="0"/>
      <w:lang w:eastAsia="zh-CN"/>
    </w:rPr>
  </w:style>
  <w:style w:type="paragraph" w:customStyle="1" w:styleId="StyleHeading1">
    <w:name w:val="Style Heading 1"/>
    <w:aliases w:val="Level 1 + Arial Auto Centered Left:  0 cm First..."/>
    <w:rsid w:val="005C4FAF"/>
    <w:pPr>
      <w:jc w:val="center"/>
    </w:pPr>
    <w:rPr>
      <w:rFonts w:ascii="SimSun" w:hAnsi="SimSun" w:cs="SimSun"/>
      <w:b/>
      <w:bCs/>
      <w:kern w:val="40"/>
      <w:sz w:val="72"/>
      <w:szCs w:val="20"/>
    </w:rPr>
  </w:style>
  <w:style w:type="paragraph" w:customStyle="1" w:styleId="ONUME">
    <w:name w:val="ONUM E"/>
    <w:basedOn w:val="a6"/>
    <w:rsid w:val="005C4FAF"/>
    <w:pPr>
      <w:numPr>
        <w:numId w:val="1"/>
      </w:numPr>
      <w:spacing w:after="220"/>
    </w:pPr>
    <w:rPr>
      <w:rFonts w:eastAsia="SimSun"/>
      <w:sz w:val="22"/>
      <w:szCs w:val="20"/>
    </w:rPr>
  </w:style>
  <w:style w:type="paragraph" w:styleId="a7">
    <w:name w:val="List Paragraph"/>
    <w:basedOn w:val="a"/>
    <w:uiPriority w:val="34"/>
    <w:qFormat/>
    <w:rsid w:val="005C4FAF"/>
    <w:pPr>
      <w:ind w:left="720"/>
    </w:pPr>
  </w:style>
  <w:style w:type="paragraph" w:styleId="a6">
    <w:name w:val="Body Text"/>
    <w:basedOn w:val="a"/>
    <w:link w:val="Char1"/>
    <w:uiPriority w:val="99"/>
    <w:semiHidden/>
    <w:unhideWhenUsed/>
    <w:rsid w:val="005C4FAF"/>
    <w:pPr>
      <w:spacing w:after="120"/>
    </w:pPr>
  </w:style>
  <w:style w:type="character" w:customStyle="1" w:styleId="Char1">
    <w:name w:val="正文文本 Char"/>
    <w:basedOn w:val="a0"/>
    <w:link w:val="a6"/>
    <w:uiPriority w:val="99"/>
    <w:semiHidden/>
    <w:rsid w:val="005C4FAF"/>
    <w:rPr>
      <w:rFonts w:ascii="SimSun" w:hAnsi="SimSun" w:cs="SimSun"/>
      <w:kern w:val="0"/>
      <w:lang w:eastAsia="zh-CN"/>
    </w:rPr>
  </w:style>
  <w:style w:type="paragraph" w:styleId="a8">
    <w:name w:val="Balloon Text"/>
    <w:basedOn w:val="a"/>
    <w:link w:val="Char2"/>
    <w:uiPriority w:val="99"/>
    <w:semiHidden/>
    <w:unhideWhenUsed/>
    <w:rsid w:val="005C4FAF"/>
    <w:rPr>
      <w:sz w:val="18"/>
      <w:szCs w:val="18"/>
    </w:rPr>
  </w:style>
  <w:style w:type="character" w:customStyle="1" w:styleId="Char2">
    <w:name w:val="批注框文本 Char"/>
    <w:basedOn w:val="a0"/>
    <w:link w:val="a8"/>
    <w:uiPriority w:val="99"/>
    <w:semiHidden/>
    <w:rsid w:val="005C4FAF"/>
    <w:rPr>
      <w:rFonts w:ascii="SimSun" w:hAnsi="SimSun" w:cs="SimSun"/>
      <w:kern w:val="0"/>
      <w:sz w:val="18"/>
      <w:szCs w:val="18"/>
      <w:lang w:eastAsia="zh-CN"/>
    </w:rPr>
  </w:style>
  <w:style w:type="paragraph" w:styleId="a9">
    <w:name w:val="annotation text"/>
    <w:basedOn w:val="a"/>
    <w:link w:val="Char3"/>
    <w:uiPriority w:val="99"/>
    <w:semiHidden/>
    <w:unhideWhenUsed/>
  </w:style>
  <w:style w:type="character" w:customStyle="1" w:styleId="Char3">
    <w:name w:val="批注文字 Char"/>
    <w:basedOn w:val="a0"/>
    <w:link w:val="a9"/>
    <w:uiPriority w:val="99"/>
    <w:semiHidden/>
    <w:rPr>
      <w:rFonts w:ascii="SimSun" w:hAnsi="SimSun" w:cs="SimSun"/>
      <w:kern w:val="0"/>
    </w:rPr>
  </w:style>
  <w:style w:type="character" w:styleId="aa">
    <w:name w:val="annotation reference"/>
    <w:basedOn w:val="a0"/>
    <w:uiPriority w:val="99"/>
    <w:semiHidden/>
    <w:unhideWhenUsed/>
    <w:rPr>
      <w:sz w:val="21"/>
      <w:szCs w:val="21"/>
    </w:rPr>
  </w:style>
  <w:style w:type="paragraph" w:styleId="ab">
    <w:name w:val="annotation subject"/>
    <w:basedOn w:val="a9"/>
    <w:next w:val="a9"/>
    <w:link w:val="Char4"/>
    <w:uiPriority w:val="99"/>
    <w:semiHidden/>
    <w:unhideWhenUsed/>
    <w:rsid w:val="004A3DCB"/>
    <w:rPr>
      <w:b/>
      <w:bCs/>
    </w:rPr>
  </w:style>
  <w:style w:type="character" w:customStyle="1" w:styleId="Char4">
    <w:name w:val="批注主题 Char"/>
    <w:basedOn w:val="Char3"/>
    <w:link w:val="ab"/>
    <w:uiPriority w:val="99"/>
    <w:semiHidden/>
    <w:rsid w:val="004A3DCB"/>
    <w:rPr>
      <w:rFonts w:ascii="SimSun" w:hAnsi="SimSun" w:cs="SimSun"/>
      <w:b/>
      <w:bCs/>
      <w:kern w:val="0"/>
    </w:rPr>
  </w:style>
  <w:style w:type="character" w:customStyle="1" w:styleId="1Char">
    <w:name w:val="标题 1 Char"/>
    <w:aliases w:val="Level 1 Char"/>
    <w:basedOn w:val="a0"/>
    <w:link w:val="1"/>
    <w:rsid w:val="006C0099"/>
    <w:rPr>
      <w:rFonts w:ascii="SimSun" w:hAnsi="SimSun" w:cs="SimSun"/>
      <w:b/>
      <w:color w:val="FF0000"/>
      <w:kern w:val="40"/>
      <w:sz w:val="72"/>
    </w:rPr>
  </w:style>
  <w:style w:type="paragraph" w:customStyle="1" w:styleId="Style1">
    <w:name w:val="Style1"/>
    <w:basedOn w:val="a"/>
    <w:link w:val="Style1Char"/>
    <w:rsid w:val="006C0099"/>
    <w:pPr>
      <w:tabs>
        <w:tab w:val="left" w:pos="8640"/>
      </w:tabs>
    </w:pPr>
    <w:rPr>
      <w:b/>
      <w:color w:val="333399"/>
      <w:sz w:val="52"/>
      <w:szCs w:val="52"/>
    </w:rPr>
  </w:style>
  <w:style w:type="character" w:customStyle="1" w:styleId="Style1Char">
    <w:name w:val="Style1 Char"/>
    <w:link w:val="Style1"/>
    <w:rsid w:val="006C0099"/>
    <w:rPr>
      <w:rFonts w:ascii="SimSun" w:hAnsi="SimSun" w:cs="SimSun"/>
      <w:b/>
      <w:color w:val="333399"/>
      <w:kern w:val="0"/>
      <w:sz w:val="52"/>
      <w:szCs w:val="52"/>
    </w:rPr>
  </w:style>
  <w:style w:type="paragraph" w:customStyle="1" w:styleId="StyleArial10pt">
    <w:name w:val="Style Arial 10 pt"/>
    <w:basedOn w:val="a"/>
    <w:link w:val="StyleArial10ptChar"/>
    <w:rsid w:val="006C0099"/>
    <w:pPr>
      <w:ind w:firstLineChars="100" w:firstLine="200"/>
    </w:pPr>
    <w:rPr>
      <w:sz w:val="20"/>
      <w:szCs w:val="20"/>
    </w:rPr>
  </w:style>
  <w:style w:type="paragraph" w:customStyle="1" w:styleId="Style3">
    <w:name w:val="Style3"/>
    <w:basedOn w:val="a"/>
    <w:link w:val="Style3Char"/>
    <w:rsid w:val="006C0099"/>
    <w:pPr>
      <w:spacing w:after="120"/>
      <w:jc w:val="both"/>
    </w:pPr>
    <w:rPr>
      <w:sz w:val="22"/>
      <w:szCs w:val="20"/>
    </w:rPr>
  </w:style>
  <w:style w:type="paragraph" w:customStyle="1" w:styleId="Style3Bold">
    <w:name w:val="Style3 + Bold"/>
    <w:basedOn w:val="Style3"/>
    <w:rsid w:val="006C0099"/>
    <w:rPr>
      <w:b/>
      <w:bCs/>
    </w:rPr>
  </w:style>
  <w:style w:type="character" w:customStyle="1" w:styleId="Style3Char">
    <w:name w:val="Style3 Char"/>
    <w:link w:val="Style3"/>
    <w:rsid w:val="006C0099"/>
    <w:rPr>
      <w:rFonts w:ascii="SimSun" w:hAnsi="SimSun" w:cs="SimSun"/>
      <w:kern w:val="0"/>
      <w:sz w:val="22"/>
      <w:szCs w:val="20"/>
    </w:rPr>
  </w:style>
  <w:style w:type="paragraph" w:customStyle="1" w:styleId="STYLETITRENOTES">
    <w:name w:val="STYLE TITRE NOTES"/>
    <w:basedOn w:val="a"/>
    <w:rsid w:val="006C0099"/>
    <w:pPr>
      <w:jc w:val="both"/>
    </w:pPr>
    <w:rPr>
      <w:b/>
      <w:bCs/>
      <w:smallCaps/>
      <w:sz w:val="22"/>
      <w:szCs w:val="20"/>
    </w:rPr>
  </w:style>
  <w:style w:type="paragraph" w:customStyle="1" w:styleId="STYLE1LASTONE">
    <w:name w:val="STYLE 1 LAST ONE"/>
    <w:basedOn w:val="a"/>
    <w:next w:val="a"/>
    <w:link w:val="STYLE1LASTONEChar"/>
    <w:rsid w:val="006C0099"/>
    <w:pPr>
      <w:spacing w:after="360"/>
      <w:ind w:left="284" w:hanging="284"/>
      <w:jc w:val="center"/>
      <w:outlineLvl w:val="0"/>
    </w:pPr>
    <w:rPr>
      <w:b/>
      <w:bCs/>
      <w:kern w:val="40"/>
      <w:sz w:val="28"/>
      <w:szCs w:val="28"/>
    </w:rPr>
  </w:style>
  <w:style w:type="paragraph" w:customStyle="1" w:styleId="STYLE2LASTONE">
    <w:name w:val="STYLE 2 LAST ONE"/>
    <w:basedOn w:val="STYLE1LASTONE"/>
    <w:link w:val="STYLE2LASTONEChar"/>
    <w:rsid w:val="006C0099"/>
    <w:pPr>
      <w:spacing w:after="0"/>
      <w:jc w:val="left"/>
    </w:pPr>
    <w:rPr>
      <w:color w:val="FFFFFF"/>
      <w:sz w:val="16"/>
    </w:rPr>
  </w:style>
  <w:style w:type="paragraph" w:customStyle="1" w:styleId="STYLEDUTEXTE">
    <w:name w:val="STYLE DU TEXTE"/>
    <w:basedOn w:val="a"/>
    <w:link w:val="STYLEDUTEXTEChar"/>
    <w:rsid w:val="006C0099"/>
    <w:pPr>
      <w:jc w:val="both"/>
    </w:pPr>
    <w:rPr>
      <w:sz w:val="22"/>
      <w:szCs w:val="20"/>
    </w:rPr>
  </w:style>
  <w:style w:type="character" w:customStyle="1" w:styleId="STYLE1LASTONEChar">
    <w:name w:val="STYLE 1 LAST ONE Char"/>
    <w:link w:val="STYLE1LASTONE"/>
    <w:rsid w:val="006C0099"/>
    <w:rPr>
      <w:rFonts w:ascii="SimSun" w:hAnsi="SimSun" w:cs="SimSun"/>
      <w:b/>
      <w:bCs/>
      <w:kern w:val="40"/>
      <w:sz w:val="28"/>
      <w:szCs w:val="28"/>
    </w:rPr>
  </w:style>
  <w:style w:type="character" w:customStyle="1" w:styleId="STYLEDUTEXTEChar">
    <w:name w:val="STYLE DU TEXTE Char"/>
    <w:link w:val="STYLEDUTEXTE"/>
    <w:rsid w:val="006C0099"/>
    <w:rPr>
      <w:rFonts w:ascii="SimSun" w:hAnsi="SimSun" w:cs="SimSun"/>
      <w:kern w:val="0"/>
      <w:sz w:val="22"/>
      <w:szCs w:val="20"/>
    </w:rPr>
  </w:style>
  <w:style w:type="character" w:customStyle="1" w:styleId="STYLE2LASTONEChar">
    <w:name w:val="STYLE 2 LAST ONE Char"/>
    <w:link w:val="STYLE2LASTONE"/>
    <w:rsid w:val="006C0099"/>
    <w:rPr>
      <w:rFonts w:ascii="SimSun" w:hAnsi="SimSun" w:cs="SimSun"/>
      <w:b/>
      <w:bCs/>
      <w:color w:val="FFFFFF"/>
      <w:kern w:val="40"/>
      <w:sz w:val="16"/>
      <w:szCs w:val="28"/>
    </w:rPr>
  </w:style>
  <w:style w:type="character" w:customStyle="1" w:styleId="StyleArial10ptChar">
    <w:name w:val="Style Arial 10 pt Char"/>
    <w:link w:val="StyleArial10pt"/>
    <w:rsid w:val="006C0099"/>
    <w:rPr>
      <w:rFonts w:ascii="SimSun" w:hAnsi="SimSun" w:cs="SimSun"/>
      <w:kern w:val="0"/>
      <w:sz w:val="20"/>
      <w:szCs w:val="20"/>
    </w:rPr>
  </w:style>
  <w:style w:type="paragraph" w:customStyle="1" w:styleId="StyleHeading211ptNotBoldNotItalicAllcaps">
    <w:name w:val="Style Heading 2 + 11 pt Not Bold Not Italic All caps"/>
    <w:basedOn w:val="2"/>
    <w:rsid w:val="006C0099"/>
    <w:pPr>
      <w:keepLines w:val="0"/>
      <w:spacing w:before="240" w:after="60" w:line="240" w:lineRule="auto"/>
    </w:pPr>
    <w:rPr>
      <w:rFonts w:ascii="SimSun" w:hAnsi="SimSun" w:cs="SimSun"/>
      <w:bCs w:val="0"/>
      <w:caps/>
      <w:sz w:val="22"/>
      <w:szCs w:val="28"/>
    </w:rPr>
  </w:style>
  <w:style w:type="character" w:styleId="ac">
    <w:name w:val="Hyperlink"/>
    <w:rsid w:val="006C0099"/>
    <w:rPr>
      <w:color w:val="000099"/>
      <w:u w:val="single"/>
    </w:rPr>
  </w:style>
  <w:style w:type="paragraph" w:customStyle="1" w:styleId="style30">
    <w:name w:val="style3"/>
    <w:basedOn w:val="a"/>
    <w:rsid w:val="006C0099"/>
    <w:pPr>
      <w:spacing w:after="120"/>
      <w:jc w:val="both"/>
    </w:pPr>
    <w:rPr>
      <w:sz w:val="22"/>
      <w:szCs w:val="22"/>
    </w:rPr>
  </w:style>
  <w:style w:type="character" w:customStyle="1" w:styleId="2Char">
    <w:name w:val="标题 2 Char"/>
    <w:basedOn w:val="a0"/>
    <w:link w:val="2"/>
    <w:uiPriority w:val="9"/>
    <w:semiHidden/>
    <w:rsid w:val="006C0099"/>
    <w:rPr>
      <w:rFonts w:ascii="Times New Roman" w:eastAsia="Times New Roman" w:hAnsi="Times New Roman" w:cs="Times New Roman"/>
      <w:b/>
      <w:bCs/>
      <w:kern w:val="0"/>
      <w:sz w:val="32"/>
      <w:szCs w:val="32"/>
    </w:rPr>
  </w:style>
  <w:style w:type="paragraph" w:customStyle="1" w:styleId="Styletexte">
    <w:name w:val="Style texte"/>
    <w:basedOn w:val="a"/>
    <w:link w:val="StyletexteChar"/>
    <w:rsid w:val="00C14A2F"/>
    <w:pPr>
      <w:spacing w:after="120"/>
      <w:jc w:val="both"/>
    </w:pPr>
    <w:rPr>
      <w:sz w:val="22"/>
      <w:szCs w:val="20"/>
    </w:rPr>
  </w:style>
  <w:style w:type="character" w:customStyle="1" w:styleId="StyletexteChar">
    <w:name w:val="Style texte Char"/>
    <w:link w:val="Styletexte"/>
    <w:rsid w:val="00C14A2F"/>
    <w:rPr>
      <w:rFonts w:ascii="SimSun" w:hAnsi="SimSun" w:cs="SimSu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4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117" Type="http://schemas.openxmlformats.org/officeDocument/2006/relationships/footer" Target="footer8.xml"/><Relationship Id="rId21" Type="http://schemas.openxmlformats.org/officeDocument/2006/relationships/image" Target="media/image3.emf"/><Relationship Id="rId42" Type="http://schemas.openxmlformats.org/officeDocument/2006/relationships/image" Target="media/image24.emf"/><Relationship Id="rId47" Type="http://schemas.openxmlformats.org/officeDocument/2006/relationships/image" Target="media/image29.emf"/><Relationship Id="rId63" Type="http://schemas.openxmlformats.org/officeDocument/2006/relationships/image" Target="media/image42.emf"/><Relationship Id="rId68" Type="http://schemas.openxmlformats.org/officeDocument/2006/relationships/header" Target="header9.xml"/><Relationship Id="rId84" Type="http://schemas.openxmlformats.org/officeDocument/2006/relationships/image" Target="media/image61.emf"/><Relationship Id="rId89" Type="http://schemas.openxmlformats.org/officeDocument/2006/relationships/image" Target="media/image65.emf"/><Relationship Id="rId112" Type="http://schemas.openxmlformats.org/officeDocument/2006/relationships/image" Target="media/image88.emf"/><Relationship Id="rId16" Type="http://schemas.openxmlformats.org/officeDocument/2006/relationships/footer" Target="footer3.xml"/><Relationship Id="rId107" Type="http://schemas.openxmlformats.org/officeDocument/2006/relationships/image" Target="media/image83.emf"/><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4.emf"/><Relationship Id="rId58" Type="http://schemas.openxmlformats.org/officeDocument/2006/relationships/footer" Target="footer5.xml"/><Relationship Id="rId66" Type="http://schemas.openxmlformats.org/officeDocument/2006/relationships/image" Target="media/image45.emf"/><Relationship Id="rId74" Type="http://schemas.openxmlformats.org/officeDocument/2006/relationships/image" Target="media/image51.emf"/><Relationship Id="rId79" Type="http://schemas.openxmlformats.org/officeDocument/2006/relationships/image" Target="media/image56.emf"/><Relationship Id="rId87" Type="http://schemas.openxmlformats.org/officeDocument/2006/relationships/hyperlink" Target="http://www.unjspf.org/" TargetMode="External"/><Relationship Id="rId102" Type="http://schemas.openxmlformats.org/officeDocument/2006/relationships/image" Target="media/image78.emf"/><Relationship Id="rId110" Type="http://schemas.openxmlformats.org/officeDocument/2006/relationships/image" Target="media/image86.emf"/><Relationship Id="rId115" Type="http://schemas.openxmlformats.org/officeDocument/2006/relationships/image" Target="media/image90.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59.emf"/><Relationship Id="rId90" Type="http://schemas.openxmlformats.org/officeDocument/2006/relationships/image" Target="media/image66.emf"/><Relationship Id="rId95" Type="http://schemas.openxmlformats.org/officeDocument/2006/relationships/image" Target="media/image71.emf"/><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7.emf"/><Relationship Id="rId64" Type="http://schemas.openxmlformats.org/officeDocument/2006/relationships/image" Target="media/image43.emf"/><Relationship Id="rId69" Type="http://schemas.openxmlformats.org/officeDocument/2006/relationships/footer" Target="footer6.xml"/><Relationship Id="rId77" Type="http://schemas.openxmlformats.org/officeDocument/2006/relationships/image" Target="media/image54.emf"/><Relationship Id="rId100" Type="http://schemas.openxmlformats.org/officeDocument/2006/relationships/image" Target="media/image76.emf"/><Relationship Id="rId105" Type="http://schemas.openxmlformats.org/officeDocument/2006/relationships/image" Target="media/image81.emf"/><Relationship Id="rId113" Type="http://schemas.openxmlformats.org/officeDocument/2006/relationships/image" Target="media/image89.emf"/><Relationship Id="rId118" Type="http://schemas.openxmlformats.org/officeDocument/2006/relationships/image" Target="media/image92.emf"/><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69.emf"/><Relationship Id="rId98" Type="http://schemas.openxmlformats.org/officeDocument/2006/relationships/image" Target="media/image74.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8.emf"/><Relationship Id="rId67" Type="http://schemas.openxmlformats.org/officeDocument/2006/relationships/image" Target="media/image46.emf"/><Relationship Id="rId103" Type="http://schemas.openxmlformats.org/officeDocument/2006/relationships/image" Target="media/image79.emf"/><Relationship Id="rId108" Type="http://schemas.openxmlformats.org/officeDocument/2006/relationships/image" Target="media/image84.emf"/><Relationship Id="rId116" Type="http://schemas.openxmlformats.org/officeDocument/2006/relationships/image" Target="media/image91.emf"/><Relationship Id="rId20" Type="http://schemas.openxmlformats.org/officeDocument/2006/relationships/image" Target="media/image2.emf"/><Relationship Id="rId41" Type="http://schemas.openxmlformats.org/officeDocument/2006/relationships/image" Target="media/image23.emf"/><Relationship Id="rId54" Type="http://schemas.openxmlformats.org/officeDocument/2006/relationships/image" Target="media/image35.emf"/><Relationship Id="rId62" Type="http://schemas.openxmlformats.org/officeDocument/2006/relationships/image" Target="media/image41.emf"/><Relationship Id="rId70" Type="http://schemas.openxmlformats.org/officeDocument/2006/relationships/image" Target="media/image47.emf"/><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4.emf"/><Relationship Id="rId91" Type="http://schemas.openxmlformats.org/officeDocument/2006/relationships/image" Target="media/image67.emf"/><Relationship Id="rId96" Type="http://schemas.openxmlformats.org/officeDocument/2006/relationships/image" Target="media/image72.emf"/><Relationship Id="rId111" Type="http://schemas.openxmlformats.org/officeDocument/2006/relationships/image" Target="media/image8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header" Target="header8.xml"/><Relationship Id="rId106" Type="http://schemas.openxmlformats.org/officeDocument/2006/relationships/image" Target="media/image82.emf"/><Relationship Id="rId114" Type="http://schemas.openxmlformats.org/officeDocument/2006/relationships/footer" Target="footer7.xml"/><Relationship Id="rId119"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image" Target="media/image50.emf"/><Relationship Id="rId78" Type="http://schemas.openxmlformats.org/officeDocument/2006/relationships/image" Target="media/image55.emf"/><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0.emf"/><Relationship Id="rId99" Type="http://schemas.openxmlformats.org/officeDocument/2006/relationships/image" Target="media/image75.emf"/><Relationship Id="rId101" Type="http://schemas.openxmlformats.org/officeDocument/2006/relationships/image" Target="media/image77.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image" Target="media/image21.emf"/><Relationship Id="rId109" Type="http://schemas.openxmlformats.org/officeDocument/2006/relationships/image" Target="media/image85.emf"/><Relationship Id="rId34" Type="http://schemas.openxmlformats.org/officeDocument/2006/relationships/image" Target="media/image16.emf"/><Relationship Id="rId50" Type="http://schemas.openxmlformats.org/officeDocument/2006/relationships/image" Target="media/image32.emf"/><Relationship Id="rId55" Type="http://schemas.openxmlformats.org/officeDocument/2006/relationships/image" Target="media/image36.emf"/><Relationship Id="rId76" Type="http://schemas.openxmlformats.org/officeDocument/2006/relationships/image" Target="media/image53.emf"/><Relationship Id="rId97" Type="http://schemas.openxmlformats.org/officeDocument/2006/relationships/image" Target="media/image73.emf"/><Relationship Id="rId104" Type="http://schemas.openxmlformats.org/officeDocument/2006/relationships/image" Target="media/image80.emf"/><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48.emf"/><Relationship Id="rId92" Type="http://schemas.openxmlformats.org/officeDocument/2006/relationships/image" Target="media/image68.emf"/><Relationship Id="rId2" Type="http://schemas.openxmlformats.org/officeDocument/2006/relationships/numbering" Target="numbering.xml"/><Relationship Id="rId29" Type="http://schemas.openxmlformats.org/officeDocument/2006/relationships/image" Target="media/image11.emf"/></Relationships>
</file>

<file path=word/theme/theme1.xml><?xml version="1.0" encoding="utf-8"?>
<a:theme xmlns:a="http://schemas.openxmlformats.org/drawingml/2006/main">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SimSun"/>
        <a:ea typeface="黑体"/>
        <a:cs typeface="SimSun"/>
      </a:majorFont>
      <a:minorFont>
        <a:latin typeface="SimSun"/>
        <a:ea typeface="宋体"/>
        <a:cs typeface="SimSu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EA7B-F14B-4080-8545-7FEA5516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18706</Words>
  <Characters>20951</Characters>
  <Application>Microsoft Office Word</Application>
  <DocSecurity>0</DocSecurity>
  <Lines>775</Lines>
  <Paragraphs>574</Paragraphs>
  <ScaleCrop>false</ScaleCrop>
  <Company>World Intellectual Property Organization</Company>
  <LinksUpToDate>false</LinksUpToDate>
  <CharactersWithSpaces>39083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WO/PBC/24/8</dc:title>
  <dc:subject>2014年年度财务报告和财务报表</dc:subject>
  <dc:creator>MA Weihai</dc:creator>
  <cp:lastModifiedBy>MA Weihai</cp:lastModifiedBy>
  <cp:revision>4</cp:revision>
  <cp:lastPrinted>2015-08-02T13:59:00Z</cp:lastPrinted>
  <dcterms:created xsi:type="dcterms:W3CDTF">2015-08-02T14:06:00Z</dcterms:created>
  <dcterms:modified xsi:type="dcterms:W3CDTF">2015-08-04T07:55:00Z</dcterms:modified>
</cp:coreProperties>
</file>