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C5888" w:rsidRPr="001C5888" w:rsidTr="00277C46">
        <w:trPr>
          <w:trHeight w:val="1977"/>
        </w:trPr>
        <w:tc>
          <w:tcPr>
            <w:tcW w:w="4594" w:type="dxa"/>
            <w:tcBorders>
              <w:bottom w:val="single" w:sz="4" w:space="0" w:color="auto"/>
            </w:tcBorders>
            <w:tcMar>
              <w:bottom w:w="170" w:type="dxa"/>
            </w:tcMar>
          </w:tcPr>
          <w:p w:rsidR="001C5888" w:rsidRPr="001C5888" w:rsidRDefault="001C5888" w:rsidP="001C5888">
            <w:bookmarkStart w:id="0" w:name="_GoBack"/>
            <w:bookmarkEnd w:id="0"/>
            <w:r w:rsidRPr="001C5888">
              <w:rPr>
                <w:noProof/>
                <w:lang w:eastAsia="en-US"/>
              </w:rPr>
              <w:drawing>
                <wp:anchor distT="0" distB="0" distL="114300" distR="114300" simplePos="0" relativeHeight="251659264" behindDoc="1" locked="0" layoutInCell="0" allowOverlap="1" wp14:anchorId="78ECE8F6" wp14:editId="33B22D2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C5888" w:rsidRPr="001C5888" w:rsidRDefault="001C5888" w:rsidP="001C5888"/>
        </w:tc>
        <w:tc>
          <w:tcPr>
            <w:tcW w:w="425" w:type="dxa"/>
            <w:tcBorders>
              <w:bottom w:val="single" w:sz="4" w:space="0" w:color="auto"/>
            </w:tcBorders>
            <w:tcMar>
              <w:left w:w="0" w:type="dxa"/>
              <w:right w:w="0" w:type="dxa"/>
            </w:tcMar>
          </w:tcPr>
          <w:p w:rsidR="001C5888" w:rsidRPr="001C5888" w:rsidRDefault="001C5888" w:rsidP="001C5888">
            <w:pPr>
              <w:jc w:val="right"/>
            </w:pPr>
            <w:r w:rsidRPr="001C5888">
              <w:rPr>
                <w:b/>
                <w:sz w:val="40"/>
                <w:szCs w:val="40"/>
              </w:rPr>
              <w:t>C</w:t>
            </w:r>
          </w:p>
        </w:tc>
      </w:tr>
      <w:tr w:rsidR="001C5888" w:rsidRPr="001C5888" w:rsidTr="00277C46">
        <w:trPr>
          <w:trHeight w:hRule="exact" w:val="340"/>
        </w:trPr>
        <w:tc>
          <w:tcPr>
            <w:tcW w:w="9356" w:type="dxa"/>
            <w:gridSpan w:val="3"/>
            <w:tcBorders>
              <w:top w:val="single" w:sz="4" w:space="0" w:color="auto"/>
            </w:tcBorders>
            <w:tcMar>
              <w:top w:w="170" w:type="dxa"/>
              <w:left w:w="0" w:type="dxa"/>
              <w:right w:w="0" w:type="dxa"/>
            </w:tcMar>
            <w:vAlign w:val="bottom"/>
          </w:tcPr>
          <w:p w:rsidR="001C5888" w:rsidRPr="001C5888" w:rsidRDefault="001C5888" w:rsidP="001C5888">
            <w:pPr>
              <w:wordWrap w:val="0"/>
              <w:jc w:val="right"/>
              <w:rPr>
                <w:rFonts w:ascii="Arial Black" w:hAnsi="Arial Black"/>
                <w:caps/>
                <w:sz w:val="15"/>
              </w:rPr>
            </w:pPr>
            <w:r w:rsidRPr="001C5888">
              <w:rPr>
                <w:rFonts w:ascii="Arial Black" w:hAnsi="Arial Black"/>
                <w:caps/>
                <w:sz w:val="15"/>
              </w:rPr>
              <w:t>wo/pbc</w:t>
            </w:r>
            <w:r w:rsidRPr="001C5888">
              <w:rPr>
                <w:rFonts w:ascii="Arial Black" w:hAnsi="Arial Black" w:hint="eastAsia"/>
                <w:caps/>
                <w:sz w:val="15"/>
              </w:rPr>
              <w:t>/24/</w:t>
            </w:r>
            <w:bookmarkStart w:id="1" w:name="Code"/>
            <w:bookmarkEnd w:id="1"/>
            <w:r w:rsidRPr="001C5888">
              <w:rPr>
                <w:rFonts w:ascii="Arial Black" w:hAnsi="Arial Black" w:hint="eastAsia"/>
                <w:caps/>
                <w:sz w:val="15"/>
              </w:rPr>
              <w:t>1</w:t>
            </w:r>
            <w:r>
              <w:rPr>
                <w:rFonts w:ascii="Arial Black" w:hAnsi="Arial Black" w:hint="eastAsia"/>
                <w:caps/>
                <w:sz w:val="15"/>
              </w:rPr>
              <w:t>3</w:t>
            </w:r>
          </w:p>
        </w:tc>
      </w:tr>
      <w:tr w:rsidR="001C5888" w:rsidRPr="001C5888" w:rsidTr="00277C46">
        <w:trPr>
          <w:trHeight w:hRule="exact" w:val="170"/>
        </w:trPr>
        <w:tc>
          <w:tcPr>
            <w:tcW w:w="9356" w:type="dxa"/>
            <w:gridSpan w:val="3"/>
            <w:noWrap/>
            <w:tcMar>
              <w:left w:w="0" w:type="dxa"/>
              <w:right w:w="0" w:type="dxa"/>
            </w:tcMar>
            <w:vAlign w:val="bottom"/>
          </w:tcPr>
          <w:p w:rsidR="001C5888" w:rsidRPr="001C5888" w:rsidRDefault="001C5888" w:rsidP="001C5888">
            <w:pPr>
              <w:jc w:val="right"/>
              <w:rPr>
                <w:rFonts w:ascii="Arial Black" w:hAnsi="Arial Black"/>
                <w:b/>
                <w:caps/>
                <w:sz w:val="15"/>
                <w:szCs w:val="15"/>
              </w:rPr>
            </w:pPr>
            <w:r w:rsidRPr="001C5888">
              <w:rPr>
                <w:rFonts w:eastAsia="SimHei" w:hint="eastAsia"/>
                <w:b/>
                <w:sz w:val="15"/>
                <w:szCs w:val="15"/>
              </w:rPr>
              <w:t>原</w:t>
            </w:r>
            <w:r w:rsidRPr="001C5888">
              <w:rPr>
                <w:rFonts w:eastAsia="SimHei"/>
                <w:b/>
                <w:sz w:val="15"/>
                <w:szCs w:val="15"/>
                <w:lang w:val="pt-BR"/>
              </w:rPr>
              <w:t xml:space="preserve"> </w:t>
            </w:r>
            <w:r w:rsidRPr="001C5888">
              <w:rPr>
                <w:rFonts w:eastAsia="SimHei" w:hint="eastAsia"/>
                <w:b/>
                <w:sz w:val="15"/>
                <w:szCs w:val="15"/>
              </w:rPr>
              <w:t>文</w:t>
            </w:r>
            <w:r w:rsidRPr="001C5888">
              <w:rPr>
                <w:rFonts w:eastAsia="SimHei" w:hint="eastAsia"/>
                <w:b/>
                <w:sz w:val="15"/>
                <w:szCs w:val="15"/>
                <w:lang w:val="pt-BR"/>
              </w:rPr>
              <w:t>：</w:t>
            </w:r>
            <w:bookmarkStart w:id="2" w:name="Original"/>
            <w:bookmarkEnd w:id="2"/>
            <w:r w:rsidRPr="001C5888">
              <w:rPr>
                <w:rFonts w:eastAsia="SimHei" w:hint="eastAsia"/>
                <w:b/>
                <w:sz w:val="15"/>
                <w:szCs w:val="15"/>
                <w:lang w:val="pt-BR"/>
              </w:rPr>
              <w:t>英文</w:t>
            </w:r>
          </w:p>
        </w:tc>
      </w:tr>
      <w:tr w:rsidR="001C5888" w:rsidRPr="001C5888" w:rsidTr="00277C46">
        <w:trPr>
          <w:trHeight w:hRule="exact" w:val="198"/>
        </w:trPr>
        <w:tc>
          <w:tcPr>
            <w:tcW w:w="9356" w:type="dxa"/>
            <w:gridSpan w:val="3"/>
            <w:tcMar>
              <w:left w:w="0" w:type="dxa"/>
              <w:right w:w="0" w:type="dxa"/>
            </w:tcMar>
            <w:vAlign w:val="bottom"/>
          </w:tcPr>
          <w:p w:rsidR="001C5888" w:rsidRPr="001C5888" w:rsidRDefault="001C5888" w:rsidP="001C5888">
            <w:pPr>
              <w:jc w:val="right"/>
              <w:rPr>
                <w:rFonts w:ascii="SimHei" w:eastAsia="SimHei" w:hAnsi="Arial Black"/>
                <w:b/>
                <w:caps/>
                <w:sz w:val="15"/>
                <w:szCs w:val="15"/>
              </w:rPr>
            </w:pPr>
            <w:r w:rsidRPr="001C5888">
              <w:rPr>
                <w:rFonts w:ascii="SimHei" w:eastAsia="SimHei" w:hint="eastAsia"/>
                <w:b/>
                <w:sz w:val="15"/>
                <w:szCs w:val="15"/>
              </w:rPr>
              <w:t>日</w:t>
            </w:r>
            <w:r w:rsidRPr="001C5888">
              <w:rPr>
                <w:rFonts w:ascii="SimHei" w:eastAsia="SimHei" w:hint="eastAsia"/>
                <w:b/>
                <w:sz w:val="15"/>
                <w:szCs w:val="15"/>
                <w:lang w:val="pt-BR"/>
              </w:rPr>
              <w:t xml:space="preserve"> </w:t>
            </w:r>
            <w:r w:rsidRPr="001C5888">
              <w:rPr>
                <w:rFonts w:ascii="SimHei" w:eastAsia="SimHei" w:hint="eastAsia"/>
                <w:b/>
                <w:sz w:val="15"/>
                <w:szCs w:val="15"/>
              </w:rPr>
              <w:t>期</w:t>
            </w:r>
            <w:r w:rsidRPr="001C5888">
              <w:rPr>
                <w:rFonts w:ascii="SimHei" w:eastAsia="SimHei" w:hAnsi="SimSun" w:hint="eastAsia"/>
                <w:b/>
                <w:sz w:val="15"/>
                <w:szCs w:val="15"/>
                <w:lang w:val="pt-BR"/>
              </w:rPr>
              <w:t>：</w:t>
            </w:r>
            <w:bookmarkStart w:id="3" w:name="Date"/>
            <w:bookmarkEnd w:id="3"/>
            <w:r w:rsidRPr="001C5888">
              <w:rPr>
                <w:rFonts w:ascii="Arial Black" w:eastAsia="SimHei" w:hAnsi="Arial Black" w:hint="eastAsia"/>
                <w:b/>
                <w:sz w:val="15"/>
                <w:szCs w:val="15"/>
                <w:lang w:val="pt-BR"/>
              </w:rPr>
              <w:t>2015</w:t>
            </w:r>
            <w:r w:rsidRPr="001C5888">
              <w:rPr>
                <w:rFonts w:ascii="SimHei" w:eastAsia="SimHei" w:hAnsi="Times New Roman" w:hint="eastAsia"/>
                <w:b/>
                <w:sz w:val="15"/>
                <w:szCs w:val="15"/>
              </w:rPr>
              <w:t>年</w:t>
            </w:r>
            <w:r w:rsidRPr="001C5888">
              <w:rPr>
                <w:rFonts w:ascii="Arial Black" w:eastAsia="SimHei" w:hAnsi="Arial Black" w:hint="eastAsia"/>
                <w:b/>
                <w:sz w:val="15"/>
                <w:szCs w:val="15"/>
                <w:lang w:val="pt-BR"/>
              </w:rPr>
              <w:t>9</w:t>
            </w:r>
            <w:r w:rsidRPr="001C5888">
              <w:rPr>
                <w:rFonts w:ascii="SimHei" w:eastAsia="SimHei" w:hAnsi="Times New Roman" w:hint="eastAsia"/>
                <w:b/>
                <w:sz w:val="15"/>
                <w:szCs w:val="15"/>
              </w:rPr>
              <w:t>月</w:t>
            </w:r>
            <w:r w:rsidRPr="001C5888">
              <w:rPr>
                <w:rFonts w:ascii="Arial Black" w:eastAsia="SimHei" w:hAnsi="Arial Black" w:hint="eastAsia"/>
                <w:b/>
                <w:sz w:val="15"/>
                <w:szCs w:val="15"/>
              </w:rPr>
              <w:t>1</w:t>
            </w:r>
            <w:r>
              <w:rPr>
                <w:rFonts w:ascii="Arial Black" w:eastAsia="SimHei" w:hAnsi="Arial Black" w:hint="eastAsia"/>
                <w:b/>
                <w:sz w:val="15"/>
                <w:szCs w:val="15"/>
              </w:rPr>
              <w:t>5</w:t>
            </w:r>
            <w:r w:rsidRPr="001C5888">
              <w:rPr>
                <w:rFonts w:ascii="SimHei" w:eastAsia="SimHei" w:hAnsi="Times New Roman" w:hint="eastAsia"/>
                <w:b/>
                <w:sz w:val="15"/>
                <w:szCs w:val="15"/>
              </w:rPr>
              <w:t>日</w:t>
            </w:r>
            <w:r w:rsidRPr="001C5888">
              <w:rPr>
                <w:rFonts w:ascii="SimHei" w:eastAsia="SimHei" w:hAnsi="Arial Black" w:hint="eastAsia"/>
                <w:b/>
                <w:caps/>
                <w:sz w:val="15"/>
                <w:szCs w:val="15"/>
              </w:rPr>
              <w:t xml:space="preserve">  </w:t>
            </w:r>
          </w:p>
        </w:tc>
      </w:tr>
    </w:tbl>
    <w:p w:rsidR="001C5888" w:rsidRPr="001C5888" w:rsidRDefault="001C5888" w:rsidP="001C5888"/>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ascii="SimHei" w:eastAsia="SimHei" w:hAnsi="Calibri" w:cs="Times New Roman"/>
          <w:kern w:val="2"/>
          <w:sz w:val="28"/>
          <w:szCs w:val="28"/>
        </w:rPr>
      </w:pPr>
      <w:r w:rsidRPr="001C5888">
        <w:rPr>
          <w:rFonts w:ascii="SimHei" w:eastAsia="SimHei" w:hAnsi="Calibri" w:cs="Times New Roman" w:hint="eastAsia"/>
          <w:kern w:val="2"/>
          <w:sz w:val="28"/>
          <w:szCs w:val="28"/>
        </w:rPr>
        <w:t>计划和预算委员会</w:t>
      </w: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autoSpaceDE w:val="0"/>
        <w:autoSpaceDN w:val="0"/>
        <w:jc w:val="both"/>
        <w:textAlignment w:val="bottom"/>
        <w:rPr>
          <w:rFonts w:ascii="KaiTi" w:eastAsia="KaiTi" w:hAnsi="Calibri" w:cs="Times New Roman"/>
          <w:b/>
          <w:kern w:val="2"/>
          <w:sz w:val="24"/>
          <w:szCs w:val="24"/>
        </w:rPr>
      </w:pPr>
      <w:r w:rsidRPr="001C5888">
        <w:rPr>
          <w:rFonts w:ascii="KaiTi" w:eastAsia="KaiTi" w:hAnsi="Calibri" w:cs="Times New Roman" w:hint="eastAsia"/>
          <w:b/>
          <w:kern w:val="2"/>
          <w:sz w:val="24"/>
          <w:szCs w:val="24"/>
        </w:rPr>
        <w:t>第二十四届会议</w:t>
      </w:r>
    </w:p>
    <w:p w:rsidR="001C5888" w:rsidRPr="001C5888" w:rsidRDefault="001C5888" w:rsidP="001C5888">
      <w:pPr>
        <w:widowControl w:val="0"/>
        <w:jc w:val="both"/>
        <w:rPr>
          <w:rFonts w:ascii="KaiTi" w:eastAsia="KaiTi" w:hAnsi="KaiTi" w:cs="Times New Roman"/>
          <w:b/>
          <w:kern w:val="2"/>
          <w:sz w:val="24"/>
          <w:szCs w:val="24"/>
        </w:rPr>
      </w:pPr>
      <w:r w:rsidRPr="001C5888">
        <w:rPr>
          <w:rFonts w:ascii="KaiTi" w:eastAsia="KaiTi" w:hAnsi="KaiTi" w:cs="Times New Roman"/>
          <w:kern w:val="2"/>
          <w:sz w:val="24"/>
          <w:szCs w:val="24"/>
        </w:rPr>
        <w:t>201</w:t>
      </w:r>
      <w:r w:rsidRPr="001C5888">
        <w:rPr>
          <w:rFonts w:ascii="KaiTi" w:eastAsia="KaiTi" w:hAnsi="KaiTi" w:cs="Times New Roman" w:hint="eastAsia"/>
          <w:kern w:val="2"/>
          <w:sz w:val="24"/>
          <w:szCs w:val="24"/>
        </w:rPr>
        <w:t>5</w:t>
      </w:r>
      <w:r w:rsidRPr="001C5888">
        <w:rPr>
          <w:rFonts w:ascii="KaiTi" w:eastAsia="KaiTi" w:hAnsi="KaiTi" w:hint="eastAsia"/>
          <w:b/>
          <w:kern w:val="2"/>
          <w:sz w:val="24"/>
          <w:szCs w:val="24"/>
        </w:rPr>
        <w:t>年</w:t>
      </w:r>
      <w:r w:rsidRPr="001C5888">
        <w:rPr>
          <w:rFonts w:ascii="KaiTi" w:eastAsia="KaiTi" w:hAnsi="KaiTi" w:cs="Times New Roman" w:hint="eastAsia"/>
          <w:kern w:val="2"/>
          <w:sz w:val="24"/>
          <w:szCs w:val="24"/>
        </w:rPr>
        <w:t>9</w:t>
      </w:r>
      <w:r w:rsidRPr="001C5888">
        <w:rPr>
          <w:rFonts w:ascii="KaiTi" w:eastAsia="KaiTi" w:hAnsi="KaiTi" w:hint="eastAsia"/>
          <w:b/>
          <w:kern w:val="2"/>
          <w:sz w:val="24"/>
          <w:szCs w:val="24"/>
        </w:rPr>
        <w:t>月</w:t>
      </w:r>
      <w:r w:rsidRPr="001C5888">
        <w:rPr>
          <w:rFonts w:ascii="KaiTi" w:eastAsia="KaiTi" w:hAnsi="KaiTi" w:hint="eastAsia"/>
          <w:kern w:val="2"/>
          <w:sz w:val="24"/>
          <w:szCs w:val="24"/>
        </w:rPr>
        <w:t>14</w:t>
      </w:r>
      <w:r w:rsidRPr="001C5888">
        <w:rPr>
          <w:rFonts w:ascii="KaiTi" w:eastAsia="KaiTi" w:hAnsi="KaiTi" w:hint="eastAsia"/>
          <w:b/>
          <w:kern w:val="2"/>
          <w:sz w:val="24"/>
          <w:szCs w:val="24"/>
        </w:rPr>
        <w:t>日至</w:t>
      </w:r>
      <w:r w:rsidRPr="001C5888">
        <w:rPr>
          <w:rFonts w:ascii="KaiTi" w:eastAsia="KaiTi" w:hAnsi="KaiTi" w:cs="Times New Roman" w:hint="eastAsia"/>
          <w:kern w:val="2"/>
          <w:sz w:val="24"/>
          <w:szCs w:val="24"/>
        </w:rPr>
        <w:t>18</w:t>
      </w:r>
      <w:r w:rsidRPr="001C5888">
        <w:rPr>
          <w:rFonts w:ascii="KaiTi" w:eastAsia="KaiTi" w:hAnsi="KaiTi" w:hint="eastAsia"/>
          <w:b/>
          <w:kern w:val="2"/>
          <w:sz w:val="24"/>
          <w:szCs w:val="24"/>
        </w:rPr>
        <w:t>日，日内瓦</w:t>
      </w: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ind w:rightChars="-493" w:right="-1085"/>
        <w:jc w:val="both"/>
        <w:rPr>
          <w:rFonts w:ascii="KaiTi" w:eastAsia="KaiTi" w:hAnsi="KaiTi"/>
          <w:caps/>
          <w:kern w:val="2"/>
          <w:sz w:val="24"/>
          <w:szCs w:val="24"/>
        </w:rPr>
      </w:pPr>
      <w:bookmarkStart w:id="4" w:name="TitleOfDoc"/>
      <w:bookmarkEnd w:id="4"/>
      <w:r w:rsidRPr="001C5888">
        <w:rPr>
          <w:rFonts w:ascii="KaiTi" w:eastAsia="KaiTi" w:hAnsi="KaiTi" w:hint="eastAsia"/>
          <w:caps/>
          <w:kern w:val="2"/>
          <w:sz w:val="24"/>
          <w:szCs w:val="24"/>
        </w:rPr>
        <w:t>新建筑项目和新会议厅项目进展报告</w:t>
      </w:r>
    </w:p>
    <w:p w:rsidR="001C5888" w:rsidRPr="001C5888" w:rsidRDefault="001C5888" w:rsidP="001C5888">
      <w:pPr>
        <w:widowControl w:val="0"/>
        <w:jc w:val="both"/>
        <w:rPr>
          <w:rFonts w:cs="Times New Roman"/>
          <w:kern w:val="2"/>
          <w:szCs w:val="22"/>
        </w:rPr>
      </w:pPr>
    </w:p>
    <w:p w:rsidR="001C5888" w:rsidRPr="001C5888" w:rsidRDefault="001C5888" w:rsidP="001C5888">
      <w:pPr>
        <w:widowControl w:val="0"/>
        <w:jc w:val="both"/>
        <w:rPr>
          <w:rFonts w:ascii="KaiTi" w:eastAsia="KaiTi" w:hAnsi="KaiTi"/>
          <w:i/>
          <w:kern w:val="2"/>
          <w:sz w:val="21"/>
          <w:szCs w:val="21"/>
        </w:rPr>
      </w:pPr>
      <w:bookmarkStart w:id="5" w:name="Prepared"/>
      <w:bookmarkEnd w:id="5"/>
      <w:r>
        <w:rPr>
          <w:rFonts w:ascii="KaiTi" w:eastAsia="KaiTi" w:hAnsi="KaiTi" w:hint="eastAsia"/>
          <w:i/>
          <w:kern w:val="2"/>
          <w:sz w:val="21"/>
          <w:szCs w:val="21"/>
        </w:rPr>
        <w:t>秘书处编拟</w:t>
      </w:r>
    </w:p>
    <w:p w:rsidR="001C5888" w:rsidRPr="001C5888" w:rsidRDefault="001C5888" w:rsidP="001C5888"/>
    <w:p w:rsidR="001C5888" w:rsidRPr="001C5888" w:rsidRDefault="001C5888" w:rsidP="001C5888"/>
    <w:p w:rsidR="001C5888" w:rsidRPr="001C5888" w:rsidRDefault="001C5888" w:rsidP="001C5888"/>
    <w:p w:rsidR="001C5888" w:rsidRPr="001C5888" w:rsidRDefault="001C5888" w:rsidP="001C5888"/>
    <w:p w:rsidR="001C5888" w:rsidRPr="001C5888" w:rsidRDefault="008D4FC5"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导</w:t>
      </w:r>
      <w:r w:rsidR="001C5888">
        <w:rPr>
          <w:rFonts w:ascii="SimHei" w:eastAsia="SimHei" w:hAnsi="SimHei" w:hint="eastAsia"/>
          <w:sz w:val="21"/>
        </w:rPr>
        <w:t xml:space="preserve">　</w:t>
      </w:r>
      <w:r w:rsidRPr="001C5888">
        <w:rPr>
          <w:rFonts w:ascii="SimHei" w:eastAsia="SimHei" w:hAnsi="SimHei" w:hint="eastAsia"/>
          <w:sz w:val="21"/>
        </w:rPr>
        <w:t>言</w:t>
      </w:r>
    </w:p>
    <w:p w:rsidR="001C5888" w:rsidRDefault="008D4FC5"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本文件旨在向计划和预算委员会(PBC)</w:t>
      </w:r>
      <w:r w:rsidR="00AE5105">
        <w:rPr>
          <w:rFonts w:ascii="SimSun" w:hAnsi="SimSun" w:hint="eastAsia"/>
          <w:sz w:val="21"/>
        </w:rPr>
        <w:t>提</w:t>
      </w:r>
      <w:r w:rsidRPr="001C5888">
        <w:rPr>
          <w:rFonts w:ascii="SimSun" w:hAnsi="SimSun" w:hint="eastAsia"/>
          <w:sz w:val="21"/>
        </w:rPr>
        <w:t>交新建筑项目和新会议厅项目</w:t>
      </w:r>
      <w:r w:rsidR="00806459" w:rsidRPr="001C5888">
        <w:rPr>
          <w:rFonts w:ascii="SimSun" w:hAnsi="SimSun" w:hint="eastAsia"/>
          <w:sz w:val="21"/>
        </w:rPr>
        <w:t>的最新进展报告</w:t>
      </w:r>
      <w:r w:rsidR="00806459">
        <w:rPr>
          <w:rFonts w:ascii="SimSun" w:hAnsi="SimSun" w:hint="eastAsia"/>
          <w:sz w:val="21"/>
        </w:rPr>
        <w:t>，涉及</w:t>
      </w:r>
      <w:r w:rsidRPr="001C5888">
        <w:rPr>
          <w:rFonts w:ascii="SimSun" w:hAnsi="SimSun" w:hint="eastAsia"/>
          <w:sz w:val="21"/>
        </w:rPr>
        <w:t>2014年9月向</w:t>
      </w:r>
      <w:r w:rsidRPr="001C5888">
        <w:rPr>
          <w:rFonts w:ascii="SimSun" w:hAnsi="SimSun"/>
          <w:sz w:val="21"/>
        </w:rPr>
        <w:t>PBC</w:t>
      </w:r>
      <w:r w:rsidR="00AE5105">
        <w:rPr>
          <w:rFonts w:ascii="SimSun" w:hAnsi="SimSun" w:hint="eastAsia"/>
          <w:sz w:val="21"/>
        </w:rPr>
        <w:t>提</w:t>
      </w:r>
      <w:r w:rsidRPr="001C5888">
        <w:rPr>
          <w:rFonts w:ascii="SimSun" w:hAnsi="SimSun" w:hint="eastAsia"/>
          <w:sz w:val="21"/>
        </w:rPr>
        <w:t>交</w:t>
      </w:r>
      <w:r w:rsidR="00806459">
        <w:rPr>
          <w:rFonts w:ascii="SimSun" w:hAnsi="SimSun" w:hint="eastAsia"/>
          <w:sz w:val="21"/>
        </w:rPr>
        <w:t>两项目</w:t>
      </w:r>
      <w:r w:rsidRPr="001C5888">
        <w:rPr>
          <w:rFonts w:ascii="SimSun" w:hAnsi="SimSun" w:hint="eastAsia"/>
          <w:sz w:val="21"/>
        </w:rPr>
        <w:t>上</w:t>
      </w:r>
      <w:r w:rsidR="00806459">
        <w:rPr>
          <w:rFonts w:ascii="SimSun" w:hAnsi="SimSun" w:hint="eastAsia"/>
          <w:sz w:val="21"/>
        </w:rPr>
        <w:t>一份</w:t>
      </w:r>
      <w:r w:rsidRPr="001C5888">
        <w:rPr>
          <w:rFonts w:ascii="SimSun" w:hAnsi="SimSun" w:hint="eastAsia"/>
          <w:sz w:val="21"/>
        </w:rPr>
        <w:t>进展报告(文件WO/PBC/22/14)以来</w:t>
      </w:r>
      <w:r w:rsidR="00806459">
        <w:rPr>
          <w:rFonts w:ascii="SimSun" w:hAnsi="SimSun" w:hint="eastAsia"/>
          <w:sz w:val="21"/>
        </w:rPr>
        <w:t>的期间</w:t>
      </w:r>
      <w:r w:rsidRPr="001C5888">
        <w:rPr>
          <w:rFonts w:ascii="SimSun" w:hAnsi="SimSun" w:hint="eastAsia"/>
          <w:sz w:val="21"/>
        </w:rPr>
        <w:t>。</w:t>
      </w:r>
    </w:p>
    <w:p w:rsidR="001C5888" w:rsidRPr="001C5888" w:rsidRDefault="006972DE"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两项目的业务进展报告</w:t>
      </w:r>
    </w:p>
    <w:p w:rsidR="001C5888" w:rsidRDefault="008D4FC5"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关于</w:t>
      </w:r>
      <w:r w:rsidRPr="001C5888">
        <w:rPr>
          <w:rFonts w:ascii="SimSun" w:hAnsi="SimSun" w:hint="eastAsia"/>
          <w:sz w:val="21"/>
          <w:u w:val="single"/>
        </w:rPr>
        <w:t>新建筑项目</w:t>
      </w:r>
      <w:r w:rsidRPr="001C5888">
        <w:rPr>
          <w:rFonts w:ascii="SimSun" w:hAnsi="SimSun" w:hint="eastAsia"/>
          <w:sz w:val="21"/>
        </w:rPr>
        <w:t>，截至本文件撰写之日</w:t>
      </w:r>
      <w:r w:rsidR="00286937" w:rsidRPr="001C5888">
        <w:rPr>
          <w:rFonts w:ascii="SimSun" w:hAnsi="SimSun" w:hint="eastAsia"/>
          <w:sz w:val="21"/>
        </w:rPr>
        <w:t>，</w:t>
      </w:r>
      <w:r w:rsidR="006972DE" w:rsidRPr="001C5888">
        <w:rPr>
          <w:rFonts w:ascii="SimSun" w:hAnsi="SimSun" w:hint="eastAsia"/>
          <w:sz w:val="21"/>
        </w:rPr>
        <w:t>新楼内部和周围在2014年9月前尚未完成的各项工程情况如下：</w:t>
      </w:r>
    </w:p>
    <w:p w:rsidR="001C5888" w:rsidRDefault="009A7471" w:rsidP="00AE5105">
      <w:pPr>
        <w:pStyle w:val="ListParagraph"/>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在2014年</w:t>
      </w:r>
      <w:r w:rsidRPr="001C5888">
        <w:rPr>
          <w:rFonts w:ascii="KaiTi" w:eastAsia="KaiTi" w:hAnsi="KaiTi"/>
          <w:i/>
          <w:sz w:val="21"/>
        </w:rPr>
        <w:t>PBC</w:t>
      </w:r>
      <w:r w:rsidRPr="001C5888">
        <w:rPr>
          <w:rFonts w:ascii="KaiTi" w:eastAsia="KaiTi" w:hAnsi="KaiTi" w:hint="eastAsia"/>
          <w:i/>
          <w:sz w:val="21"/>
        </w:rPr>
        <w:t>会议后</w:t>
      </w:r>
      <w:r w:rsidR="00AE5105">
        <w:rPr>
          <w:rFonts w:ascii="KaiTi" w:eastAsia="KaiTi" w:hAnsi="KaiTi" w:hint="eastAsia"/>
          <w:i/>
          <w:sz w:val="21"/>
        </w:rPr>
        <w:t>、</w:t>
      </w:r>
      <w:r w:rsidRPr="001C5888">
        <w:rPr>
          <w:rFonts w:ascii="KaiTi" w:eastAsia="KaiTi" w:hAnsi="KaiTi" w:hint="eastAsia"/>
          <w:i/>
          <w:sz w:val="21"/>
        </w:rPr>
        <w:t>2014年</w:t>
      </w:r>
      <w:r w:rsidR="00AE5105">
        <w:rPr>
          <w:rFonts w:ascii="KaiTi" w:eastAsia="KaiTi" w:hAnsi="KaiTi" w:hint="eastAsia"/>
          <w:i/>
          <w:sz w:val="21"/>
        </w:rPr>
        <w:t>年</w:t>
      </w:r>
      <w:r w:rsidRPr="001C5888">
        <w:rPr>
          <w:rFonts w:ascii="KaiTi" w:eastAsia="KaiTi" w:hAnsi="KaiTi" w:hint="eastAsia"/>
          <w:i/>
          <w:sz w:val="21"/>
        </w:rPr>
        <w:t>底前完成：</w:t>
      </w:r>
      <w:r w:rsidR="006972DE" w:rsidRPr="001C5888">
        <w:rPr>
          <w:rFonts w:ascii="SimSun" w:hAnsi="SimSun" w:hint="eastAsia"/>
          <w:sz w:val="21"/>
        </w:rPr>
        <w:t>新楼前的外部景观工程、新楼内部楼梯间窗户的更换和维修工程；</w:t>
      </w:r>
    </w:p>
    <w:p w:rsidR="001C5888" w:rsidRDefault="009A7471" w:rsidP="00AE5105">
      <w:pPr>
        <w:pStyle w:val="ListParagraph"/>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在2015年上半年完成：</w:t>
      </w:r>
      <w:r w:rsidR="0074257B" w:rsidRPr="001C5888">
        <w:rPr>
          <w:rFonts w:ascii="SimSun" w:hAnsi="SimSun" w:hint="eastAsia"/>
          <w:sz w:val="21"/>
        </w:rPr>
        <w:t>各种未完工的小型工程；</w:t>
      </w:r>
    </w:p>
    <w:p w:rsidR="001C5888" w:rsidRDefault="00FE2BDC" w:rsidP="00AE5105">
      <w:pPr>
        <w:pStyle w:val="ListParagraph"/>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预计于2015年</w:t>
      </w:r>
      <w:r w:rsidR="00170773">
        <w:rPr>
          <w:rFonts w:ascii="KaiTi" w:eastAsia="KaiTi" w:hAnsi="KaiTi" w:hint="eastAsia"/>
          <w:i/>
          <w:sz w:val="21"/>
        </w:rPr>
        <w:t>年</w:t>
      </w:r>
      <w:r w:rsidRPr="001C5888">
        <w:rPr>
          <w:rFonts w:ascii="KaiTi" w:eastAsia="KaiTi" w:hAnsi="KaiTi" w:hint="eastAsia"/>
          <w:i/>
          <w:sz w:val="21"/>
        </w:rPr>
        <w:t>底完成：</w:t>
      </w:r>
      <w:r w:rsidRPr="001C5888">
        <w:rPr>
          <w:rFonts w:ascii="SimSun" w:hAnsi="SimSun" w:hint="eastAsia"/>
          <w:sz w:val="21"/>
        </w:rPr>
        <w:t>首层窗户更换和维修工程</w:t>
      </w:r>
      <w:r w:rsidR="00821AD3" w:rsidRPr="001C5888">
        <w:rPr>
          <w:rFonts w:ascii="SimSun" w:hAnsi="SimSun"/>
          <w:sz w:val="21"/>
        </w:rPr>
        <w:t>(</w:t>
      </w:r>
      <w:r w:rsidRPr="001C5888">
        <w:rPr>
          <w:rFonts w:ascii="SimSun" w:hAnsi="SimSun" w:hint="eastAsia"/>
          <w:sz w:val="21"/>
        </w:rPr>
        <w:t>始于2015年6月，在2015年大会期间将中断</w:t>
      </w:r>
      <w:r w:rsidR="00821AD3" w:rsidRPr="001C5888">
        <w:rPr>
          <w:rFonts w:ascii="SimSun" w:hAnsi="SimSun"/>
          <w:sz w:val="21"/>
        </w:rPr>
        <w:t>)</w:t>
      </w:r>
      <w:r w:rsidRPr="001C5888">
        <w:rPr>
          <w:rFonts w:ascii="SimSun" w:hAnsi="SimSun" w:hint="eastAsia"/>
          <w:sz w:val="21"/>
        </w:rPr>
        <w:t>。</w:t>
      </w:r>
    </w:p>
    <w:p w:rsidR="001C5888" w:rsidRDefault="00EE15BC"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关于</w:t>
      </w:r>
      <w:r w:rsidRPr="001C5888">
        <w:rPr>
          <w:rFonts w:ascii="SimSun" w:hAnsi="SimSun" w:hint="eastAsia"/>
          <w:sz w:val="21"/>
          <w:u w:val="single"/>
        </w:rPr>
        <w:t>新会议厅项目</w:t>
      </w:r>
      <w:r w:rsidRPr="001C5888">
        <w:rPr>
          <w:rFonts w:ascii="SimSun" w:hAnsi="SimSun" w:hint="eastAsia"/>
          <w:sz w:val="21"/>
        </w:rPr>
        <w:t>，截至本文件撰写之日，</w:t>
      </w:r>
      <w:r w:rsidR="00E63926" w:rsidRPr="001C5888">
        <w:rPr>
          <w:rFonts w:ascii="SimSun" w:hAnsi="SimSun" w:hint="eastAsia"/>
          <w:sz w:val="21"/>
        </w:rPr>
        <w:t>在2014年9月前尚未完成的各项工程情况如下：</w:t>
      </w:r>
    </w:p>
    <w:p w:rsidR="001C5888" w:rsidRDefault="009A7471" w:rsidP="00AE5105">
      <w:pPr>
        <w:pStyle w:val="ListParagraph"/>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t>在2014年</w:t>
      </w:r>
      <w:r w:rsidRPr="001C5888">
        <w:rPr>
          <w:rFonts w:ascii="KaiTi" w:eastAsia="KaiTi" w:hAnsi="KaiTi"/>
          <w:i/>
          <w:sz w:val="21"/>
        </w:rPr>
        <w:t>PBC</w:t>
      </w:r>
      <w:r w:rsidRPr="001C5888">
        <w:rPr>
          <w:rFonts w:ascii="KaiTi" w:eastAsia="KaiTi" w:hAnsi="KaiTi" w:hint="eastAsia"/>
          <w:i/>
          <w:sz w:val="21"/>
        </w:rPr>
        <w:t>会议后</w:t>
      </w:r>
      <w:r w:rsidR="00170773">
        <w:rPr>
          <w:rFonts w:ascii="KaiTi" w:eastAsia="KaiTi" w:hAnsi="KaiTi" w:hint="eastAsia"/>
          <w:i/>
          <w:sz w:val="21"/>
        </w:rPr>
        <w:t>、</w:t>
      </w:r>
      <w:r w:rsidRPr="001C5888">
        <w:rPr>
          <w:rFonts w:ascii="KaiTi" w:eastAsia="KaiTi" w:hAnsi="KaiTi" w:hint="eastAsia"/>
          <w:i/>
          <w:sz w:val="21"/>
        </w:rPr>
        <w:t>2014年</w:t>
      </w:r>
      <w:r w:rsidR="00170773">
        <w:rPr>
          <w:rFonts w:ascii="KaiTi" w:eastAsia="KaiTi" w:hAnsi="KaiTi" w:hint="eastAsia"/>
          <w:i/>
          <w:sz w:val="21"/>
        </w:rPr>
        <w:t>年</w:t>
      </w:r>
      <w:r w:rsidRPr="001C5888">
        <w:rPr>
          <w:rFonts w:ascii="KaiTi" w:eastAsia="KaiTi" w:hAnsi="KaiTi" w:hint="eastAsia"/>
          <w:i/>
          <w:sz w:val="21"/>
        </w:rPr>
        <w:t>底前完成：</w:t>
      </w:r>
      <w:r w:rsidR="000E23CF" w:rsidRPr="001C5888">
        <w:rPr>
          <w:rFonts w:ascii="SimSun" w:hAnsi="SimSun" w:hint="eastAsia"/>
          <w:sz w:val="21"/>
        </w:rPr>
        <w:t>新</w:t>
      </w:r>
      <w:r w:rsidR="0020512A">
        <w:rPr>
          <w:rFonts w:ascii="SimSun" w:hAnsi="SimSun" w:hint="eastAsia"/>
          <w:sz w:val="21"/>
        </w:rPr>
        <w:t>接待中心</w:t>
      </w:r>
      <w:r w:rsidR="000E23CF" w:rsidRPr="001C5888">
        <w:rPr>
          <w:rFonts w:ascii="SimSun" w:hAnsi="SimSun" w:hint="eastAsia"/>
          <w:sz w:val="21"/>
        </w:rPr>
        <w:t>外部装饰工程以及新会议厅内部和周围各种</w:t>
      </w:r>
      <w:r w:rsidR="00977CAC" w:rsidRPr="001C5888">
        <w:rPr>
          <w:rFonts w:ascii="SimSun" w:hAnsi="SimSun" w:hint="eastAsia"/>
          <w:sz w:val="21"/>
        </w:rPr>
        <w:t>未</w:t>
      </w:r>
      <w:r w:rsidR="0020512A">
        <w:rPr>
          <w:rFonts w:ascii="SimSun" w:hAnsi="SimSun" w:hint="eastAsia"/>
          <w:sz w:val="21"/>
        </w:rPr>
        <w:t>完工</w:t>
      </w:r>
      <w:r w:rsidR="000E23CF" w:rsidRPr="001C5888">
        <w:rPr>
          <w:rFonts w:ascii="SimSun" w:hAnsi="SimSun" w:hint="eastAsia"/>
          <w:sz w:val="21"/>
        </w:rPr>
        <w:t>工程；</w:t>
      </w:r>
    </w:p>
    <w:p w:rsidR="001C5888" w:rsidRDefault="00980B4A" w:rsidP="00AE5105">
      <w:pPr>
        <w:pStyle w:val="ListParagraph"/>
        <w:numPr>
          <w:ilvl w:val="1"/>
          <w:numId w:val="7"/>
        </w:numPr>
        <w:tabs>
          <w:tab w:val="clear" w:pos="1440"/>
        </w:tabs>
        <w:overflowPunct w:val="0"/>
        <w:spacing w:afterLines="50" w:after="120" w:line="340" w:lineRule="atLeast"/>
        <w:ind w:left="1134" w:hanging="567"/>
        <w:contextualSpacing w:val="0"/>
        <w:jc w:val="both"/>
        <w:rPr>
          <w:rFonts w:ascii="SimSun" w:hAnsi="SimSun"/>
          <w:sz w:val="21"/>
        </w:rPr>
      </w:pPr>
      <w:r w:rsidRPr="001C5888">
        <w:rPr>
          <w:rFonts w:ascii="KaiTi" w:eastAsia="KaiTi" w:hAnsi="KaiTi" w:hint="eastAsia"/>
          <w:i/>
          <w:sz w:val="21"/>
        </w:rPr>
        <w:lastRenderedPageBreak/>
        <w:t>在2015年上半年完成：</w:t>
      </w:r>
      <w:r w:rsidR="000E23CF" w:rsidRPr="001C5888">
        <w:rPr>
          <w:rFonts w:ascii="SimSun" w:hAnsi="SimSun" w:hint="eastAsia"/>
          <w:sz w:val="21"/>
        </w:rPr>
        <w:t>新会议厅内部和周围剩余的</w:t>
      </w:r>
      <w:r w:rsidR="00977CAC" w:rsidRPr="001C5888">
        <w:rPr>
          <w:rFonts w:ascii="SimSun" w:hAnsi="SimSun" w:hint="eastAsia"/>
          <w:sz w:val="21"/>
        </w:rPr>
        <w:t>未</w:t>
      </w:r>
      <w:r w:rsidR="0020512A">
        <w:rPr>
          <w:rFonts w:ascii="SimSun" w:hAnsi="SimSun" w:hint="eastAsia"/>
          <w:sz w:val="21"/>
        </w:rPr>
        <w:t>完成</w:t>
      </w:r>
      <w:r w:rsidR="000E23CF" w:rsidRPr="001C5888">
        <w:rPr>
          <w:rFonts w:ascii="SimSun" w:hAnsi="SimSun" w:hint="eastAsia"/>
          <w:sz w:val="21"/>
        </w:rPr>
        <w:t>工程，以及新会议厅</w:t>
      </w:r>
      <w:r w:rsidR="00432878" w:rsidRPr="001C5888">
        <w:rPr>
          <w:rFonts w:ascii="SimSun" w:hAnsi="SimSun" w:hint="eastAsia"/>
          <w:sz w:val="21"/>
        </w:rPr>
        <w:t>紧邻地带的外部景观和植被工程。</w:t>
      </w:r>
    </w:p>
    <w:p w:rsidR="001C5888" w:rsidRPr="001C5888" w:rsidRDefault="00981612"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监督和审计</w:t>
      </w:r>
    </w:p>
    <w:p w:rsidR="001C5888" w:rsidRDefault="00EE15BC"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秘书处继续向独立咨询监督委员会提交</w:t>
      </w:r>
      <w:r w:rsidR="00BE46B1" w:rsidRPr="001C5888">
        <w:rPr>
          <w:rFonts w:ascii="SimSun" w:hAnsi="SimSun" w:hint="eastAsia"/>
          <w:sz w:val="21"/>
        </w:rPr>
        <w:t>了</w:t>
      </w:r>
      <w:r w:rsidRPr="001C5888">
        <w:rPr>
          <w:rFonts w:ascii="SimSun" w:hAnsi="SimSun" w:hint="eastAsia"/>
          <w:sz w:val="21"/>
        </w:rPr>
        <w:t>这两个项目的进展报告。</w:t>
      </w:r>
    </w:p>
    <w:p w:rsidR="001C5888" w:rsidRDefault="00BE46B1"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内部监督司</w:t>
      </w:r>
      <w:r w:rsidR="00DC51A4" w:rsidRPr="001C5888">
        <w:rPr>
          <w:rFonts w:ascii="SimSun" w:hAnsi="SimSun" w:hint="eastAsia"/>
          <w:sz w:val="21"/>
        </w:rPr>
        <w:t>于2013年6月出具的审计报告中所载的所有六项建议均已落实，</w:t>
      </w:r>
      <w:r w:rsidR="00F64AA9" w:rsidRPr="001C5888">
        <w:rPr>
          <w:rFonts w:ascii="SimSun" w:hAnsi="SimSun" w:hint="eastAsia"/>
          <w:sz w:val="21"/>
        </w:rPr>
        <w:t>目前关于这两个项目没有尚未落实的建议。</w:t>
      </w:r>
    </w:p>
    <w:p w:rsidR="001C5888" w:rsidRPr="00AE5105" w:rsidRDefault="00E14B7D" w:rsidP="00720C75">
      <w:pPr>
        <w:numPr>
          <w:ilvl w:val="0"/>
          <w:numId w:val="7"/>
        </w:numPr>
        <w:tabs>
          <w:tab w:val="clear" w:pos="567"/>
        </w:tabs>
        <w:overflowPunct w:val="0"/>
        <w:spacing w:afterLines="50" w:after="120" w:line="340" w:lineRule="atLeast"/>
        <w:jc w:val="both"/>
        <w:rPr>
          <w:rFonts w:ascii="SimSun" w:hAnsi="SimSun"/>
          <w:sz w:val="21"/>
        </w:rPr>
      </w:pPr>
      <w:r w:rsidRPr="00AE5105">
        <w:rPr>
          <w:rFonts w:ascii="SimSun" w:hAnsi="SimSun" w:hint="eastAsia"/>
          <w:sz w:val="21"/>
        </w:rPr>
        <w:t>在外聘审计员于2014年8月出具的审计报告</w:t>
      </w:r>
      <w:r w:rsidR="0020512A" w:rsidRPr="00AE5105">
        <w:rPr>
          <w:rFonts w:ascii="SimSun" w:hAnsi="SimSun"/>
          <w:sz w:val="21"/>
        </w:rPr>
        <w:t>(</w:t>
      </w:r>
      <w:r w:rsidR="0020512A" w:rsidRPr="00AE5105">
        <w:rPr>
          <w:rFonts w:ascii="SimSun" w:hAnsi="SimSun" w:hint="eastAsia"/>
          <w:sz w:val="21"/>
        </w:rPr>
        <w:t>文件</w:t>
      </w:r>
      <w:r w:rsidR="0020512A" w:rsidRPr="00AE5105">
        <w:rPr>
          <w:rFonts w:ascii="SimSun" w:hAnsi="SimSun"/>
          <w:sz w:val="21"/>
        </w:rPr>
        <w:t>WO/PBC/22/3)</w:t>
      </w:r>
      <w:r w:rsidRPr="00AE5105">
        <w:rPr>
          <w:rFonts w:ascii="SimSun" w:hAnsi="SimSun" w:hint="eastAsia"/>
          <w:sz w:val="21"/>
        </w:rPr>
        <w:t>中所载的与新会议厅项目相关的十条建议中，</w:t>
      </w:r>
      <w:r w:rsidR="008F1879" w:rsidRPr="00AE5105">
        <w:rPr>
          <w:rFonts w:ascii="SimSun" w:hAnsi="SimSun" w:hint="eastAsia"/>
          <w:sz w:val="21"/>
        </w:rPr>
        <w:t>审计员已经终止了八条建议，仅有两条建议</w:t>
      </w:r>
      <w:r w:rsidR="00844DEC" w:rsidRPr="00AE5105">
        <w:rPr>
          <w:rFonts w:ascii="SimSun" w:hAnsi="SimSun" w:hint="eastAsia"/>
          <w:sz w:val="21"/>
        </w:rPr>
        <w:t>仍</w:t>
      </w:r>
      <w:r w:rsidR="008F1879" w:rsidRPr="00AE5105">
        <w:rPr>
          <w:rFonts w:ascii="SimSun" w:hAnsi="SimSun" w:hint="eastAsia"/>
          <w:sz w:val="21"/>
        </w:rPr>
        <w:t>在</w:t>
      </w:r>
      <w:r w:rsidR="00844DEC" w:rsidRPr="00AE5105">
        <w:rPr>
          <w:rFonts w:ascii="SimSun" w:hAnsi="SimSun" w:hint="eastAsia"/>
          <w:sz w:val="21"/>
        </w:rPr>
        <w:t>处理</w:t>
      </w:r>
      <w:r w:rsidR="00762886" w:rsidRPr="00AE5105">
        <w:rPr>
          <w:rFonts w:ascii="SimSun" w:hAnsi="SimSun" w:hint="eastAsia"/>
          <w:sz w:val="21"/>
        </w:rPr>
        <w:t>过程中</w:t>
      </w:r>
      <w:r w:rsidR="008F1879" w:rsidRPr="00AE5105">
        <w:rPr>
          <w:rFonts w:ascii="SimSun" w:hAnsi="SimSun" w:hint="eastAsia"/>
          <w:sz w:val="21"/>
        </w:rPr>
        <w:t>。</w:t>
      </w:r>
      <w:r w:rsidR="00425F84" w:rsidRPr="00AE5105">
        <w:rPr>
          <w:rFonts w:ascii="SimSun" w:hAnsi="SimSun"/>
          <w:sz w:val="21"/>
        </w:rPr>
        <w:t>(</w:t>
      </w:r>
      <w:r w:rsidR="00525BA0" w:rsidRPr="00AE5105">
        <w:rPr>
          <w:rFonts w:ascii="SimSun" w:hAnsi="SimSun" w:hint="eastAsia"/>
          <w:sz w:val="21"/>
        </w:rPr>
        <w:t>文件</w:t>
      </w:r>
      <w:r w:rsidR="00525BA0" w:rsidRPr="00AE5105">
        <w:rPr>
          <w:rFonts w:ascii="SimSun" w:hAnsi="SimSun"/>
          <w:sz w:val="21"/>
        </w:rPr>
        <w:t>WO/PBC/22/3)</w:t>
      </w:r>
      <w:r w:rsidR="00525BA0" w:rsidRPr="00AE5105">
        <w:rPr>
          <w:rFonts w:ascii="SimSun" w:hAnsi="SimSun" w:hint="eastAsia"/>
          <w:sz w:val="21"/>
        </w:rPr>
        <w:t>。</w:t>
      </w:r>
    </w:p>
    <w:p w:rsidR="001C5888" w:rsidRPr="001C5888" w:rsidRDefault="00525BA0"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两个项目的预算和财务状况</w:t>
      </w:r>
    </w:p>
    <w:p w:rsidR="001C5888" w:rsidRPr="001C5888" w:rsidRDefault="00525BA0" w:rsidP="00AE5105">
      <w:pPr>
        <w:keepNext/>
        <w:spacing w:afterLines="50" w:after="120" w:line="340" w:lineRule="atLeast"/>
        <w:rPr>
          <w:rFonts w:ascii="KaiTi" w:eastAsia="KaiTi" w:hAnsi="KaiTi"/>
          <w:i/>
          <w:sz w:val="21"/>
        </w:rPr>
      </w:pPr>
      <w:r w:rsidRPr="001C5888">
        <w:rPr>
          <w:rFonts w:ascii="KaiTi" w:eastAsia="KaiTi" w:hAnsi="KaiTi" w:hint="eastAsia"/>
          <w:i/>
          <w:sz w:val="21"/>
        </w:rPr>
        <w:t>新建筑项目</w:t>
      </w:r>
    </w:p>
    <w:p w:rsidR="001C5888" w:rsidRDefault="00277668"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如先前提交给</w:t>
      </w:r>
      <w:r w:rsidRPr="001C5888">
        <w:rPr>
          <w:rFonts w:ascii="SimSun" w:hAnsi="SimSun"/>
          <w:sz w:val="21"/>
        </w:rPr>
        <w:t>PBC</w:t>
      </w:r>
      <w:r w:rsidRPr="001C5888">
        <w:rPr>
          <w:rFonts w:ascii="SimSun" w:hAnsi="SimSun" w:hint="eastAsia"/>
          <w:sz w:val="21"/>
        </w:rPr>
        <w:t>的进展报告所述，</w:t>
      </w:r>
      <w:r w:rsidR="00980B4A" w:rsidRPr="001C5888">
        <w:rPr>
          <w:rFonts w:ascii="SimSun" w:hAnsi="SimSun" w:hint="eastAsia"/>
          <w:sz w:val="21"/>
        </w:rPr>
        <w:t>在新楼</w:t>
      </w:r>
      <w:r w:rsidR="00762886" w:rsidRPr="001C5888">
        <w:rPr>
          <w:rFonts w:ascii="SimSun" w:hAnsi="SimSun" w:hint="eastAsia"/>
          <w:sz w:val="21"/>
        </w:rPr>
        <w:t>内</w:t>
      </w:r>
      <w:r w:rsidR="00980B4A" w:rsidRPr="001C5888">
        <w:rPr>
          <w:rFonts w:ascii="SimSun" w:hAnsi="SimSun" w:hint="eastAsia"/>
          <w:sz w:val="21"/>
        </w:rPr>
        <w:t>开展的所有维修和更换工程</w:t>
      </w:r>
      <w:r w:rsidR="00EF5016" w:rsidRPr="001C5888">
        <w:rPr>
          <w:rFonts w:ascii="SimSun" w:hAnsi="SimSun"/>
          <w:sz w:val="21"/>
        </w:rPr>
        <w:t>(</w:t>
      </w:r>
      <w:r w:rsidR="00762886" w:rsidRPr="001C5888">
        <w:rPr>
          <w:rFonts w:ascii="SimSun" w:hAnsi="SimSun" w:hint="eastAsia"/>
          <w:sz w:val="21"/>
        </w:rPr>
        <w:t>上文</w:t>
      </w:r>
      <w:r w:rsidR="00EF5016" w:rsidRPr="001C5888">
        <w:rPr>
          <w:rFonts w:ascii="SimSun" w:hAnsi="SimSun"/>
          <w:sz w:val="21"/>
        </w:rPr>
        <w:t>2(a)</w:t>
      </w:r>
      <w:r w:rsidR="00762886" w:rsidRPr="001C5888">
        <w:rPr>
          <w:rFonts w:ascii="SimSun" w:hAnsi="SimSun" w:hint="eastAsia"/>
          <w:sz w:val="21"/>
        </w:rPr>
        <w:t>和</w:t>
      </w:r>
      <w:r w:rsidR="00762886" w:rsidRPr="001C5888">
        <w:rPr>
          <w:rFonts w:ascii="SimSun" w:hAnsi="SimSun"/>
          <w:sz w:val="21"/>
        </w:rPr>
        <w:t>2(c)</w:t>
      </w:r>
      <w:r w:rsidR="00762886" w:rsidRPr="001C5888">
        <w:rPr>
          <w:rFonts w:ascii="SimSun" w:hAnsi="SimSun" w:hint="eastAsia"/>
          <w:sz w:val="21"/>
        </w:rPr>
        <w:t>段</w:t>
      </w:r>
      <w:r w:rsidR="00EF5016" w:rsidRPr="001C5888">
        <w:rPr>
          <w:rFonts w:ascii="SimSun" w:hAnsi="SimSun"/>
          <w:sz w:val="21"/>
        </w:rPr>
        <w:t>)</w:t>
      </w:r>
      <w:r w:rsidRPr="001C5888">
        <w:rPr>
          <w:rFonts w:ascii="SimSun" w:hAnsi="SimSun" w:hint="eastAsia"/>
          <w:sz w:val="21"/>
        </w:rPr>
        <w:t>均由从前任总承包商处扣留的资金供资</w:t>
      </w:r>
      <w:r w:rsidR="00DB43EE" w:rsidRPr="001C5888">
        <w:rPr>
          <w:rFonts w:ascii="SimSun" w:hAnsi="SimSun" w:hint="eastAsia"/>
          <w:sz w:val="21"/>
        </w:rPr>
        <w:t>并支付所有费用。</w:t>
      </w:r>
      <w:r w:rsidR="00B94968" w:rsidRPr="001C5888">
        <w:rPr>
          <w:rFonts w:ascii="SimSun" w:hAnsi="SimSun" w:hint="eastAsia"/>
          <w:sz w:val="21"/>
        </w:rPr>
        <w:t>上文第</w:t>
      </w:r>
      <w:r w:rsidR="00FE4A91" w:rsidRPr="001C5888">
        <w:rPr>
          <w:rFonts w:ascii="SimSun" w:hAnsi="SimSun"/>
          <w:sz w:val="21"/>
        </w:rPr>
        <w:t>2(b</w:t>
      </w:r>
      <w:proofErr w:type="gramStart"/>
      <w:r w:rsidR="00AD6644" w:rsidRPr="001C5888">
        <w:rPr>
          <w:rFonts w:ascii="SimSun" w:hAnsi="SimSun"/>
          <w:sz w:val="21"/>
        </w:rPr>
        <w:t>)</w:t>
      </w:r>
      <w:r w:rsidR="00B94968" w:rsidRPr="001C5888">
        <w:rPr>
          <w:rFonts w:ascii="SimSun" w:hAnsi="SimSun" w:hint="eastAsia"/>
          <w:sz w:val="21"/>
        </w:rPr>
        <w:t>段所指的未完工程</w:t>
      </w:r>
      <w:r w:rsidR="001051DE" w:rsidRPr="001C5888">
        <w:rPr>
          <w:rFonts w:ascii="SimSun" w:hAnsi="SimSun" w:hint="eastAsia"/>
          <w:sz w:val="21"/>
        </w:rPr>
        <w:t>从</w:t>
      </w:r>
      <w:r w:rsidR="003B5087" w:rsidRPr="001C5888">
        <w:rPr>
          <w:rFonts w:ascii="SimSun" w:hAnsi="SimSun" w:hint="eastAsia"/>
          <w:sz w:val="21"/>
        </w:rPr>
        <w:t>成员国大会</w:t>
      </w:r>
      <w:r w:rsidR="001051DE" w:rsidRPr="001C5888">
        <w:rPr>
          <w:rFonts w:ascii="SimSun" w:hAnsi="SimSun" w:hint="eastAsia"/>
          <w:sz w:val="21"/>
        </w:rPr>
        <w:t>在2014年会议上核准的40万瑞郎中列支</w:t>
      </w:r>
      <w:proofErr w:type="gramEnd"/>
      <w:r w:rsidR="001051DE" w:rsidRPr="001C5888">
        <w:rPr>
          <w:rFonts w:ascii="SimSun" w:hAnsi="SimSun" w:hint="eastAsia"/>
          <w:sz w:val="21"/>
        </w:rPr>
        <w:t>。</w:t>
      </w:r>
    </w:p>
    <w:p w:rsidR="001C5888" w:rsidRPr="001C5888" w:rsidRDefault="00525BA0" w:rsidP="00AE5105">
      <w:pPr>
        <w:keepNext/>
        <w:spacing w:afterLines="50" w:after="120" w:line="340" w:lineRule="atLeast"/>
        <w:rPr>
          <w:rFonts w:ascii="KaiTi" w:eastAsia="KaiTi" w:hAnsi="KaiTi"/>
          <w:i/>
          <w:sz w:val="21"/>
        </w:rPr>
      </w:pPr>
      <w:r w:rsidRPr="001C5888">
        <w:rPr>
          <w:rFonts w:ascii="KaiTi" w:eastAsia="KaiTi" w:hAnsi="KaiTi" w:hint="eastAsia"/>
          <w:i/>
          <w:sz w:val="21"/>
        </w:rPr>
        <w:t>新会议厅项目</w:t>
      </w:r>
    </w:p>
    <w:p w:rsidR="001C5888" w:rsidRDefault="00621BD1"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要忆及的是，</w:t>
      </w:r>
      <w:r w:rsidR="0020512A">
        <w:rPr>
          <w:rFonts w:ascii="SimSun" w:hAnsi="SimSun" w:hint="eastAsia"/>
          <w:sz w:val="21"/>
        </w:rPr>
        <w:t>成员国</w:t>
      </w:r>
      <w:r w:rsidRPr="001C5888">
        <w:rPr>
          <w:rFonts w:ascii="SimSun" w:hAnsi="SimSun" w:hint="eastAsia"/>
          <w:sz w:val="21"/>
        </w:rPr>
        <w:t>大会至2014年核准的预算总额</w:t>
      </w:r>
      <w:r w:rsidR="0020512A">
        <w:rPr>
          <w:rFonts w:ascii="SimSun" w:hAnsi="SimSun" w:hint="eastAsia"/>
          <w:sz w:val="21"/>
        </w:rPr>
        <w:t>度</w:t>
      </w:r>
      <w:r w:rsidRPr="001C5888">
        <w:rPr>
          <w:rFonts w:ascii="SimSun" w:hAnsi="SimSun" w:hint="eastAsia"/>
          <w:sz w:val="21"/>
        </w:rPr>
        <w:t>为</w:t>
      </w:r>
      <w:r w:rsidR="00ED6ADE" w:rsidRPr="001C5888">
        <w:rPr>
          <w:rFonts w:ascii="SimSun" w:hAnsi="SimSun"/>
          <w:sz w:val="21"/>
        </w:rPr>
        <w:t>7</w:t>
      </w:r>
      <w:r w:rsidR="0020512A">
        <w:rPr>
          <w:rFonts w:ascii="SimSun" w:hAnsi="SimSun" w:hint="eastAsia"/>
          <w:sz w:val="21"/>
        </w:rPr>
        <w:t>,</w:t>
      </w:r>
      <w:r w:rsidR="00ED6ADE" w:rsidRPr="001C5888">
        <w:rPr>
          <w:rFonts w:ascii="SimSun" w:hAnsi="SimSun"/>
          <w:sz w:val="21"/>
        </w:rPr>
        <w:t>520</w:t>
      </w:r>
      <w:r w:rsidR="00C3278B" w:rsidRPr="001C5888">
        <w:rPr>
          <w:rFonts w:ascii="SimSun" w:hAnsi="SimSun" w:hint="eastAsia"/>
          <w:sz w:val="21"/>
        </w:rPr>
        <w:t>万</w:t>
      </w:r>
      <w:r w:rsidRPr="001C5888">
        <w:rPr>
          <w:rFonts w:ascii="SimSun" w:hAnsi="SimSun" w:hint="eastAsia"/>
          <w:sz w:val="21"/>
        </w:rPr>
        <w:t>瑞郎</w:t>
      </w:r>
      <w:r w:rsidR="00ED6ADE" w:rsidRPr="001C5888">
        <w:rPr>
          <w:rFonts w:ascii="SimSun" w:hAnsi="SimSun"/>
          <w:sz w:val="21"/>
        </w:rPr>
        <w:t>(</w:t>
      </w:r>
      <w:r w:rsidR="00C3278B" w:rsidRPr="001C5888">
        <w:rPr>
          <w:rFonts w:ascii="SimSun" w:hAnsi="SimSun" w:hint="eastAsia"/>
          <w:sz w:val="21"/>
        </w:rPr>
        <w:t>其构成如下：2008年</w:t>
      </w:r>
      <w:r w:rsidR="00A57EFA" w:rsidRPr="001C5888">
        <w:rPr>
          <w:rFonts w:ascii="SimSun" w:hAnsi="SimSun"/>
          <w:sz w:val="21"/>
        </w:rPr>
        <w:t>42</w:t>
      </w:r>
      <w:r w:rsidR="00C3278B" w:rsidRPr="001C5888">
        <w:rPr>
          <w:rFonts w:ascii="SimSun" w:hAnsi="SimSun" w:hint="eastAsia"/>
          <w:sz w:val="21"/>
        </w:rPr>
        <w:t>0万瑞郎、</w:t>
      </w:r>
      <w:r w:rsidR="00ED6ADE" w:rsidRPr="001C5888">
        <w:rPr>
          <w:rFonts w:ascii="SimSun" w:hAnsi="SimSun"/>
          <w:sz w:val="21"/>
        </w:rPr>
        <w:t>2009</w:t>
      </w:r>
      <w:r w:rsidR="00C3278B" w:rsidRPr="001C5888">
        <w:rPr>
          <w:rFonts w:ascii="SimSun" w:hAnsi="SimSun" w:hint="eastAsia"/>
          <w:sz w:val="21"/>
        </w:rPr>
        <w:t>年6</w:t>
      </w:r>
      <w:r w:rsidR="0020512A">
        <w:rPr>
          <w:rFonts w:ascii="SimSun" w:hAnsi="SimSun" w:hint="eastAsia"/>
          <w:sz w:val="21"/>
        </w:rPr>
        <w:t>,</w:t>
      </w:r>
      <w:r w:rsidR="00C3278B" w:rsidRPr="001C5888">
        <w:rPr>
          <w:rFonts w:ascii="SimSun" w:hAnsi="SimSun" w:hint="eastAsia"/>
          <w:sz w:val="21"/>
        </w:rPr>
        <w:t>400万瑞郎、2011年</w:t>
      </w:r>
      <w:r w:rsidR="00ED6ADE" w:rsidRPr="001C5888">
        <w:rPr>
          <w:rFonts w:ascii="SimSun" w:hAnsi="SimSun"/>
          <w:sz w:val="21"/>
        </w:rPr>
        <w:t>45</w:t>
      </w:r>
      <w:r w:rsidR="00C3278B" w:rsidRPr="001C5888">
        <w:rPr>
          <w:rFonts w:ascii="SimSun" w:hAnsi="SimSun" w:hint="eastAsia"/>
          <w:sz w:val="21"/>
        </w:rPr>
        <w:t>0万瑞郎和2014年</w:t>
      </w:r>
      <w:r w:rsidR="00ED6ADE" w:rsidRPr="001C5888">
        <w:rPr>
          <w:rFonts w:ascii="SimSun" w:hAnsi="SimSun"/>
          <w:sz w:val="21"/>
        </w:rPr>
        <w:t>25</w:t>
      </w:r>
      <w:r w:rsidR="00C3278B" w:rsidRPr="001C5888">
        <w:rPr>
          <w:rFonts w:ascii="SimSun" w:hAnsi="SimSun" w:hint="eastAsia"/>
          <w:sz w:val="21"/>
        </w:rPr>
        <w:t>0万瑞郎</w:t>
      </w:r>
      <w:r w:rsidR="00A65D91" w:rsidRPr="001C5888">
        <w:rPr>
          <w:rFonts w:ascii="SimSun" w:hAnsi="SimSun"/>
          <w:sz w:val="21"/>
        </w:rPr>
        <w:t>)</w:t>
      </w:r>
      <w:r w:rsidR="00C3278B" w:rsidRPr="001C5888">
        <w:rPr>
          <w:rFonts w:ascii="SimSun" w:hAnsi="SimSun" w:hint="eastAsia"/>
          <w:sz w:val="21"/>
        </w:rPr>
        <w:t>。项目预算总额涵盖建筑工程和</w:t>
      </w:r>
      <w:r w:rsidR="00AB0CE6" w:rsidRPr="001C5888">
        <w:rPr>
          <w:rFonts w:ascii="SimSun" w:hAnsi="SimSun" w:hint="eastAsia"/>
          <w:sz w:val="21"/>
        </w:rPr>
        <w:t>专业</w:t>
      </w:r>
      <w:r w:rsidR="00C22A2B" w:rsidRPr="001C5888">
        <w:rPr>
          <w:rFonts w:ascii="SimSun" w:hAnsi="SimSun" w:hint="eastAsia"/>
          <w:sz w:val="21"/>
        </w:rPr>
        <w:t>服务</w:t>
      </w:r>
      <w:r w:rsidR="00AB0CE6" w:rsidRPr="001C5888">
        <w:rPr>
          <w:rFonts w:ascii="SimSun" w:hAnsi="SimSun" w:hint="eastAsia"/>
          <w:sz w:val="21"/>
        </w:rPr>
        <w:t>报酬。</w:t>
      </w:r>
    </w:p>
    <w:p w:rsidR="00D60EF1" w:rsidRPr="001C5888" w:rsidRDefault="00ED1A47"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u w:val="single"/>
        </w:rPr>
        <w:t>建筑工程</w:t>
      </w:r>
      <w:r w:rsidRPr="001C5888">
        <w:rPr>
          <w:rFonts w:ascii="SimSun" w:hAnsi="SimSun" w:hint="eastAsia"/>
          <w:sz w:val="21"/>
        </w:rPr>
        <w:t>的情况如下。该项目涉及82家建筑公司和供应商</w:t>
      </w:r>
      <w:r w:rsidR="0020512A">
        <w:rPr>
          <w:rFonts w:ascii="SimSun" w:hAnsi="SimSun" w:hint="eastAsia"/>
          <w:sz w:val="21"/>
        </w:rPr>
        <w:t>。总计82家公司</w:t>
      </w:r>
      <w:r w:rsidR="0020512A" w:rsidRPr="001C5888">
        <w:rPr>
          <w:rFonts w:ascii="SimSun" w:hAnsi="SimSun" w:hint="eastAsia"/>
          <w:sz w:val="21"/>
        </w:rPr>
        <w:t>和供应商</w:t>
      </w:r>
      <w:r w:rsidR="0020512A">
        <w:rPr>
          <w:rFonts w:ascii="SimSun" w:hAnsi="SimSun" w:hint="eastAsia"/>
          <w:sz w:val="21"/>
        </w:rPr>
        <w:t>中</w:t>
      </w:r>
      <w:r w:rsidR="0008564B" w:rsidRPr="001C5888">
        <w:rPr>
          <w:rFonts w:ascii="SimSun" w:hAnsi="SimSun" w:hint="eastAsia"/>
          <w:sz w:val="21"/>
        </w:rPr>
        <w:t>，</w:t>
      </w:r>
      <w:r w:rsidR="0020512A">
        <w:rPr>
          <w:rFonts w:ascii="SimSun" w:hAnsi="SimSun" w:hint="eastAsia"/>
          <w:sz w:val="21"/>
        </w:rPr>
        <w:t>有</w:t>
      </w:r>
      <w:r w:rsidR="0008564B" w:rsidRPr="001C5888">
        <w:rPr>
          <w:rFonts w:ascii="SimSun" w:hAnsi="SimSun" w:hint="eastAsia"/>
          <w:sz w:val="21"/>
        </w:rPr>
        <w:t>78家的账目</w:t>
      </w:r>
      <w:r w:rsidR="00EA024D" w:rsidRPr="001C5888">
        <w:rPr>
          <w:rFonts w:ascii="SimSun" w:hAnsi="SimSun" w:hint="eastAsia"/>
          <w:sz w:val="21"/>
        </w:rPr>
        <w:t>已经由所有各方充分核实并认可。</w:t>
      </w:r>
      <w:r w:rsidR="006F1FF0" w:rsidRPr="001C5888">
        <w:rPr>
          <w:rFonts w:ascii="SimSun" w:hAnsi="SimSun" w:hint="eastAsia"/>
          <w:sz w:val="21"/>
        </w:rPr>
        <w:t>在</w:t>
      </w:r>
      <w:r w:rsidR="0020512A">
        <w:rPr>
          <w:rFonts w:ascii="SimSun" w:hAnsi="SimSun" w:hint="eastAsia"/>
          <w:sz w:val="21"/>
        </w:rPr>
        <w:t>这</w:t>
      </w:r>
      <w:r w:rsidR="006F1FF0" w:rsidRPr="001C5888">
        <w:rPr>
          <w:rFonts w:ascii="SimSun" w:hAnsi="SimSun" w:hint="eastAsia"/>
          <w:sz w:val="21"/>
        </w:rPr>
        <w:t>78家的账目中，有72家的账目与预测的概算一致，并构成了秘书处向</w:t>
      </w:r>
      <w:r w:rsidR="006F1FF0" w:rsidRPr="001C5888">
        <w:rPr>
          <w:rFonts w:ascii="SimSun" w:hAnsi="SimSun"/>
          <w:sz w:val="21"/>
        </w:rPr>
        <w:t>PBC</w:t>
      </w:r>
      <w:r w:rsidR="006F1FF0" w:rsidRPr="001C5888">
        <w:rPr>
          <w:rFonts w:ascii="SimSun" w:hAnsi="SimSun" w:hint="eastAsia"/>
          <w:sz w:val="21"/>
        </w:rPr>
        <w:t>所</w:t>
      </w:r>
      <w:r w:rsidR="0020512A">
        <w:rPr>
          <w:rFonts w:ascii="SimSun" w:hAnsi="SimSun" w:hint="eastAsia"/>
          <w:sz w:val="21"/>
        </w:rPr>
        <w:t>提</w:t>
      </w:r>
      <w:r w:rsidR="006F1FF0" w:rsidRPr="001C5888">
        <w:rPr>
          <w:rFonts w:ascii="SimSun" w:hAnsi="SimSun" w:hint="eastAsia"/>
          <w:sz w:val="21"/>
        </w:rPr>
        <w:t>交文件</w:t>
      </w:r>
      <w:r w:rsidR="00C75158" w:rsidRPr="001C5888">
        <w:rPr>
          <w:rFonts w:ascii="SimSun" w:hAnsi="SimSun"/>
          <w:sz w:val="21"/>
        </w:rPr>
        <w:t>(WO/PBC/22/14)</w:t>
      </w:r>
      <w:r w:rsidR="006F1FF0" w:rsidRPr="001C5888">
        <w:rPr>
          <w:rFonts w:ascii="SimSun" w:hAnsi="SimSun" w:hint="eastAsia"/>
          <w:sz w:val="21"/>
        </w:rPr>
        <w:t>的基础。预测的概算是根据当时所能获取的信息忠实地确定</w:t>
      </w:r>
      <w:r w:rsidR="0020512A">
        <w:rPr>
          <w:rFonts w:ascii="SimSun" w:hAnsi="SimSun" w:hint="eastAsia"/>
          <w:sz w:val="21"/>
        </w:rPr>
        <w:t>的</w:t>
      </w:r>
      <w:r w:rsidR="006F1FF0" w:rsidRPr="001C5888">
        <w:rPr>
          <w:rFonts w:ascii="SimSun" w:hAnsi="SimSun" w:hint="eastAsia"/>
          <w:sz w:val="21"/>
        </w:rPr>
        <w:t>。</w:t>
      </w:r>
      <w:r w:rsidR="00CC224D" w:rsidRPr="001C5888">
        <w:rPr>
          <w:rFonts w:ascii="SimSun" w:hAnsi="SimSun" w:hint="eastAsia"/>
          <w:sz w:val="21"/>
        </w:rPr>
        <w:t>剩下十家的账目</w:t>
      </w:r>
      <w:r w:rsidR="00C75158" w:rsidRPr="001C5888">
        <w:rPr>
          <w:rFonts w:ascii="SimSun" w:hAnsi="SimSun"/>
          <w:sz w:val="21"/>
        </w:rPr>
        <w:t>(</w:t>
      </w:r>
      <w:r w:rsidR="00CC224D" w:rsidRPr="001C5888">
        <w:rPr>
          <w:rFonts w:ascii="SimSun" w:hAnsi="SimSun" w:hint="eastAsia"/>
          <w:sz w:val="21"/>
        </w:rPr>
        <w:t>其中四家的账目仍在决算过程中</w:t>
      </w:r>
      <w:r w:rsidR="00C75158" w:rsidRPr="001C5888">
        <w:rPr>
          <w:rFonts w:ascii="SimSun" w:hAnsi="SimSun"/>
          <w:sz w:val="21"/>
        </w:rPr>
        <w:t>)</w:t>
      </w:r>
      <w:r w:rsidR="00CC224D" w:rsidRPr="001C5888">
        <w:rPr>
          <w:rFonts w:ascii="SimSun" w:hAnsi="SimSun" w:hint="eastAsia"/>
          <w:sz w:val="21"/>
        </w:rPr>
        <w:t>和预测的概算相比有所增加。</w:t>
      </w:r>
    </w:p>
    <w:p w:rsidR="001C5888" w:rsidRDefault="00BD6033"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u w:val="single"/>
        </w:rPr>
        <w:t>专业</w:t>
      </w:r>
      <w:r w:rsidR="00C22A2B" w:rsidRPr="001C5888">
        <w:rPr>
          <w:rFonts w:ascii="SimSun" w:hAnsi="SimSun" w:hint="eastAsia"/>
          <w:sz w:val="21"/>
          <w:u w:val="single"/>
        </w:rPr>
        <w:t>服务</w:t>
      </w:r>
      <w:r w:rsidRPr="001C5888">
        <w:rPr>
          <w:rFonts w:ascii="SimSun" w:hAnsi="SimSun" w:hint="eastAsia"/>
          <w:sz w:val="21"/>
          <w:u w:val="single"/>
        </w:rPr>
        <w:t>报酬</w:t>
      </w:r>
      <w:r w:rsidRPr="001C5888">
        <w:rPr>
          <w:rFonts w:ascii="SimSun" w:hAnsi="SimSun" w:hint="eastAsia"/>
          <w:sz w:val="21"/>
        </w:rPr>
        <w:t>情况如下。</w:t>
      </w:r>
      <w:r w:rsidR="009A2145" w:rsidRPr="001C5888">
        <w:rPr>
          <w:rFonts w:ascii="SimSun" w:hAnsi="SimSun" w:hint="eastAsia"/>
          <w:sz w:val="21"/>
        </w:rPr>
        <w:t>项目涉及26家专业公司</w:t>
      </w:r>
      <w:r w:rsidR="00AE5105">
        <w:rPr>
          <w:rFonts w:ascii="SimSun" w:hAnsi="SimSun" w:hint="eastAsia"/>
          <w:sz w:val="21"/>
        </w:rPr>
        <w:t>(</w:t>
      </w:r>
      <w:r w:rsidR="009A2145" w:rsidRPr="001C5888">
        <w:rPr>
          <w:rFonts w:ascii="SimSun" w:hAnsi="SimSun" w:hint="eastAsia"/>
          <w:sz w:val="21"/>
        </w:rPr>
        <w:t>工程师、项目领航员、建筑师、各个领域的专家</w:t>
      </w:r>
      <w:r w:rsidR="00AE5105">
        <w:rPr>
          <w:rFonts w:ascii="SimSun" w:hAnsi="SimSun" w:hint="eastAsia"/>
          <w:sz w:val="21"/>
        </w:rPr>
        <w:t>)</w:t>
      </w:r>
      <w:r w:rsidR="0020512A">
        <w:rPr>
          <w:rFonts w:ascii="SimSun" w:hAnsi="SimSun" w:hint="eastAsia"/>
          <w:sz w:val="21"/>
        </w:rPr>
        <w:t>。总计26家公司中，有</w:t>
      </w:r>
      <w:r w:rsidR="009A2145" w:rsidRPr="001C5888">
        <w:rPr>
          <w:rFonts w:ascii="SimSun" w:hAnsi="SimSun" w:hint="eastAsia"/>
          <w:sz w:val="21"/>
        </w:rPr>
        <w:t>20家的账目</w:t>
      </w:r>
      <w:r w:rsidR="004E435D" w:rsidRPr="001C5888">
        <w:rPr>
          <w:rFonts w:ascii="SimSun" w:hAnsi="SimSun" w:hint="eastAsia"/>
          <w:sz w:val="21"/>
        </w:rPr>
        <w:t>已经由所有各方充分核实并认可，这些账目与2014年预测的概算一致，并构成了秘书处向PBC所</w:t>
      </w:r>
      <w:r w:rsidR="0020512A">
        <w:rPr>
          <w:rFonts w:ascii="SimSun" w:hAnsi="SimSun" w:hint="eastAsia"/>
          <w:sz w:val="21"/>
        </w:rPr>
        <w:t>提</w:t>
      </w:r>
      <w:r w:rsidR="004E435D" w:rsidRPr="001C5888">
        <w:rPr>
          <w:rFonts w:ascii="SimSun" w:hAnsi="SimSun" w:hint="eastAsia"/>
          <w:sz w:val="21"/>
        </w:rPr>
        <w:t>交文件(WO/PBC/22/14)的基础。</w:t>
      </w:r>
      <w:r w:rsidR="00182B63" w:rsidRPr="001C5888">
        <w:rPr>
          <w:rFonts w:ascii="SimSun" w:hAnsi="SimSun" w:hint="eastAsia"/>
          <w:sz w:val="21"/>
        </w:rPr>
        <w:t>预测的概算是根据当时所能获取的信息忠实地确定</w:t>
      </w:r>
      <w:r w:rsidR="0020512A">
        <w:rPr>
          <w:rFonts w:ascii="SimSun" w:hAnsi="SimSun" w:hint="eastAsia"/>
          <w:sz w:val="21"/>
        </w:rPr>
        <w:t>的</w:t>
      </w:r>
      <w:r w:rsidR="00182B63" w:rsidRPr="001C5888">
        <w:rPr>
          <w:rFonts w:ascii="SimSun" w:hAnsi="SimSun" w:hint="eastAsia"/>
          <w:sz w:val="21"/>
        </w:rPr>
        <w:t>。</w:t>
      </w:r>
      <w:r w:rsidR="00574FB3" w:rsidRPr="001C5888">
        <w:rPr>
          <w:rFonts w:ascii="SimSun" w:hAnsi="SimSun" w:hint="eastAsia"/>
          <w:sz w:val="21"/>
        </w:rPr>
        <w:t>剩</w:t>
      </w:r>
      <w:r w:rsidR="0020512A">
        <w:rPr>
          <w:rFonts w:ascii="SimSun" w:hAnsi="SimSun" w:hint="eastAsia"/>
          <w:sz w:val="21"/>
        </w:rPr>
        <w:t>下</w:t>
      </w:r>
      <w:r w:rsidR="00574FB3" w:rsidRPr="001C5888">
        <w:rPr>
          <w:rFonts w:ascii="SimSun" w:hAnsi="SimSun" w:hint="eastAsia"/>
          <w:sz w:val="21"/>
        </w:rPr>
        <w:t>六家的账目正在核查和讨论的过程中，其中三家的账目和预测的概算相比有所增加。</w:t>
      </w:r>
    </w:p>
    <w:p w:rsidR="001C5888" w:rsidRDefault="000C1C50"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截至本文件撰写之日，</w:t>
      </w:r>
      <w:r w:rsidR="000A2166" w:rsidRPr="001C5888">
        <w:rPr>
          <w:rFonts w:ascii="SimSun" w:hAnsi="SimSun" w:hint="eastAsia"/>
          <w:sz w:val="21"/>
        </w:rPr>
        <w:t>秘书处仍在与四家建筑公司和六家专业服务公司讨论账目决算，</w:t>
      </w:r>
      <w:r w:rsidR="00E015F1" w:rsidRPr="001C5888">
        <w:rPr>
          <w:rFonts w:ascii="SimSun" w:hAnsi="SimSun" w:hint="eastAsia"/>
          <w:sz w:val="21"/>
        </w:rPr>
        <w:t>并与其中若干公司就建筑成本超出秘书处2014年预测概算的原因讨论各自应承担的责任。</w:t>
      </w:r>
      <w:r w:rsidR="000413CC" w:rsidRPr="001C5888">
        <w:rPr>
          <w:rFonts w:ascii="SimSun" w:hAnsi="SimSun" w:hint="eastAsia"/>
          <w:sz w:val="21"/>
        </w:rPr>
        <w:t>正如之前向</w:t>
      </w:r>
      <w:r w:rsidR="000413CC" w:rsidRPr="001C5888">
        <w:rPr>
          <w:rFonts w:ascii="SimSun" w:hAnsi="SimSun"/>
          <w:sz w:val="21"/>
        </w:rPr>
        <w:t>PBC</w:t>
      </w:r>
      <w:r w:rsidR="000413CC" w:rsidRPr="001C5888">
        <w:rPr>
          <w:rFonts w:ascii="SimSun" w:hAnsi="SimSun" w:hint="eastAsia"/>
          <w:sz w:val="21"/>
        </w:rPr>
        <w:t>报告的那样，造成这一局面的主要原因如下：</w:t>
      </w:r>
      <w:r w:rsidR="001D3D51" w:rsidRPr="001C5888">
        <w:rPr>
          <w:rFonts w:ascii="SimSun" w:hAnsi="SimSun"/>
          <w:sz w:val="21"/>
        </w:rPr>
        <w:t>(</w:t>
      </w:r>
      <w:proofErr w:type="spellStart"/>
      <w:r w:rsidR="001D3D51" w:rsidRPr="001C5888">
        <w:rPr>
          <w:rFonts w:ascii="SimSun" w:hAnsi="SimSun"/>
          <w:sz w:val="21"/>
        </w:rPr>
        <w:t>i</w:t>
      </w:r>
      <w:proofErr w:type="spellEnd"/>
      <w:r w:rsidR="001D3D51" w:rsidRPr="001C5888">
        <w:rPr>
          <w:rFonts w:ascii="SimSun" w:hAnsi="SimSun"/>
          <w:sz w:val="21"/>
        </w:rPr>
        <w:t>)</w:t>
      </w:r>
      <w:r w:rsidR="007F279D" w:rsidRPr="001C5888">
        <w:rPr>
          <w:rFonts w:ascii="SimSun" w:hAnsi="SimSun" w:hint="eastAsia"/>
          <w:sz w:val="21"/>
        </w:rPr>
        <w:t>实际的工程最终用量</w:t>
      </w:r>
      <w:r w:rsidR="00E736A0" w:rsidRPr="001C5888">
        <w:rPr>
          <w:rFonts w:ascii="SimSun" w:hAnsi="SimSun"/>
          <w:sz w:val="21"/>
        </w:rPr>
        <w:t>(</w:t>
      </w:r>
      <w:r w:rsidR="007F279D" w:rsidRPr="001C5888">
        <w:rPr>
          <w:rFonts w:ascii="SimSun" w:hAnsi="SimSun" w:hint="eastAsia"/>
          <w:sz w:val="21"/>
        </w:rPr>
        <w:t>依据一些合同下的工程用量调查</w:t>
      </w:r>
      <w:r w:rsidR="00E736A0" w:rsidRPr="001C5888">
        <w:rPr>
          <w:rFonts w:ascii="SimSun" w:hAnsi="SimSun"/>
          <w:sz w:val="21"/>
        </w:rPr>
        <w:t>)</w:t>
      </w:r>
      <w:r w:rsidR="007F279D" w:rsidRPr="001C5888">
        <w:rPr>
          <w:rFonts w:ascii="SimSun" w:hAnsi="SimSun" w:hint="eastAsia"/>
          <w:sz w:val="21"/>
        </w:rPr>
        <w:t>明显高于专业人</w:t>
      </w:r>
      <w:r w:rsidR="00721945" w:rsidRPr="001C5888">
        <w:rPr>
          <w:rFonts w:ascii="SimSun" w:hAnsi="SimSun" w:hint="eastAsia"/>
          <w:sz w:val="21"/>
        </w:rPr>
        <w:t>员</w:t>
      </w:r>
      <w:r w:rsidR="007F279D" w:rsidRPr="001C5888">
        <w:rPr>
          <w:rFonts w:ascii="SimSun" w:hAnsi="SimSun" w:hint="eastAsia"/>
          <w:sz w:val="21"/>
        </w:rPr>
        <w:t>出于初始投标目的</w:t>
      </w:r>
      <w:r w:rsidR="00721945" w:rsidRPr="001C5888">
        <w:rPr>
          <w:rFonts w:ascii="SimSun" w:hAnsi="SimSun" w:hint="eastAsia"/>
          <w:sz w:val="21"/>
        </w:rPr>
        <w:t>最初</w:t>
      </w:r>
      <w:r w:rsidR="007F279D" w:rsidRPr="001C5888">
        <w:rPr>
          <w:rFonts w:ascii="SimSun" w:hAnsi="SimSun" w:hint="eastAsia"/>
          <w:sz w:val="21"/>
        </w:rPr>
        <w:t>计算</w:t>
      </w:r>
      <w:r w:rsidR="00721945" w:rsidRPr="001C5888">
        <w:rPr>
          <w:rFonts w:ascii="SimSun" w:hAnsi="SimSun" w:hint="eastAsia"/>
          <w:sz w:val="21"/>
        </w:rPr>
        <w:t>的用量；</w:t>
      </w:r>
      <w:r w:rsidR="001D3D51" w:rsidRPr="001C5888">
        <w:rPr>
          <w:rFonts w:ascii="SimSun" w:hAnsi="SimSun"/>
          <w:sz w:val="21"/>
        </w:rPr>
        <w:t>(ii)</w:t>
      </w:r>
      <w:r w:rsidR="003B5087" w:rsidRPr="001C5888">
        <w:rPr>
          <w:rFonts w:ascii="SimSun" w:hAnsi="SimSun" w:hint="eastAsia"/>
          <w:sz w:val="21"/>
        </w:rPr>
        <w:t>由于</w:t>
      </w:r>
      <w:r w:rsidR="00C9424F" w:rsidRPr="001C5888">
        <w:rPr>
          <w:rFonts w:ascii="SimSun" w:hAnsi="SimSun" w:hint="eastAsia"/>
          <w:sz w:val="21"/>
        </w:rPr>
        <w:t>各种原因导致建设期进一步延误，尤其是</w:t>
      </w:r>
      <w:r w:rsidR="003B5087" w:rsidRPr="001C5888">
        <w:rPr>
          <w:rFonts w:ascii="SimSun" w:hAnsi="SimSun" w:hint="eastAsia"/>
          <w:sz w:val="21"/>
        </w:rPr>
        <w:t>专业人员之间缺乏充分的跨</w:t>
      </w:r>
      <w:r w:rsidR="00806459">
        <w:rPr>
          <w:rFonts w:ascii="SimSun" w:hAnsi="SimSun" w:hint="eastAsia"/>
          <w:sz w:val="21"/>
        </w:rPr>
        <w:t>行业</w:t>
      </w:r>
      <w:r w:rsidR="003B5087" w:rsidRPr="001C5888">
        <w:rPr>
          <w:rFonts w:ascii="SimSun" w:hAnsi="SimSun" w:hint="eastAsia"/>
          <w:sz w:val="21"/>
        </w:rPr>
        <w:t>协调</w:t>
      </w:r>
      <w:r w:rsidR="00C9424F" w:rsidRPr="001C5888">
        <w:rPr>
          <w:rFonts w:ascii="SimSun" w:hAnsi="SimSun" w:hint="eastAsia"/>
          <w:sz w:val="21"/>
        </w:rPr>
        <w:t>以及某些公司的响应不够充分；以及</w:t>
      </w:r>
      <w:r w:rsidR="001D3D51" w:rsidRPr="001C5888">
        <w:rPr>
          <w:rFonts w:ascii="SimSun" w:hAnsi="SimSun"/>
          <w:sz w:val="21"/>
        </w:rPr>
        <w:t>(iii)</w:t>
      </w:r>
      <w:r w:rsidR="003B5087" w:rsidRPr="001C5888">
        <w:rPr>
          <w:rFonts w:ascii="SimSun" w:hAnsi="SimSun" w:hint="eastAsia"/>
          <w:sz w:val="21"/>
        </w:rPr>
        <w:t>大部分建筑公司和供应商没有预料到在2014年春后还会滞留在工地，它们已经承接了其他的工程项目，后面难以灵活、协调和及时地响应对其提出的要求，从而导致工程进度出现新的延误。</w:t>
      </w:r>
    </w:p>
    <w:p w:rsidR="001C5888" w:rsidRDefault="009C7EEC"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截至本文件撰写之日，</w:t>
      </w:r>
      <w:r w:rsidR="000F5A36" w:rsidRPr="001C5888">
        <w:rPr>
          <w:rFonts w:ascii="SimSun" w:hAnsi="SimSun" w:hint="eastAsia"/>
          <w:sz w:val="21"/>
        </w:rPr>
        <w:t>由于以上概述的种种原因，项目总成本的最终确切数额</w:t>
      </w:r>
      <w:r w:rsidR="00E1674E" w:rsidRPr="001C5888">
        <w:rPr>
          <w:rFonts w:ascii="SimSun" w:hAnsi="SimSun" w:hint="eastAsia"/>
          <w:sz w:val="21"/>
        </w:rPr>
        <w:t>无法准确地确定。秘书处将尽力维护本组织的最佳利益，</w:t>
      </w:r>
      <w:r w:rsidR="006F5F61" w:rsidRPr="001C5888">
        <w:rPr>
          <w:rFonts w:ascii="SimSun" w:hAnsi="SimSun" w:hint="eastAsia"/>
          <w:sz w:val="21"/>
        </w:rPr>
        <w:t>并准备好向剩余的建筑公司和专业服务公司支付应付的款</w:t>
      </w:r>
      <w:r w:rsidR="006F5F61" w:rsidRPr="001C5888">
        <w:rPr>
          <w:rFonts w:ascii="SimSun" w:hAnsi="SimSun" w:hint="eastAsia"/>
          <w:sz w:val="21"/>
        </w:rPr>
        <w:lastRenderedPageBreak/>
        <w:t>项。</w:t>
      </w:r>
      <w:r w:rsidR="007C760B" w:rsidRPr="001C5888">
        <w:rPr>
          <w:rFonts w:ascii="SimSun" w:hAnsi="SimSun" w:hint="eastAsia"/>
          <w:sz w:val="21"/>
        </w:rPr>
        <w:t>就此，秘书处会注意，</w:t>
      </w:r>
      <w:r w:rsidR="00917439" w:rsidRPr="001C5888">
        <w:rPr>
          <w:rFonts w:ascii="SimSun" w:hAnsi="SimSun" w:hint="eastAsia"/>
          <w:sz w:val="21"/>
        </w:rPr>
        <w:t>不危及与若干当事方就决算账目以及各自应承担责任开展的讨论，并且不错过与相关当事方达成合理且友好解决问题的机会，同时避免诉诸仲裁以解决遗留问题的必要性。</w:t>
      </w:r>
    </w:p>
    <w:p w:rsidR="001C5888" w:rsidRDefault="00917439"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因此，秘书处</w:t>
      </w:r>
      <w:r w:rsidR="00687E68" w:rsidRPr="001C5888">
        <w:rPr>
          <w:rFonts w:ascii="SimSun" w:hAnsi="SimSun" w:hint="eastAsia"/>
          <w:sz w:val="21"/>
        </w:rPr>
        <w:t>瞄准的是为2015年</w:t>
      </w:r>
      <w:r w:rsidR="00806459">
        <w:rPr>
          <w:rFonts w:ascii="SimSun" w:hAnsi="SimSun" w:hint="eastAsia"/>
          <w:sz w:val="21"/>
        </w:rPr>
        <w:t>成员国</w:t>
      </w:r>
      <w:r w:rsidR="00687E68" w:rsidRPr="001C5888">
        <w:rPr>
          <w:rFonts w:ascii="SimSun" w:hAnsi="SimSun" w:hint="eastAsia"/>
          <w:sz w:val="21"/>
        </w:rPr>
        <w:t>大会及时说明最终的确切数额。</w:t>
      </w:r>
    </w:p>
    <w:p w:rsidR="001C5888" w:rsidRPr="001C5888" w:rsidRDefault="003B5087" w:rsidP="001C5888">
      <w:pPr>
        <w:keepNext/>
        <w:spacing w:beforeLines="100" w:before="240" w:afterLines="50" w:after="120" w:line="340" w:lineRule="atLeast"/>
        <w:rPr>
          <w:rFonts w:ascii="SimHei" w:eastAsia="SimHei" w:hAnsi="SimHei"/>
          <w:sz w:val="21"/>
        </w:rPr>
      </w:pPr>
      <w:r w:rsidRPr="001C5888">
        <w:rPr>
          <w:rFonts w:ascii="SimHei" w:eastAsia="SimHei" w:hAnsi="SimHei" w:hint="eastAsia"/>
          <w:sz w:val="21"/>
        </w:rPr>
        <w:t>结束语</w:t>
      </w:r>
    </w:p>
    <w:p w:rsidR="001C5888" w:rsidRDefault="003B5087" w:rsidP="00AE5105">
      <w:pPr>
        <w:numPr>
          <w:ilvl w:val="0"/>
          <w:numId w:val="7"/>
        </w:numPr>
        <w:tabs>
          <w:tab w:val="clear" w:pos="567"/>
        </w:tabs>
        <w:overflowPunct w:val="0"/>
        <w:spacing w:afterLines="50" w:after="120" w:line="340" w:lineRule="atLeast"/>
        <w:jc w:val="both"/>
        <w:rPr>
          <w:rFonts w:ascii="SimSun" w:hAnsi="SimSun"/>
          <w:sz w:val="21"/>
        </w:rPr>
      </w:pPr>
      <w:r w:rsidRPr="001C5888">
        <w:rPr>
          <w:rFonts w:ascii="SimSun" w:hAnsi="SimSun" w:hint="eastAsia"/>
          <w:sz w:val="21"/>
        </w:rPr>
        <w:t>提议决定段落措辞如下。</w:t>
      </w:r>
    </w:p>
    <w:p w:rsidR="001C5888" w:rsidRPr="00AE5105" w:rsidRDefault="003B5087" w:rsidP="00AE5105">
      <w:pPr>
        <w:pStyle w:val="ListParagraph"/>
        <w:numPr>
          <w:ilvl w:val="0"/>
          <w:numId w:val="7"/>
        </w:numPr>
        <w:tabs>
          <w:tab w:val="clear" w:pos="567"/>
        </w:tabs>
        <w:overflowPunct w:val="0"/>
        <w:spacing w:afterLines="50" w:after="120" w:line="340" w:lineRule="atLeast"/>
        <w:ind w:left="5534"/>
        <w:contextualSpacing w:val="0"/>
        <w:jc w:val="both"/>
        <w:rPr>
          <w:rFonts w:ascii="KaiTi" w:eastAsia="KaiTi" w:hAnsi="KaiTi"/>
          <w:i/>
          <w:sz w:val="21"/>
        </w:rPr>
      </w:pPr>
      <w:r w:rsidRPr="001C5888">
        <w:rPr>
          <w:rFonts w:ascii="KaiTi" w:eastAsia="KaiTi" w:hAnsi="KaiTi" w:hint="eastAsia"/>
          <w:i/>
          <w:sz w:val="21"/>
        </w:rPr>
        <w:t>计划和预算委员会：</w:t>
      </w:r>
    </w:p>
    <w:p w:rsidR="001C5888" w:rsidRPr="00AE5105" w:rsidRDefault="003B5087" w:rsidP="00AE5105">
      <w:pPr>
        <w:numPr>
          <w:ilvl w:val="1"/>
          <w:numId w:val="7"/>
        </w:numPr>
        <w:tabs>
          <w:tab w:val="clear" w:pos="1440"/>
        </w:tabs>
        <w:overflowPunct w:val="0"/>
        <w:spacing w:afterLines="50" w:after="120" w:line="340" w:lineRule="atLeast"/>
        <w:ind w:left="6237" w:firstLine="0"/>
        <w:jc w:val="both"/>
        <w:rPr>
          <w:rFonts w:ascii="KaiTi" w:eastAsia="KaiTi" w:hAnsi="KaiTi"/>
          <w:i/>
          <w:sz w:val="21"/>
        </w:rPr>
      </w:pPr>
      <w:r w:rsidRPr="001C5888">
        <w:rPr>
          <w:rFonts w:ascii="KaiTi" w:eastAsia="KaiTi" w:hAnsi="KaiTi" w:hint="eastAsia"/>
          <w:i/>
          <w:sz w:val="21"/>
        </w:rPr>
        <w:t>注意到</w:t>
      </w:r>
      <w:r w:rsidR="00D22A66" w:rsidRPr="001C5888">
        <w:rPr>
          <w:rFonts w:ascii="KaiTi" w:eastAsia="KaiTi" w:hAnsi="KaiTi" w:hint="eastAsia"/>
          <w:i/>
          <w:sz w:val="21"/>
        </w:rPr>
        <w:t>新建筑项目和新会议厅项目</w:t>
      </w:r>
      <w:r w:rsidR="00687E68" w:rsidRPr="001C5888">
        <w:rPr>
          <w:rFonts w:ascii="KaiTi" w:eastAsia="KaiTi" w:hAnsi="KaiTi" w:hint="eastAsia"/>
          <w:i/>
          <w:sz w:val="21"/>
        </w:rPr>
        <w:t>进展报告</w:t>
      </w:r>
      <w:r w:rsidR="00AE5105">
        <w:rPr>
          <w:rFonts w:ascii="KaiTi" w:eastAsia="KaiTi" w:hAnsi="KaiTi" w:hint="eastAsia"/>
          <w:i/>
          <w:sz w:val="21"/>
        </w:rPr>
        <w:t>(</w:t>
      </w:r>
      <w:r w:rsidR="00D22A66" w:rsidRPr="001C5888">
        <w:rPr>
          <w:rFonts w:ascii="KaiTi" w:eastAsia="KaiTi" w:hAnsi="KaiTi" w:hint="eastAsia"/>
          <w:i/>
          <w:sz w:val="21"/>
        </w:rPr>
        <w:t>文件</w:t>
      </w:r>
      <w:r w:rsidR="00EF7C44" w:rsidRPr="001C5888">
        <w:rPr>
          <w:rFonts w:ascii="KaiTi" w:eastAsia="KaiTi" w:hAnsi="KaiTi"/>
          <w:i/>
          <w:sz w:val="21"/>
        </w:rPr>
        <w:t>WO/PBC/24/13)</w:t>
      </w:r>
      <w:r w:rsidR="00D22A66" w:rsidRPr="001C5888">
        <w:rPr>
          <w:rFonts w:ascii="KaiTi" w:eastAsia="KaiTi" w:hAnsi="KaiTi" w:hint="eastAsia"/>
          <w:i/>
          <w:sz w:val="21"/>
        </w:rPr>
        <w:t>的内容，包括</w:t>
      </w:r>
      <w:r w:rsidR="00687E68" w:rsidRPr="001C5888">
        <w:rPr>
          <w:rFonts w:ascii="KaiTi" w:eastAsia="KaiTi" w:hAnsi="KaiTi" w:hint="eastAsia"/>
          <w:i/>
          <w:sz w:val="21"/>
        </w:rPr>
        <w:t>正在与剩余的四家建筑公司和六家专业服务公司进行账目决算的讨论这一事实；</w:t>
      </w:r>
    </w:p>
    <w:p w:rsidR="001C5888" w:rsidRPr="00AE5105" w:rsidRDefault="00525BA0" w:rsidP="00AE5105">
      <w:pPr>
        <w:numPr>
          <w:ilvl w:val="1"/>
          <w:numId w:val="7"/>
        </w:numPr>
        <w:tabs>
          <w:tab w:val="clear" w:pos="1440"/>
        </w:tabs>
        <w:overflowPunct w:val="0"/>
        <w:spacing w:afterLines="50" w:after="120" w:line="340" w:lineRule="atLeast"/>
        <w:ind w:left="6237" w:firstLine="0"/>
        <w:jc w:val="both"/>
        <w:rPr>
          <w:rFonts w:ascii="KaiTi" w:eastAsia="KaiTi" w:hAnsi="KaiTi"/>
          <w:i/>
          <w:sz w:val="21"/>
        </w:rPr>
      </w:pPr>
      <w:r w:rsidRPr="001C5888">
        <w:rPr>
          <w:rFonts w:ascii="KaiTi" w:eastAsia="KaiTi" w:hAnsi="KaiTi" w:hint="eastAsia"/>
          <w:i/>
          <w:sz w:val="21"/>
        </w:rPr>
        <w:t>要求秘书处：</w:t>
      </w:r>
    </w:p>
    <w:p w:rsidR="001C5888" w:rsidRDefault="00F36183" w:rsidP="00AE5105">
      <w:pPr>
        <w:numPr>
          <w:ilvl w:val="2"/>
          <w:numId w:val="7"/>
        </w:numPr>
        <w:spacing w:afterLines="50" w:after="120" w:line="340" w:lineRule="atLeast"/>
        <w:ind w:left="6804" w:firstLine="0"/>
        <w:jc w:val="both"/>
        <w:rPr>
          <w:rFonts w:ascii="SimSun" w:hAnsi="SimSun"/>
          <w:sz w:val="21"/>
        </w:rPr>
      </w:pPr>
      <w:r w:rsidRPr="001C5888">
        <w:rPr>
          <w:rFonts w:ascii="KaiTi" w:eastAsia="KaiTi" w:hAnsi="KaiTi" w:hint="eastAsia"/>
          <w:i/>
          <w:sz w:val="21"/>
        </w:rPr>
        <w:t>把终结</w:t>
      </w:r>
      <w:r w:rsidR="000E09CD">
        <w:rPr>
          <w:rFonts w:ascii="KaiTi" w:eastAsia="KaiTi" w:hAnsi="KaiTi" w:hint="eastAsia"/>
          <w:i/>
          <w:sz w:val="21"/>
        </w:rPr>
        <w:t>并</w:t>
      </w:r>
      <w:r w:rsidRPr="001C5888">
        <w:rPr>
          <w:rFonts w:ascii="KaiTi" w:eastAsia="KaiTi" w:hAnsi="KaiTi" w:hint="eastAsia"/>
          <w:i/>
          <w:sz w:val="21"/>
        </w:rPr>
        <w:t>关闭所有与新会议厅项目相关的账目所需的潜在新增资金尽量控制在最低水平；</w:t>
      </w:r>
    </w:p>
    <w:p w:rsidR="001C5888" w:rsidRPr="001C5888" w:rsidRDefault="00B81DF1" w:rsidP="00AE5105">
      <w:pPr>
        <w:numPr>
          <w:ilvl w:val="2"/>
          <w:numId w:val="7"/>
        </w:numPr>
        <w:spacing w:afterLines="50" w:after="120" w:line="340" w:lineRule="atLeast"/>
        <w:ind w:left="6804" w:firstLine="0"/>
        <w:jc w:val="both"/>
        <w:rPr>
          <w:rFonts w:ascii="KaiTi" w:eastAsia="KaiTi" w:hAnsi="KaiTi"/>
          <w:i/>
          <w:sz w:val="21"/>
        </w:rPr>
      </w:pPr>
      <w:r w:rsidRPr="001C5888">
        <w:rPr>
          <w:rFonts w:ascii="KaiTi" w:eastAsia="KaiTi" w:hAnsi="KaiTi" w:hint="eastAsia"/>
          <w:i/>
          <w:sz w:val="21"/>
        </w:rPr>
        <w:t>在2015年</w:t>
      </w:r>
      <w:r w:rsidR="00806459">
        <w:rPr>
          <w:rFonts w:ascii="KaiTi" w:eastAsia="KaiTi" w:hAnsi="KaiTi" w:hint="eastAsia"/>
          <w:i/>
          <w:sz w:val="21"/>
        </w:rPr>
        <w:t>成员国</w:t>
      </w:r>
      <w:r w:rsidRPr="001C5888">
        <w:rPr>
          <w:rFonts w:ascii="KaiTi" w:eastAsia="KaiTi" w:hAnsi="KaiTi" w:hint="eastAsia"/>
          <w:i/>
          <w:sz w:val="21"/>
        </w:rPr>
        <w:t>大会前不遗余力地关闭所有与新会议厅项目相关的账目；</w:t>
      </w:r>
    </w:p>
    <w:p w:rsidR="001C5888" w:rsidRPr="00AE5105" w:rsidRDefault="00C63A99" w:rsidP="00AE5105">
      <w:pPr>
        <w:numPr>
          <w:ilvl w:val="1"/>
          <w:numId w:val="7"/>
        </w:numPr>
        <w:tabs>
          <w:tab w:val="clear" w:pos="1440"/>
        </w:tabs>
        <w:overflowPunct w:val="0"/>
        <w:spacing w:afterLines="50" w:after="120" w:line="340" w:lineRule="atLeast"/>
        <w:ind w:left="6237" w:firstLine="0"/>
        <w:jc w:val="both"/>
        <w:rPr>
          <w:rFonts w:ascii="KaiTi" w:eastAsia="KaiTi" w:hAnsi="KaiTi"/>
          <w:i/>
          <w:sz w:val="21"/>
        </w:rPr>
      </w:pPr>
      <w:r w:rsidRPr="001C5888">
        <w:rPr>
          <w:rFonts w:ascii="KaiTi" w:eastAsia="KaiTi" w:hAnsi="KaiTi" w:hint="eastAsia"/>
          <w:i/>
          <w:sz w:val="21"/>
        </w:rPr>
        <w:t>认识到</w:t>
      </w:r>
      <w:r w:rsidR="00964CDC" w:rsidRPr="001C5888">
        <w:rPr>
          <w:rFonts w:ascii="KaiTi" w:eastAsia="KaiTi" w:hAnsi="KaiTi" w:hint="eastAsia"/>
          <w:i/>
          <w:sz w:val="21"/>
        </w:rPr>
        <w:t>就</w:t>
      </w:r>
      <w:r w:rsidR="009C57D6" w:rsidRPr="001C5888">
        <w:rPr>
          <w:rFonts w:ascii="KaiTi" w:eastAsia="KaiTi" w:hAnsi="KaiTi" w:hint="eastAsia"/>
          <w:i/>
          <w:sz w:val="21"/>
        </w:rPr>
        <w:t>上文</w:t>
      </w:r>
      <w:r w:rsidR="009C57D6" w:rsidRPr="001C5888">
        <w:rPr>
          <w:rFonts w:ascii="KaiTi" w:eastAsia="KaiTi" w:hAnsi="KaiTi"/>
          <w:i/>
          <w:sz w:val="21"/>
        </w:rPr>
        <w:t>(a)</w:t>
      </w:r>
      <w:r w:rsidR="009C57D6" w:rsidRPr="001C5888">
        <w:rPr>
          <w:rFonts w:ascii="KaiTi" w:eastAsia="KaiTi" w:hAnsi="KaiTi" w:hint="eastAsia"/>
          <w:i/>
          <w:sz w:val="21"/>
        </w:rPr>
        <w:t>项所述</w:t>
      </w:r>
      <w:r w:rsidR="00964CDC" w:rsidRPr="001C5888">
        <w:rPr>
          <w:rFonts w:ascii="KaiTi" w:eastAsia="KaiTi" w:hAnsi="KaiTi" w:hint="eastAsia"/>
          <w:i/>
          <w:sz w:val="21"/>
        </w:rPr>
        <w:t>账目决算</w:t>
      </w:r>
      <w:r w:rsidR="009C57D6" w:rsidRPr="001C5888">
        <w:rPr>
          <w:rFonts w:ascii="KaiTi" w:eastAsia="KaiTi" w:hAnsi="KaiTi" w:hint="eastAsia"/>
          <w:i/>
          <w:sz w:val="21"/>
        </w:rPr>
        <w:t>正在开展的讨论的保密要求，建议</w:t>
      </w:r>
      <w:r w:rsidR="009C57D6" w:rsidRPr="001C5888">
        <w:rPr>
          <w:rFonts w:ascii="KaiTi" w:eastAsia="KaiTi" w:hAnsi="KaiTi"/>
          <w:i/>
          <w:sz w:val="21"/>
        </w:rPr>
        <w:t>WIPO</w:t>
      </w:r>
      <w:r w:rsidR="009C57D6" w:rsidRPr="001C5888">
        <w:rPr>
          <w:rFonts w:ascii="KaiTi" w:eastAsia="KaiTi" w:hAnsi="KaiTi" w:hint="eastAsia"/>
          <w:i/>
          <w:sz w:val="21"/>
        </w:rPr>
        <w:t>成员国大会和各联盟的大会各自</w:t>
      </w:r>
      <w:r w:rsidR="00806459">
        <w:rPr>
          <w:rFonts w:ascii="KaiTi" w:eastAsia="KaiTi" w:hAnsi="KaiTi" w:hint="eastAsia"/>
          <w:i/>
          <w:sz w:val="21"/>
        </w:rPr>
        <w:t>就其</w:t>
      </w:r>
      <w:r w:rsidR="009C57D6" w:rsidRPr="001C5888">
        <w:rPr>
          <w:rFonts w:ascii="KaiTi" w:eastAsia="KaiTi" w:hAnsi="KaiTi" w:hint="eastAsia"/>
          <w:i/>
          <w:sz w:val="21"/>
        </w:rPr>
        <w:t>所涉事宜</w:t>
      </w:r>
      <w:r w:rsidR="00806459">
        <w:rPr>
          <w:rFonts w:ascii="KaiTi" w:eastAsia="KaiTi" w:hAnsi="KaiTi" w:hint="eastAsia"/>
          <w:i/>
          <w:sz w:val="21"/>
        </w:rPr>
        <w:t>，对于</w:t>
      </w:r>
      <w:r w:rsidR="00806459" w:rsidRPr="001C5888">
        <w:rPr>
          <w:rFonts w:ascii="KaiTi" w:eastAsia="KaiTi" w:hAnsi="KaiTi" w:hint="eastAsia"/>
          <w:i/>
          <w:sz w:val="21"/>
        </w:rPr>
        <w:t>与</w:t>
      </w:r>
      <w:r w:rsidR="00765416">
        <w:rPr>
          <w:rFonts w:ascii="KaiTi" w:eastAsia="KaiTi" w:hAnsi="KaiTi" w:hint="eastAsia"/>
          <w:i/>
          <w:sz w:val="21"/>
        </w:rPr>
        <w:t>完成和</w:t>
      </w:r>
      <w:r w:rsidR="00806459" w:rsidRPr="001C5888">
        <w:rPr>
          <w:rFonts w:ascii="KaiTi" w:eastAsia="KaiTi" w:hAnsi="KaiTi" w:hint="eastAsia"/>
          <w:i/>
          <w:sz w:val="21"/>
        </w:rPr>
        <w:t>关闭新会议厅项目相关的超出新会议厅项目7</w:t>
      </w:r>
      <w:r w:rsidR="00806459">
        <w:rPr>
          <w:rFonts w:ascii="KaiTi" w:eastAsia="KaiTi" w:hAnsi="KaiTi" w:hint="eastAsia"/>
          <w:i/>
          <w:sz w:val="21"/>
        </w:rPr>
        <w:t>,</w:t>
      </w:r>
      <w:r w:rsidR="00806459" w:rsidRPr="001C5888">
        <w:rPr>
          <w:rFonts w:ascii="KaiTi" w:eastAsia="KaiTi" w:hAnsi="KaiTi" w:hint="eastAsia"/>
          <w:i/>
          <w:sz w:val="21"/>
        </w:rPr>
        <w:t>520万瑞郎已核准预算的任何潜在新增费用</w:t>
      </w:r>
      <w:r w:rsidR="00806459">
        <w:rPr>
          <w:rFonts w:ascii="KaiTi" w:eastAsia="KaiTi" w:hAnsi="KaiTi" w:hint="eastAsia"/>
          <w:i/>
          <w:sz w:val="21"/>
        </w:rPr>
        <w:t>，</w:t>
      </w:r>
      <w:r w:rsidR="00D3454A" w:rsidRPr="001C5888">
        <w:rPr>
          <w:rFonts w:ascii="KaiTi" w:eastAsia="KaiTi" w:hAnsi="KaiTi" w:hint="eastAsia"/>
          <w:i/>
          <w:sz w:val="21"/>
        </w:rPr>
        <w:t>特别</w:t>
      </w:r>
      <w:r w:rsidR="00806459">
        <w:rPr>
          <w:rFonts w:ascii="KaiTi" w:eastAsia="KaiTi" w:hAnsi="KaiTi" w:hint="eastAsia"/>
          <w:i/>
          <w:sz w:val="21"/>
        </w:rPr>
        <w:t>批准</w:t>
      </w:r>
      <w:r w:rsidR="00BB63D7" w:rsidRPr="001C5888">
        <w:rPr>
          <w:rFonts w:ascii="KaiTi" w:eastAsia="KaiTi" w:hAnsi="KaiTi" w:hint="eastAsia"/>
          <w:i/>
          <w:sz w:val="21"/>
        </w:rPr>
        <w:t>从已核准的2014/15年计划和预算中所载的预算总额中列支。</w:t>
      </w:r>
    </w:p>
    <w:p w:rsidR="00AE5105" w:rsidRDefault="00AE5105" w:rsidP="00AE5105">
      <w:pPr>
        <w:tabs>
          <w:tab w:val="left" w:pos="5529"/>
        </w:tabs>
        <w:spacing w:afterLines="50" w:after="120" w:line="340" w:lineRule="atLeast"/>
        <w:ind w:left="5534"/>
        <w:rPr>
          <w:rFonts w:ascii="KaiTi" w:eastAsia="KaiTi" w:hAnsi="KaiTi"/>
          <w:sz w:val="21"/>
        </w:rPr>
      </w:pPr>
    </w:p>
    <w:p w:rsidR="00EF7C44" w:rsidRPr="00AE5105" w:rsidRDefault="00EF7C44" w:rsidP="00AE5105">
      <w:pPr>
        <w:tabs>
          <w:tab w:val="left" w:pos="5529"/>
        </w:tabs>
        <w:spacing w:afterLines="50" w:after="120" w:line="340" w:lineRule="atLeast"/>
        <w:ind w:left="5534"/>
        <w:rPr>
          <w:rFonts w:ascii="KaiTi" w:eastAsia="KaiTi" w:hAnsi="KaiTi"/>
          <w:sz w:val="21"/>
        </w:rPr>
      </w:pPr>
      <w:r w:rsidRPr="00AE5105">
        <w:rPr>
          <w:rFonts w:ascii="KaiTi" w:eastAsia="KaiTi" w:hAnsi="KaiTi"/>
          <w:sz w:val="21"/>
        </w:rPr>
        <w:t>[</w:t>
      </w:r>
      <w:r w:rsidR="00D22A66" w:rsidRPr="00AE5105">
        <w:rPr>
          <w:rFonts w:ascii="KaiTi" w:eastAsia="KaiTi" w:hAnsi="KaiTi" w:hint="eastAsia"/>
          <w:sz w:val="21"/>
        </w:rPr>
        <w:t>文件完</w:t>
      </w:r>
      <w:r w:rsidRPr="00AE5105">
        <w:rPr>
          <w:rFonts w:ascii="KaiTi" w:eastAsia="KaiTi" w:hAnsi="KaiTi"/>
          <w:sz w:val="21"/>
        </w:rPr>
        <w:t>]</w:t>
      </w:r>
    </w:p>
    <w:sectPr w:rsidR="00EF7C44" w:rsidRPr="00AE5105" w:rsidSect="00720C7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36" w:rsidRDefault="000F5A36">
      <w:r>
        <w:separator/>
      </w:r>
    </w:p>
  </w:endnote>
  <w:endnote w:type="continuationSeparator" w:id="0">
    <w:p w:rsidR="000F5A36" w:rsidRDefault="000F5A36" w:rsidP="003B38C1">
      <w:r>
        <w:separator/>
      </w:r>
    </w:p>
    <w:p w:rsidR="000F5A36" w:rsidRPr="003B38C1" w:rsidRDefault="000F5A36" w:rsidP="003B38C1">
      <w:pPr>
        <w:spacing w:after="60"/>
        <w:rPr>
          <w:sz w:val="17"/>
        </w:rPr>
      </w:pPr>
      <w:r>
        <w:rPr>
          <w:sz w:val="17"/>
        </w:rPr>
        <w:t>[Endnote continued from previous page]</w:t>
      </w:r>
    </w:p>
  </w:endnote>
  <w:endnote w:type="continuationNotice" w:id="1">
    <w:p w:rsidR="000F5A36" w:rsidRPr="003B38C1" w:rsidRDefault="000F5A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36" w:rsidRDefault="000F5A36">
      <w:r>
        <w:separator/>
      </w:r>
    </w:p>
  </w:footnote>
  <w:footnote w:type="continuationSeparator" w:id="0">
    <w:p w:rsidR="000F5A36" w:rsidRDefault="000F5A36" w:rsidP="008B60B2">
      <w:r>
        <w:separator/>
      </w:r>
    </w:p>
    <w:p w:rsidR="000F5A36" w:rsidRPr="00ED77FB" w:rsidRDefault="000F5A36" w:rsidP="008B60B2">
      <w:pPr>
        <w:spacing w:after="60"/>
        <w:rPr>
          <w:sz w:val="17"/>
          <w:szCs w:val="17"/>
        </w:rPr>
      </w:pPr>
      <w:r w:rsidRPr="00ED77FB">
        <w:rPr>
          <w:sz w:val="17"/>
          <w:szCs w:val="17"/>
        </w:rPr>
        <w:t>[Footnote continued from previous page]</w:t>
      </w:r>
    </w:p>
  </w:footnote>
  <w:footnote w:type="continuationNotice" w:id="1">
    <w:p w:rsidR="000F5A36" w:rsidRPr="00ED77FB" w:rsidRDefault="000F5A3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36" w:rsidRPr="001C5888" w:rsidRDefault="000F5A36" w:rsidP="00477D6B">
    <w:pPr>
      <w:jc w:val="right"/>
      <w:rPr>
        <w:rFonts w:ascii="SimSun" w:hAnsi="SimSun"/>
        <w:sz w:val="21"/>
      </w:rPr>
    </w:pPr>
    <w:bookmarkStart w:id="6" w:name="Code2"/>
    <w:bookmarkEnd w:id="6"/>
    <w:r w:rsidRPr="001C5888">
      <w:rPr>
        <w:rFonts w:ascii="SimSun" w:hAnsi="SimSun"/>
        <w:sz w:val="21"/>
      </w:rPr>
      <w:t>WO/PBC/24/13</w:t>
    </w:r>
  </w:p>
  <w:p w:rsidR="000F5A36" w:rsidRDefault="001C5888" w:rsidP="00477D6B">
    <w:pPr>
      <w:jc w:val="right"/>
      <w:rPr>
        <w:rFonts w:ascii="SimSun" w:hAnsi="SimSun"/>
        <w:sz w:val="21"/>
      </w:rPr>
    </w:pPr>
    <w:r>
      <w:rPr>
        <w:rFonts w:ascii="SimSun" w:hAnsi="SimSun" w:hint="eastAsia"/>
        <w:sz w:val="21"/>
      </w:rPr>
      <w:t>第</w:t>
    </w:r>
    <w:r w:rsidR="000F5A36" w:rsidRPr="001C5888">
      <w:rPr>
        <w:rFonts w:ascii="SimSun" w:hAnsi="SimSun"/>
        <w:sz w:val="21"/>
      </w:rPr>
      <w:fldChar w:fldCharType="begin"/>
    </w:r>
    <w:r w:rsidR="000F5A36" w:rsidRPr="001C5888">
      <w:rPr>
        <w:rFonts w:ascii="SimSun" w:hAnsi="SimSun"/>
        <w:sz w:val="21"/>
      </w:rPr>
      <w:instrText xml:space="preserve"> PAGE  \* MERGEFORMAT </w:instrText>
    </w:r>
    <w:r w:rsidR="000F5A36" w:rsidRPr="001C5888">
      <w:rPr>
        <w:rFonts w:ascii="SimSun" w:hAnsi="SimSun"/>
        <w:sz w:val="21"/>
      </w:rPr>
      <w:fldChar w:fldCharType="separate"/>
    </w:r>
    <w:r w:rsidR="00D768CF">
      <w:rPr>
        <w:rFonts w:ascii="SimSun" w:hAnsi="SimSun"/>
        <w:noProof/>
        <w:sz w:val="21"/>
      </w:rPr>
      <w:t>3</w:t>
    </w:r>
    <w:r w:rsidR="000F5A36" w:rsidRPr="001C5888">
      <w:rPr>
        <w:rFonts w:ascii="SimSun" w:hAnsi="SimSun"/>
        <w:sz w:val="21"/>
      </w:rPr>
      <w:fldChar w:fldCharType="end"/>
    </w:r>
    <w:r>
      <w:rPr>
        <w:rFonts w:ascii="SimSun" w:hAnsi="SimSun" w:hint="eastAsia"/>
        <w:sz w:val="21"/>
      </w:rPr>
      <w:t>页</w:t>
    </w:r>
  </w:p>
  <w:p w:rsidR="001C5888" w:rsidRPr="001C5888" w:rsidRDefault="001C5888" w:rsidP="00477D6B">
    <w:pPr>
      <w:jc w:val="right"/>
      <w:rPr>
        <w:rFonts w:ascii="SimSun" w:hAnsi="SimSun"/>
        <w:sz w:val="21"/>
      </w:rPr>
    </w:pPr>
  </w:p>
  <w:p w:rsidR="000F5A36" w:rsidRPr="001C5888" w:rsidRDefault="000F5A3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6D03EA"/>
    <w:multiLevelType w:val="hybridMultilevel"/>
    <w:tmpl w:val="5F9C7204"/>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C1ECB90">
      <w:start w:val="1"/>
      <w:numFmt w:val="lowerRoman"/>
      <w:lvlText w:val="(%3)"/>
      <w:lvlJc w:val="left"/>
      <w:pPr>
        <w:tabs>
          <w:tab w:val="num" w:pos="2700"/>
        </w:tabs>
        <w:ind w:left="2700" w:hanging="720"/>
      </w:pPr>
      <w:rPr>
        <w:rFonts w:ascii="KaiTi" w:eastAsia="KaiTi" w:hAnsi="KaiTi" w:hint="default"/>
        <w:i/>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A06F64"/>
    <w:multiLevelType w:val="hybridMultilevel"/>
    <w:tmpl w:val="368054FC"/>
    <w:lvl w:ilvl="0" w:tplc="C6822422">
      <w:start w:val="1"/>
      <w:numFmt w:val="lowerRoman"/>
      <w:lvlText w:val="(%1)"/>
      <w:lvlJc w:val="left"/>
      <w:pPr>
        <w:tabs>
          <w:tab w:val="num" w:pos="1440"/>
        </w:tabs>
        <w:ind w:left="144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A0F0B4D"/>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75"/>
    <w:rsid w:val="00002FF8"/>
    <w:rsid w:val="000413CC"/>
    <w:rsid w:val="00041409"/>
    <w:rsid w:val="00043CAA"/>
    <w:rsid w:val="00043D90"/>
    <w:rsid w:val="0007429E"/>
    <w:rsid w:val="00075432"/>
    <w:rsid w:val="0008046B"/>
    <w:rsid w:val="0008564B"/>
    <w:rsid w:val="000968ED"/>
    <w:rsid w:val="000A2166"/>
    <w:rsid w:val="000B6B03"/>
    <w:rsid w:val="000C1C50"/>
    <w:rsid w:val="000C7C5A"/>
    <w:rsid w:val="000E09CD"/>
    <w:rsid w:val="000E23CF"/>
    <w:rsid w:val="000F5A36"/>
    <w:rsid w:val="000F5E56"/>
    <w:rsid w:val="001031C5"/>
    <w:rsid w:val="001051DE"/>
    <w:rsid w:val="001313BB"/>
    <w:rsid w:val="001362EE"/>
    <w:rsid w:val="001510C7"/>
    <w:rsid w:val="00161266"/>
    <w:rsid w:val="00170773"/>
    <w:rsid w:val="00182B63"/>
    <w:rsid w:val="001832A6"/>
    <w:rsid w:val="00195961"/>
    <w:rsid w:val="001A7224"/>
    <w:rsid w:val="001B7A68"/>
    <w:rsid w:val="001C5888"/>
    <w:rsid w:val="001D3D51"/>
    <w:rsid w:val="00202525"/>
    <w:rsid w:val="0020512A"/>
    <w:rsid w:val="00255668"/>
    <w:rsid w:val="002634C4"/>
    <w:rsid w:val="00267346"/>
    <w:rsid w:val="00277668"/>
    <w:rsid w:val="00286937"/>
    <w:rsid w:val="00291DE6"/>
    <w:rsid w:val="002928D3"/>
    <w:rsid w:val="00297F80"/>
    <w:rsid w:val="002A1EBD"/>
    <w:rsid w:val="002E2DB2"/>
    <w:rsid w:val="002F1FE6"/>
    <w:rsid w:val="002F4E68"/>
    <w:rsid w:val="00312F7F"/>
    <w:rsid w:val="00334BDC"/>
    <w:rsid w:val="003433BC"/>
    <w:rsid w:val="00352B38"/>
    <w:rsid w:val="00361450"/>
    <w:rsid w:val="003673CF"/>
    <w:rsid w:val="00373371"/>
    <w:rsid w:val="003845C1"/>
    <w:rsid w:val="0038780A"/>
    <w:rsid w:val="003A6F89"/>
    <w:rsid w:val="003B1FE9"/>
    <w:rsid w:val="003B38C1"/>
    <w:rsid w:val="003B5087"/>
    <w:rsid w:val="003E1303"/>
    <w:rsid w:val="00423E3E"/>
    <w:rsid w:val="00425F84"/>
    <w:rsid w:val="00427AF4"/>
    <w:rsid w:val="00427D77"/>
    <w:rsid w:val="00427FA5"/>
    <w:rsid w:val="00432878"/>
    <w:rsid w:val="004647DA"/>
    <w:rsid w:val="004654C6"/>
    <w:rsid w:val="00474062"/>
    <w:rsid w:val="00475EFB"/>
    <w:rsid w:val="00477283"/>
    <w:rsid w:val="00477D6B"/>
    <w:rsid w:val="00491830"/>
    <w:rsid w:val="004952DE"/>
    <w:rsid w:val="00497910"/>
    <w:rsid w:val="004A62F7"/>
    <w:rsid w:val="004C240A"/>
    <w:rsid w:val="004D0850"/>
    <w:rsid w:val="004E435D"/>
    <w:rsid w:val="005019FF"/>
    <w:rsid w:val="005179AE"/>
    <w:rsid w:val="00525BA0"/>
    <w:rsid w:val="0053057A"/>
    <w:rsid w:val="00560A29"/>
    <w:rsid w:val="00563BD2"/>
    <w:rsid w:val="00563F66"/>
    <w:rsid w:val="00567B7C"/>
    <w:rsid w:val="005725F2"/>
    <w:rsid w:val="00574FB3"/>
    <w:rsid w:val="005A56A5"/>
    <w:rsid w:val="005B05E3"/>
    <w:rsid w:val="005B1C65"/>
    <w:rsid w:val="005C6649"/>
    <w:rsid w:val="005D02FE"/>
    <w:rsid w:val="005D3C39"/>
    <w:rsid w:val="005F153E"/>
    <w:rsid w:val="00605827"/>
    <w:rsid w:val="00605CE6"/>
    <w:rsid w:val="00621BD1"/>
    <w:rsid w:val="0062636B"/>
    <w:rsid w:val="00646050"/>
    <w:rsid w:val="006713CA"/>
    <w:rsid w:val="00676C5C"/>
    <w:rsid w:val="00687E68"/>
    <w:rsid w:val="006972DE"/>
    <w:rsid w:val="006B6C76"/>
    <w:rsid w:val="006C7E0A"/>
    <w:rsid w:val="006D6283"/>
    <w:rsid w:val="006F1FF0"/>
    <w:rsid w:val="006F5F61"/>
    <w:rsid w:val="00720C75"/>
    <w:rsid w:val="00721945"/>
    <w:rsid w:val="00726D06"/>
    <w:rsid w:val="0074257B"/>
    <w:rsid w:val="00762886"/>
    <w:rsid w:val="00765416"/>
    <w:rsid w:val="00766BEF"/>
    <w:rsid w:val="00782D4A"/>
    <w:rsid w:val="007C760B"/>
    <w:rsid w:val="007D1613"/>
    <w:rsid w:val="007D297D"/>
    <w:rsid w:val="007F279D"/>
    <w:rsid w:val="00806459"/>
    <w:rsid w:val="00821AD3"/>
    <w:rsid w:val="00844DEC"/>
    <w:rsid w:val="00882386"/>
    <w:rsid w:val="008868DA"/>
    <w:rsid w:val="00894F64"/>
    <w:rsid w:val="008B2CC1"/>
    <w:rsid w:val="008B31E4"/>
    <w:rsid w:val="008B60B2"/>
    <w:rsid w:val="008C4015"/>
    <w:rsid w:val="008D38ED"/>
    <w:rsid w:val="008D4FC5"/>
    <w:rsid w:val="008F1879"/>
    <w:rsid w:val="0090731E"/>
    <w:rsid w:val="00916EE2"/>
    <w:rsid w:val="00917439"/>
    <w:rsid w:val="009251DF"/>
    <w:rsid w:val="00943C77"/>
    <w:rsid w:val="00964CDC"/>
    <w:rsid w:val="0096545B"/>
    <w:rsid w:val="00966A22"/>
    <w:rsid w:val="0096722F"/>
    <w:rsid w:val="00974EAF"/>
    <w:rsid w:val="00977CAC"/>
    <w:rsid w:val="00980843"/>
    <w:rsid w:val="00980B4A"/>
    <w:rsid w:val="00981612"/>
    <w:rsid w:val="009973E9"/>
    <w:rsid w:val="009A0BC9"/>
    <w:rsid w:val="009A2145"/>
    <w:rsid w:val="009A3F29"/>
    <w:rsid w:val="009A7471"/>
    <w:rsid w:val="009C57D6"/>
    <w:rsid w:val="009C7EEC"/>
    <w:rsid w:val="009D22C9"/>
    <w:rsid w:val="009E2791"/>
    <w:rsid w:val="009E3F6F"/>
    <w:rsid w:val="009E7ADE"/>
    <w:rsid w:val="009F499F"/>
    <w:rsid w:val="00A04603"/>
    <w:rsid w:val="00A04EFB"/>
    <w:rsid w:val="00A26003"/>
    <w:rsid w:val="00A42DAF"/>
    <w:rsid w:val="00A45BD8"/>
    <w:rsid w:val="00A57EFA"/>
    <w:rsid w:val="00A65D91"/>
    <w:rsid w:val="00A77461"/>
    <w:rsid w:val="00A869B7"/>
    <w:rsid w:val="00AA0013"/>
    <w:rsid w:val="00AA10F7"/>
    <w:rsid w:val="00AA7B8D"/>
    <w:rsid w:val="00AB0CE6"/>
    <w:rsid w:val="00AC205C"/>
    <w:rsid w:val="00AD6644"/>
    <w:rsid w:val="00AD7281"/>
    <w:rsid w:val="00AE5105"/>
    <w:rsid w:val="00AF0A6B"/>
    <w:rsid w:val="00B05A69"/>
    <w:rsid w:val="00B61DB5"/>
    <w:rsid w:val="00B63595"/>
    <w:rsid w:val="00B81DF1"/>
    <w:rsid w:val="00B94968"/>
    <w:rsid w:val="00B9734B"/>
    <w:rsid w:val="00BB63D7"/>
    <w:rsid w:val="00BD6033"/>
    <w:rsid w:val="00BE46B1"/>
    <w:rsid w:val="00C11BFE"/>
    <w:rsid w:val="00C15F29"/>
    <w:rsid w:val="00C22A2B"/>
    <w:rsid w:val="00C3278B"/>
    <w:rsid w:val="00C35AC7"/>
    <w:rsid w:val="00C63A99"/>
    <w:rsid w:val="00C75158"/>
    <w:rsid w:val="00C75BC5"/>
    <w:rsid w:val="00C837E1"/>
    <w:rsid w:val="00C9424F"/>
    <w:rsid w:val="00CC224D"/>
    <w:rsid w:val="00CE34A2"/>
    <w:rsid w:val="00CE351A"/>
    <w:rsid w:val="00D22A66"/>
    <w:rsid w:val="00D3454A"/>
    <w:rsid w:val="00D45252"/>
    <w:rsid w:val="00D60EF1"/>
    <w:rsid w:val="00D71B4D"/>
    <w:rsid w:val="00D768CF"/>
    <w:rsid w:val="00D93D55"/>
    <w:rsid w:val="00D95A61"/>
    <w:rsid w:val="00DB43EE"/>
    <w:rsid w:val="00DB56AA"/>
    <w:rsid w:val="00DC51A4"/>
    <w:rsid w:val="00DF3DC2"/>
    <w:rsid w:val="00E015F1"/>
    <w:rsid w:val="00E14B7D"/>
    <w:rsid w:val="00E1674E"/>
    <w:rsid w:val="00E2489E"/>
    <w:rsid w:val="00E274FD"/>
    <w:rsid w:val="00E31A2B"/>
    <w:rsid w:val="00E335FE"/>
    <w:rsid w:val="00E57FAB"/>
    <w:rsid w:val="00E63926"/>
    <w:rsid w:val="00E6795B"/>
    <w:rsid w:val="00E70F27"/>
    <w:rsid w:val="00E736A0"/>
    <w:rsid w:val="00EA024D"/>
    <w:rsid w:val="00EC0CBB"/>
    <w:rsid w:val="00EC4E49"/>
    <w:rsid w:val="00EC5D71"/>
    <w:rsid w:val="00ED1A47"/>
    <w:rsid w:val="00ED6ADE"/>
    <w:rsid w:val="00ED77FB"/>
    <w:rsid w:val="00EE15BC"/>
    <w:rsid w:val="00EE45FA"/>
    <w:rsid w:val="00EE68C1"/>
    <w:rsid w:val="00EF03FB"/>
    <w:rsid w:val="00EF5016"/>
    <w:rsid w:val="00EF7C44"/>
    <w:rsid w:val="00F24933"/>
    <w:rsid w:val="00F36183"/>
    <w:rsid w:val="00F64AA9"/>
    <w:rsid w:val="00F66152"/>
    <w:rsid w:val="00F667E7"/>
    <w:rsid w:val="00FB65AC"/>
    <w:rsid w:val="00FE2BDC"/>
    <w:rsid w:val="00FE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720C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styleId="ListParagraph">
    <w:name w:val="List Paragraph"/>
    <w:basedOn w:val="Normal"/>
    <w:uiPriority w:val="34"/>
    <w:qFormat/>
    <w:rsid w:val="00720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24(E)</Template>
  <TotalTime>0</TotalTime>
  <Pages>3</Pages>
  <Words>1930</Words>
  <Characters>286</Characters>
  <Application>Microsoft Office Word</Application>
  <DocSecurity>4</DocSecurity>
  <Lines>2</Lines>
  <Paragraphs>4</Paragraphs>
  <ScaleCrop>false</ScaleCrop>
  <HeadingPairs>
    <vt:vector size="2" baseType="variant">
      <vt:variant>
        <vt:lpstr>Title</vt:lpstr>
      </vt:variant>
      <vt:variant>
        <vt:i4>1</vt:i4>
      </vt:variant>
    </vt:vector>
  </HeadingPairs>
  <TitlesOfParts>
    <vt:vector size="1" baseType="lpstr">
      <vt:lpstr>WO/PBC/24/13</vt:lpstr>
    </vt:vector>
  </TitlesOfParts>
  <Company>WIPO</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WO/PBC/24/13</dc:title>
  <dc:subject>新建筑项目和新会议厅项目进展报告</dc:subject>
  <dc:creator>DOYON Geneviève</dc:creator>
  <cp:lastModifiedBy>DOYON Geneviève</cp:lastModifiedBy>
  <cp:revision>2</cp:revision>
  <cp:lastPrinted>2015-09-15T15:45:00Z</cp:lastPrinted>
  <dcterms:created xsi:type="dcterms:W3CDTF">2015-09-17T07:35:00Z</dcterms:created>
  <dcterms:modified xsi:type="dcterms:W3CDTF">2015-09-17T07:35:00Z</dcterms:modified>
</cp:coreProperties>
</file>