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AA" w:rsidRPr="00730D93" w:rsidRDefault="00D70FD3" w:rsidP="002746F1">
      <w:pPr>
        <w:rPr>
          <w:rFonts w:eastAsiaTheme="minorEastAsia"/>
          <w:b/>
          <w:sz w:val="21"/>
        </w:rPr>
      </w:pPr>
      <w:r w:rsidRPr="00730D93">
        <w:rPr>
          <w:rFonts w:eastAsiaTheme="minorEastAsia" w:hint="eastAsia"/>
          <w:b/>
          <w:sz w:val="21"/>
        </w:rPr>
        <w:t>计划和预算委员会</w:t>
      </w:r>
    </w:p>
    <w:p w:rsidR="00C25DAA" w:rsidRPr="00730D93" w:rsidRDefault="00F8269C" w:rsidP="002746F1">
      <w:pPr>
        <w:rPr>
          <w:rFonts w:eastAsiaTheme="minorEastAsia"/>
          <w:b/>
          <w:sz w:val="21"/>
        </w:rPr>
      </w:pPr>
      <w:r w:rsidRPr="00730D93">
        <w:rPr>
          <w:rFonts w:eastAsiaTheme="minorEastAsia" w:hint="eastAsia"/>
          <w:b/>
          <w:sz w:val="21"/>
        </w:rPr>
        <w:t>第二</w:t>
      </w:r>
      <w:r w:rsidR="00D70FD3" w:rsidRPr="00730D93">
        <w:rPr>
          <w:rFonts w:eastAsiaTheme="minorEastAsia" w:hint="eastAsia"/>
          <w:b/>
          <w:sz w:val="21"/>
        </w:rPr>
        <w:t>十三届会议</w:t>
      </w:r>
    </w:p>
    <w:p w:rsidR="00C25DAA" w:rsidRPr="00730D93" w:rsidRDefault="00C25DAA" w:rsidP="002746F1">
      <w:pPr>
        <w:rPr>
          <w:rFonts w:eastAsiaTheme="minorEastAsia"/>
          <w:b/>
          <w:sz w:val="21"/>
        </w:rPr>
      </w:pPr>
      <w:r w:rsidRPr="0044088F">
        <w:rPr>
          <w:b/>
          <w:sz w:val="21"/>
        </w:rPr>
        <w:t>201</w:t>
      </w:r>
      <w:r w:rsidR="007C6ACD" w:rsidRPr="0044088F">
        <w:rPr>
          <w:b/>
          <w:sz w:val="21"/>
        </w:rPr>
        <w:t>5</w:t>
      </w:r>
      <w:r w:rsidR="00D70FD3" w:rsidRPr="00730D93">
        <w:rPr>
          <w:rFonts w:eastAsiaTheme="minorEastAsia" w:hint="eastAsia"/>
          <w:b/>
          <w:sz w:val="21"/>
        </w:rPr>
        <w:t>年</w:t>
      </w:r>
      <w:r w:rsidR="00D70FD3" w:rsidRPr="00730D93">
        <w:rPr>
          <w:rFonts w:eastAsiaTheme="minorEastAsia" w:hint="eastAsia"/>
          <w:b/>
          <w:sz w:val="21"/>
        </w:rPr>
        <w:t>7</w:t>
      </w:r>
      <w:r w:rsidR="00D70FD3" w:rsidRPr="00730D93">
        <w:rPr>
          <w:rFonts w:eastAsiaTheme="minorEastAsia" w:hint="eastAsia"/>
          <w:b/>
          <w:sz w:val="21"/>
        </w:rPr>
        <w:t>月</w:t>
      </w:r>
      <w:r w:rsidR="00D70FD3" w:rsidRPr="00730D93">
        <w:rPr>
          <w:rFonts w:eastAsiaTheme="minorEastAsia" w:hint="eastAsia"/>
          <w:b/>
          <w:sz w:val="21"/>
        </w:rPr>
        <w:t>13-17</w:t>
      </w:r>
      <w:r w:rsidR="00D70FD3" w:rsidRPr="00730D93">
        <w:rPr>
          <w:rFonts w:eastAsiaTheme="minorEastAsia" w:hint="eastAsia"/>
          <w:b/>
          <w:sz w:val="21"/>
        </w:rPr>
        <w:t>日，日内瓦</w:t>
      </w:r>
    </w:p>
    <w:p w:rsidR="00C25DAA" w:rsidRPr="00730D93" w:rsidRDefault="00F00CFC" w:rsidP="00F00CFC">
      <w:pPr>
        <w:jc w:val="right"/>
        <w:rPr>
          <w:rFonts w:eastAsiaTheme="minorEastAsia"/>
          <w:b/>
          <w:sz w:val="28"/>
          <w:szCs w:val="28"/>
        </w:rPr>
      </w:pPr>
      <w:r w:rsidRPr="0044088F">
        <w:rPr>
          <w:b/>
          <w:sz w:val="21"/>
          <w:szCs w:val="28"/>
        </w:rPr>
        <w:t>201</w:t>
      </w:r>
      <w:r w:rsidR="007C6ACD" w:rsidRPr="0044088F">
        <w:rPr>
          <w:b/>
          <w:sz w:val="21"/>
          <w:szCs w:val="28"/>
        </w:rPr>
        <w:t>5</w:t>
      </w:r>
      <w:r w:rsidR="00704F40" w:rsidRPr="00730D93">
        <w:rPr>
          <w:rFonts w:eastAsiaTheme="minorEastAsia" w:hint="eastAsia"/>
          <w:b/>
          <w:sz w:val="21"/>
          <w:szCs w:val="28"/>
        </w:rPr>
        <w:t>年</w:t>
      </w:r>
      <w:r w:rsidR="00704F40" w:rsidRPr="00730D93">
        <w:rPr>
          <w:rFonts w:eastAsiaTheme="minorEastAsia" w:hint="eastAsia"/>
          <w:b/>
          <w:sz w:val="21"/>
          <w:szCs w:val="28"/>
        </w:rPr>
        <w:t>10</w:t>
      </w:r>
      <w:r w:rsidR="00704F40" w:rsidRPr="00730D93">
        <w:rPr>
          <w:rFonts w:eastAsiaTheme="minorEastAsia" w:hint="eastAsia"/>
          <w:b/>
          <w:sz w:val="21"/>
          <w:szCs w:val="28"/>
        </w:rPr>
        <w:t>月</w:t>
      </w:r>
      <w:r w:rsidR="00704F40" w:rsidRPr="00730D93">
        <w:rPr>
          <w:rFonts w:eastAsiaTheme="minorEastAsia" w:hint="eastAsia"/>
          <w:b/>
          <w:sz w:val="21"/>
          <w:szCs w:val="28"/>
        </w:rPr>
        <w:t>7</w:t>
      </w:r>
      <w:r w:rsidR="00704F40" w:rsidRPr="00730D93">
        <w:rPr>
          <w:rFonts w:eastAsiaTheme="minorEastAsia" w:hint="eastAsia"/>
          <w:b/>
          <w:sz w:val="21"/>
          <w:szCs w:val="28"/>
        </w:rPr>
        <w:t>日</w:t>
      </w:r>
    </w:p>
    <w:p w:rsidR="000C008F" w:rsidRPr="00924A44" w:rsidRDefault="000C008F" w:rsidP="008851C3">
      <w:pPr>
        <w:jc w:val="center"/>
        <w:rPr>
          <w:sz w:val="28"/>
          <w:szCs w:val="28"/>
        </w:rPr>
      </w:pPr>
    </w:p>
    <w:p w:rsidR="00C25DAA" w:rsidRPr="0044088F" w:rsidRDefault="000A733D" w:rsidP="008851C3">
      <w:pPr>
        <w:jc w:val="center"/>
        <w:rPr>
          <w:rFonts w:ascii="SimHei" w:eastAsia="SimHei" w:hAnsi="SimHei"/>
          <w:sz w:val="28"/>
          <w:szCs w:val="28"/>
        </w:rPr>
      </w:pPr>
      <w:r w:rsidRPr="0044088F">
        <w:rPr>
          <w:rFonts w:ascii="SimHei" w:eastAsia="SimHei" w:hAnsi="SimHei" w:hint="eastAsia"/>
          <w:sz w:val="28"/>
          <w:szCs w:val="28"/>
        </w:rPr>
        <w:t>问</w:t>
      </w:r>
      <w:r w:rsidR="0044088F" w:rsidRPr="0044088F">
        <w:rPr>
          <w:rFonts w:ascii="SimHei" w:eastAsia="SimHei" w:hAnsi="SimHei" w:hint="eastAsia"/>
          <w:sz w:val="28"/>
          <w:szCs w:val="28"/>
        </w:rPr>
        <w:t xml:space="preserve">　</w:t>
      </w:r>
      <w:r w:rsidRPr="0044088F">
        <w:rPr>
          <w:rFonts w:ascii="SimHei" w:eastAsia="SimHei" w:hAnsi="SimHei" w:hint="eastAsia"/>
          <w:sz w:val="28"/>
          <w:szCs w:val="28"/>
        </w:rPr>
        <w:t>答</w:t>
      </w:r>
      <w:r w:rsidR="00F70614" w:rsidRPr="0044088F">
        <w:rPr>
          <w:rFonts w:ascii="SimHei" w:eastAsia="SimHei" w:hAnsi="SimHei"/>
          <w:sz w:val="28"/>
          <w:szCs w:val="28"/>
        </w:rPr>
        <w:br/>
      </w:r>
      <w:r w:rsidR="00D70FD3" w:rsidRPr="0044088F">
        <w:rPr>
          <w:rFonts w:ascii="SimHei" w:eastAsia="SimHei" w:hAnsi="SimHei" w:hint="eastAsia"/>
          <w:sz w:val="28"/>
          <w:szCs w:val="28"/>
        </w:rPr>
        <w:t>拟议的2016/17两年期计划和预算</w:t>
      </w:r>
    </w:p>
    <w:p w:rsidR="00C25DAA" w:rsidRPr="00730D93" w:rsidRDefault="00C25DAA" w:rsidP="002746F1">
      <w:pPr>
        <w:rPr>
          <w:smallCaps/>
          <w:sz w:val="21"/>
          <w:u w:val="single"/>
        </w:rPr>
      </w:pPr>
    </w:p>
    <w:p w:rsidR="00C25DAA" w:rsidRPr="00730D93" w:rsidRDefault="00C25DAA" w:rsidP="002746F1">
      <w:pPr>
        <w:rPr>
          <w:b/>
          <w:smallCaps/>
          <w:sz w:val="21"/>
          <w:u w:val="single"/>
        </w:rPr>
      </w:pPr>
    </w:p>
    <w:p w:rsidR="00C25DAA" w:rsidRPr="0044088F" w:rsidRDefault="004D1E9E" w:rsidP="006F2FCC">
      <w:pPr>
        <w:keepNext/>
        <w:spacing w:beforeLines="100" w:before="240" w:afterLines="50" w:after="120" w:line="340" w:lineRule="atLeast"/>
        <w:rPr>
          <w:b/>
          <w:sz w:val="24"/>
          <w:szCs w:val="24"/>
        </w:rPr>
      </w:pPr>
      <w:r w:rsidRPr="0044088F">
        <w:rPr>
          <w:rFonts w:hint="eastAsia"/>
          <w:b/>
          <w:sz w:val="24"/>
          <w:szCs w:val="24"/>
        </w:rPr>
        <w:t>财务和成果概览</w:t>
      </w:r>
    </w:p>
    <w:p w:rsidR="009C3F6D" w:rsidRPr="00730D93" w:rsidRDefault="0044088F" w:rsidP="005A1670">
      <w:pPr>
        <w:pStyle w:val="ONUME"/>
        <w:keepNext/>
        <w:keepLines/>
        <w:numPr>
          <w:ilvl w:val="0"/>
          <w:numId w:val="0"/>
        </w:numPr>
        <w:spacing w:beforeLines="100" w:before="240" w:afterLines="50" w:after="120" w:line="340" w:lineRule="atLeast"/>
        <w:jc w:val="both"/>
        <w:rPr>
          <w:rFonts w:eastAsiaTheme="minorEastAsia"/>
          <w:sz w:val="21"/>
        </w:rPr>
      </w:pPr>
      <w:r>
        <w:rPr>
          <w:b/>
          <w:bCs/>
          <w:sz w:val="21"/>
        </w:rPr>
        <w:t>问</w:t>
      </w:r>
      <w:r w:rsidR="00057080" w:rsidRPr="0044088F">
        <w:rPr>
          <w:b/>
          <w:bCs/>
          <w:sz w:val="21"/>
        </w:rPr>
        <w:t>1</w:t>
      </w:r>
      <w:r w:rsidRPr="0044088F">
        <w:rPr>
          <w:b/>
          <w:bCs/>
          <w:sz w:val="21"/>
        </w:rPr>
        <w:t>：</w:t>
      </w:r>
      <w:r w:rsidR="00F1734A" w:rsidRPr="00730D93">
        <w:rPr>
          <w:rFonts w:eastAsiaTheme="minorEastAsia" w:hint="eastAsia"/>
          <w:b/>
          <w:sz w:val="21"/>
        </w:rPr>
        <w:t>“未分拨”中包括哪些</w:t>
      </w:r>
      <w:r w:rsidR="00A71D2E" w:rsidRPr="00730D93">
        <w:rPr>
          <w:rFonts w:eastAsiaTheme="minorEastAsia" w:hint="eastAsia"/>
          <w:b/>
          <w:sz w:val="21"/>
        </w:rPr>
        <w:t>内容</w:t>
      </w:r>
      <w:r w:rsidR="00F1734A" w:rsidRPr="00730D93">
        <w:rPr>
          <w:rFonts w:eastAsiaTheme="minorEastAsia" w:hint="eastAsia"/>
          <w:b/>
          <w:sz w:val="21"/>
        </w:rPr>
        <w:t>？</w:t>
      </w:r>
    </w:p>
    <w:p w:rsidR="005A1670" w:rsidRPr="00730D93" w:rsidRDefault="0044088F" w:rsidP="005A1670">
      <w:pPr>
        <w:spacing w:afterLines="50" w:after="120" w:line="340" w:lineRule="atLeast"/>
        <w:jc w:val="both"/>
        <w:rPr>
          <w:rFonts w:eastAsiaTheme="minorEastAsia"/>
          <w:bCs/>
          <w:sz w:val="21"/>
          <w:szCs w:val="22"/>
        </w:rPr>
      </w:pPr>
      <w:r>
        <w:rPr>
          <w:bCs/>
          <w:sz w:val="21"/>
          <w:szCs w:val="22"/>
        </w:rPr>
        <w:t>答</w:t>
      </w:r>
      <w:r w:rsidR="00057080" w:rsidRPr="0044088F">
        <w:rPr>
          <w:bCs/>
          <w:sz w:val="21"/>
          <w:szCs w:val="22"/>
        </w:rPr>
        <w:t>1</w:t>
      </w:r>
      <w:r w:rsidRPr="0044088F">
        <w:rPr>
          <w:bCs/>
          <w:sz w:val="21"/>
          <w:szCs w:val="22"/>
        </w:rPr>
        <w:t>：</w:t>
      </w:r>
      <w:r w:rsidR="00F1734A" w:rsidRPr="00730D93">
        <w:rPr>
          <w:rFonts w:eastAsiaTheme="minorEastAsia" w:hint="eastAsia"/>
          <w:bCs/>
          <w:sz w:val="21"/>
          <w:szCs w:val="22"/>
        </w:rPr>
        <w:t>未分拨</w:t>
      </w:r>
      <w:r w:rsidR="005A1670" w:rsidRPr="00730D93">
        <w:rPr>
          <w:rFonts w:eastAsiaTheme="minorEastAsia" w:hint="eastAsia"/>
          <w:bCs/>
          <w:sz w:val="21"/>
          <w:szCs w:val="22"/>
        </w:rPr>
        <w:t>（</w:t>
      </w:r>
      <w:r w:rsidR="00F1734A" w:rsidRPr="00730D93">
        <w:rPr>
          <w:rFonts w:eastAsiaTheme="minorEastAsia" w:hint="eastAsia"/>
          <w:bCs/>
          <w:sz w:val="21"/>
          <w:szCs w:val="22"/>
        </w:rPr>
        <w:t>人事</w:t>
      </w:r>
      <w:r w:rsidR="00A71D2E" w:rsidRPr="00730D93">
        <w:rPr>
          <w:rFonts w:eastAsiaTheme="minorEastAsia" w:hint="eastAsia"/>
          <w:bCs/>
          <w:sz w:val="21"/>
          <w:szCs w:val="22"/>
        </w:rPr>
        <w:t>费</w:t>
      </w:r>
      <w:r w:rsidR="005A1670" w:rsidRPr="00730D93">
        <w:rPr>
          <w:rFonts w:eastAsiaTheme="minorEastAsia" w:hint="eastAsia"/>
          <w:bCs/>
          <w:sz w:val="21"/>
          <w:szCs w:val="22"/>
        </w:rPr>
        <w:t>）</w:t>
      </w:r>
      <w:r w:rsidR="00ED2AB8" w:rsidRPr="00730D93">
        <w:rPr>
          <w:rFonts w:eastAsiaTheme="minorEastAsia" w:hint="eastAsia"/>
          <w:bCs/>
          <w:sz w:val="21"/>
          <w:szCs w:val="22"/>
        </w:rPr>
        <w:t>为</w:t>
      </w:r>
      <w:r w:rsidR="00A71D2E" w:rsidRPr="00730D93">
        <w:rPr>
          <w:rFonts w:eastAsiaTheme="minorEastAsia" w:hint="eastAsia"/>
          <w:bCs/>
          <w:sz w:val="21"/>
          <w:szCs w:val="22"/>
        </w:rPr>
        <w:t>430</w:t>
      </w:r>
      <w:r w:rsidR="00A71D2E" w:rsidRPr="00730D93">
        <w:rPr>
          <w:rFonts w:eastAsiaTheme="minorEastAsia" w:hint="eastAsia"/>
          <w:bCs/>
          <w:sz w:val="21"/>
          <w:szCs w:val="22"/>
        </w:rPr>
        <w:t>万瑞郎，包括以下内容</w:t>
      </w:r>
      <w:r w:rsidR="00F1734A" w:rsidRPr="00730D93">
        <w:rPr>
          <w:rFonts w:eastAsiaTheme="minorEastAsia" w:hint="eastAsia"/>
          <w:bCs/>
          <w:sz w:val="21"/>
          <w:szCs w:val="22"/>
        </w:rPr>
        <w:t>：</w:t>
      </w:r>
    </w:p>
    <w:p w:rsidR="001C28DF" w:rsidRPr="0044088F" w:rsidRDefault="00F1734A" w:rsidP="006F2FCC">
      <w:pPr>
        <w:pStyle w:val="af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contextualSpacing/>
        <w:jc w:val="both"/>
        <w:rPr>
          <w:rFonts w:ascii="Arial" w:hAnsi="Arial" w:cs="Arial"/>
          <w:sz w:val="21"/>
          <w:szCs w:val="22"/>
          <w:lang w:val="en-US"/>
        </w:rPr>
      </w:pPr>
      <w:r w:rsidRPr="00730D93">
        <w:rPr>
          <w:rFonts w:ascii="Arial" w:eastAsiaTheme="minorEastAsia" w:hAnsi="Arial" w:cs="Arial" w:hint="eastAsia"/>
          <w:bCs/>
          <w:sz w:val="21"/>
          <w:szCs w:val="22"/>
          <w:lang w:val="en-US" w:eastAsia="zh-CN"/>
        </w:rPr>
        <w:t>为改叙拨备</w:t>
      </w:r>
      <w:r w:rsidRPr="00730D93">
        <w:rPr>
          <w:rFonts w:ascii="Arial" w:eastAsiaTheme="minorEastAsia" w:hAnsi="Arial" w:cs="Arial" w:hint="eastAsia"/>
          <w:bCs/>
          <w:sz w:val="21"/>
          <w:szCs w:val="22"/>
          <w:lang w:val="en-US" w:eastAsia="zh-CN"/>
        </w:rPr>
        <w:t>150</w:t>
      </w:r>
      <w:r w:rsidRPr="00730D93">
        <w:rPr>
          <w:rFonts w:ascii="Arial" w:eastAsiaTheme="minorEastAsia" w:hAnsi="Arial" w:cs="Arial" w:hint="eastAsia"/>
          <w:bCs/>
          <w:sz w:val="21"/>
          <w:szCs w:val="22"/>
          <w:lang w:val="en-US" w:eastAsia="zh-CN"/>
        </w:rPr>
        <w:t>万瑞郎；</w:t>
      </w:r>
    </w:p>
    <w:p w:rsidR="001C28DF" w:rsidRPr="0044088F" w:rsidRDefault="00F1734A" w:rsidP="006F2FCC">
      <w:pPr>
        <w:pStyle w:val="af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contextualSpacing/>
        <w:jc w:val="both"/>
        <w:rPr>
          <w:rFonts w:ascii="Arial" w:hAnsi="Arial" w:cs="Arial"/>
          <w:sz w:val="21"/>
          <w:szCs w:val="22"/>
          <w:lang w:val="en-US" w:eastAsia="zh-CN"/>
        </w:rPr>
      </w:pPr>
      <w:r w:rsidRPr="00730D93">
        <w:rPr>
          <w:rFonts w:ascii="Arial" w:eastAsiaTheme="minorEastAsia" w:hAnsi="Arial" w:cs="Arial" w:hint="eastAsia"/>
          <w:bCs/>
          <w:sz w:val="21"/>
          <w:szCs w:val="22"/>
          <w:lang w:val="en-US" w:eastAsia="zh-CN"/>
        </w:rPr>
        <w:t>为</w:t>
      </w:r>
      <w:r w:rsidR="001C0842" w:rsidRPr="00730D93">
        <w:rPr>
          <w:rFonts w:ascii="Arial" w:eastAsiaTheme="minorEastAsia" w:hAnsi="Arial" w:cs="Arial" w:hint="eastAsia"/>
          <w:bCs/>
          <w:sz w:val="21"/>
          <w:szCs w:val="22"/>
          <w:lang w:val="en-US" w:eastAsia="zh-CN"/>
        </w:rPr>
        <w:t>持续性岗位</w:t>
      </w:r>
      <w:r w:rsidR="00A71D2E" w:rsidRPr="00730D93">
        <w:rPr>
          <w:rFonts w:ascii="Arial" w:eastAsiaTheme="minorEastAsia" w:hAnsi="Arial" w:cs="Arial" w:hint="eastAsia"/>
          <w:bCs/>
          <w:sz w:val="21"/>
          <w:szCs w:val="22"/>
          <w:lang w:val="en-US" w:eastAsia="zh-CN"/>
        </w:rPr>
        <w:t>转正的扫尾工作拨备</w:t>
      </w:r>
      <w:r w:rsidR="00A71D2E" w:rsidRPr="00730D93">
        <w:rPr>
          <w:rFonts w:ascii="Arial" w:eastAsiaTheme="minorEastAsia" w:hAnsi="Arial" w:cs="Arial" w:hint="eastAsia"/>
          <w:bCs/>
          <w:sz w:val="21"/>
          <w:szCs w:val="22"/>
          <w:lang w:val="en-US" w:eastAsia="zh-CN"/>
        </w:rPr>
        <w:t>80</w:t>
      </w:r>
      <w:r w:rsidR="00A71D2E" w:rsidRPr="00730D93">
        <w:rPr>
          <w:rFonts w:ascii="Arial" w:eastAsiaTheme="minorEastAsia" w:hAnsi="Arial" w:cs="Arial" w:hint="eastAsia"/>
          <w:bCs/>
          <w:sz w:val="21"/>
          <w:szCs w:val="22"/>
          <w:lang w:val="en-US" w:eastAsia="zh-CN"/>
        </w:rPr>
        <w:t>万瑞郎</w:t>
      </w:r>
      <w:r w:rsidR="005A1670" w:rsidRPr="00730D93">
        <w:rPr>
          <w:rFonts w:ascii="Arial" w:eastAsiaTheme="minorEastAsia" w:hAnsi="Arial" w:cs="Arial" w:hint="eastAsia"/>
          <w:bCs/>
          <w:sz w:val="21"/>
          <w:szCs w:val="22"/>
          <w:lang w:val="en-US" w:eastAsia="zh-CN"/>
        </w:rPr>
        <w:t>（</w:t>
      </w:r>
      <w:r w:rsidR="00A71D2E" w:rsidRPr="00730D93">
        <w:rPr>
          <w:rFonts w:ascii="Arial" w:eastAsiaTheme="minorEastAsia" w:hAnsi="Arial" w:cs="Arial" w:hint="eastAsia"/>
          <w:bCs/>
          <w:sz w:val="21"/>
          <w:szCs w:val="22"/>
          <w:lang w:val="en-US" w:eastAsia="zh-CN"/>
        </w:rPr>
        <w:t>在成员国原则上批准的</w:t>
      </w:r>
      <w:r w:rsidR="00A71D2E" w:rsidRPr="00730D93">
        <w:rPr>
          <w:rFonts w:ascii="Arial" w:eastAsiaTheme="minorEastAsia" w:hAnsi="Arial" w:cs="Arial" w:hint="eastAsia"/>
          <w:bCs/>
          <w:sz w:val="21"/>
          <w:szCs w:val="22"/>
          <w:lang w:val="en-US" w:eastAsia="zh-CN"/>
        </w:rPr>
        <w:t>156</w:t>
      </w:r>
      <w:r w:rsidR="00A71D2E" w:rsidRPr="00730D93">
        <w:rPr>
          <w:rFonts w:ascii="Arial" w:eastAsiaTheme="minorEastAsia" w:hAnsi="Arial" w:cs="Arial" w:hint="eastAsia"/>
          <w:bCs/>
          <w:sz w:val="21"/>
          <w:szCs w:val="22"/>
          <w:lang w:val="en-US" w:eastAsia="zh-CN"/>
        </w:rPr>
        <w:t>个转正</w:t>
      </w:r>
      <w:r w:rsidR="000A733D" w:rsidRPr="00730D93">
        <w:rPr>
          <w:rFonts w:ascii="Arial" w:eastAsiaTheme="minorEastAsia" w:hAnsi="Arial" w:cs="Arial" w:hint="eastAsia"/>
          <w:bCs/>
          <w:sz w:val="21"/>
          <w:szCs w:val="22"/>
          <w:lang w:val="en-US" w:eastAsia="zh-CN"/>
        </w:rPr>
        <w:t>员额</w:t>
      </w:r>
      <w:r w:rsidR="00A71D2E" w:rsidRPr="00730D93">
        <w:rPr>
          <w:rFonts w:ascii="Arial" w:eastAsiaTheme="minorEastAsia" w:hAnsi="Arial" w:cs="Arial" w:hint="eastAsia"/>
          <w:bCs/>
          <w:sz w:val="21"/>
          <w:szCs w:val="22"/>
          <w:lang w:val="en-US" w:eastAsia="zh-CN"/>
        </w:rPr>
        <w:t>的框架内</w:t>
      </w:r>
      <w:r w:rsidR="005A1670" w:rsidRPr="00730D93">
        <w:rPr>
          <w:rFonts w:ascii="Arial" w:eastAsiaTheme="minorEastAsia" w:hAnsi="Arial" w:cs="Arial" w:hint="eastAsia"/>
          <w:bCs/>
          <w:sz w:val="21"/>
          <w:szCs w:val="22"/>
          <w:lang w:val="en-US" w:eastAsia="zh-CN"/>
        </w:rPr>
        <w:t>（</w:t>
      </w:r>
      <w:r w:rsidR="0044088F">
        <w:rPr>
          <w:rFonts w:ascii="SimSun" w:eastAsia="SimSun" w:hAnsi="SimSun" w:cs="SimSun" w:hint="eastAsia"/>
          <w:bCs/>
          <w:sz w:val="21"/>
          <w:szCs w:val="22"/>
          <w:lang w:val="en-US" w:eastAsia="zh-CN"/>
        </w:rPr>
        <w:t>文号</w:t>
      </w:r>
      <w:r w:rsidR="00A71D2E" w:rsidRPr="0044088F">
        <w:rPr>
          <w:rFonts w:ascii="Arial" w:hAnsi="Arial" w:cs="Arial"/>
          <w:bCs/>
          <w:sz w:val="21"/>
          <w:szCs w:val="22"/>
          <w:lang w:val="en-US" w:eastAsia="zh-CN"/>
        </w:rPr>
        <w:t>WO/CC/63/5</w:t>
      </w:r>
      <w:r w:rsidR="005A1670" w:rsidRPr="00730D93">
        <w:rPr>
          <w:rFonts w:ascii="Arial" w:eastAsiaTheme="minorEastAsia" w:hAnsi="Arial" w:cs="Arial" w:hint="eastAsia"/>
          <w:bCs/>
          <w:sz w:val="21"/>
          <w:szCs w:val="22"/>
          <w:lang w:val="en-US" w:eastAsia="zh-CN"/>
        </w:rPr>
        <w:t>））</w:t>
      </w:r>
      <w:r w:rsidR="00A71D2E" w:rsidRPr="00730D93">
        <w:rPr>
          <w:rFonts w:ascii="Arial" w:eastAsiaTheme="minorEastAsia" w:hAnsi="Arial" w:cs="Arial" w:hint="eastAsia"/>
          <w:bCs/>
          <w:sz w:val="21"/>
          <w:szCs w:val="22"/>
          <w:lang w:val="en-US" w:eastAsia="zh-CN"/>
        </w:rPr>
        <w:t>；</w:t>
      </w:r>
    </w:p>
    <w:p w:rsidR="005A1670" w:rsidRDefault="001C0842" w:rsidP="006F2FCC">
      <w:pPr>
        <w:pStyle w:val="af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contextualSpacing/>
        <w:jc w:val="both"/>
        <w:rPr>
          <w:rFonts w:ascii="Arial" w:hAnsi="Arial" w:cs="Arial"/>
          <w:sz w:val="21"/>
          <w:szCs w:val="22"/>
          <w:lang w:val="en-US" w:eastAsia="zh-CN"/>
        </w:rPr>
      </w:pPr>
      <w:r w:rsidRPr="00730D93">
        <w:rPr>
          <w:rFonts w:ascii="Arial" w:eastAsiaTheme="minorEastAsia" w:hAnsi="Arial" w:cs="Arial" w:hint="eastAsia"/>
          <w:bCs/>
          <w:sz w:val="21"/>
          <w:szCs w:val="22"/>
          <w:lang w:val="en-US" w:eastAsia="zh-CN"/>
        </w:rPr>
        <w:t>依据以往的支出</w:t>
      </w:r>
      <w:r w:rsidR="00A71D2E" w:rsidRPr="00730D93">
        <w:rPr>
          <w:rFonts w:ascii="Arial" w:eastAsiaTheme="minorEastAsia" w:hAnsi="Arial" w:cs="Arial" w:hint="eastAsia"/>
          <w:bCs/>
          <w:sz w:val="21"/>
          <w:szCs w:val="22"/>
          <w:lang w:val="en-US" w:eastAsia="zh-CN"/>
        </w:rPr>
        <w:t>模式，为支付加班</w:t>
      </w:r>
      <w:r w:rsidRPr="00730D93">
        <w:rPr>
          <w:rFonts w:ascii="Arial" w:eastAsiaTheme="minorEastAsia" w:hAnsi="Arial" w:cs="Arial" w:hint="eastAsia"/>
          <w:bCs/>
          <w:sz w:val="21"/>
          <w:szCs w:val="22"/>
          <w:lang w:val="en-US" w:eastAsia="zh-CN"/>
        </w:rPr>
        <w:t>费拨备</w:t>
      </w:r>
      <w:r w:rsidR="00A71D2E" w:rsidRPr="00730D93">
        <w:rPr>
          <w:rFonts w:ascii="Arial" w:eastAsiaTheme="minorEastAsia" w:hAnsi="Arial" w:cs="Arial" w:hint="eastAsia"/>
          <w:bCs/>
          <w:sz w:val="21"/>
          <w:szCs w:val="22"/>
          <w:lang w:val="en-US" w:eastAsia="zh-CN"/>
        </w:rPr>
        <w:t>200</w:t>
      </w:r>
      <w:r w:rsidR="00A71D2E" w:rsidRPr="00730D93">
        <w:rPr>
          <w:rFonts w:ascii="Arial" w:eastAsiaTheme="minorEastAsia" w:hAnsi="Arial" w:cs="Arial" w:hint="eastAsia"/>
          <w:bCs/>
          <w:sz w:val="21"/>
          <w:szCs w:val="22"/>
          <w:lang w:val="en-US" w:eastAsia="zh-CN"/>
        </w:rPr>
        <w:t>万瑞郎。</w:t>
      </w:r>
    </w:p>
    <w:p w:rsidR="001C28DF" w:rsidRPr="0044088F" w:rsidRDefault="00A71D2E" w:rsidP="006F2FCC">
      <w:pPr>
        <w:spacing w:afterLines="50" w:after="120" w:line="340" w:lineRule="atLeast"/>
        <w:ind w:firstLine="567"/>
        <w:jc w:val="both"/>
        <w:rPr>
          <w:bCs/>
          <w:sz w:val="21"/>
          <w:szCs w:val="22"/>
        </w:rPr>
      </w:pPr>
      <w:r w:rsidRPr="00730D93">
        <w:rPr>
          <w:rFonts w:eastAsiaTheme="minorEastAsia" w:hint="eastAsia"/>
          <w:bCs/>
          <w:sz w:val="21"/>
          <w:szCs w:val="22"/>
        </w:rPr>
        <w:t>未分拨</w:t>
      </w:r>
      <w:r w:rsidR="005A1670" w:rsidRPr="00730D93">
        <w:rPr>
          <w:rFonts w:eastAsiaTheme="minorEastAsia" w:hint="eastAsia"/>
          <w:bCs/>
          <w:sz w:val="21"/>
          <w:szCs w:val="22"/>
        </w:rPr>
        <w:t>（</w:t>
      </w:r>
      <w:r w:rsidRPr="00730D93">
        <w:rPr>
          <w:rFonts w:eastAsiaTheme="minorEastAsia" w:hint="eastAsia"/>
          <w:bCs/>
          <w:sz w:val="21"/>
          <w:szCs w:val="22"/>
        </w:rPr>
        <w:t>非人事费</w:t>
      </w:r>
      <w:r w:rsidR="005A1670" w:rsidRPr="00730D93">
        <w:rPr>
          <w:rFonts w:eastAsiaTheme="minorEastAsia" w:hint="eastAsia"/>
          <w:bCs/>
          <w:sz w:val="21"/>
          <w:szCs w:val="22"/>
        </w:rPr>
        <w:t>）</w:t>
      </w:r>
      <w:r w:rsidR="00ED2AB8" w:rsidRPr="00730D93">
        <w:rPr>
          <w:rFonts w:eastAsiaTheme="minorEastAsia" w:hint="eastAsia"/>
          <w:bCs/>
          <w:sz w:val="21"/>
          <w:szCs w:val="22"/>
        </w:rPr>
        <w:t>为</w:t>
      </w:r>
      <w:r w:rsidR="00980AAA" w:rsidRPr="00730D93">
        <w:rPr>
          <w:rFonts w:eastAsiaTheme="minorEastAsia" w:hint="eastAsia"/>
          <w:bCs/>
          <w:sz w:val="21"/>
          <w:szCs w:val="22"/>
        </w:rPr>
        <w:t>20</w:t>
      </w:r>
      <w:r w:rsidRPr="00730D93">
        <w:rPr>
          <w:rFonts w:eastAsiaTheme="minorEastAsia" w:hint="eastAsia"/>
          <w:bCs/>
          <w:sz w:val="21"/>
          <w:szCs w:val="22"/>
        </w:rPr>
        <w:t>0</w:t>
      </w:r>
      <w:r w:rsidRPr="00730D93">
        <w:rPr>
          <w:rFonts w:eastAsiaTheme="minorEastAsia" w:hint="eastAsia"/>
          <w:bCs/>
          <w:sz w:val="21"/>
          <w:szCs w:val="22"/>
        </w:rPr>
        <w:t>万瑞郎，包括以下内容：</w:t>
      </w:r>
    </w:p>
    <w:p w:rsidR="001C28DF" w:rsidRPr="0044088F" w:rsidRDefault="00A71D2E" w:rsidP="006F2FCC">
      <w:pPr>
        <w:pStyle w:val="af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contextualSpacing/>
        <w:jc w:val="both"/>
        <w:rPr>
          <w:rFonts w:ascii="Arial" w:hAnsi="Arial" w:cs="Arial"/>
          <w:bCs/>
          <w:sz w:val="21"/>
          <w:szCs w:val="22"/>
          <w:lang w:val="en-US" w:eastAsia="zh-CN"/>
        </w:rPr>
      </w:pPr>
      <w:r w:rsidRPr="00730D93">
        <w:rPr>
          <w:rFonts w:ascii="Arial" w:eastAsiaTheme="minorEastAsia" w:hAnsi="Arial" w:cs="Arial" w:hint="eastAsia"/>
          <w:bCs/>
          <w:sz w:val="21"/>
          <w:szCs w:val="22"/>
          <w:lang w:val="en-US" w:eastAsia="zh-CN"/>
        </w:rPr>
        <w:t>如果成员国决定在</w:t>
      </w:r>
      <w:r w:rsidRPr="00730D93">
        <w:rPr>
          <w:rFonts w:ascii="Arial" w:eastAsiaTheme="minorEastAsia" w:hAnsi="Arial" w:cs="Arial" w:hint="eastAsia"/>
          <w:bCs/>
          <w:sz w:val="21"/>
          <w:szCs w:val="22"/>
          <w:lang w:val="en-US" w:eastAsia="zh-CN"/>
        </w:rPr>
        <w:t>2016/17</w:t>
      </w:r>
      <w:r w:rsidRPr="00730D93">
        <w:rPr>
          <w:rFonts w:ascii="Arial" w:eastAsiaTheme="minorEastAsia" w:hAnsi="Arial" w:cs="Arial" w:hint="eastAsia"/>
          <w:bCs/>
          <w:sz w:val="21"/>
          <w:szCs w:val="22"/>
          <w:lang w:val="en-US" w:eastAsia="zh-CN"/>
        </w:rPr>
        <w:t>两年期召开一次外交会议，拨备</w:t>
      </w:r>
      <w:r w:rsidRPr="00730D93">
        <w:rPr>
          <w:rFonts w:ascii="Arial" w:eastAsiaTheme="minorEastAsia" w:hAnsi="Arial" w:cs="Arial" w:hint="eastAsia"/>
          <w:bCs/>
          <w:sz w:val="21"/>
          <w:szCs w:val="22"/>
          <w:lang w:val="en-US" w:eastAsia="zh-CN"/>
        </w:rPr>
        <w:t>100</w:t>
      </w:r>
      <w:r w:rsidRPr="00730D93">
        <w:rPr>
          <w:rFonts w:ascii="Arial" w:eastAsiaTheme="minorEastAsia" w:hAnsi="Arial" w:cs="Arial" w:hint="eastAsia"/>
          <w:bCs/>
          <w:sz w:val="21"/>
          <w:szCs w:val="22"/>
          <w:lang w:val="en-US" w:eastAsia="zh-CN"/>
        </w:rPr>
        <w:t>万瑞郎</w:t>
      </w:r>
      <w:r w:rsidR="008113B9" w:rsidRPr="00730D93">
        <w:rPr>
          <w:rFonts w:ascii="Arial" w:eastAsiaTheme="minorEastAsia" w:hAnsi="Arial" w:cs="Arial" w:hint="eastAsia"/>
          <w:bCs/>
          <w:sz w:val="21"/>
          <w:szCs w:val="22"/>
          <w:lang w:val="en-US" w:eastAsia="zh-CN"/>
        </w:rPr>
        <w:t>进行供资</w:t>
      </w:r>
      <w:r w:rsidRPr="00730D93">
        <w:rPr>
          <w:rFonts w:ascii="Arial" w:eastAsiaTheme="minorEastAsia" w:hAnsi="Arial" w:cs="Arial" w:hint="eastAsia"/>
          <w:bCs/>
          <w:sz w:val="21"/>
          <w:szCs w:val="22"/>
          <w:lang w:val="en-US" w:eastAsia="zh-CN"/>
        </w:rPr>
        <w:t>；</w:t>
      </w:r>
    </w:p>
    <w:p w:rsidR="001C28DF" w:rsidRPr="0044088F" w:rsidRDefault="00A71D2E" w:rsidP="006F2FCC">
      <w:pPr>
        <w:pStyle w:val="af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contextualSpacing/>
        <w:jc w:val="both"/>
        <w:rPr>
          <w:rFonts w:ascii="Arial" w:hAnsi="Arial" w:cs="Arial"/>
          <w:bCs/>
          <w:sz w:val="21"/>
          <w:szCs w:val="22"/>
          <w:lang w:val="en-US" w:eastAsia="zh-CN"/>
        </w:rPr>
      </w:pPr>
      <w:r w:rsidRPr="00730D93">
        <w:rPr>
          <w:rFonts w:ascii="Arial" w:eastAsiaTheme="minorEastAsia" w:hAnsi="Arial" w:cs="Arial" w:hint="eastAsia"/>
          <w:bCs/>
          <w:sz w:val="21"/>
          <w:szCs w:val="22"/>
          <w:lang w:val="en-US" w:eastAsia="zh-CN"/>
        </w:rPr>
        <w:t>如果成员国决定</w:t>
      </w:r>
      <w:r w:rsidR="00980AAA" w:rsidRPr="00730D93">
        <w:rPr>
          <w:rFonts w:ascii="Arial" w:eastAsiaTheme="minorEastAsia" w:hAnsi="Arial" w:cs="Arial" w:hint="eastAsia"/>
          <w:bCs/>
          <w:sz w:val="21"/>
          <w:szCs w:val="22"/>
          <w:lang w:val="en-US" w:eastAsia="zh-CN"/>
        </w:rPr>
        <w:t>设立新</w:t>
      </w:r>
      <w:r w:rsidRPr="00730D93">
        <w:rPr>
          <w:rFonts w:ascii="Arial" w:eastAsiaTheme="minorEastAsia" w:hAnsi="Arial" w:cs="Arial" w:hint="eastAsia"/>
          <w:bCs/>
          <w:sz w:val="21"/>
          <w:szCs w:val="22"/>
          <w:lang w:val="en-US" w:eastAsia="zh-CN"/>
        </w:rPr>
        <w:t>驻外办事处，拨备</w:t>
      </w:r>
      <w:r w:rsidRPr="00730D93">
        <w:rPr>
          <w:rFonts w:ascii="Arial" w:eastAsiaTheme="minorEastAsia" w:hAnsi="Arial" w:cs="Arial" w:hint="eastAsia"/>
          <w:bCs/>
          <w:sz w:val="21"/>
          <w:szCs w:val="22"/>
          <w:lang w:val="en-US" w:eastAsia="zh-CN"/>
        </w:rPr>
        <w:t>100</w:t>
      </w:r>
      <w:r w:rsidRPr="00730D93">
        <w:rPr>
          <w:rFonts w:ascii="Arial" w:eastAsiaTheme="minorEastAsia" w:hAnsi="Arial" w:cs="Arial" w:hint="eastAsia"/>
          <w:bCs/>
          <w:sz w:val="21"/>
          <w:szCs w:val="22"/>
          <w:lang w:val="en-US" w:eastAsia="zh-CN"/>
        </w:rPr>
        <w:t>万瑞郎</w:t>
      </w:r>
      <w:r w:rsidR="008113B9" w:rsidRPr="00730D93">
        <w:rPr>
          <w:rFonts w:ascii="Arial" w:eastAsiaTheme="minorEastAsia" w:hAnsi="Arial" w:cs="Arial" w:hint="eastAsia"/>
          <w:bCs/>
          <w:sz w:val="21"/>
          <w:szCs w:val="22"/>
          <w:lang w:val="en-US" w:eastAsia="zh-CN"/>
        </w:rPr>
        <w:t>进行供资</w:t>
      </w:r>
      <w:r w:rsidRPr="00730D93">
        <w:rPr>
          <w:rFonts w:ascii="Arial" w:eastAsiaTheme="minorEastAsia" w:hAnsi="Arial" w:cs="Arial" w:hint="eastAsia"/>
          <w:bCs/>
          <w:sz w:val="21"/>
          <w:szCs w:val="22"/>
          <w:lang w:val="en-US" w:eastAsia="zh-CN"/>
        </w:rPr>
        <w:t>。</w:t>
      </w:r>
    </w:p>
    <w:p w:rsidR="00C25DAA" w:rsidRPr="00730D93" w:rsidRDefault="0044088F" w:rsidP="005A1670">
      <w:pPr>
        <w:pStyle w:val="ONUME"/>
        <w:keepNext/>
        <w:keepLines/>
        <w:numPr>
          <w:ilvl w:val="0"/>
          <w:numId w:val="0"/>
        </w:numPr>
        <w:spacing w:beforeLines="100" w:before="240" w:afterLines="50" w:after="120" w:line="340" w:lineRule="atLeast"/>
        <w:jc w:val="both"/>
        <w:rPr>
          <w:rFonts w:eastAsiaTheme="minorEastAsia"/>
          <w:b/>
          <w:bCs/>
          <w:sz w:val="21"/>
        </w:rPr>
      </w:pPr>
      <w:r>
        <w:rPr>
          <w:b/>
          <w:bCs/>
          <w:sz w:val="21"/>
        </w:rPr>
        <w:t>问</w:t>
      </w:r>
      <w:r w:rsidR="00057080" w:rsidRPr="0044088F">
        <w:rPr>
          <w:b/>
          <w:bCs/>
          <w:sz w:val="21"/>
        </w:rPr>
        <w:t>2</w:t>
      </w:r>
      <w:r w:rsidRPr="0044088F">
        <w:rPr>
          <w:b/>
          <w:bCs/>
          <w:sz w:val="21"/>
        </w:rPr>
        <w:t>：</w:t>
      </w:r>
      <w:r w:rsidR="001C0842" w:rsidRPr="00730D93">
        <w:rPr>
          <w:rFonts w:eastAsiaTheme="minorEastAsia" w:hint="eastAsia"/>
          <w:b/>
          <w:sz w:val="21"/>
        </w:rPr>
        <w:t>表</w:t>
      </w:r>
      <w:r w:rsidR="001C0842" w:rsidRPr="00730D93">
        <w:rPr>
          <w:rFonts w:eastAsiaTheme="minorEastAsia" w:hint="eastAsia"/>
          <w:b/>
          <w:sz w:val="21"/>
        </w:rPr>
        <w:t>3</w:t>
      </w:r>
      <w:r w:rsidR="001C0842" w:rsidRPr="00730D93">
        <w:rPr>
          <w:rFonts w:eastAsiaTheme="minorEastAsia" w:hint="eastAsia"/>
          <w:b/>
          <w:sz w:val="21"/>
        </w:rPr>
        <w:t>“</w:t>
      </w:r>
      <w:r w:rsidR="001C0842" w:rsidRPr="00730D93">
        <w:rPr>
          <w:rFonts w:eastAsiaTheme="minorEastAsia"/>
          <w:b/>
          <w:sz w:val="21"/>
        </w:rPr>
        <w:t>2006/07</w:t>
      </w:r>
      <w:r w:rsidR="001C0842" w:rsidRPr="00730D93">
        <w:rPr>
          <w:rFonts w:eastAsiaTheme="minorEastAsia" w:hint="eastAsia"/>
          <w:b/>
          <w:sz w:val="21"/>
        </w:rPr>
        <w:t>年至</w:t>
      </w:r>
      <w:r w:rsidR="001C0842" w:rsidRPr="0044088F">
        <w:rPr>
          <w:b/>
          <w:bCs/>
          <w:sz w:val="21"/>
        </w:rPr>
        <w:t>2016</w:t>
      </w:r>
      <w:r w:rsidR="001C0842" w:rsidRPr="00730D93">
        <w:rPr>
          <w:rFonts w:eastAsiaTheme="minorEastAsia"/>
          <w:b/>
          <w:sz w:val="21"/>
        </w:rPr>
        <w:t>/17</w:t>
      </w:r>
      <w:r w:rsidR="001C0842" w:rsidRPr="00730D93">
        <w:rPr>
          <w:rFonts w:eastAsiaTheme="minorEastAsia" w:hint="eastAsia"/>
          <w:b/>
          <w:sz w:val="21"/>
        </w:rPr>
        <w:t>年本组织收入的发展情况”是否包含与信托基金相关的收入？</w:t>
      </w:r>
    </w:p>
    <w:p w:rsidR="005A1670" w:rsidRPr="00730D93" w:rsidRDefault="0044088F" w:rsidP="005A1670">
      <w:pPr>
        <w:spacing w:afterLines="50" w:after="120" w:line="340" w:lineRule="atLeast"/>
        <w:jc w:val="both"/>
        <w:rPr>
          <w:rFonts w:eastAsiaTheme="minorEastAsia"/>
          <w:sz w:val="21"/>
        </w:rPr>
      </w:pPr>
      <w:r>
        <w:rPr>
          <w:bCs/>
          <w:sz w:val="21"/>
        </w:rPr>
        <w:t>答</w:t>
      </w:r>
      <w:r w:rsidR="00057080" w:rsidRPr="0044088F">
        <w:rPr>
          <w:bCs/>
          <w:sz w:val="21"/>
        </w:rPr>
        <w:t>2</w:t>
      </w:r>
      <w:r w:rsidRPr="0044088F">
        <w:rPr>
          <w:bCs/>
          <w:sz w:val="21"/>
        </w:rPr>
        <w:t>：</w:t>
      </w:r>
      <w:r w:rsidR="001C0842" w:rsidRPr="00730D93">
        <w:rPr>
          <w:rFonts w:eastAsiaTheme="minorEastAsia" w:hint="eastAsia"/>
          <w:sz w:val="21"/>
        </w:rPr>
        <w:t>不包含。表</w:t>
      </w:r>
      <w:r w:rsidR="001C0842" w:rsidRPr="00730D93">
        <w:rPr>
          <w:rFonts w:eastAsiaTheme="minorEastAsia" w:hint="eastAsia"/>
          <w:sz w:val="21"/>
        </w:rPr>
        <w:t>3</w:t>
      </w:r>
      <w:r w:rsidR="001C0842" w:rsidRPr="00730D93">
        <w:rPr>
          <w:rFonts w:eastAsiaTheme="minorEastAsia" w:hint="eastAsia"/>
          <w:sz w:val="21"/>
        </w:rPr>
        <w:t>只涉及经常预算。附件八提供了</w:t>
      </w:r>
      <w:r w:rsidR="001C0842" w:rsidRPr="00730D93">
        <w:rPr>
          <w:rFonts w:eastAsiaTheme="minorEastAsia" w:hint="eastAsia"/>
          <w:sz w:val="21"/>
        </w:rPr>
        <w:t>2016/17</w:t>
      </w:r>
      <w:r w:rsidR="001C0842" w:rsidRPr="00730D93">
        <w:rPr>
          <w:rFonts w:eastAsiaTheme="minorEastAsia" w:hint="eastAsia"/>
          <w:sz w:val="21"/>
        </w:rPr>
        <w:t>两年期可能用于</w:t>
      </w:r>
      <w:r w:rsidR="00980AAA" w:rsidRPr="00730D93">
        <w:rPr>
          <w:rFonts w:eastAsiaTheme="minorEastAsia" w:hint="eastAsia"/>
          <w:sz w:val="21"/>
        </w:rPr>
        <w:t>为</w:t>
      </w:r>
      <w:r w:rsidR="001C0842" w:rsidRPr="00730D93">
        <w:rPr>
          <w:rFonts w:eastAsiaTheme="minorEastAsia" w:hint="eastAsia"/>
          <w:sz w:val="21"/>
        </w:rPr>
        <w:t>计划</w:t>
      </w:r>
      <w:r w:rsidR="00980AAA" w:rsidRPr="00730D93">
        <w:rPr>
          <w:rFonts w:eastAsiaTheme="minorEastAsia" w:hint="eastAsia"/>
          <w:sz w:val="21"/>
        </w:rPr>
        <w:t>供资的信托基金资源</w:t>
      </w:r>
      <w:r w:rsidR="001C0842" w:rsidRPr="00730D93">
        <w:rPr>
          <w:rFonts w:eastAsiaTheme="minorEastAsia" w:hint="eastAsia"/>
          <w:sz w:val="21"/>
        </w:rPr>
        <w:t>概算。</w:t>
      </w:r>
    </w:p>
    <w:p w:rsidR="00C25DAA" w:rsidRPr="00730D93" w:rsidRDefault="0044088F" w:rsidP="005A1670">
      <w:pPr>
        <w:pStyle w:val="ONUME"/>
        <w:keepNext/>
        <w:keepLines/>
        <w:numPr>
          <w:ilvl w:val="0"/>
          <w:numId w:val="0"/>
        </w:numPr>
        <w:spacing w:beforeLines="100" w:before="240" w:afterLines="50" w:after="120" w:line="340" w:lineRule="atLeast"/>
        <w:jc w:val="both"/>
        <w:rPr>
          <w:rFonts w:eastAsiaTheme="minorEastAsia"/>
          <w:b/>
          <w:sz w:val="21"/>
        </w:rPr>
      </w:pPr>
      <w:r>
        <w:rPr>
          <w:b/>
          <w:sz w:val="21"/>
        </w:rPr>
        <w:t>问</w:t>
      </w:r>
      <w:r w:rsidR="00057080" w:rsidRPr="0044088F">
        <w:rPr>
          <w:b/>
          <w:sz w:val="21"/>
        </w:rPr>
        <w:t>3</w:t>
      </w:r>
      <w:r w:rsidRPr="0044088F">
        <w:rPr>
          <w:b/>
          <w:sz w:val="21"/>
        </w:rPr>
        <w:t>：</w:t>
      </w:r>
      <w:r w:rsidR="005C6D16" w:rsidRPr="00730D93">
        <w:rPr>
          <w:rFonts w:eastAsiaTheme="minorEastAsia" w:hint="eastAsia"/>
          <w:b/>
          <w:sz w:val="21"/>
        </w:rPr>
        <w:t>在哪里对</w:t>
      </w:r>
      <w:r w:rsidR="001C0842" w:rsidRPr="00730D93">
        <w:rPr>
          <w:rFonts w:eastAsiaTheme="minorEastAsia" w:hint="eastAsia"/>
          <w:b/>
          <w:sz w:val="21"/>
        </w:rPr>
        <w:t>2014</w:t>
      </w:r>
      <w:r w:rsidR="001C0842" w:rsidRPr="00730D93">
        <w:rPr>
          <w:rFonts w:eastAsiaTheme="minorEastAsia" w:hint="eastAsia"/>
          <w:b/>
          <w:sz w:val="21"/>
        </w:rPr>
        <w:t>年</w:t>
      </w:r>
      <w:r w:rsidR="005C6D16" w:rsidRPr="00730D93">
        <w:rPr>
          <w:rFonts w:eastAsiaTheme="minorEastAsia" w:hint="eastAsia"/>
          <w:b/>
          <w:sz w:val="21"/>
        </w:rPr>
        <w:t>节约</w:t>
      </w:r>
      <w:r w:rsidR="001C0842" w:rsidRPr="00730D93">
        <w:rPr>
          <w:rFonts w:eastAsiaTheme="minorEastAsia" w:hint="eastAsia"/>
          <w:b/>
          <w:sz w:val="21"/>
        </w:rPr>
        <w:t>和成本效益</w:t>
      </w:r>
      <w:r w:rsidR="005C6D16" w:rsidRPr="00730D93">
        <w:rPr>
          <w:rFonts w:eastAsiaTheme="minorEastAsia" w:hint="eastAsia"/>
          <w:b/>
          <w:sz w:val="21"/>
        </w:rPr>
        <w:t>措施进行了</w:t>
      </w:r>
      <w:r w:rsidR="001C0842" w:rsidRPr="00730D93">
        <w:rPr>
          <w:rFonts w:eastAsiaTheme="minorEastAsia" w:hint="eastAsia"/>
          <w:b/>
          <w:sz w:val="21"/>
        </w:rPr>
        <w:t>报告？</w:t>
      </w:r>
    </w:p>
    <w:p w:rsidR="005A1670" w:rsidRPr="00730D93" w:rsidRDefault="0044088F" w:rsidP="005A1670">
      <w:pPr>
        <w:spacing w:afterLines="50" w:after="120" w:line="340" w:lineRule="atLeast"/>
        <w:jc w:val="both"/>
        <w:rPr>
          <w:rFonts w:eastAsiaTheme="minorEastAsia"/>
          <w:sz w:val="21"/>
        </w:rPr>
      </w:pPr>
      <w:r>
        <w:rPr>
          <w:sz w:val="21"/>
        </w:rPr>
        <w:t>答</w:t>
      </w:r>
      <w:r w:rsidR="00057080" w:rsidRPr="0044088F">
        <w:rPr>
          <w:sz w:val="21"/>
        </w:rPr>
        <w:t>3</w:t>
      </w:r>
      <w:r w:rsidRPr="0044088F">
        <w:rPr>
          <w:sz w:val="21"/>
        </w:rPr>
        <w:t>：</w:t>
      </w:r>
      <w:r w:rsidR="001C0842" w:rsidRPr="00730D93">
        <w:rPr>
          <w:rFonts w:eastAsiaTheme="minorEastAsia" w:hint="eastAsia"/>
          <w:sz w:val="21"/>
        </w:rPr>
        <w:t>在</w:t>
      </w:r>
      <w:r w:rsidR="001C0842" w:rsidRPr="00730D93">
        <w:rPr>
          <w:rFonts w:eastAsiaTheme="minorEastAsia" w:hint="eastAsia"/>
          <w:sz w:val="21"/>
        </w:rPr>
        <w:t>2014</w:t>
      </w:r>
      <w:r w:rsidR="001C0842" w:rsidRPr="00730D93">
        <w:rPr>
          <w:rFonts w:eastAsiaTheme="minorEastAsia" w:hint="eastAsia"/>
          <w:sz w:val="21"/>
        </w:rPr>
        <w:t>年计划绩效报告中对</w:t>
      </w:r>
      <w:r w:rsidR="001C0842" w:rsidRPr="00730D93">
        <w:rPr>
          <w:rFonts w:eastAsiaTheme="minorEastAsia" w:hint="eastAsia"/>
          <w:sz w:val="21"/>
        </w:rPr>
        <w:t>2014</w:t>
      </w:r>
      <w:r w:rsidR="001C0842" w:rsidRPr="00730D93">
        <w:rPr>
          <w:rFonts w:eastAsiaTheme="minorEastAsia" w:hint="eastAsia"/>
          <w:sz w:val="21"/>
        </w:rPr>
        <w:t>年所</w:t>
      </w:r>
      <w:r w:rsidR="005C6D16" w:rsidRPr="00730D93">
        <w:rPr>
          <w:rFonts w:eastAsiaTheme="minorEastAsia" w:hint="eastAsia"/>
          <w:sz w:val="21"/>
        </w:rPr>
        <w:t>实现的节约</w:t>
      </w:r>
      <w:r w:rsidR="001C0842" w:rsidRPr="00730D93">
        <w:rPr>
          <w:rFonts w:eastAsiaTheme="minorEastAsia" w:hint="eastAsia"/>
          <w:sz w:val="21"/>
        </w:rPr>
        <w:t>和成本效益进行了报告。将在</w:t>
      </w:r>
      <w:r w:rsidR="001C0842" w:rsidRPr="00730D93">
        <w:rPr>
          <w:rFonts w:eastAsiaTheme="minorEastAsia" w:hint="eastAsia"/>
          <w:sz w:val="21"/>
        </w:rPr>
        <w:t>PBC</w:t>
      </w:r>
      <w:r w:rsidR="001C0842" w:rsidRPr="00730D93">
        <w:rPr>
          <w:rFonts w:eastAsiaTheme="minorEastAsia" w:hint="eastAsia"/>
          <w:sz w:val="21"/>
        </w:rPr>
        <w:t>第</w:t>
      </w:r>
      <w:r w:rsidR="001C0842" w:rsidRPr="00730D93">
        <w:rPr>
          <w:rFonts w:eastAsiaTheme="minorEastAsia" w:hint="eastAsia"/>
          <w:sz w:val="21"/>
        </w:rPr>
        <w:t>23</w:t>
      </w:r>
      <w:r w:rsidR="001C0842" w:rsidRPr="00730D93">
        <w:rPr>
          <w:rFonts w:eastAsiaTheme="minorEastAsia" w:hint="eastAsia"/>
          <w:sz w:val="21"/>
        </w:rPr>
        <w:t>届会议期间提供一份单独的信息文件，</w:t>
      </w:r>
      <w:r w:rsidR="00B96022" w:rsidRPr="00730D93">
        <w:rPr>
          <w:rFonts w:eastAsiaTheme="minorEastAsia" w:hint="eastAsia"/>
          <w:sz w:val="21"/>
        </w:rPr>
        <w:t>对</w:t>
      </w:r>
      <w:r w:rsidR="00B96022" w:rsidRPr="00730D93">
        <w:rPr>
          <w:rFonts w:eastAsiaTheme="minorEastAsia" w:hint="eastAsia"/>
          <w:sz w:val="21"/>
        </w:rPr>
        <w:t>2014</w:t>
      </w:r>
      <w:r w:rsidR="005C6D16" w:rsidRPr="00730D93">
        <w:rPr>
          <w:rFonts w:eastAsiaTheme="minorEastAsia" w:hint="eastAsia"/>
          <w:sz w:val="21"/>
        </w:rPr>
        <w:t>年所实现的节约</w:t>
      </w:r>
      <w:r w:rsidR="00B96022" w:rsidRPr="00730D93">
        <w:rPr>
          <w:rFonts w:eastAsiaTheme="minorEastAsia" w:hint="eastAsia"/>
          <w:sz w:val="21"/>
        </w:rPr>
        <w:t>和成本效益</w:t>
      </w:r>
      <w:r w:rsidR="005C6D16" w:rsidRPr="00730D93">
        <w:rPr>
          <w:rFonts w:eastAsiaTheme="minorEastAsia" w:hint="eastAsia"/>
          <w:sz w:val="21"/>
        </w:rPr>
        <w:t>合并</w:t>
      </w:r>
      <w:r w:rsidR="00B96022" w:rsidRPr="00730D93">
        <w:rPr>
          <w:rFonts w:eastAsiaTheme="minorEastAsia" w:hint="eastAsia"/>
          <w:sz w:val="21"/>
        </w:rPr>
        <w:t>进行概述，并</w:t>
      </w:r>
      <w:r w:rsidR="00B96022" w:rsidRPr="00730D93">
        <w:rPr>
          <w:rFonts w:eastAsiaTheme="minorEastAsia" w:hint="eastAsia"/>
          <w:sz w:val="21"/>
        </w:rPr>
        <w:t>/</w:t>
      </w:r>
      <w:r w:rsidR="00B96022" w:rsidRPr="00730D93">
        <w:rPr>
          <w:rFonts w:eastAsiaTheme="minorEastAsia" w:hint="eastAsia"/>
          <w:sz w:val="21"/>
        </w:rPr>
        <w:t>或在</w:t>
      </w:r>
      <w:r w:rsidR="00B96022" w:rsidRPr="00730D93">
        <w:rPr>
          <w:rFonts w:eastAsiaTheme="minorEastAsia" w:hint="eastAsia"/>
          <w:sz w:val="21"/>
        </w:rPr>
        <w:t>2016/17</w:t>
      </w:r>
      <w:r w:rsidR="00B96022" w:rsidRPr="00730D93">
        <w:rPr>
          <w:rFonts w:eastAsiaTheme="minorEastAsia" w:hint="eastAsia"/>
          <w:sz w:val="21"/>
        </w:rPr>
        <w:t>两年期计划和预算中</w:t>
      </w:r>
      <w:r w:rsidR="005C6D16" w:rsidRPr="00730D93">
        <w:rPr>
          <w:rFonts w:eastAsiaTheme="minorEastAsia" w:hint="eastAsia"/>
          <w:sz w:val="21"/>
        </w:rPr>
        <w:t>以此</w:t>
      </w:r>
      <w:r w:rsidR="00B96022" w:rsidRPr="00730D93">
        <w:rPr>
          <w:rFonts w:eastAsiaTheme="minorEastAsia" w:hint="eastAsia"/>
          <w:sz w:val="21"/>
        </w:rPr>
        <w:t>作为基线。</w:t>
      </w:r>
    </w:p>
    <w:p w:rsidR="005A1670" w:rsidRPr="00730D93" w:rsidRDefault="0044088F" w:rsidP="005A1670">
      <w:pPr>
        <w:pStyle w:val="ONUME"/>
        <w:keepNext/>
        <w:keepLines/>
        <w:numPr>
          <w:ilvl w:val="0"/>
          <w:numId w:val="0"/>
        </w:numPr>
        <w:spacing w:beforeLines="100" w:before="240" w:afterLines="50" w:after="120" w:line="340" w:lineRule="atLeast"/>
        <w:jc w:val="both"/>
        <w:rPr>
          <w:rFonts w:eastAsiaTheme="minorEastAsia"/>
          <w:b/>
          <w:sz w:val="21"/>
        </w:rPr>
      </w:pPr>
      <w:r>
        <w:rPr>
          <w:rFonts w:ascii="SimSun" w:hAnsi="SimSun" w:cs="SimSun" w:hint="eastAsia"/>
          <w:b/>
          <w:bCs/>
          <w:iCs/>
          <w:sz w:val="21"/>
        </w:rPr>
        <w:t>问</w:t>
      </w:r>
      <w:r w:rsidR="00057080" w:rsidRPr="0044088F">
        <w:rPr>
          <w:b/>
          <w:bCs/>
          <w:iCs/>
          <w:sz w:val="21"/>
        </w:rPr>
        <w:t>4</w:t>
      </w:r>
      <w:r w:rsidRPr="0044088F">
        <w:rPr>
          <w:b/>
          <w:sz w:val="21"/>
        </w:rPr>
        <w:t>：</w:t>
      </w:r>
      <w:r w:rsidR="00B96022" w:rsidRPr="00730D93">
        <w:rPr>
          <w:rFonts w:eastAsiaTheme="minorEastAsia" w:hint="eastAsia"/>
          <w:b/>
          <w:sz w:val="21"/>
        </w:rPr>
        <w:t>拟议的</w:t>
      </w:r>
      <w:r w:rsidR="00B96022" w:rsidRPr="0044088F">
        <w:rPr>
          <w:rFonts w:hint="eastAsia"/>
          <w:b/>
          <w:bCs/>
          <w:sz w:val="21"/>
        </w:rPr>
        <w:t>2016</w:t>
      </w:r>
      <w:r w:rsidR="00B96022" w:rsidRPr="00730D93">
        <w:rPr>
          <w:rFonts w:eastAsiaTheme="minorEastAsia" w:hint="eastAsia"/>
          <w:b/>
          <w:sz w:val="21"/>
        </w:rPr>
        <w:t>/17</w:t>
      </w:r>
      <w:r w:rsidR="00B96022" w:rsidRPr="00730D93">
        <w:rPr>
          <w:rFonts w:eastAsiaTheme="minorEastAsia" w:hint="eastAsia"/>
          <w:b/>
          <w:sz w:val="21"/>
        </w:rPr>
        <w:t>两年期预算增长</w:t>
      </w:r>
      <w:r w:rsidR="00B96022" w:rsidRPr="00730D93">
        <w:rPr>
          <w:rFonts w:eastAsiaTheme="minorEastAsia" w:hint="eastAsia"/>
          <w:b/>
          <w:sz w:val="21"/>
        </w:rPr>
        <w:t>4.9%</w:t>
      </w:r>
      <w:r w:rsidR="00B96022" w:rsidRPr="00730D93">
        <w:rPr>
          <w:rFonts w:eastAsiaTheme="minorEastAsia" w:hint="eastAsia"/>
          <w:b/>
          <w:sz w:val="21"/>
        </w:rPr>
        <w:t>的主要原因是什么？</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bCs/>
          <w:sz w:val="21"/>
        </w:rPr>
        <w:t>答</w:t>
      </w:r>
      <w:r w:rsidR="00057080" w:rsidRPr="0044088F">
        <w:rPr>
          <w:bCs/>
          <w:sz w:val="21"/>
        </w:rPr>
        <w:t>4</w:t>
      </w:r>
      <w:r w:rsidRPr="0044088F">
        <w:rPr>
          <w:rFonts w:ascii="SimSun" w:hAnsi="SimSun" w:cs="SimSun" w:hint="eastAsia"/>
          <w:bCs/>
          <w:sz w:val="21"/>
        </w:rPr>
        <w:t>：</w:t>
      </w:r>
      <w:r w:rsidR="004D1E9E" w:rsidRPr="00730D93">
        <w:rPr>
          <w:rFonts w:eastAsiaTheme="minorEastAsia" w:hint="eastAsia"/>
          <w:sz w:val="21"/>
        </w:rPr>
        <w:t>第</w:t>
      </w:r>
      <w:r w:rsidR="004D1E9E" w:rsidRPr="00730D93">
        <w:rPr>
          <w:rFonts w:eastAsiaTheme="minorEastAsia" w:hint="eastAsia"/>
          <w:sz w:val="21"/>
        </w:rPr>
        <w:t>17-39</w:t>
      </w:r>
      <w:r w:rsidR="004D1E9E" w:rsidRPr="00730D93">
        <w:rPr>
          <w:rFonts w:eastAsiaTheme="minorEastAsia" w:hint="eastAsia"/>
          <w:sz w:val="21"/>
        </w:rPr>
        <w:t>节提供了</w:t>
      </w:r>
      <w:r w:rsidR="004D1E9E" w:rsidRPr="00730D93">
        <w:rPr>
          <w:rFonts w:eastAsiaTheme="minorEastAsia" w:hint="eastAsia"/>
          <w:sz w:val="21"/>
        </w:rPr>
        <w:t>2016/17</w:t>
      </w:r>
      <w:r w:rsidR="004D1E9E" w:rsidRPr="00730D93">
        <w:rPr>
          <w:rFonts w:eastAsiaTheme="minorEastAsia" w:hint="eastAsia"/>
          <w:sz w:val="21"/>
        </w:rPr>
        <w:t>两年期主要</w:t>
      </w:r>
      <w:r w:rsidR="005C6D16" w:rsidRPr="00730D93">
        <w:rPr>
          <w:rFonts w:eastAsiaTheme="minorEastAsia" w:hint="eastAsia"/>
          <w:sz w:val="21"/>
        </w:rPr>
        <w:t>工作重点</w:t>
      </w:r>
      <w:r w:rsidR="004D1E9E" w:rsidRPr="00730D93">
        <w:rPr>
          <w:rFonts w:eastAsiaTheme="minorEastAsia" w:hint="eastAsia"/>
          <w:sz w:val="21"/>
        </w:rPr>
        <w:t>的总结。财务和成果概览中的表</w:t>
      </w:r>
      <w:r w:rsidR="004D1E9E" w:rsidRPr="00730D93">
        <w:rPr>
          <w:rFonts w:eastAsiaTheme="minorEastAsia" w:hint="eastAsia"/>
          <w:sz w:val="21"/>
        </w:rPr>
        <w:t>5</w:t>
      </w:r>
      <w:r w:rsidR="004D1E9E" w:rsidRPr="00730D93">
        <w:rPr>
          <w:rFonts w:eastAsiaTheme="minorEastAsia" w:hint="eastAsia"/>
          <w:sz w:val="21"/>
        </w:rPr>
        <w:t>和附件二中的表</w:t>
      </w:r>
      <w:r w:rsidR="004D1E9E" w:rsidRPr="00730D93">
        <w:rPr>
          <w:rFonts w:eastAsiaTheme="minorEastAsia" w:hint="eastAsia"/>
          <w:sz w:val="21"/>
        </w:rPr>
        <w:t>9</w:t>
      </w:r>
      <w:r w:rsidR="004D1E9E" w:rsidRPr="00730D93">
        <w:rPr>
          <w:rFonts w:eastAsiaTheme="minorEastAsia" w:hint="eastAsia"/>
          <w:sz w:val="21"/>
        </w:rPr>
        <w:t>分别对</w:t>
      </w:r>
      <w:r w:rsidR="004D1E9E" w:rsidRPr="00730D93">
        <w:rPr>
          <w:rFonts w:eastAsiaTheme="minorEastAsia" w:hint="eastAsia"/>
          <w:sz w:val="21"/>
        </w:rPr>
        <w:t>2016/17</w:t>
      </w:r>
      <w:r w:rsidR="004D1E9E" w:rsidRPr="00730D93">
        <w:rPr>
          <w:rFonts w:eastAsiaTheme="minorEastAsia" w:hint="eastAsia"/>
          <w:sz w:val="21"/>
        </w:rPr>
        <w:t>两年期</w:t>
      </w:r>
      <w:r w:rsidR="00F61393" w:rsidRPr="00730D93">
        <w:rPr>
          <w:rFonts w:eastAsiaTheme="minorEastAsia" w:hint="eastAsia"/>
          <w:sz w:val="21"/>
        </w:rPr>
        <w:t>预算与</w:t>
      </w:r>
      <w:r w:rsidR="004D1E9E" w:rsidRPr="00730D93">
        <w:rPr>
          <w:rFonts w:eastAsiaTheme="minorEastAsia" w:hint="eastAsia"/>
          <w:sz w:val="21"/>
        </w:rPr>
        <w:t>2014/15</w:t>
      </w:r>
      <w:r w:rsidR="004D1E9E" w:rsidRPr="00730D93">
        <w:rPr>
          <w:rFonts w:eastAsiaTheme="minorEastAsia" w:hint="eastAsia"/>
          <w:sz w:val="21"/>
        </w:rPr>
        <w:t>两年期按费用类别和按计划开列的调剂使用后预算进行了比较。</w:t>
      </w:r>
    </w:p>
    <w:p w:rsidR="005A1670" w:rsidRPr="00730D93" w:rsidRDefault="004D1E9E" w:rsidP="005A1670">
      <w:pPr>
        <w:spacing w:afterLines="50" w:after="120" w:line="340" w:lineRule="atLeast"/>
        <w:jc w:val="both"/>
        <w:rPr>
          <w:rFonts w:eastAsiaTheme="minorEastAsia"/>
          <w:sz w:val="21"/>
        </w:rPr>
      </w:pPr>
      <w:r w:rsidRPr="00730D93">
        <w:rPr>
          <w:rFonts w:eastAsiaTheme="minorEastAsia" w:hint="eastAsia"/>
          <w:sz w:val="21"/>
        </w:rPr>
        <w:t>人事资源</w:t>
      </w:r>
      <w:r w:rsidR="00F61393" w:rsidRPr="00730D93">
        <w:rPr>
          <w:rFonts w:eastAsiaTheme="minorEastAsia" w:hint="eastAsia"/>
          <w:sz w:val="21"/>
        </w:rPr>
        <w:t>增长</w:t>
      </w:r>
      <w:r w:rsidRPr="00730D93">
        <w:rPr>
          <w:rFonts w:eastAsiaTheme="minorEastAsia" w:hint="eastAsia"/>
          <w:sz w:val="21"/>
        </w:rPr>
        <w:t>的主要原因总结于第</w:t>
      </w:r>
      <w:r w:rsidRPr="00730D93">
        <w:rPr>
          <w:rFonts w:eastAsiaTheme="minorEastAsia" w:hint="eastAsia"/>
          <w:sz w:val="21"/>
        </w:rPr>
        <w:t>53-59</w:t>
      </w:r>
      <w:r w:rsidRPr="00730D93">
        <w:rPr>
          <w:rFonts w:eastAsiaTheme="minorEastAsia" w:hint="eastAsia"/>
          <w:sz w:val="21"/>
        </w:rPr>
        <w:t>节中的人事费规划假设。在</w:t>
      </w:r>
      <w:r w:rsidRPr="00730D93">
        <w:rPr>
          <w:rFonts w:eastAsiaTheme="minorEastAsia" w:hint="eastAsia"/>
          <w:sz w:val="21"/>
        </w:rPr>
        <w:t>2016/17</w:t>
      </w:r>
      <w:r w:rsidRPr="00730D93">
        <w:rPr>
          <w:rFonts w:eastAsiaTheme="minorEastAsia" w:hint="eastAsia"/>
          <w:sz w:val="21"/>
        </w:rPr>
        <w:t>两年期将不增加新岗位</w:t>
      </w:r>
      <w:r w:rsidR="005A1670" w:rsidRPr="00730D93">
        <w:rPr>
          <w:rFonts w:eastAsiaTheme="minorEastAsia" w:hint="eastAsia"/>
          <w:sz w:val="21"/>
        </w:rPr>
        <w:t>（</w:t>
      </w:r>
      <w:r w:rsidRPr="00730D93">
        <w:rPr>
          <w:rFonts w:eastAsiaTheme="minorEastAsia" w:hint="eastAsia"/>
          <w:sz w:val="21"/>
        </w:rPr>
        <w:t>第</w:t>
      </w:r>
      <w:r w:rsidRPr="00730D93">
        <w:rPr>
          <w:rFonts w:eastAsiaTheme="minorEastAsia" w:hint="eastAsia"/>
          <w:sz w:val="21"/>
        </w:rPr>
        <w:t>57</w:t>
      </w:r>
      <w:r w:rsidRPr="00730D93">
        <w:rPr>
          <w:rFonts w:eastAsiaTheme="minorEastAsia" w:hint="eastAsia"/>
          <w:sz w:val="21"/>
        </w:rPr>
        <w:t>节中提到</w:t>
      </w:r>
      <w:r w:rsidR="005A1670" w:rsidRPr="00730D93">
        <w:rPr>
          <w:rFonts w:eastAsiaTheme="minorEastAsia" w:hint="eastAsia"/>
          <w:sz w:val="21"/>
        </w:rPr>
        <w:t>）</w:t>
      </w:r>
      <w:r w:rsidRPr="00730D93">
        <w:rPr>
          <w:rFonts w:eastAsiaTheme="minorEastAsia" w:hint="eastAsia"/>
          <w:sz w:val="21"/>
        </w:rPr>
        <w:t>。人事费增长主要是由于法定增长和转正完成</w:t>
      </w:r>
      <w:r w:rsidR="005A1670" w:rsidRPr="00730D93">
        <w:rPr>
          <w:rFonts w:eastAsiaTheme="minorEastAsia" w:hint="eastAsia"/>
          <w:sz w:val="21"/>
        </w:rPr>
        <w:t>（</w:t>
      </w:r>
      <w:r w:rsidRPr="00730D93">
        <w:rPr>
          <w:rFonts w:eastAsiaTheme="minorEastAsia" w:hint="eastAsia"/>
          <w:sz w:val="21"/>
        </w:rPr>
        <w:t>被费用类别“临时员工”下的减少所抵消</w:t>
      </w:r>
      <w:r w:rsidR="005A1670" w:rsidRPr="00730D93">
        <w:rPr>
          <w:rFonts w:eastAsiaTheme="minorEastAsia" w:hint="eastAsia"/>
          <w:sz w:val="21"/>
        </w:rPr>
        <w:t>）</w:t>
      </w:r>
      <w:r w:rsidRPr="00730D93">
        <w:rPr>
          <w:rFonts w:eastAsiaTheme="minorEastAsia" w:hint="eastAsia"/>
          <w:sz w:val="21"/>
        </w:rPr>
        <w:t>。</w:t>
      </w:r>
    </w:p>
    <w:p w:rsidR="005A1670" w:rsidRPr="00730D93" w:rsidRDefault="004D1E9E" w:rsidP="005A1670">
      <w:pPr>
        <w:spacing w:afterLines="50" w:after="120" w:line="340" w:lineRule="atLeast"/>
        <w:jc w:val="both"/>
        <w:rPr>
          <w:rFonts w:eastAsiaTheme="minorEastAsia"/>
          <w:sz w:val="21"/>
        </w:rPr>
      </w:pPr>
      <w:r w:rsidRPr="00730D93">
        <w:rPr>
          <w:rFonts w:eastAsiaTheme="minorEastAsia" w:hint="eastAsia"/>
          <w:sz w:val="21"/>
        </w:rPr>
        <w:t>非人事费</w:t>
      </w:r>
      <w:r w:rsidR="00F61393" w:rsidRPr="00730D93">
        <w:rPr>
          <w:rFonts w:eastAsiaTheme="minorEastAsia" w:hint="eastAsia"/>
          <w:sz w:val="21"/>
        </w:rPr>
        <w:t>增长</w:t>
      </w:r>
      <w:r w:rsidRPr="00730D93">
        <w:rPr>
          <w:rFonts w:eastAsiaTheme="minorEastAsia" w:hint="eastAsia"/>
          <w:sz w:val="21"/>
        </w:rPr>
        <w:t>的主要原因总结于第</w:t>
      </w:r>
      <w:r w:rsidRPr="00730D93">
        <w:rPr>
          <w:rFonts w:eastAsiaTheme="minorEastAsia" w:hint="eastAsia"/>
          <w:sz w:val="21"/>
        </w:rPr>
        <w:t>40-44</w:t>
      </w:r>
      <w:r w:rsidRPr="00730D93">
        <w:rPr>
          <w:rFonts w:eastAsiaTheme="minorEastAsia" w:hint="eastAsia"/>
          <w:sz w:val="21"/>
        </w:rPr>
        <w:t>节。非人事资源较大幅度的净增长出现在计划</w:t>
      </w:r>
      <w:r w:rsidRPr="00730D93">
        <w:rPr>
          <w:rFonts w:eastAsiaTheme="minorEastAsia" w:hint="eastAsia"/>
          <w:sz w:val="21"/>
        </w:rPr>
        <w:t>5PCT</w:t>
      </w:r>
      <w:r w:rsidR="005A1670" w:rsidRPr="00730D93">
        <w:rPr>
          <w:rFonts w:eastAsiaTheme="minorEastAsia" w:hint="eastAsia"/>
          <w:sz w:val="21"/>
        </w:rPr>
        <w:t>（</w:t>
      </w:r>
      <w:r w:rsidRPr="00730D93">
        <w:rPr>
          <w:rFonts w:eastAsiaTheme="minorEastAsia" w:hint="eastAsia"/>
          <w:sz w:val="21"/>
        </w:rPr>
        <w:t>560</w:t>
      </w:r>
      <w:r w:rsidRPr="00730D93">
        <w:rPr>
          <w:rFonts w:eastAsiaTheme="minorEastAsia" w:hint="eastAsia"/>
          <w:sz w:val="21"/>
        </w:rPr>
        <w:t>万瑞郎</w:t>
      </w:r>
      <w:r w:rsidR="005A1670" w:rsidRPr="00730D93">
        <w:rPr>
          <w:rFonts w:eastAsiaTheme="minorEastAsia" w:hint="eastAsia"/>
          <w:sz w:val="21"/>
        </w:rPr>
        <w:t>）</w:t>
      </w:r>
      <w:r w:rsidRPr="00730D93">
        <w:rPr>
          <w:rFonts w:eastAsiaTheme="minorEastAsia" w:hint="eastAsia"/>
          <w:sz w:val="21"/>
        </w:rPr>
        <w:t>，主要由于</w:t>
      </w:r>
      <w:r w:rsidRPr="00730D93">
        <w:rPr>
          <w:rFonts w:eastAsiaTheme="minorEastAsia" w:hint="eastAsia"/>
          <w:sz w:val="21"/>
        </w:rPr>
        <w:t>PCT</w:t>
      </w:r>
      <w:r w:rsidRPr="00730D93">
        <w:rPr>
          <w:rFonts w:eastAsiaTheme="minorEastAsia" w:hint="eastAsia"/>
          <w:sz w:val="21"/>
        </w:rPr>
        <w:t>翻译量的增多和为加强</w:t>
      </w:r>
      <w:r w:rsidRPr="00730D93">
        <w:rPr>
          <w:rFonts w:eastAsiaTheme="minorEastAsia" w:hint="eastAsia"/>
          <w:sz w:val="21"/>
        </w:rPr>
        <w:t>PCT</w:t>
      </w:r>
      <w:r w:rsidRPr="00730D93">
        <w:rPr>
          <w:rFonts w:eastAsiaTheme="minorEastAsia" w:hint="eastAsia"/>
          <w:sz w:val="21"/>
        </w:rPr>
        <w:t>适应力而做的拨备；计划</w:t>
      </w:r>
      <w:r w:rsidRPr="00730D93">
        <w:rPr>
          <w:rFonts w:eastAsiaTheme="minorEastAsia" w:hint="eastAsia"/>
          <w:sz w:val="21"/>
        </w:rPr>
        <w:t>6</w:t>
      </w:r>
      <w:r w:rsidRPr="00730D93">
        <w:rPr>
          <w:rFonts w:eastAsiaTheme="minorEastAsia" w:hint="eastAsia"/>
          <w:sz w:val="21"/>
        </w:rPr>
        <w:t>马德里和里斯本体系</w:t>
      </w:r>
      <w:r w:rsidR="005A1670" w:rsidRPr="00730D93">
        <w:rPr>
          <w:rFonts w:eastAsiaTheme="minorEastAsia" w:hint="eastAsia"/>
          <w:sz w:val="21"/>
        </w:rPr>
        <w:t>（</w:t>
      </w:r>
      <w:r w:rsidRPr="00730D93">
        <w:rPr>
          <w:rFonts w:eastAsiaTheme="minorEastAsia" w:hint="eastAsia"/>
          <w:sz w:val="21"/>
        </w:rPr>
        <w:t>250</w:t>
      </w:r>
      <w:r w:rsidRPr="00730D93">
        <w:rPr>
          <w:rFonts w:eastAsiaTheme="minorEastAsia" w:hint="eastAsia"/>
          <w:sz w:val="21"/>
        </w:rPr>
        <w:t>万瑞郎</w:t>
      </w:r>
      <w:r w:rsidR="005A1670" w:rsidRPr="00730D93">
        <w:rPr>
          <w:rFonts w:eastAsiaTheme="minorEastAsia" w:hint="eastAsia"/>
          <w:sz w:val="21"/>
        </w:rPr>
        <w:t>）</w:t>
      </w:r>
      <w:r w:rsidRPr="00730D93">
        <w:rPr>
          <w:rFonts w:eastAsiaTheme="minorEastAsia" w:hint="eastAsia"/>
          <w:sz w:val="21"/>
        </w:rPr>
        <w:t>，主要由于马德里体系成员数量增长以及该体系运行效率的提升；计划</w:t>
      </w:r>
      <w:r w:rsidRPr="00730D93">
        <w:rPr>
          <w:rFonts w:eastAsiaTheme="minorEastAsia" w:hint="eastAsia"/>
          <w:sz w:val="21"/>
        </w:rPr>
        <w:t>25ICT</w:t>
      </w:r>
      <w:r w:rsidR="005A1670" w:rsidRPr="00730D93">
        <w:rPr>
          <w:rFonts w:eastAsiaTheme="minorEastAsia" w:hint="eastAsia"/>
          <w:sz w:val="21"/>
        </w:rPr>
        <w:t>（</w:t>
      </w:r>
      <w:r w:rsidRPr="00730D93">
        <w:rPr>
          <w:rFonts w:eastAsiaTheme="minorEastAsia" w:hint="eastAsia"/>
          <w:sz w:val="21"/>
        </w:rPr>
        <w:t>690</w:t>
      </w:r>
      <w:r w:rsidRPr="00730D93">
        <w:rPr>
          <w:rFonts w:eastAsiaTheme="minorEastAsia" w:hint="eastAsia"/>
          <w:sz w:val="21"/>
        </w:rPr>
        <w:t>万瑞郎</w:t>
      </w:r>
      <w:r w:rsidR="005A1670" w:rsidRPr="00730D93">
        <w:rPr>
          <w:rFonts w:eastAsiaTheme="minorEastAsia" w:hint="eastAsia"/>
          <w:sz w:val="21"/>
        </w:rPr>
        <w:t>）</w:t>
      </w:r>
      <w:r w:rsidRPr="00730D93">
        <w:rPr>
          <w:rFonts w:eastAsiaTheme="minorEastAsia" w:hint="eastAsia"/>
          <w:sz w:val="21"/>
        </w:rPr>
        <w:t>，主要由于越来越依赖于可靠和有效的</w:t>
      </w:r>
      <w:r w:rsidRPr="00730D93">
        <w:rPr>
          <w:rFonts w:eastAsiaTheme="minorEastAsia" w:hint="eastAsia"/>
          <w:sz w:val="21"/>
        </w:rPr>
        <w:t>ICT</w:t>
      </w:r>
      <w:r w:rsidRPr="00730D93">
        <w:rPr>
          <w:rFonts w:eastAsiaTheme="minorEastAsia" w:hint="eastAsia"/>
          <w:sz w:val="21"/>
        </w:rPr>
        <w:t>基础设施和服务；计划</w:t>
      </w:r>
      <w:r w:rsidRPr="00730D93">
        <w:rPr>
          <w:rFonts w:eastAsiaTheme="minorEastAsia" w:hint="eastAsia"/>
          <w:sz w:val="21"/>
        </w:rPr>
        <w:t>28</w:t>
      </w:r>
      <w:r w:rsidRPr="00730D93">
        <w:rPr>
          <w:rFonts w:eastAsiaTheme="minorEastAsia" w:hint="eastAsia"/>
          <w:sz w:val="21"/>
        </w:rPr>
        <w:t>信息安全保障、安全与安保</w:t>
      </w:r>
      <w:r w:rsidR="005A1670" w:rsidRPr="00730D93">
        <w:rPr>
          <w:rFonts w:eastAsiaTheme="minorEastAsia" w:hint="eastAsia"/>
          <w:sz w:val="21"/>
        </w:rPr>
        <w:t>（</w:t>
      </w:r>
      <w:r w:rsidRPr="00730D93">
        <w:rPr>
          <w:rFonts w:eastAsiaTheme="minorEastAsia" w:hint="eastAsia"/>
          <w:sz w:val="21"/>
        </w:rPr>
        <w:t>390</w:t>
      </w:r>
      <w:r w:rsidRPr="00730D93">
        <w:rPr>
          <w:rFonts w:eastAsiaTheme="minorEastAsia" w:hint="eastAsia"/>
          <w:sz w:val="21"/>
        </w:rPr>
        <w:t>万瑞郎</w:t>
      </w:r>
      <w:r w:rsidR="005A1670" w:rsidRPr="00730D93">
        <w:rPr>
          <w:rFonts w:eastAsiaTheme="minorEastAsia" w:hint="eastAsia"/>
          <w:sz w:val="21"/>
        </w:rPr>
        <w:t>）</w:t>
      </w:r>
      <w:r w:rsidRPr="00730D93">
        <w:rPr>
          <w:rFonts w:eastAsiaTheme="minorEastAsia" w:hint="eastAsia"/>
          <w:sz w:val="21"/>
        </w:rPr>
        <w:t>，主要</w:t>
      </w:r>
      <w:r w:rsidR="00397B81" w:rsidRPr="00730D93">
        <w:rPr>
          <w:rFonts w:eastAsiaTheme="minorEastAsia" w:hint="eastAsia"/>
          <w:sz w:val="21"/>
        </w:rPr>
        <w:t>用于</w:t>
      </w:r>
      <w:r w:rsidRPr="00730D93">
        <w:rPr>
          <w:rFonts w:eastAsiaTheme="minorEastAsia" w:hint="eastAsia"/>
          <w:sz w:val="21"/>
        </w:rPr>
        <w:t>在</w:t>
      </w:r>
      <w:r w:rsidRPr="00730D93">
        <w:rPr>
          <w:rFonts w:eastAsiaTheme="minorEastAsia" w:hint="eastAsia"/>
          <w:sz w:val="21"/>
        </w:rPr>
        <w:t>2016/17</w:t>
      </w:r>
      <w:r w:rsidRPr="00730D93">
        <w:rPr>
          <w:rFonts w:eastAsiaTheme="minorEastAsia" w:hint="eastAsia"/>
          <w:sz w:val="21"/>
        </w:rPr>
        <w:t>两年期</w:t>
      </w:r>
      <w:r w:rsidR="00397B81" w:rsidRPr="00730D93">
        <w:rPr>
          <w:rFonts w:eastAsiaTheme="minorEastAsia" w:hint="eastAsia"/>
          <w:sz w:val="21"/>
        </w:rPr>
        <w:t>实施</w:t>
      </w:r>
      <w:r w:rsidRPr="00730D93">
        <w:rPr>
          <w:rFonts w:eastAsiaTheme="minorEastAsia" w:hint="eastAsia"/>
          <w:sz w:val="21"/>
        </w:rPr>
        <w:t>信息</w:t>
      </w:r>
      <w:r w:rsidR="00397B81" w:rsidRPr="00730D93">
        <w:rPr>
          <w:rFonts w:eastAsiaTheme="minorEastAsia" w:hint="eastAsia"/>
          <w:sz w:val="21"/>
        </w:rPr>
        <w:t>安全</w:t>
      </w:r>
      <w:r w:rsidRPr="00730D93">
        <w:rPr>
          <w:rFonts w:eastAsiaTheme="minorEastAsia" w:hint="eastAsia"/>
          <w:sz w:val="21"/>
        </w:rPr>
        <w:t>保障战略；及计划</w:t>
      </w:r>
      <w:r w:rsidRPr="00730D93">
        <w:rPr>
          <w:rFonts w:eastAsiaTheme="minorEastAsia" w:hint="eastAsia"/>
          <w:sz w:val="21"/>
        </w:rPr>
        <w:t>22</w:t>
      </w:r>
      <w:r w:rsidRPr="00730D93">
        <w:rPr>
          <w:rFonts w:eastAsiaTheme="minorEastAsia" w:hint="eastAsia"/>
          <w:sz w:val="21"/>
        </w:rPr>
        <w:t>计划和资源</w:t>
      </w:r>
      <w:bookmarkStart w:id="0" w:name="_GoBack"/>
      <w:bookmarkEnd w:id="0"/>
      <w:r w:rsidRPr="00730D93">
        <w:rPr>
          <w:rFonts w:eastAsiaTheme="minorEastAsia" w:hint="eastAsia"/>
          <w:sz w:val="21"/>
        </w:rPr>
        <w:lastRenderedPageBreak/>
        <w:t>管理</w:t>
      </w:r>
      <w:r w:rsidR="005A1670" w:rsidRPr="00730D93">
        <w:rPr>
          <w:rFonts w:eastAsiaTheme="minorEastAsia" w:hint="eastAsia"/>
          <w:sz w:val="21"/>
        </w:rPr>
        <w:t>（</w:t>
      </w:r>
      <w:r w:rsidRPr="00730D93">
        <w:rPr>
          <w:rFonts w:eastAsiaTheme="minorEastAsia" w:hint="eastAsia"/>
          <w:sz w:val="21"/>
        </w:rPr>
        <w:t>400</w:t>
      </w:r>
      <w:r w:rsidRPr="00730D93">
        <w:rPr>
          <w:rFonts w:eastAsiaTheme="minorEastAsia" w:hint="eastAsia"/>
          <w:sz w:val="21"/>
        </w:rPr>
        <w:t>万瑞郎</w:t>
      </w:r>
      <w:r w:rsidR="005A1670" w:rsidRPr="00730D93">
        <w:rPr>
          <w:rFonts w:eastAsiaTheme="minorEastAsia" w:hint="eastAsia"/>
          <w:sz w:val="21"/>
        </w:rPr>
        <w:t>）</w:t>
      </w:r>
      <w:r w:rsidRPr="00730D93">
        <w:rPr>
          <w:rFonts w:eastAsiaTheme="minorEastAsia" w:hint="eastAsia"/>
          <w:sz w:val="21"/>
        </w:rPr>
        <w:t>，主要由于</w:t>
      </w:r>
      <w:r w:rsidR="00397B81" w:rsidRPr="00730D93">
        <w:rPr>
          <w:rFonts w:eastAsiaTheme="minorEastAsia" w:hint="eastAsia"/>
          <w:sz w:val="21"/>
        </w:rPr>
        <w:t>要对</w:t>
      </w:r>
      <w:r w:rsidRPr="00730D93">
        <w:rPr>
          <w:rFonts w:eastAsiaTheme="minorEastAsia" w:hint="eastAsia"/>
          <w:sz w:val="21"/>
        </w:rPr>
        <w:t>ERP</w:t>
      </w:r>
      <w:r w:rsidRPr="00730D93">
        <w:rPr>
          <w:rFonts w:eastAsiaTheme="minorEastAsia" w:hint="eastAsia"/>
          <w:sz w:val="21"/>
        </w:rPr>
        <w:t>系统新单元的运行和能力进行吸收</w:t>
      </w:r>
      <w:r w:rsidR="00397B81" w:rsidRPr="00730D93">
        <w:rPr>
          <w:rFonts w:eastAsiaTheme="minorEastAsia" w:hint="eastAsia"/>
          <w:sz w:val="21"/>
        </w:rPr>
        <w:t>，以及对瑞郎</w:t>
      </w:r>
      <w:r w:rsidR="00E2024E" w:rsidRPr="00730D93">
        <w:rPr>
          <w:rFonts w:eastAsiaTheme="minorEastAsia" w:hint="eastAsia"/>
          <w:sz w:val="21"/>
        </w:rPr>
        <w:t>存款</w:t>
      </w:r>
      <w:r w:rsidR="00397B81" w:rsidRPr="00730D93">
        <w:rPr>
          <w:rFonts w:eastAsiaTheme="minorEastAsia" w:hint="eastAsia"/>
          <w:sz w:val="21"/>
        </w:rPr>
        <w:t>的负利率进行拨备。</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057080" w:rsidRPr="0044088F">
        <w:rPr>
          <w:b/>
          <w:sz w:val="21"/>
        </w:rPr>
        <w:t>5</w:t>
      </w:r>
      <w:r w:rsidRPr="0044088F">
        <w:rPr>
          <w:b/>
          <w:sz w:val="21"/>
        </w:rPr>
        <w:t>：</w:t>
      </w:r>
      <w:r w:rsidR="003D26CE" w:rsidRPr="00730D93">
        <w:rPr>
          <w:rFonts w:eastAsiaTheme="minorEastAsia" w:hint="eastAsia"/>
          <w:b/>
          <w:sz w:val="21"/>
        </w:rPr>
        <w:t>支出增长的主要原因之一是需要加强</w:t>
      </w:r>
      <w:r w:rsidR="003D26CE" w:rsidRPr="00730D93">
        <w:rPr>
          <w:rFonts w:eastAsiaTheme="minorEastAsia" w:hint="eastAsia"/>
          <w:b/>
          <w:sz w:val="21"/>
        </w:rPr>
        <w:t>ICT</w:t>
      </w:r>
      <w:r w:rsidR="003D26CE" w:rsidRPr="00730D93">
        <w:rPr>
          <w:rFonts w:eastAsiaTheme="minorEastAsia" w:hint="eastAsia"/>
          <w:b/>
          <w:sz w:val="21"/>
        </w:rPr>
        <w:t>和信息安保</w:t>
      </w:r>
      <w:r w:rsidR="00826122" w:rsidRPr="00730D93">
        <w:rPr>
          <w:rFonts w:eastAsiaTheme="minorEastAsia" w:hint="eastAsia"/>
          <w:b/>
          <w:sz w:val="21"/>
        </w:rPr>
        <w:t>。</w:t>
      </w:r>
      <w:r w:rsidR="00CB07A6" w:rsidRPr="00730D93">
        <w:rPr>
          <w:rFonts w:eastAsiaTheme="minorEastAsia" w:hint="eastAsia"/>
          <w:b/>
          <w:sz w:val="21"/>
        </w:rPr>
        <w:t>相关的拟议支出是否有别于成员国在</w:t>
      </w:r>
      <w:r w:rsidR="00CB07A6" w:rsidRPr="00730D93">
        <w:rPr>
          <w:rFonts w:eastAsiaTheme="minorEastAsia" w:hint="eastAsia"/>
          <w:b/>
          <w:sz w:val="21"/>
        </w:rPr>
        <w:t>2013</w:t>
      </w:r>
      <w:r w:rsidR="00CB07A6" w:rsidRPr="00730D93">
        <w:rPr>
          <w:rFonts w:eastAsiaTheme="minorEastAsia" w:hint="eastAsia"/>
          <w:b/>
          <w:sz w:val="21"/>
        </w:rPr>
        <w:t>年批准由储备金供资的基本建设总计划项目？</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rPr>
        <w:t>答</w:t>
      </w:r>
      <w:r w:rsidR="00057080" w:rsidRPr="0044088F">
        <w:rPr>
          <w:sz w:val="21"/>
        </w:rPr>
        <w:t>5</w:t>
      </w:r>
      <w:r w:rsidRPr="0044088F">
        <w:rPr>
          <w:rFonts w:ascii="SimSun" w:hAnsi="SimSun" w:cs="SimSun" w:hint="eastAsia"/>
          <w:sz w:val="21"/>
        </w:rPr>
        <w:t>：</w:t>
      </w:r>
      <w:r w:rsidR="00CB07A6" w:rsidRPr="00730D93">
        <w:rPr>
          <w:rFonts w:eastAsiaTheme="minorEastAsia" w:hint="eastAsia"/>
          <w:sz w:val="21"/>
        </w:rPr>
        <w:t>ICT</w:t>
      </w:r>
      <w:r w:rsidR="00CB07A6" w:rsidRPr="00730D93">
        <w:rPr>
          <w:rFonts w:eastAsiaTheme="minorEastAsia" w:hint="eastAsia"/>
          <w:sz w:val="21"/>
        </w:rPr>
        <w:t>和信息安全保障投资</w:t>
      </w:r>
      <w:r w:rsidR="0096386F" w:rsidRPr="00730D93">
        <w:rPr>
          <w:rFonts w:eastAsiaTheme="minorEastAsia" w:hint="eastAsia"/>
          <w:sz w:val="21"/>
        </w:rPr>
        <w:t>与</w:t>
      </w:r>
      <w:r w:rsidR="00CB07A6" w:rsidRPr="00730D93">
        <w:rPr>
          <w:rFonts w:eastAsiaTheme="minorEastAsia" w:hint="eastAsia"/>
          <w:sz w:val="21"/>
        </w:rPr>
        <w:t>电子恐怖主义日益严峻的威胁、加强组织适应力的必要性以及填补在</w:t>
      </w:r>
      <w:r w:rsidR="00CB07A6" w:rsidRPr="00730D93">
        <w:rPr>
          <w:rFonts w:eastAsiaTheme="minorEastAsia" w:hint="eastAsia"/>
          <w:sz w:val="21"/>
        </w:rPr>
        <w:t>2013</w:t>
      </w:r>
      <w:r w:rsidR="0096386F" w:rsidRPr="00730D93">
        <w:rPr>
          <w:rFonts w:eastAsiaTheme="minorEastAsia" w:hint="eastAsia"/>
          <w:sz w:val="21"/>
        </w:rPr>
        <w:t>年所进行</w:t>
      </w:r>
      <w:r w:rsidR="00CB07A6" w:rsidRPr="00730D93">
        <w:rPr>
          <w:rFonts w:eastAsiaTheme="minorEastAsia" w:hint="eastAsia"/>
          <w:sz w:val="21"/>
        </w:rPr>
        <w:t>信息安全</w:t>
      </w:r>
      <w:r w:rsidR="00CB07A6" w:rsidRPr="005A1670">
        <w:rPr>
          <w:rFonts w:hint="eastAsia"/>
          <w:bCs/>
          <w:sz w:val="21"/>
          <w:szCs w:val="22"/>
        </w:rPr>
        <w:t>保障</w:t>
      </w:r>
      <w:r w:rsidR="00CB07A6" w:rsidRPr="00730D93">
        <w:rPr>
          <w:rFonts w:eastAsiaTheme="minorEastAsia" w:hint="eastAsia"/>
          <w:sz w:val="21"/>
        </w:rPr>
        <w:t>审计中所识别的信息安全保障缺口</w:t>
      </w:r>
      <w:r w:rsidR="0096386F" w:rsidRPr="00730D93">
        <w:rPr>
          <w:rFonts w:eastAsiaTheme="minorEastAsia" w:hint="eastAsia"/>
          <w:sz w:val="21"/>
        </w:rPr>
        <w:t>的必要性相关联</w:t>
      </w:r>
      <w:r w:rsidR="00CB07A6" w:rsidRPr="00730D93">
        <w:rPr>
          <w:rFonts w:eastAsiaTheme="minorEastAsia" w:hint="eastAsia"/>
          <w:sz w:val="21"/>
        </w:rPr>
        <w:t>。成员国在</w:t>
      </w:r>
      <w:r w:rsidR="00CB07A6" w:rsidRPr="00730D93">
        <w:rPr>
          <w:rFonts w:eastAsiaTheme="minorEastAsia" w:hint="eastAsia"/>
          <w:sz w:val="21"/>
        </w:rPr>
        <w:t>2013</w:t>
      </w:r>
      <w:r w:rsidR="00CB07A6" w:rsidRPr="00730D93">
        <w:rPr>
          <w:rFonts w:eastAsiaTheme="minorEastAsia" w:hint="eastAsia"/>
          <w:sz w:val="21"/>
        </w:rPr>
        <w:t>年批准由储备金供资的与</w:t>
      </w:r>
      <w:r w:rsidR="00CB07A6" w:rsidRPr="00730D93">
        <w:rPr>
          <w:rFonts w:eastAsiaTheme="minorEastAsia" w:hint="eastAsia"/>
          <w:sz w:val="21"/>
        </w:rPr>
        <w:t>IT</w:t>
      </w:r>
      <w:r w:rsidR="00CB07A6" w:rsidRPr="00730D93">
        <w:rPr>
          <w:rFonts w:eastAsiaTheme="minorEastAsia" w:hint="eastAsia"/>
          <w:sz w:val="21"/>
        </w:rPr>
        <w:t>有关的基本建设总计划项目是关于企业内容管理</w:t>
      </w:r>
      <w:r w:rsidR="005A1670">
        <w:rPr>
          <w:rFonts w:ascii="SimSun" w:hAnsi="SimSun" w:cs="SimSun" w:hint="eastAsia"/>
          <w:sz w:val="21"/>
        </w:rPr>
        <w:t>（</w:t>
      </w:r>
      <w:r w:rsidR="00CB07A6" w:rsidRPr="0044088F">
        <w:rPr>
          <w:sz w:val="21"/>
        </w:rPr>
        <w:t>ECM</w:t>
      </w:r>
      <w:r w:rsidR="005A1670">
        <w:rPr>
          <w:rFonts w:ascii="SimSun" w:hAnsi="SimSun" w:cs="SimSun" w:hint="eastAsia"/>
          <w:sz w:val="21"/>
        </w:rPr>
        <w:t>）</w:t>
      </w:r>
      <w:r w:rsidR="00CB07A6" w:rsidRPr="00730D93">
        <w:rPr>
          <w:rFonts w:eastAsiaTheme="minorEastAsia" w:hint="eastAsia"/>
          <w:sz w:val="21"/>
        </w:rPr>
        <w:t>和身份管理</w:t>
      </w:r>
      <w:r w:rsidR="005A1670">
        <w:rPr>
          <w:rFonts w:ascii="SimSun" w:hAnsi="SimSun" w:cs="SimSun" w:hint="eastAsia"/>
          <w:sz w:val="21"/>
        </w:rPr>
        <w:t>（</w:t>
      </w:r>
      <w:r w:rsidR="00CB07A6" w:rsidRPr="0044088F">
        <w:rPr>
          <w:sz w:val="21"/>
        </w:rPr>
        <w:t>IDM</w:t>
      </w:r>
      <w:r w:rsidR="005A1670">
        <w:rPr>
          <w:rFonts w:ascii="SimSun" w:hAnsi="SimSun" w:cs="SimSun" w:hint="eastAsia"/>
          <w:sz w:val="21"/>
        </w:rPr>
        <w:t>）</w:t>
      </w:r>
      <w:r w:rsidR="00CB07A6" w:rsidRPr="00730D93">
        <w:rPr>
          <w:rFonts w:eastAsiaTheme="minorEastAsia" w:hint="eastAsia"/>
          <w:sz w:val="21"/>
        </w:rPr>
        <w:t>。这些项目</w:t>
      </w:r>
      <w:r w:rsidR="00F05D30" w:rsidRPr="00730D93">
        <w:rPr>
          <w:rFonts w:eastAsiaTheme="minorEastAsia" w:hint="eastAsia"/>
          <w:sz w:val="21"/>
        </w:rPr>
        <w:t>与载于</w:t>
      </w:r>
      <w:r w:rsidR="00F05D30" w:rsidRPr="00730D93">
        <w:rPr>
          <w:rFonts w:eastAsiaTheme="minorEastAsia" w:hint="eastAsia"/>
          <w:sz w:val="21"/>
        </w:rPr>
        <w:t>2016/17</w:t>
      </w:r>
      <w:r w:rsidR="00F05D30" w:rsidRPr="00730D93">
        <w:rPr>
          <w:rFonts w:eastAsiaTheme="minorEastAsia" w:hint="eastAsia"/>
          <w:sz w:val="21"/>
        </w:rPr>
        <w:t>两年期计划和预算的拟议支出互不重叠，而是互为补充。</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iCs/>
          <w:sz w:val="21"/>
        </w:rPr>
      </w:pPr>
      <w:r>
        <w:rPr>
          <w:rFonts w:ascii="SimSun" w:hAnsi="SimSun" w:cs="SimSun" w:hint="eastAsia"/>
          <w:b/>
          <w:bCs/>
          <w:iCs/>
          <w:sz w:val="21"/>
        </w:rPr>
        <w:t>问</w:t>
      </w:r>
      <w:r w:rsidR="00057080" w:rsidRPr="0044088F">
        <w:rPr>
          <w:b/>
          <w:bCs/>
          <w:iCs/>
          <w:sz w:val="21"/>
        </w:rPr>
        <w:t>6</w:t>
      </w:r>
      <w:r w:rsidRPr="0044088F">
        <w:rPr>
          <w:rFonts w:ascii="SimSun" w:hAnsi="SimSun" w:cs="SimSun" w:hint="eastAsia"/>
          <w:b/>
          <w:bCs/>
          <w:iCs/>
          <w:sz w:val="21"/>
        </w:rPr>
        <w:t>：</w:t>
      </w:r>
      <w:r w:rsidR="00F05D30" w:rsidRPr="00730D93">
        <w:rPr>
          <w:rFonts w:eastAsiaTheme="minorEastAsia" w:hint="eastAsia"/>
          <w:b/>
          <w:bCs/>
          <w:iCs/>
          <w:sz w:val="21"/>
        </w:rPr>
        <w:t>若干成员国的立法不允许</w:t>
      </w:r>
      <w:r w:rsidR="00F61393" w:rsidRPr="00730D93">
        <w:rPr>
          <w:rFonts w:eastAsiaTheme="minorEastAsia" w:hint="eastAsia"/>
          <w:b/>
          <w:bCs/>
          <w:iCs/>
          <w:sz w:val="21"/>
        </w:rPr>
        <w:t>在预算中</w:t>
      </w:r>
      <w:r w:rsidR="00F05D30" w:rsidRPr="00730D93">
        <w:rPr>
          <w:rFonts w:eastAsiaTheme="minorEastAsia" w:hint="eastAsia"/>
          <w:b/>
          <w:bCs/>
          <w:iCs/>
          <w:sz w:val="21"/>
        </w:rPr>
        <w:t>为负利率</w:t>
      </w:r>
      <w:r w:rsidR="00F61393" w:rsidRPr="00730D93">
        <w:rPr>
          <w:rFonts w:eastAsiaTheme="minorEastAsia" w:hint="eastAsia"/>
          <w:b/>
          <w:bCs/>
          <w:iCs/>
          <w:sz w:val="21"/>
        </w:rPr>
        <w:t>进行</w:t>
      </w:r>
      <w:r w:rsidR="00F05D30" w:rsidRPr="00730D93">
        <w:rPr>
          <w:rFonts w:eastAsiaTheme="minorEastAsia" w:hint="eastAsia"/>
          <w:b/>
          <w:bCs/>
          <w:iCs/>
          <w:sz w:val="21"/>
        </w:rPr>
        <w:t>拨备。</w:t>
      </w:r>
      <w:r w:rsidR="00F05D30" w:rsidRPr="00730D93">
        <w:rPr>
          <w:rFonts w:eastAsiaTheme="minorEastAsia" w:hint="eastAsia"/>
          <w:b/>
          <w:bCs/>
          <w:iCs/>
          <w:sz w:val="21"/>
        </w:rPr>
        <w:t>WIPO</w:t>
      </w:r>
      <w:r w:rsidR="00F05D30" w:rsidRPr="00730D93">
        <w:rPr>
          <w:rFonts w:eastAsiaTheme="minorEastAsia" w:hint="eastAsia"/>
          <w:b/>
          <w:bCs/>
          <w:iCs/>
          <w:sz w:val="21"/>
        </w:rPr>
        <w:t>是否</w:t>
      </w:r>
      <w:r w:rsidR="0045380A" w:rsidRPr="00730D93">
        <w:rPr>
          <w:rFonts w:eastAsiaTheme="minorEastAsia" w:hint="eastAsia"/>
          <w:b/>
          <w:bCs/>
          <w:iCs/>
          <w:sz w:val="21"/>
        </w:rPr>
        <w:t>就在适用零利率前提高</w:t>
      </w:r>
      <w:r w:rsidR="0045380A" w:rsidRPr="00730D93">
        <w:rPr>
          <w:rFonts w:eastAsiaTheme="minorEastAsia" w:hint="eastAsia"/>
          <w:b/>
          <w:bCs/>
          <w:iCs/>
          <w:sz w:val="21"/>
        </w:rPr>
        <w:t>1000</w:t>
      </w:r>
      <w:r w:rsidR="0045380A" w:rsidRPr="00730D93">
        <w:rPr>
          <w:rFonts w:eastAsiaTheme="minorEastAsia" w:hint="eastAsia"/>
          <w:b/>
          <w:bCs/>
          <w:iCs/>
          <w:sz w:val="21"/>
        </w:rPr>
        <w:t>万瑞郎的门槛</w:t>
      </w:r>
      <w:r w:rsidR="00F05D30" w:rsidRPr="00730D93">
        <w:rPr>
          <w:rFonts w:eastAsiaTheme="minorEastAsia" w:hint="eastAsia"/>
          <w:b/>
          <w:bCs/>
          <w:iCs/>
          <w:sz w:val="21"/>
        </w:rPr>
        <w:t>与银行进行</w:t>
      </w:r>
      <w:r w:rsidR="0045380A" w:rsidRPr="00730D93">
        <w:rPr>
          <w:rFonts w:eastAsiaTheme="minorEastAsia" w:hint="eastAsia"/>
          <w:b/>
          <w:bCs/>
          <w:iCs/>
          <w:sz w:val="21"/>
        </w:rPr>
        <w:t>过</w:t>
      </w:r>
      <w:r w:rsidR="00F05D30" w:rsidRPr="00730D93">
        <w:rPr>
          <w:rFonts w:eastAsiaTheme="minorEastAsia" w:hint="eastAsia"/>
          <w:b/>
          <w:bCs/>
          <w:iCs/>
          <w:sz w:val="21"/>
        </w:rPr>
        <w:t>谈判？</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bCs/>
          <w:sz w:val="21"/>
        </w:rPr>
        <w:t>答</w:t>
      </w:r>
      <w:r w:rsidR="00057080" w:rsidRPr="0044088F">
        <w:rPr>
          <w:bCs/>
          <w:sz w:val="21"/>
        </w:rPr>
        <w:t>6</w:t>
      </w:r>
      <w:r w:rsidRPr="0044088F">
        <w:rPr>
          <w:rFonts w:ascii="SimSun" w:hAnsi="SimSun" w:cs="SimSun" w:hint="eastAsia"/>
          <w:sz w:val="21"/>
        </w:rPr>
        <w:t>：</w:t>
      </w:r>
      <w:r w:rsidR="0045380A" w:rsidRPr="00730D93">
        <w:rPr>
          <w:rFonts w:eastAsiaTheme="minorEastAsia" w:hint="eastAsia"/>
          <w:sz w:val="21"/>
        </w:rPr>
        <w:t>目前的门槛数额共计</w:t>
      </w:r>
      <w:r w:rsidR="0045380A" w:rsidRPr="00730D93">
        <w:rPr>
          <w:rFonts w:eastAsiaTheme="minorEastAsia" w:hint="eastAsia"/>
          <w:sz w:val="21"/>
        </w:rPr>
        <w:t>1.25</w:t>
      </w:r>
      <w:r w:rsidR="0045380A" w:rsidRPr="00730D93">
        <w:rPr>
          <w:rFonts w:eastAsiaTheme="minorEastAsia" w:hint="eastAsia"/>
          <w:sz w:val="21"/>
        </w:rPr>
        <w:t>亿瑞郎</w:t>
      </w:r>
      <w:r w:rsidR="005A1670" w:rsidRPr="00730D93">
        <w:rPr>
          <w:rFonts w:eastAsiaTheme="minorEastAsia" w:hint="eastAsia"/>
          <w:sz w:val="21"/>
        </w:rPr>
        <w:t>（</w:t>
      </w:r>
      <w:r w:rsidR="0096386F" w:rsidRPr="00730D93">
        <w:rPr>
          <w:rFonts w:eastAsiaTheme="minorEastAsia" w:hint="eastAsia"/>
          <w:sz w:val="21"/>
        </w:rPr>
        <w:t>其中包括零</w:t>
      </w:r>
      <w:r w:rsidR="0045380A" w:rsidRPr="00730D93">
        <w:rPr>
          <w:rFonts w:eastAsiaTheme="minorEastAsia" w:hint="eastAsia"/>
          <w:sz w:val="21"/>
        </w:rPr>
        <w:t>息的短期储蓄</w:t>
      </w:r>
      <w:r w:rsidR="005A1670" w:rsidRPr="00730D93">
        <w:rPr>
          <w:rFonts w:eastAsiaTheme="minorEastAsia" w:hint="eastAsia"/>
          <w:sz w:val="21"/>
        </w:rPr>
        <w:t>）</w:t>
      </w:r>
      <w:r w:rsidR="0045380A" w:rsidRPr="00730D93">
        <w:rPr>
          <w:rFonts w:eastAsiaTheme="minorEastAsia" w:hint="eastAsia"/>
          <w:sz w:val="21"/>
        </w:rPr>
        <w:t>。提供上述</w:t>
      </w:r>
      <w:r w:rsidR="0096386F" w:rsidRPr="00730D93">
        <w:rPr>
          <w:rFonts w:eastAsiaTheme="minorEastAsia" w:hint="eastAsia"/>
          <w:sz w:val="21"/>
        </w:rPr>
        <w:t>免负息门槛</w:t>
      </w:r>
      <w:r w:rsidR="00FF5A19" w:rsidRPr="00730D93">
        <w:rPr>
          <w:rFonts w:eastAsiaTheme="minorEastAsia" w:hint="eastAsia"/>
          <w:sz w:val="21"/>
        </w:rPr>
        <w:t>的两家银行提高门槛</w:t>
      </w:r>
      <w:r w:rsidR="0045380A" w:rsidRPr="00730D93">
        <w:rPr>
          <w:rFonts w:eastAsiaTheme="minorEastAsia" w:hint="eastAsia"/>
          <w:sz w:val="21"/>
        </w:rPr>
        <w:t>的可能性很小。事实上，由于市场的发展变化，免</w:t>
      </w:r>
      <w:r w:rsidR="00FF5A19" w:rsidRPr="00730D93">
        <w:rPr>
          <w:rFonts w:eastAsiaTheme="minorEastAsia" w:hint="eastAsia"/>
          <w:sz w:val="21"/>
        </w:rPr>
        <w:t>负息门槛</w:t>
      </w:r>
      <w:r w:rsidR="0045380A" w:rsidRPr="00730D93">
        <w:rPr>
          <w:rFonts w:eastAsiaTheme="minorEastAsia" w:hint="eastAsia"/>
          <w:sz w:val="21"/>
        </w:rPr>
        <w:t>可能会降低。</w:t>
      </w:r>
    </w:p>
    <w:p w:rsidR="005A1670" w:rsidRPr="00730D93" w:rsidRDefault="0045380A" w:rsidP="005A1670">
      <w:pPr>
        <w:spacing w:afterLines="50" w:after="120" w:line="340" w:lineRule="atLeast"/>
        <w:jc w:val="both"/>
        <w:rPr>
          <w:rFonts w:eastAsiaTheme="minorEastAsia"/>
          <w:sz w:val="21"/>
        </w:rPr>
      </w:pPr>
      <w:r w:rsidRPr="00730D93">
        <w:rPr>
          <w:rFonts w:eastAsiaTheme="minorEastAsia" w:hint="eastAsia"/>
          <w:sz w:val="21"/>
        </w:rPr>
        <w:t>此外，越来越难以</w:t>
      </w:r>
      <w:r w:rsidR="00FF5A19" w:rsidRPr="00730D93">
        <w:rPr>
          <w:rFonts w:eastAsiaTheme="minorEastAsia" w:hint="eastAsia"/>
          <w:sz w:val="21"/>
        </w:rPr>
        <w:t>为瑞郎</w:t>
      </w:r>
      <w:r w:rsidRPr="00730D93">
        <w:rPr>
          <w:rFonts w:eastAsiaTheme="minorEastAsia" w:hint="eastAsia"/>
          <w:sz w:val="21"/>
        </w:rPr>
        <w:t>建立新的银行关系，如果建立了这种关系，新银行合作伙伴也不大可能提供</w:t>
      </w:r>
      <w:r w:rsidR="00FF5A19" w:rsidRPr="00730D93">
        <w:rPr>
          <w:rFonts w:eastAsiaTheme="minorEastAsia" w:hint="eastAsia"/>
          <w:sz w:val="21"/>
        </w:rPr>
        <w:t>免负息门槛</w:t>
      </w:r>
      <w:r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057080" w:rsidRPr="0044088F">
        <w:rPr>
          <w:b/>
          <w:bCs/>
          <w:sz w:val="21"/>
        </w:rPr>
        <w:t>7</w:t>
      </w:r>
      <w:r w:rsidRPr="0044088F">
        <w:rPr>
          <w:b/>
          <w:bCs/>
          <w:sz w:val="21"/>
        </w:rPr>
        <w:t>：</w:t>
      </w:r>
      <w:r w:rsidR="0045380A" w:rsidRPr="00730D93">
        <w:rPr>
          <w:rFonts w:eastAsiaTheme="minorEastAsia" w:hint="eastAsia"/>
          <w:b/>
          <w:sz w:val="21"/>
        </w:rPr>
        <w:t>是否可以避免支付负利率？</w:t>
      </w:r>
    </w:p>
    <w:p w:rsidR="005A1670" w:rsidRPr="00730D93" w:rsidRDefault="0044088F" w:rsidP="005A1670">
      <w:pPr>
        <w:spacing w:afterLines="50" w:after="120" w:line="340" w:lineRule="atLeast"/>
        <w:jc w:val="both"/>
        <w:rPr>
          <w:rFonts w:eastAsiaTheme="minorEastAsia"/>
          <w:sz w:val="21"/>
        </w:rPr>
      </w:pPr>
      <w:r>
        <w:rPr>
          <w:sz w:val="21"/>
        </w:rPr>
        <w:t>答</w:t>
      </w:r>
      <w:r w:rsidR="00057080" w:rsidRPr="0044088F">
        <w:rPr>
          <w:sz w:val="21"/>
        </w:rPr>
        <w:t>7</w:t>
      </w:r>
      <w:r w:rsidRPr="0044088F">
        <w:rPr>
          <w:sz w:val="21"/>
        </w:rPr>
        <w:t>：</w:t>
      </w:r>
      <w:r w:rsidR="0045380A" w:rsidRPr="00730D93">
        <w:rPr>
          <w:rFonts w:eastAsiaTheme="minorEastAsia" w:hint="eastAsia"/>
          <w:sz w:val="21"/>
        </w:rPr>
        <w:t>这种可能性非常小。</w:t>
      </w:r>
      <w:r w:rsidR="000D25CE" w:rsidRPr="00730D93">
        <w:rPr>
          <w:rFonts w:eastAsiaTheme="minorEastAsia" w:hint="eastAsia"/>
          <w:sz w:val="21"/>
        </w:rPr>
        <w:t>即使</w:t>
      </w:r>
      <w:r w:rsidR="000D25CE" w:rsidRPr="005A1670">
        <w:rPr>
          <w:rFonts w:hint="eastAsia"/>
          <w:bCs/>
          <w:sz w:val="21"/>
          <w:szCs w:val="22"/>
        </w:rPr>
        <w:t>文件</w:t>
      </w:r>
      <w:r w:rsidR="000D25CE" w:rsidRPr="0044088F">
        <w:rPr>
          <w:sz w:val="21"/>
        </w:rPr>
        <w:t>WO/PBC/23/7</w:t>
      </w:r>
      <w:r w:rsidR="000D25CE" w:rsidRPr="00730D93">
        <w:rPr>
          <w:rFonts w:eastAsiaTheme="minorEastAsia" w:hint="eastAsia"/>
          <w:sz w:val="21"/>
        </w:rPr>
        <w:t>中的所有提议都被接受，但仍需要花费时间与外聘</w:t>
      </w:r>
      <w:r w:rsidR="009118B3" w:rsidRPr="00730D93">
        <w:rPr>
          <w:rFonts w:eastAsiaTheme="minorEastAsia" w:hint="eastAsia"/>
          <w:sz w:val="21"/>
        </w:rPr>
        <w:t>基金</w:t>
      </w:r>
      <w:r w:rsidR="000D25CE" w:rsidRPr="00730D93">
        <w:rPr>
          <w:rFonts w:eastAsiaTheme="minorEastAsia" w:hint="eastAsia"/>
          <w:sz w:val="21"/>
        </w:rPr>
        <w:t>经理就核心和战略现金的投资签订合同，而由</w:t>
      </w:r>
      <w:r w:rsidR="000D25CE" w:rsidRPr="00730D93">
        <w:rPr>
          <w:rFonts w:eastAsiaTheme="minorEastAsia" w:hint="eastAsia"/>
          <w:sz w:val="21"/>
        </w:rPr>
        <w:t>WIPO</w:t>
      </w:r>
      <w:r w:rsidR="000D25CE" w:rsidRPr="00730D93">
        <w:rPr>
          <w:rFonts w:eastAsiaTheme="minorEastAsia" w:hint="eastAsia"/>
          <w:sz w:val="21"/>
        </w:rPr>
        <w:t>直接管理的</w:t>
      </w:r>
      <w:r w:rsidR="003D48D7" w:rsidRPr="00730D93">
        <w:rPr>
          <w:rFonts w:eastAsiaTheme="minorEastAsia" w:hint="eastAsia"/>
          <w:sz w:val="21"/>
        </w:rPr>
        <w:t>营运</w:t>
      </w:r>
      <w:r w:rsidR="000D25CE" w:rsidRPr="00730D93">
        <w:rPr>
          <w:rFonts w:eastAsiaTheme="minorEastAsia" w:hint="eastAsia"/>
          <w:sz w:val="21"/>
        </w:rPr>
        <w:t>现金可能超过</w:t>
      </w:r>
      <w:r w:rsidR="003D48D7" w:rsidRPr="00730D93">
        <w:rPr>
          <w:rFonts w:eastAsiaTheme="minorEastAsia" w:hint="eastAsia"/>
          <w:sz w:val="21"/>
        </w:rPr>
        <w:t>免负息门槛</w:t>
      </w:r>
      <w:r w:rsidR="000D25CE" w:rsidRPr="00730D93">
        <w:rPr>
          <w:rFonts w:eastAsiaTheme="minorEastAsia" w:hint="eastAsia"/>
          <w:sz w:val="21"/>
        </w:rPr>
        <w:t>。</w:t>
      </w:r>
      <w:r w:rsidR="006706FF" w:rsidRPr="00730D93">
        <w:rPr>
          <w:rFonts w:eastAsiaTheme="minorEastAsia" w:hint="eastAsia"/>
          <w:sz w:val="21"/>
        </w:rPr>
        <w:t>负</w:t>
      </w:r>
      <w:r w:rsidR="000D25CE" w:rsidRPr="00730D93">
        <w:rPr>
          <w:rFonts w:eastAsiaTheme="minorEastAsia" w:hint="eastAsia"/>
          <w:sz w:val="21"/>
        </w:rPr>
        <w:t>利息可以看作是银行为维护瑞郎账户所收取的费用——因此其无异于一直都纳入预算的</w:t>
      </w:r>
      <w:r w:rsidR="006706FF" w:rsidRPr="00730D93">
        <w:rPr>
          <w:rFonts w:eastAsiaTheme="minorEastAsia" w:hint="eastAsia"/>
          <w:sz w:val="21"/>
        </w:rPr>
        <w:t>一般</w:t>
      </w:r>
      <w:r w:rsidR="000D25CE" w:rsidRPr="00730D93">
        <w:rPr>
          <w:rFonts w:eastAsiaTheme="minorEastAsia" w:hint="eastAsia"/>
          <w:sz w:val="21"/>
        </w:rPr>
        <w:t>银行</w:t>
      </w:r>
      <w:r w:rsidR="006706FF" w:rsidRPr="00730D93">
        <w:rPr>
          <w:rFonts w:eastAsiaTheme="minorEastAsia" w:hint="eastAsia"/>
          <w:sz w:val="21"/>
        </w:rPr>
        <w:t>手续</w:t>
      </w:r>
      <w:r w:rsidR="000D25CE" w:rsidRPr="00730D93">
        <w:rPr>
          <w:rFonts w:eastAsiaTheme="minorEastAsia" w:hint="eastAsia"/>
          <w:sz w:val="21"/>
        </w:rPr>
        <w:t>费。</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057080" w:rsidRPr="0044088F">
        <w:rPr>
          <w:b/>
          <w:bCs/>
          <w:sz w:val="21"/>
        </w:rPr>
        <w:t>8</w:t>
      </w:r>
      <w:r w:rsidRPr="0044088F">
        <w:rPr>
          <w:b/>
          <w:sz w:val="21"/>
        </w:rPr>
        <w:t>：</w:t>
      </w:r>
      <w:r w:rsidR="00C20951" w:rsidRPr="00730D93">
        <w:rPr>
          <w:rFonts w:eastAsiaTheme="minorEastAsia" w:hint="eastAsia"/>
          <w:b/>
          <w:sz w:val="21"/>
        </w:rPr>
        <w:t>如果成员国同意了新投资政策提案，是否仍需要为负利息拨备</w:t>
      </w:r>
      <w:r w:rsidR="00C20951" w:rsidRPr="00730D93">
        <w:rPr>
          <w:rFonts w:eastAsiaTheme="minorEastAsia" w:hint="eastAsia"/>
          <w:b/>
          <w:sz w:val="21"/>
        </w:rPr>
        <w:t>240</w:t>
      </w:r>
      <w:r w:rsidR="00C20951" w:rsidRPr="00730D93">
        <w:rPr>
          <w:rFonts w:eastAsiaTheme="minorEastAsia" w:hint="eastAsia"/>
          <w:b/>
          <w:sz w:val="21"/>
        </w:rPr>
        <w:t>万瑞郎？</w:t>
      </w:r>
    </w:p>
    <w:p w:rsidR="005A1670" w:rsidRPr="005A1670" w:rsidRDefault="0044088F" w:rsidP="005A1670">
      <w:pPr>
        <w:spacing w:afterLines="50" w:after="120" w:line="340" w:lineRule="atLeast"/>
        <w:jc w:val="both"/>
        <w:rPr>
          <w:bCs/>
          <w:sz w:val="21"/>
          <w:szCs w:val="22"/>
        </w:rPr>
      </w:pPr>
      <w:r w:rsidRPr="005A1670">
        <w:rPr>
          <w:bCs/>
          <w:sz w:val="21"/>
          <w:szCs w:val="22"/>
        </w:rPr>
        <w:t>答</w:t>
      </w:r>
      <w:r w:rsidR="00057080" w:rsidRPr="005A1670">
        <w:rPr>
          <w:bCs/>
          <w:sz w:val="21"/>
          <w:szCs w:val="22"/>
        </w:rPr>
        <w:t>8</w:t>
      </w:r>
      <w:r w:rsidRPr="005A1670">
        <w:rPr>
          <w:bCs/>
          <w:sz w:val="21"/>
          <w:szCs w:val="22"/>
        </w:rPr>
        <w:t>：</w:t>
      </w:r>
      <w:r w:rsidR="00C20951" w:rsidRPr="005A1670">
        <w:rPr>
          <w:rFonts w:hint="eastAsia"/>
          <w:bCs/>
          <w:sz w:val="21"/>
          <w:szCs w:val="22"/>
        </w:rPr>
        <w:t>请见对问题</w:t>
      </w:r>
      <w:r w:rsidR="00C20951" w:rsidRPr="005A1670">
        <w:rPr>
          <w:rFonts w:hint="eastAsia"/>
          <w:bCs/>
          <w:sz w:val="21"/>
          <w:szCs w:val="22"/>
        </w:rPr>
        <w:t>7</w:t>
      </w:r>
      <w:r w:rsidR="00C20951" w:rsidRPr="005A1670">
        <w:rPr>
          <w:rFonts w:hint="eastAsia"/>
          <w:bCs/>
          <w:sz w:val="21"/>
          <w:szCs w:val="22"/>
        </w:rPr>
        <w:t>的答复。</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057080" w:rsidRPr="0044088F">
        <w:rPr>
          <w:b/>
          <w:bCs/>
          <w:sz w:val="21"/>
        </w:rPr>
        <w:t>9</w:t>
      </w:r>
      <w:r w:rsidRPr="0044088F">
        <w:rPr>
          <w:b/>
          <w:bCs/>
          <w:sz w:val="21"/>
        </w:rPr>
        <w:t>：</w:t>
      </w:r>
      <w:r w:rsidR="00C20951" w:rsidRPr="00730D93">
        <w:rPr>
          <w:rFonts w:eastAsiaTheme="minorEastAsia" w:hint="eastAsia"/>
          <w:b/>
          <w:sz w:val="21"/>
        </w:rPr>
        <w:t>负利率会给财务结果带来哪些影响？</w:t>
      </w:r>
    </w:p>
    <w:p w:rsidR="005A1670" w:rsidRPr="00730D93" w:rsidRDefault="0044088F" w:rsidP="005A1670">
      <w:pPr>
        <w:spacing w:afterLines="50" w:after="120" w:line="340" w:lineRule="atLeast"/>
        <w:jc w:val="both"/>
        <w:rPr>
          <w:rFonts w:eastAsiaTheme="minorEastAsia"/>
          <w:sz w:val="21"/>
        </w:rPr>
      </w:pPr>
      <w:r>
        <w:rPr>
          <w:sz w:val="21"/>
        </w:rPr>
        <w:t>答</w:t>
      </w:r>
      <w:r w:rsidR="00057080" w:rsidRPr="0044088F">
        <w:rPr>
          <w:sz w:val="21"/>
        </w:rPr>
        <w:t>9</w:t>
      </w:r>
      <w:r w:rsidRPr="0044088F">
        <w:rPr>
          <w:sz w:val="21"/>
        </w:rPr>
        <w:t>：</w:t>
      </w:r>
      <w:r w:rsidR="00C20951" w:rsidRPr="00730D93">
        <w:rPr>
          <w:rFonts w:eastAsiaTheme="minorEastAsia" w:hint="eastAsia"/>
          <w:sz w:val="21"/>
        </w:rPr>
        <w:t>负利息</w:t>
      </w:r>
      <w:r w:rsidR="003D48D7" w:rsidRPr="00730D93">
        <w:rPr>
          <w:rFonts w:eastAsiaTheme="minorEastAsia" w:hint="eastAsia"/>
          <w:sz w:val="21"/>
        </w:rPr>
        <w:t>对于本组织显然属于</w:t>
      </w:r>
      <w:r w:rsidR="00C20951" w:rsidRPr="00730D93">
        <w:rPr>
          <w:rFonts w:eastAsiaTheme="minorEastAsia" w:hint="eastAsia"/>
          <w:sz w:val="21"/>
        </w:rPr>
        <w:t>成本，因此将被归入支出。这将造成总财务结果下调。</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4D3FE4" w:rsidRPr="0044088F">
        <w:rPr>
          <w:b/>
          <w:bCs/>
          <w:sz w:val="21"/>
        </w:rPr>
        <w:t>10</w:t>
      </w:r>
      <w:r w:rsidRPr="0044088F">
        <w:rPr>
          <w:b/>
          <w:bCs/>
          <w:sz w:val="21"/>
        </w:rPr>
        <w:t>：</w:t>
      </w:r>
      <w:r w:rsidR="00C20951" w:rsidRPr="00730D93">
        <w:rPr>
          <w:rFonts w:eastAsiaTheme="minorEastAsia" w:hint="eastAsia"/>
          <w:b/>
          <w:sz w:val="21"/>
        </w:rPr>
        <w:t>为负利率拨备</w:t>
      </w:r>
      <w:r w:rsidR="003D48D7" w:rsidRPr="00730D93">
        <w:rPr>
          <w:rFonts w:eastAsiaTheme="minorEastAsia" w:hint="eastAsia"/>
          <w:b/>
          <w:sz w:val="21"/>
        </w:rPr>
        <w:t>的</w:t>
      </w:r>
      <w:r w:rsidR="00C20951" w:rsidRPr="00730D93">
        <w:rPr>
          <w:rFonts w:eastAsiaTheme="minorEastAsia" w:hint="eastAsia"/>
          <w:b/>
          <w:sz w:val="21"/>
        </w:rPr>
        <w:t>240</w:t>
      </w:r>
      <w:r w:rsidR="00C20951" w:rsidRPr="00730D93">
        <w:rPr>
          <w:rFonts w:eastAsiaTheme="minorEastAsia" w:hint="eastAsia"/>
          <w:b/>
          <w:sz w:val="21"/>
        </w:rPr>
        <w:t>万瑞郎为什么没有反映在表</w:t>
      </w:r>
      <w:r w:rsidR="00C20951" w:rsidRPr="00730D93">
        <w:rPr>
          <w:rFonts w:eastAsiaTheme="minorEastAsia" w:hint="eastAsia"/>
          <w:b/>
          <w:sz w:val="21"/>
        </w:rPr>
        <w:t>3</w:t>
      </w:r>
      <w:r w:rsidR="006706FF" w:rsidRPr="00730D93">
        <w:rPr>
          <w:rFonts w:eastAsiaTheme="minorEastAsia" w:hint="eastAsia"/>
          <w:b/>
          <w:sz w:val="21"/>
        </w:rPr>
        <w:t>“</w:t>
      </w:r>
      <w:r w:rsidR="006706FF" w:rsidRPr="00730D93">
        <w:rPr>
          <w:rFonts w:eastAsiaTheme="minorEastAsia"/>
          <w:b/>
          <w:sz w:val="21"/>
        </w:rPr>
        <w:t>2006/07</w:t>
      </w:r>
      <w:r w:rsidR="006706FF" w:rsidRPr="00730D93">
        <w:rPr>
          <w:rFonts w:eastAsiaTheme="minorEastAsia" w:hint="eastAsia"/>
          <w:b/>
          <w:sz w:val="21"/>
        </w:rPr>
        <w:t>年至</w:t>
      </w:r>
      <w:r w:rsidR="006706FF" w:rsidRPr="00730D93">
        <w:rPr>
          <w:rFonts w:eastAsiaTheme="minorEastAsia"/>
          <w:b/>
          <w:sz w:val="21"/>
        </w:rPr>
        <w:t>2016/17</w:t>
      </w:r>
      <w:r w:rsidR="006706FF" w:rsidRPr="00730D93">
        <w:rPr>
          <w:rFonts w:eastAsiaTheme="minorEastAsia" w:hint="eastAsia"/>
          <w:b/>
          <w:sz w:val="21"/>
        </w:rPr>
        <w:t>年本组织收入的发展情况”</w:t>
      </w:r>
      <w:r w:rsidR="00C20951" w:rsidRPr="00730D93">
        <w:rPr>
          <w:rFonts w:eastAsiaTheme="minorEastAsia" w:hint="eastAsia"/>
          <w:b/>
          <w:sz w:val="21"/>
        </w:rPr>
        <w:t>中？</w:t>
      </w:r>
    </w:p>
    <w:p w:rsidR="005A1670" w:rsidRPr="00730D93" w:rsidRDefault="0044088F" w:rsidP="005A1670">
      <w:pPr>
        <w:spacing w:afterLines="50" w:after="120" w:line="340" w:lineRule="atLeast"/>
        <w:jc w:val="both"/>
        <w:rPr>
          <w:rFonts w:eastAsiaTheme="minorEastAsia"/>
          <w:sz w:val="21"/>
        </w:rPr>
      </w:pPr>
      <w:r>
        <w:rPr>
          <w:b/>
          <w:bCs/>
          <w:sz w:val="21"/>
        </w:rPr>
        <w:t>答</w:t>
      </w:r>
      <w:r w:rsidR="00EF77EB" w:rsidRPr="0044088F">
        <w:rPr>
          <w:b/>
          <w:bCs/>
          <w:sz w:val="21"/>
        </w:rPr>
        <w:t>10</w:t>
      </w:r>
      <w:r w:rsidR="005655C4" w:rsidRPr="0044088F">
        <w:rPr>
          <w:b/>
          <w:bCs/>
          <w:sz w:val="21"/>
        </w:rPr>
        <w:t>：</w:t>
      </w:r>
      <w:r w:rsidR="006706FF" w:rsidRPr="00730D93">
        <w:rPr>
          <w:rFonts w:eastAsiaTheme="minorEastAsia" w:hint="eastAsia"/>
          <w:sz w:val="21"/>
        </w:rPr>
        <w:t>负利率被列在融资成本</w:t>
      </w:r>
      <w:r w:rsidR="005A1670" w:rsidRPr="00730D93">
        <w:rPr>
          <w:rFonts w:eastAsiaTheme="minorEastAsia" w:hint="eastAsia"/>
          <w:sz w:val="21"/>
        </w:rPr>
        <w:t>（</w:t>
      </w:r>
      <w:r w:rsidR="006706FF" w:rsidRPr="00730D93">
        <w:rPr>
          <w:rFonts w:eastAsiaTheme="minorEastAsia" w:hint="eastAsia"/>
          <w:sz w:val="21"/>
        </w:rPr>
        <w:t>支出预算</w:t>
      </w:r>
      <w:r w:rsidR="005A1670" w:rsidRPr="00730D93">
        <w:rPr>
          <w:rFonts w:eastAsiaTheme="minorEastAsia" w:hint="eastAsia"/>
          <w:sz w:val="21"/>
        </w:rPr>
        <w:t>）</w:t>
      </w:r>
      <w:r w:rsidR="006706FF" w:rsidRPr="00730D93">
        <w:rPr>
          <w:rFonts w:eastAsiaTheme="minorEastAsia" w:hint="eastAsia"/>
          <w:sz w:val="21"/>
        </w:rPr>
        <w:t>下，因为负利率意味着向服务提供商</w:t>
      </w:r>
      <w:r w:rsidR="005A1670" w:rsidRPr="00730D93">
        <w:rPr>
          <w:rFonts w:eastAsiaTheme="minorEastAsia" w:hint="eastAsia"/>
          <w:sz w:val="21"/>
        </w:rPr>
        <w:t>（</w:t>
      </w:r>
      <w:r w:rsidR="006706FF" w:rsidRPr="00730D93">
        <w:rPr>
          <w:rFonts w:eastAsiaTheme="minorEastAsia" w:hint="eastAsia"/>
          <w:sz w:val="21"/>
        </w:rPr>
        <w:t>银行</w:t>
      </w:r>
      <w:r w:rsidR="005A1670" w:rsidRPr="00730D93">
        <w:rPr>
          <w:rFonts w:eastAsiaTheme="minorEastAsia" w:hint="eastAsia"/>
          <w:sz w:val="21"/>
        </w:rPr>
        <w:t>）</w:t>
      </w:r>
      <w:r w:rsidR="006706FF" w:rsidRPr="00730D93">
        <w:rPr>
          <w:rFonts w:eastAsiaTheme="minorEastAsia" w:hint="eastAsia"/>
          <w:sz w:val="21"/>
        </w:rPr>
        <w:t>支付费用。可将它们看作类似于银行手续费。</w:t>
      </w:r>
    </w:p>
    <w:p w:rsidR="0005708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057080" w:rsidRPr="0044088F">
        <w:rPr>
          <w:b/>
          <w:bCs/>
          <w:sz w:val="21"/>
        </w:rPr>
        <w:t>1</w:t>
      </w:r>
      <w:r w:rsidR="00EF77EB" w:rsidRPr="0044088F">
        <w:rPr>
          <w:b/>
          <w:bCs/>
          <w:sz w:val="21"/>
        </w:rPr>
        <w:t>1</w:t>
      </w:r>
      <w:r w:rsidRPr="0044088F">
        <w:rPr>
          <w:b/>
          <w:bCs/>
          <w:sz w:val="21"/>
        </w:rPr>
        <w:t>：</w:t>
      </w:r>
      <w:r w:rsidR="006706FF" w:rsidRPr="00730D93">
        <w:rPr>
          <w:rFonts w:eastAsiaTheme="minorEastAsia" w:hint="eastAsia"/>
          <w:b/>
          <w:sz w:val="21"/>
        </w:rPr>
        <w:t>2014/15</w:t>
      </w:r>
      <w:r w:rsidR="006706FF" w:rsidRPr="00730D93">
        <w:rPr>
          <w:rFonts w:eastAsiaTheme="minorEastAsia" w:hint="eastAsia"/>
          <w:b/>
          <w:sz w:val="21"/>
        </w:rPr>
        <w:t>两年期调剂使用后预算</w:t>
      </w:r>
      <w:r w:rsidR="00212738" w:rsidRPr="00730D93">
        <w:rPr>
          <w:rFonts w:eastAsiaTheme="minorEastAsia" w:hint="eastAsia"/>
          <w:b/>
          <w:sz w:val="21"/>
        </w:rPr>
        <w:t>截至</w:t>
      </w:r>
      <w:r w:rsidR="00212738" w:rsidRPr="00730D93">
        <w:rPr>
          <w:rFonts w:eastAsiaTheme="minorEastAsia" w:hint="eastAsia"/>
          <w:b/>
          <w:sz w:val="21"/>
        </w:rPr>
        <w:t>2015</w:t>
      </w:r>
      <w:r w:rsidR="00212738" w:rsidRPr="00730D93">
        <w:rPr>
          <w:rFonts w:eastAsiaTheme="minorEastAsia" w:hint="eastAsia"/>
          <w:b/>
          <w:sz w:val="21"/>
        </w:rPr>
        <w:t>年</w:t>
      </w:r>
      <w:r w:rsidR="00212738" w:rsidRPr="00730D93">
        <w:rPr>
          <w:rFonts w:eastAsiaTheme="minorEastAsia" w:hint="eastAsia"/>
          <w:b/>
          <w:sz w:val="21"/>
        </w:rPr>
        <w:t>3</w:t>
      </w:r>
      <w:r w:rsidR="00212738" w:rsidRPr="00730D93">
        <w:rPr>
          <w:rFonts w:eastAsiaTheme="minorEastAsia" w:hint="eastAsia"/>
          <w:b/>
          <w:sz w:val="21"/>
        </w:rPr>
        <w:t>月底。是否会为</w:t>
      </w:r>
      <w:r w:rsidR="00212738" w:rsidRPr="00730D93">
        <w:rPr>
          <w:rFonts w:eastAsiaTheme="minorEastAsia" w:hint="eastAsia"/>
          <w:b/>
          <w:sz w:val="21"/>
        </w:rPr>
        <w:t>2015</w:t>
      </w:r>
      <w:r w:rsidR="00212738" w:rsidRPr="00730D93">
        <w:rPr>
          <w:rFonts w:eastAsiaTheme="minorEastAsia" w:hint="eastAsia"/>
          <w:b/>
          <w:sz w:val="21"/>
        </w:rPr>
        <w:t>年</w:t>
      </w:r>
      <w:r w:rsidR="00212738" w:rsidRPr="00730D93">
        <w:rPr>
          <w:rFonts w:eastAsiaTheme="minorEastAsia" w:hint="eastAsia"/>
          <w:b/>
          <w:sz w:val="21"/>
        </w:rPr>
        <w:t>9</w:t>
      </w:r>
      <w:r w:rsidR="00212738" w:rsidRPr="00730D93">
        <w:rPr>
          <w:rFonts w:eastAsiaTheme="minorEastAsia" w:hint="eastAsia"/>
          <w:b/>
          <w:sz w:val="21"/>
        </w:rPr>
        <w:t>月的</w:t>
      </w:r>
      <w:r w:rsidR="00212738" w:rsidRPr="00730D93">
        <w:rPr>
          <w:rFonts w:eastAsiaTheme="minorEastAsia" w:hint="eastAsia"/>
          <w:b/>
          <w:sz w:val="21"/>
        </w:rPr>
        <w:t>PBC</w:t>
      </w:r>
      <w:r w:rsidR="00212738" w:rsidRPr="00730D93">
        <w:rPr>
          <w:rFonts w:eastAsiaTheme="minorEastAsia" w:hint="eastAsia"/>
          <w:b/>
          <w:sz w:val="21"/>
        </w:rPr>
        <w:t>会议对调剂使用后预算进行更新？</w:t>
      </w:r>
    </w:p>
    <w:p w:rsidR="005A1670" w:rsidRPr="00730D93" w:rsidRDefault="0044088F" w:rsidP="005A1670">
      <w:pPr>
        <w:spacing w:afterLines="50" w:after="120" w:line="340" w:lineRule="atLeast"/>
        <w:jc w:val="both"/>
        <w:rPr>
          <w:rFonts w:eastAsiaTheme="minorEastAsia"/>
          <w:bCs/>
          <w:sz w:val="21"/>
        </w:rPr>
      </w:pPr>
      <w:r>
        <w:rPr>
          <w:bCs/>
          <w:sz w:val="21"/>
        </w:rPr>
        <w:t>答</w:t>
      </w:r>
      <w:r w:rsidR="00057080" w:rsidRPr="0044088F">
        <w:rPr>
          <w:bCs/>
          <w:sz w:val="21"/>
        </w:rPr>
        <w:t>1</w:t>
      </w:r>
      <w:r w:rsidR="00EF77EB" w:rsidRPr="0044088F">
        <w:rPr>
          <w:bCs/>
          <w:sz w:val="21"/>
        </w:rPr>
        <w:t>1</w:t>
      </w:r>
      <w:r w:rsidRPr="0044088F">
        <w:rPr>
          <w:bCs/>
          <w:sz w:val="21"/>
        </w:rPr>
        <w:t>：</w:t>
      </w:r>
      <w:r w:rsidR="00212738" w:rsidRPr="0044088F">
        <w:rPr>
          <w:bCs/>
          <w:sz w:val="21"/>
        </w:rPr>
        <w:t>2014/15</w:t>
      </w:r>
      <w:r w:rsidR="00212738" w:rsidRPr="0044088F">
        <w:rPr>
          <w:rFonts w:hint="eastAsia"/>
          <w:bCs/>
          <w:sz w:val="21"/>
        </w:rPr>
        <w:t>两年期调剂使用后预算</w:t>
      </w:r>
      <w:r w:rsidR="00566288" w:rsidRPr="00730D93">
        <w:rPr>
          <w:rFonts w:eastAsiaTheme="minorEastAsia" w:hint="eastAsia"/>
          <w:bCs/>
          <w:sz w:val="21"/>
        </w:rPr>
        <w:t>截至</w:t>
      </w:r>
      <w:r w:rsidR="00566288" w:rsidRPr="00730D93">
        <w:rPr>
          <w:rFonts w:eastAsiaTheme="minorEastAsia" w:hint="eastAsia"/>
          <w:bCs/>
          <w:sz w:val="21"/>
        </w:rPr>
        <w:t>2015</w:t>
      </w:r>
      <w:r w:rsidR="00566288" w:rsidRPr="00730D93">
        <w:rPr>
          <w:rFonts w:eastAsiaTheme="minorEastAsia" w:hint="eastAsia"/>
          <w:bCs/>
          <w:sz w:val="21"/>
        </w:rPr>
        <w:t>年</w:t>
      </w:r>
      <w:r w:rsidR="00566288" w:rsidRPr="00730D93">
        <w:rPr>
          <w:rFonts w:eastAsiaTheme="minorEastAsia" w:hint="eastAsia"/>
          <w:bCs/>
          <w:sz w:val="21"/>
        </w:rPr>
        <w:t>3</w:t>
      </w:r>
      <w:r w:rsidR="00566288" w:rsidRPr="00730D93">
        <w:rPr>
          <w:rFonts w:eastAsiaTheme="minorEastAsia" w:hint="eastAsia"/>
          <w:bCs/>
          <w:sz w:val="21"/>
        </w:rPr>
        <w:t>月</w:t>
      </w:r>
      <w:r w:rsidR="00566288" w:rsidRPr="00730D93">
        <w:rPr>
          <w:rFonts w:eastAsiaTheme="minorEastAsia" w:hint="eastAsia"/>
          <w:bCs/>
          <w:sz w:val="21"/>
        </w:rPr>
        <w:t>31</w:t>
      </w:r>
      <w:r w:rsidR="00566288" w:rsidRPr="00730D93">
        <w:rPr>
          <w:rFonts w:eastAsiaTheme="minorEastAsia" w:hint="eastAsia"/>
          <w:bCs/>
          <w:sz w:val="21"/>
        </w:rPr>
        <w:t>日。最终的</w:t>
      </w:r>
      <w:r w:rsidR="00566288" w:rsidRPr="00730D93">
        <w:rPr>
          <w:rFonts w:eastAsiaTheme="minorEastAsia"/>
          <w:bCs/>
          <w:sz w:val="21"/>
        </w:rPr>
        <w:t>2014/15</w:t>
      </w:r>
      <w:r w:rsidR="00566288" w:rsidRPr="00730D93">
        <w:rPr>
          <w:rFonts w:eastAsiaTheme="minorEastAsia" w:hint="eastAsia"/>
          <w:bCs/>
          <w:sz w:val="21"/>
        </w:rPr>
        <w:t>两年期调剂使用后预算将在</w:t>
      </w:r>
      <w:r w:rsidR="00566288" w:rsidRPr="00730D93">
        <w:rPr>
          <w:rFonts w:eastAsiaTheme="minorEastAsia" w:hint="eastAsia"/>
          <w:bCs/>
          <w:sz w:val="21"/>
        </w:rPr>
        <w:t>2014/15</w:t>
      </w:r>
      <w:r w:rsidR="00566288" w:rsidRPr="00730D93">
        <w:rPr>
          <w:rFonts w:eastAsiaTheme="minorEastAsia" w:hint="eastAsia"/>
          <w:bCs/>
          <w:sz w:val="21"/>
        </w:rPr>
        <w:t>两年期</w:t>
      </w:r>
      <w:r w:rsidR="00566288" w:rsidRPr="005A1670">
        <w:rPr>
          <w:rFonts w:hint="eastAsia"/>
          <w:bCs/>
          <w:sz w:val="21"/>
          <w:szCs w:val="22"/>
        </w:rPr>
        <w:t>计划</w:t>
      </w:r>
      <w:r w:rsidR="00566288" w:rsidRPr="00730D93">
        <w:rPr>
          <w:rFonts w:eastAsiaTheme="minorEastAsia" w:hint="eastAsia"/>
          <w:bCs/>
          <w:sz w:val="21"/>
        </w:rPr>
        <w:t>绩效报告中进行报告。</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lastRenderedPageBreak/>
        <w:t>问</w:t>
      </w:r>
      <w:r w:rsidR="00193020" w:rsidRPr="0044088F">
        <w:rPr>
          <w:b/>
          <w:sz w:val="21"/>
        </w:rPr>
        <w:t>1</w:t>
      </w:r>
      <w:r w:rsidR="00EF77EB" w:rsidRPr="0044088F">
        <w:rPr>
          <w:b/>
          <w:sz w:val="21"/>
        </w:rPr>
        <w:t>2</w:t>
      </w:r>
      <w:r w:rsidRPr="0044088F">
        <w:rPr>
          <w:b/>
          <w:sz w:val="21"/>
        </w:rPr>
        <w:t>：</w:t>
      </w:r>
      <w:r w:rsidR="00566288" w:rsidRPr="00730D93">
        <w:rPr>
          <w:rFonts w:eastAsiaTheme="minorEastAsia" w:hint="eastAsia"/>
          <w:b/>
          <w:sz w:val="21"/>
        </w:rPr>
        <w:t>第</w:t>
      </w:r>
      <w:r w:rsidR="00566288" w:rsidRPr="00730D93">
        <w:rPr>
          <w:rFonts w:eastAsiaTheme="minorEastAsia" w:hint="eastAsia"/>
          <w:b/>
          <w:sz w:val="21"/>
        </w:rPr>
        <w:t>8</w:t>
      </w:r>
      <w:r w:rsidR="00566288" w:rsidRPr="00730D93">
        <w:rPr>
          <w:rFonts w:eastAsiaTheme="minorEastAsia" w:hint="eastAsia"/>
          <w:b/>
          <w:sz w:val="21"/>
        </w:rPr>
        <w:t>节表示杂项收入预计将保持稳定，但表</w:t>
      </w:r>
      <w:r w:rsidR="00566288" w:rsidRPr="00730D93">
        <w:rPr>
          <w:rFonts w:eastAsiaTheme="minorEastAsia" w:hint="eastAsia"/>
          <w:b/>
          <w:sz w:val="21"/>
        </w:rPr>
        <w:t>3</w:t>
      </w:r>
      <w:r w:rsidR="00566288" w:rsidRPr="00730D93">
        <w:rPr>
          <w:rFonts w:ascii="KaiTi" w:eastAsia="KaiTi" w:hAnsi="KaiTi" w:hint="eastAsia"/>
          <w:b/>
          <w:i/>
          <w:sz w:val="21"/>
        </w:rPr>
        <w:t>“</w:t>
      </w:r>
      <w:r w:rsidR="00566288" w:rsidRPr="00730D93">
        <w:rPr>
          <w:rFonts w:ascii="KaiTi" w:eastAsia="KaiTi" w:hAnsi="KaiTi"/>
          <w:b/>
          <w:i/>
          <w:sz w:val="21"/>
        </w:rPr>
        <w:t>2006/07</w:t>
      </w:r>
      <w:r w:rsidR="00566288" w:rsidRPr="00730D93">
        <w:rPr>
          <w:rFonts w:ascii="KaiTi" w:eastAsia="KaiTi" w:hAnsi="KaiTi" w:hint="eastAsia"/>
          <w:b/>
          <w:i/>
          <w:sz w:val="21"/>
        </w:rPr>
        <w:t>年至</w:t>
      </w:r>
      <w:r w:rsidR="00566288" w:rsidRPr="00730D93">
        <w:rPr>
          <w:rFonts w:ascii="KaiTi" w:eastAsia="KaiTi" w:hAnsi="KaiTi"/>
          <w:b/>
          <w:i/>
          <w:sz w:val="21"/>
        </w:rPr>
        <w:t>2016/17</w:t>
      </w:r>
      <w:r w:rsidR="00566288" w:rsidRPr="00730D93">
        <w:rPr>
          <w:rFonts w:ascii="KaiTi" w:eastAsia="KaiTi" w:hAnsi="KaiTi" w:hint="eastAsia"/>
          <w:b/>
          <w:i/>
          <w:sz w:val="21"/>
        </w:rPr>
        <w:t>年本组织收入的发展情况”</w:t>
      </w:r>
      <w:r w:rsidR="00566288" w:rsidRPr="00730D93">
        <w:rPr>
          <w:rFonts w:eastAsiaTheme="minorEastAsia" w:hint="eastAsia"/>
          <w:b/>
          <w:sz w:val="21"/>
        </w:rPr>
        <w:t>显示，</w:t>
      </w:r>
      <w:r w:rsidR="00566288" w:rsidRPr="00730D93">
        <w:rPr>
          <w:rFonts w:eastAsiaTheme="minorEastAsia" w:hint="eastAsia"/>
          <w:b/>
          <w:sz w:val="21"/>
        </w:rPr>
        <w:t>2016/17</w:t>
      </w:r>
      <w:r w:rsidR="00566288" w:rsidRPr="00730D93">
        <w:rPr>
          <w:rFonts w:eastAsiaTheme="minorEastAsia" w:hint="eastAsia"/>
          <w:b/>
          <w:sz w:val="21"/>
        </w:rPr>
        <w:t>两年期的概算显著低于目前</w:t>
      </w:r>
      <w:r w:rsidR="00566288" w:rsidRPr="00730D93">
        <w:rPr>
          <w:rFonts w:eastAsiaTheme="minorEastAsia" w:hint="eastAsia"/>
          <w:b/>
          <w:sz w:val="21"/>
        </w:rPr>
        <w:t>2014/15</w:t>
      </w:r>
      <w:r w:rsidR="00566288" w:rsidRPr="00730D93">
        <w:rPr>
          <w:rFonts w:eastAsiaTheme="minorEastAsia" w:hint="eastAsia"/>
          <w:b/>
          <w:sz w:val="21"/>
        </w:rPr>
        <w:t>两年期的概算。这是为什么？</w:t>
      </w:r>
    </w:p>
    <w:p w:rsidR="005A1670" w:rsidRPr="00730D93" w:rsidRDefault="0044088F" w:rsidP="005A1670">
      <w:pPr>
        <w:spacing w:afterLines="50" w:after="120" w:line="340" w:lineRule="atLeast"/>
        <w:jc w:val="both"/>
        <w:rPr>
          <w:rFonts w:eastAsiaTheme="minorEastAsia"/>
          <w:sz w:val="21"/>
        </w:rPr>
      </w:pPr>
      <w:r>
        <w:rPr>
          <w:sz w:val="21"/>
          <w:szCs w:val="22"/>
        </w:rPr>
        <w:t>答</w:t>
      </w:r>
      <w:r w:rsidR="00193020" w:rsidRPr="0044088F">
        <w:rPr>
          <w:sz w:val="21"/>
          <w:szCs w:val="22"/>
        </w:rPr>
        <w:t>1</w:t>
      </w:r>
      <w:r w:rsidR="00EF77EB" w:rsidRPr="0044088F">
        <w:rPr>
          <w:sz w:val="21"/>
          <w:szCs w:val="22"/>
        </w:rPr>
        <w:t>2</w:t>
      </w:r>
      <w:r w:rsidRPr="0044088F">
        <w:rPr>
          <w:sz w:val="21"/>
          <w:szCs w:val="22"/>
        </w:rPr>
        <w:t>：</w:t>
      </w:r>
      <w:r w:rsidR="00566288" w:rsidRPr="00730D93">
        <w:rPr>
          <w:rFonts w:eastAsiaTheme="minorEastAsia" w:hint="eastAsia"/>
          <w:sz w:val="21"/>
        </w:rPr>
        <w:t>2016/17</w:t>
      </w:r>
      <w:r w:rsidR="00566288" w:rsidRPr="00730D93">
        <w:rPr>
          <w:rFonts w:eastAsiaTheme="minorEastAsia" w:hint="eastAsia"/>
          <w:sz w:val="21"/>
        </w:rPr>
        <w:t>两年期杂项</w:t>
      </w:r>
      <w:r w:rsidR="00566288" w:rsidRPr="005A1670">
        <w:rPr>
          <w:rFonts w:hint="eastAsia"/>
          <w:bCs/>
          <w:sz w:val="21"/>
          <w:szCs w:val="22"/>
        </w:rPr>
        <w:t>收入</w:t>
      </w:r>
      <w:r w:rsidR="00566288" w:rsidRPr="00730D93">
        <w:rPr>
          <w:rFonts w:eastAsiaTheme="minorEastAsia" w:hint="eastAsia"/>
          <w:sz w:val="21"/>
        </w:rPr>
        <w:t>与</w:t>
      </w:r>
      <w:r w:rsidR="00566288" w:rsidRPr="00730D93">
        <w:rPr>
          <w:rFonts w:eastAsiaTheme="minorEastAsia" w:hint="eastAsia"/>
          <w:sz w:val="21"/>
        </w:rPr>
        <w:t>2014/15</w:t>
      </w:r>
      <w:r w:rsidR="00566288" w:rsidRPr="00730D93">
        <w:rPr>
          <w:rFonts w:eastAsiaTheme="minorEastAsia" w:hint="eastAsia"/>
          <w:sz w:val="21"/>
        </w:rPr>
        <w:t>两年期核定预算持平</w:t>
      </w:r>
      <w:r w:rsidR="005A1670" w:rsidRPr="00730D93">
        <w:rPr>
          <w:rFonts w:eastAsiaTheme="minorEastAsia" w:hint="eastAsia"/>
          <w:sz w:val="21"/>
        </w:rPr>
        <w:t>（</w:t>
      </w:r>
      <w:r w:rsidR="00566288" w:rsidRPr="00730D93">
        <w:rPr>
          <w:rFonts w:eastAsiaTheme="minorEastAsia" w:hint="eastAsia"/>
          <w:sz w:val="21"/>
        </w:rPr>
        <w:t>请见表</w:t>
      </w:r>
      <w:r w:rsidR="00566288" w:rsidRPr="00730D93">
        <w:rPr>
          <w:rFonts w:eastAsiaTheme="minorEastAsia" w:hint="eastAsia"/>
          <w:sz w:val="21"/>
        </w:rPr>
        <w:t>3</w:t>
      </w:r>
      <w:r w:rsidR="00566288" w:rsidRPr="00730D93">
        <w:rPr>
          <w:rFonts w:eastAsiaTheme="minorEastAsia" w:hint="eastAsia"/>
          <w:sz w:val="21"/>
        </w:rPr>
        <w:t>最后一栏</w:t>
      </w:r>
      <w:r w:rsidR="005A1670" w:rsidRPr="00730D93">
        <w:rPr>
          <w:rFonts w:eastAsiaTheme="minorEastAsia" w:hint="eastAsia"/>
          <w:sz w:val="21"/>
        </w:rPr>
        <w:t>）</w:t>
      </w:r>
      <w:r w:rsidR="00566288" w:rsidRPr="00730D93">
        <w:rPr>
          <w:rFonts w:eastAsiaTheme="minorEastAsia" w:hint="eastAsia"/>
          <w:sz w:val="21"/>
        </w:rPr>
        <w:t>。</w:t>
      </w:r>
      <w:r w:rsidR="00566288" w:rsidRPr="00730D93">
        <w:rPr>
          <w:rFonts w:eastAsiaTheme="minorEastAsia" w:hint="eastAsia"/>
          <w:sz w:val="21"/>
        </w:rPr>
        <w:t>2014/15</w:t>
      </w:r>
      <w:r w:rsidR="00566288" w:rsidRPr="00730D93">
        <w:rPr>
          <w:rFonts w:eastAsiaTheme="minorEastAsia" w:hint="eastAsia"/>
          <w:sz w:val="21"/>
        </w:rPr>
        <w:t>两年期的目前概算高于</w:t>
      </w:r>
      <w:r w:rsidR="00566288" w:rsidRPr="00730D93">
        <w:rPr>
          <w:rFonts w:eastAsiaTheme="minorEastAsia" w:hint="eastAsia"/>
          <w:sz w:val="21"/>
        </w:rPr>
        <w:t>2014/15</w:t>
      </w:r>
      <w:r w:rsidR="00566288" w:rsidRPr="00730D93">
        <w:rPr>
          <w:rFonts w:eastAsiaTheme="minorEastAsia" w:hint="eastAsia"/>
          <w:sz w:val="21"/>
        </w:rPr>
        <w:t>两年期核定预算，这是由于受到汇率估值的正面影响，以及</w:t>
      </w:r>
      <w:r w:rsidR="007F3C5A" w:rsidRPr="00730D93">
        <w:rPr>
          <w:rFonts w:eastAsiaTheme="minorEastAsia" w:hint="eastAsia"/>
          <w:sz w:val="21"/>
        </w:rPr>
        <w:t>在</w:t>
      </w:r>
      <w:r w:rsidR="007F3C5A" w:rsidRPr="00730D93">
        <w:rPr>
          <w:rFonts w:eastAsiaTheme="minorEastAsia" w:hint="eastAsia"/>
          <w:sz w:val="21"/>
        </w:rPr>
        <w:t>2014</w:t>
      </w:r>
      <w:r w:rsidR="007F3C5A" w:rsidRPr="00730D93">
        <w:rPr>
          <w:rFonts w:eastAsiaTheme="minorEastAsia" w:hint="eastAsia"/>
          <w:sz w:val="21"/>
        </w:rPr>
        <w:t>年针对之前若干年作出的正</w:t>
      </w:r>
      <w:r w:rsidR="007F3C5A" w:rsidRPr="005A1670">
        <w:rPr>
          <w:rFonts w:hint="eastAsia"/>
          <w:bCs/>
          <w:sz w:val="21"/>
          <w:szCs w:val="22"/>
        </w:rPr>
        <w:t>会计</w:t>
      </w:r>
      <w:r w:rsidR="007F3C5A" w:rsidRPr="00730D93">
        <w:rPr>
          <w:rFonts w:eastAsiaTheme="minorEastAsia" w:hint="eastAsia"/>
          <w:sz w:val="21"/>
        </w:rPr>
        <w:t>调整高于预期。</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3D469B" w:rsidRPr="0044088F">
        <w:rPr>
          <w:b/>
          <w:sz w:val="21"/>
        </w:rPr>
        <w:t>1</w:t>
      </w:r>
      <w:r w:rsidR="00EF77EB" w:rsidRPr="0044088F">
        <w:rPr>
          <w:b/>
          <w:sz w:val="21"/>
        </w:rPr>
        <w:t>3</w:t>
      </w:r>
      <w:r w:rsidRPr="0044088F">
        <w:rPr>
          <w:b/>
          <w:sz w:val="21"/>
        </w:rPr>
        <w:t>：</w:t>
      </w:r>
      <w:r w:rsidR="007F3C5A" w:rsidRPr="00730D93">
        <w:rPr>
          <w:rFonts w:eastAsiaTheme="minorEastAsia" w:hint="eastAsia"/>
          <w:b/>
          <w:sz w:val="21"/>
        </w:rPr>
        <w:t>是否可以提供</w:t>
      </w:r>
      <w:r w:rsidR="007F3C5A" w:rsidRPr="00730D93">
        <w:rPr>
          <w:rFonts w:eastAsiaTheme="minorEastAsia" w:hint="eastAsia"/>
          <w:b/>
          <w:sz w:val="21"/>
        </w:rPr>
        <w:t>2016/17</w:t>
      </w:r>
      <w:r w:rsidR="007F3C5A" w:rsidRPr="00730D93">
        <w:rPr>
          <w:rFonts w:eastAsiaTheme="minorEastAsia" w:hint="eastAsia"/>
          <w:b/>
          <w:sz w:val="21"/>
        </w:rPr>
        <w:t>两年期杂项收入预算的明细？</w:t>
      </w:r>
    </w:p>
    <w:p w:rsidR="005A1670" w:rsidRPr="00730D93" w:rsidRDefault="0044088F" w:rsidP="005A1670">
      <w:pPr>
        <w:spacing w:afterLines="50" w:after="120" w:line="340" w:lineRule="atLeast"/>
        <w:jc w:val="both"/>
        <w:rPr>
          <w:rFonts w:eastAsiaTheme="minorEastAsia"/>
          <w:sz w:val="21"/>
        </w:rPr>
      </w:pPr>
      <w:r>
        <w:rPr>
          <w:sz w:val="21"/>
        </w:rPr>
        <w:t>答</w:t>
      </w:r>
      <w:r w:rsidR="003D469B" w:rsidRPr="0044088F">
        <w:rPr>
          <w:sz w:val="21"/>
        </w:rPr>
        <w:t>1</w:t>
      </w:r>
      <w:r w:rsidR="00EF77EB" w:rsidRPr="0044088F">
        <w:rPr>
          <w:sz w:val="21"/>
        </w:rPr>
        <w:t>3</w:t>
      </w:r>
      <w:r w:rsidRPr="0044088F">
        <w:rPr>
          <w:sz w:val="21"/>
        </w:rPr>
        <w:t>：</w:t>
      </w:r>
      <w:r w:rsidR="007F3C5A" w:rsidRPr="00730D93">
        <w:rPr>
          <w:rFonts w:eastAsiaTheme="minorEastAsia" w:hint="eastAsia"/>
          <w:sz w:val="21"/>
        </w:rPr>
        <w:t>杂项收入包括会议和培训课程的注册费、</w:t>
      </w:r>
      <w:r w:rsidR="007F3C5A" w:rsidRPr="00730D93">
        <w:rPr>
          <w:rFonts w:eastAsiaTheme="minorEastAsia" w:hint="eastAsia"/>
          <w:sz w:val="21"/>
        </w:rPr>
        <w:t>WIPO</w:t>
      </w:r>
      <w:r w:rsidR="007F3C5A" w:rsidRPr="00730D93">
        <w:rPr>
          <w:rFonts w:eastAsiaTheme="minorEastAsia" w:hint="eastAsia"/>
          <w:sz w:val="21"/>
        </w:rPr>
        <w:t>承办并由信托基金供资的预算外活动的</w:t>
      </w:r>
      <w:r w:rsidR="003D48D7" w:rsidRPr="00730D93">
        <w:rPr>
          <w:rFonts w:eastAsiaTheme="minorEastAsia" w:hint="eastAsia"/>
          <w:sz w:val="21"/>
        </w:rPr>
        <w:t>支助</w:t>
      </w:r>
      <w:r w:rsidR="007F3C5A" w:rsidRPr="00730D93">
        <w:rPr>
          <w:rFonts w:eastAsiaTheme="minorEastAsia" w:hint="eastAsia"/>
          <w:sz w:val="21"/>
        </w:rPr>
        <w:t>费用、之前若干年的会计调整</w:t>
      </w:r>
      <w:r w:rsidR="005A1670" w:rsidRPr="00730D93">
        <w:rPr>
          <w:rFonts w:eastAsiaTheme="minorEastAsia" w:hint="eastAsia"/>
          <w:sz w:val="21"/>
        </w:rPr>
        <w:t>（</w:t>
      </w:r>
      <w:r w:rsidR="007F3C5A" w:rsidRPr="00730D93">
        <w:rPr>
          <w:rFonts w:eastAsiaTheme="minorEastAsia" w:hint="eastAsia"/>
          <w:sz w:val="21"/>
        </w:rPr>
        <w:t>信贷</w:t>
      </w:r>
      <w:r w:rsidR="005A1670" w:rsidRPr="00730D93">
        <w:rPr>
          <w:rFonts w:eastAsiaTheme="minorEastAsia" w:hint="eastAsia"/>
          <w:sz w:val="21"/>
        </w:rPr>
        <w:t>）</w:t>
      </w:r>
      <w:r w:rsidR="007F3C5A" w:rsidRPr="00730D93">
        <w:rPr>
          <w:rFonts w:eastAsiaTheme="minorEastAsia" w:hint="eastAsia"/>
          <w:sz w:val="21"/>
        </w:rPr>
        <w:t>、货币调整以及</w:t>
      </w:r>
      <w:r w:rsidR="007F3C5A" w:rsidRPr="00730D93">
        <w:rPr>
          <w:rFonts w:eastAsiaTheme="minorEastAsia" w:hint="eastAsia"/>
          <w:sz w:val="21"/>
        </w:rPr>
        <w:t>UPOV</w:t>
      </w:r>
      <w:r w:rsidR="007F3C5A" w:rsidRPr="00730D93">
        <w:rPr>
          <w:rFonts w:eastAsiaTheme="minorEastAsia" w:hint="eastAsia"/>
          <w:sz w:val="21"/>
        </w:rPr>
        <w:t>为行政</w:t>
      </w:r>
      <w:r w:rsidR="003D48D7" w:rsidRPr="00730D93">
        <w:rPr>
          <w:rFonts w:eastAsiaTheme="minorEastAsia" w:hint="eastAsia"/>
          <w:sz w:val="21"/>
        </w:rPr>
        <w:t>支助</w:t>
      </w:r>
      <w:r w:rsidR="007F3C5A" w:rsidRPr="00730D93">
        <w:rPr>
          <w:rFonts w:eastAsiaTheme="minorEastAsia" w:hint="eastAsia"/>
          <w:sz w:val="21"/>
        </w:rPr>
        <w:t>服务而支付给</w:t>
      </w:r>
      <w:r w:rsidR="007F3C5A" w:rsidRPr="00730D93">
        <w:rPr>
          <w:rFonts w:eastAsiaTheme="minorEastAsia" w:hint="eastAsia"/>
          <w:sz w:val="21"/>
        </w:rPr>
        <w:t>WIPO</w:t>
      </w:r>
      <w:r w:rsidR="003D48D7" w:rsidRPr="00730D93">
        <w:rPr>
          <w:rFonts w:eastAsiaTheme="minorEastAsia" w:hint="eastAsia"/>
          <w:sz w:val="21"/>
        </w:rPr>
        <w:t>的</w:t>
      </w:r>
      <w:r w:rsidR="007F3C5A" w:rsidRPr="00730D93">
        <w:rPr>
          <w:rFonts w:eastAsiaTheme="minorEastAsia" w:hint="eastAsia"/>
          <w:sz w:val="21"/>
        </w:rPr>
        <w:t>费用</w:t>
      </w:r>
      <w:r w:rsidR="005A1670" w:rsidRPr="00730D93">
        <w:rPr>
          <w:rFonts w:eastAsiaTheme="minorEastAsia" w:hint="eastAsia"/>
          <w:sz w:val="21"/>
        </w:rPr>
        <w:t>（</w:t>
      </w:r>
      <w:r w:rsidR="007F3C5A" w:rsidRPr="00730D93">
        <w:rPr>
          <w:rFonts w:eastAsiaTheme="minorEastAsia" w:hint="eastAsia"/>
          <w:sz w:val="21"/>
        </w:rPr>
        <w:t>另见附录</w:t>
      </w:r>
      <w:r w:rsidR="007F3C5A" w:rsidRPr="00730D93">
        <w:rPr>
          <w:rFonts w:eastAsiaTheme="minorEastAsia" w:hint="eastAsia"/>
          <w:sz w:val="21"/>
        </w:rPr>
        <w:t>B</w:t>
      </w:r>
      <w:r w:rsidR="007F3C5A" w:rsidRPr="00730D93">
        <w:rPr>
          <w:rFonts w:eastAsiaTheme="minorEastAsia" w:hint="eastAsia"/>
          <w:sz w:val="21"/>
        </w:rPr>
        <w:t>中的费用类别定义</w:t>
      </w:r>
      <w:r w:rsidR="005A1670" w:rsidRPr="00730D93">
        <w:rPr>
          <w:rFonts w:eastAsiaTheme="minorEastAsia" w:hint="eastAsia"/>
          <w:sz w:val="21"/>
        </w:rPr>
        <w:t>）</w:t>
      </w:r>
      <w:r w:rsidR="007F3C5A"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17C4B" w:rsidRPr="0044088F">
        <w:rPr>
          <w:b/>
          <w:sz w:val="21"/>
        </w:rPr>
        <w:t>14</w:t>
      </w:r>
      <w:r w:rsidRPr="0044088F">
        <w:rPr>
          <w:b/>
          <w:sz w:val="21"/>
        </w:rPr>
        <w:t>：</w:t>
      </w:r>
      <w:r w:rsidR="00DF5232" w:rsidRPr="00730D93">
        <w:rPr>
          <w:rFonts w:eastAsiaTheme="minorEastAsia" w:hint="eastAsia"/>
          <w:b/>
          <w:sz w:val="21"/>
        </w:rPr>
        <w:t>表</w:t>
      </w:r>
      <w:r w:rsidR="00DF5232" w:rsidRPr="00730D93">
        <w:rPr>
          <w:rFonts w:eastAsiaTheme="minorEastAsia" w:hint="eastAsia"/>
          <w:b/>
          <w:sz w:val="21"/>
        </w:rPr>
        <w:t>5</w:t>
      </w:r>
      <w:r w:rsidR="00DF5232" w:rsidRPr="00730D93">
        <w:rPr>
          <w:rFonts w:eastAsiaTheme="minorEastAsia" w:hint="eastAsia"/>
          <w:b/>
          <w:sz w:val="21"/>
        </w:rPr>
        <w:t>中用于融资成本的</w:t>
      </w:r>
      <w:r w:rsidR="00DF5232" w:rsidRPr="00730D93">
        <w:rPr>
          <w:rFonts w:eastAsiaTheme="minorEastAsia" w:hint="eastAsia"/>
          <w:b/>
          <w:sz w:val="21"/>
        </w:rPr>
        <w:t>730</w:t>
      </w:r>
      <w:r w:rsidR="00DF5232" w:rsidRPr="00730D93">
        <w:rPr>
          <w:rFonts w:eastAsiaTheme="minorEastAsia" w:hint="eastAsia"/>
          <w:b/>
          <w:sz w:val="21"/>
        </w:rPr>
        <w:t>万瑞郎预算拨备包括哪些内容？是否包括所支付的贷款利息？如果包括，那么何时能够偿清债务？哪些计划有融资成本？</w:t>
      </w:r>
    </w:p>
    <w:p w:rsidR="005A1670" w:rsidRPr="00730D93" w:rsidRDefault="0044088F" w:rsidP="005A1670">
      <w:pPr>
        <w:spacing w:afterLines="50" w:after="120" w:line="340" w:lineRule="atLeast"/>
        <w:jc w:val="both"/>
        <w:rPr>
          <w:rFonts w:eastAsiaTheme="minorEastAsia"/>
          <w:sz w:val="21"/>
          <w:szCs w:val="24"/>
        </w:rPr>
      </w:pPr>
      <w:r>
        <w:rPr>
          <w:sz w:val="21"/>
          <w:szCs w:val="24"/>
        </w:rPr>
        <w:t>答</w:t>
      </w:r>
      <w:r w:rsidR="00517C4B" w:rsidRPr="0044088F">
        <w:rPr>
          <w:sz w:val="21"/>
          <w:szCs w:val="24"/>
        </w:rPr>
        <w:t>14</w:t>
      </w:r>
      <w:r w:rsidRPr="0044088F">
        <w:rPr>
          <w:sz w:val="21"/>
          <w:szCs w:val="24"/>
        </w:rPr>
        <w:t>：</w:t>
      </w:r>
      <w:r w:rsidR="00DF5232" w:rsidRPr="00730D93">
        <w:rPr>
          <w:rFonts w:eastAsiaTheme="minorEastAsia" w:hint="eastAsia"/>
          <w:sz w:val="21"/>
          <w:szCs w:val="24"/>
        </w:rPr>
        <w:t>融资成本包括为支付贷款利息和银行手续费所进行的拨备。在计划</w:t>
      </w:r>
      <w:r w:rsidR="00DF5232" w:rsidRPr="00730D93">
        <w:rPr>
          <w:rFonts w:eastAsiaTheme="minorEastAsia" w:hint="eastAsia"/>
          <w:sz w:val="21"/>
          <w:szCs w:val="24"/>
        </w:rPr>
        <w:t>24</w:t>
      </w:r>
      <w:r w:rsidR="00DF5232" w:rsidRPr="00730D93">
        <w:rPr>
          <w:rFonts w:eastAsiaTheme="minorEastAsia" w:hint="eastAsia"/>
          <w:sz w:val="21"/>
          <w:szCs w:val="24"/>
        </w:rPr>
        <w:t>下为融资成本编制了预算</w:t>
      </w:r>
      <w:r w:rsidR="005A1670" w:rsidRPr="00730D93">
        <w:rPr>
          <w:rFonts w:eastAsiaTheme="minorEastAsia" w:hint="eastAsia"/>
          <w:sz w:val="21"/>
          <w:szCs w:val="24"/>
        </w:rPr>
        <w:t>（</w:t>
      </w:r>
      <w:r w:rsidR="00531C8C" w:rsidRPr="00730D93">
        <w:rPr>
          <w:rFonts w:eastAsiaTheme="minorEastAsia" w:hint="eastAsia"/>
          <w:sz w:val="21"/>
          <w:szCs w:val="24"/>
        </w:rPr>
        <w:t>420</w:t>
      </w:r>
      <w:r w:rsidR="00531C8C" w:rsidRPr="00730D93">
        <w:rPr>
          <w:rFonts w:eastAsiaTheme="minorEastAsia" w:hint="eastAsia"/>
          <w:sz w:val="21"/>
          <w:szCs w:val="24"/>
        </w:rPr>
        <w:t>万瑞郎</w:t>
      </w:r>
      <w:r w:rsidR="005A1670" w:rsidRPr="00730D93">
        <w:rPr>
          <w:rFonts w:eastAsiaTheme="minorEastAsia" w:hint="eastAsia"/>
          <w:sz w:val="21"/>
          <w:szCs w:val="24"/>
        </w:rPr>
        <w:t>）</w:t>
      </w:r>
      <w:r w:rsidR="00DF5232" w:rsidRPr="00730D93">
        <w:rPr>
          <w:rFonts w:eastAsiaTheme="minorEastAsia" w:hint="eastAsia"/>
          <w:sz w:val="21"/>
          <w:szCs w:val="24"/>
        </w:rPr>
        <w:t>，用于支付新建筑物贷款的利息，在计划</w:t>
      </w:r>
      <w:r w:rsidR="00DF5232" w:rsidRPr="00730D93">
        <w:rPr>
          <w:rFonts w:eastAsiaTheme="minorEastAsia" w:hint="eastAsia"/>
          <w:sz w:val="21"/>
          <w:szCs w:val="24"/>
        </w:rPr>
        <w:t>22</w:t>
      </w:r>
      <w:r w:rsidR="00DF5232" w:rsidRPr="00730D93">
        <w:rPr>
          <w:rFonts w:eastAsiaTheme="minorEastAsia" w:hint="eastAsia"/>
          <w:sz w:val="21"/>
          <w:szCs w:val="24"/>
        </w:rPr>
        <w:t>下也有融资成本，包括为负利息拨备</w:t>
      </w:r>
      <w:r w:rsidR="00DF5232" w:rsidRPr="00730D93">
        <w:rPr>
          <w:rFonts w:eastAsiaTheme="minorEastAsia" w:hint="eastAsia"/>
          <w:sz w:val="21"/>
          <w:szCs w:val="24"/>
        </w:rPr>
        <w:t>240</w:t>
      </w:r>
      <w:r w:rsidR="00DF5232" w:rsidRPr="00730D93">
        <w:rPr>
          <w:rFonts w:eastAsiaTheme="minorEastAsia" w:hint="eastAsia"/>
          <w:sz w:val="21"/>
          <w:szCs w:val="24"/>
        </w:rPr>
        <w:t>万瑞郎，为银行手续费拨备</w:t>
      </w:r>
      <w:r w:rsidR="00DF5232" w:rsidRPr="00730D93">
        <w:rPr>
          <w:rFonts w:eastAsiaTheme="minorEastAsia" w:hint="eastAsia"/>
          <w:sz w:val="21"/>
          <w:szCs w:val="24"/>
        </w:rPr>
        <w:t>75</w:t>
      </w:r>
      <w:r w:rsidR="00DF5232" w:rsidRPr="00730D93">
        <w:rPr>
          <w:rFonts w:eastAsiaTheme="minorEastAsia" w:hint="eastAsia"/>
          <w:sz w:val="21"/>
          <w:szCs w:val="24"/>
        </w:rPr>
        <w:t>万瑞郎。</w:t>
      </w:r>
    </w:p>
    <w:p w:rsidR="005A1670" w:rsidRPr="00730D93" w:rsidRDefault="00DF5232" w:rsidP="005A1670">
      <w:pPr>
        <w:spacing w:afterLines="50" w:after="120" w:line="340" w:lineRule="atLeast"/>
        <w:jc w:val="both"/>
        <w:rPr>
          <w:rFonts w:eastAsiaTheme="minorEastAsia"/>
          <w:sz w:val="21"/>
          <w:szCs w:val="24"/>
        </w:rPr>
      </w:pPr>
      <w:r w:rsidRPr="00730D93">
        <w:rPr>
          <w:rFonts w:eastAsiaTheme="minorEastAsia" w:hint="eastAsia"/>
          <w:sz w:val="21"/>
          <w:szCs w:val="24"/>
        </w:rPr>
        <w:t>用于为新建筑物供资的商业贷款</w:t>
      </w:r>
      <w:r w:rsidR="00531C8C" w:rsidRPr="00730D93">
        <w:rPr>
          <w:rFonts w:eastAsiaTheme="minorEastAsia" w:hint="eastAsia"/>
          <w:sz w:val="21"/>
          <w:szCs w:val="24"/>
        </w:rPr>
        <w:t>分四期</w:t>
      </w:r>
      <w:r w:rsidR="00E27F88" w:rsidRPr="00730D93">
        <w:rPr>
          <w:rFonts w:eastAsiaTheme="minorEastAsia" w:hint="eastAsia"/>
          <w:sz w:val="21"/>
          <w:szCs w:val="24"/>
        </w:rPr>
        <w:t>支取</w:t>
      </w:r>
      <w:r w:rsidRPr="00730D93">
        <w:rPr>
          <w:rFonts w:eastAsiaTheme="minorEastAsia" w:hint="eastAsia"/>
          <w:sz w:val="21"/>
          <w:szCs w:val="24"/>
        </w:rPr>
        <w:t>，</w:t>
      </w:r>
      <w:r w:rsidR="00E27F88" w:rsidRPr="00730D93">
        <w:rPr>
          <w:rFonts w:eastAsiaTheme="minorEastAsia" w:hint="eastAsia"/>
          <w:sz w:val="21"/>
          <w:szCs w:val="24"/>
        </w:rPr>
        <w:t>其中两期将在</w:t>
      </w:r>
      <w:r w:rsidR="00E27F88" w:rsidRPr="00730D93">
        <w:rPr>
          <w:rFonts w:eastAsiaTheme="minorEastAsia" w:hint="eastAsia"/>
          <w:sz w:val="21"/>
          <w:szCs w:val="24"/>
        </w:rPr>
        <w:t>7</w:t>
      </w:r>
      <w:r w:rsidR="00E27F88" w:rsidRPr="00730D93">
        <w:rPr>
          <w:rFonts w:eastAsiaTheme="minorEastAsia" w:hint="eastAsia"/>
          <w:sz w:val="21"/>
          <w:szCs w:val="24"/>
        </w:rPr>
        <w:t>个月内到期。这两期总计</w:t>
      </w:r>
      <w:r w:rsidR="00E27F88" w:rsidRPr="00730D93">
        <w:rPr>
          <w:rFonts w:eastAsiaTheme="minorEastAsia" w:hint="eastAsia"/>
          <w:sz w:val="21"/>
          <w:szCs w:val="24"/>
        </w:rPr>
        <w:t>4000</w:t>
      </w:r>
      <w:r w:rsidR="00E27F88" w:rsidRPr="00730D93">
        <w:rPr>
          <w:rFonts w:eastAsiaTheme="minorEastAsia" w:hint="eastAsia"/>
          <w:sz w:val="21"/>
          <w:szCs w:val="24"/>
        </w:rPr>
        <w:t>万瑞郎的款项将在其到期日临近时偿还</w:t>
      </w:r>
      <w:r w:rsidR="005A1670">
        <w:rPr>
          <w:sz w:val="21"/>
          <w:szCs w:val="24"/>
        </w:rPr>
        <w:t>（</w:t>
      </w:r>
      <w:r w:rsidR="00E27F88" w:rsidRPr="00730D93">
        <w:rPr>
          <w:rFonts w:eastAsiaTheme="minorEastAsia" w:hint="eastAsia"/>
          <w:sz w:val="21"/>
          <w:szCs w:val="24"/>
        </w:rPr>
        <w:t>文件</w:t>
      </w:r>
      <w:r w:rsidR="00E27F88" w:rsidRPr="0044088F">
        <w:rPr>
          <w:sz w:val="21"/>
          <w:szCs w:val="24"/>
        </w:rPr>
        <w:t>WO/PBC/23/7</w:t>
      </w:r>
      <w:r w:rsidR="005A1670">
        <w:rPr>
          <w:sz w:val="21"/>
          <w:szCs w:val="24"/>
        </w:rPr>
        <w:t>）</w:t>
      </w:r>
      <w:r w:rsidR="00E27F88" w:rsidRPr="00730D93">
        <w:rPr>
          <w:rFonts w:eastAsiaTheme="minorEastAsia" w:hint="eastAsia"/>
          <w:sz w:val="21"/>
          <w:szCs w:val="24"/>
        </w:rPr>
        <w:t>。剩余两期款项将分别在</w:t>
      </w:r>
      <w:r w:rsidR="00E27F88" w:rsidRPr="00730D93">
        <w:rPr>
          <w:rFonts w:eastAsiaTheme="minorEastAsia" w:hint="eastAsia"/>
          <w:sz w:val="21"/>
          <w:szCs w:val="24"/>
        </w:rPr>
        <w:t>2019</w:t>
      </w:r>
      <w:r w:rsidR="00E27F88" w:rsidRPr="00730D93">
        <w:rPr>
          <w:rFonts w:eastAsiaTheme="minorEastAsia" w:hint="eastAsia"/>
          <w:sz w:val="21"/>
          <w:szCs w:val="24"/>
        </w:rPr>
        <w:t>年</w:t>
      </w:r>
      <w:r w:rsidR="00E27F88" w:rsidRPr="00730D93">
        <w:rPr>
          <w:rFonts w:eastAsiaTheme="minorEastAsia" w:hint="eastAsia"/>
          <w:sz w:val="21"/>
          <w:szCs w:val="24"/>
        </w:rPr>
        <w:t>3</w:t>
      </w:r>
      <w:r w:rsidR="00E27F88" w:rsidRPr="00730D93">
        <w:rPr>
          <w:rFonts w:eastAsiaTheme="minorEastAsia" w:hint="eastAsia"/>
          <w:sz w:val="21"/>
          <w:szCs w:val="24"/>
        </w:rPr>
        <w:t>月和</w:t>
      </w:r>
      <w:r w:rsidR="00E27F88" w:rsidRPr="00730D93">
        <w:rPr>
          <w:rFonts w:eastAsiaTheme="minorEastAsia" w:hint="eastAsia"/>
          <w:sz w:val="21"/>
          <w:szCs w:val="24"/>
        </w:rPr>
        <w:t>2025</w:t>
      </w:r>
      <w:r w:rsidR="00E27F88" w:rsidRPr="00730D93">
        <w:rPr>
          <w:rFonts w:eastAsiaTheme="minorEastAsia" w:hint="eastAsia"/>
          <w:sz w:val="21"/>
          <w:szCs w:val="24"/>
        </w:rPr>
        <w:t>年</w:t>
      </w:r>
      <w:r w:rsidR="00E27F88" w:rsidRPr="00730D93">
        <w:rPr>
          <w:rFonts w:eastAsiaTheme="minorEastAsia" w:hint="eastAsia"/>
          <w:sz w:val="21"/>
          <w:szCs w:val="24"/>
        </w:rPr>
        <w:t>11</w:t>
      </w:r>
      <w:r w:rsidR="00E27F88" w:rsidRPr="00730D93">
        <w:rPr>
          <w:rFonts w:eastAsiaTheme="minorEastAsia" w:hint="eastAsia"/>
          <w:sz w:val="21"/>
          <w:szCs w:val="24"/>
        </w:rPr>
        <w:t>月到期。如果提前偿还，本组织要</w:t>
      </w:r>
      <w:r w:rsidR="00531C8C" w:rsidRPr="00730D93">
        <w:rPr>
          <w:rFonts w:eastAsiaTheme="minorEastAsia" w:hint="eastAsia"/>
          <w:sz w:val="21"/>
          <w:szCs w:val="24"/>
        </w:rPr>
        <w:t>为此</w:t>
      </w:r>
      <w:r w:rsidR="00E27F88" w:rsidRPr="00730D93">
        <w:rPr>
          <w:rFonts w:eastAsiaTheme="minorEastAsia" w:hint="eastAsia"/>
          <w:sz w:val="21"/>
          <w:szCs w:val="24"/>
        </w:rPr>
        <w:t>支付高额罚金。</w:t>
      </w:r>
    </w:p>
    <w:p w:rsidR="005A1670" w:rsidRPr="00730D93" w:rsidRDefault="00B17CB3" w:rsidP="005A1670">
      <w:pPr>
        <w:spacing w:afterLines="50" w:after="120" w:line="340" w:lineRule="atLeast"/>
        <w:jc w:val="both"/>
        <w:rPr>
          <w:rFonts w:eastAsiaTheme="minorEastAsia"/>
          <w:sz w:val="21"/>
          <w:szCs w:val="24"/>
        </w:rPr>
      </w:pPr>
      <w:r w:rsidRPr="00730D93">
        <w:rPr>
          <w:rFonts w:eastAsiaTheme="minorEastAsia" w:hint="eastAsia"/>
          <w:sz w:val="21"/>
          <w:szCs w:val="24"/>
        </w:rPr>
        <w:t>FIPOI</w:t>
      </w:r>
      <w:r w:rsidRPr="00730D93">
        <w:rPr>
          <w:rFonts w:eastAsiaTheme="minorEastAsia" w:hint="eastAsia"/>
          <w:sz w:val="21"/>
          <w:szCs w:val="24"/>
        </w:rPr>
        <w:t>贷款为零利息，将在</w:t>
      </w:r>
      <w:r w:rsidRPr="00730D93">
        <w:rPr>
          <w:rFonts w:eastAsiaTheme="minorEastAsia" w:hint="eastAsia"/>
          <w:sz w:val="21"/>
          <w:szCs w:val="24"/>
        </w:rPr>
        <w:t>16</w:t>
      </w:r>
      <w:r w:rsidRPr="00730D93">
        <w:rPr>
          <w:rFonts w:eastAsiaTheme="minorEastAsia" w:hint="eastAsia"/>
          <w:sz w:val="21"/>
          <w:szCs w:val="24"/>
        </w:rPr>
        <w:t>年内偿清。</w:t>
      </w:r>
    </w:p>
    <w:p w:rsidR="005A1670" w:rsidRDefault="00B17CB3" w:rsidP="006F2FCC">
      <w:pPr>
        <w:keepNext/>
        <w:spacing w:beforeLines="100" w:before="240" w:afterLines="50" w:after="120" w:line="340" w:lineRule="atLeast"/>
        <w:rPr>
          <w:b/>
          <w:sz w:val="24"/>
          <w:szCs w:val="24"/>
        </w:rPr>
      </w:pPr>
      <w:r w:rsidRPr="0044088F">
        <w:rPr>
          <w:rFonts w:hint="eastAsia"/>
          <w:b/>
          <w:sz w:val="24"/>
          <w:szCs w:val="24"/>
        </w:rPr>
        <w:t>人事资源</w:t>
      </w:r>
    </w:p>
    <w:p w:rsidR="00D45E73"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AE54E0" w:rsidRPr="0044088F">
        <w:rPr>
          <w:b/>
          <w:bCs/>
          <w:sz w:val="21"/>
        </w:rPr>
        <w:t>1</w:t>
      </w:r>
      <w:r w:rsidRPr="0044088F">
        <w:rPr>
          <w:b/>
          <w:bCs/>
          <w:sz w:val="21"/>
        </w:rPr>
        <w:t>：</w:t>
      </w:r>
      <w:r w:rsidR="00870E44" w:rsidRPr="00730D93">
        <w:rPr>
          <w:rFonts w:eastAsiaTheme="minorEastAsia" w:hint="eastAsia"/>
          <w:b/>
          <w:sz w:val="21"/>
        </w:rPr>
        <w:t>2.1%</w:t>
      </w:r>
      <w:r w:rsidR="00870E44" w:rsidRPr="00730D93">
        <w:rPr>
          <w:rFonts w:eastAsiaTheme="minorEastAsia" w:hint="eastAsia"/>
          <w:b/>
          <w:sz w:val="21"/>
        </w:rPr>
        <w:t>的</w:t>
      </w:r>
      <w:r w:rsidR="00B17CB3" w:rsidRPr="00730D93">
        <w:rPr>
          <w:rFonts w:eastAsiaTheme="minorEastAsia" w:hint="eastAsia"/>
          <w:b/>
          <w:sz w:val="21"/>
        </w:rPr>
        <w:t>人事支出增长包括哪些内容？</w:t>
      </w:r>
    </w:p>
    <w:p w:rsidR="005A1670" w:rsidRPr="00730D93" w:rsidRDefault="0044088F" w:rsidP="005A1670">
      <w:pPr>
        <w:spacing w:afterLines="50" w:after="120" w:line="340" w:lineRule="atLeast"/>
        <w:jc w:val="both"/>
        <w:rPr>
          <w:rFonts w:eastAsiaTheme="minorEastAsia"/>
          <w:bCs/>
          <w:sz w:val="21"/>
        </w:rPr>
      </w:pPr>
      <w:r>
        <w:rPr>
          <w:bCs/>
          <w:sz w:val="21"/>
        </w:rPr>
        <w:t>答</w:t>
      </w:r>
      <w:r w:rsidR="00AE54E0" w:rsidRPr="0044088F">
        <w:rPr>
          <w:bCs/>
          <w:sz w:val="21"/>
        </w:rPr>
        <w:t>1</w:t>
      </w:r>
      <w:r w:rsidRPr="0044088F">
        <w:rPr>
          <w:bCs/>
          <w:sz w:val="21"/>
        </w:rPr>
        <w:t>：</w:t>
      </w:r>
      <w:r w:rsidR="00B17CB3" w:rsidRPr="00730D93">
        <w:rPr>
          <w:rFonts w:eastAsiaTheme="minorEastAsia" w:hint="eastAsia"/>
          <w:bCs/>
          <w:sz w:val="21"/>
        </w:rPr>
        <w:t>与</w:t>
      </w:r>
      <w:r w:rsidR="00B17CB3" w:rsidRPr="00730D93">
        <w:rPr>
          <w:rFonts w:eastAsiaTheme="minorEastAsia" w:hint="eastAsia"/>
          <w:bCs/>
          <w:sz w:val="21"/>
        </w:rPr>
        <w:t>2014/15</w:t>
      </w:r>
      <w:r w:rsidR="00B17CB3" w:rsidRPr="00730D93">
        <w:rPr>
          <w:rFonts w:eastAsiaTheme="minorEastAsia" w:hint="eastAsia"/>
          <w:bCs/>
          <w:sz w:val="21"/>
        </w:rPr>
        <w:t>两年期核定预算相比，人事费用总体增长</w:t>
      </w:r>
      <w:r w:rsidR="00B17CB3" w:rsidRPr="00730D93">
        <w:rPr>
          <w:rFonts w:eastAsiaTheme="minorEastAsia" w:hint="eastAsia"/>
          <w:bCs/>
          <w:sz w:val="21"/>
        </w:rPr>
        <w:t>960</w:t>
      </w:r>
      <w:r w:rsidR="00B17CB3" w:rsidRPr="00730D93">
        <w:rPr>
          <w:rFonts w:eastAsiaTheme="minorEastAsia" w:hint="eastAsia"/>
          <w:bCs/>
          <w:sz w:val="21"/>
        </w:rPr>
        <w:t>万瑞郎，增幅</w:t>
      </w:r>
      <w:r w:rsidR="00B17CB3" w:rsidRPr="00730D93">
        <w:rPr>
          <w:rFonts w:eastAsiaTheme="minorEastAsia" w:hint="eastAsia"/>
          <w:bCs/>
          <w:sz w:val="21"/>
        </w:rPr>
        <w:t>2.1%</w:t>
      </w:r>
      <w:r w:rsidR="00B17CB3" w:rsidRPr="00730D93">
        <w:rPr>
          <w:rFonts w:eastAsiaTheme="minorEastAsia" w:hint="eastAsia"/>
          <w:bCs/>
          <w:sz w:val="21"/>
        </w:rPr>
        <w:t>，这主要是因为法定增长</w:t>
      </w:r>
      <w:r w:rsidR="005A1670" w:rsidRPr="00730D93">
        <w:rPr>
          <w:rFonts w:eastAsiaTheme="minorEastAsia" w:hint="eastAsia"/>
          <w:bCs/>
          <w:sz w:val="21"/>
        </w:rPr>
        <w:t>（</w:t>
      </w:r>
      <w:r w:rsidR="00610802" w:rsidRPr="00730D93">
        <w:rPr>
          <w:rFonts w:eastAsiaTheme="minorEastAsia" w:hint="eastAsia"/>
          <w:bCs/>
          <w:sz w:val="21"/>
        </w:rPr>
        <w:t>与</w:t>
      </w:r>
      <w:r w:rsidR="00610802" w:rsidRPr="00730D93">
        <w:rPr>
          <w:rFonts w:eastAsiaTheme="minorEastAsia" w:hint="eastAsia"/>
          <w:bCs/>
          <w:sz w:val="21"/>
        </w:rPr>
        <w:t>ICSC</w:t>
      </w:r>
      <w:r w:rsidR="00610802" w:rsidRPr="00730D93">
        <w:rPr>
          <w:rFonts w:eastAsiaTheme="minorEastAsia" w:hint="eastAsia"/>
          <w:bCs/>
          <w:sz w:val="21"/>
        </w:rPr>
        <w:t>相关</w:t>
      </w:r>
      <w:r w:rsidR="005A1670" w:rsidRPr="00730D93">
        <w:rPr>
          <w:rFonts w:eastAsiaTheme="minorEastAsia" w:hint="eastAsia"/>
          <w:bCs/>
          <w:sz w:val="21"/>
        </w:rPr>
        <w:t>）</w:t>
      </w:r>
      <w:r w:rsidR="00610802" w:rsidRPr="00730D93">
        <w:rPr>
          <w:rFonts w:eastAsiaTheme="minorEastAsia" w:hint="eastAsia"/>
          <w:bCs/>
          <w:sz w:val="21"/>
        </w:rPr>
        <w:t>，很小一部分原因是缴纳给</w:t>
      </w:r>
      <w:r w:rsidR="00610802" w:rsidRPr="00730D93">
        <w:rPr>
          <w:rFonts w:eastAsiaTheme="minorEastAsia" w:hint="eastAsia"/>
          <w:bCs/>
          <w:sz w:val="21"/>
        </w:rPr>
        <w:t>UNJSPF</w:t>
      </w:r>
      <w:r w:rsidR="005A1670" w:rsidRPr="00730D93">
        <w:rPr>
          <w:rFonts w:eastAsiaTheme="minorEastAsia" w:hint="eastAsia"/>
          <w:bCs/>
          <w:sz w:val="21"/>
        </w:rPr>
        <w:t>（</w:t>
      </w:r>
      <w:r w:rsidR="00610802" w:rsidRPr="00730D93">
        <w:rPr>
          <w:rFonts w:eastAsiaTheme="minorEastAsia" w:hint="eastAsia"/>
          <w:bCs/>
          <w:sz w:val="21"/>
        </w:rPr>
        <w:t>养老金</w:t>
      </w:r>
      <w:r w:rsidR="005A1670" w:rsidRPr="00730D93">
        <w:rPr>
          <w:rFonts w:eastAsiaTheme="minorEastAsia" w:hint="eastAsia"/>
          <w:bCs/>
          <w:sz w:val="21"/>
        </w:rPr>
        <w:t>）</w:t>
      </w:r>
      <w:r w:rsidR="00610802" w:rsidRPr="00730D93">
        <w:rPr>
          <w:rFonts w:eastAsiaTheme="minorEastAsia" w:hint="eastAsia"/>
          <w:bCs/>
          <w:sz w:val="21"/>
        </w:rPr>
        <w:t>的费用增加以及</w:t>
      </w:r>
      <w:r w:rsidR="00610802" w:rsidRPr="00730D93">
        <w:rPr>
          <w:rFonts w:eastAsiaTheme="minorEastAsia" w:hint="eastAsia"/>
          <w:bCs/>
          <w:sz w:val="21"/>
        </w:rPr>
        <w:t>ASHI</w:t>
      </w:r>
      <w:r w:rsidR="00610802" w:rsidRPr="00730D93">
        <w:rPr>
          <w:rFonts w:eastAsiaTheme="minorEastAsia" w:hint="eastAsia"/>
          <w:bCs/>
          <w:sz w:val="21"/>
        </w:rPr>
        <w:t>计提水平提高。计划不在</w:t>
      </w:r>
      <w:r w:rsidR="00610802" w:rsidRPr="00730D93">
        <w:rPr>
          <w:rFonts w:eastAsiaTheme="minorEastAsia" w:hint="eastAsia"/>
          <w:bCs/>
          <w:sz w:val="21"/>
        </w:rPr>
        <w:t>2016/17</w:t>
      </w:r>
      <w:r w:rsidR="00610802" w:rsidRPr="00730D93">
        <w:rPr>
          <w:rFonts w:eastAsiaTheme="minorEastAsia" w:hint="eastAsia"/>
          <w:bCs/>
          <w:sz w:val="21"/>
        </w:rPr>
        <w:t>两年期增加新岗位。第</w:t>
      </w:r>
      <w:r w:rsidR="00610802" w:rsidRPr="00730D93">
        <w:rPr>
          <w:rFonts w:eastAsiaTheme="minorEastAsia" w:hint="eastAsia"/>
          <w:bCs/>
          <w:sz w:val="21"/>
        </w:rPr>
        <w:t>53-59</w:t>
      </w:r>
      <w:r w:rsidR="00610802" w:rsidRPr="00730D93">
        <w:rPr>
          <w:rFonts w:eastAsiaTheme="minorEastAsia" w:hint="eastAsia"/>
          <w:bCs/>
          <w:sz w:val="21"/>
        </w:rPr>
        <w:t>节以及附录</w:t>
      </w:r>
      <w:r w:rsidR="00610802" w:rsidRPr="00730D93">
        <w:rPr>
          <w:rFonts w:eastAsiaTheme="minorEastAsia" w:hint="eastAsia"/>
          <w:bCs/>
          <w:sz w:val="21"/>
        </w:rPr>
        <w:t>C</w:t>
      </w:r>
      <w:r w:rsidR="003E2621" w:rsidRPr="00730D93">
        <w:rPr>
          <w:rFonts w:eastAsiaTheme="minorEastAsia" w:hint="eastAsia"/>
          <w:bCs/>
          <w:sz w:val="21"/>
        </w:rPr>
        <w:t>“人事成本计算”</w:t>
      </w:r>
      <w:r w:rsidR="00610802" w:rsidRPr="00730D93">
        <w:rPr>
          <w:rFonts w:eastAsiaTheme="minorEastAsia" w:hint="eastAsia"/>
          <w:bCs/>
          <w:sz w:val="21"/>
        </w:rPr>
        <w:t>提供了更多关于</w:t>
      </w:r>
      <w:r w:rsidR="001C2B64" w:rsidRPr="00730D93">
        <w:rPr>
          <w:rFonts w:eastAsiaTheme="minorEastAsia" w:hint="eastAsia"/>
          <w:bCs/>
          <w:sz w:val="21"/>
        </w:rPr>
        <w:t>人事费用</w:t>
      </w:r>
      <w:r w:rsidR="00610802" w:rsidRPr="00730D93">
        <w:rPr>
          <w:rFonts w:eastAsiaTheme="minorEastAsia" w:hint="eastAsia"/>
          <w:bCs/>
          <w:sz w:val="21"/>
        </w:rPr>
        <w:t>规划假设和计算方法的详细信息。</w:t>
      </w:r>
    </w:p>
    <w:p w:rsidR="005A1670" w:rsidRPr="00730D93" w:rsidRDefault="001C2B64" w:rsidP="005A1670">
      <w:pPr>
        <w:spacing w:afterLines="50" w:after="120" w:line="340" w:lineRule="atLeast"/>
        <w:jc w:val="both"/>
        <w:rPr>
          <w:rFonts w:eastAsiaTheme="minorEastAsia"/>
          <w:bCs/>
          <w:sz w:val="21"/>
        </w:rPr>
      </w:pPr>
      <w:r w:rsidRPr="00730D93">
        <w:rPr>
          <w:rFonts w:eastAsiaTheme="minorEastAsia" w:hint="eastAsia"/>
          <w:bCs/>
          <w:sz w:val="21"/>
        </w:rPr>
        <w:t>由于控制了</w:t>
      </w:r>
      <w:r w:rsidRPr="00730D93">
        <w:rPr>
          <w:rFonts w:eastAsiaTheme="minorEastAsia" w:hint="eastAsia"/>
          <w:bCs/>
          <w:sz w:val="21"/>
        </w:rPr>
        <w:t>2016/17</w:t>
      </w:r>
      <w:r w:rsidRPr="00730D93">
        <w:rPr>
          <w:rFonts w:eastAsiaTheme="minorEastAsia" w:hint="eastAsia"/>
          <w:bCs/>
          <w:sz w:val="21"/>
        </w:rPr>
        <w:t>两年期人事费用的增长，人事费用预算占总预算的比重从</w:t>
      </w:r>
      <w:r w:rsidRPr="00730D93">
        <w:rPr>
          <w:rFonts w:eastAsiaTheme="minorEastAsia" w:hint="eastAsia"/>
          <w:bCs/>
          <w:sz w:val="21"/>
        </w:rPr>
        <w:t>2014/15</w:t>
      </w:r>
      <w:r w:rsidRPr="00730D93">
        <w:rPr>
          <w:rFonts w:eastAsiaTheme="minorEastAsia" w:hint="eastAsia"/>
          <w:bCs/>
          <w:sz w:val="21"/>
        </w:rPr>
        <w:t>两年期的</w:t>
      </w:r>
      <w:r w:rsidRPr="00730D93">
        <w:rPr>
          <w:rFonts w:eastAsiaTheme="minorEastAsia" w:hint="eastAsia"/>
          <w:bCs/>
          <w:sz w:val="21"/>
        </w:rPr>
        <w:t>66.3%</w:t>
      </w:r>
      <w:r w:rsidRPr="00730D93">
        <w:rPr>
          <w:rFonts w:eastAsiaTheme="minorEastAsia" w:hint="eastAsia"/>
          <w:bCs/>
          <w:sz w:val="21"/>
        </w:rPr>
        <w:t>降至</w:t>
      </w:r>
      <w:r w:rsidRPr="00730D93">
        <w:rPr>
          <w:rFonts w:eastAsiaTheme="minorEastAsia" w:hint="eastAsia"/>
          <w:bCs/>
          <w:sz w:val="21"/>
        </w:rPr>
        <w:t>2016/17</w:t>
      </w:r>
      <w:r w:rsidRPr="00730D93">
        <w:rPr>
          <w:rFonts w:eastAsiaTheme="minorEastAsia" w:hint="eastAsia"/>
          <w:bCs/>
          <w:sz w:val="21"/>
        </w:rPr>
        <w:t>两年期的</w:t>
      </w:r>
      <w:r w:rsidRPr="00730D93">
        <w:rPr>
          <w:rFonts w:eastAsiaTheme="minorEastAsia" w:hint="eastAsia"/>
          <w:bCs/>
          <w:sz w:val="21"/>
        </w:rPr>
        <w:t>64.6%</w:t>
      </w:r>
      <w:r w:rsidR="005A1670" w:rsidRPr="00730D93">
        <w:rPr>
          <w:rFonts w:eastAsiaTheme="minorEastAsia" w:hint="eastAsia"/>
          <w:bCs/>
          <w:sz w:val="21"/>
        </w:rPr>
        <w:t>（</w:t>
      </w:r>
      <w:r w:rsidRPr="00730D93">
        <w:rPr>
          <w:rFonts w:eastAsiaTheme="minorEastAsia" w:hint="eastAsia"/>
          <w:bCs/>
          <w:sz w:val="21"/>
        </w:rPr>
        <w:t>见第</w:t>
      </w:r>
      <w:r w:rsidRPr="00730D93">
        <w:rPr>
          <w:rFonts w:eastAsiaTheme="minorEastAsia" w:hint="eastAsia"/>
          <w:bCs/>
          <w:sz w:val="21"/>
        </w:rPr>
        <w:t>56</w:t>
      </w:r>
      <w:r w:rsidRPr="00730D93">
        <w:rPr>
          <w:rFonts w:eastAsiaTheme="minorEastAsia" w:hint="eastAsia"/>
          <w:bCs/>
          <w:sz w:val="21"/>
        </w:rPr>
        <w:t>节</w:t>
      </w:r>
      <w:r w:rsidR="005A1670" w:rsidRPr="00730D93">
        <w:rPr>
          <w:rFonts w:eastAsiaTheme="minorEastAsia" w:hint="eastAsia"/>
          <w:bCs/>
          <w:sz w:val="21"/>
        </w:rPr>
        <w:t>）</w:t>
      </w:r>
      <w:r w:rsidRPr="00730D93">
        <w:rPr>
          <w:rFonts w:eastAsiaTheme="minorEastAsia" w:hint="eastAsia"/>
          <w:bCs/>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AE54E0" w:rsidRPr="0044088F">
        <w:rPr>
          <w:b/>
          <w:sz w:val="21"/>
        </w:rPr>
        <w:t>2</w:t>
      </w:r>
      <w:r w:rsidRPr="0044088F">
        <w:rPr>
          <w:b/>
          <w:sz w:val="21"/>
        </w:rPr>
        <w:t>：</w:t>
      </w:r>
      <w:r w:rsidR="001C2B64" w:rsidRPr="00730D93">
        <w:rPr>
          <w:rFonts w:eastAsiaTheme="minorEastAsia" w:hint="eastAsia"/>
          <w:b/>
          <w:sz w:val="21"/>
        </w:rPr>
        <w:t>2.1%</w:t>
      </w:r>
      <w:r w:rsidR="001C2B64" w:rsidRPr="00730D93">
        <w:rPr>
          <w:rFonts w:eastAsiaTheme="minorEastAsia" w:hint="eastAsia"/>
          <w:b/>
          <w:sz w:val="21"/>
        </w:rPr>
        <w:t>的人事费用增长是否将</w:t>
      </w:r>
      <w:r w:rsidR="007D79EA" w:rsidRPr="00730D93">
        <w:rPr>
          <w:rFonts w:eastAsiaTheme="minorEastAsia" w:hint="eastAsia"/>
          <w:b/>
          <w:sz w:val="21"/>
        </w:rPr>
        <w:t>由于实行新回籍假政策而预计节省的</w:t>
      </w:r>
      <w:r w:rsidR="007D79EA" w:rsidRPr="00730D93">
        <w:rPr>
          <w:rFonts w:eastAsiaTheme="minorEastAsia" w:hint="eastAsia"/>
          <w:b/>
          <w:sz w:val="21"/>
        </w:rPr>
        <w:t>400</w:t>
      </w:r>
      <w:r w:rsidR="007D79EA" w:rsidRPr="00730D93">
        <w:rPr>
          <w:rFonts w:eastAsiaTheme="minorEastAsia" w:hint="eastAsia"/>
          <w:b/>
          <w:sz w:val="21"/>
        </w:rPr>
        <w:t>万瑞郎</w:t>
      </w:r>
      <w:r w:rsidR="001C2B64" w:rsidRPr="00730D93">
        <w:rPr>
          <w:rFonts w:eastAsiaTheme="minorEastAsia" w:hint="eastAsia"/>
          <w:b/>
          <w:sz w:val="21"/>
        </w:rPr>
        <w:t>考虑在内？</w:t>
      </w:r>
    </w:p>
    <w:p w:rsidR="005A1670" w:rsidRPr="00730D93" w:rsidRDefault="0044088F" w:rsidP="005A1670">
      <w:pPr>
        <w:spacing w:afterLines="50" w:after="120" w:line="340" w:lineRule="atLeast"/>
        <w:jc w:val="both"/>
        <w:rPr>
          <w:rFonts w:eastAsiaTheme="minorEastAsia"/>
          <w:sz w:val="21"/>
        </w:rPr>
      </w:pPr>
      <w:r>
        <w:rPr>
          <w:sz w:val="21"/>
        </w:rPr>
        <w:t>答</w:t>
      </w:r>
      <w:r w:rsidR="00AE54E0" w:rsidRPr="0044088F">
        <w:rPr>
          <w:sz w:val="21"/>
        </w:rPr>
        <w:t>2</w:t>
      </w:r>
      <w:r w:rsidRPr="0044088F">
        <w:rPr>
          <w:sz w:val="21"/>
        </w:rPr>
        <w:t>：</w:t>
      </w:r>
      <w:r w:rsidR="00485D4B" w:rsidRPr="00730D93">
        <w:rPr>
          <w:rFonts w:eastAsiaTheme="minorEastAsia" w:hint="eastAsia"/>
          <w:sz w:val="21"/>
        </w:rPr>
        <w:t>回籍假拨备包含在</w:t>
      </w:r>
      <w:r w:rsidR="00485D4B" w:rsidRPr="00730D93">
        <w:rPr>
          <w:rFonts w:eastAsiaTheme="minorEastAsia" w:hint="eastAsia"/>
          <w:sz w:val="21"/>
        </w:rPr>
        <w:t>2016/17</w:t>
      </w:r>
      <w:r w:rsidR="00485D4B" w:rsidRPr="00730D93">
        <w:rPr>
          <w:rFonts w:eastAsiaTheme="minorEastAsia" w:hint="eastAsia"/>
          <w:sz w:val="21"/>
        </w:rPr>
        <w:t>两年期人事费用</w:t>
      </w:r>
      <w:r w:rsidR="00EA5F54" w:rsidRPr="00730D93">
        <w:rPr>
          <w:rFonts w:eastAsiaTheme="minorEastAsia" w:hint="eastAsia"/>
          <w:sz w:val="21"/>
        </w:rPr>
        <w:t>概算</w:t>
      </w:r>
      <w:r w:rsidR="00485D4B" w:rsidRPr="00730D93">
        <w:rPr>
          <w:rFonts w:eastAsiaTheme="minorEastAsia" w:hint="eastAsia"/>
          <w:sz w:val="21"/>
        </w:rPr>
        <w:t>中。充分考虑到了由于实行新回籍假政策而预计节省的</w:t>
      </w:r>
      <w:r w:rsidR="00485D4B" w:rsidRPr="00730D93">
        <w:rPr>
          <w:rFonts w:eastAsiaTheme="minorEastAsia"/>
          <w:sz w:val="21"/>
        </w:rPr>
        <w:t>400</w:t>
      </w:r>
      <w:r w:rsidR="00485D4B" w:rsidRPr="00730D93">
        <w:rPr>
          <w:rFonts w:eastAsiaTheme="minorEastAsia" w:hint="eastAsia"/>
          <w:sz w:val="21"/>
        </w:rPr>
        <w:t>万瑞郎</w:t>
      </w:r>
      <w:r w:rsidR="005A1670" w:rsidRPr="00730D93">
        <w:rPr>
          <w:rFonts w:eastAsiaTheme="minorEastAsia" w:hint="eastAsia"/>
          <w:sz w:val="21"/>
        </w:rPr>
        <w:t>（</w:t>
      </w:r>
      <w:r w:rsidR="00485D4B" w:rsidRPr="00730D93">
        <w:rPr>
          <w:rFonts w:eastAsiaTheme="minorEastAsia" w:hint="eastAsia"/>
          <w:sz w:val="21"/>
        </w:rPr>
        <w:t>请见第</w:t>
      </w:r>
      <w:r w:rsidR="00485D4B" w:rsidRPr="00730D93">
        <w:rPr>
          <w:rFonts w:eastAsiaTheme="minorEastAsia" w:hint="eastAsia"/>
          <w:sz w:val="21"/>
        </w:rPr>
        <w:t>56-59</w:t>
      </w:r>
      <w:r w:rsidR="00485D4B" w:rsidRPr="00730D93">
        <w:rPr>
          <w:rFonts w:eastAsiaTheme="minorEastAsia" w:hint="eastAsia"/>
          <w:sz w:val="21"/>
        </w:rPr>
        <w:t>节</w:t>
      </w:r>
      <w:r w:rsidR="00485D4B" w:rsidRPr="005A1670">
        <w:rPr>
          <w:rFonts w:hint="eastAsia"/>
          <w:bCs/>
          <w:sz w:val="21"/>
          <w:szCs w:val="22"/>
        </w:rPr>
        <w:t>“规划假设”</w:t>
      </w:r>
      <w:r w:rsidR="00485D4B" w:rsidRPr="00730D93">
        <w:rPr>
          <w:rFonts w:eastAsiaTheme="minorEastAsia" w:hint="eastAsia"/>
          <w:sz w:val="21"/>
        </w:rPr>
        <w:t>下第</w:t>
      </w:r>
      <w:r w:rsidR="00485D4B" w:rsidRPr="00730D93">
        <w:rPr>
          <w:rFonts w:eastAsiaTheme="minorEastAsia" w:hint="eastAsia"/>
          <w:sz w:val="21"/>
        </w:rPr>
        <w:t>5</w:t>
      </w:r>
      <w:r w:rsidR="00485D4B" w:rsidRPr="00730D93">
        <w:rPr>
          <w:rFonts w:eastAsiaTheme="minorEastAsia" w:hint="eastAsia"/>
          <w:sz w:val="21"/>
        </w:rPr>
        <w:t>项</w:t>
      </w:r>
      <w:r w:rsidR="005A1670" w:rsidRPr="00730D93">
        <w:rPr>
          <w:rFonts w:eastAsiaTheme="minorEastAsia" w:hint="eastAsia"/>
          <w:sz w:val="21"/>
        </w:rPr>
        <w:t>）</w:t>
      </w:r>
      <w:r w:rsidR="00485D4B"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AE54E0" w:rsidRPr="0044088F">
        <w:rPr>
          <w:b/>
          <w:sz w:val="21"/>
        </w:rPr>
        <w:t>3</w:t>
      </w:r>
      <w:r w:rsidRPr="0044088F">
        <w:rPr>
          <w:b/>
          <w:sz w:val="21"/>
        </w:rPr>
        <w:t>：</w:t>
      </w:r>
      <w:r w:rsidR="00485D4B" w:rsidRPr="00730D93">
        <w:rPr>
          <w:rFonts w:eastAsiaTheme="minorEastAsia" w:hint="eastAsia"/>
          <w:b/>
          <w:sz w:val="21"/>
        </w:rPr>
        <w:t>2016/17</w:t>
      </w:r>
      <w:r w:rsidR="00485D4B" w:rsidRPr="00730D93">
        <w:rPr>
          <w:rFonts w:eastAsiaTheme="minorEastAsia" w:hint="eastAsia"/>
          <w:b/>
          <w:sz w:val="21"/>
        </w:rPr>
        <w:t>两年期人事费用</w:t>
      </w:r>
      <w:r w:rsidR="00DD7A59" w:rsidRPr="00730D93">
        <w:rPr>
          <w:rFonts w:eastAsiaTheme="minorEastAsia" w:hint="eastAsia"/>
          <w:b/>
          <w:sz w:val="21"/>
        </w:rPr>
        <w:t>概算</w:t>
      </w:r>
      <w:r w:rsidR="00485D4B" w:rsidRPr="00730D93">
        <w:rPr>
          <w:rFonts w:eastAsiaTheme="minorEastAsia" w:hint="eastAsia"/>
          <w:b/>
          <w:sz w:val="21"/>
        </w:rPr>
        <w:t>是否将</w:t>
      </w:r>
      <w:r w:rsidR="00DD7A59" w:rsidRPr="00730D93">
        <w:rPr>
          <w:rFonts w:eastAsiaTheme="minorEastAsia" w:hint="eastAsia"/>
          <w:b/>
          <w:sz w:val="21"/>
        </w:rPr>
        <w:t>目前正在进行的对</w:t>
      </w:r>
      <w:r w:rsidR="00B23D0D" w:rsidRPr="00730D93">
        <w:rPr>
          <w:rFonts w:eastAsiaTheme="minorEastAsia" w:hint="eastAsia"/>
          <w:b/>
          <w:sz w:val="21"/>
        </w:rPr>
        <w:t>联合国公共系统薪酬待遇计划</w:t>
      </w:r>
      <w:r w:rsidR="00DD7A59" w:rsidRPr="00730D93">
        <w:rPr>
          <w:rFonts w:eastAsiaTheme="minorEastAsia" w:hint="eastAsia"/>
          <w:b/>
          <w:sz w:val="21"/>
        </w:rPr>
        <w:t>的</w:t>
      </w:r>
      <w:r w:rsidR="00B23D0D" w:rsidRPr="00730D93">
        <w:rPr>
          <w:rFonts w:eastAsiaTheme="minorEastAsia" w:hint="eastAsia"/>
          <w:b/>
          <w:sz w:val="21"/>
        </w:rPr>
        <w:t>审查</w:t>
      </w:r>
      <w:r w:rsidR="00DD7A59" w:rsidRPr="00730D93">
        <w:rPr>
          <w:rFonts w:eastAsiaTheme="minorEastAsia" w:hint="eastAsia"/>
          <w:b/>
          <w:sz w:val="21"/>
        </w:rPr>
        <w:t>考虑在内？</w:t>
      </w:r>
    </w:p>
    <w:p w:rsidR="005A1670" w:rsidRPr="00730D93" w:rsidRDefault="0044088F" w:rsidP="005A1670">
      <w:pPr>
        <w:spacing w:afterLines="50" w:after="120" w:line="340" w:lineRule="atLeast"/>
        <w:jc w:val="both"/>
        <w:rPr>
          <w:rFonts w:eastAsiaTheme="minorEastAsia"/>
          <w:bCs/>
          <w:sz w:val="21"/>
          <w:szCs w:val="22"/>
        </w:rPr>
      </w:pPr>
      <w:r>
        <w:rPr>
          <w:bCs/>
          <w:sz w:val="21"/>
          <w:szCs w:val="22"/>
        </w:rPr>
        <w:t>答</w:t>
      </w:r>
      <w:r w:rsidR="00AE54E0" w:rsidRPr="0044088F">
        <w:rPr>
          <w:bCs/>
          <w:sz w:val="21"/>
          <w:szCs w:val="22"/>
        </w:rPr>
        <w:t>3</w:t>
      </w:r>
      <w:r w:rsidRPr="0044088F">
        <w:rPr>
          <w:bCs/>
          <w:sz w:val="21"/>
          <w:szCs w:val="22"/>
        </w:rPr>
        <w:t>：</w:t>
      </w:r>
      <w:r w:rsidR="001D145A" w:rsidRPr="00730D93">
        <w:rPr>
          <w:rFonts w:eastAsiaTheme="minorEastAsia" w:hint="eastAsia"/>
          <w:bCs/>
          <w:sz w:val="21"/>
          <w:szCs w:val="22"/>
        </w:rPr>
        <w:t>目前关于在</w:t>
      </w:r>
      <w:r w:rsidR="001D145A" w:rsidRPr="00730D93">
        <w:rPr>
          <w:rFonts w:eastAsiaTheme="minorEastAsia" w:hint="eastAsia"/>
          <w:bCs/>
          <w:sz w:val="21"/>
          <w:szCs w:val="22"/>
        </w:rPr>
        <w:t>ICSC</w:t>
      </w:r>
      <w:r w:rsidR="001D145A" w:rsidRPr="00730D93">
        <w:rPr>
          <w:rFonts w:eastAsiaTheme="minorEastAsia" w:hint="eastAsia"/>
          <w:bCs/>
          <w:sz w:val="21"/>
          <w:szCs w:val="22"/>
        </w:rPr>
        <w:t>薪酬待遇计划审查中所提议或讨论变化的财务影响的信息还不充分。但可以假设这些变化在短期内不太</w:t>
      </w:r>
      <w:r w:rsidR="001D145A" w:rsidRPr="005A1670">
        <w:rPr>
          <w:rFonts w:hint="eastAsia"/>
          <w:bCs/>
          <w:sz w:val="21"/>
          <w:szCs w:val="22"/>
        </w:rPr>
        <w:t>可能</w:t>
      </w:r>
      <w:r w:rsidR="001D145A" w:rsidRPr="00730D93">
        <w:rPr>
          <w:rFonts w:eastAsiaTheme="minorEastAsia" w:hint="eastAsia"/>
          <w:bCs/>
          <w:sz w:val="21"/>
          <w:szCs w:val="22"/>
        </w:rPr>
        <w:t>会给成本带来显著影响。因此，</w:t>
      </w:r>
      <w:r w:rsidR="001D145A" w:rsidRPr="00730D93">
        <w:rPr>
          <w:rFonts w:eastAsiaTheme="minorEastAsia"/>
          <w:bCs/>
          <w:sz w:val="21"/>
          <w:szCs w:val="22"/>
        </w:rPr>
        <w:t>2016/17</w:t>
      </w:r>
      <w:r w:rsidR="001D145A" w:rsidRPr="00730D93">
        <w:rPr>
          <w:rFonts w:eastAsiaTheme="minorEastAsia" w:hint="eastAsia"/>
          <w:bCs/>
          <w:sz w:val="21"/>
          <w:szCs w:val="22"/>
        </w:rPr>
        <w:t>两年期人事费用概算依据的是“没有变化”的假设。</w:t>
      </w:r>
    </w:p>
    <w:p w:rsidR="00D62B83"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lastRenderedPageBreak/>
        <w:t>问</w:t>
      </w:r>
      <w:r w:rsidR="00F15AEB" w:rsidRPr="0044088F">
        <w:rPr>
          <w:b/>
          <w:sz w:val="21"/>
        </w:rPr>
        <w:t>4</w:t>
      </w:r>
      <w:r w:rsidRPr="0044088F">
        <w:rPr>
          <w:b/>
          <w:sz w:val="21"/>
        </w:rPr>
        <w:t>：</w:t>
      </w:r>
      <w:r w:rsidR="001D145A" w:rsidRPr="00730D93">
        <w:rPr>
          <w:rFonts w:eastAsiaTheme="minorEastAsia" w:hint="eastAsia"/>
          <w:b/>
          <w:sz w:val="21"/>
        </w:rPr>
        <w:t>临时员工的人事支出为何有所下降？</w:t>
      </w:r>
    </w:p>
    <w:p w:rsidR="005A1670" w:rsidRPr="00730D93" w:rsidRDefault="0044088F" w:rsidP="005A1670">
      <w:pPr>
        <w:spacing w:afterLines="50" w:after="120" w:line="340" w:lineRule="atLeast"/>
        <w:jc w:val="both"/>
        <w:rPr>
          <w:rFonts w:eastAsiaTheme="minorEastAsia"/>
          <w:sz w:val="21"/>
        </w:rPr>
      </w:pPr>
      <w:r>
        <w:rPr>
          <w:sz w:val="21"/>
        </w:rPr>
        <w:t>答</w:t>
      </w:r>
      <w:r w:rsidR="00F15AEB" w:rsidRPr="0044088F">
        <w:rPr>
          <w:sz w:val="21"/>
        </w:rPr>
        <w:t>4</w:t>
      </w:r>
      <w:r w:rsidRPr="0044088F">
        <w:rPr>
          <w:sz w:val="21"/>
        </w:rPr>
        <w:t>：</w:t>
      </w:r>
      <w:r w:rsidR="001D145A" w:rsidRPr="00730D93">
        <w:rPr>
          <w:rFonts w:eastAsiaTheme="minorEastAsia" w:hint="eastAsia"/>
          <w:bCs/>
          <w:sz w:val="21"/>
          <w:szCs w:val="22"/>
        </w:rPr>
        <w:t>临时员工的人事</w:t>
      </w:r>
      <w:r w:rsidR="00EA5F54" w:rsidRPr="00730D93">
        <w:rPr>
          <w:rFonts w:eastAsiaTheme="minorEastAsia" w:hint="eastAsia"/>
          <w:bCs/>
          <w:sz w:val="21"/>
          <w:szCs w:val="22"/>
        </w:rPr>
        <w:t>费用</w:t>
      </w:r>
      <w:r w:rsidR="001D145A" w:rsidRPr="00730D93">
        <w:rPr>
          <w:rFonts w:eastAsiaTheme="minorEastAsia" w:hint="eastAsia"/>
          <w:bCs/>
          <w:sz w:val="21"/>
          <w:szCs w:val="22"/>
        </w:rPr>
        <w:t>有所下降是由于持续性岗位的转正工作在</w:t>
      </w:r>
      <w:r w:rsidR="001D145A" w:rsidRPr="00730D93">
        <w:rPr>
          <w:rFonts w:eastAsiaTheme="minorEastAsia" w:hint="eastAsia"/>
          <w:bCs/>
          <w:sz w:val="21"/>
          <w:szCs w:val="22"/>
        </w:rPr>
        <w:t>2014/15</w:t>
      </w:r>
      <w:r w:rsidR="001D145A" w:rsidRPr="00730D93">
        <w:rPr>
          <w:rFonts w:eastAsiaTheme="minorEastAsia" w:hint="eastAsia"/>
          <w:bCs/>
          <w:sz w:val="21"/>
          <w:szCs w:val="22"/>
        </w:rPr>
        <w:t>两年期已完成</w:t>
      </w:r>
      <w:r w:rsidR="005A1670" w:rsidRPr="00730D93">
        <w:rPr>
          <w:rFonts w:eastAsiaTheme="minorEastAsia" w:hint="eastAsia"/>
          <w:bCs/>
          <w:sz w:val="21"/>
          <w:szCs w:val="22"/>
        </w:rPr>
        <w:t>（</w:t>
      </w:r>
      <w:r w:rsidR="008113B9" w:rsidRPr="00730D93">
        <w:rPr>
          <w:rFonts w:eastAsiaTheme="minorEastAsia" w:hint="eastAsia"/>
          <w:bCs/>
          <w:sz w:val="21"/>
          <w:szCs w:val="22"/>
        </w:rPr>
        <w:t>在成员国原则上批准的</w:t>
      </w:r>
      <w:r w:rsidR="008113B9" w:rsidRPr="00730D93">
        <w:rPr>
          <w:rFonts w:eastAsiaTheme="minorEastAsia" w:hint="eastAsia"/>
          <w:bCs/>
          <w:sz w:val="21"/>
          <w:szCs w:val="22"/>
        </w:rPr>
        <w:t>156</w:t>
      </w:r>
      <w:r w:rsidR="00EA5F54" w:rsidRPr="00730D93">
        <w:rPr>
          <w:rFonts w:eastAsiaTheme="minorEastAsia" w:hint="eastAsia"/>
          <w:bCs/>
          <w:sz w:val="21"/>
          <w:szCs w:val="22"/>
        </w:rPr>
        <w:t>个</w:t>
      </w:r>
      <w:r w:rsidR="00EA5F54" w:rsidRPr="005A1670">
        <w:rPr>
          <w:rFonts w:hint="eastAsia"/>
          <w:bCs/>
          <w:sz w:val="21"/>
          <w:szCs w:val="22"/>
        </w:rPr>
        <w:t>转正</w:t>
      </w:r>
      <w:r w:rsidR="00EA5F54" w:rsidRPr="00730D93">
        <w:rPr>
          <w:rFonts w:eastAsiaTheme="minorEastAsia" w:hint="eastAsia"/>
          <w:bCs/>
          <w:sz w:val="21"/>
          <w:szCs w:val="22"/>
        </w:rPr>
        <w:t>员额</w:t>
      </w:r>
      <w:r w:rsidR="008113B9" w:rsidRPr="00730D93">
        <w:rPr>
          <w:rFonts w:eastAsiaTheme="minorEastAsia" w:hint="eastAsia"/>
          <w:bCs/>
          <w:sz w:val="21"/>
          <w:szCs w:val="22"/>
        </w:rPr>
        <w:t>的框架内</w:t>
      </w:r>
      <w:r w:rsidR="005A1670" w:rsidRPr="00730D93">
        <w:rPr>
          <w:rFonts w:eastAsiaTheme="minorEastAsia" w:hint="eastAsia"/>
          <w:bCs/>
          <w:sz w:val="21"/>
          <w:szCs w:val="22"/>
        </w:rPr>
        <w:t>（</w:t>
      </w:r>
      <w:r>
        <w:rPr>
          <w:bCs/>
          <w:sz w:val="21"/>
          <w:szCs w:val="22"/>
        </w:rPr>
        <w:t>文号</w:t>
      </w:r>
      <w:r w:rsidR="008113B9" w:rsidRPr="0044088F">
        <w:rPr>
          <w:bCs/>
          <w:sz w:val="21"/>
          <w:szCs w:val="22"/>
        </w:rPr>
        <w:t>WO/CC/63/5</w:t>
      </w:r>
      <w:r w:rsidR="005A1670" w:rsidRPr="00730D93">
        <w:rPr>
          <w:rFonts w:eastAsiaTheme="minorEastAsia" w:hint="eastAsia"/>
          <w:bCs/>
          <w:sz w:val="21"/>
          <w:szCs w:val="22"/>
        </w:rPr>
        <w:t>））</w:t>
      </w:r>
      <w:r w:rsidR="008113B9" w:rsidRPr="00730D93">
        <w:rPr>
          <w:rFonts w:eastAsiaTheme="minorEastAsia" w:hint="eastAsia"/>
          <w:bCs/>
          <w:sz w:val="21"/>
          <w:szCs w:val="22"/>
        </w:rPr>
        <w:t>。因此，</w:t>
      </w:r>
      <w:r w:rsidR="008113B9" w:rsidRPr="00730D93">
        <w:rPr>
          <w:rFonts w:eastAsiaTheme="minorEastAsia" w:hint="eastAsia"/>
          <w:bCs/>
          <w:sz w:val="21"/>
          <w:szCs w:val="22"/>
        </w:rPr>
        <w:t>2016/17</w:t>
      </w:r>
      <w:r w:rsidR="008113B9" w:rsidRPr="00730D93">
        <w:rPr>
          <w:rFonts w:eastAsiaTheme="minorEastAsia" w:hint="eastAsia"/>
          <w:bCs/>
          <w:sz w:val="21"/>
          <w:szCs w:val="22"/>
        </w:rPr>
        <w:t>两年期临时岗位数量为</w:t>
      </w:r>
      <w:r w:rsidR="008113B9" w:rsidRPr="00730D93">
        <w:rPr>
          <w:rFonts w:eastAsiaTheme="minorEastAsia" w:hint="eastAsia"/>
          <w:bCs/>
          <w:sz w:val="21"/>
          <w:szCs w:val="22"/>
        </w:rPr>
        <w:t>111</w:t>
      </w:r>
      <w:r w:rsidR="008113B9" w:rsidRPr="00730D93">
        <w:rPr>
          <w:rFonts w:eastAsiaTheme="minorEastAsia" w:hint="eastAsia"/>
          <w:bCs/>
          <w:sz w:val="21"/>
          <w:szCs w:val="22"/>
        </w:rPr>
        <w:t>个，而</w:t>
      </w:r>
      <w:r w:rsidR="008113B9" w:rsidRPr="00730D93">
        <w:rPr>
          <w:rFonts w:eastAsiaTheme="minorEastAsia" w:hint="eastAsia"/>
          <w:bCs/>
          <w:sz w:val="21"/>
          <w:szCs w:val="22"/>
        </w:rPr>
        <w:t>2014/15</w:t>
      </w:r>
      <w:r w:rsidR="008113B9" w:rsidRPr="00730D93">
        <w:rPr>
          <w:rFonts w:eastAsiaTheme="minorEastAsia" w:hint="eastAsia"/>
          <w:bCs/>
          <w:sz w:val="21"/>
          <w:szCs w:val="22"/>
        </w:rPr>
        <w:t>两年期为</w:t>
      </w:r>
      <w:r w:rsidR="008113B9" w:rsidRPr="00730D93">
        <w:rPr>
          <w:rFonts w:eastAsiaTheme="minorEastAsia" w:hint="eastAsia"/>
          <w:bCs/>
          <w:sz w:val="21"/>
          <w:szCs w:val="22"/>
        </w:rPr>
        <w:t>144</w:t>
      </w:r>
      <w:r w:rsidR="008113B9" w:rsidRPr="00730D93">
        <w:rPr>
          <w:rFonts w:eastAsiaTheme="minorEastAsia" w:hint="eastAsia"/>
          <w:bCs/>
          <w:sz w:val="21"/>
          <w:szCs w:val="22"/>
        </w:rPr>
        <w:t>个。</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F15AEB" w:rsidRPr="0044088F">
        <w:rPr>
          <w:b/>
          <w:sz w:val="21"/>
        </w:rPr>
        <w:t>5</w:t>
      </w:r>
      <w:r w:rsidRPr="0044088F">
        <w:rPr>
          <w:b/>
          <w:sz w:val="21"/>
        </w:rPr>
        <w:t>：</w:t>
      </w:r>
      <w:r w:rsidR="00E23BED" w:rsidRPr="00730D93">
        <w:rPr>
          <w:rFonts w:eastAsiaTheme="minorEastAsia" w:hint="eastAsia"/>
          <w:b/>
          <w:sz w:val="21"/>
        </w:rPr>
        <w:t>持续性岗位的转正是否造成</w:t>
      </w:r>
      <w:r w:rsidR="006E48F3" w:rsidRPr="00730D93">
        <w:rPr>
          <w:rFonts w:eastAsiaTheme="minorEastAsia" w:hint="eastAsia"/>
          <w:b/>
          <w:sz w:val="21"/>
        </w:rPr>
        <w:t>“员额”下的支出增加？</w:t>
      </w:r>
    </w:p>
    <w:p w:rsidR="005A1670" w:rsidRPr="00730D93" w:rsidRDefault="0044088F" w:rsidP="005A1670">
      <w:pPr>
        <w:spacing w:afterLines="50" w:after="120" w:line="340" w:lineRule="atLeast"/>
        <w:jc w:val="both"/>
        <w:rPr>
          <w:rFonts w:eastAsiaTheme="minorEastAsia"/>
          <w:sz w:val="21"/>
        </w:rPr>
      </w:pPr>
      <w:r>
        <w:rPr>
          <w:sz w:val="21"/>
        </w:rPr>
        <w:t>答</w:t>
      </w:r>
      <w:r w:rsidR="00F15AEB" w:rsidRPr="0044088F">
        <w:rPr>
          <w:sz w:val="21"/>
        </w:rPr>
        <w:t>5</w:t>
      </w:r>
      <w:r w:rsidRPr="0044088F">
        <w:rPr>
          <w:sz w:val="21"/>
        </w:rPr>
        <w:t>：</w:t>
      </w:r>
      <w:r w:rsidR="006E48F3" w:rsidRPr="00730D93">
        <w:rPr>
          <w:rFonts w:eastAsiaTheme="minorEastAsia" w:hint="eastAsia"/>
          <w:sz w:val="21"/>
        </w:rPr>
        <w:t>持续性岗位的</w:t>
      </w:r>
      <w:r w:rsidR="006E48F3" w:rsidRPr="005A1670">
        <w:rPr>
          <w:rFonts w:hint="eastAsia"/>
          <w:bCs/>
          <w:sz w:val="21"/>
          <w:szCs w:val="22"/>
        </w:rPr>
        <w:t>转正</w:t>
      </w:r>
      <w:r w:rsidR="005A1670" w:rsidRPr="00730D93">
        <w:rPr>
          <w:rFonts w:eastAsiaTheme="minorEastAsia" w:hint="eastAsia"/>
          <w:sz w:val="21"/>
        </w:rPr>
        <w:t>（</w:t>
      </w:r>
      <w:r w:rsidR="006E48F3" w:rsidRPr="00730D93">
        <w:rPr>
          <w:rFonts w:eastAsiaTheme="minorEastAsia" w:hint="eastAsia"/>
          <w:sz w:val="21"/>
        </w:rPr>
        <w:t>见上文问题</w:t>
      </w:r>
      <w:r w:rsidR="006E48F3" w:rsidRPr="00730D93">
        <w:rPr>
          <w:rFonts w:eastAsiaTheme="minorEastAsia" w:hint="eastAsia"/>
          <w:sz w:val="21"/>
        </w:rPr>
        <w:t>4</w:t>
      </w:r>
      <w:r w:rsidR="005A1670" w:rsidRPr="00730D93">
        <w:rPr>
          <w:rFonts w:eastAsiaTheme="minorEastAsia" w:hint="eastAsia"/>
          <w:sz w:val="21"/>
        </w:rPr>
        <w:t>）</w:t>
      </w:r>
      <w:r w:rsidR="002E2435" w:rsidRPr="00730D93">
        <w:rPr>
          <w:rFonts w:eastAsiaTheme="minorEastAsia" w:hint="eastAsia"/>
          <w:sz w:val="21"/>
        </w:rPr>
        <w:t>将临时岗位转为员额。因此“员额”下</w:t>
      </w:r>
      <w:r w:rsidR="00183C6C" w:rsidRPr="00730D93">
        <w:rPr>
          <w:rFonts w:eastAsiaTheme="minorEastAsia" w:hint="eastAsia"/>
          <w:sz w:val="21"/>
        </w:rPr>
        <w:t>的相关增长</w:t>
      </w:r>
      <w:r w:rsidR="005A1670" w:rsidRPr="00730D93">
        <w:rPr>
          <w:rFonts w:eastAsiaTheme="minorEastAsia" w:hint="eastAsia"/>
          <w:sz w:val="21"/>
        </w:rPr>
        <w:t>（</w:t>
      </w:r>
      <w:r w:rsidR="00183C6C" w:rsidRPr="00730D93">
        <w:rPr>
          <w:rFonts w:eastAsiaTheme="minorEastAsia" w:hint="eastAsia"/>
          <w:sz w:val="21"/>
        </w:rPr>
        <w:t>和“临时员工”下的降低</w:t>
      </w:r>
      <w:r w:rsidR="005A1670" w:rsidRPr="00730D93">
        <w:rPr>
          <w:rFonts w:eastAsiaTheme="minorEastAsia" w:hint="eastAsia"/>
          <w:sz w:val="21"/>
        </w:rPr>
        <w:t>）</w:t>
      </w:r>
      <w:r w:rsidR="00183C6C" w:rsidRPr="00730D93">
        <w:rPr>
          <w:rFonts w:eastAsiaTheme="minorEastAsia" w:hint="eastAsia"/>
          <w:sz w:val="21"/>
        </w:rPr>
        <w:t>为临时岗位和员额的成本差异</w:t>
      </w:r>
      <w:r w:rsidR="005A1670" w:rsidRPr="00730D93">
        <w:rPr>
          <w:rFonts w:eastAsiaTheme="minorEastAsia" w:hint="eastAsia"/>
          <w:sz w:val="21"/>
        </w:rPr>
        <w:t>（</w:t>
      </w:r>
      <w:r w:rsidR="00183C6C" w:rsidRPr="00730D93">
        <w:rPr>
          <w:rFonts w:eastAsiaTheme="minorEastAsia" w:hint="eastAsia"/>
          <w:sz w:val="21"/>
        </w:rPr>
        <w:t>这两类合同之间在福利和应享权利方面的差异</w:t>
      </w:r>
      <w:r w:rsidR="005A1670" w:rsidRPr="00730D93">
        <w:rPr>
          <w:rFonts w:eastAsiaTheme="minorEastAsia" w:hint="eastAsia"/>
          <w:sz w:val="21"/>
        </w:rPr>
        <w:t>）</w:t>
      </w:r>
      <w:r w:rsidR="00EA5F54"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sz w:val="21"/>
        </w:rPr>
      </w:pPr>
      <w:r>
        <w:rPr>
          <w:b/>
          <w:bCs/>
          <w:sz w:val="21"/>
        </w:rPr>
        <w:t>问</w:t>
      </w:r>
      <w:r w:rsidR="00F15AEB" w:rsidRPr="0044088F">
        <w:rPr>
          <w:b/>
          <w:bCs/>
          <w:sz w:val="21"/>
        </w:rPr>
        <w:t>6</w:t>
      </w:r>
      <w:r w:rsidRPr="0044088F">
        <w:rPr>
          <w:b/>
          <w:bCs/>
          <w:sz w:val="21"/>
        </w:rPr>
        <w:t>：</w:t>
      </w:r>
      <w:r w:rsidR="00183C6C" w:rsidRPr="00730D93">
        <w:rPr>
          <w:rFonts w:eastAsiaTheme="minorEastAsia" w:hint="eastAsia"/>
          <w:b/>
          <w:sz w:val="21"/>
        </w:rPr>
        <w:t>2.1%</w:t>
      </w:r>
      <w:r w:rsidR="00183C6C" w:rsidRPr="00730D93">
        <w:rPr>
          <w:rFonts w:eastAsiaTheme="minorEastAsia" w:hint="eastAsia"/>
          <w:b/>
          <w:sz w:val="21"/>
        </w:rPr>
        <w:t>的人事费用增长是否包含</w:t>
      </w:r>
      <w:r w:rsidR="00183C6C" w:rsidRPr="00730D93">
        <w:rPr>
          <w:rFonts w:eastAsiaTheme="minorEastAsia" w:hint="eastAsia"/>
          <w:b/>
          <w:sz w:val="21"/>
        </w:rPr>
        <w:t>ASHI</w:t>
      </w:r>
      <w:r w:rsidR="00DF0440" w:rsidRPr="00730D93">
        <w:rPr>
          <w:rFonts w:eastAsiaTheme="minorEastAsia" w:hint="eastAsia"/>
          <w:b/>
          <w:sz w:val="21"/>
        </w:rPr>
        <w:t>计提？</w:t>
      </w:r>
    </w:p>
    <w:p w:rsidR="005A1670" w:rsidRPr="00730D93" w:rsidRDefault="0044088F" w:rsidP="005A1670">
      <w:pPr>
        <w:spacing w:afterLines="50" w:after="120" w:line="340" w:lineRule="atLeast"/>
        <w:jc w:val="both"/>
        <w:rPr>
          <w:rFonts w:eastAsiaTheme="minorEastAsia"/>
          <w:b/>
          <w:bCs/>
          <w:sz w:val="21"/>
        </w:rPr>
      </w:pPr>
      <w:r>
        <w:rPr>
          <w:bCs/>
          <w:sz w:val="21"/>
        </w:rPr>
        <w:t>答</w:t>
      </w:r>
      <w:r w:rsidR="00F15AEB" w:rsidRPr="0044088F">
        <w:rPr>
          <w:bCs/>
          <w:sz w:val="21"/>
        </w:rPr>
        <w:t>6</w:t>
      </w:r>
      <w:r w:rsidRPr="0044088F">
        <w:rPr>
          <w:bCs/>
          <w:sz w:val="21"/>
        </w:rPr>
        <w:t>：</w:t>
      </w:r>
      <w:r w:rsidR="00DF0440" w:rsidRPr="00730D93">
        <w:rPr>
          <w:rFonts w:eastAsiaTheme="minorEastAsia" w:hint="eastAsia"/>
          <w:bCs/>
          <w:sz w:val="21"/>
        </w:rPr>
        <w:t>ASHI</w:t>
      </w:r>
      <w:r w:rsidR="00DF0440" w:rsidRPr="00730D93">
        <w:rPr>
          <w:rFonts w:eastAsiaTheme="minorEastAsia" w:hint="eastAsia"/>
          <w:bCs/>
          <w:sz w:val="21"/>
        </w:rPr>
        <w:t>计提</w:t>
      </w:r>
      <w:r w:rsidR="00DF0440" w:rsidRPr="005A1670">
        <w:rPr>
          <w:rFonts w:hint="eastAsia"/>
          <w:bCs/>
          <w:sz w:val="21"/>
          <w:szCs w:val="22"/>
        </w:rPr>
        <w:t>维持</w:t>
      </w:r>
      <w:r w:rsidR="00DF0440" w:rsidRPr="00730D93">
        <w:rPr>
          <w:rFonts w:eastAsiaTheme="minorEastAsia" w:hint="eastAsia"/>
          <w:bCs/>
          <w:sz w:val="21"/>
        </w:rPr>
        <w:t>在</w:t>
      </w:r>
      <w:r w:rsidR="00DF0440" w:rsidRPr="00730D93">
        <w:rPr>
          <w:rFonts w:eastAsiaTheme="minorEastAsia" w:hint="eastAsia"/>
          <w:bCs/>
          <w:sz w:val="21"/>
        </w:rPr>
        <w:t>6%</w:t>
      </w:r>
      <w:r w:rsidR="00DF0440" w:rsidRPr="00730D93">
        <w:rPr>
          <w:rFonts w:eastAsiaTheme="minorEastAsia" w:hint="eastAsia"/>
          <w:bCs/>
          <w:sz w:val="21"/>
        </w:rPr>
        <w:t>的水平；与</w:t>
      </w:r>
      <w:r w:rsidR="00DF0440" w:rsidRPr="00730D93">
        <w:rPr>
          <w:rFonts w:eastAsiaTheme="minorEastAsia" w:hint="eastAsia"/>
          <w:bCs/>
          <w:sz w:val="21"/>
        </w:rPr>
        <w:t>2014/15</w:t>
      </w:r>
      <w:r w:rsidR="00DF0440" w:rsidRPr="00730D93">
        <w:rPr>
          <w:rFonts w:eastAsiaTheme="minorEastAsia" w:hint="eastAsia"/>
          <w:bCs/>
          <w:sz w:val="21"/>
        </w:rPr>
        <w:t>两年期计划和预算中相同</w:t>
      </w:r>
      <w:r w:rsidR="005A1670" w:rsidRPr="00730D93">
        <w:rPr>
          <w:rFonts w:eastAsiaTheme="minorEastAsia" w:hint="eastAsia"/>
          <w:bCs/>
          <w:sz w:val="21"/>
        </w:rPr>
        <w:t>（</w:t>
      </w:r>
      <w:r w:rsidR="00DF0440" w:rsidRPr="00730D93">
        <w:rPr>
          <w:rFonts w:eastAsiaTheme="minorEastAsia" w:hint="eastAsia"/>
          <w:bCs/>
          <w:sz w:val="21"/>
        </w:rPr>
        <w:t>请见第</w:t>
      </w:r>
      <w:r w:rsidR="00DF0440" w:rsidRPr="00730D93">
        <w:rPr>
          <w:rFonts w:eastAsiaTheme="minorEastAsia" w:hint="eastAsia"/>
          <w:bCs/>
          <w:sz w:val="21"/>
        </w:rPr>
        <w:t>56-59</w:t>
      </w:r>
      <w:r w:rsidR="00DF0440" w:rsidRPr="00730D93">
        <w:rPr>
          <w:rFonts w:eastAsiaTheme="minorEastAsia" w:hint="eastAsia"/>
          <w:bCs/>
          <w:sz w:val="21"/>
        </w:rPr>
        <w:t>节的人事费用</w:t>
      </w:r>
      <w:r w:rsidR="00226824" w:rsidRPr="00730D93">
        <w:rPr>
          <w:rFonts w:eastAsiaTheme="minorEastAsia" w:hint="eastAsia"/>
          <w:bCs/>
          <w:sz w:val="21"/>
        </w:rPr>
        <w:t>规划假设</w:t>
      </w:r>
      <w:r w:rsidR="005A1670" w:rsidRPr="00730D93">
        <w:rPr>
          <w:rFonts w:eastAsiaTheme="minorEastAsia" w:hint="eastAsia"/>
          <w:bCs/>
          <w:sz w:val="21"/>
        </w:rPr>
        <w:t>）</w:t>
      </w:r>
      <w:r w:rsidR="00226824" w:rsidRPr="00730D93">
        <w:rPr>
          <w:rFonts w:eastAsiaTheme="minorEastAsia" w:hint="eastAsia"/>
          <w:bCs/>
          <w:sz w:val="21"/>
        </w:rPr>
        <w:t>。</w:t>
      </w:r>
    </w:p>
    <w:p w:rsidR="005F0E99"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F15AEB" w:rsidRPr="0044088F">
        <w:rPr>
          <w:b/>
          <w:bCs/>
          <w:sz w:val="21"/>
        </w:rPr>
        <w:t>7</w:t>
      </w:r>
      <w:r w:rsidRPr="0044088F">
        <w:rPr>
          <w:b/>
          <w:bCs/>
          <w:sz w:val="21"/>
        </w:rPr>
        <w:t>：</w:t>
      </w:r>
      <w:r w:rsidR="00CD2CF8" w:rsidRPr="00730D93">
        <w:rPr>
          <w:rFonts w:eastAsiaTheme="minorEastAsia" w:hint="eastAsia"/>
          <w:b/>
          <w:sz w:val="21"/>
        </w:rPr>
        <w:t>自</w:t>
      </w:r>
      <w:r w:rsidR="00CD2CF8" w:rsidRPr="00730D93">
        <w:rPr>
          <w:rFonts w:eastAsiaTheme="minorEastAsia" w:hint="eastAsia"/>
          <w:b/>
          <w:sz w:val="21"/>
        </w:rPr>
        <w:t>2013</w:t>
      </w:r>
      <w:r w:rsidR="00CD2CF8" w:rsidRPr="00730D93">
        <w:rPr>
          <w:rFonts w:eastAsiaTheme="minorEastAsia" w:hint="eastAsia"/>
          <w:b/>
          <w:sz w:val="21"/>
        </w:rPr>
        <w:t>年以来，在控制</w:t>
      </w:r>
      <w:r w:rsidR="00CD2CF8" w:rsidRPr="00730D93">
        <w:rPr>
          <w:rFonts w:eastAsiaTheme="minorEastAsia" w:hint="eastAsia"/>
          <w:b/>
          <w:sz w:val="21"/>
        </w:rPr>
        <w:t>ASHI</w:t>
      </w:r>
      <w:r w:rsidR="00CD2CF8" w:rsidRPr="00730D93">
        <w:rPr>
          <w:rFonts w:eastAsiaTheme="minorEastAsia" w:hint="eastAsia"/>
          <w:b/>
          <w:sz w:val="21"/>
        </w:rPr>
        <w:t>负债和管理</w:t>
      </w:r>
      <w:r w:rsidR="00CD2CF8" w:rsidRPr="00730D93">
        <w:rPr>
          <w:rFonts w:eastAsiaTheme="minorEastAsia" w:hint="eastAsia"/>
          <w:b/>
          <w:sz w:val="21"/>
        </w:rPr>
        <w:t>ASHI</w:t>
      </w:r>
      <w:r w:rsidR="00CD2CF8" w:rsidRPr="00730D93">
        <w:rPr>
          <w:rFonts w:eastAsiaTheme="minorEastAsia" w:hint="eastAsia"/>
          <w:b/>
          <w:sz w:val="21"/>
        </w:rPr>
        <w:t>基金方面取得了哪些进展？</w:t>
      </w:r>
    </w:p>
    <w:p w:rsidR="005A1670" w:rsidRPr="00730D93" w:rsidRDefault="0044088F" w:rsidP="005A1670">
      <w:pPr>
        <w:spacing w:afterLines="50" w:after="120" w:line="340" w:lineRule="atLeast"/>
        <w:jc w:val="both"/>
        <w:rPr>
          <w:rFonts w:eastAsiaTheme="minorEastAsia"/>
          <w:color w:val="282828"/>
          <w:sz w:val="21"/>
          <w:szCs w:val="23"/>
        </w:rPr>
      </w:pPr>
      <w:r>
        <w:rPr>
          <w:bCs/>
          <w:sz w:val="21"/>
        </w:rPr>
        <w:t>答</w:t>
      </w:r>
      <w:r w:rsidR="00F15AEB" w:rsidRPr="0044088F">
        <w:rPr>
          <w:bCs/>
          <w:sz w:val="21"/>
        </w:rPr>
        <w:t>7</w:t>
      </w:r>
      <w:r w:rsidRPr="0044088F">
        <w:rPr>
          <w:bCs/>
          <w:sz w:val="21"/>
        </w:rPr>
        <w:t>：</w:t>
      </w:r>
      <w:r w:rsidR="00CD2CF8" w:rsidRPr="00730D93">
        <w:rPr>
          <w:rFonts w:eastAsiaTheme="minorEastAsia" w:hint="eastAsia"/>
          <w:color w:val="282828"/>
          <w:sz w:val="21"/>
          <w:szCs w:val="23"/>
        </w:rPr>
        <w:t>秘书处采取主动的策略，通过提高员工队伍的敏捷性和灵活性，使他们能够轻松应对业务需求，以及推广</w:t>
      </w:r>
      <w:r w:rsidR="00CD2CF8" w:rsidRPr="005A1670">
        <w:rPr>
          <w:rFonts w:hint="eastAsia"/>
          <w:bCs/>
          <w:sz w:val="21"/>
          <w:szCs w:val="22"/>
        </w:rPr>
        <w:t>灵活</w:t>
      </w:r>
      <w:r w:rsidR="00CD2CF8" w:rsidRPr="00730D93">
        <w:rPr>
          <w:rFonts w:eastAsiaTheme="minorEastAsia" w:hint="eastAsia"/>
          <w:color w:val="282828"/>
          <w:sz w:val="21"/>
          <w:szCs w:val="23"/>
        </w:rPr>
        <w:t>的资源分配模型，从而控制人事费用，以确保长期员工福利负债的增长得到控制。因此没有为</w:t>
      </w:r>
      <w:r w:rsidR="00CD2CF8" w:rsidRPr="00730D93">
        <w:rPr>
          <w:rFonts w:eastAsiaTheme="minorEastAsia" w:hint="eastAsia"/>
          <w:color w:val="282828"/>
          <w:sz w:val="21"/>
          <w:szCs w:val="23"/>
        </w:rPr>
        <w:t>2016/17</w:t>
      </w:r>
      <w:r w:rsidR="00CD2CF8" w:rsidRPr="00730D93">
        <w:rPr>
          <w:rFonts w:eastAsiaTheme="minorEastAsia" w:hint="eastAsia"/>
          <w:color w:val="282828"/>
          <w:sz w:val="21"/>
          <w:szCs w:val="23"/>
        </w:rPr>
        <w:t>两年期规划新员额。</w:t>
      </w:r>
    </w:p>
    <w:p w:rsidR="005A1670" w:rsidRPr="00730D93" w:rsidRDefault="00EB345E" w:rsidP="005A1670">
      <w:pPr>
        <w:spacing w:afterLines="50" w:after="120" w:line="340" w:lineRule="atLeast"/>
        <w:jc w:val="both"/>
        <w:rPr>
          <w:rFonts w:eastAsiaTheme="minorEastAsia"/>
          <w:sz w:val="21"/>
        </w:rPr>
      </w:pPr>
      <w:r w:rsidRPr="00730D93">
        <w:rPr>
          <w:rFonts w:eastAsiaTheme="minorEastAsia" w:hint="eastAsia"/>
          <w:sz w:val="21"/>
        </w:rPr>
        <w:t>WIPO</w:t>
      </w:r>
      <w:r w:rsidRPr="00730D93">
        <w:rPr>
          <w:rFonts w:eastAsiaTheme="minorEastAsia" w:hint="eastAsia"/>
          <w:sz w:val="21"/>
        </w:rPr>
        <w:t>一直以来还是</w:t>
      </w:r>
      <w:r w:rsidRPr="00730D93">
        <w:rPr>
          <w:rFonts w:eastAsiaTheme="minorEastAsia" w:hint="eastAsia"/>
          <w:sz w:val="21"/>
        </w:rPr>
        <w:t>ASHI</w:t>
      </w:r>
      <w:r w:rsidRPr="00730D93">
        <w:rPr>
          <w:rFonts w:eastAsiaTheme="minorEastAsia" w:hint="eastAsia"/>
          <w:sz w:val="21"/>
        </w:rPr>
        <w:t>工作组的积极成员，该工作组</w:t>
      </w:r>
      <w:r w:rsidR="00F6412E" w:rsidRPr="00730D93">
        <w:rPr>
          <w:rFonts w:eastAsiaTheme="minorEastAsia" w:hint="eastAsia"/>
          <w:sz w:val="21"/>
        </w:rPr>
        <w:t>2013</w:t>
      </w:r>
      <w:r w:rsidR="00F6412E" w:rsidRPr="00730D93">
        <w:rPr>
          <w:rFonts w:eastAsiaTheme="minorEastAsia" w:hint="eastAsia"/>
          <w:sz w:val="21"/>
        </w:rPr>
        <w:t>年由联合国财务和预算网络建立，</w:t>
      </w:r>
      <w:r w:rsidR="00F6412E" w:rsidRPr="00730D93">
        <w:rPr>
          <w:rFonts w:eastAsiaTheme="minorEastAsia" w:hint="eastAsia"/>
          <w:sz w:val="21"/>
        </w:rPr>
        <w:t>WIPO</w:t>
      </w:r>
      <w:r w:rsidR="00F6412E" w:rsidRPr="00730D93">
        <w:rPr>
          <w:rFonts w:eastAsiaTheme="minorEastAsia" w:hint="eastAsia"/>
          <w:sz w:val="21"/>
        </w:rPr>
        <w:t>还是领导小组的成员。</w:t>
      </w:r>
      <w:r w:rsidR="00F6412E" w:rsidRPr="00730D93">
        <w:rPr>
          <w:rFonts w:eastAsiaTheme="minorEastAsia" w:hint="eastAsia"/>
          <w:sz w:val="21"/>
        </w:rPr>
        <w:t>ASHI</w:t>
      </w:r>
      <w:r w:rsidR="00F6412E" w:rsidRPr="00730D93">
        <w:rPr>
          <w:rFonts w:eastAsiaTheme="minorEastAsia" w:hint="eastAsia"/>
          <w:sz w:val="21"/>
        </w:rPr>
        <w:t>是</w:t>
      </w:r>
      <w:r w:rsidR="00B43DE1" w:rsidRPr="00730D93">
        <w:rPr>
          <w:rFonts w:eastAsiaTheme="minorEastAsia" w:hint="eastAsia"/>
          <w:sz w:val="21"/>
        </w:rPr>
        <w:t>一个宽泛复杂的议题，工作组在去年认识到需要得到顾问的协助。顾问</w:t>
      </w:r>
      <w:r w:rsidR="00F6412E" w:rsidRPr="00730D93">
        <w:rPr>
          <w:rFonts w:eastAsiaTheme="minorEastAsia" w:hint="eastAsia"/>
          <w:sz w:val="21"/>
        </w:rPr>
        <w:t>在</w:t>
      </w:r>
      <w:r w:rsidR="00F6412E" w:rsidRPr="00730D93">
        <w:rPr>
          <w:rFonts w:eastAsiaTheme="minorEastAsia" w:hint="eastAsia"/>
          <w:sz w:val="21"/>
        </w:rPr>
        <w:t>2015</w:t>
      </w:r>
      <w:r w:rsidR="00F6412E" w:rsidRPr="00730D93">
        <w:rPr>
          <w:rFonts w:eastAsiaTheme="minorEastAsia" w:hint="eastAsia"/>
          <w:sz w:val="21"/>
        </w:rPr>
        <w:t>年初开始工作，自此一直与工作组就在整个联合国系统内开展一项全面的医疗计划调查并对其进行分析进行工作。已要求所有机构提供</w:t>
      </w:r>
      <w:r w:rsidR="003C5629" w:rsidRPr="00730D93">
        <w:rPr>
          <w:rFonts w:eastAsiaTheme="minorEastAsia" w:hint="eastAsia"/>
          <w:sz w:val="21"/>
        </w:rPr>
        <w:t>额外</w:t>
      </w:r>
      <w:r w:rsidR="00F6412E" w:rsidRPr="00730D93">
        <w:rPr>
          <w:rFonts w:eastAsiaTheme="minorEastAsia" w:hint="eastAsia"/>
          <w:sz w:val="21"/>
        </w:rPr>
        <w:t>数据，并确定了需要深度调查的若干领域。这些领域包括使用国家医疗计划、机构之间联手以从医疗服务机构获得更优惠的</w:t>
      </w:r>
      <w:r w:rsidR="00B43DE1" w:rsidRPr="00730D93">
        <w:rPr>
          <w:rFonts w:eastAsiaTheme="minorEastAsia" w:hint="eastAsia"/>
          <w:sz w:val="21"/>
        </w:rPr>
        <w:t>价格以及建立从</w:t>
      </w:r>
      <w:r w:rsidR="003C5629" w:rsidRPr="00730D93">
        <w:rPr>
          <w:rFonts w:eastAsiaTheme="minorEastAsia" w:hint="eastAsia"/>
          <w:sz w:val="21"/>
        </w:rPr>
        <w:t>内部管理的医疗计划等。</w:t>
      </w:r>
      <w:r w:rsidR="003C5629" w:rsidRPr="005A1670">
        <w:rPr>
          <w:rFonts w:hint="eastAsia"/>
          <w:bCs/>
          <w:sz w:val="21"/>
          <w:szCs w:val="22"/>
        </w:rPr>
        <w:t>上述</w:t>
      </w:r>
      <w:r w:rsidR="003C5629" w:rsidRPr="00730D93">
        <w:rPr>
          <w:rFonts w:eastAsiaTheme="minorEastAsia" w:hint="eastAsia"/>
          <w:sz w:val="21"/>
        </w:rPr>
        <w:t>工作正在进行中，工作组预计将在</w:t>
      </w:r>
      <w:r w:rsidR="003C5629" w:rsidRPr="00730D93">
        <w:rPr>
          <w:rFonts w:eastAsiaTheme="minorEastAsia" w:hint="eastAsia"/>
          <w:sz w:val="21"/>
        </w:rPr>
        <w:t>2016</w:t>
      </w:r>
      <w:r w:rsidR="003C5629" w:rsidRPr="00730D93">
        <w:rPr>
          <w:rFonts w:eastAsiaTheme="minorEastAsia" w:hint="eastAsia"/>
          <w:sz w:val="21"/>
        </w:rPr>
        <w:t>年初复会后会议上向大会进行报告。</w:t>
      </w:r>
    </w:p>
    <w:p w:rsidR="005F0E99"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F15AEB" w:rsidRPr="0044088F">
        <w:rPr>
          <w:b/>
          <w:bCs/>
          <w:sz w:val="21"/>
        </w:rPr>
        <w:t>8</w:t>
      </w:r>
      <w:r w:rsidRPr="0044088F">
        <w:rPr>
          <w:b/>
          <w:bCs/>
          <w:sz w:val="21"/>
        </w:rPr>
        <w:t>：</w:t>
      </w:r>
      <w:r w:rsidR="00173A35" w:rsidRPr="00730D93">
        <w:rPr>
          <w:rFonts w:eastAsiaTheme="minorEastAsia" w:hint="eastAsia"/>
          <w:b/>
          <w:sz w:val="21"/>
        </w:rPr>
        <w:t>财务报告中的</w:t>
      </w:r>
      <w:r w:rsidR="00173A35" w:rsidRPr="00730D93">
        <w:rPr>
          <w:rFonts w:eastAsiaTheme="minorEastAsia" w:hint="eastAsia"/>
          <w:b/>
          <w:sz w:val="21"/>
        </w:rPr>
        <w:t>ASHI</w:t>
      </w:r>
      <w:r w:rsidR="00173A35" w:rsidRPr="00730D93">
        <w:rPr>
          <w:rFonts w:eastAsiaTheme="minorEastAsia" w:hint="eastAsia"/>
          <w:b/>
          <w:sz w:val="21"/>
        </w:rPr>
        <w:t>负债是否考虑到了实行负利率后的贴现率？</w:t>
      </w:r>
    </w:p>
    <w:p w:rsidR="005A1670" w:rsidRPr="00730D93" w:rsidRDefault="0044088F" w:rsidP="005A1670">
      <w:pPr>
        <w:spacing w:afterLines="50" w:after="120" w:line="340" w:lineRule="atLeast"/>
        <w:jc w:val="both"/>
        <w:rPr>
          <w:rFonts w:eastAsiaTheme="minorEastAsia"/>
          <w:sz w:val="21"/>
        </w:rPr>
      </w:pPr>
      <w:r>
        <w:rPr>
          <w:bCs/>
          <w:sz w:val="21"/>
        </w:rPr>
        <w:t>答</w:t>
      </w:r>
      <w:r w:rsidR="00F15AEB" w:rsidRPr="0044088F">
        <w:rPr>
          <w:bCs/>
          <w:sz w:val="21"/>
        </w:rPr>
        <w:t>8</w:t>
      </w:r>
      <w:r w:rsidRPr="0044088F">
        <w:rPr>
          <w:bCs/>
          <w:sz w:val="21"/>
        </w:rPr>
        <w:t>：</w:t>
      </w:r>
      <w:r w:rsidR="00D62049" w:rsidRPr="00730D93">
        <w:rPr>
          <w:rFonts w:eastAsiaTheme="minorEastAsia" w:hint="eastAsia"/>
          <w:sz w:val="21"/>
        </w:rPr>
        <w:t>贴现率反映的是截至</w:t>
      </w:r>
      <w:r w:rsidR="00D62049" w:rsidRPr="00730D93">
        <w:rPr>
          <w:rFonts w:eastAsiaTheme="minorEastAsia" w:hint="eastAsia"/>
          <w:sz w:val="21"/>
        </w:rPr>
        <w:t>2014</w:t>
      </w:r>
      <w:r w:rsidR="00D62049" w:rsidRPr="00730D93">
        <w:rPr>
          <w:rFonts w:eastAsiaTheme="minorEastAsia" w:hint="eastAsia"/>
          <w:sz w:val="21"/>
        </w:rPr>
        <w:t>年</w:t>
      </w:r>
      <w:r w:rsidR="00D62049" w:rsidRPr="00730D93">
        <w:rPr>
          <w:rFonts w:eastAsiaTheme="minorEastAsia" w:hint="eastAsia"/>
          <w:sz w:val="21"/>
        </w:rPr>
        <w:t>12</w:t>
      </w:r>
      <w:r w:rsidR="00D62049" w:rsidRPr="00730D93">
        <w:rPr>
          <w:rFonts w:eastAsiaTheme="minorEastAsia" w:hint="eastAsia"/>
          <w:sz w:val="21"/>
        </w:rPr>
        <w:t>月底的情况，即在欧元与瑞郎的货币挂钩被解除并广泛实行负利率之前。</w:t>
      </w:r>
    </w:p>
    <w:p w:rsidR="005F0E99"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F15AEB" w:rsidRPr="0044088F">
        <w:rPr>
          <w:b/>
          <w:bCs/>
          <w:sz w:val="21"/>
        </w:rPr>
        <w:t>9</w:t>
      </w:r>
      <w:r w:rsidRPr="0044088F">
        <w:rPr>
          <w:b/>
          <w:bCs/>
          <w:sz w:val="21"/>
        </w:rPr>
        <w:t>：</w:t>
      </w:r>
      <w:r w:rsidR="00D62049" w:rsidRPr="00730D93">
        <w:rPr>
          <w:rFonts w:eastAsiaTheme="minorEastAsia" w:hint="eastAsia"/>
          <w:b/>
          <w:sz w:val="21"/>
        </w:rPr>
        <w:t>是否对</w:t>
      </w:r>
      <w:r w:rsidR="00D62049" w:rsidRPr="00730D93">
        <w:rPr>
          <w:rFonts w:eastAsiaTheme="minorEastAsia" w:hint="eastAsia"/>
          <w:b/>
          <w:sz w:val="21"/>
        </w:rPr>
        <w:t>ASHI</w:t>
      </w:r>
      <w:r w:rsidR="00686144" w:rsidRPr="00730D93">
        <w:rPr>
          <w:rFonts w:eastAsiaTheme="minorEastAsia" w:hint="eastAsia"/>
          <w:b/>
          <w:sz w:val="21"/>
        </w:rPr>
        <w:t>的数值</w:t>
      </w:r>
      <w:r w:rsidR="00D62049" w:rsidRPr="00730D93">
        <w:rPr>
          <w:rFonts w:eastAsiaTheme="minorEastAsia" w:hint="eastAsia"/>
          <w:b/>
          <w:sz w:val="21"/>
        </w:rPr>
        <w:t>进行过更新？是否为了对</w:t>
      </w:r>
      <w:r w:rsidR="00686144" w:rsidRPr="00730D93">
        <w:rPr>
          <w:rFonts w:eastAsiaTheme="minorEastAsia" w:hint="eastAsia"/>
          <w:b/>
          <w:sz w:val="21"/>
        </w:rPr>
        <w:t>其</w:t>
      </w:r>
      <w:r w:rsidR="00D62049" w:rsidRPr="00730D93">
        <w:rPr>
          <w:rFonts w:eastAsiaTheme="minorEastAsia" w:hint="eastAsia"/>
          <w:b/>
          <w:sz w:val="21"/>
        </w:rPr>
        <w:t>进行更新而进行过精算研究？</w:t>
      </w:r>
    </w:p>
    <w:p w:rsidR="005A1670" w:rsidRPr="00730D93" w:rsidRDefault="0044088F" w:rsidP="005A1670">
      <w:pPr>
        <w:spacing w:afterLines="50" w:after="120" w:line="340" w:lineRule="atLeast"/>
        <w:jc w:val="both"/>
        <w:rPr>
          <w:rFonts w:eastAsiaTheme="minorEastAsia"/>
          <w:bCs/>
          <w:sz w:val="21"/>
        </w:rPr>
      </w:pPr>
      <w:r>
        <w:rPr>
          <w:bCs/>
          <w:sz w:val="21"/>
        </w:rPr>
        <w:t>答</w:t>
      </w:r>
      <w:r w:rsidR="00F15AEB" w:rsidRPr="0044088F">
        <w:rPr>
          <w:bCs/>
          <w:sz w:val="21"/>
        </w:rPr>
        <w:t>9</w:t>
      </w:r>
      <w:r w:rsidRPr="0044088F">
        <w:rPr>
          <w:bCs/>
          <w:sz w:val="21"/>
        </w:rPr>
        <w:t>：</w:t>
      </w:r>
      <w:r w:rsidR="00686144" w:rsidRPr="00730D93">
        <w:rPr>
          <w:rFonts w:eastAsiaTheme="minorEastAsia" w:hint="eastAsia"/>
          <w:bCs/>
          <w:sz w:val="21"/>
        </w:rPr>
        <w:t>在</w:t>
      </w:r>
      <w:r w:rsidR="00686144" w:rsidRPr="00730D93">
        <w:rPr>
          <w:rFonts w:eastAsiaTheme="minorEastAsia" w:hint="eastAsia"/>
          <w:bCs/>
          <w:sz w:val="21"/>
        </w:rPr>
        <w:t>2015</w:t>
      </w:r>
      <w:r w:rsidR="00686144" w:rsidRPr="00730D93">
        <w:rPr>
          <w:rFonts w:eastAsiaTheme="minorEastAsia" w:hint="eastAsia"/>
          <w:bCs/>
          <w:sz w:val="21"/>
        </w:rPr>
        <w:t>年初进行了精算研究，以对</w:t>
      </w:r>
      <w:r w:rsidR="00686144" w:rsidRPr="00730D93">
        <w:rPr>
          <w:rFonts w:eastAsiaTheme="minorEastAsia" w:hint="eastAsia"/>
          <w:bCs/>
          <w:sz w:val="21"/>
        </w:rPr>
        <w:t>ASHI</w:t>
      </w:r>
      <w:r w:rsidR="00B43DE1" w:rsidRPr="00730D93">
        <w:rPr>
          <w:rFonts w:eastAsiaTheme="minorEastAsia" w:hint="eastAsia"/>
          <w:bCs/>
          <w:sz w:val="21"/>
        </w:rPr>
        <w:t>的数值进行更新。这项工作每年都进行</w:t>
      </w:r>
      <w:r w:rsidR="00686144" w:rsidRPr="00730D93">
        <w:rPr>
          <w:rFonts w:eastAsiaTheme="minorEastAsia" w:hint="eastAsia"/>
          <w:bCs/>
          <w:sz w:val="21"/>
        </w:rPr>
        <w:t>。</w:t>
      </w:r>
      <w:r w:rsidR="00686144" w:rsidRPr="00730D93">
        <w:rPr>
          <w:rFonts w:eastAsiaTheme="minorEastAsia" w:hint="eastAsia"/>
          <w:bCs/>
          <w:sz w:val="21"/>
        </w:rPr>
        <w:t>2014</w:t>
      </w:r>
      <w:r w:rsidR="00686144" w:rsidRPr="00730D93">
        <w:rPr>
          <w:rFonts w:eastAsiaTheme="minorEastAsia" w:hint="eastAsia"/>
          <w:bCs/>
          <w:sz w:val="21"/>
        </w:rPr>
        <w:t>年财务报告所包含的负债为</w:t>
      </w:r>
      <w:r w:rsidR="00686144" w:rsidRPr="00730D93">
        <w:rPr>
          <w:rFonts w:eastAsiaTheme="minorEastAsia" w:hint="eastAsia"/>
          <w:bCs/>
          <w:sz w:val="21"/>
        </w:rPr>
        <w:t>12785.8</w:t>
      </w:r>
      <w:r w:rsidR="00686144" w:rsidRPr="00730D93">
        <w:rPr>
          <w:rFonts w:eastAsiaTheme="minorEastAsia" w:hint="eastAsia"/>
          <w:bCs/>
          <w:sz w:val="21"/>
        </w:rPr>
        <w:t>万瑞郎。</w:t>
      </w:r>
    </w:p>
    <w:p w:rsidR="005A1670" w:rsidRDefault="0044088F" w:rsidP="005A1670">
      <w:pPr>
        <w:pStyle w:val="ONUME"/>
        <w:keepNext/>
        <w:numPr>
          <w:ilvl w:val="0"/>
          <w:numId w:val="0"/>
        </w:numPr>
        <w:overflowPunct w:val="0"/>
        <w:spacing w:beforeLines="100" w:before="240" w:afterLines="50" w:after="120"/>
        <w:jc w:val="both"/>
        <w:rPr>
          <w:b/>
          <w:sz w:val="21"/>
        </w:rPr>
      </w:pPr>
      <w:r>
        <w:rPr>
          <w:b/>
          <w:sz w:val="21"/>
        </w:rPr>
        <w:t>问</w:t>
      </w:r>
      <w:r w:rsidR="00193020" w:rsidRPr="0044088F">
        <w:rPr>
          <w:b/>
          <w:sz w:val="21"/>
        </w:rPr>
        <w:t>1</w:t>
      </w:r>
      <w:r w:rsidR="00F15AEB" w:rsidRPr="0044088F">
        <w:rPr>
          <w:b/>
          <w:sz w:val="21"/>
        </w:rPr>
        <w:t>0</w:t>
      </w:r>
      <w:r w:rsidRPr="0044088F">
        <w:rPr>
          <w:b/>
          <w:sz w:val="21"/>
        </w:rPr>
        <w:t>：</w:t>
      </w:r>
      <w:r w:rsidR="005D58E8" w:rsidRPr="0044088F">
        <w:rPr>
          <w:rFonts w:hint="eastAsia"/>
          <w:b/>
          <w:sz w:val="21"/>
        </w:rPr>
        <w:t>未分拨</w:t>
      </w:r>
      <w:r w:rsidR="00686144" w:rsidRPr="0044088F">
        <w:rPr>
          <w:rFonts w:hint="eastAsia"/>
          <w:b/>
          <w:sz w:val="21"/>
        </w:rPr>
        <w:t>下的加班费用拨备是如何在各计划之间分配的？</w:t>
      </w:r>
    </w:p>
    <w:p w:rsidR="005A1670" w:rsidRPr="00730D93" w:rsidRDefault="0044088F" w:rsidP="005A1670">
      <w:pPr>
        <w:spacing w:afterLines="50" w:after="120" w:line="340" w:lineRule="atLeast"/>
        <w:jc w:val="both"/>
        <w:rPr>
          <w:rFonts w:eastAsiaTheme="minorEastAsia"/>
          <w:sz w:val="21"/>
        </w:rPr>
      </w:pPr>
      <w:r>
        <w:rPr>
          <w:sz w:val="21"/>
        </w:rPr>
        <w:t>答</w:t>
      </w:r>
      <w:r w:rsidR="00193020" w:rsidRPr="0044088F">
        <w:rPr>
          <w:sz w:val="21"/>
        </w:rPr>
        <w:t>1</w:t>
      </w:r>
      <w:r w:rsidR="00F15AEB" w:rsidRPr="0044088F">
        <w:rPr>
          <w:sz w:val="21"/>
        </w:rPr>
        <w:t>0</w:t>
      </w:r>
      <w:r w:rsidRPr="0044088F">
        <w:rPr>
          <w:sz w:val="21"/>
        </w:rPr>
        <w:t>：</w:t>
      </w:r>
      <w:r w:rsidR="00686144" w:rsidRPr="00730D93">
        <w:rPr>
          <w:rFonts w:eastAsiaTheme="minorEastAsia" w:hint="eastAsia"/>
          <w:sz w:val="21"/>
        </w:rPr>
        <w:t>为了使秘书处更好地监测和控制加班开支，在编制预算时对加班费用概算在“未分拨</w:t>
      </w:r>
      <w:r w:rsidR="005A1670" w:rsidRPr="00730D93">
        <w:rPr>
          <w:rFonts w:eastAsiaTheme="minorEastAsia" w:hint="eastAsia"/>
          <w:sz w:val="21"/>
        </w:rPr>
        <w:t>（</w:t>
      </w:r>
      <w:r w:rsidR="00686144" w:rsidRPr="00730D93">
        <w:rPr>
          <w:rFonts w:eastAsiaTheme="minorEastAsia" w:hint="eastAsia"/>
          <w:sz w:val="21"/>
        </w:rPr>
        <w:t>人事费</w:t>
      </w:r>
      <w:r w:rsidR="005A1670" w:rsidRPr="00730D93">
        <w:rPr>
          <w:rFonts w:eastAsiaTheme="minorEastAsia" w:hint="eastAsia"/>
          <w:sz w:val="21"/>
        </w:rPr>
        <w:t>）</w:t>
      </w:r>
      <w:r w:rsidR="00686144" w:rsidRPr="00730D93">
        <w:rPr>
          <w:rFonts w:eastAsiaTheme="minorEastAsia" w:hint="eastAsia"/>
          <w:sz w:val="21"/>
        </w:rPr>
        <w:t>”中进行了单独拨备</w:t>
      </w:r>
      <w:r w:rsidR="005A1670" w:rsidRPr="00730D93">
        <w:rPr>
          <w:rFonts w:eastAsiaTheme="minorEastAsia" w:hint="eastAsia"/>
          <w:sz w:val="21"/>
        </w:rPr>
        <w:t>（</w:t>
      </w:r>
      <w:r w:rsidR="00686144" w:rsidRPr="00730D93">
        <w:rPr>
          <w:rFonts w:eastAsiaTheme="minorEastAsia" w:hint="eastAsia"/>
          <w:sz w:val="21"/>
        </w:rPr>
        <w:t>200</w:t>
      </w:r>
      <w:r w:rsidR="00686144" w:rsidRPr="00730D93">
        <w:rPr>
          <w:rFonts w:eastAsiaTheme="minorEastAsia" w:hint="eastAsia"/>
          <w:sz w:val="21"/>
        </w:rPr>
        <w:t>万瑞郎</w:t>
      </w:r>
      <w:r w:rsidR="005A1670" w:rsidRPr="00730D93">
        <w:rPr>
          <w:rFonts w:eastAsiaTheme="minorEastAsia" w:hint="eastAsia"/>
          <w:sz w:val="21"/>
        </w:rPr>
        <w:t>）</w:t>
      </w:r>
      <w:r w:rsidR="00686144" w:rsidRPr="00730D93">
        <w:rPr>
          <w:rFonts w:eastAsiaTheme="minorEastAsia" w:hint="eastAsia"/>
          <w:sz w:val="21"/>
        </w:rPr>
        <w:t>。因此，</w:t>
      </w:r>
      <w:r w:rsidR="00686144" w:rsidRPr="00730D93">
        <w:rPr>
          <w:rFonts w:eastAsiaTheme="minorEastAsia" w:hint="eastAsia"/>
          <w:sz w:val="21"/>
        </w:rPr>
        <w:t>2016/17</w:t>
      </w:r>
      <w:r w:rsidR="00686144" w:rsidRPr="00730D93">
        <w:rPr>
          <w:rFonts w:eastAsiaTheme="minorEastAsia" w:hint="eastAsia"/>
          <w:sz w:val="21"/>
        </w:rPr>
        <w:t>两年期加班费用概算没有单独编制在各项计划下。</w:t>
      </w:r>
    </w:p>
    <w:p w:rsidR="005A1670" w:rsidRDefault="00686144" w:rsidP="00880C0C">
      <w:pPr>
        <w:keepNext/>
        <w:spacing w:beforeLines="100" w:before="240" w:afterLines="50" w:after="120" w:line="340" w:lineRule="atLeast"/>
        <w:rPr>
          <w:b/>
          <w:sz w:val="24"/>
          <w:szCs w:val="24"/>
        </w:rPr>
      </w:pPr>
      <w:r w:rsidRPr="0044088F">
        <w:rPr>
          <w:rFonts w:hint="eastAsia"/>
          <w:b/>
          <w:sz w:val="24"/>
          <w:szCs w:val="24"/>
        </w:rPr>
        <w:lastRenderedPageBreak/>
        <w:t>发展支出</w:t>
      </w:r>
    </w:p>
    <w:p w:rsidR="005F0E99"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F0E99" w:rsidRPr="0044088F">
        <w:rPr>
          <w:b/>
          <w:sz w:val="21"/>
        </w:rPr>
        <w:t>1</w:t>
      </w:r>
      <w:r w:rsidRPr="0044088F">
        <w:rPr>
          <w:b/>
          <w:sz w:val="21"/>
        </w:rPr>
        <w:t>：</w:t>
      </w:r>
      <w:r w:rsidR="00B223BA" w:rsidRPr="00730D93">
        <w:rPr>
          <w:rFonts w:eastAsiaTheme="minorEastAsia" w:hint="eastAsia"/>
          <w:b/>
          <w:sz w:val="21"/>
        </w:rPr>
        <w:t>如果就对发展支出的定义进行修订达成了共识，修订后的定义是否能用于</w:t>
      </w:r>
      <w:r w:rsidR="00B223BA" w:rsidRPr="00730D93">
        <w:rPr>
          <w:rFonts w:eastAsiaTheme="minorEastAsia" w:hint="eastAsia"/>
          <w:b/>
          <w:sz w:val="21"/>
        </w:rPr>
        <w:t>2016/17</w:t>
      </w:r>
      <w:r w:rsidR="00B223BA" w:rsidRPr="00730D93">
        <w:rPr>
          <w:rFonts w:eastAsiaTheme="minorEastAsia" w:hint="eastAsia"/>
          <w:b/>
          <w:sz w:val="21"/>
        </w:rPr>
        <w:t>两年期计划和预算？</w:t>
      </w:r>
    </w:p>
    <w:p w:rsidR="005A1670" w:rsidRPr="00730D93" w:rsidRDefault="0044088F" w:rsidP="005A1670">
      <w:pPr>
        <w:spacing w:afterLines="50" w:after="120" w:line="340" w:lineRule="atLeast"/>
        <w:jc w:val="both"/>
        <w:rPr>
          <w:rFonts w:eastAsiaTheme="minorEastAsia"/>
          <w:sz w:val="21"/>
        </w:rPr>
      </w:pPr>
      <w:r>
        <w:rPr>
          <w:sz w:val="21"/>
        </w:rPr>
        <w:t>答</w:t>
      </w:r>
      <w:r w:rsidR="005F0E99" w:rsidRPr="0044088F">
        <w:rPr>
          <w:sz w:val="21"/>
        </w:rPr>
        <w:t>1</w:t>
      </w:r>
      <w:r w:rsidRPr="0044088F">
        <w:rPr>
          <w:sz w:val="21"/>
        </w:rPr>
        <w:t>：</w:t>
      </w:r>
      <w:r w:rsidR="00B81CC1" w:rsidRPr="00730D93">
        <w:rPr>
          <w:rFonts w:eastAsiaTheme="minorEastAsia" w:hint="eastAsia"/>
          <w:sz w:val="21"/>
        </w:rPr>
        <w:t>考虑到编制计划和预算所需的大量工作，包括要对发展支出进行估算，成员国在</w:t>
      </w:r>
      <w:r w:rsidR="00B81CC1" w:rsidRPr="00730D93">
        <w:rPr>
          <w:rFonts w:eastAsiaTheme="minorEastAsia" w:hint="eastAsia"/>
          <w:sz w:val="21"/>
        </w:rPr>
        <w:t>2015</w:t>
      </w:r>
      <w:r w:rsidR="00B81CC1" w:rsidRPr="00730D93">
        <w:rPr>
          <w:rFonts w:eastAsiaTheme="minorEastAsia" w:hint="eastAsia"/>
          <w:sz w:val="21"/>
        </w:rPr>
        <w:t>年议定的经修订的发展支出定义可以用于编制</w:t>
      </w:r>
      <w:r w:rsidR="00B81CC1" w:rsidRPr="00730D93">
        <w:rPr>
          <w:rFonts w:eastAsiaTheme="minorEastAsia" w:hint="eastAsia"/>
          <w:sz w:val="21"/>
        </w:rPr>
        <w:t>2018/19</w:t>
      </w:r>
      <w:r w:rsidR="00B81CC1" w:rsidRPr="00730D93">
        <w:rPr>
          <w:rFonts w:eastAsiaTheme="minorEastAsia" w:hint="eastAsia"/>
          <w:sz w:val="21"/>
        </w:rPr>
        <w:t>两年期计划和预算。</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F0E99" w:rsidRPr="0044088F">
        <w:rPr>
          <w:b/>
          <w:sz w:val="21"/>
        </w:rPr>
        <w:t>2</w:t>
      </w:r>
      <w:r w:rsidRPr="0044088F">
        <w:rPr>
          <w:b/>
          <w:sz w:val="21"/>
        </w:rPr>
        <w:t>：</w:t>
      </w:r>
      <w:r w:rsidR="00851215" w:rsidRPr="00730D93">
        <w:rPr>
          <w:rFonts w:eastAsiaTheme="minorEastAsia" w:hint="eastAsia"/>
          <w:b/>
          <w:sz w:val="21"/>
        </w:rPr>
        <w:t>是否有计划不包含发展支出？如果有，是哪些计划？</w:t>
      </w:r>
    </w:p>
    <w:p w:rsidR="005A1670" w:rsidRPr="00730D93" w:rsidRDefault="0044088F" w:rsidP="005A1670">
      <w:pPr>
        <w:spacing w:afterLines="50" w:after="120" w:line="340" w:lineRule="atLeast"/>
        <w:jc w:val="both"/>
        <w:rPr>
          <w:rFonts w:eastAsiaTheme="minorEastAsia"/>
          <w:sz w:val="21"/>
        </w:rPr>
      </w:pPr>
      <w:r>
        <w:rPr>
          <w:sz w:val="21"/>
        </w:rPr>
        <w:t>答</w:t>
      </w:r>
      <w:r w:rsidR="005F0E99" w:rsidRPr="0044088F">
        <w:rPr>
          <w:sz w:val="21"/>
        </w:rPr>
        <w:t>2</w:t>
      </w:r>
      <w:r w:rsidRPr="0044088F">
        <w:rPr>
          <w:sz w:val="21"/>
        </w:rPr>
        <w:t>：</w:t>
      </w:r>
      <w:r w:rsidR="00851215" w:rsidRPr="00730D93">
        <w:rPr>
          <w:rFonts w:eastAsiaTheme="minorEastAsia" w:hint="eastAsia"/>
          <w:sz w:val="21"/>
        </w:rPr>
        <w:t>大部分与战略</w:t>
      </w:r>
      <w:r w:rsidR="00851215" w:rsidRPr="005A1670">
        <w:rPr>
          <w:rFonts w:hint="eastAsia"/>
          <w:bCs/>
          <w:sz w:val="21"/>
          <w:szCs w:val="22"/>
        </w:rPr>
        <w:t>目标</w:t>
      </w:r>
      <w:r w:rsidR="00851215" w:rsidRPr="00730D93">
        <w:rPr>
          <w:rFonts w:eastAsiaTheme="minorEastAsia" w:hint="eastAsia"/>
          <w:sz w:val="21"/>
        </w:rPr>
        <w:t>九</w:t>
      </w:r>
      <w:r w:rsidR="003716C4" w:rsidRPr="00730D93">
        <w:rPr>
          <w:rFonts w:eastAsiaTheme="minorEastAsia" w:hint="eastAsia"/>
          <w:sz w:val="21"/>
        </w:rPr>
        <w:t>“有效的行政和财政支助”</w:t>
      </w:r>
      <w:r w:rsidR="00851215" w:rsidRPr="00730D93">
        <w:rPr>
          <w:rFonts w:eastAsiaTheme="minorEastAsia" w:hint="eastAsia"/>
          <w:sz w:val="21"/>
        </w:rPr>
        <w:t>有关的计划没有发展</w:t>
      </w:r>
      <w:r w:rsidR="00B8494D" w:rsidRPr="00730D93">
        <w:rPr>
          <w:rFonts w:eastAsiaTheme="minorEastAsia" w:hint="eastAsia"/>
          <w:sz w:val="21"/>
        </w:rPr>
        <w:t>支出</w:t>
      </w:r>
      <w:r w:rsidR="00851215" w:rsidRPr="00730D93">
        <w:rPr>
          <w:rFonts w:eastAsiaTheme="minorEastAsia" w:hint="eastAsia"/>
          <w:sz w:val="21"/>
        </w:rPr>
        <w:t>份额</w:t>
      </w:r>
      <w:r w:rsidR="005A1670" w:rsidRPr="00730D93">
        <w:rPr>
          <w:rFonts w:eastAsiaTheme="minorEastAsia" w:hint="eastAsia"/>
          <w:sz w:val="21"/>
        </w:rPr>
        <w:t>（</w:t>
      </w:r>
      <w:r w:rsidR="00851215" w:rsidRPr="00730D93">
        <w:rPr>
          <w:rFonts w:eastAsiaTheme="minorEastAsia" w:hint="eastAsia"/>
          <w:sz w:val="21"/>
        </w:rPr>
        <w:t>请见表</w:t>
      </w:r>
      <w:r w:rsidR="00851215" w:rsidRPr="00730D93">
        <w:rPr>
          <w:rFonts w:eastAsiaTheme="minorEastAsia" w:hint="eastAsia"/>
          <w:sz w:val="21"/>
        </w:rPr>
        <w:t>6</w:t>
      </w:r>
      <w:r w:rsidR="00851215" w:rsidRPr="00730D93">
        <w:rPr>
          <w:rFonts w:eastAsiaTheme="minorEastAsia" w:hint="eastAsia"/>
          <w:sz w:val="21"/>
        </w:rPr>
        <w:t>“按计划开列的</w:t>
      </w:r>
      <w:r w:rsidR="00851215" w:rsidRPr="00730D93">
        <w:rPr>
          <w:rFonts w:eastAsiaTheme="minorEastAsia" w:hint="eastAsia"/>
          <w:sz w:val="21"/>
        </w:rPr>
        <w:t>2016/17</w:t>
      </w:r>
      <w:r w:rsidR="00851215" w:rsidRPr="00730D93">
        <w:rPr>
          <w:rFonts w:eastAsiaTheme="minorEastAsia" w:hint="eastAsia"/>
          <w:sz w:val="21"/>
        </w:rPr>
        <w:t>两年期发展支出”</w:t>
      </w:r>
      <w:r w:rsidR="005A1670" w:rsidRPr="00730D93">
        <w:rPr>
          <w:rFonts w:eastAsiaTheme="minorEastAsia" w:hint="eastAsia"/>
          <w:sz w:val="21"/>
        </w:rPr>
        <w:t>）</w:t>
      </w:r>
      <w:r w:rsidR="00851215" w:rsidRPr="00730D93">
        <w:rPr>
          <w:rFonts w:eastAsiaTheme="minorEastAsia" w:hint="eastAsia"/>
          <w:sz w:val="21"/>
        </w:rPr>
        <w:t>。</w:t>
      </w:r>
    </w:p>
    <w:p w:rsidR="005F0E99"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F0E99" w:rsidRPr="0044088F">
        <w:rPr>
          <w:b/>
          <w:sz w:val="21"/>
        </w:rPr>
        <w:t>3</w:t>
      </w:r>
      <w:r w:rsidRPr="0044088F">
        <w:rPr>
          <w:b/>
          <w:sz w:val="21"/>
        </w:rPr>
        <w:t>：</w:t>
      </w:r>
      <w:r w:rsidR="00B8494D" w:rsidRPr="00730D93">
        <w:rPr>
          <w:rFonts w:eastAsiaTheme="minorEastAsia" w:hint="eastAsia"/>
          <w:b/>
          <w:sz w:val="21"/>
        </w:rPr>
        <w:t>拟议的</w:t>
      </w:r>
      <w:r w:rsidR="00B8494D" w:rsidRPr="00730D93">
        <w:rPr>
          <w:rFonts w:eastAsiaTheme="minorEastAsia" w:hint="eastAsia"/>
          <w:b/>
          <w:sz w:val="21"/>
        </w:rPr>
        <w:t>2016/17</w:t>
      </w:r>
      <w:r w:rsidR="00B8494D" w:rsidRPr="00730D93">
        <w:rPr>
          <w:rFonts w:eastAsiaTheme="minorEastAsia" w:hint="eastAsia"/>
          <w:b/>
          <w:sz w:val="21"/>
        </w:rPr>
        <w:t>两年期计划和预算中的发展支出份额是否与</w:t>
      </w:r>
      <w:r w:rsidR="00D03B40" w:rsidRPr="00730D93">
        <w:rPr>
          <w:rFonts w:eastAsiaTheme="minorEastAsia" w:hint="eastAsia"/>
          <w:b/>
          <w:sz w:val="21"/>
        </w:rPr>
        <w:t>2014/15</w:t>
      </w:r>
      <w:r w:rsidR="00D03B40" w:rsidRPr="00730D93">
        <w:rPr>
          <w:rFonts w:eastAsiaTheme="minorEastAsia" w:hint="eastAsia"/>
          <w:b/>
          <w:sz w:val="21"/>
        </w:rPr>
        <w:t>两年期计划和预算中的发展支出份额近似？</w:t>
      </w:r>
    </w:p>
    <w:p w:rsidR="005A1670" w:rsidRPr="00730D93" w:rsidRDefault="0044088F" w:rsidP="005A1670">
      <w:pPr>
        <w:spacing w:afterLines="50" w:after="120" w:line="340" w:lineRule="atLeast"/>
        <w:jc w:val="both"/>
        <w:rPr>
          <w:rFonts w:eastAsiaTheme="minorEastAsia"/>
          <w:sz w:val="21"/>
        </w:rPr>
      </w:pPr>
      <w:r>
        <w:rPr>
          <w:sz w:val="21"/>
        </w:rPr>
        <w:t>答</w:t>
      </w:r>
      <w:r w:rsidR="005F0E99" w:rsidRPr="0044088F">
        <w:rPr>
          <w:sz w:val="21"/>
        </w:rPr>
        <w:t>3</w:t>
      </w:r>
      <w:r w:rsidRPr="0044088F">
        <w:rPr>
          <w:sz w:val="21"/>
        </w:rPr>
        <w:t>：</w:t>
      </w:r>
      <w:r w:rsidR="00D03B40" w:rsidRPr="00730D93">
        <w:rPr>
          <w:rFonts w:eastAsiaTheme="minorEastAsia" w:hint="eastAsia"/>
          <w:sz w:val="21"/>
        </w:rPr>
        <w:t>发展在</w:t>
      </w:r>
      <w:r w:rsidR="00D03B40" w:rsidRPr="00730D93">
        <w:rPr>
          <w:rFonts w:eastAsiaTheme="minorEastAsia" w:hint="eastAsia"/>
          <w:sz w:val="21"/>
        </w:rPr>
        <w:t>2016/17</w:t>
      </w:r>
      <w:r w:rsidR="00D03B40" w:rsidRPr="00730D93">
        <w:rPr>
          <w:rFonts w:eastAsiaTheme="minorEastAsia" w:hint="eastAsia"/>
          <w:sz w:val="21"/>
        </w:rPr>
        <w:t>两年期仍然是一项工作重点，这反映在发展支出份额稳定在</w:t>
      </w:r>
      <w:r w:rsidR="00D03B40" w:rsidRPr="00730D93">
        <w:rPr>
          <w:rFonts w:eastAsiaTheme="minorEastAsia" w:hint="eastAsia"/>
          <w:sz w:val="21"/>
        </w:rPr>
        <w:t>21.3%</w:t>
      </w:r>
      <w:r w:rsidR="00D03B40" w:rsidRPr="00730D93">
        <w:rPr>
          <w:rFonts w:eastAsiaTheme="minorEastAsia" w:hint="eastAsia"/>
          <w:sz w:val="21"/>
        </w:rPr>
        <w:t>。应注意的是与</w:t>
      </w:r>
      <w:r w:rsidR="00D03B40" w:rsidRPr="00730D93">
        <w:rPr>
          <w:rFonts w:eastAsiaTheme="minorEastAsia" w:hint="eastAsia"/>
          <w:sz w:val="21"/>
        </w:rPr>
        <w:t>2014/15</w:t>
      </w:r>
      <w:r w:rsidR="00D03B40" w:rsidRPr="00730D93">
        <w:rPr>
          <w:rFonts w:eastAsiaTheme="minorEastAsia" w:hint="eastAsia"/>
          <w:sz w:val="21"/>
        </w:rPr>
        <w:t>两年期核定</w:t>
      </w:r>
      <w:r w:rsidR="00D03B40" w:rsidRPr="005A1670">
        <w:rPr>
          <w:rFonts w:hint="eastAsia"/>
          <w:bCs/>
          <w:sz w:val="21"/>
          <w:szCs w:val="22"/>
        </w:rPr>
        <w:t>预算</w:t>
      </w:r>
      <w:r w:rsidR="00D03B40" w:rsidRPr="00730D93">
        <w:rPr>
          <w:rFonts w:eastAsiaTheme="minorEastAsia" w:hint="eastAsia"/>
          <w:sz w:val="21"/>
        </w:rPr>
        <w:t>相比，</w:t>
      </w:r>
      <w:r w:rsidR="00D03B40" w:rsidRPr="00730D93">
        <w:rPr>
          <w:rFonts w:eastAsiaTheme="minorEastAsia" w:hint="eastAsia"/>
          <w:sz w:val="21"/>
        </w:rPr>
        <w:t>2016/17</w:t>
      </w:r>
      <w:r w:rsidR="00D03B40" w:rsidRPr="00730D93">
        <w:rPr>
          <w:rFonts w:eastAsiaTheme="minorEastAsia" w:hint="eastAsia"/>
          <w:sz w:val="21"/>
        </w:rPr>
        <w:t>两年期发展支出的绝对增长为</w:t>
      </w:r>
      <w:r w:rsidR="00D03B40" w:rsidRPr="00730D93">
        <w:rPr>
          <w:rFonts w:eastAsiaTheme="minorEastAsia" w:hint="eastAsia"/>
          <w:sz w:val="21"/>
        </w:rPr>
        <w:t>760</w:t>
      </w:r>
      <w:r w:rsidR="00D03B40" w:rsidRPr="00730D93">
        <w:rPr>
          <w:rFonts w:eastAsiaTheme="minorEastAsia" w:hint="eastAsia"/>
          <w:sz w:val="21"/>
        </w:rPr>
        <w:t>万瑞郎，增幅</w:t>
      </w:r>
      <w:r w:rsidR="00D03B40" w:rsidRPr="00730D93">
        <w:rPr>
          <w:rFonts w:eastAsiaTheme="minorEastAsia" w:hint="eastAsia"/>
          <w:sz w:val="21"/>
        </w:rPr>
        <w:t>5.2%</w:t>
      </w:r>
      <w:r w:rsidR="005A1670" w:rsidRPr="00730D93">
        <w:rPr>
          <w:rFonts w:eastAsiaTheme="minorEastAsia" w:hint="eastAsia"/>
          <w:sz w:val="21"/>
        </w:rPr>
        <w:t>（</w:t>
      </w:r>
      <w:r w:rsidR="00D03B40" w:rsidRPr="00730D93">
        <w:rPr>
          <w:rFonts w:eastAsiaTheme="minorEastAsia" w:hint="eastAsia"/>
          <w:sz w:val="21"/>
        </w:rPr>
        <w:t>另见第</w:t>
      </w:r>
      <w:r w:rsidR="00D03B40" w:rsidRPr="00730D93">
        <w:rPr>
          <w:rFonts w:eastAsiaTheme="minorEastAsia" w:hint="eastAsia"/>
          <w:sz w:val="21"/>
        </w:rPr>
        <w:t>11</w:t>
      </w:r>
      <w:r w:rsidR="00D03B40" w:rsidRPr="00730D93">
        <w:rPr>
          <w:rFonts w:eastAsiaTheme="minorEastAsia" w:hint="eastAsia"/>
          <w:sz w:val="21"/>
        </w:rPr>
        <w:t>页的成果框架图、第</w:t>
      </w:r>
      <w:r w:rsidR="00D03B40" w:rsidRPr="00730D93">
        <w:rPr>
          <w:rFonts w:eastAsiaTheme="minorEastAsia" w:hint="eastAsia"/>
          <w:sz w:val="21"/>
        </w:rPr>
        <w:t>60</w:t>
      </w:r>
      <w:r w:rsidR="00D03B40" w:rsidRPr="00730D93">
        <w:rPr>
          <w:rFonts w:eastAsiaTheme="minorEastAsia" w:hint="eastAsia"/>
          <w:sz w:val="21"/>
        </w:rPr>
        <w:t>节和表</w:t>
      </w:r>
      <w:r w:rsidR="00D03B40" w:rsidRPr="00730D93">
        <w:rPr>
          <w:rFonts w:eastAsiaTheme="minorEastAsia" w:hint="eastAsia"/>
          <w:sz w:val="21"/>
        </w:rPr>
        <w:t>6</w:t>
      </w:r>
      <w:r w:rsidR="00D03B40" w:rsidRPr="00730D93">
        <w:rPr>
          <w:rFonts w:eastAsiaTheme="minorEastAsia" w:hint="eastAsia"/>
          <w:sz w:val="21"/>
        </w:rPr>
        <w:t>“按计划开列的</w:t>
      </w:r>
      <w:r w:rsidR="00D03B40" w:rsidRPr="00730D93">
        <w:rPr>
          <w:rFonts w:eastAsiaTheme="minorEastAsia" w:hint="eastAsia"/>
          <w:sz w:val="21"/>
        </w:rPr>
        <w:t>2016/17</w:t>
      </w:r>
      <w:r w:rsidR="00D03B40" w:rsidRPr="00730D93">
        <w:rPr>
          <w:rFonts w:eastAsiaTheme="minorEastAsia" w:hint="eastAsia"/>
          <w:sz w:val="21"/>
        </w:rPr>
        <w:t>两年期发展支出”</w:t>
      </w:r>
      <w:r w:rsidR="005A1670" w:rsidRPr="00730D93">
        <w:rPr>
          <w:rFonts w:eastAsiaTheme="minorEastAsia" w:hint="eastAsia"/>
          <w:sz w:val="21"/>
        </w:rPr>
        <w:t>）</w:t>
      </w:r>
      <w:r w:rsidR="00D03B40"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78453E" w:rsidRPr="0044088F">
        <w:rPr>
          <w:b/>
          <w:bCs/>
          <w:sz w:val="21"/>
        </w:rPr>
        <w:t>4</w:t>
      </w:r>
      <w:r w:rsidRPr="0044088F">
        <w:rPr>
          <w:b/>
          <w:bCs/>
          <w:sz w:val="21"/>
        </w:rPr>
        <w:t>：</w:t>
      </w:r>
      <w:r w:rsidR="00951CDE" w:rsidRPr="00730D93">
        <w:rPr>
          <w:rFonts w:eastAsiaTheme="minorEastAsia" w:hint="eastAsia"/>
          <w:b/>
          <w:sz w:val="21"/>
        </w:rPr>
        <w:t>对于</w:t>
      </w:r>
      <w:r w:rsidR="004D7A58" w:rsidRPr="00730D93">
        <w:rPr>
          <w:rFonts w:eastAsiaTheme="minorEastAsia" w:hint="eastAsia"/>
          <w:b/>
          <w:sz w:val="21"/>
        </w:rPr>
        <w:t>编制入</w:t>
      </w:r>
      <w:r w:rsidR="004D7A58" w:rsidRPr="00730D93">
        <w:rPr>
          <w:rFonts w:eastAsiaTheme="minorEastAsia" w:hint="eastAsia"/>
          <w:b/>
          <w:sz w:val="21"/>
        </w:rPr>
        <w:t>2016/17</w:t>
      </w:r>
      <w:r w:rsidR="004D7A58" w:rsidRPr="00730D93">
        <w:rPr>
          <w:rFonts w:eastAsiaTheme="minorEastAsia" w:hint="eastAsia"/>
          <w:b/>
          <w:sz w:val="21"/>
        </w:rPr>
        <w:t>两年期计划和预算的发展议程项目</w:t>
      </w:r>
      <w:r w:rsidR="00951CDE" w:rsidRPr="00730D93">
        <w:rPr>
          <w:rFonts w:eastAsiaTheme="minorEastAsia" w:hint="eastAsia"/>
          <w:b/>
          <w:sz w:val="21"/>
        </w:rPr>
        <w:t>的</w:t>
      </w:r>
      <w:r w:rsidR="00951CDE" w:rsidRPr="00730D93">
        <w:rPr>
          <w:rFonts w:eastAsiaTheme="minorEastAsia" w:hint="eastAsia"/>
          <w:b/>
          <w:sz w:val="21"/>
        </w:rPr>
        <w:t>CDIP</w:t>
      </w:r>
      <w:r w:rsidR="00951CDE" w:rsidRPr="00730D93">
        <w:rPr>
          <w:rFonts w:eastAsiaTheme="minorEastAsia" w:hint="eastAsia"/>
          <w:b/>
          <w:sz w:val="21"/>
        </w:rPr>
        <w:t>批准程序是怎样的？</w:t>
      </w:r>
    </w:p>
    <w:p w:rsidR="005A1670" w:rsidRPr="00730D93" w:rsidRDefault="0044088F" w:rsidP="005A1670">
      <w:pPr>
        <w:spacing w:afterLines="50" w:after="120" w:line="340" w:lineRule="atLeast"/>
        <w:jc w:val="both"/>
        <w:rPr>
          <w:rFonts w:eastAsiaTheme="minorEastAsia"/>
          <w:sz w:val="21"/>
          <w:szCs w:val="22"/>
        </w:rPr>
      </w:pPr>
      <w:r>
        <w:rPr>
          <w:sz w:val="21"/>
          <w:szCs w:val="22"/>
        </w:rPr>
        <w:t>答</w:t>
      </w:r>
      <w:r w:rsidR="0078453E" w:rsidRPr="0044088F">
        <w:rPr>
          <w:sz w:val="21"/>
          <w:szCs w:val="22"/>
        </w:rPr>
        <w:t>4</w:t>
      </w:r>
      <w:r w:rsidRPr="0044088F">
        <w:rPr>
          <w:sz w:val="21"/>
          <w:szCs w:val="22"/>
        </w:rPr>
        <w:t>：</w:t>
      </w:r>
      <w:r w:rsidR="00951CDE" w:rsidRPr="00730D93">
        <w:rPr>
          <w:rFonts w:eastAsiaTheme="minorEastAsia" w:hint="eastAsia"/>
          <w:sz w:val="21"/>
          <w:szCs w:val="22"/>
        </w:rPr>
        <w:t>为</w:t>
      </w:r>
      <w:r w:rsidR="00951CDE" w:rsidRPr="00730D93">
        <w:rPr>
          <w:rFonts w:eastAsiaTheme="minorEastAsia" w:hint="eastAsia"/>
          <w:sz w:val="21"/>
          <w:szCs w:val="22"/>
        </w:rPr>
        <w:t>2016/17</w:t>
      </w:r>
      <w:r w:rsidR="00951CDE" w:rsidRPr="00730D93">
        <w:rPr>
          <w:rFonts w:eastAsiaTheme="minorEastAsia" w:hint="eastAsia"/>
          <w:sz w:val="21"/>
          <w:szCs w:val="22"/>
        </w:rPr>
        <w:t>两年期规划的发展议程项目分为三类：</w:t>
      </w:r>
    </w:p>
    <w:p w:rsidR="000C32DE" w:rsidRPr="0044088F" w:rsidRDefault="00951CDE" w:rsidP="00880C0C">
      <w:pPr>
        <w:pStyle w:val="af2"/>
        <w:numPr>
          <w:ilvl w:val="0"/>
          <w:numId w:val="6"/>
        </w:numPr>
        <w:spacing w:afterLines="50" w:after="120" w:line="340" w:lineRule="atLeast"/>
        <w:ind w:left="1282" w:hanging="357"/>
        <w:jc w:val="both"/>
        <w:rPr>
          <w:rFonts w:ascii="Arial" w:hAnsi="Arial" w:cs="Arial"/>
          <w:sz w:val="21"/>
          <w:szCs w:val="22"/>
          <w:lang w:val="en-US" w:eastAsia="zh-CN"/>
        </w:rPr>
      </w:pPr>
      <w:r w:rsidRPr="00730D93">
        <w:rPr>
          <w:rFonts w:ascii="Arial" w:eastAsiaTheme="minorEastAsia" w:hAnsi="Arial" w:cs="Arial" w:hint="eastAsia"/>
          <w:sz w:val="21"/>
          <w:szCs w:val="22"/>
          <w:lang w:eastAsia="zh-CN"/>
        </w:rPr>
        <w:t>已得到</w:t>
      </w:r>
      <w:r w:rsidRPr="00730D93">
        <w:rPr>
          <w:rFonts w:ascii="Arial" w:eastAsiaTheme="minorEastAsia" w:hAnsi="Arial" w:cs="Arial" w:hint="eastAsia"/>
          <w:sz w:val="21"/>
          <w:szCs w:val="22"/>
          <w:lang w:val="en-US" w:eastAsia="zh-CN"/>
        </w:rPr>
        <w:t>CDIP</w:t>
      </w:r>
      <w:r w:rsidRPr="00730D93">
        <w:rPr>
          <w:rFonts w:ascii="Arial" w:eastAsiaTheme="minorEastAsia" w:hAnsi="Arial" w:cs="Arial" w:hint="eastAsia"/>
          <w:sz w:val="21"/>
          <w:szCs w:val="22"/>
          <w:lang w:eastAsia="zh-CN"/>
        </w:rPr>
        <w:t>批准并计划在</w:t>
      </w:r>
      <w:r w:rsidRPr="00730D93">
        <w:rPr>
          <w:rFonts w:ascii="Arial" w:eastAsiaTheme="minorEastAsia" w:hAnsi="Arial" w:cs="Arial" w:hint="eastAsia"/>
          <w:sz w:val="21"/>
          <w:szCs w:val="22"/>
          <w:lang w:val="en-US" w:eastAsia="zh-CN"/>
        </w:rPr>
        <w:t>2016/17</w:t>
      </w:r>
      <w:r w:rsidRPr="00730D93">
        <w:rPr>
          <w:rFonts w:ascii="Arial" w:eastAsiaTheme="minorEastAsia" w:hAnsi="Arial" w:cs="Arial" w:hint="eastAsia"/>
          <w:sz w:val="21"/>
          <w:szCs w:val="22"/>
          <w:lang w:eastAsia="zh-CN"/>
        </w:rPr>
        <w:t>两年期继续实施的项目</w:t>
      </w:r>
      <w:r w:rsidR="005A1670" w:rsidRPr="00730D93">
        <w:rPr>
          <w:rFonts w:ascii="Arial" w:eastAsiaTheme="minorEastAsia" w:hAnsi="Arial" w:cs="Arial" w:hint="eastAsia"/>
          <w:sz w:val="21"/>
          <w:szCs w:val="22"/>
          <w:lang w:val="en-US" w:eastAsia="zh-CN"/>
        </w:rPr>
        <w:t>（</w:t>
      </w:r>
      <w:r w:rsidRPr="00730D93">
        <w:rPr>
          <w:rFonts w:ascii="Arial" w:eastAsiaTheme="minorEastAsia" w:hAnsi="Arial" w:cs="Arial" w:hint="eastAsia"/>
          <w:sz w:val="21"/>
          <w:szCs w:val="22"/>
          <w:lang w:eastAsia="zh-CN"/>
        </w:rPr>
        <w:t>根据</w:t>
      </w:r>
      <w:r w:rsidRPr="00730D93">
        <w:rPr>
          <w:rFonts w:ascii="Arial" w:eastAsiaTheme="minorEastAsia" w:hAnsi="Arial" w:cs="Arial" w:hint="eastAsia"/>
          <w:sz w:val="21"/>
          <w:szCs w:val="22"/>
          <w:lang w:val="en-US" w:eastAsia="zh-CN"/>
        </w:rPr>
        <w:t>CDIP</w:t>
      </w:r>
      <w:r w:rsidRPr="00730D93">
        <w:rPr>
          <w:rFonts w:ascii="Arial" w:eastAsiaTheme="minorEastAsia" w:hAnsi="Arial" w:cs="Arial" w:hint="eastAsia"/>
          <w:sz w:val="21"/>
          <w:szCs w:val="22"/>
          <w:lang w:eastAsia="zh-CN"/>
        </w:rPr>
        <w:t>批准的项目文件</w:t>
      </w:r>
      <w:r w:rsidR="005A1670" w:rsidRPr="00730D93">
        <w:rPr>
          <w:rFonts w:ascii="Arial" w:eastAsiaTheme="minorEastAsia" w:hAnsi="Arial" w:cs="Arial" w:hint="eastAsia"/>
          <w:sz w:val="21"/>
          <w:szCs w:val="22"/>
          <w:lang w:val="en-US" w:eastAsia="zh-CN"/>
        </w:rPr>
        <w:t>）</w:t>
      </w:r>
      <w:r w:rsidRPr="00730D93">
        <w:rPr>
          <w:rFonts w:ascii="Arial" w:eastAsiaTheme="minorEastAsia" w:hAnsi="Arial" w:cs="Arial" w:hint="eastAsia"/>
          <w:sz w:val="21"/>
          <w:szCs w:val="22"/>
          <w:lang w:val="en-US" w:eastAsia="zh-CN"/>
        </w:rPr>
        <w:t>；</w:t>
      </w:r>
    </w:p>
    <w:p w:rsidR="000C32DE" w:rsidRPr="0044088F" w:rsidRDefault="00951CDE" w:rsidP="00880C0C">
      <w:pPr>
        <w:pStyle w:val="af2"/>
        <w:numPr>
          <w:ilvl w:val="0"/>
          <w:numId w:val="6"/>
        </w:numPr>
        <w:spacing w:afterLines="50" w:after="120" w:line="340" w:lineRule="atLeast"/>
        <w:ind w:left="1282" w:hanging="357"/>
        <w:jc w:val="both"/>
        <w:rPr>
          <w:rFonts w:ascii="Arial" w:hAnsi="Arial" w:cs="Arial"/>
          <w:sz w:val="21"/>
          <w:szCs w:val="22"/>
          <w:lang w:val="en-US" w:eastAsia="zh-CN"/>
        </w:rPr>
      </w:pPr>
      <w:r w:rsidRPr="00730D93">
        <w:rPr>
          <w:rFonts w:ascii="Arial" w:eastAsiaTheme="minorEastAsia" w:hAnsi="Arial" w:cs="Arial" w:hint="eastAsia"/>
          <w:sz w:val="21"/>
          <w:szCs w:val="22"/>
          <w:lang w:eastAsia="zh-CN"/>
        </w:rPr>
        <w:t>目前正在实施项目的二期</w:t>
      </w:r>
      <w:r w:rsidR="005A1670" w:rsidRPr="00730D93">
        <w:rPr>
          <w:rFonts w:ascii="Arial" w:eastAsiaTheme="minorEastAsia" w:hAnsi="Arial" w:cs="Arial" w:hint="eastAsia"/>
          <w:sz w:val="21"/>
          <w:szCs w:val="22"/>
          <w:lang w:val="en-US" w:eastAsia="zh-CN"/>
        </w:rPr>
        <w:t>（</w:t>
      </w:r>
      <w:r w:rsidRPr="00730D93">
        <w:rPr>
          <w:rFonts w:ascii="Arial" w:eastAsiaTheme="minorEastAsia" w:hAnsi="Arial" w:cs="Arial" w:hint="eastAsia"/>
          <w:sz w:val="21"/>
          <w:szCs w:val="22"/>
          <w:lang w:eastAsia="zh-CN"/>
        </w:rPr>
        <w:t>有待</w:t>
      </w:r>
      <w:r w:rsidRPr="00730D93">
        <w:rPr>
          <w:rFonts w:ascii="Arial" w:eastAsiaTheme="minorEastAsia" w:hAnsi="Arial" w:cs="Arial" w:hint="eastAsia"/>
          <w:sz w:val="21"/>
          <w:szCs w:val="22"/>
          <w:lang w:val="en-US" w:eastAsia="zh-CN"/>
        </w:rPr>
        <w:t>CDIP</w:t>
      </w:r>
      <w:r w:rsidRPr="00730D93">
        <w:rPr>
          <w:rFonts w:ascii="Arial" w:eastAsiaTheme="minorEastAsia" w:hAnsi="Arial" w:cs="Arial" w:hint="eastAsia"/>
          <w:sz w:val="21"/>
          <w:szCs w:val="22"/>
          <w:lang w:eastAsia="zh-CN"/>
        </w:rPr>
        <w:t>批准</w:t>
      </w:r>
      <w:r w:rsidR="005A1670" w:rsidRPr="00730D93">
        <w:rPr>
          <w:rFonts w:ascii="Arial" w:eastAsiaTheme="minorEastAsia" w:hAnsi="Arial" w:cs="Arial" w:hint="eastAsia"/>
          <w:sz w:val="21"/>
          <w:szCs w:val="22"/>
          <w:lang w:val="en-US" w:eastAsia="zh-CN"/>
        </w:rPr>
        <w:t>）</w:t>
      </w:r>
      <w:r w:rsidRPr="00730D93">
        <w:rPr>
          <w:rFonts w:ascii="Arial" w:eastAsiaTheme="minorEastAsia" w:hAnsi="Arial" w:cs="Arial" w:hint="eastAsia"/>
          <w:sz w:val="21"/>
          <w:szCs w:val="22"/>
          <w:lang w:val="en-US" w:eastAsia="zh-CN"/>
        </w:rPr>
        <w:t>；</w:t>
      </w:r>
      <w:r w:rsidRPr="00730D93">
        <w:rPr>
          <w:rFonts w:ascii="Arial" w:eastAsiaTheme="minorEastAsia" w:hAnsi="Arial" w:cs="Arial" w:hint="eastAsia"/>
          <w:sz w:val="21"/>
          <w:szCs w:val="22"/>
          <w:lang w:eastAsia="zh-CN"/>
        </w:rPr>
        <w:t>及</w:t>
      </w:r>
    </w:p>
    <w:p w:rsidR="005A1670" w:rsidRDefault="00951CDE" w:rsidP="00880C0C">
      <w:pPr>
        <w:pStyle w:val="af2"/>
        <w:numPr>
          <w:ilvl w:val="0"/>
          <w:numId w:val="6"/>
        </w:numPr>
        <w:spacing w:afterLines="50" w:after="120" w:line="340" w:lineRule="atLeast"/>
        <w:ind w:hanging="357"/>
        <w:jc w:val="both"/>
        <w:rPr>
          <w:rFonts w:ascii="Arial" w:hAnsi="Arial" w:cs="Arial"/>
          <w:sz w:val="21"/>
          <w:szCs w:val="22"/>
          <w:lang w:eastAsia="zh-CN"/>
        </w:rPr>
      </w:pPr>
      <w:r w:rsidRPr="00730D93">
        <w:rPr>
          <w:rFonts w:ascii="Arial" w:eastAsiaTheme="minorEastAsia" w:hAnsi="Arial" w:cs="Arial" w:hint="eastAsia"/>
          <w:sz w:val="21"/>
          <w:szCs w:val="22"/>
          <w:lang w:eastAsia="zh-CN"/>
        </w:rPr>
        <w:t>新项目提案</w:t>
      </w:r>
      <w:r w:rsidR="005A1670" w:rsidRPr="00730D93">
        <w:rPr>
          <w:rFonts w:ascii="Arial" w:eastAsiaTheme="minorEastAsia" w:hAnsi="Arial" w:cs="Arial" w:hint="eastAsia"/>
          <w:sz w:val="21"/>
          <w:szCs w:val="22"/>
          <w:lang w:eastAsia="zh-CN"/>
        </w:rPr>
        <w:t>（</w:t>
      </w:r>
      <w:r w:rsidRPr="00730D93">
        <w:rPr>
          <w:rFonts w:ascii="Arial" w:eastAsiaTheme="minorEastAsia" w:hAnsi="Arial" w:cs="Arial" w:hint="eastAsia"/>
          <w:sz w:val="21"/>
          <w:szCs w:val="22"/>
          <w:lang w:eastAsia="zh-CN"/>
        </w:rPr>
        <w:t>有待</w:t>
      </w:r>
      <w:r w:rsidRPr="00730D93">
        <w:rPr>
          <w:rFonts w:ascii="Arial" w:eastAsiaTheme="minorEastAsia" w:hAnsi="Arial" w:cs="Arial" w:hint="eastAsia"/>
          <w:sz w:val="21"/>
          <w:szCs w:val="22"/>
          <w:lang w:eastAsia="zh-CN"/>
        </w:rPr>
        <w:t>CDIP</w:t>
      </w:r>
      <w:r w:rsidRPr="00730D93">
        <w:rPr>
          <w:rFonts w:ascii="Arial" w:eastAsiaTheme="minorEastAsia" w:hAnsi="Arial" w:cs="Arial" w:hint="eastAsia"/>
          <w:sz w:val="21"/>
          <w:szCs w:val="22"/>
          <w:lang w:eastAsia="zh-CN"/>
        </w:rPr>
        <w:t>批准</w:t>
      </w:r>
      <w:r w:rsidR="005A1670" w:rsidRPr="00730D93">
        <w:rPr>
          <w:rFonts w:ascii="Arial" w:eastAsiaTheme="minorEastAsia" w:hAnsi="Arial" w:cs="Arial" w:hint="eastAsia"/>
          <w:sz w:val="21"/>
          <w:szCs w:val="22"/>
          <w:lang w:eastAsia="zh-CN"/>
        </w:rPr>
        <w:t>）</w:t>
      </w:r>
      <w:r w:rsidRPr="00730D93">
        <w:rPr>
          <w:rFonts w:ascii="Arial" w:eastAsiaTheme="minorEastAsia" w:hAnsi="Arial" w:cs="Arial" w:hint="eastAsia"/>
          <w:sz w:val="21"/>
          <w:szCs w:val="22"/>
          <w:lang w:eastAsia="zh-CN"/>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sz w:val="24"/>
          <w:szCs w:val="24"/>
        </w:rPr>
      </w:pPr>
      <w:r>
        <w:rPr>
          <w:b/>
          <w:sz w:val="21"/>
        </w:rPr>
        <w:t>问</w:t>
      </w:r>
      <w:r w:rsidR="00BB10D4" w:rsidRPr="0044088F">
        <w:rPr>
          <w:b/>
          <w:sz w:val="21"/>
        </w:rPr>
        <w:t>5</w:t>
      </w:r>
      <w:r w:rsidRPr="0044088F">
        <w:rPr>
          <w:b/>
          <w:sz w:val="21"/>
        </w:rPr>
        <w:t>：</w:t>
      </w:r>
      <w:r w:rsidR="00541955" w:rsidRPr="00730D93">
        <w:rPr>
          <w:rFonts w:eastAsiaTheme="minorEastAsia" w:hint="eastAsia"/>
          <w:b/>
          <w:sz w:val="21"/>
        </w:rPr>
        <w:t>表</w:t>
      </w:r>
      <w:r w:rsidR="00541955" w:rsidRPr="00730D93">
        <w:rPr>
          <w:rFonts w:eastAsiaTheme="minorEastAsia" w:hint="eastAsia"/>
          <w:b/>
          <w:sz w:val="21"/>
        </w:rPr>
        <w:t>6</w:t>
      </w:r>
      <w:r w:rsidR="005D58E8" w:rsidRPr="00730D93">
        <w:rPr>
          <w:rFonts w:eastAsiaTheme="minorEastAsia" w:hint="eastAsia"/>
          <w:b/>
          <w:sz w:val="21"/>
        </w:rPr>
        <w:t>“按计划开列的</w:t>
      </w:r>
      <w:r w:rsidR="005D58E8" w:rsidRPr="00730D93">
        <w:rPr>
          <w:rFonts w:eastAsiaTheme="minorEastAsia" w:hint="eastAsia"/>
          <w:b/>
          <w:sz w:val="21"/>
        </w:rPr>
        <w:t>2016/17</w:t>
      </w:r>
      <w:r w:rsidR="005D58E8" w:rsidRPr="00730D93">
        <w:rPr>
          <w:rFonts w:eastAsiaTheme="minorEastAsia" w:hint="eastAsia"/>
          <w:b/>
          <w:sz w:val="21"/>
        </w:rPr>
        <w:t>两年期发展支出”</w:t>
      </w:r>
      <w:r w:rsidR="00541955" w:rsidRPr="00730D93">
        <w:rPr>
          <w:rFonts w:eastAsiaTheme="minorEastAsia" w:hint="eastAsia"/>
          <w:b/>
          <w:sz w:val="21"/>
        </w:rPr>
        <w:t>包含计划</w:t>
      </w:r>
      <w:r w:rsidR="00541955" w:rsidRPr="00730D93">
        <w:rPr>
          <w:rFonts w:eastAsiaTheme="minorEastAsia" w:hint="eastAsia"/>
          <w:b/>
          <w:sz w:val="21"/>
        </w:rPr>
        <w:t>6</w:t>
      </w:r>
      <w:r w:rsidR="00541955" w:rsidRPr="00730D93">
        <w:rPr>
          <w:rFonts w:eastAsiaTheme="minorEastAsia" w:hint="eastAsia"/>
          <w:b/>
          <w:sz w:val="21"/>
        </w:rPr>
        <w:t>下马德里和里斯本体系的单一发展支出概算。是否能提供发展支出在这两个体系之间的分配情况？</w:t>
      </w:r>
    </w:p>
    <w:p w:rsidR="005A1670" w:rsidRPr="00730D93" w:rsidRDefault="0044088F" w:rsidP="005A1670">
      <w:pPr>
        <w:spacing w:afterLines="50" w:after="120" w:line="340" w:lineRule="atLeast"/>
        <w:jc w:val="both"/>
        <w:rPr>
          <w:rFonts w:eastAsiaTheme="minorEastAsia"/>
          <w:sz w:val="21"/>
        </w:rPr>
      </w:pPr>
      <w:r>
        <w:rPr>
          <w:sz w:val="21"/>
          <w:szCs w:val="22"/>
        </w:rPr>
        <w:t>答</w:t>
      </w:r>
      <w:r w:rsidR="00BB10D4" w:rsidRPr="0044088F">
        <w:rPr>
          <w:sz w:val="21"/>
          <w:szCs w:val="22"/>
        </w:rPr>
        <w:t>5</w:t>
      </w:r>
      <w:r w:rsidRPr="0044088F">
        <w:rPr>
          <w:sz w:val="21"/>
          <w:szCs w:val="22"/>
        </w:rPr>
        <w:t>：</w:t>
      </w:r>
      <w:r w:rsidR="00541955" w:rsidRPr="0044088F">
        <w:rPr>
          <w:rFonts w:hint="eastAsia"/>
          <w:sz w:val="21"/>
        </w:rPr>
        <w:t>计划</w:t>
      </w:r>
      <w:r w:rsidR="00541955" w:rsidRPr="0044088F">
        <w:rPr>
          <w:rFonts w:hint="eastAsia"/>
          <w:sz w:val="21"/>
        </w:rPr>
        <w:t>6</w:t>
      </w:r>
      <w:r w:rsidR="00541955" w:rsidRPr="0044088F">
        <w:rPr>
          <w:rFonts w:hint="eastAsia"/>
          <w:sz w:val="21"/>
        </w:rPr>
        <w:t>下的发展支出</w:t>
      </w:r>
      <w:r w:rsidR="00541955" w:rsidRPr="00730D93">
        <w:rPr>
          <w:rFonts w:eastAsiaTheme="minorEastAsia" w:hint="eastAsia"/>
          <w:sz w:val="21"/>
        </w:rPr>
        <w:t>共计</w:t>
      </w:r>
      <w:r w:rsidR="00541955" w:rsidRPr="00730D93">
        <w:rPr>
          <w:rFonts w:eastAsiaTheme="minorEastAsia" w:hint="eastAsia"/>
          <w:sz w:val="21"/>
        </w:rPr>
        <w:t>1350</w:t>
      </w:r>
      <w:r w:rsidR="00541955" w:rsidRPr="00730D93">
        <w:rPr>
          <w:rFonts w:eastAsiaTheme="minorEastAsia" w:hint="eastAsia"/>
          <w:sz w:val="21"/>
        </w:rPr>
        <w:t>万瑞郎，其中</w:t>
      </w:r>
      <w:r w:rsidR="00541955" w:rsidRPr="00730D93">
        <w:rPr>
          <w:rFonts w:eastAsiaTheme="minorEastAsia" w:hint="eastAsia"/>
          <w:sz w:val="21"/>
        </w:rPr>
        <w:t>1300</w:t>
      </w:r>
      <w:r w:rsidR="00541955" w:rsidRPr="00730D93">
        <w:rPr>
          <w:rFonts w:eastAsiaTheme="minorEastAsia" w:hint="eastAsia"/>
          <w:sz w:val="21"/>
        </w:rPr>
        <w:t>万瑞郎归属马德里体系，</w:t>
      </w:r>
      <w:r w:rsidR="00541955" w:rsidRPr="00730D93">
        <w:rPr>
          <w:rFonts w:eastAsiaTheme="minorEastAsia" w:hint="eastAsia"/>
          <w:sz w:val="21"/>
        </w:rPr>
        <w:t>50</w:t>
      </w:r>
      <w:r w:rsidR="00541955" w:rsidRPr="00730D93">
        <w:rPr>
          <w:rFonts w:eastAsiaTheme="minorEastAsia" w:hint="eastAsia"/>
          <w:sz w:val="21"/>
        </w:rPr>
        <w:t>万瑞郎归属里斯本体系。</w:t>
      </w:r>
    </w:p>
    <w:p w:rsidR="005A1670" w:rsidRDefault="00541955" w:rsidP="00880C0C">
      <w:pPr>
        <w:keepNext/>
        <w:spacing w:beforeLines="100" w:before="240" w:afterLines="50" w:after="120" w:line="340" w:lineRule="atLeast"/>
        <w:rPr>
          <w:b/>
          <w:sz w:val="24"/>
          <w:szCs w:val="24"/>
        </w:rPr>
      </w:pPr>
      <w:r w:rsidRPr="0044088F">
        <w:rPr>
          <w:rFonts w:hint="eastAsia"/>
          <w:b/>
          <w:sz w:val="24"/>
          <w:szCs w:val="24"/>
        </w:rPr>
        <w:t>战略目标一：</w:t>
      </w:r>
      <w:r w:rsidR="008361AC" w:rsidRPr="0044088F">
        <w:rPr>
          <w:rFonts w:hint="eastAsia"/>
          <w:b/>
          <w:sz w:val="24"/>
          <w:szCs w:val="24"/>
        </w:rPr>
        <w:t>以兼顾各方利益的方式发展国际知识产权规范性框架</w:t>
      </w:r>
    </w:p>
    <w:p w:rsidR="00C25DAA"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0B248A" w:rsidRPr="0044088F">
        <w:rPr>
          <w:b/>
          <w:bCs/>
          <w:sz w:val="21"/>
        </w:rPr>
        <w:t>1</w:t>
      </w:r>
      <w:r w:rsidRPr="0044088F">
        <w:rPr>
          <w:b/>
          <w:bCs/>
          <w:sz w:val="21"/>
        </w:rPr>
        <w:t>：</w:t>
      </w:r>
      <w:r w:rsidR="00BD1EC1" w:rsidRPr="00730D93">
        <w:rPr>
          <w:rFonts w:eastAsiaTheme="minorEastAsia" w:hint="eastAsia"/>
          <w:b/>
          <w:bCs/>
          <w:sz w:val="21"/>
        </w:rPr>
        <w:t>在编制预算时</w:t>
      </w:r>
      <w:r w:rsidR="00BD1EC1" w:rsidRPr="00730D93">
        <w:rPr>
          <w:rFonts w:eastAsiaTheme="minorEastAsia" w:hint="eastAsia"/>
          <w:b/>
          <w:bCs/>
          <w:sz w:val="21"/>
        </w:rPr>
        <w:t>SCP</w:t>
      </w:r>
      <w:r w:rsidR="00BD1EC1" w:rsidRPr="00730D93">
        <w:rPr>
          <w:rFonts w:eastAsiaTheme="minorEastAsia" w:hint="eastAsia"/>
          <w:b/>
          <w:bCs/>
          <w:sz w:val="21"/>
        </w:rPr>
        <w:t>和</w:t>
      </w:r>
      <w:r w:rsidR="00BD1EC1" w:rsidRPr="00730D93">
        <w:rPr>
          <w:rFonts w:eastAsiaTheme="minorEastAsia" w:hint="eastAsia"/>
          <w:b/>
          <w:bCs/>
          <w:sz w:val="21"/>
        </w:rPr>
        <w:t>SCT</w:t>
      </w:r>
      <w:r w:rsidR="00BD1EC1" w:rsidRPr="00730D93">
        <w:rPr>
          <w:rFonts w:eastAsiaTheme="minorEastAsia" w:hint="eastAsia"/>
          <w:b/>
          <w:bCs/>
          <w:sz w:val="21"/>
        </w:rPr>
        <w:t>的会议数量为什么与</w:t>
      </w:r>
      <w:r w:rsidR="00BD1EC1" w:rsidRPr="00730D93">
        <w:rPr>
          <w:rFonts w:eastAsiaTheme="minorEastAsia" w:hint="eastAsia"/>
          <w:b/>
          <w:bCs/>
          <w:sz w:val="21"/>
        </w:rPr>
        <w:t>SCCR</w:t>
      </w:r>
      <w:r w:rsidR="00BD1EC1" w:rsidRPr="00730D93">
        <w:rPr>
          <w:rFonts w:eastAsiaTheme="minorEastAsia" w:hint="eastAsia"/>
          <w:b/>
          <w:bCs/>
          <w:sz w:val="21"/>
        </w:rPr>
        <w:t>和</w:t>
      </w:r>
      <w:r w:rsidR="00BD1EC1" w:rsidRPr="00730D93">
        <w:rPr>
          <w:rFonts w:eastAsiaTheme="minorEastAsia" w:hint="eastAsia"/>
          <w:b/>
          <w:bCs/>
          <w:sz w:val="21"/>
        </w:rPr>
        <w:t>IGC</w:t>
      </w:r>
      <w:r w:rsidR="00BD1EC1" w:rsidRPr="00730D93">
        <w:rPr>
          <w:rFonts w:eastAsiaTheme="minorEastAsia" w:hint="eastAsia"/>
          <w:b/>
          <w:bCs/>
          <w:sz w:val="21"/>
        </w:rPr>
        <w:t>的会议数量不同？</w:t>
      </w:r>
    </w:p>
    <w:p w:rsidR="005A1670" w:rsidRPr="00730D93" w:rsidRDefault="0044088F" w:rsidP="005A1670">
      <w:pPr>
        <w:spacing w:afterLines="50" w:after="120" w:line="340" w:lineRule="atLeast"/>
        <w:jc w:val="both"/>
        <w:rPr>
          <w:rFonts w:eastAsiaTheme="minorEastAsia"/>
          <w:sz w:val="21"/>
        </w:rPr>
      </w:pPr>
      <w:r>
        <w:rPr>
          <w:sz w:val="21"/>
        </w:rPr>
        <w:t>答</w:t>
      </w:r>
      <w:r w:rsidR="000B248A" w:rsidRPr="0044088F">
        <w:rPr>
          <w:sz w:val="21"/>
        </w:rPr>
        <w:t>1</w:t>
      </w:r>
      <w:r w:rsidRPr="0044088F">
        <w:rPr>
          <w:sz w:val="21"/>
        </w:rPr>
        <w:t>：</w:t>
      </w:r>
      <w:r w:rsidR="00FB236B" w:rsidRPr="00730D93">
        <w:rPr>
          <w:rFonts w:eastAsiaTheme="minorEastAsia" w:hint="eastAsia"/>
          <w:sz w:val="21"/>
        </w:rPr>
        <w:t>2016/17</w:t>
      </w:r>
      <w:r w:rsidR="00FB236B" w:rsidRPr="00730D93">
        <w:rPr>
          <w:rFonts w:eastAsiaTheme="minorEastAsia" w:hint="eastAsia"/>
          <w:sz w:val="21"/>
        </w:rPr>
        <w:t>两年期关于</w:t>
      </w:r>
      <w:r w:rsidR="00FB236B" w:rsidRPr="00730D93">
        <w:rPr>
          <w:rFonts w:eastAsiaTheme="minorEastAsia" w:hint="eastAsia"/>
          <w:sz w:val="21"/>
        </w:rPr>
        <w:t>SCP</w:t>
      </w:r>
      <w:r w:rsidR="00FB236B" w:rsidRPr="00730D93">
        <w:rPr>
          <w:rFonts w:eastAsiaTheme="minorEastAsia" w:hint="eastAsia"/>
          <w:sz w:val="21"/>
        </w:rPr>
        <w:t>、</w:t>
      </w:r>
      <w:r w:rsidR="00FB236B" w:rsidRPr="00730D93">
        <w:rPr>
          <w:rFonts w:eastAsiaTheme="minorEastAsia" w:hint="eastAsia"/>
          <w:sz w:val="21"/>
        </w:rPr>
        <w:t>SCT</w:t>
      </w:r>
      <w:r w:rsidR="00FB236B" w:rsidRPr="00730D93">
        <w:rPr>
          <w:rFonts w:eastAsiaTheme="minorEastAsia" w:hint="eastAsia"/>
          <w:sz w:val="21"/>
        </w:rPr>
        <w:t>、</w:t>
      </w:r>
      <w:r w:rsidR="00FB236B" w:rsidRPr="00730D93">
        <w:rPr>
          <w:rFonts w:eastAsiaTheme="minorEastAsia" w:hint="eastAsia"/>
          <w:sz w:val="21"/>
        </w:rPr>
        <w:t>SCCR</w:t>
      </w:r>
      <w:r w:rsidR="00FB236B" w:rsidRPr="00730D93">
        <w:rPr>
          <w:rFonts w:eastAsiaTheme="minorEastAsia" w:hint="eastAsia"/>
          <w:sz w:val="21"/>
        </w:rPr>
        <w:t>和</w:t>
      </w:r>
      <w:r w:rsidR="00FB236B" w:rsidRPr="00730D93">
        <w:rPr>
          <w:rFonts w:eastAsiaTheme="minorEastAsia" w:hint="eastAsia"/>
          <w:sz w:val="21"/>
        </w:rPr>
        <w:t>IGC</w:t>
      </w:r>
      <w:r w:rsidR="00FB236B" w:rsidRPr="00730D93">
        <w:rPr>
          <w:rFonts w:eastAsiaTheme="minorEastAsia" w:hint="eastAsia"/>
          <w:sz w:val="21"/>
        </w:rPr>
        <w:t>会议数量的规划假设与</w:t>
      </w:r>
      <w:r w:rsidR="00FB236B" w:rsidRPr="00730D93">
        <w:rPr>
          <w:rFonts w:eastAsiaTheme="minorEastAsia" w:hint="eastAsia"/>
          <w:sz w:val="21"/>
        </w:rPr>
        <w:t>2014/15</w:t>
      </w:r>
      <w:r w:rsidR="00FB236B" w:rsidRPr="00730D93">
        <w:rPr>
          <w:rFonts w:eastAsiaTheme="minorEastAsia" w:hint="eastAsia"/>
          <w:sz w:val="21"/>
        </w:rPr>
        <w:t>两年期相同。常设委员会成本的主要决定因素是会议数量、每次会议的天数、口译笔译费用和差旅费用。依据以往的支出模式对</w:t>
      </w:r>
      <w:r w:rsidR="00FB236B" w:rsidRPr="00730D93">
        <w:rPr>
          <w:rFonts w:eastAsiaTheme="minorEastAsia" w:hint="eastAsia"/>
          <w:sz w:val="21"/>
        </w:rPr>
        <w:t>2016/17</w:t>
      </w:r>
      <w:r w:rsidR="00FB236B" w:rsidRPr="00730D93">
        <w:rPr>
          <w:rFonts w:eastAsiaTheme="minorEastAsia" w:hint="eastAsia"/>
          <w:sz w:val="21"/>
        </w:rPr>
        <w:t>两年期的预算概算进行了完善，并假设每次会议为</w:t>
      </w:r>
      <w:r w:rsidR="00FB236B" w:rsidRPr="00730D93">
        <w:rPr>
          <w:rFonts w:eastAsiaTheme="minorEastAsia" w:hint="eastAsia"/>
          <w:sz w:val="21"/>
        </w:rPr>
        <w:t>5</w:t>
      </w:r>
      <w:r w:rsidR="00FB236B" w:rsidRPr="00730D93">
        <w:rPr>
          <w:rFonts w:eastAsiaTheme="minorEastAsia" w:hint="eastAsia"/>
          <w:sz w:val="21"/>
        </w:rPr>
        <w:t>个工作日。如果成员国在两年期期间决定一个常设委员会要召开多于预算所编制数量的会议，秘书处将在两年期中所实现的成本效益中确定所需资源。</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4119F" w:rsidRPr="0044088F">
        <w:rPr>
          <w:b/>
          <w:sz w:val="21"/>
        </w:rPr>
        <w:t>2</w:t>
      </w:r>
      <w:r w:rsidRPr="0044088F">
        <w:rPr>
          <w:b/>
          <w:sz w:val="21"/>
        </w:rPr>
        <w:t>：</w:t>
      </w:r>
      <w:r w:rsidR="00901D29" w:rsidRPr="00730D93">
        <w:rPr>
          <w:rFonts w:eastAsiaTheme="minorEastAsia" w:hint="eastAsia"/>
          <w:b/>
          <w:sz w:val="21"/>
        </w:rPr>
        <w:t>根据</w:t>
      </w:r>
      <w:r w:rsidR="00612C42" w:rsidRPr="00730D93">
        <w:rPr>
          <w:rFonts w:eastAsiaTheme="minorEastAsia" w:hint="eastAsia"/>
          <w:b/>
          <w:sz w:val="21"/>
        </w:rPr>
        <w:t>2016/17</w:t>
      </w:r>
      <w:r w:rsidR="00612C42" w:rsidRPr="00730D93">
        <w:rPr>
          <w:rFonts w:eastAsiaTheme="minorEastAsia" w:hint="eastAsia"/>
          <w:b/>
          <w:sz w:val="21"/>
        </w:rPr>
        <w:t>两年期的规划假设</w:t>
      </w:r>
      <w:r w:rsidR="00901D29" w:rsidRPr="00730D93">
        <w:rPr>
          <w:rFonts w:eastAsiaTheme="minorEastAsia" w:hint="eastAsia"/>
          <w:b/>
          <w:sz w:val="21"/>
        </w:rPr>
        <w:t>，</w:t>
      </w:r>
      <w:r w:rsidR="00612C42" w:rsidRPr="00730D93">
        <w:rPr>
          <w:rFonts w:eastAsiaTheme="minorEastAsia" w:hint="eastAsia"/>
          <w:b/>
          <w:sz w:val="21"/>
        </w:rPr>
        <w:t>IGC</w:t>
      </w:r>
      <w:r w:rsidR="00612C42" w:rsidRPr="00730D93">
        <w:rPr>
          <w:rFonts w:eastAsiaTheme="minorEastAsia" w:hint="eastAsia"/>
          <w:b/>
          <w:sz w:val="21"/>
        </w:rPr>
        <w:t>最多召开四次会议。</w:t>
      </w:r>
      <w:r w:rsidR="00612C42" w:rsidRPr="00730D93">
        <w:rPr>
          <w:rFonts w:eastAsiaTheme="minorEastAsia" w:hint="eastAsia"/>
          <w:b/>
          <w:sz w:val="21"/>
        </w:rPr>
        <w:t>2016/17</w:t>
      </w:r>
      <w:r w:rsidR="009E783C" w:rsidRPr="00730D93">
        <w:rPr>
          <w:rFonts w:eastAsiaTheme="minorEastAsia" w:hint="eastAsia"/>
          <w:b/>
          <w:sz w:val="21"/>
        </w:rPr>
        <w:t>两年期</w:t>
      </w:r>
      <w:r w:rsidR="00612C42" w:rsidRPr="00730D93">
        <w:rPr>
          <w:rFonts w:eastAsiaTheme="minorEastAsia" w:hint="eastAsia"/>
          <w:b/>
          <w:sz w:val="21"/>
        </w:rPr>
        <w:t>编制给</w:t>
      </w:r>
      <w:r w:rsidR="00612C42" w:rsidRPr="00730D93">
        <w:rPr>
          <w:rFonts w:eastAsiaTheme="minorEastAsia" w:hint="eastAsia"/>
          <w:b/>
          <w:sz w:val="21"/>
        </w:rPr>
        <w:t>IGC</w:t>
      </w:r>
      <w:r w:rsidR="00612C42" w:rsidRPr="00730D93">
        <w:rPr>
          <w:rFonts w:eastAsiaTheme="minorEastAsia" w:hint="eastAsia"/>
          <w:b/>
          <w:sz w:val="21"/>
        </w:rPr>
        <w:t>进程的资源水平是否与</w:t>
      </w:r>
      <w:r w:rsidR="00612C42" w:rsidRPr="0044088F">
        <w:rPr>
          <w:b/>
          <w:sz w:val="21"/>
        </w:rPr>
        <w:t>2014/15</w:t>
      </w:r>
      <w:r w:rsidR="00612C42" w:rsidRPr="00730D93">
        <w:rPr>
          <w:rFonts w:eastAsiaTheme="minorEastAsia" w:hint="eastAsia"/>
          <w:b/>
          <w:sz w:val="21"/>
        </w:rPr>
        <w:t>两年期持平？</w:t>
      </w:r>
    </w:p>
    <w:p w:rsidR="005A1670" w:rsidRPr="00730D93" w:rsidRDefault="0044088F" w:rsidP="005A1670">
      <w:pPr>
        <w:spacing w:afterLines="50" w:after="120" w:line="340" w:lineRule="atLeast"/>
        <w:jc w:val="both"/>
        <w:rPr>
          <w:rFonts w:eastAsiaTheme="minorEastAsia"/>
          <w:sz w:val="21"/>
        </w:rPr>
      </w:pPr>
      <w:r>
        <w:rPr>
          <w:sz w:val="21"/>
        </w:rPr>
        <w:t>答</w:t>
      </w:r>
      <w:r w:rsidR="0054119F" w:rsidRPr="0044088F">
        <w:rPr>
          <w:sz w:val="21"/>
        </w:rPr>
        <w:t>2</w:t>
      </w:r>
      <w:r w:rsidRPr="0044088F">
        <w:rPr>
          <w:sz w:val="21"/>
        </w:rPr>
        <w:t>：</w:t>
      </w:r>
      <w:r w:rsidR="00901D29" w:rsidRPr="0044088F">
        <w:rPr>
          <w:sz w:val="21"/>
        </w:rPr>
        <w:t>2016/17</w:t>
      </w:r>
      <w:r w:rsidR="00901D29" w:rsidRPr="0044088F">
        <w:rPr>
          <w:rFonts w:hint="eastAsia"/>
          <w:sz w:val="21"/>
        </w:rPr>
        <w:t>两年期</w:t>
      </w:r>
      <w:r w:rsidR="00901D29" w:rsidRPr="00730D93">
        <w:rPr>
          <w:rFonts w:eastAsiaTheme="minorEastAsia" w:hint="eastAsia"/>
          <w:sz w:val="21"/>
        </w:rPr>
        <w:t>所</w:t>
      </w:r>
      <w:r w:rsidR="00901D29" w:rsidRPr="005A1670">
        <w:rPr>
          <w:rFonts w:hint="eastAsia"/>
          <w:bCs/>
          <w:sz w:val="21"/>
          <w:szCs w:val="22"/>
        </w:rPr>
        <w:t>编制</w:t>
      </w:r>
      <w:r w:rsidR="00901D29" w:rsidRPr="00730D93">
        <w:rPr>
          <w:rFonts w:eastAsiaTheme="minorEastAsia" w:hint="eastAsia"/>
          <w:sz w:val="21"/>
        </w:rPr>
        <w:t>的用于支持</w:t>
      </w:r>
      <w:r w:rsidR="00901D29" w:rsidRPr="0044088F">
        <w:rPr>
          <w:sz w:val="21"/>
        </w:rPr>
        <w:t>IGC</w:t>
      </w:r>
      <w:r w:rsidR="00901D29" w:rsidRPr="0044088F">
        <w:rPr>
          <w:rFonts w:hint="eastAsia"/>
          <w:sz w:val="21"/>
        </w:rPr>
        <w:t>进程的资源与</w:t>
      </w:r>
      <w:r w:rsidR="00901D29" w:rsidRPr="0044088F">
        <w:rPr>
          <w:sz w:val="21"/>
        </w:rPr>
        <w:t>2014/15</w:t>
      </w:r>
      <w:r w:rsidR="00901D29" w:rsidRPr="0044088F">
        <w:rPr>
          <w:rFonts w:hint="eastAsia"/>
          <w:sz w:val="21"/>
        </w:rPr>
        <w:t>两年期</w:t>
      </w:r>
      <w:r w:rsidR="00901D29" w:rsidRPr="00730D93">
        <w:rPr>
          <w:rFonts w:eastAsiaTheme="minorEastAsia" w:hint="eastAsia"/>
          <w:sz w:val="21"/>
        </w:rPr>
        <w:t>所编制的资源是一致的。在</w:t>
      </w:r>
      <w:r w:rsidR="00901D29" w:rsidRPr="00730D93">
        <w:rPr>
          <w:rFonts w:eastAsiaTheme="minorEastAsia" w:hint="eastAsia"/>
          <w:sz w:val="21"/>
        </w:rPr>
        <w:t>2016/17</w:t>
      </w:r>
      <w:r w:rsidR="00901D29" w:rsidRPr="00730D93">
        <w:rPr>
          <w:rFonts w:eastAsiaTheme="minorEastAsia" w:hint="eastAsia"/>
          <w:sz w:val="21"/>
        </w:rPr>
        <w:t>两年期，为可能的外交会议所进行的拨备反映在未分拨下。</w:t>
      </w:r>
    </w:p>
    <w:p w:rsidR="005A1670" w:rsidRDefault="00901D29" w:rsidP="00880C0C">
      <w:pPr>
        <w:keepNext/>
        <w:spacing w:beforeLines="100" w:before="240" w:afterLines="50" w:after="120" w:line="340" w:lineRule="atLeast"/>
        <w:rPr>
          <w:b/>
          <w:sz w:val="24"/>
          <w:szCs w:val="24"/>
        </w:rPr>
      </w:pPr>
      <w:r w:rsidRPr="0044088F">
        <w:rPr>
          <w:rFonts w:hint="eastAsia"/>
          <w:b/>
          <w:sz w:val="24"/>
          <w:szCs w:val="24"/>
        </w:rPr>
        <w:lastRenderedPageBreak/>
        <w:t>战略目标二：提供首选全球知识产权服务</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3D469B" w:rsidRPr="0044088F">
        <w:rPr>
          <w:b/>
          <w:sz w:val="21"/>
        </w:rPr>
        <w:t>1</w:t>
      </w:r>
      <w:r w:rsidRPr="0044088F">
        <w:rPr>
          <w:b/>
          <w:sz w:val="21"/>
        </w:rPr>
        <w:t>：</w:t>
      </w:r>
      <w:r w:rsidR="00901D29" w:rsidRPr="00730D93">
        <w:rPr>
          <w:rFonts w:eastAsiaTheme="minorEastAsia" w:hint="eastAsia"/>
          <w:b/>
          <w:sz w:val="21"/>
        </w:rPr>
        <w:t>对海牙体系的使用可能会在</w:t>
      </w:r>
      <w:r w:rsidR="00901D29" w:rsidRPr="00730D93">
        <w:rPr>
          <w:rFonts w:eastAsiaTheme="minorEastAsia" w:hint="eastAsia"/>
          <w:b/>
          <w:sz w:val="21"/>
        </w:rPr>
        <w:t>2016/17</w:t>
      </w:r>
      <w:r w:rsidR="00901D29" w:rsidRPr="00730D93">
        <w:rPr>
          <w:rFonts w:eastAsiaTheme="minorEastAsia" w:hint="eastAsia"/>
          <w:b/>
          <w:sz w:val="21"/>
        </w:rPr>
        <w:t>两年期大幅增长。为什么没有为用于海牙体系的资源提出拟议增长？</w:t>
      </w:r>
    </w:p>
    <w:p w:rsidR="005A1670" w:rsidRPr="00730D93" w:rsidRDefault="0044088F" w:rsidP="005A1670">
      <w:pPr>
        <w:spacing w:afterLines="50" w:after="120" w:line="340" w:lineRule="atLeast"/>
        <w:jc w:val="both"/>
        <w:rPr>
          <w:rFonts w:eastAsiaTheme="minorEastAsia"/>
          <w:sz w:val="21"/>
        </w:rPr>
      </w:pPr>
      <w:r>
        <w:rPr>
          <w:sz w:val="21"/>
        </w:rPr>
        <w:t>答</w:t>
      </w:r>
      <w:r w:rsidR="008C26E8" w:rsidRPr="0044088F">
        <w:rPr>
          <w:sz w:val="21"/>
        </w:rPr>
        <w:t>1</w:t>
      </w:r>
      <w:r w:rsidRPr="0044088F">
        <w:rPr>
          <w:sz w:val="21"/>
        </w:rPr>
        <w:t>：</w:t>
      </w:r>
      <w:r w:rsidR="00901D29" w:rsidRPr="00730D93">
        <w:rPr>
          <w:rFonts w:eastAsiaTheme="minorEastAsia" w:hint="eastAsia"/>
          <w:sz w:val="21"/>
        </w:rPr>
        <w:t>2016/17</w:t>
      </w:r>
      <w:r w:rsidR="00901D29" w:rsidRPr="00730D93">
        <w:rPr>
          <w:rFonts w:eastAsiaTheme="minorEastAsia" w:hint="eastAsia"/>
          <w:sz w:val="21"/>
        </w:rPr>
        <w:t>两年期</w:t>
      </w:r>
      <w:r w:rsidR="00167F3D" w:rsidRPr="00730D93">
        <w:rPr>
          <w:rFonts w:eastAsiaTheme="minorEastAsia" w:hint="eastAsia"/>
          <w:sz w:val="21"/>
        </w:rPr>
        <w:t>计划和预算中编制的海牙体系</w:t>
      </w:r>
      <w:r w:rsidR="00901D29" w:rsidRPr="00730D93">
        <w:rPr>
          <w:rFonts w:eastAsiaTheme="minorEastAsia" w:hint="eastAsia"/>
          <w:sz w:val="21"/>
        </w:rPr>
        <w:t>资源</w:t>
      </w:r>
      <w:r w:rsidR="00167F3D" w:rsidRPr="00730D93">
        <w:rPr>
          <w:rFonts w:eastAsiaTheme="minorEastAsia" w:hint="eastAsia"/>
          <w:sz w:val="21"/>
        </w:rPr>
        <w:t>依据的是</w:t>
      </w:r>
      <w:r w:rsidR="00167F3D" w:rsidRPr="00730D93">
        <w:rPr>
          <w:rFonts w:eastAsiaTheme="minorEastAsia" w:hint="eastAsia"/>
          <w:sz w:val="21"/>
        </w:rPr>
        <w:t>2014/15</w:t>
      </w:r>
      <w:r w:rsidR="00167F3D" w:rsidRPr="00730D93">
        <w:rPr>
          <w:rFonts w:eastAsiaTheme="minorEastAsia" w:hint="eastAsia"/>
          <w:sz w:val="21"/>
        </w:rPr>
        <w:t>两年期的实际预算利用率，并根据注册和续展数量的增长预测，充分考虑到所预期的工作量</w:t>
      </w:r>
      <w:r w:rsidR="005A1670" w:rsidRPr="00730D93">
        <w:rPr>
          <w:rFonts w:eastAsiaTheme="minorEastAsia" w:hint="eastAsia"/>
          <w:sz w:val="21"/>
        </w:rPr>
        <w:t>（</w:t>
      </w:r>
      <w:r w:rsidR="00167F3D" w:rsidRPr="00730D93">
        <w:rPr>
          <w:rFonts w:eastAsiaTheme="minorEastAsia" w:hint="eastAsia"/>
          <w:sz w:val="21"/>
        </w:rPr>
        <w:t>反映在表</w:t>
      </w:r>
      <w:r w:rsidR="00167F3D" w:rsidRPr="00730D93">
        <w:rPr>
          <w:rFonts w:eastAsiaTheme="minorEastAsia" w:hint="eastAsia"/>
          <w:sz w:val="21"/>
        </w:rPr>
        <w:t>2</w:t>
      </w:r>
      <w:r w:rsidR="00167F3D" w:rsidRPr="00730D93">
        <w:rPr>
          <w:rFonts w:eastAsiaTheme="minorEastAsia" w:hint="eastAsia"/>
          <w:sz w:val="21"/>
        </w:rPr>
        <w:t>“</w:t>
      </w:r>
      <w:r w:rsidR="00580CDF" w:rsidRPr="00730D93">
        <w:rPr>
          <w:rFonts w:eastAsiaTheme="minorEastAsia" w:hint="eastAsia"/>
          <w:sz w:val="21"/>
        </w:rPr>
        <w:t>PCT</w:t>
      </w:r>
      <w:r w:rsidR="00580CDF" w:rsidRPr="00730D93">
        <w:rPr>
          <w:rFonts w:eastAsiaTheme="minorEastAsia" w:hint="eastAsia"/>
          <w:sz w:val="21"/>
        </w:rPr>
        <w:t>、马德里和海牙体系下服务需求概算</w:t>
      </w:r>
      <w:r w:rsidR="00167F3D" w:rsidRPr="00730D93">
        <w:rPr>
          <w:rFonts w:eastAsiaTheme="minorEastAsia" w:hint="eastAsia"/>
          <w:sz w:val="21"/>
        </w:rPr>
        <w:t>”中</w:t>
      </w:r>
      <w:r w:rsidR="005A1670" w:rsidRPr="00730D93">
        <w:rPr>
          <w:rFonts w:eastAsiaTheme="minorEastAsia" w:hint="eastAsia"/>
          <w:sz w:val="21"/>
        </w:rPr>
        <w:t>）</w:t>
      </w:r>
      <w:r w:rsidR="00167F3D" w:rsidRPr="00730D93">
        <w:rPr>
          <w:rFonts w:eastAsiaTheme="minorEastAsia" w:hint="eastAsia"/>
          <w:sz w:val="21"/>
        </w:rPr>
        <w:t>。还应注意的是，在编拟拟议的计划和预算时，计划</w:t>
      </w:r>
      <w:r w:rsidR="00167F3D" w:rsidRPr="00730D93">
        <w:rPr>
          <w:rFonts w:eastAsiaTheme="minorEastAsia" w:hint="eastAsia"/>
          <w:sz w:val="21"/>
        </w:rPr>
        <w:t>31</w:t>
      </w:r>
      <w:r w:rsidR="00167F3D" w:rsidRPr="00730D93">
        <w:rPr>
          <w:rFonts w:eastAsiaTheme="minorEastAsia" w:hint="eastAsia"/>
          <w:sz w:val="21"/>
        </w:rPr>
        <w:t>中对持续性审查员岗位的数项转正工作仍在进行。在完成转正后，该计划中的员额数量将出现增长。</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3D469B" w:rsidRPr="0044088F">
        <w:rPr>
          <w:b/>
          <w:sz w:val="21"/>
        </w:rPr>
        <w:t>2</w:t>
      </w:r>
      <w:r w:rsidRPr="0044088F">
        <w:rPr>
          <w:b/>
          <w:sz w:val="21"/>
        </w:rPr>
        <w:t>：</w:t>
      </w:r>
      <w:r w:rsidR="00167F3D" w:rsidRPr="00730D93">
        <w:rPr>
          <w:rFonts w:eastAsiaTheme="minorEastAsia" w:hint="eastAsia"/>
          <w:b/>
          <w:sz w:val="21"/>
        </w:rPr>
        <w:t>计划</w:t>
      </w:r>
      <w:r w:rsidR="00167F3D" w:rsidRPr="00730D93">
        <w:rPr>
          <w:rFonts w:eastAsiaTheme="minorEastAsia" w:hint="eastAsia"/>
          <w:b/>
          <w:sz w:val="21"/>
        </w:rPr>
        <w:t>6</w:t>
      </w:r>
      <w:r w:rsidR="00167F3D" w:rsidRPr="00730D93">
        <w:rPr>
          <w:rFonts w:eastAsiaTheme="minorEastAsia" w:hint="eastAsia"/>
          <w:b/>
          <w:sz w:val="21"/>
        </w:rPr>
        <w:t>的拟议预算</w:t>
      </w:r>
      <w:r w:rsidR="00580CDF" w:rsidRPr="00730D93">
        <w:rPr>
          <w:rFonts w:eastAsiaTheme="minorEastAsia" w:hint="eastAsia"/>
          <w:b/>
          <w:sz w:val="21"/>
        </w:rPr>
        <w:t>包含马德里和里斯本体系的单一预算值。是否能分别提供两个体系的预算值？</w:t>
      </w:r>
    </w:p>
    <w:p w:rsidR="005A1670" w:rsidRPr="00730D93" w:rsidRDefault="0044088F" w:rsidP="005A1670">
      <w:pPr>
        <w:spacing w:afterLines="50" w:after="120" w:line="340" w:lineRule="atLeast"/>
        <w:jc w:val="both"/>
        <w:rPr>
          <w:rFonts w:eastAsiaTheme="minorEastAsia"/>
          <w:sz w:val="21"/>
        </w:rPr>
      </w:pPr>
      <w:r>
        <w:rPr>
          <w:sz w:val="21"/>
        </w:rPr>
        <w:t>答</w:t>
      </w:r>
      <w:r w:rsidR="008C26E8" w:rsidRPr="0044088F">
        <w:rPr>
          <w:sz w:val="21"/>
        </w:rPr>
        <w:t>2</w:t>
      </w:r>
      <w:r w:rsidRPr="0044088F">
        <w:rPr>
          <w:sz w:val="21"/>
        </w:rPr>
        <w:t>：</w:t>
      </w:r>
      <w:r w:rsidR="00580CDF" w:rsidRPr="00730D93">
        <w:rPr>
          <w:rFonts w:eastAsiaTheme="minorEastAsia" w:hint="eastAsia"/>
          <w:sz w:val="21"/>
        </w:rPr>
        <w:t>计划</w:t>
      </w:r>
      <w:r w:rsidR="00580CDF" w:rsidRPr="00730D93">
        <w:rPr>
          <w:rFonts w:eastAsiaTheme="minorEastAsia" w:hint="eastAsia"/>
          <w:sz w:val="21"/>
        </w:rPr>
        <w:t>6</w:t>
      </w:r>
      <w:r w:rsidR="00580CDF" w:rsidRPr="00730D93">
        <w:rPr>
          <w:rFonts w:eastAsiaTheme="minorEastAsia" w:hint="eastAsia"/>
          <w:sz w:val="21"/>
        </w:rPr>
        <w:t>的总预算为</w:t>
      </w:r>
      <w:r w:rsidR="00580CDF" w:rsidRPr="00730D93">
        <w:rPr>
          <w:rFonts w:eastAsiaTheme="minorEastAsia" w:hint="eastAsia"/>
          <w:sz w:val="21"/>
        </w:rPr>
        <w:t>5940</w:t>
      </w:r>
      <w:r w:rsidR="00580CDF" w:rsidRPr="00730D93">
        <w:rPr>
          <w:rFonts w:eastAsiaTheme="minorEastAsia" w:hint="eastAsia"/>
          <w:sz w:val="21"/>
        </w:rPr>
        <w:t>万瑞郎，其中</w:t>
      </w:r>
      <w:r w:rsidR="00580CDF" w:rsidRPr="00730D93">
        <w:rPr>
          <w:rFonts w:eastAsiaTheme="minorEastAsia" w:hint="eastAsia"/>
          <w:sz w:val="21"/>
        </w:rPr>
        <w:t>5810</w:t>
      </w:r>
      <w:r w:rsidR="00580CDF" w:rsidRPr="00730D93">
        <w:rPr>
          <w:rFonts w:eastAsiaTheme="minorEastAsia" w:hint="eastAsia"/>
          <w:sz w:val="21"/>
        </w:rPr>
        <w:t>万瑞郎归属马德里体系，</w:t>
      </w:r>
      <w:r w:rsidR="00580CDF" w:rsidRPr="00730D93">
        <w:rPr>
          <w:rFonts w:eastAsiaTheme="minorEastAsia" w:hint="eastAsia"/>
          <w:sz w:val="21"/>
        </w:rPr>
        <w:t>130</w:t>
      </w:r>
      <w:r w:rsidR="00580CDF" w:rsidRPr="00730D93">
        <w:rPr>
          <w:rFonts w:eastAsiaTheme="minorEastAsia" w:hint="eastAsia"/>
          <w:sz w:val="21"/>
        </w:rPr>
        <w:t>万瑞郎归属里斯本体系。</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B328D8" w:rsidRPr="0044088F">
        <w:rPr>
          <w:b/>
          <w:sz w:val="21"/>
        </w:rPr>
        <w:t>3</w:t>
      </w:r>
      <w:r w:rsidRPr="0044088F">
        <w:rPr>
          <w:b/>
          <w:sz w:val="21"/>
        </w:rPr>
        <w:t>：</w:t>
      </w:r>
      <w:r w:rsidR="009E783C" w:rsidRPr="00730D93">
        <w:rPr>
          <w:rFonts w:eastAsiaTheme="minorEastAsia" w:hint="eastAsia"/>
          <w:b/>
          <w:sz w:val="21"/>
        </w:rPr>
        <w:t>为什么</w:t>
      </w:r>
      <w:r w:rsidR="00580CDF" w:rsidRPr="00730D93">
        <w:rPr>
          <w:rFonts w:eastAsiaTheme="minorEastAsia" w:hint="eastAsia"/>
          <w:b/>
          <w:sz w:val="21"/>
        </w:rPr>
        <w:t>PCT</w:t>
      </w:r>
      <w:r w:rsidR="00580CDF" w:rsidRPr="00730D93">
        <w:rPr>
          <w:rFonts w:eastAsiaTheme="minorEastAsia" w:hint="eastAsia"/>
          <w:b/>
          <w:sz w:val="21"/>
        </w:rPr>
        <w:t>、海牙、马德里和里斯本体系“生产率和服务质量得到提高”的绩效指标各不相同？</w:t>
      </w:r>
    </w:p>
    <w:p w:rsidR="005A1670" w:rsidRPr="00730D93" w:rsidRDefault="0044088F" w:rsidP="005A1670">
      <w:pPr>
        <w:spacing w:afterLines="50" w:after="120" w:line="340" w:lineRule="atLeast"/>
        <w:jc w:val="both"/>
        <w:rPr>
          <w:rFonts w:eastAsiaTheme="minorEastAsia"/>
          <w:sz w:val="21"/>
        </w:rPr>
      </w:pPr>
      <w:r>
        <w:rPr>
          <w:sz w:val="21"/>
        </w:rPr>
        <w:t>答</w:t>
      </w:r>
      <w:r w:rsidR="00B328D8" w:rsidRPr="0044088F">
        <w:rPr>
          <w:sz w:val="21"/>
        </w:rPr>
        <w:t>3</w:t>
      </w:r>
      <w:r w:rsidRPr="0044088F">
        <w:rPr>
          <w:sz w:val="21"/>
        </w:rPr>
        <w:t>：</w:t>
      </w:r>
      <w:r w:rsidR="00580CDF" w:rsidRPr="00730D93">
        <w:rPr>
          <w:rFonts w:eastAsiaTheme="minorEastAsia" w:hint="eastAsia"/>
          <w:sz w:val="21"/>
        </w:rPr>
        <w:t>考虑到各体系的特点和不同要求，以及不同的成熟程度，在制定</w:t>
      </w:r>
      <w:r w:rsidR="00580CDF" w:rsidRPr="00730D93">
        <w:rPr>
          <w:rFonts w:eastAsiaTheme="minorEastAsia"/>
          <w:sz w:val="21"/>
        </w:rPr>
        <w:t>PCT</w:t>
      </w:r>
      <w:r w:rsidR="00580CDF" w:rsidRPr="00730D93">
        <w:rPr>
          <w:rFonts w:eastAsiaTheme="minorEastAsia" w:hint="eastAsia"/>
          <w:sz w:val="21"/>
        </w:rPr>
        <w:t>、海牙、马德里和里斯本体系</w:t>
      </w:r>
      <w:r w:rsidR="00580CDF" w:rsidRPr="00730D93">
        <w:rPr>
          <w:rFonts w:eastAsiaTheme="minorEastAsia" w:hint="cs"/>
          <w:sz w:val="21"/>
        </w:rPr>
        <w:t>“</w:t>
      </w:r>
      <w:r w:rsidR="00580CDF" w:rsidRPr="00730D93">
        <w:rPr>
          <w:rFonts w:eastAsiaTheme="minorEastAsia" w:hint="eastAsia"/>
          <w:sz w:val="21"/>
        </w:rPr>
        <w:t>生产率和服务质量得到提高</w:t>
      </w:r>
      <w:r w:rsidR="00580CDF" w:rsidRPr="00730D93">
        <w:rPr>
          <w:rFonts w:eastAsiaTheme="minorEastAsia" w:hint="cs"/>
          <w:sz w:val="21"/>
        </w:rPr>
        <w:t>”</w:t>
      </w:r>
      <w:r w:rsidR="00580CDF" w:rsidRPr="00730D93">
        <w:rPr>
          <w:rFonts w:eastAsiaTheme="minorEastAsia" w:hint="eastAsia"/>
          <w:sz w:val="21"/>
        </w:rPr>
        <w:t>的绩效指标时力求反映</w:t>
      </w:r>
      <w:r w:rsidR="00580CDF" w:rsidRPr="00730D93">
        <w:rPr>
          <w:rFonts w:eastAsiaTheme="minorEastAsia" w:hint="eastAsia"/>
          <w:sz w:val="21"/>
        </w:rPr>
        <w:t>2016/17</w:t>
      </w:r>
      <w:r w:rsidR="00580CDF" w:rsidRPr="00730D93">
        <w:rPr>
          <w:rFonts w:eastAsiaTheme="minorEastAsia" w:hint="eastAsia"/>
          <w:sz w:val="21"/>
        </w:rPr>
        <w:t>两年期各体系最为相关的指标。</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BB0F4A" w:rsidRPr="0044088F">
        <w:rPr>
          <w:b/>
          <w:sz w:val="21"/>
        </w:rPr>
        <w:t>4</w:t>
      </w:r>
      <w:r w:rsidRPr="0044088F">
        <w:rPr>
          <w:b/>
          <w:sz w:val="21"/>
        </w:rPr>
        <w:t>：</w:t>
      </w:r>
      <w:r w:rsidR="00580CDF" w:rsidRPr="00730D93">
        <w:rPr>
          <w:rFonts w:eastAsiaTheme="minorEastAsia" w:hint="eastAsia"/>
          <w:b/>
          <w:sz w:val="21"/>
        </w:rPr>
        <w:t>在计划</w:t>
      </w:r>
      <w:r w:rsidR="00580CDF" w:rsidRPr="00730D93">
        <w:rPr>
          <w:rFonts w:eastAsiaTheme="minorEastAsia" w:hint="eastAsia"/>
          <w:b/>
          <w:sz w:val="21"/>
        </w:rPr>
        <w:t>6</w:t>
      </w:r>
      <w:r w:rsidR="00580CDF" w:rsidRPr="00730D93">
        <w:rPr>
          <w:rFonts w:eastAsiaTheme="minorEastAsia" w:hint="eastAsia"/>
          <w:b/>
          <w:sz w:val="21"/>
        </w:rPr>
        <w:t>的成果框架中，绩效指标“申请率”指的是什么？</w:t>
      </w:r>
    </w:p>
    <w:p w:rsidR="005A1670" w:rsidRPr="00730D93" w:rsidRDefault="0044088F" w:rsidP="005A1670">
      <w:pPr>
        <w:spacing w:afterLines="50" w:after="120" w:line="340" w:lineRule="atLeast"/>
        <w:jc w:val="both"/>
        <w:rPr>
          <w:rFonts w:eastAsiaTheme="minorEastAsia"/>
          <w:sz w:val="21"/>
        </w:rPr>
      </w:pPr>
      <w:r>
        <w:rPr>
          <w:sz w:val="21"/>
        </w:rPr>
        <w:t>答</w:t>
      </w:r>
      <w:r w:rsidR="00BB0F4A" w:rsidRPr="0044088F">
        <w:rPr>
          <w:sz w:val="21"/>
        </w:rPr>
        <w:t>4</w:t>
      </w:r>
      <w:r w:rsidRPr="0044088F">
        <w:rPr>
          <w:sz w:val="21"/>
        </w:rPr>
        <w:t>：</w:t>
      </w:r>
      <w:r w:rsidR="00105FB1" w:rsidRPr="00730D93">
        <w:rPr>
          <w:rFonts w:eastAsiaTheme="minorEastAsia" w:hint="eastAsia"/>
          <w:sz w:val="21"/>
        </w:rPr>
        <w:t>马德里体系的申请率指的是在某一年中提交的申请量。例如，</w:t>
      </w:r>
      <w:r w:rsidR="00105FB1" w:rsidRPr="00730D93">
        <w:rPr>
          <w:rFonts w:eastAsiaTheme="minorEastAsia" w:hint="eastAsia"/>
          <w:sz w:val="21"/>
        </w:rPr>
        <w:t>2014</w:t>
      </w:r>
      <w:r w:rsidR="00105FB1" w:rsidRPr="00730D93">
        <w:rPr>
          <w:rFonts w:eastAsiaTheme="minorEastAsia" w:hint="eastAsia"/>
          <w:sz w:val="21"/>
        </w:rPr>
        <w:t>年提交了</w:t>
      </w:r>
      <w:r w:rsidR="00105FB1" w:rsidRPr="00730D93">
        <w:rPr>
          <w:rFonts w:eastAsiaTheme="minorEastAsia" w:hint="eastAsia"/>
          <w:sz w:val="21"/>
        </w:rPr>
        <w:t>47,885</w:t>
      </w:r>
      <w:r w:rsidR="009E783C" w:rsidRPr="00730D93">
        <w:rPr>
          <w:rFonts w:eastAsiaTheme="minorEastAsia" w:hint="eastAsia"/>
          <w:sz w:val="21"/>
        </w:rPr>
        <w:t>件</w:t>
      </w:r>
      <w:r w:rsidR="00105FB1" w:rsidRPr="00730D93">
        <w:rPr>
          <w:rFonts w:eastAsiaTheme="minorEastAsia" w:hint="eastAsia"/>
          <w:sz w:val="21"/>
        </w:rPr>
        <w:t>申请，与</w:t>
      </w:r>
      <w:r w:rsidR="00105FB1" w:rsidRPr="00730D93">
        <w:rPr>
          <w:rFonts w:eastAsiaTheme="minorEastAsia" w:hint="eastAsia"/>
          <w:sz w:val="21"/>
        </w:rPr>
        <w:t>2013</w:t>
      </w:r>
      <w:r w:rsidR="00105FB1" w:rsidRPr="00730D93">
        <w:rPr>
          <w:rFonts w:eastAsiaTheme="minorEastAsia" w:hint="eastAsia"/>
          <w:sz w:val="21"/>
        </w:rPr>
        <w:t>年相比申请率提高</w:t>
      </w:r>
      <w:r w:rsidR="00105FB1" w:rsidRPr="00730D93">
        <w:rPr>
          <w:rFonts w:eastAsiaTheme="minorEastAsia" w:hint="eastAsia"/>
          <w:sz w:val="21"/>
        </w:rPr>
        <w:t>2.3%</w:t>
      </w:r>
      <w:r w:rsidR="00105FB1"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2F00FA" w:rsidRPr="0044088F">
        <w:rPr>
          <w:b/>
          <w:sz w:val="21"/>
        </w:rPr>
        <w:t>5</w:t>
      </w:r>
      <w:r w:rsidRPr="0044088F">
        <w:rPr>
          <w:b/>
          <w:sz w:val="21"/>
        </w:rPr>
        <w:t>：</w:t>
      </w:r>
      <w:r w:rsidR="00105FB1" w:rsidRPr="00730D93">
        <w:rPr>
          <w:rFonts w:eastAsiaTheme="minorEastAsia" w:hint="eastAsia"/>
          <w:b/>
          <w:sz w:val="21"/>
        </w:rPr>
        <w:t>在计划</w:t>
      </w:r>
      <w:r w:rsidR="00105FB1" w:rsidRPr="00730D93">
        <w:rPr>
          <w:rFonts w:eastAsiaTheme="minorEastAsia" w:hint="eastAsia"/>
          <w:b/>
          <w:sz w:val="21"/>
        </w:rPr>
        <w:t>6</w:t>
      </w:r>
      <w:r w:rsidR="00105FB1" w:rsidRPr="00730D93">
        <w:rPr>
          <w:rFonts w:eastAsiaTheme="minorEastAsia" w:hint="eastAsia"/>
          <w:b/>
          <w:sz w:val="21"/>
        </w:rPr>
        <w:t>的成果框架中如何区分马德里体系和里斯本体系的绩效指标？</w:t>
      </w:r>
    </w:p>
    <w:p w:rsidR="005A1670" w:rsidRPr="00730D93" w:rsidRDefault="0044088F" w:rsidP="005A1670">
      <w:pPr>
        <w:spacing w:afterLines="50" w:after="120" w:line="340" w:lineRule="atLeast"/>
        <w:jc w:val="both"/>
        <w:rPr>
          <w:rFonts w:eastAsiaTheme="minorEastAsia"/>
          <w:sz w:val="21"/>
        </w:rPr>
      </w:pPr>
      <w:r>
        <w:rPr>
          <w:sz w:val="21"/>
        </w:rPr>
        <w:t>答</w:t>
      </w:r>
      <w:r w:rsidR="002F00FA" w:rsidRPr="0044088F">
        <w:rPr>
          <w:sz w:val="21"/>
        </w:rPr>
        <w:t>5</w:t>
      </w:r>
      <w:r w:rsidRPr="0044088F">
        <w:rPr>
          <w:sz w:val="21"/>
        </w:rPr>
        <w:t>：</w:t>
      </w:r>
      <w:r w:rsidR="00105FB1" w:rsidRPr="0044088F">
        <w:rPr>
          <w:rFonts w:hint="eastAsia"/>
          <w:sz w:val="21"/>
        </w:rPr>
        <w:t>在计划</w:t>
      </w:r>
      <w:r w:rsidR="00105FB1" w:rsidRPr="0044088F">
        <w:rPr>
          <w:sz w:val="21"/>
        </w:rPr>
        <w:t>6</w:t>
      </w:r>
      <w:r w:rsidR="00105FB1" w:rsidRPr="0044088F">
        <w:rPr>
          <w:rFonts w:hint="eastAsia"/>
          <w:sz w:val="21"/>
        </w:rPr>
        <w:t>的成果框架中</w:t>
      </w:r>
      <w:r w:rsidR="00105FB1" w:rsidRPr="00730D93">
        <w:rPr>
          <w:rFonts w:eastAsiaTheme="minorEastAsia" w:hint="eastAsia"/>
          <w:sz w:val="21"/>
        </w:rPr>
        <w:t>，对于每项预期成果，先列出马德里体系的绩效指标，然后是里斯本体系的绩效指标。对于里斯本体系，在适用的情况下会在绩效指标说明、基线和</w:t>
      </w:r>
      <w:r w:rsidR="00105FB1" w:rsidRPr="00730D93">
        <w:rPr>
          <w:rFonts w:eastAsiaTheme="minorEastAsia" w:hint="eastAsia"/>
          <w:sz w:val="21"/>
        </w:rPr>
        <w:t>/</w:t>
      </w:r>
      <w:r w:rsidR="00105FB1" w:rsidRPr="00730D93">
        <w:rPr>
          <w:rFonts w:eastAsiaTheme="minorEastAsia" w:hint="eastAsia"/>
          <w:sz w:val="21"/>
        </w:rPr>
        <w:t>或目标中特别注明</w:t>
      </w:r>
      <w:r w:rsidR="009E783C" w:rsidRPr="00730D93">
        <w:rPr>
          <w:rFonts w:eastAsiaTheme="minorEastAsia" w:hint="eastAsia"/>
          <w:sz w:val="21"/>
        </w:rPr>
        <w:t>是</w:t>
      </w:r>
      <w:r w:rsidR="00105FB1" w:rsidRPr="00730D93">
        <w:rPr>
          <w:rFonts w:eastAsiaTheme="minorEastAsia" w:hint="eastAsia"/>
          <w:sz w:val="21"/>
        </w:rPr>
        <w:t>里斯本体系。</w:t>
      </w:r>
    </w:p>
    <w:p w:rsidR="005A1670" w:rsidRDefault="0044088F" w:rsidP="005A1670">
      <w:pPr>
        <w:pStyle w:val="ONUME"/>
        <w:keepNext/>
        <w:numPr>
          <w:ilvl w:val="0"/>
          <w:numId w:val="0"/>
        </w:numPr>
        <w:overflowPunct w:val="0"/>
        <w:spacing w:beforeLines="100" w:before="240" w:afterLines="50" w:after="120" w:line="340" w:lineRule="atLeast"/>
        <w:jc w:val="both"/>
        <w:rPr>
          <w:b/>
          <w:sz w:val="21"/>
        </w:rPr>
      </w:pPr>
      <w:r>
        <w:rPr>
          <w:b/>
          <w:sz w:val="21"/>
        </w:rPr>
        <w:t>问</w:t>
      </w:r>
      <w:r w:rsidR="00671B9C" w:rsidRPr="0044088F">
        <w:rPr>
          <w:b/>
          <w:sz w:val="21"/>
        </w:rPr>
        <w:t>6</w:t>
      </w:r>
      <w:r w:rsidRPr="0044088F">
        <w:rPr>
          <w:b/>
          <w:sz w:val="21"/>
        </w:rPr>
        <w:t>：</w:t>
      </w:r>
      <w:r w:rsidR="00105FB1" w:rsidRPr="00730D93">
        <w:rPr>
          <w:rFonts w:eastAsiaTheme="minorEastAsia" w:hint="eastAsia"/>
          <w:b/>
          <w:sz w:val="21"/>
        </w:rPr>
        <w:t>在计划</w:t>
      </w:r>
      <w:r w:rsidR="00105FB1" w:rsidRPr="00730D93">
        <w:rPr>
          <w:rFonts w:eastAsiaTheme="minorEastAsia" w:hint="eastAsia"/>
          <w:b/>
          <w:sz w:val="21"/>
        </w:rPr>
        <w:t>6</w:t>
      </w:r>
      <w:r w:rsidR="00105FB1" w:rsidRPr="00730D93">
        <w:rPr>
          <w:rFonts w:eastAsiaTheme="minorEastAsia" w:hint="eastAsia"/>
          <w:b/>
          <w:sz w:val="21"/>
        </w:rPr>
        <w:t>的成果框架中</w:t>
      </w:r>
      <w:r w:rsidR="00973FA1" w:rsidRPr="00730D93">
        <w:rPr>
          <w:rFonts w:eastAsiaTheme="minorEastAsia" w:hint="eastAsia"/>
          <w:b/>
          <w:sz w:val="21"/>
        </w:rPr>
        <w:t>，客户满意度、单位成本、交易的及时性</w:t>
      </w:r>
      <w:r w:rsidR="005A1670" w:rsidRPr="00730D93">
        <w:rPr>
          <w:rFonts w:eastAsiaTheme="minorEastAsia" w:hint="eastAsia"/>
          <w:b/>
          <w:sz w:val="21"/>
        </w:rPr>
        <w:t>（</w:t>
      </w:r>
      <w:r w:rsidR="00973FA1" w:rsidRPr="00730D93">
        <w:rPr>
          <w:rFonts w:eastAsiaTheme="minorEastAsia" w:hint="eastAsia"/>
          <w:b/>
          <w:sz w:val="21"/>
        </w:rPr>
        <w:t>天数</w:t>
      </w:r>
      <w:r w:rsidR="005A1670" w:rsidRPr="00730D93">
        <w:rPr>
          <w:rFonts w:eastAsiaTheme="minorEastAsia" w:hint="eastAsia"/>
          <w:b/>
          <w:sz w:val="21"/>
        </w:rPr>
        <w:t>）</w:t>
      </w:r>
      <w:r w:rsidR="00973FA1" w:rsidRPr="00730D93">
        <w:rPr>
          <w:rFonts w:eastAsiaTheme="minorEastAsia" w:hint="eastAsia"/>
          <w:b/>
          <w:sz w:val="21"/>
        </w:rPr>
        <w:t>和质量的绩效指标是否既适用于马德里体系，也适用于里斯本体系？</w:t>
      </w:r>
    </w:p>
    <w:p w:rsidR="005A1670" w:rsidRPr="00730D93" w:rsidRDefault="0044088F" w:rsidP="005A1670">
      <w:pPr>
        <w:spacing w:afterLines="50" w:after="120" w:line="340" w:lineRule="atLeast"/>
        <w:jc w:val="both"/>
        <w:rPr>
          <w:rFonts w:eastAsiaTheme="minorEastAsia"/>
          <w:sz w:val="21"/>
        </w:rPr>
      </w:pPr>
      <w:r>
        <w:rPr>
          <w:sz w:val="21"/>
        </w:rPr>
        <w:t>答</w:t>
      </w:r>
      <w:r w:rsidR="00671B9C" w:rsidRPr="0044088F">
        <w:rPr>
          <w:sz w:val="21"/>
        </w:rPr>
        <w:t>6</w:t>
      </w:r>
      <w:r w:rsidRPr="0044088F">
        <w:rPr>
          <w:sz w:val="21"/>
        </w:rPr>
        <w:t>：</w:t>
      </w:r>
      <w:r w:rsidR="00973FA1" w:rsidRPr="0044088F">
        <w:rPr>
          <w:rFonts w:ascii="SimSun" w:hAnsi="SimSun" w:cs="SimSun" w:hint="eastAsia"/>
          <w:sz w:val="21"/>
        </w:rPr>
        <w:t>在计划6的</w:t>
      </w:r>
      <w:r w:rsidR="00973FA1" w:rsidRPr="005A1670">
        <w:rPr>
          <w:rFonts w:hint="eastAsia"/>
          <w:bCs/>
          <w:sz w:val="21"/>
          <w:szCs w:val="22"/>
        </w:rPr>
        <w:t>成果</w:t>
      </w:r>
      <w:r w:rsidR="00973FA1" w:rsidRPr="0044088F">
        <w:rPr>
          <w:rFonts w:ascii="SimSun" w:hAnsi="SimSun" w:cs="SimSun" w:hint="eastAsia"/>
          <w:sz w:val="21"/>
        </w:rPr>
        <w:t>框架中，</w:t>
      </w:r>
      <w:r w:rsidR="00973FA1" w:rsidRPr="0044088F">
        <w:rPr>
          <w:rFonts w:hint="eastAsia"/>
          <w:sz w:val="21"/>
        </w:rPr>
        <w:t>客户满意度、单位成本、交易的及时性</w:t>
      </w:r>
      <w:r w:rsidR="005A1670">
        <w:rPr>
          <w:sz w:val="21"/>
        </w:rPr>
        <w:t>（</w:t>
      </w:r>
      <w:r w:rsidR="00973FA1" w:rsidRPr="0044088F">
        <w:rPr>
          <w:rFonts w:hint="eastAsia"/>
          <w:sz w:val="21"/>
        </w:rPr>
        <w:t>天数</w:t>
      </w:r>
      <w:r w:rsidR="005A1670">
        <w:rPr>
          <w:sz w:val="21"/>
        </w:rPr>
        <w:t>）</w:t>
      </w:r>
      <w:r w:rsidR="00973FA1" w:rsidRPr="0044088F">
        <w:rPr>
          <w:rFonts w:hint="eastAsia"/>
          <w:sz w:val="21"/>
        </w:rPr>
        <w:t>和质量的绩效指标</w:t>
      </w:r>
      <w:r w:rsidR="00973FA1" w:rsidRPr="00730D93">
        <w:rPr>
          <w:rFonts w:eastAsiaTheme="minorEastAsia" w:hint="eastAsia"/>
          <w:sz w:val="21"/>
        </w:rPr>
        <w:t>仅</w:t>
      </w:r>
      <w:r w:rsidR="00973FA1" w:rsidRPr="0044088F">
        <w:rPr>
          <w:rFonts w:hint="eastAsia"/>
          <w:sz w:val="21"/>
        </w:rPr>
        <w:t>适用于马德里体系</w:t>
      </w:r>
      <w:r w:rsidR="00973FA1" w:rsidRPr="00730D93">
        <w:rPr>
          <w:rFonts w:eastAsiaTheme="minorEastAsia" w:hint="eastAsia"/>
          <w:sz w:val="21"/>
        </w:rPr>
        <w:t>。</w:t>
      </w:r>
    </w:p>
    <w:p w:rsidR="005A1670" w:rsidRDefault="00973FA1" w:rsidP="00880C0C">
      <w:pPr>
        <w:keepNext/>
        <w:spacing w:beforeLines="100" w:before="240" w:afterLines="50" w:after="120" w:line="340" w:lineRule="atLeast"/>
        <w:rPr>
          <w:b/>
          <w:sz w:val="24"/>
          <w:szCs w:val="24"/>
        </w:rPr>
      </w:pPr>
      <w:r w:rsidRPr="0044088F">
        <w:rPr>
          <w:rFonts w:hint="eastAsia"/>
          <w:b/>
          <w:sz w:val="24"/>
          <w:szCs w:val="24"/>
        </w:rPr>
        <w:t>战略目标三：</w:t>
      </w:r>
      <w:r w:rsidR="006F647D" w:rsidRPr="0044088F">
        <w:rPr>
          <w:rFonts w:hint="eastAsia"/>
          <w:b/>
          <w:sz w:val="24"/>
          <w:szCs w:val="24"/>
        </w:rPr>
        <w:t>为利用知识产权促进发展提供便利</w:t>
      </w:r>
    </w:p>
    <w:p w:rsidR="00707288"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C92C28" w:rsidRPr="0044088F">
        <w:rPr>
          <w:b/>
          <w:sz w:val="21"/>
        </w:rPr>
        <w:t>1</w:t>
      </w:r>
      <w:r w:rsidRPr="0044088F">
        <w:rPr>
          <w:b/>
          <w:sz w:val="21"/>
        </w:rPr>
        <w:t>：</w:t>
      </w:r>
      <w:r w:rsidR="00F842EB" w:rsidRPr="00730D93">
        <w:rPr>
          <w:rFonts w:eastAsiaTheme="minorEastAsia" w:hint="eastAsia"/>
          <w:b/>
          <w:sz w:val="21"/>
        </w:rPr>
        <w:t>在哪项计划中反映了针对转型国家中小企业和大学的工作？</w:t>
      </w:r>
    </w:p>
    <w:p w:rsidR="005A1670" w:rsidRPr="00730D93" w:rsidRDefault="0044088F" w:rsidP="005A1670">
      <w:pPr>
        <w:spacing w:afterLines="50" w:after="120" w:line="340" w:lineRule="atLeast"/>
        <w:jc w:val="both"/>
        <w:rPr>
          <w:rFonts w:eastAsiaTheme="minorEastAsia"/>
          <w:sz w:val="21"/>
        </w:rPr>
      </w:pPr>
      <w:r>
        <w:rPr>
          <w:sz w:val="21"/>
        </w:rPr>
        <w:t>答</w:t>
      </w:r>
      <w:r w:rsidR="00C92C28" w:rsidRPr="0044088F">
        <w:rPr>
          <w:sz w:val="21"/>
        </w:rPr>
        <w:t>1</w:t>
      </w:r>
      <w:r w:rsidRPr="0044088F">
        <w:rPr>
          <w:sz w:val="21"/>
        </w:rPr>
        <w:t>：</w:t>
      </w:r>
      <w:r w:rsidR="00F842EB" w:rsidRPr="0044088F">
        <w:rPr>
          <w:rFonts w:hint="eastAsia"/>
          <w:sz w:val="21"/>
        </w:rPr>
        <w:t>针对转型</w:t>
      </w:r>
      <w:r w:rsidR="00F842EB" w:rsidRPr="005A1670">
        <w:rPr>
          <w:rFonts w:hint="eastAsia"/>
          <w:bCs/>
          <w:sz w:val="21"/>
          <w:szCs w:val="22"/>
        </w:rPr>
        <w:t>国家</w:t>
      </w:r>
      <w:r w:rsidR="00F842EB" w:rsidRPr="0044088F">
        <w:rPr>
          <w:rFonts w:hint="eastAsia"/>
          <w:sz w:val="21"/>
        </w:rPr>
        <w:t>中小企业和大学的工作</w:t>
      </w:r>
      <w:r w:rsidR="00F842EB" w:rsidRPr="00730D93">
        <w:rPr>
          <w:rFonts w:eastAsiaTheme="minorEastAsia" w:hint="eastAsia"/>
          <w:sz w:val="21"/>
        </w:rPr>
        <w:t>反映在计划</w:t>
      </w:r>
      <w:r w:rsidR="00F842EB" w:rsidRPr="00730D93">
        <w:rPr>
          <w:rFonts w:eastAsiaTheme="minorEastAsia" w:hint="eastAsia"/>
          <w:sz w:val="21"/>
        </w:rPr>
        <w:t>30</w:t>
      </w:r>
      <w:r w:rsidR="009E783C" w:rsidRPr="00730D93">
        <w:rPr>
          <w:rFonts w:eastAsiaTheme="minorEastAsia" w:hint="eastAsia"/>
          <w:sz w:val="21"/>
        </w:rPr>
        <w:t>中</w:t>
      </w:r>
      <w:r w:rsidR="00544BA3" w:rsidRPr="00730D93">
        <w:rPr>
          <w:rFonts w:eastAsiaTheme="minorEastAsia" w:hint="eastAsia"/>
          <w:sz w:val="21"/>
        </w:rPr>
        <w:t>小企业与创业支助</w:t>
      </w:r>
      <w:r w:rsidR="00F842EB" w:rsidRPr="00730D93">
        <w:rPr>
          <w:rFonts w:eastAsiaTheme="minorEastAsia" w:hint="eastAsia"/>
          <w:sz w:val="21"/>
        </w:rPr>
        <w:t>中。</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C92C28" w:rsidRPr="0044088F">
        <w:rPr>
          <w:b/>
          <w:bCs/>
          <w:sz w:val="21"/>
        </w:rPr>
        <w:t>2</w:t>
      </w:r>
      <w:r w:rsidRPr="0044088F">
        <w:rPr>
          <w:b/>
          <w:bCs/>
          <w:sz w:val="21"/>
        </w:rPr>
        <w:t>：</w:t>
      </w:r>
      <w:r w:rsidR="00544BA3" w:rsidRPr="00730D93">
        <w:rPr>
          <w:rFonts w:eastAsiaTheme="minorEastAsia" w:hint="eastAsia"/>
          <w:b/>
          <w:sz w:val="21"/>
        </w:rPr>
        <w:t>拟议的</w:t>
      </w:r>
      <w:r w:rsidR="00544BA3" w:rsidRPr="00730D93">
        <w:rPr>
          <w:rFonts w:eastAsiaTheme="minorEastAsia" w:hint="eastAsia"/>
          <w:b/>
          <w:sz w:val="21"/>
        </w:rPr>
        <w:t>2016/17</w:t>
      </w:r>
      <w:r w:rsidR="00544BA3" w:rsidRPr="00730D93">
        <w:rPr>
          <w:rFonts w:eastAsiaTheme="minorEastAsia" w:hint="eastAsia"/>
          <w:b/>
          <w:sz w:val="21"/>
        </w:rPr>
        <w:t>两年期计划和预算的哪个部分反映了南南合作？</w:t>
      </w:r>
    </w:p>
    <w:p w:rsidR="005A1670" w:rsidRPr="00730D93" w:rsidRDefault="0044088F" w:rsidP="005A1670">
      <w:pPr>
        <w:spacing w:afterLines="50" w:after="120" w:line="340" w:lineRule="atLeast"/>
        <w:jc w:val="both"/>
        <w:rPr>
          <w:rFonts w:eastAsiaTheme="minorEastAsia"/>
          <w:sz w:val="21"/>
        </w:rPr>
      </w:pPr>
      <w:r>
        <w:rPr>
          <w:sz w:val="21"/>
        </w:rPr>
        <w:t>答</w:t>
      </w:r>
      <w:r w:rsidR="00C92C28" w:rsidRPr="0044088F">
        <w:rPr>
          <w:sz w:val="21"/>
        </w:rPr>
        <w:t>2</w:t>
      </w:r>
      <w:r w:rsidRPr="0044088F">
        <w:rPr>
          <w:sz w:val="21"/>
        </w:rPr>
        <w:t>：</w:t>
      </w:r>
      <w:r w:rsidR="00544BA3" w:rsidRPr="00730D93">
        <w:rPr>
          <w:rFonts w:eastAsiaTheme="minorEastAsia" w:hint="eastAsia"/>
          <w:sz w:val="21"/>
        </w:rPr>
        <w:t>南南合作</w:t>
      </w:r>
      <w:r w:rsidR="00544BA3" w:rsidRPr="005A1670">
        <w:rPr>
          <w:rFonts w:hint="eastAsia"/>
          <w:bCs/>
          <w:sz w:val="21"/>
          <w:szCs w:val="22"/>
        </w:rPr>
        <w:t>反映</w:t>
      </w:r>
      <w:r w:rsidR="00544BA3" w:rsidRPr="00730D93">
        <w:rPr>
          <w:rFonts w:eastAsiaTheme="minorEastAsia" w:hint="eastAsia"/>
          <w:sz w:val="21"/>
        </w:rPr>
        <w:t>在计划</w:t>
      </w:r>
      <w:r w:rsidR="00544BA3" w:rsidRPr="00730D93">
        <w:rPr>
          <w:rFonts w:eastAsiaTheme="minorEastAsia" w:hint="eastAsia"/>
          <w:sz w:val="21"/>
        </w:rPr>
        <w:t>9</w:t>
      </w:r>
      <w:r w:rsidR="00544BA3" w:rsidRPr="00730D93">
        <w:rPr>
          <w:rFonts w:eastAsiaTheme="minorEastAsia" w:hint="eastAsia"/>
          <w:sz w:val="21"/>
        </w:rPr>
        <w:t>中</w:t>
      </w:r>
      <w:r w:rsidR="005A1670" w:rsidRPr="00730D93">
        <w:rPr>
          <w:rFonts w:eastAsiaTheme="minorEastAsia" w:hint="eastAsia"/>
          <w:sz w:val="21"/>
        </w:rPr>
        <w:t>（</w:t>
      </w:r>
      <w:r w:rsidR="00544BA3" w:rsidRPr="00730D93">
        <w:rPr>
          <w:rFonts w:eastAsiaTheme="minorEastAsia" w:hint="eastAsia"/>
          <w:sz w:val="21"/>
        </w:rPr>
        <w:t>请见</w:t>
      </w:r>
      <w:r w:rsidR="00544BA3" w:rsidRPr="00730D93">
        <w:rPr>
          <w:rFonts w:eastAsiaTheme="minorEastAsia" w:hint="eastAsia"/>
          <w:sz w:val="21"/>
        </w:rPr>
        <w:t>9.11</w:t>
      </w:r>
      <w:r w:rsidR="00544BA3" w:rsidRPr="00730D93">
        <w:rPr>
          <w:rFonts w:eastAsiaTheme="minorEastAsia" w:hint="eastAsia"/>
          <w:sz w:val="21"/>
        </w:rPr>
        <w:t>节</w:t>
      </w:r>
      <w:r w:rsidR="005A1670" w:rsidRPr="00730D93">
        <w:rPr>
          <w:rFonts w:eastAsiaTheme="minorEastAsia" w:hint="eastAsia"/>
          <w:sz w:val="21"/>
        </w:rPr>
        <w:t>）</w:t>
      </w:r>
      <w:r w:rsidR="00544BA3" w:rsidRPr="00730D93">
        <w:rPr>
          <w:rFonts w:eastAsiaTheme="minorEastAsia" w:hint="eastAsia"/>
          <w:sz w:val="21"/>
        </w:rPr>
        <w:t>。</w:t>
      </w:r>
    </w:p>
    <w:p w:rsidR="009A0CE7"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lastRenderedPageBreak/>
        <w:t>问</w:t>
      </w:r>
      <w:r w:rsidR="009A0CE7" w:rsidRPr="0044088F">
        <w:rPr>
          <w:b/>
          <w:sz w:val="21"/>
        </w:rPr>
        <w:t>3</w:t>
      </w:r>
      <w:r w:rsidRPr="0044088F">
        <w:rPr>
          <w:b/>
          <w:sz w:val="21"/>
        </w:rPr>
        <w:t>：</w:t>
      </w:r>
      <w:r w:rsidR="00544BA3" w:rsidRPr="00730D93">
        <w:rPr>
          <w:rFonts w:eastAsiaTheme="minorEastAsia" w:hint="eastAsia"/>
          <w:b/>
          <w:sz w:val="21"/>
        </w:rPr>
        <w:t>在计划</w:t>
      </w:r>
      <w:r w:rsidR="00544BA3" w:rsidRPr="00730D93">
        <w:rPr>
          <w:rFonts w:eastAsiaTheme="minorEastAsia" w:hint="eastAsia"/>
          <w:b/>
          <w:sz w:val="21"/>
        </w:rPr>
        <w:t>2</w:t>
      </w:r>
      <w:r w:rsidR="00544BA3" w:rsidRPr="00730D93">
        <w:rPr>
          <w:rFonts w:eastAsiaTheme="minorEastAsia" w:hint="eastAsia"/>
          <w:b/>
          <w:sz w:val="21"/>
        </w:rPr>
        <w:t>中，在按成果开列的资源</w:t>
      </w:r>
      <w:r w:rsidR="00E7544E" w:rsidRPr="00730D93">
        <w:rPr>
          <w:rFonts w:eastAsiaTheme="minorEastAsia" w:hint="eastAsia"/>
          <w:b/>
          <w:sz w:val="21"/>
        </w:rPr>
        <w:t>表</w:t>
      </w:r>
      <w:r w:rsidR="00544BA3" w:rsidRPr="00730D93">
        <w:rPr>
          <w:rFonts w:eastAsiaTheme="minorEastAsia" w:hint="eastAsia"/>
          <w:b/>
          <w:sz w:val="21"/>
        </w:rPr>
        <w:t>中提到了预期成果三</w:t>
      </w:r>
      <w:r w:rsidR="00544BA3" w:rsidRPr="00730D93">
        <w:rPr>
          <w:rFonts w:eastAsiaTheme="minorEastAsia" w:hint="eastAsia"/>
          <w:b/>
          <w:sz w:val="21"/>
        </w:rPr>
        <w:t>.4</w:t>
      </w:r>
      <w:r w:rsidR="00544BA3" w:rsidRPr="00730D93">
        <w:rPr>
          <w:rFonts w:eastAsiaTheme="minorEastAsia" w:hint="eastAsia"/>
          <w:b/>
          <w:sz w:val="21"/>
        </w:rPr>
        <w:t>：符合发展中国家和最不发达国家需求的合作机制与计划得到加强。为什么该项成果没有反映在成果框架中？</w:t>
      </w:r>
    </w:p>
    <w:p w:rsidR="005A1670" w:rsidRPr="00730D93" w:rsidRDefault="0044088F" w:rsidP="005A1670">
      <w:pPr>
        <w:spacing w:afterLines="50" w:after="120" w:line="340" w:lineRule="atLeast"/>
        <w:jc w:val="both"/>
        <w:rPr>
          <w:rFonts w:eastAsiaTheme="minorEastAsia"/>
          <w:sz w:val="21"/>
        </w:rPr>
      </w:pPr>
      <w:r>
        <w:rPr>
          <w:sz w:val="21"/>
        </w:rPr>
        <w:t>答</w:t>
      </w:r>
      <w:r w:rsidR="009A0CE7" w:rsidRPr="0044088F">
        <w:rPr>
          <w:sz w:val="21"/>
        </w:rPr>
        <w:t>3</w:t>
      </w:r>
      <w:r w:rsidRPr="0044088F">
        <w:rPr>
          <w:sz w:val="21"/>
        </w:rPr>
        <w:t>：</w:t>
      </w:r>
      <w:r w:rsidR="00E7544E" w:rsidRPr="00730D93">
        <w:rPr>
          <w:rFonts w:eastAsiaTheme="minorEastAsia" w:hint="eastAsia"/>
          <w:sz w:val="21"/>
        </w:rPr>
        <w:t>在计划</w:t>
      </w:r>
      <w:r w:rsidR="00E7544E" w:rsidRPr="00730D93">
        <w:rPr>
          <w:rFonts w:eastAsiaTheme="minorEastAsia" w:hint="eastAsia"/>
          <w:sz w:val="21"/>
        </w:rPr>
        <w:t>2</w:t>
      </w:r>
      <w:r w:rsidR="00E7544E" w:rsidRPr="00730D93">
        <w:rPr>
          <w:rFonts w:eastAsiaTheme="minorEastAsia" w:hint="eastAsia"/>
          <w:sz w:val="21"/>
        </w:rPr>
        <w:t>按成果开列的资源表中分配给预期成果三</w:t>
      </w:r>
      <w:r w:rsidR="00E7544E" w:rsidRPr="00730D93">
        <w:rPr>
          <w:rFonts w:eastAsiaTheme="minorEastAsia" w:hint="eastAsia"/>
          <w:sz w:val="21"/>
        </w:rPr>
        <w:t>.4</w:t>
      </w:r>
      <w:r w:rsidR="00E7544E" w:rsidRPr="00730D93">
        <w:rPr>
          <w:rFonts w:eastAsiaTheme="minorEastAsia" w:hint="eastAsia"/>
          <w:sz w:val="21"/>
        </w:rPr>
        <w:t>的资源是关于发展议程项目</w:t>
      </w:r>
      <w:r w:rsidR="00CF3AEE" w:rsidRPr="00730D93">
        <w:rPr>
          <w:rFonts w:eastAsiaTheme="minorEastAsia" w:hint="eastAsia"/>
          <w:sz w:val="21"/>
        </w:rPr>
        <w:t>创造知识产权和外观设计促进</w:t>
      </w:r>
      <w:r w:rsidR="00CF3AEE" w:rsidRPr="005A1670">
        <w:rPr>
          <w:rFonts w:hint="eastAsia"/>
          <w:bCs/>
          <w:sz w:val="21"/>
          <w:szCs w:val="22"/>
        </w:rPr>
        <w:t>发展中国家</w:t>
      </w:r>
      <w:r w:rsidR="00CF3AEE" w:rsidRPr="00730D93">
        <w:rPr>
          <w:rFonts w:eastAsiaTheme="minorEastAsia" w:hint="eastAsia"/>
          <w:sz w:val="21"/>
        </w:rPr>
        <w:t>和最不发达国家企业发展</w:t>
      </w:r>
      <w:r w:rsidR="005A1670">
        <w:rPr>
          <w:sz w:val="21"/>
        </w:rPr>
        <w:t>（</w:t>
      </w:r>
      <w:r w:rsidR="00CF3AEE" w:rsidRPr="0044088F">
        <w:rPr>
          <w:sz w:val="21"/>
        </w:rPr>
        <w:t>D0040</w:t>
      </w:r>
      <w:r w:rsidR="005A1670">
        <w:rPr>
          <w:sz w:val="21"/>
        </w:rPr>
        <w:t>）</w:t>
      </w:r>
      <w:r w:rsidR="00E7544E" w:rsidRPr="00730D93">
        <w:rPr>
          <w:rFonts w:eastAsiaTheme="minorEastAsia" w:hint="eastAsia"/>
          <w:sz w:val="21"/>
        </w:rPr>
        <w:t>。每个计划的成果框架只反映该计划常规工作的绩效指标，而不包括发展议程项目和特别储备金项目。</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9C1F6E" w:rsidRPr="0044088F">
        <w:rPr>
          <w:b/>
          <w:sz w:val="21"/>
        </w:rPr>
        <w:t>4</w:t>
      </w:r>
      <w:r w:rsidRPr="0044088F">
        <w:rPr>
          <w:b/>
          <w:sz w:val="21"/>
        </w:rPr>
        <w:t>：</w:t>
      </w:r>
      <w:r w:rsidR="00CF3AEE" w:rsidRPr="00730D93">
        <w:rPr>
          <w:rFonts w:eastAsiaTheme="minorEastAsia" w:hint="eastAsia"/>
          <w:b/>
          <w:sz w:val="21"/>
        </w:rPr>
        <w:t>在计划</w:t>
      </w:r>
      <w:r w:rsidR="00CF3AEE" w:rsidRPr="00730D93">
        <w:rPr>
          <w:rFonts w:eastAsiaTheme="minorEastAsia" w:hint="eastAsia"/>
          <w:b/>
          <w:sz w:val="21"/>
        </w:rPr>
        <w:t>30</w:t>
      </w:r>
      <w:r w:rsidR="00CF3AEE" w:rsidRPr="00730D93">
        <w:rPr>
          <w:rFonts w:eastAsiaTheme="minorEastAsia" w:hint="eastAsia"/>
          <w:b/>
          <w:sz w:val="21"/>
        </w:rPr>
        <w:t>的预期成果三</w:t>
      </w:r>
      <w:r w:rsidR="00CF3AEE" w:rsidRPr="00730D93">
        <w:rPr>
          <w:rFonts w:eastAsiaTheme="minorEastAsia" w:hint="eastAsia"/>
          <w:b/>
          <w:sz w:val="21"/>
        </w:rPr>
        <w:t>.1</w:t>
      </w:r>
      <w:r w:rsidR="00CF3AEE" w:rsidRPr="00730D93">
        <w:rPr>
          <w:rFonts w:eastAsiaTheme="minorEastAsia" w:hint="eastAsia"/>
          <w:b/>
          <w:sz w:val="21"/>
        </w:rPr>
        <w:t>：</w:t>
      </w:r>
      <w:r w:rsidR="00CF3AEE" w:rsidRPr="0044088F">
        <w:rPr>
          <w:rFonts w:hint="eastAsia"/>
          <w:b/>
          <w:sz w:val="21"/>
        </w:rPr>
        <w:t>国家创新与知识产权战略和计划符合国家发展目标</w:t>
      </w:r>
      <w:r w:rsidR="00CF3AEE" w:rsidRPr="00730D93">
        <w:rPr>
          <w:rFonts w:eastAsiaTheme="minorEastAsia" w:hint="eastAsia"/>
          <w:b/>
          <w:sz w:val="21"/>
        </w:rPr>
        <w:t>下，通过</w:t>
      </w:r>
      <w:r w:rsidR="00CF3AEE" w:rsidRPr="00730D93">
        <w:rPr>
          <w:rFonts w:eastAsiaTheme="minorEastAsia" w:hint="eastAsia"/>
          <w:b/>
          <w:sz w:val="21"/>
        </w:rPr>
        <w:t>WIPO</w:t>
      </w:r>
      <w:r w:rsidR="00CF3AEE" w:rsidRPr="00730D93">
        <w:rPr>
          <w:rFonts w:eastAsiaTheme="minorEastAsia" w:hint="eastAsia"/>
          <w:b/>
          <w:sz w:val="21"/>
        </w:rPr>
        <w:t>的协助而启动、正在进行或通过的国家创新战略的累计数目是多少？</w:t>
      </w:r>
    </w:p>
    <w:p w:rsidR="005A1670" w:rsidRPr="00730D93" w:rsidRDefault="0044088F" w:rsidP="005A1670">
      <w:pPr>
        <w:spacing w:afterLines="50" w:after="120" w:line="340" w:lineRule="atLeast"/>
        <w:jc w:val="both"/>
        <w:rPr>
          <w:rFonts w:eastAsiaTheme="minorEastAsia"/>
          <w:sz w:val="21"/>
        </w:rPr>
      </w:pPr>
      <w:r>
        <w:rPr>
          <w:sz w:val="21"/>
        </w:rPr>
        <w:t>答</w:t>
      </w:r>
      <w:r w:rsidR="009C1F6E" w:rsidRPr="0044088F">
        <w:rPr>
          <w:sz w:val="21"/>
        </w:rPr>
        <w:t>4</w:t>
      </w:r>
      <w:r w:rsidRPr="0044088F">
        <w:rPr>
          <w:sz w:val="21"/>
        </w:rPr>
        <w:t>：</w:t>
      </w:r>
      <w:r w:rsidR="00CF3AEE" w:rsidRPr="00730D93">
        <w:rPr>
          <w:rFonts w:eastAsiaTheme="minorEastAsia" w:hint="eastAsia"/>
          <w:sz w:val="21"/>
        </w:rPr>
        <w:t>如</w:t>
      </w:r>
      <w:r w:rsidR="00CF3AEE" w:rsidRPr="00730D93">
        <w:rPr>
          <w:rFonts w:eastAsiaTheme="minorEastAsia" w:hint="eastAsia"/>
          <w:sz w:val="21"/>
        </w:rPr>
        <w:t>2014</w:t>
      </w:r>
      <w:r w:rsidR="005129E5" w:rsidRPr="00730D93">
        <w:rPr>
          <w:rFonts w:eastAsiaTheme="minorEastAsia" w:hint="eastAsia"/>
          <w:sz w:val="21"/>
        </w:rPr>
        <w:t>年计划绩效报告所述，四个国家</w:t>
      </w:r>
      <w:r w:rsidR="00CF3AEE" w:rsidRPr="00730D93">
        <w:rPr>
          <w:rFonts w:eastAsiaTheme="minorEastAsia" w:hint="eastAsia"/>
          <w:sz w:val="21"/>
        </w:rPr>
        <w:t>2014</w:t>
      </w:r>
      <w:r w:rsidR="00CF3AEE" w:rsidRPr="00730D93">
        <w:rPr>
          <w:rFonts w:eastAsiaTheme="minorEastAsia" w:hint="eastAsia"/>
          <w:sz w:val="21"/>
        </w:rPr>
        <w:t>年底在</w:t>
      </w:r>
      <w:r w:rsidR="00CF3AEE" w:rsidRPr="00730D93">
        <w:rPr>
          <w:rFonts w:eastAsiaTheme="minorEastAsia" w:hint="eastAsia"/>
          <w:sz w:val="21"/>
        </w:rPr>
        <w:t>WIPO</w:t>
      </w:r>
      <w:r w:rsidR="00CF3AEE" w:rsidRPr="00730D93">
        <w:rPr>
          <w:rFonts w:eastAsiaTheme="minorEastAsia" w:hint="eastAsia"/>
          <w:sz w:val="21"/>
        </w:rPr>
        <w:t>的协助下启动了制定国家创新政策的进程。这反映在</w:t>
      </w:r>
      <w:r w:rsidR="00CF3AEE" w:rsidRPr="00730D93">
        <w:rPr>
          <w:rFonts w:eastAsiaTheme="minorEastAsia" w:hint="eastAsia"/>
          <w:sz w:val="21"/>
        </w:rPr>
        <w:t>2016/17</w:t>
      </w:r>
      <w:r w:rsidR="00CF3AEE" w:rsidRPr="00730D93">
        <w:rPr>
          <w:rFonts w:eastAsiaTheme="minorEastAsia" w:hint="eastAsia"/>
          <w:sz w:val="21"/>
        </w:rPr>
        <w:t>两年期计划</w:t>
      </w:r>
      <w:r w:rsidR="00CF3AEE" w:rsidRPr="00730D93">
        <w:rPr>
          <w:rFonts w:eastAsiaTheme="minorEastAsia" w:hint="eastAsia"/>
          <w:sz w:val="21"/>
        </w:rPr>
        <w:t>30</w:t>
      </w:r>
      <w:r w:rsidR="00CF3AEE" w:rsidRPr="00730D93">
        <w:rPr>
          <w:rFonts w:eastAsiaTheme="minorEastAsia" w:hint="eastAsia"/>
          <w:sz w:val="21"/>
        </w:rPr>
        <w:t>成果框架的基线中。</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sz w:val="21"/>
        </w:rPr>
      </w:pPr>
      <w:r>
        <w:rPr>
          <w:b/>
          <w:sz w:val="21"/>
        </w:rPr>
        <w:t>问</w:t>
      </w:r>
      <w:r w:rsidR="009C1F6E" w:rsidRPr="0044088F">
        <w:rPr>
          <w:b/>
          <w:sz w:val="21"/>
        </w:rPr>
        <w:t>5</w:t>
      </w:r>
      <w:r w:rsidRPr="0044088F">
        <w:rPr>
          <w:b/>
          <w:sz w:val="21"/>
        </w:rPr>
        <w:t>：</w:t>
      </w:r>
      <w:r w:rsidR="00CF3AEE" w:rsidRPr="00730D93">
        <w:rPr>
          <w:rFonts w:eastAsiaTheme="minorEastAsia" w:hint="eastAsia"/>
          <w:b/>
          <w:sz w:val="21"/>
        </w:rPr>
        <w:t>在计划</w:t>
      </w:r>
      <w:r w:rsidR="00CF3AEE" w:rsidRPr="00730D93">
        <w:rPr>
          <w:rFonts w:eastAsiaTheme="minorEastAsia" w:hint="eastAsia"/>
          <w:b/>
          <w:sz w:val="21"/>
        </w:rPr>
        <w:t>30</w:t>
      </w:r>
      <w:r w:rsidR="00CF3AEE" w:rsidRPr="00730D93">
        <w:rPr>
          <w:rFonts w:eastAsiaTheme="minorEastAsia" w:hint="eastAsia"/>
          <w:b/>
          <w:sz w:val="21"/>
        </w:rPr>
        <w:t>的绩效指标“设立或改进了中小企业知识产权培训项目的国家数目”中，基线</w:t>
      </w:r>
      <w:r w:rsidR="00CF3AEE" w:rsidRPr="00730D93">
        <w:rPr>
          <w:rFonts w:eastAsiaTheme="minorEastAsia" w:hint="eastAsia"/>
          <w:b/>
          <w:sz w:val="21"/>
        </w:rPr>
        <w:t>13</w:t>
      </w:r>
      <w:r w:rsidR="00CF3AEE" w:rsidRPr="00730D93">
        <w:rPr>
          <w:rFonts w:eastAsiaTheme="minorEastAsia" w:hint="eastAsia"/>
          <w:b/>
          <w:sz w:val="21"/>
        </w:rPr>
        <w:t>是否反映了累计国家数目？</w:t>
      </w:r>
    </w:p>
    <w:p w:rsidR="005A1670" w:rsidRPr="00730D93" w:rsidRDefault="0044088F" w:rsidP="005A1670">
      <w:pPr>
        <w:spacing w:afterLines="50" w:after="120" w:line="340" w:lineRule="atLeast"/>
        <w:jc w:val="both"/>
        <w:rPr>
          <w:rFonts w:eastAsiaTheme="minorEastAsia"/>
          <w:sz w:val="21"/>
        </w:rPr>
      </w:pPr>
      <w:r>
        <w:rPr>
          <w:sz w:val="21"/>
        </w:rPr>
        <w:t>答</w:t>
      </w:r>
      <w:r w:rsidR="009C1F6E" w:rsidRPr="0044088F">
        <w:rPr>
          <w:sz w:val="21"/>
        </w:rPr>
        <w:t>5</w:t>
      </w:r>
      <w:r w:rsidRPr="0044088F">
        <w:rPr>
          <w:sz w:val="21"/>
        </w:rPr>
        <w:t>：</w:t>
      </w:r>
      <w:r w:rsidR="00CF3AEE" w:rsidRPr="00730D93">
        <w:rPr>
          <w:rFonts w:eastAsiaTheme="minorEastAsia" w:hint="eastAsia"/>
          <w:sz w:val="21"/>
        </w:rPr>
        <w:t>基线</w:t>
      </w:r>
      <w:r w:rsidR="00CF3AEE" w:rsidRPr="00730D93">
        <w:rPr>
          <w:rFonts w:eastAsiaTheme="minorEastAsia" w:hint="eastAsia"/>
          <w:sz w:val="21"/>
        </w:rPr>
        <w:t>13</w:t>
      </w:r>
      <w:r w:rsidR="00CF3AEE" w:rsidRPr="00730D93">
        <w:rPr>
          <w:rFonts w:eastAsiaTheme="minorEastAsia" w:hint="eastAsia"/>
          <w:sz w:val="21"/>
        </w:rPr>
        <w:t>指的是</w:t>
      </w:r>
      <w:r w:rsidR="00CF3AEE" w:rsidRPr="00730D93">
        <w:rPr>
          <w:rFonts w:eastAsiaTheme="minorEastAsia" w:hint="eastAsia"/>
          <w:sz w:val="21"/>
        </w:rPr>
        <w:t>2014</w:t>
      </w:r>
      <w:r w:rsidR="00CF3AEE" w:rsidRPr="00730D93">
        <w:rPr>
          <w:rFonts w:eastAsiaTheme="minorEastAsia" w:hint="eastAsia"/>
          <w:sz w:val="21"/>
        </w:rPr>
        <w:t>年计划绩效报告</w:t>
      </w:r>
      <w:r w:rsidR="00513425" w:rsidRPr="00730D93">
        <w:rPr>
          <w:rFonts w:eastAsiaTheme="minorEastAsia" w:hint="eastAsia"/>
          <w:sz w:val="21"/>
        </w:rPr>
        <w:t>所反映的</w:t>
      </w:r>
      <w:r w:rsidR="00CF3AEE" w:rsidRPr="00730D93">
        <w:rPr>
          <w:rFonts w:eastAsiaTheme="minorEastAsia" w:hint="eastAsia"/>
          <w:sz w:val="21"/>
        </w:rPr>
        <w:t>在</w:t>
      </w:r>
      <w:r w:rsidR="00CF3AEE" w:rsidRPr="00730D93">
        <w:rPr>
          <w:rFonts w:eastAsiaTheme="minorEastAsia" w:hint="eastAsia"/>
          <w:sz w:val="21"/>
        </w:rPr>
        <w:t>2014</w:t>
      </w:r>
      <w:r w:rsidR="00CF3AEE" w:rsidRPr="00730D93">
        <w:rPr>
          <w:rFonts w:eastAsiaTheme="minorEastAsia" w:hint="eastAsia"/>
          <w:sz w:val="21"/>
        </w:rPr>
        <w:t>年设立了培训项目的国家数目</w:t>
      </w:r>
      <w:r w:rsidR="00513425" w:rsidRPr="00730D93">
        <w:rPr>
          <w:rFonts w:eastAsiaTheme="minorEastAsia" w:hint="eastAsia"/>
          <w:sz w:val="21"/>
        </w:rPr>
        <w:t>。没有提供累计数目，因为</w:t>
      </w:r>
      <w:r w:rsidR="00513425" w:rsidRPr="00730D93">
        <w:rPr>
          <w:rFonts w:eastAsiaTheme="minorEastAsia" w:hint="eastAsia"/>
          <w:sz w:val="21"/>
        </w:rPr>
        <w:t>2014/15</w:t>
      </w:r>
      <w:r w:rsidR="00513425" w:rsidRPr="00730D93">
        <w:rPr>
          <w:rFonts w:eastAsiaTheme="minorEastAsia" w:hint="eastAsia"/>
          <w:sz w:val="21"/>
        </w:rPr>
        <w:t>两年期是使用该绩效指标的第一个两年期。</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4"/>
          <w:szCs w:val="24"/>
        </w:rPr>
      </w:pPr>
      <w:r>
        <w:rPr>
          <w:b/>
          <w:sz w:val="21"/>
        </w:rPr>
        <w:t>问</w:t>
      </w:r>
      <w:r w:rsidR="00BD733E" w:rsidRPr="0044088F">
        <w:rPr>
          <w:b/>
          <w:sz w:val="21"/>
        </w:rPr>
        <w:t>6</w:t>
      </w:r>
      <w:r w:rsidRPr="0044088F">
        <w:rPr>
          <w:b/>
          <w:sz w:val="21"/>
        </w:rPr>
        <w:t>：</w:t>
      </w:r>
      <w:r w:rsidR="003559AB" w:rsidRPr="00730D93">
        <w:rPr>
          <w:rFonts w:eastAsiaTheme="minorEastAsia" w:hint="eastAsia"/>
          <w:b/>
          <w:sz w:val="21"/>
        </w:rPr>
        <w:t>在对战略目标三的预期成果和绩效指标进行归纳总结的表格</w:t>
      </w:r>
      <w:r w:rsidR="005A1670" w:rsidRPr="00730D93">
        <w:rPr>
          <w:rFonts w:eastAsiaTheme="minorEastAsia" w:hint="eastAsia"/>
          <w:b/>
          <w:sz w:val="21"/>
        </w:rPr>
        <w:t>（</w:t>
      </w:r>
      <w:r w:rsidR="003559AB" w:rsidRPr="00730D93">
        <w:rPr>
          <w:rFonts w:eastAsiaTheme="minorEastAsia" w:hint="eastAsia"/>
          <w:b/>
          <w:sz w:val="21"/>
        </w:rPr>
        <w:t>本文件英文版本第</w:t>
      </w:r>
      <w:r w:rsidR="003559AB" w:rsidRPr="00730D93">
        <w:rPr>
          <w:rFonts w:eastAsiaTheme="minorEastAsia" w:hint="eastAsia"/>
          <w:b/>
          <w:sz w:val="21"/>
        </w:rPr>
        <w:t>64</w:t>
      </w:r>
      <w:r w:rsidR="003559AB" w:rsidRPr="00730D93">
        <w:rPr>
          <w:rFonts w:eastAsiaTheme="minorEastAsia" w:hint="eastAsia"/>
          <w:b/>
          <w:sz w:val="21"/>
        </w:rPr>
        <w:t>至</w:t>
      </w:r>
      <w:r w:rsidR="003559AB" w:rsidRPr="00730D93">
        <w:rPr>
          <w:rFonts w:eastAsiaTheme="minorEastAsia" w:hint="eastAsia"/>
          <w:b/>
          <w:sz w:val="21"/>
        </w:rPr>
        <w:t>66</w:t>
      </w:r>
      <w:r w:rsidR="003559AB" w:rsidRPr="00730D93">
        <w:rPr>
          <w:rFonts w:eastAsiaTheme="minorEastAsia" w:hint="eastAsia"/>
          <w:b/>
          <w:sz w:val="21"/>
        </w:rPr>
        <w:t>页中的表格</w:t>
      </w:r>
      <w:r w:rsidR="005A1670" w:rsidRPr="00730D93">
        <w:rPr>
          <w:rFonts w:eastAsiaTheme="minorEastAsia" w:hint="eastAsia"/>
          <w:b/>
          <w:sz w:val="21"/>
        </w:rPr>
        <w:t>）</w:t>
      </w:r>
      <w:r w:rsidR="003559AB" w:rsidRPr="00730D93">
        <w:rPr>
          <w:rFonts w:eastAsiaTheme="minorEastAsia" w:hint="eastAsia"/>
          <w:b/>
          <w:sz w:val="21"/>
        </w:rPr>
        <w:t>中，是否还应列出计划</w:t>
      </w:r>
      <w:r w:rsidR="003559AB" w:rsidRPr="00730D93">
        <w:rPr>
          <w:rFonts w:eastAsiaTheme="minorEastAsia" w:hint="eastAsia"/>
          <w:b/>
          <w:sz w:val="21"/>
        </w:rPr>
        <w:t>14</w:t>
      </w:r>
      <w:r w:rsidR="003559AB" w:rsidRPr="00730D93">
        <w:rPr>
          <w:rFonts w:eastAsiaTheme="minorEastAsia" w:hint="eastAsia"/>
          <w:b/>
          <w:sz w:val="21"/>
        </w:rPr>
        <w:t>和</w:t>
      </w:r>
      <w:r w:rsidR="003559AB" w:rsidRPr="00730D93">
        <w:rPr>
          <w:rFonts w:eastAsiaTheme="minorEastAsia" w:hint="eastAsia"/>
          <w:b/>
          <w:sz w:val="21"/>
        </w:rPr>
        <w:t>16</w:t>
      </w:r>
      <w:r w:rsidR="003559AB" w:rsidRPr="00730D93">
        <w:rPr>
          <w:rFonts w:eastAsiaTheme="minorEastAsia" w:hint="eastAsia"/>
          <w:b/>
          <w:sz w:val="21"/>
        </w:rPr>
        <w:t>？</w:t>
      </w:r>
    </w:p>
    <w:p w:rsidR="005A1670" w:rsidRPr="00730D93" w:rsidRDefault="0044088F" w:rsidP="005A1670">
      <w:pPr>
        <w:spacing w:afterLines="50" w:after="120" w:line="340" w:lineRule="atLeast"/>
        <w:jc w:val="both"/>
        <w:rPr>
          <w:rFonts w:eastAsiaTheme="minorEastAsia"/>
          <w:sz w:val="21"/>
        </w:rPr>
      </w:pPr>
      <w:r>
        <w:rPr>
          <w:sz w:val="21"/>
          <w:szCs w:val="22"/>
        </w:rPr>
        <w:t>答</w:t>
      </w:r>
      <w:r w:rsidR="00BD733E" w:rsidRPr="0044088F">
        <w:rPr>
          <w:sz w:val="21"/>
          <w:szCs w:val="22"/>
        </w:rPr>
        <w:t>6</w:t>
      </w:r>
      <w:r w:rsidRPr="0044088F">
        <w:rPr>
          <w:sz w:val="21"/>
          <w:szCs w:val="22"/>
        </w:rPr>
        <w:t>：</w:t>
      </w:r>
      <w:r w:rsidR="003559AB" w:rsidRPr="00730D93">
        <w:rPr>
          <w:rFonts w:eastAsiaTheme="minorEastAsia" w:hint="eastAsia"/>
          <w:sz w:val="21"/>
        </w:rPr>
        <w:t>计划</w:t>
      </w:r>
      <w:r w:rsidR="003559AB" w:rsidRPr="00730D93">
        <w:rPr>
          <w:rFonts w:eastAsiaTheme="minorEastAsia" w:hint="eastAsia"/>
          <w:sz w:val="21"/>
        </w:rPr>
        <w:t>14</w:t>
      </w:r>
      <w:r w:rsidR="003559AB" w:rsidRPr="00730D93">
        <w:rPr>
          <w:rFonts w:eastAsiaTheme="minorEastAsia" w:hint="eastAsia"/>
          <w:sz w:val="21"/>
        </w:rPr>
        <w:t>为预期成果四</w:t>
      </w:r>
      <w:r w:rsidR="003559AB" w:rsidRPr="00730D93">
        <w:rPr>
          <w:rFonts w:eastAsiaTheme="minorEastAsia" w:hint="eastAsia"/>
          <w:sz w:val="21"/>
        </w:rPr>
        <w:t>.2</w:t>
      </w:r>
      <w:r w:rsidR="003559AB" w:rsidRPr="00730D93">
        <w:rPr>
          <w:rFonts w:eastAsiaTheme="minorEastAsia" w:hint="eastAsia"/>
          <w:sz w:val="21"/>
        </w:rPr>
        <w:t>作出贡献，计划</w:t>
      </w:r>
      <w:r w:rsidR="003559AB" w:rsidRPr="00730D93">
        <w:rPr>
          <w:rFonts w:eastAsiaTheme="minorEastAsia" w:hint="eastAsia"/>
          <w:sz w:val="21"/>
        </w:rPr>
        <w:t>16</w:t>
      </w:r>
      <w:r w:rsidR="003559AB" w:rsidRPr="00730D93">
        <w:rPr>
          <w:rFonts w:eastAsiaTheme="minorEastAsia" w:hint="eastAsia"/>
          <w:sz w:val="21"/>
        </w:rPr>
        <w:t>为预期成果五</w:t>
      </w:r>
      <w:r w:rsidR="003559AB" w:rsidRPr="00730D93">
        <w:rPr>
          <w:rFonts w:eastAsiaTheme="minorEastAsia" w:hint="eastAsia"/>
          <w:sz w:val="21"/>
        </w:rPr>
        <w:t>.1</w:t>
      </w:r>
      <w:r w:rsidR="003559AB" w:rsidRPr="00730D93">
        <w:rPr>
          <w:rFonts w:eastAsiaTheme="minorEastAsia" w:hint="eastAsia"/>
          <w:sz w:val="21"/>
        </w:rPr>
        <w:t>和五</w:t>
      </w:r>
      <w:r w:rsidR="003559AB" w:rsidRPr="00730D93">
        <w:rPr>
          <w:rFonts w:eastAsiaTheme="minorEastAsia" w:hint="eastAsia"/>
          <w:sz w:val="21"/>
        </w:rPr>
        <w:t>.2</w:t>
      </w:r>
      <w:r w:rsidR="003559AB" w:rsidRPr="00730D93">
        <w:rPr>
          <w:rFonts w:eastAsiaTheme="minorEastAsia" w:hint="eastAsia"/>
          <w:sz w:val="21"/>
        </w:rPr>
        <w:t>作出贡献。因此未将这两项计划列在战略目标三下，虽然它们为发展作出贡献。</w:t>
      </w:r>
      <w:r w:rsidR="00345756" w:rsidRPr="00730D93">
        <w:rPr>
          <w:rFonts w:eastAsiaTheme="minorEastAsia" w:hint="eastAsia"/>
          <w:sz w:val="21"/>
        </w:rPr>
        <w:t>它们的贡献反映在这两项计划的发展支出份额中。</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067090" w:rsidRPr="0044088F">
        <w:rPr>
          <w:b/>
          <w:sz w:val="21"/>
        </w:rPr>
        <w:t>7</w:t>
      </w:r>
      <w:r w:rsidRPr="0044088F">
        <w:rPr>
          <w:b/>
          <w:sz w:val="21"/>
        </w:rPr>
        <w:t>：</w:t>
      </w:r>
      <w:r w:rsidR="0055155C" w:rsidRPr="00730D93">
        <w:rPr>
          <w:rFonts w:eastAsiaTheme="minorEastAsia" w:hint="eastAsia"/>
          <w:b/>
          <w:sz w:val="21"/>
        </w:rPr>
        <w:t>为什么预期成果二</w:t>
      </w:r>
      <w:r w:rsidR="0055155C" w:rsidRPr="00730D93">
        <w:rPr>
          <w:rFonts w:eastAsiaTheme="minorEastAsia" w:hint="eastAsia"/>
          <w:b/>
          <w:sz w:val="21"/>
        </w:rPr>
        <w:t>.1</w:t>
      </w:r>
      <w:r w:rsidR="0055155C" w:rsidRPr="00730D93">
        <w:rPr>
          <w:rFonts w:eastAsiaTheme="minorEastAsia" w:hint="eastAsia"/>
          <w:b/>
          <w:sz w:val="21"/>
        </w:rPr>
        <w:t>、二</w:t>
      </w:r>
      <w:r w:rsidR="0055155C" w:rsidRPr="00730D93">
        <w:rPr>
          <w:rFonts w:eastAsiaTheme="minorEastAsia" w:hint="eastAsia"/>
          <w:b/>
          <w:sz w:val="21"/>
        </w:rPr>
        <w:t>.4</w:t>
      </w:r>
      <w:r w:rsidR="0055155C" w:rsidRPr="00730D93">
        <w:rPr>
          <w:rFonts w:eastAsiaTheme="minorEastAsia" w:hint="eastAsia"/>
          <w:b/>
          <w:sz w:val="21"/>
        </w:rPr>
        <w:t>和二</w:t>
      </w:r>
      <w:r w:rsidR="0055155C" w:rsidRPr="00730D93">
        <w:rPr>
          <w:rFonts w:eastAsiaTheme="minorEastAsia" w:hint="eastAsia"/>
          <w:b/>
          <w:sz w:val="21"/>
        </w:rPr>
        <w:t>.6</w:t>
      </w:r>
      <w:r w:rsidR="0055155C" w:rsidRPr="00730D93">
        <w:rPr>
          <w:rFonts w:eastAsiaTheme="minorEastAsia" w:hint="eastAsia"/>
          <w:b/>
          <w:sz w:val="21"/>
        </w:rPr>
        <w:t>反映在计划</w:t>
      </w:r>
      <w:r w:rsidR="0055155C" w:rsidRPr="00730D93">
        <w:rPr>
          <w:rFonts w:eastAsiaTheme="minorEastAsia" w:hint="eastAsia"/>
          <w:b/>
          <w:sz w:val="21"/>
        </w:rPr>
        <w:t>10</w:t>
      </w:r>
      <w:r w:rsidR="0055155C" w:rsidRPr="00730D93">
        <w:rPr>
          <w:rFonts w:eastAsiaTheme="minorEastAsia" w:hint="eastAsia"/>
          <w:b/>
          <w:sz w:val="21"/>
        </w:rPr>
        <w:t>的成果框架中？这三项预期成果是关于分别更为广泛、有效地利用</w:t>
      </w:r>
      <w:r w:rsidR="0055155C" w:rsidRPr="00730D93">
        <w:rPr>
          <w:rFonts w:eastAsiaTheme="minorEastAsia" w:hint="eastAsia"/>
          <w:b/>
          <w:sz w:val="21"/>
        </w:rPr>
        <w:t>PCT</w:t>
      </w:r>
      <w:r w:rsidR="0055155C" w:rsidRPr="00730D93">
        <w:rPr>
          <w:rFonts w:eastAsiaTheme="minorEastAsia" w:hint="eastAsia"/>
          <w:b/>
          <w:sz w:val="21"/>
        </w:rPr>
        <w:t>、海牙、马德里和里斯本体系。</w:t>
      </w:r>
    </w:p>
    <w:p w:rsidR="005A1670" w:rsidRPr="00730D93" w:rsidRDefault="0044088F" w:rsidP="005A1670">
      <w:pPr>
        <w:spacing w:afterLines="50" w:after="120" w:line="340" w:lineRule="atLeast"/>
        <w:jc w:val="both"/>
        <w:rPr>
          <w:rFonts w:eastAsiaTheme="minorEastAsia"/>
          <w:sz w:val="21"/>
        </w:rPr>
      </w:pPr>
      <w:r>
        <w:rPr>
          <w:sz w:val="21"/>
        </w:rPr>
        <w:t>答</w:t>
      </w:r>
      <w:r w:rsidR="00067090" w:rsidRPr="0044088F">
        <w:rPr>
          <w:sz w:val="21"/>
        </w:rPr>
        <w:t>7</w:t>
      </w:r>
      <w:r w:rsidRPr="0044088F">
        <w:rPr>
          <w:sz w:val="21"/>
        </w:rPr>
        <w:t>：</w:t>
      </w:r>
      <w:r w:rsidR="0055155C" w:rsidRPr="00730D93">
        <w:rPr>
          <w:rFonts w:eastAsiaTheme="minorEastAsia" w:hint="eastAsia"/>
          <w:sz w:val="21"/>
        </w:rPr>
        <w:t>根据计划</w:t>
      </w:r>
      <w:r w:rsidR="0055155C" w:rsidRPr="00730D93">
        <w:rPr>
          <w:rFonts w:eastAsiaTheme="minorEastAsia" w:hint="eastAsia"/>
          <w:sz w:val="21"/>
        </w:rPr>
        <w:t>10</w:t>
      </w:r>
      <w:r w:rsidR="0055155C" w:rsidRPr="00730D93">
        <w:rPr>
          <w:rFonts w:eastAsiaTheme="minorEastAsia" w:hint="eastAsia"/>
          <w:sz w:val="21"/>
        </w:rPr>
        <w:t>的</w:t>
      </w:r>
      <w:r w:rsidR="0055155C" w:rsidRPr="00730D93">
        <w:rPr>
          <w:rFonts w:eastAsiaTheme="minorEastAsia" w:hint="eastAsia"/>
          <w:sz w:val="21"/>
        </w:rPr>
        <w:t>2014/15</w:t>
      </w:r>
      <w:r w:rsidR="0055155C" w:rsidRPr="00730D93">
        <w:rPr>
          <w:rFonts w:eastAsiaTheme="minorEastAsia" w:hint="eastAsia"/>
          <w:sz w:val="21"/>
        </w:rPr>
        <w:t>两年期成果框架，推广</w:t>
      </w:r>
      <w:r w:rsidR="0055155C" w:rsidRPr="00730D93">
        <w:rPr>
          <w:rFonts w:eastAsiaTheme="minorEastAsia" w:hint="eastAsia"/>
          <w:sz w:val="21"/>
        </w:rPr>
        <w:t>WIPO</w:t>
      </w:r>
      <w:r w:rsidR="0055155C" w:rsidRPr="00730D93">
        <w:rPr>
          <w:rFonts w:eastAsiaTheme="minorEastAsia" w:hint="eastAsia"/>
          <w:sz w:val="21"/>
        </w:rPr>
        <w:t>产品和服务仍将是</w:t>
      </w:r>
      <w:r w:rsidR="0055155C" w:rsidRPr="00730D93">
        <w:rPr>
          <w:rFonts w:eastAsiaTheme="minorEastAsia" w:hint="eastAsia"/>
          <w:sz w:val="21"/>
        </w:rPr>
        <w:t>2016/17</w:t>
      </w:r>
      <w:r w:rsidR="0055155C" w:rsidRPr="00730D93">
        <w:rPr>
          <w:rFonts w:eastAsiaTheme="minorEastAsia" w:hint="eastAsia"/>
          <w:sz w:val="21"/>
        </w:rPr>
        <w:t>两年期在转型</w:t>
      </w:r>
      <w:r w:rsidR="00370964" w:rsidRPr="00730D93">
        <w:rPr>
          <w:rFonts w:eastAsiaTheme="minorEastAsia" w:hint="eastAsia"/>
          <w:sz w:val="21"/>
        </w:rPr>
        <w:t>国家</w:t>
      </w:r>
      <w:r w:rsidR="0055155C" w:rsidRPr="00730D93">
        <w:rPr>
          <w:rFonts w:eastAsiaTheme="minorEastAsia" w:hint="eastAsia"/>
          <w:sz w:val="21"/>
        </w:rPr>
        <w:t>和</w:t>
      </w:r>
      <w:r w:rsidR="00370964" w:rsidRPr="00730D93">
        <w:rPr>
          <w:rFonts w:eastAsiaTheme="minorEastAsia" w:hint="eastAsia"/>
          <w:sz w:val="21"/>
        </w:rPr>
        <w:t>发达</w:t>
      </w:r>
      <w:r w:rsidR="0055155C" w:rsidRPr="00730D93">
        <w:rPr>
          <w:rFonts w:eastAsiaTheme="minorEastAsia" w:hint="eastAsia"/>
          <w:sz w:val="21"/>
        </w:rPr>
        <w:t>国家的工作重点。</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A45861" w:rsidRPr="0044088F">
        <w:rPr>
          <w:b/>
          <w:sz w:val="21"/>
        </w:rPr>
        <w:t>8</w:t>
      </w:r>
      <w:r w:rsidRPr="0044088F">
        <w:rPr>
          <w:b/>
          <w:sz w:val="21"/>
        </w:rPr>
        <w:t>：</w:t>
      </w:r>
      <w:r w:rsidR="0055155C" w:rsidRPr="00730D93">
        <w:rPr>
          <w:rFonts w:eastAsiaTheme="minorEastAsia" w:hint="eastAsia"/>
          <w:b/>
          <w:sz w:val="21"/>
        </w:rPr>
        <w:t>在预期成果二</w:t>
      </w:r>
      <w:r w:rsidR="0055155C" w:rsidRPr="00730D93">
        <w:rPr>
          <w:rFonts w:eastAsiaTheme="minorEastAsia" w:hint="eastAsia"/>
          <w:b/>
          <w:sz w:val="21"/>
        </w:rPr>
        <w:t>.8</w:t>
      </w:r>
      <w:r w:rsidR="0055155C" w:rsidRPr="00730D93">
        <w:rPr>
          <w:rFonts w:eastAsiaTheme="minorEastAsia" w:hint="eastAsia"/>
          <w:b/>
          <w:sz w:val="21"/>
        </w:rPr>
        <w:t>下计划</w:t>
      </w:r>
      <w:r w:rsidR="0055155C" w:rsidRPr="00730D93">
        <w:rPr>
          <w:rFonts w:eastAsiaTheme="minorEastAsia" w:hint="eastAsia"/>
          <w:b/>
          <w:sz w:val="21"/>
        </w:rPr>
        <w:t>10</w:t>
      </w:r>
      <w:r w:rsidR="0055155C" w:rsidRPr="00730D93">
        <w:rPr>
          <w:rFonts w:eastAsiaTheme="minorEastAsia" w:hint="eastAsia"/>
          <w:b/>
          <w:sz w:val="21"/>
        </w:rPr>
        <w:t>的成果框架中，</w:t>
      </w:r>
      <w:r w:rsidR="00370964" w:rsidRPr="00730D93">
        <w:rPr>
          <w:rFonts w:eastAsiaTheme="minorEastAsia" w:hint="eastAsia"/>
          <w:b/>
          <w:sz w:val="21"/>
        </w:rPr>
        <w:t>来自转型国家和发达国家的争议和调解的累计数量是多少？</w:t>
      </w:r>
    </w:p>
    <w:p w:rsidR="005A1670" w:rsidRPr="00730D93" w:rsidRDefault="0044088F" w:rsidP="005A1670">
      <w:pPr>
        <w:spacing w:afterLines="50" w:after="120" w:line="340" w:lineRule="atLeast"/>
        <w:jc w:val="both"/>
        <w:rPr>
          <w:rFonts w:eastAsiaTheme="minorEastAsia"/>
          <w:sz w:val="21"/>
        </w:rPr>
      </w:pPr>
      <w:r>
        <w:rPr>
          <w:sz w:val="21"/>
        </w:rPr>
        <w:t>答</w:t>
      </w:r>
      <w:r w:rsidR="00A45861" w:rsidRPr="0044088F">
        <w:rPr>
          <w:sz w:val="21"/>
        </w:rPr>
        <w:t>8</w:t>
      </w:r>
      <w:r w:rsidRPr="0044088F">
        <w:rPr>
          <w:sz w:val="21"/>
        </w:rPr>
        <w:t>：</w:t>
      </w:r>
      <w:r w:rsidR="00370964" w:rsidRPr="00730D93">
        <w:rPr>
          <w:rFonts w:eastAsiaTheme="minorEastAsia" w:hint="eastAsia"/>
          <w:sz w:val="21"/>
        </w:rPr>
        <w:t>截至</w:t>
      </w:r>
      <w:r w:rsidR="00370964" w:rsidRPr="00730D93">
        <w:rPr>
          <w:rFonts w:eastAsiaTheme="minorEastAsia" w:hint="eastAsia"/>
          <w:sz w:val="21"/>
        </w:rPr>
        <w:t>2014</w:t>
      </w:r>
      <w:r w:rsidR="00370964" w:rsidRPr="00730D93">
        <w:rPr>
          <w:rFonts w:eastAsiaTheme="minorEastAsia" w:hint="eastAsia"/>
          <w:sz w:val="21"/>
        </w:rPr>
        <w:t>年底，涉及转型国家和发达国家当事人的争议为</w:t>
      </w:r>
      <w:r w:rsidR="00370964" w:rsidRPr="00730D93">
        <w:rPr>
          <w:rFonts w:eastAsiaTheme="minorEastAsia" w:hint="eastAsia"/>
          <w:sz w:val="21"/>
        </w:rPr>
        <w:t>377</w:t>
      </w:r>
      <w:r w:rsidR="00370964" w:rsidRPr="00730D93">
        <w:rPr>
          <w:rFonts w:eastAsiaTheme="minorEastAsia" w:hint="eastAsia"/>
          <w:sz w:val="21"/>
        </w:rPr>
        <w:t>件，调解为</w:t>
      </w:r>
      <w:r w:rsidR="00370964" w:rsidRPr="00730D93">
        <w:rPr>
          <w:rFonts w:eastAsiaTheme="minorEastAsia" w:hint="eastAsia"/>
          <w:sz w:val="21"/>
        </w:rPr>
        <w:t>76</w:t>
      </w:r>
      <w:r w:rsidR="00370964" w:rsidRPr="00730D93">
        <w:rPr>
          <w:rFonts w:eastAsiaTheme="minorEastAsia" w:hint="eastAsia"/>
          <w:sz w:val="21"/>
        </w:rPr>
        <w:t>件</w:t>
      </w:r>
      <w:r w:rsidR="005A1670" w:rsidRPr="00730D93">
        <w:rPr>
          <w:rFonts w:eastAsiaTheme="minorEastAsia" w:hint="eastAsia"/>
          <w:sz w:val="21"/>
        </w:rPr>
        <w:t>（</w:t>
      </w:r>
      <w:r w:rsidR="00370964" w:rsidRPr="00730D93">
        <w:rPr>
          <w:rFonts w:eastAsiaTheme="minorEastAsia" w:hint="eastAsia"/>
          <w:sz w:val="21"/>
        </w:rPr>
        <w:t>累计</w:t>
      </w:r>
      <w:r w:rsidR="005A1670" w:rsidRPr="00730D93">
        <w:rPr>
          <w:rFonts w:eastAsiaTheme="minorEastAsia" w:hint="eastAsia"/>
          <w:sz w:val="21"/>
        </w:rPr>
        <w:t>）</w:t>
      </w:r>
      <w:r w:rsidR="00370964" w:rsidRPr="00730D93">
        <w:rPr>
          <w:rFonts w:eastAsiaTheme="minorEastAsia" w:hint="eastAsia"/>
          <w:sz w:val="21"/>
        </w:rPr>
        <w:t>。</w:t>
      </w:r>
      <w:r w:rsidR="005A1670" w:rsidRPr="00730D93">
        <w:rPr>
          <w:rFonts w:eastAsiaTheme="minorEastAsia"/>
          <w:sz w:val="21"/>
        </w:rPr>
        <w:t>（</w:t>
      </w:r>
      <w:r w:rsidR="00370964" w:rsidRPr="00730D93">
        <w:rPr>
          <w:rFonts w:eastAsiaTheme="minorEastAsia" w:hint="eastAsia"/>
          <w:sz w:val="21"/>
        </w:rPr>
        <w:t>依据</w:t>
      </w:r>
      <w:r w:rsidR="00370964" w:rsidRPr="00730D93">
        <w:rPr>
          <w:rFonts w:eastAsiaTheme="minorEastAsia" w:hint="eastAsia"/>
          <w:sz w:val="21"/>
        </w:rPr>
        <w:t>2014</w:t>
      </w:r>
      <w:r w:rsidR="00370964" w:rsidRPr="00730D93">
        <w:rPr>
          <w:rFonts w:eastAsiaTheme="minorEastAsia" w:hint="eastAsia"/>
          <w:sz w:val="21"/>
        </w:rPr>
        <w:t>年计划绩效报告的数据</w:t>
      </w:r>
      <w:r w:rsidR="005A1670" w:rsidRPr="00730D93">
        <w:rPr>
          <w:rFonts w:eastAsiaTheme="minorEastAsia" w:hint="eastAsia"/>
          <w:sz w:val="21"/>
        </w:rPr>
        <w:t>）</w:t>
      </w:r>
      <w:r w:rsidR="00370964" w:rsidRPr="00730D93">
        <w:rPr>
          <w:rFonts w:eastAsiaTheme="minorEastAsia" w:hint="eastAsia"/>
          <w:sz w:val="21"/>
        </w:rPr>
        <w:t>。</w:t>
      </w:r>
    </w:p>
    <w:p w:rsidR="005A1670" w:rsidRDefault="00370964" w:rsidP="00880C0C">
      <w:pPr>
        <w:keepNext/>
        <w:spacing w:beforeLines="100" w:before="240" w:afterLines="50" w:after="120" w:line="340" w:lineRule="atLeast"/>
        <w:rPr>
          <w:b/>
          <w:sz w:val="24"/>
          <w:szCs w:val="24"/>
        </w:rPr>
      </w:pPr>
      <w:r w:rsidRPr="0044088F">
        <w:rPr>
          <w:rFonts w:hint="eastAsia"/>
          <w:b/>
          <w:sz w:val="24"/>
          <w:szCs w:val="24"/>
        </w:rPr>
        <w:t>战略目标五：为全世界提供知识产权信息与分析的参考源</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091989" w:rsidRPr="0044088F">
        <w:rPr>
          <w:b/>
          <w:sz w:val="21"/>
        </w:rPr>
        <w:t>1</w:t>
      </w:r>
      <w:r w:rsidRPr="0044088F">
        <w:rPr>
          <w:b/>
          <w:sz w:val="21"/>
        </w:rPr>
        <w:t>：</w:t>
      </w:r>
      <w:r w:rsidR="00643E27" w:rsidRPr="00730D93">
        <w:rPr>
          <w:rFonts w:eastAsiaTheme="minorEastAsia" w:hint="eastAsia"/>
          <w:b/>
          <w:sz w:val="21"/>
        </w:rPr>
        <w:t>计划</w:t>
      </w:r>
      <w:r w:rsidR="00643E27" w:rsidRPr="00730D93">
        <w:rPr>
          <w:rFonts w:eastAsiaTheme="minorEastAsia" w:hint="eastAsia"/>
          <w:b/>
          <w:sz w:val="21"/>
        </w:rPr>
        <w:t>16</w:t>
      </w:r>
      <w:r w:rsidR="00643E27" w:rsidRPr="00730D93">
        <w:rPr>
          <w:rFonts w:eastAsiaTheme="minorEastAsia" w:hint="eastAsia"/>
          <w:b/>
          <w:sz w:val="21"/>
        </w:rPr>
        <w:t>的资源为何有所增长？它是否是除</w:t>
      </w:r>
      <w:r w:rsidR="00643E27" w:rsidRPr="00730D93">
        <w:rPr>
          <w:rFonts w:eastAsiaTheme="minorEastAsia" w:hint="eastAsia"/>
          <w:b/>
          <w:sz w:val="21"/>
        </w:rPr>
        <w:t>600</w:t>
      </w:r>
      <w:r w:rsidR="00643E27" w:rsidRPr="00730D93">
        <w:rPr>
          <w:rFonts w:eastAsiaTheme="minorEastAsia" w:hint="eastAsia"/>
          <w:b/>
          <w:sz w:val="21"/>
        </w:rPr>
        <w:t>万瑞郎的拟议预算外用于发展议程项目的资源？</w:t>
      </w:r>
    </w:p>
    <w:p w:rsidR="005A1670" w:rsidRPr="00730D93" w:rsidRDefault="0044088F" w:rsidP="005A1670">
      <w:pPr>
        <w:spacing w:afterLines="50" w:after="120" w:line="340" w:lineRule="atLeast"/>
        <w:jc w:val="both"/>
        <w:rPr>
          <w:rFonts w:eastAsiaTheme="minorEastAsia"/>
          <w:sz w:val="21"/>
          <w:szCs w:val="22"/>
        </w:rPr>
      </w:pPr>
      <w:r>
        <w:rPr>
          <w:sz w:val="21"/>
          <w:szCs w:val="22"/>
        </w:rPr>
        <w:t>答</w:t>
      </w:r>
      <w:r w:rsidR="00091989" w:rsidRPr="0044088F">
        <w:rPr>
          <w:sz w:val="21"/>
          <w:szCs w:val="22"/>
        </w:rPr>
        <w:t>1</w:t>
      </w:r>
      <w:r w:rsidRPr="0044088F">
        <w:rPr>
          <w:sz w:val="21"/>
          <w:szCs w:val="22"/>
        </w:rPr>
        <w:t>：</w:t>
      </w:r>
      <w:r w:rsidR="00643E27" w:rsidRPr="00730D93">
        <w:rPr>
          <w:rFonts w:eastAsiaTheme="minorEastAsia" w:hint="eastAsia"/>
          <w:sz w:val="21"/>
          <w:szCs w:val="22"/>
        </w:rPr>
        <w:t>与</w:t>
      </w:r>
      <w:r w:rsidR="00643E27" w:rsidRPr="00730D93">
        <w:rPr>
          <w:rFonts w:eastAsiaTheme="minorEastAsia" w:hint="eastAsia"/>
          <w:sz w:val="21"/>
          <w:szCs w:val="22"/>
        </w:rPr>
        <w:t>2014/15</w:t>
      </w:r>
      <w:r w:rsidR="00643E27" w:rsidRPr="00730D93">
        <w:rPr>
          <w:rFonts w:eastAsiaTheme="minorEastAsia" w:hint="eastAsia"/>
          <w:sz w:val="21"/>
          <w:szCs w:val="22"/>
        </w:rPr>
        <w:t>两年期核定预算相比，计划</w:t>
      </w:r>
      <w:r w:rsidR="00643E27" w:rsidRPr="00730D93">
        <w:rPr>
          <w:rFonts w:eastAsiaTheme="minorEastAsia" w:hint="eastAsia"/>
          <w:sz w:val="21"/>
          <w:szCs w:val="22"/>
        </w:rPr>
        <w:t>16</w:t>
      </w:r>
      <w:r w:rsidR="00643E27" w:rsidRPr="00730D93">
        <w:rPr>
          <w:rFonts w:eastAsiaTheme="minorEastAsia" w:hint="eastAsia"/>
          <w:sz w:val="21"/>
          <w:szCs w:val="22"/>
        </w:rPr>
        <w:t>的资源概算增长了</w:t>
      </w:r>
      <w:r w:rsidR="00643E27" w:rsidRPr="00730D93">
        <w:rPr>
          <w:rFonts w:eastAsiaTheme="minorEastAsia" w:hint="eastAsia"/>
          <w:sz w:val="21"/>
          <w:szCs w:val="22"/>
        </w:rPr>
        <w:t>70</w:t>
      </w:r>
      <w:r w:rsidR="00643E27" w:rsidRPr="00730D93">
        <w:rPr>
          <w:rFonts w:eastAsiaTheme="minorEastAsia" w:hint="eastAsia"/>
          <w:sz w:val="21"/>
          <w:szCs w:val="22"/>
        </w:rPr>
        <w:t>万瑞郎，这主要是由于：</w:t>
      </w:r>
    </w:p>
    <w:p w:rsidR="005A1670" w:rsidRDefault="00643E27" w:rsidP="00880C0C">
      <w:pPr>
        <w:pStyle w:val="af2"/>
        <w:numPr>
          <w:ilvl w:val="0"/>
          <w:numId w:val="6"/>
        </w:numPr>
        <w:spacing w:afterLines="50" w:after="120" w:line="340" w:lineRule="atLeast"/>
        <w:ind w:left="1282" w:hanging="357"/>
        <w:jc w:val="both"/>
        <w:rPr>
          <w:rFonts w:ascii="Arial" w:hAnsi="Arial" w:cs="Arial"/>
          <w:sz w:val="21"/>
          <w:szCs w:val="22"/>
          <w:lang w:val="en-US" w:eastAsia="zh-CN"/>
        </w:rPr>
      </w:pPr>
      <w:r w:rsidRPr="00730D93">
        <w:rPr>
          <w:rFonts w:ascii="Arial" w:eastAsiaTheme="minorEastAsia" w:hAnsi="Arial" w:cs="Arial" w:hint="eastAsia"/>
          <w:sz w:val="21"/>
          <w:szCs w:val="22"/>
          <w:lang w:val="en-US" w:eastAsia="zh-CN"/>
        </w:rPr>
        <w:t>加大力度以改进在全球范围内对关于知识产权制度表现的统计数据信息的收集和提供，特别是收集和报告关于地理标志和版权的统计数据信息，以及</w:t>
      </w:r>
      <w:r w:rsidRPr="00730D93">
        <w:rPr>
          <w:rFonts w:ascii="Arial" w:eastAsiaTheme="minorEastAsia" w:hAnsi="Arial" w:cs="Arial" w:hint="eastAsia"/>
          <w:sz w:val="21"/>
          <w:szCs w:val="22"/>
          <w:lang w:val="en-US" w:eastAsia="zh-CN"/>
        </w:rPr>
        <w:t>WIPO</w:t>
      </w:r>
      <w:r w:rsidRPr="00730D93">
        <w:rPr>
          <w:rFonts w:ascii="Arial" w:eastAsiaTheme="minorEastAsia" w:hAnsi="Arial" w:cs="Arial" w:hint="eastAsia"/>
          <w:sz w:val="21"/>
          <w:szCs w:val="22"/>
          <w:lang w:val="en-US" w:eastAsia="zh-CN"/>
        </w:rPr>
        <w:t>主要报告的专业化得到提升；</w:t>
      </w:r>
    </w:p>
    <w:p w:rsidR="005A1670" w:rsidRDefault="00334955" w:rsidP="00880C0C">
      <w:pPr>
        <w:pStyle w:val="af2"/>
        <w:numPr>
          <w:ilvl w:val="0"/>
          <w:numId w:val="6"/>
        </w:numPr>
        <w:spacing w:afterLines="50" w:after="120" w:line="340" w:lineRule="atLeast"/>
        <w:ind w:hanging="357"/>
        <w:jc w:val="both"/>
        <w:rPr>
          <w:rFonts w:ascii="Arial" w:hAnsi="Arial" w:cs="Arial"/>
          <w:sz w:val="21"/>
          <w:szCs w:val="22"/>
          <w:lang w:val="en-US" w:eastAsia="zh-CN"/>
        </w:rPr>
      </w:pPr>
      <w:r w:rsidRPr="00730D93">
        <w:rPr>
          <w:rFonts w:ascii="Arial" w:eastAsiaTheme="minorEastAsia" w:hAnsi="Arial" w:cs="Arial" w:hint="eastAsia"/>
          <w:sz w:val="21"/>
          <w:szCs w:val="22"/>
          <w:lang w:val="en-US" w:eastAsia="zh-CN"/>
        </w:rPr>
        <w:t>作出更多关于就</w:t>
      </w:r>
      <w:r w:rsidR="00643E27" w:rsidRPr="00730D93">
        <w:rPr>
          <w:rFonts w:ascii="Arial" w:eastAsiaTheme="minorEastAsia" w:hAnsi="Arial" w:cs="Arial" w:hint="eastAsia"/>
          <w:sz w:val="21"/>
          <w:szCs w:val="22"/>
          <w:lang w:val="en-US" w:eastAsia="zh-CN"/>
        </w:rPr>
        <w:t>创意产业</w:t>
      </w:r>
      <w:r w:rsidRPr="00730D93">
        <w:rPr>
          <w:rFonts w:ascii="Arial" w:eastAsiaTheme="minorEastAsia" w:hAnsi="Arial" w:cs="Arial" w:hint="eastAsia"/>
          <w:sz w:val="21"/>
          <w:szCs w:val="22"/>
          <w:lang w:val="en-US" w:eastAsia="zh-CN"/>
        </w:rPr>
        <w:t>政策和表现进行经济研究的承诺。</w:t>
      </w:r>
    </w:p>
    <w:p w:rsidR="005A1670" w:rsidRPr="00730D93" w:rsidRDefault="00334955" w:rsidP="00880C0C">
      <w:pPr>
        <w:spacing w:afterLines="50" w:after="120" w:line="340" w:lineRule="atLeast"/>
        <w:jc w:val="both"/>
        <w:rPr>
          <w:rFonts w:eastAsiaTheme="minorEastAsia"/>
          <w:sz w:val="21"/>
          <w:szCs w:val="22"/>
        </w:rPr>
      </w:pPr>
      <w:r w:rsidRPr="00730D93">
        <w:rPr>
          <w:rFonts w:eastAsiaTheme="minorEastAsia" w:hint="eastAsia"/>
          <w:sz w:val="21"/>
          <w:szCs w:val="22"/>
        </w:rPr>
        <w:t>拟议的</w:t>
      </w:r>
      <w:r w:rsidRPr="00730D93">
        <w:rPr>
          <w:rFonts w:eastAsiaTheme="minorEastAsia" w:hint="eastAsia"/>
          <w:sz w:val="21"/>
          <w:szCs w:val="22"/>
        </w:rPr>
        <w:t>2016/17</w:t>
      </w:r>
      <w:r w:rsidRPr="00730D93">
        <w:rPr>
          <w:rFonts w:eastAsiaTheme="minorEastAsia" w:hint="eastAsia"/>
          <w:sz w:val="21"/>
          <w:szCs w:val="22"/>
        </w:rPr>
        <w:t>两年期总资源达到</w:t>
      </w:r>
      <w:r w:rsidRPr="00730D93">
        <w:rPr>
          <w:rFonts w:eastAsiaTheme="minorEastAsia" w:hint="eastAsia"/>
          <w:sz w:val="21"/>
          <w:szCs w:val="22"/>
        </w:rPr>
        <w:t>610</w:t>
      </w:r>
      <w:r w:rsidRPr="00730D93">
        <w:rPr>
          <w:rFonts w:eastAsiaTheme="minorEastAsia" w:hint="eastAsia"/>
          <w:sz w:val="21"/>
          <w:szCs w:val="22"/>
        </w:rPr>
        <w:t>万瑞郎，其中包括用于发展议程项目“知识产权和社会经济发展</w:t>
      </w:r>
      <w:r w:rsidR="005A1670" w:rsidRPr="00730D93">
        <w:rPr>
          <w:rFonts w:eastAsiaTheme="minorEastAsia" w:hint="eastAsia"/>
          <w:sz w:val="21"/>
          <w:szCs w:val="22"/>
        </w:rPr>
        <w:t>（</w:t>
      </w:r>
      <w:r w:rsidRPr="00730D93">
        <w:rPr>
          <w:rFonts w:eastAsiaTheme="minorEastAsia" w:hint="eastAsia"/>
          <w:sz w:val="21"/>
          <w:szCs w:val="22"/>
        </w:rPr>
        <w:t>二期</w:t>
      </w:r>
      <w:r w:rsidR="005A1670" w:rsidRPr="00730D93">
        <w:rPr>
          <w:rFonts w:eastAsiaTheme="minorEastAsia" w:hint="eastAsia"/>
          <w:sz w:val="21"/>
          <w:szCs w:val="22"/>
        </w:rPr>
        <w:t>）</w:t>
      </w:r>
      <w:r w:rsidRPr="00730D93">
        <w:rPr>
          <w:rFonts w:eastAsiaTheme="minorEastAsia" w:hint="eastAsia"/>
          <w:sz w:val="21"/>
          <w:szCs w:val="22"/>
        </w:rPr>
        <w:t>”的</w:t>
      </w:r>
      <w:r w:rsidRPr="00730D93">
        <w:rPr>
          <w:rFonts w:eastAsiaTheme="minorEastAsia" w:hint="eastAsia"/>
          <w:sz w:val="21"/>
          <w:szCs w:val="22"/>
        </w:rPr>
        <w:t>60</w:t>
      </w:r>
      <w:r w:rsidRPr="00730D93">
        <w:rPr>
          <w:rFonts w:eastAsiaTheme="minorEastAsia" w:hint="eastAsia"/>
          <w:sz w:val="21"/>
          <w:szCs w:val="22"/>
        </w:rPr>
        <w:t>万瑞郎。</w:t>
      </w:r>
    </w:p>
    <w:p w:rsidR="005A1670" w:rsidRDefault="00334955" w:rsidP="00880C0C">
      <w:pPr>
        <w:keepNext/>
        <w:spacing w:beforeLines="100" w:before="240" w:afterLines="50" w:after="120" w:line="340" w:lineRule="atLeast"/>
        <w:rPr>
          <w:b/>
          <w:sz w:val="24"/>
          <w:szCs w:val="24"/>
        </w:rPr>
      </w:pPr>
      <w:r w:rsidRPr="0044088F">
        <w:rPr>
          <w:rFonts w:hint="eastAsia"/>
          <w:b/>
          <w:sz w:val="24"/>
          <w:szCs w:val="24"/>
        </w:rPr>
        <w:lastRenderedPageBreak/>
        <w:t>战略目标七：</w:t>
      </w:r>
      <w:r w:rsidR="000F5CF4" w:rsidRPr="0044088F">
        <w:rPr>
          <w:rFonts w:hint="eastAsia"/>
          <w:b/>
          <w:sz w:val="24"/>
          <w:szCs w:val="24"/>
        </w:rPr>
        <w:t>根据全球政策主题处理知识产权问题</w:t>
      </w:r>
    </w:p>
    <w:p w:rsidR="00C25DAA"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0B248A" w:rsidRPr="0044088F">
        <w:rPr>
          <w:b/>
          <w:sz w:val="21"/>
        </w:rPr>
        <w:t>1</w:t>
      </w:r>
      <w:r w:rsidRPr="0044088F">
        <w:rPr>
          <w:b/>
          <w:sz w:val="21"/>
        </w:rPr>
        <w:t>：</w:t>
      </w:r>
      <w:r w:rsidR="00B040B5" w:rsidRPr="00730D93">
        <w:rPr>
          <w:rFonts w:eastAsiaTheme="minorEastAsia" w:hint="eastAsia"/>
          <w:b/>
          <w:sz w:val="21"/>
        </w:rPr>
        <w:t>能否对与知识产权和全球挑战有关的拟议工作进行更为详尽的综述？</w:t>
      </w:r>
    </w:p>
    <w:p w:rsidR="005A1670" w:rsidRPr="00730D93" w:rsidRDefault="0044088F" w:rsidP="005A1670">
      <w:pPr>
        <w:spacing w:afterLines="50" w:after="120" w:line="340" w:lineRule="atLeast"/>
        <w:jc w:val="both"/>
        <w:rPr>
          <w:rFonts w:eastAsiaTheme="minorEastAsia"/>
          <w:sz w:val="21"/>
        </w:rPr>
      </w:pPr>
      <w:r>
        <w:rPr>
          <w:sz w:val="21"/>
        </w:rPr>
        <w:t>答</w:t>
      </w:r>
      <w:r w:rsidR="000B248A" w:rsidRPr="0044088F">
        <w:rPr>
          <w:sz w:val="21"/>
        </w:rPr>
        <w:t>1</w:t>
      </w:r>
      <w:r w:rsidRPr="0044088F">
        <w:rPr>
          <w:sz w:val="21"/>
        </w:rPr>
        <w:t>：</w:t>
      </w:r>
      <w:r w:rsidR="00B040B5" w:rsidRPr="0044088F">
        <w:rPr>
          <w:rFonts w:ascii="SimSun" w:hAnsi="SimSun" w:cs="SimSun" w:hint="eastAsia"/>
          <w:sz w:val="21"/>
        </w:rPr>
        <w:t>将在PBC</w:t>
      </w:r>
      <w:r w:rsidR="00B040B5" w:rsidRPr="005A1670">
        <w:rPr>
          <w:rFonts w:hint="eastAsia"/>
          <w:bCs/>
          <w:sz w:val="21"/>
          <w:szCs w:val="22"/>
        </w:rPr>
        <w:t>会议</w:t>
      </w:r>
      <w:r w:rsidR="00B040B5" w:rsidRPr="0044088F">
        <w:rPr>
          <w:rFonts w:ascii="SimSun" w:hAnsi="SimSun" w:cs="SimSun" w:hint="eastAsia"/>
          <w:sz w:val="21"/>
        </w:rPr>
        <w:t>期间以按计划开列的方式提供对于</w:t>
      </w:r>
      <w:r w:rsidR="00B040B5" w:rsidRPr="0044088F">
        <w:rPr>
          <w:rFonts w:hint="eastAsia"/>
          <w:sz w:val="21"/>
        </w:rPr>
        <w:t>与知识产权和全球挑战有关的拟议工作更为详尽的综述</w:t>
      </w:r>
      <w:r w:rsidR="00B040B5"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F426ED" w:rsidRPr="0044088F">
        <w:rPr>
          <w:b/>
          <w:sz w:val="21"/>
        </w:rPr>
        <w:t>2</w:t>
      </w:r>
      <w:r w:rsidRPr="0044088F">
        <w:rPr>
          <w:b/>
          <w:sz w:val="21"/>
        </w:rPr>
        <w:t>：</w:t>
      </w:r>
      <w:r w:rsidR="00B040B5" w:rsidRPr="00730D93">
        <w:rPr>
          <w:rFonts w:eastAsiaTheme="minorEastAsia" w:hint="eastAsia"/>
          <w:b/>
          <w:sz w:val="21"/>
        </w:rPr>
        <w:t>在知识产权与竞争政策下，</w:t>
      </w:r>
      <w:r w:rsidR="00B040B5" w:rsidRPr="00730D93">
        <w:rPr>
          <w:rFonts w:eastAsiaTheme="minorEastAsia" w:hint="eastAsia"/>
          <w:b/>
          <w:sz w:val="21"/>
        </w:rPr>
        <w:t>UPOV</w:t>
      </w:r>
      <w:r w:rsidR="00B040B5" w:rsidRPr="00730D93">
        <w:rPr>
          <w:rFonts w:eastAsiaTheme="minorEastAsia" w:hint="eastAsia"/>
          <w:b/>
          <w:sz w:val="21"/>
        </w:rPr>
        <w:t>是否应被列为定期与</w:t>
      </w:r>
      <w:r w:rsidR="00B040B5" w:rsidRPr="00730D93">
        <w:rPr>
          <w:rFonts w:eastAsiaTheme="minorEastAsia" w:hint="eastAsia"/>
          <w:b/>
          <w:sz w:val="21"/>
        </w:rPr>
        <w:t>WIPO</w:t>
      </w:r>
      <w:r w:rsidR="001173D6" w:rsidRPr="00730D93">
        <w:rPr>
          <w:rFonts w:eastAsiaTheme="minorEastAsia" w:hint="eastAsia"/>
          <w:b/>
          <w:sz w:val="21"/>
        </w:rPr>
        <w:t>就知识产权和竞争政策开展合作的政府间组织？</w:t>
      </w:r>
    </w:p>
    <w:p w:rsidR="005A1670" w:rsidRPr="00730D93" w:rsidRDefault="0044088F" w:rsidP="005A1670">
      <w:pPr>
        <w:spacing w:afterLines="50" w:after="120" w:line="340" w:lineRule="atLeast"/>
        <w:jc w:val="both"/>
        <w:rPr>
          <w:rFonts w:eastAsiaTheme="minorEastAsia"/>
          <w:sz w:val="21"/>
        </w:rPr>
      </w:pPr>
      <w:r>
        <w:rPr>
          <w:sz w:val="21"/>
        </w:rPr>
        <w:t>答</w:t>
      </w:r>
      <w:r w:rsidR="00F426ED" w:rsidRPr="0044088F">
        <w:rPr>
          <w:sz w:val="21"/>
        </w:rPr>
        <w:t>2</w:t>
      </w:r>
      <w:r w:rsidRPr="0044088F">
        <w:rPr>
          <w:sz w:val="21"/>
        </w:rPr>
        <w:t>：</w:t>
      </w:r>
      <w:r w:rsidR="001173D6" w:rsidRPr="00730D93">
        <w:rPr>
          <w:rFonts w:eastAsiaTheme="minorEastAsia" w:hint="eastAsia"/>
          <w:sz w:val="21"/>
        </w:rPr>
        <w:t>UPOV</w:t>
      </w:r>
      <w:r w:rsidR="001173D6" w:rsidRPr="00730D93">
        <w:rPr>
          <w:rFonts w:eastAsiaTheme="minorEastAsia" w:hint="eastAsia"/>
          <w:sz w:val="21"/>
        </w:rPr>
        <w:t>不</w:t>
      </w:r>
      <w:r w:rsidR="001173D6" w:rsidRPr="005A1670">
        <w:rPr>
          <w:rFonts w:hint="eastAsia"/>
          <w:bCs/>
          <w:sz w:val="21"/>
          <w:szCs w:val="22"/>
        </w:rPr>
        <w:t>处理</w:t>
      </w:r>
      <w:r w:rsidR="001173D6" w:rsidRPr="00730D93">
        <w:rPr>
          <w:rFonts w:eastAsiaTheme="minorEastAsia" w:hint="eastAsia"/>
          <w:sz w:val="21"/>
        </w:rPr>
        <w:t>知识产权与竞争政策方面的问题。</w:t>
      </w:r>
    </w:p>
    <w:p w:rsidR="005A1670" w:rsidRDefault="001173D6" w:rsidP="00880C0C">
      <w:pPr>
        <w:keepNext/>
        <w:spacing w:beforeLines="100" w:before="240" w:afterLines="50" w:after="120" w:line="340" w:lineRule="atLeast"/>
        <w:rPr>
          <w:b/>
          <w:sz w:val="24"/>
          <w:szCs w:val="24"/>
        </w:rPr>
      </w:pPr>
      <w:r w:rsidRPr="0044088F">
        <w:rPr>
          <w:rFonts w:hint="eastAsia"/>
          <w:b/>
          <w:sz w:val="24"/>
          <w:szCs w:val="24"/>
        </w:rPr>
        <w:t>战略目标八：</w:t>
      </w:r>
      <w:r w:rsidR="00B83E94" w:rsidRPr="0044088F">
        <w:rPr>
          <w:rFonts w:hint="eastAsia"/>
          <w:b/>
          <w:sz w:val="24"/>
          <w:szCs w:val="24"/>
        </w:rPr>
        <w:t>在</w:t>
      </w:r>
      <w:r w:rsidR="00B83E94" w:rsidRPr="0044088F">
        <w:rPr>
          <w:b/>
          <w:sz w:val="24"/>
          <w:szCs w:val="24"/>
        </w:rPr>
        <w:t>WIPO</w:t>
      </w:r>
      <w:r w:rsidR="00B83E94" w:rsidRPr="0044088F">
        <w:rPr>
          <w:rFonts w:hint="eastAsia"/>
          <w:b/>
          <w:sz w:val="24"/>
          <w:szCs w:val="24"/>
        </w:rPr>
        <w:t>、其成员国和所有利益攸关者之间建立敏感的交流关系</w:t>
      </w:r>
    </w:p>
    <w:p w:rsidR="008C6656"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8C6656" w:rsidRPr="0044088F">
        <w:rPr>
          <w:b/>
          <w:sz w:val="21"/>
        </w:rPr>
        <w:t>1</w:t>
      </w:r>
      <w:r w:rsidRPr="0044088F">
        <w:rPr>
          <w:b/>
          <w:sz w:val="21"/>
        </w:rPr>
        <w:t>：</w:t>
      </w:r>
      <w:r w:rsidR="00B83E94" w:rsidRPr="00730D93">
        <w:rPr>
          <w:rFonts w:eastAsiaTheme="minorEastAsia" w:hint="eastAsia"/>
          <w:b/>
          <w:sz w:val="21"/>
        </w:rPr>
        <w:t>是否</w:t>
      </w:r>
      <w:r w:rsidR="005D576C" w:rsidRPr="00730D93">
        <w:rPr>
          <w:rFonts w:eastAsiaTheme="minorEastAsia" w:hint="eastAsia"/>
          <w:b/>
          <w:sz w:val="21"/>
        </w:rPr>
        <w:t>在预算中为新驻外办事处进行了拨备</w:t>
      </w:r>
      <w:r w:rsidR="00B83E94" w:rsidRPr="00730D93">
        <w:rPr>
          <w:rFonts w:eastAsiaTheme="minorEastAsia" w:hint="eastAsia"/>
          <w:b/>
          <w:sz w:val="21"/>
        </w:rPr>
        <w:t>？</w:t>
      </w:r>
    </w:p>
    <w:p w:rsidR="005A1670" w:rsidRPr="00730D93" w:rsidRDefault="0044088F" w:rsidP="005A1670">
      <w:pPr>
        <w:spacing w:afterLines="50" w:after="120" w:line="340" w:lineRule="atLeast"/>
        <w:jc w:val="both"/>
        <w:rPr>
          <w:rFonts w:eastAsiaTheme="minorEastAsia"/>
          <w:sz w:val="21"/>
        </w:rPr>
      </w:pPr>
      <w:r>
        <w:rPr>
          <w:sz w:val="21"/>
          <w:lang w:eastAsia="ja-JP"/>
        </w:rPr>
        <w:t>答</w:t>
      </w:r>
      <w:r w:rsidR="000B248A" w:rsidRPr="0044088F">
        <w:rPr>
          <w:sz w:val="21"/>
          <w:lang w:eastAsia="ja-JP"/>
        </w:rPr>
        <w:t>1</w:t>
      </w:r>
      <w:r w:rsidRPr="0044088F">
        <w:rPr>
          <w:sz w:val="21"/>
          <w:lang w:eastAsia="ja-JP"/>
        </w:rPr>
        <w:t>：</w:t>
      </w:r>
      <w:r w:rsidR="003C40CA" w:rsidRPr="00730D93">
        <w:rPr>
          <w:rFonts w:eastAsiaTheme="minorEastAsia" w:hint="eastAsia"/>
          <w:sz w:val="21"/>
        </w:rPr>
        <w:t>如果成员国同意在</w:t>
      </w:r>
      <w:r w:rsidR="003C40CA" w:rsidRPr="00730D93">
        <w:rPr>
          <w:rFonts w:eastAsiaTheme="minorEastAsia" w:hint="eastAsia"/>
          <w:sz w:val="21"/>
        </w:rPr>
        <w:t>2016/17</w:t>
      </w:r>
      <w:r w:rsidR="003C40CA" w:rsidRPr="00730D93">
        <w:rPr>
          <w:rFonts w:eastAsiaTheme="minorEastAsia" w:hint="eastAsia"/>
          <w:sz w:val="21"/>
        </w:rPr>
        <w:t>两年期设立新驻外办事处，可以在“未分拨”非人事资源下拨备</w:t>
      </w:r>
      <w:r w:rsidR="003C40CA" w:rsidRPr="00730D93">
        <w:rPr>
          <w:rFonts w:eastAsiaTheme="minorEastAsia" w:hint="eastAsia"/>
          <w:sz w:val="21"/>
        </w:rPr>
        <w:t>100</w:t>
      </w:r>
      <w:r w:rsidR="003C40CA" w:rsidRPr="00730D93">
        <w:rPr>
          <w:rFonts w:eastAsiaTheme="minorEastAsia" w:hint="eastAsia"/>
          <w:sz w:val="21"/>
        </w:rPr>
        <w:t>万瑞郎进行供资。</w:t>
      </w:r>
    </w:p>
    <w:p w:rsidR="00C25DAA"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C92C28" w:rsidRPr="0044088F">
        <w:rPr>
          <w:b/>
          <w:bCs/>
          <w:sz w:val="21"/>
        </w:rPr>
        <w:t>2</w:t>
      </w:r>
      <w:r w:rsidRPr="0044088F">
        <w:rPr>
          <w:b/>
          <w:bCs/>
          <w:sz w:val="21"/>
        </w:rPr>
        <w:t>：</w:t>
      </w:r>
      <w:r w:rsidR="003C40CA" w:rsidRPr="00730D93">
        <w:rPr>
          <w:rFonts w:eastAsiaTheme="minorEastAsia" w:hint="eastAsia"/>
          <w:b/>
          <w:sz w:val="21"/>
        </w:rPr>
        <w:t>如果未就设立新驻外办事处作出决定，未分拨中的</w:t>
      </w:r>
      <w:r w:rsidR="003C40CA" w:rsidRPr="00730D93">
        <w:rPr>
          <w:rFonts w:eastAsiaTheme="minorEastAsia" w:hint="eastAsia"/>
          <w:b/>
          <w:sz w:val="21"/>
        </w:rPr>
        <w:t>100</w:t>
      </w:r>
      <w:r w:rsidR="003C40CA" w:rsidRPr="00730D93">
        <w:rPr>
          <w:rFonts w:eastAsiaTheme="minorEastAsia" w:hint="eastAsia"/>
          <w:b/>
          <w:sz w:val="21"/>
        </w:rPr>
        <w:t>万瑞郎拨备将如何处置？</w:t>
      </w:r>
    </w:p>
    <w:p w:rsidR="005A1670" w:rsidRPr="00730D93" w:rsidRDefault="0044088F" w:rsidP="005A1670">
      <w:pPr>
        <w:spacing w:afterLines="50" w:after="120" w:line="340" w:lineRule="atLeast"/>
        <w:jc w:val="both"/>
        <w:rPr>
          <w:rFonts w:eastAsiaTheme="minorEastAsia"/>
          <w:bCs/>
          <w:sz w:val="21"/>
        </w:rPr>
      </w:pPr>
      <w:r>
        <w:rPr>
          <w:bCs/>
          <w:sz w:val="21"/>
        </w:rPr>
        <w:t>答</w:t>
      </w:r>
      <w:r w:rsidR="00C92C28" w:rsidRPr="0044088F">
        <w:rPr>
          <w:bCs/>
          <w:sz w:val="21"/>
        </w:rPr>
        <w:t>2</w:t>
      </w:r>
      <w:r w:rsidRPr="0044088F">
        <w:rPr>
          <w:bCs/>
          <w:sz w:val="21"/>
        </w:rPr>
        <w:t>：</w:t>
      </w:r>
      <w:r w:rsidR="003C40CA" w:rsidRPr="00730D93">
        <w:rPr>
          <w:rFonts w:eastAsiaTheme="minorEastAsia" w:hint="eastAsia"/>
          <w:bCs/>
          <w:sz w:val="21"/>
        </w:rPr>
        <w:t>如果该拨备在</w:t>
      </w:r>
      <w:r w:rsidR="003C40CA" w:rsidRPr="005A1670">
        <w:rPr>
          <w:rFonts w:hint="eastAsia"/>
          <w:bCs/>
          <w:sz w:val="21"/>
          <w:szCs w:val="22"/>
        </w:rPr>
        <w:t>2016</w:t>
      </w:r>
      <w:r w:rsidR="003C40CA" w:rsidRPr="00730D93">
        <w:rPr>
          <w:rFonts w:eastAsiaTheme="minorEastAsia" w:hint="eastAsia"/>
          <w:bCs/>
          <w:sz w:val="21"/>
        </w:rPr>
        <w:t>/17</w:t>
      </w:r>
      <w:r w:rsidR="003C40CA" w:rsidRPr="00730D93">
        <w:rPr>
          <w:rFonts w:eastAsiaTheme="minorEastAsia" w:hint="eastAsia"/>
          <w:bCs/>
          <w:sz w:val="21"/>
        </w:rPr>
        <w:t>两年期没有</w:t>
      </w:r>
      <w:r w:rsidR="00AE4D9F" w:rsidRPr="00730D93">
        <w:rPr>
          <w:rFonts w:eastAsiaTheme="minorEastAsia" w:hint="eastAsia"/>
          <w:bCs/>
          <w:sz w:val="21"/>
        </w:rPr>
        <w:t>被</w:t>
      </w:r>
      <w:r w:rsidR="003C40CA" w:rsidRPr="00730D93">
        <w:rPr>
          <w:rFonts w:eastAsiaTheme="minorEastAsia" w:hint="eastAsia"/>
          <w:bCs/>
          <w:sz w:val="21"/>
        </w:rPr>
        <w:t>使用，</w:t>
      </w:r>
      <w:r w:rsidR="005D576C" w:rsidRPr="00730D93">
        <w:rPr>
          <w:rFonts w:eastAsiaTheme="minorEastAsia" w:hint="eastAsia"/>
          <w:bCs/>
          <w:sz w:val="21"/>
        </w:rPr>
        <w:t>在该两年期末预计为</w:t>
      </w:r>
      <w:r w:rsidR="00AE4D9F" w:rsidRPr="00730D93">
        <w:rPr>
          <w:rFonts w:eastAsiaTheme="minorEastAsia" w:hint="eastAsia"/>
          <w:bCs/>
          <w:sz w:val="21"/>
        </w:rPr>
        <w:t>2080</w:t>
      </w:r>
      <w:r w:rsidR="00AE4D9F" w:rsidRPr="00730D93">
        <w:rPr>
          <w:rFonts w:eastAsiaTheme="minorEastAsia" w:hint="eastAsia"/>
          <w:bCs/>
          <w:sz w:val="21"/>
        </w:rPr>
        <w:t>万瑞郎的运营成果将出现增长。</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C92C28" w:rsidRPr="0044088F">
        <w:rPr>
          <w:b/>
          <w:bCs/>
          <w:sz w:val="21"/>
        </w:rPr>
        <w:t>3</w:t>
      </w:r>
      <w:r w:rsidRPr="0044088F">
        <w:rPr>
          <w:b/>
          <w:bCs/>
          <w:sz w:val="21"/>
        </w:rPr>
        <w:t>：</w:t>
      </w:r>
      <w:r w:rsidR="003C40CA" w:rsidRPr="00730D93">
        <w:rPr>
          <w:rFonts w:eastAsiaTheme="minorEastAsia" w:hint="eastAsia"/>
          <w:b/>
          <w:sz w:val="21"/>
        </w:rPr>
        <w:t>计划关闭纽约办事处的理由是什么？</w:t>
      </w:r>
    </w:p>
    <w:p w:rsidR="005A1670" w:rsidRPr="00730D93" w:rsidRDefault="0044088F" w:rsidP="005A1670">
      <w:pPr>
        <w:spacing w:afterLines="50" w:after="120" w:line="340" w:lineRule="atLeast"/>
        <w:jc w:val="both"/>
        <w:rPr>
          <w:rFonts w:eastAsiaTheme="minorEastAsia"/>
          <w:bCs/>
          <w:sz w:val="21"/>
        </w:rPr>
      </w:pPr>
      <w:r>
        <w:rPr>
          <w:bCs/>
          <w:sz w:val="21"/>
        </w:rPr>
        <w:t>答</w:t>
      </w:r>
      <w:r w:rsidR="001B73A1" w:rsidRPr="0044088F">
        <w:rPr>
          <w:bCs/>
          <w:sz w:val="21"/>
        </w:rPr>
        <w:t>3</w:t>
      </w:r>
      <w:r w:rsidRPr="0044088F">
        <w:rPr>
          <w:bCs/>
          <w:sz w:val="21"/>
        </w:rPr>
        <w:t>：</w:t>
      </w:r>
      <w:r w:rsidR="00AE4D9F" w:rsidRPr="00730D93">
        <w:rPr>
          <w:rFonts w:eastAsiaTheme="minorEastAsia" w:hint="eastAsia"/>
          <w:bCs/>
          <w:sz w:val="21"/>
        </w:rPr>
        <w:t>与联合国及其主要谈判进程</w:t>
      </w:r>
      <w:r w:rsidR="005A1670" w:rsidRPr="00730D93">
        <w:rPr>
          <w:rFonts w:eastAsiaTheme="minorEastAsia" w:hint="eastAsia"/>
          <w:bCs/>
          <w:sz w:val="21"/>
        </w:rPr>
        <w:t>（</w:t>
      </w:r>
      <w:r w:rsidR="00AE4D9F" w:rsidRPr="00730D93">
        <w:rPr>
          <w:rFonts w:eastAsiaTheme="minorEastAsia" w:hint="eastAsia"/>
          <w:bCs/>
          <w:sz w:val="21"/>
        </w:rPr>
        <w:t>例如</w:t>
      </w:r>
      <w:r w:rsidR="00AE4D9F" w:rsidRPr="00730D93">
        <w:rPr>
          <w:rFonts w:eastAsiaTheme="minorEastAsia" w:hint="eastAsia"/>
          <w:bCs/>
          <w:sz w:val="21"/>
        </w:rPr>
        <w:t>CEB</w:t>
      </w:r>
      <w:r w:rsidR="00AE4D9F" w:rsidRPr="00730D93">
        <w:rPr>
          <w:rFonts w:eastAsiaTheme="minorEastAsia" w:hint="eastAsia"/>
          <w:bCs/>
          <w:sz w:val="21"/>
        </w:rPr>
        <w:t>、</w:t>
      </w:r>
      <w:r w:rsidR="00AE4D9F" w:rsidRPr="00730D93">
        <w:rPr>
          <w:rFonts w:eastAsiaTheme="minorEastAsia" w:hint="eastAsia"/>
          <w:bCs/>
          <w:sz w:val="21"/>
        </w:rPr>
        <w:t>HLCM</w:t>
      </w:r>
      <w:r w:rsidR="00AE4D9F" w:rsidRPr="00730D93">
        <w:rPr>
          <w:rFonts w:eastAsiaTheme="minorEastAsia" w:hint="eastAsia"/>
          <w:bCs/>
          <w:sz w:val="21"/>
        </w:rPr>
        <w:t>、</w:t>
      </w:r>
      <w:r w:rsidR="00AE4D9F" w:rsidRPr="00730D93">
        <w:rPr>
          <w:rFonts w:eastAsiaTheme="minorEastAsia" w:hint="eastAsia"/>
          <w:bCs/>
          <w:sz w:val="21"/>
        </w:rPr>
        <w:t>HLCP</w:t>
      </w:r>
      <w:r w:rsidR="00AE4D9F" w:rsidRPr="00730D93">
        <w:rPr>
          <w:rFonts w:eastAsiaTheme="minorEastAsia" w:hint="eastAsia"/>
          <w:bCs/>
          <w:sz w:val="21"/>
        </w:rPr>
        <w:t>、后</w:t>
      </w:r>
      <w:r w:rsidR="00AE4D9F" w:rsidRPr="00730D93">
        <w:rPr>
          <w:rFonts w:eastAsiaTheme="minorEastAsia" w:hint="eastAsia"/>
          <w:bCs/>
          <w:sz w:val="21"/>
        </w:rPr>
        <w:t>2015</w:t>
      </w:r>
      <w:r w:rsidR="00AE4D9F" w:rsidRPr="00730D93">
        <w:rPr>
          <w:rFonts w:eastAsiaTheme="minorEastAsia" w:hint="eastAsia"/>
          <w:bCs/>
          <w:sz w:val="21"/>
        </w:rPr>
        <w:t>年发展议程</w:t>
      </w:r>
      <w:r w:rsidR="005A1670">
        <w:rPr>
          <w:bCs/>
          <w:sz w:val="21"/>
        </w:rPr>
        <w:t>（</w:t>
      </w:r>
      <w:r w:rsidR="00AE4D9F" w:rsidRPr="0044088F">
        <w:rPr>
          <w:bCs/>
          <w:sz w:val="21"/>
        </w:rPr>
        <w:t>SDG</w:t>
      </w:r>
      <w:r w:rsidR="005A1670" w:rsidRPr="00730D93">
        <w:rPr>
          <w:rFonts w:eastAsiaTheme="minorEastAsia" w:hint="eastAsia"/>
          <w:bCs/>
          <w:sz w:val="21"/>
        </w:rPr>
        <w:t>）</w:t>
      </w:r>
      <w:r w:rsidR="00AE4D9F" w:rsidRPr="00730D93">
        <w:rPr>
          <w:rFonts w:eastAsiaTheme="minorEastAsia" w:hint="eastAsia"/>
          <w:bCs/>
          <w:sz w:val="21"/>
        </w:rPr>
        <w:t>和气候变化</w:t>
      </w:r>
      <w:r w:rsidR="005A1670" w:rsidRPr="00730D93">
        <w:rPr>
          <w:rFonts w:eastAsiaTheme="minorEastAsia" w:hint="eastAsia"/>
          <w:bCs/>
          <w:sz w:val="21"/>
        </w:rPr>
        <w:t>）</w:t>
      </w:r>
      <w:r w:rsidR="00AE4D9F" w:rsidRPr="00730D93">
        <w:rPr>
          <w:rFonts w:eastAsiaTheme="minorEastAsia" w:hint="eastAsia"/>
          <w:bCs/>
          <w:sz w:val="21"/>
        </w:rPr>
        <w:t>的协调和参与工作目前已经从</w:t>
      </w:r>
      <w:r w:rsidR="00AE4D9F" w:rsidRPr="00730D93">
        <w:rPr>
          <w:rFonts w:eastAsiaTheme="minorEastAsia" w:hint="eastAsia"/>
          <w:bCs/>
          <w:sz w:val="21"/>
        </w:rPr>
        <w:t>WIPO</w:t>
      </w:r>
      <w:r w:rsidR="00AE4D9F" w:rsidRPr="00730D93">
        <w:rPr>
          <w:rFonts w:eastAsiaTheme="minorEastAsia" w:hint="eastAsia"/>
          <w:bCs/>
          <w:sz w:val="21"/>
        </w:rPr>
        <w:t>位于日内瓦的总部开展。虽然</w:t>
      </w:r>
      <w:r w:rsidR="00AE4D9F" w:rsidRPr="00730D93">
        <w:rPr>
          <w:rFonts w:eastAsiaTheme="minorEastAsia" w:hint="eastAsia"/>
          <w:bCs/>
          <w:sz w:val="21"/>
        </w:rPr>
        <w:t>WIPO</w:t>
      </w:r>
      <w:r w:rsidR="00AE4D9F" w:rsidRPr="00730D93">
        <w:rPr>
          <w:rFonts w:eastAsiaTheme="minorEastAsia" w:hint="eastAsia"/>
          <w:bCs/>
          <w:sz w:val="21"/>
        </w:rPr>
        <w:t>驻纽约协调办公室所承担的工作将在下个两年期继续进行，但建议目前的运行模式，即通过位于纽约的实体办公室，只持续至</w:t>
      </w:r>
      <w:r w:rsidR="00AE4D9F" w:rsidRPr="00730D93">
        <w:rPr>
          <w:rFonts w:eastAsiaTheme="minorEastAsia" w:hint="eastAsia"/>
          <w:bCs/>
          <w:sz w:val="21"/>
        </w:rPr>
        <w:t>2016</w:t>
      </w:r>
      <w:r w:rsidR="00AE4D9F" w:rsidRPr="00730D93">
        <w:rPr>
          <w:rFonts w:eastAsiaTheme="minorEastAsia" w:hint="eastAsia"/>
          <w:bCs/>
          <w:sz w:val="21"/>
        </w:rPr>
        <w:t>年底。</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1B73A1" w:rsidRPr="0044088F">
        <w:rPr>
          <w:b/>
          <w:sz w:val="21"/>
        </w:rPr>
        <w:t>4</w:t>
      </w:r>
      <w:r w:rsidRPr="0044088F">
        <w:rPr>
          <w:b/>
          <w:sz w:val="21"/>
        </w:rPr>
        <w:t>：</w:t>
      </w:r>
      <w:r w:rsidR="007070D6" w:rsidRPr="00730D93">
        <w:rPr>
          <w:rFonts w:eastAsiaTheme="minorEastAsia" w:hint="eastAsia"/>
          <w:b/>
          <w:sz w:val="21"/>
        </w:rPr>
        <w:t>为什么驻外办事处的规划框架过于集中？</w:t>
      </w:r>
    </w:p>
    <w:p w:rsidR="005A1670" w:rsidRPr="00730D93" w:rsidRDefault="0044088F" w:rsidP="005A1670">
      <w:pPr>
        <w:spacing w:afterLines="50" w:after="120" w:line="340" w:lineRule="atLeast"/>
        <w:jc w:val="both"/>
        <w:rPr>
          <w:rFonts w:eastAsiaTheme="minorEastAsia"/>
          <w:sz w:val="21"/>
        </w:rPr>
      </w:pPr>
      <w:r>
        <w:rPr>
          <w:sz w:val="21"/>
        </w:rPr>
        <w:t>答</w:t>
      </w:r>
      <w:r w:rsidR="001B73A1" w:rsidRPr="0044088F">
        <w:rPr>
          <w:sz w:val="21"/>
        </w:rPr>
        <w:t>4</w:t>
      </w:r>
      <w:r w:rsidRPr="0044088F">
        <w:rPr>
          <w:sz w:val="21"/>
        </w:rPr>
        <w:t>：</w:t>
      </w:r>
      <w:r w:rsidR="003E475A" w:rsidRPr="00730D93">
        <w:rPr>
          <w:rFonts w:eastAsiaTheme="minorEastAsia" w:hint="eastAsia"/>
          <w:sz w:val="21"/>
        </w:rPr>
        <w:t>秘书处花大力气对</w:t>
      </w:r>
      <w:r w:rsidR="003E475A" w:rsidRPr="00730D93">
        <w:rPr>
          <w:rFonts w:eastAsiaTheme="minorEastAsia" w:hint="eastAsia"/>
          <w:sz w:val="21"/>
        </w:rPr>
        <w:t>2016/17</w:t>
      </w:r>
      <w:r w:rsidR="003E475A" w:rsidRPr="00730D93">
        <w:rPr>
          <w:rFonts w:eastAsiaTheme="minorEastAsia" w:hint="eastAsia"/>
          <w:sz w:val="21"/>
        </w:rPr>
        <w:t>两年期计划和预算进行了编制，其中</w:t>
      </w:r>
      <w:r w:rsidR="003E475A" w:rsidRPr="00730D93">
        <w:rPr>
          <w:rFonts w:eastAsiaTheme="minorEastAsia" w:hint="eastAsia"/>
          <w:sz w:val="21"/>
        </w:rPr>
        <w:t>WIPO</w:t>
      </w:r>
      <w:r w:rsidR="003E475A" w:rsidRPr="00730D93">
        <w:rPr>
          <w:rFonts w:eastAsiaTheme="minorEastAsia" w:hint="eastAsia"/>
          <w:sz w:val="21"/>
        </w:rPr>
        <w:t>驻外办事处的代表参与制定、协调和统一办事处的成果框架。这使得计划</w:t>
      </w:r>
      <w:r w:rsidR="003E475A" w:rsidRPr="00730D93">
        <w:rPr>
          <w:rFonts w:eastAsiaTheme="minorEastAsia" w:hint="eastAsia"/>
          <w:sz w:val="21"/>
        </w:rPr>
        <w:t>20</w:t>
      </w:r>
      <w:r w:rsidR="003E475A" w:rsidRPr="00730D93">
        <w:rPr>
          <w:rFonts w:eastAsiaTheme="minorEastAsia" w:hint="eastAsia"/>
          <w:sz w:val="21"/>
        </w:rPr>
        <w:t>的成果框架非常全面详尽，为各办事处提供了清晰、可衡量的指标和单独的基线和目标。</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sz w:val="21"/>
        </w:rPr>
      </w:pPr>
      <w:r>
        <w:rPr>
          <w:b/>
          <w:sz w:val="21"/>
        </w:rPr>
        <w:t>问</w:t>
      </w:r>
      <w:r w:rsidR="001B73A1" w:rsidRPr="0044088F">
        <w:rPr>
          <w:b/>
          <w:sz w:val="21"/>
        </w:rPr>
        <w:t>5</w:t>
      </w:r>
      <w:r w:rsidRPr="0044088F">
        <w:rPr>
          <w:b/>
          <w:sz w:val="21"/>
        </w:rPr>
        <w:t>：</w:t>
      </w:r>
      <w:r w:rsidR="003E475A" w:rsidRPr="00730D93">
        <w:rPr>
          <w:rFonts w:eastAsiaTheme="minorEastAsia" w:hint="eastAsia"/>
          <w:b/>
          <w:sz w:val="21"/>
        </w:rPr>
        <w:t>各驻外办事处拟议预算的明细是什么？</w:t>
      </w:r>
    </w:p>
    <w:p w:rsidR="00473AFA" w:rsidRPr="00730D93" w:rsidRDefault="0044088F" w:rsidP="005A1670">
      <w:pPr>
        <w:spacing w:afterLines="50" w:after="120" w:line="340" w:lineRule="atLeast"/>
        <w:jc w:val="both"/>
        <w:rPr>
          <w:rFonts w:eastAsiaTheme="minorEastAsia"/>
          <w:sz w:val="21"/>
          <w:szCs w:val="22"/>
        </w:rPr>
      </w:pPr>
      <w:r>
        <w:rPr>
          <w:sz w:val="21"/>
          <w:szCs w:val="22"/>
        </w:rPr>
        <w:t>答</w:t>
      </w:r>
      <w:r w:rsidR="001B73A1" w:rsidRPr="0044088F">
        <w:rPr>
          <w:sz w:val="21"/>
          <w:szCs w:val="22"/>
        </w:rPr>
        <w:t>5</w:t>
      </w:r>
      <w:r w:rsidRPr="0044088F">
        <w:rPr>
          <w:sz w:val="21"/>
          <w:szCs w:val="22"/>
        </w:rPr>
        <w:t>：</w:t>
      </w:r>
      <w:r w:rsidR="003E475A" w:rsidRPr="00730D93">
        <w:rPr>
          <w:rFonts w:eastAsiaTheme="minorEastAsia" w:hint="eastAsia"/>
          <w:sz w:val="21"/>
          <w:szCs w:val="22"/>
        </w:rPr>
        <w:t>各驻外办事处拟议预算的明细请见下表。驻外办事处是计划</w:t>
      </w:r>
      <w:r w:rsidR="003E475A" w:rsidRPr="00730D93">
        <w:rPr>
          <w:rFonts w:eastAsiaTheme="minorEastAsia" w:hint="eastAsia"/>
          <w:sz w:val="21"/>
          <w:szCs w:val="22"/>
        </w:rPr>
        <w:t>20</w:t>
      </w:r>
      <w:r w:rsidR="003E475A" w:rsidRPr="00730D93">
        <w:rPr>
          <w:rFonts w:eastAsiaTheme="minorEastAsia" w:hint="eastAsia"/>
          <w:sz w:val="21"/>
          <w:szCs w:val="22"/>
        </w:rPr>
        <w:t>的一部分。</w:t>
      </w:r>
    </w:p>
    <w:p w:rsidR="00880C0C" w:rsidRPr="00880C0C" w:rsidRDefault="00880C0C" w:rsidP="00880C0C">
      <w:pPr>
        <w:jc w:val="center"/>
        <w:rPr>
          <w:sz w:val="15"/>
          <w:szCs w:val="22"/>
        </w:rPr>
      </w:pPr>
      <w:r w:rsidRPr="00880C0C">
        <w:rPr>
          <w:rFonts w:hint="eastAsia"/>
          <w:sz w:val="15"/>
          <w:szCs w:val="22"/>
        </w:rPr>
        <w:t>驻外办事处和</w:t>
      </w:r>
      <w:r w:rsidRPr="00880C0C">
        <w:rPr>
          <w:rFonts w:hint="eastAsia"/>
          <w:sz w:val="15"/>
          <w:szCs w:val="22"/>
        </w:rPr>
        <w:t>WIPO</w:t>
      </w:r>
      <w:r w:rsidRPr="00880C0C">
        <w:rPr>
          <w:rFonts w:hint="eastAsia"/>
          <w:sz w:val="15"/>
          <w:szCs w:val="22"/>
        </w:rPr>
        <w:t>纽约联合国协调处</w:t>
      </w:r>
    </w:p>
    <w:p w:rsidR="00880C0C" w:rsidRPr="00880C0C" w:rsidRDefault="00880C0C" w:rsidP="00880C0C">
      <w:pPr>
        <w:jc w:val="center"/>
        <w:rPr>
          <w:sz w:val="15"/>
          <w:szCs w:val="22"/>
        </w:rPr>
      </w:pPr>
      <w:r w:rsidRPr="00880C0C">
        <w:rPr>
          <w:rFonts w:hint="eastAsia"/>
          <w:sz w:val="15"/>
          <w:szCs w:val="22"/>
        </w:rPr>
        <w:t>2016/17</w:t>
      </w:r>
      <w:r w:rsidRPr="00880C0C">
        <w:rPr>
          <w:rFonts w:hint="eastAsia"/>
          <w:sz w:val="15"/>
          <w:szCs w:val="22"/>
        </w:rPr>
        <w:t>年预算摘要</w:t>
      </w:r>
    </w:p>
    <w:p w:rsidR="00880C0C" w:rsidRPr="00880C0C" w:rsidRDefault="00880C0C" w:rsidP="00880C0C">
      <w:pPr>
        <w:jc w:val="center"/>
        <w:rPr>
          <w:sz w:val="15"/>
          <w:szCs w:val="22"/>
        </w:rPr>
      </w:pPr>
      <w:r w:rsidRPr="00880C0C">
        <w:rPr>
          <w:rFonts w:hint="eastAsia"/>
          <w:sz w:val="15"/>
          <w:szCs w:val="22"/>
        </w:rPr>
        <w:t>（单位：千瑞郎）</w:t>
      </w:r>
    </w:p>
    <w:p w:rsidR="00880C0C" w:rsidRDefault="00880C0C" w:rsidP="002746F1">
      <w:pPr>
        <w:rPr>
          <w:sz w:val="21"/>
          <w:szCs w:val="22"/>
        </w:rPr>
      </w:pPr>
    </w:p>
    <w:tbl>
      <w:tblPr>
        <w:tblStyle w:val="af3"/>
        <w:tblW w:w="0" w:type="auto"/>
        <w:tblInd w:w="1101" w:type="dxa"/>
        <w:tblLook w:val="04A0" w:firstRow="1" w:lastRow="0" w:firstColumn="1" w:lastColumn="0" w:noHBand="0" w:noVBand="1"/>
      </w:tblPr>
      <w:tblGrid>
        <w:gridCol w:w="3543"/>
        <w:gridCol w:w="284"/>
        <w:gridCol w:w="992"/>
        <w:gridCol w:w="1134"/>
        <w:gridCol w:w="992"/>
      </w:tblGrid>
      <w:tr w:rsidR="005655C4" w:rsidRPr="005655C4" w:rsidTr="005655C4">
        <w:tc>
          <w:tcPr>
            <w:tcW w:w="3543" w:type="dxa"/>
            <w:tcBorders>
              <w:bottom w:val="single" w:sz="4" w:space="0" w:color="auto"/>
            </w:tcBorders>
            <w:shd w:val="clear" w:color="auto" w:fill="C6D9F1" w:themeFill="text2" w:themeFillTint="33"/>
          </w:tcPr>
          <w:p w:rsidR="00880C0C" w:rsidRPr="005655C4" w:rsidRDefault="00880C0C" w:rsidP="005655C4">
            <w:pPr>
              <w:spacing w:beforeLines="50" w:before="120"/>
              <w:jc w:val="center"/>
              <w:rPr>
                <w:rFonts w:ascii="KaiTi" w:eastAsia="KaiTi" w:hAnsi="KaiTi"/>
                <w:sz w:val="15"/>
                <w:szCs w:val="16"/>
              </w:rPr>
            </w:pPr>
            <w:r w:rsidRPr="005655C4">
              <w:rPr>
                <w:rFonts w:ascii="KaiTi" w:eastAsia="KaiTi" w:hAnsi="KaiTi" w:hint="eastAsia"/>
                <w:sz w:val="15"/>
                <w:szCs w:val="16"/>
              </w:rPr>
              <w:t>驻外办事处</w:t>
            </w:r>
          </w:p>
        </w:tc>
        <w:tc>
          <w:tcPr>
            <w:tcW w:w="284" w:type="dxa"/>
            <w:tcBorders>
              <w:top w:val="nil"/>
              <w:bottom w:val="nil"/>
            </w:tcBorders>
          </w:tcPr>
          <w:p w:rsidR="00880C0C" w:rsidRPr="005655C4" w:rsidRDefault="00880C0C" w:rsidP="005655C4">
            <w:pPr>
              <w:spacing w:beforeLines="50" w:before="120"/>
              <w:jc w:val="center"/>
              <w:rPr>
                <w:rFonts w:ascii="KaiTi" w:eastAsia="KaiTi" w:hAnsi="KaiTi"/>
                <w:sz w:val="15"/>
                <w:szCs w:val="16"/>
              </w:rPr>
            </w:pPr>
          </w:p>
        </w:tc>
        <w:tc>
          <w:tcPr>
            <w:tcW w:w="992" w:type="dxa"/>
            <w:tcBorders>
              <w:bottom w:val="single" w:sz="4" w:space="0" w:color="auto"/>
            </w:tcBorders>
            <w:shd w:val="clear" w:color="auto" w:fill="C6D9F1" w:themeFill="text2" w:themeFillTint="33"/>
          </w:tcPr>
          <w:p w:rsidR="00880C0C" w:rsidRPr="005655C4" w:rsidRDefault="00880C0C" w:rsidP="005655C4">
            <w:pPr>
              <w:spacing w:beforeLines="50" w:before="120"/>
              <w:jc w:val="center"/>
              <w:rPr>
                <w:rFonts w:ascii="KaiTi" w:eastAsia="KaiTi" w:hAnsi="KaiTi"/>
                <w:sz w:val="15"/>
                <w:szCs w:val="16"/>
              </w:rPr>
            </w:pPr>
            <w:r w:rsidRPr="005655C4">
              <w:rPr>
                <w:rFonts w:ascii="KaiTi" w:eastAsia="KaiTi" w:hAnsi="KaiTi" w:hint="eastAsia"/>
                <w:sz w:val="15"/>
                <w:szCs w:val="16"/>
              </w:rPr>
              <w:t>人事</w:t>
            </w:r>
          </w:p>
        </w:tc>
        <w:tc>
          <w:tcPr>
            <w:tcW w:w="1134" w:type="dxa"/>
            <w:tcBorders>
              <w:bottom w:val="single" w:sz="4" w:space="0" w:color="auto"/>
            </w:tcBorders>
            <w:shd w:val="clear" w:color="auto" w:fill="C6D9F1" w:themeFill="text2" w:themeFillTint="33"/>
          </w:tcPr>
          <w:p w:rsidR="00880C0C" w:rsidRPr="005655C4" w:rsidRDefault="00880C0C" w:rsidP="005655C4">
            <w:pPr>
              <w:spacing w:beforeLines="50" w:before="120"/>
              <w:jc w:val="center"/>
              <w:rPr>
                <w:rFonts w:ascii="KaiTi" w:eastAsia="KaiTi" w:hAnsi="KaiTi"/>
                <w:sz w:val="15"/>
                <w:szCs w:val="16"/>
              </w:rPr>
            </w:pPr>
            <w:r w:rsidRPr="005655C4">
              <w:rPr>
                <w:rFonts w:ascii="KaiTi" w:eastAsia="KaiTi" w:hAnsi="KaiTi" w:hint="eastAsia"/>
                <w:sz w:val="15"/>
                <w:szCs w:val="16"/>
              </w:rPr>
              <w:t>非人事</w:t>
            </w:r>
          </w:p>
        </w:tc>
        <w:tc>
          <w:tcPr>
            <w:tcW w:w="992" w:type="dxa"/>
            <w:tcBorders>
              <w:bottom w:val="single" w:sz="4" w:space="0" w:color="auto"/>
            </w:tcBorders>
            <w:shd w:val="clear" w:color="auto" w:fill="C6D9F1" w:themeFill="text2" w:themeFillTint="33"/>
          </w:tcPr>
          <w:p w:rsidR="00880C0C" w:rsidRPr="005655C4" w:rsidRDefault="00880C0C" w:rsidP="005655C4">
            <w:pPr>
              <w:spacing w:beforeLines="50" w:before="120"/>
              <w:jc w:val="center"/>
              <w:rPr>
                <w:rFonts w:ascii="KaiTi" w:eastAsia="KaiTi" w:hAnsi="KaiTi"/>
                <w:sz w:val="15"/>
                <w:szCs w:val="16"/>
              </w:rPr>
            </w:pPr>
            <w:r w:rsidRPr="005655C4">
              <w:rPr>
                <w:rFonts w:ascii="KaiTi" w:eastAsia="KaiTi" w:hAnsi="KaiTi" w:hint="eastAsia"/>
                <w:sz w:val="15"/>
                <w:szCs w:val="16"/>
              </w:rPr>
              <w:t>总计</w:t>
            </w:r>
          </w:p>
        </w:tc>
      </w:tr>
      <w:tr w:rsidR="00880C0C" w:rsidRPr="00880C0C" w:rsidTr="005655C4">
        <w:tc>
          <w:tcPr>
            <w:tcW w:w="3543" w:type="dxa"/>
            <w:tcBorders>
              <w:left w:val="nil"/>
              <w:bottom w:val="nil"/>
              <w:right w:val="nil"/>
            </w:tcBorders>
          </w:tcPr>
          <w:p w:rsidR="00880C0C" w:rsidRPr="00880C0C" w:rsidRDefault="00880C0C" w:rsidP="002746F1">
            <w:pPr>
              <w:rPr>
                <w:sz w:val="15"/>
                <w:szCs w:val="16"/>
              </w:rPr>
            </w:pP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left w:val="nil"/>
              <w:bottom w:val="nil"/>
              <w:right w:val="nil"/>
            </w:tcBorders>
          </w:tcPr>
          <w:p w:rsidR="00880C0C" w:rsidRPr="00880C0C" w:rsidRDefault="00880C0C" w:rsidP="002746F1">
            <w:pPr>
              <w:rPr>
                <w:sz w:val="15"/>
                <w:szCs w:val="16"/>
              </w:rPr>
            </w:pPr>
          </w:p>
        </w:tc>
        <w:tc>
          <w:tcPr>
            <w:tcW w:w="1134" w:type="dxa"/>
            <w:tcBorders>
              <w:left w:val="nil"/>
              <w:bottom w:val="nil"/>
              <w:right w:val="nil"/>
            </w:tcBorders>
          </w:tcPr>
          <w:p w:rsidR="00880C0C" w:rsidRPr="00880C0C" w:rsidRDefault="00880C0C" w:rsidP="002746F1">
            <w:pPr>
              <w:rPr>
                <w:sz w:val="15"/>
                <w:szCs w:val="16"/>
              </w:rPr>
            </w:pPr>
          </w:p>
        </w:tc>
        <w:tc>
          <w:tcPr>
            <w:tcW w:w="992" w:type="dxa"/>
            <w:tcBorders>
              <w:left w:val="nil"/>
              <w:bottom w:val="nil"/>
              <w:right w:val="nil"/>
            </w:tcBorders>
          </w:tcPr>
          <w:p w:rsidR="00880C0C" w:rsidRPr="00880C0C" w:rsidRDefault="00880C0C" w:rsidP="002746F1">
            <w:pPr>
              <w:rPr>
                <w:sz w:val="15"/>
                <w:szCs w:val="16"/>
              </w:rPr>
            </w:pPr>
          </w:p>
        </w:tc>
      </w:tr>
      <w:tr w:rsidR="00880C0C" w:rsidRPr="00880C0C" w:rsidTr="005655C4">
        <w:tc>
          <w:tcPr>
            <w:tcW w:w="3543" w:type="dxa"/>
            <w:tcBorders>
              <w:top w:val="nil"/>
              <w:left w:val="nil"/>
              <w:bottom w:val="nil"/>
              <w:right w:val="nil"/>
            </w:tcBorders>
          </w:tcPr>
          <w:p w:rsidR="00880C0C" w:rsidRPr="00880C0C" w:rsidRDefault="00880C0C" w:rsidP="002746F1">
            <w:pPr>
              <w:rPr>
                <w:sz w:val="15"/>
                <w:szCs w:val="16"/>
              </w:rPr>
            </w:pPr>
            <w:r w:rsidRPr="00880C0C">
              <w:rPr>
                <w:rFonts w:hint="eastAsia"/>
                <w:sz w:val="15"/>
                <w:szCs w:val="16"/>
              </w:rPr>
              <w:t>WIPO</w:t>
            </w:r>
            <w:r w:rsidRPr="00880C0C">
              <w:rPr>
                <w:rFonts w:hint="eastAsia"/>
                <w:sz w:val="15"/>
                <w:szCs w:val="16"/>
              </w:rPr>
              <w:t>新加坡办事处（</w:t>
            </w:r>
            <w:r w:rsidRPr="00880C0C">
              <w:rPr>
                <w:rFonts w:hint="eastAsia"/>
                <w:sz w:val="15"/>
                <w:szCs w:val="16"/>
              </w:rPr>
              <w:t>WSO</w:t>
            </w:r>
            <w:r w:rsidRPr="00880C0C">
              <w:rPr>
                <w:rFonts w:hint="eastAsia"/>
                <w:sz w:val="15"/>
                <w:szCs w:val="16"/>
              </w:rPr>
              <w:t>）</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1,785</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478</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2,263</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r w:rsidRPr="00880C0C">
              <w:rPr>
                <w:rFonts w:hint="eastAsia"/>
                <w:sz w:val="15"/>
                <w:szCs w:val="16"/>
              </w:rPr>
              <w:t>WIPO</w:t>
            </w:r>
            <w:r w:rsidRPr="00880C0C">
              <w:rPr>
                <w:rFonts w:hint="eastAsia"/>
                <w:sz w:val="15"/>
                <w:szCs w:val="16"/>
              </w:rPr>
              <w:t>巴西办事处（</w:t>
            </w:r>
            <w:r w:rsidRPr="00880C0C">
              <w:rPr>
                <w:rFonts w:hint="eastAsia"/>
                <w:sz w:val="15"/>
                <w:szCs w:val="16"/>
              </w:rPr>
              <w:t>WBO</w:t>
            </w:r>
            <w:r w:rsidRPr="00880C0C">
              <w:rPr>
                <w:rFonts w:hint="eastAsia"/>
                <w:sz w:val="15"/>
                <w:szCs w:val="16"/>
              </w:rPr>
              <w:t>）</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1,511</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503</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2,014</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r w:rsidRPr="00880C0C">
              <w:rPr>
                <w:rFonts w:hint="eastAsia"/>
                <w:sz w:val="15"/>
                <w:szCs w:val="16"/>
              </w:rPr>
              <w:t>WIPO</w:t>
            </w:r>
            <w:r w:rsidRPr="00880C0C">
              <w:rPr>
                <w:rFonts w:hint="eastAsia"/>
                <w:sz w:val="15"/>
                <w:szCs w:val="16"/>
              </w:rPr>
              <w:t>日本办事处（</w:t>
            </w:r>
            <w:r w:rsidRPr="00880C0C">
              <w:rPr>
                <w:rFonts w:hint="eastAsia"/>
                <w:sz w:val="15"/>
                <w:szCs w:val="16"/>
              </w:rPr>
              <w:t>WJO</w:t>
            </w:r>
            <w:r w:rsidRPr="00880C0C">
              <w:rPr>
                <w:rFonts w:hint="eastAsia"/>
                <w:sz w:val="15"/>
                <w:szCs w:val="16"/>
              </w:rPr>
              <w:t>）</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872</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200</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1,072</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r w:rsidRPr="00880C0C">
              <w:rPr>
                <w:rFonts w:hint="eastAsia"/>
                <w:sz w:val="15"/>
                <w:szCs w:val="16"/>
              </w:rPr>
              <w:t>WIPO</w:t>
            </w:r>
            <w:r w:rsidRPr="00880C0C">
              <w:rPr>
                <w:rFonts w:hint="eastAsia"/>
                <w:sz w:val="15"/>
                <w:szCs w:val="16"/>
              </w:rPr>
              <w:t>中国办事处（</w:t>
            </w:r>
            <w:r w:rsidRPr="00880C0C">
              <w:rPr>
                <w:rFonts w:hint="eastAsia"/>
                <w:sz w:val="15"/>
                <w:szCs w:val="16"/>
              </w:rPr>
              <w:t>WOC</w:t>
            </w:r>
            <w:r w:rsidRPr="00880C0C">
              <w:rPr>
                <w:rFonts w:hint="eastAsia"/>
                <w:sz w:val="15"/>
                <w:szCs w:val="16"/>
              </w:rPr>
              <w:t>）</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1,076</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300</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1,376</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r w:rsidRPr="00880C0C">
              <w:rPr>
                <w:rFonts w:hint="eastAsia"/>
                <w:sz w:val="15"/>
                <w:szCs w:val="16"/>
              </w:rPr>
              <w:t>WIPO</w:t>
            </w:r>
            <w:r w:rsidRPr="00880C0C">
              <w:rPr>
                <w:rFonts w:hint="eastAsia"/>
                <w:sz w:val="15"/>
                <w:szCs w:val="16"/>
              </w:rPr>
              <w:t>俄罗斯办事处（</w:t>
            </w:r>
            <w:r w:rsidRPr="00880C0C">
              <w:rPr>
                <w:rFonts w:hint="eastAsia"/>
                <w:sz w:val="15"/>
                <w:szCs w:val="16"/>
              </w:rPr>
              <w:t>WRO</w:t>
            </w:r>
            <w:r w:rsidRPr="00880C0C">
              <w:rPr>
                <w:rFonts w:hint="eastAsia"/>
                <w:sz w:val="15"/>
                <w:szCs w:val="16"/>
              </w:rPr>
              <w:t>）</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409</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300</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709</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r w:rsidRPr="00880C0C">
              <w:rPr>
                <w:rFonts w:hint="eastAsia"/>
                <w:sz w:val="15"/>
                <w:szCs w:val="16"/>
              </w:rPr>
              <w:t>WIPO</w:t>
            </w:r>
            <w:r w:rsidRPr="00880C0C">
              <w:rPr>
                <w:rFonts w:hint="eastAsia"/>
                <w:sz w:val="15"/>
                <w:szCs w:val="16"/>
              </w:rPr>
              <w:t>纽约联合国协调处</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816</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310</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1,126</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p>
        </w:tc>
        <w:tc>
          <w:tcPr>
            <w:tcW w:w="1134" w:type="dxa"/>
            <w:tcBorders>
              <w:top w:val="nil"/>
              <w:left w:val="nil"/>
              <w:bottom w:val="nil"/>
              <w:right w:val="nil"/>
            </w:tcBorders>
          </w:tcPr>
          <w:p w:rsidR="00880C0C" w:rsidRPr="00880C0C" w:rsidRDefault="00880C0C" w:rsidP="005655C4">
            <w:pPr>
              <w:jc w:val="right"/>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p>
        </w:tc>
      </w:tr>
      <w:tr w:rsidR="00880C0C" w:rsidRPr="00880C0C" w:rsidTr="005655C4">
        <w:tc>
          <w:tcPr>
            <w:tcW w:w="3543" w:type="dxa"/>
            <w:tcBorders>
              <w:top w:val="nil"/>
              <w:left w:val="nil"/>
              <w:right w:val="nil"/>
            </w:tcBorders>
          </w:tcPr>
          <w:p w:rsidR="00880C0C" w:rsidRPr="005655C4" w:rsidRDefault="00880C0C" w:rsidP="00880C0C">
            <w:pPr>
              <w:jc w:val="center"/>
              <w:rPr>
                <w:b/>
                <w:sz w:val="15"/>
                <w:szCs w:val="16"/>
              </w:rPr>
            </w:pPr>
            <w:r w:rsidRPr="005655C4">
              <w:rPr>
                <w:rFonts w:hint="eastAsia"/>
                <w:b/>
                <w:sz w:val="15"/>
                <w:szCs w:val="16"/>
              </w:rPr>
              <w:t>驻外办事处合计</w:t>
            </w:r>
          </w:p>
        </w:tc>
        <w:tc>
          <w:tcPr>
            <w:tcW w:w="284" w:type="dxa"/>
            <w:tcBorders>
              <w:top w:val="nil"/>
              <w:left w:val="nil"/>
              <w:right w:val="nil"/>
            </w:tcBorders>
          </w:tcPr>
          <w:p w:rsidR="00880C0C" w:rsidRPr="00880C0C" w:rsidRDefault="00880C0C" w:rsidP="002746F1">
            <w:pPr>
              <w:rPr>
                <w:sz w:val="15"/>
                <w:szCs w:val="16"/>
              </w:rPr>
            </w:pPr>
          </w:p>
        </w:tc>
        <w:tc>
          <w:tcPr>
            <w:tcW w:w="992" w:type="dxa"/>
            <w:tcBorders>
              <w:top w:val="nil"/>
              <w:left w:val="nil"/>
              <w:right w:val="nil"/>
            </w:tcBorders>
          </w:tcPr>
          <w:p w:rsidR="00880C0C" w:rsidRPr="005655C4" w:rsidRDefault="00880C0C" w:rsidP="005655C4">
            <w:pPr>
              <w:jc w:val="right"/>
              <w:rPr>
                <w:b/>
                <w:sz w:val="15"/>
                <w:szCs w:val="16"/>
              </w:rPr>
            </w:pPr>
            <w:r w:rsidRPr="005655C4">
              <w:rPr>
                <w:rFonts w:hint="eastAsia"/>
                <w:b/>
                <w:sz w:val="15"/>
                <w:szCs w:val="16"/>
              </w:rPr>
              <w:t>6,469</w:t>
            </w:r>
          </w:p>
        </w:tc>
        <w:tc>
          <w:tcPr>
            <w:tcW w:w="1134" w:type="dxa"/>
            <w:tcBorders>
              <w:top w:val="nil"/>
              <w:left w:val="nil"/>
              <w:right w:val="nil"/>
            </w:tcBorders>
          </w:tcPr>
          <w:p w:rsidR="00880C0C" w:rsidRPr="005655C4" w:rsidRDefault="00880C0C" w:rsidP="005655C4">
            <w:pPr>
              <w:jc w:val="right"/>
              <w:rPr>
                <w:b/>
                <w:sz w:val="15"/>
                <w:szCs w:val="16"/>
              </w:rPr>
            </w:pPr>
            <w:r w:rsidRPr="005655C4">
              <w:rPr>
                <w:rFonts w:hint="eastAsia"/>
                <w:b/>
                <w:sz w:val="15"/>
                <w:szCs w:val="16"/>
              </w:rPr>
              <w:t>2,092</w:t>
            </w:r>
          </w:p>
        </w:tc>
        <w:tc>
          <w:tcPr>
            <w:tcW w:w="992" w:type="dxa"/>
            <w:tcBorders>
              <w:top w:val="nil"/>
              <w:left w:val="nil"/>
              <w:right w:val="nil"/>
            </w:tcBorders>
          </w:tcPr>
          <w:p w:rsidR="00880C0C" w:rsidRPr="005655C4" w:rsidRDefault="00880C0C" w:rsidP="005655C4">
            <w:pPr>
              <w:jc w:val="right"/>
              <w:rPr>
                <w:b/>
                <w:sz w:val="15"/>
                <w:szCs w:val="16"/>
              </w:rPr>
            </w:pPr>
            <w:r w:rsidRPr="005655C4">
              <w:rPr>
                <w:rFonts w:hint="eastAsia"/>
                <w:b/>
                <w:sz w:val="15"/>
                <w:szCs w:val="16"/>
              </w:rPr>
              <w:t>8,561</w:t>
            </w:r>
          </w:p>
        </w:tc>
      </w:tr>
    </w:tbl>
    <w:p w:rsidR="00880C0C" w:rsidRDefault="00880C0C" w:rsidP="002746F1">
      <w:pPr>
        <w:rPr>
          <w:sz w:val="21"/>
          <w:szCs w:val="22"/>
        </w:rPr>
      </w:pP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lastRenderedPageBreak/>
        <w:t>问</w:t>
      </w:r>
      <w:r w:rsidR="00C826CB" w:rsidRPr="0044088F">
        <w:rPr>
          <w:b/>
          <w:sz w:val="21"/>
        </w:rPr>
        <w:t>6</w:t>
      </w:r>
      <w:r w:rsidRPr="0044088F">
        <w:rPr>
          <w:b/>
          <w:sz w:val="21"/>
        </w:rPr>
        <w:t>：</w:t>
      </w:r>
      <w:r w:rsidR="003E475A" w:rsidRPr="00730D93">
        <w:rPr>
          <w:rFonts w:eastAsiaTheme="minorEastAsia" w:hint="eastAsia"/>
          <w:b/>
          <w:sz w:val="21"/>
        </w:rPr>
        <w:t>在计划</w:t>
      </w:r>
      <w:r w:rsidR="003E475A" w:rsidRPr="00730D93">
        <w:rPr>
          <w:rFonts w:eastAsiaTheme="minorEastAsia" w:hint="eastAsia"/>
          <w:b/>
          <w:sz w:val="21"/>
        </w:rPr>
        <w:t>19</w:t>
      </w:r>
      <w:r w:rsidR="005A1670" w:rsidRPr="00730D93">
        <w:rPr>
          <w:rFonts w:eastAsiaTheme="minorEastAsia" w:hint="eastAsia"/>
          <w:b/>
          <w:sz w:val="21"/>
        </w:rPr>
        <w:t>（</w:t>
      </w:r>
      <w:r w:rsidR="00C0359E" w:rsidRPr="00730D93">
        <w:rPr>
          <w:rFonts w:eastAsiaTheme="minorEastAsia" w:hint="eastAsia"/>
          <w:b/>
          <w:sz w:val="21"/>
        </w:rPr>
        <w:t>传播</w:t>
      </w:r>
      <w:r w:rsidR="005A1670" w:rsidRPr="00730D93">
        <w:rPr>
          <w:rFonts w:eastAsiaTheme="minorEastAsia" w:hint="eastAsia"/>
          <w:b/>
          <w:sz w:val="21"/>
        </w:rPr>
        <w:t>）</w:t>
      </w:r>
      <w:r w:rsidR="003E475A" w:rsidRPr="00730D93">
        <w:rPr>
          <w:rFonts w:eastAsiaTheme="minorEastAsia" w:hint="eastAsia"/>
          <w:b/>
          <w:sz w:val="21"/>
        </w:rPr>
        <w:t>的成果框架中，基线提到</w:t>
      </w:r>
      <w:r w:rsidR="003E475A" w:rsidRPr="00730D93">
        <w:rPr>
          <w:rFonts w:eastAsiaTheme="minorEastAsia" w:hint="eastAsia"/>
          <w:b/>
          <w:sz w:val="21"/>
        </w:rPr>
        <w:t>86%</w:t>
      </w:r>
      <w:r w:rsidR="003E475A" w:rsidRPr="00730D93">
        <w:rPr>
          <w:rFonts w:eastAsiaTheme="minorEastAsia" w:hint="eastAsia"/>
          <w:b/>
          <w:sz w:val="21"/>
        </w:rPr>
        <w:t>的马德里和海牙客户满意或非常满意，该基线的含义不清晰。能否对此予以澄清？</w:t>
      </w:r>
    </w:p>
    <w:p w:rsidR="005A1670" w:rsidRPr="00730D93" w:rsidRDefault="0044088F" w:rsidP="005A1670">
      <w:pPr>
        <w:spacing w:afterLines="50" w:after="120" w:line="340" w:lineRule="atLeast"/>
        <w:jc w:val="both"/>
        <w:rPr>
          <w:rFonts w:eastAsiaTheme="minorEastAsia"/>
          <w:b/>
          <w:sz w:val="21"/>
        </w:rPr>
      </w:pPr>
      <w:r>
        <w:rPr>
          <w:sz w:val="21"/>
          <w:szCs w:val="22"/>
        </w:rPr>
        <w:t>答</w:t>
      </w:r>
      <w:r w:rsidR="009E4BAD" w:rsidRPr="0044088F">
        <w:rPr>
          <w:sz w:val="21"/>
          <w:szCs w:val="22"/>
        </w:rPr>
        <w:t>6</w:t>
      </w:r>
      <w:r w:rsidRPr="0044088F">
        <w:rPr>
          <w:sz w:val="21"/>
          <w:szCs w:val="22"/>
        </w:rPr>
        <w:t>：</w:t>
      </w:r>
      <w:r w:rsidR="000C0B5A" w:rsidRPr="00730D93">
        <w:rPr>
          <w:rFonts w:eastAsiaTheme="minorEastAsia" w:hint="eastAsia"/>
          <w:sz w:val="21"/>
        </w:rPr>
        <w:t>基线提到</w:t>
      </w:r>
      <w:r w:rsidR="000C0B5A" w:rsidRPr="00730D93">
        <w:rPr>
          <w:rFonts w:eastAsiaTheme="minorEastAsia" w:hint="eastAsia"/>
          <w:sz w:val="21"/>
        </w:rPr>
        <w:t>86%</w:t>
      </w:r>
      <w:r w:rsidR="000C0B5A" w:rsidRPr="00730D93">
        <w:rPr>
          <w:rFonts w:eastAsiaTheme="minorEastAsia" w:hint="eastAsia"/>
          <w:sz w:val="21"/>
        </w:rPr>
        <w:t>的马德里和海牙客户对客户服务导向的总体水平感到满意或非常满意，这依据的是计划</w:t>
      </w:r>
      <w:r w:rsidR="000C0B5A" w:rsidRPr="00730D93">
        <w:rPr>
          <w:rFonts w:eastAsiaTheme="minorEastAsia" w:hint="eastAsia"/>
          <w:sz w:val="21"/>
        </w:rPr>
        <w:t>19</w:t>
      </w:r>
      <w:r w:rsidR="000C0B5A" w:rsidRPr="00730D93">
        <w:rPr>
          <w:rFonts w:eastAsiaTheme="minorEastAsia" w:hint="eastAsia"/>
          <w:sz w:val="21"/>
        </w:rPr>
        <w:t>在</w:t>
      </w:r>
      <w:r w:rsidR="000C0B5A" w:rsidRPr="00730D93">
        <w:rPr>
          <w:rFonts w:eastAsiaTheme="minorEastAsia" w:hint="eastAsia"/>
          <w:sz w:val="21"/>
        </w:rPr>
        <w:t>2013</w:t>
      </w:r>
      <w:r w:rsidR="000C0B5A" w:rsidRPr="00730D93">
        <w:rPr>
          <w:rFonts w:eastAsiaTheme="minorEastAsia" w:hint="eastAsia"/>
          <w:sz w:val="21"/>
        </w:rPr>
        <w:t>年所开展的调查。改进客户服务导向是计划</w:t>
      </w:r>
      <w:r w:rsidR="000C0B5A" w:rsidRPr="00730D93">
        <w:rPr>
          <w:rFonts w:eastAsiaTheme="minorEastAsia" w:hint="eastAsia"/>
          <w:sz w:val="21"/>
        </w:rPr>
        <w:t>19</w:t>
      </w:r>
      <w:r w:rsidR="000C0B5A" w:rsidRPr="00730D93">
        <w:rPr>
          <w:rFonts w:eastAsiaTheme="minorEastAsia" w:hint="eastAsia"/>
          <w:sz w:val="21"/>
        </w:rPr>
        <w:t>作出贡献的预期成果之一；在</w:t>
      </w:r>
      <w:r w:rsidR="000C0B5A" w:rsidRPr="00730D93">
        <w:rPr>
          <w:rFonts w:eastAsiaTheme="minorEastAsia" w:hint="eastAsia"/>
          <w:sz w:val="21"/>
        </w:rPr>
        <w:t>2015</w:t>
      </w:r>
      <w:r w:rsidR="000C0B5A" w:rsidRPr="00730D93">
        <w:rPr>
          <w:rFonts w:eastAsiaTheme="minorEastAsia" w:hint="eastAsia"/>
          <w:sz w:val="21"/>
        </w:rPr>
        <w:t>年正在开展一项针对</w:t>
      </w:r>
      <w:r w:rsidR="000C0B5A" w:rsidRPr="00730D93">
        <w:rPr>
          <w:rFonts w:eastAsiaTheme="minorEastAsia" w:hint="eastAsia"/>
          <w:sz w:val="21"/>
        </w:rPr>
        <w:t>PCT</w:t>
      </w:r>
      <w:r w:rsidR="000C0B5A" w:rsidRPr="00730D93">
        <w:rPr>
          <w:rFonts w:eastAsiaTheme="minorEastAsia" w:hint="eastAsia"/>
          <w:sz w:val="21"/>
        </w:rPr>
        <w:t>用户的调查，其结果将在确定未来基线值时被考虑在内。</w:t>
      </w:r>
    </w:p>
    <w:p w:rsidR="005A1670" w:rsidRDefault="00C0359E" w:rsidP="00880C0C">
      <w:pPr>
        <w:keepNext/>
        <w:spacing w:beforeLines="100" w:before="240" w:afterLines="50" w:after="120" w:line="340" w:lineRule="atLeast"/>
        <w:rPr>
          <w:b/>
          <w:sz w:val="24"/>
          <w:szCs w:val="24"/>
        </w:rPr>
      </w:pPr>
      <w:r w:rsidRPr="0044088F">
        <w:rPr>
          <w:rFonts w:hint="eastAsia"/>
          <w:b/>
          <w:sz w:val="24"/>
          <w:szCs w:val="24"/>
        </w:rPr>
        <w:t>跨领域问题</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FB354D" w:rsidRPr="0044088F">
        <w:rPr>
          <w:b/>
          <w:sz w:val="21"/>
        </w:rPr>
        <w:t>1</w:t>
      </w:r>
      <w:r w:rsidR="005655C4">
        <w:rPr>
          <w:rFonts w:hint="eastAsia"/>
          <w:b/>
          <w:sz w:val="21"/>
        </w:rPr>
        <w:t>：</w:t>
      </w:r>
      <w:r w:rsidR="00BB1B91" w:rsidRPr="00730D93">
        <w:rPr>
          <w:rFonts w:eastAsiaTheme="minorEastAsia" w:hint="eastAsia"/>
          <w:b/>
          <w:sz w:val="21"/>
        </w:rPr>
        <w:t>仍存在若干“待定”</w:t>
      </w:r>
      <w:r w:rsidR="00A062CC" w:rsidRPr="00730D93">
        <w:rPr>
          <w:rFonts w:eastAsiaTheme="minorEastAsia" w:hint="eastAsia"/>
          <w:b/>
          <w:sz w:val="21"/>
        </w:rPr>
        <w:t>的基线和目标，虽然其占比低于</w:t>
      </w:r>
      <w:r w:rsidR="00A062CC" w:rsidRPr="00730D93">
        <w:rPr>
          <w:rFonts w:eastAsiaTheme="minorEastAsia" w:hint="eastAsia"/>
          <w:b/>
          <w:sz w:val="21"/>
        </w:rPr>
        <w:t>2014/15</w:t>
      </w:r>
      <w:r w:rsidR="00A062CC" w:rsidRPr="00730D93">
        <w:rPr>
          <w:rFonts w:eastAsiaTheme="minorEastAsia" w:hint="eastAsia"/>
          <w:b/>
          <w:sz w:val="21"/>
        </w:rPr>
        <w:t>两年期计划和预算的水平。考虑到使用“待定”不利于完善的报告制度的</w:t>
      </w:r>
      <w:r w:rsidR="00EE44A0" w:rsidRPr="00730D93">
        <w:rPr>
          <w:rFonts w:eastAsiaTheme="minorEastAsia" w:hint="eastAsia"/>
          <w:b/>
          <w:sz w:val="21"/>
        </w:rPr>
        <w:t>建立，为什么仍有若干未确定的基线和目标？</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1</w:t>
      </w:r>
      <w:r w:rsidRPr="0044088F">
        <w:rPr>
          <w:sz w:val="21"/>
        </w:rPr>
        <w:t>：</w:t>
      </w:r>
      <w:r w:rsidR="00967087" w:rsidRPr="00730D93">
        <w:rPr>
          <w:rFonts w:eastAsiaTheme="minorEastAsia" w:hint="eastAsia"/>
          <w:sz w:val="21"/>
        </w:rPr>
        <w:t>作为持续改进</w:t>
      </w:r>
      <w:r w:rsidR="00967087" w:rsidRPr="00730D93">
        <w:rPr>
          <w:rFonts w:eastAsiaTheme="minorEastAsia" w:hint="eastAsia"/>
          <w:sz w:val="21"/>
        </w:rPr>
        <w:t>WIPO</w:t>
      </w:r>
      <w:r w:rsidR="00967087" w:rsidRPr="00730D93">
        <w:rPr>
          <w:rFonts w:eastAsiaTheme="minorEastAsia" w:hint="eastAsia"/>
          <w:sz w:val="21"/>
        </w:rPr>
        <w:t>落实注重成果的管理程序的一部分，秘书处</w:t>
      </w:r>
      <w:r w:rsidR="002F0623" w:rsidRPr="00730D93">
        <w:rPr>
          <w:rFonts w:eastAsiaTheme="minorEastAsia" w:hint="eastAsia"/>
          <w:sz w:val="21"/>
        </w:rPr>
        <w:t>下大力气对</w:t>
      </w:r>
      <w:r w:rsidR="002F0623" w:rsidRPr="00730D93">
        <w:rPr>
          <w:rFonts w:eastAsiaTheme="minorEastAsia" w:hint="eastAsia"/>
          <w:sz w:val="21"/>
        </w:rPr>
        <w:t>2016/17</w:t>
      </w:r>
      <w:r w:rsidR="002F0623" w:rsidRPr="00730D93">
        <w:rPr>
          <w:rFonts w:eastAsiaTheme="minorEastAsia" w:hint="eastAsia"/>
          <w:sz w:val="21"/>
        </w:rPr>
        <w:t>两年期所有计划的衡量框架进行完善。因此，与</w:t>
      </w:r>
      <w:r w:rsidR="002F0623" w:rsidRPr="00730D93">
        <w:rPr>
          <w:rFonts w:eastAsiaTheme="minorEastAsia" w:hint="eastAsia"/>
          <w:sz w:val="21"/>
        </w:rPr>
        <w:t>2014/15</w:t>
      </w:r>
      <w:r w:rsidR="002F0623" w:rsidRPr="00730D93">
        <w:rPr>
          <w:rFonts w:eastAsiaTheme="minorEastAsia" w:hint="eastAsia"/>
          <w:sz w:val="21"/>
        </w:rPr>
        <w:t>两年期计划和预算相比，</w:t>
      </w:r>
      <w:r w:rsidR="002F0623" w:rsidRPr="00730D93">
        <w:rPr>
          <w:rFonts w:eastAsiaTheme="minorEastAsia" w:hint="eastAsia"/>
          <w:sz w:val="21"/>
        </w:rPr>
        <w:t>2016/17</w:t>
      </w:r>
      <w:r w:rsidR="002F0623" w:rsidRPr="00730D93">
        <w:rPr>
          <w:rFonts w:eastAsiaTheme="minorEastAsia" w:hint="eastAsia"/>
          <w:sz w:val="21"/>
        </w:rPr>
        <w:t>两年期计划和预算中的“待定”基线数量减少了</w:t>
      </w:r>
      <w:r w:rsidR="002F0623" w:rsidRPr="00730D93">
        <w:rPr>
          <w:rFonts w:eastAsiaTheme="minorEastAsia" w:hint="eastAsia"/>
          <w:sz w:val="21"/>
        </w:rPr>
        <w:t>82.5%</w:t>
      </w:r>
      <w:r w:rsidR="002F0623" w:rsidRPr="00730D93">
        <w:rPr>
          <w:rFonts w:eastAsiaTheme="minorEastAsia" w:hint="eastAsia"/>
          <w:sz w:val="21"/>
        </w:rPr>
        <w:t>。</w:t>
      </w:r>
      <w:r w:rsidR="002F0623" w:rsidRPr="00730D93">
        <w:rPr>
          <w:rFonts w:eastAsiaTheme="minorEastAsia" w:hint="eastAsia"/>
          <w:sz w:val="21"/>
        </w:rPr>
        <w:t>2016/17</w:t>
      </w:r>
      <w:r w:rsidR="002F0623" w:rsidRPr="00730D93">
        <w:rPr>
          <w:rFonts w:eastAsiaTheme="minorEastAsia" w:hint="eastAsia"/>
          <w:sz w:val="21"/>
        </w:rPr>
        <w:t>两年期计划和预算只有</w:t>
      </w:r>
      <w:r w:rsidR="002F0623" w:rsidRPr="00730D93">
        <w:rPr>
          <w:rFonts w:eastAsiaTheme="minorEastAsia" w:hint="eastAsia"/>
          <w:sz w:val="21"/>
        </w:rPr>
        <w:t>7</w:t>
      </w:r>
      <w:r w:rsidR="002F0623" w:rsidRPr="00730D93">
        <w:rPr>
          <w:rFonts w:eastAsiaTheme="minorEastAsia" w:hint="eastAsia"/>
          <w:sz w:val="21"/>
        </w:rPr>
        <w:t>个“待定”基线，而</w:t>
      </w:r>
      <w:r w:rsidR="002F0623" w:rsidRPr="00730D93">
        <w:rPr>
          <w:rFonts w:eastAsiaTheme="minorEastAsia" w:hint="eastAsia"/>
          <w:sz w:val="21"/>
        </w:rPr>
        <w:t>2014/15</w:t>
      </w:r>
      <w:r w:rsidR="002F0623" w:rsidRPr="00730D93">
        <w:rPr>
          <w:rFonts w:eastAsiaTheme="minorEastAsia" w:hint="eastAsia"/>
          <w:sz w:val="21"/>
        </w:rPr>
        <w:t>两年期计划和预算有</w:t>
      </w:r>
      <w:r w:rsidR="002F0623" w:rsidRPr="00730D93">
        <w:rPr>
          <w:rFonts w:eastAsiaTheme="minorEastAsia" w:hint="eastAsia"/>
          <w:sz w:val="21"/>
        </w:rPr>
        <w:t>40</w:t>
      </w:r>
      <w:r w:rsidR="002F0623" w:rsidRPr="00730D93">
        <w:rPr>
          <w:rFonts w:eastAsiaTheme="minorEastAsia" w:hint="eastAsia"/>
          <w:sz w:val="21"/>
        </w:rPr>
        <w:t>个。关于目标可以观察到相同的发展趋势，</w:t>
      </w:r>
      <w:r w:rsidR="002F0623" w:rsidRPr="00730D93">
        <w:rPr>
          <w:rFonts w:eastAsiaTheme="minorEastAsia" w:hint="eastAsia"/>
          <w:sz w:val="21"/>
        </w:rPr>
        <w:t>2016/17</w:t>
      </w:r>
      <w:r w:rsidR="002F0623" w:rsidRPr="00730D93">
        <w:rPr>
          <w:rFonts w:eastAsiaTheme="minorEastAsia" w:hint="eastAsia"/>
          <w:sz w:val="21"/>
        </w:rPr>
        <w:t>两年期计划和预算只有</w:t>
      </w:r>
      <w:r w:rsidR="002F0623" w:rsidRPr="00730D93">
        <w:rPr>
          <w:rFonts w:eastAsiaTheme="minorEastAsia" w:hint="eastAsia"/>
          <w:sz w:val="21"/>
        </w:rPr>
        <w:t>6</w:t>
      </w:r>
      <w:r w:rsidR="002F0623" w:rsidRPr="00730D93">
        <w:rPr>
          <w:rFonts w:eastAsiaTheme="minorEastAsia" w:hint="eastAsia"/>
          <w:sz w:val="21"/>
        </w:rPr>
        <w:t>个“待定”目标，减少了</w:t>
      </w:r>
      <w:r w:rsidR="002F0623" w:rsidRPr="00730D93">
        <w:rPr>
          <w:rFonts w:eastAsiaTheme="minorEastAsia" w:hint="eastAsia"/>
          <w:sz w:val="21"/>
        </w:rPr>
        <w:t>62.5%</w:t>
      </w:r>
      <w:r w:rsidR="002F0623"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FB354D" w:rsidRPr="0044088F">
        <w:rPr>
          <w:b/>
          <w:sz w:val="21"/>
        </w:rPr>
        <w:t>2</w:t>
      </w:r>
      <w:r w:rsidR="005655C4">
        <w:rPr>
          <w:rFonts w:hint="eastAsia"/>
          <w:b/>
          <w:sz w:val="21"/>
        </w:rPr>
        <w:t>：</w:t>
      </w:r>
      <w:r w:rsidR="00410268" w:rsidRPr="00730D93">
        <w:rPr>
          <w:rFonts w:eastAsiaTheme="minorEastAsia" w:hint="eastAsia"/>
          <w:b/>
          <w:sz w:val="21"/>
        </w:rPr>
        <w:t>为什么计划</w:t>
      </w:r>
      <w:r w:rsidR="00410268" w:rsidRPr="00730D93">
        <w:rPr>
          <w:rFonts w:eastAsiaTheme="minorEastAsia" w:hint="eastAsia"/>
          <w:b/>
          <w:sz w:val="21"/>
        </w:rPr>
        <w:t>6</w:t>
      </w:r>
      <w:r w:rsidR="00410268" w:rsidRPr="00730D93">
        <w:rPr>
          <w:rFonts w:eastAsiaTheme="minorEastAsia" w:hint="eastAsia"/>
          <w:b/>
          <w:sz w:val="21"/>
        </w:rPr>
        <w:t>中预期成果二</w:t>
      </w:r>
      <w:r w:rsidR="00410268" w:rsidRPr="00730D93">
        <w:rPr>
          <w:rFonts w:eastAsiaTheme="minorEastAsia" w:hint="eastAsia"/>
          <w:b/>
          <w:sz w:val="21"/>
        </w:rPr>
        <w:t>.7</w:t>
      </w:r>
      <w:r w:rsidR="00410268" w:rsidRPr="00730D93">
        <w:rPr>
          <w:rFonts w:eastAsiaTheme="minorEastAsia" w:hint="eastAsia"/>
          <w:b/>
          <w:sz w:val="21"/>
        </w:rPr>
        <w:t>下的绩效指标“质量”的基线和目标都为“待定”？</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2</w:t>
      </w:r>
      <w:r w:rsidRPr="0044088F">
        <w:rPr>
          <w:sz w:val="21"/>
        </w:rPr>
        <w:t>：</w:t>
      </w:r>
      <w:r w:rsidR="004E7A79" w:rsidRPr="00730D93">
        <w:rPr>
          <w:rFonts w:eastAsiaTheme="minorEastAsia" w:hint="eastAsia"/>
          <w:sz w:val="21"/>
        </w:rPr>
        <w:t>预期成果二</w:t>
      </w:r>
      <w:r w:rsidR="004E7A79" w:rsidRPr="00730D93">
        <w:rPr>
          <w:rFonts w:eastAsiaTheme="minorEastAsia"/>
          <w:sz w:val="21"/>
        </w:rPr>
        <w:t>.7</w:t>
      </w:r>
      <w:r w:rsidR="004E7A79" w:rsidRPr="00730D93">
        <w:rPr>
          <w:rFonts w:eastAsiaTheme="minorEastAsia" w:hint="eastAsia"/>
          <w:sz w:val="21"/>
        </w:rPr>
        <w:t>下的绩效指标</w:t>
      </w:r>
      <w:r w:rsidR="004E7A79" w:rsidRPr="00730D93">
        <w:rPr>
          <w:rFonts w:eastAsiaTheme="minorEastAsia" w:hint="cs"/>
          <w:sz w:val="21"/>
        </w:rPr>
        <w:t>“</w:t>
      </w:r>
      <w:r w:rsidR="004E7A79" w:rsidRPr="00730D93">
        <w:rPr>
          <w:rFonts w:eastAsiaTheme="minorEastAsia" w:hint="eastAsia"/>
          <w:sz w:val="21"/>
        </w:rPr>
        <w:t>质量</w:t>
      </w:r>
      <w:r w:rsidR="004E7A79" w:rsidRPr="00730D93">
        <w:rPr>
          <w:rFonts w:eastAsiaTheme="minorEastAsia" w:hint="cs"/>
          <w:sz w:val="21"/>
        </w:rPr>
        <w:t>”</w:t>
      </w:r>
      <w:r w:rsidR="004E7A79" w:rsidRPr="00730D93">
        <w:rPr>
          <w:rFonts w:eastAsiaTheme="minorEastAsia" w:hint="eastAsia"/>
          <w:sz w:val="21"/>
        </w:rPr>
        <w:t>是一个综合指标。计划将在</w:t>
      </w:r>
      <w:r w:rsidR="004E7A79" w:rsidRPr="00730D93">
        <w:rPr>
          <w:rFonts w:eastAsiaTheme="minorEastAsia" w:hint="eastAsia"/>
          <w:sz w:val="21"/>
        </w:rPr>
        <w:t>2015</w:t>
      </w:r>
      <w:r w:rsidR="004E7A79" w:rsidRPr="00730D93">
        <w:rPr>
          <w:rFonts w:eastAsiaTheme="minorEastAsia" w:hint="eastAsia"/>
          <w:sz w:val="21"/>
        </w:rPr>
        <w:t>年余下的时间中对用于确定这些综合数据的基本要素</w:t>
      </w:r>
      <w:r w:rsidR="004E7A79" w:rsidRPr="005A1670">
        <w:rPr>
          <w:rFonts w:hint="eastAsia"/>
          <w:bCs/>
          <w:sz w:val="21"/>
          <w:szCs w:val="22"/>
        </w:rPr>
        <w:t>进行</w:t>
      </w:r>
      <w:r w:rsidR="004E7A79" w:rsidRPr="00730D93">
        <w:rPr>
          <w:rFonts w:eastAsiaTheme="minorEastAsia" w:hint="eastAsia"/>
          <w:sz w:val="21"/>
        </w:rPr>
        <w:t>改进。然后会在对基线进行更新时确定基线和目标。</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4A4EB1" w:rsidRPr="0044088F">
        <w:rPr>
          <w:b/>
          <w:sz w:val="21"/>
        </w:rPr>
        <w:t>3</w:t>
      </w:r>
      <w:r w:rsidRPr="0044088F">
        <w:rPr>
          <w:b/>
          <w:sz w:val="21"/>
        </w:rPr>
        <w:t>：</w:t>
      </w:r>
      <w:r w:rsidR="004E7A79" w:rsidRPr="00730D93">
        <w:rPr>
          <w:rFonts w:eastAsiaTheme="minorEastAsia" w:hint="eastAsia"/>
          <w:b/>
          <w:sz w:val="21"/>
        </w:rPr>
        <w:t>房舍建筑</w:t>
      </w:r>
      <w:r w:rsidR="00BB1B91" w:rsidRPr="00730D93">
        <w:rPr>
          <w:rFonts w:eastAsiaTheme="minorEastAsia" w:hint="eastAsia"/>
          <w:b/>
          <w:sz w:val="21"/>
        </w:rPr>
        <w:t>与</w:t>
      </w:r>
      <w:r w:rsidR="004E7A79" w:rsidRPr="00730D93">
        <w:rPr>
          <w:rFonts w:eastAsiaTheme="minorEastAsia" w:hint="eastAsia"/>
          <w:b/>
          <w:sz w:val="21"/>
        </w:rPr>
        <w:t>维修下的总预算支出为</w:t>
      </w:r>
      <w:r w:rsidR="004E7A79" w:rsidRPr="00730D93">
        <w:rPr>
          <w:rFonts w:eastAsiaTheme="minorEastAsia" w:hint="eastAsia"/>
          <w:b/>
          <w:sz w:val="21"/>
        </w:rPr>
        <w:t>3430</w:t>
      </w:r>
      <w:r w:rsidR="004E7A79" w:rsidRPr="00730D93">
        <w:rPr>
          <w:rFonts w:eastAsiaTheme="minorEastAsia" w:hint="eastAsia"/>
          <w:b/>
          <w:sz w:val="21"/>
        </w:rPr>
        <w:t>万瑞郎。</w:t>
      </w:r>
      <w:r w:rsidR="00FE2084" w:rsidRPr="00730D93">
        <w:rPr>
          <w:rFonts w:eastAsiaTheme="minorEastAsia" w:hint="eastAsia"/>
          <w:b/>
          <w:sz w:val="21"/>
        </w:rPr>
        <w:t>该</w:t>
      </w:r>
      <w:r w:rsidR="004E7A79" w:rsidRPr="00730D93">
        <w:rPr>
          <w:rFonts w:eastAsiaTheme="minorEastAsia" w:hint="eastAsia"/>
          <w:b/>
          <w:sz w:val="21"/>
        </w:rPr>
        <w:t>项支出</w:t>
      </w:r>
      <w:r w:rsidR="00FE2084" w:rsidRPr="00730D93">
        <w:rPr>
          <w:rFonts w:eastAsiaTheme="minorEastAsia" w:hint="eastAsia"/>
          <w:b/>
          <w:sz w:val="21"/>
        </w:rPr>
        <w:t>用途</w:t>
      </w:r>
      <w:r w:rsidR="004E7A79" w:rsidRPr="00730D93">
        <w:rPr>
          <w:rFonts w:eastAsiaTheme="minorEastAsia" w:hint="eastAsia"/>
          <w:b/>
          <w:sz w:val="21"/>
        </w:rPr>
        <w:t>包含哪些类型的支出？</w:t>
      </w:r>
      <w:r w:rsidR="00BB1B91" w:rsidRPr="00730D93">
        <w:rPr>
          <w:rFonts w:eastAsiaTheme="minorEastAsia" w:hint="eastAsia"/>
          <w:b/>
          <w:sz w:val="21"/>
        </w:rPr>
        <w:t>能否提供按计划开列的支出明细？其中是否包括驻外办事处的房舍建筑与</w:t>
      </w:r>
      <w:r w:rsidR="004E7A79" w:rsidRPr="00730D93">
        <w:rPr>
          <w:rFonts w:eastAsiaTheme="minorEastAsia" w:hint="eastAsia"/>
          <w:b/>
          <w:sz w:val="21"/>
        </w:rPr>
        <w:t>维修？</w:t>
      </w:r>
    </w:p>
    <w:p w:rsidR="005A1670" w:rsidRPr="00730D93" w:rsidRDefault="0044088F" w:rsidP="005A1670">
      <w:pPr>
        <w:spacing w:afterLines="50" w:after="120" w:line="340" w:lineRule="atLeast"/>
        <w:jc w:val="both"/>
        <w:rPr>
          <w:rFonts w:eastAsiaTheme="minorEastAsia"/>
          <w:sz w:val="21"/>
        </w:rPr>
      </w:pPr>
      <w:r>
        <w:rPr>
          <w:sz w:val="21"/>
        </w:rPr>
        <w:t>答</w:t>
      </w:r>
      <w:r w:rsidR="00FD64B8" w:rsidRPr="0044088F">
        <w:rPr>
          <w:sz w:val="21"/>
        </w:rPr>
        <w:t>3</w:t>
      </w:r>
      <w:r w:rsidRPr="0044088F">
        <w:rPr>
          <w:sz w:val="21"/>
        </w:rPr>
        <w:t>：</w:t>
      </w:r>
      <w:r w:rsidR="00BB1B91" w:rsidRPr="0044088F">
        <w:rPr>
          <w:rFonts w:hint="eastAsia"/>
          <w:sz w:val="21"/>
        </w:rPr>
        <w:t>房舍建筑与</w:t>
      </w:r>
      <w:r w:rsidR="004E7A79" w:rsidRPr="0044088F">
        <w:rPr>
          <w:rFonts w:hint="eastAsia"/>
          <w:sz w:val="21"/>
        </w:rPr>
        <w:t>维修</w:t>
      </w:r>
      <w:r w:rsidR="00040959" w:rsidRPr="00730D93">
        <w:rPr>
          <w:rFonts w:eastAsiaTheme="minorEastAsia" w:hint="eastAsia"/>
          <w:sz w:val="21"/>
        </w:rPr>
        <w:t>类别包括购置、租用、装修和维修办公用房以及租用和维修设备和家具的支出。</w:t>
      </w:r>
      <w:r w:rsidR="00FE2084" w:rsidRPr="00730D93">
        <w:rPr>
          <w:rFonts w:eastAsiaTheme="minorEastAsia" w:hint="eastAsia"/>
          <w:sz w:val="21"/>
        </w:rPr>
        <w:t>该项</w:t>
      </w:r>
      <w:r w:rsidR="00040959" w:rsidRPr="00730D93">
        <w:rPr>
          <w:rFonts w:eastAsiaTheme="minorEastAsia" w:hint="eastAsia"/>
          <w:sz w:val="21"/>
        </w:rPr>
        <w:t>支出</w:t>
      </w:r>
      <w:r w:rsidR="00FE2084" w:rsidRPr="00730D93">
        <w:rPr>
          <w:rFonts w:eastAsiaTheme="minorEastAsia" w:hint="eastAsia"/>
          <w:sz w:val="21"/>
        </w:rPr>
        <w:t>用途</w:t>
      </w:r>
      <w:r w:rsidR="00040959" w:rsidRPr="00730D93">
        <w:rPr>
          <w:rFonts w:eastAsiaTheme="minorEastAsia" w:hint="eastAsia"/>
          <w:sz w:val="21"/>
        </w:rPr>
        <w:t>的完整定义请见附录</w:t>
      </w:r>
      <w:r w:rsidR="00040959" w:rsidRPr="00730D93">
        <w:rPr>
          <w:rFonts w:eastAsiaTheme="minorEastAsia" w:hint="eastAsia"/>
          <w:sz w:val="21"/>
        </w:rPr>
        <w:t>B</w:t>
      </w:r>
      <w:r w:rsidR="00040959" w:rsidRPr="00730D93">
        <w:rPr>
          <w:rFonts w:eastAsiaTheme="minorEastAsia" w:hint="eastAsia"/>
          <w:sz w:val="21"/>
        </w:rPr>
        <w:t>“费用类别定义”。</w:t>
      </w:r>
    </w:p>
    <w:p w:rsidR="005A1670" w:rsidRPr="00730D93" w:rsidRDefault="00BB1B91" w:rsidP="005A1670">
      <w:pPr>
        <w:spacing w:afterLines="50" w:after="120" w:line="340" w:lineRule="atLeast"/>
        <w:jc w:val="both"/>
        <w:rPr>
          <w:rFonts w:eastAsiaTheme="minorEastAsia"/>
          <w:sz w:val="21"/>
        </w:rPr>
      </w:pPr>
      <w:r w:rsidRPr="00730D93">
        <w:rPr>
          <w:rFonts w:eastAsiaTheme="minorEastAsia" w:hint="eastAsia"/>
          <w:sz w:val="21"/>
        </w:rPr>
        <w:t>房舍建筑与维修</w:t>
      </w:r>
      <w:r w:rsidR="00216994" w:rsidRPr="00730D93">
        <w:rPr>
          <w:rFonts w:eastAsiaTheme="minorEastAsia" w:hint="eastAsia"/>
          <w:sz w:val="21"/>
        </w:rPr>
        <w:t>下编制的总资源为</w:t>
      </w:r>
      <w:r w:rsidR="00216994" w:rsidRPr="00730D93">
        <w:rPr>
          <w:rFonts w:eastAsiaTheme="minorEastAsia" w:hint="eastAsia"/>
          <w:sz w:val="21"/>
        </w:rPr>
        <w:t>3430</w:t>
      </w:r>
      <w:r w:rsidR="00216994" w:rsidRPr="00730D93">
        <w:rPr>
          <w:rFonts w:eastAsiaTheme="minorEastAsia" w:hint="eastAsia"/>
          <w:sz w:val="21"/>
        </w:rPr>
        <w:t>万瑞郎，主要在计划</w:t>
      </w:r>
      <w:r w:rsidR="00216994" w:rsidRPr="00730D93">
        <w:rPr>
          <w:rFonts w:eastAsiaTheme="minorEastAsia" w:hint="eastAsia"/>
          <w:sz w:val="21"/>
        </w:rPr>
        <w:t>24</w:t>
      </w:r>
      <w:r w:rsidR="005A1670" w:rsidRPr="00730D93">
        <w:rPr>
          <w:rFonts w:eastAsiaTheme="minorEastAsia" w:hint="eastAsia"/>
          <w:sz w:val="21"/>
        </w:rPr>
        <w:t>（</w:t>
      </w:r>
      <w:r w:rsidR="002943AD" w:rsidRPr="00730D93">
        <w:rPr>
          <w:rFonts w:eastAsiaTheme="minorEastAsia" w:hint="eastAsia"/>
          <w:sz w:val="21"/>
        </w:rPr>
        <w:t>2020</w:t>
      </w:r>
      <w:r w:rsidR="002943AD" w:rsidRPr="00730D93">
        <w:rPr>
          <w:rFonts w:eastAsiaTheme="minorEastAsia" w:hint="eastAsia"/>
          <w:sz w:val="21"/>
        </w:rPr>
        <w:t>万瑞郎</w:t>
      </w:r>
      <w:r w:rsidR="005A1670" w:rsidRPr="00730D93">
        <w:rPr>
          <w:rFonts w:eastAsiaTheme="minorEastAsia" w:hint="eastAsia"/>
          <w:sz w:val="21"/>
        </w:rPr>
        <w:t>）</w:t>
      </w:r>
      <w:r w:rsidR="00216994" w:rsidRPr="00730D93">
        <w:rPr>
          <w:rFonts w:eastAsiaTheme="minorEastAsia" w:hint="eastAsia"/>
          <w:sz w:val="21"/>
        </w:rPr>
        <w:t>、计划</w:t>
      </w:r>
      <w:r w:rsidR="00216994" w:rsidRPr="00730D93">
        <w:rPr>
          <w:rFonts w:eastAsiaTheme="minorEastAsia" w:hint="eastAsia"/>
          <w:sz w:val="21"/>
        </w:rPr>
        <w:t>28</w:t>
      </w:r>
      <w:r w:rsidR="005A1670" w:rsidRPr="00730D93">
        <w:rPr>
          <w:rFonts w:eastAsiaTheme="minorEastAsia" w:hint="eastAsia"/>
          <w:sz w:val="21"/>
        </w:rPr>
        <w:t>（</w:t>
      </w:r>
      <w:r w:rsidR="002943AD" w:rsidRPr="00730D93">
        <w:rPr>
          <w:rFonts w:eastAsiaTheme="minorEastAsia" w:hint="eastAsia"/>
          <w:sz w:val="21"/>
        </w:rPr>
        <w:t>800</w:t>
      </w:r>
      <w:r w:rsidR="002943AD" w:rsidRPr="00730D93">
        <w:rPr>
          <w:rFonts w:eastAsiaTheme="minorEastAsia" w:hint="eastAsia"/>
          <w:sz w:val="21"/>
        </w:rPr>
        <w:t>万瑞郎</w:t>
      </w:r>
      <w:r w:rsidR="005A1670" w:rsidRPr="00730D93">
        <w:rPr>
          <w:rFonts w:eastAsiaTheme="minorEastAsia" w:hint="eastAsia"/>
          <w:sz w:val="21"/>
        </w:rPr>
        <w:t>）</w:t>
      </w:r>
      <w:r w:rsidR="00216994" w:rsidRPr="00730D93">
        <w:rPr>
          <w:rFonts w:eastAsiaTheme="minorEastAsia" w:hint="eastAsia"/>
          <w:sz w:val="21"/>
        </w:rPr>
        <w:t>、计划</w:t>
      </w:r>
      <w:r w:rsidR="00216994" w:rsidRPr="00730D93">
        <w:rPr>
          <w:rFonts w:eastAsiaTheme="minorEastAsia" w:hint="eastAsia"/>
          <w:sz w:val="21"/>
        </w:rPr>
        <w:t>25</w:t>
      </w:r>
      <w:r w:rsidR="005A1670" w:rsidRPr="00730D93">
        <w:rPr>
          <w:rFonts w:eastAsiaTheme="minorEastAsia" w:hint="eastAsia"/>
          <w:sz w:val="21"/>
        </w:rPr>
        <w:t>（</w:t>
      </w:r>
      <w:r w:rsidR="002943AD" w:rsidRPr="00730D93">
        <w:rPr>
          <w:rFonts w:eastAsiaTheme="minorEastAsia" w:hint="eastAsia"/>
          <w:sz w:val="21"/>
        </w:rPr>
        <w:t>360</w:t>
      </w:r>
      <w:r w:rsidR="002943AD" w:rsidRPr="00730D93">
        <w:rPr>
          <w:rFonts w:eastAsiaTheme="minorEastAsia" w:hint="eastAsia"/>
          <w:sz w:val="21"/>
        </w:rPr>
        <w:t>万瑞郎</w:t>
      </w:r>
      <w:r w:rsidR="005A1670" w:rsidRPr="00730D93">
        <w:rPr>
          <w:rFonts w:eastAsiaTheme="minorEastAsia" w:hint="eastAsia"/>
          <w:sz w:val="21"/>
        </w:rPr>
        <w:t>）</w:t>
      </w:r>
      <w:r w:rsidR="00216994" w:rsidRPr="00730D93">
        <w:rPr>
          <w:rFonts w:eastAsiaTheme="minorEastAsia" w:hint="eastAsia"/>
          <w:sz w:val="21"/>
        </w:rPr>
        <w:t>、计划</w:t>
      </w:r>
      <w:r w:rsidR="00216994" w:rsidRPr="00730D93">
        <w:rPr>
          <w:rFonts w:eastAsiaTheme="minorEastAsia" w:hint="eastAsia"/>
          <w:sz w:val="21"/>
        </w:rPr>
        <w:t>27</w:t>
      </w:r>
      <w:r w:rsidR="005A1670" w:rsidRPr="00730D93">
        <w:rPr>
          <w:rFonts w:eastAsiaTheme="minorEastAsia" w:hint="eastAsia"/>
          <w:sz w:val="21"/>
        </w:rPr>
        <w:t>（</w:t>
      </w:r>
      <w:r w:rsidR="002943AD" w:rsidRPr="00730D93">
        <w:rPr>
          <w:rFonts w:eastAsiaTheme="minorEastAsia" w:hint="eastAsia"/>
          <w:sz w:val="21"/>
        </w:rPr>
        <w:t>100</w:t>
      </w:r>
      <w:r w:rsidR="002943AD" w:rsidRPr="00730D93">
        <w:rPr>
          <w:rFonts w:eastAsiaTheme="minorEastAsia" w:hint="eastAsia"/>
          <w:sz w:val="21"/>
        </w:rPr>
        <w:t>万瑞郎</w:t>
      </w:r>
      <w:r w:rsidR="005A1670" w:rsidRPr="00730D93">
        <w:rPr>
          <w:rFonts w:eastAsiaTheme="minorEastAsia" w:hint="eastAsia"/>
          <w:sz w:val="21"/>
        </w:rPr>
        <w:t>）</w:t>
      </w:r>
      <w:r w:rsidR="00216994" w:rsidRPr="00730D93">
        <w:rPr>
          <w:rFonts w:eastAsiaTheme="minorEastAsia" w:hint="eastAsia"/>
          <w:sz w:val="21"/>
        </w:rPr>
        <w:t>和计划</w:t>
      </w:r>
      <w:r w:rsidR="00216994" w:rsidRPr="00730D93">
        <w:rPr>
          <w:rFonts w:eastAsiaTheme="minorEastAsia" w:hint="eastAsia"/>
          <w:sz w:val="21"/>
        </w:rPr>
        <w:t>20</w:t>
      </w:r>
      <w:r w:rsidR="005A1670" w:rsidRPr="00730D93">
        <w:rPr>
          <w:rFonts w:eastAsiaTheme="minorEastAsia" w:hint="eastAsia"/>
          <w:sz w:val="21"/>
        </w:rPr>
        <w:t>（</w:t>
      </w:r>
      <w:r w:rsidR="002943AD" w:rsidRPr="00730D93">
        <w:rPr>
          <w:rFonts w:eastAsiaTheme="minorEastAsia" w:hint="eastAsia"/>
          <w:sz w:val="21"/>
        </w:rPr>
        <w:t>70</w:t>
      </w:r>
      <w:r w:rsidR="002943AD" w:rsidRPr="00730D93">
        <w:rPr>
          <w:rFonts w:eastAsiaTheme="minorEastAsia" w:hint="eastAsia"/>
          <w:sz w:val="21"/>
        </w:rPr>
        <w:t>万瑞郎</w:t>
      </w:r>
      <w:r w:rsidR="005A1670" w:rsidRPr="00730D93">
        <w:rPr>
          <w:rFonts w:eastAsiaTheme="minorEastAsia" w:hint="eastAsia"/>
          <w:sz w:val="21"/>
        </w:rPr>
        <w:t>）</w:t>
      </w:r>
      <w:r w:rsidR="00216994" w:rsidRPr="00730D93">
        <w:rPr>
          <w:rFonts w:eastAsiaTheme="minorEastAsia" w:hint="eastAsia"/>
          <w:sz w:val="21"/>
        </w:rPr>
        <w:t>下进行分拨。其余的</w:t>
      </w:r>
      <w:r w:rsidR="00216994" w:rsidRPr="00730D93">
        <w:rPr>
          <w:rFonts w:eastAsiaTheme="minorEastAsia" w:hint="eastAsia"/>
          <w:sz w:val="21"/>
        </w:rPr>
        <w:t>80</w:t>
      </w:r>
      <w:r w:rsidR="00216994" w:rsidRPr="00730D93">
        <w:rPr>
          <w:rFonts w:eastAsiaTheme="minorEastAsia" w:hint="eastAsia"/>
          <w:sz w:val="21"/>
        </w:rPr>
        <w:t>万瑞郎预算分拨在计划</w:t>
      </w:r>
      <w:r w:rsidR="00216994" w:rsidRPr="00730D93">
        <w:rPr>
          <w:rFonts w:eastAsiaTheme="minorEastAsia" w:hint="eastAsia"/>
          <w:sz w:val="21"/>
        </w:rPr>
        <w:t>5</w:t>
      </w:r>
      <w:r w:rsidR="00216994" w:rsidRPr="00730D93">
        <w:rPr>
          <w:rFonts w:eastAsiaTheme="minorEastAsia" w:hint="eastAsia"/>
          <w:sz w:val="21"/>
        </w:rPr>
        <w:t>、</w:t>
      </w:r>
      <w:r w:rsidR="00216994" w:rsidRPr="00730D93">
        <w:rPr>
          <w:rFonts w:eastAsiaTheme="minorEastAsia" w:hint="eastAsia"/>
          <w:sz w:val="21"/>
        </w:rPr>
        <w:t>3</w:t>
      </w:r>
      <w:r w:rsidR="00216994" w:rsidRPr="00730D93">
        <w:rPr>
          <w:rFonts w:eastAsiaTheme="minorEastAsia" w:hint="eastAsia"/>
          <w:sz w:val="21"/>
        </w:rPr>
        <w:t>、</w:t>
      </w:r>
      <w:r w:rsidR="00216994" w:rsidRPr="00730D93">
        <w:rPr>
          <w:rFonts w:eastAsiaTheme="minorEastAsia" w:hint="eastAsia"/>
          <w:sz w:val="21"/>
        </w:rPr>
        <w:t>11</w:t>
      </w:r>
      <w:r w:rsidR="00216994" w:rsidRPr="00730D93">
        <w:rPr>
          <w:rFonts w:eastAsiaTheme="minorEastAsia" w:hint="eastAsia"/>
          <w:sz w:val="21"/>
        </w:rPr>
        <w:t>、</w:t>
      </w:r>
      <w:r w:rsidR="00216994" w:rsidRPr="00730D93">
        <w:rPr>
          <w:rFonts w:eastAsiaTheme="minorEastAsia" w:hint="eastAsia"/>
          <w:sz w:val="21"/>
        </w:rPr>
        <w:t>22</w:t>
      </w:r>
      <w:r w:rsidR="00216994" w:rsidRPr="00730D93">
        <w:rPr>
          <w:rFonts w:eastAsiaTheme="minorEastAsia" w:hint="eastAsia"/>
          <w:sz w:val="21"/>
        </w:rPr>
        <w:t>、</w:t>
      </w:r>
      <w:r w:rsidR="00216994" w:rsidRPr="00730D93">
        <w:rPr>
          <w:rFonts w:eastAsiaTheme="minorEastAsia" w:hint="eastAsia"/>
          <w:sz w:val="21"/>
        </w:rPr>
        <w:t>7</w:t>
      </w:r>
      <w:r w:rsidR="00216994" w:rsidRPr="00730D93">
        <w:rPr>
          <w:rFonts w:eastAsiaTheme="minorEastAsia" w:hint="eastAsia"/>
          <w:sz w:val="21"/>
        </w:rPr>
        <w:t>和</w:t>
      </w:r>
      <w:r w:rsidR="00216994" w:rsidRPr="00730D93">
        <w:rPr>
          <w:rFonts w:eastAsiaTheme="minorEastAsia" w:hint="eastAsia"/>
          <w:sz w:val="21"/>
        </w:rPr>
        <w:t>4</w:t>
      </w:r>
      <w:r w:rsidR="00216994" w:rsidRPr="00730D93">
        <w:rPr>
          <w:rFonts w:eastAsiaTheme="minorEastAsia" w:hint="eastAsia"/>
          <w:sz w:val="21"/>
        </w:rPr>
        <w:t>下，主要用于家具和设备的租用和维修。</w:t>
      </w:r>
    </w:p>
    <w:p w:rsidR="005A1670" w:rsidRPr="00730D93" w:rsidRDefault="00F04F48" w:rsidP="005A1670">
      <w:pPr>
        <w:spacing w:afterLines="50" w:after="120" w:line="340" w:lineRule="atLeast"/>
        <w:jc w:val="both"/>
        <w:rPr>
          <w:rFonts w:eastAsiaTheme="minorEastAsia"/>
          <w:sz w:val="21"/>
        </w:rPr>
      </w:pPr>
      <w:r w:rsidRPr="00730D93">
        <w:rPr>
          <w:rFonts w:eastAsiaTheme="minorEastAsia" w:hint="eastAsia"/>
          <w:sz w:val="21"/>
        </w:rPr>
        <w:t>驻外办事处的房</w:t>
      </w:r>
      <w:r w:rsidR="00BB1B91" w:rsidRPr="00730D93">
        <w:rPr>
          <w:rFonts w:eastAsiaTheme="minorEastAsia" w:hint="eastAsia"/>
          <w:sz w:val="21"/>
        </w:rPr>
        <w:t>舍建筑与</w:t>
      </w:r>
      <w:r w:rsidRPr="005A1670">
        <w:rPr>
          <w:rFonts w:hint="eastAsia"/>
          <w:bCs/>
          <w:sz w:val="21"/>
          <w:szCs w:val="22"/>
        </w:rPr>
        <w:t>维修</w:t>
      </w:r>
      <w:r w:rsidRPr="00730D93">
        <w:rPr>
          <w:rFonts w:eastAsiaTheme="minorEastAsia" w:hint="eastAsia"/>
          <w:sz w:val="21"/>
        </w:rPr>
        <w:t>支出</w:t>
      </w:r>
      <w:r w:rsidR="005A2E25" w:rsidRPr="00730D93">
        <w:rPr>
          <w:rFonts w:eastAsiaTheme="minorEastAsia" w:hint="eastAsia"/>
          <w:sz w:val="21"/>
        </w:rPr>
        <w:t>被</w:t>
      </w:r>
      <w:r w:rsidRPr="00730D93">
        <w:rPr>
          <w:rFonts w:eastAsiaTheme="minorEastAsia" w:hint="eastAsia"/>
          <w:sz w:val="21"/>
        </w:rPr>
        <w:t>编制在计划</w:t>
      </w:r>
      <w:r w:rsidRPr="00730D93">
        <w:rPr>
          <w:rFonts w:eastAsiaTheme="minorEastAsia" w:hint="eastAsia"/>
          <w:sz w:val="21"/>
        </w:rPr>
        <w:t>20</w:t>
      </w:r>
      <w:r w:rsidRPr="00730D93">
        <w:rPr>
          <w:rFonts w:eastAsiaTheme="minorEastAsia" w:hint="eastAsia"/>
          <w:sz w:val="21"/>
        </w:rPr>
        <w:t>下，</w:t>
      </w:r>
      <w:r w:rsidR="005A2E25" w:rsidRPr="00730D93">
        <w:rPr>
          <w:rFonts w:eastAsiaTheme="minorEastAsia" w:hint="eastAsia"/>
          <w:sz w:val="21"/>
        </w:rPr>
        <w:t>总额</w:t>
      </w:r>
      <w:r w:rsidRPr="00730D93">
        <w:rPr>
          <w:rFonts w:eastAsiaTheme="minorEastAsia" w:hint="eastAsia"/>
          <w:sz w:val="21"/>
        </w:rPr>
        <w:t>为</w:t>
      </w:r>
      <w:r w:rsidRPr="00730D93">
        <w:rPr>
          <w:rFonts w:eastAsiaTheme="minorEastAsia" w:hint="eastAsia"/>
          <w:sz w:val="21"/>
        </w:rPr>
        <w:t>70</w:t>
      </w:r>
      <w:r w:rsidRPr="00730D93">
        <w:rPr>
          <w:rFonts w:eastAsiaTheme="minorEastAsia" w:hint="eastAsia"/>
          <w:sz w:val="21"/>
        </w:rPr>
        <w:t>万瑞郎，用于办公用房的租用。</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193020" w:rsidRPr="0044088F">
        <w:rPr>
          <w:b/>
          <w:bCs/>
          <w:sz w:val="21"/>
        </w:rPr>
        <w:t>4</w:t>
      </w:r>
      <w:r w:rsidRPr="0044088F">
        <w:rPr>
          <w:b/>
          <w:bCs/>
          <w:sz w:val="21"/>
        </w:rPr>
        <w:t>：</w:t>
      </w:r>
      <w:r w:rsidR="005A2E25" w:rsidRPr="00730D93">
        <w:rPr>
          <w:rFonts w:eastAsiaTheme="minorEastAsia" w:hint="eastAsia"/>
          <w:b/>
          <w:bCs/>
          <w:sz w:val="21"/>
        </w:rPr>
        <w:t>人力资源年度报告是否会向</w:t>
      </w:r>
      <w:r w:rsidR="005A2E25" w:rsidRPr="00730D93">
        <w:rPr>
          <w:rFonts w:eastAsiaTheme="minorEastAsia" w:hint="eastAsia"/>
          <w:b/>
          <w:bCs/>
          <w:sz w:val="21"/>
        </w:rPr>
        <w:t>PBC</w:t>
      </w:r>
      <w:r w:rsidR="005A2E25" w:rsidRPr="00730D93">
        <w:rPr>
          <w:rFonts w:eastAsiaTheme="minorEastAsia" w:hint="eastAsia"/>
          <w:b/>
          <w:bCs/>
          <w:sz w:val="21"/>
        </w:rPr>
        <w:t>提交？</w:t>
      </w:r>
    </w:p>
    <w:p w:rsidR="005A1670" w:rsidRPr="00730D93" w:rsidRDefault="0044088F" w:rsidP="005A1670">
      <w:pPr>
        <w:spacing w:afterLines="50" w:after="120" w:line="340" w:lineRule="atLeast"/>
        <w:jc w:val="both"/>
        <w:rPr>
          <w:rFonts w:eastAsiaTheme="minorEastAsia"/>
          <w:bCs/>
          <w:sz w:val="21"/>
        </w:rPr>
      </w:pPr>
      <w:r>
        <w:rPr>
          <w:sz w:val="21"/>
        </w:rPr>
        <w:t>答</w:t>
      </w:r>
      <w:r w:rsidR="00193020" w:rsidRPr="0044088F">
        <w:rPr>
          <w:sz w:val="21"/>
        </w:rPr>
        <w:t>4</w:t>
      </w:r>
      <w:r w:rsidRPr="0044088F">
        <w:rPr>
          <w:sz w:val="21"/>
        </w:rPr>
        <w:t>：</w:t>
      </w:r>
      <w:r w:rsidR="005A2E25" w:rsidRPr="00730D93">
        <w:rPr>
          <w:rFonts w:eastAsiaTheme="minorEastAsia" w:hint="eastAsia"/>
          <w:sz w:val="21"/>
        </w:rPr>
        <w:t>人力资源年度报告将在</w:t>
      </w:r>
      <w:r w:rsidR="005A2E25" w:rsidRPr="00730D93">
        <w:rPr>
          <w:rFonts w:eastAsiaTheme="minorEastAsia" w:hint="eastAsia"/>
          <w:sz w:val="21"/>
        </w:rPr>
        <w:t>2015</w:t>
      </w:r>
      <w:r w:rsidR="005A2E25" w:rsidRPr="00730D93">
        <w:rPr>
          <w:rFonts w:eastAsiaTheme="minorEastAsia" w:hint="eastAsia"/>
          <w:sz w:val="21"/>
        </w:rPr>
        <w:t>年</w:t>
      </w:r>
      <w:r w:rsidR="005A2E25" w:rsidRPr="00730D93">
        <w:rPr>
          <w:rFonts w:eastAsiaTheme="minorEastAsia" w:hint="eastAsia"/>
          <w:sz w:val="21"/>
        </w:rPr>
        <w:t>9</w:t>
      </w:r>
      <w:r w:rsidR="005A2E25" w:rsidRPr="00730D93">
        <w:rPr>
          <w:rFonts w:eastAsiaTheme="minorEastAsia" w:hint="eastAsia"/>
          <w:sz w:val="21"/>
        </w:rPr>
        <w:t>月提交给</w:t>
      </w:r>
      <w:r w:rsidR="005A2E25" w:rsidRPr="00730D93">
        <w:rPr>
          <w:rFonts w:eastAsiaTheme="minorEastAsia" w:hint="eastAsia"/>
          <w:sz w:val="21"/>
        </w:rPr>
        <w:t>PBC</w:t>
      </w:r>
      <w:r w:rsidR="005A2E25" w:rsidRPr="00730D93">
        <w:rPr>
          <w:rFonts w:eastAsiaTheme="minorEastAsia" w:hint="eastAsia"/>
          <w:sz w:val="21"/>
        </w:rPr>
        <w:t>第</w:t>
      </w:r>
      <w:r w:rsidR="005A2E25" w:rsidRPr="00730D93">
        <w:rPr>
          <w:rFonts w:eastAsiaTheme="minorEastAsia" w:hint="eastAsia"/>
          <w:sz w:val="21"/>
        </w:rPr>
        <w:t>24</w:t>
      </w:r>
      <w:r w:rsidR="005A2E25" w:rsidRPr="00730D93">
        <w:rPr>
          <w:rFonts w:eastAsiaTheme="minorEastAsia" w:hint="eastAsia"/>
          <w:sz w:val="21"/>
        </w:rPr>
        <w:t>届会议。</w:t>
      </w:r>
    </w:p>
    <w:p w:rsidR="005A1670" w:rsidRDefault="00F11C12" w:rsidP="00880C0C">
      <w:pPr>
        <w:keepNext/>
        <w:spacing w:beforeLines="100" w:before="240" w:afterLines="50" w:after="120" w:line="340" w:lineRule="atLeast"/>
        <w:rPr>
          <w:b/>
          <w:sz w:val="24"/>
          <w:szCs w:val="24"/>
        </w:rPr>
      </w:pPr>
      <w:r w:rsidRPr="0044088F">
        <w:rPr>
          <w:rFonts w:hint="eastAsia"/>
          <w:b/>
          <w:sz w:val="24"/>
          <w:szCs w:val="24"/>
        </w:rPr>
        <w:t>附件与</w:t>
      </w:r>
      <w:r w:rsidR="005A2E25" w:rsidRPr="0044088F">
        <w:rPr>
          <w:rFonts w:hint="eastAsia"/>
          <w:b/>
          <w:sz w:val="24"/>
          <w:szCs w:val="24"/>
        </w:rPr>
        <w:t>附录</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63078E" w:rsidRPr="0044088F">
        <w:rPr>
          <w:b/>
          <w:sz w:val="21"/>
        </w:rPr>
        <w:t>1</w:t>
      </w:r>
      <w:r w:rsidRPr="0044088F">
        <w:rPr>
          <w:b/>
          <w:sz w:val="21"/>
        </w:rPr>
        <w:t>：</w:t>
      </w:r>
      <w:r w:rsidR="005A2E25" w:rsidRPr="00730D93">
        <w:rPr>
          <w:rFonts w:eastAsiaTheme="minorEastAsia" w:hint="eastAsia"/>
          <w:b/>
          <w:sz w:val="21"/>
        </w:rPr>
        <w:t>拟议的</w:t>
      </w:r>
      <w:r w:rsidR="005A2E25" w:rsidRPr="00730D93">
        <w:rPr>
          <w:rFonts w:eastAsiaTheme="minorEastAsia" w:hint="eastAsia"/>
          <w:b/>
          <w:sz w:val="21"/>
        </w:rPr>
        <w:t>2016/17</w:t>
      </w:r>
      <w:r w:rsidR="005A2E25" w:rsidRPr="00730D93">
        <w:rPr>
          <w:rFonts w:eastAsiaTheme="minorEastAsia" w:hint="eastAsia"/>
          <w:b/>
          <w:sz w:val="21"/>
        </w:rPr>
        <w:t>两年期计划和预算是否预计所有成员国</w:t>
      </w:r>
      <w:r w:rsidR="00E76005" w:rsidRPr="00730D93">
        <w:rPr>
          <w:rFonts w:eastAsiaTheme="minorEastAsia" w:hint="eastAsia"/>
          <w:b/>
          <w:sz w:val="21"/>
        </w:rPr>
        <w:t>都</w:t>
      </w:r>
      <w:r w:rsidR="005A2E25" w:rsidRPr="00730D93">
        <w:rPr>
          <w:rFonts w:eastAsiaTheme="minorEastAsia" w:hint="eastAsia"/>
          <w:b/>
          <w:sz w:val="21"/>
        </w:rPr>
        <w:t>将全额缴纳会费？</w:t>
      </w:r>
    </w:p>
    <w:p w:rsidR="005A1670" w:rsidRPr="00730D93" w:rsidRDefault="0044088F" w:rsidP="005A1670">
      <w:pPr>
        <w:spacing w:afterLines="50" w:after="120" w:line="340" w:lineRule="atLeast"/>
        <w:jc w:val="both"/>
        <w:rPr>
          <w:rFonts w:eastAsiaTheme="minorEastAsia"/>
          <w:sz w:val="21"/>
          <w:szCs w:val="22"/>
        </w:rPr>
      </w:pPr>
      <w:r>
        <w:rPr>
          <w:sz w:val="21"/>
          <w:szCs w:val="22"/>
        </w:rPr>
        <w:t>答</w:t>
      </w:r>
      <w:r w:rsidR="0063078E" w:rsidRPr="0044088F">
        <w:rPr>
          <w:sz w:val="21"/>
          <w:szCs w:val="22"/>
        </w:rPr>
        <w:t>1</w:t>
      </w:r>
      <w:r w:rsidRPr="0044088F">
        <w:rPr>
          <w:sz w:val="21"/>
          <w:szCs w:val="22"/>
        </w:rPr>
        <w:t>：</w:t>
      </w:r>
      <w:r w:rsidR="00AC7ABE" w:rsidRPr="00730D93">
        <w:rPr>
          <w:rFonts w:eastAsiaTheme="minorEastAsia" w:hint="eastAsia"/>
          <w:sz w:val="21"/>
          <w:szCs w:val="22"/>
        </w:rPr>
        <w:t>成员国会费是</w:t>
      </w:r>
      <w:r w:rsidR="00AC7ABE" w:rsidRPr="00730D93">
        <w:rPr>
          <w:rFonts w:eastAsiaTheme="minorEastAsia" w:hint="eastAsia"/>
          <w:sz w:val="21"/>
          <w:szCs w:val="22"/>
        </w:rPr>
        <w:t>2016/17</w:t>
      </w:r>
      <w:r w:rsidR="00AC7ABE" w:rsidRPr="00730D93">
        <w:rPr>
          <w:rFonts w:eastAsiaTheme="minorEastAsia" w:hint="eastAsia"/>
          <w:sz w:val="21"/>
          <w:szCs w:val="22"/>
        </w:rPr>
        <w:t>两年期预计收入的一部分</w:t>
      </w:r>
      <w:r w:rsidR="009E6D76" w:rsidRPr="00730D93">
        <w:rPr>
          <w:rFonts w:eastAsiaTheme="minorEastAsia" w:hint="eastAsia"/>
          <w:sz w:val="21"/>
          <w:szCs w:val="22"/>
        </w:rPr>
        <w:t>。出于规划的目的，假设</w:t>
      </w:r>
      <w:r w:rsidR="00094A0E" w:rsidRPr="00730D93">
        <w:rPr>
          <w:rFonts w:eastAsiaTheme="minorEastAsia" w:hint="eastAsia"/>
          <w:sz w:val="21"/>
          <w:szCs w:val="22"/>
        </w:rPr>
        <w:t>将如期收到</w:t>
      </w:r>
      <w:r w:rsidR="00094A0E" w:rsidRPr="00730D93">
        <w:rPr>
          <w:rFonts w:eastAsiaTheme="minorEastAsia" w:hint="eastAsia"/>
          <w:sz w:val="21"/>
          <w:szCs w:val="22"/>
        </w:rPr>
        <w:t>2016/17</w:t>
      </w:r>
      <w:r w:rsidR="00094A0E" w:rsidRPr="00730D93">
        <w:rPr>
          <w:rFonts w:eastAsiaTheme="minorEastAsia" w:hint="eastAsia"/>
          <w:sz w:val="21"/>
          <w:szCs w:val="22"/>
        </w:rPr>
        <w:t>两年期会费。</w:t>
      </w:r>
    </w:p>
    <w:p w:rsidR="005A1670" w:rsidRPr="00730D93" w:rsidRDefault="00026B8C" w:rsidP="005A1670">
      <w:pPr>
        <w:spacing w:afterLines="50" w:after="120" w:line="340" w:lineRule="atLeast"/>
        <w:jc w:val="both"/>
        <w:rPr>
          <w:rFonts w:eastAsiaTheme="minorEastAsia"/>
          <w:sz w:val="21"/>
          <w:szCs w:val="22"/>
        </w:rPr>
      </w:pPr>
      <w:r w:rsidRPr="00730D93">
        <w:rPr>
          <w:rFonts w:eastAsiaTheme="minorEastAsia" w:hint="eastAsia"/>
          <w:sz w:val="21"/>
          <w:szCs w:val="22"/>
        </w:rPr>
        <w:t>对于</w:t>
      </w:r>
      <w:r w:rsidR="00870224" w:rsidRPr="00730D93">
        <w:rPr>
          <w:rFonts w:eastAsiaTheme="minorEastAsia" w:hint="eastAsia"/>
          <w:sz w:val="21"/>
          <w:szCs w:val="22"/>
        </w:rPr>
        <w:t>前期的评定会费，在账户中</w:t>
      </w:r>
      <w:r w:rsidR="004E67E2" w:rsidRPr="00730D93">
        <w:rPr>
          <w:rFonts w:eastAsiaTheme="minorEastAsia" w:hint="eastAsia"/>
          <w:sz w:val="21"/>
          <w:szCs w:val="22"/>
        </w:rPr>
        <w:t>计提</w:t>
      </w:r>
      <w:r w:rsidR="00870224" w:rsidRPr="00730D93">
        <w:rPr>
          <w:rFonts w:eastAsiaTheme="minorEastAsia" w:hint="eastAsia"/>
          <w:sz w:val="21"/>
          <w:szCs w:val="22"/>
        </w:rPr>
        <w:t>预备金</w:t>
      </w:r>
      <w:r w:rsidR="005A1670" w:rsidRPr="00730D93">
        <w:rPr>
          <w:rFonts w:eastAsiaTheme="minorEastAsia" w:hint="eastAsia"/>
          <w:sz w:val="21"/>
          <w:szCs w:val="22"/>
        </w:rPr>
        <w:t>（</w:t>
      </w:r>
      <w:r w:rsidR="004E67E2" w:rsidRPr="00730D93">
        <w:rPr>
          <w:rFonts w:eastAsiaTheme="minorEastAsia" w:hint="eastAsia"/>
          <w:sz w:val="21"/>
          <w:szCs w:val="22"/>
        </w:rPr>
        <w:t>拨备</w:t>
      </w:r>
      <w:r w:rsidR="005A1670" w:rsidRPr="00730D93">
        <w:rPr>
          <w:rFonts w:eastAsiaTheme="minorEastAsia" w:hint="eastAsia"/>
          <w:sz w:val="21"/>
          <w:szCs w:val="22"/>
        </w:rPr>
        <w:t>）</w:t>
      </w:r>
      <w:r w:rsidR="00870224" w:rsidRPr="00730D93">
        <w:rPr>
          <w:rFonts w:eastAsiaTheme="minorEastAsia" w:hint="eastAsia"/>
          <w:sz w:val="21"/>
          <w:szCs w:val="22"/>
        </w:rPr>
        <w:t>以抵消应付金额。预备金涵盖已失去投票权的成员国应付的金额，以及</w:t>
      </w:r>
      <w:r w:rsidR="004E67E2" w:rsidRPr="00730D93">
        <w:rPr>
          <w:rFonts w:eastAsiaTheme="minorEastAsia" w:hint="eastAsia"/>
          <w:sz w:val="21"/>
          <w:szCs w:val="22"/>
        </w:rPr>
        <w:t>根据大会决定</w:t>
      </w:r>
      <w:r w:rsidR="00870224" w:rsidRPr="00730D93">
        <w:rPr>
          <w:rFonts w:eastAsiaTheme="minorEastAsia" w:hint="eastAsia"/>
          <w:sz w:val="21"/>
          <w:szCs w:val="22"/>
        </w:rPr>
        <w:t>已冻结的最不发达国家会费。每年年底对预备金进行审查。</w:t>
      </w:r>
    </w:p>
    <w:p w:rsidR="005A1670" w:rsidRPr="005655C4" w:rsidRDefault="00026B8C" w:rsidP="005655C4">
      <w:pPr>
        <w:keepNext/>
        <w:spacing w:beforeLines="100" w:before="240" w:afterLines="50" w:after="120" w:line="340" w:lineRule="atLeast"/>
        <w:rPr>
          <w:b/>
          <w:sz w:val="24"/>
          <w:szCs w:val="24"/>
        </w:rPr>
      </w:pPr>
      <w:r w:rsidRPr="005655C4">
        <w:rPr>
          <w:rFonts w:hint="eastAsia"/>
          <w:b/>
          <w:sz w:val="24"/>
          <w:szCs w:val="24"/>
        </w:rPr>
        <w:lastRenderedPageBreak/>
        <w:t>经修订的投资政策和关于对投资政策进行补充修订的建议</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B96FF0" w:rsidRPr="0044088F">
        <w:rPr>
          <w:b/>
          <w:sz w:val="21"/>
        </w:rPr>
        <w:t>1</w:t>
      </w:r>
      <w:r w:rsidR="005655C4">
        <w:rPr>
          <w:rFonts w:hint="eastAsia"/>
          <w:b/>
          <w:sz w:val="21"/>
        </w:rPr>
        <w:t>：</w:t>
      </w:r>
      <w:r w:rsidR="0032370A" w:rsidRPr="00730D93">
        <w:rPr>
          <w:rFonts w:eastAsiaTheme="minorEastAsia" w:hint="eastAsia"/>
          <w:b/>
          <w:sz w:val="21"/>
        </w:rPr>
        <w:t>与拟议的新投资政策</w:t>
      </w:r>
      <w:r w:rsidR="005A1670">
        <w:rPr>
          <w:b/>
          <w:sz w:val="21"/>
        </w:rPr>
        <w:t>（</w:t>
      </w:r>
      <w:r w:rsidR="00961A9A" w:rsidRPr="00730D93">
        <w:rPr>
          <w:rFonts w:eastAsiaTheme="minorEastAsia" w:hint="eastAsia"/>
          <w:b/>
          <w:sz w:val="21"/>
        </w:rPr>
        <w:t>文件</w:t>
      </w:r>
      <w:r w:rsidR="00961A9A" w:rsidRPr="0044088F">
        <w:rPr>
          <w:b/>
          <w:sz w:val="21"/>
        </w:rPr>
        <w:t>WO/PBC/23/7</w:t>
      </w:r>
      <w:r w:rsidR="005A1670">
        <w:rPr>
          <w:b/>
          <w:sz w:val="21"/>
        </w:rPr>
        <w:t>）</w:t>
      </w:r>
      <w:r w:rsidR="0032370A" w:rsidRPr="00730D93">
        <w:rPr>
          <w:rFonts w:eastAsiaTheme="minorEastAsia" w:hint="eastAsia"/>
          <w:b/>
          <w:sz w:val="21"/>
        </w:rPr>
        <w:t>有关的预期成本与</w:t>
      </w:r>
      <w:r w:rsidR="00961A9A" w:rsidRPr="00730D93">
        <w:rPr>
          <w:rFonts w:eastAsiaTheme="minorEastAsia" w:hint="eastAsia"/>
          <w:b/>
          <w:sz w:val="21"/>
        </w:rPr>
        <w:t>由于实行新政策而避免的预期回报和损失</w:t>
      </w:r>
      <w:r w:rsidR="007B052B" w:rsidRPr="00730D93">
        <w:rPr>
          <w:rFonts w:eastAsiaTheme="minorEastAsia" w:hint="eastAsia"/>
          <w:b/>
          <w:sz w:val="21"/>
        </w:rPr>
        <w:t>之间有着怎样的关系？</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1</w:t>
      </w:r>
      <w:r w:rsidRPr="0044088F">
        <w:rPr>
          <w:sz w:val="21"/>
        </w:rPr>
        <w:t>：</w:t>
      </w:r>
      <w:r w:rsidR="00961A9A" w:rsidRPr="00730D93">
        <w:rPr>
          <w:rFonts w:eastAsiaTheme="minorEastAsia" w:hint="eastAsia"/>
          <w:sz w:val="21"/>
        </w:rPr>
        <w:t>文件</w:t>
      </w:r>
      <w:r w:rsidR="00961A9A" w:rsidRPr="0044088F">
        <w:rPr>
          <w:sz w:val="21"/>
        </w:rPr>
        <w:t>WO/PBC/23/7</w:t>
      </w:r>
      <w:r w:rsidR="00961A9A" w:rsidRPr="00730D93">
        <w:rPr>
          <w:rFonts w:eastAsiaTheme="minorEastAsia" w:hint="eastAsia"/>
          <w:sz w:val="21"/>
        </w:rPr>
        <w:t>提出了两项投资政策建议。涵盖营运和核心现金的政策旨在通过与外聘基金经理合作</w:t>
      </w:r>
      <w:r w:rsidR="006C779A" w:rsidRPr="00730D93">
        <w:rPr>
          <w:rFonts w:eastAsiaTheme="minorEastAsia" w:hint="eastAsia"/>
          <w:sz w:val="21"/>
        </w:rPr>
        <w:t>，为</w:t>
      </w:r>
      <w:r w:rsidR="00961A9A" w:rsidRPr="00730D93">
        <w:rPr>
          <w:rFonts w:eastAsiaTheme="minorEastAsia" w:hint="eastAsia"/>
          <w:sz w:val="21"/>
        </w:rPr>
        <w:t>核心现金</w:t>
      </w:r>
      <w:r w:rsidR="006C779A" w:rsidRPr="00730D93">
        <w:rPr>
          <w:rFonts w:eastAsiaTheme="minorEastAsia" w:hint="eastAsia"/>
          <w:sz w:val="21"/>
        </w:rPr>
        <w:t>带来</w:t>
      </w:r>
      <w:r w:rsidR="00961A9A" w:rsidRPr="00730D93">
        <w:rPr>
          <w:rFonts w:eastAsiaTheme="minorEastAsia" w:hint="eastAsia"/>
          <w:sz w:val="21"/>
        </w:rPr>
        <w:t>正回报，</w:t>
      </w:r>
      <w:r w:rsidR="006C779A" w:rsidRPr="00730D93">
        <w:rPr>
          <w:rFonts w:eastAsiaTheme="minorEastAsia" w:hint="eastAsia"/>
          <w:sz w:val="21"/>
        </w:rPr>
        <w:t>并还将通过使用免负息门槛和尽可能在市场中寻找机会</w:t>
      </w:r>
      <w:r w:rsidR="005A1670" w:rsidRPr="00730D93">
        <w:rPr>
          <w:rFonts w:eastAsiaTheme="minorEastAsia" w:hint="eastAsia"/>
          <w:sz w:val="21"/>
        </w:rPr>
        <w:t>（</w:t>
      </w:r>
      <w:r w:rsidR="006C779A" w:rsidRPr="00730D93">
        <w:rPr>
          <w:rFonts w:eastAsiaTheme="minorEastAsia" w:hint="eastAsia"/>
          <w:sz w:val="21"/>
        </w:rPr>
        <w:t>如外汇投资</w:t>
      </w:r>
      <w:r w:rsidR="005A1670" w:rsidRPr="00730D93">
        <w:rPr>
          <w:rFonts w:eastAsiaTheme="minorEastAsia" w:hint="eastAsia"/>
          <w:sz w:val="21"/>
        </w:rPr>
        <w:t>）</w:t>
      </w:r>
      <w:r w:rsidR="006C779A" w:rsidRPr="00730D93">
        <w:rPr>
          <w:rFonts w:eastAsiaTheme="minorEastAsia" w:hint="eastAsia"/>
          <w:sz w:val="21"/>
        </w:rPr>
        <w:t>，力求使负利率对营运现金的影响最小化。本组织计划要求基金经理争取实现支付管理费后的正回报。对那些根据第二项</w:t>
      </w:r>
      <w:r w:rsidR="005A1670" w:rsidRPr="00730D93">
        <w:rPr>
          <w:rFonts w:eastAsiaTheme="minorEastAsia" w:hint="eastAsia"/>
          <w:sz w:val="21"/>
        </w:rPr>
        <w:t>（</w:t>
      </w:r>
      <w:r w:rsidR="006C779A" w:rsidRPr="00730D93">
        <w:rPr>
          <w:rFonts w:eastAsiaTheme="minorEastAsia" w:hint="eastAsia"/>
          <w:sz w:val="21"/>
        </w:rPr>
        <w:t>ASHI</w:t>
      </w:r>
      <w:r w:rsidR="005A1670" w:rsidRPr="00730D93">
        <w:rPr>
          <w:rFonts w:eastAsiaTheme="minorEastAsia" w:hint="eastAsia"/>
          <w:sz w:val="21"/>
        </w:rPr>
        <w:t>）</w:t>
      </w:r>
      <w:r w:rsidR="00E76005" w:rsidRPr="00730D93">
        <w:rPr>
          <w:rFonts w:eastAsiaTheme="minorEastAsia" w:hint="eastAsia"/>
          <w:sz w:val="21"/>
        </w:rPr>
        <w:t>投资政策将对战略现金进行投资的经理会提出同样的要求。需要新增</w:t>
      </w:r>
      <w:r w:rsidR="006C779A" w:rsidRPr="00730D93">
        <w:rPr>
          <w:rFonts w:eastAsiaTheme="minorEastAsia" w:hint="eastAsia"/>
          <w:sz w:val="21"/>
        </w:rPr>
        <w:t>一名员工来管理本组织的投资</w:t>
      </w:r>
      <w:r w:rsidR="005A1670" w:rsidRPr="00730D93">
        <w:rPr>
          <w:rFonts w:eastAsiaTheme="minorEastAsia" w:hint="eastAsia"/>
          <w:sz w:val="21"/>
        </w:rPr>
        <w:t>（</w:t>
      </w:r>
      <w:r w:rsidR="009C1FB2" w:rsidRPr="00730D93">
        <w:rPr>
          <w:rFonts w:eastAsiaTheme="minorEastAsia" w:hint="eastAsia"/>
          <w:sz w:val="21"/>
        </w:rPr>
        <w:t>对于文件</w:t>
      </w:r>
      <w:r w:rsidR="009C1FB2" w:rsidRPr="0044088F">
        <w:rPr>
          <w:sz w:val="21"/>
        </w:rPr>
        <w:t>WO/PBC/23/6</w:t>
      </w:r>
      <w:r w:rsidR="009C1FB2" w:rsidRPr="00730D93">
        <w:rPr>
          <w:rFonts w:eastAsiaTheme="minorEastAsia" w:hint="eastAsia"/>
          <w:sz w:val="21"/>
        </w:rPr>
        <w:t>也同样如此</w:t>
      </w:r>
      <w:r w:rsidR="005A1670" w:rsidRPr="00730D93">
        <w:rPr>
          <w:rFonts w:eastAsiaTheme="minorEastAsia" w:hint="eastAsia"/>
          <w:sz w:val="21"/>
        </w:rPr>
        <w:t>）</w:t>
      </w:r>
      <w:r w:rsidR="009C1FB2" w:rsidRPr="00730D93">
        <w:rPr>
          <w:rFonts w:eastAsiaTheme="minorEastAsia" w:hint="eastAsia"/>
          <w:sz w:val="21"/>
        </w:rPr>
        <w:t>，该员工的预期级别为</w:t>
      </w:r>
      <w:r w:rsidR="009C1FB2" w:rsidRPr="00730D93">
        <w:rPr>
          <w:rFonts w:eastAsiaTheme="minorEastAsia" w:hint="eastAsia"/>
          <w:sz w:val="21"/>
        </w:rPr>
        <w:t>P4/P5</w:t>
      </w:r>
      <w:r w:rsidR="009C1FB2"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szCs w:val="22"/>
        </w:rPr>
      </w:pPr>
      <w:r>
        <w:rPr>
          <w:rFonts w:ascii="SimSun" w:hAnsi="SimSun" w:cs="SimSun" w:hint="eastAsia"/>
          <w:b/>
          <w:sz w:val="21"/>
          <w:szCs w:val="22"/>
        </w:rPr>
        <w:t>问</w:t>
      </w:r>
      <w:r w:rsidR="00B96FF0" w:rsidRPr="0044088F">
        <w:rPr>
          <w:b/>
          <w:sz w:val="21"/>
          <w:szCs w:val="22"/>
        </w:rPr>
        <w:t>2</w:t>
      </w:r>
      <w:r w:rsidR="005655C4">
        <w:rPr>
          <w:rFonts w:hint="eastAsia"/>
          <w:b/>
          <w:sz w:val="21"/>
        </w:rPr>
        <w:t>：</w:t>
      </w:r>
      <w:r w:rsidR="007B052B" w:rsidRPr="00730D93">
        <w:rPr>
          <w:rFonts w:eastAsiaTheme="minorEastAsia" w:hint="eastAsia"/>
          <w:b/>
          <w:sz w:val="21"/>
          <w:szCs w:val="22"/>
        </w:rPr>
        <w:t>如果</w:t>
      </w:r>
      <w:r w:rsidR="007B052B" w:rsidRPr="00730D93">
        <w:rPr>
          <w:rFonts w:eastAsiaTheme="minorEastAsia" w:hint="eastAsia"/>
          <w:b/>
          <w:sz w:val="21"/>
          <w:szCs w:val="22"/>
        </w:rPr>
        <w:t>PBC</w:t>
      </w:r>
      <w:r w:rsidR="007B052B" w:rsidRPr="00730D93">
        <w:rPr>
          <w:rFonts w:eastAsiaTheme="minorEastAsia" w:hint="eastAsia"/>
          <w:b/>
          <w:sz w:val="21"/>
          <w:szCs w:val="22"/>
        </w:rPr>
        <w:t>第</w:t>
      </w:r>
      <w:r w:rsidR="007B052B" w:rsidRPr="00730D93">
        <w:rPr>
          <w:rFonts w:eastAsiaTheme="minorEastAsia" w:hint="eastAsia"/>
          <w:b/>
          <w:sz w:val="21"/>
          <w:szCs w:val="22"/>
        </w:rPr>
        <w:t>23</w:t>
      </w:r>
      <w:r w:rsidR="007B052B" w:rsidRPr="00730D93">
        <w:rPr>
          <w:rFonts w:eastAsiaTheme="minorEastAsia" w:hint="eastAsia"/>
          <w:b/>
          <w:sz w:val="21"/>
          <w:szCs w:val="22"/>
        </w:rPr>
        <w:t>届会议通过了关于经修订投资政策的两项建议，秘书处能否在</w:t>
      </w:r>
      <w:r w:rsidR="007B052B" w:rsidRPr="00730D93">
        <w:rPr>
          <w:rFonts w:eastAsiaTheme="minorEastAsia" w:hint="eastAsia"/>
          <w:b/>
          <w:sz w:val="21"/>
          <w:szCs w:val="22"/>
        </w:rPr>
        <w:t>PBC</w:t>
      </w:r>
      <w:r w:rsidR="00E76005" w:rsidRPr="00730D93">
        <w:rPr>
          <w:rFonts w:eastAsiaTheme="minorEastAsia" w:hint="eastAsia"/>
          <w:b/>
          <w:sz w:val="21"/>
          <w:szCs w:val="22"/>
        </w:rPr>
        <w:t>会议之后马上启动</w:t>
      </w:r>
      <w:r w:rsidR="007B052B" w:rsidRPr="00730D93">
        <w:rPr>
          <w:rFonts w:eastAsiaTheme="minorEastAsia" w:hint="eastAsia"/>
          <w:b/>
          <w:sz w:val="21"/>
          <w:szCs w:val="22"/>
        </w:rPr>
        <w:t>所需的投资组合经理招聘程序，以加快落实新投资政策，从而缩短</w:t>
      </w:r>
      <w:r w:rsidR="007B052B" w:rsidRPr="00730D93">
        <w:rPr>
          <w:rFonts w:eastAsiaTheme="minorEastAsia" w:hint="eastAsia"/>
          <w:b/>
          <w:sz w:val="21"/>
          <w:szCs w:val="22"/>
        </w:rPr>
        <w:t>WIPO</w:t>
      </w:r>
      <w:r w:rsidR="007B052B" w:rsidRPr="00730D93">
        <w:rPr>
          <w:rFonts w:eastAsiaTheme="minorEastAsia" w:hint="eastAsia"/>
          <w:b/>
          <w:sz w:val="21"/>
          <w:szCs w:val="22"/>
        </w:rPr>
        <w:t>可能面临支付负利息这一风险的时间？</w:t>
      </w:r>
    </w:p>
    <w:p w:rsidR="005A1670" w:rsidRPr="00730D93" w:rsidRDefault="0044088F" w:rsidP="005655C4">
      <w:pPr>
        <w:spacing w:afterLines="50" w:after="120" w:line="340" w:lineRule="atLeast"/>
        <w:jc w:val="both"/>
        <w:rPr>
          <w:rFonts w:eastAsiaTheme="minorEastAsia"/>
          <w:sz w:val="21"/>
        </w:rPr>
      </w:pPr>
      <w:r>
        <w:rPr>
          <w:sz w:val="21"/>
          <w:szCs w:val="22"/>
        </w:rPr>
        <w:t>答</w:t>
      </w:r>
      <w:r w:rsidR="00473AFA" w:rsidRPr="0044088F">
        <w:rPr>
          <w:sz w:val="21"/>
          <w:szCs w:val="22"/>
        </w:rPr>
        <w:t>2</w:t>
      </w:r>
      <w:r w:rsidRPr="0044088F">
        <w:rPr>
          <w:sz w:val="21"/>
          <w:szCs w:val="22"/>
        </w:rPr>
        <w:t>：</w:t>
      </w:r>
      <w:r w:rsidR="00D77273" w:rsidRPr="00730D93">
        <w:rPr>
          <w:rFonts w:eastAsiaTheme="minorEastAsia" w:hint="eastAsia"/>
          <w:sz w:val="21"/>
        </w:rPr>
        <w:t>如果成员国通过了</w:t>
      </w:r>
      <w:r w:rsidR="00973043" w:rsidRPr="00730D93">
        <w:rPr>
          <w:rFonts w:eastAsiaTheme="minorEastAsia" w:hint="eastAsia"/>
          <w:sz w:val="21"/>
        </w:rPr>
        <w:t>在</w:t>
      </w:r>
      <w:r w:rsidR="00D77273" w:rsidRPr="00730D93">
        <w:rPr>
          <w:rFonts w:eastAsiaTheme="minorEastAsia"/>
          <w:sz w:val="21"/>
        </w:rPr>
        <w:t>WO</w:t>
      </w:r>
      <w:r w:rsidR="00D77273" w:rsidRPr="0044088F">
        <w:rPr>
          <w:sz w:val="21"/>
        </w:rPr>
        <w:t>/PBC/23/6</w:t>
      </w:r>
      <w:r w:rsidR="00D77273" w:rsidRPr="00730D93">
        <w:rPr>
          <w:rFonts w:eastAsiaTheme="minorEastAsia" w:hint="eastAsia"/>
          <w:sz w:val="21"/>
        </w:rPr>
        <w:t>和</w:t>
      </w:r>
      <w:r w:rsidR="00D77273" w:rsidRPr="0044088F">
        <w:rPr>
          <w:sz w:val="21"/>
        </w:rPr>
        <w:t>WO/PBC/23/7</w:t>
      </w:r>
      <w:r w:rsidR="00D77273" w:rsidRPr="00730D93">
        <w:rPr>
          <w:rFonts w:eastAsiaTheme="minorEastAsia" w:hint="eastAsia"/>
          <w:sz w:val="21"/>
        </w:rPr>
        <w:t>这两份文件</w:t>
      </w:r>
      <w:r w:rsidR="00973043" w:rsidRPr="00730D93">
        <w:rPr>
          <w:rFonts w:eastAsiaTheme="minorEastAsia" w:hint="eastAsia"/>
          <w:sz w:val="21"/>
        </w:rPr>
        <w:t>中</w:t>
      </w:r>
      <w:r w:rsidR="00D77273" w:rsidRPr="00730D93">
        <w:rPr>
          <w:rFonts w:eastAsiaTheme="minorEastAsia" w:hint="eastAsia"/>
          <w:sz w:val="21"/>
        </w:rPr>
        <w:t>所提出的决定，后一份文件</w:t>
      </w:r>
      <w:r w:rsidR="000914E0" w:rsidRPr="00730D93">
        <w:rPr>
          <w:rFonts w:eastAsiaTheme="minorEastAsia" w:hint="eastAsia"/>
          <w:sz w:val="21"/>
        </w:rPr>
        <w:t>中</w:t>
      </w:r>
      <w:r w:rsidR="00D77273" w:rsidRPr="00730D93">
        <w:rPr>
          <w:rFonts w:eastAsiaTheme="minorEastAsia" w:hint="eastAsia"/>
          <w:sz w:val="21"/>
        </w:rPr>
        <w:t>的决定优先于前一份文件</w:t>
      </w:r>
      <w:r w:rsidR="000914E0" w:rsidRPr="00730D93">
        <w:rPr>
          <w:rFonts w:eastAsiaTheme="minorEastAsia" w:hint="eastAsia"/>
          <w:sz w:val="21"/>
        </w:rPr>
        <w:t>中的决定，并且将不需要</w:t>
      </w:r>
      <w:r w:rsidR="00973043" w:rsidRPr="00730D93">
        <w:rPr>
          <w:rFonts w:eastAsiaTheme="minorEastAsia" w:hint="eastAsia"/>
          <w:sz w:val="21"/>
        </w:rPr>
        <w:t>实行</w:t>
      </w:r>
      <w:r w:rsidR="000914E0" w:rsidRPr="00730D93">
        <w:rPr>
          <w:rFonts w:eastAsiaTheme="minorEastAsia" w:hint="eastAsia"/>
          <w:sz w:val="21"/>
        </w:rPr>
        <w:t>文件</w:t>
      </w:r>
      <w:r w:rsidR="000914E0" w:rsidRPr="0044088F">
        <w:rPr>
          <w:sz w:val="21"/>
        </w:rPr>
        <w:t>WO/PBC/23/6</w:t>
      </w:r>
      <w:r w:rsidR="000914E0" w:rsidRPr="00730D93">
        <w:rPr>
          <w:rFonts w:eastAsiaTheme="minorEastAsia" w:hint="eastAsia"/>
          <w:sz w:val="21"/>
        </w:rPr>
        <w:t>中解释的政策。</w:t>
      </w:r>
    </w:p>
    <w:p w:rsidR="005A1670" w:rsidRPr="00730D93" w:rsidRDefault="000914E0" w:rsidP="005A1670">
      <w:pPr>
        <w:spacing w:afterLines="50" w:after="120" w:line="340" w:lineRule="atLeast"/>
        <w:jc w:val="both"/>
        <w:rPr>
          <w:rFonts w:eastAsiaTheme="minorEastAsia"/>
          <w:sz w:val="21"/>
        </w:rPr>
      </w:pPr>
      <w:r w:rsidRPr="00730D93">
        <w:rPr>
          <w:rFonts w:eastAsiaTheme="minorEastAsia" w:hint="eastAsia"/>
          <w:sz w:val="21"/>
        </w:rPr>
        <w:t>如果在七月的会议上作出了</w:t>
      </w:r>
      <w:r w:rsidRPr="0044088F">
        <w:rPr>
          <w:sz w:val="21"/>
        </w:rPr>
        <w:t>WO/PBC/23/7</w:t>
      </w:r>
      <w:r w:rsidRPr="00730D93">
        <w:rPr>
          <w:rFonts w:eastAsiaTheme="minorEastAsia" w:hint="eastAsia"/>
          <w:sz w:val="21"/>
        </w:rPr>
        <w:t>中的决定，秘书处将制定两项投资政策：一项关于营运和核心现金，另一项关于战略现金。这两项政策将提交给</w:t>
      </w:r>
      <w:r w:rsidRPr="00730D93">
        <w:rPr>
          <w:rFonts w:eastAsiaTheme="minorEastAsia" w:hint="eastAsia"/>
          <w:sz w:val="21"/>
        </w:rPr>
        <w:t>PBC</w:t>
      </w:r>
      <w:r w:rsidRPr="00730D93">
        <w:rPr>
          <w:rFonts w:eastAsiaTheme="minorEastAsia" w:hint="eastAsia"/>
          <w:sz w:val="21"/>
        </w:rPr>
        <w:t>第</w:t>
      </w:r>
      <w:r w:rsidRPr="00730D93">
        <w:rPr>
          <w:rFonts w:eastAsiaTheme="minorEastAsia" w:hint="eastAsia"/>
          <w:sz w:val="21"/>
        </w:rPr>
        <w:t>24</w:t>
      </w:r>
      <w:r w:rsidRPr="00730D93">
        <w:rPr>
          <w:rFonts w:eastAsiaTheme="minorEastAsia" w:hint="eastAsia"/>
          <w:sz w:val="21"/>
        </w:rPr>
        <w:t>届会议</w:t>
      </w:r>
      <w:r w:rsidR="00973043" w:rsidRPr="00730D93">
        <w:rPr>
          <w:rFonts w:eastAsiaTheme="minorEastAsia" w:hint="eastAsia"/>
          <w:sz w:val="21"/>
        </w:rPr>
        <w:t>以供决定，然后提交给大会</w:t>
      </w:r>
      <w:r w:rsidRPr="00730D93">
        <w:rPr>
          <w:rFonts w:eastAsiaTheme="minorEastAsia" w:hint="eastAsia"/>
          <w:sz w:val="21"/>
        </w:rPr>
        <w:t>批准。在</w:t>
      </w:r>
      <w:r w:rsidRPr="00730D93">
        <w:rPr>
          <w:rFonts w:eastAsiaTheme="minorEastAsia" w:hint="eastAsia"/>
          <w:sz w:val="21"/>
        </w:rPr>
        <w:t>PBC</w:t>
      </w:r>
      <w:r w:rsidRPr="00730D93">
        <w:rPr>
          <w:rFonts w:eastAsiaTheme="minorEastAsia" w:hint="eastAsia"/>
          <w:sz w:val="21"/>
        </w:rPr>
        <w:t>第</w:t>
      </w:r>
      <w:r w:rsidRPr="00730D93">
        <w:rPr>
          <w:rFonts w:eastAsiaTheme="minorEastAsia" w:hint="eastAsia"/>
          <w:sz w:val="21"/>
        </w:rPr>
        <w:t>23</w:t>
      </w:r>
      <w:r w:rsidRPr="00730D93">
        <w:rPr>
          <w:rFonts w:eastAsiaTheme="minorEastAsia" w:hint="eastAsia"/>
          <w:sz w:val="21"/>
        </w:rPr>
        <w:t>届会议之后，还可以开始进行关于确定基金经理和招收内部专门知识的筹备工作。这</w:t>
      </w:r>
      <w:r w:rsidR="007F41C6" w:rsidRPr="00730D93">
        <w:rPr>
          <w:rFonts w:eastAsiaTheme="minorEastAsia" w:hint="eastAsia"/>
          <w:sz w:val="21"/>
        </w:rPr>
        <w:t>最终</w:t>
      </w:r>
      <w:r w:rsidRPr="00730D93">
        <w:rPr>
          <w:rFonts w:eastAsiaTheme="minorEastAsia" w:hint="eastAsia"/>
          <w:sz w:val="21"/>
        </w:rPr>
        <w:t>将减少</w:t>
      </w:r>
      <w:r w:rsidR="007F41C6" w:rsidRPr="00730D93">
        <w:rPr>
          <w:rFonts w:eastAsiaTheme="minorEastAsia" w:hint="eastAsia"/>
          <w:sz w:val="21"/>
        </w:rPr>
        <w:t>在</w:t>
      </w:r>
      <w:r w:rsidRPr="00730D93">
        <w:rPr>
          <w:rFonts w:eastAsiaTheme="minorEastAsia" w:hint="eastAsia"/>
          <w:sz w:val="21"/>
        </w:rPr>
        <w:t>大会</w:t>
      </w:r>
      <w:r w:rsidR="00973043" w:rsidRPr="00730D93">
        <w:rPr>
          <w:rFonts w:eastAsiaTheme="minorEastAsia" w:hint="eastAsia"/>
          <w:sz w:val="21"/>
        </w:rPr>
        <w:t>结束</w:t>
      </w:r>
      <w:r w:rsidRPr="00730D93">
        <w:rPr>
          <w:rFonts w:eastAsiaTheme="minorEastAsia" w:hint="eastAsia"/>
          <w:sz w:val="21"/>
        </w:rPr>
        <w:t>后花在这些工作上的时间</w:t>
      </w:r>
      <w:r w:rsidR="007F41C6" w:rsidRPr="00730D93">
        <w:rPr>
          <w:rFonts w:eastAsiaTheme="minorEastAsia" w:hint="eastAsia"/>
          <w:sz w:val="21"/>
        </w:rPr>
        <w:t>。这样一来，</w:t>
      </w:r>
      <w:r w:rsidR="007F41C6" w:rsidRPr="00730D93">
        <w:rPr>
          <w:rFonts w:eastAsiaTheme="minorEastAsia" w:hint="eastAsia"/>
          <w:sz w:val="21"/>
        </w:rPr>
        <w:t>WIPO</w:t>
      </w:r>
      <w:r w:rsidR="007F41C6" w:rsidRPr="00730D93">
        <w:rPr>
          <w:rFonts w:eastAsiaTheme="minorEastAsia" w:hint="eastAsia"/>
          <w:sz w:val="21"/>
        </w:rPr>
        <w:t>面临支付负利息风险的时间可以被缩短。</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szCs w:val="22"/>
        </w:rPr>
      </w:pPr>
      <w:r>
        <w:rPr>
          <w:rFonts w:ascii="SimSun" w:hAnsi="SimSun" w:cs="SimSun" w:hint="eastAsia"/>
          <w:b/>
          <w:sz w:val="21"/>
          <w:szCs w:val="22"/>
        </w:rPr>
        <w:t>问</w:t>
      </w:r>
      <w:r w:rsidR="00B96FF0" w:rsidRPr="0044088F">
        <w:rPr>
          <w:b/>
          <w:sz w:val="21"/>
          <w:szCs w:val="22"/>
        </w:rPr>
        <w:t>3</w:t>
      </w:r>
      <w:r w:rsidR="005655C4">
        <w:rPr>
          <w:rFonts w:hint="eastAsia"/>
          <w:b/>
          <w:sz w:val="21"/>
        </w:rPr>
        <w:t>：</w:t>
      </w:r>
      <w:r w:rsidR="00CD26C0" w:rsidRPr="00730D93">
        <w:rPr>
          <w:rFonts w:eastAsiaTheme="minorEastAsia" w:hint="eastAsia"/>
          <w:b/>
          <w:sz w:val="21"/>
          <w:szCs w:val="22"/>
        </w:rPr>
        <w:t>能否解释一下拟议的两项经修订投资政策</w:t>
      </w:r>
      <w:r w:rsidR="005A1670" w:rsidRPr="00730D93">
        <w:rPr>
          <w:rFonts w:eastAsiaTheme="minorEastAsia" w:hint="eastAsia"/>
          <w:b/>
          <w:sz w:val="21"/>
          <w:szCs w:val="22"/>
        </w:rPr>
        <w:t>（</w:t>
      </w:r>
      <w:r w:rsidR="00CD26C0" w:rsidRPr="0044088F">
        <w:rPr>
          <w:b/>
          <w:sz w:val="21"/>
          <w:szCs w:val="22"/>
        </w:rPr>
        <w:t>WO/PBC/23/6</w:t>
      </w:r>
      <w:r w:rsidR="00CD26C0" w:rsidRPr="00730D93">
        <w:rPr>
          <w:rFonts w:eastAsiaTheme="minorEastAsia" w:hint="eastAsia"/>
          <w:b/>
          <w:sz w:val="21"/>
          <w:szCs w:val="22"/>
        </w:rPr>
        <w:t>和</w:t>
      </w:r>
      <w:r w:rsidR="00CD26C0" w:rsidRPr="0044088F">
        <w:rPr>
          <w:b/>
          <w:sz w:val="21"/>
          <w:szCs w:val="22"/>
        </w:rPr>
        <w:t>WO/PBC/23/7</w:t>
      </w:r>
      <w:r w:rsidR="005A1670" w:rsidRPr="00730D93">
        <w:rPr>
          <w:rFonts w:eastAsiaTheme="minorEastAsia" w:hint="eastAsia"/>
          <w:b/>
          <w:sz w:val="21"/>
          <w:szCs w:val="22"/>
        </w:rPr>
        <w:t>）</w:t>
      </w:r>
      <w:r w:rsidR="00CD26C0" w:rsidRPr="00730D93">
        <w:rPr>
          <w:rFonts w:eastAsiaTheme="minorEastAsia" w:hint="eastAsia"/>
          <w:b/>
          <w:sz w:val="21"/>
          <w:szCs w:val="22"/>
        </w:rPr>
        <w:t>在以下方面的区别：对招收员工和与外聘投资组合经理签订合同时机的影响，以及预计的负利率缴纳额？</w:t>
      </w:r>
    </w:p>
    <w:p w:rsidR="005A1670" w:rsidRPr="00730D93" w:rsidRDefault="0044088F" w:rsidP="005A1670">
      <w:pPr>
        <w:spacing w:afterLines="50" w:after="120" w:line="340" w:lineRule="atLeast"/>
        <w:jc w:val="both"/>
        <w:rPr>
          <w:rFonts w:eastAsiaTheme="minorEastAsia"/>
          <w:sz w:val="21"/>
        </w:rPr>
      </w:pPr>
      <w:r>
        <w:rPr>
          <w:sz w:val="21"/>
          <w:szCs w:val="22"/>
        </w:rPr>
        <w:t>答</w:t>
      </w:r>
      <w:r w:rsidR="00473AFA" w:rsidRPr="0044088F">
        <w:rPr>
          <w:sz w:val="21"/>
          <w:szCs w:val="22"/>
        </w:rPr>
        <w:t>3</w:t>
      </w:r>
      <w:r w:rsidRPr="0044088F">
        <w:rPr>
          <w:sz w:val="21"/>
          <w:szCs w:val="22"/>
        </w:rPr>
        <w:t>：</w:t>
      </w:r>
      <w:r w:rsidR="005D0AD4" w:rsidRPr="00730D93">
        <w:rPr>
          <w:rFonts w:eastAsiaTheme="minorEastAsia" w:hint="eastAsia"/>
          <w:sz w:val="21"/>
        </w:rPr>
        <w:t>对于这两项提案，秘书处都将在</w:t>
      </w:r>
      <w:r w:rsidR="005D0AD4" w:rsidRPr="00730D93">
        <w:rPr>
          <w:rFonts w:eastAsiaTheme="minorEastAsia" w:hint="eastAsia"/>
          <w:sz w:val="21"/>
        </w:rPr>
        <w:t>PBC</w:t>
      </w:r>
      <w:r w:rsidR="005D0AD4" w:rsidRPr="00730D93">
        <w:rPr>
          <w:rFonts w:eastAsiaTheme="minorEastAsia" w:hint="eastAsia"/>
          <w:sz w:val="21"/>
        </w:rPr>
        <w:t>第</w:t>
      </w:r>
      <w:r w:rsidR="005D0AD4" w:rsidRPr="00730D93">
        <w:rPr>
          <w:rFonts w:eastAsiaTheme="minorEastAsia" w:hint="eastAsia"/>
          <w:sz w:val="21"/>
        </w:rPr>
        <w:t>23</w:t>
      </w:r>
      <w:r w:rsidR="005D0AD4" w:rsidRPr="00730D93">
        <w:rPr>
          <w:rFonts w:eastAsiaTheme="minorEastAsia" w:hint="eastAsia"/>
          <w:sz w:val="21"/>
        </w:rPr>
        <w:t>届会议</w:t>
      </w:r>
      <w:r w:rsidR="00973043" w:rsidRPr="00730D93">
        <w:rPr>
          <w:rFonts w:eastAsiaTheme="minorEastAsia" w:hint="eastAsia"/>
          <w:sz w:val="21"/>
        </w:rPr>
        <w:t>之</w:t>
      </w:r>
      <w:r w:rsidR="005D0AD4" w:rsidRPr="00730D93">
        <w:rPr>
          <w:rFonts w:eastAsiaTheme="minorEastAsia" w:hint="eastAsia"/>
          <w:sz w:val="21"/>
        </w:rPr>
        <w:t>后开始寻找员工资源。</w:t>
      </w:r>
      <w:r w:rsidR="005A1670" w:rsidRPr="00730D93">
        <w:rPr>
          <w:rFonts w:eastAsiaTheme="minorEastAsia" w:hint="eastAsia"/>
          <w:sz w:val="21"/>
        </w:rPr>
        <w:t>（</w:t>
      </w:r>
      <w:r w:rsidR="005D0AD4" w:rsidRPr="00730D93">
        <w:rPr>
          <w:rFonts w:eastAsiaTheme="minorEastAsia" w:hint="eastAsia"/>
          <w:sz w:val="21"/>
        </w:rPr>
        <w:t>招收进来的员工还将就针对</w:t>
      </w:r>
      <w:r w:rsidR="005D0AD4" w:rsidRPr="00730D93">
        <w:rPr>
          <w:rFonts w:eastAsiaTheme="minorEastAsia" w:hint="eastAsia"/>
          <w:sz w:val="21"/>
        </w:rPr>
        <w:t>PCT</w:t>
      </w:r>
      <w:r w:rsidR="005D0AD4" w:rsidRPr="00730D93">
        <w:rPr>
          <w:rFonts w:eastAsiaTheme="minorEastAsia" w:hint="eastAsia"/>
          <w:sz w:val="21"/>
        </w:rPr>
        <w:t>提出的套期保值策略开展工作。</w:t>
      </w:r>
      <w:r w:rsidR="005A1670" w:rsidRPr="00730D93">
        <w:rPr>
          <w:rFonts w:eastAsiaTheme="minorEastAsia" w:hint="eastAsia"/>
          <w:sz w:val="21"/>
        </w:rPr>
        <w:t>）</w:t>
      </w:r>
      <w:r w:rsidR="005D0AD4" w:rsidRPr="0044088F">
        <w:rPr>
          <w:sz w:val="21"/>
        </w:rPr>
        <w:t>WO/PBC/23/6</w:t>
      </w:r>
      <w:r w:rsidR="005D0AD4" w:rsidRPr="00730D93">
        <w:rPr>
          <w:rFonts w:eastAsiaTheme="minorEastAsia" w:hint="eastAsia"/>
          <w:sz w:val="21"/>
        </w:rPr>
        <w:t>不涉及使用外聘投资组合经理，因为这仍然不为拟议的经修订投资政策所允许。关于</w:t>
      </w:r>
      <w:r w:rsidR="005D0AD4" w:rsidRPr="0044088F">
        <w:rPr>
          <w:sz w:val="21"/>
        </w:rPr>
        <w:t>WO/PBC/23/7</w:t>
      </w:r>
      <w:r w:rsidR="005D0AD4" w:rsidRPr="00730D93">
        <w:rPr>
          <w:rFonts w:eastAsiaTheme="minorEastAsia" w:hint="eastAsia"/>
          <w:sz w:val="21"/>
        </w:rPr>
        <w:t>，将在夏天开始为确定外聘基金经理进行筹备工作</w:t>
      </w:r>
      <w:r w:rsidR="005A1670" w:rsidRPr="00730D93">
        <w:rPr>
          <w:rFonts w:eastAsiaTheme="minorEastAsia" w:hint="eastAsia"/>
          <w:sz w:val="21"/>
        </w:rPr>
        <w:t>（</w:t>
      </w:r>
      <w:r w:rsidR="005D0AD4" w:rsidRPr="00730D93">
        <w:rPr>
          <w:rFonts w:eastAsiaTheme="minorEastAsia" w:hint="eastAsia"/>
          <w:sz w:val="21"/>
        </w:rPr>
        <w:t>见上个答复</w:t>
      </w:r>
      <w:r w:rsidR="005A1670" w:rsidRPr="00730D93">
        <w:rPr>
          <w:rFonts w:eastAsiaTheme="minorEastAsia" w:hint="eastAsia"/>
          <w:sz w:val="21"/>
        </w:rPr>
        <w:t>）</w:t>
      </w:r>
      <w:r w:rsidR="005D0AD4"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szCs w:val="22"/>
        </w:rPr>
      </w:pPr>
      <w:r>
        <w:rPr>
          <w:rFonts w:ascii="SimSun" w:hAnsi="SimSun" w:cs="SimSun" w:hint="eastAsia"/>
          <w:b/>
          <w:sz w:val="21"/>
          <w:szCs w:val="22"/>
        </w:rPr>
        <w:t>问</w:t>
      </w:r>
      <w:r w:rsidR="00B96FF0" w:rsidRPr="0044088F">
        <w:rPr>
          <w:b/>
          <w:sz w:val="21"/>
          <w:szCs w:val="22"/>
        </w:rPr>
        <w:t>4.</w:t>
      </w:r>
      <w:r w:rsidR="00A261D7" w:rsidRPr="0044088F">
        <w:rPr>
          <w:b/>
          <w:sz w:val="21"/>
          <w:szCs w:val="22"/>
        </w:rPr>
        <w:t>WO/PBC/23/7</w:t>
      </w:r>
      <w:r w:rsidR="00A261D7" w:rsidRPr="00730D93">
        <w:rPr>
          <w:rFonts w:eastAsiaTheme="minorEastAsia" w:hint="eastAsia"/>
          <w:b/>
          <w:sz w:val="21"/>
          <w:szCs w:val="22"/>
        </w:rPr>
        <w:t>第</w:t>
      </w:r>
      <w:r w:rsidR="00A261D7" w:rsidRPr="00730D93">
        <w:rPr>
          <w:rFonts w:eastAsiaTheme="minorEastAsia" w:hint="eastAsia"/>
          <w:b/>
          <w:sz w:val="21"/>
          <w:szCs w:val="22"/>
        </w:rPr>
        <w:t>10</w:t>
      </w:r>
      <w:r w:rsidR="00A261D7" w:rsidRPr="00730D93">
        <w:rPr>
          <w:rFonts w:eastAsiaTheme="minorEastAsia" w:hint="eastAsia"/>
          <w:b/>
          <w:sz w:val="21"/>
          <w:szCs w:val="22"/>
        </w:rPr>
        <w:t>节提到</w:t>
      </w:r>
      <w:r w:rsidR="00214AD7" w:rsidRPr="00730D93">
        <w:rPr>
          <w:rFonts w:eastAsiaTheme="minorEastAsia" w:hint="eastAsia"/>
          <w:b/>
          <w:sz w:val="21"/>
          <w:szCs w:val="22"/>
        </w:rPr>
        <w:t>对冲汇率风险的可能性，并且相关的一项提议已得到</w:t>
      </w:r>
      <w:r w:rsidR="00214AD7" w:rsidRPr="00730D93">
        <w:rPr>
          <w:rFonts w:eastAsiaTheme="minorEastAsia" w:hint="eastAsia"/>
          <w:b/>
          <w:sz w:val="21"/>
          <w:szCs w:val="22"/>
        </w:rPr>
        <w:t>PCT</w:t>
      </w:r>
      <w:r w:rsidR="00214AD7" w:rsidRPr="00730D93">
        <w:rPr>
          <w:rFonts w:eastAsiaTheme="minorEastAsia" w:hint="eastAsia"/>
          <w:b/>
          <w:sz w:val="21"/>
          <w:szCs w:val="22"/>
        </w:rPr>
        <w:t>工作组的批准。所设想的对冲是只通过远期市场实现，还是也通过期权？对冲是在内部进行还是由他人承包？</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szCs w:val="22"/>
        </w:rPr>
        <w:t>答</w:t>
      </w:r>
      <w:r w:rsidR="00473AFA" w:rsidRPr="0044088F">
        <w:rPr>
          <w:rFonts w:eastAsia="Arial"/>
          <w:sz w:val="21"/>
          <w:szCs w:val="22"/>
        </w:rPr>
        <w:t>4</w:t>
      </w:r>
      <w:r w:rsidRPr="0044088F">
        <w:rPr>
          <w:rFonts w:ascii="SimSun" w:hAnsi="SimSun" w:cs="SimSun" w:hint="eastAsia"/>
          <w:sz w:val="21"/>
          <w:szCs w:val="22"/>
        </w:rPr>
        <w:t>：</w:t>
      </w:r>
      <w:r w:rsidR="00214AD7" w:rsidRPr="0044088F">
        <w:rPr>
          <w:sz w:val="21"/>
        </w:rPr>
        <w:t>WO/PBC/23/7</w:t>
      </w:r>
      <w:r w:rsidR="00214AD7" w:rsidRPr="00730D93">
        <w:rPr>
          <w:rFonts w:eastAsiaTheme="minorEastAsia" w:hint="eastAsia"/>
          <w:sz w:val="21"/>
        </w:rPr>
        <w:t>第</w:t>
      </w:r>
      <w:r w:rsidR="00214AD7" w:rsidRPr="00730D93">
        <w:rPr>
          <w:rFonts w:eastAsiaTheme="minorEastAsia" w:hint="eastAsia"/>
          <w:sz w:val="21"/>
        </w:rPr>
        <w:t>10</w:t>
      </w:r>
      <w:r w:rsidR="00214AD7" w:rsidRPr="00730D93">
        <w:rPr>
          <w:rFonts w:eastAsiaTheme="minorEastAsia" w:hint="eastAsia"/>
          <w:sz w:val="21"/>
        </w:rPr>
        <w:t>节提到的对冲不应混同于</w:t>
      </w:r>
      <w:r w:rsidR="00214AD7" w:rsidRPr="00730D93">
        <w:rPr>
          <w:rFonts w:eastAsiaTheme="minorEastAsia" w:hint="eastAsia"/>
          <w:sz w:val="21"/>
        </w:rPr>
        <w:t>PCT</w:t>
      </w:r>
      <w:r w:rsidR="00214AD7" w:rsidRPr="00730D93">
        <w:rPr>
          <w:rFonts w:eastAsiaTheme="minorEastAsia" w:hint="eastAsia"/>
          <w:sz w:val="21"/>
        </w:rPr>
        <w:t>工作组最近批准的对冲提议。</w:t>
      </w:r>
      <w:r w:rsidR="00214AD7" w:rsidRPr="00730D93">
        <w:rPr>
          <w:rFonts w:eastAsiaTheme="minorEastAsia" w:hint="eastAsia"/>
          <w:sz w:val="21"/>
        </w:rPr>
        <w:t>PCT</w:t>
      </w:r>
      <w:r w:rsidR="00214AD7" w:rsidRPr="00730D93">
        <w:rPr>
          <w:rFonts w:eastAsiaTheme="minorEastAsia" w:hint="eastAsia"/>
          <w:sz w:val="21"/>
        </w:rPr>
        <w:t>对冲提议旨在缩小收到非瑞郎专利</w:t>
      </w:r>
      <w:r w:rsidR="00214AD7" w:rsidRPr="005A1670">
        <w:rPr>
          <w:rFonts w:hint="eastAsia"/>
          <w:bCs/>
          <w:sz w:val="21"/>
          <w:szCs w:val="22"/>
        </w:rPr>
        <w:t>申请</w:t>
      </w:r>
      <w:r w:rsidR="00214AD7" w:rsidRPr="00730D93">
        <w:rPr>
          <w:rFonts w:eastAsiaTheme="minorEastAsia" w:hint="eastAsia"/>
          <w:sz w:val="21"/>
        </w:rPr>
        <w:t>费所产生的外汇敞口，而第</w:t>
      </w:r>
      <w:r w:rsidR="00214AD7" w:rsidRPr="00730D93">
        <w:rPr>
          <w:rFonts w:eastAsiaTheme="minorEastAsia" w:hint="eastAsia"/>
          <w:sz w:val="21"/>
        </w:rPr>
        <w:t>10</w:t>
      </w:r>
      <w:r w:rsidR="00214AD7" w:rsidRPr="00730D93">
        <w:rPr>
          <w:rFonts w:eastAsiaTheme="minorEastAsia" w:hint="eastAsia"/>
          <w:sz w:val="21"/>
        </w:rPr>
        <w:t>节提到的对冲指的是</w:t>
      </w:r>
      <w:r w:rsidR="00D013C1" w:rsidRPr="00730D93">
        <w:rPr>
          <w:rFonts w:eastAsiaTheme="minorEastAsia" w:hint="eastAsia"/>
          <w:sz w:val="21"/>
        </w:rPr>
        <w:t>要使非瑞郎的已获投资收益免受汇率波动的影响。</w:t>
      </w:r>
    </w:p>
    <w:p w:rsidR="005A1670" w:rsidRPr="00730D93" w:rsidRDefault="00D013C1" w:rsidP="005A1670">
      <w:pPr>
        <w:spacing w:afterLines="50" w:after="120" w:line="340" w:lineRule="atLeast"/>
        <w:jc w:val="both"/>
        <w:rPr>
          <w:rFonts w:eastAsiaTheme="minorEastAsia"/>
          <w:sz w:val="21"/>
        </w:rPr>
      </w:pPr>
      <w:r w:rsidRPr="00730D93">
        <w:rPr>
          <w:rFonts w:eastAsiaTheme="minorEastAsia" w:hint="eastAsia"/>
          <w:sz w:val="21"/>
        </w:rPr>
        <w:t>对投资的对冲将主要由外聘基金</w:t>
      </w:r>
      <w:r w:rsidRPr="005A1670">
        <w:rPr>
          <w:rFonts w:hint="eastAsia"/>
          <w:bCs/>
          <w:sz w:val="21"/>
          <w:szCs w:val="22"/>
        </w:rPr>
        <w:t>经理</w:t>
      </w:r>
      <w:r w:rsidRPr="00730D93">
        <w:rPr>
          <w:rFonts w:eastAsiaTheme="minorEastAsia" w:hint="eastAsia"/>
          <w:sz w:val="21"/>
        </w:rPr>
        <w:t>进行，并由基金经理决定根据情况最适合使用哪种对冲工具。如果在内部进行投资对冲，可能会涉及使用远期合同。</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szCs w:val="22"/>
        </w:rPr>
      </w:pPr>
      <w:r>
        <w:rPr>
          <w:rFonts w:ascii="SimSun" w:hAnsi="SimSun" w:cs="SimSun" w:hint="eastAsia"/>
          <w:b/>
          <w:sz w:val="21"/>
          <w:szCs w:val="22"/>
        </w:rPr>
        <w:t>问</w:t>
      </w:r>
      <w:r w:rsidR="00B96FF0" w:rsidRPr="0044088F">
        <w:rPr>
          <w:b/>
          <w:sz w:val="21"/>
          <w:szCs w:val="22"/>
        </w:rPr>
        <w:t>5</w:t>
      </w:r>
      <w:r w:rsidRPr="0044088F">
        <w:rPr>
          <w:rFonts w:ascii="SimSun" w:hAnsi="SimSun" w:cs="SimSun" w:hint="eastAsia"/>
          <w:b/>
          <w:sz w:val="21"/>
          <w:szCs w:val="22"/>
        </w:rPr>
        <w:t>：</w:t>
      </w:r>
      <w:r w:rsidR="006A1D19" w:rsidRPr="0044088F">
        <w:rPr>
          <w:b/>
          <w:sz w:val="21"/>
          <w:szCs w:val="22"/>
        </w:rPr>
        <w:t>WO/PBC/23/7</w:t>
      </w:r>
      <w:r w:rsidR="006A1D19" w:rsidRPr="00730D93">
        <w:rPr>
          <w:rFonts w:eastAsiaTheme="minorEastAsia" w:hint="eastAsia"/>
          <w:b/>
          <w:sz w:val="21"/>
          <w:szCs w:val="22"/>
        </w:rPr>
        <w:t>提出企业债券的长期风险评级为</w:t>
      </w:r>
      <w:r w:rsidR="006A1D19" w:rsidRPr="0044088F">
        <w:rPr>
          <w:b/>
          <w:sz w:val="21"/>
          <w:szCs w:val="22"/>
        </w:rPr>
        <w:t>BBB-/Baa3</w:t>
      </w:r>
      <w:r w:rsidR="006A1D19" w:rsidRPr="00730D93">
        <w:rPr>
          <w:rFonts w:eastAsiaTheme="minorEastAsia" w:hint="eastAsia"/>
          <w:b/>
          <w:sz w:val="21"/>
          <w:szCs w:val="22"/>
        </w:rPr>
        <w:t>。</w:t>
      </w:r>
      <w:r w:rsidR="006A1D19" w:rsidRPr="0044088F">
        <w:rPr>
          <w:b/>
          <w:sz w:val="21"/>
          <w:szCs w:val="22"/>
        </w:rPr>
        <w:t>WO/PBC/23/</w:t>
      </w:r>
      <w:r w:rsidR="006A1D19" w:rsidRPr="00730D93">
        <w:rPr>
          <w:rFonts w:eastAsiaTheme="minorEastAsia" w:hint="eastAsia"/>
          <w:b/>
          <w:sz w:val="21"/>
          <w:szCs w:val="22"/>
        </w:rPr>
        <w:t>6</w:t>
      </w:r>
      <w:r w:rsidR="006A1D19" w:rsidRPr="00730D93">
        <w:rPr>
          <w:rFonts w:eastAsiaTheme="minorEastAsia" w:hint="eastAsia"/>
          <w:b/>
          <w:sz w:val="21"/>
          <w:szCs w:val="22"/>
        </w:rPr>
        <w:t>提出企业债券的长期风险评级为</w:t>
      </w:r>
      <w:r w:rsidR="006A1D19" w:rsidRPr="0044088F">
        <w:rPr>
          <w:b/>
          <w:sz w:val="21"/>
          <w:szCs w:val="22"/>
        </w:rPr>
        <w:t>BBB-/Baa</w:t>
      </w:r>
      <w:r w:rsidR="006A1D19" w:rsidRPr="00730D93">
        <w:rPr>
          <w:rFonts w:eastAsiaTheme="minorEastAsia" w:hint="eastAsia"/>
          <w:b/>
          <w:sz w:val="21"/>
          <w:szCs w:val="22"/>
        </w:rPr>
        <w:t>2</w:t>
      </w:r>
      <w:r w:rsidR="006A1D19" w:rsidRPr="00730D93">
        <w:rPr>
          <w:rFonts w:eastAsiaTheme="minorEastAsia" w:hint="eastAsia"/>
          <w:b/>
          <w:sz w:val="21"/>
          <w:szCs w:val="22"/>
        </w:rPr>
        <w:t>。此外，后者没有包含</w:t>
      </w:r>
      <w:r w:rsidR="000266E4" w:rsidRPr="00730D93">
        <w:rPr>
          <w:rFonts w:eastAsiaTheme="minorEastAsia" w:hint="eastAsia"/>
          <w:b/>
          <w:sz w:val="21"/>
          <w:szCs w:val="22"/>
        </w:rPr>
        <w:t>国债或企业债券的短期风险评级，而前者包含上述提议。能否对这些拟议要素的出发点进行解释？</w:t>
      </w:r>
    </w:p>
    <w:p w:rsidR="005A1670" w:rsidRPr="00730D93" w:rsidRDefault="0044088F" w:rsidP="005A1670">
      <w:pPr>
        <w:spacing w:afterLines="50" w:after="120" w:line="340" w:lineRule="atLeast"/>
        <w:jc w:val="both"/>
        <w:rPr>
          <w:rFonts w:eastAsiaTheme="minorEastAsia"/>
          <w:sz w:val="21"/>
        </w:rPr>
      </w:pPr>
      <w:r>
        <w:rPr>
          <w:sz w:val="21"/>
          <w:szCs w:val="22"/>
        </w:rPr>
        <w:t>答</w:t>
      </w:r>
      <w:r w:rsidR="00473AFA" w:rsidRPr="0044088F">
        <w:rPr>
          <w:sz w:val="21"/>
          <w:szCs w:val="22"/>
        </w:rPr>
        <w:t>5</w:t>
      </w:r>
      <w:r w:rsidRPr="0044088F">
        <w:rPr>
          <w:sz w:val="21"/>
          <w:szCs w:val="22"/>
        </w:rPr>
        <w:t>：</w:t>
      </w:r>
      <w:r w:rsidR="000266E4" w:rsidRPr="00730D93">
        <w:rPr>
          <w:rFonts w:eastAsiaTheme="minorEastAsia" w:hint="eastAsia"/>
          <w:sz w:val="21"/>
        </w:rPr>
        <w:t>文件</w:t>
      </w:r>
      <w:r w:rsidR="000266E4" w:rsidRPr="0044088F">
        <w:rPr>
          <w:sz w:val="21"/>
        </w:rPr>
        <w:t>WO/PBC/23/6</w:t>
      </w:r>
      <w:r w:rsidR="007E5EC1" w:rsidRPr="00730D93">
        <w:rPr>
          <w:rFonts w:eastAsiaTheme="minorEastAsia" w:hint="eastAsia"/>
          <w:sz w:val="21"/>
        </w:rPr>
        <w:t>载有目前政策所需的最小程度修改，以便得到一项自</w:t>
      </w:r>
      <w:r w:rsidR="007E5EC1" w:rsidRPr="00730D93">
        <w:rPr>
          <w:rFonts w:eastAsiaTheme="minorEastAsia" w:hint="eastAsia"/>
          <w:sz w:val="21"/>
        </w:rPr>
        <w:t>2015</w:t>
      </w:r>
      <w:r w:rsidR="007E5EC1" w:rsidRPr="00730D93">
        <w:rPr>
          <w:rFonts w:eastAsiaTheme="minorEastAsia" w:hint="eastAsia"/>
          <w:sz w:val="21"/>
        </w:rPr>
        <w:t>年</w:t>
      </w:r>
      <w:r w:rsidR="007E5EC1" w:rsidRPr="00730D93">
        <w:rPr>
          <w:rFonts w:eastAsiaTheme="minorEastAsia" w:hint="eastAsia"/>
          <w:sz w:val="21"/>
        </w:rPr>
        <w:t>12</w:t>
      </w:r>
      <w:r w:rsidR="007E5EC1" w:rsidRPr="00730D93">
        <w:rPr>
          <w:rFonts w:eastAsiaTheme="minorEastAsia" w:hint="eastAsia"/>
          <w:sz w:val="21"/>
        </w:rPr>
        <w:t>月起当</w:t>
      </w:r>
      <w:r w:rsidR="007E5EC1" w:rsidRPr="00730D93">
        <w:rPr>
          <w:rFonts w:eastAsiaTheme="minorEastAsia" w:hint="eastAsia"/>
          <w:sz w:val="21"/>
        </w:rPr>
        <w:t>WIPO</w:t>
      </w:r>
      <w:r w:rsidR="007E5EC1" w:rsidRPr="00730D93">
        <w:rPr>
          <w:rFonts w:eastAsiaTheme="minorEastAsia" w:hint="eastAsia"/>
          <w:sz w:val="21"/>
        </w:rPr>
        <w:t>所有投资从瑞士机构中撤出时本组织可以采取的投资政策。该文件以目前的投资政策作为依据，提出了少数几项政策修改建议。</w:t>
      </w:r>
    </w:p>
    <w:p w:rsidR="005A1670" w:rsidRPr="00730D93" w:rsidRDefault="007E5EC1" w:rsidP="005A1670">
      <w:pPr>
        <w:spacing w:afterLines="50" w:after="120" w:line="340" w:lineRule="atLeast"/>
        <w:jc w:val="both"/>
        <w:rPr>
          <w:rFonts w:eastAsiaTheme="minorEastAsia"/>
          <w:sz w:val="21"/>
        </w:rPr>
      </w:pPr>
      <w:r w:rsidRPr="00730D93">
        <w:rPr>
          <w:rFonts w:eastAsiaTheme="minorEastAsia" w:hint="eastAsia"/>
          <w:sz w:val="21"/>
        </w:rPr>
        <w:lastRenderedPageBreak/>
        <w:t>文件</w:t>
      </w:r>
      <w:r w:rsidRPr="0044088F">
        <w:rPr>
          <w:sz w:val="21"/>
        </w:rPr>
        <w:t>WO/PBC/23/7</w:t>
      </w:r>
      <w:r w:rsidRPr="00730D93">
        <w:rPr>
          <w:rFonts w:eastAsiaTheme="minorEastAsia" w:hint="eastAsia"/>
          <w:sz w:val="21"/>
        </w:rPr>
        <w:t>提出的修改建议更为广泛，如果所有决定都得到通过，这将意味着制定两项全新的投资政策。</w:t>
      </w:r>
      <w:r w:rsidR="00001FA8" w:rsidRPr="00730D93">
        <w:rPr>
          <w:rFonts w:eastAsiaTheme="minorEastAsia" w:hint="eastAsia"/>
          <w:sz w:val="21"/>
        </w:rPr>
        <w:t>只</w:t>
      </w:r>
      <w:r w:rsidRPr="00730D93">
        <w:rPr>
          <w:rFonts w:eastAsiaTheme="minorEastAsia" w:hint="eastAsia"/>
          <w:sz w:val="21"/>
        </w:rPr>
        <w:t>在该文件中讨论了短期和长期投资之间的区别以及</w:t>
      </w:r>
      <w:r w:rsidR="00001FA8" w:rsidRPr="00730D93">
        <w:rPr>
          <w:rFonts w:eastAsiaTheme="minorEastAsia" w:hint="eastAsia"/>
          <w:sz w:val="21"/>
        </w:rPr>
        <w:t>有必要</w:t>
      </w:r>
      <w:r w:rsidRPr="00730D93">
        <w:rPr>
          <w:rFonts w:eastAsiaTheme="minorEastAsia" w:hint="eastAsia"/>
          <w:sz w:val="21"/>
        </w:rPr>
        <w:t>接受更多风险</w:t>
      </w:r>
      <w:r w:rsidR="005A1670" w:rsidRPr="00730D93">
        <w:rPr>
          <w:rFonts w:eastAsiaTheme="minorEastAsia" w:hint="eastAsia"/>
          <w:sz w:val="21"/>
        </w:rPr>
        <w:t>（</w:t>
      </w:r>
      <w:r w:rsidR="00001FA8" w:rsidRPr="00730D93">
        <w:rPr>
          <w:rFonts w:eastAsiaTheme="minorEastAsia" w:hint="eastAsia"/>
          <w:sz w:val="21"/>
        </w:rPr>
        <w:t>因此企业债券投资的风险评级为</w:t>
      </w:r>
      <w:r w:rsidR="00001FA8" w:rsidRPr="0044088F">
        <w:rPr>
          <w:sz w:val="21"/>
        </w:rPr>
        <w:t>BBB/Baa2</w:t>
      </w:r>
      <w:r w:rsidR="005A1670" w:rsidRPr="00730D93">
        <w:rPr>
          <w:rFonts w:eastAsiaTheme="minorEastAsia" w:hint="eastAsia"/>
          <w:sz w:val="21"/>
        </w:rPr>
        <w:t>）</w:t>
      </w:r>
      <w:r w:rsidR="00001FA8" w:rsidRPr="00730D93">
        <w:rPr>
          <w:rFonts w:eastAsiaTheme="minorEastAsia" w:hint="eastAsia"/>
          <w:sz w:val="21"/>
        </w:rPr>
        <w:t>这些议题。文件</w:t>
      </w:r>
      <w:r w:rsidR="00001FA8" w:rsidRPr="0044088F">
        <w:rPr>
          <w:sz w:val="21"/>
        </w:rPr>
        <w:t>WO/PBC/23/</w:t>
      </w:r>
      <w:r w:rsidR="00001FA8" w:rsidRPr="00730D93">
        <w:rPr>
          <w:rFonts w:eastAsiaTheme="minorEastAsia" w:hint="eastAsia"/>
          <w:sz w:val="21"/>
        </w:rPr>
        <w:t>6</w:t>
      </w:r>
      <w:r w:rsidR="00001FA8" w:rsidRPr="00730D93">
        <w:rPr>
          <w:rFonts w:eastAsiaTheme="minorEastAsia" w:hint="eastAsia"/>
          <w:sz w:val="21"/>
        </w:rPr>
        <w:t>中所建议的政策不需要上述要素。</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szCs w:val="22"/>
        </w:rPr>
      </w:pPr>
      <w:r>
        <w:rPr>
          <w:rFonts w:ascii="SimSun" w:hAnsi="SimSun" w:cs="SimSun" w:hint="eastAsia"/>
          <w:b/>
          <w:sz w:val="21"/>
          <w:szCs w:val="22"/>
        </w:rPr>
        <w:t>问</w:t>
      </w:r>
      <w:r w:rsidR="00B96FF0" w:rsidRPr="0044088F">
        <w:rPr>
          <w:b/>
          <w:sz w:val="21"/>
          <w:szCs w:val="22"/>
        </w:rPr>
        <w:t>6</w:t>
      </w:r>
      <w:r w:rsidRPr="0044088F">
        <w:rPr>
          <w:rFonts w:ascii="SimSun" w:hAnsi="SimSun" w:cs="SimSun" w:hint="eastAsia"/>
          <w:b/>
          <w:sz w:val="21"/>
          <w:szCs w:val="22"/>
        </w:rPr>
        <w:t>：</w:t>
      </w:r>
      <w:r w:rsidR="00001FA8" w:rsidRPr="0044088F">
        <w:rPr>
          <w:b/>
          <w:sz w:val="21"/>
          <w:szCs w:val="22"/>
        </w:rPr>
        <w:t>WO/PBC/23/7</w:t>
      </w:r>
      <w:r w:rsidR="00001FA8" w:rsidRPr="00730D93">
        <w:rPr>
          <w:rFonts w:eastAsiaTheme="minorEastAsia" w:hint="eastAsia"/>
          <w:b/>
          <w:sz w:val="21"/>
          <w:szCs w:val="22"/>
        </w:rPr>
        <w:t>第</w:t>
      </w:r>
      <w:r w:rsidR="00001FA8" w:rsidRPr="00730D93">
        <w:rPr>
          <w:rFonts w:eastAsiaTheme="minorEastAsia" w:hint="eastAsia"/>
          <w:b/>
          <w:sz w:val="21"/>
          <w:szCs w:val="22"/>
        </w:rPr>
        <w:t>10</w:t>
      </w:r>
      <w:r w:rsidR="00001FA8" w:rsidRPr="00730D93">
        <w:rPr>
          <w:rFonts w:eastAsiaTheme="minorEastAsia" w:hint="eastAsia"/>
          <w:b/>
          <w:sz w:val="21"/>
          <w:szCs w:val="22"/>
        </w:rPr>
        <w:t>节载有</w:t>
      </w:r>
      <w:r w:rsidR="005E4C88" w:rsidRPr="00730D93">
        <w:rPr>
          <w:rFonts w:eastAsiaTheme="minorEastAsia" w:hint="eastAsia"/>
          <w:b/>
          <w:sz w:val="21"/>
          <w:szCs w:val="22"/>
        </w:rPr>
        <w:t>拟议的核心现金资产类别列表。第</w:t>
      </w:r>
      <w:r w:rsidR="005E4C88" w:rsidRPr="00730D93">
        <w:rPr>
          <w:rFonts w:eastAsiaTheme="minorEastAsia" w:hint="eastAsia"/>
          <w:b/>
          <w:sz w:val="21"/>
          <w:szCs w:val="22"/>
        </w:rPr>
        <w:t>5</w:t>
      </w:r>
      <w:r w:rsidR="005E4C88" w:rsidRPr="00730D93">
        <w:rPr>
          <w:rFonts w:eastAsiaTheme="minorEastAsia" w:hint="eastAsia"/>
          <w:b/>
          <w:sz w:val="21"/>
          <w:szCs w:val="22"/>
        </w:rPr>
        <w:t>节提到其中一些类别也可用于营运现金。能否</w:t>
      </w:r>
      <w:r w:rsidR="005E4C88" w:rsidRPr="00730D93">
        <w:rPr>
          <w:rFonts w:eastAsiaTheme="minorEastAsia" w:hint="eastAsia"/>
          <w:b/>
          <w:sz w:val="21"/>
        </w:rPr>
        <w:t>解释</w:t>
      </w:r>
      <w:r w:rsidR="005E4C88" w:rsidRPr="00730D93">
        <w:rPr>
          <w:rFonts w:eastAsiaTheme="minorEastAsia" w:hint="eastAsia"/>
          <w:b/>
          <w:sz w:val="21"/>
          <w:szCs w:val="22"/>
        </w:rPr>
        <w:t>第</w:t>
      </w:r>
      <w:r w:rsidR="005E4C88" w:rsidRPr="00730D93">
        <w:rPr>
          <w:rFonts w:eastAsiaTheme="minorEastAsia" w:hint="eastAsia"/>
          <w:b/>
          <w:sz w:val="21"/>
          <w:szCs w:val="22"/>
        </w:rPr>
        <w:t>10</w:t>
      </w:r>
      <w:r w:rsidR="005E4C88" w:rsidRPr="00730D93">
        <w:rPr>
          <w:rFonts w:eastAsiaTheme="minorEastAsia" w:hint="eastAsia"/>
          <w:b/>
          <w:sz w:val="21"/>
          <w:szCs w:val="22"/>
        </w:rPr>
        <w:t>节所列的哪些类别被认为具有充分的流动性，因此可以用于营运现金？</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szCs w:val="22"/>
        </w:rPr>
        <w:t>答</w:t>
      </w:r>
      <w:r w:rsidR="00473AFA" w:rsidRPr="0044088F">
        <w:rPr>
          <w:rFonts w:eastAsia="Arial"/>
          <w:sz w:val="21"/>
          <w:szCs w:val="22"/>
        </w:rPr>
        <w:t>6</w:t>
      </w:r>
      <w:r w:rsidRPr="0044088F">
        <w:rPr>
          <w:rFonts w:ascii="SimSun" w:hAnsi="SimSun" w:cs="SimSun" w:hint="eastAsia"/>
          <w:sz w:val="21"/>
          <w:szCs w:val="22"/>
        </w:rPr>
        <w:t>：</w:t>
      </w:r>
      <w:r w:rsidR="005E4C88" w:rsidRPr="00730D93">
        <w:rPr>
          <w:rFonts w:eastAsiaTheme="minorEastAsia" w:hint="eastAsia"/>
          <w:sz w:val="21"/>
        </w:rPr>
        <w:t>第</w:t>
      </w:r>
      <w:r w:rsidR="005E4C88" w:rsidRPr="00730D93">
        <w:rPr>
          <w:rFonts w:eastAsiaTheme="minorEastAsia" w:hint="eastAsia"/>
          <w:sz w:val="21"/>
        </w:rPr>
        <w:t>10</w:t>
      </w:r>
      <w:r w:rsidR="005E4C88" w:rsidRPr="00730D93">
        <w:rPr>
          <w:rFonts w:eastAsiaTheme="minorEastAsia" w:hint="eastAsia"/>
          <w:sz w:val="21"/>
        </w:rPr>
        <w:t>节所列的大部分资产类别都可以用于营运现金，因为所有这些资产都可以在一段时间内持有。主要的例外是私募和</w:t>
      </w:r>
      <w:r w:rsidR="00A43714" w:rsidRPr="00730D93">
        <w:rPr>
          <w:rFonts w:eastAsiaTheme="minorEastAsia" w:hint="eastAsia"/>
          <w:sz w:val="21"/>
        </w:rPr>
        <w:t>不动</w:t>
      </w:r>
      <w:r w:rsidR="005E4C88" w:rsidRPr="00730D93">
        <w:rPr>
          <w:rFonts w:eastAsiaTheme="minorEastAsia" w:hint="eastAsia"/>
          <w:sz w:val="21"/>
        </w:rPr>
        <w:t>产投资信托。但</w:t>
      </w:r>
      <w:r w:rsidR="00A43714" w:rsidRPr="00730D93">
        <w:rPr>
          <w:rFonts w:eastAsiaTheme="minorEastAsia" w:hint="eastAsia"/>
          <w:sz w:val="21"/>
        </w:rPr>
        <w:t>值得注意的是，在目前的负利率环境中，可以用于营运现金的资产类别目前在到期时为负利率，</w:t>
      </w:r>
      <w:r w:rsidR="00802A97" w:rsidRPr="00730D93">
        <w:rPr>
          <w:rFonts w:eastAsiaTheme="minorEastAsia" w:hint="eastAsia"/>
          <w:sz w:val="21"/>
        </w:rPr>
        <w:t>这被认为具有流动性</w:t>
      </w:r>
      <w:r w:rsidR="005A1670" w:rsidRPr="00730D93">
        <w:rPr>
          <w:rFonts w:eastAsiaTheme="minorEastAsia" w:hint="eastAsia"/>
          <w:sz w:val="21"/>
        </w:rPr>
        <w:t>（</w:t>
      </w:r>
      <w:r w:rsidR="00802A97" w:rsidRPr="00730D93">
        <w:rPr>
          <w:rFonts w:eastAsiaTheme="minorEastAsia" w:hint="eastAsia"/>
          <w:sz w:val="21"/>
        </w:rPr>
        <w:t>最长至</w:t>
      </w:r>
      <w:r w:rsidR="00802A97" w:rsidRPr="00730D93">
        <w:rPr>
          <w:rFonts w:eastAsiaTheme="minorEastAsia" w:hint="eastAsia"/>
          <w:sz w:val="21"/>
        </w:rPr>
        <w:t>12</w:t>
      </w:r>
      <w:r w:rsidR="00802A97" w:rsidRPr="00730D93">
        <w:rPr>
          <w:rFonts w:eastAsiaTheme="minorEastAsia" w:hint="eastAsia"/>
          <w:sz w:val="21"/>
        </w:rPr>
        <w:t>个月的期限</w:t>
      </w:r>
      <w:r w:rsidR="005A1670" w:rsidRPr="00730D93">
        <w:rPr>
          <w:rFonts w:eastAsiaTheme="minorEastAsia" w:hint="eastAsia"/>
          <w:sz w:val="21"/>
        </w:rPr>
        <w:t>）</w:t>
      </w:r>
      <w:r w:rsidR="00802A97"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B96FF0" w:rsidRPr="0044088F">
        <w:rPr>
          <w:b/>
          <w:sz w:val="21"/>
        </w:rPr>
        <w:t>7</w:t>
      </w:r>
      <w:r w:rsidR="005655C4">
        <w:rPr>
          <w:rFonts w:hint="eastAsia"/>
          <w:b/>
          <w:sz w:val="21"/>
        </w:rPr>
        <w:t>：</w:t>
      </w:r>
      <w:r w:rsidR="00802A97" w:rsidRPr="00730D93">
        <w:rPr>
          <w:rFonts w:eastAsiaTheme="minorEastAsia" w:hint="eastAsia"/>
          <w:b/>
          <w:sz w:val="21"/>
        </w:rPr>
        <w:t>能否详细说明银行合作伙伴和资产类别多样化以及拟议的风险评级如何为在流动性要求与预期收益之间取得平衡而共同发挥作用？</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rPr>
        <w:t>答</w:t>
      </w:r>
      <w:r w:rsidR="00473AFA" w:rsidRPr="0044088F">
        <w:rPr>
          <w:rFonts w:eastAsia="Arial"/>
          <w:sz w:val="21"/>
        </w:rPr>
        <w:t>7</w:t>
      </w:r>
      <w:r w:rsidRPr="0044088F">
        <w:rPr>
          <w:rFonts w:ascii="SimSun" w:hAnsi="SimSun" w:cs="SimSun" w:hint="eastAsia"/>
          <w:sz w:val="21"/>
        </w:rPr>
        <w:t>：</w:t>
      </w:r>
      <w:r w:rsidR="00802A97" w:rsidRPr="00730D93">
        <w:rPr>
          <w:rFonts w:eastAsiaTheme="minorEastAsia" w:hint="eastAsia"/>
          <w:sz w:val="21"/>
        </w:rPr>
        <w:t>银行合作伙伴和资产类别投资多样化能够使本组织在减少风险的同时争取获得正回报。拟议的风险评级属于评级机构所</w:t>
      </w:r>
      <w:r w:rsidR="00524BED" w:rsidRPr="00730D93">
        <w:rPr>
          <w:rFonts w:eastAsiaTheme="minorEastAsia" w:hint="eastAsia"/>
          <w:sz w:val="21"/>
        </w:rPr>
        <w:t>发布的“投资”评级类别</w:t>
      </w:r>
      <w:r w:rsidR="00B82A4B" w:rsidRPr="00730D93">
        <w:rPr>
          <w:rFonts w:eastAsiaTheme="minorEastAsia" w:hint="eastAsia"/>
          <w:sz w:val="21"/>
        </w:rPr>
        <w:t>。通过将达到上述评级作为最低标准，</w:t>
      </w:r>
      <w:r w:rsidR="00B82A4B" w:rsidRPr="00730D93">
        <w:rPr>
          <w:rFonts w:eastAsiaTheme="minorEastAsia" w:hint="eastAsia"/>
          <w:sz w:val="21"/>
        </w:rPr>
        <w:t>WIPO</w:t>
      </w:r>
      <w:r w:rsidR="00B82A4B" w:rsidRPr="00730D93">
        <w:rPr>
          <w:rFonts w:eastAsiaTheme="minorEastAsia" w:hint="eastAsia"/>
          <w:sz w:val="21"/>
        </w:rPr>
        <w:t>也在努力使风险最小化。这些评级将适用于在资产类别内所作出的投资选择。</w:t>
      </w:r>
    </w:p>
    <w:p w:rsidR="005A1670" w:rsidRDefault="0044088F" w:rsidP="005A1670">
      <w:pPr>
        <w:pStyle w:val="ONUME"/>
        <w:keepNext/>
        <w:numPr>
          <w:ilvl w:val="0"/>
          <w:numId w:val="0"/>
        </w:numPr>
        <w:overflowPunct w:val="0"/>
        <w:spacing w:beforeLines="100" w:before="240" w:afterLines="50" w:after="120" w:line="340" w:lineRule="atLeast"/>
        <w:jc w:val="both"/>
        <w:rPr>
          <w:b/>
          <w:sz w:val="21"/>
        </w:rPr>
      </w:pPr>
      <w:r>
        <w:rPr>
          <w:b/>
          <w:sz w:val="21"/>
        </w:rPr>
        <w:t>问</w:t>
      </w:r>
      <w:r w:rsidR="005C3DBE" w:rsidRPr="0044088F">
        <w:rPr>
          <w:b/>
          <w:sz w:val="21"/>
        </w:rPr>
        <w:t>8</w:t>
      </w:r>
      <w:r w:rsidR="005655C4">
        <w:rPr>
          <w:rFonts w:hint="eastAsia"/>
          <w:b/>
          <w:sz w:val="21"/>
        </w:rPr>
        <w:t>：</w:t>
      </w:r>
      <w:r w:rsidR="00D40AEA" w:rsidRPr="0044088F">
        <w:rPr>
          <w:rFonts w:hint="eastAsia"/>
          <w:b/>
          <w:sz w:val="21"/>
        </w:rPr>
        <w:t>对投资政策第</w:t>
      </w:r>
      <w:r w:rsidR="00D40AEA" w:rsidRPr="0044088F">
        <w:rPr>
          <w:rFonts w:hint="eastAsia"/>
          <w:b/>
          <w:sz w:val="21"/>
        </w:rPr>
        <w:t>2</w:t>
      </w:r>
      <w:r w:rsidR="00C1467A" w:rsidRPr="00730D93">
        <w:rPr>
          <w:rFonts w:eastAsiaTheme="minorEastAsia" w:hint="eastAsia"/>
          <w:b/>
          <w:sz w:val="21"/>
        </w:rPr>
        <w:t>款</w:t>
      </w:r>
      <w:r w:rsidR="005A1670">
        <w:rPr>
          <w:rFonts w:hint="eastAsia"/>
          <w:b/>
          <w:sz w:val="21"/>
        </w:rPr>
        <w:t>（</w:t>
      </w:r>
      <w:r w:rsidR="00D40AEA" w:rsidRPr="0044088F">
        <w:rPr>
          <w:rFonts w:hint="eastAsia"/>
          <w:b/>
          <w:sz w:val="21"/>
        </w:rPr>
        <w:t>目标</w:t>
      </w:r>
      <w:r w:rsidR="005A1670">
        <w:rPr>
          <w:rFonts w:hint="eastAsia"/>
          <w:b/>
          <w:sz w:val="21"/>
        </w:rPr>
        <w:t>）</w:t>
      </w:r>
      <w:r w:rsidR="00D40AEA" w:rsidRPr="0044088F">
        <w:rPr>
          <w:rFonts w:hint="eastAsia"/>
          <w:b/>
          <w:sz w:val="21"/>
        </w:rPr>
        <w:t>的拟议修改会带来怎样的影响和意义，特别是</w:t>
      </w:r>
      <w:r w:rsidR="00154937" w:rsidRPr="00730D93">
        <w:rPr>
          <w:rFonts w:eastAsiaTheme="minorEastAsia" w:hint="eastAsia"/>
          <w:b/>
          <w:sz w:val="21"/>
        </w:rPr>
        <w:t>关于</w:t>
      </w:r>
      <w:r w:rsidR="00D40AEA" w:rsidRPr="0044088F">
        <w:rPr>
          <w:rFonts w:hint="eastAsia"/>
          <w:b/>
          <w:sz w:val="21"/>
        </w:rPr>
        <w:t>资本保全</w:t>
      </w:r>
      <w:r w:rsidR="00D40AEA" w:rsidRPr="00730D93">
        <w:rPr>
          <w:rFonts w:eastAsiaTheme="minorEastAsia" w:hint="eastAsia"/>
          <w:b/>
          <w:sz w:val="21"/>
        </w:rPr>
        <w:t>“</w:t>
      </w:r>
      <w:r w:rsidR="00D40AEA" w:rsidRPr="0044088F">
        <w:rPr>
          <w:rFonts w:hint="eastAsia"/>
          <w:b/>
          <w:sz w:val="21"/>
        </w:rPr>
        <w:t>如通行利率为负则在尽可能的范围内</w:t>
      </w:r>
      <w:r w:rsidR="00D40AEA" w:rsidRPr="00730D93">
        <w:rPr>
          <w:rFonts w:eastAsiaTheme="minorEastAsia" w:hint="eastAsia"/>
          <w:b/>
          <w:sz w:val="21"/>
        </w:rPr>
        <w:t>”</w:t>
      </w:r>
      <w:r w:rsidR="00C85C86" w:rsidRPr="00730D93">
        <w:rPr>
          <w:rFonts w:eastAsiaTheme="minorEastAsia" w:hint="eastAsia"/>
          <w:b/>
          <w:sz w:val="21"/>
        </w:rPr>
        <w:t>的规定</w:t>
      </w:r>
      <w:r w:rsidR="00D40AEA" w:rsidRPr="00730D93">
        <w:rPr>
          <w:rFonts w:eastAsiaTheme="minorEastAsia" w:hint="eastAsia"/>
          <w:b/>
          <w:sz w:val="21"/>
        </w:rPr>
        <w:t>？</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8</w:t>
      </w:r>
      <w:r w:rsidRPr="0044088F">
        <w:rPr>
          <w:sz w:val="21"/>
        </w:rPr>
        <w:t>：</w:t>
      </w:r>
      <w:r w:rsidR="00154937" w:rsidRPr="00730D93">
        <w:rPr>
          <w:rFonts w:eastAsiaTheme="minorEastAsia" w:hint="eastAsia"/>
          <w:sz w:val="21"/>
        </w:rPr>
        <w:t>根据目前的投资政策，本组织投资管理的最重要目标是为了保全资本。在负利率的环境中，资本保全的能力显然被削弱，因为负利率减少了资本项目差额。为了避免这种情况的发生，需要将资本投资于能够产生正收益率的资产。这类资产比银行存款这</w:t>
      </w:r>
      <w:r w:rsidR="009575E1" w:rsidRPr="00730D93">
        <w:rPr>
          <w:rFonts w:eastAsiaTheme="minorEastAsia" w:hint="eastAsia"/>
          <w:sz w:val="21"/>
        </w:rPr>
        <w:t>类</w:t>
      </w:r>
      <w:r w:rsidR="00154937" w:rsidRPr="00730D93">
        <w:rPr>
          <w:rFonts w:eastAsiaTheme="minorEastAsia" w:hint="eastAsia"/>
          <w:sz w:val="21"/>
        </w:rPr>
        <w:t>负利率资产具有更高的风险。</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C3DBE" w:rsidRPr="0044088F">
        <w:rPr>
          <w:b/>
          <w:sz w:val="21"/>
        </w:rPr>
        <w:t>9</w:t>
      </w:r>
      <w:r w:rsidR="005655C4">
        <w:rPr>
          <w:rFonts w:hint="eastAsia"/>
          <w:b/>
          <w:sz w:val="21"/>
        </w:rPr>
        <w:t>：</w:t>
      </w:r>
      <w:r w:rsidR="005B4B36" w:rsidRPr="00730D93">
        <w:rPr>
          <w:rFonts w:eastAsiaTheme="minorEastAsia" w:hint="eastAsia"/>
          <w:b/>
          <w:sz w:val="21"/>
        </w:rPr>
        <w:t>投资政策第</w:t>
      </w:r>
      <w:r w:rsidR="005B4B36" w:rsidRPr="00730D93">
        <w:rPr>
          <w:rFonts w:eastAsiaTheme="minorEastAsia" w:hint="eastAsia"/>
          <w:b/>
          <w:sz w:val="21"/>
        </w:rPr>
        <w:t>7</w:t>
      </w:r>
      <w:r w:rsidR="00C1467A" w:rsidRPr="00730D93">
        <w:rPr>
          <w:rFonts w:eastAsiaTheme="minorEastAsia" w:hint="eastAsia"/>
          <w:b/>
          <w:sz w:val="21"/>
        </w:rPr>
        <w:t>款</w:t>
      </w:r>
      <w:r w:rsidR="005A1670" w:rsidRPr="00730D93">
        <w:rPr>
          <w:rFonts w:eastAsiaTheme="minorEastAsia" w:hint="eastAsia"/>
          <w:b/>
          <w:sz w:val="21"/>
        </w:rPr>
        <w:t>（</w:t>
      </w:r>
      <w:r w:rsidR="00C1467A" w:rsidRPr="00730D93">
        <w:rPr>
          <w:rFonts w:eastAsiaTheme="minorEastAsia" w:hint="eastAsia"/>
          <w:b/>
          <w:sz w:val="21"/>
        </w:rPr>
        <w:t>这部分不受目前的拟议修订的影响</w:t>
      </w:r>
      <w:r w:rsidR="005A1670" w:rsidRPr="00730D93">
        <w:rPr>
          <w:rFonts w:eastAsiaTheme="minorEastAsia" w:hint="eastAsia"/>
          <w:b/>
          <w:sz w:val="21"/>
        </w:rPr>
        <w:t>）</w:t>
      </w:r>
      <w:r w:rsidR="005B4B36" w:rsidRPr="00730D93">
        <w:rPr>
          <w:rFonts w:eastAsiaTheme="minorEastAsia" w:hint="eastAsia"/>
          <w:b/>
          <w:sz w:val="21"/>
        </w:rPr>
        <w:t>的确考虑了以瑞郎以外的货币进行投资的情况，</w:t>
      </w:r>
      <w:r w:rsidR="00C1467A" w:rsidRPr="00730D93">
        <w:rPr>
          <w:rFonts w:eastAsiaTheme="minorEastAsia" w:hint="eastAsia"/>
          <w:b/>
          <w:sz w:val="21"/>
        </w:rPr>
        <w:t>为使用对冲工具而进行拨备，以使相关风险最小化。在将该灵活性考虑在内的情况下，哪些具体情况可能由于负利率而造成无法避免的资金流失，即便投资政策允许以瑞郎以外的货币进行投资？以及</w:t>
      </w:r>
      <w:r w:rsidR="00550192" w:rsidRPr="00730D93">
        <w:rPr>
          <w:rFonts w:eastAsiaTheme="minorEastAsia" w:hint="eastAsia"/>
          <w:b/>
          <w:sz w:val="21"/>
        </w:rPr>
        <w:t>在这些情况中的</w:t>
      </w:r>
      <w:r w:rsidR="00C1467A" w:rsidRPr="00730D93">
        <w:rPr>
          <w:rFonts w:eastAsiaTheme="minorEastAsia" w:hint="eastAsia"/>
          <w:b/>
          <w:sz w:val="21"/>
        </w:rPr>
        <w:t>资金流失量有多大？</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9</w:t>
      </w:r>
      <w:r w:rsidRPr="0044088F">
        <w:rPr>
          <w:sz w:val="21"/>
        </w:rPr>
        <w:t>：</w:t>
      </w:r>
      <w:r w:rsidR="00550192" w:rsidRPr="00730D93">
        <w:rPr>
          <w:rFonts w:eastAsiaTheme="minorEastAsia" w:hint="eastAsia"/>
          <w:sz w:val="21"/>
        </w:rPr>
        <w:t>目前在不同国家的确存在正利率，但有时只针对中期投资</w:t>
      </w:r>
      <w:r w:rsidR="005A1670" w:rsidRPr="00730D93">
        <w:rPr>
          <w:rFonts w:eastAsiaTheme="minorEastAsia" w:hint="eastAsia"/>
          <w:sz w:val="21"/>
        </w:rPr>
        <w:t>（</w:t>
      </w:r>
      <w:r w:rsidR="00550192" w:rsidRPr="00730D93">
        <w:rPr>
          <w:rFonts w:eastAsiaTheme="minorEastAsia" w:hint="eastAsia"/>
          <w:sz w:val="21"/>
        </w:rPr>
        <w:t>5-10</w:t>
      </w:r>
      <w:r w:rsidR="00550192" w:rsidRPr="00730D93">
        <w:rPr>
          <w:rFonts w:eastAsiaTheme="minorEastAsia" w:hint="eastAsia"/>
          <w:sz w:val="21"/>
        </w:rPr>
        <w:t>年</w:t>
      </w:r>
      <w:r w:rsidR="005A1670" w:rsidRPr="00730D93">
        <w:rPr>
          <w:rFonts w:eastAsiaTheme="minorEastAsia" w:hint="eastAsia"/>
          <w:sz w:val="21"/>
        </w:rPr>
        <w:t>）</w:t>
      </w:r>
      <w:r w:rsidR="00550192" w:rsidRPr="00730D93">
        <w:rPr>
          <w:rFonts w:eastAsiaTheme="minorEastAsia" w:hint="eastAsia"/>
          <w:sz w:val="21"/>
        </w:rPr>
        <w:t>，这对于本组织可能不是适当的投资期限。如果秘书处了解到以外汇持有的一项投资在对冲回瑞郎时可以带来正回报</w:t>
      </w:r>
      <w:r w:rsidR="005A1670" w:rsidRPr="00730D93">
        <w:rPr>
          <w:rFonts w:eastAsiaTheme="minorEastAsia" w:hint="eastAsia"/>
          <w:sz w:val="21"/>
        </w:rPr>
        <w:t>（</w:t>
      </w:r>
      <w:r w:rsidR="00550192" w:rsidRPr="00730D93">
        <w:rPr>
          <w:rFonts w:eastAsiaTheme="minorEastAsia" w:hint="eastAsia"/>
          <w:sz w:val="21"/>
        </w:rPr>
        <w:t>现实中经常不是这种情况</w:t>
      </w:r>
      <w:r w:rsidR="005A1670" w:rsidRPr="00730D93">
        <w:rPr>
          <w:rFonts w:eastAsiaTheme="minorEastAsia" w:hint="eastAsia"/>
          <w:sz w:val="21"/>
        </w:rPr>
        <w:t>）</w:t>
      </w:r>
      <w:r w:rsidR="00550192" w:rsidRPr="00730D93">
        <w:rPr>
          <w:rFonts w:eastAsiaTheme="minorEastAsia" w:hint="eastAsia"/>
          <w:sz w:val="21"/>
        </w:rPr>
        <w:t>，并且如果该投资的期限符合</w:t>
      </w:r>
      <w:r w:rsidR="00550192" w:rsidRPr="00730D93">
        <w:rPr>
          <w:rFonts w:eastAsiaTheme="minorEastAsia" w:hint="eastAsia"/>
          <w:sz w:val="21"/>
        </w:rPr>
        <w:t>WIPO</w:t>
      </w:r>
      <w:r w:rsidR="00550192" w:rsidRPr="00730D93">
        <w:rPr>
          <w:rFonts w:eastAsiaTheme="minorEastAsia" w:hint="eastAsia"/>
          <w:sz w:val="21"/>
        </w:rPr>
        <w:t>的要求，那么显然会对该投资予以关注。</w:t>
      </w:r>
      <w:r w:rsidR="009575E1" w:rsidRPr="00730D93">
        <w:rPr>
          <w:rFonts w:eastAsiaTheme="minorEastAsia" w:hint="eastAsia"/>
          <w:sz w:val="21"/>
        </w:rPr>
        <w:t>但是，风险最小化的需求</w:t>
      </w:r>
      <w:r w:rsidR="00550192" w:rsidRPr="00730D93">
        <w:rPr>
          <w:rFonts w:eastAsiaTheme="minorEastAsia" w:hint="eastAsia"/>
          <w:sz w:val="21"/>
        </w:rPr>
        <w:t>要求采取多样化的方式，因此不可能将</w:t>
      </w:r>
      <w:r w:rsidR="00550192" w:rsidRPr="00730D93">
        <w:rPr>
          <w:rFonts w:eastAsiaTheme="minorEastAsia" w:hint="eastAsia"/>
          <w:sz w:val="21"/>
        </w:rPr>
        <w:t>WIPO</w:t>
      </w:r>
      <w:r w:rsidR="00550192" w:rsidRPr="00730D93">
        <w:rPr>
          <w:rFonts w:eastAsiaTheme="minorEastAsia" w:hint="eastAsia"/>
          <w:sz w:val="21"/>
        </w:rPr>
        <w:t>的所有投资都放在一个投资产品中或使用一种货币进行投资。</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C3DBE" w:rsidRPr="0044088F">
        <w:rPr>
          <w:b/>
          <w:sz w:val="21"/>
        </w:rPr>
        <w:t>10</w:t>
      </w:r>
      <w:r w:rsidR="005655C4">
        <w:rPr>
          <w:rFonts w:hint="eastAsia"/>
          <w:b/>
          <w:sz w:val="21"/>
        </w:rPr>
        <w:t>：</w:t>
      </w:r>
      <w:r w:rsidR="00F564FC" w:rsidRPr="0044088F">
        <w:rPr>
          <w:rFonts w:hint="eastAsia"/>
          <w:b/>
          <w:sz w:val="21"/>
        </w:rPr>
        <w:t>这很可能</w:t>
      </w:r>
      <w:r w:rsidR="00F564FC" w:rsidRPr="00730D93">
        <w:rPr>
          <w:rFonts w:eastAsiaTheme="minorEastAsia" w:hint="eastAsia"/>
          <w:b/>
          <w:sz w:val="21"/>
        </w:rPr>
        <w:t>涉及</w:t>
      </w:r>
      <w:r w:rsidR="00670BA9" w:rsidRPr="0044088F">
        <w:rPr>
          <w:rFonts w:hint="eastAsia"/>
          <w:b/>
          <w:sz w:val="21"/>
        </w:rPr>
        <w:t>关于对投资政策进行补充修订的建议</w:t>
      </w:r>
      <w:r w:rsidR="00F564FC" w:rsidRPr="0044088F">
        <w:rPr>
          <w:b/>
          <w:sz w:val="21"/>
        </w:rPr>
        <w:t>[</w:t>
      </w:r>
      <w:r w:rsidR="00E02E42" w:rsidRPr="0044088F">
        <w:rPr>
          <w:rFonts w:hint="eastAsia"/>
          <w:b/>
          <w:sz w:val="21"/>
        </w:rPr>
        <w:t>原文</w:t>
      </w:r>
      <w:r w:rsidR="00F564FC" w:rsidRPr="0044088F">
        <w:rPr>
          <w:b/>
          <w:sz w:val="21"/>
        </w:rPr>
        <w:t>]</w:t>
      </w:r>
      <w:r w:rsidR="005A1670">
        <w:rPr>
          <w:b/>
          <w:sz w:val="21"/>
        </w:rPr>
        <w:t>（</w:t>
      </w:r>
      <w:r w:rsidR="00F564FC" w:rsidRPr="0044088F">
        <w:rPr>
          <w:b/>
          <w:sz w:val="21"/>
        </w:rPr>
        <w:t>WO/PBC/23/7</w:t>
      </w:r>
      <w:r w:rsidR="005A1670">
        <w:rPr>
          <w:b/>
          <w:sz w:val="21"/>
        </w:rPr>
        <w:t>）</w:t>
      </w:r>
      <w:r w:rsidR="00F564FC" w:rsidRPr="00730D93">
        <w:rPr>
          <w:rFonts w:eastAsiaTheme="minorEastAsia" w:hint="eastAsia"/>
          <w:b/>
          <w:sz w:val="21"/>
        </w:rPr>
        <w:t>，特别是正在修订中的关于营运现金的新投资政策，我们希望探讨的</w:t>
      </w:r>
      <w:r w:rsidR="00E02E42" w:rsidRPr="00730D93">
        <w:rPr>
          <w:rFonts w:eastAsiaTheme="minorEastAsia" w:hint="eastAsia"/>
          <w:b/>
          <w:sz w:val="21"/>
        </w:rPr>
        <w:t>一个问题</w:t>
      </w:r>
      <w:r w:rsidR="00F564FC" w:rsidRPr="00730D93">
        <w:rPr>
          <w:rFonts w:eastAsiaTheme="minorEastAsia" w:hint="eastAsia"/>
          <w:b/>
          <w:sz w:val="21"/>
        </w:rPr>
        <w:t>是负利率给要求高流动性的营运现金投资带来的挑战；也就是说，</w:t>
      </w:r>
      <w:r w:rsidR="00C85C86" w:rsidRPr="00730D93">
        <w:rPr>
          <w:rFonts w:eastAsiaTheme="minorEastAsia" w:hint="eastAsia"/>
          <w:b/>
          <w:sz w:val="21"/>
        </w:rPr>
        <w:t>所讨论规定</w:t>
      </w:r>
      <w:r w:rsidR="009D0FEC" w:rsidRPr="00730D93">
        <w:rPr>
          <w:rFonts w:eastAsiaTheme="minorEastAsia" w:hint="eastAsia"/>
          <w:b/>
          <w:sz w:val="21"/>
        </w:rPr>
        <w:t>的实际含义</w:t>
      </w:r>
      <w:r w:rsidR="007F4FC1" w:rsidRPr="00730D93">
        <w:rPr>
          <w:rFonts w:eastAsiaTheme="minorEastAsia" w:hint="eastAsia"/>
          <w:b/>
          <w:sz w:val="21"/>
        </w:rPr>
        <w:t>是否</w:t>
      </w:r>
      <w:r w:rsidR="009D0FEC" w:rsidRPr="00730D93">
        <w:rPr>
          <w:rFonts w:eastAsiaTheme="minorEastAsia" w:hint="eastAsia"/>
          <w:b/>
          <w:sz w:val="21"/>
        </w:rPr>
        <w:t>是，</w:t>
      </w:r>
      <w:r w:rsidR="007F4FC1" w:rsidRPr="00730D93">
        <w:rPr>
          <w:rFonts w:eastAsiaTheme="minorEastAsia" w:hint="eastAsia"/>
          <w:b/>
          <w:sz w:val="21"/>
        </w:rPr>
        <w:t>因为对</w:t>
      </w:r>
      <w:r w:rsidR="009D0FEC" w:rsidRPr="00730D93">
        <w:rPr>
          <w:rFonts w:eastAsiaTheme="minorEastAsia" w:hint="eastAsia"/>
          <w:b/>
          <w:sz w:val="21"/>
        </w:rPr>
        <w:t>营运现金</w:t>
      </w:r>
      <w:r w:rsidR="007F4FC1" w:rsidRPr="00730D93">
        <w:rPr>
          <w:rFonts w:eastAsiaTheme="minorEastAsia" w:hint="eastAsia"/>
          <w:b/>
          <w:sz w:val="21"/>
        </w:rPr>
        <w:t>有着</w:t>
      </w:r>
      <w:r w:rsidR="009D0FEC" w:rsidRPr="00730D93">
        <w:rPr>
          <w:rFonts w:eastAsiaTheme="minorEastAsia" w:hint="eastAsia"/>
          <w:b/>
          <w:sz w:val="21"/>
        </w:rPr>
        <w:t>高流动性的要求，因此</w:t>
      </w:r>
      <w:r w:rsidR="007F4FC1" w:rsidRPr="00730D93">
        <w:rPr>
          <w:rFonts w:eastAsiaTheme="minorEastAsia" w:hint="eastAsia"/>
          <w:b/>
          <w:sz w:val="21"/>
        </w:rPr>
        <w:t>不能以瑞郎以外的货币对营运现金进行投资？但令人关切的是，这仍可能产生资金流失的问题。</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10</w:t>
      </w:r>
      <w:r w:rsidRPr="0044088F">
        <w:rPr>
          <w:sz w:val="21"/>
        </w:rPr>
        <w:t>：</w:t>
      </w:r>
      <w:r w:rsidR="00767AD9" w:rsidRPr="00730D93">
        <w:rPr>
          <w:rFonts w:eastAsiaTheme="minorEastAsia" w:hint="eastAsia"/>
          <w:sz w:val="21"/>
        </w:rPr>
        <w:t>将营运现金放在短期外汇投资产品中进行投资是可能的。例如，</w:t>
      </w:r>
      <w:r w:rsidR="00767AD9" w:rsidRPr="00730D93">
        <w:rPr>
          <w:rFonts w:eastAsiaTheme="minorEastAsia" w:hint="eastAsia"/>
          <w:sz w:val="21"/>
        </w:rPr>
        <w:t>WIPO</w:t>
      </w:r>
      <w:r w:rsidR="00767AD9" w:rsidRPr="00730D93">
        <w:rPr>
          <w:rFonts w:eastAsiaTheme="minorEastAsia" w:hint="eastAsia"/>
          <w:sz w:val="21"/>
        </w:rPr>
        <w:t>可以</w:t>
      </w:r>
      <w:r w:rsidR="000A4ADD" w:rsidRPr="00730D93">
        <w:rPr>
          <w:rFonts w:eastAsiaTheme="minorEastAsia" w:hint="eastAsia"/>
          <w:sz w:val="21"/>
        </w:rPr>
        <w:t>进行</w:t>
      </w:r>
      <w:r w:rsidR="00767AD9" w:rsidRPr="00730D93">
        <w:rPr>
          <w:rFonts w:eastAsiaTheme="minorEastAsia" w:hint="eastAsia"/>
          <w:sz w:val="21"/>
        </w:rPr>
        <w:t>一月期的美元存款投资</w:t>
      </w:r>
      <w:r w:rsidR="000A4ADD" w:rsidRPr="00730D93">
        <w:rPr>
          <w:rFonts w:eastAsiaTheme="minorEastAsia" w:hint="eastAsia"/>
          <w:sz w:val="21"/>
        </w:rPr>
        <w:t>，并在当月末对冲回瑞郎。因此这笔钱只会被“占用“一个月，因</w:t>
      </w:r>
      <w:r w:rsidR="00E02E42" w:rsidRPr="00730D93">
        <w:rPr>
          <w:rFonts w:eastAsiaTheme="minorEastAsia" w:hint="eastAsia"/>
          <w:sz w:val="21"/>
        </w:rPr>
        <w:t>此可以看作相对流动并符合营运现金的标准。但在实践中，考虑到对冲给</w:t>
      </w:r>
      <w:r w:rsidR="000A4ADD" w:rsidRPr="00730D93">
        <w:rPr>
          <w:rFonts w:eastAsiaTheme="minorEastAsia" w:hint="eastAsia"/>
          <w:sz w:val="21"/>
        </w:rPr>
        <w:t>瑞郎</w:t>
      </w:r>
      <w:r w:rsidR="00795422" w:rsidRPr="00730D93">
        <w:rPr>
          <w:rFonts w:eastAsiaTheme="minorEastAsia" w:hint="eastAsia"/>
          <w:sz w:val="21"/>
        </w:rPr>
        <w:t>带来</w:t>
      </w:r>
      <w:r w:rsidR="000A4ADD" w:rsidRPr="00730D93">
        <w:rPr>
          <w:rFonts w:eastAsiaTheme="minorEastAsia" w:hint="eastAsia"/>
          <w:sz w:val="21"/>
        </w:rPr>
        <w:t>的影响，该投资将产生零回报或负回报。</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rFonts w:ascii="SimSun" w:hAnsi="SimSun" w:cs="SimSun" w:hint="eastAsia"/>
          <w:b/>
          <w:sz w:val="21"/>
        </w:rPr>
        <w:lastRenderedPageBreak/>
        <w:t>问</w:t>
      </w:r>
      <w:r w:rsidR="005C3DBE" w:rsidRPr="0044088F">
        <w:rPr>
          <w:rFonts w:eastAsia="Arial"/>
          <w:b/>
          <w:sz w:val="21"/>
        </w:rPr>
        <w:t>11</w:t>
      </w:r>
      <w:r w:rsidR="005655C4">
        <w:rPr>
          <w:rFonts w:hint="eastAsia"/>
          <w:b/>
          <w:sz w:val="21"/>
        </w:rPr>
        <w:t>：</w:t>
      </w:r>
      <w:r w:rsidR="00C85C86" w:rsidRPr="00730D93">
        <w:rPr>
          <w:rFonts w:eastAsiaTheme="minorEastAsia" w:hint="eastAsia"/>
          <w:b/>
          <w:sz w:val="21"/>
        </w:rPr>
        <w:t>此外，这项有关资本保全的新规定是特指瑞士的情况，还是作为一项总括性声明，以说明包括海外投资在内的任何一项投资都可能出现负利率；后者不那么令人关切，因为它将作为某种免责声明，而前者</w:t>
      </w:r>
      <w:r w:rsidR="00613167" w:rsidRPr="00730D93">
        <w:rPr>
          <w:rFonts w:eastAsiaTheme="minorEastAsia" w:hint="eastAsia"/>
          <w:b/>
          <w:sz w:val="21"/>
        </w:rPr>
        <w:t>更加令人关切，因为它意味着</w:t>
      </w:r>
      <w:r w:rsidR="00613167" w:rsidRPr="00730D93">
        <w:rPr>
          <w:rFonts w:eastAsiaTheme="minorEastAsia" w:hint="eastAsia"/>
          <w:b/>
          <w:sz w:val="21"/>
        </w:rPr>
        <w:t>WIPO</w:t>
      </w:r>
      <w:r w:rsidR="00613167" w:rsidRPr="00730D93">
        <w:rPr>
          <w:rFonts w:eastAsiaTheme="minorEastAsia" w:hint="eastAsia"/>
          <w:b/>
          <w:sz w:val="21"/>
        </w:rPr>
        <w:t>在瑞士可能无法通过不受该政策影响的投资“逃避</w:t>
      </w:r>
      <w:r w:rsidR="005655C4" w:rsidRPr="00730D93">
        <w:rPr>
          <w:rFonts w:eastAsiaTheme="minorEastAsia" w:hint="eastAsia"/>
          <w:b/>
          <w:sz w:val="21"/>
        </w:rPr>
        <w:t>”</w:t>
      </w:r>
      <w:r w:rsidR="00613167" w:rsidRPr="00730D93">
        <w:rPr>
          <w:rFonts w:eastAsiaTheme="minorEastAsia" w:hint="eastAsia"/>
          <w:b/>
          <w:sz w:val="21"/>
        </w:rPr>
        <w:t>负利率。</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11</w:t>
      </w:r>
      <w:r w:rsidRPr="0044088F">
        <w:rPr>
          <w:sz w:val="21"/>
        </w:rPr>
        <w:t>：</w:t>
      </w:r>
      <w:r w:rsidR="006052B0" w:rsidRPr="00730D93">
        <w:rPr>
          <w:rFonts w:eastAsiaTheme="minorEastAsia" w:hint="eastAsia"/>
          <w:sz w:val="21"/>
        </w:rPr>
        <w:t>通过以外汇</w:t>
      </w:r>
      <w:r w:rsidR="006052B0" w:rsidRPr="005A1670">
        <w:rPr>
          <w:rFonts w:hint="eastAsia"/>
          <w:bCs/>
          <w:sz w:val="21"/>
          <w:szCs w:val="22"/>
        </w:rPr>
        <w:t>持有</w:t>
      </w:r>
      <w:r w:rsidR="006052B0" w:rsidRPr="00730D93">
        <w:rPr>
          <w:rFonts w:eastAsiaTheme="minorEastAsia" w:hint="eastAsia"/>
          <w:sz w:val="21"/>
        </w:rPr>
        <w:t>的投资而获得的正回报很可能在该项投资被对冲回瑞郎之后成为负回报，或在最好的情况下成为零回报</w:t>
      </w:r>
      <w:r w:rsidR="005A1670" w:rsidRPr="00730D93">
        <w:rPr>
          <w:rFonts w:eastAsiaTheme="minorEastAsia" w:hint="eastAsia"/>
          <w:sz w:val="21"/>
        </w:rPr>
        <w:t>（</w:t>
      </w:r>
      <w:r w:rsidR="006052B0" w:rsidRPr="00730D93">
        <w:rPr>
          <w:rFonts w:eastAsiaTheme="minorEastAsia" w:hint="eastAsia"/>
          <w:sz w:val="21"/>
        </w:rPr>
        <w:t>请见上面的答复</w:t>
      </w:r>
      <w:r w:rsidR="005A1670" w:rsidRPr="00730D93">
        <w:rPr>
          <w:rFonts w:eastAsiaTheme="minorEastAsia" w:hint="eastAsia"/>
          <w:sz w:val="21"/>
        </w:rPr>
        <w:t>）</w:t>
      </w:r>
      <w:r w:rsidR="006052B0" w:rsidRPr="00730D93">
        <w:rPr>
          <w:rFonts w:eastAsiaTheme="minorEastAsia" w:hint="eastAsia"/>
          <w:sz w:val="21"/>
        </w:rPr>
        <w:t>。</w:t>
      </w:r>
    </w:p>
    <w:p w:rsidR="005A1670" w:rsidRDefault="004A7DD8" w:rsidP="00880C0C">
      <w:pPr>
        <w:keepNext/>
        <w:spacing w:beforeLines="100" w:before="240" w:afterLines="50" w:after="120" w:line="340" w:lineRule="atLeast"/>
        <w:rPr>
          <w:b/>
          <w:sz w:val="24"/>
          <w:szCs w:val="24"/>
        </w:rPr>
      </w:pPr>
      <w:r w:rsidRPr="0044088F">
        <w:rPr>
          <w:rFonts w:hint="eastAsia"/>
          <w:b/>
          <w:sz w:val="24"/>
          <w:szCs w:val="24"/>
        </w:rPr>
        <w:t>经修订的</w:t>
      </w:r>
      <w:r w:rsidRPr="0044088F">
        <w:rPr>
          <w:b/>
          <w:sz w:val="24"/>
          <w:szCs w:val="24"/>
        </w:rPr>
        <w:t>WIPO</w:t>
      </w:r>
      <w:r w:rsidRPr="0044088F">
        <w:rPr>
          <w:rFonts w:hint="eastAsia"/>
          <w:b/>
          <w:sz w:val="24"/>
          <w:szCs w:val="24"/>
        </w:rPr>
        <w:t>与储备金有关的政策提案</w:t>
      </w:r>
    </w:p>
    <w:p w:rsidR="00473AFA"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473AFA" w:rsidRPr="0044088F">
        <w:rPr>
          <w:b/>
          <w:bCs/>
          <w:sz w:val="21"/>
        </w:rPr>
        <w:t>1</w:t>
      </w:r>
      <w:r w:rsidRPr="0044088F">
        <w:rPr>
          <w:b/>
          <w:bCs/>
          <w:sz w:val="21"/>
        </w:rPr>
        <w:t>：</w:t>
      </w:r>
      <w:r w:rsidR="00A53B87" w:rsidRPr="00730D93">
        <w:rPr>
          <w:rFonts w:eastAsiaTheme="minorEastAsia" w:hint="eastAsia"/>
          <w:b/>
          <w:sz w:val="21"/>
        </w:rPr>
        <w:t>之前规定储备金要占两年期支出的</w:t>
      </w:r>
      <w:r w:rsidR="00A53B87" w:rsidRPr="00730D93">
        <w:rPr>
          <w:rFonts w:eastAsiaTheme="minorEastAsia" w:hint="eastAsia"/>
          <w:b/>
          <w:sz w:val="21"/>
        </w:rPr>
        <w:t>18.5%</w:t>
      </w:r>
      <w:r w:rsidR="00A53B87" w:rsidRPr="00730D93">
        <w:rPr>
          <w:rFonts w:eastAsiaTheme="minorEastAsia" w:hint="eastAsia"/>
          <w:b/>
          <w:sz w:val="21"/>
        </w:rPr>
        <w:t>。现在的一项建议是占比增至</w:t>
      </w:r>
      <w:r w:rsidR="00A53B87" w:rsidRPr="00730D93">
        <w:rPr>
          <w:rFonts w:eastAsiaTheme="minorEastAsia" w:hint="eastAsia"/>
          <w:b/>
          <w:sz w:val="21"/>
        </w:rPr>
        <w:t>22%</w:t>
      </w:r>
      <w:r w:rsidR="009A781F" w:rsidRPr="00730D93">
        <w:rPr>
          <w:rFonts w:eastAsiaTheme="minorEastAsia" w:hint="eastAsia"/>
          <w:b/>
          <w:sz w:val="21"/>
        </w:rPr>
        <w:t>。该提案</w:t>
      </w:r>
      <w:r w:rsidR="00A53B87" w:rsidRPr="00730D93">
        <w:rPr>
          <w:rFonts w:eastAsiaTheme="minorEastAsia" w:hint="eastAsia"/>
          <w:b/>
          <w:sz w:val="21"/>
        </w:rPr>
        <w:t>的理由是什么？</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rPr>
        <w:t>答</w:t>
      </w:r>
      <w:r w:rsidR="00473AFA" w:rsidRPr="0044088F">
        <w:rPr>
          <w:rFonts w:eastAsia="Arial"/>
          <w:sz w:val="21"/>
        </w:rPr>
        <w:t>1</w:t>
      </w:r>
      <w:r w:rsidRPr="0044088F">
        <w:rPr>
          <w:rFonts w:ascii="SimSun" w:hAnsi="SimSun" w:cs="SimSun" w:hint="eastAsia"/>
          <w:sz w:val="21"/>
        </w:rPr>
        <w:t>：</w:t>
      </w:r>
      <w:r w:rsidR="00A53B87" w:rsidRPr="00730D93">
        <w:rPr>
          <w:rFonts w:eastAsiaTheme="minorEastAsia" w:hint="eastAsia"/>
          <w:sz w:val="21"/>
        </w:rPr>
        <w:t>提高储备金目标水平将使本组织仅由储备金</w:t>
      </w:r>
      <w:r w:rsidR="009A781F" w:rsidRPr="00730D93">
        <w:rPr>
          <w:rFonts w:eastAsiaTheme="minorEastAsia" w:hint="eastAsia"/>
          <w:sz w:val="21"/>
        </w:rPr>
        <w:t>单独</w:t>
      </w:r>
      <w:r w:rsidR="00A53B87" w:rsidRPr="00730D93">
        <w:rPr>
          <w:rFonts w:eastAsiaTheme="minorEastAsia" w:hint="eastAsia"/>
          <w:sz w:val="21"/>
        </w:rPr>
        <w:t>供资</w:t>
      </w:r>
      <w:r w:rsidR="009A781F" w:rsidRPr="00730D93">
        <w:rPr>
          <w:rFonts w:eastAsiaTheme="minorEastAsia" w:hint="eastAsia"/>
          <w:sz w:val="21"/>
        </w:rPr>
        <w:t>运行</w:t>
      </w:r>
      <w:r w:rsidR="00A53B87" w:rsidRPr="00730D93">
        <w:rPr>
          <w:rFonts w:eastAsiaTheme="minorEastAsia" w:hint="eastAsia"/>
          <w:sz w:val="21"/>
        </w:rPr>
        <w:t>的期限从</w:t>
      </w:r>
      <w:r w:rsidR="00A53B87" w:rsidRPr="00730D93">
        <w:rPr>
          <w:rFonts w:eastAsiaTheme="minorEastAsia" w:hint="eastAsia"/>
          <w:sz w:val="21"/>
        </w:rPr>
        <w:t>4</w:t>
      </w:r>
      <w:r w:rsidR="00A53B87" w:rsidRPr="00730D93">
        <w:rPr>
          <w:rFonts w:eastAsiaTheme="minorEastAsia" w:hint="eastAsia"/>
          <w:sz w:val="21"/>
        </w:rPr>
        <w:t>个月延长到</w:t>
      </w:r>
      <w:r w:rsidR="00A53B87" w:rsidRPr="00730D93">
        <w:rPr>
          <w:rFonts w:eastAsiaTheme="minorEastAsia" w:hint="eastAsia"/>
          <w:sz w:val="21"/>
        </w:rPr>
        <w:t>5</w:t>
      </w:r>
      <w:r w:rsidR="00A53B87" w:rsidRPr="00730D93">
        <w:rPr>
          <w:rFonts w:eastAsiaTheme="minorEastAsia" w:hint="eastAsia"/>
          <w:sz w:val="21"/>
        </w:rPr>
        <w:t>个月，从而加强财务风险管理水平。此外，拟议的增长与成员国对于逐步提高目标储备金水平的支持相一致。将储备金水平提高至</w:t>
      </w:r>
      <w:r w:rsidR="00A53B87" w:rsidRPr="00730D93">
        <w:rPr>
          <w:rFonts w:eastAsiaTheme="minorEastAsia" w:hint="eastAsia"/>
          <w:sz w:val="21"/>
        </w:rPr>
        <w:t>22%</w:t>
      </w:r>
      <w:r w:rsidR="00A53B87" w:rsidRPr="00730D93">
        <w:rPr>
          <w:rFonts w:eastAsiaTheme="minorEastAsia" w:hint="eastAsia"/>
          <w:sz w:val="21"/>
        </w:rPr>
        <w:t>也更符合</w:t>
      </w:r>
      <w:r w:rsidR="00976A8D" w:rsidRPr="00730D93">
        <w:rPr>
          <w:rFonts w:eastAsiaTheme="minorEastAsia" w:hint="eastAsia"/>
          <w:sz w:val="21"/>
        </w:rPr>
        <w:t>2006</w:t>
      </w:r>
      <w:r w:rsidR="00976A8D" w:rsidRPr="00730D93">
        <w:rPr>
          <w:rFonts w:eastAsiaTheme="minorEastAsia" w:hint="eastAsia"/>
          <w:sz w:val="21"/>
        </w:rPr>
        <w:t>年瑞士外聘审计员的建议，即储备金目标水平设为两年期预计支出的</w:t>
      </w:r>
      <w:r w:rsidR="00976A8D" w:rsidRPr="00730D93">
        <w:rPr>
          <w:rFonts w:eastAsiaTheme="minorEastAsia" w:hint="eastAsia"/>
          <w:sz w:val="21"/>
        </w:rPr>
        <w:t>25%</w:t>
      </w:r>
      <w:r w:rsidR="00976A8D" w:rsidRPr="00730D93">
        <w:rPr>
          <w:rFonts w:eastAsiaTheme="minorEastAsia" w:hint="eastAsia"/>
          <w:sz w:val="21"/>
        </w:rPr>
        <w:t>，即相当于</w:t>
      </w:r>
      <w:r w:rsidR="00976A8D" w:rsidRPr="00730D93">
        <w:rPr>
          <w:rFonts w:eastAsiaTheme="minorEastAsia" w:hint="eastAsia"/>
          <w:sz w:val="21"/>
        </w:rPr>
        <w:t>6</w:t>
      </w:r>
      <w:r w:rsidR="00976A8D" w:rsidRPr="00730D93">
        <w:rPr>
          <w:rFonts w:eastAsiaTheme="minorEastAsia" w:hint="eastAsia"/>
          <w:sz w:val="21"/>
        </w:rPr>
        <w:t>个月的两年期支出</w:t>
      </w:r>
      <w:r w:rsidR="005A1670" w:rsidRPr="00730D93">
        <w:rPr>
          <w:rFonts w:eastAsiaTheme="minorEastAsia" w:hint="eastAsia"/>
          <w:sz w:val="21"/>
        </w:rPr>
        <w:t>（</w:t>
      </w:r>
      <w:r w:rsidR="00976A8D" w:rsidRPr="00730D93">
        <w:rPr>
          <w:rFonts w:eastAsiaTheme="minorEastAsia" w:hint="eastAsia"/>
          <w:sz w:val="21"/>
        </w:rPr>
        <w:t>请见文件</w:t>
      </w:r>
      <w:r w:rsidR="00976A8D" w:rsidRPr="0044088F">
        <w:rPr>
          <w:rFonts w:eastAsia="Arial"/>
          <w:sz w:val="21"/>
        </w:rPr>
        <w:t>WO/PBC/23/8</w:t>
      </w:r>
      <w:r w:rsidR="00976A8D" w:rsidRPr="00730D93">
        <w:rPr>
          <w:rFonts w:eastAsiaTheme="minorEastAsia" w:hint="eastAsia"/>
          <w:sz w:val="21"/>
        </w:rPr>
        <w:t>第</w:t>
      </w:r>
      <w:r w:rsidR="00976A8D" w:rsidRPr="00730D93">
        <w:rPr>
          <w:rFonts w:eastAsiaTheme="minorEastAsia" w:hint="eastAsia"/>
          <w:sz w:val="21"/>
        </w:rPr>
        <w:t>8-13</w:t>
      </w:r>
      <w:r w:rsidR="00976A8D" w:rsidRPr="00730D93">
        <w:rPr>
          <w:rFonts w:eastAsiaTheme="minorEastAsia" w:hint="eastAsia"/>
          <w:sz w:val="21"/>
        </w:rPr>
        <w:t>节</w:t>
      </w:r>
      <w:r w:rsidR="005A1670" w:rsidRPr="00730D93">
        <w:rPr>
          <w:rFonts w:eastAsiaTheme="minorEastAsia" w:hint="eastAsia"/>
          <w:sz w:val="21"/>
        </w:rPr>
        <w:t>）</w:t>
      </w:r>
      <w:r w:rsidR="00976A8D" w:rsidRPr="00730D93">
        <w:rPr>
          <w:rFonts w:eastAsiaTheme="minorEastAsia" w:hint="eastAsia"/>
          <w:sz w:val="21"/>
        </w:rPr>
        <w:t>。</w:t>
      </w:r>
    </w:p>
    <w:p w:rsidR="002F446C"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sz w:val="21"/>
        </w:rPr>
        <w:t>问</w:t>
      </w:r>
      <w:r w:rsidR="00473AFA" w:rsidRPr="0044088F">
        <w:rPr>
          <w:b/>
          <w:sz w:val="21"/>
        </w:rPr>
        <w:t>2</w:t>
      </w:r>
      <w:r w:rsidRPr="0044088F">
        <w:rPr>
          <w:b/>
          <w:sz w:val="21"/>
        </w:rPr>
        <w:t>：</w:t>
      </w:r>
      <w:r w:rsidR="00736CEA" w:rsidRPr="0044088F">
        <w:rPr>
          <w:rFonts w:ascii="SimSun" w:hAnsi="SimSun" w:cs="SimSun" w:hint="eastAsia"/>
          <w:b/>
          <w:sz w:val="21"/>
        </w:rPr>
        <w:t>经修订的储备金政策</w:t>
      </w:r>
      <w:r w:rsidR="00736CEA" w:rsidRPr="00730D93">
        <w:rPr>
          <w:rFonts w:eastAsiaTheme="minorEastAsia" w:hint="eastAsia"/>
          <w:b/>
          <w:sz w:val="21"/>
        </w:rPr>
        <w:t>看上去</w:t>
      </w:r>
      <w:r w:rsidR="00736CEA" w:rsidRPr="0044088F">
        <w:rPr>
          <w:rFonts w:ascii="SimSun" w:hAnsi="SimSun" w:cs="SimSun" w:hint="eastAsia"/>
          <w:b/>
          <w:sz w:val="21"/>
        </w:rPr>
        <w:t>不再</w:t>
      </w:r>
      <w:r w:rsidR="00736CEA" w:rsidRPr="00730D93">
        <w:rPr>
          <w:rFonts w:eastAsiaTheme="minorEastAsia" w:hint="eastAsia"/>
          <w:b/>
          <w:sz w:val="21"/>
        </w:rPr>
        <w:t>像现行政策那样</w:t>
      </w:r>
      <w:r w:rsidR="00736CEA" w:rsidRPr="0044088F">
        <w:rPr>
          <w:rFonts w:ascii="SimSun" w:hAnsi="SimSun" w:cs="SimSun" w:hint="eastAsia"/>
          <w:b/>
          <w:sz w:val="21"/>
        </w:rPr>
        <w:t>禁止将储备金用于</w:t>
      </w:r>
      <w:r w:rsidR="00736CEA" w:rsidRPr="0044088F">
        <w:rPr>
          <w:rFonts w:eastAsia="Arial"/>
          <w:b/>
          <w:sz w:val="21"/>
        </w:rPr>
        <w:t>“</w:t>
      </w:r>
      <w:r w:rsidR="00736CEA" w:rsidRPr="0044088F">
        <w:rPr>
          <w:rFonts w:ascii="SimSun" w:hAnsi="SimSun" w:cs="SimSun" w:hint="eastAsia"/>
          <w:b/>
          <w:sz w:val="21"/>
        </w:rPr>
        <w:t>本组织的经常业务活动</w:t>
      </w:r>
      <w:r w:rsidR="00736CEA" w:rsidRPr="0044088F">
        <w:rPr>
          <w:rFonts w:eastAsia="Arial"/>
          <w:b/>
          <w:sz w:val="21"/>
        </w:rPr>
        <w:t>”</w:t>
      </w:r>
      <w:r w:rsidR="00736CEA" w:rsidRPr="00730D93">
        <w:rPr>
          <w:rFonts w:eastAsiaTheme="minorEastAsia" w:hint="eastAsia"/>
          <w:b/>
          <w:sz w:val="21"/>
        </w:rPr>
        <w:t>。储备金为什么应为“本组织的经常业务活动”供资？它们包括哪些活动？</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rPr>
        <w:t>答</w:t>
      </w:r>
      <w:r w:rsidR="00E61E4C" w:rsidRPr="0044088F">
        <w:rPr>
          <w:rFonts w:eastAsia="Arial"/>
          <w:sz w:val="21"/>
        </w:rPr>
        <w:t>2</w:t>
      </w:r>
      <w:r w:rsidRPr="0044088F">
        <w:rPr>
          <w:rFonts w:ascii="SimSun" w:hAnsi="SimSun" w:cs="SimSun" w:hint="eastAsia"/>
          <w:sz w:val="21"/>
        </w:rPr>
        <w:t>：</w:t>
      </w:r>
      <w:r w:rsidR="00736CEA" w:rsidRPr="00730D93">
        <w:rPr>
          <w:rFonts w:eastAsiaTheme="minorEastAsia" w:hint="eastAsia"/>
          <w:sz w:val="21"/>
        </w:rPr>
        <w:t>没有打算将储备金用于“经常业务活动”；实际规定恰恰相反。</w:t>
      </w:r>
      <w:r w:rsidR="003F2137" w:rsidRPr="00730D93">
        <w:rPr>
          <w:rFonts w:eastAsiaTheme="minorEastAsia" w:hint="eastAsia"/>
          <w:sz w:val="21"/>
        </w:rPr>
        <w:t>如果储备金所供资的项目在供资完成后产生了经常性开支</w:t>
      </w:r>
      <w:r w:rsidR="005A1670" w:rsidRPr="00730D93">
        <w:rPr>
          <w:rFonts w:eastAsiaTheme="minorEastAsia" w:hint="eastAsia"/>
          <w:sz w:val="21"/>
        </w:rPr>
        <w:t>（</w:t>
      </w:r>
      <w:r w:rsidR="009A781F" w:rsidRPr="00730D93">
        <w:rPr>
          <w:rFonts w:eastAsiaTheme="minorEastAsia" w:hint="eastAsia"/>
          <w:sz w:val="21"/>
        </w:rPr>
        <w:t>如产生</w:t>
      </w:r>
      <w:r w:rsidR="003F2137" w:rsidRPr="00730D93">
        <w:rPr>
          <w:rFonts w:eastAsiaTheme="minorEastAsia" w:hint="eastAsia"/>
          <w:sz w:val="21"/>
        </w:rPr>
        <w:t>经常性维护成本的</w:t>
      </w:r>
      <w:r w:rsidR="003F2137" w:rsidRPr="00730D93">
        <w:rPr>
          <w:rFonts w:eastAsiaTheme="minorEastAsia" w:hint="eastAsia"/>
          <w:sz w:val="21"/>
        </w:rPr>
        <w:t>ICT</w:t>
      </w:r>
      <w:r w:rsidR="003F2137" w:rsidRPr="00730D93">
        <w:rPr>
          <w:rFonts w:eastAsiaTheme="minorEastAsia" w:hint="eastAsia"/>
          <w:sz w:val="21"/>
        </w:rPr>
        <w:t>项目</w:t>
      </w:r>
      <w:r w:rsidR="005A1670" w:rsidRPr="00730D93">
        <w:rPr>
          <w:rFonts w:eastAsiaTheme="minorEastAsia" w:hint="eastAsia"/>
          <w:sz w:val="21"/>
        </w:rPr>
        <w:t>）</w:t>
      </w:r>
      <w:r w:rsidR="003F2137" w:rsidRPr="00730D93">
        <w:rPr>
          <w:rFonts w:eastAsiaTheme="minorEastAsia" w:hint="eastAsia"/>
          <w:sz w:val="21"/>
        </w:rPr>
        <w:t>，则该经常性成本将被纳入接下来的计划和预算内</w:t>
      </w:r>
      <w:r w:rsidR="005A1670" w:rsidRPr="00730D93">
        <w:rPr>
          <w:rFonts w:eastAsiaTheme="minorEastAsia" w:hint="eastAsia"/>
          <w:sz w:val="21"/>
        </w:rPr>
        <w:t>（</w:t>
      </w:r>
      <w:r w:rsidR="003F2137" w:rsidRPr="00730D93">
        <w:rPr>
          <w:rFonts w:eastAsiaTheme="minorEastAsia" w:hint="eastAsia"/>
          <w:sz w:val="21"/>
        </w:rPr>
        <w:t>即由经常预算供资</w:t>
      </w:r>
      <w:r w:rsidR="005A1670" w:rsidRPr="00730D93">
        <w:rPr>
          <w:rFonts w:eastAsiaTheme="minorEastAsia" w:hint="eastAsia"/>
          <w:sz w:val="21"/>
        </w:rPr>
        <w:t>）</w:t>
      </w:r>
      <w:r w:rsidR="003F2137"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rFonts w:ascii="SimSun" w:hAnsi="SimSun" w:cs="SimSun" w:hint="eastAsia"/>
          <w:b/>
          <w:sz w:val="21"/>
        </w:rPr>
        <w:t>问</w:t>
      </w:r>
      <w:r w:rsidR="00E61E4C" w:rsidRPr="0044088F">
        <w:rPr>
          <w:rFonts w:eastAsia="Arial"/>
          <w:b/>
          <w:sz w:val="21"/>
        </w:rPr>
        <w:t>3</w:t>
      </w:r>
      <w:r w:rsidRPr="0044088F">
        <w:rPr>
          <w:rFonts w:ascii="SimSun" w:hAnsi="SimSun" w:cs="SimSun" w:hint="eastAsia"/>
          <w:b/>
          <w:sz w:val="21"/>
        </w:rPr>
        <w:t>：</w:t>
      </w:r>
      <w:r w:rsidR="00156420" w:rsidRPr="00730D93">
        <w:rPr>
          <w:rFonts w:eastAsiaTheme="minorEastAsia" w:hint="eastAsia"/>
          <w:b/>
          <w:sz w:val="21"/>
        </w:rPr>
        <w:t>经修订政策的原则</w:t>
      </w:r>
      <w:r w:rsidR="00156420" w:rsidRPr="00730D93">
        <w:rPr>
          <w:rFonts w:eastAsiaTheme="minorEastAsia" w:hint="eastAsia"/>
          <w:b/>
          <w:sz w:val="21"/>
        </w:rPr>
        <w:t>3</w:t>
      </w:r>
      <w:r w:rsidR="0039066F" w:rsidRPr="00730D93">
        <w:rPr>
          <w:rFonts w:eastAsiaTheme="minorEastAsia" w:hint="eastAsia"/>
          <w:b/>
          <w:sz w:val="21"/>
        </w:rPr>
        <w:t>对“一个长期的基本建设总计划”作出了规定，看上去似乎与储备金应用于“非常规</w:t>
      </w:r>
      <w:r w:rsidR="00025FEE" w:rsidRPr="00730D93">
        <w:rPr>
          <w:rFonts w:eastAsiaTheme="minorEastAsia" w:hint="eastAsia"/>
          <w:b/>
          <w:sz w:val="21"/>
        </w:rPr>
        <w:t>[</w:t>
      </w:r>
      <w:r w:rsidR="00025FEE" w:rsidRPr="00730D93">
        <w:rPr>
          <w:rFonts w:eastAsiaTheme="minorEastAsia" w:hint="eastAsia"/>
          <w:b/>
          <w:sz w:val="21"/>
        </w:rPr>
        <w:t>原</w:t>
      </w:r>
      <w:r w:rsidR="00137F39" w:rsidRPr="00730D93">
        <w:rPr>
          <w:rFonts w:eastAsiaTheme="minorEastAsia" w:hint="eastAsia"/>
          <w:b/>
          <w:sz w:val="21"/>
        </w:rPr>
        <w:t>文</w:t>
      </w:r>
      <w:r w:rsidR="00025FEE" w:rsidRPr="00730D93">
        <w:rPr>
          <w:rFonts w:eastAsiaTheme="minorEastAsia" w:hint="eastAsia"/>
          <w:b/>
          <w:sz w:val="21"/>
        </w:rPr>
        <w:t>]</w:t>
      </w:r>
      <w:r w:rsidR="0039066F" w:rsidRPr="00730D93">
        <w:rPr>
          <w:rFonts w:eastAsiaTheme="minorEastAsia" w:hint="eastAsia"/>
          <w:b/>
          <w:sz w:val="21"/>
        </w:rPr>
        <w:t>的一次性基本建设项目和支出”的规定相矛盾。如何对这两项规定进行统一？</w:t>
      </w:r>
    </w:p>
    <w:p w:rsidR="005A1670" w:rsidRDefault="0044088F" w:rsidP="005A1670">
      <w:pPr>
        <w:spacing w:afterLines="50" w:after="120" w:line="340" w:lineRule="atLeast"/>
        <w:jc w:val="both"/>
        <w:rPr>
          <w:rFonts w:eastAsia="Arial"/>
          <w:sz w:val="21"/>
        </w:rPr>
      </w:pPr>
      <w:r>
        <w:rPr>
          <w:rFonts w:ascii="SimSun" w:hAnsi="SimSun" w:cs="SimSun" w:hint="eastAsia"/>
          <w:sz w:val="21"/>
        </w:rPr>
        <w:t>答</w:t>
      </w:r>
      <w:r w:rsidR="00E61E4C" w:rsidRPr="0044088F">
        <w:rPr>
          <w:rFonts w:eastAsia="Arial"/>
          <w:sz w:val="21"/>
        </w:rPr>
        <w:t>3</w:t>
      </w:r>
      <w:r w:rsidRPr="0044088F">
        <w:rPr>
          <w:rFonts w:ascii="SimSun" w:hAnsi="SimSun" w:cs="SimSun" w:hint="eastAsia"/>
          <w:sz w:val="21"/>
        </w:rPr>
        <w:t>：</w:t>
      </w:r>
      <w:r w:rsidR="002404A9" w:rsidRPr="00730D93">
        <w:rPr>
          <w:rFonts w:eastAsiaTheme="minorEastAsia" w:hint="eastAsia"/>
          <w:sz w:val="21"/>
        </w:rPr>
        <w:t>原则</w:t>
      </w:r>
      <w:r w:rsidR="002404A9" w:rsidRPr="00730D93">
        <w:rPr>
          <w:rFonts w:eastAsiaTheme="minorEastAsia" w:hint="eastAsia"/>
          <w:sz w:val="21"/>
        </w:rPr>
        <w:t>3</w:t>
      </w:r>
      <w:r w:rsidR="005A1670" w:rsidRPr="00730D93">
        <w:rPr>
          <w:rFonts w:eastAsiaTheme="minorEastAsia" w:hint="eastAsia"/>
          <w:sz w:val="21"/>
        </w:rPr>
        <w:t>（</w:t>
      </w:r>
      <w:r w:rsidR="002404A9" w:rsidRPr="00730D93">
        <w:rPr>
          <w:rFonts w:eastAsiaTheme="minorEastAsia" w:hint="eastAsia"/>
          <w:sz w:val="21"/>
        </w:rPr>
        <w:t>复制如下</w:t>
      </w:r>
      <w:r w:rsidR="005A1670" w:rsidRPr="00730D93">
        <w:rPr>
          <w:rFonts w:eastAsiaTheme="minorEastAsia" w:hint="eastAsia"/>
          <w:sz w:val="21"/>
        </w:rPr>
        <w:t>）</w:t>
      </w:r>
      <w:r w:rsidR="00025FEE" w:rsidRPr="00730D93">
        <w:rPr>
          <w:rFonts w:eastAsiaTheme="minorEastAsia" w:hint="eastAsia"/>
          <w:sz w:val="21"/>
        </w:rPr>
        <w:t>提到“基本建设项目通常会在一个长期的基本建设总计划中确定”。根据最佳实践，任何组织都应为与房舍建筑</w:t>
      </w:r>
      <w:r w:rsidR="00025FEE" w:rsidRPr="00730D93">
        <w:rPr>
          <w:rFonts w:eastAsiaTheme="minorEastAsia"/>
          <w:sz w:val="21"/>
        </w:rPr>
        <w:t>/</w:t>
      </w:r>
      <w:r w:rsidR="00025FEE" w:rsidRPr="00730D93">
        <w:rPr>
          <w:rFonts w:eastAsiaTheme="minorEastAsia" w:hint="eastAsia"/>
          <w:sz w:val="21"/>
        </w:rPr>
        <w:t>装修以及</w:t>
      </w:r>
      <w:r w:rsidR="00025FEE" w:rsidRPr="00730D93">
        <w:rPr>
          <w:rFonts w:eastAsiaTheme="minorEastAsia" w:hint="eastAsia"/>
          <w:sz w:val="21"/>
        </w:rPr>
        <w:t>ICT</w:t>
      </w:r>
      <w:r w:rsidR="00025FEE" w:rsidRPr="00730D93">
        <w:rPr>
          <w:rFonts w:eastAsiaTheme="minorEastAsia" w:hint="eastAsia"/>
          <w:sz w:val="21"/>
        </w:rPr>
        <w:t>相关的主要基本建设项目制定一个长期计划。很多这样的基本建设项目都是“非常规的一次性”投资</w:t>
      </w:r>
      <w:r w:rsidR="005A1670" w:rsidRPr="00730D93">
        <w:rPr>
          <w:rFonts w:eastAsiaTheme="minorEastAsia" w:hint="eastAsia"/>
          <w:sz w:val="21"/>
        </w:rPr>
        <w:t>（</w:t>
      </w:r>
      <w:r w:rsidR="00025FEE" w:rsidRPr="00730D93">
        <w:rPr>
          <w:rFonts w:eastAsiaTheme="minorEastAsia" w:hint="eastAsia"/>
          <w:sz w:val="21"/>
        </w:rPr>
        <w:t>例如装修建筑物</w:t>
      </w:r>
      <w:r w:rsidR="005A1670" w:rsidRPr="00730D93">
        <w:rPr>
          <w:rFonts w:eastAsiaTheme="minorEastAsia" w:hint="eastAsia"/>
          <w:sz w:val="21"/>
        </w:rPr>
        <w:t>）</w:t>
      </w:r>
      <w:r w:rsidR="00025FEE" w:rsidRPr="00730D93">
        <w:rPr>
          <w:rFonts w:eastAsiaTheme="minorEastAsia" w:hint="eastAsia"/>
          <w:sz w:val="21"/>
        </w:rPr>
        <w:t>，但可以规划该项目在五年后才启动。因此在长期规划和基本建设投资的非常规性之间不存在矛盾。</w:t>
      </w:r>
    </w:p>
    <w:p w:rsidR="005A1670" w:rsidRDefault="000E552E" w:rsidP="005655C4">
      <w:pPr>
        <w:tabs>
          <w:tab w:val="left" w:pos="3150"/>
          <w:tab w:val="left" w:pos="3420"/>
        </w:tabs>
        <w:spacing w:afterLines="50" w:after="120" w:line="340" w:lineRule="atLeast"/>
        <w:ind w:left="567"/>
        <w:jc w:val="both"/>
        <w:rPr>
          <w:i/>
          <w:sz w:val="21"/>
        </w:rPr>
      </w:pPr>
      <w:r w:rsidRPr="00730D93">
        <w:rPr>
          <w:rFonts w:ascii="KaiTi" w:eastAsia="KaiTi" w:hint="eastAsia"/>
          <w:i/>
          <w:sz w:val="21"/>
        </w:rPr>
        <w:t>原则3：储备金使用的提案应当用于非常规的一次性基本建设项目和支出，以及在特殊情况下，用于WIPO各联盟的大会所决定的战略性倡议。基本建设项目通常会在一个长期的基本建设总计划中确定，并可以被定义为与建筑/装修以及信息和通信技术相关的项目，这些项目的显著扩展和增加对确保一个组织的设施和系统切合目的必不可少。</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rFonts w:ascii="SimSun" w:hAnsi="SimSun" w:cs="SimSun" w:hint="eastAsia"/>
          <w:b/>
          <w:sz w:val="21"/>
        </w:rPr>
        <w:t>问</w:t>
      </w:r>
      <w:r w:rsidR="00E61E4C" w:rsidRPr="0044088F">
        <w:rPr>
          <w:rFonts w:eastAsia="Arial"/>
          <w:b/>
          <w:sz w:val="21"/>
        </w:rPr>
        <w:t>4</w:t>
      </w:r>
      <w:r w:rsidRPr="0044088F">
        <w:rPr>
          <w:rFonts w:ascii="SimSun" w:hAnsi="SimSun" w:cs="SimSun" w:hint="eastAsia"/>
          <w:b/>
          <w:sz w:val="21"/>
        </w:rPr>
        <w:t>：</w:t>
      </w:r>
      <w:r w:rsidR="00025FEE" w:rsidRPr="00730D93">
        <w:rPr>
          <w:rFonts w:eastAsiaTheme="minorEastAsia" w:hint="eastAsia"/>
          <w:b/>
          <w:sz w:val="21"/>
        </w:rPr>
        <w:t>2014</w:t>
      </w:r>
      <w:r w:rsidR="00025FEE" w:rsidRPr="00730D93">
        <w:rPr>
          <w:rFonts w:eastAsiaTheme="minorEastAsia" w:hint="eastAsia"/>
          <w:b/>
          <w:sz w:val="21"/>
        </w:rPr>
        <w:t>年的储备金支出是多少？对于</w:t>
      </w:r>
      <w:r w:rsidR="00025FEE" w:rsidRPr="00730D93">
        <w:rPr>
          <w:rFonts w:eastAsiaTheme="minorEastAsia" w:hint="eastAsia"/>
          <w:b/>
          <w:sz w:val="21"/>
        </w:rPr>
        <w:t>2016/17</w:t>
      </w:r>
      <w:r w:rsidR="00025FEE" w:rsidRPr="00730D93">
        <w:rPr>
          <w:rFonts w:eastAsiaTheme="minorEastAsia" w:hint="eastAsia"/>
          <w:b/>
          <w:sz w:val="21"/>
        </w:rPr>
        <w:t>两年期储备金使用的预测是多少？</w:t>
      </w:r>
    </w:p>
    <w:p w:rsidR="005A1670" w:rsidRPr="00730D93" w:rsidRDefault="0044088F" w:rsidP="005A1670">
      <w:pPr>
        <w:spacing w:afterLines="50" w:after="120" w:line="340" w:lineRule="atLeast"/>
        <w:jc w:val="both"/>
        <w:rPr>
          <w:rFonts w:eastAsiaTheme="minorEastAsia"/>
          <w:sz w:val="21"/>
          <w:szCs w:val="22"/>
        </w:rPr>
      </w:pPr>
      <w:r>
        <w:rPr>
          <w:rFonts w:ascii="SimSun" w:hAnsi="SimSun" w:cs="SimSun" w:hint="eastAsia"/>
          <w:sz w:val="21"/>
          <w:szCs w:val="22"/>
        </w:rPr>
        <w:t>答</w:t>
      </w:r>
      <w:r w:rsidR="00964F45" w:rsidRPr="0044088F">
        <w:rPr>
          <w:rFonts w:eastAsia="Arial"/>
          <w:sz w:val="21"/>
          <w:szCs w:val="22"/>
        </w:rPr>
        <w:t>4</w:t>
      </w:r>
      <w:r w:rsidRPr="0044088F">
        <w:rPr>
          <w:rFonts w:ascii="SimSun" w:hAnsi="SimSun" w:cs="SimSun" w:hint="eastAsia"/>
          <w:sz w:val="21"/>
          <w:szCs w:val="22"/>
        </w:rPr>
        <w:t>：</w:t>
      </w:r>
      <w:r w:rsidR="00B330AF" w:rsidRPr="00730D93">
        <w:rPr>
          <w:rFonts w:eastAsiaTheme="minorEastAsia" w:hint="eastAsia"/>
          <w:sz w:val="21"/>
          <w:szCs w:val="22"/>
        </w:rPr>
        <w:t>更多详细信息</w:t>
      </w:r>
      <w:r w:rsidR="00025FEE" w:rsidRPr="00730D93">
        <w:rPr>
          <w:rFonts w:eastAsiaTheme="minorEastAsia" w:hint="eastAsia"/>
          <w:sz w:val="21"/>
          <w:szCs w:val="22"/>
        </w:rPr>
        <w:t>请见文件</w:t>
      </w:r>
      <w:r w:rsidR="00025FEE" w:rsidRPr="0044088F">
        <w:rPr>
          <w:rFonts w:eastAsia="Arial"/>
          <w:sz w:val="21"/>
          <w:szCs w:val="22"/>
        </w:rPr>
        <w:t>WO/PBC/23/INF.1</w:t>
      </w:r>
      <w:r w:rsidR="00B330AF" w:rsidRPr="00730D93">
        <w:rPr>
          <w:rFonts w:eastAsiaTheme="minorEastAsia" w:hint="eastAsia"/>
          <w:sz w:val="21"/>
          <w:szCs w:val="22"/>
        </w:rPr>
        <w:t>中截至</w:t>
      </w:r>
      <w:r w:rsidR="00B330AF" w:rsidRPr="00730D93">
        <w:rPr>
          <w:rFonts w:eastAsiaTheme="minorEastAsia" w:hint="eastAsia"/>
          <w:sz w:val="21"/>
          <w:szCs w:val="22"/>
        </w:rPr>
        <w:t>2014</w:t>
      </w:r>
      <w:r w:rsidR="00B330AF" w:rsidRPr="00730D93">
        <w:rPr>
          <w:rFonts w:eastAsiaTheme="minorEastAsia" w:hint="eastAsia"/>
          <w:sz w:val="21"/>
          <w:szCs w:val="22"/>
        </w:rPr>
        <w:t>年底的财务状况：初步结果。特别地，表</w:t>
      </w:r>
      <w:r w:rsidR="00B330AF" w:rsidRPr="00730D93">
        <w:rPr>
          <w:rFonts w:eastAsiaTheme="minorEastAsia" w:hint="eastAsia"/>
          <w:sz w:val="21"/>
          <w:szCs w:val="22"/>
        </w:rPr>
        <w:t>1</w:t>
      </w:r>
      <w:r w:rsidR="00B330AF" w:rsidRPr="00730D93">
        <w:rPr>
          <w:rFonts w:eastAsiaTheme="minorEastAsia" w:hint="eastAsia"/>
          <w:sz w:val="21"/>
          <w:szCs w:val="22"/>
        </w:rPr>
        <w:t>提供了</w:t>
      </w:r>
      <w:r w:rsidR="00B330AF" w:rsidRPr="00730D93">
        <w:rPr>
          <w:rFonts w:eastAsiaTheme="minorEastAsia" w:hint="eastAsia"/>
          <w:sz w:val="21"/>
          <w:szCs w:val="22"/>
        </w:rPr>
        <w:t>IPSAS</w:t>
      </w:r>
      <w:r w:rsidR="00B330AF" w:rsidRPr="00730D93">
        <w:rPr>
          <w:rFonts w:eastAsiaTheme="minorEastAsia" w:hint="eastAsia"/>
          <w:sz w:val="21"/>
          <w:szCs w:val="22"/>
        </w:rPr>
        <w:t>调整之前和</w:t>
      </w:r>
      <w:r w:rsidR="00B330AF" w:rsidRPr="00730D93">
        <w:rPr>
          <w:rFonts w:eastAsiaTheme="minorEastAsia" w:hint="eastAsia"/>
          <w:sz w:val="21"/>
          <w:szCs w:val="22"/>
        </w:rPr>
        <w:t>IPSAS</w:t>
      </w:r>
      <w:r w:rsidR="00B330AF" w:rsidRPr="00730D93">
        <w:rPr>
          <w:rFonts w:eastAsiaTheme="minorEastAsia" w:hint="eastAsia"/>
          <w:sz w:val="21"/>
          <w:szCs w:val="22"/>
        </w:rPr>
        <w:t>调整之后的储备金支出情况。</w:t>
      </w:r>
      <w:r w:rsidR="00B330AF" w:rsidRPr="00730D93">
        <w:rPr>
          <w:rFonts w:eastAsiaTheme="minorEastAsia" w:hint="eastAsia"/>
          <w:sz w:val="21"/>
          <w:szCs w:val="22"/>
        </w:rPr>
        <w:t>2014</w:t>
      </w:r>
      <w:r w:rsidR="00B330AF" w:rsidRPr="00730D93">
        <w:rPr>
          <w:rFonts w:eastAsiaTheme="minorEastAsia" w:hint="eastAsia"/>
          <w:sz w:val="21"/>
          <w:szCs w:val="22"/>
        </w:rPr>
        <w:t>年</w:t>
      </w:r>
      <w:r w:rsidR="00B330AF" w:rsidRPr="00730D93">
        <w:rPr>
          <w:rFonts w:eastAsiaTheme="minorEastAsia" w:hint="eastAsia"/>
          <w:sz w:val="21"/>
          <w:szCs w:val="22"/>
        </w:rPr>
        <w:t>IPSAS</w:t>
      </w:r>
      <w:r w:rsidR="00B330AF" w:rsidRPr="00730D93">
        <w:rPr>
          <w:rFonts w:eastAsiaTheme="minorEastAsia" w:hint="eastAsia"/>
          <w:sz w:val="21"/>
          <w:szCs w:val="22"/>
        </w:rPr>
        <w:t>调整之前的储备金支出</w:t>
      </w:r>
      <w:r w:rsidR="005A1670" w:rsidRPr="00730D93">
        <w:rPr>
          <w:rFonts w:eastAsiaTheme="minorEastAsia" w:hint="eastAsia"/>
          <w:sz w:val="21"/>
          <w:szCs w:val="22"/>
        </w:rPr>
        <w:t>（</w:t>
      </w:r>
      <w:r w:rsidR="00B330AF" w:rsidRPr="00730D93">
        <w:rPr>
          <w:rFonts w:eastAsiaTheme="minorEastAsia" w:hint="eastAsia"/>
          <w:sz w:val="21"/>
          <w:szCs w:val="22"/>
        </w:rPr>
        <w:t>以预算为基础的</w:t>
      </w:r>
      <w:r w:rsidR="00B330AF" w:rsidRPr="005A1670">
        <w:rPr>
          <w:rFonts w:hint="eastAsia"/>
          <w:bCs/>
          <w:sz w:val="21"/>
          <w:szCs w:val="22"/>
        </w:rPr>
        <w:t>支出</w:t>
      </w:r>
      <w:r w:rsidR="005A1670" w:rsidRPr="00730D93">
        <w:rPr>
          <w:rFonts w:eastAsiaTheme="minorEastAsia" w:hint="eastAsia"/>
          <w:sz w:val="21"/>
          <w:szCs w:val="22"/>
        </w:rPr>
        <w:t>）</w:t>
      </w:r>
      <w:r w:rsidR="00B330AF" w:rsidRPr="00730D93">
        <w:rPr>
          <w:rFonts w:eastAsiaTheme="minorEastAsia" w:hint="eastAsia"/>
          <w:sz w:val="21"/>
          <w:szCs w:val="22"/>
        </w:rPr>
        <w:t>为</w:t>
      </w:r>
      <w:r w:rsidR="00B330AF" w:rsidRPr="00730D93">
        <w:rPr>
          <w:rFonts w:eastAsiaTheme="minorEastAsia" w:hint="eastAsia"/>
          <w:sz w:val="21"/>
          <w:szCs w:val="22"/>
        </w:rPr>
        <w:t>3520</w:t>
      </w:r>
      <w:r w:rsidR="00B330AF" w:rsidRPr="00730D93">
        <w:rPr>
          <w:rFonts w:eastAsiaTheme="minorEastAsia" w:hint="eastAsia"/>
          <w:sz w:val="21"/>
          <w:szCs w:val="22"/>
        </w:rPr>
        <w:t>万瑞郎。</w:t>
      </w:r>
      <w:r w:rsidR="00B330AF" w:rsidRPr="00730D93">
        <w:rPr>
          <w:rFonts w:eastAsiaTheme="minorEastAsia" w:hint="eastAsia"/>
          <w:sz w:val="21"/>
          <w:szCs w:val="22"/>
        </w:rPr>
        <w:t>2014</w:t>
      </w:r>
      <w:r w:rsidR="00B330AF" w:rsidRPr="00730D93">
        <w:rPr>
          <w:rFonts w:eastAsiaTheme="minorEastAsia" w:hint="eastAsia"/>
          <w:sz w:val="21"/>
          <w:szCs w:val="22"/>
        </w:rPr>
        <w:t>年储备金支出经过</w:t>
      </w:r>
      <w:r w:rsidR="00B330AF" w:rsidRPr="00730D93">
        <w:rPr>
          <w:rFonts w:eastAsiaTheme="minorEastAsia" w:hint="eastAsia"/>
          <w:sz w:val="21"/>
          <w:szCs w:val="22"/>
        </w:rPr>
        <w:t>2910</w:t>
      </w:r>
      <w:r w:rsidR="00B330AF" w:rsidRPr="00730D93">
        <w:rPr>
          <w:rFonts w:eastAsiaTheme="minorEastAsia" w:hint="eastAsia"/>
          <w:sz w:val="21"/>
          <w:szCs w:val="22"/>
        </w:rPr>
        <w:t>万瑞郎的</w:t>
      </w:r>
      <w:r w:rsidR="00B330AF" w:rsidRPr="00730D93">
        <w:rPr>
          <w:rFonts w:eastAsiaTheme="minorEastAsia" w:hint="eastAsia"/>
          <w:sz w:val="21"/>
          <w:szCs w:val="22"/>
        </w:rPr>
        <w:t>IPSAS</w:t>
      </w:r>
      <w:r w:rsidR="00B330AF" w:rsidRPr="00730D93">
        <w:rPr>
          <w:rFonts w:eastAsiaTheme="minorEastAsia" w:hint="eastAsia"/>
          <w:sz w:val="21"/>
          <w:szCs w:val="22"/>
        </w:rPr>
        <w:t>调整</w:t>
      </w:r>
      <w:r w:rsidR="009A781F" w:rsidRPr="00730D93">
        <w:rPr>
          <w:rFonts w:eastAsiaTheme="minorEastAsia" w:hint="eastAsia"/>
          <w:sz w:val="21"/>
          <w:szCs w:val="22"/>
        </w:rPr>
        <w:t>后</w:t>
      </w:r>
      <w:r w:rsidR="00B330AF" w:rsidRPr="00730D93">
        <w:rPr>
          <w:rFonts w:eastAsiaTheme="minorEastAsia" w:hint="eastAsia"/>
          <w:sz w:val="21"/>
          <w:szCs w:val="22"/>
        </w:rPr>
        <w:t>为</w:t>
      </w:r>
      <w:r w:rsidR="00B330AF" w:rsidRPr="00730D93">
        <w:rPr>
          <w:rFonts w:eastAsiaTheme="minorEastAsia" w:hint="eastAsia"/>
          <w:sz w:val="21"/>
          <w:szCs w:val="22"/>
        </w:rPr>
        <w:t>610</w:t>
      </w:r>
      <w:r w:rsidR="00B330AF" w:rsidRPr="00730D93">
        <w:rPr>
          <w:rFonts w:eastAsiaTheme="minorEastAsia" w:hint="eastAsia"/>
          <w:sz w:val="21"/>
          <w:szCs w:val="22"/>
        </w:rPr>
        <w:t>万瑞郎。</w:t>
      </w:r>
      <w:r w:rsidR="00B330AF" w:rsidRPr="00730D93">
        <w:rPr>
          <w:rFonts w:eastAsiaTheme="minorEastAsia" w:hint="eastAsia"/>
          <w:sz w:val="21"/>
          <w:szCs w:val="22"/>
        </w:rPr>
        <w:t>2014</w:t>
      </w:r>
      <w:r w:rsidR="00B330AF" w:rsidRPr="00730D93">
        <w:rPr>
          <w:rFonts w:eastAsiaTheme="minorEastAsia" w:hint="eastAsia"/>
          <w:sz w:val="21"/>
          <w:szCs w:val="22"/>
        </w:rPr>
        <w:t>年底的</w:t>
      </w:r>
      <w:r w:rsidR="00B330AF" w:rsidRPr="00730D93">
        <w:rPr>
          <w:rFonts w:eastAsiaTheme="minorEastAsia" w:hint="eastAsia"/>
          <w:sz w:val="21"/>
          <w:szCs w:val="22"/>
        </w:rPr>
        <w:t>2720</w:t>
      </w:r>
      <w:r w:rsidR="00B330AF" w:rsidRPr="00730D93">
        <w:rPr>
          <w:rFonts w:eastAsiaTheme="minorEastAsia" w:hint="eastAsia"/>
          <w:sz w:val="21"/>
          <w:szCs w:val="22"/>
        </w:rPr>
        <w:t>万瑞郎余额反映了仍然用于已批准通过储备金供资项目的金额</w:t>
      </w:r>
      <w:r w:rsidR="005A1670" w:rsidRPr="00730D93">
        <w:rPr>
          <w:rFonts w:eastAsiaTheme="minorEastAsia" w:hint="eastAsia"/>
          <w:sz w:val="21"/>
          <w:szCs w:val="22"/>
        </w:rPr>
        <w:t>（</w:t>
      </w:r>
      <w:r w:rsidR="00B330AF" w:rsidRPr="00730D93">
        <w:rPr>
          <w:rFonts w:eastAsiaTheme="minorEastAsia" w:hint="eastAsia"/>
          <w:sz w:val="21"/>
          <w:szCs w:val="22"/>
        </w:rPr>
        <w:t>见文件</w:t>
      </w:r>
      <w:r w:rsidR="00B330AF" w:rsidRPr="0044088F">
        <w:rPr>
          <w:rFonts w:eastAsia="Arial"/>
          <w:sz w:val="21"/>
          <w:szCs w:val="22"/>
        </w:rPr>
        <w:t>WO/PBC/23/8</w:t>
      </w:r>
      <w:r w:rsidR="00B330AF" w:rsidRPr="00730D93">
        <w:rPr>
          <w:rFonts w:eastAsiaTheme="minorEastAsia" w:hint="eastAsia"/>
          <w:sz w:val="21"/>
          <w:szCs w:val="22"/>
        </w:rPr>
        <w:t>表</w:t>
      </w:r>
      <w:r w:rsidR="00B330AF" w:rsidRPr="00730D93">
        <w:rPr>
          <w:rFonts w:eastAsiaTheme="minorEastAsia" w:hint="eastAsia"/>
          <w:sz w:val="21"/>
          <w:szCs w:val="22"/>
        </w:rPr>
        <w:t>1</w:t>
      </w:r>
      <w:r w:rsidR="005A1670" w:rsidRPr="00730D93">
        <w:rPr>
          <w:rFonts w:eastAsiaTheme="minorEastAsia" w:hint="eastAsia"/>
          <w:sz w:val="21"/>
          <w:szCs w:val="22"/>
        </w:rPr>
        <w:t>）</w:t>
      </w:r>
      <w:r w:rsidR="00B330AF" w:rsidRPr="00730D93">
        <w:rPr>
          <w:rFonts w:eastAsiaTheme="minorEastAsia" w:hint="eastAsia"/>
          <w:sz w:val="21"/>
          <w:szCs w:val="22"/>
        </w:rPr>
        <w:t>。</w:t>
      </w:r>
    </w:p>
    <w:p w:rsidR="005A1670" w:rsidRDefault="005A1670" w:rsidP="002746F1">
      <w:pPr>
        <w:tabs>
          <w:tab w:val="left" w:pos="5529"/>
        </w:tabs>
        <w:rPr>
          <w:sz w:val="21"/>
          <w:lang w:val="es-ES_tradnl"/>
        </w:rPr>
      </w:pPr>
    </w:p>
    <w:p w:rsidR="002928D3" w:rsidRPr="005655C4" w:rsidRDefault="00387002" w:rsidP="005655C4">
      <w:pPr>
        <w:spacing w:afterLines="50" w:after="120" w:line="340" w:lineRule="atLeast"/>
        <w:ind w:left="5534"/>
        <w:rPr>
          <w:rFonts w:ascii="KaiTi" w:eastAsia="KaiTi" w:hAnsi="KaiTi"/>
          <w:sz w:val="21"/>
          <w:szCs w:val="21"/>
        </w:rPr>
      </w:pPr>
      <w:r w:rsidRPr="005655C4">
        <w:rPr>
          <w:rFonts w:ascii="KaiTi" w:eastAsia="KaiTi" w:hAnsi="KaiTi"/>
          <w:sz w:val="21"/>
          <w:szCs w:val="21"/>
        </w:rPr>
        <w:t>[</w:t>
      </w:r>
      <w:r w:rsidR="00B330AF" w:rsidRPr="005655C4">
        <w:rPr>
          <w:rFonts w:ascii="KaiTi" w:eastAsia="KaiTi" w:hAnsi="KaiTi" w:hint="eastAsia"/>
          <w:sz w:val="21"/>
          <w:szCs w:val="21"/>
        </w:rPr>
        <w:t>文件完</w:t>
      </w:r>
      <w:r w:rsidRPr="005655C4">
        <w:rPr>
          <w:rFonts w:ascii="KaiTi" w:eastAsia="KaiTi" w:hAnsi="KaiTi"/>
          <w:sz w:val="21"/>
          <w:szCs w:val="21"/>
        </w:rPr>
        <w:t>]</w:t>
      </w:r>
    </w:p>
    <w:sectPr w:rsidR="002928D3" w:rsidRPr="005655C4" w:rsidSect="006D4319">
      <w:headerReference w:type="default" r:id="rId9"/>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D93" w:rsidRDefault="00730D93">
      <w:r>
        <w:separator/>
      </w:r>
    </w:p>
  </w:endnote>
  <w:endnote w:type="continuationSeparator" w:id="0">
    <w:p w:rsidR="00730D93" w:rsidRDefault="00730D93" w:rsidP="003B38C1">
      <w:r>
        <w:separator/>
      </w:r>
    </w:p>
    <w:p w:rsidR="00730D93" w:rsidRPr="003B38C1" w:rsidRDefault="00730D93" w:rsidP="003B38C1">
      <w:pPr>
        <w:spacing w:after="60"/>
        <w:rPr>
          <w:sz w:val="17"/>
        </w:rPr>
      </w:pPr>
      <w:r>
        <w:rPr>
          <w:sz w:val="17"/>
        </w:rPr>
        <w:t>[Endnote continued from previous page]</w:t>
      </w:r>
    </w:p>
  </w:endnote>
  <w:endnote w:type="continuationNotice" w:id="1">
    <w:p w:rsidR="00730D93" w:rsidRPr="003B38C1" w:rsidRDefault="00730D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D93" w:rsidRDefault="00730D93">
      <w:r>
        <w:separator/>
      </w:r>
    </w:p>
  </w:footnote>
  <w:footnote w:type="continuationSeparator" w:id="0">
    <w:p w:rsidR="00730D93" w:rsidRDefault="00730D93" w:rsidP="008B60B2">
      <w:r>
        <w:separator/>
      </w:r>
    </w:p>
    <w:p w:rsidR="00730D93" w:rsidRPr="00ED77FB" w:rsidRDefault="00730D93" w:rsidP="008B60B2">
      <w:pPr>
        <w:spacing w:after="60"/>
        <w:rPr>
          <w:sz w:val="17"/>
          <w:szCs w:val="17"/>
        </w:rPr>
      </w:pPr>
      <w:r w:rsidRPr="00ED77FB">
        <w:rPr>
          <w:sz w:val="17"/>
          <w:szCs w:val="17"/>
        </w:rPr>
        <w:t>[Footnote continued from previous page]</w:t>
      </w:r>
    </w:p>
  </w:footnote>
  <w:footnote w:type="continuationNotice" w:id="1">
    <w:p w:rsidR="00730D93" w:rsidRPr="00ED77FB" w:rsidRDefault="00730D9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93" w:rsidRPr="0044088F" w:rsidRDefault="00730D93" w:rsidP="00477D6B">
    <w:pPr>
      <w:jc w:val="right"/>
      <w:rPr>
        <w:sz w:val="21"/>
      </w:rPr>
    </w:pPr>
    <w:r w:rsidRPr="0044088F">
      <w:rPr>
        <w:sz w:val="21"/>
      </w:rPr>
      <w:t>PBC 23</w:t>
    </w:r>
    <w:r>
      <w:rPr>
        <w:rFonts w:hint="eastAsia"/>
        <w:sz w:val="21"/>
      </w:rPr>
      <w:t>问答，第</w:t>
    </w:r>
    <w:r w:rsidRPr="0044088F">
      <w:rPr>
        <w:sz w:val="21"/>
      </w:rPr>
      <w:fldChar w:fldCharType="begin"/>
    </w:r>
    <w:r w:rsidRPr="0044088F">
      <w:rPr>
        <w:sz w:val="21"/>
      </w:rPr>
      <w:instrText xml:space="preserve"> PAGE  \* MERGEFORMAT </w:instrText>
    </w:r>
    <w:r w:rsidRPr="0044088F">
      <w:rPr>
        <w:sz w:val="21"/>
      </w:rPr>
      <w:fldChar w:fldCharType="separate"/>
    </w:r>
    <w:r w:rsidR="00104FFA">
      <w:rPr>
        <w:noProof/>
        <w:sz w:val="21"/>
      </w:rPr>
      <w:t>2</w:t>
    </w:r>
    <w:r w:rsidRPr="0044088F">
      <w:rPr>
        <w:noProof/>
        <w:sz w:val="21"/>
      </w:rPr>
      <w:fldChar w:fldCharType="end"/>
    </w:r>
    <w:r>
      <w:rPr>
        <w:rFonts w:hint="eastAsia"/>
        <w:noProof/>
        <w:sz w:val="21"/>
      </w:rPr>
      <w:t>页</w:t>
    </w:r>
  </w:p>
  <w:p w:rsidR="00730D93" w:rsidRPr="0044088F" w:rsidRDefault="00730D93" w:rsidP="00477D6B">
    <w:pP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DCE"/>
    <w:multiLevelType w:val="multilevel"/>
    <w:tmpl w:val="209EA994"/>
    <w:styleLink w:val="List1"/>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
    <w:nsid w:val="06CD29E3"/>
    <w:multiLevelType w:val="multilevel"/>
    <w:tmpl w:val="A5BEF9C4"/>
    <w:lvl w:ilvl="0">
      <w:start w:val="1"/>
      <w:numFmt w:val="decimal"/>
      <w:lvlRestart w:val="0"/>
      <w:pStyle w:val="ONUME"/>
      <w:lvlText w:val="%1."/>
      <w:lvlJc w:val="left"/>
      <w:pPr>
        <w:tabs>
          <w:tab w:val="num" w:pos="567"/>
        </w:tabs>
        <w:ind w:left="0" w:firstLine="0"/>
      </w:pPr>
      <w:rPr>
        <w:rFonts w:hint="default"/>
        <w: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890D8F"/>
    <w:multiLevelType w:val="multilevel"/>
    <w:tmpl w:val="CD2E09C2"/>
    <w:styleLink w:val="List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5">
    <w:nsid w:val="7D3E7524"/>
    <w:multiLevelType w:val="hybridMultilevel"/>
    <w:tmpl w:val="EB3E727E"/>
    <w:lvl w:ilvl="0" w:tplc="B156B91C">
      <w:numFmt w:val="bullet"/>
      <w:lvlText w:val="-"/>
      <w:lvlJc w:val="left"/>
      <w:pPr>
        <w:ind w:left="1287" w:hanging="360"/>
      </w:pPr>
      <w:rPr>
        <w:rFonts w:ascii="Arial" w:eastAsia="SimSu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2"/>
    <w:rsid w:val="000019F2"/>
    <w:rsid w:val="00001FA8"/>
    <w:rsid w:val="00003879"/>
    <w:rsid w:val="000220E2"/>
    <w:rsid w:val="00022153"/>
    <w:rsid w:val="00025FEE"/>
    <w:rsid w:val="000266E4"/>
    <w:rsid w:val="00026B8C"/>
    <w:rsid w:val="000379BB"/>
    <w:rsid w:val="00040896"/>
    <w:rsid w:val="00040959"/>
    <w:rsid w:val="00043CAA"/>
    <w:rsid w:val="00047329"/>
    <w:rsid w:val="000479DF"/>
    <w:rsid w:val="00052663"/>
    <w:rsid w:val="000541CF"/>
    <w:rsid w:val="00054A88"/>
    <w:rsid w:val="0005568A"/>
    <w:rsid w:val="00057080"/>
    <w:rsid w:val="00062E02"/>
    <w:rsid w:val="00067090"/>
    <w:rsid w:val="000748AD"/>
    <w:rsid w:val="00075432"/>
    <w:rsid w:val="0007784C"/>
    <w:rsid w:val="00084D59"/>
    <w:rsid w:val="000856BD"/>
    <w:rsid w:val="000914E0"/>
    <w:rsid w:val="00091989"/>
    <w:rsid w:val="000932A3"/>
    <w:rsid w:val="00094A0E"/>
    <w:rsid w:val="000968ED"/>
    <w:rsid w:val="00096A97"/>
    <w:rsid w:val="000A4ADD"/>
    <w:rsid w:val="000A59AA"/>
    <w:rsid w:val="000A733D"/>
    <w:rsid w:val="000B248A"/>
    <w:rsid w:val="000B384F"/>
    <w:rsid w:val="000C008F"/>
    <w:rsid w:val="000C0B5A"/>
    <w:rsid w:val="000C0DE3"/>
    <w:rsid w:val="000C32DE"/>
    <w:rsid w:val="000C603D"/>
    <w:rsid w:val="000C7A32"/>
    <w:rsid w:val="000D1B6E"/>
    <w:rsid w:val="000D25CE"/>
    <w:rsid w:val="000D6BCA"/>
    <w:rsid w:val="000E09CD"/>
    <w:rsid w:val="000E34CB"/>
    <w:rsid w:val="000E552E"/>
    <w:rsid w:val="000F24B5"/>
    <w:rsid w:val="000F3EFA"/>
    <w:rsid w:val="000F5CF4"/>
    <w:rsid w:val="000F5E56"/>
    <w:rsid w:val="00104897"/>
    <w:rsid w:val="00104FFA"/>
    <w:rsid w:val="00105FB1"/>
    <w:rsid w:val="001173D6"/>
    <w:rsid w:val="00124A39"/>
    <w:rsid w:val="001256A6"/>
    <w:rsid w:val="001362EE"/>
    <w:rsid w:val="00137F39"/>
    <w:rsid w:val="00142EFB"/>
    <w:rsid w:val="00154937"/>
    <w:rsid w:val="00156420"/>
    <w:rsid w:val="00162FA1"/>
    <w:rsid w:val="00167F3D"/>
    <w:rsid w:val="00173A35"/>
    <w:rsid w:val="001832A6"/>
    <w:rsid w:val="00183C6C"/>
    <w:rsid w:val="00184D9E"/>
    <w:rsid w:val="00193020"/>
    <w:rsid w:val="001947B9"/>
    <w:rsid w:val="001955B9"/>
    <w:rsid w:val="00195A27"/>
    <w:rsid w:val="001A249D"/>
    <w:rsid w:val="001B5499"/>
    <w:rsid w:val="001B73A1"/>
    <w:rsid w:val="001C0842"/>
    <w:rsid w:val="001C28DF"/>
    <w:rsid w:val="001C2B64"/>
    <w:rsid w:val="001D145A"/>
    <w:rsid w:val="001E0900"/>
    <w:rsid w:val="001E4B1B"/>
    <w:rsid w:val="001E5E88"/>
    <w:rsid w:val="001F3B01"/>
    <w:rsid w:val="002064BD"/>
    <w:rsid w:val="00212738"/>
    <w:rsid w:val="00214AD7"/>
    <w:rsid w:val="00216994"/>
    <w:rsid w:val="00224A65"/>
    <w:rsid w:val="0022564D"/>
    <w:rsid w:val="00226824"/>
    <w:rsid w:val="002404A9"/>
    <w:rsid w:val="00242503"/>
    <w:rsid w:val="00252519"/>
    <w:rsid w:val="002611E5"/>
    <w:rsid w:val="00262366"/>
    <w:rsid w:val="00262828"/>
    <w:rsid w:val="002634C4"/>
    <w:rsid w:val="002746F1"/>
    <w:rsid w:val="00281C69"/>
    <w:rsid w:val="00283E88"/>
    <w:rsid w:val="002928D3"/>
    <w:rsid w:val="002943AD"/>
    <w:rsid w:val="002A49A1"/>
    <w:rsid w:val="002A62DE"/>
    <w:rsid w:val="002B7BC1"/>
    <w:rsid w:val="002C06D4"/>
    <w:rsid w:val="002C24DD"/>
    <w:rsid w:val="002C315F"/>
    <w:rsid w:val="002E2435"/>
    <w:rsid w:val="002E412D"/>
    <w:rsid w:val="002F00FA"/>
    <w:rsid w:val="002F0623"/>
    <w:rsid w:val="002F1FE6"/>
    <w:rsid w:val="002F446C"/>
    <w:rsid w:val="002F4E68"/>
    <w:rsid w:val="00310F88"/>
    <w:rsid w:val="003124F7"/>
    <w:rsid w:val="00312F7F"/>
    <w:rsid w:val="0031400A"/>
    <w:rsid w:val="00317B9F"/>
    <w:rsid w:val="00321757"/>
    <w:rsid w:val="003227DB"/>
    <w:rsid w:val="00322BCF"/>
    <w:rsid w:val="0032370A"/>
    <w:rsid w:val="00325EE2"/>
    <w:rsid w:val="003274D7"/>
    <w:rsid w:val="00332128"/>
    <w:rsid w:val="00334955"/>
    <w:rsid w:val="003350BF"/>
    <w:rsid w:val="00336409"/>
    <w:rsid w:val="00341D75"/>
    <w:rsid w:val="003427A3"/>
    <w:rsid w:val="00343242"/>
    <w:rsid w:val="00345756"/>
    <w:rsid w:val="00353C3E"/>
    <w:rsid w:val="003559AB"/>
    <w:rsid w:val="00361450"/>
    <w:rsid w:val="003673CF"/>
    <w:rsid w:val="00370964"/>
    <w:rsid w:val="003716C4"/>
    <w:rsid w:val="00373B6D"/>
    <w:rsid w:val="00383257"/>
    <w:rsid w:val="003845C1"/>
    <w:rsid w:val="00385111"/>
    <w:rsid w:val="00387002"/>
    <w:rsid w:val="0039066F"/>
    <w:rsid w:val="00395A96"/>
    <w:rsid w:val="00396F09"/>
    <w:rsid w:val="00397B81"/>
    <w:rsid w:val="003A08E0"/>
    <w:rsid w:val="003A406A"/>
    <w:rsid w:val="003A4181"/>
    <w:rsid w:val="003A5261"/>
    <w:rsid w:val="003A6F89"/>
    <w:rsid w:val="003A778D"/>
    <w:rsid w:val="003B0AF5"/>
    <w:rsid w:val="003B3042"/>
    <w:rsid w:val="003B38C1"/>
    <w:rsid w:val="003B64BE"/>
    <w:rsid w:val="003B742C"/>
    <w:rsid w:val="003B7D4E"/>
    <w:rsid w:val="003C40CA"/>
    <w:rsid w:val="003C5629"/>
    <w:rsid w:val="003C5C94"/>
    <w:rsid w:val="003D26CE"/>
    <w:rsid w:val="003D469B"/>
    <w:rsid w:val="003D48D7"/>
    <w:rsid w:val="003E2621"/>
    <w:rsid w:val="003E475A"/>
    <w:rsid w:val="003E60CC"/>
    <w:rsid w:val="003E7A03"/>
    <w:rsid w:val="003F2137"/>
    <w:rsid w:val="003F2BB6"/>
    <w:rsid w:val="003F5EA5"/>
    <w:rsid w:val="00410268"/>
    <w:rsid w:val="00417ED8"/>
    <w:rsid w:val="00423E3E"/>
    <w:rsid w:val="00427AF4"/>
    <w:rsid w:val="004329E3"/>
    <w:rsid w:val="0044045E"/>
    <w:rsid w:val="0044088F"/>
    <w:rsid w:val="00443166"/>
    <w:rsid w:val="004446C6"/>
    <w:rsid w:val="004537FF"/>
    <w:rsid w:val="0045380A"/>
    <w:rsid w:val="004647DA"/>
    <w:rsid w:val="0046600E"/>
    <w:rsid w:val="00472E81"/>
    <w:rsid w:val="00473AFA"/>
    <w:rsid w:val="00474062"/>
    <w:rsid w:val="00477D6B"/>
    <w:rsid w:val="004808E5"/>
    <w:rsid w:val="00484228"/>
    <w:rsid w:val="004849FC"/>
    <w:rsid w:val="00485D4B"/>
    <w:rsid w:val="004A4EB1"/>
    <w:rsid w:val="004A5B01"/>
    <w:rsid w:val="004A68E2"/>
    <w:rsid w:val="004A7DD8"/>
    <w:rsid w:val="004C197A"/>
    <w:rsid w:val="004D1C21"/>
    <w:rsid w:val="004D1E9E"/>
    <w:rsid w:val="004D3FE4"/>
    <w:rsid w:val="004D4F8E"/>
    <w:rsid w:val="004D7A58"/>
    <w:rsid w:val="004E1483"/>
    <w:rsid w:val="004E67E2"/>
    <w:rsid w:val="004E7A79"/>
    <w:rsid w:val="005019FF"/>
    <w:rsid w:val="005108DD"/>
    <w:rsid w:val="005129DC"/>
    <w:rsid w:val="005129E5"/>
    <w:rsid w:val="00512E65"/>
    <w:rsid w:val="00513425"/>
    <w:rsid w:val="00517C4B"/>
    <w:rsid w:val="00523716"/>
    <w:rsid w:val="00524BED"/>
    <w:rsid w:val="0053057A"/>
    <w:rsid w:val="00531C8C"/>
    <w:rsid w:val="005340D4"/>
    <w:rsid w:val="00537E52"/>
    <w:rsid w:val="00537F8A"/>
    <w:rsid w:val="00540062"/>
    <w:rsid w:val="00540104"/>
    <w:rsid w:val="0054119F"/>
    <w:rsid w:val="00541486"/>
    <w:rsid w:val="00541955"/>
    <w:rsid w:val="00544BA3"/>
    <w:rsid w:val="00550192"/>
    <w:rsid w:val="0055033D"/>
    <w:rsid w:val="0055155C"/>
    <w:rsid w:val="00551E3F"/>
    <w:rsid w:val="0055358C"/>
    <w:rsid w:val="00560A29"/>
    <w:rsid w:val="00562E3F"/>
    <w:rsid w:val="0056325C"/>
    <w:rsid w:val="00564CA0"/>
    <w:rsid w:val="00564CF7"/>
    <w:rsid w:val="005655C4"/>
    <w:rsid w:val="00566288"/>
    <w:rsid w:val="00580CDF"/>
    <w:rsid w:val="00580EB3"/>
    <w:rsid w:val="0058105B"/>
    <w:rsid w:val="00587DB5"/>
    <w:rsid w:val="00594185"/>
    <w:rsid w:val="00595B0F"/>
    <w:rsid w:val="005A1670"/>
    <w:rsid w:val="005A2E25"/>
    <w:rsid w:val="005A4BF7"/>
    <w:rsid w:val="005A5191"/>
    <w:rsid w:val="005A7892"/>
    <w:rsid w:val="005B362A"/>
    <w:rsid w:val="005B4B36"/>
    <w:rsid w:val="005C2DD4"/>
    <w:rsid w:val="005C3DBE"/>
    <w:rsid w:val="005C6649"/>
    <w:rsid w:val="005C6D16"/>
    <w:rsid w:val="005D0AD4"/>
    <w:rsid w:val="005D10E6"/>
    <w:rsid w:val="005D576C"/>
    <w:rsid w:val="005D58E8"/>
    <w:rsid w:val="005E4C88"/>
    <w:rsid w:val="005E5A91"/>
    <w:rsid w:val="005F0E99"/>
    <w:rsid w:val="005F249D"/>
    <w:rsid w:val="005F7105"/>
    <w:rsid w:val="006008FC"/>
    <w:rsid w:val="00601D50"/>
    <w:rsid w:val="006052B0"/>
    <w:rsid w:val="00605827"/>
    <w:rsid w:val="00610802"/>
    <w:rsid w:val="00612C42"/>
    <w:rsid w:val="00613167"/>
    <w:rsid w:val="00614807"/>
    <w:rsid w:val="00617A3D"/>
    <w:rsid w:val="00622A29"/>
    <w:rsid w:val="006302ED"/>
    <w:rsid w:val="0063078E"/>
    <w:rsid w:val="00643E27"/>
    <w:rsid w:val="0064442A"/>
    <w:rsid w:val="00646050"/>
    <w:rsid w:val="0065062E"/>
    <w:rsid w:val="00664140"/>
    <w:rsid w:val="00664874"/>
    <w:rsid w:val="00665352"/>
    <w:rsid w:val="006706FF"/>
    <w:rsid w:val="00670BA9"/>
    <w:rsid w:val="00670D4C"/>
    <w:rsid w:val="006713CA"/>
    <w:rsid w:val="00671B9C"/>
    <w:rsid w:val="006726AA"/>
    <w:rsid w:val="00676C5C"/>
    <w:rsid w:val="00685B34"/>
    <w:rsid w:val="00686144"/>
    <w:rsid w:val="00687BF2"/>
    <w:rsid w:val="006A1D19"/>
    <w:rsid w:val="006A7C20"/>
    <w:rsid w:val="006B1C8D"/>
    <w:rsid w:val="006B6C30"/>
    <w:rsid w:val="006B6DC0"/>
    <w:rsid w:val="006C37C3"/>
    <w:rsid w:val="006C579E"/>
    <w:rsid w:val="006C779A"/>
    <w:rsid w:val="006D3956"/>
    <w:rsid w:val="006D4319"/>
    <w:rsid w:val="006D5A8E"/>
    <w:rsid w:val="006E2777"/>
    <w:rsid w:val="006E48F3"/>
    <w:rsid w:val="006F2C31"/>
    <w:rsid w:val="006F2FCC"/>
    <w:rsid w:val="006F32DF"/>
    <w:rsid w:val="006F647D"/>
    <w:rsid w:val="00701FDE"/>
    <w:rsid w:val="00704726"/>
    <w:rsid w:val="00704F40"/>
    <w:rsid w:val="007070D6"/>
    <w:rsid w:val="00707288"/>
    <w:rsid w:val="00730D93"/>
    <w:rsid w:val="00732467"/>
    <w:rsid w:val="00736CEA"/>
    <w:rsid w:val="00745CE0"/>
    <w:rsid w:val="00750A03"/>
    <w:rsid w:val="00760CB5"/>
    <w:rsid w:val="0076128F"/>
    <w:rsid w:val="00767821"/>
    <w:rsid w:val="00767AD9"/>
    <w:rsid w:val="00771713"/>
    <w:rsid w:val="0077360E"/>
    <w:rsid w:val="0078453E"/>
    <w:rsid w:val="00784C39"/>
    <w:rsid w:val="0078769A"/>
    <w:rsid w:val="00792C4C"/>
    <w:rsid w:val="00794F14"/>
    <w:rsid w:val="00795422"/>
    <w:rsid w:val="007A713D"/>
    <w:rsid w:val="007B052B"/>
    <w:rsid w:val="007B6F22"/>
    <w:rsid w:val="007C6ACD"/>
    <w:rsid w:val="007D1613"/>
    <w:rsid w:val="007D3C8E"/>
    <w:rsid w:val="007D5422"/>
    <w:rsid w:val="007D60EE"/>
    <w:rsid w:val="007D66E0"/>
    <w:rsid w:val="007D79EA"/>
    <w:rsid w:val="007E078A"/>
    <w:rsid w:val="007E5EC1"/>
    <w:rsid w:val="007F094A"/>
    <w:rsid w:val="007F2DD9"/>
    <w:rsid w:val="007F3C5A"/>
    <w:rsid w:val="007F41C6"/>
    <w:rsid w:val="007F4FC1"/>
    <w:rsid w:val="007F6253"/>
    <w:rsid w:val="00802A97"/>
    <w:rsid w:val="00804452"/>
    <w:rsid w:val="00804B0E"/>
    <w:rsid w:val="008113B9"/>
    <w:rsid w:val="008218A1"/>
    <w:rsid w:val="00826122"/>
    <w:rsid w:val="008361AC"/>
    <w:rsid w:val="00842D00"/>
    <w:rsid w:val="00844F56"/>
    <w:rsid w:val="00851215"/>
    <w:rsid w:val="00870224"/>
    <w:rsid w:val="00870E44"/>
    <w:rsid w:val="0087278A"/>
    <w:rsid w:val="008740D7"/>
    <w:rsid w:val="00880C0C"/>
    <w:rsid w:val="008851C3"/>
    <w:rsid w:val="008B2CC1"/>
    <w:rsid w:val="008B60B2"/>
    <w:rsid w:val="008B65A6"/>
    <w:rsid w:val="008C05AF"/>
    <w:rsid w:val="008C26E8"/>
    <w:rsid w:val="008C48E7"/>
    <w:rsid w:val="008C6656"/>
    <w:rsid w:val="008D104C"/>
    <w:rsid w:val="008D1941"/>
    <w:rsid w:val="008E5F97"/>
    <w:rsid w:val="008E64D0"/>
    <w:rsid w:val="008E6CA6"/>
    <w:rsid w:val="00900C33"/>
    <w:rsid w:val="00901D29"/>
    <w:rsid w:val="0090731E"/>
    <w:rsid w:val="00910AD8"/>
    <w:rsid w:val="009118B3"/>
    <w:rsid w:val="009119E8"/>
    <w:rsid w:val="009159B8"/>
    <w:rsid w:val="0091669F"/>
    <w:rsid w:val="00916EE2"/>
    <w:rsid w:val="00924A44"/>
    <w:rsid w:val="00927F87"/>
    <w:rsid w:val="00935D75"/>
    <w:rsid w:val="00940056"/>
    <w:rsid w:val="00940E44"/>
    <w:rsid w:val="00944ADD"/>
    <w:rsid w:val="00951CDE"/>
    <w:rsid w:val="00953625"/>
    <w:rsid w:val="009571B1"/>
    <w:rsid w:val="009575E1"/>
    <w:rsid w:val="00961A9A"/>
    <w:rsid w:val="0096386F"/>
    <w:rsid w:val="009638C9"/>
    <w:rsid w:val="00963A3D"/>
    <w:rsid w:val="00964F45"/>
    <w:rsid w:val="00966A22"/>
    <w:rsid w:val="00967087"/>
    <w:rsid w:val="0096722F"/>
    <w:rsid w:val="009722A2"/>
    <w:rsid w:val="00972DAB"/>
    <w:rsid w:val="00973043"/>
    <w:rsid w:val="00973FA1"/>
    <w:rsid w:val="00976A8D"/>
    <w:rsid w:val="00980843"/>
    <w:rsid w:val="00980AAA"/>
    <w:rsid w:val="00990086"/>
    <w:rsid w:val="009917E4"/>
    <w:rsid w:val="00995443"/>
    <w:rsid w:val="00995B14"/>
    <w:rsid w:val="009A0CE7"/>
    <w:rsid w:val="009A6B1C"/>
    <w:rsid w:val="009A781F"/>
    <w:rsid w:val="009A7AEB"/>
    <w:rsid w:val="009B239D"/>
    <w:rsid w:val="009B77F8"/>
    <w:rsid w:val="009C0D88"/>
    <w:rsid w:val="009C1F6E"/>
    <w:rsid w:val="009C1FB2"/>
    <w:rsid w:val="009C3F6D"/>
    <w:rsid w:val="009D0FEC"/>
    <w:rsid w:val="009D3805"/>
    <w:rsid w:val="009E17EE"/>
    <w:rsid w:val="009E2791"/>
    <w:rsid w:val="009E3F6F"/>
    <w:rsid w:val="009E4BAD"/>
    <w:rsid w:val="009E5092"/>
    <w:rsid w:val="009E6D76"/>
    <w:rsid w:val="009E6EFA"/>
    <w:rsid w:val="009E783C"/>
    <w:rsid w:val="009F367B"/>
    <w:rsid w:val="009F499F"/>
    <w:rsid w:val="00A01088"/>
    <w:rsid w:val="00A062CC"/>
    <w:rsid w:val="00A0783F"/>
    <w:rsid w:val="00A234C1"/>
    <w:rsid w:val="00A23598"/>
    <w:rsid w:val="00A24EBC"/>
    <w:rsid w:val="00A25333"/>
    <w:rsid w:val="00A261D7"/>
    <w:rsid w:val="00A31012"/>
    <w:rsid w:val="00A32C91"/>
    <w:rsid w:val="00A42DAF"/>
    <w:rsid w:val="00A43714"/>
    <w:rsid w:val="00A45861"/>
    <w:rsid w:val="00A45BD8"/>
    <w:rsid w:val="00A505C9"/>
    <w:rsid w:val="00A53B87"/>
    <w:rsid w:val="00A6316D"/>
    <w:rsid w:val="00A6648F"/>
    <w:rsid w:val="00A71D2E"/>
    <w:rsid w:val="00A735A1"/>
    <w:rsid w:val="00A74F4B"/>
    <w:rsid w:val="00A869B7"/>
    <w:rsid w:val="00AA17C7"/>
    <w:rsid w:val="00AC205C"/>
    <w:rsid w:val="00AC4092"/>
    <w:rsid w:val="00AC7ABE"/>
    <w:rsid w:val="00AD02C5"/>
    <w:rsid w:val="00AE4D9F"/>
    <w:rsid w:val="00AE54E0"/>
    <w:rsid w:val="00AF0A6B"/>
    <w:rsid w:val="00B040B5"/>
    <w:rsid w:val="00B05A69"/>
    <w:rsid w:val="00B12C8D"/>
    <w:rsid w:val="00B13162"/>
    <w:rsid w:val="00B16A7B"/>
    <w:rsid w:val="00B17531"/>
    <w:rsid w:val="00B17CB3"/>
    <w:rsid w:val="00B223BA"/>
    <w:rsid w:val="00B23D0D"/>
    <w:rsid w:val="00B2697A"/>
    <w:rsid w:val="00B26D1D"/>
    <w:rsid w:val="00B328D8"/>
    <w:rsid w:val="00B330AF"/>
    <w:rsid w:val="00B35447"/>
    <w:rsid w:val="00B37794"/>
    <w:rsid w:val="00B43DE1"/>
    <w:rsid w:val="00B43F13"/>
    <w:rsid w:val="00B44F88"/>
    <w:rsid w:val="00B57EA9"/>
    <w:rsid w:val="00B64903"/>
    <w:rsid w:val="00B64E40"/>
    <w:rsid w:val="00B744C6"/>
    <w:rsid w:val="00B81CC1"/>
    <w:rsid w:val="00B82A4B"/>
    <w:rsid w:val="00B83E94"/>
    <w:rsid w:val="00B8494D"/>
    <w:rsid w:val="00B91D1A"/>
    <w:rsid w:val="00B93349"/>
    <w:rsid w:val="00B96022"/>
    <w:rsid w:val="00B96FF0"/>
    <w:rsid w:val="00B9734B"/>
    <w:rsid w:val="00BA3CEE"/>
    <w:rsid w:val="00BA519A"/>
    <w:rsid w:val="00BA65FA"/>
    <w:rsid w:val="00BB0F4A"/>
    <w:rsid w:val="00BB10D4"/>
    <w:rsid w:val="00BB1B91"/>
    <w:rsid w:val="00BB1FCF"/>
    <w:rsid w:val="00BB6204"/>
    <w:rsid w:val="00BD1EC1"/>
    <w:rsid w:val="00BD733E"/>
    <w:rsid w:val="00BE089C"/>
    <w:rsid w:val="00BE33E4"/>
    <w:rsid w:val="00BF3089"/>
    <w:rsid w:val="00BF660C"/>
    <w:rsid w:val="00BF7473"/>
    <w:rsid w:val="00C00B35"/>
    <w:rsid w:val="00C0359E"/>
    <w:rsid w:val="00C05091"/>
    <w:rsid w:val="00C11BFE"/>
    <w:rsid w:val="00C1467A"/>
    <w:rsid w:val="00C1628D"/>
    <w:rsid w:val="00C20951"/>
    <w:rsid w:val="00C23A4B"/>
    <w:rsid w:val="00C25DAA"/>
    <w:rsid w:val="00C26374"/>
    <w:rsid w:val="00C30BD7"/>
    <w:rsid w:val="00C66F92"/>
    <w:rsid w:val="00C739E9"/>
    <w:rsid w:val="00C826CB"/>
    <w:rsid w:val="00C85C86"/>
    <w:rsid w:val="00C92C28"/>
    <w:rsid w:val="00CA2EFA"/>
    <w:rsid w:val="00CA3786"/>
    <w:rsid w:val="00CA3EBB"/>
    <w:rsid w:val="00CA68B8"/>
    <w:rsid w:val="00CA69B2"/>
    <w:rsid w:val="00CB07A6"/>
    <w:rsid w:val="00CB0F2F"/>
    <w:rsid w:val="00CB0F8B"/>
    <w:rsid w:val="00CB17C0"/>
    <w:rsid w:val="00CB3F6F"/>
    <w:rsid w:val="00CB62E3"/>
    <w:rsid w:val="00CD11C1"/>
    <w:rsid w:val="00CD26C0"/>
    <w:rsid w:val="00CD2CF8"/>
    <w:rsid w:val="00CE4CDA"/>
    <w:rsid w:val="00CE5C61"/>
    <w:rsid w:val="00CF3AEE"/>
    <w:rsid w:val="00CF5811"/>
    <w:rsid w:val="00D013C1"/>
    <w:rsid w:val="00D03B40"/>
    <w:rsid w:val="00D261A0"/>
    <w:rsid w:val="00D27C18"/>
    <w:rsid w:val="00D40280"/>
    <w:rsid w:val="00D40AEA"/>
    <w:rsid w:val="00D40F7D"/>
    <w:rsid w:val="00D45252"/>
    <w:rsid w:val="00D45E73"/>
    <w:rsid w:val="00D5739D"/>
    <w:rsid w:val="00D62049"/>
    <w:rsid w:val="00D62B83"/>
    <w:rsid w:val="00D70FD3"/>
    <w:rsid w:val="00D71B4D"/>
    <w:rsid w:val="00D72E36"/>
    <w:rsid w:val="00D77273"/>
    <w:rsid w:val="00D93D55"/>
    <w:rsid w:val="00DA1535"/>
    <w:rsid w:val="00DA2504"/>
    <w:rsid w:val="00DA5A70"/>
    <w:rsid w:val="00DC696F"/>
    <w:rsid w:val="00DC6D8C"/>
    <w:rsid w:val="00DD7A59"/>
    <w:rsid w:val="00DE3D1D"/>
    <w:rsid w:val="00DF0440"/>
    <w:rsid w:val="00DF1AD1"/>
    <w:rsid w:val="00DF5232"/>
    <w:rsid w:val="00E00F39"/>
    <w:rsid w:val="00E01C28"/>
    <w:rsid w:val="00E02E42"/>
    <w:rsid w:val="00E053F8"/>
    <w:rsid w:val="00E2024E"/>
    <w:rsid w:val="00E2313D"/>
    <w:rsid w:val="00E23BED"/>
    <w:rsid w:val="00E27F88"/>
    <w:rsid w:val="00E3161B"/>
    <w:rsid w:val="00E31DF0"/>
    <w:rsid w:val="00E32E62"/>
    <w:rsid w:val="00E335FE"/>
    <w:rsid w:val="00E35715"/>
    <w:rsid w:val="00E43467"/>
    <w:rsid w:val="00E44357"/>
    <w:rsid w:val="00E54C63"/>
    <w:rsid w:val="00E6111F"/>
    <w:rsid w:val="00E61E4C"/>
    <w:rsid w:val="00E70D65"/>
    <w:rsid w:val="00E7544E"/>
    <w:rsid w:val="00E76005"/>
    <w:rsid w:val="00E81D57"/>
    <w:rsid w:val="00E85684"/>
    <w:rsid w:val="00E9082F"/>
    <w:rsid w:val="00E960E9"/>
    <w:rsid w:val="00EA1FC4"/>
    <w:rsid w:val="00EA5F54"/>
    <w:rsid w:val="00EB01CA"/>
    <w:rsid w:val="00EB345E"/>
    <w:rsid w:val="00EC4E49"/>
    <w:rsid w:val="00ED2AB8"/>
    <w:rsid w:val="00ED4681"/>
    <w:rsid w:val="00ED52AC"/>
    <w:rsid w:val="00ED71C1"/>
    <w:rsid w:val="00ED77FB"/>
    <w:rsid w:val="00ED7C5F"/>
    <w:rsid w:val="00EE06A9"/>
    <w:rsid w:val="00EE44A0"/>
    <w:rsid w:val="00EE45FA"/>
    <w:rsid w:val="00EF5BFC"/>
    <w:rsid w:val="00EF7781"/>
    <w:rsid w:val="00EF77EB"/>
    <w:rsid w:val="00F00CFC"/>
    <w:rsid w:val="00F03404"/>
    <w:rsid w:val="00F03ABB"/>
    <w:rsid w:val="00F04F48"/>
    <w:rsid w:val="00F05D30"/>
    <w:rsid w:val="00F069C0"/>
    <w:rsid w:val="00F11C12"/>
    <w:rsid w:val="00F15AEB"/>
    <w:rsid w:val="00F1734A"/>
    <w:rsid w:val="00F2007B"/>
    <w:rsid w:val="00F20EEF"/>
    <w:rsid w:val="00F23B7F"/>
    <w:rsid w:val="00F24AE3"/>
    <w:rsid w:val="00F364D6"/>
    <w:rsid w:val="00F4009A"/>
    <w:rsid w:val="00F426ED"/>
    <w:rsid w:val="00F564FC"/>
    <w:rsid w:val="00F56DC5"/>
    <w:rsid w:val="00F61393"/>
    <w:rsid w:val="00F63E0D"/>
    <w:rsid w:val="00F6412E"/>
    <w:rsid w:val="00F66152"/>
    <w:rsid w:val="00F70614"/>
    <w:rsid w:val="00F8269C"/>
    <w:rsid w:val="00F842EB"/>
    <w:rsid w:val="00F912B7"/>
    <w:rsid w:val="00F94290"/>
    <w:rsid w:val="00F9687D"/>
    <w:rsid w:val="00FA3578"/>
    <w:rsid w:val="00FB236B"/>
    <w:rsid w:val="00FB354D"/>
    <w:rsid w:val="00FD30CF"/>
    <w:rsid w:val="00FD64B8"/>
    <w:rsid w:val="00FD6D7A"/>
    <w:rsid w:val="00FE2084"/>
    <w:rsid w:val="00FE5A4C"/>
    <w:rsid w:val="00FF3645"/>
    <w:rsid w:val="00FF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FootnoteTextChar">
    <w:name w:val="Footnote Text Char"/>
    <w:basedOn w:val="a1"/>
    <w:link w:val="a9"/>
    <w:uiPriority w:val="99"/>
    <w:semiHidden/>
    <w:locked/>
    <w:rsid w:val="00C25DAA"/>
    <w:rPr>
      <w:rFonts w:ascii="Arial" w:eastAsia="SimSun" w:hAnsi="Arial" w:cs="Arial"/>
      <w:sz w:val="18"/>
      <w:lang w:eastAsia="zh-CN"/>
    </w:rPr>
  </w:style>
  <w:style w:type="paragraph" w:styleId="a9">
    <w:name w:val="footnote text"/>
    <w:basedOn w:val="a0"/>
    <w:link w:val="FootnoteText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C25DAA"/>
    <w:rPr>
      <w:rFonts w:cs="Times New Roman"/>
      <w:vertAlign w:val="superscript"/>
    </w:rPr>
  </w:style>
  <w:style w:type="paragraph" w:styleId="ae">
    <w:name w:val="Balloon Text"/>
    <w:basedOn w:val="a0"/>
    <w:link w:val="BalloonTextChar"/>
    <w:rsid w:val="007D5422"/>
    <w:rPr>
      <w:rFonts w:ascii="Tahoma" w:hAnsi="Tahoma" w:cs="Tahoma"/>
      <w:sz w:val="16"/>
      <w:szCs w:val="16"/>
    </w:rPr>
  </w:style>
  <w:style w:type="character" w:customStyle="1" w:styleId="BalloonTextChar">
    <w:name w:val="Balloon Text Char"/>
    <w:basedOn w:val="a1"/>
    <w:link w:val="ae"/>
    <w:rsid w:val="007D5422"/>
    <w:rPr>
      <w:rFonts w:ascii="Tahoma" w:eastAsia="SimSun" w:hAnsi="Tahoma" w:cs="Tahoma"/>
      <w:sz w:val="16"/>
      <w:szCs w:val="16"/>
      <w:lang w:eastAsia="zh-CN"/>
    </w:rPr>
  </w:style>
  <w:style w:type="paragraph" w:styleId="af">
    <w:name w:val="Plain Text"/>
    <w:basedOn w:val="a0"/>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a1"/>
    <w:link w:val="af"/>
    <w:uiPriority w:val="99"/>
    <w:rsid w:val="003F2BB6"/>
    <w:rPr>
      <w:rFonts w:ascii="Courier New" w:eastAsiaTheme="minorHAnsi" w:hAnsi="Courier New" w:cs="Courier New"/>
      <w:sz w:val="22"/>
      <w:szCs w:val="22"/>
    </w:rPr>
  </w:style>
  <w:style w:type="paragraph" w:styleId="af0">
    <w:name w:val="Normal (Web)"/>
    <w:basedOn w:val="a0"/>
    <w:uiPriority w:val="99"/>
    <w:unhideWhenUsed/>
    <w:rsid w:val="00995443"/>
    <w:pPr>
      <w:spacing w:before="100" w:beforeAutospacing="1" w:after="100" w:afterAutospacing="1"/>
    </w:pPr>
    <w:rPr>
      <w:rFonts w:eastAsia="Times New Roman"/>
      <w:sz w:val="18"/>
      <w:szCs w:val="18"/>
      <w:lang w:eastAsia="en-US"/>
    </w:rPr>
  </w:style>
  <w:style w:type="character" w:styleId="af1">
    <w:name w:val="Strong"/>
    <w:basedOn w:val="a1"/>
    <w:uiPriority w:val="22"/>
    <w:qFormat/>
    <w:rsid w:val="00995443"/>
    <w:rPr>
      <w:b/>
      <w:bCs/>
    </w:rPr>
  </w:style>
  <w:style w:type="paragraph" w:customStyle="1" w:styleId="StyleStyleHeading3ComplexItalicLatin12pt">
    <w:name w:val="Style Style Heading 3 + (Complex) Italic + (Latin) 12 pt"/>
    <w:basedOn w:val="a0"/>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a1"/>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af2">
    <w:name w:val="List Paragraph"/>
    <w:uiPriority w:val="34"/>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a3"/>
    <w:rsid w:val="00224A65"/>
    <w:pPr>
      <w:numPr>
        <w:numId w:val="4"/>
      </w:numPr>
    </w:pPr>
  </w:style>
  <w:style w:type="numbering" w:customStyle="1" w:styleId="List0">
    <w:name w:val="List 0"/>
    <w:basedOn w:val="a3"/>
    <w:rsid w:val="002F446C"/>
    <w:pPr>
      <w:numPr>
        <w:numId w:val="5"/>
      </w:numPr>
    </w:pPr>
  </w:style>
  <w:style w:type="table" w:styleId="af3">
    <w:name w:val="Table Grid"/>
    <w:basedOn w:val="a2"/>
    <w:rsid w:val="00880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FootnoteTextChar">
    <w:name w:val="Footnote Text Char"/>
    <w:basedOn w:val="a1"/>
    <w:link w:val="a9"/>
    <w:uiPriority w:val="99"/>
    <w:semiHidden/>
    <w:locked/>
    <w:rsid w:val="00C25DAA"/>
    <w:rPr>
      <w:rFonts w:ascii="Arial" w:eastAsia="SimSun" w:hAnsi="Arial" w:cs="Arial"/>
      <w:sz w:val="18"/>
      <w:lang w:eastAsia="zh-CN"/>
    </w:rPr>
  </w:style>
  <w:style w:type="paragraph" w:styleId="a9">
    <w:name w:val="footnote text"/>
    <w:basedOn w:val="a0"/>
    <w:link w:val="FootnoteText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C25DAA"/>
    <w:rPr>
      <w:rFonts w:cs="Times New Roman"/>
      <w:vertAlign w:val="superscript"/>
    </w:rPr>
  </w:style>
  <w:style w:type="paragraph" w:styleId="ae">
    <w:name w:val="Balloon Text"/>
    <w:basedOn w:val="a0"/>
    <w:link w:val="BalloonTextChar"/>
    <w:rsid w:val="007D5422"/>
    <w:rPr>
      <w:rFonts w:ascii="Tahoma" w:hAnsi="Tahoma" w:cs="Tahoma"/>
      <w:sz w:val="16"/>
      <w:szCs w:val="16"/>
    </w:rPr>
  </w:style>
  <w:style w:type="character" w:customStyle="1" w:styleId="BalloonTextChar">
    <w:name w:val="Balloon Text Char"/>
    <w:basedOn w:val="a1"/>
    <w:link w:val="ae"/>
    <w:rsid w:val="007D5422"/>
    <w:rPr>
      <w:rFonts w:ascii="Tahoma" w:eastAsia="SimSun" w:hAnsi="Tahoma" w:cs="Tahoma"/>
      <w:sz w:val="16"/>
      <w:szCs w:val="16"/>
      <w:lang w:eastAsia="zh-CN"/>
    </w:rPr>
  </w:style>
  <w:style w:type="paragraph" w:styleId="af">
    <w:name w:val="Plain Text"/>
    <w:basedOn w:val="a0"/>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a1"/>
    <w:link w:val="af"/>
    <w:uiPriority w:val="99"/>
    <w:rsid w:val="003F2BB6"/>
    <w:rPr>
      <w:rFonts w:ascii="Courier New" w:eastAsiaTheme="minorHAnsi" w:hAnsi="Courier New" w:cs="Courier New"/>
      <w:sz w:val="22"/>
      <w:szCs w:val="22"/>
    </w:rPr>
  </w:style>
  <w:style w:type="paragraph" w:styleId="af0">
    <w:name w:val="Normal (Web)"/>
    <w:basedOn w:val="a0"/>
    <w:uiPriority w:val="99"/>
    <w:unhideWhenUsed/>
    <w:rsid w:val="00995443"/>
    <w:pPr>
      <w:spacing w:before="100" w:beforeAutospacing="1" w:after="100" w:afterAutospacing="1"/>
    </w:pPr>
    <w:rPr>
      <w:rFonts w:eastAsia="Times New Roman"/>
      <w:sz w:val="18"/>
      <w:szCs w:val="18"/>
      <w:lang w:eastAsia="en-US"/>
    </w:rPr>
  </w:style>
  <w:style w:type="character" w:styleId="af1">
    <w:name w:val="Strong"/>
    <w:basedOn w:val="a1"/>
    <w:uiPriority w:val="22"/>
    <w:qFormat/>
    <w:rsid w:val="00995443"/>
    <w:rPr>
      <w:b/>
      <w:bCs/>
    </w:rPr>
  </w:style>
  <w:style w:type="paragraph" w:customStyle="1" w:styleId="StyleStyleHeading3ComplexItalicLatin12pt">
    <w:name w:val="Style Style Heading 3 + (Complex) Italic + (Latin) 12 pt"/>
    <w:basedOn w:val="a0"/>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a1"/>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af2">
    <w:name w:val="List Paragraph"/>
    <w:uiPriority w:val="34"/>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a3"/>
    <w:rsid w:val="00224A65"/>
    <w:pPr>
      <w:numPr>
        <w:numId w:val="4"/>
      </w:numPr>
    </w:pPr>
  </w:style>
  <w:style w:type="numbering" w:customStyle="1" w:styleId="List0">
    <w:name w:val="List 0"/>
    <w:basedOn w:val="a3"/>
    <w:rsid w:val="002F446C"/>
    <w:pPr>
      <w:numPr>
        <w:numId w:val="5"/>
      </w:numPr>
    </w:pPr>
  </w:style>
  <w:style w:type="table" w:styleId="af3">
    <w:name w:val="Table Grid"/>
    <w:basedOn w:val="a2"/>
    <w:rsid w:val="00880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31">
      <w:bodyDiv w:val="1"/>
      <w:marLeft w:val="0"/>
      <w:marRight w:val="0"/>
      <w:marTop w:val="0"/>
      <w:marBottom w:val="0"/>
      <w:divBdr>
        <w:top w:val="none" w:sz="0" w:space="0" w:color="auto"/>
        <w:left w:val="none" w:sz="0" w:space="0" w:color="auto"/>
        <w:bottom w:val="none" w:sz="0" w:space="0" w:color="auto"/>
        <w:right w:val="none" w:sz="0" w:space="0" w:color="auto"/>
      </w:divBdr>
    </w:div>
    <w:div w:id="38014587">
      <w:bodyDiv w:val="1"/>
      <w:marLeft w:val="0"/>
      <w:marRight w:val="0"/>
      <w:marTop w:val="0"/>
      <w:marBottom w:val="0"/>
      <w:divBdr>
        <w:top w:val="none" w:sz="0" w:space="0" w:color="auto"/>
        <w:left w:val="none" w:sz="0" w:space="0" w:color="auto"/>
        <w:bottom w:val="none" w:sz="0" w:space="0" w:color="auto"/>
        <w:right w:val="none" w:sz="0" w:space="0" w:color="auto"/>
      </w:divBdr>
    </w:div>
    <w:div w:id="154423863">
      <w:bodyDiv w:val="1"/>
      <w:marLeft w:val="0"/>
      <w:marRight w:val="0"/>
      <w:marTop w:val="0"/>
      <w:marBottom w:val="0"/>
      <w:divBdr>
        <w:top w:val="none" w:sz="0" w:space="0" w:color="auto"/>
        <w:left w:val="none" w:sz="0" w:space="0" w:color="auto"/>
        <w:bottom w:val="none" w:sz="0" w:space="0" w:color="auto"/>
        <w:right w:val="none" w:sz="0" w:space="0" w:color="auto"/>
      </w:divBdr>
    </w:div>
    <w:div w:id="188110830">
      <w:bodyDiv w:val="1"/>
      <w:marLeft w:val="0"/>
      <w:marRight w:val="0"/>
      <w:marTop w:val="0"/>
      <w:marBottom w:val="0"/>
      <w:divBdr>
        <w:top w:val="none" w:sz="0" w:space="0" w:color="auto"/>
        <w:left w:val="none" w:sz="0" w:space="0" w:color="auto"/>
        <w:bottom w:val="none" w:sz="0" w:space="0" w:color="auto"/>
        <w:right w:val="none" w:sz="0" w:space="0" w:color="auto"/>
      </w:divBdr>
    </w:div>
    <w:div w:id="197864315">
      <w:bodyDiv w:val="1"/>
      <w:marLeft w:val="0"/>
      <w:marRight w:val="0"/>
      <w:marTop w:val="0"/>
      <w:marBottom w:val="0"/>
      <w:divBdr>
        <w:top w:val="none" w:sz="0" w:space="0" w:color="auto"/>
        <w:left w:val="none" w:sz="0" w:space="0" w:color="auto"/>
        <w:bottom w:val="none" w:sz="0" w:space="0" w:color="auto"/>
        <w:right w:val="none" w:sz="0" w:space="0" w:color="auto"/>
      </w:divBdr>
    </w:div>
    <w:div w:id="301888202">
      <w:bodyDiv w:val="1"/>
      <w:marLeft w:val="0"/>
      <w:marRight w:val="0"/>
      <w:marTop w:val="0"/>
      <w:marBottom w:val="0"/>
      <w:divBdr>
        <w:top w:val="none" w:sz="0" w:space="0" w:color="auto"/>
        <w:left w:val="none" w:sz="0" w:space="0" w:color="auto"/>
        <w:bottom w:val="none" w:sz="0" w:space="0" w:color="auto"/>
        <w:right w:val="none" w:sz="0" w:space="0" w:color="auto"/>
      </w:divBdr>
    </w:div>
    <w:div w:id="460809561">
      <w:bodyDiv w:val="1"/>
      <w:marLeft w:val="0"/>
      <w:marRight w:val="0"/>
      <w:marTop w:val="0"/>
      <w:marBottom w:val="0"/>
      <w:divBdr>
        <w:top w:val="none" w:sz="0" w:space="0" w:color="auto"/>
        <w:left w:val="none" w:sz="0" w:space="0" w:color="auto"/>
        <w:bottom w:val="none" w:sz="0" w:space="0" w:color="auto"/>
        <w:right w:val="none" w:sz="0" w:space="0" w:color="auto"/>
      </w:divBdr>
      <w:divsChild>
        <w:div w:id="903182759">
          <w:marLeft w:val="0"/>
          <w:marRight w:val="0"/>
          <w:marTop w:val="0"/>
          <w:marBottom w:val="0"/>
          <w:divBdr>
            <w:top w:val="none" w:sz="0" w:space="0" w:color="auto"/>
            <w:left w:val="none" w:sz="0" w:space="0" w:color="auto"/>
            <w:bottom w:val="none" w:sz="0" w:space="0" w:color="auto"/>
            <w:right w:val="none" w:sz="0" w:space="0" w:color="auto"/>
          </w:divBdr>
          <w:divsChild>
            <w:div w:id="280232628">
              <w:marLeft w:val="0"/>
              <w:marRight w:val="0"/>
              <w:marTop w:val="1275"/>
              <w:marBottom w:val="0"/>
              <w:divBdr>
                <w:top w:val="none" w:sz="0" w:space="0" w:color="auto"/>
                <w:left w:val="none" w:sz="0" w:space="0" w:color="auto"/>
                <w:bottom w:val="none" w:sz="0" w:space="0" w:color="auto"/>
                <w:right w:val="none" w:sz="0" w:space="0" w:color="auto"/>
              </w:divBdr>
              <w:divsChild>
                <w:div w:id="1858151837">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967079160">
      <w:bodyDiv w:val="1"/>
      <w:marLeft w:val="0"/>
      <w:marRight w:val="0"/>
      <w:marTop w:val="0"/>
      <w:marBottom w:val="0"/>
      <w:divBdr>
        <w:top w:val="none" w:sz="0" w:space="0" w:color="auto"/>
        <w:left w:val="none" w:sz="0" w:space="0" w:color="auto"/>
        <w:bottom w:val="none" w:sz="0" w:space="0" w:color="auto"/>
        <w:right w:val="none" w:sz="0" w:space="0" w:color="auto"/>
      </w:divBdr>
    </w:div>
    <w:div w:id="1025866884">
      <w:bodyDiv w:val="1"/>
      <w:marLeft w:val="0"/>
      <w:marRight w:val="0"/>
      <w:marTop w:val="0"/>
      <w:marBottom w:val="0"/>
      <w:divBdr>
        <w:top w:val="none" w:sz="0" w:space="0" w:color="auto"/>
        <w:left w:val="none" w:sz="0" w:space="0" w:color="auto"/>
        <w:bottom w:val="none" w:sz="0" w:space="0" w:color="auto"/>
        <w:right w:val="none" w:sz="0" w:space="0" w:color="auto"/>
      </w:divBdr>
    </w:div>
    <w:div w:id="1196848311">
      <w:bodyDiv w:val="1"/>
      <w:marLeft w:val="0"/>
      <w:marRight w:val="0"/>
      <w:marTop w:val="0"/>
      <w:marBottom w:val="0"/>
      <w:divBdr>
        <w:top w:val="none" w:sz="0" w:space="0" w:color="auto"/>
        <w:left w:val="none" w:sz="0" w:space="0" w:color="auto"/>
        <w:bottom w:val="none" w:sz="0" w:space="0" w:color="auto"/>
        <w:right w:val="none" w:sz="0" w:space="0" w:color="auto"/>
      </w:divBdr>
    </w:div>
    <w:div w:id="1503817182">
      <w:bodyDiv w:val="1"/>
      <w:marLeft w:val="0"/>
      <w:marRight w:val="0"/>
      <w:marTop w:val="0"/>
      <w:marBottom w:val="0"/>
      <w:divBdr>
        <w:top w:val="none" w:sz="0" w:space="0" w:color="auto"/>
        <w:left w:val="none" w:sz="0" w:space="0" w:color="auto"/>
        <w:bottom w:val="none" w:sz="0" w:space="0" w:color="auto"/>
        <w:right w:val="none" w:sz="0" w:space="0" w:color="auto"/>
      </w:divBdr>
    </w:div>
    <w:div w:id="1570923382">
      <w:bodyDiv w:val="1"/>
      <w:marLeft w:val="0"/>
      <w:marRight w:val="0"/>
      <w:marTop w:val="0"/>
      <w:marBottom w:val="0"/>
      <w:divBdr>
        <w:top w:val="none" w:sz="0" w:space="0" w:color="auto"/>
        <w:left w:val="none" w:sz="0" w:space="0" w:color="auto"/>
        <w:bottom w:val="none" w:sz="0" w:space="0" w:color="auto"/>
        <w:right w:val="none" w:sz="0" w:space="0" w:color="auto"/>
      </w:divBdr>
    </w:div>
    <w:div w:id="1603217647">
      <w:bodyDiv w:val="1"/>
      <w:marLeft w:val="0"/>
      <w:marRight w:val="0"/>
      <w:marTop w:val="0"/>
      <w:marBottom w:val="0"/>
      <w:divBdr>
        <w:top w:val="none" w:sz="0" w:space="0" w:color="auto"/>
        <w:left w:val="none" w:sz="0" w:space="0" w:color="auto"/>
        <w:bottom w:val="none" w:sz="0" w:space="0" w:color="auto"/>
        <w:right w:val="none" w:sz="0" w:space="0" w:color="auto"/>
      </w:divBdr>
      <w:divsChild>
        <w:div w:id="1031106704">
          <w:marLeft w:val="0"/>
          <w:marRight w:val="0"/>
          <w:marTop w:val="0"/>
          <w:marBottom w:val="0"/>
          <w:divBdr>
            <w:top w:val="none" w:sz="0" w:space="0" w:color="auto"/>
            <w:left w:val="none" w:sz="0" w:space="0" w:color="auto"/>
            <w:bottom w:val="none" w:sz="0" w:space="0" w:color="auto"/>
            <w:right w:val="none" w:sz="0" w:space="0" w:color="auto"/>
          </w:divBdr>
          <w:divsChild>
            <w:div w:id="453449277">
              <w:marLeft w:val="0"/>
              <w:marRight w:val="0"/>
              <w:marTop w:val="0"/>
              <w:marBottom w:val="0"/>
              <w:divBdr>
                <w:top w:val="none" w:sz="0" w:space="0" w:color="auto"/>
                <w:left w:val="none" w:sz="0" w:space="0" w:color="auto"/>
                <w:bottom w:val="none" w:sz="0" w:space="0" w:color="auto"/>
                <w:right w:val="none" w:sz="0" w:space="0" w:color="auto"/>
              </w:divBdr>
              <w:divsChild>
                <w:div w:id="98524768">
                  <w:marLeft w:val="0"/>
                  <w:marRight w:val="0"/>
                  <w:marTop w:val="0"/>
                  <w:marBottom w:val="0"/>
                  <w:divBdr>
                    <w:top w:val="none" w:sz="0" w:space="0" w:color="auto"/>
                    <w:left w:val="none" w:sz="0" w:space="0" w:color="auto"/>
                    <w:bottom w:val="none" w:sz="0" w:space="0" w:color="auto"/>
                    <w:right w:val="none" w:sz="0" w:space="0" w:color="auto"/>
                  </w:divBdr>
                  <w:divsChild>
                    <w:div w:id="34619984">
                      <w:marLeft w:val="0"/>
                      <w:marRight w:val="0"/>
                      <w:marTop w:val="0"/>
                      <w:marBottom w:val="0"/>
                      <w:divBdr>
                        <w:top w:val="none" w:sz="0" w:space="0" w:color="auto"/>
                        <w:left w:val="none" w:sz="0" w:space="0" w:color="auto"/>
                        <w:bottom w:val="none" w:sz="0" w:space="0" w:color="auto"/>
                        <w:right w:val="none" w:sz="0" w:space="0" w:color="auto"/>
                      </w:divBdr>
                      <w:divsChild>
                        <w:div w:id="453911795">
                          <w:marLeft w:val="0"/>
                          <w:marRight w:val="0"/>
                          <w:marTop w:val="0"/>
                          <w:marBottom w:val="0"/>
                          <w:divBdr>
                            <w:top w:val="none" w:sz="0" w:space="0" w:color="auto"/>
                            <w:left w:val="none" w:sz="0" w:space="0" w:color="auto"/>
                            <w:bottom w:val="none" w:sz="0" w:space="0" w:color="auto"/>
                            <w:right w:val="none" w:sz="0" w:space="0" w:color="auto"/>
                          </w:divBdr>
                          <w:divsChild>
                            <w:div w:id="1762145157">
                              <w:marLeft w:val="0"/>
                              <w:marRight w:val="0"/>
                              <w:marTop w:val="0"/>
                              <w:marBottom w:val="0"/>
                              <w:divBdr>
                                <w:top w:val="none" w:sz="0" w:space="0" w:color="auto"/>
                                <w:left w:val="single" w:sz="6" w:space="0" w:color="E5E3E3"/>
                                <w:bottom w:val="none" w:sz="0" w:space="0" w:color="auto"/>
                                <w:right w:val="none" w:sz="0" w:space="0" w:color="auto"/>
                              </w:divBdr>
                              <w:divsChild>
                                <w:div w:id="78412644">
                                  <w:marLeft w:val="0"/>
                                  <w:marRight w:val="0"/>
                                  <w:marTop w:val="0"/>
                                  <w:marBottom w:val="0"/>
                                  <w:divBdr>
                                    <w:top w:val="none" w:sz="0" w:space="0" w:color="auto"/>
                                    <w:left w:val="none" w:sz="0" w:space="0" w:color="auto"/>
                                    <w:bottom w:val="none" w:sz="0" w:space="0" w:color="auto"/>
                                    <w:right w:val="none" w:sz="0" w:space="0" w:color="auto"/>
                                  </w:divBdr>
                                  <w:divsChild>
                                    <w:div w:id="392699055">
                                      <w:marLeft w:val="0"/>
                                      <w:marRight w:val="0"/>
                                      <w:marTop w:val="0"/>
                                      <w:marBottom w:val="0"/>
                                      <w:divBdr>
                                        <w:top w:val="none" w:sz="0" w:space="0" w:color="auto"/>
                                        <w:left w:val="none" w:sz="0" w:space="0" w:color="auto"/>
                                        <w:bottom w:val="none" w:sz="0" w:space="0" w:color="auto"/>
                                        <w:right w:val="none" w:sz="0" w:space="0" w:color="auto"/>
                                      </w:divBdr>
                                      <w:divsChild>
                                        <w:div w:id="372774761">
                                          <w:marLeft w:val="0"/>
                                          <w:marRight w:val="0"/>
                                          <w:marTop w:val="0"/>
                                          <w:marBottom w:val="0"/>
                                          <w:divBdr>
                                            <w:top w:val="none" w:sz="0" w:space="0" w:color="auto"/>
                                            <w:left w:val="none" w:sz="0" w:space="0" w:color="auto"/>
                                            <w:bottom w:val="none" w:sz="0" w:space="0" w:color="auto"/>
                                            <w:right w:val="none" w:sz="0" w:space="0" w:color="auto"/>
                                          </w:divBdr>
                                          <w:divsChild>
                                            <w:div w:id="1676032835">
                                              <w:marLeft w:val="0"/>
                                              <w:marRight w:val="0"/>
                                              <w:marTop w:val="0"/>
                                              <w:marBottom w:val="0"/>
                                              <w:divBdr>
                                                <w:top w:val="none" w:sz="0" w:space="0" w:color="auto"/>
                                                <w:left w:val="none" w:sz="0" w:space="0" w:color="auto"/>
                                                <w:bottom w:val="none" w:sz="0" w:space="0" w:color="auto"/>
                                                <w:right w:val="none" w:sz="0" w:space="0" w:color="auto"/>
                                              </w:divBdr>
                                              <w:divsChild>
                                                <w:div w:id="1226380942">
                                                  <w:marLeft w:val="0"/>
                                                  <w:marRight w:val="0"/>
                                                  <w:marTop w:val="0"/>
                                                  <w:marBottom w:val="0"/>
                                                  <w:divBdr>
                                                    <w:top w:val="none" w:sz="0" w:space="0" w:color="auto"/>
                                                    <w:left w:val="none" w:sz="0" w:space="0" w:color="auto"/>
                                                    <w:bottom w:val="none" w:sz="0" w:space="0" w:color="auto"/>
                                                    <w:right w:val="none" w:sz="0" w:space="0" w:color="auto"/>
                                                  </w:divBdr>
                                                  <w:divsChild>
                                                    <w:div w:id="967080687">
                                                      <w:marLeft w:val="480"/>
                                                      <w:marRight w:val="0"/>
                                                      <w:marTop w:val="0"/>
                                                      <w:marBottom w:val="0"/>
                                                      <w:divBdr>
                                                        <w:top w:val="none" w:sz="0" w:space="0" w:color="auto"/>
                                                        <w:left w:val="none" w:sz="0" w:space="0" w:color="auto"/>
                                                        <w:bottom w:val="none" w:sz="0" w:space="0" w:color="auto"/>
                                                        <w:right w:val="none" w:sz="0" w:space="0" w:color="auto"/>
                                                      </w:divBdr>
                                                      <w:divsChild>
                                                        <w:div w:id="1402294382">
                                                          <w:marLeft w:val="0"/>
                                                          <w:marRight w:val="0"/>
                                                          <w:marTop w:val="0"/>
                                                          <w:marBottom w:val="0"/>
                                                          <w:divBdr>
                                                            <w:top w:val="none" w:sz="0" w:space="0" w:color="auto"/>
                                                            <w:left w:val="none" w:sz="0" w:space="0" w:color="auto"/>
                                                            <w:bottom w:val="none" w:sz="0" w:space="0" w:color="auto"/>
                                                            <w:right w:val="none" w:sz="0" w:space="0" w:color="auto"/>
                                                          </w:divBdr>
                                                          <w:divsChild>
                                                            <w:div w:id="1088307030">
                                                              <w:marLeft w:val="0"/>
                                                              <w:marRight w:val="0"/>
                                                              <w:marTop w:val="0"/>
                                                              <w:marBottom w:val="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sChild>
                                                                    <w:div w:id="547299985">
                                                                      <w:marLeft w:val="0"/>
                                                                      <w:marRight w:val="0"/>
                                                                      <w:marTop w:val="0"/>
                                                                      <w:marBottom w:val="0"/>
                                                                      <w:divBdr>
                                                                        <w:top w:val="none" w:sz="0" w:space="0" w:color="auto"/>
                                                                        <w:left w:val="none" w:sz="0" w:space="0" w:color="auto"/>
                                                                        <w:bottom w:val="none" w:sz="0" w:space="0" w:color="auto"/>
                                                                        <w:right w:val="none" w:sz="0" w:space="0" w:color="auto"/>
                                                                      </w:divBdr>
                                                                      <w:divsChild>
                                                                        <w:div w:id="116218914">
                                                                          <w:marLeft w:val="0"/>
                                                                          <w:marRight w:val="0"/>
                                                                          <w:marTop w:val="0"/>
                                                                          <w:marBottom w:val="0"/>
                                                                          <w:divBdr>
                                                                            <w:top w:val="none" w:sz="0" w:space="0" w:color="auto"/>
                                                                            <w:left w:val="none" w:sz="0" w:space="0" w:color="auto"/>
                                                                            <w:bottom w:val="none" w:sz="0" w:space="0" w:color="auto"/>
                                                                            <w:right w:val="none" w:sz="0" w:space="0" w:color="auto"/>
                                                                          </w:divBdr>
                                                                          <w:divsChild>
                                                                            <w:div w:id="754593702">
                                                                              <w:marLeft w:val="0"/>
                                                                              <w:marRight w:val="0"/>
                                                                              <w:marTop w:val="0"/>
                                                                              <w:marBottom w:val="0"/>
                                                                              <w:divBdr>
                                                                                <w:top w:val="none" w:sz="0" w:space="0" w:color="auto"/>
                                                                                <w:left w:val="none" w:sz="0" w:space="0" w:color="auto"/>
                                                                                <w:bottom w:val="single" w:sz="6" w:space="23" w:color="EAECEE"/>
                                                                                <w:right w:val="none" w:sz="0" w:space="0" w:color="auto"/>
                                                                              </w:divBdr>
                                                                              <w:divsChild>
                                                                                <w:div w:id="1481580210">
                                                                                  <w:marLeft w:val="0"/>
                                                                                  <w:marRight w:val="0"/>
                                                                                  <w:marTop w:val="0"/>
                                                                                  <w:marBottom w:val="0"/>
                                                                                  <w:divBdr>
                                                                                    <w:top w:val="none" w:sz="0" w:space="0" w:color="auto"/>
                                                                                    <w:left w:val="none" w:sz="0" w:space="0" w:color="auto"/>
                                                                                    <w:bottom w:val="none" w:sz="0" w:space="0" w:color="auto"/>
                                                                                    <w:right w:val="none" w:sz="0" w:space="0" w:color="auto"/>
                                                                                  </w:divBdr>
                                                                                  <w:divsChild>
                                                                                    <w:div w:id="860699534">
                                                                                      <w:marLeft w:val="0"/>
                                                                                      <w:marRight w:val="0"/>
                                                                                      <w:marTop w:val="0"/>
                                                                                      <w:marBottom w:val="0"/>
                                                                                      <w:divBdr>
                                                                                        <w:top w:val="none" w:sz="0" w:space="0" w:color="auto"/>
                                                                                        <w:left w:val="none" w:sz="0" w:space="0" w:color="auto"/>
                                                                                        <w:bottom w:val="none" w:sz="0" w:space="0" w:color="auto"/>
                                                                                        <w:right w:val="none" w:sz="0" w:space="0" w:color="auto"/>
                                                                                      </w:divBdr>
                                                                                      <w:divsChild>
                                                                                        <w:div w:id="1823425078">
                                                                                          <w:marLeft w:val="0"/>
                                                                                          <w:marRight w:val="0"/>
                                                                                          <w:marTop w:val="0"/>
                                                                                          <w:marBottom w:val="0"/>
                                                                                          <w:divBdr>
                                                                                            <w:top w:val="none" w:sz="0" w:space="0" w:color="auto"/>
                                                                                            <w:left w:val="none" w:sz="0" w:space="0" w:color="auto"/>
                                                                                            <w:bottom w:val="none" w:sz="0" w:space="0" w:color="auto"/>
                                                                                            <w:right w:val="none" w:sz="0" w:space="0" w:color="auto"/>
                                                                                          </w:divBdr>
                                                                                          <w:divsChild>
                                                                                            <w:div w:id="1808818559">
                                                                                              <w:marLeft w:val="0"/>
                                                                                              <w:marRight w:val="0"/>
                                                                                              <w:marTop w:val="0"/>
                                                                                              <w:marBottom w:val="0"/>
                                                                                              <w:divBdr>
                                                                                                <w:top w:val="none" w:sz="0" w:space="0" w:color="auto"/>
                                                                                                <w:left w:val="none" w:sz="0" w:space="0" w:color="auto"/>
                                                                                                <w:bottom w:val="none" w:sz="0" w:space="0" w:color="auto"/>
                                                                                                <w:right w:val="none" w:sz="0" w:space="0" w:color="auto"/>
                                                                                              </w:divBdr>
                                                                                              <w:divsChild>
                                                                                                <w:div w:id="121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6895">
      <w:bodyDiv w:val="1"/>
      <w:marLeft w:val="0"/>
      <w:marRight w:val="0"/>
      <w:marTop w:val="0"/>
      <w:marBottom w:val="0"/>
      <w:divBdr>
        <w:top w:val="none" w:sz="0" w:space="0" w:color="auto"/>
        <w:left w:val="none" w:sz="0" w:space="0" w:color="auto"/>
        <w:bottom w:val="none" w:sz="0" w:space="0" w:color="auto"/>
        <w:right w:val="none" w:sz="0" w:space="0" w:color="auto"/>
      </w:divBdr>
    </w:div>
    <w:div w:id="1804158421">
      <w:bodyDiv w:val="1"/>
      <w:marLeft w:val="0"/>
      <w:marRight w:val="0"/>
      <w:marTop w:val="0"/>
      <w:marBottom w:val="0"/>
      <w:divBdr>
        <w:top w:val="none" w:sz="0" w:space="0" w:color="auto"/>
        <w:left w:val="none" w:sz="0" w:space="0" w:color="auto"/>
        <w:bottom w:val="none" w:sz="0" w:space="0" w:color="auto"/>
        <w:right w:val="none" w:sz="0" w:space="0" w:color="auto"/>
      </w:divBdr>
      <w:divsChild>
        <w:div w:id="1429807966">
          <w:marLeft w:val="0"/>
          <w:marRight w:val="0"/>
          <w:marTop w:val="0"/>
          <w:marBottom w:val="0"/>
          <w:divBdr>
            <w:top w:val="none" w:sz="0" w:space="0" w:color="auto"/>
            <w:left w:val="none" w:sz="0" w:space="0" w:color="auto"/>
            <w:bottom w:val="none" w:sz="0" w:space="0" w:color="auto"/>
            <w:right w:val="none" w:sz="0" w:space="0" w:color="auto"/>
          </w:divBdr>
          <w:divsChild>
            <w:div w:id="1118835762">
              <w:marLeft w:val="0"/>
              <w:marRight w:val="0"/>
              <w:marTop w:val="1275"/>
              <w:marBottom w:val="0"/>
              <w:divBdr>
                <w:top w:val="none" w:sz="0" w:space="0" w:color="auto"/>
                <w:left w:val="none" w:sz="0" w:space="0" w:color="auto"/>
                <w:bottom w:val="none" w:sz="0" w:space="0" w:color="auto"/>
                <w:right w:val="none" w:sz="0" w:space="0" w:color="auto"/>
              </w:divBdr>
              <w:divsChild>
                <w:div w:id="334190807">
                  <w:marLeft w:val="2700"/>
                  <w:marRight w:val="3000"/>
                  <w:marTop w:val="0"/>
                  <w:marBottom w:val="0"/>
                  <w:divBdr>
                    <w:top w:val="none" w:sz="0" w:space="0" w:color="auto"/>
                    <w:left w:val="none" w:sz="0" w:space="0" w:color="auto"/>
                    <w:bottom w:val="none" w:sz="0" w:space="0" w:color="auto"/>
                    <w:right w:val="none" w:sz="0" w:space="0" w:color="auto"/>
                  </w:divBdr>
                  <w:divsChild>
                    <w:div w:id="516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60002-E259-4CCE-8619-950FB22C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6675</Words>
  <Characters>7543</Characters>
  <Application>Microsoft Office Word</Application>
  <DocSecurity>0</DocSecurity>
  <Lines>251</Lines>
  <Paragraphs>229</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 Iza</dc:creator>
  <cp:lastModifiedBy>MA Weihai</cp:lastModifiedBy>
  <cp:revision>2</cp:revision>
  <cp:lastPrinted>2015-07-10T16:18:00Z</cp:lastPrinted>
  <dcterms:created xsi:type="dcterms:W3CDTF">2015-07-16T08:50:00Z</dcterms:created>
  <dcterms:modified xsi:type="dcterms:W3CDTF">2015-07-16T08:50:00Z</dcterms:modified>
</cp:coreProperties>
</file>