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414BF" w:rsidRPr="00E414BF" w:rsidTr="0042758A">
        <w:trPr>
          <w:trHeight w:val="1977"/>
        </w:trPr>
        <w:tc>
          <w:tcPr>
            <w:tcW w:w="4594" w:type="dxa"/>
            <w:tcBorders>
              <w:bottom w:val="single" w:sz="4" w:space="0" w:color="auto"/>
            </w:tcBorders>
            <w:tcMar>
              <w:bottom w:w="170" w:type="dxa"/>
            </w:tcMar>
          </w:tcPr>
          <w:p w:rsidR="00E414BF" w:rsidRPr="00E414BF" w:rsidRDefault="00E414BF" w:rsidP="00E414BF">
            <w:bookmarkStart w:id="0" w:name="TitleOfDoc"/>
            <w:bookmarkEnd w:id="0"/>
            <w:r w:rsidRPr="00E414BF">
              <w:rPr>
                <w:noProof/>
              </w:rPr>
              <w:drawing>
                <wp:anchor distT="0" distB="0" distL="114300" distR="114300" simplePos="0" relativeHeight="251659264" behindDoc="1" locked="0" layoutInCell="0" allowOverlap="1" wp14:anchorId="7B21AA06" wp14:editId="55849413">
                  <wp:simplePos x="0" y="0"/>
                  <wp:positionH relativeFrom="page">
                    <wp:posOffset>3834130</wp:posOffset>
                  </wp:positionH>
                  <wp:positionV relativeFrom="margin">
                    <wp:posOffset>0</wp:posOffset>
                  </wp:positionV>
                  <wp:extent cx="866775" cy="1323975"/>
                  <wp:effectExtent l="0" t="0" r="9525" b="9525"/>
                  <wp:wrapNone/>
                  <wp:docPr id="5" name="图片 5"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414BF" w:rsidRPr="00E414BF" w:rsidRDefault="00E414BF" w:rsidP="00E414BF"/>
        </w:tc>
        <w:tc>
          <w:tcPr>
            <w:tcW w:w="425" w:type="dxa"/>
            <w:tcBorders>
              <w:bottom w:val="single" w:sz="4" w:space="0" w:color="auto"/>
            </w:tcBorders>
            <w:tcMar>
              <w:left w:w="0" w:type="dxa"/>
              <w:right w:w="0" w:type="dxa"/>
            </w:tcMar>
          </w:tcPr>
          <w:p w:rsidR="00E414BF" w:rsidRPr="00E414BF" w:rsidRDefault="00E414BF" w:rsidP="00E414BF">
            <w:pPr>
              <w:jc w:val="right"/>
            </w:pPr>
            <w:r w:rsidRPr="00E414BF">
              <w:rPr>
                <w:b/>
                <w:sz w:val="40"/>
                <w:szCs w:val="40"/>
              </w:rPr>
              <w:t>C</w:t>
            </w:r>
          </w:p>
        </w:tc>
      </w:tr>
      <w:tr w:rsidR="00E414BF" w:rsidRPr="00E414BF" w:rsidTr="0042758A">
        <w:trPr>
          <w:trHeight w:hRule="exact" w:val="340"/>
        </w:trPr>
        <w:tc>
          <w:tcPr>
            <w:tcW w:w="9356" w:type="dxa"/>
            <w:gridSpan w:val="3"/>
            <w:tcBorders>
              <w:top w:val="single" w:sz="4" w:space="0" w:color="auto"/>
            </w:tcBorders>
            <w:tcMar>
              <w:top w:w="170" w:type="dxa"/>
              <w:left w:w="0" w:type="dxa"/>
              <w:right w:w="0" w:type="dxa"/>
            </w:tcMar>
            <w:vAlign w:val="bottom"/>
          </w:tcPr>
          <w:p w:rsidR="00E414BF" w:rsidRPr="00E414BF" w:rsidRDefault="00E414BF" w:rsidP="00E414BF">
            <w:pPr>
              <w:wordWrap w:val="0"/>
              <w:jc w:val="right"/>
              <w:rPr>
                <w:rFonts w:ascii="Arial Black" w:hAnsi="Arial Black"/>
                <w:caps/>
                <w:sz w:val="15"/>
              </w:rPr>
            </w:pPr>
            <w:r w:rsidRPr="00E414BF">
              <w:rPr>
                <w:rFonts w:ascii="Arial Black" w:hAnsi="Arial Black"/>
                <w:caps/>
                <w:sz w:val="15"/>
              </w:rPr>
              <w:t>wo/pbc</w:t>
            </w:r>
            <w:r w:rsidRPr="00E414BF">
              <w:rPr>
                <w:rFonts w:ascii="Arial Black" w:hAnsi="Arial Black" w:hint="eastAsia"/>
                <w:caps/>
                <w:sz w:val="15"/>
              </w:rPr>
              <w:t>/23/</w:t>
            </w:r>
            <w:r>
              <w:rPr>
                <w:rFonts w:ascii="Arial Black" w:hAnsi="Arial Black" w:hint="eastAsia"/>
                <w:caps/>
                <w:sz w:val="15"/>
              </w:rPr>
              <w:t>8</w:t>
            </w:r>
            <w:bookmarkStart w:id="1" w:name="Code"/>
            <w:bookmarkEnd w:id="1"/>
          </w:p>
        </w:tc>
      </w:tr>
      <w:tr w:rsidR="00E414BF" w:rsidRPr="00E414BF" w:rsidTr="0042758A">
        <w:trPr>
          <w:trHeight w:hRule="exact" w:val="170"/>
        </w:trPr>
        <w:tc>
          <w:tcPr>
            <w:tcW w:w="9356" w:type="dxa"/>
            <w:gridSpan w:val="3"/>
            <w:noWrap/>
            <w:tcMar>
              <w:left w:w="0" w:type="dxa"/>
              <w:right w:w="0" w:type="dxa"/>
            </w:tcMar>
            <w:vAlign w:val="bottom"/>
          </w:tcPr>
          <w:p w:rsidR="00E414BF" w:rsidRPr="00E414BF" w:rsidRDefault="00E414BF" w:rsidP="00E414BF">
            <w:pPr>
              <w:jc w:val="right"/>
              <w:rPr>
                <w:rFonts w:ascii="Arial Black" w:hAnsi="Arial Black"/>
                <w:b/>
                <w:caps/>
                <w:sz w:val="15"/>
                <w:szCs w:val="15"/>
              </w:rPr>
            </w:pPr>
            <w:r w:rsidRPr="00E414BF">
              <w:rPr>
                <w:rFonts w:eastAsia="SimHei" w:hint="eastAsia"/>
                <w:b/>
                <w:sz w:val="15"/>
                <w:szCs w:val="15"/>
              </w:rPr>
              <w:t>原</w:t>
            </w:r>
            <w:r w:rsidRPr="00E414BF">
              <w:rPr>
                <w:rFonts w:eastAsia="SimHei"/>
                <w:b/>
                <w:sz w:val="15"/>
                <w:szCs w:val="15"/>
                <w:lang w:val="pt-BR"/>
              </w:rPr>
              <w:t xml:space="preserve"> </w:t>
            </w:r>
            <w:r w:rsidRPr="00E414BF">
              <w:rPr>
                <w:rFonts w:eastAsia="SimHei" w:hint="eastAsia"/>
                <w:b/>
                <w:sz w:val="15"/>
                <w:szCs w:val="15"/>
              </w:rPr>
              <w:t>文</w:t>
            </w:r>
            <w:r w:rsidRPr="00E414BF">
              <w:rPr>
                <w:rFonts w:eastAsia="SimHei" w:hint="eastAsia"/>
                <w:b/>
                <w:sz w:val="15"/>
                <w:szCs w:val="15"/>
                <w:lang w:val="pt-BR"/>
              </w:rPr>
              <w:t>：英文</w:t>
            </w:r>
          </w:p>
        </w:tc>
      </w:tr>
      <w:tr w:rsidR="00E414BF" w:rsidRPr="00E414BF" w:rsidTr="0042758A">
        <w:trPr>
          <w:trHeight w:hRule="exact" w:val="198"/>
        </w:trPr>
        <w:tc>
          <w:tcPr>
            <w:tcW w:w="9356" w:type="dxa"/>
            <w:gridSpan w:val="3"/>
            <w:tcMar>
              <w:left w:w="0" w:type="dxa"/>
              <w:right w:w="0" w:type="dxa"/>
            </w:tcMar>
            <w:vAlign w:val="bottom"/>
          </w:tcPr>
          <w:p w:rsidR="00E414BF" w:rsidRPr="00E414BF" w:rsidRDefault="00E414BF" w:rsidP="00E414BF">
            <w:pPr>
              <w:jc w:val="right"/>
              <w:rPr>
                <w:rFonts w:ascii="SimHei" w:eastAsia="SimHei" w:hAnsi="Arial Black"/>
                <w:b/>
                <w:caps/>
                <w:sz w:val="15"/>
                <w:szCs w:val="15"/>
              </w:rPr>
            </w:pPr>
            <w:r w:rsidRPr="00E414BF">
              <w:rPr>
                <w:rFonts w:ascii="SimHei" w:eastAsia="SimHei" w:hint="eastAsia"/>
                <w:b/>
                <w:sz w:val="15"/>
                <w:szCs w:val="15"/>
              </w:rPr>
              <w:t>日</w:t>
            </w:r>
            <w:r w:rsidRPr="00E414BF">
              <w:rPr>
                <w:rFonts w:ascii="SimHei" w:eastAsia="SimHei" w:hint="eastAsia"/>
                <w:b/>
                <w:sz w:val="15"/>
                <w:szCs w:val="15"/>
                <w:lang w:val="pt-BR"/>
              </w:rPr>
              <w:t xml:space="preserve"> </w:t>
            </w:r>
            <w:r w:rsidRPr="00E414BF">
              <w:rPr>
                <w:rFonts w:ascii="SimHei" w:eastAsia="SimHei" w:hint="eastAsia"/>
                <w:b/>
                <w:sz w:val="15"/>
                <w:szCs w:val="15"/>
              </w:rPr>
              <w:t>期</w:t>
            </w:r>
            <w:r w:rsidRPr="00E414BF">
              <w:rPr>
                <w:rFonts w:ascii="SimHei" w:eastAsia="SimHei" w:hAnsi="SimSun" w:hint="eastAsia"/>
                <w:b/>
                <w:sz w:val="15"/>
                <w:szCs w:val="15"/>
                <w:lang w:val="pt-BR"/>
              </w:rPr>
              <w:t>：</w:t>
            </w:r>
            <w:r w:rsidRPr="00E414BF">
              <w:rPr>
                <w:rFonts w:ascii="Arial Black" w:eastAsia="SimHei" w:hAnsi="Arial Black" w:hint="eastAsia"/>
                <w:b/>
                <w:sz w:val="15"/>
                <w:szCs w:val="15"/>
                <w:lang w:val="pt-BR"/>
              </w:rPr>
              <w:t>2015</w:t>
            </w:r>
            <w:r w:rsidRPr="00E414BF">
              <w:rPr>
                <w:rFonts w:ascii="SimHei" w:eastAsia="SimHei" w:hAnsi="Times New Roman" w:hint="eastAsia"/>
                <w:b/>
                <w:sz w:val="15"/>
                <w:szCs w:val="15"/>
              </w:rPr>
              <w:t>年</w:t>
            </w:r>
            <w:r w:rsidRPr="00E414BF">
              <w:rPr>
                <w:rFonts w:ascii="Arial Black" w:eastAsia="SimHei" w:hAnsi="Arial Black" w:hint="eastAsia"/>
                <w:b/>
                <w:sz w:val="15"/>
                <w:szCs w:val="15"/>
                <w:lang w:val="pt-BR"/>
              </w:rPr>
              <w:t>6</w:t>
            </w:r>
            <w:r w:rsidRPr="00E414BF">
              <w:rPr>
                <w:rFonts w:ascii="SimHei" w:eastAsia="SimHei" w:hAnsi="Times New Roman" w:hint="eastAsia"/>
                <w:b/>
                <w:sz w:val="15"/>
                <w:szCs w:val="15"/>
              </w:rPr>
              <w:t>月</w:t>
            </w:r>
            <w:r w:rsidRPr="00E414BF">
              <w:rPr>
                <w:rFonts w:ascii="Arial Black" w:eastAsia="SimHei" w:hAnsi="Arial Black" w:hint="eastAsia"/>
                <w:b/>
                <w:sz w:val="15"/>
                <w:szCs w:val="15"/>
              </w:rPr>
              <w:t>1</w:t>
            </w:r>
            <w:r>
              <w:rPr>
                <w:rFonts w:ascii="Arial Black" w:eastAsia="SimHei" w:hAnsi="Arial Black" w:hint="eastAsia"/>
                <w:b/>
                <w:sz w:val="15"/>
                <w:szCs w:val="15"/>
              </w:rPr>
              <w:t>2</w:t>
            </w:r>
            <w:r w:rsidRPr="00E414BF">
              <w:rPr>
                <w:rFonts w:ascii="SimHei" w:eastAsia="SimHei" w:hAnsi="Times New Roman" w:hint="eastAsia"/>
                <w:b/>
                <w:sz w:val="15"/>
                <w:szCs w:val="15"/>
              </w:rPr>
              <w:t>日</w:t>
            </w:r>
            <w:r w:rsidRPr="00E414BF">
              <w:rPr>
                <w:rFonts w:ascii="SimHei" w:eastAsia="SimHei" w:hAnsi="Arial Black" w:hint="eastAsia"/>
                <w:b/>
                <w:caps/>
                <w:sz w:val="15"/>
                <w:szCs w:val="15"/>
              </w:rPr>
              <w:t xml:space="preserve">  </w:t>
            </w:r>
            <w:bookmarkStart w:id="2" w:name="Date"/>
            <w:bookmarkEnd w:id="2"/>
          </w:p>
        </w:tc>
      </w:tr>
    </w:tbl>
    <w:p w:rsidR="00E414BF" w:rsidRPr="00E414BF" w:rsidRDefault="00E414BF" w:rsidP="00E414BF"/>
    <w:p w:rsidR="00E414BF" w:rsidRPr="00E414BF" w:rsidRDefault="00E414BF" w:rsidP="00E414BF">
      <w:pPr>
        <w:widowControl w:val="0"/>
        <w:jc w:val="both"/>
        <w:rPr>
          <w:rFonts w:cs="Times New Roman"/>
          <w:kern w:val="2"/>
          <w:szCs w:val="22"/>
        </w:rPr>
      </w:pPr>
    </w:p>
    <w:p w:rsidR="00E414BF" w:rsidRPr="00E414BF" w:rsidRDefault="00E414BF" w:rsidP="00E414BF">
      <w:pPr>
        <w:widowControl w:val="0"/>
        <w:jc w:val="both"/>
        <w:rPr>
          <w:rFonts w:cs="Times New Roman"/>
          <w:kern w:val="2"/>
          <w:szCs w:val="22"/>
        </w:rPr>
      </w:pPr>
    </w:p>
    <w:p w:rsidR="00E414BF" w:rsidRPr="00E414BF" w:rsidRDefault="00E414BF" w:rsidP="00E414BF">
      <w:pPr>
        <w:widowControl w:val="0"/>
        <w:jc w:val="both"/>
        <w:rPr>
          <w:rFonts w:cs="Times New Roman"/>
          <w:kern w:val="2"/>
          <w:szCs w:val="22"/>
        </w:rPr>
      </w:pPr>
    </w:p>
    <w:p w:rsidR="00E414BF" w:rsidRPr="00E414BF" w:rsidRDefault="00E414BF" w:rsidP="00E414BF">
      <w:pPr>
        <w:widowControl w:val="0"/>
        <w:jc w:val="both"/>
        <w:rPr>
          <w:rFonts w:cs="Times New Roman"/>
          <w:kern w:val="2"/>
          <w:szCs w:val="22"/>
        </w:rPr>
      </w:pPr>
    </w:p>
    <w:p w:rsidR="00E414BF" w:rsidRPr="00E414BF" w:rsidRDefault="00E414BF" w:rsidP="00E414BF">
      <w:pPr>
        <w:widowControl w:val="0"/>
        <w:jc w:val="both"/>
        <w:rPr>
          <w:rFonts w:ascii="SimHei" w:eastAsia="SimHei" w:hAnsi="Calibri" w:cs="Times New Roman"/>
          <w:kern w:val="2"/>
          <w:sz w:val="28"/>
          <w:szCs w:val="28"/>
        </w:rPr>
      </w:pPr>
      <w:r w:rsidRPr="00E414BF">
        <w:rPr>
          <w:rFonts w:ascii="SimHei" w:eastAsia="SimHei" w:hAnsi="Calibri" w:cs="Times New Roman" w:hint="eastAsia"/>
          <w:kern w:val="2"/>
          <w:sz w:val="28"/>
          <w:szCs w:val="28"/>
        </w:rPr>
        <w:t>计划和预算委员会</w:t>
      </w:r>
    </w:p>
    <w:p w:rsidR="00E414BF" w:rsidRPr="00E414BF" w:rsidRDefault="00E414BF" w:rsidP="00E414BF">
      <w:pPr>
        <w:widowControl w:val="0"/>
        <w:jc w:val="both"/>
        <w:rPr>
          <w:rFonts w:cs="Times New Roman"/>
          <w:kern w:val="2"/>
          <w:szCs w:val="22"/>
        </w:rPr>
      </w:pPr>
    </w:p>
    <w:p w:rsidR="00E414BF" w:rsidRPr="00E414BF" w:rsidRDefault="00E414BF" w:rsidP="00E414BF">
      <w:pPr>
        <w:widowControl w:val="0"/>
        <w:jc w:val="both"/>
        <w:rPr>
          <w:rFonts w:cs="Times New Roman"/>
          <w:kern w:val="2"/>
          <w:szCs w:val="22"/>
        </w:rPr>
      </w:pPr>
    </w:p>
    <w:p w:rsidR="00E414BF" w:rsidRPr="00E414BF" w:rsidRDefault="00E414BF" w:rsidP="00E414BF">
      <w:pPr>
        <w:widowControl w:val="0"/>
        <w:autoSpaceDE w:val="0"/>
        <w:autoSpaceDN w:val="0"/>
        <w:jc w:val="both"/>
        <w:textAlignment w:val="bottom"/>
        <w:rPr>
          <w:rFonts w:ascii="KaiTi" w:eastAsia="KaiTi" w:hAnsi="Calibri" w:cs="Times New Roman"/>
          <w:b/>
          <w:kern w:val="2"/>
          <w:sz w:val="24"/>
          <w:szCs w:val="24"/>
        </w:rPr>
      </w:pPr>
      <w:r w:rsidRPr="00E414BF">
        <w:rPr>
          <w:rFonts w:ascii="KaiTi" w:eastAsia="KaiTi" w:hAnsi="Calibri" w:cs="Times New Roman" w:hint="eastAsia"/>
          <w:b/>
          <w:kern w:val="2"/>
          <w:sz w:val="24"/>
          <w:szCs w:val="24"/>
        </w:rPr>
        <w:t>第二十三届会议</w:t>
      </w:r>
    </w:p>
    <w:p w:rsidR="00E414BF" w:rsidRPr="00E414BF" w:rsidRDefault="00E414BF" w:rsidP="00E414BF">
      <w:pPr>
        <w:widowControl w:val="0"/>
        <w:jc w:val="both"/>
        <w:rPr>
          <w:rFonts w:ascii="KaiTi" w:eastAsia="KaiTi" w:hAnsi="KaiTi" w:cs="Times New Roman"/>
          <w:b/>
          <w:kern w:val="2"/>
          <w:sz w:val="24"/>
          <w:szCs w:val="24"/>
        </w:rPr>
      </w:pPr>
      <w:r w:rsidRPr="00E414BF">
        <w:rPr>
          <w:rFonts w:ascii="KaiTi" w:eastAsia="KaiTi" w:hAnsi="KaiTi" w:cs="Times New Roman"/>
          <w:kern w:val="2"/>
          <w:sz w:val="24"/>
          <w:szCs w:val="24"/>
        </w:rPr>
        <w:t>201</w:t>
      </w:r>
      <w:r w:rsidRPr="00E414BF">
        <w:rPr>
          <w:rFonts w:ascii="KaiTi" w:eastAsia="KaiTi" w:hAnsi="KaiTi" w:cs="Times New Roman" w:hint="eastAsia"/>
          <w:kern w:val="2"/>
          <w:sz w:val="24"/>
          <w:szCs w:val="24"/>
        </w:rPr>
        <w:t>5</w:t>
      </w:r>
      <w:r w:rsidRPr="00E414BF">
        <w:rPr>
          <w:rFonts w:ascii="KaiTi" w:eastAsia="KaiTi" w:hAnsi="KaiTi" w:hint="eastAsia"/>
          <w:b/>
          <w:kern w:val="2"/>
          <w:sz w:val="24"/>
          <w:szCs w:val="24"/>
        </w:rPr>
        <w:t>年</w:t>
      </w:r>
      <w:r w:rsidRPr="00E414BF">
        <w:rPr>
          <w:rFonts w:ascii="KaiTi" w:eastAsia="KaiTi" w:hAnsi="KaiTi" w:cs="Times New Roman" w:hint="eastAsia"/>
          <w:kern w:val="2"/>
          <w:sz w:val="24"/>
          <w:szCs w:val="24"/>
        </w:rPr>
        <w:t>7</w:t>
      </w:r>
      <w:r w:rsidRPr="00E414BF">
        <w:rPr>
          <w:rFonts w:ascii="KaiTi" w:eastAsia="KaiTi" w:hAnsi="KaiTi" w:hint="eastAsia"/>
          <w:b/>
          <w:kern w:val="2"/>
          <w:sz w:val="24"/>
          <w:szCs w:val="24"/>
        </w:rPr>
        <w:t>月</w:t>
      </w:r>
      <w:r w:rsidRPr="00E414BF">
        <w:rPr>
          <w:rFonts w:ascii="KaiTi" w:eastAsia="KaiTi" w:hAnsi="KaiTi" w:hint="eastAsia"/>
          <w:kern w:val="2"/>
          <w:sz w:val="24"/>
          <w:szCs w:val="24"/>
        </w:rPr>
        <w:t>13</w:t>
      </w:r>
      <w:r w:rsidRPr="00E414BF">
        <w:rPr>
          <w:rFonts w:ascii="KaiTi" w:eastAsia="KaiTi" w:hAnsi="KaiTi" w:hint="eastAsia"/>
          <w:b/>
          <w:kern w:val="2"/>
          <w:sz w:val="24"/>
          <w:szCs w:val="24"/>
        </w:rPr>
        <w:t>日至</w:t>
      </w:r>
      <w:r w:rsidRPr="00E414BF">
        <w:rPr>
          <w:rFonts w:ascii="KaiTi" w:eastAsia="KaiTi" w:hAnsi="KaiTi" w:cs="Times New Roman" w:hint="eastAsia"/>
          <w:kern w:val="2"/>
          <w:sz w:val="24"/>
          <w:szCs w:val="24"/>
        </w:rPr>
        <w:t>17</w:t>
      </w:r>
      <w:r w:rsidRPr="00E414BF">
        <w:rPr>
          <w:rFonts w:ascii="KaiTi" w:eastAsia="KaiTi" w:hAnsi="KaiTi" w:hint="eastAsia"/>
          <w:b/>
          <w:kern w:val="2"/>
          <w:sz w:val="24"/>
          <w:szCs w:val="24"/>
        </w:rPr>
        <w:t>日，日内瓦</w:t>
      </w:r>
    </w:p>
    <w:p w:rsidR="00E414BF" w:rsidRPr="00E414BF" w:rsidRDefault="00E414BF" w:rsidP="00E414BF">
      <w:pPr>
        <w:widowControl w:val="0"/>
        <w:jc w:val="both"/>
        <w:rPr>
          <w:rFonts w:cs="Times New Roman"/>
          <w:kern w:val="2"/>
          <w:szCs w:val="22"/>
        </w:rPr>
      </w:pPr>
    </w:p>
    <w:p w:rsidR="00E414BF" w:rsidRPr="00E414BF" w:rsidRDefault="00E414BF" w:rsidP="00E414BF">
      <w:pPr>
        <w:widowControl w:val="0"/>
        <w:jc w:val="both"/>
        <w:rPr>
          <w:rFonts w:cs="Times New Roman"/>
          <w:kern w:val="2"/>
          <w:szCs w:val="22"/>
        </w:rPr>
      </w:pPr>
    </w:p>
    <w:p w:rsidR="00E414BF" w:rsidRPr="00E414BF" w:rsidRDefault="00E414BF" w:rsidP="00E414BF">
      <w:pPr>
        <w:widowControl w:val="0"/>
        <w:jc w:val="both"/>
        <w:rPr>
          <w:rFonts w:cs="Times New Roman"/>
          <w:kern w:val="2"/>
          <w:szCs w:val="22"/>
        </w:rPr>
      </w:pPr>
    </w:p>
    <w:p w:rsidR="00E414BF" w:rsidRPr="00E414BF" w:rsidRDefault="00E414BF" w:rsidP="00E414BF">
      <w:pPr>
        <w:widowControl w:val="0"/>
        <w:ind w:rightChars="-493" w:right="-1085"/>
        <w:jc w:val="both"/>
        <w:rPr>
          <w:rFonts w:ascii="KaiTi" w:eastAsia="KaiTi" w:hAnsi="KaiTi"/>
          <w:caps/>
          <w:kern w:val="2"/>
          <w:sz w:val="24"/>
          <w:szCs w:val="24"/>
        </w:rPr>
      </w:pPr>
      <w:r w:rsidRPr="00E414BF">
        <w:rPr>
          <w:rFonts w:ascii="KaiTi" w:eastAsia="KaiTi" w:hAnsi="KaiTi" w:hint="eastAsia"/>
          <w:caps/>
          <w:kern w:val="2"/>
          <w:sz w:val="24"/>
          <w:szCs w:val="24"/>
        </w:rPr>
        <w:t>经修订的WIPO与储备</w:t>
      </w:r>
      <w:proofErr w:type="gramStart"/>
      <w:r w:rsidRPr="00E414BF">
        <w:rPr>
          <w:rFonts w:ascii="KaiTi" w:eastAsia="KaiTi" w:hAnsi="KaiTi" w:hint="eastAsia"/>
          <w:caps/>
          <w:kern w:val="2"/>
          <w:sz w:val="24"/>
          <w:szCs w:val="24"/>
        </w:rPr>
        <w:t>金有关</w:t>
      </w:r>
      <w:proofErr w:type="gramEnd"/>
      <w:r w:rsidRPr="00E414BF">
        <w:rPr>
          <w:rFonts w:ascii="KaiTi" w:eastAsia="KaiTi" w:hAnsi="KaiTi" w:hint="eastAsia"/>
          <w:caps/>
          <w:kern w:val="2"/>
          <w:sz w:val="24"/>
          <w:szCs w:val="24"/>
        </w:rPr>
        <w:t>的政策提案</w:t>
      </w:r>
    </w:p>
    <w:p w:rsidR="00E414BF" w:rsidRPr="00E414BF" w:rsidRDefault="00E414BF" w:rsidP="00E414BF">
      <w:pPr>
        <w:widowControl w:val="0"/>
        <w:jc w:val="both"/>
        <w:rPr>
          <w:rFonts w:cs="Times New Roman"/>
          <w:kern w:val="2"/>
          <w:szCs w:val="22"/>
        </w:rPr>
      </w:pPr>
    </w:p>
    <w:p w:rsidR="00E414BF" w:rsidRPr="00E414BF" w:rsidRDefault="00E414BF" w:rsidP="00E414BF">
      <w:pPr>
        <w:widowControl w:val="0"/>
        <w:jc w:val="both"/>
        <w:rPr>
          <w:rFonts w:ascii="KaiTi" w:eastAsia="KaiTi" w:hAnsi="KaiTi"/>
          <w:i/>
          <w:kern w:val="2"/>
          <w:sz w:val="21"/>
          <w:szCs w:val="21"/>
        </w:rPr>
      </w:pPr>
      <w:r w:rsidRPr="00E414BF">
        <w:rPr>
          <w:rFonts w:ascii="KaiTi" w:eastAsia="KaiTi" w:hAnsi="KaiTi" w:hint="eastAsia"/>
          <w:i/>
          <w:kern w:val="2"/>
          <w:sz w:val="21"/>
          <w:szCs w:val="21"/>
        </w:rPr>
        <w:t>秘书处编拟的文件</w:t>
      </w:r>
    </w:p>
    <w:p w:rsidR="00E414BF" w:rsidRPr="00E414BF" w:rsidRDefault="00E414BF" w:rsidP="00E414BF"/>
    <w:p w:rsidR="00E414BF" w:rsidRPr="00E414BF" w:rsidRDefault="00E414BF" w:rsidP="00E414BF"/>
    <w:p w:rsidR="00E414BF" w:rsidRPr="00E414BF" w:rsidRDefault="00E414BF" w:rsidP="00E414BF"/>
    <w:p w:rsidR="00E414BF" w:rsidRPr="00E414BF" w:rsidRDefault="00E414BF" w:rsidP="00E414BF"/>
    <w:p w:rsidR="00C52783" w:rsidRPr="009C1B93" w:rsidRDefault="00357515" w:rsidP="00E414BF">
      <w:pPr>
        <w:pStyle w:val="ONUME"/>
        <w:numPr>
          <w:ilvl w:val="0"/>
          <w:numId w:val="14"/>
        </w:numPr>
        <w:overflowPunct w:val="0"/>
        <w:spacing w:afterLines="50" w:after="120" w:line="340" w:lineRule="atLeast"/>
        <w:ind w:left="0" w:firstLine="0"/>
        <w:jc w:val="both"/>
        <w:rPr>
          <w:rFonts w:ascii="SimSun" w:hAnsi="SimSun"/>
          <w:sz w:val="21"/>
        </w:rPr>
      </w:pPr>
      <w:r w:rsidRPr="009C1B93">
        <w:rPr>
          <w:rFonts w:ascii="SimSun" w:hAnsi="SimSun" w:hint="eastAsia"/>
          <w:sz w:val="21"/>
        </w:rPr>
        <w:t>在计划和预算委员(PBC)第二十二届会议上，成员国审议了文件WO/PBC/22/28“审查WIPO的财务情况及其与储备金有关的政策”，随后，计划和预算委员会：</w:t>
      </w:r>
    </w:p>
    <w:p w:rsidR="00C52783" w:rsidRPr="000D4ACD" w:rsidRDefault="00B8483B" w:rsidP="00E414BF">
      <w:pPr>
        <w:pStyle w:val="ONUME"/>
        <w:tabs>
          <w:tab w:val="num" w:pos="1320"/>
        </w:tabs>
        <w:overflowPunct w:val="0"/>
        <w:spacing w:afterLines="50" w:after="120" w:line="340" w:lineRule="atLeast"/>
        <w:ind w:left="567"/>
        <w:jc w:val="both"/>
        <w:rPr>
          <w:rFonts w:ascii="SimSun" w:hAnsi="SimSun"/>
          <w:sz w:val="21"/>
        </w:rPr>
      </w:pPr>
      <w:r w:rsidRPr="000D4ACD">
        <w:rPr>
          <w:rFonts w:ascii="SimSun" w:hAnsi="SimSun" w:hint="eastAsia"/>
          <w:sz w:val="21"/>
        </w:rPr>
        <w:t>“(</w:t>
      </w:r>
      <w:proofErr w:type="spellStart"/>
      <w:r w:rsidRPr="000D4ACD">
        <w:rPr>
          <w:rFonts w:ascii="SimSun" w:hAnsi="SimSun" w:hint="eastAsia"/>
          <w:sz w:val="21"/>
        </w:rPr>
        <w:t>i</w:t>
      </w:r>
      <w:proofErr w:type="spellEnd"/>
      <w:r w:rsidRPr="000D4ACD">
        <w:rPr>
          <w:rFonts w:ascii="SimSun" w:hAnsi="SimSun" w:hint="eastAsia"/>
          <w:sz w:val="21"/>
        </w:rPr>
        <w:t>)</w:t>
      </w:r>
      <w:r w:rsidR="00E414BF">
        <w:rPr>
          <w:rFonts w:ascii="SimSun" w:hAnsi="SimSun" w:hint="eastAsia"/>
          <w:sz w:val="21"/>
        </w:rPr>
        <w:tab/>
      </w:r>
      <w:r w:rsidR="005C13EC" w:rsidRPr="000D4ACD">
        <w:rPr>
          <w:rFonts w:ascii="SimSun" w:hAnsi="SimSun" w:hint="eastAsia"/>
          <w:sz w:val="21"/>
        </w:rPr>
        <w:t>承认有必要对储备金和周转基金相关政策进行一次审查；并</w:t>
      </w:r>
    </w:p>
    <w:p w:rsidR="00C52783" w:rsidRPr="000D4ACD" w:rsidRDefault="005C13EC" w:rsidP="00E414BF">
      <w:pPr>
        <w:pStyle w:val="ONUME"/>
        <w:tabs>
          <w:tab w:val="num" w:pos="1320"/>
        </w:tabs>
        <w:overflowPunct w:val="0"/>
        <w:spacing w:afterLines="50" w:after="120" w:line="340" w:lineRule="atLeast"/>
        <w:ind w:left="567"/>
        <w:jc w:val="both"/>
        <w:rPr>
          <w:rFonts w:ascii="SimSun" w:hAnsi="SimSun"/>
          <w:sz w:val="21"/>
        </w:rPr>
      </w:pPr>
      <w:r w:rsidRPr="000D4ACD">
        <w:rPr>
          <w:rFonts w:ascii="SimSun" w:hAnsi="SimSun" w:hint="eastAsia"/>
          <w:sz w:val="21"/>
        </w:rPr>
        <w:t>(ii)</w:t>
      </w:r>
      <w:r w:rsidRPr="000D4ACD">
        <w:rPr>
          <w:rFonts w:ascii="SimSun" w:hAnsi="SimSun" w:hint="eastAsia"/>
          <w:sz w:val="21"/>
        </w:rPr>
        <w:tab/>
        <w:t>要求秘书处考虑成员国的评论指导和各审计监督机构的有关建议，向PBC提交一份全面的政策提案，其中包括净资产目标设定、流动性考虑和超出目标水平的可用盈余的管理、使用和报告。</w:t>
      </w:r>
      <w:r w:rsidR="00B8483B" w:rsidRPr="000D4ACD">
        <w:rPr>
          <w:rFonts w:ascii="SimSun" w:hAnsi="SimSun" w:hint="eastAsia"/>
          <w:sz w:val="21"/>
        </w:rPr>
        <w:t>”</w:t>
      </w:r>
    </w:p>
    <w:p w:rsidR="00C52783" w:rsidRPr="009C1B93" w:rsidRDefault="007D104B" w:rsidP="009C1B93">
      <w:pPr>
        <w:pStyle w:val="ONUME"/>
        <w:numPr>
          <w:ilvl w:val="0"/>
          <w:numId w:val="14"/>
        </w:numPr>
        <w:overflowPunct w:val="0"/>
        <w:spacing w:afterLines="50" w:after="120" w:line="340" w:lineRule="atLeast"/>
        <w:ind w:left="0" w:firstLine="0"/>
        <w:jc w:val="both"/>
        <w:rPr>
          <w:rFonts w:ascii="SimSun" w:hAnsi="SimSun"/>
          <w:sz w:val="21"/>
        </w:rPr>
      </w:pPr>
      <w:r w:rsidRPr="009C1B93">
        <w:rPr>
          <w:rFonts w:ascii="SimSun" w:hAnsi="SimSun" w:hint="eastAsia"/>
          <w:sz w:val="21"/>
        </w:rPr>
        <w:t>按照计划和</w:t>
      </w:r>
      <w:r w:rsidR="005C13EC" w:rsidRPr="009C1B93">
        <w:rPr>
          <w:rFonts w:ascii="SimSun" w:hAnsi="SimSun" w:hint="eastAsia"/>
          <w:sz w:val="21"/>
        </w:rPr>
        <w:t>预算委员会的</w:t>
      </w:r>
      <w:r w:rsidRPr="009C1B93">
        <w:rPr>
          <w:rFonts w:ascii="SimSun" w:hAnsi="SimSun" w:hint="eastAsia"/>
          <w:sz w:val="21"/>
        </w:rPr>
        <w:t>指导，秘书处在本文件附件一中提出</w:t>
      </w:r>
      <w:r w:rsidR="00D57B77" w:rsidRPr="009C1B93">
        <w:rPr>
          <w:rFonts w:ascii="SimSun" w:hAnsi="SimSun" w:hint="eastAsia"/>
          <w:sz w:val="21"/>
        </w:rPr>
        <w:t>对</w:t>
      </w:r>
      <w:r w:rsidRPr="009C1B93">
        <w:rPr>
          <w:rFonts w:ascii="SimSun" w:hAnsi="SimSun" w:hint="eastAsia"/>
          <w:sz w:val="21"/>
        </w:rPr>
        <w:t>储备</w:t>
      </w:r>
      <w:proofErr w:type="gramStart"/>
      <w:r w:rsidRPr="009C1B93">
        <w:rPr>
          <w:rFonts w:ascii="SimSun" w:hAnsi="SimSun" w:hint="eastAsia"/>
          <w:sz w:val="21"/>
        </w:rPr>
        <w:t>金政策</w:t>
      </w:r>
      <w:proofErr w:type="gramEnd"/>
      <w:r w:rsidR="00D57B77" w:rsidRPr="009C1B93">
        <w:rPr>
          <w:rFonts w:ascii="SimSun" w:hAnsi="SimSun" w:hint="eastAsia"/>
          <w:sz w:val="21"/>
        </w:rPr>
        <w:t>的拟议修订</w:t>
      </w:r>
      <w:r w:rsidRPr="009C1B93">
        <w:rPr>
          <w:rFonts w:ascii="SimSun" w:hAnsi="SimSun" w:hint="eastAsia"/>
          <w:sz w:val="21"/>
        </w:rPr>
        <w:t>。</w:t>
      </w:r>
    </w:p>
    <w:p w:rsidR="00C52783" w:rsidRPr="009C1B93" w:rsidRDefault="005C13EC" w:rsidP="009C1B93">
      <w:pPr>
        <w:pStyle w:val="ONUME"/>
        <w:numPr>
          <w:ilvl w:val="0"/>
          <w:numId w:val="14"/>
        </w:numPr>
        <w:overflowPunct w:val="0"/>
        <w:spacing w:afterLines="50" w:after="120" w:line="340" w:lineRule="atLeast"/>
        <w:ind w:left="0" w:firstLine="0"/>
        <w:jc w:val="both"/>
        <w:rPr>
          <w:rFonts w:ascii="SimSun" w:hAnsi="SimSun"/>
          <w:sz w:val="21"/>
        </w:rPr>
      </w:pPr>
      <w:r w:rsidRPr="009C1B93">
        <w:rPr>
          <w:rFonts w:ascii="SimSun" w:hAnsi="SimSun" w:hint="eastAsia"/>
          <w:sz w:val="21"/>
        </w:rPr>
        <w:t>经修订</w:t>
      </w:r>
      <w:r w:rsidR="00D57B77" w:rsidRPr="009C1B93">
        <w:rPr>
          <w:rFonts w:ascii="SimSun" w:hAnsi="SimSun" w:hint="eastAsia"/>
          <w:sz w:val="21"/>
        </w:rPr>
        <w:t>的政策旨在：</w:t>
      </w:r>
    </w:p>
    <w:p w:rsidR="00C52783" w:rsidRPr="00943062" w:rsidRDefault="005C13EC" w:rsidP="00E414BF">
      <w:pPr>
        <w:pStyle w:val="ONUME"/>
        <w:numPr>
          <w:ilvl w:val="0"/>
          <w:numId w:val="36"/>
        </w:numPr>
        <w:tabs>
          <w:tab w:val="left" w:pos="1320"/>
        </w:tabs>
        <w:overflowPunct w:val="0"/>
        <w:spacing w:afterLines="50" w:after="120" w:line="340" w:lineRule="atLeast"/>
        <w:ind w:left="567" w:firstLine="0"/>
        <w:jc w:val="both"/>
        <w:rPr>
          <w:rFonts w:ascii="SimSun" w:hAnsi="SimSun"/>
          <w:sz w:val="21"/>
        </w:rPr>
      </w:pPr>
      <w:r w:rsidRPr="00943062">
        <w:rPr>
          <w:rFonts w:ascii="SimSun" w:hAnsi="SimSun" w:hint="eastAsia"/>
          <w:sz w:val="21"/>
        </w:rPr>
        <w:t>进一步加强</w:t>
      </w:r>
      <w:r w:rsidR="00D57B77" w:rsidRPr="00943062">
        <w:rPr>
          <w:rFonts w:ascii="SimSun" w:hAnsi="SimSun" w:hint="eastAsia"/>
          <w:sz w:val="21"/>
        </w:rPr>
        <w:t>本组织的</w:t>
      </w:r>
      <w:r w:rsidRPr="00943062">
        <w:rPr>
          <w:rFonts w:ascii="SimSun" w:hAnsi="SimSun" w:hint="eastAsia"/>
          <w:sz w:val="21"/>
        </w:rPr>
        <w:t>财务管理</w:t>
      </w:r>
      <w:r w:rsidR="00D57B77" w:rsidRPr="00943062">
        <w:rPr>
          <w:rFonts w:ascii="SimSun" w:hAnsi="SimSun" w:hint="eastAsia"/>
          <w:sz w:val="21"/>
        </w:rPr>
        <w:t>和</w:t>
      </w:r>
      <w:r w:rsidRPr="00943062">
        <w:rPr>
          <w:rFonts w:ascii="SimSun" w:hAnsi="SimSun" w:hint="eastAsia"/>
          <w:sz w:val="21"/>
        </w:rPr>
        <w:t>风险管理</w:t>
      </w:r>
      <w:r w:rsidR="00D57B77" w:rsidRPr="00943062">
        <w:rPr>
          <w:rFonts w:ascii="SimSun" w:hAnsi="SimSun" w:hint="eastAsia"/>
          <w:sz w:val="21"/>
        </w:rPr>
        <w:t>；</w:t>
      </w:r>
    </w:p>
    <w:p w:rsidR="00C52783" w:rsidRPr="00943062" w:rsidRDefault="00D21794" w:rsidP="00E414BF">
      <w:pPr>
        <w:pStyle w:val="ONUME"/>
        <w:numPr>
          <w:ilvl w:val="0"/>
          <w:numId w:val="36"/>
        </w:numPr>
        <w:tabs>
          <w:tab w:val="left" w:pos="1320"/>
        </w:tabs>
        <w:overflowPunct w:val="0"/>
        <w:spacing w:afterLines="50" w:after="120" w:line="340" w:lineRule="atLeast"/>
        <w:ind w:left="567" w:firstLine="0"/>
        <w:jc w:val="both"/>
        <w:rPr>
          <w:rFonts w:ascii="SimSun" w:hAnsi="SimSun"/>
          <w:sz w:val="21"/>
        </w:rPr>
      </w:pPr>
      <w:r w:rsidRPr="00943062">
        <w:rPr>
          <w:rFonts w:ascii="SimSun" w:hAnsi="SimSun" w:hint="eastAsia"/>
          <w:sz w:val="21"/>
        </w:rPr>
        <w:t>就</w:t>
      </w:r>
      <w:r w:rsidR="00EB136B">
        <w:rPr>
          <w:rFonts w:ascii="SimSun" w:hAnsi="SimSun" w:hint="eastAsia"/>
          <w:sz w:val="21"/>
        </w:rPr>
        <w:t>继续</w:t>
      </w:r>
      <w:r w:rsidR="006909E1" w:rsidRPr="00943062">
        <w:rPr>
          <w:rFonts w:ascii="SimSun" w:hAnsi="SimSun" w:hint="eastAsia"/>
          <w:sz w:val="21"/>
        </w:rPr>
        <w:t>管理包括目标水平和流动性在内的储备金，加强对</w:t>
      </w:r>
      <w:r w:rsidR="005C13EC" w:rsidRPr="00943062">
        <w:rPr>
          <w:rFonts w:ascii="SimSun" w:hAnsi="SimSun" w:hint="eastAsia"/>
          <w:sz w:val="21"/>
        </w:rPr>
        <w:t>秘书处</w:t>
      </w:r>
      <w:r w:rsidR="006909E1" w:rsidRPr="00943062">
        <w:rPr>
          <w:rFonts w:ascii="SimSun" w:hAnsi="SimSun" w:hint="eastAsia"/>
          <w:sz w:val="21"/>
        </w:rPr>
        <w:t>的指导；</w:t>
      </w:r>
    </w:p>
    <w:p w:rsidR="00C52783" w:rsidRPr="00943062" w:rsidRDefault="00D21794" w:rsidP="00E414BF">
      <w:pPr>
        <w:pStyle w:val="ONUME"/>
        <w:numPr>
          <w:ilvl w:val="0"/>
          <w:numId w:val="36"/>
        </w:numPr>
        <w:tabs>
          <w:tab w:val="left" w:pos="1320"/>
        </w:tabs>
        <w:overflowPunct w:val="0"/>
        <w:spacing w:afterLines="50" w:after="120" w:line="340" w:lineRule="atLeast"/>
        <w:ind w:left="567" w:firstLine="0"/>
        <w:jc w:val="both"/>
        <w:rPr>
          <w:rFonts w:ascii="SimSun" w:hAnsi="SimSun"/>
          <w:sz w:val="21"/>
        </w:rPr>
      </w:pPr>
      <w:r w:rsidRPr="00943062">
        <w:rPr>
          <w:rFonts w:ascii="SimSun" w:hAnsi="SimSun" w:hint="eastAsia"/>
          <w:sz w:val="21"/>
        </w:rPr>
        <w:t>根据适用的会计标准(IPSAS)、本组织的监管框架(本组织不同联盟的财务规定和《财务条例与细则》)以及各项审计与监督建议，</w:t>
      </w:r>
      <w:r w:rsidR="00F076D6" w:rsidRPr="00943062">
        <w:rPr>
          <w:rFonts w:ascii="SimSun" w:hAnsi="SimSun" w:hint="eastAsia"/>
          <w:sz w:val="21"/>
        </w:rPr>
        <w:t>澄清</w:t>
      </w:r>
      <w:r w:rsidRPr="00943062">
        <w:rPr>
          <w:rFonts w:ascii="SimSun" w:hAnsi="SimSun" w:hint="eastAsia"/>
          <w:sz w:val="21"/>
        </w:rPr>
        <w:t>并加强</w:t>
      </w:r>
      <w:r w:rsidR="005C13EC" w:rsidRPr="00943062">
        <w:rPr>
          <w:rFonts w:ascii="SimSun" w:hAnsi="SimSun" w:hint="eastAsia"/>
          <w:sz w:val="21"/>
        </w:rPr>
        <w:t>对储备金</w:t>
      </w:r>
      <w:r w:rsidRPr="00943062">
        <w:rPr>
          <w:rFonts w:ascii="SimSun" w:hAnsi="SimSun" w:hint="eastAsia"/>
          <w:sz w:val="21"/>
        </w:rPr>
        <w:t>的</w:t>
      </w:r>
      <w:r w:rsidR="005C13EC" w:rsidRPr="00943062">
        <w:rPr>
          <w:rFonts w:ascii="SimSun" w:hAnsi="SimSun" w:hint="eastAsia"/>
          <w:sz w:val="21"/>
        </w:rPr>
        <w:t>报告</w:t>
      </w:r>
      <w:r w:rsidRPr="00943062">
        <w:rPr>
          <w:rFonts w:ascii="SimSun" w:hAnsi="SimSun" w:hint="eastAsia"/>
          <w:sz w:val="21"/>
        </w:rPr>
        <w:t>；</w:t>
      </w:r>
    </w:p>
    <w:p w:rsidR="00C52783" w:rsidRPr="00943062" w:rsidRDefault="00F076D6" w:rsidP="00E414BF">
      <w:pPr>
        <w:pStyle w:val="ONUME"/>
        <w:numPr>
          <w:ilvl w:val="0"/>
          <w:numId w:val="36"/>
        </w:numPr>
        <w:tabs>
          <w:tab w:val="left" w:pos="1320"/>
        </w:tabs>
        <w:overflowPunct w:val="0"/>
        <w:spacing w:afterLines="50" w:after="120" w:line="340" w:lineRule="atLeast"/>
        <w:ind w:left="567" w:firstLine="0"/>
        <w:jc w:val="both"/>
        <w:rPr>
          <w:rFonts w:ascii="SimSun" w:hAnsi="SimSun"/>
          <w:sz w:val="21"/>
        </w:rPr>
      </w:pPr>
      <w:r w:rsidRPr="00943062">
        <w:rPr>
          <w:rFonts w:ascii="SimSun" w:hAnsi="SimSun" w:hint="eastAsia"/>
          <w:sz w:val="21"/>
        </w:rPr>
        <w:t>制定明确</w:t>
      </w:r>
      <w:r w:rsidR="00353451">
        <w:rPr>
          <w:rFonts w:ascii="SimSun" w:hAnsi="SimSun" w:hint="eastAsia"/>
          <w:sz w:val="21"/>
        </w:rPr>
        <w:t>的</w:t>
      </w:r>
      <w:r w:rsidRPr="00943062">
        <w:rPr>
          <w:rFonts w:ascii="SimSun" w:hAnsi="SimSun" w:hint="eastAsia"/>
          <w:sz w:val="21"/>
        </w:rPr>
        <w:t>标准和信息方面的要求，便于成员国评估将可用储备金用于</w:t>
      </w:r>
      <w:r w:rsidR="00772904" w:rsidRPr="00943062">
        <w:rPr>
          <w:rFonts w:ascii="SimSun" w:hAnsi="SimSun" w:hint="eastAsia"/>
          <w:sz w:val="21"/>
        </w:rPr>
        <w:t>为</w:t>
      </w:r>
      <w:r w:rsidR="005C13EC" w:rsidRPr="00943062">
        <w:rPr>
          <w:rFonts w:ascii="SimSun" w:hAnsi="SimSun" w:hint="eastAsia"/>
          <w:sz w:val="21"/>
        </w:rPr>
        <w:t>项目供资</w:t>
      </w:r>
      <w:r w:rsidRPr="00943062">
        <w:rPr>
          <w:rFonts w:ascii="SimSun" w:hAnsi="SimSun" w:hint="eastAsia"/>
          <w:sz w:val="21"/>
        </w:rPr>
        <w:t>的提案，并便于成员国就此</w:t>
      </w:r>
      <w:proofErr w:type="gramStart"/>
      <w:r w:rsidRPr="00943062">
        <w:rPr>
          <w:rFonts w:ascii="SimSun" w:hAnsi="SimSun" w:hint="eastAsia"/>
          <w:sz w:val="21"/>
        </w:rPr>
        <w:t>作出</w:t>
      </w:r>
      <w:proofErr w:type="gramEnd"/>
      <w:r w:rsidRPr="00943062">
        <w:rPr>
          <w:rFonts w:ascii="SimSun" w:hAnsi="SimSun" w:hint="eastAsia"/>
          <w:sz w:val="21"/>
        </w:rPr>
        <w:t>决定；以及</w:t>
      </w:r>
    </w:p>
    <w:p w:rsidR="00C52783" w:rsidRPr="00943062" w:rsidRDefault="005C13EC" w:rsidP="00E414BF">
      <w:pPr>
        <w:pStyle w:val="ONUME"/>
        <w:numPr>
          <w:ilvl w:val="0"/>
          <w:numId w:val="36"/>
        </w:numPr>
        <w:tabs>
          <w:tab w:val="left" w:pos="1320"/>
        </w:tabs>
        <w:overflowPunct w:val="0"/>
        <w:spacing w:afterLines="50" w:after="120" w:line="340" w:lineRule="atLeast"/>
        <w:ind w:left="567" w:firstLine="0"/>
        <w:jc w:val="both"/>
        <w:rPr>
          <w:rFonts w:ascii="SimSun" w:hAnsi="SimSun"/>
          <w:sz w:val="21"/>
        </w:rPr>
      </w:pPr>
      <w:r w:rsidRPr="00943062">
        <w:rPr>
          <w:rFonts w:ascii="SimSun" w:hAnsi="SimSun" w:hint="eastAsia"/>
          <w:sz w:val="21"/>
        </w:rPr>
        <w:t>确保</w:t>
      </w:r>
      <w:r w:rsidR="009315F4" w:rsidRPr="00943062">
        <w:rPr>
          <w:rFonts w:ascii="SimSun" w:hAnsi="SimSun" w:hint="eastAsia"/>
          <w:sz w:val="21"/>
        </w:rPr>
        <w:t>更大程度上</w:t>
      </w:r>
      <w:r w:rsidR="00772904" w:rsidRPr="00943062">
        <w:rPr>
          <w:rFonts w:ascii="SimSun" w:hAnsi="SimSun" w:hint="eastAsia"/>
          <w:sz w:val="21"/>
        </w:rPr>
        <w:t>符合与储备</w:t>
      </w:r>
      <w:proofErr w:type="gramStart"/>
      <w:r w:rsidR="00772904" w:rsidRPr="00943062">
        <w:rPr>
          <w:rFonts w:ascii="SimSun" w:hAnsi="SimSun" w:hint="eastAsia"/>
          <w:sz w:val="21"/>
        </w:rPr>
        <w:t>金相关</w:t>
      </w:r>
      <w:proofErr w:type="gramEnd"/>
      <w:r w:rsidR="00772904" w:rsidRPr="00943062">
        <w:rPr>
          <w:rFonts w:ascii="SimSun" w:hAnsi="SimSun" w:hint="eastAsia"/>
          <w:sz w:val="21"/>
        </w:rPr>
        <w:t>的各项</w:t>
      </w:r>
      <w:r w:rsidRPr="00943062">
        <w:rPr>
          <w:rFonts w:ascii="SimSun" w:hAnsi="SimSun" w:hint="eastAsia"/>
          <w:sz w:val="21"/>
        </w:rPr>
        <w:t>审计与监督建议</w:t>
      </w:r>
      <w:r w:rsidR="00772904" w:rsidRPr="00943062">
        <w:rPr>
          <w:rFonts w:ascii="SimSun" w:hAnsi="SimSun" w:hint="eastAsia"/>
          <w:sz w:val="21"/>
        </w:rPr>
        <w:t>。</w:t>
      </w:r>
    </w:p>
    <w:p w:rsidR="00C52783" w:rsidRPr="00497C82" w:rsidRDefault="00C52783" w:rsidP="00497C82">
      <w:pPr>
        <w:pStyle w:val="ONUME"/>
        <w:numPr>
          <w:ilvl w:val="0"/>
          <w:numId w:val="14"/>
        </w:numPr>
        <w:spacing w:afterLines="50" w:after="120" w:line="340" w:lineRule="atLeast"/>
        <w:ind w:left="6237" w:firstLine="0"/>
        <w:jc w:val="both"/>
        <w:rPr>
          <w:rFonts w:ascii="KaiTi" w:eastAsia="KaiTi" w:hAnsi="KaiTi"/>
          <w:i/>
          <w:sz w:val="21"/>
          <w:szCs w:val="21"/>
        </w:rPr>
      </w:pPr>
      <w:r w:rsidRPr="00497C82">
        <w:rPr>
          <w:rFonts w:ascii="KaiTi" w:eastAsia="KaiTi" w:hAnsi="KaiTi" w:hint="eastAsia"/>
          <w:i/>
          <w:sz w:val="21"/>
          <w:szCs w:val="21"/>
        </w:rPr>
        <w:lastRenderedPageBreak/>
        <w:t>计划和预算委员会</w:t>
      </w:r>
      <w:r w:rsidR="00AA733A" w:rsidRPr="00497C82">
        <w:rPr>
          <w:rFonts w:ascii="KaiTi" w:eastAsia="KaiTi" w:hAnsi="KaiTi" w:hint="eastAsia"/>
          <w:i/>
          <w:sz w:val="21"/>
          <w:szCs w:val="21"/>
        </w:rPr>
        <w:t>(</w:t>
      </w:r>
      <w:r w:rsidR="00D60490" w:rsidRPr="00497C82">
        <w:rPr>
          <w:rFonts w:ascii="KaiTi" w:eastAsia="KaiTi" w:hAnsi="KaiTi"/>
          <w:i/>
          <w:sz w:val="21"/>
          <w:szCs w:val="21"/>
        </w:rPr>
        <w:t>PBC)</w:t>
      </w:r>
      <w:r w:rsidR="001F70A9" w:rsidRPr="00497C82">
        <w:rPr>
          <w:rFonts w:ascii="KaiTi" w:eastAsia="KaiTi" w:hAnsi="KaiTi" w:hint="eastAsia"/>
          <w:i/>
          <w:sz w:val="21"/>
          <w:szCs w:val="21"/>
        </w:rPr>
        <w:t>考虑到成员国的评论指导和各审计监督机构的有关建议，审议了</w:t>
      </w:r>
      <w:r w:rsidR="006A332A" w:rsidRPr="00497C82">
        <w:rPr>
          <w:rFonts w:ascii="KaiTi" w:eastAsia="KaiTi" w:hAnsi="KaiTi" w:hint="eastAsia"/>
          <w:i/>
          <w:sz w:val="21"/>
          <w:szCs w:val="21"/>
        </w:rPr>
        <w:t>经修订的</w:t>
      </w:r>
      <w:r w:rsidR="001F70A9" w:rsidRPr="00497C82">
        <w:rPr>
          <w:rFonts w:ascii="KaiTi" w:eastAsia="KaiTi" w:hAnsi="KaiTi" w:hint="eastAsia"/>
          <w:i/>
          <w:sz w:val="21"/>
          <w:szCs w:val="21"/>
        </w:rPr>
        <w:t>全面的政策提案，其中包括净资产目标设定、流动性考虑和超出目标水平的可用盈余的管理、使用和报告，建议WIPO成员国大会和各联盟的大会</w:t>
      </w:r>
      <w:r w:rsidR="001F70A9" w:rsidRPr="00B15F86">
        <w:rPr>
          <w:rFonts w:ascii="KaiTi" w:eastAsia="KaiTi" w:hAnsi="KaiTi" w:hint="eastAsia"/>
          <w:i/>
          <w:sz w:val="21"/>
          <w:szCs w:val="21"/>
        </w:rPr>
        <w:t>就</w:t>
      </w:r>
      <w:r w:rsidR="008C586C" w:rsidRPr="00B15F86">
        <w:rPr>
          <w:rFonts w:ascii="KaiTi" w:eastAsia="KaiTi" w:hAnsi="KaiTi" w:hint="eastAsia"/>
          <w:i/>
          <w:sz w:val="21"/>
          <w:szCs w:val="21"/>
        </w:rPr>
        <w:t>各自</w:t>
      </w:r>
      <w:r w:rsidR="001F70A9" w:rsidRPr="00B15F86">
        <w:rPr>
          <w:rFonts w:ascii="KaiTi" w:eastAsia="KaiTi" w:hAnsi="KaiTi" w:hint="eastAsia"/>
          <w:i/>
          <w:sz w:val="21"/>
          <w:szCs w:val="21"/>
        </w:rPr>
        <w:t>所涉事宜</w:t>
      </w:r>
      <w:r w:rsidR="00590B24" w:rsidRPr="00497C82">
        <w:rPr>
          <w:rFonts w:ascii="KaiTi" w:eastAsia="KaiTi" w:hAnsi="KaiTi" w:hint="eastAsia"/>
          <w:i/>
          <w:sz w:val="21"/>
          <w:szCs w:val="21"/>
        </w:rPr>
        <w:t>，</w:t>
      </w:r>
      <w:r w:rsidR="002D65A7">
        <w:rPr>
          <w:rFonts w:ascii="KaiTi" w:eastAsia="KaiTi" w:hAnsi="KaiTi" w:hint="eastAsia"/>
          <w:i/>
          <w:sz w:val="21"/>
          <w:szCs w:val="21"/>
        </w:rPr>
        <w:t>批准</w:t>
      </w:r>
      <w:r w:rsidR="00590B24" w:rsidRPr="00497C82">
        <w:rPr>
          <w:rFonts w:ascii="KaiTi" w:eastAsia="KaiTi" w:hAnsi="KaiTi" w:hint="eastAsia"/>
          <w:i/>
          <w:sz w:val="21"/>
          <w:szCs w:val="21"/>
        </w:rPr>
        <w:t>文件</w:t>
      </w:r>
      <w:r w:rsidR="00D60490" w:rsidRPr="00497C82">
        <w:rPr>
          <w:rFonts w:ascii="KaiTi" w:eastAsia="KaiTi" w:hAnsi="KaiTi"/>
          <w:i/>
          <w:sz w:val="21"/>
          <w:szCs w:val="21"/>
        </w:rPr>
        <w:t>WO/PBC/23/8</w:t>
      </w:r>
      <w:r w:rsidR="00590B24" w:rsidRPr="00497C82">
        <w:rPr>
          <w:rFonts w:ascii="KaiTi" w:eastAsia="KaiTi" w:hAnsi="KaiTi" w:hint="eastAsia"/>
          <w:i/>
          <w:sz w:val="21"/>
          <w:szCs w:val="21"/>
        </w:rPr>
        <w:t>附件一中所载的与储备</w:t>
      </w:r>
      <w:proofErr w:type="gramStart"/>
      <w:r w:rsidR="00590B24" w:rsidRPr="00497C82">
        <w:rPr>
          <w:rFonts w:ascii="KaiTi" w:eastAsia="KaiTi" w:hAnsi="KaiTi" w:hint="eastAsia"/>
          <w:i/>
          <w:sz w:val="21"/>
          <w:szCs w:val="21"/>
        </w:rPr>
        <w:t>金有关</w:t>
      </w:r>
      <w:proofErr w:type="gramEnd"/>
      <w:r w:rsidR="00590B24" w:rsidRPr="00497C82">
        <w:rPr>
          <w:rFonts w:ascii="KaiTi" w:eastAsia="KaiTi" w:hAnsi="KaiTi" w:hint="eastAsia"/>
          <w:i/>
          <w:sz w:val="21"/>
          <w:szCs w:val="21"/>
        </w:rPr>
        <w:t>的政策。</w:t>
      </w:r>
    </w:p>
    <w:p w:rsidR="00C52783" w:rsidRPr="009C1B93" w:rsidRDefault="007A3594" w:rsidP="009C1B93">
      <w:pPr>
        <w:pStyle w:val="ONUME"/>
        <w:numPr>
          <w:ilvl w:val="0"/>
          <w:numId w:val="14"/>
        </w:numPr>
        <w:overflowPunct w:val="0"/>
        <w:spacing w:afterLines="50" w:after="120" w:line="340" w:lineRule="atLeast"/>
        <w:ind w:left="0" w:firstLine="0"/>
        <w:jc w:val="both"/>
        <w:rPr>
          <w:rFonts w:ascii="SimSun" w:hAnsi="SimSun"/>
          <w:sz w:val="21"/>
        </w:rPr>
      </w:pPr>
      <w:r w:rsidRPr="009C1B93">
        <w:rPr>
          <w:rFonts w:ascii="SimSun" w:hAnsi="SimSun" w:hint="eastAsia"/>
          <w:sz w:val="21"/>
        </w:rPr>
        <w:t>PBC在第二十二届会议上对</w:t>
      </w:r>
      <w:r w:rsidR="00E071F1">
        <w:rPr>
          <w:rFonts w:ascii="SimSun" w:hAnsi="SimSun" w:hint="eastAsia"/>
          <w:sz w:val="21"/>
        </w:rPr>
        <w:t>财务情</w:t>
      </w:r>
      <w:r w:rsidR="005C13EC" w:rsidRPr="009C1B93">
        <w:rPr>
          <w:rFonts w:ascii="SimSun" w:hAnsi="SimSun" w:hint="eastAsia"/>
          <w:sz w:val="21"/>
        </w:rPr>
        <w:t>况</w:t>
      </w:r>
      <w:r w:rsidRPr="009C1B93">
        <w:rPr>
          <w:rFonts w:ascii="SimSun" w:hAnsi="SimSun" w:hint="eastAsia"/>
          <w:sz w:val="21"/>
        </w:rPr>
        <w:t>和</w:t>
      </w:r>
      <w:r w:rsidR="005C13EC" w:rsidRPr="009C1B93">
        <w:rPr>
          <w:rFonts w:ascii="SimSun" w:hAnsi="SimSun" w:hint="eastAsia"/>
          <w:sz w:val="21"/>
        </w:rPr>
        <w:t>储备</w:t>
      </w:r>
      <w:proofErr w:type="gramStart"/>
      <w:r w:rsidR="005C13EC" w:rsidRPr="009C1B93">
        <w:rPr>
          <w:rFonts w:ascii="SimSun" w:hAnsi="SimSun" w:hint="eastAsia"/>
          <w:sz w:val="21"/>
        </w:rPr>
        <w:t>金</w:t>
      </w:r>
      <w:r w:rsidRPr="009C1B93">
        <w:rPr>
          <w:rFonts w:ascii="SimSun" w:hAnsi="SimSun" w:hint="eastAsia"/>
          <w:sz w:val="21"/>
        </w:rPr>
        <w:t>有关</w:t>
      </w:r>
      <w:proofErr w:type="gramEnd"/>
      <w:r w:rsidRPr="009C1B93">
        <w:rPr>
          <w:rFonts w:ascii="SimSun" w:hAnsi="SimSun" w:hint="eastAsia"/>
          <w:sz w:val="21"/>
        </w:rPr>
        <w:t>政策进行审查时，</w:t>
      </w:r>
      <w:r w:rsidR="005C13EC" w:rsidRPr="009C1B93">
        <w:rPr>
          <w:rFonts w:ascii="SimSun" w:hAnsi="SimSun" w:hint="eastAsia"/>
          <w:sz w:val="21"/>
        </w:rPr>
        <w:t>指出</w:t>
      </w:r>
      <w:r w:rsidR="00295B42" w:rsidRPr="009C1B93">
        <w:rPr>
          <w:rFonts w:ascii="SimSun" w:hAnsi="SimSun" w:hint="eastAsia"/>
          <w:sz w:val="21"/>
        </w:rPr>
        <w:t>目前为830</w:t>
      </w:r>
      <w:proofErr w:type="gramStart"/>
      <w:r w:rsidR="00295B42" w:rsidRPr="009C1B93">
        <w:rPr>
          <w:rFonts w:ascii="SimSun" w:hAnsi="SimSun" w:hint="eastAsia"/>
          <w:sz w:val="21"/>
        </w:rPr>
        <w:t>万瑞</w:t>
      </w:r>
      <w:proofErr w:type="gramEnd"/>
      <w:r w:rsidR="00295B42" w:rsidRPr="009C1B93">
        <w:rPr>
          <w:rFonts w:ascii="SimSun" w:hAnsi="SimSun" w:hint="eastAsia"/>
          <w:sz w:val="21"/>
        </w:rPr>
        <w:t>士法郎的</w:t>
      </w:r>
      <w:r w:rsidR="005C13EC" w:rsidRPr="009C1B93">
        <w:rPr>
          <w:rFonts w:ascii="SimSun" w:hAnsi="SimSun" w:hint="eastAsia"/>
          <w:sz w:val="21"/>
        </w:rPr>
        <w:t>周转基金</w:t>
      </w:r>
      <w:r w:rsidRPr="009C1B93">
        <w:rPr>
          <w:rFonts w:ascii="SimSun" w:hAnsi="SimSun" w:hint="eastAsia"/>
          <w:sz w:val="21"/>
        </w:rPr>
        <w:t>(</w:t>
      </w:r>
      <w:r w:rsidR="005C13EC" w:rsidRPr="009C1B93">
        <w:rPr>
          <w:rFonts w:ascii="SimSun" w:hAnsi="SimSun" w:hint="eastAsia"/>
          <w:sz w:val="21"/>
        </w:rPr>
        <w:t>WCF</w:t>
      </w:r>
      <w:r w:rsidRPr="009C1B93">
        <w:rPr>
          <w:rFonts w:ascii="SimSun" w:hAnsi="SimSun" w:hint="eastAsia"/>
          <w:sz w:val="21"/>
        </w:rPr>
        <w:t>)</w:t>
      </w:r>
      <w:r w:rsidR="00295B42" w:rsidRPr="009C1B93">
        <w:rPr>
          <w:rFonts w:ascii="SimSun" w:hAnsi="SimSun" w:hint="eastAsia"/>
          <w:sz w:val="21"/>
        </w:rPr>
        <w:t>是通过成员国会费设立的，自1990年以来</w:t>
      </w:r>
      <w:r w:rsidR="00F1101E">
        <w:rPr>
          <w:rFonts w:ascii="SimSun" w:hAnsi="SimSun" w:hint="eastAsia"/>
          <w:sz w:val="21"/>
        </w:rPr>
        <w:t>一直未动</w:t>
      </w:r>
      <w:r w:rsidR="00295B42" w:rsidRPr="009C1B93">
        <w:rPr>
          <w:rFonts w:ascii="SimSun" w:hAnsi="SimSun" w:hint="eastAsia"/>
          <w:sz w:val="21"/>
        </w:rPr>
        <w:t>。目前的830</w:t>
      </w:r>
      <w:proofErr w:type="gramStart"/>
      <w:r w:rsidR="00295B42" w:rsidRPr="009C1B93">
        <w:rPr>
          <w:rFonts w:ascii="SimSun" w:hAnsi="SimSun" w:hint="eastAsia"/>
          <w:sz w:val="21"/>
        </w:rPr>
        <w:t>万瑞</w:t>
      </w:r>
      <w:proofErr w:type="gramEnd"/>
      <w:r w:rsidR="00295B42" w:rsidRPr="009C1B93">
        <w:rPr>
          <w:rFonts w:ascii="SimSun" w:hAnsi="SimSun" w:hint="eastAsia"/>
          <w:sz w:val="21"/>
        </w:rPr>
        <w:t>士法郎包括PCT联盟持有的</w:t>
      </w:r>
      <w:r w:rsidR="00FC2793" w:rsidRPr="009C1B93">
        <w:rPr>
          <w:rFonts w:ascii="SimSun" w:hAnsi="SimSun"/>
          <w:sz w:val="21"/>
        </w:rPr>
        <w:t>2</w:t>
      </w:r>
      <w:r w:rsidR="00295B42" w:rsidRPr="009C1B93">
        <w:rPr>
          <w:rFonts w:ascii="SimSun" w:hAnsi="SimSun" w:hint="eastAsia"/>
          <w:sz w:val="21"/>
        </w:rPr>
        <w:t>00</w:t>
      </w:r>
      <w:proofErr w:type="gramStart"/>
      <w:r w:rsidR="00295B42" w:rsidRPr="009C1B93">
        <w:rPr>
          <w:rFonts w:ascii="SimSun" w:hAnsi="SimSun" w:hint="eastAsia"/>
          <w:sz w:val="21"/>
        </w:rPr>
        <w:t>万瑞</w:t>
      </w:r>
      <w:proofErr w:type="gramEnd"/>
      <w:r w:rsidR="00295B42" w:rsidRPr="009C1B93">
        <w:rPr>
          <w:rFonts w:ascii="SimSun" w:hAnsi="SimSun" w:hint="eastAsia"/>
          <w:sz w:val="21"/>
        </w:rPr>
        <w:t>士法郎、马德里联盟的200</w:t>
      </w:r>
      <w:proofErr w:type="gramStart"/>
      <w:r w:rsidR="00295B42" w:rsidRPr="009C1B93">
        <w:rPr>
          <w:rFonts w:ascii="SimSun" w:hAnsi="SimSun" w:hint="eastAsia"/>
          <w:sz w:val="21"/>
        </w:rPr>
        <w:t>万瑞</w:t>
      </w:r>
      <w:proofErr w:type="gramEnd"/>
      <w:r w:rsidR="00295B42" w:rsidRPr="009C1B93">
        <w:rPr>
          <w:rFonts w:ascii="SimSun" w:hAnsi="SimSun" w:hint="eastAsia"/>
          <w:sz w:val="21"/>
        </w:rPr>
        <w:t>士法郎、海牙联盟的26</w:t>
      </w:r>
      <w:proofErr w:type="gramStart"/>
      <w:r w:rsidR="00295B42" w:rsidRPr="009C1B93">
        <w:rPr>
          <w:rFonts w:ascii="SimSun" w:hAnsi="SimSun" w:hint="eastAsia"/>
          <w:sz w:val="21"/>
        </w:rPr>
        <w:t>万瑞</w:t>
      </w:r>
      <w:proofErr w:type="gramEnd"/>
      <w:r w:rsidR="00295B42" w:rsidRPr="009C1B93">
        <w:rPr>
          <w:rFonts w:ascii="SimSun" w:hAnsi="SimSun" w:hint="eastAsia"/>
          <w:sz w:val="21"/>
        </w:rPr>
        <w:t>士法郎</w:t>
      </w:r>
      <w:r w:rsidR="00632562" w:rsidRPr="009C1B93">
        <w:rPr>
          <w:rFonts w:ascii="SimSun" w:hAnsi="SimSun" w:hint="eastAsia"/>
          <w:sz w:val="21"/>
        </w:rPr>
        <w:t>，其余的400</w:t>
      </w:r>
      <w:proofErr w:type="gramStart"/>
      <w:r w:rsidR="00632562" w:rsidRPr="009C1B93">
        <w:rPr>
          <w:rFonts w:ascii="SimSun" w:hAnsi="SimSun" w:hint="eastAsia"/>
          <w:sz w:val="21"/>
        </w:rPr>
        <w:t>万瑞</w:t>
      </w:r>
      <w:proofErr w:type="gramEnd"/>
      <w:r w:rsidR="00632562" w:rsidRPr="009C1B93">
        <w:rPr>
          <w:rFonts w:ascii="SimSun" w:hAnsi="SimSun" w:hint="eastAsia"/>
          <w:sz w:val="21"/>
        </w:rPr>
        <w:t>士法郎为</w:t>
      </w:r>
      <w:r w:rsidR="00D6657F" w:rsidRPr="009C1B93">
        <w:rPr>
          <w:rFonts w:ascii="SimSun" w:hAnsi="SimSun" w:hint="eastAsia"/>
          <w:sz w:val="21"/>
        </w:rPr>
        <w:t>各</w:t>
      </w:r>
      <w:r w:rsidR="00632562" w:rsidRPr="009C1B93">
        <w:rPr>
          <w:rFonts w:ascii="SimSun" w:hAnsi="SimSun" w:hint="eastAsia"/>
          <w:sz w:val="21"/>
        </w:rPr>
        <w:t>会费供资联盟所有。</w:t>
      </w:r>
    </w:p>
    <w:p w:rsidR="00C52783" w:rsidRPr="009C1B93" w:rsidRDefault="000E00A3" w:rsidP="009C1B93">
      <w:pPr>
        <w:pStyle w:val="ONUME"/>
        <w:numPr>
          <w:ilvl w:val="0"/>
          <w:numId w:val="14"/>
        </w:numPr>
        <w:overflowPunct w:val="0"/>
        <w:spacing w:afterLines="50" w:after="120" w:line="340" w:lineRule="atLeast"/>
        <w:ind w:left="0" w:firstLine="0"/>
        <w:jc w:val="both"/>
        <w:rPr>
          <w:rFonts w:ascii="SimSun" w:hAnsi="SimSun"/>
          <w:sz w:val="21"/>
        </w:rPr>
      </w:pPr>
      <w:r w:rsidRPr="009C1B93">
        <w:rPr>
          <w:rFonts w:ascii="SimSun" w:hAnsi="SimSun" w:hint="eastAsia"/>
          <w:sz w:val="21"/>
        </w:rPr>
        <w:t>PCT体系随着时间的推移</w:t>
      </w:r>
      <w:r w:rsidR="00126748" w:rsidRPr="009C1B93">
        <w:rPr>
          <w:rFonts w:ascii="SimSun" w:hAnsi="SimSun" w:hint="eastAsia"/>
          <w:sz w:val="21"/>
        </w:rPr>
        <w:t>显著</w:t>
      </w:r>
      <w:r w:rsidRPr="009C1B93">
        <w:rPr>
          <w:rFonts w:ascii="SimSun" w:hAnsi="SimSun" w:hint="eastAsia"/>
          <w:sz w:val="21"/>
        </w:rPr>
        <w:t>壮大，本组织当前的总收入中，大约</w:t>
      </w:r>
      <w:r w:rsidR="00126748" w:rsidRPr="009C1B93">
        <w:rPr>
          <w:rFonts w:ascii="SimSun" w:hAnsi="SimSun" w:hint="eastAsia"/>
          <w:sz w:val="21"/>
        </w:rPr>
        <w:t>76</w:t>
      </w:r>
      <w:r w:rsidRPr="009C1B93">
        <w:rPr>
          <w:rFonts w:ascii="SimSun" w:hAnsi="SimSun" w:hint="eastAsia"/>
          <w:sz w:val="21"/>
        </w:rPr>
        <w:t>%来自于</w:t>
      </w:r>
      <w:r w:rsidR="00126748" w:rsidRPr="009C1B93">
        <w:rPr>
          <w:rFonts w:ascii="SimSun" w:hAnsi="SimSun" w:hint="eastAsia"/>
          <w:sz w:val="21"/>
        </w:rPr>
        <w:t>PCT。</w:t>
      </w:r>
      <w:r w:rsidRPr="009C1B93">
        <w:rPr>
          <w:rFonts w:ascii="SimSun" w:hAnsi="SimSun" w:hint="eastAsia"/>
          <w:sz w:val="21"/>
        </w:rPr>
        <w:t>数额为</w:t>
      </w:r>
      <w:r w:rsidR="00126748" w:rsidRPr="009C1B93">
        <w:rPr>
          <w:rFonts w:ascii="SimSun" w:hAnsi="SimSun" w:hint="eastAsia"/>
          <w:sz w:val="21"/>
        </w:rPr>
        <w:t>200</w:t>
      </w:r>
      <w:proofErr w:type="gramStart"/>
      <w:r w:rsidR="00126748" w:rsidRPr="009C1B93">
        <w:rPr>
          <w:rFonts w:ascii="SimSun" w:hAnsi="SimSun" w:hint="eastAsia"/>
          <w:sz w:val="21"/>
        </w:rPr>
        <w:t>万瑞</w:t>
      </w:r>
      <w:proofErr w:type="gramEnd"/>
      <w:r w:rsidR="00126748" w:rsidRPr="009C1B93">
        <w:rPr>
          <w:rFonts w:ascii="SimSun" w:hAnsi="SimSun" w:hint="eastAsia"/>
          <w:sz w:val="21"/>
        </w:rPr>
        <w:t>士法郎的PCT周转基金</w:t>
      </w:r>
      <w:r w:rsidRPr="009C1B93">
        <w:rPr>
          <w:rFonts w:ascii="SimSun" w:hAnsi="SimSun" w:hint="eastAsia"/>
          <w:sz w:val="21"/>
        </w:rPr>
        <w:t>在PCT联盟的储备金</w:t>
      </w:r>
      <w:r w:rsidR="00126748" w:rsidRPr="009C1B93">
        <w:rPr>
          <w:rFonts w:ascii="SimSun" w:hAnsi="SimSun" w:hint="eastAsia"/>
          <w:sz w:val="21"/>
        </w:rPr>
        <w:t>和周转基金</w:t>
      </w:r>
      <w:r w:rsidR="00622E29">
        <w:rPr>
          <w:rFonts w:ascii="SimSun" w:hAnsi="SimSun" w:hint="eastAsia"/>
          <w:sz w:val="21"/>
        </w:rPr>
        <w:t>(</w:t>
      </w:r>
      <w:r w:rsidR="00126748" w:rsidRPr="009C1B93">
        <w:rPr>
          <w:rFonts w:ascii="SimSun" w:hAnsi="SimSun" w:hint="eastAsia"/>
          <w:sz w:val="21"/>
        </w:rPr>
        <w:t>RWCF</w:t>
      </w:r>
      <w:r w:rsidR="00622E29">
        <w:rPr>
          <w:rFonts w:ascii="SimSun" w:hAnsi="SimSun" w:hint="eastAsia"/>
          <w:sz w:val="21"/>
        </w:rPr>
        <w:t>)</w:t>
      </w:r>
      <w:r w:rsidRPr="009C1B93">
        <w:rPr>
          <w:rFonts w:ascii="SimSun" w:hAnsi="SimSun" w:hint="eastAsia"/>
          <w:sz w:val="21"/>
        </w:rPr>
        <w:t>总量中占</w:t>
      </w:r>
      <w:r w:rsidR="00126748" w:rsidRPr="009C1B93">
        <w:rPr>
          <w:rFonts w:ascii="SimSun" w:hAnsi="SimSun" w:hint="eastAsia"/>
          <w:sz w:val="21"/>
        </w:rPr>
        <w:t>1.4</w:t>
      </w:r>
      <w:r w:rsidRPr="009C1B93">
        <w:rPr>
          <w:rFonts w:ascii="SimSun" w:hAnsi="SimSun" w:hint="eastAsia"/>
          <w:sz w:val="21"/>
        </w:rPr>
        <w:t>%，在本组织的RWCF总量中约占</w:t>
      </w:r>
      <w:r w:rsidR="00126748" w:rsidRPr="009C1B93">
        <w:rPr>
          <w:rFonts w:ascii="SimSun" w:hAnsi="SimSun" w:hint="eastAsia"/>
          <w:sz w:val="21"/>
        </w:rPr>
        <w:t>1.0</w:t>
      </w:r>
      <w:r w:rsidRPr="009C1B93">
        <w:rPr>
          <w:rFonts w:ascii="SimSun" w:hAnsi="SimSun" w:hint="eastAsia"/>
          <w:sz w:val="21"/>
        </w:rPr>
        <w:t>%，这一数额已无法</w:t>
      </w:r>
      <w:r w:rsidR="00B921B8" w:rsidRPr="009C1B93">
        <w:rPr>
          <w:rFonts w:ascii="SimSun" w:hAnsi="SimSun" w:hint="eastAsia"/>
          <w:sz w:val="21"/>
        </w:rPr>
        <w:t>在</w:t>
      </w:r>
      <w:r w:rsidRPr="009C1B93">
        <w:rPr>
          <w:rFonts w:ascii="SimSun" w:hAnsi="SimSun" w:hint="eastAsia"/>
          <w:sz w:val="21"/>
        </w:rPr>
        <w:t>PCT收入</w:t>
      </w:r>
      <w:r w:rsidR="00B921B8" w:rsidRPr="009C1B93">
        <w:rPr>
          <w:rFonts w:ascii="SimSun" w:hAnsi="SimSun" w:hint="eastAsia"/>
          <w:sz w:val="21"/>
        </w:rPr>
        <w:t>不足时，为其相关</w:t>
      </w:r>
      <w:r w:rsidRPr="009C1B93">
        <w:rPr>
          <w:rFonts w:ascii="SimSun" w:hAnsi="SimSun" w:hint="eastAsia"/>
          <w:sz w:val="21"/>
        </w:rPr>
        <w:t>金融风险</w:t>
      </w:r>
      <w:r w:rsidR="00B921B8" w:rsidRPr="009C1B93">
        <w:rPr>
          <w:rFonts w:ascii="SimSun" w:hAnsi="SimSun" w:hint="eastAsia"/>
          <w:sz w:val="21"/>
        </w:rPr>
        <w:t>提供物质保障或降低风险</w:t>
      </w:r>
      <w:r w:rsidR="00126748" w:rsidRPr="009C1B93">
        <w:rPr>
          <w:rFonts w:ascii="SimSun" w:hAnsi="SimSun" w:hint="eastAsia"/>
          <w:sz w:val="21"/>
        </w:rPr>
        <w:t>。</w:t>
      </w:r>
      <w:r w:rsidR="00FB39F7" w:rsidRPr="009C1B93">
        <w:rPr>
          <w:rFonts w:ascii="SimSun" w:hAnsi="SimSun" w:hint="eastAsia"/>
          <w:sz w:val="21"/>
        </w:rPr>
        <w:t>这方面的风险一旦发生</w:t>
      </w:r>
      <w:r w:rsidR="00126748" w:rsidRPr="009C1B93">
        <w:rPr>
          <w:rFonts w:ascii="SimSun" w:hAnsi="SimSun" w:hint="eastAsia"/>
          <w:sz w:val="21"/>
        </w:rPr>
        <w:t>，将</w:t>
      </w:r>
      <w:r w:rsidR="00FB39F7" w:rsidRPr="009C1B93">
        <w:rPr>
          <w:rFonts w:ascii="SimSun" w:hAnsi="SimSun" w:hint="eastAsia"/>
          <w:sz w:val="21"/>
        </w:rPr>
        <w:t>主要由构成</w:t>
      </w:r>
      <w:r w:rsidR="00126748" w:rsidRPr="009C1B93">
        <w:rPr>
          <w:rFonts w:ascii="SimSun" w:hAnsi="SimSun" w:hint="eastAsia"/>
          <w:sz w:val="21"/>
        </w:rPr>
        <w:t>RWCF</w:t>
      </w:r>
      <w:r w:rsidR="00FB39F7" w:rsidRPr="009C1B93">
        <w:rPr>
          <w:rFonts w:ascii="SimSun" w:hAnsi="SimSun" w:hint="eastAsia"/>
          <w:sz w:val="21"/>
        </w:rPr>
        <w:t>的储备金来解决，经</w:t>
      </w:r>
      <w:r w:rsidR="00126748" w:rsidRPr="009C1B93">
        <w:rPr>
          <w:rFonts w:ascii="SimSun" w:hAnsi="SimSun" w:hint="eastAsia"/>
          <w:sz w:val="21"/>
        </w:rPr>
        <w:t>修订的</w:t>
      </w:r>
      <w:r w:rsidR="00FB39F7" w:rsidRPr="009C1B93">
        <w:rPr>
          <w:rFonts w:ascii="SimSun" w:hAnsi="SimSun" w:hint="eastAsia"/>
          <w:sz w:val="21"/>
        </w:rPr>
        <w:t>与储备</w:t>
      </w:r>
      <w:proofErr w:type="gramStart"/>
      <w:r w:rsidR="00FB39F7" w:rsidRPr="009C1B93">
        <w:rPr>
          <w:rFonts w:ascii="SimSun" w:hAnsi="SimSun" w:hint="eastAsia"/>
          <w:sz w:val="21"/>
        </w:rPr>
        <w:t>金有关</w:t>
      </w:r>
      <w:proofErr w:type="gramEnd"/>
      <w:r w:rsidR="00FB39F7" w:rsidRPr="009C1B93">
        <w:rPr>
          <w:rFonts w:ascii="SimSun" w:hAnsi="SimSun" w:hint="eastAsia"/>
          <w:sz w:val="21"/>
        </w:rPr>
        <w:t>的</w:t>
      </w:r>
      <w:r w:rsidR="00126748" w:rsidRPr="009C1B93">
        <w:rPr>
          <w:rFonts w:ascii="SimSun" w:hAnsi="SimSun" w:hint="eastAsia"/>
          <w:sz w:val="21"/>
        </w:rPr>
        <w:t>政策</w:t>
      </w:r>
      <w:r w:rsidR="00FB39F7" w:rsidRPr="009C1B93">
        <w:rPr>
          <w:rFonts w:ascii="SimSun" w:hAnsi="SimSun" w:hint="eastAsia"/>
          <w:sz w:val="21"/>
        </w:rPr>
        <w:t>包括一项将PCT联盟的储备金水平从15%提高至20%的提案。</w:t>
      </w:r>
      <w:r w:rsidR="00A06116">
        <w:rPr>
          <w:rFonts w:ascii="SimSun" w:hAnsi="SimSun" w:hint="eastAsia"/>
          <w:sz w:val="21"/>
        </w:rPr>
        <w:t>鉴于此</w:t>
      </w:r>
      <w:r w:rsidR="00126748" w:rsidRPr="009C1B93">
        <w:rPr>
          <w:rFonts w:ascii="SimSun" w:hAnsi="SimSun" w:hint="eastAsia"/>
          <w:sz w:val="21"/>
        </w:rPr>
        <w:t>，秘书处建议，</w:t>
      </w:r>
      <w:r w:rsidR="00FB39F7" w:rsidRPr="009C1B93">
        <w:rPr>
          <w:rFonts w:ascii="SimSun" w:hAnsi="SimSun" w:hint="eastAsia"/>
          <w:sz w:val="21"/>
        </w:rPr>
        <w:t>将属于</w:t>
      </w:r>
      <w:r w:rsidR="00126748" w:rsidRPr="009C1B93">
        <w:rPr>
          <w:rFonts w:ascii="SimSun" w:hAnsi="SimSun" w:hint="eastAsia"/>
          <w:sz w:val="21"/>
        </w:rPr>
        <w:t>PCT联盟</w:t>
      </w:r>
      <w:r w:rsidR="00FB39F7" w:rsidRPr="009C1B93">
        <w:rPr>
          <w:rFonts w:ascii="SimSun" w:hAnsi="SimSun" w:hint="eastAsia"/>
          <w:sz w:val="21"/>
        </w:rPr>
        <w:t>但</w:t>
      </w:r>
      <w:r w:rsidR="00126748" w:rsidRPr="009C1B93">
        <w:rPr>
          <w:rFonts w:ascii="SimSun" w:hAnsi="SimSun" w:hint="eastAsia"/>
          <w:sz w:val="21"/>
        </w:rPr>
        <w:t>由WIPO</w:t>
      </w:r>
      <w:r w:rsidR="00B50C08">
        <w:rPr>
          <w:rFonts w:ascii="SimSun" w:hAnsi="SimSun" w:hint="eastAsia"/>
          <w:sz w:val="21"/>
        </w:rPr>
        <w:t>为</w:t>
      </w:r>
      <w:r w:rsidR="00126748" w:rsidRPr="009C1B93">
        <w:rPr>
          <w:rFonts w:ascii="SimSun" w:hAnsi="SimSun" w:hint="eastAsia"/>
          <w:sz w:val="21"/>
        </w:rPr>
        <w:t>PCT联盟</w:t>
      </w:r>
      <w:r w:rsidR="00FB39F7" w:rsidRPr="009C1B93">
        <w:rPr>
          <w:rFonts w:ascii="SimSun" w:hAnsi="SimSun" w:hint="eastAsia"/>
          <w:sz w:val="21"/>
        </w:rPr>
        <w:t>各成员国</w:t>
      </w:r>
      <w:r w:rsidR="00B50C08">
        <w:rPr>
          <w:rFonts w:ascii="SimSun" w:hAnsi="SimSun" w:hint="eastAsia"/>
          <w:sz w:val="21"/>
        </w:rPr>
        <w:t>代</w:t>
      </w:r>
      <w:r w:rsidR="00FB39F7" w:rsidRPr="009C1B93">
        <w:rPr>
          <w:rFonts w:ascii="SimSun" w:hAnsi="SimSun" w:hint="eastAsia"/>
          <w:sz w:val="21"/>
        </w:rPr>
        <w:t>管的</w:t>
      </w:r>
      <w:r w:rsidR="008F07D7" w:rsidRPr="009C1B93">
        <w:rPr>
          <w:rFonts w:ascii="SimSun" w:hAnsi="SimSun" w:hint="eastAsia"/>
          <w:sz w:val="21"/>
        </w:rPr>
        <w:t>周转</w:t>
      </w:r>
      <w:r w:rsidR="00FB39F7" w:rsidRPr="009C1B93">
        <w:rPr>
          <w:rFonts w:ascii="SimSun" w:hAnsi="SimSun" w:hint="eastAsia"/>
          <w:sz w:val="21"/>
        </w:rPr>
        <w:t>基金的各</w:t>
      </w:r>
      <w:r w:rsidR="00126748" w:rsidRPr="009C1B93">
        <w:rPr>
          <w:rFonts w:ascii="SimSun" w:hAnsi="SimSun" w:hint="eastAsia"/>
          <w:sz w:val="21"/>
        </w:rPr>
        <w:t>组成部分</w:t>
      </w:r>
      <w:r w:rsidR="00756C06" w:rsidRPr="009C1B93">
        <w:rPr>
          <w:rFonts w:ascii="SimSun" w:hAnsi="SimSun" w:hint="eastAsia"/>
          <w:sz w:val="21"/>
        </w:rPr>
        <w:t>退</w:t>
      </w:r>
      <w:r w:rsidR="00126748" w:rsidRPr="009C1B93">
        <w:rPr>
          <w:rFonts w:ascii="SimSun" w:hAnsi="SimSun" w:hint="eastAsia"/>
          <w:sz w:val="21"/>
        </w:rPr>
        <w:t>还给各成员国。附件</w:t>
      </w:r>
      <w:proofErr w:type="gramStart"/>
      <w:r w:rsidR="00126748" w:rsidRPr="009C1B93">
        <w:rPr>
          <w:rFonts w:ascii="SimSun" w:hAnsi="SimSun" w:hint="eastAsia"/>
          <w:sz w:val="21"/>
        </w:rPr>
        <w:t>二</w:t>
      </w:r>
      <w:r w:rsidR="00564713" w:rsidRPr="009C1B93">
        <w:rPr>
          <w:rFonts w:ascii="SimSun" w:hAnsi="SimSun" w:hint="eastAsia"/>
          <w:sz w:val="21"/>
        </w:rPr>
        <w:t>提供</w:t>
      </w:r>
      <w:proofErr w:type="gramEnd"/>
      <w:r w:rsidR="00564713" w:rsidRPr="009C1B93">
        <w:rPr>
          <w:rFonts w:ascii="SimSun" w:hAnsi="SimSun" w:hint="eastAsia"/>
          <w:sz w:val="21"/>
        </w:rPr>
        <w:t>了构成PCT联盟</w:t>
      </w:r>
      <w:r w:rsidR="00933D8A">
        <w:rPr>
          <w:rFonts w:ascii="SimSun" w:hAnsi="SimSun" w:hint="eastAsia"/>
          <w:sz w:val="21"/>
        </w:rPr>
        <w:t>周转基金</w:t>
      </w:r>
      <w:r w:rsidR="00564713" w:rsidRPr="009C1B93">
        <w:rPr>
          <w:rFonts w:ascii="SimSun" w:hAnsi="SimSun" w:hint="eastAsia"/>
          <w:sz w:val="21"/>
        </w:rPr>
        <w:t>的200</w:t>
      </w:r>
      <w:proofErr w:type="gramStart"/>
      <w:r w:rsidR="00564713" w:rsidRPr="009C1B93">
        <w:rPr>
          <w:rFonts w:ascii="SimSun" w:hAnsi="SimSun" w:hint="eastAsia"/>
          <w:sz w:val="21"/>
        </w:rPr>
        <w:t>万瑞</w:t>
      </w:r>
      <w:proofErr w:type="gramEnd"/>
      <w:r w:rsidR="00564713" w:rsidRPr="009C1B93">
        <w:rPr>
          <w:rFonts w:ascii="SimSun" w:hAnsi="SimSun" w:hint="eastAsia"/>
          <w:sz w:val="21"/>
        </w:rPr>
        <w:t>士法郎按成员国开列</w:t>
      </w:r>
      <w:r w:rsidR="00126748" w:rsidRPr="009C1B93">
        <w:rPr>
          <w:rFonts w:ascii="SimSun" w:hAnsi="SimSun" w:hint="eastAsia"/>
          <w:sz w:val="21"/>
        </w:rPr>
        <w:t>的</w:t>
      </w:r>
      <w:r w:rsidR="00564713" w:rsidRPr="009C1B93">
        <w:rPr>
          <w:rFonts w:ascii="SimSun" w:hAnsi="SimSun" w:hint="eastAsia"/>
          <w:sz w:val="21"/>
        </w:rPr>
        <w:t>具体数额</w:t>
      </w:r>
      <w:r w:rsidR="00126748" w:rsidRPr="009C1B93">
        <w:rPr>
          <w:rFonts w:ascii="SimSun" w:hAnsi="SimSun" w:hint="eastAsia"/>
          <w:sz w:val="21"/>
        </w:rPr>
        <w:t>。为便于管理，</w:t>
      </w:r>
      <w:r w:rsidR="00564713" w:rsidRPr="009C1B93">
        <w:rPr>
          <w:rFonts w:ascii="SimSun" w:hAnsi="SimSun" w:hint="eastAsia"/>
          <w:sz w:val="21"/>
        </w:rPr>
        <w:t>建议</w:t>
      </w:r>
      <w:r w:rsidR="00C425BC" w:rsidRPr="009C1B93">
        <w:rPr>
          <w:rFonts w:ascii="SimSun" w:hAnsi="SimSun" w:hint="eastAsia"/>
          <w:sz w:val="21"/>
        </w:rPr>
        <w:t>从</w:t>
      </w:r>
      <w:r w:rsidR="007B1C01" w:rsidRPr="009C1B93">
        <w:rPr>
          <w:rFonts w:ascii="SimSun" w:hAnsi="SimSun" w:hint="eastAsia"/>
          <w:sz w:val="21"/>
        </w:rPr>
        <w:t>各</w:t>
      </w:r>
      <w:r w:rsidR="00126748" w:rsidRPr="009C1B93">
        <w:rPr>
          <w:rFonts w:ascii="SimSun" w:hAnsi="SimSun" w:hint="eastAsia"/>
          <w:sz w:val="21"/>
        </w:rPr>
        <w:t>成员国</w:t>
      </w:r>
      <w:r w:rsidR="00C425BC" w:rsidRPr="009C1B93">
        <w:rPr>
          <w:rFonts w:ascii="SimSun" w:hAnsi="SimSun" w:hint="eastAsia"/>
          <w:sz w:val="21"/>
        </w:rPr>
        <w:t>会费相关的发票中扣减这些款项</w:t>
      </w:r>
      <w:r w:rsidR="007B1C01" w:rsidRPr="009C1B93">
        <w:rPr>
          <w:rFonts w:ascii="SimSun" w:hAnsi="SimSun" w:hint="eastAsia"/>
          <w:sz w:val="21"/>
        </w:rPr>
        <w:t>，以完成</w:t>
      </w:r>
      <w:r w:rsidR="005F1DB8" w:rsidRPr="009C1B93">
        <w:rPr>
          <w:rFonts w:ascii="SimSun" w:hAnsi="SimSun" w:hint="eastAsia"/>
          <w:sz w:val="21"/>
        </w:rPr>
        <w:t>支付</w:t>
      </w:r>
      <w:r w:rsidR="00126748" w:rsidRPr="009C1B93">
        <w:rPr>
          <w:rFonts w:ascii="SimSun" w:hAnsi="SimSun" w:hint="eastAsia"/>
          <w:sz w:val="21"/>
        </w:rPr>
        <w:t>。</w:t>
      </w:r>
    </w:p>
    <w:p w:rsidR="00C52783" w:rsidRPr="00E414BF" w:rsidRDefault="005C13EC" w:rsidP="00B50790">
      <w:pPr>
        <w:pStyle w:val="ONUME"/>
        <w:numPr>
          <w:ilvl w:val="0"/>
          <w:numId w:val="14"/>
        </w:numPr>
        <w:spacing w:afterLines="50" w:after="120" w:line="340" w:lineRule="atLeast"/>
        <w:ind w:left="5534" w:firstLine="0"/>
        <w:rPr>
          <w:rFonts w:ascii="KaiTi" w:eastAsia="KaiTi" w:hAnsi="KaiTi"/>
          <w:i/>
        </w:rPr>
      </w:pPr>
      <w:r w:rsidRPr="00E414BF">
        <w:rPr>
          <w:rFonts w:ascii="KaiTi" w:eastAsia="KaiTi" w:hAnsi="KaiTi" w:hint="eastAsia"/>
          <w:i/>
          <w:sz w:val="21"/>
          <w:szCs w:val="21"/>
        </w:rPr>
        <w:t>计划和预算委员会建议WIPO成员国大会和各联盟的大会</w:t>
      </w:r>
      <w:r w:rsidR="00F9196B" w:rsidRPr="00E414BF">
        <w:rPr>
          <w:rFonts w:ascii="KaiTi" w:eastAsia="KaiTi" w:hAnsi="KaiTi" w:hint="eastAsia"/>
          <w:i/>
          <w:sz w:val="21"/>
          <w:szCs w:val="21"/>
        </w:rPr>
        <w:t>就</w:t>
      </w:r>
      <w:r w:rsidRPr="00E414BF">
        <w:rPr>
          <w:rFonts w:ascii="KaiTi" w:eastAsia="KaiTi" w:hAnsi="KaiTi" w:hint="eastAsia"/>
          <w:i/>
          <w:sz w:val="21"/>
          <w:szCs w:val="21"/>
        </w:rPr>
        <w:t>各自所涉事宜</w:t>
      </w:r>
      <w:r w:rsidR="008F07D7" w:rsidRPr="00E414BF">
        <w:rPr>
          <w:rFonts w:ascii="KaiTi" w:eastAsia="KaiTi" w:hAnsi="KaiTi" w:hint="eastAsia"/>
          <w:i/>
          <w:sz w:val="21"/>
          <w:szCs w:val="21"/>
        </w:rPr>
        <w:t>，将</w:t>
      </w:r>
      <w:r w:rsidR="007B662D" w:rsidRPr="00E414BF">
        <w:rPr>
          <w:rFonts w:ascii="KaiTi" w:eastAsia="KaiTi" w:hAnsi="KaiTi" w:hint="eastAsia"/>
          <w:i/>
          <w:sz w:val="21"/>
          <w:szCs w:val="21"/>
        </w:rPr>
        <w:t>构成PCT联盟周转基金(WCF)的</w:t>
      </w:r>
      <w:r w:rsidR="00756C06" w:rsidRPr="00E414BF">
        <w:rPr>
          <w:rFonts w:ascii="KaiTi" w:eastAsia="KaiTi" w:hAnsi="KaiTi" w:hint="eastAsia"/>
          <w:i/>
          <w:sz w:val="21"/>
          <w:szCs w:val="21"/>
        </w:rPr>
        <w:t>200</w:t>
      </w:r>
      <w:proofErr w:type="gramStart"/>
      <w:r w:rsidR="00756C06" w:rsidRPr="00E414BF">
        <w:rPr>
          <w:rFonts w:ascii="KaiTi" w:eastAsia="KaiTi" w:hAnsi="KaiTi" w:hint="eastAsia"/>
          <w:i/>
          <w:sz w:val="21"/>
          <w:szCs w:val="21"/>
        </w:rPr>
        <w:t>万瑞</w:t>
      </w:r>
      <w:proofErr w:type="gramEnd"/>
      <w:r w:rsidR="00756C06" w:rsidRPr="00E414BF">
        <w:rPr>
          <w:rFonts w:ascii="KaiTi" w:eastAsia="KaiTi" w:hAnsi="KaiTi" w:hint="eastAsia"/>
          <w:i/>
          <w:sz w:val="21"/>
          <w:szCs w:val="21"/>
        </w:rPr>
        <w:t>士法郎，通过扣减2016/17两年期会费发票的方式，退还给PCT</w:t>
      </w:r>
      <w:r w:rsidRPr="00E414BF">
        <w:rPr>
          <w:rFonts w:ascii="KaiTi" w:eastAsia="KaiTi" w:hAnsi="KaiTi" w:hint="eastAsia"/>
          <w:i/>
          <w:sz w:val="21"/>
          <w:szCs w:val="21"/>
        </w:rPr>
        <w:t>联盟的</w:t>
      </w:r>
      <w:r w:rsidR="00756C06" w:rsidRPr="00E414BF">
        <w:rPr>
          <w:rFonts w:ascii="KaiTi" w:eastAsia="KaiTi" w:hAnsi="KaiTi" w:hint="eastAsia"/>
          <w:i/>
          <w:sz w:val="21"/>
          <w:szCs w:val="21"/>
        </w:rPr>
        <w:t>各</w:t>
      </w:r>
      <w:r w:rsidRPr="00E414BF">
        <w:rPr>
          <w:rFonts w:ascii="KaiTi" w:eastAsia="KaiTi" w:hAnsi="KaiTi" w:hint="eastAsia"/>
          <w:i/>
          <w:sz w:val="21"/>
          <w:szCs w:val="21"/>
        </w:rPr>
        <w:t>成员国</w:t>
      </w:r>
      <w:r w:rsidR="00756C06" w:rsidRPr="00E414BF">
        <w:rPr>
          <w:rFonts w:ascii="KaiTi" w:eastAsia="KaiTi" w:hAnsi="KaiTi" w:hint="eastAsia"/>
          <w:i/>
          <w:sz w:val="21"/>
          <w:szCs w:val="21"/>
        </w:rPr>
        <w:t>。</w:t>
      </w:r>
    </w:p>
    <w:p w:rsidR="00E414BF" w:rsidRDefault="00E414BF" w:rsidP="001E5CDA">
      <w:pPr>
        <w:pStyle w:val="Endofdocument-Annex"/>
        <w:spacing w:afterLines="50" w:after="120" w:line="340" w:lineRule="atLeast"/>
        <w:rPr>
          <w:rFonts w:ascii="KaiTi" w:eastAsia="KaiTi" w:hAnsi="KaiTi"/>
          <w:sz w:val="21"/>
          <w:szCs w:val="21"/>
        </w:rPr>
      </w:pPr>
    </w:p>
    <w:p w:rsidR="00C52783" w:rsidRPr="001E5CDA" w:rsidRDefault="005C13EC" w:rsidP="001E5CDA">
      <w:pPr>
        <w:pStyle w:val="Endofdocument-Annex"/>
        <w:spacing w:afterLines="50" w:after="120" w:line="340" w:lineRule="atLeast"/>
        <w:rPr>
          <w:rFonts w:ascii="KaiTi" w:eastAsia="KaiTi" w:hAnsi="KaiTi"/>
          <w:sz w:val="21"/>
          <w:szCs w:val="21"/>
        </w:rPr>
      </w:pPr>
      <w:r w:rsidRPr="001E5CDA">
        <w:rPr>
          <w:rFonts w:ascii="KaiTi" w:eastAsia="KaiTi" w:hAnsi="KaiTi"/>
          <w:sz w:val="21"/>
          <w:szCs w:val="21"/>
        </w:rPr>
        <w:t>[</w:t>
      </w:r>
      <w:r w:rsidRPr="001E5CDA">
        <w:rPr>
          <w:rFonts w:ascii="KaiTi" w:eastAsia="KaiTi" w:hAnsi="KaiTi" w:hint="eastAsia"/>
          <w:sz w:val="21"/>
          <w:szCs w:val="21"/>
        </w:rPr>
        <w:t>后接附件</w:t>
      </w:r>
      <w:r w:rsidRPr="001E5CDA">
        <w:rPr>
          <w:rFonts w:ascii="KaiTi" w:eastAsia="KaiTi" w:hAnsi="KaiTi"/>
          <w:sz w:val="21"/>
          <w:szCs w:val="21"/>
        </w:rPr>
        <w:t>]</w:t>
      </w:r>
    </w:p>
    <w:p w:rsidR="00C52783" w:rsidRPr="00E414BF" w:rsidRDefault="00C52783" w:rsidP="007703D8">
      <w:pPr>
        <w:pStyle w:val="Endofdocument"/>
        <w:spacing w:line="240" w:lineRule="auto"/>
        <w:rPr>
          <w:rFonts w:ascii="SimSun" w:eastAsia="SimSun" w:hAnsi="SimSun"/>
          <w:sz w:val="21"/>
          <w:szCs w:val="22"/>
          <w:lang w:eastAsia="zh-CN"/>
        </w:rPr>
      </w:pPr>
    </w:p>
    <w:p w:rsidR="00A94682" w:rsidRPr="00E414BF" w:rsidRDefault="00A94682" w:rsidP="001A3402">
      <w:pPr>
        <w:pStyle w:val="Endofdocument"/>
        <w:rPr>
          <w:rFonts w:ascii="SimSun" w:eastAsia="SimSun" w:hAnsi="SimSun"/>
          <w:sz w:val="21"/>
          <w:szCs w:val="22"/>
          <w:lang w:eastAsia="zh-CN"/>
        </w:rPr>
        <w:sectPr w:rsidR="00A94682" w:rsidRPr="00E414BF" w:rsidSect="00E414BF">
          <w:headerReference w:type="default" r:id="rId10"/>
          <w:footerReference w:type="even" r:id="rId11"/>
          <w:footerReference w:type="default" r:id="rId12"/>
          <w:pgSz w:w="11907" w:h="16839" w:code="9"/>
          <w:pgMar w:top="567" w:right="1134" w:bottom="1418" w:left="1418" w:header="510" w:footer="1021" w:gutter="0"/>
          <w:cols w:space="720"/>
          <w:titlePg/>
          <w:docGrid w:linePitch="360"/>
        </w:sectPr>
      </w:pPr>
    </w:p>
    <w:p w:rsidR="00C52783" w:rsidRPr="00E414BF" w:rsidRDefault="005C13EC" w:rsidP="00086957">
      <w:pPr>
        <w:keepNext/>
        <w:tabs>
          <w:tab w:val="left" w:pos="1701"/>
        </w:tabs>
        <w:spacing w:beforeLines="100" w:before="240" w:afterLines="100" w:after="240" w:line="340" w:lineRule="atLeast"/>
        <w:rPr>
          <w:rFonts w:ascii="SimHei" w:eastAsia="SimHei" w:hAnsi="SimHei"/>
          <w:bCs/>
          <w:sz w:val="21"/>
        </w:rPr>
      </w:pPr>
      <w:r w:rsidRPr="00E414BF">
        <w:rPr>
          <w:rFonts w:ascii="SimHei" w:eastAsia="SimHei" w:hAnsi="SimHei" w:hint="eastAsia"/>
          <w:bCs/>
          <w:sz w:val="21"/>
        </w:rPr>
        <w:lastRenderedPageBreak/>
        <w:t>经修订</w:t>
      </w:r>
      <w:r w:rsidR="00F707B6" w:rsidRPr="00E414BF">
        <w:rPr>
          <w:rFonts w:ascii="SimHei" w:eastAsia="SimHei" w:hAnsi="SimHei" w:hint="eastAsia"/>
          <w:bCs/>
          <w:sz w:val="21"/>
        </w:rPr>
        <w:t>的储备金政策</w:t>
      </w:r>
    </w:p>
    <w:p w:rsidR="00C52783" w:rsidRPr="00E414BF" w:rsidRDefault="005C13EC" w:rsidP="00E414BF">
      <w:pPr>
        <w:keepNext/>
        <w:spacing w:beforeLines="100" w:before="240" w:afterLines="50" w:after="120" w:line="340" w:lineRule="atLeast"/>
        <w:rPr>
          <w:rFonts w:ascii="SimHei" w:eastAsia="SimHei" w:hAnsi="SimHei"/>
          <w:sz w:val="21"/>
        </w:rPr>
      </w:pPr>
      <w:r w:rsidRPr="00E414BF">
        <w:rPr>
          <w:rFonts w:ascii="SimHei" w:eastAsia="SimHei" w:hAnsi="SimHei" w:hint="eastAsia"/>
          <w:sz w:val="21"/>
        </w:rPr>
        <w:t>一</w:t>
      </w:r>
      <w:r w:rsidR="003D0A6C" w:rsidRPr="00E414BF">
        <w:rPr>
          <w:rFonts w:ascii="SimHei" w:eastAsia="SimHei" w:hAnsi="SimHei" w:hint="eastAsia"/>
          <w:sz w:val="21"/>
        </w:rPr>
        <w:t>、</w:t>
      </w:r>
      <w:r w:rsidRPr="00E414BF">
        <w:rPr>
          <w:rFonts w:ascii="SimHei" w:eastAsia="SimHei" w:hAnsi="SimHei" w:hint="eastAsia"/>
          <w:sz w:val="21"/>
        </w:rPr>
        <w:t>导言</w:t>
      </w:r>
      <w:r w:rsidR="00F707B6" w:rsidRPr="00E414BF">
        <w:rPr>
          <w:rFonts w:ascii="SimHei" w:eastAsia="SimHei" w:hAnsi="SimHei" w:hint="eastAsia"/>
          <w:sz w:val="21"/>
        </w:rPr>
        <w:t>和定义</w:t>
      </w:r>
    </w:p>
    <w:p w:rsidR="00C52783" w:rsidRPr="009C1B93" w:rsidRDefault="005C13EC" w:rsidP="00E414BF">
      <w:pPr>
        <w:pStyle w:val="ONUME"/>
        <w:numPr>
          <w:ilvl w:val="0"/>
          <w:numId w:val="19"/>
        </w:numPr>
        <w:overflowPunct w:val="0"/>
        <w:spacing w:afterLines="50" w:after="120" w:line="340" w:lineRule="atLeast"/>
        <w:ind w:left="0" w:firstLine="0"/>
        <w:jc w:val="both"/>
        <w:rPr>
          <w:rFonts w:ascii="SimSun" w:hAnsi="SimSun"/>
          <w:sz w:val="21"/>
        </w:rPr>
      </w:pPr>
      <w:r w:rsidRPr="009C1B93">
        <w:rPr>
          <w:rFonts w:ascii="SimSun" w:hAnsi="SimSun" w:hint="eastAsia"/>
          <w:sz w:val="21"/>
        </w:rPr>
        <w:t>WIPO储备金</w:t>
      </w:r>
      <w:r w:rsidR="00B77A08" w:rsidRPr="009C1B93">
        <w:rPr>
          <w:rFonts w:ascii="SimSun" w:hAnsi="SimSun" w:hint="eastAsia"/>
          <w:sz w:val="21"/>
        </w:rPr>
        <w:t>旨在</w:t>
      </w:r>
      <w:r w:rsidRPr="009C1B93">
        <w:rPr>
          <w:rFonts w:ascii="SimSun" w:hAnsi="SimSun" w:hint="eastAsia"/>
          <w:sz w:val="21"/>
        </w:rPr>
        <w:t>最大限度地降低收益减少</w:t>
      </w:r>
      <w:r w:rsidR="00B77A08" w:rsidRPr="009C1B93">
        <w:rPr>
          <w:rFonts w:ascii="SimSun" w:hAnsi="SimSun" w:hint="eastAsia"/>
          <w:sz w:val="21"/>
        </w:rPr>
        <w:t>带来的不利影响，并使本组织在短期内尽可能地</w:t>
      </w:r>
      <w:r w:rsidRPr="009C1B93">
        <w:rPr>
          <w:rFonts w:ascii="SimSun" w:hAnsi="SimSun" w:hint="eastAsia"/>
          <w:sz w:val="21"/>
        </w:rPr>
        <w:t>履行其义务</w:t>
      </w:r>
      <w:r w:rsidR="00B77A08" w:rsidRPr="009C1B93">
        <w:rPr>
          <w:rFonts w:ascii="SimSun" w:hAnsi="SimSun" w:hint="eastAsia"/>
          <w:sz w:val="21"/>
        </w:rPr>
        <w:t>，</w:t>
      </w:r>
      <w:r w:rsidRPr="009C1B93">
        <w:rPr>
          <w:rFonts w:ascii="SimSun" w:hAnsi="SimSun" w:hint="eastAsia"/>
          <w:sz w:val="21"/>
        </w:rPr>
        <w:t>保持财务</w:t>
      </w:r>
      <w:r w:rsidR="00B77A08" w:rsidRPr="009C1B93">
        <w:rPr>
          <w:rFonts w:ascii="SimSun" w:hAnsi="SimSun" w:hint="eastAsia"/>
          <w:sz w:val="21"/>
        </w:rPr>
        <w:t>稳定性。</w:t>
      </w:r>
      <w:r w:rsidR="00993843" w:rsidRPr="009C1B93">
        <w:rPr>
          <w:rFonts w:ascii="SimSun" w:hAnsi="SimSun" w:hint="eastAsia"/>
          <w:sz w:val="21"/>
        </w:rPr>
        <w:t>储备金</w:t>
      </w:r>
      <w:r w:rsidRPr="009C1B93">
        <w:rPr>
          <w:rFonts w:ascii="SimSun" w:hAnsi="SimSun" w:hint="eastAsia"/>
          <w:sz w:val="21"/>
        </w:rPr>
        <w:t>记为本组织的资产净额</w:t>
      </w:r>
      <w:r w:rsidR="00993843" w:rsidRPr="009C1B93">
        <w:rPr>
          <w:rFonts w:ascii="SimSun" w:hAnsi="SimSun" w:hint="eastAsia"/>
          <w:sz w:val="21"/>
        </w:rPr>
        <w:t>，</w:t>
      </w:r>
      <w:r w:rsidRPr="009C1B93">
        <w:rPr>
          <w:rFonts w:ascii="SimSun" w:hAnsi="SimSun" w:hint="eastAsia"/>
          <w:sz w:val="21"/>
        </w:rPr>
        <w:t>即总资产与总负债之差</w:t>
      </w:r>
      <w:r w:rsidR="00993843" w:rsidRPr="009C1B93">
        <w:rPr>
          <w:rFonts w:ascii="SimSun" w:hAnsi="SimSun" w:hint="eastAsia"/>
          <w:sz w:val="21"/>
        </w:rPr>
        <w:t>。</w:t>
      </w:r>
      <w:r w:rsidR="00C3714C" w:rsidRPr="009C1B93">
        <w:rPr>
          <w:rFonts w:ascii="SimSun" w:hAnsi="SimSun"/>
          <w:sz w:val="21"/>
        </w:rPr>
        <w:t>WIPO</w:t>
      </w:r>
      <w:r w:rsidR="00993843" w:rsidRPr="009C1B93">
        <w:rPr>
          <w:rFonts w:ascii="SimSun" w:hAnsi="SimSun" w:hint="eastAsia"/>
          <w:sz w:val="21"/>
        </w:rPr>
        <w:t>的储备金由储备金和周转基金构成，</w:t>
      </w:r>
      <w:r w:rsidR="00770864" w:rsidRPr="009C1B93">
        <w:rPr>
          <w:rFonts w:ascii="SimSun" w:hAnsi="SimSun" w:hint="eastAsia"/>
          <w:sz w:val="21"/>
        </w:rPr>
        <w:t>合</w:t>
      </w:r>
      <w:r w:rsidR="00993843" w:rsidRPr="009C1B93">
        <w:rPr>
          <w:rFonts w:ascii="SimSun" w:hAnsi="SimSun" w:hint="eastAsia"/>
          <w:sz w:val="21"/>
        </w:rPr>
        <w:t>称为储备金和周转基金</w:t>
      </w:r>
      <w:r w:rsidR="00C3714C" w:rsidRPr="009C1B93">
        <w:rPr>
          <w:rFonts w:ascii="SimSun" w:hAnsi="SimSun"/>
          <w:sz w:val="21"/>
        </w:rPr>
        <w:t>(RWCF</w:t>
      </w:r>
      <w:r w:rsidR="00993843" w:rsidRPr="009C1B93">
        <w:rPr>
          <w:rFonts w:ascii="SimSun" w:hAnsi="SimSun"/>
          <w:sz w:val="21"/>
        </w:rPr>
        <w:t>)</w:t>
      </w:r>
      <w:r w:rsidR="00993843" w:rsidRPr="009C1B93">
        <w:rPr>
          <w:rFonts w:ascii="SimSun" w:hAnsi="SimSun" w:hint="eastAsia"/>
          <w:sz w:val="21"/>
        </w:rPr>
        <w:t>。</w:t>
      </w:r>
    </w:p>
    <w:p w:rsidR="00C52783" w:rsidRPr="00550E5F" w:rsidRDefault="005C13EC" w:rsidP="009C1B93">
      <w:pPr>
        <w:pStyle w:val="ONUME"/>
        <w:numPr>
          <w:ilvl w:val="0"/>
          <w:numId w:val="19"/>
        </w:numPr>
        <w:overflowPunct w:val="0"/>
        <w:spacing w:afterLines="50" w:after="120" w:line="340" w:lineRule="atLeast"/>
        <w:ind w:left="0" w:firstLine="0"/>
        <w:jc w:val="both"/>
        <w:rPr>
          <w:rFonts w:asciiTheme="minorEastAsia" w:eastAsiaTheme="minorEastAsia" w:hAnsiTheme="minorEastAsia"/>
          <w:sz w:val="21"/>
          <w:szCs w:val="21"/>
        </w:rPr>
      </w:pPr>
      <w:r w:rsidRPr="009C1B93">
        <w:rPr>
          <w:rFonts w:ascii="SimSun" w:hAnsi="SimSun" w:hint="eastAsia"/>
          <w:sz w:val="21"/>
        </w:rPr>
        <w:t>WIPO</w:t>
      </w:r>
      <w:r w:rsidR="00F71625" w:rsidRPr="009C1B93">
        <w:rPr>
          <w:rFonts w:ascii="SimSun" w:hAnsi="SimSun" w:hint="eastAsia"/>
          <w:sz w:val="21"/>
        </w:rPr>
        <w:t>《</w:t>
      </w:r>
      <w:r w:rsidRPr="009C1B93">
        <w:rPr>
          <w:rFonts w:ascii="SimSun" w:hAnsi="SimSun" w:hint="eastAsia"/>
          <w:sz w:val="21"/>
        </w:rPr>
        <w:t>财务条例与细则</w:t>
      </w:r>
      <w:r w:rsidR="00F71625" w:rsidRPr="009C1B93">
        <w:rPr>
          <w:rFonts w:ascii="SimSun" w:hAnsi="SimSun" w:hint="eastAsia"/>
          <w:sz w:val="21"/>
        </w:rPr>
        <w:t>》(</w:t>
      </w:r>
      <w:r w:rsidRPr="009C1B93">
        <w:rPr>
          <w:rFonts w:ascii="SimSun" w:hAnsi="SimSun" w:hint="eastAsia"/>
          <w:sz w:val="21"/>
        </w:rPr>
        <w:t>FRR</w:t>
      </w:r>
      <w:r w:rsidR="00F71625" w:rsidRPr="009C1B93">
        <w:rPr>
          <w:rFonts w:ascii="SimSun" w:hAnsi="SimSun" w:hint="eastAsia"/>
          <w:sz w:val="21"/>
        </w:rPr>
        <w:t>)</w:t>
      </w:r>
      <w:r w:rsidRPr="009C1B93">
        <w:rPr>
          <w:rFonts w:ascii="SimSun" w:hAnsi="SimSun" w:hint="eastAsia"/>
          <w:sz w:val="21"/>
        </w:rPr>
        <w:t>对本组织储备金和周转基金</w:t>
      </w:r>
      <w:r w:rsidR="00F71625" w:rsidRPr="009C1B93">
        <w:rPr>
          <w:rFonts w:ascii="SimSun" w:hAnsi="SimSun" w:hint="eastAsia"/>
          <w:sz w:val="21"/>
        </w:rPr>
        <w:t>的</w:t>
      </w:r>
      <w:r w:rsidRPr="009C1B93">
        <w:rPr>
          <w:rFonts w:ascii="SimSun" w:hAnsi="SimSun" w:hint="eastAsia"/>
          <w:sz w:val="21"/>
        </w:rPr>
        <w:t>两个具体组成部分的定义如下</w:t>
      </w:r>
      <w:r w:rsidR="00F71625" w:rsidRPr="009C1B93">
        <w:rPr>
          <w:rFonts w:ascii="SimSun" w:hAnsi="SimSun" w:hint="eastAsia"/>
          <w:sz w:val="21"/>
        </w:rPr>
        <w:t>：</w:t>
      </w:r>
    </w:p>
    <w:p w:rsidR="00C52783" w:rsidRPr="00550E5F" w:rsidRDefault="005C13EC" w:rsidP="00D07ECB">
      <w:pPr>
        <w:pStyle w:val="ONUME"/>
        <w:numPr>
          <w:ilvl w:val="0"/>
          <w:numId w:val="35"/>
        </w:numPr>
        <w:overflowPunct w:val="0"/>
        <w:spacing w:afterLines="50" w:after="120" w:line="340" w:lineRule="atLeast"/>
        <w:ind w:left="1134" w:hanging="567"/>
        <w:jc w:val="both"/>
        <w:rPr>
          <w:rFonts w:asciiTheme="minorEastAsia" w:eastAsiaTheme="minorEastAsia" w:hAnsiTheme="minorEastAsia"/>
          <w:sz w:val="21"/>
          <w:szCs w:val="21"/>
        </w:rPr>
      </w:pPr>
      <w:r w:rsidRPr="00550E5F">
        <w:rPr>
          <w:rFonts w:asciiTheme="minorEastAsia" w:eastAsiaTheme="minorEastAsia" w:hAnsiTheme="minorEastAsia" w:hint="eastAsia"/>
          <w:sz w:val="21"/>
          <w:szCs w:val="21"/>
        </w:rPr>
        <w:t>“</w:t>
      </w:r>
      <w:r w:rsidRPr="00D07ECB">
        <w:rPr>
          <w:rFonts w:ascii="SimHei" w:eastAsia="SimHei" w:hAnsi="SimHei" w:hint="eastAsia"/>
          <w:sz w:val="21"/>
        </w:rPr>
        <w:t>储备基金</w:t>
      </w:r>
      <w:r w:rsidRPr="00550E5F">
        <w:rPr>
          <w:rFonts w:asciiTheme="minorEastAsia" w:eastAsiaTheme="minorEastAsia" w:hAnsiTheme="minorEastAsia" w:hint="eastAsia"/>
          <w:sz w:val="21"/>
          <w:szCs w:val="21"/>
        </w:rPr>
        <w:t>”系指成员国大会和各联盟的大会就各自所涉事宜设立的、用于存入超过筹</w:t>
      </w:r>
      <w:proofErr w:type="gramStart"/>
      <w:r w:rsidRPr="00550E5F">
        <w:rPr>
          <w:rFonts w:asciiTheme="minorEastAsia" w:eastAsiaTheme="minorEastAsia" w:hAnsiTheme="minorEastAsia" w:hint="eastAsia"/>
          <w:sz w:val="21"/>
          <w:szCs w:val="21"/>
        </w:rPr>
        <w:t>供计划</w:t>
      </w:r>
      <w:proofErr w:type="gramEnd"/>
      <w:r w:rsidRPr="00550E5F">
        <w:rPr>
          <w:rFonts w:asciiTheme="minorEastAsia" w:eastAsiaTheme="minorEastAsia" w:hAnsiTheme="minorEastAsia" w:hint="eastAsia"/>
          <w:sz w:val="21"/>
          <w:szCs w:val="21"/>
        </w:rPr>
        <w:t>和预算批款所需数额的收费收入盈余的基金。储备基金的使用，应由成员国大会和各联盟的大会就各自所涉事宜决定</w:t>
      </w:r>
      <w:r w:rsidRPr="00086957">
        <w:rPr>
          <w:rFonts w:ascii="KaiTi" w:eastAsia="KaiTi" w:hAnsi="KaiTi" w:hint="eastAsia"/>
          <w:i/>
          <w:sz w:val="21"/>
          <w:szCs w:val="21"/>
        </w:rPr>
        <w:t>(财务细则101.3(n)</w:t>
      </w:r>
      <w:r w:rsidR="000D2B8E" w:rsidRPr="00086957">
        <w:rPr>
          <w:rFonts w:ascii="KaiTi" w:eastAsia="KaiTi" w:hAnsi="KaiTi" w:hint="eastAsia"/>
          <w:i/>
          <w:sz w:val="21"/>
          <w:szCs w:val="21"/>
        </w:rPr>
        <w:t>)</w:t>
      </w:r>
      <w:r w:rsidR="00233685" w:rsidRPr="00550E5F">
        <w:rPr>
          <w:rFonts w:asciiTheme="minorEastAsia" w:eastAsiaTheme="minorEastAsia" w:hAnsiTheme="minorEastAsia" w:hint="eastAsia"/>
          <w:sz w:val="21"/>
          <w:szCs w:val="21"/>
        </w:rPr>
        <w:t>；</w:t>
      </w:r>
    </w:p>
    <w:p w:rsidR="00C52783" w:rsidRPr="00550E5F" w:rsidRDefault="005C13EC" w:rsidP="00D07ECB">
      <w:pPr>
        <w:pStyle w:val="ONUME"/>
        <w:numPr>
          <w:ilvl w:val="0"/>
          <w:numId w:val="35"/>
        </w:numPr>
        <w:overflowPunct w:val="0"/>
        <w:spacing w:afterLines="50" w:after="120" w:line="340" w:lineRule="atLeast"/>
        <w:ind w:left="1134" w:hanging="567"/>
        <w:jc w:val="both"/>
        <w:rPr>
          <w:rFonts w:asciiTheme="minorEastAsia" w:eastAsiaTheme="minorEastAsia" w:hAnsiTheme="minorEastAsia"/>
          <w:sz w:val="21"/>
          <w:szCs w:val="21"/>
        </w:rPr>
      </w:pPr>
      <w:r w:rsidRPr="00550E5F">
        <w:rPr>
          <w:rFonts w:asciiTheme="minorEastAsia" w:eastAsiaTheme="minorEastAsia" w:hAnsiTheme="minorEastAsia" w:hint="eastAsia"/>
          <w:sz w:val="21"/>
          <w:szCs w:val="21"/>
        </w:rPr>
        <w:t>“</w:t>
      </w:r>
      <w:r w:rsidRPr="00D07ECB">
        <w:rPr>
          <w:rFonts w:ascii="SimHei" w:eastAsia="SimHei" w:hAnsi="SimHei" w:hint="eastAsia"/>
          <w:sz w:val="21"/>
        </w:rPr>
        <w:t>周转基金</w:t>
      </w:r>
      <w:r w:rsidRPr="00550E5F">
        <w:rPr>
          <w:rFonts w:asciiTheme="minorEastAsia" w:eastAsiaTheme="minorEastAsia" w:hAnsiTheme="minorEastAsia" w:hint="eastAsia"/>
          <w:sz w:val="21"/>
          <w:szCs w:val="21"/>
        </w:rPr>
        <w:t>”系指出现暂时的流动性短缺时</w:t>
      </w:r>
      <w:r w:rsidR="00B546A4">
        <w:rPr>
          <w:rFonts w:asciiTheme="minorEastAsia" w:eastAsiaTheme="minorEastAsia" w:hAnsiTheme="minorEastAsia" w:hint="eastAsia"/>
          <w:sz w:val="21"/>
          <w:szCs w:val="21"/>
        </w:rPr>
        <w:t>，</w:t>
      </w:r>
      <w:r w:rsidRPr="00550E5F">
        <w:rPr>
          <w:rFonts w:asciiTheme="minorEastAsia" w:eastAsiaTheme="minorEastAsia" w:hAnsiTheme="minorEastAsia" w:hint="eastAsia"/>
          <w:sz w:val="21"/>
          <w:szCs w:val="21"/>
        </w:rPr>
        <w:t>或为了成员国大会和各联盟的大会就各自所涉事宜决定的其他目的而设立的用于垫付经费的基金</w:t>
      </w:r>
      <w:r w:rsidRPr="00086957">
        <w:rPr>
          <w:rFonts w:ascii="KaiTi" w:eastAsia="KaiTi" w:hAnsi="KaiTi" w:hint="eastAsia"/>
          <w:i/>
          <w:sz w:val="21"/>
          <w:szCs w:val="21"/>
        </w:rPr>
        <w:t>(财务细则101.3(q)和条例4.3)</w:t>
      </w:r>
      <w:r w:rsidRPr="00550E5F">
        <w:rPr>
          <w:rFonts w:asciiTheme="minorEastAsia" w:eastAsiaTheme="minorEastAsia" w:hAnsiTheme="minorEastAsia" w:hint="eastAsia"/>
          <w:sz w:val="21"/>
          <w:szCs w:val="21"/>
        </w:rPr>
        <w:t>。</w:t>
      </w:r>
    </w:p>
    <w:p w:rsidR="00C52783" w:rsidRPr="009C1B93" w:rsidRDefault="00DA6914" w:rsidP="009C1B93">
      <w:pPr>
        <w:pStyle w:val="ONUME"/>
        <w:numPr>
          <w:ilvl w:val="0"/>
          <w:numId w:val="19"/>
        </w:numPr>
        <w:overflowPunct w:val="0"/>
        <w:spacing w:afterLines="50" w:after="120" w:line="340" w:lineRule="atLeast"/>
        <w:ind w:left="0" w:firstLine="0"/>
        <w:jc w:val="both"/>
        <w:rPr>
          <w:rFonts w:ascii="SimSun" w:hAnsi="SimSun"/>
          <w:sz w:val="21"/>
        </w:rPr>
      </w:pPr>
      <w:r w:rsidRPr="009C1B93">
        <w:rPr>
          <w:rFonts w:ascii="SimSun" w:hAnsi="SimSun" w:hint="eastAsia"/>
          <w:sz w:val="21"/>
        </w:rPr>
        <w:t>WIPO《财务条例与细则》</w:t>
      </w:r>
      <w:r w:rsidR="00C3714C" w:rsidRPr="009C1B93">
        <w:rPr>
          <w:rFonts w:ascii="SimSun" w:hAnsi="SimSun"/>
          <w:sz w:val="21"/>
        </w:rPr>
        <w:t>(FRR)</w:t>
      </w:r>
      <w:r w:rsidR="00604A7D" w:rsidRPr="009C1B93">
        <w:rPr>
          <w:rFonts w:ascii="SimSun" w:hAnsi="SimSun" w:hint="eastAsia"/>
          <w:sz w:val="21"/>
        </w:rPr>
        <w:t>还写明巴黎、伯尔尼、马德里、海牙、IPC、尼斯、PCT、里斯本、</w:t>
      </w:r>
      <w:proofErr w:type="gramStart"/>
      <w:r w:rsidR="00604A7D" w:rsidRPr="009C1B93">
        <w:rPr>
          <w:rFonts w:ascii="SimSun" w:hAnsi="SimSun" w:hint="eastAsia"/>
          <w:sz w:val="21"/>
        </w:rPr>
        <w:t>洛迦</w:t>
      </w:r>
      <w:proofErr w:type="gramEnd"/>
      <w:r w:rsidR="00604A7D" w:rsidRPr="009C1B93">
        <w:rPr>
          <w:rFonts w:ascii="SimSun" w:hAnsi="SimSun" w:hint="eastAsia"/>
          <w:sz w:val="21"/>
        </w:rPr>
        <w:t>诺和维也纳各联盟对本组织储备金和周转基金有以下所有权和支配权：</w:t>
      </w:r>
    </w:p>
    <w:p w:rsidR="00132D21" w:rsidRDefault="005C13EC" w:rsidP="00D07ECB">
      <w:pPr>
        <w:pStyle w:val="ONUME"/>
        <w:numPr>
          <w:ilvl w:val="0"/>
          <w:numId w:val="38"/>
        </w:numPr>
        <w:overflowPunct w:val="0"/>
        <w:spacing w:afterLines="50" w:after="120" w:line="340" w:lineRule="atLeast"/>
        <w:ind w:left="1134" w:hanging="567"/>
        <w:jc w:val="both"/>
        <w:rPr>
          <w:rFonts w:ascii="SimSun" w:hAnsi="SimSun"/>
          <w:sz w:val="21"/>
        </w:rPr>
      </w:pPr>
      <w:r w:rsidRPr="00943062">
        <w:rPr>
          <w:rFonts w:ascii="SimSun" w:hAnsi="SimSun" w:hint="eastAsia"/>
          <w:sz w:val="21"/>
        </w:rPr>
        <w:t>在财政期间结束之后，如果任何联盟有收入盈余，应将此类盈余记入储备基金，大会或有关联盟的大会另有决定除外。</w:t>
      </w:r>
      <w:r w:rsidR="00132D21" w:rsidRPr="00086957">
        <w:rPr>
          <w:rFonts w:ascii="KaiTi" w:eastAsia="KaiTi" w:hAnsi="KaiTi" w:hint="eastAsia"/>
          <w:i/>
          <w:sz w:val="21"/>
        </w:rPr>
        <w:t>(</w:t>
      </w:r>
      <w:r w:rsidRPr="00086957">
        <w:rPr>
          <w:rFonts w:ascii="KaiTi" w:eastAsia="KaiTi" w:hAnsi="KaiTi" w:hint="eastAsia"/>
          <w:i/>
          <w:sz w:val="21"/>
        </w:rPr>
        <w:t>条例4.7</w:t>
      </w:r>
      <w:r w:rsidR="00132D21" w:rsidRPr="00086957">
        <w:rPr>
          <w:rFonts w:ascii="KaiTi" w:eastAsia="KaiTi" w:hAnsi="KaiTi" w:hint="eastAsia"/>
          <w:i/>
          <w:sz w:val="21"/>
        </w:rPr>
        <w:t>)</w:t>
      </w:r>
    </w:p>
    <w:p w:rsidR="00132D21" w:rsidRPr="00132D21" w:rsidRDefault="00ED334E" w:rsidP="00D07ECB">
      <w:pPr>
        <w:pStyle w:val="ONUME"/>
        <w:numPr>
          <w:ilvl w:val="0"/>
          <w:numId w:val="38"/>
        </w:numPr>
        <w:overflowPunct w:val="0"/>
        <w:spacing w:afterLines="50" w:after="120" w:line="340" w:lineRule="atLeast"/>
        <w:ind w:left="1134" w:hanging="567"/>
        <w:jc w:val="both"/>
        <w:rPr>
          <w:rFonts w:ascii="SimSun" w:hAnsi="SimSun"/>
          <w:sz w:val="21"/>
        </w:rPr>
      </w:pPr>
      <w:r w:rsidRPr="00132D21">
        <w:rPr>
          <w:rFonts w:ascii="SimSun" w:hAnsi="SimSun" w:hint="eastAsia"/>
          <w:sz w:val="21"/>
        </w:rPr>
        <w:t>根据马德里联盟大会的决定，并依据《马德里协定》第八条第(4)款的规定，马德里联盟收入超过支出的盈余分配给成员国。《</w:t>
      </w:r>
      <w:r w:rsidR="00DB48D9" w:rsidRPr="00132D21">
        <w:rPr>
          <w:rFonts w:ascii="SimSun" w:hAnsi="SimSun" w:hint="eastAsia"/>
          <w:sz w:val="21"/>
        </w:rPr>
        <w:t>马德里协定》和《议定书》第八条第(4)</w:t>
      </w:r>
      <w:proofErr w:type="gramStart"/>
      <w:r w:rsidR="00DB48D9" w:rsidRPr="00132D21">
        <w:rPr>
          <w:rFonts w:ascii="SimSun" w:hAnsi="SimSun" w:hint="eastAsia"/>
          <w:sz w:val="21"/>
        </w:rPr>
        <w:t>款关于</w:t>
      </w:r>
      <w:proofErr w:type="gramEnd"/>
      <w:r w:rsidR="00DB48D9" w:rsidRPr="00132D21">
        <w:rPr>
          <w:rFonts w:ascii="SimSun" w:hAnsi="SimSun" w:hint="eastAsia"/>
          <w:sz w:val="21"/>
        </w:rPr>
        <w:t>分配马德里联盟盈余的要求明确规定：“国际注册各项收费的年收入，除来源于</w:t>
      </w:r>
      <w:r w:rsidR="005322EA">
        <w:fldChar w:fldCharType="begin"/>
      </w:r>
      <w:r w:rsidR="005322EA">
        <w:instrText xml:space="preserve"> HYPERLINK "http://www.wipo.int/madrid/en/legal_texts/trtdocs_wo016.html" \l "P122_23223" </w:instrText>
      </w:r>
      <w:r w:rsidR="005322EA">
        <w:fldChar w:fldCharType="separate"/>
      </w:r>
      <w:r w:rsidR="00DB48D9" w:rsidRPr="004F02C3">
        <w:rPr>
          <w:rStyle w:val="ac"/>
          <w:rFonts w:asciiTheme="minorEastAsia" w:eastAsiaTheme="minorEastAsia" w:hAnsiTheme="minorEastAsia" w:hint="eastAsia"/>
          <w:sz w:val="21"/>
          <w:szCs w:val="21"/>
        </w:rPr>
        <w:t>第(2)款(ii)</w:t>
      </w:r>
      <w:r w:rsidR="005322EA">
        <w:rPr>
          <w:rStyle w:val="ac"/>
          <w:rFonts w:asciiTheme="minorEastAsia" w:eastAsiaTheme="minorEastAsia" w:hAnsiTheme="minorEastAsia"/>
          <w:sz w:val="21"/>
          <w:szCs w:val="21"/>
        </w:rPr>
        <w:fldChar w:fldCharType="end"/>
      </w:r>
      <w:r w:rsidR="00DB48D9" w:rsidRPr="004F02C3">
        <w:rPr>
          <w:rFonts w:asciiTheme="minorEastAsia" w:eastAsiaTheme="minorEastAsia" w:hAnsiTheme="minorEastAsia" w:hint="eastAsia"/>
          <w:sz w:val="21"/>
          <w:szCs w:val="21"/>
        </w:rPr>
        <w:t>和</w:t>
      </w:r>
      <w:r w:rsidR="005322EA">
        <w:fldChar w:fldCharType="begin"/>
      </w:r>
      <w:r w:rsidR="005322EA">
        <w:instrText xml:space="preserve"> HYPERLINK "http://www.wipo.int/madrid/en/legal_texts/trtdocs_wo016.html" \l "P123_23385" </w:instrText>
      </w:r>
      <w:r w:rsidR="005322EA">
        <w:fldChar w:fldCharType="separate"/>
      </w:r>
      <w:r w:rsidR="00DB48D9" w:rsidRPr="004F02C3">
        <w:rPr>
          <w:rStyle w:val="ac"/>
          <w:rFonts w:asciiTheme="minorEastAsia" w:eastAsiaTheme="minorEastAsia" w:hAnsiTheme="minorEastAsia" w:hint="eastAsia"/>
          <w:sz w:val="21"/>
          <w:szCs w:val="21"/>
        </w:rPr>
        <w:t>(iii)</w:t>
      </w:r>
      <w:r w:rsidR="005322EA">
        <w:rPr>
          <w:rStyle w:val="ac"/>
          <w:rFonts w:asciiTheme="minorEastAsia" w:eastAsiaTheme="minorEastAsia" w:hAnsiTheme="minorEastAsia"/>
          <w:sz w:val="21"/>
          <w:szCs w:val="21"/>
        </w:rPr>
        <w:fldChar w:fldCharType="end"/>
      </w:r>
      <w:r w:rsidR="00DB48D9" w:rsidRPr="004F02C3">
        <w:rPr>
          <w:rFonts w:asciiTheme="minorEastAsia" w:eastAsiaTheme="minorEastAsia" w:hAnsiTheme="minorEastAsia" w:hint="eastAsia"/>
          <w:sz w:val="21"/>
          <w:szCs w:val="21"/>
        </w:rPr>
        <w:t>所指</w:t>
      </w:r>
      <w:r w:rsidR="00DB48D9" w:rsidRPr="00132D21">
        <w:rPr>
          <w:rFonts w:ascii="SimSun" w:hAnsi="SimSun" w:hint="eastAsia"/>
          <w:sz w:val="21"/>
        </w:rPr>
        <w:t>的费用收入外，经扣除执行本议定书所需的各项费用开支，应由国际局负责在本议定书参加方之间平均分配。”</w:t>
      </w:r>
    </w:p>
    <w:p w:rsidR="00C52783" w:rsidRPr="00132D21" w:rsidRDefault="00617870" w:rsidP="00D07ECB">
      <w:pPr>
        <w:pStyle w:val="ONUME"/>
        <w:numPr>
          <w:ilvl w:val="0"/>
          <w:numId w:val="38"/>
        </w:numPr>
        <w:overflowPunct w:val="0"/>
        <w:spacing w:afterLines="50" w:after="120" w:line="340" w:lineRule="atLeast"/>
        <w:ind w:left="1134" w:hanging="567"/>
        <w:jc w:val="both"/>
        <w:rPr>
          <w:rFonts w:ascii="SimSun" w:hAnsi="SimSun"/>
          <w:sz w:val="21"/>
        </w:rPr>
      </w:pPr>
      <w:r w:rsidRPr="00132D21">
        <w:rPr>
          <w:rFonts w:ascii="SimSun" w:hAnsi="SimSun" w:hint="eastAsia"/>
          <w:sz w:val="21"/>
        </w:rPr>
        <w:t>按此规定，尽管其他所有联盟产生的盈余将自动作为本组织RWCF一部分得到留存，但与马德里联盟有关的盈余被支付给成员国，除非成员国另有决定。</w:t>
      </w:r>
    </w:p>
    <w:p w:rsidR="00C52783" w:rsidRPr="00E414BF" w:rsidRDefault="005C13EC" w:rsidP="00D07ECB">
      <w:pPr>
        <w:pStyle w:val="ONUME"/>
        <w:numPr>
          <w:ilvl w:val="0"/>
          <w:numId w:val="38"/>
        </w:numPr>
        <w:overflowPunct w:val="0"/>
        <w:spacing w:afterLines="50" w:after="120" w:line="340" w:lineRule="atLeast"/>
        <w:ind w:left="1134" w:hanging="567"/>
        <w:jc w:val="both"/>
        <w:rPr>
          <w:rFonts w:ascii="SimSun" w:hAnsi="SimSun"/>
          <w:sz w:val="21"/>
        </w:rPr>
      </w:pPr>
      <w:r w:rsidRPr="00943062">
        <w:rPr>
          <w:rFonts w:ascii="SimSun" w:hAnsi="SimSun" w:hint="eastAsia"/>
          <w:sz w:val="21"/>
        </w:rPr>
        <w:t>在财政期间结束之后，如果任何联盟有储备基金无法支付的赤字，应视具体情况由WIPO大会或有关联盟的大会对补救这一财务状况的措施</w:t>
      </w:r>
      <w:proofErr w:type="gramStart"/>
      <w:r w:rsidRPr="00943062">
        <w:rPr>
          <w:rFonts w:ascii="SimSun" w:hAnsi="SimSun" w:hint="eastAsia"/>
          <w:sz w:val="21"/>
        </w:rPr>
        <w:t>作出</w:t>
      </w:r>
      <w:proofErr w:type="gramEnd"/>
      <w:r w:rsidRPr="00943062">
        <w:rPr>
          <w:rFonts w:ascii="SimSun" w:hAnsi="SimSun" w:hint="eastAsia"/>
          <w:sz w:val="21"/>
        </w:rPr>
        <w:t>决</w:t>
      </w:r>
      <w:r w:rsidR="00617870" w:rsidRPr="00943062">
        <w:rPr>
          <w:rFonts w:ascii="SimSun" w:hAnsi="SimSun" w:hint="eastAsia"/>
          <w:sz w:val="21"/>
        </w:rPr>
        <w:t>定</w:t>
      </w:r>
      <w:r w:rsidR="00B33A19">
        <w:rPr>
          <w:rFonts w:ascii="SimSun" w:hAnsi="SimSun" w:hint="eastAsia"/>
          <w:sz w:val="21"/>
        </w:rPr>
        <w:t>。</w:t>
      </w:r>
      <w:r w:rsidR="00617870" w:rsidRPr="00086957">
        <w:rPr>
          <w:rFonts w:ascii="KaiTi" w:eastAsia="KaiTi" w:hAnsi="KaiTi" w:hint="eastAsia"/>
          <w:i/>
          <w:sz w:val="21"/>
        </w:rPr>
        <w:t>(条例4.8)</w:t>
      </w:r>
    </w:p>
    <w:p w:rsidR="00C52783" w:rsidRPr="00943062" w:rsidRDefault="005C13EC" w:rsidP="00D07ECB">
      <w:pPr>
        <w:pStyle w:val="ONUME"/>
        <w:numPr>
          <w:ilvl w:val="0"/>
          <w:numId w:val="38"/>
        </w:numPr>
        <w:overflowPunct w:val="0"/>
        <w:spacing w:afterLines="50" w:after="120" w:line="340" w:lineRule="atLeast"/>
        <w:ind w:left="1134" w:hanging="567"/>
        <w:jc w:val="both"/>
        <w:rPr>
          <w:rFonts w:ascii="SimSun" w:hAnsi="SimSun"/>
          <w:sz w:val="21"/>
        </w:rPr>
      </w:pPr>
      <w:r w:rsidRPr="00943062">
        <w:rPr>
          <w:rFonts w:ascii="SimSun" w:hAnsi="SimSun" w:hint="eastAsia"/>
          <w:sz w:val="21"/>
        </w:rPr>
        <w:t>应设立本组织的</w:t>
      </w:r>
      <w:r w:rsidRPr="00911519">
        <w:rPr>
          <w:rFonts w:ascii="SimHei" w:eastAsia="SimHei" w:hAnsi="SimHei" w:hint="eastAsia"/>
          <w:sz w:val="21"/>
        </w:rPr>
        <w:t>周转基金</w:t>
      </w:r>
      <w:r w:rsidRPr="00943062">
        <w:rPr>
          <w:rFonts w:ascii="SimSun" w:hAnsi="SimSun" w:hint="eastAsia"/>
          <w:sz w:val="21"/>
        </w:rPr>
        <w:t>和巴黎、伯尔尼、马德里、海牙、IPC、尼斯、PCT、里斯本、</w:t>
      </w:r>
      <w:proofErr w:type="gramStart"/>
      <w:r w:rsidRPr="00943062">
        <w:rPr>
          <w:rFonts w:ascii="SimSun" w:hAnsi="SimSun" w:hint="eastAsia"/>
          <w:sz w:val="21"/>
        </w:rPr>
        <w:t>洛迦</w:t>
      </w:r>
      <w:proofErr w:type="gramEnd"/>
      <w:r w:rsidRPr="00943062">
        <w:rPr>
          <w:rFonts w:ascii="SimSun" w:hAnsi="SimSun" w:hint="eastAsia"/>
          <w:sz w:val="21"/>
        </w:rPr>
        <w:t>诺和维也纳各联盟的</w:t>
      </w:r>
      <w:r w:rsidRPr="00CD1435">
        <w:rPr>
          <w:rFonts w:ascii="SimHei" w:eastAsia="SimHei" w:hAnsi="SimHei" w:hint="eastAsia"/>
          <w:sz w:val="21"/>
        </w:rPr>
        <w:t>周转基金</w:t>
      </w:r>
      <w:r w:rsidRPr="00943062">
        <w:rPr>
          <w:rFonts w:ascii="SimSun" w:hAnsi="SimSun" w:hint="eastAsia"/>
          <w:sz w:val="21"/>
        </w:rPr>
        <w:t>，其数额由成员国大会和各联盟的大会就各自所涉事宜决定。</w:t>
      </w:r>
      <w:r w:rsidR="000B7A0E" w:rsidRPr="00086957">
        <w:rPr>
          <w:rFonts w:ascii="KaiTi" w:eastAsia="KaiTi" w:hAnsi="KaiTi" w:hint="eastAsia"/>
          <w:i/>
          <w:sz w:val="21"/>
        </w:rPr>
        <w:t>(</w:t>
      </w:r>
      <w:r w:rsidRPr="00086957">
        <w:rPr>
          <w:rFonts w:ascii="KaiTi" w:eastAsia="KaiTi" w:hAnsi="KaiTi" w:hint="eastAsia"/>
          <w:i/>
          <w:sz w:val="21"/>
        </w:rPr>
        <w:t>条例4.2</w:t>
      </w:r>
      <w:r w:rsidR="000B7A0E" w:rsidRPr="00086957">
        <w:rPr>
          <w:rFonts w:ascii="KaiTi" w:eastAsia="KaiTi" w:hAnsi="KaiTi" w:hint="eastAsia"/>
          <w:i/>
          <w:sz w:val="21"/>
        </w:rPr>
        <w:t>)</w:t>
      </w:r>
    </w:p>
    <w:p w:rsidR="00C52783" w:rsidRPr="00E414BF" w:rsidRDefault="005C13EC" w:rsidP="00E414BF">
      <w:pPr>
        <w:keepNext/>
        <w:spacing w:beforeLines="100" w:before="240" w:afterLines="50" w:after="120" w:line="340" w:lineRule="atLeast"/>
        <w:rPr>
          <w:rFonts w:ascii="SimHei" w:eastAsia="SimHei" w:hAnsi="SimHei"/>
          <w:sz w:val="21"/>
        </w:rPr>
      </w:pPr>
      <w:r w:rsidRPr="00E414BF">
        <w:rPr>
          <w:rFonts w:ascii="SimHei" w:eastAsia="SimHei" w:hAnsi="SimHei" w:hint="eastAsia"/>
          <w:sz w:val="21"/>
        </w:rPr>
        <w:t>二、WIPO的储备金政策</w:t>
      </w:r>
    </w:p>
    <w:p w:rsidR="00C52783" w:rsidRPr="009C1B93" w:rsidRDefault="005C13EC" w:rsidP="009C1B93">
      <w:pPr>
        <w:pStyle w:val="ONUME"/>
        <w:numPr>
          <w:ilvl w:val="0"/>
          <w:numId w:val="19"/>
        </w:numPr>
        <w:overflowPunct w:val="0"/>
        <w:spacing w:afterLines="50" w:after="120" w:line="340" w:lineRule="atLeast"/>
        <w:ind w:left="0" w:firstLine="0"/>
        <w:jc w:val="both"/>
        <w:rPr>
          <w:rFonts w:ascii="SimSun" w:hAnsi="SimSun"/>
          <w:sz w:val="21"/>
        </w:rPr>
      </w:pPr>
      <w:r w:rsidRPr="009C1B93">
        <w:rPr>
          <w:rFonts w:ascii="SimSun" w:hAnsi="SimSun" w:hint="eastAsia"/>
          <w:sz w:val="21"/>
        </w:rPr>
        <w:t>上</w:t>
      </w:r>
      <w:r w:rsidR="00CA0DD1" w:rsidRPr="009C1B93">
        <w:rPr>
          <w:rFonts w:ascii="SimSun" w:hAnsi="SimSun" w:hint="eastAsia"/>
          <w:sz w:val="21"/>
        </w:rPr>
        <w:t>文</w:t>
      </w:r>
      <w:r w:rsidRPr="009C1B93">
        <w:rPr>
          <w:rFonts w:ascii="SimSun" w:hAnsi="SimSun" w:hint="eastAsia"/>
          <w:sz w:val="21"/>
        </w:rPr>
        <w:t>给出了本组织RWCF</w:t>
      </w:r>
      <w:r w:rsidR="00E071F1">
        <w:rPr>
          <w:rFonts w:ascii="SimSun" w:hAnsi="SimSun" w:hint="eastAsia"/>
          <w:sz w:val="21"/>
        </w:rPr>
        <w:t>的明确</w:t>
      </w:r>
      <w:r w:rsidRPr="009C1B93">
        <w:rPr>
          <w:rFonts w:ascii="SimSun" w:hAnsi="SimSun" w:hint="eastAsia"/>
          <w:sz w:val="21"/>
        </w:rPr>
        <w:t>定义</w:t>
      </w:r>
      <w:r w:rsidR="00CA0DD1" w:rsidRPr="009C1B93">
        <w:rPr>
          <w:rFonts w:ascii="SimSun" w:hAnsi="SimSun" w:hint="eastAsia"/>
          <w:sz w:val="21"/>
        </w:rPr>
        <w:t>，</w:t>
      </w:r>
      <w:r w:rsidR="00E66589" w:rsidRPr="009C1B93">
        <w:rPr>
          <w:rFonts w:ascii="SimSun" w:hAnsi="SimSun" w:hint="eastAsia"/>
          <w:sz w:val="21"/>
        </w:rPr>
        <w:t>除此以外，WIPO执行着明确的储备金政策，是成员国在2000年通过的(请参见文件A/35/15和A/35/6)，它规定了本组织必要的RWCF水平，以及若干其他核心政策考虑。</w:t>
      </w:r>
      <w:r w:rsidR="00463BA9" w:rsidRPr="009C1B93">
        <w:rPr>
          <w:rFonts w:ascii="SimSun" w:hAnsi="SimSun" w:hint="eastAsia"/>
          <w:sz w:val="21"/>
        </w:rPr>
        <w:t>该政策仍然有效，是本组织有效财务管理牢固、有用的基</w:t>
      </w:r>
      <w:r w:rsidR="00463BA9" w:rsidRPr="00E414BF">
        <w:rPr>
          <w:rFonts w:ascii="SimSun" w:hAnsi="SimSun" w:hint="eastAsia"/>
          <w:sz w:val="21"/>
        </w:rPr>
        <w:t>础，尽管如此，</w:t>
      </w:r>
      <w:r w:rsidR="00463BA9" w:rsidRPr="009C1B93">
        <w:rPr>
          <w:rFonts w:ascii="SimSun" w:hAnsi="SimSun" w:hint="eastAsia"/>
          <w:sz w:val="21"/>
        </w:rPr>
        <w:t>计划和预算委员会在2014年9月举行的第二十二届会议上，审议了WIPO的财务情况及其与储备</w:t>
      </w:r>
      <w:proofErr w:type="gramStart"/>
      <w:r w:rsidR="00463BA9" w:rsidRPr="009C1B93">
        <w:rPr>
          <w:rFonts w:ascii="SimSun" w:hAnsi="SimSun" w:hint="eastAsia"/>
          <w:sz w:val="21"/>
        </w:rPr>
        <w:t>金有关</w:t>
      </w:r>
      <w:proofErr w:type="gramEnd"/>
      <w:r w:rsidR="00463BA9" w:rsidRPr="009C1B93">
        <w:rPr>
          <w:rFonts w:ascii="SimSun" w:hAnsi="SimSun" w:hint="eastAsia"/>
          <w:sz w:val="21"/>
        </w:rPr>
        <w:t>的政策，要求秘书处考虑成员国的评论指导和各审计监督机构的有关建议，向PBC提交一份全面的政策提案，其中包括净资产目标设定、流动性考虑和超出目标水平的可用盈余的管理、使用和报告</w:t>
      </w:r>
      <w:r w:rsidR="00835827" w:rsidRPr="009C1B93">
        <w:rPr>
          <w:rFonts w:ascii="SimSun" w:hAnsi="SimSun" w:hint="eastAsia"/>
          <w:sz w:val="21"/>
        </w:rPr>
        <w:t>。</w:t>
      </w:r>
      <w:r w:rsidRPr="009C1B93">
        <w:rPr>
          <w:rFonts w:ascii="SimSun" w:hAnsi="SimSun" w:hint="eastAsia"/>
          <w:sz w:val="21"/>
        </w:rPr>
        <w:t>本文件</w:t>
      </w:r>
      <w:r w:rsidR="000275C8" w:rsidRPr="009C1B93">
        <w:rPr>
          <w:rFonts w:ascii="SimSun" w:hAnsi="SimSun" w:hint="eastAsia"/>
          <w:sz w:val="21"/>
        </w:rPr>
        <w:t>编写时</w:t>
      </w:r>
      <w:r w:rsidR="00835827" w:rsidRPr="009C1B93">
        <w:rPr>
          <w:rFonts w:ascii="SimSun" w:hAnsi="SimSun" w:hint="eastAsia"/>
          <w:sz w:val="21"/>
        </w:rPr>
        <w:t>即依据成员国在PBC第二十二届会议</w:t>
      </w:r>
      <w:r w:rsidR="00EB4F8F">
        <w:rPr>
          <w:rFonts w:ascii="SimSun" w:hAnsi="SimSun" w:hint="eastAsia"/>
          <w:sz w:val="21"/>
        </w:rPr>
        <w:t>上</w:t>
      </w:r>
      <w:r w:rsidR="00835827" w:rsidRPr="009C1B93">
        <w:rPr>
          <w:rFonts w:ascii="SimSun" w:hAnsi="SimSun" w:hint="eastAsia"/>
          <w:sz w:val="21"/>
        </w:rPr>
        <w:t>围绕文件WO</w:t>
      </w:r>
      <w:r w:rsidR="001D15A0">
        <w:rPr>
          <w:rFonts w:ascii="SimSun" w:hAnsi="SimSun" w:hint="eastAsia"/>
          <w:sz w:val="21"/>
        </w:rPr>
        <w:t>/</w:t>
      </w:r>
      <w:r w:rsidR="00835827" w:rsidRPr="009C1B93">
        <w:rPr>
          <w:rFonts w:ascii="SimSun" w:hAnsi="SimSun" w:hint="eastAsia"/>
          <w:sz w:val="21"/>
        </w:rPr>
        <w:t>PBC/22/28所</w:t>
      </w:r>
      <w:r w:rsidR="00EB4F8F">
        <w:rPr>
          <w:rFonts w:ascii="SimSun" w:hAnsi="SimSun" w:hint="eastAsia"/>
          <w:sz w:val="21"/>
        </w:rPr>
        <w:t>进行</w:t>
      </w:r>
      <w:r w:rsidRPr="009C1B93">
        <w:rPr>
          <w:rFonts w:ascii="SimSun" w:hAnsi="SimSun" w:hint="eastAsia"/>
          <w:sz w:val="21"/>
        </w:rPr>
        <w:t>的讨论</w:t>
      </w:r>
      <w:r w:rsidR="00835827" w:rsidRPr="009C1B93">
        <w:rPr>
          <w:rFonts w:ascii="SimSun" w:hAnsi="SimSun" w:hint="eastAsia"/>
          <w:sz w:val="21"/>
        </w:rPr>
        <w:t>。</w:t>
      </w:r>
    </w:p>
    <w:p w:rsidR="00C52783" w:rsidRPr="009C1B93" w:rsidRDefault="00AE3C04" w:rsidP="009C1B93">
      <w:pPr>
        <w:pStyle w:val="ONUME"/>
        <w:numPr>
          <w:ilvl w:val="0"/>
          <w:numId w:val="19"/>
        </w:numPr>
        <w:overflowPunct w:val="0"/>
        <w:spacing w:afterLines="50" w:after="120" w:line="340" w:lineRule="atLeast"/>
        <w:ind w:left="0" w:firstLine="0"/>
        <w:jc w:val="both"/>
        <w:rPr>
          <w:rFonts w:ascii="SimSun" w:hAnsi="SimSun"/>
          <w:sz w:val="21"/>
        </w:rPr>
      </w:pPr>
      <w:r w:rsidRPr="009C1B93">
        <w:rPr>
          <w:rFonts w:ascii="SimSun" w:hAnsi="SimSun" w:hint="eastAsia"/>
          <w:sz w:val="21"/>
        </w:rPr>
        <w:lastRenderedPageBreak/>
        <w:t>下文进一步说明了经修订的储备</w:t>
      </w:r>
      <w:proofErr w:type="gramStart"/>
      <w:r w:rsidRPr="009C1B93">
        <w:rPr>
          <w:rFonts w:ascii="SimSun" w:hAnsi="SimSun" w:hint="eastAsia"/>
          <w:sz w:val="21"/>
        </w:rPr>
        <w:t>金政策</w:t>
      </w:r>
      <w:proofErr w:type="gramEnd"/>
      <w:r w:rsidRPr="009C1B93">
        <w:rPr>
          <w:rFonts w:ascii="SimSun" w:hAnsi="SimSun" w:hint="eastAsia"/>
          <w:sz w:val="21"/>
        </w:rPr>
        <w:t>的</w:t>
      </w:r>
      <w:r w:rsidR="00D258BB" w:rsidRPr="009C1B93">
        <w:rPr>
          <w:rFonts w:ascii="SimSun" w:hAnsi="SimSun" w:hint="eastAsia"/>
          <w:sz w:val="21"/>
        </w:rPr>
        <w:t>各项</w:t>
      </w:r>
      <w:r w:rsidR="005C13EC" w:rsidRPr="009C1B93">
        <w:rPr>
          <w:rFonts w:ascii="SimSun" w:hAnsi="SimSun" w:hint="eastAsia"/>
          <w:sz w:val="21"/>
        </w:rPr>
        <w:t>核心要素</w:t>
      </w:r>
      <w:r w:rsidRPr="009C1B93">
        <w:rPr>
          <w:rFonts w:ascii="SimSun" w:hAnsi="SimSun" w:hint="eastAsia"/>
          <w:sz w:val="21"/>
        </w:rPr>
        <w:t>，具体如下：</w:t>
      </w:r>
    </w:p>
    <w:p w:rsidR="00C52783" w:rsidRPr="00943062" w:rsidRDefault="001C5192" w:rsidP="00D07ECB">
      <w:pPr>
        <w:pStyle w:val="ONUME"/>
        <w:numPr>
          <w:ilvl w:val="0"/>
          <w:numId w:val="39"/>
        </w:numPr>
        <w:overflowPunct w:val="0"/>
        <w:spacing w:afterLines="50" w:after="120" w:line="340" w:lineRule="atLeast"/>
        <w:ind w:left="1134" w:hanging="567"/>
        <w:jc w:val="both"/>
        <w:rPr>
          <w:rFonts w:ascii="SimSun" w:hAnsi="SimSun"/>
          <w:sz w:val="21"/>
        </w:rPr>
      </w:pPr>
      <w:r w:rsidRPr="00943062">
        <w:rPr>
          <w:rFonts w:ascii="SimSun" w:hAnsi="SimSun" w:hint="eastAsia"/>
          <w:sz w:val="21"/>
        </w:rPr>
        <w:t>WIPO在储备金和周转基金之间保持会计上的明确区分，并为各项周转基金保持各自的所有权安排；</w:t>
      </w:r>
    </w:p>
    <w:p w:rsidR="00C52783" w:rsidRPr="00E414BF" w:rsidRDefault="008D2FD1" w:rsidP="00D07ECB">
      <w:pPr>
        <w:pStyle w:val="ONUME"/>
        <w:numPr>
          <w:ilvl w:val="0"/>
          <w:numId w:val="39"/>
        </w:numPr>
        <w:overflowPunct w:val="0"/>
        <w:spacing w:afterLines="50" w:after="120" w:line="340" w:lineRule="atLeast"/>
        <w:ind w:left="1134" w:hanging="567"/>
        <w:jc w:val="both"/>
        <w:rPr>
          <w:rFonts w:ascii="SimSun" w:hAnsi="SimSun"/>
          <w:sz w:val="21"/>
        </w:rPr>
      </w:pPr>
      <w:r w:rsidRPr="00943062">
        <w:rPr>
          <w:rFonts w:ascii="SimSun" w:hAnsi="SimSun" w:hint="eastAsia"/>
          <w:sz w:val="21"/>
        </w:rPr>
        <w:t>包括周转基金在内的</w:t>
      </w:r>
      <w:r w:rsidR="005C13EC" w:rsidRPr="00943062">
        <w:rPr>
          <w:rFonts w:ascii="SimSun" w:hAnsi="SimSun" w:hint="eastAsia"/>
          <w:sz w:val="21"/>
        </w:rPr>
        <w:t>储备金</w:t>
      </w:r>
      <w:r w:rsidRPr="00943062">
        <w:rPr>
          <w:rFonts w:ascii="SimSun" w:hAnsi="SimSun" w:hint="eastAsia"/>
          <w:sz w:val="21"/>
        </w:rPr>
        <w:t>的</w:t>
      </w:r>
      <w:r w:rsidR="005C13EC" w:rsidRPr="00943062">
        <w:rPr>
          <w:rFonts w:ascii="SimSun" w:hAnsi="SimSun" w:hint="eastAsia"/>
          <w:sz w:val="21"/>
        </w:rPr>
        <w:t>目标水平</w:t>
      </w:r>
      <w:r w:rsidRPr="00943062">
        <w:rPr>
          <w:rFonts w:ascii="SimSun" w:hAnsi="SimSun" w:hint="eastAsia"/>
          <w:sz w:val="21"/>
        </w:rPr>
        <w:t>，</w:t>
      </w:r>
      <w:r w:rsidR="005C13EC" w:rsidRPr="00943062">
        <w:rPr>
          <w:rFonts w:ascii="SimSun" w:hAnsi="SimSun" w:hint="eastAsia"/>
          <w:sz w:val="21"/>
        </w:rPr>
        <w:t>在联盟一级规定</w:t>
      </w:r>
      <w:r w:rsidRPr="00943062">
        <w:rPr>
          <w:rFonts w:ascii="SimSun" w:hAnsi="SimSun" w:hint="eastAsia"/>
          <w:sz w:val="21"/>
        </w:rPr>
        <w:t>，</w:t>
      </w:r>
      <w:r w:rsidR="005C13EC" w:rsidRPr="00943062">
        <w:rPr>
          <w:rFonts w:ascii="SimSun" w:hAnsi="SimSun" w:hint="eastAsia"/>
          <w:sz w:val="21"/>
        </w:rPr>
        <w:t>计算依据是各联盟两年期支出概算的百分比</w:t>
      </w:r>
      <w:r w:rsidRPr="00943062">
        <w:rPr>
          <w:rFonts w:ascii="SimSun" w:hAnsi="SimSun" w:hint="eastAsia"/>
          <w:sz w:val="21"/>
        </w:rPr>
        <w:t>(“</w:t>
      </w:r>
      <w:r w:rsidR="005C13EC" w:rsidRPr="00943062">
        <w:rPr>
          <w:rFonts w:ascii="SimSun" w:hAnsi="SimSun" w:hint="eastAsia"/>
          <w:sz w:val="21"/>
        </w:rPr>
        <w:t>PBE系数</w:t>
      </w:r>
      <w:r w:rsidRPr="00943062">
        <w:rPr>
          <w:rFonts w:ascii="SimSun" w:hAnsi="SimSun" w:hint="eastAsia"/>
          <w:sz w:val="21"/>
        </w:rPr>
        <w:t>”)，</w:t>
      </w:r>
      <w:r w:rsidR="005C13EC" w:rsidRPr="00943062">
        <w:rPr>
          <w:rFonts w:ascii="SimSun" w:hAnsi="SimSun" w:hint="eastAsia"/>
          <w:sz w:val="21"/>
        </w:rPr>
        <w:t>并在本组织预算程序中提出</w:t>
      </w:r>
      <w:r w:rsidRPr="00943062">
        <w:rPr>
          <w:rFonts w:ascii="SimSun" w:hAnsi="SimSun" w:hint="eastAsia"/>
          <w:sz w:val="21"/>
        </w:rPr>
        <w:t>；</w:t>
      </w:r>
    </w:p>
    <w:p w:rsidR="00C52783" w:rsidRPr="00943062" w:rsidRDefault="002E1912" w:rsidP="00D07ECB">
      <w:pPr>
        <w:pStyle w:val="ONUME"/>
        <w:numPr>
          <w:ilvl w:val="0"/>
          <w:numId w:val="39"/>
        </w:numPr>
        <w:overflowPunct w:val="0"/>
        <w:spacing w:afterLines="50" w:after="120" w:line="340" w:lineRule="atLeast"/>
        <w:ind w:left="1134" w:hanging="567"/>
        <w:jc w:val="both"/>
        <w:rPr>
          <w:rFonts w:ascii="SimSun" w:hAnsi="SimSun"/>
          <w:sz w:val="21"/>
        </w:rPr>
      </w:pPr>
      <w:r>
        <w:rPr>
          <w:rFonts w:ascii="SimSun" w:hAnsi="SimSun" w:hint="eastAsia"/>
          <w:sz w:val="21"/>
        </w:rPr>
        <w:t>包括周转基金在内的储备金的目标水平，尽可能以现金持有</w:t>
      </w:r>
      <w:r w:rsidR="00FA6287" w:rsidRPr="00943062">
        <w:rPr>
          <w:rFonts w:ascii="SimSun" w:hAnsi="SimSun" w:hint="eastAsia"/>
          <w:sz w:val="21"/>
        </w:rPr>
        <w:t>，或者根据现行的投资政策，</w:t>
      </w:r>
      <w:r w:rsidR="00954112" w:rsidRPr="00943062">
        <w:rPr>
          <w:rFonts w:ascii="SimSun" w:hAnsi="SimSun" w:hint="eastAsia"/>
          <w:sz w:val="21"/>
        </w:rPr>
        <w:t>以较低的成本或零成本，以在短期内</w:t>
      </w:r>
      <w:r>
        <w:rPr>
          <w:rFonts w:ascii="SimSun" w:hAnsi="SimSun" w:hint="eastAsia"/>
          <w:sz w:val="21"/>
        </w:rPr>
        <w:t>能够变现</w:t>
      </w:r>
      <w:r w:rsidR="00954112" w:rsidRPr="00943062">
        <w:rPr>
          <w:rFonts w:ascii="SimSun" w:hAnsi="SimSun" w:hint="eastAsia"/>
          <w:sz w:val="21"/>
        </w:rPr>
        <w:t>的投资</w:t>
      </w:r>
      <w:r w:rsidR="00643B81">
        <w:rPr>
          <w:rFonts w:ascii="SimSun" w:hAnsi="SimSun" w:hint="eastAsia"/>
          <w:sz w:val="21"/>
        </w:rPr>
        <w:t>持有</w:t>
      </w:r>
      <w:r w:rsidR="00954112" w:rsidRPr="00943062">
        <w:rPr>
          <w:rFonts w:ascii="SimSun" w:hAnsi="SimSun" w:hint="eastAsia"/>
          <w:sz w:val="21"/>
        </w:rPr>
        <w:t>；</w:t>
      </w:r>
    </w:p>
    <w:p w:rsidR="00C52783" w:rsidRPr="00943062" w:rsidRDefault="00F97E8A" w:rsidP="00D07ECB">
      <w:pPr>
        <w:pStyle w:val="ONUME"/>
        <w:numPr>
          <w:ilvl w:val="0"/>
          <w:numId w:val="39"/>
        </w:numPr>
        <w:overflowPunct w:val="0"/>
        <w:spacing w:afterLines="50" w:after="120" w:line="340" w:lineRule="atLeast"/>
        <w:ind w:left="1134" w:hanging="567"/>
        <w:jc w:val="both"/>
        <w:rPr>
          <w:rFonts w:ascii="SimSun" w:hAnsi="SimSun"/>
          <w:sz w:val="21"/>
        </w:rPr>
      </w:pPr>
      <w:r w:rsidRPr="00943062">
        <w:rPr>
          <w:rFonts w:ascii="SimSun" w:hAnsi="SimSun" w:hint="eastAsia"/>
          <w:sz w:val="21"/>
        </w:rPr>
        <w:t>成员国和总干事可以</w:t>
      </w:r>
      <w:r w:rsidR="001471F5">
        <w:rPr>
          <w:rFonts w:ascii="SimSun" w:hAnsi="SimSun" w:hint="eastAsia"/>
          <w:sz w:val="21"/>
        </w:rPr>
        <w:t>提请</w:t>
      </w:r>
      <w:r w:rsidRPr="00943062">
        <w:rPr>
          <w:rFonts w:ascii="SimSun" w:hAnsi="SimSun" w:hint="eastAsia"/>
          <w:sz w:val="21"/>
        </w:rPr>
        <w:t>批准由可用盈余供资的项目活动。计算可用盈余时不包括重估储备金盈余(产生于新楼建成后对地皮的重新估价</w:t>
      </w:r>
      <w:r w:rsidR="00622E29">
        <w:rPr>
          <w:rFonts w:ascii="SimSun" w:hAnsi="SimSun" w:hint="eastAsia"/>
          <w:sz w:val="21"/>
        </w:rPr>
        <w:t>)</w:t>
      </w:r>
      <w:r w:rsidRPr="00943062">
        <w:rPr>
          <w:rFonts w:ascii="SimSun" w:hAnsi="SimSun" w:hint="eastAsia"/>
          <w:sz w:val="21"/>
        </w:rPr>
        <w:t>，也不包括</w:t>
      </w:r>
      <w:r w:rsidR="00D258BB" w:rsidRPr="00943062">
        <w:rPr>
          <w:rFonts w:ascii="SimSun" w:hAnsi="SimSun" w:hint="eastAsia"/>
          <w:sz w:val="21"/>
        </w:rPr>
        <w:t>周转基金(</w:t>
      </w:r>
      <w:r w:rsidR="009050F7">
        <w:rPr>
          <w:rFonts w:ascii="SimSun" w:hAnsi="SimSun" w:hint="eastAsia"/>
          <w:sz w:val="21"/>
        </w:rPr>
        <w:t>根据各联盟大会所作决定由</w:t>
      </w:r>
      <w:r w:rsidR="00D258BB" w:rsidRPr="00943062">
        <w:rPr>
          <w:rFonts w:ascii="SimSun" w:hAnsi="SimSun" w:hint="eastAsia"/>
          <w:sz w:val="21"/>
        </w:rPr>
        <w:t>成员国的会费设立，并</w:t>
      </w:r>
      <w:r w:rsidR="00E86A77" w:rsidRPr="00943062">
        <w:rPr>
          <w:rFonts w:ascii="SimSun" w:hAnsi="SimSun" w:hint="eastAsia"/>
          <w:sz w:val="21"/>
        </w:rPr>
        <w:t>由</w:t>
      </w:r>
      <w:r w:rsidRPr="00943062">
        <w:rPr>
          <w:rFonts w:ascii="SimSun" w:hAnsi="SimSun" w:hint="eastAsia"/>
          <w:sz w:val="21"/>
        </w:rPr>
        <w:t>WIPO</w:t>
      </w:r>
      <w:r w:rsidR="00E86A77" w:rsidRPr="00943062">
        <w:rPr>
          <w:rFonts w:ascii="SimSun" w:hAnsi="SimSun" w:hint="eastAsia"/>
          <w:sz w:val="21"/>
        </w:rPr>
        <w:t>代管</w:t>
      </w:r>
      <w:r w:rsidR="00622E29">
        <w:rPr>
          <w:rFonts w:ascii="SimSun" w:hAnsi="SimSun" w:hint="eastAsia"/>
          <w:sz w:val="21"/>
        </w:rPr>
        <w:t>)</w:t>
      </w:r>
      <w:r w:rsidRPr="00943062">
        <w:rPr>
          <w:rFonts w:ascii="SimSun" w:hAnsi="SimSun" w:hint="eastAsia"/>
          <w:sz w:val="21"/>
        </w:rPr>
        <w:t>。</w:t>
      </w:r>
    </w:p>
    <w:p w:rsidR="00C52783" w:rsidRPr="009C1B93" w:rsidRDefault="00D258BB" w:rsidP="009C1B93">
      <w:pPr>
        <w:pStyle w:val="ONUME"/>
        <w:numPr>
          <w:ilvl w:val="0"/>
          <w:numId w:val="19"/>
        </w:numPr>
        <w:overflowPunct w:val="0"/>
        <w:spacing w:afterLines="50" w:after="120" w:line="340" w:lineRule="atLeast"/>
        <w:ind w:left="0" w:firstLine="0"/>
        <w:jc w:val="both"/>
        <w:rPr>
          <w:rFonts w:ascii="SimSun" w:hAnsi="SimSun"/>
          <w:sz w:val="21"/>
        </w:rPr>
      </w:pPr>
      <w:r w:rsidRPr="009C1B93">
        <w:rPr>
          <w:rFonts w:ascii="SimSun" w:hAnsi="SimSun" w:hint="eastAsia"/>
          <w:sz w:val="21"/>
        </w:rPr>
        <w:t>下面对储备</w:t>
      </w:r>
      <w:proofErr w:type="gramStart"/>
      <w:r w:rsidRPr="009C1B93">
        <w:rPr>
          <w:rFonts w:ascii="SimSun" w:hAnsi="SimSun" w:hint="eastAsia"/>
          <w:sz w:val="21"/>
        </w:rPr>
        <w:t>金政策</w:t>
      </w:r>
      <w:proofErr w:type="gramEnd"/>
      <w:r w:rsidRPr="009C1B93">
        <w:rPr>
          <w:rFonts w:ascii="SimSun" w:hAnsi="SimSun" w:hint="eastAsia"/>
          <w:sz w:val="21"/>
        </w:rPr>
        <w:t>的各</w:t>
      </w:r>
      <w:r w:rsidR="005C13EC" w:rsidRPr="009C1B93">
        <w:rPr>
          <w:rFonts w:ascii="SimSun" w:hAnsi="SimSun" w:hint="eastAsia"/>
          <w:sz w:val="21"/>
        </w:rPr>
        <w:t>项核心要素</w:t>
      </w:r>
      <w:r w:rsidRPr="009C1B93">
        <w:rPr>
          <w:rFonts w:ascii="SimSun" w:hAnsi="SimSun" w:hint="eastAsia"/>
          <w:sz w:val="21"/>
        </w:rPr>
        <w:t>逐一进行</w:t>
      </w:r>
      <w:r w:rsidR="00323521">
        <w:rPr>
          <w:rFonts w:ascii="SimSun" w:hAnsi="SimSun" w:hint="eastAsia"/>
          <w:sz w:val="21"/>
        </w:rPr>
        <w:t>更</w:t>
      </w:r>
      <w:r w:rsidR="005C13EC" w:rsidRPr="009C1B93">
        <w:rPr>
          <w:rFonts w:ascii="SimSun" w:hAnsi="SimSun" w:hint="eastAsia"/>
          <w:sz w:val="21"/>
        </w:rPr>
        <w:t>详细</w:t>
      </w:r>
      <w:r w:rsidR="00323521">
        <w:rPr>
          <w:rFonts w:ascii="SimSun" w:hAnsi="SimSun" w:hint="eastAsia"/>
          <w:sz w:val="21"/>
        </w:rPr>
        <w:t>的</w:t>
      </w:r>
      <w:r w:rsidR="005C13EC" w:rsidRPr="009C1B93">
        <w:rPr>
          <w:rFonts w:ascii="SimSun" w:hAnsi="SimSun" w:hint="eastAsia"/>
          <w:sz w:val="21"/>
        </w:rPr>
        <w:t>介绍</w:t>
      </w:r>
      <w:r w:rsidRPr="009C1B93">
        <w:rPr>
          <w:rFonts w:ascii="SimSun" w:hAnsi="SimSun" w:hint="eastAsia"/>
          <w:sz w:val="21"/>
        </w:rPr>
        <w:t>。</w:t>
      </w:r>
    </w:p>
    <w:p w:rsidR="00C52783" w:rsidRPr="00E414BF" w:rsidRDefault="0065309E" w:rsidP="00E414BF">
      <w:pPr>
        <w:keepNext/>
        <w:spacing w:afterLines="50" w:after="120" w:line="340" w:lineRule="atLeast"/>
        <w:rPr>
          <w:rFonts w:ascii="SimSun" w:hAnsi="SimSun"/>
          <w:b/>
          <w:sz w:val="21"/>
        </w:rPr>
      </w:pPr>
      <w:r w:rsidRPr="00E414BF">
        <w:rPr>
          <w:rFonts w:ascii="SimSun" w:hAnsi="SimSun" w:hint="eastAsia"/>
          <w:b/>
          <w:sz w:val="21"/>
        </w:rPr>
        <w:t>二、</w:t>
      </w:r>
      <w:r w:rsidR="00C3714C" w:rsidRPr="00E414BF">
        <w:rPr>
          <w:rFonts w:ascii="SimSun" w:hAnsi="SimSun"/>
          <w:b/>
          <w:sz w:val="21"/>
        </w:rPr>
        <w:t>(A)</w:t>
      </w:r>
      <w:r w:rsidR="00C3714C" w:rsidRPr="00E414BF">
        <w:rPr>
          <w:rFonts w:ascii="SimSun" w:hAnsi="SimSun"/>
          <w:b/>
          <w:sz w:val="21"/>
        </w:rPr>
        <w:tab/>
      </w:r>
      <w:r w:rsidR="00B23DD8" w:rsidRPr="00E414BF">
        <w:rPr>
          <w:rFonts w:ascii="SimSun" w:hAnsi="SimSun" w:hint="eastAsia"/>
          <w:b/>
          <w:sz w:val="21"/>
        </w:rPr>
        <w:t>周转基金的区分</w:t>
      </w:r>
    </w:p>
    <w:p w:rsidR="00C52783" w:rsidRPr="009C1B93" w:rsidRDefault="00FE44F8" w:rsidP="009C1B93">
      <w:pPr>
        <w:pStyle w:val="ONUME"/>
        <w:numPr>
          <w:ilvl w:val="0"/>
          <w:numId w:val="19"/>
        </w:numPr>
        <w:overflowPunct w:val="0"/>
        <w:spacing w:afterLines="50" w:after="120" w:line="340" w:lineRule="atLeast"/>
        <w:ind w:left="0" w:firstLine="0"/>
        <w:jc w:val="both"/>
        <w:rPr>
          <w:rFonts w:ascii="SimSun" w:hAnsi="SimSun"/>
          <w:sz w:val="21"/>
        </w:rPr>
      </w:pPr>
      <w:r w:rsidRPr="009C1B93">
        <w:rPr>
          <w:rFonts w:ascii="SimSun" w:hAnsi="SimSun" w:hint="eastAsia"/>
          <w:sz w:val="21"/>
        </w:rPr>
        <w:t>如上所述，采用RWCF的概念时，保持了储备基金和周转基金</w:t>
      </w:r>
      <w:r w:rsidR="00E85878" w:rsidRPr="009C1B93">
        <w:rPr>
          <w:rFonts w:ascii="SimSun" w:hAnsi="SimSun" w:hint="eastAsia"/>
          <w:sz w:val="21"/>
        </w:rPr>
        <w:t>在会计和报告上</w:t>
      </w:r>
      <w:r w:rsidRPr="009C1B93">
        <w:rPr>
          <w:rFonts w:ascii="SimSun" w:hAnsi="SimSun" w:hint="eastAsia"/>
          <w:sz w:val="21"/>
        </w:rPr>
        <w:t>的区分。</w:t>
      </w:r>
      <w:r w:rsidR="00E30BCA" w:rsidRPr="009C1B93">
        <w:rPr>
          <w:rFonts w:ascii="SimSun" w:hAnsi="SimSun" w:hint="eastAsia"/>
          <w:sz w:val="21"/>
        </w:rPr>
        <w:t>因此，周转基金的安排仍然是，用于周转基金筹供的</w:t>
      </w:r>
      <w:r w:rsidR="00E86A77" w:rsidRPr="009C1B93">
        <w:rPr>
          <w:rFonts w:ascii="SimSun" w:hAnsi="SimSun" w:hint="eastAsia"/>
          <w:sz w:val="21"/>
        </w:rPr>
        <w:t>会费由WIPO为各联盟成员国代管。</w:t>
      </w:r>
      <w:r w:rsidR="00E30BCA" w:rsidRPr="009C1B93">
        <w:rPr>
          <w:rFonts w:ascii="SimSun" w:hAnsi="SimSun" w:hint="eastAsia"/>
          <w:sz w:val="21"/>
        </w:rPr>
        <w:t>周转基金的数额由有关各联盟自己的条约协议确定。</w:t>
      </w:r>
      <w:r w:rsidR="00EF1CBC" w:rsidRPr="009C1B93">
        <w:rPr>
          <w:rFonts w:ascii="SimSun" w:hAnsi="SimSun" w:hint="eastAsia"/>
          <w:sz w:val="21"/>
        </w:rPr>
        <w:t>周转基金自1990年以来一直未动。</w:t>
      </w:r>
      <w:r w:rsidR="00184D33" w:rsidRPr="009C1B93">
        <w:rPr>
          <w:rFonts w:ascii="SimSun" w:hAnsi="SimSun" w:hint="eastAsia"/>
          <w:sz w:val="21"/>
        </w:rPr>
        <w:t>因此</w:t>
      </w:r>
      <w:r w:rsidR="00184D33">
        <w:rPr>
          <w:rFonts w:ascii="SimSun" w:hAnsi="SimSun" w:hint="eastAsia"/>
          <w:sz w:val="21"/>
        </w:rPr>
        <w:t>，对</w:t>
      </w:r>
      <w:r w:rsidR="00EF1CBC" w:rsidRPr="009C1B93">
        <w:rPr>
          <w:rFonts w:ascii="SimSun" w:hAnsi="SimSun" w:hint="eastAsia"/>
          <w:sz w:val="21"/>
        </w:rPr>
        <w:t>RWCF总额的调整仅</w:t>
      </w:r>
      <w:r w:rsidR="00184D33">
        <w:rPr>
          <w:rFonts w:ascii="SimSun" w:hAnsi="SimSun" w:hint="eastAsia"/>
          <w:sz w:val="21"/>
        </w:rPr>
        <w:t>需</w:t>
      </w:r>
      <w:r w:rsidR="000109EE">
        <w:rPr>
          <w:rFonts w:ascii="SimSun" w:hAnsi="SimSun" w:hint="eastAsia"/>
          <w:sz w:val="21"/>
        </w:rPr>
        <w:t>修改</w:t>
      </w:r>
      <w:r w:rsidR="00EF1CBC" w:rsidRPr="009C1B93">
        <w:rPr>
          <w:rFonts w:ascii="SimSun" w:hAnsi="SimSun" w:hint="eastAsia"/>
          <w:sz w:val="21"/>
        </w:rPr>
        <w:t>储备基金的数额</w:t>
      </w:r>
      <w:r w:rsidR="00184D33">
        <w:rPr>
          <w:rFonts w:ascii="SimSun" w:hAnsi="SimSun" w:hint="eastAsia"/>
          <w:sz w:val="21"/>
        </w:rPr>
        <w:t>即可</w:t>
      </w:r>
      <w:r w:rsidR="00EF1CBC" w:rsidRPr="009C1B93">
        <w:rPr>
          <w:rFonts w:ascii="SimSun" w:hAnsi="SimSun" w:hint="eastAsia"/>
          <w:sz w:val="21"/>
        </w:rPr>
        <w:t>，</w:t>
      </w:r>
      <w:r w:rsidR="0043390A">
        <w:rPr>
          <w:rFonts w:ascii="SimSun" w:hAnsi="SimSun" w:hint="eastAsia"/>
          <w:sz w:val="21"/>
        </w:rPr>
        <w:t>而无须</w:t>
      </w:r>
      <w:r w:rsidR="00EF1CBC" w:rsidRPr="009C1B93">
        <w:rPr>
          <w:rFonts w:ascii="SimSun" w:hAnsi="SimSun" w:hint="eastAsia"/>
          <w:sz w:val="21"/>
        </w:rPr>
        <w:t>对周转基金的数额作任何调整。成员国在2000年批准储备</w:t>
      </w:r>
      <w:proofErr w:type="gramStart"/>
      <w:r w:rsidR="00EF1CBC" w:rsidRPr="009C1B93">
        <w:rPr>
          <w:rFonts w:ascii="SimSun" w:hAnsi="SimSun" w:hint="eastAsia"/>
          <w:sz w:val="21"/>
        </w:rPr>
        <w:t>金政策</w:t>
      </w:r>
      <w:proofErr w:type="gramEnd"/>
      <w:r w:rsidR="00EF1CBC" w:rsidRPr="009C1B93">
        <w:rPr>
          <w:rFonts w:ascii="SimSun" w:hAnsi="SimSun" w:hint="eastAsia"/>
          <w:sz w:val="21"/>
        </w:rPr>
        <w:t>时，还同意把各会费供资联盟的周转基金在</w:t>
      </w:r>
      <w:r w:rsidR="00C66731" w:rsidRPr="009C1B93">
        <w:rPr>
          <w:rFonts w:ascii="SimSun" w:hAnsi="SimSun" w:hint="eastAsia"/>
          <w:sz w:val="21"/>
        </w:rPr>
        <w:t>财务报表</w:t>
      </w:r>
      <w:r w:rsidR="00C66731">
        <w:rPr>
          <w:rFonts w:ascii="SimSun" w:hAnsi="SimSun" w:hint="eastAsia"/>
          <w:sz w:val="21"/>
        </w:rPr>
        <w:t>和</w:t>
      </w:r>
      <w:r w:rsidR="00EF1CBC" w:rsidRPr="009C1B93">
        <w:rPr>
          <w:rFonts w:ascii="SimSun" w:hAnsi="SimSun" w:hint="eastAsia"/>
          <w:sz w:val="21"/>
        </w:rPr>
        <w:t>《财务管理报告》(FMR)中合并列示。</w:t>
      </w:r>
    </w:p>
    <w:p w:rsidR="00C52783" w:rsidRPr="00E414BF" w:rsidRDefault="0065309E" w:rsidP="00E414BF">
      <w:pPr>
        <w:keepNext/>
        <w:spacing w:afterLines="50" w:after="120" w:line="340" w:lineRule="atLeast"/>
        <w:rPr>
          <w:rFonts w:ascii="SimSun" w:hAnsi="SimSun"/>
          <w:b/>
          <w:sz w:val="21"/>
        </w:rPr>
      </w:pPr>
      <w:r w:rsidRPr="00E414BF">
        <w:rPr>
          <w:rFonts w:ascii="SimSun" w:hAnsi="SimSun" w:hint="eastAsia"/>
          <w:b/>
          <w:sz w:val="21"/>
        </w:rPr>
        <w:t>二、</w:t>
      </w:r>
      <w:r w:rsidR="00C3714C" w:rsidRPr="00E414BF">
        <w:rPr>
          <w:rFonts w:ascii="SimSun" w:hAnsi="SimSun"/>
          <w:b/>
          <w:sz w:val="21"/>
        </w:rPr>
        <w:t>(B)</w:t>
      </w:r>
      <w:r w:rsidR="00C3714C" w:rsidRPr="00E414BF">
        <w:rPr>
          <w:rFonts w:ascii="SimSun" w:hAnsi="SimSun"/>
          <w:b/>
          <w:sz w:val="21"/>
        </w:rPr>
        <w:tab/>
      </w:r>
      <w:r w:rsidR="002E5CC8" w:rsidRPr="00E414BF">
        <w:rPr>
          <w:rFonts w:ascii="SimSun" w:hAnsi="SimSun" w:hint="eastAsia"/>
          <w:b/>
          <w:sz w:val="21"/>
        </w:rPr>
        <w:t>储备</w:t>
      </w:r>
      <w:proofErr w:type="gramStart"/>
      <w:r w:rsidR="002E5CC8" w:rsidRPr="00E414BF">
        <w:rPr>
          <w:rFonts w:ascii="SimSun" w:hAnsi="SimSun" w:hint="eastAsia"/>
          <w:b/>
          <w:sz w:val="21"/>
        </w:rPr>
        <w:t>金必要</w:t>
      </w:r>
      <w:proofErr w:type="gramEnd"/>
      <w:r w:rsidR="002E5CC8" w:rsidRPr="00E414BF">
        <w:rPr>
          <w:rFonts w:ascii="SimSun" w:hAnsi="SimSun" w:hint="eastAsia"/>
          <w:b/>
          <w:sz w:val="21"/>
        </w:rPr>
        <w:t>(目标)水平的设定</w:t>
      </w:r>
    </w:p>
    <w:p w:rsidR="00C52783" w:rsidRPr="009C1B93" w:rsidRDefault="00717625" w:rsidP="009C1B93">
      <w:pPr>
        <w:pStyle w:val="ONUME"/>
        <w:numPr>
          <w:ilvl w:val="0"/>
          <w:numId w:val="19"/>
        </w:numPr>
        <w:overflowPunct w:val="0"/>
        <w:spacing w:afterLines="50" w:after="120" w:line="340" w:lineRule="atLeast"/>
        <w:ind w:left="0" w:firstLine="0"/>
        <w:jc w:val="both"/>
        <w:rPr>
          <w:rFonts w:ascii="SimSun" w:hAnsi="SimSun"/>
          <w:sz w:val="21"/>
        </w:rPr>
      </w:pPr>
      <w:r>
        <w:rPr>
          <w:rFonts w:ascii="SimSun" w:hAnsi="SimSun" w:hint="eastAsia"/>
          <w:sz w:val="21"/>
        </w:rPr>
        <w:t>RWCF</w:t>
      </w:r>
      <w:r w:rsidR="002C61D3" w:rsidRPr="009C1B93">
        <w:rPr>
          <w:rFonts w:ascii="SimSun" w:hAnsi="SimSun" w:hint="eastAsia"/>
          <w:sz w:val="21"/>
        </w:rPr>
        <w:t>是为了最大限度地降低赤字</w:t>
      </w:r>
      <w:r w:rsidR="008753A1">
        <w:rPr>
          <w:rFonts w:ascii="SimSun" w:hAnsi="SimSun" w:hint="eastAsia"/>
          <w:sz w:val="21"/>
        </w:rPr>
        <w:t>风险，</w:t>
      </w:r>
      <w:r w:rsidR="002C61D3" w:rsidRPr="009C1B93">
        <w:rPr>
          <w:rFonts w:ascii="SimSun" w:hAnsi="SimSun" w:hint="eastAsia"/>
          <w:sz w:val="21"/>
        </w:rPr>
        <w:t>或</w:t>
      </w:r>
      <w:r w:rsidR="008753A1">
        <w:rPr>
          <w:rFonts w:ascii="SimSun" w:hAnsi="SimSun" w:hint="eastAsia"/>
          <w:sz w:val="21"/>
        </w:rPr>
        <w:t>尽可能地减少对</w:t>
      </w:r>
      <w:r w:rsidR="002C61D3" w:rsidRPr="009C1B93">
        <w:rPr>
          <w:rFonts w:ascii="SimSun" w:hAnsi="SimSun" w:hint="eastAsia"/>
          <w:sz w:val="21"/>
        </w:rPr>
        <w:t>计划执行具有负面影响的流动性问题，</w:t>
      </w:r>
      <w:r w:rsidR="004801A2">
        <w:rPr>
          <w:rFonts w:ascii="SimSun" w:hAnsi="SimSun" w:hint="eastAsia"/>
          <w:sz w:val="21"/>
        </w:rPr>
        <w:t>并</w:t>
      </w:r>
      <w:r w:rsidR="00C33D9B">
        <w:rPr>
          <w:rFonts w:ascii="SimSun" w:hAnsi="SimSun" w:hint="eastAsia"/>
          <w:sz w:val="21"/>
        </w:rPr>
        <w:t>最大限度地提高本组织</w:t>
      </w:r>
      <w:r w:rsidR="002C61D3" w:rsidRPr="009C1B93">
        <w:rPr>
          <w:rFonts w:ascii="SimSun" w:hAnsi="SimSun" w:hint="eastAsia"/>
          <w:sz w:val="21"/>
        </w:rPr>
        <w:t>履行义务并使财政保持稳定的可能性。</w:t>
      </w:r>
      <w:r w:rsidR="00D501A1" w:rsidRPr="009C1B93">
        <w:rPr>
          <w:rFonts w:ascii="SimSun" w:hAnsi="SimSun" w:hint="eastAsia"/>
          <w:sz w:val="21"/>
        </w:rPr>
        <w:t>财务风险的</w:t>
      </w:r>
      <w:r w:rsidR="005C13EC" w:rsidRPr="009C1B93">
        <w:rPr>
          <w:rFonts w:ascii="SimSun" w:hAnsi="SimSun" w:hint="eastAsia"/>
          <w:sz w:val="21"/>
        </w:rPr>
        <w:t>问题还可进一步通过区分收入方面的风险和支出方面</w:t>
      </w:r>
      <w:r w:rsidR="00D501A1" w:rsidRPr="009C1B93">
        <w:rPr>
          <w:rFonts w:ascii="SimSun" w:hAnsi="SimSun" w:hint="eastAsia"/>
          <w:sz w:val="21"/>
        </w:rPr>
        <w:t>的风险来详细阐述。</w:t>
      </w:r>
      <w:r w:rsidR="005C13EC" w:rsidRPr="009C1B93">
        <w:rPr>
          <w:rFonts w:ascii="SimSun" w:hAnsi="SimSun" w:hint="eastAsia"/>
          <w:sz w:val="21"/>
        </w:rPr>
        <w:t>收入方面的风险包括不缴纳会费、收费收入低于预计数额或汇率浮动。</w:t>
      </w:r>
      <w:r w:rsidR="00D501A1" w:rsidRPr="009C1B93">
        <w:rPr>
          <w:rFonts w:ascii="SimSun" w:hAnsi="SimSun" w:hint="eastAsia"/>
          <w:sz w:val="21"/>
        </w:rPr>
        <w:t>支出方面的风险包括，举例来说，卖主在完成交付之前</w:t>
      </w:r>
      <w:r w:rsidR="005C13EC" w:rsidRPr="009C1B93">
        <w:rPr>
          <w:rFonts w:ascii="SimSun" w:hAnsi="SimSun" w:hint="eastAsia"/>
          <w:sz w:val="21"/>
        </w:rPr>
        <w:t>破产。</w:t>
      </w:r>
    </w:p>
    <w:p w:rsidR="00C52783" w:rsidRPr="009C1B93" w:rsidRDefault="005C13EC" w:rsidP="009C1B93">
      <w:pPr>
        <w:pStyle w:val="ONUME"/>
        <w:numPr>
          <w:ilvl w:val="0"/>
          <w:numId w:val="19"/>
        </w:numPr>
        <w:overflowPunct w:val="0"/>
        <w:spacing w:afterLines="50" w:after="120" w:line="340" w:lineRule="atLeast"/>
        <w:ind w:left="0" w:firstLine="0"/>
        <w:jc w:val="both"/>
        <w:rPr>
          <w:rFonts w:ascii="SimSun" w:hAnsi="SimSun"/>
          <w:sz w:val="21"/>
        </w:rPr>
      </w:pPr>
      <w:r w:rsidRPr="009C1B93">
        <w:rPr>
          <w:rFonts w:ascii="SimSun" w:hAnsi="SimSun" w:hint="eastAsia"/>
          <w:sz w:val="21"/>
        </w:rPr>
        <w:t>WIPO主要是一个</w:t>
      </w:r>
      <w:r w:rsidR="00EC6537" w:rsidRPr="009C1B93">
        <w:rPr>
          <w:rFonts w:ascii="SimSun" w:hAnsi="SimSun" w:hint="eastAsia"/>
          <w:sz w:val="21"/>
        </w:rPr>
        <w:t>收费供资组织，将近95%的</w:t>
      </w:r>
      <w:r w:rsidRPr="009C1B93">
        <w:rPr>
          <w:rFonts w:ascii="SimSun" w:hAnsi="SimSun" w:hint="eastAsia"/>
          <w:sz w:val="21"/>
        </w:rPr>
        <w:t>收入</w:t>
      </w:r>
      <w:r w:rsidR="00EC6537" w:rsidRPr="009C1B93">
        <w:rPr>
          <w:rFonts w:ascii="SimSun" w:hAnsi="SimSun" w:hint="eastAsia"/>
          <w:sz w:val="21"/>
        </w:rPr>
        <w:t>来自各项服务收费。</w:t>
      </w:r>
      <w:r w:rsidRPr="009C1B93">
        <w:rPr>
          <w:rFonts w:ascii="SimSun" w:hAnsi="SimSun" w:hint="eastAsia"/>
          <w:sz w:val="21"/>
        </w:rPr>
        <w:t>因此本组织所面临的最大风险与收入相关。从本质上讲</w:t>
      </w:r>
      <w:r w:rsidR="00A272BD" w:rsidRPr="009C1B93">
        <w:rPr>
          <w:rFonts w:ascii="SimSun" w:hAnsi="SimSun" w:hint="eastAsia"/>
          <w:sz w:val="21"/>
        </w:rPr>
        <w:t>，</w:t>
      </w:r>
      <w:r w:rsidRPr="009C1B93">
        <w:rPr>
          <w:rFonts w:ascii="SimSun" w:hAnsi="SimSun" w:hint="eastAsia"/>
          <w:sz w:val="21"/>
        </w:rPr>
        <w:t>这种风险是</w:t>
      </w:r>
      <w:proofErr w:type="gramStart"/>
      <w:r w:rsidRPr="009C1B93">
        <w:rPr>
          <w:rFonts w:ascii="SimSun" w:hAnsi="SimSun" w:hint="eastAsia"/>
          <w:sz w:val="21"/>
        </w:rPr>
        <w:t>指估计</w:t>
      </w:r>
      <w:proofErr w:type="gramEnd"/>
      <w:r w:rsidRPr="009C1B93">
        <w:rPr>
          <w:rFonts w:ascii="SimSun" w:hAnsi="SimSun" w:hint="eastAsia"/>
          <w:sz w:val="21"/>
        </w:rPr>
        <w:t>在两年期间一定能得到的</w:t>
      </w:r>
      <w:r w:rsidR="00DC14C3" w:rsidRPr="009C1B93">
        <w:rPr>
          <w:rFonts w:ascii="SimSun" w:hAnsi="SimSun" w:hint="eastAsia"/>
          <w:sz w:val="21"/>
        </w:rPr>
        <w:t>、</w:t>
      </w:r>
      <w:r w:rsidRPr="009C1B93">
        <w:rPr>
          <w:rFonts w:ascii="SimSun" w:hAnsi="SimSun" w:hint="eastAsia"/>
          <w:sz w:val="21"/>
        </w:rPr>
        <w:t>并需用以为两年期的拟议支出供资的收入最终没有得到</w:t>
      </w:r>
      <w:r w:rsidR="00DC14C3" w:rsidRPr="009C1B93">
        <w:rPr>
          <w:rFonts w:ascii="SimSun" w:hAnsi="SimSun" w:hint="eastAsia"/>
          <w:sz w:val="21"/>
        </w:rPr>
        <w:t>。</w:t>
      </w:r>
      <w:r w:rsidR="00193A2C" w:rsidRPr="009C1B93">
        <w:rPr>
          <w:rFonts w:ascii="SimSun" w:hAnsi="SimSun" w:hint="eastAsia"/>
          <w:sz w:val="21"/>
        </w:rPr>
        <w:t>因此，拟议的两年期支出是</w:t>
      </w:r>
      <w:r w:rsidR="00BC359C" w:rsidRPr="009C1B93">
        <w:rPr>
          <w:rFonts w:ascii="SimSun" w:hAnsi="SimSun" w:hint="eastAsia"/>
          <w:sz w:val="21"/>
        </w:rPr>
        <w:t>一项</w:t>
      </w:r>
      <w:r w:rsidR="00FC5267" w:rsidRPr="009C1B93">
        <w:rPr>
          <w:rFonts w:ascii="SimSun" w:hAnsi="SimSun" w:hint="eastAsia"/>
          <w:sz w:val="21"/>
        </w:rPr>
        <w:t>很好的评估风险的直接指标。鉴于此，</w:t>
      </w:r>
      <w:r w:rsidRPr="009C1B93">
        <w:rPr>
          <w:rFonts w:ascii="SimSun" w:hAnsi="SimSun" w:hint="eastAsia"/>
          <w:sz w:val="21"/>
        </w:rPr>
        <w:t>WIPO</w:t>
      </w:r>
      <w:r w:rsidR="00FC5267" w:rsidRPr="009C1B93">
        <w:rPr>
          <w:rFonts w:ascii="SimSun" w:hAnsi="SimSun" w:hint="eastAsia"/>
          <w:sz w:val="21"/>
        </w:rPr>
        <w:t>的</w:t>
      </w:r>
      <w:r w:rsidRPr="009C1B93">
        <w:rPr>
          <w:rFonts w:ascii="SimSun" w:hAnsi="SimSun" w:hint="eastAsia"/>
          <w:sz w:val="21"/>
        </w:rPr>
        <w:t>储备</w:t>
      </w:r>
      <w:proofErr w:type="gramStart"/>
      <w:r w:rsidRPr="009C1B93">
        <w:rPr>
          <w:rFonts w:ascii="SimSun" w:hAnsi="SimSun" w:hint="eastAsia"/>
          <w:sz w:val="21"/>
        </w:rPr>
        <w:t>金政策</w:t>
      </w:r>
      <w:proofErr w:type="gramEnd"/>
      <w:r w:rsidR="00FC5267" w:rsidRPr="009C1B93">
        <w:rPr>
          <w:rFonts w:ascii="SimSun" w:hAnsi="SimSun" w:hint="eastAsia"/>
          <w:sz w:val="21"/>
        </w:rPr>
        <w:t>以RWCF在两年期支出概算中所占的</w:t>
      </w:r>
      <w:r w:rsidR="00C33D9B">
        <w:rPr>
          <w:rFonts w:ascii="SimSun" w:hAnsi="SimSun" w:hint="eastAsia"/>
          <w:sz w:val="21"/>
        </w:rPr>
        <w:t>百分比</w:t>
      </w:r>
      <w:r w:rsidR="00FC5267" w:rsidRPr="009C1B93">
        <w:rPr>
          <w:rFonts w:ascii="SimSun" w:hAnsi="SimSun" w:hint="eastAsia"/>
          <w:sz w:val="21"/>
        </w:rPr>
        <w:t>(PBE系数)</w:t>
      </w:r>
      <w:r w:rsidR="00846321">
        <w:rPr>
          <w:rFonts w:ascii="SimSun" w:hAnsi="SimSun" w:hint="eastAsia"/>
          <w:sz w:val="21"/>
        </w:rPr>
        <w:t>来</w:t>
      </w:r>
      <w:r w:rsidR="00FC5267" w:rsidRPr="009C1B93">
        <w:rPr>
          <w:rFonts w:ascii="SimSun" w:hAnsi="SimSun" w:hint="eastAsia"/>
          <w:sz w:val="21"/>
        </w:rPr>
        <w:t>表示RWCF的总额所提供的保护</w:t>
      </w:r>
      <w:r w:rsidR="00A272BD" w:rsidRPr="009C1B93">
        <w:rPr>
          <w:rFonts w:ascii="SimSun" w:hAnsi="SimSun" w:hint="eastAsia"/>
          <w:sz w:val="21"/>
        </w:rPr>
        <w:t>程度：</w:t>
      </w:r>
      <w:r w:rsidRPr="009C1B93">
        <w:rPr>
          <w:rFonts w:ascii="SimSun" w:hAnsi="SimSun" w:hint="eastAsia"/>
          <w:sz w:val="21"/>
        </w:rPr>
        <w:t>PBE系数越大</w:t>
      </w:r>
      <w:r w:rsidR="00A272BD" w:rsidRPr="009C1B93">
        <w:rPr>
          <w:rFonts w:ascii="SimSun" w:hAnsi="SimSun" w:hint="eastAsia"/>
          <w:sz w:val="21"/>
        </w:rPr>
        <w:t>，</w:t>
      </w:r>
      <w:r w:rsidRPr="009C1B93">
        <w:rPr>
          <w:rFonts w:ascii="SimSun" w:hAnsi="SimSun" w:hint="eastAsia"/>
          <w:sz w:val="21"/>
        </w:rPr>
        <w:t>保护程度越高</w:t>
      </w:r>
      <w:r w:rsidR="00BC359C" w:rsidRPr="009C1B93">
        <w:rPr>
          <w:rFonts w:ascii="SimSun" w:hAnsi="SimSun" w:hint="eastAsia"/>
          <w:sz w:val="21"/>
        </w:rPr>
        <w:t>。PBE系数</w:t>
      </w:r>
      <w:r w:rsidR="00846321">
        <w:rPr>
          <w:rFonts w:ascii="SimSun" w:hAnsi="SimSun" w:hint="eastAsia"/>
          <w:sz w:val="21"/>
        </w:rPr>
        <w:t>表明</w:t>
      </w:r>
      <w:r w:rsidR="00BC359C" w:rsidRPr="009C1B93">
        <w:rPr>
          <w:rFonts w:ascii="SimSun" w:hAnsi="SimSun" w:hint="eastAsia"/>
          <w:sz w:val="21"/>
        </w:rPr>
        <w:t>完全依靠储备</w:t>
      </w:r>
      <w:r w:rsidR="00671AF4" w:rsidRPr="009C1B93">
        <w:rPr>
          <w:rFonts w:ascii="SimSun" w:hAnsi="SimSun" w:hint="eastAsia"/>
          <w:sz w:val="21"/>
        </w:rPr>
        <w:t>基金</w:t>
      </w:r>
      <w:r w:rsidR="00BC359C" w:rsidRPr="009C1B93">
        <w:rPr>
          <w:rFonts w:ascii="SimSun" w:hAnsi="SimSun" w:hint="eastAsia"/>
          <w:sz w:val="21"/>
        </w:rPr>
        <w:t>能为业务提供多长时间的资金。</w:t>
      </w:r>
      <w:r w:rsidR="002869F5" w:rsidRPr="009C1B93">
        <w:rPr>
          <w:rFonts w:ascii="SimSun" w:hAnsi="SimSun" w:hint="eastAsia"/>
          <w:sz w:val="21"/>
        </w:rPr>
        <w:t>例如，系数为50%表示能提供12个月资金，系数为25%则能提供6个月资金。</w:t>
      </w:r>
    </w:p>
    <w:p w:rsidR="00C52783" w:rsidRPr="009C1B93" w:rsidRDefault="0052730E" w:rsidP="009C1B93">
      <w:pPr>
        <w:pStyle w:val="ONUME"/>
        <w:numPr>
          <w:ilvl w:val="0"/>
          <w:numId w:val="19"/>
        </w:numPr>
        <w:overflowPunct w:val="0"/>
        <w:spacing w:afterLines="50" w:after="120" w:line="340" w:lineRule="atLeast"/>
        <w:ind w:left="0" w:firstLine="0"/>
        <w:jc w:val="both"/>
        <w:rPr>
          <w:rFonts w:ascii="SimSun" w:hAnsi="SimSun"/>
          <w:sz w:val="21"/>
        </w:rPr>
      </w:pPr>
      <w:r w:rsidRPr="009C1B93">
        <w:rPr>
          <w:rFonts w:ascii="SimSun" w:hAnsi="SimSun" w:hint="eastAsia"/>
          <w:sz w:val="21"/>
        </w:rPr>
        <w:t>根据上述方法，RWCF的目标水平被设定为各会费供资联盟、PCT</w:t>
      </w:r>
      <w:r w:rsidR="00C33D9B">
        <w:rPr>
          <w:rFonts w:ascii="SimSun" w:hAnsi="SimSun" w:hint="eastAsia"/>
          <w:sz w:val="21"/>
        </w:rPr>
        <w:t>联盟、马德里联盟和海牙联盟的两年期支出概算的百分比</w:t>
      </w:r>
      <w:r w:rsidRPr="009C1B93">
        <w:rPr>
          <w:rFonts w:ascii="SimSun" w:hAnsi="SimSun" w:hint="eastAsia"/>
          <w:sz w:val="21"/>
        </w:rPr>
        <w:t>(PBE系数)。应有的PBE系数在联盟一级设定，目的是反映有关联盟特有的风险和流动性关切。</w:t>
      </w:r>
      <w:r w:rsidR="00E81DE1" w:rsidRPr="009C1B93">
        <w:rPr>
          <w:rFonts w:ascii="SimSun" w:hAnsi="SimSun" w:hint="eastAsia"/>
          <w:sz w:val="21"/>
        </w:rPr>
        <w:t>因此</w:t>
      </w:r>
      <w:r w:rsidR="00E81DE1">
        <w:rPr>
          <w:rFonts w:ascii="SimSun" w:hAnsi="SimSun" w:hint="eastAsia"/>
          <w:sz w:val="21"/>
        </w:rPr>
        <w:t>，</w:t>
      </w:r>
      <w:r w:rsidRPr="009C1B93">
        <w:rPr>
          <w:rFonts w:ascii="SimSun" w:hAnsi="SimSun" w:hint="eastAsia"/>
          <w:sz w:val="21"/>
        </w:rPr>
        <w:t>各联盟的RWCF数额是用两年期支出概算乘以该联盟的PBE系数计算的。</w:t>
      </w:r>
      <w:r w:rsidR="002869F5" w:rsidRPr="009C1B93">
        <w:rPr>
          <w:rFonts w:ascii="SimSun" w:hAnsi="SimSun" w:hint="eastAsia"/>
          <w:sz w:val="21"/>
        </w:rPr>
        <w:t>选择PBE系数作为参照点，确保把RWCF的数额与拟议的计划和预算数额挂钩，这进一步“确保变化情况及相关的风险和清偿能力方面的考虑”在RWCF数额中“得到充分的反映”</w:t>
      </w:r>
      <w:r w:rsidR="002869F5" w:rsidRPr="00181283">
        <w:rPr>
          <w:rFonts w:ascii="SimSun" w:hAnsi="SimSun"/>
          <w:sz w:val="21"/>
          <w:vertAlign w:val="superscript"/>
        </w:rPr>
        <w:footnoteReference w:id="1"/>
      </w:r>
      <w:r w:rsidR="002869F5" w:rsidRPr="009C1B93">
        <w:rPr>
          <w:rFonts w:ascii="SimSun" w:hAnsi="SimSun" w:hint="eastAsia"/>
          <w:sz w:val="21"/>
        </w:rPr>
        <w:t>。</w:t>
      </w:r>
    </w:p>
    <w:p w:rsidR="00C52783" w:rsidRPr="009C1B93" w:rsidRDefault="002869F5" w:rsidP="009C1B93">
      <w:pPr>
        <w:pStyle w:val="ONUME"/>
        <w:numPr>
          <w:ilvl w:val="0"/>
          <w:numId w:val="19"/>
        </w:numPr>
        <w:overflowPunct w:val="0"/>
        <w:spacing w:afterLines="50" w:after="120" w:line="340" w:lineRule="atLeast"/>
        <w:ind w:left="0" w:firstLine="0"/>
        <w:jc w:val="both"/>
        <w:rPr>
          <w:rFonts w:ascii="SimSun" w:hAnsi="SimSun"/>
          <w:sz w:val="21"/>
        </w:rPr>
      </w:pPr>
      <w:r w:rsidRPr="009C1B93">
        <w:rPr>
          <w:rFonts w:ascii="SimSun" w:hAnsi="SimSun" w:hint="eastAsia"/>
          <w:sz w:val="21"/>
        </w:rPr>
        <w:lastRenderedPageBreak/>
        <w:t>在</w:t>
      </w:r>
      <w:r w:rsidR="00843405" w:rsidRPr="009C1B93">
        <w:rPr>
          <w:rFonts w:ascii="SimSun" w:hAnsi="SimSun" w:hint="eastAsia"/>
          <w:sz w:val="21"/>
        </w:rPr>
        <w:t>对本组织和各联盟的</w:t>
      </w:r>
      <w:r w:rsidRPr="009C1B93">
        <w:rPr>
          <w:rFonts w:ascii="SimSun" w:hAnsi="SimSun" w:hint="eastAsia"/>
          <w:sz w:val="21"/>
        </w:rPr>
        <w:t>收入</w:t>
      </w:r>
      <w:r w:rsidR="00843405" w:rsidRPr="009C1B93">
        <w:rPr>
          <w:rFonts w:ascii="SimSun" w:hAnsi="SimSun" w:hint="eastAsia"/>
          <w:sz w:val="21"/>
        </w:rPr>
        <w:t>发展情况、</w:t>
      </w:r>
      <w:r w:rsidRPr="009C1B93">
        <w:rPr>
          <w:rFonts w:ascii="SimSun" w:hAnsi="SimSun" w:hint="eastAsia"/>
          <w:sz w:val="21"/>
        </w:rPr>
        <w:t>支出</w:t>
      </w:r>
      <w:r w:rsidR="00843405" w:rsidRPr="009C1B93">
        <w:rPr>
          <w:rFonts w:ascii="SimSun" w:hAnsi="SimSun" w:hint="eastAsia"/>
          <w:sz w:val="21"/>
        </w:rPr>
        <w:t>发展情况</w:t>
      </w:r>
      <w:r w:rsidRPr="009C1B93">
        <w:rPr>
          <w:rFonts w:ascii="SimSun" w:hAnsi="SimSun" w:hint="eastAsia"/>
          <w:sz w:val="21"/>
        </w:rPr>
        <w:t>和实际</w:t>
      </w:r>
      <w:r w:rsidR="00843405" w:rsidRPr="009C1B93">
        <w:rPr>
          <w:rFonts w:ascii="SimSun" w:hAnsi="SimSun" w:hint="eastAsia"/>
          <w:sz w:val="21"/>
        </w:rPr>
        <w:t>的</w:t>
      </w:r>
      <w:r w:rsidRPr="009C1B93">
        <w:rPr>
          <w:rFonts w:ascii="SimSun" w:hAnsi="SimSun" w:hint="eastAsia"/>
          <w:sz w:val="21"/>
        </w:rPr>
        <w:t>RWCF</w:t>
      </w:r>
      <w:r w:rsidR="00843405" w:rsidRPr="009C1B93">
        <w:rPr>
          <w:rFonts w:ascii="SimSun" w:hAnsi="SimSun" w:hint="eastAsia"/>
          <w:sz w:val="21"/>
        </w:rPr>
        <w:t>发展情况进行</w:t>
      </w:r>
      <w:r w:rsidRPr="009C1B93">
        <w:rPr>
          <w:rFonts w:ascii="SimSun" w:hAnsi="SimSun" w:hint="eastAsia"/>
          <w:sz w:val="21"/>
        </w:rPr>
        <w:t>审查</w:t>
      </w:r>
      <w:r w:rsidR="00843405" w:rsidRPr="009C1B93">
        <w:rPr>
          <w:rFonts w:ascii="SimSun" w:hAnsi="SimSun" w:hint="eastAsia"/>
          <w:sz w:val="21"/>
        </w:rPr>
        <w:t>之后</w:t>
      </w:r>
      <w:r w:rsidRPr="009C1B93">
        <w:rPr>
          <w:rFonts w:ascii="SimSun" w:hAnsi="SimSun" w:hint="eastAsia"/>
          <w:sz w:val="21"/>
        </w:rPr>
        <w:t>，</w:t>
      </w:r>
      <w:r w:rsidR="00A5638D" w:rsidRPr="009C1B93">
        <w:rPr>
          <w:rFonts w:ascii="SimSun" w:hAnsi="SimSun" w:hint="eastAsia"/>
          <w:sz w:val="21"/>
        </w:rPr>
        <w:t>考虑到PCT业务规模的显著扩大，以及本组织自2000年以来对PCT收入的依赖性更强，建议</w:t>
      </w:r>
      <w:r w:rsidR="003B67BB">
        <w:rPr>
          <w:rFonts w:ascii="SimSun" w:hAnsi="SimSun" w:hint="eastAsia"/>
          <w:sz w:val="21"/>
        </w:rPr>
        <w:t>提高</w:t>
      </w:r>
      <w:r w:rsidR="00A5638D" w:rsidRPr="009C1B93">
        <w:rPr>
          <w:rFonts w:ascii="SimSun" w:hAnsi="SimSun" w:hint="eastAsia"/>
          <w:sz w:val="21"/>
        </w:rPr>
        <w:t>PCT联盟的PBE系数。提高PCT联盟的RWCF</w:t>
      </w:r>
      <w:r w:rsidR="00C75ADC">
        <w:rPr>
          <w:rFonts w:ascii="SimSun" w:hAnsi="SimSun" w:hint="eastAsia"/>
          <w:sz w:val="21"/>
        </w:rPr>
        <w:t>水平将增强</w:t>
      </w:r>
      <w:r w:rsidR="00C75ADC" w:rsidRPr="009C1B93">
        <w:rPr>
          <w:rFonts w:ascii="SimSun" w:hAnsi="SimSun" w:hint="eastAsia"/>
          <w:sz w:val="21"/>
        </w:rPr>
        <w:t>全球知识产权体系的财务稳定性</w:t>
      </w:r>
      <w:r w:rsidR="00C75ADC">
        <w:rPr>
          <w:rFonts w:ascii="SimSun" w:hAnsi="SimSun" w:hint="eastAsia"/>
          <w:sz w:val="21"/>
        </w:rPr>
        <w:t>，</w:t>
      </w:r>
      <w:r w:rsidR="00A5638D" w:rsidRPr="009C1B93">
        <w:rPr>
          <w:rFonts w:ascii="SimSun" w:hAnsi="SimSun" w:hint="eastAsia"/>
          <w:sz w:val="21"/>
        </w:rPr>
        <w:t>对本组织</w:t>
      </w:r>
      <w:r w:rsidR="00C75ADC">
        <w:rPr>
          <w:rFonts w:ascii="SimSun" w:hAnsi="SimSun" w:hint="eastAsia"/>
          <w:sz w:val="21"/>
        </w:rPr>
        <w:t>的</w:t>
      </w:r>
      <w:r w:rsidR="00A5638D" w:rsidRPr="009C1B93">
        <w:rPr>
          <w:rFonts w:ascii="SimSun" w:hAnsi="SimSun" w:hint="eastAsia"/>
          <w:sz w:val="21"/>
        </w:rPr>
        <w:t>财务</w:t>
      </w:r>
      <w:r w:rsidR="00C75ADC">
        <w:rPr>
          <w:rFonts w:ascii="SimSun" w:hAnsi="SimSun" w:hint="eastAsia"/>
          <w:sz w:val="21"/>
        </w:rPr>
        <w:t>具有重大</w:t>
      </w:r>
      <w:r w:rsidR="00A5638D" w:rsidRPr="009C1B93">
        <w:rPr>
          <w:rFonts w:ascii="SimSun" w:hAnsi="SimSun" w:hint="eastAsia"/>
          <w:sz w:val="21"/>
        </w:rPr>
        <w:t>意义。</w:t>
      </w:r>
      <w:r w:rsidR="007C1D29" w:rsidRPr="009C1B93">
        <w:rPr>
          <w:rFonts w:ascii="SimSun" w:hAnsi="SimSun" w:hint="eastAsia"/>
          <w:sz w:val="21"/>
        </w:rPr>
        <w:t>建议将</w:t>
      </w:r>
      <w:r w:rsidRPr="009C1B93">
        <w:rPr>
          <w:rFonts w:ascii="SimSun" w:hAnsi="SimSun" w:hint="eastAsia"/>
          <w:sz w:val="21"/>
        </w:rPr>
        <w:t>PCT联盟的PBE</w:t>
      </w:r>
      <w:r w:rsidR="007C1D29" w:rsidRPr="009C1B93">
        <w:rPr>
          <w:rFonts w:ascii="SimSun" w:hAnsi="SimSun" w:hint="eastAsia"/>
          <w:sz w:val="21"/>
        </w:rPr>
        <w:t>系数从</w:t>
      </w:r>
      <w:r w:rsidRPr="009C1B93">
        <w:rPr>
          <w:rFonts w:ascii="SimSun" w:hAnsi="SimSun" w:hint="eastAsia"/>
          <w:sz w:val="21"/>
        </w:rPr>
        <w:t>15</w:t>
      </w:r>
      <w:r w:rsidR="007C1D29" w:rsidRPr="009C1B93">
        <w:rPr>
          <w:rFonts w:ascii="SimSun" w:hAnsi="SimSun" w:hint="eastAsia"/>
          <w:sz w:val="21"/>
        </w:rPr>
        <w:t>%提高</w:t>
      </w:r>
      <w:r w:rsidRPr="009C1B93">
        <w:rPr>
          <w:rFonts w:ascii="SimSun" w:hAnsi="SimSun" w:hint="eastAsia"/>
          <w:sz w:val="21"/>
        </w:rPr>
        <w:t>至20</w:t>
      </w:r>
      <w:r w:rsidR="007C1D29" w:rsidRPr="009C1B93">
        <w:rPr>
          <w:rFonts w:ascii="SimSun" w:hAnsi="SimSun" w:hint="eastAsia"/>
          <w:sz w:val="21"/>
        </w:rPr>
        <w:t>%</w:t>
      </w:r>
      <w:r w:rsidR="001D5EE3" w:rsidRPr="009C1B93">
        <w:rPr>
          <w:rFonts w:ascii="SimSun" w:hAnsi="SimSun" w:hint="eastAsia"/>
          <w:sz w:val="21"/>
        </w:rPr>
        <w:t>，会费供资联盟的</w:t>
      </w:r>
      <w:r w:rsidRPr="009C1B93">
        <w:rPr>
          <w:rFonts w:ascii="SimSun" w:hAnsi="SimSun" w:hint="eastAsia"/>
          <w:sz w:val="21"/>
        </w:rPr>
        <w:t>PBE</w:t>
      </w:r>
      <w:r w:rsidR="001D5EE3" w:rsidRPr="009C1B93">
        <w:rPr>
          <w:rFonts w:ascii="SimSun" w:hAnsi="SimSun" w:hint="eastAsia"/>
          <w:sz w:val="21"/>
        </w:rPr>
        <w:t>系数</w:t>
      </w:r>
      <w:r w:rsidR="00461D90">
        <w:rPr>
          <w:rFonts w:ascii="SimSun" w:hAnsi="SimSun" w:hint="eastAsia"/>
          <w:sz w:val="21"/>
        </w:rPr>
        <w:t>仍为</w:t>
      </w:r>
      <w:r w:rsidR="001D5EE3" w:rsidRPr="009C1B93">
        <w:rPr>
          <w:rFonts w:ascii="SimSun" w:hAnsi="SimSun" w:hint="eastAsia"/>
          <w:sz w:val="21"/>
        </w:rPr>
        <w:t>5</w:t>
      </w:r>
      <w:r w:rsidRPr="009C1B93">
        <w:rPr>
          <w:rFonts w:ascii="SimSun" w:hAnsi="SimSun" w:hint="eastAsia"/>
          <w:sz w:val="21"/>
        </w:rPr>
        <w:t>0</w:t>
      </w:r>
      <w:r w:rsidR="001D5EE3" w:rsidRPr="009C1B93">
        <w:rPr>
          <w:rFonts w:ascii="SimSun" w:hAnsi="SimSun" w:hint="eastAsia"/>
          <w:sz w:val="21"/>
        </w:rPr>
        <w:t>%</w:t>
      </w:r>
      <w:r w:rsidRPr="009C1B93">
        <w:rPr>
          <w:rFonts w:ascii="SimSun" w:hAnsi="SimSun" w:hint="eastAsia"/>
          <w:sz w:val="21"/>
        </w:rPr>
        <w:t>，马德里联盟</w:t>
      </w:r>
      <w:r w:rsidR="00461D90">
        <w:rPr>
          <w:rFonts w:ascii="SimSun" w:hAnsi="SimSun" w:hint="eastAsia"/>
          <w:sz w:val="21"/>
        </w:rPr>
        <w:t>仍为</w:t>
      </w:r>
      <w:r w:rsidRPr="009C1B93">
        <w:rPr>
          <w:rFonts w:ascii="SimSun" w:hAnsi="SimSun" w:hint="eastAsia"/>
          <w:sz w:val="21"/>
        </w:rPr>
        <w:t>25</w:t>
      </w:r>
      <w:r w:rsidR="001D5EE3" w:rsidRPr="009C1B93">
        <w:rPr>
          <w:rFonts w:ascii="SimSun" w:hAnsi="SimSun" w:hint="eastAsia"/>
          <w:sz w:val="21"/>
        </w:rPr>
        <w:t>%</w:t>
      </w:r>
      <w:r w:rsidRPr="009C1B93">
        <w:rPr>
          <w:rFonts w:ascii="SimSun" w:hAnsi="SimSun" w:hint="eastAsia"/>
          <w:sz w:val="21"/>
        </w:rPr>
        <w:t>，海牙联盟</w:t>
      </w:r>
      <w:r w:rsidR="00461D90">
        <w:rPr>
          <w:rFonts w:ascii="SimSun" w:hAnsi="SimSun" w:hint="eastAsia"/>
          <w:sz w:val="21"/>
        </w:rPr>
        <w:t>仍为</w:t>
      </w:r>
      <w:r w:rsidRPr="009C1B93">
        <w:rPr>
          <w:rFonts w:ascii="SimSun" w:hAnsi="SimSun" w:hint="eastAsia"/>
          <w:sz w:val="21"/>
        </w:rPr>
        <w:t>15</w:t>
      </w:r>
      <w:r w:rsidR="001D5EE3" w:rsidRPr="009C1B93">
        <w:rPr>
          <w:rFonts w:ascii="SimSun" w:hAnsi="SimSun" w:hint="eastAsia"/>
          <w:sz w:val="21"/>
        </w:rPr>
        <w:t>%</w:t>
      </w:r>
      <w:r w:rsidRPr="009C1B93">
        <w:rPr>
          <w:rFonts w:ascii="SimSun" w:hAnsi="SimSun" w:hint="eastAsia"/>
          <w:sz w:val="21"/>
        </w:rPr>
        <w:t>。里斯本联盟</w:t>
      </w:r>
      <w:r w:rsidR="001D5EE3" w:rsidRPr="009C1B93">
        <w:rPr>
          <w:rFonts w:ascii="SimSun" w:hAnsi="SimSun" w:hint="eastAsia"/>
          <w:sz w:val="21"/>
        </w:rPr>
        <w:t>目前</w:t>
      </w:r>
      <w:r w:rsidRPr="009C1B93">
        <w:rPr>
          <w:rFonts w:ascii="SimSun" w:hAnsi="SimSun" w:hint="eastAsia"/>
          <w:sz w:val="21"/>
        </w:rPr>
        <w:t>没有</w:t>
      </w:r>
      <w:r w:rsidR="001D5EE3" w:rsidRPr="009C1B93">
        <w:rPr>
          <w:rFonts w:ascii="SimSun" w:hAnsi="SimSun" w:hint="eastAsia"/>
          <w:sz w:val="21"/>
        </w:rPr>
        <w:t>设定</w:t>
      </w:r>
      <w:r w:rsidRPr="009C1B93">
        <w:rPr>
          <w:rFonts w:ascii="SimSun" w:hAnsi="SimSun" w:hint="eastAsia"/>
          <w:sz w:val="21"/>
        </w:rPr>
        <w:t>RWCF目标。</w:t>
      </w:r>
      <w:r w:rsidR="00C053C1" w:rsidRPr="009C1B93">
        <w:rPr>
          <w:rFonts w:ascii="SimSun" w:hAnsi="SimSun" w:hint="eastAsia"/>
          <w:sz w:val="21"/>
        </w:rPr>
        <w:t>需要密切监测</w:t>
      </w:r>
      <w:r w:rsidRPr="009C1B93">
        <w:rPr>
          <w:rFonts w:ascii="SimSun" w:hAnsi="SimSun" w:hint="eastAsia"/>
          <w:sz w:val="21"/>
        </w:rPr>
        <w:t>里斯本体系的发展</w:t>
      </w:r>
      <w:r w:rsidR="00C053C1" w:rsidRPr="009C1B93">
        <w:rPr>
          <w:rFonts w:ascii="SimSun" w:hAnsi="SimSun" w:hint="eastAsia"/>
          <w:sz w:val="21"/>
        </w:rPr>
        <w:t>情况，</w:t>
      </w:r>
      <w:r w:rsidRPr="009C1B93">
        <w:rPr>
          <w:rFonts w:ascii="SimSun" w:hAnsi="SimSun" w:hint="eastAsia"/>
          <w:sz w:val="21"/>
        </w:rPr>
        <w:t>以</w:t>
      </w:r>
      <w:r w:rsidR="00C053C1" w:rsidRPr="009C1B93">
        <w:rPr>
          <w:rFonts w:ascii="SimSun" w:hAnsi="SimSun" w:hint="eastAsia"/>
          <w:sz w:val="21"/>
        </w:rPr>
        <w:t>便</w:t>
      </w:r>
      <w:r w:rsidRPr="009C1B93">
        <w:rPr>
          <w:rFonts w:ascii="SimSun" w:hAnsi="SimSun" w:hint="eastAsia"/>
          <w:sz w:val="21"/>
        </w:rPr>
        <w:t>确定引入RWCF目标</w:t>
      </w:r>
      <w:r w:rsidR="00EF2945" w:rsidRPr="009C1B93">
        <w:rPr>
          <w:rFonts w:ascii="SimSun" w:hAnsi="SimSun" w:hint="eastAsia"/>
          <w:sz w:val="21"/>
        </w:rPr>
        <w:t>及其水平</w:t>
      </w:r>
      <w:r w:rsidRPr="009C1B93">
        <w:rPr>
          <w:rFonts w:ascii="SimSun" w:hAnsi="SimSun" w:hint="eastAsia"/>
          <w:sz w:val="21"/>
        </w:rPr>
        <w:t>的适当时机。</w:t>
      </w:r>
    </w:p>
    <w:p w:rsidR="00C52783" w:rsidRPr="009C1B93" w:rsidRDefault="008D76DA" w:rsidP="009C1B93">
      <w:pPr>
        <w:pStyle w:val="ONUME"/>
        <w:numPr>
          <w:ilvl w:val="0"/>
          <w:numId w:val="19"/>
        </w:numPr>
        <w:overflowPunct w:val="0"/>
        <w:spacing w:afterLines="50" w:after="120" w:line="340" w:lineRule="atLeast"/>
        <w:ind w:left="0" w:firstLine="0"/>
        <w:jc w:val="both"/>
        <w:rPr>
          <w:rFonts w:ascii="SimSun" w:hAnsi="SimSun"/>
          <w:sz w:val="21"/>
        </w:rPr>
      </w:pPr>
      <w:r w:rsidRPr="009C1B93">
        <w:rPr>
          <w:rFonts w:ascii="SimSun" w:hAnsi="SimSun" w:hint="eastAsia"/>
          <w:sz w:val="21"/>
        </w:rPr>
        <w:t>虽然</w:t>
      </w:r>
      <w:r w:rsidR="0052730E" w:rsidRPr="009C1B93">
        <w:rPr>
          <w:rFonts w:ascii="SimSun" w:hAnsi="SimSun" w:hint="eastAsia"/>
          <w:sz w:val="21"/>
        </w:rPr>
        <w:t>PBE系数</w:t>
      </w:r>
      <w:r w:rsidRPr="009C1B93">
        <w:rPr>
          <w:rFonts w:ascii="SimSun" w:hAnsi="SimSun" w:hint="eastAsia"/>
          <w:sz w:val="21"/>
        </w:rPr>
        <w:t>由联盟一级确定，但在实践中，本组织</w:t>
      </w:r>
      <w:r w:rsidR="00F81E8D" w:rsidRPr="009C1B93">
        <w:rPr>
          <w:rFonts w:ascii="SimSun" w:hAnsi="SimSun" w:hint="eastAsia"/>
          <w:sz w:val="21"/>
        </w:rPr>
        <w:t>依据由计划(自</w:t>
      </w:r>
      <w:r w:rsidR="00E81DE1">
        <w:rPr>
          <w:rFonts w:ascii="SimSun" w:hAnsi="SimSun" w:hint="eastAsia"/>
          <w:sz w:val="21"/>
        </w:rPr>
        <w:t>上世纪</w:t>
      </w:r>
      <w:r w:rsidR="00F81E8D" w:rsidRPr="009C1B93">
        <w:rPr>
          <w:rFonts w:ascii="SimSun" w:hAnsi="SimSun" w:hint="eastAsia"/>
          <w:sz w:val="21"/>
        </w:rPr>
        <w:t>90年代后期)和预期成果(自2012/13年起)确定的单一计划和预算来开展工作。就本组织的预算</w:t>
      </w:r>
      <w:r w:rsidR="00DF4779">
        <w:rPr>
          <w:rFonts w:ascii="SimSun" w:hAnsi="SimSun" w:hint="eastAsia"/>
          <w:sz w:val="21"/>
        </w:rPr>
        <w:t>而言</w:t>
      </w:r>
      <w:r w:rsidR="00F81E8D" w:rsidRPr="009C1B93">
        <w:rPr>
          <w:rFonts w:ascii="SimSun" w:hAnsi="SimSun" w:hint="eastAsia"/>
          <w:sz w:val="21"/>
        </w:rPr>
        <w:t>，各联盟上述的</w:t>
      </w:r>
      <w:r w:rsidR="00C3714C" w:rsidRPr="009C1B93">
        <w:rPr>
          <w:rFonts w:ascii="SimSun" w:hAnsi="SimSun"/>
          <w:sz w:val="21"/>
        </w:rPr>
        <w:t>PBE</w:t>
      </w:r>
      <w:r w:rsidR="00F81E8D" w:rsidRPr="009C1B93">
        <w:rPr>
          <w:rFonts w:ascii="SimSun" w:hAnsi="SimSun" w:hint="eastAsia"/>
          <w:sz w:val="21"/>
        </w:rPr>
        <w:t>系数转化之后，相当于本组织的</w:t>
      </w:r>
      <w:r w:rsidR="00C3714C" w:rsidRPr="009C1B93">
        <w:rPr>
          <w:rFonts w:ascii="SimSun" w:hAnsi="SimSun"/>
          <w:sz w:val="21"/>
        </w:rPr>
        <w:t>PBE</w:t>
      </w:r>
      <w:r w:rsidR="00F81E8D" w:rsidRPr="009C1B93">
        <w:rPr>
          <w:rFonts w:ascii="SimSun" w:hAnsi="SimSun" w:hint="eastAsia"/>
          <w:sz w:val="21"/>
        </w:rPr>
        <w:t>系数约为</w:t>
      </w:r>
      <w:r w:rsidR="00C3714C" w:rsidRPr="009C1B93">
        <w:rPr>
          <w:rFonts w:ascii="SimSun" w:hAnsi="SimSun"/>
          <w:sz w:val="21"/>
        </w:rPr>
        <w:t>22</w:t>
      </w:r>
      <w:r w:rsidR="00F81E8D" w:rsidRPr="009C1B93">
        <w:rPr>
          <w:rFonts w:ascii="SimSun" w:hAnsi="SimSun" w:hint="eastAsia"/>
          <w:sz w:val="21"/>
        </w:rPr>
        <w:t>%</w:t>
      </w:r>
      <w:r w:rsidR="007B5544" w:rsidRPr="009C1B93">
        <w:rPr>
          <w:rFonts w:ascii="SimSun" w:hAnsi="SimSun" w:hint="eastAsia"/>
          <w:sz w:val="21"/>
        </w:rPr>
        <w:t>。这一数值与当前18.5%的水平相比有所增加，相当于本组织五个多月的</w:t>
      </w:r>
      <w:r w:rsidR="0052730E" w:rsidRPr="009C1B93">
        <w:rPr>
          <w:rFonts w:ascii="SimSun" w:hAnsi="SimSun" w:hint="eastAsia"/>
          <w:sz w:val="21"/>
        </w:rPr>
        <w:t>两年期预计支出</w:t>
      </w:r>
      <w:r w:rsidR="007B5544" w:rsidRPr="009C1B93">
        <w:rPr>
          <w:rFonts w:ascii="SimSun" w:hAnsi="SimSun" w:hint="eastAsia"/>
          <w:sz w:val="21"/>
        </w:rPr>
        <w:t>，而当前水平相当于</w:t>
      </w:r>
      <w:r w:rsidR="0052730E" w:rsidRPr="009C1B93">
        <w:rPr>
          <w:rFonts w:ascii="SimSun" w:hAnsi="SimSun" w:hint="eastAsia"/>
          <w:sz w:val="21"/>
        </w:rPr>
        <w:t>大约四个月的支出</w:t>
      </w:r>
      <w:r w:rsidR="007B5544" w:rsidRPr="009C1B93">
        <w:rPr>
          <w:rFonts w:ascii="SimSun" w:hAnsi="SimSun" w:hint="eastAsia"/>
          <w:sz w:val="21"/>
        </w:rPr>
        <w:t>。储备</w:t>
      </w:r>
      <w:proofErr w:type="gramStart"/>
      <w:r w:rsidR="007B5544" w:rsidRPr="009C1B93">
        <w:rPr>
          <w:rFonts w:ascii="SimSun" w:hAnsi="SimSun" w:hint="eastAsia"/>
          <w:sz w:val="21"/>
        </w:rPr>
        <w:t>金目标</w:t>
      </w:r>
      <w:proofErr w:type="gramEnd"/>
      <w:r w:rsidR="007B5544" w:rsidRPr="009C1B93">
        <w:rPr>
          <w:rFonts w:ascii="SimSun" w:hAnsi="SimSun" w:hint="eastAsia"/>
          <w:sz w:val="21"/>
        </w:rPr>
        <w:t>水平的提高有助于加强对</w:t>
      </w:r>
      <w:r w:rsidR="0052730E" w:rsidRPr="009C1B93">
        <w:rPr>
          <w:rFonts w:ascii="SimSun" w:hAnsi="SimSun" w:hint="eastAsia"/>
          <w:sz w:val="21"/>
        </w:rPr>
        <w:t>财务风险</w:t>
      </w:r>
      <w:r w:rsidR="007B5544" w:rsidRPr="009C1B93">
        <w:rPr>
          <w:rFonts w:ascii="SimSun" w:hAnsi="SimSun" w:hint="eastAsia"/>
          <w:sz w:val="21"/>
        </w:rPr>
        <w:t>的</w:t>
      </w:r>
      <w:r w:rsidR="0052730E" w:rsidRPr="009C1B93">
        <w:rPr>
          <w:rFonts w:ascii="SimSun" w:hAnsi="SimSun" w:hint="eastAsia"/>
          <w:sz w:val="21"/>
        </w:rPr>
        <w:t>管理</w:t>
      </w:r>
      <w:r w:rsidR="007B5544" w:rsidRPr="009C1B93">
        <w:rPr>
          <w:rFonts w:ascii="SimSun" w:hAnsi="SimSun" w:hint="eastAsia"/>
          <w:sz w:val="21"/>
        </w:rPr>
        <w:t>。此外，拟议的增加也符合成员国的偏好，即储备金水平应逐步增加。储备金水平增加为22%也更加接近2006年瑞士外聘审计员的建议，即储备金水平应该设为两年期预计支出的25%，相当于六个月的两年期支出。</w:t>
      </w:r>
    </w:p>
    <w:p w:rsidR="00C52783" w:rsidRPr="009C1B93" w:rsidRDefault="005673F4" w:rsidP="009C1B93">
      <w:pPr>
        <w:pStyle w:val="ONUME"/>
        <w:numPr>
          <w:ilvl w:val="0"/>
          <w:numId w:val="19"/>
        </w:numPr>
        <w:overflowPunct w:val="0"/>
        <w:spacing w:afterLines="50" w:after="120" w:line="340" w:lineRule="atLeast"/>
        <w:ind w:left="0" w:firstLine="0"/>
        <w:jc w:val="both"/>
        <w:rPr>
          <w:rFonts w:ascii="SimSun" w:hAnsi="SimSun"/>
          <w:sz w:val="21"/>
        </w:rPr>
      </w:pPr>
      <w:r w:rsidRPr="009C1B93">
        <w:rPr>
          <w:rFonts w:ascii="SimSun" w:hAnsi="SimSun" w:hint="eastAsia"/>
          <w:sz w:val="21"/>
        </w:rPr>
        <w:t>WIPO</w:t>
      </w:r>
      <w:r w:rsidR="0052730E" w:rsidRPr="009C1B93">
        <w:rPr>
          <w:rFonts w:ascii="SimSun" w:hAnsi="SimSun" w:hint="eastAsia"/>
          <w:sz w:val="21"/>
        </w:rPr>
        <w:t>目前未面临流动性风险敞口，因为本组织有大量不受限现金资源，这些现金资源通过业务结果得到补充。</w:t>
      </w:r>
      <w:r w:rsidR="0078770B" w:rsidRPr="009C1B93">
        <w:rPr>
          <w:rFonts w:ascii="SimSun" w:hAnsi="SimSun" w:hint="eastAsia"/>
          <w:sz w:val="21"/>
        </w:rPr>
        <w:t>然而，维持RWCF目标的目的之一，是确保本组织保持其在短期内履行义务的能力。因此，RWCF</w:t>
      </w:r>
      <w:r w:rsidR="006B094B">
        <w:rPr>
          <w:rFonts w:ascii="SimSun" w:hAnsi="SimSun" w:hint="eastAsia"/>
          <w:sz w:val="21"/>
        </w:rPr>
        <w:t>的目标水平应尽可能以现金持有</w:t>
      </w:r>
      <w:r w:rsidR="0078770B" w:rsidRPr="009C1B93">
        <w:rPr>
          <w:rFonts w:ascii="SimSun" w:hAnsi="SimSun" w:hint="eastAsia"/>
          <w:sz w:val="21"/>
        </w:rPr>
        <w:t>，或者根据现行的投资政策，以较低的成本或零成本，以在短期内</w:t>
      </w:r>
      <w:r w:rsidR="006B094B">
        <w:rPr>
          <w:rFonts w:ascii="SimSun" w:hAnsi="SimSun" w:hint="eastAsia"/>
          <w:sz w:val="21"/>
        </w:rPr>
        <w:t>能够变现</w:t>
      </w:r>
      <w:r w:rsidR="0078770B" w:rsidRPr="009C1B93">
        <w:rPr>
          <w:rFonts w:ascii="SimSun" w:hAnsi="SimSun" w:hint="eastAsia"/>
          <w:sz w:val="21"/>
        </w:rPr>
        <w:t>的投资</w:t>
      </w:r>
      <w:r w:rsidR="006B094B">
        <w:rPr>
          <w:rFonts w:ascii="SimSun" w:hAnsi="SimSun" w:hint="eastAsia"/>
          <w:sz w:val="21"/>
        </w:rPr>
        <w:t>持有</w:t>
      </w:r>
      <w:r w:rsidR="0078770B" w:rsidRPr="009C1B93">
        <w:rPr>
          <w:rFonts w:ascii="SimSun" w:hAnsi="SimSun" w:hint="eastAsia"/>
          <w:sz w:val="21"/>
        </w:rPr>
        <w:t>。储备</w:t>
      </w:r>
      <w:proofErr w:type="gramStart"/>
      <w:r w:rsidR="0078770B" w:rsidRPr="009C1B93">
        <w:rPr>
          <w:rFonts w:ascii="SimSun" w:hAnsi="SimSun" w:hint="eastAsia"/>
          <w:sz w:val="21"/>
        </w:rPr>
        <w:t>金目标</w:t>
      </w:r>
      <w:proofErr w:type="gramEnd"/>
      <w:r w:rsidR="0078770B" w:rsidRPr="009C1B93">
        <w:rPr>
          <w:rFonts w:ascii="SimSun" w:hAnsi="SimSun" w:hint="eastAsia"/>
          <w:sz w:val="21"/>
        </w:rPr>
        <w:t>以现金或其他流动资产保持的程度取决于负利率、金融机构能够给予WIPO的阈值</w:t>
      </w:r>
      <w:r w:rsidR="00622E29">
        <w:rPr>
          <w:rFonts w:ascii="SimSun" w:hAnsi="SimSun" w:hint="eastAsia"/>
          <w:sz w:val="21"/>
        </w:rPr>
        <w:t>(</w:t>
      </w:r>
      <w:r w:rsidR="0078770B" w:rsidRPr="009C1B93">
        <w:rPr>
          <w:rFonts w:ascii="SimSun" w:hAnsi="SimSun" w:hint="eastAsia"/>
          <w:sz w:val="21"/>
        </w:rPr>
        <w:t>达到该值的话，我们的存款就不会吸引负利率</w:t>
      </w:r>
      <w:r w:rsidR="00622E29">
        <w:rPr>
          <w:rFonts w:ascii="SimSun" w:hAnsi="SimSun" w:hint="eastAsia"/>
          <w:sz w:val="21"/>
        </w:rPr>
        <w:t>)</w:t>
      </w:r>
      <w:r w:rsidR="0078770B" w:rsidRPr="009C1B93">
        <w:rPr>
          <w:rFonts w:ascii="SimSun" w:hAnsi="SimSun" w:hint="eastAsia"/>
          <w:sz w:val="21"/>
        </w:rPr>
        <w:t>和投资政策。</w:t>
      </w:r>
    </w:p>
    <w:p w:rsidR="00C52783" w:rsidRPr="00E414BF" w:rsidRDefault="00316A4A" w:rsidP="00E414BF">
      <w:pPr>
        <w:keepNext/>
        <w:spacing w:afterLines="50" w:after="120" w:line="340" w:lineRule="atLeast"/>
        <w:rPr>
          <w:rFonts w:ascii="SimSun" w:hAnsi="SimSun"/>
          <w:b/>
          <w:sz w:val="21"/>
        </w:rPr>
      </w:pPr>
      <w:r w:rsidRPr="00E414BF">
        <w:rPr>
          <w:rFonts w:ascii="SimSun" w:hAnsi="SimSun" w:hint="eastAsia"/>
          <w:b/>
          <w:sz w:val="21"/>
        </w:rPr>
        <w:t>二、</w:t>
      </w:r>
      <w:r w:rsidR="00C3714C" w:rsidRPr="00E414BF">
        <w:rPr>
          <w:rFonts w:ascii="SimSun" w:hAnsi="SimSun"/>
          <w:b/>
          <w:sz w:val="21"/>
        </w:rPr>
        <w:t>(C)</w:t>
      </w:r>
      <w:r w:rsidR="00C3714C" w:rsidRPr="00E414BF">
        <w:rPr>
          <w:rFonts w:ascii="SimSun" w:hAnsi="SimSun"/>
          <w:b/>
          <w:sz w:val="21"/>
        </w:rPr>
        <w:tab/>
      </w:r>
      <w:r w:rsidR="00344D5D" w:rsidRPr="00E414BF">
        <w:rPr>
          <w:rFonts w:ascii="SimSun" w:hAnsi="SimSun" w:hint="eastAsia"/>
          <w:b/>
          <w:sz w:val="21"/>
        </w:rPr>
        <w:t>储备金的报告</w:t>
      </w:r>
    </w:p>
    <w:p w:rsidR="00C52783" w:rsidRPr="009C1B93" w:rsidRDefault="0052730E" w:rsidP="009C1B93">
      <w:pPr>
        <w:pStyle w:val="ONUME"/>
        <w:numPr>
          <w:ilvl w:val="0"/>
          <w:numId w:val="19"/>
        </w:numPr>
        <w:overflowPunct w:val="0"/>
        <w:spacing w:afterLines="50" w:after="120" w:line="340" w:lineRule="atLeast"/>
        <w:ind w:left="0" w:firstLine="0"/>
        <w:jc w:val="both"/>
        <w:rPr>
          <w:rFonts w:ascii="SimSun" w:hAnsi="SimSun"/>
          <w:sz w:val="21"/>
        </w:rPr>
      </w:pPr>
      <w:r w:rsidRPr="009C1B93">
        <w:rPr>
          <w:rFonts w:ascii="SimSun" w:hAnsi="SimSun" w:hint="eastAsia"/>
          <w:sz w:val="21"/>
        </w:rPr>
        <w:t>RWCF</w:t>
      </w:r>
      <w:r w:rsidR="00D82AF7" w:rsidRPr="009C1B93">
        <w:rPr>
          <w:rFonts w:ascii="SimSun" w:hAnsi="SimSun" w:hint="eastAsia"/>
          <w:sz w:val="21"/>
        </w:rPr>
        <w:t>对于WIPO的财务</w:t>
      </w:r>
      <w:r w:rsidR="00975A46">
        <w:rPr>
          <w:rFonts w:ascii="SimSun" w:hAnsi="SimSun" w:hint="eastAsia"/>
          <w:sz w:val="21"/>
        </w:rPr>
        <w:t>规划</w:t>
      </w:r>
      <w:r w:rsidRPr="009C1B93">
        <w:rPr>
          <w:rFonts w:ascii="SimSun" w:hAnsi="SimSun" w:hint="eastAsia"/>
          <w:sz w:val="21"/>
        </w:rPr>
        <w:t>和管理</w:t>
      </w:r>
      <w:r w:rsidR="00D82AF7" w:rsidRPr="009C1B93">
        <w:rPr>
          <w:rFonts w:ascii="SimSun" w:hAnsi="SimSun" w:hint="eastAsia"/>
          <w:sz w:val="21"/>
        </w:rPr>
        <w:t>至关重要，对RWCF的报告是</w:t>
      </w:r>
      <w:r w:rsidRPr="009C1B93">
        <w:rPr>
          <w:rFonts w:ascii="SimSun" w:hAnsi="SimSun" w:hint="eastAsia"/>
          <w:sz w:val="21"/>
        </w:rPr>
        <w:t>两年</w:t>
      </w:r>
      <w:proofErr w:type="gramStart"/>
      <w:r w:rsidRPr="009C1B93">
        <w:rPr>
          <w:rFonts w:ascii="SimSun" w:hAnsi="SimSun" w:hint="eastAsia"/>
          <w:sz w:val="21"/>
        </w:rPr>
        <w:t>期计划</w:t>
      </w:r>
      <w:proofErr w:type="gramEnd"/>
      <w:r w:rsidRPr="009C1B93">
        <w:rPr>
          <w:rFonts w:ascii="SimSun" w:hAnsi="SimSun" w:hint="eastAsia"/>
          <w:sz w:val="21"/>
        </w:rPr>
        <w:t>和预算</w:t>
      </w:r>
      <w:r w:rsidR="00D82AF7" w:rsidRPr="009C1B93">
        <w:rPr>
          <w:rFonts w:ascii="SimSun" w:hAnsi="SimSun" w:hint="eastAsia"/>
          <w:sz w:val="21"/>
        </w:rPr>
        <w:t>、</w:t>
      </w:r>
      <w:r w:rsidRPr="009C1B93">
        <w:rPr>
          <w:rFonts w:ascii="SimSun" w:hAnsi="SimSun" w:hint="eastAsia"/>
          <w:sz w:val="21"/>
        </w:rPr>
        <w:t>财务报表</w:t>
      </w:r>
      <w:r w:rsidR="00D82AF7" w:rsidRPr="009C1B93">
        <w:rPr>
          <w:rFonts w:ascii="SimSun" w:hAnsi="SimSun" w:hint="eastAsia"/>
          <w:sz w:val="21"/>
        </w:rPr>
        <w:t>以及</w:t>
      </w:r>
      <w:r w:rsidRPr="009C1B93">
        <w:rPr>
          <w:rFonts w:ascii="SimSun" w:hAnsi="SimSun" w:hint="eastAsia"/>
          <w:sz w:val="21"/>
        </w:rPr>
        <w:t>财务管理</w:t>
      </w:r>
      <w:r w:rsidR="00D82AF7" w:rsidRPr="009C1B93">
        <w:rPr>
          <w:rFonts w:ascii="SimSun" w:hAnsi="SimSun" w:hint="eastAsia"/>
          <w:sz w:val="21"/>
        </w:rPr>
        <w:t>报告的</w:t>
      </w:r>
      <w:r w:rsidR="00975A46">
        <w:rPr>
          <w:rFonts w:ascii="SimSun" w:hAnsi="SimSun" w:hint="eastAsia"/>
          <w:sz w:val="21"/>
        </w:rPr>
        <w:t>内在</w:t>
      </w:r>
      <w:r w:rsidR="00D82AF7" w:rsidRPr="009C1B93">
        <w:rPr>
          <w:rFonts w:ascii="SimSun" w:hAnsi="SimSun" w:hint="eastAsia"/>
          <w:sz w:val="21"/>
        </w:rPr>
        <w:t>组成部分。</w:t>
      </w:r>
    </w:p>
    <w:p w:rsidR="00C52783" w:rsidRPr="009C1B93" w:rsidRDefault="00655FD7" w:rsidP="009C1B93">
      <w:pPr>
        <w:pStyle w:val="ONUME"/>
        <w:numPr>
          <w:ilvl w:val="0"/>
          <w:numId w:val="19"/>
        </w:numPr>
        <w:overflowPunct w:val="0"/>
        <w:spacing w:afterLines="50" w:after="120" w:line="340" w:lineRule="atLeast"/>
        <w:ind w:left="0" w:firstLine="0"/>
        <w:jc w:val="both"/>
        <w:rPr>
          <w:rFonts w:ascii="SimSun" w:hAnsi="SimSun"/>
          <w:sz w:val="21"/>
        </w:rPr>
      </w:pPr>
      <w:r>
        <w:rPr>
          <w:rFonts w:ascii="SimSun" w:hAnsi="SimSun" w:hint="eastAsia"/>
          <w:sz w:val="21"/>
        </w:rPr>
        <w:t>WIPO</w:t>
      </w:r>
      <w:r w:rsidR="0052730E" w:rsidRPr="009C1B93">
        <w:rPr>
          <w:rFonts w:ascii="SimSun" w:hAnsi="SimSun" w:hint="eastAsia"/>
          <w:sz w:val="21"/>
        </w:rPr>
        <w:t>两年</w:t>
      </w:r>
      <w:proofErr w:type="gramStart"/>
      <w:r w:rsidR="0052730E" w:rsidRPr="009C1B93">
        <w:rPr>
          <w:rFonts w:ascii="SimSun" w:hAnsi="SimSun" w:hint="eastAsia"/>
          <w:sz w:val="21"/>
        </w:rPr>
        <w:t>期计划</w:t>
      </w:r>
      <w:proofErr w:type="gramEnd"/>
      <w:r w:rsidR="0052730E" w:rsidRPr="009C1B93">
        <w:rPr>
          <w:rFonts w:ascii="SimSun" w:hAnsi="SimSun" w:hint="eastAsia"/>
          <w:sz w:val="21"/>
        </w:rPr>
        <w:t>和预算提供了按联盟开列的收入</w:t>
      </w:r>
      <w:r w:rsidR="00D82AF7" w:rsidRPr="009C1B93">
        <w:rPr>
          <w:rFonts w:ascii="SimSun" w:hAnsi="SimSun" w:hint="eastAsia"/>
          <w:sz w:val="21"/>
        </w:rPr>
        <w:t>、</w:t>
      </w:r>
      <w:r w:rsidR="0052730E" w:rsidRPr="009C1B93">
        <w:rPr>
          <w:rFonts w:ascii="SimSun" w:hAnsi="SimSun" w:hint="eastAsia"/>
          <w:sz w:val="21"/>
        </w:rPr>
        <w:t>支出和结算情况。</w:t>
      </w:r>
    </w:p>
    <w:p w:rsidR="00C52783" w:rsidRPr="009C1B93" w:rsidRDefault="00240818" w:rsidP="009C1B93">
      <w:pPr>
        <w:pStyle w:val="ONUME"/>
        <w:numPr>
          <w:ilvl w:val="0"/>
          <w:numId w:val="19"/>
        </w:numPr>
        <w:overflowPunct w:val="0"/>
        <w:spacing w:afterLines="50" w:after="120" w:line="340" w:lineRule="atLeast"/>
        <w:ind w:left="0" w:firstLine="0"/>
        <w:jc w:val="both"/>
        <w:rPr>
          <w:rFonts w:ascii="SimSun" w:hAnsi="SimSun"/>
          <w:sz w:val="21"/>
        </w:rPr>
      </w:pPr>
      <w:r w:rsidRPr="009C1B93">
        <w:rPr>
          <w:rFonts w:ascii="SimSun" w:hAnsi="SimSun" w:hint="eastAsia"/>
          <w:sz w:val="21"/>
        </w:rPr>
        <w:t>WIPO储备金(净资产)在本组织财务报表的财务状况表(即报表</w:t>
      </w:r>
      <w:proofErr w:type="gramStart"/>
      <w:r w:rsidRPr="009C1B93">
        <w:rPr>
          <w:rFonts w:ascii="SimSun" w:hAnsi="SimSun" w:hint="eastAsia"/>
          <w:sz w:val="21"/>
        </w:rPr>
        <w:t>一</w:t>
      </w:r>
      <w:proofErr w:type="gramEnd"/>
      <w:r w:rsidR="00622E29">
        <w:rPr>
          <w:rFonts w:ascii="SimSun" w:hAnsi="SimSun" w:hint="eastAsia"/>
          <w:sz w:val="21"/>
        </w:rPr>
        <w:t>)</w:t>
      </w:r>
      <w:r w:rsidRPr="009C1B93">
        <w:rPr>
          <w:rFonts w:ascii="SimSun" w:hAnsi="SimSun" w:hint="eastAsia"/>
          <w:sz w:val="21"/>
        </w:rPr>
        <w:t>和所附说明中加以报告。财务报表中WIPO</w:t>
      </w:r>
      <w:r w:rsidR="00655FD7">
        <w:rPr>
          <w:rFonts w:ascii="SimSun" w:hAnsi="SimSun" w:hint="eastAsia"/>
          <w:sz w:val="21"/>
        </w:rPr>
        <w:t>的</w:t>
      </w:r>
      <w:r w:rsidRPr="009C1B93">
        <w:rPr>
          <w:rFonts w:ascii="SimSun" w:hAnsi="SimSun" w:hint="eastAsia"/>
          <w:sz w:val="21"/>
        </w:rPr>
        <w:t>净资产包括储备金(累计</w:t>
      </w:r>
      <w:r w:rsidR="00655FD7">
        <w:rPr>
          <w:rFonts w:ascii="SimSun" w:hAnsi="SimSun" w:hint="eastAsia"/>
          <w:sz w:val="21"/>
        </w:rPr>
        <w:t>盈余</w:t>
      </w:r>
      <w:r w:rsidRPr="009C1B93">
        <w:rPr>
          <w:rFonts w:ascii="SimSun" w:hAnsi="SimSun" w:hint="eastAsia"/>
          <w:sz w:val="21"/>
        </w:rPr>
        <w:t>和重估储备金</w:t>
      </w:r>
      <w:r w:rsidR="00655FD7">
        <w:rPr>
          <w:rFonts w:ascii="SimSun" w:hAnsi="SimSun" w:hint="eastAsia"/>
          <w:sz w:val="21"/>
        </w:rPr>
        <w:t>盈余</w:t>
      </w:r>
      <w:r w:rsidRPr="009C1B93">
        <w:rPr>
          <w:rFonts w:ascii="SimSun" w:hAnsi="SimSun" w:hint="eastAsia"/>
          <w:sz w:val="21"/>
        </w:rPr>
        <w:t>)和周转基金</w:t>
      </w:r>
      <w:r w:rsidR="00E21523" w:rsidRPr="009C1B93">
        <w:rPr>
          <w:rFonts w:ascii="SimSun" w:hAnsi="SimSun" w:hint="eastAsia"/>
          <w:sz w:val="21"/>
        </w:rPr>
        <w:t>。</w:t>
      </w:r>
      <w:r w:rsidR="00634806" w:rsidRPr="009C1B93">
        <w:rPr>
          <w:rFonts w:ascii="SimSun" w:hAnsi="SimSun" w:hint="eastAsia"/>
          <w:sz w:val="21"/>
        </w:rPr>
        <w:t>周转基金由有关各联盟自己的条约协议建立，仍是通过会费设立的基金，由WIPO</w:t>
      </w:r>
      <w:r w:rsidR="00F67CAB">
        <w:rPr>
          <w:rFonts w:ascii="SimSun" w:hAnsi="SimSun" w:hint="eastAsia"/>
          <w:sz w:val="21"/>
        </w:rPr>
        <w:t>为</w:t>
      </w:r>
      <w:r w:rsidR="00634806" w:rsidRPr="009C1B93">
        <w:rPr>
          <w:rFonts w:ascii="SimSun" w:hAnsi="SimSun" w:hint="eastAsia"/>
          <w:sz w:val="21"/>
        </w:rPr>
        <w:t>各联盟的成员国代管。如果出现临时的流动性短缺，经各联盟大会决定，可以动用RWCF。</w:t>
      </w:r>
    </w:p>
    <w:p w:rsidR="00C52783" w:rsidRPr="009C1B93" w:rsidRDefault="001A18DE" w:rsidP="009C1B93">
      <w:pPr>
        <w:pStyle w:val="ONUME"/>
        <w:numPr>
          <w:ilvl w:val="0"/>
          <w:numId w:val="19"/>
        </w:numPr>
        <w:overflowPunct w:val="0"/>
        <w:spacing w:afterLines="50" w:after="120" w:line="340" w:lineRule="atLeast"/>
        <w:ind w:left="0" w:firstLine="0"/>
        <w:jc w:val="both"/>
        <w:rPr>
          <w:rFonts w:ascii="SimSun" w:hAnsi="SimSun"/>
          <w:sz w:val="21"/>
        </w:rPr>
      </w:pPr>
      <w:r>
        <w:rPr>
          <w:rFonts w:ascii="SimSun" w:hAnsi="SimSun" w:hint="eastAsia"/>
          <w:sz w:val="21"/>
        </w:rPr>
        <w:t>根据从</w:t>
      </w:r>
      <w:r w:rsidR="007F3F91" w:rsidRPr="009C1B93">
        <w:rPr>
          <w:rFonts w:ascii="SimSun" w:hAnsi="SimSun" w:hint="eastAsia"/>
          <w:sz w:val="21"/>
        </w:rPr>
        <w:t>外聘审计员</w:t>
      </w:r>
      <w:r>
        <w:rPr>
          <w:rFonts w:ascii="SimSun" w:hAnsi="SimSun" w:hint="eastAsia"/>
          <w:sz w:val="21"/>
        </w:rPr>
        <w:t>收到的关于单独设立储备金为项目供</w:t>
      </w:r>
      <w:r w:rsidR="00EB00ED" w:rsidRPr="009C1B93">
        <w:rPr>
          <w:rFonts w:ascii="SimSun" w:hAnsi="SimSun" w:hint="eastAsia"/>
          <w:sz w:val="21"/>
        </w:rPr>
        <w:t>资的审计</w:t>
      </w:r>
      <w:r w:rsidR="007F3F91" w:rsidRPr="009C1B93">
        <w:rPr>
          <w:rFonts w:ascii="SimSun" w:hAnsi="SimSun" w:hint="eastAsia"/>
          <w:sz w:val="21"/>
        </w:rPr>
        <w:t>建议</w:t>
      </w:r>
      <w:r w:rsidR="00EB00ED" w:rsidRPr="009C1B93">
        <w:rPr>
          <w:rFonts w:ascii="SimSun" w:hAnsi="SimSun" w:hint="eastAsia"/>
          <w:sz w:val="21"/>
        </w:rPr>
        <w:t>，</w:t>
      </w:r>
      <w:r w:rsidR="001B6E6C">
        <w:rPr>
          <w:rFonts w:ascii="SimSun" w:hAnsi="SimSun" w:hint="eastAsia"/>
          <w:sz w:val="21"/>
        </w:rPr>
        <w:t>提出</w:t>
      </w:r>
      <w:r w:rsidR="00EB00ED" w:rsidRPr="009C1B93">
        <w:rPr>
          <w:rFonts w:ascii="SimSun" w:hAnsi="SimSun" w:hint="eastAsia"/>
          <w:sz w:val="21"/>
        </w:rPr>
        <w:t>改进</w:t>
      </w:r>
      <w:r w:rsidR="007F3F91" w:rsidRPr="009C1B93">
        <w:rPr>
          <w:rFonts w:ascii="SimSun" w:hAnsi="SimSun" w:hint="eastAsia"/>
          <w:sz w:val="21"/>
        </w:rPr>
        <w:t>对WIPO</w:t>
      </w:r>
      <w:r w:rsidR="00EB00ED" w:rsidRPr="009C1B93">
        <w:rPr>
          <w:rFonts w:ascii="SimSun" w:hAnsi="SimSun" w:hint="eastAsia"/>
          <w:sz w:val="21"/>
        </w:rPr>
        <w:t>储备金</w:t>
      </w:r>
      <w:r w:rsidR="001B6E6C">
        <w:rPr>
          <w:rFonts w:ascii="SimSun" w:hAnsi="SimSun" w:hint="eastAsia"/>
          <w:sz w:val="21"/>
        </w:rPr>
        <w:t>进行</w:t>
      </w:r>
      <w:r w:rsidR="007F3F91" w:rsidRPr="009C1B93">
        <w:rPr>
          <w:rFonts w:ascii="SimSun" w:hAnsi="SimSun" w:hint="eastAsia"/>
          <w:sz w:val="21"/>
        </w:rPr>
        <w:t>报告</w:t>
      </w:r>
      <w:r w:rsidR="001B6E6C">
        <w:rPr>
          <w:rFonts w:ascii="SimSun" w:hAnsi="SimSun" w:hint="eastAsia"/>
          <w:sz w:val="21"/>
        </w:rPr>
        <w:t>的提案</w:t>
      </w:r>
      <w:r w:rsidR="007F3F91" w:rsidRPr="009C1B93">
        <w:rPr>
          <w:rFonts w:ascii="SimSun" w:hAnsi="SimSun" w:hint="eastAsia"/>
          <w:sz w:val="21"/>
        </w:rPr>
        <w:t>。这些</w:t>
      </w:r>
      <w:proofErr w:type="gramStart"/>
      <w:r w:rsidR="007F3F91" w:rsidRPr="009C1B93">
        <w:rPr>
          <w:rFonts w:ascii="SimSun" w:hAnsi="SimSun" w:hint="eastAsia"/>
          <w:sz w:val="21"/>
        </w:rPr>
        <w:t>改进</w:t>
      </w:r>
      <w:r w:rsidR="00EB00ED" w:rsidRPr="009C1B93">
        <w:rPr>
          <w:rFonts w:ascii="SimSun" w:hAnsi="SimSun" w:hint="eastAsia"/>
          <w:sz w:val="21"/>
        </w:rPr>
        <w:t>既</w:t>
      </w:r>
      <w:proofErr w:type="gramEnd"/>
      <w:r w:rsidR="00EB00ED" w:rsidRPr="009C1B93">
        <w:rPr>
          <w:rFonts w:ascii="SimSun" w:hAnsi="SimSun" w:hint="eastAsia"/>
          <w:sz w:val="21"/>
        </w:rPr>
        <w:t>体现</w:t>
      </w:r>
      <w:r w:rsidR="007F3F91" w:rsidRPr="009C1B93">
        <w:rPr>
          <w:rFonts w:ascii="SimSun" w:hAnsi="SimSun" w:hint="eastAsia"/>
          <w:sz w:val="21"/>
        </w:rPr>
        <w:t>在财务状况</w:t>
      </w:r>
      <w:r w:rsidR="00EB00ED" w:rsidRPr="009C1B93">
        <w:rPr>
          <w:rFonts w:ascii="SimSun" w:hAnsi="SimSun" w:hint="eastAsia"/>
          <w:sz w:val="21"/>
        </w:rPr>
        <w:t>表中，也体现在附注中，也就</w:t>
      </w:r>
      <w:r w:rsidR="007F3F91" w:rsidRPr="009C1B93">
        <w:rPr>
          <w:rFonts w:ascii="SimSun" w:hAnsi="SimSun" w:hint="eastAsia"/>
          <w:sz w:val="21"/>
        </w:rPr>
        <w:t>是目前</w:t>
      </w:r>
      <w:r w:rsidR="00EB00ED" w:rsidRPr="009C1B93">
        <w:rPr>
          <w:rFonts w:ascii="SimSun" w:hAnsi="SimSun" w:hint="eastAsia"/>
          <w:sz w:val="21"/>
        </w:rPr>
        <w:t>的附</w:t>
      </w:r>
      <w:r w:rsidR="007F3F91" w:rsidRPr="009C1B93">
        <w:rPr>
          <w:rFonts w:ascii="SimSun" w:hAnsi="SimSun" w:hint="eastAsia"/>
          <w:sz w:val="21"/>
        </w:rPr>
        <w:t>注21</w:t>
      </w:r>
      <w:r w:rsidR="00EB00ED" w:rsidRPr="009C1B93">
        <w:rPr>
          <w:rFonts w:ascii="SimSun" w:hAnsi="SimSun" w:hint="eastAsia"/>
          <w:sz w:val="21"/>
        </w:rPr>
        <w:t>。提案是要</w:t>
      </w:r>
      <w:r w:rsidR="00D62C89">
        <w:rPr>
          <w:rFonts w:ascii="SimSun" w:hAnsi="SimSun" w:hint="eastAsia"/>
          <w:sz w:val="21"/>
        </w:rPr>
        <w:t>单独设立</w:t>
      </w:r>
      <w:r w:rsidR="00EB00ED" w:rsidRPr="009C1B93">
        <w:rPr>
          <w:rFonts w:ascii="SimSun" w:hAnsi="SimSun" w:hint="eastAsia"/>
          <w:sz w:val="21"/>
        </w:rPr>
        <w:t>一项</w:t>
      </w:r>
      <w:r w:rsidR="007F3F91" w:rsidRPr="009C1B93">
        <w:rPr>
          <w:rFonts w:ascii="SimSun" w:hAnsi="SimSun" w:hint="eastAsia"/>
          <w:sz w:val="21"/>
        </w:rPr>
        <w:t>储备</w:t>
      </w:r>
      <w:r w:rsidR="00EB00ED" w:rsidRPr="009C1B93">
        <w:rPr>
          <w:rFonts w:ascii="SimSun" w:hAnsi="SimSun" w:hint="eastAsia"/>
          <w:sz w:val="21"/>
        </w:rPr>
        <w:t>金</w:t>
      </w:r>
      <w:r w:rsidR="007F3F91" w:rsidRPr="009C1B93">
        <w:rPr>
          <w:rFonts w:ascii="SimSun" w:hAnsi="SimSun" w:hint="eastAsia"/>
          <w:sz w:val="21"/>
        </w:rPr>
        <w:t>，</w:t>
      </w:r>
      <w:r w:rsidR="00A63710" w:rsidRPr="009C1B93">
        <w:rPr>
          <w:rFonts w:ascii="SimSun" w:hAnsi="SimSun" w:hint="eastAsia"/>
          <w:sz w:val="21"/>
        </w:rPr>
        <w:t>名称定为“</w:t>
      </w:r>
      <w:r>
        <w:rPr>
          <w:rFonts w:ascii="SimSun" w:hAnsi="SimSun" w:hint="eastAsia"/>
          <w:sz w:val="21"/>
        </w:rPr>
        <w:t>特别项目储备金</w:t>
      </w:r>
      <w:r w:rsidR="00A63710" w:rsidRPr="009C1B93">
        <w:rPr>
          <w:rFonts w:ascii="SimSun" w:hAnsi="SimSun" w:hint="eastAsia"/>
          <w:sz w:val="21"/>
        </w:rPr>
        <w:t>”</w:t>
      </w:r>
      <w:r w:rsidR="007F3F91" w:rsidRPr="009C1B93">
        <w:rPr>
          <w:rFonts w:ascii="SimSun" w:hAnsi="SimSun" w:hint="eastAsia"/>
          <w:sz w:val="21"/>
        </w:rPr>
        <w:t>，其中将包括</w:t>
      </w:r>
      <w:r w:rsidR="00B17919">
        <w:rPr>
          <w:rFonts w:ascii="SimSun" w:hAnsi="SimSun" w:hint="eastAsia"/>
          <w:sz w:val="21"/>
        </w:rPr>
        <w:t>从</w:t>
      </w:r>
      <w:r w:rsidR="00A63710" w:rsidRPr="009C1B93">
        <w:rPr>
          <w:rFonts w:ascii="SimSun" w:hAnsi="SimSun" w:hint="eastAsia"/>
          <w:sz w:val="21"/>
        </w:rPr>
        <w:t>储备金</w:t>
      </w:r>
      <w:r w:rsidR="00B17919">
        <w:rPr>
          <w:rFonts w:ascii="SimSun" w:hAnsi="SimSun" w:hint="eastAsia"/>
          <w:sz w:val="21"/>
        </w:rPr>
        <w:t>拨付给</w:t>
      </w:r>
      <w:r w:rsidR="00A63710" w:rsidRPr="009C1B93">
        <w:rPr>
          <w:rFonts w:ascii="SimSun" w:hAnsi="SimSun" w:hint="eastAsia"/>
          <w:sz w:val="21"/>
        </w:rPr>
        <w:t>项目</w:t>
      </w:r>
      <w:r w:rsidR="002A4C3F">
        <w:rPr>
          <w:rFonts w:ascii="SimSun" w:hAnsi="SimSun" w:hint="eastAsia"/>
          <w:sz w:val="21"/>
        </w:rPr>
        <w:t>的</w:t>
      </w:r>
      <w:r w:rsidR="00B17919">
        <w:rPr>
          <w:rFonts w:ascii="SimSun" w:hAnsi="SimSun" w:hint="eastAsia"/>
          <w:sz w:val="21"/>
        </w:rPr>
        <w:t>款项</w:t>
      </w:r>
      <w:r w:rsidR="002A4C3F">
        <w:rPr>
          <w:rFonts w:ascii="SimSun" w:hAnsi="SimSun" w:hint="eastAsia"/>
          <w:sz w:val="21"/>
        </w:rPr>
        <w:t>，扣减</w:t>
      </w:r>
      <w:r w:rsidR="007F3F91" w:rsidRPr="009C1B93">
        <w:rPr>
          <w:rFonts w:ascii="SimSun" w:hAnsi="SimSun" w:hint="eastAsia"/>
          <w:sz w:val="21"/>
        </w:rPr>
        <w:t>累计支出。</w:t>
      </w:r>
      <w:r w:rsidR="00A63710" w:rsidRPr="009C1B93">
        <w:rPr>
          <w:rFonts w:ascii="SimSun" w:hAnsi="SimSun" w:hint="eastAsia"/>
          <w:sz w:val="21"/>
        </w:rPr>
        <w:t>储备金</w:t>
      </w:r>
      <w:r w:rsidR="007F3F91" w:rsidRPr="009C1B93">
        <w:rPr>
          <w:rFonts w:ascii="SimSun" w:hAnsi="SimSun" w:hint="eastAsia"/>
          <w:sz w:val="21"/>
        </w:rPr>
        <w:t>的余额</w:t>
      </w:r>
      <w:r w:rsidR="00984D41">
        <w:rPr>
          <w:rFonts w:ascii="SimSun" w:hAnsi="SimSun" w:hint="eastAsia"/>
          <w:sz w:val="21"/>
        </w:rPr>
        <w:t>将体现出</w:t>
      </w:r>
      <w:r w:rsidR="007F3F91" w:rsidRPr="009C1B93">
        <w:rPr>
          <w:rFonts w:ascii="SimSun" w:hAnsi="SimSun" w:hint="eastAsia"/>
          <w:sz w:val="21"/>
        </w:rPr>
        <w:t>已批准</w:t>
      </w:r>
      <w:r w:rsidR="006F458A">
        <w:rPr>
          <w:rFonts w:ascii="SimSun" w:hAnsi="SimSun" w:hint="eastAsia"/>
          <w:sz w:val="21"/>
        </w:rPr>
        <w:t>的</w:t>
      </w:r>
      <w:r w:rsidR="007F3F91" w:rsidRPr="009C1B93">
        <w:rPr>
          <w:rFonts w:ascii="SimSun" w:hAnsi="SimSun" w:hint="eastAsia"/>
          <w:sz w:val="21"/>
        </w:rPr>
        <w:t>项目</w:t>
      </w:r>
      <w:r w:rsidR="006F458A">
        <w:rPr>
          <w:rFonts w:ascii="SimSun" w:hAnsi="SimSun" w:hint="eastAsia"/>
          <w:sz w:val="21"/>
        </w:rPr>
        <w:t>尚未使用</w:t>
      </w:r>
      <w:r w:rsidR="00A63710" w:rsidRPr="009C1B93">
        <w:rPr>
          <w:rFonts w:ascii="SimSun" w:hAnsi="SimSun" w:hint="eastAsia"/>
          <w:sz w:val="21"/>
        </w:rPr>
        <w:t>的数额</w:t>
      </w:r>
      <w:r w:rsidR="007F3F91" w:rsidRPr="009C1B93">
        <w:rPr>
          <w:rFonts w:ascii="SimSun" w:hAnsi="SimSun" w:hint="eastAsia"/>
          <w:sz w:val="21"/>
        </w:rPr>
        <w:t>。</w:t>
      </w:r>
      <w:r w:rsidR="0054780D">
        <w:rPr>
          <w:rFonts w:ascii="SimSun" w:hAnsi="SimSun" w:hint="eastAsia"/>
          <w:sz w:val="21"/>
        </w:rPr>
        <w:t>与</w:t>
      </w:r>
      <w:r w:rsidR="00A63710" w:rsidRPr="009C1B93">
        <w:rPr>
          <w:rFonts w:ascii="SimSun" w:hAnsi="SimSun" w:hint="eastAsia"/>
          <w:sz w:val="21"/>
        </w:rPr>
        <w:t>项目</w:t>
      </w:r>
      <w:r w:rsidR="0054780D">
        <w:rPr>
          <w:rFonts w:ascii="SimSun" w:hAnsi="SimSun" w:hint="eastAsia"/>
          <w:sz w:val="21"/>
        </w:rPr>
        <w:t>有关</w:t>
      </w:r>
      <w:r w:rsidR="00A63710" w:rsidRPr="009C1B93">
        <w:rPr>
          <w:rFonts w:ascii="SimSun" w:hAnsi="SimSun" w:hint="eastAsia"/>
          <w:sz w:val="21"/>
        </w:rPr>
        <w:t>的</w:t>
      </w:r>
      <w:r w:rsidR="007F3F91" w:rsidRPr="009C1B93">
        <w:rPr>
          <w:rFonts w:ascii="SimSun" w:hAnsi="SimSun" w:hint="eastAsia"/>
          <w:sz w:val="21"/>
        </w:rPr>
        <w:t>资本</w:t>
      </w:r>
      <w:proofErr w:type="gramStart"/>
      <w:r w:rsidR="007F3F91" w:rsidRPr="009C1B93">
        <w:rPr>
          <w:rFonts w:ascii="SimSun" w:hAnsi="SimSun" w:hint="eastAsia"/>
          <w:sz w:val="21"/>
        </w:rPr>
        <w:t>化金额</w:t>
      </w:r>
      <w:proofErr w:type="gramEnd"/>
      <w:r w:rsidR="007F3F91" w:rsidRPr="009C1B93">
        <w:rPr>
          <w:rFonts w:ascii="SimSun" w:hAnsi="SimSun" w:hint="eastAsia"/>
          <w:sz w:val="21"/>
        </w:rPr>
        <w:t>记入累计盈余/</w:t>
      </w:r>
      <w:r w:rsidR="00622E29">
        <w:rPr>
          <w:rFonts w:ascii="SimSun" w:hAnsi="SimSun" w:hint="eastAsia"/>
          <w:sz w:val="21"/>
        </w:rPr>
        <w:t>(</w:t>
      </w:r>
      <w:r w:rsidR="007F3F91" w:rsidRPr="009C1B93">
        <w:rPr>
          <w:rFonts w:ascii="SimSun" w:hAnsi="SimSun" w:hint="eastAsia"/>
          <w:sz w:val="21"/>
        </w:rPr>
        <w:t>赤字</w:t>
      </w:r>
      <w:r w:rsidR="00622E29">
        <w:rPr>
          <w:rFonts w:ascii="SimSun" w:hAnsi="SimSun" w:hint="eastAsia"/>
          <w:sz w:val="21"/>
        </w:rPr>
        <w:t>)</w:t>
      </w:r>
      <w:r w:rsidR="007F3F91" w:rsidRPr="009C1B93">
        <w:rPr>
          <w:rFonts w:ascii="SimSun" w:hAnsi="SimSun" w:hint="eastAsia"/>
          <w:sz w:val="21"/>
        </w:rPr>
        <w:t>。</w:t>
      </w:r>
    </w:p>
    <w:p w:rsidR="00C52783" w:rsidRPr="009C1B93" w:rsidRDefault="00A63710" w:rsidP="009C1B93">
      <w:pPr>
        <w:pStyle w:val="ONUME"/>
        <w:numPr>
          <w:ilvl w:val="0"/>
          <w:numId w:val="19"/>
        </w:numPr>
        <w:overflowPunct w:val="0"/>
        <w:spacing w:afterLines="50" w:after="120" w:line="340" w:lineRule="atLeast"/>
        <w:ind w:left="0" w:firstLine="0"/>
        <w:jc w:val="both"/>
        <w:rPr>
          <w:rFonts w:ascii="SimSun" w:hAnsi="SimSun"/>
          <w:sz w:val="21"/>
        </w:rPr>
      </w:pPr>
      <w:r w:rsidRPr="009C1B93">
        <w:rPr>
          <w:rFonts w:ascii="SimSun" w:hAnsi="SimSun" w:hint="eastAsia"/>
          <w:sz w:val="21"/>
        </w:rPr>
        <w:t>如果2014年设立了“</w:t>
      </w:r>
      <w:r w:rsidR="001A18DE">
        <w:rPr>
          <w:rFonts w:ascii="SimSun" w:hAnsi="SimSun" w:hint="eastAsia"/>
          <w:sz w:val="21"/>
        </w:rPr>
        <w:t>特别项目储备金</w:t>
      </w:r>
      <w:r w:rsidRPr="009C1B93">
        <w:rPr>
          <w:rFonts w:ascii="SimSun" w:hAnsi="SimSun" w:hint="eastAsia"/>
          <w:sz w:val="21"/>
        </w:rPr>
        <w:t>”的话，它在财务报表中即如下文表1所示：</w:t>
      </w:r>
    </w:p>
    <w:p w:rsidR="00C52783" w:rsidRPr="00E414BF" w:rsidRDefault="00A63710" w:rsidP="00D07ECB">
      <w:pPr>
        <w:keepNext/>
        <w:spacing w:afterLines="50" w:after="120" w:line="340" w:lineRule="atLeast"/>
        <w:jc w:val="center"/>
        <w:rPr>
          <w:rFonts w:ascii="SimSun" w:hAnsi="SimSun"/>
          <w:b/>
          <w:sz w:val="21"/>
        </w:rPr>
      </w:pPr>
      <w:r w:rsidRPr="00E414BF">
        <w:rPr>
          <w:rFonts w:ascii="SimSun" w:hAnsi="SimSun" w:hint="eastAsia"/>
          <w:b/>
          <w:sz w:val="21"/>
        </w:rPr>
        <w:lastRenderedPageBreak/>
        <w:t>表</w:t>
      </w:r>
      <w:r w:rsidR="00C3714C" w:rsidRPr="00E414BF">
        <w:rPr>
          <w:rFonts w:ascii="SimSun" w:hAnsi="SimSun"/>
          <w:b/>
          <w:sz w:val="21"/>
        </w:rPr>
        <w:t>1</w:t>
      </w:r>
    </w:p>
    <w:p w:rsidR="00C52783" w:rsidRPr="00E414BF" w:rsidRDefault="00A63710" w:rsidP="00086957">
      <w:pPr>
        <w:keepNext/>
        <w:spacing w:afterLines="50" w:after="120" w:line="340" w:lineRule="atLeast"/>
        <w:jc w:val="center"/>
        <w:rPr>
          <w:rFonts w:ascii="SimSun" w:hAnsi="SimSun"/>
          <w:sz w:val="21"/>
        </w:rPr>
      </w:pPr>
      <w:r w:rsidRPr="00E414BF">
        <w:rPr>
          <w:rFonts w:ascii="SimSun" w:hAnsi="SimSun" w:hint="eastAsia"/>
          <w:sz w:val="21"/>
        </w:rPr>
        <w:t>附注</w:t>
      </w:r>
      <w:r w:rsidR="00C3714C" w:rsidRPr="00E414BF">
        <w:rPr>
          <w:rFonts w:ascii="SimSun" w:hAnsi="SimSun"/>
          <w:sz w:val="21"/>
        </w:rPr>
        <w:t>21</w:t>
      </w:r>
      <w:r w:rsidRPr="00E414BF">
        <w:rPr>
          <w:rFonts w:ascii="SimSun" w:hAnsi="SimSun" w:hint="eastAsia"/>
          <w:sz w:val="21"/>
        </w:rPr>
        <w:t>：</w:t>
      </w:r>
      <w:r w:rsidR="00A74BD9" w:rsidRPr="00E414BF">
        <w:rPr>
          <w:rFonts w:ascii="SimSun" w:hAnsi="SimSun" w:hint="eastAsia"/>
          <w:sz w:val="21"/>
        </w:rPr>
        <w:t>储备金和基金余额</w:t>
      </w:r>
    </w:p>
    <w:p w:rsidR="00C52783" w:rsidRPr="00E414BF" w:rsidRDefault="00086957" w:rsidP="007E3FFD">
      <w:pPr>
        <w:jc w:val="center"/>
        <w:rPr>
          <w:rFonts w:ascii="SimSun" w:hAnsi="SimSun"/>
          <w:sz w:val="21"/>
        </w:rPr>
      </w:pPr>
      <w:r w:rsidRPr="00086957">
        <w:rPr>
          <w:noProof/>
        </w:rPr>
        <w:drawing>
          <wp:inline distT="0" distB="0" distL="0" distR="0" wp14:anchorId="4116343A" wp14:editId="0BDE6E77">
            <wp:extent cx="5940425" cy="2310140"/>
            <wp:effectExtent l="0" t="0" r="317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2310140"/>
                    </a:xfrm>
                    <a:prstGeom prst="rect">
                      <a:avLst/>
                    </a:prstGeom>
                    <a:noFill/>
                    <a:ln>
                      <a:noFill/>
                    </a:ln>
                  </pic:spPr>
                </pic:pic>
              </a:graphicData>
            </a:graphic>
          </wp:inline>
        </w:drawing>
      </w:r>
    </w:p>
    <w:p w:rsidR="00C52783" w:rsidRPr="009C1B93" w:rsidRDefault="000351B9" w:rsidP="009C1B93">
      <w:pPr>
        <w:pStyle w:val="ONUME"/>
        <w:numPr>
          <w:ilvl w:val="0"/>
          <w:numId w:val="19"/>
        </w:numPr>
        <w:overflowPunct w:val="0"/>
        <w:spacing w:afterLines="50" w:after="120" w:line="340" w:lineRule="atLeast"/>
        <w:ind w:left="0" w:firstLine="0"/>
        <w:jc w:val="both"/>
        <w:rPr>
          <w:rFonts w:ascii="SimSun" w:hAnsi="SimSun"/>
          <w:sz w:val="21"/>
        </w:rPr>
      </w:pPr>
      <w:r w:rsidRPr="009C1B93">
        <w:rPr>
          <w:rFonts w:ascii="SimSun" w:hAnsi="SimSun" w:hint="eastAsia"/>
          <w:sz w:val="21"/>
        </w:rPr>
        <w:t>上表清楚地显示出2013年12月底向项目拨</w:t>
      </w:r>
      <w:r w:rsidR="00D61461">
        <w:rPr>
          <w:rFonts w:ascii="SimSun" w:hAnsi="SimSun" w:hint="eastAsia"/>
          <w:sz w:val="21"/>
        </w:rPr>
        <w:t>款后</w:t>
      </w:r>
      <w:r w:rsidRPr="009C1B93">
        <w:rPr>
          <w:rFonts w:ascii="SimSun" w:hAnsi="SimSun" w:hint="eastAsia"/>
          <w:sz w:val="21"/>
        </w:rPr>
        <w:t>的</w:t>
      </w:r>
      <w:r w:rsidR="00D61461">
        <w:rPr>
          <w:rFonts w:ascii="SimSun" w:hAnsi="SimSun" w:hint="eastAsia"/>
          <w:sz w:val="21"/>
        </w:rPr>
        <w:t>余</w:t>
      </w:r>
      <w:r w:rsidRPr="009C1B93">
        <w:rPr>
          <w:rFonts w:ascii="SimSun" w:hAnsi="SimSun" w:hint="eastAsia"/>
          <w:sz w:val="21"/>
        </w:rPr>
        <w:t>额，和2014年期间与这些项目相关的支出</w:t>
      </w:r>
      <w:r w:rsidR="00622E29">
        <w:rPr>
          <w:rFonts w:ascii="SimSun" w:hAnsi="SimSun" w:hint="eastAsia"/>
          <w:sz w:val="21"/>
        </w:rPr>
        <w:t>(</w:t>
      </w:r>
      <w:r w:rsidRPr="009C1B93">
        <w:rPr>
          <w:rFonts w:ascii="SimSun" w:hAnsi="SimSun" w:hint="eastAsia"/>
          <w:sz w:val="21"/>
        </w:rPr>
        <w:t>3,520</w:t>
      </w:r>
      <w:proofErr w:type="gramStart"/>
      <w:r w:rsidRPr="009C1B93">
        <w:rPr>
          <w:rFonts w:ascii="SimSun" w:hAnsi="SimSun" w:hint="eastAsia"/>
          <w:sz w:val="21"/>
        </w:rPr>
        <w:t>万瑞</w:t>
      </w:r>
      <w:proofErr w:type="gramEnd"/>
      <w:r w:rsidRPr="009C1B93">
        <w:rPr>
          <w:rFonts w:ascii="SimSun" w:hAnsi="SimSun" w:hint="eastAsia"/>
          <w:sz w:val="21"/>
        </w:rPr>
        <w:t>士法郎</w:t>
      </w:r>
      <w:r w:rsidR="00622E29">
        <w:rPr>
          <w:rFonts w:ascii="SimSun" w:hAnsi="SimSun" w:hint="eastAsia"/>
          <w:sz w:val="21"/>
        </w:rPr>
        <w:t>)</w:t>
      </w:r>
      <w:r w:rsidRPr="009C1B93">
        <w:rPr>
          <w:rFonts w:ascii="SimSun" w:hAnsi="SimSun" w:hint="eastAsia"/>
          <w:sz w:val="21"/>
        </w:rPr>
        <w:t>。这些支出的</w:t>
      </w:r>
      <w:r w:rsidR="00385956">
        <w:rPr>
          <w:rFonts w:ascii="SimSun" w:hAnsi="SimSun" w:hint="eastAsia"/>
          <w:sz w:val="21"/>
        </w:rPr>
        <w:t>一</w:t>
      </w:r>
      <w:r w:rsidRPr="009C1B93">
        <w:rPr>
          <w:rFonts w:ascii="SimSun" w:hAnsi="SimSun" w:hint="eastAsia"/>
          <w:sz w:val="21"/>
        </w:rPr>
        <w:t>部分已按照IPSAS予以资本化</w:t>
      </w:r>
      <w:r w:rsidR="00622E29">
        <w:rPr>
          <w:rFonts w:ascii="SimSun" w:hAnsi="SimSun" w:hint="eastAsia"/>
          <w:sz w:val="21"/>
        </w:rPr>
        <w:t>(</w:t>
      </w:r>
      <w:r w:rsidRPr="009C1B93">
        <w:rPr>
          <w:rFonts w:ascii="SimSun" w:hAnsi="SimSun" w:hint="eastAsia"/>
          <w:sz w:val="21"/>
        </w:rPr>
        <w:t>2,910</w:t>
      </w:r>
      <w:proofErr w:type="gramStart"/>
      <w:r w:rsidRPr="009C1B93">
        <w:rPr>
          <w:rFonts w:ascii="SimSun" w:hAnsi="SimSun" w:hint="eastAsia"/>
          <w:sz w:val="21"/>
        </w:rPr>
        <w:t>万瑞</w:t>
      </w:r>
      <w:proofErr w:type="gramEnd"/>
      <w:r w:rsidRPr="009C1B93">
        <w:rPr>
          <w:rFonts w:ascii="SimSun" w:hAnsi="SimSun" w:hint="eastAsia"/>
          <w:sz w:val="21"/>
        </w:rPr>
        <w:t>士法郎</w:t>
      </w:r>
      <w:r w:rsidR="00622E29">
        <w:rPr>
          <w:rFonts w:ascii="SimSun" w:hAnsi="SimSun" w:hint="eastAsia"/>
          <w:sz w:val="21"/>
        </w:rPr>
        <w:t>)</w:t>
      </w:r>
      <w:r w:rsidRPr="009C1B93">
        <w:rPr>
          <w:rFonts w:ascii="SimSun" w:hAnsi="SimSun" w:hint="eastAsia"/>
          <w:sz w:val="21"/>
        </w:rPr>
        <w:t>并被计入</w:t>
      </w:r>
      <w:r w:rsidR="00A50999">
        <w:rPr>
          <w:rFonts w:ascii="SimSun" w:hAnsi="SimSun" w:hint="eastAsia"/>
          <w:sz w:val="21"/>
        </w:rPr>
        <w:t>累计</w:t>
      </w:r>
      <w:r w:rsidRPr="009C1B93">
        <w:rPr>
          <w:rFonts w:ascii="SimSun" w:hAnsi="SimSun" w:hint="eastAsia"/>
          <w:sz w:val="21"/>
        </w:rPr>
        <w:t>盈余。2014年年底</w:t>
      </w:r>
      <w:r w:rsidR="00A50999">
        <w:rPr>
          <w:rFonts w:ascii="SimSun" w:hAnsi="SimSun" w:hint="eastAsia"/>
          <w:sz w:val="21"/>
        </w:rPr>
        <w:t>，</w:t>
      </w:r>
      <w:r w:rsidRPr="009C1B93">
        <w:rPr>
          <w:rFonts w:ascii="SimSun" w:hAnsi="SimSun" w:hint="eastAsia"/>
          <w:sz w:val="21"/>
        </w:rPr>
        <w:t>2,720</w:t>
      </w:r>
      <w:proofErr w:type="gramStart"/>
      <w:r w:rsidRPr="009C1B93">
        <w:rPr>
          <w:rFonts w:ascii="SimSun" w:hAnsi="SimSun" w:hint="eastAsia"/>
          <w:sz w:val="21"/>
        </w:rPr>
        <w:t>万瑞</w:t>
      </w:r>
      <w:proofErr w:type="gramEnd"/>
      <w:r w:rsidRPr="009C1B93">
        <w:rPr>
          <w:rFonts w:ascii="SimSun" w:hAnsi="SimSun" w:hint="eastAsia"/>
          <w:sz w:val="21"/>
        </w:rPr>
        <w:t>士法郎的余额表示已批准</w:t>
      </w:r>
      <w:r w:rsidR="00A50999">
        <w:rPr>
          <w:rFonts w:ascii="SimSun" w:hAnsi="SimSun" w:hint="eastAsia"/>
          <w:sz w:val="21"/>
        </w:rPr>
        <w:t>的</w:t>
      </w:r>
      <w:r w:rsidRPr="009C1B93">
        <w:rPr>
          <w:rFonts w:ascii="SimSun" w:hAnsi="SimSun" w:hint="eastAsia"/>
          <w:sz w:val="21"/>
        </w:rPr>
        <w:t>项目尚未使用的数额。</w:t>
      </w:r>
    </w:p>
    <w:p w:rsidR="00C52783" w:rsidRPr="009C1B93" w:rsidRDefault="006C1064" w:rsidP="009C1B93">
      <w:pPr>
        <w:pStyle w:val="ONUME"/>
        <w:numPr>
          <w:ilvl w:val="0"/>
          <w:numId w:val="19"/>
        </w:numPr>
        <w:overflowPunct w:val="0"/>
        <w:spacing w:afterLines="50" w:after="120" w:line="340" w:lineRule="atLeast"/>
        <w:ind w:left="0" w:firstLine="0"/>
        <w:jc w:val="both"/>
        <w:rPr>
          <w:rFonts w:ascii="SimSun" w:hAnsi="SimSun"/>
          <w:sz w:val="21"/>
        </w:rPr>
      </w:pPr>
      <w:r w:rsidRPr="009C1B93">
        <w:rPr>
          <w:rFonts w:ascii="SimSun" w:hAnsi="SimSun" w:hint="eastAsia"/>
          <w:sz w:val="21"/>
        </w:rPr>
        <w:t>“</w:t>
      </w:r>
      <w:r w:rsidR="001A18DE">
        <w:rPr>
          <w:rFonts w:ascii="SimSun" w:hAnsi="SimSun" w:hint="eastAsia"/>
          <w:sz w:val="21"/>
        </w:rPr>
        <w:t>特别项目储备金</w:t>
      </w:r>
      <w:r w:rsidRPr="009C1B93">
        <w:rPr>
          <w:rFonts w:ascii="SimSun" w:hAnsi="SimSun" w:hint="eastAsia"/>
          <w:sz w:val="21"/>
        </w:rPr>
        <w:t>”还将在财务状况表中予以披露，</w:t>
      </w:r>
      <w:r w:rsidR="003C2320" w:rsidRPr="009C1B93">
        <w:rPr>
          <w:rFonts w:ascii="SimSun" w:hAnsi="SimSun" w:hint="eastAsia"/>
          <w:sz w:val="21"/>
        </w:rPr>
        <w:t>如果2014年设立了“</w:t>
      </w:r>
      <w:r w:rsidR="001A18DE">
        <w:rPr>
          <w:rFonts w:ascii="SimSun" w:hAnsi="SimSun" w:hint="eastAsia"/>
          <w:sz w:val="21"/>
        </w:rPr>
        <w:t>特别项目储备金</w:t>
      </w:r>
      <w:r w:rsidR="003C2320" w:rsidRPr="009C1B93">
        <w:rPr>
          <w:rFonts w:ascii="SimSun" w:hAnsi="SimSun" w:hint="eastAsia"/>
          <w:sz w:val="21"/>
        </w:rPr>
        <w:t>”的话，它在2014年财务状况表中</w:t>
      </w:r>
      <w:proofErr w:type="gramStart"/>
      <w:r w:rsidR="003C2320" w:rsidRPr="009C1B93">
        <w:rPr>
          <w:rFonts w:ascii="SimSun" w:hAnsi="SimSun" w:hint="eastAsia"/>
          <w:sz w:val="21"/>
        </w:rPr>
        <w:t>即如表</w:t>
      </w:r>
      <w:proofErr w:type="gramEnd"/>
      <w:r w:rsidR="003C2320" w:rsidRPr="009C1B93">
        <w:rPr>
          <w:rFonts w:ascii="SimSun" w:hAnsi="SimSun" w:hint="eastAsia"/>
          <w:sz w:val="21"/>
        </w:rPr>
        <w:t>2所示。</w:t>
      </w:r>
    </w:p>
    <w:p w:rsidR="00C52783" w:rsidRPr="00E414BF" w:rsidRDefault="003C2320" w:rsidP="00D07ECB">
      <w:pPr>
        <w:keepNext/>
        <w:spacing w:afterLines="50" w:after="120" w:line="340" w:lineRule="atLeast"/>
        <w:jc w:val="center"/>
        <w:rPr>
          <w:rFonts w:ascii="SimSun" w:hAnsi="SimSun"/>
          <w:b/>
          <w:sz w:val="21"/>
        </w:rPr>
      </w:pPr>
      <w:r w:rsidRPr="00E414BF">
        <w:rPr>
          <w:rFonts w:ascii="SimSun" w:hAnsi="SimSun" w:hint="eastAsia"/>
          <w:b/>
          <w:sz w:val="21"/>
        </w:rPr>
        <w:t>表</w:t>
      </w:r>
      <w:r w:rsidR="00C3714C" w:rsidRPr="00E414BF">
        <w:rPr>
          <w:rFonts w:ascii="SimSun" w:hAnsi="SimSun"/>
          <w:b/>
          <w:sz w:val="21"/>
        </w:rPr>
        <w:t>2</w:t>
      </w:r>
    </w:p>
    <w:p w:rsidR="00C52783" w:rsidRPr="00E414BF" w:rsidRDefault="003C2320" w:rsidP="00D07ECB">
      <w:pPr>
        <w:spacing w:afterLines="50" w:after="120" w:line="340" w:lineRule="atLeast"/>
        <w:jc w:val="center"/>
        <w:rPr>
          <w:rFonts w:ascii="SimSun" w:hAnsi="SimSun"/>
          <w:sz w:val="21"/>
        </w:rPr>
      </w:pPr>
      <w:r w:rsidRPr="00E414BF">
        <w:rPr>
          <w:rFonts w:ascii="SimSun" w:hAnsi="SimSun" w:hint="eastAsia"/>
          <w:sz w:val="21"/>
        </w:rPr>
        <w:t>报表1财务状况表</w:t>
      </w:r>
      <w:r w:rsidR="00086957" w:rsidRPr="00E414BF">
        <w:rPr>
          <w:rFonts w:ascii="SimSun" w:hAnsi="SimSun" w:hint="eastAsia"/>
          <w:sz w:val="21"/>
        </w:rPr>
        <w:t>节选</w:t>
      </w:r>
    </w:p>
    <w:p w:rsidR="00C52783" w:rsidRPr="00E414BF" w:rsidRDefault="00086957" w:rsidP="00D07ECB">
      <w:pPr>
        <w:jc w:val="center"/>
        <w:rPr>
          <w:rFonts w:ascii="SimSun" w:hAnsi="SimSun"/>
          <w:sz w:val="21"/>
        </w:rPr>
      </w:pPr>
      <w:r w:rsidRPr="00086957">
        <w:rPr>
          <w:noProof/>
        </w:rPr>
        <w:drawing>
          <wp:inline distT="0" distB="0" distL="0" distR="0">
            <wp:extent cx="4646930" cy="2326640"/>
            <wp:effectExtent l="0" t="0" r="127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46930" cy="2326640"/>
                    </a:xfrm>
                    <a:prstGeom prst="rect">
                      <a:avLst/>
                    </a:prstGeom>
                    <a:noFill/>
                    <a:ln>
                      <a:noFill/>
                    </a:ln>
                  </pic:spPr>
                </pic:pic>
              </a:graphicData>
            </a:graphic>
          </wp:inline>
        </w:drawing>
      </w:r>
    </w:p>
    <w:p w:rsidR="00C52783" w:rsidRPr="009C1B93" w:rsidRDefault="00261CE5" w:rsidP="009C1B93">
      <w:pPr>
        <w:pStyle w:val="ONUME"/>
        <w:numPr>
          <w:ilvl w:val="0"/>
          <w:numId w:val="19"/>
        </w:numPr>
        <w:overflowPunct w:val="0"/>
        <w:spacing w:afterLines="50" w:after="120" w:line="340" w:lineRule="atLeast"/>
        <w:ind w:left="0" w:firstLine="0"/>
        <w:jc w:val="both"/>
        <w:rPr>
          <w:rFonts w:ascii="SimSun" w:hAnsi="SimSun"/>
          <w:sz w:val="21"/>
        </w:rPr>
      </w:pPr>
      <w:r w:rsidRPr="009C1B93">
        <w:rPr>
          <w:rFonts w:ascii="SimSun" w:hAnsi="SimSun" w:hint="eastAsia"/>
          <w:sz w:val="21"/>
        </w:rPr>
        <w:t>对</w:t>
      </w:r>
      <w:r w:rsidR="00DF4779">
        <w:rPr>
          <w:rFonts w:ascii="SimSun" w:hAnsi="SimSun" w:hint="eastAsia"/>
          <w:sz w:val="21"/>
        </w:rPr>
        <w:t>与</w:t>
      </w:r>
      <w:r w:rsidRPr="009C1B93">
        <w:rPr>
          <w:rFonts w:ascii="SimSun" w:hAnsi="SimSun" w:hint="eastAsia"/>
          <w:sz w:val="21"/>
        </w:rPr>
        <w:t>储备金供资</w:t>
      </w:r>
      <w:r w:rsidR="00D360C3" w:rsidRPr="009C1B93">
        <w:rPr>
          <w:rFonts w:ascii="SimSun" w:hAnsi="SimSun" w:hint="eastAsia"/>
          <w:sz w:val="21"/>
        </w:rPr>
        <w:t>项目</w:t>
      </w:r>
      <w:r w:rsidR="00DF4779">
        <w:rPr>
          <w:rFonts w:ascii="SimSun" w:hAnsi="SimSun" w:hint="eastAsia"/>
          <w:sz w:val="21"/>
        </w:rPr>
        <w:t>有关</w:t>
      </w:r>
      <w:r w:rsidR="00D360C3" w:rsidRPr="009C1B93">
        <w:rPr>
          <w:rFonts w:ascii="SimSun" w:hAnsi="SimSun" w:hint="eastAsia"/>
          <w:sz w:val="21"/>
        </w:rPr>
        <w:t>的进展</w:t>
      </w:r>
      <w:r w:rsidR="00322E5E" w:rsidRPr="009C1B93">
        <w:rPr>
          <w:rFonts w:ascii="SimSun" w:hAnsi="SimSun" w:hint="eastAsia"/>
          <w:sz w:val="21"/>
        </w:rPr>
        <w:t>予以</w:t>
      </w:r>
      <w:r w:rsidR="00D360C3" w:rsidRPr="009C1B93">
        <w:rPr>
          <w:rFonts w:ascii="SimSun" w:hAnsi="SimSun" w:hint="eastAsia"/>
          <w:sz w:val="21"/>
        </w:rPr>
        <w:t>报告</w:t>
      </w:r>
      <w:r w:rsidR="00322E5E" w:rsidRPr="009C1B93">
        <w:rPr>
          <w:rFonts w:ascii="SimSun" w:hAnsi="SimSun" w:hint="eastAsia"/>
          <w:sz w:val="21"/>
        </w:rPr>
        <w:t>，</w:t>
      </w:r>
      <w:r w:rsidR="00D360C3" w:rsidRPr="009C1B93">
        <w:rPr>
          <w:rFonts w:ascii="SimSun" w:hAnsi="SimSun" w:hint="eastAsia"/>
          <w:sz w:val="21"/>
        </w:rPr>
        <w:t>将根据</w:t>
      </w:r>
      <w:r w:rsidRPr="009C1B93">
        <w:rPr>
          <w:rFonts w:ascii="SimSun" w:hAnsi="SimSun" w:hint="eastAsia"/>
          <w:sz w:val="21"/>
        </w:rPr>
        <w:t>成员国大会在批准</w:t>
      </w:r>
      <w:r w:rsidR="00D360C3" w:rsidRPr="009C1B93">
        <w:rPr>
          <w:rFonts w:ascii="SimSun" w:hAnsi="SimSun" w:hint="eastAsia"/>
          <w:sz w:val="21"/>
        </w:rPr>
        <w:t>这</w:t>
      </w:r>
      <w:r w:rsidRPr="009C1B93">
        <w:rPr>
          <w:rFonts w:ascii="SimSun" w:hAnsi="SimSun" w:hint="eastAsia"/>
          <w:sz w:val="21"/>
        </w:rPr>
        <w:t>些</w:t>
      </w:r>
      <w:r w:rsidR="00D360C3" w:rsidRPr="009C1B93">
        <w:rPr>
          <w:rFonts w:ascii="SimSun" w:hAnsi="SimSun" w:hint="eastAsia"/>
          <w:sz w:val="21"/>
        </w:rPr>
        <w:t>项目时所</w:t>
      </w:r>
      <w:r w:rsidRPr="009C1B93">
        <w:rPr>
          <w:rFonts w:ascii="SimSun" w:hAnsi="SimSun" w:hint="eastAsia"/>
          <w:sz w:val="21"/>
        </w:rPr>
        <w:t>作的</w:t>
      </w:r>
      <w:r w:rsidR="00322E5E" w:rsidRPr="009C1B93">
        <w:rPr>
          <w:rFonts w:ascii="SimSun" w:hAnsi="SimSun" w:hint="eastAsia"/>
          <w:sz w:val="21"/>
        </w:rPr>
        <w:t>决定进行。就</w:t>
      </w:r>
      <w:r w:rsidR="00D360C3" w:rsidRPr="009C1B93">
        <w:rPr>
          <w:rFonts w:ascii="SimSun" w:hAnsi="SimSun" w:hint="eastAsia"/>
          <w:sz w:val="21"/>
        </w:rPr>
        <w:t>财务</w:t>
      </w:r>
      <w:r w:rsidR="00E00BA8">
        <w:rPr>
          <w:rFonts w:ascii="SimSun" w:hAnsi="SimSun" w:hint="eastAsia"/>
          <w:sz w:val="21"/>
        </w:rPr>
        <w:t>报告</w:t>
      </w:r>
      <w:r w:rsidR="00322E5E" w:rsidRPr="009C1B93">
        <w:rPr>
          <w:rFonts w:ascii="SimSun" w:hAnsi="SimSun" w:hint="eastAsia"/>
          <w:sz w:val="21"/>
        </w:rPr>
        <w:t>来说</w:t>
      </w:r>
      <w:r w:rsidR="00D360C3" w:rsidRPr="009C1B93">
        <w:rPr>
          <w:rFonts w:ascii="SimSun" w:hAnsi="SimSun" w:hint="eastAsia"/>
          <w:sz w:val="21"/>
        </w:rPr>
        <w:t>，</w:t>
      </w:r>
      <w:r w:rsidR="00CE4B03">
        <w:rPr>
          <w:rFonts w:ascii="SimSun" w:hAnsi="SimSun" w:hint="eastAsia"/>
          <w:sz w:val="21"/>
        </w:rPr>
        <w:t>提案是</w:t>
      </w:r>
      <w:r w:rsidR="00854F30" w:rsidRPr="009C1B93">
        <w:rPr>
          <w:rFonts w:ascii="SimSun" w:hAnsi="SimSun" w:hint="eastAsia"/>
          <w:sz w:val="21"/>
        </w:rPr>
        <w:t>在</w:t>
      </w:r>
      <w:r w:rsidR="00E15785" w:rsidRPr="009C1B93">
        <w:rPr>
          <w:rFonts w:ascii="SimSun" w:hAnsi="SimSun" w:hint="eastAsia"/>
          <w:sz w:val="21"/>
        </w:rPr>
        <w:t>财务报表中通过</w:t>
      </w:r>
      <w:r w:rsidR="00322E5E" w:rsidRPr="009C1B93">
        <w:rPr>
          <w:rFonts w:ascii="SimSun" w:hAnsi="SimSun" w:hint="eastAsia"/>
          <w:sz w:val="21"/>
        </w:rPr>
        <w:t>财务状况表和“</w:t>
      </w:r>
      <w:r w:rsidR="00322E5E" w:rsidRPr="00086957">
        <w:rPr>
          <w:rFonts w:ascii="KaiTi" w:eastAsia="KaiTi" w:hAnsi="KaiTi" w:hint="eastAsia"/>
          <w:i/>
          <w:sz w:val="21"/>
        </w:rPr>
        <w:t>储备金和基金余额</w:t>
      </w:r>
      <w:r w:rsidR="00322E5E" w:rsidRPr="009C1B93">
        <w:rPr>
          <w:rFonts w:ascii="SimSun" w:hAnsi="SimSun" w:hint="eastAsia"/>
          <w:sz w:val="21"/>
        </w:rPr>
        <w:t>”附注</w:t>
      </w:r>
      <w:r w:rsidR="00622E29">
        <w:rPr>
          <w:rFonts w:ascii="SimSun" w:hAnsi="SimSun" w:hint="eastAsia"/>
          <w:sz w:val="21"/>
        </w:rPr>
        <w:t>(</w:t>
      </w:r>
      <w:r w:rsidR="00322E5E" w:rsidRPr="009C1B93">
        <w:rPr>
          <w:rFonts w:ascii="SimSun" w:hAnsi="SimSun" w:hint="eastAsia"/>
          <w:sz w:val="21"/>
        </w:rPr>
        <w:t>目前</w:t>
      </w:r>
      <w:r w:rsidR="00DF4779">
        <w:rPr>
          <w:rFonts w:ascii="SimSun" w:hAnsi="SimSun" w:hint="eastAsia"/>
          <w:sz w:val="21"/>
        </w:rPr>
        <w:t>为</w:t>
      </w:r>
      <w:r w:rsidR="00322E5E" w:rsidRPr="009C1B93">
        <w:rPr>
          <w:rFonts w:ascii="SimSun" w:hAnsi="SimSun" w:hint="eastAsia"/>
          <w:sz w:val="21"/>
        </w:rPr>
        <w:t>附注21</w:t>
      </w:r>
      <w:r w:rsidR="00622E29">
        <w:rPr>
          <w:rFonts w:ascii="SimSun" w:hAnsi="SimSun" w:hint="eastAsia"/>
          <w:sz w:val="21"/>
        </w:rPr>
        <w:t>)</w:t>
      </w:r>
      <w:r w:rsidR="00322E5E" w:rsidRPr="009C1B93">
        <w:rPr>
          <w:rFonts w:ascii="SimSun" w:hAnsi="SimSun" w:hint="eastAsia"/>
          <w:sz w:val="21"/>
        </w:rPr>
        <w:t>，反映出</w:t>
      </w:r>
      <w:r w:rsidR="00F47C31" w:rsidRPr="009C1B93">
        <w:rPr>
          <w:rFonts w:ascii="SimSun" w:hAnsi="SimSun" w:hint="eastAsia"/>
          <w:sz w:val="21"/>
        </w:rPr>
        <w:t>上文所示</w:t>
      </w:r>
      <w:r w:rsidR="00F47C31">
        <w:rPr>
          <w:rFonts w:ascii="SimSun" w:hAnsi="SimSun" w:hint="eastAsia"/>
          <w:sz w:val="21"/>
        </w:rPr>
        <w:t>的</w:t>
      </w:r>
      <w:r w:rsidR="00322E5E" w:rsidRPr="009C1B93">
        <w:rPr>
          <w:rFonts w:ascii="SimSun" w:hAnsi="SimSun" w:hint="eastAsia"/>
          <w:sz w:val="21"/>
        </w:rPr>
        <w:t>“</w:t>
      </w:r>
      <w:r w:rsidR="001A18DE">
        <w:rPr>
          <w:rFonts w:ascii="SimSun" w:hAnsi="SimSun" w:hint="eastAsia"/>
          <w:sz w:val="21"/>
        </w:rPr>
        <w:t>特别项目储备金</w:t>
      </w:r>
      <w:r w:rsidR="00322E5E" w:rsidRPr="009C1B93">
        <w:rPr>
          <w:rFonts w:ascii="SimSun" w:hAnsi="SimSun" w:hint="eastAsia"/>
          <w:sz w:val="21"/>
        </w:rPr>
        <w:t>”余额以及当年储备金的变化情况</w:t>
      </w:r>
      <w:r w:rsidR="00CE4B03">
        <w:rPr>
          <w:rFonts w:ascii="SimSun" w:hAnsi="SimSun" w:hint="eastAsia"/>
          <w:sz w:val="21"/>
        </w:rPr>
        <w:t>，该提案</w:t>
      </w:r>
      <w:r w:rsidR="00CE4B03" w:rsidRPr="009C1B93">
        <w:rPr>
          <w:rFonts w:ascii="SimSun" w:hAnsi="SimSun" w:hint="eastAsia"/>
          <w:sz w:val="21"/>
        </w:rPr>
        <w:t>自2015年12月31日起</w:t>
      </w:r>
      <w:r w:rsidR="00CE4B03">
        <w:rPr>
          <w:rFonts w:ascii="SimSun" w:hAnsi="SimSun" w:hint="eastAsia"/>
          <w:sz w:val="21"/>
        </w:rPr>
        <w:t>生效</w:t>
      </w:r>
      <w:r w:rsidR="00322E5E" w:rsidRPr="009C1B93">
        <w:rPr>
          <w:rFonts w:ascii="SimSun" w:hAnsi="SimSun" w:hint="eastAsia"/>
          <w:sz w:val="21"/>
        </w:rPr>
        <w:t>。已经与外聘</w:t>
      </w:r>
      <w:r w:rsidR="001349EE">
        <w:rPr>
          <w:rFonts w:ascii="SimSun" w:hAnsi="SimSun" w:hint="eastAsia"/>
          <w:sz w:val="21"/>
        </w:rPr>
        <w:t>审计员</w:t>
      </w:r>
      <w:r w:rsidR="00E45216" w:rsidRPr="009C1B93">
        <w:rPr>
          <w:rFonts w:ascii="SimSun" w:hAnsi="SimSun" w:hint="eastAsia"/>
          <w:sz w:val="21"/>
        </w:rPr>
        <w:t>详细讨论过该提案</w:t>
      </w:r>
      <w:r w:rsidR="00D360C3" w:rsidRPr="009C1B93">
        <w:rPr>
          <w:rFonts w:ascii="SimSun" w:hAnsi="SimSun" w:hint="eastAsia"/>
          <w:sz w:val="21"/>
        </w:rPr>
        <w:t>。</w:t>
      </w:r>
    </w:p>
    <w:p w:rsidR="00C52783" w:rsidRPr="009C1B93" w:rsidRDefault="00B75B15" w:rsidP="009C1B93">
      <w:pPr>
        <w:pStyle w:val="ONUME"/>
        <w:numPr>
          <w:ilvl w:val="0"/>
          <w:numId w:val="19"/>
        </w:numPr>
        <w:overflowPunct w:val="0"/>
        <w:spacing w:afterLines="50" w:after="120" w:line="340" w:lineRule="atLeast"/>
        <w:ind w:left="0" w:firstLine="0"/>
        <w:jc w:val="both"/>
        <w:rPr>
          <w:rFonts w:ascii="SimSun" w:hAnsi="SimSun"/>
          <w:sz w:val="21"/>
        </w:rPr>
      </w:pPr>
      <w:r w:rsidRPr="009C1B93">
        <w:rPr>
          <w:rFonts w:ascii="SimSun" w:hAnsi="SimSun" w:hint="eastAsia"/>
          <w:sz w:val="21"/>
        </w:rPr>
        <w:t>财务报表还按部门对收入、支出和储备金进行报告，就WIPO</w:t>
      </w:r>
      <w:r w:rsidR="008B0E5E">
        <w:rPr>
          <w:rFonts w:ascii="SimSun" w:hAnsi="SimSun" w:hint="eastAsia"/>
          <w:sz w:val="21"/>
        </w:rPr>
        <w:t>而言</w:t>
      </w:r>
      <w:r w:rsidRPr="009C1B93">
        <w:rPr>
          <w:rFonts w:ascii="SimSun" w:hAnsi="SimSun" w:hint="eastAsia"/>
          <w:sz w:val="21"/>
        </w:rPr>
        <w:t>，部门是指各联盟。WIPO的资产及负债由本组织作为一个整体所拥有，而不是属于各联盟，马德里联盟</w:t>
      </w:r>
      <w:r w:rsidR="00086042">
        <w:rPr>
          <w:rFonts w:ascii="SimSun" w:hAnsi="SimSun" w:hint="eastAsia"/>
          <w:sz w:val="21"/>
        </w:rPr>
        <w:t>持有</w:t>
      </w:r>
      <w:r w:rsidRPr="009C1B93">
        <w:rPr>
          <w:rFonts w:ascii="SimSun" w:hAnsi="SimSun" w:hint="eastAsia"/>
          <w:sz w:val="21"/>
        </w:rPr>
        <w:t>的投资物业除外。因此，只有包括周转基金和储备金在内的净资产是按部门开列的。WIPO的财务管理报告</w:t>
      </w:r>
      <w:r w:rsidR="00B9338F" w:rsidRPr="009C1B93">
        <w:rPr>
          <w:rFonts w:ascii="SimSun" w:hAnsi="SimSun" w:hint="eastAsia"/>
          <w:sz w:val="21"/>
        </w:rPr>
        <w:t>在“按联盟开列</w:t>
      </w:r>
      <w:r w:rsidR="00B9338F" w:rsidRPr="009C1B93">
        <w:rPr>
          <w:rFonts w:ascii="SimSun" w:hAnsi="SimSun" w:hint="eastAsia"/>
          <w:sz w:val="21"/>
        </w:rPr>
        <w:lastRenderedPageBreak/>
        <w:t>的财务结果概览”中，提供了每个两年期按联盟开列</w:t>
      </w:r>
      <w:r w:rsidRPr="009C1B93">
        <w:rPr>
          <w:rFonts w:ascii="SimSun" w:hAnsi="SimSun" w:hint="eastAsia"/>
          <w:sz w:val="21"/>
        </w:rPr>
        <w:t>的财务</w:t>
      </w:r>
      <w:r w:rsidR="00B9338F" w:rsidRPr="009C1B93">
        <w:rPr>
          <w:rFonts w:ascii="SimSun" w:hAnsi="SimSun" w:hint="eastAsia"/>
          <w:sz w:val="21"/>
        </w:rPr>
        <w:t>效绩全面概览，其中包括RWCF在两年期结束时的情况</w:t>
      </w:r>
      <w:r w:rsidRPr="009C1B93">
        <w:rPr>
          <w:rFonts w:ascii="SimSun" w:hAnsi="SimSun" w:hint="eastAsia"/>
          <w:sz w:val="21"/>
        </w:rPr>
        <w:t>。</w:t>
      </w:r>
    </w:p>
    <w:p w:rsidR="00C52783" w:rsidRPr="00E414BF" w:rsidRDefault="002E72EC" w:rsidP="00E414BF">
      <w:pPr>
        <w:keepNext/>
        <w:spacing w:afterLines="50" w:after="120" w:line="340" w:lineRule="atLeast"/>
        <w:rPr>
          <w:rFonts w:ascii="SimSun" w:hAnsi="SimSun"/>
          <w:b/>
          <w:sz w:val="21"/>
        </w:rPr>
      </w:pPr>
      <w:r w:rsidRPr="00E414BF">
        <w:rPr>
          <w:rFonts w:ascii="SimSun" w:hAnsi="SimSun" w:hint="eastAsia"/>
          <w:b/>
          <w:sz w:val="21"/>
        </w:rPr>
        <w:t>二、</w:t>
      </w:r>
      <w:r w:rsidR="00C3714C" w:rsidRPr="00E414BF">
        <w:rPr>
          <w:rFonts w:ascii="SimSun" w:hAnsi="SimSun"/>
          <w:b/>
          <w:sz w:val="21"/>
        </w:rPr>
        <w:t>(D)</w:t>
      </w:r>
      <w:r w:rsidR="00C3714C" w:rsidRPr="00E414BF">
        <w:rPr>
          <w:rFonts w:ascii="SimSun" w:hAnsi="SimSun"/>
          <w:b/>
          <w:sz w:val="21"/>
        </w:rPr>
        <w:tab/>
      </w:r>
      <w:r w:rsidR="00787BA8" w:rsidRPr="00E414BF">
        <w:rPr>
          <w:rFonts w:ascii="SimSun" w:hAnsi="SimSun" w:hint="eastAsia"/>
          <w:b/>
          <w:sz w:val="21"/>
        </w:rPr>
        <w:t>储备金的使用——各项原则和批准机制</w:t>
      </w:r>
    </w:p>
    <w:p w:rsidR="00C52783" w:rsidRPr="009C1B93" w:rsidRDefault="00830AFD" w:rsidP="009C1B93">
      <w:pPr>
        <w:pStyle w:val="ONUME"/>
        <w:numPr>
          <w:ilvl w:val="0"/>
          <w:numId w:val="19"/>
        </w:numPr>
        <w:overflowPunct w:val="0"/>
        <w:spacing w:afterLines="50" w:after="120" w:line="340" w:lineRule="atLeast"/>
        <w:ind w:left="0" w:firstLine="0"/>
        <w:jc w:val="both"/>
        <w:rPr>
          <w:rFonts w:ascii="SimSun" w:hAnsi="SimSun"/>
          <w:sz w:val="21"/>
        </w:rPr>
      </w:pPr>
      <w:r w:rsidRPr="009C1B93">
        <w:rPr>
          <w:rFonts w:ascii="SimSun" w:hAnsi="SimSun" w:hint="eastAsia"/>
          <w:sz w:val="21"/>
        </w:rPr>
        <w:t>储备金的使用应首先服从于WIPO《财务条例与细则》</w:t>
      </w:r>
      <w:r w:rsidRPr="009C1B93">
        <w:rPr>
          <w:rFonts w:ascii="SimSun" w:hAnsi="SimSun"/>
          <w:sz w:val="21"/>
        </w:rPr>
        <w:t>(FRR)</w:t>
      </w:r>
      <w:r w:rsidRPr="009C1B93">
        <w:rPr>
          <w:rFonts w:ascii="SimSun" w:hAnsi="SimSun" w:hint="eastAsia"/>
          <w:sz w:val="21"/>
        </w:rPr>
        <w:t>规定的各项原则。</w:t>
      </w:r>
    </w:p>
    <w:p w:rsidR="00C52783" w:rsidRPr="009C1B93" w:rsidRDefault="00905140" w:rsidP="009C1B93">
      <w:pPr>
        <w:pStyle w:val="ONUME"/>
        <w:numPr>
          <w:ilvl w:val="0"/>
          <w:numId w:val="19"/>
        </w:numPr>
        <w:overflowPunct w:val="0"/>
        <w:spacing w:afterLines="50" w:after="120" w:line="340" w:lineRule="atLeast"/>
        <w:ind w:left="0" w:firstLine="0"/>
        <w:jc w:val="both"/>
        <w:rPr>
          <w:rFonts w:ascii="SimSun" w:hAnsi="SimSun"/>
          <w:sz w:val="21"/>
        </w:rPr>
      </w:pPr>
      <w:r w:rsidRPr="009C1B93">
        <w:rPr>
          <w:rFonts w:ascii="SimSun" w:hAnsi="SimSun" w:hint="eastAsia"/>
          <w:sz w:val="21"/>
        </w:rPr>
        <w:t>依据WIPO的监管框架，下文列出了使用储备金时所适用的经修订的一套原则。</w:t>
      </w:r>
      <w:r w:rsidR="00073674" w:rsidRPr="009C1B93">
        <w:rPr>
          <w:rFonts w:ascii="SimSun" w:hAnsi="SimSun" w:hint="eastAsia"/>
          <w:sz w:val="21"/>
        </w:rPr>
        <w:t>此次修订的动机包括财务</w:t>
      </w:r>
      <w:r w:rsidRPr="009C1B93">
        <w:rPr>
          <w:rFonts w:ascii="SimSun" w:hAnsi="SimSun" w:hint="eastAsia"/>
          <w:sz w:val="21"/>
        </w:rPr>
        <w:t>风险管理</w:t>
      </w:r>
      <w:r w:rsidR="00073674" w:rsidRPr="009C1B93">
        <w:rPr>
          <w:rFonts w:ascii="SimSun" w:hAnsi="SimSun" w:hint="eastAsia"/>
          <w:sz w:val="21"/>
        </w:rPr>
        <w:t>原则和</w:t>
      </w:r>
      <w:r w:rsidRPr="009C1B93">
        <w:rPr>
          <w:rFonts w:ascii="SimSun" w:hAnsi="SimSun" w:hint="eastAsia"/>
          <w:sz w:val="21"/>
        </w:rPr>
        <w:t>财务可持续性</w:t>
      </w:r>
      <w:r w:rsidR="00073674" w:rsidRPr="009C1B93">
        <w:rPr>
          <w:rFonts w:ascii="SimSun" w:hAnsi="SimSun" w:hint="eastAsia"/>
          <w:sz w:val="21"/>
        </w:rPr>
        <w:t>原则，以及几个成员</w:t>
      </w:r>
      <w:r w:rsidRPr="009C1B93">
        <w:rPr>
          <w:rFonts w:ascii="SimSun" w:hAnsi="SimSun" w:hint="eastAsia"/>
          <w:sz w:val="21"/>
        </w:rPr>
        <w:t>国</w:t>
      </w:r>
      <w:r w:rsidR="00073674" w:rsidRPr="009C1B93">
        <w:rPr>
          <w:rFonts w:ascii="SimSun" w:hAnsi="SimSun" w:hint="eastAsia"/>
          <w:sz w:val="21"/>
        </w:rPr>
        <w:t>强烈呼吁有必要将储备</w:t>
      </w:r>
      <w:proofErr w:type="gramStart"/>
      <w:r w:rsidR="00073674" w:rsidRPr="009C1B93">
        <w:rPr>
          <w:rFonts w:ascii="SimSun" w:hAnsi="SimSun" w:hint="eastAsia"/>
          <w:sz w:val="21"/>
        </w:rPr>
        <w:t>金严格</w:t>
      </w:r>
      <w:proofErr w:type="gramEnd"/>
      <w:r w:rsidR="00073674" w:rsidRPr="009C1B93">
        <w:rPr>
          <w:rFonts w:ascii="SimSun" w:hAnsi="SimSun" w:hint="eastAsia"/>
          <w:sz w:val="21"/>
        </w:rPr>
        <w:t>限制于</w:t>
      </w:r>
      <w:r w:rsidRPr="009C1B93">
        <w:rPr>
          <w:rFonts w:ascii="SimSun" w:hAnsi="SimSun" w:hint="eastAsia"/>
          <w:sz w:val="21"/>
        </w:rPr>
        <w:t>一次性</w:t>
      </w:r>
      <w:r w:rsidR="00073674" w:rsidRPr="009C1B93">
        <w:rPr>
          <w:rFonts w:ascii="SimSun" w:hAnsi="SimSun" w:hint="eastAsia"/>
          <w:sz w:val="21"/>
        </w:rPr>
        <w:t>的非常规</w:t>
      </w:r>
      <w:r w:rsidRPr="009C1B93">
        <w:rPr>
          <w:rFonts w:ascii="SimSun" w:hAnsi="SimSun" w:hint="eastAsia"/>
          <w:sz w:val="21"/>
        </w:rPr>
        <w:t>支出</w:t>
      </w:r>
      <w:r w:rsidR="00073674" w:rsidRPr="009C1B93">
        <w:rPr>
          <w:rFonts w:ascii="SimSun" w:hAnsi="SimSun" w:hint="eastAsia"/>
          <w:sz w:val="21"/>
        </w:rPr>
        <w:t>等</w:t>
      </w:r>
      <w:r w:rsidRPr="009C1B93">
        <w:rPr>
          <w:rFonts w:ascii="SimSun" w:hAnsi="SimSun" w:hint="eastAsia"/>
          <w:sz w:val="21"/>
        </w:rPr>
        <w:t>。拟议的修订</w:t>
      </w:r>
      <w:r w:rsidR="00276530">
        <w:rPr>
          <w:rFonts w:ascii="SimSun" w:hAnsi="SimSun" w:hint="eastAsia"/>
          <w:sz w:val="21"/>
        </w:rPr>
        <w:t>包括</w:t>
      </w:r>
      <w:r w:rsidR="00073674" w:rsidRPr="009C1B93">
        <w:rPr>
          <w:rFonts w:ascii="SimSun" w:hAnsi="SimSun" w:hint="eastAsia"/>
          <w:sz w:val="21"/>
        </w:rPr>
        <w:t>：</w:t>
      </w:r>
    </w:p>
    <w:p w:rsidR="00C52783" w:rsidRPr="00943062" w:rsidRDefault="00073674" w:rsidP="00D07ECB">
      <w:pPr>
        <w:pStyle w:val="ONUME"/>
        <w:numPr>
          <w:ilvl w:val="0"/>
          <w:numId w:val="28"/>
        </w:numPr>
        <w:overflowPunct w:val="0"/>
        <w:spacing w:afterLines="50" w:after="120" w:line="340" w:lineRule="atLeast"/>
        <w:ind w:left="1134" w:hanging="567"/>
        <w:jc w:val="both"/>
        <w:rPr>
          <w:rFonts w:ascii="SimSun" w:hAnsi="SimSun"/>
          <w:sz w:val="21"/>
        </w:rPr>
      </w:pPr>
      <w:r w:rsidRPr="00943062">
        <w:rPr>
          <w:rFonts w:ascii="SimSun" w:hAnsi="SimSun" w:hint="eastAsia"/>
          <w:sz w:val="21"/>
        </w:rPr>
        <w:t>对可用储备金</w:t>
      </w:r>
      <w:proofErr w:type="gramStart"/>
      <w:r w:rsidRPr="00943062">
        <w:rPr>
          <w:rFonts w:ascii="SimSun" w:hAnsi="SimSun" w:hint="eastAsia"/>
          <w:sz w:val="21"/>
        </w:rPr>
        <w:t>作出</w:t>
      </w:r>
      <w:proofErr w:type="gramEnd"/>
      <w:r w:rsidRPr="00943062">
        <w:rPr>
          <w:rFonts w:ascii="SimSun" w:hAnsi="SimSun" w:hint="eastAsia"/>
          <w:sz w:val="21"/>
        </w:rPr>
        <w:t>更严格的定义；</w:t>
      </w:r>
    </w:p>
    <w:p w:rsidR="00C52783" w:rsidRPr="00943062" w:rsidRDefault="00073674" w:rsidP="00D07ECB">
      <w:pPr>
        <w:pStyle w:val="ONUME"/>
        <w:numPr>
          <w:ilvl w:val="0"/>
          <w:numId w:val="28"/>
        </w:numPr>
        <w:overflowPunct w:val="0"/>
        <w:spacing w:afterLines="50" w:after="120" w:line="340" w:lineRule="atLeast"/>
        <w:ind w:left="1134" w:hanging="567"/>
        <w:jc w:val="both"/>
        <w:rPr>
          <w:rFonts w:ascii="SimSun" w:hAnsi="SimSun"/>
          <w:sz w:val="21"/>
        </w:rPr>
      </w:pPr>
      <w:r w:rsidRPr="00943062">
        <w:rPr>
          <w:rFonts w:ascii="SimSun" w:hAnsi="SimSun" w:hint="eastAsia"/>
          <w:sz w:val="21"/>
        </w:rPr>
        <w:t>对可能利用储备金供资的项目类别和级别</w:t>
      </w:r>
      <w:proofErr w:type="gramStart"/>
      <w:r w:rsidRPr="00943062">
        <w:rPr>
          <w:rFonts w:ascii="SimSun" w:hAnsi="SimSun" w:hint="eastAsia"/>
          <w:sz w:val="21"/>
        </w:rPr>
        <w:t>作出</w:t>
      </w:r>
      <w:proofErr w:type="gramEnd"/>
      <w:r w:rsidRPr="00943062">
        <w:rPr>
          <w:rFonts w:ascii="SimSun" w:hAnsi="SimSun" w:hint="eastAsia"/>
          <w:sz w:val="21"/>
        </w:rPr>
        <w:t>更严格更明确的定义；并且</w:t>
      </w:r>
    </w:p>
    <w:p w:rsidR="00C52783" w:rsidRPr="00943062" w:rsidRDefault="00257E49" w:rsidP="00D07ECB">
      <w:pPr>
        <w:pStyle w:val="ONUME"/>
        <w:numPr>
          <w:ilvl w:val="0"/>
          <w:numId w:val="28"/>
        </w:numPr>
        <w:overflowPunct w:val="0"/>
        <w:spacing w:afterLines="50" w:after="120" w:line="340" w:lineRule="atLeast"/>
        <w:ind w:left="1134" w:hanging="567"/>
        <w:jc w:val="both"/>
        <w:rPr>
          <w:rFonts w:ascii="SimSun" w:hAnsi="SimSun"/>
          <w:sz w:val="21"/>
        </w:rPr>
      </w:pPr>
      <w:r>
        <w:rPr>
          <w:rFonts w:ascii="SimSun" w:hAnsi="SimSun" w:hint="eastAsia"/>
          <w:sz w:val="21"/>
        </w:rPr>
        <w:t>对</w:t>
      </w:r>
      <w:r w:rsidR="00073674" w:rsidRPr="00943062">
        <w:rPr>
          <w:rFonts w:ascii="SimSun" w:hAnsi="SimSun" w:hint="eastAsia"/>
          <w:sz w:val="21"/>
        </w:rPr>
        <w:t>储备金</w:t>
      </w:r>
      <w:r>
        <w:rPr>
          <w:rFonts w:ascii="SimSun" w:hAnsi="SimSun" w:hint="eastAsia"/>
          <w:sz w:val="21"/>
        </w:rPr>
        <w:t>使用的提案中应该</w:t>
      </w:r>
      <w:r w:rsidR="00073674" w:rsidRPr="00943062">
        <w:rPr>
          <w:rFonts w:ascii="SimSun" w:hAnsi="SimSun" w:hint="eastAsia"/>
          <w:sz w:val="21"/>
        </w:rPr>
        <w:t>包括的关键参数给出更明确的指导，</w:t>
      </w:r>
      <w:r w:rsidR="002F7648" w:rsidRPr="00943062">
        <w:rPr>
          <w:rFonts w:ascii="SimSun" w:hAnsi="SimSun" w:hint="eastAsia"/>
          <w:sz w:val="21"/>
        </w:rPr>
        <w:t>这些参数应全面考虑项目成本，不仅包括项目整个生命周期的成本，还需清楚地认识到本组织为使项目竣工所作承诺导致的</w:t>
      </w:r>
      <w:r w:rsidR="002B164F">
        <w:rPr>
          <w:rFonts w:ascii="SimSun" w:hAnsi="SimSun" w:hint="eastAsia"/>
          <w:sz w:val="21"/>
        </w:rPr>
        <w:t>经常</w:t>
      </w:r>
      <w:r w:rsidR="002F7648" w:rsidRPr="00943062">
        <w:rPr>
          <w:rFonts w:ascii="SimSun" w:hAnsi="SimSun" w:hint="eastAsia"/>
          <w:sz w:val="21"/>
        </w:rPr>
        <w:t>成本。这种考虑也符合外聘审计员提出的意见和建议。</w:t>
      </w:r>
    </w:p>
    <w:p w:rsidR="00C52783" w:rsidRPr="009C1B93" w:rsidRDefault="00934F96" w:rsidP="009C1B93">
      <w:pPr>
        <w:pStyle w:val="ONUME"/>
        <w:numPr>
          <w:ilvl w:val="0"/>
          <w:numId w:val="19"/>
        </w:numPr>
        <w:overflowPunct w:val="0"/>
        <w:spacing w:afterLines="50" w:after="120" w:line="340" w:lineRule="atLeast"/>
        <w:ind w:left="0" w:firstLine="0"/>
        <w:jc w:val="both"/>
        <w:rPr>
          <w:rFonts w:ascii="SimSun" w:hAnsi="SimSun"/>
          <w:sz w:val="21"/>
        </w:rPr>
      </w:pPr>
      <w:r w:rsidRPr="009C1B93">
        <w:rPr>
          <w:rFonts w:ascii="SimSun" w:hAnsi="SimSun" w:hint="eastAsia"/>
          <w:sz w:val="21"/>
        </w:rPr>
        <w:t>本组织储备</w:t>
      </w:r>
      <w:proofErr w:type="gramStart"/>
      <w:r w:rsidRPr="009C1B93">
        <w:rPr>
          <w:rFonts w:ascii="SimSun" w:hAnsi="SimSun" w:hint="eastAsia"/>
          <w:sz w:val="21"/>
        </w:rPr>
        <w:t>金目标</w:t>
      </w:r>
      <w:proofErr w:type="gramEnd"/>
      <w:r w:rsidRPr="009C1B93">
        <w:rPr>
          <w:rFonts w:ascii="SimSun" w:hAnsi="SimSun" w:hint="eastAsia"/>
          <w:sz w:val="21"/>
        </w:rPr>
        <w:t>水平的</w:t>
      </w:r>
      <w:r w:rsidR="004E6B84" w:rsidRPr="009C1B93">
        <w:rPr>
          <w:rFonts w:ascii="SimSun" w:hAnsi="SimSun" w:hint="eastAsia"/>
          <w:sz w:val="21"/>
        </w:rPr>
        <w:t>主要用途保持不变，即</w:t>
      </w:r>
      <w:r w:rsidRPr="009C1B93">
        <w:rPr>
          <w:rFonts w:ascii="SimSun" w:hAnsi="SimSun" w:hint="eastAsia"/>
          <w:sz w:val="21"/>
        </w:rPr>
        <w:t>在</w:t>
      </w:r>
      <w:r w:rsidR="004E6B84" w:rsidRPr="009C1B93">
        <w:rPr>
          <w:rFonts w:ascii="SimSun" w:hAnsi="SimSun" w:hint="eastAsia"/>
          <w:sz w:val="21"/>
        </w:rPr>
        <w:t>特定两年期内，当收入下降导致实际支出超过实际收入时，将其用于为赤字供</w:t>
      </w:r>
      <w:r w:rsidRPr="009C1B93">
        <w:rPr>
          <w:rFonts w:ascii="SimSun" w:hAnsi="SimSun" w:hint="eastAsia"/>
          <w:sz w:val="21"/>
        </w:rPr>
        <w:t>资。WIPO储备金和周转基金一贯高于目标水平</w:t>
      </w:r>
      <w:r w:rsidR="00622E29">
        <w:rPr>
          <w:rFonts w:ascii="SimSun" w:hAnsi="SimSun" w:hint="eastAsia"/>
          <w:sz w:val="21"/>
        </w:rPr>
        <w:t>(</w:t>
      </w:r>
      <w:r w:rsidRPr="009C1B93">
        <w:rPr>
          <w:rFonts w:ascii="SimSun" w:hAnsi="SimSun" w:hint="eastAsia"/>
          <w:sz w:val="21"/>
        </w:rPr>
        <w:t>见</w:t>
      </w:r>
      <w:r w:rsidR="004E6B84" w:rsidRPr="009C1B93">
        <w:rPr>
          <w:rFonts w:ascii="SimSun" w:hAnsi="SimSun" w:hint="eastAsia"/>
          <w:sz w:val="21"/>
        </w:rPr>
        <w:t>下</w:t>
      </w:r>
      <w:r w:rsidR="001622CC">
        <w:rPr>
          <w:rFonts w:ascii="SimSun" w:hAnsi="SimSun" w:hint="eastAsia"/>
          <w:sz w:val="21"/>
        </w:rPr>
        <w:t>文</w:t>
      </w:r>
      <w:r w:rsidRPr="009C1B93">
        <w:rPr>
          <w:rFonts w:ascii="SimSun" w:hAnsi="SimSun" w:hint="eastAsia"/>
          <w:sz w:val="21"/>
        </w:rPr>
        <w:t>“</w:t>
      </w:r>
      <w:r w:rsidR="004E6B84" w:rsidRPr="009C1B93">
        <w:rPr>
          <w:rFonts w:ascii="SimSun" w:hAnsi="SimSun" w:hint="eastAsia"/>
          <w:sz w:val="21"/>
        </w:rPr>
        <w:t>1998年-2014年</w:t>
      </w:r>
      <w:r w:rsidRPr="009C1B93">
        <w:rPr>
          <w:rFonts w:ascii="SimSun" w:hAnsi="SimSun" w:hint="eastAsia"/>
          <w:sz w:val="21"/>
        </w:rPr>
        <w:t>WIPO财务</w:t>
      </w:r>
      <w:r w:rsidR="009E780F">
        <w:rPr>
          <w:rFonts w:ascii="SimSun" w:hAnsi="SimSun" w:hint="eastAsia"/>
          <w:sz w:val="21"/>
        </w:rPr>
        <w:t>状况</w:t>
      </w:r>
      <w:r w:rsidR="004E6B84" w:rsidRPr="009C1B93">
        <w:rPr>
          <w:rFonts w:ascii="SimSun" w:hAnsi="SimSun" w:hint="eastAsia"/>
          <w:sz w:val="21"/>
        </w:rPr>
        <w:t>变化</w:t>
      </w:r>
      <w:r w:rsidR="001622CC">
        <w:rPr>
          <w:rFonts w:ascii="SimSun" w:hAnsi="SimSun" w:hint="eastAsia"/>
          <w:sz w:val="21"/>
        </w:rPr>
        <w:t>图</w:t>
      </w:r>
      <w:r w:rsidRPr="009C1B93">
        <w:rPr>
          <w:rFonts w:ascii="SimSun" w:hAnsi="SimSun" w:hint="eastAsia"/>
          <w:sz w:val="21"/>
        </w:rPr>
        <w:t>”</w:t>
      </w:r>
      <w:r w:rsidR="00622E29">
        <w:rPr>
          <w:rFonts w:ascii="SimSun" w:hAnsi="SimSun" w:hint="eastAsia"/>
          <w:sz w:val="21"/>
        </w:rPr>
        <w:t>)</w:t>
      </w:r>
      <w:r w:rsidRPr="009C1B93">
        <w:rPr>
          <w:rFonts w:ascii="SimSun" w:hAnsi="SimSun" w:hint="eastAsia"/>
          <w:sz w:val="21"/>
        </w:rPr>
        <w:t>。</w:t>
      </w:r>
    </w:p>
    <w:p w:rsidR="00C52783" w:rsidRPr="009C1B93" w:rsidRDefault="00C3714C" w:rsidP="009C1B93">
      <w:pPr>
        <w:pStyle w:val="ONUME"/>
        <w:numPr>
          <w:ilvl w:val="0"/>
          <w:numId w:val="19"/>
        </w:numPr>
        <w:overflowPunct w:val="0"/>
        <w:spacing w:afterLines="50" w:after="120" w:line="340" w:lineRule="atLeast"/>
        <w:ind w:left="0" w:firstLine="0"/>
        <w:jc w:val="both"/>
        <w:rPr>
          <w:rFonts w:ascii="SimSun" w:hAnsi="SimSun"/>
          <w:sz w:val="21"/>
        </w:rPr>
      </w:pPr>
      <w:r w:rsidRPr="009C1B93">
        <w:rPr>
          <w:rFonts w:ascii="SimSun" w:hAnsi="SimSun"/>
          <w:sz w:val="21"/>
        </w:rPr>
        <w:t>2000</w:t>
      </w:r>
      <w:r w:rsidR="000150C1" w:rsidRPr="009C1B93">
        <w:rPr>
          <w:rFonts w:ascii="SimSun" w:hAnsi="SimSun" w:hint="eastAsia"/>
          <w:sz w:val="21"/>
        </w:rPr>
        <w:t>年</w:t>
      </w:r>
      <w:proofErr w:type="gramStart"/>
      <w:r w:rsidR="000150C1" w:rsidRPr="009C1B93">
        <w:rPr>
          <w:rFonts w:ascii="SimSun" w:hAnsi="SimSun" w:hint="eastAsia"/>
          <w:sz w:val="21"/>
        </w:rPr>
        <w:t>作出</w:t>
      </w:r>
      <w:proofErr w:type="gramEnd"/>
      <w:r w:rsidR="000150C1" w:rsidRPr="009C1B93">
        <w:rPr>
          <w:rFonts w:ascii="SimSun" w:hAnsi="SimSun" w:hint="eastAsia"/>
          <w:sz w:val="21"/>
        </w:rPr>
        <w:t>决定，总干事或成员国可以视情况提请WIPO大会或有关联盟的大会批准由可用盈余供资的项目活动。</w:t>
      </w:r>
      <w:r w:rsidR="00374A8E" w:rsidRPr="009C1B93">
        <w:rPr>
          <w:rFonts w:ascii="SimSun" w:hAnsi="SimSun"/>
          <w:sz w:val="21"/>
        </w:rPr>
        <w:t>2010</w:t>
      </w:r>
      <w:r w:rsidR="000150C1" w:rsidRPr="009C1B93">
        <w:rPr>
          <w:rFonts w:ascii="SimSun" w:hAnsi="SimSun" w:hint="eastAsia"/>
          <w:sz w:val="21"/>
        </w:rPr>
        <w:t>年，成员国批准了一套使用储备金的原则(见文件</w:t>
      </w:r>
      <w:r w:rsidR="0040388C" w:rsidRPr="009C1B93">
        <w:rPr>
          <w:rFonts w:ascii="SimSun" w:hAnsi="SimSun"/>
          <w:sz w:val="21"/>
        </w:rPr>
        <w:t>WO/PBC/15/7/REV)</w:t>
      </w:r>
      <w:r w:rsidR="000150C1" w:rsidRPr="009C1B93">
        <w:rPr>
          <w:rFonts w:ascii="SimSun" w:hAnsi="SimSun" w:hint="eastAsia"/>
          <w:sz w:val="21"/>
        </w:rPr>
        <w:t>。</w:t>
      </w:r>
      <w:r w:rsidR="00887B7B" w:rsidRPr="009C1B93">
        <w:rPr>
          <w:rFonts w:ascii="SimSun" w:hAnsi="SimSun" w:hint="eastAsia"/>
          <w:sz w:val="21"/>
        </w:rPr>
        <w:t>下文列出了</w:t>
      </w:r>
      <w:r w:rsidR="003212E5" w:rsidRPr="009C1B93">
        <w:rPr>
          <w:rFonts w:ascii="SimSun" w:hAnsi="SimSun" w:hint="eastAsia"/>
          <w:sz w:val="21"/>
        </w:rPr>
        <w:t>指导储备金使用的</w:t>
      </w:r>
      <w:r w:rsidR="00887B7B" w:rsidRPr="009C1B93">
        <w:rPr>
          <w:rFonts w:ascii="SimSun" w:hAnsi="SimSun" w:hint="eastAsia"/>
          <w:sz w:val="21"/>
        </w:rPr>
        <w:t>经修订的各项原则。</w:t>
      </w:r>
    </w:p>
    <w:p w:rsidR="00C52783" w:rsidRPr="009C1B93" w:rsidRDefault="00980A62" w:rsidP="009C1B93">
      <w:pPr>
        <w:pStyle w:val="ONUME"/>
        <w:numPr>
          <w:ilvl w:val="0"/>
          <w:numId w:val="19"/>
        </w:numPr>
        <w:overflowPunct w:val="0"/>
        <w:spacing w:afterLines="50" w:after="120" w:line="340" w:lineRule="atLeast"/>
        <w:ind w:left="0" w:firstLine="0"/>
        <w:jc w:val="both"/>
        <w:rPr>
          <w:rFonts w:ascii="SimSun" w:hAnsi="SimSun"/>
          <w:sz w:val="21"/>
        </w:rPr>
      </w:pPr>
      <w:r w:rsidRPr="009C1B93">
        <w:rPr>
          <w:rFonts w:ascii="SimSun" w:hAnsi="SimSun" w:hint="eastAsia"/>
          <w:sz w:val="21"/>
        </w:rPr>
        <w:t>为储备金使用提出各种建议时，本组织必须确保此种使用不会导致RWCF</w:t>
      </w:r>
      <w:r w:rsidR="00B053C1">
        <w:rPr>
          <w:rFonts w:ascii="SimSun" w:hAnsi="SimSun" w:hint="eastAsia"/>
          <w:sz w:val="21"/>
        </w:rPr>
        <w:t>降</w:t>
      </w:r>
      <w:r w:rsidRPr="009C1B93">
        <w:rPr>
          <w:rFonts w:ascii="SimSun" w:hAnsi="SimSun" w:hint="eastAsia"/>
          <w:sz w:val="21"/>
        </w:rPr>
        <w:t>至目标水平之下。据此，第一项原则如下：</w:t>
      </w:r>
    </w:p>
    <w:p w:rsidR="00C52783" w:rsidRPr="00E414BF" w:rsidRDefault="00980A62" w:rsidP="00D07ECB">
      <w:pPr>
        <w:keepNext/>
        <w:overflowPunct w:val="0"/>
        <w:spacing w:beforeLines="100" w:before="240" w:afterLines="100" w:after="240" w:line="340" w:lineRule="atLeast"/>
        <w:ind w:left="567"/>
        <w:jc w:val="both"/>
        <w:rPr>
          <w:rFonts w:ascii="KaiTi" w:eastAsia="KaiTi" w:hAnsi="KaiTi"/>
          <w:b/>
          <w:i/>
          <w:sz w:val="21"/>
          <w:szCs w:val="21"/>
        </w:rPr>
      </w:pPr>
      <w:r w:rsidRPr="00E414BF">
        <w:rPr>
          <w:rFonts w:ascii="KaiTi" w:eastAsia="KaiTi" w:hAnsi="KaiTi" w:hint="eastAsia"/>
          <w:b/>
          <w:i/>
          <w:sz w:val="21"/>
          <w:szCs w:val="21"/>
        </w:rPr>
        <w:t>原则</w:t>
      </w:r>
      <w:r w:rsidR="00C3714C" w:rsidRPr="00E414BF">
        <w:rPr>
          <w:rFonts w:ascii="KaiTi" w:eastAsia="KaiTi" w:hAnsi="KaiTi"/>
          <w:b/>
          <w:i/>
          <w:sz w:val="21"/>
          <w:szCs w:val="21"/>
        </w:rPr>
        <w:t>1</w:t>
      </w:r>
      <w:r w:rsidRPr="00E414BF">
        <w:rPr>
          <w:rFonts w:ascii="KaiTi" w:eastAsia="KaiTi" w:hAnsi="KaiTi" w:hint="eastAsia"/>
          <w:b/>
          <w:i/>
          <w:sz w:val="21"/>
          <w:szCs w:val="21"/>
        </w:rPr>
        <w:t>：RWCF使用提案，应当仅涉及RWCF中超过WIPO储备</w:t>
      </w:r>
      <w:proofErr w:type="gramStart"/>
      <w:r w:rsidRPr="00E414BF">
        <w:rPr>
          <w:rFonts w:ascii="KaiTi" w:eastAsia="KaiTi" w:hAnsi="KaiTi" w:hint="eastAsia"/>
          <w:b/>
          <w:i/>
          <w:sz w:val="21"/>
          <w:szCs w:val="21"/>
        </w:rPr>
        <w:t>金政策</w:t>
      </w:r>
      <w:proofErr w:type="gramEnd"/>
      <w:r w:rsidRPr="00E414BF">
        <w:rPr>
          <w:rFonts w:ascii="KaiTi" w:eastAsia="KaiTi" w:hAnsi="KaiTi" w:hint="eastAsia"/>
          <w:b/>
          <w:i/>
          <w:sz w:val="21"/>
          <w:szCs w:val="21"/>
        </w:rPr>
        <w:t>所要求目标水平的可用数额。</w:t>
      </w:r>
      <w:r w:rsidR="00960E69" w:rsidRPr="00E414BF">
        <w:rPr>
          <w:rFonts w:ascii="KaiTi" w:eastAsia="KaiTi" w:hAnsi="KaiTi" w:hint="eastAsia"/>
          <w:b/>
          <w:i/>
          <w:sz w:val="21"/>
          <w:szCs w:val="21"/>
        </w:rPr>
        <w:t>这既适用于各联盟一级，也适用于</w:t>
      </w:r>
      <w:proofErr w:type="gramStart"/>
      <w:r w:rsidR="00960E69" w:rsidRPr="00E414BF">
        <w:rPr>
          <w:rFonts w:ascii="KaiTi" w:eastAsia="KaiTi" w:hAnsi="KaiTi" w:hint="eastAsia"/>
          <w:b/>
          <w:i/>
          <w:sz w:val="21"/>
          <w:szCs w:val="21"/>
        </w:rPr>
        <w:t>全组织</w:t>
      </w:r>
      <w:proofErr w:type="gramEnd"/>
      <w:r w:rsidR="00960E69" w:rsidRPr="00E414BF">
        <w:rPr>
          <w:rFonts w:ascii="KaiTi" w:eastAsia="KaiTi" w:hAnsi="KaiTi" w:hint="eastAsia"/>
          <w:b/>
          <w:i/>
          <w:sz w:val="21"/>
          <w:szCs w:val="21"/>
        </w:rPr>
        <w:t>一级。</w:t>
      </w:r>
    </w:p>
    <w:p w:rsidR="00C52783" w:rsidRPr="009C1B93" w:rsidRDefault="005C260B" w:rsidP="009C1B93">
      <w:pPr>
        <w:pStyle w:val="ONUME"/>
        <w:numPr>
          <w:ilvl w:val="0"/>
          <w:numId w:val="19"/>
        </w:numPr>
        <w:overflowPunct w:val="0"/>
        <w:spacing w:afterLines="50" w:after="120" w:line="340" w:lineRule="atLeast"/>
        <w:ind w:left="0" w:firstLine="0"/>
        <w:jc w:val="both"/>
        <w:rPr>
          <w:rFonts w:ascii="SimSun" w:hAnsi="SimSun"/>
          <w:sz w:val="21"/>
        </w:rPr>
      </w:pPr>
      <w:r w:rsidRPr="009C1B93">
        <w:rPr>
          <w:rFonts w:ascii="SimSun" w:hAnsi="SimSun" w:hint="eastAsia"/>
          <w:sz w:val="21"/>
        </w:rPr>
        <w:t>超过目标水平可用数额的计算方法必须清楚、透明和审慎。据此，</w:t>
      </w:r>
      <w:r w:rsidR="00BE7580" w:rsidRPr="009C1B93">
        <w:rPr>
          <w:rFonts w:ascii="SimSun" w:hAnsi="SimSun" w:hint="eastAsia"/>
          <w:sz w:val="21"/>
        </w:rPr>
        <w:t>储备金使用的第二项原则</w:t>
      </w:r>
      <w:r w:rsidRPr="009C1B93">
        <w:rPr>
          <w:rFonts w:ascii="SimSun" w:hAnsi="SimSun" w:hint="eastAsia"/>
          <w:sz w:val="21"/>
        </w:rPr>
        <w:t>为计算可用储备金提供</w:t>
      </w:r>
      <w:r w:rsidR="009B7DFE">
        <w:rPr>
          <w:rFonts w:ascii="SimSun" w:hAnsi="SimSun" w:hint="eastAsia"/>
          <w:sz w:val="21"/>
        </w:rPr>
        <w:t>了</w:t>
      </w:r>
      <w:r w:rsidRPr="009C1B93">
        <w:rPr>
          <w:rFonts w:ascii="SimSun" w:hAnsi="SimSun" w:hint="eastAsia"/>
          <w:sz w:val="21"/>
        </w:rPr>
        <w:t>清楚审慎的计算方法</w:t>
      </w:r>
      <w:r w:rsidR="00BE7580">
        <w:rPr>
          <w:rFonts w:ascii="SimSun" w:hAnsi="SimSun" w:hint="eastAsia"/>
          <w:sz w:val="21"/>
        </w:rPr>
        <w:t>，内容</w:t>
      </w:r>
      <w:r w:rsidRPr="009C1B93">
        <w:rPr>
          <w:rFonts w:ascii="SimSun" w:hAnsi="SimSun" w:hint="eastAsia"/>
          <w:sz w:val="21"/>
        </w:rPr>
        <w:t>如下：</w:t>
      </w:r>
    </w:p>
    <w:p w:rsidR="00C52783" w:rsidRPr="00E414BF" w:rsidRDefault="005C260B" w:rsidP="00D07ECB">
      <w:pPr>
        <w:keepNext/>
        <w:overflowPunct w:val="0"/>
        <w:spacing w:beforeLines="100" w:before="240" w:afterLines="100" w:after="240" w:line="340" w:lineRule="atLeast"/>
        <w:ind w:left="567"/>
        <w:jc w:val="both"/>
        <w:rPr>
          <w:rFonts w:ascii="KaiTi" w:eastAsia="KaiTi" w:hAnsi="KaiTi"/>
          <w:b/>
          <w:i/>
          <w:sz w:val="21"/>
          <w:szCs w:val="21"/>
        </w:rPr>
      </w:pPr>
      <w:r w:rsidRPr="00E414BF">
        <w:rPr>
          <w:rFonts w:ascii="KaiTi" w:eastAsia="KaiTi" w:hAnsi="KaiTi" w:hint="eastAsia"/>
          <w:b/>
          <w:i/>
          <w:sz w:val="21"/>
          <w:szCs w:val="21"/>
        </w:rPr>
        <w:t>原则2：</w:t>
      </w:r>
      <w:r w:rsidR="002F25C9" w:rsidRPr="00E414BF">
        <w:rPr>
          <w:rFonts w:ascii="KaiTi" w:eastAsia="KaiTi" w:hAnsi="KaiTi" w:hint="eastAsia"/>
          <w:b/>
          <w:i/>
          <w:sz w:val="21"/>
          <w:szCs w:val="21"/>
        </w:rPr>
        <w:t>计算</w:t>
      </w:r>
      <w:r w:rsidR="00761632" w:rsidRPr="00E414BF">
        <w:rPr>
          <w:rFonts w:ascii="KaiTi" w:eastAsia="KaiTi" w:hAnsi="KaiTi" w:hint="eastAsia"/>
          <w:b/>
          <w:i/>
          <w:sz w:val="21"/>
          <w:szCs w:val="21"/>
        </w:rPr>
        <w:t>可用储备金，必须依据</w:t>
      </w:r>
      <w:r w:rsidR="002F25C9" w:rsidRPr="00E414BF">
        <w:rPr>
          <w:rFonts w:ascii="KaiTi" w:eastAsia="KaiTi" w:hAnsi="KaiTi" w:hint="eastAsia"/>
          <w:b/>
          <w:i/>
          <w:sz w:val="21"/>
          <w:szCs w:val="21"/>
        </w:rPr>
        <w:t>最新的财务报表</w:t>
      </w:r>
      <w:r w:rsidR="00761632" w:rsidRPr="00E414BF">
        <w:rPr>
          <w:rFonts w:ascii="KaiTi" w:eastAsia="KaiTi" w:hAnsi="KaiTi" w:hint="eastAsia"/>
          <w:b/>
          <w:i/>
          <w:sz w:val="21"/>
          <w:szCs w:val="21"/>
        </w:rPr>
        <w:t>中所载的关于</w:t>
      </w:r>
      <w:r w:rsidR="002F25C9" w:rsidRPr="00E414BF">
        <w:rPr>
          <w:rFonts w:ascii="KaiTi" w:eastAsia="KaiTi" w:hAnsi="KaiTi" w:hint="eastAsia"/>
          <w:b/>
          <w:i/>
          <w:sz w:val="21"/>
          <w:szCs w:val="21"/>
        </w:rPr>
        <w:t>RWCF</w:t>
      </w:r>
      <w:r w:rsidR="00761632" w:rsidRPr="00E414BF">
        <w:rPr>
          <w:rFonts w:ascii="KaiTi" w:eastAsia="KaiTi" w:hAnsi="KaiTi" w:hint="eastAsia"/>
          <w:b/>
          <w:i/>
          <w:sz w:val="21"/>
          <w:szCs w:val="21"/>
        </w:rPr>
        <w:t>数额</w:t>
      </w:r>
      <w:r w:rsidR="002F25C9" w:rsidRPr="00E414BF">
        <w:rPr>
          <w:rFonts w:ascii="KaiTi" w:eastAsia="KaiTi" w:hAnsi="KaiTi" w:hint="eastAsia"/>
          <w:b/>
          <w:i/>
          <w:sz w:val="21"/>
          <w:szCs w:val="21"/>
        </w:rPr>
        <w:t>的信息，</w:t>
      </w:r>
      <w:r w:rsidR="00761632" w:rsidRPr="00E414BF">
        <w:rPr>
          <w:rFonts w:ascii="KaiTi" w:eastAsia="KaiTi" w:hAnsi="KaiTi" w:hint="eastAsia"/>
          <w:b/>
          <w:i/>
          <w:sz w:val="21"/>
          <w:szCs w:val="21"/>
        </w:rPr>
        <w:t>并且要</w:t>
      </w:r>
      <w:r w:rsidR="002F25C9" w:rsidRPr="00E414BF">
        <w:rPr>
          <w:rFonts w:ascii="KaiTi" w:eastAsia="KaiTi" w:hAnsi="KaiTi" w:hint="eastAsia"/>
          <w:b/>
          <w:i/>
          <w:sz w:val="21"/>
          <w:szCs w:val="21"/>
        </w:rPr>
        <w:t>适当考虑</w:t>
      </w:r>
      <w:r w:rsidR="00761632" w:rsidRPr="00E414BF">
        <w:rPr>
          <w:rFonts w:ascii="KaiTi" w:eastAsia="KaiTi" w:hAnsi="KaiTi" w:hint="eastAsia"/>
          <w:b/>
          <w:i/>
          <w:sz w:val="21"/>
          <w:szCs w:val="21"/>
        </w:rPr>
        <w:t>拟议项目实施的一个/多个</w:t>
      </w:r>
      <w:r w:rsidR="002F25C9" w:rsidRPr="00E414BF">
        <w:rPr>
          <w:rFonts w:ascii="KaiTi" w:eastAsia="KaiTi" w:hAnsi="KaiTi" w:hint="eastAsia"/>
          <w:b/>
          <w:i/>
          <w:sz w:val="21"/>
          <w:szCs w:val="21"/>
        </w:rPr>
        <w:t>财政期间</w:t>
      </w:r>
      <w:r w:rsidR="00761632" w:rsidRPr="00E414BF">
        <w:rPr>
          <w:rFonts w:ascii="KaiTi" w:eastAsia="KaiTi" w:hAnsi="KaiTi" w:hint="eastAsia"/>
          <w:b/>
          <w:i/>
          <w:sz w:val="21"/>
          <w:szCs w:val="21"/>
        </w:rPr>
        <w:t>内，从</w:t>
      </w:r>
      <w:r w:rsidR="002F25C9" w:rsidRPr="00E414BF">
        <w:rPr>
          <w:rFonts w:ascii="KaiTi" w:eastAsia="KaiTi" w:hAnsi="KaiTi" w:hint="eastAsia"/>
          <w:b/>
          <w:i/>
          <w:sz w:val="21"/>
          <w:szCs w:val="21"/>
        </w:rPr>
        <w:t>储备</w:t>
      </w:r>
      <w:r w:rsidR="00761632" w:rsidRPr="00E414BF">
        <w:rPr>
          <w:rFonts w:ascii="KaiTi" w:eastAsia="KaiTi" w:hAnsi="KaiTi" w:hint="eastAsia"/>
          <w:b/>
          <w:i/>
          <w:sz w:val="21"/>
          <w:szCs w:val="21"/>
        </w:rPr>
        <w:t>金拨出</w:t>
      </w:r>
      <w:r w:rsidR="002F25C9" w:rsidRPr="00E414BF">
        <w:rPr>
          <w:rFonts w:ascii="KaiTi" w:eastAsia="KaiTi" w:hAnsi="KaiTi" w:hint="eastAsia"/>
          <w:b/>
          <w:i/>
          <w:sz w:val="21"/>
          <w:szCs w:val="21"/>
        </w:rPr>
        <w:t>的实际</w:t>
      </w:r>
      <w:r w:rsidR="00761632" w:rsidRPr="00E414BF">
        <w:rPr>
          <w:rFonts w:ascii="KaiTi" w:eastAsia="KaiTi" w:hAnsi="KaiTi" w:hint="eastAsia"/>
          <w:b/>
          <w:i/>
          <w:sz w:val="21"/>
          <w:szCs w:val="21"/>
        </w:rPr>
        <w:t>支出、</w:t>
      </w:r>
      <w:r w:rsidR="002F25C9" w:rsidRPr="00E414BF">
        <w:rPr>
          <w:rFonts w:ascii="KaiTi" w:eastAsia="KaiTi" w:hAnsi="KaiTi" w:hint="eastAsia"/>
          <w:b/>
          <w:i/>
          <w:sz w:val="21"/>
          <w:szCs w:val="21"/>
        </w:rPr>
        <w:t>承</w:t>
      </w:r>
      <w:r w:rsidR="008F0503" w:rsidRPr="00E414BF">
        <w:rPr>
          <w:rFonts w:ascii="KaiTi" w:eastAsia="KaiTi" w:hAnsi="KaiTi" w:hint="eastAsia"/>
          <w:b/>
          <w:i/>
          <w:sz w:val="21"/>
          <w:szCs w:val="21"/>
        </w:rPr>
        <w:t>付</w:t>
      </w:r>
      <w:r w:rsidR="00761632" w:rsidRPr="00E414BF">
        <w:rPr>
          <w:rFonts w:ascii="KaiTi" w:eastAsia="KaiTi" w:hAnsi="KaiTi" w:hint="eastAsia"/>
          <w:b/>
          <w:i/>
          <w:sz w:val="21"/>
          <w:szCs w:val="21"/>
        </w:rPr>
        <w:t>支出</w:t>
      </w:r>
      <w:r w:rsidR="002F25C9" w:rsidRPr="00E414BF">
        <w:rPr>
          <w:rFonts w:ascii="KaiTi" w:eastAsia="KaiTi" w:hAnsi="KaiTi" w:hint="eastAsia"/>
          <w:b/>
          <w:i/>
          <w:sz w:val="21"/>
          <w:szCs w:val="21"/>
        </w:rPr>
        <w:t>和计划支出</w:t>
      </w:r>
      <w:r w:rsidR="00761632" w:rsidRPr="00E414BF">
        <w:rPr>
          <w:rFonts w:ascii="KaiTi" w:eastAsia="KaiTi" w:hAnsi="KaiTi" w:hint="eastAsia"/>
          <w:b/>
          <w:i/>
          <w:sz w:val="21"/>
          <w:szCs w:val="21"/>
        </w:rPr>
        <w:t>。</w:t>
      </w:r>
      <w:r w:rsidR="007D51C1" w:rsidRPr="00E414BF">
        <w:rPr>
          <w:rFonts w:ascii="KaiTi" w:eastAsia="KaiTi" w:hAnsi="KaiTi" w:hint="eastAsia"/>
          <w:b/>
          <w:i/>
          <w:sz w:val="21"/>
          <w:szCs w:val="21"/>
        </w:rPr>
        <w:t>计算</w:t>
      </w:r>
      <w:r w:rsidR="00B4793A" w:rsidRPr="00E414BF">
        <w:rPr>
          <w:rFonts w:ascii="KaiTi" w:eastAsia="KaiTi" w:hAnsi="KaiTi" w:hint="eastAsia"/>
          <w:b/>
          <w:i/>
          <w:sz w:val="21"/>
          <w:szCs w:val="21"/>
        </w:rPr>
        <w:t>超过RWCF目标的可用数额</w:t>
      </w:r>
      <w:r w:rsidR="007D51C1" w:rsidRPr="00E414BF">
        <w:rPr>
          <w:rFonts w:ascii="KaiTi" w:eastAsia="KaiTi" w:hAnsi="KaiTi" w:hint="eastAsia"/>
          <w:b/>
          <w:i/>
          <w:sz w:val="21"/>
          <w:szCs w:val="21"/>
        </w:rPr>
        <w:t>时</w:t>
      </w:r>
      <w:r w:rsidR="00B4793A" w:rsidRPr="00E414BF">
        <w:rPr>
          <w:rFonts w:ascii="KaiTi" w:eastAsia="KaiTi" w:hAnsi="KaiTi" w:hint="eastAsia"/>
          <w:b/>
          <w:i/>
          <w:sz w:val="21"/>
          <w:szCs w:val="21"/>
        </w:rPr>
        <w:t>，</w:t>
      </w:r>
      <w:r w:rsidR="007D51C1" w:rsidRPr="00E414BF">
        <w:rPr>
          <w:rFonts w:ascii="KaiTi" w:eastAsia="KaiTi" w:hAnsi="KaiTi" w:hint="eastAsia"/>
          <w:b/>
          <w:i/>
          <w:sz w:val="21"/>
          <w:szCs w:val="21"/>
        </w:rPr>
        <w:t>不包括重估储备金盈余(产生于新楼建成后对地皮的重新估价</w:t>
      </w:r>
      <w:r w:rsidR="00622E29" w:rsidRPr="00E414BF">
        <w:rPr>
          <w:rFonts w:ascii="KaiTi" w:eastAsia="KaiTi" w:hAnsi="KaiTi" w:hint="eastAsia"/>
          <w:b/>
          <w:i/>
          <w:sz w:val="21"/>
          <w:szCs w:val="21"/>
        </w:rPr>
        <w:t>)</w:t>
      </w:r>
      <w:r w:rsidR="007D51C1" w:rsidRPr="00E414BF">
        <w:rPr>
          <w:rFonts w:ascii="KaiTi" w:eastAsia="KaiTi" w:hAnsi="KaiTi" w:hint="eastAsia"/>
          <w:b/>
          <w:i/>
          <w:sz w:val="21"/>
          <w:szCs w:val="21"/>
        </w:rPr>
        <w:t>，也不包括周转基金(由各成员国的会费设立</w:t>
      </w:r>
      <w:r w:rsidR="00622E29" w:rsidRPr="00E414BF">
        <w:rPr>
          <w:rFonts w:ascii="KaiTi" w:eastAsia="KaiTi" w:hAnsi="KaiTi" w:hint="eastAsia"/>
          <w:b/>
          <w:i/>
          <w:sz w:val="21"/>
          <w:szCs w:val="21"/>
        </w:rPr>
        <w:t>)</w:t>
      </w:r>
      <w:r w:rsidR="007D51C1" w:rsidRPr="00E414BF">
        <w:rPr>
          <w:rFonts w:ascii="KaiTi" w:eastAsia="KaiTi" w:hAnsi="KaiTi" w:hint="eastAsia"/>
          <w:b/>
          <w:i/>
          <w:sz w:val="21"/>
          <w:szCs w:val="21"/>
        </w:rPr>
        <w:t>。</w:t>
      </w:r>
    </w:p>
    <w:p w:rsidR="00C52783" w:rsidRPr="009C1B93" w:rsidRDefault="00BD5313" w:rsidP="009C1B93">
      <w:pPr>
        <w:pStyle w:val="ONUME"/>
        <w:numPr>
          <w:ilvl w:val="0"/>
          <w:numId w:val="19"/>
        </w:numPr>
        <w:overflowPunct w:val="0"/>
        <w:spacing w:afterLines="50" w:after="120" w:line="340" w:lineRule="atLeast"/>
        <w:ind w:left="0" w:firstLine="0"/>
        <w:jc w:val="both"/>
        <w:rPr>
          <w:rFonts w:ascii="SimSun" w:hAnsi="SimSun"/>
          <w:sz w:val="21"/>
        </w:rPr>
      </w:pPr>
      <w:r w:rsidRPr="009C1B93">
        <w:rPr>
          <w:rFonts w:ascii="SimSun" w:hAnsi="SimSun" w:hint="eastAsia"/>
          <w:sz w:val="21"/>
        </w:rPr>
        <w:t>本组织的储备金可能被要求为</w:t>
      </w:r>
      <w:r w:rsidR="0063227D" w:rsidRPr="009C1B93">
        <w:rPr>
          <w:rFonts w:ascii="SimSun" w:hAnsi="SimSun" w:hint="eastAsia"/>
          <w:sz w:val="21"/>
        </w:rPr>
        <w:t>实际支出超过实际收入</w:t>
      </w:r>
      <w:r w:rsidRPr="009C1B93">
        <w:rPr>
          <w:rFonts w:ascii="SimSun" w:hAnsi="SimSun" w:hint="eastAsia"/>
          <w:sz w:val="21"/>
        </w:rPr>
        <w:t>的特定两年期的</w:t>
      </w:r>
      <w:r w:rsidR="0063227D" w:rsidRPr="009C1B93">
        <w:rPr>
          <w:rFonts w:ascii="SimSun" w:hAnsi="SimSun" w:hint="eastAsia"/>
          <w:sz w:val="21"/>
        </w:rPr>
        <w:t>赤字供资，因此不应当用于</w:t>
      </w:r>
      <w:r w:rsidR="009744E0" w:rsidRPr="009C1B93">
        <w:rPr>
          <w:rFonts w:ascii="SimSun" w:hAnsi="SimSun" w:hint="eastAsia"/>
          <w:sz w:val="21"/>
        </w:rPr>
        <w:t>扩充</w:t>
      </w:r>
      <w:r w:rsidR="0063227D" w:rsidRPr="009C1B93">
        <w:rPr>
          <w:rFonts w:ascii="SimSun" w:hAnsi="SimSun" w:hint="eastAsia"/>
          <w:sz w:val="21"/>
        </w:rPr>
        <w:t>业务支出和经常支出的可用资金。</w:t>
      </w:r>
      <w:r w:rsidR="009744E0" w:rsidRPr="009C1B93">
        <w:rPr>
          <w:rFonts w:ascii="SimSun" w:hAnsi="SimSun" w:hint="eastAsia"/>
          <w:sz w:val="21"/>
        </w:rPr>
        <w:t>有计划地产生赤字，给人以资源长期可用的错觉，可能导致用短期资金或非常规资金进行较长期承付(如工作人员资源)。要特别强调，WIPO的费用约有三分之二是人事费用，所以这可能让本组织承担重大风险。据此，储备金使用提案的第三项原则如下：</w:t>
      </w:r>
    </w:p>
    <w:p w:rsidR="00C52783" w:rsidRPr="00E414BF" w:rsidRDefault="00340C1E" w:rsidP="00D07ECB">
      <w:pPr>
        <w:keepNext/>
        <w:overflowPunct w:val="0"/>
        <w:spacing w:beforeLines="100" w:before="240" w:afterLines="100" w:after="240" w:line="340" w:lineRule="atLeast"/>
        <w:ind w:left="567"/>
        <w:jc w:val="both"/>
        <w:rPr>
          <w:rFonts w:ascii="KaiTi" w:eastAsia="KaiTi" w:hAnsi="KaiTi"/>
          <w:b/>
          <w:i/>
          <w:sz w:val="21"/>
          <w:szCs w:val="21"/>
        </w:rPr>
      </w:pPr>
      <w:r w:rsidRPr="00E414BF">
        <w:rPr>
          <w:rFonts w:ascii="KaiTi" w:eastAsia="KaiTi" w:hAnsi="KaiTi" w:hint="eastAsia"/>
          <w:b/>
          <w:i/>
          <w:sz w:val="21"/>
          <w:szCs w:val="21"/>
        </w:rPr>
        <w:lastRenderedPageBreak/>
        <w:t>原则3：储备金</w:t>
      </w:r>
      <w:r w:rsidR="00D2665D" w:rsidRPr="00E414BF">
        <w:rPr>
          <w:rFonts w:ascii="KaiTi" w:eastAsia="KaiTi" w:hAnsi="KaiTi" w:hint="eastAsia"/>
          <w:b/>
          <w:i/>
          <w:sz w:val="21"/>
          <w:szCs w:val="21"/>
        </w:rPr>
        <w:t>使用的提案</w:t>
      </w:r>
      <w:r w:rsidRPr="00E414BF">
        <w:rPr>
          <w:rFonts w:ascii="KaiTi" w:eastAsia="KaiTi" w:hAnsi="KaiTi" w:hint="eastAsia"/>
          <w:b/>
          <w:i/>
          <w:sz w:val="21"/>
          <w:szCs w:val="21"/>
        </w:rPr>
        <w:t>应</w:t>
      </w:r>
      <w:r w:rsidR="00D2665D" w:rsidRPr="00E414BF">
        <w:rPr>
          <w:rFonts w:ascii="KaiTi" w:eastAsia="KaiTi" w:hAnsi="KaiTi" w:hint="eastAsia"/>
          <w:b/>
          <w:i/>
          <w:sz w:val="21"/>
          <w:szCs w:val="21"/>
        </w:rPr>
        <w:t>当用于非常规的</w:t>
      </w:r>
      <w:r w:rsidR="00A41BA7" w:rsidRPr="00E414BF">
        <w:rPr>
          <w:rFonts w:ascii="KaiTi" w:eastAsia="KaiTi" w:hAnsi="KaiTi" w:hint="eastAsia"/>
          <w:b/>
          <w:i/>
          <w:sz w:val="21"/>
          <w:szCs w:val="21"/>
        </w:rPr>
        <w:t>一次性基本建设</w:t>
      </w:r>
      <w:r w:rsidRPr="00E414BF">
        <w:rPr>
          <w:rFonts w:ascii="KaiTi" w:eastAsia="KaiTi" w:hAnsi="KaiTi" w:hint="eastAsia"/>
          <w:b/>
          <w:i/>
          <w:sz w:val="21"/>
          <w:szCs w:val="21"/>
        </w:rPr>
        <w:t>项目和支出，以及在特殊情况下，</w:t>
      </w:r>
      <w:r w:rsidR="00D2665D" w:rsidRPr="00E414BF">
        <w:rPr>
          <w:rFonts w:ascii="KaiTi" w:eastAsia="KaiTi" w:hAnsi="KaiTi" w:hint="eastAsia"/>
          <w:b/>
          <w:i/>
          <w:sz w:val="21"/>
          <w:szCs w:val="21"/>
        </w:rPr>
        <w:t>用</w:t>
      </w:r>
      <w:r w:rsidRPr="00E414BF">
        <w:rPr>
          <w:rFonts w:ascii="KaiTi" w:eastAsia="KaiTi" w:hAnsi="KaiTi" w:hint="eastAsia"/>
          <w:b/>
          <w:i/>
          <w:sz w:val="21"/>
          <w:szCs w:val="21"/>
        </w:rPr>
        <w:t>于</w:t>
      </w:r>
      <w:r w:rsidR="00D2665D" w:rsidRPr="00E414BF">
        <w:rPr>
          <w:rFonts w:ascii="KaiTi" w:eastAsia="KaiTi" w:hAnsi="KaiTi" w:hint="eastAsia"/>
          <w:b/>
          <w:i/>
          <w:sz w:val="21"/>
          <w:szCs w:val="21"/>
        </w:rPr>
        <w:t>WIPO各</w:t>
      </w:r>
      <w:r w:rsidRPr="00E414BF">
        <w:rPr>
          <w:rFonts w:ascii="KaiTi" w:eastAsia="KaiTi" w:hAnsi="KaiTi" w:hint="eastAsia"/>
          <w:b/>
          <w:i/>
          <w:sz w:val="21"/>
          <w:szCs w:val="21"/>
        </w:rPr>
        <w:t>联盟的大会</w:t>
      </w:r>
      <w:r w:rsidR="00D2665D" w:rsidRPr="00E414BF">
        <w:rPr>
          <w:rFonts w:ascii="KaiTi" w:eastAsia="KaiTi" w:hAnsi="KaiTi" w:hint="eastAsia"/>
          <w:b/>
          <w:i/>
          <w:sz w:val="21"/>
          <w:szCs w:val="21"/>
        </w:rPr>
        <w:t>所</w:t>
      </w:r>
      <w:r w:rsidR="00544FC4" w:rsidRPr="00E414BF">
        <w:rPr>
          <w:rFonts w:ascii="KaiTi" w:eastAsia="KaiTi" w:hAnsi="KaiTi" w:hint="eastAsia"/>
          <w:b/>
          <w:i/>
          <w:sz w:val="21"/>
          <w:szCs w:val="21"/>
        </w:rPr>
        <w:t>决定的战略性倡议</w:t>
      </w:r>
      <w:r w:rsidRPr="00E414BF">
        <w:rPr>
          <w:rFonts w:ascii="KaiTi" w:eastAsia="KaiTi" w:hAnsi="KaiTi" w:hint="eastAsia"/>
          <w:b/>
          <w:i/>
          <w:sz w:val="21"/>
          <w:szCs w:val="21"/>
        </w:rPr>
        <w:t>。</w:t>
      </w:r>
      <w:r w:rsidR="00E624E0" w:rsidRPr="00E414BF">
        <w:rPr>
          <w:rFonts w:ascii="KaiTi" w:eastAsia="KaiTi" w:hAnsi="KaiTi" w:hint="eastAsia"/>
          <w:b/>
          <w:i/>
          <w:sz w:val="21"/>
          <w:szCs w:val="21"/>
        </w:rPr>
        <w:t>基本建设</w:t>
      </w:r>
      <w:r w:rsidRPr="00E414BF">
        <w:rPr>
          <w:rFonts w:ascii="KaiTi" w:eastAsia="KaiTi" w:hAnsi="KaiTi" w:hint="eastAsia"/>
          <w:b/>
          <w:i/>
          <w:sz w:val="21"/>
          <w:szCs w:val="21"/>
        </w:rPr>
        <w:t>项目通常会在</w:t>
      </w:r>
      <w:r w:rsidR="00E624E0" w:rsidRPr="00E414BF">
        <w:rPr>
          <w:rFonts w:ascii="KaiTi" w:eastAsia="KaiTi" w:hAnsi="KaiTi" w:hint="eastAsia"/>
          <w:b/>
          <w:i/>
          <w:sz w:val="21"/>
          <w:szCs w:val="21"/>
        </w:rPr>
        <w:t>一个</w:t>
      </w:r>
      <w:r w:rsidRPr="00E414BF">
        <w:rPr>
          <w:rFonts w:ascii="KaiTi" w:eastAsia="KaiTi" w:hAnsi="KaiTi" w:hint="eastAsia"/>
          <w:b/>
          <w:i/>
          <w:sz w:val="21"/>
          <w:szCs w:val="21"/>
        </w:rPr>
        <w:t>长期的基本建设总计划</w:t>
      </w:r>
      <w:r w:rsidR="00E624E0" w:rsidRPr="00E414BF">
        <w:rPr>
          <w:rFonts w:ascii="KaiTi" w:eastAsia="KaiTi" w:hAnsi="KaiTi" w:hint="eastAsia"/>
          <w:b/>
          <w:i/>
          <w:sz w:val="21"/>
          <w:szCs w:val="21"/>
        </w:rPr>
        <w:t>中</w:t>
      </w:r>
      <w:r w:rsidRPr="00E414BF">
        <w:rPr>
          <w:rFonts w:ascii="KaiTi" w:eastAsia="KaiTi" w:hAnsi="KaiTi" w:hint="eastAsia"/>
          <w:b/>
          <w:i/>
          <w:sz w:val="21"/>
          <w:szCs w:val="21"/>
        </w:rPr>
        <w:t>确定</w:t>
      </w:r>
      <w:r w:rsidR="00E624E0" w:rsidRPr="00E414BF">
        <w:rPr>
          <w:rFonts w:ascii="KaiTi" w:eastAsia="KaiTi" w:hAnsi="KaiTi" w:hint="eastAsia"/>
          <w:b/>
          <w:i/>
          <w:sz w:val="21"/>
          <w:szCs w:val="21"/>
        </w:rPr>
        <w:t>，</w:t>
      </w:r>
      <w:r w:rsidRPr="00E414BF">
        <w:rPr>
          <w:rFonts w:ascii="KaiTi" w:eastAsia="KaiTi" w:hAnsi="KaiTi" w:hint="eastAsia"/>
          <w:b/>
          <w:i/>
          <w:sz w:val="21"/>
          <w:szCs w:val="21"/>
        </w:rPr>
        <w:t>并可以被定义为</w:t>
      </w:r>
      <w:r w:rsidR="004F2138" w:rsidRPr="00E414BF">
        <w:rPr>
          <w:rFonts w:ascii="KaiTi" w:eastAsia="KaiTi" w:hAnsi="KaiTi" w:hint="eastAsia"/>
          <w:b/>
          <w:i/>
          <w:sz w:val="21"/>
          <w:szCs w:val="21"/>
        </w:rPr>
        <w:t>与建筑/装修以及信息和通信技术相关的项目，这些项目</w:t>
      </w:r>
      <w:r w:rsidR="00166D99" w:rsidRPr="00E414BF">
        <w:rPr>
          <w:rFonts w:ascii="KaiTi" w:eastAsia="KaiTi" w:hAnsi="KaiTi" w:hint="eastAsia"/>
          <w:b/>
          <w:i/>
          <w:sz w:val="21"/>
          <w:szCs w:val="21"/>
        </w:rPr>
        <w:t>的</w:t>
      </w:r>
      <w:r w:rsidR="00960474" w:rsidRPr="00E414BF">
        <w:rPr>
          <w:rFonts w:ascii="KaiTi" w:eastAsia="KaiTi" w:hAnsi="KaiTi" w:hint="eastAsia"/>
          <w:b/>
          <w:i/>
          <w:sz w:val="21"/>
          <w:szCs w:val="21"/>
        </w:rPr>
        <w:t>显著扩展和增加</w:t>
      </w:r>
      <w:r w:rsidR="00166D99" w:rsidRPr="00E414BF">
        <w:rPr>
          <w:rFonts w:ascii="KaiTi" w:eastAsia="KaiTi" w:hAnsi="KaiTi" w:hint="eastAsia"/>
          <w:b/>
          <w:i/>
          <w:sz w:val="21"/>
          <w:szCs w:val="21"/>
        </w:rPr>
        <w:t>对确保</w:t>
      </w:r>
      <w:r w:rsidR="00960474" w:rsidRPr="00E414BF">
        <w:rPr>
          <w:rFonts w:ascii="KaiTi" w:eastAsia="KaiTi" w:hAnsi="KaiTi" w:hint="eastAsia"/>
          <w:b/>
          <w:i/>
          <w:sz w:val="21"/>
          <w:szCs w:val="21"/>
        </w:rPr>
        <w:t>一个</w:t>
      </w:r>
      <w:r w:rsidRPr="00E414BF">
        <w:rPr>
          <w:rFonts w:ascii="KaiTi" w:eastAsia="KaiTi" w:hAnsi="KaiTi" w:hint="eastAsia"/>
          <w:b/>
          <w:i/>
          <w:sz w:val="21"/>
          <w:szCs w:val="21"/>
        </w:rPr>
        <w:t>组织的设施和系统</w:t>
      </w:r>
      <w:r w:rsidR="00960474" w:rsidRPr="00E414BF">
        <w:rPr>
          <w:rFonts w:ascii="KaiTi" w:eastAsia="KaiTi" w:hAnsi="KaiTi" w:hint="eastAsia"/>
          <w:b/>
          <w:i/>
          <w:sz w:val="21"/>
          <w:szCs w:val="21"/>
        </w:rPr>
        <w:t>切合</w:t>
      </w:r>
      <w:r w:rsidRPr="00E414BF">
        <w:rPr>
          <w:rFonts w:ascii="KaiTi" w:eastAsia="KaiTi" w:hAnsi="KaiTi" w:hint="eastAsia"/>
          <w:b/>
          <w:i/>
          <w:sz w:val="21"/>
          <w:szCs w:val="21"/>
        </w:rPr>
        <w:t>目的</w:t>
      </w:r>
      <w:r w:rsidR="00166D99" w:rsidRPr="00E414BF">
        <w:rPr>
          <w:rFonts w:ascii="KaiTi" w:eastAsia="KaiTi" w:hAnsi="KaiTi" w:hint="eastAsia"/>
          <w:b/>
          <w:i/>
          <w:sz w:val="21"/>
          <w:szCs w:val="21"/>
        </w:rPr>
        <w:t>必不可少</w:t>
      </w:r>
      <w:r w:rsidR="00960474" w:rsidRPr="00E414BF">
        <w:rPr>
          <w:rFonts w:ascii="KaiTi" w:eastAsia="KaiTi" w:hAnsi="KaiTi" w:hint="eastAsia"/>
          <w:b/>
          <w:i/>
          <w:sz w:val="21"/>
          <w:szCs w:val="21"/>
        </w:rPr>
        <w:t>。</w:t>
      </w:r>
    </w:p>
    <w:p w:rsidR="00C52783" w:rsidRPr="009C1B93" w:rsidRDefault="009B77CB" w:rsidP="009C1B93">
      <w:pPr>
        <w:pStyle w:val="ONUME"/>
        <w:numPr>
          <w:ilvl w:val="0"/>
          <w:numId w:val="19"/>
        </w:numPr>
        <w:overflowPunct w:val="0"/>
        <w:spacing w:afterLines="50" w:after="120" w:line="340" w:lineRule="atLeast"/>
        <w:ind w:left="0" w:firstLine="0"/>
        <w:jc w:val="both"/>
        <w:rPr>
          <w:rFonts w:ascii="SimSun" w:hAnsi="SimSun"/>
          <w:sz w:val="21"/>
        </w:rPr>
      </w:pPr>
      <w:r w:rsidRPr="009C1B93">
        <w:rPr>
          <w:rFonts w:ascii="SimSun" w:hAnsi="SimSun" w:hint="eastAsia"/>
          <w:sz w:val="21"/>
        </w:rPr>
        <w:t>储备</w:t>
      </w:r>
      <w:r w:rsidR="00EC0A8E" w:rsidRPr="009C1B93">
        <w:rPr>
          <w:rFonts w:ascii="SimSun" w:hAnsi="SimSun" w:hint="eastAsia"/>
          <w:sz w:val="21"/>
        </w:rPr>
        <w:t>金</w:t>
      </w:r>
      <w:r w:rsidRPr="009C1B93">
        <w:rPr>
          <w:rFonts w:ascii="SimSun" w:hAnsi="SimSun" w:hint="eastAsia"/>
          <w:sz w:val="21"/>
        </w:rPr>
        <w:t>供资项目</w:t>
      </w:r>
      <w:r w:rsidR="00EC0A8E" w:rsidRPr="009C1B93">
        <w:rPr>
          <w:rFonts w:ascii="SimSun" w:hAnsi="SimSun" w:hint="eastAsia"/>
          <w:sz w:val="21"/>
        </w:rPr>
        <w:t>可能</w:t>
      </w:r>
      <w:r w:rsidRPr="009C1B93">
        <w:rPr>
          <w:rFonts w:ascii="SimSun" w:hAnsi="SimSun" w:hint="eastAsia"/>
          <w:sz w:val="21"/>
        </w:rPr>
        <w:t>对储备金的流动性水平产生不利影响。此外，这些项目一旦完</w:t>
      </w:r>
      <w:r w:rsidR="00EC0A8E" w:rsidRPr="009C1B93">
        <w:rPr>
          <w:rFonts w:ascii="SimSun" w:hAnsi="SimSun" w:hint="eastAsia"/>
          <w:sz w:val="21"/>
        </w:rPr>
        <w:t>成，将导致持续</w:t>
      </w:r>
      <w:r w:rsidRPr="009C1B93">
        <w:rPr>
          <w:rFonts w:ascii="SimSun" w:hAnsi="SimSun" w:hint="eastAsia"/>
          <w:sz w:val="21"/>
        </w:rPr>
        <w:t>地维持</w:t>
      </w:r>
      <w:r w:rsidR="00EC0A8E" w:rsidRPr="009C1B93">
        <w:rPr>
          <w:rFonts w:ascii="SimSun" w:hAnsi="SimSun" w:hint="eastAsia"/>
          <w:sz w:val="21"/>
        </w:rPr>
        <w:t>一定水平</w:t>
      </w:r>
      <w:r w:rsidRPr="009C1B93">
        <w:rPr>
          <w:rFonts w:ascii="SimSun" w:hAnsi="SimSun" w:hint="eastAsia"/>
          <w:sz w:val="21"/>
        </w:rPr>
        <w:t>的经常资源。</w:t>
      </w:r>
      <w:r w:rsidR="00EC0A8E" w:rsidRPr="009C1B93">
        <w:rPr>
          <w:rFonts w:ascii="SimSun" w:hAnsi="SimSun" w:hint="eastAsia"/>
          <w:sz w:val="21"/>
        </w:rPr>
        <w:t>成员国</w:t>
      </w:r>
      <w:proofErr w:type="gramStart"/>
      <w:r w:rsidRPr="009C1B93">
        <w:rPr>
          <w:rFonts w:ascii="SimSun" w:hAnsi="SimSun" w:hint="eastAsia"/>
          <w:sz w:val="21"/>
        </w:rPr>
        <w:t>作出</w:t>
      </w:r>
      <w:proofErr w:type="gramEnd"/>
      <w:r w:rsidRPr="009C1B93">
        <w:rPr>
          <w:rFonts w:ascii="SimSun" w:hAnsi="SimSun" w:hint="eastAsia"/>
          <w:sz w:val="21"/>
        </w:rPr>
        <w:t>关于储备金使用</w:t>
      </w:r>
      <w:r w:rsidR="00EC0A8E" w:rsidRPr="009C1B93">
        <w:rPr>
          <w:rFonts w:ascii="SimSun" w:hAnsi="SimSun" w:hint="eastAsia"/>
          <w:sz w:val="21"/>
        </w:rPr>
        <w:t>的决定</w:t>
      </w:r>
      <w:r w:rsidRPr="009C1B93">
        <w:rPr>
          <w:rFonts w:ascii="SimSun" w:hAnsi="SimSun" w:hint="eastAsia"/>
          <w:sz w:val="21"/>
        </w:rPr>
        <w:t>时，需要依据全面</w:t>
      </w:r>
      <w:r w:rsidR="00EC0A8E" w:rsidRPr="009C1B93">
        <w:rPr>
          <w:rFonts w:ascii="SimSun" w:hAnsi="SimSun" w:hint="eastAsia"/>
          <w:sz w:val="21"/>
        </w:rPr>
        <w:t>信息</w:t>
      </w:r>
      <w:r w:rsidRPr="009C1B93">
        <w:rPr>
          <w:rFonts w:ascii="SimSun" w:hAnsi="SimSun" w:hint="eastAsia"/>
          <w:sz w:val="21"/>
        </w:rPr>
        <w:t>，并充分理解</w:t>
      </w:r>
      <w:r w:rsidR="00EC0A8E" w:rsidRPr="009C1B93">
        <w:rPr>
          <w:rFonts w:ascii="SimSun" w:hAnsi="SimSun" w:hint="eastAsia"/>
          <w:sz w:val="21"/>
        </w:rPr>
        <w:t>他们的决定对本组织财务管理</w:t>
      </w:r>
      <w:r w:rsidRPr="009C1B93">
        <w:rPr>
          <w:rFonts w:ascii="SimSun" w:hAnsi="SimSun" w:hint="eastAsia"/>
          <w:sz w:val="21"/>
        </w:rPr>
        <w:t>所产生</w:t>
      </w:r>
      <w:r w:rsidR="00EC0A8E" w:rsidRPr="009C1B93">
        <w:rPr>
          <w:rFonts w:ascii="SimSun" w:hAnsi="SimSun" w:hint="eastAsia"/>
          <w:sz w:val="21"/>
        </w:rPr>
        <w:t>的影响。</w:t>
      </w:r>
      <w:r w:rsidR="00301B47" w:rsidRPr="009C1B93">
        <w:rPr>
          <w:rFonts w:ascii="SimSun" w:hAnsi="SimSun" w:hint="eastAsia"/>
          <w:sz w:val="21"/>
        </w:rPr>
        <w:t>据此</w:t>
      </w:r>
      <w:r w:rsidR="00EC0A8E" w:rsidRPr="009C1B93">
        <w:rPr>
          <w:rFonts w:ascii="SimSun" w:hAnsi="SimSun" w:hint="eastAsia"/>
          <w:sz w:val="21"/>
        </w:rPr>
        <w:t>，</w:t>
      </w:r>
      <w:r w:rsidR="00301B47" w:rsidRPr="009C1B93">
        <w:rPr>
          <w:rFonts w:ascii="SimSun" w:hAnsi="SimSun" w:hint="eastAsia"/>
          <w:sz w:val="21"/>
        </w:rPr>
        <w:t>储备金使用提案的第四项原则如下：</w:t>
      </w:r>
    </w:p>
    <w:p w:rsidR="00C52783" w:rsidRPr="00E414BF" w:rsidRDefault="00AB01E8" w:rsidP="00D07ECB">
      <w:pPr>
        <w:keepNext/>
        <w:overflowPunct w:val="0"/>
        <w:spacing w:beforeLines="100" w:before="240" w:afterLines="100" w:after="240" w:line="340" w:lineRule="atLeast"/>
        <w:ind w:left="567"/>
        <w:jc w:val="both"/>
        <w:rPr>
          <w:rFonts w:ascii="KaiTi" w:eastAsia="KaiTi" w:hAnsi="KaiTi"/>
          <w:b/>
          <w:i/>
          <w:sz w:val="21"/>
          <w:szCs w:val="21"/>
        </w:rPr>
      </w:pPr>
      <w:r w:rsidRPr="00E414BF">
        <w:rPr>
          <w:rFonts w:ascii="KaiTi" w:eastAsia="KaiTi" w:hAnsi="KaiTi" w:hint="eastAsia"/>
          <w:b/>
          <w:i/>
          <w:sz w:val="21"/>
          <w:szCs w:val="21"/>
        </w:rPr>
        <w:t>原则4：</w:t>
      </w:r>
      <w:r w:rsidR="00051B94" w:rsidRPr="00E414BF">
        <w:rPr>
          <w:rFonts w:ascii="KaiTi" w:eastAsia="KaiTi" w:hAnsi="KaiTi" w:hint="eastAsia"/>
          <w:b/>
          <w:i/>
          <w:sz w:val="21"/>
          <w:szCs w:val="21"/>
        </w:rPr>
        <w:t>储备金</w:t>
      </w:r>
      <w:r w:rsidRPr="00E414BF">
        <w:rPr>
          <w:rFonts w:ascii="KaiTi" w:eastAsia="KaiTi" w:hAnsi="KaiTi" w:hint="eastAsia"/>
          <w:b/>
          <w:i/>
          <w:sz w:val="21"/>
          <w:szCs w:val="21"/>
        </w:rPr>
        <w:t>使用</w:t>
      </w:r>
      <w:r w:rsidR="00051B94" w:rsidRPr="00E414BF">
        <w:rPr>
          <w:rFonts w:ascii="KaiTi" w:eastAsia="KaiTi" w:hAnsi="KaiTi" w:hint="eastAsia"/>
          <w:b/>
          <w:i/>
          <w:sz w:val="21"/>
          <w:szCs w:val="21"/>
        </w:rPr>
        <w:t>提案应根据如下信息以全面的方式编拟：</w:t>
      </w:r>
      <w:r w:rsidRPr="00E414BF">
        <w:rPr>
          <w:rFonts w:ascii="KaiTi" w:eastAsia="KaiTi" w:hAnsi="KaiTi" w:hint="eastAsia"/>
          <w:b/>
          <w:i/>
          <w:sz w:val="21"/>
          <w:szCs w:val="21"/>
        </w:rPr>
        <w:t>项目</w:t>
      </w:r>
      <w:r w:rsidR="00051B94" w:rsidRPr="00E414BF">
        <w:rPr>
          <w:rFonts w:ascii="KaiTi" w:eastAsia="KaiTi" w:hAnsi="KaiTi" w:hint="eastAsia"/>
          <w:b/>
          <w:i/>
          <w:sz w:val="21"/>
          <w:szCs w:val="21"/>
        </w:rPr>
        <w:t>整个</w:t>
      </w:r>
      <w:r w:rsidRPr="00E414BF">
        <w:rPr>
          <w:rFonts w:ascii="KaiTi" w:eastAsia="KaiTi" w:hAnsi="KaiTi" w:hint="eastAsia"/>
          <w:b/>
          <w:i/>
          <w:sz w:val="21"/>
          <w:szCs w:val="21"/>
        </w:rPr>
        <w:t>生命周期的成本</w:t>
      </w:r>
      <w:r w:rsidR="00051B94" w:rsidRPr="00E414BF">
        <w:rPr>
          <w:rFonts w:ascii="KaiTi" w:eastAsia="KaiTi" w:hAnsi="KaiTi" w:hint="eastAsia"/>
          <w:b/>
          <w:i/>
          <w:sz w:val="21"/>
          <w:szCs w:val="21"/>
        </w:rPr>
        <w:t>；预计</w:t>
      </w:r>
      <w:r w:rsidRPr="00E414BF">
        <w:rPr>
          <w:rFonts w:ascii="KaiTi" w:eastAsia="KaiTi" w:hAnsi="KaiTi" w:hint="eastAsia"/>
          <w:b/>
          <w:i/>
          <w:sz w:val="21"/>
          <w:szCs w:val="21"/>
        </w:rPr>
        <w:t>收益</w:t>
      </w:r>
      <w:r w:rsidR="00622E29" w:rsidRPr="00E414BF">
        <w:rPr>
          <w:rFonts w:ascii="KaiTi" w:eastAsia="KaiTi" w:hAnsi="KaiTi" w:hint="eastAsia"/>
          <w:b/>
          <w:i/>
          <w:sz w:val="21"/>
          <w:szCs w:val="21"/>
        </w:rPr>
        <w:t>(</w:t>
      </w:r>
      <w:r w:rsidR="00051B94" w:rsidRPr="00E414BF">
        <w:rPr>
          <w:rFonts w:ascii="KaiTi" w:eastAsia="KaiTi" w:hAnsi="KaiTi" w:hint="eastAsia"/>
          <w:b/>
          <w:i/>
          <w:sz w:val="21"/>
          <w:szCs w:val="21"/>
        </w:rPr>
        <w:t>可能既包括</w:t>
      </w:r>
      <w:r w:rsidRPr="00E414BF">
        <w:rPr>
          <w:rFonts w:ascii="KaiTi" w:eastAsia="KaiTi" w:hAnsi="KaiTi" w:hint="eastAsia"/>
          <w:b/>
          <w:i/>
          <w:sz w:val="21"/>
          <w:szCs w:val="21"/>
        </w:rPr>
        <w:t>财务</w:t>
      </w:r>
      <w:r w:rsidR="00051B94" w:rsidRPr="00E414BF">
        <w:rPr>
          <w:rFonts w:ascii="KaiTi" w:eastAsia="KaiTi" w:hAnsi="KaiTi" w:hint="eastAsia"/>
          <w:b/>
          <w:i/>
          <w:sz w:val="21"/>
          <w:szCs w:val="21"/>
        </w:rPr>
        <w:t>收益，也包括</w:t>
      </w:r>
      <w:r w:rsidR="00F10CC0" w:rsidRPr="00E414BF">
        <w:rPr>
          <w:rFonts w:ascii="KaiTi" w:eastAsia="KaiTi" w:hAnsi="KaiTi" w:hint="eastAsia"/>
          <w:b/>
          <w:i/>
          <w:sz w:val="21"/>
          <w:szCs w:val="21"/>
        </w:rPr>
        <w:t>质量效益</w:t>
      </w:r>
      <w:r w:rsidR="00622E29" w:rsidRPr="00E414BF">
        <w:rPr>
          <w:rFonts w:ascii="KaiTi" w:eastAsia="KaiTi" w:hAnsi="KaiTi" w:hint="eastAsia"/>
          <w:b/>
          <w:i/>
          <w:sz w:val="21"/>
          <w:szCs w:val="21"/>
        </w:rPr>
        <w:t>)</w:t>
      </w:r>
      <w:r w:rsidR="00051B94" w:rsidRPr="00E414BF">
        <w:rPr>
          <w:rFonts w:ascii="KaiTi" w:eastAsia="KaiTi" w:hAnsi="KaiTi" w:hint="eastAsia"/>
          <w:b/>
          <w:i/>
          <w:sz w:val="21"/>
          <w:szCs w:val="21"/>
        </w:rPr>
        <w:t>；本组织在随后</w:t>
      </w:r>
      <w:proofErr w:type="gramStart"/>
      <w:r w:rsidR="00051B94" w:rsidRPr="00E414BF">
        <w:rPr>
          <w:rFonts w:ascii="KaiTi" w:eastAsia="KaiTi" w:hAnsi="KaiTi" w:hint="eastAsia"/>
          <w:b/>
          <w:i/>
          <w:sz w:val="21"/>
          <w:szCs w:val="21"/>
        </w:rPr>
        <w:t>两</w:t>
      </w:r>
      <w:proofErr w:type="gramEnd"/>
      <w:r w:rsidR="00051B94" w:rsidRPr="00E414BF">
        <w:rPr>
          <w:rFonts w:ascii="KaiTi" w:eastAsia="KaiTi" w:hAnsi="KaiTi" w:hint="eastAsia"/>
          <w:b/>
          <w:i/>
          <w:sz w:val="21"/>
          <w:szCs w:val="21"/>
        </w:rPr>
        <w:t>年度的经常预算中承诺</w:t>
      </w:r>
      <w:proofErr w:type="gramStart"/>
      <w:r w:rsidR="00051B94" w:rsidRPr="00E414BF">
        <w:rPr>
          <w:rFonts w:ascii="KaiTi" w:eastAsia="KaiTi" w:hAnsi="KaiTi" w:hint="eastAsia"/>
          <w:b/>
          <w:i/>
          <w:sz w:val="21"/>
          <w:szCs w:val="21"/>
        </w:rPr>
        <w:t>作出</w:t>
      </w:r>
      <w:proofErr w:type="gramEnd"/>
      <w:r w:rsidR="00051B94" w:rsidRPr="00E414BF">
        <w:rPr>
          <w:rFonts w:ascii="KaiTi" w:eastAsia="KaiTi" w:hAnsi="KaiTi" w:hint="eastAsia"/>
          <w:b/>
          <w:i/>
          <w:sz w:val="21"/>
          <w:szCs w:val="21"/>
        </w:rPr>
        <w:t>预算的经常性支出；以及对储备金</w:t>
      </w:r>
      <w:r w:rsidRPr="00E414BF">
        <w:rPr>
          <w:rFonts w:ascii="KaiTi" w:eastAsia="KaiTi" w:hAnsi="KaiTi" w:hint="eastAsia"/>
          <w:b/>
          <w:i/>
          <w:sz w:val="21"/>
          <w:szCs w:val="21"/>
        </w:rPr>
        <w:t>现金流和流动性水平的影响</w:t>
      </w:r>
      <w:r w:rsidR="00051B94" w:rsidRPr="00E414BF">
        <w:rPr>
          <w:rFonts w:ascii="KaiTi" w:eastAsia="KaiTi" w:hAnsi="KaiTi" w:hint="eastAsia"/>
          <w:b/>
          <w:i/>
          <w:sz w:val="21"/>
          <w:szCs w:val="21"/>
        </w:rPr>
        <w:t>。</w:t>
      </w:r>
    </w:p>
    <w:p w:rsidR="00C52783" w:rsidRPr="009C1B93" w:rsidRDefault="006B0B8E" w:rsidP="009C1B93">
      <w:pPr>
        <w:pStyle w:val="ONUME"/>
        <w:numPr>
          <w:ilvl w:val="0"/>
          <w:numId w:val="19"/>
        </w:numPr>
        <w:overflowPunct w:val="0"/>
        <w:spacing w:afterLines="50" w:after="120" w:line="340" w:lineRule="atLeast"/>
        <w:ind w:left="0" w:firstLine="0"/>
        <w:jc w:val="both"/>
        <w:rPr>
          <w:rFonts w:ascii="SimSun" w:hAnsi="SimSun"/>
          <w:sz w:val="21"/>
        </w:rPr>
      </w:pPr>
      <w:proofErr w:type="gramStart"/>
      <w:r>
        <w:rPr>
          <w:rFonts w:ascii="SimSun" w:hAnsi="SimSun" w:hint="eastAsia"/>
          <w:sz w:val="21"/>
        </w:rPr>
        <w:t>向经常</w:t>
      </w:r>
      <w:proofErr w:type="gramEnd"/>
      <w:r>
        <w:rPr>
          <w:rFonts w:ascii="SimSun" w:hAnsi="SimSun" w:hint="eastAsia"/>
          <w:sz w:val="21"/>
        </w:rPr>
        <w:t>预算</w:t>
      </w:r>
      <w:r w:rsidR="009C1B93" w:rsidRPr="009C1B93">
        <w:rPr>
          <w:rFonts w:ascii="SimSun" w:hAnsi="SimSun" w:hint="eastAsia"/>
          <w:sz w:val="21"/>
        </w:rPr>
        <w:t>的项目和活动拨付的款项仅适用于这些项目和活动获得批准的两年期，与此不同，本组织的储备金供资项目，如上文第</w:t>
      </w:r>
      <w:r w:rsidR="00776CC1">
        <w:rPr>
          <w:rFonts w:ascii="SimSun" w:hAnsi="SimSun" w:hint="eastAsia"/>
          <w:sz w:val="21"/>
        </w:rPr>
        <w:t>四</w:t>
      </w:r>
      <w:r w:rsidR="009C1B93" w:rsidRPr="009C1B93">
        <w:rPr>
          <w:rFonts w:ascii="SimSun" w:hAnsi="SimSun" w:hint="eastAsia"/>
          <w:sz w:val="21"/>
        </w:rPr>
        <w:t>项原则所述，可能会跨越多个两年期，必须确保在经成员国批准的项目/倡议的期间内，为已批准的项目提供资金。这将确保</w:t>
      </w:r>
      <w:r>
        <w:rPr>
          <w:rFonts w:ascii="SimSun" w:hAnsi="SimSun" w:hint="eastAsia"/>
          <w:sz w:val="21"/>
        </w:rPr>
        <w:t>已批</w:t>
      </w:r>
      <w:r w:rsidR="004B1B28" w:rsidRPr="009C1B93">
        <w:rPr>
          <w:rFonts w:ascii="SimSun" w:hAnsi="SimSun" w:hint="eastAsia"/>
          <w:sz w:val="21"/>
        </w:rPr>
        <w:t>准的项目得到有效完成。</w:t>
      </w:r>
      <w:r w:rsidR="00225766" w:rsidRPr="009C1B93">
        <w:rPr>
          <w:rFonts w:ascii="SimSun" w:hAnsi="SimSun" w:hint="eastAsia"/>
          <w:sz w:val="21"/>
        </w:rPr>
        <w:t>据</w:t>
      </w:r>
      <w:r w:rsidR="004B1B28" w:rsidRPr="009C1B93">
        <w:rPr>
          <w:rFonts w:ascii="SimSun" w:hAnsi="SimSun" w:hint="eastAsia"/>
          <w:sz w:val="21"/>
        </w:rPr>
        <w:t>此，</w:t>
      </w:r>
      <w:r w:rsidR="00225766" w:rsidRPr="009C1B93">
        <w:rPr>
          <w:rFonts w:ascii="SimSun" w:hAnsi="SimSun" w:hint="eastAsia"/>
          <w:sz w:val="21"/>
        </w:rPr>
        <w:t>储备金使用提案的</w:t>
      </w:r>
      <w:r w:rsidR="004B1B28" w:rsidRPr="009C1B93">
        <w:rPr>
          <w:rFonts w:ascii="SimSun" w:hAnsi="SimSun" w:hint="eastAsia"/>
          <w:sz w:val="21"/>
        </w:rPr>
        <w:t>第五</w:t>
      </w:r>
      <w:r w:rsidR="00225766" w:rsidRPr="009C1B93">
        <w:rPr>
          <w:rFonts w:ascii="SimSun" w:hAnsi="SimSun" w:hint="eastAsia"/>
          <w:sz w:val="21"/>
        </w:rPr>
        <w:t>项</w:t>
      </w:r>
      <w:r w:rsidR="004B1B28" w:rsidRPr="009C1B93">
        <w:rPr>
          <w:rFonts w:ascii="SimSun" w:hAnsi="SimSun" w:hint="eastAsia"/>
          <w:sz w:val="21"/>
        </w:rPr>
        <w:t>原则如下</w:t>
      </w:r>
      <w:r w:rsidR="00225766" w:rsidRPr="009C1B93">
        <w:rPr>
          <w:rFonts w:ascii="SimSun" w:hAnsi="SimSun" w:hint="eastAsia"/>
          <w:sz w:val="21"/>
        </w:rPr>
        <w:t>：</w:t>
      </w:r>
    </w:p>
    <w:p w:rsidR="00C52783" w:rsidRPr="00E414BF" w:rsidRDefault="00225766" w:rsidP="00D07ECB">
      <w:pPr>
        <w:keepNext/>
        <w:overflowPunct w:val="0"/>
        <w:spacing w:beforeLines="100" w:before="240" w:afterLines="100" w:after="240" w:line="340" w:lineRule="atLeast"/>
        <w:ind w:left="567"/>
        <w:jc w:val="both"/>
        <w:rPr>
          <w:rFonts w:ascii="KaiTi" w:eastAsia="KaiTi" w:hAnsi="KaiTi"/>
          <w:b/>
          <w:i/>
          <w:sz w:val="21"/>
          <w:szCs w:val="21"/>
        </w:rPr>
      </w:pPr>
      <w:r w:rsidRPr="00E414BF">
        <w:rPr>
          <w:rFonts w:ascii="KaiTi" w:eastAsia="KaiTi" w:hAnsi="KaiTi" w:hint="eastAsia"/>
          <w:b/>
          <w:i/>
          <w:sz w:val="21"/>
          <w:szCs w:val="21"/>
        </w:rPr>
        <w:t>原则5：储备金使用提案可以用于本组织两年财政期间以外的项目和倡议，并且可以跨越或者持续一个以上两年期。</w:t>
      </w:r>
    </w:p>
    <w:p w:rsidR="00C52783" w:rsidRPr="00E414BF" w:rsidRDefault="007C0ED2" w:rsidP="00E414BF">
      <w:pPr>
        <w:keepNext/>
        <w:spacing w:afterLines="50" w:after="120" w:line="340" w:lineRule="atLeast"/>
        <w:rPr>
          <w:rFonts w:ascii="SimSun" w:hAnsi="SimSun"/>
          <w:b/>
          <w:sz w:val="21"/>
        </w:rPr>
      </w:pPr>
      <w:r w:rsidRPr="00E414BF">
        <w:rPr>
          <w:rFonts w:ascii="SimSun" w:hAnsi="SimSun" w:hint="eastAsia"/>
          <w:b/>
          <w:sz w:val="21"/>
        </w:rPr>
        <w:t>三、</w:t>
      </w:r>
      <w:r w:rsidR="00C3714C" w:rsidRPr="00E414BF">
        <w:rPr>
          <w:rFonts w:ascii="SimSun" w:hAnsi="SimSun"/>
          <w:b/>
          <w:sz w:val="21"/>
        </w:rPr>
        <w:t>(B)</w:t>
      </w:r>
      <w:r w:rsidR="00C3714C" w:rsidRPr="00E414BF">
        <w:rPr>
          <w:rFonts w:ascii="SimSun" w:hAnsi="SimSun"/>
          <w:b/>
          <w:sz w:val="21"/>
        </w:rPr>
        <w:tab/>
      </w:r>
      <w:r w:rsidR="008D4153" w:rsidRPr="00E414BF">
        <w:rPr>
          <w:rFonts w:ascii="SimSun" w:hAnsi="SimSun" w:hint="eastAsia"/>
          <w:b/>
          <w:sz w:val="21"/>
        </w:rPr>
        <w:t>储备金使用提案的批准机制</w:t>
      </w:r>
    </w:p>
    <w:p w:rsidR="00C52783" w:rsidRPr="009C1B93" w:rsidRDefault="008D4153" w:rsidP="009C1B93">
      <w:pPr>
        <w:pStyle w:val="ONUME"/>
        <w:numPr>
          <w:ilvl w:val="0"/>
          <w:numId w:val="19"/>
        </w:numPr>
        <w:overflowPunct w:val="0"/>
        <w:spacing w:afterLines="50" w:after="120" w:line="340" w:lineRule="atLeast"/>
        <w:ind w:left="0" w:firstLine="0"/>
        <w:jc w:val="both"/>
        <w:rPr>
          <w:rFonts w:ascii="SimSun" w:hAnsi="SimSun"/>
          <w:sz w:val="21"/>
        </w:rPr>
      </w:pPr>
      <w:r w:rsidRPr="009C1B93">
        <w:rPr>
          <w:rFonts w:ascii="SimSun" w:hAnsi="SimSun" w:hint="eastAsia"/>
          <w:sz w:val="21"/>
        </w:rPr>
        <w:t>关于使用本组织可用储备金的提案可以由总干事或成员国向成员国大会和各联盟的大会就各自所涉事宜提出。</w:t>
      </w:r>
    </w:p>
    <w:p w:rsidR="00C52783" w:rsidRPr="00E414BF" w:rsidRDefault="00C20A9A" w:rsidP="00D07ECB">
      <w:pPr>
        <w:keepNext/>
        <w:overflowPunct w:val="0"/>
        <w:spacing w:beforeLines="100" w:before="240" w:afterLines="100" w:after="240" w:line="340" w:lineRule="atLeast"/>
        <w:ind w:left="567"/>
        <w:jc w:val="both"/>
        <w:rPr>
          <w:rFonts w:ascii="KaiTi" w:eastAsia="KaiTi" w:hAnsi="KaiTi"/>
          <w:b/>
          <w:i/>
          <w:sz w:val="21"/>
          <w:szCs w:val="21"/>
        </w:rPr>
      </w:pPr>
      <w:r w:rsidRPr="00E414BF">
        <w:rPr>
          <w:rFonts w:ascii="KaiTi" w:eastAsia="KaiTi" w:hAnsi="KaiTi" w:hint="eastAsia"/>
          <w:b/>
          <w:i/>
          <w:sz w:val="21"/>
          <w:szCs w:val="21"/>
        </w:rPr>
        <w:t>批准机制：</w:t>
      </w:r>
    </w:p>
    <w:p w:rsidR="00C52783" w:rsidRPr="00E414BF" w:rsidRDefault="00143E28" w:rsidP="00D07ECB">
      <w:pPr>
        <w:keepNext/>
        <w:overflowPunct w:val="0"/>
        <w:spacing w:beforeLines="100" w:before="240" w:afterLines="100" w:after="240" w:line="340" w:lineRule="atLeast"/>
        <w:ind w:left="567"/>
        <w:jc w:val="both"/>
        <w:rPr>
          <w:rFonts w:ascii="KaiTi" w:eastAsia="KaiTi" w:hAnsi="KaiTi"/>
          <w:b/>
          <w:i/>
          <w:sz w:val="21"/>
          <w:szCs w:val="21"/>
        </w:rPr>
      </w:pPr>
      <w:r w:rsidRPr="00E414BF">
        <w:rPr>
          <w:rFonts w:ascii="KaiTi" w:eastAsia="KaiTi" w:hAnsi="KaiTi" w:hint="eastAsia"/>
          <w:b/>
          <w:i/>
          <w:sz w:val="21"/>
          <w:szCs w:val="21"/>
        </w:rPr>
        <w:t>储备金使用提案可以由WIPO总干事或成员国通过PBC向成员国大会和各联盟的大会就各自所涉事宜提出。提案</w:t>
      </w:r>
      <w:r w:rsidR="00FC485D" w:rsidRPr="00E414BF">
        <w:rPr>
          <w:rFonts w:ascii="KaiTi" w:eastAsia="KaiTi" w:hAnsi="KaiTi" w:hint="eastAsia"/>
          <w:b/>
          <w:i/>
          <w:sz w:val="21"/>
          <w:szCs w:val="21"/>
        </w:rPr>
        <w:t>的编拟</w:t>
      </w:r>
      <w:r w:rsidR="008B760D" w:rsidRPr="00E414BF">
        <w:rPr>
          <w:rFonts w:ascii="KaiTi" w:eastAsia="KaiTi" w:hAnsi="KaiTi" w:hint="eastAsia"/>
          <w:b/>
          <w:i/>
          <w:sz w:val="21"/>
          <w:szCs w:val="21"/>
        </w:rPr>
        <w:t>必须按照为储备金使用所制定的各项原则</w:t>
      </w:r>
      <w:r w:rsidR="00FC485D" w:rsidRPr="00E414BF">
        <w:rPr>
          <w:rFonts w:ascii="KaiTi" w:eastAsia="KaiTi" w:hAnsi="KaiTi" w:hint="eastAsia"/>
          <w:b/>
          <w:i/>
          <w:sz w:val="21"/>
          <w:szCs w:val="21"/>
        </w:rPr>
        <w:t>来</w:t>
      </w:r>
      <w:r w:rsidR="008B760D" w:rsidRPr="00E414BF">
        <w:rPr>
          <w:rFonts w:ascii="KaiTi" w:eastAsia="KaiTi" w:hAnsi="KaiTi" w:hint="eastAsia"/>
          <w:b/>
          <w:i/>
          <w:sz w:val="21"/>
          <w:szCs w:val="21"/>
        </w:rPr>
        <w:t>进行。</w:t>
      </w:r>
    </w:p>
    <w:p w:rsidR="00C52783" w:rsidRPr="00E414BF" w:rsidRDefault="00D4459D" w:rsidP="00D07ECB">
      <w:pPr>
        <w:keepNext/>
        <w:overflowPunct w:val="0"/>
        <w:spacing w:beforeLines="100" w:before="240" w:afterLines="100" w:after="240" w:line="340" w:lineRule="atLeast"/>
        <w:ind w:left="567"/>
        <w:jc w:val="both"/>
        <w:rPr>
          <w:rFonts w:ascii="KaiTi" w:eastAsia="KaiTi" w:hAnsi="KaiTi"/>
          <w:b/>
          <w:i/>
          <w:sz w:val="21"/>
          <w:szCs w:val="21"/>
        </w:rPr>
      </w:pPr>
      <w:r w:rsidRPr="00E414BF">
        <w:rPr>
          <w:rFonts w:ascii="KaiTi" w:eastAsia="KaiTi" w:hAnsi="KaiTi" w:hint="eastAsia"/>
          <w:b/>
          <w:i/>
          <w:sz w:val="21"/>
          <w:szCs w:val="21"/>
        </w:rPr>
        <w:t>关于马德里联盟，两年期盈余</w:t>
      </w:r>
      <w:r w:rsidR="002D3DC6" w:rsidRPr="00E414BF">
        <w:rPr>
          <w:rFonts w:ascii="KaiTi" w:eastAsia="KaiTi" w:hAnsi="KaiTi" w:hint="eastAsia"/>
          <w:b/>
          <w:i/>
          <w:sz w:val="21"/>
          <w:szCs w:val="21"/>
        </w:rPr>
        <w:t>的任何使用</w:t>
      </w:r>
      <w:r w:rsidRPr="00E414BF">
        <w:rPr>
          <w:rFonts w:ascii="KaiTi" w:eastAsia="KaiTi" w:hAnsi="KaiTi" w:hint="eastAsia"/>
          <w:b/>
          <w:i/>
          <w:sz w:val="21"/>
          <w:szCs w:val="21"/>
        </w:rPr>
        <w:t>应遵守《马德里协定》和《议定书》第八条第(4)款，关于使用盈余和/或</w:t>
      </w:r>
      <w:r w:rsidR="002D3DC6" w:rsidRPr="00E414BF">
        <w:rPr>
          <w:rFonts w:ascii="KaiTi" w:eastAsia="KaiTi" w:hAnsi="KaiTi" w:hint="eastAsia"/>
          <w:b/>
          <w:i/>
          <w:sz w:val="21"/>
          <w:szCs w:val="21"/>
        </w:rPr>
        <w:t>超过</w:t>
      </w:r>
      <w:r w:rsidRPr="00E414BF">
        <w:rPr>
          <w:rFonts w:ascii="KaiTi" w:eastAsia="KaiTi" w:hAnsi="KaiTi" w:hint="eastAsia"/>
          <w:b/>
          <w:i/>
          <w:sz w:val="21"/>
          <w:szCs w:val="21"/>
        </w:rPr>
        <w:t>储备</w:t>
      </w:r>
      <w:proofErr w:type="gramStart"/>
      <w:r w:rsidRPr="00E414BF">
        <w:rPr>
          <w:rFonts w:ascii="KaiTi" w:eastAsia="KaiTi" w:hAnsi="KaiTi" w:hint="eastAsia"/>
          <w:b/>
          <w:i/>
          <w:sz w:val="21"/>
          <w:szCs w:val="21"/>
        </w:rPr>
        <w:t>金政策</w:t>
      </w:r>
      <w:proofErr w:type="gramEnd"/>
      <w:r w:rsidRPr="00E414BF">
        <w:rPr>
          <w:rFonts w:ascii="KaiTi" w:eastAsia="KaiTi" w:hAnsi="KaiTi" w:hint="eastAsia"/>
          <w:b/>
          <w:i/>
          <w:sz w:val="21"/>
          <w:szCs w:val="21"/>
        </w:rPr>
        <w:t>所要求目标水平</w:t>
      </w:r>
      <w:r w:rsidR="002D3DC6" w:rsidRPr="00E414BF">
        <w:rPr>
          <w:rFonts w:ascii="KaiTi" w:eastAsia="KaiTi" w:hAnsi="KaiTi" w:hint="eastAsia"/>
          <w:b/>
          <w:i/>
          <w:sz w:val="21"/>
          <w:szCs w:val="21"/>
        </w:rPr>
        <w:t>的</w:t>
      </w:r>
      <w:r w:rsidRPr="00E414BF">
        <w:rPr>
          <w:rFonts w:ascii="KaiTi" w:eastAsia="KaiTi" w:hAnsi="KaiTi" w:hint="eastAsia"/>
          <w:b/>
          <w:i/>
          <w:sz w:val="21"/>
          <w:szCs w:val="21"/>
        </w:rPr>
        <w:t>RWCF的提案，由总干事向马德里联盟大会提出。</w:t>
      </w:r>
    </w:p>
    <w:p w:rsidR="00C52783" w:rsidRPr="00E414BF" w:rsidRDefault="00C52783" w:rsidP="007E3FFD">
      <w:pPr>
        <w:ind w:left="567" w:right="616"/>
        <w:rPr>
          <w:rFonts w:ascii="SimSun" w:hAnsi="SimSun"/>
          <w:sz w:val="21"/>
          <w:u w:val="single"/>
          <w:lang w:val="en-GB"/>
        </w:rPr>
      </w:pPr>
    </w:p>
    <w:p w:rsidR="00FD5ED8" w:rsidRPr="00E414BF" w:rsidRDefault="00FD5ED8" w:rsidP="00FD5ED8">
      <w:pPr>
        <w:pStyle w:val="Endofdocument"/>
        <w:spacing w:line="240" w:lineRule="auto"/>
        <w:ind w:left="0"/>
        <w:rPr>
          <w:rFonts w:ascii="SimSun" w:eastAsia="SimSun" w:hAnsi="SimSun"/>
          <w:lang w:val="en-GB" w:eastAsia="zh-CN"/>
        </w:rPr>
        <w:sectPr w:rsidR="00FD5ED8" w:rsidRPr="00E414BF" w:rsidSect="00E414BF">
          <w:headerReference w:type="default" r:id="rId15"/>
          <w:headerReference w:type="first" r:id="rId16"/>
          <w:pgSz w:w="11907" w:h="16839" w:code="9"/>
          <w:pgMar w:top="567" w:right="1134" w:bottom="1418" w:left="1418" w:header="510" w:footer="1021" w:gutter="0"/>
          <w:pgNumType w:start="1"/>
          <w:cols w:space="720"/>
          <w:titlePg/>
          <w:docGrid w:linePitch="360"/>
        </w:sectPr>
      </w:pPr>
    </w:p>
    <w:p w:rsidR="00C52783" w:rsidRPr="00D07ECB" w:rsidRDefault="00FD5ED8" w:rsidP="00FD5ED8">
      <w:pPr>
        <w:pStyle w:val="Endofdocument"/>
        <w:spacing w:after="0" w:line="240" w:lineRule="auto"/>
        <w:ind w:left="0"/>
        <w:jc w:val="center"/>
        <w:rPr>
          <w:rFonts w:ascii="SimHei" w:eastAsia="SimHei" w:hAnsi="SimHei"/>
          <w:sz w:val="21"/>
          <w:lang w:val="en-GB" w:eastAsia="zh-CN"/>
        </w:rPr>
      </w:pPr>
      <w:r w:rsidRPr="00D07ECB">
        <w:rPr>
          <w:rFonts w:ascii="SimHei" w:eastAsia="SimHei" w:hAnsi="SimHei"/>
          <w:sz w:val="21"/>
          <w:lang w:val="en-GB" w:eastAsia="zh-CN"/>
        </w:rPr>
        <w:lastRenderedPageBreak/>
        <w:t>1998</w:t>
      </w:r>
      <w:r w:rsidR="00E43DC9" w:rsidRPr="00D07ECB">
        <w:rPr>
          <w:rFonts w:ascii="SimHei" w:eastAsia="SimHei" w:hAnsi="SimHei" w:hint="eastAsia"/>
          <w:sz w:val="21"/>
          <w:lang w:val="en-GB" w:eastAsia="zh-CN"/>
        </w:rPr>
        <w:t>年</w:t>
      </w:r>
      <w:r w:rsidRPr="00D07ECB">
        <w:rPr>
          <w:rFonts w:ascii="SimHei" w:eastAsia="SimHei" w:hAnsi="SimHei"/>
          <w:sz w:val="21"/>
          <w:lang w:val="en-GB" w:eastAsia="zh-CN"/>
        </w:rPr>
        <w:t>-2014</w:t>
      </w:r>
      <w:r w:rsidR="00E43DC9" w:rsidRPr="00D07ECB">
        <w:rPr>
          <w:rFonts w:ascii="SimHei" w:eastAsia="SimHei" w:hAnsi="SimHei" w:hint="eastAsia"/>
          <w:sz w:val="21"/>
          <w:lang w:val="en-GB" w:eastAsia="zh-CN"/>
        </w:rPr>
        <w:t>年WIPO财务</w:t>
      </w:r>
      <w:r w:rsidR="00A607AB" w:rsidRPr="00D07ECB">
        <w:rPr>
          <w:rFonts w:ascii="SimHei" w:eastAsia="SimHei" w:hAnsi="SimHei" w:hint="eastAsia"/>
          <w:sz w:val="21"/>
          <w:lang w:val="en-GB" w:eastAsia="zh-CN"/>
        </w:rPr>
        <w:t>状况</w:t>
      </w:r>
      <w:r w:rsidR="00E43DC9" w:rsidRPr="00D07ECB">
        <w:rPr>
          <w:rFonts w:ascii="SimHei" w:eastAsia="SimHei" w:hAnsi="SimHei" w:hint="eastAsia"/>
          <w:sz w:val="21"/>
          <w:lang w:val="en-GB" w:eastAsia="zh-CN"/>
        </w:rPr>
        <w:t>变化</w:t>
      </w:r>
      <w:r w:rsidR="003A57B4" w:rsidRPr="00D07ECB">
        <w:rPr>
          <w:rFonts w:ascii="SimHei" w:eastAsia="SimHei" w:hAnsi="SimHei" w:hint="eastAsia"/>
          <w:sz w:val="21"/>
          <w:lang w:val="en-GB" w:eastAsia="zh-CN"/>
        </w:rPr>
        <w:t>图</w:t>
      </w:r>
    </w:p>
    <w:p w:rsidR="00C52783" w:rsidRPr="00E414BF" w:rsidRDefault="00C52783" w:rsidP="00FD5ED8">
      <w:pPr>
        <w:pStyle w:val="Endofdocument"/>
        <w:spacing w:after="0" w:line="240" w:lineRule="auto"/>
        <w:ind w:left="0"/>
        <w:rPr>
          <w:rFonts w:ascii="SimSun" w:eastAsia="SimSun" w:hAnsi="SimSun"/>
          <w:lang w:val="en-GB" w:eastAsia="zh-CN"/>
        </w:rPr>
      </w:pPr>
    </w:p>
    <w:p w:rsidR="00C52783" w:rsidRPr="00E414BF" w:rsidRDefault="00086957" w:rsidP="00086957">
      <w:pPr>
        <w:pStyle w:val="Endofdocument"/>
        <w:spacing w:after="0" w:line="240" w:lineRule="auto"/>
        <w:ind w:left="0"/>
        <w:jc w:val="center"/>
        <w:rPr>
          <w:rFonts w:ascii="SimSun" w:eastAsia="SimSun" w:hAnsi="SimSun"/>
          <w:lang w:val="en-GB"/>
        </w:rPr>
      </w:pPr>
      <w:r w:rsidRPr="00086957">
        <w:rPr>
          <w:rFonts w:eastAsia="SimSun"/>
          <w:noProof/>
          <w:lang w:eastAsia="zh-CN"/>
        </w:rPr>
        <w:drawing>
          <wp:inline distT="0" distB="0" distL="0" distR="0" wp14:anchorId="748D741E" wp14:editId="71ACAAE4">
            <wp:extent cx="9072245" cy="4433353"/>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72245" cy="4433353"/>
                    </a:xfrm>
                    <a:prstGeom prst="rect">
                      <a:avLst/>
                    </a:prstGeom>
                    <a:noFill/>
                    <a:ln>
                      <a:noFill/>
                    </a:ln>
                  </pic:spPr>
                </pic:pic>
              </a:graphicData>
            </a:graphic>
          </wp:inline>
        </w:drawing>
      </w:r>
    </w:p>
    <w:p w:rsidR="00C52783" w:rsidRPr="00E414BF" w:rsidRDefault="00C52783" w:rsidP="00FD5ED8">
      <w:pPr>
        <w:pStyle w:val="Endofdocument"/>
        <w:spacing w:after="0" w:line="240" w:lineRule="auto"/>
        <w:ind w:left="0"/>
        <w:rPr>
          <w:rFonts w:ascii="SimSun" w:eastAsia="SimSun" w:hAnsi="SimSun"/>
          <w:lang w:val="en-GB"/>
        </w:rPr>
      </w:pPr>
    </w:p>
    <w:p w:rsidR="00C52783" w:rsidRPr="001E5CDA" w:rsidRDefault="00106225" w:rsidP="00D07ECB">
      <w:pPr>
        <w:pStyle w:val="Endofdocument-Annex"/>
        <w:spacing w:afterLines="50" w:after="120" w:line="340" w:lineRule="atLeast"/>
        <w:ind w:left="9498"/>
        <w:rPr>
          <w:rFonts w:ascii="KaiTi" w:eastAsia="KaiTi" w:hAnsi="KaiTi"/>
          <w:sz w:val="21"/>
          <w:szCs w:val="21"/>
        </w:rPr>
      </w:pPr>
      <w:r w:rsidRPr="001E5CDA">
        <w:rPr>
          <w:rFonts w:ascii="KaiTi" w:eastAsia="KaiTi" w:hAnsi="KaiTi"/>
          <w:sz w:val="21"/>
          <w:szCs w:val="21"/>
        </w:rPr>
        <w:t>[</w:t>
      </w:r>
      <w:r w:rsidR="00FE19F9" w:rsidRPr="001E5CDA">
        <w:rPr>
          <w:rFonts w:ascii="KaiTi" w:eastAsia="KaiTi" w:hAnsi="KaiTi" w:hint="eastAsia"/>
          <w:sz w:val="21"/>
          <w:szCs w:val="21"/>
        </w:rPr>
        <w:t>后接附件二</w:t>
      </w:r>
      <w:r w:rsidRPr="001E5CDA">
        <w:rPr>
          <w:rFonts w:ascii="KaiTi" w:eastAsia="KaiTi" w:hAnsi="KaiTi"/>
          <w:sz w:val="21"/>
          <w:szCs w:val="21"/>
        </w:rPr>
        <w:t>]</w:t>
      </w:r>
    </w:p>
    <w:p w:rsidR="00C52783" w:rsidRPr="00E414BF" w:rsidRDefault="00C52783" w:rsidP="007E3FFD">
      <w:pPr>
        <w:pStyle w:val="Endofdocument"/>
        <w:spacing w:line="240" w:lineRule="auto"/>
        <w:rPr>
          <w:rFonts w:ascii="SimSun" w:eastAsia="SimSun" w:hAnsi="SimSun"/>
          <w:sz w:val="21"/>
          <w:lang w:val="en-GB" w:eastAsia="zh-CN"/>
        </w:rPr>
      </w:pPr>
    </w:p>
    <w:p w:rsidR="00106225" w:rsidRPr="00E414BF" w:rsidRDefault="00106225" w:rsidP="007E3FFD">
      <w:pPr>
        <w:pStyle w:val="Endofdocument"/>
        <w:spacing w:line="240" w:lineRule="auto"/>
        <w:rPr>
          <w:rFonts w:ascii="SimSun" w:eastAsia="SimSun" w:hAnsi="SimSun"/>
          <w:sz w:val="21"/>
          <w:lang w:val="en-GB" w:eastAsia="zh-CN"/>
        </w:rPr>
        <w:sectPr w:rsidR="00106225" w:rsidRPr="00E414BF" w:rsidSect="009A673B">
          <w:headerReference w:type="default" r:id="rId18"/>
          <w:headerReference w:type="first" r:id="rId19"/>
          <w:pgSz w:w="16839" w:h="11907" w:orient="landscape" w:code="9"/>
          <w:pgMar w:top="1134" w:right="1134" w:bottom="1134" w:left="1418" w:header="624" w:footer="720" w:gutter="0"/>
          <w:cols w:space="720"/>
          <w:docGrid w:linePitch="360"/>
        </w:sectPr>
      </w:pPr>
    </w:p>
    <w:p w:rsidR="00C52783" w:rsidRPr="00D07ECB" w:rsidRDefault="00813DC2" w:rsidP="00D07ECB">
      <w:pPr>
        <w:overflowPunct w:val="0"/>
        <w:spacing w:beforeLines="100" w:before="240" w:afterLines="200" w:after="480"/>
        <w:rPr>
          <w:rFonts w:ascii="SimHei" w:eastAsia="SimHei" w:hAnsi="SimHei"/>
          <w:sz w:val="21"/>
          <w:lang w:val="en-GB"/>
        </w:rPr>
      </w:pPr>
      <w:r w:rsidRPr="00D07ECB">
        <w:rPr>
          <w:rFonts w:ascii="SimHei" w:eastAsia="SimHei" w:hAnsi="SimHei" w:hint="eastAsia"/>
          <w:sz w:val="21"/>
          <w:lang w:val="en-GB"/>
        </w:rPr>
        <w:lastRenderedPageBreak/>
        <w:t>PCT联盟周转基金</w:t>
      </w:r>
      <w:r w:rsidRPr="00D07ECB">
        <w:rPr>
          <w:rFonts w:ascii="SimHei" w:eastAsia="SimHei" w:hAnsi="SimHei"/>
          <w:sz w:val="21"/>
          <w:lang w:val="en-GB"/>
        </w:rPr>
        <w:t>(WCF)</w:t>
      </w:r>
      <w:r w:rsidR="009024EC" w:rsidRPr="00D07ECB">
        <w:rPr>
          <w:rFonts w:ascii="SimHei" w:eastAsia="SimHei" w:hAnsi="SimHei" w:hint="eastAsia"/>
          <w:sz w:val="21"/>
          <w:lang w:val="en-GB"/>
        </w:rPr>
        <w:t>按成员国</w:t>
      </w:r>
      <w:r w:rsidRPr="00D07ECB">
        <w:rPr>
          <w:rFonts w:ascii="SimHei" w:eastAsia="SimHei" w:hAnsi="SimHei" w:hint="eastAsia"/>
          <w:sz w:val="21"/>
          <w:lang w:val="en-GB"/>
        </w:rPr>
        <w:t>开列</w:t>
      </w:r>
      <w:r w:rsidR="009024EC" w:rsidRPr="00D07ECB">
        <w:rPr>
          <w:rFonts w:ascii="SimHei" w:eastAsia="SimHei" w:hAnsi="SimHei" w:hint="eastAsia"/>
          <w:sz w:val="21"/>
          <w:lang w:val="en-GB"/>
        </w:rPr>
        <w:t>的</w:t>
      </w:r>
      <w:r w:rsidRPr="00D07ECB">
        <w:rPr>
          <w:rFonts w:ascii="SimHei" w:eastAsia="SimHei" w:hAnsi="SimHei" w:hint="eastAsia"/>
          <w:sz w:val="21"/>
          <w:lang w:val="en-GB"/>
        </w:rPr>
        <w:t>具体数额</w:t>
      </w:r>
    </w:p>
    <w:tbl>
      <w:tblPr>
        <w:tblW w:w="5554" w:type="dxa"/>
        <w:jc w:val="center"/>
        <w:tblInd w:w="-276" w:type="dxa"/>
        <w:tblLook w:val="04A0" w:firstRow="1" w:lastRow="0" w:firstColumn="1" w:lastColumn="0" w:noHBand="0" w:noVBand="1"/>
      </w:tblPr>
      <w:tblGrid>
        <w:gridCol w:w="3129"/>
        <w:gridCol w:w="2425"/>
      </w:tblGrid>
      <w:tr w:rsidR="00C301CD" w:rsidRPr="001D6678" w:rsidTr="00497A16">
        <w:trPr>
          <w:trHeight w:val="255"/>
          <w:jc w:val="center"/>
        </w:trPr>
        <w:tc>
          <w:tcPr>
            <w:tcW w:w="3129" w:type="dxa"/>
            <w:vMerge w:val="restart"/>
            <w:tcBorders>
              <w:top w:val="single" w:sz="4" w:space="0" w:color="auto"/>
              <w:left w:val="single" w:sz="4" w:space="0" w:color="auto"/>
              <w:bottom w:val="single" w:sz="4" w:space="0" w:color="000000"/>
              <w:right w:val="single" w:sz="4" w:space="0" w:color="auto"/>
            </w:tcBorders>
            <w:shd w:val="clear" w:color="000000" w:fill="C5D9F1"/>
            <w:vAlign w:val="center"/>
            <w:hideMark/>
          </w:tcPr>
          <w:p w:rsidR="00332680" w:rsidRPr="001D6678" w:rsidRDefault="00C54EEF" w:rsidP="00C54EEF">
            <w:pPr>
              <w:jc w:val="center"/>
              <w:rPr>
                <w:rFonts w:eastAsia="Times New Roman"/>
                <w:b/>
                <w:bCs/>
                <w:sz w:val="20"/>
                <w:u w:val="single"/>
                <w:lang w:eastAsia="en-US"/>
              </w:rPr>
            </w:pPr>
            <w:r>
              <w:rPr>
                <w:rFonts w:eastAsiaTheme="minorEastAsia" w:hint="eastAsia"/>
                <w:b/>
                <w:bCs/>
                <w:sz w:val="20"/>
                <w:u w:val="single"/>
              </w:rPr>
              <w:t>成员国</w:t>
            </w:r>
          </w:p>
        </w:tc>
        <w:tc>
          <w:tcPr>
            <w:tcW w:w="2425" w:type="dxa"/>
            <w:vMerge w:val="restart"/>
            <w:tcBorders>
              <w:top w:val="single" w:sz="4" w:space="0" w:color="auto"/>
              <w:left w:val="single" w:sz="4" w:space="0" w:color="auto"/>
              <w:bottom w:val="single" w:sz="4" w:space="0" w:color="000000"/>
              <w:right w:val="single" w:sz="4" w:space="0" w:color="auto"/>
            </w:tcBorders>
            <w:shd w:val="clear" w:color="000000" w:fill="C5D9F1"/>
            <w:vAlign w:val="center"/>
            <w:hideMark/>
          </w:tcPr>
          <w:p w:rsidR="00332680" w:rsidRPr="001D6678" w:rsidRDefault="00332680" w:rsidP="00C54EEF">
            <w:pPr>
              <w:jc w:val="center"/>
              <w:rPr>
                <w:rFonts w:eastAsia="Times New Roman"/>
                <w:b/>
                <w:bCs/>
                <w:sz w:val="20"/>
                <w:u w:val="single"/>
                <w:lang w:eastAsia="en-US"/>
              </w:rPr>
            </w:pPr>
            <w:r w:rsidRPr="001D6678">
              <w:rPr>
                <w:rFonts w:eastAsia="Times New Roman"/>
                <w:b/>
                <w:bCs/>
                <w:sz w:val="20"/>
                <w:u w:val="single"/>
                <w:lang w:eastAsia="en-US"/>
              </w:rPr>
              <w:t>PCT</w:t>
            </w:r>
            <w:r w:rsidR="00C54EEF">
              <w:rPr>
                <w:rFonts w:eastAsiaTheme="minorEastAsia" w:hint="eastAsia"/>
                <w:b/>
                <w:bCs/>
                <w:sz w:val="20"/>
                <w:u w:val="single"/>
              </w:rPr>
              <w:t>周转基金</w:t>
            </w:r>
          </w:p>
        </w:tc>
      </w:tr>
      <w:tr w:rsidR="00C301CD" w:rsidRPr="001D6678" w:rsidTr="00497A16">
        <w:trPr>
          <w:trHeight w:val="255"/>
          <w:jc w:val="center"/>
        </w:trPr>
        <w:tc>
          <w:tcPr>
            <w:tcW w:w="3129" w:type="dxa"/>
            <w:vMerge/>
            <w:tcBorders>
              <w:top w:val="single" w:sz="4" w:space="0" w:color="auto"/>
              <w:left w:val="single" w:sz="4" w:space="0" w:color="auto"/>
              <w:bottom w:val="single" w:sz="4" w:space="0" w:color="000000"/>
              <w:right w:val="single" w:sz="4" w:space="0" w:color="auto"/>
            </w:tcBorders>
            <w:vAlign w:val="center"/>
            <w:hideMark/>
          </w:tcPr>
          <w:p w:rsidR="00332680" w:rsidRPr="001D6678" w:rsidRDefault="00332680" w:rsidP="00332680">
            <w:pPr>
              <w:rPr>
                <w:rFonts w:eastAsia="Times New Roman"/>
                <w:b/>
                <w:bCs/>
                <w:sz w:val="20"/>
                <w:u w:val="single"/>
                <w:lang w:eastAsia="en-US"/>
              </w:rPr>
            </w:pPr>
          </w:p>
        </w:tc>
        <w:tc>
          <w:tcPr>
            <w:tcW w:w="2425" w:type="dxa"/>
            <w:vMerge/>
            <w:tcBorders>
              <w:top w:val="single" w:sz="4" w:space="0" w:color="auto"/>
              <w:left w:val="single" w:sz="4" w:space="0" w:color="auto"/>
              <w:bottom w:val="single" w:sz="4" w:space="0" w:color="000000"/>
              <w:right w:val="single" w:sz="4" w:space="0" w:color="auto"/>
            </w:tcBorders>
            <w:vAlign w:val="center"/>
            <w:hideMark/>
          </w:tcPr>
          <w:p w:rsidR="00332680" w:rsidRPr="001D6678" w:rsidRDefault="00332680" w:rsidP="00332680">
            <w:pPr>
              <w:rPr>
                <w:rFonts w:eastAsia="Times New Roman"/>
                <w:b/>
                <w:bCs/>
                <w:sz w:val="20"/>
                <w:u w:val="single"/>
                <w:lang w:eastAsia="en-US"/>
              </w:rPr>
            </w:pP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000000" w:fill="FFFFFF"/>
            <w:noWrap/>
            <w:vAlign w:val="bottom"/>
            <w:hideMark/>
          </w:tcPr>
          <w:p w:rsidR="00332680" w:rsidRPr="001D6678" w:rsidRDefault="00332680" w:rsidP="00332680">
            <w:pPr>
              <w:jc w:val="center"/>
              <w:rPr>
                <w:rFonts w:eastAsia="Times New Roman"/>
                <w:sz w:val="20"/>
                <w:lang w:eastAsia="en-US"/>
              </w:rPr>
            </w:pPr>
          </w:p>
        </w:tc>
        <w:tc>
          <w:tcPr>
            <w:tcW w:w="2425" w:type="dxa"/>
            <w:tcBorders>
              <w:top w:val="nil"/>
              <w:left w:val="nil"/>
              <w:bottom w:val="nil"/>
              <w:right w:val="single" w:sz="4" w:space="0" w:color="auto"/>
            </w:tcBorders>
            <w:shd w:val="clear" w:color="000000" w:fill="FFFFFF"/>
            <w:noWrap/>
            <w:vAlign w:val="bottom"/>
            <w:hideMark/>
          </w:tcPr>
          <w:p w:rsidR="00332680" w:rsidRPr="001D6678" w:rsidRDefault="00332680" w:rsidP="00332680">
            <w:pPr>
              <w:rPr>
                <w:rFonts w:eastAsia="Times New Roman"/>
                <w:sz w:val="20"/>
                <w:lang w:eastAsia="en-US"/>
              </w:rPr>
            </w:pP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阿尔及利亚</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332680">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阿根廷</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332680">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澳大利亚</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332680">
            <w:pPr>
              <w:jc w:val="right"/>
              <w:rPr>
                <w:rFonts w:eastAsia="Times New Roman"/>
                <w:sz w:val="20"/>
                <w:lang w:eastAsia="en-US"/>
              </w:rPr>
            </w:pPr>
            <w:r w:rsidRPr="001D6678">
              <w:rPr>
                <w:rFonts w:eastAsia="Times New Roman"/>
                <w:sz w:val="20"/>
                <w:lang w:eastAsia="en-US"/>
              </w:rPr>
              <w:t xml:space="preserve">                    91,000.00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奥地利</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332680">
            <w:pPr>
              <w:jc w:val="right"/>
              <w:rPr>
                <w:rFonts w:eastAsia="Times New Roman"/>
                <w:sz w:val="20"/>
                <w:lang w:eastAsia="en-US"/>
              </w:rPr>
            </w:pPr>
            <w:r w:rsidRPr="001D6678">
              <w:rPr>
                <w:rFonts w:eastAsia="Times New Roman"/>
                <w:sz w:val="20"/>
                <w:lang w:eastAsia="en-US"/>
              </w:rPr>
              <w:t xml:space="preserve">                    19,250.00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巴哈马</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332680">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巴巴多斯</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332680">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比利时</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332680">
            <w:pPr>
              <w:jc w:val="right"/>
              <w:rPr>
                <w:rFonts w:eastAsia="Times New Roman"/>
                <w:sz w:val="20"/>
                <w:lang w:eastAsia="en-US"/>
              </w:rPr>
            </w:pPr>
            <w:r w:rsidRPr="001D6678">
              <w:rPr>
                <w:rFonts w:eastAsia="Times New Roman"/>
                <w:sz w:val="20"/>
                <w:lang w:eastAsia="en-US"/>
              </w:rPr>
              <w:t xml:space="preserve">                      9,800.00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贝宁</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332680">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巴西</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332680">
            <w:pPr>
              <w:jc w:val="right"/>
              <w:rPr>
                <w:rFonts w:eastAsia="Times New Roman"/>
                <w:sz w:val="20"/>
                <w:lang w:eastAsia="en-US"/>
              </w:rPr>
            </w:pPr>
            <w:r w:rsidRPr="001D6678">
              <w:rPr>
                <w:rFonts w:eastAsia="Times New Roman"/>
                <w:sz w:val="20"/>
                <w:lang w:eastAsia="en-US"/>
              </w:rPr>
              <w:t xml:space="preserve">                      4,200.00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保加利亚</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332680">
            <w:pPr>
              <w:jc w:val="right"/>
              <w:rPr>
                <w:rFonts w:eastAsia="Times New Roman"/>
                <w:sz w:val="20"/>
                <w:lang w:eastAsia="en-US"/>
              </w:rPr>
            </w:pPr>
            <w:r w:rsidRPr="001D6678">
              <w:rPr>
                <w:rFonts w:eastAsia="Times New Roman"/>
                <w:sz w:val="20"/>
                <w:lang w:eastAsia="en-US"/>
              </w:rPr>
              <w:t xml:space="preserve">                         200.00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布基纳法索</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332680">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布隆迪</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332680">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喀麦隆</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332680">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加拿大</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332680">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中非共和国</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332680">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乍得</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332680">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智利</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332680">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中国</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332680">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刚果</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332680">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哥斯达黎加</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332680">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科特迪瓦</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332680">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古巴</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332680">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塞浦路斯</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332680">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捷克共和国</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332680">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B820D2" w:rsidRDefault="00B820D2" w:rsidP="00332680">
            <w:pPr>
              <w:rPr>
                <w:rFonts w:eastAsiaTheme="minorEastAsia"/>
                <w:sz w:val="20"/>
              </w:rPr>
            </w:pPr>
            <w:r>
              <w:rPr>
                <w:rFonts w:eastAsiaTheme="minorEastAsia" w:hint="eastAsia"/>
                <w:sz w:val="20"/>
              </w:rPr>
              <w:t>朝鲜民主主义人民共和国</w:t>
            </w:r>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332680">
            <w:pPr>
              <w:jc w:val="right"/>
              <w:rPr>
                <w:rFonts w:eastAsia="Times New Roman"/>
                <w:sz w:val="20"/>
                <w:lang w:eastAsia="en-US"/>
              </w:rPr>
            </w:pPr>
            <w:r w:rsidRPr="001D6678">
              <w:rPr>
                <w:rFonts w:eastAsia="Times New Roman"/>
                <w:sz w:val="20"/>
              </w:rPr>
              <w:t xml:space="preserve">                               </w:t>
            </w:r>
            <w:r w:rsidRPr="001D6678">
              <w:rPr>
                <w:rFonts w:eastAsia="Times New Roman"/>
                <w:sz w:val="20"/>
                <w:lang w:eastAsia="en-US"/>
              </w:rPr>
              <w:t xml:space="preserve">-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B820D2">
            <w:pPr>
              <w:rPr>
                <w:rFonts w:eastAsia="Times New Roman"/>
                <w:sz w:val="20"/>
              </w:rPr>
            </w:pPr>
            <w:proofErr w:type="spellStart"/>
            <w:r>
              <w:rPr>
                <w:rFonts w:ascii="SimSun" w:hAnsi="SimSun" w:cs="SimSun" w:hint="eastAsia"/>
                <w:sz w:val="20"/>
                <w:lang w:eastAsia="en-US"/>
              </w:rPr>
              <w:t>刚果</w:t>
            </w:r>
            <w:proofErr w:type="spellEnd"/>
            <w:r w:rsidR="00B820D2">
              <w:rPr>
                <w:rFonts w:ascii="SimSun" w:hAnsi="SimSun" w:cs="SimSun" w:hint="eastAsia"/>
                <w:sz w:val="20"/>
              </w:rPr>
              <w:t>民主共和国</w:t>
            </w:r>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332680">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丹麦</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332680">
            <w:pPr>
              <w:jc w:val="right"/>
              <w:rPr>
                <w:rFonts w:eastAsia="Times New Roman"/>
                <w:sz w:val="20"/>
                <w:lang w:eastAsia="en-US"/>
              </w:rPr>
            </w:pPr>
            <w:r w:rsidRPr="001D6678">
              <w:rPr>
                <w:rFonts w:eastAsia="Times New Roman"/>
                <w:sz w:val="20"/>
                <w:lang w:eastAsia="en-US"/>
              </w:rPr>
              <w:t xml:space="preserve">                    41,000.00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多米尼加共和国</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332680">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埃及</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332680">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斐济</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332680">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芬兰</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332680">
            <w:pPr>
              <w:jc w:val="right"/>
              <w:rPr>
                <w:rFonts w:eastAsia="Times New Roman"/>
                <w:sz w:val="20"/>
                <w:lang w:eastAsia="en-US"/>
              </w:rPr>
            </w:pPr>
            <w:r w:rsidRPr="001D6678">
              <w:rPr>
                <w:rFonts w:eastAsia="Times New Roman"/>
                <w:sz w:val="20"/>
                <w:lang w:eastAsia="en-US"/>
              </w:rPr>
              <w:t xml:space="preserve">                    34,200.00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法国</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332680">
            <w:pPr>
              <w:jc w:val="right"/>
              <w:rPr>
                <w:rFonts w:eastAsia="Times New Roman"/>
                <w:sz w:val="20"/>
                <w:lang w:eastAsia="en-US"/>
              </w:rPr>
            </w:pPr>
            <w:r w:rsidRPr="001D6678">
              <w:rPr>
                <w:rFonts w:eastAsia="Times New Roman"/>
                <w:sz w:val="20"/>
                <w:lang w:eastAsia="en-US"/>
              </w:rPr>
              <w:t xml:space="preserve">                  110,700.00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加蓬</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332680">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德国</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332680">
            <w:pPr>
              <w:jc w:val="right"/>
              <w:rPr>
                <w:rFonts w:eastAsia="Times New Roman"/>
                <w:sz w:val="20"/>
                <w:lang w:eastAsia="en-US"/>
              </w:rPr>
            </w:pPr>
            <w:r w:rsidRPr="001D6678">
              <w:rPr>
                <w:rFonts w:eastAsia="Times New Roman"/>
                <w:sz w:val="20"/>
                <w:lang w:eastAsia="en-US"/>
              </w:rPr>
              <w:t xml:space="preserve">                  222,900.00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加纳</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332680">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希腊</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332680">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几内亚</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332680">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海地</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332680">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教廷</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332680">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匈牙利</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332680">
            <w:pPr>
              <w:jc w:val="right"/>
              <w:rPr>
                <w:rFonts w:eastAsia="Times New Roman"/>
                <w:sz w:val="20"/>
                <w:lang w:eastAsia="en-US"/>
              </w:rPr>
            </w:pPr>
            <w:r w:rsidRPr="001D6678">
              <w:rPr>
                <w:rFonts w:eastAsia="Times New Roman"/>
                <w:sz w:val="20"/>
                <w:lang w:eastAsia="en-US"/>
              </w:rPr>
              <w:t xml:space="preserve">                    22,150.00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冰岛</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332680">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129" w:type="dxa"/>
            <w:tcBorders>
              <w:top w:val="nil"/>
              <w:left w:val="single" w:sz="4" w:space="0" w:color="auto"/>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印度</w:t>
            </w:r>
            <w:proofErr w:type="spellEnd"/>
          </w:p>
        </w:tc>
        <w:tc>
          <w:tcPr>
            <w:tcW w:w="2425" w:type="dxa"/>
            <w:tcBorders>
              <w:top w:val="nil"/>
              <w:left w:val="nil"/>
              <w:right w:val="single" w:sz="4" w:space="0" w:color="auto"/>
            </w:tcBorders>
            <w:shd w:val="clear" w:color="auto" w:fill="auto"/>
            <w:noWrap/>
            <w:vAlign w:val="bottom"/>
            <w:hideMark/>
          </w:tcPr>
          <w:p w:rsidR="00332680" w:rsidRPr="001D6678" w:rsidRDefault="00332680" w:rsidP="00332680">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129" w:type="dxa"/>
            <w:tcBorders>
              <w:top w:val="nil"/>
              <w:left w:val="single" w:sz="4" w:space="0" w:color="auto"/>
              <w:bottom w:val="single" w:sz="4" w:space="0" w:color="auto"/>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印度尼西亚</w:t>
            </w:r>
            <w:proofErr w:type="spellEnd"/>
          </w:p>
        </w:tc>
        <w:tc>
          <w:tcPr>
            <w:tcW w:w="2425" w:type="dxa"/>
            <w:tcBorders>
              <w:top w:val="nil"/>
              <w:left w:val="nil"/>
              <w:bottom w:val="single" w:sz="4" w:space="0" w:color="auto"/>
              <w:right w:val="single" w:sz="4" w:space="0" w:color="auto"/>
            </w:tcBorders>
            <w:shd w:val="clear" w:color="auto" w:fill="auto"/>
            <w:noWrap/>
            <w:vAlign w:val="bottom"/>
            <w:hideMark/>
          </w:tcPr>
          <w:p w:rsidR="00332680" w:rsidRPr="001D6678" w:rsidRDefault="00332680" w:rsidP="00332680">
            <w:pPr>
              <w:jc w:val="right"/>
              <w:rPr>
                <w:rFonts w:eastAsia="Times New Roman"/>
                <w:sz w:val="20"/>
                <w:lang w:eastAsia="en-US"/>
              </w:rPr>
            </w:pPr>
            <w:r w:rsidRPr="001D6678">
              <w:rPr>
                <w:rFonts w:eastAsia="Times New Roman"/>
                <w:sz w:val="20"/>
                <w:lang w:eastAsia="en-US"/>
              </w:rPr>
              <w:t xml:space="preserve">                               -   </w:t>
            </w:r>
          </w:p>
        </w:tc>
      </w:tr>
    </w:tbl>
    <w:p w:rsidR="000E4E10" w:rsidRPr="001D6678" w:rsidRDefault="000E4E10">
      <w:r w:rsidRPr="001D6678">
        <w:br w:type="page"/>
      </w:r>
    </w:p>
    <w:tbl>
      <w:tblPr>
        <w:tblW w:w="5554" w:type="dxa"/>
        <w:jc w:val="center"/>
        <w:tblInd w:w="-276" w:type="dxa"/>
        <w:tblLook w:val="04A0" w:firstRow="1" w:lastRow="0" w:firstColumn="1" w:lastColumn="0" w:noHBand="0" w:noVBand="1"/>
      </w:tblPr>
      <w:tblGrid>
        <w:gridCol w:w="3129"/>
        <w:gridCol w:w="2425"/>
      </w:tblGrid>
      <w:tr w:rsidR="00C301CD" w:rsidRPr="001D6678" w:rsidTr="00497A16">
        <w:trPr>
          <w:trHeight w:val="510"/>
          <w:jc w:val="center"/>
        </w:trPr>
        <w:tc>
          <w:tcPr>
            <w:tcW w:w="312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rsidR="00332680" w:rsidRPr="001D6678" w:rsidRDefault="00D323E4" w:rsidP="00D323E4">
            <w:pPr>
              <w:jc w:val="center"/>
              <w:rPr>
                <w:rFonts w:eastAsia="Times New Roman"/>
                <w:b/>
                <w:bCs/>
                <w:sz w:val="20"/>
                <w:u w:val="single"/>
                <w:lang w:eastAsia="en-US"/>
              </w:rPr>
            </w:pPr>
            <w:r>
              <w:rPr>
                <w:rFonts w:eastAsiaTheme="minorEastAsia" w:hint="eastAsia"/>
                <w:b/>
                <w:bCs/>
                <w:sz w:val="20"/>
                <w:u w:val="single"/>
              </w:rPr>
              <w:lastRenderedPageBreak/>
              <w:t>成员国</w:t>
            </w:r>
          </w:p>
        </w:tc>
        <w:tc>
          <w:tcPr>
            <w:tcW w:w="2425" w:type="dxa"/>
            <w:tcBorders>
              <w:top w:val="single" w:sz="4" w:space="0" w:color="auto"/>
              <w:left w:val="nil"/>
              <w:bottom w:val="single" w:sz="4" w:space="0" w:color="auto"/>
              <w:right w:val="single" w:sz="4" w:space="0" w:color="auto"/>
            </w:tcBorders>
            <w:shd w:val="clear" w:color="auto" w:fill="C6D9F1" w:themeFill="text2" w:themeFillTint="33"/>
            <w:noWrap/>
            <w:vAlign w:val="center"/>
          </w:tcPr>
          <w:p w:rsidR="00332680" w:rsidRPr="001D6678" w:rsidRDefault="00332680" w:rsidP="00D323E4">
            <w:pPr>
              <w:jc w:val="center"/>
              <w:rPr>
                <w:rFonts w:eastAsia="Times New Roman"/>
                <w:b/>
                <w:bCs/>
                <w:sz w:val="20"/>
                <w:u w:val="single"/>
                <w:lang w:eastAsia="en-US"/>
              </w:rPr>
            </w:pPr>
            <w:r w:rsidRPr="001D6678">
              <w:rPr>
                <w:rFonts w:eastAsia="Times New Roman"/>
                <w:b/>
                <w:bCs/>
                <w:sz w:val="20"/>
                <w:u w:val="single"/>
                <w:lang w:eastAsia="en-US"/>
              </w:rPr>
              <w:t>PCT</w:t>
            </w:r>
            <w:r w:rsidR="00D323E4">
              <w:rPr>
                <w:rFonts w:eastAsiaTheme="minorEastAsia" w:hint="eastAsia"/>
                <w:b/>
                <w:bCs/>
                <w:sz w:val="20"/>
                <w:u w:val="single"/>
              </w:rPr>
              <w:t>周转基金</w:t>
            </w:r>
          </w:p>
        </w:tc>
      </w:tr>
      <w:tr w:rsidR="00C301CD" w:rsidRPr="001D6678" w:rsidTr="00497A16">
        <w:trPr>
          <w:trHeight w:val="255"/>
          <w:jc w:val="center"/>
        </w:trPr>
        <w:tc>
          <w:tcPr>
            <w:tcW w:w="3129" w:type="dxa"/>
            <w:tcBorders>
              <w:top w:val="single" w:sz="4" w:space="0" w:color="auto"/>
              <w:left w:val="single" w:sz="4" w:space="0" w:color="auto"/>
              <w:bottom w:val="nil"/>
              <w:right w:val="single" w:sz="4" w:space="0" w:color="auto"/>
            </w:tcBorders>
            <w:shd w:val="clear" w:color="auto" w:fill="auto"/>
            <w:noWrap/>
            <w:vAlign w:val="bottom"/>
          </w:tcPr>
          <w:p w:rsidR="00332680" w:rsidRPr="001D6678" w:rsidRDefault="00332680" w:rsidP="00332680">
            <w:pPr>
              <w:jc w:val="center"/>
              <w:rPr>
                <w:rFonts w:eastAsia="Times New Roman"/>
                <w:sz w:val="20"/>
                <w:lang w:eastAsia="en-US"/>
              </w:rPr>
            </w:pPr>
            <w:r w:rsidRPr="001D6678">
              <w:rPr>
                <w:rFonts w:eastAsia="Times New Roman"/>
                <w:sz w:val="20"/>
                <w:lang w:eastAsia="en-US"/>
              </w:rPr>
              <w:t> </w:t>
            </w:r>
          </w:p>
        </w:tc>
        <w:tc>
          <w:tcPr>
            <w:tcW w:w="2425" w:type="dxa"/>
            <w:tcBorders>
              <w:top w:val="single" w:sz="4" w:space="0" w:color="auto"/>
              <w:left w:val="nil"/>
              <w:bottom w:val="nil"/>
              <w:right w:val="single" w:sz="4" w:space="0" w:color="auto"/>
            </w:tcBorders>
            <w:shd w:val="clear" w:color="auto" w:fill="auto"/>
            <w:noWrap/>
            <w:vAlign w:val="bottom"/>
          </w:tcPr>
          <w:p w:rsidR="00332680" w:rsidRPr="001D6678" w:rsidRDefault="00332680" w:rsidP="00332680">
            <w:pPr>
              <w:rPr>
                <w:rFonts w:eastAsia="Times New Roman"/>
                <w:sz w:val="20"/>
                <w:lang w:eastAsia="en-US"/>
              </w:rPr>
            </w:pPr>
            <w:r w:rsidRPr="001D6678">
              <w:rPr>
                <w:rFonts w:eastAsia="Times New Roman"/>
                <w:sz w:val="20"/>
                <w:lang w:eastAsia="en-US"/>
              </w:rPr>
              <w:t>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tcPr>
          <w:p w:rsidR="00DD02E1" w:rsidRPr="001D6678" w:rsidRDefault="00747415" w:rsidP="00332680">
            <w:pPr>
              <w:rPr>
                <w:rFonts w:eastAsia="Times New Roman"/>
                <w:sz w:val="20"/>
              </w:rPr>
            </w:pPr>
            <w:r>
              <w:rPr>
                <w:rFonts w:ascii="SimSun" w:hAnsi="SimSun" w:cs="SimSun" w:hint="eastAsia"/>
                <w:sz w:val="20"/>
              </w:rPr>
              <w:t>伊朗</w:t>
            </w:r>
            <w:r w:rsidR="00622E29">
              <w:rPr>
                <w:rFonts w:ascii="SimSun" w:hAnsi="SimSun" w:cs="SimSun" w:hint="eastAsia"/>
                <w:sz w:val="20"/>
              </w:rPr>
              <w:t>(</w:t>
            </w:r>
            <w:r>
              <w:rPr>
                <w:rFonts w:ascii="SimSun" w:hAnsi="SimSun" w:cs="SimSun" w:hint="eastAsia"/>
                <w:sz w:val="20"/>
              </w:rPr>
              <w:t>伊斯兰共和国</w:t>
            </w:r>
            <w:r w:rsidR="00622E29">
              <w:rPr>
                <w:rFonts w:ascii="SimSun" w:hAnsi="SimSun" w:cs="SimSun" w:hint="eastAsia"/>
                <w:sz w:val="20"/>
              </w:rPr>
              <w:t>)</w:t>
            </w:r>
          </w:p>
        </w:tc>
        <w:tc>
          <w:tcPr>
            <w:tcW w:w="2425" w:type="dxa"/>
            <w:tcBorders>
              <w:top w:val="nil"/>
              <w:left w:val="nil"/>
              <w:bottom w:val="nil"/>
              <w:right w:val="single" w:sz="4" w:space="0" w:color="auto"/>
            </w:tcBorders>
            <w:shd w:val="clear" w:color="auto" w:fill="auto"/>
            <w:noWrap/>
            <w:vAlign w:val="bottom"/>
          </w:tcPr>
          <w:p w:rsidR="00DD02E1" w:rsidRPr="001D6678" w:rsidRDefault="001D6B5B" w:rsidP="001D6B5B">
            <w:pPr>
              <w:jc w:val="right"/>
              <w:rPr>
                <w:rFonts w:eastAsia="Times New Roman"/>
                <w:sz w:val="20"/>
                <w:lang w:eastAsia="en-US"/>
              </w:rPr>
            </w:pPr>
            <w:r w:rsidRPr="001D6678">
              <w:rPr>
                <w:rFonts w:eastAsia="Times New Roman"/>
                <w:sz w:val="20"/>
              </w:rPr>
              <w:t xml:space="preserve">                               </w:t>
            </w:r>
            <w:r w:rsidRPr="001D6678">
              <w:rPr>
                <w:rFonts w:eastAsia="Times New Roman"/>
                <w:sz w:val="20"/>
                <w:lang w:eastAsia="en-US"/>
              </w:rPr>
              <w:t xml:space="preserve">-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伊拉克</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5247AA">
            <w:pPr>
              <w:jc w:val="right"/>
              <w:rPr>
                <w:rFonts w:eastAsia="Times New Roman"/>
                <w:sz w:val="20"/>
                <w:lang w:eastAsia="en-US"/>
              </w:rPr>
            </w:pPr>
            <w:r w:rsidRPr="001D6678">
              <w:rPr>
                <w:rFonts w:eastAsia="Times New Roman"/>
                <w:sz w:val="20"/>
                <w:lang w:eastAsia="en-US"/>
              </w:rPr>
              <w:t>-</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爱尔兰</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332680">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以色列</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332680">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意大利</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332680">
            <w:pPr>
              <w:jc w:val="right"/>
              <w:rPr>
                <w:rFonts w:eastAsia="Times New Roman"/>
                <w:sz w:val="20"/>
                <w:lang w:eastAsia="en-US"/>
              </w:rPr>
            </w:pPr>
            <w:r w:rsidRPr="001D6678">
              <w:rPr>
                <w:rFonts w:eastAsia="Times New Roman"/>
                <w:sz w:val="20"/>
                <w:lang w:eastAsia="en-US"/>
              </w:rPr>
              <w:t xml:space="preserve">                    16,500.00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日本</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332680">
            <w:pPr>
              <w:jc w:val="right"/>
              <w:rPr>
                <w:rFonts w:eastAsia="Times New Roman"/>
                <w:sz w:val="20"/>
                <w:lang w:eastAsia="en-US"/>
              </w:rPr>
            </w:pPr>
            <w:r w:rsidRPr="001D6678">
              <w:rPr>
                <w:rFonts w:eastAsia="Times New Roman"/>
                <w:sz w:val="20"/>
                <w:lang w:eastAsia="en-US"/>
              </w:rPr>
              <w:t xml:space="preserve">                  194,600.00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约旦</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332680">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肯尼亚</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332680">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黎巴嫩</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332680">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129" w:type="dxa"/>
            <w:tcBorders>
              <w:top w:val="nil"/>
              <w:left w:val="single" w:sz="4" w:space="0" w:color="auto"/>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利比亚</w:t>
            </w:r>
            <w:proofErr w:type="spellEnd"/>
          </w:p>
        </w:tc>
        <w:tc>
          <w:tcPr>
            <w:tcW w:w="2425" w:type="dxa"/>
            <w:tcBorders>
              <w:top w:val="nil"/>
              <w:left w:val="nil"/>
              <w:right w:val="single" w:sz="4" w:space="0" w:color="auto"/>
            </w:tcBorders>
            <w:shd w:val="clear" w:color="auto" w:fill="auto"/>
            <w:noWrap/>
            <w:vAlign w:val="bottom"/>
            <w:hideMark/>
          </w:tcPr>
          <w:p w:rsidR="00332680" w:rsidRPr="001D6678" w:rsidRDefault="00332680" w:rsidP="00332680">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129" w:type="dxa"/>
            <w:tcBorders>
              <w:top w:val="nil"/>
              <w:left w:val="single" w:sz="4" w:space="0" w:color="auto"/>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列支敦士登</w:t>
            </w:r>
            <w:proofErr w:type="spellEnd"/>
          </w:p>
        </w:tc>
        <w:tc>
          <w:tcPr>
            <w:tcW w:w="2425" w:type="dxa"/>
            <w:tcBorders>
              <w:top w:val="nil"/>
              <w:left w:val="single" w:sz="4" w:space="0" w:color="auto"/>
              <w:right w:val="single" w:sz="4" w:space="0" w:color="auto"/>
            </w:tcBorders>
            <w:shd w:val="clear" w:color="auto" w:fill="auto"/>
            <w:noWrap/>
            <w:vAlign w:val="bottom"/>
            <w:hideMark/>
          </w:tcPr>
          <w:p w:rsidR="00332680" w:rsidRPr="001D6678" w:rsidRDefault="00332680" w:rsidP="00332680">
            <w:pPr>
              <w:jc w:val="right"/>
              <w:rPr>
                <w:rFonts w:eastAsia="Times New Roman"/>
                <w:sz w:val="20"/>
                <w:lang w:eastAsia="en-US"/>
              </w:rPr>
            </w:pPr>
            <w:r w:rsidRPr="001D6678">
              <w:rPr>
                <w:rFonts w:eastAsia="Times New Roman"/>
                <w:sz w:val="20"/>
                <w:lang w:eastAsia="en-US"/>
              </w:rPr>
              <w:t xml:space="preserve">                      1,500.00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卢森堡</w:t>
            </w:r>
            <w:proofErr w:type="spellEnd"/>
          </w:p>
        </w:tc>
        <w:tc>
          <w:tcPr>
            <w:tcW w:w="2425" w:type="dxa"/>
            <w:tcBorders>
              <w:top w:val="nil"/>
              <w:left w:val="single" w:sz="4" w:space="0" w:color="auto"/>
              <w:bottom w:val="nil"/>
              <w:right w:val="single" w:sz="4" w:space="0" w:color="auto"/>
            </w:tcBorders>
            <w:shd w:val="clear" w:color="auto" w:fill="auto"/>
            <w:noWrap/>
            <w:vAlign w:val="bottom"/>
            <w:hideMark/>
          </w:tcPr>
          <w:p w:rsidR="00332680" w:rsidRPr="001D6678" w:rsidRDefault="00332680" w:rsidP="00332680">
            <w:pPr>
              <w:jc w:val="right"/>
              <w:rPr>
                <w:rFonts w:eastAsia="Times New Roman"/>
                <w:sz w:val="20"/>
                <w:lang w:eastAsia="en-US"/>
              </w:rPr>
            </w:pPr>
            <w:r w:rsidRPr="001D6678">
              <w:rPr>
                <w:rFonts w:eastAsia="Times New Roman"/>
                <w:sz w:val="20"/>
                <w:lang w:eastAsia="en-US"/>
              </w:rPr>
              <w:t xml:space="preserve">                         650.00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马达加斯加</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332680">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马拉维</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5247AA">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马里</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5247AA">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马耳他</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5247AA">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毛里塔尼亚</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332680">
            <w:pPr>
              <w:rPr>
                <w:rFonts w:eastAsia="Times New Roman"/>
                <w:sz w:val="20"/>
                <w:lang w:eastAsia="en-US"/>
              </w:rPr>
            </w:pPr>
            <w:r w:rsidRPr="001D6678">
              <w:rPr>
                <w:rFonts w:eastAsia="Times New Roman"/>
                <w:sz w:val="20"/>
                <w:lang w:eastAsia="en-US"/>
              </w:rPr>
              <w:t xml:space="preserve">                          50.00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毛里求斯</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5247AA">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墨西哥</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5247AA">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摩纳哥</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332680">
            <w:pPr>
              <w:rPr>
                <w:rFonts w:eastAsia="Times New Roman"/>
                <w:sz w:val="20"/>
                <w:lang w:eastAsia="en-US"/>
              </w:rPr>
            </w:pPr>
            <w:r w:rsidRPr="001D6678">
              <w:rPr>
                <w:rFonts w:eastAsia="Times New Roman"/>
                <w:sz w:val="20"/>
                <w:lang w:eastAsia="en-US"/>
              </w:rPr>
              <w:t xml:space="preserve">                         200.00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蒙古</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5247AA">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摩洛哥</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5247AA">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荷兰</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332680">
            <w:pPr>
              <w:rPr>
                <w:rFonts w:eastAsia="Times New Roman"/>
                <w:sz w:val="20"/>
                <w:lang w:eastAsia="en-US"/>
              </w:rPr>
            </w:pPr>
            <w:r w:rsidRPr="001D6678">
              <w:rPr>
                <w:rFonts w:eastAsia="Times New Roman"/>
                <w:sz w:val="20"/>
                <w:lang w:eastAsia="en-US"/>
              </w:rPr>
              <w:t xml:space="preserve">                    20,350.00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新西兰</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5247AA">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尼日尔</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5247AA">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尼日利亚</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5247AA">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挪威</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332680">
            <w:pPr>
              <w:rPr>
                <w:rFonts w:eastAsia="Times New Roman"/>
                <w:sz w:val="20"/>
                <w:lang w:eastAsia="en-US"/>
              </w:rPr>
            </w:pPr>
            <w:r w:rsidRPr="001D6678">
              <w:rPr>
                <w:rFonts w:eastAsia="Times New Roman"/>
                <w:sz w:val="20"/>
                <w:lang w:eastAsia="en-US"/>
              </w:rPr>
              <w:t xml:space="preserve">                    21,750.00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巴基斯坦</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5247AA">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菲律宾</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5247AA">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波兰</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5247AA">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葡萄牙</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5247AA">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大韩民国</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332680">
            <w:pPr>
              <w:rPr>
                <w:rFonts w:eastAsia="Times New Roman"/>
                <w:sz w:val="20"/>
                <w:lang w:eastAsia="en-US"/>
              </w:rPr>
            </w:pPr>
            <w:r w:rsidRPr="001D6678">
              <w:rPr>
                <w:rFonts w:eastAsia="Times New Roman"/>
                <w:sz w:val="20"/>
                <w:lang w:eastAsia="en-US"/>
              </w:rPr>
              <w:t xml:space="preserve">                      3,700.00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罗马尼亚</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332680">
            <w:pPr>
              <w:rPr>
                <w:rFonts w:eastAsia="Times New Roman"/>
                <w:sz w:val="20"/>
                <w:lang w:eastAsia="en-US"/>
              </w:rPr>
            </w:pPr>
            <w:r w:rsidRPr="001D6678">
              <w:rPr>
                <w:rFonts w:eastAsia="Times New Roman"/>
                <w:sz w:val="20"/>
                <w:lang w:eastAsia="en-US"/>
              </w:rPr>
              <w:t xml:space="preserve">                         550.00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俄罗斯联邦</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332680">
            <w:pPr>
              <w:rPr>
                <w:rFonts w:eastAsia="Times New Roman"/>
                <w:sz w:val="20"/>
                <w:lang w:eastAsia="en-US"/>
              </w:rPr>
            </w:pPr>
            <w:r w:rsidRPr="001D6678">
              <w:rPr>
                <w:rFonts w:eastAsia="Times New Roman"/>
                <w:sz w:val="20"/>
                <w:lang w:eastAsia="en-US"/>
              </w:rPr>
              <w:t xml:space="preserve">                    24,750.00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卢旺达</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5247AA">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圣马力诺</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5247AA">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塞内加尔</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5247AA">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斯洛伐克</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5247AA">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南非</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5247AA">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西班牙</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5247AA">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斯里兰卡</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332680">
            <w:pPr>
              <w:rPr>
                <w:rFonts w:eastAsia="Times New Roman"/>
                <w:sz w:val="20"/>
                <w:lang w:eastAsia="en-US"/>
              </w:rPr>
            </w:pPr>
            <w:r w:rsidRPr="001D6678">
              <w:rPr>
                <w:rFonts w:eastAsia="Times New Roman"/>
                <w:sz w:val="20"/>
                <w:lang w:eastAsia="en-US"/>
              </w:rPr>
              <w:t xml:space="preserve">                         300.00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苏丹</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5247AA">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苏里南</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5247AA">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瑞典</w:t>
            </w:r>
            <w:proofErr w:type="spellEnd"/>
          </w:p>
        </w:tc>
        <w:tc>
          <w:tcPr>
            <w:tcW w:w="2425" w:type="dxa"/>
            <w:tcBorders>
              <w:top w:val="nil"/>
              <w:left w:val="nil"/>
              <w:bottom w:val="nil"/>
              <w:right w:val="single" w:sz="4" w:space="0" w:color="auto"/>
            </w:tcBorders>
            <w:shd w:val="clear" w:color="auto" w:fill="auto"/>
            <w:noWrap/>
            <w:vAlign w:val="bottom"/>
            <w:hideMark/>
          </w:tcPr>
          <w:p w:rsidR="00332680" w:rsidRPr="001D6678" w:rsidRDefault="00332680" w:rsidP="00332680">
            <w:pPr>
              <w:rPr>
                <w:rFonts w:eastAsia="Times New Roman"/>
                <w:sz w:val="20"/>
                <w:lang w:eastAsia="en-US"/>
              </w:rPr>
            </w:pPr>
            <w:r w:rsidRPr="001D6678">
              <w:rPr>
                <w:rFonts w:eastAsia="Times New Roman"/>
                <w:sz w:val="20"/>
                <w:lang w:eastAsia="en-US"/>
              </w:rPr>
              <w:t xml:space="preserve">                  162,800.00 </w:t>
            </w:r>
          </w:p>
        </w:tc>
      </w:tr>
      <w:tr w:rsidR="00C301CD" w:rsidRPr="001D6678" w:rsidTr="00497A16">
        <w:trPr>
          <w:trHeight w:val="255"/>
          <w:jc w:val="center"/>
        </w:trPr>
        <w:tc>
          <w:tcPr>
            <w:tcW w:w="3129" w:type="dxa"/>
            <w:tcBorders>
              <w:top w:val="nil"/>
              <w:left w:val="single" w:sz="4" w:space="0" w:color="auto"/>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瑞士</w:t>
            </w:r>
            <w:proofErr w:type="spellEnd"/>
          </w:p>
        </w:tc>
        <w:tc>
          <w:tcPr>
            <w:tcW w:w="2425" w:type="dxa"/>
            <w:tcBorders>
              <w:top w:val="nil"/>
              <w:left w:val="nil"/>
              <w:right w:val="single" w:sz="4" w:space="0" w:color="auto"/>
            </w:tcBorders>
            <w:shd w:val="clear" w:color="auto" w:fill="auto"/>
            <w:noWrap/>
            <w:vAlign w:val="bottom"/>
            <w:hideMark/>
          </w:tcPr>
          <w:p w:rsidR="00332680" w:rsidRPr="001D6678" w:rsidRDefault="00332680" w:rsidP="00332680">
            <w:pPr>
              <w:rPr>
                <w:rFonts w:eastAsia="Times New Roman"/>
                <w:sz w:val="20"/>
                <w:lang w:eastAsia="en-US"/>
              </w:rPr>
            </w:pPr>
            <w:r w:rsidRPr="001D6678">
              <w:rPr>
                <w:rFonts w:eastAsia="Times New Roman"/>
                <w:sz w:val="20"/>
                <w:lang w:eastAsia="en-US"/>
              </w:rPr>
              <w:t xml:space="preserve">                    74,000.00 </w:t>
            </w:r>
          </w:p>
        </w:tc>
      </w:tr>
      <w:tr w:rsidR="00C301CD" w:rsidRPr="001D6678" w:rsidTr="00497A16">
        <w:trPr>
          <w:trHeight w:val="255"/>
          <w:jc w:val="center"/>
        </w:trPr>
        <w:tc>
          <w:tcPr>
            <w:tcW w:w="3129" w:type="dxa"/>
            <w:tcBorders>
              <w:top w:val="nil"/>
              <w:left w:val="single" w:sz="4" w:space="0" w:color="auto"/>
              <w:bottom w:val="single" w:sz="4" w:space="0" w:color="auto"/>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阿拉伯叙利亚共和国</w:t>
            </w:r>
            <w:proofErr w:type="spellEnd"/>
          </w:p>
        </w:tc>
        <w:tc>
          <w:tcPr>
            <w:tcW w:w="2425" w:type="dxa"/>
            <w:tcBorders>
              <w:top w:val="nil"/>
              <w:left w:val="nil"/>
              <w:bottom w:val="single" w:sz="4" w:space="0" w:color="auto"/>
              <w:right w:val="single" w:sz="4" w:space="0" w:color="auto"/>
            </w:tcBorders>
            <w:shd w:val="clear" w:color="auto" w:fill="auto"/>
            <w:noWrap/>
            <w:vAlign w:val="bottom"/>
            <w:hideMark/>
          </w:tcPr>
          <w:p w:rsidR="00332680" w:rsidRPr="001D6678" w:rsidRDefault="00332680" w:rsidP="005247AA">
            <w:pPr>
              <w:jc w:val="right"/>
              <w:rPr>
                <w:rFonts w:eastAsia="Times New Roman"/>
                <w:sz w:val="20"/>
                <w:lang w:eastAsia="en-US"/>
              </w:rPr>
            </w:pPr>
            <w:r w:rsidRPr="001D6678">
              <w:rPr>
                <w:rFonts w:eastAsia="Times New Roman"/>
                <w:sz w:val="20"/>
                <w:lang w:eastAsia="en-US"/>
              </w:rPr>
              <w:t xml:space="preserve">                               -   </w:t>
            </w:r>
          </w:p>
        </w:tc>
      </w:tr>
    </w:tbl>
    <w:p w:rsidR="00332680" w:rsidRPr="001D6678" w:rsidRDefault="00332680">
      <w:r w:rsidRPr="001D6678">
        <w:br w:type="page"/>
      </w:r>
    </w:p>
    <w:tbl>
      <w:tblPr>
        <w:tblW w:w="5604" w:type="dxa"/>
        <w:jc w:val="center"/>
        <w:tblInd w:w="93" w:type="dxa"/>
        <w:tblLook w:val="04A0" w:firstRow="1" w:lastRow="0" w:firstColumn="1" w:lastColumn="0" w:noHBand="0" w:noVBand="1"/>
      </w:tblPr>
      <w:tblGrid>
        <w:gridCol w:w="3203"/>
        <w:gridCol w:w="2401"/>
      </w:tblGrid>
      <w:tr w:rsidR="00C301CD" w:rsidRPr="001D6678" w:rsidTr="00497A16">
        <w:trPr>
          <w:trHeight w:val="510"/>
          <w:jc w:val="center"/>
        </w:trPr>
        <w:tc>
          <w:tcPr>
            <w:tcW w:w="3203"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rsidR="00332680" w:rsidRPr="001D6678" w:rsidRDefault="00D323E4" w:rsidP="00D323E4">
            <w:pPr>
              <w:jc w:val="center"/>
              <w:rPr>
                <w:rFonts w:eastAsia="Times New Roman"/>
                <w:b/>
                <w:bCs/>
                <w:sz w:val="20"/>
                <w:u w:val="single"/>
                <w:lang w:eastAsia="en-US"/>
              </w:rPr>
            </w:pPr>
            <w:r>
              <w:rPr>
                <w:rFonts w:eastAsiaTheme="minorEastAsia" w:hint="eastAsia"/>
                <w:b/>
                <w:bCs/>
                <w:sz w:val="20"/>
                <w:u w:val="single"/>
              </w:rPr>
              <w:lastRenderedPageBreak/>
              <w:t>成员国</w:t>
            </w:r>
          </w:p>
        </w:tc>
        <w:tc>
          <w:tcPr>
            <w:tcW w:w="2401" w:type="dxa"/>
            <w:tcBorders>
              <w:top w:val="single" w:sz="4" w:space="0" w:color="auto"/>
              <w:left w:val="nil"/>
              <w:bottom w:val="single" w:sz="4" w:space="0" w:color="auto"/>
              <w:right w:val="single" w:sz="4" w:space="0" w:color="auto"/>
            </w:tcBorders>
            <w:shd w:val="clear" w:color="auto" w:fill="C6D9F1" w:themeFill="text2" w:themeFillTint="33"/>
            <w:noWrap/>
            <w:vAlign w:val="center"/>
          </w:tcPr>
          <w:p w:rsidR="00332680" w:rsidRPr="001D6678" w:rsidRDefault="00332680" w:rsidP="00D323E4">
            <w:pPr>
              <w:jc w:val="center"/>
              <w:rPr>
                <w:rFonts w:eastAsia="Times New Roman"/>
                <w:b/>
                <w:bCs/>
                <w:sz w:val="20"/>
                <w:u w:val="single"/>
                <w:lang w:eastAsia="en-US"/>
              </w:rPr>
            </w:pPr>
            <w:r w:rsidRPr="001D6678">
              <w:rPr>
                <w:rFonts w:eastAsia="Times New Roman"/>
                <w:b/>
                <w:bCs/>
                <w:sz w:val="20"/>
                <w:u w:val="single"/>
                <w:lang w:eastAsia="en-US"/>
              </w:rPr>
              <w:t>PCT</w:t>
            </w:r>
            <w:r w:rsidR="00D323E4">
              <w:rPr>
                <w:rFonts w:eastAsiaTheme="minorEastAsia" w:hint="eastAsia"/>
                <w:b/>
                <w:bCs/>
                <w:sz w:val="20"/>
                <w:u w:val="single"/>
              </w:rPr>
              <w:t>周转基金</w:t>
            </w:r>
          </w:p>
        </w:tc>
      </w:tr>
      <w:tr w:rsidR="00C301CD" w:rsidRPr="001D6678" w:rsidTr="00497A16">
        <w:trPr>
          <w:trHeight w:val="255"/>
          <w:jc w:val="center"/>
        </w:trPr>
        <w:tc>
          <w:tcPr>
            <w:tcW w:w="3203" w:type="dxa"/>
            <w:tcBorders>
              <w:top w:val="single" w:sz="4" w:space="0" w:color="auto"/>
              <w:left w:val="single" w:sz="4" w:space="0" w:color="auto"/>
              <w:bottom w:val="nil"/>
              <w:right w:val="single" w:sz="4" w:space="0" w:color="auto"/>
            </w:tcBorders>
            <w:shd w:val="clear" w:color="auto" w:fill="auto"/>
            <w:noWrap/>
            <w:vAlign w:val="bottom"/>
          </w:tcPr>
          <w:p w:rsidR="00332680" w:rsidRPr="001D6678" w:rsidRDefault="00332680" w:rsidP="00332680">
            <w:pPr>
              <w:rPr>
                <w:rFonts w:eastAsia="Times New Roman"/>
                <w:sz w:val="20"/>
                <w:lang w:eastAsia="en-US"/>
              </w:rPr>
            </w:pPr>
          </w:p>
        </w:tc>
        <w:tc>
          <w:tcPr>
            <w:tcW w:w="2401" w:type="dxa"/>
            <w:tcBorders>
              <w:top w:val="single" w:sz="4" w:space="0" w:color="auto"/>
              <w:left w:val="nil"/>
              <w:bottom w:val="nil"/>
              <w:right w:val="single" w:sz="4" w:space="0" w:color="auto"/>
            </w:tcBorders>
            <w:shd w:val="clear" w:color="auto" w:fill="auto"/>
            <w:noWrap/>
            <w:vAlign w:val="bottom"/>
          </w:tcPr>
          <w:p w:rsidR="00332680" w:rsidRPr="001D6678" w:rsidRDefault="00332680" w:rsidP="00332680">
            <w:pPr>
              <w:rPr>
                <w:rFonts w:eastAsia="Times New Roman"/>
                <w:sz w:val="20"/>
                <w:lang w:eastAsia="en-US"/>
              </w:rPr>
            </w:pPr>
          </w:p>
        </w:tc>
      </w:tr>
      <w:tr w:rsidR="00C301CD" w:rsidRPr="001D6678" w:rsidTr="00497A16">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泰国</w:t>
            </w:r>
            <w:proofErr w:type="spellEnd"/>
          </w:p>
        </w:tc>
        <w:tc>
          <w:tcPr>
            <w:tcW w:w="2401" w:type="dxa"/>
            <w:tcBorders>
              <w:top w:val="nil"/>
              <w:left w:val="nil"/>
              <w:bottom w:val="nil"/>
              <w:right w:val="single" w:sz="4" w:space="0" w:color="auto"/>
            </w:tcBorders>
            <w:shd w:val="clear" w:color="auto" w:fill="auto"/>
            <w:noWrap/>
            <w:vAlign w:val="bottom"/>
            <w:hideMark/>
          </w:tcPr>
          <w:p w:rsidR="00332680" w:rsidRPr="001D6678" w:rsidRDefault="00332680" w:rsidP="005247AA">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多哥</w:t>
            </w:r>
            <w:proofErr w:type="spellEnd"/>
          </w:p>
        </w:tc>
        <w:tc>
          <w:tcPr>
            <w:tcW w:w="2401" w:type="dxa"/>
            <w:tcBorders>
              <w:top w:val="nil"/>
              <w:left w:val="nil"/>
              <w:bottom w:val="nil"/>
              <w:right w:val="single" w:sz="4" w:space="0" w:color="auto"/>
            </w:tcBorders>
            <w:shd w:val="clear" w:color="auto" w:fill="auto"/>
            <w:noWrap/>
            <w:vAlign w:val="bottom"/>
            <w:hideMark/>
          </w:tcPr>
          <w:p w:rsidR="00332680" w:rsidRPr="001D6678" w:rsidRDefault="00332680" w:rsidP="005247AA">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特立尼达和多巴哥</w:t>
            </w:r>
            <w:proofErr w:type="spellEnd"/>
          </w:p>
        </w:tc>
        <w:tc>
          <w:tcPr>
            <w:tcW w:w="2401" w:type="dxa"/>
            <w:tcBorders>
              <w:top w:val="nil"/>
              <w:left w:val="nil"/>
              <w:bottom w:val="nil"/>
              <w:right w:val="single" w:sz="4" w:space="0" w:color="auto"/>
            </w:tcBorders>
            <w:shd w:val="clear" w:color="auto" w:fill="auto"/>
            <w:noWrap/>
            <w:vAlign w:val="bottom"/>
            <w:hideMark/>
          </w:tcPr>
          <w:p w:rsidR="00332680" w:rsidRPr="001D6678" w:rsidRDefault="00332680" w:rsidP="005247AA">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突尼斯</w:t>
            </w:r>
            <w:proofErr w:type="spellEnd"/>
          </w:p>
        </w:tc>
        <w:tc>
          <w:tcPr>
            <w:tcW w:w="2401" w:type="dxa"/>
            <w:tcBorders>
              <w:top w:val="nil"/>
              <w:left w:val="nil"/>
              <w:bottom w:val="nil"/>
              <w:right w:val="single" w:sz="4" w:space="0" w:color="auto"/>
            </w:tcBorders>
            <w:shd w:val="clear" w:color="auto" w:fill="auto"/>
            <w:noWrap/>
            <w:vAlign w:val="bottom"/>
            <w:hideMark/>
          </w:tcPr>
          <w:p w:rsidR="00332680" w:rsidRPr="001D6678" w:rsidRDefault="00332680" w:rsidP="005247AA">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土耳其</w:t>
            </w:r>
            <w:proofErr w:type="spellEnd"/>
          </w:p>
        </w:tc>
        <w:tc>
          <w:tcPr>
            <w:tcW w:w="2401" w:type="dxa"/>
            <w:tcBorders>
              <w:top w:val="nil"/>
              <w:left w:val="nil"/>
              <w:bottom w:val="nil"/>
              <w:right w:val="single" w:sz="4" w:space="0" w:color="auto"/>
            </w:tcBorders>
            <w:shd w:val="clear" w:color="auto" w:fill="auto"/>
            <w:noWrap/>
            <w:vAlign w:val="bottom"/>
            <w:hideMark/>
          </w:tcPr>
          <w:p w:rsidR="00332680" w:rsidRPr="001D6678" w:rsidRDefault="00332680" w:rsidP="005247AA">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乌干达</w:t>
            </w:r>
            <w:proofErr w:type="spellEnd"/>
          </w:p>
        </w:tc>
        <w:tc>
          <w:tcPr>
            <w:tcW w:w="2401" w:type="dxa"/>
            <w:tcBorders>
              <w:top w:val="nil"/>
              <w:left w:val="nil"/>
              <w:bottom w:val="nil"/>
              <w:right w:val="single" w:sz="4" w:space="0" w:color="auto"/>
            </w:tcBorders>
            <w:shd w:val="clear" w:color="auto" w:fill="auto"/>
            <w:noWrap/>
            <w:vAlign w:val="bottom"/>
            <w:hideMark/>
          </w:tcPr>
          <w:p w:rsidR="00332680" w:rsidRPr="001D6678" w:rsidRDefault="00332680" w:rsidP="005247AA">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联合王国</w:t>
            </w:r>
            <w:proofErr w:type="spellEnd"/>
            <w:r>
              <w:rPr>
                <w:rFonts w:eastAsia="Times New Roman"/>
                <w:sz w:val="20"/>
                <w:lang w:eastAsia="en-US"/>
              </w:rPr>
              <w:t xml:space="preserve"> </w:t>
            </w:r>
          </w:p>
        </w:tc>
        <w:tc>
          <w:tcPr>
            <w:tcW w:w="2401" w:type="dxa"/>
            <w:tcBorders>
              <w:top w:val="nil"/>
              <w:left w:val="nil"/>
              <w:bottom w:val="nil"/>
              <w:right w:val="single" w:sz="4" w:space="0" w:color="auto"/>
            </w:tcBorders>
            <w:shd w:val="clear" w:color="auto" w:fill="auto"/>
            <w:noWrap/>
            <w:vAlign w:val="bottom"/>
            <w:hideMark/>
          </w:tcPr>
          <w:p w:rsidR="00332680" w:rsidRPr="001D6678" w:rsidRDefault="00332680" w:rsidP="00332680">
            <w:pPr>
              <w:rPr>
                <w:rFonts w:eastAsia="Times New Roman"/>
                <w:sz w:val="20"/>
                <w:lang w:eastAsia="en-US"/>
              </w:rPr>
            </w:pPr>
            <w:r w:rsidRPr="001D6678">
              <w:rPr>
                <w:rFonts w:eastAsia="Times New Roman"/>
                <w:sz w:val="20"/>
                <w:lang w:eastAsia="en-US"/>
              </w:rPr>
              <w:t xml:space="preserve">                  168,000.00 </w:t>
            </w:r>
          </w:p>
        </w:tc>
      </w:tr>
      <w:tr w:rsidR="00C301CD" w:rsidRPr="001D6678" w:rsidTr="00497A16">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坦桑尼亚联合共和国</w:t>
            </w:r>
            <w:proofErr w:type="spellEnd"/>
          </w:p>
        </w:tc>
        <w:tc>
          <w:tcPr>
            <w:tcW w:w="2401" w:type="dxa"/>
            <w:tcBorders>
              <w:top w:val="nil"/>
              <w:left w:val="nil"/>
              <w:bottom w:val="nil"/>
              <w:right w:val="single" w:sz="4" w:space="0" w:color="auto"/>
            </w:tcBorders>
            <w:shd w:val="clear" w:color="auto" w:fill="auto"/>
            <w:noWrap/>
            <w:vAlign w:val="bottom"/>
            <w:hideMark/>
          </w:tcPr>
          <w:p w:rsidR="00332680" w:rsidRPr="001D6678" w:rsidRDefault="00332680" w:rsidP="005247AA">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美利坚合众国</w:t>
            </w:r>
            <w:proofErr w:type="spellEnd"/>
          </w:p>
        </w:tc>
        <w:tc>
          <w:tcPr>
            <w:tcW w:w="2401" w:type="dxa"/>
            <w:tcBorders>
              <w:top w:val="nil"/>
              <w:left w:val="nil"/>
              <w:bottom w:val="nil"/>
              <w:right w:val="single" w:sz="4" w:space="0" w:color="auto"/>
            </w:tcBorders>
            <w:shd w:val="clear" w:color="auto" w:fill="auto"/>
            <w:noWrap/>
            <w:vAlign w:val="bottom"/>
            <w:hideMark/>
          </w:tcPr>
          <w:p w:rsidR="00332680" w:rsidRPr="001D6678" w:rsidRDefault="00332680" w:rsidP="00332680">
            <w:pPr>
              <w:rPr>
                <w:rFonts w:eastAsia="Times New Roman"/>
                <w:sz w:val="20"/>
                <w:lang w:eastAsia="en-US"/>
              </w:rPr>
            </w:pPr>
            <w:r w:rsidRPr="001D6678">
              <w:rPr>
                <w:rFonts w:eastAsia="Times New Roman"/>
                <w:sz w:val="20"/>
                <w:lang w:eastAsia="en-US"/>
              </w:rPr>
              <w:t xml:space="preserve">                  754,900.00 </w:t>
            </w:r>
          </w:p>
        </w:tc>
      </w:tr>
      <w:tr w:rsidR="00C301CD" w:rsidRPr="001D6678" w:rsidTr="00497A16">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乌拉圭</w:t>
            </w:r>
            <w:proofErr w:type="spellEnd"/>
          </w:p>
        </w:tc>
        <w:tc>
          <w:tcPr>
            <w:tcW w:w="2401" w:type="dxa"/>
            <w:tcBorders>
              <w:top w:val="nil"/>
              <w:left w:val="nil"/>
              <w:bottom w:val="nil"/>
              <w:right w:val="single" w:sz="4" w:space="0" w:color="auto"/>
            </w:tcBorders>
            <w:shd w:val="clear" w:color="auto" w:fill="auto"/>
            <w:noWrap/>
            <w:vAlign w:val="bottom"/>
            <w:hideMark/>
          </w:tcPr>
          <w:p w:rsidR="00332680" w:rsidRPr="001D6678" w:rsidRDefault="00332680" w:rsidP="005247AA">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854613">
            <w:pPr>
              <w:rPr>
                <w:rFonts w:eastAsia="Times New Roman"/>
                <w:sz w:val="20"/>
              </w:rPr>
            </w:pPr>
            <w:r>
              <w:rPr>
                <w:rFonts w:ascii="SimSun" w:hAnsi="SimSun" w:cs="SimSun" w:hint="eastAsia"/>
                <w:sz w:val="20"/>
              </w:rPr>
              <w:t>委内瑞拉</w:t>
            </w:r>
            <w:r w:rsidR="00332680" w:rsidRPr="001D6678">
              <w:rPr>
                <w:rFonts w:eastAsia="Times New Roman"/>
                <w:sz w:val="20"/>
              </w:rPr>
              <w:t xml:space="preserve"> (</w:t>
            </w:r>
            <w:r w:rsidR="00854613">
              <w:rPr>
                <w:rFonts w:eastAsiaTheme="minorEastAsia" w:hint="eastAsia"/>
                <w:sz w:val="20"/>
              </w:rPr>
              <w:t>玻利瓦尔共和国</w:t>
            </w:r>
            <w:r w:rsidR="00332680" w:rsidRPr="001D6678">
              <w:rPr>
                <w:rFonts w:eastAsia="Times New Roman"/>
                <w:sz w:val="20"/>
              </w:rPr>
              <w:t>)</w:t>
            </w:r>
          </w:p>
        </w:tc>
        <w:tc>
          <w:tcPr>
            <w:tcW w:w="2401" w:type="dxa"/>
            <w:tcBorders>
              <w:top w:val="nil"/>
              <w:left w:val="nil"/>
              <w:bottom w:val="nil"/>
              <w:right w:val="single" w:sz="4" w:space="0" w:color="auto"/>
            </w:tcBorders>
            <w:shd w:val="clear" w:color="auto" w:fill="auto"/>
            <w:noWrap/>
            <w:vAlign w:val="bottom"/>
            <w:hideMark/>
          </w:tcPr>
          <w:p w:rsidR="00332680" w:rsidRPr="001D6678" w:rsidRDefault="00332680" w:rsidP="005247AA">
            <w:pPr>
              <w:jc w:val="right"/>
              <w:rPr>
                <w:rFonts w:eastAsia="Times New Roman"/>
                <w:sz w:val="20"/>
                <w:lang w:eastAsia="en-US"/>
              </w:rPr>
            </w:pPr>
            <w:r w:rsidRPr="001D6678">
              <w:rPr>
                <w:rFonts w:eastAsia="Times New Roman"/>
                <w:sz w:val="20"/>
              </w:rPr>
              <w:t xml:space="preserve">                               </w:t>
            </w:r>
            <w:r w:rsidRPr="001D6678">
              <w:rPr>
                <w:rFonts w:eastAsia="Times New Roman"/>
                <w:sz w:val="20"/>
                <w:lang w:eastAsia="en-US"/>
              </w:rPr>
              <w:t xml:space="preserve">-   </w:t>
            </w:r>
          </w:p>
        </w:tc>
      </w:tr>
      <w:tr w:rsidR="00C301CD" w:rsidRPr="001D6678" w:rsidTr="00497A16">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越南</w:t>
            </w:r>
            <w:proofErr w:type="spellEnd"/>
          </w:p>
        </w:tc>
        <w:tc>
          <w:tcPr>
            <w:tcW w:w="2401" w:type="dxa"/>
            <w:tcBorders>
              <w:top w:val="nil"/>
              <w:left w:val="nil"/>
              <w:bottom w:val="nil"/>
              <w:right w:val="single" w:sz="4" w:space="0" w:color="auto"/>
            </w:tcBorders>
            <w:shd w:val="clear" w:color="auto" w:fill="auto"/>
            <w:noWrap/>
            <w:vAlign w:val="bottom"/>
            <w:hideMark/>
          </w:tcPr>
          <w:p w:rsidR="00332680" w:rsidRPr="001D6678" w:rsidRDefault="00332680" w:rsidP="005247AA">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赞比亚</w:t>
            </w:r>
            <w:proofErr w:type="spellEnd"/>
          </w:p>
        </w:tc>
        <w:tc>
          <w:tcPr>
            <w:tcW w:w="2401" w:type="dxa"/>
            <w:tcBorders>
              <w:top w:val="nil"/>
              <w:left w:val="nil"/>
              <w:bottom w:val="nil"/>
              <w:right w:val="single" w:sz="4" w:space="0" w:color="auto"/>
            </w:tcBorders>
            <w:shd w:val="clear" w:color="auto" w:fill="auto"/>
            <w:noWrap/>
            <w:vAlign w:val="bottom"/>
            <w:hideMark/>
          </w:tcPr>
          <w:p w:rsidR="00332680" w:rsidRPr="001D6678" w:rsidRDefault="00332680" w:rsidP="005247AA">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203" w:type="dxa"/>
            <w:tcBorders>
              <w:top w:val="nil"/>
              <w:left w:val="single" w:sz="4" w:space="0" w:color="auto"/>
              <w:bottom w:val="single" w:sz="4" w:space="0" w:color="auto"/>
              <w:right w:val="single" w:sz="4" w:space="0" w:color="auto"/>
            </w:tcBorders>
            <w:shd w:val="clear" w:color="auto" w:fill="auto"/>
            <w:noWrap/>
            <w:vAlign w:val="bottom"/>
            <w:hideMark/>
          </w:tcPr>
          <w:p w:rsidR="00332680" w:rsidRPr="001D6678" w:rsidRDefault="00747415" w:rsidP="00332680">
            <w:pPr>
              <w:rPr>
                <w:rFonts w:eastAsia="Times New Roman"/>
                <w:sz w:val="20"/>
                <w:lang w:eastAsia="en-US"/>
              </w:rPr>
            </w:pPr>
            <w:proofErr w:type="spellStart"/>
            <w:r>
              <w:rPr>
                <w:rFonts w:ascii="SimSun" w:hAnsi="SimSun" w:cs="SimSun" w:hint="eastAsia"/>
                <w:sz w:val="20"/>
                <w:lang w:eastAsia="en-US"/>
              </w:rPr>
              <w:t>津巴布韦</w:t>
            </w:r>
            <w:proofErr w:type="spellEnd"/>
          </w:p>
        </w:tc>
        <w:tc>
          <w:tcPr>
            <w:tcW w:w="2401" w:type="dxa"/>
            <w:tcBorders>
              <w:top w:val="nil"/>
              <w:left w:val="nil"/>
              <w:bottom w:val="single" w:sz="4" w:space="0" w:color="auto"/>
              <w:right w:val="single" w:sz="4" w:space="0" w:color="auto"/>
            </w:tcBorders>
            <w:shd w:val="clear" w:color="auto" w:fill="auto"/>
            <w:noWrap/>
            <w:vAlign w:val="bottom"/>
            <w:hideMark/>
          </w:tcPr>
          <w:p w:rsidR="00332680" w:rsidRPr="001D6678" w:rsidRDefault="00332680" w:rsidP="005247AA">
            <w:pPr>
              <w:jc w:val="right"/>
              <w:rPr>
                <w:rFonts w:eastAsia="Times New Roman"/>
                <w:sz w:val="20"/>
                <w:lang w:eastAsia="en-US"/>
              </w:rPr>
            </w:pPr>
            <w:r w:rsidRPr="001D6678">
              <w:rPr>
                <w:rFonts w:eastAsia="Times New Roman"/>
                <w:sz w:val="20"/>
                <w:lang w:eastAsia="en-US"/>
              </w:rPr>
              <w:t xml:space="preserve">                               -   </w:t>
            </w:r>
          </w:p>
        </w:tc>
      </w:tr>
      <w:tr w:rsidR="00C301CD" w:rsidRPr="001D6678" w:rsidTr="00497A16">
        <w:trPr>
          <w:trHeight w:val="255"/>
          <w:jc w:val="center"/>
        </w:trPr>
        <w:tc>
          <w:tcPr>
            <w:tcW w:w="3203" w:type="dxa"/>
            <w:tcBorders>
              <w:top w:val="nil"/>
              <w:left w:val="single" w:sz="4" w:space="0" w:color="auto"/>
              <w:bottom w:val="nil"/>
              <w:right w:val="single" w:sz="4" w:space="0" w:color="auto"/>
            </w:tcBorders>
            <w:shd w:val="clear" w:color="000000" w:fill="C5D9F1"/>
            <w:noWrap/>
            <w:vAlign w:val="bottom"/>
            <w:hideMark/>
          </w:tcPr>
          <w:p w:rsidR="00332680" w:rsidRPr="001D6678" w:rsidRDefault="00332680" w:rsidP="00332680">
            <w:pPr>
              <w:rPr>
                <w:rFonts w:eastAsia="Times New Roman"/>
                <w:sz w:val="20"/>
                <w:lang w:eastAsia="en-US"/>
              </w:rPr>
            </w:pPr>
            <w:r w:rsidRPr="001D6678">
              <w:rPr>
                <w:rFonts w:eastAsia="Times New Roman"/>
                <w:sz w:val="20"/>
                <w:lang w:eastAsia="en-US"/>
              </w:rPr>
              <w:t> </w:t>
            </w:r>
          </w:p>
        </w:tc>
        <w:tc>
          <w:tcPr>
            <w:tcW w:w="2401" w:type="dxa"/>
            <w:tcBorders>
              <w:top w:val="nil"/>
              <w:left w:val="nil"/>
              <w:bottom w:val="nil"/>
              <w:right w:val="single" w:sz="4" w:space="0" w:color="auto"/>
            </w:tcBorders>
            <w:shd w:val="clear" w:color="000000" w:fill="C5D9F1"/>
            <w:noWrap/>
            <w:vAlign w:val="bottom"/>
            <w:hideMark/>
          </w:tcPr>
          <w:p w:rsidR="00332680" w:rsidRPr="001D6678" w:rsidRDefault="00332680" w:rsidP="00332680">
            <w:pPr>
              <w:rPr>
                <w:rFonts w:eastAsia="Times New Roman"/>
                <w:sz w:val="20"/>
                <w:lang w:eastAsia="en-US"/>
              </w:rPr>
            </w:pPr>
            <w:r w:rsidRPr="001D6678">
              <w:rPr>
                <w:rFonts w:eastAsia="Times New Roman"/>
                <w:sz w:val="20"/>
                <w:lang w:eastAsia="en-US"/>
              </w:rPr>
              <w:t> </w:t>
            </w:r>
          </w:p>
        </w:tc>
      </w:tr>
      <w:tr w:rsidR="00C301CD" w:rsidRPr="001D6678" w:rsidTr="00497A16">
        <w:trPr>
          <w:trHeight w:val="487"/>
          <w:jc w:val="center"/>
        </w:trPr>
        <w:tc>
          <w:tcPr>
            <w:tcW w:w="3203" w:type="dxa"/>
            <w:tcBorders>
              <w:top w:val="nil"/>
              <w:left w:val="single" w:sz="4" w:space="0" w:color="auto"/>
              <w:bottom w:val="single" w:sz="4" w:space="0" w:color="auto"/>
              <w:right w:val="single" w:sz="4" w:space="0" w:color="auto"/>
            </w:tcBorders>
            <w:shd w:val="clear" w:color="000000" w:fill="C5D9F1"/>
            <w:noWrap/>
            <w:hideMark/>
          </w:tcPr>
          <w:p w:rsidR="00332680" w:rsidRPr="00854613" w:rsidRDefault="00854613" w:rsidP="00332680">
            <w:pPr>
              <w:rPr>
                <w:rFonts w:eastAsiaTheme="minorEastAsia"/>
                <w:b/>
                <w:sz w:val="20"/>
              </w:rPr>
            </w:pPr>
            <w:r>
              <w:rPr>
                <w:rFonts w:eastAsiaTheme="minorEastAsia" w:hint="eastAsia"/>
                <w:b/>
                <w:sz w:val="20"/>
              </w:rPr>
              <w:t>共计</w:t>
            </w:r>
          </w:p>
        </w:tc>
        <w:tc>
          <w:tcPr>
            <w:tcW w:w="2401" w:type="dxa"/>
            <w:tcBorders>
              <w:top w:val="nil"/>
              <w:left w:val="nil"/>
              <w:bottom w:val="single" w:sz="4" w:space="0" w:color="auto"/>
              <w:right w:val="single" w:sz="4" w:space="0" w:color="auto"/>
            </w:tcBorders>
            <w:shd w:val="clear" w:color="000000" w:fill="C5D9F1"/>
            <w:noWrap/>
            <w:hideMark/>
          </w:tcPr>
          <w:p w:rsidR="00332680" w:rsidRPr="001D6678" w:rsidRDefault="00332680" w:rsidP="00DD02E1">
            <w:pPr>
              <w:jc w:val="right"/>
              <w:rPr>
                <w:rFonts w:eastAsia="Times New Roman"/>
                <w:b/>
                <w:sz w:val="20"/>
                <w:lang w:eastAsia="en-US"/>
              </w:rPr>
            </w:pPr>
            <w:r w:rsidRPr="001D6678">
              <w:rPr>
                <w:rFonts w:eastAsia="Times New Roman"/>
                <w:b/>
                <w:sz w:val="20"/>
                <w:lang w:eastAsia="en-US"/>
              </w:rPr>
              <w:t xml:space="preserve">2,000,000.00 </w:t>
            </w:r>
          </w:p>
        </w:tc>
      </w:tr>
    </w:tbl>
    <w:p w:rsidR="00C52783" w:rsidRPr="00E414BF" w:rsidRDefault="00C52783" w:rsidP="00332680">
      <w:pPr>
        <w:rPr>
          <w:sz w:val="21"/>
          <w:lang w:val="en-GB"/>
        </w:rPr>
      </w:pPr>
    </w:p>
    <w:p w:rsidR="00C52783" w:rsidRPr="00E414BF" w:rsidRDefault="00C52783" w:rsidP="00332680">
      <w:pPr>
        <w:rPr>
          <w:sz w:val="21"/>
          <w:lang w:val="en-GB"/>
        </w:rPr>
      </w:pPr>
    </w:p>
    <w:p w:rsidR="00332680" w:rsidRPr="00E414BF" w:rsidRDefault="00DD02E1" w:rsidP="00D07ECB">
      <w:pPr>
        <w:pStyle w:val="Endofdocument-Annex"/>
        <w:spacing w:afterLines="50" w:after="120" w:line="340" w:lineRule="atLeast"/>
        <w:rPr>
          <w:sz w:val="21"/>
          <w:lang w:val="en-GB"/>
        </w:rPr>
      </w:pPr>
      <w:r w:rsidRPr="001E5CDA">
        <w:rPr>
          <w:rFonts w:ascii="KaiTi" w:eastAsia="KaiTi" w:hAnsi="KaiTi"/>
          <w:sz w:val="21"/>
          <w:szCs w:val="21"/>
        </w:rPr>
        <w:t>[</w:t>
      </w:r>
      <w:r w:rsidR="005D1C1B" w:rsidRPr="001E5CDA">
        <w:rPr>
          <w:rFonts w:ascii="KaiTi" w:eastAsia="KaiTi" w:hAnsi="KaiTi" w:hint="eastAsia"/>
          <w:sz w:val="21"/>
          <w:szCs w:val="21"/>
        </w:rPr>
        <w:t>附件二和文件完</w:t>
      </w:r>
      <w:r w:rsidRPr="001E5CDA">
        <w:rPr>
          <w:rFonts w:ascii="KaiTi" w:eastAsia="KaiTi" w:hAnsi="KaiTi"/>
          <w:sz w:val="21"/>
          <w:szCs w:val="21"/>
        </w:rPr>
        <w:t>]</w:t>
      </w:r>
    </w:p>
    <w:sectPr w:rsidR="00332680" w:rsidRPr="00E414BF" w:rsidSect="00E414BF">
      <w:headerReference w:type="default" r:id="rId20"/>
      <w:headerReference w:type="first" r:id="rId21"/>
      <w:pgSz w:w="11907" w:h="16839" w:code="9"/>
      <w:pgMar w:top="567" w:right="1134" w:bottom="1418" w:left="1418" w:header="510" w:footer="1021"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CAB" w:rsidRDefault="00F67CAB">
      <w:r>
        <w:separator/>
      </w:r>
    </w:p>
  </w:endnote>
  <w:endnote w:type="continuationSeparator" w:id="0">
    <w:p w:rsidR="00F67CAB" w:rsidRDefault="00F67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SimHei"/>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CAB" w:rsidRDefault="00F67CAB" w:rsidP="00167405">
    <w:pPr>
      <w:pStyle w:val="a3"/>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3</w:t>
    </w:r>
    <w:r>
      <w:rPr>
        <w:rStyle w:val="a6"/>
      </w:rPr>
      <w:fldChar w:fldCharType="end"/>
    </w:r>
  </w:p>
  <w:p w:rsidR="00F67CAB" w:rsidRDefault="00F67CAB" w:rsidP="0016740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CAB" w:rsidRDefault="00F67CAB" w:rsidP="00167405">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CAB" w:rsidRDefault="00F67CAB">
      <w:r>
        <w:separator/>
      </w:r>
    </w:p>
  </w:footnote>
  <w:footnote w:type="continuationSeparator" w:id="0">
    <w:p w:rsidR="00F67CAB" w:rsidRDefault="00F67CAB">
      <w:r>
        <w:continuationSeparator/>
      </w:r>
    </w:p>
  </w:footnote>
  <w:footnote w:id="1">
    <w:p w:rsidR="00F67CAB" w:rsidRPr="007E0398" w:rsidRDefault="00F67CAB" w:rsidP="002869F5">
      <w:pPr>
        <w:pStyle w:val="aa"/>
        <w:rPr>
          <w:rFonts w:ascii="SimSun" w:hAnsi="SimSun"/>
        </w:rPr>
      </w:pPr>
      <w:bookmarkStart w:id="3" w:name="_GoBack"/>
      <w:r w:rsidRPr="007E0398">
        <w:rPr>
          <w:rStyle w:val="ab"/>
          <w:rFonts w:ascii="SimSun" w:hAnsi="SimSun"/>
        </w:rPr>
        <w:footnoteRef/>
      </w:r>
      <w:r w:rsidRPr="007E0398">
        <w:rPr>
          <w:rFonts w:ascii="SimSun" w:hAnsi="SimSun"/>
        </w:rPr>
        <w:t xml:space="preserve"> </w:t>
      </w:r>
      <w:r w:rsidRPr="007E0398">
        <w:rPr>
          <w:rFonts w:ascii="SimSun" w:hAnsi="SimSun"/>
        </w:rPr>
        <w:tab/>
      </w:r>
      <w:r w:rsidRPr="007E0398">
        <w:rPr>
          <w:rFonts w:ascii="SimSun" w:hAnsi="SimSun" w:hint="eastAsia"/>
          <w:szCs w:val="18"/>
        </w:rPr>
        <w:t>2000年文件</w:t>
      </w:r>
      <w:r w:rsidRPr="007E0398">
        <w:rPr>
          <w:rFonts w:ascii="SimSun" w:hAnsi="SimSun"/>
          <w:szCs w:val="18"/>
        </w:rPr>
        <w:t>A/35/6(</w:t>
      </w:r>
      <w:r w:rsidRPr="007E0398">
        <w:rPr>
          <w:rFonts w:ascii="SimSun" w:hAnsi="SimSun" w:hint="eastAsia"/>
          <w:szCs w:val="18"/>
        </w:rPr>
        <w:t>关于储备基金政策的提案</w:t>
      </w:r>
      <w:r w:rsidRPr="007E0398">
        <w:rPr>
          <w:rFonts w:ascii="SimSun" w:hAnsi="SimSun"/>
          <w:szCs w:val="18"/>
        </w:rPr>
        <w:t>)</w:t>
      </w:r>
      <w:bookmarkEnd w:id="3"/>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CAB" w:rsidRPr="00E414BF" w:rsidRDefault="00F67CAB">
    <w:pPr>
      <w:pStyle w:val="a8"/>
      <w:jc w:val="right"/>
      <w:rPr>
        <w:rFonts w:ascii="SimSun" w:hAnsi="SimSun"/>
        <w:sz w:val="21"/>
      </w:rPr>
    </w:pPr>
    <w:r w:rsidRPr="00E414BF">
      <w:rPr>
        <w:rFonts w:ascii="SimSun" w:hAnsi="SimSun"/>
        <w:sz w:val="21"/>
      </w:rPr>
      <w:t>WO/PBC/23/8</w:t>
    </w:r>
  </w:p>
  <w:p w:rsidR="00F67CAB" w:rsidRDefault="00E414BF" w:rsidP="00E414BF">
    <w:pPr>
      <w:pStyle w:val="a8"/>
      <w:tabs>
        <w:tab w:val="clear" w:pos="4680"/>
        <w:tab w:val="clear" w:pos="9360"/>
      </w:tabs>
      <w:jc w:val="right"/>
      <w:rPr>
        <w:rFonts w:ascii="SimSun" w:hAnsi="SimSun"/>
        <w:noProof/>
        <w:sz w:val="21"/>
      </w:rPr>
    </w:pPr>
    <w:r>
      <w:rPr>
        <w:rFonts w:ascii="SimSun" w:hAnsi="SimSun" w:hint="eastAsia"/>
        <w:sz w:val="21"/>
      </w:rPr>
      <w:t>第</w:t>
    </w:r>
    <w:sdt>
      <w:sdtPr>
        <w:rPr>
          <w:rFonts w:ascii="SimSun" w:hAnsi="SimSun"/>
          <w:sz w:val="21"/>
        </w:rPr>
        <w:id w:val="-334305929"/>
        <w:docPartObj>
          <w:docPartGallery w:val="Page Numbers (Top of Page)"/>
          <w:docPartUnique/>
        </w:docPartObj>
      </w:sdtPr>
      <w:sdtEndPr>
        <w:rPr>
          <w:noProof/>
        </w:rPr>
      </w:sdtEndPr>
      <w:sdtContent>
        <w:r w:rsidR="00F67CAB" w:rsidRPr="00E414BF">
          <w:rPr>
            <w:rFonts w:ascii="SimSun" w:hAnsi="SimSun"/>
            <w:sz w:val="21"/>
          </w:rPr>
          <w:fldChar w:fldCharType="begin"/>
        </w:r>
        <w:r w:rsidR="00F67CAB" w:rsidRPr="00E414BF">
          <w:rPr>
            <w:rFonts w:ascii="SimSun" w:hAnsi="SimSun"/>
            <w:sz w:val="21"/>
          </w:rPr>
          <w:instrText xml:space="preserve"> PAGE   \* MERGEFORMAT </w:instrText>
        </w:r>
        <w:r w:rsidR="00F67CAB" w:rsidRPr="00E414BF">
          <w:rPr>
            <w:rFonts w:ascii="SimSun" w:hAnsi="SimSun"/>
            <w:sz w:val="21"/>
          </w:rPr>
          <w:fldChar w:fldCharType="separate"/>
        </w:r>
        <w:r w:rsidR="007E0398">
          <w:rPr>
            <w:rFonts w:ascii="SimSun" w:hAnsi="SimSun"/>
            <w:noProof/>
            <w:sz w:val="21"/>
          </w:rPr>
          <w:t>2</w:t>
        </w:r>
        <w:r w:rsidR="00F67CAB" w:rsidRPr="00E414BF">
          <w:rPr>
            <w:rFonts w:ascii="SimSun" w:hAnsi="SimSun"/>
            <w:noProof/>
            <w:sz w:val="21"/>
          </w:rPr>
          <w:fldChar w:fldCharType="end"/>
        </w:r>
        <w:r>
          <w:rPr>
            <w:rFonts w:ascii="SimSun" w:hAnsi="SimSun" w:hint="eastAsia"/>
            <w:noProof/>
            <w:sz w:val="21"/>
          </w:rPr>
          <w:t>页</w:t>
        </w:r>
      </w:sdtContent>
    </w:sdt>
  </w:p>
  <w:p w:rsidR="00E414BF" w:rsidRDefault="00E414BF" w:rsidP="00E414BF">
    <w:pPr>
      <w:pStyle w:val="a8"/>
      <w:tabs>
        <w:tab w:val="clear" w:pos="4680"/>
        <w:tab w:val="clear" w:pos="9360"/>
      </w:tabs>
      <w:jc w:val="right"/>
      <w:rPr>
        <w:rFonts w:ascii="SimSun" w:hAnsi="SimSun"/>
        <w:noProof/>
        <w:sz w:val="21"/>
      </w:rPr>
    </w:pPr>
  </w:p>
  <w:p w:rsidR="00E414BF" w:rsidRPr="00E414BF" w:rsidRDefault="00E414BF" w:rsidP="00E414BF">
    <w:pPr>
      <w:pStyle w:val="a8"/>
      <w:tabs>
        <w:tab w:val="clear" w:pos="4680"/>
        <w:tab w:val="clear" w:pos="9360"/>
      </w:tabs>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CAB" w:rsidRPr="00E414BF" w:rsidRDefault="00F67CAB" w:rsidP="00332680">
    <w:pPr>
      <w:jc w:val="right"/>
      <w:rPr>
        <w:rFonts w:ascii="SimSun" w:hAnsi="SimSun"/>
        <w:sz w:val="21"/>
      </w:rPr>
    </w:pPr>
    <w:bookmarkStart w:id="4" w:name="Code2"/>
    <w:bookmarkEnd w:id="4"/>
    <w:r w:rsidRPr="00E414BF">
      <w:rPr>
        <w:rFonts w:ascii="SimSun" w:hAnsi="SimSun"/>
        <w:sz w:val="21"/>
      </w:rPr>
      <w:t>WO/PBC/23/8</w:t>
    </w:r>
  </w:p>
  <w:p w:rsidR="00F67CAB" w:rsidRPr="00E414BF" w:rsidRDefault="00E414BF" w:rsidP="00332680">
    <w:pPr>
      <w:jc w:val="right"/>
      <w:rPr>
        <w:rFonts w:ascii="SimSun" w:hAnsi="SimSun"/>
        <w:sz w:val="21"/>
      </w:rPr>
    </w:pPr>
    <w:r w:rsidRPr="00E414BF">
      <w:rPr>
        <w:rFonts w:ascii="SimSun" w:hAnsi="SimSun" w:hint="eastAsia"/>
        <w:sz w:val="21"/>
      </w:rPr>
      <w:t>附件一第</w:t>
    </w:r>
    <w:r w:rsidR="00F67CAB" w:rsidRPr="00E414BF">
      <w:rPr>
        <w:rFonts w:ascii="SimSun" w:hAnsi="SimSun"/>
        <w:sz w:val="21"/>
      </w:rPr>
      <w:fldChar w:fldCharType="begin"/>
    </w:r>
    <w:r w:rsidR="00F67CAB" w:rsidRPr="00E414BF">
      <w:rPr>
        <w:rFonts w:ascii="SimSun" w:hAnsi="SimSun"/>
        <w:sz w:val="21"/>
      </w:rPr>
      <w:instrText xml:space="preserve"> PAGE  \* MERGEFORMAT </w:instrText>
    </w:r>
    <w:r w:rsidR="00F67CAB" w:rsidRPr="00E414BF">
      <w:rPr>
        <w:rFonts w:ascii="SimSun" w:hAnsi="SimSun"/>
        <w:sz w:val="21"/>
      </w:rPr>
      <w:fldChar w:fldCharType="separate"/>
    </w:r>
    <w:r w:rsidR="007E0398">
      <w:rPr>
        <w:rFonts w:ascii="SimSun" w:hAnsi="SimSun"/>
        <w:noProof/>
        <w:sz w:val="21"/>
      </w:rPr>
      <w:t>3</w:t>
    </w:r>
    <w:r w:rsidR="00F67CAB" w:rsidRPr="00E414BF">
      <w:rPr>
        <w:rFonts w:ascii="SimSun" w:hAnsi="SimSun"/>
        <w:sz w:val="21"/>
      </w:rPr>
      <w:fldChar w:fldCharType="end"/>
    </w:r>
    <w:r w:rsidRPr="00E414BF">
      <w:rPr>
        <w:rFonts w:ascii="SimSun" w:hAnsi="SimSun" w:hint="eastAsia"/>
        <w:sz w:val="21"/>
      </w:rPr>
      <w:t>页</w:t>
    </w:r>
  </w:p>
  <w:p w:rsidR="00F67CAB" w:rsidRPr="00E414BF" w:rsidRDefault="00F67CAB" w:rsidP="00332680">
    <w:pPr>
      <w:jc w:val="right"/>
      <w:rPr>
        <w:rFonts w:ascii="SimSun" w:hAnsi="SimSun"/>
        <w:sz w:val="21"/>
      </w:rPr>
    </w:pPr>
  </w:p>
  <w:p w:rsidR="00F67CAB" w:rsidRPr="00E414BF" w:rsidRDefault="00F67CAB" w:rsidP="00332680">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CAB" w:rsidRPr="00E414BF" w:rsidRDefault="00F67CAB" w:rsidP="00C948D8">
    <w:pPr>
      <w:jc w:val="right"/>
      <w:rPr>
        <w:rFonts w:ascii="SimSun" w:hAnsi="SimSun"/>
        <w:sz w:val="21"/>
      </w:rPr>
    </w:pPr>
    <w:r w:rsidRPr="00E414BF">
      <w:rPr>
        <w:rFonts w:ascii="SimSun" w:hAnsi="SimSun"/>
        <w:sz w:val="21"/>
      </w:rPr>
      <w:t>WO/PBC/23/8</w:t>
    </w:r>
  </w:p>
  <w:p w:rsidR="00F67CAB" w:rsidRPr="00E414BF" w:rsidRDefault="00E414BF" w:rsidP="00C948D8">
    <w:pPr>
      <w:pStyle w:val="a8"/>
      <w:jc w:val="right"/>
      <w:rPr>
        <w:rFonts w:ascii="SimSun" w:hAnsi="SimSun"/>
        <w:sz w:val="21"/>
      </w:rPr>
    </w:pPr>
    <w:r w:rsidRPr="00E414BF">
      <w:rPr>
        <w:rFonts w:ascii="SimSun" w:hAnsi="SimSun" w:hint="eastAsia"/>
        <w:sz w:val="21"/>
      </w:rPr>
      <w:t>附件一</w:t>
    </w:r>
  </w:p>
  <w:p w:rsidR="00F67CAB" w:rsidRPr="00E414BF" w:rsidRDefault="00F67CAB" w:rsidP="00C948D8">
    <w:pPr>
      <w:pStyle w:val="a8"/>
      <w:jc w:val="right"/>
      <w:rPr>
        <w:rFonts w:ascii="SimSun" w:hAnsi="SimSun"/>
        <w:sz w:val="21"/>
      </w:rPr>
    </w:pPr>
  </w:p>
  <w:p w:rsidR="00F67CAB" w:rsidRPr="00E414BF" w:rsidRDefault="00F67CAB" w:rsidP="00C948D8">
    <w:pPr>
      <w:pStyle w:val="a8"/>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4BF" w:rsidRPr="00E414BF" w:rsidRDefault="00E414BF" w:rsidP="00332680">
    <w:pPr>
      <w:jc w:val="right"/>
      <w:rPr>
        <w:rFonts w:ascii="SimSun" w:hAnsi="SimSun"/>
        <w:sz w:val="21"/>
      </w:rPr>
    </w:pPr>
    <w:r w:rsidRPr="00E414BF">
      <w:rPr>
        <w:rFonts w:ascii="SimSun" w:hAnsi="SimSun"/>
        <w:sz w:val="21"/>
      </w:rPr>
      <w:t>WO/PBC/23/8</w:t>
    </w:r>
  </w:p>
  <w:p w:rsidR="00E414BF" w:rsidRPr="00E414BF" w:rsidRDefault="00E414BF" w:rsidP="00332680">
    <w:pPr>
      <w:jc w:val="right"/>
      <w:rPr>
        <w:rFonts w:ascii="SimSun" w:hAnsi="SimSun"/>
        <w:sz w:val="21"/>
      </w:rPr>
    </w:pPr>
    <w:r w:rsidRPr="00E414BF">
      <w:rPr>
        <w:rFonts w:ascii="SimSun" w:hAnsi="SimSun" w:hint="eastAsia"/>
        <w:sz w:val="21"/>
      </w:rPr>
      <w:t>附件一第</w:t>
    </w:r>
    <w:r w:rsidRPr="00E414BF">
      <w:rPr>
        <w:rFonts w:ascii="SimSun" w:hAnsi="SimSun"/>
        <w:sz w:val="21"/>
      </w:rPr>
      <w:fldChar w:fldCharType="begin"/>
    </w:r>
    <w:r w:rsidRPr="00E414BF">
      <w:rPr>
        <w:rFonts w:ascii="SimSun" w:hAnsi="SimSun"/>
        <w:sz w:val="21"/>
      </w:rPr>
      <w:instrText xml:space="preserve"> PAGE  \* MERGEFORMAT </w:instrText>
    </w:r>
    <w:r w:rsidRPr="00E414BF">
      <w:rPr>
        <w:rFonts w:ascii="SimSun" w:hAnsi="SimSun"/>
        <w:sz w:val="21"/>
      </w:rPr>
      <w:fldChar w:fldCharType="separate"/>
    </w:r>
    <w:r w:rsidR="007E0398">
      <w:rPr>
        <w:rFonts w:ascii="SimSun" w:hAnsi="SimSun"/>
        <w:noProof/>
        <w:sz w:val="21"/>
      </w:rPr>
      <w:t>7</w:t>
    </w:r>
    <w:r w:rsidRPr="00E414BF">
      <w:rPr>
        <w:rFonts w:ascii="SimSun" w:hAnsi="SimSun"/>
        <w:sz w:val="21"/>
      </w:rPr>
      <w:fldChar w:fldCharType="end"/>
    </w:r>
    <w:r w:rsidRPr="00E414BF">
      <w:rPr>
        <w:rFonts w:ascii="SimSun" w:hAnsi="SimSun" w:hint="eastAsia"/>
        <w:sz w:val="21"/>
      </w:rPr>
      <w:t>页</w:t>
    </w:r>
  </w:p>
  <w:p w:rsidR="00E414BF" w:rsidRPr="00E414BF" w:rsidRDefault="00E414BF" w:rsidP="00332680">
    <w:pPr>
      <w:jc w:val="right"/>
      <w:rPr>
        <w:rFonts w:ascii="SimSun" w:hAnsi="SimSun"/>
        <w:sz w:val="21"/>
      </w:rPr>
    </w:pPr>
  </w:p>
  <w:p w:rsidR="00E414BF" w:rsidRPr="00E414BF" w:rsidRDefault="00E414BF" w:rsidP="00332680">
    <w:pPr>
      <w:jc w:val="right"/>
      <w:rPr>
        <w:rFonts w:ascii="SimSun" w:hAnsi="SimSun"/>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CAB" w:rsidRDefault="00F67CAB" w:rsidP="00C948D8">
    <w:pPr>
      <w:jc w:val="right"/>
    </w:pPr>
    <w:r>
      <w:t>WO/PBC/23/8</w:t>
    </w:r>
  </w:p>
  <w:p w:rsidR="00F67CAB" w:rsidRDefault="00F67CAB" w:rsidP="00C948D8">
    <w:pPr>
      <w:pStyle w:val="a8"/>
      <w:jc w:val="right"/>
    </w:pPr>
    <w:r>
      <w:t>ANNEX I</w:t>
    </w:r>
  </w:p>
  <w:p w:rsidR="00F67CAB" w:rsidRDefault="00F67CAB" w:rsidP="00C948D8">
    <w:pPr>
      <w:pStyle w:val="a8"/>
      <w:jc w:val="right"/>
    </w:pPr>
  </w:p>
  <w:p w:rsidR="00F67CAB" w:rsidRDefault="00F67CAB" w:rsidP="00C948D8">
    <w:pPr>
      <w:pStyle w:val="a8"/>
      <w:jc w:val="right"/>
    </w:pPr>
  </w:p>
  <w:p w:rsidR="00F67CAB" w:rsidRDefault="00F67CAB">
    <w:pPr>
      <w:pStyle w:val="a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CAB" w:rsidRPr="00E414BF" w:rsidRDefault="00F67CAB" w:rsidP="00332680">
    <w:pPr>
      <w:jc w:val="right"/>
      <w:rPr>
        <w:rFonts w:ascii="SimSun" w:hAnsi="SimSun"/>
        <w:sz w:val="21"/>
        <w:lang w:val="fr-FR"/>
      </w:rPr>
    </w:pPr>
    <w:r w:rsidRPr="00E414BF">
      <w:rPr>
        <w:rFonts w:ascii="SimSun" w:hAnsi="SimSun"/>
        <w:sz w:val="21"/>
        <w:lang w:val="fr-FR"/>
      </w:rPr>
      <w:t>WO/PBC/23/8</w:t>
    </w:r>
  </w:p>
  <w:p w:rsidR="00F67CAB" w:rsidRPr="00E414BF" w:rsidRDefault="00E414BF" w:rsidP="00332680">
    <w:pPr>
      <w:jc w:val="right"/>
      <w:rPr>
        <w:rFonts w:ascii="SimSun" w:hAnsi="SimSun"/>
        <w:sz w:val="21"/>
        <w:lang w:val="fr-FR"/>
      </w:rPr>
    </w:pPr>
    <w:proofErr w:type="gramStart"/>
    <w:r w:rsidRPr="00E414BF">
      <w:rPr>
        <w:rFonts w:ascii="SimSun" w:hAnsi="SimSun" w:hint="eastAsia"/>
        <w:sz w:val="21"/>
        <w:lang w:val="fr-FR"/>
      </w:rPr>
      <w:t>附件二第</w:t>
    </w:r>
    <w:proofErr w:type="gramEnd"/>
    <w:r w:rsidR="00F67CAB" w:rsidRPr="00E414BF">
      <w:rPr>
        <w:rFonts w:ascii="SimSun" w:hAnsi="SimSun"/>
        <w:sz w:val="21"/>
      </w:rPr>
      <w:fldChar w:fldCharType="begin"/>
    </w:r>
    <w:r w:rsidR="00F67CAB" w:rsidRPr="00E414BF">
      <w:rPr>
        <w:rFonts w:ascii="SimSun" w:hAnsi="SimSun"/>
        <w:sz w:val="21"/>
        <w:lang w:val="fr-FR"/>
      </w:rPr>
      <w:instrText xml:space="preserve"> PAGE  \* MERGEFORMAT </w:instrText>
    </w:r>
    <w:r w:rsidR="00F67CAB" w:rsidRPr="00E414BF">
      <w:rPr>
        <w:rFonts w:ascii="SimSun" w:hAnsi="SimSun"/>
        <w:sz w:val="21"/>
      </w:rPr>
      <w:fldChar w:fldCharType="separate"/>
    </w:r>
    <w:r w:rsidR="007E0398">
      <w:rPr>
        <w:rFonts w:ascii="SimSun" w:hAnsi="SimSun"/>
        <w:noProof/>
        <w:sz w:val="21"/>
        <w:lang w:val="fr-FR"/>
      </w:rPr>
      <w:t>3</w:t>
    </w:r>
    <w:r w:rsidR="00F67CAB" w:rsidRPr="00E414BF">
      <w:rPr>
        <w:rFonts w:ascii="SimSun" w:hAnsi="SimSun"/>
        <w:sz w:val="21"/>
      </w:rPr>
      <w:fldChar w:fldCharType="end"/>
    </w:r>
    <w:r w:rsidRPr="00E414BF">
      <w:rPr>
        <w:rFonts w:ascii="SimSun" w:hAnsi="SimSun" w:hint="eastAsia"/>
        <w:sz w:val="21"/>
      </w:rPr>
      <w:t>页</w:t>
    </w:r>
  </w:p>
  <w:p w:rsidR="00F67CAB" w:rsidRPr="00E414BF" w:rsidRDefault="00F67CAB" w:rsidP="00332680">
    <w:pPr>
      <w:jc w:val="right"/>
      <w:rPr>
        <w:rFonts w:ascii="SimSun" w:hAnsi="SimSun"/>
        <w:sz w:val="21"/>
        <w:lang w:val="fr-FR"/>
      </w:rPr>
    </w:pPr>
  </w:p>
  <w:p w:rsidR="00F67CAB" w:rsidRPr="00E414BF" w:rsidRDefault="00F67CAB" w:rsidP="00332680">
    <w:pPr>
      <w:jc w:val="right"/>
      <w:rPr>
        <w:rFonts w:ascii="SimSun" w:hAnsi="SimSun"/>
        <w:sz w:val="21"/>
        <w:lang w:val="fr-F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CAB" w:rsidRPr="00E414BF" w:rsidRDefault="00F67CAB" w:rsidP="00C948D8">
    <w:pPr>
      <w:jc w:val="right"/>
      <w:rPr>
        <w:rFonts w:ascii="SimSun" w:hAnsi="SimSun"/>
        <w:sz w:val="21"/>
      </w:rPr>
    </w:pPr>
    <w:r w:rsidRPr="00E414BF">
      <w:rPr>
        <w:rFonts w:ascii="SimSun" w:hAnsi="SimSun"/>
        <w:sz w:val="21"/>
      </w:rPr>
      <w:t>WO/PBC/23/8</w:t>
    </w:r>
  </w:p>
  <w:p w:rsidR="00F67CAB" w:rsidRPr="00E414BF" w:rsidRDefault="00E414BF" w:rsidP="00C948D8">
    <w:pPr>
      <w:pStyle w:val="a8"/>
      <w:jc w:val="right"/>
      <w:rPr>
        <w:rFonts w:ascii="SimSun" w:hAnsi="SimSun"/>
        <w:sz w:val="21"/>
      </w:rPr>
    </w:pPr>
    <w:r w:rsidRPr="00E414BF">
      <w:rPr>
        <w:rFonts w:ascii="SimSun" w:hAnsi="SimSun" w:hint="eastAsia"/>
        <w:sz w:val="21"/>
      </w:rPr>
      <w:t>附件二</w:t>
    </w:r>
  </w:p>
  <w:p w:rsidR="00F67CAB" w:rsidRPr="00E414BF" w:rsidRDefault="00F67CAB" w:rsidP="00C948D8">
    <w:pPr>
      <w:pStyle w:val="a8"/>
      <w:jc w:val="right"/>
      <w:rPr>
        <w:rFonts w:ascii="SimSun" w:hAnsi="SimSun"/>
        <w:sz w:val="21"/>
      </w:rPr>
    </w:pPr>
  </w:p>
  <w:p w:rsidR="00E414BF" w:rsidRPr="00E414BF" w:rsidRDefault="00E414BF" w:rsidP="00C948D8">
    <w:pPr>
      <w:pStyle w:val="a8"/>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665A8"/>
    <w:multiLevelType w:val="multilevel"/>
    <w:tmpl w:val="4290E3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4167E43"/>
    <w:multiLevelType w:val="hybridMultilevel"/>
    <w:tmpl w:val="28CA2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CC321D"/>
    <w:multiLevelType w:val="hybridMultilevel"/>
    <w:tmpl w:val="3C223846"/>
    <w:lvl w:ilvl="0" w:tplc="0172AF8C">
      <w:start w:val="1"/>
      <w:numFmt w:val="lowerRoman"/>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7131D0A"/>
    <w:multiLevelType w:val="hybridMultilevel"/>
    <w:tmpl w:val="7DD25286"/>
    <w:lvl w:ilvl="0" w:tplc="2EF0338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4263D1"/>
    <w:multiLevelType w:val="hybridMultilevel"/>
    <w:tmpl w:val="C3A6530A"/>
    <w:lvl w:ilvl="0" w:tplc="4B1826D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0BA564C"/>
    <w:multiLevelType w:val="hybridMultilevel"/>
    <w:tmpl w:val="C2084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8927C0"/>
    <w:multiLevelType w:val="hybridMultilevel"/>
    <w:tmpl w:val="3432F0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234ACD"/>
    <w:multiLevelType w:val="hybridMultilevel"/>
    <w:tmpl w:val="D6389A70"/>
    <w:lvl w:ilvl="0" w:tplc="D82C90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962E11"/>
    <w:multiLevelType w:val="hybridMultilevel"/>
    <w:tmpl w:val="F0F6D5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DC42773"/>
    <w:multiLevelType w:val="hybridMultilevel"/>
    <w:tmpl w:val="14C8835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E88099C"/>
    <w:multiLevelType w:val="hybridMultilevel"/>
    <w:tmpl w:val="9F68C1BA"/>
    <w:lvl w:ilvl="0" w:tplc="0409000F">
      <w:start w:val="1"/>
      <w:numFmt w:val="decimal"/>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2">
    <w:nsid w:val="22670310"/>
    <w:multiLevelType w:val="hybridMultilevel"/>
    <w:tmpl w:val="F08A8A2C"/>
    <w:lvl w:ilvl="0" w:tplc="6F9C24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72E4262"/>
    <w:multiLevelType w:val="hybridMultilevel"/>
    <w:tmpl w:val="C0A8A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50297A"/>
    <w:multiLevelType w:val="hybridMultilevel"/>
    <w:tmpl w:val="4614F29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FBC6BF7"/>
    <w:multiLevelType w:val="hybridMultilevel"/>
    <w:tmpl w:val="26200A14"/>
    <w:lvl w:ilvl="0" w:tplc="7514FB6C">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37F4755"/>
    <w:multiLevelType w:val="hybridMultilevel"/>
    <w:tmpl w:val="BA9212FE"/>
    <w:lvl w:ilvl="0" w:tplc="0409000F">
      <w:start w:val="10"/>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361D1A"/>
    <w:multiLevelType w:val="hybridMultilevel"/>
    <w:tmpl w:val="79D2F09E"/>
    <w:lvl w:ilvl="0" w:tplc="4FC0DC50">
      <w:start w:val="12"/>
      <w:numFmt w:val="decimal"/>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18">
    <w:nsid w:val="368A7C67"/>
    <w:multiLevelType w:val="hybridMultilevel"/>
    <w:tmpl w:val="A3D49114"/>
    <w:lvl w:ilvl="0" w:tplc="988815E0">
      <w:start w:val="1"/>
      <w:numFmt w:val="lowerRoman"/>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9">
    <w:nsid w:val="37FB57F9"/>
    <w:multiLevelType w:val="hybridMultilevel"/>
    <w:tmpl w:val="28BE614A"/>
    <w:lvl w:ilvl="0" w:tplc="70B06C8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B1F467C"/>
    <w:multiLevelType w:val="hybridMultilevel"/>
    <w:tmpl w:val="7EC61026"/>
    <w:lvl w:ilvl="0" w:tplc="5518DE2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42D22C5E"/>
    <w:multiLevelType w:val="hybridMultilevel"/>
    <w:tmpl w:val="B97AFB9A"/>
    <w:lvl w:ilvl="0" w:tplc="BB401EE0">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4DAB6061"/>
    <w:multiLevelType w:val="hybridMultilevel"/>
    <w:tmpl w:val="D03C483E"/>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EBC534F"/>
    <w:multiLevelType w:val="hybridMultilevel"/>
    <w:tmpl w:val="3BE8AB5E"/>
    <w:lvl w:ilvl="0" w:tplc="E0FEED2C">
      <w:start w:val="9"/>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4">
    <w:nsid w:val="5C9C0F03"/>
    <w:multiLevelType w:val="hybridMultilevel"/>
    <w:tmpl w:val="B7D617AA"/>
    <w:lvl w:ilvl="0" w:tplc="0409000F">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927414"/>
    <w:multiLevelType w:val="hybridMultilevel"/>
    <w:tmpl w:val="C20841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1EF5018"/>
    <w:multiLevelType w:val="hybridMultilevel"/>
    <w:tmpl w:val="26200A14"/>
    <w:lvl w:ilvl="0" w:tplc="7514FB6C">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63551097"/>
    <w:multiLevelType w:val="hybridMultilevel"/>
    <w:tmpl w:val="25349C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BE7C6D"/>
    <w:multiLevelType w:val="hybridMultilevel"/>
    <w:tmpl w:val="164EFE3C"/>
    <w:lvl w:ilvl="0" w:tplc="7C428C4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3612E0C"/>
    <w:multiLevelType w:val="hybridMultilevel"/>
    <w:tmpl w:val="650259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1C7CA0"/>
    <w:multiLevelType w:val="hybridMultilevel"/>
    <w:tmpl w:val="B95A629E"/>
    <w:lvl w:ilvl="0" w:tplc="A704C2F4">
      <w:start w:val="1"/>
      <w:numFmt w:val="lowerRoman"/>
      <w:lvlText w:val="(%1)"/>
      <w:lvlJc w:val="left"/>
      <w:pPr>
        <w:ind w:left="1440" w:hanging="720"/>
      </w:pPr>
      <w:rPr>
        <w:rFonts w:hint="default"/>
        <w:i/>
        <w:color w:val="008000"/>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1">
    <w:nsid w:val="7A420EB9"/>
    <w:multiLevelType w:val="hybridMultilevel"/>
    <w:tmpl w:val="F08A8A2C"/>
    <w:lvl w:ilvl="0" w:tplc="6F9C24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4"/>
  </w:num>
  <w:num w:numId="3">
    <w:abstractNumId w:val="8"/>
  </w:num>
  <w:num w:numId="4">
    <w:abstractNumId w:val="13"/>
  </w:num>
  <w:num w:numId="5">
    <w:abstractNumId w:val="9"/>
  </w:num>
  <w:num w:numId="6">
    <w:abstractNumId w:val="22"/>
  </w:num>
  <w:num w:numId="7">
    <w:abstractNumId w:val="11"/>
  </w:num>
  <w:num w:numId="8">
    <w:abstractNumId w:val="23"/>
  </w:num>
  <w:num w:numId="9">
    <w:abstractNumId w:val="1"/>
  </w:num>
  <w:num w:numId="10">
    <w:abstractNumId w:val="29"/>
  </w:num>
  <w:num w:numId="11">
    <w:abstractNumId w:val="24"/>
  </w:num>
  <w:num w:numId="12">
    <w:abstractNumId w:val="16"/>
  </w:num>
  <w:num w:numId="13">
    <w:abstractNumId w:val="17"/>
  </w:num>
  <w:num w:numId="14">
    <w:abstractNumId w:val="6"/>
  </w:num>
  <w:num w:numId="15">
    <w:abstractNumId w:val="4"/>
  </w:num>
  <w:num w:numId="16">
    <w:abstractNumId w:val="19"/>
  </w:num>
  <w:num w:numId="17">
    <w:abstractNumId w:val="10"/>
  </w:num>
  <w:num w:numId="18">
    <w:abstractNumId w:val="27"/>
  </w:num>
  <w:num w:numId="19">
    <w:abstractNumId w:val="25"/>
  </w:num>
  <w:num w:numId="20">
    <w:abstractNumId w:val="0"/>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31"/>
  </w:num>
  <w:num w:numId="24">
    <w:abstractNumId w:val="5"/>
  </w:num>
  <w:num w:numId="25">
    <w:abstractNumId w:val="20"/>
  </w:num>
  <w:num w:numId="26">
    <w:abstractNumId w:val="28"/>
  </w:num>
  <w:num w:numId="27">
    <w:abstractNumId w:val="15"/>
  </w:num>
  <w:num w:numId="28">
    <w:abstractNumId w:val="21"/>
  </w:num>
  <w:num w:numId="29">
    <w:abstractNumId w:val="3"/>
  </w:num>
  <w:num w:numId="30">
    <w:abstractNumId w:val="3"/>
  </w:num>
  <w:num w:numId="31">
    <w:abstractNumId w:val="3"/>
  </w:num>
  <w:num w:numId="32">
    <w:abstractNumId w:val="3"/>
  </w:num>
  <w:num w:numId="33">
    <w:abstractNumId w:val="3"/>
  </w:num>
  <w:num w:numId="34">
    <w:abstractNumId w:val="3"/>
  </w:num>
  <w:num w:numId="35">
    <w:abstractNumId w:val="12"/>
  </w:num>
  <w:num w:numId="36">
    <w:abstractNumId w:val="26"/>
  </w:num>
  <w:num w:numId="37">
    <w:abstractNumId w:val="30"/>
  </w:num>
  <w:num w:numId="38">
    <w:abstractNumId w:val="2"/>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568"/>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zho"/>
    <w:docVar w:name="TermBases" w:val="WebsiteTerms|AT.WIPO|PreTradBeta|WIPONew"/>
    <w:docVar w:name="TermBaseURL" w:val="empty"/>
    <w:docVar w:name="TextBases" w:val="Team Server TMs\Default|TextBase TMs\Administrative\Meetings|TextBase TMs\Administrative\Other|TextBase TMs\Administrative\Publications|TextBase TMs\Budget and Finance\Meetings|TextBase TMs\Budget and Finance\Other|TextBase TMs\Budget and Finance\Publications|TextBase TMs\Copyright\Meetings|TextBase TMs\Copyright\Other|TextBase TMs\Copyright\Publications|TextBase TMs\Glossaries\EN-ZH|TextBase TMs\IP in General\Academy|TextBase TMs\IP in General\Arbitration and Mediation|TextBase TMs\IP in General\Meetings|TextBase TMs\IP in General\Other|TextBase TMs\IP in General\Press Room|TextBase TMs\IP in General\Publications|TextBase TMs\IP in General\SpeechDG2014|TextBase TMs\Patents\Meetings|TextBase TMs\Patents\Other|TextBase TMs\Patents\Publications|TextBase TMs\Trademarks\Meetings|TextBase TMs\Trademarks\Other|TextBase TMs\Trademarks\Publications|TextBase TMs\Treaties\Model Laws|TextBase TMs\Treaties\Other Laws and Agreements|TextBase TMs\Treaties\WIPO-administered|TextBase TMs\UPOV\Meetings|TextBase TMs\UPOV\Other|TextBase TMs\UPOV\Publications|TextBase TMs\UPOV\Technical Guidelines|TextBase TMs\WorkspaceCTS\EN-ZH\Budget and Finance\Meetings|TextBase TMs\WorkspaceCTS\EN-ZH\IP in General\Meetings|TextBase TMs\WorkspaceCTS\Test|TextBase TMs\WorkspaceCTS\Trademark_Meetings|TextBase TMs\WorkspaceCTS\Trademarks|TextBase TMs\WorkspaceCTS\wo_pbc-zhou"/>
    <w:docVar w:name="TextBaseURL" w:val="empty"/>
    <w:docVar w:name="UILng" w:val="en"/>
  </w:docVars>
  <w:rsids>
    <w:rsidRoot w:val="00F35DA8"/>
    <w:rsid w:val="000108BA"/>
    <w:rsid w:val="000109EE"/>
    <w:rsid w:val="000150C1"/>
    <w:rsid w:val="000275C8"/>
    <w:rsid w:val="0003078F"/>
    <w:rsid w:val="0003109F"/>
    <w:rsid w:val="000351B9"/>
    <w:rsid w:val="00051B94"/>
    <w:rsid w:val="0006111A"/>
    <w:rsid w:val="00073674"/>
    <w:rsid w:val="000826EC"/>
    <w:rsid w:val="00086042"/>
    <w:rsid w:val="00086957"/>
    <w:rsid w:val="000A14B5"/>
    <w:rsid w:val="000A50DF"/>
    <w:rsid w:val="000B7A0E"/>
    <w:rsid w:val="000C2C41"/>
    <w:rsid w:val="000D2B8E"/>
    <w:rsid w:val="000D4ACD"/>
    <w:rsid w:val="000D4B95"/>
    <w:rsid w:val="000D6F04"/>
    <w:rsid w:val="000E00A3"/>
    <w:rsid w:val="000E4E10"/>
    <w:rsid w:val="000E76F4"/>
    <w:rsid w:val="00106225"/>
    <w:rsid w:val="001101E8"/>
    <w:rsid w:val="00114F86"/>
    <w:rsid w:val="00126748"/>
    <w:rsid w:val="001319BC"/>
    <w:rsid w:val="00132D21"/>
    <w:rsid w:val="00133A74"/>
    <w:rsid w:val="001349EE"/>
    <w:rsid w:val="00134EF2"/>
    <w:rsid w:val="001416EA"/>
    <w:rsid w:val="00143E28"/>
    <w:rsid w:val="00144999"/>
    <w:rsid w:val="001471F5"/>
    <w:rsid w:val="00157063"/>
    <w:rsid w:val="001622CC"/>
    <w:rsid w:val="00166D99"/>
    <w:rsid w:val="00167405"/>
    <w:rsid w:val="001705BB"/>
    <w:rsid w:val="00177882"/>
    <w:rsid w:val="00181283"/>
    <w:rsid w:val="00184D33"/>
    <w:rsid w:val="001850B4"/>
    <w:rsid w:val="00193A2C"/>
    <w:rsid w:val="001A0EC4"/>
    <w:rsid w:val="001A18DE"/>
    <w:rsid w:val="001A1E5C"/>
    <w:rsid w:val="001A3402"/>
    <w:rsid w:val="001B0465"/>
    <w:rsid w:val="001B6E6C"/>
    <w:rsid w:val="001C5192"/>
    <w:rsid w:val="001D15A0"/>
    <w:rsid w:val="001D1CE0"/>
    <w:rsid w:val="001D5EE3"/>
    <w:rsid w:val="001D6678"/>
    <w:rsid w:val="001D6B5B"/>
    <w:rsid w:val="001E5CDA"/>
    <w:rsid w:val="001E7021"/>
    <w:rsid w:val="001F70A9"/>
    <w:rsid w:val="0022023C"/>
    <w:rsid w:val="00225766"/>
    <w:rsid w:val="00225F6B"/>
    <w:rsid w:val="00226550"/>
    <w:rsid w:val="00233685"/>
    <w:rsid w:val="00240818"/>
    <w:rsid w:val="00257E49"/>
    <w:rsid w:val="0026109A"/>
    <w:rsid w:val="00261CE5"/>
    <w:rsid w:val="00276530"/>
    <w:rsid w:val="002861CD"/>
    <w:rsid w:val="002869F5"/>
    <w:rsid w:val="00295B42"/>
    <w:rsid w:val="002A241F"/>
    <w:rsid w:val="002A4C3F"/>
    <w:rsid w:val="002A5439"/>
    <w:rsid w:val="002B164F"/>
    <w:rsid w:val="002C61D3"/>
    <w:rsid w:val="002D3DC6"/>
    <w:rsid w:val="002D65A7"/>
    <w:rsid w:val="002E1912"/>
    <w:rsid w:val="002E2D6D"/>
    <w:rsid w:val="002E3718"/>
    <w:rsid w:val="002E5CC8"/>
    <w:rsid w:val="002E72EC"/>
    <w:rsid w:val="002F25C9"/>
    <w:rsid w:val="002F7648"/>
    <w:rsid w:val="00300ACF"/>
    <w:rsid w:val="00301B47"/>
    <w:rsid w:val="00306E16"/>
    <w:rsid w:val="0031468B"/>
    <w:rsid w:val="00316A4A"/>
    <w:rsid w:val="003212E5"/>
    <w:rsid w:val="00322E5E"/>
    <w:rsid w:val="00323521"/>
    <w:rsid w:val="00332680"/>
    <w:rsid w:val="00340C1E"/>
    <w:rsid w:val="003421D9"/>
    <w:rsid w:val="00344807"/>
    <w:rsid w:val="00344D5D"/>
    <w:rsid w:val="003500B2"/>
    <w:rsid w:val="00353451"/>
    <w:rsid w:val="00357515"/>
    <w:rsid w:val="00365E6E"/>
    <w:rsid w:val="00374A8E"/>
    <w:rsid w:val="00385956"/>
    <w:rsid w:val="00396A4C"/>
    <w:rsid w:val="003A57B4"/>
    <w:rsid w:val="003A57EA"/>
    <w:rsid w:val="003B1FEA"/>
    <w:rsid w:val="003B4559"/>
    <w:rsid w:val="003B67BB"/>
    <w:rsid w:val="003C2320"/>
    <w:rsid w:val="003C3382"/>
    <w:rsid w:val="003D0A6C"/>
    <w:rsid w:val="003E2630"/>
    <w:rsid w:val="003E3BCE"/>
    <w:rsid w:val="0040388C"/>
    <w:rsid w:val="004077E4"/>
    <w:rsid w:val="00421ED4"/>
    <w:rsid w:val="00430142"/>
    <w:rsid w:val="0043390A"/>
    <w:rsid w:val="00461D90"/>
    <w:rsid w:val="00463BA9"/>
    <w:rsid w:val="0047580B"/>
    <w:rsid w:val="004801A2"/>
    <w:rsid w:val="00483ECC"/>
    <w:rsid w:val="00484CF4"/>
    <w:rsid w:val="0049357E"/>
    <w:rsid w:val="004969E0"/>
    <w:rsid w:val="00497A16"/>
    <w:rsid w:val="00497C82"/>
    <w:rsid w:val="004B1B28"/>
    <w:rsid w:val="004B7A31"/>
    <w:rsid w:val="004D0064"/>
    <w:rsid w:val="004D5B56"/>
    <w:rsid w:val="004E6B84"/>
    <w:rsid w:val="004F02C3"/>
    <w:rsid w:val="004F2138"/>
    <w:rsid w:val="004F3BEA"/>
    <w:rsid w:val="004F65C2"/>
    <w:rsid w:val="005012C3"/>
    <w:rsid w:val="00517A1C"/>
    <w:rsid w:val="005247AA"/>
    <w:rsid w:val="0052730E"/>
    <w:rsid w:val="005322EA"/>
    <w:rsid w:val="00533345"/>
    <w:rsid w:val="005426B8"/>
    <w:rsid w:val="00543C94"/>
    <w:rsid w:val="00544FC4"/>
    <w:rsid w:val="0054780D"/>
    <w:rsid w:val="00550E5F"/>
    <w:rsid w:val="00553059"/>
    <w:rsid w:val="00564713"/>
    <w:rsid w:val="005673F4"/>
    <w:rsid w:val="00586AFC"/>
    <w:rsid w:val="00590B24"/>
    <w:rsid w:val="005A377E"/>
    <w:rsid w:val="005C13EC"/>
    <w:rsid w:val="005C1890"/>
    <w:rsid w:val="005C260B"/>
    <w:rsid w:val="005D1C1B"/>
    <w:rsid w:val="005E2D65"/>
    <w:rsid w:val="005E4A12"/>
    <w:rsid w:val="005F1C80"/>
    <w:rsid w:val="005F1DB8"/>
    <w:rsid w:val="00602195"/>
    <w:rsid w:val="00604A7D"/>
    <w:rsid w:val="00615B12"/>
    <w:rsid w:val="00617870"/>
    <w:rsid w:val="00622E29"/>
    <w:rsid w:val="0063227D"/>
    <w:rsid w:val="00632562"/>
    <w:rsid w:val="00634806"/>
    <w:rsid w:val="006405E5"/>
    <w:rsid w:val="00643B81"/>
    <w:rsid w:val="00644DE4"/>
    <w:rsid w:val="0065309E"/>
    <w:rsid w:val="00655FD7"/>
    <w:rsid w:val="006639A8"/>
    <w:rsid w:val="00671AF4"/>
    <w:rsid w:val="00681321"/>
    <w:rsid w:val="00681B6C"/>
    <w:rsid w:val="006909E1"/>
    <w:rsid w:val="00692EBE"/>
    <w:rsid w:val="006A1CB3"/>
    <w:rsid w:val="006A332A"/>
    <w:rsid w:val="006A6932"/>
    <w:rsid w:val="006B094B"/>
    <w:rsid w:val="006B0B8E"/>
    <w:rsid w:val="006C06FC"/>
    <w:rsid w:val="006C1064"/>
    <w:rsid w:val="006D0067"/>
    <w:rsid w:val="006D702B"/>
    <w:rsid w:val="006F458A"/>
    <w:rsid w:val="006F6FD7"/>
    <w:rsid w:val="007100DD"/>
    <w:rsid w:val="00717625"/>
    <w:rsid w:val="0072590B"/>
    <w:rsid w:val="0072593D"/>
    <w:rsid w:val="00727DDA"/>
    <w:rsid w:val="007329C7"/>
    <w:rsid w:val="007420EC"/>
    <w:rsid w:val="00744FC4"/>
    <w:rsid w:val="00746AAC"/>
    <w:rsid w:val="00747415"/>
    <w:rsid w:val="00756C06"/>
    <w:rsid w:val="00761632"/>
    <w:rsid w:val="00765E02"/>
    <w:rsid w:val="007703D8"/>
    <w:rsid w:val="00770864"/>
    <w:rsid w:val="00772904"/>
    <w:rsid w:val="0077582D"/>
    <w:rsid w:val="00776CC1"/>
    <w:rsid w:val="0078485E"/>
    <w:rsid w:val="0078770B"/>
    <w:rsid w:val="00787BA8"/>
    <w:rsid w:val="007A3594"/>
    <w:rsid w:val="007B1C01"/>
    <w:rsid w:val="007B5544"/>
    <w:rsid w:val="007B662D"/>
    <w:rsid w:val="007C0ED2"/>
    <w:rsid w:val="007C1D29"/>
    <w:rsid w:val="007D0484"/>
    <w:rsid w:val="007D104B"/>
    <w:rsid w:val="007D3203"/>
    <w:rsid w:val="007D51C1"/>
    <w:rsid w:val="007E0398"/>
    <w:rsid w:val="007E064C"/>
    <w:rsid w:val="007E3FFD"/>
    <w:rsid w:val="007F3F91"/>
    <w:rsid w:val="00806022"/>
    <w:rsid w:val="00813DC2"/>
    <w:rsid w:val="00816098"/>
    <w:rsid w:val="00830AFD"/>
    <w:rsid w:val="00835827"/>
    <w:rsid w:val="00843405"/>
    <w:rsid w:val="00846321"/>
    <w:rsid w:val="00854613"/>
    <w:rsid w:val="00854F30"/>
    <w:rsid w:val="00866DA8"/>
    <w:rsid w:val="008753A1"/>
    <w:rsid w:val="00887281"/>
    <w:rsid w:val="00887A86"/>
    <w:rsid w:val="00887B7B"/>
    <w:rsid w:val="00887E30"/>
    <w:rsid w:val="00893F8E"/>
    <w:rsid w:val="0089730A"/>
    <w:rsid w:val="008B0E5E"/>
    <w:rsid w:val="008B760D"/>
    <w:rsid w:val="008C586C"/>
    <w:rsid w:val="008D26DF"/>
    <w:rsid w:val="008D2FD1"/>
    <w:rsid w:val="008D4153"/>
    <w:rsid w:val="008D76DA"/>
    <w:rsid w:val="008F0503"/>
    <w:rsid w:val="008F07D7"/>
    <w:rsid w:val="008F7DDF"/>
    <w:rsid w:val="009009FA"/>
    <w:rsid w:val="00900E95"/>
    <w:rsid w:val="009024EC"/>
    <w:rsid w:val="009050F7"/>
    <w:rsid w:val="00905140"/>
    <w:rsid w:val="00911519"/>
    <w:rsid w:val="009203E9"/>
    <w:rsid w:val="009315F4"/>
    <w:rsid w:val="00933D8A"/>
    <w:rsid w:val="00934F96"/>
    <w:rsid w:val="00943062"/>
    <w:rsid w:val="009466D4"/>
    <w:rsid w:val="00951EAB"/>
    <w:rsid w:val="00954112"/>
    <w:rsid w:val="00960474"/>
    <w:rsid w:val="00960E69"/>
    <w:rsid w:val="009662C9"/>
    <w:rsid w:val="009744E0"/>
    <w:rsid w:val="00975A46"/>
    <w:rsid w:val="00980A62"/>
    <w:rsid w:val="00984D41"/>
    <w:rsid w:val="00993843"/>
    <w:rsid w:val="009A673B"/>
    <w:rsid w:val="009B77CB"/>
    <w:rsid w:val="009B7DFE"/>
    <w:rsid w:val="009C1B93"/>
    <w:rsid w:val="009E780F"/>
    <w:rsid w:val="009F297D"/>
    <w:rsid w:val="00A06116"/>
    <w:rsid w:val="00A272BD"/>
    <w:rsid w:val="00A27505"/>
    <w:rsid w:val="00A41BA7"/>
    <w:rsid w:val="00A50999"/>
    <w:rsid w:val="00A5638D"/>
    <w:rsid w:val="00A607AB"/>
    <w:rsid w:val="00A63710"/>
    <w:rsid w:val="00A74BD9"/>
    <w:rsid w:val="00A824CA"/>
    <w:rsid w:val="00A94682"/>
    <w:rsid w:val="00AA733A"/>
    <w:rsid w:val="00AB01E8"/>
    <w:rsid w:val="00AB3C82"/>
    <w:rsid w:val="00AC4090"/>
    <w:rsid w:val="00AD26A5"/>
    <w:rsid w:val="00AD7CB6"/>
    <w:rsid w:val="00AE3C04"/>
    <w:rsid w:val="00AF1A14"/>
    <w:rsid w:val="00AF1DA6"/>
    <w:rsid w:val="00B00DA7"/>
    <w:rsid w:val="00B02EDD"/>
    <w:rsid w:val="00B053C1"/>
    <w:rsid w:val="00B14BAA"/>
    <w:rsid w:val="00B15F86"/>
    <w:rsid w:val="00B17919"/>
    <w:rsid w:val="00B23DD8"/>
    <w:rsid w:val="00B25B05"/>
    <w:rsid w:val="00B33A19"/>
    <w:rsid w:val="00B36FD0"/>
    <w:rsid w:val="00B4793A"/>
    <w:rsid w:val="00B50790"/>
    <w:rsid w:val="00B50C08"/>
    <w:rsid w:val="00B53DAD"/>
    <w:rsid w:val="00B546A4"/>
    <w:rsid w:val="00B5484A"/>
    <w:rsid w:val="00B75B15"/>
    <w:rsid w:val="00B77A08"/>
    <w:rsid w:val="00B820D2"/>
    <w:rsid w:val="00B82951"/>
    <w:rsid w:val="00B8483B"/>
    <w:rsid w:val="00B90E40"/>
    <w:rsid w:val="00B917FC"/>
    <w:rsid w:val="00B921B8"/>
    <w:rsid w:val="00B9338F"/>
    <w:rsid w:val="00B950DF"/>
    <w:rsid w:val="00BC359C"/>
    <w:rsid w:val="00BD5313"/>
    <w:rsid w:val="00BE7580"/>
    <w:rsid w:val="00BF1DA0"/>
    <w:rsid w:val="00BF76F0"/>
    <w:rsid w:val="00BF7B83"/>
    <w:rsid w:val="00C0178F"/>
    <w:rsid w:val="00C053C1"/>
    <w:rsid w:val="00C20A9A"/>
    <w:rsid w:val="00C301CD"/>
    <w:rsid w:val="00C33D9B"/>
    <w:rsid w:val="00C3714C"/>
    <w:rsid w:val="00C40B10"/>
    <w:rsid w:val="00C41136"/>
    <w:rsid w:val="00C4154F"/>
    <w:rsid w:val="00C425BC"/>
    <w:rsid w:val="00C435FF"/>
    <w:rsid w:val="00C52783"/>
    <w:rsid w:val="00C54EEF"/>
    <w:rsid w:val="00C66330"/>
    <w:rsid w:val="00C66731"/>
    <w:rsid w:val="00C667C6"/>
    <w:rsid w:val="00C74AB7"/>
    <w:rsid w:val="00C75ADC"/>
    <w:rsid w:val="00C948D8"/>
    <w:rsid w:val="00CA0DD1"/>
    <w:rsid w:val="00CA3F3F"/>
    <w:rsid w:val="00CB30F6"/>
    <w:rsid w:val="00CB4ECE"/>
    <w:rsid w:val="00CC360D"/>
    <w:rsid w:val="00CC5C7C"/>
    <w:rsid w:val="00CD1435"/>
    <w:rsid w:val="00CD20B0"/>
    <w:rsid w:val="00CD3300"/>
    <w:rsid w:val="00CE05D9"/>
    <w:rsid w:val="00CE4B03"/>
    <w:rsid w:val="00D07ECB"/>
    <w:rsid w:val="00D17541"/>
    <w:rsid w:val="00D21036"/>
    <w:rsid w:val="00D21794"/>
    <w:rsid w:val="00D258BB"/>
    <w:rsid w:val="00D2665D"/>
    <w:rsid w:val="00D323E4"/>
    <w:rsid w:val="00D360C3"/>
    <w:rsid w:val="00D3650E"/>
    <w:rsid w:val="00D4459D"/>
    <w:rsid w:val="00D501A1"/>
    <w:rsid w:val="00D54CA0"/>
    <w:rsid w:val="00D57B77"/>
    <w:rsid w:val="00D60490"/>
    <w:rsid w:val="00D6091A"/>
    <w:rsid w:val="00D61461"/>
    <w:rsid w:val="00D62055"/>
    <w:rsid w:val="00D62C89"/>
    <w:rsid w:val="00D6657F"/>
    <w:rsid w:val="00D707CE"/>
    <w:rsid w:val="00D73DD9"/>
    <w:rsid w:val="00D82AF7"/>
    <w:rsid w:val="00DA6914"/>
    <w:rsid w:val="00DB48D9"/>
    <w:rsid w:val="00DC14C3"/>
    <w:rsid w:val="00DD02E1"/>
    <w:rsid w:val="00DF4779"/>
    <w:rsid w:val="00E00BA8"/>
    <w:rsid w:val="00E01A62"/>
    <w:rsid w:val="00E04A4A"/>
    <w:rsid w:val="00E071F1"/>
    <w:rsid w:val="00E15785"/>
    <w:rsid w:val="00E21523"/>
    <w:rsid w:val="00E30BCA"/>
    <w:rsid w:val="00E414BF"/>
    <w:rsid w:val="00E43DC9"/>
    <w:rsid w:val="00E45216"/>
    <w:rsid w:val="00E54AC3"/>
    <w:rsid w:val="00E568FC"/>
    <w:rsid w:val="00E624E0"/>
    <w:rsid w:val="00E66589"/>
    <w:rsid w:val="00E6713B"/>
    <w:rsid w:val="00E7684E"/>
    <w:rsid w:val="00E81DE1"/>
    <w:rsid w:val="00E85878"/>
    <w:rsid w:val="00E86A77"/>
    <w:rsid w:val="00E91772"/>
    <w:rsid w:val="00E917EE"/>
    <w:rsid w:val="00E96C8A"/>
    <w:rsid w:val="00EA2737"/>
    <w:rsid w:val="00EA7CFA"/>
    <w:rsid w:val="00EB00ED"/>
    <w:rsid w:val="00EB136B"/>
    <w:rsid w:val="00EB4F8F"/>
    <w:rsid w:val="00EB63DA"/>
    <w:rsid w:val="00EC0A8E"/>
    <w:rsid w:val="00EC639E"/>
    <w:rsid w:val="00EC6537"/>
    <w:rsid w:val="00ED334E"/>
    <w:rsid w:val="00EE253E"/>
    <w:rsid w:val="00EE6A68"/>
    <w:rsid w:val="00EE6B1E"/>
    <w:rsid w:val="00EF1CBC"/>
    <w:rsid w:val="00EF2945"/>
    <w:rsid w:val="00F03EAF"/>
    <w:rsid w:val="00F076D6"/>
    <w:rsid w:val="00F1074E"/>
    <w:rsid w:val="00F10CC0"/>
    <w:rsid w:val="00F1101E"/>
    <w:rsid w:val="00F3080D"/>
    <w:rsid w:val="00F328D4"/>
    <w:rsid w:val="00F35DA8"/>
    <w:rsid w:val="00F47C31"/>
    <w:rsid w:val="00F67CAB"/>
    <w:rsid w:val="00F707B6"/>
    <w:rsid w:val="00F71625"/>
    <w:rsid w:val="00F81E8D"/>
    <w:rsid w:val="00F9196B"/>
    <w:rsid w:val="00F97E8A"/>
    <w:rsid w:val="00FA6287"/>
    <w:rsid w:val="00FB0953"/>
    <w:rsid w:val="00FB26A9"/>
    <w:rsid w:val="00FB39F7"/>
    <w:rsid w:val="00FC2793"/>
    <w:rsid w:val="00FC485D"/>
    <w:rsid w:val="00FC5267"/>
    <w:rsid w:val="00FC5470"/>
    <w:rsid w:val="00FC713D"/>
    <w:rsid w:val="00FD5ED8"/>
    <w:rsid w:val="00FE19F9"/>
    <w:rsid w:val="00FE1E58"/>
    <w:rsid w:val="00FE44F8"/>
    <w:rsid w:val="00FF7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DA8"/>
    <w:pPr>
      <w:spacing w:after="0" w:line="240" w:lineRule="auto"/>
    </w:pPr>
    <w:rPr>
      <w:rFonts w:ascii="Arial" w:eastAsia="SimSun" w:hAnsi="Arial" w:cs="Arial"/>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F35DA8"/>
    <w:pPr>
      <w:tabs>
        <w:tab w:val="center" w:pos="4320"/>
        <w:tab w:val="right" w:pos="8640"/>
      </w:tabs>
    </w:pPr>
  </w:style>
  <w:style w:type="character" w:customStyle="1" w:styleId="Char">
    <w:name w:val="页脚 Char"/>
    <w:basedOn w:val="a0"/>
    <w:link w:val="a3"/>
    <w:rsid w:val="00F35DA8"/>
    <w:rPr>
      <w:rFonts w:ascii="Arial" w:eastAsia="SimSun" w:hAnsi="Arial" w:cs="Arial"/>
      <w:szCs w:val="20"/>
      <w:lang w:eastAsia="zh-CN"/>
    </w:rPr>
  </w:style>
  <w:style w:type="paragraph" w:customStyle="1" w:styleId="ONUME">
    <w:name w:val="ONUM E"/>
    <w:basedOn w:val="a4"/>
    <w:link w:val="ONUMEChar"/>
    <w:rsid w:val="00F35DA8"/>
    <w:pPr>
      <w:spacing w:after="220"/>
    </w:pPr>
  </w:style>
  <w:style w:type="character" w:customStyle="1" w:styleId="ONUMEChar">
    <w:name w:val="ONUM E Char"/>
    <w:link w:val="ONUME"/>
    <w:rsid w:val="00F35DA8"/>
    <w:rPr>
      <w:rFonts w:ascii="Arial" w:eastAsia="SimSun" w:hAnsi="Arial" w:cs="Arial"/>
      <w:szCs w:val="20"/>
      <w:lang w:eastAsia="zh-CN"/>
    </w:rPr>
  </w:style>
  <w:style w:type="paragraph" w:styleId="a5">
    <w:name w:val="List Paragraph"/>
    <w:basedOn w:val="a"/>
    <w:uiPriority w:val="34"/>
    <w:qFormat/>
    <w:rsid w:val="00F35DA8"/>
    <w:pPr>
      <w:ind w:left="720"/>
      <w:contextualSpacing/>
    </w:pPr>
  </w:style>
  <w:style w:type="paragraph" w:customStyle="1" w:styleId="Endofdocument">
    <w:name w:val="End of document"/>
    <w:basedOn w:val="a"/>
    <w:rsid w:val="00F35DA8"/>
    <w:pPr>
      <w:spacing w:after="120" w:line="260" w:lineRule="atLeast"/>
      <w:ind w:left="5534"/>
    </w:pPr>
    <w:rPr>
      <w:rFonts w:eastAsia="Times New Roman" w:cs="Times New Roman"/>
      <w:sz w:val="20"/>
      <w:lang w:eastAsia="en-US"/>
    </w:rPr>
  </w:style>
  <w:style w:type="character" w:styleId="a6">
    <w:name w:val="page number"/>
    <w:basedOn w:val="a0"/>
    <w:rsid w:val="00F35DA8"/>
  </w:style>
  <w:style w:type="paragraph" w:styleId="a4">
    <w:name w:val="Body Text"/>
    <w:basedOn w:val="a"/>
    <w:link w:val="Char0"/>
    <w:uiPriority w:val="99"/>
    <w:semiHidden/>
    <w:unhideWhenUsed/>
    <w:rsid w:val="00F35DA8"/>
    <w:pPr>
      <w:spacing w:after="120"/>
    </w:pPr>
  </w:style>
  <w:style w:type="character" w:customStyle="1" w:styleId="Char0">
    <w:name w:val="正文文本 Char"/>
    <w:basedOn w:val="a0"/>
    <w:link w:val="a4"/>
    <w:uiPriority w:val="99"/>
    <w:semiHidden/>
    <w:rsid w:val="00F35DA8"/>
    <w:rPr>
      <w:rFonts w:ascii="Arial" w:eastAsia="SimSun" w:hAnsi="Arial" w:cs="Arial"/>
      <w:szCs w:val="20"/>
      <w:lang w:eastAsia="zh-CN"/>
    </w:rPr>
  </w:style>
  <w:style w:type="paragraph" w:styleId="a7">
    <w:name w:val="Balloon Text"/>
    <w:basedOn w:val="a"/>
    <w:link w:val="Char1"/>
    <w:uiPriority w:val="99"/>
    <w:semiHidden/>
    <w:unhideWhenUsed/>
    <w:rsid w:val="00F35DA8"/>
    <w:rPr>
      <w:rFonts w:ascii="Tahoma" w:hAnsi="Tahoma" w:cs="Tahoma"/>
      <w:sz w:val="16"/>
      <w:szCs w:val="16"/>
    </w:rPr>
  </w:style>
  <w:style w:type="character" w:customStyle="1" w:styleId="Char1">
    <w:name w:val="批注框文本 Char"/>
    <w:basedOn w:val="a0"/>
    <w:link w:val="a7"/>
    <w:uiPriority w:val="99"/>
    <w:semiHidden/>
    <w:rsid w:val="00F35DA8"/>
    <w:rPr>
      <w:rFonts w:ascii="Tahoma" w:eastAsia="SimSun" w:hAnsi="Tahoma" w:cs="Tahoma"/>
      <w:sz w:val="16"/>
      <w:szCs w:val="16"/>
      <w:lang w:eastAsia="zh-CN"/>
    </w:rPr>
  </w:style>
  <w:style w:type="paragraph" w:styleId="a8">
    <w:name w:val="header"/>
    <w:basedOn w:val="a"/>
    <w:link w:val="Char2"/>
    <w:uiPriority w:val="99"/>
    <w:unhideWhenUsed/>
    <w:rsid w:val="004D5B56"/>
    <w:pPr>
      <w:tabs>
        <w:tab w:val="center" w:pos="4680"/>
        <w:tab w:val="right" w:pos="9360"/>
      </w:tabs>
    </w:pPr>
  </w:style>
  <w:style w:type="character" w:customStyle="1" w:styleId="Char2">
    <w:name w:val="页眉 Char"/>
    <w:basedOn w:val="a0"/>
    <w:link w:val="a8"/>
    <w:uiPriority w:val="99"/>
    <w:rsid w:val="004D5B56"/>
    <w:rPr>
      <w:rFonts w:ascii="Arial" w:eastAsia="SimSun" w:hAnsi="Arial" w:cs="Arial"/>
      <w:szCs w:val="20"/>
      <w:lang w:eastAsia="zh-CN"/>
    </w:rPr>
  </w:style>
  <w:style w:type="paragraph" w:styleId="a9">
    <w:name w:val="annotation text"/>
    <w:basedOn w:val="a"/>
    <w:link w:val="Char3"/>
    <w:semiHidden/>
    <w:rsid w:val="00C3714C"/>
    <w:rPr>
      <w:sz w:val="18"/>
    </w:rPr>
  </w:style>
  <w:style w:type="character" w:customStyle="1" w:styleId="Char3">
    <w:name w:val="批注文字 Char"/>
    <w:basedOn w:val="a0"/>
    <w:link w:val="a9"/>
    <w:semiHidden/>
    <w:rsid w:val="00C3714C"/>
    <w:rPr>
      <w:rFonts w:ascii="Arial" w:eastAsia="SimSun" w:hAnsi="Arial" w:cs="Arial"/>
      <w:sz w:val="18"/>
      <w:szCs w:val="20"/>
      <w:lang w:eastAsia="zh-CN"/>
    </w:rPr>
  </w:style>
  <w:style w:type="paragraph" w:styleId="aa">
    <w:name w:val="footnote text"/>
    <w:basedOn w:val="a"/>
    <w:link w:val="Char4"/>
    <w:semiHidden/>
    <w:rsid w:val="00C3714C"/>
    <w:rPr>
      <w:sz w:val="18"/>
    </w:rPr>
  </w:style>
  <w:style w:type="character" w:customStyle="1" w:styleId="Char4">
    <w:name w:val="脚注文本 Char"/>
    <w:basedOn w:val="a0"/>
    <w:link w:val="aa"/>
    <w:semiHidden/>
    <w:rsid w:val="00C3714C"/>
    <w:rPr>
      <w:rFonts w:ascii="Arial" w:eastAsia="SimSun" w:hAnsi="Arial" w:cs="Arial"/>
      <w:sz w:val="18"/>
      <w:szCs w:val="20"/>
      <w:lang w:eastAsia="zh-CN"/>
    </w:rPr>
  </w:style>
  <w:style w:type="character" w:styleId="ab">
    <w:name w:val="footnote reference"/>
    <w:basedOn w:val="a0"/>
    <w:rsid w:val="00C3714C"/>
    <w:rPr>
      <w:vertAlign w:val="superscript"/>
    </w:rPr>
  </w:style>
  <w:style w:type="character" w:styleId="ac">
    <w:name w:val="Hyperlink"/>
    <w:basedOn w:val="a0"/>
    <w:rsid w:val="00C3714C"/>
    <w:rPr>
      <w:color w:val="003399"/>
      <w:u w:val="single"/>
    </w:rPr>
  </w:style>
  <w:style w:type="character" w:styleId="ad">
    <w:name w:val="annotation reference"/>
    <w:basedOn w:val="a0"/>
    <w:rsid w:val="00C3714C"/>
    <w:rPr>
      <w:sz w:val="16"/>
      <w:szCs w:val="16"/>
    </w:rPr>
  </w:style>
  <w:style w:type="paragraph" w:styleId="ae">
    <w:name w:val="annotation subject"/>
    <w:basedOn w:val="a9"/>
    <w:next w:val="a9"/>
    <w:link w:val="Char5"/>
    <w:uiPriority w:val="99"/>
    <w:semiHidden/>
    <w:unhideWhenUsed/>
    <w:rsid w:val="00484CF4"/>
    <w:rPr>
      <w:b/>
      <w:bCs/>
      <w:sz w:val="20"/>
    </w:rPr>
  </w:style>
  <w:style w:type="character" w:customStyle="1" w:styleId="Char5">
    <w:name w:val="批注主题 Char"/>
    <w:basedOn w:val="Char3"/>
    <w:link w:val="ae"/>
    <w:uiPriority w:val="99"/>
    <w:semiHidden/>
    <w:rsid w:val="00484CF4"/>
    <w:rPr>
      <w:rFonts w:ascii="Arial" w:eastAsia="SimSun" w:hAnsi="Arial" w:cs="Arial"/>
      <w:b/>
      <w:bCs/>
      <w:sz w:val="20"/>
      <w:szCs w:val="20"/>
      <w:lang w:eastAsia="zh-CN"/>
    </w:rPr>
  </w:style>
  <w:style w:type="paragraph" w:customStyle="1" w:styleId="Endofdocument-Annex">
    <w:name w:val="[End of document - Annex]"/>
    <w:basedOn w:val="a"/>
    <w:rsid w:val="001E5CDA"/>
    <w:pPr>
      <w:ind w:left="553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DA8"/>
    <w:pPr>
      <w:spacing w:after="0" w:line="240" w:lineRule="auto"/>
    </w:pPr>
    <w:rPr>
      <w:rFonts w:ascii="Arial" w:eastAsia="SimSun" w:hAnsi="Arial" w:cs="Arial"/>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F35DA8"/>
    <w:pPr>
      <w:tabs>
        <w:tab w:val="center" w:pos="4320"/>
        <w:tab w:val="right" w:pos="8640"/>
      </w:tabs>
    </w:pPr>
  </w:style>
  <w:style w:type="character" w:customStyle="1" w:styleId="Char">
    <w:name w:val="页脚 Char"/>
    <w:basedOn w:val="a0"/>
    <w:link w:val="a3"/>
    <w:rsid w:val="00F35DA8"/>
    <w:rPr>
      <w:rFonts w:ascii="Arial" w:eastAsia="SimSun" w:hAnsi="Arial" w:cs="Arial"/>
      <w:szCs w:val="20"/>
      <w:lang w:eastAsia="zh-CN"/>
    </w:rPr>
  </w:style>
  <w:style w:type="paragraph" w:customStyle="1" w:styleId="ONUME">
    <w:name w:val="ONUM E"/>
    <w:basedOn w:val="a4"/>
    <w:link w:val="ONUMEChar"/>
    <w:rsid w:val="00F35DA8"/>
    <w:pPr>
      <w:spacing w:after="220"/>
    </w:pPr>
  </w:style>
  <w:style w:type="character" w:customStyle="1" w:styleId="ONUMEChar">
    <w:name w:val="ONUM E Char"/>
    <w:link w:val="ONUME"/>
    <w:rsid w:val="00F35DA8"/>
    <w:rPr>
      <w:rFonts w:ascii="Arial" w:eastAsia="SimSun" w:hAnsi="Arial" w:cs="Arial"/>
      <w:szCs w:val="20"/>
      <w:lang w:eastAsia="zh-CN"/>
    </w:rPr>
  </w:style>
  <w:style w:type="paragraph" w:styleId="a5">
    <w:name w:val="List Paragraph"/>
    <w:basedOn w:val="a"/>
    <w:uiPriority w:val="34"/>
    <w:qFormat/>
    <w:rsid w:val="00F35DA8"/>
    <w:pPr>
      <w:ind w:left="720"/>
      <w:contextualSpacing/>
    </w:pPr>
  </w:style>
  <w:style w:type="paragraph" w:customStyle="1" w:styleId="Endofdocument">
    <w:name w:val="End of document"/>
    <w:basedOn w:val="a"/>
    <w:rsid w:val="00F35DA8"/>
    <w:pPr>
      <w:spacing w:after="120" w:line="260" w:lineRule="atLeast"/>
      <w:ind w:left="5534"/>
    </w:pPr>
    <w:rPr>
      <w:rFonts w:eastAsia="Times New Roman" w:cs="Times New Roman"/>
      <w:sz w:val="20"/>
      <w:lang w:eastAsia="en-US"/>
    </w:rPr>
  </w:style>
  <w:style w:type="character" w:styleId="a6">
    <w:name w:val="page number"/>
    <w:basedOn w:val="a0"/>
    <w:rsid w:val="00F35DA8"/>
  </w:style>
  <w:style w:type="paragraph" w:styleId="a4">
    <w:name w:val="Body Text"/>
    <w:basedOn w:val="a"/>
    <w:link w:val="Char0"/>
    <w:uiPriority w:val="99"/>
    <w:semiHidden/>
    <w:unhideWhenUsed/>
    <w:rsid w:val="00F35DA8"/>
    <w:pPr>
      <w:spacing w:after="120"/>
    </w:pPr>
  </w:style>
  <w:style w:type="character" w:customStyle="1" w:styleId="Char0">
    <w:name w:val="正文文本 Char"/>
    <w:basedOn w:val="a0"/>
    <w:link w:val="a4"/>
    <w:uiPriority w:val="99"/>
    <w:semiHidden/>
    <w:rsid w:val="00F35DA8"/>
    <w:rPr>
      <w:rFonts w:ascii="Arial" w:eastAsia="SimSun" w:hAnsi="Arial" w:cs="Arial"/>
      <w:szCs w:val="20"/>
      <w:lang w:eastAsia="zh-CN"/>
    </w:rPr>
  </w:style>
  <w:style w:type="paragraph" w:styleId="a7">
    <w:name w:val="Balloon Text"/>
    <w:basedOn w:val="a"/>
    <w:link w:val="Char1"/>
    <w:uiPriority w:val="99"/>
    <w:semiHidden/>
    <w:unhideWhenUsed/>
    <w:rsid w:val="00F35DA8"/>
    <w:rPr>
      <w:rFonts w:ascii="Tahoma" w:hAnsi="Tahoma" w:cs="Tahoma"/>
      <w:sz w:val="16"/>
      <w:szCs w:val="16"/>
    </w:rPr>
  </w:style>
  <w:style w:type="character" w:customStyle="1" w:styleId="Char1">
    <w:name w:val="批注框文本 Char"/>
    <w:basedOn w:val="a0"/>
    <w:link w:val="a7"/>
    <w:uiPriority w:val="99"/>
    <w:semiHidden/>
    <w:rsid w:val="00F35DA8"/>
    <w:rPr>
      <w:rFonts w:ascii="Tahoma" w:eastAsia="SimSun" w:hAnsi="Tahoma" w:cs="Tahoma"/>
      <w:sz w:val="16"/>
      <w:szCs w:val="16"/>
      <w:lang w:eastAsia="zh-CN"/>
    </w:rPr>
  </w:style>
  <w:style w:type="paragraph" w:styleId="a8">
    <w:name w:val="header"/>
    <w:basedOn w:val="a"/>
    <w:link w:val="Char2"/>
    <w:uiPriority w:val="99"/>
    <w:unhideWhenUsed/>
    <w:rsid w:val="004D5B56"/>
    <w:pPr>
      <w:tabs>
        <w:tab w:val="center" w:pos="4680"/>
        <w:tab w:val="right" w:pos="9360"/>
      </w:tabs>
    </w:pPr>
  </w:style>
  <w:style w:type="character" w:customStyle="1" w:styleId="Char2">
    <w:name w:val="页眉 Char"/>
    <w:basedOn w:val="a0"/>
    <w:link w:val="a8"/>
    <w:uiPriority w:val="99"/>
    <w:rsid w:val="004D5B56"/>
    <w:rPr>
      <w:rFonts w:ascii="Arial" w:eastAsia="SimSun" w:hAnsi="Arial" w:cs="Arial"/>
      <w:szCs w:val="20"/>
      <w:lang w:eastAsia="zh-CN"/>
    </w:rPr>
  </w:style>
  <w:style w:type="paragraph" w:styleId="a9">
    <w:name w:val="annotation text"/>
    <w:basedOn w:val="a"/>
    <w:link w:val="Char3"/>
    <w:semiHidden/>
    <w:rsid w:val="00C3714C"/>
    <w:rPr>
      <w:sz w:val="18"/>
    </w:rPr>
  </w:style>
  <w:style w:type="character" w:customStyle="1" w:styleId="Char3">
    <w:name w:val="批注文字 Char"/>
    <w:basedOn w:val="a0"/>
    <w:link w:val="a9"/>
    <w:semiHidden/>
    <w:rsid w:val="00C3714C"/>
    <w:rPr>
      <w:rFonts w:ascii="Arial" w:eastAsia="SimSun" w:hAnsi="Arial" w:cs="Arial"/>
      <w:sz w:val="18"/>
      <w:szCs w:val="20"/>
      <w:lang w:eastAsia="zh-CN"/>
    </w:rPr>
  </w:style>
  <w:style w:type="paragraph" w:styleId="aa">
    <w:name w:val="footnote text"/>
    <w:basedOn w:val="a"/>
    <w:link w:val="Char4"/>
    <w:semiHidden/>
    <w:rsid w:val="00C3714C"/>
    <w:rPr>
      <w:sz w:val="18"/>
    </w:rPr>
  </w:style>
  <w:style w:type="character" w:customStyle="1" w:styleId="Char4">
    <w:name w:val="脚注文本 Char"/>
    <w:basedOn w:val="a0"/>
    <w:link w:val="aa"/>
    <w:semiHidden/>
    <w:rsid w:val="00C3714C"/>
    <w:rPr>
      <w:rFonts w:ascii="Arial" w:eastAsia="SimSun" w:hAnsi="Arial" w:cs="Arial"/>
      <w:sz w:val="18"/>
      <w:szCs w:val="20"/>
      <w:lang w:eastAsia="zh-CN"/>
    </w:rPr>
  </w:style>
  <w:style w:type="character" w:styleId="ab">
    <w:name w:val="footnote reference"/>
    <w:basedOn w:val="a0"/>
    <w:rsid w:val="00C3714C"/>
    <w:rPr>
      <w:vertAlign w:val="superscript"/>
    </w:rPr>
  </w:style>
  <w:style w:type="character" w:styleId="ac">
    <w:name w:val="Hyperlink"/>
    <w:basedOn w:val="a0"/>
    <w:rsid w:val="00C3714C"/>
    <w:rPr>
      <w:color w:val="003399"/>
      <w:u w:val="single"/>
    </w:rPr>
  </w:style>
  <w:style w:type="character" w:styleId="ad">
    <w:name w:val="annotation reference"/>
    <w:basedOn w:val="a0"/>
    <w:rsid w:val="00C3714C"/>
    <w:rPr>
      <w:sz w:val="16"/>
      <w:szCs w:val="16"/>
    </w:rPr>
  </w:style>
  <w:style w:type="paragraph" w:styleId="ae">
    <w:name w:val="annotation subject"/>
    <w:basedOn w:val="a9"/>
    <w:next w:val="a9"/>
    <w:link w:val="Char5"/>
    <w:uiPriority w:val="99"/>
    <w:semiHidden/>
    <w:unhideWhenUsed/>
    <w:rsid w:val="00484CF4"/>
    <w:rPr>
      <w:b/>
      <w:bCs/>
      <w:sz w:val="20"/>
    </w:rPr>
  </w:style>
  <w:style w:type="character" w:customStyle="1" w:styleId="Char5">
    <w:name w:val="批注主题 Char"/>
    <w:basedOn w:val="Char3"/>
    <w:link w:val="ae"/>
    <w:uiPriority w:val="99"/>
    <w:semiHidden/>
    <w:rsid w:val="00484CF4"/>
    <w:rPr>
      <w:rFonts w:ascii="Arial" w:eastAsia="SimSun" w:hAnsi="Arial" w:cs="Arial"/>
      <w:b/>
      <w:bCs/>
      <w:sz w:val="20"/>
      <w:szCs w:val="20"/>
      <w:lang w:eastAsia="zh-CN"/>
    </w:rPr>
  </w:style>
  <w:style w:type="paragraph" w:customStyle="1" w:styleId="Endofdocument-Annex">
    <w:name w:val="[End of document - Annex]"/>
    <w:basedOn w:val="a"/>
    <w:rsid w:val="001E5CDA"/>
    <w:pPr>
      <w:ind w:left="55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217368">
      <w:bodyDiv w:val="1"/>
      <w:marLeft w:val="0"/>
      <w:marRight w:val="0"/>
      <w:marTop w:val="0"/>
      <w:marBottom w:val="0"/>
      <w:divBdr>
        <w:top w:val="none" w:sz="0" w:space="0" w:color="auto"/>
        <w:left w:val="none" w:sz="0" w:space="0" w:color="auto"/>
        <w:bottom w:val="none" w:sz="0" w:space="0" w:color="auto"/>
        <w:right w:val="none" w:sz="0" w:space="0" w:color="auto"/>
      </w:divBdr>
    </w:div>
    <w:div w:id="885675626">
      <w:bodyDiv w:val="1"/>
      <w:marLeft w:val="0"/>
      <w:marRight w:val="0"/>
      <w:marTop w:val="0"/>
      <w:marBottom w:val="0"/>
      <w:divBdr>
        <w:top w:val="none" w:sz="0" w:space="0" w:color="auto"/>
        <w:left w:val="none" w:sz="0" w:space="0" w:color="auto"/>
        <w:bottom w:val="none" w:sz="0" w:space="0" w:color="auto"/>
        <w:right w:val="none" w:sz="0" w:space="0" w:color="auto"/>
      </w:divBdr>
    </w:div>
    <w:div w:id="183186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6F382-6F8C-403C-B09A-2254581A4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5717</Words>
  <Characters>6404</Characters>
  <Application>Microsoft Office Word</Application>
  <DocSecurity>0</DocSecurity>
  <Lines>376</Lines>
  <Paragraphs>432</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11689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WO/PBC/23/8</dc:title>
  <dc:subject>经修订的WIPO与储备金有关的政策提案</dc:subject>
  <dc:creator/>
  <cp:lastModifiedBy>MA Weihai</cp:lastModifiedBy>
  <cp:revision>4</cp:revision>
  <cp:lastPrinted>2015-06-24T10:19:00Z</cp:lastPrinted>
  <dcterms:created xsi:type="dcterms:W3CDTF">2015-06-24T15:24:00Z</dcterms:created>
  <dcterms:modified xsi:type="dcterms:W3CDTF">2015-06-24T16:06:00Z</dcterms:modified>
</cp:coreProperties>
</file>