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996283" w:rsidRPr="00E77E43" w:rsidTr="00996283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996283" w:rsidRPr="00E77E43" w:rsidRDefault="00996283" w:rsidP="00996283">
            <w:pPr>
              <w:widowControl w:val="0"/>
              <w:jc w:val="both"/>
              <w:rPr>
                <w:rFonts w:ascii="Calibri" w:hAnsi="Calibri" w:cs="Times New Roman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E77E43">
              <w:rPr>
                <w:rFonts w:ascii="Calibri" w:hAnsi="Calibri" w:cs="Times New Roman"/>
                <w:noProof/>
                <w:kern w:val="2"/>
                <w:sz w:val="21"/>
                <w:szCs w:val="22"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294314C" wp14:editId="5A33F4A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说明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6283" w:rsidRPr="00E77E43" w:rsidRDefault="00996283" w:rsidP="00996283">
            <w:pPr>
              <w:widowControl w:val="0"/>
              <w:jc w:val="both"/>
              <w:rPr>
                <w:rFonts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6283" w:rsidRPr="00E77E43" w:rsidRDefault="00996283" w:rsidP="00996283">
            <w:pPr>
              <w:widowControl w:val="0"/>
              <w:jc w:val="right"/>
              <w:rPr>
                <w:kern w:val="2"/>
                <w:sz w:val="21"/>
                <w:szCs w:val="22"/>
              </w:rPr>
            </w:pPr>
            <w:r w:rsidRPr="00E77E43">
              <w:rPr>
                <w:b/>
                <w:kern w:val="2"/>
                <w:sz w:val="40"/>
                <w:szCs w:val="40"/>
              </w:rPr>
              <w:t>C</w:t>
            </w:r>
          </w:p>
        </w:tc>
      </w:tr>
      <w:tr w:rsidR="00996283" w:rsidRPr="00E77E43" w:rsidTr="009962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96283" w:rsidRPr="00E77E43" w:rsidRDefault="00996283" w:rsidP="00996283">
            <w:pPr>
              <w:widowControl w:val="0"/>
              <w:wordWrap w:val="0"/>
              <w:jc w:val="right"/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</w:pPr>
            <w:r w:rsidRPr="00E77E43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WO/PBC/</w:t>
            </w:r>
            <w:r w:rsidRPr="00E77E43"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22</w:t>
            </w:r>
            <w:r w:rsidRPr="00E77E43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/</w:t>
            </w:r>
            <w:r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7</w:t>
            </w:r>
          </w:p>
        </w:tc>
      </w:tr>
      <w:tr w:rsidR="00996283" w:rsidRPr="00E77E43" w:rsidTr="00996283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96283" w:rsidRPr="00E77E43" w:rsidRDefault="00996283" w:rsidP="00996283">
            <w:pPr>
              <w:widowControl w:val="0"/>
              <w:jc w:val="right"/>
              <w:rPr>
                <w:rFonts w:ascii="Arial Black" w:eastAsia="SimHei" w:hAnsi="Arial Black" w:cs="Times New Roman"/>
                <w:b/>
                <w:caps/>
                <w:kern w:val="2"/>
                <w:sz w:val="15"/>
                <w:szCs w:val="15"/>
              </w:rPr>
            </w:pP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原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 xml:space="preserve">　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文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：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英文</w:t>
            </w:r>
          </w:p>
        </w:tc>
      </w:tr>
      <w:tr w:rsidR="00996283" w:rsidRPr="00E77E43" w:rsidTr="00996283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96283" w:rsidRPr="00E77E43" w:rsidRDefault="00996283" w:rsidP="00996283">
            <w:pPr>
              <w:widowControl w:val="0"/>
              <w:jc w:val="right"/>
              <w:rPr>
                <w:rFonts w:ascii="Arial Black" w:eastAsia="SimHei" w:hAnsi="Arial Black" w:cs="Times New Roman"/>
                <w:kern w:val="2"/>
                <w:sz w:val="15"/>
                <w:szCs w:val="15"/>
                <w:lang w:val="pt-BR"/>
              </w:rPr>
            </w:pP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日　期：</w:t>
            </w:r>
            <w:r w:rsidRPr="00E77E43">
              <w:rPr>
                <w:rFonts w:ascii="Arial Black" w:eastAsia="SimHei" w:hAnsi="Arial Black" w:cs="Times New Roman"/>
                <w:kern w:val="2"/>
                <w:sz w:val="15"/>
                <w:szCs w:val="15"/>
                <w:lang w:val="pt-BR"/>
              </w:rPr>
              <w:t>201</w:t>
            </w:r>
            <w:r w:rsidRPr="00E77E43">
              <w:rPr>
                <w:rFonts w:ascii="Arial Black" w:eastAsia="SimHei" w:hAnsi="Arial Black" w:cs="Times New Roman" w:hint="eastAsia"/>
                <w:kern w:val="2"/>
                <w:sz w:val="15"/>
                <w:szCs w:val="15"/>
                <w:lang w:val="pt-BR"/>
              </w:rPr>
              <w:t>4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cs="Times New Roman" w:hint="eastAsia"/>
                <w:kern w:val="2"/>
                <w:sz w:val="15"/>
                <w:szCs w:val="15"/>
                <w:lang w:val="pt-BR"/>
              </w:rPr>
              <w:t>7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10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日</w:t>
            </w:r>
          </w:p>
        </w:tc>
      </w:tr>
    </w:tbl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E77E43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autoSpaceDE w:val="0"/>
        <w:autoSpaceDN w:val="0"/>
        <w:spacing w:line="380" w:lineRule="atLeast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E77E43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第二十二届会议</w:t>
      </w:r>
    </w:p>
    <w:p w:rsidR="00996283" w:rsidRPr="00E77E43" w:rsidRDefault="00996283" w:rsidP="00996283">
      <w:pPr>
        <w:widowControl w:val="0"/>
        <w:spacing w:line="336" w:lineRule="exact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E77E43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4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E77E43">
        <w:rPr>
          <w:rFonts w:ascii="KaiTi" w:eastAsia="KaiTi" w:hAnsi="KaiTi" w:hint="eastAsia"/>
          <w:kern w:val="2"/>
          <w:sz w:val="24"/>
          <w:szCs w:val="24"/>
        </w:rPr>
        <w:t>1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  <w:bookmarkStart w:id="1" w:name="_GoBack"/>
      <w:bookmarkEnd w:id="1"/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r w:rsidRPr="00996283">
        <w:rPr>
          <w:rFonts w:ascii="KaiTi" w:eastAsia="KaiTi" w:hAnsi="KaiTi" w:hint="eastAsia"/>
          <w:caps/>
          <w:kern w:val="2"/>
          <w:sz w:val="24"/>
          <w:szCs w:val="24"/>
        </w:rPr>
        <w:t>截至201</w:t>
      </w:r>
      <w:r>
        <w:rPr>
          <w:rFonts w:ascii="KaiTi" w:eastAsia="KaiTi" w:hAnsi="KaiTi" w:hint="eastAsia"/>
          <w:caps/>
          <w:kern w:val="2"/>
          <w:sz w:val="24"/>
          <w:szCs w:val="24"/>
        </w:rPr>
        <w:t>4</w:t>
      </w:r>
      <w:r w:rsidRPr="00996283">
        <w:rPr>
          <w:rFonts w:ascii="KaiTi" w:eastAsia="KaiTi" w:hAnsi="KaiTi" w:hint="eastAsia"/>
          <w:caps/>
          <w:kern w:val="2"/>
          <w:sz w:val="24"/>
          <w:szCs w:val="24"/>
        </w:rPr>
        <w:t>年6月30日的会费缴纳情况</w:t>
      </w:r>
    </w:p>
    <w:p w:rsidR="00996283" w:rsidRPr="00E77E43" w:rsidRDefault="00996283" w:rsidP="00996283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996283" w:rsidRPr="00E77E43" w:rsidRDefault="00996283" w:rsidP="00996283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r w:rsidRPr="00E77E43">
        <w:rPr>
          <w:rFonts w:ascii="KaiTi" w:eastAsia="KaiTi" w:hAnsi="KaiTi" w:hint="eastAsia"/>
          <w:i/>
          <w:kern w:val="2"/>
          <w:sz w:val="21"/>
          <w:szCs w:val="21"/>
        </w:rPr>
        <w:t>秘书处编拟</w:t>
      </w:r>
      <w:r>
        <w:rPr>
          <w:rFonts w:ascii="KaiTi" w:eastAsia="KaiTi" w:hAnsi="KaiTi" w:hint="eastAsia"/>
          <w:i/>
          <w:kern w:val="2"/>
          <w:sz w:val="21"/>
          <w:szCs w:val="21"/>
        </w:rPr>
        <w:t>的文件</w:t>
      </w:r>
    </w:p>
    <w:p w:rsidR="00996283" w:rsidRPr="00E77E43" w:rsidRDefault="00996283" w:rsidP="00996283">
      <w:pPr>
        <w:widowControl w:val="0"/>
        <w:rPr>
          <w:kern w:val="2"/>
          <w:szCs w:val="22"/>
        </w:rPr>
      </w:pPr>
    </w:p>
    <w:p w:rsidR="00996283" w:rsidRPr="00E77E43" w:rsidRDefault="00996283" w:rsidP="00996283">
      <w:pPr>
        <w:widowControl w:val="0"/>
        <w:rPr>
          <w:kern w:val="2"/>
          <w:szCs w:val="22"/>
        </w:rPr>
      </w:pPr>
    </w:p>
    <w:p w:rsidR="00996283" w:rsidRPr="00E77E43" w:rsidRDefault="00996283" w:rsidP="00996283">
      <w:pPr>
        <w:widowControl w:val="0"/>
        <w:rPr>
          <w:kern w:val="2"/>
          <w:szCs w:val="22"/>
        </w:rPr>
      </w:pPr>
    </w:p>
    <w:p w:rsidR="00996283" w:rsidRPr="00E77E43" w:rsidRDefault="00996283" w:rsidP="00996283">
      <w:pPr>
        <w:widowControl w:val="0"/>
        <w:rPr>
          <w:kern w:val="2"/>
          <w:szCs w:val="22"/>
        </w:rPr>
      </w:pPr>
    </w:p>
    <w:p w:rsidR="00540AB8" w:rsidRPr="00996283" w:rsidRDefault="00996283" w:rsidP="00996283">
      <w:pPr>
        <w:numPr>
          <w:ilvl w:val="0"/>
          <w:numId w:val="9"/>
        </w:numPr>
        <w:spacing w:afterLines="50" w:after="120" w:line="340" w:lineRule="atLeast"/>
        <w:ind w:left="0" w:firstLine="0"/>
        <w:jc w:val="both"/>
        <w:rPr>
          <w:rFonts w:ascii="SimSun"/>
        </w:rPr>
      </w:pPr>
      <w:r w:rsidRPr="00996283">
        <w:rPr>
          <w:rFonts w:ascii="SimSun" w:hint="eastAsia"/>
          <w:sz w:val="21"/>
          <w:szCs w:val="21"/>
        </w:rPr>
        <w:t>本文件载有关于年度会费拖欠情况以及周转基金欠款情况的信息。</w:t>
      </w:r>
    </w:p>
    <w:p w:rsidR="00540AB8" w:rsidRPr="00996283" w:rsidRDefault="00996283" w:rsidP="00996283">
      <w:pPr>
        <w:numPr>
          <w:ilvl w:val="0"/>
          <w:numId w:val="9"/>
        </w:numPr>
        <w:spacing w:afterLines="50" w:after="120" w:line="340" w:lineRule="atLeast"/>
        <w:ind w:left="0" w:firstLine="0"/>
        <w:jc w:val="both"/>
        <w:rPr>
          <w:rFonts w:ascii="SimSun"/>
        </w:rPr>
      </w:pPr>
      <w:r w:rsidRPr="00996283">
        <w:rPr>
          <w:rFonts w:ascii="SimSun" w:hAnsi="SimSun" w:hint="eastAsia"/>
          <w:sz w:val="21"/>
        </w:rPr>
        <w:t>提议决定段落</w:t>
      </w:r>
      <w:r w:rsidRPr="00996283">
        <w:rPr>
          <w:rFonts w:ascii="SimSun" w:hint="eastAsia"/>
          <w:sz w:val="21"/>
          <w:szCs w:val="21"/>
        </w:rPr>
        <w:t>措辞</w:t>
      </w:r>
      <w:r w:rsidRPr="00996283">
        <w:rPr>
          <w:rFonts w:ascii="SimSun" w:hAnsi="SimSun" w:hint="eastAsia"/>
          <w:sz w:val="21"/>
        </w:rPr>
        <w:t>如下。</w:t>
      </w:r>
    </w:p>
    <w:p w:rsidR="00A74636" w:rsidRPr="00996283" w:rsidRDefault="00996283" w:rsidP="007D0032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3.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Pr="00996283">
        <w:rPr>
          <w:rFonts w:ascii="KaiTi" w:eastAsia="KaiTi" w:hAnsi="KaiTi" w:hint="eastAsia"/>
          <w:i/>
          <w:sz w:val="21"/>
          <w:szCs w:val="21"/>
        </w:rPr>
        <w:t>计划和预算委员会注意到截至2014年6月30日的会费缴纳情况</w:t>
      </w:r>
      <w:r w:rsidRPr="00996283">
        <w:rPr>
          <w:rFonts w:ascii="KaiTi" w:eastAsia="KaiTi" w:hAnsi="KaiTi"/>
          <w:i/>
          <w:sz w:val="21"/>
          <w:szCs w:val="21"/>
        </w:rPr>
        <w:t>(</w:t>
      </w:r>
      <w:r w:rsidRPr="00996283">
        <w:rPr>
          <w:rFonts w:ascii="KaiTi" w:eastAsia="KaiTi" w:hAnsi="KaiTi" w:hint="eastAsia"/>
          <w:i/>
          <w:sz w:val="21"/>
          <w:szCs w:val="21"/>
        </w:rPr>
        <w:t>文件</w:t>
      </w:r>
      <w:r w:rsidRPr="00996283">
        <w:rPr>
          <w:rFonts w:ascii="KaiTi" w:eastAsia="KaiTi" w:hAnsi="KaiTi"/>
          <w:i/>
          <w:sz w:val="21"/>
          <w:szCs w:val="21"/>
        </w:rPr>
        <w:t>WO/PBC/22/7)</w:t>
      </w:r>
      <w:r w:rsidRPr="00996283">
        <w:rPr>
          <w:rFonts w:ascii="KaiTi" w:eastAsia="KaiTi" w:hAnsi="KaiTi" w:hint="eastAsia"/>
          <w:i/>
          <w:sz w:val="21"/>
          <w:szCs w:val="21"/>
        </w:rPr>
        <w:t>。</w:t>
      </w:r>
    </w:p>
    <w:p w:rsidR="00A74636" w:rsidRPr="00996283" w:rsidRDefault="00A74636" w:rsidP="00996283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9712C6" w:rsidRPr="00996283" w:rsidRDefault="009712C6" w:rsidP="00996283">
      <w:pPr>
        <w:pStyle w:val="Endofdocument-Annex"/>
        <w:spacing w:afterLines="50" w:after="120" w:line="340" w:lineRule="atLeast"/>
        <w:ind w:firstLine="11"/>
        <w:rPr>
          <w:rFonts w:ascii="KaiTi" w:eastAsia="KaiTi" w:hAnsi="KaiTi"/>
          <w:sz w:val="21"/>
          <w:szCs w:val="21"/>
        </w:rPr>
      </w:pPr>
      <w:r w:rsidRPr="00996283">
        <w:rPr>
          <w:rFonts w:ascii="KaiTi" w:eastAsia="KaiTi" w:hAnsi="KaiTi"/>
          <w:sz w:val="21"/>
          <w:szCs w:val="21"/>
        </w:rPr>
        <w:t>[</w:t>
      </w:r>
      <w:r w:rsidR="00996283" w:rsidRPr="00996283">
        <w:rPr>
          <w:rFonts w:ascii="KaiTi" w:eastAsia="KaiTi" w:hAnsi="KaiTi" w:hint="eastAsia"/>
          <w:sz w:val="21"/>
          <w:szCs w:val="21"/>
        </w:rPr>
        <w:t>后接会费情况</w:t>
      </w:r>
      <w:r w:rsidRPr="00996283">
        <w:rPr>
          <w:rFonts w:ascii="KaiTi" w:eastAsia="KaiTi" w:hAnsi="KaiTi"/>
          <w:sz w:val="21"/>
          <w:szCs w:val="21"/>
        </w:rPr>
        <w:t>]</w:t>
      </w:r>
    </w:p>
    <w:p w:rsidR="00A74636" w:rsidRDefault="00A74636" w:rsidP="009712C6">
      <w:pPr>
        <w:tabs>
          <w:tab w:val="left" w:pos="5580"/>
        </w:tabs>
      </w:pPr>
    </w:p>
    <w:p w:rsidR="00996283" w:rsidRDefault="00996283" w:rsidP="009712C6">
      <w:pPr>
        <w:tabs>
          <w:tab w:val="left" w:pos="5580"/>
        </w:tabs>
        <w:sectPr w:rsidR="00996283" w:rsidSect="0022517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207CC" w:rsidRPr="00D87DAD" w:rsidRDefault="00996283" w:rsidP="00996283">
      <w:pPr>
        <w:spacing w:beforeLines="100" w:before="240" w:afterLines="100" w:after="240" w:line="340" w:lineRule="atLeast"/>
        <w:rPr>
          <w:rFonts w:ascii="SimHei" w:eastAsia="SimHei" w:hAnsi="SimHei"/>
          <w:caps/>
          <w:sz w:val="21"/>
          <w:szCs w:val="22"/>
        </w:rPr>
      </w:pPr>
      <w:r w:rsidRPr="00D87DAD">
        <w:rPr>
          <w:rFonts w:ascii="SimHei" w:eastAsia="SimHei" w:hAnsi="SimHei" w:hint="eastAsia"/>
          <w:caps/>
          <w:sz w:val="21"/>
          <w:szCs w:val="22"/>
        </w:rPr>
        <w:lastRenderedPageBreak/>
        <w:t>截至2014年6月30日的会费拖欠情况</w:t>
      </w:r>
    </w:p>
    <w:p w:rsidR="009207CC" w:rsidRPr="00D87DAD" w:rsidRDefault="00996283" w:rsidP="00996283">
      <w:pPr>
        <w:spacing w:afterLines="100" w:after="24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年度会费拖欠情况</w:t>
      </w:r>
      <w:r w:rsidRPr="00D87DAD">
        <w:rPr>
          <w:rFonts w:ascii="SimHei" w:eastAsia="SimHei" w:hAnsi="SimHei"/>
          <w:sz w:val="21"/>
          <w:szCs w:val="22"/>
        </w:rPr>
        <w:br/>
      </w:r>
      <w:r w:rsidRPr="00D87DAD">
        <w:rPr>
          <w:rFonts w:ascii="SimHei" w:eastAsia="SimHei" w:hAnsi="SimHei" w:hint="eastAsia"/>
          <w:sz w:val="21"/>
          <w:szCs w:val="22"/>
        </w:rPr>
        <w:t>(列入特别(冻结)</w:t>
      </w:r>
      <w:r w:rsidR="007D0032">
        <w:rPr>
          <w:rFonts w:ascii="SimHei" w:eastAsia="SimHei" w:hAnsi="SimHei" w:hint="eastAsia"/>
          <w:sz w:val="21"/>
          <w:szCs w:val="22"/>
        </w:rPr>
        <w:t>账号</w:t>
      </w:r>
      <w:r w:rsidRPr="00D87DAD">
        <w:rPr>
          <w:rFonts w:ascii="SimHei" w:eastAsia="SimHei" w:hAnsi="SimHei" w:hint="eastAsia"/>
          <w:sz w:val="21"/>
          <w:szCs w:val="22"/>
        </w:rPr>
        <w:t>的最不发达国家1990年之前的会费拖欠除外)</w:t>
      </w:r>
    </w:p>
    <w:p w:rsidR="009207CC" w:rsidRPr="00D87DAD" w:rsidRDefault="007F4B31" w:rsidP="007D0032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以</w:t>
      </w:r>
      <w:r w:rsidR="00996283" w:rsidRPr="00D87DAD">
        <w:rPr>
          <w:rFonts w:ascii="SimSun" w:hAnsi="SimSun" w:hint="eastAsia"/>
          <w:sz w:val="21"/>
          <w:szCs w:val="22"/>
        </w:rPr>
        <w:t>下表</w:t>
      </w:r>
      <w:r w:rsidRPr="00D87DAD">
        <w:rPr>
          <w:rFonts w:ascii="SimSun" w:hAnsi="SimSun" w:hint="eastAsia"/>
          <w:sz w:val="21"/>
          <w:szCs w:val="22"/>
        </w:rPr>
        <w:t>格</w:t>
      </w:r>
      <w:r w:rsidR="00996283" w:rsidRPr="00D87DAD">
        <w:rPr>
          <w:rFonts w:ascii="SimSun" w:hAnsi="SimSun" w:hint="eastAsia"/>
          <w:sz w:val="21"/>
          <w:szCs w:val="22"/>
        </w:rPr>
        <w:t>列出截至201</w:t>
      </w:r>
      <w:r w:rsidRPr="00D87DAD">
        <w:rPr>
          <w:rFonts w:ascii="SimSun" w:hAnsi="SimSun" w:hint="eastAsia"/>
          <w:sz w:val="21"/>
          <w:szCs w:val="22"/>
        </w:rPr>
        <w:t>4</w:t>
      </w:r>
      <w:r w:rsidR="00996283" w:rsidRPr="00D87DAD">
        <w:rPr>
          <w:rFonts w:ascii="SimSun" w:hAnsi="SimSun" w:hint="eastAsia"/>
          <w:sz w:val="21"/>
          <w:szCs w:val="22"/>
        </w:rPr>
        <w:t>年6月30日根据自1994年1月1日起适用的单一会费制，并根据六个会费供资联盟(巴黎、伯尔尼、国际专利分类、尼斯、洛迦诺、维也纳)和WIPO(用于不属于任何联盟成员的WIPO成员国)以前所适用的会费制的会费拖欠情况，但列入特别(冻结)账户的最不发达国家(LDC)1990年以前的会费拖欠除外，这些拖欠未列入该表，而在下文第4段的表中列出。</w:t>
      </w:r>
    </w:p>
    <w:tbl>
      <w:tblPr>
        <w:tblW w:w="94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8"/>
        <w:gridCol w:w="850"/>
        <w:gridCol w:w="3542"/>
        <w:gridCol w:w="851"/>
        <w:gridCol w:w="924"/>
        <w:gridCol w:w="683"/>
      </w:tblGrid>
      <w:tr w:rsidR="00AE6D9F" w:rsidRPr="00CA6CFE" w:rsidTr="00C01847">
        <w:trPr>
          <w:trHeight w:val="806"/>
          <w:tblHeader/>
        </w:trPr>
        <w:tc>
          <w:tcPr>
            <w:tcW w:w="25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F4B31" w:rsidP="009207CC">
            <w:pPr>
              <w:pStyle w:val="TableNormal1"/>
              <w:jc w:val="center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F4B31" w:rsidP="007F4B31">
            <w:pPr>
              <w:pStyle w:val="TableNormal1"/>
              <w:jc w:val="center"/>
            </w:pPr>
            <w:r>
              <w:rPr>
                <w:rFonts w:ascii="SimSun" w:eastAsia="SimSun" w:hAnsi="SimSun" w:cs="SimSun" w:hint="eastAsia"/>
              </w:rPr>
              <w:t>单一</w:t>
            </w:r>
            <w:r w:rsidR="00AE6D9F" w:rsidRPr="00CA6CFE">
              <w:t>/</w:t>
            </w:r>
            <w:r w:rsidR="00AE6D9F" w:rsidRPr="00CA6CFE"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联盟</w:t>
            </w:r>
            <w:r w:rsidR="00AE6D9F" w:rsidRPr="00CA6CFE">
              <w:t>/</w:t>
            </w:r>
            <w:r w:rsidR="00AE6D9F" w:rsidRPr="00CA6CFE">
              <w:br/>
              <w:t>WIPO</w:t>
            </w:r>
          </w:p>
        </w:tc>
        <w:tc>
          <w:tcPr>
            <w:tcW w:w="35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F4B31" w:rsidP="007F4B31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无拖欠</w:t>
            </w:r>
            <w:r w:rsidR="00AE6D9F" w:rsidRPr="00CA6CFE">
              <w:rPr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="00AE6D9F" w:rsidRPr="00CA6CFE">
              <w:rPr>
                <w:lang w:eastAsia="zh-CN"/>
              </w:rPr>
              <w:br/>
            </w:r>
            <w:r w:rsidR="00AE6D9F" w:rsidRPr="007F4B31">
              <w:rPr>
                <w:rFonts w:ascii="KaiTi" w:eastAsia="KaiTi" w:hAnsi="KaiTi"/>
                <w:i/>
                <w:lang w:eastAsia="zh-CN"/>
              </w:rPr>
              <w:t>(</w:t>
            </w:r>
            <w:r w:rsidRPr="007F4B31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="00AE6D9F" w:rsidRPr="007F4B31">
              <w:rPr>
                <w:rFonts w:ascii="KaiTi" w:eastAsia="KaiTi" w:hAnsi="KaiTi"/>
                <w:i/>
                <w:lang w:eastAsia="zh-CN"/>
              </w:rPr>
              <w:t>)</w:t>
            </w: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F4B31" w:rsidP="007F4B31">
            <w:pPr>
              <w:pStyle w:val="TableNormal1"/>
              <w:jc w:val="center"/>
            </w:pPr>
            <w:r w:rsidRPr="007F4B31">
              <w:rPr>
                <w:rFonts w:ascii="SimSun" w:eastAsia="SimSun" w:hAnsi="SimSun" w:cs="SimSun" w:hint="eastAsia"/>
                <w:color w:val="auto"/>
              </w:rPr>
              <w:t>拖欠数额</w:t>
            </w:r>
            <w:r>
              <w:rPr>
                <w:rFonts w:ascii="SimHei" w:eastAsia="SimHei" w:hAnsi="SimHei" w:cs="SimSun"/>
                <w:color w:val="auto"/>
                <w:lang w:eastAsia="zh-CN"/>
              </w:rPr>
              <w:br/>
            </w:r>
            <w:r w:rsidR="00AE6D9F" w:rsidRPr="007F4B31">
              <w:rPr>
                <w:rFonts w:ascii="KaiTi" w:eastAsia="KaiTi" w:hAnsi="KaiTi"/>
                <w:i/>
              </w:rPr>
              <w:t>(</w:t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瑞郎</w:t>
            </w:r>
            <w:r w:rsidR="00AE6D9F" w:rsidRPr="007F4B31">
              <w:rPr>
                <w:rFonts w:ascii="KaiTi" w:eastAsia="KaiTi" w:hAnsi="KaiTi"/>
                <w:i/>
              </w:rPr>
              <w:t>)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7F4B31" w:rsidRDefault="007F4B31" w:rsidP="007F4B31">
            <w:pPr>
              <w:pStyle w:val="TableNormal1"/>
              <w:jc w:val="center"/>
              <w:rPr>
                <w:rFonts w:ascii="SimSun" w:eastAsia="SimSun" w:hAnsi="SimSun"/>
              </w:rPr>
            </w:pPr>
            <w:r w:rsidRPr="007F4B31">
              <w:rPr>
                <w:rFonts w:ascii="SimSun" w:eastAsia="SimSun" w:hAnsi="SimSun" w:hint="eastAsia"/>
                <w:lang w:eastAsia="zh-CN"/>
              </w:rPr>
              <w:t>占拖欠总额的百分比</w:t>
            </w:r>
          </w:p>
        </w:tc>
      </w:tr>
      <w:tr w:rsidR="008640EA" w:rsidRPr="00CA6CFE" w:rsidTr="00C01847">
        <w:trPr>
          <w:trHeight w:val="294"/>
          <w:tblHeader/>
        </w:trPr>
        <w:tc>
          <w:tcPr>
            <w:tcW w:w="2578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</w:pPr>
          </w:p>
        </w:tc>
        <w:tc>
          <w:tcPr>
            <w:tcW w:w="3542" w:type="dxa"/>
            <w:vMerge/>
            <w:tcBorders>
              <w:left w:val="single" w:sz="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640EA" w:rsidRPr="00CA6CFE" w:rsidRDefault="007F4B31" w:rsidP="009207CC">
            <w:pPr>
              <w:pStyle w:val="TableNormal1"/>
              <w:jc w:val="center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</w:pPr>
          </w:p>
        </w:tc>
      </w:tr>
      <w:tr w:rsidR="009207CC" w:rsidRPr="00CA6CFE" w:rsidTr="00C01847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阿富汗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540A" w:rsidP="009207CC">
            <w:pPr>
              <w:pStyle w:val="TableNormal1"/>
              <w:jc w:val="right"/>
            </w:pPr>
            <w:r>
              <w:t>0.03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阿尔巴尼亚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阿尔及利亚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安道尔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安哥拉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安提瓜和巴布达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阿根廷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</w:pPr>
            <w:r>
              <w:t>14</w:t>
            </w:r>
            <w:r w:rsidR="00A9077E"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540A" w:rsidP="009207CC">
            <w:pPr>
              <w:pStyle w:val="TableNormal1"/>
              <w:jc w:val="right"/>
            </w:pPr>
            <w:r>
              <w:t>32 559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</w:pPr>
            <w:r>
              <w:t>0.58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亚美尼亚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澳大利亚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奥地利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阿塞拜疆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巴哈马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</w:pPr>
            <w: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</w:pPr>
            <w:r>
              <w:t>5 697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</w:pPr>
            <w:r>
              <w:t>0.10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孟加拉国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</w:pPr>
            <w: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540A" w:rsidP="009207CC">
            <w:pPr>
              <w:pStyle w:val="TableNormal1"/>
              <w:jc w:val="right"/>
            </w:pPr>
            <w:r>
              <w:t>0.03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巴巴多斯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白俄罗斯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u w:val="double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比利时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伯利兹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贝宁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不丹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玻利维亚</w:t>
            </w:r>
            <w:r>
              <w:t>(</w:t>
            </w:r>
            <w:r>
              <w:rPr>
                <w:rFonts w:ascii="SimSun" w:eastAsia="SimSun" w:hAnsi="SimSun" w:cs="SimSun" w:hint="eastAsia"/>
              </w:rPr>
              <w:t>多民族国</w:t>
            </w:r>
            <w: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12593D">
              <w:t>+13</w:t>
            </w:r>
            <w:r w:rsidR="004A6478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</w:pPr>
            <w:r>
              <w:t>28 490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</w:pPr>
            <w:r>
              <w:t>0.51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波斯尼亚和黑塞哥维那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博茨瓦纳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巴西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</w:pPr>
            <w:r>
              <w:t>13*+14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</w:pPr>
            <w:r>
              <w:t>110 791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3774A" w:rsidP="009207CC">
            <w:pPr>
              <w:pStyle w:val="TableNormal1"/>
              <w:jc w:val="right"/>
            </w:pPr>
            <w:r>
              <w:t>1.97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文莱达鲁萨兰国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保加利亚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布基纳法索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</w:pPr>
            <w: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2593D" w:rsidP="009207CC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</w:pPr>
            <w:r>
              <w:t>0.03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布隆迪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</w:pPr>
            <w:r w:rsidRPr="00CA6CFE">
              <w:t>94+95+96+97+98+99+00+01+02+03+04+</w:t>
            </w:r>
          </w:p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12593D">
              <w:t>+13</w:t>
            </w:r>
            <w:r w:rsidR="00C2766F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6348D" w:rsidP="009207CC">
            <w:pPr>
              <w:pStyle w:val="TableNormal1"/>
              <w:tabs>
                <w:tab w:val="right" w:pos="791"/>
              </w:tabs>
            </w:pPr>
            <w:r>
              <w:t xml:space="preserve">    </w:t>
            </w:r>
            <w:r w:rsidR="00C2766F"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C7024" w:rsidP="009207CC">
            <w:pPr>
              <w:pStyle w:val="TableNormal1"/>
              <w:jc w:val="right"/>
            </w:pPr>
            <w:r>
              <w:t>45 031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</w:pPr>
            <w:r>
              <w:t>0.80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佛得角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柬埔寨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62B0F" w:rsidP="009207CC">
            <w:pPr>
              <w:pStyle w:val="TableNormal1"/>
            </w:pPr>
            <w: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62B0F" w:rsidP="009207CC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</w:pPr>
            <w:r>
              <w:t>0.03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喀麦隆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加拿大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中非共和国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</w:pPr>
            <w:r w:rsidRPr="00CA6CFE">
              <w:t>94+95+96+97+98+99+00+01+02+03+04+</w:t>
            </w:r>
          </w:p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0C371A">
              <w:t>+13</w:t>
            </w:r>
            <w:r w:rsidR="00737481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37481" w:rsidP="009207CC">
            <w:pPr>
              <w:pStyle w:val="TableNormal1"/>
              <w:jc w:val="right"/>
            </w:pPr>
            <w: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7 460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37481" w:rsidP="009207CC">
            <w:pPr>
              <w:pStyle w:val="TableNormal1"/>
              <w:jc w:val="right"/>
            </w:pPr>
            <w:r>
              <w:t>52 491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F03F5" w:rsidP="009207CC">
            <w:pPr>
              <w:pStyle w:val="TableNormal1"/>
              <w:jc w:val="right"/>
            </w:pPr>
            <w:r>
              <w:t>0.93</w:t>
            </w:r>
          </w:p>
        </w:tc>
      </w:tr>
      <w:tr w:rsidR="009207CC" w:rsidRPr="00CA6CFE" w:rsidTr="006A2BDE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6A2BDE">
            <w:pPr>
              <w:pStyle w:val="TableNormal1"/>
              <w:keepNext/>
            </w:pPr>
            <w:r>
              <w:rPr>
                <w:rFonts w:ascii="SimSun" w:eastAsia="SimSun" w:hAnsi="SimSun" w:cs="SimSun" w:hint="eastAsia"/>
              </w:rPr>
              <w:lastRenderedPageBreak/>
              <w:t>乍得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</w:pPr>
            <w:r w:rsidRPr="00CA6CFE">
              <w:t>94+95+96+97+98+99+00+01+02+03+04+</w:t>
            </w:r>
          </w:p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0C371A">
              <w:t>+13</w:t>
            </w:r>
            <w:r w:rsidR="00737481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37481" w:rsidP="009207CC">
            <w:pPr>
              <w:pStyle w:val="TableNormal1"/>
              <w:jc w:val="right"/>
            </w:pPr>
            <w:r>
              <w:t>31 755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7 460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37481" w:rsidP="009207CC">
            <w:pPr>
              <w:pStyle w:val="TableNormal1"/>
              <w:jc w:val="right"/>
            </w:pPr>
            <w:r>
              <w:t>52 491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F03F5" w:rsidP="009207CC">
            <w:pPr>
              <w:pStyle w:val="TableNormal1"/>
              <w:jc w:val="right"/>
            </w:pPr>
            <w:r>
              <w:t>0.93</w:t>
            </w: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智利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中国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哥伦比亚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科摩罗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06+07+08</w:t>
            </w:r>
            <w:r>
              <w:t>+09+10+11+12</w:t>
            </w:r>
            <w:r w:rsidR="000C371A">
              <w:t>+13</w:t>
            </w:r>
            <w:r w:rsidR="00AD517A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AD517A" w:rsidP="009207CC">
            <w:pPr>
              <w:pStyle w:val="TableNormal1"/>
              <w:jc w:val="right"/>
            </w:pPr>
            <w:r>
              <w:t>12 816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5518E" w:rsidP="009207CC">
            <w:pPr>
              <w:pStyle w:val="TableNormal1"/>
              <w:jc w:val="right"/>
            </w:pPr>
            <w:r>
              <w:t>0.23</w:t>
            </w: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刚果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哥斯达黎加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科特迪瓦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  <w:r w:rsidR="009207CC" w:rsidRPr="00CA6CFE">
              <w:t xml:space="preserve"> 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</w:pPr>
            <w:r w:rsidRPr="00CA6CFE">
              <w:t>94+95+96+97+98+99+00+01+02+03+04+</w:t>
            </w:r>
          </w:p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0C371A">
              <w:t>+13</w:t>
            </w:r>
            <w:r w:rsidR="00930A37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30A37" w:rsidP="009207CC">
            <w:pPr>
              <w:pStyle w:val="TableNormal1"/>
              <w:jc w:val="right"/>
            </w:pPr>
            <w:r>
              <w:t>67 072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92</w:t>
            </w:r>
            <w:r w:rsidR="000C371A">
              <w:t>*</w:t>
            </w:r>
            <w:r w:rsidRPr="00CA6CFE">
              <w:t>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30A37" w:rsidP="009207CC">
            <w:pPr>
              <w:pStyle w:val="TableNormal1"/>
              <w:jc w:val="right"/>
            </w:pPr>
            <w:r>
              <w:t>19 522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C371A" w:rsidP="009207CC">
            <w:pPr>
              <w:pStyle w:val="TableNormal1"/>
              <w:jc w:val="right"/>
            </w:pPr>
            <w:r>
              <w:t>15 434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30A37" w:rsidP="009207CC">
            <w:pPr>
              <w:pStyle w:val="TableNormal1"/>
              <w:jc w:val="right"/>
            </w:pPr>
            <w:r>
              <w:t>102 028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5518E" w:rsidP="009207CC">
            <w:pPr>
              <w:pStyle w:val="TableNormal1"/>
              <w:jc w:val="right"/>
            </w:pPr>
            <w:r>
              <w:t>1.82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克罗地亚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古巴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塞浦路斯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捷克共和国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466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朝鲜民主主义人民共和国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刚果</w:t>
            </w:r>
            <w:r w:rsidR="006A2BDE">
              <w:rPr>
                <w:rFonts w:ascii="SimSun" w:eastAsia="SimSun" w:hAnsi="SimSun" w:cs="SimSun" w:hint="eastAsia"/>
                <w:lang w:eastAsia="zh-CN"/>
              </w:rPr>
              <w:t>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</w:pPr>
            <w:r w:rsidRPr="00CA6CFE">
              <w:t>94+95+96+97+98+99+00+01+02+03+04+</w:t>
            </w:r>
          </w:p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0C371A">
              <w:t>+13</w:t>
            </w:r>
            <w:r w:rsidR="00AA7808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AA7808" w:rsidP="009207CC">
            <w:pPr>
              <w:pStyle w:val="TableNormal1"/>
              <w:jc w:val="right"/>
            </w:pPr>
            <w: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159 959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90 326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A7808" w:rsidP="009207CC">
            <w:pPr>
              <w:pStyle w:val="TableNormal1"/>
              <w:jc w:val="right"/>
            </w:pPr>
            <w:r>
              <w:t>282 040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3810" w:rsidP="009207CC">
            <w:pPr>
              <w:pStyle w:val="TableNormal1"/>
              <w:jc w:val="right"/>
            </w:pPr>
            <w:r>
              <w:t>5.02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丹麦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吉布提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>
              <w:t>12</w:t>
            </w:r>
            <w:r w:rsidR="000C371A">
              <w:t>+13</w:t>
            </w:r>
            <w:r w:rsidR="00316F93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16F93" w:rsidP="009207CC">
            <w:pPr>
              <w:pStyle w:val="TableNormal1"/>
              <w:jc w:val="right"/>
            </w:pPr>
            <w:r>
              <w:t>4 272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5518E" w:rsidP="009207CC">
            <w:pPr>
              <w:pStyle w:val="TableNormal1"/>
              <w:jc w:val="right"/>
            </w:pPr>
            <w:r>
              <w:t>0.08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多米尼克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>
              <w:t>10+11+12</w:t>
            </w:r>
            <w:r w:rsidR="00397951">
              <w:t>+13</w:t>
            </w:r>
            <w:r w:rsidR="00316F93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16F93" w:rsidP="009207CC">
            <w:pPr>
              <w:pStyle w:val="TableNormal1"/>
              <w:jc w:val="right"/>
            </w:pPr>
            <w:r>
              <w:t>14 245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5518E" w:rsidP="009207CC">
            <w:pPr>
              <w:pStyle w:val="TableNormal1"/>
              <w:jc w:val="right"/>
            </w:pPr>
            <w:r>
              <w:t>0.25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多米尼加共和国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</w:pPr>
            <w:r w:rsidRPr="00CA6CFE">
              <w:t>94+95+96+97+98+99+00+01+02+03+04+</w:t>
            </w:r>
          </w:p>
          <w:p w:rsidR="009207CC" w:rsidRPr="00CA6CFE" w:rsidRDefault="009207CC" w:rsidP="009207CC">
            <w:pPr>
              <w:pStyle w:val="TableNormal1"/>
            </w:pPr>
            <w:r w:rsidRPr="00CA6CFE">
              <w:t>05+06+07+08</w:t>
            </w:r>
            <w:r>
              <w:t>+09+10+11+12</w:t>
            </w:r>
            <w:r w:rsidR="00397951">
              <w:t>+13</w:t>
            </w:r>
            <w:r w:rsidR="00361139"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361139" w:rsidP="009207CC">
            <w:pPr>
              <w:pStyle w:val="TableNormal1"/>
              <w:jc w:val="right"/>
            </w:pPr>
            <w:r>
              <w:t>104 096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</w:pPr>
          </w:p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D87DAD">
        <w:trPr>
          <w:trHeight w:val="619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</w:pPr>
            <w:r>
              <w:rPr>
                <w:rFonts w:ascii="SimSun" w:eastAsia="SimSun" w:hAnsi="SimSun" w:cs="SimSun" w:hint="eastAsia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70</w:t>
            </w:r>
            <w:r w:rsidR="00361139">
              <w:t>*</w:t>
            </w:r>
            <w:r w:rsidRPr="00CA6CFE">
              <w:t>+71+72+</w:t>
            </w:r>
            <w:r>
              <w:t>73+74+75+76+77+</w:t>
            </w:r>
            <w:r w:rsidR="00361139">
              <w:t>78+79+</w:t>
            </w:r>
            <w:r>
              <w:br/>
            </w:r>
            <w:r w:rsidRPr="00CA6CFE">
              <w:t>80+81+82+</w:t>
            </w:r>
            <w:r>
              <w:t>83+84+85+86+87+</w:t>
            </w:r>
            <w:r w:rsidR="00361139">
              <w:t>88+89+</w:t>
            </w:r>
            <w:r>
              <w:br/>
            </w:r>
            <w:r w:rsidRPr="00CA6CFE"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1139" w:rsidP="009207CC">
            <w:pPr>
              <w:pStyle w:val="TableNormal1"/>
              <w:jc w:val="right"/>
            </w:pPr>
            <w:r>
              <w:t>937 794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</w:pPr>
          </w:p>
          <w:p w:rsidR="009207CC" w:rsidRDefault="009207CC" w:rsidP="009207CC">
            <w:pPr>
              <w:pStyle w:val="TableNormal1"/>
              <w:jc w:val="right"/>
            </w:pPr>
          </w:p>
          <w:p w:rsidR="009207CC" w:rsidRPr="00CA6CFE" w:rsidRDefault="009207CC" w:rsidP="009207CC">
            <w:pPr>
              <w:pStyle w:val="TableNormal1"/>
              <w:jc w:val="right"/>
            </w:pPr>
            <w:r>
              <w:t>1 041 890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</w:pPr>
          </w:p>
          <w:p w:rsidR="009207CC" w:rsidRDefault="009207CC" w:rsidP="009207CC">
            <w:pPr>
              <w:pStyle w:val="TableNormal1"/>
              <w:jc w:val="right"/>
            </w:pPr>
          </w:p>
          <w:p w:rsidR="009207CC" w:rsidRPr="00CA6CFE" w:rsidRDefault="0075518E" w:rsidP="009207CC">
            <w:pPr>
              <w:pStyle w:val="TableNormal1"/>
              <w:jc w:val="right"/>
            </w:pPr>
            <w:r>
              <w:t>18.57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厄瓜多尔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埃及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萨尔瓦多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赤道几内亚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9E34CC">
              <w:rPr>
                <w:rFonts w:hint="eastAsia"/>
                <w:lang w:eastAsia="zh-CN"/>
              </w:rPr>
              <w:t>+13</w:t>
            </w:r>
            <w:r w:rsidR="0076725B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4 272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9345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厄立特里亚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9345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爱沙尼亚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埃塞俄比亚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斐济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芬兰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法国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冈比亚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D581D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D581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9345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格鲁吉亚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德国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D87DAD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希腊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格林纳达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4D581D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D581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14 245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818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危地马拉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4D581D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</w:tcBorders>
          </w:tcPr>
          <w:p w:rsidR="009207CC" w:rsidRPr="00CA6CFE" w:rsidRDefault="00731AE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31AE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52 491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F03F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0.93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几内亚比绍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731AE8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31AE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3 858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3107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48 889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818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0.87</w:t>
            </w:r>
          </w:p>
        </w:tc>
      </w:tr>
      <w:tr w:rsidR="009207CC" w:rsidRPr="00CA6CFE" w:rsidTr="00D031C3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圭亚那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7CC" w:rsidRPr="00CA6CFE" w:rsidRDefault="00131078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7CC" w:rsidRPr="00CA6CFE" w:rsidRDefault="0013107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07CC" w:rsidRPr="00CA6CFE" w:rsidRDefault="00C818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D031C3">
        <w:trPr>
          <w:trHeight w:val="233"/>
          <w:tblHeader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海地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CC" w:rsidRPr="00CA6CFE" w:rsidRDefault="00131078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CC" w:rsidRPr="00CA6CFE" w:rsidRDefault="00D960E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CC" w:rsidRPr="00CA6CFE" w:rsidRDefault="004C3103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D031C3">
        <w:trPr>
          <w:trHeight w:val="233"/>
          <w:tblHeader/>
        </w:trPr>
        <w:tc>
          <w:tcPr>
            <w:tcW w:w="25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教廷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洪都拉斯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11+12</w:t>
            </w:r>
            <w:r w:rsidR="00D960E4">
              <w:rPr>
                <w:rFonts w:hint="eastAsia"/>
                <w:lang w:eastAsia="zh-CN"/>
              </w:rPr>
              <w:t>+13</w:t>
            </w:r>
            <w:r w:rsidR="00131078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3107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11 396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C3103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0.20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匈牙利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冰岛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印度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印度尼西亚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伊朗</w:t>
            </w:r>
            <w:r w:rsidR="007D0032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伊斯兰共和国</w:t>
            </w:r>
            <w:r w:rsidR="007D0032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伊拉克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EE6994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1629F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0.20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爱尔兰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以色列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意大利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E6994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D960E4">
              <w:rPr>
                <w:rFonts w:hint="eastAsia"/>
                <w:lang w:eastAsia="zh-CN"/>
              </w:rPr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E699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4 468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629F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牙买加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E6994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629F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日本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E6994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D960E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1 139 475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629F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20.3</w:t>
            </w:r>
            <w:r w:rsidR="00A3774A">
              <w:rPr>
                <w:rFonts w:hint="eastAsia"/>
                <w:lang w:eastAsia="zh-CN"/>
              </w:rPr>
              <w:t>0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约旦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哈萨克斯坦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肯尼亚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4F14DF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4F14DF" w:rsidP="00FC4743">
            <w:pPr>
              <w:pStyle w:val="TableNormal1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46C" w:rsidRPr="00CA6CFE" w:rsidRDefault="00F9246C" w:rsidP="00FC4743">
            <w:pPr>
              <w:pStyle w:val="TableNormal1"/>
              <w:rPr>
                <w:lang w:eastAsia="zh-CN"/>
              </w:rPr>
            </w:pPr>
          </w:p>
        </w:tc>
      </w:tr>
      <w:tr w:rsidR="00FC4743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基里巴斯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FC4743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4743" w:rsidRPr="00CA6CFE" w:rsidRDefault="00FC4743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FC4743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132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FC4743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科威特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2D230A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2D230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9246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0.20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吉尔吉斯斯坦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jc w:val="lef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老挝人民民主共和国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拉脱维亚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黎巴嫩</w:t>
            </w:r>
            <w:r w:rsidR="009207CC" w:rsidRPr="00CA6CFE">
              <w:rPr>
                <w:rStyle w:val="FootnoteReference"/>
                <w:rFonts w:hint="eastAsia"/>
                <w:color w:val="auto"/>
                <w:lang w:eastAsia="zh-CN"/>
              </w:rPr>
              <w:footnoteReference w:id="2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</w:t>
            </w:r>
            <w:r w:rsidR="002D230A"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52 127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</w:t>
            </w:r>
            <w:r w:rsidR="002D230A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2D230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20 499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3163C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51 102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A2BDE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尼斯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3163C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3 20</w:t>
            </w:r>
            <w:r w:rsidR="0057508D">
              <w:rPr>
                <w:rFonts w:hint="eastAsia"/>
                <w:lang w:eastAsia="zh-CN"/>
              </w:rPr>
              <w:t>6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41EF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126 934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562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2.26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莱索托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利比里亚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利比亚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C1508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004519">
              <w:rPr>
                <w:rFonts w:hint="eastAsia"/>
                <w:lang w:eastAsia="zh-CN"/>
              </w:rPr>
              <w:t>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451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18 395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562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0.33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列支敦士登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立陶宛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4519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562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0.20</w:t>
            </w:r>
          </w:p>
        </w:tc>
      </w:tr>
      <w:tr w:rsidR="009207CC" w:rsidRPr="00CA6CFE" w:rsidTr="006A2BDE"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96283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卢森堡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F4B3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马达加斯加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马拉维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马来西亚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马尔代夫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004519">
              <w:rPr>
                <w:rFonts w:hint="eastAsia"/>
                <w:lang w:eastAsia="zh-CN"/>
              </w:rPr>
              <w:t>*</w:t>
            </w:r>
            <w:r w:rsidR="00E963D8">
              <w:rPr>
                <w:rFonts w:hint="eastAsia"/>
                <w:lang w:eastAsia="zh-CN"/>
              </w:rPr>
              <w:t>+13</w:t>
            </w:r>
            <w:r w:rsidR="00004519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00451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4 207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562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0.07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马耳他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毛里塔尼亚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E963D8">
              <w:rPr>
                <w:rFonts w:hint="eastAsia"/>
                <w:lang w:eastAsia="zh-CN"/>
              </w:rPr>
              <w:t>+13</w:t>
            </w:r>
            <w:r w:rsidR="00004519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00451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23261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52 491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F03F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0.93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毛里求斯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墨西哥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jc w:val="lef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密克罗尼西亚</w:t>
            </w:r>
            <w:r w:rsidR="007D0032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联邦</w:t>
            </w:r>
            <w:r w:rsidR="007D0032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05*+06+07+08</w:t>
            </w:r>
            <w:r>
              <w:rPr>
                <w:rFonts w:hint="eastAsia"/>
                <w:lang w:eastAsia="zh-CN"/>
              </w:rPr>
              <w:t>+09+10+11+12</w:t>
            </w:r>
            <w:r w:rsidR="00E963D8">
              <w:rPr>
                <w:rFonts w:hint="eastAsia"/>
                <w:lang w:eastAsia="zh-CN"/>
              </w:rPr>
              <w:t>+13</w:t>
            </w:r>
            <w:r w:rsidR="00FD6640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D6640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25 894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562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0.46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摩纳哥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蒙古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黑山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摩洛哥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莫桑比克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缅甸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纳米比亚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尼泊尔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63D8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B14587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1458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562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荷兰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新西兰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尼加拉瓜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12*</w:t>
            </w:r>
            <w:r w:rsidR="000D01EC">
              <w:rPr>
                <w:rFonts w:hint="eastAsia"/>
                <w:lang w:eastAsia="zh-CN"/>
              </w:rPr>
              <w:t>+13</w:t>
            </w:r>
            <w:r w:rsidR="00B14587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1458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5 931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562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0.11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D01EC">
              <w:rPr>
                <w:rFonts w:hint="eastAsia"/>
                <w:lang w:eastAsia="zh-CN"/>
              </w:rPr>
              <w:t>+13</w:t>
            </w:r>
            <w:r w:rsidR="00B14587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B1458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B1458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10 567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015D2A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 w:rsidR="00B14587">
              <w:rPr>
                <w:rFonts w:hint="eastAsia"/>
                <w:lang w:eastAsia="zh-CN"/>
              </w:rPr>
              <w:t>9 782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562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0.89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15D2A">
              <w:rPr>
                <w:rFonts w:hint="eastAsia"/>
                <w:lang w:eastAsia="zh-CN"/>
              </w:rPr>
              <w:t>+13</w:t>
            </w:r>
            <w:r w:rsidR="005546AB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5546A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324 583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</w:t>
            </w:r>
            <w:r w:rsidR="005546AB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5546A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160 62</w:t>
            </w:r>
            <w:r w:rsidR="002528E4">
              <w:rPr>
                <w:rFonts w:hint="eastAsia"/>
                <w:lang w:eastAsia="zh-CN"/>
              </w:rPr>
              <w:t>9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2528E4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485 21</w:t>
            </w:r>
            <w:r w:rsidR="00015D2A">
              <w:rPr>
                <w:rFonts w:hint="eastAsia"/>
                <w:lang w:eastAsia="zh-CN"/>
              </w:rPr>
              <w:t>2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562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8.65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挪威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巴基斯坦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巴拿马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407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0.01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巴布亚新几内亚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02483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742F19">
              <w:rPr>
                <w:rFonts w:hint="eastAsia"/>
                <w:lang w:eastAsia="zh-CN"/>
              </w:rPr>
              <w:t>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2 982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秘鲁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菲律宾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波兰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602483">
              <w:rPr>
                <w:rFonts w:hint="eastAsia"/>
                <w:lang w:eastAsia="zh-CN"/>
              </w:rPr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0248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34 188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0.61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葡萄牙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卡塔尔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0.20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大韩民国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摩尔多瓦共和国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罗马尼亚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俄罗斯联邦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42F1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55 510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卢旺达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圣基茨和尼维斯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圣卢西亚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jc w:val="lef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圣文森特和格林纳丁斯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2C64DE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2C64DE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萨摩亚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圣马力诺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圣多美和普林西比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沙特阿拉伯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0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塞内加尔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塞尔维亚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93*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F13138" w:rsidP="00F13138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  <w:r w:rsidR="004C6E03" w:rsidRPr="00CA6CFE">
              <w:rPr>
                <w:rFonts w:hint="eastAsia"/>
                <w:lang w:eastAsia="zh-CN"/>
              </w:rPr>
              <w:t>79 996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135 984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尼斯</w:t>
            </w:r>
          </w:p>
        </w:tc>
        <w:tc>
          <w:tcPr>
            <w:tcW w:w="354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6 447</w:t>
            </w:r>
          </w:p>
        </w:tc>
        <w:tc>
          <w:tcPr>
            <w:tcW w:w="92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洛迦诺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2 247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13138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224 674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021CF8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4.00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塞舌尔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塞拉利昂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新加坡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斯洛伐克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斯洛文尼亚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索马里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D54F97">
              <w:rPr>
                <w:rFonts w:hint="eastAsia"/>
                <w:lang w:eastAsia="zh-CN"/>
              </w:rPr>
              <w:t>+13</w:t>
            </w:r>
            <w:r w:rsidR="006D3C4E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6D3C4E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31 755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4 452</w:t>
            </w:r>
          </w:p>
        </w:tc>
        <w:tc>
          <w:tcPr>
            <w:tcW w:w="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D3C4E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36 207</w:t>
            </w:r>
          </w:p>
        </w:tc>
        <w:tc>
          <w:tcPr>
            <w:tcW w:w="6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021CF8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南非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西班牙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斯里兰卡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苏丹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苏里南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斯威士兰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瑞典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瑞士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阿拉伯叙利亚共和国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塔吉克斯坦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466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前南斯拉夫的马其顿共和国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02</w:t>
            </w:r>
            <w:r w:rsidR="006D3C4E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+03+04+05+</w:t>
            </w:r>
            <w:r>
              <w:rPr>
                <w:rFonts w:hint="eastAsia"/>
                <w:lang w:eastAsia="zh-CN"/>
              </w:rPr>
              <w:t>06+07+08+09+10+11+12</w:t>
            </w:r>
            <w:r w:rsidR="00D54F97">
              <w:rPr>
                <w:rFonts w:hint="eastAsia"/>
                <w:lang w:eastAsia="zh-CN"/>
              </w:rPr>
              <w:t>+13</w:t>
            </w:r>
            <w:r w:rsidR="006D3C4E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54F9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17 928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021CF8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0.32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汤加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特立尼达和多巴哥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突尼斯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土耳其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土库曼斯坦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乌干达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85B40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BC7AA5">
              <w:rPr>
                <w:rFonts w:hint="eastAsia"/>
                <w:lang w:eastAsia="zh-CN"/>
              </w:rPr>
              <w:t>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乌克兰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阿拉伯联合酋长国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0.20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联合王国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坦桑尼亚联合共和国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美利坚合众国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85B40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BC7AA5">
              <w:rPr>
                <w:rFonts w:hint="eastAsia"/>
                <w:lang w:eastAsia="zh-CN"/>
              </w:rPr>
              <w:t>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1 310 800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23.36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AA5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乌兹别克斯坦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AA5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Pr="00CA6CFE" w:rsidRDefault="00E84096" w:rsidP="00E84096">
            <w:pPr>
              <w:pStyle w:val="TableNormal1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E84096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瓦努阿图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E84096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4096" w:rsidRPr="00CA6CFE" w:rsidRDefault="00E84096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E84096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E84096" w:rsidP="00E84096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委内瑞拉</w:t>
            </w:r>
            <w:r w:rsidR="007D0032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玻利瓦尔共和国</w:t>
            </w:r>
            <w:r w:rsidR="007D0032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18A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BC7AA5">
              <w:rPr>
                <w:rFonts w:hint="eastAsia"/>
                <w:lang w:eastAsia="zh-CN"/>
              </w:rPr>
              <w:t>*+14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12 750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0.23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越南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也门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赞比亚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6A2BDE">
        <w:tblPrEx>
          <w:tblLook w:val="0400" w:firstRow="0" w:lastRow="0" w:firstColumn="0" w:lastColumn="0" w:noHBand="0" w:noVBand="1"/>
        </w:tblPrEx>
        <w:trPr>
          <w:trHeight w:val="233"/>
          <w:tblHeader/>
        </w:trPr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津巴布韦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F4B3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0.01</w:t>
            </w:r>
          </w:p>
        </w:tc>
      </w:tr>
    </w:tbl>
    <w:p w:rsidR="004C6E03" w:rsidRPr="00D87DAD" w:rsidRDefault="006A2BDE" w:rsidP="00D87DAD">
      <w:pPr>
        <w:spacing w:beforeLines="100" w:before="240" w:afterLines="100" w:after="24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拖欠总额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4C6E03" w:rsidRPr="00783E05" w:rsidTr="00082BFD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7F4B31" w:rsidP="006A2BDE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单一</w:t>
            </w:r>
            <w:r w:rsidR="006A2BDE">
              <w:rPr>
                <w:rFonts w:ascii="SimSun" w:eastAsia="SimSun" w:hAnsi="SimSun" w:cs="SimSun" w:hint="eastAsia"/>
                <w:color w:val="auto"/>
                <w:lang w:eastAsia="zh-CN"/>
              </w:rPr>
              <w:t>会费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E46CA4" w:rsidP="004C6E03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3 792 </w:t>
            </w:r>
            <w:r w:rsidR="001C2119">
              <w:rPr>
                <w:rFonts w:hint="eastAsia"/>
                <w:color w:val="auto"/>
                <w:lang w:eastAsia="zh-CN"/>
              </w:rPr>
              <w:t>909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</w:p>
        </w:tc>
      </w:tr>
      <w:tr w:rsidR="004C6E03" w:rsidRPr="00783E05" w:rsidTr="00082BFD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6A2BDE" w:rsidP="004C6E03">
            <w:pPr>
              <w:pStyle w:val="TableNormal1"/>
              <w:rPr>
                <w:color w:val="auto"/>
                <w:lang w:eastAsia="zh-CN"/>
              </w:rPr>
            </w:pPr>
            <w:r w:rsidRPr="006A2BDE">
              <w:rPr>
                <w:rFonts w:ascii="SimSun" w:eastAsia="SimSun" w:hAnsi="SimSun" w:cs="SimSun" w:hint="eastAsia"/>
                <w:color w:val="auto"/>
                <w:lang w:eastAsia="zh-CN"/>
              </w:rPr>
              <w:t>会费供资联盟和</w:t>
            </w:r>
            <w:r w:rsidR="004C6E03" w:rsidRPr="00783E05">
              <w:rPr>
                <w:rFonts w:hint="eastAsia"/>
                <w:color w:val="auto"/>
                <w:lang w:eastAsia="zh-CN"/>
              </w:rPr>
              <w:t>WIPO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C60FC4" w:rsidP="004C6E03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1 818 978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</w:p>
        </w:tc>
      </w:tr>
      <w:tr w:rsidR="004C6E03" w:rsidRPr="00783E05" w:rsidTr="00082BFD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6A2BDE" w:rsidP="004C6E03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1C2119" w:rsidP="004C6E03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5 611 887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100.00</w:t>
            </w:r>
            <w:r w:rsidR="00082BFD">
              <w:rPr>
                <w:rFonts w:hint="eastAsia"/>
                <w:color w:val="auto"/>
                <w:lang w:eastAsia="zh-CN"/>
              </w:rPr>
              <w:t>%</w:t>
            </w:r>
          </w:p>
        </w:tc>
      </w:tr>
    </w:tbl>
    <w:p w:rsidR="004C6E03" w:rsidRPr="00D87DAD" w:rsidRDefault="00310DBC" w:rsidP="00D87DAD">
      <w:pPr>
        <w:spacing w:beforeLines="100" w:before="240" w:afterLines="100" w:after="24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说</w:t>
      </w:r>
      <w:r w:rsidR="00D87DAD">
        <w:rPr>
          <w:rFonts w:ascii="SimHei" w:eastAsia="SimHei" w:hAnsi="SimHei" w:hint="eastAsia"/>
          <w:sz w:val="21"/>
          <w:szCs w:val="22"/>
        </w:rPr>
        <w:t xml:space="preserve">　</w:t>
      </w:r>
      <w:r w:rsidRPr="00D87DAD">
        <w:rPr>
          <w:rFonts w:ascii="SimHei" w:eastAsia="SimHei" w:hAnsi="SimHei" w:hint="eastAsia"/>
          <w:sz w:val="21"/>
          <w:szCs w:val="22"/>
        </w:rPr>
        <w:t>明</w:t>
      </w:r>
    </w:p>
    <w:p w:rsidR="004C6E03" w:rsidRPr="00D87DAD" w:rsidRDefault="00310DBC" w:rsidP="007D0032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2014年6月30日逾期未付的会费总额约达560万瑞郎，其380万瑞郎涉及单一会费制，而180万瑞郎涉及1994年以前会费供资联盟和WIPO的会费。拖欠总额561万瑞郎(见上表)相当于2014年应缴会费发票总额</w:t>
      </w:r>
      <w:r w:rsidR="007D0032">
        <w:rPr>
          <w:rFonts w:ascii="SimSun" w:hAnsi="SimSun" w:hint="eastAsia"/>
          <w:sz w:val="21"/>
          <w:szCs w:val="22"/>
        </w:rPr>
        <w:t>(</w:t>
      </w:r>
      <w:r w:rsidR="007D0032" w:rsidRPr="00D87DAD">
        <w:rPr>
          <w:rFonts w:ascii="SimSun" w:hAnsi="SimSun" w:hint="eastAsia"/>
          <w:sz w:val="21"/>
          <w:szCs w:val="22"/>
        </w:rPr>
        <w:t>数额为1,760万瑞郎</w:t>
      </w:r>
      <w:r w:rsidR="007D0032">
        <w:rPr>
          <w:rFonts w:ascii="SimSun" w:hAnsi="SimSun" w:hint="eastAsia"/>
          <w:sz w:val="21"/>
          <w:szCs w:val="22"/>
        </w:rPr>
        <w:t>)</w:t>
      </w:r>
      <w:r w:rsidRPr="00D87DAD">
        <w:rPr>
          <w:rFonts w:ascii="SimSun" w:hAnsi="SimSun" w:hint="eastAsia"/>
          <w:sz w:val="21"/>
          <w:szCs w:val="22"/>
        </w:rPr>
        <w:t>的31.9%。</w:t>
      </w:r>
    </w:p>
    <w:p w:rsidR="004C6E03" w:rsidRPr="00D87DAD" w:rsidRDefault="00310DBC" w:rsidP="007D0032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国际局于2014年7月1日至9月1日期间收到的任何缴款，</w:t>
      </w:r>
      <w:r w:rsidRPr="00D87DAD">
        <w:rPr>
          <w:rFonts w:ascii="SimSun" w:hAnsi="SimSun" w:hint="eastAsia"/>
          <w:sz w:val="21"/>
          <w:szCs w:val="21"/>
        </w:rPr>
        <w:t>将以单独的文件向大会报告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4C6E03" w:rsidRPr="00D87DAD" w:rsidRDefault="00310DBC" w:rsidP="00D87DAD">
      <w:pPr>
        <w:spacing w:beforeLines="100" w:before="240" w:afterLines="100" w:after="24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列入特别(冻结)账户的最不发达国家</w:t>
      </w:r>
      <w:r w:rsidR="00D87DAD">
        <w:rPr>
          <w:rFonts w:ascii="SimHei" w:eastAsia="SimHei" w:hAnsi="SimHei" w:hint="eastAsia"/>
          <w:sz w:val="21"/>
          <w:szCs w:val="22"/>
        </w:rPr>
        <w:br/>
      </w:r>
      <w:r w:rsidRPr="00D87DAD">
        <w:rPr>
          <w:rFonts w:ascii="SimHei" w:eastAsia="SimHei" w:hAnsi="SimHei" w:hint="eastAsia"/>
          <w:sz w:val="21"/>
          <w:szCs w:val="22"/>
        </w:rPr>
        <w:t xml:space="preserve">1990年以前年度会费拖欠情况 </w:t>
      </w:r>
    </w:p>
    <w:p w:rsidR="00082BFD" w:rsidRPr="00D87DAD" w:rsidRDefault="00310DBC" w:rsidP="007D0032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需回顾的是，根据WIPO成员国会议和巴黎联盟及伯尔尼联盟大会在其1991年例会上作出的决定，凡最不发达国家(LDC)1990年前拖欠的会费款项均列入特别账户，截至1989年12月31日拖欠的会费数额予以冻结(见文件AB/XXII/20及AB/XXII/22第127段)。截至2014年6月30日拖欠巴黎联盟、伯尔尼联盟和WIPO会费的情况列于下表。国际局于2014年7月1日至9月1日期间收到的任何缴款，将以单独的文件向大会报告。</w:t>
      </w:r>
    </w:p>
    <w:tbl>
      <w:tblPr>
        <w:tblW w:w="97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6"/>
        <w:gridCol w:w="1060"/>
        <w:gridCol w:w="3569"/>
        <w:gridCol w:w="926"/>
        <w:gridCol w:w="904"/>
        <w:gridCol w:w="828"/>
        <w:gridCol w:w="7"/>
      </w:tblGrid>
      <w:tr w:rsidR="00082BFD" w:rsidRPr="00CA6CFE" w:rsidTr="00310DBC">
        <w:trPr>
          <w:trHeight w:val="698"/>
          <w:tblHeader/>
        </w:trPr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310DBC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国　家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310DBC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联盟</w:t>
            </w:r>
            <w:r w:rsidR="00082BFD" w:rsidRPr="00CA6CFE">
              <w:rPr>
                <w:rFonts w:hint="eastAsia"/>
                <w:lang w:eastAsia="zh-CN"/>
              </w:rPr>
              <w:t>/</w:t>
            </w:r>
            <w:r w:rsidR="00082BFD"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310DBC" w:rsidP="00310DBC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="00082BFD" w:rsidRPr="00CA6CFE">
              <w:rPr>
                <w:rFonts w:hint="eastAsia"/>
                <w:lang w:eastAsia="zh-CN"/>
              </w:rPr>
              <w:br/>
            </w:r>
            <w:r w:rsidR="00082BFD" w:rsidRPr="00D87DAD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D87DAD">
              <w:rPr>
                <w:rFonts w:ascii="KaiTi" w:eastAsia="KaiTi" w:hAnsi="KaiTi" w:hint="eastAsia"/>
                <w:i/>
                <w:lang w:eastAsia="zh-CN"/>
              </w:rPr>
              <w:t>星号表示部分缴纳会费</w:t>
            </w:r>
            <w:r w:rsidR="00082BFD" w:rsidRPr="00D87DAD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310DBC" w:rsidP="00310DBC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拖欠数额</w:t>
            </w:r>
            <w:r>
              <w:rPr>
                <w:rFonts w:eastAsiaTheme="minorEastAsia" w:hint="eastAsia"/>
                <w:lang w:eastAsia="zh-CN"/>
              </w:rPr>
              <w:br/>
            </w:r>
            <w:r w:rsidR="00082BFD" w:rsidRPr="00D87DAD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D87DAD">
              <w:rPr>
                <w:rFonts w:ascii="KaiTi" w:eastAsia="KaiTi" w:hAnsi="KaiTi" w:hint="eastAsia"/>
                <w:i/>
                <w:lang w:eastAsia="zh-CN"/>
              </w:rPr>
              <w:t>瑞郎</w:t>
            </w:r>
            <w:r w:rsidR="00082BFD" w:rsidRPr="00D87DAD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310DBC" w:rsidRPr="00672C6E" w:rsidRDefault="00310DBC" w:rsidP="00310DBC">
            <w:pPr>
              <w:pStyle w:val="1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占拖欠</w:t>
            </w:r>
          </w:p>
          <w:p w:rsidR="00310DBC" w:rsidRPr="00672C6E" w:rsidRDefault="00310DBC" w:rsidP="00310DBC">
            <w:pPr>
              <w:pStyle w:val="1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总额的</w:t>
            </w:r>
          </w:p>
          <w:p w:rsidR="00082BFD" w:rsidRPr="00CA6CFE" w:rsidRDefault="00310DBC" w:rsidP="00310DBC">
            <w:pPr>
              <w:pStyle w:val="TableNormal1"/>
              <w:jc w:val="center"/>
              <w:rPr>
                <w:lang w:eastAsia="zh-CN"/>
              </w:rPr>
            </w:pPr>
            <w:r w:rsidRPr="00672C6E">
              <w:rPr>
                <w:rFonts w:ascii="SimSun" w:eastAsia="SimSun" w:hAnsi="SimSun" w:cs="SimSun" w:hint="eastAsia"/>
                <w:lang w:eastAsia="zh-CN"/>
              </w:rPr>
              <w:t>百分比</w:t>
            </w:r>
          </w:p>
        </w:tc>
      </w:tr>
      <w:tr w:rsidR="00082BFD" w:rsidRPr="00CA6CFE" w:rsidTr="00310DBC">
        <w:trPr>
          <w:trHeight w:val="371"/>
          <w:tblHeader/>
        </w:trPr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3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310DBC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83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布基纳法索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10DBC" w:rsidP="004C6E03">
            <w:pPr>
              <w:pStyle w:val="TableNormal1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</w:t>
            </w:r>
            <w:r w:rsidR="00CF4441">
              <w:rPr>
                <w:rFonts w:hint="eastAsia"/>
                <w:lang w:eastAsia="zh-CN"/>
              </w:rPr>
              <w:t>87+88+</w:t>
            </w:r>
            <w:r w:rsidR="00CF4441"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F444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214 738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</w:t>
            </w:r>
            <w:r w:rsidR="00CF4441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+78+79+80+81+82+83+84+85+86+87+</w:t>
            </w:r>
            <w:r w:rsidRPr="00CA6CFE">
              <w:rPr>
                <w:rFonts w:hint="eastAsia"/>
                <w:lang w:eastAsia="zh-CN"/>
              </w:rPr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F444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136 129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F444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br/>
              <w:t>350 867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AA" w:rsidRDefault="00D227AA" w:rsidP="00D227AA">
            <w:pPr>
              <w:pStyle w:val="TableNormal1"/>
              <w:jc w:val="right"/>
              <w:rPr>
                <w:lang w:eastAsia="zh-CN"/>
              </w:rPr>
            </w:pPr>
          </w:p>
          <w:p w:rsidR="00D227AA" w:rsidRPr="00CA6CFE" w:rsidRDefault="00D227AA" w:rsidP="00D227AA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8.06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布隆迪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78+79+80+81+82+83+84+85+86+87+88+</w:t>
            </w:r>
            <w:r w:rsidRPr="00CA6CFE">
              <w:rPr>
                <w:rFonts w:hint="eastAsia"/>
                <w:lang w:eastAsia="zh-CN"/>
              </w:rPr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214 738</w:t>
            </w:r>
          </w:p>
          <w:p w:rsidR="004C6E03" w:rsidRPr="00CA6CFE" w:rsidRDefault="004C6E03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4.93</w:t>
            </w:r>
          </w:p>
        </w:tc>
      </w:tr>
      <w:tr w:rsidR="004C6E03" w:rsidRPr="00CA6CFE" w:rsidTr="00D87DAD">
        <w:trPr>
          <w:gridAfter w:val="1"/>
          <w:wAfter w:w="7" w:type="dxa"/>
          <w:trHeight w:val="425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中非共和国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76*+77+78+79+80+81+82+83+84+85+</w:t>
            </w:r>
            <w:r w:rsidRPr="00CA6CFE">
              <w:rPr>
                <w:rFonts w:hint="eastAsia"/>
                <w:lang w:eastAsia="zh-CN"/>
              </w:rPr>
              <w:br/>
              <w:t>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273 509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114 858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388 367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8.92</w:t>
            </w:r>
          </w:p>
        </w:tc>
      </w:tr>
      <w:tr w:rsidR="004C6E03" w:rsidRPr="00CA6CFE" w:rsidTr="00D87DAD">
        <w:trPr>
          <w:gridAfter w:val="1"/>
          <w:wAfter w:w="7" w:type="dxa"/>
          <w:trHeight w:val="425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乍得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71+72+73+74+75+76+77+78+79+80+81+</w:t>
            </w:r>
            <w:r w:rsidRPr="00CA6CFE">
              <w:rPr>
                <w:rFonts w:hint="eastAsia"/>
                <w:lang w:eastAsia="zh-CN"/>
              </w:rPr>
              <w:br/>
              <w:t>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250 957</w:t>
            </w:r>
          </w:p>
        </w:tc>
        <w:tc>
          <w:tcPr>
            <w:tcW w:w="901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72+73+74+75+76+77+78+79+80+81+82+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156 387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407 344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9.35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10DBC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刚果民主共和国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500 200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301 015</w:t>
            </w:r>
          </w:p>
        </w:tc>
        <w:tc>
          <w:tcPr>
            <w:tcW w:w="901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801 215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18.39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冈比亚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1.27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148 779</w:t>
            </w:r>
          </w:p>
        </w:tc>
        <w:tc>
          <w:tcPr>
            <w:tcW w:w="901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81 293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230 072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5.28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几内亚比绍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23 213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0.53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海地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347 037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7.97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163 926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296 303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6.80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毛里塔尼亚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77*+78+79+80+81+82+83+84+85+86+</w:t>
            </w:r>
            <w:r w:rsidRPr="00CA6CFE">
              <w:rPr>
                <w:rFonts w:hint="eastAsia"/>
                <w:lang w:eastAsia="zh-CN"/>
              </w:rPr>
              <w:br/>
              <w:t>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219 120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74+75+76+77+78+79+80+81+82+83+84+</w:t>
            </w:r>
            <w:r w:rsidRPr="00CA6CFE">
              <w:rPr>
                <w:rFonts w:hint="eastAsia"/>
                <w:lang w:eastAsia="zh-CN"/>
              </w:rPr>
              <w:br/>
              <w:t>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150 618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369 738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8.49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尼日尔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179 097</w:t>
            </w:r>
          </w:p>
        </w:tc>
        <w:tc>
          <w:tcPr>
            <w:tcW w:w="901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109 915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289 012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6.63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索马里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1.27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多哥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901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4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87 785</w:t>
            </w:r>
          </w:p>
        </w:tc>
        <w:tc>
          <w:tcPr>
            <w:tcW w:w="9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220 162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5.05</w:t>
            </w:r>
          </w:p>
        </w:tc>
      </w:tr>
      <w:tr w:rsidR="004C6E03" w:rsidRPr="00CA6CFE" w:rsidTr="00D87DAD">
        <w:trPr>
          <w:gridAfter w:val="1"/>
          <w:wAfter w:w="7" w:type="dxa"/>
          <w:trHeight w:val="26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乌干达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168 885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3.88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坦桑尼亚联合共和国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A2BDE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</w:t>
            </w:r>
            <w:r w:rsidR="00CF4441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F444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119 223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D227AA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2.74</w:t>
            </w:r>
          </w:p>
        </w:tc>
      </w:tr>
      <w:tr w:rsidR="004C6E03" w:rsidRPr="00CA6CFE" w:rsidTr="00D87DAD">
        <w:trPr>
          <w:gridAfter w:val="1"/>
          <w:wAfter w:w="7" w:type="dxa"/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96283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也门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87*+88+89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19 142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0.44</w:t>
            </w:r>
          </w:p>
        </w:tc>
      </w:tr>
    </w:tbl>
    <w:p w:rsidR="00310DBC" w:rsidRPr="001420C4" w:rsidRDefault="00310DBC" w:rsidP="007D0032">
      <w:pPr>
        <w:spacing w:beforeLines="100" w:before="240" w:afterLines="100" w:after="240" w:line="340" w:lineRule="atLeast"/>
        <w:rPr>
          <w:rFonts w:ascii="SimHei" w:eastAsia="SimHei" w:hAnsi="SimHei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拖欠总额</w:t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CF4441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2 924 250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D174AE" w:rsidRPr="00783E05" w:rsidRDefault="007C6785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1 301 926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WIPO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783E05" w:rsidRDefault="00310DBC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CF4441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4 355 818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100.00</w:t>
            </w:r>
            <w:r w:rsidR="00082BFD">
              <w:rPr>
                <w:rFonts w:hint="eastAsia"/>
                <w:color w:val="auto"/>
                <w:lang w:eastAsia="zh-CN"/>
              </w:rPr>
              <w:t>%</w:t>
            </w:r>
          </w:p>
        </w:tc>
      </w:tr>
    </w:tbl>
    <w:p w:rsidR="00D174AE" w:rsidRPr="00D87DAD" w:rsidRDefault="00310DBC" w:rsidP="007D0032">
      <w:pPr>
        <w:pStyle w:val="BodyText3"/>
        <w:spacing w:beforeLines="100" w:before="240" w:afterLines="100" w:after="240" w:line="340" w:lineRule="atLeast"/>
        <w:jc w:val="center"/>
        <w:rPr>
          <w:rFonts w:ascii="Arial" w:hAnsi="Arial" w:cs="Arial"/>
          <w:iCs/>
          <w:color w:val="auto"/>
          <w:sz w:val="21"/>
          <w:szCs w:val="22"/>
          <w:u w:val="single"/>
          <w:lang w:val="en-US" w:eastAsia="zh-CN"/>
        </w:rPr>
      </w:pPr>
      <w:r w:rsidRPr="00D87DAD">
        <w:rPr>
          <w:rFonts w:ascii="SimSun" w:eastAsia="SimSun" w:hAnsi="SimSun" w:cs="SimSun" w:hint="eastAsia"/>
          <w:iCs/>
          <w:color w:val="auto"/>
          <w:sz w:val="21"/>
          <w:szCs w:val="22"/>
          <w:u w:val="single"/>
          <w:lang w:val="en-US" w:eastAsia="zh-CN"/>
        </w:rPr>
        <w:t>周转金基金欠额</w:t>
      </w:r>
    </w:p>
    <w:p w:rsidR="00D174AE" w:rsidRPr="00D87DAD" w:rsidRDefault="00310DBC" w:rsidP="00D87DAD">
      <w:pPr>
        <w:widowControl w:val="0"/>
        <w:numPr>
          <w:ilvl w:val="0"/>
          <w:numId w:val="7"/>
        </w:numPr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下表列出201</w:t>
      </w:r>
      <w:r w:rsidR="004E1A1C" w:rsidRPr="00D87DAD"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年</w:t>
      </w:r>
      <w:r w:rsidR="004E1A1C" w:rsidRPr="00D87DAD"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月</w:t>
      </w:r>
      <w:r w:rsidR="004E1A1C" w:rsidRPr="00D87DAD"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0日各国应向周转金基金缴款的数额，该基金由两个会费供资联盟(即：巴黎联盟和伯尔尼联盟)设立。国际局于201</w:t>
      </w:r>
      <w:r w:rsidR="004E1A1C" w:rsidRPr="00D87DAD"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年</w:t>
      </w:r>
      <w:r w:rsidR="004E1A1C" w:rsidRPr="00D87DAD"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月</w:t>
      </w:r>
      <w:r w:rsidR="004E1A1C" w:rsidRPr="00D87DAD"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0日至</w:t>
      </w:r>
      <w:r w:rsidR="004E1A1C" w:rsidRPr="00D87DAD">
        <w:rPr>
          <w:rFonts w:ascii="SimSun" w:hAnsi="SimSun" w:hint="eastAsia"/>
          <w:sz w:val="21"/>
          <w:szCs w:val="22"/>
        </w:rPr>
        <w:t>9月1</w:t>
      </w:r>
      <w:r w:rsidRPr="00D87DAD">
        <w:rPr>
          <w:rFonts w:ascii="SimSun" w:hAnsi="SimSun" w:hint="eastAsia"/>
          <w:sz w:val="21"/>
          <w:szCs w:val="22"/>
        </w:rPr>
        <w:t>日期间收到的缴款，</w:t>
      </w:r>
      <w:r w:rsidR="004E1A1C" w:rsidRPr="00D87DAD">
        <w:rPr>
          <w:rFonts w:ascii="SimSun" w:hAnsi="SimSun" w:hint="eastAsia"/>
          <w:sz w:val="21"/>
          <w:szCs w:val="22"/>
        </w:rPr>
        <w:t>将以单独的文件向大会报告。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3"/>
        <w:gridCol w:w="1223"/>
      </w:tblGrid>
      <w:tr w:rsidR="00082BFD" w:rsidRPr="00783E05" w:rsidTr="007D0032">
        <w:trPr>
          <w:trHeight w:val="549"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310DBC" w:rsidP="007D0032">
            <w:pPr>
              <w:pStyle w:val="TableNormal1"/>
              <w:keepNext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lastRenderedPageBreak/>
              <w:t>国　家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310DBC" w:rsidP="007D0032">
            <w:pPr>
              <w:pStyle w:val="TableNormal1"/>
              <w:keepNext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联</w:t>
            </w:r>
            <w:r w:rsidR="007D0032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盟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310DBC" w:rsidP="007D0032">
            <w:pPr>
              <w:pStyle w:val="TableNormal1"/>
              <w:keepNext/>
              <w:jc w:val="center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欠　额</w:t>
            </w:r>
            <w:r w:rsidR="00082BFD" w:rsidRPr="00783E05">
              <w:rPr>
                <w:rFonts w:hint="eastAsia"/>
                <w:color w:val="auto"/>
                <w:lang w:eastAsia="zh-CN"/>
              </w:rPr>
              <w:br/>
            </w:r>
            <w:r w:rsidR="00082BFD" w:rsidRPr="007D0032">
              <w:rPr>
                <w:rFonts w:ascii="KaiTi" w:eastAsia="KaiTi" w:hAnsi="KaiTi" w:hint="eastAsia"/>
                <w:i/>
                <w:color w:val="auto"/>
                <w:lang w:eastAsia="zh-CN"/>
              </w:rPr>
              <w:t>(</w:t>
            </w:r>
            <w:r w:rsidRPr="007D0032">
              <w:rPr>
                <w:rFonts w:ascii="KaiTi" w:eastAsia="KaiTi" w:hAnsi="KaiTi" w:hint="eastAsia"/>
                <w:i/>
                <w:color w:val="auto"/>
                <w:lang w:eastAsia="zh-CN"/>
              </w:rPr>
              <w:t>瑞郎</w:t>
            </w:r>
            <w:r w:rsidR="00082BFD" w:rsidRPr="007D0032">
              <w:rPr>
                <w:rFonts w:ascii="KaiTi" w:eastAsia="KaiTi" w:hAnsi="KaiTi" w:hint="eastAsia"/>
                <w:i/>
                <w:color w:val="auto"/>
                <w:lang w:eastAsia="zh-CN"/>
              </w:rPr>
              <w:t>)</w:t>
            </w:r>
          </w:p>
        </w:tc>
      </w:tr>
      <w:tr w:rsidR="00082BFD" w:rsidRPr="00783E05" w:rsidTr="007D0032">
        <w:trPr>
          <w:trHeight w:val="313"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7D0032">
            <w:pPr>
              <w:pStyle w:val="TableNormal1"/>
              <w:keepNext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7D0032">
            <w:pPr>
              <w:pStyle w:val="TableNormal1"/>
              <w:keepNext/>
              <w:rPr>
                <w:color w:val="auto"/>
                <w:lang w:eastAsia="zh-CN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7D0032">
            <w:pPr>
              <w:pStyle w:val="TableNormal1"/>
              <w:keepNext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310DBC" w:rsidP="007D0032">
            <w:pPr>
              <w:pStyle w:val="TableNormal1"/>
              <w:keepNext/>
              <w:jc w:val="center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合计</w:t>
            </w: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996283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布隆迪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996283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中非共和国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943</w:t>
            </w: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996283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乍得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8 357</w:t>
            </w: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996283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刚果</w:t>
            </w:r>
            <w:r w:rsidR="00310DBC">
              <w:rPr>
                <w:rFonts w:ascii="SimSun" w:eastAsia="SimSun" w:hAnsi="SimSun" w:cs="SimSun" w:hint="eastAsia"/>
                <w:color w:val="auto"/>
                <w:lang w:eastAsia="zh-CN"/>
              </w:rPr>
              <w:t>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15 784</w:t>
            </w: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996283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几内亚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10 423</w:t>
            </w:r>
          </w:p>
        </w:tc>
      </w:tr>
      <w:tr w:rsidR="00D174AE" w:rsidRPr="00783E05" w:rsidTr="007D0032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996283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毛里塔尼亚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6A2BDE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065B30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38</w:t>
            </w:r>
            <w:r w:rsidR="00D174AE" w:rsidRPr="00783E05">
              <w:rPr>
                <w:rFonts w:hint="eastAsia"/>
                <w:color w:val="auto"/>
                <w:lang w:eastAsia="zh-CN"/>
              </w:rPr>
              <w:t>4</w:t>
            </w:r>
          </w:p>
        </w:tc>
      </w:tr>
    </w:tbl>
    <w:p w:rsidR="00310DBC" w:rsidRPr="001420C4" w:rsidRDefault="00310DBC" w:rsidP="007D0032">
      <w:pPr>
        <w:spacing w:beforeLines="100" w:before="240" w:afterLines="100" w:after="240" w:line="340" w:lineRule="atLeast"/>
        <w:rPr>
          <w:rFonts w:ascii="SimHei" w:eastAsia="SimHei" w:hAnsi="SimHei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周转基金欠款总额</w:t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D174AE" w:rsidRPr="00783E05" w:rsidTr="00D960E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783E05" w:rsidRDefault="006A2BDE" w:rsidP="00310DBC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  <w:r w:rsidR="00310DBC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联盟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065B30" w:rsidP="00D960E4">
            <w:pPr>
              <w:pStyle w:val="TableNormal1"/>
              <w:ind w:left="-446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36 77</w:t>
            </w:r>
            <w:r w:rsidR="00D174AE">
              <w:rPr>
                <w:rFonts w:hint="eastAsia"/>
                <w:color w:val="auto"/>
                <w:lang w:eastAsia="zh-CN"/>
              </w:rPr>
              <w:t>7</w:t>
            </w:r>
            <w:r w:rsidR="00D174AE" w:rsidRPr="00783E05">
              <w:rPr>
                <w:rFonts w:hint="eastAsia"/>
                <w:color w:val="auto"/>
                <w:lang w:eastAsia="zh-CN"/>
              </w:rPr>
              <w:t xml:space="preserve"> </w:t>
            </w:r>
          </w:p>
        </w:tc>
      </w:tr>
      <w:tr w:rsidR="00D174AE" w:rsidRPr="00783E05" w:rsidTr="00D960E4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6A2BDE" w:rsidP="00310DBC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  <w:r w:rsidR="00310DBC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联盟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ind w:left="-446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 xml:space="preserve">6 622 </w:t>
            </w:r>
          </w:p>
        </w:tc>
      </w:tr>
      <w:tr w:rsidR="00D174AE" w:rsidRPr="00783E05" w:rsidTr="00D960E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783E05" w:rsidRDefault="00310DBC" w:rsidP="00310DBC">
            <w:pPr>
              <w:pStyle w:val="TableNormal1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065B30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>
              <w:rPr>
                <w:color w:val="auto"/>
              </w:rPr>
              <w:t>43 39</w:t>
            </w:r>
            <w:r w:rsidR="00D174AE">
              <w:rPr>
                <w:color w:val="auto"/>
              </w:rPr>
              <w:t>9</w:t>
            </w:r>
            <w:r w:rsidR="00D174AE" w:rsidRPr="00783E05">
              <w:rPr>
                <w:color w:val="auto"/>
              </w:rPr>
              <w:t xml:space="preserve"> </w:t>
            </w:r>
          </w:p>
        </w:tc>
      </w:tr>
    </w:tbl>
    <w:p w:rsidR="00310DBC" w:rsidRPr="001420C4" w:rsidRDefault="00310DBC" w:rsidP="007D0032">
      <w:pPr>
        <w:spacing w:beforeLines="100" w:before="240" w:afterLines="100" w:after="240" w:line="340" w:lineRule="atLeast"/>
        <w:rPr>
          <w:rFonts w:ascii="SimHei" w:eastAsia="SimHei" w:hAnsi="SimHei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过去十年间会费和周转基金拖欠款额的变化情况</w:t>
      </w:r>
    </w:p>
    <w:p w:rsidR="0046308C" w:rsidRPr="00D87DAD" w:rsidRDefault="00310DBC" w:rsidP="007D0032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</w:t>
      </w:r>
      <w:r w:rsidR="004E1A1C" w:rsidRPr="00D87DAD">
        <w:rPr>
          <w:rFonts w:ascii="SimSun" w:hAnsi="SimSun" w:hint="eastAsia"/>
          <w:sz w:val="21"/>
          <w:szCs w:val="22"/>
        </w:rPr>
        <w:t>12</w:t>
      </w:r>
      <w:r w:rsidRPr="00D87DAD">
        <w:rPr>
          <w:rFonts w:ascii="SimSun" w:hAnsi="SimSun" w:hint="eastAsia"/>
          <w:sz w:val="21"/>
          <w:szCs w:val="22"/>
        </w:rPr>
        <w:t>年期间大幅减少。</w:t>
      </w:r>
    </w:p>
    <w:p w:rsidR="0046308C" w:rsidRPr="00D87DAD" w:rsidRDefault="00310DBC" w:rsidP="007D0032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下表列出自</w:t>
      </w:r>
      <w:r w:rsidR="004E1A1C" w:rsidRPr="00D87DAD">
        <w:rPr>
          <w:rFonts w:ascii="SimSun" w:hAnsi="SimSun" w:hint="eastAsia"/>
          <w:sz w:val="21"/>
          <w:szCs w:val="22"/>
        </w:rPr>
        <w:t>2003</w:t>
      </w:r>
      <w:r w:rsidRPr="00D87DAD">
        <w:rPr>
          <w:rFonts w:ascii="SimSun" w:hAnsi="SimSun" w:hint="eastAsia"/>
          <w:sz w:val="21"/>
          <w:szCs w:val="22"/>
        </w:rPr>
        <w:t>年以来会费(包括“冻结的”最不发达国家欠款)和周转基金(WCF)的欠款总额。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46308C" w:rsidRPr="007D0032" w:rsidTr="00D960E4">
        <w:tc>
          <w:tcPr>
            <w:tcW w:w="9356" w:type="dxa"/>
            <w:gridSpan w:val="6"/>
            <w:shd w:val="clear" w:color="auto" w:fill="EAEAEA"/>
          </w:tcPr>
          <w:p w:rsidR="0046308C" w:rsidRPr="007D0032" w:rsidRDefault="0046308C" w:rsidP="00D960E4">
            <w:pPr>
              <w:pStyle w:val="TableNormal1"/>
              <w:rPr>
                <w:rFonts w:ascii="SimSun" w:eastAsia="SimSun" w:hAnsi="SimSun"/>
                <w:lang w:eastAsia="zh-CN"/>
              </w:rPr>
            </w:pPr>
          </w:p>
          <w:p w:rsidR="0046308C" w:rsidRPr="007D0032" w:rsidRDefault="004E1A1C" w:rsidP="004E1A1C">
            <w:pPr>
              <w:pStyle w:val="TableNormal1"/>
              <w:jc w:val="center"/>
              <w:rPr>
                <w:rFonts w:ascii="SimSun" w:eastAsia="SimSun" w:hAnsi="SimSun"/>
                <w:lang w:eastAsia="zh-CN"/>
              </w:rPr>
            </w:pPr>
            <w:r w:rsidRPr="007D0032">
              <w:rPr>
                <w:rFonts w:ascii="SimSun" w:eastAsia="SimSun" w:hAnsi="SimSun" w:cs="SimSun" w:hint="eastAsia"/>
                <w:lang w:eastAsia="zh-CN"/>
              </w:rPr>
              <w:t>截至</w:t>
            </w:r>
            <w:r w:rsidRPr="007D0032">
              <w:rPr>
                <w:rFonts w:ascii="SimSun" w:eastAsia="SimSun" w:hAnsi="SimSun" w:hint="eastAsia"/>
                <w:lang w:eastAsia="zh-CN"/>
              </w:rPr>
              <w:t>12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月</w:t>
            </w:r>
            <w:r w:rsidRPr="007D0032">
              <w:rPr>
                <w:rFonts w:ascii="SimSun" w:eastAsia="SimSun" w:hAnsi="SimSun" w:hint="eastAsia"/>
                <w:lang w:eastAsia="zh-CN"/>
              </w:rPr>
              <w:t>31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日的会费拖欠情况</w:t>
            </w:r>
            <w:r w:rsidRPr="007D0032">
              <w:rPr>
                <w:rFonts w:ascii="SimSun" w:eastAsia="SimSun" w:hAnsi="SimSun" w:hint="eastAsia"/>
                <w:lang w:eastAsia="zh-CN"/>
              </w:rPr>
              <w:t>(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单位：百万瑞郎</w:t>
            </w:r>
            <w:r w:rsidRPr="007D0032">
              <w:rPr>
                <w:rFonts w:ascii="SimSun" w:eastAsia="SimSun" w:hAnsi="SimSun" w:hint="eastAsia"/>
                <w:lang w:eastAsia="zh-CN"/>
              </w:rPr>
              <w:t>)</w:t>
            </w:r>
            <w:r w:rsidR="0046308C" w:rsidRPr="007D0032">
              <w:rPr>
                <w:rFonts w:ascii="SimSun" w:eastAsia="SimSun" w:hAnsi="SimSun"/>
                <w:lang w:eastAsia="zh-CN"/>
              </w:rPr>
              <w:br/>
            </w:r>
          </w:p>
        </w:tc>
      </w:tr>
      <w:tr w:rsidR="0046308C" w:rsidRPr="007D0032" w:rsidTr="00D960E4">
        <w:trPr>
          <w:trHeight w:val="335"/>
        </w:trPr>
        <w:tc>
          <w:tcPr>
            <w:tcW w:w="948" w:type="dxa"/>
            <w:shd w:val="clear" w:color="auto" w:fill="EAEAEA"/>
          </w:tcPr>
          <w:p w:rsidR="0046308C" w:rsidRPr="007D0032" w:rsidRDefault="004E1A1C" w:rsidP="00D960E4">
            <w:pPr>
              <w:pStyle w:val="TableNormal1"/>
              <w:rPr>
                <w:rFonts w:ascii="SimSun" w:eastAsia="SimSun" w:hAnsi="SimSun"/>
                <w:bCs/>
              </w:rPr>
            </w:pPr>
            <w:r w:rsidRPr="007D0032">
              <w:rPr>
                <w:rFonts w:ascii="SimSun" w:eastAsia="SimSun" w:hAnsi="SimSun" w:hint="eastAsia"/>
                <w:bCs/>
                <w:lang w:eastAsia="zh-CN"/>
              </w:rPr>
              <w:t>年份</w:t>
            </w:r>
          </w:p>
        </w:tc>
        <w:tc>
          <w:tcPr>
            <w:tcW w:w="1887" w:type="dxa"/>
            <w:shd w:val="clear" w:color="auto" w:fill="EAEAEA"/>
          </w:tcPr>
          <w:p w:rsidR="0046308C" w:rsidRPr="007D0032" w:rsidRDefault="007F4B31" w:rsidP="004E1A1C">
            <w:pPr>
              <w:pStyle w:val="TableNormal1"/>
              <w:rPr>
                <w:rFonts w:ascii="SimSun" w:eastAsia="SimSun" w:hAnsi="SimSun"/>
              </w:rPr>
            </w:pPr>
            <w:r w:rsidRPr="007D0032">
              <w:rPr>
                <w:rFonts w:ascii="SimSun" w:eastAsia="SimSun" w:hAnsi="SimSun" w:cs="SimSun" w:hint="eastAsia"/>
              </w:rPr>
              <w:t>单一</w:t>
            </w:r>
            <w:r w:rsidR="004E1A1C" w:rsidRPr="007D0032">
              <w:rPr>
                <w:rFonts w:ascii="SimSun" w:eastAsia="SimSun" w:hAnsi="SimSun" w:cs="SimSun" w:hint="eastAsia"/>
                <w:lang w:eastAsia="zh-CN"/>
              </w:rPr>
              <w:t>会费</w:t>
            </w:r>
          </w:p>
        </w:tc>
        <w:tc>
          <w:tcPr>
            <w:tcW w:w="2552" w:type="dxa"/>
            <w:shd w:val="clear" w:color="auto" w:fill="EAEAEA"/>
          </w:tcPr>
          <w:p w:rsidR="0046308C" w:rsidRPr="007D0032" w:rsidRDefault="004E1A1C" w:rsidP="00D960E4">
            <w:pPr>
              <w:pStyle w:val="TableNormal1"/>
              <w:rPr>
                <w:rFonts w:ascii="SimSun" w:eastAsia="SimSun" w:hAnsi="SimSu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会费供资联盟</w:t>
            </w:r>
          </w:p>
        </w:tc>
        <w:tc>
          <w:tcPr>
            <w:tcW w:w="1559" w:type="dxa"/>
            <w:shd w:val="clear" w:color="auto" w:fill="EAEAEA"/>
          </w:tcPr>
          <w:p w:rsidR="0046308C" w:rsidRPr="007D0032" w:rsidRDefault="004E1A1C" w:rsidP="004E1A1C">
            <w:pPr>
              <w:pStyle w:val="TableNormal1"/>
              <w:rPr>
                <w:rFonts w:ascii="SimSun" w:eastAsia="SimSun" w:hAnsi="SimSu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“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冻结</w:t>
            </w:r>
            <w:r w:rsidRPr="007D0032">
              <w:rPr>
                <w:rFonts w:ascii="SimSun" w:eastAsia="SimSun" w:hAnsi="SimSun" w:cs="Arial"/>
                <w:lang w:eastAsia="zh-CN"/>
              </w:rPr>
              <w:t>”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欠款</w:t>
            </w:r>
          </w:p>
        </w:tc>
        <w:tc>
          <w:tcPr>
            <w:tcW w:w="1134" w:type="dxa"/>
            <w:shd w:val="clear" w:color="auto" w:fill="EAEAEA"/>
          </w:tcPr>
          <w:p w:rsidR="0046308C" w:rsidRPr="007D0032" w:rsidRDefault="004E1A1C" w:rsidP="00D960E4">
            <w:pPr>
              <w:pStyle w:val="TableNormal1"/>
              <w:rPr>
                <w:rFonts w:ascii="SimSun" w:eastAsia="SimSun" w:hAnsi="SimSu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周转基金</w:t>
            </w:r>
          </w:p>
        </w:tc>
        <w:tc>
          <w:tcPr>
            <w:tcW w:w="1276" w:type="dxa"/>
            <w:shd w:val="clear" w:color="auto" w:fill="EAEAEA"/>
          </w:tcPr>
          <w:p w:rsidR="0046308C" w:rsidRPr="007D0032" w:rsidRDefault="004E1A1C" w:rsidP="00D960E4">
            <w:pPr>
              <w:pStyle w:val="TableNormal1"/>
              <w:rPr>
                <w:rFonts w:ascii="SimSun" w:eastAsia="SimSun" w:hAnsi="SimSu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总计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2003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4.37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4.09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4.63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13.17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2004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3.09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3.92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4.63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11.72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3.40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3.84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4.58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0.07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11.89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12.49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11.10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9.90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9.19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 xml:space="preserve">0.04            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10.00</w:t>
            </w:r>
          </w:p>
        </w:tc>
      </w:tr>
      <w:tr w:rsidR="0046308C" w:rsidRPr="000E287B" w:rsidTr="00D960E4"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Del="006C5DC2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Del="006C5DC2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Del="006C5DC2" w:rsidRDefault="0046308C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9.55</w:t>
            </w:r>
          </w:p>
        </w:tc>
      </w:tr>
      <w:tr w:rsidR="00675ADD" w:rsidRPr="000E287B" w:rsidTr="00D960E4">
        <w:tc>
          <w:tcPr>
            <w:tcW w:w="948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rPr>
                <w:bCs/>
              </w:rPr>
            </w:pPr>
            <w:r w:rsidRPr="00675ADD">
              <w:rPr>
                <w:bCs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675ADD" w:rsidRPr="000E287B" w:rsidRDefault="00675ADD" w:rsidP="00675AD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8.97</w:t>
            </w:r>
          </w:p>
        </w:tc>
      </w:tr>
      <w:tr w:rsidR="00E84096" w:rsidRPr="000E287B" w:rsidTr="00D960E4">
        <w:tc>
          <w:tcPr>
            <w:tcW w:w="948" w:type="dxa"/>
            <w:shd w:val="clear" w:color="auto" w:fill="auto"/>
          </w:tcPr>
          <w:p w:rsidR="00E84096" w:rsidRPr="00675ADD" w:rsidRDefault="00E84096" w:rsidP="00D960E4">
            <w:pPr>
              <w:pStyle w:val="TableNormal1"/>
              <w:rPr>
                <w:bCs/>
              </w:rPr>
            </w:pPr>
            <w:r w:rsidRPr="00E84096">
              <w:rPr>
                <w:bCs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E84096" w:rsidRDefault="00E84096" w:rsidP="00675ADD">
            <w:pPr>
              <w:pStyle w:val="TableNormal1"/>
              <w:jc w:val="right"/>
              <w:rPr>
                <w:bCs/>
              </w:rPr>
            </w:pPr>
            <w:r w:rsidRPr="00E84096">
              <w:rPr>
                <w:bCs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E84096" w:rsidRPr="00675ADD" w:rsidRDefault="00E84096" w:rsidP="00D960E4">
            <w:pPr>
              <w:pStyle w:val="TableNormal1"/>
              <w:jc w:val="right"/>
              <w:rPr>
                <w:bCs/>
              </w:rPr>
            </w:pPr>
            <w:r w:rsidRPr="00E84096">
              <w:rPr>
                <w:bCs/>
              </w:rPr>
              <w:t>2.12</w:t>
            </w:r>
          </w:p>
        </w:tc>
        <w:tc>
          <w:tcPr>
            <w:tcW w:w="1559" w:type="dxa"/>
            <w:shd w:val="clear" w:color="auto" w:fill="auto"/>
          </w:tcPr>
          <w:p w:rsidR="00E84096" w:rsidRPr="00675ADD" w:rsidRDefault="00E84096" w:rsidP="00E84096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4.36</w:t>
            </w:r>
          </w:p>
        </w:tc>
        <w:tc>
          <w:tcPr>
            <w:tcW w:w="1134" w:type="dxa"/>
            <w:shd w:val="clear" w:color="auto" w:fill="auto"/>
          </w:tcPr>
          <w:p w:rsidR="00E84096" w:rsidRPr="00675ADD" w:rsidRDefault="00E84096" w:rsidP="00D960E4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E84096" w:rsidRPr="00675ADD" w:rsidRDefault="00E84096" w:rsidP="00D960E4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8.78</w:t>
            </w:r>
          </w:p>
        </w:tc>
      </w:tr>
    </w:tbl>
    <w:p w:rsidR="00E84096" w:rsidRPr="00D87DAD" w:rsidRDefault="00E84096" w:rsidP="0046308C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1"/>
          <w:szCs w:val="22"/>
        </w:rPr>
      </w:pPr>
    </w:p>
    <w:p w:rsidR="00E84096" w:rsidRPr="00D87DAD" w:rsidRDefault="00E84096" w:rsidP="0046308C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1"/>
          <w:szCs w:val="22"/>
        </w:rPr>
      </w:pPr>
    </w:p>
    <w:p w:rsidR="0046308C" w:rsidRPr="007D0032" w:rsidRDefault="0046308C" w:rsidP="007D0032">
      <w:pPr>
        <w:pStyle w:val="DecisionInvitingPara"/>
        <w:spacing w:afterLines="50" w:line="340" w:lineRule="atLeast"/>
        <w:jc w:val="left"/>
        <w:rPr>
          <w:rFonts w:ascii="KaiTi" w:eastAsia="KaiTi" w:hAnsi="KaiTi"/>
        </w:rPr>
      </w:pPr>
      <w:r w:rsidRPr="007D0032">
        <w:rPr>
          <w:rFonts w:ascii="KaiTi" w:eastAsia="KaiTi" w:hAnsi="KaiTi"/>
          <w:i w:val="0"/>
          <w:sz w:val="21"/>
          <w:szCs w:val="22"/>
        </w:rPr>
        <w:t>[</w:t>
      </w:r>
      <w:r w:rsidR="00310DBC" w:rsidRPr="007D0032">
        <w:rPr>
          <w:rFonts w:ascii="KaiTi" w:eastAsia="KaiTi" w:hAnsi="KaiTi" w:hint="eastAsia"/>
          <w:i w:val="0"/>
          <w:sz w:val="21"/>
          <w:szCs w:val="22"/>
          <w:lang w:eastAsia="zh-CN"/>
        </w:rPr>
        <w:t>文件完</w:t>
      </w:r>
      <w:r w:rsidRPr="007D0032">
        <w:rPr>
          <w:rFonts w:ascii="KaiTi" w:eastAsia="KaiTi" w:hAnsi="KaiTi"/>
          <w:i w:val="0"/>
          <w:sz w:val="21"/>
          <w:szCs w:val="22"/>
        </w:rPr>
        <w:t>]</w:t>
      </w:r>
    </w:p>
    <w:sectPr w:rsidR="0046308C" w:rsidRPr="007D0032" w:rsidSect="006727D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DE" w:rsidRDefault="006A2BDE">
      <w:r>
        <w:separator/>
      </w:r>
    </w:p>
  </w:endnote>
  <w:endnote w:type="continuationSeparator" w:id="0">
    <w:p w:rsidR="006A2BDE" w:rsidRDefault="006A2BDE" w:rsidP="003B38C1">
      <w:r>
        <w:separator/>
      </w:r>
    </w:p>
    <w:p w:rsidR="006A2BDE" w:rsidRPr="003B38C1" w:rsidRDefault="006A2B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2BDE" w:rsidRPr="003B38C1" w:rsidRDefault="006A2B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DE" w:rsidRDefault="006A2BDE">
      <w:r>
        <w:separator/>
      </w:r>
    </w:p>
  </w:footnote>
  <w:footnote w:type="continuationSeparator" w:id="0">
    <w:p w:rsidR="006A2BDE" w:rsidRDefault="006A2BDE" w:rsidP="008B60B2">
      <w:r>
        <w:separator/>
      </w:r>
    </w:p>
    <w:p w:rsidR="006A2BDE" w:rsidRPr="00ED77FB" w:rsidRDefault="006A2B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2BDE" w:rsidRPr="00ED77FB" w:rsidRDefault="006A2B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A2BDE" w:rsidRPr="00D87DAD" w:rsidRDefault="006A2BDE" w:rsidP="00D87DAD">
      <w:pPr>
        <w:pStyle w:val="FootnoteText"/>
        <w:jc w:val="both"/>
        <w:rPr>
          <w:rFonts w:ascii="SimSun" w:hAnsi="SimSun"/>
        </w:rPr>
      </w:pPr>
      <w:r w:rsidRPr="00D87DAD">
        <w:rPr>
          <w:rStyle w:val="FootnoteReference"/>
          <w:rFonts w:ascii="SimSun" w:hAnsi="SimSun"/>
        </w:rPr>
        <w:footnoteRef/>
      </w:r>
      <w:r w:rsidRPr="00D87DAD">
        <w:rPr>
          <w:rFonts w:ascii="SimSun" w:hAnsi="SimSun"/>
        </w:rPr>
        <w:t xml:space="preserve"> </w:t>
      </w:r>
      <w:r w:rsidRPr="00D87DAD">
        <w:rPr>
          <w:rFonts w:ascii="SimSun" w:hAnsi="SimSun"/>
        </w:rPr>
        <w:tab/>
      </w:r>
      <w:r w:rsidRPr="00D87DAD">
        <w:rPr>
          <w:rFonts w:ascii="SimSun" w:hAnsi="SimSun" w:hint="eastAsia"/>
          <w:szCs w:val="18"/>
        </w:rPr>
        <w:t>于2006年7月订立分期付款计划，每年支付对巴黎、伯尔尼和尼斯联盟和单一会费制度的拖欠款项，分十年付清。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DE" w:rsidRDefault="006A2BDE" w:rsidP="00477D6B">
    <w:pPr>
      <w:jc w:val="right"/>
    </w:pPr>
    <w:bookmarkStart w:id="2" w:name="Code2"/>
    <w:bookmarkEnd w:id="2"/>
    <w:r>
      <w:t>WO/PBC/22/7</w:t>
    </w:r>
  </w:p>
  <w:p w:rsidR="006A2BDE" w:rsidRDefault="006A2BD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547C">
      <w:rPr>
        <w:noProof/>
      </w:rPr>
      <w:t>8</w:t>
    </w:r>
    <w:r>
      <w:fldChar w:fldCharType="end"/>
    </w:r>
  </w:p>
  <w:p w:rsidR="006A2BDE" w:rsidRDefault="006A2BDE" w:rsidP="00986CE8"/>
  <w:p w:rsidR="006A2BDE" w:rsidRDefault="006A2BDE" w:rsidP="00986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DE" w:rsidRPr="006A2BDE" w:rsidRDefault="006A2BDE" w:rsidP="00477D6B">
    <w:pPr>
      <w:jc w:val="right"/>
      <w:rPr>
        <w:rFonts w:ascii="SimSun" w:hAnsi="SimSun"/>
        <w:sz w:val="21"/>
      </w:rPr>
    </w:pPr>
    <w:r w:rsidRPr="006A2BDE">
      <w:rPr>
        <w:rFonts w:ascii="SimSun" w:hAnsi="SimSun"/>
        <w:sz w:val="21"/>
      </w:rPr>
      <w:t>WO/PBC/22/7</w:t>
    </w:r>
  </w:p>
  <w:p w:rsidR="006A2BDE" w:rsidRDefault="006A2BDE" w:rsidP="006A2BDE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6A2BDE">
      <w:rPr>
        <w:rFonts w:ascii="SimSun" w:hAnsi="SimSun"/>
        <w:sz w:val="21"/>
      </w:rPr>
      <w:fldChar w:fldCharType="begin"/>
    </w:r>
    <w:r w:rsidRPr="006A2BDE">
      <w:rPr>
        <w:rFonts w:ascii="SimSun" w:hAnsi="SimSun"/>
        <w:sz w:val="21"/>
      </w:rPr>
      <w:instrText xml:space="preserve"> PAGE  \* MERGEFORMAT </w:instrText>
    </w:r>
    <w:r w:rsidRPr="006A2BDE">
      <w:rPr>
        <w:rFonts w:ascii="SimSun" w:hAnsi="SimSun"/>
        <w:sz w:val="21"/>
      </w:rPr>
      <w:fldChar w:fldCharType="separate"/>
    </w:r>
    <w:r w:rsidR="001D547C">
      <w:rPr>
        <w:rFonts w:ascii="SimSun" w:hAnsi="SimSun"/>
        <w:noProof/>
        <w:sz w:val="21"/>
      </w:rPr>
      <w:t>8</w:t>
    </w:r>
    <w:r w:rsidRPr="006A2BDE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6A2BDE" w:rsidRDefault="006A2BDE" w:rsidP="006A2BDE">
    <w:pPr>
      <w:jc w:val="right"/>
      <w:rPr>
        <w:rFonts w:ascii="SimSun" w:hAnsi="SimSun"/>
        <w:sz w:val="21"/>
      </w:rPr>
    </w:pPr>
  </w:p>
  <w:p w:rsidR="006A2BDE" w:rsidRDefault="006A2BDE" w:rsidP="006A2BDE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81854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p w:rsidR="006A2BDE" w:rsidRPr="00996283" w:rsidRDefault="006A2BDE" w:rsidP="00A74636">
        <w:pPr>
          <w:pStyle w:val="Header"/>
          <w:jc w:val="right"/>
          <w:rPr>
            <w:rFonts w:ascii="SimSun" w:hAnsi="SimSun"/>
            <w:sz w:val="21"/>
          </w:rPr>
        </w:pPr>
        <w:r w:rsidRPr="00996283">
          <w:rPr>
            <w:rFonts w:ascii="SimSun" w:hAnsi="SimSun"/>
            <w:sz w:val="21"/>
          </w:rPr>
          <w:t>WO/PBC/22/7</w:t>
        </w:r>
      </w:p>
      <w:p w:rsidR="006A2BDE" w:rsidRDefault="006A2BDE" w:rsidP="00A74636">
        <w:pPr>
          <w:pStyle w:val="Header"/>
          <w:jc w:val="right"/>
          <w:rPr>
            <w:rFonts w:ascii="SimSun" w:hAnsi="SimSun"/>
            <w:noProof/>
            <w:sz w:val="21"/>
          </w:rPr>
        </w:pPr>
        <w:r>
          <w:rPr>
            <w:rFonts w:ascii="SimSun" w:hAnsi="SimSun" w:hint="eastAsia"/>
            <w:sz w:val="21"/>
          </w:rPr>
          <w:t>第</w:t>
        </w:r>
        <w:r w:rsidRPr="00996283">
          <w:rPr>
            <w:rFonts w:ascii="SimSun" w:hAnsi="SimSun"/>
            <w:sz w:val="21"/>
          </w:rPr>
          <w:fldChar w:fldCharType="begin"/>
        </w:r>
        <w:r w:rsidRPr="00996283">
          <w:rPr>
            <w:rFonts w:ascii="SimSun" w:hAnsi="SimSun"/>
            <w:sz w:val="21"/>
          </w:rPr>
          <w:instrText xml:space="preserve"> PAGE   \* MERGEFORMAT </w:instrText>
        </w:r>
        <w:r w:rsidRPr="00996283">
          <w:rPr>
            <w:rFonts w:ascii="SimSun" w:hAnsi="SimSun"/>
            <w:sz w:val="21"/>
          </w:rPr>
          <w:fldChar w:fldCharType="separate"/>
        </w:r>
        <w:r w:rsidR="001D547C">
          <w:rPr>
            <w:rFonts w:ascii="SimSun" w:hAnsi="SimSun"/>
            <w:noProof/>
            <w:sz w:val="21"/>
          </w:rPr>
          <w:t>2</w:t>
        </w:r>
        <w:r w:rsidRPr="00996283">
          <w:rPr>
            <w:rFonts w:ascii="SimSun" w:hAnsi="SimSun"/>
            <w:noProof/>
            <w:sz w:val="21"/>
          </w:rPr>
          <w:fldChar w:fldCharType="end"/>
        </w:r>
        <w:r>
          <w:rPr>
            <w:rFonts w:ascii="SimSun" w:hAnsi="SimSun" w:hint="eastAsia"/>
            <w:noProof/>
            <w:sz w:val="21"/>
          </w:rPr>
          <w:t>页</w:t>
        </w:r>
      </w:p>
      <w:p w:rsidR="006A2BDE" w:rsidRPr="00996283" w:rsidRDefault="001D547C" w:rsidP="00A74636">
        <w:pPr>
          <w:pStyle w:val="Header"/>
          <w:jc w:val="right"/>
          <w:rPr>
            <w:rFonts w:ascii="SimSun" w:hAnsi="SimSun"/>
            <w:sz w:val="21"/>
          </w:rPr>
        </w:pPr>
      </w:p>
    </w:sdtContent>
  </w:sdt>
  <w:p w:rsidR="006A2BDE" w:rsidRPr="00996283" w:rsidRDefault="006A2BDE" w:rsidP="00A74636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66B427A"/>
    <w:multiLevelType w:val="hybridMultilevel"/>
    <w:tmpl w:val="2DEC0C82"/>
    <w:lvl w:ilvl="0" w:tplc="49C0BFA4">
      <w:start w:val="1"/>
      <w:numFmt w:val="decimal"/>
      <w:lvlText w:val="%1."/>
      <w:lvlJc w:val="left"/>
      <w:pPr>
        <w:ind w:left="5889" w:hanging="360"/>
      </w:pPr>
      <w:rPr>
        <w:i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A"/>
    <w:rsid w:val="00004519"/>
    <w:rsid w:val="00015D2A"/>
    <w:rsid w:val="00021CF8"/>
    <w:rsid w:val="00022AEE"/>
    <w:rsid w:val="000239E1"/>
    <w:rsid w:val="00043CAA"/>
    <w:rsid w:val="00053A7B"/>
    <w:rsid w:val="00065B30"/>
    <w:rsid w:val="00075432"/>
    <w:rsid w:val="00082BFD"/>
    <w:rsid w:val="000968ED"/>
    <w:rsid w:val="000C371A"/>
    <w:rsid w:val="000D01EC"/>
    <w:rsid w:val="000D5A74"/>
    <w:rsid w:val="000E33CA"/>
    <w:rsid w:val="000F5E56"/>
    <w:rsid w:val="00123B37"/>
    <w:rsid w:val="00125442"/>
    <w:rsid w:val="0012593D"/>
    <w:rsid w:val="00131078"/>
    <w:rsid w:val="001362EE"/>
    <w:rsid w:val="001629F4"/>
    <w:rsid w:val="00175865"/>
    <w:rsid w:val="001832A6"/>
    <w:rsid w:val="0018512E"/>
    <w:rsid w:val="00185B40"/>
    <w:rsid w:val="001B78EC"/>
    <w:rsid w:val="001C2119"/>
    <w:rsid w:val="001D547C"/>
    <w:rsid w:val="001E1912"/>
    <w:rsid w:val="0022517A"/>
    <w:rsid w:val="00232615"/>
    <w:rsid w:val="00242A4C"/>
    <w:rsid w:val="002528E4"/>
    <w:rsid w:val="002634C4"/>
    <w:rsid w:val="002928D3"/>
    <w:rsid w:val="002A1C27"/>
    <w:rsid w:val="002B5B82"/>
    <w:rsid w:val="002C64DE"/>
    <w:rsid w:val="002C7A08"/>
    <w:rsid w:val="002D230A"/>
    <w:rsid w:val="002F1FE6"/>
    <w:rsid w:val="002F4E68"/>
    <w:rsid w:val="00310DBC"/>
    <w:rsid w:val="00312F7F"/>
    <w:rsid w:val="003163CD"/>
    <w:rsid w:val="00316F93"/>
    <w:rsid w:val="00332C8A"/>
    <w:rsid w:val="00344796"/>
    <w:rsid w:val="00361139"/>
    <w:rsid w:val="00361450"/>
    <w:rsid w:val="00361BFC"/>
    <w:rsid w:val="0036540A"/>
    <w:rsid w:val="003673CF"/>
    <w:rsid w:val="003845C1"/>
    <w:rsid w:val="003922C4"/>
    <w:rsid w:val="00395EC7"/>
    <w:rsid w:val="00397951"/>
    <w:rsid w:val="003A12EA"/>
    <w:rsid w:val="003A6F89"/>
    <w:rsid w:val="003B146B"/>
    <w:rsid w:val="003B38C1"/>
    <w:rsid w:val="003B4D55"/>
    <w:rsid w:val="003C1508"/>
    <w:rsid w:val="003E18A5"/>
    <w:rsid w:val="00423E3E"/>
    <w:rsid w:val="00425CFD"/>
    <w:rsid w:val="00427AF4"/>
    <w:rsid w:val="00432D74"/>
    <w:rsid w:val="004369A2"/>
    <w:rsid w:val="0044004B"/>
    <w:rsid w:val="0046308C"/>
    <w:rsid w:val="004647DA"/>
    <w:rsid w:val="00464888"/>
    <w:rsid w:val="00474062"/>
    <w:rsid w:val="00477D6B"/>
    <w:rsid w:val="004A6478"/>
    <w:rsid w:val="004B50BA"/>
    <w:rsid w:val="004C3103"/>
    <w:rsid w:val="004C6E03"/>
    <w:rsid w:val="004D581D"/>
    <w:rsid w:val="004E1A1C"/>
    <w:rsid w:val="004E1A39"/>
    <w:rsid w:val="004F14DF"/>
    <w:rsid w:val="005019FF"/>
    <w:rsid w:val="0053057A"/>
    <w:rsid w:val="0053436E"/>
    <w:rsid w:val="00540AB8"/>
    <w:rsid w:val="00541EFC"/>
    <w:rsid w:val="005546AB"/>
    <w:rsid w:val="00560A29"/>
    <w:rsid w:val="00573D75"/>
    <w:rsid w:val="0057508D"/>
    <w:rsid w:val="005A76FE"/>
    <w:rsid w:val="005B401F"/>
    <w:rsid w:val="005C6649"/>
    <w:rsid w:val="005F75F3"/>
    <w:rsid w:val="00602483"/>
    <w:rsid w:val="00605827"/>
    <w:rsid w:val="00640936"/>
    <w:rsid w:val="00646050"/>
    <w:rsid w:val="006713CA"/>
    <w:rsid w:val="00671A7C"/>
    <w:rsid w:val="006727D9"/>
    <w:rsid w:val="00675ADD"/>
    <w:rsid w:val="00676C5C"/>
    <w:rsid w:val="006942A9"/>
    <w:rsid w:val="006A2BDE"/>
    <w:rsid w:val="006D3C4E"/>
    <w:rsid w:val="00726679"/>
    <w:rsid w:val="00731280"/>
    <w:rsid w:val="00731AE8"/>
    <w:rsid w:val="00732CA3"/>
    <w:rsid w:val="00737481"/>
    <w:rsid w:val="00742F19"/>
    <w:rsid w:val="0075518E"/>
    <w:rsid w:val="007669E1"/>
    <w:rsid w:val="0076725B"/>
    <w:rsid w:val="007838A2"/>
    <w:rsid w:val="00785A39"/>
    <w:rsid w:val="007C6785"/>
    <w:rsid w:val="007D0032"/>
    <w:rsid w:val="007D1613"/>
    <w:rsid w:val="007F4B31"/>
    <w:rsid w:val="008141AB"/>
    <w:rsid w:val="008533AE"/>
    <w:rsid w:val="008640EA"/>
    <w:rsid w:val="00882A75"/>
    <w:rsid w:val="00891E68"/>
    <w:rsid w:val="0089345D"/>
    <w:rsid w:val="00895287"/>
    <w:rsid w:val="008A0FDF"/>
    <w:rsid w:val="008B2CC1"/>
    <w:rsid w:val="008B60B2"/>
    <w:rsid w:val="008B6BB1"/>
    <w:rsid w:val="008C63BB"/>
    <w:rsid w:val="008D687D"/>
    <w:rsid w:val="008E3A3A"/>
    <w:rsid w:val="008F4C83"/>
    <w:rsid w:val="0090646B"/>
    <w:rsid w:val="0090731E"/>
    <w:rsid w:val="00916EE2"/>
    <w:rsid w:val="009207CC"/>
    <w:rsid w:val="00930A37"/>
    <w:rsid w:val="00940917"/>
    <w:rsid w:val="00940AE9"/>
    <w:rsid w:val="00966A22"/>
    <w:rsid w:val="0096722F"/>
    <w:rsid w:val="009712C6"/>
    <w:rsid w:val="00980843"/>
    <w:rsid w:val="00986CE8"/>
    <w:rsid w:val="00993810"/>
    <w:rsid w:val="00996283"/>
    <w:rsid w:val="009A11F8"/>
    <w:rsid w:val="009C5EB7"/>
    <w:rsid w:val="009E2791"/>
    <w:rsid w:val="009E34CC"/>
    <w:rsid w:val="009E3F6F"/>
    <w:rsid w:val="009F499F"/>
    <w:rsid w:val="00A2245A"/>
    <w:rsid w:val="00A34AD6"/>
    <w:rsid w:val="00A36E1F"/>
    <w:rsid w:val="00A3774A"/>
    <w:rsid w:val="00A42DAF"/>
    <w:rsid w:val="00A45BD8"/>
    <w:rsid w:val="00A74636"/>
    <w:rsid w:val="00A869B7"/>
    <w:rsid w:val="00A9077E"/>
    <w:rsid w:val="00AA7808"/>
    <w:rsid w:val="00AC205C"/>
    <w:rsid w:val="00AC46A4"/>
    <w:rsid w:val="00AD517A"/>
    <w:rsid w:val="00AE6D9F"/>
    <w:rsid w:val="00AF0A6B"/>
    <w:rsid w:val="00B05A69"/>
    <w:rsid w:val="00B14587"/>
    <w:rsid w:val="00B474B1"/>
    <w:rsid w:val="00B62B0F"/>
    <w:rsid w:val="00B9734B"/>
    <w:rsid w:val="00BC7AA5"/>
    <w:rsid w:val="00C01847"/>
    <w:rsid w:val="00C11BFE"/>
    <w:rsid w:val="00C2766F"/>
    <w:rsid w:val="00C60FC4"/>
    <w:rsid w:val="00C6522C"/>
    <w:rsid w:val="00C81886"/>
    <w:rsid w:val="00C93C60"/>
    <w:rsid w:val="00CA4B94"/>
    <w:rsid w:val="00CB611E"/>
    <w:rsid w:val="00CD6994"/>
    <w:rsid w:val="00CF03F5"/>
    <w:rsid w:val="00CF4441"/>
    <w:rsid w:val="00D014CD"/>
    <w:rsid w:val="00D031C3"/>
    <w:rsid w:val="00D05663"/>
    <w:rsid w:val="00D174AE"/>
    <w:rsid w:val="00D227AA"/>
    <w:rsid w:val="00D23560"/>
    <w:rsid w:val="00D45252"/>
    <w:rsid w:val="00D54F97"/>
    <w:rsid w:val="00D71B4D"/>
    <w:rsid w:val="00D813AF"/>
    <w:rsid w:val="00D87DAD"/>
    <w:rsid w:val="00D93D55"/>
    <w:rsid w:val="00D960E4"/>
    <w:rsid w:val="00DB1F46"/>
    <w:rsid w:val="00DF4E69"/>
    <w:rsid w:val="00E13454"/>
    <w:rsid w:val="00E2202F"/>
    <w:rsid w:val="00E335FE"/>
    <w:rsid w:val="00E35625"/>
    <w:rsid w:val="00E376D0"/>
    <w:rsid w:val="00E46CA4"/>
    <w:rsid w:val="00E52FF2"/>
    <w:rsid w:val="00E84096"/>
    <w:rsid w:val="00E9331B"/>
    <w:rsid w:val="00E963D8"/>
    <w:rsid w:val="00EC4E49"/>
    <w:rsid w:val="00ED77FB"/>
    <w:rsid w:val="00EE45FA"/>
    <w:rsid w:val="00EE6034"/>
    <w:rsid w:val="00EE6994"/>
    <w:rsid w:val="00EF027C"/>
    <w:rsid w:val="00F006B9"/>
    <w:rsid w:val="00F13138"/>
    <w:rsid w:val="00F42616"/>
    <w:rsid w:val="00F6348D"/>
    <w:rsid w:val="00F66152"/>
    <w:rsid w:val="00F73A73"/>
    <w:rsid w:val="00F7671E"/>
    <w:rsid w:val="00F77E98"/>
    <w:rsid w:val="00F9246C"/>
    <w:rsid w:val="00FB4B38"/>
    <w:rsid w:val="00FC12C7"/>
    <w:rsid w:val="00FC4743"/>
    <w:rsid w:val="00FC7024"/>
    <w:rsid w:val="00FD6640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Organizer">
    <w:name w:val="Organizer"/>
    <w:basedOn w:val="Normal"/>
    <w:semiHidden/>
    <w:rsid w:val="00310DBC"/>
    <w:pPr>
      <w:widowControl w:val="0"/>
      <w:adjustRightInd w:val="0"/>
      <w:spacing w:after="600" w:line="260" w:lineRule="exact"/>
      <w:ind w:left="-992" w:right="-992"/>
      <w:jc w:val="center"/>
      <w:textAlignment w:val="baseline"/>
    </w:pPr>
    <w:rPr>
      <w:rFonts w:eastAsiaTheme="minorEastAsia" w:cs="Times New Roman"/>
      <w:b/>
      <w:caps/>
      <w:kern w:val="26"/>
      <w:sz w:val="26"/>
      <w:lang w:eastAsia="en-US"/>
    </w:rPr>
  </w:style>
  <w:style w:type="paragraph" w:customStyle="1" w:styleId="1">
    <w:name w:val="普通表格1"/>
    <w:basedOn w:val="Normal"/>
    <w:rsid w:val="00310DBC"/>
    <w:pPr>
      <w:widowControl w:val="0"/>
      <w:adjustRightInd w:val="0"/>
      <w:jc w:val="both"/>
      <w:textAlignment w:val="baseline"/>
    </w:pPr>
    <w:rPr>
      <w:rFonts w:eastAsiaTheme="minorEastAsia" w:cs="Times New Roman"/>
      <w:snapToGrid w:val="0"/>
      <w:color w:val="000000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Organizer">
    <w:name w:val="Organizer"/>
    <w:basedOn w:val="Normal"/>
    <w:semiHidden/>
    <w:rsid w:val="00310DBC"/>
    <w:pPr>
      <w:widowControl w:val="0"/>
      <w:adjustRightInd w:val="0"/>
      <w:spacing w:after="600" w:line="260" w:lineRule="exact"/>
      <w:ind w:left="-992" w:right="-992"/>
      <w:jc w:val="center"/>
      <w:textAlignment w:val="baseline"/>
    </w:pPr>
    <w:rPr>
      <w:rFonts w:eastAsiaTheme="minorEastAsia" w:cs="Times New Roman"/>
      <w:b/>
      <w:caps/>
      <w:kern w:val="26"/>
      <w:sz w:val="26"/>
      <w:lang w:eastAsia="en-US"/>
    </w:rPr>
  </w:style>
  <w:style w:type="paragraph" w:customStyle="1" w:styleId="1">
    <w:name w:val="普通表格1"/>
    <w:basedOn w:val="Normal"/>
    <w:rsid w:val="00310DBC"/>
    <w:pPr>
      <w:widowControl w:val="0"/>
      <w:adjustRightInd w:val="0"/>
      <w:jc w:val="both"/>
      <w:textAlignment w:val="baseline"/>
    </w:pPr>
    <w:rPr>
      <w:rFonts w:eastAsiaTheme="minorEastAsia" w:cs="Times New Roman"/>
      <w:snapToGrid w:val="0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FA05-6319-4CF5-A9AD-D3D23A56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(E).dot</Template>
  <TotalTime>5</TotalTime>
  <Pages>8</Pages>
  <Words>3209</Words>
  <Characters>5312</Characters>
  <Application>Microsoft Office Word</Application>
  <DocSecurity>4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WO/PBC/22/7</vt:lpstr>
    </vt:vector>
  </TitlesOfParts>
  <Company>WIPO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WO/PBC/22/7</dc:title>
  <dc:subject>截至2014年6月30日的会费缴纳情况</dc:subject>
  <dc:creator>MITON GENOUD Anne</dc:creator>
  <cp:lastModifiedBy>MITON GENOUD Anne</cp:lastModifiedBy>
  <cp:revision>2</cp:revision>
  <cp:lastPrinted>2014-07-21T07:37:00Z</cp:lastPrinted>
  <dcterms:created xsi:type="dcterms:W3CDTF">2014-07-21T07:42:00Z</dcterms:created>
  <dcterms:modified xsi:type="dcterms:W3CDTF">2014-07-21T07:42:00Z</dcterms:modified>
</cp:coreProperties>
</file>