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34636" w:rsidRPr="00207928" w:rsidTr="00E45143">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A34636" w:rsidRPr="00207928" w:rsidRDefault="00A34636" w:rsidP="00E45143">
            <w:pPr>
              <w:widowControl w:val="0"/>
              <w:jc w:val="both"/>
              <w:rPr>
                <w:rFonts w:ascii="Calibri" w:hAnsi="Calibri" w:cs="Times New Roman"/>
                <w:kern w:val="2"/>
                <w:sz w:val="21"/>
                <w:szCs w:val="22"/>
              </w:rPr>
            </w:pPr>
            <w:bookmarkStart w:id="0" w:name="_GoBack"/>
            <w:bookmarkEnd w:id="0"/>
            <w:r w:rsidRPr="00207928">
              <w:rPr>
                <w:rFonts w:ascii="Calibri" w:hAnsi="Calibri" w:cs="Times New Roman"/>
                <w:noProof/>
                <w:kern w:val="2"/>
                <w:sz w:val="21"/>
                <w:szCs w:val="22"/>
                <w:lang w:eastAsia="en-US"/>
              </w:rPr>
              <w:drawing>
                <wp:anchor distT="0" distB="0" distL="114300" distR="114300" simplePos="0" relativeHeight="251659264" behindDoc="1" locked="0" layoutInCell="0" allowOverlap="1" wp14:anchorId="3E14C52F" wp14:editId="3DDD7337">
                  <wp:simplePos x="0" y="0"/>
                  <wp:positionH relativeFrom="page">
                    <wp:posOffset>3834130</wp:posOffset>
                  </wp:positionH>
                  <wp:positionV relativeFrom="margin">
                    <wp:posOffset>0</wp:posOffset>
                  </wp:positionV>
                  <wp:extent cx="866775" cy="1323975"/>
                  <wp:effectExtent l="0" t="0" r="9525" b="9525"/>
                  <wp:wrapNone/>
                  <wp:docPr id="12" name="图片 1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A34636" w:rsidRPr="00207928" w:rsidRDefault="00A34636" w:rsidP="00E45143">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A34636" w:rsidRPr="00207928" w:rsidRDefault="00A34636" w:rsidP="00E45143">
            <w:pPr>
              <w:widowControl w:val="0"/>
              <w:jc w:val="right"/>
              <w:rPr>
                <w:kern w:val="2"/>
                <w:sz w:val="21"/>
                <w:szCs w:val="22"/>
              </w:rPr>
            </w:pPr>
            <w:r w:rsidRPr="00207928">
              <w:rPr>
                <w:b/>
                <w:kern w:val="2"/>
                <w:sz w:val="40"/>
                <w:szCs w:val="40"/>
              </w:rPr>
              <w:t>C</w:t>
            </w:r>
          </w:p>
        </w:tc>
      </w:tr>
      <w:tr w:rsidR="00A34636" w:rsidRPr="00207928" w:rsidTr="00E45143">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A34636" w:rsidRPr="00207928" w:rsidRDefault="00A34636" w:rsidP="00A34636">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22</w:t>
            </w:r>
            <w:r w:rsidRPr="00207928">
              <w:rPr>
                <w:rFonts w:ascii="Arial Black" w:eastAsia="SimHei" w:hAnsi="Arial Black" w:cs="Times New Roman"/>
                <w:caps/>
                <w:kern w:val="2"/>
                <w:sz w:val="15"/>
                <w:szCs w:val="22"/>
              </w:rPr>
              <w:t>/</w:t>
            </w:r>
            <w:r>
              <w:rPr>
                <w:rFonts w:ascii="Arial Black" w:eastAsia="SimHei" w:hAnsi="Arial Black" w:cs="Times New Roman" w:hint="eastAsia"/>
                <w:caps/>
                <w:kern w:val="2"/>
                <w:sz w:val="15"/>
                <w:szCs w:val="22"/>
              </w:rPr>
              <w:t>28</w:t>
            </w:r>
          </w:p>
        </w:tc>
      </w:tr>
      <w:tr w:rsidR="00A34636" w:rsidRPr="00207928" w:rsidTr="00E45143">
        <w:trPr>
          <w:trHeight w:hRule="exact" w:val="170"/>
        </w:trPr>
        <w:tc>
          <w:tcPr>
            <w:tcW w:w="9356" w:type="dxa"/>
            <w:gridSpan w:val="3"/>
            <w:noWrap/>
            <w:tcMar>
              <w:top w:w="0" w:type="dxa"/>
              <w:left w:w="0" w:type="dxa"/>
              <w:bottom w:w="0" w:type="dxa"/>
              <w:right w:w="0" w:type="dxa"/>
            </w:tcMar>
            <w:vAlign w:val="bottom"/>
            <w:hideMark/>
          </w:tcPr>
          <w:p w:rsidR="00A34636" w:rsidRPr="00207928" w:rsidRDefault="00A34636" w:rsidP="00E45143">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A34636" w:rsidRPr="00207928" w:rsidTr="00E45143">
        <w:trPr>
          <w:trHeight w:hRule="exact" w:val="198"/>
        </w:trPr>
        <w:tc>
          <w:tcPr>
            <w:tcW w:w="9356" w:type="dxa"/>
            <w:gridSpan w:val="3"/>
            <w:tcMar>
              <w:top w:w="0" w:type="dxa"/>
              <w:left w:w="0" w:type="dxa"/>
              <w:bottom w:w="0" w:type="dxa"/>
              <w:right w:w="0" w:type="dxa"/>
            </w:tcMar>
            <w:vAlign w:val="bottom"/>
            <w:hideMark/>
          </w:tcPr>
          <w:p w:rsidR="00A34636" w:rsidRPr="00207928" w:rsidRDefault="00A34636" w:rsidP="00A34636">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Pr="00207928">
              <w:rPr>
                <w:rFonts w:ascii="Arial Black" w:eastAsia="SimHei" w:hAnsi="Arial Black" w:cs="Times New Roman" w:hint="eastAsia"/>
                <w:kern w:val="2"/>
                <w:sz w:val="15"/>
                <w:szCs w:val="15"/>
                <w:lang w:val="pt-BR"/>
              </w:rPr>
              <w:t>4</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29</w:t>
            </w:r>
            <w:r w:rsidRPr="00207928">
              <w:rPr>
                <w:rFonts w:ascii="Arial Black" w:eastAsia="SimHei" w:hAnsi="Arial Black" w:cs="Times New Roman" w:hint="eastAsia"/>
                <w:b/>
                <w:kern w:val="2"/>
                <w:sz w:val="15"/>
                <w:szCs w:val="15"/>
                <w:lang w:val="pt-BR"/>
              </w:rPr>
              <w:t>日</w:t>
            </w:r>
          </w:p>
        </w:tc>
      </w:tr>
    </w:tbl>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第二十二届会议</w:t>
      </w:r>
    </w:p>
    <w:p w:rsidR="00A34636" w:rsidRPr="006E202E" w:rsidRDefault="00A34636" w:rsidP="00A34636">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Pr="006E202E">
        <w:rPr>
          <w:rFonts w:ascii="KaiTi" w:eastAsia="KaiTi" w:hAnsi="KaiTi" w:cs="Times New Roman" w:hint="eastAsia"/>
          <w:kern w:val="2"/>
          <w:sz w:val="24"/>
          <w:szCs w:val="24"/>
        </w:rPr>
        <w:t>4</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Pr="006E202E">
        <w:rPr>
          <w:rFonts w:ascii="KaiTi" w:eastAsia="KaiTi" w:hAnsi="KaiTi" w:hint="eastAsia"/>
          <w:b/>
          <w:kern w:val="2"/>
          <w:sz w:val="24"/>
          <w:szCs w:val="24"/>
        </w:rPr>
        <w:t>日至</w:t>
      </w:r>
      <w:r w:rsidRPr="006E202E">
        <w:rPr>
          <w:rFonts w:ascii="KaiTi" w:eastAsia="KaiTi" w:hAnsi="KaiTi" w:cs="Times New Roman" w:hint="eastAsia"/>
          <w:kern w:val="2"/>
          <w:sz w:val="24"/>
          <w:szCs w:val="24"/>
        </w:rPr>
        <w:t>5</w:t>
      </w:r>
      <w:r w:rsidRPr="006E202E">
        <w:rPr>
          <w:rFonts w:ascii="KaiTi" w:eastAsia="KaiTi" w:hAnsi="KaiTi" w:hint="eastAsia"/>
          <w:b/>
          <w:kern w:val="2"/>
          <w:sz w:val="24"/>
          <w:szCs w:val="24"/>
        </w:rPr>
        <w:t>日，日内瓦</w:t>
      </w: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rPr>
          <w:rFonts w:ascii="KaiTi" w:eastAsia="KaiTi" w:hAnsi="KaiTi"/>
          <w:caps/>
          <w:kern w:val="2"/>
          <w:sz w:val="24"/>
          <w:szCs w:val="24"/>
        </w:rPr>
      </w:pPr>
      <w:r w:rsidRPr="00A34636">
        <w:rPr>
          <w:rFonts w:ascii="KaiTi" w:eastAsia="KaiTi" w:hAnsi="KaiTi" w:hint="eastAsia"/>
          <w:caps/>
          <w:kern w:val="2"/>
          <w:sz w:val="24"/>
          <w:szCs w:val="24"/>
        </w:rPr>
        <w:t>审查WIPO的财务情况</w:t>
      </w:r>
      <w:r w:rsidR="003F453A">
        <w:rPr>
          <w:rFonts w:ascii="KaiTi" w:eastAsia="KaiTi" w:hAnsi="KaiTi" w:hint="eastAsia"/>
          <w:caps/>
          <w:kern w:val="2"/>
          <w:sz w:val="24"/>
          <w:szCs w:val="24"/>
        </w:rPr>
        <w:t>以</w:t>
      </w:r>
      <w:r w:rsidRPr="00A34636">
        <w:rPr>
          <w:rFonts w:ascii="KaiTi" w:eastAsia="KaiTi" w:hAnsi="KaiTi" w:hint="eastAsia"/>
          <w:caps/>
          <w:kern w:val="2"/>
          <w:sz w:val="24"/>
          <w:szCs w:val="24"/>
        </w:rPr>
        <w:t>及与储备金有关的政策</w:t>
      </w:r>
    </w:p>
    <w:p w:rsidR="00A34636" w:rsidRPr="006E202E" w:rsidRDefault="00A34636" w:rsidP="00A34636">
      <w:pPr>
        <w:widowControl w:val="0"/>
        <w:jc w:val="both"/>
        <w:rPr>
          <w:rFonts w:ascii="Calibri" w:hAnsi="Calibri" w:cs="Times New Roman"/>
          <w:kern w:val="2"/>
          <w:szCs w:val="22"/>
        </w:rPr>
      </w:pPr>
    </w:p>
    <w:p w:rsidR="00A34636" w:rsidRPr="006E202E" w:rsidRDefault="00A34636" w:rsidP="00A34636">
      <w:pPr>
        <w:widowControl w:val="0"/>
        <w:jc w:val="both"/>
        <w:rPr>
          <w:rFonts w:ascii="KaiTi" w:eastAsia="KaiTi" w:hAnsi="KaiTi"/>
          <w:i/>
          <w:kern w:val="2"/>
          <w:sz w:val="21"/>
          <w:szCs w:val="21"/>
        </w:rPr>
      </w:pPr>
      <w:r w:rsidRPr="008577D4">
        <w:rPr>
          <w:rFonts w:ascii="KaiTi" w:eastAsia="KaiTi" w:hAnsi="KaiTi" w:hint="eastAsia"/>
          <w:i/>
          <w:kern w:val="2"/>
          <w:sz w:val="21"/>
          <w:szCs w:val="21"/>
        </w:rPr>
        <w:t>秘书处编拟的文件</w:t>
      </w:r>
    </w:p>
    <w:p w:rsidR="00A34636" w:rsidRPr="006E202E" w:rsidRDefault="00A34636" w:rsidP="00A34636">
      <w:pPr>
        <w:widowControl w:val="0"/>
        <w:rPr>
          <w:kern w:val="2"/>
          <w:szCs w:val="22"/>
        </w:rPr>
      </w:pPr>
    </w:p>
    <w:p w:rsidR="00A34636" w:rsidRPr="006E202E" w:rsidRDefault="00A34636" w:rsidP="00A34636">
      <w:pPr>
        <w:widowControl w:val="0"/>
        <w:rPr>
          <w:kern w:val="2"/>
          <w:szCs w:val="22"/>
        </w:rPr>
      </w:pPr>
    </w:p>
    <w:p w:rsidR="00A34636" w:rsidRPr="006E202E" w:rsidRDefault="00A34636" w:rsidP="00A34636">
      <w:pPr>
        <w:widowControl w:val="0"/>
        <w:rPr>
          <w:kern w:val="2"/>
          <w:szCs w:val="22"/>
        </w:rPr>
      </w:pPr>
    </w:p>
    <w:p w:rsidR="00A34636" w:rsidRPr="006E202E" w:rsidRDefault="00A34636" w:rsidP="00A34636">
      <w:pPr>
        <w:widowControl w:val="0"/>
        <w:rPr>
          <w:kern w:val="2"/>
          <w:szCs w:val="22"/>
        </w:rPr>
      </w:pPr>
    </w:p>
    <w:p w:rsidR="00D913AD" w:rsidRPr="00D913AD" w:rsidRDefault="000D7C73" w:rsidP="00D913AD">
      <w:pPr>
        <w:keepNext/>
        <w:spacing w:beforeLines="100" w:before="240" w:afterLines="50" w:after="120" w:line="340" w:lineRule="atLeast"/>
        <w:rPr>
          <w:rFonts w:ascii="SimHei" w:eastAsia="SimHei" w:hAnsi="SimHei"/>
          <w:caps/>
          <w:sz w:val="21"/>
        </w:rPr>
      </w:pPr>
      <w:r w:rsidRPr="00D913AD">
        <w:rPr>
          <w:rFonts w:ascii="SimHei" w:eastAsia="SimHei" w:hAnsi="SimHei" w:hint="eastAsia"/>
          <w:caps/>
          <w:sz w:val="21"/>
        </w:rPr>
        <w:t>导</w:t>
      </w:r>
      <w:r w:rsidR="00D913AD">
        <w:rPr>
          <w:rFonts w:ascii="SimHei" w:eastAsia="SimHei" w:hAnsi="SimHei" w:hint="eastAsia"/>
          <w:caps/>
          <w:sz w:val="21"/>
        </w:rPr>
        <w:t xml:space="preserve">　</w:t>
      </w:r>
      <w:r w:rsidRPr="00D913AD">
        <w:rPr>
          <w:rFonts w:ascii="SimHei" w:eastAsia="SimHei" w:hAnsi="SimHei" w:hint="eastAsia"/>
          <w:caps/>
          <w:sz w:val="21"/>
        </w:rPr>
        <w:t>言</w:t>
      </w:r>
    </w:p>
    <w:p w:rsidR="000D3AE5" w:rsidRPr="00D913AD" w:rsidRDefault="000D7C73"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本文件</w:t>
      </w:r>
      <w:r w:rsidR="00E7205C" w:rsidRPr="00D913AD">
        <w:rPr>
          <w:rFonts w:ascii="SimSun" w:hAnsi="SimSun" w:hint="eastAsia"/>
          <w:sz w:val="21"/>
        </w:rPr>
        <w:t>的提出</w:t>
      </w:r>
      <w:r w:rsidRPr="00D913AD">
        <w:rPr>
          <w:rFonts w:ascii="SimSun" w:hAnsi="SimSun" w:hint="eastAsia"/>
          <w:sz w:val="21"/>
        </w:rPr>
        <w:t>是为了</w:t>
      </w:r>
      <w:r w:rsidR="00E7205C" w:rsidRPr="00D913AD">
        <w:rPr>
          <w:rFonts w:ascii="SimSun" w:hAnsi="SimSun" w:hint="eastAsia"/>
          <w:sz w:val="21"/>
        </w:rPr>
        <w:t>给</w:t>
      </w:r>
      <w:r w:rsidRPr="00D913AD">
        <w:rPr>
          <w:rFonts w:ascii="SimSun" w:hAnsi="SimSun" w:hint="eastAsia"/>
          <w:sz w:val="21"/>
        </w:rPr>
        <w:t>成员国</w:t>
      </w:r>
      <w:r w:rsidR="00222256" w:rsidRPr="00D913AD">
        <w:rPr>
          <w:rFonts w:ascii="SimSun" w:hAnsi="SimSun" w:hint="eastAsia"/>
          <w:sz w:val="21"/>
        </w:rPr>
        <w:t>审查WIPO的储备金及相关政策</w:t>
      </w:r>
      <w:r w:rsidR="00E7205C" w:rsidRPr="00D913AD">
        <w:rPr>
          <w:rFonts w:ascii="SimSun" w:hAnsi="SimSun" w:hint="eastAsia"/>
          <w:sz w:val="21"/>
        </w:rPr>
        <w:t>提供便利</w:t>
      </w:r>
      <w:r w:rsidR="00222256" w:rsidRPr="00D913AD">
        <w:rPr>
          <w:rFonts w:ascii="SimSun" w:hAnsi="SimSun" w:hint="eastAsia"/>
          <w:sz w:val="21"/>
        </w:rPr>
        <w:t>。</w:t>
      </w:r>
    </w:p>
    <w:p w:rsidR="008D7A02" w:rsidRPr="00D913AD" w:rsidRDefault="001C52F2"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WIPO的收入中，有很大比例来自其向全球经济提供的各</w:t>
      </w:r>
      <w:r w:rsidR="00F320D5" w:rsidRPr="00D913AD">
        <w:rPr>
          <w:rFonts w:ascii="SimSun" w:hAnsi="SimSun" w:hint="eastAsia"/>
          <w:sz w:val="21"/>
        </w:rPr>
        <w:t>项</w:t>
      </w:r>
      <w:r w:rsidRPr="00D913AD">
        <w:rPr>
          <w:rFonts w:ascii="SimSun" w:hAnsi="SimSun" w:hint="eastAsia"/>
          <w:sz w:val="21"/>
        </w:rPr>
        <w:t>服务的收费。因此</w:t>
      </w:r>
      <w:r w:rsidR="00F320D5" w:rsidRPr="00D913AD">
        <w:rPr>
          <w:rFonts w:ascii="SimSun" w:hAnsi="SimSun" w:hint="eastAsia"/>
          <w:sz w:val="21"/>
        </w:rPr>
        <w:t>，</w:t>
      </w:r>
      <w:r w:rsidR="00E7205C" w:rsidRPr="00D913AD">
        <w:rPr>
          <w:rFonts w:ascii="SimSun" w:hAnsi="SimSun" w:hint="eastAsia"/>
          <w:sz w:val="21"/>
        </w:rPr>
        <w:t>WIPO</w:t>
      </w:r>
      <w:r w:rsidR="00F320D5" w:rsidRPr="00D913AD">
        <w:rPr>
          <w:rFonts w:ascii="SimSun" w:hAnsi="SimSun" w:hint="eastAsia"/>
          <w:sz w:val="21"/>
        </w:rPr>
        <w:t>存在</w:t>
      </w:r>
      <w:r w:rsidRPr="00D913AD">
        <w:rPr>
          <w:rFonts w:ascii="SimSun" w:hAnsi="SimSun" w:hint="eastAsia"/>
          <w:sz w:val="21"/>
        </w:rPr>
        <w:t>着实际收入</w:t>
      </w:r>
      <w:r w:rsidR="00F320D5" w:rsidRPr="00D913AD">
        <w:rPr>
          <w:rFonts w:ascii="SimSun" w:hAnsi="SimSun" w:hint="eastAsia"/>
          <w:sz w:val="21"/>
        </w:rPr>
        <w:t>可能</w:t>
      </w:r>
      <w:r w:rsidRPr="00D913AD">
        <w:rPr>
          <w:rFonts w:ascii="SimSun" w:hAnsi="SimSun" w:hint="eastAsia"/>
          <w:sz w:val="21"/>
        </w:rPr>
        <w:t>达</w:t>
      </w:r>
      <w:r w:rsidR="00F320D5" w:rsidRPr="00D913AD">
        <w:rPr>
          <w:rFonts w:ascii="SimSun" w:hAnsi="SimSun" w:hint="eastAsia"/>
          <w:sz w:val="21"/>
        </w:rPr>
        <w:t>不</w:t>
      </w:r>
      <w:r w:rsidRPr="00D913AD">
        <w:rPr>
          <w:rFonts w:ascii="SimSun" w:hAnsi="SimSun" w:hint="eastAsia"/>
          <w:sz w:val="21"/>
        </w:rPr>
        <w:t>到两年期预测的风险，而这种预测是两年期预算的依据。借助</w:t>
      </w:r>
      <w:r w:rsidR="00F320D5" w:rsidRPr="00D913AD">
        <w:rPr>
          <w:rFonts w:ascii="SimSun" w:hAnsi="SimSun" w:hint="eastAsia"/>
          <w:sz w:val="21"/>
        </w:rPr>
        <w:t>若干</w:t>
      </w:r>
      <w:r w:rsidRPr="00D913AD">
        <w:rPr>
          <w:rFonts w:ascii="SimSun" w:hAnsi="SimSun" w:hint="eastAsia"/>
          <w:sz w:val="21"/>
        </w:rPr>
        <w:t>战略</w:t>
      </w:r>
      <w:r w:rsidR="00F320D5" w:rsidRPr="00D913AD">
        <w:rPr>
          <w:rFonts w:ascii="SimSun" w:hAnsi="SimSun" w:hint="eastAsia"/>
          <w:sz w:val="21"/>
        </w:rPr>
        <w:t>，这种风险有所降低。这些战略中最重要的是：</w:t>
      </w:r>
      <w:r w:rsidR="00AD149E" w:rsidRPr="00D913AD">
        <w:rPr>
          <w:rFonts w:ascii="SimSun" w:hAnsi="SimSun"/>
          <w:sz w:val="21"/>
        </w:rPr>
        <w:t>(</w:t>
      </w:r>
      <w:proofErr w:type="spellStart"/>
      <w:r w:rsidR="00382581" w:rsidRPr="00D913AD">
        <w:rPr>
          <w:rFonts w:ascii="SimSun" w:hAnsi="SimSun"/>
          <w:sz w:val="21"/>
        </w:rPr>
        <w:t>i</w:t>
      </w:r>
      <w:proofErr w:type="spellEnd"/>
      <w:r w:rsidR="00382581" w:rsidRPr="00D913AD">
        <w:rPr>
          <w:rFonts w:ascii="SimSun" w:hAnsi="SimSun"/>
          <w:sz w:val="21"/>
        </w:rPr>
        <w:t>)</w:t>
      </w:r>
      <w:r w:rsidR="00F320D5" w:rsidRPr="00D913AD">
        <w:rPr>
          <w:rFonts w:ascii="SimSun" w:hAnsi="SimSun" w:hint="eastAsia"/>
          <w:sz w:val="21"/>
        </w:rPr>
        <w:t>为占本组织总收入90%以上的PCT、马德里和海牙体系的收入流建立</w:t>
      </w:r>
      <w:r w:rsidR="00E7205C" w:rsidRPr="00D913AD">
        <w:rPr>
          <w:rFonts w:ascii="SimSun" w:hAnsi="SimSun" w:hint="eastAsia"/>
          <w:sz w:val="21"/>
        </w:rPr>
        <w:t>和使用</w:t>
      </w:r>
      <w:r w:rsidR="00F320D5" w:rsidRPr="00D913AD">
        <w:rPr>
          <w:rFonts w:ascii="SimSun" w:hAnsi="SimSun" w:hint="eastAsia"/>
          <w:sz w:val="21"/>
        </w:rPr>
        <w:t>可靠、健全的预测模型，提供可预测性；以及</w:t>
      </w:r>
      <w:r w:rsidR="00AD149E" w:rsidRPr="00D913AD">
        <w:rPr>
          <w:rFonts w:ascii="SimSun" w:hAnsi="SimSun"/>
          <w:sz w:val="21"/>
        </w:rPr>
        <w:t>(</w:t>
      </w:r>
      <w:r w:rsidR="00382581" w:rsidRPr="00D913AD">
        <w:rPr>
          <w:rFonts w:ascii="SimSun" w:hAnsi="SimSun"/>
          <w:sz w:val="21"/>
        </w:rPr>
        <w:t>ii)</w:t>
      </w:r>
      <w:r w:rsidR="00F320D5" w:rsidRPr="00D913AD">
        <w:rPr>
          <w:rFonts w:ascii="SimSun" w:hAnsi="SimSun" w:hint="eastAsia"/>
          <w:sz w:val="21"/>
        </w:rPr>
        <w:t>制定财务管理政策和程序，实现对本组织财务情况的</w:t>
      </w:r>
      <w:r w:rsidR="00E7205C" w:rsidRPr="00D913AD">
        <w:rPr>
          <w:rFonts w:ascii="SimSun" w:hAnsi="SimSun" w:hint="eastAsia"/>
          <w:sz w:val="21"/>
        </w:rPr>
        <w:t>连续</w:t>
      </w:r>
      <w:r w:rsidR="00F320D5" w:rsidRPr="00D913AD">
        <w:rPr>
          <w:rFonts w:ascii="SimSun" w:hAnsi="SimSun" w:hint="eastAsia"/>
          <w:sz w:val="21"/>
        </w:rPr>
        <w:t>监视和管理。</w:t>
      </w:r>
    </w:p>
    <w:p w:rsidR="00E03F81" w:rsidRPr="00D913AD" w:rsidRDefault="00F320D5"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在财务管理中，“储备金”一</w:t>
      </w:r>
      <w:r w:rsidR="008926D9" w:rsidRPr="00D913AD">
        <w:rPr>
          <w:rFonts w:ascii="SimSun" w:hAnsi="SimSun" w:hint="eastAsia"/>
          <w:sz w:val="21"/>
        </w:rPr>
        <w:t>词</w:t>
      </w:r>
      <w:r w:rsidRPr="00D913AD">
        <w:rPr>
          <w:rFonts w:ascii="SimSun" w:hAnsi="SimSun" w:hint="eastAsia"/>
          <w:sz w:val="21"/>
        </w:rPr>
        <w:t>被用于指多个概念。例如，可以</w:t>
      </w:r>
      <w:r w:rsidR="00E7205C" w:rsidRPr="00D913AD">
        <w:rPr>
          <w:rFonts w:ascii="SimSun" w:hAnsi="SimSun" w:hint="eastAsia"/>
          <w:sz w:val="21"/>
        </w:rPr>
        <w:t>指</w:t>
      </w:r>
      <w:r w:rsidRPr="00D913AD">
        <w:rPr>
          <w:rFonts w:ascii="SimSun" w:hAnsi="SimSun" w:hint="eastAsia"/>
          <w:sz w:val="21"/>
        </w:rPr>
        <w:t>为特别目的预留的资金，其用途定有特别规则，也可指为未来负债建立的准备金。在财务会计中，储备金可被定义为组织的</w:t>
      </w:r>
      <w:r w:rsidR="00E7205C" w:rsidRPr="00D913AD">
        <w:rPr>
          <w:rFonts w:ascii="SimSun" w:hAnsi="SimSun" w:hint="eastAsia"/>
          <w:sz w:val="21"/>
        </w:rPr>
        <w:t>“净</w:t>
      </w:r>
      <w:r w:rsidRPr="00D913AD">
        <w:rPr>
          <w:rFonts w:ascii="SimSun" w:hAnsi="SimSun" w:hint="eastAsia"/>
          <w:sz w:val="21"/>
        </w:rPr>
        <w:t>资产</w:t>
      </w:r>
      <w:r w:rsidR="00E7205C" w:rsidRPr="00D913AD">
        <w:rPr>
          <w:rFonts w:ascii="SimSun" w:hAnsi="SimSun" w:hint="eastAsia"/>
          <w:sz w:val="21"/>
        </w:rPr>
        <w:t>”</w:t>
      </w:r>
      <w:r w:rsidRPr="00D913AD">
        <w:rPr>
          <w:rFonts w:ascii="SimSun" w:hAnsi="SimSun" w:hint="eastAsia"/>
          <w:sz w:val="21"/>
        </w:rPr>
        <w:t>。</w:t>
      </w:r>
      <w:r w:rsidR="00747537" w:rsidRPr="00D913AD">
        <w:rPr>
          <w:rFonts w:ascii="SimSun" w:hAnsi="SimSun" w:hint="eastAsia"/>
          <w:sz w:val="21"/>
        </w:rPr>
        <w:t>一个财务管理</w:t>
      </w:r>
      <w:r w:rsidR="00E7205C" w:rsidRPr="00D913AD">
        <w:rPr>
          <w:rFonts w:ascii="SimSun" w:hAnsi="SimSun" w:hint="eastAsia"/>
          <w:sz w:val="21"/>
        </w:rPr>
        <w:t>健全</w:t>
      </w:r>
      <w:r w:rsidR="00747537" w:rsidRPr="00D913AD">
        <w:rPr>
          <w:rFonts w:ascii="SimSun" w:hAnsi="SimSun" w:hint="eastAsia"/>
          <w:sz w:val="21"/>
        </w:rPr>
        <w:t>的组织</w:t>
      </w:r>
      <w:r w:rsidR="00E7205C" w:rsidRPr="00D913AD">
        <w:rPr>
          <w:rFonts w:ascii="SimSun" w:hAnsi="SimSun" w:hint="eastAsia"/>
          <w:sz w:val="21"/>
        </w:rPr>
        <w:t>会</w:t>
      </w:r>
      <w:r w:rsidR="00747537" w:rsidRPr="00D913AD">
        <w:rPr>
          <w:rFonts w:ascii="SimSun" w:hAnsi="SimSun" w:hint="eastAsia"/>
          <w:sz w:val="21"/>
        </w:rPr>
        <w:t>以</w:t>
      </w:r>
      <w:r w:rsidR="00CE5CFD" w:rsidRPr="00D913AD">
        <w:rPr>
          <w:rFonts w:ascii="SimSun" w:hAnsi="SimSun" w:hint="eastAsia"/>
          <w:sz w:val="21"/>
        </w:rPr>
        <w:t>“健康”水平的</w:t>
      </w:r>
      <w:r w:rsidR="00E7205C" w:rsidRPr="00D913AD">
        <w:rPr>
          <w:rFonts w:ascii="SimSun" w:hAnsi="SimSun" w:hint="eastAsia"/>
          <w:sz w:val="21"/>
        </w:rPr>
        <w:t>净</w:t>
      </w:r>
      <w:r w:rsidR="00747537" w:rsidRPr="00D913AD">
        <w:rPr>
          <w:rFonts w:ascii="SimSun" w:hAnsi="SimSun" w:hint="eastAsia"/>
          <w:sz w:val="21"/>
        </w:rPr>
        <w:t>资产</w:t>
      </w:r>
      <w:r w:rsidR="00CE5CFD" w:rsidRPr="00D913AD">
        <w:rPr>
          <w:rFonts w:ascii="SimSun" w:hAnsi="SimSun" w:hint="eastAsia"/>
          <w:sz w:val="21"/>
        </w:rPr>
        <w:t>为目标。这种水平通常由若干因素决定，如组织的规模、其财政结构、业务的性质、</w:t>
      </w:r>
      <w:r w:rsidR="00C06003" w:rsidRPr="00D913AD">
        <w:rPr>
          <w:rFonts w:ascii="SimSun" w:hAnsi="SimSun" w:hint="eastAsia"/>
          <w:sz w:val="21"/>
        </w:rPr>
        <w:t>对</w:t>
      </w:r>
      <w:r w:rsidR="00CE5CFD" w:rsidRPr="00D913AD">
        <w:rPr>
          <w:rFonts w:ascii="SimSun" w:hAnsi="SimSun" w:hint="eastAsia"/>
          <w:sz w:val="21"/>
        </w:rPr>
        <w:t>其产品和服务的需求有哪些特点。除了保持储备金以外，不能进入资本市场、在执行业务中可能遇到流动性风险的组织，建立周</w:t>
      </w:r>
      <w:r w:rsidR="003F453A">
        <w:rPr>
          <w:rFonts w:ascii="SimSun" w:hAnsi="SimSun" w:hint="eastAsia"/>
          <w:sz w:val="21"/>
        </w:rPr>
        <w:t>转基金来降低这种风险。在储备金规划、管理、使用和报告上的做法，处</w:t>
      </w:r>
      <w:r w:rsidR="00CE5CFD" w:rsidRPr="00D913AD">
        <w:rPr>
          <w:rFonts w:ascii="SimSun" w:hAnsi="SimSun" w:hint="eastAsia"/>
          <w:sz w:val="21"/>
        </w:rPr>
        <w:t>于一个组织财务管理的核心。</w:t>
      </w:r>
    </w:p>
    <w:p w:rsidR="00D913AD" w:rsidRPr="00D913AD" w:rsidRDefault="00020B9C" w:rsidP="00D913AD">
      <w:pPr>
        <w:keepNext/>
        <w:spacing w:beforeLines="100" w:before="240" w:afterLines="50" w:after="120" w:line="340" w:lineRule="atLeast"/>
        <w:rPr>
          <w:rFonts w:ascii="SimHei" w:eastAsia="SimHei" w:hAnsi="SimHei"/>
          <w:caps/>
          <w:sz w:val="21"/>
        </w:rPr>
      </w:pPr>
      <w:r w:rsidRPr="00D913AD">
        <w:rPr>
          <w:rFonts w:ascii="SimHei" w:eastAsia="SimHei" w:hAnsi="SimHei"/>
          <w:caps/>
          <w:sz w:val="21"/>
        </w:rPr>
        <w:lastRenderedPageBreak/>
        <w:t>WIPO</w:t>
      </w:r>
      <w:r w:rsidR="00CE5CFD" w:rsidRPr="00D913AD">
        <w:rPr>
          <w:rFonts w:ascii="SimHei" w:eastAsia="SimHei" w:hAnsi="SimHei" w:hint="eastAsia"/>
          <w:caps/>
          <w:sz w:val="21"/>
        </w:rPr>
        <w:t>的储备金和周转基金政策</w:t>
      </w:r>
    </w:p>
    <w:p w:rsidR="00020B9C" w:rsidRPr="00D913AD" w:rsidRDefault="009D4F97"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对于WIPO，储备金和周转基金</w:t>
      </w:r>
      <w:r w:rsidRPr="00D913AD">
        <w:rPr>
          <w:rFonts w:ascii="SimSun" w:hAnsi="SimSun"/>
          <w:sz w:val="21"/>
        </w:rPr>
        <w:t>(RWCF)</w:t>
      </w:r>
      <w:r w:rsidR="00CE5CFD" w:rsidRPr="00D913AD">
        <w:rPr>
          <w:rFonts w:ascii="SimSun" w:hAnsi="SimSun" w:hint="eastAsia"/>
          <w:sz w:val="21"/>
        </w:rPr>
        <w:t>记</w:t>
      </w:r>
      <w:r w:rsidRPr="00D913AD">
        <w:rPr>
          <w:rFonts w:ascii="SimSun" w:hAnsi="SimSun" w:hint="eastAsia"/>
          <w:sz w:val="21"/>
        </w:rPr>
        <w:t>为本组织的资产净额，即总资产与总负债之差。WIPO的《财务条例与细则》(FRR)对本组织储备金和周转基金(RWCF)两个具体组成部分的定义如下：</w:t>
      </w:r>
    </w:p>
    <w:p w:rsidR="00020B9C" w:rsidRPr="00D913AD" w:rsidRDefault="009D4F97" w:rsidP="00D913AD">
      <w:pPr>
        <w:numPr>
          <w:ilvl w:val="0"/>
          <w:numId w:val="10"/>
        </w:numPr>
        <w:tabs>
          <w:tab w:val="clear" w:pos="720"/>
        </w:tabs>
        <w:spacing w:afterLines="50" w:after="120" w:line="340" w:lineRule="atLeast"/>
        <w:ind w:left="1134" w:hanging="567"/>
        <w:jc w:val="both"/>
        <w:rPr>
          <w:rFonts w:ascii="SimSun" w:hAnsi="SimSun"/>
          <w:sz w:val="21"/>
        </w:rPr>
      </w:pPr>
      <w:r w:rsidRPr="00D913AD">
        <w:rPr>
          <w:rFonts w:ascii="SimSun" w:hAnsi="SimSun" w:hint="eastAsia"/>
          <w:sz w:val="21"/>
        </w:rPr>
        <w:t>“</w:t>
      </w:r>
      <w:r w:rsidRPr="00D913AD">
        <w:rPr>
          <w:rFonts w:ascii="SimSun" w:hAnsi="SimSun" w:hint="eastAsia"/>
          <w:b/>
          <w:sz w:val="21"/>
        </w:rPr>
        <w:t>储备基金</w:t>
      </w:r>
      <w:r w:rsidRPr="00D913AD">
        <w:rPr>
          <w:rFonts w:ascii="SimSun" w:hAnsi="SimSun" w:hint="eastAsia"/>
          <w:sz w:val="21"/>
        </w:rPr>
        <w:t>”系指成员国大会和各联盟的大会就各自所涉事宜设立的、用于存入超过筹供计划和预算批款所需数额的收费收入盈余的基金。储备基金的使用，应由成员国大会和各联盟的大会就各自所涉事宜决定(财务细则101.3(n)；</w:t>
      </w:r>
    </w:p>
    <w:p w:rsidR="003A0EBA" w:rsidRPr="00D913AD" w:rsidRDefault="009D4F97" w:rsidP="00D913AD">
      <w:pPr>
        <w:numPr>
          <w:ilvl w:val="0"/>
          <w:numId w:val="10"/>
        </w:numPr>
        <w:tabs>
          <w:tab w:val="clear" w:pos="720"/>
        </w:tabs>
        <w:spacing w:afterLines="50" w:after="120" w:line="340" w:lineRule="atLeast"/>
        <w:ind w:left="1134" w:hanging="567"/>
        <w:jc w:val="both"/>
        <w:rPr>
          <w:rFonts w:ascii="SimSun" w:hAnsi="SimSun"/>
          <w:sz w:val="21"/>
        </w:rPr>
      </w:pPr>
      <w:r w:rsidRPr="00D913AD">
        <w:rPr>
          <w:rFonts w:ascii="SimSun" w:hAnsi="SimSun" w:hint="eastAsia"/>
          <w:sz w:val="21"/>
        </w:rPr>
        <w:t>“</w:t>
      </w:r>
      <w:r w:rsidRPr="00D913AD">
        <w:rPr>
          <w:rFonts w:ascii="SimSun" w:hAnsi="SimSun" w:hint="eastAsia"/>
          <w:b/>
          <w:sz w:val="21"/>
        </w:rPr>
        <w:t>周转基金</w:t>
      </w:r>
      <w:r w:rsidRPr="00D913AD">
        <w:rPr>
          <w:rFonts w:ascii="SimSun" w:hAnsi="SimSun" w:hint="eastAsia"/>
          <w:sz w:val="21"/>
        </w:rPr>
        <w:t>”系指出现暂时的流动性短缺时或为了成员国大会和各联盟的大会就各自所涉事宜决定的其他目</w:t>
      </w:r>
      <w:r w:rsidR="003F453A">
        <w:rPr>
          <w:rFonts w:ascii="SimSun" w:hAnsi="SimSun" w:hint="eastAsia"/>
          <w:sz w:val="21"/>
        </w:rPr>
        <w:t>的</w:t>
      </w:r>
      <w:r w:rsidRPr="00D913AD">
        <w:rPr>
          <w:rFonts w:ascii="SimSun" w:hAnsi="SimSun" w:hint="eastAsia"/>
          <w:sz w:val="21"/>
        </w:rPr>
        <w:t>而设立的用于垫付经费的基金(财务细则101.3(q)和条例4.3)。</w:t>
      </w:r>
    </w:p>
    <w:p w:rsidR="00F501E8" w:rsidRPr="00D913AD" w:rsidRDefault="00CE5CFD"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历史上，在WIPO及其前身组织</w:t>
      </w:r>
      <w:r w:rsidR="00E84EE8" w:rsidRPr="00D913AD">
        <w:rPr>
          <w:rFonts w:ascii="SimSun" w:hAnsi="SimSun" w:hint="eastAsia"/>
          <w:sz w:val="21"/>
        </w:rPr>
        <w:t>存在的期间，作为实施各项国际协定和条约的一部分，为各联盟建立了一套复杂的储备金和周转基金体系</w:t>
      </w:r>
      <w:r w:rsidR="005A2C9E" w:rsidRPr="00D913AD">
        <w:rPr>
          <w:rFonts w:ascii="SimSun" w:hAnsi="SimSun" w:hint="eastAsia"/>
          <w:sz w:val="21"/>
        </w:rPr>
        <w:t>。随着WIPO各联盟的发展，它们</w:t>
      </w:r>
      <w:r w:rsidR="003F453A">
        <w:rPr>
          <w:rFonts w:ascii="SimSun" w:hAnsi="SimSun" w:hint="eastAsia"/>
          <w:sz w:val="21"/>
        </w:rPr>
        <w:t>的</w:t>
      </w:r>
      <w:r w:rsidR="005A2C9E" w:rsidRPr="00D913AD">
        <w:rPr>
          <w:rFonts w:ascii="SimSun" w:hAnsi="SimSun" w:hint="eastAsia"/>
          <w:sz w:val="21"/>
        </w:rPr>
        <w:t>增长率各不相同，不同联盟面对的风险没有在各联盟储备金的</w:t>
      </w:r>
      <w:r w:rsidR="005C2F57" w:rsidRPr="00D913AD">
        <w:rPr>
          <w:rFonts w:ascii="SimSun" w:hAnsi="SimSun" w:hint="eastAsia"/>
          <w:sz w:val="21"/>
        </w:rPr>
        <w:t>水平</w:t>
      </w:r>
      <w:r w:rsidR="005A2C9E" w:rsidRPr="00D913AD">
        <w:rPr>
          <w:rFonts w:ascii="SimSun" w:hAnsi="SimSun" w:hint="eastAsia"/>
          <w:sz w:val="21"/>
        </w:rPr>
        <w:t>上得到动态的反映。同样，各联盟投入运行时所建立的各联盟周转基金，也是静态的，没有反映流动性要求的变化。</w:t>
      </w:r>
    </w:p>
    <w:p w:rsidR="008F7FA5" w:rsidRPr="00D913AD" w:rsidRDefault="005A2C9E"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成员国在2000年对这些缺点进行了处理，审议批准了一项关于维持储备金和周转基金适当</w:t>
      </w:r>
      <w:r w:rsidR="00D913AD">
        <w:rPr>
          <w:rFonts w:ascii="SimSun" w:hAnsi="SimSun" w:hint="eastAsia"/>
          <w:sz w:val="21"/>
        </w:rPr>
        <w:t>(</w:t>
      </w:r>
      <w:r w:rsidRPr="00D913AD">
        <w:rPr>
          <w:rFonts w:ascii="SimSun" w:hAnsi="SimSun" w:hint="eastAsia"/>
          <w:sz w:val="21"/>
        </w:rPr>
        <w:t>目标</w:t>
      </w:r>
      <w:r w:rsidR="00D913AD">
        <w:rPr>
          <w:rFonts w:ascii="SimSun" w:hAnsi="SimSun" w:hint="eastAsia"/>
          <w:sz w:val="21"/>
        </w:rPr>
        <w:t>)</w:t>
      </w:r>
      <w:r w:rsidRPr="00D913AD">
        <w:rPr>
          <w:rFonts w:ascii="SimSun" w:hAnsi="SimSun" w:hint="eastAsia"/>
          <w:sz w:val="21"/>
        </w:rPr>
        <w:t>水平的提案，这种水平更能反映各联盟特有的风险和流动性关切。成员国还批准建立机制，</w:t>
      </w:r>
      <w:r w:rsidR="005C2F57" w:rsidRPr="00D913AD">
        <w:rPr>
          <w:rFonts w:ascii="SimSun" w:hAnsi="SimSun" w:hint="eastAsia"/>
          <w:sz w:val="21"/>
        </w:rPr>
        <w:t>调整每个联盟储备金和周转基金的综合水平，同时保持储备金和周转基金之间的区分。</w:t>
      </w:r>
      <w:r w:rsidR="00180AB9" w:rsidRPr="00D913AD">
        <w:rPr>
          <w:rFonts w:ascii="SimSun" w:hAnsi="SimSun" w:hint="eastAsia"/>
          <w:sz w:val="21"/>
        </w:rPr>
        <w:t>用</w:t>
      </w:r>
      <w:r w:rsidR="005C2F57" w:rsidRPr="00D913AD">
        <w:rPr>
          <w:rFonts w:ascii="SimSun" w:hAnsi="SimSun" w:hint="eastAsia"/>
          <w:sz w:val="21"/>
        </w:rPr>
        <w:t>分摊会费筹供</w:t>
      </w:r>
      <w:r w:rsidR="00180AB9" w:rsidRPr="00D913AD">
        <w:rPr>
          <w:rFonts w:ascii="SimSun" w:hAnsi="SimSun" w:hint="eastAsia"/>
          <w:sz w:val="21"/>
        </w:rPr>
        <w:t>的周转基金</w:t>
      </w:r>
      <w:r w:rsidR="005C2F57" w:rsidRPr="00D913AD">
        <w:rPr>
          <w:rFonts w:ascii="SimSun" w:hAnsi="SimSun" w:hint="eastAsia"/>
          <w:sz w:val="21"/>
        </w:rPr>
        <w:t>，至今仍予以保留，是由WIPO为各联盟成员国代管的。</w:t>
      </w:r>
    </w:p>
    <w:p w:rsidR="00740201" w:rsidRPr="00D913AD" w:rsidRDefault="00A70BC4"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建立RWCF的适当水平，是为了降低最大的风险，即两年期概算收入未实现的风险。在这一背景下，拟议的两年期支出被认为是估算针对风险所需的保护水平时最合逻辑的指标。因此，当时决定，按两年期支出的百分比</w:t>
      </w:r>
      <w:r w:rsidR="00D913AD">
        <w:rPr>
          <w:rFonts w:ascii="SimSun" w:hAnsi="SimSun" w:hint="eastAsia"/>
          <w:sz w:val="21"/>
        </w:rPr>
        <w:t>(</w:t>
      </w:r>
      <w:r w:rsidRPr="00D913AD">
        <w:rPr>
          <w:rFonts w:ascii="SimSun" w:hAnsi="SimSun" w:hint="eastAsia"/>
          <w:sz w:val="21"/>
        </w:rPr>
        <w:t>PBE系数</w:t>
      </w:r>
      <w:r w:rsidR="00D913AD">
        <w:rPr>
          <w:rFonts w:ascii="SimSun" w:hAnsi="SimSun" w:hint="eastAsia"/>
          <w:sz w:val="21"/>
        </w:rPr>
        <w:t>)</w:t>
      </w:r>
      <w:r w:rsidRPr="00D913AD">
        <w:rPr>
          <w:rFonts w:ascii="SimSun" w:hAnsi="SimSun" w:hint="eastAsia"/>
          <w:sz w:val="21"/>
        </w:rPr>
        <w:t>来表示RWCF的总额，该系数还提供了依靠RWCF能为某项业务提供多长时间资金的信息。</w:t>
      </w:r>
    </w:p>
    <w:p w:rsidR="00343B6C" w:rsidRPr="00D913AD" w:rsidRDefault="00A70BC4"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在作出关于RWCF的决定时，需求的波动和相对不成熟的收入预测和规划导致出现了意外的预算盈余</w:t>
      </w:r>
      <w:r w:rsidR="0060263B" w:rsidRPr="00D913AD">
        <w:rPr>
          <w:rFonts w:ascii="SimSun" w:hAnsi="SimSun" w:hint="eastAsia"/>
          <w:sz w:val="21"/>
        </w:rPr>
        <w:t>，这些盈余根据成员国早前</w:t>
      </w:r>
      <w:r w:rsidR="00D913AD">
        <w:rPr>
          <w:rFonts w:ascii="SimSun" w:hAnsi="SimSun" w:hint="eastAsia"/>
          <w:sz w:val="21"/>
        </w:rPr>
        <w:t>(</w:t>
      </w:r>
      <w:r w:rsidR="0060263B" w:rsidRPr="00D913AD">
        <w:rPr>
          <w:rFonts w:ascii="SimSun" w:hAnsi="SimSun" w:hint="eastAsia"/>
          <w:sz w:val="21"/>
        </w:rPr>
        <w:t>90年代初</w:t>
      </w:r>
      <w:r w:rsidR="00D913AD">
        <w:rPr>
          <w:rFonts w:ascii="SimSun" w:hAnsi="SimSun" w:hint="eastAsia"/>
          <w:sz w:val="21"/>
        </w:rPr>
        <w:t>)</w:t>
      </w:r>
      <w:r w:rsidR="0060263B" w:rsidRPr="00D913AD">
        <w:rPr>
          <w:rFonts w:ascii="SimSun" w:hAnsi="SimSun" w:hint="eastAsia"/>
          <w:sz w:val="21"/>
        </w:rPr>
        <w:t>的一项决定，被记入一笔</w:t>
      </w:r>
      <w:r w:rsidR="00D56952" w:rsidRPr="00D913AD">
        <w:rPr>
          <w:rFonts w:ascii="SimSun" w:hAnsi="SimSun" w:hint="eastAsia"/>
          <w:sz w:val="21"/>
        </w:rPr>
        <w:t>“</w:t>
      </w:r>
      <w:r w:rsidR="0060263B" w:rsidRPr="00D913AD">
        <w:rPr>
          <w:rFonts w:ascii="SimSun" w:hAnsi="SimSun" w:hint="eastAsia"/>
          <w:sz w:val="21"/>
        </w:rPr>
        <w:t>增加房舍建筑和实现计算机化特别储备基金</w:t>
      </w:r>
      <w:r w:rsidR="00D56952" w:rsidRPr="00D913AD">
        <w:rPr>
          <w:rFonts w:ascii="SimSun" w:hAnsi="SimSun" w:hint="eastAsia"/>
          <w:sz w:val="21"/>
        </w:rPr>
        <w:t>”</w:t>
      </w:r>
      <w:r w:rsidR="0060263B" w:rsidRPr="00D913AD">
        <w:rPr>
          <w:rFonts w:ascii="SimSun" w:hAnsi="SimSun" w:hint="eastAsia"/>
          <w:sz w:val="21"/>
        </w:rPr>
        <w:t>的贷方。尽管成员国</w:t>
      </w:r>
      <w:r w:rsidR="00180AB9" w:rsidRPr="00D913AD">
        <w:rPr>
          <w:rFonts w:ascii="SimSun" w:hAnsi="SimSun" w:hint="eastAsia"/>
          <w:sz w:val="21"/>
        </w:rPr>
        <w:t>此前</w:t>
      </w:r>
      <w:r w:rsidR="0060263B" w:rsidRPr="00D913AD">
        <w:rPr>
          <w:rFonts w:ascii="SimSun" w:hAnsi="SimSun" w:hint="eastAsia"/>
          <w:sz w:val="21"/>
        </w:rPr>
        <w:t>批准了多个用这项基金供资的优先项目和活动，但当时有严重关切，在本组织的资本投资需求不断增长的阶段</w:t>
      </w:r>
      <w:r w:rsidR="00D913AD">
        <w:rPr>
          <w:rFonts w:ascii="SimSun" w:hAnsi="SimSun" w:hint="eastAsia"/>
          <w:sz w:val="21"/>
        </w:rPr>
        <w:t>(</w:t>
      </w:r>
      <w:r w:rsidR="0060263B" w:rsidRPr="00D913AD">
        <w:rPr>
          <w:rFonts w:ascii="SimSun" w:hAnsi="SimSun" w:hint="eastAsia"/>
          <w:sz w:val="21"/>
        </w:rPr>
        <w:t>随着各注册体系的增长</w:t>
      </w:r>
      <w:r w:rsidR="00D913AD">
        <w:rPr>
          <w:rFonts w:ascii="SimSun" w:hAnsi="SimSun" w:hint="eastAsia"/>
          <w:sz w:val="21"/>
        </w:rPr>
        <w:t>)</w:t>
      </w:r>
      <w:r w:rsidR="0060263B" w:rsidRPr="00D913AD">
        <w:rPr>
          <w:rFonts w:ascii="SimSun" w:hAnsi="SimSun" w:hint="eastAsia"/>
          <w:sz w:val="21"/>
        </w:rPr>
        <w:t>，通过单设的特别储备基金为长期项目预留资金</w:t>
      </w:r>
      <w:r w:rsidR="00180AB9" w:rsidRPr="00D913AD">
        <w:rPr>
          <w:rFonts w:ascii="SimSun" w:hAnsi="SimSun" w:hint="eastAsia"/>
          <w:sz w:val="21"/>
        </w:rPr>
        <w:t>的做法</w:t>
      </w:r>
      <w:r w:rsidR="0060263B" w:rsidRPr="00D913AD">
        <w:rPr>
          <w:rFonts w:ascii="SimSun" w:hAnsi="SimSun" w:hint="eastAsia"/>
          <w:sz w:val="21"/>
        </w:rPr>
        <w:t>，要</w:t>
      </w:r>
      <w:r w:rsidR="00617EE1" w:rsidRPr="00D913AD">
        <w:rPr>
          <w:rFonts w:ascii="SimSun" w:hAnsi="SimSun" w:hint="eastAsia"/>
          <w:sz w:val="21"/>
        </w:rPr>
        <w:t>求</w:t>
      </w:r>
      <w:r w:rsidR="0060263B" w:rsidRPr="00D913AD">
        <w:rPr>
          <w:rFonts w:ascii="SimSun" w:hAnsi="SimSun" w:hint="eastAsia"/>
          <w:sz w:val="21"/>
        </w:rPr>
        <w:t>保持高流动性水平，效率低下。</w:t>
      </w:r>
      <w:r w:rsidR="003604AA" w:rsidRPr="00D913AD">
        <w:rPr>
          <w:rFonts w:ascii="SimSun" w:hAnsi="SimSun" w:hint="eastAsia"/>
          <w:sz w:val="21"/>
        </w:rPr>
        <w:t>因此，与</w:t>
      </w:r>
      <w:r w:rsidR="00A30274" w:rsidRPr="00D913AD">
        <w:rPr>
          <w:rFonts w:ascii="SimSun" w:hAnsi="SimSun" w:hint="eastAsia"/>
          <w:sz w:val="21"/>
        </w:rPr>
        <w:t>储备金和周转基金政策提案一道，成员国还审议批准了</w:t>
      </w:r>
      <w:r w:rsidR="00617EE1" w:rsidRPr="00D913AD">
        <w:rPr>
          <w:rFonts w:ascii="SimSun" w:hAnsi="SimSun" w:hint="eastAsia"/>
          <w:sz w:val="21"/>
        </w:rPr>
        <w:t>关于终止特别储备基金的提案，由此每个联盟的盈余或赤字将直接使每个联盟的储备金和周转基金增长或降低，不再被记入特别储备基金。此外，成员国决定保留批准用</w:t>
      </w:r>
      <w:r w:rsidR="00D913AD">
        <w:rPr>
          <w:rFonts w:ascii="SimSun" w:hAnsi="SimSun" w:hint="eastAsia"/>
          <w:sz w:val="21"/>
        </w:rPr>
        <w:t>(</w:t>
      </w:r>
      <w:r w:rsidR="00617EE1" w:rsidRPr="00D913AD">
        <w:rPr>
          <w:rFonts w:ascii="SimSun" w:hAnsi="SimSun" w:hint="eastAsia"/>
          <w:sz w:val="21"/>
        </w:rPr>
        <w:t>高于每联盟目标水平的</w:t>
      </w:r>
      <w:r w:rsidR="00D913AD">
        <w:rPr>
          <w:rFonts w:ascii="SimSun" w:hAnsi="SimSun" w:hint="eastAsia"/>
          <w:sz w:val="21"/>
        </w:rPr>
        <w:t>)</w:t>
      </w:r>
      <w:r w:rsidR="00617EE1" w:rsidRPr="00D913AD">
        <w:rPr>
          <w:rFonts w:ascii="SimSun" w:hAnsi="SimSun" w:hint="eastAsia"/>
          <w:sz w:val="21"/>
        </w:rPr>
        <w:t>可用盈余为项目和活动提供资金的可能性。这被认为是一种效率更高的长期资本项目筹资的管理方法</w:t>
      </w:r>
      <w:r w:rsidR="00D913AD">
        <w:rPr>
          <w:rFonts w:ascii="SimSun" w:hAnsi="SimSun" w:hint="eastAsia"/>
          <w:sz w:val="21"/>
        </w:rPr>
        <w:t>(</w:t>
      </w:r>
      <w:r w:rsidR="00617EE1" w:rsidRPr="00D913AD">
        <w:rPr>
          <w:rFonts w:ascii="SimSun" w:hAnsi="SimSun" w:hint="eastAsia"/>
          <w:sz w:val="21"/>
        </w:rPr>
        <w:t>参见：A/35/15，第三十五届成员国大会报告</w:t>
      </w:r>
      <w:r w:rsidR="00D913AD">
        <w:rPr>
          <w:rFonts w:ascii="SimSun" w:hAnsi="SimSun" w:hint="eastAsia"/>
          <w:sz w:val="21"/>
        </w:rPr>
        <w:t>)</w:t>
      </w:r>
      <w:r w:rsidR="00D56952" w:rsidRPr="00D913AD">
        <w:rPr>
          <w:rFonts w:ascii="SimSun" w:hAnsi="SimSun" w:hint="eastAsia"/>
          <w:sz w:val="21"/>
        </w:rPr>
        <w:t>。</w:t>
      </w:r>
    </w:p>
    <w:p w:rsidR="00487CA4" w:rsidRPr="00D913AD" w:rsidRDefault="00617EE1"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十年后，在2010年，当时的政策和做法经过审查，</w:t>
      </w:r>
      <w:r w:rsidR="00B56431" w:rsidRPr="00D913AD">
        <w:rPr>
          <w:rFonts w:ascii="SimSun" w:hAnsi="SimSun" w:hint="eastAsia"/>
          <w:sz w:val="21"/>
        </w:rPr>
        <w:t>被评估为仍然</w:t>
      </w:r>
      <w:r w:rsidR="00CC64A2" w:rsidRPr="00D913AD">
        <w:rPr>
          <w:rFonts w:ascii="SimSun" w:hAnsi="SimSun" w:hint="eastAsia"/>
          <w:sz w:val="21"/>
        </w:rPr>
        <w:t>给</w:t>
      </w:r>
      <w:r w:rsidR="00B56431" w:rsidRPr="00D913AD">
        <w:rPr>
          <w:rFonts w:ascii="SimSun" w:hAnsi="SimSun" w:hint="eastAsia"/>
          <w:sz w:val="21"/>
        </w:rPr>
        <w:t>有效的财务管理提供了牢固的基础。但是，在经济和财政危机的大背景下，维持健康的储备金、避免出现赤字的重要性，要求必须确保储备金的使用要遵守清楚、明白的标准和原则，要遵守</w:t>
      </w:r>
      <w:r w:rsidR="007C495C" w:rsidRPr="00D913AD">
        <w:rPr>
          <w:rFonts w:ascii="SimSun" w:hAnsi="SimSun" w:hint="eastAsia"/>
          <w:sz w:val="21"/>
        </w:rPr>
        <w:t>规定明确的</w:t>
      </w:r>
      <w:r w:rsidR="00B56431" w:rsidRPr="00D913AD">
        <w:rPr>
          <w:rFonts w:ascii="SimSun" w:hAnsi="SimSun" w:hint="eastAsia"/>
          <w:sz w:val="21"/>
        </w:rPr>
        <w:t>批准机制</w:t>
      </w:r>
      <w:r w:rsidR="007C495C" w:rsidRPr="00D913AD">
        <w:rPr>
          <w:rFonts w:ascii="SimSun" w:hAnsi="SimSun" w:hint="eastAsia"/>
          <w:sz w:val="21"/>
        </w:rPr>
        <w:t>。成员国因此审议批准了</w:t>
      </w:r>
      <w:r w:rsidR="00D56952" w:rsidRPr="00D913AD">
        <w:rPr>
          <w:rFonts w:ascii="SimSun" w:hAnsi="SimSun" w:hint="eastAsia"/>
          <w:sz w:val="21"/>
        </w:rPr>
        <w:t>“储备金政策和储备金使用适用的原则”</w:t>
      </w:r>
      <w:r w:rsidR="00D913AD">
        <w:rPr>
          <w:rFonts w:ascii="SimSun" w:hAnsi="SimSun" w:hint="eastAsia"/>
          <w:sz w:val="21"/>
        </w:rPr>
        <w:t>(</w:t>
      </w:r>
      <w:r w:rsidR="00D56952" w:rsidRPr="00D913AD">
        <w:rPr>
          <w:rFonts w:ascii="SimSun" w:hAnsi="SimSun" w:hint="eastAsia"/>
          <w:sz w:val="21"/>
        </w:rPr>
        <w:t>参见：A/48/15，第四十八届成员国大会报告</w:t>
      </w:r>
      <w:r w:rsidR="00D913AD">
        <w:rPr>
          <w:rFonts w:ascii="SimSun" w:hAnsi="SimSun" w:hint="eastAsia"/>
          <w:sz w:val="21"/>
        </w:rPr>
        <w:t>)</w:t>
      </w:r>
      <w:r w:rsidR="00D56952" w:rsidRPr="00D913AD">
        <w:rPr>
          <w:rFonts w:ascii="SimSun" w:hAnsi="SimSun" w:hint="eastAsia"/>
          <w:sz w:val="21"/>
        </w:rPr>
        <w:t>。</w:t>
      </w:r>
    </w:p>
    <w:p w:rsidR="00D913AD" w:rsidRDefault="00D56952"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RWCF的规划、利用和报告，现在遵守WIPO各项条约、</w:t>
      </w:r>
      <w:proofErr w:type="gramStart"/>
      <w:r w:rsidRPr="00D913AD">
        <w:rPr>
          <w:rFonts w:ascii="SimSun" w:hAnsi="SimSun" w:hint="eastAsia"/>
          <w:sz w:val="21"/>
        </w:rPr>
        <w:t>WIPO</w:t>
      </w:r>
      <w:r w:rsidR="003F453A">
        <w:rPr>
          <w:rFonts w:ascii="SimSun" w:hAnsi="SimSun" w:hint="eastAsia"/>
          <w:sz w:val="21"/>
        </w:rPr>
        <w:t>的</w:t>
      </w:r>
      <w:r w:rsidRPr="00D913AD">
        <w:rPr>
          <w:rFonts w:ascii="SimSun" w:hAnsi="SimSun" w:hint="eastAsia"/>
          <w:sz w:val="21"/>
        </w:rPr>
        <w:t>储备金政策</w:t>
      </w:r>
      <w:r w:rsidR="00D913AD">
        <w:rPr>
          <w:rFonts w:ascii="SimSun" w:hAnsi="SimSun" w:hint="eastAsia"/>
          <w:sz w:val="21"/>
        </w:rPr>
        <w:t>(</w:t>
      </w:r>
      <w:proofErr w:type="gramEnd"/>
      <w:r w:rsidRPr="00D913AD">
        <w:rPr>
          <w:rFonts w:ascii="SimSun" w:hAnsi="SimSun" w:hint="eastAsia"/>
          <w:sz w:val="21"/>
        </w:rPr>
        <w:t>2000年和2010年</w:t>
      </w:r>
      <w:r w:rsidR="00D913AD">
        <w:rPr>
          <w:rFonts w:ascii="SimSun" w:hAnsi="SimSun" w:hint="eastAsia"/>
          <w:sz w:val="21"/>
        </w:rPr>
        <w:t>)</w:t>
      </w:r>
      <w:r w:rsidRPr="00D913AD">
        <w:rPr>
          <w:rFonts w:ascii="SimSun" w:hAnsi="SimSun" w:hint="eastAsia"/>
          <w:sz w:val="21"/>
        </w:rPr>
        <w:t>和IPSAS</w:t>
      </w:r>
      <w:r w:rsidR="00D913AD">
        <w:rPr>
          <w:rFonts w:ascii="SimSun" w:hAnsi="SimSun" w:hint="eastAsia"/>
          <w:sz w:val="21"/>
        </w:rPr>
        <w:t>(</w:t>
      </w:r>
      <w:r w:rsidRPr="00D913AD">
        <w:rPr>
          <w:rFonts w:ascii="SimSun" w:hAnsi="SimSun" w:hint="eastAsia"/>
          <w:sz w:val="21"/>
        </w:rPr>
        <w:t>WIPO的会计标准</w:t>
      </w:r>
      <w:r w:rsidR="00D913AD">
        <w:rPr>
          <w:rFonts w:ascii="SimSun" w:hAnsi="SimSun" w:hint="eastAsia"/>
          <w:sz w:val="21"/>
        </w:rPr>
        <w:t>)</w:t>
      </w:r>
      <w:r w:rsidRPr="00D913AD">
        <w:rPr>
          <w:rFonts w:ascii="SimSun" w:hAnsi="SimSun" w:hint="eastAsia"/>
          <w:sz w:val="21"/>
        </w:rPr>
        <w:t>。</w:t>
      </w:r>
      <w:r w:rsidR="003F453A">
        <w:rPr>
          <w:rFonts w:ascii="SimSun" w:hAnsi="SimSun" w:hint="eastAsia"/>
          <w:sz w:val="21"/>
        </w:rPr>
        <w:t>目前</w:t>
      </w:r>
      <w:r w:rsidRPr="00D913AD">
        <w:rPr>
          <w:rFonts w:ascii="SimSun" w:hAnsi="SimSun" w:hint="eastAsia"/>
          <w:sz w:val="21"/>
        </w:rPr>
        <w:t>与RWCF有关的做法忠实反映了本组织的各项政策。</w:t>
      </w:r>
    </w:p>
    <w:p w:rsidR="00D913AD" w:rsidRPr="00D913AD" w:rsidRDefault="00F316D0" w:rsidP="00D913AD">
      <w:pPr>
        <w:keepNext/>
        <w:spacing w:beforeLines="100" w:before="240" w:afterLines="50" w:after="120" w:line="340" w:lineRule="atLeast"/>
        <w:rPr>
          <w:rFonts w:ascii="SimHei" w:eastAsia="SimHei" w:hAnsi="SimHei"/>
          <w:caps/>
          <w:sz w:val="21"/>
        </w:rPr>
      </w:pPr>
      <w:r w:rsidRPr="00D913AD">
        <w:rPr>
          <w:rFonts w:ascii="SimHei" w:eastAsia="SimHei" w:hAnsi="SimHei"/>
          <w:caps/>
          <w:sz w:val="21"/>
        </w:rPr>
        <w:lastRenderedPageBreak/>
        <w:t>2013</w:t>
      </w:r>
      <w:r w:rsidR="00D56952" w:rsidRPr="00D913AD">
        <w:rPr>
          <w:rFonts w:ascii="SimHei" w:eastAsia="SimHei" w:hAnsi="SimHei" w:hint="eastAsia"/>
          <w:caps/>
          <w:sz w:val="21"/>
        </w:rPr>
        <w:t>年WIPO的财务状况</w:t>
      </w:r>
      <w:r w:rsidR="00D913AD">
        <w:rPr>
          <w:rFonts w:ascii="SimHei" w:eastAsia="SimHei" w:hAnsi="SimHei" w:hint="eastAsia"/>
          <w:caps/>
          <w:sz w:val="21"/>
        </w:rPr>
        <w:t>(</w:t>
      </w:r>
      <w:r w:rsidR="00CC64A2" w:rsidRPr="00D913AD">
        <w:rPr>
          <w:rFonts w:ascii="SimHei" w:eastAsia="SimHei" w:hAnsi="SimHei" w:hint="eastAsia"/>
          <w:caps/>
          <w:sz w:val="21"/>
        </w:rPr>
        <w:t>净</w:t>
      </w:r>
      <w:r w:rsidR="00D56952" w:rsidRPr="00D913AD">
        <w:rPr>
          <w:rFonts w:ascii="SimHei" w:eastAsia="SimHei" w:hAnsi="SimHei" w:hint="eastAsia"/>
          <w:caps/>
          <w:sz w:val="21"/>
        </w:rPr>
        <w:t>资产</w:t>
      </w:r>
      <w:r w:rsidR="00D913AD">
        <w:rPr>
          <w:rFonts w:ascii="SimHei" w:eastAsia="SimHei" w:hAnsi="SimHei" w:hint="eastAsia"/>
          <w:caps/>
          <w:sz w:val="21"/>
        </w:rPr>
        <w:t>)</w:t>
      </w:r>
    </w:p>
    <w:p w:rsidR="00D714B4" w:rsidRPr="00D913AD" w:rsidRDefault="00D56952"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2013财政年度终了时的净资产为2.088亿瑞郎。其中，1,510万</w:t>
      </w:r>
      <w:r w:rsidR="005C2EA5" w:rsidRPr="00D913AD">
        <w:rPr>
          <w:rFonts w:ascii="SimSun" w:hAnsi="SimSun" w:hint="eastAsia"/>
          <w:sz w:val="21"/>
        </w:rPr>
        <w:t>瑞郎是</w:t>
      </w:r>
      <w:r w:rsidR="00A95001" w:rsidRPr="00D913AD">
        <w:rPr>
          <w:rFonts w:ascii="SimSun" w:hAnsi="SimSun" w:hint="eastAsia"/>
          <w:sz w:val="21"/>
        </w:rPr>
        <w:t>对本组织</w:t>
      </w:r>
      <w:r w:rsidR="00CC64A2" w:rsidRPr="00D913AD">
        <w:rPr>
          <w:rFonts w:ascii="SimSun" w:hAnsi="SimSun" w:hint="eastAsia"/>
          <w:sz w:val="21"/>
        </w:rPr>
        <w:t>自</w:t>
      </w:r>
      <w:r w:rsidR="00A95001" w:rsidRPr="00D913AD">
        <w:rPr>
          <w:rFonts w:ascii="SimSun" w:hAnsi="SimSun" w:hint="eastAsia"/>
          <w:sz w:val="21"/>
        </w:rPr>
        <w:t>有土地进行重估价</w:t>
      </w:r>
      <w:r w:rsidR="00D913AD">
        <w:rPr>
          <w:rFonts w:ascii="SimSun" w:hAnsi="SimSun" w:hint="eastAsia"/>
          <w:sz w:val="21"/>
        </w:rPr>
        <w:t>(</w:t>
      </w:r>
      <w:r w:rsidR="00A95001" w:rsidRPr="00D913AD">
        <w:rPr>
          <w:rFonts w:ascii="SimSun" w:hAnsi="SimSun" w:hint="eastAsia"/>
          <w:sz w:val="21"/>
        </w:rPr>
        <w:t>从历史价值到公允价值</w:t>
      </w:r>
      <w:r w:rsidR="00D913AD">
        <w:rPr>
          <w:rFonts w:ascii="SimSun" w:hAnsi="SimSun" w:hint="eastAsia"/>
          <w:sz w:val="21"/>
        </w:rPr>
        <w:t>)</w:t>
      </w:r>
      <w:r w:rsidR="00A95001" w:rsidRPr="00D913AD">
        <w:rPr>
          <w:rFonts w:ascii="SimSun" w:hAnsi="SimSun" w:hint="eastAsia"/>
          <w:sz w:val="21"/>
        </w:rPr>
        <w:t>产生的重估储</w:t>
      </w:r>
      <w:r w:rsidR="005C2EA5" w:rsidRPr="00D913AD">
        <w:rPr>
          <w:rFonts w:ascii="SimSun" w:hAnsi="SimSun" w:hint="eastAsia"/>
          <w:sz w:val="21"/>
        </w:rPr>
        <w:t>备金；830万瑞郎是</w:t>
      </w:r>
      <w:r w:rsidR="00CC64A2" w:rsidRPr="00D913AD">
        <w:rPr>
          <w:rFonts w:ascii="SimSun" w:hAnsi="SimSun" w:hint="eastAsia"/>
          <w:sz w:val="21"/>
        </w:rPr>
        <w:t>各项</w:t>
      </w:r>
      <w:r w:rsidR="005C2EA5" w:rsidRPr="00D913AD">
        <w:rPr>
          <w:rFonts w:ascii="SimSun" w:hAnsi="SimSun" w:hint="eastAsia"/>
          <w:sz w:val="21"/>
        </w:rPr>
        <w:t>周转基金；</w:t>
      </w:r>
      <w:r w:rsidR="00E45143" w:rsidRPr="00D913AD">
        <w:rPr>
          <w:rFonts w:ascii="SimSun" w:hAnsi="SimSun" w:hint="eastAsia"/>
          <w:sz w:val="21"/>
        </w:rPr>
        <w:t>1.854亿瑞郎是累积盈余。根据本组织的政策，超出目标水平的累积盈余资金可由成员国大会决定用于项目。</w:t>
      </w:r>
    </w:p>
    <w:p w:rsidR="007D556F" w:rsidRPr="00D913AD" w:rsidRDefault="00E45143"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在2013年12月，累积盈余余额包括</w:t>
      </w:r>
      <w:r w:rsidR="00CC64A2" w:rsidRPr="00D913AD">
        <w:rPr>
          <w:rFonts w:ascii="SimSun" w:hAnsi="SimSun" w:hint="eastAsia"/>
          <w:sz w:val="21"/>
        </w:rPr>
        <w:t>已</w:t>
      </w:r>
      <w:r w:rsidRPr="00D913AD">
        <w:rPr>
          <w:rFonts w:ascii="SimSun" w:hAnsi="SimSun" w:hint="eastAsia"/>
          <w:sz w:val="21"/>
        </w:rPr>
        <w:t>根据政策批准用于特别项目的资金。这包括用于2013年12月31日正在进行的各个项目的2</w:t>
      </w:r>
      <w:proofErr w:type="gramStart"/>
      <w:r w:rsidRPr="00D913AD">
        <w:rPr>
          <w:rFonts w:ascii="SimSun" w:hAnsi="SimSun" w:hint="eastAsia"/>
          <w:sz w:val="21"/>
        </w:rPr>
        <w:t>,480万瑞郎和根据基本建设总计划将于2014年开始的新项目的1,120万瑞郎</w:t>
      </w:r>
      <w:proofErr w:type="gramEnd"/>
      <w:r w:rsidRPr="00D913AD">
        <w:rPr>
          <w:rFonts w:ascii="SimSun" w:hAnsi="SimSun" w:hint="eastAsia"/>
          <w:sz w:val="21"/>
        </w:rPr>
        <w:t>。另余2,330万瑞郎用于建筑项目。建筑项目预计不会影响资产净额的水平，因为建设阶段发生的支出将作为在建工程</w:t>
      </w:r>
      <w:r w:rsidR="003F77EC" w:rsidRPr="00D913AD">
        <w:rPr>
          <w:rFonts w:ascii="SimSun" w:hAnsi="SimSun" w:hint="eastAsia"/>
          <w:sz w:val="21"/>
        </w:rPr>
        <w:t>记为资本。</w:t>
      </w:r>
    </w:p>
    <w:p w:rsidR="00951BE7" w:rsidRPr="00D913AD" w:rsidRDefault="003F77EC"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下图提供了2013年12月31日</w:t>
      </w:r>
      <w:r w:rsidR="00CC64A2" w:rsidRPr="00D913AD">
        <w:rPr>
          <w:rFonts w:ascii="SimSun" w:hAnsi="SimSun" w:hint="eastAsia"/>
          <w:sz w:val="21"/>
        </w:rPr>
        <w:t>净</w:t>
      </w:r>
      <w:r w:rsidRPr="00D913AD">
        <w:rPr>
          <w:rFonts w:ascii="SimSun" w:hAnsi="SimSun" w:hint="eastAsia"/>
          <w:sz w:val="21"/>
        </w:rPr>
        <w:t>资产</w:t>
      </w:r>
      <w:r w:rsidR="00D913AD">
        <w:rPr>
          <w:rFonts w:ascii="SimSun" w:hAnsi="SimSun" w:hint="eastAsia"/>
          <w:sz w:val="21"/>
        </w:rPr>
        <w:t>(</w:t>
      </w:r>
      <w:r w:rsidRPr="00D913AD">
        <w:rPr>
          <w:rFonts w:ascii="SimSun" w:hAnsi="SimSun" w:hint="eastAsia"/>
          <w:sz w:val="21"/>
        </w:rPr>
        <w:t>RWCF</w:t>
      </w:r>
      <w:r w:rsidR="00D913AD">
        <w:rPr>
          <w:rFonts w:ascii="SimSun" w:hAnsi="SimSun" w:hint="eastAsia"/>
          <w:sz w:val="21"/>
        </w:rPr>
        <w:t>)</w:t>
      </w:r>
      <w:r w:rsidRPr="00D913AD">
        <w:rPr>
          <w:rFonts w:ascii="SimSun" w:hAnsi="SimSun" w:hint="eastAsia"/>
          <w:sz w:val="21"/>
        </w:rPr>
        <w:t>的三种不同视图，即财务报表视图</w:t>
      </w:r>
      <w:r w:rsidR="003F453A">
        <w:rPr>
          <w:rFonts w:ascii="SimSun" w:hAnsi="SimSun" w:hint="eastAsia"/>
          <w:sz w:val="21"/>
        </w:rPr>
        <w:t>、</w:t>
      </w:r>
      <w:r w:rsidRPr="00D913AD">
        <w:rPr>
          <w:rFonts w:ascii="SimSun" w:hAnsi="SimSun" w:hint="eastAsia"/>
          <w:sz w:val="21"/>
        </w:rPr>
        <w:t>净资产中</w:t>
      </w:r>
      <w:r w:rsidR="003F453A">
        <w:rPr>
          <w:rFonts w:ascii="SimSun" w:hAnsi="SimSun" w:hint="eastAsia"/>
          <w:sz w:val="21"/>
        </w:rPr>
        <w:t>的</w:t>
      </w:r>
      <w:r w:rsidRPr="00D913AD">
        <w:rPr>
          <w:rFonts w:ascii="SimSun" w:hAnsi="SimSun" w:hint="eastAsia"/>
          <w:sz w:val="21"/>
        </w:rPr>
        <w:t>长期资产和流动资产</w:t>
      </w:r>
      <w:r w:rsidR="00217AAB" w:rsidRPr="00D913AD">
        <w:rPr>
          <w:rFonts w:ascii="SimSun" w:hAnsi="SimSun" w:hint="eastAsia"/>
          <w:sz w:val="21"/>
        </w:rPr>
        <w:t>比例</w:t>
      </w:r>
      <w:r w:rsidRPr="00D913AD">
        <w:rPr>
          <w:rFonts w:ascii="SimSun" w:hAnsi="SimSun" w:hint="eastAsia"/>
          <w:sz w:val="21"/>
        </w:rPr>
        <w:t>分析视图</w:t>
      </w:r>
      <w:r w:rsidR="003F453A">
        <w:rPr>
          <w:rFonts w:ascii="SimSun" w:hAnsi="SimSun" w:hint="eastAsia"/>
          <w:sz w:val="21"/>
        </w:rPr>
        <w:t>、</w:t>
      </w:r>
      <w:r w:rsidRPr="00D913AD">
        <w:rPr>
          <w:rFonts w:ascii="SimSun" w:hAnsi="SimSun" w:hint="eastAsia"/>
          <w:sz w:val="21"/>
        </w:rPr>
        <w:t>以及储备金政策视图。</w:t>
      </w:r>
    </w:p>
    <w:p w:rsidR="00D913AD" w:rsidRDefault="00E7205C" w:rsidP="005D21A6">
      <w:pPr>
        <w:spacing w:after="120" w:line="260" w:lineRule="atLeast"/>
        <w:jc w:val="center"/>
        <w:rPr>
          <w:rFonts w:ascii="SimSun" w:hAnsi="SimSun"/>
          <w:sz w:val="18"/>
        </w:rPr>
      </w:pPr>
      <w:r w:rsidRPr="00D913AD">
        <w:rPr>
          <w:rFonts w:ascii="SimSun" w:hAnsi="SimSun"/>
          <w:noProof/>
          <w:sz w:val="18"/>
          <w:lang w:eastAsia="en-US"/>
        </w:rPr>
        <w:drawing>
          <wp:inline distT="0" distB="0" distL="0" distR="0" wp14:anchorId="2A9419E1" wp14:editId="0EB1A575">
            <wp:extent cx="5563870" cy="4071620"/>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3870" cy="4071620"/>
                    </a:xfrm>
                    <a:prstGeom prst="rect">
                      <a:avLst/>
                    </a:prstGeom>
                    <a:noFill/>
                    <a:ln>
                      <a:noFill/>
                    </a:ln>
                  </pic:spPr>
                </pic:pic>
              </a:graphicData>
            </a:graphic>
          </wp:inline>
        </w:drawing>
      </w:r>
    </w:p>
    <w:p w:rsidR="00D913AD" w:rsidRPr="00D913AD" w:rsidRDefault="003F77EC" w:rsidP="00D913AD">
      <w:pPr>
        <w:keepNext/>
        <w:spacing w:beforeLines="100" w:before="240" w:afterLines="50" w:after="120" w:line="340" w:lineRule="atLeast"/>
        <w:rPr>
          <w:rFonts w:ascii="SimHei" w:eastAsia="SimHei" w:hAnsi="SimHei"/>
          <w:caps/>
          <w:sz w:val="21"/>
        </w:rPr>
      </w:pPr>
      <w:r w:rsidRPr="00D913AD">
        <w:rPr>
          <w:rFonts w:ascii="SimHei" w:eastAsia="SimHei" w:hAnsi="SimHei" w:hint="eastAsia"/>
          <w:caps/>
          <w:sz w:val="21"/>
        </w:rPr>
        <w:t>转</w:t>
      </w:r>
      <w:r w:rsidR="00E97259" w:rsidRPr="00D913AD">
        <w:rPr>
          <w:rFonts w:ascii="SimHei" w:eastAsia="SimHei" w:hAnsi="SimHei" w:hint="eastAsia"/>
          <w:caps/>
          <w:sz w:val="21"/>
        </w:rPr>
        <w:t>向</w:t>
      </w:r>
      <w:r w:rsidR="006E020E" w:rsidRPr="00D913AD">
        <w:rPr>
          <w:rFonts w:ascii="SimHei" w:eastAsia="SimHei" w:hAnsi="SimHei"/>
          <w:caps/>
          <w:sz w:val="21"/>
        </w:rPr>
        <w:t>IPSAS</w:t>
      </w:r>
      <w:r w:rsidRPr="00D913AD">
        <w:rPr>
          <w:rFonts w:ascii="SimHei" w:eastAsia="SimHei" w:hAnsi="SimHei" w:hint="eastAsia"/>
          <w:caps/>
          <w:sz w:val="21"/>
        </w:rPr>
        <w:t>——对净资产的影响</w:t>
      </w:r>
    </w:p>
    <w:p w:rsidR="00C677B9" w:rsidRPr="00D913AD" w:rsidRDefault="008926D9"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2010年，本组织采用了国际公共部门会计标准</w:t>
      </w:r>
      <w:r w:rsidR="00D913AD">
        <w:rPr>
          <w:rFonts w:ascii="SimSun" w:hAnsi="SimSun" w:hint="eastAsia"/>
          <w:sz w:val="21"/>
        </w:rPr>
        <w:t>(</w:t>
      </w:r>
      <w:r w:rsidRPr="00D913AD">
        <w:rPr>
          <w:rFonts w:ascii="SimSun" w:hAnsi="SimSun" w:hint="eastAsia"/>
          <w:sz w:val="21"/>
        </w:rPr>
        <w:t>IPSAS</w:t>
      </w:r>
      <w:r w:rsidR="00D913AD">
        <w:rPr>
          <w:rFonts w:ascii="SimSun" w:hAnsi="SimSun" w:hint="eastAsia"/>
          <w:sz w:val="21"/>
        </w:rPr>
        <w:t>)</w:t>
      </w:r>
      <w:r w:rsidRPr="00D913AD">
        <w:rPr>
          <w:rFonts w:ascii="SimSun" w:hAnsi="SimSun" w:hint="eastAsia"/>
          <w:sz w:val="21"/>
        </w:rPr>
        <w:t>。IPSAS对利益攸关方和财务报表用户的主要好处是，这项标准有助于加强问责制和透明度，提供的信息更可靠。联合国系统各机构采用IPSAS在治理方面的关键好处是，资产、负债、收入和开支现在得到了更现实、更完整的确认。此外，这项标准确保不同组织之间有更强的统一性、可比性和一致性。</w:t>
      </w:r>
    </w:p>
    <w:p w:rsidR="00DB38C9" w:rsidRPr="00D913AD" w:rsidRDefault="008926D9"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从财务会计的角度看，最重要的变化是IPSAS要求各组织转向完全的权责发生制</w:t>
      </w:r>
      <w:r w:rsidR="009C378F" w:rsidRPr="00D913AD">
        <w:rPr>
          <w:rFonts w:ascii="SimSun" w:hAnsi="SimSun" w:hint="eastAsia"/>
          <w:sz w:val="21"/>
        </w:rPr>
        <w:t>会计。</w:t>
      </w:r>
      <w:r w:rsidR="00F72BC4" w:rsidRPr="00D913AD">
        <w:rPr>
          <w:rFonts w:ascii="SimSun" w:hAnsi="SimSun" w:hint="eastAsia"/>
          <w:sz w:val="21"/>
        </w:rPr>
        <w:t>这意味着交易和事项在发生时对其予以确认，并且在与其有关的期间的财务报表中确认。这样，用于商品和服务的开支在商品和服务交付</w:t>
      </w:r>
      <w:r w:rsidR="001B5EB0" w:rsidRPr="00D913AD">
        <w:rPr>
          <w:rFonts w:ascii="SimSun" w:hAnsi="SimSun" w:hint="eastAsia"/>
          <w:sz w:val="21"/>
        </w:rPr>
        <w:t>时</w:t>
      </w:r>
      <w:r w:rsidR="001E43DE" w:rsidRPr="00D913AD">
        <w:rPr>
          <w:rFonts w:ascii="SimSun" w:hAnsi="SimSun" w:hint="eastAsia"/>
          <w:sz w:val="21"/>
        </w:rPr>
        <w:t>在报表中予以确认，</w:t>
      </w:r>
      <w:r w:rsidR="001B5EB0" w:rsidRPr="00D913AD">
        <w:rPr>
          <w:rFonts w:ascii="SimSun" w:hAnsi="SimSun" w:hint="eastAsia"/>
          <w:sz w:val="21"/>
        </w:rPr>
        <w:t>收入</w:t>
      </w:r>
      <w:r w:rsidR="001E43DE" w:rsidRPr="00D913AD">
        <w:rPr>
          <w:rFonts w:ascii="SimSun" w:hAnsi="SimSun" w:hint="eastAsia"/>
          <w:sz w:val="21"/>
        </w:rPr>
        <w:t>在服务提供时</w:t>
      </w:r>
      <w:r w:rsidR="001B5EB0" w:rsidRPr="00D913AD">
        <w:rPr>
          <w:rFonts w:ascii="SimSun" w:hAnsi="SimSun" w:hint="eastAsia"/>
          <w:sz w:val="21"/>
        </w:rPr>
        <w:t>视为挣得并</w:t>
      </w:r>
      <w:r w:rsidR="001E43DE" w:rsidRPr="00D913AD">
        <w:rPr>
          <w:rFonts w:ascii="SimSun" w:hAnsi="SimSun" w:hint="eastAsia"/>
          <w:sz w:val="21"/>
        </w:rPr>
        <w:t>予以确认。</w:t>
      </w:r>
    </w:p>
    <w:p w:rsidR="00D913AD" w:rsidRDefault="001E43DE"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在WIPO，转向IPSAS最大的变化是</w:t>
      </w:r>
      <w:r w:rsidR="00B173E3" w:rsidRPr="00D913AD">
        <w:rPr>
          <w:rFonts w:ascii="SimSun" w:hAnsi="SimSun" w:hint="eastAsia"/>
          <w:sz w:val="21"/>
        </w:rPr>
        <w:t>：更完整地确认土地和建筑物，使财务状况表上的资产增加；确认离职后福利的全部负债，使财务报表上出现重大雇员福利负债；以及</w:t>
      </w:r>
      <w:r w:rsidR="00E25AA3" w:rsidRPr="00D913AD">
        <w:rPr>
          <w:rFonts w:ascii="SimSun" w:hAnsi="SimSun" w:hint="eastAsia"/>
          <w:sz w:val="21"/>
        </w:rPr>
        <w:t>在提供服务时将</w:t>
      </w:r>
      <w:r w:rsidR="00B173E3" w:rsidRPr="00D913AD">
        <w:rPr>
          <w:rFonts w:ascii="SimSun" w:hAnsi="SimSun" w:hint="eastAsia"/>
          <w:sz w:val="21"/>
        </w:rPr>
        <w:t>收费收入</w:t>
      </w:r>
      <w:r w:rsidR="00E25AA3" w:rsidRPr="00D913AD">
        <w:rPr>
          <w:rFonts w:ascii="SimSun" w:hAnsi="SimSun" w:hint="eastAsia"/>
          <w:sz w:val="21"/>
        </w:rPr>
        <w:t>确认</w:t>
      </w:r>
      <w:r w:rsidR="00B173E3" w:rsidRPr="00D913AD">
        <w:rPr>
          <w:rFonts w:ascii="SimSun" w:hAnsi="SimSun" w:hint="eastAsia"/>
          <w:sz w:val="21"/>
        </w:rPr>
        <w:t>为收入</w:t>
      </w:r>
      <w:r w:rsidR="00E25AA3" w:rsidRPr="00D913AD">
        <w:rPr>
          <w:rFonts w:ascii="SimSun" w:hAnsi="SimSun" w:hint="eastAsia"/>
          <w:sz w:val="21"/>
        </w:rPr>
        <w:t>，使财务报表上出现重大递延收入负债。这些变化加上其他变化，使2010年1月1日转为IPSAS时本组织净资产</w:t>
      </w:r>
      <w:r w:rsidR="00D913AD">
        <w:rPr>
          <w:rFonts w:ascii="SimSun" w:hAnsi="SimSun" w:hint="eastAsia"/>
          <w:sz w:val="21"/>
        </w:rPr>
        <w:t>(</w:t>
      </w:r>
      <w:r w:rsidR="00E25AA3" w:rsidRPr="00D913AD">
        <w:rPr>
          <w:rFonts w:ascii="SimSun" w:hAnsi="SimSun" w:hint="eastAsia"/>
          <w:sz w:val="21"/>
        </w:rPr>
        <w:t>RWCF</w:t>
      </w:r>
      <w:r w:rsidR="00D913AD">
        <w:rPr>
          <w:rFonts w:ascii="SimSun" w:hAnsi="SimSun" w:hint="eastAsia"/>
          <w:sz w:val="21"/>
        </w:rPr>
        <w:t>)</w:t>
      </w:r>
      <w:r w:rsidR="00E25AA3" w:rsidRPr="00D913AD">
        <w:rPr>
          <w:rFonts w:ascii="SimSun" w:hAnsi="SimSun" w:hint="eastAsia"/>
          <w:sz w:val="21"/>
        </w:rPr>
        <w:t>的水平和构成发生了变化。2013年12月31日之前净资产</w:t>
      </w:r>
      <w:r w:rsidR="00D913AD">
        <w:rPr>
          <w:rFonts w:ascii="SimSun" w:hAnsi="SimSun" w:hint="eastAsia"/>
          <w:sz w:val="21"/>
        </w:rPr>
        <w:t>(</w:t>
      </w:r>
      <w:r w:rsidR="00E25AA3" w:rsidRPr="00D913AD">
        <w:rPr>
          <w:rFonts w:ascii="SimSun" w:hAnsi="SimSun" w:hint="eastAsia"/>
          <w:sz w:val="21"/>
        </w:rPr>
        <w:t>RWCF</w:t>
      </w:r>
      <w:r w:rsidR="00D913AD">
        <w:rPr>
          <w:rFonts w:ascii="SimSun" w:hAnsi="SimSun" w:hint="eastAsia"/>
          <w:sz w:val="21"/>
        </w:rPr>
        <w:t>)</w:t>
      </w:r>
      <w:r w:rsidR="00E25AA3" w:rsidRPr="00D913AD">
        <w:rPr>
          <w:rFonts w:ascii="SimSun" w:hAnsi="SimSun" w:hint="eastAsia"/>
          <w:sz w:val="21"/>
        </w:rPr>
        <w:t>变化和净资产演变的总结，见下表1、表2和表3。</w:t>
      </w:r>
    </w:p>
    <w:p w:rsidR="005D606A" w:rsidRPr="00D913AD" w:rsidRDefault="00E25AA3" w:rsidP="00C2571F">
      <w:pPr>
        <w:keepNext/>
        <w:keepLines/>
        <w:spacing w:afterLines="50" w:after="120" w:line="340" w:lineRule="atLeast"/>
        <w:rPr>
          <w:rFonts w:ascii="SimSun" w:hAnsi="SimSun"/>
          <w:sz w:val="21"/>
        </w:rPr>
      </w:pPr>
      <w:r w:rsidRPr="00D913AD">
        <w:rPr>
          <w:rFonts w:ascii="SimSun" w:hAnsi="SimSun" w:hint="eastAsia"/>
          <w:sz w:val="21"/>
        </w:rPr>
        <w:t>表</w:t>
      </w:r>
      <w:r w:rsidR="005D606A" w:rsidRPr="00D913AD">
        <w:rPr>
          <w:rFonts w:ascii="SimSun" w:hAnsi="SimSun"/>
          <w:sz w:val="21"/>
        </w:rPr>
        <w:t xml:space="preserve">1 – </w:t>
      </w:r>
      <w:r w:rsidRPr="00D913AD">
        <w:rPr>
          <w:rFonts w:ascii="SimSun" w:hAnsi="SimSun" w:hint="eastAsia"/>
          <w:sz w:val="21"/>
        </w:rPr>
        <w:t>净资产演变——财务报表</w:t>
      </w:r>
      <w:r w:rsidR="001B5EB0" w:rsidRPr="00D913AD">
        <w:rPr>
          <w:rFonts w:ascii="SimSun" w:hAnsi="SimSun" w:hint="eastAsia"/>
          <w:sz w:val="21"/>
        </w:rPr>
        <w:t>列</w:t>
      </w:r>
      <w:r w:rsidRPr="00D913AD">
        <w:rPr>
          <w:rFonts w:ascii="SimSun" w:hAnsi="SimSun" w:hint="eastAsia"/>
          <w:sz w:val="21"/>
        </w:rPr>
        <w:t>报</w:t>
      </w:r>
    </w:p>
    <w:p w:rsidR="00211873" w:rsidRPr="00D913AD" w:rsidRDefault="00A95001" w:rsidP="00C2571F">
      <w:pPr>
        <w:spacing w:afterLines="50" w:after="120"/>
        <w:jc w:val="center"/>
        <w:rPr>
          <w:rFonts w:ascii="SimSun" w:hAnsi="SimSun"/>
          <w:sz w:val="21"/>
        </w:rPr>
      </w:pPr>
      <w:r w:rsidRPr="00D913AD">
        <w:rPr>
          <w:rFonts w:ascii="SimSun" w:hAnsi="SimSun"/>
          <w:noProof/>
          <w:sz w:val="21"/>
          <w:lang w:eastAsia="en-US"/>
        </w:rPr>
        <w:drawing>
          <wp:inline distT="0" distB="0" distL="0" distR="0" wp14:anchorId="6C7CE285" wp14:editId="0E0AFEDB">
            <wp:extent cx="5940425" cy="2842121"/>
            <wp:effectExtent l="0" t="0" r="317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842121"/>
                    </a:xfrm>
                    <a:prstGeom prst="rect">
                      <a:avLst/>
                    </a:prstGeom>
                    <a:noFill/>
                    <a:ln>
                      <a:noFill/>
                    </a:ln>
                  </pic:spPr>
                </pic:pic>
              </a:graphicData>
            </a:graphic>
          </wp:inline>
        </w:drawing>
      </w:r>
    </w:p>
    <w:p w:rsidR="00D913AD" w:rsidRDefault="00E25AA3" w:rsidP="00C2571F">
      <w:pPr>
        <w:keepNext/>
        <w:keepLines/>
        <w:spacing w:afterLines="50" w:after="120" w:line="340" w:lineRule="atLeast"/>
        <w:rPr>
          <w:rFonts w:ascii="SimSun" w:hAnsi="SimSun"/>
          <w:sz w:val="21"/>
        </w:rPr>
      </w:pPr>
      <w:r w:rsidRPr="00D913AD">
        <w:rPr>
          <w:rFonts w:ascii="SimSun" w:hAnsi="SimSun" w:hint="eastAsia"/>
          <w:sz w:val="21"/>
        </w:rPr>
        <w:t>表</w:t>
      </w:r>
      <w:r w:rsidR="005D606A" w:rsidRPr="00D913AD">
        <w:rPr>
          <w:rFonts w:ascii="SimSun" w:hAnsi="SimSun"/>
          <w:sz w:val="21"/>
        </w:rPr>
        <w:t xml:space="preserve">2 – </w:t>
      </w:r>
      <w:r w:rsidRPr="00D913AD">
        <w:rPr>
          <w:rFonts w:ascii="SimSun" w:hAnsi="SimSun" w:hint="eastAsia"/>
          <w:sz w:val="21"/>
        </w:rPr>
        <w:t>净资产演变——短期/长期分析</w:t>
      </w:r>
    </w:p>
    <w:p w:rsidR="00D913AD" w:rsidRDefault="008112A1" w:rsidP="00C2571F">
      <w:pPr>
        <w:spacing w:afterLines="50" w:after="120"/>
        <w:rPr>
          <w:rFonts w:ascii="SimSun" w:hAnsi="SimSun"/>
          <w:sz w:val="21"/>
        </w:rPr>
      </w:pPr>
      <w:r w:rsidRPr="00D913AD">
        <w:rPr>
          <w:rFonts w:ascii="SimSun" w:hAnsi="SimSun"/>
          <w:noProof/>
          <w:sz w:val="21"/>
          <w:lang w:eastAsia="en-US"/>
        </w:rPr>
        <w:drawing>
          <wp:inline distT="0" distB="0" distL="0" distR="0" wp14:anchorId="7BD73FAD" wp14:editId="0BB2CD35">
            <wp:extent cx="5940425" cy="2824481"/>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2824481"/>
                    </a:xfrm>
                    <a:prstGeom prst="rect">
                      <a:avLst/>
                    </a:prstGeom>
                    <a:noFill/>
                    <a:ln>
                      <a:noFill/>
                    </a:ln>
                  </pic:spPr>
                </pic:pic>
              </a:graphicData>
            </a:graphic>
          </wp:inline>
        </w:drawing>
      </w:r>
    </w:p>
    <w:p w:rsidR="005D606A" w:rsidRPr="00D913AD" w:rsidRDefault="00E25AA3" w:rsidP="00C2571F">
      <w:pPr>
        <w:keepNext/>
        <w:keepLines/>
        <w:spacing w:afterLines="50" w:after="120" w:line="340" w:lineRule="atLeast"/>
        <w:rPr>
          <w:rFonts w:ascii="SimSun" w:hAnsi="SimSun"/>
          <w:sz w:val="21"/>
        </w:rPr>
      </w:pPr>
      <w:r w:rsidRPr="00D913AD">
        <w:rPr>
          <w:rFonts w:ascii="SimSun" w:hAnsi="SimSun" w:hint="eastAsia"/>
          <w:sz w:val="21"/>
        </w:rPr>
        <w:t>表</w:t>
      </w:r>
      <w:r w:rsidR="005D606A" w:rsidRPr="00D913AD">
        <w:rPr>
          <w:rFonts w:ascii="SimSun" w:hAnsi="SimSun"/>
          <w:sz w:val="21"/>
        </w:rPr>
        <w:t xml:space="preserve">3 – </w:t>
      </w:r>
      <w:r w:rsidRPr="00D913AD">
        <w:rPr>
          <w:rFonts w:ascii="SimSun" w:hAnsi="SimSun" w:hint="eastAsia"/>
          <w:sz w:val="21"/>
        </w:rPr>
        <w:t>净资产演变——储备金政策分析</w:t>
      </w:r>
    </w:p>
    <w:p w:rsidR="005D606A" w:rsidRPr="00D913AD" w:rsidRDefault="008112A1" w:rsidP="00C2571F">
      <w:pPr>
        <w:spacing w:afterLines="50" w:after="120"/>
        <w:jc w:val="center"/>
        <w:rPr>
          <w:rFonts w:ascii="SimSun" w:hAnsi="SimSun"/>
          <w:sz w:val="21"/>
        </w:rPr>
      </w:pPr>
      <w:r w:rsidRPr="00D913AD">
        <w:rPr>
          <w:rFonts w:ascii="SimSun" w:hAnsi="SimSun"/>
          <w:noProof/>
          <w:sz w:val="21"/>
          <w:lang w:eastAsia="en-US"/>
        </w:rPr>
        <w:drawing>
          <wp:inline distT="0" distB="0" distL="0" distR="0" wp14:anchorId="6691BC7D" wp14:editId="7FF905F6">
            <wp:extent cx="5940425" cy="2834953"/>
            <wp:effectExtent l="0" t="0" r="3175"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2834953"/>
                    </a:xfrm>
                    <a:prstGeom prst="rect">
                      <a:avLst/>
                    </a:prstGeom>
                    <a:noFill/>
                    <a:ln>
                      <a:noFill/>
                    </a:ln>
                  </pic:spPr>
                </pic:pic>
              </a:graphicData>
            </a:graphic>
          </wp:inline>
        </w:drawing>
      </w:r>
    </w:p>
    <w:p w:rsidR="00D913AD" w:rsidRPr="00C2571F" w:rsidRDefault="00E25AA3" w:rsidP="00C2571F">
      <w:pPr>
        <w:spacing w:afterLines="100" w:after="240"/>
        <w:rPr>
          <w:rFonts w:ascii="KaiTi" w:eastAsia="KaiTi" w:hAnsi="KaiTi"/>
          <w:i/>
          <w:iCs/>
          <w:sz w:val="18"/>
        </w:rPr>
      </w:pPr>
      <w:r w:rsidRPr="00C2571F">
        <w:rPr>
          <w:rFonts w:ascii="KaiTi" w:eastAsia="KaiTi" w:hAnsi="KaiTi" w:hint="eastAsia"/>
          <w:i/>
          <w:iCs/>
          <w:sz w:val="18"/>
        </w:rPr>
        <w:t>注：</w:t>
      </w:r>
      <w:r w:rsidRPr="00C2571F">
        <w:rPr>
          <w:rFonts w:ascii="KaiTi" w:eastAsia="KaiTi" w:hAnsi="KaiTi"/>
          <w:i/>
          <w:iCs/>
          <w:sz w:val="18"/>
        </w:rPr>
        <w:t>31/12/2011</w:t>
      </w:r>
      <w:r w:rsidRPr="00C2571F">
        <w:rPr>
          <w:rFonts w:ascii="KaiTi" w:eastAsia="KaiTi" w:hAnsi="KaiTi" w:hint="eastAsia"/>
          <w:i/>
          <w:iCs/>
          <w:sz w:val="18"/>
        </w:rPr>
        <w:t>和</w:t>
      </w:r>
      <w:r w:rsidRPr="00C2571F">
        <w:rPr>
          <w:rFonts w:ascii="KaiTi" w:eastAsia="KaiTi" w:hAnsi="KaiTi"/>
          <w:i/>
          <w:iCs/>
          <w:sz w:val="18"/>
        </w:rPr>
        <w:t>31/12/2012</w:t>
      </w:r>
      <w:r w:rsidRPr="00C2571F">
        <w:rPr>
          <w:rFonts w:ascii="KaiTi" w:eastAsia="KaiTi" w:hAnsi="KaiTi" w:hint="eastAsia"/>
          <w:i/>
          <w:iCs/>
          <w:sz w:val="18"/>
        </w:rPr>
        <w:t>的数字依据确认PCT收入的会计政策改变之后的重编数字</w:t>
      </w:r>
      <w:r w:rsidR="00510C01" w:rsidRPr="00C2571F">
        <w:rPr>
          <w:rFonts w:ascii="KaiTi" w:eastAsia="KaiTi" w:hAnsi="KaiTi" w:hint="eastAsia"/>
          <w:i/>
          <w:iCs/>
          <w:sz w:val="18"/>
        </w:rPr>
        <w:t>。</w:t>
      </w:r>
    </w:p>
    <w:p w:rsidR="00211873" w:rsidRPr="00D913AD" w:rsidRDefault="00E25AA3"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因为2010年1月1日转向IPSAS，净资产</w:t>
      </w:r>
      <w:r w:rsidR="00D913AD">
        <w:rPr>
          <w:rFonts w:ascii="SimSun" w:hAnsi="SimSun" w:hint="eastAsia"/>
          <w:sz w:val="21"/>
        </w:rPr>
        <w:t>(</w:t>
      </w:r>
      <w:r w:rsidRPr="00D913AD">
        <w:rPr>
          <w:rFonts w:ascii="SimSun" w:hAnsi="SimSun" w:hint="eastAsia"/>
          <w:sz w:val="21"/>
        </w:rPr>
        <w:t>RWCF</w:t>
      </w:r>
      <w:r w:rsidR="00D913AD">
        <w:rPr>
          <w:rFonts w:ascii="SimSun" w:hAnsi="SimSun" w:hint="eastAsia"/>
          <w:sz w:val="21"/>
        </w:rPr>
        <w:t>)</w:t>
      </w:r>
      <w:r w:rsidRPr="00D913AD">
        <w:rPr>
          <w:rFonts w:ascii="SimSun" w:hAnsi="SimSun" w:hint="eastAsia"/>
          <w:sz w:val="21"/>
        </w:rPr>
        <w:t>减少了2,000万瑞郎</w:t>
      </w:r>
      <w:r w:rsidR="00B960B5" w:rsidRPr="00D913AD">
        <w:rPr>
          <w:rFonts w:ascii="SimSun" w:hAnsi="SimSun" w:hint="eastAsia"/>
          <w:sz w:val="21"/>
        </w:rPr>
        <w:t>。但是，这一减值后的水平高于RWCF目标水平。此后净资产水平一直保持在目标水平以上。本文件附件中提供了WIPO财务情况，包括净资产</w:t>
      </w:r>
      <w:r w:rsidR="00D913AD">
        <w:rPr>
          <w:rFonts w:ascii="SimSun" w:hAnsi="SimSun" w:hint="eastAsia"/>
          <w:sz w:val="21"/>
        </w:rPr>
        <w:t>(</w:t>
      </w:r>
      <w:r w:rsidR="00B960B5" w:rsidRPr="00D913AD">
        <w:rPr>
          <w:rFonts w:ascii="SimSun" w:hAnsi="SimSun" w:hint="eastAsia"/>
          <w:sz w:val="21"/>
        </w:rPr>
        <w:t>RWCF</w:t>
      </w:r>
      <w:r w:rsidR="00D913AD">
        <w:rPr>
          <w:rFonts w:ascii="SimSun" w:hAnsi="SimSun" w:hint="eastAsia"/>
          <w:sz w:val="21"/>
        </w:rPr>
        <w:t>)</w:t>
      </w:r>
      <w:r w:rsidR="00B960B5" w:rsidRPr="00D913AD">
        <w:rPr>
          <w:rFonts w:ascii="SimSun" w:hAnsi="SimSun" w:hint="eastAsia"/>
          <w:sz w:val="21"/>
        </w:rPr>
        <w:t>的历史演变。</w:t>
      </w:r>
    </w:p>
    <w:p w:rsidR="00D913AD" w:rsidRPr="00D913AD" w:rsidRDefault="00E97259" w:rsidP="00D913AD">
      <w:pPr>
        <w:keepNext/>
        <w:spacing w:beforeLines="100" w:before="240" w:afterLines="50" w:after="120" w:line="340" w:lineRule="atLeast"/>
        <w:rPr>
          <w:rFonts w:ascii="SimHei" w:eastAsia="SimHei" w:hAnsi="SimHei"/>
          <w:caps/>
          <w:sz w:val="21"/>
        </w:rPr>
      </w:pPr>
      <w:r w:rsidRPr="00D913AD">
        <w:rPr>
          <w:rFonts w:ascii="SimHei" w:eastAsia="SimHei" w:hAnsi="SimHei" w:hint="eastAsia"/>
          <w:caps/>
          <w:sz w:val="21"/>
        </w:rPr>
        <w:t>转向</w:t>
      </w:r>
      <w:r w:rsidR="00D12D20" w:rsidRPr="00D913AD">
        <w:rPr>
          <w:rFonts w:ascii="SimHei" w:eastAsia="SimHei" w:hAnsi="SimHei"/>
          <w:caps/>
          <w:sz w:val="21"/>
        </w:rPr>
        <w:t>IPSAS</w:t>
      </w:r>
      <w:r w:rsidRPr="00D913AD">
        <w:rPr>
          <w:rFonts w:ascii="SimHei" w:eastAsia="SimHei" w:hAnsi="SimHei" w:hint="eastAsia"/>
          <w:caps/>
          <w:sz w:val="21"/>
        </w:rPr>
        <w:t>——流动性影响分析</w:t>
      </w:r>
    </w:p>
    <w:p w:rsidR="0012713E" w:rsidRPr="00D913AD" w:rsidRDefault="00E97259"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评估一个组织流动性状况及其短期债务</w:t>
      </w:r>
      <w:r w:rsidR="00F179A4" w:rsidRPr="00D913AD">
        <w:rPr>
          <w:rFonts w:ascii="SimSun" w:hAnsi="SimSun" w:hint="eastAsia"/>
          <w:sz w:val="21"/>
        </w:rPr>
        <w:t>偿债能力</w:t>
      </w:r>
      <w:r w:rsidRPr="00D913AD">
        <w:rPr>
          <w:rFonts w:ascii="SimSun" w:hAnsi="SimSun" w:hint="eastAsia"/>
          <w:sz w:val="21"/>
        </w:rPr>
        <w:t>的一些标准财务指标是以下简述的一些比率：</w:t>
      </w:r>
    </w:p>
    <w:p w:rsidR="00EE2D9F" w:rsidRPr="00D913AD" w:rsidRDefault="00E97259" w:rsidP="00C2571F">
      <w:pPr>
        <w:pStyle w:val="ListParagraph"/>
        <w:numPr>
          <w:ilvl w:val="0"/>
          <w:numId w:val="11"/>
        </w:numPr>
        <w:tabs>
          <w:tab w:val="clear" w:pos="851"/>
          <w:tab w:val="clear" w:pos="1134"/>
          <w:tab w:val="left" w:pos="1276"/>
        </w:tabs>
        <w:spacing w:before="0" w:afterLines="50" w:line="340" w:lineRule="atLeast"/>
        <w:ind w:left="993" w:firstLine="0"/>
        <w:rPr>
          <w:rFonts w:ascii="SimSun" w:hAnsi="SimSun"/>
          <w:sz w:val="21"/>
          <w:lang w:val="fr-FR"/>
        </w:rPr>
      </w:pPr>
      <w:r w:rsidRPr="00D913AD">
        <w:rPr>
          <w:rFonts w:ascii="SimSun" w:hAnsi="SimSun" w:hint="eastAsia"/>
          <w:sz w:val="21"/>
          <w:lang w:val="fr-FR"/>
        </w:rPr>
        <w:t>流动比率</w:t>
      </w:r>
      <w:r w:rsidR="00EE2D9F" w:rsidRPr="00D913AD">
        <w:rPr>
          <w:rFonts w:ascii="SimSun" w:hAnsi="SimSun"/>
          <w:sz w:val="21"/>
          <w:lang w:val="fr-FR"/>
        </w:rPr>
        <w:t xml:space="preserve"> = </w:t>
      </w:r>
      <w:r w:rsidRPr="00C2571F">
        <w:rPr>
          <w:rFonts w:ascii="SimSun" w:hAnsi="SimSun" w:hint="eastAsia"/>
          <w:sz w:val="21"/>
        </w:rPr>
        <w:t>流动资产</w:t>
      </w:r>
      <w:r w:rsidR="00EE2D9F" w:rsidRPr="00D913AD">
        <w:rPr>
          <w:rFonts w:ascii="SimSun" w:hAnsi="SimSun"/>
          <w:sz w:val="21"/>
          <w:lang w:val="fr-FR"/>
        </w:rPr>
        <w:t xml:space="preserve"> ÷ </w:t>
      </w:r>
      <w:r w:rsidRPr="00D913AD">
        <w:rPr>
          <w:rFonts w:ascii="SimSun" w:hAnsi="SimSun" w:hint="eastAsia"/>
          <w:sz w:val="21"/>
          <w:lang w:val="fr-FR"/>
        </w:rPr>
        <w:t>流动负债</w:t>
      </w:r>
    </w:p>
    <w:p w:rsidR="00EE2D9F" w:rsidRPr="00D913AD" w:rsidRDefault="00AB7E44" w:rsidP="003F453A">
      <w:pPr>
        <w:spacing w:afterLines="50" w:after="120" w:line="340" w:lineRule="atLeast"/>
        <w:ind w:left="567"/>
        <w:jc w:val="both"/>
        <w:rPr>
          <w:rFonts w:ascii="SimSun" w:hAnsi="SimSun"/>
          <w:sz w:val="21"/>
        </w:rPr>
      </w:pPr>
      <w:r w:rsidRPr="00D913AD">
        <w:rPr>
          <w:rFonts w:ascii="SimSun" w:hAnsi="SimSun" w:hint="eastAsia"/>
          <w:sz w:val="21"/>
          <w:lang w:val="fr-FR"/>
        </w:rPr>
        <w:t>一个组织</w:t>
      </w:r>
      <w:r w:rsidRPr="00D913AD">
        <w:rPr>
          <w:rFonts w:ascii="SimSun" w:hAnsi="SimSun" w:hint="eastAsia"/>
          <w:sz w:val="21"/>
        </w:rPr>
        <w:t>短期债务偿债能力的一个简单参考是将其流动资产和债务用通常</w:t>
      </w:r>
      <w:r w:rsidR="001E5F5F" w:rsidRPr="00D913AD">
        <w:rPr>
          <w:rFonts w:ascii="SimSun" w:hAnsi="SimSun" w:hint="eastAsia"/>
          <w:sz w:val="21"/>
        </w:rPr>
        <w:t>所</w:t>
      </w:r>
      <w:r w:rsidRPr="00D913AD">
        <w:rPr>
          <w:rFonts w:ascii="SimSun" w:hAnsi="SimSun" w:hint="eastAsia"/>
          <w:sz w:val="21"/>
        </w:rPr>
        <w:t>称</w:t>
      </w:r>
      <w:r w:rsidR="001E5F5F" w:rsidRPr="00D913AD">
        <w:rPr>
          <w:rFonts w:ascii="SimSun" w:hAnsi="SimSun" w:hint="eastAsia"/>
          <w:sz w:val="21"/>
        </w:rPr>
        <w:t>的</w:t>
      </w:r>
      <w:r w:rsidRPr="00D913AD">
        <w:rPr>
          <w:rFonts w:ascii="SimSun" w:hAnsi="SimSun" w:hint="eastAsia"/>
          <w:sz w:val="21"/>
          <w:lang w:val="fr-FR"/>
        </w:rPr>
        <w:t>“</w:t>
      </w:r>
      <w:r w:rsidRPr="00D913AD">
        <w:rPr>
          <w:rFonts w:ascii="SimSun" w:hAnsi="SimSun" w:hint="eastAsia"/>
          <w:sz w:val="21"/>
        </w:rPr>
        <w:t>流动比率</w:t>
      </w:r>
      <w:r w:rsidRPr="00D913AD">
        <w:rPr>
          <w:rFonts w:ascii="SimSun" w:hAnsi="SimSun" w:hint="eastAsia"/>
          <w:sz w:val="21"/>
          <w:lang w:val="fr-FR"/>
        </w:rPr>
        <w:t>”</w:t>
      </w:r>
      <w:r w:rsidRPr="00D913AD">
        <w:rPr>
          <w:rFonts w:ascii="SimSun" w:hAnsi="SimSun" w:hint="eastAsia"/>
          <w:sz w:val="21"/>
        </w:rPr>
        <w:t>关联起来。采用这一比率，可以了解一个组织在年末的偿付能力，是无需专门借款而</w:t>
      </w:r>
      <w:r w:rsidR="00400561" w:rsidRPr="00D913AD">
        <w:rPr>
          <w:rFonts w:ascii="SimSun" w:hAnsi="SimSun" w:hint="eastAsia"/>
          <w:sz w:val="21"/>
        </w:rPr>
        <w:t>有能力</w:t>
      </w:r>
      <w:r w:rsidRPr="00D913AD">
        <w:rPr>
          <w:rFonts w:ascii="SimSun" w:hAnsi="SimSun" w:hint="eastAsia"/>
          <w:sz w:val="21"/>
        </w:rPr>
        <w:t>偿还短期负债</w:t>
      </w:r>
      <w:r w:rsidR="00400561" w:rsidRPr="00D913AD">
        <w:rPr>
          <w:rFonts w:ascii="SimSun" w:hAnsi="SimSun" w:hint="eastAsia"/>
          <w:sz w:val="21"/>
        </w:rPr>
        <w:t>的一个指示。</w:t>
      </w:r>
    </w:p>
    <w:p w:rsidR="00EE2D9F" w:rsidRPr="00D913AD" w:rsidRDefault="00E97259" w:rsidP="00C2571F">
      <w:pPr>
        <w:pStyle w:val="ListParagraph"/>
        <w:numPr>
          <w:ilvl w:val="0"/>
          <w:numId w:val="11"/>
        </w:numPr>
        <w:tabs>
          <w:tab w:val="clear" w:pos="851"/>
          <w:tab w:val="clear" w:pos="1134"/>
          <w:tab w:val="left" w:pos="1276"/>
        </w:tabs>
        <w:spacing w:before="0" w:afterLines="50" w:line="340" w:lineRule="atLeast"/>
        <w:ind w:left="993" w:firstLine="0"/>
        <w:rPr>
          <w:rFonts w:ascii="SimSun" w:hAnsi="SimSun"/>
          <w:sz w:val="21"/>
          <w:lang w:val="fr-FR"/>
        </w:rPr>
      </w:pPr>
      <w:r w:rsidRPr="00D913AD">
        <w:rPr>
          <w:rFonts w:ascii="SimSun" w:hAnsi="SimSun" w:hint="eastAsia"/>
          <w:sz w:val="21"/>
          <w:lang w:val="fr-FR"/>
        </w:rPr>
        <w:t>流通</w:t>
      </w:r>
      <w:r w:rsidRPr="00C2571F">
        <w:rPr>
          <w:rFonts w:ascii="SimSun" w:hAnsi="SimSun" w:hint="eastAsia"/>
          <w:sz w:val="21"/>
        </w:rPr>
        <w:t>比率</w:t>
      </w:r>
      <w:r w:rsidR="00EE2D9F" w:rsidRPr="00D913AD">
        <w:rPr>
          <w:rFonts w:ascii="SimSun" w:hAnsi="SimSun"/>
          <w:sz w:val="21"/>
          <w:lang w:val="fr-FR"/>
        </w:rPr>
        <w:t xml:space="preserve"> = </w:t>
      </w:r>
      <w:r w:rsidRPr="00D913AD">
        <w:rPr>
          <w:rFonts w:ascii="SimSun" w:hAnsi="SimSun" w:hint="eastAsia"/>
          <w:sz w:val="21"/>
          <w:lang w:val="fr-FR"/>
        </w:rPr>
        <w:t>流通资产</w:t>
      </w:r>
      <w:r w:rsidR="00EE2D9F" w:rsidRPr="00D913AD">
        <w:rPr>
          <w:rFonts w:ascii="SimSun" w:hAnsi="SimSun"/>
          <w:sz w:val="21"/>
          <w:lang w:val="fr-FR"/>
        </w:rPr>
        <w:t xml:space="preserve"> ÷ </w:t>
      </w:r>
      <w:r w:rsidRPr="00D913AD">
        <w:rPr>
          <w:rFonts w:ascii="SimSun" w:hAnsi="SimSun" w:hint="eastAsia"/>
          <w:sz w:val="21"/>
          <w:lang w:val="fr-FR"/>
        </w:rPr>
        <w:t>流动负债</w:t>
      </w:r>
    </w:p>
    <w:p w:rsidR="00EE2D9F" w:rsidRPr="00D913AD" w:rsidRDefault="00400561" w:rsidP="003F453A">
      <w:pPr>
        <w:spacing w:afterLines="50" w:after="120" w:line="340" w:lineRule="atLeast"/>
        <w:ind w:left="567"/>
        <w:jc w:val="both"/>
        <w:rPr>
          <w:rFonts w:ascii="SimSun" w:hAnsi="SimSun"/>
          <w:sz w:val="21"/>
        </w:rPr>
      </w:pPr>
      <w:r w:rsidRPr="00D913AD">
        <w:rPr>
          <w:rFonts w:ascii="SimSun" w:hAnsi="SimSun" w:hint="eastAsia"/>
          <w:sz w:val="21"/>
        </w:rPr>
        <w:t>比流动比率更严格的一种</w:t>
      </w:r>
      <w:r w:rsidR="001E5F5F" w:rsidRPr="00D913AD">
        <w:rPr>
          <w:rFonts w:ascii="SimSun" w:hAnsi="SimSun" w:hint="eastAsia"/>
          <w:sz w:val="21"/>
        </w:rPr>
        <w:t>办</w:t>
      </w:r>
      <w:r w:rsidRPr="00D913AD">
        <w:rPr>
          <w:rFonts w:ascii="SimSun" w:hAnsi="SimSun" w:hint="eastAsia"/>
          <w:sz w:val="21"/>
        </w:rPr>
        <w:t>法是扣除年末库存</w:t>
      </w:r>
      <w:r w:rsidRPr="00D913AD">
        <w:rPr>
          <w:rFonts w:ascii="SimSun" w:hAnsi="SimSun" w:hint="eastAsia"/>
          <w:sz w:val="21"/>
          <w:lang w:val="fr-FR"/>
        </w:rPr>
        <w:t>，</w:t>
      </w:r>
      <w:r w:rsidRPr="00D913AD">
        <w:rPr>
          <w:rFonts w:ascii="SimSun" w:hAnsi="SimSun" w:hint="eastAsia"/>
          <w:sz w:val="21"/>
        </w:rPr>
        <w:t>得到所谓的流通资产</w:t>
      </w:r>
      <w:r w:rsidRPr="00D913AD">
        <w:rPr>
          <w:rFonts w:ascii="SimSun" w:hAnsi="SimSun" w:hint="eastAsia"/>
          <w:sz w:val="21"/>
          <w:lang w:val="fr-FR"/>
        </w:rPr>
        <w:t>——</w:t>
      </w:r>
      <w:r w:rsidRPr="00D913AD">
        <w:rPr>
          <w:rFonts w:ascii="SimSun" w:hAnsi="SimSun" w:hint="eastAsia"/>
          <w:sz w:val="21"/>
        </w:rPr>
        <w:t>即现金和类现金资产。扣除</w:t>
      </w:r>
      <w:r w:rsidR="00C652F0" w:rsidRPr="00D913AD">
        <w:rPr>
          <w:rFonts w:ascii="SimSun" w:hAnsi="SimSun" w:hint="eastAsia"/>
          <w:sz w:val="21"/>
        </w:rPr>
        <w:t>库存是因为可能难以</w:t>
      </w:r>
      <w:r w:rsidR="001E5F5F" w:rsidRPr="00D913AD">
        <w:rPr>
          <w:rFonts w:ascii="SimSun" w:hAnsi="SimSun" w:hint="eastAsia"/>
          <w:sz w:val="21"/>
        </w:rPr>
        <w:t>迅</w:t>
      </w:r>
      <w:r w:rsidR="00C652F0" w:rsidRPr="00D913AD">
        <w:rPr>
          <w:rFonts w:ascii="SimSun" w:hAnsi="SimSun" w:hint="eastAsia"/>
          <w:sz w:val="21"/>
        </w:rPr>
        <w:t>速变现。这被视为是一种评估组织短期负债偿还能力的审慎办法。</w:t>
      </w:r>
    </w:p>
    <w:p w:rsidR="00EE2D9F" w:rsidRPr="00D913AD" w:rsidRDefault="00F179A4" w:rsidP="00C2571F">
      <w:pPr>
        <w:pStyle w:val="ListParagraph"/>
        <w:numPr>
          <w:ilvl w:val="0"/>
          <w:numId w:val="11"/>
        </w:numPr>
        <w:tabs>
          <w:tab w:val="clear" w:pos="851"/>
          <w:tab w:val="clear" w:pos="1134"/>
          <w:tab w:val="left" w:pos="1276"/>
        </w:tabs>
        <w:spacing w:before="0" w:afterLines="50" w:line="340" w:lineRule="atLeast"/>
        <w:ind w:left="993" w:firstLine="0"/>
        <w:rPr>
          <w:rFonts w:ascii="SimSun" w:hAnsi="SimSun"/>
          <w:sz w:val="21"/>
        </w:rPr>
      </w:pPr>
      <w:r w:rsidRPr="00D913AD">
        <w:rPr>
          <w:rFonts w:ascii="SimSun" w:hAnsi="SimSun" w:hint="eastAsia"/>
          <w:sz w:val="21"/>
        </w:rPr>
        <w:t>现金持有</w:t>
      </w:r>
      <w:r w:rsidR="00EE2D9F" w:rsidRPr="00D913AD">
        <w:rPr>
          <w:rFonts w:ascii="SimSun" w:hAnsi="SimSun"/>
          <w:sz w:val="21"/>
        </w:rPr>
        <w:t xml:space="preserve">% = </w:t>
      </w:r>
      <w:r w:rsidR="00C652F0" w:rsidRPr="00D913AD">
        <w:rPr>
          <w:rFonts w:ascii="SimSun" w:hAnsi="SimSun" w:hint="eastAsia"/>
          <w:sz w:val="21"/>
        </w:rPr>
        <w:t>现金</w:t>
      </w:r>
      <w:r w:rsidR="00EE2D9F" w:rsidRPr="00D913AD">
        <w:rPr>
          <w:rFonts w:ascii="SimSun" w:hAnsi="SimSun"/>
          <w:sz w:val="21"/>
        </w:rPr>
        <w:t xml:space="preserve"> ÷ </w:t>
      </w:r>
      <w:r w:rsidR="00C652F0" w:rsidRPr="00D913AD">
        <w:rPr>
          <w:rFonts w:ascii="SimSun" w:hAnsi="SimSun" w:hint="eastAsia"/>
          <w:sz w:val="21"/>
        </w:rPr>
        <w:t>流动资产</w:t>
      </w:r>
    </w:p>
    <w:p w:rsidR="00D913AD" w:rsidRDefault="00C652F0" w:rsidP="003F453A">
      <w:pPr>
        <w:spacing w:afterLines="50" w:after="120" w:line="340" w:lineRule="atLeast"/>
        <w:ind w:left="567"/>
        <w:jc w:val="both"/>
        <w:rPr>
          <w:rFonts w:ascii="SimSun" w:hAnsi="SimSun"/>
          <w:sz w:val="21"/>
        </w:rPr>
      </w:pPr>
      <w:r w:rsidRPr="00D913AD">
        <w:rPr>
          <w:rFonts w:ascii="SimSun" w:hAnsi="SimSun" w:hint="eastAsia"/>
          <w:sz w:val="21"/>
        </w:rPr>
        <w:t>有多种比率可用于对组织现金状况</w:t>
      </w:r>
      <w:r w:rsidR="001E5F5F" w:rsidRPr="00D913AD">
        <w:rPr>
          <w:rFonts w:ascii="SimSun" w:hAnsi="SimSun" w:hint="eastAsia"/>
          <w:sz w:val="21"/>
        </w:rPr>
        <w:t>是否适当</w:t>
      </w:r>
      <w:r w:rsidRPr="00D913AD">
        <w:rPr>
          <w:rFonts w:ascii="SimSun" w:hAnsi="SimSun" w:hint="eastAsia"/>
          <w:sz w:val="21"/>
        </w:rPr>
        <w:t>有某种了解。有用的是了解一下多大比例的流动资产以现金和短期投资的形式持有。一个简单的比率是现金占流动资产总额的百分比，一个组织的流动性越强，流动资产中现金或类现金项目的百分比越高。</w:t>
      </w:r>
    </w:p>
    <w:p w:rsidR="00211873" w:rsidRPr="00D913AD" w:rsidRDefault="00375B6B"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转向IPSAS后，资产和负债确认方面的变化</w:t>
      </w:r>
      <w:r w:rsidR="001801F8" w:rsidRPr="00D913AD">
        <w:rPr>
          <w:rFonts w:ascii="SimSun" w:hAnsi="SimSun" w:hint="eastAsia"/>
          <w:sz w:val="21"/>
        </w:rPr>
        <w:t>产生了</w:t>
      </w:r>
      <w:r w:rsidRPr="00D913AD">
        <w:rPr>
          <w:rFonts w:ascii="SimSun" w:hAnsi="SimSun" w:hint="eastAsia"/>
          <w:sz w:val="21"/>
        </w:rPr>
        <w:t>另</w:t>
      </w:r>
      <w:r w:rsidR="001801F8" w:rsidRPr="00D913AD">
        <w:rPr>
          <w:rFonts w:ascii="SimSun" w:hAnsi="SimSun" w:hint="eastAsia"/>
          <w:sz w:val="21"/>
        </w:rPr>
        <w:t>外</w:t>
      </w:r>
      <w:r w:rsidRPr="00D913AD">
        <w:rPr>
          <w:rFonts w:ascii="SimSun" w:hAnsi="SimSun" w:hint="eastAsia"/>
          <w:sz w:val="21"/>
        </w:rPr>
        <w:t>一种重要影响——为本组织的流动性状况及其短期负债的偿债能力提供了更审慎的视角。对于WIPO，虽然转向IPSAS</w:t>
      </w:r>
      <w:r w:rsidR="001801F8" w:rsidRPr="00D913AD">
        <w:rPr>
          <w:rFonts w:ascii="SimSun" w:hAnsi="SimSun" w:hint="eastAsia"/>
          <w:sz w:val="21"/>
        </w:rPr>
        <w:t>使</w:t>
      </w:r>
      <w:r w:rsidRPr="00D913AD">
        <w:rPr>
          <w:rFonts w:ascii="SimSun" w:hAnsi="SimSun" w:hint="eastAsia"/>
          <w:sz w:val="21"/>
        </w:rPr>
        <w:t>流动资产增加1</w:t>
      </w:r>
      <w:proofErr w:type="gramStart"/>
      <w:r w:rsidRPr="00D913AD">
        <w:rPr>
          <w:rFonts w:ascii="SimSun" w:hAnsi="SimSun" w:hint="eastAsia"/>
          <w:sz w:val="21"/>
        </w:rPr>
        <w:t>,300万瑞郎</w:t>
      </w:r>
      <w:proofErr w:type="gramEnd"/>
      <w:r w:rsidRPr="00D913AD">
        <w:rPr>
          <w:rFonts w:ascii="SimSun" w:hAnsi="SimSun" w:hint="eastAsia"/>
          <w:sz w:val="21"/>
        </w:rPr>
        <w:t>，但流动负债增</w:t>
      </w:r>
      <w:r w:rsidR="001801F8" w:rsidRPr="00D913AD">
        <w:rPr>
          <w:rFonts w:ascii="SimSun" w:hAnsi="SimSun" w:hint="eastAsia"/>
          <w:sz w:val="21"/>
        </w:rPr>
        <w:t>加</w:t>
      </w:r>
      <w:r w:rsidRPr="00D913AD">
        <w:rPr>
          <w:rFonts w:ascii="SimSun" w:hAnsi="SimSun" w:hint="eastAsia"/>
          <w:sz w:val="21"/>
        </w:rPr>
        <w:t>了1.513亿瑞郎。如前所述，最大的调整是流动负债中的PCT递延收入。下表是这些比率因转向IPSAS而发生的变化及其之后的演变：</w:t>
      </w:r>
    </w:p>
    <w:p w:rsidR="00D913AD" w:rsidRDefault="003F453A" w:rsidP="00C2571F">
      <w:pPr>
        <w:spacing w:afterLines="50" w:after="120"/>
        <w:jc w:val="center"/>
        <w:rPr>
          <w:rFonts w:ascii="SimSun" w:hAnsi="SimSun"/>
          <w:sz w:val="21"/>
        </w:rPr>
      </w:pPr>
      <w:r w:rsidRPr="003F453A">
        <w:rPr>
          <w:noProof/>
          <w:lang w:eastAsia="en-US"/>
        </w:rPr>
        <w:drawing>
          <wp:inline distT="0" distB="0" distL="0" distR="0" wp14:anchorId="0DAD5E71" wp14:editId="4F0CDD5B">
            <wp:extent cx="5940425" cy="3414833"/>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414833"/>
                    </a:xfrm>
                    <a:prstGeom prst="rect">
                      <a:avLst/>
                    </a:prstGeom>
                    <a:noFill/>
                    <a:ln>
                      <a:noFill/>
                    </a:ln>
                  </pic:spPr>
                </pic:pic>
              </a:graphicData>
            </a:graphic>
          </wp:inline>
        </w:drawing>
      </w:r>
    </w:p>
    <w:p w:rsidR="00D913AD" w:rsidRDefault="007A416F"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2010年1月1日转向IPSAS，导致流动比率和流通比率大幅降低，主要原因是更全面地确认了因PCT收费收入递延出现的流动负债。2010年至2013年，本组织的短期债务偿债能力未出现重大变化。现金持有百分比降低10%，主要原因是应收账款因PCT收费的缴费模式发生变化而增加</w:t>
      </w:r>
      <w:r w:rsidR="00F246D3" w:rsidRPr="00D913AD">
        <w:rPr>
          <w:rFonts w:ascii="SimSun" w:hAnsi="SimSun" w:hint="eastAsia"/>
          <w:sz w:val="21"/>
        </w:rPr>
        <w:t>。</w:t>
      </w:r>
    </w:p>
    <w:p w:rsidR="0012713E" w:rsidRPr="00D913AD" w:rsidRDefault="00F246D3" w:rsidP="00C2571F">
      <w:pPr>
        <w:keepNext/>
        <w:spacing w:beforeLines="100" w:before="240" w:afterLines="50" w:after="120" w:line="340" w:lineRule="atLeast"/>
        <w:rPr>
          <w:rFonts w:ascii="SimSun" w:hAnsi="SimSun"/>
          <w:caps/>
          <w:sz w:val="21"/>
        </w:rPr>
      </w:pPr>
      <w:r w:rsidRPr="00D913AD">
        <w:rPr>
          <w:rFonts w:ascii="SimHei" w:eastAsia="SimHei" w:hAnsi="SimHei" w:hint="eastAsia"/>
          <w:caps/>
          <w:sz w:val="21"/>
        </w:rPr>
        <w:t>用可用储备金作为项目资金</w:t>
      </w:r>
    </w:p>
    <w:p w:rsidR="00142207" w:rsidRPr="00D913AD" w:rsidRDefault="00F246D3"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如第12段所述，WIPO有若干项目用储备金提供资金。而且，成员国继续就此类项目作出决定。项目方案的制定和批准决定完全符合我们</w:t>
      </w:r>
      <w:r w:rsidR="003F453A">
        <w:rPr>
          <w:rFonts w:ascii="SimSun" w:hAnsi="SimSun" w:hint="eastAsia"/>
          <w:sz w:val="21"/>
        </w:rPr>
        <w:t>的</w:t>
      </w:r>
      <w:r w:rsidRPr="00D913AD">
        <w:rPr>
          <w:rFonts w:ascii="SimSun" w:hAnsi="SimSun" w:hint="eastAsia"/>
          <w:sz w:val="21"/>
        </w:rPr>
        <w:t>RWCF政策。</w:t>
      </w:r>
    </w:p>
    <w:p w:rsidR="0043061F" w:rsidRPr="00D913AD" w:rsidRDefault="00F246D3"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提出这类项目</w:t>
      </w:r>
      <w:r w:rsidR="001801F8" w:rsidRPr="00D913AD">
        <w:rPr>
          <w:rFonts w:ascii="SimSun" w:hAnsi="SimSun" w:hint="eastAsia"/>
          <w:sz w:val="21"/>
        </w:rPr>
        <w:t>时</w:t>
      </w:r>
      <w:r w:rsidRPr="00D913AD">
        <w:rPr>
          <w:rFonts w:ascii="SimSun" w:hAnsi="SimSun" w:hint="eastAsia"/>
          <w:sz w:val="21"/>
        </w:rPr>
        <w:t>考虑的最重要的标准，是所定目标水平以上储备金的可用性。用储备金或批准用储备金提供资金的项目</w:t>
      </w:r>
      <w:r w:rsidR="00E7205C" w:rsidRPr="00D913AD">
        <w:rPr>
          <w:rFonts w:ascii="SimSun" w:hAnsi="SimSun" w:hint="eastAsia"/>
          <w:sz w:val="21"/>
        </w:rPr>
        <w:t>必须</w:t>
      </w:r>
      <w:r w:rsidRPr="00D913AD">
        <w:rPr>
          <w:rFonts w:ascii="SimSun" w:hAnsi="SimSun" w:hint="eastAsia"/>
          <w:sz w:val="21"/>
        </w:rPr>
        <w:t>是资本项目，或者是有重要资本成分的项目。作为开展这些项目的结果，尽管流动资产将因为用现金作为资金而减少，但这种减少部分或全部被固定资产的增加而抵消。因此，对净资产的影响极小。但是，用储备金为项目提供资金对第18段中所述的流动比率、流通比率和现金比率有影响。</w:t>
      </w:r>
    </w:p>
    <w:p w:rsidR="001A1921" w:rsidRPr="00D913AD" w:rsidRDefault="00F246D3"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本组织目前未面临流动性风险敞口，</w:t>
      </w:r>
      <w:r w:rsidR="009D4F97" w:rsidRPr="00D913AD">
        <w:rPr>
          <w:rFonts w:ascii="SimSun" w:hAnsi="SimSun" w:hint="eastAsia"/>
          <w:sz w:val="21"/>
        </w:rPr>
        <w:t>因为本组织有</w:t>
      </w:r>
      <w:r w:rsidRPr="00D913AD">
        <w:rPr>
          <w:rFonts w:ascii="SimSun" w:hAnsi="SimSun" w:hint="eastAsia"/>
          <w:sz w:val="21"/>
        </w:rPr>
        <w:t>大量</w:t>
      </w:r>
      <w:r w:rsidR="009D4F97" w:rsidRPr="00D913AD">
        <w:rPr>
          <w:rFonts w:ascii="SimSun" w:hAnsi="SimSun" w:hint="eastAsia"/>
          <w:sz w:val="21"/>
        </w:rPr>
        <w:t>不受限现金资源，这些现金资源通过</w:t>
      </w:r>
      <w:r w:rsidRPr="00D913AD">
        <w:rPr>
          <w:rFonts w:ascii="SimSun" w:hAnsi="SimSun" w:hint="eastAsia"/>
          <w:sz w:val="21"/>
        </w:rPr>
        <w:t>业务</w:t>
      </w:r>
      <w:r w:rsidR="009D4F97" w:rsidRPr="00D913AD">
        <w:rPr>
          <w:rFonts w:ascii="SimSun" w:hAnsi="SimSun" w:hint="eastAsia"/>
          <w:sz w:val="21"/>
        </w:rPr>
        <w:t>结果得到补充</w:t>
      </w:r>
      <w:r w:rsidRPr="00D913AD">
        <w:rPr>
          <w:rFonts w:ascii="SimSun" w:hAnsi="SimSun" w:hint="eastAsia"/>
          <w:sz w:val="21"/>
        </w:rPr>
        <w:t>。此外，</w:t>
      </w:r>
      <w:r w:rsidR="009D4F97" w:rsidRPr="00D913AD">
        <w:rPr>
          <w:rFonts w:ascii="SimSun" w:hAnsi="SimSun" w:hint="eastAsia"/>
          <w:sz w:val="21"/>
        </w:rPr>
        <w:t>本组织</w:t>
      </w:r>
      <w:r w:rsidRPr="00D913AD">
        <w:rPr>
          <w:rFonts w:ascii="SimSun" w:hAnsi="SimSun" w:hint="eastAsia"/>
          <w:sz w:val="21"/>
        </w:rPr>
        <w:t>目前</w:t>
      </w:r>
      <w:r w:rsidR="009D4F97" w:rsidRPr="00D913AD">
        <w:rPr>
          <w:rFonts w:ascii="SimSun" w:hAnsi="SimSun" w:hint="eastAsia"/>
          <w:sz w:val="21"/>
        </w:rPr>
        <w:t>投资政策</w:t>
      </w:r>
      <w:r w:rsidR="00525315" w:rsidRPr="00D913AD">
        <w:rPr>
          <w:rFonts w:ascii="SimSun" w:hAnsi="SimSun" w:hint="eastAsia"/>
          <w:sz w:val="21"/>
        </w:rPr>
        <w:t>的</w:t>
      </w:r>
      <w:r w:rsidRPr="00D913AD">
        <w:rPr>
          <w:rFonts w:ascii="SimSun" w:hAnsi="SimSun" w:hint="eastAsia"/>
          <w:sz w:val="21"/>
        </w:rPr>
        <w:t>制定</w:t>
      </w:r>
      <w:r w:rsidR="00525315" w:rsidRPr="00D913AD">
        <w:rPr>
          <w:rFonts w:ascii="SimSun" w:hAnsi="SimSun" w:hint="eastAsia"/>
          <w:sz w:val="21"/>
        </w:rPr>
        <w:t>，</w:t>
      </w:r>
      <w:r w:rsidRPr="00D913AD">
        <w:rPr>
          <w:rFonts w:ascii="SimSun" w:hAnsi="SimSun" w:hint="eastAsia"/>
          <w:sz w:val="21"/>
        </w:rPr>
        <w:t>是</w:t>
      </w:r>
      <w:r w:rsidR="001801F8" w:rsidRPr="00D913AD">
        <w:rPr>
          <w:rFonts w:ascii="SimSun" w:hAnsi="SimSun" w:hint="eastAsia"/>
          <w:sz w:val="21"/>
        </w:rPr>
        <w:t>为了</w:t>
      </w:r>
      <w:r w:rsidRPr="00D913AD">
        <w:rPr>
          <w:rFonts w:ascii="SimSun" w:hAnsi="SimSun" w:hint="eastAsia"/>
          <w:sz w:val="21"/>
        </w:rPr>
        <w:t>确保</w:t>
      </w:r>
      <w:r w:rsidR="009D4F97" w:rsidRPr="00D913AD">
        <w:rPr>
          <w:rFonts w:ascii="SimSun" w:hAnsi="SimSun" w:hint="eastAsia"/>
          <w:sz w:val="21"/>
        </w:rPr>
        <w:t>投资</w:t>
      </w:r>
      <w:r w:rsidRPr="00D913AD">
        <w:rPr>
          <w:rFonts w:ascii="SimSun" w:hAnsi="SimSun" w:hint="eastAsia"/>
          <w:sz w:val="21"/>
        </w:rPr>
        <w:t>主要</w:t>
      </w:r>
      <w:r w:rsidR="008E168D" w:rsidRPr="00D913AD">
        <w:rPr>
          <w:rFonts w:ascii="SimSun" w:hAnsi="SimSun" w:hint="eastAsia"/>
          <w:sz w:val="21"/>
        </w:rPr>
        <w:t>以</w:t>
      </w:r>
      <w:r w:rsidRPr="00D913AD">
        <w:rPr>
          <w:rFonts w:ascii="SimSun" w:hAnsi="SimSun" w:hint="eastAsia"/>
          <w:sz w:val="21"/>
        </w:rPr>
        <w:t>短期</w:t>
      </w:r>
      <w:r w:rsidR="009D4F97" w:rsidRPr="00D913AD">
        <w:rPr>
          <w:rFonts w:ascii="SimSun" w:hAnsi="SimSun" w:hint="eastAsia"/>
          <w:sz w:val="21"/>
        </w:rPr>
        <w:t>流动存款</w:t>
      </w:r>
      <w:r w:rsidR="008E168D" w:rsidRPr="00D913AD">
        <w:rPr>
          <w:rFonts w:ascii="SimSun" w:hAnsi="SimSun" w:hint="eastAsia"/>
          <w:sz w:val="21"/>
        </w:rPr>
        <w:t>持有</w:t>
      </w:r>
      <w:r w:rsidR="009D4F97" w:rsidRPr="00D913AD">
        <w:rPr>
          <w:rFonts w:ascii="SimSun" w:hAnsi="SimSun" w:hint="eastAsia"/>
          <w:sz w:val="21"/>
        </w:rPr>
        <w:t>。</w:t>
      </w:r>
      <w:r w:rsidR="00525315" w:rsidRPr="00D913AD">
        <w:rPr>
          <w:rFonts w:ascii="SimSun" w:hAnsi="SimSun" w:hint="eastAsia"/>
          <w:sz w:val="21"/>
        </w:rPr>
        <w:t>但是，在不断加强财务风险管理的背景下，如果进行一次分析，包括与类似组织的流动性比率进行一次设定基准的比较，以确定WIPO流动比率、流通比率和现金比率应达到的目标范围，将使WIPO受益。</w:t>
      </w:r>
    </w:p>
    <w:p w:rsidR="00D913AD" w:rsidRDefault="00525315" w:rsidP="00D913AD">
      <w:pPr>
        <w:keepNext/>
        <w:keepLines/>
        <w:spacing w:afterLines="50" w:after="120" w:line="340" w:lineRule="atLeast"/>
        <w:rPr>
          <w:rFonts w:ascii="SimSun" w:hAnsi="SimSun"/>
          <w:sz w:val="21"/>
          <w:u w:val="single"/>
        </w:rPr>
      </w:pPr>
      <w:r w:rsidRPr="00D913AD">
        <w:rPr>
          <w:rFonts w:ascii="SimSun" w:hAnsi="SimSun" w:hint="eastAsia"/>
          <w:sz w:val="21"/>
          <w:u w:val="single"/>
        </w:rPr>
        <w:t>政策差距和前进方向</w:t>
      </w:r>
    </w:p>
    <w:p w:rsidR="001A1921" w:rsidRPr="00D913AD" w:rsidRDefault="00525315"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WIPO的各项储备金和周转基金政策未明确规定任何流动性要求。这可被认为是现行政策的一项不足或者差距。WIPO的外</w:t>
      </w:r>
      <w:r w:rsidR="001801F8" w:rsidRPr="00D913AD">
        <w:rPr>
          <w:rFonts w:ascii="SimSun" w:hAnsi="SimSun" w:hint="eastAsia"/>
          <w:sz w:val="21"/>
        </w:rPr>
        <w:t>聘</w:t>
      </w:r>
      <w:r w:rsidRPr="00D913AD">
        <w:rPr>
          <w:rFonts w:ascii="SimSun" w:hAnsi="SimSun" w:hint="eastAsia"/>
          <w:sz w:val="21"/>
        </w:rPr>
        <w:t>审计员已经建议，WIPO可以考虑在评估储备金支出对本组织流动性的影响之后再</w:t>
      </w:r>
      <w:r w:rsidR="00A04849" w:rsidRPr="00D913AD">
        <w:rPr>
          <w:rFonts w:ascii="SimSun" w:hAnsi="SimSun" w:hint="eastAsia"/>
          <w:sz w:val="21"/>
        </w:rPr>
        <w:t>发生</w:t>
      </w:r>
      <w:r w:rsidRPr="00D913AD">
        <w:rPr>
          <w:rFonts w:ascii="SimSun" w:hAnsi="SimSun" w:hint="eastAsia"/>
          <w:sz w:val="21"/>
        </w:rPr>
        <w:t>这类支出。为落实这项建议，需要对有关储备金使用的政策进行更新，写入流动性方面的考虑。之后，用储备金为项目提供资金的任何提案将除了分析它们对储备金水平的影响之外，还</w:t>
      </w:r>
      <w:r w:rsidR="00A04849" w:rsidRPr="00D913AD">
        <w:rPr>
          <w:rFonts w:ascii="SimSun" w:hAnsi="SimSun" w:hint="eastAsia"/>
          <w:sz w:val="21"/>
        </w:rPr>
        <w:t>要</w:t>
      </w:r>
      <w:r w:rsidRPr="00D913AD">
        <w:rPr>
          <w:rFonts w:ascii="SimSun" w:hAnsi="SimSun" w:hint="eastAsia"/>
          <w:sz w:val="21"/>
        </w:rPr>
        <w:t>分析它们对流动性目标的影响。</w:t>
      </w:r>
    </w:p>
    <w:p w:rsidR="00D913AD" w:rsidRPr="00D913AD" w:rsidRDefault="00D4799E" w:rsidP="00D913AD">
      <w:pPr>
        <w:keepNext/>
        <w:spacing w:beforeLines="100" w:before="240" w:afterLines="50" w:after="120" w:line="340" w:lineRule="atLeast"/>
        <w:rPr>
          <w:rFonts w:ascii="SimHei" w:eastAsia="SimHei" w:hAnsi="SimHei"/>
          <w:caps/>
          <w:sz w:val="21"/>
        </w:rPr>
      </w:pPr>
      <w:r w:rsidRPr="00D913AD">
        <w:rPr>
          <w:rFonts w:ascii="SimHei" w:eastAsia="SimHei" w:hAnsi="SimHei" w:hint="eastAsia"/>
          <w:caps/>
          <w:sz w:val="21"/>
        </w:rPr>
        <w:t>净资产</w:t>
      </w:r>
      <w:r w:rsidR="00D913AD">
        <w:rPr>
          <w:rFonts w:ascii="SimHei" w:eastAsia="SimHei" w:hAnsi="SimHei" w:hint="eastAsia"/>
          <w:caps/>
          <w:sz w:val="21"/>
        </w:rPr>
        <w:t>(</w:t>
      </w:r>
      <w:r w:rsidRPr="00D913AD">
        <w:rPr>
          <w:rFonts w:ascii="SimHei" w:eastAsia="SimHei" w:hAnsi="SimHei" w:hint="eastAsia"/>
          <w:caps/>
          <w:sz w:val="21"/>
        </w:rPr>
        <w:t>储备金和周转基金</w:t>
      </w:r>
      <w:r w:rsidR="00D913AD">
        <w:rPr>
          <w:rFonts w:ascii="SimHei" w:eastAsia="SimHei" w:hAnsi="SimHei" w:hint="eastAsia"/>
          <w:caps/>
          <w:sz w:val="21"/>
        </w:rPr>
        <w:t>)</w:t>
      </w:r>
      <w:r w:rsidRPr="00D913AD">
        <w:rPr>
          <w:rFonts w:ascii="SimHei" w:eastAsia="SimHei" w:hAnsi="SimHei" w:hint="eastAsia"/>
          <w:caps/>
          <w:sz w:val="21"/>
        </w:rPr>
        <w:t>目标水平</w:t>
      </w:r>
    </w:p>
    <w:p w:rsidR="00AC6859" w:rsidRPr="00D913AD" w:rsidRDefault="0010549B"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本组织净资产的总目标仍遵守储备金和周转基金政策。</w:t>
      </w:r>
      <w:r w:rsidR="002533F6" w:rsidRPr="00D913AD">
        <w:rPr>
          <w:rFonts w:ascii="SimSun" w:hAnsi="SimSun" w:hint="eastAsia"/>
          <w:sz w:val="21"/>
        </w:rPr>
        <w:t>RWCF的目标水平被设定为各会费供资联盟、PCT联盟、马德里联盟和海牙联盟的两年期支出概算的百分数(PBE系数)。应有的PBE系数在联盟一级设定，目的是反映有关联盟特有的风险和流动性关</w:t>
      </w:r>
      <w:r w:rsidR="00A04849" w:rsidRPr="00D913AD">
        <w:rPr>
          <w:rFonts w:ascii="SimSun" w:hAnsi="SimSun" w:hint="eastAsia"/>
          <w:sz w:val="21"/>
        </w:rPr>
        <w:t>切</w:t>
      </w:r>
      <w:r w:rsidR="002533F6" w:rsidRPr="00D913AD">
        <w:rPr>
          <w:rFonts w:ascii="SimSun" w:hAnsi="SimSun" w:hint="eastAsia"/>
          <w:sz w:val="21"/>
        </w:rPr>
        <w:t>。</w:t>
      </w:r>
      <w:r w:rsidRPr="00D913AD">
        <w:rPr>
          <w:rFonts w:ascii="SimSun" w:hAnsi="SimSun" w:hint="eastAsia"/>
          <w:sz w:val="21"/>
        </w:rPr>
        <w:t>各联盟的RWCF数额因此是用两年期支出概算乘以该联盟的PBE系数计算的。</w:t>
      </w:r>
      <w:r w:rsidR="002533F6" w:rsidRPr="00D913AD">
        <w:rPr>
          <w:rFonts w:ascii="SimSun" w:hAnsi="SimSun" w:hint="eastAsia"/>
          <w:sz w:val="21"/>
        </w:rPr>
        <w:t>核准的PBE系数是，各会费供资联盟为50%，PCT联盟为15%，马德里联盟为25%，海牙联盟为15%。PBE系数可由成员国专门决定调整。</w:t>
      </w:r>
    </w:p>
    <w:p w:rsidR="000F536E" w:rsidRPr="00D913AD" w:rsidRDefault="0010549B"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综合起来，基于各联盟的目标，RWCF整体目标水平按2014/2015两年期预算计，约为18.5%</w:t>
      </w:r>
      <w:r w:rsidR="00A04849" w:rsidRPr="00D913AD">
        <w:rPr>
          <w:rFonts w:ascii="SimSun" w:hAnsi="SimSun" w:hint="eastAsia"/>
          <w:sz w:val="21"/>
        </w:rPr>
        <w:t>。</w:t>
      </w:r>
      <w:r w:rsidRPr="00D913AD">
        <w:rPr>
          <w:rFonts w:ascii="SimSun" w:hAnsi="SimSun" w:hint="eastAsia"/>
          <w:sz w:val="21"/>
        </w:rPr>
        <w:t>这约相当于四个月的预计两年期支出。2006年，瑞士外聘审计员建议WIPO将RWCF目标提高到25%，即六个月</w:t>
      </w:r>
      <w:r w:rsidR="00A04849" w:rsidRPr="00D913AD">
        <w:rPr>
          <w:rFonts w:ascii="SimSun" w:hAnsi="SimSun" w:hint="eastAsia"/>
          <w:sz w:val="21"/>
        </w:rPr>
        <w:t>的</w:t>
      </w:r>
      <w:r w:rsidRPr="00D913AD">
        <w:rPr>
          <w:rFonts w:ascii="SimSun" w:hAnsi="SimSun" w:hint="eastAsia"/>
          <w:sz w:val="21"/>
        </w:rPr>
        <w:t>预计两年期支出。此外，成员国还提出了目前的目标水平是否适当的问题。如表3所示，RWCF的实际水平一直高于目标。</w:t>
      </w:r>
    </w:p>
    <w:p w:rsidR="00D913AD" w:rsidRDefault="0010549B" w:rsidP="00D913AD">
      <w:pPr>
        <w:keepNext/>
        <w:keepLines/>
        <w:spacing w:afterLines="50" w:after="120" w:line="340" w:lineRule="atLeast"/>
        <w:rPr>
          <w:rFonts w:ascii="SimSun" w:hAnsi="SimSun"/>
          <w:sz w:val="21"/>
          <w:u w:val="single"/>
        </w:rPr>
      </w:pPr>
      <w:r w:rsidRPr="00D913AD">
        <w:rPr>
          <w:rFonts w:ascii="SimSun" w:hAnsi="SimSun" w:hint="eastAsia"/>
          <w:sz w:val="21"/>
          <w:u w:val="single"/>
        </w:rPr>
        <w:t>政策差距和前进方向</w:t>
      </w:r>
    </w:p>
    <w:p w:rsidR="00AC6859" w:rsidRPr="00D913AD" w:rsidRDefault="0010549B"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2000年设定的储备金和周转基金目标已超过14年未经过审查。本组织已成功度过了近</w:t>
      </w:r>
      <w:r w:rsidR="00A04849" w:rsidRPr="00D913AD">
        <w:rPr>
          <w:rFonts w:ascii="SimSun" w:hAnsi="SimSun" w:hint="eastAsia"/>
          <w:sz w:val="21"/>
        </w:rPr>
        <w:t>年</w:t>
      </w:r>
      <w:r w:rsidRPr="00D913AD">
        <w:rPr>
          <w:rFonts w:ascii="SimSun" w:hAnsi="SimSun" w:hint="eastAsia"/>
          <w:sz w:val="21"/>
        </w:rPr>
        <w:t>的经济和财政危机，财务情况</w:t>
      </w:r>
      <w:r w:rsidR="00A04849" w:rsidRPr="00D913AD">
        <w:rPr>
          <w:rFonts w:ascii="SimSun" w:hAnsi="SimSun" w:hint="eastAsia"/>
          <w:sz w:val="21"/>
        </w:rPr>
        <w:t>未受</w:t>
      </w:r>
      <w:r w:rsidRPr="00D913AD">
        <w:rPr>
          <w:rFonts w:ascii="SimSun" w:hAnsi="SimSun" w:hint="eastAsia"/>
          <w:sz w:val="21"/>
        </w:rPr>
        <w:t>负面影响。但是，由于高度依赖</w:t>
      </w:r>
      <w:r w:rsidR="00253E7A" w:rsidRPr="00D913AD">
        <w:rPr>
          <w:rFonts w:ascii="SimSun" w:hAnsi="SimSun" w:hint="eastAsia"/>
          <w:sz w:val="21"/>
        </w:rPr>
        <w:t>一个联盟</w:t>
      </w:r>
      <w:r w:rsidR="00D913AD">
        <w:rPr>
          <w:rFonts w:ascii="SimSun" w:hAnsi="SimSun" w:hint="eastAsia"/>
          <w:sz w:val="21"/>
        </w:rPr>
        <w:t>(</w:t>
      </w:r>
      <w:r w:rsidR="00253E7A" w:rsidRPr="00D913AD">
        <w:rPr>
          <w:rFonts w:ascii="SimSun" w:hAnsi="SimSun" w:hint="eastAsia"/>
          <w:sz w:val="21"/>
        </w:rPr>
        <w:t>PCT</w:t>
      </w:r>
      <w:r w:rsidR="00D913AD">
        <w:rPr>
          <w:rFonts w:ascii="SimSun" w:hAnsi="SimSun" w:hint="eastAsia"/>
          <w:sz w:val="21"/>
        </w:rPr>
        <w:t>)</w:t>
      </w:r>
      <w:r w:rsidR="00253E7A" w:rsidRPr="00D913AD">
        <w:rPr>
          <w:rFonts w:ascii="SimSun" w:hAnsi="SimSun" w:hint="eastAsia"/>
          <w:sz w:val="21"/>
        </w:rPr>
        <w:t>，同时在加强本组织风险和财务管理的背景下，如果进行一次审查，研究是否用两到三个两年期逐步提高RWCF的目标水平，将使WIPO受益。</w:t>
      </w:r>
    </w:p>
    <w:p w:rsidR="00D913AD" w:rsidRDefault="0077581C"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应当指出，RWCF的总水平包括符合成员国2000年所定政策的周转基金部分。如前所述，周转基金仍</w:t>
      </w:r>
      <w:r w:rsidR="002533F6" w:rsidRPr="00D913AD">
        <w:rPr>
          <w:rFonts w:ascii="SimSun" w:hAnsi="SimSun" w:hint="eastAsia"/>
          <w:sz w:val="21"/>
        </w:rPr>
        <w:t>为</w:t>
      </w:r>
      <w:r w:rsidRPr="00D913AD">
        <w:rPr>
          <w:rFonts w:ascii="SimSun" w:hAnsi="SimSun" w:hint="eastAsia"/>
          <w:sz w:val="21"/>
        </w:rPr>
        <w:t>WIPO为</w:t>
      </w:r>
      <w:r w:rsidR="002533F6" w:rsidRPr="00D913AD">
        <w:rPr>
          <w:rFonts w:ascii="SimSun" w:hAnsi="SimSun" w:hint="eastAsia"/>
          <w:sz w:val="21"/>
        </w:rPr>
        <w:t>成员国代管</w:t>
      </w:r>
      <w:r w:rsidRPr="00D913AD">
        <w:rPr>
          <w:rFonts w:ascii="SimSun" w:hAnsi="SimSun" w:hint="eastAsia"/>
          <w:sz w:val="21"/>
        </w:rPr>
        <w:t>的资金</w:t>
      </w:r>
      <w:r w:rsidR="002533F6" w:rsidRPr="00D913AD">
        <w:rPr>
          <w:rFonts w:ascii="SimSun" w:hAnsi="SimSun" w:hint="eastAsia"/>
          <w:sz w:val="21"/>
        </w:rPr>
        <w:t>。</w:t>
      </w:r>
      <w:r w:rsidRPr="00D913AD">
        <w:rPr>
          <w:rFonts w:ascii="SimSun" w:hAnsi="SimSun" w:hint="eastAsia"/>
          <w:sz w:val="21"/>
        </w:rPr>
        <w:t>周转基金的水平自1990年以来一直未</w:t>
      </w:r>
      <w:r w:rsidR="007633D6" w:rsidRPr="00D913AD">
        <w:rPr>
          <w:rFonts w:ascii="SimSun" w:hAnsi="SimSun" w:hint="eastAsia"/>
          <w:sz w:val="21"/>
        </w:rPr>
        <w:t>动</w:t>
      </w:r>
      <w:r w:rsidRPr="00D913AD">
        <w:rPr>
          <w:rFonts w:ascii="SimSun" w:hAnsi="SimSun" w:hint="eastAsia"/>
          <w:sz w:val="21"/>
        </w:rPr>
        <w:t>。</w:t>
      </w:r>
      <w:r w:rsidR="00193B27" w:rsidRPr="00D913AD">
        <w:rPr>
          <w:rFonts w:ascii="SimSun" w:hAnsi="SimSun" w:hint="eastAsia"/>
          <w:sz w:val="21"/>
        </w:rPr>
        <w:t>目前830</w:t>
      </w:r>
      <w:r w:rsidR="00A04849" w:rsidRPr="00D913AD">
        <w:rPr>
          <w:rFonts w:ascii="SimSun" w:hAnsi="SimSun" w:hint="eastAsia"/>
          <w:sz w:val="21"/>
        </w:rPr>
        <w:t>万</w:t>
      </w:r>
      <w:r w:rsidR="00193B27" w:rsidRPr="00D913AD">
        <w:rPr>
          <w:rFonts w:ascii="SimSun" w:hAnsi="SimSun" w:hint="eastAsia"/>
          <w:sz w:val="21"/>
        </w:rPr>
        <w:t>瑞郎的金额针对潜在的流动性不足提供不了周转基金设立时所考虑的实质性保护。</w:t>
      </w:r>
      <w:r w:rsidR="004E2A4D" w:rsidRPr="00D913AD">
        <w:rPr>
          <w:rFonts w:ascii="SimSun" w:hAnsi="SimSun" w:hint="eastAsia"/>
          <w:sz w:val="21"/>
        </w:rPr>
        <w:t>在审查RWCF目标水平时，由于将提出对RWCF的综合水平进行调整，因此将考虑保留单独周转基金组成部分的必要性</w:t>
      </w:r>
      <w:r w:rsidR="00A04849" w:rsidRPr="00D913AD">
        <w:rPr>
          <w:rFonts w:ascii="SimSun" w:hAnsi="SimSun" w:hint="eastAsia"/>
          <w:sz w:val="21"/>
        </w:rPr>
        <w:t>和</w:t>
      </w:r>
      <w:r w:rsidR="004E2A4D" w:rsidRPr="00D913AD">
        <w:rPr>
          <w:rFonts w:ascii="SimSun" w:hAnsi="SimSun" w:hint="eastAsia"/>
          <w:sz w:val="21"/>
        </w:rPr>
        <w:t>相关性。这方面的考虑将包括对有关周转基金的条约义务进行回顾。</w:t>
      </w:r>
    </w:p>
    <w:p w:rsidR="00D913AD" w:rsidRPr="00D913AD" w:rsidRDefault="004E2A4D" w:rsidP="00D913AD">
      <w:pPr>
        <w:keepNext/>
        <w:spacing w:beforeLines="100" w:before="240" w:afterLines="50" w:after="120" w:line="340" w:lineRule="atLeast"/>
        <w:rPr>
          <w:rFonts w:ascii="SimHei" w:eastAsia="SimHei" w:hAnsi="SimHei"/>
          <w:caps/>
          <w:sz w:val="21"/>
        </w:rPr>
      </w:pPr>
      <w:r w:rsidRPr="00D913AD">
        <w:rPr>
          <w:rFonts w:ascii="SimHei" w:eastAsia="SimHei" w:hAnsi="SimHei" w:hint="eastAsia"/>
          <w:caps/>
          <w:sz w:val="21"/>
        </w:rPr>
        <w:t>储备金和周转基金的管理和报告</w:t>
      </w:r>
    </w:p>
    <w:p w:rsidR="00055709" w:rsidRPr="00D913AD" w:rsidRDefault="004E2A4D"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WIPO的财务报告要遵守IPSAS和《财务条例与细则》。RWCF的报告目前是财务报表和财务管理报告</w:t>
      </w:r>
      <w:r w:rsidR="00D913AD">
        <w:rPr>
          <w:rFonts w:ascii="SimSun" w:hAnsi="SimSun" w:hint="eastAsia"/>
          <w:sz w:val="21"/>
        </w:rPr>
        <w:t>(</w:t>
      </w:r>
      <w:r w:rsidRPr="00D913AD">
        <w:rPr>
          <w:rFonts w:ascii="SimSun" w:hAnsi="SimSun" w:hint="eastAsia"/>
          <w:sz w:val="21"/>
        </w:rPr>
        <w:t>FMR</w:t>
      </w:r>
      <w:r w:rsidR="00D913AD">
        <w:rPr>
          <w:rFonts w:ascii="SimSun" w:hAnsi="SimSun" w:hint="eastAsia"/>
          <w:sz w:val="21"/>
        </w:rPr>
        <w:t>)</w:t>
      </w:r>
      <w:r w:rsidRPr="00D913AD">
        <w:rPr>
          <w:rFonts w:ascii="SimSun" w:hAnsi="SimSun" w:hint="eastAsia"/>
          <w:sz w:val="21"/>
        </w:rPr>
        <w:t>的组成部分。详细的披露在2013年财务报表的附注21中提供，各联盟的细目在2012/13年财务管理报告的表1中提供。此外，2013年之前，向成员国单独报</w:t>
      </w:r>
      <w:r w:rsidR="00B07C82" w:rsidRPr="00D913AD">
        <w:rPr>
          <w:rFonts w:ascii="SimSun" w:hAnsi="SimSun" w:hint="eastAsia"/>
          <w:sz w:val="21"/>
        </w:rPr>
        <w:t>告储备金的利用情况。在本届PBC会议上，</w:t>
      </w:r>
      <w:proofErr w:type="gramStart"/>
      <w:r w:rsidR="00B07C82" w:rsidRPr="00D913AD">
        <w:rPr>
          <w:rFonts w:ascii="SimSun" w:hAnsi="SimSun" w:hint="eastAsia"/>
          <w:sz w:val="21"/>
        </w:rPr>
        <w:t>储备金利用情况报告包括在财务管理报</w:t>
      </w:r>
      <w:r w:rsidR="00A04849" w:rsidRPr="00D913AD">
        <w:rPr>
          <w:rFonts w:ascii="SimSun" w:hAnsi="SimSun" w:hint="eastAsia"/>
          <w:sz w:val="21"/>
        </w:rPr>
        <w:t>告</w:t>
      </w:r>
      <w:r w:rsidR="00B07C82" w:rsidRPr="00D913AD">
        <w:rPr>
          <w:rFonts w:ascii="SimSun" w:hAnsi="SimSun" w:hint="eastAsia"/>
          <w:sz w:val="21"/>
        </w:rPr>
        <w:t>中</w:t>
      </w:r>
      <w:r w:rsidR="00D913AD">
        <w:rPr>
          <w:rFonts w:ascii="SimSun" w:hAnsi="SimSun" w:hint="eastAsia"/>
          <w:sz w:val="21"/>
        </w:rPr>
        <w:t>(</w:t>
      </w:r>
      <w:proofErr w:type="gramEnd"/>
      <w:r w:rsidR="00B07C82" w:rsidRPr="00D913AD">
        <w:rPr>
          <w:rFonts w:ascii="SimSun" w:hAnsi="SimSun" w:hint="eastAsia"/>
          <w:sz w:val="21"/>
        </w:rPr>
        <w:t>第8页表1.3</w:t>
      </w:r>
      <w:r w:rsidR="00D913AD">
        <w:rPr>
          <w:rFonts w:ascii="SimSun" w:hAnsi="SimSun" w:hint="eastAsia"/>
          <w:sz w:val="21"/>
        </w:rPr>
        <w:t>)</w:t>
      </w:r>
      <w:r w:rsidR="00B07C82" w:rsidRPr="00D913AD">
        <w:rPr>
          <w:rFonts w:ascii="SimSun" w:hAnsi="SimSun" w:hint="eastAsia"/>
          <w:sz w:val="21"/>
        </w:rPr>
        <w:t>。</w:t>
      </w:r>
    </w:p>
    <w:p w:rsidR="000F2AA7" w:rsidRPr="00D913AD" w:rsidRDefault="004B47D2"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秘书处还为PBC本届会议编拟了一份关于加强和完善财务和效绩报告的提案。这项提案的后续行动，按成员国规定的任务，将包括对储备金报告的审查和改进。</w:t>
      </w:r>
    </w:p>
    <w:p w:rsidR="00D10B64" w:rsidRPr="00D913AD" w:rsidRDefault="004B47D2"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外聘审计员关于2013年财务报表的报告中</w:t>
      </w:r>
      <w:r w:rsidR="002533F6" w:rsidRPr="00D913AD">
        <w:rPr>
          <w:rFonts w:ascii="SimSun" w:hAnsi="SimSun" w:hint="eastAsia"/>
          <w:sz w:val="21"/>
        </w:rPr>
        <w:t>已建议WIPO</w:t>
      </w:r>
      <w:r w:rsidR="00A04849" w:rsidRPr="00D913AD">
        <w:rPr>
          <w:rFonts w:ascii="SimSun" w:hAnsi="SimSun" w:hint="eastAsia"/>
          <w:sz w:val="21"/>
        </w:rPr>
        <w:t>可以</w:t>
      </w:r>
      <w:r w:rsidR="002533F6" w:rsidRPr="00D913AD">
        <w:rPr>
          <w:rFonts w:ascii="SimSun" w:hAnsi="SimSun" w:hint="eastAsia"/>
          <w:sz w:val="21"/>
        </w:rPr>
        <w:t>考虑</w:t>
      </w:r>
      <w:r w:rsidRPr="00D913AD">
        <w:rPr>
          <w:rFonts w:ascii="SimSun" w:hAnsi="SimSun" w:hint="eastAsia"/>
          <w:sz w:val="21"/>
        </w:rPr>
        <w:t>为项目资金</w:t>
      </w:r>
      <w:r w:rsidR="002533F6" w:rsidRPr="00D913AD">
        <w:rPr>
          <w:rFonts w:ascii="SimSun" w:hAnsi="SimSun" w:hint="eastAsia"/>
          <w:sz w:val="21"/>
        </w:rPr>
        <w:t>单设一项储备金，</w:t>
      </w:r>
      <w:r w:rsidRPr="00D913AD">
        <w:rPr>
          <w:rFonts w:ascii="SimSun" w:hAnsi="SimSun" w:hint="eastAsia"/>
          <w:sz w:val="21"/>
        </w:rPr>
        <w:t>以在预留的累积盈余目标水平和分配用于为特别项目提供资金的储备金之间</w:t>
      </w:r>
      <w:r w:rsidR="006C3551" w:rsidRPr="00D913AD">
        <w:rPr>
          <w:rFonts w:ascii="SimSun" w:hAnsi="SimSun" w:hint="eastAsia"/>
          <w:sz w:val="21"/>
        </w:rPr>
        <w:t>保持</w:t>
      </w:r>
      <w:r w:rsidRPr="00D913AD">
        <w:rPr>
          <w:rFonts w:ascii="SimSun" w:hAnsi="SimSun" w:hint="eastAsia"/>
          <w:sz w:val="21"/>
        </w:rPr>
        <w:t>明确</w:t>
      </w:r>
      <w:r w:rsidR="006C3551" w:rsidRPr="00D913AD">
        <w:rPr>
          <w:rFonts w:ascii="SimSun" w:hAnsi="SimSun" w:hint="eastAsia"/>
          <w:sz w:val="21"/>
        </w:rPr>
        <w:t>的</w:t>
      </w:r>
      <w:r w:rsidRPr="00D913AD">
        <w:rPr>
          <w:rFonts w:ascii="SimSun" w:hAnsi="SimSun" w:hint="eastAsia"/>
          <w:sz w:val="21"/>
        </w:rPr>
        <w:t>区分，并将此在财务报表中予以反映，以更好地理解与利用累积盈余/储备金有关的交易。</w:t>
      </w:r>
    </w:p>
    <w:p w:rsidR="00D913AD" w:rsidRDefault="0010549B" w:rsidP="00D913AD">
      <w:pPr>
        <w:keepNext/>
        <w:keepLines/>
        <w:spacing w:afterLines="50" w:after="120" w:line="340" w:lineRule="atLeast"/>
        <w:rPr>
          <w:rFonts w:ascii="SimSun" w:hAnsi="SimSun"/>
          <w:sz w:val="21"/>
          <w:u w:val="single"/>
        </w:rPr>
      </w:pPr>
      <w:r w:rsidRPr="00D913AD">
        <w:rPr>
          <w:rFonts w:ascii="SimSun" w:hAnsi="SimSun" w:hint="eastAsia"/>
          <w:sz w:val="21"/>
          <w:u w:val="single"/>
        </w:rPr>
        <w:t>所涉政策问题和前进方向</w:t>
      </w:r>
    </w:p>
    <w:p w:rsidR="00D913AD" w:rsidRDefault="00FF12A8" w:rsidP="00D913AD">
      <w:pPr>
        <w:pStyle w:val="ONUME"/>
        <w:tabs>
          <w:tab w:val="clear" w:pos="567"/>
        </w:tabs>
        <w:spacing w:afterLines="50" w:after="120" w:line="340" w:lineRule="atLeast"/>
        <w:jc w:val="both"/>
        <w:rPr>
          <w:rFonts w:ascii="SimSun" w:hAnsi="SimSun"/>
          <w:sz w:val="21"/>
        </w:rPr>
      </w:pPr>
      <w:r w:rsidRPr="00D913AD">
        <w:rPr>
          <w:rFonts w:ascii="SimSun" w:hAnsi="SimSun" w:hint="eastAsia"/>
          <w:sz w:val="21"/>
        </w:rPr>
        <w:t>如第8段所述，WIPO的成员国决定终止“增加房舍建筑和实现计算机化特别储备基金”。WIPO目前的政策未规定为项目资金设立和保持一项单独的储备基金。</w:t>
      </w:r>
      <w:r w:rsidR="00141230" w:rsidRPr="00D913AD">
        <w:rPr>
          <w:rFonts w:ascii="SimSun" w:hAnsi="SimSun" w:hint="eastAsia"/>
          <w:sz w:val="21"/>
        </w:rPr>
        <w:t>如经成员国同意，</w:t>
      </w:r>
      <w:r w:rsidRPr="00D913AD">
        <w:rPr>
          <w:rFonts w:ascii="SimSun" w:hAnsi="SimSun" w:hint="eastAsia"/>
          <w:sz w:val="21"/>
        </w:rPr>
        <w:t>外聘审计员对2013年财务报表</w:t>
      </w:r>
      <w:r w:rsidR="00141230" w:rsidRPr="00D913AD">
        <w:rPr>
          <w:rFonts w:ascii="SimSun" w:hAnsi="SimSun" w:hint="eastAsia"/>
          <w:sz w:val="21"/>
        </w:rPr>
        <w:t>进行</w:t>
      </w:r>
      <w:r w:rsidRPr="00D913AD">
        <w:rPr>
          <w:rFonts w:ascii="SimSun" w:hAnsi="SimSun" w:hint="eastAsia"/>
          <w:sz w:val="21"/>
        </w:rPr>
        <w:t>审计</w:t>
      </w:r>
      <w:r w:rsidR="00141230" w:rsidRPr="00D913AD">
        <w:rPr>
          <w:rFonts w:ascii="SimSun" w:hAnsi="SimSun" w:hint="eastAsia"/>
          <w:sz w:val="21"/>
        </w:rPr>
        <w:t>后提出</w:t>
      </w:r>
      <w:r w:rsidRPr="00D913AD">
        <w:rPr>
          <w:rFonts w:ascii="SimSun" w:hAnsi="SimSun" w:hint="eastAsia"/>
          <w:sz w:val="21"/>
        </w:rPr>
        <w:t>的建议及其所涉及的流动性和财务管理问题，需要</w:t>
      </w:r>
      <w:r w:rsidR="00141230" w:rsidRPr="00D913AD">
        <w:rPr>
          <w:rFonts w:ascii="SimSun" w:hAnsi="SimSun" w:hint="eastAsia"/>
          <w:sz w:val="21"/>
        </w:rPr>
        <w:t>得到</w:t>
      </w:r>
      <w:r w:rsidRPr="00D913AD">
        <w:rPr>
          <w:rFonts w:ascii="SimSun" w:hAnsi="SimSun" w:hint="eastAsia"/>
          <w:sz w:val="21"/>
        </w:rPr>
        <w:t>全面分析，本组织的相关政策中</w:t>
      </w:r>
      <w:r w:rsidR="00141230" w:rsidRPr="00D913AD">
        <w:rPr>
          <w:rFonts w:ascii="SimSun" w:hAnsi="SimSun" w:hint="eastAsia"/>
          <w:sz w:val="21"/>
        </w:rPr>
        <w:t>也需要</w:t>
      </w:r>
      <w:r w:rsidRPr="00D913AD">
        <w:rPr>
          <w:rFonts w:ascii="SimSun" w:hAnsi="SimSun" w:hint="eastAsia"/>
          <w:sz w:val="21"/>
        </w:rPr>
        <w:t>反映适当的指导方针。</w:t>
      </w:r>
    </w:p>
    <w:p w:rsidR="00985CD1" w:rsidRPr="00D913AD" w:rsidRDefault="00FF12A8" w:rsidP="00C2571F">
      <w:pPr>
        <w:pStyle w:val="ONUME"/>
        <w:keepNext/>
        <w:tabs>
          <w:tab w:val="clear" w:pos="567"/>
        </w:tabs>
        <w:spacing w:afterLines="50" w:after="120" w:line="340" w:lineRule="atLeast"/>
        <w:jc w:val="both"/>
        <w:rPr>
          <w:rFonts w:ascii="SimSun" w:hAnsi="SimSun"/>
          <w:sz w:val="21"/>
        </w:rPr>
      </w:pPr>
      <w:r w:rsidRPr="00D913AD">
        <w:rPr>
          <w:rFonts w:ascii="SimSun" w:hAnsi="SimSun" w:hint="eastAsia"/>
          <w:sz w:val="21"/>
        </w:rPr>
        <w:t>提议决定段落措辞如下。</w:t>
      </w:r>
    </w:p>
    <w:p w:rsidR="00A834CC" w:rsidRPr="00C2571F" w:rsidRDefault="005C396F" w:rsidP="00C2571F">
      <w:pPr>
        <w:pStyle w:val="ListParagraph"/>
        <w:numPr>
          <w:ilvl w:val="0"/>
          <w:numId w:val="0"/>
        </w:numPr>
        <w:tabs>
          <w:tab w:val="clear" w:pos="851"/>
          <w:tab w:val="clear" w:pos="1134"/>
        </w:tabs>
        <w:spacing w:before="0" w:afterLines="50" w:line="340" w:lineRule="atLeast"/>
        <w:ind w:left="5534"/>
        <w:jc w:val="both"/>
        <w:rPr>
          <w:rFonts w:ascii="KaiTi" w:eastAsia="KaiTi" w:hAnsi="KaiTi"/>
          <w:i/>
          <w:sz w:val="21"/>
        </w:rPr>
      </w:pPr>
      <w:r w:rsidRPr="00C2571F">
        <w:rPr>
          <w:rFonts w:ascii="KaiTi" w:eastAsia="KaiTi" w:hAnsi="KaiTi"/>
          <w:i/>
          <w:sz w:val="21"/>
        </w:rPr>
        <w:t>34.</w:t>
      </w:r>
      <w:r w:rsidRPr="00C2571F">
        <w:rPr>
          <w:rFonts w:ascii="KaiTi" w:eastAsia="KaiTi" w:hAnsi="KaiTi"/>
          <w:i/>
          <w:sz w:val="21"/>
        </w:rPr>
        <w:tab/>
      </w:r>
      <w:r w:rsidR="00FF12A8" w:rsidRPr="00C2571F">
        <w:rPr>
          <w:rFonts w:ascii="KaiTi" w:eastAsia="KaiTi" w:hAnsi="KaiTi" w:hint="eastAsia"/>
          <w:i/>
          <w:sz w:val="21"/>
        </w:rPr>
        <w:t>计划和预算委员会</w:t>
      </w:r>
      <w:r w:rsidRPr="00C2571F">
        <w:rPr>
          <w:rFonts w:ascii="KaiTi" w:eastAsia="KaiTi" w:hAnsi="KaiTi"/>
          <w:i/>
          <w:sz w:val="21"/>
        </w:rPr>
        <w:t>(PBC)</w:t>
      </w:r>
      <w:r w:rsidR="00FF12A8" w:rsidRPr="00C2571F">
        <w:rPr>
          <w:rFonts w:ascii="KaiTi" w:eastAsia="KaiTi" w:hAnsi="KaiTi" w:hint="eastAsia"/>
          <w:i/>
          <w:sz w:val="21"/>
        </w:rPr>
        <w:t>对本组织的财务状况</w:t>
      </w:r>
      <w:r w:rsidR="00D913AD" w:rsidRPr="00C2571F">
        <w:rPr>
          <w:rFonts w:ascii="KaiTi" w:eastAsia="KaiTi" w:hAnsi="KaiTi" w:hint="eastAsia"/>
          <w:i/>
          <w:sz w:val="21"/>
        </w:rPr>
        <w:t>(</w:t>
      </w:r>
      <w:r w:rsidR="00FF12A8" w:rsidRPr="00C2571F">
        <w:rPr>
          <w:rFonts w:ascii="KaiTi" w:eastAsia="KaiTi" w:hAnsi="KaiTi" w:hint="eastAsia"/>
          <w:i/>
          <w:sz w:val="21"/>
        </w:rPr>
        <w:t>净资产</w:t>
      </w:r>
      <w:r w:rsidR="00D913AD" w:rsidRPr="00C2571F">
        <w:rPr>
          <w:rFonts w:ascii="KaiTi" w:eastAsia="KaiTi" w:hAnsi="KaiTi" w:hint="eastAsia"/>
          <w:i/>
          <w:sz w:val="21"/>
        </w:rPr>
        <w:t>)</w:t>
      </w:r>
      <w:r w:rsidR="00FF12A8" w:rsidRPr="00C2571F">
        <w:rPr>
          <w:rFonts w:ascii="KaiTi" w:eastAsia="KaiTi" w:hAnsi="KaiTi" w:hint="eastAsia"/>
          <w:i/>
          <w:sz w:val="21"/>
        </w:rPr>
        <w:t>及其演变进行了审查：</w:t>
      </w:r>
    </w:p>
    <w:p w:rsidR="009D5612" w:rsidRPr="00C2571F" w:rsidRDefault="00FF12A8" w:rsidP="003F453A">
      <w:pPr>
        <w:pStyle w:val="Style2"/>
        <w:spacing w:afterLines="50" w:after="120" w:line="340" w:lineRule="atLeast"/>
        <w:ind w:left="6237" w:firstLine="0"/>
        <w:jc w:val="both"/>
        <w:rPr>
          <w:rFonts w:ascii="KaiTi" w:eastAsia="KaiTi" w:hAnsi="KaiTi"/>
          <w:i/>
          <w:sz w:val="21"/>
        </w:rPr>
      </w:pPr>
      <w:r w:rsidRPr="00C2571F">
        <w:rPr>
          <w:rFonts w:ascii="KaiTi" w:eastAsia="KaiTi" w:hAnsi="KaiTi" w:hint="eastAsia"/>
          <w:i/>
          <w:sz w:val="21"/>
        </w:rPr>
        <w:t>承认有必要对储备金和周转基金相关政策进行一次审查；并</w:t>
      </w:r>
    </w:p>
    <w:p w:rsidR="00D913AD" w:rsidRPr="00C2571F" w:rsidRDefault="00FF12A8" w:rsidP="003F453A">
      <w:pPr>
        <w:pStyle w:val="Style2"/>
        <w:spacing w:afterLines="50" w:after="120" w:line="340" w:lineRule="atLeast"/>
        <w:ind w:left="6237" w:firstLine="0"/>
        <w:jc w:val="both"/>
        <w:rPr>
          <w:rFonts w:ascii="KaiTi" w:eastAsia="KaiTi" w:hAnsi="KaiTi"/>
          <w:i/>
          <w:sz w:val="21"/>
        </w:rPr>
      </w:pPr>
      <w:r w:rsidRPr="00C2571F">
        <w:rPr>
          <w:rFonts w:ascii="KaiTi" w:eastAsia="KaiTi" w:hAnsi="KaiTi" w:hint="eastAsia"/>
          <w:i/>
          <w:sz w:val="21"/>
        </w:rPr>
        <w:t>要求秘书处考虑</w:t>
      </w:r>
      <w:r w:rsidR="00E7205C" w:rsidRPr="00C2571F">
        <w:rPr>
          <w:rFonts w:ascii="KaiTi" w:eastAsia="KaiTi" w:hAnsi="KaiTi" w:hint="eastAsia"/>
          <w:i/>
          <w:sz w:val="21"/>
        </w:rPr>
        <w:t>成员国的评论指导</w:t>
      </w:r>
      <w:r w:rsidR="00141230" w:rsidRPr="00C2571F">
        <w:rPr>
          <w:rFonts w:ascii="KaiTi" w:eastAsia="KaiTi" w:hAnsi="KaiTi" w:hint="eastAsia"/>
          <w:i/>
          <w:sz w:val="21"/>
        </w:rPr>
        <w:t>和</w:t>
      </w:r>
      <w:r w:rsidRPr="00C2571F">
        <w:rPr>
          <w:rFonts w:ascii="KaiTi" w:eastAsia="KaiTi" w:hAnsi="KaiTi" w:hint="eastAsia"/>
          <w:i/>
          <w:sz w:val="21"/>
        </w:rPr>
        <w:t>各审计监督机构的有关建议，向PBC提交一份全面的政策提案，其中包括净资产目标设定、流动性考虑和超出目标水平的可用盈余</w:t>
      </w:r>
      <w:r w:rsidR="00141230" w:rsidRPr="00C2571F">
        <w:rPr>
          <w:rFonts w:ascii="KaiTi" w:eastAsia="KaiTi" w:hAnsi="KaiTi" w:hint="eastAsia"/>
          <w:i/>
          <w:sz w:val="21"/>
        </w:rPr>
        <w:t>的</w:t>
      </w:r>
      <w:r w:rsidRPr="00C2571F">
        <w:rPr>
          <w:rFonts w:ascii="KaiTi" w:eastAsia="KaiTi" w:hAnsi="KaiTi" w:hint="eastAsia"/>
          <w:i/>
          <w:sz w:val="21"/>
        </w:rPr>
        <w:t>管理、使用和报告</w:t>
      </w:r>
      <w:r w:rsidR="003F453A">
        <w:rPr>
          <w:rFonts w:ascii="KaiTi" w:eastAsia="KaiTi" w:hAnsi="KaiTi" w:hint="eastAsia"/>
          <w:i/>
          <w:sz w:val="21"/>
        </w:rPr>
        <w:t>。</w:t>
      </w:r>
    </w:p>
    <w:p w:rsidR="00483352" w:rsidRPr="00C2571F" w:rsidRDefault="00483352" w:rsidP="00C2571F">
      <w:pPr>
        <w:pStyle w:val="Endofdocument-Annex"/>
        <w:spacing w:afterLines="50" w:after="120" w:line="340" w:lineRule="atLeast"/>
        <w:jc w:val="both"/>
        <w:rPr>
          <w:rFonts w:ascii="KaiTi" w:eastAsia="KaiTi" w:hAnsi="KaiTi"/>
          <w:sz w:val="21"/>
        </w:rPr>
      </w:pPr>
    </w:p>
    <w:p w:rsidR="00692655" w:rsidRPr="00C2571F" w:rsidRDefault="00692655" w:rsidP="00C2571F">
      <w:pPr>
        <w:pStyle w:val="Endofdocument-Annex"/>
        <w:spacing w:afterLines="50" w:after="120" w:line="340" w:lineRule="atLeast"/>
        <w:jc w:val="both"/>
        <w:rPr>
          <w:rFonts w:ascii="KaiTi" w:eastAsia="KaiTi" w:hAnsi="KaiTi"/>
          <w:sz w:val="21"/>
        </w:rPr>
      </w:pPr>
      <w:r w:rsidRPr="00C2571F">
        <w:rPr>
          <w:rFonts w:ascii="KaiTi" w:eastAsia="KaiTi" w:hAnsi="KaiTi"/>
          <w:sz w:val="21"/>
        </w:rPr>
        <w:sym w:font="Symbol" w:char="F05B"/>
      </w:r>
      <w:r w:rsidR="00FF12A8" w:rsidRPr="00C2571F">
        <w:rPr>
          <w:rFonts w:ascii="KaiTi" w:eastAsia="KaiTi" w:hAnsi="KaiTi" w:hint="eastAsia"/>
          <w:sz w:val="21"/>
        </w:rPr>
        <w:t>后接附件</w:t>
      </w:r>
      <w:r w:rsidRPr="00C2571F">
        <w:rPr>
          <w:rFonts w:ascii="KaiTi" w:eastAsia="KaiTi" w:hAnsi="KaiTi"/>
          <w:sz w:val="21"/>
        </w:rPr>
        <w:sym w:font="Symbol" w:char="F05D"/>
      </w:r>
    </w:p>
    <w:p w:rsidR="00483352" w:rsidRPr="00D913AD" w:rsidRDefault="00483352" w:rsidP="008B1BDA">
      <w:pPr>
        <w:spacing w:line="276" w:lineRule="auto"/>
        <w:ind w:left="5533"/>
        <w:rPr>
          <w:rFonts w:ascii="SimSun" w:hAnsi="SimSun"/>
          <w:sz w:val="21"/>
        </w:rPr>
        <w:sectPr w:rsidR="00483352" w:rsidRPr="00D913AD" w:rsidSect="00E7205C">
          <w:headerReference w:type="defaul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D913AD" w:rsidRPr="00C2571F" w:rsidRDefault="00141480" w:rsidP="00C2571F">
      <w:pPr>
        <w:spacing w:afterLines="100" w:after="240"/>
        <w:jc w:val="center"/>
        <w:rPr>
          <w:rFonts w:ascii="SimHei" w:eastAsia="SimHei" w:hAnsi="SimHei"/>
          <w:sz w:val="21"/>
        </w:rPr>
      </w:pPr>
      <w:r w:rsidRPr="00C2571F">
        <w:rPr>
          <w:rFonts w:ascii="SimHei" w:eastAsia="SimHei" w:hAnsi="SimHei"/>
          <w:sz w:val="21"/>
        </w:rPr>
        <w:t>1998</w:t>
      </w:r>
      <w:r w:rsidRPr="00C2571F">
        <w:rPr>
          <w:rFonts w:ascii="SimHei" w:eastAsia="SimHei" w:hAnsi="SimHei" w:hint="eastAsia"/>
          <w:sz w:val="21"/>
        </w:rPr>
        <w:t>年</w:t>
      </w:r>
      <w:r w:rsidRPr="00C2571F">
        <w:rPr>
          <w:rFonts w:ascii="SimHei" w:eastAsia="SimHei" w:hAnsi="SimHei"/>
          <w:sz w:val="21"/>
        </w:rPr>
        <w:t>-2013</w:t>
      </w:r>
      <w:r w:rsidRPr="00C2571F">
        <w:rPr>
          <w:rFonts w:ascii="SimHei" w:eastAsia="SimHei" w:hAnsi="SimHei" w:hint="eastAsia"/>
          <w:sz w:val="21"/>
        </w:rPr>
        <w:t>年</w:t>
      </w:r>
      <w:r w:rsidR="00483352" w:rsidRPr="00C2571F">
        <w:rPr>
          <w:rFonts w:ascii="SimHei" w:eastAsia="SimHei" w:hAnsi="SimHei"/>
          <w:sz w:val="21"/>
        </w:rPr>
        <w:t>WIPO</w:t>
      </w:r>
      <w:r w:rsidRPr="00C2571F">
        <w:rPr>
          <w:rFonts w:ascii="SimHei" w:eastAsia="SimHei" w:hAnsi="SimHei" w:hint="eastAsia"/>
          <w:sz w:val="21"/>
        </w:rPr>
        <w:t>财务情况演变</w:t>
      </w:r>
    </w:p>
    <w:p w:rsidR="00D913AD" w:rsidRDefault="003F453A" w:rsidP="00E45143">
      <w:pPr>
        <w:jc w:val="center"/>
        <w:rPr>
          <w:rFonts w:ascii="SimSun" w:hAnsi="SimSun"/>
          <w:sz w:val="21"/>
        </w:rPr>
      </w:pPr>
      <w:r w:rsidRPr="003F453A">
        <w:rPr>
          <w:noProof/>
          <w:lang w:eastAsia="en-US"/>
        </w:rPr>
        <w:drawing>
          <wp:inline distT="0" distB="0" distL="0" distR="0" wp14:anchorId="04F517BE" wp14:editId="499C846D">
            <wp:extent cx="9253220" cy="4471855"/>
            <wp:effectExtent l="0" t="0" r="508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3220" cy="4471855"/>
                    </a:xfrm>
                    <a:prstGeom prst="rect">
                      <a:avLst/>
                    </a:prstGeom>
                    <a:noFill/>
                    <a:ln>
                      <a:noFill/>
                    </a:ln>
                  </pic:spPr>
                </pic:pic>
              </a:graphicData>
            </a:graphic>
          </wp:inline>
        </w:drawing>
      </w:r>
    </w:p>
    <w:p w:rsidR="00483352" w:rsidRPr="00D913AD" w:rsidRDefault="00483352" w:rsidP="00483352">
      <w:pPr>
        <w:spacing w:line="276" w:lineRule="auto"/>
        <w:rPr>
          <w:rFonts w:ascii="SimSun" w:hAnsi="SimSun"/>
          <w:sz w:val="21"/>
        </w:rPr>
      </w:pPr>
    </w:p>
    <w:p w:rsidR="00483352" w:rsidRPr="00C2571F" w:rsidRDefault="00483352" w:rsidP="00C2571F">
      <w:pPr>
        <w:spacing w:afterLines="50" w:after="120" w:line="340" w:lineRule="atLeast"/>
        <w:ind w:left="9639"/>
        <w:rPr>
          <w:rFonts w:ascii="KaiTi" w:eastAsia="KaiTi" w:hAnsi="KaiTi"/>
          <w:sz w:val="21"/>
        </w:rPr>
      </w:pPr>
      <w:r w:rsidRPr="00C2571F">
        <w:rPr>
          <w:rFonts w:ascii="KaiTi" w:eastAsia="KaiTi" w:hAnsi="KaiTi"/>
          <w:sz w:val="21"/>
        </w:rPr>
        <w:t>[</w:t>
      </w:r>
      <w:r w:rsidR="00141480" w:rsidRPr="00C2571F">
        <w:rPr>
          <w:rFonts w:ascii="KaiTi" w:eastAsia="KaiTi" w:hAnsi="KaiTi" w:hint="eastAsia"/>
          <w:sz w:val="21"/>
        </w:rPr>
        <w:t>附件和文件完</w:t>
      </w:r>
      <w:r w:rsidRPr="00C2571F">
        <w:rPr>
          <w:rFonts w:ascii="KaiTi" w:eastAsia="KaiTi" w:hAnsi="KaiTi"/>
          <w:sz w:val="21"/>
        </w:rPr>
        <w:t>]</w:t>
      </w:r>
    </w:p>
    <w:sectPr w:rsidR="00483352" w:rsidRPr="00C2571F" w:rsidSect="00E45143">
      <w:headerReference w:type="first" r:id="rId17"/>
      <w:footnotePr>
        <w:numRestart w:val="eachSect"/>
      </w:footnotePr>
      <w:endnotePr>
        <w:numFmt w:val="decimal"/>
      </w:endnotePr>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49B" w:rsidRDefault="0010549B">
      <w:r>
        <w:separator/>
      </w:r>
    </w:p>
  </w:endnote>
  <w:endnote w:type="continuationSeparator" w:id="0">
    <w:p w:rsidR="0010549B" w:rsidRDefault="0010549B" w:rsidP="003B38C1">
      <w:r>
        <w:separator/>
      </w:r>
    </w:p>
    <w:p w:rsidR="0010549B" w:rsidRPr="003B38C1" w:rsidRDefault="0010549B" w:rsidP="003B38C1">
      <w:pPr>
        <w:spacing w:after="60"/>
        <w:rPr>
          <w:sz w:val="17"/>
        </w:rPr>
      </w:pPr>
      <w:r>
        <w:rPr>
          <w:sz w:val="17"/>
        </w:rPr>
        <w:t>[Endnote continued from previous page]</w:t>
      </w:r>
    </w:p>
  </w:endnote>
  <w:endnote w:type="continuationNotice" w:id="1">
    <w:p w:rsidR="0010549B" w:rsidRPr="003B38C1" w:rsidRDefault="001054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49B" w:rsidRDefault="0010549B">
      <w:r>
        <w:separator/>
      </w:r>
    </w:p>
  </w:footnote>
  <w:footnote w:type="continuationSeparator" w:id="0">
    <w:p w:rsidR="0010549B" w:rsidRDefault="0010549B" w:rsidP="008B60B2">
      <w:r>
        <w:separator/>
      </w:r>
    </w:p>
    <w:p w:rsidR="0010549B" w:rsidRPr="00ED77FB" w:rsidRDefault="0010549B" w:rsidP="008B60B2">
      <w:pPr>
        <w:spacing w:after="60"/>
        <w:rPr>
          <w:sz w:val="17"/>
          <w:szCs w:val="17"/>
        </w:rPr>
      </w:pPr>
      <w:r w:rsidRPr="00ED77FB">
        <w:rPr>
          <w:sz w:val="17"/>
          <w:szCs w:val="17"/>
        </w:rPr>
        <w:t>[Footnote continued from previous page]</w:t>
      </w:r>
    </w:p>
  </w:footnote>
  <w:footnote w:type="continuationNotice" w:id="1">
    <w:p w:rsidR="0010549B" w:rsidRPr="00ED77FB" w:rsidRDefault="001054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9B" w:rsidRPr="00E7205C" w:rsidRDefault="0010549B" w:rsidP="00187470">
    <w:pPr>
      <w:pStyle w:val="Header"/>
      <w:jc w:val="right"/>
      <w:rPr>
        <w:rFonts w:ascii="SimSun" w:hAnsi="SimSun"/>
        <w:sz w:val="21"/>
      </w:rPr>
    </w:pPr>
    <w:r w:rsidRPr="00E7205C">
      <w:rPr>
        <w:rFonts w:ascii="SimSun" w:hAnsi="SimSun"/>
        <w:sz w:val="21"/>
      </w:rPr>
      <w:t>WO/PBC/22/28</w:t>
    </w:r>
  </w:p>
  <w:p w:rsidR="0010549B" w:rsidRPr="00E7205C" w:rsidRDefault="00E7205C" w:rsidP="00187470">
    <w:pPr>
      <w:pStyle w:val="Header"/>
      <w:jc w:val="right"/>
      <w:rPr>
        <w:rFonts w:ascii="SimSun" w:hAnsi="SimSun"/>
        <w:sz w:val="21"/>
      </w:rPr>
    </w:pPr>
    <w:r w:rsidRPr="00E7205C">
      <w:rPr>
        <w:rFonts w:ascii="SimSun" w:hAnsi="SimSun" w:hint="eastAsia"/>
        <w:sz w:val="21"/>
      </w:rPr>
      <w:t>第</w:t>
    </w:r>
    <w:sdt>
      <w:sdtPr>
        <w:rPr>
          <w:rFonts w:ascii="SimSun" w:hAnsi="SimSun"/>
          <w:sz w:val="21"/>
        </w:rPr>
        <w:id w:val="1549034838"/>
        <w:docPartObj>
          <w:docPartGallery w:val="Page Numbers (Top of Page)"/>
          <w:docPartUnique/>
        </w:docPartObj>
      </w:sdtPr>
      <w:sdtEndPr>
        <w:rPr>
          <w:noProof/>
        </w:rPr>
      </w:sdtEndPr>
      <w:sdtContent>
        <w:r w:rsidR="0010549B" w:rsidRPr="00E7205C">
          <w:rPr>
            <w:rFonts w:ascii="SimSun" w:hAnsi="SimSun"/>
            <w:sz w:val="21"/>
          </w:rPr>
          <w:fldChar w:fldCharType="begin"/>
        </w:r>
        <w:r w:rsidR="0010549B" w:rsidRPr="00E7205C">
          <w:rPr>
            <w:rFonts w:ascii="SimSun" w:hAnsi="SimSun"/>
            <w:sz w:val="21"/>
          </w:rPr>
          <w:instrText xml:space="preserve"> PAGE   \* MERGEFORMAT </w:instrText>
        </w:r>
        <w:r w:rsidR="0010549B" w:rsidRPr="00E7205C">
          <w:rPr>
            <w:rFonts w:ascii="SimSun" w:hAnsi="SimSun"/>
            <w:sz w:val="21"/>
          </w:rPr>
          <w:fldChar w:fldCharType="separate"/>
        </w:r>
        <w:r w:rsidR="00855093">
          <w:rPr>
            <w:rFonts w:ascii="SimSun" w:hAnsi="SimSun"/>
            <w:noProof/>
            <w:sz w:val="21"/>
          </w:rPr>
          <w:t>8</w:t>
        </w:r>
        <w:r w:rsidR="0010549B" w:rsidRPr="00E7205C">
          <w:rPr>
            <w:rFonts w:ascii="SimSun" w:hAnsi="SimSun"/>
            <w:noProof/>
            <w:sz w:val="21"/>
          </w:rPr>
          <w:fldChar w:fldCharType="end"/>
        </w:r>
        <w:r w:rsidRPr="00E7205C">
          <w:rPr>
            <w:rFonts w:ascii="SimSun" w:hAnsi="SimSun" w:hint="eastAsia"/>
            <w:noProof/>
            <w:sz w:val="21"/>
          </w:rPr>
          <w:t>页</w:t>
        </w:r>
      </w:sdtContent>
    </w:sdt>
  </w:p>
  <w:p w:rsidR="0010549B" w:rsidRDefault="0010549B" w:rsidP="00477D6B">
    <w:pPr>
      <w:jc w:val="right"/>
      <w:rPr>
        <w:rFonts w:ascii="SimSun" w:hAnsi="SimSun"/>
        <w:sz w:val="21"/>
        <w:lang w:val="fr-FR"/>
      </w:rPr>
    </w:pPr>
  </w:p>
  <w:p w:rsidR="00E7205C" w:rsidRPr="00E7205C" w:rsidRDefault="00E7205C" w:rsidP="00477D6B">
    <w:pP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9B" w:rsidRPr="00E7205C" w:rsidRDefault="0010549B" w:rsidP="00483352">
    <w:pPr>
      <w:pStyle w:val="Header"/>
      <w:jc w:val="right"/>
      <w:rPr>
        <w:rFonts w:ascii="SimSun" w:hAnsi="SimSun"/>
        <w:sz w:val="21"/>
      </w:rPr>
    </w:pPr>
    <w:r w:rsidRPr="00E7205C">
      <w:rPr>
        <w:rFonts w:ascii="SimSun" w:hAnsi="SimSun"/>
        <w:sz w:val="21"/>
      </w:rPr>
      <w:t>WO/PBC/22/28</w:t>
    </w:r>
  </w:p>
  <w:p w:rsidR="0010549B" w:rsidRPr="00E7205C" w:rsidRDefault="00E7205C" w:rsidP="00483352">
    <w:pPr>
      <w:pStyle w:val="Header"/>
      <w:jc w:val="right"/>
      <w:rPr>
        <w:rFonts w:ascii="SimSun" w:hAnsi="SimSun"/>
        <w:sz w:val="21"/>
      </w:rPr>
    </w:pPr>
    <w:r w:rsidRPr="00E7205C">
      <w:rPr>
        <w:rFonts w:ascii="SimSun" w:hAnsi="SimSun" w:hint="eastAsia"/>
        <w:sz w:val="21"/>
      </w:rPr>
      <w:t>附　件</w:t>
    </w:r>
  </w:p>
  <w:p w:rsidR="0010549B" w:rsidRPr="00E7205C" w:rsidRDefault="0010549B">
    <w:pPr>
      <w:pStyle w:val="Header"/>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3264DAD"/>
    <w:multiLevelType w:val="multilevel"/>
    <w:tmpl w:val="FDE0432C"/>
    <w:styleLink w:val="Styleletter"/>
    <w:lvl w:ilvl="0">
      <w:start w:val="1"/>
      <w:numFmt w:val="upperLetter"/>
      <w:lvlText w:val="%1)"/>
      <w:lvlJc w:val="left"/>
      <w:pPr>
        <w:ind w:left="360" w:hanging="360"/>
      </w:pPr>
      <w:rPr>
        <w:rFonts w:hint="default"/>
      </w:rPr>
    </w:lvl>
    <w:lvl w:ilvl="1">
      <w:start w:val="1"/>
      <w:numFmt w:val="none"/>
      <w:lvlText w:val="A."/>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1834749"/>
    <w:multiLevelType w:val="hybridMultilevel"/>
    <w:tmpl w:val="EDD49822"/>
    <w:lvl w:ilvl="0" w:tplc="B2087C9A">
      <w:start w:val="1"/>
      <w:numFmt w:val="lowerLetter"/>
      <w:pStyle w:val="ListParagraph"/>
      <w:lvlText w:val="(%1)"/>
      <w:lvlJc w:val="left"/>
      <w:pPr>
        <w:ind w:left="1800"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4">
    <w:nsid w:val="2950297A"/>
    <w:multiLevelType w:val="hybridMultilevel"/>
    <w:tmpl w:val="5B22A85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
    <w:nsid w:val="3D2C7B85"/>
    <w:multiLevelType w:val="hybridMultilevel"/>
    <w:tmpl w:val="A4CEE1E2"/>
    <w:lvl w:ilvl="0" w:tplc="3D7AFB14">
      <w:start w:val="1"/>
      <w:numFmt w:val="lowerRoman"/>
      <w:lvlText w:val="(%1)"/>
      <w:lvlJc w:val="right"/>
      <w:pPr>
        <w:ind w:left="72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D37993"/>
    <w:multiLevelType w:val="hybridMultilevel"/>
    <w:tmpl w:val="E044110E"/>
    <w:lvl w:ilvl="0" w:tplc="55EA75E4">
      <w:start w:val="1"/>
      <w:numFmt w:val="decimal"/>
      <w:pStyle w:val="TOC1"/>
      <w:lvlText w:val="%1."/>
      <w:legacy w:legacy="1" w:legacySpace="120" w:legacyIndent="720"/>
      <w:lvlJc w:val="left"/>
      <w:pPr>
        <w:ind w:left="2160" w:hanging="720"/>
      </w:pPr>
    </w:lvl>
    <w:lvl w:ilvl="1" w:tplc="A860E4D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3AA29EF"/>
    <w:multiLevelType w:val="multilevel"/>
    <w:tmpl w:val="0F34C252"/>
    <w:lvl w:ilvl="0">
      <w:start w:val="1"/>
      <w:numFmt w:val="upperLetter"/>
      <w:lvlText w:val="%1."/>
      <w:lvlJc w:val="left"/>
      <w:pPr>
        <w:ind w:left="360" w:hanging="360"/>
      </w:pPr>
      <w:rPr>
        <w:rFonts w:hint="default"/>
      </w:rPr>
    </w:lvl>
    <w:lvl w:ilvl="1">
      <w:start w:val="1"/>
      <w:numFmt w:val="upperLetter"/>
      <w:pStyle w:val="NumerotationLETTRES"/>
      <w:lvlText w:val="%2."/>
      <w:lvlJc w:val="left"/>
      <w:pPr>
        <w:ind w:left="0" w:firstLine="0"/>
      </w:pPr>
      <w:rPr>
        <w:rFonts w:hint="default"/>
      </w:rPr>
    </w:lvl>
    <w:lvl w:ilvl="2">
      <w:start w:val="1"/>
      <w:numFmt w:val="none"/>
      <w:lvlText w:val="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0"/>
  </w:num>
  <w:num w:numId="3">
    <w:abstractNumId w:val="2"/>
  </w:num>
  <w:num w:numId="4">
    <w:abstractNumId w:val="3"/>
  </w:num>
  <w:num w:numId="5">
    <w:abstractNumId w:val="10"/>
  </w:num>
  <w:num w:numId="6">
    <w:abstractNumId w:val="9"/>
  </w:num>
  <w:num w:numId="7">
    <w:abstractNumId w:val="1"/>
  </w:num>
  <w:num w:numId="8">
    <w:abstractNumId w:val="8"/>
  </w:num>
  <w:num w:numId="9">
    <w:abstractNumId w:val="5"/>
  </w:num>
  <w:num w:numId="10">
    <w:abstractNumId w:val="4"/>
  </w:num>
  <w:num w:numId="11">
    <w:abstractNumId w:val="6"/>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3"/>
  </w:num>
  <w:num w:numId="45">
    <w:abstractNumId w:val="3"/>
  </w:num>
  <w:num w:numId="46">
    <w:abstractNumId w:val="3"/>
  </w:num>
  <w:num w:numId="47">
    <w:abstractNumId w:val="3"/>
  </w:num>
  <w:num w:numId="4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E1"/>
    <w:rsid w:val="000004D7"/>
    <w:rsid w:val="00007ACE"/>
    <w:rsid w:val="00011C4F"/>
    <w:rsid w:val="00015BAB"/>
    <w:rsid w:val="00020B9C"/>
    <w:rsid w:val="000404CE"/>
    <w:rsid w:val="00043401"/>
    <w:rsid w:val="00043CAA"/>
    <w:rsid w:val="00051ACB"/>
    <w:rsid w:val="00051FCB"/>
    <w:rsid w:val="00055709"/>
    <w:rsid w:val="000561D2"/>
    <w:rsid w:val="00061516"/>
    <w:rsid w:val="00061682"/>
    <w:rsid w:val="00075432"/>
    <w:rsid w:val="00093198"/>
    <w:rsid w:val="000968ED"/>
    <w:rsid w:val="000A04E7"/>
    <w:rsid w:val="000D3AE5"/>
    <w:rsid w:val="000D7923"/>
    <w:rsid w:val="000D7B9C"/>
    <w:rsid w:val="000D7C73"/>
    <w:rsid w:val="000E0FEB"/>
    <w:rsid w:val="000F2AA7"/>
    <w:rsid w:val="000F41A7"/>
    <w:rsid w:val="000F45B3"/>
    <w:rsid w:val="000F45C7"/>
    <w:rsid w:val="000F536E"/>
    <w:rsid w:val="000F5E56"/>
    <w:rsid w:val="000F7AB9"/>
    <w:rsid w:val="0010549B"/>
    <w:rsid w:val="001111AF"/>
    <w:rsid w:val="00123C24"/>
    <w:rsid w:val="0012713E"/>
    <w:rsid w:val="00127A34"/>
    <w:rsid w:val="001362EE"/>
    <w:rsid w:val="001366D4"/>
    <w:rsid w:val="00137D0C"/>
    <w:rsid w:val="00141230"/>
    <w:rsid w:val="00141480"/>
    <w:rsid w:val="00142207"/>
    <w:rsid w:val="00142D7C"/>
    <w:rsid w:val="00157CB6"/>
    <w:rsid w:val="00170800"/>
    <w:rsid w:val="00170A80"/>
    <w:rsid w:val="001801F8"/>
    <w:rsid w:val="00180956"/>
    <w:rsid w:val="00180AB9"/>
    <w:rsid w:val="001832A6"/>
    <w:rsid w:val="00183CB8"/>
    <w:rsid w:val="00187470"/>
    <w:rsid w:val="001908BD"/>
    <w:rsid w:val="00193B27"/>
    <w:rsid w:val="001953B3"/>
    <w:rsid w:val="001A04A8"/>
    <w:rsid w:val="001A1921"/>
    <w:rsid w:val="001B48C3"/>
    <w:rsid w:val="001B5EB0"/>
    <w:rsid w:val="001B794B"/>
    <w:rsid w:val="001C33C0"/>
    <w:rsid w:val="001C52F2"/>
    <w:rsid w:val="001C6E0D"/>
    <w:rsid w:val="001C7A61"/>
    <w:rsid w:val="001E43DE"/>
    <w:rsid w:val="001E4F96"/>
    <w:rsid w:val="001E5F5F"/>
    <w:rsid w:val="001E7D69"/>
    <w:rsid w:val="00203EC6"/>
    <w:rsid w:val="00211873"/>
    <w:rsid w:val="00214B73"/>
    <w:rsid w:val="0021717B"/>
    <w:rsid w:val="00217AAB"/>
    <w:rsid w:val="00222256"/>
    <w:rsid w:val="00230DFF"/>
    <w:rsid w:val="00252E99"/>
    <w:rsid w:val="002533F6"/>
    <w:rsid w:val="00253E7A"/>
    <w:rsid w:val="00254558"/>
    <w:rsid w:val="00256842"/>
    <w:rsid w:val="002634C4"/>
    <w:rsid w:val="00264590"/>
    <w:rsid w:val="0026682B"/>
    <w:rsid w:val="002747CF"/>
    <w:rsid w:val="00285424"/>
    <w:rsid w:val="0029034D"/>
    <w:rsid w:val="002928D3"/>
    <w:rsid w:val="00293C49"/>
    <w:rsid w:val="002C086F"/>
    <w:rsid w:val="002C2F7E"/>
    <w:rsid w:val="002C4E06"/>
    <w:rsid w:val="002D2A76"/>
    <w:rsid w:val="002D33A6"/>
    <w:rsid w:val="002E60BA"/>
    <w:rsid w:val="002E63AC"/>
    <w:rsid w:val="002F01AD"/>
    <w:rsid w:val="002F0323"/>
    <w:rsid w:val="002F1FE6"/>
    <w:rsid w:val="002F4E68"/>
    <w:rsid w:val="002F5160"/>
    <w:rsid w:val="00304FAF"/>
    <w:rsid w:val="00305800"/>
    <w:rsid w:val="00312F7F"/>
    <w:rsid w:val="00314DEB"/>
    <w:rsid w:val="00316527"/>
    <w:rsid w:val="0033761B"/>
    <w:rsid w:val="003409AA"/>
    <w:rsid w:val="00343B6C"/>
    <w:rsid w:val="00355F65"/>
    <w:rsid w:val="003604AA"/>
    <w:rsid w:val="00361450"/>
    <w:rsid w:val="0036493A"/>
    <w:rsid w:val="003655A7"/>
    <w:rsid w:val="003673CF"/>
    <w:rsid w:val="003735BD"/>
    <w:rsid w:val="00373BE3"/>
    <w:rsid w:val="00375B6B"/>
    <w:rsid w:val="00382581"/>
    <w:rsid w:val="00383F28"/>
    <w:rsid w:val="003845C1"/>
    <w:rsid w:val="003857EE"/>
    <w:rsid w:val="00386E89"/>
    <w:rsid w:val="003A0EBA"/>
    <w:rsid w:val="003A5FF1"/>
    <w:rsid w:val="003A6F89"/>
    <w:rsid w:val="003B04A0"/>
    <w:rsid w:val="003B38C1"/>
    <w:rsid w:val="003B5CC5"/>
    <w:rsid w:val="003C00EB"/>
    <w:rsid w:val="003C205B"/>
    <w:rsid w:val="003C37F8"/>
    <w:rsid w:val="003D1446"/>
    <w:rsid w:val="003D555D"/>
    <w:rsid w:val="003D7738"/>
    <w:rsid w:val="003E589E"/>
    <w:rsid w:val="003F3AFA"/>
    <w:rsid w:val="003F453A"/>
    <w:rsid w:val="003F77EC"/>
    <w:rsid w:val="003F7A72"/>
    <w:rsid w:val="00400561"/>
    <w:rsid w:val="00405DB2"/>
    <w:rsid w:val="00416863"/>
    <w:rsid w:val="00416D42"/>
    <w:rsid w:val="00420210"/>
    <w:rsid w:val="00423E3E"/>
    <w:rsid w:val="00427AF4"/>
    <w:rsid w:val="0043061F"/>
    <w:rsid w:val="00440B56"/>
    <w:rsid w:val="004412E7"/>
    <w:rsid w:val="00450A51"/>
    <w:rsid w:val="004530C4"/>
    <w:rsid w:val="00454978"/>
    <w:rsid w:val="0045765F"/>
    <w:rsid w:val="004647DA"/>
    <w:rsid w:val="0046640B"/>
    <w:rsid w:val="00474062"/>
    <w:rsid w:val="00477D6B"/>
    <w:rsid w:val="0048297C"/>
    <w:rsid w:val="00483352"/>
    <w:rsid w:val="00486198"/>
    <w:rsid w:val="0048656B"/>
    <w:rsid w:val="00487CA4"/>
    <w:rsid w:val="00490164"/>
    <w:rsid w:val="00494824"/>
    <w:rsid w:val="00495117"/>
    <w:rsid w:val="004A5B35"/>
    <w:rsid w:val="004B2D10"/>
    <w:rsid w:val="004B47D2"/>
    <w:rsid w:val="004B5622"/>
    <w:rsid w:val="004D4A84"/>
    <w:rsid w:val="004E2A4D"/>
    <w:rsid w:val="004E6A9C"/>
    <w:rsid w:val="004F2B6E"/>
    <w:rsid w:val="004F4084"/>
    <w:rsid w:val="004F42A6"/>
    <w:rsid w:val="005019FF"/>
    <w:rsid w:val="005023EF"/>
    <w:rsid w:val="00502A73"/>
    <w:rsid w:val="00510C01"/>
    <w:rsid w:val="00510F2C"/>
    <w:rsid w:val="005176C1"/>
    <w:rsid w:val="00521475"/>
    <w:rsid w:val="00523CBD"/>
    <w:rsid w:val="00525315"/>
    <w:rsid w:val="00525644"/>
    <w:rsid w:val="0053057A"/>
    <w:rsid w:val="005305A4"/>
    <w:rsid w:val="00536DD5"/>
    <w:rsid w:val="00546544"/>
    <w:rsid w:val="00550D24"/>
    <w:rsid w:val="0055428B"/>
    <w:rsid w:val="00560A29"/>
    <w:rsid w:val="005644F9"/>
    <w:rsid w:val="0057100C"/>
    <w:rsid w:val="005733D2"/>
    <w:rsid w:val="00586199"/>
    <w:rsid w:val="005976A6"/>
    <w:rsid w:val="005A01B3"/>
    <w:rsid w:val="005A0675"/>
    <w:rsid w:val="005A1D98"/>
    <w:rsid w:val="005A2C9E"/>
    <w:rsid w:val="005A33B0"/>
    <w:rsid w:val="005B666E"/>
    <w:rsid w:val="005C0221"/>
    <w:rsid w:val="005C228B"/>
    <w:rsid w:val="005C2EA5"/>
    <w:rsid w:val="005C2F57"/>
    <w:rsid w:val="005C396F"/>
    <w:rsid w:val="005C6649"/>
    <w:rsid w:val="005D21A6"/>
    <w:rsid w:val="005D3EF8"/>
    <w:rsid w:val="005D45A3"/>
    <w:rsid w:val="005D606A"/>
    <w:rsid w:val="005E383F"/>
    <w:rsid w:val="005E3D2A"/>
    <w:rsid w:val="005F124E"/>
    <w:rsid w:val="005F24AC"/>
    <w:rsid w:val="005F7CFA"/>
    <w:rsid w:val="0060263B"/>
    <w:rsid w:val="00605827"/>
    <w:rsid w:val="00607690"/>
    <w:rsid w:val="006108D9"/>
    <w:rsid w:val="006133EC"/>
    <w:rsid w:val="00616A91"/>
    <w:rsid w:val="00617EE1"/>
    <w:rsid w:val="006241E3"/>
    <w:rsid w:val="00626F37"/>
    <w:rsid w:val="006327BE"/>
    <w:rsid w:val="00634D02"/>
    <w:rsid w:val="0063585E"/>
    <w:rsid w:val="00635F44"/>
    <w:rsid w:val="00646050"/>
    <w:rsid w:val="006466E1"/>
    <w:rsid w:val="006501E5"/>
    <w:rsid w:val="006526C0"/>
    <w:rsid w:val="006713CA"/>
    <w:rsid w:val="00676C5C"/>
    <w:rsid w:val="00676F37"/>
    <w:rsid w:val="00677E54"/>
    <w:rsid w:val="00691C85"/>
    <w:rsid w:val="00692655"/>
    <w:rsid w:val="006967B6"/>
    <w:rsid w:val="006A1082"/>
    <w:rsid w:val="006B2B77"/>
    <w:rsid w:val="006B37E5"/>
    <w:rsid w:val="006B7892"/>
    <w:rsid w:val="006B79FD"/>
    <w:rsid w:val="006C112C"/>
    <w:rsid w:val="006C3551"/>
    <w:rsid w:val="006C49BF"/>
    <w:rsid w:val="006D2E3B"/>
    <w:rsid w:val="006D415B"/>
    <w:rsid w:val="006E020E"/>
    <w:rsid w:val="006E2A97"/>
    <w:rsid w:val="006F575A"/>
    <w:rsid w:val="00705726"/>
    <w:rsid w:val="00730621"/>
    <w:rsid w:val="00736378"/>
    <w:rsid w:val="00740201"/>
    <w:rsid w:val="00747537"/>
    <w:rsid w:val="00755984"/>
    <w:rsid w:val="00757B01"/>
    <w:rsid w:val="007633D6"/>
    <w:rsid w:val="00771F27"/>
    <w:rsid w:val="00772262"/>
    <w:rsid w:val="0077581C"/>
    <w:rsid w:val="00777D74"/>
    <w:rsid w:val="00791E9A"/>
    <w:rsid w:val="007A3EE9"/>
    <w:rsid w:val="007A416F"/>
    <w:rsid w:val="007C3FF3"/>
    <w:rsid w:val="007C4817"/>
    <w:rsid w:val="007C495C"/>
    <w:rsid w:val="007D1613"/>
    <w:rsid w:val="007D1F48"/>
    <w:rsid w:val="007D556F"/>
    <w:rsid w:val="007D6C5A"/>
    <w:rsid w:val="007E077A"/>
    <w:rsid w:val="007E50A0"/>
    <w:rsid w:val="007E5702"/>
    <w:rsid w:val="007E62D2"/>
    <w:rsid w:val="007F3483"/>
    <w:rsid w:val="00803370"/>
    <w:rsid w:val="008112A1"/>
    <w:rsid w:val="00811AA0"/>
    <w:rsid w:val="00817DB4"/>
    <w:rsid w:val="00820B8F"/>
    <w:rsid w:val="00825B5E"/>
    <w:rsid w:val="00831F01"/>
    <w:rsid w:val="00832C4E"/>
    <w:rsid w:val="008432B8"/>
    <w:rsid w:val="00846015"/>
    <w:rsid w:val="00847E60"/>
    <w:rsid w:val="00855093"/>
    <w:rsid w:val="008561FD"/>
    <w:rsid w:val="00863D52"/>
    <w:rsid w:val="00873B26"/>
    <w:rsid w:val="00875397"/>
    <w:rsid w:val="00882254"/>
    <w:rsid w:val="008926D9"/>
    <w:rsid w:val="00896CA1"/>
    <w:rsid w:val="008A41CC"/>
    <w:rsid w:val="008A6900"/>
    <w:rsid w:val="008A7D14"/>
    <w:rsid w:val="008B1BDA"/>
    <w:rsid w:val="008B2CC1"/>
    <w:rsid w:val="008B5182"/>
    <w:rsid w:val="008B60B2"/>
    <w:rsid w:val="008C0CD0"/>
    <w:rsid w:val="008C4880"/>
    <w:rsid w:val="008D793B"/>
    <w:rsid w:val="008D7A02"/>
    <w:rsid w:val="008E168D"/>
    <w:rsid w:val="008F7FA5"/>
    <w:rsid w:val="009017A3"/>
    <w:rsid w:val="00902ED7"/>
    <w:rsid w:val="00904CA4"/>
    <w:rsid w:val="00906D58"/>
    <w:rsid w:val="0090731E"/>
    <w:rsid w:val="00907639"/>
    <w:rsid w:val="00911F65"/>
    <w:rsid w:val="00916BD6"/>
    <w:rsid w:val="00916EE2"/>
    <w:rsid w:val="009253C7"/>
    <w:rsid w:val="009275CD"/>
    <w:rsid w:val="00935B3F"/>
    <w:rsid w:val="00951BE7"/>
    <w:rsid w:val="00952937"/>
    <w:rsid w:val="00953027"/>
    <w:rsid w:val="009638EB"/>
    <w:rsid w:val="00964B80"/>
    <w:rsid w:val="00966A22"/>
    <w:rsid w:val="0096722F"/>
    <w:rsid w:val="00971499"/>
    <w:rsid w:val="00972EFC"/>
    <w:rsid w:val="00980843"/>
    <w:rsid w:val="00985CD1"/>
    <w:rsid w:val="00990DD8"/>
    <w:rsid w:val="009917A8"/>
    <w:rsid w:val="00994FBD"/>
    <w:rsid w:val="0099534B"/>
    <w:rsid w:val="009A66B9"/>
    <w:rsid w:val="009A7A21"/>
    <w:rsid w:val="009B170D"/>
    <w:rsid w:val="009B535F"/>
    <w:rsid w:val="009B56D7"/>
    <w:rsid w:val="009C13B8"/>
    <w:rsid w:val="009C2BF7"/>
    <w:rsid w:val="009C378F"/>
    <w:rsid w:val="009C4662"/>
    <w:rsid w:val="009C57C0"/>
    <w:rsid w:val="009D1366"/>
    <w:rsid w:val="009D4F97"/>
    <w:rsid w:val="009D5612"/>
    <w:rsid w:val="009D6246"/>
    <w:rsid w:val="009D6E39"/>
    <w:rsid w:val="009E2791"/>
    <w:rsid w:val="009E3F6F"/>
    <w:rsid w:val="009F1FDE"/>
    <w:rsid w:val="009F499F"/>
    <w:rsid w:val="00A035A7"/>
    <w:rsid w:val="00A037D4"/>
    <w:rsid w:val="00A03B59"/>
    <w:rsid w:val="00A04849"/>
    <w:rsid w:val="00A066E3"/>
    <w:rsid w:val="00A07E83"/>
    <w:rsid w:val="00A10742"/>
    <w:rsid w:val="00A11DBF"/>
    <w:rsid w:val="00A217DC"/>
    <w:rsid w:val="00A30274"/>
    <w:rsid w:val="00A30AF5"/>
    <w:rsid w:val="00A31593"/>
    <w:rsid w:val="00A34636"/>
    <w:rsid w:val="00A367BE"/>
    <w:rsid w:val="00A40716"/>
    <w:rsid w:val="00A41E8B"/>
    <w:rsid w:val="00A42122"/>
    <w:rsid w:val="00A42DAF"/>
    <w:rsid w:val="00A45BD8"/>
    <w:rsid w:val="00A47EE1"/>
    <w:rsid w:val="00A55FBE"/>
    <w:rsid w:val="00A579F4"/>
    <w:rsid w:val="00A60338"/>
    <w:rsid w:val="00A61175"/>
    <w:rsid w:val="00A70BC4"/>
    <w:rsid w:val="00A834CC"/>
    <w:rsid w:val="00A869B7"/>
    <w:rsid w:val="00A91818"/>
    <w:rsid w:val="00A95001"/>
    <w:rsid w:val="00AA2379"/>
    <w:rsid w:val="00AA69B7"/>
    <w:rsid w:val="00AB5266"/>
    <w:rsid w:val="00AB5805"/>
    <w:rsid w:val="00AB7E44"/>
    <w:rsid w:val="00AC0825"/>
    <w:rsid w:val="00AC1664"/>
    <w:rsid w:val="00AC205C"/>
    <w:rsid w:val="00AC4F8B"/>
    <w:rsid w:val="00AC6859"/>
    <w:rsid w:val="00AD149E"/>
    <w:rsid w:val="00AD4BDF"/>
    <w:rsid w:val="00AD6650"/>
    <w:rsid w:val="00AE0A31"/>
    <w:rsid w:val="00AE15DB"/>
    <w:rsid w:val="00AE423B"/>
    <w:rsid w:val="00AF0A6B"/>
    <w:rsid w:val="00AF1787"/>
    <w:rsid w:val="00AF537B"/>
    <w:rsid w:val="00B046E6"/>
    <w:rsid w:val="00B05A69"/>
    <w:rsid w:val="00B07C82"/>
    <w:rsid w:val="00B15F35"/>
    <w:rsid w:val="00B173E3"/>
    <w:rsid w:val="00B21D39"/>
    <w:rsid w:val="00B22BC7"/>
    <w:rsid w:val="00B30777"/>
    <w:rsid w:val="00B52236"/>
    <w:rsid w:val="00B56431"/>
    <w:rsid w:val="00B5794C"/>
    <w:rsid w:val="00B657F9"/>
    <w:rsid w:val="00B9501A"/>
    <w:rsid w:val="00B960B5"/>
    <w:rsid w:val="00B9734B"/>
    <w:rsid w:val="00BA0561"/>
    <w:rsid w:val="00BA7D66"/>
    <w:rsid w:val="00BC1C84"/>
    <w:rsid w:val="00BD1A9C"/>
    <w:rsid w:val="00BD5996"/>
    <w:rsid w:val="00BE5475"/>
    <w:rsid w:val="00BF2A3E"/>
    <w:rsid w:val="00BF2EC9"/>
    <w:rsid w:val="00BF6202"/>
    <w:rsid w:val="00C01249"/>
    <w:rsid w:val="00C06003"/>
    <w:rsid w:val="00C105B5"/>
    <w:rsid w:val="00C11BFE"/>
    <w:rsid w:val="00C121A6"/>
    <w:rsid w:val="00C154F8"/>
    <w:rsid w:val="00C2471B"/>
    <w:rsid w:val="00C2571F"/>
    <w:rsid w:val="00C432E9"/>
    <w:rsid w:val="00C43AF0"/>
    <w:rsid w:val="00C47A0A"/>
    <w:rsid w:val="00C55956"/>
    <w:rsid w:val="00C652F0"/>
    <w:rsid w:val="00C673E1"/>
    <w:rsid w:val="00C677B9"/>
    <w:rsid w:val="00C76A7B"/>
    <w:rsid w:val="00C81A71"/>
    <w:rsid w:val="00C85377"/>
    <w:rsid w:val="00C85EF7"/>
    <w:rsid w:val="00C9114A"/>
    <w:rsid w:val="00C950E7"/>
    <w:rsid w:val="00CA4EAD"/>
    <w:rsid w:val="00CC5F36"/>
    <w:rsid w:val="00CC64A2"/>
    <w:rsid w:val="00CD3C3A"/>
    <w:rsid w:val="00CD4DC3"/>
    <w:rsid w:val="00CD4FCC"/>
    <w:rsid w:val="00CE4B43"/>
    <w:rsid w:val="00CE5CFD"/>
    <w:rsid w:val="00CE6C73"/>
    <w:rsid w:val="00D06D5E"/>
    <w:rsid w:val="00D10B64"/>
    <w:rsid w:val="00D12D20"/>
    <w:rsid w:val="00D14E91"/>
    <w:rsid w:val="00D24A45"/>
    <w:rsid w:val="00D24F02"/>
    <w:rsid w:val="00D27656"/>
    <w:rsid w:val="00D33647"/>
    <w:rsid w:val="00D361B3"/>
    <w:rsid w:val="00D45219"/>
    <w:rsid w:val="00D45252"/>
    <w:rsid w:val="00D4687A"/>
    <w:rsid w:val="00D477CB"/>
    <w:rsid w:val="00D4799E"/>
    <w:rsid w:val="00D47FA6"/>
    <w:rsid w:val="00D55C73"/>
    <w:rsid w:val="00D56952"/>
    <w:rsid w:val="00D7126E"/>
    <w:rsid w:val="00D714B4"/>
    <w:rsid w:val="00D717BE"/>
    <w:rsid w:val="00D71B4D"/>
    <w:rsid w:val="00D85FF5"/>
    <w:rsid w:val="00D90E06"/>
    <w:rsid w:val="00D913AD"/>
    <w:rsid w:val="00D91A22"/>
    <w:rsid w:val="00D93D55"/>
    <w:rsid w:val="00D95060"/>
    <w:rsid w:val="00DA4D3B"/>
    <w:rsid w:val="00DA4FCA"/>
    <w:rsid w:val="00DA57EE"/>
    <w:rsid w:val="00DA6BD2"/>
    <w:rsid w:val="00DA7CC0"/>
    <w:rsid w:val="00DB38C9"/>
    <w:rsid w:val="00DB41EA"/>
    <w:rsid w:val="00DB5303"/>
    <w:rsid w:val="00DB7517"/>
    <w:rsid w:val="00DC20C0"/>
    <w:rsid w:val="00DC290D"/>
    <w:rsid w:val="00DC3A44"/>
    <w:rsid w:val="00DC6DAA"/>
    <w:rsid w:val="00DD036C"/>
    <w:rsid w:val="00DD0998"/>
    <w:rsid w:val="00DD2ED5"/>
    <w:rsid w:val="00DD4F47"/>
    <w:rsid w:val="00DE0CE2"/>
    <w:rsid w:val="00DE71FD"/>
    <w:rsid w:val="00DF1B2A"/>
    <w:rsid w:val="00DF2099"/>
    <w:rsid w:val="00E03F81"/>
    <w:rsid w:val="00E2304C"/>
    <w:rsid w:val="00E258ED"/>
    <w:rsid w:val="00E25AA3"/>
    <w:rsid w:val="00E25FA0"/>
    <w:rsid w:val="00E335FE"/>
    <w:rsid w:val="00E33828"/>
    <w:rsid w:val="00E4183E"/>
    <w:rsid w:val="00E44F18"/>
    <w:rsid w:val="00E45143"/>
    <w:rsid w:val="00E63A34"/>
    <w:rsid w:val="00E63FDD"/>
    <w:rsid w:val="00E674EC"/>
    <w:rsid w:val="00E7205C"/>
    <w:rsid w:val="00E72256"/>
    <w:rsid w:val="00E725DE"/>
    <w:rsid w:val="00E745F6"/>
    <w:rsid w:val="00E81060"/>
    <w:rsid w:val="00E81E47"/>
    <w:rsid w:val="00E84EE8"/>
    <w:rsid w:val="00E85465"/>
    <w:rsid w:val="00E8619E"/>
    <w:rsid w:val="00E91280"/>
    <w:rsid w:val="00E95950"/>
    <w:rsid w:val="00E97259"/>
    <w:rsid w:val="00EA4EAE"/>
    <w:rsid w:val="00EA6CDF"/>
    <w:rsid w:val="00EB2D49"/>
    <w:rsid w:val="00EB5372"/>
    <w:rsid w:val="00EC0402"/>
    <w:rsid w:val="00EC1F49"/>
    <w:rsid w:val="00EC4E49"/>
    <w:rsid w:val="00ED77FB"/>
    <w:rsid w:val="00ED7CB8"/>
    <w:rsid w:val="00EE2D9F"/>
    <w:rsid w:val="00EE45FA"/>
    <w:rsid w:val="00EE7C29"/>
    <w:rsid w:val="00EF0499"/>
    <w:rsid w:val="00EF3CF4"/>
    <w:rsid w:val="00EF3EBB"/>
    <w:rsid w:val="00F01B2A"/>
    <w:rsid w:val="00F0209A"/>
    <w:rsid w:val="00F042F3"/>
    <w:rsid w:val="00F14300"/>
    <w:rsid w:val="00F179A4"/>
    <w:rsid w:val="00F246D3"/>
    <w:rsid w:val="00F316D0"/>
    <w:rsid w:val="00F320D5"/>
    <w:rsid w:val="00F33CBA"/>
    <w:rsid w:val="00F45661"/>
    <w:rsid w:val="00F501E8"/>
    <w:rsid w:val="00F565FE"/>
    <w:rsid w:val="00F627F3"/>
    <w:rsid w:val="00F66152"/>
    <w:rsid w:val="00F7158D"/>
    <w:rsid w:val="00F72BC4"/>
    <w:rsid w:val="00F76B22"/>
    <w:rsid w:val="00F92C6A"/>
    <w:rsid w:val="00FA1EE4"/>
    <w:rsid w:val="00FA6A36"/>
    <w:rsid w:val="00FB5590"/>
    <w:rsid w:val="00FC0C41"/>
    <w:rsid w:val="00FC4D21"/>
    <w:rsid w:val="00FD084A"/>
    <w:rsid w:val="00FD787B"/>
    <w:rsid w:val="00FE310A"/>
    <w:rsid w:val="00FF0DA2"/>
    <w:rsid w:val="00FF12A8"/>
    <w:rsid w:val="00FF66A0"/>
    <w:rsid w:val="00FF7E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8"/>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9"/>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 w:type="paragraph" w:customStyle="1" w:styleId="CharCharCharChar">
    <w:name w:val="Char Char Char Char"/>
    <w:basedOn w:val="Normal"/>
    <w:rsid w:val="00020B9C"/>
    <w:pPr>
      <w:spacing w:after="160" w:line="240" w:lineRule="exact"/>
    </w:pPr>
    <w:rPr>
      <w:rFonts w:ascii="Verdana" w:eastAsia="Times New Roman" w:hAnsi="Verdana" w:cs="Times New Roman"/>
      <w:sz w:val="20"/>
      <w:lang w:val="en-GB" w:eastAsia="en-US"/>
    </w:rPr>
  </w:style>
  <w:style w:type="character" w:styleId="Hyperlink">
    <w:name w:val="Hyperlink"/>
    <w:rsid w:val="00020B9C"/>
    <w:rPr>
      <w:color w:val="003399"/>
      <w:u w:val="single"/>
    </w:rPr>
  </w:style>
  <w:style w:type="paragraph" w:styleId="Quote">
    <w:name w:val="Quote"/>
    <w:basedOn w:val="Normal"/>
    <w:next w:val="Normal"/>
    <w:link w:val="QuoteChar"/>
    <w:uiPriority w:val="29"/>
    <w:qFormat/>
    <w:rsid w:val="00EE2D9F"/>
    <w:pPr>
      <w:spacing w:before="200" w:after="200" w:line="276" w:lineRule="auto"/>
      <w:jc w:val="both"/>
    </w:pPr>
    <w:rPr>
      <w:rFonts w:asciiTheme="minorHAnsi" w:eastAsiaTheme="minorEastAsia" w:hAnsiTheme="minorHAnsi" w:cstheme="minorBidi"/>
      <w:i/>
      <w:iCs/>
      <w:color w:val="365F91" w:themeColor="accent1" w:themeShade="BF"/>
      <w:lang w:eastAsia="en-US"/>
    </w:rPr>
  </w:style>
  <w:style w:type="character" w:customStyle="1" w:styleId="QuoteChar">
    <w:name w:val="Quote Char"/>
    <w:basedOn w:val="DefaultParagraphFont"/>
    <w:link w:val="Quote"/>
    <w:uiPriority w:val="29"/>
    <w:rsid w:val="00EE2D9F"/>
    <w:rPr>
      <w:rFonts w:asciiTheme="minorHAnsi" w:eastAsiaTheme="minorEastAsia" w:hAnsiTheme="minorHAnsi" w:cstheme="minorBidi"/>
      <w:i/>
      <w:iCs/>
      <w:color w:val="365F91" w:themeColor="accent1" w:themeShade="BF"/>
      <w:sz w:val="22"/>
    </w:rPr>
  </w:style>
  <w:style w:type="paragraph" w:customStyle="1" w:styleId="CharCharCharChar0">
    <w:name w:val="Char Char Char Char"/>
    <w:basedOn w:val="Normal"/>
    <w:rsid w:val="00D90E06"/>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8"/>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9"/>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 w:type="paragraph" w:customStyle="1" w:styleId="CharCharCharChar">
    <w:name w:val="Char Char Char Char"/>
    <w:basedOn w:val="Normal"/>
    <w:rsid w:val="00020B9C"/>
    <w:pPr>
      <w:spacing w:after="160" w:line="240" w:lineRule="exact"/>
    </w:pPr>
    <w:rPr>
      <w:rFonts w:ascii="Verdana" w:eastAsia="Times New Roman" w:hAnsi="Verdana" w:cs="Times New Roman"/>
      <w:sz w:val="20"/>
      <w:lang w:val="en-GB" w:eastAsia="en-US"/>
    </w:rPr>
  </w:style>
  <w:style w:type="character" w:styleId="Hyperlink">
    <w:name w:val="Hyperlink"/>
    <w:rsid w:val="00020B9C"/>
    <w:rPr>
      <w:color w:val="003399"/>
      <w:u w:val="single"/>
    </w:rPr>
  </w:style>
  <w:style w:type="paragraph" w:styleId="Quote">
    <w:name w:val="Quote"/>
    <w:basedOn w:val="Normal"/>
    <w:next w:val="Normal"/>
    <w:link w:val="QuoteChar"/>
    <w:uiPriority w:val="29"/>
    <w:qFormat/>
    <w:rsid w:val="00EE2D9F"/>
    <w:pPr>
      <w:spacing w:before="200" w:after="200" w:line="276" w:lineRule="auto"/>
      <w:jc w:val="both"/>
    </w:pPr>
    <w:rPr>
      <w:rFonts w:asciiTheme="minorHAnsi" w:eastAsiaTheme="minorEastAsia" w:hAnsiTheme="minorHAnsi" w:cstheme="minorBidi"/>
      <w:i/>
      <w:iCs/>
      <w:color w:val="365F91" w:themeColor="accent1" w:themeShade="BF"/>
      <w:lang w:eastAsia="en-US"/>
    </w:rPr>
  </w:style>
  <w:style w:type="character" w:customStyle="1" w:styleId="QuoteChar">
    <w:name w:val="Quote Char"/>
    <w:basedOn w:val="DefaultParagraphFont"/>
    <w:link w:val="Quote"/>
    <w:uiPriority w:val="29"/>
    <w:rsid w:val="00EE2D9F"/>
    <w:rPr>
      <w:rFonts w:asciiTheme="minorHAnsi" w:eastAsiaTheme="minorEastAsia" w:hAnsiTheme="minorHAnsi" w:cstheme="minorBidi"/>
      <w:i/>
      <w:iCs/>
      <w:color w:val="365F91" w:themeColor="accent1" w:themeShade="BF"/>
      <w:sz w:val="22"/>
    </w:rPr>
  </w:style>
  <w:style w:type="paragraph" w:customStyle="1" w:styleId="CharCharCharChar0">
    <w:name w:val="Char Char Char Char"/>
    <w:basedOn w:val="Normal"/>
    <w:rsid w:val="00D90E06"/>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11483">
      <w:bodyDiv w:val="1"/>
      <w:marLeft w:val="0"/>
      <w:marRight w:val="0"/>
      <w:marTop w:val="0"/>
      <w:marBottom w:val="0"/>
      <w:divBdr>
        <w:top w:val="none" w:sz="0" w:space="0" w:color="auto"/>
        <w:left w:val="none" w:sz="0" w:space="0" w:color="auto"/>
        <w:bottom w:val="none" w:sz="0" w:space="0" w:color="auto"/>
        <w:right w:val="none" w:sz="0" w:space="0" w:color="auto"/>
      </w:divBdr>
    </w:div>
    <w:div w:id="1721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C7A19-99B0-4655-B421-F553AC32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5439</Words>
  <Characters>648</Characters>
  <Application>Microsoft Office Word</Application>
  <DocSecurity>4</DocSecurity>
  <Lines>5</Lines>
  <Paragraphs>12</Paragraphs>
  <ScaleCrop>false</ScaleCrop>
  <HeadingPairs>
    <vt:vector size="2" baseType="variant">
      <vt:variant>
        <vt:lpstr>Title</vt:lpstr>
      </vt:variant>
      <vt:variant>
        <vt:i4>1</vt:i4>
      </vt:variant>
    </vt:vector>
  </HeadingPairs>
  <TitlesOfParts>
    <vt:vector size="1" baseType="lpstr">
      <vt:lpstr>WO/PBC/22/28</vt:lpstr>
    </vt:vector>
  </TitlesOfParts>
  <Company>WIPO</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WO/PBC/22/28</dc:title>
  <dc:subject>审查WIPO的财务情况及其与储备金有关的政策</dc:subject>
  <dc:creator>DOYON Geneviève</dc:creator>
  <cp:lastModifiedBy>DOYON Geneviève</cp:lastModifiedBy>
  <cp:revision>2</cp:revision>
  <cp:lastPrinted>2014-08-11T07:45:00Z</cp:lastPrinted>
  <dcterms:created xsi:type="dcterms:W3CDTF">2014-08-11T09:12:00Z</dcterms:created>
  <dcterms:modified xsi:type="dcterms:W3CDTF">2014-08-11T09:12:00Z</dcterms:modified>
</cp:coreProperties>
</file>