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D24F6" w:rsidRPr="00FD24F6" w:rsidTr="0085536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FD24F6" w:rsidRPr="00FD24F6" w:rsidRDefault="00FD24F6" w:rsidP="00FD24F6">
            <w:pPr>
              <w:widowControl w:val="0"/>
              <w:jc w:val="both"/>
              <w:rPr>
                <w:rFonts w:ascii="Calibri" w:hAnsi="Calibri" w:cs="Times New Roman"/>
                <w:kern w:val="2"/>
                <w:sz w:val="21"/>
                <w:szCs w:val="22"/>
              </w:rPr>
            </w:pPr>
            <w:bookmarkStart w:id="0" w:name="TitleOfDoc"/>
            <w:bookmarkEnd w:id="0"/>
            <w:r w:rsidRPr="00FD24F6">
              <w:rPr>
                <w:rFonts w:ascii="Calibri" w:hAnsi="Calibri" w:cs="Times New Roman"/>
                <w:noProof/>
                <w:kern w:val="2"/>
                <w:sz w:val="21"/>
                <w:szCs w:val="22"/>
              </w:rPr>
              <w:drawing>
                <wp:anchor distT="0" distB="0" distL="114300" distR="114300" simplePos="0" relativeHeight="251659264" behindDoc="1" locked="0" layoutInCell="0" allowOverlap="1" wp14:anchorId="562F40A8" wp14:editId="6DD05F98">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FD24F6" w:rsidRPr="00FD24F6" w:rsidRDefault="00FD24F6" w:rsidP="00FD24F6">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FD24F6" w:rsidRPr="00FD24F6" w:rsidRDefault="00FD24F6" w:rsidP="00FD24F6">
            <w:pPr>
              <w:widowControl w:val="0"/>
              <w:jc w:val="right"/>
              <w:rPr>
                <w:kern w:val="2"/>
                <w:sz w:val="21"/>
                <w:szCs w:val="22"/>
              </w:rPr>
            </w:pPr>
            <w:r w:rsidRPr="00FD24F6">
              <w:rPr>
                <w:b/>
                <w:kern w:val="2"/>
                <w:sz w:val="40"/>
                <w:szCs w:val="40"/>
              </w:rPr>
              <w:t>C</w:t>
            </w:r>
          </w:p>
        </w:tc>
      </w:tr>
      <w:tr w:rsidR="00FD24F6" w:rsidRPr="00FD24F6" w:rsidTr="0085536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FD24F6" w:rsidRPr="00FD24F6" w:rsidRDefault="00FD24F6" w:rsidP="00FD24F6">
            <w:pPr>
              <w:widowControl w:val="0"/>
              <w:wordWrap w:val="0"/>
              <w:jc w:val="right"/>
              <w:rPr>
                <w:rFonts w:ascii="Arial Black" w:eastAsia="SimHei" w:hAnsi="Arial Black" w:cs="Times New Roman"/>
                <w:caps/>
                <w:kern w:val="2"/>
                <w:sz w:val="15"/>
                <w:szCs w:val="22"/>
              </w:rPr>
            </w:pPr>
            <w:r w:rsidRPr="00FD24F6">
              <w:rPr>
                <w:rFonts w:ascii="Arial Black" w:eastAsia="SimHei" w:hAnsi="Arial Black" w:cs="Times New Roman"/>
                <w:caps/>
                <w:kern w:val="2"/>
                <w:sz w:val="15"/>
                <w:szCs w:val="22"/>
              </w:rPr>
              <w:t>WO/PBC/</w:t>
            </w:r>
            <w:r w:rsidRPr="00FD24F6">
              <w:rPr>
                <w:rFonts w:ascii="Arial Black" w:eastAsia="SimHei" w:hAnsi="Arial Black" w:cs="Times New Roman" w:hint="eastAsia"/>
                <w:caps/>
                <w:kern w:val="2"/>
                <w:sz w:val="15"/>
                <w:szCs w:val="22"/>
              </w:rPr>
              <w:t>22</w:t>
            </w:r>
            <w:r w:rsidRPr="00FD24F6">
              <w:rPr>
                <w:rFonts w:ascii="Arial Black" w:eastAsia="SimHei" w:hAnsi="Arial Black" w:cs="Times New Roman"/>
                <w:caps/>
                <w:kern w:val="2"/>
                <w:sz w:val="15"/>
                <w:szCs w:val="22"/>
              </w:rPr>
              <w:t>/</w:t>
            </w:r>
            <w:r w:rsidRPr="00FD24F6">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7</w:t>
            </w:r>
          </w:p>
        </w:tc>
      </w:tr>
      <w:tr w:rsidR="00FD24F6" w:rsidRPr="00FD24F6" w:rsidTr="00855366">
        <w:trPr>
          <w:trHeight w:hRule="exact" w:val="170"/>
        </w:trPr>
        <w:tc>
          <w:tcPr>
            <w:tcW w:w="9356" w:type="dxa"/>
            <w:gridSpan w:val="3"/>
            <w:noWrap/>
            <w:tcMar>
              <w:top w:w="0" w:type="dxa"/>
              <w:left w:w="0" w:type="dxa"/>
              <w:bottom w:w="0" w:type="dxa"/>
              <w:right w:w="0" w:type="dxa"/>
            </w:tcMar>
            <w:vAlign w:val="bottom"/>
            <w:hideMark/>
          </w:tcPr>
          <w:p w:rsidR="00FD24F6" w:rsidRPr="00FD24F6" w:rsidRDefault="00FD24F6" w:rsidP="00FD24F6">
            <w:pPr>
              <w:widowControl w:val="0"/>
              <w:jc w:val="right"/>
              <w:rPr>
                <w:rFonts w:ascii="Arial Black" w:eastAsia="SimHei" w:hAnsi="Arial Black" w:cs="Times New Roman"/>
                <w:b/>
                <w:caps/>
                <w:kern w:val="2"/>
                <w:sz w:val="15"/>
                <w:szCs w:val="15"/>
              </w:rPr>
            </w:pPr>
            <w:r w:rsidRPr="00FD24F6">
              <w:rPr>
                <w:rFonts w:ascii="Arial Black" w:eastAsia="SimHei" w:hAnsi="Arial Black" w:cs="Times New Roman" w:hint="eastAsia"/>
                <w:b/>
                <w:kern w:val="2"/>
                <w:sz w:val="15"/>
                <w:szCs w:val="15"/>
              </w:rPr>
              <w:t>原</w:t>
            </w:r>
            <w:r w:rsidRPr="00FD24F6">
              <w:rPr>
                <w:rFonts w:ascii="Arial Black" w:eastAsia="SimHei" w:hAnsi="Arial Black" w:cs="Times New Roman" w:hint="eastAsia"/>
                <w:b/>
                <w:kern w:val="2"/>
                <w:sz w:val="15"/>
                <w:szCs w:val="15"/>
                <w:lang w:val="pt-BR"/>
              </w:rPr>
              <w:t xml:space="preserve">　</w:t>
            </w:r>
            <w:r w:rsidRPr="00FD24F6">
              <w:rPr>
                <w:rFonts w:ascii="Arial Black" w:eastAsia="SimHei" w:hAnsi="Arial Black" w:cs="Times New Roman" w:hint="eastAsia"/>
                <w:b/>
                <w:kern w:val="2"/>
                <w:sz w:val="15"/>
                <w:szCs w:val="15"/>
              </w:rPr>
              <w:t>文</w:t>
            </w:r>
            <w:r w:rsidRPr="00FD24F6">
              <w:rPr>
                <w:rFonts w:ascii="Arial Black" w:eastAsia="SimHei" w:hAnsi="Arial Black" w:cs="Times New Roman" w:hint="eastAsia"/>
                <w:b/>
                <w:kern w:val="2"/>
                <w:sz w:val="15"/>
                <w:szCs w:val="15"/>
                <w:lang w:val="pt-BR"/>
              </w:rPr>
              <w:t>：</w:t>
            </w:r>
            <w:r w:rsidRPr="00FD24F6">
              <w:rPr>
                <w:rFonts w:ascii="Arial Black" w:eastAsia="SimHei" w:hAnsi="Arial Black" w:cs="Times New Roman" w:hint="eastAsia"/>
                <w:b/>
                <w:kern w:val="2"/>
                <w:sz w:val="15"/>
                <w:szCs w:val="15"/>
              </w:rPr>
              <w:t>英文</w:t>
            </w:r>
          </w:p>
        </w:tc>
      </w:tr>
      <w:tr w:rsidR="00FD24F6" w:rsidRPr="00FD24F6" w:rsidTr="00855366">
        <w:trPr>
          <w:trHeight w:hRule="exact" w:val="198"/>
        </w:trPr>
        <w:tc>
          <w:tcPr>
            <w:tcW w:w="9356" w:type="dxa"/>
            <w:gridSpan w:val="3"/>
            <w:tcMar>
              <w:top w:w="0" w:type="dxa"/>
              <w:left w:w="0" w:type="dxa"/>
              <w:bottom w:w="0" w:type="dxa"/>
              <w:right w:w="0" w:type="dxa"/>
            </w:tcMar>
            <w:vAlign w:val="bottom"/>
            <w:hideMark/>
          </w:tcPr>
          <w:p w:rsidR="00FD24F6" w:rsidRPr="00FD24F6" w:rsidRDefault="00FD24F6" w:rsidP="00FD24F6">
            <w:pPr>
              <w:widowControl w:val="0"/>
              <w:jc w:val="right"/>
              <w:rPr>
                <w:rFonts w:ascii="Arial Black" w:eastAsia="SimHei" w:hAnsi="Arial Black" w:cs="Times New Roman"/>
                <w:kern w:val="2"/>
                <w:sz w:val="15"/>
                <w:szCs w:val="15"/>
                <w:lang w:val="pt-BR"/>
              </w:rPr>
            </w:pPr>
            <w:r w:rsidRPr="00FD24F6">
              <w:rPr>
                <w:rFonts w:ascii="Arial Black" w:eastAsia="SimHei" w:hAnsi="Arial Black" w:cs="Times New Roman" w:hint="eastAsia"/>
                <w:b/>
                <w:kern w:val="2"/>
                <w:sz w:val="15"/>
                <w:szCs w:val="15"/>
                <w:lang w:val="pt-BR"/>
              </w:rPr>
              <w:t>日　期：</w:t>
            </w:r>
            <w:r w:rsidRPr="00FD24F6">
              <w:rPr>
                <w:rFonts w:ascii="Arial Black" w:eastAsia="SimHei" w:hAnsi="Arial Black" w:cs="Times New Roman"/>
                <w:kern w:val="2"/>
                <w:sz w:val="15"/>
                <w:szCs w:val="15"/>
                <w:lang w:val="pt-BR"/>
              </w:rPr>
              <w:t>201</w:t>
            </w:r>
            <w:r w:rsidRPr="00FD24F6">
              <w:rPr>
                <w:rFonts w:ascii="Arial Black" w:eastAsia="SimHei" w:hAnsi="Arial Black" w:cs="Times New Roman" w:hint="eastAsia"/>
                <w:kern w:val="2"/>
                <w:sz w:val="15"/>
                <w:szCs w:val="15"/>
                <w:lang w:val="pt-BR"/>
              </w:rPr>
              <w:t>4</w:t>
            </w:r>
            <w:r w:rsidRPr="00FD24F6">
              <w:rPr>
                <w:rFonts w:ascii="Arial Black" w:eastAsia="SimHei" w:hAnsi="Arial Black" w:cs="Times New Roman" w:hint="eastAsia"/>
                <w:b/>
                <w:kern w:val="2"/>
                <w:sz w:val="15"/>
                <w:szCs w:val="15"/>
                <w:lang w:val="pt-BR"/>
              </w:rPr>
              <w:t>年</w:t>
            </w:r>
            <w:r w:rsidRPr="00FD24F6">
              <w:rPr>
                <w:rFonts w:ascii="Arial Black" w:eastAsia="SimHei" w:hAnsi="Arial Black" w:cs="Times New Roman" w:hint="eastAsia"/>
                <w:kern w:val="2"/>
                <w:sz w:val="15"/>
                <w:szCs w:val="15"/>
                <w:lang w:val="pt-BR"/>
              </w:rPr>
              <w:t>6</w:t>
            </w:r>
            <w:r w:rsidRPr="00FD24F6">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23</w:t>
            </w:r>
            <w:r w:rsidRPr="00FD24F6">
              <w:rPr>
                <w:rFonts w:ascii="Arial Black" w:eastAsia="SimHei" w:hAnsi="Arial Black" w:cs="Times New Roman" w:hint="eastAsia"/>
                <w:b/>
                <w:kern w:val="2"/>
                <w:sz w:val="15"/>
                <w:szCs w:val="15"/>
                <w:lang w:val="pt-BR"/>
              </w:rPr>
              <w:t>日</w:t>
            </w:r>
          </w:p>
        </w:tc>
      </w:tr>
    </w:tbl>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SimHei" w:eastAsia="SimHei" w:hAnsi="Calibri" w:cs="Times New Roman"/>
          <w:kern w:val="2"/>
          <w:sz w:val="28"/>
          <w:szCs w:val="28"/>
        </w:rPr>
      </w:pPr>
      <w:r w:rsidRPr="00FD24F6">
        <w:rPr>
          <w:rFonts w:ascii="SimHei" w:eastAsia="SimHei" w:hAnsi="Calibri" w:cs="Times New Roman" w:hint="eastAsia"/>
          <w:kern w:val="2"/>
          <w:sz w:val="28"/>
          <w:szCs w:val="28"/>
        </w:rPr>
        <w:t>计划和预算委员会</w:t>
      </w: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autoSpaceDE w:val="0"/>
        <w:autoSpaceDN w:val="0"/>
        <w:spacing w:line="380" w:lineRule="atLeast"/>
        <w:jc w:val="both"/>
        <w:textAlignment w:val="bottom"/>
        <w:rPr>
          <w:rFonts w:ascii="KaiTi" w:eastAsia="KaiTi" w:hAnsi="Calibri" w:cs="Times New Roman"/>
          <w:b/>
          <w:kern w:val="2"/>
          <w:sz w:val="24"/>
          <w:szCs w:val="24"/>
        </w:rPr>
      </w:pPr>
      <w:r w:rsidRPr="00FD24F6">
        <w:rPr>
          <w:rFonts w:ascii="KaiTi" w:eastAsia="KaiTi" w:hAnsi="Calibri" w:cs="Times New Roman" w:hint="eastAsia"/>
          <w:b/>
          <w:kern w:val="2"/>
          <w:sz w:val="24"/>
          <w:szCs w:val="24"/>
        </w:rPr>
        <w:t>第二十二届会议</w:t>
      </w:r>
    </w:p>
    <w:p w:rsidR="00FD24F6" w:rsidRPr="00FD24F6" w:rsidRDefault="00FD24F6" w:rsidP="00FD24F6">
      <w:pPr>
        <w:widowControl w:val="0"/>
        <w:spacing w:line="336" w:lineRule="exact"/>
        <w:jc w:val="both"/>
        <w:rPr>
          <w:rFonts w:ascii="KaiTi" w:eastAsia="KaiTi" w:hAnsi="KaiTi" w:cs="Times New Roman"/>
          <w:b/>
          <w:kern w:val="2"/>
          <w:sz w:val="24"/>
          <w:szCs w:val="24"/>
        </w:rPr>
      </w:pPr>
      <w:r w:rsidRPr="00FD24F6">
        <w:rPr>
          <w:rFonts w:ascii="KaiTi" w:eastAsia="KaiTi" w:hAnsi="KaiTi" w:cs="Times New Roman"/>
          <w:kern w:val="2"/>
          <w:sz w:val="24"/>
          <w:szCs w:val="24"/>
        </w:rPr>
        <w:t>201</w:t>
      </w:r>
      <w:r w:rsidRPr="00FD24F6">
        <w:rPr>
          <w:rFonts w:ascii="KaiTi" w:eastAsia="KaiTi" w:hAnsi="KaiTi" w:cs="Times New Roman" w:hint="eastAsia"/>
          <w:kern w:val="2"/>
          <w:sz w:val="24"/>
          <w:szCs w:val="24"/>
        </w:rPr>
        <w:t>4</w:t>
      </w:r>
      <w:r w:rsidRPr="00FD24F6">
        <w:rPr>
          <w:rFonts w:ascii="KaiTi" w:eastAsia="KaiTi" w:hAnsi="KaiTi" w:hint="eastAsia"/>
          <w:b/>
          <w:kern w:val="2"/>
          <w:sz w:val="24"/>
          <w:szCs w:val="24"/>
        </w:rPr>
        <w:t>年</w:t>
      </w:r>
      <w:r w:rsidRPr="00FD24F6">
        <w:rPr>
          <w:rFonts w:ascii="KaiTi" w:eastAsia="KaiTi" w:hAnsi="KaiTi" w:cs="Times New Roman" w:hint="eastAsia"/>
          <w:kern w:val="2"/>
          <w:sz w:val="24"/>
          <w:szCs w:val="24"/>
        </w:rPr>
        <w:t>9</w:t>
      </w:r>
      <w:r w:rsidRPr="00FD24F6">
        <w:rPr>
          <w:rFonts w:ascii="KaiTi" w:eastAsia="KaiTi" w:hAnsi="KaiTi" w:hint="eastAsia"/>
          <w:b/>
          <w:kern w:val="2"/>
          <w:sz w:val="24"/>
          <w:szCs w:val="24"/>
        </w:rPr>
        <w:t>月</w:t>
      </w:r>
      <w:r w:rsidRPr="00FD24F6">
        <w:rPr>
          <w:rFonts w:ascii="KaiTi" w:eastAsia="KaiTi" w:hAnsi="KaiTi" w:hint="eastAsia"/>
          <w:kern w:val="2"/>
          <w:sz w:val="24"/>
          <w:szCs w:val="24"/>
        </w:rPr>
        <w:t>1</w:t>
      </w:r>
      <w:r w:rsidRPr="00FD24F6">
        <w:rPr>
          <w:rFonts w:ascii="KaiTi" w:eastAsia="KaiTi" w:hAnsi="KaiTi" w:hint="eastAsia"/>
          <w:b/>
          <w:kern w:val="2"/>
          <w:sz w:val="24"/>
          <w:szCs w:val="24"/>
        </w:rPr>
        <w:t>日至</w:t>
      </w:r>
      <w:r w:rsidRPr="00FD24F6">
        <w:rPr>
          <w:rFonts w:ascii="KaiTi" w:eastAsia="KaiTi" w:hAnsi="KaiTi" w:cs="Times New Roman" w:hint="eastAsia"/>
          <w:kern w:val="2"/>
          <w:sz w:val="24"/>
          <w:szCs w:val="24"/>
        </w:rPr>
        <w:t>5</w:t>
      </w:r>
      <w:r w:rsidRPr="00FD24F6">
        <w:rPr>
          <w:rFonts w:ascii="KaiTi" w:eastAsia="KaiTi" w:hAnsi="KaiTi" w:hint="eastAsia"/>
          <w:b/>
          <w:kern w:val="2"/>
          <w:sz w:val="24"/>
          <w:szCs w:val="24"/>
        </w:rPr>
        <w:t>日，日内瓦</w:t>
      </w: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KaiTi" w:eastAsia="KaiTi" w:hAnsi="KaiTi"/>
          <w:caps/>
          <w:kern w:val="2"/>
          <w:sz w:val="24"/>
          <w:szCs w:val="24"/>
        </w:rPr>
      </w:pPr>
      <w:r w:rsidRPr="00FD24F6">
        <w:rPr>
          <w:rFonts w:ascii="KaiTi" w:eastAsia="KaiTi" w:hAnsi="KaiTi" w:hint="eastAsia"/>
          <w:caps/>
          <w:kern w:val="2"/>
          <w:sz w:val="24"/>
          <w:szCs w:val="24"/>
        </w:rPr>
        <w:t>风险偏好陈述书</w:t>
      </w:r>
    </w:p>
    <w:p w:rsidR="00FD24F6" w:rsidRPr="00FD24F6" w:rsidRDefault="00FD24F6" w:rsidP="00FD24F6">
      <w:pPr>
        <w:widowControl w:val="0"/>
        <w:jc w:val="both"/>
        <w:rPr>
          <w:rFonts w:ascii="Calibri" w:hAnsi="Calibri" w:cs="Times New Roman"/>
          <w:kern w:val="2"/>
          <w:szCs w:val="22"/>
        </w:rPr>
      </w:pPr>
    </w:p>
    <w:p w:rsidR="00FD24F6" w:rsidRPr="00FD24F6" w:rsidRDefault="00FD24F6" w:rsidP="00FD24F6">
      <w:pPr>
        <w:widowControl w:val="0"/>
        <w:jc w:val="both"/>
        <w:rPr>
          <w:rFonts w:ascii="KaiTi" w:eastAsia="KaiTi" w:hAnsi="KaiTi"/>
          <w:i/>
          <w:kern w:val="2"/>
          <w:sz w:val="21"/>
          <w:szCs w:val="21"/>
        </w:rPr>
      </w:pPr>
      <w:r w:rsidRPr="00FD24F6">
        <w:rPr>
          <w:rFonts w:ascii="KaiTi" w:eastAsia="KaiTi" w:hAnsi="KaiTi" w:hint="eastAsia"/>
          <w:i/>
          <w:kern w:val="2"/>
          <w:sz w:val="21"/>
          <w:szCs w:val="21"/>
        </w:rPr>
        <w:t>秘书处编拟</w:t>
      </w:r>
      <w:r>
        <w:rPr>
          <w:rFonts w:ascii="KaiTi" w:eastAsia="KaiTi" w:hAnsi="KaiTi" w:hint="eastAsia"/>
          <w:i/>
          <w:kern w:val="2"/>
          <w:sz w:val="21"/>
          <w:szCs w:val="21"/>
        </w:rPr>
        <w:t>的文件</w:t>
      </w:r>
    </w:p>
    <w:p w:rsidR="00FD24F6" w:rsidRPr="00FD24F6" w:rsidRDefault="00FD24F6" w:rsidP="00FD24F6">
      <w:pPr>
        <w:widowControl w:val="0"/>
        <w:rPr>
          <w:kern w:val="2"/>
          <w:szCs w:val="22"/>
        </w:rPr>
      </w:pPr>
    </w:p>
    <w:p w:rsidR="00FD24F6" w:rsidRPr="00FD24F6" w:rsidRDefault="00FD24F6" w:rsidP="00FD24F6">
      <w:pPr>
        <w:widowControl w:val="0"/>
        <w:rPr>
          <w:kern w:val="2"/>
          <w:szCs w:val="22"/>
        </w:rPr>
      </w:pPr>
    </w:p>
    <w:p w:rsidR="00FD24F6" w:rsidRPr="00FD24F6" w:rsidRDefault="00FD24F6" w:rsidP="00FD24F6">
      <w:pPr>
        <w:widowControl w:val="0"/>
        <w:rPr>
          <w:kern w:val="2"/>
          <w:szCs w:val="22"/>
        </w:rPr>
      </w:pPr>
    </w:p>
    <w:p w:rsidR="00FD24F6" w:rsidRPr="00FD24F6" w:rsidRDefault="00FD24F6" w:rsidP="00FD24F6">
      <w:pPr>
        <w:widowControl w:val="0"/>
        <w:rPr>
          <w:kern w:val="2"/>
          <w:szCs w:val="22"/>
        </w:rPr>
      </w:pPr>
    </w:p>
    <w:p w:rsidR="0008267F" w:rsidRPr="00FD24F6" w:rsidRDefault="003B5396"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导</w:t>
      </w:r>
      <w:r w:rsidR="00FD24F6" w:rsidRPr="00FD24F6">
        <w:rPr>
          <w:rFonts w:ascii="SimHei" w:eastAsia="SimHei" w:hAnsi="SimHei" w:hint="eastAsia"/>
          <w:sz w:val="21"/>
        </w:rPr>
        <w:t xml:space="preserve">　</w:t>
      </w:r>
      <w:r w:rsidRPr="00FD24F6">
        <w:rPr>
          <w:rFonts w:ascii="SimHei" w:eastAsia="SimHei" w:hAnsi="SimHei" w:hint="eastAsia"/>
          <w:sz w:val="21"/>
        </w:rPr>
        <w:t>言</w:t>
      </w:r>
    </w:p>
    <w:p w:rsidR="00787710" w:rsidRPr="00FD24F6" w:rsidRDefault="00160B6C"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color w:val="222222"/>
          <w:sz w:val="21"/>
        </w:rPr>
        <w:t>本组织致力于不断加强其风险管理和内部控制系统</w:t>
      </w:r>
      <w:r w:rsidR="00A8242F" w:rsidRPr="00FD24F6">
        <w:rPr>
          <w:rFonts w:ascii="SimSun" w:hAnsi="SimSun" w:hint="eastAsia"/>
          <w:color w:val="222222"/>
          <w:sz w:val="21"/>
        </w:rPr>
        <w:t>。在此背景下，一些重要的里程碑已经实现，但还须为在2016/17两年期结束</w:t>
      </w:r>
      <w:r w:rsidR="00FD24F6">
        <w:rPr>
          <w:rFonts w:ascii="SimSun" w:hAnsi="SimSun" w:hint="eastAsia"/>
          <w:color w:val="222222"/>
          <w:sz w:val="21"/>
        </w:rPr>
        <w:t>前</w:t>
      </w:r>
      <w:r w:rsidR="00A8242F" w:rsidRPr="00FD24F6">
        <w:rPr>
          <w:rFonts w:ascii="SimSun" w:hAnsi="SimSun" w:hint="eastAsia"/>
          <w:color w:val="222222"/>
          <w:sz w:val="21"/>
        </w:rPr>
        <w:t>有效落实企业风险管理</w:t>
      </w:r>
      <w:r w:rsidR="00FD24F6">
        <w:rPr>
          <w:rFonts w:ascii="SimSun" w:hAnsi="SimSun" w:hint="eastAsia"/>
          <w:color w:val="222222"/>
          <w:sz w:val="21"/>
        </w:rPr>
        <w:t>(</w:t>
      </w:r>
      <w:r w:rsidR="00A8242F" w:rsidRPr="00FD24F6">
        <w:rPr>
          <w:rFonts w:ascii="SimSun" w:hAnsi="SimSun" w:hint="eastAsia"/>
          <w:color w:val="222222"/>
          <w:sz w:val="21"/>
        </w:rPr>
        <w:t>ERM</w:t>
      </w:r>
      <w:r w:rsidR="00FD24F6">
        <w:rPr>
          <w:rFonts w:ascii="SimSun" w:hAnsi="SimSun" w:hint="eastAsia"/>
          <w:color w:val="222222"/>
          <w:sz w:val="21"/>
        </w:rPr>
        <w:t>)</w:t>
      </w:r>
      <w:r w:rsidR="00A8242F" w:rsidRPr="00FD24F6">
        <w:rPr>
          <w:rFonts w:ascii="SimSun" w:hAnsi="SimSun" w:hint="eastAsia"/>
          <w:color w:val="222222"/>
          <w:sz w:val="21"/>
        </w:rPr>
        <w:t>继续工作。此项工作的重要组成部分是为本组织确立风险偏好。</w:t>
      </w:r>
      <w:r w:rsidR="00A8242F" w:rsidRPr="00FD24F6">
        <w:rPr>
          <w:rStyle w:val="hps"/>
          <w:rFonts w:ascii="SimSun" w:hAnsi="SimSun" w:hint="eastAsia"/>
          <w:color w:val="222222"/>
          <w:sz w:val="21"/>
        </w:rPr>
        <w:t>WIPO</w:t>
      </w:r>
      <w:r w:rsidR="00A8242F" w:rsidRPr="00FD24F6">
        <w:rPr>
          <w:rFonts w:ascii="SimSun" w:hAnsi="SimSun" w:hint="eastAsia"/>
          <w:color w:val="222222"/>
          <w:sz w:val="21"/>
        </w:rPr>
        <w:t>独立咨询监督委员会</w:t>
      </w:r>
      <w:r w:rsidR="00FD24F6">
        <w:rPr>
          <w:rFonts w:ascii="SimSun" w:hAnsi="SimSun" w:hint="eastAsia"/>
          <w:color w:val="222222"/>
          <w:sz w:val="21"/>
        </w:rPr>
        <w:t>(</w:t>
      </w:r>
      <w:r w:rsidR="00A8242F" w:rsidRPr="00FD24F6">
        <w:rPr>
          <w:rFonts w:ascii="SimSun" w:hAnsi="SimSun" w:hint="eastAsia"/>
          <w:color w:val="222222"/>
          <w:sz w:val="21"/>
        </w:rPr>
        <w:t>IAOC</w:t>
      </w:r>
      <w:r w:rsidR="00FD24F6">
        <w:rPr>
          <w:rFonts w:ascii="SimSun" w:hAnsi="SimSun" w:hint="eastAsia"/>
          <w:color w:val="222222"/>
          <w:sz w:val="21"/>
        </w:rPr>
        <w:t>)</w:t>
      </w:r>
      <w:r w:rsidR="00A8242F" w:rsidRPr="00FD24F6">
        <w:rPr>
          <w:rFonts w:ascii="SimSun" w:hAnsi="SimSun" w:hint="eastAsia"/>
          <w:color w:val="222222"/>
          <w:sz w:val="21"/>
        </w:rPr>
        <w:t>以及内部审计与监督司</w:t>
      </w:r>
      <w:r w:rsidR="00FD24F6">
        <w:rPr>
          <w:rFonts w:ascii="SimSun" w:hAnsi="SimSun" w:hint="eastAsia"/>
          <w:color w:val="222222"/>
          <w:sz w:val="21"/>
        </w:rPr>
        <w:t>(</w:t>
      </w:r>
      <w:r w:rsidR="00A8242F" w:rsidRPr="00FD24F6">
        <w:rPr>
          <w:rFonts w:ascii="SimSun" w:hAnsi="SimSun" w:hint="eastAsia"/>
          <w:color w:val="222222"/>
          <w:sz w:val="21"/>
        </w:rPr>
        <w:t>IAOD</w:t>
      </w:r>
      <w:r w:rsidR="00FD24F6">
        <w:rPr>
          <w:rFonts w:ascii="SimSun" w:hAnsi="SimSun" w:hint="eastAsia"/>
          <w:color w:val="222222"/>
          <w:sz w:val="21"/>
        </w:rPr>
        <w:t>)</w:t>
      </w:r>
      <w:r w:rsidR="00A8242F" w:rsidRPr="00FD24F6">
        <w:rPr>
          <w:rFonts w:ascii="SimSun" w:hAnsi="SimSun" w:hint="eastAsia"/>
          <w:color w:val="222222"/>
          <w:sz w:val="21"/>
        </w:rPr>
        <w:t>呼吁WIPO编拟风险偏好陈述书。</w:t>
      </w:r>
    </w:p>
    <w:p w:rsidR="00787710" w:rsidRPr="00FD24F6" w:rsidRDefault="00160B6C"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color w:val="222222"/>
          <w:sz w:val="21"/>
        </w:rPr>
        <w:t>要</w:t>
      </w:r>
      <w:r w:rsidR="00A8242F" w:rsidRPr="00FD24F6">
        <w:rPr>
          <w:rFonts w:ascii="SimSun" w:hAnsi="SimSun" w:hint="eastAsia"/>
          <w:color w:val="222222"/>
          <w:sz w:val="21"/>
        </w:rPr>
        <w:t>认识到，虽然</w:t>
      </w:r>
      <w:r w:rsidR="0074592E" w:rsidRPr="00FD24F6">
        <w:rPr>
          <w:rFonts w:ascii="SimSun" w:hAnsi="SimSun" w:hint="eastAsia"/>
          <w:color w:val="222222"/>
          <w:sz w:val="21"/>
        </w:rPr>
        <w:t>本</w:t>
      </w:r>
      <w:r w:rsidR="00A8242F" w:rsidRPr="00FD24F6">
        <w:rPr>
          <w:rFonts w:ascii="SimSun" w:hAnsi="SimSun" w:hint="eastAsia"/>
          <w:color w:val="222222"/>
          <w:sz w:val="21"/>
        </w:rPr>
        <w:t>组织致力于</w:t>
      </w:r>
      <w:r w:rsidRPr="00FD24F6">
        <w:rPr>
          <w:rFonts w:ascii="SimSun" w:hAnsi="SimSun" w:hint="eastAsia"/>
          <w:color w:val="222222"/>
          <w:sz w:val="21"/>
        </w:rPr>
        <w:t>最大限度地减少</w:t>
      </w:r>
      <w:r w:rsidR="0074592E" w:rsidRPr="00FD24F6">
        <w:rPr>
          <w:rFonts w:ascii="SimSun" w:hAnsi="SimSun" w:hint="eastAsia"/>
          <w:color w:val="222222"/>
          <w:sz w:val="21"/>
        </w:rPr>
        <w:t>在追求战略目标和预期成果时</w:t>
      </w:r>
      <w:r w:rsidR="00A8242F" w:rsidRPr="00FD24F6">
        <w:rPr>
          <w:rFonts w:ascii="SimSun" w:hAnsi="SimSun" w:hint="eastAsia"/>
          <w:color w:val="222222"/>
          <w:sz w:val="21"/>
        </w:rPr>
        <w:t>所遇到的风险的影响，</w:t>
      </w:r>
      <w:r w:rsidR="0074592E" w:rsidRPr="00FD24F6">
        <w:rPr>
          <w:rFonts w:ascii="SimSun" w:hAnsi="SimSun" w:hint="eastAsia"/>
          <w:color w:val="222222"/>
          <w:sz w:val="21"/>
        </w:rPr>
        <w:t>但亦有必要接受成员国和秘书处</w:t>
      </w:r>
      <w:r w:rsidR="00F64D2C" w:rsidRPr="00FD24F6">
        <w:rPr>
          <w:rFonts w:ascii="SimSun" w:hAnsi="SimSun" w:hint="eastAsia"/>
          <w:color w:val="222222"/>
          <w:sz w:val="21"/>
        </w:rPr>
        <w:t>因各司其</w:t>
      </w:r>
      <w:r w:rsidR="00601A88" w:rsidRPr="00FD24F6">
        <w:rPr>
          <w:rFonts w:ascii="SimSun" w:hAnsi="SimSun" w:hint="eastAsia"/>
          <w:color w:val="222222"/>
          <w:sz w:val="21"/>
        </w:rPr>
        <w:t>责</w:t>
      </w:r>
      <w:r w:rsidR="0074592E" w:rsidRPr="00FD24F6">
        <w:rPr>
          <w:rFonts w:ascii="SimSun" w:hAnsi="SimSun" w:hint="eastAsia"/>
          <w:color w:val="222222"/>
          <w:sz w:val="21"/>
        </w:rPr>
        <w:t>所产生的</w:t>
      </w:r>
      <w:r w:rsidR="00A8242F" w:rsidRPr="00FD24F6">
        <w:rPr>
          <w:rFonts w:ascii="SimSun" w:hAnsi="SimSun" w:hint="eastAsia"/>
          <w:color w:val="222222"/>
          <w:sz w:val="21"/>
        </w:rPr>
        <w:t>一定的风险。此阈值</w:t>
      </w:r>
      <w:r w:rsidR="0074592E" w:rsidRPr="00FD24F6">
        <w:rPr>
          <w:rFonts w:ascii="SimSun" w:hAnsi="SimSun" w:hint="eastAsia"/>
          <w:color w:val="222222"/>
          <w:sz w:val="21"/>
        </w:rPr>
        <w:t>界定本</w:t>
      </w:r>
      <w:r w:rsidR="00A8242F" w:rsidRPr="00FD24F6">
        <w:rPr>
          <w:rFonts w:ascii="SimSun" w:hAnsi="SimSun" w:hint="eastAsia"/>
          <w:color w:val="222222"/>
          <w:sz w:val="21"/>
        </w:rPr>
        <w:t>组织的风险偏好，</w:t>
      </w:r>
      <w:r w:rsidR="0074592E" w:rsidRPr="00FD24F6">
        <w:rPr>
          <w:rFonts w:ascii="SimSun" w:hAnsi="SimSun" w:hint="eastAsia"/>
          <w:color w:val="222222"/>
          <w:sz w:val="21"/>
        </w:rPr>
        <w:t>代表本组织积极管理其风险的</w:t>
      </w:r>
      <w:r w:rsidR="00A8242F" w:rsidRPr="00FD24F6">
        <w:rPr>
          <w:rFonts w:ascii="SimSun" w:hAnsi="SimSun" w:hint="eastAsia"/>
          <w:color w:val="222222"/>
          <w:sz w:val="21"/>
        </w:rPr>
        <w:t>基准。</w:t>
      </w:r>
    </w:p>
    <w:p w:rsidR="0008267F" w:rsidRPr="00FD24F6" w:rsidRDefault="0074592E"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风险偏好陈述</w:t>
      </w:r>
    </w:p>
    <w:p w:rsidR="003B60B1" w:rsidRPr="00FD24F6" w:rsidRDefault="00C2467B"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color w:val="222222"/>
          <w:sz w:val="21"/>
        </w:rPr>
        <w:t>WIPO</w:t>
      </w:r>
      <w:r w:rsidR="000927DD" w:rsidRPr="00FD24F6">
        <w:rPr>
          <w:rFonts w:ascii="SimSun" w:hAnsi="SimSun" w:hint="eastAsia"/>
          <w:color w:val="222222"/>
          <w:sz w:val="21"/>
        </w:rPr>
        <w:t>在联合国</w:t>
      </w:r>
      <w:r w:rsidR="00FD24F6">
        <w:rPr>
          <w:rFonts w:ascii="SimSun" w:hAnsi="SimSun" w:hint="eastAsia"/>
          <w:color w:val="222222"/>
          <w:sz w:val="21"/>
        </w:rPr>
        <w:t>(</w:t>
      </w:r>
      <w:r w:rsidR="000927DD" w:rsidRPr="00FD24F6">
        <w:rPr>
          <w:rFonts w:ascii="SimSun" w:hAnsi="SimSun" w:hint="eastAsia"/>
          <w:color w:val="222222"/>
          <w:sz w:val="21"/>
        </w:rPr>
        <w:t>UN</w:t>
      </w:r>
      <w:r w:rsidR="00FD24F6">
        <w:rPr>
          <w:rFonts w:ascii="SimSun" w:hAnsi="SimSun" w:hint="eastAsia"/>
          <w:color w:val="222222"/>
          <w:sz w:val="21"/>
        </w:rPr>
        <w:t>)</w:t>
      </w:r>
      <w:r w:rsidR="000927DD" w:rsidRPr="00FD24F6">
        <w:rPr>
          <w:rFonts w:ascii="SimSun" w:hAnsi="SimSun" w:hint="eastAsia"/>
          <w:color w:val="222222"/>
          <w:sz w:val="21"/>
        </w:rPr>
        <w:t>系统中具有独特的业务</w:t>
      </w:r>
      <w:r w:rsidRPr="00FD24F6">
        <w:rPr>
          <w:rFonts w:ascii="SimSun" w:hAnsi="SimSun" w:hint="eastAsia"/>
          <w:color w:val="222222"/>
          <w:sz w:val="21"/>
        </w:rPr>
        <w:t>模式，</w:t>
      </w:r>
      <w:r w:rsidR="000927DD" w:rsidRPr="00FD24F6">
        <w:rPr>
          <w:rFonts w:ascii="SimSun" w:hAnsi="SimSun" w:hint="eastAsia"/>
          <w:color w:val="222222"/>
          <w:sz w:val="21"/>
        </w:rPr>
        <w:t>需要据此量身定</w:t>
      </w:r>
      <w:r w:rsidR="00160B6C" w:rsidRPr="00FD24F6">
        <w:rPr>
          <w:rFonts w:ascii="SimSun" w:hAnsi="SimSun" w:hint="eastAsia"/>
          <w:color w:val="222222"/>
          <w:sz w:val="21"/>
        </w:rPr>
        <w:t>制</w:t>
      </w:r>
      <w:r w:rsidR="000927DD" w:rsidRPr="00FD24F6">
        <w:rPr>
          <w:rFonts w:ascii="SimSun" w:hAnsi="SimSun" w:hint="eastAsia"/>
          <w:color w:val="222222"/>
          <w:sz w:val="21"/>
        </w:rPr>
        <w:t>其对待</w:t>
      </w:r>
      <w:r w:rsidRPr="00FD24F6">
        <w:rPr>
          <w:rFonts w:ascii="SimSun" w:hAnsi="SimSun" w:hint="eastAsia"/>
          <w:color w:val="222222"/>
          <w:sz w:val="21"/>
        </w:rPr>
        <w:t>风险</w:t>
      </w:r>
      <w:r w:rsidR="000927DD" w:rsidRPr="00FD24F6">
        <w:rPr>
          <w:rFonts w:ascii="SimSun" w:hAnsi="SimSun" w:hint="eastAsia"/>
          <w:color w:val="222222"/>
          <w:sz w:val="21"/>
        </w:rPr>
        <w:t>的方式</w:t>
      </w:r>
      <w:r w:rsidRPr="00FD24F6">
        <w:rPr>
          <w:rFonts w:ascii="SimSun" w:hAnsi="SimSun" w:hint="eastAsia"/>
          <w:color w:val="222222"/>
          <w:sz w:val="21"/>
        </w:rPr>
        <w:t>。这</w:t>
      </w:r>
      <w:r w:rsidR="000927DD" w:rsidRPr="00FD24F6">
        <w:rPr>
          <w:rFonts w:ascii="SimSun" w:hAnsi="SimSun" w:hint="eastAsia"/>
          <w:color w:val="222222"/>
          <w:sz w:val="21"/>
        </w:rPr>
        <w:t>从</w:t>
      </w:r>
      <w:r w:rsidRPr="00FD24F6">
        <w:rPr>
          <w:rFonts w:ascii="SimSun" w:hAnsi="SimSun" w:hint="eastAsia"/>
          <w:color w:val="222222"/>
          <w:sz w:val="21"/>
        </w:rPr>
        <w:t>其资源</w:t>
      </w:r>
      <w:r w:rsidR="000927DD" w:rsidRPr="00FD24F6">
        <w:rPr>
          <w:rFonts w:ascii="SimSun" w:hAnsi="SimSun" w:hint="eastAsia"/>
          <w:color w:val="222222"/>
          <w:sz w:val="21"/>
        </w:rPr>
        <w:t>配置</w:t>
      </w:r>
      <w:r w:rsidR="00F06A93" w:rsidRPr="00FD24F6">
        <w:rPr>
          <w:rFonts w:ascii="SimSun" w:hAnsi="SimSun" w:hint="eastAsia"/>
          <w:color w:val="222222"/>
          <w:sz w:val="21"/>
        </w:rPr>
        <w:t>及</w:t>
      </w:r>
      <w:r w:rsidRPr="00FD24F6">
        <w:rPr>
          <w:rFonts w:ascii="SimSun" w:hAnsi="SimSun" w:hint="eastAsia"/>
          <w:color w:val="222222"/>
          <w:sz w:val="21"/>
        </w:rPr>
        <w:t>业务结构</w:t>
      </w:r>
      <w:r w:rsidR="000927DD" w:rsidRPr="00FD24F6">
        <w:rPr>
          <w:rFonts w:ascii="SimSun" w:hAnsi="SimSun" w:hint="eastAsia"/>
          <w:color w:val="222222"/>
          <w:sz w:val="21"/>
        </w:rPr>
        <w:t>可见一斑</w:t>
      </w:r>
      <w:r w:rsidRPr="00FD24F6">
        <w:rPr>
          <w:rFonts w:ascii="SimSun" w:hAnsi="SimSun" w:hint="eastAsia"/>
          <w:color w:val="222222"/>
          <w:sz w:val="21"/>
        </w:rPr>
        <w:t>。</w:t>
      </w:r>
    </w:p>
    <w:p w:rsidR="00155E98" w:rsidRPr="00FD24F6" w:rsidRDefault="00F96D46" w:rsidP="00FD24F6">
      <w:pPr>
        <w:pStyle w:val="ONUME"/>
        <w:tabs>
          <w:tab w:val="clear" w:pos="709"/>
        </w:tabs>
        <w:spacing w:afterLines="50" w:after="120" w:line="340" w:lineRule="atLeast"/>
        <w:ind w:left="0"/>
        <w:jc w:val="both"/>
        <w:rPr>
          <w:rFonts w:ascii="SimSun" w:hAnsi="SimSun"/>
          <w:sz w:val="21"/>
        </w:rPr>
      </w:pPr>
      <w:r w:rsidRPr="00FD24F6">
        <w:rPr>
          <w:rFonts w:ascii="SimSun" w:hAnsi="SimSun"/>
          <w:sz w:val="21"/>
        </w:rPr>
        <w:t>WIPO</w:t>
      </w:r>
      <w:r w:rsidR="00160B6C" w:rsidRPr="00FD24F6">
        <w:rPr>
          <w:rFonts w:ascii="SimSun" w:hAnsi="SimSun" w:hint="eastAsia"/>
          <w:sz w:val="21"/>
        </w:rPr>
        <w:t>根据</w:t>
      </w:r>
      <w:r w:rsidR="00F06A93" w:rsidRPr="00FD24F6">
        <w:rPr>
          <w:rFonts w:ascii="SimSun" w:hAnsi="SimSun" w:hint="eastAsia"/>
          <w:sz w:val="21"/>
        </w:rPr>
        <w:t>如下指标界定其风险偏好：</w:t>
      </w:r>
      <w:r w:rsidR="001C69F7" w:rsidRPr="00FD24F6">
        <w:rPr>
          <w:rFonts w:ascii="SimSun" w:hAnsi="SimSun"/>
          <w:sz w:val="21"/>
        </w:rPr>
        <w:t>(</w:t>
      </w:r>
      <w:proofErr w:type="spellStart"/>
      <w:r w:rsidR="001C69F7" w:rsidRPr="00FD24F6">
        <w:rPr>
          <w:rFonts w:ascii="SimSun" w:hAnsi="SimSun"/>
          <w:sz w:val="21"/>
        </w:rPr>
        <w:t>i</w:t>
      </w:r>
      <w:proofErr w:type="spellEnd"/>
      <w:r w:rsidR="001C69F7" w:rsidRPr="00FD24F6">
        <w:rPr>
          <w:rFonts w:ascii="SimSun" w:hAnsi="SimSun"/>
          <w:sz w:val="21"/>
        </w:rPr>
        <w:t>)</w:t>
      </w:r>
      <w:r w:rsidR="002C419C" w:rsidRPr="00FD24F6">
        <w:rPr>
          <w:rFonts w:ascii="SimSun" w:hAnsi="SimSun" w:hint="eastAsia"/>
          <w:sz w:val="21"/>
        </w:rPr>
        <w:t>业务</w:t>
      </w:r>
      <w:r w:rsidR="00F06A93" w:rsidRPr="00FD24F6">
        <w:rPr>
          <w:rFonts w:ascii="SimSun" w:hAnsi="SimSun" w:hint="eastAsia"/>
          <w:sz w:val="21"/>
        </w:rPr>
        <w:t>风险；</w:t>
      </w:r>
      <w:r w:rsidR="001C69F7" w:rsidRPr="00FD24F6">
        <w:rPr>
          <w:rFonts w:ascii="SimSun" w:hAnsi="SimSun"/>
          <w:sz w:val="21"/>
        </w:rPr>
        <w:t>(ii)</w:t>
      </w:r>
      <w:r w:rsidR="00F06A93" w:rsidRPr="00FD24F6">
        <w:rPr>
          <w:rFonts w:ascii="SimSun" w:hAnsi="SimSun" w:hint="eastAsia"/>
          <w:sz w:val="21"/>
        </w:rPr>
        <w:t>财务风险；</w:t>
      </w:r>
      <w:r w:rsidR="001C69F7" w:rsidRPr="00FD24F6">
        <w:rPr>
          <w:rFonts w:ascii="SimSun" w:hAnsi="SimSun"/>
          <w:sz w:val="21"/>
        </w:rPr>
        <w:t>(iii)</w:t>
      </w:r>
      <w:r w:rsidR="00F06A93" w:rsidRPr="00FD24F6">
        <w:rPr>
          <w:rFonts w:ascii="SimSun" w:hAnsi="SimSun" w:hint="eastAsia"/>
          <w:sz w:val="21"/>
        </w:rPr>
        <w:t>战略风险；以及</w:t>
      </w:r>
      <w:r w:rsidR="001C69F7" w:rsidRPr="00FD24F6">
        <w:rPr>
          <w:rFonts w:ascii="SimSun" w:hAnsi="SimSun"/>
          <w:sz w:val="21"/>
        </w:rPr>
        <w:t>(iv)</w:t>
      </w:r>
      <w:r w:rsidR="00F06A93" w:rsidRPr="00FD24F6">
        <w:rPr>
          <w:rFonts w:ascii="SimSun" w:hAnsi="SimSun" w:hint="eastAsia"/>
          <w:sz w:val="21"/>
        </w:rPr>
        <w:t>声誉影响。这些称为剩余风险</w:t>
      </w:r>
      <w:r w:rsidR="00160B6C" w:rsidRPr="00FD24F6">
        <w:rPr>
          <w:rFonts w:ascii="SimSun" w:hAnsi="SimSun" w:hint="eastAsia"/>
          <w:sz w:val="21"/>
        </w:rPr>
        <w:t>，即采取</w:t>
      </w:r>
      <w:r w:rsidR="00F06A93" w:rsidRPr="00FD24F6">
        <w:rPr>
          <w:rFonts w:ascii="SimSun" w:hAnsi="SimSun" w:hint="eastAsia"/>
          <w:sz w:val="21"/>
        </w:rPr>
        <w:t>降低风险的措施和/</w:t>
      </w:r>
      <w:r w:rsidR="00160B6C" w:rsidRPr="00FD24F6">
        <w:rPr>
          <w:rFonts w:ascii="SimSun" w:hAnsi="SimSun" w:hint="eastAsia"/>
          <w:sz w:val="21"/>
        </w:rPr>
        <w:t>或控制手段之后的风险。据此，本组织的风险偏好在更广泛的意义上确定</w:t>
      </w:r>
      <w:r w:rsidR="00F06A93" w:rsidRPr="00FD24F6">
        <w:rPr>
          <w:rFonts w:ascii="SimSun" w:hAnsi="SimSun" w:hint="eastAsia"/>
          <w:sz w:val="21"/>
        </w:rPr>
        <w:t>如下：</w:t>
      </w:r>
    </w:p>
    <w:p w:rsidR="00F96D46" w:rsidRPr="00FD24F6" w:rsidRDefault="00EB535B" w:rsidP="00FD24F6">
      <w:pPr>
        <w:pStyle w:val="ONUME"/>
        <w:numPr>
          <w:ilvl w:val="2"/>
          <w:numId w:val="5"/>
        </w:numPr>
        <w:tabs>
          <w:tab w:val="clear" w:pos="1701"/>
          <w:tab w:val="left" w:pos="1134"/>
        </w:tabs>
        <w:spacing w:afterLines="50" w:after="120" w:line="340" w:lineRule="atLeast"/>
        <w:ind w:hanging="567"/>
        <w:jc w:val="both"/>
        <w:rPr>
          <w:rFonts w:ascii="SimSun" w:hAnsi="SimSun"/>
          <w:sz w:val="21"/>
        </w:rPr>
      </w:pPr>
      <w:r w:rsidRPr="00FD24F6">
        <w:rPr>
          <w:rFonts w:ascii="SimSun" w:hAnsi="SimSun" w:hint="eastAsia"/>
          <w:sz w:val="21"/>
        </w:rPr>
        <w:t>风险事件的发生率被评定为适度、低度或最小时，</w:t>
      </w:r>
      <w:r w:rsidR="00272197" w:rsidRPr="00FD24F6">
        <w:rPr>
          <w:rFonts w:ascii="SimSun" w:hAnsi="SimSun" w:hint="eastAsia"/>
          <w:sz w:val="21"/>
        </w:rPr>
        <w:t>接受冲击较小的风险；</w:t>
      </w:r>
    </w:p>
    <w:p w:rsidR="00F96D46" w:rsidRPr="00FD24F6" w:rsidRDefault="00EB535B" w:rsidP="00FD24F6">
      <w:pPr>
        <w:pStyle w:val="ONUME"/>
        <w:numPr>
          <w:ilvl w:val="2"/>
          <w:numId w:val="5"/>
        </w:numPr>
        <w:tabs>
          <w:tab w:val="clear" w:pos="1701"/>
          <w:tab w:val="left" w:pos="1134"/>
        </w:tabs>
        <w:spacing w:afterLines="50" w:after="120" w:line="340" w:lineRule="atLeast"/>
        <w:ind w:hanging="567"/>
        <w:jc w:val="both"/>
        <w:rPr>
          <w:rFonts w:ascii="SimSun" w:hAnsi="SimSun"/>
          <w:sz w:val="21"/>
        </w:rPr>
      </w:pPr>
      <w:r w:rsidRPr="00FD24F6">
        <w:rPr>
          <w:rFonts w:ascii="SimSun" w:hAnsi="SimSun" w:hint="eastAsia"/>
          <w:sz w:val="21"/>
        </w:rPr>
        <w:lastRenderedPageBreak/>
        <w:t>风险事件的发生率被评定为低度或最小时，</w:t>
      </w:r>
      <w:r w:rsidR="00272197" w:rsidRPr="00FD24F6">
        <w:rPr>
          <w:rFonts w:ascii="SimSun" w:hAnsi="SimSun" w:hint="eastAsia"/>
          <w:sz w:val="21"/>
        </w:rPr>
        <w:t>接受冲击明显的风险；和</w:t>
      </w:r>
    </w:p>
    <w:p w:rsidR="0008267F" w:rsidRPr="00FD24F6" w:rsidRDefault="00EB535B" w:rsidP="00FD24F6">
      <w:pPr>
        <w:pStyle w:val="ONUME"/>
        <w:numPr>
          <w:ilvl w:val="2"/>
          <w:numId w:val="5"/>
        </w:numPr>
        <w:tabs>
          <w:tab w:val="clear" w:pos="1701"/>
          <w:tab w:val="left" w:pos="1134"/>
        </w:tabs>
        <w:spacing w:afterLines="50" w:after="120" w:line="340" w:lineRule="atLeast"/>
        <w:ind w:hanging="567"/>
        <w:jc w:val="both"/>
        <w:rPr>
          <w:rFonts w:ascii="SimSun" w:hAnsi="SimSun"/>
          <w:sz w:val="21"/>
        </w:rPr>
      </w:pPr>
      <w:r w:rsidRPr="00FD24F6">
        <w:rPr>
          <w:rFonts w:ascii="SimSun" w:hAnsi="SimSun" w:hint="eastAsia"/>
          <w:sz w:val="21"/>
        </w:rPr>
        <w:t>风险事件的发生率被评定为最小时，接受冲击严重的</w:t>
      </w:r>
      <w:r w:rsidR="00272197" w:rsidRPr="00FD24F6">
        <w:rPr>
          <w:rFonts w:ascii="SimSun" w:hAnsi="SimSun" w:hint="eastAsia"/>
          <w:sz w:val="21"/>
        </w:rPr>
        <w:t>风险。</w:t>
      </w:r>
    </w:p>
    <w:p w:rsidR="00DF6947" w:rsidRPr="00FD24F6" w:rsidRDefault="0016065E"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color w:val="222222"/>
          <w:sz w:val="21"/>
        </w:rPr>
        <w:t>任何</w:t>
      </w:r>
      <w:r w:rsidR="004B4B89" w:rsidRPr="00FD24F6">
        <w:rPr>
          <w:rFonts w:ascii="SimSun" w:hAnsi="SimSun" w:hint="eastAsia"/>
          <w:color w:val="222222"/>
          <w:sz w:val="21"/>
        </w:rPr>
        <w:t>超出WIPO</w:t>
      </w:r>
      <w:r w:rsidRPr="00FD24F6">
        <w:rPr>
          <w:rFonts w:ascii="SimSun" w:hAnsi="SimSun" w:hint="eastAsia"/>
          <w:color w:val="222222"/>
          <w:sz w:val="21"/>
        </w:rPr>
        <w:t>风险偏好范围的风险由计划管理者</w:t>
      </w:r>
      <w:r w:rsidR="004B4B89" w:rsidRPr="00FD24F6">
        <w:rPr>
          <w:rFonts w:ascii="SimSun" w:hAnsi="SimSun" w:hint="eastAsia"/>
          <w:color w:val="222222"/>
          <w:sz w:val="21"/>
        </w:rPr>
        <w:t>和/或</w:t>
      </w:r>
      <w:r w:rsidRPr="00FD24F6">
        <w:rPr>
          <w:rFonts w:ascii="SimSun" w:hAnsi="SimSun" w:hint="eastAsia"/>
          <w:color w:val="222222"/>
          <w:sz w:val="21"/>
        </w:rPr>
        <w:t>WIPO</w:t>
      </w:r>
      <w:r w:rsidR="004B4B89" w:rsidRPr="00FD24F6">
        <w:rPr>
          <w:rFonts w:ascii="SimSun" w:hAnsi="SimSun" w:hint="eastAsia"/>
          <w:color w:val="222222"/>
          <w:sz w:val="21"/>
        </w:rPr>
        <w:t>风险委员会</w:t>
      </w:r>
      <w:r w:rsidRPr="00FD24F6">
        <w:rPr>
          <w:rFonts w:ascii="SimSun" w:hAnsi="SimSun" w:hint="eastAsia"/>
          <w:color w:val="222222"/>
          <w:sz w:val="21"/>
        </w:rPr>
        <w:t>根据风险容忍度</w:t>
      </w:r>
      <w:r w:rsidRPr="00FD24F6">
        <w:rPr>
          <w:rStyle w:val="ad"/>
          <w:rFonts w:ascii="SimSun" w:hAnsi="SimSun"/>
          <w:sz w:val="21"/>
        </w:rPr>
        <w:footnoteReference w:id="2"/>
      </w:r>
      <w:r w:rsidRPr="00FD24F6">
        <w:rPr>
          <w:rFonts w:ascii="SimSun" w:hAnsi="SimSun" w:hint="eastAsia"/>
          <w:color w:val="222222"/>
          <w:sz w:val="21"/>
        </w:rPr>
        <w:t>予以</w:t>
      </w:r>
      <w:r w:rsidR="0067785B" w:rsidRPr="00FD24F6">
        <w:rPr>
          <w:rFonts w:ascii="SimSun" w:hAnsi="SimSun" w:hint="eastAsia"/>
          <w:color w:val="222222"/>
          <w:sz w:val="21"/>
        </w:rPr>
        <w:t>评估。此种风险</w:t>
      </w:r>
      <w:r w:rsidR="00331D3E" w:rsidRPr="00FD24F6">
        <w:rPr>
          <w:rFonts w:ascii="SimSun" w:hAnsi="SimSun" w:hint="eastAsia"/>
          <w:color w:val="222222"/>
          <w:sz w:val="21"/>
        </w:rPr>
        <w:t>只有在依照本组织的监管框架，确保恰如其分的适当的缓解措施已经到位，并在</w:t>
      </w:r>
      <w:r w:rsidR="0067785B" w:rsidRPr="00FD24F6">
        <w:rPr>
          <w:rFonts w:ascii="SimSun" w:hAnsi="SimSun" w:hint="eastAsia"/>
          <w:color w:val="222222"/>
          <w:sz w:val="21"/>
        </w:rPr>
        <w:t>委托权限</w:t>
      </w:r>
      <w:r w:rsidR="00331D3E" w:rsidRPr="00FD24F6">
        <w:rPr>
          <w:rFonts w:ascii="SimSun" w:hAnsi="SimSun" w:hint="eastAsia"/>
          <w:color w:val="222222"/>
          <w:sz w:val="21"/>
        </w:rPr>
        <w:t>的</w:t>
      </w:r>
      <w:r w:rsidR="00EB535B" w:rsidRPr="00FD24F6">
        <w:rPr>
          <w:rFonts w:ascii="SimSun" w:hAnsi="SimSun" w:hint="eastAsia"/>
          <w:color w:val="222222"/>
          <w:sz w:val="21"/>
        </w:rPr>
        <w:t>级别</w:t>
      </w:r>
      <w:r w:rsidR="00331D3E" w:rsidRPr="00FD24F6">
        <w:rPr>
          <w:rFonts w:ascii="SimSun" w:hAnsi="SimSun" w:hint="eastAsia"/>
          <w:color w:val="222222"/>
          <w:sz w:val="21"/>
        </w:rPr>
        <w:t>之内经明确审批后方可接受。</w:t>
      </w:r>
    </w:p>
    <w:p w:rsidR="008F4814" w:rsidRPr="00FD24F6" w:rsidRDefault="002C419C"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业务风险</w:t>
      </w:r>
    </w:p>
    <w:p w:rsidR="00E83A82" w:rsidRPr="00FD24F6" w:rsidRDefault="00780613"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WIPO的收入取决于全球注册体系持续的健康和发展</w:t>
      </w:r>
      <w:r w:rsidR="00EB535B" w:rsidRPr="00FD24F6">
        <w:rPr>
          <w:rFonts w:ascii="SimSun" w:hAnsi="SimSun" w:hint="eastAsia"/>
          <w:sz w:val="21"/>
        </w:rPr>
        <w:t>，全球注册体系由日益复杂的信息解决方案</w:t>
      </w:r>
      <w:r w:rsidR="001F2A34" w:rsidRPr="00FD24F6">
        <w:rPr>
          <w:rFonts w:ascii="SimSun" w:hAnsi="SimSun" w:hint="eastAsia"/>
          <w:sz w:val="21"/>
        </w:rPr>
        <w:t>为其</w:t>
      </w:r>
      <w:r w:rsidR="00EB535B" w:rsidRPr="00FD24F6">
        <w:rPr>
          <w:rFonts w:ascii="SimSun" w:hAnsi="SimSun" w:hint="eastAsia"/>
          <w:sz w:val="21"/>
        </w:rPr>
        <w:t>提供支持并</w:t>
      </w:r>
      <w:r w:rsidR="001F2A34" w:rsidRPr="00FD24F6">
        <w:rPr>
          <w:rFonts w:ascii="SimSun" w:hAnsi="SimSun" w:hint="eastAsia"/>
          <w:sz w:val="21"/>
        </w:rPr>
        <w:t>实现其功能</w:t>
      </w:r>
      <w:r w:rsidR="00BB377D" w:rsidRPr="00FD24F6">
        <w:rPr>
          <w:rFonts w:ascii="SimSun" w:hAnsi="SimSun" w:hint="eastAsia"/>
          <w:sz w:val="21"/>
        </w:rPr>
        <w:t>。考虑到全球范围内</w:t>
      </w:r>
      <w:r w:rsidR="00F81852" w:rsidRPr="00FD24F6">
        <w:rPr>
          <w:rFonts w:ascii="SimSun" w:hAnsi="SimSun" w:hint="eastAsia"/>
          <w:sz w:val="21"/>
        </w:rPr>
        <w:t>可靠并及时获取</w:t>
      </w:r>
      <w:r w:rsidR="008F4814" w:rsidRPr="00FD24F6">
        <w:rPr>
          <w:rFonts w:ascii="SimSun" w:hAnsi="SimSun"/>
          <w:sz w:val="21"/>
        </w:rPr>
        <w:t>WIPO</w:t>
      </w:r>
      <w:r w:rsidR="00BB377D" w:rsidRPr="00FD24F6">
        <w:rPr>
          <w:rFonts w:ascii="SimSun" w:hAnsi="SimSun" w:hint="eastAsia"/>
          <w:sz w:val="21"/>
        </w:rPr>
        <w:t>及其成员国、利益相关者、以及驻外办事处所提供的信息</w:t>
      </w:r>
      <w:r w:rsidR="00F81852" w:rsidRPr="00FD24F6">
        <w:rPr>
          <w:rFonts w:ascii="SimSun" w:hAnsi="SimSun" w:hint="eastAsia"/>
          <w:sz w:val="21"/>
        </w:rPr>
        <w:t>的重要性，本组织仅接受与系统可用性相关的最低限度风险，并通过强大的业务连续性管理来</w:t>
      </w:r>
      <w:r w:rsidR="00E25C63" w:rsidRPr="00FD24F6">
        <w:rPr>
          <w:rFonts w:ascii="SimSun" w:hAnsi="SimSun" w:hint="eastAsia"/>
          <w:sz w:val="21"/>
        </w:rPr>
        <w:t>降低</w:t>
      </w:r>
      <w:r w:rsidR="00F81852" w:rsidRPr="00FD24F6">
        <w:rPr>
          <w:rFonts w:ascii="SimSun" w:hAnsi="SimSun" w:hint="eastAsia"/>
          <w:sz w:val="21"/>
        </w:rPr>
        <w:t>此种风险。</w:t>
      </w:r>
    </w:p>
    <w:p w:rsidR="00E83A82" w:rsidRPr="00FD24F6" w:rsidRDefault="00E25C63"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注册服务的提供主要由WIPO的条约义务予以规定，但高质、安全、划算的服务对于保持并扩大这些服务的用户基础</w:t>
      </w:r>
      <w:r w:rsidR="00012A69" w:rsidRPr="00FD24F6">
        <w:rPr>
          <w:rFonts w:ascii="SimSun" w:hAnsi="SimSun" w:hint="eastAsia"/>
          <w:sz w:val="21"/>
        </w:rPr>
        <w:t>是至关重要的。WIPO</w:t>
      </w:r>
      <w:r w:rsidR="00012A69" w:rsidRPr="00FD24F6">
        <w:rPr>
          <w:rFonts w:ascii="SimSun" w:hAnsi="SimSun" w:hint="eastAsia"/>
          <w:color w:val="222222"/>
          <w:sz w:val="21"/>
        </w:rPr>
        <w:t>致力于</w:t>
      </w:r>
      <w:r w:rsidR="00012A69" w:rsidRPr="00FD24F6">
        <w:rPr>
          <w:rFonts w:ascii="SimSun" w:hAnsi="SimSun" w:hint="eastAsia"/>
          <w:sz w:val="21"/>
        </w:rPr>
        <w:t>保护委托给自己的数据，绝不容忍可能威胁到数据的保密性和完整性的任何可识别的风险。对本组织内部的非关键系统，最低限度的风险被认为是可接受的。</w:t>
      </w:r>
    </w:p>
    <w:p w:rsidR="008F4814" w:rsidRPr="00FD24F6" w:rsidRDefault="00C60EB0"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本组织致力于不断改进服务和业务，并鼓励引入创新方案以提高</w:t>
      </w:r>
      <w:r w:rsidR="00AA0131" w:rsidRPr="00FD24F6">
        <w:rPr>
          <w:rFonts w:ascii="SimSun" w:hAnsi="SimSun" w:hint="eastAsia"/>
          <w:sz w:val="21"/>
        </w:rPr>
        <w:t>交付服务和业务时的效率和成本效益。这些变化如果处于低</w:t>
      </w:r>
      <w:r w:rsidR="00012A69" w:rsidRPr="00FD24F6">
        <w:rPr>
          <w:rFonts w:ascii="SimSun" w:hAnsi="SimSun" w:hint="eastAsia"/>
          <w:sz w:val="21"/>
        </w:rPr>
        <w:t>风险水平，并通过</w:t>
      </w:r>
      <w:r w:rsidR="00012A69" w:rsidRPr="00FD24F6">
        <w:rPr>
          <w:rFonts w:ascii="SimSun" w:hAnsi="SimSun" w:hint="eastAsia"/>
          <w:color w:val="222222"/>
          <w:sz w:val="21"/>
        </w:rPr>
        <w:t>谨慎</w:t>
      </w:r>
      <w:r w:rsidR="00012A69" w:rsidRPr="00FD24F6">
        <w:rPr>
          <w:rFonts w:ascii="SimSun" w:hAnsi="SimSun" w:hint="eastAsia"/>
          <w:sz w:val="21"/>
        </w:rPr>
        <w:t>规划和周密部署能够适度缓解风险，则可能为本组织在实现战略目标和预期成果时所接受。</w:t>
      </w:r>
    </w:p>
    <w:p w:rsidR="008F4814" w:rsidRPr="00FD24F6" w:rsidRDefault="00650FB8" w:rsidP="00FD24F6">
      <w:pPr>
        <w:pStyle w:val="ONUME"/>
        <w:tabs>
          <w:tab w:val="clear" w:pos="709"/>
        </w:tabs>
        <w:spacing w:afterLines="50" w:after="120" w:line="340" w:lineRule="atLeast"/>
        <w:ind w:left="0"/>
        <w:jc w:val="both"/>
        <w:rPr>
          <w:rFonts w:ascii="SimSun" w:hAnsi="SimSun"/>
          <w:sz w:val="21"/>
        </w:rPr>
      </w:pPr>
      <w:r w:rsidRPr="00FD24F6">
        <w:rPr>
          <w:rFonts w:ascii="SimSun" w:hAnsi="SimSun"/>
          <w:sz w:val="21"/>
        </w:rPr>
        <w:t>WIPO</w:t>
      </w:r>
      <w:r w:rsidR="002253DF" w:rsidRPr="00FD24F6">
        <w:rPr>
          <w:rFonts w:ascii="SimSun" w:hAnsi="SimSun" w:hint="eastAsia"/>
          <w:sz w:val="21"/>
        </w:rPr>
        <w:t>认可并接受其全球注册体系的用户可能选择其他或被认为更加灵活及时地对他们需求做出反应的申请途径。这反过来</w:t>
      </w:r>
      <w:r w:rsidR="00C60EB0" w:rsidRPr="00FD24F6">
        <w:rPr>
          <w:rFonts w:ascii="SimSun" w:hAnsi="SimSun" w:hint="eastAsia"/>
          <w:sz w:val="21"/>
        </w:rPr>
        <w:t>可能显著影响</w:t>
      </w:r>
      <w:r w:rsidR="002253DF" w:rsidRPr="00FD24F6">
        <w:rPr>
          <w:rFonts w:ascii="SimSun" w:hAnsi="SimSun" w:hint="eastAsia"/>
          <w:sz w:val="21"/>
        </w:rPr>
        <w:t>本组织的收入</w:t>
      </w:r>
      <w:r w:rsidR="00645BDC" w:rsidRPr="00FD24F6">
        <w:rPr>
          <w:rFonts w:ascii="SimSun" w:hAnsi="SimSun" w:hint="eastAsia"/>
          <w:sz w:val="21"/>
        </w:rPr>
        <w:t>。降低此种风险是迎合用户不断变化</w:t>
      </w:r>
      <w:r w:rsidR="002253DF" w:rsidRPr="00FD24F6">
        <w:rPr>
          <w:rFonts w:ascii="SimSun" w:hAnsi="SimSun" w:hint="eastAsia"/>
          <w:sz w:val="21"/>
        </w:rPr>
        <w:t>的期望，并跟上迅速发展的技术的进步</w:t>
      </w:r>
      <w:r w:rsidR="00C60EB0" w:rsidRPr="00FD24F6">
        <w:rPr>
          <w:rFonts w:ascii="SimSun" w:hAnsi="SimSun" w:hint="eastAsia"/>
          <w:sz w:val="21"/>
        </w:rPr>
        <w:t>。秘书处和成员国肩负共同责任，以确保本组织在该</w:t>
      </w:r>
      <w:r w:rsidR="002253DF" w:rsidRPr="00FD24F6">
        <w:rPr>
          <w:rFonts w:ascii="SimSun" w:hAnsi="SimSun" w:hint="eastAsia"/>
          <w:sz w:val="21"/>
        </w:rPr>
        <w:t>领域不断取得进步，从而</w:t>
      </w:r>
      <w:r w:rsidR="00BB395C" w:rsidRPr="00FD24F6">
        <w:rPr>
          <w:rFonts w:ascii="SimSun" w:hAnsi="SimSun" w:hint="eastAsia"/>
          <w:sz w:val="21"/>
        </w:rPr>
        <w:t>将</w:t>
      </w:r>
      <w:r w:rsidR="002253DF" w:rsidRPr="00FD24F6">
        <w:rPr>
          <w:rFonts w:ascii="SimSun" w:hAnsi="SimSun" w:hint="eastAsia"/>
          <w:sz w:val="21"/>
        </w:rPr>
        <w:t>此种风险</w:t>
      </w:r>
      <w:r w:rsidR="00BB395C" w:rsidRPr="00FD24F6">
        <w:rPr>
          <w:rFonts w:ascii="SimSun" w:hAnsi="SimSun" w:hint="eastAsia"/>
          <w:sz w:val="21"/>
        </w:rPr>
        <w:t>控制在较低水平。</w:t>
      </w:r>
    </w:p>
    <w:p w:rsidR="008F4814" w:rsidRPr="00FD24F6" w:rsidRDefault="0079278B"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财务风险</w:t>
      </w:r>
    </w:p>
    <w:p w:rsidR="00E763B3" w:rsidRPr="00FD24F6" w:rsidRDefault="0079278B"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WIPO收入的90%来自于注册体系所提供的各项服务。WIPO承认</w:t>
      </w:r>
      <w:r w:rsidR="00391A46" w:rsidRPr="00FD24F6">
        <w:rPr>
          <w:rFonts w:ascii="SimSun" w:hAnsi="SimSun" w:hint="eastAsia"/>
          <w:sz w:val="21"/>
        </w:rPr>
        <w:t>，就</w:t>
      </w:r>
      <w:r w:rsidRPr="00FD24F6">
        <w:rPr>
          <w:rFonts w:ascii="SimSun" w:hAnsi="SimSun" w:hint="eastAsia"/>
          <w:sz w:val="21"/>
        </w:rPr>
        <w:t>经济气候、外汇浮动等外部因素</w:t>
      </w:r>
      <w:r w:rsidR="00391A46" w:rsidRPr="00FD24F6">
        <w:rPr>
          <w:rFonts w:ascii="SimSun" w:hAnsi="SimSun" w:hint="eastAsia"/>
          <w:sz w:val="21"/>
        </w:rPr>
        <w:t>而言</w:t>
      </w:r>
      <w:r w:rsidRPr="00FD24F6">
        <w:rPr>
          <w:rFonts w:ascii="SimSun" w:hAnsi="SimSun" w:hint="eastAsia"/>
          <w:sz w:val="21"/>
        </w:rPr>
        <w:t>，对</w:t>
      </w:r>
      <w:r w:rsidR="00391A46" w:rsidRPr="00FD24F6">
        <w:rPr>
          <w:rFonts w:ascii="SimSun" w:hAnsi="SimSun" w:hint="eastAsia"/>
          <w:sz w:val="21"/>
        </w:rPr>
        <w:t>其</w:t>
      </w:r>
      <w:r w:rsidRPr="00FD24F6">
        <w:rPr>
          <w:rFonts w:ascii="SimSun" w:hAnsi="SimSun" w:hint="eastAsia"/>
          <w:sz w:val="21"/>
        </w:rPr>
        <w:t>创收能力是关键风险。本组织已采取各种措施降低这些风险，包括稳健的收入预测模型、审慎的财务政策、条例和细则，以及</w:t>
      </w:r>
      <w:r w:rsidR="000D2359" w:rsidRPr="00FD24F6">
        <w:rPr>
          <w:rFonts w:ascii="SimSun" w:hAnsi="SimSun" w:hint="eastAsia"/>
          <w:sz w:val="21"/>
        </w:rPr>
        <w:t>利用现有的金融工</w:t>
      </w:r>
      <w:r w:rsidR="00AF3E38" w:rsidRPr="00FD24F6">
        <w:rPr>
          <w:rFonts w:ascii="SimSun" w:hAnsi="SimSun" w:hint="eastAsia"/>
          <w:sz w:val="21"/>
        </w:rPr>
        <w:t>具管理外汇敞口</w:t>
      </w:r>
      <w:r w:rsidR="00B61E8A" w:rsidRPr="00FD24F6">
        <w:rPr>
          <w:rFonts w:ascii="SimSun" w:hAnsi="SimSun" w:hint="eastAsia"/>
          <w:sz w:val="21"/>
        </w:rPr>
        <w:t>等，这些都降低了剩余</w:t>
      </w:r>
      <w:r w:rsidR="000D2359" w:rsidRPr="00FD24F6">
        <w:rPr>
          <w:rFonts w:ascii="SimSun" w:hAnsi="SimSun" w:hint="eastAsia"/>
          <w:sz w:val="21"/>
        </w:rPr>
        <w:t>风险的水平。</w:t>
      </w:r>
    </w:p>
    <w:p w:rsidR="00650FB8" w:rsidRPr="00FD24F6" w:rsidRDefault="00A33CBA"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国际公共部门会计</w:t>
      </w:r>
      <w:r w:rsidR="006B01BC">
        <w:rPr>
          <w:rFonts w:ascii="SimSun" w:hAnsi="SimSun" w:hint="eastAsia"/>
          <w:sz w:val="21"/>
        </w:rPr>
        <w:t>标</w:t>
      </w:r>
      <w:r w:rsidRPr="00FD24F6">
        <w:rPr>
          <w:rFonts w:ascii="SimSun" w:hAnsi="SimSun" w:hint="eastAsia"/>
          <w:sz w:val="21"/>
        </w:rPr>
        <w:t>准</w:t>
      </w:r>
      <w:r w:rsidR="00650FB8" w:rsidRPr="00FD24F6">
        <w:rPr>
          <w:rFonts w:ascii="SimSun" w:hAnsi="SimSun"/>
          <w:sz w:val="21"/>
        </w:rPr>
        <w:t>(IPSAS)</w:t>
      </w:r>
      <w:r w:rsidRPr="00FD24F6">
        <w:rPr>
          <w:rFonts w:ascii="SimSun" w:hAnsi="SimSun" w:hint="eastAsia"/>
          <w:sz w:val="21"/>
        </w:rPr>
        <w:t>的引进为本组织的财务执行情况及财务状况</w:t>
      </w:r>
      <w:r w:rsidR="00B11918" w:rsidRPr="00FD24F6">
        <w:rPr>
          <w:rFonts w:ascii="SimSun" w:hAnsi="SimSun" w:hint="eastAsia"/>
          <w:sz w:val="21"/>
        </w:rPr>
        <w:t>提供了</w:t>
      </w:r>
      <w:r w:rsidR="00631AFC" w:rsidRPr="00FD24F6">
        <w:rPr>
          <w:rFonts w:ascii="SimSun" w:hAnsi="SimSun" w:hint="eastAsia"/>
          <w:sz w:val="21"/>
        </w:rPr>
        <w:t>得到</w:t>
      </w:r>
      <w:r w:rsidR="00B11918" w:rsidRPr="00FD24F6">
        <w:rPr>
          <w:rFonts w:ascii="SimSun" w:hAnsi="SimSun" w:hint="eastAsia"/>
          <w:sz w:val="21"/>
        </w:rPr>
        <w:t>改进并更加透明的观点。这些</w:t>
      </w:r>
      <w:r w:rsidR="006B01BC">
        <w:rPr>
          <w:rFonts w:ascii="SimSun" w:hAnsi="SimSun" w:hint="eastAsia"/>
          <w:sz w:val="21"/>
        </w:rPr>
        <w:t>标</w:t>
      </w:r>
      <w:r w:rsidR="00B11918" w:rsidRPr="00FD24F6">
        <w:rPr>
          <w:rFonts w:ascii="SimSun" w:hAnsi="SimSun" w:hint="eastAsia"/>
          <w:sz w:val="21"/>
        </w:rPr>
        <w:t>准突出表明，</w:t>
      </w:r>
      <w:r w:rsidR="00631AFC" w:rsidRPr="00FD24F6">
        <w:rPr>
          <w:rFonts w:ascii="SimSun" w:hAnsi="SimSun" w:hint="eastAsia"/>
          <w:sz w:val="21"/>
        </w:rPr>
        <w:t>在</w:t>
      </w:r>
      <w:r w:rsidR="00B11918" w:rsidRPr="00FD24F6">
        <w:rPr>
          <w:rFonts w:ascii="SimSun" w:hAnsi="SimSun" w:hint="eastAsia"/>
          <w:sz w:val="21"/>
        </w:rPr>
        <w:t>传统的</w:t>
      </w:r>
      <w:r w:rsidR="00B11918" w:rsidRPr="00FD24F6">
        <w:rPr>
          <w:rFonts w:ascii="SimSun" w:hAnsi="SimSun" w:hint="eastAsia"/>
          <w:color w:val="222222"/>
          <w:sz w:val="21"/>
        </w:rPr>
        <w:t>联合国</w:t>
      </w:r>
      <w:r w:rsidR="00B11918" w:rsidRPr="00FD24F6">
        <w:rPr>
          <w:rFonts w:ascii="SimSun" w:hAnsi="SimSun" w:hint="eastAsia"/>
          <w:sz w:val="21"/>
        </w:rPr>
        <w:t>监管框架所施加的限制</w:t>
      </w:r>
      <w:r w:rsidR="00631AFC" w:rsidRPr="00FD24F6">
        <w:rPr>
          <w:rFonts w:ascii="SimSun" w:hAnsi="SimSun" w:hint="eastAsia"/>
          <w:sz w:val="21"/>
        </w:rPr>
        <w:t>条件内</w:t>
      </w:r>
      <w:r w:rsidR="00B11918" w:rsidRPr="00FD24F6">
        <w:rPr>
          <w:rFonts w:ascii="SimSun" w:hAnsi="SimSun" w:hint="eastAsia"/>
          <w:sz w:val="21"/>
        </w:rPr>
        <w:t>的审慎财务管理，特别</w:t>
      </w:r>
      <w:r w:rsidR="00631AFC" w:rsidRPr="00FD24F6">
        <w:rPr>
          <w:rFonts w:ascii="SimSun" w:hAnsi="SimSun" w:hint="eastAsia"/>
          <w:sz w:val="21"/>
        </w:rPr>
        <w:t>是针对</w:t>
      </w:r>
      <w:r w:rsidR="00B11918" w:rsidRPr="00FD24F6">
        <w:rPr>
          <w:rFonts w:ascii="SimSun" w:hAnsi="SimSun" w:hint="eastAsia"/>
          <w:sz w:val="21"/>
        </w:rPr>
        <w:t>投资</w:t>
      </w:r>
      <w:r w:rsidR="00631AFC" w:rsidRPr="00FD24F6">
        <w:rPr>
          <w:rFonts w:ascii="SimSun" w:hAnsi="SimSun" w:hint="eastAsia"/>
          <w:sz w:val="21"/>
        </w:rPr>
        <w:t>的财务管理</w:t>
      </w:r>
      <w:r w:rsidR="00B11918" w:rsidRPr="00FD24F6">
        <w:rPr>
          <w:rFonts w:ascii="SimSun" w:hAnsi="SimSun" w:hint="eastAsia"/>
          <w:sz w:val="21"/>
        </w:rPr>
        <w:t>，可能无法为</w:t>
      </w:r>
      <w:r w:rsidR="00631AFC" w:rsidRPr="00FD24F6">
        <w:rPr>
          <w:rFonts w:ascii="SimSun" w:hAnsi="SimSun" w:hint="eastAsia"/>
          <w:sz w:val="21"/>
        </w:rPr>
        <w:t>量身定制的</w:t>
      </w:r>
      <w:r w:rsidR="00B11918" w:rsidRPr="00FD24F6">
        <w:rPr>
          <w:rFonts w:ascii="SimSun" w:hAnsi="SimSun" w:hint="eastAsia"/>
          <w:sz w:val="21"/>
        </w:rPr>
        <w:t>差异</w:t>
      </w:r>
      <w:proofErr w:type="gramStart"/>
      <w:r w:rsidR="00B11918" w:rsidRPr="00FD24F6">
        <w:rPr>
          <w:rFonts w:ascii="SimSun" w:hAnsi="SimSun" w:hint="eastAsia"/>
          <w:sz w:val="21"/>
        </w:rPr>
        <w:t>化投资</w:t>
      </w:r>
      <w:proofErr w:type="gramEnd"/>
      <w:r w:rsidR="00B11918" w:rsidRPr="00FD24F6">
        <w:rPr>
          <w:rFonts w:ascii="SimSun" w:hAnsi="SimSun" w:hint="eastAsia"/>
          <w:sz w:val="21"/>
        </w:rPr>
        <w:t>措施和策略提供合适的平台。</w:t>
      </w:r>
      <w:r w:rsidR="00631AFC" w:rsidRPr="00FD24F6">
        <w:rPr>
          <w:rFonts w:ascii="SimSun" w:hAnsi="SimSun" w:hint="eastAsia"/>
          <w:sz w:val="21"/>
        </w:rPr>
        <w:t>同时</w:t>
      </w:r>
      <w:r w:rsidR="00B11918" w:rsidRPr="00FD24F6">
        <w:rPr>
          <w:rFonts w:ascii="SimSun" w:hAnsi="SimSun" w:hint="eastAsia"/>
          <w:sz w:val="21"/>
        </w:rPr>
        <w:t>，本组织也必须认识到在短期内和长期内保护其金融资产价值的紧迫性。</w:t>
      </w:r>
      <w:r w:rsidR="005D1AA9" w:rsidRPr="00FD24F6">
        <w:rPr>
          <w:rFonts w:ascii="SimSun" w:hAnsi="SimSun" w:hint="eastAsia"/>
          <w:sz w:val="21"/>
        </w:rPr>
        <w:t>这要求WIPO考虑在其投资管理政策方面</w:t>
      </w:r>
      <w:r w:rsidR="00631AFC" w:rsidRPr="00FD24F6">
        <w:rPr>
          <w:rFonts w:ascii="SimSun" w:hAnsi="SimSun" w:hint="eastAsia"/>
          <w:sz w:val="21"/>
        </w:rPr>
        <w:t>接受适当水平的风险的可能性，因为目前适用的零风险政策极有可能损害</w:t>
      </w:r>
      <w:r w:rsidR="005D1AA9" w:rsidRPr="00FD24F6">
        <w:rPr>
          <w:rFonts w:ascii="SimSun" w:hAnsi="SimSun" w:hint="eastAsia"/>
          <w:sz w:val="21"/>
        </w:rPr>
        <w:t>本组织金融资产的价值。</w:t>
      </w:r>
    </w:p>
    <w:p w:rsidR="008F4814" w:rsidRPr="00FD24F6" w:rsidRDefault="005D1AA9"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lastRenderedPageBreak/>
        <w:t>与其他以服务为导向的组织一样，WIPO</w:t>
      </w:r>
      <w:r w:rsidRPr="00FD24F6">
        <w:rPr>
          <w:rFonts w:ascii="SimSun" w:hAnsi="SimSun" w:hint="eastAsia"/>
          <w:color w:val="222222"/>
          <w:sz w:val="21"/>
        </w:rPr>
        <w:t>两年</w:t>
      </w:r>
      <w:r w:rsidRPr="00FD24F6">
        <w:rPr>
          <w:rFonts w:ascii="SimSun" w:hAnsi="SimSun" w:hint="eastAsia"/>
          <w:sz w:val="21"/>
        </w:rPr>
        <w:t>期开支的主要部分用于固定人事费，</w:t>
      </w:r>
      <w:r w:rsidR="006707F8" w:rsidRPr="00FD24F6">
        <w:rPr>
          <w:rFonts w:ascii="SimSun" w:hAnsi="SimSun" w:hint="eastAsia"/>
          <w:sz w:val="21"/>
        </w:rPr>
        <w:t>这是</w:t>
      </w:r>
      <w:r w:rsidRPr="00FD24F6">
        <w:rPr>
          <w:rFonts w:ascii="SimSun" w:hAnsi="SimSun" w:hint="eastAsia"/>
          <w:sz w:val="21"/>
        </w:rPr>
        <w:t>一个</w:t>
      </w:r>
      <w:r w:rsidR="006707F8" w:rsidRPr="00FD24F6">
        <w:rPr>
          <w:rFonts w:ascii="SimSun" w:hAnsi="SimSun" w:hint="eastAsia"/>
          <w:sz w:val="21"/>
        </w:rPr>
        <w:t>突出</w:t>
      </w:r>
      <w:r w:rsidR="007A687C" w:rsidRPr="00FD24F6">
        <w:rPr>
          <w:rFonts w:ascii="SimSun" w:hAnsi="SimSun" w:hint="eastAsia"/>
          <w:sz w:val="21"/>
        </w:rPr>
        <w:t>的</w:t>
      </w:r>
      <w:r w:rsidRPr="00FD24F6">
        <w:rPr>
          <w:rFonts w:ascii="SimSun" w:hAnsi="SimSun" w:hint="eastAsia"/>
          <w:sz w:val="21"/>
        </w:rPr>
        <w:t>长期</w:t>
      </w:r>
      <w:r w:rsidR="006707F8" w:rsidRPr="00FD24F6">
        <w:rPr>
          <w:rFonts w:ascii="SimSun" w:hAnsi="SimSun" w:hint="eastAsia"/>
          <w:sz w:val="21"/>
        </w:rPr>
        <w:t>不变的成本项目</w:t>
      </w:r>
      <w:r w:rsidRPr="00FD24F6">
        <w:rPr>
          <w:rFonts w:ascii="SimSun" w:hAnsi="SimSun" w:hint="eastAsia"/>
          <w:sz w:val="21"/>
        </w:rPr>
        <w:t>，</w:t>
      </w:r>
      <w:r w:rsidR="007A687C" w:rsidRPr="00FD24F6">
        <w:rPr>
          <w:rFonts w:ascii="SimSun" w:hAnsi="SimSun" w:hint="eastAsia"/>
          <w:sz w:val="21"/>
        </w:rPr>
        <w:t>这</w:t>
      </w:r>
      <w:r w:rsidRPr="00FD24F6">
        <w:rPr>
          <w:rFonts w:ascii="SimSun" w:hAnsi="SimSun" w:hint="eastAsia"/>
          <w:sz w:val="21"/>
        </w:rPr>
        <w:t>与WIPO的业务模式</w:t>
      </w:r>
      <w:r w:rsidR="006707F8" w:rsidRPr="00FD24F6">
        <w:rPr>
          <w:rFonts w:ascii="SimSun" w:hAnsi="SimSun" w:hint="eastAsia"/>
          <w:sz w:val="21"/>
        </w:rPr>
        <w:t>需求</w:t>
      </w:r>
      <w:r w:rsidRPr="00FD24F6">
        <w:rPr>
          <w:rFonts w:ascii="SimSun" w:hAnsi="SimSun" w:hint="eastAsia"/>
          <w:sz w:val="21"/>
        </w:rPr>
        <w:t>并不完全相符。</w:t>
      </w:r>
      <w:proofErr w:type="gramStart"/>
      <w:r w:rsidR="007A687C" w:rsidRPr="00FD24F6">
        <w:rPr>
          <w:rFonts w:ascii="SimSun" w:hAnsi="SimSun" w:hint="eastAsia"/>
          <w:sz w:val="21"/>
        </w:rPr>
        <w:t>鉴于本</w:t>
      </w:r>
      <w:proofErr w:type="gramEnd"/>
      <w:r w:rsidR="007A687C" w:rsidRPr="00FD24F6">
        <w:rPr>
          <w:rFonts w:ascii="SimSun" w:hAnsi="SimSun" w:hint="eastAsia"/>
          <w:sz w:val="21"/>
        </w:rPr>
        <w:t>组织作为联合国共同制度一员所受的约束，本组织接受承</w:t>
      </w:r>
      <w:r w:rsidR="006707F8" w:rsidRPr="00FD24F6">
        <w:rPr>
          <w:rFonts w:ascii="SimSun" w:hAnsi="SimSun" w:hint="eastAsia"/>
          <w:sz w:val="21"/>
        </w:rPr>
        <w:t>担</w:t>
      </w:r>
      <w:r w:rsidR="007A687C" w:rsidRPr="00FD24F6">
        <w:rPr>
          <w:rFonts w:ascii="SimSun" w:hAnsi="SimSun" w:hint="eastAsia"/>
          <w:sz w:val="21"/>
        </w:rPr>
        <w:t>适当风险水平的必要性，通过审慎使用外包服务和其他具有成本效益的资源配置方案，以便未来形成更加可持续的成本结构。</w:t>
      </w:r>
    </w:p>
    <w:p w:rsidR="008F4814" w:rsidRPr="00FD24F6" w:rsidRDefault="007A687C"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虽然WIPO</w:t>
      </w:r>
      <w:r w:rsidR="00E3425C" w:rsidRPr="00FD24F6">
        <w:rPr>
          <w:rFonts w:ascii="SimSun" w:hAnsi="SimSun" w:hint="eastAsia"/>
          <w:sz w:val="21"/>
        </w:rPr>
        <w:t>的业务环境就欺诈、腐败、合谋</w:t>
      </w:r>
      <w:r w:rsidRPr="00FD24F6">
        <w:rPr>
          <w:rFonts w:ascii="SimSun" w:hAnsi="SimSun" w:hint="eastAsia"/>
          <w:sz w:val="21"/>
        </w:rPr>
        <w:t>行为的存在方面</w:t>
      </w:r>
      <w:r w:rsidR="00E3425C" w:rsidRPr="00FD24F6">
        <w:rPr>
          <w:rFonts w:ascii="SimSun" w:hAnsi="SimSun" w:hint="eastAsia"/>
          <w:sz w:val="21"/>
        </w:rPr>
        <w:t>，不具有高</w:t>
      </w:r>
      <w:r w:rsidRPr="00FD24F6">
        <w:rPr>
          <w:rFonts w:ascii="SimSun" w:hAnsi="SimSun" w:hint="eastAsia"/>
          <w:sz w:val="21"/>
        </w:rPr>
        <w:t>风险，但是这些风险存在于所有组织中，WIPO</w:t>
      </w:r>
      <w:r w:rsidR="00C46BF3" w:rsidRPr="00FD24F6">
        <w:rPr>
          <w:rFonts w:ascii="SimSun" w:hAnsi="SimSun" w:hint="eastAsia"/>
          <w:sz w:val="21"/>
        </w:rPr>
        <w:t>已表明对这些行为采取</w:t>
      </w:r>
      <w:r w:rsidRPr="00FD24F6">
        <w:rPr>
          <w:rFonts w:ascii="SimSun" w:hAnsi="SimSun" w:hint="eastAsia"/>
          <w:sz w:val="21"/>
        </w:rPr>
        <w:t>零容忍政策。</w:t>
      </w:r>
    </w:p>
    <w:p w:rsidR="0008267F" w:rsidRPr="00FD24F6" w:rsidRDefault="007A687C"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战略风险</w:t>
      </w:r>
    </w:p>
    <w:p w:rsidR="00C11D1A" w:rsidRPr="00FD24F6" w:rsidRDefault="006151B0"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对国际知识产权体系的</w:t>
      </w:r>
      <w:r w:rsidR="00117B3F" w:rsidRPr="00FD24F6">
        <w:rPr>
          <w:rFonts w:ascii="SimSun" w:hAnsi="SimSun" w:hint="eastAsia"/>
          <w:sz w:val="21"/>
        </w:rPr>
        <w:t>好处</w:t>
      </w:r>
      <w:r w:rsidRPr="00FD24F6">
        <w:rPr>
          <w:rFonts w:ascii="SimSun" w:hAnsi="SimSun" w:hint="eastAsia"/>
          <w:sz w:val="21"/>
        </w:rPr>
        <w:t>形成</w:t>
      </w:r>
      <w:r w:rsidR="00117B3F" w:rsidRPr="00FD24F6">
        <w:rPr>
          <w:rFonts w:ascii="SimSun" w:hAnsi="SimSun" w:hint="eastAsia"/>
          <w:color w:val="222222"/>
          <w:sz w:val="21"/>
        </w:rPr>
        <w:t>共同</w:t>
      </w:r>
      <w:r w:rsidR="00117B3F" w:rsidRPr="00FD24F6">
        <w:rPr>
          <w:rFonts w:ascii="SimSun" w:hAnsi="SimSun" w:hint="eastAsia"/>
          <w:sz w:val="21"/>
        </w:rPr>
        <w:t>的理解对这个体系的平衡演变至关重要。本组织认可</w:t>
      </w:r>
      <w:r w:rsidR="002519F4" w:rsidRPr="00FD24F6">
        <w:rPr>
          <w:rFonts w:ascii="SimSun" w:hAnsi="SimSun" w:hint="eastAsia"/>
          <w:sz w:val="21"/>
        </w:rPr>
        <w:t>有必要寻找</w:t>
      </w:r>
      <w:r w:rsidR="00117B3F" w:rsidRPr="00FD24F6">
        <w:rPr>
          <w:rFonts w:ascii="SimSun" w:hAnsi="SimSun" w:hint="eastAsia"/>
          <w:sz w:val="21"/>
        </w:rPr>
        <w:t>能</w:t>
      </w:r>
      <w:r w:rsidRPr="00FD24F6">
        <w:rPr>
          <w:rFonts w:ascii="SimSun" w:hAnsi="SimSun" w:hint="eastAsia"/>
          <w:sz w:val="21"/>
        </w:rPr>
        <w:t>为国际框架的持续发展提供平台的</w:t>
      </w:r>
      <w:r w:rsidR="002519F4" w:rsidRPr="00FD24F6">
        <w:rPr>
          <w:rFonts w:ascii="SimSun" w:hAnsi="SimSun" w:hint="eastAsia"/>
          <w:sz w:val="21"/>
        </w:rPr>
        <w:t>具体</w:t>
      </w:r>
      <w:r w:rsidRPr="00FD24F6">
        <w:rPr>
          <w:rFonts w:ascii="SimSun" w:hAnsi="SimSun" w:hint="eastAsia"/>
          <w:sz w:val="21"/>
        </w:rPr>
        <w:t>机会</w:t>
      </w:r>
      <w:r w:rsidR="00B61E8A" w:rsidRPr="00FD24F6">
        <w:rPr>
          <w:rFonts w:ascii="SimSun" w:hAnsi="SimSun" w:hint="eastAsia"/>
          <w:sz w:val="21"/>
        </w:rPr>
        <w:t>。成员国在秘书处的协助下尽一切努力降低</w:t>
      </w:r>
      <w:r w:rsidR="002519F4" w:rsidRPr="00FD24F6">
        <w:rPr>
          <w:rFonts w:ascii="SimSun" w:hAnsi="SimSun" w:hint="eastAsia"/>
          <w:sz w:val="21"/>
        </w:rPr>
        <w:t>实现此目标的风险。</w:t>
      </w:r>
    </w:p>
    <w:p w:rsidR="0008267F" w:rsidRPr="00FD24F6" w:rsidRDefault="002519F4" w:rsidP="00FD24F6">
      <w:pPr>
        <w:spacing w:beforeLines="100" w:before="240" w:afterLines="50" w:after="120" w:line="340" w:lineRule="atLeast"/>
        <w:rPr>
          <w:rFonts w:ascii="SimHei" w:eastAsia="SimHei" w:hAnsi="SimHei"/>
          <w:sz w:val="21"/>
        </w:rPr>
      </w:pPr>
      <w:r w:rsidRPr="00FD24F6">
        <w:rPr>
          <w:rFonts w:ascii="SimHei" w:eastAsia="SimHei" w:hAnsi="SimHei" w:hint="eastAsia"/>
          <w:sz w:val="21"/>
        </w:rPr>
        <w:t>声誉影响</w:t>
      </w:r>
    </w:p>
    <w:p w:rsidR="0008267F" w:rsidRPr="00FD24F6" w:rsidRDefault="002519F4"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color w:val="222222"/>
          <w:sz w:val="21"/>
        </w:rPr>
        <w:t>作为公共部门组织和联合国的专门机构，WIPO必须坚持透明度和问责制的最高标准。因此，它接受来自客户、利益</w:t>
      </w:r>
      <w:r w:rsidR="006B01BC">
        <w:rPr>
          <w:rFonts w:ascii="SimSun" w:hAnsi="SimSun" w:hint="eastAsia"/>
          <w:color w:val="222222"/>
          <w:sz w:val="21"/>
        </w:rPr>
        <w:t>攸关方</w:t>
      </w:r>
      <w:r w:rsidRPr="00FD24F6">
        <w:rPr>
          <w:rFonts w:ascii="SimSun" w:hAnsi="SimSun" w:hint="eastAsia"/>
          <w:color w:val="222222"/>
          <w:sz w:val="21"/>
        </w:rPr>
        <w:t>、工作人员、以及公众的不断审视。前述提到的任何一种风险</w:t>
      </w:r>
      <w:r w:rsidR="00117B3F" w:rsidRPr="00FD24F6">
        <w:rPr>
          <w:rFonts w:ascii="SimSun" w:hAnsi="SimSun" w:hint="eastAsia"/>
          <w:color w:val="222222"/>
          <w:sz w:val="21"/>
        </w:rPr>
        <w:t>均可能对声誉产生影响，并严重</w:t>
      </w:r>
      <w:r w:rsidR="005451A3" w:rsidRPr="00FD24F6">
        <w:rPr>
          <w:rFonts w:ascii="SimSun" w:hAnsi="SimSun" w:hint="eastAsia"/>
          <w:color w:val="222222"/>
          <w:sz w:val="21"/>
        </w:rPr>
        <w:t>损害本组织</w:t>
      </w:r>
      <w:r w:rsidRPr="00FD24F6">
        <w:rPr>
          <w:rFonts w:ascii="SimSun" w:hAnsi="SimSun" w:hint="eastAsia"/>
          <w:color w:val="222222"/>
          <w:sz w:val="21"/>
        </w:rPr>
        <w:t>工作的可信度，对此WIPO的容</w:t>
      </w:r>
      <w:r w:rsidR="00880472" w:rsidRPr="00FD24F6">
        <w:rPr>
          <w:rFonts w:ascii="SimSun" w:hAnsi="SimSun" w:hint="eastAsia"/>
          <w:color w:val="222222"/>
          <w:sz w:val="21"/>
        </w:rPr>
        <w:t>忍度也相应很低。鉴此，向公众</w:t>
      </w:r>
      <w:r w:rsidR="005451A3" w:rsidRPr="00FD24F6">
        <w:rPr>
          <w:rFonts w:ascii="SimSun" w:hAnsi="SimSun" w:hint="eastAsia"/>
          <w:color w:val="222222"/>
          <w:sz w:val="21"/>
        </w:rPr>
        <w:t>披露</w:t>
      </w:r>
      <w:r w:rsidR="00880472" w:rsidRPr="00FD24F6">
        <w:rPr>
          <w:rFonts w:ascii="SimSun" w:hAnsi="SimSun" w:hint="eastAsia"/>
          <w:color w:val="222222"/>
          <w:sz w:val="21"/>
        </w:rPr>
        <w:t>信息</w:t>
      </w:r>
      <w:r w:rsidR="005451A3" w:rsidRPr="00FD24F6">
        <w:rPr>
          <w:rFonts w:ascii="SimSun" w:hAnsi="SimSun" w:hint="eastAsia"/>
          <w:color w:val="222222"/>
          <w:sz w:val="21"/>
        </w:rPr>
        <w:t>、主动提供信息、</w:t>
      </w:r>
      <w:r w:rsidR="00880472" w:rsidRPr="00FD24F6">
        <w:rPr>
          <w:rFonts w:ascii="SimSun" w:hAnsi="SimSun" w:hint="eastAsia"/>
          <w:color w:val="222222"/>
          <w:sz w:val="21"/>
        </w:rPr>
        <w:t>增强</w:t>
      </w:r>
      <w:r w:rsidR="005451A3" w:rsidRPr="00FD24F6">
        <w:rPr>
          <w:rFonts w:ascii="SimSun" w:hAnsi="SimSun" w:hint="eastAsia"/>
          <w:color w:val="222222"/>
          <w:sz w:val="21"/>
        </w:rPr>
        <w:t>媒体意识、以及正面</w:t>
      </w:r>
      <w:r w:rsidRPr="00FD24F6">
        <w:rPr>
          <w:rFonts w:ascii="SimSun" w:hAnsi="SimSun" w:hint="eastAsia"/>
          <w:color w:val="222222"/>
          <w:sz w:val="21"/>
        </w:rPr>
        <w:t>回应问询是</w:t>
      </w:r>
      <w:r w:rsidR="0088183F" w:rsidRPr="00FD24F6">
        <w:rPr>
          <w:rFonts w:ascii="SimSun" w:hAnsi="SimSun" w:hint="eastAsia"/>
          <w:color w:val="222222"/>
          <w:sz w:val="21"/>
        </w:rPr>
        <w:t>可采取的</w:t>
      </w:r>
      <w:r w:rsidRPr="00FD24F6">
        <w:rPr>
          <w:rFonts w:ascii="SimSun" w:hAnsi="SimSun" w:hint="eastAsia"/>
          <w:color w:val="222222"/>
          <w:sz w:val="21"/>
        </w:rPr>
        <w:t>关键缓减措施。</w:t>
      </w:r>
    </w:p>
    <w:p w:rsidR="0008267F" w:rsidRPr="00FD24F6" w:rsidRDefault="00A967AD" w:rsidP="00FD24F6">
      <w:pPr>
        <w:pStyle w:val="ONUME"/>
        <w:tabs>
          <w:tab w:val="clear" w:pos="709"/>
        </w:tabs>
        <w:spacing w:afterLines="50" w:after="120" w:line="340" w:lineRule="atLeast"/>
        <w:ind w:left="0"/>
        <w:jc w:val="both"/>
        <w:rPr>
          <w:rFonts w:ascii="SimSun" w:hAnsi="SimSun"/>
          <w:sz w:val="21"/>
        </w:rPr>
      </w:pPr>
      <w:r w:rsidRPr="00FD24F6">
        <w:rPr>
          <w:rFonts w:ascii="SimSun" w:hAnsi="SimSun" w:hint="eastAsia"/>
          <w:sz w:val="21"/>
        </w:rPr>
        <w:t>提议决定段落</w:t>
      </w:r>
      <w:r w:rsidR="00471FC9" w:rsidRPr="00FD24F6">
        <w:rPr>
          <w:rFonts w:ascii="SimSun" w:hAnsi="SimSun" w:hint="eastAsia"/>
          <w:sz w:val="21"/>
        </w:rPr>
        <w:t>措辞</w:t>
      </w:r>
      <w:r w:rsidRPr="00FD24F6">
        <w:rPr>
          <w:rFonts w:ascii="SimSun" w:hAnsi="SimSun" w:hint="eastAsia"/>
          <w:sz w:val="21"/>
        </w:rPr>
        <w:t>如下。</w:t>
      </w:r>
    </w:p>
    <w:p w:rsidR="0008267F" w:rsidRPr="00FD24F6" w:rsidRDefault="00C81DF4" w:rsidP="006B01BC">
      <w:pPr>
        <w:pStyle w:val="ONUME"/>
        <w:tabs>
          <w:tab w:val="clear" w:pos="709"/>
        </w:tabs>
        <w:spacing w:afterLines="50" w:after="120" w:line="340" w:lineRule="atLeast"/>
        <w:ind w:left="5534"/>
        <w:jc w:val="both"/>
        <w:rPr>
          <w:rFonts w:ascii="KaiTi" w:eastAsia="KaiTi" w:hAnsi="KaiTi"/>
          <w:i/>
          <w:sz w:val="21"/>
        </w:rPr>
      </w:pPr>
      <w:r w:rsidRPr="00FD24F6">
        <w:rPr>
          <w:rFonts w:ascii="KaiTi" w:eastAsia="KaiTi" w:hAnsi="KaiTi" w:hint="eastAsia"/>
          <w:i/>
          <w:sz w:val="21"/>
        </w:rPr>
        <w:t>计划和预算委员会注意到</w:t>
      </w:r>
      <w:r w:rsidR="006B01BC" w:rsidRPr="00FD24F6">
        <w:rPr>
          <w:rFonts w:ascii="KaiTi" w:eastAsia="KaiTi" w:hAnsi="KaiTi" w:hint="eastAsia"/>
          <w:i/>
          <w:sz w:val="21"/>
        </w:rPr>
        <w:t>文件</w:t>
      </w:r>
      <w:r w:rsidR="006B01BC" w:rsidRPr="00FD24F6">
        <w:rPr>
          <w:rFonts w:ascii="KaiTi" w:eastAsia="KaiTi" w:hAnsi="KaiTi"/>
          <w:i/>
          <w:sz w:val="21"/>
        </w:rPr>
        <w:t>WO/PBC/22/17</w:t>
      </w:r>
      <w:r w:rsidR="006B01BC">
        <w:rPr>
          <w:rFonts w:ascii="KaiTi" w:eastAsia="KaiTi" w:hAnsi="KaiTi" w:hint="eastAsia"/>
          <w:i/>
          <w:sz w:val="21"/>
        </w:rPr>
        <w:t>中所载的、</w:t>
      </w:r>
      <w:r w:rsidR="00A967AD" w:rsidRPr="00FD24F6">
        <w:rPr>
          <w:rFonts w:ascii="KaiTi" w:eastAsia="KaiTi" w:hAnsi="KaiTi" w:hint="eastAsia"/>
          <w:i/>
          <w:sz w:val="21"/>
        </w:rPr>
        <w:t>根据</w:t>
      </w:r>
      <w:r w:rsidRPr="00FD24F6">
        <w:rPr>
          <w:rFonts w:ascii="KaiTi" w:eastAsia="KaiTi" w:hAnsi="KaiTi" w:hint="eastAsia"/>
          <w:i/>
          <w:sz w:val="21"/>
        </w:rPr>
        <w:t>审计与监督建议所编拟</w:t>
      </w:r>
      <w:r w:rsidR="00A967AD" w:rsidRPr="00FD24F6">
        <w:rPr>
          <w:rFonts w:ascii="KaiTi" w:eastAsia="KaiTi" w:hAnsi="KaiTi" w:hint="eastAsia"/>
          <w:i/>
          <w:sz w:val="21"/>
        </w:rPr>
        <w:t>的WIPO风险</w:t>
      </w:r>
      <w:bookmarkStart w:id="1" w:name="_GoBack"/>
      <w:bookmarkEnd w:id="1"/>
      <w:r w:rsidR="00A967AD" w:rsidRPr="00FD24F6">
        <w:rPr>
          <w:rFonts w:ascii="KaiTi" w:eastAsia="KaiTi" w:hAnsi="KaiTi" w:hint="eastAsia"/>
          <w:i/>
          <w:sz w:val="21"/>
        </w:rPr>
        <w:t>偏好陈述书。</w:t>
      </w:r>
    </w:p>
    <w:p w:rsidR="0051156E" w:rsidRPr="00FD24F6" w:rsidRDefault="0051156E" w:rsidP="00FD24F6">
      <w:pPr>
        <w:spacing w:line="276" w:lineRule="auto"/>
        <w:ind w:left="5533"/>
        <w:jc w:val="both"/>
        <w:rPr>
          <w:rFonts w:ascii="KaiTi" w:eastAsia="KaiTi" w:hAnsi="KaiTi"/>
          <w:sz w:val="21"/>
        </w:rPr>
      </w:pPr>
    </w:p>
    <w:p w:rsidR="0008267F" w:rsidRPr="00FD24F6" w:rsidRDefault="0008267F" w:rsidP="00FD24F6">
      <w:pPr>
        <w:pStyle w:val="ONUME"/>
        <w:numPr>
          <w:ilvl w:val="0"/>
          <w:numId w:val="0"/>
        </w:numPr>
        <w:spacing w:afterLines="50" w:after="120" w:line="340" w:lineRule="atLeast"/>
        <w:ind w:left="5534"/>
        <w:jc w:val="both"/>
        <w:rPr>
          <w:rFonts w:ascii="KaiTi" w:eastAsia="KaiTi" w:hAnsi="KaiTi"/>
          <w:sz w:val="21"/>
        </w:rPr>
      </w:pPr>
      <w:r w:rsidRPr="00FD24F6">
        <w:rPr>
          <w:rFonts w:ascii="KaiTi" w:eastAsia="KaiTi" w:hAnsi="KaiTi"/>
          <w:sz w:val="21"/>
        </w:rPr>
        <w:t>[</w:t>
      </w:r>
      <w:r w:rsidR="00A967AD" w:rsidRPr="00FD24F6">
        <w:rPr>
          <w:rFonts w:ascii="KaiTi" w:eastAsia="KaiTi" w:hAnsi="KaiTi" w:hint="eastAsia"/>
          <w:sz w:val="21"/>
        </w:rPr>
        <w:t>文件完</w:t>
      </w:r>
      <w:r w:rsidRPr="00FD24F6">
        <w:rPr>
          <w:rFonts w:ascii="KaiTi" w:eastAsia="KaiTi" w:hAnsi="KaiTi"/>
          <w:sz w:val="21"/>
        </w:rPr>
        <w:t>]</w:t>
      </w:r>
    </w:p>
    <w:sectPr w:rsidR="0008267F" w:rsidRPr="00FD24F6" w:rsidSect="00FD24F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B0" w:rsidRDefault="006151B0">
      <w:r>
        <w:separator/>
      </w:r>
    </w:p>
  </w:endnote>
  <w:endnote w:type="continuationSeparator" w:id="0">
    <w:p w:rsidR="006151B0" w:rsidRDefault="006151B0" w:rsidP="003B38C1">
      <w:r>
        <w:separator/>
      </w:r>
    </w:p>
    <w:p w:rsidR="006151B0" w:rsidRPr="003B38C1" w:rsidRDefault="006151B0" w:rsidP="003B38C1">
      <w:pPr>
        <w:spacing w:after="60"/>
        <w:rPr>
          <w:sz w:val="17"/>
        </w:rPr>
      </w:pPr>
      <w:r>
        <w:rPr>
          <w:sz w:val="17"/>
        </w:rPr>
        <w:t>[Endnote continued from previous page]</w:t>
      </w:r>
    </w:p>
  </w:endnote>
  <w:endnote w:type="continuationNotice" w:id="1">
    <w:p w:rsidR="006151B0" w:rsidRPr="003B38C1" w:rsidRDefault="006151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B0" w:rsidRDefault="006151B0">
      <w:r>
        <w:separator/>
      </w:r>
    </w:p>
  </w:footnote>
  <w:footnote w:type="continuationSeparator" w:id="0">
    <w:p w:rsidR="006151B0" w:rsidRDefault="006151B0" w:rsidP="008B60B2">
      <w:r>
        <w:separator/>
      </w:r>
    </w:p>
    <w:p w:rsidR="006151B0" w:rsidRPr="00ED77FB" w:rsidRDefault="006151B0" w:rsidP="008B60B2">
      <w:pPr>
        <w:spacing w:after="60"/>
        <w:rPr>
          <w:sz w:val="17"/>
          <w:szCs w:val="17"/>
        </w:rPr>
      </w:pPr>
      <w:r w:rsidRPr="00ED77FB">
        <w:rPr>
          <w:sz w:val="17"/>
          <w:szCs w:val="17"/>
        </w:rPr>
        <w:t>[Footnote continued from previous page]</w:t>
      </w:r>
    </w:p>
  </w:footnote>
  <w:footnote w:type="continuationNotice" w:id="1">
    <w:p w:rsidR="006151B0" w:rsidRPr="00ED77FB" w:rsidRDefault="006151B0" w:rsidP="008B60B2">
      <w:pPr>
        <w:spacing w:before="60"/>
        <w:jc w:val="right"/>
        <w:rPr>
          <w:sz w:val="17"/>
          <w:szCs w:val="17"/>
        </w:rPr>
      </w:pPr>
      <w:r w:rsidRPr="00ED77FB">
        <w:rPr>
          <w:sz w:val="17"/>
          <w:szCs w:val="17"/>
        </w:rPr>
        <w:t>[Footnote continued on next page]</w:t>
      </w:r>
    </w:p>
  </w:footnote>
  <w:footnote w:id="2">
    <w:p w:rsidR="006151B0" w:rsidRPr="00FD24F6" w:rsidRDefault="006151B0" w:rsidP="0016065E">
      <w:pPr>
        <w:pStyle w:val="a9"/>
        <w:rPr>
          <w:rFonts w:ascii="SimSun" w:hAnsi="SimSun"/>
        </w:rPr>
      </w:pPr>
      <w:r w:rsidRPr="00FD24F6">
        <w:rPr>
          <w:rStyle w:val="ad"/>
          <w:rFonts w:ascii="SimSun" w:hAnsi="SimSun"/>
        </w:rPr>
        <w:footnoteRef/>
      </w:r>
      <w:r w:rsidRPr="00FD24F6">
        <w:rPr>
          <w:rFonts w:ascii="SimSun" w:hAnsi="SimSun"/>
        </w:rPr>
        <w:t xml:space="preserve"> </w:t>
      </w:r>
      <w:r w:rsidR="00FD24F6">
        <w:rPr>
          <w:rFonts w:ascii="SimSun" w:hAnsi="SimSun" w:hint="eastAsia"/>
        </w:rPr>
        <w:tab/>
      </w:r>
      <w:r w:rsidRPr="00FD24F6">
        <w:rPr>
          <w:rFonts w:ascii="SimSun" w:hAnsi="SimSun" w:hint="eastAsia"/>
        </w:rPr>
        <w:t>风险容忍度是本组织围绕特定目标</w:t>
      </w:r>
      <w:r w:rsidR="00FD24F6">
        <w:rPr>
          <w:rFonts w:ascii="SimSun" w:hAnsi="SimSun" w:hint="eastAsia"/>
        </w:rPr>
        <w:t>(</w:t>
      </w:r>
      <w:r w:rsidRPr="00FD24F6">
        <w:rPr>
          <w:rFonts w:ascii="SimSun" w:hAnsi="SimSun" w:hint="eastAsia"/>
        </w:rPr>
        <w:t>实现过程中</w:t>
      </w:r>
      <w:r w:rsidR="00FD24F6">
        <w:rPr>
          <w:rFonts w:ascii="SimSun" w:hAnsi="SimSun" w:hint="eastAsia"/>
        </w:rPr>
        <w:t>)</w:t>
      </w:r>
      <w:r w:rsidRPr="00FD24F6">
        <w:rPr>
          <w:rFonts w:ascii="SimSun" w:hAnsi="SimSun" w:hint="eastAsia"/>
        </w:rPr>
        <w:t>出现的差异水平的接受程度，在组织层级中设有多层特定审批等级。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B0" w:rsidRPr="00FD24F6" w:rsidRDefault="006151B0" w:rsidP="00477D6B">
    <w:pPr>
      <w:jc w:val="right"/>
      <w:rPr>
        <w:rFonts w:ascii="SimSun" w:hAnsi="SimSun"/>
        <w:sz w:val="21"/>
      </w:rPr>
    </w:pPr>
    <w:bookmarkStart w:id="2" w:name="Code2"/>
    <w:bookmarkEnd w:id="2"/>
    <w:r w:rsidRPr="00FD24F6">
      <w:rPr>
        <w:rFonts w:ascii="SimSun" w:hAnsi="SimSun"/>
        <w:sz w:val="21"/>
      </w:rPr>
      <w:t>WO/PBC/22/17</w:t>
    </w:r>
  </w:p>
  <w:p w:rsidR="006151B0" w:rsidRDefault="00EB535B" w:rsidP="00477D6B">
    <w:pPr>
      <w:jc w:val="right"/>
      <w:rPr>
        <w:rFonts w:ascii="SimSun" w:hAnsi="SimSun" w:hint="eastAsia"/>
        <w:sz w:val="21"/>
      </w:rPr>
    </w:pPr>
    <w:r w:rsidRPr="00FD24F6">
      <w:rPr>
        <w:rFonts w:ascii="SimSun" w:hAnsi="SimSun" w:hint="eastAsia"/>
        <w:sz w:val="21"/>
      </w:rPr>
      <w:t>第</w:t>
    </w:r>
    <w:r w:rsidR="006151B0" w:rsidRPr="00FD24F6">
      <w:rPr>
        <w:rFonts w:ascii="SimSun" w:hAnsi="SimSun"/>
        <w:sz w:val="21"/>
      </w:rPr>
      <w:fldChar w:fldCharType="begin"/>
    </w:r>
    <w:r w:rsidR="006151B0" w:rsidRPr="00FD24F6">
      <w:rPr>
        <w:rFonts w:ascii="SimSun" w:hAnsi="SimSun"/>
        <w:sz w:val="21"/>
      </w:rPr>
      <w:instrText xml:space="preserve"> PAGE  \* MERGEFORMAT </w:instrText>
    </w:r>
    <w:r w:rsidR="006151B0" w:rsidRPr="00FD24F6">
      <w:rPr>
        <w:rFonts w:ascii="SimSun" w:hAnsi="SimSun"/>
        <w:sz w:val="21"/>
      </w:rPr>
      <w:fldChar w:fldCharType="separate"/>
    </w:r>
    <w:r w:rsidR="000F7870">
      <w:rPr>
        <w:rFonts w:ascii="SimSun" w:hAnsi="SimSun"/>
        <w:noProof/>
        <w:sz w:val="21"/>
      </w:rPr>
      <w:t>3</w:t>
    </w:r>
    <w:r w:rsidR="006151B0" w:rsidRPr="00FD24F6">
      <w:rPr>
        <w:rFonts w:ascii="SimSun" w:hAnsi="SimSun"/>
        <w:sz w:val="21"/>
      </w:rPr>
      <w:fldChar w:fldCharType="end"/>
    </w:r>
    <w:r w:rsidRPr="00FD24F6">
      <w:rPr>
        <w:rFonts w:ascii="SimSun" w:hAnsi="SimSun" w:hint="eastAsia"/>
        <w:sz w:val="21"/>
      </w:rPr>
      <w:t>页</w:t>
    </w:r>
  </w:p>
  <w:p w:rsidR="00FD24F6" w:rsidRPr="00FD24F6" w:rsidRDefault="00FD24F6" w:rsidP="00477D6B">
    <w:pPr>
      <w:jc w:val="right"/>
      <w:rPr>
        <w:rFonts w:ascii="SimSun" w:hAnsi="SimSun"/>
        <w:sz w:val="21"/>
      </w:rPr>
    </w:pPr>
  </w:p>
  <w:p w:rsidR="006151B0" w:rsidRPr="00FD24F6" w:rsidRDefault="006151B0"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7F"/>
    <w:rsid w:val="00012A69"/>
    <w:rsid w:val="00043CAA"/>
    <w:rsid w:val="0006736E"/>
    <w:rsid w:val="00075432"/>
    <w:rsid w:val="0008267F"/>
    <w:rsid w:val="000927DD"/>
    <w:rsid w:val="000968ED"/>
    <w:rsid w:val="000B2836"/>
    <w:rsid w:val="000D2359"/>
    <w:rsid w:val="000F5E56"/>
    <w:rsid w:val="000F7870"/>
    <w:rsid w:val="00107477"/>
    <w:rsid w:val="00117B3F"/>
    <w:rsid w:val="001316DF"/>
    <w:rsid w:val="00134A1A"/>
    <w:rsid w:val="001362EE"/>
    <w:rsid w:val="0015555C"/>
    <w:rsid w:val="00155E98"/>
    <w:rsid w:val="0016065E"/>
    <w:rsid w:val="00160B6C"/>
    <w:rsid w:val="00166EBD"/>
    <w:rsid w:val="001832A6"/>
    <w:rsid w:val="001A5684"/>
    <w:rsid w:val="001A6541"/>
    <w:rsid w:val="001C69F7"/>
    <w:rsid w:val="001D3914"/>
    <w:rsid w:val="001F2A34"/>
    <w:rsid w:val="002253DF"/>
    <w:rsid w:val="002519F4"/>
    <w:rsid w:val="002634C4"/>
    <w:rsid w:val="002718F3"/>
    <w:rsid w:val="00272197"/>
    <w:rsid w:val="0028493E"/>
    <w:rsid w:val="002928D3"/>
    <w:rsid w:val="002A571B"/>
    <w:rsid w:val="002B6DFF"/>
    <w:rsid w:val="002C29D2"/>
    <w:rsid w:val="002C419C"/>
    <w:rsid w:val="002D2863"/>
    <w:rsid w:val="002F1FE6"/>
    <w:rsid w:val="002F4E68"/>
    <w:rsid w:val="0030455C"/>
    <w:rsid w:val="00312F7F"/>
    <w:rsid w:val="00331D3E"/>
    <w:rsid w:val="00361450"/>
    <w:rsid w:val="003653F9"/>
    <w:rsid w:val="003673CF"/>
    <w:rsid w:val="003845C1"/>
    <w:rsid w:val="00391A46"/>
    <w:rsid w:val="003A6F89"/>
    <w:rsid w:val="003B38C1"/>
    <w:rsid w:val="003B5396"/>
    <w:rsid w:val="003B60B1"/>
    <w:rsid w:val="003E16F2"/>
    <w:rsid w:val="00407AAC"/>
    <w:rsid w:val="00423E3E"/>
    <w:rsid w:val="00427AF4"/>
    <w:rsid w:val="0043481A"/>
    <w:rsid w:val="0044664D"/>
    <w:rsid w:val="004647DA"/>
    <w:rsid w:val="00471FC9"/>
    <w:rsid w:val="00474062"/>
    <w:rsid w:val="00477D6B"/>
    <w:rsid w:val="004B4B89"/>
    <w:rsid w:val="004D014B"/>
    <w:rsid w:val="004F0540"/>
    <w:rsid w:val="005019FF"/>
    <w:rsid w:val="0051156E"/>
    <w:rsid w:val="005167BA"/>
    <w:rsid w:val="0053057A"/>
    <w:rsid w:val="005451A3"/>
    <w:rsid w:val="00560A29"/>
    <w:rsid w:val="00592CE6"/>
    <w:rsid w:val="005935C4"/>
    <w:rsid w:val="005C6649"/>
    <w:rsid w:val="005D1AA9"/>
    <w:rsid w:val="005F0F33"/>
    <w:rsid w:val="00601A88"/>
    <w:rsid w:val="00605827"/>
    <w:rsid w:val="006151B0"/>
    <w:rsid w:val="00631AFC"/>
    <w:rsid w:val="00645BDC"/>
    <w:rsid w:val="00646050"/>
    <w:rsid w:val="00650FB8"/>
    <w:rsid w:val="006707F8"/>
    <w:rsid w:val="006713CA"/>
    <w:rsid w:val="00676C5C"/>
    <w:rsid w:val="0067785B"/>
    <w:rsid w:val="0068354A"/>
    <w:rsid w:val="0068699A"/>
    <w:rsid w:val="006A741E"/>
    <w:rsid w:val="006B01BC"/>
    <w:rsid w:val="006B2A40"/>
    <w:rsid w:val="006D2D30"/>
    <w:rsid w:val="00701BB1"/>
    <w:rsid w:val="00735C2E"/>
    <w:rsid w:val="00744F23"/>
    <w:rsid w:val="0074592E"/>
    <w:rsid w:val="00780613"/>
    <w:rsid w:val="00787710"/>
    <w:rsid w:val="0079278B"/>
    <w:rsid w:val="007A687C"/>
    <w:rsid w:val="007B460A"/>
    <w:rsid w:val="007D0DB2"/>
    <w:rsid w:val="007D0E7A"/>
    <w:rsid w:val="007D1613"/>
    <w:rsid w:val="007D52E6"/>
    <w:rsid w:val="007D5325"/>
    <w:rsid w:val="007F3025"/>
    <w:rsid w:val="00880472"/>
    <w:rsid w:val="0088183F"/>
    <w:rsid w:val="008A69A8"/>
    <w:rsid w:val="008B2CC1"/>
    <w:rsid w:val="008B60B2"/>
    <w:rsid w:val="008F4814"/>
    <w:rsid w:val="0090731E"/>
    <w:rsid w:val="00916EE2"/>
    <w:rsid w:val="009450D4"/>
    <w:rsid w:val="009663AA"/>
    <w:rsid w:val="00966A22"/>
    <w:rsid w:val="0096722F"/>
    <w:rsid w:val="00980843"/>
    <w:rsid w:val="00980BEF"/>
    <w:rsid w:val="00982D43"/>
    <w:rsid w:val="00997E03"/>
    <w:rsid w:val="009C4662"/>
    <w:rsid w:val="009E2791"/>
    <w:rsid w:val="009E3F6F"/>
    <w:rsid w:val="009F499F"/>
    <w:rsid w:val="00A02B64"/>
    <w:rsid w:val="00A077BD"/>
    <w:rsid w:val="00A33CBA"/>
    <w:rsid w:val="00A40716"/>
    <w:rsid w:val="00A42DAF"/>
    <w:rsid w:val="00A432F5"/>
    <w:rsid w:val="00A45BD8"/>
    <w:rsid w:val="00A47840"/>
    <w:rsid w:val="00A53C33"/>
    <w:rsid w:val="00A6280F"/>
    <w:rsid w:val="00A8242F"/>
    <w:rsid w:val="00A869B7"/>
    <w:rsid w:val="00A9534F"/>
    <w:rsid w:val="00A967AD"/>
    <w:rsid w:val="00AA0131"/>
    <w:rsid w:val="00AC205C"/>
    <w:rsid w:val="00AF0A6B"/>
    <w:rsid w:val="00AF3E38"/>
    <w:rsid w:val="00B05A69"/>
    <w:rsid w:val="00B11918"/>
    <w:rsid w:val="00B61E8A"/>
    <w:rsid w:val="00B61FBC"/>
    <w:rsid w:val="00B91EAA"/>
    <w:rsid w:val="00B92867"/>
    <w:rsid w:val="00B9734B"/>
    <w:rsid w:val="00BA5E64"/>
    <w:rsid w:val="00BB377D"/>
    <w:rsid w:val="00BB395C"/>
    <w:rsid w:val="00BB4ED3"/>
    <w:rsid w:val="00BF133A"/>
    <w:rsid w:val="00BF7FB7"/>
    <w:rsid w:val="00C11BFE"/>
    <w:rsid w:val="00C11D1A"/>
    <w:rsid w:val="00C2467B"/>
    <w:rsid w:val="00C46BF3"/>
    <w:rsid w:val="00C60EB0"/>
    <w:rsid w:val="00C6484F"/>
    <w:rsid w:val="00C81DF4"/>
    <w:rsid w:val="00C825A3"/>
    <w:rsid w:val="00CF2273"/>
    <w:rsid w:val="00CF73C2"/>
    <w:rsid w:val="00D02FC6"/>
    <w:rsid w:val="00D24A26"/>
    <w:rsid w:val="00D37D5C"/>
    <w:rsid w:val="00D45252"/>
    <w:rsid w:val="00D71B4D"/>
    <w:rsid w:val="00D93D55"/>
    <w:rsid w:val="00DE63C2"/>
    <w:rsid w:val="00DF6232"/>
    <w:rsid w:val="00DF6947"/>
    <w:rsid w:val="00E25C63"/>
    <w:rsid w:val="00E335FE"/>
    <w:rsid w:val="00E3425C"/>
    <w:rsid w:val="00E73590"/>
    <w:rsid w:val="00E763B3"/>
    <w:rsid w:val="00E83A82"/>
    <w:rsid w:val="00EA70E9"/>
    <w:rsid w:val="00EB535B"/>
    <w:rsid w:val="00EC4E49"/>
    <w:rsid w:val="00ED77FB"/>
    <w:rsid w:val="00EE45FA"/>
    <w:rsid w:val="00EF0D1C"/>
    <w:rsid w:val="00F06A93"/>
    <w:rsid w:val="00F17BD2"/>
    <w:rsid w:val="00F3321E"/>
    <w:rsid w:val="00F40CDD"/>
    <w:rsid w:val="00F64D2C"/>
    <w:rsid w:val="00F66152"/>
    <w:rsid w:val="00F81852"/>
    <w:rsid w:val="00F85AC6"/>
    <w:rsid w:val="00F871FA"/>
    <w:rsid w:val="00F919AC"/>
    <w:rsid w:val="00F96D46"/>
    <w:rsid w:val="00FB4640"/>
    <w:rsid w:val="00FD24F6"/>
    <w:rsid w:val="00FD7621"/>
    <w:rsid w:val="00FF0D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08267F"/>
    <w:rPr>
      <w:vertAlign w:val="superscript"/>
    </w:rPr>
  </w:style>
  <w:style w:type="paragraph" w:styleId="ae">
    <w:name w:val="Balloon Text"/>
    <w:basedOn w:val="a0"/>
    <w:link w:val="Char"/>
    <w:rsid w:val="00735C2E"/>
    <w:rPr>
      <w:rFonts w:ascii="Tahoma" w:hAnsi="Tahoma" w:cs="Tahoma"/>
      <w:sz w:val="16"/>
      <w:szCs w:val="16"/>
    </w:rPr>
  </w:style>
  <w:style w:type="character" w:customStyle="1" w:styleId="Char">
    <w:name w:val="批注框文本 Char"/>
    <w:basedOn w:val="a1"/>
    <w:link w:val="ae"/>
    <w:rsid w:val="00735C2E"/>
    <w:rPr>
      <w:rFonts w:ascii="Tahoma" w:eastAsia="SimSun" w:hAnsi="Tahoma" w:cs="Tahoma"/>
      <w:sz w:val="16"/>
      <w:szCs w:val="16"/>
      <w:lang w:eastAsia="zh-CN"/>
    </w:rPr>
  </w:style>
  <w:style w:type="character" w:customStyle="1" w:styleId="hps">
    <w:name w:val="hps"/>
    <w:basedOn w:val="a1"/>
    <w:rsid w:val="00A82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08267F"/>
    <w:rPr>
      <w:vertAlign w:val="superscript"/>
    </w:rPr>
  </w:style>
  <w:style w:type="paragraph" w:styleId="ae">
    <w:name w:val="Balloon Text"/>
    <w:basedOn w:val="a0"/>
    <w:link w:val="Char"/>
    <w:rsid w:val="00735C2E"/>
    <w:rPr>
      <w:rFonts w:ascii="Tahoma" w:hAnsi="Tahoma" w:cs="Tahoma"/>
      <w:sz w:val="16"/>
      <w:szCs w:val="16"/>
    </w:rPr>
  </w:style>
  <w:style w:type="character" w:customStyle="1" w:styleId="Char">
    <w:name w:val="批注框文本 Char"/>
    <w:basedOn w:val="a1"/>
    <w:link w:val="ae"/>
    <w:rsid w:val="00735C2E"/>
    <w:rPr>
      <w:rFonts w:ascii="Tahoma" w:eastAsia="SimSun" w:hAnsi="Tahoma" w:cs="Tahoma"/>
      <w:sz w:val="16"/>
      <w:szCs w:val="16"/>
      <w:lang w:eastAsia="zh-CN"/>
    </w:rPr>
  </w:style>
  <w:style w:type="character" w:customStyle="1" w:styleId="hps">
    <w:name w:val="hps"/>
    <w:basedOn w:val="a1"/>
    <w:rsid w:val="00A8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AA19-CB50-40C2-9575-1ECC5716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584</TotalTime>
  <Pages>3</Pages>
  <Words>2066</Words>
  <Characters>178</Characters>
  <Application>Microsoft Office Word</Application>
  <DocSecurity>0</DocSecurity>
  <Lines>4</Lines>
  <Paragraphs>15</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WO/PBC/22/17</dc:title>
  <dc:subject>风险偏好陈述书</dc:subject>
  <dc:creator>NETTER Iza</dc:creator>
  <cp:lastModifiedBy>MA Weihai</cp:lastModifiedBy>
  <cp:revision>38</cp:revision>
  <cp:lastPrinted>2014-07-01T12:40:00Z</cp:lastPrinted>
  <dcterms:created xsi:type="dcterms:W3CDTF">2014-07-08T07:05:00Z</dcterms:created>
  <dcterms:modified xsi:type="dcterms:W3CDTF">2014-07-10T09:40:00Z</dcterms:modified>
</cp:coreProperties>
</file>