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FA23" w14:textId="77777777" w:rsidR="00720715" w:rsidRPr="007C537A" w:rsidRDefault="00720715" w:rsidP="00720715">
      <w:pPr>
        <w:jc w:val="right"/>
        <w:rPr>
          <w:caps/>
          <w:sz w:val="15"/>
        </w:rPr>
      </w:pPr>
      <w:r w:rsidRPr="007C537A">
        <w:rPr>
          <w:rFonts w:cs="Times New Roman" w:hint="eastAsia"/>
          <w:noProof/>
        </w:rPr>
        <w:drawing>
          <wp:inline distT="0" distB="0" distL="0" distR="0" wp14:anchorId="69D85436" wp14:editId="2B238C3C">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77E59B" w14:textId="57644477" w:rsidR="00720715" w:rsidRPr="007C537A" w:rsidRDefault="00720715" w:rsidP="00720715">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8</w:t>
      </w:r>
      <w:r w:rsidRPr="007C537A">
        <w:rPr>
          <w:rFonts w:ascii="Arial Black" w:hAnsi="Arial Black" w:hint="eastAsia"/>
          <w:b/>
          <w:caps/>
          <w:sz w:val="15"/>
        </w:rPr>
        <w:t>/</w:t>
      </w:r>
      <w:bookmarkStart w:id="0" w:name="Code"/>
      <w:r>
        <w:rPr>
          <w:rFonts w:ascii="Arial Black" w:hAnsi="Arial Black" w:hint="eastAsia"/>
          <w:b/>
          <w:caps/>
          <w:sz w:val="15"/>
        </w:rPr>
        <w:t>9</w:t>
      </w:r>
    </w:p>
    <w:bookmarkEnd w:id="0"/>
    <w:p w14:paraId="2AB063CB" w14:textId="77777777" w:rsidR="00720715" w:rsidRPr="007C537A" w:rsidRDefault="00720715" w:rsidP="00720715">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4BF13F95" w14:textId="77777777" w:rsidR="00720715" w:rsidRPr="007C537A" w:rsidRDefault="00720715" w:rsidP="00720715">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Pr>
          <w:rFonts w:ascii="Arial Black" w:eastAsia="SimHei" w:hAnsi="Arial Black" w:hint="eastAsia"/>
          <w:b/>
          <w:sz w:val="15"/>
          <w:szCs w:val="15"/>
          <w:lang w:val="pt-BR"/>
        </w:rPr>
        <w:t>4</w:t>
      </w:r>
      <w:r w:rsidRPr="007C537A">
        <w:rPr>
          <w:rFonts w:ascii="SimHei" w:eastAsia="SimHei" w:hAnsi="Times New Roman" w:hint="eastAsia"/>
          <w:b/>
          <w:sz w:val="15"/>
          <w:szCs w:val="15"/>
        </w:rPr>
        <w:t>月</w:t>
      </w:r>
      <w:r>
        <w:rPr>
          <w:rFonts w:ascii="Arial Black" w:eastAsia="SimHei" w:hAnsi="Arial Black" w:hint="eastAsia"/>
          <w:b/>
          <w:sz w:val="15"/>
          <w:szCs w:val="15"/>
          <w:lang w:val="pt-BR"/>
        </w:rPr>
        <w:t>7</w:t>
      </w:r>
      <w:r w:rsidRPr="007C537A">
        <w:rPr>
          <w:rFonts w:ascii="SimHei" w:eastAsia="SimHei" w:hAnsi="Times New Roman" w:hint="eastAsia"/>
          <w:b/>
          <w:sz w:val="15"/>
          <w:szCs w:val="15"/>
        </w:rPr>
        <w:t>日</w:t>
      </w:r>
    </w:p>
    <w:bookmarkEnd w:id="2"/>
    <w:p w14:paraId="012112FF" w14:textId="77777777" w:rsidR="00720715" w:rsidRPr="007C537A" w:rsidRDefault="00720715" w:rsidP="00720715">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6CE26845" w14:textId="77777777" w:rsidR="00720715" w:rsidRPr="007C537A" w:rsidRDefault="00720715" w:rsidP="00720715">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八</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27</w:t>
      </w:r>
      <w:r w:rsidRPr="007C537A">
        <w:rPr>
          <w:rFonts w:ascii="KaiTi" w:eastAsia="KaiTi" w:hAnsi="KaiTi" w:cs="Times New Roman" w:hint="eastAsia"/>
          <w:b/>
          <w:sz w:val="24"/>
          <w:szCs w:val="22"/>
        </w:rPr>
        <w:t>次</w:t>
      </w:r>
      <w:r>
        <w:rPr>
          <w:rFonts w:ascii="KaiTi" w:eastAsia="KaiTi" w:hAnsi="KaiTi" w:cs="Times New Roman" w:hint="eastAsia"/>
          <w:b/>
          <w:sz w:val="24"/>
          <w:szCs w:val="22"/>
        </w:rPr>
        <w:t>例会</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8</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17</w:t>
      </w:r>
      <w:r w:rsidRPr="007C537A">
        <w:rPr>
          <w:rFonts w:ascii="KaiTi" w:eastAsia="KaiTi" w:hAnsi="KaiTi" w:cs="Times New Roman" w:hint="eastAsia"/>
          <w:b/>
          <w:sz w:val="24"/>
          <w:szCs w:val="22"/>
        </w:rPr>
        <w:t>日，日内瓦</w:t>
      </w:r>
    </w:p>
    <w:p w14:paraId="44C722A4" w14:textId="23527D74" w:rsidR="00720715" w:rsidRPr="007C537A" w:rsidRDefault="00720715" w:rsidP="00720715">
      <w:pPr>
        <w:spacing w:after="360"/>
        <w:rPr>
          <w:rFonts w:ascii="KaiTi" w:eastAsia="KaiTi" w:hAnsi="KaiTi" w:cs="Times New Roman"/>
          <w:sz w:val="24"/>
          <w:szCs w:val="32"/>
        </w:rPr>
      </w:pPr>
      <w:bookmarkStart w:id="3" w:name="TitleOfDoc"/>
      <w:r w:rsidRPr="00720715">
        <w:rPr>
          <w:rFonts w:ascii="KaiTi" w:eastAsia="KaiTi" w:hAnsi="KaiTi" w:cs="Times New Roman" w:hint="eastAsia"/>
          <w:sz w:val="24"/>
          <w:szCs w:val="32"/>
        </w:rPr>
        <w:t>关于产权组织标准委员会（</w:t>
      </w:r>
      <w:r>
        <w:rPr>
          <w:rFonts w:ascii="KaiTi" w:eastAsia="KaiTi" w:hAnsi="KaiTi" w:cs="Times New Roman" w:hint="eastAsia"/>
          <w:sz w:val="24"/>
          <w:szCs w:val="32"/>
        </w:rPr>
        <w:t>标准委</w:t>
      </w:r>
      <w:r w:rsidRPr="00720715">
        <w:rPr>
          <w:rFonts w:ascii="KaiTi" w:eastAsia="KaiTi" w:hAnsi="KaiTi" w:cs="Times New Roman" w:hint="eastAsia"/>
          <w:sz w:val="24"/>
          <w:szCs w:val="32"/>
        </w:rPr>
        <w:t>）的报告</w:t>
      </w:r>
    </w:p>
    <w:p w14:paraId="2688D176" w14:textId="77777777" w:rsidR="00720715" w:rsidRPr="007C537A" w:rsidRDefault="00720715" w:rsidP="00720715">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秘书处编拟的文件</w:t>
      </w:r>
    </w:p>
    <w:bookmarkEnd w:id="4"/>
    <w:p w14:paraId="77913492" w14:textId="78BFE01F" w:rsidR="00595DCF" w:rsidRPr="00DF3B6B" w:rsidRDefault="00720715" w:rsidP="00DF3B6B">
      <w:pPr>
        <w:pStyle w:val="Heading2"/>
      </w:pPr>
      <w:r w:rsidRPr="00C0695F">
        <w:rPr>
          <w:rFonts w:hint="eastAsia"/>
        </w:rPr>
        <w:t>导　言</w:t>
      </w:r>
    </w:p>
    <w:p w14:paraId="189AAD31" w14:textId="35DC9A7A" w:rsidR="00595DCF" w:rsidRPr="00C0695F" w:rsidRDefault="00720715"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在报告所涉期间，产权组织标准委员会（下称委员会或标准委）于202</w:t>
      </w:r>
      <w:r w:rsidR="00334984" w:rsidRPr="00C0695F">
        <w:rPr>
          <w:rFonts w:ascii="SimSun" w:hAnsi="SimSun" w:hint="eastAsia"/>
        </w:rPr>
        <w:t>4</w:t>
      </w:r>
      <w:r w:rsidRPr="00C0695F">
        <w:rPr>
          <w:rFonts w:ascii="SimSun" w:hAnsi="SimSun" w:hint="eastAsia"/>
        </w:rPr>
        <w:t>年</w:t>
      </w:r>
      <w:r w:rsidR="00334984" w:rsidRPr="00C0695F">
        <w:rPr>
          <w:rFonts w:ascii="SimSun" w:hAnsi="SimSun" w:hint="eastAsia"/>
        </w:rPr>
        <w:t>9</w:t>
      </w:r>
      <w:r w:rsidRPr="00C0695F">
        <w:rPr>
          <w:rFonts w:ascii="SimSun" w:hAnsi="SimSun" w:hint="eastAsia"/>
        </w:rPr>
        <w:t>月</w:t>
      </w:r>
      <w:r w:rsidR="00334984" w:rsidRPr="00C0695F">
        <w:rPr>
          <w:rFonts w:ascii="SimSun" w:hAnsi="SimSun" w:hint="eastAsia"/>
        </w:rPr>
        <w:t>16</w:t>
      </w:r>
      <w:r w:rsidRPr="00C0695F">
        <w:rPr>
          <w:rFonts w:ascii="SimSun" w:hAnsi="SimSun" w:hint="eastAsia"/>
        </w:rPr>
        <w:t>日至</w:t>
      </w:r>
      <w:r w:rsidR="00334984" w:rsidRPr="00C0695F">
        <w:rPr>
          <w:rFonts w:ascii="SimSun" w:hAnsi="SimSun" w:hint="eastAsia"/>
        </w:rPr>
        <w:t>19</w:t>
      </w:r>
      <w:r w:rsidRPr="00C0695F">
        <w:rPr>
          <w:rFonts w:ascii="SimSun" w:hAnsi="SimSun" w:hint="eastAsia"/>
        </w:rPr>
        <w:t>日举行了第十</w:t>
      </w:r>
      <w:r w:rsidR="00334984" w:rsidRPr="00C0695F">
        <w:rPr>
          <w:rFonts w:ascii="SimSun" w:hAnsi="SimSun" w:hint="eastAsia"/>
        </w:rPr>
        <w:t>二</w:t>
      </w:r>
      <w:r w:rsidRPr="00C0695F">
        <w:rPr>
          <w:rFonts w:ascii="SimSun" w:hAnsi="SimSun" w:hint="eastAsia"/>
        </w:rPr>
        <w:t>届会议，由</w:t>
      </w:r>
      <w:r w:rsidR="00334984" w:rsidRPr="00C0695F">
        <w:rPr>
          <w:rFonts w:ascii="SimSun" w:hAnsi="SimSun" w:hint="eastAsia"/>
        </w:rPr>
        <w:t>迈克尔·克里斯蒂亚诺先生</w:t>
      </w:r>
      <w:r w:rsidRPr="00C0695F">
        <w:rPr>
          <w:rFonts w:ascii="SimSun" w:hAnsi="SimSun" w:hint="eastAsia"/>
        </w:rPr>
        <w:t>（</w:t>
      </w:r>
      <w:r w:rsidR="00334984" w:rsidRPr="00C0695F">
        <w:rPr>
          <w:rFonts w:ascii="SimSun" w:hAnsi="SimSun" w:hint="eastAsia"/>
        </w:rPr>
        <w:t>澳大利亚</w:t>
      </w:r>
      <w:r w:rsidRPr="00C0695F">
        <w:rPr>
          <w:rFonts w:ascii="SimSun" w:hAnsi="SimSun" w:hint="eastAsia"/>
        </w:rPr>
        <w:t>）主持。</w:t>
      </w:r>
    </w:p>
    <w:p w14:paraId="3463D6BB" w14:textId="3587EFEF" w:rsidR="00932BC8" w:rsidRPr="00C0695F" w:rsidRDefault="0033498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与会人员</w:t>
      </w:r>
      <w:r w:rsidR="00720715" w:rsidRPr="00C0695F">
        <w:rPr>
          <w:rFonts w:ascii="SimSun" w:hAnsi="SimSun" w:hint="eastAsia"/>
        </w:rPr>
        <w:t>继续就知识产权界对产权组织标准的发展和实施交换意见，并就有关知识产权数据、全球信息系统有关事项、全球体系上的信息服务、数据传播和文献的政策、建议和原则声明交换意见。</w:t>
      </w:r>
    </w:p>
    <w:p w14:paraId="6F41C881" w14:textId="69015725" w:rsidR="00DD07E9" w:rsidRPr="00C0695F" w:rsidRDefault="00720715"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讨论依据标准委不同工作队、代表团和秘书处提交的若干提案、文件和演示报告进行。</w:t>
      </w:r>
      <w:hyperlink r:id="rId9" w:history="1">
        <w:r w:rsidRPr="00C0695F">
          <w:rPr>
            <w:rStyle w:val="Hyperlink"/>
            <w:rFonts w:ascii="SimSun" w:hAnsi="SimSun" w:hint="eastAsia"/>
          </w:rPr>
          <w:t>第十</w:t>
        </w:r>
        <w:r w:rsidR="00334984" w:rsidRPr="00C0695F">
          <w:rPr>
            <w:rStyle w:val="Hyperlink"/>
            <w:rFonts w:ascii="SimSun" w:hAnsi="SimSun" w:hint="eastAsia"/>
          </w:rPr>
          <w:t>二</w:t>
        </w:r>
        <w:r w:rsidRPr="00C0695F">
          <w:rPr>
            <w:rStyle w:val="Hyperlink"/>
            <w:rFonts w:ascii="SimSun" w:hAnsi="SimSun" w:hint="eastAsia"/>
          </w:rPr>
          <w:t>届会议</w:t>
        </w:r>
      </w:hyperlink>
      <w:r w:rsidRPr="00C0695F">
        <w:rPr>
          <w:rFonts w:ascii="SimSun" w:hAnsi="SimSun" w:hint="eastAsia"/>
        </w:rPr>
        <w:t>的所有讨论材料和通过的会议报告均可在产权组织网站上查阅。</w:t>
      </w:r>
    </w:p>
    <w:p w14:paraId="096B64D4" w14:textId="0573EBAB" w:rsidR="00932BC8" w:rsidRPr="00C0695F" w:rsidRDefault="0033498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委员会一致选举阿里·哈尔比先生（沙特阿拉伯）和亚历山大·香西奥先生（巴西）担任第十二届和第十三届会议的副主席，他们的任期立即开始。</w:t>
      </w:r>
    </w:p>
    <w:p w14:paraId="0DF2D85A" w14:textId="23FC2E1A" w:rsidR="007921F9" w:rsidRPr="00C0695F" w:rsidRDefault="00720715" w:rsidP="00DF3B6B">
      <w:pPr>
        <w:pStyle w:val="Heading2"/>
      </w:pPr>
      <w:r w:rsidRPr="00C0695F">
        <w:rPr>
          <w:rFonts w:hint="eastAsia"/>
        </w:rPr>
        <w:t>标准委工作计划和任务</w:t>
      </w:r>
    </w:p>
    <w:p w14:paraId="64202594" w14:textId="04A24DF6" w:rsidR="006B5438" w:rsidRPr="00C0695F" w:rsidRDefault="0033498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委员会在第十二届会议上审查了其工作计划，包括19项活跃任务，并审议了增加三项新任务的</w:t>
      </w:r>
      <w:r w:rsidR="00813C1B">
        <w:rPr>
          <w:rFonts w:ascii="SimSun" w:hAnsi="SimSun" w:hint="eastAsia"/>
        </w:rPr>
        <w:t>提案</w:t>
      </w:r>
      <w:r w:rsidRPr="00C0695F">
        <w:rPr>
          <w:rFonts w:ascii="SimSun" w:hAnsi="SimSun" w:hint="eastAsia"/>
        </w:rPr>
        <w:t>。委员会还注意到，来自63个标准委成员和3个</w:t>
      </w:r>
      <w:r w:rsidR="00E22825">
        <w:rPr>
          <w:rFonts w:ascii="SimSun" w:hAnsi="SimSun" w:hint="eastAsia"/>
        </w:rPr>
        <w:t>标准委</w:t>
      </w:r>
      <w:r w:rsidRPr="00C0695F">
        <w:rPr>
          <w:rFonts w:ascii="SimSun" w:hAnsi="SimSun" w:hint="eastAsia"/>
        </w:rPr>
        <w:t>观察员的主题专家正在参加其各个工作队。委员会还审查了与所有活跃任务相关</w:t>
      </w:r>
      <w:r w:rsidR="00E22825">
        <w:rPr>
          <w:rFonts w:ascii="SimSun" w:hAnsi="SimSun" w:hint="eastAsia"/>
        </w:rPr>
        <w:t>的</w:t>
      </w:r>
      <w:r w:rsidRPr="00C0695F">
        <w:rPr>
          <w:rFonts w:ascii="SimSun" w:hAnsi="SimSun" w:hint="eastAsia"/>
        </w:rPr>
        <w:t>活动，设立了一项新任务，修订了</w:t>
      </w:r>
      <w:r w:rsidR="008F55CD" w:rsidRPr="00C0695F">
        <w:rPr>
          <w:rFonts w:ascii="SimSun" w:hAnsi="SimSun" w:hint="eastAsia"/>
        </w:rPr>
        <w:t>四</w:t>
      </w:r>
      <w:r w:rsidRPr="00C0695F">
        <w:rPr>
          <w:rFonts w:ascii="SimSun" w:hAnsi="SimSun" w:hint="eastAsia"/>
        </w:rPr>
        <w:t>项任务。</w:t>
      </w:r>
      <w:r w:rsidR="008F55CD" w:rsidRPr="00C0695F">
        <w:rPr>
          <w:rFonts w:ascii="SimSun" w:hAnsi="SimSun" w:hint="eastAsia"/>
        </w:rPr>
        <w:t>工作计划中总共还有22项任务，包括两项暂时搁置的任务。</w:t>
      </w:r>
    </w:p>
    <w:p w14:paraId="38D79CF7" w14:textId="7B60ADDE" w:rsidR="008A5120" w:rsidRPr="00C0695F" w:rsidRDefault="00510FD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lastRenderedPageBreak/>
        <w:t>委员会同意，</w:t>
      </w:r>
      <w:r w:rsidR="008F55CD" w:rsidRPr="00C0695F">
        <w:rPr>
          <w:rFonts w:ascii="SimSun" w:hAnsi="SimSun" w:hint="eastAsia"/>
        </w:rPr>
        <w:t>秘书处</w:t>
      </w:r>
      <w:r w:rsidRPr="00C0695F">
        <w:rPr>
          <w:rFonts w:ascii="SimSun" w:hAnsi="SimSun" w:hint="eastAsia"/>
        </w:rPr>
        <w:t>将考虑</w:t>
      </w:r>
      <w:r w:rsidR="008F55CD" w:rsidRPr="00C0695F">
        <w:rPr>
          <w:rFonts w:ascii="SimSun" w:hAnsi="SimSun" w:hint="eastAsia"/>
        </w:rPr>
        <w:t>各工作队牵头人</w:t>
      </w:r>
      <w:r w:rsidRPr="00C0695F">
        <w:rPr>
          <w:rFonts w:ascii="SimSun" w:hAnsi="SimSun" w:hint="eastAsia"/>
        </w:rPr>
        <w:t>的意见</w:t>
      </w:r>
      <w:r w:rsidR="008F55CD" w:rsidRPr="00C0695F">
        <w:rPr>
          <w:rFonts w:ascii="SimSun" w:hAnsi="SimSun" w:hint="eastAsia"/>
        </w:rPr>
        <w:t>，对每项任务的复杂度和</w:t>
      </w:r>
      <w:r w:rsidRPr="00C0695F">
        <w:rPr>
          <w:rFonts w:ascii="SimSun" w:hAnsi="SimSun" w:hint="eastAsia"/>
        </w:rPr>
        <w:t>活跃</w:t>
      </w:r>
      <w:r w:rsidR="00E22825">
        <w:rPr>
          <w:rFonts w:ascii="SimSun" w:hAnsi="SimSun" w:hint="eastAsia"/>
        </w:rPr>
        <w:t>度</w:t>
      </w:r>
      <w:r w:rsidR="008F55CD" w:rsidRPr="00C0695F">
        <w:rPr>
          <w:rFonts w:ascii="SimSun" w:hAnsi="SimSun" w:hint="eastAsia"/>
        </w:rPr>
        <w:t>进行分析，并将</w:t>
      </w:r>
      <w:r w:rsidRPr="00C0695F">
        <w:rPr>
          <w:rFonts w:ascii="SimSun" w:hAnsi="SimSun" w:hint="eastAsia"/>
        </w:rPr>
        <w:t>该分析</w:t>
      </w:r>
      <w:r w:rsidR="008F55CD" w:rsidRPr="00C0695F">
        <w:rPr>
          <w:rFonts w:ascii="SimSun" w:hAnsi="SimSun" w:hint="eastAsia"/>
        </w:rPr>
        <w:t>纳入任务单，供第十三届会议审议。</w:t>
      </w:r>
      <w:r w:rsidRPr="00C0695F">
        <w:rPr>
          <w:rFonts w:ascii="SimSun" w:hAnsi="SimSun" w:hint="eastAsia"/>
        </w:rPr>
        <w:t>秘书处还将</w:t>
      </w:r>
      <w:r w:rsidR="00E22825">
        <w:rPr>
          <w:rFonts w:ascii="SimSun" w:hAnsi="SimSun" w:hint="eastAsia"/>
        </w:rPr>
        <w:t>与各工作队一起，</w:t>
      </w:r>
      <w:r w:rsidRPr="00C0695F">
        <w:rPr>
          <w:rFonts w:ascii="SimSun" w:hAnsi="SimSun" w:hint="eastAsia"/>
        </w:rPr>
        <w:t>对所有标准委任务开展年度审查，</w:t>
      </w:r>
      <w:r w:rsidR="008F55CD" w:rsidRPr="00C0695F">
        <w:rPr>
          <w:rFonts w:ascii="SimSun" w:hAnsi="SimSun" w:hint="eastAsia"/>
        </w:rPr>
        <w:t>以便提出</w:t>
      </w:r>
      <w:r w:rsidRPr="00C0695F">
        <w:rPr>
          <w:rFonts w:ascii="SimSun" w:hAnsi="SimSun" w:hint="eastAsia"/>
        </w:rPr>
        <w:t>哪些任务</w:t>
      </w:r>
      <w:r w:rsidR="008F55CD" w:rsidRPr="00C0695F">
        <w:rPr>
          <w:rFonts w:ascii="SimSun" w:hAnsi="SimSun" w:hint="eastAsia"/>
        </w:rPr>
        <w:t>应优先处理</w:t>
      </w:r>
      <w:r w:rsidRPr="00C0695F">
        <w:rPr>
          <w:rFonts w:ascii="SimSun" w:hAnsi="SimSun" w:hint="eastAsia"/>
        </w:rPr>
        <w:t>，哪些任务应予</w:t>
      </w:r>
      <w:r w:rsidR="008F55CD" w:rsidRPr="00C0695F">
        <w:rPr>
          <w:rFonts w:ascii="SimSun" w:hAnsi="SimSun" w:hint="eastAsia"/>
        </w:rPr>
        <w:t>搁置。</w:t>
      </w:r>
    </w:p>
    <w:p w14:paraId="364086D8" w14:textId="2B54BB7C" w:rsidR="00BF2E66" w:rsidRPr="00C0695F" w:rsidRDefault="00510FD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w:t>
      </w:r>
      <w:r w:rsidR="00E22825">
        <w:rPr>
          <w:rFonts w:ascii="SimSun" w:hAnsi="SimSun" w:hint="eastAsia"/>
        </w:rPr>
        <w:t>收到</w:t>
      </w:r>
      <w:r w:rsidRPr="00C0695F">
        <w:rPr>
          <w:rFonts w:ascii="SimSun" w:hAnsi="SimSun" w:hint="eastAsia"/>
        </w:rPr>
        <w:t>了国际局和以下</w:t>
      </w:r>
      <w:r w:rsidR="00720715" w:rsidRPr="00C0695F">
        <w:rPr>
          <w:rFonts w:ascii="SimSun" w:hAnsi="SimSun" w:hint="eastAsia"/>
        </w:rPr>
        <w:t>12个工作队</w:t>
      </w:r>
      <w:r w:rsidR="00E22825">
        <w:rPr>
          <w:rFonts w:ascii="SimSun" w:hAnsi="SimSun" w:hint="eastAsia"/>
        </w:rPr>
        <w:t>关于其任务</w:t>
      </w:r>
      <w:r w:rsidR="00720715" w:rsidRPr="00C0695F">
        <w:rPr>
          <w:rFonts w:ascii="SimSun" w:hAnsi="SimSun" w:hint="eastAsia"/>
        </w:rPr>
        <w:t>的进展报告：立体工作队、应用编程接口（API）工作队、区块链工作队、外观设计表现形式工作队、数字转型工作队、标准用信通技术策略工作队、法律状态工作队、名称标准化工作队、第七部分工作队、公众访问专利信息（PAPI）工作队、序列表工作队和XML4IP工作队。</w:t>
      </w:r>
    </w:p>
    <w:p w14:paraId="71B72883" w14:textId="72D03A38" w:rsidR="00595DCF" w:rsidRPr="00C0695F" w:rsidRDefault="00720715" w:rsidP="00DF3B6B">
      <w:pPr>
        <w:pStyle w:val="Heading2"/>
      </w:pPr>
      <w:r w:rsidRPr="00C0695F">
        <w:rPr>
          <w:rFonts w:hint="eastAsia"/>
        </w:rPr>
        <w:t>产权组织标准的发展</w:t>
      </w:r>
    </w:p>
    <w:p w14:paraId="4AB12A91" w14:textId="3DB6AC58" w:rsidR="007A5B2E" w:rsidRPr="00C0695F" w:rsidRDefault="00510FD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w:t>
      </w:r>
      <w:r w:rsidR="00720715" w:rsidRPr="00C0695F">
        <w:rPr>
          <w:rFonts w:ascii="SimSun" w:hAnsi="SimSun" w:hint="eastAsia"/>
        </w:rPr>
        <w:t>审议了关于两项新产权组织标准的提案，</w:t>
      </w:r>
      <w:r w:rsidR="00E22825">
        <w:rPr>
          <w:rFonts w:ascii="SimSun" w:hAnsi="SimSun" w:hint="eastAsia"/>
        </w:rPr>
        <w:t>以及</w:t>
      </w:r>
      <w:r w:rsidRPr="00C0695F">
        <w:rPr>
          <w:rFonts w:ascii="SimSun" w:hAnsi="SimSun" w:hint="eastAsia"/>
        </w:rPr>
        <w:t>八</w:t>
      </w:r>
      <w:r w:rsidR="00720715" w:rsidRPr="00C0695F">
        <w:rPr>
          <w:rFonts w:ascii="SimSun" w:hAnsi="SimSun" w:hint="eastAsia"/>
        </w:rPr>
        <w:t>项</w:t>
      </w:r>
      <w:r w:rsidR="00E22825">
        <w:rPr>
          <w:rFonts w:ascii="SimSun" w:hAnsi="SimSun" w:hint="eastAsia"/>
        </w:rPr>
        <w:t>现有</w:t>
      </w:r>
      <w:r w:rsidRPr="00C0695F">
        <w:rPr>
          <w:rFonts w:ascii="SimSun" w:hAnsi="SimSun" w:hint="eastAsia"/>
        </w:rPr>
        <w:t>产权组织</w:t>
      </w:r>
      <w:r w:rsidR="00720715" w:rsidRPr="00C0695F">
        <w:rPr>
          <w:rFonts w:ascii="SimSun" w:hAnsi="SimSun" w:hint="eastAsia"/>
        </w:rPr>
        <w:t>标准</w:t>
      </w:r>
      <w:r w:rsidRPr="00C0695F">
        <w:rPr>
          <w:rFonts w:ascii="SimSun" w:hAnsi="SimSun"/>
        </w:rPr>
        <w:t>ST.3</w:t>
      </w:r>
      <w:r w:rsidRPr="00C0695F">
        <w:rPr>
          <w:rFonts w:ascii="SimSun" w:hAnsi="SimSun" w:hint="eastAsia"/>
        </w:rPr>
        <w:t>、</w:t>
      </w:r>
      <w:r w:rsidRPr="00C0695F">
        <w:rPr>
          <w:rFonts w:ascii="SimSun" w:hAnsi="SimSun"/>
        </w:rPr>
        <w:t>ST.9</w:t>
      </w:r>
      <w:r w:rsidRPr="00C0695F">
        <w:rPr>
          <w:rFonts w:ascii="SimSun" w:hAnsi="SimSun" w:hint="eastAsia"/>
        </w:rPr>
        <w:t>、</w:t>
      </w:r>
      <w:r w:rsidRPr="00C0695F">
        <w:rPr>
          <w:rFonts w:ascii="SimSun" w:hAnsi="SimSun"/>
        </w:rPr>
        <w:t>ST.27</w:t>
      </w:r>
      <w:r w:rsidRPr="00C0695F">
        <w:rPr>
          <w:rFonts w:ascii="SimSun" w:hAnsi="SimSun" w:hint="eastAsia"/>
        </w:rPr>
        <w:t>、</w:t>
      </w:r>
      <w:r w:rsidRPr="00C0695F">
        <w:rPr>
          <w:rFonts w:ascii="SimSun" w:hAnsi="SimSun"/>
        </w:rPr>
        <w:t>ST.61</w:t>
      </w:r>
      <w:r w:rsidRPr="00C0695F">
        <w:rPr>
          <w:rFonts w:ascii="SimSun" w:hAnsi="SimSun" w:hint="eastAsia"/>
        </w:rPr>
        <w:t>、</w:t>
      </w:r>
      <w:r w:rsidRPr="00C0695F">
        <w:rPr>
          <w:rFonts w:ascii="SimSun" w:hAnsi="SimSun"/>
        </w:rPr>
        <w:t>ST.80</w:t>
      </w:r>
      <w:r w:rsidRPr="00C0695F">
        <w:rPr>
          <w:rFonts w:ascii="SimSun" w:hAnsi="SimSun" w:hint="eastAsia"/>
        </w:rPr>
        <w:t>、</w:t>
      </w:r>
      <w:r w:rsidRPr="00C0695F">
        <w:rPr>
          <w:rFonts w:ascii="SimSun" w:hAnsi="SimSun"/>
        </w:rPr>
        <w:t>ST.87</w:t>
      </w:r>
      <w:r w:rsidRPr="00C0695F">
        <w:rPr>
          <w:rFonts w:ascii="SimSun" w:hAnsi="SimSun" w:hint="eastAsia"/>
        </w:rPr>
        <w:t>、</w:t>
      </w:r>
      <w:r w:rsidRPr="00C0695F">
        <w:rPr>
          <w:rFonts w:ascii="SimSun" w:hAnsi="SimSun"/>
        </w:rPr>
        <w:t>ST.91</w:t>
      </w:r>
      <w:r w:rsidRPr="00C0695F">
        <w:rPr>
          <w:rFonts w:ascii="SimSun" w:hAnsi="SimSun" w:hint="eastAsia"/>
        </w:rPr>
        <w:t>和</w:t>
      </w:r>
      <w:r w:rsidRPr="00C0695F">
        <w:rPr>
          <w:rFonts w:ascii="SimSun" w:hAnsi="SimSun"/>
        </w:rPr>
        <w:t>ST.96</w:t>
      </w:r>
      <w:r w:rsidR="00E22825">
        <w:rPr>
          <w:rFonts w:ascii="SimSun" w:hAnsi="SimSun" w:hint="eastAsia"/>
        </w:rPr>
        <w:t>的修订</w:t>
      </w:r>
      <w:r w:rsidR="00720715" w:rsidRPr="00C0695F">
        <w:rPr>
          <w:rFonts w:ascii="SimSun" w:hAnsi="SimSun" w:hint="eastAsia"/>
        </w:rPr>
        <w:t>，以契合知识产权局、知识产权用户和其他利益攸关方</w:t>
      </w:r>
      <w:r w:rsidR="00E22825">
        <w:rPr>
          <w:rFonts w:ascii="SimSun" w:hAnsi="SimSun" w:hint="eastAsia"/>
        </w:rPr>
        <w:t>的</w:t>
      </w:r>
      <w:r w:rsidR="00720715" w:rsidRPr="00C0695F">
        <w:rPr>
          <w:rFonts w:ascii="SimSun" w:hAnsi="SimSun" w:hint="eastAsia"/>
        </w:rPr>
        <w:t>新需要。</w:t>
      </w:r>
    </w:p>
    <w:p w14:paraId="0C12CB3B" w14:textId="7577015C" w:rsidR="00B223B7" w:rsidRPr="00C0695F" w:rsidRDefault="00720715"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关于新</w:t>
      </w:r>
      <w:r w:rsidR="001E34DD">
        <w:rPr>
          <w:rFonts w:ascii="SimSun" w:hAnsi="SimSun" w:hint="eastAsia"/>
        </w:rPr>
        <w:t>的</w:t>
      </w:r>
      <w:r w:rsidRPr="00C0695F">
        <w:rPr>
          <w:rFonts w:ascii="SimSun" w:hAnsi="SimSun" w:hint="eastAsia"/>
        </w:rPr>
        <w:t>产权组织标准，提出了以下提案：</w:t>
      </w:r>
    </w:p>
    <w:p w14:paraId="437E177B" w14:textId="54B4F3EB" w:rsidR="00B223B7" w:rsidRPr="00C0695F" w:rsidRDefault="00720715" w:rsidP="00DF3B6B">
      <w:pPr>
        <w:pStyle w:val="ONUME"/>
        <w:numPr>
          <w:ilvl w:val="0"/>
          <w:numId w:val="4"/>
        </w:numPr>
        <w:spacing w:afterLines="50" w:after="120" w:line="340" w:lineRule="atLeast"/>
        <w:ind w:left="924" w:hanging="357"/>
        <w:rPr>
          <w:rFonts w:ascii="SimSun" w:hAnsi="SimSun"/>
        </w:rPr>
      </w:pPr>
      <w:r w:rsidRPr="00C0695F">
        <w:rPr>
          <w:rFonts w:ascii="SimSun" w:hAnsi="SimSun" w:hint="eastAsia"/>
        </w:rPr>
        <w:t>关于优先权文件电子交换用数据包格式的建议</w:t>
      </w:r>
      <w:r w:rsidR="00510FD4" w:rsidRPr="00C0695F">
        <w:rPr>
          <w:rFonts w:ascii="SimSun" w:hAnsi="SimSun" w:hint="eastAsia"/>
        </w:rPr>
        <w:t>（作为标准</w:t>
      </w:r>
      <w:r w:rsidR="00510FD4" w:rsidRPr="00C0695F">
        <w:rPr>
          <w:rFonts w:ascii="SimSun" w:hAnsi="SimSun"/>
        </w:rPr>
        <w:t>ST.92</w:t>
      </w:r>
      <w:r w:rsidR="00510FD4" w:rsidRPr="00C0695F">
        <w:rPr>
          <w:rFonts w:ascii="SimSun" w:hAnsi="SimSun" w:hint="eastAsia"/>
        </w:rPr>
        <w:t>）及拟议的实施计划；</w:t>
      </w:r>
    </w:p>
    <w:p w14:paraId="307ED5EF" w14:textId="3A9B3B11" w:rsidR="00B223B7" w:rsidRPr="00C0695F" w:rsidRDefault="00720715" w:rsidP="00DF3B6B">
      <w:pPr>
        <w:pStyle w:val="ONUME"/>
        <w:numPr>
          <w:ilvl w:val="0"/>
          <w:numId w:val="4"/>
        </w:numPr>
        <w:spacing w:afterLines="50" w:after="120" w:line="340" w:lineRule="atLeast"/>
        <w:ind w:left="924" w:hanging="357"/>
        <w:rPr>
          <w:rFonts w:ascii="SimSun" w:hAnsi="SimSun"/>
        </w:rPr>
      </w:pPr>
      <w:r w:rsidRPr="00C0695F">
        <w:rPr>
          <w:rFonts w:ascii="SimSun" w:hAnsi="SimSun" w:hint="eastAsia"/>
        </w:rPr>
        <w:t>关于名称数据清理的建议</w:t>
      </w:r>
      <w:r w:rsidR="002C16AF">
        <w:rPr>
          <w:rFonts w:ascii="SimSun" w:hAnsi="SimSun"/>
        </w:rPr>
        <w:t>（</w:t>
      </w:r>
      <w:r w:rsidR="00510FD4" w:rsidRPr="00C0695F">
        <w:rPr>
          <w:rFonts w:ascii="SimSun" w:hAnsi="SimSun" w:hint="eastAsia"/>
        </w:rPr>
        <w:t>作为标准</w:t>
      </w:r>
      <w:r w:rsidR="0022167B" w:rsidRPr="00C0695F">
        <w:rPr>
          <w:rFonts w:ascii="SimSun" w:hAnsi="SimSun"/>
        </w:rPr>
        <w:t>ST.93</w:t>
      </w:r>
      <w:r w:rsidR="002C16AF">
        <w:rPr>
          <w:rFonts w:ascii="SimSun" w:hAnsi="SimSun"/>
        </w:rPr>
        <w:t>）</w:t>
      </w:r>
      <w:r w:rsidR="00510FD4" w:rsidRPr="00C0695F">
        <w:rPr>
          <w:rFonts w:ascii="SimSun" w:hAnsi="SimSun" w:hint="eastAsia"/>
        </w:rPr>
        <w:t>。</w:t>
      </w:r>
    </w:p>
    <w:p w14:paraId="599BFF71" w14:textId="546D4D89" w:rsidR="004A2646" w:rsidRPr="00C0695F" w:rsidRDefault="00E16FC3"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委员会通过了新的产权组织标准ST.92，并注意到</w:t>
      </w:r>
      <w:r w:rsidR="001E34DD" w:rsidRPr="00C0695F">
        <w:rPr>
          <w:rFonts w:ascii="SimSun" w:hAnsi="SimSun" w:hint="eastAsia"/>
        </w:rPr>
        <w:t>拟议的</w:t>
      </w:r>
      <w:r w:rsidRPr="00C0695F">
        <w:rPr>
          <w:rFonts w:ascii="SimSun" w:hAnsi="SimSun" w:hint="eastAsia"/>
        </w:rPr>
        <w:t>ST.92实施计划，其中“日落期”于2027年7月1日结束。委员会同意进行一次关于ST.92实施计划的调查，并在第十三届会议上审议调查结果。</w:t>
      </w:r>
    </w:p>
    <w:p w14:paraId="1ED74D0A" w14:textId="0F2A4D15" w:rsidR="009310C8" w:rsidRPr="00C0695F" w:rsidRDefault="001E34DD" w:rsidP="00011E6B">
      <w:pPr>
        <w:pStyle w:val="ONUME"/>
        <w:numPr>
          <w:ilvl w:val="0"/>
          <w:numId w:val="18"/>
        </w:numPr>
        <w:overflowPunct w:val="0"/>
        <w:spacing w:afterLines="50" w:after="120" w:line="340" w:lineRule="atLeast"/>
        <w:ind w:left="0" w:firstLine="0"/>
        <w:jc w:val="both"/>
        <w:rPr>
          <w:rFonts w:ascii="SimSun" w:hAnsi="SimSun"/>
        </w:rPr>
      </w:pPr>
      <w:r>
        <w:rPr>
          <w:rFonts w:ascii="SimSun" w:hAnsi="SimSun" w:hint="eastAsia"/>
        </w:rPr>
        <w:t>委员会</w:t>
      </w:r>
      <w:r w:rsidR="00FA2345" w:rsidRPr="00C0695F">
        <w:rPr>
          <w:rFonts w:ascii="SimSun" w:hAnsi="SimSun" w:hint="eastAsia"/>
        </w:rPr>
        <w:t>未通过拟议的产权组织标准ST.93，而是要求名称标准化工作队重新审议并在必要时继续改进标准草案。为收集知识产权局和其他利益攸关方的反馈意见，委员会要求国际局在2025年组织一次名称数据清理讲习班，所有有关方都可参加。</w:t>
      </w:r>
    </w:p>
    <w:p w14:paraId="4C52A63C" w14:textId="1982CDCD" w:rsidR="00484F7D" w:rsidRPr="00C0695F" w:rsidRDefault="00FA2345"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此外，为协助修订标准</w:t>
      </w:r>
      <w:r w:rsidRPr="00C0695F">
        <w:rPr>
          <w:rFonts w:ascii="SimSun" w:hAnsi="SimSun"/>
        </w:rPr>
        <w:t>ST.91</w:t>
      </w:r>
      <w:r w:rsidRPr="00C0695F">
        <w:rPr>
          <w:rFonts w:ascii="SimSun" w:hAnsi="SimSun" w:hint="eastAsia"/>
        </w:rPr>
        <w:t>，委员会支持工作队在2025年组织一次关于立体模型和立体图像的信息</w:t>
      </w:r>
      <w:r w:rsidR="001E34DD">
        <w:rPr>
          <w:rFonts w:ascii="SimSun" w:hAnsi="SimSun" w:hint="eastAsia"/>
        </w:rPr>
        <w:t>会议</w:t>
      </w:r>
      <w:r w:rsidRPr="00C0695F">
        <w:rPr>
          <w:rFonts w:ascii="SimSun" w:hAnsi="SimSun" w:hint="eastAsia"/>
        </w:rPr>
        <w:t>，邀请所有有关方参加。</w:t>
      </w:r>
    </w:p>
    <w:p w14:paraId="2E0FEF61" w14:textId="5E97E4E4" w:rsidR="001B2962" w:rsidRPr="00C0695F" w:rsidRDefault="00720715" w:rsidP="00DF3B6B">
      <w:pPr>
        <w:pStyle w:val="Heading2"/>
      </w:pPr>
      <w:r w:rsidRPr="00C0695F">
        <w:rPr>
          <w:rFonts w:hint="eastAsia"/>
        </w:rPr>
        <w:t>各局对产权组织标准的实施</w:t>
      </w:r>
    </w:p>
    <w:p w14:paraId="75B525E5" w14:textId="2F757FF7" w:rsidR="0088747C" w:rsidRPr="00C0695F" w:rsidRDefault="00720715"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标准委成员和观察员交流了各自实施产权组织标准的做法或计划，特别是ST.26、ST.27、ST.37、ST.61、ST.87</w:t>
      </w:r>
      <w:r w:rsidR="004F636E" w:rsidRPr="00C0695F">
        <w:rPr>
          <w:rFonts w:ascii="SimSun" w:hAnsi="SimSun" w:hint="eastAsia"/>
        </w:rPr>
        <w:t>和</w:t>
      </w:r>
      <w:r w:rsidRPr="00C0695F">
        <w:rPr>
          <w:rFonts w:ascii="SimSun" w:hAnsi="SimSun" w:hint="eastAsia"/>
        </w:rPr>
        <w:t>ST.9</w:t>
      </w:r>
      <w:r w:rsidR="001E34DD">
        <w:rPr>
          <w:rFonts w:ascii="SimSun" w:hAnsi="SimSun" w:hint="eastAsia"/>
        </w:rPr>
        <w:t>0</w:t>
      </w:r>
      <w:r w:rsidRPr="00C0695F">
        <w:rPr>
          <w:rFonts w:ascii="SimSun" w:hAnsi="SimSun" w:hint="eastAsia"/>
        </w:rPr>
        <w:t>。</w:t>
      </w:r>
      <w:r w:rsidR="004F636E" w:rsidRPr="00C0695F">
        <w:rPr>
          <w:rFonts w:ascii="SimSun" w:hAnsi="SimSun" w:hint="eastAsia"/>
        </w:rPr>
        <w:t>委员会</w:t>
      </w:r>
      <w:r w:rsidRPr="00C0695F">
        <w:rPr>
          <w:rFonts w:ascii="SimSun" w:hAnsi="SimSun" w:hint="eastAsia"/>
        </w:rPr>
        <w:t>注意到各</w:t>
      </w:r>
      <w:r w:rsidR="004F636E" w:rsidRPr="00C0695F">
        <w:rPr>
          <w:rFonts w:ascii="SimSun" w:hAnsi="SimSun" w:hint="eastAsia"/>
        </w:rPr>
        <w:t>知识产权</w:t>
      </w:r>
      <w:r w:rsidRPr="00C0695F">
        <w:rPr>
          <w:rFonts w:ascii="SimSun" w:hAnsi="SimSun" w:hint="eastAsia"/>
        </w:rPr>
        <w:t>局为实施产权组织标准所做的协作努力，以及国际局通过提供培训和软件工具，包括WIPO Sequence套件</w:t>
      </w:r>
      <w:r w:rsidR="006C15C2" w:rsidRPr="00C0695F">
        <w:rPr>
          <w:rFonts w:ascii="SimSun" w:hAnsi="SimSun" w:hint="eastAsia"/>
        </w:rPr>
        <w:t>和知识产权用API目录</w:t>
      </w:r>
      <w:r w:rsidRPr="00C0695F">
        <w:rPr>
          <w:rFonts w:ascii="SimSun" w:hAnsi="SimSun" w:hint="eastAsia"/>
        </w:rPr>
        <w:t>所给予的支持。</w:t>
      </w:r>
      <w:r w:rsidR="006C15C2" w:rsidRPr="00C0695F">
        <w:rPr>
          <w:rFonts w:ascii="SimSun" w:hAnsi="SimSun" w:hint="eastAsia"/>
        </w:rPr>
        <w:t>委员会</w:t>
      </w:r>
      <w:r w:rsidRPr="00C0695F">
        <w:rPr>
          <w:rFonts w:ascii="SimSun" w:hAnsi="SimSun" w:hint="eastAsia"/>
        </w:rPr>
        <w:t>鼓励</w:t>
      </w:r>
      <w:r w:rsidR="006C15C2" w:rsidRPr="00C0695F">
        <w:rPr>
          <w:rFonts w:ascii="SimSun" w:hAnsi="SimSun" w:hint="eastAsia"/>
        </w:rPr>
        <w:t>知识产权</w:t>
      </w:r>
      <w:r w:rsidRPr="00C0695F">
        <w:rPr>
          <w:rFonts w:ascii="SimSun" w:hAnsi="SimSun" w:hint="eastAsia"/>
        </w:rPr>
        <w:t>局参加其工作队，以确保各项标准继续满足各局的需求。</w:t>
      </w:r>
    </w:p>
    <w:p w14:paraId="6AC417F4" w14:textId="7DCD02BC" w:rsidR="00E3350E" w:rsidRPr="00C0695F" w:rsidRDefault="00720715" w:rsidP="00DF3B6B">
      <w:pPr>
        <w:pStyle w:val="Heading2"/>
      </w:pPr>
      <w:r w:rsidRPr="00C0695F">
        <w:rPr>
          <w:rFonts w:hint="eastAsia"/>
        </w:rPr>
        <w:t>与知识产权数据、信息系统和信息服务有关的政策与活动</w:t>
      </w:r>
    </w:p>
    <w:p w14:paraId="5F28488F" w14:textId="0B1E1769" w:rsidR="008C1546" w:rsidRPr="00C0695F" w:rsidRDefault="007F7D0B" w:rsidP="00011E6B">
      <w:pPr>
        <w:pStyle w:val="ONUME"/>
        <w:numPr>
          <w:ilvl w:val="0"/>
          <w:numId w:val="18"/>
        </w:numPr>
        <w:overflowPunct w:val="0"/>
        <w:spacing w:afterLines="50" w:after="120" w:line="340" w:lineRule="atLeast"/>
        <w:ind w:left="0" w:firstLine="0"/>
        <w:jc w:val="both"/>
        <w:rPr>
          <w:rFonts w:ascii="SimSun" w:hAnsi="SimSun"/>
          <w:szCs w:val="22"/>
        </w:rPr>
      </w:pPr>
      <w:r w:rsidRPr="00C0695F">
        <w:rPr>
          <w:rFonts w:ascii="SimSun" w:hAnsi="SimSun" w:hint="eastAsia"/>
          <w:szCs w:val="22"/>
        </w:rPr>
        <w:t>委员会注意到国际局到目前为止为落实联合国系统联合检查组（联检组）关于区块链在联合国系统的应用的建议</w:t>
      </w:r>
      <w:r w:rsidR="001E34DD">
        <w:rPr>
          <w:rFonts w:ascii="SimSun" w:hAnsi="SimSun" w:hint="eastAsia"/>
          <w:szCs w:val="22"/>
        </w:rPr>
        <w:t>所</w:t>
      </w:r>
      <w:r w:rsidRPr="00C0695F">
        <w:rPr>
          <w:rFonts w:ascii="SimSun" w:hAnsi="SimSun" w:hint="eastAsia"/>
          <w:szCs w:val="22"/>
        </w:rPr>
        <w:t>开展工作</w:t>
      </w:r>
      <w:r w:rsidR="001E34DD">
        <w:rPr>
          <w:rFonts w:ascii="SimSun" w:hAnsi="SimSun" w:hint="eastAsia"/>
          <w:szCs w:val="22"/>
        </w:rPr>
        <w:t>的总结</w:t>
      </w:r>
      <w:r w:rsidRPr="00C0695F">
        <w:rPr>
          <w:rFonts w:ascii="SimSun" w:hAnsi="SimSun" w:hint="eastAsia"/>
          <w:szCs w:val="22"/>
        </w:rPr>
        <w:t>。委员会鼓励知识产权局落实联检组的建议6：</w:t>
      </w:r>
    </w:p>
    <w:p w14:paraId="56CFD7D1" w14:textId="178976F4" w:rsidR="008C1546" w:rsidRPr="00C0695F" w:rsidRDefault="007F7D0B" w:rsidP="002C16AF">
      <w:pPr>
        <w:spacing w:afterLines="50" w:after="120" w:line="340" w:lineRule="atLeast"/>
        <w:ind w:left="567"/>
        <w:jc w:val="both"/>
        <w:rPr>
          <w:rFonts w:ascii="SimSun" w:hAnsi="SimSun"/>
          <w:szCs w:val="22"/>
        </w:rPr>
      </w:pPr>
      <w:r w:rsidRPr="00C0695F">
        <w:rPr>
          <w:rFonts w:ascii="SimSun" w:hAnsi="SimSun" w:hint="eastAsia"/>
          <w:szCs w:val="22"/>
        </w:rPr>
        <w:t>“联合国系统各组织的理事机构应鼓励会员国与联合国国际贸易法委员会合作，就区块链在数字经济和数字贸易这一更广泛背景下所涉法律问题开展探索和筹备工作，包括探讨如何解决争议，以减少该领域的法律风险。”</w:t>
      </w:r>
    </w:p>
    <w:p w14:paraId="53C649B1" w14:textId="2DDE64A6" w:rsidR="007A0350" w:rsidRPr="00C0695F" w:rsidRDefault="007A0350" w:rsidP="00011E6B">
      <w:pPr>
        <w:pStyle w:val="ONUME"/>
        <w:numPr>
          <w:ilvl w:val="0"/>
          <w:numId w:val="18"/>
        </w:numPr>
        <w:overflowPunct w:val="0"/>
        <w:spacing w:afterLines="50" w:after="120" w:line="340" w:lineRule="atLeast"/>
        <w:ind w:left="0" w:firstLine="0"/>
        <w:jc w:val="both"/>
        <w:rPr>
          <w:rFonts w:ascii="SimSun" w:hAnsi="SimSun"/>
          <w:szCs w:val="22"/>
        </w:rPr>
      </w:pPr>
      <w:r w:rsidRPr="00C0695F">
        <w:rPr>
          <w:rFonts w:ascii="SimSun" w:hAnsi="SimSun"/>
          <w:szCs w:val="22"/>
        </w:rPr>
        <w:t>委员会通过了文件</w:t>
      </w:r>
      <w:hyperlink r:id="rId10" w:history="1">
        <w:r w:rsidRPr="00C0695F">
          <w:rPr>
            <w:rStyle w:val="Hyperlink"/>
            <w:rFonts w:ascii="SimSun" w:hAnsi="SimSun"/>
            <w:szCs w:val="22"/>
          </w:rPr>
          <w:t>CWS/12/22</w:t>
        </w:r>
      </w:hyperlink>
      <w:r w:rsidRPr="00C0695F">
        <w:rPr>
          <w:rFonts w:ascii="SimSun" w:hAnsi="SimSun"/>
          <w:szCs w:val="22"/>
        </w:rPr>
        <w:t>中提出的</w:t>
      </w:r>
      <w:r w:rsidR="00D241B7" w:rsidRPr="00C0695F">
        <w:rPr>
          <w:rFonts w:ascii="SimSun" w:hAnsi="SimSun" w:hint="eastAsia"/>
          <w:szCs w:val="22"/>
        </w:rPr>
        <w:t>关于</w:t>
      </w:r>
      <w:r w:rsidRPr="00C0695F">
        <w:rPr>
          <w:rFonts w:ascii="SimSun" w:hAnsi="SimSun"/>
          <w:szCs w:val="22"/>
        </w:rPr>
        <w:t>信通技术</w:t>
      </w:r>
      <w:r w:rsidRPr="00C0695F">
        <w:rPr>
          <w:rFonts w:ascii="SimSun" w:hAnsi="SimSun" w:hint="eastAsia"/>
          <w:szCs w:val="22"/>
        </w:rPr>
        <w:t>和</w:t>
      </w:r>
      <w:r w:rsidRPr="00C0695F">
        <w:rPr>
          <w:rFonts w:ascii="SimSun" w:hAnsi="SimSun"/>
          <w:szCs w:val="22"/>
        </w:rPr>
        <w:t>知识产权</w:t>
      </w:r>
      <w:r w:rsidRPr="00C0695F">
        <w:rPr>
          <w:rFonts w:ascii="SimSun" w:hAnsi="SimSun" w:hint="eastAsia"/>
          <w:szCs w:val="22"/>
        </w:rPr>
        <w:t>行政</w:t>
      </w:r>
      <w:r w:rsidRPr="00C0695F">
        <w:rPr>
          <w:rFonts w:ascii="SimSun" w:hAnsi="SimSun"/>
          <w:szCs w:val="22"/>
        </w:rPr>
        <w:t>管理的</w:t>
      </w:r>
      <w:r w:rsidR="001E34DD">
        <w:rPr>
          <w:rFonts w:ascii="SimSun" w:hAnsi="SimSun" w:hint="eastAsia"/>
          <w:szCs w:val="22"/>
        </w:rPr>
        <w:t>一组</w:t>
      </w:r>
      <w:r w:rsidRPr="00C0695F">
        <w:rPr>
          <w:rFonts w:ascii="SimSun" w:hAnsi="SimSun"/>
          <w:szCs w:val="22"/>
        </w:rPr>
        <w:t>10项建议</w:t>
      </w:r>
      <w:r w:rsidR="002C16AF">
        <w:rPr>
          <w:rFonts w:ascii="SimSun" w:hAnsi="SimSun"/>
          <w:szCs w:val="22"/>
        </w:rPr>
        <w:t>（</w:t>
      </w:r>
      <w:r w:rsidRPr="00C0695F">
        <w:rPr>
          <w:rFonts w:ascii="SimSun" w:hAnsi="SimSun"/>
          <w:szCs w:val="22"/>
        </w:rPr>
        <w:t>见附件</w:t>
      </w:r>
      <w:r w:rsidR="002C16AF">
        <w:rPr>
          <w:rFonts w:ascii="SimSun" w:hAnsi="SimSun"/>
          <w:szCs w:val="22"/>
        </w:rPr>
        <w:t>）</w:t>
      </w:r>
      <w:r w:rsidRPr="00C0695F">
        <w:rPr>
          <w:rFonts w:ascii="SimSun" w:hAnsi="SimSun"/>
          <w:szCs w:val="22"/>
        </w:rPr>
        <w:t>，并同意将这些建议提交2025年</w:t>
      </w:r>
      <w:r w:rsidRPr="00C0695F">
        <w:rPr>
          <w:rFonts w:ascii="SimSun" w:hAnsi="SimSun" w:hint="eastAsia"/>
          <w:szCs w:val="22"/>
        </w:rPr>
        <w:t>产权组织</w:t>
      </w:r>
      <w:r w:rsidRPr="00C0695F">
        <w:rPr>
          <w:rFonts w:ascii="SimSun" w:hAnsi="SimSun"/>
          <w:szCs w:val="22"/>
        </w:rPr>
        <w:t>大会。</w:t>
      </w:r>
      <w:r w:rsidRPr="00C0695F">
        <w:rPr>
          <w:rFonts w:ascii="SimSun" w:hAnsi="SimSun" w:hint="eastAsia"/>
          <w:szCs w:val="22"/>
        </w:rPr>
        <w:t>委员会鼓励其成员和观察员落实这些</w:t>
      </w:r>
      <w:r w:rsidRPr="00C0695F">
        <w:rPr>
          <w:rFonts w:ascii="SimSun" w:hAnsi="SimSun" w:hint="eastAsia"/>
          <w:szCs w:val="22"/>
        </w:rPr>
        <w:lastRenderedPageBreak/>
        <w:t>建议，并在第十三届会议上分享实施计划或经验。委员会还注意到，国际局考虑到建议2的行动(c)，将于2025年初组织一次关于信通技术领导力的会议，审议</w:t>
      </w:r>
      <w:r w:rsidRPr="00C0695F">
        <w:rPr>
          <w:rFonts w:ascii="SimSun" w:hAnsi="SimSun"/>
          <w:szCs w:val="22"/>
        </w:rPr>
        <w:t>委员会鼓励其成员和观察员落实这些建议，并在第十三届会议上分享其落实计划或这方面的经验。委员会还注意到，国际局考虑到建议2的行动(c)，将于2025年组织一次关于ICT领导力的会议</w:t>
      </w:r>
      <w:r w:rsidRPr="00C0695F">
        <w:rPr>
          <w:rFonts w:ascii="SimSun" w:hAnsi="SimSun" w:hint="eastAsia"/>
          <w:szCs w:val="22"/>
        </w:rPr>
        <w:t>“产权组织信通技术领导力对话（WILD）”</w:t>
      </w:r>
      <w:r w:rsidRPr="00C0695F">
        <w:rPr>
          <w:rFonts w:ascii="SimSun" w:hAnsi="SimSun"/>
          <w:szCs w:val="22"/>
        </w:rPr>
        <w:t>。</w:t>
      </w:r>
    </w:p>
    <w:p w14:paraId="01D8A653" w14:textId="1B83942D" w:rsidR="00EF53C8" w:rsidRPr="00C0695F" w:rsidRDefault="002E7ED9" w:rsidP="00011E6B">
      <w:pPr>
        <w:pStyle w:val="ONUME"/>
        <w:numPr>
          <w:ilvl w:val="0"/>
          <w:numId w:val="18"/>
        </w:numPr>
        <w:overflowPunct w:val="0"/>
        <w:spacing w:afterLines="50" w:after="120" w:line="340" w:lineRule="atLeast"/>
        <w:ind w:left="0" w:firstLine="0"/>
        <w:jc w:val="both"/>
        <w:rPr>
          <w:rFonts w:ascii="SimSun" w:hAnsi="SimSun"/>
          <w:szCs w:val="22"/>
        </w:rPr>
      </w:pPr>
      <w:r w:rsidRPr="00C0695F">
        <w:rPr>
          <w:rFonts w:ascii="SimSun" w:hAnsi="SimSun" w:hint="eastAsia"/>
          <w:szCs w:val="22"/>
        </w:rPr>
        <w:t>委员会批准成立新的知识产权数据交换工作队，工作队将分析知识产权局的现有做法和所遇挑战，以期探索解决方案来改善全球知识产权数据交换。</w:t>
      </w:r>
    </w:p>
    <w:p w14:paraId="1D130F60" w14:textId="6BE74420" w:rsidR="00693B55" w:rsidRPr="00C0695F" w:rsidRDefault="002E7ED9" w:rsidP="00011E6B">
      <w:pPr>
        <w:pStyle w:val="ONUME"/>
        <w:numPr>
          <w:ilvl w:val="0"/>
          <w:numId w:val="18"/>
        </w:numPr>
        <w:overflowPunct w:val="0"/>
        <w:spacing w:afterLines="50" w:after="120" w:line="340" w:lineRule="atLeast"/>
        <w:ind w:left="0" w:firstLine="0"/>
        <w:jc w:val="both"/>
        <w:rPr>
          <w:rFonts w:ascii="SimSun" w:hAnsi="SimSun"/>
          <w:szCs w:val="22"/>
        </w:rPr>
      </w:pPr>
      <w:r w:rsidRPr="00C0695F">
        <w:rPr>
          <w:rFonts w:ascii="SimSun" w:hAnsi="SimSun" w:hint="eastAsia"/>
          <w:szCs w:val="22"/>
        </w:rPr>
        <w:t>委员会注意到“自然人和法律实体全球标识符项目”取得的进展，以及国际局与若干知识产权局和知识产权行业协会合作报告的项目第二</w:t>
      </w:r>
      <w:r w:rsidR="007F0344" w:rsidRPr="00C0695F">
        <w:rPr>
          <w:rFonts w:ascii="SimSun" w:hAnsi="SimSun" w:hint="eastAsia"/>
          <w:szCs w:val="22"/>
        </w:rPr>
        <w:t>期</w:t>
      </w:r>
      <w:r w:rsidRPr="00C0695F">
        <w:rPr>
          <w:rFonts w:ascii="SimSun" w:hAnsi="SimSun" w:hint="eastAsia"/>
          <w:szCs w:val="22"/>
        </w:rPr>
        <w:t>的范围。委员会还注意到，国际局将根据要求在</w:t>
      </w:r>
      <w:r w:rsidR="007F0344" w:rsidRPr="00C0695F">
        <w:rPr>
          <w:rFonts w:ascii="SimSun" w:hAnsi="SimSun" w:hint="eastAsia"/>
          <w:szCs w:val="22"/>
        </w:rPr>
        <w:t>产权组织</w:t>
      </w:r>
      <w:r w:rsidRPr="00C0695F">
        <w:rPr>
          <w:rFonts w:ascii="SimSun" w:hAnsi="SimSun" w:hint="eastAsia"/>
          <w:szCs w:val="22"/>
        </w:rPr>
        <w:t>网站上公布项目文件和相关信息。</w:t>
      </w:r>
    </w:p>
    <w:p w14:paraId="60BD49B3" w14:textId="015CB5E3" w:rsidR="00544C16" w:rsidRPr="00C0695F" w:rsidRDefault="007F0344"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委员会同意</w:t>
      </w:r>
      <w:r w:rsidRPr="00C0695F">
        <w:rPr>
          <w:rFonts w:ascii="SimSun" w:hAnsi="SimSun" w:hint="eastAsia"/>
          <w:szCs w:val="22"/>
        </w:rPr>
        <w:t>继续使用简化模板收集年度技术报告，简化模板将包括一个新标题：“与专利（商标或工业品外观设计）信息相关的产权组织标准实施活动”。</w:t>
      </w:r>
    </w:p>
    <w:p w14:paraId="6DD26600" w14:textId="40B1A8B6" w:rsidR="00E3350E" w:rsidRPr="00CF21BA" w:rsidRDefault="006B798D" w:rsidP="00BB6B5C">
      <w:pPr>
        <w:pStyle w:val="Heading2"/>
      </w:pPr>
      <w:r w:rsidRPr="00CF21BA">
        <w:rPr>
          <w:rFonts w:hint="eastAsia"/>
        </w:rPr>
        <w:t>全球信息系统方面的技术援助与合作</w:t>
      </w:r>
    </w:p>
    <w:p w14:paraId="43B53040" w14:textId="09E09360" w:rsidR="001B2962" w:rsidRPr="00C0695F" w:rsidRDefault="00720715"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关于向</w:t>
      </w:r>
      <w:r w:rsidR="00CF2B8E" w:rsidRPr="00C0695F">
        <w:rPr>
          <w:rFonts w:ascii="SimSun" w:hAnsi="SimSun" w:hint="eastAsia"/>
        </w:rPr>
        <w:t>知识产权</w:t>
      </w:r>
      <w:r w:rsidRPr="00C0695F">
        <w:rPr>
          <w:rFonts w:ascii="SimSun" w:hAnsi="SimSun" w:hint="eastAsia"/>
        </w:rPr>
        <w:t>局提供技术咨询和援助，开展产权组织标准方面的能力建设，</w:t>
      </w:r>
      <w:r w:rsidR="00CF2B8E" w:rsidRPr="00C0695F">
        <w:rPr>
          <w:rFonts w:ascii="SimSun" w:hAnsi="SimSun" w:hint="eastAsia"/>
        </w:rPr>
        <w:t>委员会</w:t>
      </w:r>
      <w:r w:rsidRPr="00C0695F">
        <w:rPr>
          <w:rFonts w:ascii="SimSun" w:hAnsi="SimSun" w:hint="eastAsia"/>
        </w:rPr>
        <w:t>注意到</w:t>
      </w:r>
      <w:r w:rsidR="00CF2B8E" w:rsidRPr="00C0695F">
        <w:rPr>
          <w:rFonts w:ascii="SimSun" w:hAnsi="SimSun" w:hint="eastAsia"/>
        </w:rPr>
        <w:t>国际局</w:t>
      </w:r>
      <w:r w:rsidRPr="00C0695F">
        <w:rPr>
          <w:rFonts w:ascii="SimSun" w:hAnsi="SimSun" w:hint="eastAsia"/>
        </w:rPr>
        <w:t>按2011年10月举行的产权组织大会第四十届会议的要求</w:t>
      </w:r>
      <w:r w:rsidR="00CF2B8E" w:rsidRPr="00C0695F">
        <w:rPr>
          <w:rFonts w:ascii="SimSun" w:hAnsi="SimSun" w:hint="eastAsia"/>
        </w:rPr>
        <w:t>，提交的</w:t>
      </w:r>
      <w:r w:rsidRPr="00C0695F">
        <w:rPr>
          <w:rFonts w:ascii="SimSun" w:hAnsi="SimSun" w:hint="eastAsia"/>
        </w:rPr>
        <w:t>关于202</w:t>
      </w:r>
      <w:r w:rsidR="00CF2B8E" w:rsidRPr="00C0695F">
        <w:rPr>
          <w:rFonts w:ascii="SimSun" w:hAnsi="SimSun" w:hint="eastAsia"/>
        </w:rPr>
        <w:t>3</w:t>
      </w:r>
      <w:r w:rsidRPr="00C0695F">
        <w:rPr>
          <w:rFonts w:ascii="SimSun" w:hAnsi="SimSun" w:hint="eastAsia"/>
        </w:rPr>
        <w:t>年所开展活动的报告（见</w:t>
      </w:r>
      <w:r w:rsidR="00CF2B8E" w:rsidRPr="00C0695F">
        <w:rPr>
          <w:rFonts w:ascii="SimSun" w:hAnsi="SimSun" w:hint="eastAsia"/>
        </w:rPr>
        <w:t>本文件</w:t>
      </w:r>
      <w:r w:rsidR="006801F0">
        <w:rPr>
          <w:rFonts w:ascii="SimSun" w:hAnsi="SimSun" w:hint="eastAsia"/>
        </w:rPr>
        <w:t>后附的文件</w:t>
      </w:r>
      <w:r w:rsidRPr="00C0695F">
        <w:rPr>
          <w:rFonts w:ascii="SimSun" w:hAnsi="SimSun" w:hint="eastAsia"/>
        </w:rPr>
        <w:t>CWS/1</w:t>
      </w:r>
      <w:r w:rsidR="00CF2B8E" w:rsidRPr="00C0695F">
        <w:rPr>
          <w:rFonts w:ascii="SimSun" w:hAnsi="SimSun" w:hint="eastAsia"/>
        </w:rPr>
        <w:t>2</w:t>
      </w:r>
      <w:r w:rsidRPr="00C0695F">
        <w:rPr>
          <w:rFonts w:ascii="SimSun" w:hAnsi="SimSun" w:hint="eastAsia"/>
        </w:rPr>
        <w:t>/</w:t>
      </w:r>
      <w:r w:rsidR="00CF2B8E" w:rsidRPr="00C0695F">
        <w:rPr>
          <w:rFonts w:ascii="SimSun" w:hAnsi="SimSun" w:hint="eastAsia"/>
        </w:rPr>
        <w:t>25</w:t>
      </w:r>
      <w:r w:rsidRPr="00C0695F">
        <w:rPr>
          <w:rFonts w:ascii="SimSun" w:hAnsi="SimSun" w:hint="eastAsia"/>
        </w:rPr>
        <w:t>）。</w:t>
      </w:r>
      <w:r w:rsidR="00CF2B8E" w:rsidRPr="00C0695F">
        <w:rPr>
          <w:rFonts w:ascii="SimSun" w:hAnsi="SimSun" w:hint="eastAsia"/>
        </w:rPr>
        <w:t>委员会</w:t>
      </w:r>
      <w:r w:rsidRPr="00C0695F">
        <w:rPr>
          <w:rFonts w:ascii="SimSun" w:hAnsi="SimSun" w:hint="eastAsia"/>
        </w:rPr>
        <w:t>注意到，该文件将成为提交给202</w:t>
      </w:r>
      <w:r w:rsidR="00CF2B8E" w:rsidRPr="00C0695F">
        <w:rPr>
          <w:rFonts w:ascii="SimSun" w:hAnsi="SimSun" w:hint="eastAsia"/>
        </w:rPr>
        <w:t>5</w:t>
      </w:r>
      <w:r w:rsidRPr="00C0695F">
        <w:rPr>
          <w:rFonts w:ascii="SimSun" w:hAnsi="SimSun" w:hint="eastAsia"/>
        </w:rPr>
        <w:t>年产权组织大会的相关报告的基础。</w:t>
      </w:r>
    </w:p>
    <w:p w14:paraId="70EAE2B3" w14:textId="222D7557" w:rsidR="00696EC6" w:rsidRPr="00C0695F" w:rsidRDefault="00CF2B8E" w:rsidP="00011E6B">
      <w:pPr>
        <w:pStyle w:val="ONUME"/>
        <w:numPr>
          <w:ilvl w:val="0"/>
          <w:numId w:val="18"/>
        </w:numPr>
        <w:overflowPunct w:val="0"/>
        <w:spacing w:afterLines="50" w:after="120" w:line="340" w:lineRule="atLeast"/>
        <w:ind w:left="0" w:firstLine="0"/>
        <w:jc w:val="both"/>
        <w:rPr>
          <w:rFonts w:ascii="SimSun" w:hAnsi="SimSun"/>
        </w:rPr>
      </w:pPr>
      <w:r w:rsidRPr="00C0695F">
        <w:rPr>
          <w:rFonts w:ascii="SimSun" w:hAnsi="SimSun" w:hint="eastAsia"/>
        </w:rPr>
        <w:t>委员会注意到下列全球合作信息系统所取得的进展：WIPO</w:t>
      </w:r>
      <w:r w:rsidRPr="00C0695F">
        <w:rPr>
          <w:rFonts w:ascii="SimSun" w:hAnsi="SimSun"/>
        </w:rPr>
        <w:t xml:space="preserve"> Sequence</w:t>
      </w:r>
      <w:r w:rsidRPr="00C0695F">
        <w:rPr>
          <w:rFonts w:ascii="SimSun" w:hAnsi="SimSun" w:hint="eastAsia"/>
        </w:rPr>
        <w:t>套件、知识产权用API目录和权威文档门户。</w:t>
      </w:r>
    </w:p>
    <w:p w14:paraId="6C984D64" w14:textId="116B6841" w:rsidR="00595DCF" w:rsidRPr="007457B3" w:rsidRDefault="00720715" w:rsidP="007457B3">
      <w:pPr>
        <w:pStyle w:val="ONUME"/>
        <w:numPr>
          <w:ilvl w:val="0"/>
          <w:numId w:val="18"/>
        </w:numPr>
        <w:overflowPunct w:val="0"/>
        <w:spacing w:afterLines="50" w:after="120" w:line="340" w:lineRule="atLeast"/>
        <w:ind w:left="5534" w:firstLine="0"/>
        <w:jc w:val="both"/>
        <w:rPr>
          <w:rFonts w:ascii="KaiTi" w:eastAsia="KaiTi" w:hAnsi="KaiTi"/>
          <w:iCs/>
        </w:rPr>
      </w:pPr>
      <w:r w:rsidRPr="007457B3">
        <w:rPr>
          <w:rFonts w:ascii="KaiTi" w:eastAsia="KaiTi" w:hAnsi="KaiTi" w:hint="eastAsia"/>
          <w:iCs/>
        </w:rPr>
        <w:t>请产权组织大会注意“关于产权组织标准委员会的报告”</w:t>
      </w:r>
      <w:r w:rsidR="00CF2B8E" w:rsidRPr="007457B3">
        <w:rPr>
          <w:rFonts w:ascii="KaiTi" w:eastAsia="KaiTi" w:hAnsi="KaiTi" w:hint="eastAsia"/>
          <w:iCs/>
        </w:rPr>
        <w:t>，其中包括知识产权局信通技术建议和文件</w:t>
      </w:r>
      <w:r w:rsidR="00CF2B8E" w:rsidRPr="007457B3">
        <w:rPr>
          <w:rFonts w:ascii="KaiTi" w:eastAsia="KaiTi" w:hAnsi="KaiTi"/>
          <w:iCs/>
        </w:rPr>
        <w:t>CWS/12/</w:t>
      </w:r>
      <w:r w:rsidR="006801F0">
        <w:rPr>
          <w:rFonts w:ascii="KaiTi" w:eastAsia="KaiTi" w:hAnsi="KaiTi"/>
          <w:iCs/>
        </w:rPr>
        <w:t>‌</w:t>
      </w:r>
      <w:r w:rsidR="00CF2B8E" w:rsidRPr="007457B3">
        <w:rPr>
          <w:rFonts w:ascii="KaiTi" w:eastAsia="KaiTi" w:hAnsi="KaiTi"/>
          <w:iCs/>
        </w:rPr>
        <w:t>25</w:t>
      </w:r>
      <w:r w:rsidRPr="007457B3">
        <w:rPr>
          <w:rFonts w:ascii="KaiTi" w:eastAsia="KaiTi" w:hAnsi="KaiTi" w:hint="eastAsia"/>
          <w:iCs/>
        </w:rPr>
        <w:t>（文件WO/GA/5</w:t>
      </w:r>
      <w:r w:rsidR="00CF2B8E" w:rsidRPr="007457B3">
        <w:rPr>
          <w:rFonts w:ascii="KaiTi" w:eastAsia="KaiTi" w:hAnsi="KaiTi" w:hint="eastAsia"/>
          <w:iCs/>
        </w:rPr>
        <w:t>8</w:t>
      </w:r>
      <w:r w:rsidRPr="007457B3">
        <w:rPr>
          <w:rFonts w:ascii="KaiTi" w:eastAsia="KaiTi" w:hAnsi="KaiTi" w:hint="eastAsia"/>
          <w:iCs/>
        </w:rPr>
        <w:t>/</w:t>
      </w:r>
      <w:r w:rsidR="00CF2B8E" w:rsidRPr="007457B3">
        <w:rPr>
          <w:rFonts w:ascii="KaiTi" w:eastAsia="KaiTi" w:hAnsi="KaiTi" w:hint="eastAsia"/>
          <w:iCs/>
        </w:rPr>
        <w:t>9</w:t>
      </w:r>
      <w:r w:rsidRPr="007457B3">
        <w:rPr>
          <w:rFonts w:ascii="KaiTi" w:eastAsia="KaiTi" w:hAnsi="KaiTi" w:hint="eastAsia"/>
          <w:iCs/>
        </w:rPr>
        <w:t>）。</w:t>
      </w:r>
    </w:p>
    <w:p w14:paraId="6514F50D" w14:textId="1F73D71D" w:rsidR="00A14E92" w:rsidRPr="007457B3" w:rsidRDefault="00595DCF" w:rsidP="007457B3">
      <w:pPr>
        <w:pStyle w:val="Endofdocument-Annex"/>
        <w:spacing w:afterLines="50" w:after="120" w:line="340" w:lineRule="atLeast"/>
        <w:ind w:left="5534"/>
        <w:rPr>
          <w:rFonts w:ascii="KaiTi" w:eastAsia="KaiTi" w:hAnsi="KaiTi"/>
        </w:rPr>
      </w:pPr>
      <w:r w:rsidRPr="007457B3">
        <w:rPr>
          <w:rFonts w:ascii="KaiTi" w:eastAsia="KaiTi" w:hAnsi="KaiTi"/>
        </w:rPr>
        <w:t>[</w:t>
      </w:r>
      <w:r w:rsidR="00CF2B8E" w:rsidRPr="007457B3">
        <w:rPr>
          <w:rFonts w:ascii="KaiTi" w:eastAsia="KaiTi" w:hAnsi="KaiTi" w:hint="eastAsia"/>
        </w:rPr>
        <w:t>后接附件</w:t>
      </w:r>
      <w:r w:rsidRPr="007457B3">
        <w:rPr>
          <w:rFonts w:ascii="KaiTi" w:eastAsia="KaiTi" w:hAnsi="KaiTi"/>
        </w:rPr>
        <w:t>]</w:t>
      </w:r>
    </w:p>
    <w:p w14:paraId="63DD9240" w14:textId="77777777" w:rsidR="00DB0537" w:rsidRDefault="00DB0537" w:rsidP="007457B3">
      <w:pPr>
        <w:pStyle w:val="Endofdocument-Annex"/>
        <w:spacing w:before="0"/>
        <w:ind w:left="5533"/>
        <w:rPr>
          <w:rFonts w:ascii="SimSun" w:hAnsi="SimSun"/>
        </w:rPr>
        <w:sectPr w:rsidR="00DB0537" w:rsidSect="005A2D03">
          <w:headerReference w:type="default" r:id="rId11"/>
          <w:endnotePr>
            <w:numFmt w:val="decimal"/>
          </w:endnotePr>
          <w:type w:val="continuous"/>
          <w:pgSz w:w="11907" w:h="16840" w:code="9"/>
          <w:pgMar w:top="567" w:right="1134" w:bottom="1418" w:left="1418" w:header="510" w:footer="1021" w:gutter="0"/>
          <w:pgNumType w:start="1"/>
          <w:cols w:space="720"/>
          <w:titlePg/>
          <w:docGrid w:linePitch="299"/>
        </w:sectPr>
      </w:pPr>
    </w:p>
    <w:p w14:paraId="5F10B4FA" w14:textId="7C2CCEA0" w:rsidR="00CF2B8E" w:rsidRPr="003A69CC" w:rsidRDefault="00D241B7" w:rsidP="003A69CC">
      <w:pPr>
        <w:keepNext/>
        <w:spacing w:beforeLines="100" w:before="240" w:afterLines="50" w:after="120" w:line="340" w:lineRule="atLeast"/>
        <w:outlineLvl w:val="0"/>
        <w:rPr>
          <w:rFonts w:ascii="SimHei" w:eastAsia="SimHei" w:hAnsi="SimHei" w:cs="Times New Roman"/>
          <w:caps/>
          <w:kern w:val="32"/>
          <w:szCs w:val="21"/>
          <w:lang w:val="en-GB"/>
        </w:rPr>
      </w:pPr>
      <w:r w:rsidRPr="003A69CC">
        <w:rPr>
          <w:rFonts w:ascii="SimHei" w:eastAsia="SimHei" w:hAnsi="SimHei" w:cs="Times New Roman" w:hint="eastAsia"/>
          <w:caps/>
          <w:kern w:val="32"/>
          <w:szCs w:val="21"/>
          <w:lang w:val="en-GB"/>
        </w:rPr>
        <w:lastRenderedPageBreak/>
        <w:t>关于信通技术和知识产权行政管理的建议</w:t>
      </w:r>
    </w:p>
    <w:p w14:paraId="1EFBC585" w14:textId="6B3D4020" w:rsidR="00CF2B8E" w:rsidRPr="00A87347" w:rsidRDefault="00CF2B8E" w:rsidP="003A69CC">
      <w:pPr>
        <w:keepNext/>
        <w:spacing w:beforeLines="100" w:before="240" w:afterLines="50" w:after="120" w:line="340" w:lineRule="atLeast"/>
        <w:ind w:firstLineChars="200" w:firstLine="440"/>
        <w:jc w:val="both"/>
        <w:outlineLvl w:val="0"/>
        <w:rPr>
          <w:rFonts w:ascii="SimSun" w:hAnsi="SimSun" w:cs="Times New Roman"/>
          <w:caps/>
          <w:kern w:val="32"/>
          <w:szCs w:val="21"/>
          <w:lang w:val="en-GB"/>
        </w:rPr>
      </w:pPr>
      <w:r>
        <w:rPr>
          <w:rFonts w:ascii="SimSun" w:hAnsi="SimSun" w:cs="Times New Roman" w:hint="eastAsia"/>
          <w:caps/>
          <w:kern w:val="32"/>
          <w:szCs w:val="21"/>
          <w:lang w:val="en-GB"/>
        </w:rPr>
        <w:t>产权组织</w:t>
      </w:r>
      <w:r w:rsidRPr="00A87347">
        <w:rPr>
          <w:rFonts w:ascii="SimSun" w:hAnsi="SimSun" w:cs="Times New Roman" w:hint="eastAsia"/>
          <w:caps/>
          <w:kern w:val="32"/>
          <w:szCs w:val="21"/>
          <w:lang w:val="en-GB"/>
        </w:rPr>
        <w:t>标准委员会</w:t>
      </w:r>
      <w:r>
        <w:rPr>
          <w:rFonts w:ascii="SimSun" w:hAnsi="SimSun" w:cs="Times New Roman" w:hint="eastAsia"/>
          <w:caps/>
          <w:kern w:val="32"/>
          <w:szCs w:val="21"/>
          <w:lang w:val="en-GB"/>
        </w:rPr>
        <w:t>（标准委）</w:t>
      </w:r>
      <w:r w:rsidRPr="00A87347">
        <w:rPr>
          <w:rFonts w:ascii="SimSun" w:hAnsi="SimSun" w:cs="Times New Roman" w:hint="eastAsia"/>
          <w:caps/>
          <w:kern w:val="32"/>
          <w:szCs w:val="21"/>
          <w:lang w:val="en-GB"/>
        </w:rPr>
        <w:t>第十二届会议通过了</w:t>
      </w:r>
      <w:r w:rsidR="00D241B7">
        <w:rPr>
          <w:rFonts w:ascii="SimSun" w:hAnsi="SimSun" w:cs="Times New Roman" w:hint="eastAsia"/>
          <w:caps/>
          <w:kern w:val="32"/>
          <w:szCs w:val="21"/>
          <w:lang w:val="en-GB"/>
        </w:rPr>
        <w:t>下列</w:t>
      </w:r>
      <w:r w:rsidRPr="00A87347">
        <w:rPr>
          <w:rFonts w:ascii="SimSun" w:hAnsi="SimSun" w:cs="Times New Roman" w:hint="eastAsia"/>
          <w:caps/>
          <w:kern w:val="32"/>
          <w:szCs w:val="21"/>
          <w:lang w:val="en-GB"/>
        </w:rPr>
        <w:t>一</w:t>
      </w:r>
      <w:r w:rsidR="00D241B7">
        <w:rPr>
          <w:rFonts w:ascii="SimSun" w:hAnsi="SimSun" w:cs="Times New Roman" w:hint="eastAsia"/>
          <w:caps/>
          <w:kern w:val="32"/>
          <w:szCs w:val="21"/>
          <w:lang w:val="en-GB"/>
        </w:rPr>
        <w:t>组</w:t>
      </w:r>
      <w:r w:rsidRPr="00A87347">
        <w:rPr>
          <w:rFonts w:ascii="SimSun" w:hAnsi="SimSun" w:cs="Times New Roman" w:hint="eastAsia"/>
          <w:caps/>
          <w:kern w:val="32"/>
          <w:szCs w:val="21"/>
          <w:lang w:val="en-GB"/>
        </w:rPr>
        <w:t>关于信息与通信技术</w:t>
      </w:r>
      <w:r>
        <w:rPr>
          <w:rFonts w:ascii="SimSun" w:hAnsi="SimSun" w:cs="Times New Roman" w:hint="eastAsia"/>
          <w:caps/>
          <w:kern w:val="32"/>
          <w:szCs w:val="21"/>
          <w:lang w:val="en-GB"/>
        </w:rPr>
        <w:t>（信通技术）</w:t>
      </w:r>
      <w:r w:rsidRPr="00A87347">
        <w:rPr>
          <w:rFonts w:ascii="SimSun" w:hAnsi="SimSun" w:cs="Times New Roman" w:hint="eastAsia"/>
          <w:caps/>
          <w:kern w:val="32"/>
          <w:szCs w:val="21"/>
          <w:lang w:val="en-GB"/>
        </w:rPr>
        <w:t>的建议。鼓励知识产权局落实这</w:t>
      </w:r>
      <w:r w:rsidR="00D241B7">
        <w:rPr>
          <w:rFonts w:ascii="SimSun" w:hAnsi="SimSun" w:cs="Times New Roman" w:hint="eastAsia"/>
          <w:caps/>
          <w:kern w:val="32"/>
          <w:szCs w:val="21"/>
          <w:lang w:val="en-GB"/>
        </w:rPr>
        <w:t>组</w:t>
      </w:r>
      <w:r w:rsidRPr="00A87347">
        <w:rPr>
          <w:rFonts w:ascii="SimSun" w:hAnsi="SimSun" w:cs="Times New Roman" w:hint="eastAsia"/>
          <w:caps/>
          <w:kern w:val="32"/>
          <w:szCs w:val="21"/>
          <w:lang w:val="en-GB"/>
        </w:rPr>
        <w:t>建议，并分享其落实这些建议的计划或经验。</w:t>
      </w:r>
    </w:p>
    <w:tbl>
      <w:tblPr>
        <w:tblW w:w="9348" w:type="dxa"/>
        <w:shd w:val="clear" w:color="auto" w:fill="FFFFFF"/>
        <w:tblCellMar>
          <w:left w:w="0" w:type="dxa"/>
          <w:right w:w="0" w:type="dxa"/>
        </w:tblCellMar>
        <w:tblLook w:val="04A0" w:firstRow="1" w:lastRow="0" w:firstColumn="1" w:lastColumn="0" w:noHBand="0" w:noVBand="1"/>
      </w:tblPr>
      <w:tblGrid>
        <w:gridCol w:w="2827"/>
        <w:gridCol w:w="6521"/>
      </w:tblGrid>
      <w:tr w:rsidR="00CF2B8E" w:rsidRPr="00DB0537" w14:paraId="4F994886" w14:textId="77777777" w:rsidTr="00DB0537">
        <w:trPr>
          <w:tblHeader/>
        </w:trPr>
        <w:tc>
          <w:tcPr>
            <w:tcW w:w="28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3BD54BF8" w14:textId="77777777" w:rsidR="00CF2B8E" w:rsidRPr="00DB0537" w:rsidRDefault="00CF2B8E" w:rsidP="00F32F77">
            <w:pPr>
              <w:spacing w:line="340" w:lineRule="atLeast"/>
              <w:jc w:val="center"/>
              <w:rPr>
                <w:rFonts w:ascii="SimSun" w:hAnsi="SimSun" w:cs="Segoe UI"/>
                <w:b/>
                <w:bCs/>
                <w:szCs w:val="22"/>
                <w:lang w:eastAsia="en-AU"/>
              </w:rPr>
            </w:pPr>
            <w:proofErr w:type="spellStart"/>
            <w:r w:rsidRPr="00DB0537">
              <w:rPr>
                <w:rFonts w:ascii="SimSun" w:hAnsi="SimSun" w:cs="Segoe UI"/>
                <w:b/>
                <w:bCs/>
                <w:szCs w:val="22"/>
                <w:lang w:eastAsia="en-AU"/>
              </w:rPr>
              <w:t>建议</w:t>
            </w:r>
            <w:proofErr w:type="spellEnd"/>
          </w:p>
        </w:tc>
        <w:tc>
          <w:tcPr>
            <w:tcW w:w="6521"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00D03BF8" w14:textId="77777777" w:rsidR="00CF2B8E" w:rsidRPr="00DB0537" w:rsidRDefault="00CF2B8E" w:rsidP="00F32F77">
            <w:pPr>
              <w:spacing w:line="340" w:lineRule="atLeast"/>
              <w:jc w:val="center"/>
              <w:rPr>
                <w:rFonts w:ascii="SimSun" w:hAnsi="SimSun" w:cs="Segoe UI"/>
                <w:b/>
                <w:bCs/>
                <w:szCs w:val="22"/>
                <w:lang w:eastAsia="en-AU"/>
              </w:rPr>
            </w:pPr>
            <w:proofErr w:type="spellStart"/>
            <w:r w:rsidRPr="00DB0537">
              <w:rPr>
                <w:rFonts w:ascii="SimSun" w:hAnsi="SimSun" w:cs="Segoe UI"/>
                <w:b/>
                <w:bCs/>
                <w:szCs w:val="22"/>
                <w:lang w:eastAsia="en-AU"/>
              </w:rPr>
              <w:t>建议采取的行动</w:t>
            </w:r>
            <w:proofErr w:type="spellEnd"/>
          </w:p>
        </w:tc>
      </w:tr>
      <w:tr w:rsidR="00CF2B8E" w:rsidRPr="00DB0537" w14:paraId="6DD28225"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68015B2" w14:textId="77777777" w:rsidR="00CF2B8E" w:rsidRP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建议1</w:t>
            </w:r>
            <w:r w:rsidRPr="00DB0537">
              <w:rPr>
                <w:rFonts w:ascii="SimSun" w:eastAsia="SimSun" w:hAnsi="SimSun" w:cs="Segoe UI" w:hint="eastAsia"/>
                <w:sz w:val="22"/>
                <w:szCs w:val="22"/>
                <w:u w:val="single"/>
                <w:lang w:eastAsia="zh-CN"/>
              </w:rPr>
              <w:t>：</w:t>
            </w:r>
          </w:p>
          <w:p w14:paraId="3ACD2AE0" w14:textId="77777777"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知识产权局应在各个阶段与内部和外部利益</w:t>
            </w:r>
            <w:r w:rsidRPr="00DB0537">
              <w:rPr>
                <w:rFonts w:ascii="SimSun" w:eastAsia="SimSun" w:hAnsi="SimSun" w:cs="Segoe UI" w:hint="eastAsia"/>
                <w:sz w:val="22"/>
                <w:szCs w:val="22"/>
                <w:lang w:eastAsia="zh-CN"/>
              </w:rPr>
              <w:t>攸关方</w:t>
            </w:r>
            <w:r w:rsidRPr="00DB0537">
              <w:rPr>
                <w:rFonts w:ascii="SimSun" w:eastAsia="SimSun" w:hAnsi="SimSun" w:cs="Segoe UI"/>
                <w:sz w:val="22"/>
                <w:szCs w:val="22"/>
                <w:lang w:eastAsia="zh-CN"/>
              </w:rPr>
              <w:t>合作，优化</w:t>
            </w:r>
            <w:r w:rsidRPr="00DB0537">
              <w:rPr>
                <w:rFonts w:ascii="SimSun" w:eastAsia="SimSun" w:hAnsi="SimSun" w:cs="Segoe UI" w:hint="eastAsia"/>
                <w:sz w:val="22"/>
                <w:szCs w:val="22"/>
                <w:lang w:eastAsia="zh-CN"/>
              </w:rPr>
              <w:t>当前</w:t>
            </w:r>
            <w:r w:rsidRPr="00DB0537">
              <w:rPr>
                <w:rFonts w:ascii="SimSun" w:eastAsia="SimSun" w:hAnsi="SimSun" w:cs="Segoe UI"/>
                <w:sz w:val="22"/>
                <w:szCs w:val="22"/>
                <w:lang w:eastAsia="zh-CN"/>
              </w:rPr>
              <w:t>的业务模式、法律框架和工作流程，使之适合数字时代。</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BF2ABB7" w14:textId="77777777" w:rsidR="00CF2B8E" w:rsidRPr="00DB0537" w:rsidRDefault="00CF2B8E" w:rsidP="00DB0537">
            <w:pPr>
              <w:numPr>
                <w:ilvl w:val="0"/>
                <w:numId w:val="8"/>
              </w:numPr>
              <w:tabs>
                <w:tab w:val="clear" w:pos="720"/>
              </w:tabs>
              <w:overflowPunct w:val="0"/>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w:t>
            </w:r>
            <w:r w:rsidRPr="00DB0537">
              <w:rPr>
                <w:rFonts w:ascii="SimSun" w:hAnsi="SimSun" w:cs="Segoe UI" w:hint="eastAsia"/>
                <w:szCs w:val="22"/>
              </w:rPr>
              <w:t>查明</w:t>
            </w:r>
            <w:r w:rsidRPr="00DB0537">
              <w:rPr>
                <w:rFonts w:ascii="SimSun" w:hAnsi="SimSun" w:cs="Segoe UI"/>
                <w:szCs w:val="22"/>
              </w:rPr>
              <w:t>业务问题，以及解决这些问题的最佳可能数字解决方案</w:t>
            </w:r>
            <w:r w:rsidRPr="00DB0537">
              <w:rPr>
                <w:rFonts w:ascii="SimSun" w:hAnsi="SimSun" w:cs="Segoe UI" w:hint="eastAsia"/>
                <w:szCs w:val="22"/>
              </w:rPr>
              <w:t>，避免仅仅复制过时的纸质流程。</w:t>
            </w:r>
          </w:p>
          <w:p w14:paraId="57B26B3D" w14:textId="77777777" w:rsidR="00CF2B8E" w:rsidRPr="00DB0537" w:rsidRDefault="00CF2B8E" w:rsidP="00DB0537">
            <w:pPr>
              <w:numPr>
                <w:ilvl w:val="0"/>
                <w:numId w:val="8"/>
              </w:numPr>
              <w:tabs>
                <w:tab w:val="clear" w:pos="720"/>
              </w:tabs>
              <w:overflowPunct w:val="0"/>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鼓励知识产权局审查不同知识产权的业务流程，并考虑在可能的情况下对所有知识产权采用统一程序。</w:t>
            </w:r>
          </w:p>
          <w:p w14:paraId="72C8E264" w14:textId="77777777" w:rsidR="00CF2B8E" w:rsidRPr="00DB0537" w:rsidRDefault="00CF2B8E" w:rsidP="00DB0537">
            <w:pPr>
              <w:numPr>
                <w:ilvl w:val="0"/>
                <w:numId w:val="8"/>
              </w:numPr>
              <w:tabs>
                <w:tab w:val="clear" w:pos="720"/>
              </w:tabs>
              <w:overflowPunct w:val="0"/>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知识产权局应确保在组织层面</w:t>
            </w:r>
            <w:r w:rsidRPr="00DB0537">
              <w:rPr>
                <w:rFonts w:ascii="SimSun" w:hAnsi="SimSun" w:cs="Segoe UI" w:hint="eastAsia"/>
                <w:szCs w:val="22"/>
              </w:rPr>
              <w:t>就</w:t>
            </w:r>
            <w:r w:rsidRPr="00DB0537">
              <w:rPr>
                <w:rFonts w:ascii="SimSun" w:hAnsi="SimSun" w:cs="Segoe UI"/>
                <w:szCs w:val="22"/>
              </w:rPr>
              <w:t>数字化转型</w:t>
            </w:r>
            <w:r w:rsidRPr="00DB0537">
              <w:rPr>
                <w:rFonts w:ascii="SimSun" w:hAnsi="SimSun" w:cs="Segoe UI" w:hint="eastAsia"/>
                <w:szCs w:val="22"/>
              </w:rPr>
              <w:t>形成</w:t>
            </w:r>
            <w:r w:rsidRPr="00DB0537">
              <w:rPr>
                <w:rFonts w:ascii="SimSun" w:hAnsi="SimSun" w:cs="Segoe UI"/>
                <w:szCs w:val="22"/>
              </w:rPr>
              <w:t>普遍共识，包括对新兴</w:t>
            </w:r>
            <w:r w:rsidRPr="00DB0537">
              <w:rPr>
                <w:rFonts w:ascii="SimSun" w:hAnsi="SimSun" w:cs="Segoe UI" w:hint="eastAsia"/>
                <w:szCs w:val="22"/>
              </w:rPr>
              <w:t>且快速发展的技</w:t>
            </w:r>
            <w:r w:rsidRPr="00DB0537">
              <w:rPr>
                <w:rFonts w:ascii="SimSun" w:hAnsi="SimSun" w:cs="Segoe UI"/>
                <w:szCs w:val="22"/>
              </w:rPr>
              <w:t>术</w:t>
            </w:r>
            <w:r w:rsidRPr="00DB0537">
              <w:rPr>
                <w:rFonts w:ascii="SimSun" w:hAnsi="SimSun" w:cs="Segoe UI" w:hint="eastAsia"/>
                <w:szCs w:val="22"/>
              </w:rPr>
              <w:t>进行</w:t>
            </w:r>
            <w:r w:rsidRPr="00DB0537">
              <w:rPr>
                <w:rFonts w:ascii="SimSun" w:hAnsi="SimSun" w:cs="Segoe UI"/>
                <w:szCs w:val="22"/>
              </w:rPr>
              <w:t>可能</w:t>
            </w:r>
            <w:r w:rsidRPr="00DB0537">
              <w:rPr>
                <w:rFonts w:ascii="SimSun" w:hAnsi="SimSun" w:cs="Segoe UI" w:hint="eastAsia"/>
                <w:szCs w:val="22"/>
              </w:rPr>
              <w:t>的</w:t>
            </w:r>
            <w:r w:rsidRPr="00DB0537">
              <w:rPr>
                <w:rFonts w:ascii="SimSun" w:hAnsi="SimSun" w:cs="Segoe UI"/>
                <w:szCs w:val="22"/>
              </w:rPr>
              <w:t>适当使用。</w:t>
            </w:r>
          </w:p>
          <w:p w14:paraId="1FA2115D" w14:textId="77777777" w:rsidR="00CF2B8E" w:rsidRPr="00DB0537" w:rsidRDefault="00CF2B8E" w:rsidP="00DB0537">
            <w:pPr>
              <w:numPr>
                <w:ilvl w:val="0"/>
                <w:numId w:val="8"/>
              </w:numPr>
              <w:tabs>
                <w:tab w:val="clear" w:pos="720"/>
              </w:tabs>
              <w:overflowPunct w:val="0"/>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知识产权局应确保</w:t>
            </w:r>
            <w:r w:rsidRPr="00DB0537">
              <w:rPr>
                <w:rFonts w:ascii="SimSun" w:hAnsi="SimSun" w:cs="Segoe UI" w:hint="eastAsia"/>
                <w:szCs w:val="22"/>
              </w:rPr>
              <w:t>采纳利用</w:t>
            </w:r>
            <w:r w:rsidRPr="00DB0537">
              <w:rPr>
                <w:rFonts w:ascii="SimSun" w:hAnsi="SimSun" w:cs="Segoe UI"/>
                <w:szCs w:val="22"/>
              </w:rPr>
              <w:t>API和云</w:t>
            </w:r>
            <w:r w:rsidRPr="00DB0537">
              <w:rPr>
                <w:rFonts w:ascii="SimSun" w:hAnsi="SimSun" w:cs="Segoe UI" w:hint="eastAsia"/>
                <w:szCs w:val="22"/>
              </w:rPr>
              <w:t>技术的策略</w:t>
            </w:r>
            <w:r w:rsidRPr="00DB0537">
              <w:rPr>
                <w:rFonts w:ascii="SimSun" w:hAnsi="SimSun" w:cs="Segoe UI"/>
                <w:szCs w:val="22"/>
              </w:rPr>
              <w:t>，同时考虑到相关的国内法规和业务政策，以实现业务流程的现代化、自动化和优化。</w:t>
            </w:r>
          </w:p>
          <w:p w14:paraId="2780DA27" w14:textId="77777777" w:rsidR="00CF2B8E" w:rsidRPr="00DB0537" w:rsidRDefault="00CF2B8E" w:rsidP="00DB0537">
            <w:pPr>
              <w:numPr>
                <w:ilvl w:val="0"/>
                <w:numId w:val="8"/>
              </w:numPr>
              <w:tabs>
                <w:tab w:val="clear" w:pos="720"/>
              </w:tabs>
              <w:overflowPunct w:val="0"/>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知识产权局应考虑</w:t>
            </w:r>
            <w:r w:rsidRPr="00DB0537">
              <w:rPr>
                <w:rFonts w:ascii="SimSun" w:hAnsi="SimSun" w:cs="Segoe UI" w:hint="eastAsia"/>
                <w:szCs w:val="22"/>
              </w:rPr>
              <w:t>修改</w:t>
            </w:r>
            <w:r w:rsidRPr="00DB0537">
              <w:rPr>
                <w:rFonts w:ascii="SimSun" w:hAnsi="SimSun" w:cs="Segoe UI"/>
                <w:szCs w:val="22"/>
              </w:rPr>
              <w:t>法律以支持数字化转型，例如</w:t>
            </w:r>
            <w:r w:rsidRPr="00DB0537">
              <w:rPr>
                <w:rFonts w:ascii="SimSun" w:hAnsi="SimSun" w:cs="Segoe UI" w:hint="eastAsia"/>
                <w:szCs w:val="22"/>
              </w:rPr>
              <w:t>：</w:t>
            </w:r>
          </w:p>
          <w:p w14:paraId="153DDAF2" w14:textId="77777777" w:rsidR="00CF2B8E" w:rsidRPr="00DB0537" w:rsidRDefault="00CF2B8E" w:rsidP="00DB0537">
            <w:pPr>
              <w:numPr>
                <w:ilvl w:val="1"/>
                <w:numId w:val="9"/>
              </w:numPr>
              <w:overflowPunct w:val="0"/>
              <w:spacing w:afterLines="50" w:after="120" w:line="340" w:lineRule="atLeast"/>
              <w:ind w:left="1083" w:hanging="357"/>
              <w:contextualSpacing/>
              <w:jc w:val="both"/>
              <w:rPr>
                <w:rFonts w:ascii="SimSun" w:hAnsi="SimSun" w:cs="Segoe UI"/>
                <w:szCs w:val="22"/>
                <w:lang w:eastAsia="en-AU"/>
              </w:rPr>
            </w:pPr>
            <w:r w:rsidRPr="00DB0537">
              <w:rPr>
                <w:rFonts w:ascii="SimSun" w:hAnsi="SimSun" w:cs="Segoe UI" w:hint="eastAsia"/>
                <w:szCs w:val="22"/>
              </w:rPr>
              <w:t>制定</w:t>
            </w:r>
            <w:proofErr w:type="spellStart"/>
            <w:r w:rsidRPr="00DB0537">
              <w:rPr>
                <w:rFonts w:ascii="SimSun" w:hAnsi="SimSun" w:cs="Segoe UI"/>
                <w:szCs w:val="22"/>
                <w:lang w:eastAsia="en-AU"/>
              </w:rPr>
              <w:t>自动</w:t>
            </w:r>
            <w:proofErr w:type="spellEnd"/>
            <w:r w:rsidRPr="00DB0537">
              <w:rPr>
                <w:rFonts w:ascii="SimSun" w:hAnsi="SimSun" w:cs="Segoe UI" w:hint="eastAsia"/>
                <w:szCs w:val="22"/>
              </w:rPr>
              <w:t>化</w:t>
            </w:r>
            <w:proofErr w:type="spellStart"/>
            <w:r w:rsidRPr="00DB0537">
              <w:rPr>
                <w:rFonts w:ascii="SimSun" w:hAnsi="SimSun" w:cs="Segoe UI"/>
                <w:szCs w:val="22"/>
                <w:lang w:eastAsia="en-AU"/>
              </w:rPr>
              <w:t>决策框架</w:t>
            </w:r>
            <w:proofErr w:type="spellEnd"/>
            <w:r w:rsidRPr="00DB0537">
              <w:rPr>
                <w:rFonts w:ascii="SimSun" w:hAnsi="SimSun" w:cs="Segoe UI" w:hint="eastAsia"/>
                <w:szCs w:val="22"/>
              </w:rPr>
              <w:t>；</w:t>
            </w:r>
          </w:p>
          <w:p w14:paraId="0105220D" w14:textId="77777777" w:rsidR="00CF2B8E" w:rsidRPr="00DB0537" w:rsidRDefault="00CF2B8E" w:rsidP="00DB0537">
            <w:pPr>
              <w:numPr>
                <w:ilvl w:val="1"/>
                <w:numId w:val="9"/>
              </w:numPr>
              <w:overflowPunct w:val="0"/>
              <w:spacing w:afterLines="50" w:after="120" w:line="340" w:lineRule="atLeast"/>
              <w:ind w:left="1083" w:hanging="357"/>
              <w:contextualSpacing/>
              <w:jc w:val="both"/>
              <w:rPr>
                <w:rFonts w:ascii="SimSun" w:hAnsi="SimSun" w:cs="Segoe UI"/>
                <w:szCs w:val="22"/>
              </w:rPr>
            </w:pPr>
            <w:r w:rsidRPr="00DB0537">
              <w:rPr>
                <w:rFonts w:ascii="SimSun" w:hAnsi="SimSun" w:cs="Segoe UI"/>
                <w:szCs w:val="22"/>
              </w:rPr>
              <w:t>在知识产权</w:t>
            </w:r>
            <w:r w:rsidRPr="00DB0537">
              <w:rPr>
                <w:rFonts w:ascii="SimSun" w:hAnsi="SimSun" w:cs="Segoe UI" w:hint="eastAsia"/>
                <w:szCs w:val="22"/>
              </w:rPr>
              <w:t>行政</w:t>
            </w:r>
            <w:r w:rsidRPr="00DB0537">
              <w:rPr>
                <w:rFonts w:ascii="SimSun" w:hAnsi="SimSun" w:cs="Segoe UI"/>
                <w:szCs w:val="22"/>
              </w:rPr>
              <w:t>管理中使用合格</w:t>
            </w:r>
            <w:r w:rsidRPr="00DB0537">
              <w:rPr>
                <w:rFonts w:ascii="SimSun" w:hAnsi="SimSun" w:cs="Segoe UI" w:hint="eastAsia"/>
                <w:szCs w:val="22"/>
              </w:rPr>
              <w:t>的</w:t>
            </w:r>
            <w:r w:rsidRPr="00DB0537">
              <w:rPr>
                <w:rFonts w:ascii="SimSun" w:hAnsi="SimSun" w:cs="Segoe UI"/>
                <w:szCs w:val="22"/>
              </w:rPr>
              <w:t>电子签名</w:t>
            </w:r>
            <w:r w:rsidRPr="00DB0537">
              <w:rPr>
                <w:rFonts w:ascii="SimSun" w:hAnsi="SimSun" w:cs="Segoe UI" w:hint="eastAsia"/>
                <w:szCs w:val="22"/>
              </w:rPr>
              <w:t>；</w:t>
            </w:r>
          </w:p>
          <w:p w14:paraId="3CF7FFAD" w14:textId="77777777" w:rsidR="00CF2B8E" w:rsidRPr="00DB0537" w:rsidRDefault="00CF2B8E" w:rsidP="00DB0537">
            <w:pPr>
              <w:numPr>
                <w:ilvl w:val="1"/>
                <w:numId w:val="9"/>
              </w:numPr>
              <w:overflowPunct w:val="0"/>
              <w:spacing w:afterLines="50" w:after="120" w:line="340" w:lineRule="atLeast"/>
              <w:ind w:left="1083" w:hanging="357"/>
              <w:contextualSpacing/>
              <w:jc w:val="both"/>
              <w:rPr>
                <w:rFonts w:ascii="SimSun" w:hAnsi="SimSun" w:cs="Segoe UI"/>
                <w:szCs w:val="22"/>
              </w:rPr>
            </w:pPr>
            <w:r w:rsidRPr="00DB0537">
              <w:rPr>
                <w:rFonts w:ascii="SimSun" w:hAnsi="SimSun" w:cs="Segoe UI" w:hint="eastAsia"/>
                <w:szCs w:val="22"/>
              </w:rPr>
              <w:t>可选择在各知识产权局使用全球统一的标识；以及</w:t>
            </w:r>
          </w:p>
          <w:p w14:paraId="1118571C" w14:textId="77777777" w:rsidR="00CF2B8E" w:rsidRPr="00DB0537" w:rsidRDefault="00CF2B8E" w:rsidP="00DB0537">
            <w:pPr>
              <w:numPr>
                <w:ilvl w:val="1"/>
                <w:numId w:val="9"/>
              </w:numPr>
              <w:overflowPunct w:val="0"/>
              <w:spacing w:afterLines="50" w:after="120" w:line="340" w:lineRule="atLeast"/>
              <w:ind w:left="1083" w:hanging="357"/>
              <w:jc w:val="both"/>
              <w:rPr>
                <w:rFonts w:ascii="SimSun" w:hAnsi="SimSun" w:cs="Segoe UI"/>
                <w:szCs w:val="22"/>
              </w:rPr>
            </w:pPr>
            <w:r w:rsidRPr="00DB0537">
              <w:rPr>
                <w:rFonts w:ascii="SimSun" w:hAnsi="SimSun" w:cs="Segoe UI" w:hint="eastAsia"/>
                <w:szCs w:val="22"/>
              </w:rPr>
              <w:t>探索使用生物识别技术。</w:t>
            </w:r>
          </w:p>
        </w:tc>
      </w:tr>
      <w:tr w:rsidR="00CF2B8E" w:rsidRPr="00DB0537" w14:paraId="3707414A"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FD7AF64" w14:textId="77777777" w:rsidR="00CF2B8E" w:rsidRP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w:t>
            </w:r>
            <w:r w:rsidRPr="00DB0537">
              <w:rPr>
                <w:rFonts w:ascii="SimSun" w:eastAsia="SimSun" w:hAnsi="SimSun" w:cs="Segoe UI" w:hint="eastAsia"/>
                <w:sz w:val="22"/>
                <w:szCs w:val="22"/>
                <w:u w:val="single"/>
                <w:lang w:eastAsia="zh-CN"/>
              </w:rPr>
              <w:t>2：</w:t>
            </w:r>
          </w:p>
          <w:p w14:paraId="5070632C" w14:textId="77777777"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知识产权局应制定信</w:t>
            </w:r>
            <w:r w:rsidRPr="00DB0537">
              <w:rPr>
                <w:rFonts w:ascii="SimSun" w:eastAsia="SimSun" w:hAnsi="SimSun" w:cs="Segoe UI" w:hint="eastAsia"/>
                <w:sz w:val="22"/>
                <w:szCs w:val="22"/>
                <w:lang w:eastAsia="zh-CN"/>
              </w:rPr>
              <w:t>通</w:t>
            </w:r>
            <w:r w:rsidRPr="00DB0537">
              <w:rPr>
                <w:rFonts w:ascii="SimSun" w:eastAsia="SimSun" w:hAnsi="SimSun" w:cs="Segoe UI"/>
                <w:sz w:val="22"/>
                <w:szCs w:val="22"/>
                <w:lang w:eastAsia="zh-CN"/>
              </w:rPr>
              <w:t>技术</w:t>
            </w:r>
            <w:r w:rsidRPr="00DB0537">
              <w:rPr>
                <w:rFonts w:ascii="SimSun" w:eastAsia="SimSun" w:hAnsi="SimSun" w:cs="Segoe UI" w:hint="eastAsia"/>
                <w:sz w:val="22"/>
                <w:szCs w:val="22"/>
                <w:lang w:eastAsia="zh-CN"/>
              </w:rPr>
              <w:t>策略</w:t>
            </w:r>
            <w:r w:rsidRPr="00DB0537">
              <w:rPr>
                <w:rFonts w:ascii="SimSun" w:eastAsia="SimSun" w:hAnsi="SimSun" w:cs="Segoe UI"/>
                <w:sz w:val="22"/>
                <w:szCs w:val="22"/>
                <w:lang w:eastAsia="zh-CN"/>
              </w:rPr>
              <w:t>，</w:t>
            </w:r>
            <w:r w:rsidRPr="00DB0537">
              <w:rPr>
                <w:rFonts w:ascii="SimSun" w:eastAsia="SimSun" w:hAnsi="SimSun" w:cs="Segoe UI" w:hint="eastAsia"/>
                <w:sz w:val="22"/>
                <w:szCs w:val="22"/>
                <w:lang w:eastAsia="zh-CN"/>
              </w:rPr>
              <w:t>或是</w:t>
            </w:r>
            <w:r w:rsidRPr="00DB0537">
              <w:rPr>
                <w:rFonts w:ascii="SimSun" w:eastAsia="SimSun" w:hAnsi="SimSun" w:cs="Segoe UI"/>
                <w:sz w:val="22"/>
                <w:szCs w:val="22"/>
                <w:lang w:eastAsia="zh-CN"/>
              </w:rPr>
              <w:t>作为业务战略规划的一部分，</w:t>
            </w:r>
            <w:r w:rsidRPr="00DB0537">
              <w:rPr>
                <w:rFonts w:ascii="SimSun" w:eastAsia="SimSun" w:hAnsi="SimSun" w:cs="Segoe UI" w:hint="eastAsia"/>
                <w:sz w:val="22"/>
                <w:szCs w:val="22"/>
                <w:lang w:eastAsia="zh-CN"/>
              </w:rPr>
              <w:t>或是</w:t>
            </w:r>
            <w:r w:rsidRPr="00DB0537">
              <w:rPr>
                <w:rFonts w:ascii="SimSun" w:eastAsia="SimSun" w:hAnsi="SimSun" w:cs="Segoe UI"/>
                <w:sz w:val="22"/>
                <w:szCs w:val="22"/>
                <w:lang w:eastAsia="zh-CN"/>
              </w:rPr>
              <w:t>独立制定，包括</w:t>
            </w:r>
            <w:r w:rsidRPr="00DB0537">
              <w:rPr>
                <w:rFonts w:ascii="SimSun" w:eastAsia="SimSun" w:hAnsi="SimSun" w:cs="Segoe UI" w:hint="eastAsia"/>
                <w:sz w:val="22"/>
                <w:szCs w:val="22"/>
                <w:lang w:eastAsia="zh-CN"/>
              </w:rPr>
              <w:t>对其逐年审评</w:t>
            </w:r>
            <w:r w:rsidRPr="00DB0537">
              <w:rPr>
                <w:rFonts w:ascii="SimSun" w:eastAsia="SimSun" w:hAnsi="SimSun" w:cs="Segoe UI"/>
                <w:sz w:val="22"/>
                <w:szCs w:val="22"/>
                <w:lang w:eastAsia="zh-CN"/>
              </w:rPr>
              <w:t>的措施。</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29972A5" w14:textId="77777777" w:rsidR="00CF2B8E" w:rsidRPr="00DB0537" w:rsidRDefault="00CF2B8E" w:rsidP="00DB0537">
            <w:pPr>
              <w:numPr>
                <w:ilvl w:val="0"/>
                <w:numId w:val="5"/>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鼓励知</w:t>
            </w:r>
            <w:r w:rsidRPr="00DB0537">
              <w:rPr>
                <w:rFonts w:ascii="SimSun" w:hAnsi="SimSun" w:cs="Segoe UI"/>
                <w:szCs w:val="22"/>
              </w:rPr>
              <w:t>识产权局根据</w:t>
            </w:r>
            <w:r w:rsidRPr="00DB0537">
              <w:rPr>
                <w:rFonts w:ascii="SimSun" w:hAnsi="SimSun" w:cs="Segoe UI" w:hint="eastAsia"/>
                <w:szCs w:val="22"/>
              </w:rPr>
              <w:t>本局的</w:t>
            </w:r>
            <w:r w:rsidRPr="00DB0537">
              <w:rPr>
                <w:rFonts w:ascii="SimSun" w:hAnsi="SimSun" w:cs="Segoe UI"/>
                <w:szCs w:val="22"/>
              </w:rPr>
              <w:t>业务规划制定</w:t>
            </w:r>
            <w:r w:rsidRPr="00DB0537">
              <w:rPr>
                <w:rFonts w:ascii="SimSun" w:hAnsi="SimSun" w:cs="Segoe UI" w:hint="eastAsia"/>
                <w:szCs w:val="22"/>
              </w:rPr>
              <w:t>信通技术</w:t>
            </w:r>
            <w:r w:rsidRPr="00DB0537">
              <w:rPr>
                <w:rFonts w:ascii="SimSun" w:hAnsi="SimSun" w:cs="Segoe UI"/>
                <w:szCs w:val="22"/>
              </w:rPr>
              <w:t>策略。</w:t>
            </w:r>
          </w:p>
          <w:p w14:paraId="53CFC762" w14:textId="77777777" w:rsidR="00CF2B8E" w:rsidRPr="00DB0537" w:rsidRDefault="00CF2B8E" w:rsidP="00DB0537">
            <w:pPr>
              <w:numPr>
                <w:ilvl w:val="0"/>
                <w:numId w:val="5"/>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w:t>
            </w:r>
            <w:r w:rsidRPr="00DB0537">
              <w:rPr>
                <w:rFonts w:ascii="SimSun" w:hAnsi="SimSun" w:cs="Segoe UI"/>
                <w:szCs w:val="22"/>
              </w:rPr>
              <w:t>知识产权局</w:t>
            </w:r>
            <w:r w:rsidRPr="00DB0537">
              <w:rPr>
                <w:rFonts w:ascii="SimSun" w:hAnsi="SimSun" w:cs="Segoe UI" w:hint="eastAsia"/>
                <w:szCs w:val="22"/>
              </w:rPr>
              <w:t>尽可能以产权组织语言（最好是英语）</w:t>
            </w:r>
            <w:r w:rsidRPr="00DB0537">
              <w:rPr>
                <w:rFonts w:ascii="SimSun" w:hAnsi="SimSun" w:cs="Segoe UI"/>
                <w:szCs w:val="22"/>
              </w:rPr>
              <w:t>与其他</w:t>
            </w:r>
            <w:r w:rsidRPr="00DB0537">
              <w:rPr>
                <w:rFonts w:ascii="SimSun" w:hAnsi="SimSun" w:cs="Segoe UI" w:hint="eastAsia"/>
                <w:szCs w:val="22"/>
              </w:rPr>
              <w:t>知识产权</w:t>
            </w:r>
            <w:r w:rsidRPr="00DB0537">
              <w:rPr>
                <w:rFonts w:ascii="SimSun" w:hAnsi="SimSun" w:cs="Segoe UI"/>
                <w:szCs w:val="22"/>
              </w:rPr>
              <w:t>局</w:t>
            </w:r>
            <w:r w:rsidRPr="00DB0537">
              <w:rPr>
                <w:rFonts w:ascii="SimSun" w:hAnsi="SimSun" w:cs="Segoe UI" w:hint="eastAsia"/>
                <w:szCs w:val="22"/>
              </w:rPr>
              <w:t>分</w:t>
            </w:r>
            <w:r w:rsidRPr="00DB0537">
              <w:rPr>
                <w:rFonts w:ascii="SimSun" w:hAnsi="SimSun" w:cs="Segoe UI"/>
                <w:szCs w:val="22"/>
              </w:rPr>
              <w:t>享</w:t>
            </w:r>
            <w:r w:rsidRPr="00DB0537">
              <w:rPr>
                <w:rFonts w:ascii="SimSun" w:hAnsi="SimSun" w:cs="Segoe UI" w:hint="eastAsia"/>
                <w:szCs w:val="22"/>
              </w:rPr>
              <w:t>本局的</w:t>
            </w:r>
            <w:r w:rsidRPr="00DB0537">
              <w:rPr>
                <w:rFonts w:ascii="SimSun" w:hAnsi="SimSun" w:cs="Segoe UI"/>
                <w:szCs w:val="22"/>
              </w:rPr>
              <w:t>信通技术策略。</w:t>
            </w:r>
          </w:p>
          <w:p w14:paraId="6520D138" w14:textId="77777777" w:rsidR="00CF2B8E" w:rsidRPr="00DB0537" w:rsidRDefault="00CF2B8E" w:rsidP="00DB0537">
            <w:pPr>
              <w:numPr>
                <w:ilvl w:val="0"/>
                <w:numId w:val="5"/>
              </w:numPr>
              <w:tabs>
                <w:tab w:val="clear" w:pos="360"/>
              </w:tabs>
              <w:spacing w:afterLines="50" w:after="120" w:line="340" w:lineRule="atLeast"/>
              <w:ind w:left="357" w:hanging="357"/>
              <w:jc w:val="both"/>
              <w:rPr>
                <w:rFonts w:ascii="SimSun" w:hAnsi="SimSun" w:cs="Segoe UI"/>
                <w:szCs w:val="22"/>
              </w:rPr>
            </w:pPr>
            <w:r w:rsidRPr="00DB0537">
              <w:rPr>
                <w:rFonts w:ascii="SimSun" w:hAnsi="SimSun" w:cs="Segoe UI"/>
                <w:szCs w:val="22"/>
              </w:rPr>
              <w:t>国际局应提供一个论坛，供知识产权局</w:t>
            </w:r>
            <w:r w:rsidRPr="00DB0537">
              <w:rPr>
                <w:rFonts w:ascii="SimSun" w:hAnsi="SimSun" w:cs="Segoe UI" w:hint="eastAsia"/>
                <w:szCs w:val="22"/>
              </w:rPr>
              <w:t>之间</w:t>
            </w:r>
            <w:r w:rsidRPr="00DB0537">
              <w:rPr>
                <w:rFonts w:ascii="SimSun" w:hAnsi="SimSun" w:cs="Segoe UI"/>
                <w:szCs w:val="22"/>
              </w:rPr>
              <w:t>讨论</w:t>
            </w:r>
            <w:r w:rsidRPr="00DB0537">
              <w:rPr>
                <w:rFonts w:ascii="SimSun" w:hAnsi="SimSun" w:cs="Segoe UI" w:hint="eastAsia"/>
                <w:szCs w:val="22"/>
              </w:rPr>
              <w:t>信通技术</w:t>
            </w:r>
            <w:r w:rsidRPr="00DB0537">
              <w:rPr>
                <w:rFonts w:ascii="SimSun" w:hAnsi="SimSun" w:cs="Segoe UI"/>
                <w:szCs w:val="22"/>
              </w:rPr>
              <w:t>策略</w:t>
            </w:r>
            <w:r w:rsidRPr="00DB0537">
              <w:rPr>
                <w:rFonts w:ascii="SimSun" w:hAnsi="SimSun" w:cs="Segoe UI" w:hint="eastAsia"/>
                <w:szCs w:val="22"/>
              </w:rPr>
              <w:t>及其他被视为引发共同兴趣的信通技术问题</w:t>
            </w:r>
            <w:r w:rsidRPr="00DB0537">
              <w:rPr>
                <w:rFonts w:ascii="SimSun" w:hAnsi="SimSun" w:cs="Segoe UI"/>
                <w:szCs w:val="22"/>
              </w:rPr>
              <w:t>，包括</w:t>
            </w:r>
            <w:r w:rsidRPr="00DB0537">
              <w:rPr>
                <w:rFonts w:ascii="SimSun" w:hAnsi="SimSun" w:cs="Segoe UI" w:hint="eastAsia"/>
                <w:szCs w:val="22"/>
              </w:rPr>
              <w:t>各自的审评</w:t>
            </w:r>
            <w:r w:rsidRPr="00DB0537">
              <w:rPr>
                <w:rFonts w:ascii="SimSun" w:hAnsi="SimSun" w:cs="Segoe UI"/>
                <w:szCs w:val="22"/>
              </w:rPr>
              <w:t>和更新。</w:t>
            </w:r>
          </w:p>
        </w:tc>
      </w:tr>
      <w:tr w:rsidR="00CF2B8E" w:rsidRPr="00DB0537" w14:paraId="7846A6EB"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B375A6C"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建议3：</w:t>
            </w:r>
          </w:p>
          <w:p w14:paraId="2C607599" w14:textId="05949FCE"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知识产权局应考虑到组织政策和相关法律框架</w:t>
            </w:r>
            <w:r w:rsidRPr="00DB0537">
              <w:rPr>
                <w:rFonts w:ascii="SimSun" w:eastAsia="SimSun" w:hAnsi="SimSun" w:cs="Segoe UI" w:hint="eastAsia"/>
                <w:sz w:val="22"/>
                <w:szCs w:val="22"/>
                <w:lang w:eastAsia="zh-CN"/>
              </w:rPr>
              <w:t>，</w:t>
            </w:r>
            <w:r w:rsidRPr="00DB0537">
              <w:rPr>
                <w:rFonts w:ascii="SimSun" w:eastAsia="SimSun" w:hAnsi="SimSun" w:cs="Segoe UI"/>
                <w:sz w:val="22"/>
                <w:szCs w:val="22"/>
                <w:lang w:eastAsia="zh-CN"/>
              </w:rPr>
              <w:t>确保建立数据</w:t>
            </w:r>
            <w:r w:rsidRPr="00DB0537">
              <w:rPr>
                <w:rFonts w:ascii="SimSun" w:eastAsia="SimSun" w:hAnsi="SimSun" w:cs="Segoe UI" w:hint="eastAsia"/>
                <w:sz w:val="22"/>
                <w:szCs w:val="22"/>
                <w:lang w:eastAsia="zh-CN"/>
              </w:rPr>
              <w:t>治理</w:t>
            </w:r>
            <w:r w:rsidRPr="00DB0537">
              <w:rPr>
                <w:rFonts w:ascii="SimSun" w:eastAsia="SimSun" w:hAnsi="SimSun" w:cs="Segoe UI"/>
                <w:sz w:val="22"/>
                <w:szCs w:val="22"/>
                <w:lang w:eastAsia="zh-CN"/>
              </w:rPr>
              <w:t>框架，并</w:t>
            </w:r>
            <w:r w:rsidRPr="00DB0537">
              <w:rPr>
                <w:rFonts w:ascii="SimSun" w:eastAsia="SimSun" w:hAnsi="SimSun" w:cs="Segoe UI" w:hint="eastAsia"/>
                <w:sz w:val="22"/>
                <w:szCs w:val="22"/>
                <w:lang w:eastAsia="zh-CN"/>
              </w:rPr>
              <w:t>定期审评</w:t>
            </w:r>
            <w:r w:rsidRPr="00DB0537">
              <w:rPr>
                <w:rFonts w:ascii="SimSun" w:eastAsia="SimSun" w:hAnsi="SimSun" w:cs="Segoe UI"/>
                <w:sz w:val="22"/>
                <w:szCs w:val="22"/>
                <w:lang w:eastAsia="zh-CN"/>
              </w:rPr>
              <w:t>。</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B8C2D86" w14:textId="77777777" w:rsidR="00CF2B8E" w:rsidRPr="00DB0537" w:rsidRDefault="00CF2B8E" w:rsidP="00DB0537">
            <w:pPr>
              <w:numPr>
                <w:ilvl w:val="0"/>
                <w:numId w:val="11"/>
              </w:numPr>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知识产权局应建立和维护数据治理框架，其中包括数据治理战略、数据管理政策以及数据保护政策和准则。</w:t>
            </w:r>
          </w:p>
          <w:p w14:paraId="1BBB3756" w14:textId="77777777" w:rsidR="00CF2B8E" w:rsidRPr="00DB0537" w:rsidRDefault="00CF2B8E" w:rsidP="00DB0537">
            <w:pPr>
              <w:numPr>
                <w:ilvl w:val="0"/>
                <w:numId w:val="11"/>
              </w:numPr>
              <w:spacing w:afterLines="50" w:after="120" w:line="340" w:lineRule="atLeast"/>
              <w:ind w:left="357" w:hanging="357"/>
              <w:jc w:val="both"/>
              <w:rPr>
                <w:rFonts w:ascii="SimSun" w:hAnsi="SimSun" w:cs="Segoe UI"/>
                <w:szCs w:val="22"/>
              </w:rPr>
            </w:pPr>
            <w:r w:rsidRPr="00DB0537">
              <w:rPr>
                <w:rFonts w:ascii="SimSun" w:hAnsi="SimSun" w:cs="Segoe UI" w:hint="eastAsia"/>
                <w:szCs w:val="22"/>
              </w:rPr>
              <w:t>鼓励</w:t>
            </w:r>
            <w:r w:rsidRPr="00DB0537">
              <w:rPr>
                <w:rFonts w:ascii="SimSun" w:hAnsi="SimSun" w:cs="Segoe UI"/>
                <w:szCs w:val="22"/>
              </w:rPr>
              <w:t>知识产权局尽可能与其他知识产权局</w:t>
            </w:r>
            <w:r w:rsidRPr="00DB0537">
              <w:rPr>
                <w:rFonts w:ascii="SimSun" w:hAnsi="SimSun" w:cs="Segoe UI" w:hint="eastAsia"/>
                <w:szCs w:val="22"/>
              </w:rPr>
              <w:t>分</w:t>
            </w:r>
            <w:r w:rsidRPr="00DB0537">
              <w:rPr>
                <w:rFonts w:ascii="SimSun" w:hAnsi="SimSun" w:cs="Segoe UI"/>
                <w:szCs w:val="22"/>
              </w:rPr>
              <w:t>享其数据治理框架或相关文件</w:t>
            </w:r>
            <w:r w:rsidRPr="00DB0537">
              <w:rPr>
                <w:rFonts w:ascii="SimSun" w:hAnsi="SimSun" w:cs="Segoe UI" w:hint="eastAsia"/>
                <w:szCs w:val="22"/>
              </w:rPr>
              <w:t>。</w:t>
            </w:r>
          </w:p>
        </w:tc>
      </w:tr>
      <w:tr w:rsidR="00CF2B8E" w:rsidRPr="00DB0537" w14:paraId="4BA6CD3C"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EEDFC21"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w:t>
            </w:r>
            <w:r w:rsidRPr="00DB0537">
              <w:rPr>
                <w:rFonts w:ascii="SimSun" w:eastAsia="SimSun" w:hAnsi="SimSun" w:cs="Segoe UI" w:hint="eastAsia"/>
                <w:sz w:val="22"/>
                <w:szCs w:val="22"/>
                <w:u w:val="single"/>
                <w:lang w:eastAsia="zh-CN"/>
              </w:rPr>
              <w:t>4</w:t>
            </w:r>
            <w:r w:rsidRPr="00DB0537">
              <w:rPr>
                <w:rFonts w:ascii="SimSun" w:eastAsia="SimSun" w:hAnsi="SimSun" w:cs="Segoe UI"/>
                <w:sz w:val="22"/>
                <w:szCs w:val="22"/>
                <w:u w:val="single"/>
                <w:lang w:eastAsia="zh-CN"/>
              </w:rPr>
              <w:t>：</w:t>
            </w:r>
          </w:p>
          <w:p w14:paraId="497E8CEB" w14:textId="4AEE5CEC"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知识产权局应确保根据最佳做法制定信息安全政策，并</w:t>
            </w:r>
            <w:r w:rsidRPr="00DB0537">
              <w:rPr>
                <w:rFonts w:ascii="SimSun" w:eastAsia="SimSun" w:hAnsi="SimSun" w:cs="Segoe UI" w:hint="eastAsia"/>
                <w:sz w:val="22"/>
                <w:szCs w:val="22"/>
                <w:lang w:eastAsia="zh-CN"/>
              </w:rPr>
              <w:t>定期审评</w:t>
            </w:r>
            <w:r w:rsidRPr="00DB0537">
              <w:rPr>
                <w:rFonts w:ascii="SimSun" w:eastAsia="SimSun" w:hAnsi="SimSun" w:cs="Segoe UI"/>
                <w:sz w:val="22"/>
                <w:szCs w:val="22"/>
                <w:lang w:eastAsia="zh-CN"/>
              </w:rPr>
              <w:t>。</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6F0DD7A" w14:textId="77777777" w:rsidR="00CF2B8E" w:rsidRPr="00DB0537" w:rsidRDefault="00CF2B8E" w:rsidP="00DB0537">
            <w:pPr>
              <w:numPr>
                <w:ilvl w:val="0"/>
                <w:numId w:val="12"/>
              </w:numPr>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知识产权局应制定并维护其信息安全政策。</w:t>
            </w:r>
          </w:p>
          <w:p w14:paraId="316D5D73" w14:textId="77777777" w:rsidR="00CF2B8E" w:rsidRPr="00DB0537" w:rsidRDefault="00CF2B8E" w:rsidP="00D241B7">
            <w:pPr>
              <w:numPr>
                <w:ilvl w:val="0"/>
                <w:numId w:val="12"/>
              </w:numPr>
              <w:spacing w:afterLines="50" w:after="120" w:line="340" w:lineRule="atLeast"/>
              <w:contextualSpacing/>
              <w:jc w:val="both"/>
              <w:rPr>
                <w:rFonts w:ascii="SimSun" w:hAnsi="SimSun" w:cs="Segoe UI"/>
                <w:szCs w:val="22"/>
              </w:rPr>
            </w:pPr>
            <w:r w:rsidRPr="00DB0537">
              <w:rPr>
                <w:rFonts w:ascii="SimSun" w:hAnsi="SimSun" w:cs="Segoe UI"/>
                <w:szCs w:val="22"/>
              </w:rPr>
              <w:t>鼓励知识产权局</w:t>
            </w:r>
            <w:r w:rsidRPr="00DB0537">
              <w:rPr>
                <w:rFonts w:ascii="SimSun" w:hAnsi="SimSun" w:cs="Segoe UI" w:hint="eastAsia"/>
                <w:szCs w:val="22"/>
              </w:rPr>
              <w:t>尽可能</w:t>
            </w:r>
            <w:r w:rsidRPr="00DB0537">
              <w:rPr>
                <w:rFonts w:ascii="SimSun" w:hAnsi="SimSun" w:cs="Segoe UI"/>
                <w:szCs w:val="22"/>
              </w:rPr>
              <w:t>分享其信息安全政策和经验，包括当前面临的挑战和解决这些挑战的办法。</w:t>
            </w:r>
          </w:p>
        </w:tc>
      </w:tr>
      <w:tr w:rsidR="00CF2B8E" w:rsidRPr="00DB0537" w14:paraId="24243BF3"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91C4313" w14:textId="77777777" w:rsidR="00CF2B8E" w:rsidRP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lastRenderedPageBreak/>
              <w:t>建议</w:t>
            </w:r>
            <w:r w:rsidRPr="00DB0537">
              <w:rPr>
                <w:rFonts w:ascii="SimSun" w:eastAsia="SimSun" w:hAnsi="SimSun" w:cs="Segoe UI" w:hint="eastAsia"/>
                <w:sz w:val="22"/>
                <w:szCs w:val="22"/>
                <w:u w:val="single"/>
                <w:lang w:eastAsia="zh-CN"/>
              </w:rPr>
              <w:t>5</w:t>
            </w:r>
            <w:r w:rsidRPr="00DB0537">
              <w:rPr>
                <w:rFonts w:ascii="SimSun" w:eastAsia="SimSun" w:hAnsi="SimSun" w:cs="Segoe UI"/>
                <w:sz w:val="22"/>
                <w:szCs w:val="22"/>
                <w:u w:val="single"/>
                <w:lang w:eastAsia="zh-CN"/>
              </w:rPr>
              <w:t>：</w:t>
            </w:r>
          </w:p>
          <w:p w14:paraId="2C46064C" w14:textId="77777777"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知识产权局应确保按照相关的</w:t>
            </w:r>
            <w:r w:rsidRPr="00DB0537">
              <w:rPr>
                <w:rFonts w:ascii="SimSun" w:eastAsia="SimSun" w:hAnsi="SimSun" w:cs="Segoe UI" w:hint="eastAsia"/>
                <w:sz w:val="22"/>
                <w:szCs w:val="22"/>
                <w:lang w:eastAsia="zh-CN"/>
              </w:rPr>
              <w:t>产权组织</w:t>
            </w:r>
            <w:r w:rsidRPr="00DB0537">
              <w:rPr>
                <w:rFonts w:ascii="SimSun" w:eastAsia="SimSun" w:hAnsi="SimSun" w:cs="Segoe UI"/>
                <w:sz w:val="22"/>
                <w:szCs w:val="22"/>
                <w:lang w:eastAsia="zh-CN"/>
              </w:rPr>
              <w:t>标准，以机器可读的全文</w:t>
            </w:r>
            <w:r w:rsidRPr="00DB0537">
              <w:rPr>
                <w:rFonts w:ascii="SimSun" w:eastAsia="SimSun" w:hAnsi="SimSun" w:cs="Segoe UI" w:hint="eastAsia"/>
                <w:sz w:val="22"/>
                <w:szCs w:val="22"/>
                <w:lang w:eastAsia="zh-CN"/>
              </w:rPr>
              <w:t>本</w:t>
            </w:r>
            <w:r w:rsidRPr="00DB0537">
              <w:rPr>
                <w:rFonts w:ascii="SimSun" w:eastAsia="SimSun" w:hAnsi="SimSun" w:cs="Segoe UI"/>
                <w:sz w:val="22"/>
                <w:szCs w:val="22"/>
                <w:lang w:eastAsia="zh-CN"/>
              </w:rPr>
              <w:t>格式提供知识产权数据和文献，</w:t>
            </w:r>
            <w:r w:rsidRPr="00DB0537">
              <w:rPr>
                <w:rFonts w:ascii="SimSun" w:eastAsia="SimSun" w:hAnsi="SimSun" w:cs="Segoe UI" w:hint="eastAsia"/>
                <w:sz w:val="22"/>
                <w:szCs w:val="22"/>
                <w:lang w:eastAsia="zh-CN"/>
              </w:rPr>
              <w:t>用于公布</w:t>
            </w:r>
            <w:r w:rsidRPr="00DB0537">
              <w:rPr>
                <w:rFonts w:ascii="SimSun" w:eastAsia="SimSun" w:hAnsi="SimSun" w:cs="Segoe UI"/>
                <w:sz w:val="22"/>
                <w:szCs w:val="22"/>
                <w:lang w:eastAsia="zh-CN"/>
              </w:rPr>
              <w:t>和与其他知识产权局交换。</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56C55A6" w14:textId="77777777" w:rsidR="00CF2B8E" w:rsidRPr="00DB0537" w:rsidRDefault="00CF2B8E" w:rsidP="00DB0537">
            <w:pPr>
              <w:numPr>
                <w:ilvl w:val="0"/>
                <w:numId w:val="10"/>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知识产权局应将纸</w:t>
            </w:r>
            <w:r w:rsidRPr="00DB0537">
              <w:rPr>
                <w:rFonts w:ascii="SimSun" w:hAnsi="SimSun" w:cs="Segoe UI" w:hint="eastAsia"/>
                <w:szCs w:val="22"/>
              </w:rPr>
              <w:t>介</w:t>
            </w:r>
            <w:r w:rsidRPr="00DB0537">
              <w:rPr>
                <w:rFonts w:ascii="SimSun" w:hAnsi="SimSun" w:cs="Segoe UI"/>
                <w:szCs w:val="22"/>
              </w:rPr>
              <w:t>或图像知识产权文件数字化，</w:t>
            </w:r>
            <w:r w:rsidRPr="00DB0537">
              <w:rPr>
                <w:rFonts w:ascii="SimSun" w:hAnsi="SimSun" w:cs="Segoe UI" w:hint="eastAsia"/>
                <w:szCs w:val="22"/>
              </w:rPr>
              <w:t>转换成可机读</w:t>
            </w:r>
            <w:r w:rsidRPr="00DB0537">
              <w:rPr>
                <w:rFonts w:ascii="SimSun" w:hAnsi="SimSun" w:cs="Segoe UI"/>
                <w:szCs w:val="22"/>
              </w:rPr>
              <w:t>的全文</w:t>
            </w:r>
            <w:r w:rsidRPr="00DB0537">
              <w:rPr>
                <w:rFonts w:ascii="SimSun" w:hAnsi="SimSun" w:cs="Segoe UI" w:hint="eastAsia"/>
                <w:szCs w:val="22"/>
              </w:rPr>
              <w:t>本</w:t>
            </w:r>
            <w:r w:rsidRPr="00DB0537">
              <w:rPr>
                <w:rFonts w:ascii="SimSun" w:hAnsi="SimSun" w:cs="Segoe UI"/>
                <w:szCs w:val="22"/>
              </w:rPr>
              <w:t>格式，并尽可能按照相关的</w:t>
            </w:r>
            <w:r w:rsidRPr="00DB0537">
              <w:rPr>
                <w:rFonts w:ascii="SimSun" w:hAnsi="SimSun" w:cs="Segoe UI" w:hint="eastAsia"/>
                <w:szCs w:val="22"/>
              </w:rPr>
              <w:t>产权组织</w:t>
            </w:r>
            <w:r w:rsidRPr="00DB0537">
              <w:rPr>
                <w:rFonts w:ascii="SimSun" w:hAnsi="SimSun" w:cs="Segoe UI"/>
                <w:szCs w:val="22"/>
              </w:rPr>
              <w:t>标准，采用XML或JSON结构化数据格式。</w:t>
            </w:r>
          </w:p>
          <w:p w14:paraId="781E7214" w14:textId="77777777" w:rsidR="00CF2B8E" w:rsidRPr="00DB0537" w:rsidRDefault="00CF2B8E" w:rsidP="00DB0537">
            <w:pPr>
              <w:numPr>
                <w:ilvl w:val="0"/>
                <w:numId w:val="10"/>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鼓励知识产权局支持其他知识产权局的数字化工作，包括分享其经验和数字化解决方案。</w:t>
            </w:r>
          </w:p>
          <w:p w14:paraId="430B72FC" w14:textId="77777777" w:rsidR="00CF2B8E" w:rsidRPr="00DB0537" w:rsidRDefault="00CF2B8E" w:rsidP="00DB0537">
            <w:pPr>
              <w:numPr>
                <w:ilvl w:val="0"/>
                <w:numId w:val="10"/>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w:t>
            </w:r>
            <w:r w:rsidRPr="00DB0537">
              <w:rPr>
                <w:rFonts w:ascii="SimSun" w:hAnsi="SimSun" w:cs="Segoe UI"/>
                <w:szCs w:val="22"/>
              </w:rPr>
              <w:t>知识产权局</w:t>
            </w:r>
            <w:r w:rsidRPr="00DB0537">
              <w:rPr>
                <w:rFonts w:ascii="SimSun" w:hAnsi="SimSun" w:cs="Segoe UI" w:hint="eastAsia"/>
                <w:szCs w:val="22"/>
              </w:rPr>
              <w:t>尽可能</w:t>
            </w:r>
            <w:r w:rsidRPr="00DB0537">
              <w:rPr>
                <w:rFonts w:ascii="SimSun" w:hAnsi="SimSun" w:cs="Segoe UI"/>
                <w:szCs w:val="22"/>
              </w:rPr>
              <w:t>按照相关</w:t>
            </w:r>
            <w:r w:rsidRPr="00DB0537">
              <w:rPr>
                <w:rFonts w:ascii="SimSun" w:hAnsi="SimSun" w:cs="Segoe UI" w:hint="eastAsia"/>
                <w:szCs w:val="22"/>
              </w:rPr>
              <w:t>产权组织</w:t>
            </w:r>
            <w:r w:rsidRPr="00DB0537">
              <w:rPr>
                <w:rFonts w:ascii="SimSun" w:hAnsi="SimSun" w:cs="Segoe UI"/>
                <w:szCs w:val="22"/>
              </w:rPr>
              <w:t>标准，以XML或JSON格式</w:t>
            </w:r>
            <w:r w:rsidRPr="00DB0537">
              <w:rPr>
                <w:rFonts w:ascii="SimSun" w:hAnsi="SimSun" w:cs="Segoe UI" w:hint="eastAsia"/>
                <w:szCs w:val="22"/>
              </w:rPr>
              <w:t>开展</w:t>
            </w:r>
            <w:r w:rsidRPr="00DB0537">
              <w:rPr>
                <w:rFonts w:ascii="SimSun" w:hAnsi="SimSun" w:cs="Segoe UI"/>
                <w:szCs w:val="22"/>
              </w:rPr>
              <w:t>数据</w:t>
            </w:r>
            <w:r w:rsidRPr="00DB0537">
              <w:rPr>
                <w:rFonts w:ascii="SimSun" w:hAnsi="SimSun" w:cs="Segoe UI" w:hint="eastAsia"/>
                <w:szCs w:val="22"/>
              </w:rPr>
              <w:t>交换合作</w:t>
            </w:r>
            <w:r w:rsidRPr="00DB0537">
              <w:rPr>
                <w:rFonts w:ascii="SimSun" w:hAnsi="SimSun" w:cs="Segoe UI"/>
                <w:szCs w:val="22"/>
              </w:rPr>
              <w:t>。</w:t>
            </w:r>
          </w:p>
          <w:p w14:paraId="294701FE" w14:textId="77777777" w:rsidR="00CF2B8E" w:rsidRPr="00DB0537" w:rsidRDefault="00CF2B8E" w:rsidP="00DB0537">
            <w:pPr>
              <w:numPr>
                <w:ilvl w:val="0"/>
                <w:numId w:val="10"/>
              </w:numPr>
              <w:tabs>
                <w:tab w:val="clear" w:pos="360"/>
              </w:tabs>
              <w:spacing w:afterLines="50" w:after="120" w:line="340" w:lineRule="atLeast"/>
              <w:ind w:left="357" w:hanging="357"/>
              <w:jc w:val="both"/>
              <w:rPr>
                <w:rFonts w:ascii="SimSun" w:hAnsi="SimSun" w:cs="Segoe UI"/>
                <w:szCs w:val="22"/>
              </w:rPr>
            </w:pPr>
            <w:r w:rsidRPr="00DB0537">
              <w:rPr>
                <w:rFonts w:ascii="SimSun" w:hAnsi="SimSun" w:cs="Segoe UI" w:hint="eastAsia"/>
                <w:szCs w:val="22"/>
              </w:rPr>
              <w:t>鼓励知识产权局共享和传播数据和文献，不设任何障碍，免费或只收取少量费用。</w:t>
            </w:r>
          </w:p>
        </w:tc>
      </w:tr>
      <w:tr w:rsidR="00CF2B8E" w:rsidRPr="00DB0537" w14:paraId="0911AE79"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9842E42"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w:t>
            </w:r>
            <w:r w:rsidRPr="00DB0537">
              <w:rPr>
                <w:rFonts w:ascii="SimSun" w:eastAsia="SimSun" w:hAnsi="SimSun" w:cs="Segoe UI" w:hint="eastAsia"/>
                <w:sz w:val="22"/>
                <w:szCs w:val="22"/>
                <w:u w:val="single"/>
                <w:lang w:eastAsia="zh-CN"/>
              </w:rPr>
              <w:t>6</w:t>
            </w:r>
            <w:r w:rsidRPr="00DB0537">
              <w:rPr>
                <w:rFonts w:ascii="SimSun" w:eastAsia="SimSun" w:hAnsi="SimSun" w:cs="Segoe UI"/>
                <w:sz w:val="22"/>
                <w:szCs w:val="22"/>
                <w:u w:val="single"/>
                <w:lang w:eastAsia="zh-CN"/>
              </w:rPr>
              <w:t>：</w:t>
            </w:r>
          </w:p>
          <w:p w14:paraId="1D1CA87B" w14:textId="4C3B499F"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hint="eastAsia"/>
                <w:sz w:val="22"/>
                <w:szCs w:val="22"/>
                <w:lang w:eastAsia="zh-CN"/>
              </w:rPr>
              <w:t>鼓励</w:t>
            </w:r>
            <w:r w:rsidRPr="00DB0537">
              <w:rPr>
                <w:rFonts w:ascii="SimSun" w:eastAsia="SimSun" w:hAnsi="SimSun" w:cs="Segoe UI"/>
                <w:sz w:val="22"/>
                <w:szCs w:val="22"/>
                <w:lang w:eastAsia="zh-CN"/>
              </w:rPr>
              <w:t>知识产权局为有关知识产权数据、全球知识产权信息系统和服务、知识产权数据传播和知识产权文献的多边或国际合作项目</w:t>
            </w:r>
            <w:r w:rsidRPr="00DB0537">
              <w:rPr>
                <w:rFonts w:ascii="SimSun" w:eastAsia="SimSun" w:hAnsi="SimSun" w:cs="Segoe UI" w:hint="eastAsia"/>
                <w:sz w:val="22"/>
                <w:szCs w:val="22"/>
                <w:lang w:eastAsia="zh-CN"/>
              </w:rPr>
              <w:t>作</w:t>
            </w:r>
            <w:r w:rsidRPr="00DB0537">
              <w:rPr>
                <w:rFonts w:ascii="SimSun" w:eastAsia="SimSun" w:hAnsi="SimSun" w:cs="Segoe UI"/>
                <w:sz w:val="22"/>
                <w:szCs w:val="22"/>
                <w:lang w:eastAsia="zh-CN"/>
              </w:rPr>
              <w:t>出贡献</w:t>
            </w:r>
            <w:r w:rsidRPr="00DB0537">
              <w:rPr>
                <w:rFonts w:ascii="SimSun" w:eastAsia="SimSun" w:hAnsi="SimSun" w:cs="Segoe UI" w:hint="eastAsia"/>
                <w:sz w:val="22"/>
                <w:szCs w:val="22"/>
                <w:lang w:eastAsia="zh-CN"/>
              </w:rPr>
              <w:t>。</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F7829EF" w14:textId="50614272" w:rsidR="00CF2B8E" w:rsidRPr="00DB0537" w:rsidRDefault="00CF2B8E" w:rsidP="00140A81">
            <w:pPr>
              <w:pStyle w:val="paragraph"/>
              <w:numPr>
                <w:ilvl w:val="0"/>
                <w:numId w:val="6"/>
              </w:numPr>
              <w:tabs>
                <w:tab w:val="clear" w:pos="360"/>
              </w:tabs>
              <w:spacing w:before="0" w:beforeAutospacing="0" w:afterLines="50" w:after="120" w:afterAutospacing="0" w:line="340" w:lineRule="atLeast"/>
              <w:ind w:left="357" w:hanging="357"/>
              <w:contextualSpacing/>
              <w:jc w:val="both"/>
              <w:textAlignment w:val="baseline"/>
              <w:rPr>
                <w:rStyle w:val="eop"/>
                <w:rFonts w:ascii="SimSun" w:eastAsia="SimSun" w:hAnsi="SimSun" w:cs="Arial"/>
                <w:sz w:val="22"/>
                <w:szCs w:val="22"/>
                <w:lang w:eastAsia="zh-CN"/>
              </w:rPr>
            </w:pPr>
            <w:r w:rsidRPr="00DB0537">
              <w:rPr>
                <w:rFonts w:ascii="SimSun" w:eastAsia="SimSun" w:hAnsi="SimSun" w:cs="Segoe UI" w:hint="eastAsia"/>
                <w:sz w:val="22"/>
                <w:szCs w:val="22"/>
                <w:lang w:eastAsia="zh-CN"/>
              </w:rPr>
              <w:t>鼓励</w:t>
            </w:r>
            <w:r w:rsidRPr="00DB0537">
              <w:rPr>
                <w:rFonts w:ascii="SimSun" w:eastAsia="SimSun" w:hAnsi="SimSun" w:cs="Segoe UI"/>
                <w:sz w:val="22"/>
                <w:szCs w:val="22"/>
                <w:lang w:eastAsia="zh-CN"/>
              </w:rPr>
              <w:t>知识产权局积极参与</w:t>
            </w:r>
            <w:r w:rsidRPr="00DB0537">
              <w:rPr>
                <w:rFonts w:ascii="SimSun" w:eastAsia="SimSun" w:hAnsi="SimSun" w:cs="Segoe UI" w:hint="eastAsia"/>
                <w:sz w:val="22"/>
                <w:szCs w:val="22"/>
                <w:lang w:eastAsia="zh-CN"/>
              </w:rPr>
              <w:t>标准委已</w:t>
            </w:r>
            <w:r w:rsidRPr="00DB0537">
              <w:rPr>
                <w:rFonts w:ascii="SimSun" w:eastAsia="SimSun" w:hAnsi="SimSun" w:cs="Segoe UI"/>
                <w:sz w:val="22"/>
                <w:szCs w:val="22"/>
                <w:lang w:eastAsia="zh-CN"/>
              </w:rPr>
              <w:t>批准或注意到的合作项目</w:t>
            </w:r>
            <w:r w:rsidR="00DB0537">
              <w:rPr>
                <w:rFonts w:ascii="SimSun" w:eastAsia="SimSun" w:hAnsi="SimSun" w:cs="Segoe UI" w:hint="eastAsia"/>
                <w:sz w:val="22"/>
                <w:szCs w:val="22"/>
                <w:lang w:eastAsia="zh-CN"/>
              </w:rPr>
              <w:t>。</w:t>
            </w:r>
            <w:r w:rsidRPr="00DB0537">
              <w:rPr>
                <w:rStyle w:val="FootnoteReference"/>
                <w:rFonts w:ascii="SimSun" w:eastAsia="SimSun" w:hAnsi="SimSun"/>
                <w:sz w:val="22"/>
                <w:szCs w:val="22"/>
              </w:rPr>
              <w:footnoteReference w:id="2"/>
            </w:r>
          </w:p>
          <w:p w14:paraId="6FED98F4" w14:textId="77777777" w:rsidR="00CF2B8E" w:rsidRPr="00DB0537" w:rsidRDefault="00CF2B8E" w:rsidP="00140A81">
            <w:pPr>
              <w:pStyle w:val="paragraph"/>
              <w:numPr>
                <w:ilvl w:val="0"/>
                <w:numId w:val="6"/>
              </w:numPr>
              <w:tabs>
                <w:tab w:val="clear" w:pos="360"/>
              </w:tabs>
              <w:spacing w:before="0" w:beforeAutospacing="0" w:afterLines="50" w:after="120" w:afterAutospacing="0" w:line="340" w:lineRule="atLeast"/>
              <w:ind w:left="357" w:hanging="357"/>
              <w:jc w:val="both"/>
              <w:textAlignment w:val="baseline"/>
              <w:rPr>
                <w:rFonts w:ascii="SimSun" w:eastAsia="SimSun" w:hAnsi="SimSun" w:cs="Arial"/>
                <w:sz w:val="22"/>
                <w:szCs w:val="22"/>
                <w:lang w:eastAsia="zh-CN"/>
              </w:rPr>
            </w:pPr>
            <w:r w:rsidRPr="00DB0537">
              <w:rPr>
                <w:rFonts w:ascii="SimSun" w:eastAsia="SimSun" w:hAnsi="SimSun" w:cs="Segoe UI"/>
                <w:sz w:val="22"/>
                <w:szCs w:val="22"/>
                <w:lang w:eastAsia="zh-CN"/>
              </w:rPr>
              <w:t>鼓励知识产权局</w:t>
            </w:r>
            <w:r w:rsidRPr="00DB0537">
              <w:rPr>
                <w:rFonts w:ascii="SimSun" w:eastAsia="SimSun" w:hAnsi="SimSun" w:cs="Segoe UI" w:hint="eastAsia"/>
                <w:sz w:val="22"/>
                <w:szCs w:val="22"/>
                <w:lang w:eastAsia="zh-CN"/>
              </w:rPr>
              <w:t>提供</w:t>
            </w:r>
            <w:r w:rsidRPr="00DB0537">
              <w:rPr>
                <w:rFonts w:ascii="SimSun" w:eastAsia="SimSun" w:hAnsi="SimSun" w:cs="Segoe UI"/>
                <w:sz w:val="22"/>
                <w:szCs w:val="22"/>
                <w:lang w:eastAsia="zh-CN"/>
              </w:rPr>
              <w:t>多边合作项目，并参与其他知识产权局</w:t>
            </w:r>
            <w:r w:rsidRPr="00DB0537">
              <w:rPr>
                <w:rFonts w:ascii="SimSun" w:eastAsia="SimSun" w:hAnsi="SimSun" w:cs="Segoe UI" w:hint="eastAsia"/>
                <w:sz w:val="22"/>
                <w:szCs w:val="22"/>
                <w:lang w:eastAsia="zh-CN"/>
              </w:rPr>
              <w:t>提供</w:t>
            </w:r>
            <w:r w:rsidRPr="00DB0537">
              <w:rPr>
                <w:rFonts w:ascii="SimSun" w:eastAsia="SimSun" w:hAnsi="SimSun" w:cs="Segoe UI"/>
                <w:sz w:val="22"/>
                <w:szCs w:val="22"/>
                <w:lang w:eastAsia="zh-CN"/>
              </w:rPr>
              <w:t>的项目。</w:t>
            </w:r>
          </w:p>
        </w:tc>
      </w:tr>
      <w:tr w:rsidR="00CF2B8E" w:rsidRPr="00DB0537" w14:paraId="5CCC5D5B"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704D009"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w:t>
            </w:r>
            <w:r w:rsidRPr="00DB0537">
              <w:rPr>
                <w:rFonts w:ascii="SimSun" w:eastAsia="SimSun" w:hAnsi="SimSun" w:cs="Segoe UI" w:hint="eastAsia"/>
                <w:sz w:val="22"/>
                <w:szCs w:val="22"/>
                <w:u w:val="single"/>
                <w:lang w:eastAsia="zh-CN"/>
              </w:rPr>
              <w:t>7</w:t>
            </w:r>
            <w:r w:rsidRPr="00DB0537">
              <w:rPr>
                <w:rFonts w:ascii="SimSun" w:eastAsia="SimSun" w:hAnsi="SimSun" w:cs="Segoe UI"/>
                <w:sz w:val="22"/>
                <w:szCs w:val="22"/>
                <w:u w:val="single"/>
                <w:lang w:eastAsia="zh-CN"/>
              </w:rPr>
              <w:t>：</w:t>
            </w:r>
          </w:p>
          <w:p w14:paraId="065F05BE" w14:textId="0EADE415"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知识产权局应参与制定</w:t>
            </w:r>
            <w:r w:rsidRPr="00DB0537">
              <w:rPr>
                <w:rFonts w:ascii="SimSun" w:eastAsia="SimSun" w:hAnsi="SimSun" w:cs="Segoe UI" w:hint="eastAsia"/>
                <w:sz w:val="22"/>
                <w:szCs w:val="22"/>
                <w:lang w:eastAsia="zh-CN"/>
              </w:rPr>
              <w:t>各项产权组织</w:t>
            </w:r>
            <w:r w:rsidRPr="00DB0537">
              <w:rPr>
                <w:rFonts w:ascii="SimSun" w:eastAsia="SimSun" w:hAnsi="SimSun" w:cs="Segoe UI"/>
                <w:sz w:val="22"/>
                <w:szCs w:val="22"/>
                <w:lang w:eastAsia="zh-CN"/>
              </w:rPr>
              <w:t>标准，并</w:t>
            </w:r>
            <w:r w:rsidRPr="00DB0537">
              <w:rPr>
                <w:rFonts w:ascii="SimSun" w:eastAsia="SimSun" w:hAnsi="SimSun" w:cs="Segoe UI" w:hint="eastAsia"/>
                <w:sz w:val="22"/>
                <w:szCs w:val="22"/>
                <w:lang w:eastAsia="zh-CN"/>
              </w:rPr>
              <w:t>尽可能予以</w:t>
            </w:r>
            <w:r w:rsidRPr="00DB0537">
              <w:rPr>
                <w:rFonts w:ascii="SimSun" w:eastAsia="SimSun" w:hAnsi="SimSun" w:cs="Segoe UI"/>
                <w:sz w:val="22"/>
                <w:szCs w:val="22"/>
                <w:lang w:eastAsia="zh-CN"/>
              </w:rPr>
              <w:t>实施。</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66BFCD4" w14:textId="77777777" w:rsidR="00CF2B8E" w:rsidRPr="00DB0537" w:rsidRDefault="00CF2B8E" w:rsidP="00DB0537">
            <w:pPr>
              <w:numPr>
                <w:ilvl w:val="0"/>
                <w:numId w:val="13"/>
              </w:numPr>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鼓励知识产权局提名其</w:t>
            </w:r>
            <w:r w:rsidRPr="00DB0537">
              <w:rPr>
                <w:rFonts w:ascii="SimSun" w:hAnsi="SimSun" w:cs="Segoe UI" w:hint="eastAsia"/>
                <w:szCs w:val="22"/>
              </w:rPr>
              <w:t>主题相关</w:t>
            </w:r>
            <w:r w:rsidRPr="00DB0537">
              <w:rPr>
                <w:rFonts w:ascii="SimSun" w:hAnsi="SimSun" w:cs="Segoe UI"/>
                <w:szCs w:val="22"/>
              </w:rPr>
              <w:t>专家加入</w:t>
            </w:r>
            <w:r w:rsidRPr="00DB0537">
              <w:rPr>
                <w:rFonts w:ascii="SimSun" w:hAnsi="SimSun" w:cs="Segoe UI" w:hint="eastAsia"/>
                <w:szCs w:val="22"/>
              </w:rPr>
              <w:t>标准委</w:t>
            </w:r>
            <w:r w:rsidRPr="00DB0537">
              <w:rPr>
                <w:rFonts w:ascii="SimSun" w:hAnsi="SimSun" w:cs="Segoe UI"/>
                <w:szCs w:val="22"/>
              </w:rPr>
              <w:t>工作</w:t>
            </w:r>
            <w:r w:rsidRPr="00DB0537">
              <w:rPr>
                <w:rFonts w:ascii="SimSun" w:hAnsi="SimSun" w:cs="Segoe UI" w:hint="eastAsia"/>
                <w:szCs w:val="22"/>
              </w:rPr>
              <w:t>队</w:t>
            </w:r>
            <w:r w:rsidRPr="00DB0537">
              <w:rPr>
                <w:rFonts w:ascii="SimSun" w:hAnsi="SimSun" w:cs="Segoe UI"/>
                <w:szCs w:val="22"/>
              </w:rPr>
              <w:t>。</w:t>
            </w:r>
          </w:p>
          <w:p w14:paraId="77CF0A55" w14:textId="77777777" w:rsidR="00CF2B8E" w:rsidRPr="00DB0537" w:rsidRDefault="00CF2B8E" w:rsidP="00DB0537">
            <w:pPr>
              <w:numPr>
                <w:ilvl w:val="0"/>
                <w:numId w:val="13"/>
              </w:numPr>
              <w:spacing w:afterLines="50" w:after="120" w:line="340" w:lineRule="atLeast"/>
              <w:ind w:left="357" w:hanging="357"/>
              <w:contextualSpacing/>
              <w:jc w:val="both"/>
              <w:rPr>
                <w:rFonts w:ascii="SimSun" w:hAnsi="SimSun" w:cs="Segoe UI"/>
                <w:szCs w:val="22"/>
              </w:rPr>
            </w:pPr>
            <w:r w:rsidRPr="00DB0537">
              <w:rPr>
                <w:rFonts w:ascii="SimSun" w:hAnsi="SimSun" w:cs="Segoe UI"/>
                <w:szCs w:val="22"/>
              </w:rPr>
              <w:t>鼓励知识产权局向国际局通报其</w:t>
            </w:r>
            <w:r w:rsidRPr="00DB0537">
              <w:rPr>
                <w:rFonts w:ascii="SimSun" w:hAnsi="SimSun" w:cs="Segoe UI" w:hint="eastAsia"/>
                <w:szCs w:val="22"/>
              </w:rPr>
              <w:t>产权组织</w:t>
            </w:r>
            <w:r w:rsidRPr="00DB0537">
              <w:rPr>
                <w:rFonts w:ascii="SimSun" w:hAnsi="SimSun" w:cs="Segoe UI"/>
                <w:szCs w:val="22"/>
              </w:rPr>
              <w:t>标准的</w:t>
            </w:r>
            <w:r w:rsidRPr="00DB0537">
              <w:rPr>
                <w:rFonts w:ascii="SimSun" w:hAnsi="SimSun" w:cs="Segoe UI" w:hint="eastAsia"/>
                <w:szCs w:val="22"/>
              </w:rPr>
              <w:t>实施状态</w:t>
            </w:r>
            <w:r w:rsidRPr="00DB0537">
              <w:rPr>
                <w:rFonts w:ascii="SimSun" w:hAnsi="SimSun" w:cs="Segoe UI"/>
                <w:szCs w:val="22"/>
              </w:rPr>
              <w:t>，并参与</w:t>
            </w:r>
            <w:r w:rsidRPr="00DB0537">
              <w:rPr>
                <w:rFonts w:ascii="SimSun" w:hAnsi="SimSun" w:cs="Segoe UI" w:hint="eastAsia"/>
                <w:szCs w:val="22"/>
              </w:rPr>
              <w:t>标准委</w:t>
            </w:r>
            <w:r w:rsidRPr="00DB0537">
              <w:rPr>
                <w:rFonts w:ascii="SimSun" w:hAnsi="SimSun" w:cs="Segoe UI"/>
                <w:szCs w:val="22"/>
              </w:rPr>
              <w:t>的</w:t>
            </w:r>
            <w:r w:rsidRPr="00DB0537">
              <w:rPr>
                <w:rFonts w:ascii="SimSun" w:hAnsi="SimSun" w:cs="Segoe UI" w:hint="eastAsia"/>
                <w:szCs w:val="22"/>
              </w:rPr>
              <w:t>各项</w:t>
            </w:r>
            <w:r w:rsidRPr="00DB0537">
              <w:rPr>
                <w:rFonts w:ascii="SimSun" w:hAnsi="SimSun" w:cs="Segoe UI"/>
                <w:szCs w:val="22"/>
              </w:rPr>
              <w:t>调查。</w:t>
            </w:r>
          </w:p>
        </w:tc>
      </w:tr>
      <w:tr w:rsidR="00CF2B8E" w:rsidRPr="00DB0537" w14:paraId="6A1C085A"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E455430"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w:t>
            </w:r>
            <w:r w:rsidRPr="00DB0537">
              <w:rPr>
                <w:rFonts w:ascii="SimSun" w:eastAsia="SimSun" w:hAnsi="SimSun" w:cs="Segoe UI" w:hint="eastAsia"/>
                <w:sz w:val="22"/>
                <w:szCs w:val="22"/>
                <w:u w:val="single"/>
                <w:lang w:eastAsia="zh-CN"/>
              </w:rPr>
              <w:t>8</w:t>
            </w:r>
            <w:r w:rsidRPr="00DB0537">
              <w:rPr>
                <w:rFonts w:ascii="SimSun" w:eastAsia="SimSun" w:hAnsi="SimSun" w:cs="Segoe UI"/>
                <w:sz w:val="22"/>
                <w:szCs w:val="22"/>
                <w:u w:val="single"/>
                <w:lang w:eastAsia="zh-CN"/>
              </w:rPr>
              <w:t>：</w:t>
            </w:r>
          </w:p>
          <w:p w14:paraId="27265D47" w14:textId="5A9E8446"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sz w:val="22"/>
                <w:szCs w:val="22"/>
                <w:lang w:eastAsia="zh-CN"/>
              </w:rPr>
              <w:t>鼓励知识产权局合作开发和使用</w:t>
            </w:r>
            <w:r w:rsidRPr="00DB0537">
              <w:rPr>
                <w:rFonts w:ascii="SimSun" w:eastAsia="SimSun" w:hAnsi="SimSun" w:cs="Segoe UI" w:hint="eastAsia"/>
                <w:sz w:val="22"/>
                <w:szCs w:val="22"/>
                <w:lang w:eastAsia="zh-CN"/>
              </w:rPr>
              <w:t>通用</w:t>
            </w:r>
            <w:r w:rsidRPr="00DB0537">
              <w:rPr>
                <w:rFonts w:ascii="SimSun" w:eastAsia="SimSun" w:hAnsi="SimSun" w:cs="Segoe UI"/>
                <w:sz w:val="22"/>
                <w:szCs w:val="22"/>
                <w:lang w:eastAsia="zh-CN"/>
              </w:rPr>
              <w:t>的知识产权</w:t>
            </w:r>
            <w:r w:rsidRPr="00DB0537">
              <w:rPr>
                <w:rFonts w:ascii="SimSun" w:eastAsia="SimSun" w:hAnsi="SimSun" w:cs="Segoe UI" w:hint="eastAsia"/>
                <w:sz w:val="22"/>
                <w:szCs w:val="22"/>
                <w:lang w:eastAsia="zh-CN"/>
              </w:rPr>
              <w:t>信通技术</w:t>
            </w:r>
            <w:r w:rsidRPr="00DB0537">
              <w:rPr>
                <w:rFonts w:ascii="SimSun" w:eastAsia="SimSun" w:hAnsi="SimSun" w:cs="Segoe UI"/>
                <w:sz w:val="22"/>
                <w:szCs w:val="22"/>
                <w:lang w:eastAsia="zh-CN"/>
              </w:rPr>
              <w:t>参考架构，包括解决方案和平台</w:t>
            </w:r>
            <w:r w:rsidRPr="00DB0537">
              <w:rPr>
                <w:rFonts w:ascii="SimSun" w:eastAsia="SimSun" w:hAnsi="SimSun" w:cs="Segoe UI" w:hint="eastAsia"/>
                <w:sz w:val="22"/>
                <w:szCs w:val="22"/>
                <w:lang w:eastAsia="zh-CN"/>
              </w:rPr>
              <w:t>，以便</w:t>
            </w:r>
            <w:r w:rsidRPr="00DB0537">
              <w:rPr>
                <w:rFonts w:ascii="SimSun" w:eastAsia="SimSun" w:hAnsi="SimSun" w:cs="Segoe UI"/>
                <w:sz w:val="22"/>
                <w:szCs w:val="22"/>
                <w:lang w:eastAsia="zh-CN"/>
              </w:rPr>
              <w:t>提高业务流程</w:t>
            </w:r>
            <w:r w:rsidRPr="00DB0537">
              <w:rPr>
                <w:rFonts w:ascii="SimSun" w:eastAsia="SimSun" w:hAnsi="SimSun" w:cs="Segoe UI" w:hint="eastAsia"/>
                <w:sz w:val="22"/>
                <w:szCs w:val="22"/>
                <w:lang w:eastAsia="zh-CN"/>
              </w:rPr>
              <w:t>的</w:t>
            </w:r>
            <w:r w:rsidRPr="00DB0537">
              <w:rPr>
                <w:rFonts w:ascii="SimSun" w:eastAsia="SimSun" w:hAnsi="SimSun" w:cs="Segoe UI"/>
                <w:sz w:val="22"/>
                <w:szCs w:val="22"/>
                <w:lang w:eastAsia="zh-CN"/>
              </w:rPr>
              <w:t>质量和效率</w:t>
            </w:r>
            <w:r w:rsidRPr="00DB0537">
              <w:rPr>
                <w:rFonts w:ascii="SimSun" w:eastAsia="SimSun" w:hAnsi="SimSun" w:cs="Segoe UI" w:hint="eastAsia"/>
                <w:sz w:val="22"/>
                <w:szCs w:val="22"/>
                <w:lang w:eastAsia="zh-CN"/>
              </w:rPr>
              <w:t>并</w:t>
            </w:r>
            <w:r w:rsidRPr="00DB0537">
              <w:rPr>
                <w:rFonts w:ascii="SimSun" w:eastAsia="SimSun" w:hAnsi="SimSun" w:cs="Segoe UI"/>
                <w:sz w:val="22"/>
                <w:szCs w:val="22"/>
                <w:lang w:eastAsia="zh-CN"/>
              </w:rPr>
              <w:t>分享经验。</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5D531E1" w14:textId="77777777" w:rsidR="00CF2B8E" w:rsidRPr="00DB0537" w:rsidRDefault="00CF2B8E" w:rsidP="00DB0537">
            <w:pPr>
              <w:pStyle w:val="paragraph"/>
              <w:numPr>
                <w:ilvl w:val="0"/>
                <w:numId w:val="7"/>
              </w:numPr>
              <w:tabs>
                <w:tab w:val="clear" w:pos="360"/>
              </w:tabs>
              <w:spacing w:before="0" w:beforeAutospacing="0" w:afterLines="50" w:after="120" w:afterAutospacing="0" w:line="340" w:lineRule="atLeast"/>
              <w:ind w:left="357" w:hanging="357"/>
              <w:contextualSpacing/>
              <w:jc w:val="both"/>
              <w:textAlignment w:val="baseline"/>
              <w:rPr>
                <w:rFonts w:ascii="SimSun" w:eastAsia="SimSun" w:hAnsi="SimSun" w:cs="Arial"/>
                <w:sz w:val="22"/>
                <w:szCs w:val="22"/>
                <w:lang w:eastAsia="zh-CN"/>
              </w:rPr>
            </w:pPr>
            <w:r w:rsidRPr="00DB0537">
              <w:rPr>
                <w:rFonts w:ascii="SimSun" w:eastAsia="SimSun" w:hAnsi="SimSun" w:cs="Segoe UI" w:hint="eastAsia"/>
                <w:sz w:val="22"/>
                <w:szCs w:val="22"/>
                <w:lang w:eastAsia="zh-CN"/>
              </w:rPr>
              <w:t>鼓励</w:t>
            </w:r>
            <w:r w:rsidRPr="00DB0537">
              <w:rPr>
                <w:rFonts w:ascii="SimSun" w:eastAsia="SimSun" w:hAnsi="SimSun" w:cs="Segoe UI"/>
                <w:sz w:val="22"/>
                <w:szCs w:val="22"/>
                <w:lang w:eastAsia="zh-CN"/>
              </w:rPr>
              <w:t>知识产权局</w:t>
            </w:r>
            <w:r w:rsidRPr="00DB0537">
              <w:rPr>
                <w:rFonts w:ascii="SimSun" w:eastAsia="SimSun" w:hAnsi="SimSun" w:cs="Segoe UI" w:hint="eastAsia"/>
                <w:sz w:val="22"/>
                <w:szCs w:val="22"/>
                <w:lang w:eastAsia="zh-CN"/>
              </w:rPr>
              <w:t>尽可能与</w:t>
            </w:r>
            <w:r w:rsidRPr="00DB0537">
              <w:rPr>
                <w:rFonts w:ascii="SimSun" w:eastAsia="SimSun" w:hAnsi="SimSun" w:cs="Segoe UI"/>
                <w:sz w:val="22"/>
                <w:szCs w:val="22"/>
                <w:lang w:eastAsia="zh-CN"/>
              </w:rPr>
              <w:t>其他知识产权局</w:t>
            </w:r>
            <w:r w:rsidRPr="00DB0537">
              <w:rPr>
                <w:rFonts w:ascii="SimSun" w:eastAsia="SimSun" w:hAnsi="SimSun" w:cs="Segoe UI" w:hint="eastAsia"/>
                <w:sz w:val="22"/>
                <w:szCs w:val="22"/>
                <w:lang w:eastAsia="zh-CN"/>
              </w:rPr>
              <w:t>分</w:t>
            </w:r>
            <w:r w:rsidRPr="00DB0537">
              <w:rPr>
                <w:rFonts w:ascii="SimSun" w:eastAsia="SimSun" w:hAnsi="SimSun" w:cs="Segoe UI"/>
                <w:sz w:val="22"/>
                <w:szCs w:val="22"/>
                <w:lang w:eastAsia="zh-CN"/>
              </w:rPr>
              <w:t>享其</w:t>
            </w:r>
            <w:r w:rsidRPr="00DB0537">
              <w:rPr>
                <w:rFonts w:ascii="SimSun" w:eastAsia="SimSun" w:hAnsi="SimSun" w:cs="Segoe UI" w:hint="eastAsia"/>
                <w:sz w:val="22"/>
                <w:szCs w:val="22"/>
                <w:lang w:eastAsia="zh-CN"/>
              </w:rPr>
              <w:t>现行</w:t>
            </w:r>
            <w:r w:rsidRPr="00DB0537">
              <w:rPr>
                <w:rFonts w:ascii="SimSun" w:eastAsia="SimSun" w:hAnsi="SimSun" w:cs="Segoe UI"/>
                <w:sz w:val="22"/>
                <w:szCs w:val="22"/>
                <w:lang w:eastAsia="zh-CN"/>
              </w:rPr>
              <w:t>技术堆栈</w:t>
            </w:r>
            <w:r w:rsidRPr="00DB0537">
              <w:rPr>
                <w:rFonts w:ascii="SimSun" w:eastAsia="SimSun" w:hAnsi="SimSun" w:cs="Segoe UI" w:hint="eastAsia"/>
                <w:sz w:val="22"/>
                <w:szCs w:val="22"/>
                <w:lang w:eastAsia="zh-CN"/>
              </w:rPr>
              <w:t>和技术路线图，包括停用计划；以及</w:t>
            </w:r>
          </w:p>
          <w:p w14:paraId="5EE74A58" w14:textId="77777777" w:rsidR="00CF2B8E" w:rsidRPr="00DB0537" w:rsidRDefault="00CF2B8E" w:rsidP="00140A81">
            <w:pPr>
              <w:pStyle w:val="paragraph"/>
              <w:numPr>
                <w:ilvl w:val="0"/>
                <w:numId w:val="7"/>
              </w:numPr>
              <w:spacing w:before="0" w:beforeAutospacing="0" w:afterLines="50" w:after="120" w:afterAutospacing="0" w:line="340" w:lineRule="atLeast"/>
              <w:jc w:val="both"/>
              <w:textAlignment w:val="baseline"/>
              <w:rPr>
                <w:rFonts w:ascii="SimSun" w:eastAsia="SimSun" w:hAnsi="SimSun" w:cs="Arial"/>
                <w:sz w:val="22"/>
                <w:szCs w:val="22"/>
                <w:lang w:eastAsia="zh-CN"/>
              </w:rPr>
            </w:pPr>
            <w:r w:rsidRPr="00DB0537">
              <w:rPr>
                <w:rFonts w:ascii="SimSun" w:eastAsia="SimSun" w:hAnsi="SimSun" w:cs="Segoe UI"/>
                <w:sz w:val="22"/>
                <w:szCs w:val="22"/>
                <w:lang w:eastAsia="zh-CN"/>
              </w:rPr>
              <w:t>国际局应根据需要提供论坛和平台</w:t>
            </w:r>
            <w:r w:rsidRPr="00DB0537">
              <w:rPr>
                <w:rFonts w:ascii="SimSun" w:eastAsia="SimSun" w:hAnsi="SimSun" w:cs="Segoe UI" w:hint="eastAsia"/>
                <w:sz w:val="22"/>
                <w:szCs w:val="22"/>
                <w:lang w:eastAsia="zh-CN"/>
              </w:rPr>
              <w:t>，以供分享经验和信息</w:t>
            </w:r>
            <w:r w:rsidRPr="00DB0537">
              <w:rPr>
                <w:rFonts w:ascii="SimSun" w:eastAsia="SimSun" w:hAnsi="SimSun" w:cs="Segoe UI"/>
                <w:sz w:val="22"/>
                <w:szCs w:val="22"/>
                <w:lang w:eastAsia="zh-CN"/>
              </w:rPr>
              <w:t>。</w:t>
            </w:r>
          </w:p>
        </w:tc>
      </w:tr>
      <w:tr w:rsidR="00CF2B8E" w:rsidRPr="00DB0537" w14:paraId="3044DAFF"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8715FC2"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t>建议</w:t>
            </w:r>
            <w:r w:rsidRPr="00DB0537">
              <w:rPr>
                <w:rFonts w:ascii="SimSun" w:eastAsia="SimSun" w:hAnsi="SimSun" w:cs="Segoe UI" w:hint="eastAsia"/>
                <w:sz w:val="22"/>
                <w:szCs w:val="22"/>
                <w:u w:val="single"/>
                <w:lang w:eastAsia="zh-CN"/>
              </w:rPr>
              <w:t>9</w:t>
            </w:r>
            <w:r w:rsidRPr="00DB0537">
              <w:rPr>
                <w:rFonts w:ascii="SimSun" w:eastAsia="SimSun" w:hAnsi="SimSun" w:cs="Segoe UI"/>
                <w:sz w:val="22"/>
                <w:szCs w:val="22"/>
                <w:u w:val="single"/>
                <w:lang w:eastAsia="zh-CN"/>
              </w:rPr>
              <w:t>：</w:t>
            </w:r>
          </w:p>
          <w:p w14:paraId="50796499" w14:textId="1298513E"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cs="Segoe UI"/>
                <w:sz w:val="22"/>
                <w:szCs w:val="22"/>
                <w:lang w:eastAsia="zh-CN"/>
              </w:rPr>
            </w:pPr>
            <w:r w:rsidRPr="00DB0537">
              <w:rPr>
                <w:rFonts w:ascii="SimSun" w:eastAsia="SimSun" w:hAnsi="SimSun" w:cs="Segoe UI" w:hint="eastAsia"/>
                <w:sz w:val="22"/>
                <w:szCs w:val="22"/>
                <w:lang w:eastAsia="zh-CN"/>
              </w:rPr>
              <w:t>鼓励</w:t>
            </w:r>
            <w:r w:rsidRPr="00DB0537">
              <w:rPr>
                <w:rFonts w:ascii="SimSun" w:eastAsia="SimSun" w:hAnsi="SimSun" w:cs="Segoe UI"/>
                <w:sz w:val="22"/>
                <w:szCs w:val="22"/>
                <w:lang w:eastAsia="zh-CN"/>
              </w:rPr>
              <w:t>知识产权局分享有关规划、管理、交付和</w:t>
            </w:r>
            <w:r w:rsidRPr="00DB0537">
              <w:rPr>
                <w:rFonts w:ascii="SimSun" w:eastAsia="SimSun" w:hAnsi="SimSun" w:cs="Segoe UI" w:hint="eastAsia"/>
                <w:sz w:val="22"/>
                <w:szCs w:val="22"/>
                <w:lang w:eastAsia="zh-CN"/>
              </w:rPr>
              <w:t>审评信通技术</w:t>
            </w:r>
            <w:r w:rsidRPr="00DB0537">
              <w:rPr>
                <w:rFonts w:ascii="SimSun" w:eastAsia="SimSun" w:hAnsi="SimSun" w:cs="Segoe UI"/>
                <w:sz w:val="22"/>
                <w:szCs w:val="22"/>
                <w:lang w:eastAsia="zh-CN"/>
              </w:rPr>
              <w:t>项目的经验和信息</w:t>
            </w:r>
            <w:r w:rsidRPr="00DB0537">
              <w:rPr>
                <w:rFonts w:ascii="SimSun" w:eastAsia="SimSun" w:hAnsi="SimSun" w:cs="Segoe UI" w:hint="eastAsia"/>
                <w:sz w:val="22"/>
                <w:szCs w:val="22"/>
                <w:lang w:eastAsia="zh-CN"/>
              </w:rPr>
              <w:t>。</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C151DBE" w14:textId="77777777" w:rsidR="00CF2B8E" w:rsidRPr="00DB0537" w:rsidRDefault="00CF2B8E" w:rsidP="00DB0537">
            <w:pPr>
              <w:numPr>
                <w:ilvl w:val="0"/>
                <w:numId w:val="14"/>
              </w:numPr>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w:t>
            </w:r>
            <w:r w:rsidRPr="00DB0537">
              <w:rPr>
                <w:rFonts w:ascii="SimSun" w:hAnsi="SimSun" w:cs="Segoe UI"/>
                <w:szCs w:val="22"/>
              </w:rPr>
              <w:t>知识产权局分享与不同</w:t>
            </w:r>
            <w:r w:rsidRPr="00DB0537">
              <w:rPr>
                <w:rFonts w:ascii="SimSun" w:hAnsi="SimSun" w:cs="Segoe UI" w:hint="eastAsia"/>
                <w:szCs w:val="22"/>
              </w:rPr>
              <w:t>信通技术</w:t>
            </w:r>
            <w:r w:rsidRPr="00DB0537">
              <w:rPr>
                <w:rFonts w:ascii="SimSun" w:hAnsi="SimSun" w:cs="Segoe UI"/>
                <w:szCs w:val="22"/>
              </w:rPr>
              <w:t>项目交付模式有关的经验</w:t>
            </w:r>
            <w:r w:rsidRPr="00DB0537">
              <w:rPr>
                <w:rFonts w:ascii="SimSun" w:hAnsi="SimSun" w:cs="Segoe UI" w:hint="eastAsia"/>
                <w:szCs w:val="22"/>
              </w:rPr>
              <w:t>教训</w:t>
            </w:r>
            <w:r w:rsidRPr="00DB0537">
              <w:rPr>
                <w:rFonts w:ascii="SimSun" w:hAnsi="SimSun" w:cs="Segoe UI"/>
                <w:szCs w:val="22"/>
              </w:rPr>
              <w:t>，包括</w:t>
            </w:r>
            <w:r w:rsidRPr="00DB0537">
              <w:rPr>
                <w:rFonts w:ascii="SimSun" w:hAnsi="SimSun" w:cs="Segoe UI" w:hint="eastAsia"/>
                <w:szCs w:val="22"/>
              </w:rPr>
              <w:t>：</w:t>
            </w:r>
          </w:p>
          <w:p w14:paraId="3122EBE6" w14:textId="77777777" w:rsidR="00CF2B8E" w:rsidRPr="00DB0537" w:rsidRDefault="00CF2B8E" w:rsidP="00D241B7">
            <w:pPr>
              <w:numPr>
                <w:ilvl w:val="0"/>
                <w:numId w:val="15"/>
              </w:numPr>
              <w:spacing w:afterLines="50" w:after="120" w:line="340" w:lineRule="atLeast"/>
              <w:ind w:left="720" w:firstLine="21"/>
              <w:contextualSpacing/>
              <w:jc w:val="both"/>
              <w:rPr>
                <w:rFonts w:ascii="SimSun" w:hAnsi="SimSun" w:cs="Segoe UI"/>
                <w:szCs w:val="22"/>
                <w:lang w:eastAsia="en-AU"/>
              </w:rPr>
            </w:pPr>
            <w:proofErr w:type="spellStart"/>
            <w:r w:rsidRPr="00DB0537">
              <w:rPr>
                <w:rFonts w:ascii="SimSun" w:hAnsi="SimSun" w:cs="Segoe UI"/>
                <w:szCs w:val="22"/>
                <w:lang w:eastAsia="en-AU"/>
              </w:rPr>
              <w:t>内部运行</w:t>
            </w:r>
            <w:proofErr w:type="spellEnd"/>
            <w:r w:rsidRPr="00DB0537">
              <w:rPr>
                <w:rFonts w:ascii="SimSun" w:hAnsi="SimSun" w:cs="Segoe UI" w:hint="eastAsia"/>
                <w:szCs w:val="22"/>
              </w:rPr>
              <w:t>的</w:t>
            </w:r>
            <w:r w:rsidRPr="00DB0537">
              <w:rPr>
                <w:rFonts w:ascii="SimSun" w:hAnsi="SimSun" w:cs="Segoe UI"/>
                <w:szCs w:val="22"/>
                <w:lang w:eastAsia="en-AU"/>
              </w:rPr>
              <w:t>；</w:t>
            </w:r>
            <w:proofErr w:type="spellStart"/>
            <w:r w:rsidRPr="00DB0537">
              <w:rPr>
                <w:rFonts w:ascii="SimSun" w:hAnsi="SimSun" w:cs="Segoe UI"/>
                <w:szCs w:val="22"/>
                <w:lang w:eastAsia="en-AU"/>
              </w:rPr>
              <w:t>以及</w:t>
            </w:r>
            <w:proofErr w:type="spellEnd"/>
          </w:p>
          <w:p w14:paraId="23C0A349" w14:textId="77777777" w:rsidR="00CF2B8E" w:rsidRPr="00DB0537" w:rsidRDefault="00CF2B8E" w:rsidP="00D241B7">
            <w:pPr>
              <w:numPr>
                <w:ilvl w:val="0"/>
                <w:numId w:val="15"/>
              </w:numPr>
              <w:spacing w:afterLines="50" w:after="120" w:line="340" w:lineRule="atLeast"/>
              <w:ind w:left="720" w:firstLine="21"/>
              <w:contextualSpacing/>
              <w:jc w:val="both"/>
              <w:rPr>
                <w:rFonts w:ascii="SimSun" w:hAnsi="SimSun" w:cs="Segoe UI"/>
                <w:szCs w:val="22"/>
              </w:rPr>
            </w:pPr>
            <w:r w:rsidRPr="00DB0537">
              <w:rPr>
                <w:rFonts w:ascii="SimSun" w:hAnsi="SimSun" w:cs="Segoe UI" w:hint="eastAsia"/>
                <w:szCs w:val="22"/>
              </w:rPr>
              <w:t>可能情况下，</w:t>
            </w:r>
            <w:r w:rsidRPr="00DB0537">
              <w:rPr>
                <w:rFonts w:ascii="SimSun" w:hAnsi="SimSun" w:cs="Segoe UI"/>
                <w:szCs w:val="22"/>
              </w:rPr>
              <w:t>外部服务提供商提供</w:t>
            </w:r>
            <w:r w:rsidRPr="00DB0537">
              <w:rPr>
                <w:rFonts w:ascii="SimSun" w:hAnsi="SimSun" w:cs="Segoe UI" w:hint="eastAsia"/>
                <w:szCs w:val="22"/>
              </w:rPr>
              <w:t>的</w:t>
            </w:r>
          </w:p>
        </w:tc>
      </w:tr>
      <w:tr w:rsidR="00CF2B8E" w:rsidRPr="00DB0537" w14:paraId="363FF714" w14:textId="77777777" w:rsidTr="00DB0537">
        <w:tc>
          <w:tcPr>
            <w:tcW w:w="282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2984DE6" w14:textId="77777777" w:rsidR="00DB0537" w:rsidRDefault="00CF2B8E" w:rsidP="00DB0537">
            <w:pPr>
              <w:pStyle w:val="paragraph"/>
              <w:overflowPunct w:val="0"/>
              <w:spacing w:before="0" w:beforeAutospacing="0" w:afterLines="50" w:after="120" w:afterAutospacing="0" w:line="340" w:lineRule="atLeast"/>
              <w:contextualSpacing/>
              <w:jc w:val="both"/>
              <w:textAlignment w:val="baseline"/>
              <w:rPr>
                <w:rFonts w:ascii="SimSun" w:eastAsia="SimSun" w:hAnsi="SimSun" w:cs="Segoe UI"/>
                <w:sz w:val="22"/>
                <w:szCs w:val="22"/>
                <w:u w:val="single"/>
                <w:lang w:eastAsia="zh-CN"/>
              </w:rPr>
            </w:pPr>
            <w:r w:rsidRPr="00DB0537">
              <w:rPr>
                <w:rFonts w:ascii="SimSun" w:eastAsia="SimSun" w:hAnsi="SimSun" w:cs="Segoe UI"/>
                <w:sz w:val="22"/>
                <w:szCs w:val="22"/>
                <w:u w:val="single"/>
                <w:lang w:eastAsia="zh-CN"/>
              </w:rPr>
              <w:lastRenderedPageBreak/>
              <w:t>建议</w:t>
            </w:r>
            <w:r w:rsidRPr="00DB0537">
              <w:rPr>
                <w:rFonts w:ascii="SimSun" w:eastAsia="SimSun" w:hAnsi="SimSun" w:cs="Segoe UI" w:hint="eastAsia"/>
                <w:sz w:val="22"/>
                <w:szCs w:val="22"/>
                <w:u w:val="single"/>
                <w:lang w:eastAsia="zh-CN"/>
              </w:rPr>
              <w:t>1</w:t>
            </w:r>
            <w:r w:rsidRPr="00DB0537">
              <w:rPr>
                <w:rFonts w:ascii="SimSun" w:eastAsia="SimSun" w:hAnsi="SimSun" w:cs="Segoe UI"/>
                <w:sz w:val="22"/>
                <w:szCs w:val="22"/>
                <w:u w:val="single"/>
                <w:lang w:eastAsia="zh-CN"/>
              </w:rPr>
              <w:t>0：</w:t>
            </w:r>
          </w:p>
          <w:p w14:paraId="5C923A4F" w14:textId="67F14F43" w:rsidR="00CF2B8E" w:rsidRPr="00DB0537" w:rsidRDefault="00CF2B8E" w:rsidP="00DB0537">
            <w:pPr>
              <w:pStyle w:val="paragraph"/>
              <w:overflowPunct w:val="0"/>
              <w:spacing w:before="0" w:beforeAutospacing="0" w:afterLines="50" w:after="120" w:afterAutospacing="0" w:line="340" w:lineRule="atLeast"/>
              <w:jc w:val="both"/>
              <w:textAlignment w:val="baseline"/>
              <w:rPr>
                <w:rFonts w:ascii="SimSun" w:eastAsia="SimSun" w:hAnsi="SimSun"/>
                <w:sz w:val="22"/>
                <w:szCs w:val="22"/>
                <w:lang w:eastAsia="zh-CN"/>
              </w:rPr>
            </w:pPr>
            <w:r w:rsidRPr="00DB0537">
              <w:rPr>
                <w:rFonts w:ascii="SimSun" w:eastAsia="SimSun" w:hAnsi="SimSun" w:cs="Segoe UI"/>
                <w:sz w:val="22"/>
                <w:szCs w:val="22"/>
                <w:lang w:eastAsia="zh-CN"/>
              </w:rPr>
              <w:t>知识产权局应确保在采用可能的</w:t>
            </w:r>
            <w:r w:rsidRPr="00DB0537">
              <w:rPr>
                <w:rFonts w:ascii="SimSun" w:eastAsia="SimSun" w:hAnsi="SimSun" w:cs="Segoe UI" w:hint="eastAsia"/>
                <w:sz w:val="22"/>
                <w:szCs w:val="22"/>
                <w:lang w:eastAsia="zh-CN"/>
              </w:rPr>
              <w:t>新兴且快速发展的技术（例如</w:t>
            </w:r>
            <w:r w:rsidRPr="00DB0537">
              <w:rPr>
                <w:rFonts w:ascii="SimSun" w:eastAsia="SimSun" w:hAnsi="SimSun" w:cs="Segoe UI"/>
                <w:sz w:val="22"/>
                <w:szCs w:val="22"/>
                <w:lang w:eastAsia="zh-CN"/>
              </w:rPr>
              <w:t>区块链和人工智能）用例</w:t>
            </w:r>
            <w:r w:rsidRPr="00DB0537">
              <w:rPr>
                <w:rFonts w:ascii="SimSun" w:eastAsia="SimSun" w:hAnsi="SimSun" w:cs="Segoe UI" w:hint="eastAsia"/>
                <w:sz w:val="22"/>
                <w:szCs w:val="22"/>
                <w:lang w:eastAsia="zh-CN"/>
              </w:rPr>
              <w:t>之前进行</w:t>
            </w:r>
            <w:r w:rsidRPr="00DB0537">
              <w:rPr>
                <w:rFonts w:ascii="SimSun" w:eastAsia="SimSun" w:hAnsi="SimSun" w:cs="Segoe UI"/>
                <w:sz w:val="22"/>
                <w:szCs w:val="22"/>
                <w:lang w:eastAsia="zh-CN"/>
              </w:rPr>
              <w:t>项目风险评估，包括相关组织政策和法规</w:t>
            </w:r>
            <w:r w:rsidRPr="00DB0537">
              <w:rPr>
                <w:rFonts w:ascii="SimSun" w:eastAsia="SimSun" w:hAnsi="SimSun" w:cs="Segoe UI" w:hint="eastAsia"/>
                <w:sz w:val="22"/>
                <w:szCs w:val="22"/>
                <w:lang w:eastAsia="zh-CN"/>
              </w:rPr>
              <w:t>，</w:t>
            </w:r>
            <w:r w:rsidRPr="00DB0537">
              <w:rPr>
                <w:rFonts w:ascii="SimSun" w:eastAsia="SimSun" w:hAnsi="SimSun" w:cs="Segoe UI"/>
                <w:sz w:val="22"/>
                <w:szCs w:val="22"/>
                <w:lang w:eastAsia="zh-CN"/>
              </w:rPr>
              <w:t>以及</w:t>
            </w:r>
            <w:r w:rsidRPr="00DB0537">
              <w:rPr>
                <w:rFonts w:ascii="SimSun" w:eastAsia="SimSun" w:hAnsi="SimSun" w:cs="Segoe UI" w:hint="eastAsia"/>
                <w:sz w:val="22"/>
                <w:szCs w:val="22"/>
                <w:lang w:eastAsia="zh-CN"/>
              </w:rPr>
              <w:t>此类</w:t>
            </w:r>
            <w:r w:rsidRPr="00DB0537">
              <w:rPr>
                <w:rFonts w:ascii="SimSun" w:eastAsia="SimSun" w:hAnsi="SimSun" w:cs="Segoe UI"/>
                <w:sz w:val="22"/>
                <w:szCs w:val="22"/>
                <w:lang w:eastAsia="zh-CN"/>
              </w:rPr>
              <w:t>解决方案对业务运营的潜在影响。</w:t>
            </w:r>
          </w:p>
        </w:tc>
        <w:tc>
          <w:tcPr>
            <w:tcW w:w="6521"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0D3C216" w14:textId="77777777" w:rsidR="00CF2B8E" w:rsidRPr="00DB0537" w:rsidRDefault="00CF2B8E" w:rsidP="00DB0537">
            <w:pPr>
              <w:numPr>
                <w:ilvl w:val="0"/>
                <w:numId w:val="16"/>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w:t>
            </w:r>
            <w:r w:rsidRPr="00DB0537">
              <w:rPr>
                <w:rFonts w:ascii="SimSun" w:hAnsi="SimSun" w:cs="Segoe UI"/>
                <w:szCs w:val="22"/>
              </w:rPr>
              <w:t>知识产权局探索和分享</w:t>
            </w:r>
            <w:r w:rsidRPr="00DB0537">
              <w:rPr>
                <w:rFonts w:ascii="SimSun" w:hAnsi="SimSun" w:cs="Segoe UI" w:hint="eastAsia"/>
                <w:szCs w:val="22"/>
              </w:rPr>
              <w:t>新兴且快速发展的技术（例如</w:t>
            </w:r>
            <w:r w:rsidRPr="00DB0537">
              <w:rPr>
                <w:rFonts w:ascii="SimSun" w:hAnsi="SimSun" w:cs="Segoe UI"/>
                <w:szCs w:val="22"/>
              </w:rPr>
              <w:t>区块链</w:t>
            </w:r>
            <w:r w:rsidRPr="00DB0537">
              <w:rPr>
                <w:rFonts w:ascii="SimSun" w:hAnsi="SimSun" w:cs="Segoe UI" w:hint="eastAsia"/>
                <w:szCs w:val="22"/>
              </w:rPr>
              <w:t>和人工智能技术）</w:t>
            </w:r>
            <w:r w:rsidRPr="00DB0537">
              <w:rPr>
                <w:rFonts w:ascii="SimSun" w:hAnsi="SimSun" w:cs="Segoe UI"/>
                <w:szCs w:val="22"/>
              </w:rPr>
              <w:t>用例。</w:t>
            </w:r>
          </w:p>
          <w:p w14:paraId="06C9BA96" w14:textId="77777777" w:rsidR="00CF2B8E" w:rsidRPr="00DB0537" w:rsidRDefault="00CF2B8E" w:rsidP="00DB0537">
            <w:pPr>
              <w:numPr>
                <w:ilvl w:val="0"/>
                <w:numId w:val="16"/>
              </w:numPr>
              <w:tabs>
                <w:tab w:val="clear" w:pos="360"/>
              </w:tabs>
              <w:spacing w:afterLines="50" w:after="120" w:line="340" w:lineRule="atLeast"/>
              <w:ind w:left="357" w:hanging="357"/>
              <w:contextualSpacing/>
              <w:jc w:val="both"/>
              <w:rPr>
                <w:rFonts w:ascii="SimSun" w:hAnsi="SimSun" w:cs="Segoe UI"/>
                <w:szCs w:val="22"/>
              </w:rPr>
            </w:pPr>
            <w:r w:rsidRPr="00DB0537">
              <w:rPr>
                <w:rFonts w:ascii="SimSun" w:hAnsi="SimSun" w:cs="Segoe UI" w:hint="eastAsia"/>
                <w:szCs w:val="22"/>
              </w:rPr>
              <w:t>鼓励</w:t>
            </w:r>
            <w:r w:rsidRPr="00DB0537">
              <w:rPr>
                <w:rFonts w:ascii="SimSun" w:hAnsi="SimSun" w:cs="Segoe UI"/>
                <w:szCs w:val="22"/>
              </w:rPr>
              <w:t>知识产权局探索和分享</w:t>
            </w:r>
            <w:r w:rsidRPr="00DB0537">
              <w:rPr>
                <w:rFonts w:ascii="SimSun" w:hAnsi="SimSun" w:cs="Segoe UI" w:hint="eastAsia"/>
                <w:szCs w:val="22"/>
              </w:rPr>
              <w:t>可执行</w:t>
            </w:r>
            <w:r w:rsidRPr="00DB0537">
              <w:rPr>
                <w:rFonts w:ascii="SimSun" w:hAnsi="SimSun" w:cs="Segoe UI"/>
                <w:szCs w:val="22"/>
              </w:rPr>
              <w:t>图像</w:t>
            </w:r>
            <w:r w:rsidRPr="00DB0537">
              <w:rPr>
                <w:rFonts w:ascii="SimSun" w:hAnsi="SimSun" w:cs="Segoe UI" w:hint="eastAsia"/>
                <w:szCs w:val="22"/>
              </w:rPr>
              <w:t>检索</w:t>
            </w:r>
            <w:r w:rsidRPr="00DB0537">
              <w:rPr>
                <w:rFonts w:ascii="SimSun" w:hAnsi="SimSun" w:cs="Segoe UI"/>
                <w:szCs w:val="22"/>
              </w:rPr>
              <w:t>、语义文本</w:t>
            </w:r>
            <w:r w:rsidRPr="00DB0537">
              <w:rPr>
                <w:rFonts w:ascii="SimSun" w:hAnsi="SimSun" w:cs="Segoe UI" w:hint="eastAsia"/>
                <w:szCs w:val="22"/>
              </w:rPr>
              <w:t>检索</w:t>
            </w:r>
            <w:r w:rsidRPr="00DB0537">
              <w:rPr>
                <w:rFonts w:ascii="SimSun" w:hAnsi="SimSun" w:cs="Segoe UI"/>
                <w:szCs w:val="22"/>
              </w:rPr>
              <w:t>、图像和文本分类、翻译和客户支持等功能人工智能驱动的工具和服务用例，</w:t>
            </w:r>
            <w:r w:rsidRPr="00DB0537">
              <w:rPr>
                <w:rFonts w:ascii="SimSun" w:hAnsi="SimSun" w:cs="Segoe UI" w:hint="eastAsia"/>
                <w:szCs w:val="22"/>
              </w:rPr>
              <w:t>包括成熟的生成式</w:t>
            </w:r>
            <w:r w:rsidRPr="00DB0537">
              <w:rPr>
                <w:rFonts w:ascii="SimSun" w:hAnsi="SimSun" w:cs="Segoe UI"/>
                <w:szCs w:val="22"/>
              </w:rPr>
              <w:t>人工智能能力</w:t>
            </w:r>
            <w:r w:rsidRPr="00DB0537">
              <w:rPr>
                <w:rFonts w:ascii="SimSun" w:hAnsi="SimSun" w:cs="Segoe UI" w:hint="eastAsia"/>
                <w:szCs w:val="22"/>
              </w:rPr>
              <w:t>。</w:t>
            </w:r>
          </w:p>
          <w:p w14:paraId="0407B1E3" w14:textId="77777777" w:rsidR="00CF2B8E" w:rsidRPr="00DB0537" w:rsidRDefault="00CF2B8E" w:rsidP="00DB0537">
            <w:pPr>
              <w:numPr>
                <w:ilvl w:val="0"/>
                <w:numId w:val="16"/>
              </w:numPr>
              <w:tabs>
                <w:tab w:val="clear" w:pos="360"/>
              </w:tabs>
              <w:spacing w:afterLines="50" w:after="120" w:line="340" w:lineRule="atLeast"/>
              <w:ind w:left="357" w:hanging="357"/>
              <w:jc w:val="both"/>
              <w:rPr>
                <w:rFonts w:ascii="SimSun" w:hAnsi="SimSun" w:cs="Segoe UI"/>
                <w:szCs w:val="22"/>
              </w:rPr>
            </w:pPr>
            <w:r w:rsidRPr="00DB0537">
              <w:rPr>
                <w:rFonts w:ascii="SimSun" w:hAnsi="SimSun" w:cs="Segoe UI"/>
                <w:szCs w:val="22"/>
              </w:rPr>
              <w:t>知识产权局应考虑如何与较小的知识产权局</w:t>
            </w:r>
            <w:r w:rsidRPr="00DB0537">
              <w:rPr>
                <w:rFonts w:ascii="SimSun" w:hAnsi="SimSun" w:cs="Segoe UI" w:hint="eastAsia"/>
                <w:szCs w:val="22"/>
              </w:rPr>
              <w:t>分享</w:t>
            </w:r>
            <w:r w:rsidRPr="00DB0537">
              <w:rPr>
                <w:rFonts w:ascii="SimSun" w:hAnsi="SimSun" w:cs="Segoe UI"/>
                <w:szCs w:val="22"/>
              </w:rPr>
              <w:t>并向其提供技术，以提高业务流程的质量和效率。</w:t>
            </w:r>
          </w:p>
        </w:tc>
      </w:tr>
    </w:tbl>
    <w:p w14:paraId="71640733" w14:textId="77777777" w:rsidR="00A415D3" w:rsidRDefault="00785E49" w:rsidP="00DB0537">
      <w:pPr>
        <w:pStyle w:val="Endofdocument-Annex"/>
        <w:spacing w:afterLines="50" w:after="120" w:line="340" w:lineRule="atLeast"/>
        <w:ind w:left="5534"/>
        <w:rPr>
          <w:rFonts w:ascii="KaiTi" w:eastAsia="KaiTi" w:hAnsi="KaiTi"/>
        </w:rPr>
      </w:pPr>
      <w:r w:rsidRPr="00DB0537">
        <w:rPr>
          <w:rFonts w:ascii="KaiTi" w:eastAsia="KaiTi" w:hAnsi="KaiTi"/>
        </w:rPr>
        <w:t>[</w:t>
      </w:r>
      <w:r w:rsidR="00D241B7" w:rsidRPr="00DB0537">
        <w:rPr>
          <w:rFonts w:ascii="KaiTi" w:eastAsia="KaiTi" w:hAnsi="KaiTi" w:hint="eastAsia"/>
        </w:rPr>
        <w:t>后接文件</w:t>
      </w:r>
      <w:r w:rsidR="006552CE" w:rsidRPr="00DB0537">
        <w:rPr>
          <w:rFonts w:ascii="KaiTi" w:eastAsia="KaiTi" w:hAnsi="KaiTi"/>
        </w:rPr>
        <w:t>CWS/1</w:t>
      </w:r>
      <w:r w:rsidR="00AE54F1" w:rsidRPr="00DB0537">
        <w:rPr>
          <w:rFonts w:ascii="KaiTi" w:eastAsia="KaiTi" w:hAnsi="KaiTi"/>
        </w:rPr>
        <w:t>2</w:t>
      </w:r>
      <w:r w:rsidR="006552CE" w:rsidRPr="00DB0537">
        <w:rPr>
          <w:rFonts w:ascii="KaiTi" w:eastAsia="KaiTi" w:hAnsi="KaiTi"/>
        </w:rPr>
        <w:t>/</w:t>
      </w:r>
      <w:r w:rsidR="00AE54F1" w:rsidRPr="00DB0537">
        <w:rPr>
          <w:rFonts w:ascii="KaiTi" w:eastAsia="KaiTi" w:hAnsi="KaiTi"/>
        </w:rPr>
        <w:t>25</w:t>
      </w:r>
      <w:r w:rsidRPr="00DB0537">
        <w:rPr>
          <w:rFonts w:ascii="KaiTi" w:eastAsia="KaiTi" w:hAnsi="KaiTi"/>
        </w:rPr>
        <w:t>]</w:t>
      </w:r>
    </w:p>
    <w:p w14:paraId="65D24273" w14:textId="021F0151" w:rsidR="00DB0537" w:rsidRPr="00C0695F" w:rsidRDefault="00DB0537" w:rsidP="00DB0537">
      <w:pPr>
        <w:pStyle w:val="Endofdocument-Annex"/>
        <w:spacing w:afterLines="50" w:after="120" w:line="340" w:lineRule="atLeast"/>
        <w:ind w:left="5534"/>
        <w:rPr>
          <w:rFonts w:ascii="SimSun" w:hAnsi="SimSun"/>
          <w:szCs w:val="22"/>
        </w:rPr>
        <w:sectPr w:rsidR="00DB0537" w:rsidRPr="00C0695F" w:rsidSect="00DB053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01E9BC9E" w14:textId="77777777" w:rsidR="00A57DDF" w:rsidRPr="00B536BB" w:rsidRDefault="00A57DDF" w:rsidP="00F74B78">
      <w:pPr>
        <w:jc w:val="right"/>
        <w:rPr>
          <w:rFonts w:ascii="Arial Black" w:hAnsi="Arial Black"/>
          <w:caps/>
          <w:sz w:val="15"/>
        </w:rPr>
      </w:pPr>
      <w:r w:rsidRPr="00B536BB">
        <w:rPr>
          <w:rFonts w:cs="Times New Roman"/>
          <w:noProof/>
        </w:rPr>
        <w:lastRenderedPageBreak/>
        <w:drawing>
          <wp:inline distT="0" distB="0" distL="0" distR="0" wp14:anchorId="14811A3D" wp14:editId="37D8624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EF59A97" w14:textId="77777777" w:rsidR="00A57DDF" w:rsidRPr="00B536BB" w:rsidRDefault="00A57DDF" w:rsidP="00F74B78">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r>
        <w:rPr>
          <w:rFonts w:ascii="Arial Black" w:hAnsi="Arial Black" w:hint="eastAsia"/>
          <w:b/>
          <w:caps/>
          <w:sz w:val="15"/>
        </w:rPr>
        <w:t>25</w:t>
      </w:r>
    </w:p>
    <w:p w14:paraId="2F387E9B" w14:textId="77777777" w:rsidR="00A57DDF" w:rsidRPr="00B536BB" w:rsidRDefault="00A57DDF" w:rsidP="00F74B78">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：英</w:t>
      </w:r>
      <w:r w:rsidRPr="00B536BB">
        <w:rPr>
          <w:rFonts w:eastAsia="SimHei" w:hint="eastAsia"/>
          <w:b/>
          <w:sz w:val="15"/>
          <w:szCs w:val="15"/>
        </w:rPr>
        <w:t>文</w:t>
      </w:r>
    </w:p>
    <w:p w14:paraId="255DD282" w14:textId="77777777" w:rsidR="00A57DDF" w:rsidRPr="00B536BB" w:rsidRDefault="00A57DDF" w:rsidP="00F74B78">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8</w:t>
      </w:r>
      <w:r w:rsidRPr="00B536BB">
        <w:rPr>
          <w:rFonts w:ascii="SimHei" w:eastAsia="SimHei" w:hAnsi="Times New Roman" w:hint="eastAsia"/>
          <w:b/>
          <w:sz w:val="15"/>
          <w:szCs w:val="15"/>
        </w:rPr>
        <w:t>月</w:t>
      </w:r>
      <w:r>
        <w:rPr>
          <w:rFonts w:ascii="Arial Black" w:eastAsia="SimHei" w:hAnsi="Arial Black" w:hint="eastAsia"/>
          <w:b/>
          <w:sz w:val="15"/>
          <w:szCs w:val="15"/>
          <w:lang w:val="pt-BR"/>
        </w:rPr>
        <w:t>12</w:t>
      </w:r>
      <w:r w:rsidRPr="00B536BB">
        <w:rPr>
          <w:rFonts w:ascii="SimHei" w:eastAsia="SimHei" w:hAnsi="Times New Roman" w:hint="eastAsia"/>
          <w:b/>
          <w:sz w:val="15"/>
          <w:szCs w:val="15"/>
        </w:rPr>
        <w:t>日</w:t>
      </w:r>
    </w:p>
    <w:p w14:paraId="1B6182AC" w14:textId="77777777" w:rsidR="00A57DDF" w:rsidRPr="00E4042D" w:rsidRDefault="00A57DDF" w:rsidP="00F74B78">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06DEB1DE" w14:textId="77777777" w:rsidR="00A57DDF" w:rsidRPr="00B536BB" w:rsidRDefault="00A57DDF" w:rsidP="00F74B78">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285A39A9" w14:textId="77777777" w:rsidR="00A57DDF" w:rsidRPr="00B536BB" w:rsidRDefault="00A57DDF" w:rsidP="00A5281D">
      <w:pPr>
        <w:spacing w:after="360"/>
        <w:rPr>
          <w:rFonts w:ascii="KaiTi" w:eastAsia="KaiTi" w:hAnsi="KaiTi" w:cs="Times New Roman"/>
          <w:sz w:val="24"/>
          <w:szCs w:val="32"/>
        </w:rPr>
      </w:pPr>
      <w:r w:rsidRPr="00A5281D">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A5281D">
        <w:rPr>
          <w:rFonts w:ascii="KaiTi" w:eastAsia="KaiTi" w:hAnsi="KaiTi" w:cs="Times New Roman" w:hint="eastAsia"/>
          <w:sz w:val="24"/>
          <w:szCs w:val="32"/>
        </w:rPr>
        <w:t>向工业产权局提供技术咨询和援助开展能力建设的报告</w:t>
      </w:r>
    </w:p>
    <w:p w14:paraId="2862E216" w14:textId="77777777" w:rsidR="00A57DDF" w:rsidRPr="00F74B78" w:rsidRDefault="00A57DDF" w:rsidP="00A5281D">
      <w:pPr>
        <w:spacing w:after="960"/>
        <w:rPr>
          <w:rFonts w:ascii="KaiTi" w:eastAsia="KaiTi" w:hAnsi="STKaiti" w:cs="Times New Roman"/>
          <w:szCs w:val="24"/>
        </w:rPr>
      </w:pPr>
      <w:r w:rsidRPr="00F74B78">
        <w:rPr>
          <w:rFonts w:ascii="KaiTi" w:eastAsia="KaiTi" w:hAnsi="STKaiti" w:cs="Times New Roman" w:hint="eastAsia"/>
          <w:szCs w:val="24"/>
        </w:rPr>
        <w:t>秘书处编拟的文件</w:t>
      </w:r>
    </w:p>
    <w:p w14:paraId="748829B9" w14:textId="77777777" w:rsidR="00A57DDF" w:rsidRPr="00F74B78" w:rsidRDefault="00A57DDF" w:rsidP="00AD6A9B">
      <w:pPr>
        <w:pStyle w:val="Heading2"/>
        <w:rPr>
          <w:rFonts w:ascii="SimSun"/>
          <w:caps w:val="0"/>
        </w:rPr>
      </w:pPr>
      <w:r w:rsidRPr="00F74B78">
        <w:rPr>
          <w:rFonts w:hAnsi="SimHei"/>
          <w:caps w:val="0"/>
        </w:rPr>
        <w:t>导　言</w:t>
      </w:r>
    </w:p>
    <w:p w14:paraId="26B5A634"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color w:val="000000" w:themeColor="text1"/>
          <w:szCs w:val="21"/>
        </w:rPr>
      </w:pPr>
      <w:r w:rsidRPr="00F74B78">
        <w:rPr>
          <w:rFonts w:ascii="SimSun" w:hAnsi="SimSun"/>
          <w:szCs w:val="21"/>
        </w:rPr>
        <w:t>本报告旨在执行2011年大会就产权组织标准委员会（</w:t>
      </w:r>
      <w:r>
        <w:rPr>
          <w:rFonts w:ascii="SimSun" w:hAnsi="SimSun"/>
          <w:szCs w:val="21"/>
        </w:rPr>
        <w:t>标准委</w:t>
      </w:r>
      <w:r w:rsidRPr="00F74B78">
        <w:rPr>
          <w:rFonts w:ascii="SimSun" w:hAnsi="SimSun"/>
          <w:szCs w:val="21"/>
        </w:rPr>
        <w:t>）的任务规定作出的决定，定期书面报告202</w:t>
      </w:r>
      <w:r w:rsidRPr="00F74B78">
        <w:rPr>
          <w:rFonts w:ascii="SimSun" w:hAnsi="SimSun" w:hint="eastAsia"/>
          <w:szCs w:val="21"/>
        </w:rPr>
        <w:t>3</w:t>
      </w:r>
      <w:r w:rsidRPr="00F74B78">
        <w:rPr>
          <w:rFonts w:ascii="SimSun" w:hAnsi="SimSun"/>
          <w:szCs w:val="21"/>
        </w:rPr>
        <w:t>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r>
        <w:fldChar w:fldCharType="begin"/>
      </w:r>
      <w:r>
        <w:instrText>HYPERLINK "http://www.wipo.int/tad"</w:instrText>
      </w:r>
      <w:r>
        <w:fldChar w:fldCharType="separate"/>
      </w:r>
      <w:r w:rsidRPr="00F74B78">
        <w:rPr>
          <w:rStyle w:val="Hyperlink"/>
          <w:rFonts w:ascii="SimSun" w:hAnsi="SimSun"/>
          <w:szCs w:val="21"/>
        </w:rPr>
        <w:t>www.wipo.int/tad</w:t>
      </w:r>
      <w:r>
        <w:rPr>
          <w:rStyle w:val="Hyperlink"/>
          <w:rFonts w:ascii="SimSun" w:hAnsi="SimSun"/>
          <w:szCs w:val="21"/>
        </w:rPr>
        <w:fldChar w:fldCharType="end"/>
      </w:r>
      <w:r w:rsidRPr="00F74B78">
        <w:rPr>
          <w:rFonts w:ascii="SimSun" w:hAnsi="SimSun"/>
          <w:szCs w:val="21"/>
        </w:rPr>
        <w:t>）。</w:t>
      </w:r>
    </w:p>
    <w:p w14:paraId="21B5E672"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szCs w:val="21"/>
        </w:rPr>
        <w:t>由于产权组织标准在WIPO Sequence</w:t>
      </w:r>
      <w:r w:rsidRPr="00F74B78">
        <w:rPr>
          <w:rFonts w:ascii="SimSun" w:hAnsi="SimSun" w:hint="eastAsia"/>
          <w:szCs w:val="21"/>
        </w:rPr>
        <w:t>套件</w:t>
      </w:r>
      <w:r w:rsidRPr="00F74B78">
        <w:rPr>
          <w:rFonts w:ascii="SimSun" w:hAnsi="SimSun"/>
          <w:szCs w:val="21"/>
        </w:rPr>
        <w:t>和知识产权局业务解决方案等产权组织各个系统和</w:t>
      </w:r>
      <w:r w:rsidRPr="00F74B78">
        <w:rPr>
          <w:rFonts w:ascii="SimSun" w:hAnsi="SimSun" w:hint="eastAsia"/>
          <w:szCs w:val="21"/>
        </w:rPr>
        <w:t>产权组织软件</w:t>
      </w:r>
      <w:r w:rsidRPr="00F74B78">
        <w:rPr>
          <w:rFonts w:ascii="SimSun" w:hAnsi="SimSun"/>
          <w:szCs w:val="21"/>
        </w:rPr>
        <w:t>中得到</w:t>
      </w:r>
      <w:r w:rsidRPr="00F74B78">
        <w:rPr>
          <w:rFonts w:ascii="SimSun" w:hAnsi="SimSun" w:hint="eastAsia"/>
          <w:szCs w:val="21"/>
        </w:rPr>
        <w:t>执行</w:t>
      </w:r>
      <w:r w:rsidRPr="00F74B78">
        <w:rPr>
          <w:rFonts w:ascii="SimSun" w:hAnsi="SimSun"/>
          <w:szCs w:val="21"/>
        </w:rPr>
        <w:t>，下列活动也不言自明涵盖了相关工业产权标准信息的推广。</w:t>
      </w:r>
    </w:p>
    <w:p w14:paraId="5A5656D0" w14:textId="77777777" w:rsidR="00A57DDF" w:rsidRPr="00F74B78" w:rsidRDefault="00A57DDF" w:rsidP="00F74B78">
      <w:pPr>
        <w:pStyle w:val="Heading2"/>
        <w:rPr>
          <w:rFonts w:ascii="SimSun"/>
        </w:rPr>
      </w:pPr>
      <w:r w:rsidRPr="00F74B78">
        <w:rPr>
          <w:rFonts w:hAnsi="SimHei"/>
          <w:caps w:val="0"/>
        </w:rPr>
        <w:t>关于使用产权组织标准的培训和技术咨询</w:t>
      </w:r>
    </w:p>
    <w:p w14:paraId="3D4D5AA1"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szCs w:val="21"/>
        </w:rPr>
        <w:t>202</w:t>
      </w:r>
      <w:r w:rsidRPr="00F74B78">
        <w:rPr>
          <w:rFonts w:ascii="SimSun" w:hAnsi="SimSun" w:hint="eastAsia"/>
          <w:szCs w:val="21"/>
        </w:rPr>
        <w:t>3</w:t>
      </w:r>
      <w:r w:rsidRPr="00F74B78">
        <w:rPr>
          <w:rFonts w:ascii="SimSun" w:hAnsi="SimSun"/>
          <w:szCs w:val="21"/>
        </w:rPr>
        <w:t>年，国际局仍通过电子邮件和在线会议提供了技术咨询，协助工业产权局和用户使用产权组织标准</w:t>
      </w:r>
      <w:r w:rsidRPr="00F74B78">
        <w:rPr>
          <w:rFonts w:ascii="SimSun" w:hAnsi="SimSun" w:hint="eastAsia"/>
          <w:szCs w:val="21"/>
        </w:rPr>
        <w:t>，包括实施分别与专利、商标和工业品外观设计法律状态事件有关的产权组织标准ST.27、ST.61和ST.87，以及制作符合产权组织标准ST.37的权威文档。</w:t>
      </w:r>
    </w:p>
    <w:p w14:paraId="5B9AAFFF"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国际局在PATENTSCOPE中启动了植物品种序列数据技术公开披露的概念验证（POC）。印度尼西亚国家研究创新署（BRIN）提供了一系列不同热带大豆的测序数据，作为与产权组织合作开展的培训计划的一部分。POC圆满结束，热带大豆20条染色体中的每一条都被翻译成了产权组织标准ST.26格式，并附有相关的技术摘要和实用性声明。</w:t>
      </w:r>
    </w:p>
    <w:p w14:paraId="585EBDD9"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hint="eastAsia"/>
          <w:szCs w:val="21"/>
        </w:rPr>
        <w:lastRenderedPageBreak/>
        <w:t xml:space="preserve">根据各工业产权局和用户的反馈意见，国际局启动了一个新的WIPO Sequence套件开发项目，重点是提高XML验证和生成的性能。为实现这一目标，WIPO </w:t>
      </w:r>
      <w:r w:rsidRPr="00F74B78">
        <w:rPr>
          <w:rFonts w:ascii="SimSun" w:hAnsi="SimSun"/>
          <w:szCs w:val="21"/>
        </w:rPr>
        <w:t>Sequence</w:t>
      </w:r>
      <w:r w:rsidRPr="00F74B78">
        <w:rPr>
          <w:rFonts w:ascii="SimSun" w:hAnsi="SimSun" w:hint="eastAsia"/>
          <w:szCs w:val="21"/>
        </w:rPr>
        <w:t xml:space="preserve">和WIPO </w:t>
      </w:r>
      <w:bookmarkStart w:id="6" w:name="_Hlk174524703"/>
      <w:r w:rsidRPr="00F74B78">
        <w:rPr>
          <w:rFonts w:ascii="SimSun" w:hAnsi="SimSun"/>
          <w:szCs w:val="21"/>
        </w:rPr>
        <w:t>Sequence</w:t>
      </w:r>
      <w:bookmarkEnd w:id="6"/>
      <w:r w:rsidRPr="006A4CC8">
        <w:t xml:space="preserve"> </w:t>
      </w:r>
      <w:r w:rsidRPr="00F74B78">
        <w:rPr>
          <w:rFonts w:ascii="SimSun" w:hAnsi="SimSun"/>
          <w:szCs w:val="21"/>
        </w:rPr>
        <w:t>Validator</w:t>
      </w:r>
      <w:r w:rsidRPr="00F74B78">
        <w:rPr>
          <w:rFonts w:ascii="SimSun" w:hAnsi="SimSun" w:hint="eastAsia"/>
          <w:szCs w:val="21"/>
        </w:rPr>
        <w:t xml:space="preserve">都采用了更新的技术堆栈。对这两个组件的全面改造需要进行广泛测试，以确保实施在功能上等同于2.3.0版。国际局希望在2024年第三季度推出WIPO </w:t>
      </w:r>
      <w:r w:rsidRPr="00F74B78">
        <w:rPr>
          <w:rFonts w:ascii="SimSun" w:hAnsi="SimSun"/>
          <w:szCs w:val="21"/>
        </w:rPr>
        <w:t>Sequence Validator</w:t>
      </w:r>
      <w:r w:rsidRPr="00F74B78">
        <w:rPr>
          <w:rFonts w:ascii="SimSun" w:hAnsi="SimSun" w:hint="eastAsia"/>
          <w:szCs w:val="21"/>
        </w:rPr>
        <w:t>的新版本3.0.0版。</w:t>
      </w:r>
    </w:p>
    <w:p w14:paraId="45A62378"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 xml:space="preserve">在实施产权组织标准ST.26和WIPO </w:t>
      </w:r>
      <w:r w:rsidRPr="00F74B78">
        <w:rPr>
          <w:rFonts w:ascii="SimSun" w:hAnsi="SimSun"/>
          <w:szCs w:val="21"/>
        </w:rPr>
        <w:t>Sequence</w:t>
      </w:r>
      <w:r w:rsidRPr="00F74B78">
        <w:rPr>
          <w:rFonts w:ascii="SimSun" w:hAnsi="SimSun" w:hint="eastAsia"/>
          <w:szCs w:val="21"/>
        </w:rPr>
        <w:t>的技术援助方面，国际局应邀在两次网络研讨会上介绍了这一议题。根据各局的反馈，鉴于现在用户对该标准和桌面工具的基础知识已经更加熟悉，显然国际局需要推出更高级别的系列网络研讨会。</w:t>
      </w:r>
    </w:p>
    <w:p w14:paraId="11AB932E" w14:textId="19E49D59"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szCs w:val="21"/>
        </w:rPr>
        <w:t>秘书处将继续致力于按要求，根据资源可用情况，提供有关产权组织标准的技术援助和培</w:t>
      </w:r>
      <w:r w:rsidR="002D31CF">
        <w:rPr>
          <w:rFonts w:ascii="SimSun" w:hAnsi="SimSun" w:hint="cs"/>
          <w:szCs w:val="21"/>
        </w:rPr>
        <w:t>‍</w:t>
      </w:r>
      <w:r w:rsidRPr="00F74B78">
        <w:rPr>
          <w:rFonts w:ascii="SimSun" w:hAnsi="SimSun"/>
          <w:szCs w:val="21"/>
        </w:rPr>
        <w:t>训。</w:t>
      </w:r>
    </w:p>
    <w:p w14:paraId="7E3A045A" w14:textId="77777777" w:rsidR="00A57DDF" w:rsidRPr="00F74B78" w:rsidRDefault="00A57DDF" w:rsidP="00AD6A9B">
      <w:pPr>
        <w:pStyle w:val="Heading2"/>
        <w:rPr>
          <w:rFonts w:hAnsi="SimHei"/>
          <w:caps w:val="0"/>
        </w:rPr>
      </w:pPr>
      <w:r w:rsidRPr="00F74B78">
        <w:rPr>
          <w:rFonts w:hAnsi="SimHei"/>
          <w:caps w:val="0"/>
        </w:rPr>
        <w:t>提供技术援助建设知识产权机构使用产权组织标准的基础设施</w:t>
      </w:r>
    </w:p>
    <w:p w14:paraId="12C5FD30"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lang w:val="en"/>
        </w:rPr>
      </w:pPr>
      <w:r w:rsidRPr="00F74B78">
        <w:rPr>
          <w:rFonts w:ascii="SimSun" w:hAnsi="SimSun"/>
          <w:szCs w:val="21"/>
          <w:lang w:val="en"/>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508EE417" w14:textId="39437049"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color w:val="000000"/>
          <w:szCs w:val="21"/>
          <w:lang w:val="en-GB"/>
        </w:rPr>
      </w:pPr>
      <w:r w:rsidRPr="00F74B78">
        <w:rPr>
          <w:rFonts w:ascii="SimSun" w:hAnsi="SimSun"/>
          <w:szCs w:val="21"/>
          <w:lang w:val="en-GB"/>
        </w:rPr>
        <w:t>到202</w:t>
      </w:r>
      <w:r w:rsidRPr="00F74B78">
        <w:rPr>
          <w:rFonts w:ascii="SimSun" w:hAnsi="SimSun" w:hint="eastAsia"/>
          <w:szCs w:val="21"/>
          <w:lang w:val="en-GB"/>
        </w:rPr>
        <w:t>3</w:t>
      </w:r>
      <w:r w:rsidRPr="00F74B78">
        <w:rPr>
          <w:rFonts w:ascii="SimSun" w:hAnsi="SimSun"/>
          <w:szCs w:val="21"/>
          <w:lang w:val="en-GB"/>
        </w:rPr>
        <w:t>年底，来自各区域发展中国家的91个工业产权局积极使用产权组织的知识产权局业务解决方案来进行工业产权行政管理，产权组织标准包括其中。</w:t>
      </w:r>
      <w:r w:rsidRPr="00F74B78">
        <w:rPr>
          <w:rFonts w:ascii="SimSun" w:hAnsi="SimSun" w:hint="eastAsia"/>
          <w:szCs w:val="21"/>
          <w:lang w:val="en-GB"/>
        </w:rPr>
        <w:t>60</w:t>
      </w:r>
      <w:r w:rsidRPr="00F74B78">
        <w:rPr>
          <w:rFonts w:ascii="SimSun" w:hAnsi="SimSun"/>
          <w:szCs w:val="21"/>
          <w:lang w:val="en-GB"/>
        </w:rPr>
        <w:t>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r>
        <w:fldChar w:fldCharType="begin"/>
      </w:r>
      <w:r w:rsidR="00987AE4">
        <w:instrText>HYPERLINK "https://www.wipo.int/zh/web/ip-office-business-solutions/"</w:instrText>
      </w:r>
      <w:r>
        <w:fldChar w:fldCharType="separate"/>
      </w:r>
      <w:r w:rsidR="00987AE4">
        <w:rPr>
          <w:rStyle w:val="Hyperlink"/>
          <w:rFonts w:ascii="SimSun" w:hAnsi="SimSun"/>
          <w:szCs w:val="21"/>
        </w:rPr>
        <w:t>https://www.wipo.int/zh/web/ip-office-business-solutions/</w:t>
      </w:r>
      <w:r>
        <w:rPr>
          <w:rStyle w:val="Hyperlink"/>
          <w:rFonts w:ascii="SimSun" w:hAnsi="SimSun"/>
          <w:szCs w:val="21"/>
        </w:rPr>
        <w:fldChar w:fldCharType="end"/>
      </w:r>
      <w:r w:rsidRPr="00F74B78">
        <w:rPr>
          <w:rFonts w:ascii="SimSun" w:hAnsi="SimSun"/>
          <w:szCs w:val="21"/>
          <w:lang w:val="en-GB"/>
        </w:rPr>
        <w:t>。</w:t>
      </w:r>
    </w:p>
    <w:p w14:paraId="14D13567"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color w:val="000000"/>
          <w:szCs w:val="21"/>
          <w:lang w:val="en-GB"/>
        </w:rPr>
      </w:pPr>
      <w:r w:rsidRPr="00F74B78">
        <w:rPr>
          <w:rFonts w:ascii="SimSun" w:hAnsi="SimSun" w:hint="eastAsia"/>
          <w:szCs w:val="21"/>
          <w:lang w:val="en-GB"/>
        </w:rPr>
        <w:t>在产权组织的全球数据库计划下，国际局继续在日本信托基金计划的支持下，协助成员国为其专利公布创建高质量的全文。在日本2023财年，菲律宾专利局的1,293份专利文件、阿根廷专利局的22,221份专利文件和墨西哥专利局的10,280份专利文件经过OCR、校对和XML转换后收入了PATENTSCOPE。</w:t>
      </w:r>
    </w:p>
    <w:p w14:paraId="38FA6B3D" w14:textId="77777777" w:rsidR="00A57DDF" w:rsidRPr="00F74B78" w:rsidRDefault="00A57DDF" w:rsidP="00AD6A9B">
      <w:pPr>
        <w:pStyle w:val="Heading2"/>
        <w:rPr>
          <w:rFonts w:hAnsi="SimHei"/>
          <w:caps w:val="0"/>
        </w:rPr>
      </w:pPr>
      <w:r w:rsidRPr="00F74B78">
        <w:rPr>
          <w:rFonts w:hAnsi="SimHei"/>
          <w:caps w:val="0"/>
        </w:rPr>
        <w:t>开展工业产权官员和审查员利用国际工具的能力建设</w:t>
      </w:r>
    </w:p>
    <w:p w14:paraId="79F0CD30"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lang w:val="en"/>
        </w:rPr>
      </w:pPr>
      <w:r w:rsidRPr="00F74B78">
        <w:rPr>
          <w:rFonts w:ascii="SimSun" w:hAnsi="SimSun" w:cs="MS Mincho" w:hint="eastAsia"/>
          <w:szCs w:val="21"/>
          <w:lang w:val="en"/>
        </w:rPr>
        <w:t>根据要求，国际局于2023年7月26日和27日与文莱知识产权局联合通过在线平台，为文莱达鲁萨兰国的专利处理人员和创新支持人员举办了一次关于专利检索的培训研讨会。在此背景下，对相关产权组织标准的相关性作了解释。</w:t>
      </w:r>
    </w:p>
    <w:p w14:paraId="25FC95F6"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lang w:val="en"/>
        </w:rPr>
      </w:pPr>
      <w:r w:rsidRPr="00F74B78">
        <w:rPr>
          <w:rFonts w:ascii="SimSun" w:hAnsi="SimSun" w:cs="MS Mincho" w:hint="eastAsia"/>
          <w:szCs w:val="21"/>
          <w:lang w:val="en"/>
        </w:rPr>
        <w:t>根据要求，国际局于2023年1月9日和10日为文莱达鲁萨兰国主管局的工作人员举办了一次关于商标审查员使用维也纳分类的虚拟培训研讨会。在此背景下，对相关产权组织标准的相关性作了解释。</w:t>
      </w:r>
    </w:p>
    <w:p w14:paraId="6611CB04" w14:textId="77777777" w:rsidR="00A57DDF" w:rsidRPr="00F74B78" w:rsidRDefault="00A57DDF" w:rsidP="00AD6A9B">
      <w:pPr>
        <w:pStyle w:val="Heading2"/>
        <w:rPr>
          <w:rFonts w:hAnsi="SimHei"/>
          <w:caps w:val="0"/>
        </w:rPr>
      </w:pPr>
      <w:r w:rsidRPr="00F74B78">
        <w:rPr>
          <w:rFonts w:hAnsi="SimHei" w:hint="eastAsia"/>
          <w:caps w:val="0"/>
        </w:rPr>
        <w:lastRenderedPageBreak/>
        <w:t>加强对产权组织标准的了解</w:t>
      </w:r>
    </w:p>
    <w:p w14:paraId="53A651B0"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bCs/>
          <w:iCs/>
          <w:szCs w:val="21"/>
        </w:rPr>
      </w:pPr>
      <w:r w:rsidRPr="00F74B78">
        <w:rPr>
          <w:rFonts w:ascii="SimSun" w:hAnsi="SimSun" w:hint="eastAsia"/>
          <w:szCs w:val="21"/>
        </w:rPr>
        <w:t>为提高发展中国家对产权组织标准的认识，便于更多发展中国家亲身参与制定产权组织新标准或修订产权组织标准，根据2011年10月大会的决定，国际局资助了八个发展中国家或最不发达国家出席标准委员会第十一届会议。</w:t>
      </w:r>
    </w:p>
    <w:p w14:paraId="2E98A2BB" w14:textId="77777777" w:rsidR="00A57DDF" w:rsidRPr="00F74B78" w:rsidRDefault="00A57DDF" w:rsidP="00AD6A9B">
      <w:pPr>
        <w:pStyle w:val="Heading2"/>
        <w:rPr>
          <w:rFonts w:hAnsi="SimHei"/>
          <w:caps w:val="0"/>
        </w:rPr>
      </w:pPr>
      <w:r w:rsidRPr="00F74B78">
        <w:rPr>
          <w:rFonts w:hAnsi="SimHei" w:hint="eastAsia"/>
          <w:caps w:val="0"/>
        </w:rPr>
        <w:t>工业产权数据交换</w:t>
      </w:r>
    </w:p>
    <w:p w14:paraId="30A7B8F3" w14:textId="77777777" w:rsidR="00A57DDF" w:rsidRPr="00F74B78" w:rsidRDefault="00A57DDF" w:rsidP="00A57DDF">
      <w:pPr>
        <w:pStyle w:val="ONUME"/>
        <w:numPr>
          <w:ilvl w:val="0"/>
          <w:numId w:val="40"/>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国际局与许多工业产权局，特别是一些发展中国家集团的工业产权局一道开展工作，促进工业产权数据的交换，以期使这些国家的用户能够更多地获取这些局的工业产权信息。在可能的情况下，工业产权数据的交换根据相关的产权组织标准进行。2023年，全球品牌数据库收入了下列国家的商标数据（按时间顺序）：联合王国和摩纳哥；2023年，PATENTSCOPE收入了下列国家的专利数据：比利时、挪威和摩纳哥。2023年，产权组织全球外观设计数据库还增加了埃及的工业品外观设计数据。</w:t>
      </w:r>
    </w:p>
    <w:p w14:paraId="2D6F1407" w14:textId="77777777" w:rsidR="00A57DDF" w:rsidRPr="00F74B78" w:rsidRDefault="00A57DDF" w:rsidP="00A57DDF">
      <w:pPr>
        <w:pStyle w:val="ONUME"/>
        <w:numPr>
          <w:ilvl w:val="0"/>
          <w:numId w:val="40"/>
        </w:numPr>
        <w:overflowPunct w:val="0"/>
        <w:spacing w:afterLines="50" w:after="120" w:line="340" w:lineRule="atLeast"/>
        <w:ind w:left="5534" w:firstLine="0"/>
        <w:jc w:val="both"/>
        <w:rPr>
          <w:rFonts w:ascii="KaiTi" w:eastAsia="KaiTi" w:hAnsi="KaiTi"/>
          <w:iCs/>
          <w:szCs w:val="21"/>
        </w:rPr>
      </w:pPr>
      <w:r w:rsidRPr="00F74B78">
        <w:rPr>
          <w:rFonts w:ascii="KaiTi" w:eastAsia="KaiTi" w:hAnsi="KaiTi" w:hint="eastAsia"/>
          <w:iCs/>
          <w:szCs w:val="21"/>
        </w:rPr>
        <w:t>请标准委员会注意国际局2023年在工业产权标准信息传播方面向工业产权局提供技术咨询和援助开展能力建设的各项活动。按</w:t>
      </w:r>
      <w:r w:rsidRPr="00F74B78">
        <w:rPr>
          <w:rFonts w:ascii="KaiTi" w:eastAsia="KaiTi" w:hAnsi="KaiTi"/>
          <w:iCs/>
          <w:szCs w:val="21"/>
        </w:rPr>
        <w:t>2011</w:t>
      </w:r>
      <w:r w:rsidRPr="00F74B78">
        <w:rPr>
          <w:rFonts w:ascii="KaiTi" w:eastAsia="KaiTi" w:hAnsi="KaiTi" w:hint="eastAsia"/>
          <w:iCs/>
          <w:szCs w:val="21"/>
        </w:rPr>
        <w:t>年</w:t>
      </w:r>
      <w:r w:rsidRPr="00F74B78">
        <w:rPr>
          <w:rFonts w:ascii="KaiTi" w:eastAsia="KaiTi" w:hAnsi="KaiTi"/>
          <w:iCs/>
          <w:szCs w:val="21"/>
        </w:rPr>
        <w:t>10</w:t>
      </w:r>
      <w:r w:rsidRPr="00F74B78">
        <w:rPr>
          <w:rFonts w:ascii="KaiTi" w:eastAsia="KaiTi" w:hAnsi="KaiTi" w:hint="eastAsia"/>
          <w:iCs/>
          <w:szCs w:val="21"/>
        </w:rPr>
        <w:t>月举行的产权组织大会第四十届会议的要求（见文件</w:t>
      </w:r>
      <w:r w:rsidRPr="00F74B78">
        <w:rPr>
          <w:rFonts w:ascii="KaiTi" w:eastAsia="KaiTi" w:hAnsi="KaiTi"/>
          <w:iCs/>
          <w:szCs w:val="21"/>
        </w:rPr>
        <w:t>WO/GA/40/19</w:t>
      </w:r>
      <w:r w:rsidRPr="00F74B78">
        <w:rPr>
          <w:rFonts w:ascii="KaiTi" w:eastAsia="KaiTi" w:hAnsi="KaiTi" w:hint="eastAsia"/>
          <w:iCs/>
          <w:szCs w:val="21"/>
        </w:rPr>
        <w:t>第</w:t>
      </w:r>
      <w:r w:rsidRPr="00F74B78">
        <w:rPr>
          <w:rFonts w:ascii="KaiTi" w:eastAsia="KaiTi" w:hAnsi="KaiTi"/>
          <w:iCs/>
          <w:szCs w:val="21"/>
        </w:rPr>
        <w:t>190</w:t>
      </w:r>
      <w:r w:rsidRPr="00F74B78">
        <w:rPr>
          <w:rFonts w:ascii="KaiTi" w:eastAsia="KaiTi" w:hAnsi="KaiTi" w:hint="eastAsia"/>
          <w:iCs/>
          <w:szCs w:val="21"/>
        </w:rPr>
        <w:t>段），本文件将成为提交给</w:t>
      </w:r>
      <w:r w:rsidRPr="00F74B78">
        <w:rPr>
          <w:rFonts w:ascii="KaiTi" w:eastAsia="KaiTi" w:hAnsi="KaiTi"/>
          <w:iCs/>
          <w:szCs w:val="21"/>
        </w:rPr>
        <w:t>202</w:t>
      </w:r>
      <w:r w:rsidRPr="00F74B78">
        <w:rPr>
          <w:rFonts w:ascii="KaiTi" w:eastAsia="KaiTi" w:hAnsi="KaiTi" w:hint="eastAsia"/>
          <w:iCs/>
          <w:szCs w:val="21"/>
        </w:rPr>
        <w:t>5年产权组织大会的相关报告的基础。</w:t>
      </w:r>
    </w:p>
    <w:p w14:paraId="19600A8A" w14:textId="77777777" w:rsidR="00A57DDF" w:rsidRPr="00F74B78" w:rsidRDefault="00A57DDF" w:rsidP="004C5CC6">
      <w:pPr>
        <w:pStyle w:val="Endofdocument"/>
        <w:spacing w:before="720" w:afterLines="50" w:after="120" w:line="340" w:lineRule="atLeast"/>
        <w:rPr>
          <w:rFonts w:ascii="SimSun" w:hAnsi="SimSun"/>
        </w:rPr>
      </w:pPr>
      <w:r w:rsidRPr="00F74B78">
        <w:rPr>
          <w:rFonts w:ascii="KaiTi" w:eastAsia="KaiTi" w:hAnsi="KaiTi" w:hint="eastAsia"/>
          <w:iCs/>
          <w:szCs w:val="21"/>
        </w:rPr>
        <w:t>[</w:t>
      </w:r>
      <w:proofErr w:type="spellStart"/>
      <w:r w:rsidRPr="00F74B78">
        <w:rPr>
          <w:rFonts w:ascii="KaiTi" w:eastAsia="KaiTi" w:hAnsi="KaiTi" w:hint="eastAsia"/>
          <w:iCs/>
          <w:szCs w:val="21"/>
        </w:rPr>
        <w:t>文件完</w:t>
      </w:r>
      <w:proofErr w:type="spellEnd"/>
      <w:r w:rsidRPr="00F74B78">
        <w:rPr>
          <w:rFonts w:ascii="KaiTi" w:eastAsia="KaiTi" w:hAnsi="KaiTi" w:hint="eastAsia"/>
          <w:iCs/>
          <w:szCs w:val="21"/>
        </w:rPr>
        <w:t>]</w:t>
      </w:r>
    </w:p>
    <w:sectPr w:rsidR="00A57DDF" w:rsidRPr="00F74B78" w:rsidSect="00A57DDF">
      <w:headerReference w:type="default" r:id="rId14"/>
      <w:headerReference w:type="first" r:id="rId15"/>
      <w:endnotePr>
        <w:numFmt w:val="decimal"/>
      </w:endnotePr>
      <w:pgSz w:w="11907" w:h="16840" w:code="9"/>
      <w:pgMar w:top="562" w:right="1138" w:bottom="100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CDF4" w14:textId="77777777" w:rsidR="009B253C" w:rsidRDefault="009B253C">
      <w:r>
        <w:separator/>
      </w:r>
    </w:p>
  </w:endnote>
  <w:endnote w:type="continuationSeparator" w:id="0">
    <w:p w14:paraId="06F1DECA" w14:textId="77777777" w:rsidR="009B253C" w:rsidRDefault="009B253C" w:rsidP="003B38C1">
      <w:r>
        <w:separator/>
      </w:r>
    </w:p>
    <w:p w14:paraId="07FC8EAE" w14:textId="77777777" w:rsidR="009B253C" w:rsidRPr="003B38C1" w:rsidRDefault="009B253C" w:rsidP="003B38C1">
      <w:pPr>
        <w:spacing w:after="60"/>
        <w:rPr>
          <w:sz w:val="17"/>
        </w:rPr>
      </w:pPr>
      <w:r>
        <w:rPr>
          <w:sz w:val="17"/>
        </w:rPr>
        <w:t>[Endnote continued from previous page]</w:t>
      </w:r>
    </w:p>
  </w:endnote>
  <w:endnote w:type="continuationNotice" w:id="1">
    <w:p w14:paraId="63305B39" w14:textId="77777777" w:rsidR="009B253C" w:rsidRPr="003B38C1" w:rsidRDefault="009B253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43D1" w14:textId="77777777" w:rsidR="009B253C" w:rsidRPr="00EB159D" w:rsidRDefault="009B253C" w:rsidP="00EB159D">
      <w:pPr>
        <w:pStyle w:val="Footer"/>
      </w:pPr>
      <w:r>
        <w:separator/>
      </w:r>
    </w:p>
  </w:footnote>
  <w:footnote w:type="continuationSeparator" w:id="0">
    <w:p w14:paraId="7BC3BFC4" w14:textId="77777777" w:rsidR="009B253C" w:rsidRDefault="009B253C" w:rsidP="008B60B2">
      <w:r>
        <w:separator/>
      </w:r>
    </w:p>
    <w:p w14:paraId="1FA0BF7C" w14:textId="77777777" w:rsidR="009B253C" w:rsidRPr="00ED77FB" w:rsidRDefault="009B253C" w:rsidP="008B60B2">
      <w:pPr>
        <w:spacing w:after="60"/>
        <w:rPr>
          <w:sz w:val="17"/>
          <w:szCs w:val="17"/>
        </w:rPr>
      </w:pPr>
      <w:r w:rsidRPr="00ED77FB">
        <w:rPr>
          <w:sz w:val="17"/>
          <w:szCs w:val="17"/>
        </w:rPr>
        <w:t>[Footnote continued from previous page]</w:t>
      </w:r>
    </w:p>
  </w:footnote>
  <w:footnote w:type="continuationNotice" w:id="1">
    <w:p w14:paraId="2171D6CC" w14:textId="77777777" w:rsidR="009B253C" w:rsidRPr="00ED77FB" w:rsidRDefault="009B253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5AAD552" w14:textId="51068A86" w:rsidR="00CF2B8E" w:rsidRPr="002E0705" w:rsidRDefault="00CF2B8E" w:rsidP="00140A81">
      <w:pPr>
        <w:pStyle w:val="FootnoteText"/>
        <w:jc w:val="both"/>
        <w:rPr>
          <w:rFonts w:ascii="SimSun" w:hAnsi="SimSun"/>
        </w:rPr>
      </w:pPr>
      <w:r w:rsidRPr="002E0705">
        <w:rPr>
          <w:rStyle w:val="FootnoteReference"/>
          <w:rFonts w:ascii="SimSun" w:hAnsi="SimSun"/>
        </w:rPr>
        <w:footnoteRef/>
      </w:r>
      <w:r>
        <w:rPr>
          <w:rFonts w:ascii="SimSun" w:hAnsi="SimSun"/>
        </w:rPr>
        <w:t xml:space="preserve"> </w:t>
      </w:r>
      <w:r>
        <w:rPr>
          <w:rFonts w:ascii="SimSun" w:hAnsi="SimSun"/>
        </w:rPr>
        <w:tab/>
      </w:r>
      <w:r w:rsidRPr="00D0064E">
        <w:rPr>
          <w:rFonts w:ascii="SimSun" w:hAnsi="SimSun" w:hint="eastAsia"/>
        </w:rPr>
        <w:t>例如全球标识符项目、</w:t>
      </w:r>
      <w:r>
        <w:rPr>
          <w:rFonts w:ascii="SimSun" w:hAnsi="SimSun" w:hint="eastAsia"/>
        </w:rPr>
        <w:t>API统一</w:t>
      </w:r>
      <w:r w:rsidRPr="00D0064E">
        <w:rPr>
          <w:rFonts w:ascii="SimSun" w:hAnsi="SimSun" w:hint="eastAsia"/>
        </w:rPr>
        <w:t>目录项目，</w:t>
      </w:r>
      <w:r>
        <w:rPr>
          <w:rFonts w:ascii="SimSun" w:hAnsi="SimSun" w:hint="eastAsia"/>
        </w:rPr>
        <w:t>以及</w:t>
      </w:r>
      <w:r w:rsidR="00DF3B6B" w:rsidRPr="00D0064E">
        <w:rPr>
          <w:rFonts w:ascii="SimSun" w:hAnsi="SimSun" w:hint="eastAsia"/>
        </w:rPr>
        <w:t>考虑PCT的最低</w:t>
      </w:r>
      <w:r w:rsidR="00DF3B6B">
        <w:rPr>
          <w:rFonts w:ascii="SimSun" w:hAnsi="SimSun" w:hint="eastAsia"/>
        </w:rPr>
        <w:t>限度文献提供符合</w:t>
      </w:r>
      <w:r>
        <w:rPr>
          <w:rFonts w:ascii="SimSun" w:hAnsi="SimSun" w:hint="eastAsia"/>
        </w:rPr>
        <w:t>产权组织标准</w:t>
      </w:r>
      <w:r w:rsidRPr="00D0064E">
        <w:rPr>
          <w:rFonts w:ascii="SimSun" w:hAnsi="SimSun" w:hint="eastAsia"/>
        </w:rPr>
        <w:t>ST.37</w:t>
      </w:r>
      <w:r w:rsidR="00FA1D7C">
        <w:rPr>
          <w:rFonts w:ascii="SimSun" w:hAnsi="SimSun" w:hint="eastAsia"/>
        </w:rPr>
        <w:t>格式</w:t>
      </w:r>
      <w:r w:rsidR="00DF3B6B">
        <w:rPr>
          <w:rFonts w:ascii="SimSun" w:hAnsi="SimSun" w:hint="eastAsia"/>
        </w:rPr>
        <w:t>的</w:t>
      </w:r>
      <w:r w:rsidRPr="00D0064E">
        <w:rPr>
          <w:rFonts w:ascii="SimSun" w:hAnsi="SimSun" w:hint="eastAsia"/>
        </w:rPr>
        <w:t>专利</w:t>
      </w:r>
      <w:r>
        <w:rPr>
          <w:rFonts w:ascii="SimSun" w:hAnsi="SimSun" w:hint="eastAsia"/>
        </w:rPr>
        <w:t>权威文档。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D92C" w14:textId="77777777" w:rsidR="005A2D03" w:rsidRPr="005A2D03" w:rsidRDefault="005A2D03" w:rsidP="005A2D03">
    <w:pPr>
      <w:jc w:val="right"/>
      <w:rPr>
        <w:rFonts w:ascii="SimSun" w:hAnsi="SimSun"/>
        <w:caps/>
      </w:rPr>
    </w:pPr>
    <w:bookmarkStart w:id="5" w:name="Code2"/>
    <w:r w:rsidRPr="005A2D03">
      <w:rPr>
        <w:rFonts w:ascii="SimSun" w:hAnsi="SimSun"/>
        <w:caps/>
      </w:rPr>
      <w:t>WO/GA/58/9</w:t>
    </w:r>
  </w:p>
  <w:bookmarkEnd w:id="5"/>
  <w:p w14:paraId="13795583" w14:textId="02A6D0E6" w:rsidR="005A2D03" w:rsidRPr="005A2D03" w:rsidRDefault="005A2D03" w:rsidP="005A2D03">
    <w:pPr>
      <w:pStyle w:val="Header"/>
      <w:spacing w:afterLines="100" w:after="240"/>
      <w:jc w:val="right"/>
      <w:rPr>
        <w:rFonts w:ascii="SimSun" w:hAnsi="SimSun"/>
      </w:rPr>
    </w:pPr>
    <w:r w:rsidRPr="005A2D03">
      <w:rPr>
        <w:rFonts w:ascii="SimSun" w:hAnsi="SimSun" w:hint="eastAsia"/>
      </w:rPr>
      <w:t>第</w:t>
    </w:r>
    <w:r w:rsidRPr="005A2D03">
      <w:rPr>
        <w:rFonts w:ascii="SimSun" w:hAnsi="SimSun"/>
      </w:rPr>
      <w:fldChar w:fldCharType="begin"/>
    </w:r>
    <w:r w:rsidRPr="005A2D03">
      <w:rPr>
        <w:rFonts w:ascii="SimSun" w:hAnsi="SimSun"/>
      </w:rPr>
      <w:instrText xml:space="preserve"> PAGE   \* MERGEFORMAT </w:instrText>
    </w:r>
    <w:r w:rsidRPr="005A2D03">
      <w:rPr>
        <w:rFonts w:ascii="SimSun" w:hAnsi="SimSun"/>
      </w:rPr>
      <w:fldChar w:fldCharType="separate"/>
    </w:r>
    <w:r w:rsidRPr="005A2D03">
      <w:rPr>
        <w:rFonts w:ascii="SimSun" w:hAnsi="SimSun"/>
        <w:noProof/>
      </w:rPr>
      <w:t>1</w:t>
    </w:r>
    <w:r w:rsidRPr="005A2D03">
      <w:rPr>
        <w:rFonts w:ascii="SimSun" w:hAnsi="SimSun"/>
        <w:noProof/>
      </w:rPr>
      <w:fldChar w:fldCharType="end"/>
    </w:r>
    <w:r w:rsidRPr="005A2D03">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E78" w14:textId="77777777" w:rsidR="00DB0537" w:rsidRPr="005A2D03" w:rsidRDefault="00DB0537" w:rsidP="005A2D03">
    <w:pPr>
      <w:jc w:val="right"/>
      <w:rPr>
        <w:rFonts w:ascii="SimSun" w:hAnsi="SimSun"/>
        <w:caps/>
      </w:rPr>
    </w:pPr>
    <w:r w:rsidRPr="005A2D03">
      <w:rPr>
        <w:rFonts w:ascii="SimSun" w:hAnsi="SimSun"/>
        <w:caps/>
      </w:rPr>
      <w:t>WO/GA/58/9</w:t>
    </w:r>
  </w:p>
  <w:p w14:paraId="00C6DCE7" w14:textId="77777777" w:rsidR="00DB0537" w:rsidRPr="005A2D03" w:rsidRDefault="00DB0537" w:rsidP="005A2D03">
    <w:pPr>
      <w:pStyle w:val="Header"/>
      <w:spacing w:afterLines="100" w:after="240"/>
      <w:jc w:val="right"/>
      <w:rPr>
        <w:rFonts w:ascii="SimSun" w:hAnsi="SimSun"/>
      </w:rPr>
    </w:pPr>
    <w:r w:rsidRPr="005A2D03">
      <w:rPr>
        <w:rFonts w:ascii="SimSun" w:hAnsi="SimSun" w:hint="eastAsia"/>
      </w:rPr>
      <w:t>附件第</w:t>
    </w:r>
    <w:r w:rsidRPr="005A2D03">
      <w:rPr>
        <w:rFonts w:ascii="SimSun" w:hAnsi="SimSun"/>
      </w:rPr>
      <w:fldChar w:fldCharType="begin"/>
    </w:r>
    <w:r w:rsidRPr="005A2D03">
      <w:rPr>
        <w:rFonts w:ascii="SimSun" w:hAnsi="SimSun"/>
      </w:rPr>
      <w:instrText xml:space="preserve"> PAGE   \* MERGEFORMAT </w:instrText>
    </w:r>
    <w:r w:rsidRPr="005A2D03">
      <w:rPr>
        <w:rFonts w:ascii="SimSun" w:hAnsi="SimSun"/>
      </w:rPr>
      <w:fldChar w:fldCharType="separate"/>
    </w:r>
    <w:r w:rsidRPr="005A2D03">
      <w:rPr>
        <w:rFonts w:ascii="SimSun" w:hAnsi="SimSun"/>
        <w:noProof/>
      </w:rPr>
      <w:t>1</w:t>
    </w:r>
    <w:r w:rsidRPr="005A2D03">
      <w:rPr>
        <w:rFonts w:ascii="SimSun" w:hAnsi="SimSun"/>
        <w:noProof/>
      </w:rPr>
      <w:fldChar w:fldCharType="end"/>
    </w:r>
    <w:r w:rsidRPr="005A2D03">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F6F2" w14:textId="77777777" w:rsidR="00DB0537" w:rsidRPr="00C0695F" w:rsidRDefault="00DB0537" w:rsidP="005A2D03">
    <w:pPr>
      <w:jc w:val="right"/>
      <w:rPr>
        <w:rFonts w:ascii="SimSun" w:hAnsi="SimSun"/>
        <w:caps/>
      </w:rPr>
    </w:pPr>
    <w:r w:rsidRPr="00C0695F">
      <w:rPr>
        <w:rFonts w:ascii="SimSun" w:hAnsi="SimSun"/>
        <w:caps/>
      </w:rPr>
      <w:t>WO/GA/58/9</w:t>
    </w:r>
  </w:p>
  <w:p w14:paraId="6A427AC7" w14:textId="77777777" w:rsidR="00DB0537" w:rsidRDefault="00DB0537" w:rsidP="005A2D03">
    <w:pPr>
      <w:pStyle w:val="Header"/>
      <w:spacing w:afterLines="100" w:after="240"/>
      <w:jc w:val="right"/>
    </w:pPr>
    <w:r>
      <w:rPr>
        <w:rFonts w:hint="eastAsia"/>
      </w:rPr>
      <w:t>附　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7958" w14:textId="77777777" w:rsidR="00FA1D7C" w:rsidRPr="00F74B78" w:rsidRDefault="00FA1D7C" w:rsidP="00477D6B">
    <w:pPr>
      <w:jc w:val="right"/>
      <w:rPr>
        <w:rFonts w:ascii="SimSun" w:hAnsi="SimSun"/>
        <w:caps/>
      </w:rPr>
    </w:pPr>
    <w:r w:rsidRPr="00F74B78">
      <w:rPr>
        <w:rFonts w:ascii="SimSun" w:hAnsi="SimSun"/>
        <w:caps/>
      </w:rPr>
      <w:t>CWS/1</w:t>
    </w:r>
    <w:r w:rsidRPr="00F74B78">
      <w:rPr>
        <w:rFonts w:ascii="SimSun" w:hAnsi="SimSun" w:hint="eastAsia"/>
        <w:caps/>
      </w:rPr>
      <w:t>2</w:t>
    </w:r>
    <w:r w:rsidRPr="00F74B78">
      <w:rPr>
        <w:rFonts w:ascii="SimSun" w:hAnsi="SimSun"/>
        <w:caps/>
      </w:rPr>
      <w:t>/</w:t>
    </w:r>
    <w:r w:rsidRPr="00F74B78">
      <w:rPr>
        <w:rFonts w:ascii="SimSun" w:hAnsi="SimSun" w:hint="eastAsia"/>
        <w:caps/>
      </w:rPr>
      <w:t>25</w:t>
    </w:r>
  </w:p>
  <w:p w14:paraId="351ECAE2" w14:textId="77777777" w:rsidR="00FA1D7C" w:rsidRPr="00F74B78" w:rsidRDefault="00FA1D7C" w:rsidP="00AD6A9B">
    <w:pPr>
      <w:spacing w:afterLines="100" w:after="240"/>
      <w:jc w:val="right"/>
      <w:rPr>
        <w:rFonts w:ascii="SimSun" w:hAnsi="SimSun"/>
      </w:rPr>
    </w:pPr>
    <w:r w:rsidRPr="00F74B78">
      <w:rPr>
        <w:rFonts w:ascii="SimSun" w:hAnsi="SimSun" w:hint="eastAsia"/>
      </w:rPr>
      <w:t>第</w:t>
    </w:r>
    <w:r w:rsidRPr="00F74B78">
      <w:rPr>
        <w:rFonts w:ascii="SimSun" w:hAnsi="SimSun"/>
      </w:rPr>
      <w:fldChar w:fldCharType="begin"/>
    </w:r>
    <w:r w:rsidRPr="00F74B78">
      <w:rPr>
        <w:rFonts w:ascii="SimSun" w:hAnsi="SimSun"/>
      </w:rPr>
      <w:instrText xml:space="preserve"> PAGE  \* MERGEFORMAT </w:instrText>
    </w:r>
    <w:r w:rsidRPr="00F74B78">
      <w:rPr>
        <w:rFonts w:ascii="SimSun" w:hAnsi="SimSun"/>
      </w:rPr>
      <w:fldChar w:fldCharType="separate"/>
    </w:r>
    <w:r w:rsidRPr="00F74B78">
      <w:rPr>
        <w:rFonts w:ascii="SimSun" w:hAnsi="SimSun"/>
        <w:noProof/>
      </w:rPr>
      <w:t>2</w:t>
    </w:r>
    <w:r w:rsidRPr="00F74B78">
      <w:rPr>
        <w:rFonts w:ascii="SimSun" w:hAnsi="SimSun"/>
      </w:rPr>
      <w:fldChar w:fldCharType="end"/>
    </w:r>
    <w:r w:rsidRPr="00F74B78">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0586" w14:textId="0A2C9D21" w:rsidR="00A57DDF" w:rsidRPr="00A57DDF" w:rsidRDefault="00A57DDF" w:rsidP="00A57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2912B2"/>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8EE2AEC"/>
    <w:multiLevelType w:val="hybridMultilevel"/>
    <w:tmpl w:val="A9E67B60"/>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6665D"/>
    <w:multiLevelType w:val="multilevel"/>
    <w:tmpl w:val="13760C9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D30A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E427DD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B56495"/>
    <w:multiLevelType w:val="hybridMultilevel"/>
    <w:tmpl w:val="4BEC0EFC"/>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5B62E9"/>
    <w:multiLevelType w:val="multilevel"/>
    <w:tmpl w:val="243425B0"/>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CF36E07"/>
    <w:multiLevelType w:val="hybridMultilevel"/>
    <w:tmpl w:val="809E9664"/>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965239"/>
    <w:multiLevelType w:val="multilevel"/>
    <w:tmpl w:val="4D3A29BC"/>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300D26"/>
    <w:multiLevelType w:val="multilevel"/>
    <w:tmpl w:val="89FE363A"/>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227F83"/>
    <w:multiLevelType w:val="hybridMultilevel"/>
    <w:tmpl w:val="3B4ACE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B0810DE"/>
    <w:multiLevelType w:val="hybridMultilevel"/>
    <w:tmpl w:val="8B8E526E"/>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D46F4B"/>
    <w:multiLevelType w:val="hybridMultilevel"/>
    <w:tmpl w:val="75C6C4CC"/>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CA67B45"/>
    <w:multiLevelType w:val="hybridMultilevel"/>
    <w:tmpl w:val="B2C24CE4"/>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68016B"/>
    <w:multiLevelType w:val="hybridMultilevel"/>
    <w:tmpl w:val="6D62EC1E"/>
    <w:lvl w:ilvl="0" w:tplc="0409001B">
      <w:start w:val="1"/>
      <w:numFmt w:val="lowerRoman"/>
      <w:lvlText w:val="%1."/>
      <w:lvlJc w:val="right"/>
      <w:pPr>
        <w:ind w:left="1352" w:hanging="360"/>
      </w:pPr>
      <w:rPr>
        <w:rFonts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num w:numId="1" w16cid:durableId="433747727">
    <w:abstractNumId w:val="12"/>
  </w:num>
  <w:num w:numId="2" w16cid:durableId="2026906294">
    <w:abstractNumId w:val="0"/>
  </w:num>
  <w:num w:numId="3" w16cid:durableId="887109204">
    <w:abstractNumId w:val="6"/>
  </w:num>
  <w:num w:numId="4" w16cid:durableId="1677032292">
    <w:abstractNumId w:val="11"/>
  </w:num>
  <w:num w:numId="5" w16cid:durableId="792015452">
    <w:abstractNumId w:val="4"/>
  </w:num>
  <w:num w:numId="6" w16cid:durableId="1234780005">
    <w:abstractNumId w:val="1"/>
  </w:num>
  <w:num w:numId="7" w16cid:durableId="1443845451">
    <w:abstractNumId w:val="5"/>
  </w:num>
  <w:num w:numId="8" w16cid:durableId="1625110229">
    <w:abstractNumId w:val="13"/>
  </w:num>
  <w:num w:numId="9" w16cid:durableId="1331983155">
    <w:abstractNumId w:val="3"/>
  </w:num>
  <w:num w:numId="10" w16cid:durableId="407001770">
    <w:abstractNumId w:val="8"/>
  </w:num>
  <w:num w:numId="11" w16cid:durableId="125589788">
    <w:abstractNumId w:val="17"/>
  </w:num>
  <w:num w:numId="12" w16cid:durableId="291908526">
    <w:abstractNumId w:val="9"/>
  </w:num>
  <w:num w:numId="13" w16cid:durableId="431820091">
    <w:abstractNumId w:val="15"/>
  </w:num>
  <w:num w:numId="14" w16cid:durableId="467668068">
    <w:abstractNumId w:val="2"/>
  </w:num>
  <w:num w:numId="15" w16cid:durableId="479688374">
    <w:abstractNumId w:val="18"/>
  </w:num>
  <w:num w:numId="16" w16cid:durableId="1633748432">
    <w:abstractNumId w:val="10"/>
  </w:num>
  <w:num w:numId="17" w16cid:durableId="589122787">
    <w:abstractNumId w:val="14"/>
  </w:num>
  <w:num w:numId="18" w16cid:durableId="1366979891">
    <w:abstractNumId w:val="16"/>
  </w:num>
  <w:num w:numId="19" w16cid:durableId="785125525">
    <w:abstractNumId w:val="0"/>
  </w:num>
  <w:num w:numId="20" w16cid:durableId="1919485777">
    <w:abstractNumId w:val="0"/>
  </w:num>
  <w:num w:numId="21" w16cid:durableId="1673990505">
    <w:abstractNumId w:val="0"/>
  </w:num>
  <w:num w:numId="22" w16cid:durableId="1712069230">
    <w:abstractNumId w:val="0"/>
  </w:num>
  <w:num w:numId="23" w16cid:durableId="572273137">
    <w:abstractNumId w:val="0"/>
  </w:num>
  <w:num w:numId="24" w16cid:durableId="1604340164">
    <w:abstractNumId w:val="0"/>
  </w:num>
  <w:num w:numId="25" w16cid:durableId="356200537">
    <w:abstractNumId w:val="0"/>
  </w:num>
  <w:num w:numId="26" w16cid:durableId="1547596135">
    <w:abstractNumId w:val="0"/>
  </w:num>
  <w:num w:numId="27" w16cid:durableId="867107467">
    <w:abstractNumId w:val="0"/>
  </w:num>
  <w:num w:numId="28" w16cid:durableId="1261987534">
    <w:abstractNumId w:val="0"/>
  </w:num>
  <w:num w:numId="29" w16cid:durableId="241916295">
    <w:abstractNumId w:val="0"/>
  </w:num>
  <w:num w:numId="30" w16cid:durableId="1865947619">
    <w:abstractNumId w:val="0"/>
  </w:num>
  <w:num w:numId="31" w16cid:durableId="637301101">
    <w:abstractNumId w:val="0"/>
  </w:num>
  <w:num w:numId="32" w16cid:durableId="920985236">
    <w:abstractNumId w:val="0"/>
  </w:num>
  <w:num w:numId="33" w16cid:durableId="1972905962">
    <w:abstractNumId w:val="0"/>
  </w:num>
  <w:num w:numId="34" w16cid:durableId="1010136435">
    <w:abstractNumId w:val="0"/>
  </w:num>
  <w:num w:numId="35" w16cid:durableId="1366297922">
    <w:abstractNumId w:val="0"/>
  </w:num>
  <w:num w:numId="36" w16cid:durableId="487017847">
    <w:abstractNumId w:val="0"/>
  </w:num>
  <w:num w:numId="37" w16cid:durableId="2063747455">
    <w:abstractNumId w:val="0"/>
  </w:num>
  <w:num w:numId="38" w16cid:durableId="1437868160">
    <w:abstractNumId w:val="0"/>
  </w:num>
  <w:num w:numId="39" w16cid:durableId="319505487">
    <w:abstractNumId w:val="0"/>
  </w:num>
  <w:num w:numId="40" w16cid:durableId="176209430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CF"/>
    <w:rsid w:val="00011E6B"/>
    <w:rsid w:val="00012158"/>
    <w:rsid w:val="00020095"/>
    <w:rsid w:val="000206C8"/>
    <w:rsid w:val="00021BC3"/>
    <w:rsid w:val="000244A2"/>
    <w:rsid w:val="00024793"/>
    <w:rsid w:val="00025817"/>
    <w:rsid w:val="000260DD"/>
    <w:rsid w:val="00026941"/>
    <w:rsid w:val="00027203"/>
    <w:rsid w:val="0002774A"/>
    <w:rsid w:val="00032CDA"/>
    <w:rsid w:val="00034F63"/>
    <w:rsid w:val="00036FFD"/>
    <w:rsid w:val="00037935"/>
    <w:rsid w:val="0004399A"/>
    <w:rsid w:val="00043CAA"/>
    <w:rsid w:val="00045896"/>
    <w:rsid w:val="00054698"/>
    <w:rsid w:val="000657A5"/>
    <w:rsid w:val="000678F7"/>
    <w:rsid w:val="00074B8A"/>
    <w:rsid w:val="00075432"/>
    <w:rsid w:val="0007595F"/>
    <w:rsid w:val="000765C4"/>
    <w:rsid w:val="000813F1"/>
    <w:rsid w:val="0008614D"/>
    <w:rsid w:val="000873F7"/>
    <w:rsid w:val="0009324A"/>
    <w:rsid w:val="000968ED"/>
    <w:rsid w:val="000A0F2D"/>
    <w:rsid w:val="000A7DA3"/>
    <w:rsid w:val="000B1672"/>
    <w:rsid w:val="000B3B32"/>
    <w:rsid w:val="000C117A"/>
    <w:rsid w:val="000C3FA4"/>
    <w:rsid w:val="000C63FF"/>
    <w:rsid w:val="000C6BE6"/>
    <w:rsid w:val="000D338B"/>
    <w:rsid w:val="000E502D"/>
    <w:rsid w:val="000E5CA3"/>
    <w:rsid w:val="000E6FDE"/>
    <w:rsid w:val="000F017A"/>
    <w:rsid w:val="000F5E56"/>
    <w:rsid w:val="000F74AD"/>
    <w:rsid w:val="00100020"/>
    <w:rsid w:val="001023DE"/>
    <w:rsid w:val="0010331B"/>
    <w:rsid w:val="00105F3C"/>
    <w:rsid w:val="00110B4E"/>
    <w:rsid w:val="0011166A"/>
    <w:rsid w:val="00111B94"/>
    <w:rsid w:val="00116977"/>
    <w:rsid w:val="00116A4A"/>
    <w:rsid w:val="00121284"/>
    <w:rsid w:val="001245FA"/>
    <w:rsid w:val="00130EA5"/>
    <w:rsid w:val="001338FB"/>
    <w:rsid w:val="001341C3"/>
    <w:rsid w:val="001362EE"/>
    <w:rsid w:val="00137C26"/>
    <w:rsid w:val="00140A81"/>
    <w:rsid w:val="001420EA"/>
    <w:rsid w:val="00146D12"/>
    <w:rsid w:val="001525E3"/>
    <w:rsid w:val="00155A1A"/>
    <w:rsid w:val="00156693"/>
    <w:rsid w:val="00156A42"/>
    <w:rsid w:val="0016058C"/>
    <w:rsid w:val="001607F7"/>
    <w:rsid w:val="001647D5"/>
    <w:rsid w:val="00182284"/>
    <w:rsid w:val="001832A6"/>
    <w:rsid w:val="00183699"/>
    <w:rsid w:val="00191A6B"/>
    <w:rsid w:val="00192F29"/>
    <w:rsid w:val="00193DC6"/>
    <w:rsid w:val="001966F9"/>
    <w:rsid w:val="00196973"/>
    <w:rsid w:val="001A09D2"/>
    <w:rsid w:val="001A77D6"/>
    <w:rsid w:val="001B2962"/>
    <w:rsid w:val="001C217D"/>
    <w:rsid w:val="001C3A53"/>
    <w:rsid w:val="001D7CEE"/>
    <w:rsid w:val="001E0703"/>
    <w:rsid w:val="001E2EC7"/>
    <w:rsid w:val="001E34DD"/>
    <w:rsid w:val="001E4E00"/>
    <w:rsid w:val="001E515E"/>
    <w:rsid w:val="001F1665"/>
    <w:rsid w:val="00203BA1"/>
    <w:rsid w:val="00203CD1"/>
    <w:rsid w:val="002058C5"/>
    <w:rsid w:val="002101B8"/>
    <w:rsid w:val="0021217E"/>
    <w:rsid w:val="0021482B"/>
    <w:rsid w:val="00214A27"/>
    <w:rsid w:val="0022167B"/>
    <w:rsid w:val="00231BB0"/>
    <w:rsid w:val="0023267A"/>
    <w:rsid w:val="00233B65"/>
    <w:rsid w:val="00233DBB"/>
    <w:rsid w:val="002348B6"/>
    <w:rsid w:val="002372BC"/>
    <w:rsid w:val="00241610"/>
    <w:rsid w:val="00251B68"/>
    <w:rsid w:val="002524A7"/>
    <w:rsid w:val="0025345D"/>
    <w:rsid w:val="00256318"/>
    <w:rsid w:val="0026058F"/>
    <w:rsid w:val="002634C4"/>
    <w:rsid w:val="002654DD"/>
    <w:rsid w:val="0026645C"/>
    <w:rsid w:val="00270CA1"/>
    <w:rsid w:val="00282ECF"/>
    <w:rsid w:val="00282FA5"/>
    <w:rsid w:val="002868DA"/>
    <w:rsid w:val="00291D7A"/>
    <w:rsid w:val="002928D3"/>
    <w:rsid w:val="00293836"/>
    <w:rsid w:val="002A591E"/>
    <w:rsid w:val="002B2561"/>
    <w:rsid w:val="002B7818"/>
    <w:rsid w:val="002C16AF"/>
    <w:rsid w:val="002C56CE"/>
    <w:rsid w:val="002D31CF"/>
    <w:rsid w:val="002D3E22"/>
    <w:rsid w:val="002D59D8"/>
    <w:rsid w:val="002E3F4B"/>
    <w:rsid w:val="002E4E80"/>
    <w:rsid w:val="002E52AF"/>
    <w:rsid w:val="002E52FA"/>
    <w:rsid w:val="002E7ED9"/>
    <w:rsid w:val="002F1FE6"/>
    <w:rsid w:val="002F40CE"/>
    <w:rsid w:val="002F4E68"/>
    <w:rsid w:val="002F6762"/>
    <w:rsid w:val="0030177F"/>
    <w:rsid w:val="00301A3F"/>
    <w:rsid w:val="00302138"/>
    <w:rsid w:val="00302B6D"/>
    <w:rsid w:val="00306C83"/>
    <w:rsid w:val="00307C1C"/>
    <w:rsid w:val="0031281D"/>
    <w:rsid w:val="00312F7F"/>
    <w:rsid w:val="003143D2"/>
    <w:rsid w:val="00314531"/>
    <w:rsid w:val="003162BF"/>
    <w:rsid w:val="003173A1"/>
    <w:rsid w:val="003178BA"/>
    <w:rsid w:val="003224B8"/>
    <w:rsid w:val="00326D81"/>
    <w:rsid w:val="003317B3"/>
    <w:rsid w:val="00332AAE"/>
    <w:rsid w:val="00333CF6"/>
    <w:rsid w:val="00334984"/>
    <w:rsid w:val="0034707D"/>
    <w:rsid w:val="00350AE2"/>
    <w:rsid w:val="00351DEF"/>
    <w:rsid w:val="00356998"/>
    <w:rsid w:val="00356A83"/>
    <w:rsid w:val="00361450"/>
    <w:rsid w:val="00365FFC"/>
    <w:rsid w:val="003673CF"/>
    <w:rsid w:val="003703B9"/>
    <w:rsid w:val="00370723"/>
    <w:rsid w:val="0037195A"/>
    <w:rsid w:val="00371C11"/>
    <w:rsid w:val="003743F0"/>
    <w:rsid w:val="00374B6F"/>
    <w:rsid w:val="00381CA0"/>
    <w:rsid w:val="0038241A"/>
    <w:rsid w:val="003845C1"/>
    <w:rsid w:val="003863C4"/>
    <w:rsid w:val="00387B39"/>
    <w:rsid w:val="00392F5C"/>
    <w:rsid w:val="0039399B"/>
    <w:rsid w:val="0039440D"/>
    <w:rsid w:val="003A1126"/>
    <w:rsid w:val="003A4B8D"/>
    <w:rsid w:val="003A5EFD"/>
    <w:rsid w:val="003A69CC"/>
    <w:rsid w:val="003A6F89"/>
    <w:rsid w:val="003B0CF9"/>
    <w:rsid w:val="003B28D5"/>
    <w:rsid w:val="003B2E45"/>
    <w:rsid w:val="003B38C1"/>
    <w:rsid w:val="003B56B2"/>
    <w:rsid w:val="003C0EFB"/>
    <w:rsid w:val="003C6591"/>
    <w:rsid w:val="003D1256"/>
    <w:rsid w:val="003D2030"/>
    <w:rsid w:val="003D3511"/>
    <w:rsid w:val="003D3AA9"/>
    <w:rsid w:val="003D57B0"/>
    <w:rsid w:val="003D5EC7"/>
    <w:rsid w:val="003D64F1"/>
    <w:rsid w:val="003E0CDA"/>
    <w:rsid w:val="003E216B"/>
    <w:rsid w:val="003E59FD"/>
    <w:rsid w:val="003E5EDC"/>
    <w:rsid w:val="003E7C09"/>
    <w:rsid w:val="003F1AA7"/>
    <w:rsid w:val="003F5EB6"/>
    <w:rsid w:val="003F6114"/>
    <w:rsid w:val="00401C02"/>
    <w:rsid w:val="004041B2"/>
    <w:rsid w:val="004163EC"/>
    <w:rsid w:val="00416456"/>
    <w:rsid w:val="004176D0"/>
    <w:rsid w:val="00420A83"/>
    <w:rsid w:val="00423E3E"/>
    <w:rsid w:val="00424123"/>
    <w:rsid w:val="00427AF4"/>
    <w:rsid w:val="00427CB9"/>
    <w:rsid w:val="00430914"/>
    <w:rsid w:val="00433BA4"/>
    <w:rsid w:val="00433E22"/>
    <w:rsid w:val="004354C2"/>
    <w:rsid w:val="004359BF"/>
    <w:rsid w:val="004457BD"/>
    <w:rsid w:val="00445867"/>
    <w:rsid w:val="00447C72"/>
    <w:rsid w:val="00450A7B"/>
    <w:rsid w:val="00455033"/>
    <w:rsid w:val="00455CCA"/>
    <w:rsid w:val="004627BC"/>
    <w:rsid w:val="00464760"/>
    <w:rsid w:val="004647DA"/>
    <w:rsid w:val="004671F1"/>
    <w:rsid w:val="004738B1"/>
    <w:rsid w:val="00474062"/>
    <w:rsid w:val="0047508C"/>
    <w:rsid w:val="00476B58"/>
    <w:rsid w:val="00477D6B"/>
    <w:rsid w:val="004809DF"/>
    <w:rsid w:val="004811DD"/>
    <w:rsid w:val="00484F7D"/>
    <w:rsid w:val="00485D40"/>
    <w:rsid w:val="00487955"/>
    <w:rsid w:val="0049016B"/>
    <w:rsid w:val="004901A1"/>
    <w:rsid w:val="0049091C"/>
    <w:rsid w:val="004A08A7"/>
    <w:rsid w:val="004A132F"/>
    <w:rsid w:val="004A135F"/>
    <w:rsid w:val="004A2646"/>
    <w:rsid w:val="004A2E99"/>
    <w:rsid w:val="004A5117"/>
    <w:rsid w:val="004A7531"/>
    <w:rsid w:val="004B079A"/>
    <w:rsid w:val="004B19E1"/>
    <w:rsid w:val="004B35F9"/>
    <w:rsid w:val="004B7BE8"/>
    <w:rsid w:val="004C4C55"/>
    <w:rsid w:val="004D5F79"/>
    <w:rsid w:val="004D7E85"/>
    <w:rsid w:val="004E21FC"/>
    <w:rsid w:val="004F01A3"/>
    <w:rsid w:val="004F3CF6"/>
    <w:rsid w:val="004F600D"/>
    <w:rsid w:val="004F636E"/>
    <w:rsid w:val="004F79E0"/>
    <w:rsid w:val="005019FF"/>
    <w:rsid w:val="00501C4B"/>
    <w:rsid w:val="00504F16"/>
    <w:rsid w:val="005076E5"/>
    <w:rsid w:val="00510FD4"/>
    <w:rsid w:val="00513441"/>
    <w:rsid w:val="00516BE3"/>
    <w:rsid w:val="00523A4D"/>
    <w:rsid w:val="0052552F"/>
    <w:rsid w:val="0052772A"/>
    <w:rsid w:val="0053057A"/>
    <w:rsid w:val="005319A3"/>
    <w:rsid w:val="00537C1F"/>
    <w:rsid w:val="00543BB9"/>
    <w:rsid w:val="00544C16"/>
    <w:rsid w:val="0055181C"/>
    <w:rsid w:val="00551A1F"/>
    <w:rsid w:val="00552A0C"/>
    <w:rsid w:val="00554072"/>
    <w:rsid w:val="00554641"/>
    <w:rsid w:val="00556285"/>
    <w:rsid w:val="00556A93"/>
    <w:rsid w:val="00560A29"/>
    <w:rsid w:val="0056487E"/>
    <w:rsid w:val="00567709"/>
    <w:rsid w:val="00571768"/>
    <w:rsid w:val="0057610D"/>
    <w:rsid w:val="00576921"/>
    <w:rsid w:val="0058077B"/>
    <w:rsid w:val="005807C3"/>
    <w:rsid w:val="00583EB5"/>
    <w:rsid w:val="00584241"/>
    <w:rsid w:val="005843A7"/>
    <w:rsid w:val="00585635"/>
    <w:rsid w:val="00594792"/>
    <w:rsid w:val="00595DCF"/>
    <w:rsid w:val="005960C2"/>
    <w:rsid w:val="005A1F07"/>
    <w:rsid w:val="005A2205"/>
    <w:rsid w:val="005A2D03"/>
    <w:rsid w:val="005A4A0F"/>
    <w:rsid w:val="005A4B26"/>
    <w:rsid w:val="005A5A9B"/>
    <w:rsid w:val="005B7B30"/>
    <w:rsid w:val="005C14A3"/>
    <w:rsid w:val="005C229D"/>
    <w:rsid w:val="005C282F"/>
    <w:rsid w:val="005C29E3"/>
    <w:rsid w:val="005C6649"/>
    <w:rsid w:val="005D0F51"/>
    <w:rsid w:val="005D2DC4"/>
    <w:rsid w:val="005D3A80"/>
    <w:rsid w:val="005D54F4"/>
    <w:rsid w:val="005E3125"/>
    <w:rsid w:val="005E3F5F"/>
    <w:rsid w:val="005F2654"/>
    <w:rsid w:val="005F2EC3"/>
    <w:rsid w:val="00602213"/>
    <w:rsid w:val="00605827"/>
    <w:rsid w:val="00612EF1"/>
    <w:rsid w:val="00613BA7"/>
    <w:rsid w:val="00616454"/>
    <w:rsid w:val="0062162F"/>
    <w:rsid w:val="00623EC0"/>
    <w:rsid w:val="00625A06"/>
    <w:rsid w:val="0063108A"/>
    <w:rsid w:val="0063184D"/>
    <w:rsid w:val="0063317F"/>
    <w:rsid w:val="00634A75"/>
    <w:rsid w:val="00636B07"/>
    <w:rsid w:val="00640FAA"/>
    <w:rsid w:val="0064293D"/>
    <w:rsid w:val="0064482B"/>
    <w:rsid w:val="00644C49"/>
    <w:rsid w:val="00646050"/>
    <w:rsid w:val="00647393"/>
    <w:rsid w:val="00650866"/>
    <w:rsid w:val="0065260E"/>
    <w:rsid w:val="00653048"/>
    <w:rsid w:val="006552CE"/>
    <w:rsid w:val="006556FD"/>
    <w:rsid w:val="0066007A"/>
    <w:rsid w:val="006713CA"/>
    <w:rsid w:val="00671F58"/>
    <w:rsid w:val="0067272C"/>
    <w:rsid w:val="00676C5C"/>
    <w:rsid w:val="00677F48"/>
    <w:rsid w:val="006801F0"/>
    <w:rsid w:val="00680417"/>
    <w:rsid w:val="00681EB9"/>
    <w:rsid w:val="0068201D"/>
    <w:rsid w:val="00692CAB"/>
    <w:rsid w:val="00692EE0"/>
    <w:rsid w:val="00693B55"/>
    <w:rsid w:val="00694560"/>
    <w:rsid w:val="00696CBD"/>
    <w:rsid w:val="00696EC6"/>
    <w:rsid w:val="00697650"/>
    <w:rsid w:val="006A00F1"/>
    <w:rsid w:val="006A17EA"/>
    <w:rsid w:val="006A3211"/>
    <w:rsid w:val="006A3614"/>
    <w:rsid w:val="006A4B73"/>
    <w:rsid w:val="006A7340"/>
    <w:rsid w:val="006B1068"/>
    <w:rsid w:val="006B5438"/>
    <w:rsid w:val="006B6CD6"/>
    <w:rsid w:val="006B701D"/>
    <w:rsid w:val="006B798D"/>
    <w:rsid w:val="006C15C2"/>
    <w:rsid w:val="006C31B3"/>
    <w:rsid w:val="006C3978"/>
    <w:rsid w:val="006C3F38"/>
    <w:rsid w:val="006C5FE5"/>
    <w:rsid w:val="006D62F4"/>
    <w:rsid w:val="006E0FD7"/>
    <w:rsid w:val="006E2568"/>
    <w:rsid w:val="006E4F5F"/>
    <w:rsid w:val="006E54BC"/>
    <w:rsid w:val="006E6184"/>
    <w:rsid w:val="006E7FA4"/>
    <w:rsid w:val="006F175C"/>
    <w:rsid w:val="006F1974"/>
    <w:rsid w:val="006F2125"/>
    <w:rsid w:val="006F324A"/>
    <w:rsid w:val="00700EE1"/>
    <w:rsid w:val="0070226E"/>
    <w:rsid w:val="00703267"/>
    <w:rsid w:val="00706E58"/>
    <w:rsid w:val="00710DAA"/>
    <w:rsid w:val="00711AE2"/>
    <w:rsid w:val="00716427"/>
    <w:rsid w:val="00720715"/>
    <w:rsid w:val="00720FE7"/>
    <w:rsid w:val="007224E3"/>
    <w:rsid w:val="00727527"/>
    <w:rsid w:val="00731B18"/>
    <w:rsid w:val="00737A39"/>
    <w:rsid w:val="00743879"/>
    <w:rsid w:val="00743C5A"/>
    <w:rsid w:val="007457B3"/>
    <w:rsid w:val="00747680"/>
    <w:rsid w:val="007507A1"/>
    <w:rsid w:val="00750D87"/>
    <w:rsid w:val="00752260"/>
    <w:rsid w:val="007576C6"/>
    <w:rsid w:val="007726C9"/>
    <w:rsid w:val="00776573"/>
    <w:rsid w:val="00780A3D"/>
    <w:rsid w:val="00781721"/>
    <w:rsid w:val="00781B40"/>
    <w:rsid w:val="00785E49"/>
    <w:rsid w:val="00786E3F"/>
    <w:rsid w:val="00787A97"/>
    <w:rsid w:val="007921F9"/>
    <w:rsid w:val="00792AD6"/>
    <w:rsid w:val="007937D1"/>
    <w:rsid w:val="00797BC2"/>
    <w:rsid w:val="007A0350"/>
    <w:rsid w:val="007A101B"/>
    <w:rsid w:val="007A259E"/>
    <w:rsid w:val="007A5154"/>
    <w:rsid w:val="007A5B2E"/>
    <w:rsid w:val="007B1E6B"/>
    <w:rsid w:val="007B3A99"/>
    <w:rsid w:val="007C078F"/>
    <w:rsid w:val="007C0ACA"/>
    <w:rsid w:val="007C17FF"/>
    <w:rsid w:val="007C1D74"/>
    <w:rsid w:val="007D1613"/>
    <w:rsid w:val="007D24FD"/>
    <w:rsid w:val="007D57FD"/>
    <w:rsid w:val="007D5860"/>
    <w:rsid w:val="007E0176"/>
    <w:rsid w:val="007E291A"/>
    <w:rsid w:val="007E445E"/>
    <w:rsid w:val="007E4C0E"/>
    <w:rsid w:val="007E6815"/>
    <w:rsid w:val="007E78CB"/>
    <w:rsid w:val="007F0344"/>
    <w:rsid w:val="007F117A"/>
    <w:rsid w:val="007F1C3E"/>
    <w:rsid w:val="007F52E5"/>
    <w:rsid w:val="007F60EB"/>
    <w:rsid w:val="007F7D0B"/>
    <w:rsid w:val="00801800"/>
    <w:rsid w:val="00803E60"/>
    <w:rsid w:val="0080527D"/>
    <w:rsid w:val="00813C1B"/>
    <w:rsid w:val="008233D6"/>
    <w:rsid w:val="00826003"/>
    <w:rsid w:val="00830A0F"/>
    <w:rsid w:val="00835E3B"/>
    <w:rsid w:val="00840981"/>
    <w:rsid w:val="00841DF0"/>
    <w:rsid w:val="00852951"/>
    <w:rsid w:val="00852BDA"/>
    <w:rsid w:val="008535A6"/>
    <w:rsid w:val="0085672E"/>
    <w:rsid w:val="00856900"/>
    <w:rsid w:val="00860454"/>
    <w:rsid w:val="00860537"/>
    <w:rsid w:val="0086398F"/>
    <w:rsid w:val="00864745"/>
    <w:rsid w:val="00866A22"/>
    <w:rsid w:val="00870E74"/>
    <w:rsid w:val="00870ED5"/>
    <w:rsid w:val="0087159C"/>
    <w:rsid w:val="00872FF4"/>
    <w:rsid w:val="00875AEE"/>
    <w:rsid w:val="00876638"/>
    <w:rsid w:val="008774AB"/>
    <w:rsid w:val="00877718"/>
    <w:rsid w:val="00884355"/>
    <w:rsid w:val="0088747C"/>
    <w:rsid w:val="00890FAF"/>
    <w:rsid w:val="008936CC"/>
    <w:rsid w:val="00896629"/>
    <w:rsid w:val="00897834"/>
    <w:rsid w:val="008979B7"/>
    <w:rsid w:val="008A134B"/>
    <w:rsid w:val="008A5120"/>
    <w:rsid w:val="008A5E27"/>
    <w:rsid w:val="008B2CC1"/>
    <w:rsid w:val="008B3793"/>
    <w:rsid w:val="008B3DA6"/>
    <w:rsid w:val="008B60B2"/>
    <w:rsid w:val="008B6ED4"/>
    <w:rsid w:val="008C1546"/>
    <w:rsid w:val="008C5064"/>
    <w:rsid w:val="008E1F34"/>
    <w:rsid w:val="008E225C"/>
    <w:rsid w:val="008E4692"/>
    <w:rsid w:val="008E5054"/>
    <w:rsid w:val="008F1109"/>
    <w:rsid w:val="008F2253"/>
    <w:rsid w:val="008F4954"/>
    <w:rsid w:val="008F55CD"/>
    <w:rsid w:val="008F5EC8"/>
    <w:rsid w:val="008F6FF8"/>
    <w:rsid w:val="008F7B4F"/>
    <w:rsid w:val="009012CA"/>
    <w:rsid w:val="0090335E"/>
    <w:rsid w:val="00903677"/>
    <w:rsid w:val="00904125"/>
    <w:rsid w:val="00905A36"/>
    <w:rsid w:val="009061DF"/>
    <w:rsid w:val="0090731E"/>
    <w:rsid w:val="0091240A"/>
    <w:rsid w:val="00914CE3"/>
    <w:rsid w:val="00916DDF"/>
    <w:rsid w:val="00916EE2"/>
    <w:rsid w:val="00917D0F"/>
    <w:rsid w:val="00924086"/>
    <w:rsid w:val="00927EF7"/>
    <w:rsid w:val="009310C8"/>
    <w:rsid w:val="00932BC8"/>
    <w:rsid w:val="0094493A"/>
    <w:rsid w:val="00952CCB"/>
    <w:rsid w:val="0095498F"/>
    <w:rsid w:val="00954B28"/>
    <w:rsid w:val="009622E2"/>
    <w:rsid w:val="00965BF1"/>
    <w:rsid w:val="009661D7"/>
    <w:rsid w:val="00966A22"/>
    <w:rsid w:val="00966D03"/>
    <w:rsid w:val="0096722F"/>
    <w:rsid w:val="00974845"/>
    <w:rsid w:val="009755F9"/>
    <w:rsid w:val="00980843"/>
    <w:rsid w:val="00983093"/>
    <w:rsid w:val="00984F10"/>
    <w:rsid w:val="009876DC"/>
    <w:rsid w:val="009877BC"/>
    <w:rsid w:val="00987AE4"/>
    <w:rsid w:val="00992551"/>
    <w:rsid w:val="00994E1F"/>
    <w:rsid w:val="0099669F"/>
    <w:rsid w:val="009968F2"/>
    <w:rsid w:val="009A0547"/>
    <w:rsid w:val="009A2381"/>
    <w:rsid w:val="009A67E3"/>
    <w:rsid w:val="009B1220"/>
    <w:rsid w:val="009B1F3F"/>
    <w:rsid w:val="009B253C"/>
    <w:rsid w:val="009B6777"/>
    <w:rsid w:val="009C01DD"/>
    <w:rsid w:val="009C07B2"/>
    <w:rsid w:val="009C0E51"/>
    <w:rsid w:val="009C127D"/>
    <w:rsid w:val="009C51E6"/>
    <w:rsid w:val="009D0BCD"/>
    <w:rsid w:val="009D0C5C"/>
    <w:rsid w:val="009D5D82"/>
    <w:rsid w:val="009E2791"/>
    <w:rsid w:val="009E3F6F"/>
    <w:rsid w:val="009E5D45"/>
    <w:rsid w:val="009F17BD"/>
    <w:rsid w:val="009F3221"/>
    <w:rsid w:val="009F499F"/>
    <w:rsid w:val="009F7DB0"/>
    <w:rsid w:val="00A000C5"/>
    <w:rsid w:val="00A06CE8"/>
    <w:rsid w:val="00A07DB6"/>
    <w:rsid w:val="00A14C2B"/>
    <w:rsid w:val="00A14E92"/>
    <w:rsid w:val="00A14EDC"/>
    <w:rsid w:val="00A1552D"/>
    <w:rsid w:val="00A1707A"/>
    <w:rsid w:val="00A20E96"/>
    <w:rsid w:val="00A22460"/>
    <w:rsid w:val="00A24CE6"/>
    <w:rsid w:val="00A25DA1"/>
    <w:rsid w:val="00A272AF"/>
    <w:rsid w:val="00A2745F"/>
    <w:rsid w:val="00A33485"/>
    <w:rsid w:val="00A3464D"/>
    <w:rsid w:val="00A35D7D"/>
    <w:rsid w:val="00A37342"/>
    <w:rsid w:val="00A41419"/>
    <w:rsid w:val="00A415D3"/>
    <w:rsid w:val="00A428D0"/>
    <w:rsid w:val="00A42DAF"/>
    <w:rsid w:val="00A45BD8"/>
    <w:rsid w:val="00A46D11"/>
    <w:rsid w:val="00A474CA"/>
    <w:rsid w:val="00A50557"/>
    <w:rsid w:val="00A508CC"/>
    <w:rsid w:val="00A53A0D"/>
    <w:rsid w:val="00A575FB"/>
    <w:rsid w:val="00A57DDF"/>
    <w:rsid w:val="00A6393A"/>
    <w:rsid w:val="00A71CD0"/>
    <w:rsid w:val="00A728D2"/>
    <w:rsid w:val="00A74539"/>
    <w:rsid w:val="00A802ED"/>
    <w:rsid w:val="00A81656"/>
    <w:rsid w:val="00A82DE2"/>
    <w:rsid w:val="00A837F5"/>
    <w:rsid w:val="00A84E65"/>
    <w:rsid w:val="00A869B7"/>
    <w:rsid w:val="00A876CE"/>
    <w:rsid w:val="00A91139"/>
    <w:rsid w:val="00A933EB"/>
    <w:rsid w:val="00A9464E"/>
    <w:rsid w:val="00A950E4"/>
    <w:rsid w:val="00A95949"/>
    <w:rsid w:val="00A97078"/>
    <w:rsid w:val="00AA27A0"/>
    <w:rsid w:val="00AA2A55"/>
    <w:rsid w:val="00AA2DD4"/>
    <w:rsid w:val="00AA2EBC"/>
    <w:rsid w:val="00AA57E6"/>
    <w:rsid w:val="00AA71A6"/>
    <w:rsid w:val="00AB14F0"/>
    <w:rsid w:val="00AB1CAC"/>
    <w:rsid w:val="00AB2A7A"/>
    <w:rsid w:val="00AB37FF"/>
    <w:rsid w:val="00AC0165"/>
    <w:rsid w:val="00AC205C"/>
    <w:rsid w:val="00AC4C63"/>
    <w:rsid w:val="00AC6AA6"/>
    <w:rsid w:val="00AD3266"/>
    <w:rsid w:val="00AD4CD0"/>
    <w:rsid w:val="00AD5D32"/>
    <w:rsid w:val="00AD78EB"/>
    <w:rsid w:val="00AE1B07"/>
    <w:rsid w:val="00AE54F1"/>
    <w:rsid w:val="00AF0A6B"/>
    <w:rsid w:val="00AF18FC"/>
    <w:rsid w:val="00AF218C"/>
    <w:rsid w:val="00AF47E0"/>
    <w:rsid w:val="00B0044B"/>
    <w:rsid w:val="00B016C7"/>
    <w:rsid w:val="00B02AC2"/>
    <w:rsid w:val="00B03CAB"/>
    <w:rsid w:val="00B05A69"/>
    <w:rsid w:val="00B073EB"/>
    <w:rsid w:val="00B07E50"/>
    <w:rsid w:val="00B104B3"/>
    <w:rsid w:val="00B138FC"/>
    <w:rsid w:val="00B153AD"/>
    <w:rsid w:val="00B1750B"/>
    <w:rsid w:val="00B223B7"/>
    <w:rsid w:val="00B23FB6"/>
    <w:rsid w:val="00B247B4"/>
    <w:rsid w:val="00B276E2"/>
    <w:rsid w:val="00B3073C"/>
    <w:rsid w:val="00B309F5"/>
    <w:rsid w:val="00B318A4"/>
    <w:rsid w:val="00B37FAA"/>
    <w:rsid w:val="00B41054"/>
    <w:rsid w:val="00B414C9"/>
    <w:rsid w:val="00B418A6"/>
    <w:rsid w:val="00B41991"/>
    <w:rsid w:val="00B42D06"/>
    <w:rsid w:val="00B44CB4"/>
    <w:rsid w:val="00B452EE"/>
    <w:rsid w:val="00B502D8"/>
    <w:rsid w:val="00B53A74"/>
    <w:rsid w:val="00B54C48"/>
    <w:rsid w:val="00B61109"/>
    <w:rsid w:val="00B623ED"/>
    <w:rsid w:val="00B62E5D"/>
    <w:rsid w:val="00B63C0B"/>
    <w:rsid w:val="00B64AAD"/>
    <w:rsid w:val="00B654ED"/>
    <w:rsid w:val="00B66286"/>
    <w:rsid w:val="00B71A4E"/>
    <w:rsid w:val="00B72CBE"/>
    <w:rsid w:val="00B74B00"/>
    <w:rsid w:val="00B75934"/>
    <w:rsid w:val="00B75A50"/>
    <w:rsid w:val="00B907C3"/>
    <w:rsid w:val="00B915AC"/>
    <w:rsid w:val="00B9162D"/>
    <w:rsid w:val="00B94E6F"/>
    <w:rsid w:val="00B9734B"/>
    <w:rsid w:val="00BA30E2"/>
    <w:rsid w:val="00BA40E5"/>
    <w:rsid w:val="00BA7ECD"/>
    <w:rsid w:val="00BB2C1F"/>
    <w:rsid w:val="00BB6B5C"/>
    <w:rsid w:val="00BB6E8C"/>
    <w:rsid w:val="00BC49E0"/>
    <w:rsid w:val="00BC5A4B"/>
    <w:rsid w:val="00BD4DF9"/>
    <w:rsid w:val="00BD6C49"/>
    <w:rsid w:val="00BD7085"/>
    <w:rsid w:val="00BF2E66"/>
    <w:rsid w:val="00BF3809"/>
    <w:rsid w:val="00BF6B53"/>
    <w:rsid w:val="00BF74B1"/>
    <w:rsid w:val="00C06899"/>
    <w:rsid w:val="00C0695F"/>
    <w:rsid w:val="00C111F6"/>
    <w:rsid w:val="00C11BFE"/>
    <w:rsid w:val="00C24FDF"/>
    <w:rsid w:val="00C2570F"/>
    <w:rsid w:val="00C2728B"/>
    <w:rsid w:val="00C31C8C"/>
    <w:rsid w:val="00C32AC9"/>
    <w:rsid w:val="00C42348"/>
    <w:rsid w:val="00C44520"/>
    <w:rsid w:val="00C448A7"/>
    <w:rsid w:val="00C44B1A"/>
    <w:rsid w:val="00C46AE6"/>
    <w:rsid w:val="00C5068F"/>
    <w:rsid w:val="00C516F7"/>
    <w:rsid w:val="00C526FB"/>
    <w:rsid w:val="00C547F7"/>
    <w:rsid w:val="00C55EEC"/>
    <w:rsid w:val="00C57045"/>
    <w:rsid w:val="00C61E09"/>
    <w:rsid w:val="00C7478F"/>
    <w:rsid w:val="00C7615F"/>
    <w:rsid w:val="00C765FA"/>
    <w:rsid w:val="00C76960"/>
    <w:rsid w:val="00C80CEE"/>
    <w:rsid w:val="00C83B44"/>
    <w:rsid w:val="00C86D74"/>
    <w:rsid w:val="00C93B5D"/>
    <w:rsid w:val="00C96DCF"/>
    <w:rsid w:val="00CA1F2F"/>
    <w:rsid w:val="00CB6327"/>
    <w:rsid w:val="00CB7539"/>
    <w:rsid w:val="00CC0B5F"/>
    <w:rsid w:val="00CC480E"/>
    <w:rsid w:val="00CC4AF8"/>
    <w:rsid w:val="00CC597B"/>
    <w:rsid w:val="00CD0069"/>
    <w:rsid w:val="00CD04F1"/>
    <w:rsid w:val="00CD2D95"/>
    <w:rsid w:val="00CD3DED"/>
    <w:rsid w:val="00CD3E03"/>
    <w:rsid w:val="00CD40F2"/>
    <w:rsid w:val="00CD6E6E"/>
    <w:rsid w:val="00CD7915"/>
    <w:rsid w:val="00CD7F59"/>
    <w:rsid w:val="00CE282D"/>
    <w:rsid w:val="00CE72F2"/>
    <w:rsid w:val="00CE78BA"/>
    <w:rsid w:val="00CF21BA"/>
    <w:rsid w:val="00CF2B8E"/>
    <w:rsid w:val="00CF3127"/>
    <w:rsid w:val="00CF5F61"/>
    <w:rsid w:val="00CF6687"/>
    <w:rsid w:val="00D01426"/>
    <w:rsid w:val="00D03A4B"/>
    <w:rsid w:val="00D03FC6"/>
    <w:rsid w:val="00D108C5"/>
    <w:rsid w:val="00D13210"/>
    <w:rsid w:val="00D13862"/>
    <w:rsid w:val="00D17E85"/>
    <w:rsid w:val="00D22438"/>
    <w:rsid w:val="00D22E12"/>
    <w:rsid w:val="00D23139"/>
    <w:rsid w:val="00D241B7"/>
    <w:rsid w:val="00D24BED"/>
    <w:rsid w:val="00D25A3B"/>
    <w:rsid w:val="00D34CD4"/>
    <w:rsid w:val="00D34EC3"/>
    <w:rsid w:val="00D35C82"/>
    <w:rsid w:val="00D406CB"/>
    <w:rsid w:val="00D44A0B"/>
    <w:rsid w:val="00D45252"/>
    <w:rsid w:val="00D50303"/>
    <w:rsid w:val="00D525EC"/>
    <w:rsid w:val="00D52784"/>
    <w:rsid w:val="00D52870"/>
    <w:rsid w:val="00D563E3"/>
    <w:rsid w:val="00D6104B"/>
    <w:rsid w:val="00D668A7"/>
    <w:rsid w:val="00D66E37"/>
    <w:rsid w:val="00D67C0D"/>
    <w:rsid w:val="00D71B4D"/>
    <w:rsid w:val="00D8109C"/>
    <w:rsid w:val="00D810CD"/>
    <w:rsid w:val="00D84700"/>
    <w:rsid w:val="00D85FCD"/>
    <w:rsid w:val="00D877EE"/>
    <w:rsid w:val="00D93D55"/>
    <w:rsid w:val="00D96EE1"/>
    <w:rsid w:val="00DA0237"/>
    <w:rsid w:val="00DA1C0A"/>
    <w:rsid w:val="00DA2BD2"/>
    <w:rsid w:val="00DA4ED3"/>
    <w:rsid w:val="00DA5FCA"/>
    <w:rsid w:val="00DA722D"/>
    <w:rsid w:val="00DB0537"/>
    <w:rsid w:val="00DB10D0"/>
    <w:rsid w:val="00DB1D38"/>
    <w:rsid w:val="00DB7D07"/>
    <w:rsid w:val="00DC0E5B"/>
    <w:rsid w:val="00DC0E7C"/>
    <w:rsid w:val="00DC1327"/>
    <w:rsid w:val="00DC141D"/>
    <w:rsid w:val="00DC410B"/>
    <w:rsid w:val="00DC46B4"/>
    <w:rsid w:val="00DC5FFC"/>
    <w:rsid w:val="00DC6250"/>
    <w:rsid w:val="00DC64B4"/>
    <w:rsid w:val="00DD07E9"/>
    <w:rsid w:val="00DD3E55"/>
    <w:rsid w:val="00DD77F7"/>
    <w:rsid w:val="00DF023A"/>
    <w:rsid w:val="00DF0778"/>
    <w:rsid w:val="00DF383E"/>
    <w:rsid w:val="00DF3B6B"/>
    <w:rsid w:val="00DF7BC8"/>
    <w:rsid w:val="00E002B9"/>
    <w:rsid w:val="00E04814"/>
    <w:rsid w:val="00E079D0"/>
    <w:rsid w:val="00E11CD7"/>
    <w:rsid w:val="00E12CC8"/>
    <w:rsid w:val="00E13F3B"/>
    <w:rsid w:val="00E15015"/>
    <w:rsid w:val="00E15873"/>
    <w:rsid w:val="00E16FC3"/>
    <w:rsid w:val="00E20B95"/>
    <w:rsid w:val="00E20E2F"/>
    <w:rsid w:val="00E22825"/>
    <w:rsid w:val="00E25010"/>
    <w:rsid w:val="00E258AF"/>
    <w:rsid w:val="00E262B6"/>
    <w:rsid w:val="00E3350E"/>
    <w:rsid w:val="00E335FE"/>
    <w:rsid w:val="00E34F37"/>
    <w:rsid w:val="00E364DE"/>
    <w:rsid w:val="00E473F3"/>
    <w:rsid w:val="00E53149"/>
    <w:rsid w:val="00E546CC"/>
    <w:rsid w:val="00E54E3E"/>
    <w:rsid w:val="00E5566B"/>
    <w:rsid w:val="00E6100E"/>
    <w:rsid w:val="00E65599"/>
    <w:rsid w:val="00E66379"/>
    <w:rsid w:val="00E729A3"/>
    <w:rsid w:val="00E76DD4"/>
    <w:rsid w:val="00E85557"/>
    <w:rsid w:val="00E918C1"/>
    <w:rsid w:val="00E92AAF"/>
    <w:rsid w:val="00E937D0"/>
    <w:rsid w:val="00E93BCD"/>
    <w:rsid w:val="00E965CF"/>
    <w:rsid w:val="00EA3ACC"/>
    <w:rsid w:val="00EA4114"/>
    <w:rsid w:val="00EA7D6E"/>
    <w:rsid w:val="00EB0FCF"/>
    <w:rsid w:val="00EB159D"/>
    <w:rsid w:val="00EB2210"/>
    <w:rsid w:val="00EB274E"/>
    <w:rsid w:val="00EC2CAD"/>
    <w:rsid w:val="00EC3DCD"/>
    <w:rsid w:val="00EC3E74"/>
    <w:rsid w:val="00EC4A02"/>
    <w:rsid w:val="00EC4E49"/>
    <w:rsid w:val="00ED03BE"/>
    <w:rsid w:val="00ED3469"/>
    <w:rsid w:val="00ED3C0E"/>
    <w:rsid w:val="00ED4C0F"/>
    <w:rsid w:val="00ED5F03"/>
    <w:rsid w:val="00ED77FB"/>
    <w:rsid w:val="00EE45FA"/>
    <w:rsid w:val="00EE4F25"/>
    <w:rsid w:val="00EE5477"/>
    <w:rsid w:val="00EE6063"/>
    <w:rsid w:val="00EE6BB6"/>
    <w:rsid w:val="00EE71C1"/>
    <w:rsid w:val="00EF11E0"/>
    <w:rsid w:val="00EF538D"/>
    <w:rsid w:val="00EF53C8"/>
    <w:rsid w:val="00EF5B6E"/>
    <w:rsid w:val="00EF6055"/>
    <w:rsid w:val="00F025E0"/>
    <w:rsid w:val="00F03B70"/>
    <w:rsid w:val="00F03F7E"/>
    <w:rsid w:val="00F03F88"/>
    <w:rsid w:val="00F2250C"/>
    <w:rsid w:val="00F24E3D"/>
    <w:rsid w:val="00F2583B"/>
    <w:rsid w:val="00F266B7"/>
    <w:rsid w:val="00F33538"/>
    <w:rsid w:val="00F373DC"/>
    <w:rsid w:val="00F42D72"/>
    <w:rsid w:val="00F511F2"/>
    <w:rsid w:val="00F55ED7"/>
    <w:rsid w:val="00F561E6"/>
    <w:rsid w:val="00F61D9D"/>
    <w:rsid w:val="00F62A0C"/>
    <w:rsid w:val="00F6393F"/>
    <w:rsid w:val="00F646BF"/>
    <w:rsid w:val="00F65E62"/>
    <w:rsid w:val="00F66152"/>
    <w:rsid w:val="00F669DB"/>
    <w:rsid w:val="00F670BD"/>
    <w:rsid w:val="00F67B01"/>
    <w:rsid w:val="00F711AA"/>
    <w:rsid w:val="00F7572F"/>
    <w:rsid w:val="00F770B5"/>
    <w:rsid w:val="00F8285C"/>
    <w:rsid w:val="00F86DDF"/>
    <w:rsid w:val="00F9212D"/>
    <w:rsid w:val="00F93B70"/>
    <w:rsid w:val="00F967F0"/>
    <w:rsid w:val="00FA1D7C"/>
    <w:rsid w:val="00FA2345"/>
    <w:rsid w:val="00FA41DE"/>
    <w:rsid w:val="00FA4EE4"/>
    <w:rsid w:val="00FA58CB"/>
    <w:rsid w:val="00FA74B6"/>
    <w:rsid w:val="00FC22D3"/>
    <w:rsid w:val="00FD0448"/>
    <w:rsid w:val="00FD0B00"/>
    <w:rsid w:val="00FD53CC"/>
    <w:rsid w:val="00FD56D3"/>
    <w:rsid w:val="00FD62A7"/>
    <w:rsid w:val="00FE62ED"/>
    <w:rsid w:val="00FE6FD6"/>
    <w:rsid w:val="00FF2FD4"/>
    <w:rsid w:val="00FF3F00"/>
    <w:rsid w:val="00FF6B40"/>
    <w:rsid w:val="00FF751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0D9D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D03"/>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A837F5"/>
    <w:pPr>
      <w:keepNext/>
      <w:tabs>
        <w:tab w:val="right" w:pos="9355"/>
      </w:tabs>
      <w:overflowPunct w:val="0"/>
      <w:spacing w:beforeLines="100" w:before="240" w:afterLines="50" w:after="120" w:line="340" w:lineRule="atLeast"/>
      <w:jc w:val="both"/>
      <w:outlineLvl w:val="1"/>
    </w:pPr>
    <w:rPr>
      <w:rFonts w:ascii="SimHei" w:eastAsia="SimHei" w:hAnsi="SimSun"/>
      <w:bCs/>
      <w:iCs/>
      <w:caps/>
      <w:szCs w:val="28"/>
    </w:rPr>
  </w:style>
  <w:style w:type="paragraph" w:styleId="Heading3">
    <w:name w:val="heading 3"/>
    <w:basedOn w:val="Normal"/>
    <w:next w:val="Normal"/>
    <w:autoRedefine/>
    <w:qFormat/>
    <w:rsid w:val="004E21FC"/>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semiHidden/>
    <w:rsid w:val="00595DCF"/>
    <w:rPr>
      <w:rFonts w:ascii="Arial" w:eastAsia="SimSun" w:hAnsi="Arial" w:cs="Arial"/>
      <w:sz w:val="18"/>
      <w:lang w:val="en-US" w:eastAsia="zh-CN"/>
    </w:rPr>
  </w:style>
  <w:style w:type="character" w:customStyle="1" w:styleId="HeaderChar">
    <w:name w:val="Header Char"/>
    <w:basedOn w:val="DefaultParagraphFont"/>
    <w:link w:val="Header"/>
    <w:rsid w:val="00595DCF"/>
    <w:rPr>
      <w:rFonts w:ascii="Arial" w:eastAsia="SimSun" w:hAnsi="Arial" w:cs="Arial"/>
      <w:sz w:val="22"/>
      <w:lang w:val="en-US" w:eastAsia="zh-CN"/>
    </w:rPr>
  </w:style>
  <w:style w:type="character" w:styleId="FootnoteReference">
    <w:name w:val="footnote reference"/>
    <w:uiPriority w:val="99"/>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FollowedHyperlink">
    <w:name w:val="FollowedHyperlink"/>
    <w:basedOn w:val="DefaultParagraphFont"/>
    <w:semiHidden/>
    <w:unhideWhenUsed/>
    <w:rsid w:val="00CB6327"/>
    <w:rPr>
      <w:color w:val="800080" w:themeColor="followedHyperlink"/>
      <w:u w:val="single"/>
    </w:rPr>
  </w:style>
  <w:style w:type="character" w:styleId="UnresolvedMention">
    <w:name w:val="Unresolved Mention"/>
    <w:basedOn w:val="DefaultParagraphFont"/>
    <w:uiPriority w:val="99"/>
    <w:semiHidden/>
    <w:unhideWhenUsed/>
    <w:rsid w:val="00BF2E66"/>
    <w:rPr>
      <w:color w:val="605E5C"/>
      <w:shd w:val="clear" w:color="auto" w:fill="E1DFDD"/>
    </w:rPr>
  </w:style>
  <w:style w:type="paragraph" w:customStyle="1" w:styleId="paragraph">
    <w:name w:val="paragraph"/>
    <w:basedOn w:val="Normal"/>
    <w:rsid w:val="005A2205"/>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A2205"/>
  </w:style>
  <w:style w:type="character" w:customStyle="1" w:styleId="eop">
    <w:name w:val="eop"/>
    <w:basedOn w:val="DefaultParagraphFont"/>
    <w:rsid w:val="005A2205"/>
  </w:style>
  <w:style w:type="paragraph" w:styleId="NormalWeb">
    <w:name w:val="Normal (Web)"/>
    <w:basedOn w:val="Normal"/>
    <w:semiHidden/>
    <w:unhideWhenUsed/>
    <w:rsid w:val="007A0350"/>
    <w:rPr>
      <w:rFonts w:ascii="Times New Roman" w:hAnsi="Times New Roman" w:cs="Times New Roman"/>
      <w:sz w:val="24"/>
      <w:szCs w:val="24"/>
    </w:rPr>
  </w:style>
  <w:style w:type="character" w:customStyle="1" w:styleId="Heading2Char">
    <w:name w:val="Heading 2 Char"/>
    <w:basedOn w:val="DefaultParagraphFont"/>
    <w:link w:val="Heading2"/>
    <w:rsid w:val="00A57DDF"/>
    <w:rPr>
      <w:rFonts w:ascii="SimHei" w:eastAsia="SimHei" w:hAnsi="SimSun"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275718461">
      <w:bodyDiv w:val="1"/>
      <w:marLeft w:val="0"/>
      <w:marRight w:val="0"/>
      <w:marTop w:val="0"/>
      <w:marBottom w:val="0"/>
      <w:divBdr>
        <w:top w:val="none" w:sz="0" w:space="0" w:color="auto"/>
        <w:left w:val="none" w:sz="0" w:space="0" w:color="auto"/>
        <w:bottom w:val="none" w:sz="0" w:space="0" w:color="auto"/>
        <w:right w:val="none" w:sz="0" w:space="0" w:color="auto"/>
      </w:divBdr>
      <w:divsChild>
        <w:div w:id="855735563">
          <w:marLeft w:val="0"/>
          <w:marRight w:val="0"/>
          <w:marTop w:val="0"/>
          <w:marBottom w:val="0"/>
          <w:divBdr>
            <w:top w:val="none" w:sz="0" w:space="0" w:color="auto"/>
            <w:left w:val="none" w:sz="0" w:space="0" w:color="auto"/>
            <w:bottom w:val="none" w:sz="0" w:space="0" w:color="auto"/>
            <w:right w:val="none" w:sz="0" w:space="0" w:color="auto"/>
          </w:divBdr>
        </w:div>
        <w:div w:id="1067269130">
          <w:marLeft w:val="0"/>
          <w:marRight w:val="0"/>
          <w:marTop w:val="0"/>
          <w:marBottom w:val="0"/>
          <w:divBdr>
            <w:top w:val="none" w:sz="0" w:space="0" w:color="auto"/>
            <w:left w:val="none" w:sz="0" w:space="0" w:color="auto"/>
            <w:bottom w:val="none" w:sz="0" w:space="0" w:color="auto"/>
            <w:right w:val="none" w:sz="0" w:space="0" w:color="auto"/>
          </w:divBdr>
        </w:div>
        <w:div w:id="1832452741">
          <w:marLeft w:val="0"/>
          <w:marRight w:val="0"/>
          <w:marTop w:val="0"/>
          <w:marBottom w:val="0"/>
          <w:divBdr>
            <w:top w:val="none" w:sz="0" w:space="0" w:color="auto"/>
            <w:left w:val="none" w:sz="0" w:space="0" w:color="auto"/>
            <w:bottom w:val="none" w:sz="0" w:space="0" w:color="auto"/>
            <w:right w:val="none" w:sz="0" w:space="0" w:color="auto"/>
          </w:divBdr>
        </w:div>
        <w:div w:id="887645884">
          <w:marLeft w:val="0"/>
          <w:marRight w:val="0"/>
          <w:marTop w:val="0"/>
          <w:marBottom w:val="0"/>
          <w:divBdr>
            <w:top w:val="none" w:sz="0" w:space="0" w:color="auto"/>
            <w:left w:val="none" w:sz="0" w:space="0" w:color="auto"/>
            <w:bottom w:val="none" w:sz="0" w:space="0" w:color="auto"/>
            <w:right w:val="none" w:sz="0" w:space="0" w:color="auto"/>
          </w:divBdr>
        </w:div>
        <w:div w:id="1853182768">
          <w:marLeft w:val="0"/>
          <w:marRight w:val="0"/>
          <w:marTop w:val="0"/>
          <w:marBottom w:val="0"/>
          <w:divBdr>
            <w:top w:val="none" w:sz="0" w:space="0" w:color="auto"/>
            <w:left w:val="none" w:sz="0" w:space="0" w:color="auto"/>
            <w:bottom w:val="none" w:sz="0" w:space="0" w:color="auto"/>
            <w:right w:val="none" w:sz="0" w:space="0" w:color="auto"/>
          </w:divBdr>
        </w:div>
        <w:div w:id="1742558784">
          <w:marLeft w:val="0"/>
          <w:marRight w:val="0"/>
          <w:marTop w:val="0"/>
          <w:marBottom w:val="0"/>
          <w:divBdr>
            <w:top w:val="none" w:sz="0" w:space="0" w:color="auto"/>
            <w:left w:val="none" w:sz="0" w:space="0" w:color="auto"/>
            <w:bottom w:val="none" w:sz="0" w:space="0" w:color="auto"/>
            <w:right w:val="none" w:sz="0" w:space="0" w:color="auto"/>
          </w:divBdr>
        </w:div>
        <w:div w:id="1838499135">
          <w:marLeft w:val="0"/>
          <w:marRight w:val="0"/>
          <w:marTop w:val="0"/>
          <w:marBottom w:val="0"/>
          <w:divBdr>
            <w:top w:val="none" w:sz="0" w:space="0" w:color="auto"/>
            <w:left w:val="none" w:sz="0" w:space="0" w:color="auto"/>
            <w:bottom w:val="none" w:sz="0" w:space="0" w:color="auto"/>
            <w:right w:val="none" w:sz="0" w:space="0" w:color="auto"/>
          </w:divBdr>
        </w:div>
        <w:div w:id="426388464">
          <w:marLeft w:val="0"/>
          <w:marRight w:val="0"/>
          <w:marTop w:val="0"/>
          <w:marBottom w:val="0"/>
          <w:divBdr>
            <w:top w:val="none" w:sz="0" w:space="0" w:color="auto"/>
            <w:left w:val="none" w:sz="0" w:space="0" w:color="auto"/>
            <w:bottom w:val="none" w:sz="0" w:space="0" w:color="auto"/>
            <w:right w:val="none" w:sz="0" w:space="0" w:color="auto"/>
          </w:divBdr>
        </w:div>
        <w:div w:id="709459421">
          <w:marLeft w:val="0"/>
          <w:marRight w:val="0"/>
          <w:marTop w:val="0"/>
          <w:marBottom w:val="0"/>
          <w:divBdr>
            <w:top w:val="none" w:sz="0" w:space="0" w:color="auto"/>
            <w:left w:val="none" w:sz="0" w:space="0" w:color="auto"/>
            <w:bottom w:val="none" w:sz="0" w:space="0" w:color="auto"/>
            <w:right w:val="none" w:sz="0" w:space="0" w:color="auto"/>
          </w:divBdr>
        </w:div>
        <w:div w:id="1194927225">
          <w:marLeft w:val="0"/>
          <w:marRight w:val="0"/>
          <w:marTop w:val="0"/>
          <w:marBottom w:val="0"/>
          <w:divBdr>
            <w:top w:val="none" w:sz="0" w:space="0" w:color="auto"/>
            <w:left w:val="none" w:sz="0" w:space="0" w:color="auto"/>
            <w:bottom w:val="none" w:sz="0" w:space="0" w:color="auto"/>
            <w:right w:val="none" w:sz="0" w:space="0" w:color="auto"/>
          </w:divBdr>
        </w:div>
        <w:div w:id="1174150137">
          <w:marLeft w:val="0"/>
          <w:marRight w:val="0"/>
          <w:marTop w:val="0"/>
          <w:marBottom w:val="0"/>
          <w:divBdr>
            <w:top w:val="none" w:sz="0" w:space="0" w:color="auto"/>
            <w:left w:val="none" w:sz="0" w:space="0" w:color="auto"/>
            <w:bottom w:val="none" w:sz="0" w:space="0" w:color="auto"/>
            <w:right w:val="none" w:sz="0" w:space="0" w:color="auto"/>
          </w:divBdr>
        </w:div>
        <w:div w:id="659962202">
          <w:marLeft w:val="0"/>
          <w:marRight w:val="0"/>
          <w:marTop w:val="0"/>
          <w:marBottom w:val="0"/>
          <w:divBdr>
            <w:top w:val="none" w:sz="0" w:space="0" w:color="auto"/>
            <w:left w:val="none" w:sz="0" w:space="0" w:color="auto"/>
            <w:bottom w:val="none" w:sz="0" w:space="0" w:color="auto"/>
            <w:right w:val="none" w:sz="0" w:space="0" w:color="auto"/>
          </w:divBdr>
        </w:div>
        <w:div w:id="1255628946">
          <w:marLeft w:val="0"/>
          <w:marRight w:val="0"/>
          <w:marTop w:val="0"/>
          <w:marBottom w:val="0"/>
          <w:divBdr>
            <w:top w:val="none" w:sz="0" w:space="0" w:color="auto"/>
            <w:left w:val="none" w:sz="0" w:space="0" w:color="auto"/>
            <w:bottom w:val="none" w:sz="0" w:space="0" w:color="auto"/>
            <w:right w:val="none" w:sz="0" w:space="0" w:color="auto"/>
          </w:divBdr>
        </w:div>
        <w:div w:id="1911965019">
          <w:marLeft w:val="0"/>
          <w:marRight w:val="0"/>
          <w:marTop w:val="0"/>
          <w:marBottom w:val="0"/>
          <w:divBdr>
            <w:top w:val="none" w:sz="0" w:space="0" w:color="auto"/>
            <w:left w:val="none" w:sz="0" w:space="0" w:color="auto"/>
            <w:bottom w:val="none" w:sz="0" w:space="0" w:color="auto"/>
            <w:right w:val="none" w:sz="0" w:space="0" w:color="auto"/>
          </w:divBdr>
        </w:div>
        <w:div w:id="1496728521">
          <w:marLeft w:val="0"/>
          <w:marRight w:val="0"/>
          <w:marTop w:val="0"/>
          <w:marBottom w:val="0"/>
          <w:divBdr>
            <w:top w:val="none" w:sz="0" w:space="0" w:color="auto"/>
            <w:left w:val="none" w:sz="0" w:space="0" w:color="auto"/>
            <w:bottom w:val="none" w:sz="0" w:space="0" w:color="auto"/>
            <w:right w:val="none" w:sz="0" w:space="0" w:color="auto"/>
          </w:divBdr>
        </w:div>
        <w:div w:id="598022353">
          <w:marLeft w:val="0"/>
          <w:marRight w:val="0"/>
          <w:marTop w:val="0"/>
          <w:marBottom w:val="0"/>
          <w:divBdr>
            <w:top w:val="none" w:sz="0" w:space="0" w:color="auto"/>
            <w:left w:val="none" w:sz="0" w:space="0" w:color="auto"/>
            <w:bottom w:val="none" w:sz="0" w:space="0" w:color="auto"/>
            <w:right w:val="none" w:sz="0" w:space="0" w:color="auto"/>
          </w:divBdr>
        </w:div>
        <w:div w:id="413212099">
          <w:marLeft w:val="0"/>
          <w:marRight w:val="0"/>
          <w:marTop w:val="0"/>
          <w:marBottom w:val="0"/>
          <w:divBdr>
            <w:top w:val="none" w:sz="0" w:space="0" w:color="auto"/>
            <w:left w:val="none" w:sz="0" w:space="0" w:color="auto"/>
            <w:bottom w:val="none" w:sz="0" w:space="0" w:color="auto"/>
            <w:right w:val="none" w:sz="0" w:space="0" w:color="auto"/>
          </w:divBdr>
        </w:div>
        <w:div w:id="1612740834">
          <w:marLeft w:val="0"/>
          <w:marRight w:val="0"/>
          <w:marTop w:val="0"/>
          <w:marBottom w:val="0"/>
          <w:divBdr>
            <w:top w:val="none" w:sz="0" w:space="0" w:color="auto"/>
            <w:left w:val="none" w:sz="0" w:space="0" w:color="auto"/>
            <w:bottom w:val="none" w:sz="0" w:space="0" w:color="auto"/>
            <w:right w:val="none" w:sz="0" w:space="0" w:color="auto"/>
          </w:divBdr>
        </w:div>
        <w:div w:id="596594932">
          <w:marLeft w:val="0"/>
          <w:marRight w:val="0"/>
          <w:marTop w:val="0"/>
          <w:marBottom w:val="0"/>
          <w:divBdr>
            <w:top w:val="none" w:sz="0" w:space="0" w:color="auto"/>
            <w:left w:val="none" w:sz="0" w:space="0" w:color="auto"/>
            <w:bottom w:val="none" w:sz="0" w:space="0" w:color="auto"/>
            <w:right w:val="none" w:sz="0" w:space="0" w:color="auto"/>
          </w:divBdr>
        </w:div>
        <w:div w:id="975993154">
          <w:marLeft w:val="0"/>
          <w:marRight w:val="0"/>
          <w:marTop w:val="0"/>
          <w:marBottom w:val="0"/>
          <w:divBdr>
            <w:top w:val="none" w:sz="0" w:space="0" w:color="auto"/>
            <w:left w:val="none" w:sz="0" w:space="0" w:color="auto"/>
            <w:bottom w:val="none" w:sz="0" w:space="0" w:color="auto"/>
            <w:right w:val="none" w:sz="0" w:space="0" w:color="auto"/>
          </w:divBdr>
        </w:div>
        <w:div w:id="314262508">
          <w:marLeft w:val="0"/>
          <w:marRight w:val="0"/>
          <w:marTop w:val="0"/>
          <w:marBottom w:val="0"/>
          <w:divBdr>
            <w:top w:val="none" w:sz="0" w:space="0" w:color="auto"/>
            <w:left w:val="none" w:sz="0" w:space="0" w:color="auto"/>
            <w:bottom w:val="none" w:sz="0" w:space="0" w:color="auto"/>
            <w:right w:val="none" w:sz="0" w:space="0" w:color="auto"/>
          </w:divBdr>
        </w:div>
        <w:div w:id="1366054247">
          <w:marLeft w:val="0"/>
          <w:marRight w:val="0"/>
          <w:marTop w:val="0"/>
          <w:marBottom w:val="0"/>
          <w:divBdr>
            <w:top w:val="none" w:sz="0" w:space="0" w:color="auto"/>
            <w:left w:val="none" w:sz="0" w:space="0" w:color="auto"/>
            <w:bottom w:val="none" w:sz="0" w:space="0" w:color="auto"/>
            <w:right w:val="none" w:sz="0" w:space="0" w:color="auto"/>
          </w:divBdr>
        </w:div>
        <w:div w:id="1603997914">
          <w:marLeft w:val="0"/>
          <w:marRight w:val="0"/>
          <w:marTop w:val="0"/>
          <w:marBottom w:val="0"/>
          <w:divBdr>
            <w:top w:val="none" w:sz="0" w:space="0" w:color="auto"/>
            <w:left w:val="none" w:sz="0" w:space="0" w:color="auto"/>
            <w:bottom w:val="none" w:sz="0" w:space="0" w:color="auto"/>
            <w:right w:val="none" w:sz="0" w:space="0" w:color="auto"/>
          </w:divBdr>
        </w:div>
        <w:div w:id="2066365227">
          <w:marLeft w:val="0"/>
          <w:marRight w:val="0"/>
          <w:marTop w:val="0"/>
          <w:marBottom w:val="0"/>
          <w:divBdr>
            <w:top w:val="none" w:sz="0" w:space="0" w:color="auto"/>
            <w:left w:val="none" w:sz="0" w:space="0" w:color="auto"/>
            <w:bottom w:val="none" w:sz="0" w:space="0" w:color="auto"/>
            <w:right w:val="none" w:sz="0" w:space="0" w:color="auto"/>
          </w:divBdr>
        </w:div>
        <w:div w:id="159084819">
          <w:marLeft w:val="0"/>
          <w:marRight w:val="0"/>
          <w:marTop w:val="0"/>
          <w:marBottom w:val="0"/>
          <w:divBdr>
            <w:top w:val="none" w:sz="0" w:space="0" w:color="auto"/>
            <w:left w:val="none" w:sz="0" w:space="0" w:color="auto"/>
            <w:bottom w:val="none" w:sz="0" w:space="0" w:color="auto"/>
            <w:right w:val="none" w:sz="0" w:space="0" w:color="auto"/>
          </w:divBdr>
        </w:div>
        <w:div w:id="289097477">
          <w:marLeft w:val="0"/>
          <w:marRight w:val="0"/>
          <w:marTop w:val="0"/>
          <w:marBottom w:val="0"/>
          <w:divBdr>
            <w:top w:val="none" w:sz="0" w:space="0" w:color="auto"/>
            <w:left w:val="none" w:sz="0" w:space="0" w:color="auto"/>
            <w:bottom w:val="none" w:sz="0" w:space="0" w:color="auto"/>
            <w:right w:val="none" w:sz="0" w:space="0" w:color="auto"/>
          </w:divBdr>
        </w:div>
        <w:div w:id="707336646">
          <w:marLeft w:val="0"/>
          <w:marRight w:val="0"/>
          <w:marTop w:val="0"/>
          <w:marBottom w:val="0"/>
          <w:divBdr>
            <w:top w:val="none" w:sz="0" w:space="0" w:color="auto"/>
            <w:left w:val="none" w:sz="0" w:space="0" w:color="auto"/>
            <w:bottom w:val="none" w:sz="0" w:space="0" w:color="auto"/>
            <w:right w:val="none" w:sz="0" w:space="0" w:color="auto"/>
          </w:divBdr>
        </w:div>
        <w:div w:id="1090736558">
          <w:marLeft w:val="0"/>
          <w:marRight w:val="0"/>
          <w:marTop w:val="0"/>
          <w:marBottom w:val="0"/>
          <w:divBdr>
            <w:top w:val="none" w:sz="0" w:space="0" w:color="auto"/>
            <w:left w:val="none" w:sz="0" w:space="0" w:color="auto"/>
            <w:bottom w:val="none" w:sz="0" w:space="0" w:color="auto"/>
            <w:right w:val="none" w:sz="0" w:space="0" w:color="auto"/>
          </w:divBdr>
        </w:div>
        <w:div w:id="795636185">
          <w:marLeft w:val="0"/>
          <w:marRight w:val="0"/>
          <w:marTop w:val="0"/>
          <w:marBottom w:val="0"/>
          <w:divBdr>
            <w:top w:val="none" w:sz="0" w:space="0" w:color="auto"/>
            <w:left w:val="none" w:sz="0" w:space="0" w:color="auto"/>
            <w:bottom w:val="none" w:sz="0" w:space="0" w:color="auto"/>
            <w:right w:val="none" w:sz="0" w:space="0" w:color="auto"/>
          </w:divBdr>
        </w:div>
        <w:div w:id="721372640">
          <w:marLeft w:val="0"/>
          <w:marRight w:val="0"/>
          <w:marTop w:val="0"/>
          <w:marBottom w:val="0"/>
          <w:divBdr>
            <w:top w:val="none" w:sz="0" w:space="0" w:color="auto"/>
            <w:left w:val="none" w:sz="0" w:space="0" w:color="auto"/>
            <w:bottom w:val="none" w:sz="0" w:space="0" w:color="auto"/>
            <w:right w:val="none" w:sz="0" w:space="0" w:color="auto"/>
          </w:divBdr>
        </w:div>
        <w:div w:id="956913719">
          <w:marLeft w:val="0"/>
          <w:marRight w:val="0"/>
          <w:marTop w:val="0"/>
          <w:marBottom w:val="0"/>
          <w:divBdr>
            <w:top w:val="none" w:sz="0" w:space="0" w:color="auto"/>
            <w:left w:val="none" w:sz="0" w:space="0" w:color="auto"/>
            <w:bottom w:val="none" w:sz="0" w:space="0" w:color="auto"/>
            <w:right w:val="none" w:sz="0" w:space="0" w:color="auto"/>
          </w:divBdr>
        </w:div>
        <w:div w:id="1453867264">
          <w:marLeft w:val="0"/>
          <w:marRight w:val="0"/>
          <w:marTop w:val="0"/>
          <w:marBottom w:val="0"/>
          <w:divBdr>
            <w:top w:val="none" w:sz="0" w:space="0" w:color="auto"/>
            <w:left w:val="none" w:sz="0" w:space="0" w:color="auto"/>
            <w:bottom w:val="none" w:sz="0" w:space="0" w:color="auto"/>
            <w:right w:val="none" w:sz="0" w:space="0" w:color="auto"/>
          </w:divBdr>
        </w:div>
        <w:div w:id="878473816">
          <w:marLeft w:val="0"/>
          <w:marRight w:val="0"/>
          <w:marTop w:val="0"/>
          <w:marBottom w:val="0"/>
          <w:divBdr>
            <w:top w:val="none" w:sz="0" w:space="0" w:color="auto"/>
            <w:left w:val="none" w:sz="0" w:space="0" w:color="auto"/>
            <w:bottom w:val="none" w:sz="0" w:space="0" w:color="auto"/>
            <w:right w:val="none" w:sz="0" w:space="0" w:color="auto"/>
          </w:divBdr>
        </w:div>
        <w:div w:id="837771636">
          <w:marLeft w:val="0"/>
          <w:marRight w:val="0"/>
          <w:marTop w:val="0"/>
          <w:marBottom w:val="0"/>
          <w:divBdr>
            <w:top w:val="none" w:sz="0" w:space="0" w:color="auto"/>
            <w:left w:val="none" w:sz="0" w:space="0" w:color="auto"/>
            <w:bottom w:val="none" w:sz="0" w:space="0" w:color="auto"/>
            <w:right w:val="none" w:sz="0" w:space="0" w:color="auto"/>
          </w:divBdr>
        </w:div>
        <w:div w:id="1104031511">
          <w:marLeft w:val="0"/>
          <w:marRight w:val="0"/>
          <w:marTop w:val="0"/>
          <w:marBottom w:val="0"/>
          <w:divBdr>
            <w:top w:val="none" w:sz="0" w:space="0" w:color="auto"/>
            <w:left w:val="none" w:sz="0" w:space="0" w:color="auto"/>
            <w:bottom w:val="none" w:sz="0" w:space="0" w:color="auto"/>
            <w:right w:val="none" w:sz="0" w:space="0" w:color="auto"/>
          </w:divBdr>
        </w:div>
        <w:div w:id="662124835">
          <w:marLeft w:val="0"/>
          <w:marRight w:val="0"/>
          <w:marTop w:val="0"/>
          <w:marBottom w:val="0"/>
          <w:divBdr>
            <w:top w:val="none" w:sz="0" w:space="0" w:color="auto"/>
            <w:left w:val="none" w:sz="0" w:space="0" w:color="auto"/>
            <w:bottom w:val="none" w:sz="0" w:space="0" w:color="auto"/>
            <w:right w:val="none" w:sz="0" w:space="0" w:color="auto"/>
          </w:divBdr>
        </w:div>
        <w:div w:id="100420463">
          <w:marLeft w:val="0"/>
          <w:marRight w:val="0"/>
          <w:marTop w:val="0"/>
          <w:marBottom w:val="0"/>
          <w:divBdr>
            <w:top w:val="none" w:sz="0" w:space="0" w:color="auto"/>
            <w:left w:val="none" w:sz="0" w:space="0" w:color="auto"/>
            <w:bottom w:val="none" w:sz="0" w:space="0" w:color="auto"/>
            <w:right w:val="none" w:sz="0" w:space="0" w:color="auto"/>
          </w:divBdr>
        </w:div>
      </w:divsChild>
    </w:div>
    <w:div w:id="846750859">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190416047">
      <w:bodyDiv w:val="1"/>
      <w:marLeft w:val="0"/>
      <w:marRight w:val="0"/>
      <w:marTop w:val="0"/>
      <w:marBottom w:val="0"/>
      <w:divBdr>
        <w:top w:val="none" w:sz="0" w:space="0" w:color="auto"/>
        <w:left w:val="none" w:sz="0" w:space="0" w:color="auto"/>
        <w:bottom w:val="none" w:sz="0" w:space="0" w:color="auto"/>
        <w:right w:val="none" w:sz="0" w:space="0" w:color="auto"/>
      </w:divBdr>
      <w:divsChild>
        <w:div w:id="1566136189">
          <w:marLeft w:val="0"/>
          <w:marRight w:val="0"/>
          <w:marTop w:val="0"/>
          <w:marBottom w:val="0"/>
          <w:divBdr>
            <w:top w:val="none" w:sz="0" w:space="0" w:color="auto"/>
            <w:left w:val="none" w:sz="0" w:space="0" w:color="auto"/>
            <w:bottom w:val="none" w:sz="0" w:space="0" w:color="auto"/>
            <w:right w:val="none" w:sz="0" w:space="0" w:color="auto"/>
          </w:divBdr>
        </w:div>
        <w:div w:id="2035037840">
          <w:marLeft w:val="0"/>
          <w:marRight w:val="0"/>
          <w:marTop w:val="0"/>
          <w:marBottom w:val="0"/>
          <w:divBdr>
            <w:top w:val="none" w:sz="0" w:space="0" w:color="auto"/>
            <w:left w:val="none" w:sz="0" w:space="0" w:color="auto"/>
            <w:bottom w:val="none" w:sz="0" w:space="0" w:color="auto"/>
            <w:right w:val="none" w:sz="0" w:space="0" w:color="auto"/>
          </w:divBdr>
        </w:div>
        <w:div w:id="1462773690">
          <w:marLeft w:val="0"/>
          <w:marRight w:val="0"/>
          <w:marTop w:val="0"/>
          <w:marBottom w:val="0"/>
          <w:divBdr>
            <w:top w:val="none" w:sz="0" w:space="0" w:color="auto"/>
            <w:left w:val="none" w:sz="0" w:space="0" w:color="auto"/>
            <w:bottom w:val="none" w:sz="0" w:space="0" w:color="auto"/>
            <w:right w:val="none" w:sz="0" w:space="0" w:color="auto"/>
          </w:divBdr>
        </w:div>
        <w:div w:id="209346810">
          <w:marLeft w:val="0"/>
          <w:marRight w:val="0"/>
          <w:marTop w:val="0"/>
          <w:marBottom w:val="0"/>
          <w:divBdr>
            <w:top w:val="none" w:sz="0" w:space="0" w:color="auto"/>
            <w:left w:val="none" w:sz="0" w:space="0" w:color="auto"/>
            <w:bottom w:val="none" w:sz="0" w:space="0" w:color="auto"/>
            <w:right w:val="none" w:sz="0" w:space="0" w:color="auto"/>
          </w:divBdr>
        </w:div>
        <w:div w:id="137964113">
          <w:marLeft w:val="0"/>
          <w:marRight w:val="0"/>
          <w:marTop w:val="0"/>
          <w:marBottom w:val="0"/>
          <w:divBdr>
            <w:top w:val="none" w:sz="0" w:space="0" w:color="auto"/>
            <w:left w:val="none" w:sz="0" w:space="0" w:color="auto"/>
            <w:bottom w:val="none" w:sz="0" w:space="0" w:color="auto"/>
            <w:right w:val="none" w:sz="0" w:space="0" w:color="auto"/>
          </w:divBdr>
        </w:div>
        <w:div w:id="125659138">
          <w:marLeft w:val="0"/>
          <w:marRight w:val="0"/>
          <w:marTop w:val="0"/>
          <w:marBottom w:val="0"/>
          <w:divBdr>
            <w:top w:val="none" w:sz="0" w:space="0" w:color="auto"/>
            <w:left w:val="none" w:sz="0" w:space="0" w:color="auto"/>
            <w:bottom w:val="none" w:sz="0" w:space="0" w:color="auto"/>
            <w:right w:val="none" w:sz="0" w:space="0" w:color="auto"/>
          </w:divBdr>
        </w:div>
        <w:div w:id="741558830">
          <w:marLeft w:val="0"/>
          <w:marRight w:val="0"/>
          <w:marTop w:val="0"/>
          <w:marBottom w:val="0"/>
          <w:divBdr>
            <w:top w:val="none" w:sz="0" w:space="0" w:color="auto"/>
            <w:left w:val="none" w:sz="0" w:space="0" w:color="auto"/>
            <w:bottom w:val="none" w:sz="0" w:space="0" w:color="auto"/>
            <w:right w:val="none" w:sz="0" w:space="0" w:color="auto"/>
          </w:divBdr>
        </w:div>
        <w:div w:id="1941060411">
          <w:marLeft w:val="0"/>
          <w:marRight w:val="0"/>
          <w:marTop w:val="0"/>
          <w:marBottom w:val="0"/>
          <w:divBdr>
            <w:top w:val="none" w:sz="0" w:space="0" w:color="auto"/>
            <w:left w:val="none" w:sz="0" w:space="0" w:color="auto"/>
            <w:bottom w:val="none" w:sz="0" w:space="0" w:color="auto"/>
            <w:right w:val="none" w:sz="0" w:space="0" w:color="auto"/>
          </w:divBdr>
        </w:div>
        <w:div w:id="1516771108">
          <w:marLeft w:val="0"/>
          <w:marRight w:val="0"/>
          <w:marTop w:val="0"/>
          <w:marBottom w:val="0"/>
          <w:divBdr>
            <w:top w:val="none" w:sz="0" w:space="0" w:color="auto"/>
            <w:left w:val="none" w:sz="0" w:space="0" w:color="auto"/>
            <w:bottom w:val="none" w:sz="0" w:space="0" w:color="auto"/>
            <w:right w:val="none" w:sz="0" w:space="0" w:color="auto"/>
          </w:divBdr>
        </w:div>
        <w:div w:id="1376345775">
          <w:marLeft w:val="0"/>
          <w:marRight w:val="0"/>
          <w:marTop w:val="0"/>
          <w:marBottom w:val="0"/>
          <w:divBdr>
            <w:top w:val="none" w:sz="0" w:space="0" w:color="auto"/>
            <w:left w:val="none" w:sz="0" w:space="0" w:color="auto"/>
            <w:bottom w:val="none" w:sz="0" w:space="0" w:color="auto"/>
            <w:right w:val="none" w:sz="0" w:space="0" w:color="auto"/>
          </w:divBdr>
        </w:div>
        <w:div w:id="2072650097">
          <w:marLeft w:val="0"/>
          <w:marRight w:val="0"/>
          <w:marTop w:val="0"/>
          <w:marBottom w:val="0"/>
          <w:divBdr>
            <w:top w:val="none" w:sz="0" w:space="0" w:color="auto"/>
            <w:left w:val="none" w:sz="0" w:space="0" w:color="auto"/>
            <w:bottom w:val="none" w:sz="0" w:space="0" w:color="auto"/>
            <w:right w:val="none" w:sz="0" w:space="0" w:color="auto"/>
          </w:divBdr>
        </w:div>
        <w:div w:id="1863519790">
          <w:marLeft w:val="0"/>
          <w:marRight w:val="0"/>
          <w:marTop w:val="0"/>
          <w:marBottom w:val="0"/>
          <w:divBdr>
            <w:top w:val="none" w:sz="0" w:space="0" w:color="auto"/>
            <w:left w:val="none" w:sz="0" w:space="0" w:color="auto"/>
            <w:bottom w:val="none" w:sz="0" w:space="0" w:color="auto"/>
            <w:right w:val="none" w:sz="0" w:space="0" w:color="auto"/>
          </w:divBdr>
        </w:div>
        <w:div w:id="368647428">
          <w:marLeft w:val="0"/>
          <w:marRight w:val="0"/>
          <w:marTop w:val="0"/>
          <w:marBottom w:val="0"/>
          <w:divBdr>
            <w:top w:val="none" w:sz="0" w:space="0" w:color="auto"/>
            <w:left w:val="none" w:sz="0" w:space="0" w:color="auto"/>
            <w:bottom w:val="none" w:sz="0" w:space="0" w:color="auto"/>
            <w:right w:val="none" w:sz="0" w:space="0" w:color="auto"/>
          </w:divBdr>
        </w:div>
        <w:div w:id="1138886054">
          <w:marLeft w:val="0"/>
          <w:marRight w:val="0"/>
          <w:marTop w:val="0"/>
          <w:marBottom w:val="0"/>
          <w:divBdr>
            <w:top w:val="none" w:sz="0" w:space="0" w:color="auto"/>
            <w:left w:val="none" w:sz="0" w:space="0" w:color="auto"/>
            <w:bottom w:val="none" w:sz="0" w:space="0" w:color="auto"/>
            <w:right w:val="none" w:sz="0" w:space="0" w:color="auto"/>
          </w:divBdr>
        </w:div>
        <w:div w:id="1220287300">
          <w:marLeft w:val="0"/>
          <w:marRight w:val="0"/>
          <w:marTop w:val="0"/>
          <w:marBottom w:val="0"/>
          <w:divBdr>
            <w:top w:val="none" w:sz="0" w:space="0" w:color="auto"/>
            <w:left w:val="none" w:sz="0" w:space="0" w:color="auto"/>
            <w:bottom w:val="none" w:sz="0" w:space="0" w:color="auto"/>
            <w:right w:val="none" w:sz="0" w:space="0" w:color="auto"/>
          </w:divBdr>
        </w:div>
        <w:div w:id="213736706">
          <w:marLeft w:val="0"/>
          <w:marRight w:val="0"/>
          <w:marTop w:val="0"/>
          <w:marBottom w:val="0"/>
          <w:divBdr>
            <w:top w:val="none" w:sz="0" w:space="0" w:color="auto"/>
            <w:left w:val="none" w:sz="0" w:space="0" w:color="auto"/>
            <w:bottom w:val="none" w:sz="0" w:space="0" w:color="auto"/>
            <w:right w:val="none" w:sz="0" w:space="0" w:color="auto"/>
          </w:divBdr>
        </w:div>
        <w:div w:id="1053772364">
          <w:marLeft w:val="0"/>
          <w:marRight w:val="0"/>
          <w:marTop w:val="0"/>
          <w:marBottom w:val="0"/>
          <w:divBdr>
            <w:top w:val="none" w:sz="0" w:space="0" w:color="auto"/>
            <w:left w:val="none" w:sz="0" w:space="0" w:color="auto"/>
            <w:bottom w:val="none" w:sz="0" w:space="0" w:color="auto"/>
            <w:right w:val="none" w:sz="0" w:space="0" w:color="auto"/>
          </w:divBdr>
        </w:div>
        <w:div w:id="1438863720">
          <w:marLeft w:val="0"/>
          <w:marRight w:val="0"/>
          <w:marTop w:val="0"/>
          <w:marBottom w:val="0"/>
          <w:divBdr>
            <w:top w:val="none" w:sz="0" w:space="0" w:color="auto"/>
            <w:left w:val="none" w:sz="0" w:space="0" w:color="auto"/>
            <w:bottom w:val="none" w:sz="0" w:space="0" w:color="auto"/>
            <w:right w:val="none" w:sz="0" w:space="0" w:color="auto"/>
          </w:divBdr>
        </w:div>
        <w:div w:id="569268003">
          <w:marLeft w:val="0"/>
          <w:marRight w:val="0"/>
          <w:marTop w:val="0"/>
          <w:marBottom w:val="0"/>
          <w:divBdr>
            <w:top w:val="none" w:sz="0" w:space="0" w:color="auto"/>
            <w:left w:val="none" w:sz="0" w:space="0" w:color="auto"/>
            <w:bottom w:val="none" w:sz="0" w:space="0" w:color="auto"/>
            <w:right w:val="none" w:sz="0" w:space="0" w:color="auto"/>
          </w:divBdr>
        </w:div>
        <w:div w:id="2033459029">
          <w:marLeft w:val="0"/>
          <w:marRight w:val="0"/>
          <w:marTop w:val="0"/>
          <w:marBottom w:val="0"/>
          <w:divBdr>
            <w:top w:val="none" w:sz="0" w:space="0" w:color="auto"/>
            <w:left w:val="none" w:sz="0" w:space="0" w:color="auto"/>
            <w:bottom w:val="none" w:sz="0" w:space="0" w:color="auto"/>
            <w:right w:val="none" w:sz="0" w:space="0" w:color="auto"/>
          </w:divBdr>
        </w:div>
        <w:div w:id="165563440">
          <w:marLeft w:val="0"/>
          <w:marRight w:val="0"/>
          <w:marTop w:val="0"/>
          <w:marBottom w:val="0"/>
          <w:divBdr>
            <w:top w:val="none" w:sz="0" w:space="0" w:color="auto"/>
            <w:left w:val="none" w:sz="0" w:space="0" w:color="auto"/>
            <w:bottom w:val="none" w:sz="0" w:space="0" w:color="auto"/>
            <w:right w:val="none" w:sz="0" w:space="0" w:color="auto"/>
          </w:divBdr>
        </w:div>
        <w:div w:id="2064256861">
          <w:marLeft w:val="0"/>
          <w:marRight w:val="0"/>
          <w:marTop w:val="0"/>
          <w:marBottom w:val="0"/>
          <w:divBdr>
            <w:top w:val="none" w:sz="0" w:space="0" w:color="auto"/>
            <w:left w:val="none" w:sz="0" w:space="0" w:color="auto"/>
            <w:bottom w:val="none" w:sz="0" w:space="0" w:color="auto"/>
            <w:right w:val="none" w:sz="0" w:space="0" w:color="auto"/>
          </w:divBdr>
        </w:div>
        <w:div w:id="2095779175">
          <w:marLeft w:val="0"/>
          <w:marRight w:val="0"/>
          <w:marTop w:val="0"/>
          <w:marBottom w:val="0"/>
          <w:divBdr>
            <w:top w:val="none" w:sz="0" w:space="0" w:color="auto"/>
            <w:left w:val="none" w:sz="0" w:space="0" w:color="auto"/>
            <w:bottom w:val="none" w:sz="0" w:space="0" w:color="auto"/>
            <w:right w:val="none" w:sz="0" w:space="0" w:color="auto"/>
          </w:divBdr>
        </w:div>
        <w:div w:id="557909229">
          <w:marLeft w:val="0"/>
          <w:marRight w:val="0"/>
          <w:marTop w:val="0"/>
          <w:marBottom w:val="0"/>
          <w:divBdr>
            <w:top w:val="none" w:sz="0" w:space="0" w:color="auto"/>
            <w:left w:val="none" w:sz="0" w:space="0" w:color="auto"/>
            <w:bottom w:val="none" w:sz="0" w:space="0" w:color="auto"/>
            <w:right w:val="none" w:sz="0" w:space="0" w:color="auto"/>
          </w:divBdr>
        </w:div>
        <w:div w:id="308024101">
          <w:marLeft w:val="0"/>
          <w:marRight w:val="0"/>
          <w:marTop w:val="0"/>
          <w:marBottom w:val="0"/>
          <w:divBdr>
            <w:top w:val="none" w:sz="0" w:space="0" w:color="auto"/>
            <w:left w:val="none" w:sz="0" w:space="0" w:color="auto"/>
            <w:bottom w:val="none" w:sz="0" w:space="0" w:color="auto"/>
            <w:right w:val="none" w:sz="0" w:space="0" w:color="auto"/>
          </w:divBdr>
        </w:div>
        <w:div w:id="138881499">
          <w:marLeft w:val="0"/>
          <w:marRight w:val="0"/>
          <w:marTop w:val="0"/>
          <w:marBottom w:val="0"/>
          <w:divBdr>
            <w:top w:val="none" w:sz="0" w:space="0" w:color="auto"/>
            <w:left w:val="none" w:sz="0" w:space="0" w:color="auto"/>
            <w:bottom w:val="none" w:sz="0" w:space="0" w:color="auto"/>
            <w:right w:val="none" w:sz="0" w:space="0" w:color="auto"/>
          </w:divBdr>
        </w:div>
        <w:div w:id="1163933451">
          <w:marLeft w:val="0"/>
          <w:marRight w:val="0"/>
          <w:marTop w:val="0"/>
          <w:marBottom w:val="0"/>
          <w:divBdr>
            <w:top w:val="none" w:sz="0" w:space="0" w:color="auto"/>
            <w:left w:val="none" w:sz="0" w:space="0" w:color="auto"/>
            <w:bottom w:val="none" w:sz="0" w:space="0" w:color="auto"/>
            <w:right w:val="none" w:sz="0" w:space="0" w:color="auto"/>
          </w:divBdr>
        </w:div>
        <w:div w:id="1248885307">
          <w:marLeft w:val="0"/>
          <w:marRight w:val="0"/>
          <w:marTop w:val="0"/>
          <w:marBottom w:val="0"/>
          <w:divBdr>
            <w:top w:val="none" w:sz="0" w:space="0" w:color="auto"/>
            <w:left w:val="none" w:sz="0" w:space="0" w:color="auto"/>
            <w:bottom w:val="none" w:sz="0" w:space="0" w:color="auto"/>
            <w:right w:val="none" w:sz="0" w:space="0" w:color="auto"/>
          </w:divBdr>
        </w:div>
        <w:div w:id="1267620600">
          <w:marLeft w:val="0"/>
          <w:marRight w:val="0"/>
          <w:marTop w:val="0"/>
          <w:marBottom w:val="0"/>
          <w:divBdr>
            <w:top w:val="none" w:sz="0" w:space="0" w:color="auto"/>
            <w:left w:val="none" w:sz="0" w:space="0" w:color="auto"/>
            <w:bottom w:val="none" w:sz="0" w:space="0" w:color="auto"/>
            <w:right w:val="none" w:sz="0" w:space="0" w:color="auto"/>
          </w:divBdr>
        </w:div>
        <w:div w:id="860688">
          <w:marLeft w:val="0"/>
          <w:marRight w:val="0"/>
          <w:marTop w:val="0"/>
          <w:marBottom w:val="0"/>
          <w:divBdr>
            <w:top w:val="none" w:sz="0" w:space="0" w:color="auto"/>
            <w:left w:val="none" w:sz="0" w:space="0" w:color="auto"/>
            <w:bottom w:val="none" w:sz="0" w:space="0" w:color="auto"/>
            <w:right w:val="none" w:sz="0" w:space="0" w:color="auto"/>
          </w:divBdr>
        </w:div>
        <w:div w:id="1399330382">
          <w:marLeft w:val="0"/>
          <w:marRight w:val="0"/>
          <w:marTop w:val="0"/>
          <w:marBottom w:val="0"/>
          <w:divBdr>
            <w:top w:val="none" w:sz="0" w:space="0" w:color="auto"/>
            <w:left w:val="none" w:sz="0" w:space="0" w:color="auto"/>
            <w:bottom w:val="none" w:sz="0" w:space="0" w:color="auto"/>
            <w:right w:val="none" w:sz="0" w:space="0" w:color="auto"/>
          </w:divBdr>
        </w:div>
        <w:div w:id="1170371966">
          <w:marLeft w:val="0"/>
          <w:marRight w:val="0"/>
          <w:marTop w:val="0"/>
          <w:marBottom w:val="0"/>
          <w:divBdr>
            <w:top w:val="none" w:sz="0" w:space="0" w:color="auto"/>
            <w:left w:val="none" w:sz="0" w:space="0" w:color="auto"/>
            <w:bottom w:val="none" w:sz="0" w:space="0" w:color="auto"/>
            <w:right w:val="none" w:sz="0" w:space="0" w:color="auto"/>
          </w:divBdr>
        </w:div>
        <w:div w:id="423310230">
          <w:marLeft w:val="0"/>
          <w:marRight w:val="0"/>
          <w:marTop w:val="0"/>
          <w:marBottom w:val="0"/>
          <w:divBdr>
            <w:top w:val="none" w:sz="0" w:space="0" w:color="auto"/>
            <w:left w:val="none" w:sz="0" w:space="0" w:color="auto"/>
            <w:bottom w:val="none" w:sz="0" w:space="0" w:color="auto"/>
            <w:right w:val="none" w:sz="0" w:space="0" w:color="auto"/>
          </w:divBdr>
        </w:div>
        <w:div w:id="427770437">
          <w:marLeft w:val="0"/>
          <w:marRight w:val="0"/>
          <w:marTop w:val="0"/>
          <w:marBottom w:val="0"/>
          <w:divBdr>
            <w:top w:val="none" w:sz="0" w:space="0" w:color="auto"/>
            <w:left w:val="none" w:sz="0" w:space="0" w:color="auto"/>
            <w:bottom w:val="none" w:sz="0" w:space="0" w:color="auto"/>
            <w:right w:val="none" w:sz="0" w:space="0" w:color="auto"/>
          </w:divBdr>
        </w:div>
        <w:div w:id="1852838379">
          <w:marLeft w:val="0"/>
          <w:marRight w:val="0"/>
          <w:marTop w:val="0"/>
          <w:marBottom w:val="0"/>
          <w:divBdr>
            <w:top w:val="none" w:sz="0" w:space="0" w:color="auto"/>
            <w:left w:val="none" w:sz="0" w:space="0" w:color="auto"/>
            <w:bottom w:val="none" w:sz="0" w:space="0" w:color="auto"/>
            <w:right w:val="none" w:sz="0" w:space="0" w:color="auto"/>
          </w:divBdr>
        </w:div>
        <w:div w:id="1635212075">
          <w:marLeft w:val="0"/>
          <w:marRight w:val="0"/>
          <w:marTop w:val="0"/>
          <w:marBottom w:val="0"/>
          <w:divBdr>
            <w:top w:val="none" w:sz="0" w:space="0" w:color="auto"/>
            <w:left w:val="none" w:sz="0" w:space="0" w:color="auto"/>
            <w:bottom w:val="none" w:sz="0" w:space="0" w:color="auto"/>
            <w:right w:val="none" w:sz="0" w:space="0" w:color="auto"/>
          </w:divBdr>
        </w:div>
        <w:div w:id="597101180">
          <w:marLeft w:val="0"/>
          <w:marRight w:val="0"/>
          <w:marTop w:val="0"/>
          <w:marBottom w:val="0"/>
          <w:divBdr>
            <w:top w:val="none" w:sz="0" w:space="0" w:color="auto"/>
            <w:left w:val="none" w:sz="0" w:space="0" w:color="auto"/>
            <w:bottom w:val="none" w:sz="0" w:space="0" w:color="auto"/>
            <w:right w:val="none" w:sz="0" w:space="0" w:color="auto"/>
          </w:divBdr>
        </w:div>
      </w:divsChild>
    </w:div>
    <w:div w:id="1697585784">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wipo.int/meetings/zh/doc_details.jsp?doc_id=633673" TargetMode="External"/><Relationship Id="rId4" Type="http://schemas.openxmlformats.org/officeDocument/2006/relationships/settings" Target="settings.xml"/><Relationship Id="rId9" Type="http://schemas.openxmlformats.org/officeDocument/2006/relationships/hyperlink" Target="https://www.wipo.int/meetings/zh/details.jsp?meeting_id=8092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FF7C-9E67-44D1-AE01-2A523417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9</Pages>
  <Words>6299</Words>
  <Characters>923</Characters>
  <Application>Microsoft Office Word</Application>
  <DocSecurity>0</DocSecurity>
  <Lines>7</Lines>
  <Paragraphs>14</Paragraphs>
  <ScaleCrop>false</ScaleCrop>
  <HeadingPairs>
    <vt:vector size="2" baseType="variant">
      <vt:variant>
        <vt:lpstr>Title</vt:lpstr>
      </vt:variant>
      <vt:variant>
        <vt:i4>1</vt:i4>
      </vt:variant>
    </vt:vector>
  </HeadingPairs>
  <TitlesOfParts>
    <vt:vector size="1" baseType="lpstr">
      <vt:lpstr>WO/GA/58/9</vt:lpstr>
    </vt:vector>
  </TitlesOfParts>
  <Company>WIPO</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WO/GA/58/9</dc:title>
  <dc:subject>关于产权组织标准委员会（标准委）的报告</dc:subject>
  <dc:creator>WIPO</dc:creator>
  <cp:keywords>WIPO, General, Assembly, Report, CWS, Standards, 2025</cp:keywords>
  <dc:description/>
  <cp:lastModifiedBy>RUSSO Antonella</cp:lastModifiedBy>
  <cp:revision>30</cp:revision>
  <cp:lastPrinted>2025-03-07T15:45:00Z</cp:lastPrinted>
  <dcterms:created xsi:type="dcterms:W3CDTF">2025-03-21T10:34:00Z</dcterms:created>
  <dcterms:modified xsi:type="dcterms:W3CDTF">2025-04-02T15:04:00Z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2cd8ec67-8e3b-4d9a-a022-36f289d0763d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2023-04-26T14:17:18Z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7dfba934-dac7-4e05-933d-8d6f3080c7ad</vt:lpwstr>
  </property>
  <property fmtid="{D5CDD505-2E9C-101B-9397-08002B2CF9AE}" pid="14" name="MSIP_Label_20773ee6-353b-4fb9-a59d-0b94c8c67bea_ContentBits">
    <vt:lpwstr>0</vt:lpwstr>
  </property>
</Properties>
</file>