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06DF" w14:textId="77777777" w:rsidR="002C2BDE" w:rsidRPr="00013842" w:rsidRDefault="002C2BDE" w:rsidP="002C2BDE">
      <w:pPr>
        <w:jc w:val="right"/>
        <w:rPr>
          <w:caps/>
          <w:sz w:val="15"/>
        </w:rPr>
      </w:pPr>
      <w:r w:rsidRPr="00FC18A2">
        <w:rPr>
          <w:rFonts w:cs="Times New Roman"/>
          <w:noProof/>
        </w:rPr>
        <w:drawing>
          <wp:inline distT="0" distB="0" distL="0" distR="0" wp14:anchorId="1E72992B" wp14:editId="2D6ACF9A">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C3D4DD5" w14:textId="552C7654" w:rsidR="002C2BDE" w:rsidRPr="006E4F5F" w:rsidRDefault="002C2BDE" w:rsidP="002C2BD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7</w:t>
      </w:r>
    </w:p>
    <w:bookmarkEnd w:id="0"/>
    <w:p w14:paraId="06DFE6C2" w14:textId="77777777" w:rsidR="002C2BDE" w:rsidRPr="00E62C24" w:rsidRDefault="002C2BDE" w:rsidP="002C2BD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6A4560D" w14:textId="77777777" w:rsidR="002C2BDE" w:rsidRPr="00E62C24" w:rsidRDefault="002C2BDE" w:rsidP="002C2BD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24</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1</w:t>
      </w:r>
      <w:r w:rsidRPr="00E62C24">
        <w:rPr>
          <w:rFonts w:ascii="SimHei" w:eastAsia="SimHei" w:hAnsi="Times New Roman" w:hint="eastAsia"/>
          <w:b/>
          <w:sz w:val="15"/>
          <w:szCs w:val="15"/>
        </w:rPr>
        <w:t>日</w:t>
      </w:r>
    </w:p>
    <w:bookmarkEnd w:id="2"/>
    <w:p w14:paraId="798605B0" w14:textId="77777777" w:rsidR="002C2BDE" w:rsidRPr="00D945ED" w:rsidRDefault="002C2BDE" w:rsidP="002C2BD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25953064" w14:textId="77777777" w:rsidR="002C2BDE" w:rsidRPr="00D945ED" w:rsidRDefault="002C2BDE" w:rsidP="002C2BD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届会议（第</w:t>
      </w:r>
      <w:r>
        <w:rPr>
          <w:rFonts w:ascii="KaiTi" w:eastAsia="KaiTi" w:hAnsi="KaiTi" w:cs="Times New Roman"/>
          <w:sz w:val="24"/>
          <w:szCs w:val="22"/>
        </w:rPr>
        <w:t>31</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9</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17</w:t>
      </w:r>
      <w:r w:rsidRPr="00D945ED">
        <w:rPr>
          <w:rFonts w:ascii="KaiTi" w:eastAsia="KaiTi" w:hAnsi="KaiTi" w:cs="Times New Roman" w:hint="eastAsia"/>
          <w:b/>
          <w:sz w:val="24"/>
          <w:szCs w:val="22"/>
        </w:rPr>
        <w:t>日，日内瓦</w:t>
      </w:r>
    </w:p>
    <w:p w14:paraId="676E451E" w14:textId="7A0CA78D" w:rsidR="002C2BDE" w:rsidRPr="005D1032" w:rsidRDefault="002C2BDE" w:rsidP="002C2BDE">
      <w:pPr>
        <w:spacing w:after="360"/>
        <w:rPr>
          <w:rFonts w:ascii="KaiTi" w:eastAsia="KaiTi" w:hAnsi="KaiTi" w:cs="Times New Roman"/>
          <w:sz w:val="24"/>
          <w:szCs w:val="32"/>
        </w:rPr>
      </w:pPr>
      <w:bookmarkStart w:id="3" w:name="TitleOfDoc"/>
      <w:r w:rsidRPr="002C2BDE">
        <w:rPr>
          <w:rFonts w:ascii="KaiTi" w:eastAsia="KaiTi" w:hAnsi="KaiTi" w:cs="Times New Roman" w:hint="eastAsia"/>
          <w:sz w:val="24"/>
          <w:szCs w:val="32"/>
        </w:rPr>
        <w:t>关于知识产权与遗传资源、传统知识和</w:t>
      </w:r>
      <w:r>
        <w:rPr>
          <w:rFonts w:ascii="KaiTi" w:eastAsia="KaiTi" w:hAnsi="KaiTi" w:cs="Times New Roman"/>
          <w:sz w:val="24"/>
          <w:szCs w:val="32"/>
        </w:rPr>
        <w:br/>
      </w:r>
      <w:r w:rsidRPr="002C2BDE">
        <w:rPr>
          <w:rFonts w:ascii="KaiTi" w:eastAsia="KaiTi" w:hAnsi="KaiTi" w:cs="Times New Roman" w:hint="eastAsia"/>
          <w:sz w:val="24"/>
          <w:szCs w:val="32"/>
        </w:rPr>
        <w:t>民间文学艺术政府间委员会（IGC）的报告</w:t>
      </w:r>
    </w:p>
    <w:p w14:paraId="0C5E731B" w14:textId="77777777" w:rsidR="002C2BDE" w:rsidRPr="005D1032" w:rsidRDefault="002C2BDE" w:rsidP="002C2BDE">
      <w:pPr>
        <w:spacing w:after="960"/>
        <w:rPr>
          <w:rFonts w:ascii="KaiTi" w:eastAsia="KaiTi" w:hAnsi="STKaiti" w:cs="Times New Roman"/>
          <w:sz w:val="21"/>
          <w:szCs w:val="24"/>
        </w:rPr>
      </w:pPr>
      <w:bookmarkStart w:id="4" w:name="Prepared"/>
      <w:bookmarkEnd w:id="3"/>
      <w:r w:rsidRPr="00950003">
        <w:rPr>
          <w:rFonts w:ascii="KaiTi" w:eastAsia="KaiTi" w:hAnsi="STKaiti" w:cs="Times New Roman" w:hint="eastAsia"/>
          <w:sz w:val="21"/>
          <w:szCs w:val="24"/>
        </w:rPr>
        <w:t>秘书处编拟</w:t>
      </w:r>
    </w:p>
    <w:bookmarkEnd w:id="4"/>
    <w:p w14:paraId="3E437117" w14:textId="68A6796D" w:rsidR="00D04848" w:rsidRPr="00530FCA" w:rsidRDefault="002C2BDE" w:rsidP="00530FCA">
      <w:pPr>
        <w:pStyle w:val="ONUME"/>
        <w:tabs>
          <w:tab w:val="clear" w:pos="567"/>
        </w:tabs>
        <w:overflowPunct w:val="0"/>
        <w:spacing w:afterLines="50" w:after="120" w:line="340" w:lineRule="atLeast"/>
        <w:jc w:val="both"/>
        <w:rPr>
          <w:rFonts w:ascii="SimSun" w:hAnsi="SimSun"/>
          <w:sz w:val="21"/>
          <w:szCs w:val="18"/>
        </w:rPr>
      </w:pPr>
      <w:r w:rsidRPr="00530FCA">
        <w:rPr>
          <w:rFonts w:ascii="SimSun" w:hAnsi="SimSun" w:hint="eastAsia"/>
          <w:sz w:val="21"/>
          <w:szCs w:val="18"/>
        </w:rPr>
        <w:t>产权组织大会在2022年7月14日至22日举行的第五十五届会议上，决定在文件WIPO/GRTKF/IC/43/5（“知识产权、遗传资源和遗传资源相关传统知识国际法律文书草案主席案文”）和成员国提供的任何其他材料的基础上，不晚于2024年召开一次缔结知识产权、遗传资源和遗传资源相关传统知识国际法律文书外交会议（外交会议），并指示知识产权与遗传资源、传统知识和民间文学艺术政府间委员会（IGC）在2023年下半年举行为期五天的特别会议，进一步将任何现有的差距缩小到足够的水平（见文件WO/GA/55/12第3</w:t>
      </w:r>
      <w:r w:rsidRPr="00530FCA">
        <w:rPr>
          <w:rFonts w:ascii="SimSun" w:hAnsi="SimSun"/>
          <w:sz w:val="21"/>
          <w:szCs w:val="18"/>
        </w:rPr>
        <w:t>09</w:t>
      </w:r>
      <w:r w:rsidRPr="00530FCA">
        <w:rPr>
          <w:rFonts w:ascii="SimSun" w:hAnsi="SimSun" w:hint="eastAsia"/>
          <w:sz w:val="21"/>
          <w:szCs w:val="18"/>
        </w:rPr>
        <w:t>段）。</w:t>
      </w:r>
    </w:p>
    <w:p w14:paraId="192B6375" w14:textId="529EEC52" w:rsidR="00135882" w:rsidRPr="00530FCA" w:rsidRDefault="002C2BDE" w:rsidP="00530FCA">
      <w:pPr>
        <w:pStyle w:val="ONUME"/>
        <w:tabs>
          <w:tab w:val="clear" w:pos="567"/>
        </w:tabs>
        <w:overflowPunct w:val="0"/>
        <w:spacing w:afterLines="50" w:after="120" w:line="340" w:lineRule="atLeast"/>
        <w:jc w:val="both"/>
        <w:rPr>
          <w:rFonts w:ascii="SimSun" w:hAnsi="SimSun"/>
          <w:sz w:val="21"/>
          <w:szCs w:val="18"/>
        </w:rPr>
      </w:pPr>
      <w:r w:rsidRPr="00530FCA">
        <w:rPr>
          <w:rFonts w:ascii="SimSun" w:hAnsi="SimSun" w:hint="eastAsia"/>
          <w:sz w:val="21"/>
          <w:szCs w:val="18"/>
        </w:rPr>
        <w:t>根据这一决定，IGC于2023年9月4日至8日举行了一次特别会议。IGC审查并修订了文件WIPO/GRTKF/IC/SS/GE/23/2附件的序言和第1条至第9条的案文，并决定将经修订的</w:t>
      </w:r>
      <w:r w:rsidR="00C84BA8">
        <w:rPr>
          <w:rFonts w:ascii="SimSun" w:hAnsi="SimSun" w:hint="eastAsia"/>
          <w:sz w:val="21"/>
          <w:szCs w:val="18"/>
        </w:rPr>
        <w:t>案文</w:t>
      </w:r>
      <w:r w:rsidRPr="00530FCA">
        <w:rPr>
          <w:rFonts w:ascii="SimSun" w:hAnsi="SimSun" w:hint="eastAsia"/>
          <w:sz w:val="21"/>
          <w:szCs w:val="18"/>
        </w:rPr>
        <w:t>转送外交会议筹备委员会，作为《知识产权、遗传资源和遗传资源相关传统知识国际法律文书基础提案》（《基础提案》）的实质条款。《基础提案》可</w:t>
      </w:r>
      <w:hyperlink r:id="rId9" w:history="1">
        <w:r w:rsidRPr="00530FCA">
          <w:rPr>
            <w:rStyle w:val="af"/>
            <w:rFonts w:ascii="SimSun" w:hAnsi="SimSun" w:hint="eastAsia"/>
            <w:sz w:val="21"/>
            <w:szCs w:val="18"/>
          </w:rPr>
          <w:t>在线</w:t>
        </w:r>
      </w:hyperlink>
      <w:r w:rsidRPr="00530FCA">
        <w:rPr>
          <w:rFonts w:ascii="SimSun" w:hAnsi="SimSun" w:hint="eastAsia"/>
          <w:sz w:val="21"/>
          <w:szCs w:val="18"/>
        </w:rPr>
        <w:t>查阅。</w:t>
      </w:r>
    </w:p>
    <w:p w14:paraId="71ECD604" w14:textId="6A715058" w:rsidR="000939B1" w:rsidRDefault="00512C6F" w:rsidP="00530FCA">
      <w:pPr>
        <w:pStyle w:val="ONUME"/>
        <w:tabs>
          <w:tab w:val="clear" w:pos="567"/>
        </w:tabs>
        <w:overflowPunct w:val="0"/>
        <w:spacing w:afterLines="50" w:after="120" w:line="340" w:lineRule="atLeast"/>
        <w:jc w:val="both"/>
        <w:rPr>
          <w:rFonts w:ascii="SimSun" w:hAnsi="SimSun"/>
          <w:sz w:val="21"/>
          <w:szCs w:val="18"/>
        </w:rPr>
      </w:pPr>
      <w:r w:rsidRPr="00530FCA">
        <w:rPr>
          <w:rFonts w:ascii="SimSun" w:hAnsi="SimSun" w:hint="eastAsia"/>
          <w:sz w:val="21"/>
          <w:szCs w:val="18"/>
        </w:rPr>
        <w:t>产权组织大会在2023年7月6日至14日举行的第五十六届会议上，同意将IGC的任务授权延长至2024-2025两年期。IGC将于2024年11月29日举行第四十八届会议，2024年12月2日至6日举行第四十九届会议。</w:t>
      </w:r>
    </w:p>
    <w:p w14:paraId="18242559" w14:textId="77777777" w:rsidR="000939B1" w:rsidRDefault="000939B1">
      <w:pPr>
        <w:rPr>
          <w:rFonts w:ascii="SimSun" w:hAnsi="SimSun"/>
          <w:sz w:val="21"/>
          <w:szCs w:val="18"/>
        </w:rPr>
      </w:pPr>
      <w:r>
        <w:rPr>
          <w:rFonts w:ascii="SimSun" w:hAnsi="SimSun"/>
          <w:sz w:val="21"/>
          <w:szCs w:val="18"/>
        </w:rPr>
        <w:br w:type="page"/>
      </w:r>
    </w:p>
    <w:p w14:paraId="52F97F1E" w14:textId="7B1210D0" w:rsidR="002928D3" w:rsidRPr="00530FCA" w:rsidRDefault="00512C6F" w:rsidP="00530FCA">
      <w:pPr>
        <w:pStyle w:val="ONUME"/>
        <w:tabs>
          <w:tab w:val="clear" w:pos="567"/>
        </w:tabs>
        <w:overflowPunct w:val="0"/>
        <w:spacing w:afterLines="50" w:after="120" w:line="340" w:lineRule="atLeast"/>
        <w:ind w:left="5534"/>
        <w:jc w:val="both"/>
        <w:rPr>
          <w:rFonts w:ascii="KaiTi" w:eastAsia="KaiTi" w:hAnsi="KaiTi"/>
          <w:sz w:val="21"/>
          <w:szCs w:val="18"/>
          <w:lang w:eastAsia="pt-BR"/>
        </w:rPr>
      </w:pPr>
      <w:r w:rsidRPr="00530FCA">
        <w:rPr>
          <w:rFonts w:ascii="KaiTi" w:eastAsia="KaiTi" w:hAnsi="KaiTi" w:hint="eastAsia"/>
          <w:sz w:val="21"/>
          <w:szCs w:val="18"/>
        </w:rPr>
        <w:lastRenderedPageBreak/>
        <w:t>请产权组织大会注意“</w:t>
      </w:r>
      <w:r w:rsidR="002C2BDE" w:rsidRPr="00530FCA">
        <w:rPr>
          <w:rFonts w:ascii="KaiTi" w:eastAsia="KaiTi" w:hAnsi="KaiTi" w:hint="eastAsia"/>
          <w:sz w:val="21"/>
          <w:szCs w:val="18"/>
          <w:lang w:eastAsia="pt-BR"/>
        </w:rPr>
        <w:t>关于知识产权与遗传资源、传统知识和民间文学艺术政府间委员会（IGC）的报告</w:t>
      </w:r>
      <w:r w:rsidRPr="00530FCA">
        <w:rPr>
          <w:rFonts w:ascii="KaiTi" w:eastAsia="KaiTi" w:hAnsi="KaiTi" w:hint="eastAsia"/>
          <w:sz w:val="21"/>
          <w:szCs w:val="18"/>
        </w:rPr>
        <w:t>”（文件</w:t>
      </w:r>
      <w:r w:rsidRPr="00530FCA">
        <w:rPr>
          <w:rFonts w:ascii="KaiTi" w:eastAsia="KaiTi" w:hAnsi="KaiTi"/>
          <w:sz w:val="21"/>
          <w:szCs w:val="18"/>
          <w:lang w:eastAsia="pt-BR"/>
        </w:rPr>
        <w:t>WO/GA/57/7</w:t>
      </w:r>
      <w:r w:rsidRPr="00530FCA">
        <w:rPr>
          <w:rFonts w:ascii="KaiTi" w:eastAsia="KaiTi" w:hAnsi="KaiTi" w:hint="eastAsia"/>
          <w:sz w:val="21"/>
          <w:szCs w:val="18"/>
        </w:rPr>
        <w:t>）</w:t>
      </w:r>
    </w:p>
    <w:p w14:paraId="2F345CD9" w14:textId="067243FA" w:rsidR="00921EC9" w:rsidRPr="00530FCA" w:rsidRDefault="00921EC9" w:rsidP="00530FCA">
      <w:pPr>
        <w:pStyle w:val="ONUME"/>
        <w:numPr>
          <w:ilvl w:val="0"/>
          <w:numId w:val="0"/>
        </w:numPr>
        <w:overflowPunct w:val="0"/>
        <w:spacing w:before="720" w:afterLines="50" w:after="120" w:line="340" w:lineRule="atLeast"/>
        <w:ind w:left="5534"/>
        <w:rPr>
          <w:rFonts w:ascii="KaiTi" w:eastAsia="KaiTi" w:hAnsi="KaiTi"/>
          <w:sz w:val="21"/>
          <w:szCs w:val="18"/>
          <w:lang w:eastAsia="pt-BR"/>
        </w:rPr>
      </w:pPr>
      <w:r w:rsidRPr="00530FCA">
        <w:rPr>
          <w:rFonts w:ascii="KaiTi" w:eastAsia="KaiTi" w:hAnsi="KaiTi"/>
          <w:sz w:val="21"/>
          <w:szCs w:val="18"/>
          <w:lang w:eastAsia="pt-BR"/>
        </w:rPr>
        <w:t>[</w:t>
      </w:r>
      <w:r w:rsidR="00512C6F" w:rsidRPr="00530FCA">
        <w:rPr>
          <w:rFonts w:ascii="KaiTi" w:eastAsia="KaiTi" w:hAnsi="KaiTi" w:hint="eastAsia"/>
          <w:sz w:val="21"/>
          <w:szCs w:val="18"/>
        </w:rPr>
        <w:t>文件完</w:t>
      </w:r>
      <w:r w:rsidRPr="00530FCA">
        <w:rPr>
          <w:rFonts w:ascii="KaiTi" w:eastAsia="KaiTi" w:hAnsi="KaiTi"/>
          <w:sz w:val="21"/>
          <w:szCs w:val="18"/>
          <w:lang w:eastAsia="pt-BR"/>
        </w:rPr>
        <w:t>]</w:t>
      </w:r>
    </w:p>
    <w:sectPr w:rsidR="00921EC9" w:rsidRPr="00530FCA" w:rsidSect="0060582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82B5" w14:textId="77777777" w:rsidR="009C6AEA" w:rsidRDefault="009C6AEA">
      <w:r>
        <w:separator/>
      </w:r>
    </w:p>
  </w:endnote>
  <w:endnote w:type="continuationSeparator" w:id="0">
    <w:p w14:paraId="6A4C1DF3" w14:textId="77777777" w:rsidR="009C6AEA" w:rsidRDefault="009C6AEA" w:rsidP="003B38C1">
      <w:r>
        <w:separator/>
      </w:r>
    </w:p>
    <w:p w14:paraId="0525E792" w14:textId="77777777" w:rsidR="009C6AEA" w:rsidRPr="003B38C1" w:rsidRDefault="009C6AEA" w:rsidP="003B38C1">
      <w:pPr>
        <w:spacing w:after="60"/>
        <w:rPr>
          <w:sz w:val="17"/>
        </w:rPr>
      </w:pPr>
      <w:r>
        <w:rPr>
          <w:sz w:val="17"/>
        </w:rPr>
        <w:t>[Endnote continued from previous page]</w:t>
      </w:r>
    </w:p>
  </w:endnote>
  <w:endnote w:type="continuationNotice" w:id="1">
    <w:p w14:paraId="776BC2D4" w14:textId="77777777" w:rsidR="009C6AEA" w:rsidRPr="003B38C1" w:rsidRDefault="009C6A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3884" w14:textId="77777777" w:rsidR="000939B1" w:rsidRDefault="000939B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351E" w14:textId="77777777" w:rsidR="000939B1" w:rsidRDefault="000939B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2B98" w14:textId="77777777" w:rsidR="000939B1" w:rsidRDefault="000939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7E23" w14:textId="77777777" w:rsidR="009C6AEA" w:rsidRDefault="009C6AEA">
      <w:r>
        <w:separator/>
      </w:r>
    </w:p>
  </w:footnote>
  <w:footnote w:type="continuationSeparator" w:id="0">
    <w:p w14:paraId="073AF635" w14:textId="77777777" w:rsidR="009C6AEA" w:rsidRDefault="009C6AEA" w:rsidP="008B60B2">
      <w:r>
        <w:separator/>
      </w:r>
    </w:p>
    <w:p w14:paraId="7C0414B6" w14:textId="77777777" w:rsidR="009C6AEA" w:rsidRPr="00ED77FB" w:rsidRDefault="009C6AEA" w:rsidP="008B60B2">
      <w:pPr>
        <w:spacing w:after="60"/>
        <w:rPr>
          <w:sz w:val="17"/>
          <w:szCs w:val="17"/>
        </w:rPr>
      </w:pPr>
      <w:r w:rsidRPr="00ED77FB">
        <w:rPr>
          <w:sz w:val="17"/>
          <w:szCs w:val="17"/>
        </w:rPr>
        <w:t>[Footnote continued from previous page]</w:t>
      </w:r>
    </w:p>
  </w:footnote>
  <w:footnote w:type="continuationNotice" w:id="1">
    <w:p w14:paraId="3D87069C" w14:textId="77777777" w:rsidR="009C6AEA" w:rsidRPr="00ED77FB" w:rsidRDefault="009C6A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5691" w14:textId="77777777" w:rsidR="000939B1" w:rsidRDefault="000939B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AF62" w14:textId="6BA3F418" w:rsidR="00EC4E49" w:rsidRPr="00530FCA" w:rsidRDefault="000D6C07" w:rsidP="00477D6B">
    <w:pPr>
      <w:jc w:val="right"/>
      <w:rPr>
        <w:rFonts w:asciiTheme="minorEastAsia" w:eastAsiaTheme="minorEastAsia" w:hAnsiTheme="minorEastAsia"/>
        <w:sz w:val="21"/>
        <w:szCs w:val="18"/>
      </w:rPr>
    </w:pPr>
    <w:bookmarkStart w:id="5" w:name="Code2"/>
    <w:bookmarkEnd w:id="5"/>
    <w:r w:rsidRPr="00530FCA">
      <w:rPr>
        <w:rFonts w:asciiTheme="minorEastAsia" w:eastAsiaTheme="minorEastAsia" w:hAnsiTheme="minorEastAsia"/>
        <w:sz w:val="21"/>
        <w:szCs w:val="18"/>
      </w:rPr>
      <w:t>WO/GA/57/7</w:t>
    </w:r>
  </w:p>
  <w:p w14:paraId="52E8306D" w14:textId="37DB4E09" w:rsidR="00B50B99" w:rsidRPr="00530FCA" w:rsidRDefault="00512C6F" w:rsidP="00530FCA">
    <w:pPr>
      <w:spacing w:afterLines="100" w:after="240"/>
      <w:jc w:val="right"/>
      <w:rPr>
        <w:rFonts w:asciiTheme="minorEastAsia" w:eastAsiaTheme="minorEastAsia" w:hAnsiTheme="minorEastAsia"/>
        <w:sz w:val="21"/>
        <w:szCs w:val="18"/>
      </w:rPr>
    </w:pPr>
    <w:r w:rsidRPr="00530FCA">
      <w:rPr>
        <w:rFonts w:asciiTheme="minorEastAsia" w:eastAsiaTheme="minorEastAsia" w:hAnsiTheme="minorEastAsia" w:hint="eastAsia"/>
        <w:sz w:val="21"/>
        <w:szCs w:val="18"/>
      </w:rPr>
      <w:t>第</w:t>
    </w:r>
    <w:r w:rsidR="00EC4E49" w:rsidRPr="00530FCA">
      <w:rPr>
        <w:rFonts w:asciiTheme="minorEastAsia" w:eastAsiaTheme="minorEastAsia" w:hAnsiTheme="minorEastAsia"/>
        <w:sz w:val="21"/>
        <w:szCs w:val="18"/>
      </w:rPr>
      <w:fldChar w:fldCharType="begin"/>
    </w:r>
    <w:r w:rsidR="00EC4E49" w:rsidRPr="00530FCA">
      <w:rPr>
        <w:rFonts w:asciiTheme="minorEastAsia" w:eastAsiaTheme="minorEastAsia" w:hAnsiTheme="minorEastAsia"/>
        <w:sz w:val="21"/>
        <w:szCs w:val="18"/>
      </w:rPr>
      <w:instrText xml:space="preserve"> PAGE  \* MERGEFORMAT </w:instrText>
    </w:r>
    <w:r w:rsidR="00EC4E49" w:rsidRPr="00530FCA">
      <w:rPr>
        <w:rFonts w:asciiTheme="minorEastAsia" w:eastAsiaTheme="minorEastAsia" w:hAnsiTheme="minorEastAsia"/>
        <w:sz w:val="21"/>
        <w:szCs w:val="18"/>
      </w:rPr>
      <w:fldChar w:fldCharType="separate"/>
    </w:r>
    <w:r w:rsidR="00E671A6" w:rsidRPr="00530FCA">
      <w:rPr>
        <w:rFonts w:asciiTheme="minorEastAsia" w:eastAsiaTheme="minorEastAsia" w:hAnsiTheme="minorEastAsia"/>
        <w:noProof/>
        <w:sz w:val="21"/>
        <w:szCs w:val="18"/>
      </w:rPr>
      <w:t>2</w:t>
    </w:r>
    <w:r w:rsidR="00EC4E49" w:rsidRPr="00530FCA">
      <w:rPr>
        <w:rFonts w:asciiTheme="minorEastAsia" w:eastAsiaTheme="minorEastAsia" w:hAnsiTheme="minorEastAsia"/>
        <w:sz w:val="21"/>
        <w:szCs w:val="18"/>
      </w:rPr>
      <w:fldChar w:fldCharType="end"/>
    </w:r>
    <w:r w:rsidRPr="00530FCA">
      <w:rPr>
        <w:rFonts w:asciiTheme="minorEastAsia" w:eastAsiaTheme="minorEastAsia" w:hAnsiTheme="minorEastAsia" w:hint="eastAsia"/>
        <w:sz w:val="21"/>
        <w:szCs w:val="18"/>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34AD" w14:textId="77777777" w:rsidR="000939B1" w:rsidRDefault="000939B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 w:numId="7" w16cid:durableId="696657165">
    <w:abstractNumId w:val="1"/>
  </w:num>
  <w:num w:numId="8" w16cid:durableId="187191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48"/>
    <w:rsid w:val="00000AF7"/>
    <w:rsid w:val="0001647B"/>
    <w:rsid w:val="00040736"/>
    <w:rsid w:val="00043CAA"/>
    <w:rsid w:val="000474AF"/>
    <w:rsid w:val="00075432"/>
    <w:rsid w:val="000939B1"/>
    <w:rsid w:val="000968ED"/>
    <w:rsid w:val="000D6C07"/>
    <w:rsid w:val="000F5E56"/>
    <w:rsid w:val="001024FE"/>
    <w:rsid w:val="001323DA"/>
    <w:rsid w:val="00135882"/>
    <w:rsid w:val="001362EE"/>
    <w:rsid w:val="00142868"/>
    <w:rsid w:val="001832A6"/>
    <w:rsid w:val="001C6808"/>
    <w:rsid w:val="002121FA"/>
    <w:rsid w:val="002556B2"/>
    <w:rsid w:val="002634C4"/>
    <w:rsid w:val="002928D3"/>
    <w:rsid w:val="002C2BDE"/>
    <w:rsid w:val="002F1FE6"/>
    <w:rsid w:val="002F4E68"/>
    <w:rsid w:val="0030499F"/>
    <w:rsid w:val="00312F7F"/>
    <w:rsid w:val="003228B7"/>
    <w:rsid w:val="003508A3"/>
    <w:rsid w:val="003673CF"/>
    <w:rsid w:val="003845C1"/>
    <w:rsid w:val="003A6F89"/>
    <w:rsid w:val="003B38C1"/>
    <w:rsid w:val="00423E3E"/>
    <w:rsid w:val="00427AF4"/>
    <w:rsid w:val="004400E2"/>
    <w:rsid w:val="00461632"/>
    <w:rsid w:val="004647DA"/>
    <w:rsid w:val="00474062"/>
    <w:rsid w:val="00477D6B"/>
    <w:rsid w:val="00490501"/>
    <w:rsid w:val="004B66F9"/>
    <w:rsid w:val="004D39C4"/>
    <w:rsid w:val="00512C6F"/>
    <w:rsid w:val="0052153C"/>
    <w:rsid w:val="0053057A"/>
    <w:rsid w:val="00530FCA"/>
    <w:rsid w:val="00541579"/>
    <w:rsid w:val="00560A29"/>
    <w:rsid w:val="00594D27"/>
    <w:rsid w:val="005E194D"/>
    <w:rsid w:val="00601760"/>
    <w:rsid w:val="00605827"/>
    <w:rsid w:val="0062702A"/>
    <w:rsid w:val="00646050"/>
    <w:rsid w:val="006713CA"/>
    <w:rsid w:val="00676C5C"/>
    <w:rsid w:val="00695558"/>
    <w:rsid w:val="006B7476"/>
    <w:rsid w:val="006D5E0F"/>
    <w:rsid w:val="007058FB"/>
    <w:rsid w:val="007734F9"/>
    <w:rsid w:val="00773F49"/>
    <w:rsid w:val="007B6A58"/>
    <w:rsid w:val="007C2447"/>
    <w:rsid w:val="007D1613"/>
    <w:rsid w:val="00801759"/>
    <w:rsid w:val="00837333"/>
    <w:rsid w:val="00840CE6"/>
    <w:rsid w:val="0085198F"/>
    <w:rsid w:val="00873EE5"/>
    <w:rsid w:val="008B2203"/>
    <w:rsid w:val="008B2CC1"/>
    <w:rsid w:val="008B4B5E"/>
    <w:rsid w:val="008B60B2"/>
    <w:rsid w:val="00900F36"/>
    <w:rsid w:val="00905E6B"/>
    <w:rsid w:val="0090731E"/>
    <w:rsid w:val="00916EE2"/>
    <w:rsid w:val="00921EC9"/>
    <w:rsid w:val="009408A9"/>
    <w:rsid w:val="00966A22"/>
    <w:rsid w:val="0096722F"/>
    <w:rsid w:val="00980843"/>
    <w:rsid w:val="009C6AEA"/>
    <w:rsid w:val="009D0DD1"/>
    <w:rsid w:val="009E02BF"/>
    <w:rsid w:val="009E2791"/>
    <w:rsid w:val="009E3F6F"/>
    <w:rsid w:val="009F3BF9"/>
    <w:rsid w:val="009F499F"/>
    <w:rsid w:val="00A42DAF"/>
    <w:rsid w:val="00A45BD8"/>
    <w:rsid w:val="00A778BF"/>
    <w:rsid w:val="00A85B8E"/>
    <w:rsid w:val="00A9118D"/>
    <w:rsid w:val="00AC205C"/>
    <w:rsid w:val="00AF5C73"/>
    <w:rsid w:val="00B05A69"/>
    <w:rsid w:val="00B40598"/>
    <w:rsid w:val="00B50B99"/>
    <w:rsid w:val="00B62CD9"/>
    <w:rsid w:val="00B9734B"/>
    <w:rsid w:val="00BC780D"/>
    <w:rsid w:val="00BD117E"/>
    <w:rsid w:val="00C01E34"/>
    <w:rsid w:val="00C11BFE"/>
    <w:rsid w:val="00C257F1"/>
    <w:rsid w:val="00C84BA8"/>
    <w:rsid w:val="00C94629"/>
    <w:rsid w:val="00CE65D4"/>
    <w:rsid w:val="00D04848"/>
    <w:rsid w:val="00D27A75"/>
    <w:rsid w:val="00D45252"/>
    <w:rsid w:val="00D50B25"/>
    <w:rsid w:val="00D71AC0"/>
    <w:rsid w:val="00D71B4D"/>
    <w:rsid w:val="00D93D55"/>
    <w:rsid w:val="00DD7AE3"/>
    <w:rsid w:val="00E161A2"/>
    <w:rsid w:val="00E335FE"/>
    <w:rsid w:val="00E5021F"/>
    <w:rsid w:val="00E671A6"/>
    <w:rsid w:val="00EC4E49"/>
    <w:rsid w:val="00ED77FB"/>
    <w:rsid w:val="00F021A6"/>
    <w:rsid w:val="00F11D94"/>
    <w:rsid w:val="00F322CE"/>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4E9D7"/>
  <w15:docId w15:val="{126516AE-5B1B-46B7-A7EC-DFB4BC69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footnote reference"/>
    <w:basedOn w:val="a1"/>
    <w:semiHidden/>
    <w:unhideWhenUsed/>
    <w:rsid w:val="00D04848"/>
    <w:rPr>
      <w:vertAlign w:val="superscript"/>
    </w:rPr>
  </w:style>
  <w:style w:type="character" w:styleId="af">
    <w:name w:val="Hyperlink"/>
    <w:basedOn w:val="a1"/>
    <w:unhideWhenUsed/>
    <w:rsid w:val="00921EC9"/>
    <w:rPr>
      <w:color w:val="0000FF" w:themeColor="hyperlink"/>
      <w:u w:val="single"/>
    </w:rPr>
  </w:style>
  <w:style w:type="character" w:styleId="af0">
    <w:name w:val="Unresolved Mention"/>
    <w:basedOn w:val="a1"/>
    <w:uiPriority w:val="99"/>
    <w:semiHidden/>
    <w:unhideWhenUsed/>
    <w:rsid w:val="00921EC9"/>
    <w:rPr>
      <w:color w:val="605E5C"/>
      <w:shd w:val="clear" w:color="auto" w:fill="E1DFDD"/>
    </w:rPr>
  </w:style>
  <w:style w:type="paragraph" w:styleId="af1">
    <w:name w:val="Revision"/>
    <w:hidden/>
    <w:uiPriority w:val="99"/>
    <w:semiHidden/>
    <w:rsid w:val="00D50B25"/>
    <w:rPr>
      <w:rFonts w:ascii="Arial" w:eastAsia="SimSun" w:hAnsi="Arial" w:cs="Arial"/>
      <w:sz w:val="22"/>
      <w:lang w:val="en-US" w:eastAsia="zh-CN"/>
    </w:rPr>
  </w:style>
  <w:style w:type="character" w:styleId="af2">
    <w:name w:val="annotation reference"/>
    <w:basedOn w:val="a1"/>
    <w:semiHidden/>
    <w:unhideWhenUsed/>
    <w:rsid w:val="00840CE6"/>
    <w:rPr>
      <w:sz w:val="16"/>
      <w:szCs w:val="16"/>
    </w:rPr>
  </w:style>
  <w:style w:type="paragraph" w:styleId="af3">
    <w:name w:val="annotation subject"/>
    <w:basedOn w:val="a6"/>
    <w:next w:val="a6"/>
    <w:link w:val="af4"/>
    <w:semiHidden/>
    <w:unhideWhenUsed/>
    <w:rsid w:val="00840CE6"/>
    <w:rPr>
      <w:b/>
      <w:bCs/>
      <w:sz w:val="20"/>
    </w:rPr>
  </w:style>
  <w:style w:type="character" w:customStyle="1" w:styleId="a7">
    <w:name w:val="批注文字 字符"/>
    <w:basedOn w:val="a1"/>
    <w:link w:val="a6"/>
    <w:semiHidden/>
    <w:rsid w:val="00840CE6"/>
    <w:rPr>
      <w:rFonts w:ascii="Arial" w:eastAsia="SimSun" w:hAnsi="Arial" w:cs="Arial"/>
      <w:sz w:val="18"/>
      <w:lang w:val="en-US" w:eastAsia="zh-CN"/>
    </w:rPr>
  </w:style>
  <w:style w:type="character" w:customStyle="1" w:styleId="af4">
    <w:name w:val="批注主题 字符"/>
    <w:basedOn w:val="a7"/>
    <w:link w:val="af3"/>
    <w:semiHidden/>
    <w:rsid w:val="00840CE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oc_details.jsp?doc_id=625814"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Template>
  <TotalTime>27</TotalTime>
  <Pages>2</Pages>
  <Words>590</Words>
  <Characters>220</Characters>
  <Application>Microsoft Office Word</Application>
  <DocSecurity>0</DocSecurity>
  <Lines>8</Lines>
  <Paragraphs>16</Paragraphs>
  <ScaleCrop>false</ScaleCrop>
  <HeadingPairs>
    <vt:vector size="2" baseType="variant">
      <vt:variant>
        <vt:lpstr>Title</vt:lpstr>
      </vt:variant>
      <vt:variant>
        <vt:i4>1</vt:i4>
      </vt:variant>
    </vt:vector>
  </HeadingPairs>
  <TitlesOfParts>
    <vt:vector size="1" baseType="lpstr">
      <vt:lpstr>WO/GA/57/7</vt:lpstr>
    </vt:vector>
  </TitlesOfParts>
  <Company>WIPO</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WO/GA/57/7</dc:title>
  <dc:subject>关于知识产权与遗传资源、传统知识和民间文学艺术政府间委员会（IGC）的报告</dc:subject>
  <dc:creator>WIPO</dc:creator>
  <cp:keywords/>
  <cp:lastModifiedBy>SONG Qiao</cp:lastModifiedBy>
  <cp:revision>7</cp:revision>
  <cp:lastPrinted>2011-02-15T11:56:00Z</cp:lastPrinted>
  <dcterms:created xsi:type="dcterms:W3CDTF">2024-04-08T19:08:00Z</dcterms:created>
  <dcterms:modified xsi:type="dcterms:W3CDTF">2024-04-09T08:19:00Z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2024-02-23T15:30:19Z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6f936c07-c8ed-4c27-a8d8-66024349d450</vt:lpwstr>
  </property>
  <property fmtid="{D5CDD505-2E9C-101B-9397-08002B2CF9AE}" pid="13" name="MSIP_Label_20773ee6-353b-4fb9-a59d-0b94c8c67bea_ContentBits">
    <vt:lpwstr>0</vt:lpwstr>
  </property>
</Properties>
</file>