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C604A" w14:textId="77777777" w:rsidR="00E726C8" w:rsidRDefault="00E726C8" w:rsidP="00E726C8">
      <w:pPr>
        <w:jc w:val="right"/>
        <w:rPr>
          <w:rFonts w:ascii="Arial Black" w:hAnsi="Arial Black"/>
          <w:caps/>
          <w:sz w:val="15"/>
        </w:rPr>
      </w:pPr>
      <w:bookmarkStart w:id="0" w:name="_GoBack"/>
      <w:bookmarkEnd w:id="0"/>
      <w:r w:rsidRPr="000B3A64">
        <w:rPr>
          <w:rFonts w:eastAsiaTheme="minorEastAsia" w:cs="Times New Roman"/>
          <w:noProof/>
          <w:lang w:eastAsia="en-US"/>
        </w:rPr>
        <w:drawing>
          <wp:inline distT="0" distB="0" distL="0" distR="0" wp14:anchorId="609E3D75" wp14:editId="31A8AE69">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506AF9A" w14:textId="775311E4" w:rsidR="00E726C8" w:rsidRPr="006E4F5F" w:rsidRDefault="00E726C8" w:rsidP="00E726C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6</w:t>
      </w:r>
      <w:r w:rsidRPr="006E4F5F">
        <w:rPr>
          <w:rFonts w:ascii="Arial Black" w:hAnsi="Arial Black" w:hint="eastAsia"/>
          <w:b/>
          <w:caps/>
          <w:sz w:val="15"/>
        </w:rPr>
        <w:t>/</w:t>
      </w:r>
      <w:bookmarkStart w:id="1" w:name="Code"/>
      <w:r>
        <w:rPr>
          <w:rFonts w:ascii="Arial Black" w:hAnsi="Arial Black"/>
          <w:b/>
          <w:caps/>
          <w:sz w:val="15"/>
        </w:rPr>
        <w:t>9</w:t>
      </w:r>
    </w:p>
    <w:bookmarkEnd w:id="1"/>
    <w:p w14:paraId="1C8B940B" w14:textId="77777777" w:rsidR="00E726C8" w:rsidRPr="00E62C24" w:rsidRDefault="00E726C8" w:rsidP="00E726C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31BB2F75" w14:textId="14A09B8A" w:rsidR="00E726C8" w:rsidRPr="00E62C24" w:rsidRDefault="00E726C8" w:rsidP="00E726C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17</w:t>
      </w:r>
      <w:r w:rsidRPr="00E62C24">
        <w:rPr>
          <w:rFonts w:ascii="SimHei" w:eastAsia="SimHei" w:hAnsi="Times New Roman" w:hint="eastAsia"/>
          <w:b/>
          <w:sz w:val="15"/>
          <w:szCs w:val="15"/>
        </w:rPr>
        <w:t>日</w:t>
      </w:r>
    </w:p>
    <w:bookmarkEnd w:id="3"/>
    <w:p w14:paraId="75185D96" w14:textId="77777777" w:rsidR="00E726C8" w:rsidRPr="00D945ED" w:rsidRDefault="00E726C8" w:rsidP="00E726C8">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42CB4BA3" w14:textId="70D1CA85" w:rsidR="00E726C8" w:rsidRPr="00D945ED" w:rsidRDefault="00E726C8" w:rsidP="00E726C8">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t>（</w:t>
      </w:r>
      <w:r w:rsidRPr="00D945ED">
        <w:rPr>
          <w:rFonts w:ascii="KaiTi" w:eastAsia="KaiTi" w:hAnsi="KaiTi" w:cs="Times New Roman" w:hint="eastAsia"/>
          <w:b/>
          <w:sz w:val="24"/>
          <w:szCs w:val="22"/>
        </w:rPr>
        <w:t>第</w:t>
      </w:r>
      <w:r>
        <w:rPr>
          <w:rFonts w:ascii="KaiTi" w:eastAsia="KaiTi" w:hAnsi="KaiTi" w:cs="Times New Roman" w:hint="eastAsia"/>
          <w:b/>
          <w:sz w:val="24"/>
          <w:szCs w:val="22"/>
        </w:rPr>
        <w:t>2</w:t>
      </w:r>
      <w:r>
        <w:rPr>
          <w:rFonts w:ascii="KaiTi" w:eastAsia="KaiTi" w:hAnsi="KaiTi" w:cs="Times New Roman"/>
          <w:b/>
          <w:sz w:val="24"/>
          <w:szCs w:val="22"/>
        </w:rPr>
        <w:t>6</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Pr>
          <w:rFonts w:ascii="KaiTi" w:eastAsia="KaiTi" w:hAnsi="KaiTi" w:cs="Times New Roman" w:hint="eastAsia"/>
          <w:b/>
          <w:sz w:val="24"/>
          <w:szCs w:val="22"/>
        </w:rPr>
        <w:br/>
      </w:r>
      <w:r w:rsidR="002A4D06" w:rsidRPr="00D945ED">
        <w:rPr>
          <w:rFonts w:ascii="KaiTi" w:eastAsia="KaiTi" w:hAnsi="KaiTi" w:cs="Times New Roman" w:hint="eastAsia"/>
          <w:sz w:val="24"/>
          <w:szCs w:val="22"/>
        </w:rPr>
        <w:t>20</w:t>
      </w:r>
      <w:r w:rsidR="002A4D06">
        <w:rPr>
          <w:rFonts w:ascii="KaiTi" w:eastAsia="KaiTi" w:hAnsi="KaiTi" w:cs="Times New Roman" w:hint="eastAsia"/>
          <w:sz w:val="24"/>
          <w:szCs w:val="22"/>
        </w:rPr>
        <w:t>2</w:t>
      </w:r>
      <w:r w:rsidR="002A4D06">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hint="eastAsia"/>
          <w:b/>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0C2187B5" w14:textId="4CBD4971" w:rsidR="00E726C8" w:rsidRPr="00C23019" w:rsidRDefault="00E726C8" w:rsidP="00E726C8">
      <w:pPr>
        <w:spacing w:after="360"/>
        <w:rPr>
          <w:rFonts w:ascii="KaiTi" w:eastAsia="KaiTi" w:hAnsi="KaiTi" w:cs="Times New Roman"/>
          <w:kern w:val="2"/>
          <w:sz w:val="24"/>
          <w:szCs w:val="32"/>
        </w:rPr>
      </w:pPr>
      <w:bookmarkStart w:id="4" w:name="TitleOfDoc"/>
      <w:r w:rsidRPr="00E726C8">
        <w:rPr>
          <w:rFonts w:ascii="KaiTi" w:eastAsia="KaiTi" w:hAnsi="KaiTi" w:cs="Times New Roman" w:hint="eastAsia"/>
          <w:sz w:val="24"/>
          <w:szCs w:val="22"/>
        </w:rPr>
        <w:t>关于发展与知识产权委员会（CDIP）的报告和</w:t>
      </w:r>
      <w:r>
        <w:rPr>
          <w:rFonts w:ascii="KaiTi" w:eastAsia="KaiTi" w:hAnsi="KaiTi" w:cs="Times New Roman"/>
          <w:sz w:val="24"/>
          <w:szCs w:val="22"/>
        </w:rPr>
        <w:br/>
      </w:r>
      <w:r w:rsidRPr="00E726C8">
        <w:rPr>
          <w:rFonts w:ascii="KaiTi" w:eastAsia="KaiTi" w:hAnsi="KaiTi" w:cs="Times New Roman" w:hint="eastAsia"/>
          <w:sz w:val="24"/>
          <w:szCs w:val="22"/>
        </w:rPr>
        <w:t>审查发展议程各项建议的落实情况</w:t>
      </w:r>
    </w:p>
    <w:p w14:paraId="7D5FD5E9" w14:textId="44C02EDD" w:rsidR="00E726C8" w:rsidRDefault="00E726C8" w:rsidP="00E726C8">
      <w:pPr>
        <w:spacing w:after="960"/>
        <w:rPr>
          <w:rFonts w:ascii="KaiTi" w:eastAsia="KaiTi" w:hAnsi="KaiTi"/>
          <w:sz w:val="21"/>
          <w:szCs w:val="21"/>
        </w:rPr>
      </w:pPr>
      <w:bookmarkStart w:id="5" w:name="Prepared"/>
      <w:bookmarkEnd w:id="4"/>
      <w:r>
        <w:rPr>
          <w:rFonts w:ascii="KaiTi" w:eastAsia="KaiTi" w:hAnsi="KaiTi" w:hint="eastAsia"/>
          <w:sz w:val="21"/>
          <w:szCs w:val="21"/>
        </w:rPr>
        <w:t>秘书处编拟</w:t>
      </w:r>
    </w:p>
    <w:bookmarkEnd w:id="5"/>
    <w:p w14:paraId="0F9E66C8" w14:textId="070F7F38" w:rsidR="00E726C8" w:rsidRPr="002E4B7B" w:rsidRDefault="00E726C8" w:rsidP="00E726C8">
      <w:pPr>
        <w:numPr>
          <w:ilvl w:val="0"/>
          <w:numId w:val="23"/>
        </w:numPr>
        <w:tabs>
          <w:tab w:val="clear" w:pos="567"/>
        </w:tabs>
        <w:overflowPunct w:val="0"/>
        <w:spacing w:afterLines="50" w:after="120" w:line="340" w:lineRule="atLeast"/>
        <w:jc w:val="both"/>
        <w:rPr>
          <w:rFonts w:ascii="SimSun" w:hAnsi="SimSun"/>
          <w:sz w:val="21"/>
          <w:szCs w:val="22"/>
        </w:rPr>
      </w:pPr>
      <w:r w:rsidRPr="002E4B7B">
        <w:rPr>
          <w:rFonts w:ascii="SimSun" w:hAnsi="SimSun" w:cs="Microsoft YaHei" w:hint="eastAsia"/>
          <w:sz w:val="21"/>
          <w:szCs w:val="22"/>
        </w:rPr>
        <w:t>发展与知识产权委员会（</w:t>
      </w:r>
      <w:r w:rsidRPr="002E4B7B">
        <w:rPr>
          <w:rFonts w:ascii="SimSun" w:hAnsi="SimSun" w:hint="eastAsia"/>
          <w:sz w:val="21"/>
          <w:szCs w:val="22"/>
        </w:rPr>
        <w:t>CDIP</w:t>
      </w:r>
      <w:r w:rsidRPr="002E4B7B">
        <w:rPr>
          <w:rFonts w:ascii="SimSun" w:hAnsi="SimSun" w:cs="Microsoft YaHei" w:hint="eastAsia"/>
          <w:sz w:val="21"/>
          <w:szCs w:val="22"/>
        </w:rPr>
        <w:t>）自</w:t>
      </w:r>
      <w:r w:rsidRPr="002E4B7B">
        <w:rPr>
          <w:rFonts w:ascii="SimSun" w:hAnsi="SimSun" w:hint="eastAsia"/>
          <w:sz w:val="21"/>
          <w:szCs w:val="22"/>
        </w:rPr>
        <w:t>20</w:t>
      </w:r>
      <w:r>
        <w:rPr>
          <w:rFonts w:ascii="SimSun" w:hAnsi="SimSun"/>
          <w:sz w:val="21"/>
          <w:szCs w:val="22"/>
        </w:rPr>
        <w:t>2</w:t>
      </w:r>
      <w:r w:rsidR="00135509">
        <w:rPr>
          <w:rFonts w:ascii="SimSun" w:hAnsi="SimSun"/>
          <w:sz w:val="21"/>
          <w:szCs w:val="22"/>
        </w:rPr>
        <w:t>2</w:t>
      </w:r>
      <w:r w:rsidRPr="002E4B7B">
        <w:rPr>
          <w:rFonts w:ascii="SimSun" w:hAnsi="SimSun" w:cs="Microsoft YaHei" w:hint="eastAsia"/>
          <w:sz w:val="21"/>
          <w:szCs w:val="22"/>
        </w:rPr>
        <w:t>年</w:t>
      </w:r>
      <w:r w:rsidR="00135509">
        <w:rPr>
          <w:rFonts w:ascii="SimSun" w:hAnsi="SimSun" w:cs="Microsoft YaHei" w:hint="eastAsia"/>
          <w:sz w:val="21"/>
          <w:szCs w:val="22"/>
        </w:rPr>
        <w:t>7</w:t>
      </w:r>
      <w:r w:rsidRPr="002E4B7B">
        <w:rPr>
          <w:rFonts w:ascii="SimSun" w:hAnsi="SimSun" w:cs="Microsoft YaHei" w:hint="eastAsia"/>
          <w:sz w:val="21"/>
          <w:szCs w:val="22"/>
        </w:rPr>
        <w:t>月</w:t>
      </w:r>
      <w:r w:rsidR="00135509">
        <w:rPr>
          <w:rFonts w:ascii="SimSun" w:hAnsi="SimSun" w:cs="Microsoft YaHei" w:hint="eastAsia"/>
          <w:sz w:val="21"/>
          <w:szCs w:val="22"/>
        </w:rPr>
        <w:t>1</w:t>
      </w:r>
      <w:r>
        <w:rPr>
          <w:rFonts w:ascii="SimSun" w:hAnsi="SimSun" w:cs="Microsoft YaHei" w:hint="eastAsia"/>
          <w:sz w:val="21"/>
          <w:szCs w:val="22"/>
        </w:rPr>
        <w:t>4</w:t>
      </w:r>
      <w:r w:rsidRPr="002E4B7B">
        <w:rPr>
          <w:rFonts w:ascii="SimSun" w:hAnsi="SimSun" w:cs="Microsoft YaHei" w:hint="eastAsia"/>
          <w:sz w:val="21"/>
          <w:szCs w:val="22"/>
        </w:rPr>
        <w:t>日至</w:t>
      </w:r>
      <w:r w:rsidR="00135509">
        <w:rPr>
          <w:rFonts w:ascii="SimSun" w:hAnsi="SimSun" w:cs="Microsoft YaHei" w:hint="eastAsia"/>
          <w:sz w:val="21"/>
          <w:szCs w:val="22"/>
        </w:rPr>
        <w:t>2</w:t>
      </w:r>
      <w:r w:rsidR="00135509">
        <w:rPr>
          <w:rFonts w:ascii="SimSun" w:hAnsi="SimSun" w:cs="Microsoft YaHei"/>
          <w:sz w:val="21"/>
          <w:szCs w:val="22"/>
        </w:rPr>
        <w:t>2</w:t>
      </w:r>
      <w:r w:rsidRPr="002E4B7B">
        <w:rPr>
          <w:rFonts w:ascii="SimSun" w:hAnsi="SimSun" w:cs="Microsoft YaHei" w:hint="eastAsia"/>
          <w:sz w:val="21"/>
          <w:szCs w:val="22"/>
        </w:rPr>
        <w:t>日举行的世界知识产权组织（产权组织）大会第五十</w:t>
      </w:r>
      <w:r w:rsidR="00135509">
        <w:rPr>
          <w:rFonts w:ascii="SimSun" w:hAnsi="SimSun" w:cs="Microsoft YaHei" w:hint="eastAsia"/>
          <w:sz w:val="21"/>
          <w:szCs w:val="22"/>
        </w:rPr>
        <w:t>五</w:t>
      </w:r>
      <w:r w:rsidRPr="002E4B7B">
        <w:rPr>
          <w:rFonts w:ascii="SimSun" w:hAnsi="SimSun" w:cs="Microsoft YaHei" w:hint="eastAsia"/>
          <w:sz w:val="21"/>
          <w:szCs w:val="22"/>
        </w:rPr>
        <w:t>届会议（第</w:t>
      </w:r>
      <w:r w:rsidR="00135509">
        <w:rPr>
          <w:rFonts w:ascii="SimSun" w:hAnsi="SimSun" w:cs="Microsoft YaHei" w:hint="eastAsia"/>
          <w:sz w:val="21"/>
          <w:szCs w:val="22"/>
        </w:rPr>
        <w:t>3</w:t>
      </w:r>
      <w:r w:rsidR="00135509">
        <w:rPr>
          <w:rFonts w:ascii="SimSun" w:hAnsi="SimSun" w:cs="Microsoft YaHei"/>
          <w:sz w:val="21"/>
          <w:szCs w:val="22"/>
        </w:rPr>
        <w:t>0</w:t>
      </w:r>
      <w:r w:rsidRPr="002E4B7B">
        <w:rPr>
          <w:rFonts w:ascii="SimSun" w:hAnsi="SimSun" w:cs="Microsoft YaHei" w:hint="eastAsia"/>
          <w:sz w:val="21"/>
          <w:szCs w:val="22"/>
        </w:rPr>
        <w:t>次</w:t>
      </w:r>
      <w:r w:rsidR="00135509">
        <w:rPr>
          <w:rFonts w:ascii="SimSun" w:hAnsi="SimSun" w:cs="Microsoft YaHei" w:hint="eastAsia"/>
          <w:sz w:val="21"/>
          <w:szCs w:val="22"/>
        </w:rPr>
        <w:t>特别会议</w:t>
      </w:r>
      <w:r w:rsidRPr="002E4B7B">
        <w:rPr>
          <w:rFonts w:ascii="SimSun" w:hAnsi="SimSun" w:cs="Microsoft YaHei" w:hint="eastAsia"/>
          <w:sz w:val="21"/>
          <w:szCs w:val="22"/>
        </w:rPr>
        <w:t>）以来</w:t>
      </w:r>
      <w:r w:rsidR="00135509">
        <w:rPr>
          <w:rFonts w:ascii="SimSun" w:hAnsi="SimSun" w:cs="Microsoft YaHei" w:hint="eastAsia"/>
          <w:sz w:val="21"/>
          <w:szCs w:val="22"/>
        </w:rPr>
        <w:t>以混合形式</w:t>
      </w:r>
      <w:r w:rsidRPr="002E4B7B">
        <w:rPr>
          <w:rFonts w:ascii="SimSun" w:hAnsi="SimSun" w:cs="Microsoft YaHei" w:hint="eastAsia"/>
          <w:sz w:val="21"/>
          <w:szCs w:val="22"/>
        </w:rPr>
        <w:t>举行了</w:t>
      </w:r>
      <w:r>
        <w:rPr>
          <w:rFonts w:ascii="SimSun" w:hAnsi="SimSun" w:cs="Microsoft YaHei" w:hint="eastAsia"/>
          <w:sz w:val="21"/>
          <w:szCs w:val="22"/>
        </w:rPr>
        <w:t>两</w:t>
      </w:r>
      <w:r w:rsidRPr="002E4B7B">
        <w:rPr>
          <w:rFonts w:ascii="SimSun" w:hAnsi="SimSun" w:cs="Microsoft YaHei" w:hint="eastAsia"/>
          <w:sz w:val="21"/>
          <w:szCs w:val="22"/>
        </w:rPr>
        <w:t>届会议，即</w:t>
      </w:r>
      <w:r w:rsidRPr="002E4B7B">
        <w:rPr>
          <w:rFonts w:ascii="SimSun" w:hAnsi="SimSun" w:hint="eastAsia"/>
          <w:sz w:val="21"/>
          <w:szCs w:val="22"/>
        </w:rPr>
        <w:t>20</w:t>
      </w:r>
      <w:r>
        <w:rPr>
          <w:rFonts w:ascii="SimSun" w:hAnsi="SimSun"/>
          <w:sz w:val="21"/>
          <w:szCs w:val="22"/>
        </w:rPr>
        <w:t>2</w:t>
      </w:r>
      <w:r w:rsidR="00135509">
        <w:rPr>
          <w:rFonts w:ascii="SimSun" w:hAnsi="SimSun"/>
          <w:sz w:val="21"/>
          <w:szCs w:val="22"/>
        </w:rPr>
        <w:t>2</w:t>
      </w:r>
      <w:r w:rsidRPr="002E4B7B">
        <w:rPr>
          <w:rFonts w:ascii="SimSun" w:hAnsi="SimSun" w:cs="Microsoft YaHei" w:hint="eastAsia"/>
          <w:sz w:val="21"/>
          <w:szCs w:val="22"/>
        </w:rPr>
        <w:t>年</w:t>
      </w:r>
      <w:r w:rsidRPr="002E4B7B">
        <w:rPr>
          <w:rFonts w:ascii="SimSun" w:hAnsi="SimSun" w:hint="eastAsia"/>
          <w:sz w:val="21"/>
          <w:szCs w:val="22"/>
        </w:rPr>
        <w:t>1</w:t>
      </w:r>
      <w:r w:rsidR="00135509">
        <w:rPr>
          <w:rFonts w:ascii="SimSun" w:hAnsi="SimSun"/>
          <w:sz w:val="21"/>
          <w:szCs w:val="22"/>
        </w:rPr>
        <w:t>0</w:t>
      </w:r>
      <w:r w:rsidRPr="002E4B7B">
        <w:rPr>
          <w:rFonts w:ascii="SimSun" w:hAnsi="SimSun" w:cs="Microsoft YaHei" w:hint="eastAsia"/>
          <w:sz w:val="21"/>
          <w:szCs w:val="22"/>
        </w:rPr>
        <w:t>月</w:t>
      </w:r>
      <w:r w:rsidR="006B30DC">
        <w:rPr>
          <w:rFonts w:ascii="SimSun" w:hAnsi="SimSun" w:cs="Microsoft YaHei" w:hint="eastAsia"/>
          <w:sz w:val="21"/>
          <w:szCs w:val="22"/>
        </w:rPr>
        <w:t>1</w:t>
      </w:r>
      <w:r w:rsidR="006B30DC">
        <w:rPr>
          <w:rFonts w:ascii="SimSun" w:hAnsi="SimSun" w:cs="Microsoft YaHei"/>
          <w:sz w:val="21"/>
          <w:szCs w:val="22"/>
        </w:rPr>
        <w:t>7</w:t>
      </w:r>
      <w:r w:rsidRPr="002E4B7B">
        <w:rPr>
          <w:rFonts w:ascii="SimSun" w:hAnsi="SimSun" w:cs="Microsoft YaHei" w:hint="eastAsia"/>
          <w:sz w:val="21"/>
          <w:szCs w:val="22"/>
        </w:rPr>
        <w:t>日至</w:t>
      </w:r>
      <w:r w:rsidR="006B30DC">
        <w:rPr>
          <w:rFonts w:ascii="SimSun" w:hAnsi="SimSun"/>
          <w:sz w:val="21"/>
          <w:szCs w:val="22"/>
        </w:rPr>
        <w:t>21</w:t>
      </w:r>
      <w:r w:rsidRPr="002E4B7B">
        <w:rPr>
          <w:rFonts w:ascii="SimSun" w:hAnsi="SimSun" w:cs="Microsoft YaHei" w:hint="eastAsia"/>
          <w:sz w:val="21"/>
          <w:szCs w:val="22"/>
        </w:rPr>
        <w:t>日举行的第二十</w:t>
      </w:r>
      <w:r w:rsidR="00135509">
        <w:rPr>
          <w:rFonts w:ascii="SimSun" w:hAnsi="SimSun" w:cs="Microsoft YaHei" w:hint="eastAsia"/>
          <w:sz w:val="21"/>
          <w:szCs w:val="22"/>
        </w:rPr>
        <w:t>九</w:t>
      </w:r>
      <w:r w:rsidRPr="002E4B7B">
        <w:rPr>
          <w:rFonts w:ascii="SimSun" w:hAnsi="SimSun" w:cs="Microsoft YaHei" w:hint="eastAsia"/>
          <w:sz w:val="21"/>
          <w:szCs w:val="22"/>
        </w:rPr>
        <w:t>届会议和</w:t>
      </w:r>
      <w:r w:rsidRPr="002E4B7B">
        <w:rPr>
          <w:rFonts w:ascii="SimSun" w:hAnsi="SimSun" w:hint="eastAsia"/>
          <w:sz w:val="21"/>
          <w:szCs w:val="22"/>
        </w:rPr>
        <w:t>202</w:t>
      </w:r>
      <w:r w:rsidR="00135509">
        <w:rPr>
          <w:rFonts w:ascii="SimSun" w:hAnsi="SimSun"/>
          <w:sz w:val="21"/>
          <w:szCs w:val="22"/>
        </w:rPr>
        <w:t>3</w:t>
      </w:r>
      <w:r w:rsidRPr="002E4B7B">
        <w:rPr>
          <w:rFonts w:ascii="SimSun" w:hAnsi="SimSun" w:cs="Microsoft YaHei" w:hint="eastAsia"/>
          <w:sz w:val="21"/>
          <w:szCs w:val="22"/>
        </w:rPr>
        <w:t>年</w:t>
      </w:r>
      <w:r w:rsidR="00135509">
        <w:rPr>
          <w:rFonts w:ascii="SimSun" w:hAnsi="SimSun" w:cs="Microsoft YaHei" w:hint="eastAsia"/>
          <w:sz w:val="21"/>
          <w:szCs w:val="22"/>
        </w:rPr>
        <w:t>4</w:t>
      </w:r>
      <w:r w:rsidRPr="002E4B7B">
        <w:rPr>
          <w:rFonts w:ascii="SimSun" w:hAnsi="SimSun" w:cs="Microsoft YaHei" w:hint="eastAsia"/>
          <w:sz w:val="21"/>
          <w:szCs w:val="22"/>
        </w:rPr>
        <w:t>月</w:t>
      </w:r>
      <w:r w:rsidR="00135509">
        <w:rPr>
          <w:rFonts w:ascii="SimSun" w:hAnsi="SimSun" w:cs="Microsoft YaHei" w:hint="eastAsia"/>
          <w:sz w:val="21"/>
          <w:szCs w:val="22"/>
        </w:rPr>
        <w:t>2</w:t>
      </w:r>
      <w:r w:rsidR="00135509">
        <w:rPr>
          <w:rFonts w:ascii="SimSun" w:hAnsi="SimSun" w:cs="Microsoft YaHei"/>
          <w:sz w:val="21"/>
          <w:szCs w:val="22"/>
        </w:rPr>
        <w:t>4</w:t>
      </w:r>
      <w:r w:rsidRPr="002E4B7B">
        <w:rPr>
          <w:rFonts w:ascii="SimSun" w:hAnsi="SimSun" w:cs="Microsoft YaHei" w:hint="eastAsia"/>
          <w:sz w:val="21"/>
          <w:szCs w:val="22"/>
        </w:rPr>
        <w:t>日至</w:t>
      </w:r>
      <w:r>
        <w:rPr>
          <w:rFonts w:ascii="SimSun" w:hAnsi="SimSun" w:cs="Microsoft YaHei" w:hint="eastAsia"/>
          <w:sz w:val="21"/>
          <w:szCs w:val="22"/>
        </w:rPr>
        <w:t>2</w:t>
      </w:r>
      <w:r w:rsidR="00135509">
        <w:rPr>
          <w:rFonts w:ascii="SimSun" w:hAnsi="SimSun" w:cs="Microsoft YaHei"/>
          <w:sz w:val="21"/>
          <w:szCs w:val="22"/>
        </w:rPr>
        <w:t>8</w:t>
      </w:r>
      <w:r w:rsidRPr="002E4B7B">
        <w:rPr>
          <w:rFonts w:ascii="SimSun" w:hAnsi="SimSun" w:cs="Microsoft YaHei" w:hint="eastAsia"/>
          <w:sz w:val="21"/>
          <w:szCs w:val="22"/>
        </w:rPr>
        <w:t>日举行的第</w:t>
      </w:r>
      <w:r w:rsidR="00135509">
        <w:rPr>
          <w:rFonts w:ascii="SimSun" w:hAnsi="SimSun" w:cs="Microsoft YaHei" w:hint="eastAsia"/>
          <w:sz w:val="21"/>
          <w:szCs w:val="22"/>
        </w:rPr>
        <w:t>三</w:t>
      </w:r>
      <w:r w:rsidRPr="002E4B7B">
        <w:rPr>
          <w:rFonts w:ascii="SimSun" w:hAnsi="SimSun" w:cs="Microsoft YaHei" w:hint="eastAsia"/>
          <w:sz w:val="21"/>
          <w:szCs w:val="22"/>
        </w:rPr>
        <w:t>十届会议。</w:t>
      </w:r>
    </w:p>
    <w:p w14:paraId="4AD9CB97" w14:textId="2225F3EE" w:rsidR="00E726C8" w:rsidRPr="002E4B7B" w:rsidRDefault="00E726C8" w:rsidP="00E726C8">
      <w:pPr>
        <w:numPr>
          <w:ilvl w:val="0"/>
          <w:numId w:val="23"/>
        </w:numPr>
        <w:tabs>
          <w:tab w:val="clear" w:pos="567"/>
        </w:tabs>
        <w:overflowPunct w:val="0"/>
        <w:spacing w:afterLines="50" w:after="120" w:line="340" w:lineRule="atLeast"/>
        <w:jc w:val="both"/>
        <w:rPr>
          <w:rFonts w:ascii="SimSun" w:hAnsi="SimSun"/>
          <w:sz w:val="21"/>
          <w:szCs w:val="22"/>
        </w:rPr>
      </w:pPr>
      <w:r w:rsidRPr="002E4B7B">
        <w:rPr>
          <w:rFonts w:ascii="SimSun" w:hAnsi="SimSun" w:hint="eastAsia"/>
          <w:sz w:val="21"/>
          <w:szCs w:val="22"/>
        </w:rPr>
        <w:t>CDIP</w:t>
      </w:r>
      <w:r w:rsidRPr="002E4B7B">
        <w:rPr>
          <w:rFonts w:ascii="SimSun" w:hAnsi="SimSun" w:cs="Microsoft YaHei" w:hint="eastAsia"/>
          <w:sz w:val="21"/>
          <w:szCs w:val="22"/>
        </w:rPr>
        <w:t>决定，第二十</w:t>
      </w:r>
      <w:r w:rsidR="00135509">
        <w:rPr>
          <w:rFonts w:ascii="SimSun" w:hAnsi="SimSun" w:cs="Microsoft YaHei" w:hint="eastAsia"/>
          <w:sz w:val="21"/>
          <w:szCs w:val="22"/>
        </w:rPr>
        <w:t>九</w:t>
      </w:r>
      <w:r>
        <w:rPr>
          <w:rFonts w:ascii="SimSun" w:hAnsi="SimSun" w:cs="Microsoft YaHei" w:hint="eastAsia"/>
          <w:sz w:val="21"/>
          <w:szCs w:val="22"/>
        </w:rPr>
        <w:t>届</w:t>
      </w:r>
      <w:r w:rsidRPr="002E4B7B">
        <w:rPr>
          <w:rFonts w:ascii="SimSun" w:hAnsi="SimSun" w:cs="Microsoft YaHei" w:hint="eastAsia"/>
          <w:sz w:val="21"/>
          <w:szCs w:val="22"/>
        </w:rPr>
        <w:t>和</w:t>
      </w:r>
      <w:r>
        <w:rPr>
          <w:rFonts w:ascii="SimSun" w:hAnsi="SimSun" w:cs="Microsoft YaHei" w:hint="eastAsia"/>
          <w:sz w:val="21"/>
          <w:szCs w:val="22"/>
        </w:rPr>
        <w:t>第</w:t>
      </w:r>
      <w:r w:rsidR="00135509">
        <w:rPr>
          <w:rFonts w:ascii="SimSun" w:hAnsi="SimSun" w:cs="Microsoft YaHei" w:hint="eastAsia"/>
          <w:sz w:val="21"/>
          <w:szCs w:val="22"/>
        </w:rPr>
        <w:t>三</w:t>
      </w:r>
      <w:r w:rsidRPr="002E4B7B">
        <w:rPr>
          <w:rFonts w:ascii="SimSun" w:hAnsi="SimSun" w:cs="Microsoft YaHei" w:hint="eastAsia"/>
          <w:sz w:val="21"/>
          <w:szCs w:val="22"/>
        </w:rPr>
        <w:t>十届会议的主席总结，加上总干事关于发展议程落实情况的报告，将构成委员会提交产权组织大会的报告。</w:t>
      </w:r>
    </w:p>
    <w:p w14:paraId="20643DE5" w14:textId="77777777" w:rsidR="00E726C8" w:rsidRPr="002E4B7B" w:rsidRDefault="00E726C8" w:rsidP="00E726C8">
      <w:pPr>
        <w:numPr>
          <w:ilvl w:val="0"/>
          <w:numId w:val="23"/>
        </w:numPr>
        <w:tabs>
          <w:tab w:val="clear" w:pos="567"/>
        </w:tabs>
        <w:overflowPunct w:val="0"/>
        <w:spacing w:afterLines="50" w:after="120" w:line="340" w:lineRule="atLeast"/>
        <w:jc w:val="both"/>
        <w:rPr>
          <w:rFonts w:ascii="SimSun" w:hAnsi="SimSun"/>
          <w:sz w:val="21"/>
          <w:szCs w:val="22"/>
        </w:rPr>
      </w:pPr>
      <w:r w:rsidRPr="002E4B7B">
        <w:rPr>
          <w:rFonts w:ascii="SimSun" w:hAnsi="SimSun" w:cs="Microsoft YaHei" w:hint="eastAsia"/>
          <w:sz w:val="21"/>
          <w:szCs w:val="22"/>
        </w:rPr>
        <w:t>据此，本文件载有上述总结和报告。</w:t>
      </w:r>
    </w:p>
    <w:p w14:paraId="40A72C18" w14:textId="51CE2EAC" w:rsidR="00E726C8" w:rsidRPr="002E4B7B" w:rsidRDefault="00E726C8" w:rsidP="00E726C8">
      <w:pPr>
        <w:pStyle w:val="DecisionInvitationPara"/>
        <w:numPr>
          <w:ilvl w:val="0"/>
          <w:numId w:val="23"/>
        </w:numPr>
        <w:tabs>
          <w:tab w:val="clear" w:pos="567"/>
        </w:tabs>
        <w:overflowPunct w:val="0"/>
        <w:spacing w:afterLines="50" w:after="120" w:line="340" w:lineRule="atLeast"/>
        <w:jc w:val="both"/>
        <w:rPr>
          <w:rFonts w:ascii="KaiTi" w:eastAsia="KaiTi" w:hAnsi="KaiTi"/>
          <w:i w:val="0"/>
          <w:sz w:val="21"/>
          <w:lang w:eastAsia="zh-CN"/>
        </w:rPr>
      </w:pPr>
      <w:r w:rsidRPr="002E4B7B">
        <w:rPr>
          <w:rFonts w:ascii="KaiTi" w:eastAsia="KaiTi" w:hAnsi="KaiTi" w:cs="Microsoft YaHei" w:hint="eastAsia"/>
          <w:i w:val="0"/>
          <w:sz w:val="21"/>
          <w:szCs w:val="22"/>
          <w:lang w:eastAsia="zh-CN"/>
        </w:rPr>
        <w:t>请产权组织大会注意</w:t>
      </w:r>
      <w:r w:rsidRPr="002E4B7B">
        <w:rPr>
          <w:rFonts w:ascii="KaiTi" w:eastAsia="KaiTi" w:hAnsi="KaiTi" w:cs="Arial"/>
          <w:i w:val="0"/>
          <w:sz w:val="21"/>
          <w:szCs w:val="22"/>
          <w:lang w:eastAsia="zh-CN"/>
        </w:rPr>
        <w:t>“</w:t>
      </w:r>
      <w:r w:rsidRPr="002E4B7B">
        <w:rPr>
          <w:rFonts w:ascii="KaiTi" w:eastAsia="KaiTi" w:hAnsi="KaiTi" w:cs="Microsoft YaHei" w:hint="eastAsia"/>
          <w:i w:val="0"/>
          <w:sz w:val="21"/>
          <w:szCs w:val="22"/>
          <w:lang w:eastAsia="zh-CN"/>
        </w:rPr>
        <w:t>关于发展与知识产权委员会（</w:t>
      </w:r>
      <w:r w:rsidRPr="002E4B7B">
        <w:rPr>
          <w:rFonts w:ascii="KaiTi" w:eastAsia="KaiTi" w:hAnsi="KaiTi" w:hint="eastAsia"/>
          <w:i w:val="0"/>
          <w:sz w:val="21"/>
          <w:szCs w:val="22"/>
          <w:lang w:eastAsia="zh-CN"/>
        </w:rPr>
        <w:t>CDIP</w:t>
      </w:r>
      <w:r w:rsidRPr="002E4B7B">
        <w:rPr>
          <w:rFonts w:ascii="KaiTi" w:eastAsia="KaiTi" w:hAnsi="KaiTi" w:cs="Microsoft YaHei" w:hint="eastAsia"/>
          <w:i w:val="0"/>
          <w:sz w:val="21"/>
          <w:szCs w:val="22"/>
          <w:lang w:eastAsia="zh-CN"/>
        </w:rPr>
        <w:t>）的报告和审查发展议程各项建议的落实情况</w:t>
      </w:r>
      <w:r w:rsidRPr="002E4B7B">
        <w:rPr>
          <w:rFonts w:ascii="KaiTi" w:eastAsia="KaiTi" w:hAnsi="KaiTi" w:cs="Arial"/>
          <w:i w:val="0"/>
          <w:sz w:val="21"/>
          <w:szCs w:val="22"/>
          <w:lang w:eastAsia="zh-CN"/>
        </w:rPr>
        <w:t>”</w:t>
      </w:r>
      <w:r w:rsidRPr="002E4B7B">
        <w:rPr>
          <w:rFonts w:ascii="KaiTi" w:eastAsia="KaiTi" w:hAnsi="KaiTi" w:cs="Microsoft YaHei" w:hint="eastAsia"/>
          <w:i w:val="0"/>
          <w:sz w:val="21"/>
          <w:szCs w:val="22"/>
          <w:lang w:eastAsia="zh-CN"/>
        </w:rPr>
        <w:t>（文件</w:t>
      </w:r>
      <w:r w:rsidRPr="002E4B7B">
        <w:rPr>
          <w:rFonts w:ascii="KaiTi" w:eastAsia="KaiTi" w:hAnsi="KaiTi" w:hint="eastAsia"/>
          <w:i w:val="0"/>
          <w:sz w:val="21"/>
          <w:szCs w:val="22"/>
          <w:lang w:eastAsia="zh-CN"/>
        </w:rPr>
        <w:t>WO/GA/5</w:t>
      </w:r>
      <w:r w:rsidR="009969A3">
        <w:rPr>
          <w:rFonts w:ascii="KaiTi" w:eastAsia="KaiTi" w:hAnsi="KaiTi"/>
          <w:i w:val="0"/>
          <w:sz w:val="21"/>
          <w:szCs w:val="22"/>
          <w:lang w:eastAsia="zh-CN"/>
        </w:rPr>
        <w:t>6</w:t>
      </w:r>
      <w:r w:rsidRPr="002E4B7B">
        <w:rPr>
          <w:rFonts w:ascii="KaiTi" w:eastAsia="KaiTi" w:hAnsi="KaiTi" w:hint="eastAsia"/>
          <w:i w:val="0"/>
          <w:sz w:val="21"/>
          <w:szCs w:val="22"/>
          <w:lang w:eastAsia="zh-CN"/>
        </w:rPr>
        <w:t>/</w:t>
      </w:r>
      <w:r w:rsidR="009969A3">
        <w:rPr>
          <w:rFonts w:ascii="KaiTi" w:eastAsia="KaiTi" w:hAnsi="KaiTi"/>
          <w:i w:val="0"/>
          <w:sz w:val="21"/>
          <w:szCs w:val="22"/>
          <w:lang w:eastAsia="zh-CN"/>
        </w:rPr>
        <w:t>9</w:t>
      </w:r>
      <w:r w:rsidRPr="002E4B7B">
        <w:rPr>
          <w:rFonts w:ascii="KaiTi" w:eastAsia="KaiTi" w:hAnsi="KaiTi" w:cs="Microsoft YaHei" w:hint="eastAsia"/>
          <w:i w:val="0"/>
          <w:sz w:val="21"/>
          <w:szCs w:val="22"/>
          <w:lang w:eastAsia="zh-CN"/>
        </w:rPr>
        <w:t>）。</w:t>
      </w:r>
    </w:p>
    <w:p w14:paraId="4450A796" w14:textId="4A04D7C1" w:rsidR="00E726C8" w:rsidRDefault="00E726C8" w:rsidP="009969A3">
      <w:pPr>
        <w:spacing w:before="720" w:afterLines="50" w:after="120" w:line="340" w:lineRule="atLeast"/>
        <w:ind w:left="5534"/>
        <w:rPr>
          <w:rFonts w:ascii="Arial Black" w:hAnsi="Arial Black"/>
          <w:caps/>
          <w:sz w:val="15"/>
        </w:rPr>
      </w:pPr>
      <w:r w:rsidRPr="002E4B7B">
        <w:rPr>
          <w:rFonts w:ascii="KaiTi" w:eastAsia="KaiTi" w:hAnsi="KaiTi"/>
          <w:sz w:val="21"/>
        </w:rPr>
        <w:t>[</w:t>
      </w:r>
      <w:r w:rsidRPr="002E4B7B">
        <w:rPr>
          <w:rFonts w:ascii="KaiTi" w:eastAsia="KaiTi" w:hAnsi="KaiTi" w:hint="eastAsia"/>
          <w:sz w:val="21"/>
        </w:rPr>
        <w:t>后接</w:t>
      </w:r>
      <w:r>
        <w:rPr>
          <w:rFonts w:ascii="KaiTi" w:eastAsia="KaiTi" w:hAnsi="KaiTi" w:hint="eastAsia"/>
          <w:sz w:val="21"/>
        </w:rPr>
        <w:t>各份</w:t>
      </w:r>
      <w:r w:rsidRPr="002E4B7B">
        <w:rPr>
          <w:rFonts w:ascii="KaiTi" w:eastAsia="KaiTi" w:hAnsi="KaiTi" w:hint="eastAsia"/>
          <w:sz w:val="21"/>
        </w:rPr>
        <w:t>总结</w:t>
      </w:r>
      <w:r>
        <w:rPr>
          <w:rFonts w:ascii="KaiTi" w:eastAsia="KaiTi" w:hAnsi="KaiTi" w:hint="eastAsia"/>
          <w:sz w:val="21"/>
        </w:rPr>
        <w:t>和文件CDIP/</w:t>
      </w:r>
      <w:r w:rsidR="009969A3">
        <w:rPr>
          <w:rFonts w:ascii="KaiTi" w:eastAsia="KaiTi" w:hAnsi="KaiTi"/>
          <w:sz w:val="21"/>
        </w:rPr>
        <w:t>30</w:t>
      </w:r>
      <w:r>
        <w:rPr>
          <w:rFonts w:ascii="KaiTi" w:eastAsia="KaiTi" w:hAnsi="KaiTi"/>
          <w:sz w:val="21"/>
        </w:rPr>
        <w:t>/2</w:t>
      </w:r>
      <w:r w:rsidRPr="002E4B7B">
        <w:rPr>
          <w:rFonts w:ascii="KaiTi" w:eastAsia="KaiTi" w:hAnsi="KaiTi"/>
          <w:sz w:val="21"/>
        </w:rPr>
        <w:t>]</w:t>
      </w:r>
    </w:p>
    <w:p w14:paraId="47FD80C3" w14:textId="77777777" w:rsidR="00E726C8" w:rsidRDefault="00E726C8" w:rsidP="00E726C8">
      <w:pPr>
        <w:jc w:val="right"/>
        <w:rPr>
          <w:rFonts w:ascii="Arial Black" w:hAnsi="Arial Black"/>
          <w:caps/>
          <w:sz w:val="15"/>
        </w:rPr>
        <w:sectPr w:rsidR="00E726C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pgMar w:top="567" w:right="1134" w:bottom="1418" w:left="1418" w:header="510" w:footer="1021" w:gutter="0"/>
          <w:cols w:space="720"/>
          <w:titlePg/>
          <w:docGrid w:linePitch="299"/>
        </w:sectPr>
      </w:pPr>
    </w:p>
    <w:p w14:paraId="1FC84FFD" w14:textId="5D709D55" w:rsidR="00E726C8" w:rsidRPr="00E22BD8" w:rsidRDefault="00E726C8" w:rsidP="00E726C8">
      <w:pPr>
        <w:jc w:val="right"/>
        <w:rPr>
          <w:rFonts w:ascii="Arial Black" w:hAnsi="Arial Black"/>
          <w:caps/>
          <w:sz w:val="15"/>
        </w:rPr>
      </w:pPr>
      <w:r w:rsidRPr="00E22BD8">
        <w:rPr>
          <w:rFonts w:cs="Times New Roman"/>
          <w:noProof/>
          <w:lang w:eastAsia="en-US"/>
        </w:rPr>
        <w:lastRenderedPageBreak/>
        <w:drawing>
          <wp:inline distT="0" distB="0" distL="0" distR="0" wp14:anchorId="48AF9A28" wp14:editId="13B9D35D">
            <wp:extent cx="3102650" cy="1333676"/>
            <wp:effectExtent l="0" t="0" r="2540" b="0"/>
            <wp:docPr id="8"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2B16716" w14:textId="77777777" w:rsidR="00E726C8" w:rsidRPr="00E22BD8" w:rsidRDefault="00E726C8" w:rsidP="00E726C8">
      <w:pPr>
        <w:pBdr>
          <w:top w:val="single" w:sz="4" w:space="10" w:color="auto"/>
        </w:pBdr>
        <w:spacing w:before="120"/>
        <w:jc w:val="right"/>
        <w:rPr>
          <w:rFonts w:ascii="Arial Black" w:hAnsi="Arial Black"/>
          <w:b/>
          <w:caps/>
          <w:sz w:val="15"/>
        </w:rPr>
      </w:pPr>
    </w:p>
    <w:p w14:paraId="4ACCB073" w14:textId="77777777" w:rsidR="00E726C8" w:rsidRPr="00E22BD8" w:rsidRDefault="00E726C8" w:rsidP="00E726C8">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：英</w:t>
      </w:r>
      <w:r w:rsidRPr="00E22BD8">
        <w:rPr>
          <w:rFonts w:eastAsia="SimHei" w:hint="eastAsia"/>
          <w:b/>
          <w:sz w:val="15"/>
          <w:szCs w:val="15"/>
        </w:rPr>
        <w:t>文</w:t>
      </w:r>
    </w:p>
    <w:p w14:paraId="299A167A" w14:textId="77777777" w:rsidR="00E726C8" w:rsidRPr="00E22BD8" w:rsidRDefault="00E726C8" w:rsidP="00E726C8">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2</w:t>
      </w:r>
      <w:r w:rsidRPr="00E22BD8">
        <w:rPr>
          <w:rFonts w:ascii="SimHei" w:eastAsia="SimHei" w:hAnsi="Times New Roman" w:hint="eastAsia"/>
          <w:b/>
          <w:sz w:val="15"/>
          <w:szCs w:val="15"/>
        </w:rPr>
        <w:t>年</w:t>
      </w:r>
      <w:r>
        <w:rPr>
          <w:rFonts w:ascii="Arial Black" w:eastAsia="SimHei" w:hAnsi="Arial Black"/>
          <w:b/>
          <w:sz w:val="15"/>
          <w:szCs w:val="15"/>
          <w:lang w:val="pt-BR"/>
        </w:rPr>
        <w:t>10</w:t>
      </w:r>
      <w:r w:rsidRPr="00E22BD8">
        <w:rPr>
          <w:rFonts w:ascii="SimHei" w:eastAsia="SimHei" w:hAnsi="Times New Roman" w:hint="eastAsia"/>
          <w:b/>
          <w:sz w:val="15"/>
          <w:szCs w:val="15"/>
        </w:rPr>
        <w:t>月</w:t>
      </w:r>
      <w:r>
        <w:rPr>
          <w:rFonts w:ascii="Arial Black" w:eastAsia="SimHei" w:hAnsi="Arial Black"/>
          <w:b/>
          <w:sz w:val="15"/>
          <w:szCs w:val="15"/>
          <w:lang w:val="pt-BR"/>
        </w:rPr>
        <w:t>21</w:t>
      </w:r>
      <w:r w:rsidRPr="00E22BD8">
        <w:rPr>
          <w:rFonts w:ascii="SimHei" w:eastAsia="SimHei" w:hAnsi="Times New Roman" w:hint="eastAsia"/>
          <w:b/>
          <w:sz w:val="15"/>
          <w:szCs w:val="15"/>
        </w:rPr>
        <w:t>日</w:t>
      </w:r>
    </w:p>
    <w:p w14:paraId="175D12FA" w14:textId="77777777" w:rsidR="00E726C8" w:rsidRPr="00E22BD8" w:rsidRDefault="00E726C8" w:rsidP="00E726C8">
      <w:pPr>
        <w:spacing w:after="600"/>
        <w:rPr>
          <w:rFonts w:ascii="SimHei" w:eastAsia="SimHei"/>
          <w:sz w:val="28"/>
          <w:szCs w:val="28"/>
        </w:rPr>
      </w:pPr>
      <w:r w:rsidRPr="00E22BD8">
        <w:rPr>
          <w:rFonts w:ascii="SimHei" w:eastAsia="SimHei" w:hint="eastAsia"/>
          <w:sz w:val="28"/>
          <w:szCs w:val="28"/>
        </w:rPr>
        <w:t>发展与知识产权委员会（CDIP）</w:t>
      </w:r>
    </w:p>
    <w:p w14:paraId="68ADAD53" w14:textId="77777777" w:rsidR="00E726C8" w:rsidRPr="0080619C" w:rsidRDefault="00E726C8" w:rsidP="00E726C8">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九</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hint="eastAsia"/>
          <w:sz w:val="24"/>
        </w:rPr>
        <w:t>2</w:t>
      </w:r>
      <w:r w:rsidRPr="0080619C">
        <w:rPr>
          <w:rFonts w:ascii="KaiTi" w:eastAsia="KaiTi" w:hAnsi="KaiTi" w:hint="eastAsia"/>
          <w:b/>
          <w:sz w:val="24"/>
        </w:rPr>
        <w:t>年</w:t>
      </w:r>
      <w:r>
        <w:rPr>
          <w:rFonts w:ascii="KaiTi" w:eastAsia="KaiTi" w:hAnsi="KaiTi"/>
          <w:sz w:val="24"/>
        </w:rPr>
        <w:t>10</w:t>
      </w:r>
      <w:r w:rsidRPr="0080619C">
        <w:rPr>
          <w:rFonts w:ascii="KaiTi" w:eastAsia="KaiTi" w:hAnsi="KaiTi" w:hint="eastAsia"/>
          <w:b/>
          <w:sz w:val="24"/>
        </w:rPr>
        <w:t>月</w:t>
      </w:r>
      <w:r>
        <w:rPr>
          <w:rFonts w:ascii="KaiTi" w:eastAsia="KaiTi" w:hAnsi="KaiTi" w:hint="eastAsia"/>
          <w:sz w:val="24"/>
        </w:rPr>
        <w:t>1</w:t>
      </w:r>
      <w:r>
        <w:rPr>
          <w:rFonts w:ascii="KaiTi" w:eastAsia="KaiTi" w:hAnsi="KaiTi"/>
          <w:sz w:val="24"/>
        </w:rPr>
        <w:t>7</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1</w:t>
      </w:r>
      <w:r w:rsidRPr="0080619C">
        <w:rPr>
          <w:rFonts w:ascii="KaiTi" w:eastAsia="KaiTi" w:hAnsi="KaiTi" w:hint="eastAsia"/>
          <w:b/>
          <w:sz w:val="24"/>
        </w:rPr>
        <w:t>日，日内瓦</w:t>
      </w:r>
    </w:p>
    <w:p w14:paraId="3572C0B7" w14:textId="246ED264" w:rsidR="00E726C8" w:rsidRPr="004D6500" w:rsidRDefault="00E726C8" w:rsidP="004D6500">
      <w:pPr>
        <w:spacing w:after="960"/>
        <w:rPr>
          <w:rFonts w:ascii="KaiTi" w:eastAsia="KaiTi" w:hAnsi="KaiTi" w:cs="Times New Roman"/>
          <w:sz w:val="24"/>
          <w:szCs w:val="32"/>
        </w:rPr>
      </w:pPr>
      <w:r>
        <w:rPr>
          <w:rFonts w:ascii="KaiTi" w:eastAsia="KaiTi" w:hAnsi="KaiTi" w:cs="Times New Roman" w:hint="eastAsia"/>
          <w:sz w:val="24"/>
          <w:szCs w:val="32"/>
        </w:rPr>
        <w:t>主席总结</w:t>
      </w:r>
    </w:p>
    <w:p w14:paraId="0E57FE3B" w14:textId="77777777" w:rsidR="00E726C8" w:rsidRPr="00135509" w:rsidRDefault="00E726C8" w:rsidP="00E726C8">
      <w:pPr>
        <w:pStyle w:val="ListParagraph"/>
        <w:numPr>
          <w:ilvl w:val="0"/>
          <w:numId w:val="16"/>
        </w:numPr>
        <w:spacing w:afterLines="50" w:after="120" w:line="340" w:lineRule="atLeast"/>
        <w:ind w:left="0" w:firstLine="0"/>
        <w:contextualSpacing w:val="0"/>
        <w:jc w:val="both"/>
        <w:rPr>
          <w:rStyle w:val="Strong"/>
          <w:rFonts w:ascii="SimSun" w:hAnsi="SimSun"/>
          <w:b w:val="0"/>
          <w:sz w:val="21"/>
        </w:rPr>
      </w:pPr>
      <w:r w:rsidRPr="00135509">
        <w:rPr>
          <w:rStyle w:val="Strong"/>
          <w:rFonts w:ascii="SimSun" w:hAnsi="SimSun" w:hint="eastAsia"/>
          <w:b w:val="0"/>
          <w:sz w:val="21"/>
        </w:rPr>
        <w:t>发展与知识产权委员会（CDIP）第二十九届会议于2022年1</w:t>
      </w:r>
      <w:r w:rsidRPr="00135509">
        <w:rPr>
          <w:rStyle w:val="Strong"/>
          <w:rFonts w:ascii="SimSun" w:hAnsi="SimSun"/>
          <w:b w:val="0"/>
          <w:sz w:val="21"/>
        </w:rPr>
        <w:t>0</w:t>
      </w:r>
      <w:r w:rsidRPr="00135509">
        <w:rPr>
          <w:rStyle w:val="Strong"/>
          <w:rFonts w:ascii="SimSun" w:hAnsi="SimSun" w:hint="eastAsia"/>
          <w:b w:val="0"/>
          <w:sz w:val="21"/>
        </w:rPr>
        <w:t>月1</w:t>
      </w:r>
      <w:r w:rsidRPr="00135509">
        <w:rPr>
          <w:rStyle w:val="Strong"/>
          <w:rFonts w:ascii="SimSun" w:hAnsi="SimSun"/>
          <w:b w:val="0"/>
          <w:sz w:val="21"/>
        </w:rPr>
        <w:t>7</w:t>
      </w:r>
      <w:r w:rsidRPr="00135509">
        <w:rPr>
          <w:rStyle w:val="Strong"/>
          <w:rFonts w:ascii="SimSun" w:hAnsi="SimSun" w:hint="eastAsia"/>
          <w:b w:val="0"/>
          <w:sz w:val="21"/>
        </w:rPr>
        <w:t>日至2</w:t>
      </w:r>
      <w:r w:rsidRPr="00135509">
        <w:rPr>
          <w:rStyle w:val="Strong"/>
          <w:rFonts w:ascii="SimSun" w:hAnsi="SimSun"/>
          <w:b w:val="0"/>
          <w:sz w:val="21"/>
        </w:rPr>
        <w:t>1</w:t>
      </w:r>
      <w:r w:rsidRPr="00135509">
        <w:rPr>
          <w:rStyle w:val="Strong"/>
          <w:rFonts w:ascii="SimSun" w:hAnsi="SimSun" w:hint="eastAsia"/>
          <w:b w:val="0"/>
          <w:sz w:val="21"/>
        </w:rPr>
        <w:t>日以混合形式举行。1</w:t>
      </w:r>
      <w:r w:rsidRPr="00135509">
        <w:rPr>
          <w:rStyle w:val="Strong"/>
          <w:rFonts w:ascii="SimSun" w:hAnsi="SimSun"/>
          <w:b w:val="0"/>
          <w:sz w:val="21"/>
        </w:rPr>
        <w:t>01</w:t>
      </w:r>
      <w:r w:rsidRPr="00135509">
        <w:rPr>
          <w:rStyle w:val="Strong"/>
          <w:rFonts w:ascii="SimSun" w:hAnsi="SimSun" w:hint="eastAsia"/>
          <w:b w:val="0"/>
          <w:sz w:val="21"/>
        </w:rPr>
        <w:t>个成员国和2</w:t>
      </w:r>
      <w:r w:rsidRPr="00135509">
        <w:rPr>
          <w:rStyle w:val="Strong"/>
          <w:rFonts w:ascii="SimSun" w:hAnsi="SimSun"/>
          <w:b w:val="0"/>
          <w:sz w:val="21"/>
        </w:rPr>
        <w:t>3</w:t>
      </w:r>
      <w:r w:rsidRPr="00135509">
        <w:rPr>
          <w:rStyle w:val="Strong"/>
          <w:rFonts w:ascii="SimSun" w:hAnsi="SimSun" w:hint="eastAsia"/>
          <w:b w:val="0"/>
          <w:sz w:val="21"/>
        </w:rPr>
        <w:t>个观察员出席了CDIP会议。世界知识产权组织（产权组织）区域和国家发展部门副总干事哈桑·克莱布先生宣布会议开幕。会议由萨尔瓦多驻世界贸易组织和产权组织大使帕特里夏·贝内德蒂女士阁下主持。</w:t>
      </w:r>
    </w:p>
    <w:p w14:paraId="60C0D76D" w14:textId="77777777" w:rsidR="00E726C8" w:rsidRPr="00D819B3" w:rsidRDefault="00E726C8" w:rsidP="00E726C8">
      <w:pPr>
        <w:pStyle w:val="ListParagraph"/>
        <w:numPr>
          <w:ilvl w:val="0"/>
          <w:numId w:val="16"/>
        </w:numPr>
        <w:spacing w:afterLines="50" w:after="120" w:line="340" w:lineRule="atLeast"/>
        <w:ind w:left="0" w:firstLine="0"/>
        <w:contextualSpacing w:val="0"/>
        <w:jc w:val="both"/>
        <w:rPr>
          <w:rFonts w:ascii="SimSun" w:hAnsi="SimSun"/>
          <w:bCs/>
          <w:sz w:val="21"/>
        </w:rPr>
      </w:pPr>
      <w:r w:rsidRPr="00D819B3">
        <w:rPr>
          <w:rFonts w:ascii="SimSun" w:hAnsi="SimSun" w:hint="eastAsia"/>
          <w:bCs/>
          <w:sz w:val="21"/>
          <w:szCs w:val="22"/>
        </w:rPr>
        <w:t>在议程第2项下，委员会通过了文件CDIP/2</w:t>
      </w:r>
      <w:r w:rsidRPr="00D819B3">
        <w:rPr>
          <w:rFonts w:ascii="SimSun" w:hAnsi="SimSun"/>
          <w:bCs/>
          <w:sz w:val="21"/>
          <w:szCs w:val="22"/>
        </w:rPr>
        <w:t>9</w:t>
      </w:r>
      <w:r w:rsidRPr="00D819B3">
        <w:rPr>
          <w:rFonts w:ascii="SimSun" w:hAnsi="SimSun" w:hint="eastAsia"/>
          <w:bCs/>
          <w:sz w:val="21"/>
          <w:szCs w:val="22"/>
        </w:rPr>
        <w:t>/1 Prov.2中所载的议程草案。</w:t>
      </w:r>
    </w:p>
    <w:p w14:paraId="61156110" w14:textId="77777777" w:rsidR="00E726C8" w:rsidRPr="00D819B3" w:rsidRDefault="00E726C8" w:rsidP="00E726C8">
      <w:pPr>
        <w:pStyle w:val="ListParagraph"/>
        <w:numPr>
          <w:ilvl w:val="0"/>
          <w:numId w:val="16"/>
        </w:numPr>
        <w:spacing w:afterLines="50" w:after="120" w:line="340" w:lineRule="atLeast"/>
        <w:ind w:left="0" w:firstLine="0"/>
        <w:contextualSpacing w:val="0"/>
        <w:jc w:val="both"/>
        <w:rPr>
          <w:rFonts w:ascii="SimSun" w:hAnsi="SimSun"/>
          <w:bCs/>
          <w:sz w:val="21"/>
        </w:rPr>
      </w:pPr>
      <w:r w:rsidRPr="00D819B3">
        <w:rPr>
          <w:rFonts w:ascii="SimSun" w:hAnsi="SimSun" w:hint="eastAsia"/>
          <w:sz w:val="21"/>
        </w:rPr>
        <w:t>在议程第3项下，委员会听取了一般性发言。</w:t>
      </w:r>
      <w:r w:rsidRPr="008E66C9">
        <w:rPr>
          <w:rFonts w:ascii="SimSun" w:hAnsi="SimSun" w:hint="eastAsia"/>
          <w:sz w:val="21"/>
        </w:rPr>
        <w:t>各代表团谈到发展议程15周年，对委员会在整个组织</w:t>
      </w:r>
      <w:r>
        <w:rPr>
          <w:rFonts w:ascii="SimSun" w:hAnsi="SimSun" w:hint="eastAsia"/>
          <w:sz w:val="21"/>
        </w:rPr>
        <w:t>落实</w:t>
      </w:r>
      <w:r w:rsidRPr="008E66C9">
        <w:rPr>
          <w:rFonts w:ascii="SimSun" w:hAnsi="SimSun" w:hint="eastAsia"/>
          <w:sz w:val="21"/>
        </w:rPr>
        <w:t>发展议程</w:t>
      </w:r>
      <w:r>
        <w:rPr>
          <w:rFonts w:ascii="SimSun" w:hAnsi="SimSun" w:hint="eastAsia"/>
          <w:sz w:val="21"/>
        </w:rPr>
        <w:t>各项</w:t>
      </w:r>
      <w:r w:rsidRPr="008E66C9">
        <w:rPr>
          <w:rFonts w:ascii="SimSun" w:hAnsi="SimSun" w:hint="eastAsia"/>
          <w:sz w:val="21"/>
        </w:rPr>
        <w:t>建议并将</w:t>
      </w:r>
      <w:r>
        <w:rPr>
          <w:rFonts w:ascii="SimSun" w:hAnsi="SimSun" w:hint="eastAsia"/>
          <w:sz w:val="21"/>
        </w:rPr>
        <w:t>它们</w:t>
      </w:r>
      <w:r w:rsidRPr="008E66C9">
        <w:rPr>
          <w:rFonts w:ascii="SimSun" w:hAnsi="SimSun" w:hint="eastAsia"/>
          <w:sz w:val="21"/>
        </w:rPr>
        <w:t>纳入主流方面取得的进展表示高兴。</w:t>
      </w:r>
      <w:r w:rsidRPr="00D819B3">
        <w:rPr>
          <w:rFonts w:ascii="SimSun" w:hAnsi="SimSun" w:hint="eastAsia"/>
          <w:sz w:val="21"/>
        </w:rPr>
        <w:t>各代表团进一步</w:t>
      </w:r>
      <w:r>
        <w:rPr>
          <w:rFonts w:ascii="SimSun" w:hAnsi="SimSun" w:hint="eastAsia"/>
          <w:sz w:val="21"/>
        </w:rPr>
        <w:t>再次承诺</w:t>
      </w:r>
      <w:r w:rsidRPr="00D819B3">
        <w:rPr>
          <w:rFonts w:ascii="SimSun" w:hAnsi="SimSun" w:hint="eastAsia"/>
          <w:sz w:val="21"/>
        </w:rPr>
        <w:t>进行建设性的讨论，为本届会议的议程作出贡献。</w:t>
      </w:r>
    </w:p>
    <w:p w14:paraId="0C39954E" w14:textId="77777777" w:rsidR="00E726C8" w:rsidRPr="00D819B3" w:rsidRDefault="00E726C8" w:rsidP="00E726C8">
      <w:pPr>
        <w:pStyle w:val="ListParagraph"/>
        <w:numPr>
          <w:ilvl w:val="0"/>
          <w:numId w:val="16"/>
        </w:numPr>
        <w:spacing w:afterLines="50" w:after="120" w:line="340" w:lineRule="atLeast"/>
        <w:ind w:left="0" w:firstLine="0"/>
        <w:contextualSpacing w:val="0"/>
        <w:jc w:val="both"/>
        <w:rPr>
          <w:rFonts w:ascii="SimSun" w:hAnsi="SimSun"/>
          <w:bCs/>
          <w:sz w:val="21"/>
        </w:rPr>
      </w:pPr>
      <w:r w:rsidRPr="00D819B3">
        <w:rPr>
          <w:rFonts w:ascii="SimSun" w:hAnsi="SimSun" w:hint="eastAsia"/>
          <w:bCs/>
          <w:sz w:val="21"/>
        </w:rPr>
        <w:t>在议程第4项下，委员会审议了以下方面：</w:t>
      </w:r>
    </w:p>
    <w:p w14:paraId="182199CB" w14:textId="77777777" w:rsidR="00E726C8" w:rsidRPr="00D819B3" w:rsidRDefault="00E726C8" w:rsidP="00E726C8">
      <w:pPr>
        <w:pStyle w:val="ListParagraph"/>
        <w:numPr>
          <w:ilvl w:val="1"/>
          <w:numId w:val="16"/>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t>文件</w:t>
      </w:r>
      <w:r w:rsidRPr="00D819B3">
        <w:rPr>
          <w:rFonts w:ascii="SimSun" w:hAnsi="SimSun"/>
          <w:sz w:val="21"/>
        </w:rPr>
        <w:t>CDIP/29/2</w:t>
      </w:r>
      <w:r w:rsidRPr="00D819B3">
        <w:rPr>
          <w:rFonts w:ascii="SimSun" w:hAnsi="SimSun" w:hint="eastAsia"/>
          <w:sz w:val="21"/>
        </w:rPr>
        <w:t>中所载的“进展报告——正在进行的发展议程项目”。委员会注意到该文件及其附件中提供的信息。委员会批准将“版权与数字环境中的内容分发”项目的实施时间延长12个月，将“将当地企业集体商标注册作为跨领域经济发展问题”项目的实施时间延长6个月，两者均不涉及预算问题。委员会还欢迎文件中经修订的报告形式，它对发展议程项目的执行情况提供了一个更方便的视角。委员会鼓励秘书处继续在此基础上进行报告。</w:t>
      </w:r>
    </w:p>
    <w:p w14:paraId="5C15CD06" w14:textId="77777777" w:rsidR="00E726C8" w:rsidRPr="00D819B3" w:rsidRDefault="00E726C8" w:rsidP="00E726C8">
      <w:pPr>
        <w:pStyle w:val="ListParagraph"/>
        <w:numPr>
          <w:ilvl w:val="1"/>
          <w:numId w:val="16"/>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t>文件</w:t>
      </w:r>
      <w:r w:rsidRPr="00D819B3">
        <w:rPr>
          <w:rFonts w:ascii="SimSun" w:hAnsi="SimSun"/>
          <w:sz w:val="21"/>
        </w:rPr>
        <w:t>CDIP/29/4</w:t>
      </w:r>
      <w:r w:rsidRPr="00D819B3">
        <w:rPr>
          <w:rFonts w:ascii="SimSun" w:hAnsi="SimSun" w:hint="eastAsia"/>
          <w:sz w:val="21"/>
        </w:rPr>
        <w:t>中所载的“‘成功的发展议程项目提案用工具’发展议程项目完成报告”。委员会注意到该文件中提供的信息。</w:t>
      </w:r>
    </w:p>
    <w:p w14:paraId="4B673592" w14:textId="77777777" w:rsidR="00E726C8" w:rsidRPr="00D819B3" w:rsidRDefault="00E726C8" w:rsidP="00E726C8">
      <w:pPr>
        <w:pStyle w:val="ListParagraph"/>
        <w:numPr>
          <w:ilvl w:val="1"/>
          <w:numId w:val="16"/>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lastRenderedPageBreak/>
        <w:t>文件</w:t>
      </w:r>
      <w:r w:rsidRPr="00D819B3">
        <w:rPr>
          <w:rFonts w:ascii="SimSun" w:hAnsi="SimSun"/>
          <w:sz w:val="21"/>
        </w:rPr>
        <w:t>CDIP/29/5</w:t>
      </w:r>
      <w:r w:rsidRPr="00D819B3">
        <w:rPr>
          <w:rFonts w:ascii="SimSun" w:hAnsi="SimSun" w:hint="eastAsia"/>
          <w:sz w:val="21"/>
        </w:rPr>
        <w:t>中所载的“‘成功的发展议程项目提案用工具’发展议程项目审评报告”。委员会注意到该文件中所载的信息。委员会还要求秘书处进一步将上述项目中开发的产出纳入产权组织常规工作的主流，保持这些产出的更新</w:t>
      </w:r>
      <w:r w:rsidRPr="00406E30">
        <w:rPr>
          <w:rFonts w:ascii="SimSun" w:hAnsi="SimSun" w:hint="eastAsia"/>
          <w:sz w:val="21"/>
        </w:rPr>
        <w:t>，向成员国和其他相关利益攸关方提供关于项目开发和实施的定制培训，并在2024年对项目的成功进行一次小规模审查</w:t>
      </w:r>
      <w:r w:rsidRPr="00D819B3">
        <w:rPr>
          <w:rFonts w:ascii="SimSun" w:hAnsi="SimSun" w:hint="eastAsia"/>
          <w:sz w:val="21"/>
        </w:rPr>
        <w:t>。</w:t>
      </w:r>
    </w:p>
    <w:p w14:paraId="517F0C70" w14:textId="77777777" w:rsidR="00E726C8" w:rsidRPr="00D819B3" w:rsidRDefault="00E726C8" w:rsidP="00E726C8">
      <w:pPr>
        <w:pStyle w:val="ListParagraph"/>
        <w:numPr>
          <w:ilvl w:val="1"/>
          <w:numId w:val="16"/>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t>文件</w:t>
      </w:r>
      <w:r w:rsidRPr="00D819B3">
        <w:rPr>
          <w:rFonts w:ascii="SimSun" w:hAnsi="SimSun"/>
          <w:sz w:val="21"/>
        </w:rPr>
        <w:t>CDIP/29/10</w:t>
      </w:r>
      <w:r w:rsidRPr="00D819B3">
        <w:rPr>
          <w:rFonts w:ascii="SimSun" w:hAnsi="SimSun" w:hint="eastAsia"/>
          <w:sz w:val="21"/>
        </w:rPr>
        <w:t>中所载的</w:t>
      </w:r>
      <w:r w:rsidRPr="00406E30">
        <w:rPr>
          <w:rFonts w:ascii="SimSun" w:hAnsi="SimSun" w:hint="eastAsia"/>
          <w:sz w:val="21"/>
        </w:rPr>
        <w:t>“实施45项发展议程建议的进展报告”。委员会基于发展议程六个建议集审议了文件。成员国分享了它们在参考建议集A的技术援助活动方面的经验。委员会赞扬了报告的最新结构，并赞赏秘书处努力将发展议程各项建议与本组织制定的战略方向联系起来。</w:t>
      </w:r>
    </w:p>
    <w:p w14:paraId="120CFBD5" w14:textId="77777777" w:rsidR="00E726C8" w:rsidRPr="00D819B3" w:rsidRDefault="00E726C8" w:rsidP="00E726C8">
      <w:pPr>
        <w:pStyle w:val="ListParagraph"/>
        <w:numPr>
          <w:ilvl w:val="1"/>
          <w:numId w:val="16"/>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t>文件</w:t>
      </w:r>
      <w:r w:rsidRPr="00D819B3">
        <w:rPr>
          <w:rFonts w:ascii="SimSun" w:hAnsi="SimSun"/>
          <w:sz w:val="21"/>
          <w:szCs w:val="22"/>
        </w:rPr>
        <w:t>EVAL 2020</w:t>
      </w:r>
      <w:r w:rsidRPr="00D819B3">
        <w:rPr>
          <w:rFonts w:ascii="SimSun" w:hAnsi="SimSun"/>
          <w:sz w:val="21"/>
          <w:szCs w:val="22"/>
        </w:rPr>
        <w:noBreakHyphen/>
        <w:t>05</w:t>
      </w:r>
      <w:r w:rsidRPr="00D819B3">
        <w:rPr>
          <w:rFonts w:ascii="SimSun" w:hAnsi="SimSun" w:hint="eastAsia"/>
          <w:sz w:val="21"/>
        </w:rPr>
        <w:t>中所载的内部监督司</w:t>
      </w:r>
      <w:r w:rsidRPr="00D819B3">
        <w:rPr>
          <w:rFonts w:ascii="SimSun" w:hAnsi="SimSun" w:hint="eastAsia"/>
          <w:bCs/>
          <w:sz w:val="21"/>
        </w:rPr>
        <w:t>对WIPO Match的评价报告</w:t>
      </w:r>
      <w:r w:rsidRPr="00D819B3">
        <w:rPr>
          <w:rFonts w:ascii="SimSun" w:hAnsi="SimSun" w:hint="eastAsia"/>
          <w:sz w:val="21"/>
        </w:rPr>
        <w:t>。委员会注意到对该报告的介绍</w:t>
      </w:r>
      <w:r>
        <w:rPr>
          <w:rFonts w:ascii="SimSun" w:hAnsi="SimSun" w:hint="eastAsia"/>
          <w:sz w:val="21"/>
        </w:rPr>
        <w:t>，并</w:t>
      </w:r>
      <w:r w:rsidRPr="008E66C9">
        <w:rPr>
          <w:rFonts w:ascii="SimSun" w:hAnsi="SimSun" w:hint="eastAsia"/>
          <w:sz w:val="21"/>
        </w:rPr>
        <w:t>请秘书处继续定期提供最新情况。</w:t>
      </w:r>
    </w:p>
    <w:p w14:paraId="1725D760" w14:textId="77777777" w:rsidR="00E726C8" w:rsidRPr="00D819B3" w:rsidRDefault="00E726C8" w:rsidP="00E726C8">
      <w:pPr>
        <w:pStyle w:val="ListParagraph"/>
        <w:numPr>
          <w:ilvl w:val="0"/>
          <w:numId w:val="16"/>
        </w:numPr>
        <w:spacing w:afterLines="50" w:after="120" w:line="340" w:lineRule="atLeast"/>
        <w:ind w:left="0" w:firstLine="0"/>
        <w:contextualSpacing w:val="0"/>
        <w:jc w:val="both"/>
        <w:rPr>
          <w:rFonts w:ascii="SimSun" w:hAnsi="SimSun"/>
          <w:bCs/>
          <w:sz w:val="21"/>
        </w:rPr>
      </w:pPr>
      <w:r w:rsidRPr="00D819B3">
        <w:rPr>
          <w:rFonts w:ascii="SimSun" w:hAnsi="SimSun" w:hint="eastAsia"/>
          <w:bCs/>
          <w:sz w:val="21"/>
          <w:szCs w:val="22"/>
        </w:rPr>
        <w:t>在议程第4(i)项下，委员会继续讨论了以下方面：</w:t>
      </w:r>
    </w:p>
    <w:p w14:paraId="21C42BCF" w14:textId="77777777" w:rsidR="00E726C8" w:rsidRPr="00D819B3" w:rsidRDefault="00E726C8" w:rsidP="00E726C8">
      <w:pPr>
        <w:pStyle w:val="ListParagraph"/>
        <w:numPr>
          <w:ilvl w:val="1"/>
          <w:numId w:val="21"/>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t>产权组织合作促进发展领域的技术援助，依据文件CDIP/24/8中所载的“关于成员国在产权组织技术援助方面的决定落实情况的报告”。</w:t>
      </w:r>
      <w:r w:rsidRPr="002F7ECB">
        <w:rPr>
          <w:rFonts w:ascii="SimSun" w:hAnsi="SimSun" w:hint="eastAsia"/>
          <w:sz w:val="21"/>
        </w:rPr>
        <w:t>委员会将在下届会议上审议</w:t>
      </w:r>
      <w:r>
        <w:rPr>
          <w:rFonts w:ascii="SimSun" w:hAnsi="SimSun" w:hint="eastAsia"/>
          <w:sz w:val="21"/>
        </w:rPr>
        <w:t>结束</w:t>
      </w:r>
      <w:r w:rsidRPr="002F7ECB">
        <w:rPr>
          <w:rFonts w:ascii="SimSun" w:hAnsi="SimSun" w:hint="eastAsia"/>
          <w:sz w:val="21"/>
        </w:rPr>
        <w:t>文件CDIP/24/8。</w:t>
      </w:r>
    </w:p>
    <w:p w14:paraId="7DD164EF" w14:textId="77777777" w:rsidR="00E726C8" w:rsidRPr="00D819B3" w:rsidRDefault="00E726C8" w:rsidP="00E726C8">
      <w:pPr>
        <w:pStyle w:val="ListParagraph"/>
        <w:numPr>
          <w:ilvl w:val="1"/>
          <w:numId w:val="21"/>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t>文件CDIP/26/6中所载的</w:t>
      </w:r>
      <w:r>
        <w:rPr>
          <w:rFonts w:ascii="SimSun" w:hAnsi="SimSun" w:hint="eastAsia"/>
          <w:sz w:val="21"/>
        </w:rPr>
        <w:t>“</w:t>
      </w:r>
      <w:r w:rsidRPr="00D819B3">
        <w:rPr>
          <w:rFonts w:ascii="SimSun" w:hAnsi="SimSun" w:hint="eastAsia"/>
          <w:sz w:val="21"/>
        </w:rPr>
        <w:t>未来</w:t>
      </w:r>
      <w:r>
        <w:rPr>
          <w:rFonts w:ascii="SimSun" w:hAnsi="SimSun" w:hint="eastAsia"/>
          <w:sz w:val="21"/>
        </w:rPr>
        <w:t>的</w:t>
      </w:r>
      <w:r w:rsidRPr="00D819B3">
        <w:rPr>
          <w:rFonts w:ascii="SimSun" w:hAnsi="SimSun" w:hint="eastAsia"/>
          <w:sz w:val="21"/>
        </w:rPr>
        <w:t>网络研讨会</w:t>
      </w:r>
      <w:r>
        <w:rPr>
          <w:rFonts w:ascii="SimSun" w:hAnsi="SimSun" w:hint="eastAsia"/>
          <w:sz w:val="21"/>
        </w:rPr>
        <w:t>”</w:t>
      </w:r>
      <w:r w:rsidRPr="00D819B3">
        <w:rPr>
          <w:rFonts w:ascii="SimSun" w:hAnsi="SimSun" w:hint="eastAsia"/>
          <w:sz w:val="21"/>
        </w:rPr>
        <w:t>。</w:t>
      </w:r>
      <w:r w:rsidRPr="002F7ECB">
        <w:rPr>
          <w:rFonts w:ascii="SimSun" w:hAnsi="SimSun" w:hint="eastAsia"/>
          <w:sz w:val="21"/>
        </w:rPr>
        <w:t>委员会同意</w:t>
      </w:r>
      <w:r>
        <w:rPr>
          <w:rFonts w:ascii="SimSun" w:hAnsi="SimSun" w:hint="eastAsia"/>
          <w:sz w:val="21"/>
        </w:rPr>
        <w:t>，</w:t>
      </w:r>
      <w:r w:rsidRPr="002F7ECB">
        <w:rPr>
          <w:rFonts w:ascii="SimSun" w:hAnsi="SimSun" w:hint="eastAsia"/>
          <w:sz w:val="21"/>
        </w:rPr>
        <w:t>成员国应在2023年1月30日之前向秘书处提交其对</w:t>
      </w:r>
      <w:r>
        <w:rPr>
          <w:rFonts w:ascii="SimSun" w:hAnsi="SimSun" w:hint="eastAsia"/>
          <w:sz w:val="21"/>
        </w:rPr>
        <w:t>文件</w:t>
      </w:r>
      <w:r w:rsidRPr="002F7ECB">
        <w:rPr>
          <w:rFonts w:ascii="SimSun" w:hAnsi="SimSun" w:hint="eastAsia"/>
          <w:sz w:val="21"/>
        </w:rPr>
        <w:t>CDIP/26/6的评论</w:t>
      </w:r>
      <w:r>
        <w:rPr>
          <w:rFonts w:ascii="SimSun" w:hAnsi="SimSun" w:hint="eastAsia"/>
          <w:sz w:val="21"/>
        </w:rPr>
        <w:t>意见</w:t>
      </w:r>
      <w:r w:rsidRPr="002F7ECB">
        <w:rPr>
          <w:rFonts w:ascii="SimSun" w:hAnsi="SimSun" w:hint="eastAsia"/>
          <w:sz w:val="21"/>
        </w:rPr>
        <w:t>。秘书处将根据成员国在本届会议期间提出的</w:t>
      </w:r>
      <w:r>
        <w:rPr>
          <w:rFonts w:ascii="SimSun" w:hAnsi="SimSun" w:hint="eastAsia"/>
          <w:sz w:val="21"/>
        </w:rPr>
        <w:t>评论</w:t>
      </w:r>
      <w:r w:rsidRPr="002F7ECB">
        <w:rPr>
          <w:rFonts w:ascii="SimSun" w:hAnsi="SimSun" w:hint="eastAsia"/>
          <w:sz w:val="21"/>
        </w:rPr>
        <w:t>意见以及在上述期限前可能收到的</w:t>
      </w:r>
      <w:r>
        <w:rPr>
          <w:rFonts w:ascii="SimSun" w:hAnsi="SimSun" w:hint="eastAsia"/>
          <w:sz w:val="21"/>
        </w:rPr>
        <w:t>评论</w:t>
      </w:r>
      <w:r w:rsidRPr="002F7ECB">
        <w:rPr>
          <w:rFonts w:ascii="SimSun" w:hAnsi="SimSun" w:hint="eastAsia"/>
          <w:sz w:val="21"/>
        </w:rPr>
        <w:t>意见，向委员会下届会议提交一份</w:t>
      </w:r>
      <w:r>
        <w:rPr>
          <w:rFonts w:ascii="SimSun" w:hAnsi="SimSun" w:hint="eastAsia"/>
          <w:sz w:val="21"/>
        </w:rPr>
        <w:t>经</w:t>
      </w:r>
      <w:r w:rsidRPr="002F7ECB">
        <w:rPr>
          <w:rFonts w:ascii="SimSun" w:hAnsi="SimSun" w:hint="eastAsia"/>
          <w:sz w:val="21"/>
        </w:rPr>
        <w:t>修订</w:t>
      </w:r>
      <w:r>
        <w:rPr>
          <w:rFonts w:ascii="SimSun" w:hAnsi="SimSun" w:hint="eastAsia"/>
          <w:sz w:val="21"/>
        </w:rPr>
        <w:t>的</w:t>
      </w:r>
      <w:r w:rsidRPr="002F7ECB">
        <w:rPr>
          <w:rFonts w:ascii="SimSun" w:hAnsi="SimSun" w:hint="eastAsia"/>
          <w:sz w:val="21"/>
        </w:rPr>
        <w:t>文件。</w:t>
      </w:r>
    </w:p>
    <w:p w14:paraId="651A22A0" w14:textId="77777777" w:rsidR="00E726C8" w:rsidRPr="00D819B3" w:rsidRDefault="00E726C8" w:rsidP="00E726C8">
      <w:pPr>
        <w:pStyle w:val="ListParagraph"/>
        <w:numPr>
          <w:ilvl w:val="0"/>
          <w:numId w:val="16"/>
        </w:numPr>
        <w:spacing w:afterLines="50" w:after="120" w:line="340" w:lineRule="atLeast"/>
        <w:ind w:left="0" w:firstLine="0"/>
        <w:contextualSpacing w:val="0"/>
        <w:jc w:val="both"/>
        <w:rPr>
          <w:rFonts w:ascii="SimSun" w:hAnsi="SimSun"/>
          <w:bCs/>
          <w:sz w:val="21"/>
        </w:rPr>
      </w:pPr>
      <w:r w:rsidRPr="00D819B3">
        <w:rPr>
          <w:rFonts w:ascii="SimSun" w:hAnsi="SimSun" w:hint="eastAsia"/>
          <w:bCs/>
          <w:sz w:val="21"/>
          <w:szCs w:val="22"/>
        </w:rPr>
        <w:t>在议程第5项下，委员会审议了以下方面：</w:t>
      </w:r>
    </w:p>
    <w:p w14:paraId="36AF536E" w14:textId="77777777" w:rsidR="00E726C8" w:rsidRPr="00596D88" w:rsidRDefault="00E726C8" w:rsidP="00E726C8">
      <w:pPr>
        <w:pStyle w:val="ListParagraph"/>
        <w:numPr>
          <w:ilvl w:val="1"/>
          <w:numId w:val="22"/>
        </w:numPr>
        <w:spacing w:afterLines="50" w:after="120" w:line="340" w:lineRule="atLeast"/>
        <w:ind w:left="567" w:firstLine="0"/>
        <w:contextualSpacing w:val="0"/>
        <w:jc w:val="both"/>
        <w:rPr>
          <w:rFonts w:ascii="SimSun" w:hAnsi="SimSun"/>
          <w:sz w:val="21"/>
        </w:rPr>
      </w:pPr>
      <w:r w:rsidRPr="00D819B3">
        <w:rPr>
          <w:rFonts w:ascii="SimSun" w:hAnsi="SimSun" w:hint="eastAsia"/>
          <w:sz w:val="21"/>
        </w:rPr>
        <w:t>文件</w:t>
      </w:r>
      <w:r w:rsidRPr="00D819B3">
        <w:rPr>
          <w:rFonts w:ascii="SimSun" w:hAnsi="SimSun"/>
          <w:sz w:val="21"/>
        </w:rPr>
        <w:t>CDIP/29/3</w:t>
      </w:r>
      <w:r w:rsidRPr="00D819B3">
        <w:rPr>
          <w:rFonts w:ascii="SimSun" w:hAnsi="SimSun" w:hint="eastAsia"/>
          <w:sz w:val="21"/>
        </w:rPr>
        <w:t>中所载的“</w:t>
      </w:r>
      <w:r w:rsidRPr="00596D88">
        <w:rPr>
          <w:rFonts w:ascii="SimSun" w:hAnsi="SimSun" w:hint="eastAsia"/>
          <w:sz w:val="21"/>
        </w:rPr>
        <w:t>非洲集团关于每两年组织一次知识产权与发展国际会议的提案”。委员会决定，</w:t>
      </w:r>
      <w:r w:rsidRPr="00897E9F">
        <w:rPr>
          <w:rFonts w:ascii="SimSun" w:hAnsi="SimSun" w:hint="eastAsia"/>
          <w:sz w:val="21"/>
        </w:rPr>
        <w:t>两年一次、连续召开三次为期一天的“知识产权与发展国际会议”，于</w:t>
      </w:r>
      <w:r w:rsidRPr="00897E9F">
        <w:rPr>
          <w:rFonts w:ascii="SimSun" w:hAnsi="SimSun"/>
          <w:sz w:val="21"/>
        </w:rPr>
        <w:t>CDIP</w:t>
      </w:r>
      <w:r w:rsidRPr="00897E9F">
        <w:rPr>
          <w:rFonts w:ascii="SimSun" w:hAnsi="SimSun" w:hint="eastAsia"/>
          <w:sz w:val="21"/>
        </w:rPr>
        <w:t>周的第一天举行，第一次于</w:t>
      </w:r>
      <w:r w:rsidRPr="00897E9F">
        <w:rPr>
          <w:rFonts w:ascii="SimSun" w:hAnsi="SimSun"/>
          <w:sz w:val="21"/>
        </w:rPr>
        <w:t>CDIP</w:t>
      </w:r>
      <w:r w:rsidRPr="00897E9F">
        <w:rPr>
          <w:rFonts w:ascii="SimSun" w:hAnsi="SimSun" w:hint="eastAsia"/>
          <w:sz w:val="21"/>
        </w:rPr>
        <w:t>第三十四届会议时举行</w:t>
      </w:r>
      <w:r>
        <w:rPr>
          <w:rFonts w:ascii="SimSun" w:hAnsi="SimSun" w:hint="eastAsia"/>
          <w:sz w:val="21"/>
        </w:rPr>
        <w:t>。</w:t>
      </w:r>
      <w:r w:rsidRPr="00897E9F">
        <w:rPr>
          <w:rFonts w:ascii="SimSun" w:hAnsi="SimSun" w:hint="eastAsia"/>
          <w:sz w:val="21"/>
        </w:rPr>
        <w:t>每次会议的分议题须经成员国同意。委员会责成秘书处依据平衡和公平原则执行该决定，包括在遴选发言人和会议形式时</w:t>
      </w:r>
      <w:r>
        <w:rPr>
          <w:rFonts w:ascii="SimSun" w:hAnsi="SimSun" w:cs="Microsoft YaHei" w:hint="eastAsia"/>
          <w:sz w:val="21"/>
        </w:rPr>
        <w:t>，并为此分配人力和财务资源</w:t>
      </w:r>
      <w:r w:rsidRPr="00897E9F">
        <w:rPr>
          <w:rFonts w:ascii="SimSun" w:hAnsi="SimSun" w:hint="eastAsia"/>
          <w:sz w:val="21"/>
        </w:rPr>
        <w:t>。</w:t>
      </w:r>
    </w:p>
    <w:p w14:paraId="7F206DBC" w14:textId="77777777" w:rsidR="00E726C8" w:rsidRPr="00561FC4" w:rsidRDefault="00E726C8" w:rsidP="00E726C8">
      <w:pPr>
        <w:pStyle w:val="ListParagraph"/>
        <w:numPr>
          <w:ilvl w:val="1"/>
          <w:numId w:val="22"/>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t>文件</w:t>
      </w:r>
      <w:r w:rsidRPr="00D819B3">
        <w:rPr>
          <w:rFonts w:ascii="SimSun" w:hAnsi="SimSun"/>
          <w:sz w:val="21"/>
        </w:rPr>
        <w:t>CDIP/29/6</w:t>
      </w:r>
      <w:r w:rsidRPr="00D819B3">
        <w:rPr>
          <w:rFonts w:ascii="SimSun" w:hAnsi="SimSun" w:hint="eastAsia"/>
          <w:sz w:val="21"/>
        </w:rPr>
        <w:t>中所载的“已通过的独立审查建议的实施情况——秘书处更新的提案和成员国的意见”。委员会</w:t>
      </w:r>
      <w:r>
        <w:rPr>
          <w:rFonts w:ascii="SimSun" w:hAnsi="SimSun" w:hint="eastAsia"/>
          <w:sz w:val="21"/>
        </w:rPr>
        <w:t>：</w:t>
      </w:r>
    </w:p>
    <w:p w14:paraId="1A1ED024" w14:textId="77777777" w:rsidR="00E726C8" w:rsidRPr="00561FC4" w:rsidRDefault="00E726C8" w:rsidP="00E726C8">
      <w:pPr>
        <w:pStyle w:val="ListParagraph"/>
        <w:spacing w:afterLines="50" w:after="120" w:line="340" w:lineRule="atLeast"/>
        <w:ind w:left="1701" w:hanging="567"/>
        <w:contextualSpacing w:val="0"/>
        <w:jc w:val="both"/>
        <w:rPr>
          <w:rFonts w:ascii="SimSun" w:hAnsi="SimSun"/>
          <w:bCs/>
          <w:sz w:val="21"/>
        </w:rPr>
      </w:pPr>
      <w:r w:rsidRPr="00561FC4">
        <w:rPr>
          <w:rFonts w:ascii="SimSun" w:hAnsi="SimSun" w:hint="eastAsia"/>
          <w:bCs/>
          <w:sz w:val="21"/>
        </w:rPr>
        <w:t>i.</w:t>
      </w:r>
      <w:r w:rsidRPr="00561FC4">
        <w:rPr>
          <w:rFonts w:ascii="SimSun" w:hAnsi="SimSun" w:hint="eastAsia"/>
          <w:bCs/>
          <w:sz w:val="21"/>
        </w:rPr>
        <w:tab/>
        <w:t>回顾</w:t>
      </w:r>
      <w:r>
        <w:rPr>
          <w:rFonts w:ascii="SimSun" w:hAnsi="SimSun" w:hint="eastAsia"/>
          <w:bCs/>
          <w:sz w:val="21"/>
        </w:rPr>
        <w:t>，</w:t>
      </w:r>
      <w:r w:rsidRPr="00561FC4">
        <w:rPr>
          <w:rFonts w:ascii="SimSun" w:hAnsi="SimSun" w:hint="eastAsia"/>
          <w:bCs/>
          <w:sz w:val="21"/>
        </w:rPr>
        <w:t>委员会在前几届会议上通过了</w:t>
      </w:r>
      <w:r w:rsidRPr="0063562E">
        <w:rPr>
          <w:rFonts w:ascii="SimSun" w:hAnsi="SimSun" w:hint="eastAsia"/>
          <w:bCs/>
          <w:sz w:val="21"/>
        </w:rPr>
        <w:t>实施战略</w:t>
      </w:r>
      <w:r w:rsidRPr="00561FC4">
        <w:rPr>
          <w:rFonts w:ascii="SimSun" w:hAnsi="SimSun" w:hint="eastAsia"/>
          <w:bCs/>
          <w:sz w:val="21"/>
        </w:rPr>
        <w:t>5、6、8、9、10、11、12、13和14。</w:t>
      </w:r>
    </w:p>
    <w:p w14:paraId="2B23BEE2" w14:textId="77777777" w:rsidR="00E726C8" w:rsidRPr="00561FC4" w:rsidRDefault="00E726C8" w:rsidP="00E726C8">
      <w:pPr>
        <w:pStyle w:val="ListParagraph"/>
        <w:spacing w:afterLines="50" w:after="120" w:line="340" w:lineRule="atLeast"/>
        <w:ind w:left="1701" w:hanging="567"/>
        <w:contextualSpacing w:val="0"/>
        <w:jc w:val="both"/>
        <w:rPr>
          <w:rFonts w:ascii="SimSun" w:hAnsi="SimSun"/>
          <w:bCs/>
          <w:sz w:val="21"/>
        </w:rPr>
      </w:pPr>
      <w:r w:rsidRPr="00561FC4">
        <w:rPr>
          <w:rFonts w:ascii="SimSun" w:hAnsi="SimSun" w:hint="eastAsia"/>
          <w:bCs/>
          <w:sz w:val="21"/>
        </w:rPr>
        <w:t>ii.</w:t>
      </w:r>
      <w:r w:rsidRPr="00561FC4">
        <w:rPr>
          <w:rFonts w:ascii="SimSun" w:hAnsi="SimSun" w:hint="eastAsia"/>
          <w:bCs/>
          <w:sz w:val="21"/>
        </w:rPr>
        <w:tab/>
      </w:r>
      <w:r>
        <w:rPr>
          <w:rFonts w:ascii="SimSun" w:hAnsi="SimSun" w:hint="eastAsia"/>
          <w:bCs/>
          <w:sz w:val="21"/>
        </w:rPr>
        <w:t>结束了实施</w:t>
      </w:r>
      <w:r w:rsidRPr="00561FC4">
        <w:rPr>
          <w:rFonts w:ascii="SimSun" w:hAnsi="SimSun" w:hint="eastAsia"/>
          <w:bCs/>
          <w:sz w:val="21"/>
        </w:rPr>
        <w:t>战略3和7。</w:t>
      </w:r>
    </w:p>
    <w:p w14:paraId="155EBAB9" w14:textId="77777777" w:rsidR="00E726C8" w:rsidRPr="00561FC4" w:rsidRDefault="00E726C8" w:rsidP="00E726C8">
      <w:pPr>
        <w:pStyle w:val="ListParagraph"/>
        <w:spacing w:afterLines="50" w:after="120" w:line="340" w:lineRule="atLeast"/>
        <w:ind w:left="1701" w:hanging="567"/>
        <w:contextualSpacing w:val="0"/>
        <w:jc w:val="both"/>
        <w:rPr>
          <w:rFonts w:ascii="SimSun" w:hAnsi="SimSun"/>
          <w:bCs/>
          <w:sz w:val="21"/>
        </w:rPr>
      </w:pPr>
      <w:r w:rsidRPr="00561FC4">
        <w:rPr>
          <w:rFonts w:ascii="SimSun" w:hAnsi="SimSun" w:hint="eastAsia"/>
          <w:bCs/>
          <w:sz w:val="21"/>
        </w:rPr>
        <w:t>iii.</w:t>
      </w:r>
      <w:r w:rsidRPr="00561FC4">
        <w:rPr>
          <w:rFonts w:ascii="SimSun" w:hAnsi="SimSun" w:hint="eastAsia"/>
          <w:bCs/>
          <w:sz w:val="21"/>
        </w:rPr>
        <w:tab/>
        <w:t>通过了</w:t>
      </w:r>
      <w:r>
        <w:rPr>
          <w:rFonts w:ascii="SimSun" w:hAnsi="SimSun" w:hint="eastAsia"/>
          <w:bCs/>
          <w:sz w:val="21"/>
        </w:rPr>
        <w:t>实施</w:t>
      </w:r>
      <w:r w:rsidRPr="00561FC4">
        <w:rPr>
          <w:rFonts w:ascii="SimSun" w:hAnsi="SimSun" w:hint="eastAsia"/>
          <w:bCs/>
          <w:sz w:val="21"/>
        </w:rPr>
        <w:t>战略2，内容如下</w:t>
      </w:r>
      <w:r>
        <w:rPr>
          <w:rFonts w:ascii="SimSun" w:hAnsi="SimSun" w:hint="eastAsia"/>
          <w:bCs/>
          <w:sz w:val="21"/>
        </w:rPr>
        <w:t>：</w:t>
      </w:r>
    </w:p>
    <w:p w14:paraId="6E2DFDC8" w14:textId="77777777" w:rsidR="00E726C8" w:rsidRPr="00561FC4" w:rsidRDefault="00E726C8" w:rsidP="00E726C8">
      <w:pPr>
        <w:pStyle w:val="ListParagraph"/>
        <w:spacing w:afterLines="50" w:after="120" w:line="340" w:lineRule="atLeast"/>
        <w:ind w:left="1701"/>
        <w:contextualSpacing w:val="0"/>
        <w:jc w:val="both"/>
        <w:rPr>
          <w:rFonts w:ascii="KaiTi" w:eastAsia="KaiTi" w:hAnsi="KaiTi"/>
          <w:bCs/>
          <w:sz w:val="21"/>
        </w:rPr>
      </w:pPr>
      <w:r w:rsidRPr="00B40F23">
        <w:rPr>
          <w:rFonts w:ascii="KaiTi" w:eastAsia="KaiTi" w:hAnsi="KaiTi" w:hint="eastAsia"/>
          <w:bCs/>
          <w:sz w:val="21"/>
        </w:rPr>
        <w:t>根据CDIP第二十二届</w:t>
      </w:r>
      <w:r w:rsidRPr="00561FC4">
        <w:rPr>
          <w:rFonts w:ascii="KaiTi" w:eastAsia="KaiTi" w:hAnsi="KaiTi" w:hint="eastAsia"/>
          <w:bCs/>
          <w:sz w:val="21"/>
        </w:rPr>
        <w:t>和第二十九届</w:t>
      </w:r>
      <w:r w:rsidRPr="00B40F23">
        <w:rPr>
          <w:rFonts w:ascii="KaiTi" w:eastAsia="KaiTi" w:hAnsi="KaiTi" w:hint="eastAsia"/>
          <w:bCs/>
          <w:sz w:val="21"/>
        </w:rPr>
        <w:t>会议的决定，</w:t>
      </w:r>
      <w:r>
        <w:rPr>
          <w:rFonts w:ascii="KaiTi" w:eastAsia="KaiTi" w:hAnsi="KaiTi" w:hint="eastAsia"/>
          <w:bCs/>
          <w:sz w:val="21"/>
        </w:rPr>
        <w:t>即将举行的四次</w:t>
      </w:r>
      <w:r w:rsidRPr="00B40F23">
        <w:rPr>
          <w:rFonts w:ascii="KaiTi" w:eastAsia="KaiTi" w:hAnsi="KaiTi" w:hint="eastAsia"/>
          <w:bCs/>
          <w:sz w:val="21"/>
        </w:rPr>
        <w:t>两年一次、为期一天的“知识产权与发展国际会议”，也可以作为关于知识产权相关新</w:t>
      </w:r>
      <w:r>
        <w:rPr>
          <w:rFonts w:ascii="KaiTi" w:eastAsia="KaiTi" w:hAnsi="KaiTi" w:hint="eastAsia"/>
          <w:bCs/>
          <w:sz w:val="21"/>
        </w:rPr>
        <w:t>兴</w:t>
      </w:r>
      <w:r w:rsidRPr="00B40F23">
        <w:rPr>
          <w:rFonts w:ascii="KaiTi" w:eastAsia="KaiTi" w:hAnsi="KaiTi" w:hint="eastAsia"/>
          <w:bCs/>
          <w:sz w:val="21"/>
        </w:rPr>
        <w:t>问题的高级别辩论论坛。这些会议为更公开的讨论提供了一个论坛，不仅成员国，而且学术界、民间社会和其他政府间组织也可以参与其中并对辩论作出贡献，辩论也将传播发展议程的信息</w:t>
      </w:r>
      <w:r>
        <w:rPr>
          <w:rFonts w:ascii="KaiTi" w:eastAsia="KaiTi" w:hAnsi="KaiTi" w:hint="eastAsia"/>
          <w:bCs/>
          <w:sz w:val="21"/>
        </w:rPr>
        <w:t>。</w:t>
      </w:r>
    </w:p>
    <w:p w14:paraId="756DD2CC" w14:textId="77777777" w:rsidR="00E726C8" w:rsidRPr="00561FC4" w:rsidRDefault="00E726C8" w:rsidP="00E726C8">
      <w:pPr>
        <w:pStyle w:val="ListParagraph"/>
        <w:spacing w:afterLines="50" w:after="120" w:line="340" w:lineRule="atLeast"/>
        <w:ind w:left="1701" w:hanging="567"/>
        <w:contextualSpacing w:val="0"/>
        <w:jc w:val="both"/>
        <w:rPr>
          <w:rFonts w:ascii="SimSun" w:hAnsi="SimSun"/>
          <w:bCs/>
          <w:sz w:val="21"/>
        </w:rPr>
      </w:pPr>
      <w:r w:rsidRPr="00561FC4">
        <w:rPr>
          <w:rFonts w:ascii="SimSun" w:hAnsi="SimSun" w:hint="eastAsia"/>
          <w:bCs/>
          <w:sz w:val="21"/>
        </w:rPr>
        <w:t>iv.</w:t>
      </w:r>
      <w:r w:rsidRPr="00561FC4">
        <w:rPr>
          <w:rFonts w:ascii="SimSun" w:hAnsi="SimSun" w:hint="eastAsia"/>
          <w:bCs/>
          <w:sz w:val="21"/>
        </w:rPr>
        <w:tab/>
        <w:t>通过了</w:t>
      </w:r>
      <w:r>
        <w:rPr>
          <w:rFonts w:ascii="SimSun" w:hAnsi="SimSun" w:hint="eastAsia"/>
          <w:bCs/>
          <w:sz w:val="21"/>
        </w:rPr>
        <w:t>实施</w:t>
      </w:r>
      <w:r w:rsidRPr="00561FC4">
        <w:rPr>
          <w:rFonts w:ascii="SimSun" w:hAnsi="SimSun" w:hint="eastAsia"/>
          <w:bCs/>
          <w:sz w:val="21"/>
        </w:rPr>
        <w:t>战略4</w:t>
      </w:r>
      <w:r>
        <w:rPr>
          <w:rFonts w:ascii="SimSun" w:hAnsi="SimSun" w:hint="eastAsia"/>
          <w:bCs/>
          <w:sz w:val="21"/>
        </w:rPr>
        <w:t>，内容如下：</w:t>
      </w:r>
    </w:p>
    <w:p w14:paraId="113CC0BE" w14:textId="77777777" w:rsidR="00E726C8" w:rsidRPr="00561FC4" w:rsidRDefault="00E726C8" w:rsidP="00E726C8">
      <w:pPr>
        <w:pStyle w:val="ListParagraph"/>
        <w:spacing w:afterLines="50" w:after="120" w:line="340" w:lineRule="atLeast"/>
        <w:ind w:left="1701"/>
        <w:contextualSpacing w:val="0"/>
        <w:jc w:val="both"/>
        <w:rPr>
          <w:rFonts w:ascii="KaiTi" w:eastAsia="KaiTi" w:hAnsi="KaiTi"/>
          <w:bCs/>
          <w:sz w:val="21"/>
        </w:rPr>
      </w:pPr>
      <w:r w:rsidRPr="00B40F23">
        <w:rPr>
          <w:rFonts w:ascii="KaiTi" w:eastAsia="KaiTi" w:hAnsi="KaiTi" w:hint="eastAsia"/>
          <w:bCs/>
          <w:sz w:val="21"/>
        </w:rPr>
        <w:t>可</w:t>
      </w:r>
      <w:r>
        <w:rPr>
          <w:rFonts w:ascii="KaiTi" w:eastAsia="KaiTi" w:hAnsi="KaiTi" w:hint="eastAsia"/>
          <w:bCs/>
          <w:sz w:val="21"/>
        </w:rPr>
        <w:t>以</w:t>
      </w:r>
      <w:r w:rsidRPr="00B40F23">
        <w:rPr>
          <w:rFonts w:ascii="KaiTi" w:eastAsia="KaiTi" w:hAnsi="KaiTi" w:hint="eastAsia"/>
          <w:bCs/>
          <w:sz w:val="21"/>
        </w:rPr>
        <w:t>邀请</w:t>
      </w:r>
      <w:r>
        <w:rPr>
          <w:rFonts w:ascii="KaiTi" w:eastAsia="KaiTi" w:hAnsi="KaiTi" w:hint="eastAsia"/>
          <w:bCs/>
          <w:sz w:val="21"/>
        </w:rPr>
        <w:t>相关的</w:t>
      </w:r>
      <w:r w:rsidRPr="00B40F23">
        <w:rPr>
          <w:rFonts w:ascii="KaiTi" w:eastAsia="KaiTi" w:hAnsi="KaiTi" w:hint="eastAsia"/>
          <w:bCs/>
          <w:sz w:val="21"/>
        </w:rPr>
        <w:t>联合国发展机构参加CDIP会议，在</w:t>
      </w:r>
      <w:r>
        <w:rPr>
          <w:rFonts w:ascii="KaiTi" w:eastAsia="KaiTi" w:hAnsi="KaiTi" w:hint="eastAsia"/>
          <w:bCs/>
          <w:sz w:val="21"/>
        </w:rPr>
        <w:t>落实</w:t>
      </w:r>
      <w:r w:rsidRPr="00B40F23">
        <w:rPr>
          <w:rFonts w:ascii="KaiTi" w:eastAsia="KaiTi" w:hAnsi="KaiTi" w:hint="eastAsia"/>
          <w:bCs/>
          <w:sz w:val="21"/>
        </w:rPr>
        <w:t>可持续发展目标方面分享</w:t>
      </w:r>
      <w:r>
        <w:rPr>
          <w:rFonts w:ascii="KaiTi" w:eastAsia="KaiTi" w:hAnsi="KaiTi" w:hint="eastAsia"/>
          <w:bCs/>
          <w:sz w:val="21"/>
        </w:rPr>
        <w:t>它们</w:t>
      </w:r>
      <w:r w:rsidRPr="00561FC4">
        <w:rPr>
          <w:rFonts w:ascii="KaiTi" w:eastAsia="KaiTi" w:hAnsi="KaiTi" w:hint="eastAsia"/>
          <w:bCs/>
          <w:sz w:val="21"/>
        </w:rPr>
        <w:t>与</w:t>
      </w:r>
      <w:r>
        <w:rPr>
          <w:rFonts w:ascii="KaiTi" w:eastAsia="KaiTi" w:hAnsi="KaiTi" w:hint="eastAsia"/>
          <w:bCs/>
          <w:sz w:val="21"/>
        </w:rPr>
        <w:t>产权组织</w:t>
      </w:r>
      <w:r w:rsidRPr="00561FC4">
        <w:rPr>
          <w:rFonts w:ascii="KaiTi" w:eastAsia="KaiTi" w:hAnsi="KaiTi" w:hint="eastAsia"/>
          <w:bCs/>
          <w:sz w:val="21"/>
        </w:rPr>
        <w:t>的任务和发展议程的落实有关</w:t>
      </w:r>
      <w:r>
        <w:rPr>
          <w:rFonts w:ascii="KaiTi" w:eastAsia="KaiTi" w:hAnsi="KaiTi" w:hint="eastAsia"/>
          <w:bCs/>
          <w:sz w:val="21"/>
        </w:rPr>
        <w:t>的</w:t>
      </w:r>
      <w:r w:rsidRPr="00B40F23">
        <w:rPr>
          <w:rFonts w:ascii="KaiTi" w:eastAsia="KaiTi" w:hAnsi="KaiTi" w:hint="eastAsia"/>
          <w:bCs/>
          <w:sz w:val="21"/>
        </w:rPr>
        <w:t>经验。这将以产权组织的现有方法为基础，旨在鼓励其他实体参加产权组织组织的会议和活动。</w:t>
      </w:r>
    </w:p>
    <w:p w14:paraId="62BAEA66" w14:textId="77777777" w:rsidR="00E726C8" w:rsidRPr="00561FC4" w:rsidRDefault="00E726C8" w:rsidP="00E726C8">
      <w:pPr>
        <w:pStyle w:val="ListParagraph"/>
        <w:spacing w:afterLines="50" w:after="120" w:line="340" w:lineRule="atLeast"/>
        <w:ind w:left="1701" w:hanging="567"/>
        <w:contextualSpacing w:val="0"/>
        <w:jc w:val="both"/>
        <w:rPr>
          <w:rFonts w:ascii="SimSun" w:hAnsi="SimSun"/>
          <w:bCs/>
          <w:sz w:val="21"/>
        </w:rPr>
      </w:pPr>
      <w:r w:rsidRPr="00561FC4">
        <w:rPr>
          <w:rFonts w:ascii="SimSun" w:hAnsi="SimSun" w:hint="eastAsia"/>
          <w:bCs/>
          <w:sz w:val="21"/>
        </w:rPr>
        <w:lastRenderedPageBreak/>
        <w:t>v.</w:t>
      </w:r>
      <w:r w:rsidRPr="00561FC4">
        <w:rPr>
          <w:rFonts w:ascii="SimSun" w:hAnsi="SimSun" w:hint="eastAsia"/>
          <w:bCs/>
          <w:sz w:val="21"/>
        </w:rPr>
        <w:tab/>
        <w:t>通过</w:t>
      </w:r>
      <w:r>
        <w:rPr>
          <w:rFonts w:ascii="SimSun" w:hAnsi="SimSun" w:hint="eastAsia"/>
          <w:bCs/>
          <w:sz w:val="21"/>
        </w:rPr>
        <w:t>了</w:t>
      </w:r>
      <w:r w:rsidRPr="00561FC4">
        <w:rPr>
          <w:rFonts w:ascii="SimSun" w:hAnsi="SimSun" w:hint="eastAsia"/>
          <w:bCs/>
          <w:sz w:val="21"/>
        </w:rPr>
        <w:t>实施战略15，</w:t>
      </w:r>
      <w:r>
        <w:rPr>
          <w:rFonts w:ascii="SimSun" w:hAnsi="SimSun" w:hint="eastAsia"/>
          <w:bCs/>
          <w:sz w:val="21"/>
        </w:rPr>
        <w:t>模式如下：</w:t>
      </w:r>
    </w:p>
    <w:p w14:paraId="37BF3FCB" w14:textId="77777777" w:rsidR="00E726C8" w:rsidRPr="00561FC4" w:rsidRDefault="00E726C8" w:rsidP="00E726C8">
      <w:pPr>
        <w:pStyle w:val="ListParagraph"/>
        <w:spacing w:afterLines="50" w:after="120" w:line="340" w:lineRule="atLeast"/>
        <w:ind w:left="1701"/>
        <w:contextualSpacing w:val="0"/>
        <w:jc w:val="both"/>
        <w:rPr>
          <w:rFonts w:ascii="KaiTi" w:eastAsia="KaiTi" w:hAnsi="KaiTi"/>
          <w:bCs/>
          <w:sz w:val="21"/>
        </w:rPr>
      </w:pPr>
      <w:r w:rsidRPr="000957FC">
        <w:rPr>
          <w:rFonts w:ascii="KaiTi" w:eastAsia="KaiTi" w:hAnsi="KaiTi" w:hint="eastAsia"/>
          <w:bCs/>
          <w:sz w:val="21"/>
        </w:rPr>
        <w:t>根据成员国的要求，DACD将组织有助于加强对发展议程认识的</w:t>
      </w:r>
      <w:r w:rsidRPr="00561FC4">
        <w:rPr>
          <w:rFonts w:ascii="KaiTi" w:eastAsia="KaiTi" w:hAnsi="KaiTi" w:hint="eastAsia"/>
          <w:bCs/>
          <w:sz w:val="21"/>
        </w:rPr>
        <w:t>简报和介绍</w:t>
      </w:r>
      <w:r w:rsidRPr="000957FC">
        <w:rPr>
          <w:rFonts w:ascii="KaiTi" w:eastAsia="KaiTi" w:hAnsi="KaiTi" w:hint="eastAsia"/>
          <w:bCs/>
          <w:sz w:val="21"/>
        </w:rPr>
        <w:t>。</w:t>
      </w:r>
    </w:p>
    <w:p w14:paraId="3EFF2870" w14:textId="77777777" w:rsidR="00E726C8" w:rsidRPr="00561FC4" w:rsidRDefault="00E726C8" w:rsidP="00E726C8">
      <w:pPr>
        <w:pStyle w:val="ListParagraph"/>
        <w:spacing w:afterLines="50" w:after="120" w:line="340" w:lineRule="atLeast"/>
        <w:ind w:left="1701" w:hanging="567"/>
        <w:contextualSpacing w:val="0"/>
        <w:jc w:val="both"/>
        <w:rPr>
          <w:rFonts w:ascii="SimSun" w:hAnsi="SimSun"/>
          <w:bCs/>
          <w:sz w:val="21"/>
        </w:rPr>
      </w:pPr>
      <w:r>
        <w:rPr>
          <w:rFonts w:ascii="SimSun" w:hAnsi="SimSun" w:hint="eastAsia"/>
          <w:bCs/>
          <w:sz w:val="21"/>
        </w:rPr>
        <w:t>vi.</w:t>
      </w:r>
      <w:r>
        <w:rPr>
          <w:rFonts w:ascii="SimSun" w:hAnsi="SimSun"/>
          <w:bCs/>
          <w:sz w:val="21"/>
        </w:rPr>
        <w:tab/>
      </w:r>
      <w:r w:rsidRPr="00561FC4">
        <w:rPr>
          <w:rFonts w:ascii="SimSun" w:hAnsi="SimSun" w:hint="eastAsia"/>
          <w:bCs/>
          <w:sz w:val="21"/>
        </w:rPr>
        <w:t>决定在下届会议上继续讨论秘书处提议的实施战略1和南非代表团提议的实施战略16。</w:t>
      </w:r>
    </w:p>
    <w:p w14:paraId="5DBF146C" w14:textId="77777777" w:rsidR="00E726C8" w:rsidRPr="00561FC4" w:rsidRDefault="00E726C8" w:rsidP="00E726C8">
      <w:pPr>
        <w:pStyle w:val="ListParagraph"/>
        <w:spacing w:afterLines="50" w:after="120" w:line="340" w:lineRule="atLeast"/>
        <w:ind w:left="567"/>
        <w:contextualSpacing w:val="0"/>
        <w:jc w:val="both"/>
        <w:rPr>
          <w:rFonts w:ascii="SimSun" w:hAnsi="SimSun"/>
          <w:bCs/>
          <w:sz w:val="21"/>
        </w:rPr>
      </w:pPr>
      <w:r w:rsidRPr="00561FC4">
        <w:rPr>
          <w:rFonts w:ascii="SimSun" w:hAnsi="SimSun" w:hint="eastAsia"/>
          <w:bCs/>
          <w:sz w:val="21"/>
        </w:rPr>
        <w:t>委员会同意</w:t>
      </w:r>
      <w:r>
        <w:rPr>
          <w:rFonts w:ascii="SimSun" w:hAnsi="SimSun" w:hint="eastAsia"/>
          <w:bCs/>
          <w:sz w:val="21"/>
        </w:rPr>
        <w:t>了</w:t>
      </w:r>
      <w:r w:rsidRPr="00561FC4">
        <w:rPr>
          <w:rFonts w:ascii="SimSun" w:hAnsi="SimSun" w:hint="eastAsia"/>
          <w:bCs/>
          <w:sz w:val="21"/>
        </w:rPr>
        <w:t>报告</w:t>
      </w:r>
      <w:r>
        <w:rPr>
          <w:rFonts w:ascii="SimSun" w:hAnsi="SimSun" w:hint="eastAsia"/>
          <w:bCs/>
          <w:sz w:val="21"/>
        </w:rPr>
        <w:t>方面的备选</w:t>
      </w:r>
      <w:r w:rsidRPr="00561FC4">
        <w:rPr>
          <w:rFonts w:ascii="SimSun" w:hAnsi="SimSun" w:hint="eastAsia"/>
          <w:bCs/>
          <w:sz w:val="21"/>
        </w:rPr>
        <w:t>方案一和审查</w:t>
      </w:r>
      <w:r>
        <w:rPr>
          <w:rFonts w:ascii="SimSun" w:hAnsi="SimSun" w:hint="eastAsia"/>
          <w:bCs/>
          <w:sz w:val="21"/>
        </w:rPr>
        <w:t>方面的备选</w:t>
      </w:r>
      <w:r w:rsidRPr="00561FC4">
        <w:rPr>
          <w:rFonts w:ascii="SimSun" w:hAnsi="SimSun" w:hint="eastAsia"/>
          <w:bCs/>
          <w:sz w:val="21"/>
        </w:rPr>
        <w:t>方案二。要求秘书处开始实施已通过的战略并为此提供必要的资源。</w:t>
      </w:r>
    </w:p>
    <w:p w14:paraId="067F54DF" w14:textId="77777777" w:rsidR="00E726C8" w:rsidRPr="00D819B3" w:rsidRDefault="00E726C8" w:rsidP="00E726C8">
      <w:pPr>
        <w:pStyle w:val="ListParagraph"/>
        <w:numPr>
          <w:ilvl w:val="1"/>
          <w:numId w:val="22"/>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t>文件</w:t>
      </w:r>
      <w:r w:rsidRPr="00D819B3">
        <w:rPr>
          <w:rFonts w:ascii="SimSun" w:hAnsi="SimSun"/>
          <w:sz w:val="21"/>
        </w:rPr>
        <w:t>CDIP/29/7</w:t>
      </w:r>
      <w:r w:rsidRPr="00D819B3">
        <w:rPr>
          <w:rFonts w:ascii="SimSun" w:hAnsi="SimSun" w:hint="eastAsia"/>
          <w:sz w:val="21"/>
        </w:rPr>
        <w:t>中所载的“</w:t>
      </w:r>
      <w:r w:rsidRPr="00D819B3">
        <w:rPr>
          <w:rFonts w:ascii="SimSun" w:hAnsi="SimSun" w:hint="eastAsia"/>
          <w:bCs/>
          <w:sz w:val="21"/>
          <w:szCs w:val="22"/>
        </w:rPr>
        <w:t>产权组织中小企业知识产权管理案例研究汇编”。</w:t>
      </w:r>
      <w:r w:rsidRPr="008E66C9">
        <w:rPr>
          <w:rFonts w:ascii="SimSun" w:hAnsi="SimSun" w:hint="eastAsia"/>
          <w:sz w:val="21"/>
        </w:rPr>
        <w:t>委员会对文件的内容表示赞赏，并鼓励秘书处继续支持中小企业</w:t>
      </w:r>
      <w:r w:rsidRPr="009563B7">
        <w:rPr>
          <w:rFonts w:ascii="SimSun" w:hAnsi="SimSun" w:hint="eastAsia"/>
          <w:sz w:val="21"/>
        </w:rPr>
        <w:t>。</w:t>
      </w:r>
    </w:p>
    <w:p w14:paraId="5DE7961F" w14:textId="77777777" w:rsidR="00E726C8" w:rsidRPr="00D819B3" w:rsidRDefault="00E726C8" w:rsidP="00E726C8">
      <w:pPr>
        <w:pStyle w:val="ListParagraph"/>
        <w:numPr>
          <w:ilvl w:val="1"/>
          <w:numId w:val="22"/>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t>文件</w:t>
      </w:r>
      <w:r w:rsidRPr="00D819B3">
        <w:rPr>
          <w:rFonts w:ascii="SimSun" w:hAnsi="SimSun"/>
          <w:sz w:val="21"/>
        </w:rPr>
        <w:t>CDIP/29/8</w:t>
      </w:r>
      <w:r w:rsidRPr="00D819B3">
        <w:rPr>
          <w:rFonts w:ascii="SimSun" w:hAnsi="SimSun" w:hint="eastAsia"/>
          <w:sz w:val="21"/>
        </w:rPr>
        <w:t>中所载的“加强软件部门运用知识产权开发移动应用程序——第二阶段提案”。</w:t>
      </w:r>
      <w:r w:rsidRPr="00D819B3">
        <w:rPr>
          <w:rFonts w:ascii="SimSun" w:hAnsi="SimSun" w:hint="eastAsia"/>
          <w:sz w:val="21"/>
          <w:szCs w:val="22"/>
        </w:rPr>
        <w:t>委员会批准了项目第二阶段</w:t>
      </w:r>
      <w:r w:rsidRPr="00F2101B">
        <w:rPr>
          <w:rFonts w:ascii="SimSun" w:hAnsi="SimSun" w:hint="eastAsia"/>
          <w:sz w:val="21"/>
          <w:szCs w:val="22"/>
        </w:rPr>
        <w:t>，并采纳了成员国提出的一些修改意见，反映在</w:t>
      </w:r>
      <w:r>
        <w:rPr>
          <w:rFonts w:ascii="SimSun" w:hAnsi="SimSun" w:hint="eastAsia"/>
          <w:sz w:val="21"/>
          <w:szCs w:val="22"/>
        </w:rPr>
        <w:t>文件</w:t>
      </w:r>
      <w:r w:rsidRPr="00F2101B">
        <w:rPr>
          <w:rFonts w:ascii="SimSun" w:hAnsi="SimSun" w:hint="eastAsia"/>
          <w:sz w:val="21"/>
          <w:szCs w:val="22"/>
        </w:rPr>
        <w:t xml:space="preserve">CDIP/29/8 </w:t>
      </w:r>
      <w:r>
        <w:rPr>
          <w:rFonts w:ascii="SimSun" w:hAnsi="SimSun"/>
          <w:sz w:val="21"/>
          <w:szCs w:val="22"/>
        </w:rPr>
        <w:t>Rev.</w:t>
      </w:r>
      <w:r w:rsidRPr="00F2101B">
        <w:rPr>
          <w:rFonts w:ascii="SimSun" w:hAnsi="SimSun" w:hint="eastAsia"/>
          <w:sz w:val="21"/>
          <w:szCs w:val="22"/>
        </w:rPr>
        <w:t>中</w:t>
      </w:r>
      <w:r w:rsidRPr="00D819B3">
        <w:rPr>
          <w:rFonts w:ascii="SimSun" w:hAnsi="SimSun" w:hint="eastAsia"/>
          <w:sz w:val="21"/>
          <w:szCs w:val="22"/>
        </w:rPr>
        <w:t>。</w:t>
      </w:r>
    </w:p>
    <w:p w14:paraId="18771C6C" w14:textId="77777777" w:rsidR="00E726C8" w:rsidRPr="00D819B3" w:rsidRDefault="00E726C8" w:rsidP="00E726C8">
      <w:pPr>
        <w:pStyle w:val="ListParagraph"/>
        <w:numPr>
          <w:ilvl w:val="1"/>
          <w:numId w:val="22"/>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t>文件</w:t>
      </w:r>
      <w:r w:rsidRPr="00D819B3">
        <w:rPr>
          <w:rFonts w:ascii="SimSun" w:hAnsi="SimSun"/>
          <w:sz w:val="21"/>
        </w:rPr>
        <w:t>CDIP/29/9</w:t>
      </w:r>
      <w:r w:rsidRPr="00D819B3">
        <w:rPr>
          <w:rFonts w:ascii="SimSun" w:hAnsi="SimSun" w:hint="eastAsia"/>
          <w:sz w:val="21"/>
        </w:rPr>
        <w:t>中所载的“非洲集团关于对产权组织在合作促进发展领域开展的技术援助进行独立外部审查的提案”。</w:t>
      </w:r>
      <w:r w:rsidRPr="00D819B3">
        <w:rPr>
          <w:rFonts w:ascii="SimSun" w:hAnsi="SimSun" w:hint="eastAsia"/>
          <w:sz w:val="21"/>
          <w:szCs w:val="22"/>
        </w:rPr>
        <w:t>委员会</w:t>
      </w:r>
      <w:r w:rsidRPr="00DE7AC6">
        <w:rPr>
          <w:rFonts w:ascii="SimSun" w:hAnsi="SimSun" w:hint="eastAsia"/>
          <w:sz w:val="21"/>
        </w:rPr>
        <w:t>对非洲集团的</w:t>
      </w:r>
      <w:r>
        <w:rPr>
          <w:rFonts w:ascii="SimSun" w:hAnsi="SimSun" w:hint="eastAsia"/>
          <w:sz w:val="21"/>
        </w:rPr>
        <w:t>提案</w:t>
      </w:r>
      <w:r w:rsidRPr="00DE7AC6">
        <w:rPr>
          <w:rFonts w:ascii="SimSun" w:hAnsi="SimSun" w:hint="eastAsia"/>
          <w:sz w:val="21"/>
        </w:rPr>
        <w:t>表示欢迎，并请秘书处根据上述</w:t>
      </w:r>
      <w:r>
        <w:rPr>
          <w:rFonts w:ascii="SimSun" w:hAnsi="SimSun" w:hint="eastAsia"/>
          <w:sz w:val="21"/>
        </w:rPr>
        <w:t>提案</w:t>
      </w:r>
      <w:r w:rsidRPr="00DE7AC6">
        <w:rPr>
          <w:rFonts w:ascii="SimSun" w:hAnsi="SimSun" w:hint="eastAsia"/>
          <w:sz w:val="21"/>
        </w:rPr>
        <w:t>中的导言和</w:t>
      </w:r>
      <w:r>
        <w:rPr>
          <w:rFonts w:ascii="SimSun" w:hAnsi="SimSun" w:hint="eastAsia"/>
          <w:sz w:val="21"/>
        </w:rPr>
        <w:t>宗旨</w:t>
      </w:r>
      <w:r w:rsidRPr="00DE7AC6">
        <w:rPr>
          <w:rFonts w:ascii="SimSun" w:hAnsi="SimSun" w:hint="eastAsia"/>
          <w:sz w:val="21"/>
        </w:rPr>
        <w:t>、联合国评价小组的</w:t>
      </w:r>
      <w:r>
        <w:rPr>
          <w:rFonts w:ascii="SimSun" w:hAnsi="SimSun" w:hint="eastAsia"/>
          <w:sz w:val="21"/>
        </w:rPr>
        <w:t>规范</w:t>
      </w:r>
      <w:r w:rsidRPr="00DE7AC6">
        <w:rPr>
          <w:rFonts w:ascii="SimSun" w:hAnsi="SimSun" w:hint="eastAsia"/>
          <w:sz w:val="21"/>
        </w:rPr>
        <w:t>和标准、</w:t>
      </w:r>
      <w:r w:rsidRPr="00D819B3">
        <w:rPr>
          <w:rFonts w:ascii="SimSun" w:hAnsi="SimSun" w:hint="eastAsia"/>
          <w:bCs/>
          <w:sz w:val="21"/>
          <w:szCs w:val="22"/>
        </w:rPr>
        <w:t>产权组织</w:t>
      </w:r>
      <w:r w:rsidRPr="00DE7AC6">
        <w:rPr>
          <w:rFonts w:ascii="SimSun" w:hAnsi="SimSun" w:hint="eastAsia"/>
          <w:sz w:val="21"/>
        </w:rPr>
        <w:t>的评价政策、文件CDIP/14/SUMMARY附件</w:t>
      </w:r>
      <w:r>
        <w:rPr>
          <w:rFonts w:ascii="SimSun" w:hAnsi="SimSun" w:hint="eastAsia"/>
          <w:sz w:val="21"/>
        </w:rPr>
        <w:t>中</w:t>
      </w:r>
      <w:r w:rsidRPr="00DE7AC6">
        <w:rPr>
          <w:rFonts w:ascii="SimSun" w:hAnsi="SimSun" w:hint="eastAsia"/>
          <w:sz w:val="21"/>
        </w:rPr>
        <w:t>所载</w:t>
      </w:r>
      <w:r>
        <w:rPr>
          <w:rFonts w:ascii="SimSun" w:hAnsi="SimSun" w:hint="eastAsia"/>
          <w:sz w:val="21"/>
        </w:rPr>
        <w:t>的“</w:t>
      </w:r>
      <w:r w:rsidRPr="00DE7AC6">
        <w:rPr>
          <w:rFonts w:ascii="SimSun" w:hAnsi="SimSun" w:hint="eastAsia"/>
          <w:sz w:val="21"/>
        </w:rPr>
        <w:t>发展议程建议落实情况独立审查的</w:t>
      </w:r>
      <w:r>
        <w:rPr>
          <w:rFonts w:ascii="SimSun" w:hAnsi="SimSun" w:hint="eastAsia"/>
          <w:sz w:val="21"/>
        </w:rPr>
        <w:t>职责</w:t>
      </w:r>
      <w:r w:rsidRPr="00DE7AC6">
        <w:rPr>
          <w:rFonts w:ascii="SimSun" w:hAnsi="SimSun" w:hint="eastAsia"/>
          <w:sz w:val="21"/>
        </w:rPr>
        <w:t>范围</w:t>
      </w:r>
      <w:r>
        <w:rPr>
          <w:rFonts w:ascii="SimSun" w:hAnsi="SimSun" w:hint="eastAsia"/>
          <w:sz w:val="21"/>
        </w:rPr>
        <w:t>”</w:t>
      </w:r>
      <w:r w:rsidRPr="00DE7AC6">
        <w:rPr>
          <w:rFonts w:ascii="SimSun" w:hAnsi="SimSun" w:hint="eastAsia"/>
          <w:sz w:val="21"/>
        </w:rPr>
        <w:t>的相关内容，以及其他相关文件，与有关成员国和</w:t>
      </w:r>
      <w:r w:rsidRPr="00D819B3">
        <w:rPr>
          <w:rFonts w:ascii="SimSun" w:hAnsi="SimSun" w:hint="eastAsia"/>
          <w:bCs/>
          <w:sz w:val="21"/>
          <w:szCs w:val="22"/>
        </w:rPr>
        <w:t>产权组织</w:t>
      </w:r>
      <w:r w:rsidRPr="00DE7AC6">
        <w:rPr>
          <w:rFonts w:ascii="SimSun" w:hAnsi="SimSun" w:hint="eastAsia"/>
          <w:sz w:val="21"/>
        </w:rPr>
        <w:t>内部监督司协商，拟定</w:t>
      </w:r>
      <w:r>
        <w:rPr>
          <w:rFonts w:ascii="SimSun" w:hAnsi="SimSun" w:hint="eastAsia"/>
          <w:sz w:val="21"/>
        </w:rPr>
        <w:t>职责</w:t>
      </w:r>
      <w:r w:rsidRPr="00DE7AC6">
        <w:rPr>
          <w:rFonts w:ascii="SimSun" w:hAnsi="SimSun" w:hint="eastAsia"/>
          <w:sz w:val="21"/>
        </w:rPr>
        <w:t>范围草案，供委员会第三十届会议审议。此次审查将涵盖2017年至2022年期间在合作促进发展领域实施的</w:t>
      </w:r>
      <w:r w:rsidRPr="00D819B3">
        <w:rPr>
          <w:rFonts w:ascii="SimSun" w:hAnsi="SimSun" w:hint="eastAsia"/>
          <w:bCs/>
          <w:sz w:val="21"/>
          <w:szCs w:val="22"/>
        </w:rPr>
        <w:t>产权组织</w:t>
      </w:r>
      <w:r w:rsidRPr="00DE7AC6">
        <w:rPr>
          <w:rFonts w:ascii="SimSun" w:hAnsi="SimSun" w:hint="eastAsia"/>
          <w:sz w:val="21"/>
        </w:rPr>
        <w:t>技术援助活动。委员会请秘书处在CDIP第三十届会议召开前至少两个月提供</w:t>
      </w:r>
      <w:r>
        <w:rPr>
          <w:rFonts w:ascii="SimSun" w:hAnsi="SimSun" w:hint="eastAsia"/>
          <w:sz w:val="21"/>
        </w:rPr>
        <w:t>职责</w:t>
      </w:r>
      <w:r w:rsidRPr="00DE7AC6">
        <w:rPr>
          <w:rFonts w:ascii="SimSun" w:hAnsi="SimSun" w:hint="eastAsia"/>
          <w:sz w:val="21"/>
        </w:rPr>
        <w:t>范围草案。</w:t>
      </w:r>
    </w:p>
    <w:p w14:paraId="2C8A2A0F" w14:textId="77777777" w:rsidR="00E726C8" w:rsidRPr="00D819B3" w:rsidRDefault="00E726C8" w:rsidP="00E726C8">
      <w:pPr>
        <w:pStyle w:val="ListParagraph"/>
        <w:numPr>
          <w:ilvl w:val="1"/>
          <w:numId w:val="22"/>
        </w:numPr>
        <w:spacing w:afterLines="50" w:after="120" w:line="340" w:lineRule="atLeast"/>
        <w:ind w:left="567" w:firstLine="0"/>
        <w:contextualSpacing w:val="0"/>
        <w:jc w:val="both"/>
        <w:rPr>
          <w:rFonts w:ascii="SimSun" w:hAnsi="SimSun"/>
          <w:bCs/>
          <w:sz w:val="21"/>
        </w:rPr>
      </w:pPr>
      <w:r w:rsidRPr="00D819B3">
        <w:rPr>
          <w:rFonts w:ascii="SimSun" w:hAnsi="SimSun" w:hint="eastAsia"/>
          <w:sz w:val="21"/>
        </w:rPr>
        <w:t>文件</w:t>
      </w:r>
      <w:r w:rsidRPr="00D819B3">
        <w:rPr>
          <w:rFonts w:ascii="SimSun" w:hAnsi="SimSun"/>
          <w:sz w:val="21"/>
        </w:rPr>
        <w:t>CDIP/29/11</w:t>
      </w:r>
      <w:r w:rsidRPr="00D819B3">
        <w:rPr>
          <w:rFonts w:ascii="SimSun" w:hAnsi="SimSun" w:hint="eastAsia"/>
          <w:sz w:val="21"/>
        </w:rPr>
        <w:t>中所载的“经修订的突尼斯关于通过创新和知识产权减少与工作有关的事故和职业病的项目提案”。</w:t>
      </w:r>
      <w:r w:rsidRPr="00AB36D4">
        <w:rPr>
          <w:rFonts w:ascii="SimSun" w:hAnsi="SimSun" w:hint="eastAsia"/>
          <w:sz w:val="21"/>
        </w:rPr>
        <w:t>在各代表团的广泛支持下，委员会批准了该文件中所载的项目</w:t>
      </w:r>
      <w:r>
        <w:rPr>
          <w:rFonts w:ascii="SimSun" w:hAnsi="SimSun" w:hint="eastAsia"/>
          <w:sz w:val="21"/>
        </w:rPr>
        <w:t>提案</w:t>
      </w:r>
      <w:r w:rsidRPr="00AB36D4">
        <w:rPr>
          <w:rFonts w:ascii="SimSun" w:hAnsi="SimSun" w:hint="eastAsia"/>
          <w:sz w:val="21"/>
        </w:rPr>
        <w:t>，并要求秘书处</w:t>
      </w:r>
      <w:r>
        <w:rPr>
          <w:rFonts w:ascii="SimSun" w:hAnsi="SimSun" w:hint="eastAsia"/>
          <w:sz w:val="21"/>
        </w:rPr>
        <w:t>着手</w:t>
      </w:r>
      <w:r w:rsidRPr="00AB36D4">
        <w:rPr>
          <w:rFonts w:ascii="SimSun" w:hAnsi="SimSun" w:hint="eastAsia"/>
          <w:sz w:val="21"/>
        </w:rPr>
        <w:t>实施该项目。</w:t>
      </w:r>
    </w:p>
    <w:p w14:paraId="4B7C5E96" w14:textId="77777777" w:rsidR="00E726C8" w:rsidRPr="00D819B3" w:rsidRDefault="00E726C8" w:rsidP="00E726C8">
      <w:pPr>
        <w:pStyle w:val="ListParagraph"/>
        <w:numPr>
          <w:ilvl w:val="0"/>
          <w:numId w:val="16"/>
        </w:numPr>
        <w:spacing w:afterLines="50" w:after="120" w:line="340" w:lineRule="atLeast"/>
        <w:ind w:left="0" w:firstLine="0"/>
        <w:contextualSpacing w:val="0"/>
        <w:jc w:val="both"/>
        <w:rPr>
          <w:rFonts w:ascii="SimSun" w:hAnsi="SimSun"/>
          <w:bCs/>
          <w:sz w:val="21"/>
        </w:rPr>
      </w:pPr>
      <w:r w:rsidRPr="00D819B3">
        <w:rPr>
          <w:rFonts w:ascii="SimSun" w:hAnsi="SimSun" w:hint="eastAsia"/>
          <w:sz w:val="21"/>
        </w:rPr>
        <w:t>在议程第6项“</w:t>
      </w:r>
      <w:r w:rsidRPr="00D819B3">
        <w:rPr>
          <w:rFonts w:ascii="SimSun" w:hAnsi="SimSun" w:hint="eastAsia"/>
          <w:sz w:val="21"/>
          <w:szCs w:val="22"/>
        </w:rPr>
        <w:t>知识产权与发展</w:t>
      </w:r>
      <w:r w:rsidRPr="00D819B3">
        <w:rPr>
          <w:rFonts w:ascii="SimSun" w:hAnsi="SimSun" w:hint="eastAsia"/>
          <w:sz w:val="21"/>
        </w:rPr>
        <w:t>”下，委员会讨论了议题“</w:t>
      </w:r>
      <w:r w:rsidRPr="00D819B3">
        <w:rPr>
          <w:rFonts w:ascii="SimSun" w:hAnsi="SimSun" w:hint="eastAsia"/>
          <w:sz w:val="21"/>
          <w:szCs w:val="22"/>
        </w:rPr>
        <w:t>知识产权商业化和技术转让”。</w:t>
      </w:r>
      <w:r w:rsidRPr="003722D0">
        <w:rPr>
          <w:rFonts w:ascii="SimSun" w:hAnsi="SimSun" w:hint="eastAsia"/>
          <w:sz w:val="21"/>
          <w:szCs w:val="22"/>
        </w:rPr>
        <w:t>委员会听取了秘书处关于该议题的两个演示介绍，随后一些代表团介绍了本国的经验。</w:t>
      </w:r>
      <w:r w:rsidRPr="003722D0">
        <w:rPr>
          <w:rFonts w:ascii="SimSun" w:hAnsi="SimSun" w:hint="eastAsia"/>
          <w:sz w:val="21"/>
        </w:rPr>
        <w:t>关于这一议题的丰富讨论包括分享各国在支持和促进知识产权商业化和技术转让方面的国内政策</w:t>
      </w:r>
      <w:r w:rsidRPr="003722D0">
        <w:rPr>
          <w:rFonts w:ascii="SimSun" w:hAnsi="SimSun" w:hint="eastAsia"/>
          <w:sz w:val="21"/>
          <w:szCs w:val="22"/>
        </w:rPr>
        <w:t>、做法和现有工具。</w:t>
      </w:r>
    </w:p>
    <w:p w14:paraId="7D4571DC" w14:textId="77777777" w:rsidR="00E726C8" w:rsidRPr="00D819B3" w:rsidRDefault="00E726C8" w:rsidP="00E726C8">
      <w:pPr>
        <w:pStyle w:val="ListParagraph"/>
        <w:numPr>
          <w:ilvl w:val="0"/>
          <w:numId w:val="16"/>
        </w:numPr>
        <w:spacing w:afterLines="50" w:after="120" w:line="340" w:lineRule="atLeast"/>
        <w:ind w:left="0" w:firstLine="0"/>
        <w:contextualSpacing w:val="0"/>
        <w:jc w:val="both"/>
        <w:rPr>
          <w:rFonts w:ascii="SimSun" w:hAnsi="SimSun"/>
          <w:bCs/>
          <w:sz w:val="21"/>
        </w:rPr>
      </w:pPr>
      <w:r w:rsidRPr="00D819B3">
        <w:rPr>
          <w:rFonts w:ascii="SimSun" w:hAnsi="SimSun" w:hint="eastAsia"/>
          <w:sz w:val="21"/>
        </w:rPr>
        <w:t>在议程第7项“未来工作”下，委员会就秘书处宣读的下届会议的议题和文件清单达成一致。</w:t>
      </w:r>
    </w:p>
    <w:p w14:paraId="6C2E0F2A" w14:textId="77777777" w:rsidR="00E726C8" w:rsidRDefault="00E726C8" w:rsidP="00E726C8">
      <w:pPr>
        <w:pStyle w:val="ListParagraph"/>
        <w:numPr>
          <w:ilvl w:val="0"/>
          <w:numId w:val="16"/>
        </w:numPr>
        <w:spacing w:afterLines="50" w:after="120" w:line="340" w:lineRule="atLeast"/>
        <w:ind w:left="0" w:firstLine="0"/>
        <w:contextualSpacing w:val="0"/>
        <w:jc w:val="both"/>
        <w:rPr>
          <w:rFonts w:ascii="SimSun" w:hAnsi="SimSun"/>
          <w:bCs/>
          <w:sz w:val="21"/>
        </w:rPr>
      </w:pPr>
      <w:r w:rsidRPr="00D819B3">
        <w:rPr>
          <w:rFonts w:ascii="SimSun" w:hAnsi="SimSun" w:hint="eastAsia"/>
          <w:bCs/>
          <w:sz w:val="21"/>
        </w:rPr>
        <w:t>委员会注意到，根据产权组织成员国大会第六十二届系列会议简要报告（</w:t>
      </w:r>
      <w:hyperlink r:id="rId16" w:history="1">
        <w:r w:rsidRPr="00D819B3">
          <w:rPr>
            <w:rStyle w:val="Hyperlink"/>
            <w:rFonts w:ascii="SimSun" w:hAnsi="SimSun" w:hint="eastAsia"/>
            <w:bCs/>
            <w:sz w:val="21"/>
          </w:rPr>
          <w:t>A/62/12</w:t>
        </w:r>
      </w:hyperlink>
      <w:r w:rsidRPr="00D819B3">
        <w:rPr>
          <w:rFonts w:ascii="SimSun" w:hAnsi="SimSun" w:hint="eastAsia"/>
          <w:bCs/>
          <w:sz w:val="21"/>
        </w:rPr>
        <w:t>）第30段，CDIP届会的逐字报告将被与视频录像同步的自动化语音转文本记录和翻译所取代。因此，本届会议的报告将以该形式提供。为帮助改进自动化语音转文本技术，请各代表团向秘书处提供实质性的更正，最好在委员会下届会议之前四周提出。</w:t>
      </w:r>
    </w:p>
    <w:p w14:paraId="3E089D0B" w14:textId="77777777" w:rsidR="00E726C8" w:rsidRPr="00D819B3" w:rsidRDefault="00E726C8" w:rsidP="00E726C8">
      <w:pPr>
        <w:pStyle w:val="ListParagraph"/>
        <w:numPr>
          <w:ilvl w:val="0"/>
          <w:numId w:val="16"/>
        </w:numPr>
        <w:spacing w:afterLines="50" w:after="120" w:line="340" w:lineRule="atLeast"/>
        <w:ind w:left="0" w:firstLine="0"/>
        <w:contextualSpacing w:val="0"/>
        <w:jc w:val="both"/>
        <w:rPr>
          <w:rFonts w:ascii="SimSun" w:hAnsi="SimSun"/>
          <w:bCs/>
          <w:sz w:val="21"/>
        </w:rPr>
      </w:pPr>
      <w:r w:rsidRPr="008E66C9">
        <w:rPr>
          <w:rFonts w:ascii="SimSun" w:hAnsi="SimSun" w:hint="eastAsia"/>
          <w:bCs/>
          <w:sz w:val="21"/>
        </w:rPr>
        <w:t>本总结将构成委员会提交大会的报告。</w:t>
      </w:r>
    </w:p>
    <w:p w14:paraId="6B7D804A" w14:textId="77777777" w:rsidR="00E726C8" w:rsidRPr="00641930" w:rsidRDefault="00E726C8" w:rsidP="00E726C8">
      <w:pPr>
        <w:pStyle w:val="Endofdocument-Annex"/>
        <w:spacing w:before="720" w:afterLines="50" w:after="120" w:line="340" w:lineRule="atLeast"/>
        <w:rPr>
          <w:rFonts w:ascii="KaiTi" w:eastAsia="KaiTi" w:hAnsi="KaiTi"/>
          <w:sz w:val="21"/>
        </w:rPr>
      </w:pPr>
      <w:r w:rsidRPr="00641930">
        <w:rPr>
          <w:rFonts w:ascii="KaiTi" w:eastAsia="KaiTi" w:hAnsi="KaiTi"/>
          <w:sz w:val="21"/>
        </w:rPr>
        <w:t>[</w:t>
      </w:r>
      <w:r w:rsidRPr="00641930">
        <w:rPr>
          <w:rFonts w:ascii="KaiTi" w:eastAsia="KaiTi" w:hAnsi="KaiTi" w:hint="eastAsia"/>
          <w:sz w:val="21"/>
        </w:rPr>
        <w:t>文件完</w:t>
      </w:r>
      <w:r w:rsidRPr="00641930">
        <w:rPr>
          <w:rFonts w:ascii="KaiTi" w:eastAsia="KaiTi" w:hAnsi="KaiTi"/>
          <w:sz w:val="21"/>
        </w:rPr>
        <w:t>]</w:t>
      </w:r>
    </w:p>
    <w:p w14:paraId="171CF347" w14:textId="77777777" w:rsidR="00E726C8" w:rsidRDefault="00E726C8" w:rsidP="00E726C8">
      <w:pPr>
        <w:jc w:val="right"/>
        <w:rPr>
          <w:rFonts w:ascii="Arial Black" w:hAnsi="Arial Black"/>
          <w:caps/>
          <w:sz w:val="15"/>
        </w:rPr>
        <w:sectPr w:rsidR="00E726C8" w:rsidSect="00135509">
          <w:headerReference w:type="default" r:id="rId17"/>
          <w:endnotePr>
            <w:numFmt w:val="decimal"/>
          </w:endnotePr>
          <w:pgSz w:w="11907" w:h="16840"/>
          <w:pgMar w:top="567" w:right="1134" w:bottom="1418" w:left="1418" w:header="510" w:footer="1021" w:gutter="0"/>
          <w:pgNumType w:start="1"/>
          <w:cols w:space="720"/>
          <w:titlePg/>
          <w:docGrid w:linePitch="299"/>
        </w:sectPr>
      </w:pPr>
    </w:p>
    <w:p w14:paraId="0D429086" w14:textId="7B737358" w:rsidR="00E726C8" w:rsidRPr="00E22BD8" w:rsidRDefault="00E726C8" w:rsidP="00E726C8">
      <w:pPr>
        <w:jc w:val="right"/>
        <w:rPr>
          <w:rFonts w:ascii="Arial Black" w:hAnsi="Arial Black"/>
          <w:caps/>
          <w:sz w:val="15"/>
        </w:rPr>
      </w:pPr>
      <w:r w:rsidRPr="00E22BD8">
        <w:rPr>
          <w:rFonts w:cs="Times New Roman"/>
          <w:noProof/>
          <w:lang w:eastAsia="en-US"/>
        </w:rPr>
        <w:lastRenderedPageBreak/>
        <w:drawing>
          <wp:inline distT="0" distB="0" distL="0" distR="0" wp14:anchorId="2CFE3291" wp14:editId="2EE6C256">
            <wp:extent cx="3102650" cy="1333676"/>
            <wp:effectExtent l="0" t="0" r="2540" b="0"/>
            <wp:docPr id="7"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DAF208C" w14:textId="77777777" w:rsidR="00E726C8" w:rsidRPr="00E22BD8" w:rsidRDefault="00E726C8" w:rsidP="00E726C8">
      <w:pPr>
        <w:pBdr>
          <w:top w:val="single" w:sz="4" w:space="10" w:color="auto"/>
        </w:pBdr>
        <w:spacing w:before="120"/>
        <w:jc w:val="right"/>
        <w:rPr>
          <w:rFonts w:ascii="Arial Black" w:hAnsi="Arial Black"/>
          <w:b/>
          <w:caps/>
          <w:sz w:val="15"/>
        </w:rPr>
      </w:pPr>
    </w:p>
    <w:p w14:paraId="52808818" w14:textId="77777777" w:rsidR="00E726C8" w:rsidRPr="00E22BD8" w:rsidRDefault="00E726C8" w:rsidP="00E726C8">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：英</w:t>
      </w:r>
      <w:r w:rsidRPr="00E22BD8">
        <w:rPr>
          <w:rFonts w:eastAsia="SimHei" w:hint="eastAsia"/>
          <w:b/>
          <w:sz w:val="15"/>
          <w:szCs w:val="15"/>
        </w:rPr>
        <w:t>文</w:t>
      </w:r>
    </w:p>
    <w:p w14:paraId="27F1EB32" w14:textId="77777777" w:rsidR="00E726C8" w:rsidRPr="00E22BD8" w:rsidRDefault="00E726C8" w:rsidP="00E726C8">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Pr>
          <w:rFonts w:ascii="Arial Black" w:eastAsia="SimHei" w:hAnsi="Arial Black"/>
          <w:b/>
          <w:sz w:val="15"/>
          <w:szCs w:val="15"/>
          <w:lang w:val="pt-BR"/>
        </w:rPr>
        <w:t>4</w:t>
      </w:r>
      <w:r w:rsidRPr="00E22BD8">
        <w:rPr>
          <w:rFonts w:ascii="SimHei" w:eastAsia="SimHei" w:hAnsi="Times New Roman" w:hint="eastAsia"/>
          <w:b/>
          <w:sz w:val="15"/>
          <w:szCs w:val="15"/>
        </w:rPr>
        <w:t>月</w:t>
      </w:r>
      <w:r>
        <w:rPr>
          <w:rFonts w:ascii="Arial Black" w:eastAsia="SimHei" w:hAnsi="Arial Black"/>
          <w:b/>
          <w:sz w:val="15"/>
          <w:szCs w:val="15"/>
          <w:lang w:val="pt-BR"/>
        </w:rPr>
        <w:t>28</w:t>
      </w:r>
      <w:r w:rsidRPr="00E22BD8">
        <w:rPr>
          <w:rFonts w:ascii="SimHei" w:eastAsia="SimHei" w:hAnsi="Times New Roman" w:hint="eastAsia"/>
          <w:b/>
          <w:sz w:val="15"/>
          <w:szCs w:val="15"/>
        </w:rPr>
        <w:t>日</w:t>
      </w:r>
    </w:p>
    <w:p w14:paraId="06D894EA" w14:textId="77777777" w:rsidR="00E726C8" w:rsidRPr="00E22BD8" w:rsidRDefault="00E726C8" w:rsidP="00E726C8">
      <w:pPr>
        <w:spacing w:after="600"/>
        <w:rPr>
          <w:rFonts w:ascii="SimHei" w:eastAsia="SimHei"/>
          <w:sz w:val="28"/>
          <w:szCs w:val="28"/>
        </w:rPr>
      </w:pPr>
      <w:r w:rsidRPr="00E22BD8">
        <w:rPr>
          <w:rFonts w:ascii="SimHei" w:eastAsia="SimHei" w:hint="eastAsia"/>
          <w:sz w:val="28"/>
          <w:szCs w:val="28"/>
        </w:rPr>
        <w:t>发展与知识产权委员会（CDIP）</w:t>
      </w:r>
    </w:p>
    <w:p w14:paraId="3DD58DE1" w14:textId="77777777" w:rsidR="00E726C8" w:rsidRPr="0080619C" w:rsidRDefault="00E726C8" w:rsidP="00E726C8">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4</w:t>
      </w:r>
      <w:r w:rsidRPr="0080619C">
        <w:rPr>
          <w:rFonts w:ascii="KaiTi" w:eastAsia="KaiTi" w:hAnsi="KaiTi" w:hint="eastAsia"/>
          <w:b/>
          <w:sz w:val="24"/>
        </w:rPr>
        <w:t>月</w:t>
      </w:r>
      <w:r>
        <w:rPr>
          <w:rFonts w:ascii="KaiTi" w:eastAsia="KaiTi" w:hAnsi="KaiTi"/>
          <w:sz w:val="24"/>
        </w:rPr>
        <w:t>24</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8</w:t>
      </w:r>
      <w:r w:rsidRPr="0080619C">
        <w:rPr>
          <w:rFonts w:ascii="KaiTi" w:eastAsia="KaiTi" w:hAnsi="KaiTi" w:hint="eastAsia"/>
          <w:b/>
          <w:sz w:val="24"/>
        </w:rPr>
        <w:t>日，日内瓦</w:t>
      </w:r>
    </w:p>
    <w:p w14:paraId="4C920A5C" w14:textId="2FC3E8F6" w:rsidR="00E726C8" w:rsidRPr="004D6500" w:rsidRDefault="00E726C8" w:rsidP="004D6500">
      <w:pPr>
        <w:spacing w:after="960"/>
        <w:rPr>
          <w:rFonts w:ascii="KaiTi" w:eastAsia="KaiTi" w:hAnsi="KaiTi" w:cs="Times New Roman"/>
          <w:sz w:val="24"/>
          <w:szCs w:val="32"/>
        </w:rPr>
      </w:pPr>
      <w:r w:rsidRPr="00B80EE6">
        <w:rPr>
          <w:rFonts w:ascii="KaiTi" w:eastAsia="KaiTi" w:hAnsi="KaiTi" w:cs="Times New Roman" w:hint="eastAsia"/>
          <w:sz w:val="24"/>
          <w:szCs w:val="32"/>
        </w:rPr>
        <w:t>主席总结</w:t>
      </w:r>
    </w:p>
    <w:p w14:paraId="19A454A0" w14:textId="77777777" w:rsidR="00E726C8" w:rsidRPr="00135509" w:rsidRDefault="00E726C8" w:rsidP="00135509">
      <w:pPr>
        <w:pStyle w:val="ListParagraph"/>
        <w:numPr>
          <w:ilvl w:val="0"/>
          <w:numId w:val="24"/>
        </w:numPr>
        <w:overflowPunct w:val="0"/>
        <w:spacing w:afterLines="50" w:after="120" w:line="340" w:lineRule="atLeast"/>
        <w:ind w:left="0" w:firstLine="0"/>
        <w:contextualSpacing w:val="0"/>
        <w:jc w:val="both"/>
        <w:rPr>
          <w:rStyle w:val="Strong"/>
          <w:rFonts w:ascii="SimSun" w:hAnsi="SimSun"/>
          <w:b w:val="0"/>
          <w:sz w:val="21"/>
        </w:rPr>
      </w:pPr>
      <w:r w:rsidRPr="00135509">
        <w:rPr>
          <w:rStyle w:val="Strong"/>
          <w:rFonts w:ascii="SimSun" w:hAnsi="SimSun" w:hint="eastAsia"/>
          <w:b w:val="0"/>
          <w:sz w:val="21"/>
        </w:rPr>
        <w:t>发展与知识产权委员会（CDIP）第三十届会议于202</w:t>
      </w:r>
      <w:r w:rsidRPr="00135509">
        <w:rPr>
          <w:rStyle w:val="Strong"/>
          <w:rFonts w:ascii="SimSun" w:hAnsi="SimSun"/>
          <w:b w:val="0"/>
          <w:sz w:val="21"/>
        </w:rPr>
        <w:t>3</w:t>
      </w:r>
      <w:r w:rsidRPr="00135509">
        <w:rPr>
          <w:rStyle w:val="Strong"/>
          <w:rFonts w:ascii="SimSun" w:hAnsi="SimSun" w:hint="eastAsia"/>
          <w:b w:val="0"/>
          <w:sz w:val="21"/>
        </w:rPr>
        <w:t>年4月2</w:t>
      </w:r>
      <w:r w:rsidRPr="00135509">
        <w:rPr>
          <w:rStyle w:val="Strong"/>
          <w:rFonts w:ascii="SimSun" w:hAnsi="SimSun"/>
          <w:b w:val="0"/>
          <w:sz w:val="21"/>
        </w:rPr>
        <w:t>4</w:t>
      </w:r>
      <w:r w:rsidRPr="00135509">
        <w:rPr>
          <w:rStyle w:val="Strong"/>
          <w:rFonts w:ascii="SimSun" w:hAnsi="SimSun" w:hint="eastAsia"/>
          <w:b w:val="0"/>
          <w:sz w:val="21"/>
        </w:rPr>
        <w:t>日至2</w:t>
      </w:r>
      <w:r w:rsidRPr="00135509">
        <w:rPr>
          <w:rStyle w:val="Strong"/>
          <w:rFonts w:ascii="SimSun" w:hAnsi="SimSun"/>
          <w:b w:val="0"/>
          <w:sz w:val="21"/>
        </w:rPr>
        <w:t>8</w:t>
      </w:r>
      <w:r w:rsidRPr="00135509">
        <w:rPr>
          <w:rStyle w:val="Strong"/>
          <w:rFonts w:ascii="SimSun" w:hAnsi="SimSun" w:hint="eastAsia"/>
          <w:b w:val="0"/>
          <w:sz w:val="21"/>
        </w:rPr>
        <w:t>日以混合形式举行。8</w:t>
      </w:r>
      <w:r w:rsidRPr="00135509">
        <w:rPr>
          <w:rStyle w:val="Strong"/>
          <w:rFonts w:ascii="SimSun" w:hAnsi="SimSun"/>
          <w:b w:val="0"/>
          <w:sz w:val="21"/>
        </w:rPr>
        <w:t>4</w:t>
      </w:r>
      <w:r w:rsidRPr="00135509">
        <w:rPr>
          <w:rStyle w:val="Strong"/>
          <w:rFonts w:ascii="SimSun" w:hAnsi="SimSun" w:hint="eastAsia"/>
          <w:b w:val="0"/>
          <w:sz w:val="21"/>
        </w:rPr>
        <w:t>个成员国和</w:t>
      </w:r>
      <w:r w:rsidRPr="00135509">
        <w:rPr>
          <w:rStyle w:val="Strong"/>
          <w:rFonts w:ascii="SimSun" w:hAnsi="SimSun"/>
          <w:b w:val="0"/>
          <w:sz w:val="21"/>
        </w:rPr>
        <w:t>26</w:t>
      </w:r>
      <w:r w:rsidRPr="00135509">
        <w:rPr>
          <w:rStyle w:val="Strong"/>
          <w:rFonts w:ascii="SimSun" w:hAnsi="SimSun" w:hint="eastAsia"/>
          <w:b w:val="0"/>
          <w:sz w:val="21"/>
        </w:rPr>
        <w:t>个观察员出席了CDIP会议。世界知识产权组织（产权组织）区域和国家发展部门副总干事哈桑·克莱布先生宣布会议开幕。</w:t>
      </w:r>
    </w:p>
    <w:p w14:paraId="504F3280" w14:textId="77777777" w:rsidR="00E726C8" w:rsidRPr="00443197" w:rsidRDefault="00E726C8" w:rsidP="00135509">
      <w:pPr>
        <w:pStyle w:val="ListParagraph"/>
        <w:numPr>
          <w:ilvl w:val="0"/>
          <w:numId w:val="24"/>
        </w:numPr>
        <w:overflowPunct w:val="0"/>
        <w:spacing w:afterLines="50" w:after="120" w:line="340" w:lineRule="atLeast"/>
        <w:ind w:left="0" w:firstLine="0"/>
        <w:contextualSpacing w:val="0"/>
        <w:jc w:val="both"/>
        <w:rPr>
          <w:rFonts w:ascii="SimSun" w:hAnsi="SimSun"/>
          <w:bCs/>
          <w:sz w:val="21"/>
        </w:rPr>
      </w:pPr>
      <w:r w:rsidRPr="00443197">
        <w:rPr>
          <w:rFonts w:ascii="SimSun" w:hAnsi="SimSun" w:hint="eastAsia"/>
          <w:bCs/>
          <w:sz w:val="21"/>
        </w:rPr>
        <w:t>在议程第2项下，委员会选举巴基斯坦伊斯兰共和国常驻联合国日内瓦办事处和其他国际组织代表哈利勒–拉赫曼·哈什米大使阁下担任主席，选举联合王国知识产权局高级政策顾问黛安娜·帕辛科女士和乌干达注册服务局知识产权主任吉尔伯特·阿加巴先生担任副主席，任期一年。</w:t>
      </w:r>
    </w:p>
    <w:p w14:paraId="09513112" w14:textId="77777777" w:rsidR="00E726C8" w:rsidRPr="00443197" w:rsidRDefault="00E726C8" w:rsidP="00135509">
      <w:pPr>
        <w:pStyle w:val="ListParagraph"/>
        <w:numPr>
          <w:ilvl w:val="0"/>
          <w:numId w:val="24"/>
        </w:numPr>
        <w:overflowPunct w:val="0"/>
        <w:spacing w:afterLines="50" w:after="120" w:line="340" w:lineRule="atLeast"/>
        <w:ind w:left="0" w:firstLine="0"/>
        <w:contextualSpacing w:val="0"/>
        <w:jc w:val="both"/>
        <w:rPr>
          <w:rFonts w:ascii="SimSun" w:hAnsi="SimSun"/>
          <w:bCs/>
          <w:sz w:val="21"/>
        </w:rPr>
      </w:pPr>
      <w:r w:rsidRPr="00D819B3">
        <w:rPr>
          <w:rFonts w:ascii="SimSun" w:hAnsi="SimSun" w:hint="eastAsia"/>
          <w:bCs/>
          <w:sz w:val="21"/>
          <w:szCs w:val="22"/>
        </w:rPr>
        <w:t>在议程第</w:t>
      </w:r>
      <w:r>
        <w:rPr>
          <w:rFonts w:ascii="SimSun" w:hAnsi="SimSun"/>
          <w:bCs/>
          <w:sz w:val="21"/>
          <w:szCs w:val="22"/>
        </w:rPr>
        <w:t>3</w:t>
      </w:r>
      <w:r w:rsidRPr="00D819B3">
        <w:rPr>
          <w:rFonts w:ascii="SimSun" w:hAnsi="SimSun" w:hint="eastAsia"/>
          <w:bCs/>
          <w:sz w:val="21"/>
          <w:szCs w:val="22"/>
        </w:rPr>
        <w:t>项下，委员会</w:t>
      </w:r>
      <w:r w:rsidRPr="00135509">
        <w:rPr>
          <w:rStyle w:val="Strong"/>
          <w:rFonts w:hint="eastAsia"/>
          <w:b w:val="0"/>
        </w:rPr>
        <w:t>通过</w:t>
      </w:r>
      <w:r w:rsidRPr="00D819B3">
        <w:rPr>
          <w:rFonts w:ascii="SimSun" w:hAnsi="SimSun" w:hint="eastAsia"/>
          <w:bCs/>
          <w:sz w:val="21"/>
          <w:szCs w:val="22"/>
        </w:rPr>
        <w:t>了文件CDIP/</w:t>
      </w:r>
      <w:r>
        <w:rPr>
          <w:rFonts w:ascii="SimSun" w:hAnsi="SimSun"/>
          <w:bCs/>
          <w:sz w:val="21"/>
          <w:szCs w:val="22"/>
        </w:rPr>
        <w:t>30</w:t>
      </w:r>
      <w:r w:rsidRPr="00D819B3">
        <w:rPr>
          <w:rFonts w:ascii="SimSun" w:hAnsi="SimSun" w:hint="eastAsia"/>
          <w:bCs/>
          <w:sz w:val="21"/>
          <w:szCs w:val="22"/>
        </w:rPr>
        <w:t>/1 Prov.2中所载的议程草案。</w:t>
      </w:r>
    </w:p>
    <w:p w14:paraId="0AD4277B" w14:textId="77777777" w:rsidR="00E726C8" w:rsidRPr="00443197" w:rsidRDefault="00E726C8" w:rsidP="00135509">
      <w:pPr>
        <w:pStyle w:val="ListParagraph"/>
        <w:numPr>
          <w:ilvl w:val="0"/>
          <w:numId w:val="24"/>
        </w:numPr>
        <w:overflowPunct w:val="0"/>
        <w:spacing w:afterLines="50" w:after="120" w:line="340" w:lineRule="atLeast"/>
        <w:ind w:left="0" w:firstLine="0"/>
        <w:contextualSpacing w:val="0"/>
        <w:jc w:val="both"/>
        <w:rPr>
          <w:rFonts w:ascii="SimSun" w:hAnsi="SimSun"/>
          <w:bCs/>
          <w:sz w:val="21"/>
          <w:szCs w:val="21"/>
        </w:rPr>
      </w:pPr>
      <w:r w:rsidRPr="00443197">
        <w:rPr>
          <w:rFonts w:ascii="SimSun" w:hAnsi="SimSun" w:hint="eastAsia"/>
          <w:sz w:val="21"/>
          <w:szCs w:val="21"/>
        </w:rPr>
        <w:t>在议程第</w:t>
      </w:r>
      <w:r w:rsidRPr="00443197">
        <w:rPr>
          <w:rFonts w:ascii="SimSun" w:hAnsi="SimSun"/>
          <w:sz w:val="21"/>
          <w:szCs w:val="21"/>
        </w:rPr>
        <w:t>4</w:t>
      </w:r>
      <w:r w:rsidRPr="00443197">
        <w:rPr>
          <w:rFonts w:ascii="SimSun" w:hAnsi="SimSun" w:hint="eastAsia"/>
          <w:sz w:val="21"/>
          <w:szCs w:val="21"/>
        </w:rPr>
        <w:t>项下，委员会听取了一般性发言。各代表团重申支持产权组织在落实发展议程建议方面所取得的进展。成员国对召开</w:t>
      </w:r>
      <w:r w:rsidRPr="005E79C4">
        <w:rPr>
          <w:rStyle w:val="Strong"/>
          <w:rFonts w:ascii="SimSun" w:hAnsi="SimSun" w:hint="eastAsia"/>
          <w:b w:val="0"/>
          <w:sz w:val="21"/>
          <w:szCs w:val="21"/>
        </w:rPr>
        <w:t>20</w:t>
      </w:r>
      <w:r w:rsidRPr="005E79C4">
        <w:rPr>
          <w:rStyle w:val="Strong"/>
          <w:rFonts w:ascii="SimSun" w:hAnsi="SimSun"/>
          <w:b w:val="0"/>
          <w:sz w:val="21"/>
          <w:szCs w:val="21"/>
        </w:rPr>
        <w:t>23</w:t>
      </w:r>
      <w:r w:rsidRPr="00443197">
        <w:rPr>
          <w:rFonts w:ascii="SimSun" w:hAnsi="SimSun" w:hint="eastAsia"/>
          <w:sz w:val="21"/>
          <w:szCs w:val="21"/>
        </w:rPr>
        <w:t>年4月2</w:t>
      </w:r>
      <w:r w:rsidRPr="00443197">
        <w:rPr>
          <w:rFonts w:ascii="SimSun" w:hAnsi="SimSun"/>
          <w:sz w:val="21"/>
          <w:szCs w:val="21"/>
        </w:rPr>
        <w:t>4</w:t>
      </w:r>
      <w:r w:rsidRPr="00443197">
        <w:rPr>
          <w:rFonts w:ascii="SimSun" w:hAnsi="SimSun" w:hint="eastAsia"/>
          <w:sz w:val="21"/>
          <w:szCs w:val="21"/>
        </w:rPr>
        <w:t>日举行的“知识产权与发展国际会议：知识产权和创新促进可持续农业”表示赞赏，认为活动在报告质量、结构和会务安排上取得了成功。各代表团还表示致力于进行建设性讨论，为本届会议作出贡献。</w:t>
      </w:r>
    </w:p>
    <w:p w14:paraId="07FB460B" w14:textId="77777777" w:rsidR="00E726C8" w:rsidRPr="00443197" w:rsidRDefault="00E726C8" w:rsidP="00135509">
      <w:pPr>
        <w:pStyle w:val="ListParagraph"/>
        <w:numPr>
          <w:ilvl w:val="0"/>
          <w:numId w:val="24"/>
        </w:numPr>
        <w:overflowPunct w:val="0"/>
        <w:spacing w:afterLines="50" w:after="120" w:line="340" w:lineRule="atLeast"/>
        <w:ind w:left="0" w:firstLine="0"/>
        <w:contextualSpacing w:val="0"/>
        <w:jc w:val="both"/>
        <w:rPr>
          <w:rFonts w:ascii="SimSun" w:hAnsi="SimSun"/>
          <w:bCs/>
          <w:sz w:val="21"/>
        </w:rPr>
      </w:pPr>
      <w:r w:rsidRPr="00D819B3">
        <w:rPr>
          <w:rFonts w:ascii="SimSun" w:hAnsi="SimSun" w:hint="eastAsia"/>
          <w:bCs/>
          <w:sz w:val="21"/>
        </w:rPr>
        <w:t>在议程第</w:t>
      </w:r>
      <w:r>
        <w:rPr>
          <w:rFonts w:ascii="SimSun" w:hAnsi="SimSun"/>
          <w:bCs/>
          <w:sz w:val="21"/>
        </w:rPr>
        <w:t>5</w:t>
      </w:r>
      <w:r w:rsidRPr="00D819B3">
        <w:rPr>
          <w:rFonts w:ascii="SimSun" w:hAnsi="SimSun" w:hint="eastAsia"/>
          <w:bCs/>
          <w:sz w:val="21"/>
        </w:rPr>
        <w:t>项下，委员会审议了以下方面：</w:t>
      </w:r>
    </w:p>
    <w:p w14:paraId="4DBADBDA" w14:textId="77777777" w:rsidR="00E726C8" w:rsidRPr="00443197" w:rsidRDefault="00E726C8" w:rsidP="00135509">
      <w:pPr>
        <w:pStyle w:val="ListParagraph"/>
        <w:numPr>
          <w:ilvl w:val="1"/>
          <w:numId w:val="24"/>
        </w:numPr>
        <w:overflowPunct w:val="0"/>
        <w:spacing w:afterLines="50" w:after="120" w:line="340" w:lineRule="atLeast"/>
        <w:ind w:left="567" w:firstLine="0"/>
        <w:contextualSpacing w:val="0"/>
        <w:jc w:val="both"/>
        <w:rPr>
          <w:rFonts w:ascii="SimSun" w:hAnsi="SimSun"/>
          <w:bCs/>
          <w:sz w:val="21"/>
        </w:rPr>
      </w:pPr>
      <w:r w:rsidRPr="00464193">
        <w:rPr>
          <w:rFonts w:ascii="SimSun" w:hAnsi="SimSun" w:hint="eastAsia"/>
          <w:sz w:val="21"/>
        </w:rPr>
        <w:t>文件CDIP/</w:t>
      </w:r>
      <w:r>
        <w:rPr>
          <w:rFonts w:ascii="SimSun" w:hAnsi="SimSun"/>
          <w:sz w:val="21"/>
        </w:rPr>
        <w:t>30</w:t>
      </w:r>
      <w:r w:rsidRPr="00464193">
        <w:rPr>
          <w:rFonts w:ascii="SimSun" w:hAnsi="SimSun" w:hint="eastAsia"/>
          <w:sz w:val="21"/>
        </w:rPr>
        <w:t>/2中所载的</w:t>
      </w:r>
      <w:r>
        <w:rPr>
          <w:rFonts w:ascii="SimSun" w:hAnsi="SimSun" w:hint="eastAsia"/>
          <w:sz w:val="21"/>
        </w:rPr>
        <w:t>“</w:t>
      </w:r>
      <w:r w:rsidRPr="00464193">
        <w:rPr>
          <w:rFonts w:ascii="SimSun" w:hAnsi="SimSun" w:hint="eastAsia"/>
          <w:sz w:val="21"/>
        </w:rPr>
        <w:t>总干事关于发展议程落实情况的报告”。</w:t>
      </w:r>
      <w:r w:rsidRPr="005F0E82">
        <w:rPr>
          <w:rFonts w:ascii="SimSun" w:hAnsi="SimSun" w:hint="eastAsia"/>
          <w:sz w:val="21"/>
        </w:rPr>
        <w:t>各代表团赞赏报告作为</w:t>
      </w:r>
      <w:r>
        <w:rPr>
          <w:rFonts w:ascii="SimSun" w:hAnsi="SimSun" w:hint="eastAsia"/>
          <w:sz w:val="21"/>
        </w:rPr>
        <w:t>产权组织</w:t>
      </w:r>
      <w:r w:rsidRPr="005F0E82">
        <w:rPr>
          <w:rFonts w:ascii="SimSun" w:hAnsi="SimSun" w:hint="eastAsia"/>
          <w:sz w:val="21"/>
        </w:rPr>
        <w:t>发展议程在整个组织落实和主流化进展情况</w:t>
      </w:r>
      <w:r>
        <w:rPr>
          <w:rFonts w:ascii="SimSun" w:hAnsi="SimSun" w:hint="eastAsia"/>
          <w:sz w:val="21"/>
        </w:rPr>
        <w:t>审查工具</w:t>
      </w:r>
      <w:r w:rsidRPr="005F0E82">
        <w:rPr>
          <w:rFonts w:ascii="SimSun" w:hAnsi="SimSun" w:hint="eastAsia"/>
          <w:sz w:val="21"/>
        </w:rPr>
        <w:t>的作用。</w:t>
      </w:r>
      <w:r w:rsidRPr="00D819B3">
        <w:rPr>
          <w:rFonts w:ascii="SimSun" w:hAnsi="SimSun" w:hint="eastAsia"/>
          <w:sz w:val="21"/>
        </w:rPr>
        <w:t>委员会注意到该文件及其附件中</w:t>
      </w:r>
      <w:r>
        <w:rPr>
          <w:rFonts w:ascii="SimSun" w:hAnsi="SimSun" w:hint="eastAsia"/>
          <w:sz w:val="21"/>
        </w:rPr>
        <w:t>所载</w:t>
      </w:r>
      <w:r w:rsidRPr="00D819B3">
        <w:rPr>
          <w:rFonts w:ascii="SimSun" w:hAnsi="SimSun" w:hint="eastAsia"/>
          <w:sz w:val="21"/>
        </w:rPr>
        <w:t>的信息。</w:t>
      </w:r>
    </w:p>
    <w:p w14:paraId="14911B75" w14:textId="77777777" w:rsidR="00E726C8" w:rsidRPr="00443197" w:rsidRDefault="00E726C8" w:rsidP="00135509">
      <w:pPr>
        <w:pStyle w:val="ListParagraph"/>
        <w:numPr>
          <w:ilvl w:val="1"/>
          <w:numId w:val="24"/>
        </w:numPr>
        <w:overflowPunct w:val="0"/>
        <w:spacing w:afterLines="50" w:after="120" w:line="340" w:lineRule="atLeast"/>
        <w:ind w:left="567" w:firstLine="0"/>
        <w:contextualSpacing w:val="0"/>
        <w:jc w:val="both"/>
        <w:rPr>
          <w:rFonts w:ascii="SimSun" w:hAnsi="SimSun"/>
          <w:bCs/>
          <w:sz w:val="21"/>
        </w:rPr>
      </w:pPr>
      <w:r w:rsidRPr="00464193">
        <w:rPr>
          <w:rFonts w:ascii="SimSun" w:hAnsi="SimSun" w:hint="eastAsia"/>
          <w:sz w:val="21"/>
        </w:rPr>
        <w:lastRenderedPageBreak/>
        <w:t>文件CDIP/</w:t>
      </w:r>
      <w:r>
        <w:rPr>
          <w:rFonts w:ascii="SimSun" w:hAnsi="SimSun"/>
          <w:sz w:val="21"/>
        </w:rPr>
        <w:t>30</w:t>
      </w:r>
      <w:r w:rsidRPr="00464193">
        <w:rPr>
          <w:rFonts w:ascii="SimSun" w:hAnsi="SimSun" w:hint="eastAsia"/>
          <w:sz w:val="21"/>
        </w:rPr>
        <w:t>/</w:t>
      </w:r>
      <w:r>
        <w:rPr>
          <w:rFonts w:ascii="SimSun" w:hAnsi="SimSun"/>
          <w:sz w:val="21"/>
        </w:rPr>
        <w:t>5</w:t>
      </w:r>
      <w:r w:rsidRPr="00464193">
        <w:rPr>
          <w:rFonts w:ascii="SimSun" w:hAnsi="SimSun" w:hint="eastAsia"/>
          <w:sz w:val="21"/>
        </w:rPr>
        <w:t>中所载的</w:t>
      </w:r>
      <w:r>
        <w:rPr>
          <w:rFonts w:ascii="SimSun" w:hAnsi="SimSun" w:hint="eastAsia"/>
          <w:sz w:val="21"/>
        </w:rPr>
        <w:t>“‘</w:t>
      </w:r>
      <w:r w:rsidRPr="00FA6E7D">
        <w:rPr>
          <w:rFonts w:ascii="SimSun" w:hAnsi="SimSun" w:hint="eastAsia"/>
          <w:sz w:val="21"/>
        </w:rPr>
        <w:t>秘鲁及其他发展中国家的知识产权与美食旅游业：通过知识产权促进美食旅游业发展</w:t>
      </w:r>
      <w:r>
        <w:rPr>
          <w:rFonts w:ascii="SimSun" w:hAnsi="SimSun" w:hint="eastAsia"/>
          <w:sz w:val="21"/>
        </w:rPr>
        <w:t>’</w:t>
      </w:r>
      <w:r w:rsidRPr="00FA6E7D">
        <w:rPr>
          <w:rFonts w:ascii="SimSun" w:hAnsi="SimSun" w:hint="eastAsia"/>
          <w:sz w:val="21"/>
        </w:rPr>
        <w:t>项目完成报告</w:t>
      </w:r>
      <w:r>
        <w:rPr>
          <w:rFonts w:ascii="SimSun" w:hAnsi="SimSun" w:hint="eastAsia"/>
          <w:sz w:val="21"/>
        </w:rPr>
        <w:t>”。</w:t>
      </w:r>
      <w:r w:rsidRPr="005F0E82">
        <w:rPr>
          <w:rFonts w:ascii="SimSun" w:hAnsi="SimSun" w:hint="eastAsia"/>
          <w:sz w:val="21"/>
        </w:rPr>
        <w:t>各代表团赞扬了在四个受益国成功实施该项目，尽管COVID-19大流行带来了挑战。</w:t>
      </w:r>
      <w:r w:rsidRPr="008E6603">
        <w:rPr>
          <w:rFonts w:ascii="SimSun" w:hAnsi="SimSun" w:hint="eastAsia"/>
          <w:sz w:val="21"/>
        </w:rPr>
        <w:t>委员会注意到该文件中</w:t>
      </w:r>
      <w:r>
        <w:rPr>
          <w:rFonts w:ascii="SimSun" w:hAnsi="SimSun" w:hint="eastAsia"/>
          <w:sz w:val="21"/>
        </w:rPr>
        <w:t>所载</w:t>
      </w:r>
      <w:r w:rsidRPr="00D819B3">
        <w:rPr>
          <w:rFonts w:ascii="SimSun" w:hAnsi="SimSun" w:hint="eastAsia"/>
          <w:sz w:val="21"/>
        </w:rPr>
        <w:t>的</w:t>
      </w:r>
      <w:r w:rsidRPr="008E6603">
        <w:rPr>
          <w:rFonts w:ascii="SimSun" w:hAnsi="SimSun" w:hint="eastAsia"/>
          <w:sz w:val="21"/>
        </w:rPr>
        <w:t>信息。</w:t>
      </w:r>
    </w:p>
    <w:p w14:paraId="1DD70224" w14:textId="77777777" w:rsidR="00E726C8" w:rsidRPr="00443197" w:rsidRDefault="00E726C8" w:rsidP="00135509">
      <w:pPr>
        <w:pStyle w:val="ListParagraph"/>
        <w:numPr>
          <w:ilvl w:val="1"/>
          <w:numId w:val="24"/>
        </w:numPr>
        <w:overflowPunct w:val="0"/>
        <w:spacing w:afterLines="50" w:after="120" w:line="340" w:lineRule="atLeast"/>
        <w:ind w:left="567" w:firstLine="0"/>
        <w:contextualSpacing w:val="0"/>
        <w:jc w:val="both"/>
        <w:rPr>
          <w:rFonts w:ascii="SimSun" w:hAnsi="SimSun"/>
          <w:bCs/>
          <w:sz w:val="21"/>
        </w:rPr>
      </w:pPr>
      <w:r w:rsidRPr="00464193">
        <w:rPr>
          <w:rFonts w:ascii="SimSun" w:hAnsi="SimSun" w:hint="eastAsia"/>
          <w:sz w:val="21"/>
        </w:rPr>
        <w:t>文件CDIP/</w:t>
      </w:r>
      <w:r>
        <w:rPr>
          <w:rFonts w:ascii="SimSun" w:hAnsi="SimSun"/>
          <w:sz w:val="21"/>
        </w:rPr>
        <w:t>30</w:t>
      </w:r>
      <w:r w:rsidRPr="00464193">
        <w:rPr>
          <w:rFonts w:ascii="SimSun" w:hAnsi="SimSun" w:hint="eastAsia"/>
          <w:sz w:val="21"/>
        </w:rPr>
        <w:t>/</w:t>
      </w:r>
      <w:r>
        <w:rPr>
          <w:rFonts w:ascii="SimSun" w:hAnsi="SimSun"/>
          <w:sz w:val="21"/>
        </w:rPr>
        <w:t>6</w:t>
      </w:r>
      <w:r w:rsidRPr="00464193">
        <w:rPr>
          <w:rFonts w:ascii="SimSun" w:hAnsi="SimSun" w:hint="eastAsia"/>
          <w:sz w:val="21"/>
        </w:rPr>
        <w:t>中所载的</w:t>
      </w:r>
      <w:r>
        <w:rPr>
          <w:rFonts w:ascii="SimSun" w:hAnsi="SimSun" w:hint="eastAsia"/>
          <w:sz w:val="21"/>
        </w:rPr>
        <w:t>“‘</w:t>
      </w:r>
      <w:r w:rsidRPr="00FA6E7D">
        <w:rPr>
          <w:rFonts w:ascii="SimSun" w:hAnsi="SimSun" w:hint="eastAsia"/>
          <w:sz w:val="21"/>
        </w:rPr>
        <w:t>加大女性在创新创业方面的作用：鼓励发展中国家女性运用知识产权制度</w:t>
      </w:r>
      <w:r>
        <w:rPr>
          <w:rFonts w:ascii="SimSun" w:hAnsi="SimSun" w:hint="eastAsia"/>
          <w:sz w:val="21"/>
        </w:rPr>
        <w:t>’</w:t>
      </w:r>
      <w:r w:rsidRPr="00FA6E7D">
        <w:rPr>
          <w:rFonts w:ascii="SimSun" w:hAnsi="SimSun" w:hint="eastAsia"/>
          <w:sz w:val="21"/>
        </w:rPr>
        <w:t>项目完成报告</w:t>
      </w:r>
      <w:r>
        <w:rPr>
          <w:rFonts w:ascii="SimSun" w:hAnsi="SimSun" w:hint="eastAsia"/>
          <w:sz w:val="21"/>
        </w:rPr>
        <w:t>”。</w:t>
      </w:r>
      <w:r w:rsidRPr="0032729B">
        <w:rPr>
          <w:rFonts w:ascii="SimSun" w:hAnsi="SimSun" w:hint="eastAsia"/>
          <w:sz w:val="21"/>
        </w:rPr>
        <w:t>委员会注意到该文件中</w:t>
      </w:r>
      <w:r w:rsidRPr="00A700F6">
        <w:rPr>
          <w:rFonts w:ascii="SimSun" w:hAnsi="SimSun" w:hint="eastAsia"/>
          <w:sz w:val="21"/>
        </w:rPr>
        <w:t>所载</w:t>
      </w:r>
      <w:r w:rsidRPr="0032729B">
        <w:rPr>
          <w:rFonts w:ascii="SimSun" w:hAnsi="SimSun" w:hint="eastAsia"/>
          <w:sz w:val="21"/>
        </w:rPr>
        <w:t>的信息</w:t>
      </w:r>
      <w:r w:rsidRPr="00DB03F6">
        <w:rPr>
          <w:rFonts w:ascii="SimSun" w:hAnsi="SimSun" w:hint="eastAsia"/>
          <w:sz w:val="21"/>
        </w:rPr>
        <w:t>，同时赞赏项目取得的成就及其出色的实施</w:t>
      </w:r>
      <w:r w:rsidRPr="0032729B">
        <w:rPr>
          <w:rFonts w:ascii="SimSun" w:hAnsi="SimSun" w:hint="eastAsia"/>
          <w:sz w:val="21"/>
        </w:rPr>
        <w:t>。</w:t>
      </w:r>
    </w:p>
    <w:p w14:paraId="5C79E01D" w14:textId="77777777" w:rsidR="00E726C8" w:rsidRPr="00443197" w:rsidRDefault="00E726C8" w:rsidP="00135509">
      <w:pPr>
        <w:pStyle w:val="ListParagraph"/>
        <w:numPr>
          <w:ilvl w:val="1"/>
          <w:numId w:val="24"/>
        </w:numPr>
        <w:overflowPunct w:val="0"/>
        <w:spacing w:afterLines="50" w:after="120" w:line="340" w:lineRule="atLeast"/>
        <w:ind w:left="567" w:firstLine="0"/>
        <w:contextualSpacing w:val="0"/>
        <w:jc w:val="both"/>
        <w:rPr>
          <w:rFonts w:ascii="SimSun" w:hAnsi="SimSun"/>
          <w:bCs/>
          <w:sz w:val="21"/>
        </w:rPr>
      </w:pPr>
      <w:r w:rsidRPr="00464193">
        <w:rPr>
          <w:rFonts w:ascii="SimSun" w:hAnsi="SimSun" w:hint="eastAsia"/>
          <w:sz w:val="21"/>
        </w:rPr>
        <w:t>文件CDIP/</w:t>
      </w:r>
      <w:r>
        <w:rPr>
          <w:rFonts w:ascii="SimSun" w:hAnsi="SimSun"/>
          <w:sz w:val="21"/>
        </w:rPr>
        <w:t>30</w:t>
      </w:r>
      <w:r w:rsidRPr="00464193">
        <w:rPr>
          <w:rFonts w:ascii="SimSun" w:hAnsi="SimSun" w:hint="eastAsia"/>
          <w:sz w:val="21"/>
        </w:rPr>
        <w:t>/</w:t>
      </w:r>
      <w:r>
        <w:rPr>
          <w:rFonts w:ascii="SimSun" w:hAnsi="SimSun"/>
          <w:sz w:val="21"/>
        </w:rPr>
        <w:t>10</w:t>
      </w:r>
      <w:r w:rsidRPr="00464193">
        <w:rPr>
          <w:rFonts w:ascii="SimSun" w:hAnsi="SimSun" w:hint="eastAsia"/>
          <w:sz w:val="21"/>
        </w:rPr>
        <w:t>中所载的</w:t>
      </w:r>
      <w:r>
        <w:rPr>
          <w:rFonts w:ascii="SimSun" w:hAnsi="SimSun" w:hint="eastAsia"/>
          <w:sz w:val="21"/>
        </w:rPr>
        <w:t>“‘秘鲁</w:t>
      </w:r>
      <w:r w:rsidRPr="00FA6E7D">
        <w:rPr>
          <w:rFonts w:ascii="SimSun" w:hAnsi="SimSun" w:hint="eastAsia"/>
          <w:sz w:val="21"/>
        </w:rPr>
        <w:t>及其他发展中国家的知识产权与美食旅游业：通过知识产权促进美食旅游业发展</w:t>
      </w:r>
      <w:r>
        <w:rPr>
          <w:rFonts w:ascii="SimSun" w:hAnsi="SimSun" w:hint="eastAsia"/>
          <w:sz w:val="21"/>
        </w:rPr>
        <w:t>’</w:t>
      </w:r>
      <w:r w:rsidRPr="00FA6E7D">
        <w:rPr>
          <w:rFonts w:ascii="SimSun" w:hAnsi="SimSun" w:hint="eastAsia"/>
          <w:sz w:val="21"/>
        </w:rPr>
        <w:t>项目审评报告</w:t>
      </w:r>
      <w:r>
        <w:rPr>
          <w:rFonts w:ascii="SimSun" w:hAnsi="SimSun" w:hint="eastAsia"/>
          <w:sz w:val="21"/>
        </w:rPr>
        <w:t>”。</w:t>
      </w:r>
      <w:r w:rsidRPr="00A700F6">
        <w:rPr>
          <w:rFonts w:ascii="SimSun" w:hAnsi="SimSun" w:hint="eastAsia"/>
          <w:sz w:val="21"/>
        </w:rPr>
        <w:t>委员会注意到该文件中所载的</w:t>
      </w:r>
      <w:r>
        <w:rPr>
          <w:rFonts w:ascii="SimSun" w:hAnsi="SimSun" w:hint="eastAsia"/>
          <w:sz w:val="21"/>
        </w:rPr>
        <w:t>建议。</w:t>
      </w:r>
    </w:p>
    <w:p w14:paraId="4A97ABD9" w14:textId="77777777" w:rsidR="00E726C8" w:rsidRPr="00443197" w:rsidRDefault="00E726C8" w:rsidP="00135509">
      <w:pPr>
        <w:pStyle w:val="ListParagraph"/>
        <w:numPr>
          <w:ilvl w:val="1"/>
          <w:numId w:val="24"/>
        </w:numPr>
        <w:overflowPunct w:val="0"/>
        <w:spacing w:afterLines="50" w:after="120" w:line="340" w:lineRule="atLeast"/>
        <w:ind w:left="567" w:firstLine="0"/>
        <w:contextualSpacing w:val="0"/>
        <w:jc w:val="both"/>
        <w:rPr>
          <w:rFonts w:ascii="SimSun" w:hAnsi="SimSun"/>
          <w:bCs/>
          <w:sz w:val="21"/>
        </w:rPr>
      </w:pPr>
      <w:r w:rsidRPr="00464193">
        <w:rPr>
          <w:rFonts w:ascii="SimSun" w:hAnsi="SimSun" w:hint="eastAsia"/>
          <w:sz w:val="21"/>
        </w:rPr>
        <w:t>文件CDIP/</w:t>
      </w:r>
      <w:r>
        <w:rPr>
          <w:rFonts w:ascii="SimSun" w:hAnsi="SimSun"/>
          <w:sz w:val="21"/>
        </w:rPr>
        <w:t>30</w:t>
      </w:r>
      <w:r w:rsidRPr="00464193">
        <w:rPr>
          <w:rFonts w:ascii="SimSun" w:hAnsi="SimSun" w:hint="eastAsia"/>
          <w:sz w:val="21"/>
        </w:rPr>
        <w:t>/</w:t>
      </w:r>
      <w:r>
        <w:rPr>
          <w:rFonts w:ascii="SimSun" w:hAnsi="SimSun"/>
          <w:sz w:val="21"/>
        </w:rPr>
        <w:t>11</w:t>
      </w:r>
      <w:r w:rsidRPr="00464193">
        <w:rPr>
          <w:rFonts w:ascii="SimSun" w:hAnsi="SimSun" w:hint="eastAsia"/>
          <w:sz w:val="21"/>
        </w:rPr>
        <w:t>中所载的</w:t>
      </w:r>
      <w:r>
        <w:rPr>
          <w:rFonts w:ascii="SimSun" w:hAnsi="SimSun" w:hint="eastAsia"/>
          <w:sz w:val="21"/>
        </w:rPr>
        <w:t>“‘</w:t>
      </w:r>
      <w:r w:rsidRPr="00FA6E7D">
        <w:rPr>
          <w:rFonts w:ascii="SimSun" w:hAnsi="SimSun" w:hint="eastAsia"/>
          <w:sz w:val="21"/>
        </w:rPr>
        <w:t>加大女性在创新创业方面的作用：鼓励发展中国家女性运用知识产权制度</w:t>
      </w:r>
      <w:r>
        <w:rPr>
          <w:rFonts w:ascii="SimSun" w:hAnsi="SimSun" w:hint="eastAsia"/>
          <w:sz w:val="21"/>
        </w:rPr>
        <w:t>’</w:t>
      </w:r>
      <w:r w:rsidRPr="00FA6E7D">
        <w:rPr>
          <w:rFonts w:ascii="SimSun" w:hAnsi="SimSun" w:hint="eastAsia"/>
          <w:sz w:val="21"/>
        </w:rPr>
        <w:t>项目审评报告</w:t>
      </w:r>
      <w:r>
        <w:rPr>
          <w:rFonts w:ascii="SimSun" w:hAnsi="SimSun" w:hint="eastAsia"/>
          <w:sz w:val="21"/>
        </w:rPr>
        <w:t>”。</w:t>
      </w:r>
      <w:r w:rsidRPr="00A700F6">
        <w:rPr>
          <w:rFonts w:ascii="SimSun" w:hAnsi="SimSun" w:hint="eastAsia"/>
          <w:sz w:val="21"/>
        </w:rPr>
        <w:t>委员会注意到该文件中所载的信息</w:t>
      </w:r>
      <w:r>
        <w:rPr>
          <w:rFonts w:ascii="SimSun" w:hAnsi="SimSun" w:hint="eastAsia"/>
          <w:sz w:val="21"/>
        </w:rPr>
        <w:t>，并</w:t>
      </w:r>
      <w:r w:rsidRPr="00A700F6">
        <w:rPr>
          <w:rFonts w:ascii="SimSun" w:hAnsi="SimSun" w:hint="eastAsia"/>
          <w:sz w:val="21"/>
        </w:rPr>
        <w:t>要求秘书处进一步将</w:t>
      </w:r>
      <w:r w:rsidRPr="00DB03F6">
        <w:rPr>
          <w:rFonts w:ascii="SimSun" w:hAnsi="SimSun" w:hint="eastAsia"/>
          <w:sz w:val="21"/>
        </w:rPr>
        <w:t>该项目下所做的工作，特别是导师计划，纳入其常规工作的主流。委员会还要求秘书处评估在该领域</w:t>
      </w:r>
      <w:r>
        <w:rPr>
          <w:rFonts w:ascii="SimSun" w:hAnsi="SimSun" w:hint="eastAsia"/>
          <w:sz w:val="21"/>
        </w:rPr>
        <w:t>待</w:t>
      </w:r>
      <w:r w:rsidRPr="00DB03F6">
        <w:rPr>
          <w:rFonts w:ascii="SimSun" w:hAnsi="SimSun" w:hint="eastAsia"/>
          <w:sz w:val="21"/>
        </w:rPr>
        <w:t>开展的进一步工作，并在适当时候向委员会报告。</w:t>
      </w:r>
    </w:p>
    <w:p w14:paraId="37A89294" w14:textId="77777777" w:rsidR="00E726C8" w:rsidRPr="00443197" w:rsidRDefault="00E726C8" w:rsidP="00135509">
      <w:pPr>
        <w:pStyle w:val="ListParagraph"/>
        <w:numPr>
          <w:ilvl w:val="1"/>
          <w:numId w:val="24"/>
        </w:numPr>
        <w:overflowPunct w:val="0"/>
        <w:spacing w:afterLines="50" w:after="120" w:line="340" w:lineRule="atLeast"/>
        <w:ind w:left="567" w:firstLine="0"/>
        <w:contextualSpacing w:val="0"/>
        <w:jc w:val="both"/>
        <w:rPr>
          <w:rFonts w:ascii="SimSun" w:hAnsi="SimSun"/>
          <w:bCs/>
          <w:sz w:val="21"/>
        </w:rPr>
      </w:pPr>
      <w:r w:rsidRPr="00464193">
        <w:rPr>
          <w:rFonts w:ascii="SimSun" w:hAnsi="SimSun" w:hint="eastAsia"/>
          <w:sz w:val="21"/>
        </w:rPr>
        <w:t>文件CDIP/</w:t>
      </w:r>
      <w:r>
        <w:rPr>
          <w:rFonts w:ascii="SimSun" w:hAnsi="SimSun"/>
          <w:sz w:val="21"/>
        </w:rPr>
        <w:t>30</w:t>
      </w:r>
      <w:r w:rsidRPr="00464193">
        <w:rPr>
          <w:rFonts w:ascii="SimSun" w:hAnsi="SimSun" w:hint="eastAsia"/>
          <w:sz w:val="21"/>
        </w:rPr>
        <w:t>/</w:t>
      </w:r>
      <w:r>
        <w:rPr>
          <w:rFonts w:ascii="SimSun" w:hAnsi="SimSun"/>
          <w:sz w:val="21"/>
        </w:rPr>
        <w:t>14</w:t>
      </w:r>
      <w:r w:rsidRPr="00464193">
        <w:rPr>
          <w:rFonts w:ascii="SimSun" w:hAnsi="SimSun" w:hint="eastAsia"/>
          <w:sz w:val="21"/>
        </w:rPr>
        <w:t>中所载的</w:t>
      </w:r>
      <w:r>
        <w:rPr>
          <w:rFonts w:ascii="SimSun" w:hAnsi="SimSun" w:hint="eastAsia"/>
          <w:sz w:val="21"/>
        </w:rPr>
        <w:t>“</w:t>
      </w:r>
      <w:r w:rsidRPr="00FA6E7D">
        <w:rPr>
          <w:rFonts w:ascii="SimSun" w:hAnsi="SimSun" w:hint="eastAsia"/>
          <w:sz w:val="21"/>
        </w:rPr>
        <w:t>关于产权组织对落实可持续发展目标及其相关具体目标所作贡献的报告</w:t>
      </w:r>
      <w:r>
        <w:rPr>
          <w:rFonts w:ascii="SimSun" w:hAnsi="SimSun" w:hint="eastAsia"/>
          <w:sz w:val="21"/>
        </w:rPr>
        <w:t>”。</w:t>
      </w:r>
      <w:r w:rsidRPr="005F0E82">
        <w:rPr>
          <w:rFonts w:ascii="SimSun" w:hAnsi="SimSun" w:hint="eastAsia"/>
          <w:sz w:val="21"/>
        </w:rPr>
        <w:t>各代表团赞扬了</w:t>
      </w:r>
      <w:r w:rsidRPr="005D5662">
        <w:rPr>
          <w:rFonts w:ascii="SimSun" w:hAnsi="SimSun" w:hint="eastAsia"/>
          <w:sz w:val="21"/>
        </w:rPr>
        <w:t>产权组织</w:t>
      </w:r>
      <w:r w:rsidRPr="005F0E82">
        <w:rPr>
          <w:rFonts w:ascii="SimSun" w:hAnsi="SimSun" w:hint="eastAsia"/>
          <w:sz w:val="21"/>
        </w:rPr>
        <w:t>在实现可持续发展目标方面发挥重要作用的努力。</w:t>
      </w:r>
      <w:r w:rsidRPr="0032729B">
        <w:rPr>
          <w:rFonts w:ascii="SimSun" w:hAnsi="SimSun" w:hint="eastAsia"/>
          <w:sz w:val="21"/>
        </w:rPr>
        <w:t>委员会注意到该文件中</w:t>
      </w:r>
      <w:r>
        <w:rPr>
          <w:rFonts w:ascii="SimSun" w:hAnsi="SimSun" w:hint="eastAsia"/>
          <w:sz w:val="21"/>
        </w:rPr>
        <w:t>所载</w:t>
      </w:r>
      <w:r w:rsidRPr="0032729B">
        <w:rPr>
          <w:rFonts w:ascii="SimSun" w:hAnsi="SimSun" w:hint="eastAsia"/>
          <w:sz w:val="21"/>
        </w:rPr>
        <w:t>的信息。</w:t>
      </w:r>
    </w:p>
    <w:p w14:paraId="590BFD13" w14:textId="77777777" w:rsidR="00E726C8" w:rsidRPr="00443197" w:rsidRDefault="00E726C8" w:rsidP="00135509">
      <w:pPr>
        <w:pStyle w:val="ListParagraph"/>
        <w:numPr>
          <w:ilvl w:val="0"/>
          <w:numId w:val="24"/>
        </w:numPr>
        <w:overflowPunct w:val="0"/>
        <w:spacing w:afterLines="50" w:after="120" w:line="340" w:lineRule="atLeast"/>
        <w:ind w:left="0" w:firstLine="0"/>
        <w:contextualSpacing w:val="0"/>
        <w:jc w:val="both"/>
        <w:rPr>
          <w:rFonts w:ascii="SimSun" w:hAnsi="SimSun"/>
          <w:bCs/>
          <w:sz w:val="21"/>
        </w:rPr>
      </w:pPr>
      <w:r w:rsidRPr="00D819B3">
        <w:rPr>
          <w:rFonts w:ascii="SimSun" w:hAnsi="SimSun" w:hint="eastAsia"/>
          <w:bCs/>
          <w:sz w:val="21"/>
          <w:szCs w:val="22"/>
        </w:rPr>
        <w:t>在议程第</w:t>
      </w:r>
      <w:r>
        <w:rPr>
          <w:rFonts w:ascii="SimSun" w:hAnsi="SimSun"/>
          <w:bCs/>
          <w:sz w:val="21"/>
          <w:szCs w:val="22"/>
        </w:rPr>
        <w:t>5</w:t>
      </w:r>
      <w:r w:rsidRPr="00D819B3">
        <w:rPr>
          <w:rFonts w:ascii="SimSun" w:hAnsi="SimSun" w:hint="eastAsia"/>
          <w:bCs/>
          <w:sz w:val="21"/>
          <w:szCs w:val="22"/>
        </w:rPr>
        <w:t>(i)项下，委员会讨论了以下方面：</w:t>
      </w:r>
    </w:p>
    <w:p w14:paraId="3BF89C6B" w14:textId="77777777" w:rsidR="00E726C8" w:rsidRPr="00443197" w:rsidRDefault="00E726C8" w:rsidP="00E726C8">
      <w:pPr>
        <w:pStyle w:val="ListParagraph"/>
        <w:numPr>
          <w:ilvl w:val="1"/>
          <w:numId w:val="17"/>
        </w:numPr>
        <w:overflowPunct w:val="0"/>
        <w:spacing w:afterLines="50" w:after="120" w:line="340" w:lineRule="atLeast"/>
        <w:ind w:left="567" w:firstLine="0"/>
        <w:contextualSpacing w:val="0"/>
        <w:jc w:val="both"/>
        <w:rPr>
          <w:rFonts w:ascii="SimSun" w:hAnsi="SimSun"/>
          <w:sz w:val="21"/>
        </w:rPr>
      </w:pPr>
      <w:r w:rsidRPr="00443197">
        <w:rPr>
          <w:rFonts w:ascii="SimSun" w:hAnsi="SimSun" w:hint="eastAsia"/>
          <w:sz w:val="21"/>
        </w:rPr>
        <w:t>产权组织合作促进发展领域的技术援助，依据文件CDIP/24/8中所载的“关于成员国在产权组织技术援助方面的决定落实情况的报告”。</w:t>
      </w:r>
      <w:r>
        <w:rPr>
          <w:rFonts w:ascii="SimSun" w:hAnsi="SimSun" w:hint="eastAsia"/>
          <w:sz w:val="21"/>
        </w:rPr>
        <w:t>鉴于</w:t>
      </w:r>
      <w:r w:rsidRPr="00A2128E">
        <w:rPr>
          <w:rFonts w:ascii="SimSun" w:hAnsi="SimSun" w:hint="eastAsia"/>
          <w:sz w:val="21"/>
        </w:rPr>
        <w:t>通过了文件CDIP/30/3</w:t>
      </w:r>
      <w:r>
        <w:rPr>
          <w:rFonts w:ascii="SimSun" w:hAnsi="SimSun" w:hint="eastAsia"/>
          <w:sz w:val="21"/>
        </w:rPr>
        <w:t>中</w:t>
      </w:r>
      <w:r w:rsidRPr="00A2128E">
        <w:rPr>
          <w:rFonts w:ascii="SimSun" w:hAnsi="SimSun" w:hint="eastAsia"/>
          <w:sz w:val="21"/>
        </w:rPr>
        <w:t>所载的</w:t>
      </w:r>
      <w:r>
        <w:rPr>
          <w:rFonts w:ascii="SimSun" w:hAnsi="SimSun" w:hint="eastAsia"/>
          <w:sz w:val="21"/>
        </w:rPr>
        <w:t>“</w:t>
      </w:r>
      <w:r w:rsidRPr="00A2128E">
        <w:rPr>
          <w:rFonts w:ascii="SimSun" w:hAnsi="SimSun" w:hint="eastAsia"/>
          <w:sz w:val="21"/>
        </w:rPr>
        <w:t>对产权组织在合作促进发展领域开展的技术援助进行独立外部审查的职责范围</w:t>
      </w:r>
      <w:r>
        <w:rPr>
          <w:rFonts w:ascii="SimSun" w:hAnsi="SimSun" w:hint="eastAsia"/>
          <w:sz w:val="21"/>
        </w:rPr>
        <w:t>”，</w:t>
      </w:r>
      <w:r w:rsidRPr="00443197">
        <w:rPr>
          <w:rFonts w:ascii="SimSun" w:hAnsi="SimSun" w:hint="eastAsia"/>
          <w:sz w:val="21"/>
        </w:rPr>
        <w:t>委员会决定结束</w:t>
      </w:r>
      <w:r>
        <w:rPr>
          <w:rFonts w:ascii="SimSun" w:hAnsi="SimSun" w:hint="eastAsia"/>
          <w:sz w:val="21"/>
        </w:rPr>
        <w:t>对</w:t>
      </w:r>
      <w:r w:rsidRPr="00443197">
        <w:rPr>
          <w:rFonts w:ascii="SimSun" w:hAnsi="SimSun" w:hint="eastAsia"/>
          <w:sz w:val="21"/>
        </w:rPr>
        <w:t>文件CDIP/24/8</w:t>
      </w:r>
      <w:r>
        <w:rPr>
          <w:rFonts w:ascii="SimSun" w:hAnsi="SimSun" w:hint="eastAsia"/>
          <w:sz w:val="21"/>
        </w:rPr>
        <w:t>的讨论</w:t>
      </w:r>
      <w:r w:rsidRPr="00443197">
        <w:rPr>
          <w:rFonts w:ascii="SimSun" w:hAnsi="SimSun" w:hint="eastAsia"/>
          <w:sz w:val="21"/>
        </w:rPr>
        <w:t>。</w:t>
      </w:r>
    </w:p>
    <w:p w14:paraId="4B957888" w14:textId="77777777" w:rsidR="00E726C8" w:rsidRPr="00443197" w:rsidRDefault="00E726C8" w:rsidP="00E726C8">
      <w:pPr>
        <w:pStyle w:val="ListParagraph"/>
        <w:numPr>
          <w:ilvl w:val="1"/>
          <w:numId w:val="17"/>
        </w:numPr>
        <w:overflowPunct w:val="0"/>
        <w:spacing w:afterLines="50" w:after="120" w:line="340" w:lineRule="atLeast"/>
        <w:ind w:left="567" w:firstLine="0"/>
        <w:contextualSpacing w:val="0"/>
        <w:jc w:val="both"/>
        <w:rPr>
          <w:rFonts w:ascii="SimSun" w:hAnsi="SimSun"/>
          <w:sz w:val="21"/>
        </w:rPr>
      </w:pPr>
      <w:r w:rsidRPr="00464193">
        <w:rPr>
          <w:rFonts w:ascii="SimSun" w:hAnsi="SimSun" w:hint="eastAsia"/>
          <w:sz w:val="21"/>
        </w:rPr>
        <w:t>文件CDIP/</w:t>
      </w:r>
      <w:r>
        <w:rPr>
          <w:rFonts w:ascii="SimSun" w:hAnsi="SimSun"/>
          <w:sz w:val="21"/>
        </w:rPr>
        <w:t>30</w:t>
      </w:r>
      <w:r w:rsidRPr="00464193">
        <w:rPr>
          <w:rFonts w:ascii="SimSun" w:hAnsi="SimSun" w:hint="eastAsia"/>
          <w:sz w:val="21"/>
        </w:rPr>
        <w:t>/</w:t>
      </w:r>
      <w:r>
        <w:rPr>
          <w:rFonts w:ascii="SimSun" w:hAnsi="SimSun"/>
          <w:sz w:val="21"/>
        </w:rPr>
        <w:t>8</w:t>
      </w:r>
      <w:r w:rsidRPr="00464193">
        <w:rPr>
          <w:rFonts w:ascii="SimSun" w:hAnsi="SimSun" w:hint="eastAsia"/>
          <w:sz w:val="21"/>
        </w:rPr>
        <w:t>中所载的</w:t>
      </w:r>
      <w:r>
        <w:rPr>
          <w:rFonts w:ascii="SimSun" w:hAnsi="SimSun" w:hint="eastAsia"/>
          <w:sz w:val="21"/>
        </w:rPr>
        <w:t>“</w:t>
      </w:r>
      <w:r w:rsidRPr="00C041F9">
        <w:rPr>
          <w:rFonts w:ascii="SimSun" w:hAnsi="SimSun" w:hint="eastAsia"/>
          <w:sz w:val="21"/>
        </w:rPr>
        <w:t>关于未来网络研讨会的修订文件</w:t>
      </w:r>
      <w:r>
        <w:rPr>
          <w:rFonts w:ascii="SimSun" w:hAnsi="SimSun" w:hint="eastAsia"/>
          <w:sz w:val="21"/>
        </w:rPr>
        <w:t>”。</w:t>
      </w:r>
      <w:r w:rsidRPr="00AC57EC">
        <w:rPr>
          <w:rFonts w:ascii="SimSun" w:hAnsi="SimSun" w:hint="eastAsia"/>
          <w:sz w:val="21"/>
        </w:rPr>
        <w:t>委员会批准了CDIP/30/8 R</w:t>
      </w:r>
      <w:r>
        <w:rPr>
          <w:rFonts w:ascii="SimSun" w:hAnsi="SimSun"/>
          <w:sz w:val="21"/>
        </w:rPr>
        <w:t>ev</w:t>
      </w:r>
      <w:r w:rsidRPr="00AC57EC">
        <w:rPr>
          <w:rFonts w:ascii="SimSun" w:hAnsi="SimSun" w:hint="eastAsia"/>
          <w:sz w:val="21"/>
        </w:rPr>
        <w:t>.</w:t>
      </w:r>
      <w:r w:rsidRPr="00464193">
        <w:rPr>
          <w:rFonts w:ascii="SimSun" w:hAnsi="SimSun" w:hint="eastAsia"/>
          <w:sz w:val="21"/>
        </w:rPr>
        <w:t>中所载的</w:t>
      </w:r>
      <w:r w:rsidRPr="00AC57EC">
        <w:rPr>
          <w:rFonts w:ascii="SimSun" w:hAnsi="SimSun" w:hint="eastAsia"/>
          <w:sz w:val="21"/>
        </w:rPr>
        <w:t>文件修订版，并要求秘书处开始执行该决定。</w:t>
      </w:r>
    </w:p>
    <w:p w14:paraId="403DD412" w14:textId="77777777" w:rsidR="00E726C8" w:rsidRPr="00443197" w:rsidRDefault="00E726C8" w:rsidP="00135509">
      <w:pPr>
        <w:pStyle w:val="ListParagraph"/>
        <w:numPr>
          <w:ilvl w:val="0"/>
          <w:numId w:val="24"/>
        </w:numPr>
        <w:overflowPunct w:val="0"/>
        <w:spacing w:afterLines="50" w:after="120" w:line="340" w:lineRule="atLeast"/>
        <w:ind w:left="0" w:firstLine="0"/>
        <w:contextualSpacing w:val="0"/>
        <w:jc w:val="both"/>
        <w:rPr>
          <w:rFonts w:ascii="SimSun" w:hAnsi="SimSun"/>
          <w:bCs/>
          <w:sz w:val="21"/>
        </w:rPr>
      </w:pPr>
      <w:r w:rsidRPr="00D819B3">
        <w:rPr>
          <w:rFonts w:ascii="SimSun" w:hAnsi="SimSun" w:hint="eastAsia"/>
          <w:bCs/>
          <w:sz w:val="21"/>
          <w:szCs w:val="22"/>
        </w:rPr>
        <w:t>在议程第</w:t>
      </w:r>
      <w:r>
        <w:rPr>
          <w:rFonts w:ascii="SimSun" w:hAnsi="SimSun"/>
          <w:bCs/>
          <w:sz w:val="21"/>
          <w:szCs w:val="22"/>
        </w:rPr>
        <w:t>6</w:t>
      </w:r>
      <w:r w:rsidRPr="00D819B3">
        <w:rPr>
          <w:rFonts w:ascii="SimSun" w:hAnsi="SimSun" w:hint="eastAsia"/>
          <w:bCs/>
          <w:sz w:val="21"/>
          <w:szCs w:val="22"/>
        </w:rPr>
        <w:t>项下，委员会审议了以下方面：</w:t>
      </w:r>
    </w:p>
    <w:p w14:paraId="1EFD8823" w14:textId="77777777" w:rsidR="00E726C8" w:rsidRPr="00443197" w:rsidRDefault="00E726C8" w:rsidP="00E726C8">
      <w:pPr>
        <w:pStyle w:val="ListParagraph"/>
        <w:numPr>
          <w:ilvl w:val="1"/>
          <w:numId w:val="18"/>
        </w:numPr>
        <w:overflowPunct w:val="0"/>
        <w:spacing w:afterLines="50" w:after="120" w:line="340" w:lineRule="atLeast"/>
        <w:ind w:left="567" w:firstLine="0"/>
        <w:contextualSpacing w:val="0"/>
        <w:jc w:val="both"/>
        <w:rPr>
          <w:rFonts w:ascii="SimSun" w:hAnsi="SimSun"/>
          <w:bCs/>
          <w:sz w:val="21"/>
        </w:rPr>
      </w:pPr>
      <w:r w:rsidRPr="00443197">
        <w:rPr>
          <w:rFonts w:ascii="SimSun" w:hAnsi="SimSun" w:hint="eastAsia"/>
          <w:sz w:val="21"/>
        </w:rPr>
        <w:t>文件CDIP/29/6中所载的“已通过的独立审查建议的实施情况——秘书处更新的提案和成员国的意见”。委员会</w:t>
      </w:r>
      <w:r w:rsidRPr="00561FC4">
        <w:rPr>
          <w:rFonts w:ascii="SimSun" w:hAnsi="SimSun" w:hint="eastAsia"/>
          <w:bCs/>
          <w:sz w:val="21"/>
        </w:rPr>
        <w:t>决定在下届会议上继续讨论秘书处提议的实施战略1和南非代表团提议的实施战略16</w:t>
      </w:r>
      <w:r>
        <w:rPr>
          <w:rFonts w:ascii="SimSun" w:hAnsi="SimSun" w:hint="eastAsia"/>
          <w:bCs/>
          <w:sz w:val="21"/>
        </w:rPr>
        <w:t>。</w:t>
      </w:r>
    </w:p>
    <w:p w14:paraId="7F5C7922" w14:textId="77777777" w:rsidR="00E726C8" w:rsidRPr="00443197" w:rsidRDefault="00E726C8" w:rsidP="00E726C8">
      <w:pPr>
        <w:pStyle w:val="ListParagraph"/>
        <w:numPr>
          <w:ilvl w:val="1"/>
          <w:numId w:val="18"/>
        </w:numPr>
        <w:overflowPunct w:val="0"/>
        <w:spacing w:afterLines="50" w:after="120" w:line="340" w:lineRule="atLeast"/>
        <w:ind w:left="567" w:firstLine="0"/>
        <w:contextualSpacing w:val="0"/>
        <w:jc w:val="both"/>
        <w:rPr>
          <w:rFonts w:ascii="SimSun" w:hAnsi="SimSun"/>
          <w:bCs/>
          <w:sz w:val="21"/>
        </w:rPr>
      </w:pPr>
      <w:r w:rsidRPr="00464193">
        <w:rPr>
          <w:rFonts w:ascii="SimSun" w:hAnsi="SimSun" w:hint="eastAsia"/>
          <w:sz w:val="21"/>
        </w:rPr>
        <w:t>文件CDIP/</w:t>
      </w:r>
      <w:r>
        <w:rPr>
          <w:rFonts w:ascii="SimSun" w:hAnsi="SimSun"/>
          <w:sz w:val="21"/>
        </w:rPr>
        <w:t>30</w:t>
      </w:r>
      <w:r w:rsidRPr="00464193">
        <w:rPr>
          <w:rFonts w:ascii="SimSun" w:hAnsi="SimSun" w:hint="eastAsia"/>
          <w:sz w:val="21"/>
        </w:rPr>
        <w:t>/</w:t>
      </w:r>
      <w:r>
        <w:rPr>
          <w:rFonts w:ascii="SimSun" w:hAnsi="SimSun"/>
          <w:sz w:val="21"/>
        </w:rPr>
        <w:t>3</w:t>
      </w:r>
      <w:r w:rsidRPr="00464193">
        <w:rPr>
          <w:rFonts w:ascii="SimSun" w:hAnsi="SimSun" w:hint="eastAsia"/>
          <w:sz w:val="21"/>
        </w:rPr>
        <w:t>中所载的</w:t>
      </w:r>
      <w:r>
        <w:rPr>
          <w:rFonts w:ascii="SimSun" w:hAnsi="SimSun" w:hint="eastAsia"/>
          <w:sz w:val="21"/>
        </w:rPr>
        <w:t>“</w:t>
      </w:r>
      <w:r w:rsidRPr="00C041F9">
        <w:rPr>
          <w:rFonts w:ascii="SimSun" w:hAnsi="SimSun" w:hint="eastAsia"/>
          <w:sz w:val="21"/>
        </w:rPr>
        <w:t>对产权组织在合作促进发展领域开展的技术援助进行独立外部审查的职责范围</w:t>
      </w:r>
      <w:r>
        <w:rPr>
          <w:rFonts w:ascii="SimSun" w:hAnsi="SimSun" w:hint="eastAsia"/>
          <w:sz w:val="21"/>
        </w:rPr>
        <w:t>”。</w:t>
      </w:r>
      <w:r w:rsidRPr="006A6EE8">
        <w:rPr>
          <w:rFonts w:ascii="SimSun" w:hAnsi="SimSun" w:hint="eastAsia"/>
          <w:sz w:val="21"/>
        </w:rPr>
        <w:t>委员会</w:t>
      </w:r>
      <w:r>
        <w:rPr>
          <w:rFonts w:ascii="SimSun" w:hAnsi="SimSun" w:hint="eastAsia"/>
          <w:sz w:val="21"/>
        </w:rPr>
        <w:t>通过了</w:t>
      </w:r>
      <w:r w:rsidRPr="00464193">
        <w:rPr>
          <w:rFonts w:ascii="SimSun" w:hAnsi="SimSun" w:hint="eastAsia"/>
          <w:sz w:val="21"/>
        </w:rPr>
        <w:t>文件CDIP/</w:t>
      </w:r>
      <w:r>
        <w:rPr>
          <w:rFonts w:ascii="SimSun" w:hAnsi="SimSun"/>
          <w:sz w:val="21"/>
        </w:rPr>
        <w:t>30</w:t>
      </w:r>
      <w:r w:rsidRPr="00464193">
        <w:rPr>
          <w:rFonts w:ascii="SimSun" w:hAnsi="SimSun" w:hint="eastAsia"/>
          <w:sz w:val="21"/>
        </w:rPr>
        <w:t>/</w:t>
      </w:r>
      <w:r>
        <w:rPr>
          <w:rFonts w:ascii="SimSun" w:hAnsi="SimSun"/>
          <w:sz w:val="21"/>
        </w:rPr>
        <w:t>3</w:t>
      </w:r>
      <w:r w:rsidRPr="00464193">
        <w:rPr>
          <w:rFonts w:ascii="SimSun" w:hAnsi="SimSun" w:hint="eastAsia"/>
          <w:sz w:val="21"/>
        </w:rPr>
        <w:t>中所载的</w:t>
      </w:r>
      <w:r w:rsidRPr="00C041F9">
        <w:rPr>
          <w:rFonts w:ascii="SimSun" w:hAnsi="SimSun" w:hint="eastAsia"/>
          <w:sz w:val="21"/>
        </w:rPr>
        <w:t>职责范围</w:t>
      </w:r>
      <w:r>
        <w:rPr>
          <w:rFonts w:ascii="SimSun" w:hAnsi="SimSun" w:hint="eastAsia"/>
          <w:sz w:val="21"/>
        </w:rPr>
        <w:t>。</w:t>
      </w:r>
      <w:r w:rsidRPr="006A6EE8">
        <w:rPr>
          <w:rFonts w:ascii="SimSun" w:hAnsi="SimSun" w:hint="eastAsia"/>
          <w:sz w:val="21"/>
        </w:rPr>
        <w:t>秘书处</w:t>
      </w:r>
      <w:r>
        <w:rPr>
          <w:rFonts w:ascii="SimSun" w:hAnsi="SimSun" w:hint="eastAsia"/>
          <w:sz w:val="21"/>
        </w:rPr>
        <w:t>被要求从20</w:t>
      </w:r>
      <w:r>
        <w:rPr>
          <w:rFonts w:ascii="SimSun" w:hAnsi="SimSun"/>
          <w:sz w:val="21"/>
        </w:rPr>
        <w:t>23</w:t>
      </w:r>
      <w:r>
        <w:rPr>
          <w:rFonts w:ascii="SimSun" w:hAnsi="SimSun" w:hint="eastAsia"/>
          <w:sz w:val="21"/>
        </w:rPr>
        <w:t>年第四季度起开始实施该</w:t>
      </w:r>
      <w:r w:rsidRPr="00C041F9">
        <w:rPr>
          <w:rFonts w:ascii="SimSun" w:hAnsi="SimSun" w:hint="eastAsia"/>
          <w:sz w:val="21"/>
        </w:rPr>
        <w:t>审查</w:t>
      </w:r>
      <w:r w:rsidRPr="006A6EE8">
        <w:rPr>
          <w:rFonts w:ascii="SimSun" w:hAnsi="SimSun" w:hint="eastAsia"/>
          <w:sz w:val="21"/>
        </w:rPr>
        <w:t>。</w:t>
      </w:r>
    </w:p>
    <w:p w14:paraId="19A00610" w14:textId="77777777" w:rsidR="00E726C8" w:rsidRPr="00443197" w:rsidRDefault="00E726C8" w:rsidP="00E726C8">
      <w:pPr>
        <w:pStyle w:val="ListParagraph"/>
        <w:numPr>
          <w:ilvl w:val="1"/>
          <w:numId w:val="18"/>
        </w:numPr>
        <w:overflowPunct w:val="0"/>
        <w:spacing w:afterLines="50" w:after="120" w:line="340" w:lineRule="atLeast"/>
        <w:ind w:left="567" w:firstLine="0"/>
        <w:contextualSpacing w:val="0"/>
        <w:jc w:val="both"/>
        <w:rPr>
          <w:rFonts w:ascii="SimSun" w:hAnsi="SimSun"/>
          <w:bCs/>
          <w:sz w:val="21"/>
        </w:rPr>
      </w:pPr>
      <w:r w:rsidRPr="00F16B77">
        <w:rPr>
          <w:rFonts w:ascii="SimSun" w:hAnsi="SimSun" w:hint="eastAsia"/>
          <w:sz w:val="21"/>
        </w:rPr>
        <w:t>文件CDIP/</w:t>
      </w:r>
      <w:r w:rsidRPr="00F16B77">
        <w:rPr>
          <w:rFonts w:ascii="SimSun" w:hAnsi="SimSun"/>
          <w:sz w:val="21"/>
        </w:rPr>
        <w:t>30</w:t>
      </w:r>
      <w:r w:rsidRPr="00F16B77">
        <w:rPr>
          <w:rFonts w:ascii="SimSun" w:hAnsi="SimSun" w:hint="eastAsia"/>
          <w:sz w:val="21"/>
        </w:rPr>
        <w:t>/</w:t>
      </w:r>
      <w:r w:rsidRPr="00F16B77">
        <w:rPr>
          <w:rFonts w:ascii="SimSun" w:hAnsi="SimSun"/>
          <w:sz w:val="21"/>
        </w:rPr>
        <w:t>4</w:t>
      </w:r>
      <w:r w:rsidRPr="00F16B77">
        <w:rPr>
          <w:rFonts w:ascii="SimSun" w:hAnsi="SimSun" w:hint="eastAsia"/>
          <w:sz w:val="21"/>
        </w:rPr>
        <w:t>中所载的“肯尼亚提交的关于制定战略和工具以解决非洲数字市场的在线版权盗版问题的项目提案”。</w:t>
      </w:r>
      <w:r>
        <w:rPr>
          <w:rFonts w:ascii="SimSun" w:hAnsi="SimSun" w:hint="eastAsia"/>
          <w:sz w:val="21"/>
        </w:rPr>
        <w:t>按</w:t>
      </w:r>
      <w:r w:rsidRPr="00100226">
        <w:rPr>
          <w:rFonts w:ascii="SimSun" w:hAnsi="SimSun" w:hint="eastAsia"/>
          <w:sz w:val="21"/>
        </w:rPr>
        <w:t>成员国的</w:t>
      </w:r>
      <w:r>
        <w:rPr>
          <w:rFonts w:ascii="SimSun" w:hAnsi="SimSun" w:hint="eastAsia"/>
          <w:sz w:val="21"/>
        </w:rPr>
        <w:t>建议</w:t>
      </w:r>
      <w:r w:rsidRPr="00100226">
        <w:rPr>
          <w:rFonts w:ascii="SimSun" w:hAnsi="SimSun" w:hint="eastAsia"/>
          <w:sz w:val="21"/>
        </w:rPr>
        <w:t>修改</w:t>
      </w:r>
      <w:r>
        <w:rPr>
          <w:rFonts w:ascii="SimSun" w:hAnsi="SimSun" w:hint="eastAsia"/>
          <w:sz w:val="21"/>
        </w:rPr>
        <w:t>后，</w:t>
      </w:r>
      <w:r w:rsidRPr="00F16B77">
        <w:rPr>
          <w:rFonts w:ascii="SimSun" w:hAnsi="SimSun" w:hint="eastAsia"/>
          <w:sz w:val="21"/>
        </w:rPr>
        <w:t>委员会</w:t>
      </w:r>
      <w:r w:rsidRPr="00100226">
        <w:rPr>
          <w:rFonts w:ascii="SimSun" w:hAnsi="SimSun" w:hint="eastAsia"/>
          <w:sz w:val="21"/>
        </w:rPr>
        <w:t>批准了</w:t>
      </w:r>
      <w:r>
        <w:rPr>
          <w:rFonts w:ascii="SimSun" w:hAnsi="SimSun" w:hint="eastAsia"/>
          <w:sz w:val="21"/>
        </w:rPr>
        <w:t>文件</w:t>
      </w:r>
      <w:r w:rsidRPr="00100226">
        <w:rPr>
          <w:rFonts w:ascii="SimSun" w:hAnsi="SimSun" w:hint="eastAsia"/>
          <w:sz w:val="21"/>
        </w:rPr>
        <w:t>CDIP/30/4 R</w:t>
      </w:r>
      <w:r>
        <w:rPr>
          <w:rFonts w:ascii="SimSun" w:hAnsi="SimSun"/>
          <w:sz w:val="21"/>
        </w:rPr>
        <w:t>ev</w:t>
      </w:r>
      <w:r w:rsidRPr="00100226">
        <w:rPr>
          <w:rFonts w:ascii="SimSun" w:hAnsi="SimSun" w:hint="eastAsia"/>
          <w:sz w:val="21"/>
        </w:rPr>
        <w:t>.</w:t>
      </w:r>
      <w:r>
        <w:rPr>
          <w:rFonts w:ascii="SimSun" w:hAnsi="SimSun" w:hint="eastAsia"/>
          <w:sz w:val="21"/>
        </w:rPr>
        <w:t>中所载的</w:t>
      </w:r>
      <w:r w:rsidRPr="00100226">
        <w:rPr>
          <w:rFonts w:ascii="SimSun" w:hAnsi="SimSun" w:hint="eastAsia"/>
          <w:sz w:val="21"/>
        </w:rPr>
        <w:t>项目</w:t>
      </w:r>
      <w:r>
        <w:rPr>
          <w:rFonts w:ascii="SimSun" w:hAnsi="SimSun" w:hint="eastAsia"/>
          <w:sz w:val="21"/>
        </w:rPr>
        <w:t>，</w:t>
      </w:r>
      <w:r w:rsidRPr="00100226">
        <w:rPr>
          <w:rFonts w:ascii="SimSun" w:hAnsi="SimSun" w:hint="eastAsia"/>
          <w:sz w:val="21"/>
        </w:rPr>
        <w:t>并要求秘书处开始实施。</w:t>
      </w:r>
    </w:p>
    <w:p w14:paraId="2B155F44" w14:textId="77777777" w:rsidR="00E726C8" w:rsidRPr="00443197" w:rsidRDefault="00E726C8" w:rsidP="00E726C8">
      <w:pPr>
        <w:pStyle w:val="ListParagraph"/>
        <w:numPr>
          <w:ilvl w:val="1"/>
          <w:numId w:val="18"/>
        </w:numPr>
        <w:overflowPunct w:val="0"/>
        <w:spacing w:afterLines="50" w:after="120" w:line="340" w:lineRule="atLeast"/>
        <w:ind w:left="567" w:firstLine="0"/>
        <w:contextualSpacing w:val="0"/>
        <w:jc w:val="both"/>
        <w:rPr>
          <w:rFonts w:ascii="SimSun" w:hAnsi="SimSun"/>
          <w:bCs/>
          <w:sz w:val="21"/>
        </w:rPr>
      </w:pPr>
      <w:r w:rsidRPr="00F16B77">
        <w:rPr>
          <w:rFonts w:ascii="SimSun" w:hAnsi="SimSun" w:hint="eastAsia"/>
          <w:sz w:val="21"/>
        </w:rPr>
        <w:t>文件CDIP/</w:t>
      </w:r>
      <w:r w:rsidRPr="00F16B77">
        <w:rPr>
          <w:rFonts w:ascii="SimSun" w:hAnsi="SimSun"/>
          <w:sz w:val="21"/>
        </w:rPr>
        <w:t>30</w:t>
      </w:r>
      <w:r w:rsidRPr="00F16B77">
        <w:rPr>
          <w:rFonts w:ascii="SimSun" w:hAnsi="SimSun" w:hint="eastAsia"/>
          <w:sz w:val="21"/>
        </w:rPr>
        <w:t>/</w:t>
      </w:r>
      <w:r w:rsidRPr="00F16B77">
        <w:rPr>
          <w:rFonts w:ascii="SimSun" w:hAnsi="SimSun"/>
          <w:sz w:val="21"/>
        </w:rPr>
        <w:t>7</w:t>
      </w:r>
      <w:r w:rsidRPr="00F16B77">
        <w:rPr>
          <w:rFonts w:ascii="SimSun" w:hAnsi="SimSun" w:hint="eastAsia"/>
          <w:sz w:val="21"/>
        </w:rPr>
        <w:t>中所载的“秘鲁及其他发展中国家的知识产权与美食旅游业：通过知识产权促进美食旅游业发展</w:t>
      </w:r>
      <w:r w:rsidRPr="00443197">
        <w:rPr>
          <w:rFonts w:ascii="SimSun" w:hAnsi="SimSun" w:hint="eastAsia"/>
          <w:bCs/>
          <w:sz w:val="21"/>
        </w:rPr>
        <w:t>项目</w:t>
      </w:r>
      <w:r w:rsidRPr="00F16B77">
        <w:rPr>
          <w:rFonts w:ascii="SimSun" w:hAnsi="SimSun" w:hint="eastAsia"/>
          <w:sz w:val="21"/>
        </w:rPr>
        <w:t>——第二阶段——秘鲁、喀麦隆、马来西亚和摩洛哥提交的项目提案”。</w:t>
      </w:r>
      <w:r>
        <w:rPr>
          <w:rFonts w:ascii="SimSun" w:hAnsi="SimSun" w:hint="eastAsia"/>
          <w:sz w:val="21"/>
        </w:rPr>
        <w:t>按</w:t>
      </w:r>
      <w:r w:rsidRPr="00100226">
        <w:rPr>
          <w:rFonts w:ascii="SimSun" w:hAnsi="SimSun" w:hint="eastAsia"/>
          <w:sz w:val="21"/>
        </w:rPr>
        <w:t>成员国的</w:t>
      </w:r>
      <w:r>
        <w:rPr>
          <w:rFonts w:ascii="SimSun" w:hAnsi="SimSun" w:hint="eastAsia"/>
          <w:sz w:val="21"/>
        </w:rPr>
        <w:t>建议作了</w:t>
      </w:r>
      <w:r w:rsidRPr="00CF791F">
        <w:rPr>
          <w:rFonts w:ascii="SimSun" w:hAnsi="SimSun" w:hint="eastAsia"/>
          <w:sz w:val="21"/>
        </w:rPr>
        <w:t>一些</w:t>
      </w:r>
      <w:r w:rsidRPr="00100226">
        <w:rPr>
          <w:rFonts w:ascii="SimSun" w:hAnsi="SimSun" w:hint="eastAsia"/>
          <w:sz w:val="21"/>
        </w:rPr>
        <w:t>修改</w:t>
      </w:r>
      <w:r>
        <w:rPr>
          <w:rFonts w:ascii="SimSun" w:hAnsi="SimSun" w:hint="eastAsia"/>
          <w:sz w:val="21"/>
        </w:rPr>
        <w:t>后，</w:t>
      </w:r>
      <w:r w:rsidRPr="00F16B77">
        <w:rPr>
          <w:rFonts w:ascii="SimSun" w:hAnsi="SimSun" w:hint="eastAsia"/>
          <w:sz w:val="21"/>
        </w:rPr>
        <w:t>委员会</w:t>
      </w:r>
      <w:r w:rsidRPr="00100226">
        <w:rPr>
          <w:rFonts w:ascii="SimSun" w:hAnsi="SimSun" w:hint="eastAsia"/>
          <w:sz w:val="21"/>
        </w:rPr>
        <w:t>批准了</w:t>
      </w:r>
      <w:r>
        <w:rPr>
          <w:rFonts w:ascii="SimSun" w:hAnsi="SimSun" w:hint="eastAsia"/>
          <w:sz w:val="21"/>
        </w:rPr>
        <w:t>文件</w:t>
      </w:r>
      <w:r w:rsidRPr="00CF791F">
        <w:rPr>
          <w:rFonts w:ascii="SimSun" w:hAnsi="SimSun" w:hint="eastAsia"/>
          <w:sz w:val="21"/>
        </w:rPr>
        <w:t>CDIP/30/7 R</w:t>
      </w:r>
      <w:r>
        <w:rPr>
          <w:rFonts w:ascii="SimSun" w:hAnsi="SimSun"/>
          <w:sz w:val="21"/>
        </w:rPr>
        <w:t>ev.</w:t>
      </w:r>
      <w:r w:rsidRPr="00CF791F">
        <w:rPr>
          <w:rFonts w:ascii="SimSun" w:hAnsi="SimSun" w:hint="eastAsia"/>
          <w:sz w:val="21"/>
        </w:rPr>
        <w:t>中</w:t>
      </w:r>
      <w:r>
        <w:rPr>
          <w:rFonts w:ascii="SimSun" w:hAnsi="SimSun" w:hint="eastAsia"/>
          <w:sz w:val="21"/>
        </w:rPr>
        <w:t>所载的</w:t>
      </w:r>
      <w:r w:rsidRPr="00CF791F">
        <w:rPr>
          <w:rFonts w:ascii="SimSun" w:hAnsi="SimSun" w:hint="eastAsia"/>
          <w:sz w:val="21"/>
        </w:rPr>
        <w:t>第二阶段的提案。</w:t>
      </w:r>
    </w:p>
    <w:p w14:paraId="6DF48A2B" w14:textId="77777777" w:rsidR="00E726C8" w:rsidRPr="00443197" w:rsidRDefault="00E726C8" w:rsidP="00E726C8">
      <w:pPr>
        <w:pStyle w:val="ListParagraph"/>
        <w:numPr>
          <w:ilvl w:val="1"/>
          <w:numId w:val="18"/>
        </w:numPr>
        <w:overflowPunct w:val="0"/>
        <w:spacing w:afterLines="50" w:after="120" w:line="340" w:lineRule="atLeast"/>
        <w:ind w:left="567" w:firstLine="0"/>
        <w:contextualSpacing w:val="0"/>
        <w:jc w:val="both"/>
        <w:rPr>
          <w:rFonts w:ascii="SimSun" w:hAnsi="SimSun"/>
          <w:bCs/>
          <w:sz w:val="21"/>
        </w:rPr>
      </w:pPr>
      <w:r w:rsidRPr="00464193">
        <w:rPr>
          <w:rFonts w:ascii="SimSun" w:hAnsi="SimSun" w:hint="eastAsia"/>
          <w:sz w:val="21"/>
        </w:rPr>
        <w:lastRenderedPageBreak/>
        <w:t>文件CDIP/</w:t>
      </w:r>
      <w:r>
        <w:rPr>
          <w:rFonts w:ascii="SimSun" w:hAnsi="SimSun"/>
          <w:sz w:val="21"/>
        </w:rPr>
        <w:t>30</w:t>
      </w:r>
      <w:r w:rsidRPr="00464193">
        <w:rPr>
          <w:rFonts w:ascii="SimSun" w:hAnsi="SimSun" w:hint="eastAsia"/>
          <w:sz w:val="21"/>
        </w:rPr>
        <w:t>/</w:t>
      </w:r>
      <w:r>
        <w:rPr>
          <w:rFonts w:ascii="SimSun" w:hAnsi="SimSun"/>
          <w:sz w:val="21"/>
        </w:rPr>
        <w:t>9</w:t>
      </w:r>
      <w:r w:rsidRPr="00464193">
        <w:rPr>
          <w:rFonts w:ascii="SimSun" w:hAnsi="SimSun" w:hint="eastAsia"/>
          <w:sz w:val="21"/>
        </w:rPr>
        <w:t>中所载的</w:t>
      </w:r>
      <w:r>
        <w:rPr>
          <w:rFonts w:ascii="SimSun" w:hAnsi="SimSun" w:hint="eastAsia"/>
          <w:sz w:val="21"/>
        </w:rPr>
        <w:t>“</w:t>
      </w:r>
      <w:r w:rsidRPr="00C041F9">
        <w:rPr>
          <w:rFonts w:ascii="SimSun" w:hAnsi="SimSun" w:hint="eastAsia"/>
          <w:sz w:val="21"/>
        </w:rPr>
        <w:t>用文本和数据挖掘（TDM）支持非洲高校和其他研究型机构进行研究和创新试点项目——非洲集团提交的提案</w:t>
      </w:r>
      <w:r>
        <w:rPr>
          <w:rFonts w:ascii="SimSun" w:hAnsi="SimSun" w:hint="eastAsia"/>
          <w:sz w:val="21"/>
        </w:rPr>
        <w:t>”。</w:t>
      </w:r>
      <w:r w:rsidRPr="00100226">
        <w:rPr>
          <w:rFonts w:ascii="SimSun" w:hAnsi="SimSun" w:hint="eastAsia"/>
          <w:sz w:val="21"/>
        </w:rPr>
        <w:t>按成员国的建议修改后，委员会批准了文件CDIP/30/</w:t>
      </w:r>
      <w:r>
        <w:rPr>
          <w:rFonts w:ascii="SimSun" w:hAnsi="SimSun"/>
          <w:sz w:val="21"/>
        </w:rPr>
        <w:t>9</w:t>
      </w:r>
      <w:r w:rsidRPr="00100226">
        <w:rPr>
          <w:rFonts w:ascii="SimSun" w:hAnsi="SimSun" w:hint="eastAsia"/>
          <w:sz w:val="21"/>
        </w:rPr>
        <w:t xml:space="preserve"> Rev.中所载的项目，并要求秘书处开始实施。</w:t>
      </w:r>
    </w:p>
    <w:p w14:paraId="596584FD" w14:textId="77777777" w:rsidR="00E726C8" w:rsidRPr="00443197" w:rsidRDefault="00E726C8" w:rsidP="00E726C8">
      <w:pPr>
        <w:pStyle w:val="ListParagraph"/>
        <w:numPr>
          <w:ilvl w:val="1"/>
          <w:numId w:val="18"/>
        </w:numPr>
        <w:overflowPunct w:val="0"/>
        <w:spacing w:afterLines="50" w:after="120" w:line="340" w:lineRule="atLeast"/>
        <w:ind w:left="567" w:firstLine="0"/>
        <w:contextualSpacing w:val="0"/>
        <w:jc w:val="both"/>
        <w:rPr>
          <w:rFonts w:ascii="SimSun" w:hAnsi="SimSun"/>
          <w:bCs/>
          <w:sz w:val="21"/>
        </w:rPr>
      </w:pPr>
      <w:r w:rsidRPr="00464193">
        <w:rPr>
          <w:rFonts w:ascii="SimSun" w:hAnsi="SimSun" w:hint="eastAsia"/>
          <w:sz w:val="21"/>
        </w:rPr>
        <w:t>文件CDIP/</w:t>
      </w:r>
      <w:r>
        <w:rPr>
          <w:rFonts w:ascii="SimSun" w:hAnsi="SimSun"/>
          <w:sz w:val="21"/>
        </w:rPr>
        <w:t>30</w:t>
      </w:r>
      <w:r w:rsidRPr="00464193">
        <w:rPr>
          <w:rFonts w:ascii="SimSun" w:hAnsi="SimSun" w:hint="eastAsia"/>
          <w:sz w:val="21"/>
        </w:rPr>
        <w:t>/</w:t>
      </w:r>
      <w:r>
        <w:rPr>
          <w:rFonts w:ascii="SimSun" w:hAnsi="SimSun"/>
          <w:sz w:val="21"/>
        </w:rPr>
        <w:t>15</w:t>
      </w:r>
      <w:r w:rsidRPr="00464193">
        <w:rPr>
          <w:rFonts w:ascii="SimSun" w:hAnsi="SimSun" w:hint="eastAsia"/>
          <w:sz w:val="21"/>
        </w:rPr>
        <w:t>中所载的</w:t>
      </w:r>
      <w:r>
        <w:rPr>
          <w:rFonts w:ascii="SimSun" w:hAnsi="SimSun" w:hint="eastAsia"/>
          <w:sz w:val="21"/>
        </w:rPr>
        <w:t>“</w:t>
      </w:r>
      <w:r w:rsidRPr="00C041F9">
        <w:rPr>
          <w:rFonts w:ascii="SimSun" w:hAnsi="SimSun" w:hint="eastAsia"/>
          <w:sz w:val="21"/>
        </w:rPr>
        <w:t>关于为青年（K-12）赋能以便为更美好未来而创新的项目提案——美利坚合众国和大韩民国提交</w:t>
      </w:r>
      <w:r>
        <w:rPr>
          <w:rFonts w:ascii="SimSun" w:hAnsi="SimSun" w:hint="eastAsia"/>
          <w:sz w:val="21"/>
        </w:rPr>
        <w:t>”，</w:t>
      </w:r>
      <w:r w:rsidRPr="00303284">
        <w:rPr>
          <w:rFonts w:ascii="SimSun" w:hAnsi="SimSun" w:hint="eastAsia"/>
          <w:sz w:val="21"/>
        </w:rPr>
        <w:t>美国代表团所宣布，</w:t>
      </w:r>
      <w:r>
        <w:rPr>
          <w:rFonts w:ascii="SimSun" w:hAnsi="SimSun" w:hint="eastAsia"/>
          <w:sz w:val="21"/>
        </w:rPr>
        <w:t>加拿大成为共同提案国。</w:t>
      </w:r>
      <w:r w:rsidRPr="00100226">
        <w:rPr>
          <w:rFonts w:ascii="SimSun" w:hAnsi="SimSun" w:hint="eastAsia"/>
          <w:sz w:val="21"/>
        </w:rPr>
        <w:t>按成员国的建议修改后，委员会批准了文件CDIP/30/</w:t>
      </w:r>
      <w:r>
        <w:rPr>
          <w:rFonts w:ascii="SimSun" w:hAnsi="SimSun"/>
          <w:sz w:val="21"/>
        </w:rPr>
        <w:t>15</w:t>
      </w:r>
      <w:r w:rsidRPr="00100226">
        <w:rPr>
          <w:rFonts w:ascii="SimSun" w:hAnsi="SimSun" w:hint="eastAsia"/>
          <w:sz w:val="21"/>
        </w:rPr>
        <w:t xml:space="preserve"> Rev.中所载的项目，并要求秘书处开始实施。</w:t>
      </w:r>
    </w:p>
    <w:p w14:paraId="26ABB102" w14:textId="77777777" w:rsidR="00E726C8" w:rsidRPr="00443197" w:rsidRDefault="00E726C8" w:rsidP="00E726C8">
      <w:pPr>
        <w:pStyle w:val="ListParagraph"/>
        <w:numPr>
          <w:ilvl w:val="1"/>
          <w:numId w:val="18"/>
        </w:numPr>
        <w:overflowPunct w:val="0"/>
        <w:spacing w:afterLines="50" w:after="120" w:line="340" w:lineRule="atLeast"/>
        <w:ind w:left="567" w:firstLine="0"/>
        <w:contextualSpacing w:val="0"/>
        <w:jc w:val="both"/>
        <w:rPr>
          <w:rFonts w:ascii="SimSun" w:hAnsi="SimSun"/>
          <w:bCs/>
          <w:sz w:val="21"/>
        </w:rPr>
      </w:pPr>
      <w:r w:rsidRPr="00464193">
        <w:rPr>
          <w:rFonts w:ascii="SimSun" w:hAnsi="SimSun" w:hint="eastAsia"/>
          <w:sz w:val="21"/>
        </w:rPr>
        <w:t>文件CDIP/</w:t>
      </w:r>
      <w:r>
        <w:rPr>
          <w:rFonts w:ascii="SimSun" w:hAnsi="SimSun"/>
          <w:sz w:val="21"/>
        </w:rPr>
        <w:t>30</w:t>
      </w:r>
      <w:r w:rsidRPr="00464193">
        <w:rPr>
          <w:rFonts w:ascii="SimSun" w:hAnsi="SimSun" w:hint="eastAsia"/>
          <w:sz w:val="21"/>
        </w:rPr>
        <w:t>/</w:t>
      </w:r>
      <w:r>
        <w:rPr>
          <w:rFonts w:ascii="SimSun" w:hAnsi="SimSun" w:hint="eastAsia"/>
          <w:sz w:val="21"/>
        </w:rPr>
        <w:t>INF/</w:t>
      </w:r>
      <w:r w:rsidRPr="00464193">
        <w:rPr>
          <w:rFonts w:ascii="SimSun" w:hAnsi="SimSun" w:hint="eastAsia"/>
          <w:sz w:val="21"/>
        </w:rPr>
        <w:t>2中所载的</w:t>
      </w:r>
      <w:r>
        <w:rPr>
          <w:rFonts w:ascii="SimSun" w:hAnsi="SimSun" w:hint="eastAsia"/>
          <w:sz w:val="21"/>
        </w:rPr>
        <w:t>“</w:t>
      </w:r>
      <w:r w:rsidRPr="00C041F9">
        <w:rPr>
          <w:rFonts w:ascii="SimSun" w:hAnsi="SimSun" w:hint="eastAsia"/>
          <w:sz w:val="21"/>
        </w:rPr>
        <w:t>关于推动智利、印度尼西亚、阿拉伯联合酋长国和乌拉圭的创意产业在数字时代运用知识产权的范围界定研究报告内容提要</w:t>
      </w:r>
      <w:r>
        <w:rPr>
          <w:rFonts w:ascii="SimSun" w:hAnsi="SimSun" w:hint="eastAsia"/>
          <w:sz w:val="21"/>
        </w:rPr>
        <w:t>”。若干代表团表示了赞赏之后，</w:t>
      </w:r>
      <w:r w:rsidRPr="0032729B">
        <w:rPr>
          <w:rFonts w:ascii="SimSun" w:hAnsi="SimSun" w:hint="eastAsia"/>
          <w:sz w:val="21"/>
        </w:rPr>
        <w:t>委员会注意到该文件中</w:t>
      </w:r>
      <w:r>
        <w:rPr>
          <w:rFonts w:ascii="SimSun" w:hAnsi="SimSun" w:hint="eastAsia"/>
          <w:sz w:val="21"/>
        </w:rPr>
        <w:t>所载</w:t>
      </w:r>
      <w:r w:rsidRPr="0032729B">
        <w:rPr>
          <w:rFonts w:ascii="SimSun" w:hAnsi="SimSun" w:hint="eastAsia"/>
          <w:sz w:val="21"/>
        </w:rPr>
        <w:t>的信息。</w:t>
      </w:r>
    </w:p>
    <w:p w14:paraId="23B25E10" w14:textId="77777777" w:rsidR="00E726C8" w:rsidRPr="00443197" w:rsidRDefault="00E726C8" w:rsidP="00E726C8">
      <w:pPr>
        <w:pStyle w:val="ListParagraph"/>
        <w:numPr>
          <w:ilvl w:val="1"/>
          <w:numId w:val="18"/>
        </w:numPr>
        <w:overflowPunct w:val="0"/>
        <w:spacing w:afterLines="50" w:after="120" w:line="340" w:lineRule="atLeast"/>
        <w:ind w:left="567" w:firstLine="0"/>
        <w:contextualSpacing w:val="0"/>
        <w:jc w:val="both"/>
        <w:rPr>
          <w:rFonts w:ascii="SimSun" w:hAnsi="SimSun"/>
          <w:bCs/>
          <w:sz w:val="21"/>
        </w:rPr>
      </w:pPr>
      <w:r w:rsidRPr="00443197">
        <w:rPr>
          <w:rFonts w:ascii="SimSun" w:hAnsi="SimSun" w:hint="eastAsia"/>
          <w:sz w:val="21"/>
        </w:rPr>
        <w:t>秘书处关于“将当地企业集体商标注册作为跨领域经济发展问题”发展议程项目产出的演示报告。</w:t>
      </w:r>
      <w:r w:rsidRPr="0032729B">
        <w:rPr>
          <w:rFonts w:ascii="SimSun" w:hAnsi="SimSun" w:hint="eastAsia"/>
          <w:sz w:val="21"/>
        </w:rPr>
        <w:t>委员会</w:t>
      </w:r>
      <w:r>
        <w:rPr>
          <w:rFonts w:ascii="SimSun" w:hAnsi="SimSun" w:hint="eastAsia"/>
          <w:sz w:val="21"/>
        </w:rPr>
        <w:t>对项目实施及其交付表示赞赏，并</w:t>
      </w:r>
      <w:r w:rsidRPr="0032729B">
        <w:rPr>
          <w:rFonts w:ascii="SimSun" w:hAnsi="SimSun" w:hint="eastAsia"/>
          <w:sz w:val="21"/>
        </w:rPr>
        <w:t>注意到</w:t>
      </w:r>
      <w:r>
        <w:rPr>
          <w:rFonts w:ascii="SimSun" w:hAnsi="SimSun" w:hint="eastAsia"/>
          <w:sz w:val="21"/>
        </w:rPr>
        <w:t>演示报告中所载</w:t>
      </w:r>
      <w:r w:rsidRPr="0032729B">
        <w:rPr>
          <w:rFonts w:ascii="SimSun" w:hAnsi="SimSun" w:hint="eastAsia"/>
          <w:sz w:val="21"/>
        </w:rPr>
        <w:t>的信息。</w:t>
      </w:r>
    </w:p>
    <w:p w14:paraId="0CCF5878" w14:textId="77777777" w:rsidR="00E726C8" w:rsidRPr="00443197" w:rsidRDefault="00E726C8" w:rsidP="00135509">
      <w:pPr>
        <w:pStyle w:val="ListParagraph"/>
        <w:numPr>
          <w:ilvl w:val="0"/>
          <w:numId w:val="24"/>
        </w:numPr>
        <w:overflowPunct w:val="0"/>
        <w:spacing w:afterLines="50" w:after="120" w:line="340" w:lineRule="atLeast"/>
        <w:ind w:left="0" w:firstLine="0"/>
        <w:contextualSpacing w:val="0"/>
        <w:jc w:val="both"/>
        <w:rPr>
          <w:rFonts w:ascii="SimSun" w:hAnsi="SimSun"/>
          <w:bCs/>
          <w:sz w:val="21"/>
        </w:rPr>
      </w:pPr>
      <w:r w:rsidRPr="00D819B3">
        <w:rPr>
          <w:rFonts w:ascii="SimSun" w:hAnsi="SimSun" w:hint="eastAsia"/>
          <w:sz w:val="21"/>
        </w:rPr>
        <w:t>在议程第</w:t>
      </w:r>
      <w:r>
        <w:rPr>
          <w:rFonts w:ascii="SimSun" w:hAnsi="SimSun"/>
          <w:sz w:val="21"/>
        </w:rPr>
        <w:t>7</w:t>
      </w:r>
      <w:r w:rsidRPr="00D819B3">
        <w:rPr>
          <w:rFonts w:ascii="SimSun" w:hAnsi="SimSun" w:hint="eastAsia"/>
          <w:sz w:val="21"/>
        </w:rPr>
        <w:t>项“</w:t>
      </w:r>
      <w:r w:rsidRPr="00D819B3">
        <w:rPr>
          <w:rFonts w:ascii="SimSun" w:hAnsi="SimSun" w:hint="eastAsia"/>
          <w:sz w:val="21"/>
          <w:szCs w:val="22"/>
        </w:rPr>
        <w:t>知识产权与发展</w:t>
      </w:r>
      <w:r w:rsidRPr="00D819B3">
        <w:rPr>
          <w:rFonts w:ascii="SimSun" w:hAnsi="SimSun" w:hint="eastAsia"/>
          <w:sz w:val="21"/>
        </w:rPr>
        <w:t>”下</w:t>
      </w:r>
      <w:r>
        <w:rPr>
          <w:rFonts w:ascii="SimSun" w:hAnsi="SimSun" w:hint="eastAsia"/>
          <w:sz w:val="21"/>
          <w:szCs w:val="22"/>
        </w:rPr>
        <w:t>：</w:t>
      </w:r>
    </w:p>
    <w:p w14:paraId="0981A01B" w14:textId="77777777" w:rsidR="00E726C8" w:rsidRPr="00443197" w:rsidRDefault="00E726C8" w:rsidP="00E726C8">
      <w:pPr>
        <w:pStyle w:val="ListParagraph"/>
        <w:numPr>
          <w:ilvl w:val="1"/>
          <w:numId w:val="19"/>
        </w:numPr>
        <w:overflowPunct w:val="0"/>
        <w:spacing w:afterLines="50" w:after="120" w:line="340" w:lineRule="atLeast"/>
        <w:ind w:left="567" w:firstLine="0"/>
        <w:contextualSpacing w:val="0"/>
        <w:jc w:val="both"/>
        <w:rPr>
          <w:rFonts w:ascii="SimSun" w:hAnsi="SimSun"/>
          <w:sz w:val="21"/>
          <w:szCs w:val="22"/>
        </w:rPr>
      </w:pPr>
      <w:r w:rsidRPr="00D819B3">
        <w:rPr>
          <w:rFonts w:ascii="SimSun" w:hAnsi="SimSun" w:hint="eastAsia"/>
          <w:sz w:val="21"/>
        </w:rPr>
        <w:t>委员会讨论了议题“</w:t>
      </w:r>
      <w:r w:rsidRPr="00492355">
        <w:rPr>
          <w:rFonts w:ascii="SimSun" w:hAnsi="SimSun" w:hint="eastAsia"/>
          <w:sz w:val="21"/>
        </w:rPr>
        <w:t>知识产权与青年：投资未来</w:t>
      </w:r>
      <w:r w:rsidRPr="00D819B3">
        <w:rPr>
          <w:rFonts w:ascii="SimSun" w:hAnsi="SimSun" w:hint="eastAsia"/>
          <w:sz w:val="21"/>
          <w:szCs w:val="22"/>
        </w:rPr>
        <w:t>”</w:t>
      </w:r>
      <w:r>
        <w:rPr>
          <w:rFonts w:ascii="SimSun" w:hAnsi="SimSun" w:hint="eastAsia"/>
          <w:sz w:val="21"/>
          <w:szCs w:val="22"/>
        </w:rPr>
        <w:t>。</w:t>
      </w:r>
      <w:r w:rsidRPr="00B3416F">
        <w:rPr>
          <w:rFonts w:ascii="SimSun" w:hAnsi="SimSun" w:hint="eastAsia"/>
          <w:sz w:val="21"/>
          <w:szCs w:val="22"/>
        </w:rPr>
        <w:t>秘书处所作的</w:t>
      </w:r>
      <w:r>
        <w:rPr>
          <w:rFonts w:ascii="SimSun" w:hAnsi="SimSun" w:hint="eastAsia"/>
          <w:sz w:val="21"/>
          <w:szCs w:val="22"/>
        </w:rPr>
        <w:t>演示报告</w:t>
      </w:r>
      <w:r w:rsidRPr="00B3416F">
        <w:rPr>
          <w:rFonts w:ascii="SimSun" w:hAnsi="SimSun" w:hint="eastAsia"/>
          <w:sz w:val="21"/>
          <w:szCs w:val="22"/>
        </w:rPr>
        <w:t>得到了成员国的高度赞赏，</w:t>
      </w:r>
      <w:r w:rsidRPr="00B3416F">
        <w:rPr>
          <w:rFonts w:ascii="SimSun" w:hAnsi="SimSun" w:hint="eastAsia"/>
          <w:sz w:val="21"/>
        </w:rPr>
        <w:t>它们</w:t>
      </w:r>
      <w:r w:rsidRPr="00B3416F">
        <w:rPr>
          <w:rFonts w:ascii="SimSun" w:hAnsi="SimSun" w:hint="eastAsia"/>
          <w:sz w:val="21"/>
          <w:szCs w:val="22"/>
        </w:rPr>
        <w:t>要求</w:t>
      </w:r>
      <w:r>
        <w:rPr>
          <w:rFonts w:ascii="SimSun" w:hAnsi="SimSun" w:hint="eastAsia"/>
          <w:sz w:val="21"/>
          <w:szCs w:val="22"/>
        </w:rPr>
        <w:t>产权组织</w:t>
      </w:r>
      <w:r w:rsidRPr="00B3416F">
        <w:rPr>
          <w:rFonts w:ascii="SimSun" w:hAnsi="SimSun" w:hint="eastAsia"/>
          <w:sz w:val="21"/>
          <w:szCs w:val="22"/>
        </w:rPr>
        <w:t>提供</w:t>
      </w:r>
      <w:r>
        <w:rPr>
          <w:rFonts w:ascii="SimSun" w:hAnsi="SimSun" w:hint="eastAsia"/>
          <w:sz w:val="21"/>
          <w:szCs w:val="22"/>
        </w:rPr>
        <w:t>该报告</w:t>
      </w:r>
      <w:r w:rsidRPr="00B3416F">
        <w:rPr>
          <w:rFonts w:ascii="SimSun" w:hAnsi="SimSun" w:hint="eastAsia"/>
          <w:sz w:val="21"/>
          <w:szCs w:val="22"/>
        </w:rPr>
        <w:t>。</w:t>
      </w:r>
      <w:r>
        <w:rPr>
          <w:rFonts w:ascii="SimSun" w:hAnsi="SimSun" w:hint="eastAsia"/>
          <w:sz w:val="21"/>
          <w:szCs w:val="22"/>
        </w:rPr>
        <w:t>报告</w:t>
      </w:r>
      <w:r w:rsidRPr="00B3416F">
        <w:rPr>
          <w:rFonts w:ascii="SimSun" w:hAnsi="SimSun" w:hint="eastAsia"/>
          <w:sz w:val="21"/>
          <w:szCs w:val="22"/>
        </w:rPr>
        <w:t>结束后，各代表团介绍了各自国家的教育计划、项目和其他旨在增强青年利用知识产权进行创新和创造能力的倡议。成员国</w:t>
      </w:r>
      <w:r>
        <w:rPr>
          <w:rFonts w:ascii="SimSun" w:hAnsi="SimSun" w:hint="eastAsia"/>
          <w:sz w:val="21"/>
          <w:szCs w:val="22"/>
        </w:rPr>
        <w:t>指出</w:t>
      </w:r>
      <w:r w:rsidRPr="00B3416F">
        <w:rPr>
          <w:rFonts w:ascii="SimSun" w:hAnsi="SimSun" w:hint="eastAsia"/>
          <w:sz w:val="21"/>
          <w:szCs w:val="22"/>
        </w:rPr>
        <w:t>加强青年对知识产权的了解和认识的重要性，</w:t>
      </w:r>
      <w:r w:rsidRPr="00492355">
        <w:rPr>
          <w:rFonts w:ascii="SimSun" w:hAnsi="SimSun" w:hint="eastAsia"/>
          <w:sz w:val="21"/>
          <w:szCs w:val="22"/>
        </w:rPr>
        <w:t>并赞扬了</w:t>
      </w:r>
      <w:r>
        <w:rPr>
          <w:rFonts w:ascii="SimSun" w:hAnsi="SimSun" w:hint="eastAsia"/>
          <w:sz w:val="21"/>
          <w:szCs w:val="22"/>
        </w:rPr>
        <w:t>产权组织</w:t>
      </w:r>
      <w:r w:rsidRPr="00492355">
        <w:rPr>
          <w:rFonts w:ascii="SimSun" w:hAnsi="SimSun" w:hint="eastAsia"/>
          <w:sz w:val="21"/>
          <w:szCs w:val="22"/>
        </w:rPr>
        <w:t>在这一领域开展的工作。</w:t>
      </w:r>
    </w:p>
    <w:p w14:paraId="4CE7DB3D" w14:textId="77777777" w:rsidR="00E726C8" w:rsidRPr="00443197" w:rsidRDefault="00E726C8" w:rsidP="00E726C8">
      <w:pPr>
        <w:pStyle w:val="ListParagraph"/>
        <w:numPr>
          <w:ilvl w:val="1"/>
          <w:numId w:val="19"/>
        </w:numPr>
        <w:overflowPunct w:val="0"/>
        <w:spacing w:afterLines="50" w:after="120" w:line="340" w:lineRule="atLeast"/>
        <w:ind w:left="567" w:firstLine="0"/>
        <w:contextualSpacing w:val="0"/>
        <w:jc w:val="both"/>
        <w:rPr>
          <w:rFonts w:ascii="SimSun" w:hAnsi="SimSun"/>
          <w:sz w:val="21"/>
          <w:szCs w:val="22"/>
        </w:rPr>
      </w:pPr>
      <w:r>
        <w:rPr>
          <w:rFonts w:ascii="SimSun" w:hAnsi="SimSun" w:hint="eastAsia"/>
          <w:sz w:val="21"/>
        </w:rPr>
        <w:t>按委员会第二十六届会议的要求，</w:t>
      </w:r>
      <w:r w:rsidRPr="00443197">
        <w:rPr>
          <w:rFonts w:ascii="SimSun" w:hAnsi="SimSun" w:hint="eastAsia"/>
          <w:sz w:val="21"/>
        </w:rPr>
        <w:t>委员会再次讨论了</w:t>
      </w:r>
      <w:r w:rsidRPr="00443197">
        <w:rPr>
          <w:rFonts w:ascii="SimSun" w:hAnsi="SimSun" w:hint="eastAsia"/>
          <w:sz w:val="21"/>
          <w:szCs w:val="22"/>
        </w:rPr>
        <w:t>“妇女与知识产权”</w:t>
      </w:r>
      <w:r w:rsidRPr="00443197">
        <w:rPr>
          <w:rFonts w:ascii="SimSun" w:hAnsi="SimSun" w:hint="eastAsia"/>
          <w:sz w:val="21"/>
        </w:rPr>
        <w:t>议题。委员会审议了关于妇女与知识产权的以下报告：</w:t>
      </w:r>
    </w:p>
    <w:p w14:paraId="75D28C2C" w14:textId="77777777" w:rsidR="00E726C8" w:rsidRPr="00443197" w:rsidRDefault="00E726C8" w:rsidP="00E726C8">
      <w:pPr>
        <w:pStyle w:val="ListParagraph"/>
        <w:numPr>
          <w:ilvl w:val="0"/>
          <w:numId w:val="20"/>
        </w:numPr>
        <w:overflowPunct w:val="0"/>
        <w:spacing w:afterLines="50" w:after="120" w:line="340" w:lineRule="atLeast"/>
        <w:ind w:left="1701" w:hanging="567"/>
        <w:contextualSpacing w:val="0"/>
        <w:jc w:val="both"/>
        <w:rPr>
          <w:rFonts w:ascii="SimSun" w:hAnsi="SimSun"/>
          <w:sz w:val="21"/>
          <w:szCs w:val="22"/>
        </w:rPr>
      </w:pPr>
      <w:r w:rsidRPr="007E314D">
        <w:rPr>
          <w:rFonts w:ascii="SimSun" w:hAnsi="SimSun" w:hint="eastAsia"/>
          <w:sz w:val="21"/>
        </w:rPr>
        <w:t>文件CDIP/30/12中所载的“内部和外部活动、战略方向”。</w:t>
      </w:r>
      <w:r>
        <w:rPr>
          <w:rFonts w:ascii="SimSun" w:hAnsi="SimSun" w:hint="eastAsia"/>
          <w:sz w:val="21"/>
        </w:rPr>
        <w:t>委员会注意到文件中所载的信息。</w:t>
      </w:r>
      <w:r w:rsidRPr="007E314D">
        <w:rPr>
          <w:rFonts w:ascii="SimSun" w:hAnsi="SimSun" w:hint="eastAsia"/>
          <w:sz w:val="21"/>
        </w:rPr>
        <w:t>各代表团认识到，产权组织一直致力于将性别观点纳入整个组织，欢迎本组织新制定的知识产权与性别行动计划，指出在所有行业和地区建设女性企业家、创新者和创造者知识产权能力的重要性。各代表团鼓励秘书处继续在这一领域开展活动。</w:t>
      </w:r>
    </w:p>
    <w:p w14:paraId="29586C19" w14:textId="77777777" w:rsidR="00E726C8" w:rsidRPr="00443197" w:rsidRDefault="00E726C8" w:rsidP="00E726C8">
      <w:pPr>
        <w:pStyle w:val="ListParagraph"/>
        <w:numPr>
          <w:ilvl w:val="0"/>
          <w:numId w:val="20"/>
        </w:numPr>
        <w:overflowPunct w:val="0"/>
        <w:spacing w:afterLines="50" w:after="120" w:line="340" w:lineRule="atLeast"/>
        <w:ind w:left="1701" w:hanging="567"/>
        <w:contextualSpacing w:val="0"/>
        <w:jc w:val="both"/>
        <w:rPr>
          <w:rFonts w:ascii="SimSun" w:hAnsi="SimSun"/>
          <w:sz w:val="21"/>
          <w:szCs w:val="22"/>
        </w:rPr>
      </w:pPr>
      <w:r w:rsidRPr="007E314D">
        <w:rPr>
          <w:rFonts w:ascii="SimSun" w:hAnsi="SimSun" w:hint="eastAsia"/>
          <w:sz w:val="21"/>
        </w:rPr>
        <w:t>文件CDIP/30/13中所载的“数据汇编和分享”。委员会注意到该文件中所载的信息。各代表团强调在知识产权领域按性别分列准确数据的重要性，并分享了本国在此方面的经验。委员会鼓励秘书处继续在这一领域开展活动。</w:t>
      </w:r>
    </w:p>
    <w:p w14:paraId="4037B527" w14:textId="77777777" w:rsidR="00E726C8" w:rsidRPr="00D7304F" w:rsidRDefault="00E726C8" w:rsidP="00135509">
      <w:pPr>
        <w:pStyle w:val="ListParagraph"/>
        <w:numPr>
          <w:ilvl w:val="0"/>
          <w:numId w:val="24"/>
        </w:numPr>
        <w:overflowPunct w:val="0"/>
        <w:spacing w:afterLines="50" w:after="120" w:line="340" w:lineRule="atLeast"/>
        <w:ind w:left="0" w:firstLine="0"/>
        <w:contextualSpacing w:val="0"/>
        <w:jc w:val="both"/>
        <w:rPr>
          <w:rFonts w:ascii="SimSun" w:hAnsi="SimSun"/>
          <w:sz w:val="21"/>
        </w:rPr>
      </w:pPr>
      <w:r w:rsidRPr="00D819B3">
        <w:rPr>
          <w:rFonts w:ascii="SimSun" w:hAnsi="SimSun" w:hint="eastAsia"/>
          <w:sz w:val="21"/>
        </w:rPr>
        <w:t>在议程第</w:t>
      </w:r>
      <w:r>
        <w:rPr>
          <w:rFonts w:ascii="SimSun" w:hAnsi="SimSun"/>
          <w:sz w:val="21"/>
        </w:rPr>
        <w:t>8</w:t>
      </w:r>
      <w:r w:rsidRPr="00D819B3">
        <w:rPr>
          <w:rFonts w:ascii="SimSun" w:hAnsi="SimSun" w:hint="eastAsia"/>
          <w:sz w:val="21"/>
        </w:rPr>
        <w:t>项“未来工作”下，委员会就秘书处宣读的下届会议的议题和文件清单达成一致。</w:t>
      </w:r>
      <w:r w:rsidRPr="00D7304F">
        <w:rPr>
          <w:rFonts w:ascii="SimSun" w:hAnsi="SimSun" w:hint="eastAsia"/>
          <w:sz w:val="21"/>
        </w:rPr>
        <w:t>委员会特别就以下几点达成一致：</w:t>
      </w:r>
    </w:p>
    <w:p w14:paraId="342D6A3E" w14:textId="77777777" w:rsidR="00E726C8" w:rsidRPr="00D7304F" w:rsidRDefault="00E726C8" w:rsidP="00E726C8">
      <w:pPr>
        <w:pStyle w:val="ListParagraph"/>
        <w:numPr>
          <w:ilvl w:val="1"/>
          <w:numId w:val="20"/>
        </w:numPr>
        <w:overflowPunct w:val="0"/>
        <w:spacing w:afterLines="50" w:after="120" w:line="340" w:lineRule="atLeast"/>
        <w:ind w:left="924" w:hanging="357"/>
        <w:contextualSpacing w:val="0"/>
        <w:jc w:val="both"/>
        <w:rPr>
          <w:rFonts w:ascii="SimSun" w:hAnsi="SimSun"/>
          <w:sz w:val="21"/>
        </w:rPr>
      </w:pPr>
      <w:r w:rsidRPr="00D7304F">
        <w:rPr>
          <w:rFonts w:ascii="SimSun" w:hAnsi="SimSun" w:hint="eastAsia"/>
          <w:sz w:val="21"/>
        </w:rPr>
        <w:t>关于将在202</w:t>
      </w:r>
      <w:r>
        <w:rPr>
          <w:rFonts w:ascii="SimSun" w:hAnsi="SimSun"/>
          <w:sz w:val="21"/>
        </w:rPr>
        <w:t>5</w:t>
      </w:r>
      <w:r w:rsidRPr="00D7304F">
        <w:rPr>
          <w:rFonts w:ascii="SimSun" w:hAnsi="SimSun" w:hint="eastAsia"/>
          <w:sz w:val="21"/>
        </w:rPr>
        <w:t>年举行的知识产权与发展国际会议分议题的建议，应在2023年8月27日前送交秘书处。</w:t>
      </w:r>
    </w:p>
    <w:p w14:paraId="4D519487" w14:textId="77777777" w:rsidR="00E726C8" w:rsidRPr="00D7304F" w:rsidRDefault="00E726C8" w:rsidP="00E726C8">
      <w:pPr>
        <w:pStyle w:val="ListParagraph"/>
        <w:numPr>
          <w:ilvl w:val="1"/>
          <w:numId w:val="20"/>
        </w:numPr>
        <w:overflowPunct w:val="0"/>
        <w:spacing w:afterLines="50" w:after="120" w:line="340" w:lineRule="atLeast"/>
        <w:ind w:left="924" w:hanging="357"/>
        <w:contextualSpacing w:val="0"/>
        <w:jc w:val="both"/>
        <w:rPr>
          <w:rFonts w:ascii="SimSun" w:hAnsi="SimSun"/>
          <w:sz w:val="21"/>
        </w:rPr>
      </w:pPr>
      <w:r w:rsidRPr="00D7304F">
        <w:rPr>
          <w:rFonts w:ascii="SimSun" w:hAnsi="SimSun" w:hint="eastAsia"/>
          <w:sz w:val="21"/>
        </w:rPr>
        <w:t>关于委员会第三十一届会议之后在</w:t>
      </w:r>
      <w:r>
        <w:rPr>
          <w:rFonts w:ascii="SimSun" w:hAnsi="SimSun" w:hint="eastAsia"/>
          <w:sz w:val="21"/>
        </w:rPr>
        <w:t>“</w:t>
      </w:r>
      <w:r w:rsidRPr="00D7304F">
        <w:rPr>
          <w:rFonts w:ascii="SimSun" w:hAnsi="SimSun" w:hint="eastAsia"/>
          <w:sz w:val="21"/>
        </w:rPr>
        <w:t>知识产权与发展</w:t>
      </w:r>
      <w:r>
        <w:rPr>
          <w:rFonts w:ascii="SimSun" w:hAnsi="SimSun" w:hint="eastAsia"/>
          <w:sz w:val="21"/>
        </w:rPr>
        <w:t>”</w:t>
      </w:r>
      <w:r w:rsidRPr="00D7304F">
        <w:rPr>
          <w:rFonts w:ascii="SimSun" w:hAnsi="SimSun" w:hint="eastAsia"/>
          <w:sz w:val="21"/>
        </w:rPr>
        <w:t>议程项目下讨论的议题建议，应在2023年8月27日前送交秘书处。</w:t>
      </w:r>
    </w:p>
    <w:p w14:paraId="4DBBEE3C" w14:textId="77777777" w:rsidR="00E726C8" w:rsidRPr="00D7304F" w:rsidRDefault="00E726C8" w:rsidP="00E726C8">
      <w:pPr>
        <w:pStyle w:val="ListParagraph"/>
        <w:numPr>
          <w:ilvl w:val="1"/>
          <w:numId w:val="20"/>
        </w:numPr>
        <w:overflowPunct w:val="0"/>
        <w:spacing w:afterLines="50" w:after="120" w:line="340" w:lineRule="atLeast"/>
        <w:ind w:left="924" w:hanging="357"/>
        <w:contextualSpacing w:val="0"/>
        <w:jc w:val="both"/>
        <w:rPr>
          <w:rFonts w:ascii="SimSun" w:hAnsi="SimSun"/>
          <w:sz w:val="21"/>
        </w:rPr>
      </w:pPr>
      <w:r w:rsidRPr="00D7304F">
        <w:rPr>
          <w:rFonts w:ascii="SimSun" w:hAnsi="SimSun" w:hint="eastAsia"/>
          <w:sz w:val="21"/>
        </w:rPr>
        <w:t>秘书处告知，将在</w:t>
      </w:r>
      <w:r>
        <w:rPr>
          <w:rFonts w:ascii="SimSun" w:hAnsi="SimSun" w:hint="eastAsia"/>
          <w:sz w:val="21"/>
        </w:rPr>
        <w:t>“</w:t>
      </w:r>
      <w:r w:rsidRPr="00D7304F">
        <w:rPr>
          <w:rFonts w:ascii="SimSun" w:hAnsi="SimSun" w:hint="eastAsia"/>
          <w:sz w:val="21"/>
        </w:rPr>
        <w:t>知识产权与发展</w:t>
      </w:r>
      <w:r>
        <w:rPr>
          <w:rFonts w:ascii="SimSun" w:hAnsi="SimSun" w:hint="eastAsia"/>
          <w:sz w:val="21"/>
        </w:rPr>
        <w:t>”</w:t>
      </w:r>
      <w:r w:rsidRPr="00D7304F">
        <w:rPr>
          <w:rFonts w:ascii="SimSun" w:hAnsi="SimSun" w:hint="eastAsia"/>
          <w:sz w:val="21"/>
        </w:rPr>
        <w:t>议程项目下讨论的下一个议题是</w:t>
      </w:r>
      <w:r>
        <w:rPr>
          <w:rFonts w:ascii="SimSun" w:hAnsi="SimSun" w:hint="eastAsia"/>
          <w:sz w:val="21"/>
        </w:rPr>
        <w:t>“</w:t>
      </w:r>
      <w:r w:rsidRPr="00D7304F">
        <w:rPr>
          <w:rFonts w:ascii="SimSun" w:hAnsi="SimSun" w:hint="eastAsia"/>
          <w:sz w:val="21"/>
        </w:rPr>
        <w:t>应对气候变化挑战：知识产权助力实现‘双碳’目标”。在此背景下，成员国商定如下</w:t>
      </w:r>
      <w:r>
        <w:rPr>
          <w:rFonts w:ascii="SimSun" w:hAnsi="SimSun" w:hint="eastAsia"/>
          <w:sz w:val="21"/>
        </w:rPr>
        <w:t>：</w:t>
      </w:r>
    </w:p>
    <w:p w14:paraId="3DAF62EA" w14:textId="77777777" w:rsidR="00E726C8" w:rsidRPr="00D7304F" w:rsidRDefault="00E726C8" w:rsidP="00E726C8">
      <w:pPr>
        <w:overflowPunct w:val="0"/>
        <w:spacing w:afterLines="50" w:after="120" w:line="340" w:lineRule="atLeast"/>
        <w:ind w:left="924"/>
        <w:jc w:val="both"/>
        <w:rPr>
          <w:rFonts w:ascii="SimSun" w:hAnsi="SimSun"/>
          <w:bCs/>
          <w:sz w:val="21"/>
        </w:rPr>
      </w:pPr>
      <w:r>
        <w:rPr>
          <w:rFonts w:ascii="SimSun" w:hAnsi="SimSun" w:hint="eastAsia"/>
          <w:sz w:val="21"/>
        </w:rPr>
        <w:t>“</w:t>
      </w:r>
      <w:r w:rsidRPr="00D7304F">
        <w:rPr>
          <w:rFonts w:ascii="SimSun" w:hAnsi="SimSun" w:hint="eastAsia"/>
          <w:sz w:val="21"/>
        </w:rPr>
        <w:t>作为例外</w:t>
      </w:r>
      <w:r>
        <w:rPr>
          <w:rFonts w:ascii="SimSun" w:hAnsi="SimSun" w:hint="eastAsia"/>
          <w:sz w:val="21"/>
        </w:rPr>
        <w:t>，</w:t>
      </w:r>
      <w:r w:rsidRPr="00D7304F">
        <w:rPr>
          <w:rFonts w:ascii="SimSun" w:hAnsi="SimSun" w:hint="eastAsia"/>
          <w:sz w:val="21"/>
        </w:rPr>
        <w:t>秘书处将邀请与该</w:t>
      </w:r>
      <w:r>
        <w:rPr>
          <w:rFonts w:ascii="SimSun" w:hAnsi="SimSun" w:hint="eastAsia"/>
          <w:sz w:val="21"/>
        </w:rPr>
        <w:t>议题</w:t>
      </w:r>
      <w:r w:rsidRPr="00D7304F">
        <w:rPr>
          <w:rFonts w:ascii="SimSun" w:hAnsi="SimSun" w:hint="eastAsia"/>
          <w:sz w:val="21"/>
        </w:rPr>
        <w:t>相关的联合国发展机构，并且不影响正在进行的关于实施战略的讨论。将与成员国协商确定联合国发展机构的名单。</w:t>
      </w:r>
      <w:r>
        <w:rPr>
          <w:rFonts w:ascii="SimSun" w:hAnsi="SimSun" w:hint="eastAsia"/>
          <w:sz w:val="21"/>
        </w:rPr>
        <w:t>”</w:t>
      </w:r>
    </w:p>
    <w:p w14:paraId="0C729329" w14:textId="77777777" w:rsidR="00E726C8" w:rsidRPr="00443197" w:rsidRDefault="00E726C8" w:rsidP="00135509">
      <w:pPr>
        <w:pStyle w:val="ListParagraph"/>
        <w:numPr>
          <w:ilvl w:val="0"/>
          <w:numId w:val="24"/>
        </w:numPr>
        <w:overflowPunct w:val="0"/>
        <w:spacing w:afterLines="50" w:after="120" w:line="340" w:lineRule="atLeast"/>
        <w:ind w:left="0" w:firstLine="0"/>
        <w:contextualSpacing w:val="0"/>
        <w:jc w:val="both"/>
        <w:rPr>
          <w:rFonts w:ascii="SimSun" w:hAnsi="SimSun"/>
          <w:bCs/>
          <w:sz w:val="21"/>
        </w:rPr>
      </w:pPr>
      <w:r w:rsidRPr="00D819B3">
        <w:rPr>
          <w:rFonts w:ascii="SimSun" w:hAnsi="SimSun" w:hint="eastAsia"/>
          <w:bCs/>
          <w:sz w:val="21"/>
        </w:rPr>
        <w:lastRenderedPageBreak/>
        <w:t>委员会注意到，根据产权组织成员国大会第六十二届系列会议简要报告（</w:t>
      </w:r>
      <w:hyperlink r:id="rId18" w:history="1">
        <w:r w:rsidRPr="00D819B3">
          <w:rPr>
            <w:rStyle w:val="Hyperlink"/>
            <w:rFonts w:ascii="SimSun" w:hAnsi="SimSun" w:hint="eastAsia"/>
            <w:bCs/>
            <w:sz w:val="21"/>
          </w:rPr>
          <w:t>A/62/12</w:t>
        </w:r>
      </w:hyperlink>
      <w:r w:rsidRPr="00D819B3">
        <w:rPr>
          <w:rFonts w:ascii="SimSun" w:hAnsi="SimSun" w:hint="eastAsia"/>
          <w:bCs/>
          <w:sz w:val="21"/>
        </w:rPr>
        <w:t>）第30段，CDIP届会的逐字报告将被与视频录像同步的自动化语音转文本记录和翻译所取代。因此，本届会议的报告将以该形式提供。为帮助改进自动化语音转文本技术，请各代表团向秘书处提供实质性的更正，最好在委员会下届会议之前四周提出。</w:t>
      </w:r>
    </w:p>
    <w:p w14:paraId="228451CE" w14:textId="77777777" w:rsidR="00E726C8" w:rsidRPr="00443197" w:rsidRDefault="00E726C8" w:rsidP="00135509">
      <w:pPr>
        <w:pStyle w:val="ListParagraph"/>
        <w:numPr>
          <w:ilvl w:val="0"/>
          <w:numId w:val="24"/>
        </w:numPr>
        <w:overflowPunct w:val="0"/>
        <w:spacing w:afterLines="50" w:after="120" w:line="340" w:lineRule="atLeast"/>
        <w:ind w:left="0" w:firstLine="0"/>
        <w:contextualSpacing w:val="0"/>
        <w:jc w:val="both"/>
        <w:rPr>
          <w:rFonts w:ascii="SimSun" w:hAnsi="SimSun"/>
          <w:bCs/>
          <w:sz w:val="21"/>
        </w:rPr>
      </w:pPr>
      <w:r w:rsidRPr="00443197">
        <w:rPr>
          <w:rFonts w:ascii="SimSun" w:hAnsi="SimSun" w:hint="eastAsia"/>
          <w:bCs/>
          <w:sz w:val="21"/>
        </w:rPr>
        <w:t>本总结和委员会第二十九届会议的主席总结，以及文件CDIP/</w:t>
      </w:r>
      <w:r w:rsidRPr="00443197">
        <w:rPr>
          <w:rFonts w:ascii="SimSun" w:hAnsi="SimSun"/>
          <w:bCs/>
          <w:sz w:val="21"/>
        </w:rPr>
        <w:t>30</w:t>
      </w:r>
      <w:r w:rsidRPr="00443197">
        <w:rPr>
          <w:rFonts w:ascii="SimSun" w:hAnsi="SimSun" w:hint="eastAsia"/>
          <w:bCs/>
          <w:sz w:val="21"/>
        </w:rPr>
        <w:t>/2中所载的“总干事关于发展议程落实情况的报告”，将构成委员会提交大会的报告。</w:t>
      </w:r>
    </w:p>
    <w:p w14:paraId="4943115F" w14:textId="77777777" w:rsidR="00E726C8" w:rsidRPr="00443197" w:rsidRDefault="00E726C8" w:rsidP="00E726C8">
      <w:pPr>
        <w:pStyle w:val="Endofdocument-Annex"/>
        <w:spacing w:before="720" w:afterLines="50" w:after="120" w:line="340" w:lineRule="atLeast"/>
        <w:rPr>
          <w:rFonts w:ascii="KaiTi" w:eastAsia="KaiTi" w:hAnsi="KaiTi"/>
          <w:sz w:val="21"/>
        </w:rPr>
      </w:pPr>
      <w:r w:rsidRPr="00443197">
        <w:rPr>
          <w:rFonts w:ascii="KaiTi" w:eastAsia="KaiTi" w:hAnsi="KaiTi"/>
          <w:sz w:val="21"/>
        </w:rPr>
        <w:t>[</w:t>
      </w:r>
      <w:r w:rsidRPr="00443197">
        <w:rPr>
          <w:rFonts w:ascii="KaiTi" w:eastAsia="KaiTi" w:hAnsi="KaiTi" w:hint="eastAsia"/>
          <w:sz w:val="21"/>
        </w:rPr>
        <w:t>文件完</w:t>
      </w:r>
      <w:r w:rsidRPr="00443197">
        <w:rPr>
          <w:rFonts w:ascii="KaiTi" w:eastAsia="KaiTi" w:hAnsi="KaiTi"/>
          <w:sz w:val="21"/>
        </w:rPr>
        <w:t>]</w:t>
      </w:r>
    </w:p>
    <w:p w14:paraId="28996537" w14:textId="77777777" w:rsidR="00E726C8" w:rsidRDefault="00E726C8" w:rsidP="00B01FC1">
      <w:pPr>
        <w:jc w:val="right"/>
        <w:rPr>
          <w:rFonts w:ascii="Arial Black" w:hAnsi="Arial Black"/>
          <w:caps/>
          <w:sz w:val="15"/>
        </w:rPr>
        <w:sectPr w:rsidR="00E726C8" w:rsidSect="005E79C4">
          <w:headerReference w:type="default" r:id="rId19"/>
          <w:endnotePr>
            <w:numFmt w:val="decimal"/>
          </w:endnotePr>
          <w:pgSz w:w="11907" w:h="16840"/>
          <w:pgMar w:top="567" w:right="1134" w:bottom="1418" w:left="1418" w:header="510" w:footer="1021" w:gutter="0"/>
          <w:pgNumType w:start="1"/>
          <w:cols w:space="720"/>
          <w:titlePg/>
          <w:docGrid w:linePitch="299"/>
        </w:sectPr>
      </w:pPr>
    </w:p>
    <w:p w14:paraId="40ACE902" w14:textId="7F16CBE7" w:rsidR="00B01FC1" w:rsidRPr="00E22BD8" w:rsidRDefault="00B01FC1" w:rsidP="00B01FC1">
      <w:pPr>
        <w:jc w:val="right"/>
        <w:rPr>
          <w:rFonts w:ascii="Arial Black" w:hAnsi="Arial Black"/>
          <w:caps/>
          <w:sz w:val="15"/>
        </w:rPr>
      </w:pPr>
      <w:r w:rsidRPr="00E22BD8">
        <w:rPr>
          <w:rFonts w:cs="Times New Roman"/>
          <w:noProof/>
          <w:lang w:eastAsia="en-US"/>
        </w:rPr>
        <w:lastRenderedPageBreak/>
        <w:drawing>
          <wp:inline distT="0" distB="0" distL="0" distR="0" wp14:anchorId="59970BF8" wp14:editId="12B2FED1">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473CE30" w14:textId="244F7DC8" w:rsidR="00B01FC1" w:rsidRPr="00E22BD8" w:rsidRDefault="00B01FC1" w:rsidP="00B01FC1">
      <w:pPr>
        <w:pBdr>
          <w:top w:val="single" w:sz="4" w:space="10" w:color="auto"/>
        </w:pBdr>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30</w:t>
      </w:r>
      <w:r w:rsidRPr="00E22BD8">
        <w:rPr>
          <w:rFonts w:ascii="Arial Black" w:hAnsi="Arial Black"/>
          <w:b/>
          <w:caps/>
          <w:sz w:val="15"/>
        </w:rPr>
        <w:t>/</w:t>
      </w:r>
      <w:r>
        <w:rPr>
          <w:rFonts w:ascii="Arial Black" w:hAnsi="Arial Black"/>
          <w:b/>
          <w:caps/>
          <w:sz w:val="15"/>
        </w:rPr>
        <w:t>2</w:t>
      </w:r>
    </w:p>
    <w:p w14:paraId="29B9E6D3" w14:textId="77777777" w:rsidR="00B01FC1" w:rsidRPr="00E22BD8" w:rsidRDefault="00B01FC1" w:rsidP="00B01FC1">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：英</w:t>
      </w:r>
      <w:r w:rsidRPr="00E22BD8">
        <w:rPr>
          <w:rFonts w:eastAsia="SimHei" w:hint="eastAsia"/>
          <w:b/>
          <w:sz w:val="15"/>
          <w:szCs w:val="15"/>
        </w:rPr>
        <w:t>文</w:t>
      </w:r>
    </w:p>
    <w:p w14:paraId="5BD8E8E5" w14:textId="2121194A" w:rsidR="00B01FC1" w:rsidRPr="00E22BD8" w:rsidRDefault="00B01FC1" w:rsidP="00B01FC1">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Pr>
          <w:rFonts w:ascii="Arial Black" w:eastAsia="SimHei" w:hAnsi="Arial Black"/>
          <w:b/>
          <w:sz w:val="15"/>
          <w:szCs w:val="15"/>
          <w:lang w:val="pt-BR"/>
        </w:rPr>
        <w:t>2</w:t>
      </w:r>
      <w:r w:rsidRPr="00E22BD8">
        <w:rPr>
          <w:rFonts w:ascii="SimHei" w:eastAsia="SimHei" w:hAnsi="Times New Roman" w:hint="eastAsia"/>
          <w:b/>
          <w:sz w:val="15"/>
          <w:szCs w:val="15"/>
        </w:rPr>
        <w:t>月</w:t>
      </w:r>
      <w:r>
        <w:rPr>
          <w:rFonts w:ascii="Arial Black" w:eastAsia="SimHei" w:hAnsi="Arial Black"/>
          <w:b/>
          <w:sz w:val="15"/>
          <w:szCs w:val="15"/>
          <w:lang w:val="pt-BR"/>
        </w:rPr>
        <w:t>17</w:t>
      </w:r>
      <w:r w:rsidRPr="00E22BD8">
        <w:rPr>
          <w:rFonts w:ascii="SimHei" w:eastAsia="SimHei" w:hAnsi="Times New Roman" w:hint="eastAsia"/>
          <w:b/>
          <w:sz w:val="15"/>
          <w:szCs w:val="15"/>
        </w:rPr>
        <w:t>日</w:t>
      </w:r>
    </w:p>
    <w:p w14:paraId="2B6B7488" w14:textId="77777777" w:rsidR="00B01FC1" w:rsidRPr="00E22BD8" w:rsidRDefault="00B01FC1" w:rsidP="00B01FC1">
      <w:pPr>
        <w:spacing w:after="600"/>
        <w:rPr>
          <w:rFonts w:ascii="SimHei" w:eastAsia="SimHei"/>
          <w:sz w:val="28"/>
          <w:szCs w:val="28"/>
        </w:rPr>
      </w:pPr>
      <w:r w:rsidRPr="00E22BD8">
        <w:rPr>
          <w:rFonts w:ascii="SimHei" w:eastAsia="SimHei" w:hint="eastAsia"/>
          <w:sz w:val="28"/>
          <w:szCs w:val="28"/>
        </w:rPr>
        <w:t>发展与知识产权委员会（CDIP）</w:t>
      </w:r>
    </w:p>
    <w:p w14:paraId="546248FE" w14:textId="77777777" w:rsidR="00B01FC1" w:rsidRPr="0080619C" w:rsidRDefault="00B01FC1" w:rsidP="00B01FC1">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4</w:t>
      </w:r>
      <w:r w:rsidRPr="0080619C">
        <w:rPr>
          <w:rFonts w:ascii="KaiTi" w:eastAsia="KaiTi" w:hAnsi="KaiTi" w:hint="eastAsia"/>
          <w:b/>
          <w:sz w:val="24"/>
        </w:rPr>
        <w:t>月</w:t>
      </w:r>
      <w:r>
        <w:rPr>
          <w:rFonts w:ascii="KaiTi" w:eastAsia="KaiTi" w:hAnsi="KaiTi"/>
          <w:sz w:val="24"/>
        </w:rPr>
        <w:t>24</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8</w:t>
      </w:r>
      <w:r w:rsidRPr="0080619C">
        <w:rPr>
          <w:rFonts w:ascii="KaiTi" w:eastAsia="KaiTi" w:hAnsi="KaiTi" w:hint="eastAsia"/>
          <w:b/>
          <w:sz w:val="24"/>
        </w:rPr>
        <w:t>日，日内瓦</w:t>
      </w:r>
    </w:p>
    <w:p w14:paraId="0317157B" w14:textId="77777777" w:rsidR="00E733EF" w:rsidRPr="00B01FC1" w:rsidRDefault="00191652">
      <w:pPr>
        <w:spacing w:after="360"/>
        <w:outlineLvl w:val="1"/>
        <w:rPr>
          <w:rFonts w:ascii="KaiTi" w:eastAsia="KaiTi" w:hAnsi="KaiTi" w:cs="Times New Roman"/>
          <w:sz w:val="24"/>
          <w:szCs w:val="32"/>
        </w:rPr>
      </w:pPr>
      <w:r w:rsidRPr="00B01FC1">
        <w:rPr>
          <w:rFonts w:ascii="KaiTi" w:eastAsia="KaiTi" w:hAnsi="KaiTi" w:cs="Times New Roman" w:hint="eastAsia"/>
          <w:sz w:val="24"/>
          <w:szCs w:val="32"/>
        </w:rPr>
        <w:t>总干事关于发展议程落实情况的报告</w:t>
      </w:r>
    </w:p>
    <w:p w14:paraId="279FC868" w14:textId="77777777" w:rsidR="00E733EF" w:rsidRPr="00191652" w:rsidRDefault="00191652">
      <w:pPr>
        <w:spacing w:after="960"/>
        <w:jc w:val="both"/>
        <w:rPr>
          <w:rFonts w:ascii="KaiTi" w:eastAsia="KaiTi" w:hAnsi="KaiTi"/>
          <w:iCs/>
          <w:sz w:val="21"/>
          <w:szCs w:val="21"/>
        </w:rPr>
      </w:pPr>
      <w:r w:rsidRPr="00191652">
        <w:rPr>
          <w:rFonts w:ascii="KaiTi" w:eastAsia="KaiTi" w:hAnsi="KaiTi" w:hint="eastAsia"/>
          <w:iCs/>
          <w:sz w:val="21"/>
          <w:szCs w:val="21"/>
        </w:rPr>
        <w:t>秘书处编拟</w:t>
      </w:r>
    </w:p>
    <w:p w14:paraId="37D80484" w14:textId="1E567A83"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本文件载有总干事关于发展议程2022年度落实情况的报告。这是总干事的第十三份年度报告，旨在概述产权组织在落实发展议程并将其纳入产权组织相关计划的主流方面所开展的活动。</w:t>
      </w:r>
    </w:p>
    <w:p w14:paraId="75321869" w14:textId="3F710EBB"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继发展与知识产权委员会（CDIP）第二十八届会议采用新的报告结构后，报告以产权组织以下各部门的主要工作领域为中心，介绍了发展议程的落实和主流化情况：区域和国家发展部门；专利和技术部门；品牌和外观设计部门；版权和创意产业部门；基础设施和平台部门；全球挑战和伙伴关系部门；知识产权和创新生态系统部门；以及行政、财务和管理部门。报告的每一部分都概括介绍了本部门与知识产权和发展相关的工作、产权组织相关机构的最新工作情况，并且概括介绍了这些工作领域中当前正在实施的和已经被纳入主流的发展议程项目。</w:t>
      </w:r>
    </w:p>
    <w:p w14:paraId="1DDF79E5"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报告也回应了委员会关于将发展议程建议与总干事关于发展议程落实情况的年度报告附件一中所述预期成果关联起来的要求，见第二十二届会议“主席总结”第8.3段。附件二提供了截至2022年的发展议程项目一览表。</w:t>
      </w:r>
    </w:p>
    <w:p w14:paraId="21540283" w14:textId="77777777" w:rsidR="00E733EF" w:rsidRPr="00B01FC1" w:rsidRDefault="00191652" w:rsidP="00B01FC1">
      <w:pPr>
        <w:pStyle w:val="Heading1"/>
        <w:spacing w:beforeLines="100" w:afterLines="100" w:after="240" w:line="340" w:lineRule="atLeast"/>
        <w:ind w:left="357"/>
        <w:jc w:val="both"/>
        <w:rPr>
          <w:rFonts w:ascii="SimHei" w:eastAsia="SimHei" w:hAnsi="SimHei"/>
          <w:b w:val="0"/>
          <w:sz w:val="21"/>
          <w:szCs w:val="21"/>
        </w:rPr>
      </w:pPr>
      <w:r w:rsidRPr="00B01FC1">
        <w:rPr>
          <w:rFonts w:ascii="SimHei" w:eastAsia="SimHei" w:hAnsi="SimHei" w:hint="eastAsia"/>
          <w:b w:val="0"/>
          <w:sz w:val="21"/>
          <w:szCs w:val="21"/>
        </w:rPr>
        <w:lastRenderedPageBreak/>
        <w:t>导　言</w:t>
      </w:r>
    </w:p>
    <w:p w14:paraId="2EF11789"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自通过以来，发展议程一直作为本组织的指南，以确保发展方面的考虑成为产权组织工作的组成部分，从而触发将发展层面纳入本组织计划和活动主流的持续进程。因此，发展已成为产权组织的基石。发展议程基于的概念是，文字和意图需要在成员国的指导下转化为实际行动。产权组织目前的《2022-2026年中期战略计划》</w:t>
      </w:r>
      <w:r w:rsidRPr="00140621">
        <w:rPr>
          <w:rFonts w:asciiTheme="minorEastAsia" w:eastAsiaTheme="minorEastAsia" w:hAnsiTheme="minorEastAsia"/>
          <w:sz w:val="21"/>
          <w:szCs w:val="21"/>
          <w:vertAlign w:val="superscript"/>
        </w:rPr>
        <w:footnoteReference w:id="1"/>
      </w:r>
      <w:r w:rsidRPr="00B01FC1">
        <w:rPr>
          <w:rFonts w:asciiTheme="minorEastAsia" w:eastAsiaTheme="minorEastAsia" w:hAnsiTheme="minorEastAsia" w:hint="eastAsia"/>
          <w:sz w:val="21"/>
          <w:szCs w:val="21"/>
        </w:rPr>
        <w:t>进一步加强了发展议程，通过与成员国密切合作，更加注重发展和产生实际影响。</w:t>
      </w:r>
    </w:p>
    <w:p w14:paraId="405A35FF"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在报告所述期间，本组织成功地加强了内部协调，并继续发挥产权组织各部门之间的协同作用。这种做法使本组织能够在其传统优势领域的基础上，更广泛地参与其中，并更加关注中小企业、妇女和青年。本组织继续与主要合作伙伴和利益攸关方合作来应对当前的挑战，包括与成员国密切接触，为其在冠状病毒病（COVID）疫情后的经济复苏工作提供有针对性的定制支持。</w:t>
      </w:r>
    </w:p>
    <w:p w14:paraId="5FD64303" w14:textId="1C8C0755" w:rsidR="00E733EF" w:rsidRPr="00B01FC1" w:rsidRDefault="00191652" w:rsidP="00D77568">
      <w:pPr>
        <w:pStyle w:val="Heading1"/>
        <w:numPr>
          <w:ilvl w:val="0"/>
          <w:numId w:val="14"/>
        </w:numPr>
        <w:spacing w:beforeLines="100" w:afterLines="100" w:after="240" w:line="340" w:lineRule="atLeast"/>
        <w:ind w:left="397" w:hanging="284"/>
        <w:jc w:val="both"/>
        <w:rPr>
          <w:rFonts w:ascii="SimHei" w:eastAsia="SimHei" w:hAnsi="SimHei"/>
          <w:b w:val="0"/>
          <w:sz w:val="21"/>
          <w:szCs w:val="21"/>
        </w:rPr>
      </w:pPr>
      <w:r w:rsidRPr="00B01FC1">
        <w:rPr>
          <w:rFonts w:ascii="SimHei" w:eastAsia="SimHei" w:hAnsi="SimHei" w:hint="eastAsia"/>
          <w:b w:val="0"/>
          <w:sz w:val="21"/>
          <w:szCs w:val="21"/>
        </w:rPr>
        <w:t>区域和国家发展部门</w:t>
      </w:r>
    </w:p>
    <w:p w14:paraId="39D5BFF4"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区域和国家发展部门继续作为本组织的门户，帮助成员国努力利用知识产权促进发展。该部门通过各地区司</w:t>
      </w:r>
      <w:r w:rsidRPr="00140621">
        <w:rPr>
          <w:rFonts w:asciiTheme="minorEastAsia" w:eastAsiaTheme="minorEastAsia" w:hAnsiTheme="minorEastAsia"/>
          <w:sz w:val="21"/>
          <w:szCs w:val="21"/>
          <w:vertAlign w:val="superscript"/>
        </w:rPr>
        <w:footnoteReference w:id="2"/>
      </w:r>
      <w:r w:rsidRPr="00B01FC1">
        <w:rPr>
          <w:rFonts w:asciiTheme="minorEastAsia" w:eastAsiaTheme="minorEastAsia" w:hAnsiTheme="minorEastAsia" w:hint="eastAsia"/>
          <w:sz w:val="21"/>
          <w:szCs w:val="21"/>
        </w:rPr>
        <w:t>、驻外办事处</w:t>
      </w:r>
      <w:r w:rsidRPr="00140621">
        <w:rPr>
          <w:rFonts w:asciiTheme="minorEastAsia" w:eastAsiaTheme="minorEastAsia" w:hAnsiTheme="minorEastAsia"/>
          <w:sz w:val="21"/>
          <w:szCs w:val="21"/>
          <w:vertAlign w:val="superscript"/>
        </w:rPr>
        <w:footnoteReference w:id="3"/>
      </w:r>
      <w:r w:rsidRPr="00B01FC1">
        <w:rPr>
          <w:rFonts w:asciiTheme="minorEastAsia" w:eastAsiaTheme="minorEastAsia" w:hAnsiTheme="minorEastAsia" w:hint="eastAsia"/>
          <w:sz w:val="21"/>
          <w:szCs w:val="21"/>
        </w:rPr>
        <w:t>和WIPO学院保持其全球影响力和与成员国的积极接触。此外，在本报告所述期间，已经采取措施，扩大了与该部门开展合作的利益攸关方的范围，并确保产权组织的发展合作符合成员国的具体需求。该部门进行了重组，包括成立了区域和国家发展部门项目组，目的是在产权组织成员国实施与知识产权有关的紧急战略合作倡议。这加强了内部协作，因此，该部门能够及时交付具体成果，并最大限度地发挥其倡议对当地发展的影响。</w:t>
      </w:r>
    </w:p>
    <w:p w14:paraId="76128B15" w14:textId="77777777" w:rsidR="00E733EF" w:rsidRPr="00B01FC1" w:rsidRDefault="00191652" w:rsidP="00B01FC1">
      <w:pPr>
        <w:pStyle w:val="Heading2"/>
        <w:spacing w:beforeLines="100" w:afterLines="100" w:after="240" w:line="340" w:lineRule="atLeast"/>
        <w:jc w:val="both"/>
        <w:rPr>
          <w:b/>
          <w:bCs w:val="0"/>
          <w:sz w:val="21"/>
          <w:szCs w:val="21"/>
        </w:rPr>
      </w:pPr>
      <w:r w:rsidRPr="00B01FC1">
        <w:rPr>
          <w:rFonts w:hint="eastAsia"/>
          <w:b/>
          <w:bCs w:val="0"/>
          <w:sz w:val="21"/>
          <w:szCs w:val="21"/>
        </w:rPr>
        <w:t>技术援助和能力建设</w:t>
      </w:r>
    </w:p>
    <w:p w14:paraId="406E8A02"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该部门继续按照各项发展议程建议开展技术援助和能力建设工作。这些举措由需求推动并以发展为导向，包括提供知识产权培训和技能培养、开展宣传活动、促进政策对话、制定国家知识产权战略和提供立法援助，涵盖广泛的知识产权领域。随着2019冠状病毒病（COVID-19）的限制逐渐放宽，活动和项目的实施开始恢复到正常的参与节奏。此外，在COVID时期提供技术援助所带来的挑战、机遇和经验教训，使本组织得以推广其数字解决方案并扩大活动范围。这类活动的例子有：</w:t>
      </w:r>
      <w:r w:rsidRPr="002113D2">
        <w:rPr>
          <w:rFonts w:ascii="KaiTi" w:eastAsia="KaiTi" w:hAnsi="KaiTi" w:hint="eastAsia"/>
          <w:sz w:val="21"/>
          <w:szCs w:val="21"/>
        </w:rPr>
        <w:t>(i)东非共同体青年创业和创新创业地区会议；</w:t>
      </w:r>
      <w:r w:rsidRPr="002113D2">
        <w:rPr>
          <w:rStyle w:val="FootnoteReference"/>
          <w:rFonts w:ascii="KaiTi" w:eastAsia="KaiTi" w:hAnsi="KaiTi"/>
          <w:sz w:val="21"/>
          <w:szCs w:val="21"/>
        </w:rPr>
        <w:footnoteReference w:id="4"/>
      </w:r>
      <w:r w:rsidRPr="002113D2">
        <w:rPr>
          <w:rFonts w:ascii="KaiTi" w:eastAsia="KaiTi" w:hAnsi="KaiTi" w:hint="eastAsia"/>
          <w:sz w:val="21"/>
          <w:szCs w:val="21"/>
        </w:rPr>
        <w:t>(ii)产权组织-阿拉伯国家联盟（阿盟）知识产权、创新孵化器和科技园地区会议；</w:t>
      </w:r>
      <w:r w:rsidRPr="002113D2">
        <w:rPr>
          <w:rStyle w:val="FootnoteReference"/>
          <w:rFonts w:ascii="KaiTi" w:eastAsia="KaiTi" w:hAnsi="KaiTi"/>
          <w:sz w:val="21"/>
          <w:szCs w:val="21"/>
        </w:rPr>
        <w:footnoteReference w:id="5"/>
      </w:r>
      <w:r w:rsidRPr="002113D2">
        <w:rPr>
          <w:rFonts w:ascii="KaiTi" w:eastAsia="KaiTi" w:hAnsi="KaiTi" w:hint="eastAsia"/>
          <w:sz w:val="21"/>
          <w:szCs w:val="21"/>
        </w:rPr>
        <w:t>(iii)亚洲和太平洋地区技术转让办公室和研究机构远程指导计划；</w:t>
      </w:r>
      <w:r w:rsidRPr="002113D2">
        <w:rPr>
          <w:rStyle w:val="FootnoteReference"/>
          <w:rFonts w:ascii="KaiTi" w:eastAsia="KaiTi" w:hAnsi="KaiTi"/>
          <w:sz w:val="21"/>
          <w:szCs w:val="21"/>
        </w:rPr>
        <w:footnoteReference w:id="6"/>
      </w:r>
      <w:r w:rsidRPr="002113D2">
        <w:rPr>
          <w:rFonts w:ascii="KaiTi" w:eastAsia="KaiTi" w:hAnsi="KaiTi" w:hint="eastAsia"/>
          <w:sz w:val="21"/>
          <w:szCs w:val="21"/>
        </w:rPr>
        <w:t>(iv)在智利举行的拉丁美洲国家知识产权、创新和性别平等第四次地区会议和论坛；</w:t>
      </w:r>
      <w:r w:rsidRPr="002113D2">
        <w:rPr>
          <w:rStyle w:val="FootnoteReference"/>
          <w:rFonts w:ascii="KaiTi" w:eastAsia="KaiTi" w:hAnsi="KaiTi"/>
          <w:sz w:val="21"/>
          <w:szCs w:val="21"/>
        </w:rPr>
        <w:footnoteReference w:id="7"/>
      </w:r>
      <w:r w:rsidRPr="002113D2">
        <w:rPr>
          <w:rFonts w:ascii="KaiTi" w:eastAsia="KaiTi" w:hAnsi="KaiTi" w:hint="eastAsia"/>
          <w:sz w:val="21"/>
          <w:szCs w:val="21"/>
        </w:rPr>
        <w:t>以及(v)关于“提升知识产权水平：中欧和波罗的海国家以及地中海国家视频游戏开发商的策略”的地区混合形式讲习班。</w:t>
      </w:r>
      <w:r w:rsidRPr="002113D2">
        <w:rPr>
          <w:rStyle w:val="FootnoteReference"/>
          <w:rFonts w:ascii="KaiTi" w:eastAsia="KaiTi" w:hAnsi="KaiTi"/>
          <w:sz w:val="21"/>
          <w:szCs w:val="21"/>
        </w:rPr>
        <w:footnoteReference w:id="8"/>
      </w:r>
    </w:p>
    <w:p w14:paraId="6498BCBB"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本组织继续提供有针对性的支持措施，协助成员国应对大流行带来的挑战，并支持其复苏工作。为此，本组织专门为2022/23两年期拨款300万瑞郎。根据一揽子应对措施为成员国举行了情况</w:t>
      </w:r>
      <w:r w:rsidRPr="00B01FC1">
        <w:rPr>
          <w:rFonts w:asciiTheme="minorEastAsia" w:eastAsiaTheme="minorEastAsia" w:hAnsiTheme="minorEastAsia" w:hint="eastAsia"/>
          <w:sz w:val="21"/>
          <w:szCs w:val="21"/>
        </w:rPr>
        <w:lastRenderedPageBreak/>
        <w:t>介绍会，介绍了产权组织根据一揽子应对措施计划开展和正在开展的活动，以及如何获得此类支持。</w:t>
      </w:r>
      <w:r w:rsidRPr="00B01FC1">
        <w:rPr>
          <w:rStyle w:val="FootnoteReference"/>
          <w:rFonts w:asciiTheme="minorEastAsia" w:eastAsiaTheme="minorEastAsia" w:hAnsiTheme="minorEastAsia"/>
          <w:sz w:val="21"/>
          <w:szCs w:val="21"/>
        </w:rPr>
        <w:footnoteReference w:id="9"/>
      </w:r>
      <w:r w:rsidRPr="00B01FC1">
        <w:rPr>
          <w:rFonts w:asciiTheme="minorEastAsia" w:eastAsiaTheme="minorEastAsia" w:hAnsiTheme="minorEastAsia" w:hint="eastAsia"/>
          <w:sz w:val="21"/>
          <w:szCs w:val="21"/>
        </w:rPr>
        <w:t>此外，WIPO学院还通过知识产权培训机构网络组织了关于知识产权和公共卫生的培训员培训模块。特别强调要支持私营部门的经济复苏。通过制定有针对性的培训计划和相关资源，帮助各知识产权局为中小企业和企业家提供COVID后经济复苏培训，并与选定的高校合作提供执行计划，重点是为私营部门提供技术转让技能。</w:t>
      </w:r>
    </w:p>
    <w:p w14:paraId="0F2DE193"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color w:val="000000" w:themeColor="text1"/>
          <w:sz w:val="21"/>
          <w:szCs w:val="21"/>
        </w:rPr>
        <w:t>为促进实现《2022-2031十年期支援最不发达国家多哈行动纲领》中确定的相关目标，</w:t>
      </w:r>
      <w:r w:rsidRPr="00B01FC1">
        <w:rPr>
          <w:rStyle w:val="FootnoteReference"/>
          <w:rFonts w:asciiTheme="minorEastAsia" w:eastAsiaTheme="minorEastAsia" w:hAnsiTheme="minorEastAsia"/>
          <w:color w:val="000000" w:themeColor="text1"/>
          <w:sz w:val="21"/>
          <w:szCs w:val="21"/>
          <w:lang w:val="en-GB"/>
        </w:rPr>
        <w:footnoteReference w:id="10"/>
      </w:r>
      <w:r w:rsidRPr="00B01FC1">
        <w:rPr>
          <w:rFonts w:asciiTheme="minorEastAsia" w:eastAsiaTheme="minorEastAsia" w:hAnsiTheme="minorEastAsia" w:hint="eastAsia"/>
          <w:color w:val="000000" w:themeColor="text1"/>
          <w:sz w:val="21"/>
          <w:szCs w:val="21"/>
        </w:rPr>
        <w:t>本组织开始实施</w:t>
      </w:r>
      <w:r w:rsidRPr="002113D2">
        <w:rPr>
          <w:rFonts w:ascii="KaiTi" w:eastAsia="KaiTi" w:hAnsi="KaiTi" w:hint="eastAsia"/>
          <w:color w:val="000000" w:themeColor="text1"/>
          <w:sz w:val="21"/>
          <w:szCs w:val="21"/>
        </w:rPr>
        <w:t>“产权组织2022-2031年向最不发达国家可交付成果”</w:t>
      </w:r>
      <w:r w:rsidRPr="00B01FC1">
        <w:rPr>
          <w:rFonts w:asciiTheme="minorEastAsia" w:eastAsiaTheme="minorEastAsia" w:hAnsiTheme="minorEastAsia" w:hint="eastAsia"/>
          <w:color w:val="000000" w:themeColor="text1"/>
          <w:sz w:val="21"/>
          <w:szCs w:val="21"/>
        </w:rPr>
        <w:t>倡议。</w:t>
      </w:r>
      <w:r w:rsidRPr="00B01FC1">
        <w:rPr>
          <w:rStyle w:val="FootnoteReference"/>
          <w:rFonts w:asciiTheme="minorEastAsia" w:eastAsiaTheme="minorEastAsia" w:hAnsiTheme="minorEastAsia"/>
          <w:color w:val="000000" w:themeColor="text1"/>
          <w:sz w:val="21"/>
          <w:szCs w:val="21"/>
          <w:lang w:val="en-GB"/>
        </w:rPr>
        <w:footnoteReference w:id="11"/>
      </w:r>
      <w:r w:rsidRPr="00B01FC1">
        <w:rPr>
          <w:rFonts w:asciiTheme="minorEastAsia" w:eastAsiaTheme="minorEastAsia" w:hAnsiTheme="minorEastAsia" w:hint="eastAsia"/>
          <w:color w:val="000000" w:themeColor="text1"/>
          <w:sz w:val="21"/>
          <w:szCs w:val="21"/>
        </w:rPr>
        <w:t>该倡议的总体目标是为最不发达国家以知识产权为工具促进增长和发展，提供重点突出、基于需求、影响驱动的援助和支持。</w:t>
      </w:r>
      <w:r w:rsidRPr="00B01FC1">
        <w:rPr>
          <w:rFonts w:asciiTheme="minorEastAsia" w:eastAsiaTheme="minorEastAsia" w:hAnsiTheme="minorEastAsia" w:hint="eastAsia"/>
          <w:sz w:val="21"/>
          <w:szCs w:val="21"/>
        </w:rPr>
        <w:t>2022年还标志着</w:t>
      </w:r>
      <w:r w:rsidRPr="002113D2">
        <w:rPr>
          <w:rFonts w:ascii="KaiTi" w:eastAsia="KaiTi" w:hAnsi="KaiTi" w:hint="eastAsia"/>
          <w:sz w:val="21"/>
          <w:szCs w:val="21"/>
        </w:rPr>
        <w:t>产权组织针对最不发达国家的“一揽子毕业支持方案”</w:t>
      </w:r>
      <w:r w:rsidRPr="00B01FC1">
        <w:rPr>
          <w:rStyle w:val="FootnoteReference"/>
          <w:rFonts w:asciiTheme="minorEastAsia" w:eastAsiaTheme="minorEastAsia" w:hAnsiTheme="minorEastAsia"/>
          <w:color w:val="000000" w:themeColor="text1"/>
          <w:sz w:val="21"/>
          <w:szCs w:val="21"/>
          <w:lang w:val="en-GB"/>
        </w:rPr>
        <w:footnoteReference w:id="12"/>
      </w:r>
      <w:r w:rsidRPr="00B01FC1">
        <w:rPr>
          <w:rFonts w:asciiTheme="minorEastAsia" w:eastAsiaTheme="minorEastAsia" w:hAnsiTheme="minorEastAsia" w:hint="eastAsia"/>
          <w:sz w:val="21"/>
          <w:szCs w:val="21"/>
        </w:rPr>
        <w:t>的启动，以响应最不发达国家成员国的要求以及《多哈行动纲领》中关于加强对即将毕业和已经毕业的最不发达国家的国际支持措施的呼吁。</w:t>
      </w:r>
      <w:r w:rsidRPr="00B01FC1">
        <w:rPr>
          <w:rFonts w:asciiTheme="minorEastAsia" w:eastAsiaTheme="minorEastAsia" w:hAnsiTheme="minorEastAsia" w:hint="eastAsia"/>
          <w:color w:val="000000" w:themeColor="text1"/>
          <w:sz w:val="21"/>
          <w:szCs w:val="21"/>
        </w:rPr>
        <w:t>该倡议的目的是向最不发达国家提供有针对性的知识产权相关技术援助，支持其为毕业做准备。具体而言，该倡议旨在帮助这些国家发展和升级国家知识产权制度，以履行其毕业后的知识产权相关义务，并利用知识产权和创新来实现与结构转型、提高生产能力、经济竞争力和多样化有关的毕业目标。截至2022年底，产权组织收到了安哥拉、老挝人民民主共和国以及圣多美和普林西比的知识产权相关技术援助请求。</w:t>
      </w:r>
    </w:p>
    <w:p w14:paraId="184662A1" w14:textId="77777777" w:rsidR="00E733EF" w:rsidRPr="00B01FC1" w:rsidRDefault="00191652" w:rsidP="00B01FC1">
      <w:pPr>
        <w:pStyle w:val="Heading2"/>
        <w:spacing w:beforeLines="100" w:afterLines="100" w:after="240" w:line="340" w:lineRule="atLeast"/>
        <w:jc w:val="both"/>
        <w:rPr>
          <w:b/>
          <w:bCs w:val="0"/>
          <w:sz w:val="21"/>
          <w:szCs w:val="21"/>
        </w:rPr>
      </w:pPr>
      <w:r w:rsidRPr="00B01FC1">
        <w:rPr>
          <w:rFonts w:hint="eastAsia"/>
          <w:b/>
          <w:bCs w:val="0"/>
          <w:sz w:val="21"/>
          <w:szCs w:val="21"/>
        </w:rPr>
        <w:t>技能和知识建设</w:t>
      </w:r>
    </w:p>
    <w:p w14:paraId="5F4278C1"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WIPO学院继续扩大了其提供和支助的课程的范围、覆盖面和可及性，并考虑到其资源部署的公平地域平衡。具体而言，由368名指导教师以多达16种语言</w:t>
      </w:r>
      <w:r w:rsidRPr="00B01FC1">
        <w:rPr>
          <w:rStyle w:val="FootnoteReference"/>
          <w:rFonts w:asciiTheme="minorEastAsia" w:eastAsiaTheme="minorEastAsia" w:hAnsiTheme="minorEastAsia"/>
          <w:sz w:val="21"/>
          <w:szCs w:val="21"/>
        </w:rPr>
        <w:footnoteReference w:id="13"/>
      </w:r>
      <w:r w:rsidRPr="00B01FC1">
        <w:rPr>
          <w:rFonts w:asciiTheme="minorEastAsia" w:eastAsiaTheme="minorEastAsia" w:hAnsiTheme="minorEastAsia" w:hint="eastAsia"/>
          <w:sz w:val="21"/>
          <w:szCs w:val="21"/>
        </w:rPr>
        <w:t>开设并讲授了共383门课程。通过这些课程，2022年受益于学院远程学习计划的人数达到101,457人，这是连续第三年参加人数超过10万人。远程学习课程的目录得到进一步扩展，引入了更多的专业认证和行政课程，侧重于成员国、私营部门/中小企业的知识产权技能培养，以及产权组织各部门的培训需求。这类课程</w:t>
      </w:r>
      <w:r w:rsidRPr="00B01FC1">
        <w:rPr>
          <w:rFonts w:asciiTheme="minorEastAsia" w:eastAsiaTheme="minorEastAsia" w:hAnsiTheme="minorEastAsia" w:hint="eastAsia"/>
          <w:spacing w:val="-20"/>
          <w:sz w:val="21"/>
          <w:szCs w:val="21"/>
        </w:rPr>
        <w:t>的例子包括：</w:t>
      </w:r>
      <w:r w:rsidRPr="002113D2">
        <w:rPr>
          <w:rFonts w:ascii="KaiTi" w:eastAsia="KaiTi" w:hAnsi="KaiTi" w:hint="eastAsia"/>
          <w:spacing w:val="-20"/>
          <w:sz w:val="21"/>
          <w:szCs w:val="21"/>
        </w:rPr>
        <w:t>(i)专利撰写国际培训计划；</w:t>
      </w:r>
      <w:r w:rsidRPr="002113D2">
        <w:rPr>
          <w:rStyle w:val="FootnoteReference"/>
          <w:rFonts w:ascii="KaiTi" w:eastAsia="KaiTi" w:hAnsi="KaiTi"/>
          <w:spacing w:val="-20"/>
          <w:sz w:val="21"/>
          <w:szCs w:val="21"/>
        </w:rPr>
        <w:footnoteReference w:id="14"/>
      </w:r>
      <w:r w:rsidRPr="002113D2">
        <w:rPr>
          <w:rFonts w:ascii="KaiTi" w:eastAsia="KaiTi" w:hAnsi="KaiTi" w:hint="eastAsia"/>
          <w:spacing w:val="-20"/>
          <w:sz w:val="21"/>
          <w:szCs w:val="21"/>
        </w:rPr>
        <w:t>(ii)关于制定成功的发展议程项目专门课程（DL-620）；</w:t>
      </w:r>
      <w:r w:rsidRPr="002113D2">
        <w:rPr>
          <w:rStyle w:val="FootnoteReference"/>
          <w:rFonts w:ascii="KaiTi" w:eastAsia="KaiTi" w:hAnsi="KaiTi"/>
          <w:sz w:val="21"/>
          <w:szCs w:val="21"/>
        </w:rPr>
        <w:footnoteReference w:id="15"/>
      </w:r>
      <w:r w:rsidRPr="002113D2">
        <w:rPr>
          <w:rFonts w:ascii="KaiTi" w:eastAsia="KaiTi" w:hAnsi="KaiTi" w:hint="eastAsia"/>
          <w:sz w:val="21"/>
          <w:szCs w:val="21"/>
        </w:rPr>
        <w:t>(iii)面向集体管理组织的“WIPO Connect培训”（DL-550）；</w:t>
      </w:r>
      <w:r w:rsidRPr="002113D2">
        <w:rPr>
          <w:rStyle w:val="FootnoteReference"/>
          <w:rFonts w:ascii="KaiTi" w:eastAsia="KaiTi" w:hAnsi="KaiTi"/>
          <w:sz w:val="21"/>
          <w:szCs w:val="21"/>
        </w:rPr>
        <w:footnoteReference w:id="16"/>
      </w:r>
      <w:r w:rsidRPr="002113D2">
        <w:rPr>
          <w:rFonts w:ascii="KaiTi" w:eastAsia="KaiTi" w:hAnsi="KaiTi" w:hint="eastAsia"/>
          <w:sz w:val="21"/>
          <w:szCs w:val="21"/>
        </w:rPr>
        <w:t>以及(iv)改进的“知识产权概论2.0版”</w:t>
      </w:r>
      <w:r w:rsidRPr="00B01FC1">
        <w:rPr>
          <w:rFonts w:asciiTheme="minorEastAsia" w:eastAsiaTheme="minorEastAsia" w:hAnsiTheme="minorEastAsia" w:hint="eastAsia"/>
          <w:sz w:val="21"/>
          <w:szCs w:val="21"/>
        </w:rPr>
        <w:t>，其重点是知识产权商业化和知识产权作为抵押品这两个主题，为中小企业如何将创新和发明推向市场提供实用指导。</w:t>
      </w:r>
      <w:r w:rsidRPr="00B01FC1">
        <w:rPr>
          <w:rStyle w:val="FootnoteReference"/>
          <w:rFonts w:asciiTheme="minorEastAsia" w:eastAsiaTheme="minorEastAsia" w:hAnsiTheme="minorEastAsia"/>
          <w:sz w:val="21"/>
          <w:szCs w:val="21"/>
        </w:rPr>
        <w:footnoteReference w:id="17"/>
      </w:r>
      <w:r w:rsidRPr="00B01FC1">
        <w:rPr>
          <w:rFonts w:asciiTheme="minorEastAsia" w:eastAsiaTheme="minorEastAsia" w:hAnsiTheme="minorEastAsia" w:hint="eastAsia"/>
          <w:sz w:val="21"/>
          <w:szCs w:val="21"/>
        </w:rPr>
        <w:t>根据与14个知识产权局达成的现有和新的定制化协议，学院对面向国家目标受众的入门级和以青年为重点的学习工具的持续改编需求做出了回应。</w:t>
      </w:r>
      <w:r w:rsidRPr="00B01FC1">
        <w:rPr>
          <w:rStyle w:val="FootnoteReference"/>
          <w:rFonts w:asciiTheme="minorEastAsia" w:eastAsiaTheme="minorEastAsia" w:hAnsiTheme="minorEastAsia"/>
          <w:sz w:val="21"/>
          <w:szCs w:val="21"/>
        </w:rPr>
        <w:footnoteReference w:id="18"/>
      </w:r>
      <w:r w:rsidRPr="00B01FC1">
        <w:rPr>
          <w:rFonts w:asciiTheme="minorEastAsia" w:eastAsiaTheme="minorEastAsia" w:hAnsiTheme="minorEastAsia" w:hint="eastAsia"/>
          <w:sz w:val="21"/>
          <w:szCs w:val="21"/>
        </w:rPr>
        <w:t>来自发展中国家、转型国家和最不发达国家的242名政府官员参加了WIPO学院的专业发展计划，学习了学院与其伙伴机构以在线形式或混合形式联合提供的高级课程。</w:t>
      </w:r>
      <w:r w:rsidRPr="00B01FC1">
        <w:rPr>
          <w:rStyle w:val="FootnoteReference"/>
          <w:rFonts w:asciiTheme="minorEastAsia" w:eastAsiaTheme="minorEastAsia" w:hAnsiTheme="minorEastAsia"/>
          <w:iCs/>
          <w:sz w:val="21"/>
          <w:szCs w:val="21"/>
        </w:rPr>
        <w:footnoteReference w:id="19"/>
      </w:r>
      <w:r w:rsidRPr="00B01FC1">
        <w:rPr>
          <w:rFonts w:asciiTheme="minorEastAsia" w:eastAsiaTheme="minorEastAsia" w:hAnsiTheme="minorEastAsia" w:hint="eastAsia"/>
          <w:sz w:val="21"/>
          <w:szCs w:val="21"/>
        </w:rPr>
        <w:lastRenderedPageBreak/>
        <w:t>随着采取基于技能培养的专业发展计划课程这一新形式，</w:t>
      </w:r>
      <w:r w:rsidRPr="00B01FC1">
        <w:rPr>
          <w:rStyle w:val="FootnoteReference"/>
          <w:rFonts w:asciiTheme="minorEastAsia" w:eastAsiaTheme="minorEastAsia" w:hAnsiTheme="minorEastAsia"/>
          <w:sz w:val="21"/>
          <w:szCs w:val="21"/>
        </w:rPr>
        <w:footnoteReference w:id="20"/>
      </w:r>
      <w:r w:rsidRPr="00B01FC1">
        <w:rPr>
          <w:rFonts w:asciiTheme="minorEastAsia" w:eastAsiaTheme="minorEastAsia" w:hAnsiTheme="minorEastAsia" w:hint="eastAsia"/>
          <w:sz w:val="21"/>
          <w:szCs w:val="21"/>
        </w:rPr>
        <w:t>政府官员就其各自国家办事处感兴趣的具体专题进行了为期16周的研究，共提出206个项目，并已付诸实施。</w:t>
      </w:r>
    </w:p>
    <w:p w14:paraId="0058B2D2"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联合硕士学位项目是学院工作的另一重要部分，尤其是旨在面向发展中国家、最不发达国家和经济转型国家的学员。2022年，学院向251名学员提供了8个联合硕士学位项目，并通过开发课程、提供知识产权参考资料以及为国际讲师提供支持，进一步为大学提供支持。此外，在日内瓦举行的产权组织和世界贸易组织（世贸组织）专题讨论会为知识产权教师和研究人员提供了在线支持。</w:t>
      </w:r>
    </w:p>
    <w:p w14:paraId="65D0CAE6" w14:textId="77777777" w:rsidR="00E733EF" w:rsidRPr="00B01FC1" w:rsidRDefault="00191652" w:rsidP="00B01FC1">
      <w:pPr>
        <w:pStyle w:val="Heading2"/>
        <w:spacing w:beforeLines="100" w:afterLines="100" w:after="240" w:line="340" w:lineRule="atLeast"/>
        <w:jc w:val="both"/>
        <w:rPr>
          <w:b/>
          <w:bCs w:val="0"/>
          <w:sz w:val="21"/>
          <w:szCs w:val="21"/>
        </w:rPr>
      </w:pPr>
      <w:r w:rsidRPr="00B01FC1">
        <w:rPr>
          <w:rFonts w:hint="eastAsia"/>
          <w:b/>
          <w:bCs w:val="0"/>
          <w:sz w:val="21"/>
          <w:szCs w:val="21"/>
        </w:rPr>
        <w:t>知识产权与发展</w:t>
      </w:r>
    </w:p>
    <w:p w14:paraId="1604C4A2"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在</w:t>
      </w:r>
      <w:r w:rsidRPr="0043124D">
        <w:rPr>
          <w:rFonts w:ascii="KaiTi" w:eastAsia="KaiTi" w:hAnsi="KaiTi" w:hint="eastAsia"/>
          <w:sz w:val="21"/>
          <w:szCs w:val="21"/>
        </w:rPr>
        <w:t>“知识产权与发展”</w:t>
      </w:r>
      <w:r w:rsidRPr="00B01FC1">
        <w:rPr>
          <w:rFonts w:asciiTheme="minorEastAsia" w:eastAsiaTheme="minorEastAsia" w:hAnsiTheme="minorEastAsia" w:hint="eastAsia"/>
          <w:sz w:val="21"/>
          <w:szCs w:val="21"/>
        </w:rPr>
        <w:t>的议程项目下，根据成员国提出并商定的议题，CDIP继续在每届会议上讨论一个议题。</w:t>
      </w:r>
      <w:r w:rsidRPr="00B01FC1">
        <w:rPr>
          <w:rStyle w:val="FootnoteReference"/>
          <w:rFonts w:asciiTheme="minorEastAsia" w:eastAsiaTheme="minorEastAsia" w:hAnsiTheme="minorEastAsia"/>
          <w:sz w:val="21"/>
          <w:szCs w:val="21"/>
        </w:rPr>
        <w:footnoteReference w:id="21"/>
      </w:r>
      <w:r w:rsidRPr="00B01FC1">
        <w:rPr>
          <w:rFonts w:asciiTheme="minorEastAsia" w:eastAsiaTheme="minorEastAsia" w:hAnsiTheme="minorEastAsia" w:hint="eastAsia"/>
          <w:sz w:val="21"/>
          <w:szCs w:val="21"/>
        </w:rPr>
        <w:t>这一议程项目成为深入讨论所选议题以及产权组织在该领域现有工作和未来方向的平台。其还为成员国提供了一个机会，以分享经验和成员国对本组织在知识产权各领域的工作和技术援助的期望。在2022年5月16日至20日举行的第二十八届会议期间，委员会讨论了议题</w:t>
      </w:r>
      <w:r w:rsidRPr="0043124D">
        <w:rPr>
          <w:rFonts w:ascii="KaiTi" w:eastAsia="KaiTi" w:hAnsi="KaiTi" w:hint="eastAsia"/>
          <w:sz w:val="21"/>
          <w:szCs w:val="21"/>
        </w:rPr>
        <w:t>“知识产权与创新：企业家的商标和外观设计战略”</w:t>
      </w:r>
      <w:r w:rsidRPr="00B01FC1">
        <w:rPr>
          <w:rFonts w:asciiTheme="minorEastAsia" w:eastAsiaTheme="minorEastAsia" w:hAnsiTheme="minorEastAsia" w:hint="eastAsia"/>
          <w:sz w:val="21"/>
          <w:szCs w:val="21"/>
        </w:rPr>
        <w:t>。在秘书处的详细介绍后，</w:t>
      </w:r>
      <w:r w:rsidRPr="00B01FC1">
        <w:rPr>
          <w:rStyle w:val="FootnoteReference"/>
          <w:rFonts w:asciiTheme="minorEastAsia" w:eastAsiaTheme="minorEastAsia" w:hAnsiTheme="minorEastAsia"/>
          <w:sz w:val="21"/>
          <w:szCs w:val="21"/>
        </w:rPr>
        <w:footnoteReference w:id="22"/>
      </w:r>
      <w:r w:rsidRPr="00B01FC1">
        <w:rPr>
          <w:rFonts w:asciiTheme="minorEastAsia" w:eastAsiaTheme="minorEastAsia" w:hAnsiTheme="minorEastAsia" w:hint="eastAsia"/>
          <w:sz w:val="21"/>
          <w:szCs w:val="21"/>
        </w:rPr>
        <w:t>各成员国分享了各自国家在企业家的商标和外观设计战略方面的观点、经验和做法。在2022年10月17日至21日举行的第二十九届会议期间，委员会讨论了议题</w:t>
      </w:r>
      <w:r w:rsidRPr="0043124D">
        <w:rPr>
          <w:rFonts w:ascii="KaiTi" w:eastAsia="KaiTi" w:hAnsi="KaiTi" w:hint="eastAsia"/>
          <w:sz w:val="21"/>
          <w:szCs w:val="21"/>
        </w:rPr>
        <w:t>“知识产权与技术转让”</w:t>
      </w:r>
      <w:r w:rsidRPr="00B01FC1">
        <w:rPr>
          <w:rFonts w:asciiTheme="minorEastAsia" w:eastAsiaTheme="minorEastAsia" w:hAnsiTheme="minorEastAsia" w:hint="eastAsia"/>
          <w:sz w:val="21"/>
          <w:szCs w:val="21"/>
        </w:rPr>
        <w:t>。委员会听取了秘书处关于这一议题的两次介绍</w:t>
      </w:r>
      <w:r w:rsidRPr="00B01FC1">
        <w:rPr>
          <w:rStyle w:val="FootnoteReference"/>
          <w:rFonts w:asciiTheme="minorEastAsia" w:eastAsiaTheme="minorEastAsia" w:hAnsiTheme="minorEastAsia"/>
          <w:sz w:val="21"/>
          <w:szCs w:val="21"/>
        </w:rPr>
        <w:footnoteReference w:id="23"/>
      </w:r>
      <w:r w:rsidRPr="00B01FC1">
        <w:rPr>
          <w:rFonts w:asciiTheme="minorEastAsia" w:eastAsiaTheme="minorEastAsia" w:hAnsiTheme="minorEastAsia" w:hint="eastAsia"/>
          <w:sz w:val="21"/>
          <w:szCs w:val="21"/>
        </w:rPr>
        <w:t>，随后一些代表团介绍了本国的经验。关于这一议题的丰富讨论包括分享各自国家支持和促进知识产权商业化和技术转让的国家政策、做法和现有工具。此外，委员会还商定在CDIP第二十九届会议之后将在该议程项目下讨论的议题，即在第三十届会议上讨论议题</w:t>
      </w:r>
      <w:r w:rsidRPr="00AA1044">
        <w:rPr>
          <w:rFonts w:ascii="KaiTi" w:eastAsia="KaiTi" w:hAnsi="KaiTi" w:hint="eastAsia"/>
          <w:sz w:val="21"/>
          <w:szCs w:val="21"/>
        </w:rPr>
        <w:t>“知识产权与青年：投资于未来”，以及在CDIP第三十一届会议上讨论议题“应对气候变化挑战：知识产权助力实现‘双碳’目标”</w:t>
      </w:r>
      <w:r w:rsidRPr="00B01FC1">
        <w:rPr>
          <w:rFonts w:asciiTheme="minorEastAsia" w:eastAsiaTheme="minorEastAsia" w:hAnsiTheme="minorEastAsia" w:hint="eastAsia"/>
          <w:sz w:val="21"/>
          <w:szCs w:val="21"/>
        </w:rPr>
        <w:t>。</w:t>
      </w:r>
    </w:p>
    <w:p w14:paraId="03360D1C"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在审议关于主题为</w:t>
      </w:r>
      <w:r w:rsidRPr="00AA1044">
        <w:rPr>
          <w:rFonts w:ascii="KaiTi" w:eastAsia="KaiTi" w:hAnsi="KaiTi" w:hint="eastAsia"/>
          <w:sz w:val="21"/>
          <w:szCs w:val="21"/>
        </w:rPr>
        <w:t>“绿色技术创新促进可持续发展”</w:t>
      </w:r>
      <w:r w:rsidRPr="00B01FC1">
        <w:rPr>
          <w:rFonts w:asciiTheme="minorEastAsia" w:eastAsiaTheme="minorEastAsia" w:hAnsiTheme="minorEastAsia" w:hint="eastAsia"/>
          <w:sz w:val="21"/>
          <w:szCs w:val="21"/>
        </w:rPr>
        <w:t>的第二届知识产权与发展国际会议的报告时，</w:t>
      </w:r>
      <w:r w:rsidRPr="00B01FC1">
        <w:rPr>
          <w:rStyle w:val="FootnoteReference"/>
          <w:rFonts w:asciiTheme="minorEastAsia" w:eastAsiaTheme="minorEastAsia" w:hAnsiTheme="minorEastAsia"/>
          <w:sz w:val="21"/>
          <w:szCs w:val="21"/>
        </w:rPr>
        <w:footnoteReference w:id="24"/>
      </w:r>
      <w:r w:rsidRPr="00B01FC1">
        <w:rPr>
          <w:rFonts w:asciiTheme="minorEastAsia" w:eastAsiaTheme="minorEastAsia" w:hAnsiTheme="minorEastAsia" w:hint="eastAsia"/>
          <w:sz w:val="21"/>
          <w:szCs w:val="21"/>
        </w:rPr>
        <w:t>委员会赞扬了秘书处为组织这次会议所做的努力，并对发言者的发言表示赞赏。委员会决定，将在2023年举行的两年一次的知识产权与发展国际会议的分议题是</w:t>
      </w:r>
      <w:r w:rsidRPr="00AA1044">
        <w:rPr>
          <w:rFonts w:ascii="KaiTi" w:eastAsia="KaiTi" w:hAnsi="KaiTi" w:hint="eastAsia"/>
          <w:sz w:val="21"/>
          <w:szCs w:val="21"/>
        </w:rPr>
        <w:t>“知识产权和创新促进可持续农业”</w:t>
      </w:r>
      <w:r w:rsidRPr="00B01FC1">
        <w:rPr>
          <w:rFonts w:asciiTheme="minorEastAsia" w:eastAsiaTheme="minorEastAsia" w:hAnsiTheme="minorEastAsia" w:hint="eastAsia"/>
          <w:sz w:val="21"/>
          <w:szCs w:val="21"/>
        </w:rPr>
        <w:t>。此外，委员会同意</w:t>
      </w:r>
      <w:r w:rsidRPr="00AA1044">
        <w:rPr>
          <w:rFonts w:ascii="KaiTi" w:eastAsia="KaiTi" w:hAnsi="KaiTi" w:hint="eastAsia"/>
          <w:sz w:val="21"/>
          <w:szCs w:val="21"/>
        </w:rPr>
        <w:t>非洲集团的提案</w:t>
      </w:r>
      <w:r w:rsidRPr="00B01FC1">
        <w:rPr>
          <w:rFonts w:asciiTheme="minorEastAsia" w:eastAsiaTheme="minorEastAsia" w:hAnsiTheme="minorEastAsia" w:hint="eastAsia"/>
          <w:sz w:val="21"/>
          <w:szCs w:val="21"/>
        </w:rPr>
        <w:t>，</w:t>
      </w:r>
      <w:r w:rsidRPr="00B01FC1">
        <w:rPr>
          <w:rStyle w:val="FootnoteReference"/>
          <w:rFonts w:asciiTheme="minorEastAsia" w:eastAsiaTheme="minorEastAsia" w:hAnsiTheme="minorEastAsia"/>
          <w:sz w:val="21"/>
          <w:szCs w:val="21"/>
        </w:rPr>
        <w:footnoteReference w:id="25"/>
      </w:r>
      <w:r w:rsidRPr="00B01FC1">
        <w:rPr>
          <w:rFonts w:asciiTheme="minorEastAsia" w:eastAsiaTheme="minorEastAsia" w:hAnsiTheme="minorEastAsia" w:hint="eastAsia"/>
          <w:sz w:val="21"/>
          <w:szCs w:val="21"/>
        </w:rPr>
        <w:t>即从CDIP第三十四届会议开始，两年一次、再召开三次知识产权与发展国际会议，于CDIP周的第一天举行。这些会议的分议题须经成员国同意。</w:t>
      </w:r>
    </w:p>
    <w:p w14:paraId="416D4112" w14:textId="77777777" w:rsidR="00E733EF" w:rsidRPr="00B01FC1" w:rsidRDefault="00191652" w:rsidP="00B01FC1">
      <w:pPr>
        <w:pStyle w:val="Heading2"/>
        <w:spacing w:beforeLines="100" w:afterLines="100" w:after="240" w:line="340" w:lineRule="atLeast"/>
        <w:jc w:val="both"/>
        <w:rPr>
          <w:b/>
          <w:bCs w:val="0"/>
          <w:sz w:val="21"/>
          <w:szCs w:val="21"/>
        </w:rPr>
      </w:pPr>
      <w:r w:rsidRPr="00B01FC1">
        <w:rPr>
          <w:rFonts w:hint="eastAsia"/>
          <w:b/>
          <w:bCs w:val="0"/>
          <w:sz w:val="21"/>
          <w:szCs w:val="21"/>
        </w:rPr>
        <w:t>知识产权制度中的灵活性</w:t>
      </w:r>
    </w:p>
    <w:p w14:paraId="17661CB8" w14:textId="77777777" w:rsidR="00E733EF" w:rsidRPr="00B01FC1" w:rsidRDefault="00191652" w:rsidP="00B01F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正如文件CDIP/20/5</w:t>
      </w:r>
      <w:r w:rsidRPr="00B01FC1">
        <w:rPr>
          <w:rStyle w:val="FootnoteReference"/>
          <w:rFonts w:asciiTheme="minorEastAsia" w:eastAsiaTheme="minorEastAsia" w:hAnsiTheme="minorEastAsia"/>
          <w:sz w:val="21"/>
          <w:szCs w:val="21"/>
        </w:rPr>
        <w:footnoteReference w:id="26"/>
      </w:r>
      <w:r w:rsidRPr="00B01FC1">
        <w:rPr>
          <w:rFonts w:asciiTheme="minorEastAsia" w:eastAsiaTheme="minorEastAsia" w:hAnsiTheme="minorEastAsia" w:hint="eastAsia"/>
          <w:sz w:val="21"/>
          <w:szCs w:val="21"/>
        </w:rPr>
        <w:t>所述，灵活性数据库</w:t>
      </w:r>
      <w:r w:rsidRPr="00B01FC1">
        <w:rPr>
          <w:rStyle w:val="FootnoteReference"/>
          <w:rFonts w:asciiTheme="minorEastAsia" w:eastAsiaTheme="minorEastAsia" w:hAnsiTheme="minorEastAsia"/>
          <w:sz w:val="21"/>
          <w:szCs w:val="21"/>
        </w:rPr>
        <w:footnoteReference w:id="27"/>
      </w:r>
      <w:r w:rsidRPr="00B01FC1">
        <w:rPr>
          <w:rFonts w:asciiTheme="minorEastAsia" w:eastAsiaTheme="minorEastAsia" w:hAnsiTheme="minorEastAsia" w:hint="eastAsia"/>
          <w:sz w:val="21"/>
          <w:szCs w:val="21"/>
        </w:rPr>
        <w:t>所载信息得到继续传播，该文件尤其介绍了传播该数据库所载信息的措施。可在该数据库中检索国家知识产权法中的灵活性在选定管辖区域内的实施情况。根据委员会在2016年第十八届会议上达成的一致意见，数据库的输入页面含有关于其更新机制的信息。该机制要求成员国通过正式通函向秘书处提供与数据库中包含的灵活性有关的国家规定的更</w:t>
      </w:r>
      <w:r w:rsidRPr="00B01FC1">
        <w:rPr>
          <w:rFonts w:asciiTheme="minorEastAsia" w:eastAsiaTheme="minorEastAsia" w:hAnsiTheme="minorEastAsia" w:hint="eastAsia"/>
          <w:sz w:val="21"/>
          <w:szCs w:val="21"/>
        </w:rPr>
        <w:lastRenderedPageBreak/>
        <w:t>新。</w:t>
      </w:r>
      <w:r w:rsidRPr="00B01FC1">
        <w:rPr>
          <w:rStyle w:val="FootnoteReference"/>
          <w:rFonts w:asciiTheme="minorEastAsia" w:eastAsiaTheme="minorEastAsia" w:hAnsiTheme="minorEastAsia"/>
          <w:sz w:val="21"/>
          <w:szCs w:val="21"/>
        </w:rPr>
        <w:footnoteReference w:id="28"/>
      </w:r>
      <w:r w:rsidRPr="00B01FC1">
        <w:rPr>
          <w:rFonts w:asciiTheme="minorEastAsia" w:eastAsiaTheme="minorEastAsia" w:hAnsiTheme="minorEastAsia" w:hint="eastAsia"/>
          <w:sz w:val="21"/>
          <w:szCs w:val="21"/>
        </w:rPr>
        <w:t>所通知的更新将立即以名为“成员国更新”的新字段列入数据库。2022年，成员国没有提交任何更新。</w:t>
      </w:r>
    </w:p>
    <w:p w14:paraId="69D3F087" w14:textId="77777777" w:rsidR="00E733EF" w:rsidRPr="00F311B1" w:rsidRDefault="00191652" w:rsidP="00F311B1">
      <w:pPr>
        <w:pStyle w:val="Heading2"/>
        <w:spacing w:beforeLines="100" w:afterLines="100" w:after="240" w:line="340" w:lineRule="atLeast"/>
        <w:jc w:val="both"/>
        <w:rPr>
          <w:b/>
          <w:bCs w:val="0"/>
          <w:sz w:val="21"/>
          <w:szCs w:val="21"/>
        </w:rPr>
      </w:pPr>
      <w:r w:rsidRPr="00F311B1">
        <w:rPr>
          <w:rFonts w:hint="eastAsia"/>
          <w:b/>
          <w:bCs w:val="0"/>
          <w:sz w:val="21"/>
          <w:szCs w:val="21"/>
        </w:rPr>
        <w:t>妇女与知识产权</w:t>
      </w:r>
    </w:p>
    <w:p w14:paraId="02BF549F" w14:textId="77777777" w:rsidR="00E733EF" w:rsidRPr="00F311B1" w:rsidRDefault="00191652"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311B1">
        <w:rPr>
          <w:rFonts w:asciiTheme="minorEastAsia" w:eastAsiaTheme="minorEastAsia" w:hAnsiTheme="minorEastAsia" w:hint="eastAsia"/>
          <w:sz w:val="21"/>
          <w:szCs w:val="21"/>
        </w:rPr>
        <w:t>产权组织继续促进性别平衡和增强妇女在知识产权领域的参与能力。根据CDIP做出的一项决定，通过一系列关于</w:t>
      </w:r>
      <w:r w:rsidRPr="00AA1044">
        <w:rPr>
          <w:rFonts w:ascii="KaiTi" w:eastAsia="KaiTi" w:hAnsi="KaiTi" w:hint="eastAsia"/>
          <w:sz w:val="21"/>
          <w:szCs w:val="21"/>
        </w:rPr>
        <w:t>“缩小知识产权性别差距”</w:t>
      </w:r>
      <w:r w:rsidRPr="00F311B1">
        <w:rPr>
          <w:rFonts w:asciiTheme="minorEastAsia" w:eastAsiaTheme="minorEastAsia" w:hAnsiTheme="minorEastAsia" w:hint="eastAsia"/>
          <w:sz w:val="21"/>
          <w:szCs w:val="21"/>
        </w:rPr>
        <w:t>的分享会，产权组织设立了一个论坛，以提高对妇女赋能的重要性和增加妇女在知识产权生态系统中的参与问题的认识。在2022年5月举行的第二十八届会议上，在审议“妇女与知识产权交流会报告”时，</w:t>
      </w:r>
      <w:r w:rsidRPr="00F311B1">
        <w:rPr>
          <w:rStyle w:val="FootnoteReference"/>
          <w:rFonts w:asciiTheme="minorEastAsia" w:eastAsiaTheme="minorEastAsia" w:hAnsiTheme="minorEastAsia"/>
          <w:sz w:val="21"/>
          <w:szCs w:val="21"/>
        </w:rPr>
        <w:footnoteReference w:id="29"/>
      </w:r>
      <w:r w:rsidRPr="00F311B1">
        <w:rPr>
          <w:rFonts w:asciiTheme="minorEastAsia" w:eastAsiaTheme="minorEastAsia" w:hAnsiTheme="minorEastAsia" w:hint="eastAsia"/>
          <w:sz w:val="21"/>
          <w:szCs w:val="21"/>
        </w:rPr>
        <w:t>委员会对三场交流会的成功召开表示赞赏，这三场交流会探讨了妇女在利用知识产权制度方面面临的障碍，并探讨了该领域的良好做法和现有的多利益攸关方倡议。关于</w:t>
      </w:r>
      <w:r w:rsidRPr="00AA1044">
        <w:rPr>
          <w:rFonts w:ascii="KaiTi" w:eastAsia="KaiTi" w:hAnsi="KaiTi" w:hint="eastAsia"/>
          <w:sz w:val="21"/>
          <w:szCs w:val="21"/>
        </w:rPr>
        <w:t>妇女、知识产权和旅游业</w:t>
      </w:r>
      <w:r w:rsidRPr="00F311B1">
        <w:rPr>
          <w:rFonts w:asciiTheme="minorEastAsia" w:eastAsiaTheme="minorEastAsia" w:hAnsiTheme="minorEastAsia" w:hint="eastAsia"/>
          <w:sz w:val="21"/>
          <w:szCs w:val="21"/>
        </w:rPr>
        <w:t>的交流会于2022年11月15日举行。</w:t>
      </w:r>
      <w:r w:rsidRPr="00F311B1">
        <w:rPr>
          <w:rStyle w:val="FootnoteReference"/>
          <w:rFonts w:asciiTheme="minorEastAsia" w:eastAsiaTheme="minorEastAsia" w:hAnsiTheme="minorEastAsia"/>
          <w:sz w:val="21"/>
          <w:szCs w:val="21"/>
        </w:rPr>
        <w:footnoteReference w:id="30"/>
      </w:r>
      <w:r w:rsidRPr="00F311B1">
        <w:rPr>
          <w:rFonts w:asciiTheme="minorEastAsia" w:eastAsiaTheme="minorEastAsia" w:hAnsiTheme="minorEastAsia" w:hint="eastAsia"/>
          <w:sz w:val="21"/>
          <w:szCs w:val="21"/>
        </w:rPr>
        <w:t>通过当地手工艺品生产和葡萄酒旅游以及天文旅游和农业旅游等实际例子，不同地区的妇女专家和企业家强调了如何利用知识产权来支持旅游相关企业的发展，同时鼓励妇女参与该领域并为之作出贡献。来自110多个国家的300多名与会者参加了分享会。这一系列的交流会将继续举办，以讨论可能有助于缩小知识产权性别差距的其他议题。</w:t>
      </w:r>
    </w:p>
    <w:p w14:paraId="649A0597" w14:textId="37DD41E5" w:rsidR="00E733EF" w:rsidRPr="00F311B1" w:rsidRDefault="00191652"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311B1">
        <w:rPr>
          <w:rFonts w:asciiTheme="minorEastAsia" w:eastAsiaTheme="minorEastAsia" w:hAnsiTheme="minorEastAsia" w:hint="eastAsia"/>
          <w:sz w:val="21"/>
          <w:szCs w:val="21"/>
        </w:rPr>
        <w:t>该部门继续在乌干达实施“女企业家知识产权项目”，</w:t>
      </w:r>
      <w:r w:rsidRPr="00F311B1">
        <w:rPr>
          <w:rStyle w:val="FootnoteReference"/>
          <w:rFonts w:asciiTheme="minorEastAsia" w:eastAsiaTheme="minorEastAsia" w:hAnsiTheme="minorEastAsia"/>
          <w:sz w:val="21"/>
          <w:szCs w:val="21"/>
        </w:rPr>
        <w:footnoteReference w:id="31"/>
      </w:r>
      <w:r w:rsidRPr="00F311B1">
        <w:rPr>
          <w:rFonts w:asciiTheme="minorEastAsia" w:eastAsiaTheme="minorEastAsia" w:hAnsiTheme="minorEastAsia" w:hint="eastAsia"/>
          <w:sz w:val="21"/>
          <w:szCs w:val="21"/>
        </w:rPr>
        <w:t>旨在指导女企业家利用知识产权制度建立品牌、开发产品和实现商业化。对70名女企业家的指导帮助她们在乌干达注册服务局为产品注册了70个商标证书，产品范围涵盖时装、化妆品、包装食品、液体洗涤剂、固体肥皂和葡萄酒。项目的成功实施使产权组织得以建立一个可持续的项目模式，从而在苏丹和柬埔寨等其他最不发达国家进行推广。该项目在商业化和创业方面的实际指导阶段侧重于产生切实的影响，即：(i)通过推广女企业家的品牌并将她们与更多的制造商和客户联系起来，帮助扩大女企业家的商业机会；(ii)增加产品的销售；(iii)通过创造当地就业机会为减贫做出贡献；以及(iv)加强70名女企业家之间的商业沟通联络。该试点项目还使受益的女企业家可以分享其经验，并激励其他女企业家利用知识产权的潜力促进企业发展。不丹和坦桑尼亚也表示有兴趣合作开展类似活动。</w:t>
      </w:r>
      <w:r w:rsidRPr="00AA1044">
        <w:rPr>
          <w:rFonts w:ascii="KaiTi" w:eastAsia="KaiTi" w:hAnsi="KaiTi" w:hint="eastAsia"/>
          <w:sz w:val="21"/>
          <w:szCs w:val="21"/>
        </w:rPr>
        <w:t>“亚太地区女性创新者和企业家计划”</w:t>
      </w:r>
      <w:r w:rsidRPr="00F311B1">
        <w:rPr>
          <w:rStyle w:val="FootnoteReference"/>
          <w:rFonts w:asciiTheme="minorEastAsia" w:eastAsiaTheme="minorEastAsia" w:hAnsiTheme="minorEastAsia"/>
          <w:i/>
          <w:sz w:val="21"/>
          <w:szCs w:val="21"/>
        </w:rPr>
        <w:footnoteReference w:id="32"/>
      </w:r>
      <w:r w:rsidRPr="00F311B1">
        <w:rPr>
          <w:rFonts w:asciiTheme="minorEastAsia" w:eastAsiaTheme="minorEastAsia" w:hAnsiTheme="minorEastAsia" w:hint="eastAsia"/>
          <w:sz w:val="21"/>
          <w:szCs w:val="21"/>
        </w:rPr>
        <w:t>也于2022年启动，共12期网络研讨会，每周举行一期，每周有来自斯里兰卡、尼泊尔、越南、印度和中国的50名与会者参加。该计划后来扩大到印度尼西亚，举行了</w:t>
      </w:r>
      <w:r w:rsidRPr="00AA1044">
        <w:rPr>
          <w:rFonts w:ascii="KaiTi" w:eastAsia="KaiTi" w:hAnsi="KaiTi" w:hint="eastAsia"/>
          <w:sz w:val="21"/>
          <w:szCs w:val="21"/>
        </w:rPr>
        <w:t>“与印度尼西亚女性创新者和企业家的知识产权对话”</w:t>
      </w:r>
      <w:r w:rsidRPr="00F311B1">
        <w:rPr>
          <w:rFonts w:asciiTheme="minorEastAsia" w:eastAsiaTheme="minorEastAsia" w:hAnsiTheme="minorEastAsia" w:hint="eastAsia"/>
          <w:sz w:val="21"/>
          <w:szCs w:val="21"/>
        </w:rPr>
        <w:t>启动会，有80名妇女参加。“拉丁美洲知识产权和性别网络”</w:t>
      </w:r>
      <w:r w:rsidRPr="00F311B1">
        <w:rPr>
          <w:rStyle w:val="FootnoteReference"/>
          <w:rFonts w:asciiTheme="minorEastAsia" w:eastAsiaTheme="minorEastAsia" w:hAnsiTheme="minorEastAsia"/>
          <w:sz w:val="21"/>
          <w:szCs w:val="21"/>
        </w:rPr>
        <w:footnoteReference w:id="33"/>
      </w:r>
      <w:r w:rsidRPr="00F311B1">
        <w:rPr>
          <w:rFonts w:asciiTheme="minorEastAsia" w:eastAsiaTheme="minorEastAsia" w:hAnsiTheme="minorEastAsia" w:hint="eastAsia"/>
          <w:sz w:val="21"/>
          <w:szCs w:val="21"/>
        </w:rPr>
        <w:t>是值得一提的又一个倡议。2022年，又有六个知识产权局加入了该网络，</w:t>
      </w:r>
      <w:r w:rsidRPr="00F311B1">
        <w:rPr>
          <w:rStyle w:val="FootnoteReference"/>
          <w:rFonts w:asciiTheme="minorEastAsia" w:eastAsiaTheme="minorEastAsia" w:hAnsiTheme="minorEastAsia"/>
          <w:sz w:val="21"/>
          <w:szCs w:val="21"/>
        </w:rPr>
        <w:footnoteReference w:id="34"/>
      </w:r>
      <w:r w:rsidRPr="00F311B1">
        <w:rPr>
          <w:rFonts w:asciiTheme="minorEastAsia" w:eastAsiaTheme="minorEastAsia" w:hAnsiTheme="minorEastAsia" w:hint="eastAsia"/>
          <w:sz w:val="21"/>
          <w:szCs w:val="21"/>
        </w:rPr>
        <w:t>使其成员总数达到10个知识产权局。产权组织提出该网络的概念方法，包括其结构和职能。产权组织还协助并参加该网络的大会会议，并支持在其技术委员会范围内开展行动，特别是组织一次创新妇女竞赛。此外，本组织还为开发该网络的网页以及纳入葡萄牙文和英文提供了支持。</w:t>
      </w:r>
    </w:p>
    <w:p w14:paraId="4DF7405C" w14:textId="77777777" w:rsidR="00E733EF" w:rsidRPr="00F311B1" w:rsidRDefault="00191652"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311B1">
        <w:rPr>
          <w:rFonts w:asciiTheme="minorEastAsia" w:eastAsiaTheme="minorEastAsia" w:hAnsiTheme="minorEastAsia" w:hint="eastAsia"/>
          <w:sz w:val="21"/>
          <w:szCs w:val="21"/>
        </w:rPr>
        <w:lastRenderedPageBreak/>
        <w:t>WIPO学院继续与欧莱雅-教科文组织女性参与科学计划开展合作，为女科学家提供线上和线下混合式知识产权培训机会。已达成一项有关使用韩国信托基金来扩展该计划以举办为期五天的知识产权、科学和创新培训的协议。已编写一本知识产权与科学创新的小册子，作为参加培训项目的女科学家带回家的实用指南。</w:t>
      </w:r>
    </w:p>
    <w:p w14:paraId="216CDD0B" w14:textId="77777777" w:rsidR="00E733EF" w:rsidRPr="00F311B1" w:rsidRDefault="00191652" w:rsidP="00F311B1">
      <w:pPr>
        <w:pStyle w:val="Heading2"/>
        <w:spacing w:beforeLines="100" w:afterLines="100" w:after="240" w:line="340" w:lineRule="atLeast"/>
        <w:jc w:val="both"/>
        <w:rPr>
          <w:b/>
          <w:bCs w:val="0"/>
          <w:sz w:val="21"/>
          <w:szCs w:val="21"/>
        </w:rPr>
      </w:pPr>
      <w:r w:rsidRPr="00F311B1">
        <w:rPr>
          <w:rFonts w:hint="eastAsia"/>
          <w:b/>
          <w:bCs w:val="0"/>
          <w:sz w:val="21"/>
          <w:szCs w:val="21"/>
        </w:rPr>
        <w:t>产权组织机构</w:t>
      </w:r>
    </w:p>
    <w:p w14:paraId="6868BDBE" w14:textId="77777777" w:rsidR="00E733EF" w:rsidRPr="00F311B1" w:rsidRDefault="00191652"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311B1">
        <w:rPr>
          <w:rFonts w:asciiTheme="minorEastAsia" w:eastAsiaTheme="minorEastAsia" w:hAnsiTheme="minorEastAsia" w:hint="eastAsia"/>
          <w:sz w:val="21"/>
          <w:szCs w:val="21"/>
        </w:rPr>
        <w:t xml:space="preserve">该部门是产权组织发展议程的管理机构。发展议程的跨组织协调使发展议程建议能够在发展与知识产权委员会（CDIP）指导的基础上在整个产权组织得到落实和实现主流化。 </w:t>
      </w:r>
    </w:p>
    <w:p w14:paraId="15441E8F" w14:textId="5F48F73A" w:rsidR="00E733EF" w:rsidRPr="00F311B1" w:rsidRDefault="00191652"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311B1">
        <w:rPr>
          <w:rFonts w:asciiTheme="minorEastAsia" w:eastAsiaTheme="minorEastAsia" w:hAnsiTheme="minorEastAsia" w:hint="eastAsia"/>
          <w:sz w:val="21"/>
          <w:szCs w:val="21"/>
        </w:rPr>
        <w:t>在本报告所述期间，CDIP以混合形式举行了两届会议，一届是在2022年5月16日至20日举行的第二十八届会议，另一届是在2022年10月17日至21日举行的第二十九届会议。成员国继续表现出对CDIP工作的承诺，并表示支持产权组织在落实发展议程建议并将其纳入主流方面取得的进展。CDIP批准了两个新的项目提案，使到2022年底批准的发展议程项目总数增加到48个。CDIP第二十九届会议批准了以下两个项目：</w:t>
      </w:r>
    </w:p>
    <w:p w14:paraId="71550314" w14:textId="77777777" w:rsidR="00E733EF" w:rsidRPr="00F311B1" w:rsidRDefault="00191652" w:rsidP="00F311B1">
      <w:pPr>
        <w:pStyle w:val="ListParagraph"/>
        <w:numPr>
          <w:ilvl w:val="0"/>
          <w:numId w:val="6"/>
        </w:numPr>
        <w:overflowPunct w:val="0"/>
        <w:spacing w:afterLines="50" w:after="120" w:line="340" w:lineRule="atLeast"/>
        <w:contextualSpacing w:val="0"/>
        <w:jc w:val="both"/>
        <w:rPr>
          <w:rFonts w:asciiTheme="minorEastAsia" w:eastAsiaTheme="minorEastAsia" w:hAnsiTheme="minorEastAsia"/>
          <w:sz w:val="21"/>
          <w:szCs w:val="21"/>
        </w:rPr>
      </w:pPr>
      <w:r w:rsidRPr="00F311B1">
        <w:rPr>
          <w:rFonts w:asciiTheme="minorEastAsia" w:eastAsiaTheme="minorEastAsia" w:hAnsiTheme="minorEastAsia" w:hint="eastAsia"/>
          <w:sz w:val="21"/>
          <w:szCs w:val="21"/>
        </w:rPr>
        <w:t>突尼斯提交的关于</w:t>
      </w:r>
      <w:r w:rsidRPr="00AA1044">
        <w:rPr>
          <w:rFonts w:ascii="KaiTi" w:eastAsia="KaiTi" w:hAnsi="KaiTi" w:hint="eastAsia"/>
          <w:sz w:val="21"/>
          <w:szCs w:val="21"/>
        </w:rPr>
        <w:t>“通过创新和知识产权减少与工作有关的事故和职业病”</w:t>
      </w:r>
      <w:r w:rsidRPr="00F311B1">
        <w:rPr>
          <w:rFonts w:asciiTheme="minorEastAsia" w:eastAsiaTheme="minorEastAsia" w:hAnsiTheme="minorEastAsia" w:hint="eastAsia"/>
          <w:sz w:val="21"/>
          <w:szCs w:val="21"/>
        </w:rPr>
        <w:t>的经修订项目提案。该项目于2023年1月开始实施。其目的是要落实发展议程建议1、10、19、30、31和45。</w:t>
      </w:r>
    </w:p>
    <w:p w14:paraId="6563F9C5" w14:textId="77777777" w:rsidR="00E733EF" w:rsidRPr="00F311B1" w:rsidRDefault="00191652" w:rsidP="00F311B1">
      <w:pPr>
        <w:pStyle w:val="ListParagraph"/>
        <w:numPr>
          <w:ilvl w:val="0"/>
          <w:numId w:val="6"/>
        </w:numPr>
        <w:overflowPunct w:val="0"/>
        <w:spacing w:afterLines="50" w:after="120" w:line="340" w:lineRule="atLeast"/>
        <w:contextualSpacing w:val="0"/>
        <w:jc w:val="both"/>
        <w:rPr>
          <w:rFonts w:asciiTheme="minorEastAsia" w:eastAsiaTheme="minorEastAsia" w:hAnsiTheme="minorEastAsia"/>
          <w:i/>
          <w:sz w:val="21"/>
          <w:szCs w:val="21"/>
        </w:rPr>
      </w:pPr>
      <w:r w:rsidRPr="00F311B1">
        <w:rPr>
          <w:rFonts w:asciiTheme="minorEastAsia" w:eastAsiaTheme="minorEastAsia" w:hAnsiTheme="minorEastAsia" w:hint="eastAsia"/>
          <w:sz w:val="21"/>
          <w:szCs w:val="21"/>
        </w:rPr>
        <w:t>关于</w:t>
      </w:r>
      <w:r w:rsidRPr="00AA1044">
        <w:rPr>
          <w:rFonts w:ascii="KaiTi" w:eastAsia="KaiTi" w:hAnsi="KaiTi" w:hint="eastAsia"/>
          <w:sz w:val="21"/>
          <w:szCs w:val="21"/>
        </w:rPr>
        <w:t>“加强软件部门运用知识产权开发移动应用程序”</w:t>
      </w:r>
      <w:r w:rsidRPr="00F311B1">
        <w:rPr>
          <w:rFonts w:asciiTheme="minorEastAsia" w:eastAsiaTheme="minorEastAsia" w:hAnsiTheme="minorEastAsia" w:hint="eastAsia"/>
          <w:sz w:val="21"/>
          <w:szCs w:val="21"/>
        </w:rPr>
        <w:t>的项目第二阶段提案。该项目于2023年1月开始实施。其目的是要落实发展议程建议4、11、23、24和27。</w:t>
      </w:r>
    </w:p>
    <w:p w14:paraId="4771DCCC" w14:textId="01BE4395" w:rsidR="00E733EF" w:rsidRPr="00F311B1" w:rsidRDefault="00191652"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311B1">
        <w:rPr>
          <w:rFonts w:asciiTheme="minorEastAsia" w:eastAsiaTheme="minorEastAsia" w:hAnsiTheme="minorEastAsia" w:hint="eastAsia"/>
          <w:sz w:val="21"/>
          <w:szCs w:val="21"/>
        </w:rPr>
        <w:t>对已完成的发展议程项目进行独立审评的过程仍是成员国对这些项目的有效性和效率进行评估并为今后的发展议程举措提供指导的一项重要工具。产权组织秘书处继续考虑审评提出的建议，并确保审评人员提出的商定建议得到适当落实。委员会讨论并审议了以下两个发展议程项目的完成和最终独立评估报告：</w:t>
      </w:r>
      <w:r w:rsidRPr="00AA1044">
        <w:rPr>
          <w:rFonts w:ascii="KaiTi" w:eastAsia="KaiTi" w:hAnsi="KaiTi" w:hint="eastAsia"/>
          <w:sz w:val="21"/>
          <w:szCs w:val="21"/>
        </w:rPr>
        <w:t>“加强软件部门运用知识产权开发移动应用程序”</w:t>
      </w:r>
      <w:r w:rsidRPr="00F311B1">
        <w:rPr>
          <w:rFonts w:asciiTheme="minorEastAsia" w:eastAsiaTheme="minorEastAsia" w:hAnsiTheme="minorEastAsia" w:hint="eastAsia"/>
          <w:sz w:val="21"/>
          <w:szCs w:val="21"/>
        </w:rPr>
        <w:t>项目和</w:t>
      </w:r>
      <w:r w:rsidRPr="00AA1044">
        <w:rPr>
          <w:rFonts w:ascii="KaiTi" w:eastAsia="KaiTi" w:hAnsi="KaiTi" w:hint="eastAsia"/>
          <w:sz w:val="21"/>
          <w:szCs w:val="21"/>
        </w:rPr>
        <w:t>“成功的发展议程项目提案用工具”</w:t>
      </w:r>
      <w:r w:rsidRPr="00F311B1">
        <w:rPr>
          <w:rFonts w:asciiTheme="minorEastAsia" w:eastAsiaTheme="minorEastAsia" w:hAnsiTheme="minorEastAsia" w:hint="eastAsia"/>
          <w:sz w:val="21"/>
          <w:szCs w:val="21"/>
        </w:rPr>
        <w:t>项目。2022年有9个发展议程项目持续实施，其实施情况已通过一份</w:t>
      </w:r>
      <w:r w:rsidRPr="00AA1044">
        <w:rPr>
          <w:rFonts w:ascii="KaiTi" w:eastAsia="KaiTi" w:hAnsi="KaiTi" w:hint="eastAsia"/>
          <w:sz w:val="21"/>
          <w:szCs w:val="21"/>
        </w:rPr>
        <w:t>“进展报告”</w:t>
      </w:r>
      <w:r w:rsidRPr="00F311B1">
        <w:rPr>
          <w:rFonts w:asciiTheme="minorEastAsia" w:eastAsiaTheme="minorEastAsia" w:hAnsiTheme="minorEastAsia" w:hint="eastAsia"/>
          <w:sz w:val="21"/>
          <w:szCs w:val="21"/>
        </w:rPr>
        <w:t>提交给委员会。</w:t>
      </w:r>
      <w:r w:rsidRPr="00F311B1">
        <w:rPr>
          <w:rStyle w:val="FootnoteReference"/>
          <w:rFonts w:asciiTheme="minorEastAsia" w:eastAsiaTheme="minorEastAsia" w:hAnsiTheme="minorEastAsia"/>
          <w:sz w:val="21"/>
          <w:szCs w:val="21"/>
        </w:rPr>
        <w:footnoteReference w:id="35"/>
      </w:r>
      <w:r w:rsidRPr="00F311B1">
        <w:rPr>
          <w:rFonts w:asciiTheme="minorEastAsia" w:eastAsiaTheme="minorEastAsia" w:hAnsiTheme="minorEastAsia" w:hint="eastAsia"/>
          <w:sz w:val="21"/>
          <w:szCs w:val="21"/>
        </w:rPr>
        <w:t>委员会对文件中经修订的报告形式表示欢迎，该文件更方便用户了解项目的实施情况。</w:t>
      </w:r>
      <w:r w:rsidRPr="00F311B1">
        <w:rPr>
          <w:rStyle w:val="FootnoteReference"/>
          <w:rFonts w:asciiTheme="minorEastAsia" w:eastAsiaTheme="minorEastAsia" w:hAnsiTheme="minorEastAsia"/>
          <w:sz w:val="21"/>
          <w:szCs w:val="21"/>
        </w:rPr>
        <w:footnoteReference w:id="36"/>
      </w:r>
      <w:r w:rsidRPr="00F311B1">
        <w:rPr>
          <w:rFonts w:asciiTheme="minorEastAsia" w:eastAsiaTheme="minorEastAsia" w:hAnsiTheme="minorEastAsia" w:hint="eastAsia"/>
          <w:sz w:val="21"/>
          <w:szCs w:val="21"/>
        </w:rPr>
        <w:t>此外，CDIP注意到关于</w:t>
      </w:r>
      <w:r w:rsidRPr="00AA1044">
        <w:rPr>
          <w:rFonts w:ascii="KaiTi" w:eastAsia="KaiTi" w:hAnsi="KaiTi" w:hint="eastAsia"/>
          <w:sz w:val="21"/>
          <w:szCs w:val="21"/>
        </w:rPr>
        <w:t>产权组织对落实可持续发展目标及其相关具体目标所作贡献</w:t>
      </w:r>
      <w:r w:rsidRPr="00F311B1">
        <w:rPr>
          <w:rFonts w:asciiTheme="minorEastAsia" w:eastAsiaTheme="minorEastAsia" w:hAnsiTheme="minorEastAsia" w:hint="eastAsia"/>
          <w:sz w:val="21"/>
          <w:szCs w:val="21"/>
        </w:rPr>
        <w:t>的第六次报告以及在发展议程项目框架内取得的一些成果（研究和指南）。</w:t>
      </w:r>
    </w:p>
    <w:p w14:paraId="0C72B86B" w14:textId="77777777" w:rsidR="00E733EF" w:rsidRPr="00F311B1" w:rsidRDefault="00191652" w:rsidP="00F311B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311B1">
        <w:rPr>
          <w:rFonts w:asciiTheme="minorEastAsia" w:eastAsiaTheme="minorEastAsia" w:hAnsiTheme="minorEastAsia" w:hint="eastAsia"/>
          <w:sz w:val="21"/>
          <w:szCs w:val="21"/>
        </w:rPr>
        <w:t>委员会在一些长期存在的问题上也取得了进展。具体而言，落实已通过的独立审查建议的大部分战略，</w:t>
      </w:r>
      <w:r w:rsidRPr="00F311B1">
        <w:rPr>
          <w:rStyle w:val="FootnoteReference"/>
          <w:rFonts w:asciiTheme="minorEastAsia" w:eastAsiaTheme="minorEastAsia" w:hAnsiTheme="minorEastAsia"/>
          <w:sz w:val="21"/>
          <w:szCs w:val="21"/>
        </w:rPr>
        <w:footnoteReference w:id="37"/>
      </w:r>
      <w:r w:rsidRPr="00F311B1">
        <w:rPr>
          <w:rFonts w:asciiTheme="minorEastAsia" w:eastAsiaTheme="minorEastAsia" w:hAnsiTheme="minorEastAsia" w:hint="eastAsia"/>
          <w:sz w:val="21"/>
          <w:szCs w:val="21"/>
        </w:rPr>
        <w:t>以及审查和报告机制都已获得通过，并要求秘书处开始实施。委员会还同意</w:t>
      </w:r>
      <w:r w:rsidRPr="00140621">
        <w:rPr>
          <w:rFonts w:ascii="KaiTi" w:eastAsia="KaiTi" w:hAnsi="KaiTi" w:hint="eastAsia"/>
          <w:sz w:val="21"/>
          <w:szCs w:val="21"/>
        </w:rPr>
        <w:t>“非洲集团关于对产权组织在合作促进发展领域开展的技术援助进行独立外部审查的提案”</w:t>
      </w:r>
      <w:r w:rsidRPr="00F311B1">
        <w:rPr>
          <w:rFonts w:asciiTheme="minorEastAsia" w:eastAsiaTheme="minorEastAsia" w:hAnsiTheme="minorEastAsia" w:hint="eastAsia"/>
          <w:sz w:val="21"/>
          <w:szCs w:val="21"/>
        </w:rPr>
        <w:t>，</w:t>
      </w:r>
      <w:r w:rsidRPr="00F311B1">
        <w:rPr>
          <w:rStyle w:val="FootnoteReference"/>
          <w:rFonts w:asciiTheme="minorEastAsia" w:eastAsiaTheme="minorEastAsia" w:hAnsiTheme="minorEastAsia"/>
          <w:i/>
          <w:sz w:val="21"/>
          <w:szCs w:val="21"/>
        </w:rPr>
        <w:footnoteReference w:id="38"/>
      </w:r>
      <w:r w:rsidRPr="00F311B1">
        <w:rPr>
          <w:rFonts w:asciiTheme="minorEastAsia" w:eastAsiaTheme="minorEastAsia" w:hAnsiTheme="minorEastAsia" w:hint="eastAsia"/>
          <w:sz w:val="21"/>
          <w:szCs w:val="21"/>
        </w:rPr>
        <w:t>并要求秘书处为这种审查制定职权范围草案，供委员会第三十届会议审议。</w:t>
      </w:r>
    </w:p>
    <w:p w14:paraId="38EDA7E8" w14:textId="77777777" w:rsidR="00E733EF" w:rsidRPr="00F311B1" w:rsidRDefault="00191652" w:rsidP="00F311B1">
      <w:pPr>
        <w:pStyle w:val="Heading2"/>
        <w:spacing w:beforeLines="100" w:afterLines="100" w:after="240" w:line="340" w:lineRule="atLeast"/>
        <w:jc w:val="both"/>
        <w:rPr>
          <w:b/>
          <w:bCs w:val="0"/>
          <w:sz w:val="21"/>
          <w:szCs w:val="21"/>
        </w:rPr>
      </w:pPr>
      <w:r w:rsidRPr="00F311B1">
        <w:rPr>
          <w:rFonts w:hint="eastAsia"/>
          <w:b/>
          <w:bCs w:val="0"/>
          <w:sz w:val="21"/>
          <w:szCs w:val="21"/>
        </w:rPr>
        <w:t>已被纳入主流的发展议程项目</w:t>
      </w:r>
    </w:p>
    <w:p w14:paraId="104F30D9" w14:textId="77777777" w:rsidR="00E733EF" w:rsidRPr="008042E7" w:rsidRDefault="00191652" w:rsidP="008042E7">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042E7">
        <w:rPr>
          <w:rFonts w:asciiTheme="minorEastAsia" w:eastAsiaTheme="minorEastAsia" w:hAnsiTheme="minorEastAsia" w:hint="eastAsia"/>
          <w:sz w:val="21"/>
          <w:szCs w:val="21"/>
        </w:rPr>
        <w:t>以下是在2022年期间开展的与已被纳入主流的发展议程项目相关的主要工作：</w:t>
      </w:r>
    </w:p>
    <w:p w14:paraId="4911A5D6" w14:textId="77777777" w:rsidR="00E733EF" w:rsidRPr="008042E7" w:rsidRDefault="00191652" w:rsidP="008042E7">
      <w:pPr>
        <w:pStyle w:val="ListParagraph"/>
        <w:numPr>
          <w:ilvl w:val="0"/>
          <w:numId w:val="7"/>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建立“初创”国家知识产权学院</w:t>
      </w:r>
      <w:r w:rsidRPr="008042E7">
        <w:rPr>
          <w:rFonts w:asciiTheme="minorEastAsia" w:eastAsiaTheme="minorEastAsia" w:hAnsiTheme="minorEastAsia" w:hint="eastAsia"/>
          <w:sz w:val="21"/>
          <w:szCs w:val="21"/>
        </w:rPr>
        <w:t>，目前称为</w:t>
      </w:r>
      <w:r w:rsidRPr="00140621">
        <w:rPr>
          <w:rFonts w:ascii="KaiTi" w:eastAsia="KaiTi" w:hAnsi="KaiTi" w:hint="eastAsia"/>
          <w:sz w:val="21"/>
          <w:szCs w:val="21"/>
        </w:rPr>
        <w:t>“知识产权培训机构（IPTI）项目”</w:t>
      </w:r>
      <w:r w:rsidRPr="008042E7">
        <w:rPr>
          <w:rFonts w:asciiTheme="minorEastAsia" w:eastAsiaTheme="minorEastAsia" w:hAnsiTheme="minorEastAsia" w:hint="eastAsia"/>
          <w:sz w:val="21"/>
          <w:szCs w:val="21"/>
        </w:rPr>
        <w:t>：WIPO学院继续通过建立自我维持并专注于具体国家目标和优先事项的知识产权培训机构，支持成员国建设本国</w:t>
      </w:r>
      <w:r w:rsidRPr="008042E7">
        <w:rPr>
          <w:rFonts w:asciiTheme="minorEastAsia" w:eastAsiaTheme="minorEastAsia" w:hAnsiTheme="minorEastAsia" w:hint="eastAsia"/>
          <w:sz w:val="21"/>
          <w:szCs w:val="21"/>
        </w:rPr>
        <w:lastRenderedPageBreak/>
        <w:t>的知识产权培训能力。2022年，知识产权培训机构报告称组织了1,300多场知识产权培训活动，参与者超过88,800人。这证明这些项目可以实现倍增效应。鉴于知识产权培训机构所取得的势头，项目的范围已经发生变化，以更好地适应各国在培训能力建设方面的实际需要。具体来说，开展了以下活动，分为三个主要支柱：</w:t>
      </w:r>
    </w:p>
    <w:p w14:paraId="4513D4A4" w14:textId="77777777" w:rsidR="00E733EF" w:rsidRPr="008042E7" w:rsidRDefault="00191652" w:rsidP="008042E7">
      <w:pPr>
        <w:pStyle w:val="ListParagraph"/>
        <w:overflowPunct w:val="0"/>
        <w:spacing w:afterLines="50" w:after="120" w:line="340" w:lineRule="atLeast"/>
        <w:contextualSpacing w:val="0"/>
        <w:jc w:val="both"/>
        <w:rPr>
          <w:rFonts w:asciiTheme="minorEastAsia" w:eastAsiaTheme="minorEastAsia" w:hAnsiTheme="minorEastAsia"/>
          <w:sz w:val="21"/>
          <w:szCs w:val="21"/>
        </w:rPr>
      </w:pPr>
      <w:r w:rsidRPr="008042E7">
        <w:rPr>
          <w:rFonts w:asciiTheme="minorEastAsia" w:eastAsiaTheme="minorEastAsia" w:hAnsiTheme="minorEastAsia" w:hint="eastAsia"/>
          <w:sz w:val="21"/>
          <w:szCs w:val="21"/>
        </w:rPr>
        <w:t>首先，该项目支持建立新的知识产权培训机构。到2022年，已在12个成员国建立了14个知识产权培训机构。</w:t>
      </w:r>
      <w:r w:rsidRPr="008042E7">
        <w:rPr>
          <w:rStyle w:val="FootnoteReference"/>
          <w:rFonts w:asciiTheme="minorEastAsia" w:eastAsiaTheme="minorEastAsia" w:hAnsiTheme="minorEastAsia"/>
          <w:sz w:val="21"/>
          <w:szCs w:val="21"/>
        </w:rPr>
        <w:footnoteReference w:id="39"/>
      </w:r>
      <w:r w:rsidRPr="008042E7">
        <w:rPr>
          <w:rFonts w:asciiTheme="minorEastAsia" w:eastAsiaTheme="minorEastAsia" w:hAnsiTheme="minorEastAsia" w:hint="eastAsia"/>
          <w:sz w:val="21"/>
          <w:szCs w:val="21"/>
        </w:rPr>
        <w:t>另有13个项目正在实施，还收到了很多关于提供此类援助的进一步请求。在项目实施方面，在本报告所述期间，对来自20个国家的418多名学员进行了18个培训培训师（ToT）模块的有效培训。此外，培训培训师计划完全采用新的混合学习形式开展，受益于WIPO学院学习管理系统平台上的补充性异步技能活动。</w:t>
      </w:r>
    </w:p>
    <w:p w14:paraId="0F49E675" w14:textId="77777777" w:rsidR="00E733EF" w:rsidRPr="008042E7" w:rsidRDefault="00191652" w:rsidP="008042E7">
      <w:pPr>
        <w:pStyle w:val="ListParagraph"/>
        <w:overflowPunct w:val="0"/>
        <w:spacing w:afterLines="50" w:after="120" w:line="340" w:lineRule="atLeast"/>
        <w:contextualSpacing w:val="0"/>
        <w:jc w:val="both"/>
        <w:rPr>
          <w:rFonts w:asciiTheme="minorEastAsia" w:eastAsiaTheme="minorEastAsia" w:hAnsiTheme="minorEastAsia"/>
          <w:sz w:val="21"/>
          <w:szCs w:val="21"/>
        </w:rPr>
      </w:pPr>
      <w:r w:rsidRPr="008042E7">
        <w:rPr>
          <w:rFonts w:asciiTheme="minorEastAsia" w:eastAsiaTheme="minorEastAsia" w:hAnsiTheme="minorEastAsia" w:hint="eastAsia"/>
          <w:sz w:val="21"/>
          <w:szCs w:val="21"/>
        </w:rPr>
        <w:t>其次，该项目向10个提出请求的知识产权培训机构提供特别合作，以开展共24个项目/活动</w:t>
      </w:r>
      <w:r w:rsidRPr="008042E7">
        <w:rPr>
          <w:rStyle w:val="FootnoteReference"/>
          <w:rFonts w:asciiTheme="minorEastAsia" w:eastAsiaTheme="minorEastAsia" w:hAnsiTheme="minorEastAsia"/>
          <w:sz w:val="21"/>
          <w:szCs w:val="21"/>
        </w:rPr>
        <w:footnoteReference w:id="40"/>
      </w:r>
      <w:r w:rsidRPr="008042E7">
        <w:rPr>
          <w:rFonts w:asciiTheme="minorEastAsia" w:eastAsiaTheme="minorEastAsia" w:hAnsiTheme="minorEastAsia" w:hint="eastAsia"/>
          <w:sz w:val="21"/>
          <w:szCs w:val="21"/>
        </w:rPr>
        <w:t>，这些项目/活动的参与者超过2,100人。这包括关于知识产权作为COVID后经济复苏工具的活动，以及针对国内主要经济部门和妇女的培训。</w:t>
      </w:r>
    </w:p>
    <w:p w14:paraId="19D22A3B" w14:textId="53605CEB" w:rsidR="00E733EF" w:rsidRPr="008042E7" w:rsidRDefault="00191652" w:rsidP="008042E7">
      <w:pPr>
        <w:pStyle w:val="ListParagraph"/>
        <w:overflowPunct w:val="0"/>
        <w:spacing w:afterLines="50" w:after="120" w:line="340" w:lineRule="atLeast"/>
        <w:contextualSpacing w:val="0"/>
        <w:jc w:val="both"/>
        <w:rPr>
          <w:rFonts w:asciiTheme="minorEastAsia" w:eastAsiaTheme="minorEastAsia" w:hAnsiTheme="minorEastAsia"/>
          <w:sz w:val="21"/>
          <w:szCs w:val="21"/>
        </w:rPr>
      </w:pPr>
      <w:r w:rsidRPr="008042E7">
        <w:rPr>
          <w:rFonts w:asciiTheme="minorEastAsia" w:eastAsiaTheme="minorEastAsia" w:hAnsiTheme="minorEastAsia" w:hint="eastAsia"/>
          <w:sz w:val="21"/>
          <w:szCs w:val="21"/>
        </w:rPr>
        <w:t>第三，2022年以英语、西班牙语和阿拉伯语推出了一些加强知识产权培训机构运作的集体资源。</w:t>
      </w:r>
      <w:r w:rsidRPr="008042E7">
        <w:rPr>
          <w:rStyle w:val="FootnoteReference"/>
          <w:rFonts w:asciiTheme="minorEastAsia" w:eastAsiaTheme="minorEastAsia" w:hAnsiTheme="minorEastAsia"/>
          <w:sz w:val="21"/>
          <w:szCs w:val="21"/>
        </w:rPr>
        <w:footnoteReference w:id="41"/>
      </w:r>
      <w:r w:rsidRPr="008042E7">
        <w:rPr>
          <w:rFonts w:asciiTheme="minorEastAsia" w:eastAsiaTheme="minorEastAsia" w:hAnsiTheme="minorEastAsia" w:hint="eastAsia"/>
          <w:sz w:val="21"/>
          <w:szCs w:val="21"/>
        </w:rPr>
        <w:t>还应提及的是，2022年5月23日和24日举办了第一届知识产权培训机构国际会议。来自11个国家的13个知识产权培训机构介绍了他们在国家和地区层面为知识产权和创新生态系统的关键要素提供技能建设计划的成功战略和故事，关键要素包括中小企业、企业家、更广泛的私营部门、妇女和青年。来自120个国家的539名与会者参会，包括教育管理人员、企业家、知识产权和创新管理人员以及政府代表。</w:t>
      </w:r>
      <w:r w:rsidRPr="008042E7">
        <w:rPr>
          <w:rStyle w:val="FootnoteReference"/>
          <w:rFonts w:asciiTheme="minorEastAsia" w:eastAsiaTheme="minorEastAsia" w:hAnsiTheme="minorEastAsia"/>
          <w:sz w:val="21"/>
          <w:szCs w:val="21"/>
        </w:rPr>
        <w:footnoteReference w:id="42"/>
      </w:r>
      <w:r w:rsidRPr="008042E7">
        <w:rPr>
          <w:rFonts w:asciiTheme="minorEastAsia" w:eastAsiaTheme="minorEastAsia" w:hAnsiTheme="minorEastAsia" w:hint="eastAsia"/>
          <w:sz w:val="21"/>
          <w:szCs w:val="21"/>
        </w:rPr>
        <w:t>此外，扩展的功能，包括WIPO学院知识产权培训机构的公共日历，使得知识产权培训机构的活动得以推广并提高其知名度。</w:t>
      </w:r>
    </w:p>
    <w:p w14:paraId="38A5A6C8" w14:textId="1037B0D8" w:rsidR="00E733EF" w:rsidRPr="008042E7" w:rsidRDefault="00191652" w:rsidP="008042E7">
      <w:pPr>
        <w:pStyle w:val="ListParagraph"/>
        <w:numPr>
          <w:ilvl w:val="0"/>
          <w:numId w:val="7"/>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进行使用特定技术的适当信息方面的能力建设，以应对已查明的发展挑战</w:t>
      </w:r>
      <w:r w:rsidRPr="008042E7">
        <w:rPr>
          <w:rFonts w:asciiTheme="minorEastAsia" w:eastAsiaTheme="minorEastAsia" w:hAnsiTheme="minorEastAsia" w:hint="eastAsia"/>
          <w:sz w:val="21"/>
          <w:szCs w:val="21"/>
        </w:rPr>
        <w:t>：通过促进使用专利文件中的科技信息，项目旨在确定满足最不发达国家具体发展需求的适当技术，并提高国家在这一领域的能力。在这方面，已采取行动，通过探索与相关伙伴机构和利益攸关方建立伙伴关系，来促进运用已确定的适当技术，从而加强这些项目对受益国和社区发展的影响，。莫桑比克、塞内加尔和乌干达的国家项目进入了为已确定的适当技术完成业务计划的重要阶段。</w:t>
      </w:r>
      <w:r w:rsidRPr="008042E7">
        <w:rPr>
          <w:rStyle w:val="FootnoteReference"/>
          <w:rFonts w:asciiTheme="minorEastAsia" w:eastAsiaTheme="minorEastAsia" w:hAnsiTheme="minorEastAsia"/>
          <w:sz w:val="21"/>
          <w:szCs w:val="21"/>
        </w:rPr>
        <w:footnoteReference w:id="43"/>
      </w:r>
      <w:r w:rsidRPr="008042E7">
        <w:rPr>
          <w:rFonts w:asciiTheme="minorEastAsia" w:eastAsiaTheme="minorEastAsia" w:hAnsiTheme="minorEastAsia" w:hint="eastAsia"/>
          <w:sz w:val="21"/>
          <w:szCs w:val="21"/>
        </w:rPr>
        <w:t>目前正在这三个国家筹备国家推广研讨会，</w:t>
      </w:r>
      <w:r w:rsidRPr="008042E7">
        <w:rPr>
          <w:rStyle w:val="FootnoteReference"/>
          <w:rFonts w:asciiTheme="minorEastAsia" w:eastAsiaTheme="minorEastAsia" w:hAnsiTheme="minorEastAsia"/>
          <w:sz w:val="21"/>
          <w:szCs w:val="21"/>
        </w:rPr>
        <w:footnoteReference w:id="44"/>
      </w:r>
      <w:r w:rsidRPr="008042E7">
        <w:rPr>
          <w:rFonts w:asciiTheme="minorEastAsia" w:eastAsiaTheme="minorEastAsia" w:hAnsiTheme="minorEastAsia" w:hint="eastAsia"/>
          <w:sz w:val="21"/>
          <w:szCs w:val="21"/>
        </w:rPr>
        <w:t>向不同的利益攸关方介绍业务计划，并为计划的实施筹集资金、寻求支持和建立伙伴关系。</w:t>
      </w:r>
    </w:p>
    <w:p w14:paraId="28EC2C15" w14:textId="77777777" w:rsidR="00E733EF" w:rsidRPr="008042E7" w:rsidRDefault="00191652" w:rsidP="008042E7">
      <w:pPr>
        <w:pStyle w:val="ListParagraph"/>
        <w:numPr>
          <w:ilvl w:val="0"/>
          <w:numId w:val="7"/>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知识产权技术援助数据库（IP-TAD）</w:t>
      </w:r>
      <w:r w:rsidRPr="008042E7">
        <w:rPr>
          <w:rStyle w:val="FootnoteReference"/>
          <w:rFonts w:asciiTheme="minorEastAsia" w:eastAsiaTheme="minorEastAsia" w:hAnsiTheme="minorEastAsia"/>
          <w:sz w:val="21"/>
          <w:szCs w:val="21"/>
        </w:rPr>
        <w:footnoteReference w:id="45"/>
      </w:r>
      <w:r w:rsidRPr="008042E7">
        <w:rPr>
          <w:rFonts w:asciiTheme="minorEastAsia" w:eastAsiaTheme="minorEastAsia" w:hAnsiTheme="minorEastAsia" w:hint="eastAsia"/>
          <w:sz w:val="21"/>
          <w:szCs w:val="21"/>
        </w:rPr>
        <w:t>继续适应以线上方式和混合形式举办的技术援助活动。数据库提供与产权组织技术援助活动相关的信息，能够从开展发展合作活动的产权组织不同计</w:t>
      </w:r>
      <w:r w:rsidRPr="008042E7">
        <w:rPr>
          <w:rFonts w:asciiTheme="minorEastAsia" w:eastAsiaTheme="minorEastAsia" w:hAnsiTheme="minorEastAsia" w:hint="eastAsia"/>
          <w:sz w:val="21"/>
          <w:szCs w:val="21"/>
        </w:rPr>
        <w:lastRenderedPageBreak/>
        <w:t>划和部门获取数据。数据库记录了产权组织在2022年开展的831项技术援助活动，参与者来自发展中国家、最不发达国家和转型国家。</w:t>
      </w:r>
    </w:p>
    <w:p w14:paraId="1EE45C99" w14:textId="77777777" w:rsidR="00E733EF" w:rsidRPr="008042E7" w:rsidRDefault="00191652" w:rsidP="008042E7">
      <w:pPr>
        <w:pStyle w:val="ListParagraph"/>
        <w:numPr>
          <w:ilvl w:val="0"/>
          <w:numId w:val="7"/>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产权组织顾问花名册数据库（IP-ROC）</w:t>
      </w:r>
      <w:r w:rsidRPr="008042E7">
        <w:rPr>
          <w:rFonts w:asciiTheme="minorEastAsia" w:eastAsiaTheme="minorEastAsia" w:hAnsiTheme="minorEastAsia" w:hint="eastAsia"/>
          <w:sz w:val="21"/>
          <w:szCs w:val="21"/>
        </w:rPr>
        <w:t>载有产权组织为开展具体的知识产权技术援助活动而聘用的顾问的信息。</w:t>
      </w:r>
      <w:r w:rsidRPr="008042E7">
        <w:rPr>
          <w:rStyle w:val="FootnoteReference"/>
          <w:rFonts w:asciiTheme="minorEastAsia" w:eastAsiaTheme="minorEastAsia" w:hAnsiTheme="minorEastAsia"/>
          <w:sz w:val="21"/>
          <w:szCs w:val="21"/>
        </w:rPr>
        <w:footnoteReference w:id="46"/>
      </w:r>
      <w:r w:rsidRPr="008042E7">
        <w:rPr>
          <w:rFonts w:asciiTheme="minorEastAsia" w:eastAsiaTheme="minorEastAsia" w:hAnsiTheme="minorEastAsia" w:hint="eastAsia"/>
          <w:sz w:val="21"/>
          <w:szCs w:val="21"/>
        </w:rPr>
        <w:t>顾问可能是多个知识产权领域和使用多种语言的专家。数据库的检索功能能够按专业领域和执行的任务来搜索顾问。尤其是可以通过性别、国籍、语言、姓名、知识产权领域的专业知识、受益国和任职年份等各种标准来搜索顾问。IP-ROC数据库收录了2022年任职的2,208名专家/顾问。</w:t>
      </w:r>
    </w:p>
    <w:p w14:paraId="42F89241" w14:textId="77777777" w:rsidR="00E733EF" w:rsidRPr="008042E7" w:rsidRDefault="00191652" w:rsidP="008042E7">
      <w:pPr>
        <w:pStyle w:val="ListParagraph"/>
        <w:numPr>
          <w:ilvl w:val="0"/>
          <w:numId w:val="7"/>
        </w:numPr>
        <w:overflowPunct w:val="0"/>
        <w:spacing w:afterLines="50" w:after="120" w:line="340" w:lineRule="atLeast"/>
        <w:ind w:hanging="540"/>
        <w:contextualSpacing w:val="0"/>
        <w:jc w:val="both"/>
        <w:rPr>
          <w:rFonts w:asciiTheme="minorEastAsia" w:eastAsiaTheme="minorEastAsia" w:hAnsiTheme="minorEastAsia"/>
          <w:i/>
          <w:sz w:val="21"/>
          <w:szCs w:val="21"/>
        </w:rPr>
      </w:pPr>
      <w:r w:rsidRPr="00140621">
        <w:rPr>
          <w:rFonts w:ascii="KaiTi" w:eastAsia="KaiTi" w:hAnsi="KaiTi" w:hint="eastAsia"/>
          <w:sz w:val="21"/>
          <w:szCs w:val="21"/>
        </w:rPr>
        <w:t>知识产权发展资源牵线搭桥数据库（IP DMD），即目前的WIPO Match</w:t>
      </w:r>
      <w:r w:rsidRPr="008042E7">
        <w:rPr>
          <w:rFonts w:asciiTheme="minorEastAsia" w:eastAsiaTheme="minorEastAsia" w:hAnsiTheme="minorEastAsia" w:hint="eastAsia"/>
          <w:sz w:val="21"/>
          <w:szCs w:val="21"/>
        </w:rPr>
        <w:t>：在2022年4月举行的第二十八届会议上，应成员国的要求，委员会审议了一份关于</w:t>
      </w:r>
      <w:r w:rsidRPr="00140621">
        <w:rPr>
          <w:rFonts w:ascii="KaiTi" w:eastAsia="KaiTi" w:hAnsi="KaiTi" w:hint="eastAsia"/>
          <w:sz w:val="21"/>
          <w:szCs w:val="21"/>
        </w:rPr>
        <w:t>“未来提升WIPO Match的战略”</w:t>
      </w:r>
      <w:r w:rsidRPr="008042E7">
        <w:rPr>
          <w:rFonts w:asciiTheme="minorEastAsia" w:eastAsiaTheme="minorEastAsia" w:hAnsiTheme="minorEastAsia" w:hint="eastAsia"/>
          <w:sz w:val="21"/>
          <w:szCs w:val="21"/>
        </w:rPr>
        <w:t>的文件。</w:t>
      </w:r>
      <w:r w:rsidRPr="008042E7">
        <w:rPr>
          <w:rStyle w:val="FootnoteReference"/>
          <w:rFonts w:asciiTheme="minorEastAsia" w:eastAsiaTheme="minorEastAsia" w:hAnsiTheme="minorEastAsia"/>
          <w:sz w:val="21"/>
          <w:szCs w:val="21"/>
        </w:rPr>
        <w:footnoteReference w:id="47"/>
      </w:r>
      <w:r w:rsidRPr="008042E7">
        <w:rPr>
          <w:rFonts w:asciiTheme="minorEastAsia" w:eastAsiaTheme="minorEastAsia" w:hAnsiTheme="minorEastAsia" w:hint="eastAsia"/>
          <w:sz w:val="21"/>
          <w:szCs w:val="21"/>
        </w:rPr>
        <w:t>该文件建议对WIPO Match平台进行技术改进、重组和扩展，以提供更多工具、服务和功能，帮助交付更好的成果。除此之外，该战略还建议将WIPO Match平台作为骨干平台，以增加知识产权生态系统中各利益攸关方之间透明的信息交流，鼓励他们相互开展合作，并为南南倡议、南北倡议和三方倡议提供便利。成员国欢迎该战略，并还要求秘书处介绍2021年产权组织内部监督司发布的WIPO Match评价报告。按照委员会的要求，产权组织内部监督司在2022年10月举行的CDIP第二十九届会议上介绍了WIPO Match评价的结果、结论和建议。评价认为，WIPO Match符合产权组织的战略优先事项和发展议程建议9。但是，评价认为，WIPO Match网络平台技术已经过时，不符合现代平台标准。该文件建议对WIPO Match平台进行升级，并加强其治理结构和报告机制。此外，评价还建议应提供资源，支持WIPO Match的有效和高效管理及可持续性。委员会注意到对报告的介绍，并要求秘书处继续定期提供最新情况。因此，为实施提升该平台的计划，已启动了工作。</w:t>
      </w:r>
    </w:p>
    <w:p w14:paraId="514A8C7D" w14:textId="77777777" w:rsidR="00E733EF" w:rsidRPr="008042E7" w:rsidRDefault="00191652" w:rsidP="008042E7">
      <w:pPr>
        <w:pStyle w:val="ListParagraph"/>
        <w:numPr>
          <w:ilvl w:val="0"/>
          <w:numId w:val="7"/>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加强发展中国家和最不发达国家之间知识产权与发展问题南南合作</w:t>
      </w:r>
      <w:r w:rsidRPr="008042E7">
        <w:rPr>
          <w:rFonts w:asciiTheme="minorEastAsia" w:eastAsiaTheme="minorEastAsia" w:hAnsiTheme="minorEastAsia" w:hint="eastAsia"/>
          <w:sz w:val="21"/>
          <w:szCs w:val="21"/>
        </w:rPr>
        <w:t>：发展议程建议和可持续发展目标为产权组织在促进和加强成员国之间的横向合作，以及为改善南南合作和三方合作而加倍努力方面的作用提供了重点。在这一主题事项移交给发展议程协调司之后，产权组织于2022年重振了其在该领域的工作。2022年10月14日举行了关于在产权组织发展议程背景下促进南南合作和三方合作的第一次专家圆桌会议。圆桌会议的目的是为产权组织在这一领域的工作注入新的活力，并确定一些具体行动，以促进南方国家之间更有效的合作。圆桌会议将发展议程项目的受益者和支持者聚集在一起，分享他们的经验和专业知识，以鼓励知识产权领域的南南合作倡议和三方合作倡议，同时推广这些项目的成果。圆桌会议探讨了知识产权南南合作和三方合作作为加强教育的机制、作为当地企业竞争力的驱动力以及作为落实产权组织发展议程的手段的问题。在圆桌会议期间，来自不同国家的14位专家分享了交付面向发展的项目方面的经验，展示了发展中国家和最不发达国家利用知识产权的成功成果，并就南南合作和三方合作机制能够为支持和促进发展合作提供的机会交流了看法。代表成员国和相关政府间组织的60多名与会者参加了此次活动。圆桌会议最后提出了一些具体的行动建议，以鼓励和促进更多的南南合作和三方合作倡议。这些行动将在2023年及以后实施。此外，自2022年11月以来，一个专门介绍产权组织南南合作和三方合作工作的新网页正在筹备之中。</w:t>
      </w:r>
    </w:p>
    <w:p w14:paraId="33FC705A" w14:textId="77777777" w:rsidR="00E733EF" w:rsidRPr="008042E7" w:rsidRDefault="00191652" w:rsidP="008042E7">
      <w:pPr>
        <w:pStyle w:val="ListParagraph"/>
        <w:numPr>
          <w:ilvl w:val="0"/>
          <w:numId w:val="7"/>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“成功的发展议程项目提案用工具”项目</w:t>
      </w:r>
      <w:r w:rsidRPr="008042E7">
        <w:rPr>
          <w:rFonts w:asciiTheme="minorEastAsia" w:eastAsiaTheme="minorEastAsia" w:hAnsiTheme="minorEastAsia" w:hint="eastAsia"/>
          <w:sz w:val="21"/>
          <w:szCs w:val="21"/>
        </w:rPr>
        <w:t>已于2022年完成。该项目的目标是开发和提供能够促进发展议程项目的制定和实施并有助于更好地了解利益攸关方在项目实施及其整个周期内的作用</w:t>
      </w:r>
      <w:r w:rsidRPr="008042E7">
        <w:rPr>
          <w:rFonts w:asciiTheme="minorEastAsia" w:eastAsiaTheme="minorEastAsia" w:hAnsiTheme="minorEastAsia" w:hint="eastAsia"/>
          <w:sz w:val="21"/>
          <w:szCs w:val="21"/>
        </w:rPr>
        <w:lastRenderedPageBreak/>
        <w:t>的工具。该项目交付了以下成果：(i)发展议程项目的筹备、实施和评价指南；(ii)关于所有发展议程项目和产出的可搜索在线目录；(iii)关于发展议程项目管理的远程学习课程；以及(iv)一些信息丰富的视频和信息图。</w:t>
      </w:r>
      <w:r w:rsidRPr="008042E7">
        <w:rPr>
          <w:rStyle w:val="FootnoteReference"/>
          <w:rFonts w:asciiTheme="minorEastAsia" w:eastAsiaTheme="minorEastAsia" w:hAnsiTheme="minorEastAsia"/>
          <w:sz w:val="21"/>
          <w:szCs w:val="21"/>
        </w:rPr>
        <w:footnoteReference w:id="48"/>
      </w:r>
      <w:r w:rsidRPr="008042E7">
        <w:rPr>
          <w:rFonts w:asciiTheme="minorEastAsia" w:eastAsiaTheme="minorEastAsia" w:hAnsiTheme="minorEastAsia" w:hint="eastAsia"/>
          <w:sz w:val="21"/>
          <w:szCs w:val="21"/>
        </w:rPr>
        <w:t>此外，在CDIP第二十九届会议期间，委员会审议了项目的完成报告</w:t>
      </w:r>
      <w:r w:rsidRPr="008042E7">
        <w:rPr>
          <w:rStyle w:val="FootnoteReference"/>
          <w:rFonts w:asciiTheme="minorEastAsia" w:eastAsiaTheme="minorEastAsia" w:hAnsiTheme="minorEastAsia"/>
          <w:sz w:val="21"/>
          <w:szCs w:val="21"/>
        </w:rPr>
        <w:footnoteReference w:id="49"/>
      </w:r>
      <w:r w:rsidRPr="008042E7">
        <w:rPr>
          <w:rFonts w:asciiTheme="minorEastAsia" w:eastAsiaTheme="minorEastAsia" w:hAnsiTheme="minorEastAsia" w:hint="eastAsia"/>
          <w:sz w:val="21"/>
          <w:szCs w:val="21"/>
        </w:rPr>
        <w:t>和评价报告</w:t>
      </w:r>
      <w:r w:rsidRPr="008042E7">
        <w:rPr>
          <w:rStyle w:val="FootnoteReference"/>
          <w:rFonts w:asciiTheme="minorEastAsia" w:eastAsiaTheme="minorEastAsia" w:hAnsiTheme="minorEastAsia"/>
          <w:sz w:val="21"/>
          <w:szCs w:val="21"/>
        </w:rPr>
        <w:footnoteReference w:id="50"/>
      </w:r>
      <w:r w:rsidRPr="008042E7">
        <w:rPr>
          <w:rFonts w:asciiTheme="minorEastAsia" w:eastAsiaTheme="minorEastAsia" w:hAnsiTheme="minorEastAsia" w:hint="eastAsia"/>
          <w:sz w:val="21"/>
          <w:szCs w:val="21"/>
        </w:rPr>
        <w:t>，并决定将这些产出纳入产权组织常规工作的主流，不断更新这些产出，向成员国和其他相关利益攸关方提供关于项目开发和实施的定制培训，以及在2024年对项目的成功进行一次小规模审查。</w:t>
      </w:r>
    </w:p>
    <w:p w14:paraId="1B764B65" w14:textId="77777777" w:rsidR="00E733EF" w:rsidRPr="008042E7" w:rsidRDefault="00191652" w:rsidP="008042E7">
      <w:pPr>
        <w:pStyle w:val="ListParagraph"/>
        <w:numPr>
          <w:ilvl w:val="0"/>
          <w:numId w:val="7"/>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140621">
        <w:rPr>
          <w:rFonts w:ascii="KaiTi" w:eastAsia="KaiTi" w:hAnsi="KaiTi" w:hint="eastAsia"/>
          <w:sz w:val="21"/>
          <w:szCs w:val="21"/>
        </w:rPr>
        <w:t>面向发展中国家和最不发达国家企业发展的知识产权与产品品牌建设</w:t>
      </w:r>
      <w:r w:rsidRPr="00140621">
        <w:rPr>
          <w:rFonts w:asciiTheme="minorEastAsia" w:eastAsiaTheme="minorEastAsia" w:hAnsiTheme="minorEastAsia" w:hint="eastAsia"/>
          <w:sz w:val="21"/>
          <w:szCs w:val="21"/>
        </w:rPr>
        <w:t>：</w:t>
      </w:r>
      <w:r w:rsidRPr="008042E7">
        <w:rPr>
          <w:rFonts w:asciiTheme="minorEastAsia" w:eastAsiaTheme="minorEastAsia" w:hAnsiTheme="minorEastAsia" w:hint="eastAsia"/>
          <w:sz w:val="21"/>
          <w:szCs w:val="21"/>
        </w:rPr>
        <w:t>本项目的成果在</w:t>
      </w:r>
      <w:r w:rsidRPr="00140621">
        <w:rPr>
          <w:rFonts w:ascii="KaiTi" w:eastAsia="KaiTi" w:hAnsi="KaiTi" w:hint="eastAsia"/>
          <w:sz w:val="21"/>
          <w:szCs w:val="21"/>
        </w:rPr>
        <w:t>“通过品牌和外观设计加强企业竞争力的有利创新环境”</w:t>
      </w:r>
      <w:r w:rsidRPr="008042E7">
        <w:rPr>
          <w:rFonts w:asciiTheme="minorEastAsia" w:eastAsiaTheme="minorEastAsia" w:hAnsiTheme="minorEastAsia" w:hint="eastAsia"/>
          <w:sz w:val="21"/>
          <w:szCs w:val="21"/>
        </w:rPr>
        <w:t>项目的构思、设计和实施中证明是有效的。五个国家</w:t>
      </w:r>
      <w:r w:rsidRPr="008042E7">
        <w:rPr>
          <w:rStyle w:val="FootnoteReference"/>
          <w:rFonts w:asciiTheme="minorEastAsia" w:eastAsiaTheme="minorEastAsia" w:hAnsiTheme="minorEastAsia"/>
          <w:sz w:val="21"/>
          <w:szCs w:val="21"/>
        </w:rPr>
        <w:footnoteReference w:id="51"/>
      </w:r>
      <w:r w:rsidRPr="008042E7">
        <w:rPr>
          <w:rFonts w:asciiTheme="minorEastAsia" w:eastAsiaTheme="minorEastAsia" w:hAnsiTheme="minorEastAsia" w:hint="eastAsia"/>
          <w:sz w:val="21"/>
          <w:szCs w:val="21"/>
        </w:rPr>
        <w:t>建立了“品牌局”形式的体制结构，以促进中小企业和社区企业的品牌发展工作。为了向正在努力从大流行的影响中恢复过来的商界提供更广泛的服务，这些品牌局将转型为“商业支持单位”。2022年11月28日至12月2日，在呵叻府和曼谷举办了</w:t>
      </w:r>
      <w:r w:rsidRPr="00140621">
        <w:rPr>
          <w:rFonts w:ascii="KaiTi" w:eastAsia="KaiTi" w:hAnsi="KaiTi" w:hint="eastAsia"/>
          <w:sz w:val="21"/>
          <w:szCs w:val="21"/>
        </w:rPr>
        <w:t>“关于以基于项目的方法加强选定的亚太国家的品牌、外观设计和地理标志的区域论坛”</w:t>
      </w:r>
      <w:r w:rsidRPr="008042E7">
        <w:rPr>
          <w:rFonts w:asciiTheme="minorEastAsia" w:eastAsiaTheme="minorEastAsia" w:hAnsiTheme="minorEastAsia" w:hint="eastAsia"/>
          <w:sz w:val="21"/>
          <w:szCs w:val="21"/>
        </w:rPr>
        <w:t>，标志着转型的开始。</w:t>
      </w:r>
      <w:r w:rsidRPr="008042E7">
        <w:rPr>
          <w:rStyle w:val="FootnoteReference"/>
          <w:rFonts w:asciiTheme="minorEastAsia" w:eastAsiaTheme="minorEastAsia" w:hAnsiTheme="minorEastAsia"/>
          <w:sz w:val="21"/>
          <w:szCs w:val="21"/>
        </w:rPr>
        <w:footnoteReference w:id="52"/>
      </w:r>
      <w:r w:rsidRPr="008042E7">
        <w:rPr>
          <w:rFonts w:asciiTheme="minorEastAsia" w:eastAsiaTheme="minorEastAsia" w:hAnsiTheme="minorEastAsia" w:hint="eastAsia"/>
          <w:sz w:val="21"/>
          <w:szCs w:val="21"/>
        </w:rPr>
        <w:t>此外，发展议程项目活动还被纳入了该部门的正常工作以及在产品品牌创建和商业发展领域提供技术援助的主流。例如对柬埔寨蒙多基里蜂蜜、纽埃的“海洋对话信贷（OCC）”、老挝人民民主共和国的“一县一品（ODOP）”、孟加拉国的黑虎虾产业和沙特兰吉地毯产业、</w:t>
      </w:r>
      <w:r w:rsidRPr="008042E7">
        <w:rPr>
          <w:rStyle w:val="ui-provider"/>
          <w:rFonts w:asciiTheme="minorEastAsia" w:eastAsiaTheme="minorEastAsia" w:hAnsiTheme="minorEastAsia" w:hint="eastAsia"/>
          <w:sz w:val="21"/>
          <w:szCs w:val="21"/>
        </w:rPr>
        <w:t>伊朗伊斯兰共和国的藏红花和开心果产业的品牌援助项目，</w:t>
      </w:r>
      <w:r w:rsidRPr="008042E7">
        <w:rPr>
          <w:rFonts w:asciiTheme="minorEastAsia" w:eastAsiaTheme="minorEastAsia" w:hAnsiTheme="minorEastAsia" w:hint="eastAsia"/>
          <w:sz w:val="21"/>
          <w:szCs w:val="21"/>
        </w:rPr>
        <w:t>以及对不丹水产业的培训和指导计划。</w:t>
      </w:r>
    </w:p>
    <w:p w14:paraId="667CF3F2" w14:textId="5B0F08C9" w:rsidR="00E733EF" w:rsidRPr="00140621" w:rsidRDefault="00191652" w:rsidP="00D77568">
      <w:pPr>
        <w:pStyle w:val="Heading1"/>
        <w:numPr>
          <w:ilvl w:val="0"/>
          <w:numId w:val="14"/>
        </w:numPr>
        <w:spacing w:beforeLines="100" w:afterLines="100" w:after="240" w:line="340" w:lineRule="atLeast"/>
        <w:ind w:left="397" w:hanging="284"/>
        <w:jc w:val="both"/>
        <w:rPr>
          <w:rFonts w:ascii="SimHei" w:eastAsia="SimHei" w:hAnsi="SimHei"/>
          <w:b w:val="0"/>
          <w:sz w:val="21"/>
          <w:szCs w:val="21"/>
        </w:rPr>
      </w:pPr>
      <w:r w:rsidRPr="00140621">
        <w:rPr>
          <w:rFonts w:ascii="SimHei" w:eastAsia="SimHei" w:hAnsi="SimHei" w:hint="eastAsia"/>
          <w:b w:val="0"/>
          <w:sz w:val="21"/>
          <w:szCs w:val="21"/>
        </w:rPr>
        <w:t>专利和技术部门</w:t>
      </w:r>
    </w:p>
    <w:p w14:paraId="62A77B14" w14:textId="77777777" w:rsidR="00E733EF" w:rsidRPr="00140621" w:rsidRDefault="00191652" w:rsidP="00140621">
      <w:pPr>
        <w:pStyle w:val="ListParagraph"/>
        <w:numPr>
          <w:ilvl w:val="0"/>
          <w:numId w:val="4"/>
        </w:numPr>
        <w:overflowPunct w:val="0"/>
        <w:spacing w:afterLines="50" w:after="120" w:line="340" w:lineRule="atLeast"/>
        <w:ind w:left="0" w:firstLine="0"/>
        <w:contextualSpacing w:val="0"/>
        <w:jc w:val="both"/>
        <w:rPr>
          <w:sz w:val="21"/>
          <w:szCs w:val="21"/>
        </w:rPr>
      </w:pPr>
      <w:r w:rsidRPr="00140621">
        <w:rPr>
          <w:rFonts w:hint="eastAsia"/>
          <w:sz w:val="21"/>
          <w:szCs w:val="21"/>
        </w:rPr>
        <w:t>专利和技术部门继续支持成员国制定自己的立法框架，以保护其境内有价值的创新资产。该部门领导了由成员国推动的规范制定进程，为开展对话和协作活动创造了有利的环境。在本报告所述期间，该部门通过培训和能力建设活动扩大了其在最不发达国家、发展中国家和转型国家的外联范围。此外，该部门还协调本组织的工作，在产权组织新建立的知识产权与性别计划下，为支持妇女参与创新和知识产权制定产权组织的战略方向。</w:t>
      </w:r>
    </w:p>
    <w:p w14:paraId="4E29AB3F" w14:textId="006815B4" w:rsidR="00E733EF" w:rsidRPr="00140621" w:rsidRDefault="00191652" w:rsidP="00140621">
      <w:pPr>
        <w:pStyle w:val="Heading2"/>
        <w:spacing w:beforeLines="100" w:afterLines="100" w:after="240" w:line="340" w:lineRule="atLeast"/>
        <w:jc w:val="both"/>
        <w:rPr>
          <w:b/>
          <w:bCs w:val="0"/>
          <w:sz w:val="21"/>
          <w:szCs w:val="21"/>
        </w:rPr>
      </w:pPr>
      <w:r w:rsidRPr="00140621">
        <w:rPr>
          <w:rFonts w:hint="eastAsia"/>
          <w:b/>
          <w:bCs w:val="0"/>
          <w:sz w:val="21"/>
          <w:szCs w:val="21"/>
        </w:rPr>
        <w:t>专利和技术法以及专利合作条约</w:t>
      </w:r>
    </w:p>
    <w:p w14:paraId="2F9B68D4" w14:textId="77777777" w:rsidR="00E733EF" w:rsidRPr="00140621" w:rsidRDefault="00191652" w:rsidP="0014062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40621">
        <w:rPr>
          <w:rFonts w:asciiTheme="minorEastAsia" w:eastAsiaTheme="minorEastAsia" w:hAnsiTheme="minorEastAsia" w:hint="eastAsia"/>
          <w:spacing w:val="-20"/>
          <w:sz w:val="21"/>
          <w:szCs w:val="21"/>
        </w:rPr>
        <w:t>在专利、实用新型、商业秘密和布图设计领域，该部门向21个发展中国家和最不发达国家</w:t>
      </w:r>
      <w:r w:rsidRPr="00140621">
        <w:rPr>
          <w:rStyle w:val="FootnoteReference"/>
          <w:rFonts w:asciiTheme="minorEastAsia" w:eastAsiaTheme="minorEastAsia" w:hAnsiTheme="minorEastAsia"/>
          <w:sz w:val="21"/>
          <w:szCs w:val="21"/>
        </w:rPr>
        <w:footnoteReference w:id="53"/>
      </w:r>
      <w:r w:rsidRPr="00140621">
        <w:rPr>
          <w:rFonts w:asciiTheme="minorEastAsia" w:eastAsiaTheme="minorEastAsia" w:hAnsiTheme="minorEastAsia" w:hint="eastAsia"/>
          <w:sz w:val="21"/>
          <w:szCs w:val="21"/>
        </w:rPr>
        <w:t>提供了立法和政策咨询，同时考虑到它们的优先事项和特殊需求、知识产权制度固有的平衡权利和义务以及受益国的不同发展水平。这种援助有助于进一步促进落实发展议程建议13、14和17。</w:t>
      </w:r>
    </w:p>
    <w:p w14:paraId="4C61EB39" w14:textId="77777777" w:rsidR="00E733EF" w:rsidRPr="00140621" w:rsidRDefault="00191652" w:rsidP="0014062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40621">
        <w:rPr>
          <w:rFonts w:asciiTheme="minorEastAsia" w:eastAsiaTheme="minorEastAsia" w:hAnsiTheme="minorEastAsia" w:hint="eastAsia"/>
          <w:sz w:val="21"/>
          <w:szCs w:val="21"/>
        </w:rPr>
        <w:t>作为通过《专利合作条约》（PCT）为发明提供国际保护的全球服务的提供者，该部门为通过产权组织免费的PATENTSCOPE数据库向国际社会传播与创新有关的技术信息提供支持。</w:t>
      </w:r>
      <w:r w:rsidRPr="00140621">
        <w:rPr>
          <w:rStyle w:val="FootnoteReference"/>
          <w:rFonts w:asciiTheme="minorEastAsia" w:eastAsiaTheme="minorEastAsia" w:hAnsiTheme="minorEastAsia"/>
          <w:sz w:val="21"/>
          <w:szCs w:val="21"/>
        </w:rPr>
        <w:footnoteReference w:id="54"/>
      </w:r>
      <w:r w:rsidRPr="00140621">
        <w:rPr>
          <w:rFonts w:asciiTheme="minorEastAsia" w:eastAsiaTheme="minorEastAsia" w:hAnsiTheme="minorEastAsia" w:hint="eastAsia"/>
          <w:sz w:val="21"/>
          <w:szCs w:val="21"/>
        </w:rPr>
        <w:t>平均每周有</w:t>
      </w:r>
      <w:r w:rsidRPr="00140621">
        <w:rPr>
          <w:rFonts w:asciiTheme="minorEastAsia" w:eastAsiaTheme="minorEastAsia" w:hAnsiTheme="minorEastAsia" w:hint="eastAsia"/>
          <w:sz w:val="21"/>
          <w:szCs w:val="21"/>
        </w:rPr>
        <w:lastRenderedPageBreak/>
        <w:t>5,000多份新的PCT申请（包含发明的公开）被纳入PATENSCOPE。</w:t>
      </w:r>
      <w:r w:rsidRPr="00140621">
        <w:rPr>
          <w:rStyle w:val="FootnoteReference"/>
          <w:rFonts w:asciiTheme="minorEastAsia" w:eastAsiaTheme="minorEastAsia" w:hAnsiTheme="minorEastAsia"/>
          <w:sz w:val="21"/>
          <w:szCs w:val="21"/>
        </w:rPr>
        <w:footnoteReference w:id="55"/>
      </w:r>
      <w:r w:rsidRPr="00140621">
        <w:rPr>
          <w:rFonts w:asciiTheme="minorEastAsia" w:eastAsiaTheme="minorEastAsia" w:hAnsiTheme="minorEastAsia" w:hint="eastAsia"/>
          <w:sz w:val="21"/>
          <w:szCs w:val="21"/>
        </w:rPr>
        <w:t>为了促进对数据库的访问和使用，举办了13次与PATENTSCOPE有关的网络研讨会，有4,000多名与会者参加。</w:t>
      </w:r>
    </w:p>
    <w:p w14:paraId="31C8B537" w14:textId="77777777" w:rsidR="00E733EF" w:rsidRPr="00140621" w:rsidRDefault="00191652" w:rsidP="0014062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40621">
        <w:rPr>
          <w:rFonts w:asciiTheme="minorEastAsia" w:eastAsiaTheme="minorEastAsia" w:hAnsiTheme="minorEastAsia" w:hint="eastAsia"/>
          <w:sz w:val="21"/>
          <w:szCs w:val="21"/>
        </w:rPr>
        <w:t>该部门继续实施用户外联计划和提供支持，并开展培训和能力建设活动，同时考虑到受益成员国的需求和情况。为了解决快速援助需求增加和旅行限制的问题，对大多数活动的培训内容和互动技巧进行了重新设计，并转向以在线方式提供。这一转变继续揭示了一些发展中国家和最不发达国家在信息技术设备方面缺乏技术渠道和合适的基础设施，甚至在某种程度上，经济转型期国家也是如此。这一转变要求学习使用信息技术工具，并根据新的虚拟通信环境调整技术培训内容，这意味着要调整工作人员以及专家和受益者的技能。经与特定成员国协调，该部门为发展中国家、最不发达国家和经济转型国家组织、协调和/或在这些国家参与了80项与《专利合作条约》有关的活动，如网络研讨会和电子讲习班。大多数活动线上举行，来自约95个国家的6,200多名与会者参加了这些活动，包括知识产权局工作人员、该体系的潜在用户和其他利益攸关</w:t>
      </w:r>
      <w:r w:rsidRPr="00140621">
        <w:rPr>
          <w:rFonts w:asciiTheme="minorEastAsia" w:eastAsiaTheme="minorEastAsia" w:hAnsiTheme="minorEastAsia" w:hint="eastAsia"/>
          <w:spacing w:val="-80"/>
          <w:sz w:val="21"/>
          <w:szCs w:val="21"/>
        </w:rPr>
        <w:t>方。</w:t>
      </w:r>
      <w:r w:rsidRPr="00140621">
        <w:rPr>
          <w:rStyle w:val="FootnoteReference"/>
          <w:rFonts w:asciiTheme="minorEastAsia" w:eastAsiaTheme="minorEastAsia" w:hAnsiTheme="minorEastAsia"/>
          <w:sz w:val="21"/>
          <w:szCs w:val="21"/>
        </w:rPr>
        <w:footnoteReference w:id="56"/>
      </w:r>
      <w:r w:rsidRPr="00140621">
        <w:rPr>
          <w:rFonts w:asciiTheme="minorEastAsia" w:eastAsiaTheme="minorEastAsia" w:hAnsiTheme="minorEastAsia" w:hint="eastAsia"/>
          <w:sz w:val="21"/>
          <w:szCs w:val="21"/>
        </w:rPr>
        <w:t>此外，来自发展中国家的自然人和来自最不发达国家的所有申请人提出的国际申请继续获得国际申请费和某些其他费用90%的优惠。</w:t>
      </w:r>
    </w:p>
    <w:p w14:paraId="6034FBF4" w14:textId="77777777" w:rsidR="00E733EF" w:rsidRPr="00D77568" w:rsidRDefault="00191652" w:rsidP="00D77568">
      <w:pPr>
        <w:pStyle w:val="Heading2"/>
        <w:spacing w:beforeLines="100" w:afterLines="100" w:after="240" w:line="340" w:lineRule="atLeast"/>
        <w:jc w:val="both"/>
        <w:rPr>
          <w:b/>
          <w:bCs w:val="0"/>
          <w:sz w:val="21"/>
          <w:szCs w:val="21"/>
        </w:rPr>
      </w:pPr>
      <w:r w:rsidRPr="00D77568">
        <w:rPr>
          <w:rFonts w:hint="eastAsia"/>
          <w:b/>
          <w:bCs w:val="0"/>
          <w:sz w:val="21"/>
          <w:szCs w:val="21"/>
        </w:rPr>
        <w:t>知识产权与性别</w:t>
      </w:r>
    </w:p>
    <w:p w14:paraId="6BB2AFCE" w14:textId="5AB0349B" w:rsidR="00E733EF" w:rsidRPr="00D77568" w:rsidRDefault="00191652"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77568">
        <w:rPr>
          <w:rFonts w:asciiTheme="minorEastAsia" w:eastAsiaTheme="minorEastAsia" w:hAnsiTheme="minorEastAsia" w:hint="eastAsia"/>
          <w:sz w:val="21"/>
          <w:szCs w:val="21"/>
        </w:rPr>
        <w:t>2022年，该部门领导本组织努力为产权组织新建立的知识产权与性别计划制定第一个产权组织知识产权与性别行动计划（IPGAP）。IPGAP是产权组织对实现妇女和女童经济平等和赋能的总体和全球努力作出的贡献。IPGAP的实施工作于2022年下半年开始。该计划旨在与产权组织的《2022-2026年中期战略计划》时间表相吻合，从该计划中产生并补充其工作支柱。IPGAP的愿景是，世界各地妇女的创新和创造都能得到知识产权支持，造福于所有人。具体而言，IPGAP的举措包括：(i)政府支持将性别观点纳入知识产权立法、政策、计划和项目；(ii)研究确定知识产权性别差距的范围和性质以及缩小差距的方法；(iii)在知识产权环境中开展以性别为导向的试点项目，有效训练和提高妇女和支持妇女的机构的知识产权技能。</w:t>
      </w:r>
    </w:p>
    <w:p w14:paraId="410F6ED1" w14:textId="77777777" w:rsidR="00E733EF" w:rsidRPr="00D77568" w:rsidRDefault="00191652" w:rsidP="00D77568">
      <w:pPr>
        <w:pStyle w:val="Heading2"/>
        <w:spacing w:beforeLines="100" w:afterLines="100" w:after="240" w:line="340" w:lineRule="atLeast"/>
        <w:jc w:val="both"/>
        <w:rPr>
          <w:b/>
          <w:bCs w:val="0"/>
          <w:sz w:val="21"/>
          <w:szCs w:val="21"/>
        </w:rPr>
      </w:pPr>
      <w:r w:rsidRPr="00D77568">
        <w:rPr>
          <w:rFonts w:hint="eastAsia"/>
          <w:b/>
          <w:bCs w:val="0"/>
          <w:sz w:val="21"/>
          <w:szCs w:val="21"/>
        </w:rPr>
        <w:t>产权组织机构</w:t>
      </w:r>
    </w:p>
    <w:p w14:paraId="081B20DF" w14:textId="77777777" w:rsidR="00E733EF" w:rsidRPr="00D77568" w:rsidRDefault="00191652"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77568">
        <w:rPr>
          <w:rFonts w:asciiTheme="minorEastAsia" w:eastAsiaTheme="minorEastAsia" w:hAnsiTheme="minorEastAsia" w:hint="eastAsia"/>
          <w:sz w:val="21"/>
          <w:szCs w:val="21"/>
        </w:rPr>
        <w:t>该部门继续支持包括专利法常设委员会（SCP）和专利合作条约工作组（PCT工作组）在内的众多产权组织机构开展工作。</w:t>
      </w:r>
    </w:p>
    <w:p w14:paraId="13C8AF6E" w14:textId="334FAC55" w:rsidR="00E733EF" w:rsidRPr="00D77568" w:rsidRDefault="00191652"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77568">
        <w:rPr>
          <w:rFonts w:asciiTheme="minorEastAsia" w:eastAsiaTheme="minorEastAsia" w:hAnsiTheme="minorEastAsia" w:hint="eastAsia"/>
          <w:sz w:val="21"/>
          <w:szCs w:val="21"/>
        </w:rPr>
        <w:t>SCP于2022年9月26日至30日以混合形式举行了其第三十四届会议。根据发展议程建议，SCP的活动继续由成员国推动并具有包容性，支持营造有利于成员国之间进行接触和开展对话的环境，并考虑到它们的不同发展水平。除其他外，成员国继续讨论了以下问题：(i)专利权的例外与限制；(ii)专利质量，包括异议制度；(iii)专利与卫生；(iv)专利顾问与其客户之间通信的保密性；和(v)技术转让。特别是，成员国分享了有关专利权用尽、使用人工智能和由人工智能创造的发明的可专利性、快速专利审查机制、可公开访问的药品和疫苗专利状况信息数据库、客户与其专利顾问之间通信保密的跨境方面的信息，以及专利制度在促进创新、技术转让和工业发展方面的贡献。</w:t>
      </w:r>
      <w:r w:rsidRPr="00D77568">
        <w:rPr>
          <w:rStyle w:val="FootnoteReference"/>
          <w:rFonts w:asciiTheme="minorEastAsia" w:eastAsiaTheme="minorEastAsia" w:hAnsiTheme="minorEastAsia"/>
          <w:sz w:val="21"/>
          <w:szCs w:val="21"/>
        </w:rPr>
        <w:footnoteReference w:id="57"/>
      </w:r>
    </w:p>
    <w:p w14:paraId="0E0E4200" w14:textId="77777777" w:rsidR="00E733EF" w:rsidRPr="00D77568" w:rsidRDefault="00191652"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77568">
        <w:rPr>
          <w:rFonts w:asciiTheme="minorEastAsia" w:eastAsiaTheme="minorEastAsia" w:hAnsiTheme="minorEastAsia" w:hint="eastAsia"/>
          <w:sz w:val="21"/>
          <w:szCs w:val="21"/>
        </w:rPr>
        <w:t>专利合作条约工作组于2022年10月3日至7日以混合形式举行了其第十五届会议。工作组审议了国际局就已对发展中国家使用PCT体系产生直接影响的技术援助和能力建设活动以及在产权组织其他机构（特别是CDIP、产权组织标准委员会和产权组织大会）监督下开展的与PCT有关的技术援助活</w:t>
      </w:r>
      <w:r w:rsidRPr="00D77568">
        <w:rPr>
          <w:rFonts w:asciiTheme="minorEastAsia" w:eastAsiaTheme="minorEastAsia" w:hAnsiTheme="minorEastAsia" w:hint="eastAsia"/>
          <w:sz w:val="21"/>
          <w:szCs w:val="21"/>
        </w:rPr>
        <w:lastRenderedPageBreak/>
        <w:t>动编写的一份报告。</w:t>
      </w:r>
      <w:r w:rsidRPr="00D77568">
        <w:rPr>
          <w:rStyle w:val="FootnoteReference"/>
          <w:rFonts w:asciiTheme="minorEastAsia" w:eastAsiaTheme="minorEastAsia" w:hAnsiTheme="minorEastAsia"/>
          <w:sz w:val="21"/>
          <w:szCs w:val="21"/>
        </w:rPr>
        <w:footnoteReference w:id="58"/>
      </w:r>
      <w:r w:rsidRPr="00D77568">
        <w:rPr>
          <w:rFonts w:asciiTheme="minorEastAsia" w:eastAsiaTheme="minorEastAsia" w:hAnsiTheme="minorEastAsia" w:hint="eastAsia"/>
          <w:sz w:val="21"/>
          <w:szCs w:val="21"/>
        </w:rPr>
        <w:t>工作组注意到国际局对已在2022年5月16日至20日举行的CDIP第二十八届会议上进行的</w:t>
      </w:r>
      <w:r w:rsidRPr="00D77568">
        <w:rPr>
          <w:rFonts w:ascii="KaiTi" w:eastAsia="KaiTi" w:hAnsi="KaiTi" w:hint="eastAsia"/>
          <w:sz w:val="21"/>
          <w:szCs w:val="21"/>
        </w:rPr>
        <w:t>“产权组织在合作促发展领域的技术援助”</w:t>
      </w:r>
      <w:r w:rsidRPr="00D77568">
        <w:rPr>
          <w:rFonts w:asciiTheme="minorEastAsia" w:eastAsiaTheme="minorEastAsia" w:hAnsiTheme="minorEastAsia" w:hint="eastAsia"/>
          <w:sz w:val="21"/>
          <w:szCs w:val="21"/>
        </w:rPr>
        <w:t>分议程项目下的讨论进行的更新。</w:t>
      </w:r>
      <w:r w:rsidRPr="00D77568">
        <w:rPr>
          <w:rStyle w:val="FootnoteReference"/>
          <w:rFonts w:asciiTheme="minorEastAsia" w:eastAsiaTheme="minorEastAsia" w:hAnsiTheme="minorEastAsia"/>
          <w:sz w:val="21"/>
          <w:szCs w:val="21"/>
        </w:rPr>
        <w:footnoteReference w:id="59"/>
      </w:r>
      <w:r w:rsidRPr="00D77568">
        <w:rPr>
          <w:rFonts w:asciiTheme="minorEastAsia" w:eastAsiaTheme="minorEastAsia" w:hAnsiTheme="minorEastAsia" w:hint="eastAsia"/>
          <w:sz w:val="21"/>
          <w:szCs w:val="21"/>
        </w:rPr>
        <w:t>此外，工作组继续就制定专利实质审查员技术能力框架和用于管理专利审查员培训的学习管理系统问题展开讨论。</w:t>
      </w:r>
      <w:r w:rsidRPr="00D77568">
        <w:rPr>
          <w:rStyle w:val="FootnoteReference"/>
          <w:rFonts w:asciiTheme="minorEastAsia" w:eastAsiaTheme="minorEastAsia" w:hAnsiTheme="minorEastAsia"/>
          <w:sz w:val="21"/>
          <w:szCs w:val="21"/>
        </w:rPr>
        <w:footnoteReference w:id="60"/>
      </w:r>
      <w:r w:rsidRPr="00D77568">
        <w:rPr>
          <w:rFonts w:asciiTheme="minorEastAsia" w:eastAsiaTheme="minorEastAsia" w:hAnsiTheme="minorEastAsia" w:hint="eastAsia"/>
          <w:sz w:val="21"/>
          <w:szCs w:val="21"/>
        </w:rPr>
        <w:t>工作组重申，同意国际局在中小型办事处开展范围更广的调查，以确定其当前的培训政策、方法和基础设施，评估其在制定此类政策、方法和开发基础设施方面的技术援助需求，并征求其对组织技术援助和提供培训的意见，以便及时、高效地开展培训。最后，工作组评估了国际局定期更新的适合专利实质审查员的电子学习资源汇编。</w:t>
      </w:r>
      <w:r w:rsidRPr="00D77568">
        <w:rPr>
          <w:rStyle w:val="FootnoteReference"/>
          <w:rFonts w:asciiTheme="minorEastAsia" w:eastAsiaTheme="minorEastAsia" w:hAnsiTheme="minorEastAsia"/>
          <w:sz w:val="21"/>
          <w:szCs w:val="21"/>
        </w:rPr>
        <w:footnoteReference w:id="61"/>
      </w:r>
      <w:r w:rsidRPr="00D77568">
        <w:rPr>
          <w:rFonts w:asciiTheme="minorEastAsia" w:eastAsiaTheme="minorEastAsia" w:hAnsiTheme="minorEastAsia" w:hint="eastAsia"/>
          <w:sz w:val="21"/>
          <w:szCs w:val="21"/>
        </w:rPr>
        <w:t>在这方面，工作组请国际局为创建独立电子学习资源库进一步编写提案。</w:t>
      </w:r>
      <w:r w:rsidRPr="00D77568">
        <w:rPr>
          <w:rStyle w:val="FootnoteReference"/>
          <w:rFonts w:asciiTheme="minorEastAsia" w:eastAsiaTheme="minorEastAsia" w:hAnsiTheme="minorEastAsia"/>
          <w:sz w:val="21"/>
          <w:szCs w:val="21"/>
        </w:rPr>
        <w:footnoteReference w:id="62"/>
      </w:r>
      <w:r w:rsidRPr="00D77568">
        <w:rPr>
          <w:rFonts w:asciiTheme="minorEastAsia" w:eastAsiaTheme="minorEastAsia" w:hAnsiTheme="minorEastAsia" w:hint="eastAsia"/>
          <w:sz w:val="21"/>
          <w:szCs w:val="21"/>
        </w:rPr>
        <w:t>此类资源库将改善资源的获取，促进使用电子学习来培训专利审查员，从而在试点学习管理系统提供的选项基础上，为发展中国家和最不发达国家的能力建设作出贡献。</w:t>
      </w:r>
    </w:p>
    <w:p w14:paraId="7B889BAC" w14:textId="77777777" w:rsidR="00E733EF" w:rsidRPr="00D77568" w:rsidRDefault="00191652" w:rsidP="00D77568">
      <w:pPr>
        <w:pStyle w:val="Heading1"/>
        <w:numPr>
          <w:ilvl w:val="0"/>
          <w:numId w:val="14"/>
        </w:numPr>
        <w:spacing w:beforeLines="100" w:afterLines="100" w:after="240" w:line="340" w:lineRule="atLeast"/>
        <w:ind w:left="397" w:hanging="284"/>
        <w:jc w:val="both"/>
        <w:rPr>
          <w:rFonts w:ascii="SimHei" w:eastAsia="SimHei" w:hAnsi="SimHei"/>
          <w:b w:val="0"/>
          <w:sz w:val="21"/>
          <w:szCs w:val="21"/>
        </w:rPr>
      </w:pPr>
      <w:r w:rsidRPr="00D77568">
        <w:rPr>
          <w:rFonts w:ascii="SimHei" w:eastAsia="SimHei" w:hAnsi="SimHei" w:hint="eastAsia"/>
          <w:b w:val="0"/>
          <w:sz w:val="21"/>
          <w:szCs w:val="21"/>
        </w:rPr>
        <w:t>品牌和外观设计部门</w:t>
      </w:r>
    </w:p>
    <w:p w14:paraId="42C90427" w14:textId="77777777" w:rsidR="00E733EF" w:rsidRPr="00D77568" w:rsidRDefault="00191652"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77568">
        <w:rPr>
          <w:rFonts w:asciiTheme="minorEastAsia" w:eastAsiaTheme="minorEastAsia" w:hAnsiTheme="minorEastAsia" w:hint="eastAsia"/>
          <w:sz w:val="21"/>
          <w:szCs w:val="21"/>
        </w:rPr>
        <w:t>品牌和外观设计部门继续支持成员国发展其商标、工业品外观设计和地理标志领域的立法和体制框架。在2022年期间，该部门针对成员国的社会经济目标，提供由成员国推动的立法和政策咨询，从而支持成员国对品牌和外观设计的实际应用。此外，该部门还采取措施，扩大了针对最不发达国家、发展中国家和转型国家的培训和能力建设活动的覆盖范围。</w:t>
      </w:r>
    </w:p>
    <w:p w14:paraId="34B130F3" w14:textId="77777777" w:rsidR="00E733EF" w:rsidRPr="00D77568" w:rsidRDefault="00191652" w:rsidP="00D77568">
      <w:pPr>
        <w:pStyle w:val="Heading2"/>
        <w:spacing w:beforeLines="100" w:afterLines="100" w:after="240" w:line="340" w:lineRule="atLeast"/>
        <w:jc w:val="both"/>
        <w:rPr>
          <w:b/>
          <w:bCs w:val="0"/>
          <w:sz w:val="21"/>
          <w:szCs w:val="21"/>
        </w:rPr>
      </w:pPr>
      <w:r w:rsidRPr="00D77568">
        <w:rPr>
          <w:rFonts w:hint="eastAsia"/>
          <w:b/>
          <w:bCs w:val="0"/>
          <w:sz w:val="21"/>
          <w:szCs w:val="21"/>
        </w:rPr>
        <w:t>技术援助和能力建设</w:t>
      </w:r>
    </w:p>
    <w:p w14:paraId="0CAF9985" w14:textId="77777777" w:rsidR="00E733EF" w:rsidRPr="00D77568" w:rsidRDefault="00191652" w:rsidP="00C14C3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77568">
        <w:rPr>
          <w:rFonts w:asciiTheme="minorEastAsia" w:eastAsiaTheme="minorEastAsia" w:hAnsiTheme="minorEastAsia" w:hint="eastAsia"/>
          <w:sz w:val="21"/>
          <w:szCs w:val="21"/>
        </w:rPr>
        <w:t>该部门的技术援助和能力建设工作继续以发展议程建议为指引。具体而言，2022年，该部门回应了7个国家的13项立法咨询请求，</w:t>
      </w:r>
      <w:r w:rsidRPr="00D77568">
        <w:rPr>
          <w:rStyle w:val="FootnoteReference"/>
          <w:rFonts w:asciiTheme="minorEastAsia" w:eastAsiaTheme="minorEastAsia" w:hAnsiTheme="minorEastAsia"/>
          <w:sz w:val="21"/>
          <w:szCs w:val="21"/>
        </w:rPr>
        <w:footnoteReference w:id="63"/>
      </w:r>
      <w:r w:rsidRPr="00D77568">
        <w:rPr>
          <w:rFonts w:asciiTheme="minorEastAsia" w:eastAsiaTheme="minorEastAsia" w:hAnsiTheme="minorEastAsia" w:hint="eastAsia"/>
          <w:sz w:val="21"/>
          <w:szCs w:val="21"/>
        </w:rPr>
        <w:t>其中5项涉及商标，3项涉及工业品外观设计，2项涉及地理标志，3项涉及知识产权战略。同时，该部门通过能力建设和宣传活动进一步扩大了其</w:t>
      </w:r>
      <w:r w:rsidRPr="00D77568">
        <w:rPr>
          <w:rFonts w:asciiTheme="minorEastAsia" w:eastAsiaTheme="minorEastAsia" w:hAnsiTheme="minorEastAsia" w:hint="eastAsia"/>
          <w:spacing w:val="-20"/>
          <w:sz w:val="21"/>
          <w:szCs w:val="21"/>
        </w:rPr>
        <w:t>外联活动的覆盖范围，其中12项活动涉及工业品外观设计，19项涉及商标，5项涉及地理标志。</w:t>
      </w:r>
      <w:r w:rsidRPr="00D77568">
        <w:rPr>
          <w:rStyle w:val="FootnoteReference"/>
          <w:rFonts w:asciiTheme="minorEastAsia" w:eastAsiaTheme="minorEastAsia" w:hAnsiTheme="minorEastAsia"/>
          <w:sz w:val="21"/>
          <w:szCs w:val="21"/>
        </w:rPr>
        <w:footnoteReference w:id="64"/>
      </w:r>
      <w:r w:rsidRPr="00D77568">
        <w:rPr>
          <w:rFonts w:asciiTheme="minorEastAsia" w:eastAsiaTheme="minorEastAsia" w:hAnsiTheme="minorEastAsia" w:hint="eastAsia"/>
          <w:sz w:val="21"/>
          <w:szCs w:val="21"/>
        </w:rPr>
        <w:t>特别值得注意的是，两个新的商标手册项目</w:t>
      </w:r>
      <w:r w:rsidRPr="00D77568">
        <w:rPr>
          <w:rStyle w:val="FootnoteReference"/>
          <w:rFonts w:asciiTheme="minorEastAsia" w:eastAsiaTheme="minorEastAsia" w:hAnsiTheme="minorEastAsia"/>
          <w:sz w:val="21"/>
          <w:szCs w:val="21"/>
        </w:rPr>
        <w:footnoteReference w:id="65"/>
      </w:r>
      <w:r w:rsidRPr="00D77568">
        <w:rPr>
          <w:rFonts w:asciiTheme="minorEastAsia" w:eastAsiaTheme="minorEastAsia" w:hAnsiTheme="minorEastAsia" w:hint="eastAsia"/>
          <w:sz w:val="21"/>
          <w:szCs w:val="21"/>
        </w:rPr>
        <w:t>的第一阶段已经成功完成，具体为：(i)为巴林王国工商部外贸和知识产权局制定</w:t>
      </w:r>
      <w:r w:rsidRPr="00C14C39">
        <w:rPr>
          <w:rFonts w:ascii="KaiTi" w:eastAsia="KaiTi" w:hAnsi="KaiTi" w:hint="eastAsia"/>
          <w:sz w:val="21"/>
          <w:szCs w:val="21"/>
        </w:rPr>
        <w:t>《商标申请审查指南》</w:t>
      </w:r>
      <w:r w:rsidRPr="00D77568">
        <w:rPr>
          <w:rFonts w:asciiTheme="minorEastAsia" w:eastAsiaTheme="minorEastAsia" w:hAnsiTheme="minorEastAsia" w:hint="eastAsia"/>
          <w:sz w:val="21"/>
          <w:szCs w:val="21"/>
        </w:rPr>
        <w:t>；以及(ii)审查和更新</w:t>
      </w:r>
      <w:r w:rsidRPr="00C14C39">
        <w:rPr>
          <w:rFonts w:ascii="KaiTi" w:eastAsia="KaiTi" w:hAnsi="KaiTi" w:hint="eastAsia"/>
          <w:sz w:val="21"/>
          <w:szCs w:val="21"/>
        </w:rPr>
        <w:t>《安第斯共同体商标手册》</w:t>
      </w:r>
      <w:r w:rsidRPr="00D77568">
        <w:rPr>
          <w:rFonts w:asciiTheme="minorEastAsia" w:eastAsiaTheme="minorEastAsia" w:hAnsiTheme="minorEastAsia" w:hint="eastAsia"/>
          <w:sz w:val="21"/>
          <w:szCs w:val="21"/>
        </w:rPr>
        <w:t>。这些项目受到了受益国的欢迎，因为商标局在进行人员和基础设施改革时需要确保审查专业知识的传承。还应提及的是，</w:t>
      </w:r>
      <w:r w:rsidRPr="00C14C39">
        <w:rPr>
          <w:rFonts w:ascii="KaiTi" w:eastAsia="KaiTi" w:hAnsi="KaiTi" w:hint="eastAsia"/>
          <w:sz w:val="21"/>
          <w:szCs w:val="21"/>
        </w:rPr>
        <w:t>“西非国家经济共同体-产权组织外观设计试点项目”</w:t>
      </w:r>
      <w:r w:rsidRPr="00D77568">
        <w:rPr>
          <w:rFonts w:asciiTheme="minorEastAsia" w:eastAsiaTheme="minorEastAsia" w:hAnsiTheme="minorEastAsia" w:hint="eastAsia"/>
          <w:sz w:val="21"/>
          <w:szCs w:val="21"/>
        </w:rPr>
        <w:t>于2022年初启动，其主要目的是提高西非企业对工业品外观设计在产品商业化中的价值和作用的认识。从试点国家科特迪瓦和加纳开始，在阿比让和阿克拉的经济中心举行的圆桌会议主要由中小微企业参加。该试点项目的核心内容是创建一个移动应用程序（这在产权组织和所有项目合作伙伴中尚属首次），设想将其作为信息共享的主要工具，包括讲述西非地区的工业品外观设计故事。</w:t>
      </w:r>
      <w:r w:rsidRPr="00D77568">
        <w:rPr>
          <w:rStyle w:val="FootnoteReference"/>
          <w:rFonts w:asciiTheme="minorEastAsia" w:eastAsiaTheme="minorEastAsia" w:hAnsiTheme="minorEastAsia"/>
          <w:sz w:val="21"/>
          <w:szCs w:val="21"/>
        </w:rPr>
        <w:footnoteReference w:id="66"/>
      </w:r>
      <w:r w:rsidRPr="00D77568">
        <w:rPr>
          <w:rFonts w:asciiTheme="minorEastAsia" w:eastAsiaTheme="minorEastAsia" w:hAnsiTheme="minorEastAsia" w:hint="eastAsia"/>
          <w:sz w:val="21"/>
          <w:szCs w:val="21"/>
        </w:rPr>
        <w:t>该部门在报告所述期间参与的另一个项目旨在协助东南亚国家联盟（东盟）各国协调和进一步简化其国家外观设计注册制度，以提高该地区的竞争力。</w:t>
      </w:r>
      <w:r w:rsidRPr="00D77568">
        <w:rPr>
          <w:rStyle w:val="FootnoteReference"/>
          <w:rFonts w:asciiTheme="minorEastAsia" w:eastAsiaTheme="minorEastAsia" w:hAnsiTheme="minorEastAsia"/>
          <w:sz w:val="21"/>
          <w:szCs w:val="21"/>
        </w:rPr>
        <w:footnoteReference w:id="67"/>
      </w:r>
    </w:p>
    <w:p w14:paraId="79238857" w14:textId="77777777" w:rsidR="00E733EF" w:rsidRPr="00D77568" w:rsidRDefault="00191652" w:rsidP="00D77568">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77568">
        <w:rPr>
          <w:rFonts w:asciiTheme="minorEastAsia" w:eastAsiaTheme="minorEastAsia" w:hAnsiTheme="minorEastAsia" w:hint="eastAsia"/>
          <w:sz w:val="21"/>
          <w:szCs w:val="21"/>
        </w:rPr>
        <w:lastRenderedPageBreak/>
        <w:t>该部门继续与当地社区密切合作，对柬埔寨的“Kampot海盐”生产者、塞内加尔的“Madd de Casamance”生产者、</w:t>
      </w:r>
      <w:r w:rsidRPr="00D77568">
        <w:rPr>
          <w:rStyle w:val="FootnoteReference"/>
          <w:rFonts w:asciiTheme="minorEastAsia" w:eastAsiaTheme="minorEastAsia" w:hAnsiTheme="minorEastAsia"/>
          <w:sz w:val="21"/>
          <w:szCs w:val="21"/>
        </w:rPr>
        <w:footnoteReference w:id="68"/>
      </w:r>
      <w:r w:rsidRPr="00D77568">
        <w:rPr>
          <w:rFonts w:asciiTheme="minorEastAsia" w:eastAsiaTheme="minorEastAsia" w:hAnsiTheme="minorEastAsia" w:hint="eastAsia"/>
          <w:sz w:val="21"/>
          <w:szCs w:val="21"/>
        </w:rPr>
        <w:t>多哥的“Riz de Kovié”生产者和墨西哥的“Seda de Cajonos”生产者等地理标志进行开发、保护和商业化利用。</w:t>
      </w:r>
      <w:r w:rsidRPr="00D77568">
        <w:rPr>
          <w:rStyle w:val="FootnoteReference"/>
          <w:rFonts w:asciiTheme="minorEastAsia" w:eastAsiaTheme="minorEastAsia" w:hAnsiTheme="minorEastAsia"/>
          <w:sz w:val="21"/>
          <w:szCs w:val="21"/>
        </w:rPr>
        <w:footnoteReference w:id="69"/>
      </w:r>
      <w:r w:rsidRPr="00D77568">
        <w:rPr>
          <w:rFonts w:asciiTheme="minorEastAsia" w:eastAsiaTheme="minorEastAsia" w:hAnsiTheme="minorEastAsia" w:hint="eastAsia"/>
          <w:sz w:val="21"/>
          <w:szCs w:val="21"/>
        </w:rPr>
        <w:t>此外，根据《补充〈商标法新加坡条约〉（下称《新加坡条约》）的决议》，产权组织继续为实施《新加坡条约》提供额外和充分</w:t>
      </w:r>
      <w:r w:rsidRPr="00D77568">
        <w:rPr>
          <w:rFonts w:asciiTheme="minorEastAsia" w:eastAsiaTheme="minorEastAsia" w:hAnsiTheme="minorEastAsia" w:hint="eastAsia"/>
          <w:spacing w:val="-20"/>
          <w:sz w:val="21"/>
          <w:szCs w:val="21"/>
        </w:rPr>
        <w:t>的技术援助。2022年，产权组织为两个成员国在法律和法规中实施《新加坡条约》提供了支持。</w:t>
      </w:r>
      <w:r w:rsidRPr="00D77568">
        <w:rPr>
          <w:rStyle w:val="FootnoteReference"/>
          <w:rFonts w:asciiTheme="minorEastAsia" w:eastAsiaTheme="minorEastAsia" w:hAnsiTheme="minorEastAsia"/>
          <w:sz w:val="21"/>
          <w:szCs w:val="21"/>
        </w:rPr>
        <w:footnoteReference w:id="70"/>
      </w:r>
      <w:r w:rsidRPr="00D77568">
        <w:rPr>
          <w:rFonts w:asciiTheme="minorEastAsia" w:eastAsiaTheme="minorEastAsia" w:hAnsiTheme="minorEastAsia" w:hint="eastAsia"/>
          <w:sz w:val="21"/>
          <w:szCs w:val="21"/>
        </w:rPr>
        <w:t>另外，还开展了四项能力建设和宣传活动。</w:t>
      </w:r>
      <w:r w:rsidRPr="00D77568">
        <w:rPr>
          <w:rStyle w:val="FootnoteReference"/>
          <w:rFonts w:asciiTheme="minorEastAsia" w:eastAsiaTheme="minorEastAsia" w:hAnsiTheme="minorEastAsia"/>
          <w:sz w:val="21"/>
          <w:szCs w:val="21"/>
        </w:rPr>
        <w:footnoteReference w:id="71"/>
      </w:r>
    </w:p>
    <w:p w14:paraId="192B7281" w14:textId="77777777" w:rsidR="00E733EF" w:rsidRPr="004C19C1" w:rsidRDefault="00191652" w:rsidP="004C19C1">
      <w:pPr>
        <w:pStyle w:val="Heading2"/>
        <w:spacing w:beforeLines="100" w:afterLines="100" w:after="240" w:line="340" w:lineRule="atLeast"/>
        <w:jc w:val="both"/>
        <w:rPr>
          <w:b/>
          <w:bCs w:val="0"/>
          <w:sz w:val="21"/>
          <w:szCs w:val="21"/>
        </w:rPr>
      </w:pPr>
      <w:r w:rsidRPr="004C19C1">
        <w:rPr>
          <w:rFonts w:hint="eastAsia"/>
          <w:b/>
          <w:bCs w:val="0"/>
          <w:sz w:val="21"/>
          <w:szCs w:val="21"/>
        </w:rPr>
        <w:t>产权组织机构</w:t>
      </w:r>
    </w:p>
    <w:p w14:paraId="32D48E97" w14:textId="77777777" w:rsidR="00E733EF" w:rsidRPr="004C19C1" w:rsidRDefault="00191652" w:rsidP="004C19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19C1">
        <w:rPr>
          <w:rFonts w:asciiTheme="minorEastAsia" w:eastAsiaTheme="minorEastAsia" w:hAnsiTheme="minorEastAsia" w:hint="eastAsia"/>
          <w:sz w:val="21"/>
          <w:szCs w:val="21"/>
        </w:rPr>
        <w:t>该部门继续支持商标、工业品外观设计和地理标志法律常设委员会（SCT）的工作。SCT第四十五和四十六届会议分别于3月28日至30日和11月21日至23日举行。SCT在工业品外观设计、保护国名防止作为商标注册和使用以及地理标志方面的工作继续按照发展议程建议15进行。</w:t>
      </w:r>
    </w:p>
    <w:p w14:paraId="1F6EF486" w14:textId="77777777" w:rsidR="00E733EF" w:rsidRPr="004C19C1" w:rsidRDefault="00191652" w:rsidP="004C19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19C1">
        <w:rPr>
          <w:rFonts w:asciiTheme="minorEastAsia" w:eastAsiaTheme="minorEastAsia" w:hAnsiTheme="minorEastAsia" w:hint="eastAsia"/>
          <w:sz w:val="21"/>
          <w:szCs w:val="21"/>
        </w:rPr>
        <w:t>产权组织大会第五十五届会议（第30次特别会议）讨论了召开一次通过外观设计法条约外交会议的可能性问题。</w:t>
      </w:r>
      <w:r w:rsidRPr="004C19C1">
        <w:rPr>
          <w:rStyle w:val="FootnoteReference"/>
          <w:rFonts w:asciiTheme="minorEastAsia" w:eastAsiaTheme="minorEastAsia" w:hAnsiTheme="minorEastAsia"/>
          <w:sz w:val="21"/>
          <w:szCs w:val="21"/>
        </w:rPr>
        <w:footnoteReference w:id="72"/>
      </w:r>
      <w:r w:rsidRPr="004C19C1">
        <w:rPr>
          <w:rFonts w:asciiTheme="minorEastAsia" w:eastAsiaTheme="minorEastAsia" w:hAnsiTheme="minorEastAsia" w:hint="eastAsia"/>
          <w:sz w:val="21"/>
          <w:szCs w:val="21"/>
        </w:rPr>
        <w:t>会议以包容和由成员驱动的方式进行了审议，最后产权组织大会决定最迟于2024年召开一次外交会议，以缔结和通过一部外观设计法条约。</w:t>
      </w:r>
      <w:r w:rsidRPr="004C19C1">
        <w:rPr>
          <w:rStyle w:val="FootnoteReference"/>
          <w:rFonts w:asciiTheme="minorEastAsia" w:eastAsiaTheme="minorEastAsia" w:hAnsiTheme="minorEastAsia"/>
          <w:sz w:val="21"/>
          <w:szCs w:val="21"/>
        </w:rPr>
        <w:footnoteReference w:id="73"/>
      </w:r>
    </w:p>
    <w:p w14:paraId="7B03D2E8" w14:textId="77777777" w:rsidR="00E733EF" w:rsidRPr="004C19C1" w:rsidRDefault="00191652" w:rsidP="004C19C1">
      <w:pPr>
        <w:pStyle w:val="Heading2"/>
        <w:spacing w:beforeLines="100" w:afterLines="100" w:after="240" w:line="340" w:lineRule="atLeast"/>
        <w:jc w:val="both"/>
        <w:rPr>
          <w:b/>
          <w:bCs w:val="0"/>
          <w:sz w:val="21"/>
          <w:szCs w:val="21"/>
        </w:rPr>
      </w:pPr>
      <w:r w:rsidRPr="004C19C1">
        <w:rPr>
          <w:rFonts w:hint="eastAsia"/>
          <w:b/>
          <w:bCs w:val="0"/>
          <w:sz w:val="21"/>
          <w:szCs w:val="21"/>
        </w:rPr>
        <w:t>已被纳入主流的发展议程项目</w:t>
      </w:r>
    </w:p>
    <w:p w14:paraId="5CBF1B38" w14:textId="77777777" w:rsidR="00E733EF" w:rsidRPr="004C19C1" w:rsidRDefault="00191652" w:rsidP="004C19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19C1">
        <w:rPr>
          <w:rFonts w:asciiTheme="minorEastAsia" w:eastAsiaTheme="minorEastAsia" w:hAnsiTheme="minorEastAsia" w:hint="eastAsia"/>
          <w:sz w:val="21"/>
          <w:szCs w:val="21"/>
        </w:rPr>
        <w:t>关于</w:t>
      </w:r>
      <w:r w:rsidRPr="004C19C1">
        <w:rPr>
          <w:rFonts w:ascii="KaiTi" w:eastAsia="KaiTi" w:hAnsi="KaiTi" w:hint="eastAsia"/>
          <w:sz w:val="21"/>
          <w:szCs w:val="21"/>
        </w:rPr>
        <w:t>“知识产权和外观设计管理促进发展中国家和最不发达国家企业发展”</w:t>
      </w:r>
      <w:r w:rsidRPr="004C19C1">
        <w:rPr>
          <w:rFonts w:asciiTheme="minorEastAsia" w:eastAsiaTheme="minorEastAsia" w:hAnsiTheme="minorEastAsia" w:hint="eastAsia"/>
          <w:sz w:val="21"/>
          <w:szCs w:val="21"/>
        </w:rPr>
        <w:t>的项目已于2016年4月完成，并于2017年3月进行了审评。在2017年12月举行的第二十届会议上，CDIP对项目审评进行了审查，然后批准了该项目的后续实施。因此，在本报告所述期间，项目活动继续被纳入产权组织宣传和能力建设经常性工作的主流。</w:t>
      </w:r>
    </w:p>
    <w:p w14:paraId="2A8426CF" w14:textId="77777777" w:rsidR="00E733EF" w:rsidRPr="004C19C1" w:rsidRDefault="00191652" w:rsidP="004C19C1">
      <w:pPr>
        <w:pStyle w:val="Heading2"/>
        <w:spacing w:beforeLines="100" w:afterLines="100" w:after="240" w:line="340" w:lineRule="atLeast"/>
        <w:jc w:val="both"/>
        <w:rPr>
          <w:b/>
          <w:bCs w:val="0"/>
          <w:sz w:val="21"/>
          <w:szCs w:val="21"/>
        </w:rPr>
      </w:pPr>
      <w:r w:rsidRPr="004C19C1">
        <w:rPr>
          <w:rFonts w:hint="eastAsia"/>
          <w:b/>
          <w:bCs w:val="0"/>
          <w:sz w:val="21"/>
          <w:szCs w:val="21"/>
        </w:rPr>
        <w:t>正在实施的发展议程项目</w:t>
      </w:r>
    </w:p>
    <w:p w14:paraId="2AD1A985" w14:textId="77777777" w:rsidR="00E733EF" w:rsidRPr="004C19C1" w:rsidRDefault="00191652" w:rsidP="004C19C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19C1">
        <w:rPr>
          <w:rFonts w:asciiTheme="minorEastAsia" w:eastAsiaTheme="minorEastAsia" w:hAnsiTheme="minorEastAsia" w:hint="eastAsia"/>
          <w:sz w:val="21"/>
          <w:szCs w:val="21"/>
        </w:rPr>
        <w:t>该部门负责落实以下正在实施的发展议程项目：</w:t>
      </w:r>
    </w:p>
    <w:p w14:paraId="48611062" w14:textId="77777777" w:rsidR="00E733EF" w:rsidRPr="004C19C1" w:rsidRDefault="00191652" w:rsidP="004C19C1">
      <w:pPr>
        <w:pStyle w:val="ListParagraph"/>
        <w:numPr>
          <w:ilvl w:val="0"/>
          <w:numId w:val="8"/>
        </w:numPr>
        <w:overflowPunct w:val="0"/>
        <w:spacing w:afterLines="50" w:after="120" w:line="340" w:lineRule="atLeast"/>
        <w:contextualSpacing w:val="0"/>
        <w:jc w:val="both"/>
        <w:rPr>
          <w:rFonts w:asciiTheme="minorEastAsia" w:eastAsiaTheme="minorEastAsia" w:hAnsiTheme="minorEastAsia"/>
          <w:sz w:val="21"/>
          <w:szCs w:val="21"/>
        </w:rPr>
      </w:pPr>
      <w:r w:rsidRPr="00D612CE">
        <w:rPr>
          <w:rFonts w:ascii="KaiTi" w:eastAsia="KaiTi" w:hAnsi="KaiTi" w:hint="eastAsia"/>
          <w:iCs/>
          <w:sz w:val="21"/>
          <w:szCs w:val="21"/>
        </w:rPr>
        <w:t>“通过知识产权增强小企业能力：制定在注册后阶段为地理标志或集体商标提供支持的战略”</w:t>
      </w:r>
      <w:r w:rsidRPr="004C19C1">
        <w:rPr>
          <w:rFonts w:asciiTheme="minorEastAsia" w:eastAsiaTheme="minorEastAsia" w:hAnsiTheme="minorEastAsia" w:hint="eastAsia"/>
          <w:iCs/>
          <w:sz w:val="21"/>
          <w:szCs w:val="21"/>
        </w:rPr>
        <w:t>：2022年开展了以下筹备和实施前活动：(i)选择受益国；</w:t>
      </w:r>
      <w:r w:rsidRPr="004C19C1">
        <w:rPr>
          <w:rStyle w:val="FootnoteReference"/>
          <w:rFonts w:asciiTheme="minorEastAsia" w:eastAsiaTheme="minorEastAsia" w:hAnsiTheme="minorEastAsia"/>
          <w:iCs/>
          <w:sz w:val="21"/>
          <w:szCs w:val="21"/>
        </w:rPr>
        <w:footnoteReference w:id="74"/>
      </w:r>
      <w:r w:rsidRPr="004C19C1">
        <w:rPr>
          <w:rFonts w:asciiTheme="minorEastAsia" w:eastAsiaTheme="minorEastAsia" w:hAnsiTheme="minorEastAsia" w:hint="eastAsia"/>
          <w:iCs/>
          <w:sz w:val="21"/>
          <w:szCs w:val="21"/>
        </w:rPr>
        <w:t>(ii)</w:t>
      </w:r>
      <w:r w:rsidRPr="004C19C1">
        <w:rPr>
          <w:rFonts w:asciiTheme="minorEastAsia" w:eastAsiaTheme="minorEastAsia" w:hAnsiTheme="minorEastAsia" w:hint="eastAsia"/>
          <w:sz w:val="21"/>
          <w:szCs w:val="21"/>
        </w:rPr>
        <w:t>在每个受益国选择一名国家协调员；(iii)启动与受益国的讨论，为项目选择一个地理标志或集体/证明商标；</w:t>
      </w:r>
      <w:r w:rsidRPr="004C19C1">
        <w:rPr>
          <w:rStyle w:val="FootnoteReference"/>
          <w:rFonts w:asciiTheme="minorEastAsia" w:eastAsiaTheme="minorEastAsia" w:hAnsiTheme="minorEastAsia"/>
          <w:sz w:val="21"/>
          <w:szCs w:val="21"/>
        </w:rPr>
        <w:footnoteReference w:id="75"/>
      </w:r>
      <w:r w:rsidRPr="004C19C1">
        <w:rPr>
          <w:rFonts w:asciiTheme="minorEastAsia" w:eastAsiaTheme="minorEastAsia" w:hAnsiTheme="minorEastAsia" w:hint="eastAsia"/>
          <w:sz w:val="21"/>
          <w:szCs w:val="21"/>
        </w:rPr>
        <w:t>以及(iv)招募一名研究员，从2023年1月开始支持项目的实施。</w:t>
      </w:r>
    </w:p>
    <w:p w14:paraId="50DA0F85" w14:textId="77777777" w:rsidR="00E733EF" w:rsidRPr="004C19C1" w:rsidRDefault="00191652" w:rsidP="004C19C1">
      <w:pPr>
        <w:pStyle w:val="ListParagraph"/>
        <w:numPr>
          <w:ilvl w:val="0"/>
          <w:numId w:val="8"/>
        </w:numPr>
        <w:overflowPunct w:val="0"/>
        <w:spacing w:afterLines="50" w:after="120" w:line="340" w:lineRule="atLeast"/>
        <w:contextualSpacing w:val="0"/>
        <w:jc w:val="both"/>
        <w:rPr>
          <w:rFonts w:asciiTheme="minorEastAsia" w:eastAsiaTheme="minorEastAsia" w:hAnsiTheme="minorEastAsia"/>
          <w:i/>
          <w:sz w:val="21"/>
          <w:szCs w:val="21"/>
        </w:rPr>
      </w:pPr>
      <w:r w:rsidRPr="00D612CE">
        <w:rPr>
          <w:rStyle w:val="ONUMFSChar"/>
          <w:rFonts w:ascii="KaiTi" w:eastAsia="KaiTi" w:hAnsi="KaiTi" w:hint="eastAsia"/>
          <w:iCs/>
          <w:sz w:val="21"/>
          <w:szCs w:val="21"/>
        </w:rPr>
        <w:t>“秘鲁及其他发展中国家的知识产权与美食旅游业：通过知识产权促进美食旅游业发展”</w:t>
      </w:r>
      <w:r w:rsidRPr="004C19C1">
        <w:rPr>
          <w:rStyle w:val="ONUMFSChar"/>
          <w:rFonts w:asciiTheme="minorEastAsia" w:eastAsiaTheme="minorEastAsia" w:hAnsiTheme="minorEastAsia" w:hint="eastAsia"/>
          <w:sz w:val="21"/>
          <w:szCs w:val="21"/>
        </w:rPr>
        <w:t>项目于2022年10月成功结束。在本报告所述期间，</w:t>
      </w:r>
      <w:r w:rsidRPr="004C19C1">
        <w:rPr>
          <w:rFonts w:asciiTheme="minorEastAsia" w:eastAsiaTheme="minorEastAsia" w:hAnsiTheme="minorEastAsia" w:hint="eastAsia"/>
          <w:sz w:val="21"/>
          <w:szCs w:val="21"/>
        </w:rPr>
        <w:t>在摩洛哥、马来西亚和喀麦隆完成了对选定烹饪传统价值链中知识产权相关领域的分析。同时，还组织了国家研讨会，在每个受益国介绍知识产权分析的建议和结果。具体而言，(i)在秘鲁，产权组织和国家竞争和知识产权保护局（INDECOPI）于2022年6月举办了一次国家研讨会；(ii)在摩洛哥，产权组织和摩洛哥工商</w:t>
      </w:r>
      <w:r w:rsidRPr="004C19C1">
        <w:rPr>
          <w:rFonts w:asciiTheme="minorEastAsia" w:eastAsiaTheme="minorEastAsia" w:hAnsiTheme="minorEastAsia" w:hint="eastAsia"/>
          <w:sz w:val="21"/>
          <w:szCs w:val="21"/>
        </w:rPr>
        <w:lastRenderedPageBreak/>
        <w:t>产权局（OMPIC）于2022年9月举办了一次国家研讨会； (iii)在马来西亚，产权组织和马来西亚知识产权公司（MyIPO）于2022年6月举办了一次国家研讨会；以及(iv)在喀麦隆，产权组织和休闲旅游部（MINTOUL）于2022年6月举办了一次国家研讨会。作为项目结项活动的一部分，2022年10月18日在位于日内瓦的产权组织总部举行了一次国际讲习班，四个参与国和专家们汇聚一堂，分享了项目部署的经验，并讨论了各自得出的结论和未来行动的想法。世界旅游组织（世旅组织）也参加了此次讲习班，与各国一起探讨如何传播和推进项目的旅游业部分。还应提及的是，在CDIP第二十九届会议期间举行了一次会外活动，参与国在会上向成员国介绍了项目成果。</w:t>
      </w:r>
    </w:p>
    <w:p w14:paraId="589236A9" w14:textId="77777777" w:rsidR="00E733EF" w:rsidRPr="004C19C1" w:rsidRDefault="00191652" w:rsidP="004C19C1">
      <w:pPr>
        <w:pStyle w:val="ListParagraph"/>
        <w:numPr>
          <w:ilvl w:val="0"/>
          <w:numId w:val="8"/>
        </w:numPr>
        <w:overflowPunct w:val="0"/>
        <w:spacing w:afterLines="50" w:after="120" w:line="340" w:lineRule="atLeast"/>
        <w:contextualSpacing w:val="0"/>
        <w:jc w:val="both"/>
        <w:rPr>
          <w:rFonts w:asciiTheme="minorEastAsia" w:eastAsiaTheme="minorEastAsia" w:hAnsiTheme="minorEastAsia"/>
          <w:i/>
          <w:sz w:val="21"/>
          <w:szCs w:val="21"/>
        </w:rPr>
      </w:pPr>
      <w:r w:rsidRPr="004C19C1">
        <w:rPr>
          <w:rFonts w:asciiTheme="minorEastAsia" w:eastAsiaTheme="minorEastAsia" w:hAnsiTheme="minorEastAsia" w:hint="eastAsia"/>
          <w:sz w:val="21"/>
          <w:szCs w:val="21"/>
        </w:rPr>
        <w:t>由发展议程协调司管理的</w:t>
      </w:r>
      <w:r w:rsidRPr="00D612CE">
        <w:rPr>
          <w:rFonts w:ascii="KaiTi" w:eastAsia="KaiTi" w:hAnsi="KaiTi" w:hint="eastAsia"/>
          <w:sz w:val="21"/>
          <w:szCs w:val="21"/>
        </w:rPr>
        <w:t>“将当地企业集体商标注册作为跨领域经济发展问题”</w:t>
      </w:r>
      <w:r w:rsidRPr="004C19C1">
        <w:rPr>
          <w:rFonts w:asciiTheme="minorEastAsia" w:eastAsiaTheme="minorEastAsia" w:hAnsiTheme="minorEastAsia" w:hint="eastAsia"/>
          <w:sz w:val="21"/>
          <w:szCs w:val="21"/>
        </w:rPr>
        <w:t>项目在2022年继续取得进展。其目标是支持四个受益国的当地企业使用集体商标。</w:t>
      </w:r>
      <w:r w:rsidRPr="004C19C1">
        <w:rPr>
          <w:rStyle w:val="FootnoteReference"/>
          <w:rFonts w:asciiTheme="minorEastAsia" w:eastAsiaTheme="minorEastAsia" w:hAnsiTheme="minorEastAsia"/>
          <w:sz w:val="21"/>
          <w:szCs w:val="21"/>
        </w:rPr>
        <w:footnoteReference w:id="76"/>
      </w:r>
      <w:r w:rsidRPr="004C19C1">
        <w:rPr>
          <w:rFonts w:asciiTheme="minorEastAsia" w:eastAsiaTheme="minorEastAsia" w:hAnsiTheme="minorEastAsia" w:hint="eastAsia"/>
          <w:sz w:val="21"/>
          <w:szCs w:val="21"/>
        </w:rPr>
        <w:t>实施战略的重点是为每个受益国的一个当地生产者群体开发和注册试点集体商标提供便利，以及开展能力建设活动和制作宣传材料。截至2022年底，菲律宾已经开发并注册了集体商标；突尼斯和巴西的两个集体商标已经完全开发并正在相关知识产权局注册；玻利维亚正在最后确定使用和徽标条例。在制作实用指南、传单和视频等宣传材料方面也取得了进展，并发布了一个专门用以支持该项目的网页。</w:t>
      </w:r>
      <w:r w:rsidRPr="004C19C1">
        <w:rPr>
          <w:rStyle w:val="FootnoteReference"/>
          <w:rFonts w:asciiTheme="minorEastAsia" w:eastAsiaTheme="minorEastAsia" w:hAnsiTheme="minorEastAsia"/>
          <w:sz w:val="21"/>
          <w:szCs w:val="21"/>
        </w:rPr>
        <w:footnoteReference w:id="77"/>
      </w:r>
    </w:p>
    <w:p w14:paraId="2B54D74B" w14:textId="77777777" w:rsidR="00E733EF" w:rsidRPr="00D612CE" w:rsidRDefault="00191652" w:rsidP="00D612CE">
      <w:pPr>
        <w:pStyle w:val="Heading1"/>
        <w:numPr>
          <w:ilvl w:val="0"/>
          <w:numId w:val="14"/>
        </w:numPr>
        <w:spacing w:beforeLines="100" w:afterLines="100" w:after="240" w:line="340" w:lineRule="atLeast"/>
        <w:ind w:left="397" w:hanging="284"/>
        <w:jc w:val="both"/>
        <w:rPr>
          <w:rFonts w:ascii="SimHei" w:eastAsia="SimHei" w:hAnsi="SimHei"/>
          <w:b w:val="0"/>
          <w:sz w:val="21"/>
          <w:szCs w:val="21"/>
        </w:rPr>
      </w:pPr>
      <w:r w:rsidRPr="00D612CE">
        <w:rPr>
          <w:rFonts w:ascii="SimHei" w:eastAsia="SimHei" w:hAnsi="SimHei" w:hint="eastAsia"/>
          <w:b w:val="0"/>
          <w:sz w:val="21"/>
          <w:szCs w:val="21"/>
        </w:rPr>
        <w:t>版权和创意产业部门</w:t>
      </w:r>
    </w:p>
    <w:p w14:paraId="13ACD48B" w14:textId="77777777" w:rsidR="00E733EF" w:rsidRPr="00D612CE" w:rsidRDefault="00191652" w:rsidP="00D612CE">
      <w:pPr>
        <w:pStyle w:val="ListParagraph"/>
        <w:numPr>
          <w:ilvl w:val="0"/>
          <w:numId w:val="4"/>
        </w:numPr>
        <w:overflowPunct w:val="0"/>
        <w:spacing w:afterLines="50" w:after="120" w:line="340" w:lineRule="atLeast"/>
        <w:ind w:left="0" w:firstLine="0"/>
        <w:contextualSpacing w:val="0"/>
        <w:jc w:val="both"/>
        <w:rPr>
          <w:sz w:val="21"/>
          <w:szCs w:val="21"/>
        </w:rPr>
      </w:pPr>
      <w:r w:rsidRPr="00D612CE">
        <w:rPr>
          <w:rFonts w:hint="eastAsia"/>
          <w:sz w:val="21"/>
          <w:szCs w:val="21"/>
        </w:rPr>
        <w:t>版权和创意产业部门继续协助成员国加强其机构能力以及更新其利用版权生态系统作为可持续发展工具的知识和实用技能。在本报告所述期间，该部门通过提供由成员国推动的立法、政策、基础设施和管理咨询，支持成员国使用版权及相关权利。该部门还采取措施，扩大了针对最不发达国家、发展中国家和转型国家的培训和能力建设活动的覆盖范围。此外，该部门还通过产权组织网站和产权组织出版物等方式，领导产权组织努力提高全球对知识产权改善各地所有人生活的潜力的认识。这项宣传工作还得到了扩大的产权组织全球奖计划的支持，表彰那些利用知识产权在国内外产生积极影响的杰出企业和个人。</w:t>
      </w:r>
    </w:p>
    <w:p w14:paraId="68629629" w14:textId="77777777" w:rsidR="00E733EF" w:rsidRPr="00D612CE" w:rsidRDefault="00191652" w:rsidP="00D612CE">
      <w:pPr>
        <w:pStyle w:val="Heading2"/>
        <w:spacing w:beforeLines="100" w:afterLines="100" w:after="240" w:line="340" w:lineRule="atLeast"/>
        <w:jc w:val="both"/>
        <w:rPr>
          <w:b/>
          <w:bCs w:val="0"/>
          <w:sz w:val="21"/>
          <w:szCs w:val="21"/>
        </w:rPr>
      </w:pPr>
      <w:r w:rsidRPr="00D612CE">
        <w:rPr>
          <w:rFonts w:hint="eastAsia"/>
          <w:b/>
          <w:bCs w:val="0"/>
          <w:sz w:val="21"/>
          <w:szCs w:val="21"/>
        </w:rPr>
        <w:t>技术援助和能力建设</w:t>
      </w:r>
    </w:p>
    <w:p w14:paraId="29278F8B" w14:textId="77777777" w:rsidR="00E733EF" w:rsidRPr="00D612CE" w:rsidRDefault="00191652" w:rsidP="00D612C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612CE">
        <w:rPr>
          <w:rFonts w:asciiTheme="minorEastAsia" w:eastAsiaTheme="minorEastAsia" w:hAnsiTheme="minorEastAsia" w:hint="eastAsia"/>
          <w:sz w:val="21"/>
          <w:szCs w:val="21"/>
        </w:rPr>
        <w:t>该部门的技术援助和能力建设工作继续以发展议程建议为指引。具体而言，向20个发展中国家和最不发达国家提供了量身定制的立法咨询。同时，一系列的技术援助和能力建设计划惠及87个发展中国家和最不发达国家以及两个区域性政府间组织的5,920名参与者，包括政策制定者、文化和创意部门的专业人士和管理人员。值得注意的是以下项目/活动：(i)制定支持创意经济的国家知识产权/版权政策和战略；(ii)产权组织-非洲地区知识产权组织次区域会议：塑造非洲版权及相关权格局；(iii)为埃及举办关于版权在创意产业中的作用的网络研讨会；(iv)为各地区举办产权组织“出版商人际圈”倡议下的业绩辅导计划；(v)为亚太国家举办支持音乐和视觉艺术部门创意初创公司的版权制度辅导计划；(vi)为出版业的作者和中小企业举办一系列次区域网络研讨会：为加勒比国家举办的“一本书的旅程”；(vii)为拉丁美洲国家的创作者和中小企业举办的系列指导网络研讨会，该研讨会特别关注青年和妇女；以及(viii)美国版权局-产权组织2022年国际版权研究所。</w:t>
      </w:r>
    </w:p>
    <w:p w14:paraId="6DBA8981" w14:textId="77777777" w:rsidR="00E733EF" w:rsidRPr="00D612CE" w:rsidRDefault="00191652" w:rsidP="00D612C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612CE">
        <w:rPr>
          <w:rFonts w:asciiTheme="minorEastAsia" w:eastAsiaTheme="minorEastAsia" w:hAnsiTheme="minorEastAsia" w:hint="eastAsia"/>
          <w:sz w:val="21"/>
          <w:szCs w:val="21"/>
        </w:rPr>
        <w:lastRenderedPageBreak/>
        <w:t>在本报告所述期间，根据发展议程建议4，该部门特别关注中小企业的需求。例如，应尼日利亚版权委员会的要求，与其共同制定了</w:t>
      </w:r>
      <w:r w:rsidRPr="00D612CE">
        <w:rPr>
          <w:rFonts w:ascii="KaiTi" w:eastAsia="KaiTi" w:hAnsi="KaiTi" w:hint="eastAsia"/>
          <w:sz w:val="21"/>
          <w:szCs w:val="21"/>
        </w:rPr>
        <w:t>《尼日利亚集体管理组织许可和运作手册》</w:t>
      </w:r>
      <w:r w:rsidRPr="00D612CE">
        <w:rPr>
          <w:rFonts w:asciiTheme="minorEastAsia" w:eastAsiaTheme="minorEastAsia" w:hAnsiTheme="minorEastAsia" w:hint="eastAsia"/>
          <w:sz w:val="21"/>
          <w:szCs w:val="21"/>
        </w:rPr>
        <w:t>。此举的目的是通过提供有关集体管理组织运作的实用和最新信息，增强尼日利亚集体管理组织的能力，并在集体管理组织内推广透明文化和良好做法，使其能够设计、实施和调整有效的许可战略。另一个例子是，</w:t>
      </w:r>
      <w:r w:rsidRPr="00D612CE">
        <w:rPr>
          <w:rFonts w:ascii="KaiTi" w:eastAsia="KaiTi" w:hAnsi="KaiTi" w:hint="eastAsia"/>
          <w:sz w:val="21"/>
          <w:szCs w:val="21"/>
        </w:rPr>
        <w:t>《面向高校和公共研究机构的产权组织版权政策模板》</w:t>
      </w:r>
      <w:r w:rsidRPr="00D612CE">
        <w:rPr>
          <w:rFonts w:asciiTheme="minorEastAsia" w:eastAsiaTheme="minorEastAsia" w:hAnsiTheme="minorEastAsia" w:hint="eastAsia"/>
          <w:sz w:val="21"/>
          <w:szCs w:val="21"/>
        </w:rPr>
        <w:t>及其</w:t>
      </w:r>
      <w:r w:rsidRPr="00D612CE">
        <w:rPr>
          <w:rFonts w:ascii="KaiTi" w:eastAsia="KaiTi" w:hAnsi="KaiTi" w:hint="eastAsia"/>
          <w:sz w:val="21"/>
          <w:szCs w:val="21"/>
        </w:rPr>
        <w:t>《定制化指南》</w:t>
      </w:r>
      <w:r w:rsidRPr="00D612CE">
        <w:rPr>
          <w:rFonts w:asciiTheme="minorEastAsia" w:eastAsiaTheme="minorEastAsia" w:hAnsiTheme="minorEastAsia" w:hint="eastAsia"/>
          <w:sz w:val="21"/>
          <w:szCs w:val="21"/>
        </w:rPr>
        <w:t>。</w:t>
      </w:r>
      <w:r w:rsidRPr="00D612CE">
        <w:rPr>
          <w:rStyle w:val="FootnoteReference"/>
          <w:rFonts w:asciiTheme="minorEastAsia" w:eastAsiaTheme="minorEastAsia" w:hAnsiTheme="minorEastAsia"/>
          <w:sz w:val="21"/>
          <w:szCs w:val="21"/>
        </w:rPr>
        <w:footnoteReference w:id="78"/>
      </w:r>
      <w:r w:rsidRPr="00D612CE">
        <w:rPr>
          <w:rFonts w:asciiTheme="minorEastAsia" w:eastAsiaTheme="minorEastAsia" w:hAnsiTheme="minorEastAsia" w:hint="eastAsia"/>
          <w:sz w:val="21"/>
          <w:szCs w:val="21"/>
        </w:rPr>
        <w:t>其目的是支持高校和研究机构制定机构版权政策，以促进版权资产的适当管理和版权作品的使用。还值得注意的是，组织了19次版权基础设施网络研讨会。</w:t>
      </w:r>
      <w:r w:rsidRPr="00D612CE">
        <w:rPr>
          <w:rStyle w:val="FootnoteReference"/>
          <w:rFonts w:asciiTheme="minorEastAsia" w:eastAsiaTheme="minorEastAsia" w:hAnsiTheme="minorEastAsia"/>
          <w:sz w:val="21"/>
          <w:szCs w:val="21"/>
        </w:rPr>
        <w:footnoteReference w:id="79"/>
      </w:r>
    </w:p>
    <w:p w14:paraId="31F3F1CD" w14:textId="77777777" w:rsidR="00E733EF" w:rsidRPr="00D612CE" w:rsidRDefault="00191652" w:rsidP="00D612C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612CE">
        <w:rPr>
          <w:rFonts w:asciiTheme="minorEastAsia" w:eastAsiaTheme="minorEastAsia" w:hAnsiTheme="minorEastAsia" w:hint="eastAsia"/>
          <w:sz w:val="21"/>
          <w:szCs w:val="21"/>
        </w:rPr>
        <w:t>2022年还启动了产权组织全球奖</w:t>
      </w:r>
      <w:r w:rsidRPr="00D612CE">
        <w:rPr>
          <w:rStyle w:val="FootnoteReference"/>
          <w:rFonts w:asciiTheme="minorEastAsia" w:eastAsiaTheme="minorEastAsia" w:hAnsiTheme="minorEastAsia"/>
          <w:sz w:val="21"/>
          <w:szCs w:val="21"/>
        </w:rPr>
        <w:footnoteReference w:id="80"/>
      </w:r>
      <w:r w:rsidRPr="00D612CE">
        <w:rPr>
          <w:rFonts w:asciiTheme="minorEastAsia" w:eastAsiaTheme="minorEastAsia" w:hAnsiTheme="minorEastAsia" w:hint="eastAsia"/>
          <w:sz w:val="21"/>
          <w:szCs w:val="21"/>
        </w:rPr>
        <w:t>，旨在围绕中小企业、妇女和青年的创新和创造活力，促进知识产权商业化。作为一项年度比赛，该计划旨在展示和奖励对在商品和服务的商业化方面对社会做出积极贡献的知识产权制度的突出使用。在该项比赛的第一年，来自世界各地的261家中小企业申请该奖项。最终，有20家企业入围，并从不同国家选出5名获奖者。获奖者得到了国际推广和有针对性的指导，从而推广其知识产权战略。从试点年获得的经验教训将指导该计划的全球和包容性推广工作。</w:t>
      </w:r>
    </w:p>
    <w:p w14:paraId="110B5D60" w14:textId="77777777" w:rsidR="00E733EF" w:rsidRPr="00D612CE" w:rsidRDefault="00191652" w:rsidP="00D612C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612CE">
        <w:rPr>
          <w:rFonts w:asciiTheme="minorEastAsia" w:eastAsiaTheme="minorEastAsia" w:hAnsiTheme="minorEastAsia" w:hint="eastAsia"/>
          <w:sz w:val="21"/>
          <w:szCs w:val="21"/>
        </w:rPr>
        <w:t>在本报告所述期间，无障碍图书联合会（ABC）继续切实执行《马拉喀什条约》，以造福盲人、视力障碍者或其他印刷品阅读障碍者。ABC的活动主要围绕三项举措展开。</w:t>
      </w:r>
      <w:r w:rsidRPr="00D612CE">
        <w:rPr>
          <w:rStyle w:val="FootnoteReference"/>
          <w:rFonts w:asciiTheme="minorEastAsia" w:eastAsiaTheme="minorEastAsia" w:hAnsiTheme="minorEastAsia"/>
          <w:iCs/>
          <w:sz w:val="21"/>
          <w:szCs w:val="21"/>
        </w:rPr>
        <w:footnoteReference w:id="81"/>
      </w:r>
      <w:r w:rsidRPr="00D612CE">
        <w:rPr>
          <w:rFonts w:asciiTheme="minorEastAsia" w:eastAsiaTheme="minorEastAsia" w:hAnsiTheme="minorEastAsia" w:hint="eastAsia"/>
          <w:sz w:val="21"/>
          <w:szCs w:val="21"/>
        </w:rPr>
        <w:t>首先，ABC在发展中国家和最不发达国家实施新的培训和技术援助项目，项目周期为两年。这些项目的主要目的是向区域组织传授知识，确保它们能够以可持续的方式独立制作无障碍图书。截至2022年底，已有28个国家用本国语言制作了18</w:t>
      </w:r>
      <w:proofErr w:type="gramStart"/>
      <w:r w:rsidRPr="00D612CE">
        <w:rPr>
          <w:rFonts w:asciiTheme="minorEastAsia" w:eastAsiaTheme="minorEastAsia" w:hAnsiTheme="minorEastAsia" w:hint="eastAsia"/>
          <w:sz w:val="21"/>
          <w:szCs w:val="21"/>
        </w:rPr>
        <w:t>,000份无障碍格式的教育图书</w:t>
      </w:r>
      <w:proofErr w:type="gramEnd"/>
      <w:r w:rsidRPr="00D612CE">
        <w:rPr>
          <w:rFonts w:asciiTheme="minorEastAsia" w:eastAsiaTheme="minorEastAsia" w:hAnsiTheme="minorEastAsia" w:hint="eastAsia"/>
          <w:sz w:val="21"/>
          <w:szCs w:val="21"/>
        </w:rPr>
        <w:t>。在2022年，为2022-2023年建立了11个新项目。值得一提的是，有120人报名参加无障碍图书联合会为非政府组织举办的关于如何制作无障碍格式图书的在线培训课程，该课程由专家培训师主持，提供在线互动课程。</w:t>
      </w:r>
      <w:r w:rsidRPr="00D612CE">
        <w:rPr>
          <w:rStyle w:val="FootnoteReference"/>
          <w:rFonts w:asciiTheme="minorEastAsia" w:eastAsiaTheme="minorEastAsia" w:hAnsiTheme="minorEastAsia"/>
          <w:iCs/>
          <w:sz w:val="21"/>
          <w:szCs w:val="21"/>
        </w:rPr>
        <w:footnoteReference w:id="82"/>
      </w:r>
      <w:r w:rsidRPr="00D612CE">
        <w:rPr>
          <w:rFonts w:asciiTheme="minorEastAsia" w:eastAsiaTheme="minorEastAsia" w:hAnsiTheme="minorEastAsia" w:hint="eastAsia"/>
          <w:sz w:val="21"/>
          <w:szCs w:val="21"/>
        </w:rPr>
        <w:t>其次，该联合会继续提供ABC全球图书服务，这是一个无障碍数字格式的在线图书目录，为盲人图书馆（即《马拉喀什条约》中定义的授权实体）提供免费跨境交换无障碍数字图书的能力。通过两种应用程序提供ABC全球图书服务</w:t>
      </w:r>
      <w:proofErr w:type="gramStart"/>
      <w:r w:rsidRPr="00D612CE">
        <w:rPr>
          <w:rFonts w:asciiTheme="minorEastAsia" w:eastAsiaTheme="minorEastAsia" w:hAnsiTheme="minorEastAsia" w:hint="eastAsia"/>
          <w:sz w:val="21"/>
          <w:szCs w:val="21"/>
        </w:rPr>
        <w:t>：(</w:t>
      </w:r>
      <w:proofErr w:type="gramEnd"/>
      <w:r w:rsidRPr="00D612CE">
        <w:rPr>
          <w:rFonts w:asciiTheme="minorEastAsia" w:eastAsiaTheme="minorEastAsia" w:hAnsiTheme="minorEastAsia" w:hint="eastAsia"/>
          <w:sz w:val="21"/>
          <w:szCs w:val="21"/>
        </w:rPr>
        <w:t>i)授权实体应用程序，这是一种图书馆对图书馆服务。截至2022年底，已有113个授权实体与产权组织签署了加入授权实体应用程序的协议，其中57个来自发展中国家和最不发达国家。根据《马拉喀什条约》的规定，有800,000多种图书可供这些授权实体进行交换；(ii)在2021年推出的补充应用程序，该应用程序使授权实体能够为其印刷品阅读障碍客户提供从无障碍图书联合会全球图书服务独立搜索和立即下载图书的能力。截至2022年底，35个授权实体同意向其客户提供该补充应用程序，其中10个来自发展中国家和最不发达国家。最后，ABC继续推广“自始无障碍”的出版原则，确保新出版的书籍能够被所有人完全使用，而不论其能力如何。世界各地的出版商和出版商协会受邀签署《ABC无障碍出版章程》。该章程载有八项与无障碍格式数字出版物相关的高级别志向性原则。截至2022年底，已有130家出版商签署了该章程，其中95家（73%）家来自发展中国家或最不发达国家。此外，在2022年9月，ABC推出了</w:t>
      </w:r>
      <w:r w:rsidRPr="00D612CE">
        <w:rPr>
          <w:rFonts w:ascii="KaiTi" w:eastAsia="KaiTi" w:hAnsi="KaiTi" w:hint="eastAsia"/>
          <w:sz w:val="21"/>
          <w:szCs w:val="21"/>
        </w:rPr>
        <w:t>“ABC出版商无障碍出版概念课程”</w:t>
      </w:r>
      <w:r w:rsidRPr="00D612CE">
        <w:rPr>
          <w:rFonts w:asciiTheme="minorEastAsia" w:eastAsiaTheme="minorEastAsia" w:hAnsiTheme="minorEastAsia" w:hint="eastAsia"/>
          <w:sz w:val="21"/>
          <w:szCs w:val="21"/>
        </w:rPr>
        <w:t>。这个新的在线课程是为出版商设计的，但也针对更广泛的受众，涵盖了出版领域需要考虑的关键无障碍主题。该课程免费向公众开放。</w:t>
      </w:r>
      <w:r w:rsidRPr="00D612CE">
        <w:rPr>
          <w:rStyle w:val="FootnoteReference"/>
          <w:rFonts w:asciiTheme="minorEastAsia" w:eastAsiaTheme="minorEastAsia" w:hAnsiTheme="minorEastAsia"/>
          <w:bCs/>
          <w:sz w:val="21"/>
          <w:szCs w:val="21"/>
        </w:rPr>
        <w:footnoteReference w:id="83"/>
      </w:r>
    </w:p>
    <w:p w14:paraId="1C39EC3B" w14:textId="77777777" w:rsidR="00E733EF" w:rsidRPr="00D612CE" w:rsidRDefault="00191652" w:rsidP="00D612C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612CE">
        <w:rPr>
          <w:rFonts w:asciiTheme="minorEastAsia" w:eastAsiaTheme="minorEastAsia" w:hAnsiTheme="minorEastAsia" w:hint="eastAsia"/>
          <w:sz w:val="21"/>
          <w:szCs w:val="21"/>
        </w:rPr>
        <w:t>在产权组织的COVID-19应对框架内，为博物馆部门构思了一个试点项目。具体而言，该项目旨在实施一项更广泛的战略，包括编制和实施一个安全的法律框架，以支持数字化和在线访问的发展。</w:t>
      </w:r>
      <w:r w:rsidRPr="00D612CE">
        <w:rPr>
          <w:rFonts w:asciiTheme="minorEastAsia" w:eastAsiaTheme="minorEastAsia" w:hAnsiTheme="minorEastAsia" w:hint="eastAsia"/>
          <w:sz w:val="21"/>
          <w:szCs w:val="21"/>
        </w:rPr>
        <w:lastRenderedPageBreak/>
        <w:t>在这种情况下，准备工作已经开始，根据对某些博物馆如何在大流行期间不仅能够维持其在线教育活动，还能转向为学校学生提供创新的在线教育项目的新方法的分析，制定指导材料。</w:t>
      </w:r>
    </w:p>
    <w:p w14:paraId="75285CEF" w14:textId="77777777" w:rsidR="00E733EF" w:rsidRPr="00D612CE" w:rsidRDefault="00191652" w:rsidP="00D612CE">
      <w:pPr>
        <w:pStyle w:val="Heading2"/>
        <w:spacing w:beforeLines="100" w:afterLines="100" w:after="240" w:line="340" w:lineRule="atLeast"/>
        <w:jc w:val="both"/>
        <w:rPr>
          <w:b/>
          <w:bCs w:val="0"/>
          <w:sz w:val="21"/>
          <w:szCs w:val="21"/>
        </w:rPr>
      </w:pPr>
      <w:r w:rsidRPr="00D612CE">
        <w:rPr>
          <w:rFonts w:hint="eastAsia"/>
          <w:b/>
          <w:bCs w:val="0"/>
          <w:sz w:val="21"/>
          <w:szCs w:val="21"/>
        </w:rPr>
        <w:t>产权组织机构</w:t>
      </w:r>
    </w:p>
    <w:p w14:paraId="2882444C" w14:textId="77777777" w:rsidR="00E733EF" w:rsidRPr="00D612CE" w:rsidRDefault="00191652" w:rsidP="00D612C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D612CE">
        <w:rPr>
          <w:rFonts w:asciiTheme="minorEastAsia" w:eastAsiaTheme="minorEastAsia" w:hAnsiTheme="minorEastAsia" w:hint="eastAsia"/>
          <w:sz w:val="21"/>
          <w:szCs w:val="21"/>
        </w:rPr>
        <w:t>该部门继续支持版权及相关权常设委员会（SCCR）的工作，该委员会在2022年举行了一次会议。第四十二届会议于2022年5月9日至13日以混合形式举行。根据委员会第四十一届会议的要求，秘书处在版权及相关权常设委员会会议的第一天组织了一次时长半天的信息会议，主题是COVID-19对文化、创意和教育生态系统的影响，包括对版权、相关权以及限制和例外的影响。在该届会议期间，成员国和观察员有机会提交资料并参与讨论。在版权及相关权常设委员会会议期间，委员会讨论了由主席、副主席和协调人编写的</w:t>
      </w:r>
      <w:r w:rsidRPr="00D612CE">
        <w:rPr>
          <w:rFonts w:ascii="KaiTi" w:eastAsia="KaiTi" w:hAnsi="KaiTi" w:hint="eastAsia"/>
          <w:sz w:val="21"/>
          <w:szCs w:val="21"/>
        </w:rPr>
        <w:t>《产权组织广播组织条约》</w:t>
      </w:r>
      <w:r w:rsidRPr="00D612CE">
        <w:rPr>
          <w:rFonts w:asciiTheme="minorEastAsia" w:eastAsiaTheme="minorEastAsia" w:hAnsiTheme="minorEastAsia" w:hint="eastAsia"/>
          <w:sz w:val="21"/>
          <w:szCs w:val="21"/>
        </w:rPr>
        <w:t>修订案文草案。</w:t>
      </w:r>
      <w:r w:rsidRPr="00D612CE">
        <w:rPr>
          <w:rStyle w:val="FootnoteReference"/>
          <w:rFonts w:asciiTheme="minorEastAsia" w:eastAsiaTheme="minorEastAsia" w:hAnsiTheme="minorEastAsia"/>
          <w:sz w:val="21"/>
          <w:szCs w:val="21"/>
        </w:rPr>
        <w:footnoteReference w:id="84"/>
      </w:r>
      <w:r w:rsidRPr="00D612CE">
        <w:rPr>
          <w:rFonts w:asciiTheme="minorEastAsia" w:eastAsiaTheme="minorEastAsia" w:hAnsiTheme="minorEastAsia" w:hint="eastAsia"/>
          <w:sz w:val="21"/>
          <w:szCs w:val="21"/>
        </w:rPr>
        <w:t>委员会请与会者提出意见，并请起草人为将于2023年举行的下一届版权及相关权常设委员会会议准备进一步的修订。在关于图书馆和档案馆、教育和研究机构以及其他残疾人的限制与例外的议程项目下，非洲集团提出了</w:t>
      </w:r>
      <w:r w:rsidRPr="00D612CE">
        <w:rPr>
          <w:rFonts w:ascii="KaiTi" w:eastAsia="KaiTi" w:hAnsi="KaiTi" w:hint="eastAsia"/>
          <w:sz w:val="21"/>
          <w:szCs w:val="21"/>
        </w:rPr>
        <w:t>关于例外与限制工作计划草案的提案</w:t>
      </w:r>
      <w:r w:rsidRPr="00D612CE">
        <w:rPr>
          <w:rFonts w:asciiTheme="minorEastAsia" w:eastAsiaTheme="minorEastAsia" w:hAnsiTheme="minorEastAsia" w:hint="eastAsia"/>
          <w:sz w:val="21"/>
          <w:szCs w:val="21"/>
        </w:rPr>
        <w:t>，</w:t>
      </w:r>
      <w:r w:rsidRPr="00D612CE">
        <w:rPr>
          <w:rStyle w:val="FootnoteReference"/>
          <w:rFonts w:asciiTheme="minorEastAsia" w:eastAsiaTheme="minorEastAsia" w:hAnsiTheme="minorEastAsia"/>
          <w:sz w:val="21"/>
          <w:szCs w:val="21"/>
        </w:rPr>
        <w:footnoteReference w:id="85"/>
      </w:r>
      <w:r w:rsidRPr="00D612CE">
        <w:rPr>
          <w:rFonts w:asciiTheme="minorEastAsia" w:eastAsiaTheme="minorEastAsia" w:hAnsiTheme="minorEastAsia" w:hint="eastAsia"/>
          <w:sz w:val="21"/>
          <w:szCs w:val="21"/>
        </w:rPr>
        <w:t>并根据版权及相关权常设委员会会议期间的发言进行了修改。随后，秘书处回顾了根据</w:t>
      </w:r>
      <w:r w:rsidRPr="00D612CE">
        <w:rPr>
          <w:rFonts w:ascii="KaiTi" w:eastAsia="KaiTi" w:hAnsi="KaiTi" w:hint="eastAsia"/>
          <w:sz w:val="21"/>
          <w:szCs w:val="21"/>
        </w:rPr>
        <w:t>《行动计划——图书馆、档案馆和博物馆》</w:t>
      </w:r>
      <w:r w:rsidRPr="00D612CE">
        <w:rPr>
          <w:rFonts w:asciiTheme="minorEastAsia" w:eastAsiaTheme="minorEastAsia" w:hAnsiTheme="minorEastAsia" w:hint="eastAsia"/>
          <w:sz w:val="21"/>
          <w:szCs w:val="21"/>
        </w:rPr>
        <w:t>和</w:t>
      </w:r>
      <w:r w:rsidRPr="00D612CE">
        <w:rPr>
          <w:rFonts w:ascii="KaiTi" w:eastAsia="KaiTi" w:hAnsi="KaiTi" w:hint="eastAsia"/>
          <w:sz w:val="21"/>
          <w:szCs w:val="21"/>
        </w:rPr>
        <w:t>《行动计划——关于教育和研究机构及其他残疾人》</w:t>
      </w:r>
      <w:r w:rsidRPr="00D612CE">
        <w:rPr>
          <w:rFonts w:asciiTheme="minorEastAsia" w:eastAsiaTheme="minorEastAsia" w:hAnsiTheme="minorEastAsia" w:hint="eastAsia"/>
          <w:sz w:val="21"/>
          <w:szCs w:val="21"/>
        </w:rPr>
        <w:t>，</w:t>
      </w:r>
      <w:r w:rsidRPr="00D612CE">
        <w:rPr>
          <w:rStyle w:val="FootnoteReference"/>
          <w:rFonts w:asciiTheme="minorEastAsia" w:eastAsiaTheme="minorEastAsia" w:hAnsiTheme="minorEastAsia"/>
          <w:sz w:val="21"/>
          <w:szCs w:val="21"/>
        </w:rPr>
        <w:footnoteReference w:id="86"/>
      </w:r>
      <w:r w:rsidRPr="00D612CE">
        <w:rPr>
          <w:rFonts w:asciiTheme="minorEastAsia" w:eastAsiaTheme="minorEastAsia" w:hAnsiTheme="minorEastAsia" w:hint="eastAsia"/>
          <w:sz w:val="21"/>
          <w:szCs w:val="21"/>
        </w:rPr>
        <w:t>以及</w:t>
      </w:r>
      <w:r w:rsidRPr="00D612CE">
        <w:rPr>
          <w:rFonts w:ascii="KaiTi" w:eastAsia="KaiTi" w:hAnsi="KaiTi" w:hint="eastAsia"/>
          <w:sz w:val="21"/>
          <w:szCs w:val="21"/>
        </w:rPr>
        <w:t>《关于区域研讨会和国际会议的报告》</w:t>
      </w:r>
      <w:r w:rsidRPr="00D612CE">
        <w:rPr>
          <w:rFonts w:asciiTheme="minorEastAsia" w:eastAsiaTheme="minorEastAsia" w:hAnsiTheme="minorEastAsia" w:hint="eastAsia"/>
          <w:sz w:val="21"/>
          <w:szCs w:val="21"/>
        </w:rPr>
        <w:t>所开展的工作。</w:t>
      </w:r>
      <w:r w:rsidRPr="00D612CE">
        <w:rPr>
          <w:rStyle w:val="FootnoteReference"/>
          <w:rFonts w:asciiTheme="minorEastAsia" w:eastAsiaTheme="minorEastAsia" w:hAnsiTheme="minorEastAsia"/>
          <w:sz w:val="21"/>
          <w:szCs w:val="21"/>
        </w:rPr>
        <w:footnoteReference w:id="87"/>
      </w:r>
      <w:r w:rsidRPr="00D612CE">
        <w:rPr>
          <w:rFonts w:asciiTheme="minorEastAsia" w:eastAsiaTheme="minorEastAsia" w:hAnsiTheme="minorEastAsia" w:hint="eastAsia"/>
          <w:sz w:val="21"/>
          <w:szCs w:val="21"/>
        </w:rPr>
        <w:t>委员会请秘书处为版权及相关权常设委员会第四十三届会议准备以下材料：(i)关于在线跨界环境中版权作品跨界使用的介绍；(ii)关于研究限制与例外的概略研究；以及(iii)关于保护的工具包。委员会还要求在版权及相关权常设委员会下届会议上组织</w:t>
      </w:r>
      <w:r w:rsidRPr="00D612CE">
        <w:rPr>
          <w:rFonts w:ascii="KaiTi" w:eastAsia="KaiTi" w:hAnsi="KaiTi" w:hint="eastAsia"/>
          <w:sz w:val="21"/>
          <w:szCs w:val="21"/>
        </w:rPr>
        <w:t>“音乐流媒体市场信息会议”</w:t>
      </w:r>
      <w:r w:rsidRPr="00D612CE">
        <w:rPr>
          <w:rFonts w:asciiTheme="minorEastAsia" w:eastAsiaTheme="minorEastAsia" w:hAnsiTheme="minorEastAsia" w:hint="eastAsia"/>
          <w:sz w:val="21"/>
          <w:szCs w:val="21"/>
        </w:rPr>
        <w:t>，这是由拉丁美洲及加勒比国家集团提出的。还应提及的是，委员会有五人发言，以及一个关于“数字环境中的版权”议题的视频发言。</w:t>
      </w:r>
    </w:p>
    <w:p w14:paraId="3340F269" w14:textId="77777777" w:rsidR="00E733EF" w:rsidRPr="00D612CE" w:rsidRDefault="00191652" w:rsidP="00D612CE">
      <w:pPr>
        <w:pStyle w:val="Heading2"/>
        <w:spacing w:beforeLines="100" w:afterLines="100" w:after="240" w:line="340" w:lineRule="atLeast"/>
        <w:jc w:val="both"/>
        <w:rPr>
          <w:b/>
          <w:bCs w:val="0"/>
          <w:sz w:val="21"/>
          <w:szCs w:val="21"/>
        </w:rPr>
      </w:pPr>
      <w:r w:rsidRPr="00D612CE">
        <w:rPr>
          <w:rFonts w:hint="eastAsia"/>
          <w:b/>
          <w:bCs w:val="0"/>
          <w:sz w:val="21"/>
          <w:szCs w:val="21"/>
        </w:rPr>
        <w:t>已被纳入主流的发展议程项目</w:t>
      </w:r>
    </w:p>
    <w:p w14:paraId="5DA07CE9" w14:textId="77777777" w:rsidR="00E733EF" w:rsidRPr="00746A4F" w:rsidRDefault="00191652" w:rsidP="00746A4F">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46A4F">
        <w:rPr>
          <w:rFonts w:asciiTheme="minorEastAsia" w:eastAsiaTheme="minorEastAsia" w:hAnsiTheme="minorEastAsia" w:hint="eastAsia"/>
          <w:sz w:val="21"/>
          <w:szCs w:val="21"/>
        </w:rPr>
        <w:t>以下是在2022年期间开展的与已被纳入主流的发展议程项目相关的主要工作：</w:t>
      </w:r>
    </w:p>
    <w:p w14:paraId="70E4DD85" w14:textId="77777777" w:rsidR="00E733EF" w:rsidRPr="00746A4F" w:rsidRDefault="00191652" w:rsidP="00746A4F">
      <w:pPr>
        <w:pStyle w:val="ListParagraph"/>
        <w:numPr>
          <w:ilvl w:val="0"/>
          <w:numId w:val="9"/>
        </w:numPr>
        <w:overflowPunct w:val="0"/>
        <w:spacing w:afterLines="50" w:after="120" w:line="340" w:lineRule="atLeast"/>
        <w:contextualSpacing w:val="0"/>
        <w:jc w:val="both"/>
        <w:rPr>
          <w:rFonts w:asciiTheme="minorEastAsia" w:eastAsiaTheme="minorEastAsia" w:hAnsiTheme="minorEastAsia"/>
          <w:sz w:val="21"/>
          <w:szCs w:val="21"/>
        </w:rPr>
      </w:pPr>
      <w:r w:rsidRPr="00746A4F">
        <w:rPr>
          <w:rFonts w:ascii="KaiTi" w:eastAsia="KaiTi" w:hAnsi="KaiTi" w:hint="eastAsia"/>
          <w:sz w:val="21"/>
          <w:szCs w:val="21"/>
        </w:rPr>
        <w:t>知识产权与公有领域：</w:t>
      </w:r>
      <w:r w:rsidRPr="00746A4F">
        <w:rPr>
          <w:rFonts w:asciiTheme="minorEastAsia" w:eastAsiaTheme="minorEastAsia" w:hAnsiTheme="minorEastAsia" w:hint="eastAsia"/>
          <w:sz w:val="21"/>
          <w:szCs w:val="21"/>
        </w:rPr>
        <w:t>继续强调版权文件系统。具体而言，与产权组织其他相关单位密切协调，就自愿登记制度提供立法建议和开展宣传活动仍是该部门日常工作的一部分。</w:t>
      </w:r>
    </w:p>
    <w:p w14:paraId="17132038" w14:textId="77777777" w:rsidR="00E733EF" w:rsidRPr="00746A4F" w:rsidRDefault="00191652" w:rsidP="00746A4F">
      <w:pPr>
        <w:pStyle w:val="ListParagraph"/>
        <w:numPr>
          <w:ilvl w:val="0"/>
          <w:numId w:val="9"/>
        </w:numPr>
        <w:overflowPunct w:val="0"/>
        <w:spacing w:afterLines="50" w:after="120" w:line="340" w:lineRule="atLeast"/>
        <w:contextualSpacing w:val="0"/>
        <w:jc w:val="both"/>
        <w:rPr>
          <w:rFonts w:asciiTheme="minorEastAsia" w:eastAsiaTheme="minorEastAsia" w:hAnsiTheme="minorEastAsia"/>
          <w:sz w:val="21"/>
          <w:szCs w:val="21"/>
        </w:rPr>
      </w:pPr>
      <w:r w:rsidRPr="00746A4F">
        <w:rPr>
          <w:rFonts w:ascii="KaiTi" w:eastAsia="KaiTi" w:hAnsi="KaiTi" w:hint="eastAsia"/>
          <w:sz w:val="21"/>
          <w:szCs w:val="21"/>
        </w:rPr>
        <w:t>“知识产权、信息与通信技术（ICTs）、数字鸿沟和知识获取”</w:t>
      </w:r>
      <w:r w:rsidRPr="00746A4F">
        <w:rPr>
          <w:rFonts w:asciiTheme="minorEastAsia" w:eastAsiaTheme="minorEastAsia" w:hAnsiTheme="minorEastAsia" w:hint="eastAsia"/>
          <w:sz w:val="21"/>
          <w:szCs w:val="21"/>
        </w:rPr>
        <w:t>项目，以及已获批准的</w:t>
      </w:r>
      <w:r w:rsidRPr="00746A4F">
        <w:rPr>
          <w:rFonts w:ascii="KaiTi" w:eastAsia="KaiTi" w:hAnsi="KaiTi" w:hint="eastAsia"/>
          <w:sz w:val="21"/>
          <w:szCs w:val="21"/>
        </w:rPr>
        <w:t>“在利用版权促进对信息和创意内容的获取方面的产权组织新活动”</w:t>
      </w:r>
      <w:r w:rsidRPr="00746A4F">
        <w:rPr>
          <w:rFonts w:asciiTheme="minorEastAsia" w:eastAsiaTheme="minorEastAsia" w:hAnsiTheme="minorEastAsia" w:hint="eastAsia"/>
          <w:sz w:val="21"/>
          <w:szCs w:val="21"/>
        </w:rPr>
        <w:t>：</w:t>
      </w:r>
      <w:r w:rsidRPr="00746A4F">
        <w:rPr>
          <w:rStyle w:val="FootnoteReference"/>
          <w:rFonts w:asciiTheme="minorEastAsia" w:eastAsiaTheme="minorEastAsia" w:hAnsiTheme="minorEastAsia"/>
          <w:sz w:val="21"/>
          <w:szCs w:val="21"/>
        </w:rPr>
        <w:footnoteReference w:id="88"/>
      </w:r>
      <w:r w:rsidRPr="00746A4F">
        <w:rPr>
          <w:rFonts w:asciiTheme="minorEastAsia" w:eastAsiaTheme="minorEastAsia" w:hAnsiTheme="minorEastAsia" w:hint="eastAsia"/>
          <w:sz w:val="21"/>
          <w:szCs w:val="21"/>
        </w:rPr>
        <w:t>继续开展与开放许可和开放源代码有关的技术援助、能力建设和宣传活动。在不同的论坛上进行介绍和发言，包括以开放科学为具体重点。</w:t>
      </w:r>
    </w:p>
    <w:p w14:paraId="3198B14E" w14:textId="77777777" w:rsidR="00E733EF" w:rsidRPr="00746A4F" w:rsidRDefault="00191652" w:rsidP="00746A4F">
      <w:pPr>
        <w:pStyle w:val="Heading2"/>
        <w:spacing w:beforeLines="100" w:afterLines="100" w:after="240" w:line="340" w:lineRule="atLeast"/>
        <w:jc w:val="both"/>
        <w:rPr>
          <w:b/>
          <w:bCs w:val="0"/>
          <w:sz w:val="21"/>
          <w:szCs w:val="21"/>
        </w:rPr>
      </w:pPr>
      <w:r w:rsidRPr="00746A4F">
        <w:rPr>
          <w:rFonts w:hint="eastAsia"/>
          <w:b/>
          <w:bCs w:val="0"/>
          <w:sz w:val="21"/>
          <w:szCs w:val="21"/>
        </w:rPr>
        <w:t>正在实施的发展议程项目</w:t>
      </w:r>
    </w:p>
    <w:p w14:paraId="49D6CA23" w14:textId="77777777" w:rsidR="00E733EF" w:rsidRPr="00746A4F" w:rsidRDefault="00191652" w:rsidP="00746A4F">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46A4F">
        <w:rPr>
          <w:rFonts w:asciiTheme="minorEastAsia" w:eastAsiaTheme="minorEastAsia" w:hAnsiTheme="minorEastAsia" w:hint="eastAsia"/>
          <w:sz w:val="21"/>
          <w:szCs w:val="21"/>
        </w:rPr>
        <w:t>该部门负责落实以下正在实施的发展议程项目：</w:t>
      </w:r>
    </w:p>
    <w:p w14:paraId="50158186" w14:textId="77777777" w:rsidR="00E733EF" w:rsidRPr="00746A4F" w:rsidRDefault="00191652" w:rsidP="00746A4F">
      <w:pPr>
        <w:pStyle w:val="ListParagraph"/>
        <w:numPr>
          <w:ilvl w:val="0"/>
          <w:numId w:val="10"/>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746A4F">
        <w:rPr>
          <w:rFonts w:ascii="KaiTi" w:eastAsia="KaiTi" w:hAnsi="KaiTi" w:hint="eastAsia"/>
          <w:sz w:val="21"/>
          <w:szCs w:val="21"/>
        </w:rPr>
        <w:lastRenderedPageBreak/>
        <w:t>版权与数字环境中的内容分发：</w:t>
      </w:r>
      <w:r w:rsidRPr="00746A4F">
        <w:rPr>
          <w:rStyle w:val="FootnoteReference"/>
          <w:rFonts w:asciiTheme="minorEastAsia" w:eastAsiaTheme="minorEastAsia" w:hAnsiTheme="minorEastAsia"/>
          <w:sz w:val="21"/>
          <w:szCs w:val="21"/>
        </w:rPr>
        <w:footnoteReference w:id="89"/>
      </w:r>
      <w:r w:rsidRPr="00746A4F">
        <w:rPr>
          <w:rFonts w:asciiTheme="minorEastAsia" w:eastAsiaTheme="minorEastAsia" w:hAnsiTheme="minorEastAsia" w:hint="eastAsia"/>
          <w:spacing w:val="-20"/>
          <w:sz w:val="21"/>
          <w:szCs w:val="21"/>
        </w:rPr>
        <w:t>2022年在秘鲁和阿根廷举行了两次次区域会议。专家和与会者强调了版权及相关权对视听产业的关键作用，并讨论了视听内容的数字传播对</w:t>
      </w:r>
      <w:r w:rsidRPr="00746A4F">
        <w:rPr>
          <w:rFonts w:asciiTheme="minorEastAsia" w:eastAsiaTheme="minorEastAsia" w:hAnsiTheme="minorEastAsia" w:hint="eastAsia"/>
          <w:sz w:val="21"/>
          <w:szCs w:val="21"/>
        </w:rPr>
        <w:t>创作者和权利人的影响。他们还探讨了政府当局在使当地立法适应市场方面可能发挥的作用。 </w:t>
      </w:r>
    </w:p>
    <w:p w14:paraId="57B31432" w14:textId="77777777" w:rsidR="00E733EF" w:rsidRPr="00746A4F" w:rsidRDefault="00191652" w:rsidP="00746A4F">
      <w:pPr>
        <w:pStyle w:val="ListParagraph"/>
        <w:numPr>
          <w:ilvl w:val="0"/>
          <w:numId w:val="10"/>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746A4F">
        <w:rPr>
          <w:rFonts w:ascii="KaiTi" w:eastAsia="KaiTi" w:hAnsi="KaiTi" w:hint="eastAsia"/>
          <w:sz w:val="21"/>
          <w:szCs w:val="21"/>
        </w:rPr>
        <w:t>发展布基纳法索和西非经济货币联盟（西非经货联）若干国家音乐领域和新音乐经济模式</w:t>
      </w:r>
      <w:r w:rsidRPr="00746A4F">
        <w:rPr>
          <w:rFonts w:asciiTheme="minorEastAsia" w:eastAsiaTheme="minorEastAsia" w:hAnsiTheme="minorEastAsia" w:hint="eastAsia"/>
          <w:sz w:val="21"/>
          <w:szCs w:val="21"/>
        </w:rPr>
        <w:t>：该项目于2022年1月开始实施。应当提及的是，该项目的地理范围已经扩大到包括西非经货联的所有八个国家。在本报告所述期间，制定了一份描述当前音乐商业环境和与该部门相关的监管框架的初步研究报告。八个参与国和西非经货联的第一次协调会议于2022年12月在阿比让举行，除西非经货联外，八个参与国的项目协调人也出席了会议。会议审查了2019年提出的活动，并对其进行了修正，以适应每个国家的当前形势。来自私营部门和音乐部门的代表也参加了会议。</w:t>
      </w:r>
    </w:p>
    <w:p w14:paraId="0C1AB33C" w14:textId="77777777" w:rsidR="00E733EF" w:rsidRPr="00746A4F" w:rsidRDefault="00191652" w:rsidP="00746A4F">
      <w:pPr>
        <w:pStyle w:val="ListParagraph"/>
        <w:numPr>
          <w:ilvl w:val="0"/>
          <w:numId w:val="10"/>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746A4F">
        <w:rPr>
          <w:rFonts w:ascii="KaiTi" w:eastAsia="KaiTi" w:hAnsi="KaiTi" w:hint="eastAsia"/>
          <w:sz w:val="21"/>
          <w:szCs w:val="21"/>
        </w:rPr>
        <w:t>推动发展中国家的创意产业在数字时代运用知识产权：</w:t>
      </w:r>
      <w:r w:rsidRPr="00746A4F">
        <w:rPr>
          <w:rFonts w:asciiTheme="minorEastAsia" w:eastAsiaTheme="minorEastAsia" w:hAnsiTheme="minorEastAsia" w:hint="eastAsia"/>
          <w:sz w:val="21"/>
          <w:szCs w:val="21"/>
        </w:rPr>
        <w:t>该项目于2022年4月开始实施。智利、印度尼西亚、阿拉伯联合酋长国和乌拉圭被选为项目的受益国。在本报告所述期间，确定了受益国的国家协调人，并建立了协调模式。在项目框架内，完成了对受益国选定创意产业具体状况的概略研究。还编写了一份关于组织宣传活动的指南。此外，2022年10月在智利举办了关于视频游戏行业知识产权管理的讲习班。</w:t>
      </w:r>
    </w:p>
    <w:p w14:paraId="775ABBF1" w14:textId="77777777" w:rsidR="00E733EF" w:rsidRPr="00746A4F" w:rsidRDefault="00191652" w:rsidP="00746A4F">
      <w:pPr>
        <w:pStyle w:val="ListParagraph"/>
        <w:numPr>
          <w:ilvl w:val="0"/>
          <w:numId w:val="10"/>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746A4F">
        <w:rPr>
          <w:rFonts w:ascii="KaiTi" w:eastAsia="KaiTi" w:hAnsi="KaiTi" w:hint="eastAsia"/>
          <w:iCs/>
          <w:sz w:val="21"/>
          <w:szCs w:val="21"/>
        </w:rPr>
        <w:t>加强软件部门运用知识产权开发移动应用程序：</w:t>
      </w:r>
      <w:r w:rsidRPr="00746A4F">
        <w:rPr>
          <w:rFonts w:asciiTheme="minorEastAsia" w:eastAsiaTheme="minorEastAsia" w:hAnsiTheme="minorEastAsia" w:hint="eastAsia"/>
          <w:sz w:val="21"/>
          <w:szCs w:val="21"/>
        </w:rPr>
        <w:t>该项目第二阶段在CDIP第二十九届会议上获得批准。其目的是通过将项目第一阶段取得的成果纳入综合培训课程材料，确保这些成果的长期可持续性。第二阶段还侧重于加强利用知识产权保护来支持音乐、出版、视频游戏和视听内容的移动应用产业。应当提及的是，该项目第一阶段已于2021年12月顺利完成</w:t>
      </w:r>
      <w:r w:rsidRPr="00746A4F">
        <w:rPr>
          <w:rStyle w:val="FootnoteReference"/>
          <w:rFonts w:asciiTheme="minorEastAsia" w:eastAsiaTheme="minorEastAsia" w:hAnsiTheme="minorEastAsia"/>
          <w:iCs/>
          <w:sz w:val="21"/>
          <w:szCs w:val="21"/>
        </w:rPr>
        <w:footnoteReference w:id="90"/>
      </w:r>
      <w:r w:rsidRPr="00746A4F">
        <w:rPr>
          <w:rFonts w:asciiTheme="minorEastAsia" w:eastAsiaTheme="minorEastAsia" w:hAnsiTheme="minorEastAsia" w:hint="eastAsia"/>
          <w:sz w:val="21"/>
          <w:szCs w:val="21"/>
        </w:rPr>
        <w:t>，并于2022年3月得到了评价</w:t>
      </w:r>
      <w:r w:rsidRPr="00746A4F">
        <w:rPr>
          <w:rStyle w:val="FootnoteReference"/>
          <w:rFonts w:asciiTheme="minorEastAsia" w:eastAsiaTheme="minorEastAsia" w:hAnsiTheme="minorEastAsia"/>
          <w:sz w:val="21"/>
          <w:szCs w:val="21"/>
        </w:rPr>
        <w:footnoteReference w:id="91"/>
      </w:r>
      <w:r w:rsidRPr="00746A4F">
        <w:rPr>
          <w:rFonts w:asciiTheme="minorEastAsia" w:eastAsiaTheme="minorEastAsia" w:hAnsiTheme="minorEastAsia" w:hint="eastAsia"/>
          <w:sz w:val="21"/>
          <w:szCs w:val="21"/>
        </w:rPr>
        <w:t>。该项目增进了人们对移动应用程序在保护知识产权方面的价值的了解，并使利益攸关方能够更好地保护其商业利益。</w:t>
      </w:r>
    </w:p>
    <w:p w14:paraId="5639BED9" w14:textId="77777777" w:rsidR="00E733EF" w:rsidRPr="00746A4F" w:rsidRDefault="00191652" w:rsidP="00746A4F">
      <w:pPr>
        <w:pStyle w:val="Heading1"/>
        <w:numPr>
          <w:ilvl w:val="0"/>
          <w:numId w:val="14"/>
        </w:numPr>
        <w:spacing w:beforeLines="100" w:afterLines="100" w:after="240" w:line="340" w:lineRule="atLeast"/>
        <w:ind w:left="397" w:hanging="284"/>
        <w:jc w:val="both"/>
        <w:rPr>
          <w:rFonts w:ascii="SimHei" w:eastAsia="SimHei" w:hAnsi="SimHei"/>
          <w:b w:val="0"/>
          <w:sz w:val="21"/>
          <w:szCs w:val="21"/>
        </w:rPr>
      </w:pPr>
      <w:r w:rsidRPr="00746A4F">
        <w:rPr>
          <w:rFonts w:ascii="SimHei" w:eastAsia="SimHei" w:hAnsi="SimHei" w:hint="eastAsia"/>
          <w:b w:val="0"/>
          <w:sz w:val="21"/>
          <w:szCs w:val="21"/>
        </w:rPr>
        <w:t>基础设施和平台部门</w:t>
      </w:r>
    </w:p>
    <w:p w14:paraId="005B6CC4" w14:textId="77777777" w:rsidR="00E733EF" w:rsidRPr="00746A4F" w:rsidRDefault="00191652" w:rsidP="00746A4F">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46A4F">
        <w:rPr>
          <w:rFonts w:asciiTheme="minorEastAsia" w:eastAsiaTheme="minorEastAsia" w:hAnsiTheme="minorEastAsia" w:hint="eastAsia"/>
          <w:sz w:val="21"/>
          <w:szCs w:val="21"/>
        </w:rPr>
        <w:t>基础设施和平台部门的工作继续侧重于向知识产权局、知识产权专业人员、研究人员和知识产权及创新生态系统的其他专业用户提供量身定制的高质量知识产权服务、知识和数据。在本报告所述期间，该部门继续领导产权组织在加强和推广产权组织三个公共全球数据库方面的工作，即PATENTSCOPE、全球品牌数据库和全球外观设计数据库，使它们的覆盖范围在2022年继续扩大。PATENTSCOPE增加了三个、全球品牌数据库增加了两个、全球外观设计数据库增加了三个国家数据库。此外，PATENTSCOPE还整合了新的非专利文献来源，即来自出版商MDPI的开放存取内容。PATENTSCOPE的适应力和响应时间也得到了改善，方法是升级其在产权组织日内瓦办公地点的服务器基础设施，并识别和限制一些拖慢整个系统的罕见用户查询。PATENTSCOPE的功能得到了扩展，以涵盖新的ST-26 XML格式的序列列表的可视化和PCT ST-37授权文件的可用性。同时，全球品牌数据库系统用最新的互联网技术完全重写，并部署在云中，以改进其响应时间和可扩展性。还应提及的是，</w:t>
      </w:r>
      <w:r w:rsidRPr="00746A4F">
        <w:rPr>
          <w:rFonts w:asciiTheme="minorEastAsia" w:eastAsiaTheme="minorEastAsia" w:hAnsiTheme="minorEastAsia" w:hint="eastAsia"/>
          <w:sz w:val="21"/>
          <w:szCs w:val="21"/>
        </w:rPr>
        <w:lastRenderedPageBreak/>
        <w:t>Pat-INFORMED</w:t>
      </w:r>
      <w:r w:rsidRPr="00746A4F">
        <w:rPr>
          <w:rStyle w:val="FootnoteReference"/>
          <w:rFonts w:asciiTheme="minorEastAsia" w:eastAsiaTheme="minorEastAsia" w:hAnsiTheme="minorEastAsia"/>
          <w:sz w:val="21"/>
          <w:szCs w:val="21"/>
        </w:rPr>
        <w:footnoteReference w:id="92"/>
      </w:r>
      <w:r w:rsidRPr="00746A4F">
        <w:rPr>
          <w:rFonts w:asciiTheme="minorEastAsia" w:eastAsiaTheme="minorEastAsia" w:hAnsiTheme="minorEastAsia" w:hint="eastAsia"/>
          <w:sz w:val="21"/>
          <w:szCs w:val="21"/>
        </w:rPr>
        <w:t>得到了改造，进行了性能改进并提供了新的用户界面，使制药公司提交的专利与PATENTSCOPE更好地匹配。因此，制药公司能获得完整、稳定和易于使用的工具来输入其数据。</w:t>
      </w:r>
    </w:p>
    <w:p w14:paraId="14F2401E" w14:textId="77777777" w:rsidR="00E733EF" w:rsidRPr="00746A4F" w:rsidRDefault="00191652" w:rsidP="00746A4F">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46A4F">
        <w:rPr>
          <w:rFonts w:asciiTheme="minorEastAsia" w:eastAsiaTheme="minorEastAsia" w:hAnsiTheme="minorEastAsia" w:hint="eastAsia"/>
          <w:sz w:val="21"/>
          <w:szCs w:val="21"/>
        </w:rPr>
        <w:t>人工智能研究继续由致力于加强产权组织各种职能和流程的先进技术应用中心（ATAC）推动。人工智能工具已经在四个主要领域得到了发展：翻译、图像搜索、自动分类和语音转文本。在这方面，该部门继续领导并促成各知识产权局之间的合作，特别是在机器学习领域。在本报告所述期间，该部门部署了一个新门户，整合了产权组织会议的网播设施和产权组织六种联合国语文的自动语音转文字记录。这一新工具旨在便于在各种会议讨论期间开展合作，同时提供正在讨论的文件链接以及按议程项目和/或成员国发言进行检索的能力。产权组织的维也纳分类助手也得到了升级，以支持德文和西班牙文，并开发了维也纳分类助手维也纳分类第9版。此外，还开发了一个新的机器翻译质量评估器，以协助PCT英法和中英翻译工作流程。通过使用新的训练数据重新训练WIPO Translate的专利文本模型，翻译质量得到了明显改进。为新的非英语语言对（如中文译韩文）训练了具有突破性的高质量WIPO Translate模型。最后，建立了机器翻译工作流程，将每周公布的所有新的PCT申请的全文翻译成英文。通过这种方式，创造了一种新的PCT电子产品，可供知识产权行业订阅，并可应要求免费提供给向PATENTSCOPE数据库提供资料的产权组织成员国知识产权局。</w:t>
      </w:r>
    </w:p>
    <w:p w14:paraId="2C92773F" w14:textId="77777777" w:rsidR="00E733EF" w:rsidRPr="00175541" w:rsidRDefault="00191652" w:rsidP="00175541">
      <w:pPr>
        <w:pStyle w:val="Heading2"/>
        <w:spacing w:beforeLines="100" w:afterLines="100" w:after="240" w:line="340" w:lineRule="atLeast"/>
        <w:jc w:val="both"/>
        <w:rPr>
          <w:b/>
          <w:bCs w:val="0"/>
          <w:sz w:val="21"/>
          <w:szCs w:val="21"/>
        </w:rPr>
      </w:pPr>
      <w:r w:rsidRPr="00175541">
        <w:rPr>
          <w:rFonts w:hint="eastAsia"/>
          <w:b/>
          <w:bCs w:val="0"/>
          <w:sz w:val="21"/>
          <w:szCs w:val="21"/>
        </w:rPr>
        <w:t>已被纳入主流的发展议程项目</w:t>
      </w:r>
    </w:p>
    <w:p w14:paraId="09F57625" w14:textId="77777777" w:rsidR="00E733EF" w:rsidRPr="00175541" w:rsidRDefault="00191652"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75541">
        <w:rPr>
          <w:rFonts w:asciiTheme="minorEastAsia" w:eastAsiaTheme="minorEastAsia" w:hAnsiTheme="minorEastAsia" w:hint="eastAsia"/>
          <w:sz w:val="21"/>
          <w:szCs w:val="21"/>
        </w:rPr>
        <w:t>关于</w:t>
      </w:r>
      <w:r w:rsidRPr="00175541">
        <w:rPr>
          <w:rFonts w:ascii="KaiTi" w:eastAsia="KaiTi" w:hAnsi="KaiTi" w:hint="eastAsia"/>
          <w:sz w:val="21"/>
          <w:szCs w:val="21"/>
        </w:rPr>
        <w:t>“创建智能知识产权机构”</w:t>
      </w:r>
      <w:r w:rsidRPr="00175541">
        <w:rPr>
          <w:rFonts w:asciiTheme="minorEastAsia" w:eastAsiaTheme="minorEastAsia" w:hAnsiTheme="minorEastAsia" w:hint="eastAsia"/>
          <w:sz w:val="21"/>
          <w:szCs w:val="21"/>
        </w:rPr>
        <w:t>的发展议程项目：实现国家和区域知识产权机构的知识产权基础设施现代化部署必要的组件和业务解决方案旨在通过进一步发展基础设施和其他设施，协助成员国发展和提高国家知识产权机构能力。根据发展议程建议10，该项目在2022年继续通过产权组织的知识产权办公室业务解决方案计划被纳入主流。该项目旨在加强国家和地区知识产权局业务系统和技术基础设施，以帮助它们向利益攸关方提供更具成本效益和质量更高的服务。在这方面，继续提供以下服务：(i)技术咨询；(ii)业务需求评估；(iii)项目范围确定和规划；(iv)业务程序分析；(v)持续开发和部署定制业务系统解决方案，以用于知识产权管理、优先权文件交换和审查结果搜索；(vi)建立知识产权数据库；(vii)为知识产权记录数字化和编制用于在线出版和电子数据交换的数据提供援助；(viii)为知识产权机构工作人员提供培训和知识转让，为产权组织提供的系统提供支持。这种援助酌情考虑了产权组织关于知识产权数据和信息的标准。现场或虚拟培训、辅导和地区培训讲习班占到活动的很大比重，对于实现预期成果至关重要。截至2022年底，来自所有地区的87个发展中国家（包括20个最不发达国家）知识产权局积极使用产权组织业务解决方案对其知识产权权利进行了管理。58个知识产权局参加了由产权组织提供的一个在线交流平台，即检索和审查结果集中查询及数字查询服务。一个重点是，通过协助各局转向在线申请服务和知识产权信息传播服务，提升各知识产权局的服务水平。</w:t>
      </w:r>
      <w:r w:rsidRPr="00175541">
        <w:rPr>
          <w:rStyle w:val="FootnoteReference"/>
          <w:rFonts w:asciiTheme="minorEastAsia" w:eastAsiaTheme="minorEastAsia" w:hAnsiTheme="minorEastAsia"/>
          <w:sz w:val="21"/>
          <w:szCs w:val="21"/>
          <w:lang w:val="en" w:eastAsia="ja-JP"/>
        </w:rPr>
        <w:footnoteReference w:id="93"/>
      </w:r>
    </w:p>
    <w:p w14:paraId="39E4D4A8" w14:textId="77777777" w:rsidR="00E733EF" w:rsidRPr="00175541" w:rsidRDefault="00191652" w:rsidP="00175541">
      <w:pPr>
        <w:pStyle w:val="Heading1"/>
        <w:numPr>
          <w:ilvl w:val="0"/>
          <w:numId w:val="14"/>
        </w:numPr>
        <w:spacing w:beforeLines="100" w:afterLines="100" w:after="240" w:line="340" w:lineRule="atLeast"/>
        <w:ind w:left="397" w:hanging="284"/>
        <w:jc w:val="both"/>
        <w:rPr>
          <w:rFonts w:ascii="SimHei" w:eastAsia="SimHei" w:hAnsi="SimHei"/>
          <w:b w:val="0"/>
          <w:sz w:val="21"/>
          <w:szCs w:val="21"/>
        </w:rPr>
      </w:pPr>
      <w:r w:rsidRPr="00175541">
        <w:rPr>
          <w:rFonts w:ascii="SimHei" w:eastAsia="SimHei" w:hAnsi="SimHei" w:hint="eastAsia"/>
          <w:b w:val="0"/>
          <w:sz w:val="21"/>
          <w:szCs w:val="21"/>
        </w:rPr>
        <w:t>全球挑战和伙伴关系部门</w:t>
      </w:r>
    </w:p>
    <w:p w14:paraId="1ABEFE0F" w14:textId="77777777" w:rsidR="00E733EF" w:rsidRPr="00175541" w:rsidRDefault="00191652"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75541">
        <w:rPr>
          <w:rFonts w:asciiTheme="minorEastAsia" w:eastAsiaTheme="minorEastAsia" w:hAnsiTheme="minorEastAsia" w:hint="eastAsia"/>
          <w:sz w:val="21"/>
          <w:szCs w:val="21"/>
        </w:rPr>
        <w:t>全球挑战和伙伴关系部门继续领导产权组织努力团结国际社会，共同应对在知识产权、创新和创意领域新出现的全球问题和政策挑战。在本报告所述期间，该部门发展和扩大了与利益攸关方的伙伴关系，包括来自国际、商业和民间社会部门的利益攸关方。此外，还采取了一些措施来提高青年对</w:t>
      </w:r>
      <w:r w:rsidRPr="00175541">
        <w:rPr>
          <w:rFonts w:asciiTheme="minorEastAsia" w:eastAsiaTheme="minorEastAsia" w:hAnsiTheme="minorEastAsia" w:hint="eastAsia"/>
          <w:sz w:val="21"/>
          <w:szCs w:val="21"/>
        </w:rPr>
        <w:lastRenderedPageBreak/>
        <w:t>知识产权潜力和重要性的认识。这一外联活动还得到了2022年世界知识产权日庆祝活动的支持，该庆祝活动重点关注正在为更美好的未来进行创新的年轻变革者。</w:t>
      </w:r>
    </w:p>
    <w:p w14:paraId="2C2554CD" w14:textId="4FC93094" w:rsidR="00E733EF" w:rsidRPr="00175541" w:rsidRDefault="00191652" w:rsidP="00175541">
      <w:pPr>
        <w:pStyle w:val="Heading2"/>
        <w:spacing w:beforeLines="100" w:afterLines="100" w:after="240" w:line="340" w:lineRule="atLeast"/>
        <w:jc w:val="both"/>
        <w:rPr>
          <w:b/>
          <w:bCs w:val="0"/>
          <w:sz w:val="21"/>
          <w:szCs w:val="21"/>
        </w:rPr>
      </w:pPr>
      <w:r w:rsidRPr="00175541">
        <w:rPr>
          <w:rFonts w:hint="eastAsia"/>
          <w:b/>
          <w:bCs w:val="0"/>
          <w:sz w:val="21"/>
          <w:szCs w:val="21"/>
        </w:rPr>
        <w:t>与联合国、其他政府间组织和非政府利益攸关方的接触</w:t>
      </w:r>
    </w:p>
    <w:p w14:paraId="2F32FDA9" w14:textId="7974FA50" w:rsidR="00E733EF" w:rsidRPr="00175541" w:rsidRDefault="00191652"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75541">
        <w:rPr>
          <w:rFonts w:asciiTheme="minorEastAsia" w:eastAsiaTheme="minorEastAsia" w:hAnsiTheme="minorEastAsia" w:hint="eastAsia"/>
          <w:sz w:val="21"/>
          <w:szCs w:val="21"/>
        </w:rPr>
        <w:t>为了支持成员国开展COVID-19危机后的复苏工作，该部门领导产权组织参与了联合国系统和相关政府间组织的工作。特别值得注意的是与世界卫生组织（世卫组织）和世界贸易组织（世贸组织）在公共卫生、知识产权和贸易方面的三方合作。在2021年6月和2022年2月的会议上，</w:t>
      </w:r>
      <w:r w:rsidRPr="00175541">
        <w:rPr>
          <w:rStyle w:val="FootnoteReference"/>
          <w:rFonts w:asciiTheme="minorEastAsia" w:eastAsiaTheme="minorEastAsia" w:hAnsiTheme="minorEastAsia"/>
          <w:sz w:val="21"/>
          <w:szCs w:val="21"/>
        </w:rPr>
        <w:footnoteReference w:id="94"/>
      </w:r>
      <w:r w:rsidRPr="00175541">
        <w:rPr>
          <w:rFonts w:asciiTheme="minorEastAsia" w:eastAsiaTheme="minorEastAsia" w:hAnsiTheme="minorEastAsia" w:hint="eastAsia"/>
          <w:sz w:val="21"/>
          <w:szCs w:val="21"/>
        </w:rPr>
        <w:t>世卫组织、产权组织和世贸组织的总干事同意在COVID-19大流行背景下，在现有的三边合作框架内，加强的支持。特别是，他们同意组织一系列的能力建设讲习班，并建立一个三方技术援助联合平台。在这方面，举办了以下三场讲习班：(i)2022年9月27日关于</w:t>
      </w:r>
      <w:r w:rsidRPr="00175541">
        <w:rPr>
          <w:rFonts w:ascii="KaiTi" w:eastAsia="KaiTi" w:hAnsi="KaiTi" w:hint="eastAsia"/>
          <w:sz w:val="21"/>
          <w:szCs w:val="21"/>
        </w:rPr>
        <w:t>“知识产权许可、技术转让以及技术诀窍和临床试验信息的共享”</w:t>
      </w:r>
      <w:r w:rsidRPr="00175541">
        <w:rPr>
          <w:rFonts w:asciiTheme="minorEastAsia" w:eastAsiaTheme="minorEastAsia" w:hAnsiTheme="minorEastAsia" w:hint="eastAsia"/>
          <w:sz w:val="21"/>
          <w:szCs w:val="21"/>
        </w:rPr>
        <w:t>的讲习班；</w:t>
      </w:r>
      <w:r w:rsidRPr="00175541">
        <w:rPr>
          <w:rStyle w:val="FootnoteReference"/>
          <w:rFonts w:asciiTheme="minorEastAsia" w:eastAsiaTheme="minorEastAsia" w:hAnsiTheme="minorEastAsia"/>
          <w:sz w:val="21"/>
          <w:szCs w:val="21"/>
        </w:rPr>
        <w:footnoteReference w:id="95"/>
      </w:r>
      <w:r w:rsidRPr="00175541">
        <w:rPr>
          <w:rFonts w:asciiTheme="minorEastAsia" w:eastAsiaTheme="minorEastAsia" w:hAnsiTheme="minorEastAsia" w:hint="eastAsia"/>
          <w:sz w:val="21"/>
          <w:szCs w:val="21"/>
        </w:rPr>
        <w:t>(ii)2022年2月28日关于</w:t>
      </w:r>
      <w:r w:rsidRPr="00175541">
        <w:rPr>
          <w:rFonts w:ascii="KaiTi" w:eastAsia="KaiTi" w:hAnsi="KaiTi" w:hint="eastAsia"/>
          <w:sz w:val="21"/>
          <w:szCs w:val="21"/>
        </w:rPr>
        <w:t>“获取和使用信息资源应对大流行疫情”</w:t>
      </w:r>
      <w:r w:rsidRPr="00175541">
        <w:rPr>
          <w:rFonts w:asciiTheme="minorEastAsia" w:eastAsiaTheme="minorEastAsia" w:hAnsiTheme="minorEastAsia" w:hint="eastAsia"/>
          <w:sz w:val="21"/>
          <w:szCs w:val="21"/>
        </w:rPr>
        <w:t>的讲习班；</w:t>
      </w:r>
      <w:r w:rsidRPr="00175541">
        <w:rPr>
          <w:rStyle w:val="FootnoteReference"/>
          <w:rFonts w:asciiTheme="minorEastAsia" w:eastAsiaTheme="minorEastAsia" w:hAnsiTheme="minorEastAsia"/>
          <w:sz w:val="21"/>
          <w:szCs w:val="21"/>
        </w:rPr>
        <w:footnoteReference w:id="96"/>
      </w:r>
      <w:r w:rsidRPr="00175541">
        <w:rPr>
          <w:rFonts w:asciiTheme="minorEastAsia" w:eastAsiaTheme="minorEastAsia" w:hAnsiTheme="minorEastAsia" w:hint="eastAsia"/>
          <w:sz w:val="21"/>
          <w:szCs w:val="21"/>
        </w:rPr>
        <w:t>以及(i</w:t>
      </w:r>
      <w:r w:rsidR="00175541">
        <w:rPr>
          <w:rFonts w:asciiTheme="minorEastAsia" w:eastAsiaTheme="minorEastAsia" w:hAnsiTheme="minorEastAsia" w:hint="eastAsia"/>
          <w:sz w:val="21"/>
          <w:szCs w:val="21"/>
        </w:rPr>
        <w:t>ii)</w:t>
      </w:r>
      <w:r w:rsidRPr="00175541">
        <w:rPr>
          <w:rFonts w:asciiTheme="minorEastAsia" w:eastAsiaTheme="minorEastAsia" w:hAnsiTheme="minorEastAsia" w:hint="eastAsia"/>
          <w:sz w:val="21"/>
          <w:szCs w:val="21"/>
        </w:rPr>
        <w:t>2022年10月28日关于</w:t>
      </w:r>
      <w:r w:rsidRPr="00175541">
        <w:rPr>
          <w:rFonts w:ascii="KaiTi" w:eastAsia="KaiTi" w:hAnsi="KaiTi" w:hint="eastAsia"/>
          <w:sz w:val="21"/>
          <w:szCs w:val="21"/>
        </w:rPr>
        <w:t>“创新和COVID-19诊断方法的获取及展望”</w:t>
      </w:r>
      <w:r w:rsidRPr="00175541">
        <w:rPr>
          <w:rFonts w:asciiTheme="minorEastAsia" w:eastAsiaTheme="minorEastAsia" w:hAnsiTheme="minorEastAsia" w:hint="eastAsia"/>
          <w:sz w:val="21"/>
          <w:szCs w:val="21"/>
        </w:rPr>
        <w:t>的讲习班。</w:t>
      </w:r>
      <w:r w:rsidRPr="00175541">
        <w:rPr>
          <w:rStyle w:val="FootnoteReference"/>
          <w:rFonts w:asciiTheme="minorEastAsia" w:eastAsiaTheme="minorEastAsia" w:hAnsiTheme="minorEastAsia"/>
          <w:sz w:val="21"/>
          <w:szCs w:val="21"/>
        </w:rPr>
        <w:footnoteReference w:id="97"/>
      </w:r>
      <w:r w:rsidRPr="00175541">
        <w:rPr>
          <w:rFonts w:asciiTheme="minorEastAsia" w:eastAsiaTheme="minorEastAsia" w:hAnsiTheme="minorEastAsia" w:hint="eastAsia"/>
          <w:sz w:val="21"/>
          <w:szCs w:val="21"/>
        </w:rPr>
        <w:t>此外，世卫组织、产权组织和世贸组织于2022年4月推出了新的</w:t>
      </w:r>
      <w:r w:rsidRPr="00175541">
        <w:rPr>
          <w:rFonts w:ascii="KaiTi" w:eastAsia="KaiTi" w:hAnsi="KaiTi" w:hint="eastAsia"/>
          <w:sz w:val="21"/>
          <w:szCs w:val="21"/>
        </w:rPr>
        <w:t>三边COVID-19技术援助平台</w:t>
      </w:r>
      <w:r w:rsidRPr="00175541">
        <w:rPr>
          <w:rFonts w:asciiTheme="minorEastAsia" w:eastAsiaTheme="minorEastAsia" w:hAnsiTheme="minorEastAsia" w:hint="eastAsia"/>
          <w:sz w:val="21"/>
          <w:szCs w:val="21"/>
        </w:rPr>
        <w:t>。</w:t>
      </w:r>
      <w:r w:rsidRPr="00175541">
        <w:rPr>
          <w:rStyle w:val="FootnoteReference"/>
          <w:rFonts w:asciiTheme="minorEastAsia" w:eastAsiaTheme="minorEastAsia" w:hAnsiTheme="minorEastAsia"/>
          <w:sz w:val="21"/>
          <w:szCs w:val="21"/>
        </w:rPr>
        <w:footnoteReference w:id="98"/>
      </w:r>
      <w:r w:rsidRPr="00175541">
        <w:rPr>
          <w:rFonts w:asciiTheme="minorEastAsia" w:eastAsiaTheme="minorEastAsia" w:hAnsiTheme="minorEastAsia" w:hint="eastAsia"/>
          <w:sz w:val="21"/>
          <w:szCs w:val="21"/>
        </w:rPr>
        <w:t>该平台概述了三方技术援助活动，并为此类活动的请求提供便利，以充分利用所有可用方案。在这方面，还值得注意的是，产权组织继续监测并应要求为世贸组织和世卫组织的贸易与卫生进程做出贡献，包括与贸易有关的知识产权（TRIPS）理事会和世卫组织政府间谈判机构，以起草和谈判一项关于大流行防备和应对的世卫组织公约、协定或其他文书。产权组织对这一进程的参与支持了对以知识产权为工具来实现创新和获取创新成果的整体理解。</w:t>
      </w:r>
    </w:p>
    <w:p w14:paraId="73D6433D" w14:textId="42E7DF8D" w:rsidR="00E733EF" w:rsidRPr="00175541" w:rsidRDefault="00191652"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75541">
        <w:rPr>
          <w:rFonts w:asciiTheme="minorEastAsia" w:eastAsiaTheme="minorEastAsia" w:hAnsiTheme="minorEastAsia" w:hint="eastAsia"/>
          <w:sz w:val="21"/>
          <w:szCs w:val="21"/>
        </w:rPr>
        <w:t>2022年，本组织深化了与联合国贸易和发展会议（贸发会议）的合作，通过赋能妇女利用知识产权工具保护其品牌，为妇女领导的数字企业提供支持。作为贸发会议领导的</w:t>
      </w:r>
      <w:r w:rsidRPr="00175541">
        <w:rPr>
          <w:rFonts w:ascii="KaiTi" w:eastAsia="KaiTi" w:hAnsi="KaiTi" w:hint="eastAsia"/>
          <w:sz w:val="21"/>
          <w:szCs w:val="21"/>
        </w:rPr>
        <w:t>“普惠电子贸易”</w:t>
      </w:r>
      <w:r w:rsidRPr="00175541">
        <w:rPr>
          <w:rFonts w:asciiTheme="minorEastAsia" w:eastAsiaTheme="minorEastAsia" w:hAnsiTheme="minorEastAsia" w:hint="eastAsia"/>
          <w:sz w:val="21"/>
          <w:szCs w:val="21"/>
        </w:rPr>
        <w:t>倡议的成员，产权组织在2022年10月5日至7日举办的</w:t>
      </w:r>
      <w:r w:rsidRPr="00175541">
        <w:rPr>
          <w:rFonts w:ascii="KaiTi" w:eastAsia="KaiTi" w:hAnsi="KaiTi" w:hint="eastAsia"/>
          <w:sz w:val="21"/>
          <w:szCs w:val="21"/>
        </w:rPr>
        <w:t>“妇女电子贸易”</w:t>
      </w:r>
      <w:r w:rsidRPr="00175541">
        <w:rPr>
          <w:rFonts w:asciiTheme="minorEastAsia" w:eastAsiaTheme="minorEastAsia" w:hAnsiTheme="minorEastAsia" w:hint="eastAsia"/>
          <w:sz w:val="21"/>
          <w:szCs w:val="21"/>
        </w:rPr>
        <w:t>大师班期间成功试办了一期知识产权培训课程。来自六个非洲法语国家的22名女性数字企业家参加了这次大师班。</w:t>
      </w:r>
      <w:r w:rsidRPr="00175541">
        <w:rPr>
          <w:rStyle w:val="FootnoteReference"/>
          <w:rFonts w:asciiTheme="minorEastAsia" w:eastAsiaTheme="minorEastAsia" w:hAnsiTheme="minorEastAsia"/>
          <w:sz w:val="21"/>
          <w:szCs w:val="21"/>
        </w:rPr>
        <w:footnoteReference w:id="99"/>
      </w:r>
      <w:r w:rsidRPr="00175541">
        <w:rPr>
          <w:rFonts w:asciiTheme="minorEastAsia" w:eastAsiaTheme="minorEastAsia" w:hAnsiTheme="minorEastAsia" w:hint="eastAsia"/>
          <w:sz w:val="21"/>
          <w:szCs w:val="21"/>
        </w:rPr>
        <w:t>还应指出的是，举办了关于</w:t>
      </w:r>
      <w:r w:rsidRPr="00175541">
        <w:rPr>
          <w:rFonts w:ascii="KaiTi" w:eastAsia="KaiTi" w:hAnsi="KaiTi" w:hint="eastAsia"/>
          <w:sz w:val="21"/>
          <w:szCs w:val="21"/>
        </w:rPr>
        <w:t>“非同质化代币和元宇宙时代的视频游戏部门”</w:t>
      </w:r>
      <w:r w:rsidRPr="00175541">
        <w:rPr>
          <w:rFonts w:asciiTheme="minorEastAsia" w:eastAsiaTheme="minorEastAsia" w:hAnsiTheme="minorEastAsia" w:hint="eastAsia"/>
          <w:sz w:val="21"/>
          <w:szCs w:val="21"/>
        </w:rPr>
        <w:t>的活动。它是在2022年互联网治理论坛（IGF）期间举办的。该活动讨论了视频游戏部门如何应对和塑造元宇宙和非同质化代币市场所带来的新局面。通过汇集不同地区的实例，活动还展示了创作者、初创企业和中小企业如何通过知识产权工具保护其创造和创新。</w:t>
      </w:r>
    </w:p>
    <w:p w14:paraId="5A6C1041" w14:textId="77777777" w:rsidR="00E733EF" w:rsidRPr="00175541" w:rsidRDefault="00191652"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75541">
        <w:rPr>
          <w:rFonts w:asciiTheme="minorEastAsia" w:eastAsiaTheme="minorEastAsia" w:hAnsiTheme="minorEastAsia" w:hint="eastAsia"/>
          <w:sz w:val="21"/>
          <w:szCs w:val="21"/>
        </w:rPr>
        <w:t>在整个2022年期间，与非政府组织的接触对产权组织仍然很重要。此类接触的例子包括与国际商会合作，在2022年7月举行的产权组织第六十三届成员国大会上组织了一次题为</w:t>
      </w:r>
      <w:r w:rsidRPr="00175541">
        <w:rPr>
          <w:rFonts w:ascii="KaiTi" w:eastAsia="KaiTi" w:hAnsi="KaiTi" w:hint="eastAsia"/>
          <w:sz w:val="21"/>
          <w:szCs w:val="21"/>
        </w:rPr>
        <w:t>“加强知识产权生态系统促进可持续增长和发展”</w:t>
      </w:r>
      <w:r w:rsidRPr="00175541">
        <w:rPr>
          <w:rFonts w:asciiTheme="minorEastAsia" w:eastAsiaTheme="minorEastAsia" w:hAnsiTheme="minorEastAsia" w:hint="eastAsia"/>
          <w:sz w:val="21"/>
          <w:szCs w:val="21"/>
        </w:rPr>
        <w:t>的会外活动。这次活动吸引了来自81个国家的与会者。讨论小组成员来自全球巨头，包括微软、雀巢和英特尔，以及世界各地的中小企业。讨论小组成员还有来自专门从事知识产权估值和知识产权及竞争法经济评估的公司。三场圆桌会议的在线与会者人数在120至140人之间。另一个例子是，2022年10月与大学技术经理人协会一起举办了产权组织-大学技术经理人协会国际知识和技术转让领袖峰会。讨论的议题包括整个创新系统的多样性和包容性、学术界知识产权商业化进程中的性别包容，以及支持青年成为未来的创造者和创新者。</w:t>
      </w:r>
    </w:p>
    <w:p w14:paraId="7EB869B2" w14:textId="22232A92" w:rsidR="00E733EF" w:rsidRPr="00175541" w:rsidRDefault="00191652" w:rsidP="00175541">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75541">
        <w:rPr>
          <w:rFonts w:asciiTheme="minorEastAsia" w:eastAsiaTheme="minorEastAsia" w:hAnsiTheme="minorEastAsia" w:hint="eastAsia"/>
          <w:sz w:val="21"/>
          <w:szCs w:val="21"/>
        </w:rPr>
        <w:lastRenderedPageBreak/>
        <w:t>产权组织在实现可持续发展目标方面对成员国的援助继续以发展议程为指引。本组织的工作重点是推动创新、创造和有效利用知识产权制度，促进成员国经济、技术、社会和文化发展。所实施的广泛项目和活动力求改善各地所有人的生活。虽然产权组织的工作主要与可持续发展目标9有关，但鉴于创新和创造对实现许多其他目标和具体目标的重要性，本组织也为它们做出了贡献。</w:t>
      </w:r>
    </w:p>
    <w:p w14:paraId="03BBDAF0" w14:textId="77777777" w:rsidR="00E733EF" w:rsidRPr="00F165A7" w:rsidRDefault="00191652" w:rsidP="00F165A7">
      <w:pPr>
        <w:pStyle w:val="Heading2"/>
        <w:spacing w:beforeLines="100" w:afterLines="100" w:after="240" w:line="340" w:lineRule="atLeast"/>
        <w:jc w:val="both"/>
        <w:rPr>
          <w:b/>
          <w:bCs w:val="0"/>
          <w:sz w:val="21"/>
          <w:szCs w:val="21"/>
        </w:rPr>
      </w:pPr>
      <w:r w:rsidRPr="00F165A7">
        <w:rPr>
          <w:rFonts w:hint="eastAsia"/>
          <w:b/>
          <w:bCs w:val="0"/>
          <w:sz w:val="21"/>
          <w:szCs w:val="21"/>
        </w:rPr>
        <w:t>知识产权与青年</w:t>
      </w:r>
    </w:p>
    <w:p w14:paraId="58CAD3AC" w14:textId="25C44713" w:rsidR="00E733EF" w:rsidRPr="00F165A7" w:rsidRDefault="00191652" w:rsidP="00F165A7">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F165A7">
        <w:rPr>
          <w:rStyle w:val="normaltextrun"/>
          <w:rFonts w:asciiTheme="minorEastAsia" w:eastAsiaTheme="minorEastAsia" w:hAnsiTheme="minorEastAsia" w:hint="eastAsia"/>
          <w:sz w:val="21"/>
          <w:szCs w:val="21"/>
        </w:rPr>
        <w:t>本组织在围绕知识产权与青年互动的努力方面取得了进展。2022年初任命的青年参与协调人提供了一个结构，通过这个结构可以将青年纳入知识产权和创新生态系统中。2022年</w:t>
      </w:r>
      <w:r w:rsidRPr="00F165A7">
        <w:rPr>
          <w:rFonts w:asciiTheme="minorEastAsia" w:eastAsiaTheme="minorEastAsia" w:hAnsiTheme="minorEastAsia" w:hint="eastAsia"/>
          <w:sz w:val="21"/>
          <w:szCs w:val="21"/>
        </w:rPr>
        <w:t>世界知识产权日</w:t>
      </w:r>
      <w:r w:rsidRPr="00F165A7">
        <w:rPr>
          <w:rStyle w:val="FootnoteReference"/>
          <w:rFonts w:asciiTheme="minorEastAsia" w:eastAsiaTheme="minorEastAsia" w:hAnsiTheme="minorEastAsia"/>
          <w:sz w:val="21"/>
          <w:szCs w:val="21"/>
        </w:rPr>
        <w:footnoteReference w:id="100"/>
      </w:r>
      <w:r w:rsidRPr="00F165A7">
        <w:rPr>
          <w:rStyle w:val="normaltextrun"/>
          <w:rFonts w:asciiTheme="minorEastAsia" w:eastAsiaTheme="minorEastAsia" w:hAnsiTheme="minorEastAsia" w:hint="eastAsia"/>
          <w:sz w:val="21"/>
          <w:szCs w:val="21"/>
        </w:rPr>
        <w:t>是产权组织青年参与工作的第一个重要时刻，为后续活动奠定了基础，全年累计有30,000多名青年参与。具体而言，产权组织与国际贸易中心（国贸中心）密切合作，组织了一系列活动，包括：(i)强调代际团结及其对充分利用各代人的潜力实现可持续发展目标的重要性的网络研讨会</w:t>
      </w:r>
      <w:r w:rsidRPr="00F165A7">
        <w:rPr>
          <w:rStyle w:val="FootnoteReference"/>
          <w:rFonts w:asciiTheme="minorEastAsia" w:eastAsiaTheme="minorEastAsia" w:hAnsiTheme="minorEastAsia"/>
          <w:sz w:val="21"/>
          <w:szCs w:val="21"/>
        </w:rPr>
        <w:footnoteReference w:id="101"/>
      </w:r>
      <w:r w:rsidRPr="00F165A7">
        <w:rPr>
          <w:rStyle w:val="normaltextrun"/>
          <w:rFonts w:asciiTheme="minorEastAsia" w:eastAsiaTheme="minorEastAsia" w:hAnsiTheme="minorEastAsia" w:hint="eastAsia"/>
          <w:sz w:val="21"/>
          <w:szCs w:val="21"/>
        </w:rPr>
        <w:t>；(ii)国贸中心-产权组织</w:t>
      </w:r>
      <w:r w:rsidRPr="00F165A7">
        <w:rPr>
          <w:rFonts w:asciiTheme="minorEastAsia" w:eastAsiaTheme="minorEastAsia" w:hAnsiTheme="minorEastAsia" w:hint="eastAsia"/>
          <w:sz w:val="21"/>
          <w:szCs w:val="21"/>
        </w:rPr>
        <w:t>青年电影之夜</w:t>
      </w:r>
      <w:r w:rsidRPr="00F165A7">
        <w:rPr>
          <w:rStyle w:val="normaltextrun"/>
          <w:rFonts w:asciiTheme="minorEastAsia" w:eastAsiaTheme="minorEastAsia" w:hAnsiTheme="minorEastAsia" w:hint="eastAsia"/>
          <w:sz w:val="21"/>
          <w:szCs w:val="21"/>
        </w:rPr>
        <w:t>；</w:t>
      </w:r>
      <w:r w:rsidRPr="00F165A7">
        <w:rPr>
          <w:rStyle w:val="FootnoteReference"/>
          <w:rFonts w:asciiTheme="minorEastAsia" w:eastAsiaTheme="minorEastAsia" w:hAnsiTheme="minorEastAsia"/>
          <w:sz w:val="21"/>
          <w:szCs w:val="21"/>
        </w:rPr>
        <w:footnoteReference w:id="102"/>
      </w:r>
      <w:r w:rsidRPr="00F165A7">
        <w:rPr>
          <w:rStyle w:val="normaltextrun"/>
          <w:rFonts w:asciiTheme="minorEastAsia" w:eastAsiaTheme="minorEastAsia" w:hAnsiTheme="minorEastAsia" w:hint="eastAsia"/>
          <w:sz w:val="21"/>
          <w:szCs w:val="21"/>
        </w:rPr>
        <w:t>以及</w:t>
      </w:r>
      <w:r w:rsidR="00376CDE">
        <w:rPr>
          <w:rStyle w:val="normaltextrun"/>
          <w:rFonts w:asciiTheme="minorEastAsia" w:eastAsiaTheme="minorEastAsia" w:hAnsiTheme="minorEastAsia" w:hint="eastAsia"/>
          <w:sz w:val="21"/>
          <w:szCs w:val="21"/>
        </w:rPr>
        <w:t>(iii)</w:t>
      </w:r>
      <w:r w:rsidRPr="00F165A7">
        <w:rPr>
          <w:rFonts w:asciiTheme="minorEastAsia" w:eastAsiaTheme="minorEastAsia" w:hAnsiTheme="minorEastAsia" w:hint="eastAsia"/>
          <w:sz w:val="21"/>
          <w:szCs w:val="21"/>
        </w:rPr>
        <w:t>青年艺术和创新博览会</w:t>
      </w:r>
      <w:r w:rsidRPr="00F165A7">
        <w:rPr>
          <w:rStyle w:val="normaltextrun"/>
          <w:rFonts w:asciiTheme="minorEastAsia" w:eastAsiaTheme="minorEastAsia" w:hAnsiTheme="minorEastAsia" w:hint="eastAsia"/>
          <w:sz w:val="21"/>
          <w:szCs w:val="21"/>
        </w:rPr>
        <w:t>。</w:t>
      </w:r>
      <w:r w:rsidRPr="00F165A7">
        <w:rPr>
          <w:rStyle w:val="FootnoteReference"/>
          <w:rFonts w:asciiTheme="minorEastAsia" w:eastAsiaTheme="minorEastAsia" w:hAnsiTheme="minorEastAsia"/>
          <w:sz w:val="21"/>
          <w:szCs w:val="21"/>
        </w:rPr>
        <w:footnoteReference w:id="103"/>
      </w:r>
      <w:r w:rsidRPr="00F165A7">
        <w:rPr>
          <w:rStyle w:val="normaltextrun"/>
          <w:rFonts w:asciiTheme="minorEastAsia" w:eastAsiaTheme="minorEastAsia" w:hAnsiTheme="minorEastAsia" w:hint="eastAsia"/>
          <w:sz w:val="21"/>
          <w:szCs w:val="21"/>
        </w:rPr>
        <w:t>这些活动以亲切、对青年友好的方式激发了青年的好奇心，并提高了他们对知识产权益处的认识。由于这些活动是由不同背景的青年设计和实施的，因此确实是为青年服务、由青年推动。此外，</w:t>
      </w:r>
      <w:r w:rsidRPr="00F165A7">
        <w:rPr>
          <w:rFonts w:asciiTheme="minorEastAsia" w:eastAsiaTheme="minorEastAsia" w:hAnsiTheme="minorEastAsia" w:hint="eastAsia"/>
          <w:sz w:val="21"/>
          <w:szCs w:val="21"/>
        </w:rPr>
        <w:t>与国际药品制造商和协会联合会（IFPMA）合作举办了一场</w:t>
      </w:r>
      <w:r w:rsidRPr="00F165A7">
        <w:rPr>
          <w:rStyle w:val="normaltextrun"/>
          <w:rFonts w:asciiTheme="minorEastAsia" w:eastAsiaTheme="minorEastAsia" w:hAnsiTheme="minorEastAsia" w:hint="eastAsia"/>
          <w:sz w:val="21"/>
          <w:szCs w:val="21"/>
        </w:rPr>
        <w:t>主题为</w:t>
      </w:r>
      <w:r w:rsidRPr="007B5559">
        <w:rPr>
          <w:rStyle w:val="normaltextrun"/>
          <w:rFonts w:ascii="KaiTi" w:eastAsia="KaiTi" w:hAnsi="KaiTi" w:hint="eastAsia"/>
          <w:sz w:val="21"/>
          <w:szCs w:val="21"/>
        </w:rPr>
        <w:t>“知识产权与青年：</w:t>
      </w:r>
      <w:r w:rsidRPr="007B5559">
        <w:rPr>
          <w:rStyle w:val="normaltextrun"/>
          <w:rFonts w:ascii="KaiTi" w:eastAsia="KaiTi" w:hAnsi="KaiTi" w:hint="eastAsia"/>
          <w:iCs/>
          <w:sz w:val="21"/>
          <w:szCs w:val="21"/>
        </w:rPr>
        <w:t>创新促进健康</w:t>
      </w:r>
      <w:r w:rsidRPr="007B5559">
        <w:rPr>
          <w:rStyle w:val="normaltextrun"/>
          <w:rFonts w:ascii="KaiTi" w:eastAsia="KaiTi" w:hAnsi="KaiTi" w:hint="eastAsia"/>
          <w:sz w:val="21"/>
          <w:szCs w:val="21"/>
        </w:rPr>
        <w:t>：通过知识产权支持青年创新者”</w:t>
      </w:r>
      <w:r w:rsidRPr="00F165A7">
        <w:rPr>
          <w:rStyle w:val="normaltextrun"/>
          <w:rFonts w:asciiTheme="minorEastAsia" w:eastAsiaTheme="minorEastAsia" w:hAnsiTheme="minorEastAsia" w:hint="eastAsia"/>
          <w:sz w:val="21"/>
          <w:szCs w:val="21"/>
        </w:rPr>
        <w:t>的世界知识产权日活动。</w:t>
      </w:r>
      <w:r w:rsidRPr="00F165A7">
        <w:rPr>
          <w:rStyle w:val="FootnoteReference"/>
          <w:rFonts w:asciiTheme="minorEastAsia" w:eastAsiaTheme="minorEastAsia" w:hAnsiTheme="minorEastAsia"/>
          <w:sz w:val="21"/>
          <w:szCs w:val="21"/>
        </w:rPr>
        <w:footnoteReference w:id="104"/>
      </w:r>
      <w:r w:rsidRPr="00F165A7">
        <w:rPr>
          <w:rStyle w:val="normaltextrun"/>
          <w:rFonts w:asciiTheme="minorEastAsia" w:eastAsiaTheme="minorEastAsia" w:hAnsiTheme="minorEastAsia" w:hint="eastAsia"/>
          <w:sz w:val="21"/>
          <w:szCs w:val="21"/>
        </w:rPr>
        <w:t>该活动强调了世界各地青年创新者的成就，以及知识产权在使他们的想法进入市场方面发挥的积极作用，特别关注女性青年创新者。有近500人在现场或以虚拟方式参加活动。产权组织还积极推动围绕将青年系统地纳入多边体系的国际讨论。这是本组织为确保青年在知识产权与气候变化、全球卫生、和平和可持续发展等相关政策问题的互动方面发声所做努力的一部分。最值得一提的是国际电信联盟（国际电联）</w:t>
      </w:r>
      <w:r w:rsidRPr="00F165A7">
        <w:rPr>
          <w:rFonts w:asciiTheme="minorEastAsia" w:eastAsiaTheme="minorEastAsia" w:hAnsiTheme="minorEastAsia" w:hint="eastAsia"/>
          <w:sz w:val="21"/>
          <w:szCs w:val="21"/>
        </w:rPr>
        <w:t>的信息社会世界峰会论坛</w:t>
      </w:r>
      <w:r w:rsidRPr="00F165A7">
        <w:rPr>
          <w:rStyle w:val="normaltextrun"/>
          <w:rFonts w:asciiTheme="minorEastAsia" w:eastAsiaTheme="minorEastAsia" w:hAnsiTheme="minorEastAsia" w:hint="eastAsia"/>
          <w:sz w:val="21"/>
          <w:szCs w:val="21"/>
        </w:rPr>
        <w:t>、</w:t>
      </w:r>
      <w:r w:rsidRPr="00F165A7">
        <w:rPr>
          <w:rStyle w:val="FootnoteReference"/>
          <w:rFonts w:asciiTheme="minorEastAsia" w:eastAsiaTheme="minorEastAsia" w:hAnsiTheme="minorEastAsia"/>
          <w:sz w:val="21"/>
          <w:szCs w:val="21"/>
        </w:rPr>
        <w:footnoteReference w:id="105"/>
      </w:r>
      <w:r w:rsidRPr="00F165A7">
        <w:rPr>
          <w:rStyle w:val="normaltextrun"/>
          <w:rFonts w:asciiTheme="minorEastAsia" w:eastAsiaTheme="minorEastAsia" w:hAnsiTheme="minorEastAsia" w:hint="eastAsia"/>
          <w:sz w:val="21"/>
          <w:szCs w:val="21"/>
        </w:rPr>
        <w:t>工业产权葡语国家会议、世贸组织</w:t>
      </w:r>
      <w:r w:rsidRPr="00F165A7">
        <w:rPr>
          <w:rFonts w:asciiTheme="minorEastAsia" w:eastAsiaTheme="minorEastAsia" w:hAnsiTheme="minorEastAsia" w:hint="eastAsia"/>
          <w:sz w:val="21"/>
          <w:szCs w:val="21"/>
        </w:rPr>
        <w:t>公共论坛</w:t>
      </w:r>
      <w:r w:rsidRPr="00F165A7">
        <w:rPr>
          <w:rStyle w:val="normaltextrun"/>
          <w:rFonts w:asciiTheme="minorEastAsia" w:eastAsiaTheme="minorEastAsia" w:hAnsiTheme="minorEastAsia" w:hint="eastAsia"/>
          <w:sz w:val="21"/>
          <w:szCs w:val="21"/>
        </w:rPr>
        <w:t>、</w:t>
      </w:r>
      <w:r w:rsidRPr="00F165A7">
        <w:rPr>
          <w:rStyle w:val="FootnoteReference"/>
          <w:rFonts w:asciiTheme="minorEastAsia" w:eastAsiaTheme="minorEastAsia" w:hAnsiTheme="minorEastAsia"/>
          <w:sz w:val="21"/>
          <w:szCs w:val="21"/>
        </w:rPr>
        <w:footnoteReference w:id="106"/>
      </w:r>
      <w:r w:rsidRPr="00F165A7">
        <w:rPr>
          <w:rFonts w:asciiTheme="minorEastAsia" w:eastAsiaTheme="minorEastAsia" w:hAnsiTheme="minorEastAsia" w:hint="eastAsia"/>
          <w:sz w:val="21"/>
          <w:szCs w:val="21"/>
        </w:rPr>
        <w:t>日内瓦和平平台主办的日内瓦和平周</w:t>
      </w:r>
      <w:r w:rsidRPr="00F165A7">
        <w:rPr>
          <w:rStyle w:val="normaltextrun"/>
          <w:rFonts w:asciiTheme="minorEastAsia" w:eastAsiaTheme="minorEastAsia" w:hAnsiTheme="minorEastAsia" w:hint="eastAsia"/>
          <w:sz w:val="21"/>
          <w:szCs w:val="21"/>
        </w:rPr>
        <w:t xml:space="preserve">，以及联合国欧洲经济委员会（欧洲经委会） </w:t>
      </w:r>
      <w:r w:rsidRPr="00F165A7">
        <w:rPr>
          <w:rFonts w:asciiTheme="minorEastAsia" w:eastAsiaTheme="minorEastAsia" w:hAnsiTheme="minorEastAsia" w:hint="eastAsia"/>
          <w:sz w:val="21"/>
          <w:szCs w:val="21"/>
        </w:rPr>
        <w:t>的青年对话</w:t>
      </w:r>
      <w:r w:rsidRPr="00F165A7">
        <w:rPr>
          <w:rStyle w:val="normaltextrun"/>
          <w:rFonts w:asciiTheme="minorEastAsia" w:eastAsiaTheme="minorEastAsia" w:hAnsiTheme="minorEastAsia" w:hint="eastAsia"/>
          <w:sz w:val="21"/>
          <w:szCs w:val="21"/>
        </w:rPr>
        <w:t>。</w:t>
      </w:r>
      <w:r w:rsidRPr="00F165A7">
        <w:rPr>
          <w:rStyle w:val="FootnoteReference"/>
          <w:rFonts w:asciiTheme="minorEastAsia" w:eastAsiaTheme="minorEastAsia" w:hAnsiTheme="minorEastAsia"/>
          <w:sz w:val="21"/>
          <w:szCs w:val="21"/>
        </w:rPr>
        <w:footnoteReference w:id="107"/>
      </w:r>
      <w:r w:rsidRPr="00F165A7">
        <w:rPr>
          <w:rStyle w:val="normaltextrun"/>
          <w:rFonts w:asciiTheme="minorEastAsia" w:eastAsiaTheme="minorEastAsia" w:hAnsiTheme="minorEastAsia" w:hint="eastAsia"/>
          <w:sz w:val="21"/>
          <w:szCs w:val="21"/>
        </w:rPr>
        <w:t>通过这些互动，产权组织提供了必要的思想领导，以创造最有利的政策和物质环境，帮助世界各地青年受益于其创造、发明和创业工作。总体而言，2022年的青年参与活动使产权组织成为在工作中积极优先考虑青年的国际社会的一部分。许多青年了解了产权组织在知识产权制度中对青年包容和赋能的规范性愿景，并积聚了足够的势头，以便在未来几年内推出实用的、影响驱动的倡议。</w:t>
      </w:r>
    </w:p>
    <w:p w14:paraId="00583AFF" w14:textId="77777777" w:rsidR="00E733EF" w:rsidRPr="003008E4" w:rsidRDefault="00191652" w:rsidP="003008E4">
      <w:pPr>
        <w:pStyle w:val="Heading2"/>
        <w:spacing w:beforeLines="100" w:afterLines="100" w:after="240" w:line="340" w:lineRule="atLeast"/>
        <w:jc w:val="both"/>
        <w:rPr>
          <w:b/>
          <w:bCs w:val="0"/>
          <w:sz w:val="21"/>
          <w:szCs w:val="21"/>
        </w:rPr>
      </w:pPr>
      <w:r w:rsidRPr="003008E4">
        <w:rPr>
          <w:rFonts w:hint="eastAsia"/>
          <w:b/>
          <w:bCs w:val="0"/>
          <w:sz w:val="21"/>
          <w:szCs w:val="21"/>
        </w:rPr>
        <w:t>WIPO GREEN</w:t>
      </w:r>
      <w:r w:rsidRPr="003008E4">
        <w:rPr>
          <w:rFonts w:hint="eastAsia"/>
          <w:b/>
          <w:bCs w:val="0"/>
          <w:sz w:val="21"/>
          <w:szCs w:val="21"/>
        </w:rPr>
        <w:t>和</w:t>
      </w:r>
      <w:r w:rsidRPr="003008E4">
        <w:rPr>
          <w:rFonts w:hint="eastAsia"/>
          <w:b/>
          <w:bCs w:val="0"/>
          <w:sz w:val="21"/>
          <w:szCs w:val="21"/>
        </w:rPr>
        <w:t>WIPO Re</w:t>
      </w:r>
      <w:proofErr w:type="gramStart"/>
      <w:r w:rsidRPr="003008E4">
        <w:rPr>
          <w:rFonts w:hint="eastAsia"/>
          <w:b/>
          <w:bCs w:val="0"/>
          <w:sz w:val="21"/>
          <w:szCs w:val="21"/>
        </w:rPr>
        <w:t>:Search</w:t>
      </w:r>
      <w:proofErr w:type="gramEnd"/>
    </w:p>
    <w:p w14:paraId="53DBF61E" w14:textId="77777777" w:rsidR="00E733EF" w:rsidRPr="003008E4" w:rsidRDefault="00191652" w:rsidP="003008E4">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3008E4">
        <w:rPr>
          <w:rFonts w:asciiTheme="minorEastAsia" w:eastAsiaTheme="minorEastAsia" w:hAnsiTheme="minorEastAsia" w:hint="eastAsia"/>
          <w:sz w:val="21"/>
          <w:szCs w:val="21"/>
        </w:rPr>
        <w:t>WIPO GREEN和WIPO Re</w:t>
      </w:r>
      <w:proofErr w:type="gramStart"/>
      <w:r w:rsidRPr="003008E4">
        <w:rPr>
          <w:rFonts w:asciiTheme="minorEastAsia" w:eastAsiaTheme="minorEastAsia" w:hAnsiTheme="minorEastAsia" w:hint="eastAsia"/>
          <w:sz w:val="21"/>
          <w:szCs w:val="21"/>
        </w:rPr>
        <w:t>:Search平台继续促进成员国的知识转让和技术调适</w:t>
      </w:r>
      <w:proofErr w:type="gramEnd"/>
      <w:r w:rsidRPr="003008E4">
        <w:rPr>
          <w:rFonts w:asciiTheme="minorEastAsia" w:eastAsiaTheme="minorEastAsia" w:hAnsiTheme="minorEastAsia" w:hint="eastAsia"/>
          <w:sz w:val="21"/>
          <w:szCs w:val="21"/>
        </w:rPr>
        <w:t>。具体而言，2022年有15家私营和公共机构加入了WIPO GREEN，使合作伙伴总数达到</w:t>
      </w:r>
      <w:r w:rsidRPr="003008E4">
        <w:rPr>
          <w:rStyle w:val="FootnoteReference"/>
          <w:rFonts w:asciiTheme="minorEastAsia" w:eastAsiaTheme="minorEastAsia" w:hAnsiTheme="minorEastAsia"/>
          <w:sz w:val="21"/>
          <w:szCs w:val="21"/>
        </w:rPr>
        <w:footnoteReference w:id="108"/>
      </w:r>
      <w:r w:rsidRPr="003008E4">
        <w:rPr>
          <w:rFonts w:asciiTheme="minorEastAsia" w:eastAsiaTheme="minorEastAsia" w:hAnsiTheme="minorEastAsia" w:hint="eastAsia"/>
          <w:sz w:val="21"/>
          <w:szCs w:val="21"/>
        </w:rPr>
        <w:t>150家。数据库的注册用户数量增加到2,000多个。</w:t>
      </w:r>
      <w:r w:rsidRPr="003008E4">
        <w:rPr>
          <w:rStyle w:val="FootnoteReference"/>
          <w:rFonts w:asciiTheme="minorEastAsia" w:eastAsiaTheme="minorEastAsia" w:hAnsiTheme="minorEastAsia"/>
          <w:sz w:val="21"/>
          <w:szCs w:val="21"/>
        </w:rPr>
        <w:footnoteReference w:id="109"/>
      </w:r>
      <w:r w:rsidRPr="003008E4">
        <w:rPr>
          <w:rFonts w:asciiTheme="minorEastAsia" w:eastAsiaTheme="minorEastAsia" w:hAnsiTheme="minorEastAsia" w:hint="eastAsia"/>
          <w:sz w:val="21"/>
          <w:szCs w:val="21"/>
        </w:rPr>
        <w:t>加速项目</w:t>
      </w:r>
      <w:r w:rsidRPr="003008E4">
        <w:rPr>
          <w:rStyle w:val="FootnoteReference"/>
          <w:rFonts w:asciiTheme="minorEastAsia" w:eastAsiaTheme="minorEastAsia" w:hAnsiTheme="minorEastAsia"/>
          <w:sz w:val="21"/>
          <w:szCs w:val="21"/>
        </w:rPr>
        <w:footnoteReference w:id="110"/>
      </w:r>
      <w:r w:rsidRPr="003008E4">
        <w:rPr>
          <w:rFonts w:asciiTheme="minorEastAsia" w:eastAsiaTheme="minorEastAsia" w:hAnsiTheme="minorEastAsia" w:hint="eastAsia"/>
          <w:sz w:val="21"/>
          <w:szCs w:val="21"/>
        </w:rPr>
        <w:t>成为该平台参与的核心手段。在拉丁美洲，一个关于气候智能农业的加速项目</w:t>
      </w:r>
      <w:r w:rsidRPr="003008E4">
        <w:rPr>
          <w:rStyle w:val="FootnoteReference"/>
          <w:rFonts w:asciiTheme="minorEastAsia" w:eastAsiaTheme="minorEastAsia" w:hAnsiTheme="minorEastAsia"/>
          <w:sz w:val="21"/>
          <w:szCs w:val="21"/>
        </w:rPr>
        <w:footnoteReference w:id="111"/>
      </w:r>
      <w:r w:rsidRPr="003008E4">
        <w:rPr>
          <w:rFonts w:asciiTheme="minorEastAsia" w:eastAsiaTheme="minorEastAsia" w:hAnsiTheme="minorEastAsia" w:hint="eastAsia"/>
          <w:sz w:val="21"/>
          <w:szCs w:val="21"/>
        </w:rPr>
        <w:t>继续推出可持续技术解决方案，并探寻将技术寻求者和提供者进一步联系起来。该项目的第</w:t>
      </w:r>
      <w:r w:rsidRPr="003008E4">
        <w:rPr>
          <w:rFonts w:asciiTheme="minorEastAsia" w:eastAsiaTheme="minorEastAsia" w:hAnsiTheme="minorEastAsia" w:hint="eastAsia"/>
          <w:sz w:val="21"/>
          <w:szCs w:val="21"/>
        </w:rPr>
        <w:lastRenderedPageBreak/>
        <w:t>二阶段于2022年结束，随后启动了第三阶段，更加注重牵线搭桥。另一个在中国启动的项目是要寻求能够满足城市环境需求的解决方案。</w:t>
      </w:r>
      <w:r w:rsidRPr="003008E4">
        <w:rPr>
          <w:rStyle w:val="FootnoteReference"/>
          <w:rFonts w:asciiTheme="minorEastAsia" w:eastAsiaTheme="minorEastAsia" w:hAnsiTheme="minorEastAsia"/>
          <w:sz w:val="21"/>
          <w:szCs w:val="21"/>
        </w:rPr>
        <w:footnoteReference w:id="112"/>
      </w:r>
      <w:r w:rsidRPr="003008E4">
        <w:rPr>
          <w:rFonts w:asciiTheme="minorEastAsia" w:eastAsiaTheme="minorEastAsia" w:hAnsiTheme="minorEastAsia" w:hint="eastAsia"/>
          <w:sz w:val="21"/>
          <w:szCs w:val="21"/>
        </w:rPr>
        <w:t>该项目的目标是支持中国实现其到2030年减少碳排放和到2060年实现碳中和的承诺。该项目最初以北京为重点，预计将扩展到其他大城市。该项目产生了两项协议：(i)一项处理酒店综合体中厨房垃圾的堆肥技术；以及(ii)一个电动汽车充电站。还应提及的是，与WIPO GREEN合作伙伴创蓝清洁空气产业联盟合作出版的</w:t>
      </w:r>
      <w:r w:rsidRPr="003008E4">
        <w:rPr>
          <w:rFonts w:ascii="KaiTi" w:eastAsia="KaiTi" w:hAnsi="KaiTi" w:hint="eastAsia"/>
          <w:sz w:val="21"/>
          <w:szCs w:val="21"/>
        </w:rPr>
        <w:t>《全球挑战聚焦：氢燃料电池技术在中国的开发和应用进展报告》</w:t>
      </w:r>
      <w:r w:rsidRPr="003008E4">
        <w:rPr>
          <w:rFonts w:asciiTheme="minorEastAsia" w:eastAsiaTheme="minorEastAsia" w:hAnsiTheme="minorEastAsia" w:hint="eastAsia"/>
          <w:sz w:val="21"/>
          <w:szCs w:val="21"/>
        </w:rPr>
        <w:t>。</w:t>
      </w:r>
      <w:r w:rsidRPr="003008E4">
        <w:rPr>
          <w:rStyle w:val="FootnoteReference"/>
          <w:rFonts w:asciiTheme="minorEastAsia" w:eastAsiaTheme="minorEastAsia" w:hAnsiTheme="minorEastAsia"/>
          <w:i/>
          <w:sz w:val="21"/>
          <w:szCs w:val="21"/>
        </w:rPr>
        <w:footnoteReference w:id="113"/>
      </w:r>
      <w:r w:rsidRPr="003008E4">
        <w:rPr>
          <w:rFonts w:asciiTheme="minorEastAsia" w:eastAsiaTheme="minorEastAsia" w:hAnsiTheme="minorEastAsia" w:hint="eastAsia"/>
          <w:sz w:val="21"/>
          <w:szCs w:val="21"/>
        </w:rPr>
        <w:t>该报告概述了当前国际上的氢气和燃料电池技术趋势，并特别关注了中国的发展和实施情况。此外，产权组织与联合国气候变化框架公约（UNFCCC）气候技术中心和网络（CTCN）以及埃及科学研究与技术学院合作，在埃及举行的联合国气候变化框架公约缔约方大会第二十七届会议上推出了第一版</w:t>
      </w:r>
      <w:r w:rsidRPr="003008E4">
        <w:rPr>
          <w:rFonts w:ascii="KaiTi" w:eastAsia="KaiTi" w:hAnsi="KaiTi" w:hint="eastAsia"/>
          <w:sz w:val="21"/>
          <w:szCs w:val="21"/>
        </w:rPr>
        <w:t>《绿色技术手册》</w:t>
      </w:r>
      <w:r w:rsidRPr="003008E4">
        <w:rPr>
          <w:rFonts w:asciiTheme="minorEastAsia" w:eastAsiaTheme="minorEastAsia" w:hAnsiTheme="minorEastAsia" w:hint="eastAsia"/>
          <w:sz w:val="21"/>
          <w:szCs w:val="21"/>
        </w:rPr>
        <w:t>。</w:t>
      </w:r>
      <w:r w:rsidRPr="003008E4">
        <w:rPr>
          <w:rStyle w:val="FootnoteReference"/>
          <w:rFonts w:asciiTheme="minorEastAsia" w:eastAsiaTheme="minorEastAsia" w:hAnsiTheme="minorEastAsia"/>
          <w:sz w:val="21"/>
          <w:szCs w:val="21"/>
        </w:rPr>
        <w:footnoteReference w:id="114"/>
      </w:r>
      <w:r w:rsidRPr="003008E4">
        <w:rPr>
          <w:rFonts w:asciiTheme="minorEastAsia" w:eastAsiaTheme="minorEastAsia" w:hAnsiTheme="minorEastAsia" w:hint="eastAsia"/>
          <w:sz w:val="21"/>
          <w:szCs w:val="21"/>
        </w:rPr>
        <w:t>该出版物涉及旨在减少脆弱性和提高对气候影响的复原力的气候变化适应技术，特别是在受影响最严重的发展中国家。2022年还在日本专利局的资助下启动了IPO GREEN</w:t>
      </w:r>
      <w:r w:rsidRPr="003008E4">
        <w:rPr>
          <w:rStyle w:val="FootnoteReference"/>
          <w:rFonts w:asciiTheme="minorEastAsia" w:eastAsiaTheme="minorEastAsia" w:hAnsiTheme="minorEastAsia"/>
          <w:sz w:val="21"/>
          <w:szCs w:val="21"/>
        </w:rPr>
        <w:footnoteReference w:id="115"/>
      </w:r>
      <w:r w:rsidRPr="003008E4">
        <w:rPr>
          <w:rFonts w:asciiTheme="minorEastAsia" w:eastAsiaTheme="minorEastAsia" w:hAnsiTheme="minorEastAsia" w:hint="eastAsia"/>
          <w:sz w:val="21"/>
          <w:szCs w:val="21"/>
        </w:rPr>
        <w:t>倡议。该倡议将各知识产权局聚集在一起，分享其经验和见解，并提供有关知识产权局活动的研究和分析，帮助刺激新的绿色技术解决方案的开发和部署。此外，WIPO GREEN还主办了一次关于</w:t>
      </w:r>
      <w:r w:rsidRPr="003008E4">
        <w:rPr>
          <w:rFonts w:ascii="KaiTi" w:eastAsia="KaiTi" w:hAnsi="KaiTi" w:hint="eastAsia"/>
          <w:sz w:val="21"/>
          <w:szCs w:val="21"/>
        </w:rPr>
        <w:t>“可持续时装技术”</w:t>
      </w:r>
      <w:r w:rsidRPr="003008E4">
        <w:rPr>
          <w:rFonts w:asciiTheme="minorEastAsia" w:eastAsiaTheme="minorEastAsia" w:hAnsiTheme="minorEastAsia" w:hint="eastAsia"/>
          <w:sz w:val="21"/>
          <w:szCs w:val="21"/>
        </w:rPr>
        <w:t>的知识产权管理诊所，</w:t>
      </w:r>
      <w:r w:rsidRPr="003008E4">
        <w:rPr>
          <w:rStyle w:val="FootnoteReference"/>
          <w:rFonts w:asciiTheme="minorEastAsia" w:eastAsiaTheme="minorEastAsia" w:hAnsiTheme="minorEastAsia"/>
          <w:sz w:val="21"/>
          <w:szCs w:val="21"/>
        </w:rPr>
        <w:footnoteReference w:id="116"/>
      </w:r>
      <w:r w:rsidRPr="003008E4">
        <w:rPr>
          <w:rFonts w:asciiTheme="minorEastAsia" w:eastAsiaTheme="minorEastAsia" w:hAnsiTheme="minorEastAsia" w:hint="eastAsia"/>
          <w:sz w:val="21"/>
          <w:szCs w:val="21"/>
        </w:rPr>
        <w:t>向五家中小企业提供知识产权管理专家建议。</w:t>
      </w:r>
    </w:p>
    <w:p w14:paraId="4C6C0554" w14:textId="77777777" w:rsidR="00E733EF" w:rsidRPr="003008E4" w:rsidRDefault="00191652" w:rsidP="003008E4">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3008E4">
        <w:rPr>
          <w:rFonts w:asciiTheme="minorEastAsia" w:eastAsiaTheme="minorEastAsia" w:hAnsiTheme="minorEastAsia" w:hint="eastAsia"/>
          <w:sz w:val="21"/>
          <w:szCs w:val="21"/>
        </w:rPr>
        <w:t>自2011年以来，WIPO Re:Search——由产权组织和BIO全球卫生事业机构（BVGH）成立的公私联合体——通过共享知识产权资产，包括化合物、技术、实验室能力和专门知识，促进针对被忽视的热带病、结核病和疟疾的研发。WIPO Re:Search为185项研究合作提供了便利，并设立了由澳大利亚政府资助的研发奖学金，为来自中低收入国家的近30名科学家提供支持。在过去十年中，针对被忽视的热带病的研发已明显增加。虽然在被忽视的热带病方面还有很多工作要做，但前景比较光明。尽管WIPO Re</w:t>
      </w:r>
      <w:proofErr w:type="gramStart"/>
      <w:r w:rsidRPr="003008E4">
        <w:rPr>
          <w:rFonts w:asciiTheme="minorEastAsia" w:eastAsiaTheme="minorEastAsia" w:hAnsiTheme="minorEastAsia" w:hint="eastAsia"/>
          <w:sz w:val="21"/>
          <w:szCs w:val="21"/>
        </w:rPr>
        <w:t>:Search已于2022年12月31日终止</w:t>
      </w:r>
      <w:proofErr w:type="gramEnd"/>
      <w:r w:rsidRPr="003008E4">
        <w:rPr>
          <w:rFonts w:asciiTheme="minorEastAsia" w:eastAsiaTheme="minorEastAsia" w:hAnsiTheme="minorEastAsia" w:hint="eastAsia"/>
          <w:sz w:val="21"/>
          <w:szCs w:val="21"/>
        </w:rPr>
        <w:t>，但产权组织将继续在全球卫生领域开展工作，继续将被忽视的热带病作为优先领域。在产权组织《2022-2026年中期战略计划》的指导下，产权组织将确保通过其在全球卫生和知识产权交叉领域的活动，使卫生创新惠及世界各地的所有人。</w:t>
      </w:r>
    </w:p>
    <w:p w14:paraId="67154C98" w14:textId="77777777" w:rsidR="00E733EF" w:rsidRPr="003008E4" w:rsidRDefault="00191652" w:rsidP="003008E4">
      <w:pPr>
        <w:pStyle w:val="Heading2"/>
        <w:spacing w:beforeLines="100" w:afterLines="100" w:after="240" w:line="340" w:lineRule="atLeast"/>
        <w:jc w:val="both"/>
        <w:rPr>
          <w:b/>
          <w:bCs w:val="0"/>
          <w:sz w:val="21"/>
          <w:szCs w:val="21"/>
        </w:rPr>
      </w:pPr>
      <w:r w:rsidRPr="003008E4">
        <w:rPr>
          <w:rFonts w:hint="eastAsia"/>
          <w:b/>
          <w:bCs w:val="0"/>
          <w:sz w:val="21"/>
          <w:szCs w:val="21"/>
        </w:rPr>
        <w:t>树立尊重知识产权的风尚</w:t>
      </w:r>
    </w:p>
    <w:p w14:paraId="37283E55" w14:textId="77777777" w:rsidR="00E733EF" w:rsidRPr="003008E4" w:rsidRDefault="00191652" w:rsidP="003008E4">
      <w:pPr>
        <w:pStyle w:val="ListParagraph"/>
        <w:numPr>
          <w:ilvl w:val="0"/>
          <w:numId w:val="4"/>
        </w:numPr>
        <w:spacing w:afterLines="50" w:after="120" w:line="340" w:lineRule="atLeast"/>
        <w:ind w:left="0" w:firstLine="0"/>
        <w:contextualSpacing w:val="0"/>
        <w:jc w:val="both"/>
        <w:rPr>
          <w:rFonts w:asciiTheme="minorEastAsia" w:eastAsiaTheme="minorEastAsia" w:hAnsiTheme="minorEastAsia"/>
          <w:sz w:val="21"/>
          <w:szCs w:val="21"/>
        </w:rPr>
      </w:pPr>
      <w:r w:rsidRPr="003008E4">
        <w:rPr>
          <w:rFonts w:asciiTheme="minorEastAsia" w:eastAsiaTheme="minorEastAsia" w:hAnsiTheme="minorEastAsia" w:hint="eastAsia"/>
          <w:sz w:val="21"/>
          <w:szCs w:val="21"/>
        </w:rPr>
        <w:t>全球挑战和伙伴关系部门继续协助成员国树立尊重知识产权的可持续环境。根据发展议程建议45，在整个过程中考虑了更广泛的社会利益和以发展为导向的问题。在这一领域，继续向成员国提供立法</w:t>
      </w:r>
      <w:r w:rsidRPr="003008E4">
        <w:rPr>
          <w:rStyle w:val="FootnoteReference"/>
          <w:rFonts w:asciiTheme="minorEastAsia" w:eastAsiaTheme="minorEastAsia" w:hAnsiTheme="minorEastAsia"/>
          <w:sz w:val="21"/>
          <w:szCs w:val="21"/>
        </w:rPr>
        <w:footnoteReference w:id="117"/>
      </w:r>
      <w:r w:rsidRPr="003008E4">
        <w:rPr>
          <w:rFonts w:asciiTheme="minorEastAsia" w:eastAsiaTheme="minorEastAsia" w:hAnsiTheme="minorEastAsia" w:hint="eastAsia"/>
          <w:sz w:val="21"/>
          <w:szCs w:val="21"/>
        </w:rPr>
        <w:t>和能力建设援助。具体而言，在2022年，向8个成员国</w:t>
      </w:r>
      <w:r w:rsidRPr="003008E4">
        <w:rPr>
          <w:rStyle w:val="FootnoteReference"/>
          <w:rFonts w:asciiTheme="minorEastAsia" w:eastAsiaTheme="minorEastAsia" w:hAnsiTheme="minorEastAsia"/>
          <w:sz w:val="21"/>
          <w:szCs w:val="21"/>
        </w:rPr>
        <w:footnoteReference w:id="118"/>
      </w:r>
      <w:r w:rsidRPr="003008E4">
        <w:rPr>
          <w:rFonts w:asciiTheme="minorEastAsia" w:eastAsiaTheme="minorEastAsia" w:hAnsiTheme="minorEastAsia" w:hint="eastAsia"/>
          <w:sz w:val="21"/>
          <w:szCs w:val="21"/>
        </w:rPr>
        <w:t>提供了立法援助，帮助修订和/或通过相关法律框架，以便根据《TRIPS协定》第三部分实现有效的知识产权执法。</w:t>
      </w:r>
    </w:p>
    <w:p w14:paraId="19187858" w14:textId="77777777" w:rsidR="00E733EF" w:rsidRPr="003008E4" w:rsidRDefault="00191652" w:rsidP="003008E4">
      <w:pPr>
        <w:pStyle w:val="ListParagraph"/>
        <w:numPr>
          <w:ilvl w:val="0"/>
          <w:numId w:val="4"/>
        </w:numPr>
        <w:spacing w:afterLines="50" w:after="120" w:line="340" w:lineRule="atLeast"/>
        <w:ind w:left="0" w:firstLine="0"/>
        <w:contextualSpacing w:val="0"/>
        <w:jc w:val="both"/>
        <w:rPr>
          <w:rFonts w:asciiTheme="minorEastAsia" w:eastAsiaTheme="minorEastAsia" w:hAnsiTheme="minorEastAsia"/>
          <w:sz w:val="21"/>
          <w:szCs w:val="21"/>
        </w:rPr>
      </w:pPr>
      <w:r w:rsidRPr="003008E4">
        <w:rPr>
          <w:rFonts w:asciiTheme="minorEastAsia" w:eastAsiaTheme="minorEastAsia" w:hAnsiTheme="minorEastAsia" w:hint="eastAsia"/>
          <w:sz w:val="21"/>
          <w:szCs w:val="21"/>
        </w:rPr>
        <w:t>在本报告所述期间，以线上或混合形式组织了八次</w:t>
      </w:r>
      <w:r w:rsidRPr="003008E4">
        <w:rPr>
          <w:rStyle w:val="FootnoteReference"/>
          <w:rFonts w:asciiTheme="minorEastAsia" w:eastAsiaTheme="minorEastAsia" w:hAnsiTheme="minorEastAsia"/>
          <w:sz w:val="21"/>
          <w:szCs w:val="21"/>
        </w:rPr>
        <w:footnoteReference w:id="119"/>
      </w:r>
      <w:r w:rsidRPr="003008E4">
        <w:rPr>
          <w:rFonts w:asciiTheme="minorEastAsia" w:eastAsiaTheme="minorEastAsia" w:hAnsiTheme="minorEastAsia" w:hint="eastAsia"/>
          <w:sz w:val="21"/>
          <w:szCs w:val="21"/>
        </w:rPr>
        <w:t>能力建设和培训活动，以便在国家、次区域或区域层面解决与知识产权执法和树立尊重知识产权的风尚有关的问题。</w:t>
      </w:r>
      <w:r w:rsidRPr="003008E4">
        <w:rPr>
          <w:rStyle w:val="FootnoteReference"/>
          <w:rFonts w:asciiTheme="minorEastAsia" w:eastAsiaTheme="minorEastAsia" w:hAnsiTheme="minorEastAsia"/>
          <w:sz w:val="21"/>
          <w:szCs w:val="21"/>
        </w:rPr>
        <w:footnoteReference w:id="120"/>
      </w:r>
      <w:r w:rsidRPr="003008E4">
        <w:rPr>
          <w:rFonts w:asciiTheme="minorEastAsia" w:eastAsiaTheme="minorEastAsia" w:hAnsiTheme="minorEastAsia" w:hint="eastAsia"/>
          <w:sz w:val="21"/>
          <w:szCs w:val="21"/>
        </w:rPr>
        <w:t>继续强调与政府间组织、非政府组织和成员国的密切合作，以加强国际努力，提高知识产权执法能力和树立尊重知识产权的风尚。在这方面，由产权组织组织的年度</w:t>
      </w:r>
      <w:r w:rsidRPr="003A07B5">
        <w:rPr>
          <w:rFonts w:ascii="KaiTi" w:eastAsia="KaiTi" w:hAnsi="KaiTi" w:hint="eastAsia"/>
          <w:sz w:val="21"/>
          <w:szCs w:val="21"/>
        </w:rPr>
        <w:t>“政府间组织协调会”</w:t>
      </w:r>
      <w:r w:rsidRPr="003008E4">
        <w:rPr>
          <w:rFonts w:asciiTheme="minorEastAsia" w:eastAsiaTheme="minorEastAsia" w:hAnsiTheme="minorEastAsia" w:hint="eastAsia"/>
          <w:sz w:val="21"/>
          <w:szCs w:val="21"/>
        </w:rPr>
        <w:t>于2022年6月21日举行，从事知识产权执法和树立尊重知识产权的风尚领域工作的十个政府间组织参加了会议。</w:t>
      </w:r>
      <w:r w:rsidRPr="003008E4">
        <w:rPr>
          <w:rFonts w:asciiTheme="minorEastAsia" w:eastAsiaTheme="minorEastAsia" w:hAnsiTheme="minorEastAsia" w:hint="eastAsia"/>
          <w:color w:val="000000"/>
          <w:sz w:val="21"/>
          <w:szCs w:val="21"/>
        </w:rPr>
        <w:t>此外，第一次</w:t>
      </w:r>
      <w:r w:rsidRPr="003A07B5">
        <w:rPr>
          <w:rFonts w:ascii="KaiTi" w:eastAsia="KaiTi" w:hAnsi="KaiTi" w:hint="eastAsia"/>
          <w:color w:val="000000"/>
          <w:sz w:val="21"/>
          <w:szCs w:val="21"/>
        </w:rPr>
        <w:t>“私营部门协会会</w:t>
      </w:r>
      <w:r w:rsidRPr="003A07B5">
        <w:rPr>
          <w:rFonts w:ascii="KaiTi" w:eastAsia="KaiTi" w:hAnsi="KaiTi" w:hint="eastAsia"/>
          <w:color w:val="000000"/>
          <w:sz w:val="21"/>
          <w:szCs w:val="21"/>
        </w:rPr>
        <w:lastRenderedPageBreak/>
        <w:t>议”</w:t>
      </w:r>
      <w:r w:rsidRPr="003008E4">
        <w:rPr>
          <w:rFonts w:asciiTheme="minorEastAsia" w:eastAsiaTheme="minorEastAsia" w:hAnsiTheme="minorEastAsia" w:hint="eastAsia"/>
          <w:color w:val="000000"/>
          <w:sz w:val="21"/>
          <w:szCs w:val="21"/>
        </w:rPr>
        <w:t>于2022年10月3日举行，18个在知识产权执法和树立尊重知识产权的风尚方面发挥作用的私营部门组织参加了会议，就可能联合开展的活动交换了意见并分享了看法。</w:t>
      </w:r>
      <w:r w:rsidRPr="003008E4">
        <w:rPr>
          <w:rFonts w:asciiTheme="minorEastAsia" w:eastAsiaTheme="minorEastAsia" w:hAnsiTheme="minorEastAsia" w:hint="eastAsia"/>
          <w:sz w:val="21"/>
          <w:szCs w:val="21"/>
        </w:rPr>
        <w:t>为了提高更广泛受众的认识，进一步扩大了外联和宣传活动。这类活动的例子包括：(i)在塞内加尔克尔马萨省的两所学校为青少年学生举办了“公民新闻和知识产权讲习班”；(ii)与非洲地区知识产权组织（ARIPO）合作，启动了一个试点项目，在博茨瓦纳、马拉维和津巴布韦的学校成立了知识产权俱乐部。该项目最终在2022年11月于莫桑比克马普托举行的非洲地区知识产权组织行政理事会会议上举行了地区颁奖仪式，产权组织和非洲地区知识产权组织的总干事出席颁奖仪式</w:t>
      </w:r>
      <w:proofErr w:type="gramStart"/>
      <w:r w:rsidRPr="003008E4">
        <w:rPr>
          <w:rFonts w:asciiTheme="minorEastAsia" w:eastAsiaTheme="minorEastAsia" w:hAnsiTheme="minorEastAsia" w:hint="eastAsia"/>
          <w:sz w:val="21"/>
          <w:szCs w:val="21"/>
        </w:rPr>
        <w:t>；(</w:t>
      </w:r>
      <w:proofErr w:type="gramEnd"/>
      <w:r w:rsidRPr="003008E4">
        <w:rPr>
          <w:rFonts w:asciiTheme="minorEastAsia" w:eastAsiaTheme="minorEastAsia" w:hAnsiTheme="minorEastAsia" w:hint="eastAsia"/>
          <w:sz w:val="21"/>
          <w:szCs w:val="21"/>
        </w:rPr>
        <w:t>iii)在六个</w:t>
      </w:r>
      <w:r w:rsidRPr="003008E4">
        <w:rPr>
          <w:rStyle w:val="FootnoteReference"/>
          <w:rFonts w:asciiTheme="minorEastAsia" w:eastAsiaTheme="minorEastAsia" w:hAnsiTheme="minorEastAsia"/>
          <w:sz w:val="21"/>
          <w:szCs w:val="21"/>
        </w:rPr>
        <w:footnoteReference w:id="121"/>
      </w:r>
      <w:r w:rsidRPr="003008E4">
        <w:rPr>
          <w:rFonts w:asciiTheme="minorEastAsia" w:eastAsiaTheme="minorEastAsia" w:hAnsiTheme="minorEastAsia" w:hint="eastAsia"/>
          <w:sz w:val="21"/>
          <w:szCs w:val="21"/>
        </w:rPr>
        <w:t>东盟国家的消费者中开展了与假冒商品有关的消费者态度和行为在线调查。此外，还采取了措施，提高宣传材料的无障碍性。例如，用泰语为关于工业产权的</w:t>
      </w:r>
      <w:r w:rsidRPr="003A07B5">
        <w:rPr>
          <w:rFonts w:ascii="KaiTi" w:eastAsia="KaiTi" w:hAnsi="KaiTi" w:hint="eastAsia"/>
          <w:sz w:val="21"/>
          <w:szCs w:val="21"/>
        </w:rPr>
        <w:t>“小企鹅波鲁鲁”</w:t>
      </w:r>
      <w:r w:rsidRPr="003008E4">
        <w:rPr>
          <w:rFonts w:asciiTheme="minorEastAsia" w:eastAsiaTheme="minorEastAsia" w:hAnsiTheme="minorEastAsia" w:hint="eastAsia"/>
          <w:sz w:val="21"/>
          <w:szCs w:val="21"/>
        </w:rPr>
        <w:t>动画配音，并在产权组织的YouTube频道上提供。</w:t>
      </w:r>
      <w:r w:rsidRPr="003008E4">
        <w:rPr>
          <w:rFonts w:asciiTheme="minorEastAsia" w:eastAsiaTheme="minorEastAsia" w:hAnsiTheme="minorEastAsia" w:hint="eastAsia"/>
          <w:color w:val="000000" w:themeColor="text1"/>
          <w:sz w:val="21"/>
          <w:szCs w:val="21"/>
        </w:rPr>
        <w:t>与产权组织巴西办事处合作，以葡萄牙语推出了针对儿童的版权和商标认识提高网站。</w:t>
      </w:r>
      <w:r w:rsidRPr="003008E4">
        <w:rPr>
          <w:rStyle w:val="FootnoteReference"/>
          <w:rFonts w:asciiTheme="minorEastAsia" w:eastAsiaTheme="minorEastAsia" w:hAnsiTheme="minorEastAsia"/>
          <w:color w:val="000000" w:themeColor="text1"/>
          <w:sz w:val="21"/>
          <w:szCs w:val="21"/>
        </w:rPr>
        <w:footnoteReference w:id="122"/>
      </w:r>
    </w:p>
    <w:p w14:paraId="3B40156C" w14:textId="20893E61" w:rsidR="00E733EF" w:rsidRPr="003A07B5" w:rsidRDefault="00191652" w:rsidP="003A07B5">
      <w:pPr>
        <w:pStyle w:val="Heading2"/>
        <w:spacing w:beforeLines="100" w:afterLines="100" w:after="240" w:line="340" w:lineRule="atLeast"/>
        <w:jc w:val="both"/>
        <w:rPr>
          <w:b/>
          <w:bCs w:val="0"/>
          <w:sz w:val="21"/>
          <w:szCs w:val="21"/>
        </w:rPr>
      </w:pPr>
      <w:r w:rsidRPr="003A07B5">
        <w:rPr>
          <w:rFonts w:hint="eastAsia"/>
          <w:b/>
          <w:bCs w:val="0"/>
          <w:sz w:val="21"/>
          <w:szCs w:val="21"/>
        </w:rPr>
        <w:t>传统知识</w:t>
      </w:r>
    </w:p>
    <w:p w14:paraId="2482A116" w14:textId="6B4197FB" w:rsidR="00E733EF" w:rsidRPr="003A07B5" w:rsidRDefault="00191652" w:rsidP="003A07B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3A07B5">
        <w:rPr>
          <w:rFonts w:asciiTheme="minorEastAsia" w:eastAsiaTheme="minorEastAsia" w:hAnsiTheme="minorEastAsia" w:hint="eastAsia"/>
          <w:sz w:val="21"/>
          <w:szCs w:val="21"/>
        </w:rPr>
        <w:t>2022年，该部门在遗传资源、传统知识和传统文化表现形式方面的工作主要包括以下方面：(i)根据发展议程建议1、10、11、13和14，提供由需求推动的中立信息，以协助制定和实施国家和地区政策和立法；(ii)作为产权组织应对COVID-19的工作的一部分，根据发展议程建议3和42，支持土著人民、当地社区和主要政府机构的能力建设和宣传活动，并加强国家政策对话和进程；以及(iii)按照发展议程建议3和42的要求，为土著人民和当地社区青年组织产权组织</w:t>
      </w:r>
      <w:r w:rsidRPr="003A07B5">
        <w:rPr>
          <w:rFonts w:ascii="KaiTi" w:eastAsia="KaiTi" w:hAnsi="KaiTi" w:hint="eastAsia"/>
          <w:sz w:val="21"/>
          <w:szCs w:val="21"/>
        </w:rPr>
        <w:t>“气候变化问题摄影大赛”</w:t>
      </w:r>
      <w:r w:rsidR="003A07B5">
        <w:rPr>
          <w:rFonts w:ascii="KaiTi" w:eastAsia="KaiTi" w:hAnsi="KaiTi" w:hint="cs"/>
          <w:sz w:val="21"/>
          <w:szCs w:val="21"/>
        </w:rPr>
        <w:t>‍</w:t>
      </w:r>
      <w:r w:rsidRPr="003A07B5">
        <w:rPr>
          <w:rStyle w:val="FootnoteReference"/>
          <w:rFonts w:asciiTheme="minorEastAsia" w:eastAsiaTheme="minorEastAsia" w:hAnsiTheme="minorEastAsia"/>
          <w:sz w:val="21"/>
          <w:szCs w:val="21"/>
        </w:rPr>
        <w:footnoteReference w:id="123"/>
      </w:r>
      <w:r w:rsidRPr="003A07B5">
        <w:rPr>
          <w:rFonts w:asciiTheme="minorEastAsia" w:eastAsiaTheme="minorEastAsia" w:hAnsiTheme="minorEastAsia" w:hint="eastAsia"/>
          <w:sz w:val="21"/>
          <w:szCs w:val="21"/>
        </w:rPr>
        <w:t>。此外，继续为来自土著人民和当地社区的女企业家提供指导。根据发展议程建议3、40和42，该计划的目标是加强土著人民和当地社区女企业家的能力，以便战略性地有效利用知识产权权利。在这方面，为玻利维亚、哥伦比亚、厄瓜多尔和秘鲁的女企业家组织了一次培训</w:t>
      </w:r>
      <w:r w:rsidRPr="003A07B5">
        <w:rPr>
          <w:rStyle w:val="FootnoteReference"/>
          <w:rFonts w:asciiTheme="minorEastAsia" w:eastAsiaTheme="minorEastAsia" w:hAnsiTheme="minorEastAsia"/>
          <w:sz w:val="21"/>
          <w:szCs w:val="21"/>
        </w:rPr>
        <w:footnoteReference w:id="124"/>
      </w:r>
      <w:r w:rsidR="003A07B5" w:rsidRPr="003A07B5">
        <w:rPr>
          <w:rFonts w:asciiTheme="minorEastAsia" w:eastAsiaTheme="minorEastAsia" w:hAnsiTheme="minorEastAsia" w:hint="eastAsia"/>
          <w:sz w:val="21"/>
          <w:szCs w:val="21"/>
        </w:rPr>
        <w:t>。</w:t>
      </w:r>
    </w:p>
    <w:p w14:paraId="277CCDA4" w14:textId="77777777" w:rsidR="00E733EF" w:rsidRPr="003A07B5" w:rsidRDefault="00191652" w:rsidP="003A07B5">
      <w:pPr>
        <w:pStyle w:val="Heading2"/>
        <w:spacing w:beforeLines="100" w:afterLines="100" w:after="240" w:line="340" w:lineRule="atLeast"/>
        <w:jc w:val="both"/>
        <w:rPr>
          <w:b/>
          <w:bCs w:val="0"/>
          <w:sz w:val="21"/>
          <w:szCs w:val="21"/>
        </w:rPr>
      </w:pPr>
      <w:r w:rsidRPr="003A07B5">
        <w:rPr>
          <w:rFonts w:hint="eastAsia"/>
          <w:b/>
          <w:bCs w:val="0"/>
          <w:sz w:val="21"/>
          <w:szCs w:val="21"/>
        </w:rPr>
        <w:t>产权组织机构</w:t>
      </w:r>
    </w:p>
    <w:p w14:paraId="79E9D8ED" w14:textId="77777777" w:rsidR="00E733EF" w:rsidRPr="003A07B5" w:rsidRDefault="00191652" w:rsidP="003A07B5">
      <w:pPr>
        <w:pStyle w:val="ListParagraph"/>
        <w:numPr>
          <w:ilvl w:val="0"/>
          <w:numId w:val="4"/>
        </w:numPr>
        <w:spacing w:afterLines="50" w:after="120" w:line="340" w:lineRule="atLeast"/>
        <w:ind w:left="0" w:firstLine="0"/>
        <w:contextualSpacing w:val="0"/>
        <w:jc w:val="both"/>
        <w:rPr>
          <w:rFonts w:asciiTheme="minorEastAsia" w:eastAsiaTheme="minorEastAsia" w:hAnsiTheme="minorEastAsia"/>
          <w:b/>
          <w:sz w:val="21"/>
          <w:szCs w:val="21"/>
        </w:rPr>
      </w:pPr>
      <w:r w:rsidRPr="003A07B5">
        <w:rPr>
          <w:rFonts w:asciiTheme="minorEastAsia" w:eastAsiaTheme="minorEastAsia" w:hAnsiTheme="minorEastAsia" w:hint="eastAsia"/>
          <w:sz w:val="21"/>
          <w:szCs w:val="21"/>
        </w:rPr>
        <w:t>该部门继续支持包括知识产权与遗传资源、传统知识和民间文学艺术政府间委员会（IGC）和执法咨询委员会（ACE）在内的若干些产权组织机构的工作。</w:t>
      </w:r>
    </w:p>
    <w:p w14:paraId="1B33FFD3" w14:textId="75A4016F" w:rsidR="00E733EF" w:rsidRPr="005E79C4" w:rsidRDefault="00191652" w:rsidP="003A07B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3A07B5">
        <w:rPr>
          <w:rFonts w:asciiTheme="minorEastAsia" w:eastAsiaTheme="minorEastAsia" w:hAnsiTheme="minorEastAsia" w:hint="eastAsia"/>
          <w:sz w:val="21"/>
          <w:szCs w:val="21"/>
        </w:rPr>
        <w:t>在本报告所述期间，政府间委员会召开了四次会议，即2022年2月28日至3月4日举行的第四十二届会议、2022年5月30日至6月3日举行的第四十三届会议、2022年9月12日至16日举行的第四十四届会议和2022年12月5日至9日举行的第四十五届会议。根据其任务规定，</w:t>
      </w:r>
      <w:r w:rsidRPr="003A07B5">
        <w:rPr>
          <w:rStyle w:val="FootnoteReference"/>
          <w:rFonts w:asciiTheme="minorEastAsia" w:eastAsiaTheme="minorEastAsia" w:hAnsiTheme="minorEastAsia"/>
          <w:sz w:val="21"/>
          <w:szCs w:val="21"/>
        </w:rPr>
        <w:footnoteReference w:id="125"/>
      </w:r>
      <w:r w:rsidRPr="003A07B5">
        <w:rPr>
          <w:rFonts w:asciiTheme="minorEastAsia" w:eastAsiaTheme="minorEastAsia" w:hAnsiTheme="minorEastAsia" w:hint="eastAsia"/>
          <w:sz w:val="21"/>
          <w:szCs w:val="21"/>
        </w:rPr>
        <w:t>组织了一个遗传资源（</w:t>
      </w:r>
      <w:r w:rsidR="003A07B5">
        <w:rPr>
          <w:rFonts w:asciiTheme="minorEastAsia" w:eastAsiaTheme="minorEastAsia" w:hAnsiTheme="minorEastAsia" w:hint="eastAsia"/>
          <w:sz w:val="21"/>
          <w:szCs w:val="21"/>
        </w:rPr>
        <w:t>GR</w:t>
      </w:r>
      <w:r w:rsidRPr="003A07B5">
        <w:rPr>
          <w:rFonts w:asciiTheme="minorEastAsia" w:eastAsiaTheme="minorEastAsia" w:hAnsiTheme="minorEastAsia" w:hint="eastAsia"/>
          <w:sz w:val="21"/>
          <w:szCs w:val="21"/>
        </w:rPr>
        <w:t>）特设专家组和一个传统知识（TK）和传统文化表现形式（</w:t>
      </w:r>
      <w:r w:rsidR="003A07B5">
        <w:rPr>
          <w:rFonts w:asciiTheme="minorEastAsia" w:eastAsiaTheme="minorEastAsia" w:hAnsiTheme="minorEastAsia" w:hint="eastAsia"/>
          <w:sz w:val="21"/>
          <w:szCs w:val="21"/>
        </w:rPr>
        <w:t>TCE</w:t>
      </w:r>
      <w:r w:rsidRPr="003A07B5">
        <w:rPr>
          <w:rFonts w:asciiTheme="minorEastAsia" w:eastAsiaTheme="minorEastAsia" w:hAnsiTheme="minorEastAsia" w:hint="eastAsia"/>
          <w:sz w:val="21"/>
          <w:szCs w:val="21"/>
        </w:rPr>
        <w:t>）特设专家组，以解决具体的法律、政策或技术问题。此外，中国国家知识产权局和产权组织还共同为政府间委员会与会者举办了一次</w:t>
      </w:r>
      <w:r w:rsidRPr="003A07B5">
        <w:rPr>
          <w:rFonts w:ascii="KaiTi" w:eastAsia="KaiTi" w:hAnsi="KaiTi" w:hint="eastAsia"/>
          <w:sz w:val="21"/>
          <w:szCs w:val="21"/>
        </w:rPr>
        <w:t>“关于知识产权、传统知识和遗传资源的国际研讨会”</w:t>
      </w:r>
      <w:r w:rsidRPr="003A07B5">
        <w:rPr>
          <w:rStyle w:val="FootnoteReference"/>
          <w:rFonts w:asciiTheme="minorEastAsia" w:eastAsiaTheme="minorEastAsia" w:hAnsiTheme="minorEastAsia"/>
          <w:iCs/>
          <w:sz w:val="21"/>
          <w:szCs w:val="21"/>
        </w:rPr>
        <w:footnoteReference w:id="126"/>
      </w:r>
      <w:r w:rsidRPr="003A07B5">
        <w:rPr>
          <w:rFonts w:asciiTheme="minorEastAsia" w:eastAsiaTheme="minorEastAsia" w:hAnsiTheme="minorEastAsia" w:hint="eastAsia"/>
          <w:sz w:val="21"/>
          <w:szCs w:val="21"/>
        </w:rPr>
        <w:t>，分享区域、国家和当地在传统知识和遗传资源知识产权保护方面的做法、经验和实质性问题。应当强调的是，2022年7月，产权组织成员国</w:t>
      </w:r>
      <w:r w:rsidRPr="003A07B5">
        <w:rPr>
          <w:rFonts w:asciiTheme="minorEastAsia" w:eastAsiaTheme="minorEastAsia" w:hAnsiTheme="minorEastAsia" w:hint="eastAsia"/>
          <w:sz w:val="21"/>
          <w:szCs w:val="21"/>
        </w:rPr>
        <w:lastRenderedPageBreak/>
        <w:t>决定最迟在2024年召开一次外交会议，缔结一项</w:t>
      </w:r>
      <w:r w:rsidRPr="003A07B5">
        <w:rPr>
          <w:rFonts w:ascii="KaiTi" w:eastAsia="KaiTi" w:hAnsi="KaiTi" w:hint="eastAsia"/>
          <w:sz w:val="21"/>
          <w:szCs w:val="21"/>
        </w:rPr>
        <w:t>关于知识产权、遗传资源和遗传资源相关传统知识的国际法律文书</w:t>
      </w:r>
      <w:r w:rsidRPr="003A07B5">
        <w:rPr>
          <w:rFonts w:asciiTheme="minorEastAsia" w:eastAsiaTheme="minorEastAsia" w:hAnsiTheme="minorEastAsia" w:hint="eastAsia"/>
          <w:sz w:val="21"/>
          <w:szCs w:val="21"/>
        </w:rPr>
        <w:t>。完成政府间委员会谈判是发展议程建议18的主题。</w:t>
      </w:r>
    </w:p>
    <w:p w14:paraId="0253DE6B" w14:textId="77777777" w:rsidR="00E733EF" w:rsidRPr="003A07B5" w:rsidRDefault="00191652" w:rsidP="003A07B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3A07B5">
        <w:rPr>
          <w:rFonts w:asciiTheme="minorEastAsia" w:eastAsiaTheme="minorEastAsia" w:hAnsiTheme="minorEastAsia" w:hint="eastAsia"/>
          <w:sz w:val="21"/>
          <w:szCs w:val="21"/>
        </w:rPr>
        <w:t>执法咨询委员会第十五届会议于2022年8月31日至9月2日举行。根据发展议程建议45，委员会继续在更广泛的社会利益，特别是发展导向的关切背景下处理执法问题。这反映在执法咨询委员会第十五届会议的工作计划中，具体来说：(i)提高认识，特别是与青年有关的认识；(ii)有关知识产权执法政策和体制的制度性安排；(iii)产权组织的立法援助；以及(iv)产权组织的能力建设活动和对培训活动的支持。本届会议有31位专家发言，并组织了3场有主持人的小组讨论。除此之外，ACE影院还放映了50部政府和私营部门各种活动中的反盗版和反假冒宣传视频。</w:t>
      </w:r>
    </w:p>
    <w:p w14:paraId="66886F4F" w14:textId="77777777" w:rsidR="00E733EF" w:rsidRDefault="00191652" w:rsidP="0021382E">
      <w:pPr>
        <w:pStyle w:val="Heading2"/>
        <w:spacing w:beforeLines="100" w:after="240"/>
        <w:jc w:val="both"/>
        <w:rPr>
          <w:b/>
          <w:bCs w:val="0"/>
        </w:rPr>
      </w:pPr>
      <w:r>
        <w:rPr>
          <w:rFonts w:hint="eastAsia"/>
          <w:b/>
          <w:bCs w:val="0"/>
        </w:rPr>
        <w:t>已被纳入主流的发展议程项目</w:t>
      </w:r>
    </w:p>
    <w:p w14:paraId="1B230BA3" w14:textId="77777777" w:rsidR="00E733EF" w:rsidRPr="00905F05" w:rsidRDefault="00191652" w:rsidP="00905F0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05F05">
        <w:rPr>
          <w:rFonts w:asciiTheme="minorEastAsia" w:eastAsiaTheme="minorEastAsia" w:hAnsiTheme="minorEastAsia" w:hint="eastAsia"/>
          <w:sz w:val="21"/>
          <w:szCs w:val="21"/>
        </w:rPr>
        <w:t>知识产权与竞争政策：</w:t>
      </w:r>
      <w:r w:rsidRPr="00905F05">
        <w:rPr>
          <w:rStyle w:val="FootnoteReference"/>
          <w:rFonts w:asciiTheme="minorEastAsia" w:eastAsiaTheme="minorEastAsia" w:hAnsiTheme="minorEastAsia"/>
          <w:sz w:val="21"/>
          <w:szCs w:val="21"/>
        </w:rPr>
        <w:footnoteReference w:id="127"/>
      </w:r>
      <w:r w:rsidRPr="00905F05">
        <w:rPr>
          <w:rFonts w:asciiTheme="minorEastAsia" w:eastAsiaTheme="minorEastAsia" w:hAnsiTheme="minorEastAsia" w:hint="eastAsia"/>
          <w:sz w:val="21"/>
          <w:szCs w:val="21"/>
        </w:rPr>
        <w:t>根据发展议程建议7、23、32，工作重心仍然是监测发展中国家和新兴经济体的知识产权和竞争判例法。产权组织加强了其在国际竞争网络中的参与，特别是单边行为工作组，促进了与知识产权相关的竞争问题的讨论，并将知识产权利于竞争的观点带入了竞争机构团体。在本报告所述期间，与经济合作与发展组织（经合组织）一起开始筹备工作，以制定关于将竞争法适用于知识产权相关案件的新准则。产权组织还编写了一份关于</w:t>
      </w:r>
      <w:r w:rsidRPr="00905F05">
        <w:rPr>
          <w:rFonts w:ascii="KaiTi" w:eastAsia="KaiTi" w:hAnsi="KaiTi" w:hint="eastAsia"/>
          <w:sz w:val="21"/>
          <w:szCs w:val="21"/>
        </w:rPr>
        <w:t>“知识产权、数字平台和竞争”</w:t>
      </w:r>
      <w:r w:rsidRPr="00905F05">
        <w:rPr>
          <w:rFonts w:asciiTheme="minorEastAsia" w:eastAsiaTheme="minorEastAsia" w:hAnsiTheme="minorEastAsia" w:hint="eastAsia"/>
          <w:sz w:val="21"/>
          <w:szCs w:val="21"/>
        </w:rPr>
        <w:t>的简短报告，并开始就知识产权、竞争和可持续性开展工作。</w:t>
      </w:r>
      <w:r w:rsidRPr="00905F05">
        <w:rPr>
          <w:rStyle w:val="FootnoteReference"/>
          <w:rFonts w:asciiTheme="minorEastAsia" w:eastAsiaTheme="minorEastAsia" w:hAnsiTheme="minorEastAsia"/>
          <w:sz w:val="21"/>
          <w:szCs w:val="21"/>
        </w:rPr>
        <w:footnoteReference w:id="128"/>
      </w:r>
      <w:r w:rsidRPr="00905F05">
        <w:rPr>
          <w:rFonts w:asciiTheme="minorEastAsia" w:eastAsiaTheme="minorEastAsia" w:hAnsiTheme="minorEastAsia" w:hint="eastAsia"/>
          <w:sz w:val="21"/>
          <w:szCs w:val="21"/>
        </w:rPr>
        <w:t>此外，不公平竞争项目的第一阶段已经完成。该项目旨在开发一个可以支持国家机构更好地处理知识产权相关行为的工具包。</w:t>
      </w:r>
      <w:r w:rsidRPr="00905F05">
        <w:rPr>
          <w:rStyle w:val="FootnoteReference"/>
          <w:rFonts w:asciiTheme="minorEastAsia" w:eastAsiaTheme="minorEastAsia" w:hAnsiTheme="minorEastAsia"/>
          <w:sz w:val="21"/>
          <w:szCs w:val="21"/>
        </w:rPr>
        <w:footnoteReference w:id="129"/>
      </w:r>
    </w:p>
    <w:p w14:paraId="44F5C276" w14:textId="77777777" w:rsidR="00E733EF" w:rsidRPr="00905F05" w:rsidRDefault="00191652" w:rsidP="00905F05">
      <w:pPr>
        <w:pStyle w:val="Heading1"/>
        <w:numPr>
          <w:ilvl w:val="0"/>
          <w:numId w:val="14"/>
        </w:numPr>
        <w:spacing w:beforeLines="100" w:afterLines="100" w:after="240" w:line="340" w:lineRule="atLeast"/>
        <w:ind w:left="397" w:hanging="284"/>
        <w:jc w:val="both"/>
        <w:rPr>
          <w:rFonts w:ascii="SimHei" w:eastAsia="SimHei" w:hAnsi="SimHei"/>
          <w:b w:val="0"/>
          <w:sz w:val="21"/>
          <w:szCs w:val="21"/>
        </w:rPr>
      </w:pPr>
      <w:r w:rsidRPr="00905F05">
        <w:rPr>
          <w:rFonts w:ascii="SimHei" w:eastAsia="SimHei" w:hAnsi="SimHei" w:hint="eastAsia"/>
          <w:b w:val="0"/>
          <w:sz w:val="21"/>
          <w:szCs w:val="21"/>
        </w:rPr>
        <w:t>知识产权和创新生态系统部门</w:t>
      </w:r>
    </w:p>
    <w:p w14:paraId="233213F1" w14:textId="77777777" w:rsidR="00E733EF" w:rsidRPr="00905F05" w:rsidRDefault="00191652" w:rsidP="00905F05">
      <w:pPr>
        <w:pStyle w:val="ListParagraph"/>
        <w:numPr>
          <w:ilvl w:val="0"/>
          <w:numId w:val="4"/>
        </w:numPr>
        <w:overflowPunct w:val="0"/>
        <w:spacing w:afterLines="50" w:after="120" w:line="340" w:lineRule="atLeast"/>
        <w:ind w:left="0" w:firstLine="0"/>
        <w:contextualSpacing w:val="0"/>
        <w:jc w:val="both"/>
        <w:rPr>
          <w:sz w:val="21"/>
          <w:szCs w:val="21"/>
        </w:rPr>
      </w:pPr>
      <w:r w:rsidRPr="00905F05">
        <w:rPr>
          <w:rFonts w:hint="eastAsia"/>
          <w:sz w:val="21"/>
          <w:szCs w:val="21"/>
        </w:rPr>
        <w:t>知识产权和创新生态系统部门继续向成员国提供支持，建设有利于经济增长的生态系统。该部门采取了一种雄心勃勃的工作方法，除了关注知识产权监管和注册事务之外，还重点关注知识产权管理和商业化问题。这是通过本部门的独特结构实现的，该部门</w:t>
      </w:r>
      <w:r w:rsidRPr="00905F05">
        <w:rPr>
          <w:rFonts w:hint="eastAsia"/>
          <w:color w:val="000000"/>
          <w:sz w:val="21"/>
          <w:szCs w:val="21"/>
          <w:shd w:val="clear" w:color="auto" w:fill="FFFFFF"/>
        </w:rPr>
        <w:t>将经济学和数据分析、知识产权促进企业和创新者发展，以及产权组织司法研究所和产权组织仲裁与调解中心结合在一起。在本报告所述期间，本部门利用产权组织各部门之间的协同作用，与创新生态系统中的主要合作伙伴和中介机构合作，以提供工具、资源和平台，为研究人员、创新者和企业（包括中小企业）提供支持。其他重点领域包括有关知识产权、创新和创造的经济分析和数据，为知识产权纠纷处理提供服务，为知识产权法官提供资源和教育，以及支持成员国制定国家知识产权战略和相关政策。</w:t>
      </w:r>
    </w:p>
    <w:p w14:paraId="5333CDAE" w14:textId="77777777" w:rsidR="00E733EF" w:rsidRPr="00905F05" w:rsidRDefault="00191652" w:rsidP="00905F05">
      <w:pPr>
        <w:pStyle w:val="Heading2"/>
        <w:spacing w:beforeLines="100" w:afterLines="100" w:after="240" w:line="340" w:lineRule="atLeast"/>
        <w:jc w:val="both"/>
        <w:rPr>
          <w:b/>
          <w:bCs w:val="0"/>
          <w:sz w:val="21"/>
          <w:szCs w:val="21"/>
        </w:rPr>
      </w:pPr>
      <w:r w:rsidRPr="00905F05">
        <w:rPr>
          <w:rFonts w:hint="eastAsia"/>
          <w:b/>
          <w:bCs w:val="0"/>
          <w:sz w:val="21"/>
          <w:szCs w:val="21"/>
        </w:rPr>
        <w:t>知识产权促进企业和创新者发展</w:t>
      </w:r>
    </w:p>
    <w:p w14:paraId="056670D8" w14:textId="77777777" w:rsidR="00E733EF" w:rsidRPr="00905F05" w:rsidRDefault="00191652" w:rsidP="00905F0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05F05">
        <w:rPr>
          <w:rFonts w:asciiTheme="minorEastAsia" w:eastAsiaTheme="minorEastAsia" w:hAnsiTheme="minorEastAsia" w:hint="eastAsia"/>
          <w:sz w:val="21"/>
          <w:szCs w:val="21"/>
        </w:rPr>
        <w:t>根据发展议程建议4，该部门继续关注中小企业的需求。在这方面，产权组织知识产权诊断工具</w:t>
      </w:r>
      <w:r w:rsidRPr="00905F05">
        <w:rPr>
          <w:rStyle w:val="FootnoteReference"/>
          <w:rFonts w:asciiTheme="minorEastAsia" w:eastAsiaTheme="minorEastAsia" w:hAnsiTheme="minorEastAsia"/>
          <w:sz w:val="21"/>
          <w:szCs w:val="21"/>
        </w:rPr>
        <w:footnoteReference w:id="130"/>
      </w:r>
      <w:r w:rsidRPr="00905F05">
        <w:rPr>
          <w:rFonts w:asciiTheme="minorEastAsia" w:eastAsiaTheme="minorEastAsia" w:hAnsiTheme="minorEastAsia" w:hint="eastAsia"/>
          <w:sz w:val="21"/>
          <w:szCs w:val="21"/>
        </w:rPr>
        <w:t>继续支持企业对其知识产权资产进行自我评估。为促进其使用和提高知名度，2022年组织了40多场与知识产权诊断有关的活动，参加者超过1,500人。最终，有8,000多名用户访问了产权组织知识产权诊断的网页，该工具产生了2,000多份报告，有13个国家每年访问超过100次。为了让更广泛的受众可以使用它，产权组织知识产权诊断工具被翻译成了保加利亚语。此外，还根据有关成员国的国家</w:t>
      </w:r>
      <w:r w:rsidRPr="00905F05">
        <w:rPr>
          <w:rFonts w:asciiTheme="minorEastAsia" w:eastAsiaTheme="minorEastAsia" w:hAnsiTheme="minorEastAsia" w:hint="eastAsia"/>
          <w:sz w:val="21"/>
          <w:szCs w:val="21"/>
        </w:rPr>
        <w:lastRenderedPageBreak/>
        <w:t>法律、法规和程序情况，改编了五份企业知识产权指南。</w:t>
      </w:r>
      <w:r w:rsidRPr="00905F05">
        <w:rPr>
          <w:rStyle w:val="FootnoteReference"/>
          <w:rFonts w:asciiTheme="minorEastAsia" w:eastAsiaTheme="minorEastAsia" w:hAnsiTheme="minorEastAsia"/>
          <w:sz w:val="21"/>
          <w:szCs w:val="21"/>
        </w:rPr>
        <w:footnoteReference w:id="131"/>
      </w:r>
      <w:r w:rsidRPr="00905F05">
        <w:rPr>
          <w:rFonts w:asciiTheme="minorEastAsia" w:eastAsiaTheme="minorEastAsia" w:hAnsiTheme="minorEastAsia" w:hint="eastAsia"/>
          <w:sz w:val="21"/>
          <w:szCs w:val="21"/>
        </w:rPr>
        <w:t>同样值得注意的是，为从事可持续时装领域工作的中小型企业组织并完成了知识产权管理诊所的年度计划。此外，还采取措施来扩大合作伙伴的范围，以支持中小企业的需求。具体而言，与坦桑尼亚、南非和新加坡的中小企业支助机构签署了谅解备忘录，目的是共同实施关于中小企业知识产权的项目和计划。</w:t>
      </w:r>
    </w:p>
    <w:p w14:paraId="048B7F0E" w14:textId="77777777" w:rsidR="00E733EF" w:rsidRPr="00905F05" w:rsidRDefault="00191652" w:rsidP="00905F0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05F05">
        <w:rPr>
          <w:rFonts w:asciiTheme="minorEastAsia" w:eastAsiaTheme="minorEastAsia" w:hAnsiTheme="minorEastAsia" w:hint="eastAsia"/>
          <w:sz w:val="21"/>
          <w:szCs w:val="21"/>
        </w:rPr>
        <w:t>根据发展议程建议11，发明人援助计划（IAP）继续对资源不足的发明人和小企业进行赋能，将他们的想法转化为资产。2022年，发明人援助计划在7个成员国</w:t>
      </w:r>
      <w:r w:rsidRPr="00905F05">
        <w:rPr>
          <w:rStyle w:val="FootnoteReference"/>
          <w:rFonts w:asciiTheme="minorEastAsia" w:eastAsiaTheme="minorEastAsia" w:hAnsiTheme="minorEastAsia"/>
          <w:sz w:val="21"/>
          <w:szCs w:val="21"/>
        </w:rPr>
        <w:footnoteReference w:id="132"/>
      </w:r>
      <w:r w:rsidRPr="00905F05">
        <w:rPr>
          <w:rFonts w:asciiTheme="minorEastAsia" w:eastAsiaTheme="minorEastAsia" w:hAnsiTheme="minorEastAsia" w:hint="eastAsia"/>
          <w:sz w:val="21"/>
          <w:szCs w:val="21"/>
        </w:rPr>
        <w:t>开展，又有28名受益人在其本国和选定管辖区域的专利采购程序过程中，免费获得了经验丰富的专利专业人员的支持。自创立以来，发明人援助计划已为167名发明者提供支持，包括41项授权专利。还继续开展了一些有针对性的线上活动，重点关注提高发明人在该计划联络点所确定的领域内的技能，使450多名潜在受益人获得援助。</w:t>
      </w:r>
    </w:p>
    <w:p w14:paraId="73759D91" w14:textId="77777777" w:rsidR="00E733EF" w:rsidRPr="00905F05" w:rsidRDefault="00191652" w:rsidP="00905F0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05F05">
        <w:rPr>
          <w:rFonts w:asciiTheme="minorEastAsia" w:eastAsiaTheme="minorEastAsia" w:hAnsiTheme="minorEastAsia" w:hint="eastAsia"/>
          <w:sz w:val="21"/>
          <w:szCs w:val="21"/>
        </w:rPr>
        <w:t>在专利援助领域，专利撰写计划继续重点关注培养从业人员的实用专利撰写技能。自2016年以来，已有1</w:t>
      </w:r>
      <w:proofErr w:type="gramStart"/>
      <w:r w:rsidRPr="00905F05">
        <w:rPr>
          <w:rFonts w:asciiTheme="minorEastAsia" w:eastAsiaTheme="minorEastAsia" w:hAnsiTheme="minorEastAsia" w:hint="eastAsia"/>
          <w:sz w:val="21"/>
          <w:szCs w:val="21"/>
        </w:rPr>
        <w:t>,150多名参与者通过该计划接受培训</w:t>
      </w:r>
      <w:proofErr w:type="gramEnd"/>
      <w:r w:rsidRPr="00905F05">
        <w:rPr>
          <w:rFonts w:asciiTheme="minorEastAsia" w:eastAsiaTheme="minorEastAsia" w:hAnsiTheme="minorEastAsia" w:hint="eastAsia"/>
          <w:sz w:val="21"/>
          <w:szCs w:val="21"/>
        </w:rPr>
        <w:t>。此外，与国际知识产权律师联合会（FICPI）合作，于2022年启动了专利撰写国际培训计划的首期课程。该培训计划旨在培养新专利起草人的技能，同时建立一个支持性社区，帮助这些专业人士在八个月内成长。来自26个国家的40名学员参加了首期课程。此外，还在智利举办了一次全国研讨会。2022年还启动了企业家在线网络（EON），</w:t>
      </w:r>
      <w:r w:rsidRPr="00905F05">
        <w:rPr>
          <w:rStyle w:val="FootnoteReference"/>
          <w:rFonts w:asciiTheme="minorEastAsia" w:eastAsiaTheme="minorEastAsia" w:hAnsiTheme="minorEastAsia"/>
          <w:sz w:val="21"/>
          <w:szCs w:val="21"/>
        </w:rPr>
        <w:footnoteReference w:id="133"/>
      </w:r>
      <w:r w:rsidRPr="00905F05">
        <w:rPr>
          <w:rFonts w:asciiTheme="minorEastAsia" w:eastAsiaTheme="minorEastAsia" w:hAnsiTheme="minorEastAsia" w:hint="eastAsia"/>
          <w:sz w:val="21"/>
          <w:szCs w:val="21"/>
        </w:rPr>
        <w:t>其目的是提供针对中小企业的知识产权内容，使企业能够了解知识产权如何帮助他们实现商业目标。为了使影响最大化，企业家在线网络项目面向特定行业和企业集群。2022年在这一倡议下组织的一系列网络研讨会侧重于农业食品部门，有来自75个国家的420多名企业家和中小企业参加。</w:t>
      </w:r>
      <w:r w:rsidRPr="00905F05">
        <w:rPr>
          <w:rStyle w:val="FootnoteReference"/>
          <w:rFonts w:asciiTheme="minorEastAsia" w:eastAsiaTheme="minorEastAsia" w:hAnsiTheme="minorEastAsia"/>
          <w:sz w:val="21"/>
          <w:szCs w:val="21"/>
        </w:rPr>
        <w:footnoteReference w:id="134"/>
      </w:r>
      <w:r w:rsidRPr="00905F05">
        <w:rPr>
          <w:rFonts w:asciiTheme="minorEastAsia" w:eastAsiaTheme="minorEastAsia" w:hAnsiTheme="minorEastAsia" w:hint="eastAsia"/>
          <w:sz w:val="21"/>
          <w:szCs w:val="21"/>
        </w:rPr>
        <w:t>还值得注意的是，在本报告所述期间，产权组织继续与太平洋联盟开展合作，以开发一个关于知识产权基本内容的定制工具包。该工具包将以商业为重点，收集来自太平洋联盟、其成员国和产权组织的最佳材料。为了满足用户的具体需求，将对该工具包进行量身定制，以反映当地法律和确定中小微企业可能获得额外援助的资源。</w:t>
      </w:r>
      <w:r w:rsidRPr="00905F05">
        <w:rPr>
          <w:rStyle w:val="FootnoteReference"/>
          <w:rFonts w:asciiTheme="minorEastAsia" w:eastAsiaTheme="minorEastAsia" w:hAnsiTheme="minorEastAsia"/>
          <w:sz w:val="21"/>
          <w:szCs w:val="21"/>
        </w:rPr>
        <w:footnoteReference w:id="135"/>
      </w:r>
    </w:p>
    <w:p w14:paraId="0F8706C9" w14:textId="77777777" w:rsidR="00E733EF" w:rsidRPr="00905F05" w:rsidRDefault="00191652" w:rsidP="00905F0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05F05">
        <w:rPr>
          <w:rFonts w:asciiTheme="minorEastAsia" w:eastAsiaTheme="minorEastAsia" w:hAnsiTheme="minorEastAsia" w:hint="eastAsia"/>
          <w:sz w:val="21"/>
          <w:szCs w:val="21"/>
        </w:rPr>
        <w:t>继续建立技术与创新支持中心（TISC），目的是协助成员国发展当地创新支持和技术转让服务。TISC计划为获取专利文件和科技出版物中的技术信息提供支持，并就知识产权管理和商业化问题提供援助和咨询。截至2022年底，已建立了90个TISC国家网络，其中32个在最不发达国家，并有1</w:t>
      </w:r>
      <w:proofErr w:type="gramStart"/>
      <w:r w:rsidRPr="00905F05">
        <w:rPr>
          <w:rFonts w:asciiTheme="minorEastAsia" w:eastAsiaTheme="minorEastAsia" w:hAnsiTheme="minorEastAsia" w:hint="eastAsia"/>
          <w:sz w:val="21"/>
          <w:szCs w:val="21"/>
        </w:rPr>
        <w:t>,416个TISC被列入TISC目录</w:t>
      </w:r>
      <w:proofErr w:type="gramEnd"/>
      <w:r w:rsidRPr="00905F05">
        <w:rPr>
          <w:rFonts w:asciiTheme="minorEastAsia" w:eastAsiaTheme="minorEastAsia" w:hAnsiTheme="minorEastAsia" w:hint="eastAsia"/>
          <w:sz w:val="21"/>
          <w:szCs w:val="21"/>
        </w:rPr>
        <w:t>。</w:t>
      </w:r>
      <w:r w:rsidRPr="00905F05">
        <w:rPr>
          <w:rStyle w:val="FootnoteReference"/>
          <w:rFonts w:asciiTheme="minorEastAsia" w:eastAsiaTheme="minorEastAsia" w:hAnsiTheme="minorEastAsia"/>
          <w:sz w:val="21"/>
          <w:szCs w:val="21"/>
        </w:rPr>
        <w:footnoteReference w:id="136"/>
      </w:r>
      <w:r w:rsidRPr="00905F05">
        <w:rPr>
          <w:rFonts w:asciiTheme="minorEastAsia" w:eastAsiaTheme="minorEastAsia" w:hAnsiTheme="minorEastAsia" w:hint="eastAsia"/>
          <w:sz w:val="21"/>
          <w:szCs w:val="21"/>
        </w:rPr>
        <w:t>此外，还为非洲区域知识产权组织（ARIPO）、东南亚国家联盟（东盟）的成员国以及中美洲各国和多米尼加共和国（CATI-CARD）分别建立了三个TISC网络。在本报告所述期间，继续进行能力建设，通过22个国家TISC讲习班在线培训和3个区域会议加强TISC的影响和可持续性。还组织了关于知识产权管理、知识产权许可、知识产权估值和技术转让的</w:t>
      </w:r>
      <w:r w:rsidRPr="00905F05">
        <w:rPr>
          <w:rFonts w:ascii="KaiTi" w:eastAsia="KaiTi" w:hAnsi="KaiTi" w:hint="eastAsia"/>
          <w:sz w:val="21"/>
          <w:szCs w:val="21"/>
        </w:rPr>
        <w:t>“询问专家”</w:t>
      </w:r>
      <w:r w:rsidRPr="00905F05">
        <w:rPr>
          <w:rFonts w:asciiTheme="minorEastAsia" w:eastAsiaTheme="minorEastAsia" w:hAnsiTheme="minorEastAsia" w:hint="eastAsia"/>
          <w:sz w:val="21"/>
          <w:szCs w:val="21"/>
        </w:rPr>
        <w:t>系列专题课程，以便加大TISC服务在这些工作领域的扩展力度。</w:t>
      </w:r>
    </w:p>
    <w:p w14:paraId="3003D188" w14:textId="77777777" w:rsidR="00E733EF" w:rsidRPr="00905F05" w:rsidRDefault="00191652" w:rsidP="00905F05">
      <w:pPr>
        <w:pStyle w:val="Heading2"/>
        <w:spacing w:beforeLines="100" w:afterLines="100" w:after="240" w:line="340" w:lineRule="atLeast"/>
        <w:jc w:val="both"/>
        <w:rPr>
          <w:b/>
          <w:bCs w:val="0"/>
          <w:sz w:val="21"/>
          <w:szCs w:val="21"/>
        </w:rPr>
      </w:pPr>
      <w:r w:rsidRPr="00905F05">
        <w:rPr>
          <w:rFonts w:hint="eastAsia"/>
          <w:b/>
          <w:bCs w:val="0"/>
          <w:sz w:val="21"/>
          <w:szCs w:val="21"/>
        </w:rPr>
        <w:t>经济学和数据分析</w:t>
      </w:r>
    </w:p>
    <w:p w14:paraId="1D8A2C98" w14:textId="0CEDD9CC" w:rsidR="00E733EF" w:rsidRPr="00905F05" w:rsidRDefault="00191652" w:rsidP="00905F0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05F05">
        <w:rPr>
          <w:rFonts w:asciiTheme="minorEastAsia" w:eastAsiaTheme="minorEastAsia" w:hAnsiTheme="minorEastAsia" w:hint="eastAsia"/>
          <w:sz w:val="21"/>
          <w:szCs w:val="21"/>
        </w:rPr>
        <w:t>该部门继续编写了关于知识产权性别差距和创新热点问题的发展相关研究报告，并提供了高质量的知识产权数据，以帮助决策者做出知情决策。在2022年取得的与知识产权性别差距工作相关的具体成就包括：(i)根据《世界性别人名词典2.0》，按照发明人和创作者姓名，开发一个性别归属工</w:t>
      </w:r>
      <w:r w:rsidRPr="00905F05">
        <w:rPr>
          <w:rFonts w:asciiTheme="minorEastAsia" w:eastAsiaTheme="minorEastAsia" w:hAnsiTheme="minorEastAsia" w:hint="eastAsia"/>
          <w:sz w:val="21"/>
          <w:szCs w:val="21"/>
        </w:rPr>
        <w:lastRenderedPageBreak/>
        <w:t>具；(ii)出版创新和知识产权数据性别分析的指南；(iii)与“共同发明”组织合作举办了分别侧重于欧洲和亚洲地区的第二和第三期知识产权性别差距问题系列在线研讨会；(iv)创建了关于</w:t>
      </w:r>
      <w:r w:rsidRPr="00905F05">
        <w:rPr>
          <w:rFonts w:ascii="KaiTi" w:eastAsia="KaiTi" w:hAnsi="KaiTi" w:hint="eastAsia"/>
          <w:sz w:val="21"/>
          <w:szCs w:val="21"/>
        </w:rPr>
        <w:t>“创新性别差距”</w:t>
      </w:r>
      <w:r w:rsidRPr="00905F05">
        <w:rPr>
          <w:rFonts w:asciiTheme="minorEastAsia" w:eastAsiaTheme="minorEastAsia" w:hAnsiTheme="minorEastAsia" w:hint="eastAsia"/>
          <w:sz w:val="21"/>
          <w:szCs w:val="21"/>
        </w:rPr>
        <w:t>的网页内容，</w:t>
      </w:r>
      <w:r w:rsidRPr="00905F05">
        <w:rPr>
          <w:rStyle w:val="FootnoteReference"/>
          <w:rFonts w:asciiTheme="minorEastAsia" w:eastAsiaTheme="minorEastAsia" w:hAnsiTheme="minorEastAsia"/>
          <w:sz w:val="21"/>
          <w:szCs w:val="21"/>
        </w:rPr>
        <w:footnoteReference w:id="137"/>
      </w:r>
      <w:r w:rsidRPr="00905F05">
        <w:rPr>
          <w:rFonts w:asciiTheme="minorEastAsia" w:eastAsiaTheme="minorEastAsia" w:hAnsiTheme="minorEastAsia" w:hint="eastAsia"/>
          <w:sz w:val="21"/>
          <w:szCs w:val="21"/>
        </w:rPr>
        <w:t>目的是要宣传在世界各地开展的研究工作；以及(v)招募一名研究员，进一步研究创新和知识产权性别差距问题。同时，出版了关于圣保罗（巴西）、深圳（中国）和新加坡（新加坡）等创新热点地区的三份研究报告。目前正在努力制定研究方法，以促成一系列侧重于发展中国家次国家创新单位（即热点和集群）的研究。此外，还继续提供了与全球创新指数有关的由需求推动和以发展为导向的技术咨询。</w:t>
      </w:r>
    </w:p>
    <w:p w14:paraId="44F9A6FF" w14:textId="77777777" w:rsidR="00E733EF" w:rsidRPr="00905F05" w:rsidRDefault="00191652" w:rsidP="00905F05">
      <w:pPr>
        <w:pStyle w:val="Heading2"/>
        <w:spacing w:beforeLines="100" w:afterLines="100" w:after="240" w:line="340" w:lineRule="atLeast"/>
        <w:jc w:val="both"/>
        <w:rPr>
          <w:b/>
          <w:bCs w:val="0"/>
          <w:sz w:val="21"/>
          <w:szCs w:val="21"/>
        </w:rPr>
      </w:pPr>
      <w:r w:rsidRPr="00905F05">
        <w:rPr>
          <w:rFonts w:hint="eastAsia"/>
          <w:b/>
          <w:bCs w:val="0"/>
          <w:sz w:val="21"/>
          <w:szCs w:val="21"/>
        </w:rPr>
        <w:t>产权组织司法研究所</w:t>
      </w:r>
    </w:p>
    <w:p w14:paraId="38886898" w14:textId="77777777" w:rsidR="00E733EF" w:rsidRPr="00905F05" w:rsidRDefault="00191652" w:rsidP="00905F05">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05F05">
        <w:rPr>
          <w:rFonts w:asciiTheme="minorEastAsia" w:eastAsiaTheme="minorEastAsia" w:hAnsiTheme="minorEastAsia" w:hint="eastAsia"/>
          <w:sz w:val="21"/>
          <w:szCs w:val="21"/>
        </w:rPr>
        <w:t>产权组织司法研究所继续领导产权组织的工作，为发展中国家和最不发达国家的司法机构提供支持，使其在有效裁决知识产权纠纷方面发挥重要作用。为此，以混合形式举办了2022年产权组织知识产权法官论坛</w:t>
      </w:r>
      <w:r w:rsidRPr="00905F05">
        <w:rPr>
          <w:rStyle w:val="FootnoteReference"/>
          <w:rFonts w:asciiTheme="minorEastAsia" w:eastAsiaTheme="minorEastAsia" w:hAnsiTheme="minorEastAsia"/>
          <w:sz w:val="21"/>
          <w:szCs w:val="21"/>
        </w:rPr>
        <w:footnoteReference w:id="138"/>
      </w:r>
      <w:r w:rsidRPr="00905F05">
        <w:rPr>
          <w:rFonts w:asciiTheme="minorEastAsia" w:eastAsiaTheme="minorEastAsia" w:hAnsiTheme="minorEastAsia" w:hint="eastAsia"/>
          <w:sz w:val="21"/>
          <w:szCs w:val="21"/>
        </w:rPr>
        <w:t>，来自99个国家和三个地区法院的381名法官参加了论坛。此外，还组织了两期法官网络研讨会系列，就专利和商业秘密中的人工智能发明权进行了法学交流。值得注意的是，参加论坛和网络研讨会的法官中，有三分之二以上来自发展中国家和最不发达国家。还继续与司法机关和其他有关当局密切合作，根据发展议程建议，为增加法官的知识产权知识和提高相关技能，提供有针对性的能力建设支持。根据收到的请求，产权组织为四个成员国的司法教育计划提供了支持。</w:t>
      </w:r>
      <w:r w:rsidRPr="00905F05">
        <w:rPr>
          <w:rStyle w:val="FootnoteReference"/>
          <w:rFonts w:asciiTheme="minorEastAsia" w:eastAsiaTheme="minorEastAsia" w:hAnsiTheme="minorEastAsia"/>
          <w:sz w:val="21"/>
          <w:szCs w:val="21"/>
        </w:rPr>
        <w:footnoteReference w:id="139"/>
      </w:r>
      <w:r w:rsidRPr="00905F05">
        <w:rPr>
          <w:rFonts w:asciiTheme="minorEastAsia" w:eastAsiaTheme="minorEastAsia" w:hAnsiTheme="minorEastAsia" w:hint="eastAsia"/>
          <w:sz w:val="21"/>
          <w:szCs w:val="21"/>
        </w:rPr>
        <w:t>此外，还在非洲、波罗的海地区、拉丁美洲和葡语国家提供了区域和次区域司法培训。在本报告所述期间，采取了一些措施来</w:t>
      </w:r>
      <w:r w:rsidRPr="00905F05">
        <w:rPr>
          <w:rStyle w:val="null"/>
          <w:rFonts w:asciiTheme="minorEastAsia" w:eastAsiaTheme="minorEastAsia" w:hAnsiTheme="minorEastAsia" w:hint="eastAsia"/>
          <w:sz w:val="21"/>
          <w:szCs w:val="21"/>
        </w:rPr>
        <w:t>加强WIPO Lex。</w:t>
      </w:r>
      <w:r w:rsidRPr="00905F05">
        <w:rPr>
          <w:rStyle w:val="FootnoteReference"/>
          <w:rFonts w:asciiTheme="minorEastAsia" w:eastAsiaTheme="minorEastAsia" w:hAnsiTheme="minorEastAsia"/>
          <w:sz w:val="21"/>
          <w:szCs w:val="21"/>
        </w:rPr>
        <w:footnoteReference w:id="140"/>
      </w:r>
      <w:r w:rsidRPr="00905F05">
        <w:rPr>
          <w:rFonts w:asciiTheme="minorEastAsia" w:eastAsiaTheme="minorEastAsia" w:hAnsiTheme="minorEastAsia" w:hint="eastAsia"/>
          <w:color w:val="212121"/>
          <w:sz w:val="21"/>
          <w:szCs w:val="21"/>
        </w:rPr>
        <w:t>WIPO Lex的法律、条约和判决集继续提供网上最全面、最权威和最可靠的知识产权法律信息来源。2022年，WIPO Lex增加了72个国家的348部新法律。截至2022年底，该数据库包含17,000多部法律，涵盖200个司法管辖区的国家知识产权和知识产权相关立法，以及772部知识产权条约，包括26部产权组织管理的条约。</w:t>
      </w:r>
      <w:r w:rsidRPr="00905F05">
        <w:rPr>
          <w:rFonts w:asciiTheme="minorEastAsia" w:eastAsiaTheme="minorEastAsia" w:hAnsiTheme="minorEastAsia" w:hint="eastAsia"/>
          <w:sz w:val="21"/>
          <w:szCs w:val="21"/>
        </w:rPr>
        <w:t>WIPO Lex</w:t>
      </w:r>
      <w:r w:rsidRPr="00905F05">
        <w:rPr>
          <w:rStyle w:val="null"/>
          <w:rFonts w:asciiTheme="minorEastAsia" w:eastAsiaTheme="minorEastAsia" w:hAnsiTheme="minorEastAsia" w:hint="eastAsia"/>
          <w:sz w:val="21"/>
          <w:szCs w:val="21"/>
        </w:rPr>
        <w:t>判决集扩大到包括另外四个成员国的主要知识产权判决，</w:t>
      </w:r>
      <w:r w:rsidRPr="00905F05">
        <w:rPr>
          <w:rStyle w:val="FootnoteReference"/>
          <w:rFonts w:asciiTheme="minorEastAsia" w:eastAsiaTheme="minorEastAsia" w:hAnsiTheme="minorEastAsia"/>
          <w:sz w:val="21"/>
          <w:szCs w:val="21"/>
        </w:rPr>
        <w:footnoteReference w:id="141"/>
      </w:r>
      <w:r w:rsidRPr="00905F05">
        <w:rPr>
          <w:rStyle w:val="null"/>
          <w:rFonts w:asciiTheme="minorEastAsia" w:eastAsiaTheme="minorEastAsia" w:hAnsiTheme="minorEastAsia" w:hint="eastAsia"/>
          <w:sz w:val="21"/>
          <w:szCs w:val="21"/>
        </w:rPr>
        <w:t>使其覆盖范围增加到28个管辖区域。</w:t>
      </w:r>
    </w:p>
    <w:p w14:paraId="37D92C31" w14:textId="77777777" w:rsidR="00E733EF" w:rsidRPr="007C66F9" w:rsidRDefault="00191652" w:rsidP="007C66F9">
      <w:pPr>
        <w:pStyle w:val="Heading2"/>
        <w:spacing w:beforeLines="100" w:afterLines="100" w:after="240" w:line="340" w:lineRule="atLeast"/>
        <w:jc w:val="both"/>
        <w:rPr>
          <w:b/>
          <w:bCs w:val="0"/>
          <w:sz w:val="21"/>
          <w:szCs w:val="21"/>
        </w:rPr>
      </w:pPr>
      <w:r w:rsidRPr="007C66F9">
        <w:rPr>
          <w:rFonts w:hint="eastAsia"/>
          <w:b/>
          <w:bCs w:val="0"/>
          <w:sz w:val="21"/>
          <w:szCs w:val="21"/>
        </w:rPr>
        <w:t>已被纳入主流的发展议程项目</w:t>
      </w:r>
    </w:p>
    <w:p w14:paraId="218120E7" w14:textId="77777777" w:rsidR="00E733EF" w:rsidRPr="007C66F9" w:rsidRDefault="00191652" w:rsidP="007C66F9">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7C66F9">
        <w:rPr>
          <w:rFonts w:asciiTheme="minorEastAsia" w:eastAsiaTheme="minorEastAsia" w:hAnsiTheme="minorEastAsia" w:hint="eastAsia"/>
          <w:sz w:val="21"/>
          <w:szCs w:val="21"/>
        </w:rPr>
        <w:t>以下是在2022年期间开展的与已被纳入主流的发展议程项目相关的主要工作：</w:t>
      </w:r>
    </w:p>
    <w:p w14:paraId="71D8143C" w14:textId="77777777" w:rsidR="00E733EF" w:rsidRPr="007C66F9" w:rsidRDefault="00191652" w:rsidP="007C66F9">
      <w:pPr>
        <w:pStyle w:val="ListParagraph"/>
        <w:numPr>
          <w:ilvl w:val="0"/>
          <w:numId w:val="11"/>
        </w:numPr>
        <w:overflowPunct w:val="0"/>
        <w:spacing w:afterLines="50" w:after="120" w:line="340" w:lineRule="atLeast"/>
        <w:ind w:hanging="540"/>
        <w:contextualSpacing w:val="0"/>
        <w:jc w:val="both"/>
        <w:rPr>
          <w:rFonts w:asciiTheme="minorEastAsia" w:eastAsiaTheme="minorEastAsia" w:hAnsiTheme="minorEastAsia"/>
          <w:bCs/>
          <w:i/>
          <w:sz w:val="21"/>
          <w:szCs w:val="21"/>
        </w:rPr>
      </w:pPr>
      <w:r w:rsidRPr="00855D5E">
        <w:rPr>
          <w:rFonts w:ascii="KaiTi" w:eastAsia="KaiTi" w:hAnsi="KaiTi" w:hint="eastAsia"/>
          <w:bCs/>
          <w:iCs/>
          <w:sz w:val="21"/>
          <w:szCs w:val="21"/>
        </w:rPr>
        <w:t>专业数据库接入和支持：</w:t>
      </w:r>
      <w:r w:rsidRPr="007C66F9">
        <w:rPr>
          <w:rFonts w:asciiTheme="minorEastAsia" w:eastAsiaTheme="minorEastAsia" w:hAnsiTheme="minorEastAsia" w:hint="eastAsia"/>
          <w:sz w:val="21"/>
          <w:szCs w:val="21"/>
        </w:rPr>
        <w:t>关于知识产权权利、专利信息、专利检索策略和技术以及技术数</w:t>
      </w:r>
      <w:r w:rsidRPr="007C66F9">
        <w:rPr>
          <w:rFonts w:asciiTheme="minorEastAsia" w:eastAsiaTheme="minorEastAsia" w:hAnsiTheme="minorEastAsia" w:hint="eastAsia"/>
          <w:spacing w:val="-20"/>
          <w:sz w:val="21"/>
          <w:szCs w:val="21"/>
        </w:rPr>
        <w:t>据库的培训和宣传活动已被纳入向TIS及其利益攸关方提供的正常活动的主流。通过三次</w:t>
      </w:r>
      <w:r w:rsidRPr="007C66F9">
        <w:rPr>
          <w:rFonts w:asciiTheme="minorEastAsia" w:eastAsiaTheme="minorEastAsia" w:hAnsiTheme="minorEastAsia"/>
          <w:sz w:val="21"/>
          <w:szCs w:val="21"/>
          <w:vertAlign w:val="superscript"/>
        </w:rPr>
        <w:footnoteReference w:id="142"/>
      </w:r>
      <w:r w:rsidRPr="007C66F9">
        <w:rPr>
          <w:rFonts w:asciiTheme="minorEastAsia" w:eastAsiaTheme="minorEastAsia" w:hAnsiTheme="minorEastAsia" w:hint="eastAsia"/>
          <w:sz w:val="21"/>
          <w:szCs w:val="21"/>
        </w:rPr>
        <w:t>地区会议以及eTISC知识共享平台，促进了TISC之间的经验和最佳做法交流，截至2022年底，eTISC知识共享平台的注册成员已近1,000个。此外，WIPO INSPIRE平台</w:t>
      </w:r>
      <w:r w:rsidRPr="007C66F9">
        <w:rPr>
          <w:rStyle w:val="FootnoteReference"/>
          <w:rFonts w:asciiTheme="minorEastAsia" w:eastAsiaTheme="minorEastAsia" w:hAnsiTheme="minorEastAsia"/>
          <w:sz w:val="21"/>
          <w:szCs w:val="21"/>
        </w:rPr>
        <w:footnoteReference w:id="143"/>
      </w:r>
      <w:r w:rsidRPr="007C66F9">
        <w:rPr>
          <w:rFonts w:asciiTheme="minorEastAsia" w:eastAsiaTheme="minorEastAsia" w:hAnsiTheme="minorEastAsia" w:hint="eastAsia"/>
          <w:sz w:val="21"/>
          <w:szCs w:val="21"/>
        </w:rPr>
        <w:t>内的专利数据库报告门户网站</w:t>
      </w:r>
      <w:r w:rsidRPr="007C66F9">
        <w:rPr>
          <w:rStyle w:val="FootnoteReference"/>
          <w:rFonts w:asciiTheme="minorEastAsia" w:eastAsiaTheme="minorEastAsia" w:hAnsiTheme="minorEastAsia"/>
          <w:sz w:val="21"/>
          <w:szCs w:val="21"/>
        </w:rPr>
        <w:footnoteReference w:id="144"/>
      </w:r>
      <w:r w:rsidRPr="007C66F9">
        <w:rPr>
          <w:rFonts w:asciiTheme="minorEastAsia" w:eastAsiaTheme="minorEastAsia" w:hAnsiTheme="minorEastAsia" w:hint="eastAsia"/>
          <w:sz w:val="21"/>
          <w:szCs w:val="21"/>
        </w:rPr>
        <w:t>继续提供关于各种专利数据库的内容和特点的详细报告。截至2022年，该门户网站上的此类报告数量达到41份。这有助于进一步促进落实发展议程建议19、30和31。根据发展议程建议5、8、19、30和31，还采取措施以促进获取与TISC有关的信息。具体而言，截至2022年底，</w:t>
      </w:r>
      <w:r w:rsidRPr="007C66F9">
        <w:rPr>
          <w:rFonts w:asciiTheme="minorEastAsia" w:eastAsiaTheme="minorEastAsia" w:hAnsiTheme="minorEastAsia" w:hint="eastAsia"/>
          <w:sz w:val="21"/>
          <w:szCs w:val="21"/>
        </w:rPr>
        <w:lastRenderedPageBreak/>
        <w:t>TISC名录包括1,416个TISC提供的联系信息和服务信息。TISC网页</w:t>
      </w:r>
      <w:r w:rsidRPr="007C66F9">
        <w:rPr>
          <w:rStyle w:val="FootnoteReference"/>
          <w:rFonts w:asciiTheme="minorEastAsia" w:eastAsiaTheme="minorEastAsia" w:hAnsiTheme="minorEastAsia"/>
          <w:sz w:val="21"/>
          <w:szCs w:val="21"/>
        </w:rPr>
        <w:footnoteReference w:id="145"/>
      </w:r>
      <w:r w:rsidRPr="007C66F9">
        <w:rPr>
          <w:rFonts w:asciiTheme="minorEastAsia" w:eastAsiaTheme="minorEastAsia" w:hAnsiTheme="minorEastAsia" w:hint="eastAsia"/>
          <w:sz w:val="21"/>
          <w:szCs w:val="21"/>
        </w:rPr>
        <w:t>进一步提供了关于各种资源的信息，以支持知识的增加和技能的培养，而eTISC</w:t>
      </w:r>
      <w:r w:rsidRPr="007C66F9">
        <w:rPr>
          <w:rStyle w:val="FootnoteReference"/>
          <w:rFonts w:asciiTheme="minorEastAsia" w:eastAsiaTheme="minorEastAsia" w:hAnsiTheme="minorEastAsia"/>
          <w:sz w:val="21"/>
          <w:szCs w:val="21"/>
        </w:rPr>
        <w:footnoteReference w:id="146"/>
      </w:r>
      <w:r w:rsidRPr="007C66F9">
        <w:rPr>
          <w:rFonts w:asciiTheme="minorEastAsia" w:eastAsiaTheme="minorEastAsia" w:hAnsiTheme="minorEastAsia" w:hint="eastAsia"/>
          <w:sz w:val="21"/>
          <w:szCs w:val="21"/>
        </w:rPr>
        <w:t>作为一个社会和知识平台，分享TISC工作人员和专家在讨论组或专门议题聊天中的信息。2022年</w:t>
      </w:r>
      <w:r w:rsidRPr="007C66F9">
        <w:rPr>
          <w:rStyle w:val="FootnoteReference"/>
          <w:rFonts w:asciiTheme="minorEastAsia" w:eastAsiaTheme="minorEastAsia" w:hAnsiTheme="minorEastAsia"/>
          <w:sz w:val="21"/>
          <w:szCs w:val="21"/>
        </w:rPr>
        <w:footnoteReference w:id="147"/>
      </w:r>
      <w:r w:rsidRPr="007C66F9">
        <w:rPr>
          <w:rFonts w:asciiTheme="minorEastAsia" w:eastAsiaTheme="minorEastAsia" w:hAnsiTheme="minorEastAsia" w:hint="eastAsia"/>
          <w:sz w:val="21"/>
          <w:szCs w:val="21"/>
        </w:rPr>
        <w:t>开发了一个新的TISC项目和绩效管理（TPPM）平台</w:t>
      </w:r>
      <w:r w:rsidRPr="007C66F9">
        <w:rPr>
          <w:rStyle w:val="FootnoteReference"/>
          <w:rFonts w:asciiTheme="minorEastAsia" w:eastAsiaTheme="minorEastAsia" w:hAnsiTheme="minorEastAsia"/>
          <w:sz w:val="21"/>
          <w:szCs w:val="21"/>
        </w:rPr>
        <w:footnoteReference w:id="148"/>
      </w:r>
      <w:r w:rsidRPr="007C66F9">
        <w:rPr>
          <w:rFonts w:asciiTheme="minorEastAsia" w:eastAsiaTheme="minorEastAsia" w:hAnsiTheme="minorEastAsia" w:hint="eastAsia"/>
          <w:sz w:val="21"/>
          <w:szCs w:val="21"/>
        </w:rPr>
        <w:t>可以监测TISC国家项目绩效报告和数据。此外，产权组织的</w:t>
      </w:r>
      <w:r w:rsidRPr="00855D5E">
        <w:rPr>
          <w:rFonts w:ascii="KaiTi" w:eastAsia="KaiTi" w:hAnsi="KaiTi" w:hint="eastAsia"/>
          <w:sz w:val="21"/>
          <w:szCs w:val="21"/>
        </w:rPr>
        <w:t>“获得研究成果，促进发展创新”（ARDI）</w:t>
      </w:r>
      <w:r w:rsidRPr="007C66F9">
        <w:rPr>
          <w:rFonts w:asciiTheme="minorEastAsia" w:eastAsiaTheme="minorEastAsia" w:hAnsiTheme="minorEastAsia" w:hint="eastAsia"/>
          <w:sz w:val="21"/>
          <w:szCs w:val="21"/>
        </w:rPr>
        <w:t>和</w:t>
      </w:r>
      <w:r w:rsidRPr="00855D5E">
        <w:rPr>
          <w:rFonts w:ascii="KaiTi" w:eastAsia="KaiTi" w:hAnsi="KaiTi" w:hint="eastAsia"/>
          <w:sz w:val="21"/>
          <w:szCs w:val="21"/>
        </w:rPr>
        <w:t>“专业专利信息获取”（ASPI）</w:t>
      </w:r>
      <w:r w:rsidRPr="007C66F9">
        <w:rPr>
          <w:rFonts w:asciiTheme="minorEastAsia" w:eastAsiaTheme="minorEastAsia" w:hAnsiTheme="minorEastAsia" w:hint="eastAsia"/>
          <w:sz w:val="21"/>
          <w:szCs w:val="21"/>
        </w:rPr>
        <w:t>计划继续为落实发展议程建议8做出贡献。ARDI在2022年提供免费或低价使用60,000多个经过同行评议的学术和专业内容，其中包括经过同行评议的期刊、书籍和其他资源。该计划也是Research4Life（R4L）计划的合作伙伴，与世界卫生组织（世卫组织）、粮食及农业组织（粮农组织）、国际劳工组织（劳工组织）和联合国环境规划署（环境署）所管理的各项计划类似，提供各自专业领域的内容。该计划向11,000多个注册机构提供五个相关的联合国机构计划中的198,000多个资源，这些机构可以使用所有R4L计划。ASPI计划提供免费或低成本使用九个领先专利数据库提供者提供的商业专利数据库服务，这些数据库提供者为检索和分析专利文件中包含的技术信息提供了先进而复杂的工具。有69个机构在2022年积极使用了ASPI。</w:t>
      </w:r>
    </w:p>
    <w:p w14:paraId="20C2454B" w14:textId="08694999" w:rsidR="00E733EF" w:rsidRPr="007C66F9" w:rsidRDefault="00191652" w:rsidP="007C66F9">
      <w:pPr>
        <w:pStyle w:val="ListParagraph"/>
        <w:numPr>
          <w:ilvl w:val="0"/>
          <w:numId w:val="11"/>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855D5E">
        <w:rPr>
          <w:rFonts w:ascii="KaiTi" w:eastAsia="KaiTi" w:hAnsi="KaiTi" w:hint="eastAsia"/>
          <w:sz w:val="21"/>
          <w:szCs w:val="21"/>
        </w:rPr>
        <w:t>开发专利信息查询工具：</w:t>
      </w:r>
      <w:r w:rsidRPr="007C66F9">
        <w:rPr>
          <w:rFonts w:asciiTheme="minorEastAsia" w:eastAsiaTheme="minorEastAsia" w:hAnsiTheme="minorEastAsia" w:hint="eastAsia"/>
          <w:sz w:val="21"/>
          <w:szCs w:val="21"/>
        </w:rPr>
        <w:t>根据发展议程建议19、30和31，在该项目下启动了关于开展专利分析和撰写专利态势报告的工作。在此背景下，委托编写了15份关于技术的专利态势报告，特别是卫生、气候变化和环境领域技术的专利态势报告。关于COVID-19相关疫苗和治疗方法</w:t>
      </w:r>
      <w:r w:rsidRPr="007C66F9">
        <w:rPr>
          <w:rStyle w:val="FootnoteReference"/>
          <w:rFonts w:asciiTheme="minorEastAsia" w:eastAsiaTheme="minorEastAsia" w:hAnsiTheme="minorEastAsia"/>
          <w:sz w:val="21"/>
          <w:szCs w:val="21"/>
        </w:rPr>
        <w:footnoteReference w:id="149"/>
      </w:r>
      <w:r w:rsidRPr="007C66F9">
        <w:rPr>
          <w:rFonts w:asciiTheme="minorEastAsia" w:eastAsiaTheme="minorEastAsia" w:hAnsiTheme="minorEastAsia" w:hint="eastAsia"/>
          <w:sz w:val="21"/>
          <w:szCs w:val="21"/>
        </w:rPr>
        <w:t>以及运输中的氢燃料电池的专利态势报告于2022年发布。此外，一份汇编列出了其他组织提供的另外265份关于各种技术的专利态势报告。</w:t>
      </w:r>
      <w:r w:rsidRPr="007C66F9">
        <w:rPr>
          <w:rFonts w:asciiTheme="minorEastAsia" w:eastAsiaTheme="minorEastAsia" w:hAnsiTheme="minorEastAsia" w:hint="eastAsia"/>
          <w:sz w:val="21"/>
          <w:szCs w:val="21"/>
          <w:shd w:val="clear" w:color="auto" w:fill="FAFAFA"/>
        </w:rPr>
        <w:t>撰写</w:t>
      </w:r>
      <w:r w:rsidRPr="007C66F9">
        <w:rPr>
          <w:rFonts w:asciiTheme="minorEastAsia" w:eastAsiaTheme="minorEastAsia" w:hAnsiTheme="minorEastAsia" w:hint="eastAsia"/>
          <w:sz w:val="21"/>
          <w:szCs w:val="21"/>
        </w:rPr>
        <w:t>此类报告的方法指南也已在产权组织出版物</w:t>
      </w:r>
      <w:r w:rsidR="00855D5E">
        <w:rPr>
          <w:rFonts w:ascii="KaiTi" w:eastAsia="KaiTi" w:hAnsi="KaiTi" w:hint="eastAsia"/>
          <w:sz w:val="21"/>
          <w:szCs w:val="21"/>
        </w:rPr>
        <w:t>《专利态势报告编写指南》《产权组织专利分析开源工具手册》</w:t>
      </w:r>
      <w:r w:rsidRPr="00855D5E">
        <w:rPr>
          <w:rFonts w:ascii="KaiTi" w:eastAsia="KaiTi" w:hAnsi="KaiTi" w:hint="eastAsia"/>
          <w:sz w:val="21"/>
          <w:szCs w:val="21"/>
        </w:rPr>
        <w:t>《专利分析手册》</w:t>
      </w:r>
      <w:r w:rsidRPr="007C66F9">
        <w:rPr>
          <w:rFonts w:asciiTheme="minorEastAsia" w:eastAsiaTheme="minorEastAsia" w:hAnsiTheme="minorEastAsia" w:hint="eastAsia"/>
          <w:sz w:val="21"/>
          <w:szCs w:val="21"/>
        </w:rPr>
        <w:t>中正式确定，后两者将于2022年更新。在这方面，关于使用专利信息的电子教程已作为WIPO学院远程学习课程（DL-177）提供。</w:t>
      </w:r>
      <w:r w:rsidRPr="007C66F9">
        <w:rPr>
          <w:rStyle w:val="FootnoteReference"/>
          <w:rFonts w:asciiTheme="minorEastAsia" w:eastAsiaTheme="minorEastAsia" w:hAnsiTheme="minorEastAsia"/>
          <w:sz w:val="21"/>
          <w:szCs w:val="21"/>
        </w:rPr>
        <w:footnoteReference w:id="150"/>
      </w:r>
      <w:r w:rsidRPr="007C66F9">
        <w:rPr>
          <w:rFonts w:asciiTheme="minorEastAsia" w:eastAsiaTheme="minorEastAsia" w:hAnsiTheme="minorEastAsia" w:hint="eastAsia"/>
          <w:sz w:val="21"/>
          <w:szCs w:val="21"/>
        </w:rPr>
        <w:t>另外，旨在提供200多</w:t>
      </w:r>
      <w:r w:rsidRPr="007C66F9">
        <w:rPr>
          <w:rFonts w:asciiTheme="minorEastAsia" w:eastAsiaTheme="minorEastAsia" w:hAnsiTheme="minorEastAsia" w:hint="eastAsia"/>
          <w:spacing w:val="-20"/>
          <w:sz w:val="21"/>
          <w:szCs w:val="21"/>
        </w:rPr>
        <w:t>个管辖区域和专利信息库的在线专利注册、公报和法律地位相关信息的专利注册门户网站</w:t>
      </w:r>
      <w:r w:rsidRPr="007C66F9">
        <w:rPr>
          <w:rStyle w:val="FootnoteReference"/>
          <w:rFonts w:asciiTheme="minorEastAsia" w:eastAsiaTheme="minorEastAsia" w:hAnsiTheme="minorEastAsia"/>
          <w:sz w:val="21"/>
          <w:szCs w:val="21"/>
        </w:rPr>
        <w:footnoteReference w:id="151"/>
      </w:r>
      <w:r w:rsidRPr="007C66F9">
        <w:rPr>
          <w:rFonts w:asciiTheme="minorEastAsia" w:eastAsiaTheme="minorEastAsia" w:hAnsiTheme="minorEastAsia" w:hint="eastAsia"/>
          <w:sz w:val="21"/>
          <w:szCs w:val="21"/>
        </w:rPr>
        <w:t>的独立访客数量达到7,242个，其管辖区域内的pdf文档下载量达到约118,000次。</w:t>
      </w:r>
    </w:p>
    <w:p w14:paraId="12946974" w14:textId="77777777" w:rsidR="00E733EF" w:rsidRPr="007C66F9" w:rsidRDefault="00191652" w:rsidP="007C66F9">
      <w:pPr>
        <w:pStyle w:val="ListParagraph"/>
        <w:numPr>
          <w:ilvl w:val="0"/>
          <w:numId w:val="11"/>
        </w:numPr>
        <w:overflowPunct w:val="0"/>
        <w:spacing w:afterLines="50" w:after="120" w:line="340" w:lineRule="atLeast"/>
        <w:ind w:hanging="540"/>
        <w:contextualSpacing w:val="0"/>
        <w:jc w:val="both"/>
        <w:rPr>
          <w:rFonts w:asciiTheme="minorEastAsia" w:eastAsiaTheme="minorEastAsia" w:hAnsiTheme="minorEastAsia"/>
          <w:sz w:val="21"/>
          <w:szCs w:val="21"/>
        </w:rPr>
      </w:pPr>
      <w:r w:rsidRPr="00855D5E">
        <w:rPr>
          <w:rFonts w:ascii="KaiTi" w:eastAsia="KaiTi" w:hAnsi="KaiTi" w:hint="eastAsia"/>
          <w:sz w:val="21"/>
          <w:szCs w:val="21"/>
        </w:rPr>
        <w:t>运用公有领域信息促进经济发展：</w:t>
      </w:r>
      <w:r w:rsidRPr="007C66F9">
        <w:rPr>
          <w:rFonts w:asciiTheme="minorEastAsia" w:eastAsiaTheme="minorEastAsia" w:hAnsiTheme="minorEastAsia" w:hint="eastAsia"/>
          <w:sz w:val="21"/>
          <w:szCs w:val="21"/>
        </w:rPr>
        <w:t>关于识别</w:t>
      </w:r>
      <w:r w:rsidRPr="007C66F9">
        <w:rPr>
          <w:rStyle w:val="FootnoteReference"/>
          <w:rFonts w:asciiTheme="minorEastAsia" w:eastAsiaTheme="minorEastAsia" w:hAnsiTheme="minorEastAsia"/>
          <w:sz w:val="21"/>
          <w:szCs w:val="21"/>
        </w:rPr>
        <w:footnoteReference w:id="152"/>
      </w:r>
      <w:r w:rsidRPr="007C66F9">
        <w:rPr>
          <w:rFonts w:asciiTheme="minorEastAsia" w:eastAsiaTheme="minorEastAsia" w:hAnsiTheme="minorEastAsia" w:hint="eastAsia"/>
          <w:sz w:val="21"/>
          <w:szCs w:val="21"/>
        </w:rPr>
        <w:t>和使用</w:t>
      </w:r>
      <w:r w:rsidRPr="007C66F9">
        <w:rPr>
          <w:rStyle w:val="FootnoteReference"/>
          <w:rFonts w:asciiTheme="minorEastAsia" w:eastAsiaTheme="minorEastAsia" w:hAnsiTheme="minorEastAsia"/>
          <w:sz w:val="21"/>
          <w:szCs w:val="21"/>
        </w:rPr>
        <w:footnoteReference w:id="153"/>
      </w:r>
      <w:r w:rsidRPr="007C66F9">
        <w:rPr>
          <w:rFonts w:asciiTheme="minorEastAsia" w:eastAsiaTheme="minorEastAsia" w:hAnsiTheme="minorEastAsia" w:hint="eastAsia"/>
          <w:sz w:val="21"/>
          <w:szCs w:val="21"/>
        </w:rPr>
        <w:t>公有领域发明的实用指南得到了一个使用公有领域发明的工具包的补充。它们为利用公有领域的发明来开发新产品和新服务提供了一套分析和决策工具。通过补充工具包和关于工具包内的工具的模块化混合电子学习方法进一步完善这些指南，是正在进行的关于</w:t>
      </w:r>
      <w:r w:rsidRPr="00855D5E">
        <w:rPr>
          <w:rFonts w:ascii="KaiTi" w:eastAsia="KaiTi" w:hAnsi="KaiTi" w:hint="eastAsia"/>
          <w:sz w:val="21"/>
          <w:szCs w:val="21"/>
        </w:rPr>
        <w:t>“识别和运用公有领域的发明”</w:t>
      </w:r>
      <w:r w:rsidRPr="007C66F9">
        <w:rPr>
          <w:rFonts w:asciiTheme="minorEastAsia" w:eastAsiaTheme="minorEastAsia" w:hAnsiTheme="minorEastAsia" w:hint="eastAsia"/>
          <w:sz w:val="21"/>
          <w:szCs w:val="21"/>
        </w:rPr>
        <w:t>的发展议程项目的一部分。</w:t>
      </w:r>
    </w:p>
    <w:p w14:paraId="169231F6" w14:textId="7A568FE7" w:rsidR="00E733EF" w:rsidRPr="007C66F9" w:rsidRDefault="00191652" w:rsidP="007C66F9">
      <w:pPr>
        <w:numPr>
          <w:ilvl w:val="0"/>
          <w:numId w:val="11"/>
        </w:numPr>
        <w:overflowPunct w:val="0"/>
        <w:spacing w:afterLines="50" w:after="120" w:line="340" w:lineRule="atLeast"/>
        <w:ind w:hanging="578"/>
        <w:jc w:val="both"/>
        <w:rPr>
          <w:rFonts w:asciiTheme="minorEastAsia" w:eastAsiaTheme="minorEastAsia" w:hAnsiTheme="minorEastAsia"/>
          <w:i/>
          <w:sz w:val="21"/>
          <w:szCs w:val="21"/>
        </w:rPr>
      </w:pPr>
      <w:r w:rsidRPr="00855D5E">
        <w:rPr>
          <w:rFonts w:ascii="KaiTi" w:eastAsia="KaiTi" w:hAnsi="KaiTi" w:hint="eastAsia"/>
          <w:sz w:val="21"/>
          <w:szCs w:val="21"/>
        </w:rPr>
        <w:t>知识产权管理与技术转让：</w:t>
      </w:r>
      <w:r w:rsidRPr="00855D5E">
        <w:rPr>
          <w:rFonts w:ascii="KaiTi" w:eastAsia="KaiTi" w:hAnsi="KaiTi" w:hint="eastAsia"/>
          <w:iCs/>
          <w:sz w:val="21"/>
          <w:szCs w:val="21"/>
        </w:rPr>
        <w:t>促进发展中国家、最不发达国家和经济转型国家有效利用知识产权</w:t>
      </w:r>
      <w:r w:rsidRPr="00855D5E">
        <w:rPr>
          <w:rFonts w:ascii="KaiTi" w:eastAsia="KaiTi" w:hAnsi="KaiTi" w:hint="eastAsia"/>
          <w:sz w:val="21"/>
          <w:szCs w:val="21"/>
        </w:rPr>
        <w:t>：</w:t>
      </w:r>
      <w:r w:rsidRPr="007C66F9">
        <w:rPr>
          <w:rFonts w:asciiTheme="minorEastAsia" w:eastAsiaTheme="minorEastAsia" w:hAnsiTheme="minorEastAsia" w:hint="eastAsia"/>
          <w:sz w:val="21"/>
          <w:szCs w:val="21"/>
        </w:rPr>
        <w:t>2022年开发了评估技术转让相关领域培训需求的手册和工具包。</w:t>
      </w:r>
      <w:r w:rsidRPr="007C66F9">
        <w:rPr>
          <w:rStyle w:val="FootnoteReference"/>
          <w:rFonts w:asciiTheme="minorEastAsia" w:eastAsiaTheme="minorEastAsia" w:hAnsiTheme="minorEastAsia"/>
          <w:sz w:val="21"/>
          <w:szCs w:val="21"/>
        </w:rPr>
        <w:footnoteReference w:id="154"/>
      </w:r>
      <w:r w:rsidRPr="007C66F9">
        <w:rPr>
          <w:rFonts w:asciiTheme="minorEastAsia" w:eastAsiaTheme="minorEastAsia" w:hAnsiTheme="minorEastAsia" w:hint="eastAsia"/>
          <w:sz w:val="21"/>
          <w:szCs w:val="21"/>
        </w:rPr>
        <w:t>该手册和工具包有助于绘制创新价值链，包括知识产权的资助者、开发者、管理者和使用者以及TISC等相关支持机构及他们之间的关系，以便确定技能和能力方面的差距，并在国家层面为个人和机构设计有效的培训计划。</w:t>
      </w:r>
    </w:p>
    <w:p w14:paraId="0EF108B8" w14:textId="48F0D740" w:rsidR="00E733EF" w:rsidRPr="007C66F9" w:rsidRDefault="00191652" w:rsidP="007C66F9">
      <w:pPr>
        <w:numPr>
          <w:ilvl w:val="0"/>
          <w:numId w:val="11"/>
        </w:numPr>
        <w:overflowPunct w:val="0"/>
        <w:spacing w:afterLines="50" w:after="120" w:line="340" w:lineRule="atLeast"/>
        <w:ind w:hanging="578"/>
        <w:jc w:val="both"/>
        <w:rPr>
          <w:rFonts w:asciiTheme="minorEastAsia" w:eastAsiaTheme="minorEastAsia" w:hAnsiTheme="minorEastAsia"/>
          <w:i/>
          <w:sz w:val="21"/>
          <w:szCs w:val="21"/>
        </w:rPr>
      </w:pPr>
      <w:r w:rsidRPr="00855D5E">
        <w:rPr>
          <w:rFonts w:ascii="KaiTi" w:eastAsia="KaiTi" w:hAnsi="KaiTi" w:hint="eastAsia"/>
          <w:iCs/>
          <w:sz w:val="21"/>
          <w:szCs w:val="21"/>
        </w:rPr>
        <w:lastRenderedPageBreak/>
        <w:t>“知识产权与技术转让：共同挑战——共同解决”：</w:t>
      </w:r>
      <w:r w:rsidRPr="007C66F9">
        <w:rPr>
          <w:rFonts w:asciiTheme="minorEastAsia" w:eastAsiaTheme="minorEastAsia" w:hAnsiTheme="minorEastAsia" w:hint="eastAsia"/>
          <w:sz w:val="21"/>
          <w:szCs w:val="21"/>
        </w:rPr>
        <w:t>该项目的主流化工作包括阿拉伯地区的国家知识产权政策项目</w:t>
      </w:r>
      <w:r w:rsidRPr="007C66F9">
        <w:rPr>
          <w:rStyle w:val="FootnoteReference"/>
          <w:rFonts w:asciiTheme="minorEastAsia" w:eastAsiaTheme="minorEastAsia" w:hAnsiTheme="minorEastAsia"/>
          <w:sz w:val="21"/>
          <w:szCs w:val="21"/>
        </w:rPr>
        <w:footnoteReference w:id="155"/>
      </w:r>
      <w:r w:rsidRPr="007C66F9">
        <w:rPr>
          <w:rFonts w:asciiTheme="minorEastAsia" w:eastAsiaTheme="minorEastAsia" w:hAnsiTheme="minorEastAsia" w:hint="eastAsia"/>
          <w:sz w:val="21"/>
          <w:szCs w:val="21"/>
        </w:rPr>
        <w:t>——使得在埃及和约旦通过了33项机构知识产权政策，以及约旦学术机构的国家机构知识产权政策模型——为落实发展议程建议26做出了贡献。产权组织知识产权政策数据库进一步扩大，新增61项机构知识产权政策。增加了新类型的“附带文件”，如</w:t>
      </w:r>
      <w:r w:rsidRPr="00855D5E">
        <w:rPr>
          <w:rFonts w:ascii="KaiTi" w:eastAsia="KaiTi" w:hAnsi="KaiTi" w:hint="eastAsia"/>
          <w:sz w:val="21"/>
          <w:szCs w:val="21"/>
        </w:rPr>
        <w:t>“利益冲突政策”“咨询政策”“商业化政策”“子公司政策”“软件政策”“版权政策”“版权作品的使用政策”</w:t>
      </w:r>
      <w:r w:rsidRPr="007C66F9">
        <w:rPr>
          <w:rFonts w:asciiTheme="minorEastAsia" w:eastAsiaTheme="minorEastAsia" w:hAnsiTheme="minorEastAsia" w:hint="eastAsia"/>
          <w:sz w:val="21"/>
          <w:szCs w:val="21"/>
        </w:rPr>
        <w:t>。此外，产权组织技术转让网页已被翻译成产权组织所有官方语文。2022年，新网页的访问量也大幅增加。</w:t>
      </w:r>
    </w:p>
    <w:p w14:paraId="1B42A613" w14:textId="77777777" w:rsidR="00E733EF" w:rsidRPr="007C66F9" w:rsidRDefault="00191652" w:rsidP="007C66F9">
      <w:pPr>
        <w:numPr>
          <w:ilvl w:val="0"/>
          <w:numId w:val="11"/>
        </w:numPr>
        <w:overflowPunct w:val="0"/>
        <w:spacing w:afterLines="50" w:after="120" w:line="340" w:lineRule="atLeast"/>
        <w:ind w:hanging="578"/>
        <w:jc w:val="both"/>
        <w:rPr>
          <w:rFonts w:asciiTheme="minorEastAsia" w:eastAsiaTheme="minorEastAsia" w:hAnsiTheme="minorEastAsia"/>
          <w:i/>
          <w:sz w:val="21"/>
          <w:szCs w:val="21"/>
        </w:rPr>
      </w:pPr>
      <w:r w:rsidRPr="00855D5E">
        <w:rPr>
          <w:rFonts w:ascii="KaiTi" w:eastAsia="KaiTi" w:hAnsi="KaiTi" w:hint="eastAsia"/>
          <w:sz w:val="21"/>
          <w:szCs w:val="21"/>
        </w:rPr>
        <w:t>提升国家、次区域和区域知识产权机构和用户的能力：</w:t>
      </w:r>
      <w:r w:rsidRPr="007C66F9">
        <w:rPr>
          <w:rFonts w:asciiTheme="minorEastAsia" w:eastAsiaTheme="minorEastAsia" w:hAnsiTheme="minorEastAsia" w:hint="eastAsia"/>
          <w:sz w:val="21"/>
          <w:szCs w:val="21"/>
        </w:rPr>
        <w:t>产权组织在该项目下创建的制定国家知识产权战略的方法和工具已被产权组织用于向许多发展中国家和转型国家提供援助。2021年，知识产权和创新生态系统部门的任务是，提高产权组织向成员国提供专家咨询和援助的能力，以设计和实施符合其创新、创造和经济发展目标的国家知识产权战略，并支持它们努力改善其知识产权和创新生态系统。2022年，成立了一个小型的国家知识产权战略小组，作为协调中心和专门知识中心，全年与区域和国家发展部门的各地区司以及产权组织其他部门携手合作，就超过25项国家知识产权战略向成员国提供更有力的支持和咨询。在上述发展议程项目下创建的</w:t>
      </w:r>
      <w:r w:rsidRPr="00855D5E">
        <w:rPr>
          <w:rFonts w:ascii="KaiTi" w:eastAsia="KaiTi" w:hAnsi="KaiTi" w:hint="eastAsia"/>
          <w:sz w:val="21"/>
          <w:szCs w:val="21"/>
        </w:rPr>
        <w:t>产权组织国家知识产权战略制定方法</w:t>
      </w:r>
      <w:r w:rsidRPr="007C66F9">
        <w:rPr>
          <w:rStyle w:val="FootnoteReference"/>
          <w:rFonts w:asciiTheme="minorEastAsia" w:eastAsiaTheme="minorEastAsia" w:hAnsiTheme="minorEastAsia"/>
          <w:sz w:val="21"/>
          <w:szCs w:val="21"/>
        </w:rPr>
        <w:footnoteReference w:id="156"/>
      </w:r>
      <w:r w:rsidRPr="007C66F9">
        <w:rPr>
          <w:rFonts w:asciiTheme="minorEastAsia" w:eastAsiaTheme="minorEastAsia" w:hAnsiTheme="minorEastAsia" w:hint="eastAsia"/>
          <w:sz w:val="21"/>
          <w:szCs w:val="21"/>
        </w:rPr>
        <w:t>继续为支持国家知识产权战略制定过程提供一种灵活和易于定制的方法。</w:t>
      </w:r>
    </w:p>
    <w:p w14:paraId="3679953F" w14:textId="77777777" w:rsidR="00E733EF" w:rsidRPr="007C66F9" w:rsidRDefault="00191652" w:rsidP="007C66F9">
      <w:pPr>
        <w:numPr>
          <w:ilvl w:val="0"/>
          <w:numId w:val="11"/>
        </w:numPr>
        <w:overflowPunct w:val="0"/>
        <w:spacing w:afterLines="50" w:after="120" w:line="340" w:lineRule="atLeast"/>
        <w:ind w:hanging="578"/>
        <w:jc w:val="both"/>
        <w:rPr>
          <w:rFonts w:asciiTheme="minorEastAsia" w:eastAsiaTheme="minorEastAsia" w:hAnsiTheme="minorEastAsia"/>
          <w:i/>
          <w:sz w:val="21"/>
          <w:szCs w:val="21"/>
        </w:rPr>
      </w:pPr>
      <w:r w:rsidRPr="00855D5E">
        <w:rPr>
          <w:rFonts w:ascii="KaiTi" w:eastAsia="KaiTi" w:hAnsi="KaiTi" w:hint="eastAsia"/>
          <w:sz w:val="21"/>
          <w:szCs w:val="21"/>
        </w:rPr>
        <w:t>“知识产权与非正规经济”</w:t>
      </w:r>
      <w:r w:rsidRPr="007C66F9">
        <w:rPr>
          <w:rFonts w:asciiTheme="minorEastAsia" w:eastAsiaTheme="minorEastAsia" w:hAnsiTheme="minorEastAsia" w:hint="eastAsia"/>
          <w:sz w:val="21"/>
          <w:szCs w:val="21"/>
        </w:rPr>
        <w:t>项目以及与剑桥大学出版社共同出版的相应的</w:t>
      </w:r>
      <w:r w:rsidRPr="00855D5E">
        <w:rPr>
          <w:rFonts w:ascii="KaiTi" w:eastAsia="KaiTi" w:hAnsi="KaiTi" w:hint="eastAsia"/>
          <w:sz w:val="21"/>
          <w:szCs w:val="21"/>
        </w:rPr>
        <w:t>《发展中国家的非正规经济——隐形的创新引擎？》</w:t>
      </w:r>
      <w:r w:rsidRPr="007C66F9">
        <w:rPr>
          <w:rStyle w:val="FootnoteReference"/>
          <w:rFonts w:asciiTheme="minorEastAsia" w:eastAsiaTheme="minorEastAsia" w:hAnsiTheme="minorEastAsia"/>
          <w:sz w:val="21"/>
          <w:szCs w:val="21"/>
        </w:rPr>
        <w:footnoteReference w:id="157"/>
      </w:r>
      <w:r w:rsidRPr="007C66F9">
        <w:rPr>
          <w:rFonts w:asciiTheme="minorEastAsia" w:eastAsiaTheme="minorEastAsia" w:hAnsiTheme="minorEastAsia" w:hint="eastAsia"/>
          <w:sz w:val="21"/>
          <w:szCs w:val="21"/>
        </w:rPr>
        <w:t>一书继续受到政策制定者和学术界的极大关注。随着发展中经济体的创新政策和衡量方法的改进，非正规经济中的创新议题变得日益重要。该项目在概念化、衡量和政策相关性方面的贡献是独一无二的，并继续在非洲联盟和“非洲科技与创新指标”项目等政策论坛，以及在非洲国家、拉丁美洲国家和亚洲部分国家产生重大影响。国家创新指数开始更好地反映创新的这一方面。该项目的贡献还将出现在2023年出版的</w:t>
      </w:r>
      <w:r w:rsidRPr="00855D5E">
        <w:rPr>
          <w:rFonts w:ascii="KaiTi" w:eastAsia="KaiTi" w:hAnsi="KaiTi" w:hint="eastAsia"/>
          <w:sz w:val="21"/>
          <w:szCs w:val="21"/>
        </w:rPr>
        <w:t>《创新与监管手册》</w:t>
      </w:r>
      <w:r w:rsidRPr="007C66F9">
        <w:rPr>
          <w:rFonts w:asciiTheme="minorEastAsia" w:eastAsiaTheme="minorEastAsia" w:hAnsiTheme="minorEastAsia" w:hint="eastAsia"/>
          <w:sz w:val="21"/>
          <w:szCs w:val="21"/>
        </w:rPr>
        <w:t>中。</w:t>
      </w:r>
    </w:p>
    <w:p w14:paraId="70DA9C99" w14:textId="4EC87302" w:rsidR="00E733EF" w:rsidRPr="007C66F9" w:rsidRDefault="00191652" w:rsidP="007C66F9">
      <w:pPr>
        <w:numPr>
          <w:ilvl w:val="0"/>
          <w:numId w:val="11"/>
        </w:numPr>
        <w:overflowPunct w:val="0"/>
        <w:spacing w:afterLines="50" w:after="120" w:line="340" w:lineRule="atLeast"/>
        <w:ind w:hanging="578"/>
        <w:jc w:val="both"/>
        <w:rPr>
          <w:rFonts w:asciiTheme="minorEastAsia" w:eastAsiaTheme="minorEastAsia" w:hAnsiTheme="minorEastAsia"/>
          <w:i/>
          <w:sz w:val="21"/>
          <w:szCs w:val="21"/>
        </w:rPr>
      </w:pPr>
      <w:r w:rsidRPr="00855D5E">
        <w:rPr>
          <w:rFonts w:ascii="KaiTi" w:eastAsia="KaiTi" w:hAnsi="KaiTi" w:hint="eastAsia"/>
          <w:iCs/>
          <w:spacing w:val="-20"/>
          <w:sz w:val="21"/>
          <w:szCs w:val="21"/>
        </w:rPr>
        <w:t>与发展中国家和最不发达国家司法培训机构在发展与知识产权教育和职业培训方面的合作</w:t>
      </w:r>
      <w:r w:rsidRPr="00855D5E">
        <w:rPr>
          <w:rFonts w:ascii="KaiTi" w:eastAsia="KaiTi" w:hAnsi="KaiTi" w:hint="eastAsia"/>
          <w:iCs/>
          <w:sz w:val="21"/>
          <w:szCs w:val="21"/>
        </w:rPr>
        <w:t>：</w:t>
      </w:r>
      <w:r w:rsidRPr="007C66F9">
        <w:rPr>
          <w:rStyle w:val="FootnoteReference"/>
          <w:rFonts w:asciiTheme="minorEastAsia" w:eastAsiaTheme="minorEastAsia" w:hAnsiTheme="minorEastAsia"/>
          <w:iCs/>
          <w:sz w:val="21"/>
          <w:szCs w:val="21"/>
        </w:rPr>
        <w:footnoteReference w:id="158"/>
      </w:r>
      <w:r w:rsidRPr="007C66F9">
        <w:rPr>
          <w:rFonts w:asciiTheme="minorEastAsia" w:eastAsiaTheme="minorEastAsia" w:hAnsiTheme="minorEastAsia" w:hint="eastAsia"/>
          <w:sz w:val="21"/>
          <w:szCs w:val="21"/>
        </w:rPr>
        <w:t>产权组织司法研究所与WIPO学院和产权组织其他相关工作领域合作，继续发展其服务范围，以支持国家和地区司法机构在确保平衡和有效的知识产权生态系统方面发挥作用，包括在发展中国家和最不发达国家。具体而言，该项目被纳入了由产权组织司法研究所协调的继续司法教育（CJE）计划的主流</w:t>
      </w:r>
      <w:r w:rsidRPr="007C66F9">
        <w:rPr>
          <w:rStyle w:val="FootnoteReference"/>
          <w:rFonts w:asciiTheme="minorEastAsia" w:eastAsiaTheme="minorEastAsia" w:hAnsiTheme="minorEastAsia"/>
          <w:sz w:val="21"/>
          <w:szCs w:val="21"/>
        </w:rPr>
        <w:footnoteReference w:id="159"/>
      </w:r>
      <w:r w:rsidRPr="007C66F9">
        <w:rPr>
          <w:rFonts w:asciiTheme="minorEastAsia" w:eastAsiaTheme="minorEastAsia" w:hAnsiTheme="minorEastAsia" w:hint="eastAsia"/>
          <w:sz w:val="21"/>
          <w:szCs w:val="21"/>
        </w:rPr>
        <w:t>。在为法官开设知识产权一般课程后，2022年有400多名法官参加了该课程。此外，产权组织还与四个成员国</w:t>
      </w:r>
      <w:r w:rsidRPr="007C66F9">
        <w:rPr>
          <w:rStyle w:val="FootnoteReference"/>
          <w:rFonts w:asciiTheme="minorEastAsia" w:eastAsiaTheme="minorEastAsia" w:hAnsiTheme="minorEastAsia"/>
          <w:sz w:val="21"/>
          <w:szCs w:val="21"/>
        </w:rPr>
        <w:footnoteReference w:id="160"/>
      </w:r>
      <w:r w:rsidRPr="007C66F9">
        <w:rPr>
          <w:rFonts w:asciiTheme="minorEastAsia" w:eastAsiaTheme="minorEastAsia" w:hAnsiTheme="minorEastAsia" w:hint="eastAsia"/>
          <w:sz w:val="21"/>
          <w:szCs w:val="21"/>
        </w:rPr>
        <w:t>开展了正式合作，为其司法机构成员提供定制版课</w:t>
      </w:r>
      <w:r w:rsidR="00855D5E">
        <w:rPr>
          <w:rFonts w:asciiTheme="minorEastAsia" w:eastAsiaTheme="minorEastAsia" w:hAnsiTheme="minorEastAsia" w:hint="cs"/>
          <w:sz w:val="21"/>
          <w:szCs w:val="21"/>
        </w:rPr>
        <w:t>‍</w:t>
      </w:r>
      <w:r w:rsidRPr="007C66F9">
        <w:rPr>
          <w:rFonts w:asciiTheme="minorEastAsia" w:eastAsiaTheme="minorEastAsia" w:hAnsiTheme="minorEastAsia" w:hint="eastAsia"/>
          <w:sz w:val="21"/>
          <w:szCs w:val="21"/>
        </w:rPr>
        <w:t>程。</w:t>
      </w:r>
    </w:p>
    <w:p w14:paraId="48CA5D62" w14:textId="77777777" w:rsidR="00E733EF" w:rsidRPr="00855D5E" w:rsidRDefault="00191652" w:rsidP="00855D5E">
      <w:pPr>
        <w:pStyle w:val="Heading2"/>
        <w:spacing w:beforeLines="100" w:afterLines="100" w:after="240" w:line="340" w:lineRule="atLeast"/>
        <w:jc w:val="both"/>
        <w:rPr>
          <w:b/>
          <w:bCs w:val="0"/>
          <w:sz w:val="21"/>
          <w:szCs w:val="21"/>
        </w:rPr>
      </w:pPr>
      <w:r w:rsidRPr="00855D5E">
        <w:rPr>
          <w:rFonts w:hint="eastAsia"/>
          <w:b/>
          <w:bCs w:val="0"/>
          <w:sz w:val="21"/>
          <w:szCs w:val="21"/>
        </w:rPr>
        <w:t>正在实施的发展议程项目</w:t>
      </w:r>
    </w:p>
    <w:p w14:paraId="166D6001" w14:textId="77777777" w:rsidR="00E733EF" w:rsidRPr="00855D5E" w:rsidRDefault="00191652" w:rsidP="00855D5E">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855D5E">
        <w:rPr>
          <w:rFonts w:asciiTheme="minorEastAsia" w:eastAsiaTheme="minorEastAsia" w:hAnsiTheme="minorEastAsia" w:hint="eastAsia"/>
          <w:sz w:val="21"/>
          <w:szCs w:val="21"/>
        </w:rPr>
        <w:t>该部门负责落实以下正在实施的发展议程项目：</w:t>
      </w:r>
    </w:p>
    <w:p w14:paraId="7D08D350" w14:textId="40A3DDDE" w:rsidR="00E733EF" w:rsidRPr="00855D5E" w:rsidRDefault="00191652" w:rsidP="00855D5E">
      <w:pPr>
        <w:pStyle w:val="ListParagraph"/>
        <w:numPr>
          <w:ilvl w:val="0"/>
          <w:numId w:val="12"/>
        </w:numPr>
        <w:overflowPunct w:val="0"/>
        <w:spacing w:afterLines="50" w:after="120" w:line="340" w:lineRule="atLeast"/>
        <w:contextualSpacing w:val="0"/>
        <w:jc w:val="both"/>
        <w:rPr>
          <w:rFonts w:asciiTheme="minorEastAsia" w:eastAsiaTheme="minorEastAsia" w:hAnsiTheme="minorEastAsia"/>
          <w:sz w:val="21"/>
          <w:szCs w:val="21"/>
        </w:rPr>
      </w:pPr>
      <w:r w:rsidRPr="00855D5E">
        <w:rPr>
          <w:rFonts w:ascii="KaiTi" w:eastAsia="KaiTi" w:hAnsi="KaiTi" w:hint="eastAsia"/>
          <w:sz w:val="21"/>
          <w:szCs w:val="21"/>
        </w:rPr>
        <w:lastRenderedPageBreak/>
        <w:t>加大女性在创新创业方面的作用、鼓励发展中国家女性运用知识产权制度：</w:t>
      </w:r>
      <w:r w:rsidRPr="00855D5E">
        <w:rPr>
          <w:rFonts w:asciiTheme="minorEastAsia" w:eastAsiaTheme="minorEastAsia" w:hAnsiTheme="minorEastAsia" w:hint="eastAsia"/>
          <w:sz w:val="21"/>
          <w:szCs w:val="21"/>
        </w:rPr>
        <w:t>在本报告所述期间，项目网站</w:t>
      </w:r>
      <w:r w:rsidRPr="00855D5E">
        <w:rPr>
          <w:rStyle w:val="FootnoteReference"/>
          <w:rFonts w:asciiTheme="minorEastAsia" w:eastAsiaTheme="minorEastAsia" w:hAnsiTheme="minorEastAsia"/>
          <w:sz w:val="21"/>
          <w:szCs w:val="21"/>
        </w:rPr>
        <w:footnoteReference w:id="161"/>
      </w:r>
      <w:r w:rsidRPr="00855D5E">
        <w:rPr>
          <w:rFonts w:asciiTheme="minorEastAsia" w:eastAsiaTheme="minorEastAsia" w:hAnsiTheme="minorEastAsia" w:hint="eastAsia"/>
          <w:sz w:val="21"/>
          <w:szCs w:val="21"/>
        </w:rPr>
        <w:t>上线，旨在展示项目成果。该网站还将介绍一组女性发明家的故事，她们在项目框架内制定的将创新产品推向市场的战略中使用了知识产权制度。</w:t>
      </w:r>
    </w:p>
    <w:p w14:paraId="42CFD4A8" w14:textId="77777777" w:rsidR="00E733EF" w:rsidRPr="00855D5E" w:rsidRDefault="00191652" w:rsidP="00855D5E">
      <w:pPr>
        <w:pStyle w:val="ListParagraph"/>
        <w:numPr>
          <w:ilvl w:val="0"/>
          <w:numId w:val="12"/>
        </w:numPr>
        <w:overflowPunct w:val="0"/>
        <w:spacing w:afterLines="50" w:after="120" w:line="340" w:lineRule="atLeast"/>
        <w:contextualSpacing w:val="0"/>
        <w:jc w:val="both"/>
        <w:rPr>
          <w:rFonts w:asciiTheme="minorEastAsia" w:eastAsiaTheme="minorEastAsia" w:hAnsiTheme="minorEastAsia"/>
          <w:sz w:val="21"/>
          <w:szCs w:val="21"/>
        </w:rPr>
      </w:pPr>
      <w:r w:rsidRPr="00182762">
        <w:rPr>
          <w:rFonts w:ascii="KaiTi" w:eastAsia="KaiTi" w:hAnsi="KaiTi" w:hint="eastAsia"/>
          <w:sz w:val="21"/>
          <w:szCs w:val="21"/>
        </w:rPr>
        <w:t>系统化统计数据并制定和实施对采用知识产权制度的影响进行评估的方法：</w:t>
      </w:r>
      <w:r w:rsidRPr="00855D5E">
        <w:rPr>
          <w:rFonts w:asciiTheme="minorEastAsia" w:eastAsiaTheme="minorEastAsia" w:hAnsiTheme="minorEastAsia" w:hint="eastAsia"/>
          <w:sz w:val="21"/>
          <w:szCs w:val="21"/>
        </w:rPr>
        <w:t>该项目于2022年1月开始实施。在本报告所述期间开展了以下活动：(i)招聘一名研究员领导项目工作；(ii)联系前两个试点国家，即萨尔瓦多和不丹；以及(iii)评估上述两个试点国家的第一批知识产权数据。</w:t>
      </w:r>
    </w:p>
    <w:p w14:paraId="3A1E197B" w14:textId="77777777" w:rsidR="00E733EF" w:rsidRPr="00855D5E" w:rsidRDefault="00191652" w:rsidP="00855D5E">
      <w:pPr>
        <w:pStyle w:val="ListParagraph"/>
        <w:numPr>
          <w:ilvl w:val="0"/>
          <w:numId w:val="12"/>
        </w:numPr>
        <w:overflowPunct w:val="0"/>
        <w:spacing w:afterLines="50" w:after="120" w:line="340" w:lineRule="atLeast"/>
        <w:contextualSpacing w:val="0"/>
        <w:jc w:val="both"/>
        <w:rPr>
          <w:rFonts w:asciiTheme="minorEastAsia" w:eastAsiaTheme="minorEastAsia" w:hAnsiTheme="minorEastAsia"/>
          <w:sz w:val="21"/>
          <w:szCs w:val="21"/>
        </w:rPr>
      </w:pPr>
      <w:r w:rsidRPr="00182762">
        <w:rPr>
          <w:rFonts w:ascii="KaiTi" w:eastAsia="KaiTi" w:hAnsi="KaiTi" w:hint="eastAsia"/>
          <w:sz w:val="21"/>
          <w:szCs w:val="21"/>
        </w:rPr>
        <w:t>识别和运用公有领域的发明：</w:t>
      </w:r>
      <w:r w:rsidRPr="00855D5E">
        <w:rPr>
          <w:rFonts w:asciiTheme="minorEastAsia" w:eastAsiaTheme="minorEastAsia" w:hAnsiTheme="minorEastAsia" w:hint="eastAsia"/>
          <w:spacing w:val="-20"/>
          <w:sz w:val="21"/>
          <w:szCs w:val="21"/>
        </w:rPr>
        <w:t>该项目于2022年1月开始实施。该项目包括开发一个由实</w:t>
      </w:r>
      <w:r w:rsidRPr="00855D5E">
        <w:rPr>
          <w:rFonts w:asciiTheme="minorEastAsia" w:eastAsiaTheme="minorEastAsia" w:hAnsiTheme="minorEastAsia" w:hint="eastAsia"/>
          <w:sz w:val="21"/>
          <w:szCs w:val="21"/>
        </w:rPr>
        <w:t>用工具组成的工具包，以支持</w:t>
      </w:r>
      <w:r w:rsidRPr="00182762">
        <w:rPr>
          <w:rFonts w:ascii="KaiTi" w:eastAsia="KaiTi" w:hAnsi="KaiTi" w:hint="eastAsia"/>
          <w:sz w:val="21"/>
          <w:szCs w:val="21"/>
        </w:rPr>
        <w:t>《发现公有领域的发明：发明人和企业家指南》</w:t>
      </w:r>
      <w:r w:rsidRPr="00855D5E">
        <w:rPr>
          <w:rFonts w:asciiTheme="minorEastAsia" w:eastAsiaTheme="minorEastAsia" w:hAnsiTheme="minorEastAsia" w:hint="eastAsia"/>
          <w:sz w:val="21"/>
          <w:szCs w:val="21"/>
        </w:rPr>
        <w:t>和</w:t>
      </w:r>
      <w:r w:rsidRPr="00182762">
        <w:rPr>
          <w:rFonts w:ascii="KaiTi" w:eastAsia="KaiTi" w:hAnsi="KaiTi" w:hint="eastAsia"/>
          <w:sz w:val="21"/>
          <w:szCs w:val="21"/>
        </w:rPr>
        <w:t>《运用公有领域的发明：发明人和企业家指南》</w:t>
      </w:r>
      <w:r w:rsidRPr="00855D5E">
        <w:rPr>
          <w:rFonts w:asciiTheme="minorEastAsia" w:eastAsiaTheme="minorEastAsia" w:hAnsiTheme="minorEastAsia" w:hint="eastAsia"/>
          <w:sz w:val="21"/>
          <w:szCs w:val="21"/>
        </w:rPr>
        <w:t>这两份指南中介绍的概念和程序，这两份指南以前是在已被纳入主流的关于“运用公有领域信息促进经济发展”的发展议程项目中制定的。在本报告所述期间，已经开始准备开发一个关于由上述两份指南所述工具组成的工具包的模块化混合学习虚拟培训方法。此外，还启动了培训包开发工作，其中包括《学习者指南》和模块化学习材料，以支持关于工具包的实际培训。该培训包将包括介绍关键概念和补充工具描述的解释视频，以及在教师指导的课堂或在线研讨会上进行培训模拟的资源/数据集。</w:t>
      </w:r>
    </w:p>
    <w:p w14:paraId="2FC46577" w14:textId="77777777" w:rsidR="00E733EF" w:rsidRPr="00182762" w:rsidRDefault="00191652" w:rsidP="00182762">
      <w:pPr>
        <w:pStyle w:val="Heading1"/>
        <w:numPr>
          <w:ilvl w:val="0"/>
          <w:numId w:val="14"/>
        </w:numPr>
        <w:spacing w:beforeLines="100" w:afterLines="100" w:after="240" w:line="340" w:lineRule="atLeast"/>
        <w:ind w:left="397" w:hanging="284"/>
        <w:jc w:val="both"/>
        <w:rPr>
          <w:rFonts w:ascii="SimHei" w:eastAsia="SimHei" w:hAnsi="SimHei"/>
          <w:b w:val="0"/>
          <w:sz w:val="21"/>
          <w:szCs w:val="21"/>
        </w:rPr>
      </w:pPr>
      <w:r w:rsidRPr="00182762">
        <w:rPr>
          <w:rFonts w:ascii="SimHei" w:eastAsia="SimHei" w:hAnsi="SimHei" w:hint="eastAsia"/>
          <w:b w:val="0"/>
          <w:sz w:val="21"/>
          <w:szCs w:val="21"/>
        </w:rPr>
        <w:t>行政、财务和管理部门</w:t>
      </w:r>
    </w:p>
    <w:p w14:paraId="1C7561A5" w14:textId="77777777" w:rsidR="00E733EF" w:rsidRPr="00182762" w:rsidRDefault="00191652" w:rsidP="00182762">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82762">
        <w:rPr>
          <w:rFonts w:asciiTheme="minorEastAsia" w:eastAsiaTheme="minorEastAsia" w:hAnsiTheme="minorEastAsia" w:hint="eastAsia"/>
          <w:sz w:val="21"/>
          <w:szCs w:val="21"/>
        </w:rPr>
        <w:t>行政、财务和管理部门继续为整个产权组织有效落实各项成果提供基础。2022年，作为跨领域主题的发展继续被纳入了产权组织所有战略目标的主流，本组织的工作与联合国可持续发展目标之间有明确的联系。</w:t>
      </w:r>
      <w:r w:rsidRPr="00182762">
        <w:rPr>
          <w:rStyle w:val="FootnoteReference"/>
          <w:rFonts w:asciiTheme="minorEastAsia" w:eastAsiaTheme="minorEastAsia" w:hAnsiTheme="minorEastAsia"/>
          <w:sz w:val="21"/>
          <w:szCs w:val="21"/>
        </w:rPr>
        <w:footnoteReference w:id="162"/>
      </w:r>
      <w:r w:rsidRPr="00182762">
        <w:rPr>
          <w:rFonts w:asciiTheme="minorEastAsia" w:eastAsiaTheme="minorEastAsia" w:hAnsiTheme="minorEastAsia" w:hint="eastAsia"/>
          <w:sz w:val="21"/>
          <w:szCs w:val="21"/>
        </w:rPr>
        <w:t>在这一年里，产权组织继续提供各种技术援助和能力建设活动，开发各种平台、数据库和伙伴关系，以帮助其成员国为利用创新和创造营造一种积极的环境。为了最大限度地切实发挥其活动对发展的影响，产权组织还开始实施影响导向的新举措，更加重视发展和对结果的问责。为此，已在2022/23年工作计划和预算中分配了财政资源。</w:t>
      </w:r>
      <w:r w:rsidRPr="00182762">
        <w:rPr>
          <w:rFonts w:asciiTheme="minorEastAsia" w:eastAsiaTheme="minorEastAsia" w:hAnsiTheme="minorEastAsia"/>
          <w:sz w:val="21"/>
          <w:szCs w:val="21"/>
          <w:vertAlign w:val="superscript"/>
        </w:rPr>
        <w:footnoteReference w:id="163"/>
      </w:r>
      <w:r w:rsidRPr="00182762">
        <w:rPr>
          <w:rFonts w:asciiTheme="minorEastAsia" w:eastAsiaTheme="minorEastAsia" w:hAnsiTheme="minorEastAsia" w:hint="eastAsia"/>
          <w:sz w:val="21"/>
          <w:szCs w:val="21"/>
        </w:rPr>
        <w:t>值得注意的是，本组织开始实施COVID19一揽子应对措施，为2022/23两年期拨款300万瑞郎。请各成员国提出请求，以便在应对COVID-19大流行和更好地建设方面获得有针对性的定制支持。</w:t>
      </w:r>
      <w:r w:rsidRPr="00182762">
        <w:rPr>
          <w:rStyle w:val="FootnoteReference"/>
          <w:rFonts w:asciiTheme="minorEastAsia" w:eastAsiaTheme="minorEastAsia" w:hAnsiTheme="minorEastAsia"/>
          <w:sz w:val="21"/>
          <w:szCs w:val="21"/>
        </w:rPr>
        <w:footnoteReference w:id="164"/>
      </w:r>
    </w:p>
    <w:p w14:paraId="5C40A624" w14:textId="77777777" w:rsidR="00E733EF" w:rsidRPr="00182762" w:rsidRDefault="00191652" w:rsidP="00182762">
      <w:pPr>
        <w:pStyle w:val="Heading2"/>
        <w:spacing w:beforeLines="100" w:afterLines="100" w:after="240" w:line="340" w:lineRule="atLeast"/>
        <w:jc w:val="both"/>
        <w:rPr>
          <w:b/>
          <w:bCs w:val="0"/>
          <w:sz w:val="21"/>
          <w:szCs w:val="21"/>
        </w:rPr>
      </w:pPr>
      <w:r w:rsidRPr="00182762">
        <w:rPr>
          <w:rFonts w:hint="eastAsia"/>
          <w:b/>
          <w:bCs w:val="0"/>
          <w:sz w:val="21"/>
          <w:szCs w:val="21"/>
        </w:rPr>
        <w:t>已被纳入主流的发展议程项目</w:t>
      </w:r>
    </w:p>
    <w:p w14:paraId="37329AB4" w14:textId="5D1D16C9" w:rsidR="00E733EF" w:rsidRPr="00182762" w:rsidRDefault="00191652" w:rsidP="00182762">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182762">
        <w:rPr>
          <w:rFonts w:ascii="KaiTi" w:eastAsia="KaiTi" w:hAnsi="KaiTi" w:hint="eastAsia"/>
          <w:sz w:val="21"/>
          <w:szCs w:val="21"/>
        </w:rPr>
        <w:t>加强产权组织注重成果的管理（RBM）框架：</w:t>
      </w:r>
      <w:r w:rsidRPr="00182762">
        <w:rPr>
          <w:rFonts w:asciiTheme="minorEastAsia" w:eastAsiaTheme="minorEastAsia" w:hAnsiTheme="minorEastAsia" w:hint="eastAsia"/>
          <w:sz w:val="21"/>
          <w:szCs w:val="21"/>
        </w:rPr>
        <w:t>该项目引发了一系列关于产权组织在CDIP框架内提供技术援助的讨论。然后，这又导致在委员会第十八届会议上通过了所谓的</w:t>
      </w:r>
      <w:r w:rsidRPr="00182762">
        <w:rPr>
          <w:rFonts w:ascii="KaiTi" w:eastAsia="KaiTi" w:hAnsi="KaiTi" w:hint="eastAsia"/>
          <w:sz w:val="21"/>
          <w:szCs w:val="21"/>
        </w:rPr>
        <w:t>西班牙提案或关于技术援助的六点提案</w:t>
      </w:r>
      <w:r w:rsidRPr="00182762">
        <w:rPr>
          <w:rFonts w:asciiTheme="minorEastAsia" w:eastAsiaTheme="minorEastAsia" w:hAnsiTheme="minorEastAsia" w:hint="eastAsia"/>
          <w:sz w:val="21"/>
          <w:szCs w:val="21"/>
        </w:rPr>
        <w:t>。该提案要求秘书处采取一系列行动，而这些行动的落实情况在提交CDIP第二十四届会议的一份报告中作了详细说明。在那届会议上，委员会决定，今后关于产权组织技术援助的讨论将在分议程项目</w:t>
      </w:r>
      <w:r w:rsidRPr="00182762">
        <w:rPr>
          <w:rFonts w:ascii="KaiTi" w:eastAsia="KaiTi" w:hAnsi="KaiTi" w:hint="eastAsia"/>
          <w:sz w:val="21"/>
          <w:szCs w:val="21"/>
        </w:rPr>
        <w:t>“产权组织合作促进发展领域的技术援助”</w:t>
      </w:r>
      <w:r w:rsidRPr="00182762">
        <w:rPr>
          <w:rFonts w:asciiTheme="minorEastAsia" w:eastAsiaTheme="minorEastAsia" w:hAnsiTheme="minorEastAsia" w:hint="eastAsia"/>
          <w:sz w:val="21"/>
          <w:szCs w:val="21"/>
        </w:rPr>
        <w:t>下继续进行。2022年，委员会在该分议程项目下继续讨论秘书处关于今后技术援助网络研讨会举办方式的提案。</w:t>
      </w:r>
      <w:r w:rsidRPr="00182762">
        <w:rPr>
          <w:rStyle w:val="FootnoteReference"/>
          <w:rFonts w:asciiTheme="minorEastAsia" w:eastAsiaTheme="minorEastAsia" w:hAnsiTheme="minorEastAsia"/>
          <w:sz w:val="21"/>
          <w:szCs w:val="21"/>
        </w:rPr>
        <w:footnoteReference w:id="165"/>
      </w:r>
      <w:r w:rsidRPr="00182762">
        <w:rPr>
          <w:rFonts w:asciiTheme="minorEastAsia" w:eastAsiaTheme="minorEastAsia" w:hAnsiTheme="minorEastAsia" w:hint="eastAsia"/>
          <w:sz w:val="21"/>
          <w:szCs w:val="21"/>
        </w:rPr>
        <w:t>委员会要求秘书处根据成员国的评论意见修订该文件，供CDIP第三十届会议审议。此外，CDIP第二十九届会议审议了</w:t>
      </w:r>
      <w:r w:rsidRPr="00182762">
        <w:rPr>
          <w:rFonts w:ascii="KaiTi" w:eastAsia="KaiTi" w:hAnsi="KaiTi" w:hint="eastAsia"/>
          <w:sz w:val="21"/>
          <w:szCs w:val="21"/>
        </w:rPr>
        <w:t>非洲集团关于对</w:t>
      </w:r>
      <w:r w:rsidRPr="00182762">
        <w:rPr>
          <w:rFonts w:ascii="KaiTi" w:eastAsia="KaiTi" w:hAnsi="KaiTi" w:hint="eastAsia"/>
          <w:sz w:val="21"/>
          <w:szCs w:val="21"/>
        </w:rPr>
        <w:lastRenderedPageBreak/>
        <w:t>产权组织在合作促进发展领域开展的技术援助进行独立外部审查的提案</w:t>
      </w:r>
      <w:r w:rsidRPr="00182762">
        <w:rPr>
          <w:rFonts w:asciiTheme="minorEastAsia" w:eastAsiaTheme="minorEastAsia" w:hAnsiTheme="minorEastAsia" w:hint="eastAsia"/>
          <w:sz w:val="21"/>
          <w:szCs w:val="21"/>
        </w:rPr>
        <w:t>。</w:t>
      </w:r>
      <w:r w:rsidRPr="00182762">
        <w:rPr>
          <w:rStyle w:val="FootnoteReference"/>
          <w:rFonts w:asciiTheme="minorEastAsia" w:eastAsiaTheme="minorEastAsia" w:hAnsiTheme="minorEastAsia"/>
          <w:sz w:val="21"/>
          <w:szCs w:val="21"/>
        </w:rPr>
        <w:footnoteReference w:id="166"/>
      </w:r>
      <w:r w:rsidRPr="00182762">
        <w:rPr>
          <w:rFonts w:asciiTheme="minorEastAsia" w:eastAsiaTheme="minorEastAsia" w:hAnsiTheme="minorEastAsia" w:hint="eastAsia"/>
          <w:sz w:val="21"/>
          <w:szCs w:val="21"/>
        </w:rPr>
        <w:t>作为这些讨论的一个结果，以及在该提案的基础上，委员会要求秘书处编制职权范围草案，供2023年4月第三十届会议审</w:t>
      </w:r>
      <w:r w:rsidR="00182762">
        <w:rPr>
          <w:rFonts w:asciiTheme="minorEastAsia" w:eastAsiaTheme="minorEastAsia" w:hAnsiTheme="minorEastAsia" w:hint="cs"/>
          <w:sz w:val="21"/>
          <w:szCs w:val="21"/>
        </w:rPr>
        <w:t>‍</w:t>
      </w:r>
      <w:r w:rsidRPr="00182762">
        <w:rPr>
          <w:rFonts w:asciiTheme="minorEastAsia" w:eastAsiaTheme="minorEastAsia" w:hAnsiTheme="minorEastAsia" w:hint="eastAsia"/>
          <w:sz w:val="21"/>
          <w:szCs w:val="21"/>
        </w:rPr>
        <w:t>议。</w:t>
      </w:r>
    </w:p>
    <w:p w14:paraId="70CC397F" w14:textId="77777777" w:rsidR="00E733EF" w:rsidRPr="00182762" w:rsidRDefault="00191652" w:rsidP="00182762">
      <w:pPr>
        <w:pStyle w:val="Heading1"/>
        <w:numPr>
          <w:ilvl w:val="0"/>
          <w:numId w:val="14"/>
        </w:numPr>
        <w:spacing w:beforeLines="100" w:afterLines="100" w:after="240" w:line="340" w:lineRule="atLeast"/>
        <w:ind w:left="397" w:hanging="284"/>
        <w:jc w:val="both"/>
        <w:rPr>
          <w:rFonts w:ascii="SimHei" w:eastAsia="SimHei" w:hAnsi="SimHei"/>
          <w:b w:val="0"/>
          <w:sz w:val="21"/>
          <w:szCs w:val="21"/>
        </w:rPr>
      </w:pPr>
      <w:r w:rsidRPr="00182762">
        <w:rPr>
          <w:rFonts w:ascii="SimHei" w:eastAsia="SimHei" w:hAnsi="SimHei" w:hint="eastAsia"/>
          <w:b w:val="0"/>
          <w:sz w:val="21"/>
          <w:szCs w:val="21"/>
        </w:rPr>
        <w:t>总干事办公室</w:t>
      </w:r>
    </w:p>
    <w:p w14:paraId="65C6B372" w14:textId="77777777" w:rsidR="00E733EF" w:rsidRPr="00182762" w:rsidRDefault="00191652" w:rsidP="00182762">
      <w:pPr>
        <w:pStyle w:val="ListParagraph"/>
        <w:numPr>
          <w:ilvl w:val="0"/>
          <w:numId w:val="4"/>
        </w:numPr>
        <w:overflowPunct w:val="0"/>
        <w:spacing w:afterLines="50" w:after="120" w:line="340" w:lineRule="atLeast"/>
        <w:ind w:left="0" w:firstLine="0"/>
        <w:contextualSpacing w:val="0"/>
        <w:jc w:val="both"/>
        <w:rPr>
          <w:sz w:val="21"/>
          <w:szCs w:val="21"/>
        </w:rPr>
      </w:pPr>
      <w:r w:rsidRPr="00182762">
        <w:rPr>
          <w:rFonts w:hint="eastAsia"/>
          <w:sz w:val="21"/>
          <w:szCs w:val="21"/>
        </w:rPr>
        <w:t>总干事办公室继续重点关注为产权组织的工作提供总体战略指导和协调。在此过程中，它采取了一些旨在鼓励建设动态企业文化以使产权组织工作人员能够有效、协作和创新地开展工作的政策。在本报告所述期间，特别强调了与成员国的定期进行有针对性的沟通，以传播信息和收集关于本组织活动的反馈，从而加强透明度。</w:t>
      </w:r>
    </w:p>
    <w:p w14:paraId="12DF156D" w14:textId="77777777" w:rsidR="00E733EF" w:rsidRPr="00A91DBD" w:rsidRDefault="00191652" w:rsidP="00A91DBD">
      <w:pPr>
        <w:pStyle w:val="Heading2"/>
        <w:spacing w:beforeLines="100" w:afterLines="100" w:after="240" w:line="340" w:lineRule="atLeast"/>
        <w:jc w:val="both"/>
        <w:rPr>
          <w:b/>
          <w:bCs w:val="0"/>
          <w:sz w:val="21"/>
          <w:szCs w:val="21"/>
        </w:rPr>
      </w:pPr>
      <w:r w:rsidRPr="00A91DBD">
        <w:rPr>
          <w:rFonts w:hint="eastAsia"/>
          <w:b/>
          <w:bCs w:val="0"/>
          <w:sz w:val="21"/>
          <w:szCs w:val="21"/>
        </w:rPr>
        <w:t>新闻和媒体</w:t>
      </w:r>
    </w:p>
    <w:p w14:paraId="1345B77D" w14:textId="77777777" w:rsidR="00E733EF" w:rsidRPr="00A91DBD" w:rsidRDefault="00191652" w:rsidP="00A91DBD">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A91DBD">
        <w:rPr>
          <w:rFonts w:asciiTheme="minorEastAsia" w:eastAsiaTheme="minorEastAsia" w:hAnsiTheme="minorEastAsia" w:hint="eastAsia"/>
          <w:sz w:val="21"/>
          <w:szCs w:val="21"/>
        </w:rPr>
        <w:t>在整个2022年，为提高对知识产权对促进增长和发展的重要性的认识开展了一系列活动。继续采用一种讲故事的方法来说明知识产权如何促进发展——一种“展示，而非告诉”的交流方法。制作了290多部视频，其中约90部视频展示了发展中国家的创新和创造成功故事。也通过以人为本的方法对社交媒体内容进行了定制，以突出知识产权在支持发展中国家和社区创新方面的重要性。在这一年里，产权组织的社交媒体和全球媒体迅速发展，关注人数将达到40多万，这表明全球对产权组织和利用知识产权促进国家经济增长和文化发展的兴趣日益增加。</w:t>
      </w:r>
    </w:p>
    <w:p w14:paraId="749CF56C" w14:textId="1377032E" w:rsidR="00E733EF" w:rsidRPr="00A91DBD" w:rsidRDefault="00191652" w:rsidP="00A91DBD">
      <w:pPr>
        <w:pStyle w:val="Heading2"/>
        <w:spacing w:beforeLines="100" w:afterLines="100" w:after="240" w:line="340" w:lineRule="atLeast"/>
        <w:jc w:val="both"/>
        <w:rPr>
          <w:b/>
          <w:bCs w:val="0"/>
          <w:sz w:val="21"/>
          <w:szCs w:val="21"/>
        </w:rPr>
      </w:pPr>
      <w:r w:rsidRPr="00A91DBD">
        <w:rPr>
          <w:rFonts w:hint="eastAsia"/>
          <w:b/>
          <w:bCs w:val="0"/>
          <w:sz w:val="21"/>
          <w:szCs w:val="21"/>
        </w:rPr>
        <w:t>道德和诚信</w:t>
      </w:r>
    </w:p>
    <w:p w14:paraId="44802738" w14:textId="11809A37" w:rsidR="00E733EF" w:rsidRPr="00A91DBD" w:rsidRDefault="00191652" w:rsidP="00A91DBD">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A91DBD">
        <w:rPr>
          <w:rFonts w:asciiTheme="minorEastAsia" w:eastAsiaTheme="minorEastAsia" w:hAnsiTheme="minorEastAsia" w:hint="eastAsia"/>
          <w:sz w:val="21"/>
          <w:szCs w:val="21"/>
        </w:rPr>
        <w:t>产权组织道德操守办公室继续协助总干事开展工作，确保产权组织道德操守战略的设计、制定和实施能够加强产权组织业务中的诚信、遵守道德操守规则和道德行为。为了帮助产权组织人员了解他们的道德操守责任，并提升全组织的道德操守文化，已采取措施增加宣传活动。作为一项重要举措，组织了一次有约750人参加的全体会议，讨论如何支持产权组织工作人员处理与</w:t>
      </w:r>
      <w:r w:rsidRPr="00A91DBD">
        <w:rPr>
          <w:rFonts w:asciiTheme="minorEastAsia" w:eastAsiaTheme="minorEastAsia" w:hAnsiTheme="minorEastAsia" w:hint="eastAsia"/>
          <w:spacing w:val="-20"/>
          <w:sz w:val="21"/>
          <w:szCs w:val="21"/>
        </w:rPr>
        <w:t>道德操守有关的问题。此外，还就各种道德操守问题为小组和团队举办了量身定制的培训课程。</w:t>
      </w:r>
      <w:r w:rsidRPr="00A91DBD">
        <w:rPr>
          <w:rStyle w:val="FootnoteReference"/>
          <w:rFonts w:asciiTheme="minorEastAsia" w:eastAsiaTheme="minorEastAsia" w:hAnsiTheme="minorEastAsia"/>
          <w:sz w:val="21"/>
          <w:szCs w:val="21"/>
        </w:rPr>
        <w:footnoteReference w:id="167"/>
      </w:r>
      <w:r w:rsidRPr="00A91DBD">
        <w:rPr>
          <w:rFonts w:asciiTheme="minorEastAsia" w:eastAsiaTheme="minorEastAsia" w:hAnsiTheme="minorEastAsia" w:hint="eastAsia"/>
          <w:sz w:val="21"/>
          <w:szCs w:val="21"/>
        </w:rPr>
        <w:t>2022年还在产权组织成功推出了新的道德操守和诚信在线课程。该培训是产权组织所有人员的必修课程，也提醒了每位人员，特别是那些领导和指导他人的人员，在创造一个积极的工作环境方面所发挥的关键作用。同时，还继续向工作人员和其他人员提供有关道德操守问题的保密咨询和指导。具体而言，与前几年（2019-2021年）相比，咨询请求的数量增加了300%。咨询请求的数量持续增加，积极反映了教育和外联举措的影响。根据任务授权的规定，该办公室还成功地管理了2022年财务披露和利益申报计划，以协助产权组织查明和处理个人利益冲突，从而为产权组织的最佳利益减少或消除利益冲突。关于政策制定工作，在修订财务披露和防止报复政策方面取得了很大进展。</w:t>
      </w:r>
      <w:r w:rsidRPr="00A91DBD">
        <w:rPr>
          <w:rStyle w:val="FootnoteReference"/>
          <w:rFonts w:asciiTheme="minorEastAsia" w:eastAsiaTheme="minorEastAsia" w:hAnsiTheme="minorEastAsia"/>
          <w:sz w:val="21"/>
          <w:szCs w:val="21"/>
        </w:rPr>
        <w:footnoteReference w:id="168"/>
      </w:r>
      <w:r w:rsidRPr="00A91DBD">
        <w:rPr>
          <w:rFonts w:asciiTheme="minorEastAsia" w:eastAsiaTheme="minorEastAsia" w:hAnsiTheme="minorEastAsia" w:hint="eastAsia"/>
          <w:sz w:val="21"/>
          <w:szCs w:val="21"/>
        </w:rPr>
        <w:t>最后，道德操守办公室继续积极参加多边组织道德操守网络（ENMO）的工作。</w:t>
      </w:r>
      <w:r w:rsidRPr="00A91DBD">
        <w:rPr>
          <w:rStyle w:val="FootnoteReference"/>
          <w:rFonts w:asciiTheme="minorEastAsia" w:eastAsiaTheme="minorEastAsia" w:hAnsiTheme="minorEastAsia"/>
          <w:sz w:val="21"/>
          <w:szCs w:val="21"/>
        </w:rPr>
        <w:footnoteReference w:id="169"/>
      </w:r>
    </w:p>
    <w:p w14:paraId="37316FC0" w14:textId="77777777" w:rsidR="00E733EF" w:rsidRPr="00A91DBD" w:rsidRDefault="00191652" w:rsidP="00A91DBD">
      <w:pPr>
        <w:pStyle w:val="Heading2"/>
        <w:spacing w:beforeLines="100" w:afterLines="100" w:after="240" w:line="340" w:lineRule="atLeast"/>
        <w:jc w:val="both"/>
        <w:rPr>
          <w:b/>
          <w:bCs w:val="0"/>
          <w:sz w:val="21"/>
          <w:szCs w:val="21"/>
        </w:rPr>
      </w:pPr>
      <w:r w:rsidRPr="00A91DBD">
        <w:rPr>
          <w:rFonts w:hint="eastAsia"/>
          <w:b/>
          <w:bCs w:val="0"/>
          <w:sz w:val="21"/>
          <w:szCs w:val="21"/>
        </w:rPr>
        <w:lastRenderedPageBreak/>
        <w:t>内部监督</w:t>
      </w:r>
    </w:p>
    <w:p w14:paraId="7E98E732" w14:textId="77777777" w:rsidR="00E733EF" w:rsidRPr="00A91DBD" w:rsidRDefault="00191652" w:rsidP="00A91DBD">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A91DBD">
        <w:rPr>
          <w:rFonts w:asciiTheme="minorEastAsia" w:eastAsiaTheme="minorEastAsia" w:hAnsiTheme="minorEastAsia" w:hint="eastAsia"/>
          <w:sz w:val="21"/>
          <w:szCs w:val="21"/>
        </w:rPr>
        <w:t>内部监督倡议继续支持本组织通过加强问责制、合规性、资金效益、受托责任、内部控制和组织治理来实现其目标。具体而言，产权组织内部监督司在2022年发布了一份评价报告，其目的之一是评估和衡量产权组织在组织和管理各常设委员会方面的有效性。总体而言，成员国承认，产权组织秘书处成功地开展了支持各常设委员会的后勤和组织活动。报告还强调了产权组织秘书处可以进一步优化的程序、做法和活动，以更好地支持各常设委员会工作的筹备、管理和后续行动。评价提出的其中一项建议是，应进一步明确和协调各常设委员会的作用和程序。此外，应进一步优化产权组织秘书处的协调作用，以便在常设委员会会议之前、期间和之后更好地促进合作和交流。</w:t>
      </w:r>
    </w:p>
    <w:p w14:paraId="4AEA702F" w14:textId="77777777" w:rsidR="00E733EF" w:rsidRPr="00A91DBD" w:rsidRDefault="00191652" w:rsidP="00A91DBD">
      <w:pPr>
        <w:pStyle w:val="Heading2"/>
        <w:spacing w:beforeLines="100" w:afterLines="100" w:after="240" w:line="340" w:lineRule="atLeast"/>
        <w:jc w:val="both"/>
        <w:rPr>
          <w:b/>
          <w:bCs w:val="0"/>
          <w:sz w:val="21"/>
          <w:szCs w:val="21"/>
        </w:rPr>
      </w:pPr>
      <w:r w:rsidRPr="00A91DBD">
        <w:rPr>
          <w:rFonts w:hint="eastAsia"/>
          <w:b/>
          <w:bCs w:val="0"/>
          <w:sz w:val="21"/>
          <w:szCs w:val="21"/>
        </w:rPr>
        <w:t>青年专家计划</w:t>
      </w:r>
    </w:p>
    <w:p w14:paraId="1EDEA134" w14:textId="7EFF35C8" w:rsidR="00E733EF" w:rsidRPr="00A91DBD" w:rsidRDefault="00191652" w:rsidP="00A91DBD">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A91DBD">
        <w:rPr>
          <w:rFonts w:asciiTheme="minorEastAsia" w:eastAsiaTheme="minorEastAsia" w:hAnsiTheme="minorEastAsia" w:hint="eastAsia"/>
          <w:sz w:val="21"/>
          <w:szCs w:val="21"/>
        </w:rPr>
        <w:t>2022年还启动了产权组织青年专家计划（YEP），</w:t>
      </w:r>
      <w:r w:rsidRPr="00A91DBD">
        <w:rPr>
          <w:rStyle w:val="FootnoteReference"/>
          <w:rFonts w:asciiTheme="minorEastAsia" w:eastAsiaTheme="minorEastAsia" w:hAnsiTheme="minorEastAsia"/>
          <w:sz w:val="21"/>
          <w:szCs w:val="21"/>
        </w:rPr>
        <w:footnoteReference w:id="170"/>
      </w:r>
      <w:r w:rsidRPr="00A91DBD">
        <w:rPr>
          <w:rFonts w:asciiTheme="minorEastAsia" w:eastAsiaTheme="minorEastAsia" w:hAnsiTheme="minorEastAsia" w:hint="eastAsia"/>
          <w:sz w:val="21"/>
          <w:szCs w:val="21"/>
        </w:rPr>
        <w:t>该计划旨在培训下一代全球知识产权领导人，以帮助在全世界建立创新生态系统。该两年期计划由产权组织主办，旨在让具有高度潜力的青年，特别是来自发展中国家和最不发达国家以及转型国家的青年，了解知识产权的技术和政策。该计划还包括为每位青年专家提供结构化的指导计划，以及与产权组织高级领导层定期沟通联络的机会。第一批青年专家于2022年2月加入产权组织，任务期为两年。根据组织需要和优先事项以及候选人的情况和所表达的兴趣向入选的青年专家分配任务。在这一年中，入选的青年专家获得了广泛而又有凝聚力的产权组织工作体验，重点是在产权组织不同部门进行在职学习。产权组织希望青年专家能给产权组织带来新的想法和经验，并希望他们能分享本组织的价值观，对实现本组织的使命——领导制定平衡有效的国际知识产权制度——充满热情和奉献精神。第二批青年专家的申请工作已于2022年9月启动。</w:t>
      </w:r>
      <w:r w:rsidR="00A91DBD">
        <w:rPr>
          <w:rFonts w:asciiTheme="minorEastAsia" w:eastAsiaTheme="minorEastAsia" w:hAnsiTheme="minorEastAsia" w:hint="cs"/>
          <w:sz w:val="21"/>
          <w:szCs w:val="21"/>
        </w:rPr>
        <w:t>‍</w:t>
      </w:r>
      <w:r w:rsidRPr="00A91DBD">
        <w:rPr>
          <w:rStyle w:val="FootnoteReference"/>
          <w:rFonts w:asciiTheme="minorEastAsia" w:eastAsiaTheme="minorEastAsia" w:hAnsiTheme="minorEastAsia"/>
          <w:sz w:val="21"/>
          <w:szCs w:val="21"/>
        </w:rPr>
        <w:footnoteReference w:id="171"/>
      </w:r>
    </w:p>
    <w:p w14:paraId="269E556D" w14:textId="77777777" w:rsidR="00E733EF" w:rsidRPr="00A91DBD" w:rsidRDefault="00191652" w:rsidP="00A91DBD">
      <w:pPr>
        <w:pStyle w:val="Heading1"/>
        <w:overflowPunct w:val="0"/>
        <w:spacing w:beforeLines="100" w:afterLines="100" w:after="240" w:line="340" w:lineRule="atLeast"/>
        <w:jc w:val="both"/>
        <w:rPr>
          <w:rFonts w:ascii="SimHei" w:eastAsia="SimHei" w:hAnsi="SimHei"/>
          <w:b w:val="0"/>
          <w:bCs w:val="0"/>
          <w:sz w:val="21"/>
          <w:szCs w:val="21"/>
        </w:rPr>
      </w:pPr>
      <w:r w:rsidRPr="00A91DBD">
        <w:rPr>
          <w:rFonts w:ascii="SimHei" w:eastAsia="SimHei" w:hAnsi="SimHei" w:hint="eastAsia"/>
          <w:b w:val="0"/>
          <w:bCs w:val="0"/>
          <w:caps w:val="0"/>
          <w:sz w:val="21"/>
          <w:szCs w:val="21"/>
        </w:rPr>
        <w:t>结　论</w:t>
      </w:r>
    </w:p>
    <w:p w14:paraId="23400041" w14:textId="77777777" w:rsidR="00E733EF" w:rsidRPr="00A91DBD" w:rsidRDefault="00191652" w:rsidP="00A91DBD">
      <w:pPr>
        <w:pStyle w:val="ListParagraph"/>
        <w:numPr>
          <w:ilvl w:val="0"/>
          <w:numId w:val="4"/>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A91DBD">
        <w:rPr>
          <w:rFonts w:asciiTheme="minorEastAsia" w:eastAsiaTheme="minorEastAsia" w:hAnsiTheme="minorEastAsia" w:hint="eastAsia"/>
          <w:sz w:val="21"/>
          <w:szCs w:val="21"/>
        </w:rPr>
        <w:t>2022年，本组织在产权组织《2022-2026年中期战略计划》雄心勃勃的战略背景和成员国的指导下，开启了转型之旅。CDIP坚持不懈的精神仍然是本组织为创造更美好的未来而推动创新和创造的努力的重要组成部分。通过将发展议程纳入产权组织各部门的主流，以及通过新的发展议程项目，产权组织在本报告所涉期间成功地应对了成员国当前与发展相关的需求和情况。在这一年里，特别重视扩大与产权组织接触的利益攸关方的范围，并确保采取以影响驱动的方法来促进发展。通过这些活动，本组织在成员国的支持下，努力为建立一个知识产权成为就业、投资和发展的强大催化剂的世界指明道路，支持世界各地的创新者和创造者。</w:t>
      </w:r>
    </w:p>
    <w:p w14:paraId="376ACC6E" w14:textId="77777777" w:rsidR="00E733EF" w:rsidRPr="00A91DBD" w:rsidRDefault="00191652" w:rsidP="00A91DBD">
      <w:pPr>
        <w:tabs>
          <w:tab w:val="right" w:pos="9355"/>
        </w:tabs>
        <w:spacing w:before="720" w:afterLines="50" w:after="120" w:line="340" w:lineRule="exact"/>
        <w:ind w:left="5534"/>
        <w:textAlignment w:val="bottom"/>
        <w:rPr>
          <w:rFonts w:ascii="KaiTi" w:eastAsia="KaiTi" w:hAnsi="KaiTi"/>
          <w:sz w:val="21"/>
        </w:rPr>
      </w:pPr>
      <w:r w:rsidRPr="00A91DBD">
        <w:rPr>
          <w:rFonts w:ascii="KaiTi" w:eastAsia="KaiTi" w:hAnsi="KaiTi" w:hint="eastAsia"/>
          <w:sz w:val="21"/>
        </w:rPr>
        <w:t>[后接附件一]</w:t>
      </w:r>
    </w:p>
    <w:p w14:paraId="173161FE" w14:textId="77777777" w:rsidR="00E733EF" w:rsidRDefault="00191652">
      <w:pPr>
        <w:pStyle w:val="ListParagraph"/>
        <w:spacing w:after="240"/>
        <w:ind w:left="0"/>
        <w:contextualSpacing w:val="0"/>
      </w:pPr>
      <w:r>
        <w:rPr>
          <w:rFonts w:hint="eastAsia"/>
        </w:rPr>
        <w:br w:type="page"/>
      </w:r>
    </w:p>
    <w:p w14:paraId="6D2FCA72" w14:textId="77777777" w:rsidR="00E733EF" w:rsidRDefault="00E733EF">
      <w:pPr>
        <w:pStyle w:val="ListParagraph"/>
        <w:spacing w:after="240"/>
        <w:ind w:left="0"/>
        <w:contextualSpacing w:val="0"/>
        <w:sectPr w:rsidR="00E733EF" w:rsidSect="005E79C4">
          <w:headerReference w:type="default" r:id="rId20"/>
          <w:endnotePr>
            <w:numFmt w:val="decimal"/>
          </w:endnotePr>
          <w:pgSz w:w="11907" w:h="16840"/>
          <w:pgMar w:top="567" w:right="1134" w:bottom="1418" w:left="1418" w:header="510" w:footer="1021" w:gutter="0"/>
          <w:pgNumType w:start="1"/>
          <w:cols w:space="720"/>
          <w:titlePg/>
          <w:docGrid w:linePitch="299"/>
        </w:sectPr>
      </w:pPr>
    </w:p>
    <w:p w14:paraId="5D7672BF" w14:textId="7DD74773" w:rsidR="00E733EF" w:rsidRPr="00C217BA" w:rsidRDefault="00191652">
      <w:pPr>
        <w:pStyle w:val="Heading1"/>
        <w:jc w:val="center"/>
        <w:rPr>
          <w:rFonts w:ascii="SimHei" w:eastAsia="SimHei" w:hAnsi="SimHei"/>
          <w:b w:val="0"/>
          <w:bCs w:val="0"/>
          <w:sz w:val="21"/>
          <w:szCs w:val="21"/>
        </w:rPr>
      </w:pPr>
      <w:r w:rsidRPr="00C217BA">
        <w:rPr>
          <w:rFonts w:ascii="SimHei" w:eastAsia="SimHei" w:hAnsi="SimHei" w:hint="eastAsia"/>
          <w:b w:val="0"/>
          <w:bCs w:val="0"/>
          <w:sz w:val="21"/>
          <w:szCs w:val="21"/>
        </w:rPr>
        <w:lastRenderedPageBreak/>
        <w:t>45项发展议程建议与产权组织2022/26年预期成果的联系</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4"/>
        <w:gridCol w:w="6534"/>
      </w:tblGrid>
      <w:tr w:rsidR="00E733EF" w:rsidRPr="00C217BA" w14:paraId="7A8F8319" w14:textId="77777777">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1CE2A1" w14:textId="77777777" w:rsidR="00E733EF" w:rsidRPr="00C217BA" w:rsidRDefault="00191652" w:rsidP="00C217BA">
            <w:pPr>
              <w:overflowPunct w:val="0"/>
              <w:spacing w:afterLines="50" w:after="120" w:line="340" w:lineRule="atLeast"/>
              <w:rPr>
                <w:rFonts w:ascii="KaiTi" w:eastAsia="KaiTi" w:hAnsi="KaiTi"/>
                <w:b/>
                <w:iCs/>
                <w:sz w:val="21"/>
                <w:szCs w:val="21"/>
              </w:rPr>
            </w:pPr>
            <w:r w:rsidRPr="00C217BA">
              <w:rPr>
                <w:rFonts w:ascii="KaiTi" w:eastAsia="KaiTi" w:hAnsi="KaiTi" w:hint="eastAsia"/>
                <w:b/>
                <w:iCs/>
                <w:sz w:val="21"/>
                <w:szCs w:val="21"/>
              </w:rPr>
              <w:t>建议1</w:t>
            </w:r>
            <w:r w:rsidRPr="00EB2221">
              <w:rPr>
                <w:rFonts w:ascii="KaiTi" w:eastAsia="KaiTi" w:hAnsi="KaiTi" w:hint="eastAsia"/>
                <w:b/>
                <w:iCs/>
                <w:sz w:val="21"/>
                <w:szCs w:val="21"/>
                <w:vertAlign w:val="superscript"/>
              </w:rPr>
              <w:t>*</w:t>
            </w:r>
            <w:r w:rsidRPr="00C217BA">
              <w:rPr>
                <w:rFonts w:ascii="KaiTi" w:eastAsia="KaiTi" w:hAnsi="KaiTi"/>
                <w:b/>
                <w:iCs/>
                <w:sz w:val="21"/>
                <w:szCs w:val="21"/>
                <w:vertAlign w:val="superscript"/>
                <w:lang w:eastAsia="en-US"/>
              </w:rPr>
              <w:footnoteReference w:id="172"/>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57784A" w14:textId="77777777" w:rsidR="00E733EF" w:rsidRPr="00C217BA" w:rsidRDefault="00191652" w:rsidP="00C217BA">
            <w:pPr>
              <w:overflowPunct w:val="0"/>
              <w:spacing w:afterLines="50" w:after="120" w:line="340" w:lineRule="atLeast"/>
              <w:rPr>
                <w:rFonts w:ascii="KaiTi" w:eastAsia="KaiTi" w:hAnsi="KaiTi"/>
                <w:b/>
                <w:iCs/>
                <w:sz w:val="21"/>
                <w:szCs w:val="21"/>
              </w:rPr>
            </w:pPr>
            <w:r w:rsidRPr="00C217BA">
              <w:rPr>
                <w:rFonts w:ascii="KaiTi" w:eastAsia="KaiTi" w:hAnsi="KaiTi" w:hint="eastAsia"/>
                <w:b/>
                <w:iCs/>
                <w:sz w:val="21"/>
                <w:szCs w:val="21"/>
              </w:rPr>
              <w:t>与预期成果的联系</w:t>
            </w:r>
            <w:r w:rsidRPr="00C217BA">
              <w:rPr>
                <w:rFonts w:ascii="KaiTi" w:eastAsia="KaiTi" w:hAnsi="KaiTi"/>
                <w:b/>
                <w:iCs/>
                <w:sz w:val="21"/>
                <w:szCs w:val="21"/>
                <w:vertAlign w:val="superscript"/>
              </w:rPr>
              <w:footnoteReference w:id="173"/>
            </w:r>
          </w:p>
        </w:tc>
      </w:tr>
      <w:tr w:rsidR="00E733EF" w:rsidRPr="00C217BA" w14:paraId="735AAE54"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A54ABF"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WIPO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6316B1C"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2.1 兼顾各方利益的有效知识产权国际准则制定框架得到发展。</w:t>
            </w:r>
          </w:p>
          <w:p w14:paraId="7787901A"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2.4 与联合国、政府间组织和非政府组织建立有效的互动和伙伴关系，对知识产权可以有所作为的全球目标予以支持。</w:t>
            </w:r>
          </w:p>
          <w:p w14:paraId="4F12C98E"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71C1DE73"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4.2 兼顾各方利益的有效知识产权、创新和创造生态系统在成员国得到发展。</w:t>
            </w:r>
          </w:p>
          <w:p w14:paraId="03D6E57D"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4.3 知识产权知识和技能在所有成员国得到增进。</w:t>
            </w:r>
          </w:p>
          <w:p w14:paraId="22ECD957"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4.5 为知识产权局完善知识产权基础设施。</w:t>
            </w:r>
          </w:p>
        </w:tc>
      </w:tr>
      <w:tr w:rsidR="00E733EF" w:rsidRPr="00C217BA" w14:paraId="17C67A6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DEB08B" w14:textId="77777777" w:rsidR="00E733EF" w:rsidRPr="00EB2221" w:rsidRDefault="00191652" w:rsidP="00C217BA">
            <w:pPr>
              <w:overflowPunct w:val="0"/>
              <w:spacing w:afterLines="50" w:after="120" w:line="340" w:lineRule="atLeast"/>
              <w:rPr>
                <w:rFonts w:ascii="KaiTi" w:eastAsia="KaiTi" w:hAnsi="KaiTi"/>
                <w:iCs/>
                <w:sz w:val="21"/>
                <w:szCs w:val="21"/>
              </w:rPr>
            </w:pPr>
            <w:r w:rsidRPr="00EB2221">
              <w:rPr>
                <w:rFonts w:ascii="KaiTi" w:eastAsia="KaiTi" w:hAnsi="KaiTi" w:hint="eastAsia"/>
                <w:b/>
                <w:iCs/>
                <w:sz w:val="21"/>
                <w:szCs w:val="21"/>
              </w:rPr>
              <w:t>建议2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27B138" w14:textId="77777777" w:rsidR="00E733EF" w:rsidRPr="00EB2221" w:rsidRDefault="00191652" w:rsidP="00C217BA">
            <w:pPr>
              <w:overflowPunct w:val="0"/>
              <w:spacing w:afterLines="50" w:after="120" w:line="340" w:lineRule="atLeast"/>
              <w:rPr>
                <w:rFonts w:ascii="KaiTi" w:eastAsia="KaiTi" w:hAnsi="KaiTi"/>
                <w:iCs/>
                <w:sz w:val="21"/>
                <w:szCs w:val="21"/>
              </w:rPr>
            </w:pPr>
            <w:r w:rsidRPr="00EB2221">
              <w:rPr>
                <w:rFonts w:ascii="KaiTi" w:eastAsia="KaiTi" w:hAnsi="KaiTi" w:hint="eastAsia"/>
                <w:b/>
                <w:iCs/>
                <w:sz w:val="21"/>
                <w:szCs w:val="21"/>
              </w:rPr>
              <w:t>与预期成果的联系</w:t>
            </w:r>
          </w:p>
        </w:tc>
      </w:tr>
      <w:tr w:rsidR="00E733EF" w:rsidRPr="00C217BA" w14:paraId="040F666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5278B7"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通过捐助国提供资金，增加WIPO提供的援助，在WIPO设立最不发达国家专项信托基金或其他自愿基金，同时继续优先重视通过预算内和预算外资源为在非洲开展活动提供资金，以尤其促进这些国家在法律、商业、文化和经济方面利用知识产权。</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C17E18" w14:textId="2B068DE9"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bl>
    <w:p w14:paraId="7785AA12" w14:textId="77777777" w:rsidR="00EB2221" w:rsidRDefault="00EB2221" w:rsidP="00C217BA">
      <w:pPr>
        <w:overflowPunct w:val="0"/>
        <w:spacing w:afterLines="50" w:after="120" w:line="340" w:lineRule="atLeast"/>
        <w:rPr>
          <w:rFonts w:ascii="KaiTi" w:eastAsia="KaiTi" w:hAnsi="KaiTi"/>
          <w:b/>
          <w:iCs/>
          <w:sz w:val="21"/>
          <w:szCs w:val="21"/>
        </w:rPr>
        <w:sectPr w:rsidR="00EB2221" w:rsidSect="00EB2221">
          <w:headerReference w:type="default" r:id="rId21"/>
          <w:headerReference w:type="first" r:id="rId22"/>
          <w:endnotePr>
            <w:numFmt w:val="decimal"/>
          </w:endnotePr>
          <w:pgSz w:w="16840" w:h="11907" w:orient="landscape"/>
          <w:pgMar w:top="1418" w:right="2440" w:bottom="1134" w:left="1418" w:header="510" w:footer="1021" w:gutter="0"/>
          <w:pgNumType w:start="1"/>
          <w:cols w:space="720"/>
          <w:titlePg/>
          <w:docGrid w:linePitch="299"/>
        </w:sectPr>
      </w:pP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45项发展议程建议与产权组织2022/26年预期成果的联系"/>
        <w:tblDescription w:val="45项发展议程建议与产权组织2022/26年预期成果的联系"/>
      </w:tblPr>
      <w:tblGrid>
        <w:gridCol w:w="6534"/>
        <w:gridCol w:w="6534"/>
      </w:tblGrid>
      <w:tr w:rsidR="00E733EF" w:rsidRPr="00C217BA" w14:paraId="713C346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D8C88C" w14:textId="1C86B976" w:rsidR="00E733EF" w:rsidRPr="00EB2221" w:rsidRDefault="00191652" w:rsidP="00C217BA">
            <w:pPr>
              <w:overflowPunct w:val="0"/>
              <w:spacing w:afterLines="50" w:after="120" w:line="340" w:lineRule="atLeast"/>
              <w:rPr>
                <w:rFonts w:ascii="KaiTi" w:eastAsia="KaiTi" w:hAnsi="KaiTi"/>
                <w:b/>
                <w:iCs/>
                <w:sz w:val="21"/>
                <w:szCs w:val="21"/>
              </w:rPr>
            </w:pPr>
            <w:r w:rsidRPr="00EB2221">
              <w:rPr>
                <w:rFonts w:ascii="KaiTi" w:eastAsia="KaiTi" w:hAnsi="KaiTi" w:hint="eastAsia"/>
                <w:b/>
                <w:iCs/>
                <w:sz w:val="21"/>
                <w:szCs w:val="21"/>
              </w:rPr>
              <w:lastRenderedPageBreak/>
              <w:t>建议3</w:t>
            </w:r>
            <w:r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928D1B" w14:textId="77777777" w:rsidR="00E733EF" w:rsidRPr="00EB2221" w:rsidRDefault="00191652" w:rsidP="00C217BA">
            <w:pPr>
              <w:overflowPunct w:val="0"/>
              <w:spacing w:afterLines="50" w:after="120" w:line="340" w:lineRule="atLeast"/>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rsidRPr="00C217BA" w14:paraId="3558934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DB23279"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增加用于WIPO技术援助计划的人力和财政拨款，以尤其弘扬面向发展的知识产权文化，并重点争取在各级不同学术机构开展知识产权教育，提高公众对知识产权的认识。</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8471F81"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1.1 世界范围内的传播和接触更有效，人们对知识产权在处处改善人人生活的潜力有更好的认识和更多的了解。</w:t>
            </w:r>
          </w:p>
          <w:p w14:paraId="4B905FA5"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5732078D" w14:textId="77777777" w:rsidR="00E733EF" w:rsidRPr="00C217BA" w:rsidRDefault="00191652" w:rsidP="00C217BA">
            <w:pPr>
              <w:overflowPunct w:val="0"/>
              <w:spacing w:afterLines="50" w:after="120" w:line="340" w:lineRule="atLeas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4.3 知识产权知识和技能在所有成员国得到增进。</w:t>
            </w:r>
          </w:p>
        </w:tc>
      </w:tr>
      <w:tr w:rsidR="00E733EF" w:rsidRPr="00C217BA" w14:paraId="0D4B7D9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15CEBA" w14:textId="77777777" w:rsidR="00E733EF" w:rsidRPr="00EB2221" w:rsidRDefault="00191652" w:rsidP="00C217BA">
            <w:pPr>
              <w:overflowPunct w:val="0"/>
              <w:spacing w:afterLines="50" w:after="120" w:line="340" w:lineRule="atLeast"/>
              <w:rPr>
                <w:rFonts w:ascii="KaiTi" w:eastAsia="KaiTi" w:hAnsi="KaiTi"/>
                <w:b/>
                <w:iCs/>
                <w:sz w:val="21"/>
                <w:szCs w:val="21"/>
              </w:rPr>
            </w:pPr>
            <w:r w:rsidRPr="00EB2221">
              <w:rPr>
                <w:rFonts w:ascii="KaiTi" w:eastAsia="KaiTi" w:hAnsi="KaiTi" w:hint="eastAsia"/>
                <w:b/>
                <w:iCs/>
                <w:sz w:val="21"/>
                <w:szCs w:val="21"/>
              </w:rPr>
              <w:t>建议4</w:t>
            </w:r>
            <w:r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A86C32" w14:textId="77777777" w:rsidR="00E733EF" w:rsidRPr="00EB2221" w:rsidRDefault="00191652" w:rsidP="00C217BA">
            <w:pPr>
              <w:overflowPunct w:val="0"/>
              <w:spacing w:afterLines="50" w:after="120" w:line="340" w:lineRule="atLeast"/>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454F860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34E2F5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尤其重视中小企业以及从事科研和文化产业工作的各机构的需求，并根据成员国的请求，帮助其制定知识产权领域的适当国家战略。</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97C1E2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3002D4D5"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3553646B" w14:textId="595F469D"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p w14:paraId="5B401AC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4.4 更多创新者、创造者、中小企业、高校、研究机构和社群成功地运用知识产权。</w:t>
            </w:r>
          </w:p>
        </w:tc>
      </w:tr>
      <w:tr w:rsidR="00E733EF" w14:paraId="0F2A66A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D5968F"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FDA187"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3627CE32"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0DE4668" w14:textId="5EDCA239"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WIPO应在其网站上介绍关于所有技术援助活动的一般信息，并根据成员国的请求，在得到有关活动所涉成员国及其他受援国同意的情况下，提供具体活动的详情。</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F81EA4C" w14:textId="4AFA8C4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06062E3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0A53E1B8"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1E2251"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建议6</w:t>
            </w:r>
            <w:r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174237"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088EE29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F0709F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lastRenderedPageBreak/>
              <w:t>WIPO负责技术援助的职员和顾问应继续保持中立、负责，尤其应注意遵守现有的行为守则，并避免潜在的利益冲突。WIPO应制定并向成员国广泛宣传能为WIPO现有可担任技术援助顾问的专家的花名册。</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C1706F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16063E40"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5.1 通过充满活力的组织文化为秘书处赋能，提供适当的资源和培训，使工作卓有成效、互相协作、有创新精神。</w:t>
            </w:r>
          </w:p>
        </w:tc>
      </w:tr>
      <w:tr w:rsidR="00E733EF" w14:paraId="66492F9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966276"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建议7</w:t>
            </w:r>
            <w:r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4C32E4"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566EBB1"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0B2A63E"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根据发展中国家尤其是最不发达国家的请求，向其提供技术合作，推动有助于各国处理与知识产权有关的反竞争做法的各项措施，以更好地了解知识产权与竞争政策之间的关系。</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6444DBC" w14:textId="3E97555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tc>
      </w:tr>
      <w:tr w:rsidR="00E733EF" w14:paraId="4E82B29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6CC4F2"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CC5FC4"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40634F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BDB324A" w14:textId="619D3C18"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请WIPO与研究机构和私营企业订立协议，以便利发展中国家尤其是最不发达国家的国家局及其区域和次区域知识产权组织，为专利检索的目的，查阅专业化数据库。</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E6E4030" w14:textId="31E2FC8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70E0C1DB" w14:textId="522B806F"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p w14:paraId="7979E2FE"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4.4 更多创新者、创造者、中小企业、高校、研究机构和社群成功地运用知识。</w:t>
            </w:r>
          </w:p>
        </w:tc>
      </w:tr>
      <w:tr w:rsidR="00E733EF" w14:paraId="420BA643"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2AC9F7"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92C13A"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4C11368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5BC4E39" w14:textId="181D73AE"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请WIPO与成员国合作，建立一个数据库，为从可动用的资源中找到能满足与知识产权有关的各项具体需求的资金牵线搭桥，从而扩大其技术援助计划的范围，争取缩小数字鸿沟。</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434A0CD" w14:textId="27F3EEBB"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6BA83A99" w14:textId="66F67E73"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2FDCFE36"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FB1F674"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66D6BA"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48820D"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8CC5565"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9488FC9"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lastRenderedPageBreak/>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FC1157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5A4079BE" w14:textId="79B7987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768B4B15"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tc>
      </w:tr>
      <w:tr w:rsidR="00E733EF" w14:paraId="1F5E7BE2"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F4EBC5"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建议11</w:t>
            </w:r>
            <w:r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05A382"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0631026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6C355C9"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帮助成员国加强各国保护当地创造、创新与发明的能力，并酌情根据WIPO的任务授权为发展国家科技基础设施提供支持。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6129422" w14:textId="479D2846"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4505A8F4" w14:textId="0AFD0DC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p w14:paraId="052F648C"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4.4 更多创新者、创造者、中小企业、高校、研究机构和社群成功地运用知识产权。</w:t>
            </w:r>
          </w:p>
        </w:tc>
      </w:tr>
      <w:tr w:rsidR="00E733EF" w14:paraId="3723C77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364EC9" w14:textId="39C0AFC2"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建议12</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794A4A"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244E2D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2A8A846"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根据WIPO的任务授权，进一步将发展方面的考虑纳入WIPO各项实质性和技术援助活动和辩论的主流。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B4C8987"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74C9A558"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C07541" w14:textId="37DC207B"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建议13</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5F1C32"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2DFF24C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6D9127B"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WIPO的立法援助应尤其面向发展、按需求提供，并兼顾发展中国家尤其是最不发达国家的优先重点和特别需求，以及各成员国不同的发展水平；对各项活动应规定完成期限。</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1BAE1CC" w14:textId="21629A56"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3DDEF8E4" w14:textId="23043642"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1E342BF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337FBA" w14:textId="2711F9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建议14</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B7BF56"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1C792D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288A2B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lastRenderedPageBreak/>
              <w:t>在WIPO与WTO之间签订的协定的框架内，WIPO应向发展中国家和最不发达国家提供关于如何落实和运用TRIPS协定中的各项权利和义务以及了解和利用其中所载的灵活性方面的咨询意见。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FF71441" w14:textId="103C860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35F6A292" w14:textId="350E77D6"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3C976A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59B0E6" w14:textId="4929FEF9" w:rsidR="00E733EF" w:rsidRPr="00EB2221" w:rsidRDefault="00191652" w:rsidP="00EB2221">
            <w:pPr>
              <w:keepNext/>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建议15</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E4637D" w14:textId="77777777" w:rsidR="00E733EF" w:rsidRPr="00EB2221" w:rsidRDefault="00191652" w:rsidP="00EB2221">
            <w:pPr>
              <w:keepNext/>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5EC36525"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2DA6A2B"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准则制定活动应：</w:t>
            </w:r>
          </w:p>
          <w:p w14:paraId="0194BE75" w14:textId="5F6D0BFF" w:rsidR="00E733EF" w:rsidRPr="00EB2221" w:rsidRDefault="00191652" w:rsidP="00EB2221">
            <w:pPr>
              <w:numPr>
                <w:ilvl w:val="0"/>
                <w:numId w:val="13"/>
              </w:numPr>
              <w:tabs>
                <w:tab w:val="left" w:pos="567"/>
              </w:tabs>
              <w:overflowPunct w:val="0"/>
              <w:spacing w:afterLines="50" w:after="120" w:line="340" w:lineRule="atLeast"/>
              <w:ind w:left="91" w:hanging="17"/>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具有包容性，并受成员国驱动；</w:t>
            </w:r>
          </w:p>
          <w:p w14:paraId="42668733" w14:textId="18778D4B" w:rsidR="00E733EF" w:rsidRPr="00EB2221" w:rsidRDefault="00191652" w:rsidP="00EB2221">
            <w:pPr>
              <w:numPr>
                <w:ilvl w:val="0"/>
                <w:numId w:val="13"/>
              </w:numPr>
              <w:tabs>
                <w:tab w:val="left" w:pos="567"/>
              </w:tabs>
              <w:overflowPunct w:val="0"/>
              <w:spacing w:afterLines="50" w:after="120" w:line="340" w:lineRule="atLeast"/>
              <w:ind w:left="91" w:hanging="17"/>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考虑不同的发展水平；</w:t>
            </w:r>
          </w:p>
          <w:p w14:paraId="1FF4BC40" w14:textId="43C21105" w:rsidR="00E733EF" w:rsidRPr="00EB2221" w:rsidRDefault="00191652" w:rsidP="00EB2221">
            <w:pPr>
              <w:numPr>
                <w:ilvl w:val="0"/>
                <w:numId w:val="13"/>
              </w:numPr>
              <w:tabs>
                <w:tab w:val="left" w:pos="567"/>
              </w:tabs>
              <w:overflowPunct w:val="0"/>
              <w:spacing w:afterLines="50" w:after="120" w:line="340" w:lineRule="atLeast"/>
              <w:ind w:left="91" w:hanging="17"/>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兼顾成本与利益之间的均衡；</w:t>
            </w:r>
          </w:p>
          <w:p w14:paraId="4B1190AA" w14:textId="2331077E" w:rsidR="00E733EF" w:rsidRPr="00EB2221" w:rsidRDefault="00191652" w:rsidP="00EB2221">
            <w:pPr>
              <w:numPr>
                <w:ilvl w:val="0"/>
                <w:numId w:val="13"/>
              </w:numPr>
              <w:tabs>
                <w:tab w:val="left" w:pos="567"/>
              </w:tabs>
              <w:overflowPunct w:val="0"/>
              <w:spacing w:afterLines="50" w:after="120" w:line="340" w:lineRule="atLeast"/>
              <w:ind w:left="91" w:hanging="17"/>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成为一项参与性程序，兼顾WIPO所有成员国的利益和优先重点，并兼顾包括经认可的政府间组织和非政府组织在内的其他利益攸关者的观点；</w:t>
            </w:r>
          </w:p>
          <w:p w14:paraId="7BE7AA1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t>
            </w:r>
            <w:r w:rsidRPr="00EB2221">
              <w:rPr>
                <w:rFonts w:asciiTheme="minorEastAsia" w:eastAsiaTheme="minorEastAsia" w:hAnsiTheme="minorEastAsia" w:hint="eastAsia"/>
                <w:sz w:val="21"/>
                <w:szCs w:val="21"/>
              </w:rPr>
              <w:tab/>
              <w:t>符合WIPO秘书处保持中立的原则。</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890F191" w14:textId="0D8AD5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59B70EE6" w14:textId="4609794F"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tc>
      </w:tr>
      <w:tr w:rsidR="00E733EF" w14:paraId="6A12C27D"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0C233F" w14:textId="4DA0DC5C"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建议16</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B0E375"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38661529"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CBC1E15"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在WIPO的准则制定程序中，注意保护公有领域，加深对建立丰富并易于获得的公有领域所涉的影响和利益进行的分析。</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7F4AC79" w14:textId="09610620"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0089900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482590D"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469279" w14:textId="2E889E1C"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建议17</w:t>
            </w:r>
            <w:r w:rsidR="00EB2221" w:rsidRPr="00EB222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6E0354" w14:textId="77777777" w:rsidR="00E733EF" w:rsidRPr="00EB2221" w:rsidRDefault="00191652" w:rsidP="00EB2221">
            <w:pPr>
              <w:overflowPunct w:val="0"/>
              <w:spacing w:afterLines="50" w:after="120" w:line="340" w:lineRule="atLeast"/>
              <w:jc w:val="both"/>
              <w:rPr>
                <w:rFonts w:ascii="KaiTi" w:eastAsia="KaiTi" w:hAnsi="KaiTi"/>
                <w:b/>
                <w:iCs/>
                <w:sz w:val="21"/>
                <w:szCs w:val="21"/>
              </w:rPr>
            </w:pPr>
            <w:r w:rsidRPr="00EB2221">
              <w:rPr>
                <w:rFonts w:ascii="KaiTi" w:eastAsia="KaiTi" w:hAnsi="KaiTi" w:hint="eastAsia"/>
                <w:b/>
                <w:iCs/>
                <w:sz w:val="21"/>
                <w:szCs w:val="21"/>
              </w:rPr>
              <w:t>与预期成果的联系</w:t>
            </w:r>
          </w:p>
        </w:tc>
      </w:tr>
      <w:tr w:rsidR="00E733EF" w14:paraId="79969411"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79F0FA7"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WIPO在其包括准则制定在内的各项活动中，应当顾及国际知识产权协定中所规定的灵活性，尤其是发展中国家和最不发达国家关心的灵活性。</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4405B12" w14:textId="40D1AE89"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33F282F4"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69B9CD7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BB50AE" w14:textId="6DCAEC8A" w:rsidR="00E733EF" w:rsidRPr="00E20381" w:rsidRDefault="00191652" w:rsidP="00EB222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lastRenderedPageBreak/>
              <w:t>建议18</w:t>
            </w:r>
            <w:r w:rsidR="00EB2221"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12EA78" w14:textId="77777777" w:rsidR="00E733EF" w:rsidRPr="00E20381" w:rsidRDefault="00191652" w:rsidP="00EB222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6CE66D8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80C403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促请政府间委员会（IGC）在不妨碍取得任何成果，包括可能制定一份或多份国际文书的前提下，加快保护遗传资源、传统知识和民间文学艺术的进程。</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7EF2836" w14:textId="693C90D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tc>
      </w:tr>
      <w:tr w:rsidR="00E733EF" w14:paraId="109D1285"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0543BD"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建议19</w:t>
            </w:r>
            <w:r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048632"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73C9ED4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4DC306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开展讨论，了解如何在WIPO的任务授权范围内，进一步提供便利，帮助发展中国家和最不发达国家获取知识和技术，以鼓励创造与创新，并加强WIPO在这方面的现有的活动。</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B8A737A" w14:textId="11E6557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1.1 世界范围内的传播和接触更有效，人们对知识产权在处处改善人人生活的潜力有更好的认识和更多的了解。</w:t>
            </w:r>
          </w:p>
          <w:p w14:paraId="1F86E575" w14:textId="1B611B22"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28F29C6E" w14:textId="5A70E87D"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7E67EBB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F085DF8"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A14A2A"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A6E0BB"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2E63BA9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F09CC7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提倡开展有助于在WIPO成员国建立强大的公有领域的知识产权方面的准则制定活动，包括编拟指导方针的可能性，以帮助感兴趣的成员国查明在其各自的管辖范围内已流入公有领域的主题事项。</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C7D6C2E" w14:textId="097393B9"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52AC130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181DB07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FAA0D4"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建议21</w:t>
            </w:r>
            <w:r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F8BAA9"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2555566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8F38286" w14:textId="1821A6E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在开展任何新的准则制定活动之前，WIPO应通过成员驱动的程序，酌情开展非正式、公开和兼顾各方利益的磋商，并鼓励成员国尤其是发展中国家和最不发达国家的专家参与磋商。</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448D6FD" w14:textId="5BCB39D9"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发展兼顾各方利益的、有效的国际知识产权准则制定框架。</w:t>
            </w:r>
          </w:p>
          <w:p w14:paraId="096C932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tc>
      </w:tr>
      <w:tr w:rsidR="00E733EF" w14:paraId="13E1AA0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E12342"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lastRenderedPageBreak/>
              <w:t>建议22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127365"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0357B63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345B60C"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WIPO的各项准则制定活动应当有助于实现联合国系统中议定的各项发展目标，包括《千年宣言》中所载的目标。</w:t>
            </w:r>
          </w:p>
          <w:p w14:paraId="58B29F45"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在不损害成员国进行的审议取得任何成果的前提下，WIPO秘书处应酌情并在成员国的指示下，在其准则制定活动的工作文件中处理以下方面的一些问题：</w:t>
            </w:r>
          </w:p>
          <w:p w14:paraId="1CA78729" w14:textId="77777777" w:rsid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(a)为国家执行知识产权规则提供保障；</w:t>
            </w:r>
          </w:p>
          <w:p w14:paraId="09D66C04" w14:textId="508515F0"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(b)知识产权与竞争之间的联系，</w:t>
            </w:r>
          </w:p>
          <w:p w14:paraId="512437BA" w14:textId="77777777" w:rsid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(c)与知识产权有关的技术转让，</w:t>
            </w:r>
          </w:p>
          <w:p w14:paraId="58217873" w14:textId="77777777" w:rsidR="00E20381" w:rsidRDefault="00191652" w:rsidP="00E2038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(d)可能为成员国规定的灵活性、例外和限制，以及</w:t>
            </w:r>
          </w:p>
          <w:p w14:paraId="01FA85B6" w14:textId="32A3FCAE" w:rsidR="00E733EF" w:rsidRPr="00EB2221" w:rsidRDefault="00191652" w:rsidP="00E2038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(e</w:t>
            </w:r>
            <w:proofErr w:type="gramStart"/>
            <w:r w:rsidRPr="00EB2221">
              <w:rPr>
                <w:rFonts w:asciiTheme="minorEastAsia" w:eastAsiaTheme="minorEastAsia" w:hAnsiTheme="minorEastAsia" w:hint="eastAsia"/>
                <w:sz w:val="21"/>
                <w:szCs w:val="21"/>
              </w:rPr>
              <w:t>)为发展中国家和最不发达国家增加特别规定的可能性</w:t>
            </w:r>
            <w:proofErr w:type="gramEnd"/>
            <w:r w:rsidRPr="00EB2221">
              <w:rPr>
                <w:rFonts w:asciiTheme="minorEastAsia" w:eastAsiaTheme="minorEastAsia" w:hAnsiTheme="minorEastAsia" w:hint="eastAsia"/>
                <w:sz w:val="21"/>
                <w:szCs w:val="21"/>
              </w:rPr>
              <w: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2E849B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1164768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3CFE5034"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682D1F4E"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F6B905"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24C883"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0834E0A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901A199" w14:textId="1394CE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考虑如何更好地推动有利于竞争的知识产权许可做法，以尤其鼓励创造、创新、以及向有关国家尤其是发展中国家和最不发达国家转让和传播技术。</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9F629FC" w14:textId="5C6AC1CF"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23B5957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2F101DB1"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9B7DB9"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33033D"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5301B72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84FE3AC"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请WIPO在不超出其权限的情况下，扩大活动范围，争取根据信息社会世界峰会（WSIS）的成果，并考虑数字团结基金（DSF）的重要意义，缩小数字鸿沟。</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F79FC20" w14:textId="51A21CD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25CA0A8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6FF819F8"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DC272B"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lastRenderedPageBreak/>
              <w:t>建议25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D7417D"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1C5F087D"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96F3CB3" w14:textId="5731E4F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探讨为促进有利于向发展中国家转让和推广技术必须采取哪些与知识产权有关的政策和倡议，并采取适当措施，让发展中国家能全面了解各项不同规定中涉及有关国际协定中提供的灵活性方面的利益。</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729552D" w14:textId="1BF784A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发展兼顾各方利益的、有效的国际知识产权准则制定框架。</w:t>
            </w:r>
          </w:p>
          <w:p w14:paraId="26226D31" w14:textId="063C74B8"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11C3B76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6BC84C2"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D56DBE"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DFCCB2"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32247944"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3F62A90" w14:textId="74A66E4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鼓励成员国尤其是发达国家敦促其研究和科技机构加强与发展中国家尤其是最不发达国家的研究与开发机构之间的合作与交流。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6E8E386" w14:textId="5094F4C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p w14:paraId="4F6D60B9"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3F66DBA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4CFA4C"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2B1238"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2078897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805E332"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为利用与知识产权有关的信通技术促进增长与发展提供便利：在WIPO的一个适当机构中进行讨论，重点探讨与知识产权有关的信通技术的重要性，及其在经济和文化发展中的作用，并着重帮助各成员国确定与知识产权有关的实际战略，利用信通技术促进经济、社会和文化发展。</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A18BB20" w14:textId="1D42F660"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p w14:paraId="17F49790" w14:textId="6E0E2893"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3.2 产权组织全球知识产权体系、服务、知识和数据的生产率和服务质量得到提高。</w:t>
            </w:r>
          </w:p>
          <w:p w14:paraId="1AA5916E" w14:textId="76A29656"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将发展议程各项建议纳入产权组织工作的主流。</w:t>
            </w:r>
          </w:p>
          <w:p w14:paraId="5CC8DAA3"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4.5 为知识产权局完善知识产权基础设施。</w:t>
            </w:r>
          </w:p>
        </w:tc>
      </w:tr>
      <w:tr w:rsidR="00E733EF" w14:paraId="57ED254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3E636F"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7984EC"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74325FE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FBC02F0"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探讨成员国尤其是发达国家为促进向发展中国家转让和推广技术可以采取哪些与知识产权有关的扶持性政策和措施。</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0F89C71" w14:textId="22718F68"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1F494BF5" w14:textId="2B599195"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lastRenderedPageBreak/>
              <w:t>3.3 通过产权组织基于知识产权的平台和工具，促进知识转让和技术调适，应对全球挑战。</w:t>
            </w:r>
          </w:p>
          <w:p w14:paraId="59F3ACA0"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24B85E7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96CCDB"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lastRenderedPageBreak/>
              <w:t>建议29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3DCB97"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63C915B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3F31BB1" w14:textId="24A3422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将有关知识产权相关的技术转让问题的讨论纳入WIPO的一个适当机构的任务授权中。</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647B99A" w14:textId="7E4F1876"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p w14:paraId="63C45C47" w14:textId="3DC97510"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7F1500B5"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55B72B63"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51FD8B"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7899F5"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39E9EA7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08579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WIPO应与其他政府间组织合作，根据请求向发展中国家，包括最不发达国家，提供关于如何获取和利用与知识产权相关的技术信息，尤其是请求方所特别关心的领域中的这些信息。</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D68E7E6" w14:textId="645D9FBD"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2.4 与联合国、政府间组织和非政府组织建立有效的互动和伙伴关系，对知识产权可以有所作为的全球目标予以支持。</w:t>
            </w:r>
          </w:p>
          <w:p w14:paraId="245A5EF1" w14:textId="3A190662"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23CCC3CE" w14:textId="68E958E0"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0180813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tc>
      </w:tr>
      <w:tr w:rsidR="00E733EF" w14:paraId="1AADA3F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D53FCF"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FDC64F"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69B757E1"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276DC7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执行成员国议定的、有助于向发展中国家转让技术的各项倡议，例如请WIPO为更好地获取公开提供的专利信息提供便利。</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4F5B15A"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3913E407" w14:textId="696B5E6D"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lastRenderedPageBreak/>
              <w:t>3.3 通过产权组织基于知识产权的平台和工具，促进知识转让和技术调适，应对全球挑战。</w:t>
            </w:r>
          </w:p>
          <w:p w14:paraId="5246304A" w14:textId="16F136B5"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tc>
      </w:tr>
      <w:tr w:rsidR="00E733EF" w14:paraId="09A0AF4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B33A24"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lastRenderedPageBreak/>
              <w:t>建议32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CA4408"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41636A5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4716F30"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在WIPO创造机会，交流有关知识产权与竞争政策之间联系方面的国家和区域经验与信息。</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DDE3815" w14:textId="182993F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7079C4C6" w14:textId="7B8C3EEB"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p w14:paraId="0A7EE6A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2.4 与联合国、政府间组织和非政府组织建立有效的互动和伙伴关系，对知识产权可以有所作为的全球目标予以支持。</w:t>
            </w:r>
          </w:p>
        </w:tc>
      </w:tr>
      <w:tr w:rsidR="00E733EF" w14:paraId="3FE868C9"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F24A25"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132110"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47B0AF81"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208B82B"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请WIPO建立一个有效的年度审查与评价机制，以评估其面向发展的所有活动，其中包括与技术援助有关的各项活动，并为此目的酌情制定具体的指标与基准。</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D526A4A" w14:textId="16C08234"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0DC4886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5.3 健全、审慎的财务管理以及有效的组织治理和监督。</w:t>
            </w:r>
          </w:p>
        </w:tc>
      </w:tr>
      <w:tr w:rsidR="00E733EF" w14:paraId="6F11885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49BF87"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458BD1"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16E544A5"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9C27907" w14:textId="4EFDFB8E"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为帮助成员国制定重大的国家计划，请WIPO开展研究，了解在非正规经济部门进行知识产权保护存在哪些障碍，包括了解进行知识产权保护尤其在创造就业机会方面涉及的实际成本和利益。</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FD9D83D" w14:textId="6ECC1EFA"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1F8C45DD" w14:textId="2CBCB90E"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p w14:paraId="6360E2A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4.4 更多创新者、创造者、中小企业、高校、研究机构和社群成功地运用知识产权。</w:t>
            </w:r>
          </w:p>
        </w:tc>
      </w:tr>
      <w:tr w:rsidR="00E733EF" w14:paraId="38E90D9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872516"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lastRenderedPageBreak/>
              <w:t>建议35</w:t>
            </w:r>
            <w:r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A6B134"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4600BE4B"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FBBB492"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请WIPO根据成员国的请求，开展新的研究，评估在这些国家中采用知识产权制度会产生哪些经济、社会和文化影响。</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9E00193" w14:textId="7C39EBC2"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21DD23B1" w14:textId="0577E54A"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3BAF0FDF"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2024144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912CBF"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6E6BA2"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0F9D8724"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2B7769"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交流关于人体基因组项目等开放式合作项目以及关于知识产权模式方面的经验。</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C80A9D2" w14:textId="3CDD941C"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5EFF9FA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tc>
      </w:tr>
      <w:tr w:rsidR="00E733EF" w14:paraId="03BFC526"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563B02"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建议37</w:t>
            </w:r>
            <w:r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2287C7"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099904A6"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EFAECFD"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根据请求并在成员国的指示下，WIPO可以开展关于知识产权保护方面的研究，以了解知识产权与发展之间的可能联系和影响。</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E4FC91C" w14:textId="16FFBA1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3.1 产权组织的全球知识产权体系、服务、知识和数据得到更广泛、更有效的使用。</w:t>
            </w:r>
          </w:p>
          <w:p w14:paraId="07F2D9A9" w14:textId="1750493E"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p w14:paraId="0A94CD6A"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7C702A89"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53FD11"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2047D3"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37B1897C"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61CD582"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加强WIPO客观评估本组织各项活动对发展产生的影响方面的能力。</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B37D34A"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720533A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F43E74"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lastRenderedPageBreak/>
              <w:t>建议39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0CAAE7"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6F77C914"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5099F20" w14:textId="1653B903"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请WIPO在其核心权限和任务范围内，与相关国际组织合作，协助发展中国家尤其是非洲国家开展有关人才流失问题的研究，并提出相应的建议。</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D2A6BD6"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tc>
      </w:tr>
      <w:tr w:rsidR="00E733EF" w14:paraId="4CA71432"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6A0A63"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1D5733"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515ACA0E"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0BEA5BE"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请WIPO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CE9533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1.1 世界范围内的传播和接触更有效，人们对知识产权在处处改善人人生活的潜力有更好的认识和更多的了解。</w:t>
            </w:r>
          </w:p>
          <w:p w14:paraId="4E2A8C72"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2.4 与联合国、政府间组织和非政府组织建立有效的互动和伙伴关系，对知识产权可以有所作为的全球目标予以支持。</w:t>
            </w:r>
          </w:p>
        </w:tc>
      </w:tr>
      <w:tr w:rsidR="00E733EF" w14:paraId="398BF8A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06505B"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4581A9"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3670F369"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9CDEFDC"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对WIPO目前在合作与发展领域开展的技术援助活动进行审查。</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64EAF20" w14:textId="57C465F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4.1 更有效地利用知识产权支持所有成员国及其相关区域和次区域的增长与发展，包括通过将发展议程建议纳入主流。</w:t>
            </w:r>
          </w:p>
          <w:p w14:paraId="63A11A0B"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tc>
      </w:tr>
      <w:tr w:rsidR="00E733EF" w14:paraId="43F5B90A"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36CDB3"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建议42</w:t>
            </w:r>
            <w:r w:rsidRPr="00E20381">
              <w:rPr>
                <w:rFonts w:ascii="KaiTi" w:eastAsia="KaiTi" w:hAnsi="KaiTi" w:hint="eastAsia"/>
                <w:b/>
                <w:iCs/>
                <w:sz w:val="21"/>
                <w:szCs w:val="21"/>
                <w:vertAlign w:val="superscript"/>
              </w:rPr>
              <w:t>*</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7E1B9A"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742445C3"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4C88328"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加强各项措施，根据WIPO关于接纳和认可非政府组织的标准，确保广大民间社会广泛地参与WIPO的活动，并对这一问题进行不断审查。</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51E3D5A" w14:textId="5ACF56AB"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2.4 与联合国、政府间组织和非政府组织建立有效的互动和伙伴关系，对知识产权可以有所作为的全球目标予以支持。</w:t>
            </w:r>
          </w:p>
        </w:tc>
      </w:tr>
      <w:tr w:rsidR="00E733EF" w14:paraId="399F14D0"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954027"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CAEAD1"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11FA61D7"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6EE54F1"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lastRenderedPageBreak/>
              <w:t>考虑如何改进WIPO在寻找伙伴，以在透明和成员驱动的程序中，并在不损害WIPO正在进行的各项活动的前提下，资助和实施与知识产权相关的援助项目中所发挥的作用。</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051ECE8" w14:textId="2C94F45E"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3.3 通过产权组织基于知识产权的平台和工具，促进知识转让和技术调适，应对全球挑战。</w:t>
            </w:r>
          </w:p>
        </w:tc>
      </w:tr>
      <w:tr w:rsidR="00E733EF" w14:paraId="32474EDF"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883BC3"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698CB1" w14:textId="77777777" w:rsidR="00E733EF" w:rsidRPr="00E20381" w:rsidRDefault="00191652" w:rsidP="00E20381">
            <w:pPr>
              <w:keepNext/>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01E20D73"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ACBA1AD" w14:textId="07C9527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根据WIPO作为联合国专门机构所具有的成员驱动的特点，国际局凡根据成员国的请求所举办的涉及WIPO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88D868A" w14:textId="1A7B6421"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2.1 兼顾各方利益的有效知识产权国际准则制定框架得到发展。</w:t>
            </w:r>
          </w:p>
          <w:p w14:paraId="13BAD74B" w14:textId="2B62EFC8"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2.2 产权组织将国际社会凝聚起来，积极主动应对全球层面与知识产权、创新和创造有关的新议题和政策挑战。</w:t>
            </w:r>
          </w:p>
        </w:tc>
      </w:tr>
      <w:tr w:rsidR="00E733EF" w14:paraId="1A1649E2"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2AA6E7"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建议45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51D99D" w14:textId="77777777" w:rsidR="00E733EF" w:rsidRPr="00E20381" w:rsidRDefault="00191652" w:rsidP="00EB2221">
            <w:pPr>
              <w:overflowPunct w:val="0"/>
              <w:spacing w:afterLines="50" w:after="120" w:line="340" w:lineRule="atLeast"/>
              <w:jc w:val="both"/>
              <w:rPr>
                <w:rFonts w:ascii="KaiTi" w:eastAsia="KaiTi" w:hAnsi="KaiTi"/>
                <w:b/>
                <w:iCs/>
                <w:sz w:val="21"/>
                <w:szCs w:val="21"/>
              </w:rPr>
            </w:pPr>
            <w:r w:rsidRPr="00E20381">
              <w:rPr>
                <w:rFonts w:ascii="KaiTi" w:eastAsia="KaiTi" w:hAnsi="KaiTi" w:hint="eastAsia"/>
                <w:b/>
                <w:iCs/>
                <w:sz w:val="21"/>
                <w:szCs w:val="21"/>
              </w:rPr>
              <w:t>与预期成果的联系</w:t>
            </w:r>
          </w:p>
        </w:tc>
      </w:tr>
      <w:tr w:rsidR="00E733EF" w14:paraId="5BA1160E" w14:textId="77777777">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41D21AA" w14:textId="777777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777C2E5" w14:textId="0B70A577" w:rsidR="00E733EF" w:rsidRPr="00EB222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2.3 为树立尊重知识产权的风尚开展国际对话与合作。</w:t>
            </w:r>
          </w:p>
          <w:p w14:paraId="61A5CC23" w14:textId="0E0A327B"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4.2 兼顾各方利益的有效知识产权、创新和创造生态系统在成员国得到发展。</w:t>
            </w:r>
          </w:p>
          <w:p w14:paraId="67E8736D" w14:textId="3E578C58" w:rsidR="00E733EF" w:rsidRPr="00E20381" w:rsidRDefault="00191652" w:rsidP="00EB2221">
            <w:pPr>
              <w:overflowPunct w:val="0"/>
              <w:spacing w:afterLines="50" w:after="120" w:line="340" w:lineRule="atLeast"/>
              <w:jc w:val="both"/>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4.3 知识产权知识和技能在所有成员国得到增进。</w:t>
            </w:r>
          </w:p>
        </w:tc>
      </w:tr>
    </w:tbl>
    <w:p w14:paraId="4DD801C9" w14:textId="77777777" w:rsidR="00E733EF" w:rsidRDefault="00E733EF"/>
    <w:p w14:paraId="72C948AB" w14:textId="2409E523" w:rsidR="00E733EF" w:rsidRPr="00CC281F" w:rsidRDefault="00191652" w:rsidP="00CC281F">
      <w:pPr>
        <w:pStyle w:val="Endofdocument-Annex"/>
        <w:overflowPunct w:val="0"/>
        <w:spacing w:before="720" w:afterLines="50" w:after="120" w:line="340" w:lineRule="atLeast"/>
        <w:ind w:left="8505"/>
        <w:rPr>
          <w:rFonts w:ascii="KaiTi" w:eastAsia="KaiTi" w:hAnsi="KaiTi"/>
          <w:iCs/>
          <w:sz w:val="21"/>
          <w:szCs w:val="21"/>
        </w:rPr>
      </w:pPr>
      <w:r w:rsidRPr="00CC281F">
        <w:rPr>
          <w:rFonts w:ascii="KaiTi" w:eastAsia="KaiTi" w:hAnsi="KaiTi" w:hint="eastAsia"/>
          <w:iCs/>
          <w:sz w:val="21"/>
          <w:szCs w:val="21"/>
        </w:rPr>
        <w:t>[后接附件二]</w:t>
      </w:r>
    </w:p>
    <w:p w14:paraId="2EF5C15B" w14:textId="77777777" w:rsidR="00E733EF" w:rsidRDefault="00E733EF">
      <w:pPr>
        <w:ind w:left="5533"/>
        <w:rPr>
          <w:i/>
        </w:rPr>
      </w:pPr>
    </w:p>
    <w:p w14:paraId="25079601" w14:textId="77777777" w:rsidR="00E733EF" w:rsidRDefault="00191652">
      <w:pPr>
        <w:ind w:left="5533"/>
        <w:rPr>
          <w:i/>
        </w:rPr>
      </w:pPr>
      <w:r>
        <w:rPr>
          <w:rFonts w:hint="eastAsia"/>
        </w:rPr>
        <w:br w:type="page"/>
      </w:r>
    </w:p>
    <w:p w14:paraId="0F52C111" w14:textId="77777777" w:rsidR="00E733EF" w:rsidRDefault="00E733EF">
      <w:pPr>
        <w:ind w:left="5533"/>
        <w:rPr>
          <w:i/>
        </w:rPr>
        <w:sectPr w:rsidR="00E733EF">
          <w:headerReference w:type="default" r:id="rId23"/>
          <w:headerReference w:type="first" r:id="rId24"/>
          <w:endnotePr>
            <w:numFmt w:val="decimal"/>
          </w:endnotePr>
          <w:pgSz w:w="16840" w:h="11907" w:orient="landscape"/>
          <w:pgMar w:top="1418" w:right="2440" w:bottom="1134" w:left="1418" w:header="510" w:footer="1021" w:gutter="0"/>
          <w:pgNumType w:start="2"/>
          <w:cols w:space="720"/>
          <w:docGrid w:linePitch="299"/>
        </w:sectPr>
      </w:pPr>
    </w:p>
    <w:p w14:paraId="74C561AC" w14:textId="77777777" w:rsidR="00E733EF" w:rsidRPr="00CC281F" w:rsidRDefault="00191652">
      <w:pPr>
        <w:ind w:left="142" w:hanging="142"/>
        <w:outlineLvl w:val="0"/>
        <w:rPr>
          <w:rFonts w:ascii="SimHei" w:eastAsia="SimHei" w:hAnsi="SimHei"/>
          <w:bCs/>
          <w:sz w:val="21"/>
          <w:szCs w:val="21"/>
        </w:rPr>
      </w:pPr>
      <w:r w:rsidRPr="00CC281F">
        <w:rPr>
          <w:rFonts w:ascii="SimHei" w:eastAsia="SimHei" w:hAnsi="SimHei" w:hint="eastAsia"/>
          <w:bCs/>
          <w:sz w:val="21"/>
          <w:szCs w:val="21"/>
        </w:rPr>
        <w:lastRenderedPageBreak/>
        <w:t>截至2022年的发展议程项目一览表</w:t>
      </w:r>
    </w:p>
    <w:p w14:paraId="5340E72D" w14:textId="77777777" w:rsidR="00E733EF" w:rsidRDefault="00E733EF">
      <w:pPr>
        <w:ind w:left="142" w:hanging="142"/>
        <w:outlineLvl w:val="0"/>
        <w:rPr>
          <w:b/>
          <w:bCs/>
          <w:szCs w:val="22"/>
        </w:rPr>
      </w:pPr>
    </w:p>
    <w:tbl>
      <w:tblPr>
        <w:tblStyle w:val="TableGrid"/>
        <w:tblW w:w="12830" w:type="dxa"/>
        <w:tblInd w:w="142" w:type="dxa"/>
        <w:tblLayout w:type="fixed"/>
        <w:tblLook w:val="04A0" w:firstRow="1" w:lastRow="0" w:firstColumn="1" w:lastColumn="0" w:noHBand="0" w:noVBand="1"/>
        <w:tblCaption w:val="截至2022年的发展议程项目一览表"/>
        <w:tblDescription w:val="截至2022年的发展议程项目一览表"/>
      </w:tblPr>
      <w:tblGrid>
        <w:gridCol w:w="814"/>
        <w:gridCol w:w="12016"/>
      </w:tblGrid>
      <w:tr w:rsidR="00E733EF" w:rsidRPr="00CC281F" w14:paraId="7C454E77" w14:textId="77777777" w:rsidTr="000E389A">
        <w:trPr>
          <w:tblHeader/>
        </w:trPr>
        <w:tc>
          <w:tcPr>
            <w:tcW w:w="12830" w:type="dxa"/>
            <w:gridSpan w:val="2"/>
          </w:tcPr>
          <w:p w14:paraId="7BF189ED" w14:textId="77777777" w:rsidR="00E733EF" w:rsidRPr="00CC281F" w:rsidRDefault="00191652">
            <w:pPr>
              <w:rPr>
                <w:rFonts w:ascii="KaiTi" w:eastAsia="KaiTi" w:hAnsi="KaiTi"/>
                <w:b/>
                <w:iCs/>
                <w:sz w:val="21"/>
                <w:szCs w:val="21"/>
              </w:rPr>
            </w:pPr>
            <w:r w:rsidRPr="00CC281F">
              <w:rPr>
                <w:rFonts w:ascii="KaiTi" w:eastAsia="KaiTi" w:hAnsi="KaiTi" w:hint="eastAsia"/>
                <w:b/>
                <w:iCs/>
                <w:sz w:val="21"/>
                <w:szCs w:val="21"/>
              </w:rPr>
              <w:t>已完成且已经审评的发展议程项目（37个）</w:t>
            </w:r>
          </w:p>
        </w:tc>
      </w:tr>
      <w:tr w:rsidR="00E733EF" w:rsidRPr="00CC281F" w14:paraId="4ED74FF7" w14:textId="77777777">
        <w:tc>
          <w:tcPr>
            <w:tcW w:w="814" w:type="dxa"/>
          </w:tcPr>
          <w:p w14:paraId="09E037B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w:t>
            </w:r>
          </w:p>
        </w:tc>
        <w:tc>
          <w:tcPr>
            <w:tcW w:w="12016" w:type="dxa"/>
          </w:tcPr>
          <w:p w14:paraId="79C67DDC"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“调动资源促进发展”会议</w:t>
            </w:r>
          </w:p>
        </w:tc>
      </w:tr>
      <w:tr w:rsidR="00E733EF" w:rsidRPr="00CC281F" w14:paraId="1AEC3693" w14:textId="77777777">
        <w:tc>
          <w:tcPr>
            <w:tcW w:w="814" w:type="dxa"/>
          </w:tcPr>
          <w:p w14:paraId="35239810"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w:t>
            </w:r>
          </w:p>
        </w:tc>
        <w:tc>
          <w:tcPr>
            <w:tcW w:w="12016" w:type="dxa"/>
          </w:tcPr>
          <w:p w14:paraId="318D75C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知识产权技术援助数据库（IP TAD）</w:t>
            </w:r>
          </w:p>
        </w:tc>
      </w:tr>
      <w:tr w:rsidR="00E733EF" w:rsidRPr="00CC281F" w14:paraId="4AA226E3" w14:textId="77777777">
        <w:tc>
          <w:tcPr>
            <w:tcW w:w="814" w:type="dxa"/>
          </w:tcPr>
          <w:p w14:paraId="72F672B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w:t>
            </w:r>
          </w:p>
        </w:tc>
        <w:tc>
          <w:tcPr>
            <w:tcW w:w="12016" w:type="dxa"/>
          </w:tcPr>
          <w:p w14:paraId="739C34C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专业数据库接入和支持——第一阶段</w:t>
            </w:r>
          </w:p>
        </w:tc>
      </w:tr>
      <w:tr w:rsidR="00E733EF" w:rsidRPr="00CC281F" w14:paraId="42025E1F" w14:textId="77777777">
        <w:tc>
          <w:tcPr>
            <w:tcW w:w="814" w:type="dxa"/>
          </w:tcPr>
          <w:p w14:paraId="49BAB5E5"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4.</w:t>
            </w:r>
          </w:p>
        </w:tc>
        <w:tc>
          <w:tcPr>
            <w:tcW w:w="12016" w:type="dxa"/>
          </w:tcPr>
          <w:p w14:paraId="1AE0ED75"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知识产权发展资源牵线搭桥数据库（IP DMD）</w:t>
            </w:r>
          </w:p>
        </w:tc>
      </w:tr>
      <w:tr w:rsidR="00E733EF" w:rsidRPr="00CC281F" w14:paraId="53DC3550" w14:textId="77777777">
        <w:tc>
          <w:tcPr>
            <w:tcW w:w="814" w:type="dxa"/>
          </w:tcPr>
          <w:p w14:paraId="6FE1A31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5.</w:t>
            </w:r>
          </w:p>
        </w:tc>
        <w:tc>
          <w:tcPr>
            <w:tcW w:w="12016" w:type="dxa"/>
          </w:tcPr>
          <w:p w14:paraId="3E3A0B9C"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建立“初创”国家知识产权学院</w:t>
            </w:r>
          </w:p>
        </w:tc>
      </w:tr>
      <w:tr w:rsidR="00E733EF" w:rsidRPr="00CC281F" w14:paraId="58B027CD" w14:textId="77777777">
        <w:tc>
          <w:tcPr>
            <w:tcW w:w="814" w:type="dxa"/>
          </w:tcPr>
          <w:p w14:paraId="41F62F8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6.</w:t>
            </w:r>
          </w:p>
        </w:tc>
        <w:tc>
          <w:tcPr>
            <w:tcW w:w="12016" w:type="dxa"/>
          </w:tcPr>
          <w:p w14:paraId="1C8941DB"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创建智能知识产权机构项目</w:t>
            </w:r>
          </w:p>
        </w:tc>
      </w:tr>
      <w:tr w:rsidR="00E733EF" w:rsidRPr="00CC281F" w14:paraId="23940D8A" w14:textId="77777777">
        <w:tc>
          <w:tcPr>
            <w:tcW w:w="814" w:type="dxa"/>
          </w:tcPr>
          <w:p w14:paraId="78F3DAFB"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7.</w:t>
            </w:r>
          </w:p>
        </w:tc>
        <w:tc>
          <w:tcPr>
            <w:tcW w:w="12016" w:type="dxa"/>
          </w:tcPr>
          <w:p w14:paraId="3E24C48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国家机构创新与技术转让支助结构</w:t>
            </w:r>
          </w:p>
        </w:tc>
      </w:tr>
      <w:tr w:rsidR="00E733EF" w:rsidRPr="00CC281F" w14:paraId="5731176D" w14:textId="77777777">
        <w:tc>
          <w:tcPr>
            <w:tcW w:w="814" w:type="dxa"/>
          </w:tcPr>
          <w:p w14:paraId="01D83E34"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8.</w:t>
            </w:r>
          </w:p>
        </w:tc>
        <w:tc>
          <w:tcPr>
            <w:tcW w:w="12016" w:type="dxa"/>
          </w:tcPr>
          <w:p w14:paraId="5FD706E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提升国家、次区域和区域知识产权机构和用户的能力</w:t>
            </w:r>
          </w:p>
        </w:tc>
      </w:tr>
      <w:tr w:rsidR="00E733EF" w:rsidRPr="00CC281F" w14:paraId="0C2E486C" w14:textId="77777777">
        <w:tc>
          <w:tcPr>
            <w:tcW w:w="814" w:type="dxa"/>
          </w:tcPr>
          <w:p w14:paraId="115C87F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9.</w:t>
            </w:r>
          </w:p>
        </w:tc>
        <w:tc>
          <w:tcPr>
            <w:tcW w:w="12016" w:type="dxa"/>
          </w:tcPr>
          <w:p w14:paraId="25D8E0A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知识产权与公有领域</w:t>
            </w:r>
          </w:p>
        </w:tc>
      </w:tr>
      <w:tr w:rsidR="00E733EF" w:rsidRPr="00CC281F" w14:paraId="18A3BEC8" w14:textId="77777777">
        <w:tc>
          <w:tcPr>
            <w:tcW w:w="814" w:type="dxa"/>
          </w:tcPr>
          <w:p w14:paraId="669D191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10.</w:t>
            </w:r>
          </w:p>
        </w:tc>
        <w:tc>
          <w:tcPr>
            <w:tcW w:w="12016" w:type="dxa"/>
          </w:tcPr>
          <w:p w14:paraId="33D8A0F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知识产权与竞争政策</w:t>
            </w:r>
          </w:p>
        </w:tc>
      </w:tr>
      <w:tr w:rsidR="00E733EF" w:rsidRPr="00CC281F" w14:paraId="7B02B588" w14:textId="77777777">
        <w:tc>
          <w:tcPr>
            <w:tcW w:w="814" w:type="dxa"/>
          </w:tcPr>
          <w:p w14:paraId="5CDAC81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11.</w:t>
            </w:r>
          </w:p>
        </w:tc>
        <w:tc>
          <w:tcPr>
            <w:tcW w:w="12016" w:type="dxa"/>
          </w:tcPr>
          <w:p w14:paraId="503ACE2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知识产权、信息与通信技术（ICT）、数字鸿沟和获取知识</w:t>
            </w:r>
          </w:p>
        </w:tc>
      </w:tr>
      <w:tr w:rsidR="00E733EF" w:rsidRPr="00CC281F" w14:paraId="00CD49F1" w14:textId="77777777">
        <w:tc>
          <w:tcPr>
            <w:tcW w:w="814" w:type="dxa"/>
          </w:tcPr>
          <w:p w14:paraId="31FB11AD"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12.</w:t>
            </w:r>
          </w:p>
        </w:tc>
        <w:tc>
          <w:tcPr>
            <w:tcW w:w="12016" w:type="dxa"/>
          </w:tcPr>
          <w:p w14:paraId="07E1E9A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开发专利信息查询工具</w:t>
            </w:r>
          </w:p>
        </w:tc>
      </w:tr>
      <w:tr w:rsidR="00E733EF" w:rsidRPr="00CC281F" w14:paraId="4EA76167" w14:textId="77777777">
        <w:tc>
          <w:tcPr>
            <w:tcW w:w="814" w:type="dxa"/>
          </w:tcPr>
          <w:p w14:paraId="5E9A64B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13.</w:t>
            </w:r>
          </w:p>
        </w:tc>
        <w:tc>
          <w:tcPr>
            <w:tcW w:w="12016" w:type="dxa"/>
          </w:tcPr>
          <w:p w14:paraId="641682DE"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加强产权组织注重成果的管理（RBM）框架为监测和评价产权组织活动对发展产生的影响提供支持</w:t>
            </w:r>
          </w:p>
        </w:tc>
      </w:tr>
      <w:tr w:rsidR="00E733EF" w:rsidRPr="00CC281F" w14:paraId="7013E62B" w14:textId="77777777">
        <w:tc>
          <w:tcPr>
            <w:tcW w:w="814" w:type="dxa"/>
          </w:tcPr>
          <w:p w14:paraId="065095B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14.</w:t>
            </w:r>
          </w:p>
        </w:tc>
        <w:tc>
          <w:tcPr>
            <w:tcW w:w="12016" w:type="dxa"/>
          </w:tcPr>
          <w:p w14:paraId="5C8B890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进行使用特定技术的适当的信息方面的能力建设，以应对已查明的发展挑战</w:t>
            </w:r>
          </w:p>
        </w:tc>
      </w:tr>
      <w:tr w:rsidR="00E733EF" w:rsidRPr="00CC281F" w14:paraId="1DAC4E94" w14:textId="77777777">
        <w:tc>
          <w:tcPr>
            <w:tcW w:w="814" w:type="dxa"/>
          </w:tcPr>
          <w:p w14:paraId="4671F4A9"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15.</w:t>
            </w:r>
          </w:p>
        </w:tc>
        <w:tc>
          <w:tcPr>
            <w:tcW w:w="12016" w:type="dxa"/>
          </w:tcPr>
          <w:p w14:paraId="1CC3C6BF"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面向发展中国家和最不发达国家企业发展的知识产权与产品品牌建设</w:t>
            </w:r>
          </w:p>
        </w:tc>
      </w:tr>
      <w:tr w:rsidR="00E733EF" w:rsidRPr="00CC281F" w14:paraId="2AEB7D06" w14:textId="77777777">
        <w:tc>
          <w:tcPr>
            <w:tcW w:w="814" w:type="dxa"/>
          </w:tcPr>
          <w:p w14:paraId="764F384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16.</w:t>
            </w:r>
          </w:p>
        </w:tc>
        <w:tc>
          <w:tcPr>
            <w:tcW w:w="12016" w:type="dxa"/>
          </w:tcPr>
          <w:p w14:paraId="582F556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专利与公有领域</w:t>
            </w:r>
          </w:p>
        </w:tc>
      </w:tr>
      <w:tr w:rsidR="00E733EF" w:rsidRPr="00CC281F" w14:paraId="50FF4A18" w14:textId="77777777">
        <w:tc>
          <w:tcPr>
            <w:tcW w:w="814" w:type="dxa"/>
          </w:tcPr>
          <w:p w14:paraId="272822A7"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17.</w:t>
            </w:r>
          </w:p>
        </w:tc>
        <w:tc>
          <w:tcPr>
            <w:tcW w:w="12016" w:type="dxa"/>
          </w:tcPr>
          <w:p w14:paraId="49C6217B"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知识产权与人才流失</w:t>
            </w:r>
          </w:p>
        </w:tc>
      </w:tr>
      <w:tr w:rsidR="00E733EF" w:rsidRPr="00CC281F" w14:paraId="381B63BD" w14:textId="77777777">
        <w:tc>
          <w:tcPr>
            <w:tcW w:w="814" w:type="dxa"/>
          </w:tcPr>
          <w:p w14:paraId="6CCA4F7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18.</w:t>
            </w:r>
          </w:p>
        </w:tc>
        <w:tc>
          <w:tcPr>
            <w:tcW w:w="12016" w:type="dxa"/>
          </w:tcPr>
          <w:p w14:paraId="28574C6B"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知识产权与非正规经济</w:t>
            </w:r>
          </w:p>
        </w:tc>
      </w:tr>
      <w:tr w:rsidR="00E733EF" w:rsidRPr="00CC281F" w14:paraId="3E661C29" w14:textId="77777777">
        <w:tc>
          <w:tcPr>
            <w:tcW w:w="814" w:type="dxa"/>
          </w:tcPr>
          <w:p w14:paraId="0DCE0C5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19.</w:t>
            </w:r>
          </w:p>
        </w:tc>
        <w:tc>
          <w:tcPr>
            <w:tcW w:w="12016" w:type="dxa"/>
          </w:tcPr>
          <w:p w14:paraId="34BC7F2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专业数据库接入和支持——第二阶段</w:t>
            </w:r>
          </w:p>
        </w:tc>
      </w:tr>
      <w:tr w:rsidR="00E733EF" w:rsidRPr="00CC281F" w14:paraId="44D61090" w14:textId="77777777">
        <w:tc>
          <w:tcPr>
            <w:tcW w:w="814" w:type="dxa"/>
          </w:tcPr>
          <w:p w14:paraId="6E531E7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20.</w:t>
            </w:r>
          </w:p>
        </w:tc>
        <w:tc>
          <w:tcPr>
            <w:tcW w:w="12016" w:type="dxa"/>
          </w:tcPr>
          <w:p w14:paraId="05C3D52F"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建立“初创”国家知识产权学院——第二阶段</w:t>
            </w:r>
          </w:p>
        </w:tc>
      </w:tr>
      <w:tr w:rsidR="00E733EF" w:rsidRPr="00CC281F" w14:paraId="009A58CE" w14:textId="77777777">
        <w:tc>
          <w:tcPr>
            <w:tcW w:w="814" w:type="dxa"/>
          </w:tcPr>
          <w:p w14:paraId="63464FC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21.</w:t>
            </w:r>
          </w:p>
        </w:tc>
        <w:tc>
          <w:tcPr>
            <w:tcW w:w="12016" w:type="dxa"/>
          </w:tcPr>
          <w:p w14:paraId="1B6EB17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知识产权与经济和社会发展</w:t>
            </w:r>
          </w:p>
        </w:tc>
      </w:tr>
      <w:tr w:rsidR="00E733EF" w:rsidRPr="00CC281F" w14:paraId="76699996" w14:textId="77777777">
        <w:tc>
          <w:tcPr>
            <w:tcW w:w="814" w:type="dxa"/>
          </w:tcPr>
          <w:p w14:paraId="3C4D8A0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22.</w:t>
            </w:r>
          </w:p>
        </w:tc>
        <w:tc>
          <w:tcPr>
            <w:tcW w:w="12016" w:type="dxa"/>
          </w:tcPr>
          <w:p w14:paraId="05B4714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开发专利信息查询工具——第二阶段</w:t>
            </w:r>
          </w:p>
        </w:tc>
      </w:tr>
      <w:tr w:rsidR="00E733EF" w:rsidRPr="00CC281F" w14:paraId="4C1D8456" w14:textId="77777777">
        <w:tc>
          <w:tcPr>
            <w:tcW w:w="814" w:type="dxa"/>
          </w:tcPr>
          <w:p w14:paraId="4C35FA90"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23.</w:t>
            </w:r>
          </w:p>
        </w:tc>
        <w:tc>
          <w:tcPr>
            <w:tcW w:w="12016" w:type="dxa"/>
          </w:tcPr>
          <w:p w14:paraId="4DDA55E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加强各国负责知识产权事务的政府机构和利益攸关方机构管理、监督和促进创意产业的能力，并提高版权集体管理组织的业绩和联网能力</w:t>
            </w:r>
          </w:p>
        </w:tc>
      </w:tr>
      <w:tr w:rsidR="00E733EF" w:rsidRPr="00CC281F" w14:paraId="41E6588C" w14:textId="77777777">
        <w:tc>
          <w:tcPr>
            <w:tcW w:w="814" w:type="dxa"/>
          </w:tcPr>
          <w:p w14:paraId="236AAAC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24.</w:t>
            </w:r>
          </w:p>
        </w:tc>
        <w:tc>
          <w:tcPr>
            <w:tcW w:w="12016" w:type="dxa"/>
          </w:tcPr>
          <w:p w14:paraId="4E26CF2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知识产权与技术转让：共同挑战——共同解决</w:t>
            </w:r>
          </w:p>
        </w:tc>
      </w:tr>
      <w:tr w:rsidR="00E733EF" w:rsidRPr="00CC281F" w14:paraId="70E55D4D" w14:textId="77777777">
        <w:tc>
          <w:tcPr>
            <w:tcW w:w="814" w:type="dxa"/>
          </w:tcPr>
          <w:p w14:paraId="3CDFC7F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25.</w:t>
            </w:r>
          </w:p>
        </w:tc>
        <w:tc>
          <w:tcPr>
            <w:tcW w:w="12016" w:type="dxa"/>
          </w:tcPr>
          <w:p w14:paraId="7007A8D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开放式合作项目和知识产权模式</w:t>
            </w:r>
          </w:p>
        </w:tc>
      </w:tr>
      <w:tr w:rsidR="00E733EF" w:rsidRPr="00CC281F" w14:paraId="32EF2744" w14:textId="77777777">
        <w:trPr>
          <w:trHeight w:hRule="exact" w:val="302"/>
        </w:trPr>
        <w:tc>
          <w:tcPr>
            <w:tcW w:w="814" w:type="dxa"/>
          </w:tcPr>
          <w:p w14:paraId="2A395679"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26.</w:t>
            </w:r>
          </w:p>
        </w:tc>
        <w:tc>
          <w:tcPr>
            <w:tcW w:w="12016" w:type="dxa"/>
          </w:tcPr>
          <w:p w14:paraId="74B73167" w14:textId="77777777" w:rsidR="00E733EF" w:rsidRPr="00CC281F" w:rsidRDefault="00191652">
            <w:pPr>
              <w:spacing w:after="200" w:line="360" w:lineRule="auto"/>
              <w:rPr>
                <w:rFonts w:asciiTheme="minorEastAsia" w:eastAsiaTheme="minorEastAsia" w:hAnsiTheme="minorEastAsia"/>
                <w:sz w:val="21"/>
                <w:szCs w:val="21"/>
              </w:rPr>
            </w:pPr>
            <w:r w:rsidRPr="00CC281F">
              <w:rPr>
                <w:rFonts w:asciiTheme="minorEastAsia" w:eastAsiaTheme="minorEastAsia" w:hAnsiTheme="minorEastAsia" w:hint="eastAsia"/>
                <w:sz w:val="21"/>
                <w:szCs w:val="21"/>
              </w:rPr>
              <w:t>加强和发展布基纳法索和若干非洲国家音像部门</w:t>
            </w:r>
          </w:p>
        </w:tc>
      </w:tr>
      <w:tr w:rsidR="00E733EF" w:rsidRPr="00CC281F" w14:paraId="57DA2CB3" w14:textId="77777777">
        <w:tc>
          <w:tcPr>
            <w:tcW w:w="814" w:type="dxa"/>
          </w:tcPr>
          <w:p w14:paraId="1BC2367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27.</w:t>
            </w:r>
          </w:p>
        </w:tc>
        <w:tc>
          <w:tcPr>
            <w:tcW w:w="12016" w:type="dxa"/>
          </w:tcPr>
          <w:p w14:paraId="04AF659F"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加强发展中国家和最不发达国家之间知识产权与发展问题南南合作</w:t>
            </w:r>
          </w:p>
        </w:tc>
      </w:tr>
      <w:tr w:rsidR="00E733EF" w:rsidRPr="00CC281F" w14:paraId="43BEBD91" w14:textId="77777777">
        <w:tc>
          <w:tcPr>
            <w:tcW w:w="814" w:type="dxa"/>
          </w:tcPr>
          <w:p w14:paraId="67F1A1BF"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28.</w:t>
            </w:r>
          </w:p>
        </w:tc>
        <w:tc>
          <w:tcPr>
            <w:tcW w:w="12016" w:type="dxa"/>
          </w:tcPr>
          <w:p w14:paraId="3BD70A9B"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知识产权和外观设计管理促进发展中国家和最不发达国家企业发展</w:t>
            </w:r>
          </w:p>
        </w:tc>
      </w:tr>
      <w:tr w:rsidR="00E733EF" w:rsidRPr="00CC281F" w14:paraId="57097E6A" w14:textId="77777777">
        <w:tc>
          <w:tcPr>
            <w:tcW w:w="814" w:type="dxa"/>
          </w:tcPr>
          <w:p w14:paraId="077B34AD"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lastRenderedPageBreak/>
              <w:t>29.</w:t>
            </w:r>
          </w:p>
        </w:tc>
        <w:tc>
          <w:tcPr>
            <w:tcW w:w="12016" w:type="dxa"/>
          </w:tcPr>
          <w:p w14:paraId="1CA091E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进行使用特定技术的适当的信息方面的能力建设，以应对已查明的发展挑战——第二阶段</w:t>
            </w:r>
          </w:p>
        </w:tc>
      </w:tr>
      <w:tr w:rsidR="00E733EF" w:rsidRPr="00CC281F" w14:paraId="40360140" w14:textId="77777777">
        <w:tc>
          <w:tcPr>
            <w:tcW w:w="814" w:type="dxa"/>
          </w:tcPr>
          <w:p w14:paraId="2243974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30.</w:t>
            </w:r>
          </w:p>
        </w:tc>
        <w:tc>
          <w:tcPr>
            <w:tcW w:w="12016" w:type="dxa"/>
          </w:tcPr>
          <w:p w14:paraId="160E5DED"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知识产权与经济和社会发展——第二阶段</w:t>
            </w:r>
          </w:p>
        </w:tc>
      </w:tr>
      <w:tr w:rsidR="00E733EF" w:rsidRPr="00CC281F" w14:paraId="4285E872" w14:textId="77777777">
        <w:tc>
          <w:tcPr>
            <w:tcW w:w="814" w:type="dxa"/>
          </w:tcPr>
          <w:p w14:paraId="72DAB7E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31.</w:t>
            </w:r>
          </w:p>
        </w:tc>
        <w:tc>
          <w:tcPr>
            <w:tcW w:w="12016" w:type="dxa"/>
          </w:tcPr>
          <w:p w14:paraId="4BCE404F"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加强和发展布基纳法索和若干非洲国家音像部门——第二阶段</w:t>
            </w:r>
          </w:p>
        </w:tc>
      </w:tr>
      <w:tr w:rsidR="00E733EF" w:rsidRPr="00CC281F" w14:paraId="1C42E866" w14:textId="77777777">
        <w:tc>
          <w:tcPr>
            <w:tcW w:w="814" w:type="dxa"/>
          </w:tcPr>
          <w:p w14:paraId="26333DC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32.</w:t>
            </w:r>
          </w:p>
        </w:tc>
        <w:tc>
          <w:tcPr>
            <w:tcW w:w="12016" w:type="dxa"/>
          </w:tcPr>
          <w:p w14:paraId="16D59F09"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与发展中国家和最不发达国家司法培训机构在发展与知识产权教育和职业培训方面的合作</w:t>
            </w:r>
          </w:p>
        </w:tc>
      </w:tr>
      <w:tr w:rsidR="00E733EF" w:rsidRPr="00CC281F" w14:paraId="0148950B" w14:textId="77777777">
        <w:tc>
          <w:tcPr>
            <w:tcW w:w="814" w:type="dxa"/>
          </w:tcPr>
          <w:p w14:paraId="4DDA598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33.</w:t>
            </w:r>
          </w:p>
        </w:tc>
        <w:tc>
          <w:tcPr>
            <w:tcW w:w="12016" w:type="dxa"/>
          </w:tcPr>
          <w:p w14:paraId="4CA8C2DE"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知识产权、旅游业与文化：在埃及和其他发展中国家支持发展目标、推广文化遗产</w:t>
            </w:r>
          </w:p>
        </w:tc>
      </w:tr>
      <w:tr w:rsidR="00E733EF" w:rsidRPr="00CC281F" w14:paraId="070A802F" w14:textId="77777777">
        <w:tc>
          <w:tcPr>
            <w:tcW w:w="814" w:type="dxa"/>
          </w:tcPr>
          <w:p w14:paraId="588A8B0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34.</w:t>
            </w:r>
          </w:p>
        </w:tc>
        <w:tc>
          <w:tcPr>
            <w:tcW w:w="12016" w:type="dxa"/>
          </w:tcPr>
          <w:p w14:paraId="5604890C"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运用公有领域信息促进经济发展</w:t>
            </w:r>
          </w:p>
        </w:tc>
      </w:tr>
      <w:tr w:rsidR="00E733EF" w:rsidRPr="00CC281F" w14:paraId="77A1E45E" w14:textId="77777777">
        <w:tc>
          <w:tcPr>
            <w:tcW w:w="814" w:type="dxa"/>
          </w:tcPr>
          <w:p w14:paraId="38E430FD"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35.</w:t>
            </w:r>
          </w:p>
        </w:tc>
        <w:tc>
          <w:tcPr>
            <w:tcW w:w="12016" w:type="dxa"/>
          </w:tcPr>
          <w:p w14:paraId="2538304E"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 xml:space="preserve">知识产权管理与技术转让：促进发展中国家、最不发达国家和经济转型国家有效利用知识产权 </w:t>
            </w:r>
          </w:p>
        </w:tc>
      </w:tr>
      <w:tr w:rsidR="00E733EF" w:rsidRPr="00CC281F" w14:paraId="4724FB58" w14:textId="77777777">
        <w:tc>
          <w:tcPr>
            <w:tcW w:w="814" w:type="dxa"/>
          </w:tcPr>
          <w:p w14:paraId="18C2E7A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36.</w:t>
            </w:r>
          </w:p>
        </w:tc>
        <w:tc>
          <w:tcPr>
            <w:tcW w:w="12016" w:type="dxa"/>
          </w:tcPr>
          <w:p w14:paraId="083DD51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加强软件部门运用知识产权开发移动应用程序</w:t>
            </w:r>
          </w:p>
        </w:tc>
      </w:tr>
      <w:tr w:rsidR="00E733EF" w:rsidRPr="00CC281F" w14:paraId="6954710F" w14:textId="77777777">
        <w:tc>
          <w:tcPr>
            <w:tcW w:w="814" w:type="dxa"/>
          </w:tcPr>
          <w:p w14:paraId="70CB41F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37.</w:t>
            </w:r>
          </w:p>
        </w:tc>
        <w:tc>
          <w:tcPr>
            <w:tcW w:w="12016" w:type="dxa"/>
          </w:tcPr>
          <w:p w14:paraId="40ADDF1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成功的发展议程项目提案用工具</w:t>
            </w:r>
          </w:p>
        </w:tc>
      </w:tr>
      <w:tr w:rsidR="00E733EF" w:rsidRPr="00CC281F" w14:paraId="0C1F9BB7" w14:textId="77777777">
        <w:tc>
          <w:tcPr>
            <w:tcW w:w="12830" w:type="dxa"/>
            <w:gridSpan w:val="2"/>
          </w:tcPr>
          <w:p w14:paraId="67824861" w14:textId="77777777" w:rsidR="00E733EF" w:rsidRPr="00CC281F" w:rsidRDefault="00191652">
            <w:pPr>
              <w:rPr>
                <w:rFonts w:ascii="KaiTi" w:eastAsia="KaiTi" w:hAnsi="KaiTi"/>
                <w:b/>
                <w:iCs/>
                <w:sz w:val="21"/>
                <w:szCs w:val="21"/>
              </w:rPr>
            </w:pPr>
            <w:r w:rsidRPr="00CC281F">
              <w:rPr>
                <w:rFonts w:ascii="KaiTi" w:eastAsia="KaiTi" w:hAnsi="KaiTi" w:hint="eastAsia"/>
                <w:b/>
                <w:iCs/>
                <w:sz w:val="21"/>
                <w:szCs w:val="21"/>
              </w:rPr>
              <w:t>截至2022年12月仍在实施的发展议程项目（9个）</w:t>
            </w:r>
          </w:p>
        </w:tc>
      </w:tr>
      <w:tr w:rsidR="00E733EF" w:rsidRPr="00CC281F" w14:paraId="251C2002" w14:textId="77777777">
        <w:tc>
          <w:tcPr>
            <w:tcW w:w="814" w:type="dxa"/>
          </w:tcPr>
          <w:p w14:paraId="33A5733A"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w:t>
            </w:r>
          </w:p>
        </w:tc>
        <w:tc>
          <w:tcPr>
            <w:tcW w:w="12016" w:type="dxa"/>
          </w:tcPr>
          <w:p w14:paraId="6D42574D"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版权与数字环境中的内容分发</w:t>
            </w:r>
          </w:p>
        </w:tc>
      </w:tr>
      <w:tr w:rsidR="00E733EF" w:rsidRPr="00CC281F" w14:paraId="45D75345" w14:textId="77777777">
        <w:tc>
          <w:tcPr>
            <w:tcW w:w="814" w:type="dxa"/>
          </w:tcPr>
          <w:p w14:paraId="4304AA1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w:t>
            </w:r>
          </w:p>
        </w:tc>
        <w:tc>
          <w:tcPr>
            <w:tcW w:w="12016" w:type="dxa"/>
          </w:tcPr>
          <w:p w14:paraId="24FE2B7E"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将当地企业集体商标注册作为跨领域经济发展问题</w:t>
            </w:r>
          </w:p>
        </w:tc>
      </w:tr>
      <w:tr w:rsidR="00E733EF" w:rsidRPr="00CC281F" w14:paraId="3A5CF4DF" w14:textId="77777777">
        <w:tc>
          <w:tcPr>
            <w:tcW w:w="814" w:type="dxa"/>
          </w:tcPr>
          <w:p w14:paraId="70A2576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3.</w:t>
            </w:r>
          </w:p>
        </w:tc>
        <w:tc>
          <w:tcPr>
            <w:tcW w:w="12016" w:type="dxa"/>
          </w:tcPr>
          <w:p w14:paraId="1EFF11DC"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加大女性在创新创业方面的作用、鼓励发展中国家女性运用知识产权制度</w:t>
            </w:r>
          </w:p>
        </w:tc>
      </w:tr>
      <w:tr w:rsidR="00E733EF" w:rsidRPr="00CC281F" w14:paraId="0C6632A6" w14:textId="77777777">
        <w:tc>
          <w:tcPr>
            <w:tcW w:w="814" w:type="dxa"/>
          </w:tcPr>
          <w:p w14:paraId="1B2AE196"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4.</w:t>
            </w:r>
          </w:p>
        </w:tc>
        <w:tc>
          <w:tcPr>
            <w:tcW w:w="12016" w:type="dxa"/>
          </w:tcPr>
          <w:p w14:paraId="571CF169"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秘鲁及其他发展中国家的知识产权与美食旅游业：通过知识产权促进美食旅游业发展</w:t>
            </w:r>
          </w:p>
        </w:tc>
      </w:tr>
      <w:tr w:rsidR="00E733EF" w:rsidRPr="00CC281F" w14:paraId="368244E7" w14:textId="77777777">
        <w:tc>
          <w:tcPr>
            <w:tcW w:w="814" w:type="dxa"/>
          </w:tcPr>
          <w:p w14:paraId="47B1B431"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5.</w:t>
            </w:r>
          </w:p>
        </w:tc>
        <w:tc>
          <w:tcPr>
            <w:tcW w:w="12016" w:type="dxa"/>
          </w:tcPr>
          <w:p w14:paraId="075A83E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识别和运用公有领域的发明</w:t>
            </w:r>
          </w:p>
        </w:tc>
      </w:tr>
      <w:tr w:rsidR="00E733EF" w:rsidRPr="00CC281F" w14:paraId="57161323" w14:textId="77777777">
        <w:tc>
          <w:tcPr>
            <w:tcW w:w="814" w:type="dxa"/>
          </w:tcPr>
          <w:p w14:paraId="3E9A168D"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6.</w:t>
            </w:r>
          </w:p>
        </w:tc>
        <w:tc>
          <w:tcPr>
            <w:tcW w:w="12016" w:type="dxa"/>
          </w:tcPr>
          <w:p w14:paraId="386007C0"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发展布基纳法索和西非经济货币联盟（西非经货联）若干国家音乐领域和新音乐经济模式</w:t>
            </w:r>
          </w:p>
        </w:tc>
      </w:tr>
      <w:tr w:rsidR="00E733EF" w:rsidRPr="00CC281F" w14:paraId="0108F916" w14:textId="77777777">
        <w:tc>
          <w:tcPr>
            <w:tcW w:w="814" w:type="dxa"/>
          </w:tcPr>
          <w:p w14:paraId="04E8FD03"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7.</w:t>
            </w:r>
          </w:p>
        </w:tc>
        <w:tc>
          <w:tcPr>
            <w:tcW w:w="12016" w:type="dxa"/>
          </w:tcPr>
          <w:p w14:paraId="793F00A7"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推动发展中国家的创意产业在数字时代运用知识产权</w:t>
            </w:r>
          </w:p>
        </w:tc>
      </w:tr>
      <w:tr w:rsidR="00E733EF" w:rsidRPr="00CC281F" w14:paraId="15F26601" w14:textId="77777777">
        <w:tc>
          <w:tcPr>
            <w:tcW w:w="814" w:type="dxa"/>
          </w:tcPr>
          <w:p w14:paraId="5048828E"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8.</w:t>
            </w:r>
          </w:p>
        </w:tc>
        <w:tc>
          <w:tcPr>
            <w:tcW w:w="12016" w:type="dxa"/>
          </w:tcPr>
          <w:p w14:paraId="08C558F5"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系统化统计数据并制定和实施对采用知识产权制度的影响进行评估的方法</w:t>
            </w:r>
          </w:p>
        </w:tc>
      </w:tr>
      <w:tr w:rsidR="00E733EF" w:rsidRPr="00CC281F" w14:paraId="2B3CF989" w14:textId="77777777">
        <w:tc>
          <w:tcPr>
            <w:tcW w:w="814" w:type="dxa"/>
          </w:tcPr>
          <w:p w14:paraId="0F3FF448"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9.</w:t>
            </w:r>
          </w:p>
        </w:tc>
        <w:tc>
          <w:tcPr>
            <w:tcW w:w="12016" w:type="dxa"/>
          </w:tcPr>
          <w:p w14:paraId="238B1F50"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通过知识产权增强小企业能力：制定在注册后阶段为地理标志或集体商标提供支持的战略</w:t>
            </w:r>
          </w:p>
        </w:tc>
      </w:tr>
      <w:tr w:rsidR="00E733EF" w:rsidRPr="00CC281F" w14:paraId="2473BD7B" w14:textId="77777777">
        <w:tc>
          <w:tcPr>
            <w:tcW w:w="12830" w:type="dxa"/>
            <w:gridSpan w:val="2"/>
          </w:tcPr>
          <w:p w14:paraId="5D3DBC75" w14:textId="77777777" w:rsidR="00E733EF" w:rsidRPr="00CC281F" w:rsidRDefault="00191652">
            <w:pPr>
              <w:rPr>
                <w:rFonts w:ascii="KaiTi" w:eastAsia="KaiTi" w:hAnsi="KaiTi"/>
                <w:b/>
                <w:iCs/>
                <w:sz w:val="21"/>
                <w:szCs w:val="21"/>
              </w:rPr>
            </w:pPr>
            <w:r w:rsidRPr="00CC281F">
              <w:rPr>
                <w:rFonts w:ascii="KaiTi" w:eastAsia="KaiTi" w:hAnsi="KaiTi" w:hint="eastAsia"/>
                <w:b/>
                <w:iCs/>
                <w:sz w:val="21"/>
                <w:szCs w:val="21"/>
              </w:rPr>
              <w:t>2022年批准的发展议程项目（2个）</w:t>
            </w:r>
          </w:p>
        </w:tc>
      </w:tr>
      <w:tr w:rsidR="00E733EF" w:rsidRPr="00CC281F" w14:paraId="5963AC47" w14:textId="77777777">
        <w:tc>
          <w:tcPr>
            <w:tcW w:w="814" w:type="dxa"/>
          </w:tcPr>
          <w:p w14:paraId="0738DD85"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1.</w:t>
            </w:r>
          </w:p>
        </w:tc>
        <w:tc>
          <w:tcPr>
            <w:tcW w:w="12016" w:type="dxa"/>
          </w:tcPr>
          <w:p w14:paraId="2B96F5E2"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通过创新和知识产权减少与工作有关的事故和职业病</w:t>
            </w:r>
          </w:p>
        </w:tc>
      </w:tr>
      <w:tr w:rsidR="00E733EF" w:rsidRPr="00CC281F" w14:paraId="0ADE2E0B" w14:textId="77777777">
        <w:tc>
          <w:tcPr>
            <w:tcW w:w="814" w:type="dxa"/>
          </w:tcPr>
          <w:p w14:paraId="5FD4FD14"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2.</w:t>
            </w:r>
          </w:p>
        </w:tc>
        <w:tc>
          <w:tcPr>
            <w:tcW w:w="12016" w:type="dxa"/>
          </w:tcPr>
          <w:p w14:paraId="08FDC794" w14:textId="77777777" w:rsidR="00E733EF" w:rsidRPr="00CC281F" w:rsidRDefault="00191652">
            <w:pPr>
              <w:outlineLvl w:val="0"/>
              <w:rPr>
                <w:rFonts w:asciiTheme="minorEastAsia" w:eastAsiaTheme="minorEastAsia" w:hAnsiTheme="minorEastAsia"/>
                <w:bCs/>
                <w:sz w:val="21"/>
                <w:szCs w:val="21"/>
              </w:rPr>
            </w:pPr>
            <w:r w:rsidRPr="00CC281F">
              <w:rPr>
                <w:rFonts w:asciiTheme="minorEastAsia" w:eastAsiaTheme="minorEastAsia" w:hAnsiTheme="minorEastAsia" w:hint="eastAsia"/>
                <w:sz w:val="21"/>
                <w:szCs w:val="21"/>
              </w:rPr>
              <w:t>加强软件部门运用知识产权开发移动应用程序——第二阶段</w:t>
            </w:r>
          </w:p>
        </w:tc>
      </w:tr>
    </w:tbl>
    <w:p w14:paraId="7957902B" w14:textId="3F9EE765" w:rsidR="00E733EF" w:rsidRDefault="00191652" w:rsidP="00CC281F">
      <w:pPr>
        <w:pStyle w:val="Endofdocument-Annex"/>
        <w:overflowPunct w:val="0"/>
        <w:spacing w:before="720" w:afterLines="50" w:after="120" w:line="340" w:lineRule="atLeast"/>
        <w:ind w:left="8505"/>
      </w:pPr>
      <w:r w:rsidRPr="00CC281F">
        <w:rPr>
          <w:rFonts w:ascii="KaiTi" w:eastAsia="KaiTi" w:hAnsi="KaiTi" w:hint="eastAsia"/>
          <w:iCs/>
          <w:sz w:val="21"/>
          <w:szCs w:val="21"/>
        </w:rPr>
        <w:t>[附件</w:t>
      </w:r>
      <w:r w:rsidR="004D6500">
        <w:rPr>
          <w:rFonts w:ascii="KaiTi" w:eastAsia="KaiTi" w:hAnsi="KaiTi" w:hint="eastAsia"/>
          <w:iCs/>
          <w:sz w:val="21"/>
          <w:szCs w:val="21"/>
        </w:rPr>
        <w:t>二</w:t>
      </w:r>
      <w:r w:rsidRPr="00CC281F">
        <w:rPr>
          <w:rFonts w:ascii="KaiTi" w:eastAsia="KaiTi" w:hAnsi="KaiTi" w:hint="eastAsia"/>
          <w:iCs/>
          <w:sz w:val="21"/>
          <w:szCs w:val="21"/>
        </w:rPr>
        <w:t>和文件完]</w:t>
      </w:r>
    </w:p>
    <w:sectPr w:rsidR="00E733EF">
      <w:headerReference w:type="default" r:id="rId25"/>
      <w:headerReference w:type="first" r:id="rId26"/>
      <w:endnotePr>
        <w:numFmt w:val="decimal"/>
      </w:endnotePr>
      <w:pgSz w:w="16840" w:h="11907" w:orient="landscape"/>
      <w:pgMar w:top="1418" w:right="2440" w:bottom="1134"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5BC90" w16cex:dateUtc="2023-03-10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231CEE" w16cid:durableId="27B5BC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4BB72" w14:textId="77777777" w:rsidR="00E726C8" w:rsidRDefault="00E726C8">
      <w:r>
        <w:separator/>
      </w:r>
    </w:p>
  </w:endnote>
  <w:endnote w:type="continuationSeparator" w:id="0">
    <w:p w14:paraId="1A565665" w14:textId="77777777" w:rsidR="00E726C8" w:rsidRDefault="00E7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6E57" w14:textId="77777777" w:rsidR="00C84C90" w:rsidRDefault="00C84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94C2F" w14:textId="77777777" w:rsidR="00C84C90" w:rsidRDefault="00C84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8210A" w14:textId="77777777" w:rsidR="00C84C90" w:rsidRDefault="00C84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649CD" w14:textId="77777777" w:rsidR="00E726C8" w:rsidRDefault="00E726C8">
      <w:r>
        <w:separator/>
      </w:r>
    </w:p>
  </w:footnote>
  <w:footnote w:type="continuationSeparator" w:id="0">
    <w:p w14:paraId="2541CB5C" w14:textId="77777777" w:rsidR="00E726C8" w:rsidRDefault="00E726C8">
      <w:r>
        <w:continuationSeparator/>
      </w:r>
    </w:p>
  </w:footnote>
  <w:footnote w:id="1">
    <w:p w14:paraId="4D862E89" w14:textId="31052537" w:rsidR="00E726C8" w:rsidRPr="00B01FC1" w:rsidRDefault="00E726C8" w:rsidP="00B01FC1">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《2022-2026年中期战略计划》可查阅：</w:t>
      </w:r>
      <w:hyperlink r:id="rId1" w:history="1">
        <w:r w:rsidRPr="00B01FC1">
          <w:rPr>
            <w:rStyle w:val="Hyperlink"/>
            <w:rFonts w:asciiTheme="minorEastAsia" w:eastAsiaTheme="minorEastAsia" w:hAnsiTheme="minorEastAsia" w:hint="eastAsia"/>
          </w:rPr>
          <w:t>www.wipo.int/meetings/en/doc_details.jsp?doc_id=541373</w:t>
        </w:r>
      </w:hyperlink>
    </w:p>
  </w:footnote>
  <w:footnote w:id="2">
    <w:p w14:paraId="2FB42F10" w14:textId="77777777" w:rsidR="00E726C8" w:rsidRPr="00B01FC1" w:rsidRDefault="00E726C8" w:rsidP="00B01FC1">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非洲司、最不发达国家司、阿拉伯国家司、亚洲及太平洋司、拉丁美洲和加勒比司、转型和发达国家司。</w:t>
      </w:r>
    </w:p>
  </w:footnote>
  <w:footnote w:id="3">
    <w:p w14:paraId="2E7E44DE" w14:textId="77777777" w:rsidR="00E726C8" w:rsidRPr="00B01FC1" w:rsidRDefault="00E726C8" w:rsidP="00B01FC1">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产权组织在阿尔及利亚、巴西、中国、日本、尼日利亚、俄罗斯联邦和新加坡设有驻外办事处。</w:t>
      </w:r>
    </w:p>
  </w:footnote>
  <w:footnote w:id="4">
    <w:p w14:paraId="3D24BA23" w14:textId="2D718FB7" w:rsidR="00E726C8" w:rsidRPr="00B01FC1" w:rsidRDefault="00E726C8" w:rsidP="00B01FC1">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更多信息可参见：</w:t>
      </w:r>
      <w:hyperlink r:id="rId2" w:history="1">
        <w:r w:rsidRPr="00B01FC1">
          <w:rPr>
            <w:rStyle w:val="Hyperlink"/>
            <w:rFonts w:asciiTheme="minorEastAsia" w:eastAsiaTheme="minorEastAsia" w:hAnsiTheme="minorEastAsia" w:hint="eastAsia"/>
          </w:rPr>
          <w:t>www.wipo.int/tad/en/activitydetails.jsp?id=25842</w:t>
        </w:r>
      </w:hyperlink>
    </w:p>
  </w:footnote>
  <w:footnote w:id="5">
    <w:p w14:paraId="4505A11D" w14:textId="78A3260F" w:rsidR="00E726C8" w:rsidRPr="00B01FC1" w:rsidRDefault="00E726C8" w:rsidP="00B01FC1">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详细信息可查阅：</w:t>
      </w:r>
      <w:hyperlink r:id="rId3" w:history="1">
        <w:r w:rsidRPr="00B01FC1">
          <w:rPr>
            <w:rStyle w:val="Hyperlink"/>
            <w:rFonts w:asciiTheme="minorEastAsia" w:eastAsiaTheme="minorEastAsia" w:hAnsiTheme="minorEastAsia" w:hint="eastAsia"/>
          </w:rPr>
          <w:t>www.wipo.int/technology-transfer/en/news/2022/news_0004.html</w:t>
        </w:r>
      </w:hyperlink>
    </w:p>
  </w:footnote>
  <w:footnote w:id="6">
    <w:p w14:paraId="0402AB8F" w14:textId="25F811B3" w:rsidR="00E726C8" w:rsidRPr="00B01FC1" w:rsidRDefault="00E726C8" w:rsidP="00B01FC1">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即在马来西亚、菲律宾、斯里兰卡、泰国和越南，在日本专利局的支持下进行的促进知识产权和技术的有利创新环境项目下的计划。更多信息可参见：</w:t>
      </w:r>
      <w:hyperlink r:id="rId4" w:history="1">
        <w:r w:rsidRPr="00B01FC1">
          <w:rPr>
            <w:rStyle w:val="Hyperlink"/>
            <w:rFonts w:asciiTheme="minorEastAsia" w:eastAsiaTheme="minorEastAsia" w:hAnsiTheme="minorEastAsia" w:hint="eastAsia"/>
          </w:rPr>
          <w:t>www.wipo.int/cooperation/en/funds_in_trust/japan_fitip_global/news/2022/news_0009.html</w:t>
        </w:r>
      </w:hyperlink>
    </w:p>
  </w:footnote>
  <w:footnote w:id="7">
    <w:p w14:paraId="757C2E24" w14:textId="77777777" w:rsidR="00E726C8" w:rsidRPr="00B01FC1" w:rsidRDefault="00E726C8" w:rsidP="00B01FC1">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有11个拉丁美洲工业产权局的局长出席会议。联合国妇女署和一位区域性别专家也参加了会议。</w:t>
      </w:r>
    </w:p>
  </w:footnote>
  <w:footnote w:id="8">
    <w:p w14:paraId="380306D3" w14:textId="38CBCA6F" w:rsidR="00E726C8" w:rsidRPr="00B01FC1" w:rsidRDefault="00E726C8" w:rsidP="00B01FC1">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更多信息可参见：</w:t>
      </w:r>
      <w:hyperlink r:id="rId5" w:history="1">
        <w:r w:rsidRPr="00B01FC1">
          <w:rPr>
            <w:rStyle w:val="Hyperlink"/>
            <w:rFonts w:asciiTheme="minorEastAsia" w:eastAsiaTheme="minorEastAsia" w:hAnsiTheme="minorEastAsia" w:hint="eastAsia"/>
          </w:rPr>
          <w:t>www.wipo.int/meetings/en/details.jsp?meeting_id=72351</w:t>
        </w:r>
      </w:hyperlink>
    </w:p>
  </w:footnote>
  <w:footnote w:id="9">
    <w:p w14:paraId="6729AE48" w14:textId="7D21C5F5" w:rsidR="00E726C8" w:rsidRDefault="00E726C8" w:rsidP="00B01FC1">
      <w:pPr>
        <w:pStyle w:val="FootnoteText"/>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产权组织的COVID-19相关服务和支持可访问：</w:t>
      </w:r>
      <w:hyperlink r:id="rId6" w:history="1">
        <w:r w:rsidRPr="00B01FC1">
          <w:rPr>
            <w:rStyle w:val="Hyperlink"/>
            <w:rFonts w:asciiTheme="minorEastAsia" w:eastAsiaTheme="minorEastAsia" w:hAnsiTheme="minorEastAsia" w:hint="eastAsia"/>
          </w:rPr>
          <w:t>www.wipo.int/covid-19/en/</w:t>
        </w:r>
      </w:hyperlink>
    </w:p>
  </w:footnote>
  <w:footnote w:id="10">
    <w:p w14:paraId="450FF3FF" w14:textId="77777777" w:rsidR="00E726C8" w:rsidRPr="002113D2" w:rsidRDefault="00E726C8" w:rsidP="002113D2">
      <w:pPr>
        <w:pStyle w:val="FootnoteText"/>
        <w:jc w:val="both"/>
        <w:rPr>
          <w:rFonts w:asciiTheme="minorEastAsia" w:eastAsiaTheme="minorEastAsia" w:hAnsiTheme="minorEastAsia"/>
        </w:rPr>
      </w:pPr>
      <w:r w:rsidRPr="002113D2">
        <w:rPr>
          <w:rStyle w:val="FootnoteReference"/>
          <w:rFonts w:asciiTheme="minorEastAsia" w:eastAsiaTheme="minorEastAsia" w:hAnsiTheme="minorEastAsia"/>
        </w:rPr>
        <w:footnoteRef/>
      </w:r>
      <w:r w:rsidRPr="002113D2">
        <w:rPr>
          <w:rFonts w:asciiTheme="minorEastAsia" w:eastAsiaTheme="minorEastAsia" w:hAnsiTheme="minorEastAsia"/>
          <w:szCs w:val="18"/>
        </w:rPr>
        <w:tab/>
      </w:r>
      <w:r w:rsidRPr="002113D2">
        <w:rPr>
          <w:rFonts w:asciiTheme="minorEastAsia" w:eastAsiaTheme="minorEastAsia" w:hAnsiTheme="minorEastAsia" w:hint="eastAsia"/>
        </w:rPr>
        <w:t>新的《多哈行动纲领》承认科学、技术和创新，包括包容和有利的创新生态系统，对实现可持续发展目标至关重要。该纲领阐述了与知识产权、创新和创造有关的更具体的目标和行动。</w:t>
      </w:r>
    </w:p>
  </w:footnote>
  <w:footnote w:id="11">
    <w:p w14:paraId="10105070" w14:textId="13B44CB4" w:rsidR="00E726C8" w:rsidRPr="002113D2" w:rsidRDefault="00E726C8" w:rsidP="002113D2">
      <w:pPr>
        <w:pStyle w:val="FootnoteText"/>
        <w:rPr>
          <w:rFonts w:asciiTheme="minorEastAsia" w:eastAsiaTheme="minorEastAsia" w:hAnsiTheme="minorEastAsia"/>
        </w:rPr>
      </w:pPr>
      <w:r w:rsidRPr="002113D2">
        <w:rPr>
          <w:rStyle w:val="FootnoteReference"/>
          <w:rFonts w:asciiTheme="minorEastAsia" w:eastAsiaTheme="minorEastAsia" w:hAnsiTheme="minorEastAsia"/>
        </w:rPr>
        <w:footnoteRef/>
      </w:r>
      <w:r w:rsidRPr="002113D2">
        <w:rPr>
          <w:rFonts w:asciiTheme="minorEastAsia" w:eastAsiaTheme="minorEastAsia" w:hAnsiTheme="minorEastAsia"/>
          <w:szCs w:val="18"/>
        </w:rPr>
        <w:tab/>
      </w:r>
      <w:r w:rsidRPr="002113D2">
        <w:rPr>
          <w:rFonts w:asciiTheme="minorEastAsia" w:eastAsiaTheme="minorEastAsia" w:hAnsiTheme="minorEastAsia" w:hint="eastAsia"/>
        </w:rPr>
        <w:t>在2021年12月13日至14日于日内瓦举行的产权组织会前论坛上，最不发达国家成员国审议并通过了产权组织的可交付成果，以筹备第五届联合国最不发达国家问题会议</w:t>
      </w:r>
      <w:r w:rsidRPr="002113D2">
        <w:rPr>
          <w:rFonts w:asciiTheme="minorEastAsia" w:eastAsiaTheme="minorEastAsia" w:hAnsiTheme="minorEastAsia" w:hint="eastAsia"/>
          <w:color w:val="000000" w:themeColor="text1"/>
        </w:rPr>
        <w:t>，详情可查阅：</w:t>
      </w:r>
      <w:hyperlink r:id="rId7"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/doc_details.jsp?doc_id=563348</w:t>
        </w:r>
      </w:hyperlink>
    </w:p>
  </w:footnote>
  <w:footnote w:id="12">
    <w:p w14:paraId="5CEA8126" w14:textId="06EF633F" w:rsidR="00E726C8" w:rsidRPr="002113D2" w:rsidRDefault="00E726C8" w:rsidP="002113D2">
      <w:pPr>
        <w:pStyle w:val="FootnoteText"/>
        <w:rPr>
          <w:rFonts w:asciiTheme="minorEastAsia" w:eastAsiaTheme="minorEastAsia" w:hAnsiTheme="minorEastAsia"/>
        </w:rPr>
      </w:pPr>
      <w:r w:rsidRPr="002113D2">
        <w:rPr>
          <w:rStyle w:val="FootnoteReference"/>
          <w:rFonts w:asciiTheme="minorEastAsia" w:eastAsiaTheme="minorEastAsia" w:hAnsiTheme="minorEastAsia"/>
        </w:rPr>
        <w:footnoteRef/>
      </w:r>
      <w:r w:rsidRPr="002113D2">
        <w:rPr>
          <w:rFonts w:asciiTheme="minorEastAsia" w:eastAsiaTheme="minorEastAsia" w:hAnsiTheme="minorEastAsia"/>
          <w:szCs w:val="18"/>
        </w:rPr>
        <w:tab/>
      </w:r>
      <w:r w:rsidRPr="002113D2">
        <w:rPr>
          <w:rFonts w:asciiTheme="minorEastAsia" w:eastAsiaTheme="minorEastAsia" w:hAnsiTheme="minorEastAsia" w:hint="eastAsia"/>
        </w:rPr>
        <w:t>一揽子方案可查阅：</w:t>
      </w:r>
      <w:hyperlink r:id="rId8" w:anchor=":~:text=Launched%20in%20July%202022%2C%20the,to%20graduating%20and%20graduated%20LDCs" w:history="1">
        <w:r w:rsidRPr="002113D2">
          <w:rPr>
            <w:rStyle w:val="Hyperlink"/>
            <w:rFonts w:asciiTheme="minorEastAsia" w:eastAsiaTheme="minorEastAsia" w:hAnsiTheme="minorEastAsia" w:hint="eastAsia"/>
          </w:rPr>
          <w:t>www.un.org/ldcportal/content/wipos-graduation-support-package-ldcs#:~:text=Launched%20in%20July%202022%2C%20the,to%20graduating%20and%20graduated%20LDCs</w:t>
        </w:r>
      </w:hyperlink>
      <w:r w:rsidRPr="002113D2">
        <w:rPr>
          <w:rFonts w:asciiTheme="minorEastAsia" w:eastAsiaTheme="minorEastAsia" w:hAnsiTheme="minorEastAsia" w:hint="eastAsia"/>
        </w:rPr>
        <w:t xml:space="preserve"> </w:t>
      </w:r>
    </w:p>
  </w:footnote>
  <w:footnote w:id="13">
    <w:p w14:paraId="2B696BF1" w14:textId="23AFFB44" w:rsidR="00E726C8" w:rsidRPr="002113D2" w:rsidRDefault="00E726C8" w:rsidP="002113D2">
      <w:pPr>
        <w:pStyle w:val="FootnoteText"/>
        <w:jc w:val="both"/>
        <w:rPr>
          <w:rFonts w:asciiTheme="minorEastAsia" w:eastAsiaTheme="minorEastAsia" w:hAnsiTheme="minorEastAsia"/>
        </w:rPr>
      </w:pPr>
      <w:r w:rsidRPr="002113D2">
        <w:rPr>
          <w:rStyle w:val="FootnoteReference"/>
          <w:rFonts w:asciiTheme="minorEastAsia" w:eastAsiaTheme="minorEastAsia" w:hAnsiTheme="minorEastAsia"/>
        </w:rPr>
        <w:footnoteRef/>
      </w:r>
      <w:r w:rsidRPr="002113D2">
        <w:rPr>
          <w:rFonts w:asciiTheme="minorEastAsia" w:eastAsiaTheme="minorEastAsia" w:hAnsiTheme="minorEastAsia"/>
          <w:szCs w:val="18"/>
        </w:rPr>
        <w:t xml:space="preserve"> </w:t>
      </w:r>
      <w:r w:rsidRPr="002113D2">
        <w:rPr>
          <w:rFonts w:asciiTheme="minorEastAsia" w:eastAsiaTheme="minorEastAsia" w:hAnsiTheme="minorEastAsia"/>
          <w:szCs w:val="18"/>
        </w:rPr>
        <w:tab/>
      </w:r>
      <w:r w:rsidRPr="002113D2">
        <w:rPr>
          <w:rFonts w:asciiTheme="minorEastAsia" w:eastAsiaTheme="minorEastAsia" w:hAnsiTheme="minorEastAsia" w:hint="eastAsia"/>
          <w:color w:val="202124"/>
          <w:shd w:val="clear" w:color="auto" w:fill="FFFFFF"/>
        </w:rPr>
        <w:t>联合国的六种官方语文和另外十种语文。</w:t>
      </w:r>
    </w:p>
  </w:footnote>
  <w:footnote w:id="14">
    <w:p w14:paraId="065ECDED" w14:textId="77777777" w:rsidR="00E726C8" w:rsidRPr="002113D2" w:rsidRDefault="00E726C8" w:rsidP="002113D2">
      <w:pPr>
        <w:pStyle w:val="FootnoteText"/>
        <w:jc w:val="both"/>
        <w:rPr>
          <w:rFonts w:asciiTheme="minorEastAsia" w:eastAsiaTheme="minorEastAsia" w:hAnsiTheme="minorEastAsia"/>
        </w:rPr>
      </w:pPr>
      <w:r w:rsidRPr="002113D2">
        <w:rPr>
          <w:rStyle w:val="FootnoteReference"/>
          <w:rFonts w:asciiTheme="minorEastAsia" w:eastAsiaTheme="minorEastAsia" w:hAnsiTheme="minorEastAsia"/>
        </w:rPr>
        <w:footnoteRef/>
      </w:r>
      <w:r w:rsidRPr="002113D2">
        <w:rPr>
          <w:rFonts w:asciiTheme="minorEastAsia" w:eastAsiaTheme="minorEastAsia" w:hAnsiTheme="minorEastAsia"/>
          <w:szCs w:val="18"/>
        </w:rPr>
        <w:tab/>
      </w:r>
      <w:r w:rsidRPr="002113D2">
        <w:rPr>
          <w:rFonts w:asciiTheme="minorEastAsia" w:eastAsiaTheme="minorEastAsia" w:hAnsiTheme="minorEastAsia" w:hint="eastAsia"/>
        </w:rPr>
        <w:t>该课程使专利专业人员具备成功准备和提交专利申请所需的技术技能和知识，这些也可以纳入产权组织成员国专利专业人员的国家/地区资格认证和培训中。</w:t>
      </w:r>
    </w:p>
  </w:footnote>
  <w:footnote w:id="15">
    <w:p w14:paraId="7E0EBA9C" w14:textId="77777777" w:rsidR="00E726C8" w:rsidRPr="002113D2" w:rsidRDefault="00E726C8" w:rsidP="002113D2">
      <w:pPr>
        <w:pStyle w:val="FootnoteText"/>
        <w:jc w:val="both"/>
        <w:rPr>
          <w:rFonts w:asciiTheme="minorEastAsia" w:eastAsiaTheme="minorEastAsia" w:hAnsiTheme="minorEastAsia"/>
        </w:rPr>
      </w:pPr>
      <w:r w:rsidRPr="002113D2">
        <w:rPr>
          <w:rStyle w:val="FootnoteReference"/>
          <w:rFonts w:asciiTheme="minorEastAsia" w:eastAsiaTheme="minorEastAsia" w:hAnsiTheme="minorEastAsia"/>
        </w:rPr>
        <w:footnoteRef/>
      </w:r>
      <w:r w:rsidRPr="002113D2">
        <w:rPr>
          <w:rFonts w:asciiTheme="minorEastAsia" w:eastAsiaTheme="minorEastAsia" w:hAnsiTheme="minorEastAsia"/>
          <w:szCs w:val="18"/>
        </w:rPr>
        <w:tab/>
      </w:r>
      <w:r w:rsidRPr="002113D2">
        <w:rPr>
          <w:rFonts w:asciiTheme="minorEastAsia" w:eastAsiaTheme="minorEastAsia" w:hAnsiTheme="minorEastAsia" w:hint="eastAsia"/>
        </w:rPr>
        <w:t>该课程采纳了产权组织在注重成果的管理方面的最佳做法以及项目准备、监测和评估方面的其他良好做法。</w:t>
      </w:r>
    </w:p>
  </w:footnote>
  <w:footnote w:id="16">
    <w:p w14:paraId="1619F7BF" w14:textId="77777777" w:rsidR="00E726C8" w:rsidRPr="002113D2" w:rsidRDefault="00E726C8" w:rsidP="002113D2">
      <w:pPr>
        <w:pStyle w:val="FootnoteText"/>
        <w:jc w:val="both"/>
        <w:rPr>
          <w:rFonts w:asciiTheme="minorEastAsia" w:eastAsiaTheme="minorEastAsia" w:hAnsiTheme="minorEastAsia"/>
        </w:rPr>
      </w:pPr>
      <w:r w:rsidRPr="002113D2">
        <w:rPr>
          <w:rStyle w:val="FootnoteReference"/>
          <w:rFonts w:asciiTheme="minorEastAsia" w:eastAsiaTheme="minorEastAsia" w:hAnsiTheme="minorEastAsia"/>
        </w:rPr>
        <w:footnoteRef/>
      </w:r>
      <w:r w:rsidRPr="002113D2">
        <w:rPr>
          <w:rFonts w:asciiTheme="minorEastAsia" w:eastAsiaTheme="minorEastAsia" w:hAnsiTheme="minorEastAsia"/>
          <w:szCs w:val="18"/>
        </w:rPr>
        <w:tab/>
      </w:r>
      <w:r w:rsidRPr="002113D2">
        <w:rPr>
          <w:rFonts w:asciiTheme="minorEastAsia" w:eastAsiaTheme="minorEastAsia" w:hAnsiTheme="minorEastAsia" w:hint="eastAsia"/>
        </w:rPr>
        <w:t>该课程旨在就如何使用产权组织开发的权利管理软件培训集体管理组织工作人员。</w:t>
      </w:r>
    </w:p>
  </w:footnote>
  <w:footnote w:id="17">
    <w:p w14:paraId="7D4224A3" w14:textId="77777777" w:rsidR="00E726C8" w:rsidRPr="002113D2" w:rsidRDefault="00E726C8" w:rsidP="002113D2">
      <w:pPr>
        <w:pStyle w:val="FootnoteText"/>
        <w:jc w:val="both"/>
        <w:rPr>
          <w:rFonts w:asciiTheme="minorEastAsia" w:eastAsiaTheme="minorEastAsia" w:hAnsiTheme="minorEastAsia"/>
        </w:rPr>
      </w:pPr>
      <w:r w:rsidRPr="002113D2">
        <w:rPr>
          <w:rStyle w:val="FootnoteReference"/>
          <w:rFonts w:asciiTheme="minorEastAsia" w:eastAsiaTheme="minorEastAsia" w:hAnsiTheme="minorEastAsia"/>
        </w:rPr>
        <w:footnoteRef/>
      </w:r>
      <w:r w:rsidRPr="002113D2">
        <w:rPr>
          <w:rFonts w:asciiTheme="minorEastAsia" w:eastAsiaTheme="minorEastAsia" w:hAnsiTheme="minorEastAsia"/>
          <w:szCs w:val="18"/>
        </w:rPr>
        <w:tab/>
      </w:r>
      <w:r w:rsidRPr="002113D2">
        <w:rPr>
          <w:rFonts w:asciiTheme="minorEastAsia" w:eastAsiaTheme="minorEastAsia" w:hAnsiTheme="minorEastAsia" w:hint="eastAsia"/>
        </w:rPr>
        <w:t>该课程将与大韩民国合作，于2023年在首尔开始面对面授课。</w:t>
      </w:r>
    </w:p>
  </w:footnote>
  <w:footnote w:id="18">
    <w:p w14:paraId="6D8481A4" w14:textId="77777777" w:rsidR="00E726C8" w:rsidRPr="002113D2" w:rsidRDefault="00E726C8" w:rsidP="002113D2">
      <w:pPr>
        <w:pStyle w:val="FootnoteText"/>
        <w:jc w:val="both"/>
        <w:rPr>
          <w:rFonts w:asciiTheme="minorEastAsia" w:eastAsiaTheme="minorEastAsia" w:hAnsiTheme="minorEastAsia"/>
        </w:rPr>
      </w:pPr>
      <w:r w:rsidRPr="002113D2">
        <w:rPr>
          <w:rStyle w:val="FootnoteReference"/>
          <w:rFonts w:asciiTheme="minorEastAsia" w:eastAsiaTheme="minorEastAsia" w:hAnsiTheme="minorEastAsia"/>
        </w:rPr>
        <w:footnoteRef/>
      </w:r>
      <w:r w:rsidRPr="002113D2">
        <w:rPr>
          <w:rFonts w:asciiTheme="minorEastAsia" w:eastAsiaTheme="minorEastAsia" w:hAnsiTheme="minorEastAsia"/>
          <w:szCs w:val="18"/>
        </w:rPr>
        <w:tab/>
      </w:r>
      <w:r w:rsidRPr="002113D2">
        <w:rPr>
          <w:rFonts w:asciiTheme="minorEastAsia" w:eastAsiaTheme="minorEastAsia" w:hAnsiTheme="minorEastAsia" w:hint="eastAsia"/>
        </w:rPr>
        <w:t>包括阿尔巴尼亚、佛得角、古巴、埃及、拉脱维亚、斯洛伐克、南非、蒙古、塔吉克斯坦、乌克兰、乌兹别克斯坦、安提瓜和巴布达、特立尼达和多巴哥以及巴西的知识产权局。</w:t>
      </w:r>
    </w:p>
  </w:footnote>
  <w:footnote w:id="19">
    <w:p w14:paraId="0F6E574F" w14:textId="77777777" w:rsidR="00E726C8" w:rsidRPr="002113D2" w:rsidRDefault="00E726C8" w:rsidP="002113D2">
      <w:pPr>
        <w:pStyle w:val="FootnoteText"/>
        <w:jc w:val="both"/>
        <w:rPr>
          <w:rFonts w:asciiTheme="minorEastAsia" w:eastAsiaTheme="minorEastAsia" w:hAnsiTheme="minorEastAsia"/>
        </w:rPr>
      </w:pPr>
      <w:r w:rsidRPr="002113D2">
        <w:rPr>
          <w:rStyle w:val="FootnoteReference"/>
          <w:rFonts w:asciiTheme="minorEastAsia" w:eastAsiaTheme="minorEastAsia" w:hAnsiTheme="minorEastAsia"/>
        </w:rPr>
        <w:footnoteRef/>
      </w:r>
      <w:r w:rsidRPr="002113D2">
        <w:rPr>
          <w:rFonts w:asciiTheme="minorEastAsia" w:eastAsiaTheme="minorEastAsia" w:hAnsiTheme="minorEastAsia"/>
          <w:szCs w:val="18"/>
        </w:rPr>
        <w:tab/>
      </w:r>
      <w:r w:rsidRPr="002113D2">
        <w:rPr>
          <w:rFonts w:asciiTheme="minorEastAsia" w:eastAsiaTheme="minorEastAsia" w:hAnsiTheme="minorEastAsia" w:hint="eastAsia"/>
        </w:rPr>
        <w:t>这些高级课程大部分是在线提供的，只有两门是以混合形式提供的。</w:t>
      </w:r>
    </w:p>
  </w:footnote>
  <w:footnote w:id="20">
    <w:p w14:paraId="17182660" w14:textId="77777777" w:rsidR="00E726C8" w:rsidRDefault="00E726C8" w:rsidP="002113D2">
      <w:pPr>
        <w:pStyle w:val="FootnoteText"/>
        <w:jc w:val="both"/>
      </w:pPr>
      <w:r w:rsidRPr="002113D2">
        <w:rPr>
          <w:rStyle w:val="FootnoteReference"/>
          <w:rFonts w:asciiTheme="minorEastAsia" w:eastAsiaTheme="minorEastAsia" w:hAnsiTheme="minorEastAsia"/>
        </w:rPr>
        <w:footnoteRef/>
      </w:r>
      <w:r w:rsidRPr="002113D2">
        <w:rPr>
          <w:rFonts w:asciiTheme="minorEastAsia" w:eastAsiaTheme="minorEastAsia" w:hAnsiTheme="minorEastAsia"/>
          <w:szCs w:val="18"/>
        </w:rPr>
        <w:tab/>
      </w:r>
      <w:r w:rsidRPr="002113D2">
        <w:rPr>
          <w:rFonts w:asciiTheme="minorEastAsia" w:eastAsiaTheme="minorEastAsia" w:hAnsiTheme="minorEastAsia" w:hint="eastAsia"/>
        </w:rPr>
        <w:t>专业发展计划课程的形式在2021年有所改变。</w:t>
      </w:r>
    </w:p>
  </w:footnote>
  <w:footnote w:id="21">
    <w:p w14:paraId="1484FEF4" w14:textId="77777777" w:rsidR="00E726C8" w:rsidRPr="00B01FC1" w:rsidRDefault="00E726C8" w:rsidP="00F311B1">
      <w:pPr>
        <w:pStyle w:val="FootnoteText"/>
        <w:jc w:val="both"/>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在这方面，为了便于讨论，编写了一份载有成员国提案的议题列表，并定期更新。请成员国随时提交关于知识产权与发展相关议题的提案。</w:t>
      </w:r>
    </w:p>
  </w:footnote>
  <w:footnote w:id="22">
    <w:p w14:paraId="4D359475" w14:textId="28BF10CD" w:rsidR="00E726C8" w:rsidRPr="00B01FC1" w:rsidRDefault="00E726C8">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秘书处的演示报告可查阅：</w:t>
      </w:r>
      <w:hyperlink r:id="rId9"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/doc_details.jsp?doc_id=576651</w:t>
        </w:r>
      </w:hyperlink>
    </w:p>
  </w:footnote>
  <w:footnote w:id="23">
    <w:p w14:paraId="1B8D20BA" w14:textId="44F442B1" w:rsidR="00E726C8" w:rsidRPr="00B01FC1" w:rsidRDefault="00E726C8">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秘书处的演示报告可查阅：</w:t>
      </w:r>
      <w:hyperlink r:id="rId10"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/doc_details.jsp?doc_id=589492</w:t>
        </w:r>
      </w:hyperlink>
    </w:p>
  </w:footnote>
  <w:footnote w:id="24">
    <w:p w14:paraId="102D3958" w14:textId="69AF5F4F" w:rsidR="00E726C8" w:rsidRPr="00B01FC1" w:rsidRDefault="00E726C8">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见文件CDIP/28/3，可查阅：</w:t>
      </w:r>
      <w:hyperlink r:id="rId11"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/doc_details.jsp?doc_id=568113</w:t>
        </w:r>
      </w:hyperlink>
    </w:p>
  </w:footnote>
  <w:footnote w:id="25">
    <w:p w14:paraId="31FD9A2B" w14:textId="07E83FD5" w:rsidR="00E726C8" w:rsidRPr="00B01FC1" w:rsidRDefault="00E726C8">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见文件CDIP/29/3，可查阅：</w:t>
      </w:r>
      <w:hyperlink r:id="rId12"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/doc_details.jsp?doc_id=579081</w:t>
        </w:r>
      </w:hyperlink>
    </w:p>
  </w:footnote>
  <w:footnote w:id="26">
    <w:p w14:paraId="69103C1C" w14:textId="73E57198" w:rsidR="00E726C8" w:rsidRPr="00B01FC1" w:rsidRDefault="00E726C8">
      <w:pPr>
        <w:pStyle w:val="FootnoteText"/>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文件CDIP/20/5，可查阅：</w:t>
      </w:r>
      <w:hyperlink r:id="rId13"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/doc_details.jsp?doc_id=387181</w:t>
        </w:r>
      </w:hyperlink>
    </w:p>
  </w:footnote>
  <w:footnote w:id="27">
    <w:p w14:paraId="2EDEEBDE" w14:textId="4ED04C9A" w:rsidR="00E726C8" w:rsidRPr="00B01FC1" w:rsidRDefault="00E726C8" w:rsidP="00F311B1">
      <w:pPr>
        <w:pStyle w:val="FootnoteText"/>
        <w:jc w:val="both"/>
        <w:rPr>
          <w:rFonts w:asciiTheme="minorEastAsia" w:eastAsiaTheme="minorEastAsia" w:hAnsiTheme="minorEastAsia"/>
        </w:rPr>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根据委员会在第六届会议上达成的一致意见，于2013年6月建立了该数据库。</w:t>
      </w:r>
      <w:hyperlink r:id="rId14" w:history="1">
        <w:r w:rsidRPr="00B01FC1">
          <w:rPr>
            <w:rStyle w:val="Hyperlink"/>
            <w:rFonts w:asciiTheme="minorEastAsia" w:eastAsiaTheme="minorEastAsia" w:hAnsiTheme="minorEastAsia" w:hint="eastAsia"/>
          </w:rPr>
          <w:t>www.wipo.int/ip-development/en/agenda/flexibilities/database.html</w:t>
        </w:r>
      </w:hyperlink>
    </w:p>
  </w:footnote>
  <w:footnote w:id="28">
    <w:p w14:paraId="390B7A7E" w14:textId="77777777" w:rsidR="00E726C8" w:rsidRDefault="00E726C8" w:rsidP="00F311B1">
      <w:pPr>
        <w:pStyle w:val="FootnoteText"/>
        <w:jc w:val="both"/>
      </w:pPr>
      <w:r w:rsidRPr="00B01FC1">
        <w:rPr>
          <w:rStyle w:val="FootnoteReference"/>
          <w:rFonts w:asciiTheme="minorEastAsia" w:eastAsiaTheme="minorEastAsia" w:hAnsiTheme="minorEastAsia"/>
        </w:rPr>
        <w:footnoteRef/>
      </w:r>
      <w:r w:rsidRPr="00B01FC1">
        <w:rPr>
          <w:rFonts w:asciiTheme="minorEastAsia" w:eastAsiaTheme="minorEastAsia" w:hAnsiTheme="minorEastAsia"/>
          <w:szCs w:val="18"/>
        </w:rPr>
        <w:tab/>
      </w:r>
      <w:r w:rsidRPr="00B01FC1">
        <w:rPr>
          <w:rFonts w:asciiTheme="minorEastAsia" w:eastAsiaTheme="minorEastAsia" w:hAnsiTheme="minorEastAsia" w:hint="eastAsia"/>
        </w:rPr>
        <w:t>成员国通知的更新可能是指：(i)对已列入数据库的一个或几个条款的修改；和/或(ii)在其国家法律中新通过的与数据库中的灵活性有关的先前不存在的条款。</w:t>
      </w:r>
    </w:p>
  </w:footnote>
  <w:footnote w:id="29">
    <w:p w14:paraId="0866FB42" w14:textId="4443BC4B" w:rsidR="00E726C8" w:rsidRPr="00F311B1" w:rsidRDefault="00E726C8">
      <w:pPr>
        <w:pStyle w:val="FootnoteText"/>
        <w:rPr>
          <w:rFonts w:asciiTheme="minorEastAsia" w:eastAsiaTheme="minorEastAsia" w:hAnsiTheme="minorEastAsia"/>
        </w:rPr>
      </w:pPr>
      <w:r w:rsidRPr="00F311B1">
        <w:rPr>
          <w:rStyle w:val="FootnoteReference"/>
          <w:rFonts w:asciiTheme="minorEastAsia" w:eastAsiaTheme="minorEastAsia" w:hAnsiTheme="minorEastAsia"/>
        </w:rPr>
        <w:footnoteRef/>
      </w:r>
      <w:r w:rsidRPr="00F311B1">
        <w:rPr>
          <w:rFonts w:asciiTheme="minorEastAsia" w:eastAsiaTheme="minorEastAsia" w:hAnsiTheme="minorEastAsia"/>
          <w:szCs w:val="18"/>
        </w:rPr>
        <w:tab/>
      </w:r>
      <w:r w:rsidRPr="00F311B1">
        <w:rPr>
          <w:rFonts w:asciiTheme="minorEastAsia" w:eastAsiaTheme="minorEastAsia" w:hAnsiTheme="minorEastAsia" w:hint="eastAsia"/>
        </w:rPr>
        <w:t>见文件CDIP/28/8，可查阅：</w:t>
      </w:r>
      <w:hyperlink r:id="rId15" w:history="1">
        <w:r w:rsidRPr="000578C5">
          <w:rPr>
            <w:rStyle w:val="Hyperlink"/>
            <w:rFonts w:asciiTheme="minorEastAsia" w:eastAsiaTheme="minorEastAsia" w:hAnsiTheme="minorEastAsia" w:hint="eastAsia"/>
          </w:rPr>
          <w:t>https://www.wipo.int/meetings/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/doc_details.jsp?doc_id=569442</w:t>
        </w:r>
      </w:hyperlink>
    </w:p>
  </w:footnote>
  <w:footnote w:id="30">
    <w:p w14:paraId="71C1D164" w14:textId="759B6E9F" w:rsidR="00E726C8" w:rsidRPr="00F311B1" w:rsidRDefault="00E726C8">
      <w:pPr>
        <w:pStyle w:val="FootnoteText"/>
        <w:rPr>
          <w:rFonts w:asciiTheme="minorEastAsia" w:eastAsiaTheme="minorEastAsia" w:hAnsiTheme="minorEastAsia"/>
        </w:rPr>
      </w:pPr>
      <w:r w:rsidRPr="00F311B1">
        <w:rPr>
          <w:rStyle w:val="FootnoteReference"/>
          <w:rFonts w:asciiTheme="minorEastAsia" w:eastAsiaTheme="minorEastAsia" w:hAnsiTheme="minorEastAsia"/>
        </w:rPr>
        <w:footnoteRef/>
      </w:r>
      <w:r w:rsidRPr="00F311B1">
        <w:rPr>
          <w:rFonts w:asciiTheme="minorEastAsia" w:eastAsiaTheme="minorEastAsia" w:hAnsiTheme="minorEastAsia"/>
          <w:szCs w:val="18"/>
        </w:rPr>
        <w:tab/>
      </w:r>
      <w:r w:rsidRPr="00F311B1">
        <w:rPr>
          <w:rFonts w:asciiTheme="minorEastAsia" w:eastAsiaTheme="minorEastAsia" w:hAnsiTheme="minorEastAsia" w:hint="eastAsia"/>
        </w:rPr>
        <w:t>更多信息可参见：</w:t>
      </w:r>
      <w:hyperlink r:id="rId16" w:history="1">
        <w:r w:rsidRPr="000578C5">
          <w:rPr>
            <w:rStyle w:val="Hyperlink"/>
            <w:rFonts w:asciiTheme="minorEastAsia" w:eastAsiaTheme="minorEastAsia" w:hAnsiTheme="minorEastAsia" w:hint="eastAsia"/>
          </w:rPr>
          <w:t>www.wipo.int/women-and-ip/</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/news/2022/news_0006.html</w:t>
        </w:r>
      </w:hyperlink>
    </w:p>
  </w:footnote>
  <w:footnote w:id="31">
    <w:p w14:paraId="338ACEEF" w14:textId="66EFC0BF" w:rsidR="00E726C8" w:rsidRPr="00F311B1" w:rsidRDefault="00E726C8" w:rsidP="00F311B1">
      <w:pPr>
        <w:pStyle w:val="FootnoteText"/>
        <w:jc w:val="both"/>
        <w:rPr>
          <w:rFonts w:asciiTheme="minorEastAsia" w:eastAsiaTheme="minorEastAsia" w:hAnsiTheme="minorEastAsia"/>
        </w:rPr>
      </w:pPr>
      <w:r w:rsidRPr="00F311B1">
        <w:rPr>
          <w:rStyle w:val="FootnoteReference"/>
          <w:rFonts w:asciiTheme="minorEastAsia" w:eastAsiaTheme="minorEastAsia" w:hAnsiTheme="minorEastAsia"/>
        </w:rPr>
        <w:footnoteRef/>
      </w:r>
      <w:r w:rsidRPr="00F311B1">
        <w:rPr>
          <w:rFonts w:asciiTheme="minorEastAsia" w:eastAsiaTheme="minorEastAsia" w:hAnsiTheme="minorEastAsia"/>
          <w:szCs w:val="18"/>
        </w:rPr>
        <w:tab/>
      </w:r>
      <w:r w:rsidRPr="00F311B1">
        <w:rPr>
          <w:rFonts w:asciiTheme="minorEastAsia" w:eastAsiaTheme="minorEastAsia" w:hAnsiTheme="minorEastAsia" w:hint="eastAsia"/>
        </w:rPr>
        <w:t>与产权组织一起在乌干达指导女企业家的“培养有智慧的成功女性”（GSWIM）的创始人兼总经理莉莲·南图姆（Lilian Nantume）女士建立了一个网站，收录了十大最佳成功案例，详情可查阅：</w:t>
      </w:r>
      <w:hyperlink r:id="rId17" w:history="1">
        <w:r w:rsidRPr="00F311B1">
          <w:rPr>
            <w:rStyle w:val="Hyperlink"/>
            <w:rFonts w:asciiTheme="minorEastAsia" w:eastAsiaTheme="minorEastAsia" w:hAnsiTheme="minorEastAsia" w:hint="eastAsia"/>
          </w:rPr>
          <w:t>www.gswim.org/gswimwomensuccessstories</w:t>
        </w:r>
      </w:hyperlink>
    </w:p>
  </w:footnote>
  <w:footnote w:id="32">
    <w:p w14:paraId="6F3165FC" w14:textId="16C24A50" w:rsidR="00E726C8" w:rsidRPr="00F311B1" w:rsidRDefault="00E726C8">
      <w:pPr>
        <w:pStyle w:val="FootnoteText"/>
        <w:rPr>
          <w:rFonts w:asciiTheme="minorEastAsia" w:eastAsiaTheme="minorEastAsia" w:hAnsiTheme="minorEastAsia"/>
        </w:rPr>
      </w:pPr>
      <w:r w:rsidRPr="00F311B1">
        <w:rPr>
          <w:rStyle w:val="FootnoteReference"/>
          <w:rFonts w:asciiTheme="minorEastAsia" w:eastAsiaTheme="minorEastAsia" w:hAnsiTheme="minorEastAsia"/>
        </w:rPr>
        <w:footnoteRef/>
      </w:r>
      <w:r w:rsidRPr="00F311B1">
        <w:rPr>
          <w:rFonts w:asciiTheme="minorEastAsia" w:eastAsiaTheme="minorEastAsia" w:hAnsiTheme="minorEastAsia"/>
          <w:szCs w:val="18"/>
        </w:rPr>
        <w:tab/>
      </w:r>
      <w:r w:rsidRPr="00F311B1">
        <w:rPr>
          <w:rFonts w:asciiTheme="minorEastAsia" w:eastAsiaTheme="minorEastAsia" w:hAnsiTheme="minorEastAsia" w:hint="eastAsia"/>
        </w:rPr>
        <w:t>更多信息可参见：</w:t>
      </w:r>
      <w:hyperlink r:id="rId18"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/details.jsp?meeting_id=71368</w:t>
        </w:r>
      </w:hyperlink>
    </w:p>
  </w:footnote>
  <w:footnote w:id="33">
    <w:p w14:paraId="55227978" w14:textId="77777777" w:rsidR="00E726C8" w:rsidRPr="00F311B1" w:rsidRDefault="00E726C8" w:rsidP="00F311B1">
      <w:pPr>
        <w:pStyle w:val="FootnoteText"/>
        <w:jc w:val="both"/>
        <w:rPr>
          <w:rFonts w:asciiTheme="minorEastAsia" w:eastAsiaTheme="minorEastAsia" w:hAnsiTheme="minorEastAsia"/>
        </w:rPr>
      </w:pPr>
      <w:r w:rsidRPr="00F311B1">
        <w:rPr>
          <w:rStyle w:val="FootnoteReference"/>
          <w:rFonts w:asciiTheme="minorEastAsia" w:eastAsiaTheme="minorEastAsia" w:hAnsiTheme="minorEastAsia"/>
        </w:rPr>
        <w:footnoteRef/>
      </w:r>
      <w:r w:rsidRPr="00F311B1">
        <w:rPr>
          <w:rFonts w:asciiTheme="minorEastAsia" w:eastAsiaTheme="minorEastAsia" w:hAnsiTheme="minorEastAsia"/>
          <w:szCs w:val="18"/>
        </w:rPr>
        <w:tab/>
      </w:r>
      <w:r w:rsidRPr="00F311B1">
        <w:rPr>
          <w:rFonts w:asciiTheme="minorEastAsia" w:eastAsiaTheme="minorEastAsia" w:hAnsiTheme="minorEastAsia" w:hint="eastAsia"/>
        </w:rPr>
        <w:t>该网络创建于2021年，为此，智利、秘鲁、哥斯达黎加、哥伦比亚的知识产权局与作为荣誉成员的产权组织签署了一份谅解备忘录。</w:t>
      </w:r>
    </w:p>
  </w:footnote>
  <w:footnote w:id="34">
    <w:p w14:paraId="269AD36D" w14:textId="77777777" w:rsidR="00E726C8" w:rsidRDefault="00E726C8">
      <w:pPr>
        <w:pStyle w:val="FootnoteText"/>
      </w:pPr>
      <w:r w:rsidRPr="00F311B1">
        <w:rPr>
          <w:rStyle w:val="FootnoteReference"/>
          <w:rFonts w:asciiTheme="minorEastAsia" w:eastAsiaTheme="minorEastAsia" w:hAnsiTheme="minorEastAsia"/>
        </w:rPr>
        <w:footnoteRef/>
      </w:r>
      <w:r w:rsidRPr="00F311B1">
        <w:rPr>
          <w:rFonts w:asciiTheme="minorEastAsia" w:eastAsiaTheme="minorEastAsia" w:hAnsiTheme="minorEastAsia"/>
          <w:szCs w:val="18"/>
        </w:rPr>
        <w:tab/>
      </w:r>
      <w:r w:rsidRPr="00F311B1">
        <w:rPr>
          <w:rFonts w:asciiTheme="minorEastAsia" w:eastAsiaTheme="minorEastAsia" w:hAnsiTheme="minorEastAsia" w:hint="eastAsia"/>
        </w:rPr>
        <w:t>即阿根廷、巴西、多米尼加共和国、厄瓜多尔、墨西哥和乌拉圭。</w:t>
      </w:r>
    </w:p>
  </w:footnote>
  <w:footnote w:id="35">
    <w:p w14:paraId="1CADC67B" w14:textId="36A99A42" w:rsidR="00E726C8" w:rsidRPr="008042E7" w:rsidRDefault="00E726C8">
      <w:pPr>
        <w:pStyle w:val="FootnoteText"/>
        <w:rPr>
          <w:rFonts w:asciiTheme="minorEastAsia" w:eastAsiaTheme="minorEastAsia" w:hAnsiTheme="minorEastAsia"/>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见文件CDIP/29/2，可查阅：</w:t>
      </w:r>
      <w:hyperlink r:id="rId19"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/doc_details.jsp?doc_id=582745</w:t>
        </w:r>
      </w:hyperlink>
    </w:p>
  </w:footnote>
  <w:footnote w:id="36">
    <w:p w14:paraId="51A413E8" w14:textId="77777777" w:rsidR="00E726C8" w:rsidRPr="008042E7" w:rsidRDefault="00E726C8">
      <w:pPr>
        <w:pStyle w:val="FootnoteText"/>
        <w:rPr>
          <w:rFonts w:asciiTheme="minorEastAsia" w:eastAsiaTheme="minorEastAsia" w:hAnsiTheme="minorEastAsia"/>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由于实施了发展议程项目“成功的发展议程项目提案用工具”，进展报告的报告形式得到了更新。</w:t>
      </w:r>
    </w:p>
  </w:footnote>
  <w:footnote w:id="37">
    <w:p w14:paraId="1E9C801A" w14:textId="238F9C7C" w:rsidR="00E726C8" w:rsidRPr="008042E7" w:rsidRDefault="00E726C8">
      <w:pPr>
        <w:pStyle w:val="FootnoteText"/>
        <w:rPr>
          <w:rFonts w:asciiTheme="minorEastAsia" w:eastAsiaTheme="minorEastAsia" w:hAnsiTheme="minorEastAsia"/>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见文件CDIP/29/6，可查阅：</w:t>
      </w:r>
      <w:hyperlink r:id="rId20"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/doc_details.jsp?doc_id=581143</w:t>
        </w:r>
      </w:hyperlink>
    </w:p>
  </w:footnote>
  <w:footnote w:id="38">
    <w:p w14:paraId="74EB3098" w14:textId="577317F6" w:rsidR="00E726C8" w:rsidRDefault="00E726C8">
      <w:pPr>
        <w:pStyle w:val="FootnoteText"/>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见文件CDIP/29/9，可查阅：</w:t>
      </w:r>
      <w:hyperlink r:id="rId21"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/doc_details.jsp?doc_id=582427</w:t>
        </w:r>
      </w:hyperlink>
    </w:p>
  </w:footnote>
  <w:footnote w:id="39">
    <w:p w14:paraId="7DB43E89" w14:textId="77777777" w:rsidR="00E726C8" w:rsidRPr="008042E7" w:rsidRDefault="00E726C8" w:rsidP="008042E7">
      <w:pPr>
        <w:pStyle w:val="FootnoteText"/>
        <w:jc w:val="both"/>
        <w:rPr>
          <w:rFonts w:asciiTheme="minorEastAsia" w:eastAsiaTheme="minorEastAsia" w:hAnsiTheme="minorEastAsia"/>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即在阿塞拜疆、哥伦比亚、哥斯达黎加、多米尼加共和国、埃及、萨尔瓦多、格鲁吉亚、伊朗伊斯兰共和国、秘鲁、沙特阿拉伯、特立尼达和多巴哥以及突尼斯。哥伦比亚和多米尼加共和国各设立了两个知识产权培训机构，一个在工业产权局（哥伦比亚的工业和商业监管局（SIC）和多米尼加共和国的国家工业产权局（ONAPI）），另一个在版权局（哥伦比亚的国家作者权利局（DNDA）和多米尼加共和国的国家作者权利局（ONDA））。</w:t>
      </w:r>
    </w:p>
  </w:footnote>
  <w:footnote w:id="40">
    <w:p w14:paraId="06D00FC6" w14:textId="77777777" w:rsidR="00E726C8" w:rsidRPr="008042E7" w:rsidRDefault="00E726C8" w:rsidP="008042E7">
      <w:pPr>
        <w:pStyle w:val="FootnoteText"/>
        <w:jc w:val="both"/>
        <w:rPr>
          <w:rFonts w:asciiTheme="minorEastAsia" w:eastAsiaTheme="minorEastAsia" w:hAnsiTheme="minorEastAsia"/>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其中七个项目正在进行中。</w:t>
      </w:r>
    </w:p>
  </w:footnote>
  <w:footnote w:id="41">
    <w:p w14:paraId="76F9D819" w14:textId="77777777" w:rsidR="00E726C8" w:rsidRPr="008042E7" w:rsidRDefault="00E726C8" w:rsidP="008042E7">
      <w:pPr>
        <w:pStyle w:val="FootnoteText"/>
        <w:jc w:val="both"/>
        <w:rPr>
          <w:rFonts w:asciiTheme="minorEastAsia" w:eastAsiaTheme="minorEastAsia" w:hAnsiTheme="minorEastAsia"/>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这些课程使知识产权培训机构具备为主要受众设计和提供专门技能计划的技能和能力，并掌握使部分培训自动化的工具（自定进度的课程、教育指南、对其培训师的持续培训等）。</w:t>
      </w:r>
    </w:p>
  </w:footnote>
  <w:footnote w:id="42">
    <w:p w14:paraId="69E4279F" w14:textId="028B626C" w:rsidR="00E726C8" w:rsidRPr="008042E7" w:rsidRDefault="00E726C8" w:rsidP="008042E7">
      <w:pPr>
        <w:pStyle w:val="FootnoteText"/>
        <w:jc w:val="both"/>
        <w:rPr>
          <w:rFonts w:asciiTheme="minorEastAsia" w:eastAsiaTheme="minorEastAsia" w:hAnsiTheme="minorEastAsia"/>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63%的参与者是妇女。99%的满意度调查答复者对会议表示高度满意。</w:t>
      </w:r>
    </w:p>
  </w:footnote>
  <w:footnote w:id="43">
    <w:p w14:paraId="70D0F85E" w14:textId="77777777" w:rsidR="00E726C8" w:rsidRPr="008042E7" w:rsidRDefault="00E726C8" w:rsidP="008042E7">
      <w:pPr>
        <w:pStyle w:val="FootnoteText"/>
        <w:jc w:val="both"/>
        <w:rPr>
          <w:rFonts w:asciiTheme="minorEastAsia" w:eastAsiaTheme="minorEastAsia" w:hAnsiTheme="minorEastAsia"/>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这些项目包括适用以下适当技术：在莫桑比克：(i)为生产高质量“罗非鱼鱼苗”改造的鱼苗孵化器技术；(ii)设计和生产厌氧消化池以便将废物转化为沼气和生物肥料技术。在塞内加尔：(i)水果（洋葱和芒果）的简单和可持续干燥技术；以及(ii)石油提炼以便用于废物回收和增值的技术。在乌干达：(i)木柴烧砖替代技术；(ii)雨水收集和处理技术。</w:t>
      </w:r>
    </w:p>
  </w:footnote>
  <w:footnote w:id="44">
    <w:p w14:paraId="1BD526C9" w14:textId="77777777" w:rsidR="00E726C8" w:rsidRPr="008042E7" w:rsidRDefault="00E726C8" w:rsidP="008042E7">
      <w:pPr>
        <w:pStyle w:val="FootnoteText"/>
        <w:jc w:val="both"/>
        <w:rPr>
          <w:rFonts w:asciiTheme="minorEastAsia" w:eastAsiaTheme="minorEastAsia" w:hAnsiTheme="minorEastAsia"/>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计划在2023年第二和第三季度举行讲习班。</w:t>
      </w:r>
    </w:p>
  </w:footnote>
  <w:footnote w:id="45">
    <w:p w14:paraId="5B3DB194" w14:textId="77777777" w:rsidR="00E726C8" w:rsidRPr="008042E7" w:rsidRDefault="00E726C8" w:rsidP="008042E7">
      <w:pPr>
        <w:pStyle w:val="FootnoteText"/>
        <w:jc w:val="both"/>
        <w:rPr>
          <w:rFonts w:asciiTheme="minorEastAsia" w:eastAsiaTheme="minorEastAsia" w:hAnsiTheme="minorEastAsia"/>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IP-TAD提供产权组织在受益国所开展的技术援助活动的信息，这些受益国可能是发展中国家、最不发达国家，也可能是转型国家。</w:t>
      </w:r>
    </w:p>
  </w:footnote>
  <w:footnote w:id="46">
    <w:p w14:paraId="68D25C52" w14:textId="77777777" w:rsidR="00E726C8" w:rsidRDefault="00E726C8" w:rsidP="008042E7">
      <w:pPr>
        <w:pStyle w:val="FootnoteText"/>
        <w:jc w:val="both"/>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这些顾问不在总部工作，也不在产权组织驻外办事处工作。</w:t>
      </w:r>
    </w:p>
  </w:footnote>
  <w:footnote w:id="47">
    <w:p w14:paraId="692CA2A8" w14:textId="756B2D2D" w:rsidR="00E726C8" w:rsidRPr="008042E7" w:rsidRDefault="00E726C8">
      <w:pPr>
        <w:pStyle w:val="FootnoteText"/>
        <w:rPr>
          <w:rFonts w:asciiTheme="minorEastAsia" w:eastAsiaTheme="minorEastAsia" w:hAnsiTheme="minorEastAsia"/>
        </w:rPr>
      </w:pPr>
      <w:r w:rsidRPr="008042E7">
        <w:rPr>
          <w:rStyle w:val="FootnoteReference"/>
          <w:rFonts w:asciiTheme="minorEastAsia" w:eastAsiaTheme="minorEastAsia" w:hAnsiTheme="minorEastAsia"/>
        </w:rPr>
        <w:footnoteRef/>
      </w:r>
      <w:r w:rsidRPr="008042E7">
        <w:rPr>
          <w:rFonts w:asciiTheme="minorEastAsia" w:eastAsiaTheme="minorEastAsia" w:hAnsiTheme="minorEastAsia"/>
          <w:szCs w:val="18"/>
        </w:rPr>
        <w:tab/>
      </w:r>
      <w:r w:rsidRPr="008042E7">
        <w:rPr>
          <w:rFonts w:asciiTheme="minorEastAsia" w:eastAsiaTheme="minorEastAsia" w:hAnsiTheme="minorEastAsia" w:hint="eastAsia"/>
        </w:rPr>
        <w:t>见文件CDIP/28/5，可查阅：</w:t>
      </w:r>
      <w:hyperlink r:id="rId22" w:history="1">
        <w:r w:rsidRPr="008042E7">
          <w:rPr>
            <w:rStyle w:val="Hyperlink"/>
            <w:rFonts w:asciiTheme="minorEastAsia" w:eastAsiaTheme="minorEastAsia" w:hAnsiTheme="minorEastAsia" w:hint="eastAsia"/>
          </w:rPr>
          <w:t>www.wipo.int/meetings/</w:t>
        </w:r>
        <w:r w:rsidRPr="008042E7">
          <w:rPr>
            <w:rStyle w:val="Hyperlink"/>
            <w:rFonts w:asciiTheme="minorEastAsia" w:eastAsiaTheme="minorEastAsia" w:hAnsiTheme="minorEastAsia"/>
          </w:rPr>
          <w:t>zh</w:t>
        </w:r>
        <w:r w:rsidRPr="008042E7">
          <w:rPr>
            <w:rStyle w:val="Hyperlink"/>
            <w:rFonts w:asciiTheme="minorEastAsia" w:eastAsiaTheme="minorEastAsia" w:hAnsiTheme="minorEastAsia" w:hint="eastAsia"/>
          </w:rPr>
          <w:t>/doc_details.jsp?doc_id=570471</w:t>
        </w:r>
      </w:hyperlink>
    </w:p>
  </w:footnote>
  <w:footnote w:id="48">
    <w:p w14:paraId="7069044F" w14:textId="2BB11E5F" w:rsidR="00E726C8" w:rsidRPr="00140621" w:rsidRDefault="00E726C8" w:rsidP="00140621">
      <w:pPr>
        <w:pStyle w:val="FootnoteText"/>
        <w:jc w:val="both"/>
        <w:rPr>
          <w:rFonts w:asciiTheme="minorEastAsia" w:eastAsiaTheme="minorEastAsia" w:hAnsiTheme="minorEastAsia"/>
        </w:rPr>
      </w:pPr>
      <w:r w:rsidRPr="00140621">
        <w:rPr>
          <w:rStyle w:val="FootnoteReference"/>
          <w:rFonts w:asciiTheme="minorEastAsia" w:eastAsiaTheme="minorEastAsia" w:hAnsiTheme="minorEastAsia"/>
        </w:rPr>
        <w:footnoteRef/>
      </w:r>
      <w:r w:rsidRPr="00140621">
        <w:rPr>
          <w:rFonts w:asciiTheme="minorEastAsia" w:eastAsiaTheme="minorEastAsia" w:hAnsiTheme="minorEastAsia"/>
          <w:szCs w:val="18"/>
        </w:rPr>
        <w:tab/>
      </w:r>
      <w:r w:rsidRPr="00140621">
        <w:rPr>
          <w:rFonts w:asciiTheme="minorEastAsia" w:eastAsiaTheme="minorEastAsia" w:hAnsiTheme="minorEastAsia" w:hint="eastAsia"/>
        </w:rPr>
        <w:t>所有产出都在各次会议上提交给了CDIP，可查阅：</w:t>
      </w:r>
      <w:hyperlink r:id="rId23" w:history="1">
        <w:r w:rsidRPr="00140621">
          <w:rPr>
            <w:rStyle w:val="Hyperlink"/>
            <w:rFonts w:asciiTheme="minorEastAsia" w:eastAsiaTheme="minorEastAsia" w:hAnsiTheme="minorEastAsia" w:hint="eastAsia"/>
          </w:rPr>
          <w:t>dacatalogue.wipo.int/projects/DA_01_05_01</w:t>
        </w:r>
      </w:hyperlink>
    </w:p>
  </w:footnote>
  <w:footnote w:id="49">
    <w:p w14:paraId="07D73F84" w14:textId="44E6E247" w:rsidR="00E726C8" w:rsidRPr="00140621" w:rsidRDefault="00E726C8" w:rsidP="00140621">
      <w:pPr>
        <w:pStyle w:val="FootnoteText"/>
        <w:jc w:val="both"/>
        <w:rPr>
          <w:rFonts w:asciiTheme="minorEastAsia" w:eastAsiaTheme="minorEastAsia" w:hAnsiTheme="minorEastAsia"/>
        </w:rPr>
      </w:pPr>
      <w:r w:rsidRPr="00140621">
        <w:rPr>
          <w:rStyle w:val="FootnoteReference"/>
          <w:rFonts w:asciiTheme="minorEastAsia" w:eastAsiaTheme="minorEastAsia" w:hAnsiTheme="minorEastAsia"/>
        </w:rPr>
        <w:footnoteRef/>
      </w:r>
      <w:r w:rsidRPr="00140621">
        <w:rPr>
          <w:rFonts w:asciiTheme="minorEastAsia" w:eastAsiaTheme="minorEastAsia" w:hAnsiTheme="minorEastAsia"/>
          <w:szCs w:val="18"/>
        </w:rPr>
        <w:tab/>
      </w:r>
      <w:r w:rsidRPr="00140621">
        <w:rPr>
          <w:rFonts w:asciiTheme="minorEastAsia" w:eastAsiaTheme="minorEastAsia" w:hAnsiTheme="minorEastAsia" w:hint="eastAsia"/>
        </w:rPr>
        <w:t>见文件CDIP/29/4，可查阅：</w:t>
      </w:r>
      <w:hyperlink r:id="rId24"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/doc_details.jsp?doc_id=581111</w:t>
        </w:r>
      </w:hyperlink>
    </w:p>
  </w:footnote>
  <w:footnote w:id="50">
    <w:p w14:paraId="67AC6552" w14:textId="6883875F" w:rsidR="00E726C8" w:rsidRPr="00140621" w:rsidRDefault="00E726C8" w:rsidP="00140621">
      <w:pPr>
        <w:pStyle w:val="FootnoteText"/>
        <w:jc w:val="both"/>
        <w:rPr>
          <w:rFonts w:asciiTheme="minorEastAsia" w:eastAsiaTheme="minorEastAsia" w:hAnsiTheme="minorEastAsia"/>
        </w:rPr>
      </w:pPr>
      <w:r w:rsidRPr="00140621">
        <w:rPr>
          <w:rStyle w:val="FootnoteReference"/>
          <w:rFonts w:asciiTheme="minorEastAsia" w:eastAsiaTheme="minorEastAsia" w:hAnsiTheme="minorEastAsia"/>
        </w:rPr>
        <w:footnoteRef/>
      </w:r>
      <w:r w:rsidRPr="00140621">
        <w:rPr>
          <w:rFonts w:asciiTheme="minorEastAsia" w:eastAsiaTheme="minorEastAsia" w:hAnsiTheme="minorEastAsia"/>
          <w:szCs w:val="18"/>
        </w:rPr>
        <w:tab/>
      </w:r>
      <w:r w:rsidRPr="00140621">
        <w:rPr>
          <w:rFonts w:asciiTheme="minorEastAsia" w:eastAsiaTheme="minorEastAsia" w:hAnsiTheme="minorEastAsia" w:hint="eastAsia"/>
        </w:rPr>
        <w:t>见文件CDIP/29/5，可查阅：</w:t>
      </w:r>
      <w:hyperlink r:id="rId25"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/doc_details.jsp?doc_id=580962</w:t>
        </w:r>
      </w:hyperlink>
    </w:p>
  </w:footnote>
  <w:footnote w:id="51">
    <w:p w14:paraId="5BB7E7BC" w14:textId="77777777" w:rsidR="00E726C8" w:rsidRPr="00140621" w:rsidRDefault="00E726C8" w:rsidP="00140621">
      <w:pPr>
        <w:pStyle w:val="FootnoteText"/>
        <w:jc w:val="both"/>
        <w:rPr>
          <w:rFonts w:asciiTheme="minorEastAsia" w:eastAsiaTheme="minorEastAsia" w:hAnsiTheme="minorEastAsia"/>
        </w:rPr>
      </w:pPr>
      <w:r w:rsidRPr="00140621">
        <w:rPr>
          <w:rStyle w:val="FootnoteReference"/>
          <w:rFonts w:asciiTheme="minorEastAsia" w:eastAsiaTheme="minorEastAsia" w:hAnsiTheme="minorEastAsia"/>
        </w:rPr>
        <w:footnoteRef/>
      </w:r>
      <w:r w:rsidRPr="00140621">
        <w:rPr>
          <w:rFonts w:asciiTheme="minorEastAsia" w:eastAsiaTheme="minorEastAsia" w:hAnsiTheme="minorEastAsia"/>
          <w:szCs w:val="18"/>
        </w:rPr>
        <w:tab/>
      </w:r>
      <w:r w:rsidRPr="00140621">
        <w:rPr>
          <w:rFonts w:asciiTheme="minorEastAsia" w:eastAsiaTheme="minorEastAsia" w:hAnsiTheme="minorEastAsia" w:hint="eastAsia"/>
        </w:rPr>
        <w:t>即在不丹、柬埔寨、老挝人民民主共和国、</w:t>
      </w:r>
      <w:r w:rsidRPr="00140621">
        <w:rPr>
          <w:rStyle w:val="ui-provider"/>
          <w:rFonts w:asciiTheme="minorEastAsia" w:eastAsiaTheme="minorEastAsia" w:hAnsiTheme="minorEastAsia" w:hint="eastAsia"/>
        </w:rPr>
        <w:t>伊朗伊斯兰共和国</w:t>
      </w:r>
      <w:r w:rsidRPr="00140621">
        <w:rPr>
          <w:rFonts w:asciiTheme="minorEastAsia" w:eastAsiaTheme="minorEastAsia" w:hAnsiTheme="minorEastAsia" w:hint="eastAsia"/>
        </w:rPr>
        <w:t>和萨摩亚。</w:t>
      </w:r>
    </w:p>
  </w:footnote>
  <w:footnote w:id="52">
    <w:p w14:paraId="3941F52F" w14:textId="77777777" w:rsidR="00E726C8" w:rsidRPr="00140621" w:rsidRDefault="00E726C8" w:rsidP="00140621">
      <w:pPr>
        <w:pStyle w:val="FootnoteText"/>
        <w:jc w:val="both"/>
        <w:rPr>
          <w:rFonts w:asciiTheme="minorEastAsia" w:eastAsiaTheme="minorEastAsia" w:hAnsiTheme="minorEastAsia"/>
        </w:rPr>
      </w:pPr>
      <w:r w:rsidRPr="00140621">
        <w:rPr>
          <w:rStyle w:val="FootnoteReference"/>
          <w:rFonts w:asciiTheme="minorEastAsia" w:eastAsiaTheme="minorEastAsia" w:hAnsiTheme="minorEastAsia"/>
        </w:rPr>
        <w:footnoteRef/>
      </w:r>
      <w:r w:rsidRPr="00140621">
        <w:rPr>
          <w:rFonts w:asciiTheme="minorEastAsia" w:eastAsiaTheme="minorEastAsia" w:hAnsiTheme="minorEastAsia"/>
          <w:szCs w:val="18"/>
        </w:rPr>
        <w:tab/>
      </w:r>
      <w:r w:rsidRPr="00140621">
        <w:rPr>
          <w:rFonts w:asciiTheme="minorEastAsia" w:eastAsiaTheme="minorEastAsia" w:hAnsiTheme="minorEastAsia" w:hint="eastAsia"/>
        </w:rPr>
        <w:t>该论坛吸引了来自亚太地区7个国家的45名与会者（53%为妇女）。与会者包括知识产权局的高级领导，特别是孟加拉国和柬埔寨的知识产权局局长等。</w:t>
      </w:r>
    </w:p>
  </w:footnote>
  <w:footnote w:id="53">
    <w:p w14:paraId="3267D667" w14:textId="77777777" w:rsidR="00E726C8" w:rsidRPr="00140621" w:rsidRDefault="00E726C8" w:rsidP="00140621">
      <w:pPr>
        <w:pStyle w:val="FootnoteText"/>
        <w:jc w:val="both"/>
        <w:rPr>
          <w:rFonts w:asciiTheme="minorEastAsia" w:eastAsiaTheme="minorEastAsia" w:hAnsiTheme="minorEastAsia"/>
        </w:rPr>
      </w:pPr>
      <w:r w:rsidRPr="00140621">
        <w:rPr>
          <w:rStyle w:val="FootnoteReference"/>
          <w:rFonts w:asciiTheme="minorEastAsia" w:eastAsiaTheme="minorEastAsia" w:hAnsiTheme="minorEastAsia"/>
        </w:rPr>
        <w:footnoteRef/>
      </w:r>
      <w:r w:rsidRPr="00140621">
        <w:rPr>
          <w:rFonts w:asciiTheme="minorEastAsia" w:eastAsiaTheme="minorEastAsia" w:hAnsiTheme="minorEastAsia"/>
          <w:szCs w:val="18"/>
        </w:rPr>
        <w:tab/>
      </w:r>
      <w:r w:rsidRPr="00140621">
        <w:rPr>
          <w:rFonts w:asciiTheme="minorEastAsia" w:eastAsiaTheme="minorEastAsia" w:hAnsiTheme="minorEastAsia" w:hint="eastAsia"/>
        </w:rPr>
        <w:t>3个非洲地区、4个在亚太地区、11个在美洲及加勒比地区、3个在转型和发达国家。</w:t>
      </w:r>
    </w:p>
  </w:footnote>
  <w:footnote w:id="54">
    <w:p w14:paraId="54990E73" w14:textId="18ED2F97" w:rsidR="00E726C8" w:rsidRPr="00140621" w:rsidRDefault="00E726C8" w:rsidP="00140621">
      <w:pPr>
        <w:pStyle w:val="FootnoteText"/>
        <w:jc w:val="both"/>
        <w:rPr>
          <w:rFonts w:asciiTheme="minorEastAsia" w:eastAsiaTheme="minorEastAsia" w:hAnsiTheme="minorEastAsia"/>
        </w:rPr>
      </w:pPr>
      <w:r w:rsidRPr="00140621">
        <w:rPr>
          <w:rStyle w:val="FootnoteReference"/>
          <w:rFonts w:asciiTheme="minorEastAsia" w:eastAsiaTheme="minorEastAsia" w:hAnsiTheme="minorEastAsia"/>
        </w:rPr>
        <w:footnoteRef/>
      </w:r>
      <w:r w:rsidRPr="00140621">
        <w:rPr>
          <w:rFonts w:asciiTheme="minorEastAsia" w:eastAsiaTheme="minorEastAsia" w:hAnsiTheme="minorEastAsia"/>
          <w:szCs w:val="18"/>
        </w:rPr>
        <w:tab/>
      </w:r>
      <w:r w:rsidRPr="00140621">
        <w:rPr>
          <w:rFonts w:asciiTheme="minorEastAsia" w:eastAsiaTheme="minorEastAsia" w:hAnsiTheme="minorEastAsia" w:hint="eastAsia"/>
        </w:rPr>
        <w:t>PATENTSCOPE数据库可访问：</w:t>
      </w:r>
      <w:hyperlink r:id="rId26" w:history="1">
        <w:r w:rsidRPr="00140621">
          <w:rPr>
            <w:rStyle w:val="Hyperlink"/>
            <w:rFonts w:asciiTheme="minorEastAsia" w:eastAsiaTheme="minorEastAsia" w:hAnsiTheme="minorEastAsia" w:hint="eastAsia"/>
            <w:szCs w:val="22"/>
          </w:rPr>
          <w:t>patentscope.wipo.int/search/en/search.jsf</w:t>
        </w:r>
      </w:hyperlink>
    </w:p>
  </w:footnote>
  <w:footnote w:id="55">
    <w:p w14:paraId="0ECC343D" w14:textId="77777777" w:rsidR="00E726C8" w:rsidRDefault="00E726C8" w:rsidP="00140621">
      <w:pPr>
        <w:pStyle w:val="FootnoteText"/>
        <w:jc w:val="both"/>
      </w:pPr>
      <w:r w:rsidRPr="00140621">
        <w:rPr>
          <w:rStyle w:val="FootnoteReference"/>
          <w:rFonts w:asciiTheme="minorEastAsia" w:eastAsiaTheme="minorEastAsia" w:hAnsiTheme="minorEastAsia"/>
        </w:rPr>
        <w:footnoteRef/>
      </w:r>
      <w:r w:rsidRPr="00140621">
        <w:rPr>
          <w:rFonts w:asciiTheme="minorEastAsia" w:eastAsiaTheme="minorEastAsia" w:hAnsiTheme="minorEastAsia"/>
          <w:szCs w:val="18"/>
        </w:rPr>
        <w:tab/>
      </w:r>
      <w:r w:rsidRPr="00140621">
        <w:rPr>
          <w:rFonts w:asciiTheme="minorEastAsia" w:eastAsiaTheme="minorEastAsia" w:hAnsiTheme="minorEastAsia" w:hint="eastAsia"/>
        </w:rPr>
        <w:t>最大申请数量为8,396项，最小申请数量为3,271项。</w:t>
      </w:r>
    </w:p>
  </w:footnote>
  <w:footnote w:id="56">
    <w:p w14:paraId="4AFCAF33" w14:textId="5E4772CB" w:rsidR="00E726C8" w:rsidRPr="00D77568" w:rsidRDefault="00E726C8" w:rsidP="00D77568">
      <w:pPr>
        <w:pStyle w:val="FootnoteText"/>
        <w:jc w:val="both"/>
        <w:rPr>
          <w:rFonts w:asciiTheme="minorEastAsia" w:eastAsiaTheme="minorEastAsia" w:hAnsiTheme="minorEastAsia"/>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见文件PCT/WG/15/10，可查阅：</w:t>
      </w:r>
      <w:hyperlink r:id="rId27" w:history="1">
        <w:r w:rsidRPr="00D77568">
          <w:rPr>
            <w:rStyle w:val="Hyperlink"/>
            <w:rFonts w:asciiTheme="minorEastAsia" w:eastAsiaTheme="minorEastAsia" w:hAnsiTheme="minorEastAsia" w:hint="eastAsia"/>
          </w:rPr>
          <w:t>www.wipo.int/meetings/</w:t>
        </w:r>
        <w:r w:rsidRPr="00D77568">
          <w:rPr>
            <w:rStyle w:val="Hyperlink"/>
            <w:rFonts w:asciiTheme="minorEastAsia" w:eastAsiaTheme="minorEastAsia" w:hAnsiTheme="minorEastAsia"/>
          </w:rPr>
          <w:t>zh</w:t>
        </w:r>
        <w:r w:rsidRPr="00D77568">
          <w:rPr>
            <w:rStyle w:val="Hyperlink"/>
            <w:rFonts w:asciiTheme="minorEastAsia" w:eastAsiaTheme="minorEastAsia" w:hAnsiTheme="minorEastAsia" w:hint="eastAsia"/>
          </w:rPr>
          <w:t>/doc_details.jsp?doc_id=583294</w:t>
        </w:r>
      </w:hyperlink>
    </w:p>
  </w:footnote>
  <w:footnote w:id="57">
    <w:p w14:paraId="5ADA035A" w14:textId="760BC5C3" w:rsidR="00E726C8" w:rsidRPr="00D77568" w:rsidRDefault="00E726C8" w:rsidP="00D77568">
      <w:pPr>
        <w:pStyle w:val="FootnoteText"/>
        <w:jc w:val="both"/>
        <w:rPr>
          <w:rFonts w:asciiTheme="minorEastAsia" w:eastAsiaTheme="minorEastAsia" w:hAnsiTheme="minorEastAsia"/>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见文件SCP/34/8，可查阅：</w:t>
      </w:r>
      <w:hyperlink r:id="rId28" w:history="1">
        <w:r w:rsidRPr="00D77568">
          <w:rPr>
            <w:rStyle w:val="Hyperlink"/>
            <w:rFonts w:asciiTheme="minorEastAsia" w:eastAsiaTheme="minorEastAsia" w:hAnsiTheme="minorEastAsia" w:hint="eastAsia"/>
          </w:rPr>
          <w:t>www.wipo.int/meetings/</w:t>
        </w:r>
        <w:r w:rsidRPr="00D77568">
          <w:rPr>
            <w:rStyle w:val="Hyperlink"/>
            <w:rFonts w:asciiTheme="minorEastAsia" w:eastAsiaTheme="minorEastAsia" w:hAnsiTheme="minorEastAsia"/>
          </w:rPr>
          <w:t>zh</w:t>
        </w:r>
        <w:r w:rsidRPr="00D77568">
          <w:rPr>
            <w:rStyle w:val="Hyperlink"/>
            <w:rFonts w:asciiTheme="minorEastAsia" w:eastAsiaTheme="minorEastAsia" w:hAnsiTheme="minorEastAsia" w:hint="eastAsia"/>
          </w:rPr>
          <w:t>/doc_details.jsp?doc_id=586551</w:t>
        </w:r>
      </w:hyperlink>
    </w:p>
  </w:footnote>
  <w:footnote w:id="58">
    <w:p w14:paraId="78BF8D00" w14:textId="3CAEB8E2" w:rsidR="00E726C8" w:rsidRDefault="00E726C8" w:rsidP="00D77568">
      <w:pPr>
        <w:pStyle w:val="FootnoteText"/>
        <w:jc w:val="both"/>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此类报告已作为一个常设项目被列入PCT工作组每届会议的议程。见关于国际局在2021年和2022年开展的PCT技术援助活动的文件PCT/WG/15/10，可查阅：</w:t>
      </w:r>
      <w:hyperlink r:id="rId29" w:history="1">
        <w:r w:rsidRPr="00D77568">
          <w:rPr>
            <w:rStyle w:val="Hyperlink"/>
            <w:rFonts w:asciiTheme="minorEastAsia" w:eastAsiaTheme="minorEastAsia" w:hAnsiTheme="minorEastAsia" w:hint="eastAsia"/>
          </w:rPr>
          <w:t>www.wipo.int/meetings/</w:t>
        </w:r>
        <w:r w:rsidRPr="00D77568">
          <w:rPr>
            <w:rStyle w:val="Hyperlink"/>
            <w:rFonts w:asciiTheme="minorEastAsia" w:eastAsiaTheme="minorEastAsia" w:hAnsiTheme="minorEastAsia"/>
          </w:rPr>
          <w:t>zh</w:t>
        </w:r>
        <w:r w:rsidRPr="00D77568">
          <w:rPr>
            <w:rStyle w:val="Hyperlink"/>
            <w:rFonts w:asciiTheme="minorEastAsia" w:eastAsiaTheme="minorEastAsia" w:hAnsiTheme="minorEastAsia" w:hint="eastAsia"/>
          </w:rPr>
          <w:t>/doc_details.jsp?doc_id=583294</w:t>
        </w:r>
      </w:hyperlink>
    </w:p>
  </w:footnote>
  <w:footnote w:id="59">
    <w:p w14:paraId="67913C1F" w14:textId="15F79770" w:rsidR="00E726C8" w:rsidRPr="00D77568" w:rsidRDefault="00E726C8" w:rsidP="00D77568">
      <w:pPr>
        <w:pStyle w:val="FootnoteText"/>
        <w:jc w:val="both"/>
        <w:rPr>
          <w:rFonts w:asciiTheme="minorEastAsia" w:eastAsiaTheme="minorEastAsia" w:hAnsiTheme="minorEastAsia"/>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见文件PCT/WG/15/10，可查阅：</w:t>
      </w:r>
      <w:hyperlink r:id="rId30"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/doc_details.jsp?doc_id=583294</w:t>
        </w:r>
      </w:hyperlink>
    </w:p>
  </w:footnote>
  <w:footnote w:id="60">
    <w:p w14:paraId="49BC6CAB" w14:textId="5679554A" w:rsidR="00E726C8" w:rsidRPr="00D77568" w:rsidRDefault="00E726C8" w:rsidP="00D77568">
      <w:pPr>
        <w:pStyle w:val="FootnoteText"/>
        <w:jc w:val="both"/>
        <w:rPr>
          <w:rFonts w:asciiTheme="minorEastAsia" w:eastAsiaTheme="minorEastAsia" w:hAnsiTheme="minorEastAsia"/>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见文件PCT/WG/15/7，可查阅：</w:t>
      </w:r>
      <w:hyperlink r:id="rId31"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/doc_details.jsp?doc_id=582418</w:t>
        </w:r>
      </w:hyperlink>
    </w:p>
  </w:footnote>
  <w:footnote w:id="61">
    <w:p w14:paraId="5CA1BC2E" w14:textId="07C9DB2B" w:rsidR="00E726C8" w:rsidRPr="00D77568" w:rsidRDefault="00E726C8" w:rsidP="00D77568">
      <w:pPr>
        <w:pStyle w:val="FootnoteText"/>
        <w:jc w:val="both"/>
        <w:rPr>
          <w:rFonts w:asciiTheme="minorEastAsia" w:eastAsiaTheme="minorEastAsia" w:hAnsiTheme="minorEastAsia"/>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见文件PCT/WG/15/4，可查阅：</w:t>
      </w:r>
      <w:hyperlink r:id="rId32"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/doc_details.jsp?doc_id=580516</w:t>
        </w:r>
      </w:hyperlink>
    </w:p>
  </w:footnote>
  <w:footnote w:id="62">
    <w:p w14:paraId="43BD054E" w14:textId="77777777" w:rsidR="00E726C8" w:rsidRPr="00D77568" w:rsidRDefault="00E726C8" w:rsidP="00D77568">
      <w:pPr>
        <w:pStyle w:val="FootnoteText"/>
        <w:jc w:val="both"/>
        <w:rPr>
          <w:rFonts w:asciiTheme="minorEastAsia" w:eastAsiaTheme="minorEastAsia" w:hAnsiTheme="minorEastAsia"/>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例如，通过使用学习管理系统，以基于网络的电子学习平台的形式实现。</w:t>
      </w:r>
    </w:p>
  </w:footnote>
  <w:footnote w:id="63">
    <w:p w14:paraId="45815DF3" w14:textId="04A5B9D7" w:rsidR="00E726C8" w:rsidRPr="00D77568" w:rsidRDefault="00E726C8" w:rsidP="00D77568">
      <w:pPr>
        <w:pStyle w:val="FootnoteText"/>
        <w:jc w:val="both"/>
        <w:rPr>
          <w:rFonts w:asciiTheme="minorEastAsia" w:eastAsiaTheme="minorEastAsia" w:hAnsiTheme="minorEastAsia"/>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一个来自阿拉伯地区；一个来自非洲地区；两个来自拉丁美洲及加勒比海地区；两个来自转型国家和发达国家，一个来自亚太地区。</w:t>
      </w:r>
    </w:p>
  </w:footnote>
  <w:footnote w:id="64">
    <w:p w14:paraId="0EFDFA3D" w14:textId="77777777" w:rsidR="00E726C8" w:rsidRPr="00D77568" w:rsidRDefault="00E726C8" w:rsidP="00D77568">
      <w:pPr>
        <w:pStyle w:val="FootnoteText"/>
        <w:jc w:val="both"/>
        <w:rPr>
          <w:rFonts w:asciiTheme="minorEastAsia" w:eastAsiaTheme="minorEastAsia" w:hAnsiTheme="minorEastAsia"/>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有些活动涉及两三种知识产权模式。</w:t>
      </w:r>
    </w:p>
  </w:footnote>
  <w:footnote w:id="65">
    <w:p w14:paraId="4075AA29" w14:textId="77777777" w:rsidR="00E726C8" w:rsidRPr="00D77568" w:rsidRDefault="00E726C8" w:rsidP="00D77568">
      <w:pPr>
        <w:pStyle w:val="FootnoteText"/>
        <w:jc w:val="both"/>
        <w:rPr>
          <w:rFonts w:asciiTheme="minorEastAsia" w:eastAsiaTheme="minorEastAsia" w:hAnsiTheme="minorEastAsia"/>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这些项目是与产权组织区域和国家发展部门合作实施的。</w:t>
      </w:r>
    </w:p>
  </w:footnote>
  <w:footnote w:id="66">
    <w:p w14:paraId="7D0DC2FA" w14:textId="77777777" w:rsidR="00E726C8" w:rsidRPr="00D77568" w:rsidRDefault="00E726C8" w:rsidP="00D77568">
      <w:pPr>
        <w:pStyle w:val="FootnoteText"/>
        <w:jc w:val="both"/>
        <w:rPr>
          <w:rFonts w:asciiTheme="minorEastAsia" w:eastAsiaTheme="minorEastAsia" w:hAnsiTheme="minorEastAsia"/>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该试点项目计划在2023年中期公开启动。</w:t>
      </w:r>
    </w:p>
  </w:footnote>
  <w:footnote w:id="67">
    <w:p w14:paraId="13FDFA18" w14:textId="77777777" w:rsidR="00E726C8" w:rsidRPr="00D77568" w:rsidRDefault="00E726C8" w:rsidP="00D77568">
      <w:pPr>
        <w:pStyle w:val="FootnoteText"/>
        <w:jc w:val="both"/>
        <w:rPr>
          <w:rFonts w:asciiTheme="minorEastAsia" w:eastAsiaTheme="minorEastAsia" w:hAnsiTheme="minorEastAsia"/>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rPr>
        <w:tab/>
      </w:r>
      <w:r w:rsidRPr="00D77568">
        <w:rPr>
          <w:rFonts w:asciiTheme="minorEastAsia" w:eastAsiaTheme="minorEastAsia" w:hAnsiTheme="minorEastAsia" w:hint="eastAsia"/>
        </w:rPr>
        <w:t>一份载有对东盟成员国建议的报告将于2023年3月提交。</w:t>
      </w:r>
    </w:p>
  </w:footnote>
  <w:footnote w:id="68">
    <w:p w14:paraId="11701535" w14:textId="65E9A795" w:rsidR="00E726C8" w:rsidRPr="00191652" w:rsidRDefault="00E726C8" w:rsidP="00D77568">
      <w:pPr>
        <w:pStyle w:val="FootnoteText"/>
        <w:jc w:val="both"/>
        <w:rPr>
          <w:lang w:val="fr-CH"/>
        </w:rPr>
      </w:pPr>
      <w:r w:rsidRPr="00D77568">
        <w:rPr>
          <w:rStyle w:val="FootnoteReference"/>
          <w:rFonts w:asciiTheme="minorEastAsia" w:eastAsiaTheme="minorEastAsia" w:hAnsiTheme="minorEastAsia"/>
        </w:rPr>
        <w:footnoteRef/>
      </w:r>
      <w:r w:rsidRPr="00D77568">
        <w:rPr>
          <w:rFonts w:asciiTheme="minorEastAsia" w:eastAsiaTheme="minorEastAsia" w:hAnsiTheme="minorEastAsia"/>
          <w:szCs w:val="18"/>
          <w:lang w:val="fr-CH"/>
        </w:rPr>
        <w:tab/>
      </w:r>
      <w:r w:rsidRPr="00D77568">
        <w:rPr>
          <w:rFonts w:asciiTheme="minorEastAsia" w:eastAsiaTheme="minorEastAsia" w:hAnsiTheme="minorEastAsia" w:hint="eastAsia"/>
        </w:rPr>
        <w:t>一篇描述</w:t>
      </w:r>
      <w:r w:rsidRPr="00D77568">
        <w:rPr>
          <w:rFonts w:asciiTheme="minorEastAsia" w:eastAsiaTheme="minorEastAsia" w:hAnsiTheme="minorEastAsia" w:hint="eastAsia"/>
          <w:lang w:val="fr-CH"/>
        </w:rPr>
        <w:t>Madd de Casamance</w:t>
      </w:r>
      <w:r w:rsidRPr="00D77568">
        <w:rPr>
          <w:rFonts w:asciiTheme="minorEastAsia" w:eastAsiaTheme="minorEastAsia" w:hAnsiTheme="minorEastAsia" w:hint="eastAsia"/>
        </w:rPr>
        <w:t>案例的短文可参见</w:t>
      </w:r>
      <w:r w:rsidRPr="00D77568">
        <w:rPr>
          <w:rFonts w:asciiTheme="minorEastAsia" w:eastAsiaTheme="minorEastAsia" w:hAnsiTheme="minorEastAsia" w:hint="eastAsia"/>
          <w:lang w:val="fr-CH"/>
        </w:rPr>
        <w:t>：</w:t>
      </w:r>
      <w:hyperlink r:id="rId33" w:history="1">
        <w:r w:rsidRPr="000578C5">
          <w:rPr>
            <w:rStyle w:val="Hyperlink"/>
            <w:rFonts w:asciiTheme="minorEastAsia" w:eastAsiaTheme="minorEastAsia" w:hAnsiTheme="minorEastAsia" w:hint="eastAsia"/>
            <w:lang w:val="fr-CH"/>
          </w:rPr>
          <w:t>www.wipo.int/ipadvantage/</w:t>
        </w:r>
        <w:r w:rsidRPr="000578C5">
          <w:rPr>
            <w:rStyle w:val="Hyperlink"/>
            <w:rFonts w:asciiTheme="minorEastAsia" w:eastAsiaTheme="minorEastAsia" w:hAnsiTheme="minorEastAsia"/>
            <w:lang w:val="fr-CH"/>
          </w:rPr>
          <w:t>zh</w:t>
        </w:r>
        <w:r w:rsidRPr="000578C5">
          <w:rPr>
            <w:rStyle w:val="Hyperlink"/>
            <w:rFonts w:asciiTheme="minorEastAsia" w:eastAsiaTheme="minorEastAsia" w:hAnsiTheme="minorEastAsia" w:hint="eastAsia"/>
            <w:lang w:val="fr-CH"/>
          </w:rPr>
          <w:t>/details.jsp?id=11582</w:t>
        </w:r>
      </w:hyperlink>
    </w:p>
  </w:footnote>
  <w:footnote w:id="69">
    <w:p w14:paraId="13EA455C" w14:textId="77777777" w:rsidR="00E726C8" w:rsidRPr="004C19C1" w:rsidRDefault="00E726C8" w:rsidP="004C19C1">
      <w:pPr>
        <w:pStyle w:val="FootnoteText"/>
        <w:jc w:val="both"/>
        <w:rPr>
          <w:rFonts w:asciiTheme="minorEastAsia" w:eastAsiaTheme="minorEastAsia" w:hAnsiTheme="minorEastAsia"/>
        </w:rPr>
      </w:pPr>
      <w:r w:rsidRPr="004C19C1">
        <w:rPr>
          <w:rStyle w:val="FootnoteReference"/>
          <w:rFonts w:asciiTheme="minorEastAsia" w:eastAsiaTheme="minorEastAsia" w:hAnsiTheme="minorEastAsia"/>
        </w:rPr>
        <w:footnoteRef/>
      </w:r>
      <w:r w:rsidRPr="004C19C1">
        <w:rPr>
          <w:rFonts w:asciiTheme="minorEastAsia" w:eastAsiaTheme="minorEastAsia" w:hAnsiTheme="minorEastAsia"/>
          <w:szCs w:val="18"/>
        </w:rPr>
        <w:tab/>
      </w:r>
      <w:r w:rsidRPr="004C19C1">
        <w:rPr>
          <w:rFonts w:asciiTheme="minorEastAsia" w:eastAsiaTheme="minorEastAsia" w:hAnsiTheme="minorEastAsia" w:hint="eastAsia"/>
        </w:rPr>
        <w:t>实地项目的落实通常是在产权组织成员国的支持（特别是产权组织中国信托基金的资金支持）以及与粮食及农业组织（粮农组织），联合国工业发展组织（工发组织）和联合国贸易和发展会议（贸发会议）等外部合作伙伴的合作下进行。</w:t>
      </w:r>
    </w:p>
  </w:footnote>
  <w:footnote w:id="70">
    <w:p w14:paraId="1D738941" w14:textId="77777777" w:rsidR="00E726C8" w:rsidRPr="004C19C1" w:rsidRDefault="00E726C8" w:rsidP="004C19C1">
      <w:pPr>
        <w:pStyle w:val="FootnoteText"/>
        <w:jc w:val="both"/>
        <w:rPr>
          <w:rFonts w:asciiTheme="minorEastAsia" w:eastAsiaTheme="minorEastAsia" w:hAnsiTheme="minorEastAsia"/>
        </w:rPr>
      </w:pPr>
      <w:r w:rsidRPr="004C19C1">
        <w:rPr>
          <w:rStyle w:val="FootnoteReference"/>
          <w:rFonts w:asciiTheme="minorEastAsia" w:eastAsiaTheme="minorEastAsia" w:hAnsiTheme="minorEastAsia"/>
        </w:rPr>
        <w:footnoteRef/>
      </w:r>
      <w:r w:rsidRPr="004C19C1">
        <w:rPr>
          <w:rFonts w:asciiTheme="minorEastAsia" w:eastAsiaTheme="minorEastAsia" w:hAnsiTheme="minorEastAsia"/>
          <w:szCs w:val="18"/>
        </w:rPr>
        <w:tab/>
      </w:r>
      <w:r w:rsidRPr="004C19C1">
        <w:rPr>
          <w:rFonts w:asciiTheme="minorEastAsia" w:eastAsiaTheme="minorEastAsia" w:hAnsiTheme="minorEastAsia" w:hint="eastAsia"/>
        </w:rPr>
        <w:t>一个来自拉丁美洲及加勒比地区，两个来自非洲地区。</w:t>
      </w:r>
    </w:p>
  </w:footnote>
  <w:footnote w:id="71">
    <w:p w14:paraId="74654A3E" w14:textId="77777777" w:rsidR="00E726C8" w:rsidRPr="004C19C1" w:rsidRDefault="00E726C8" w:rsidP="004C19C1">
      <w:pPr>
        <w:pStyle w:val="FootnoteText"/>
        <w:jc w:val="both"/>
        <w:rPr>
          <w:rFonts w:asciiTheme="minorEastAsia" w:eastAsiaTheme="minorEastAsia" w:hAnsiTheme="minorEastAsia"/>
        </w:rPr>
      </w:pPr>
      <w:r w:rsidRPr="004C19C1">
        <w:rPr>
          <w:rStyle w:val="FootnoteReference"/>
          <w:rFonts w:asciiTheme="minorEastAsia" w:eastAsiaTheme="minorEastAsia" w:hAnsiTheme="minorEastAsia"/>
        </w:rPr>
        <w:footnoteRef/>
      </w:r>
      <w:r w:rsidRPr="004C19C1">
        <w:rPr>
          <w:rFonts w:asciiTheme="minorEastAsia" w:eastAsiaTheme="minorEastAsia" w:hAnsiTheme="minorEastAsia"/>
          <w:szCs w:val="18"/>
        </w:rPr>
        <w:tab/>
      </w:r>
      <w:r w:rsidRPr="004C19C1">
        <w:rPr>
          <w:rFonts w:asciiTheme="minorEastAsia" w:eastAsiaTheme="minorEastAsia" w:hAnsiTheme="minorEastAsia" w:hint="eastAsia"/>
        </w:rPr>
        <w:t>3项活动在转型和发达国家，1项在阿拉伯地区。</w:t>
      </w:r>
    </w:p>
  </w:footnote>
  <w:footnote w:id="72">
    <w:p w14:paraId="6CDE1F3C" w14:textId="77777777" w:rsidR="00E726C8" w:rsidRPr="004C19C1" w:rsidRDefault="00E726C8" w:rsidP="004C19C1">
      <w:pPr>
        <w:pStyle w:val="FootnoteText"/>
        <w:jc w:val="both"/>
        <w:rPr>
          <w:rFonts w:asciiTheme="minorEastAsia" w:eastAsiaTheme="minorEastAsia" w:hAnsiTheme="minorEastAsia"/>
        </w:rPr>
      </w:pPr>
      <w:r w:rsidRPr="004C19C1">
        <w:rPr>
          <w:rStyle w:val="FootnoteReference"/>
          <w:rFonts w:asciiTheme="minorEastAsia" w:eastAsiaTheme="minorEastAsia" w:hAnsiTheme="minorEastAsia"/>
        </w:rPr>
        <w:footnoteRef/>
      </w:r>
      <w:r w:rsidRPr="004C19C1">
        <w:rPr>
          <w:rFonts w:asciiTheme="minorEastAsia" w:eastAsiaTheme="minorEastAsia" w:hAnsiTheme="minorEastAsia"/>
          <w:szCs w:val="18"/>
        </w:rPr>
        <w:tab/>
      </w:r>
      <w:r w:rsidRPr="004C19C1">
        <w:rPr>
          <w:rFonts w:asciiTheme="minorEastAsia" w:eastAsiaTheme="minorEastAsia" w:hAnsiTheme="minorEastAsia" w:hint="eastAsia"/>
        </w:rPr>
        <w:t>见文件WO/GA/55/4。</w:t>
      </w:r>
    </w:p>
  </w:footnote>
  <w:footnote w:id="73">
    <w:p w14:paraId="20614499" w14:textId="77777777" w:rsidR="00E726C8" w:rsidRPr="004C19C1" w:rsidRDefault="00E726C8" w:rsidP="004C19C1">
      <w:pPr>
        <w:pStyle w:val="FootnoteText"/>
        <w:jc w:val="both"/>
        <w:rPr>
          <w:rFonts w:asciiTheme="minorEastAsia" w:eastAsiaTheme="minorEastAsia" w:hAnsiTheme="minorEastAsia"/>
        </w:rPr>
      </w:pPr>
      <w:r w:rsidRPr="004C19C1">
        <w:rPr>
          <w:rStyle w:val="FootnoteReference"/>
          <w:rFonts w:asciiTheme="minorEastAsia" w:eastAsiaTheme="minorEastAsia" w:hAnsiTheme="minorEastAsia"/>
        </w:rPr>
        <w:footnoteRef/>
      </w:r>
      <w:r w:rsidRPr="004C19C1">
        <w:rPr>
          <w:rFonts w:asciiTheme="minorEastAsia" w:eastAsiaTheme="minorEastAsia" w:hAnsiTheme="minorEastAsia"/>
          <w:szCs w:val="18"/>
        </w:rPr>
        <w:tab/>
      </w:r>
      <w:r w:rsidRPr="004C19C1">
        <w:rPr>
          <w:rFonts w:asciiTheme="minorEastAsia" w:eastAsiaTheme="minorEastAsia" w:hAnsiTheme="minorEastAsia" w:hint="eastAsia"/>
        </w:rPr>
        <w:t>见文件WO/GA/55/12，第309段。</w:t>
      </w:r>
    </w:p>
  </w:footnote>
  <w:footnote w:id="74">
    <w:p w14:paraId="4E91688A" w14:textId="77777777" w:rsidR="00E726C8" w:rsidRPr="004C19C1" w:rsidRDefault="00E726C8" w:rsidP="004C19C1">
      <w:pPr>
        <w:pStyle w:val="FootnoteText"/>
        <w:jc w:val="both"/>
        <w:rPr>
          <w:rFonts w:asciiTheme="minorEastAsia" w:eastAsiaTheme="minorEastAsia" w:hAnsiTheme="minorEastAsia"/>
        </w:rPr>
      </w:pPr>
      <w:r w:rsidRPr="004C19C1">
        <w:rPr>
          <w:rStyle w:val="FootnoteReference"/>
          <w:rFonts w:asciiTheme="minorEastAsia" w:eastAsiaTheme="minorEastAsia" w:hAnsiTheme="minorEastAsia"/>
        </w:rPr>
        <w:footnoteRef/>
      </w:r>
      <w:r w:rsidRPr="004C19C1">
        <w:rPr>
          <w:rFonts w:asciiTheme="minorEastAsia" w:eastAsiaTheme="minorEastAsia" w:hAnsiTheme="minorEastAsia"/>
          <w:szCs w:val="18"/>
        </w:rPr>
        <w:tab/>
      </w:r>
      <w:r w:rsidRPr="004C19C1">
        <w:rPr>
          <w:rFonts w:asciiTheme="minorEastAsia" w:eastAsiaTheme="minorEastAsia" w:hAnsiTheme="minorEastAsia" w:hint="eastAsia"/>
        </w:rPr>
        <w:t>即阿尔及利亚、巴西、巴基斯坦和乌干达。</w:t>
      </w:r>
    </w:p>
  </w:footnote>
  <w:footnote w:id="75">
    <w:p w14:paraId="3B64507F" w14:textId="6DFD16E7" w:rsidR="00E726C8" w:rsidRDefault="00E726C8" w:rsidP="004C19C1">
      <w:pPr>
        <w:pStyle w:val="FootnoteText"/>
        <w:jc w:val="both"/>
      </w:pPr>
      <w:r w:rsidRPr="004C19C1">
        <w:rPr>
          <w:rStyle w:val="FootnoteReference"/>
          <w:rFonts w:asciiTheme="minorEastAsia" w:eastAsiaTheme="minorEastAsia" w:hAnsiTheme="minorEastAsia"/>
        </w:rPr>
        <w:footnoteRef/>
      </w:r>
      <w:r w:rsidRPr="004C19C1">
        <w:rPr>
          <w:rFonts w:asciiTheme="minorEastAsia" w:eastAsiaTheme="minorEastAsia" w:hAnsiTheme="minorEastAsia"/>
          <w:szCs w:val="18"/>
        </w:rPr>
        <w:tab/>
      </w:r>
      <w:r w:rsidRPr="004C19C1">
        <w:rPr>
          <w:rFonts w:asciiTheme="minorEastAsia" w:eastAsiaTheme="minorEastAsia" w:hAnsiTheme="minorEastAsia" w:hint="eastAsia"/>
        </w:rPr>
        <w:t>每个受益国一次。</w:t>
      </w:r>
    </w:p>
  </w:footnote>
  <w:footnote w:id="76">
    <w:p w14:paraId="1270F43A" w14:textId="77777777" w:rsidR="00E726C8" w:rsidRPr="00D612CE" w:rsidRDefault="00E726C8">
      <w:pPr>
        <w:pStyle w:val="FootnoteText"/>
        <w:rPr>
          <w:rFonts w:asciiTheme="minorEastAsia" w:eastAsiaTheme="minorEastAsia" w:hAnsiTheme="minorEastAsia"/>
        </w:rPr>
      </w:pPr>
      <w:r w:rsidRPr="00D612CE">
        <w:rPr>
          <w:rStyle w:val="FootnoteReference"/>
          <w:rFonts w:asciiTheme="minorEastAsia" w:eastAsiaTheme="minorEastAsia" w:hAnsiTheme="minorEastAsia"/>
        </w:rPr>
        <w:footnoteRef/>
      </w:r>
      <w:r w:rsidRPr="00D612CE">
        <w:rPr>
          <w:rFonts w:asciiTheme="minorEastAsia" w:eastAsiaTheme="minorEastAsia" w:hAnsiTheme="minorEastAsia"/>
          <w:szCs w:val="18"/>
        </w:rPr>
        <w:tab/>
      </w:r>
      <w:r w:rsidRPr="00D612CE">
        <w:rPr>
          <w:rFonts w:asciiTheme="minorEastAsia" w:eastAsiaTheme="minorEastAsia" w:hAnsiTheme="minorEastAsia" w:hint="eastAsia"/>
        </w:rPr>
        <w:t>即玻利维亚、巴西、菲律宾和突尼斯。</w:t>
      </w:r>
    </w:p>
  </w:footnote>
  <w:footnote w:id="77">
    <w:p w14:paraId="1256119E" w14:textId="4FCEEA5A" w:rsidR="00E726C8" w:rsidRDefault="00E726C8">
      <w:pPr>
        <w:pStyle w:val="FootnoteText"/>
      </w:pPr>
      <w:r w:rsidRPr="00D612CE">
        <w:rPr>
          <w:rStyle w:val="FootnoteReference"/>
          <w:rFonts w:asciiTheme="minorEastAsia" w:eastAsiaTheme="minorEastAsia" w:hAnsiTheme="minorEastAsia"/>
        </w:rPr>
        <w:footnoteRef/>
      </w:r>
      <w:r w:rsidRPr="00D612CE">
        <w:rPr>
          <w:rFonts w:asciiTheme="minorEastAsia" w:eastAsiaTheme="minorEastAsia" w:hAnsiTheme="minorEastAsia"/>
          <w:szCs w:val="18"/>
        </w:rPr>
        <w:tab/>
      </w:r>
      <w:r w:rsidRPr="00D612CE">
        <w:rPr>
          <w:rFonts w:asciiTheme="minorEastAsia" w:eastAsiaTheme="minorEastAsia" w:hAnsiTheme="minorEastAsia" w:hint="eastAsia"/>
        </w:rPr>
        <w:t>本项目的网页可查阅：</w:t>
      </w:r>
      <w:hyperlink r:id="rId34" w:history="1">
        <w:r w:rsidRPr="00D612CE">
          <w:rPr>
            <w:rStyle w:val="Hyperlink"/>
            <w:rFonts w:asciiTheme="minorEastAsia" w:eastAsiaTheme="minorEastAsia" w:hAnsiTheme="minorEastAsia" w:hint="eastAsia"/>
          </w:rPr>
          <w:t>www.wipo.int/collective-marks/en/index.html</w:t>
        </w:r>
      </w:hyperlink>
    </w:p>
  </w:footnote>
  <w:footnote w:id="78">
    <w:p w14:paraId="0AEE84E3" w14:textId="77777777" w:rsidR="00E726C8" w:rsidRPr="00D612CE" w:rsidRDefault="00E726C8" w:rsidP="00D612CE">
      <w:pPr>
        <w:pStyle w:val="FootnoteText"/>
        <w:jc w:val="both"/>
        <w:rPr>
          <w:rFonts w:asciiTheme="minorEastAsia" w:eastAsiaTheme="minorEastAsia" w:hAnsiTheme="minorEastAsia"/>
        </w:rPr>
      </w:pPr>
      <w:r w:rsidRPr="00D612CE">
        <w:rPr>
          <w:rStyle w:val="FootnoteReference"/>
          <w:rFonts w:asciiTheme="minorEastAsia" w:eastAsiaTheme="minorEastAsia" w:hAnsiTheme="minorEastAsia"/>
        </w:rPr>
        <w:footnoteRef/>
      </w:r>
      <w:r w:rsidRPr="00D612CE">
        <w:rPr>
          <w:rFonts w:asciiTheme="minorEastAsia" w:eastAsiaTheme="minorEastAsia" w:hAnsiTheme="minorEastAsia"/>
          <w:szCs w:val="18"/>
        </w:rPr>
        <w:tab/>
      </w:r>
      <w:r w:rsidRPr="00D612CE">
        <w:rPr>
          <w:rFonts w:asciiTheme="minorEastAsia" w:eastAsiaTheme="minorEastAsia" w:hAnsiTheme="minorEastAsia" w:hint="eastAsia"/>
        </w:rPr>
        <w:t>与产权组织知识产权和创新生态系统以及全球挑战和伙伴关系部门合作。</w:t>
      </w:r>
    </w:p>
  </w:footnote>
  <w:footnote w:id="79">
    <w:p w14:paraId="7B6CAB90" w14:textId="500155C3" w:rsidR="00E726C8" w:rsidRPr="00D612CE" w:rsidRDefault="00E726C8" w:rsidP="00D612CE">
      <w:pPr>
        <w:pStyle w:val="FootnoteText"/>
        <w:jc w:val="both"/>
        <w:rPr>
          <w:rFonts w:asciiTheme="minorEastAsia" w:eastAsiaTheme="minorEastAsia" w:hAnsiTheme="minorEastAsia"/>
        </w:rPr>
      </w:pPr>
      <w:r w:rsidRPr="00D612CE">
        <w:rPr>
          <w:rStyle w:val="FootnoteReference"/>
          <w:rFonts w:asciiTheme="minorEastAsia" w:eastAsiaTheme="minorEastAsia" w:hAnsiTheme="minorEastAsia"/>
        </w:rPr>
        <w:footnoteRef/>
      </w:r>
      <w:r w:rsidRPr="00D612CE">
        <w:rPr>
          <w:rFonts w:asciiTheme="minorEastAsia" w:eastAsiaTheme="minorEastAsia" w:hAnsiTheme="minorEastAsia"/>
          <w:szCs w:val="18"/>
        </w:rPr>
        <w:tab/>
      </w:r>
      <w:r w:rsidRPr="00D612CE">
        <w:rPr>
          <w:rFonts w:asciiTheme="minorEastAsia" w:eastAsiaTheme="minorEastAsia" w:hAnsiTheme="minorEastAsia" w:hint="eastAsia"/>
        </w:rPr>
        <w:t>更多信息可参见：</w:t>
      </w:r>
      <w:hyperlink r:id="rId35"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/topic.jsp?group_id=346</w:t>
        </w:r>
      </w:hyperlink>
    </w:p>
  </w:footnote>
  <w:footnote w:id="80">
    <w:p w14:paraId="12FEAEDF" w14:textId="5E43F63A" w:rsidR="00E726C8" w:rsidRPr="00D612CE" w:rsidRDefault="00E726C8" w:rsidP="00D612CE">
      <w:pPr>
        <w:pStyle w:val="FootnoteText"/>
        <w:jc w:val="both"/>
        <w:rPr>
          <w:rFonts w:asciiTheme="minorEastAsia" w:eastAsiaTheme="minorEastAsia" w:hAnsiTheme="minorEastAsia"/>
        </w:rPr>
      </w:pPr>
      <w:r w:rsidRPr="00D612CE">
        <w:rPr>
          <w:rStyle w:val="FootnoteReference"/>
          <w:rFonts w:asciiTheme="minorEastAsia" w:eastAsiaTheme="minorEastAsia" w:hAnsiTheme="minorEastAsia"/>
        </w:rPr>
        <w:footnoteRef/>
      </w:r>
      <w:r w:rsidRPr="00D612CE">
        <w:rPr>
          <w:rFonts w:asciiTheme="minorEastAsia" w:eastAsiaTheme="minorEastAsia" w:hAnsiTheme="minorEastAsia"/>
          <w:szCs w:val="18"/>
        </w:rPr>
        <w:tab/>
      </w:r>
      <w:r w:rsidRPr="00D612CE">
        <w:rPr>
          <w:rFonts w:asciiTheme="minorEastAsia" w:eastAsiaTheme="minorEastAsia" w:hAnsiTheme="minorEastAsia" w:hint="eastAsia"/>
        </w:rPr>
        <w:t>更多信息可查阅：</w:t>
      </w:r>
      <w:hyperlink r:id="rId36" w:history="1">
        <w:r w:rsidRPr="00D612CE">
          <w:rPr>
            <w:rStyle w:val="Hyperlink"/>
            <w:rFonts w:asciiTheme="minorEastAsia" w:eastAsiaTheme="minorEastAsia" w:hAnsiTheme="minorEastAsia" w:hint="eastAsia"/>
          </w:rPr>
          <w:t>www.wipo.int/global-awards/en/</w:t>
        </w:r>
      </w:hyperlink>
    </w:p>
  </w:footnote>
  <w:footnote w:id="81">
    <w:p w14:paraId="4F8768B8" w14:textId="77777777" w:rsidR="00E726C8" w:rsidRPr="00D612CE" w:rsidRDefault="00E726C8" w:rsidP="00D612CE">
      <w:pPr>
        <w:pStyle w:val="FootnoteText"/>
        <w:jc w:val="both"/>
        <w:rPr>
          <w:rFonts w:asciiTheme="minorEastAsia" w:eastAsiaTheme="minorEastAsia" w:hAnsiTheme="minorEastAsia"/>
        </w:rPr>
      </w:pPr>
      <w:r w:rsidRPr="00D612CE">
        <w:rPr>
          <w:rStyle w:val="FootnoteReference"/>
          <w:rFonts w:asciiTheme="minorEastAsia" w:eastAsiaTheme="minorEastAsia" w:hAnsiTheme="minorEastAsia"/>
        </w:rPr>
        <w:footnoteRef/>
      </w:r>
      <w:r w:rsidRPr="00D612CE">
        <w:rPr>
          <w:rFonts w:asciiTheme="minorEastAsia" w:eastAsiaTheme="minorEastAsia" w:hAnsiTheme="minorEastAsia"/>
          <w:szCs w:val="18"/>
        </w:rPr>
        <w:tab/>
      </w:r>
      <w:r w:rsidRPr="00D612CE">
        <w:rPr>
          <w:rFonts w:asciiTheme="minorEastAsia" w:eastAsiaTheme="minorEastAsia" w:hAnsiTheme="minorEastAsia" w:hint="eastAsia"/>
        </w:rPr>
        <w:t>即ABC培训和技术援助；ABC全球图书服务；以及推动无障碍出版。</w:t>
      </w:r>
    </w:p>
  </w:footnote>
  <w:footnote w:id="82">
    <w:p w14:paraId="18C92E2B" w14:textId="77777777" w:rsidR="00E726C8" w:rsidRPr="00D612CE" w:rsidRDefault="00E726C8" w:rsidP="00D612CE">
      <w:pPr>
        <w:pStyle w:val="FootnoteText"/>
        <w:jc w:val="both"/>
        <w:rPr>
          <w:rFonts w:asciiTheme="minorEastAsia" w:eastAsiaTheme="minorEastAsia" w:hAnsiTheme="minorEastAsia"/>
        </w:rPr>
      </w:pPr>
      <w:r w:rsidRPr="00D612CE">
        <w:rPr>
          <w:rStyle w:val="FootnoteReference"/>
          <w:rFonts w:asciiTheme="minorEastAsia" w:eastAsiaTheme="minorEastAsia" w:hAnsiTheme="minorEastAsia"/>
        </w:rPr>
        <w:footnoteRef/>
      </w:r>
      <w:r w:rsidRPr="00D612CE">
        <w:rPr>
          <w:rFonts w:asciiTheme="minorEastAsia" w:eastAsiaTheme="minorEastAsia" w:hAnsiTheme="minorEastAsia"/>
          <w:szCs w:val="18"/>
        </w:rPr>
        <w:tab/>
      </w:r>
      <w:r w:rsidRPr="00D612CE">
        <w:rPr>
          <w:rFonts w:asciiTheme="minorEastAsia" w:eastAsiaTheme="minorEastAsia" w:hAnsiTheme="minorEastAsia" w:hint="eastAsia"/>
        </w:rPr>
        <w:t>20名学员已完成培训，其余学员将在2023年完成培训。</w:t>
      </w:r>
    </w:p>
  </w:footnote>
  <w:footnote w:id="83">
    <w:p w14:paraId="78FCDA7F" w14:textId="7049E77C" w:rsidR="00E726C8" w:rsidRDefault="00E726C8" w:rsidP="00D612CE">
      <w:pPr>
        <w:pStyle w:val="FootnoteText"/>
        <w:jc w:val="both"/>
      </w:pPr>
      <w:r w:rsidRPr="00D612CE">
        <w:rPr>
          <w:rStyle w:val="FootnoteReference"/>
          <w:rFonts w:asciiTheme="minorEastAsia" w:eastAsiaTheme="minorEastAsia" w:hAnsiTheme="minorEastAsia"/>
        </w:rPr>
        <w:footnoteRef/>
      </w:r>
      <w:r w:rsidRPr="00D612CE">
        <w:rPr>
          <w:rFonts w:asciiTheme="minorEastAsia" w:eastAsiaTheme="minorEastAsia" w:hAnsiTheme="minorEastAsia"/>
          <w:szCs w:val="18"/>
        </w:rPr>
        <w:tab/>
      </w:r>
      <w:r w:rsidRPr="00D612CE">
        <w:rPr>
          <w:rFonts w:asciiTheme="minorEastAsia" w:eastAsiaTheme="minorEastAsia" w:hAnsiTheme="minorEastAsia" w:hint="eastAsia"/>
        </w:rPr>
        <w:t>如有兴趣，可在以下网址注册：</w:t>
      </w:r>
      <w:hyperlink r:id="rId37" w:history="1">
        <w:r w:rsidRPr="00D612CE">
          <w:rPr>
            <w:rStyle w:val="Hyperlink"/>
            <w:rFonts w:asciiTheme="minorEastAsia" w:eastAsiaTheme="minorEastAsia" w:hAnsiTheme="minorEastAsia" w:hint="eastAsia"/>
          </w:rPr>
          <w:t>learning.daisy.org</w:t>
        </w:r>
      </w:hyperlink>
      <w:r w:rsidRPr="00D612CE">
        <w:rPr>
          <w:rFonts w:asciiTheme="minorEastAsia" w:eastAsiaTheme="minorEastAsia" w:hAnsiTheme="minorEastAsia" w:hint="eastAsia"/>
        </w:rPr>
        <w:t>.ABC在线课程对印刷品阅读障碍者是无障碍的，有高度结构化的可导航课程内容、无障碍测验、附说明的图像和有字幕的视频。</w:t>
      </w:r>
    </w:p>
  </w:footnote>
  <w:footnote w:id="84">
    <w:p w14:paraId="175720CB" w14:textId="5E4266C6" w:rsidR="00E726C8" w:rsidRPr="00746A4F" w:rsidRDefault="00E726C8" w:rsidP="00746A4F">
      <w:pPr>
        <w:pStyle w:val="FootnoteText"/>
        <w:jc w:val="both"/>
        <w:rPr>
          <w:rFonts w:asciiTheme="minorEastAsia" w:eastAsiaTheme="minorEastAsia" w:hAnsiTheme="minorEastAsia"/>
        </w:rPr>
      </w:pPr>
      <w:r w:rsidRPr="00746A4F">
        <w:rPr>
          <w:rStyle w:val="FootnoteReference"/>
          <w:rFonts w:asciiTheme="minorEastAsia" w:eastAsiaTheme="minorEastAsia" w:hAnsiTheme="minorEastAsia"/>
        </w:rPr>
        <w:footnoteRef/>
      </w:r>
      <w:r w:rsidRPr="00746A4F">
        <w:rPr>
          <w:rFonts w:asciiTheme="minorEastAsia" w:eastAsiaTheme="minorEastAsia" w:hAnsiTheme="minorEastAsia"/>
          <w:szCs w:val="18"/>
        </w:rPr>
        <w:tab/>
      </w:r>
      <w:r w:rsidRPr="00746A4F">
        <w:rPr>
          <w:rFonts w:asciiTheme="minorEastAsia" w:eastAsiaTheme="minorEastAsia" w:hAnsiTheme="minorEastAsia" w:hint="eastAsia"/>
        </w:rPr>
        <w:t>见文件SCCR/42/3，可查阅：</w:t>
      </w:r>
      <w:hyperlink r:id="rId38"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/doc_details.jsp?doc_id=568092</w:t>
        </w:r>
      </w:hyperlink>
    </w:p>
  </w:footnote>
  <w:footnote w:id="85">
    <w:p w14:paraId="0491B988" w14:textId="346D94F8" w:rsidR="00E726C8" w:rsidRPr="00746A4F" w:rsidRDefault="00E726C8" w:rsidP="00746A4F">
      <w:pPr>
        <w:pStyle w:val="FootnoteText"/>
        <w:jc w:val="both"/>
        <w:rPr>
          <w:rFonts w:asciiTheme="minorEastAsia" w:eastAsiaTheme="minorEastAsia" w:hAnsiTheme="minorEastAsia"/>
        </w:rPr>
      </w:pPr>
      <w:r w:rsidRPr="00746A4F">
        <w:rPr>
          <w:rStyle w:val="FootnoteReference"/>
          <w:rFonts w:asciiTheme="minorEastAsia" w:eastAsiaTheme="minorEastAsia" w:hAnsiTheme="minorEastAsia"/>
        </w:rPr>
        <w:footnoteRef/>
      </w:r>
      <w:r w:rsidRPr="00746A4F">
        <w:rPr>
          <w:rFonts w:asciiTheme="minorEastAsia" w:eastAsiaTheme="minorEastAsia" w:hAnsiTheme="minorEastAsia"/>
          <w:szCs w:val="18"/>
        </w:rPr>
        <w:tab/>
      </w:r>
      <w:r w:rsidRPr="00746A4F">
        <w:rPr>
          <w:rFonts w:asciiTheme="minorEastAsia" w:eastAsiaTheme="minorEastAsia" w:hAnsiTheme="minorEastAsia" w:hint="eastAsia"/>
        </w:rPr>
        <w:t>见文件SCCR/42/4，可查阅：</w:t>
      </w:r>
      <w:hyperlink r:id="rId39"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/doc_details.jsp?doc_id=568491</w:t>
        </w:r>
      </w:hyperlink>
    </w:p>
  </w:footnote>
  <w:footnote w:id="86">
    <w:p w14:paraId="65874935" w14:textId="6AF8BC2B" w:rsidR="00E726C8" w:rsidRPr="00746A4F" w:rsidRDefault="00E726C8" w:rsidP="00746A4F">
      <w:pPr>
        <w:pStyle w:val="FootnoteText"/>
        <w:jc w:val="both"/>
        <w:rPr>
          <w:rFonts w:asciiTheme="minorEastAsia" w:eastAsiaTheme="minorEastAsia" w:hAnsiTheme="minorEastAsia"/>
        </w:rPr>
      </w:pPr>
      <w:r w:rsidRPr="00746A4F">
        <w:rPr>
          <w:rStyle w:val="FootnoteReference"/>
          <w:rFonts w:asciiTheme="minorEastAsia" w:eastAsiaTheme="minorEastAsia" w:hAnsiTheme="minorEastAsia"/>
        </w:rPr>
        <w:footnoteRef/>
      </w:r>
      <w:r w:rsidRPr="00746A4F">
        <w:rPr>
          <w:rFonts w:asciiTheme="minorEastAsia" w:eastAsiaTheme="minorEastAsia" w:hAnsiTheme="minorEastAsia"/>
          <w:szCs w:val="18"/>
        </w:rPr>
        <w:tab/>
      </w:r>
      <w:r w:rsidRPr="00746A4F">
        <w:rPr>
          <w:rFonts w:asciiTheme="minorEastAsia" w:eastAsiaTheme="minorEastAsia" w:hAnsiTheme="minorEastAsia" w:hint="eastAsia"/>
        </w:rPr>
        <w:t>见文件SCCR/36/7，可查阅：</w:t>
      </w:r>
      <w:hyperlink r:id="rId40"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/doc_details.jsp?doc_id=408219</w:t>
        </w:r>
      </w:hyperlink>
    </w:p>
  </w:footnote>
  <w:footnote w:id="87">
    <w:p w14:paraId="121055F1" w14:textId="6357A1CC" w:rsidR="00E726C8" w:rsidRPr="00746A4F" w:rsidRDefault="00E726C8" w:rsidP="00746A4F">
      <w:pPr>
        <w:pStyle w:val="FootnoteText"/>
        <w:jc w:val="both"/>
        <w:rPr>
          <w:rFonts w:asciiTheme="minorEastAsia" w:eastAsiaTheme="minorEastAsia" w:hAnsiTheme="minorEastAsia"/>
        </w:rPr>
      </w:pPr>
      <w:r w:rsidRPr="00746A4F">
        <w:rPr>
          <w:rStyle w:val="FootnoteReference"/>
          <w:rFonts w:asciiTheme="minorEastAsia" w:eastAsiaTheme="minorEastAsia" w:hAnsiTheme="minorEastAsia"/>
        </w:rPr>
        <w:footnoteRef/>
      </w:r>
      <w:r w:rsidRPr="00746A4F">
        <w:rPr>
          <w:rFonts w:asciiTheme="minorEastAsia" w:eastAsiaTheme="minorEastAsia" w:hAnsiTheme="minorEastAsia"/>
          <w:szCs w:val="18"/>
        </w:rPr>
        <w:tab/>
      </w:r>
      <w:r w:rsidRPr="00746A4F">
        <w:rPr>
          <w:rFonts w:asciiTheme="minorEastAsia" w:eastAsiaTheme="minorEastAsia" w:hAnsiTheme="minorEastAsia" w:hint="eastAsia"/>
        </w:rPr>
        <w:t>见文件SCCR/40/2，可查阅：</w:t>
      </w:r>
      <w:hyperlink r:id="rId41"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/doc_details.jsp?doc_id=515597</w:t>
        </w:r>
      </w:hyperlink>
    </w:p>
  </w:footnote>
  <w:footnote w:id="88">
    <w:p w14:paraId="17BDB04E" w14:textId="33E709C5" w:rsidR="00E726C8" w:rsidRPr="00746A4F" w:rsidRDefault="00E726C8" w:rsidP="00746A4F">
      <w:pPr>
        <w:pStyle w:val="FootnoteText"/>
        <w:jc w:val="both"/>
        <w:rPr>
          <w:rFonts w:asciiTheme="minorEastAsia" w:eastAsiaTheme="minorEastAsia" w:hAnsiTheme="minorEastAsia"/>
        </w:rPr>
      </w:pPr>
      <w:r w:rsidRPr="00746A4F">
        <w:rPr>
          <w:rStyle w:val="FootnoteReference"/>
          <w:rFonts w:asciiTheme="minorEastAsia" w:eastAsiaTheme="minorEastAsia" w:hAnsiTheme="minorEastAsia"/>
        </w:rPr>
        <w:footnoteRef/>
      </w:r>
      <w:r w:rsidRPr="00746A4F">
        <w:rPr>
          <w:rFonts w:asciiTheme="minorEastAsia" w:eastAsiaTheme="minorEastAsia" w:hAnsiTheme="minorEastAsia"/>
          <w:szCs w:val="18"/>
        </w:rPr>
        <w:tab/>
      </w:r>
      <w:r w:rsidRPr="00746A4F">
        <w:rPr>
          <w:rFonts w:asciiTheme="minorEastAsia" w:eastAsiaTheme="minorEastAsia" w:hAnsiTheme="minorEastAsia" w:hint="eastAsia"/>
        </w:rPr>
        <w:t>见文件</w:t>
      </w:r>
      <w:r>
        <w:rPr>
          <w:rFonts w:asciiTheme="minorEastAsia" w:eastAsiaTheme="minorEastAsia" w:hAnsiTheme="minorEastAsia" w:hint="eastAsia"/>
        </w:rPr>
        <w:t>CDIP</w:t>
      </w:r>
      <w:r>
        <w:rPr>
          <w:rFonts w:asciiTheme="minorEastAsia" w:eastAsiaTheme="minorEastAsia" w:hAnsiTheme="minorEastAsia"/>
        </w:rPr>
        <w:t>/</w:t>
      </w:r>
      <w:r w:rsidRPr="00746A4F">
        <w:rPr>
          <w:rFonts w:asciiTheme="minorEastAsia" w:eastAsiaTheme="minorEastAsia" w:hAnsiTheme="minorEastAsia" w:hint="eastAsia"/>
        </w:rPr>
        <w:t>13/11，可查阅：</w:t>
      </w:r>
      <w:hyperlink r:id="rId42"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/doc_details.jsp?doc_id=272841</w:t>
        </w:r>
      </w:hyperlink>
    </w:p>
  </w:footnote>
  <w:footnote w:id="89">
    <w:p w14:paraId="63216B30" w14:textId="77777777" w:rsidR="00E726C8" w:rsidRDefault="00E726C8" w:rsidP="00746A4F">
      <w:pPr>
        <w:pStyle w:val="FootnoteText"/>
        <w:jc w:val="both"/>
      </w:pPr>
      <w:r w:rsidRPr="00746A4F">
        <w:rPr>
          <w:rStyle w:val="FootnoteReference"/>
          <w:rFonts w:asciiTheme="minorEastAsia" w:eastAsiaTheme="minorEastAsia" w:hAnsiTheme="minorEastAsia"/>
        </w:rPr>
        <w:footnoteRef/>
      </w:r>
      <w:r w:rsidRPr="00746A4F">
        <w:rPr>
          <w:rFonts w:asciiTheme="minorEastAsia" w:eastAsiaTheme="minorEastAsia" w:hAnsiTheme="minorEastAsia"/>
          <w:szCs w:val="18"/>
        </w:rPr>
        <w:tab/>
      </w:r>
      <w:r w:rsidRPr="00746A4F">
        <w:rPr>
          <w:rFonts w:asciiTheme="minorEastAsia" w:eastAsiaTheme="minorEastAsia" w:hAnsiTheme="minorEastAsia" w:hint="eastAsia"/>
        </w:rPr>
        <w:t>该项目重点关注拉丁美洲的视听市场。受益国是巴西、哥斯达黎加、阿根廷、厄瓜多尔、秘鲁和乌拉圭。</w:t>
      </w:r>
    </w:p>
  </w:footnote>
  <w:footnote w:id="90">
    <w:p w14:paraId="1419FBE3" w14:textId="416E8B4E" w:rsidR="00E726C8" w:rsidRPr="00746A4F" w:rsidRDefault="00E726C8" w:rsidP="00746A4F">
      <w:pPr>
        <w:pStyle w:val="FootnoteText"/>
        <w:jc w:val="both"/>
        <w:rPr>
          <w:rFonts w:asciiTheme="minorEastAsia" w:eastAsiaTheme="minorEastAsia" w:hAnsiTheme="minorEastAsia"/>
        </w:rPr>
      </w:pPr>
      <w:r w:rsidRPr="00746A4F">
        <w:rPr>
          <w:rStyle w:val="FootnoteReference"/>
          <w:rFonts w:asciiTheme="minorEastAsia" w:eastAsiaTheme="minorEastAsia" w:hAnsiTheme="minorEastAsia"/>
        </w:rPr>
        <w:footnoteRef/>
      </w:r>
      <w:r w:rsidRPr="00746A4F">
        <w:rPr>
          <w:rFonts w:asciiTheme="minorEastAsia" w:eastAsiaTheme="minorEastAsia" w:hAnsiTheme="minorEastAsia"/>
          <w:szCs w:val="18"/>
        </w:rPr>
        <w:tab/>
      </w:r>
      <w:r w:rsidRPr="00746A4F">
        <w:rPr>
          <w:rFonts w:asciiTheme="minorEastAsia" w:eastAsiaTheme="minorEastAsia" w:hAnsiTheme="minorEastAsia" w:hint="eastAsia"/>
        </w:rPr>
        <w:t>见文件CDIP/28/7，可查阅：</w:t>
      </w:r>
      <w:hyperlink r:id="rId43"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/doc_details.jsp?doc_id=569511</w:t>
        </w:r>
      </w:hyperlink>
    </w:p>
  </w:footnote>
  <w:footnote w:id="91">
    <w:p w14:paraId="43E0F913" w14:textId="48E306C7" w:rsidR="00E726C8" w:rsidRPr="00746A4F" w:rsidRDefault="00E726C8" w:rsidP="00746A4F">
      <w:pPr>
        <w:pStyle w:val="FootnoteText"/>
        <w:jc w:val="both"/>
        <w:rPr>
          <w:rFonts w:asciiTheme="minorEastAsia" w:eastAsiaTheme="minorEastAsia" w:hAnsiTheme="minorEastAsia"/>
        </w:rPr>
      </w:pPr>
      <w:r w:rsidRPr="00746A4F">
        <w:rPr>
          <w:rStyle w:val="FootnoteReference"/>
          <w:rFonts w:asciiTheme="minorEastAsia" w:eastAsiaTheme="minorEastAsia" w:hAnsiTheme="minorEastAsia"/>
        </w:rPr>
        <w:footnoteRef/>
      </w:r>
      <w:r w:rsidRPr="00746A4F">
        <w:rPr>
          <w:rFonts w:asciiTheme="minorEastAsia" w:eastAsiaTheme="minorEastAsia" w:hAnsiTheme="minorEastAsia"/>
          <w:szCs w:val="18"/>
        </w:rPr>
        <w:tab/>
      </w:r>
      <w:r w:rsidRPr="00746A4F">
        <w:rPr>
          <w:rFonts w:asciiTheme="minorEastAsia" w:eastAsiaTheme="minorEastAsia" w:hAnsiTheme="minorEastAsia" w:hint="eastAsia"/>
        </w:rPr>
        <w:t>见文件CDIP/28/6，可查阅：</w:t>
      </w:r>
      <w:hyperlink r:id="rId44"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/doc_details.jsp?doc_id=569485</w:t>
        </w:r>
      </w:hyperlink>
    </w:p>
  </w:footnote>
  <w:footnote w:id="92">
    <w:p w14:paraId="28C01DED" w14:textId="77777777" w:rsidR="00E726C8" w:rsidRDefault="00E726C8" w:rsidP="00746A4F">
      <w:pPr>
        <w:pStyle w:val="FootnoteText"/>
        <w:jc w:val="both"/>
      </w:pPr>
      <w:r w:rsidRPr="00746A4F">
        <w:rPr>
          <w:rStyle w:val="FootnoteReference"/>
          <w:rFonts w:asciiTheme="minorEastAsia" w:eastAsiaTheme="minorEastAsia" w:hAnsiTheme="minorEastAsia"/>
        </w:rPr>
        <w:footnoteRef/>
      </w:r>
      <w:r w:rsidRPr="00746A4F">
        <w:rPr>
          <w:rFonts w:asciiTheme="minorEastAsia" w:eastAsiaTheme="minorEastAsia" w:hAnsiTheme="minorEastAsia"/>
          <w:szCs w:val="18"/>
        </w:rPr>
        <w:tab/>
      </w:r>
      <w:r w:rsidRPr="00746A4F">
        <w:rPr>
          <w:rFonts w:asciiTheme="minorEastAsia" w:eastAsiaTheme="minorEastAsia" w:hAnsiTheme="minorEastAsia" w:hint="eastAsia"/>
        </w:rPr>
        <w:t>Pat-INFORMED是由产权组织、国际药品制造商和协会联合会（IFPMA）及20家领先的研究型生物制药公司在2018年发起的一项倡议。</w:t>
      </w:r>
      <w:r w:rsidRPr="00746A4F">
        <w:rPr>
          <w:rFonts w:asciiTheme="minorEastAsia" w:eastAsiaTheme="minorEastAsia" w:hAnsiTheme="minorEastAsia" w:hint="eastAsia"/>
        </w:rPr>
        <w:t>它提供了一个搜索引擎和开放存取数据库，为采购机构访问数据库和公众了解药品的专利状况提供了便利。</w:t>
      </w:r>
    </w:p>
  </w:footnote>
  <w:footnote w:id="93">
    <w:p w14:paraId="6D48E6A2" w14:textId="4887D928" w:rsidR="00E726C8" w:rsidRPr="00175541" w:rsidRDefault="00E726C8">
      <w:pPr>
        <w:pStyle w:val="FootnoteText"/>
        <w:rPr>
          <w:rFonts w:asciiTheme="minorEastAsia" w:eastAsiaTheme="minorEastAsia" w:hAnsiTheme="minorEastAsia"/>
        </w:rPr>
      </w:pPr>
      <w:r w:rsidRPr="00175541">
        <w:rPr>
          <w:rStyle w:val="FootnoteReference"/>
          <w:rFonts w:asciiTheme="minorEastAsia" w:eastAsiaTheme="minorEastAsia" w:hAnsiTheme="minorEastAsia"/>
        </w:rPr>
        <w:footnoteRef/>
      </w:r>
      <w:r w:rsidRPr="00175541">
        <w:rPr>
          <w:rFonts w:asciiTheme="minorEastAsia" w:eastAsiaTheme="minorEastAsia" w:hAnsiTheme="minorEastAsia"/>
          <w:szCs w:val="18"/>
        </w:rPr>
        <w:tab/>
      </w:r>
      <w:r w:rsidRPr="00175541">
        <w:rPr>
          <w:rFonts w:asciiTheme="minorEastAsia" w:eastAsiaTheme="minorEastAsia" w:hAnsiTheme="minorEastAsia" w:hint="eastAsia"/>
        </w:rPr>
        <w:t>更多信息可查阅：</w:t>
      </w:r>
      <w:hyperlink r:id="rId45" w:history="1">
        <w:r w:rsidRPr="00175541">
          <w:rPr>
            <w:rStyle w:val="Hyperlink"/>
            <w:rFonts w:asciiTheme="minorEastAsia" w:eastAsiaTheme="minorEastAsia" w:hAnsiTheme="minorEastAsia" w:hint="eastAsia"/>
          </w:rPr>
          <w:t>www.wipo.int/global_ip/en/activities/ip_office_business_solutions/</w:t>
        </w:r>
      </w:hyperlink>
    </w:p>
  </w:footnote>
  <w:footnote w:id="94">
    <w:p w14:paraId="20C4D761" w14:textId="1EA2BDB5" w:rsidR="00E726C8" w:rsidRDefault="00E726C8">
      <w:pPr>
        <w:pStyle w:val="FootnoteText"/>
      </w:pPr>
      <w:r w:rsidRPr="00175541">
        <w:rPr>
          <w:rStyle w:val="FootnoteReference"/>
          <w:rFonts w:asciiTheme="minorEastAsia" w:eastAsiaTheme="minorEastAsia" w:hAnsiTheme="minorEastAsia"/>
        </w:rPr>
        <w:footnoteRef/>
      </w:r>
      <w:r w:rsidRPr="00175541">
        <w:rPr>
          <w:rFonts w:asciiTheme="minorEastAsia" w:eastAsiaTheme="minorEastAsia" w:hAnsiTheme="minorEastAsia"/>
          <w:szCs w:val="18"/>
        </w:rPr>
        <w:tab/>
      </w:r>
      <w:r w:rsidRPr="00175541">
        <w:rPr>
          <w:rFonts w:asciiTheme="minorEastAsia" w:eastAsiaTheme="minorEastAsia" w:hAnsiTheme="minorEastAsia" w:hint="eastAsia"/>
        </w:rPr>
        <w:t>关于该会议的联合新闻可查阅：</w:t>
      </w:r>
      <w:hyperlink r:id="rId46" w:history="1">
        <w:r w:rsidRPr="00175541">
          <w:rPr>
            <w:rStyle w:val="Hyperlink"/>
            <w:rFonts w:asciiTheme="minorEastAsia" w:eastAsiaTheme="minorEastAsia" w:hAnsiTheme="minorEastAsia" w:hint="eastAsia"/>
          </w:rPr>
          <w:t>www.wto.org/english/news_e/news22_e/igo_01feb22_e.htm</w:t>
        </w:r>
      </w:hyperlink>
    </w:p>
  </w:footnote>
  <w:footnote w:id="95">
    <w:p w14:paraId="3A8767E6" w14:textId="64548AFD" w:rsidR="00E726C8" w:rsidRPr="00F165A7" w:rsidRDefault="00E726C8">
      <w:pPr>
        <w:pStyle w:val="FootnoteText"/>
        <w:rPr>
          <w:rFonts w:asciiTheme="minorEastAsia" w:eastAsiaTheme="minorEastAsia" w:hAnsiTheme="minorEastAsia"/>
        </w:rPr>
      </w:pPr>
      <w:r w:rsidRPr="00F165A7">
        <w:rPr>
          <w:rStyle w:val="FootnoteReference"/>
          <w:rFonts w:asciiTheme="minorEastAsia" w:eastAsiaTheme="minorEastAsia" w:hAnsiTheme="minorEastAsia"/>
        </w:rPr>
        <w:footnoteRef/>
      </w:r>
      <w:r w:rsidRPr="00F165A7">
        <w:rPr>
          <w:rFonts w:asciiTheme="minorEastAsia" w:eastAsiaTheme="minorEastAsia" w:hAnsiTheme="minorEastAsia"/>
          <w:szCs w:val="18"/>
        </w:rPr>
        <w:tab/>
      </w:r>
      <w:r w:rsidRPr="00F165A7">
        <w:rPr>
          <w:rFonts w:asciiTheme="minorEastAsia" w:eastAsiaTheme="minorEastAsia" w:hAnsiTheme="minorEastAsia" w:hint="eastAsia"/>
        </w:rPr>
        <w:t>讲习班的详情可参见：</w:t>
      </w:r>
      <w:hyperlink r:id="rId47"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/details.jsp?meeting_id=65948</w:t>
        </w:r>
      </w:hyperlink>
    </w:p>
  </w:footnote>
  <w:footnote w:id="96">
    <w:p w14:paraId="77A9BD37" w14:textId="1A64FBA1" w:rsidR="00E726C8" w:rsidRPr="00F165A7" w:rsidRDefault="00E726C8">
      <w:pPr>
        <w:pStyle w:val="FootnoteText"/>
        <w:rPr>
          <w:rFonts w:asciiTheme="minorEastAsia" w:eastAsiaTheme="minorEastAsia" w:hAnsiTheme="minorEastAsia"/>
        </w:rPr>
      </w:pPr>
      <w:r w:rsidRPr="00F165A7">
        <w:rPr>
          <w:rStyle w:val="FootnoteReference"/>
          <w:rFonts w:asciiTheme="minorEastAsia" w:eastAsiaTheme="minorEastAsia" w:hAnsiTheme="minorEastAsia"/>
        </w:rPr>
        <w:footnoteRef/>
      </w:r>
      <w:r w:rsidRPr="00F165A7">
        <w:rPr>
          <w:rFonts w:asciiTheme="minorEastAsia" w:eastAsiaTheme="minorEastAsia" w:hAnsiTheme="minorEastAsia"/>
          <w:szCs w:val="18"/>
        </w:rPr>
        <w:tab/>
      </w:r>
      <w:r w:rsidRPr="00F165A7">
        <w:rPr>
          <w:rFonts w:asciiTheme="minorEastAsia" w:eastAsiaTheme="minorEastAsia" w:hAnsiTheme="minorEastAsia" w:hint="eastAsia"/>
        </w:rPr>
        <w:t>讲习班的详情可参见：</w:t>
      </w:r>
      <w:hyperlink r:id="rId48"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/details.jsp?meeting_id=69028</w:t>
        </w:r>
      </w:hyperlink>
    </w:p>
  </w:footnote>
  <w:footnote w:id="97">
    <w:p w14:paraId="45CCDEF1" w14:textId="2F1622A9" w:rsidR="00E726C8" w:rsidRPr="00F165A7" w:rsidRDefault="00E726C8">
      <w:pPr>
        <w:pStyle w:val="FootnoteText"/>
        <w:rPr>
          <w:rFonts w:asciiTheme="minorEastAsia" w:eastAsiaTheme="minorEastAsia" w:hAnsiTheme="minorEastAsia"/>
        </w:rPr>
      </w:pPr>
      <w:r w:rsidRPr="00F165A7">
        <w:rPr>
          <w:rStyle w:val="FootnoteReference"/>
          <w:rFonts w:asciiTheme="minorEastAsia" w:eastAsiaTheme="minorEastAsia" w:hAnsiTheme="minorEastAsia"/>
        </w:rPr>
        <w:footnoteRef/>
      </w:r>
      <w:r w:rsidRPr="00F165A7">
        <w:rPr>
          <w:rFonts w:asciiTheme="minorEastAsia" w:eastAsiaTheme="minorEastAsia" w:hAnsiTheme="minorEastAsia"/>
          <w:szCs w:val="18"/>
        </w:rPr>
        <w:tab/>
      </w:r>
      <w:r w:rsidRPr="00F165A7">
        <w:rPr>
          <w:rFonts w:asciiTheme="minorEastAsia" w:eastAsiaTheme="minorEastAsia" w:hAnsiTheme="minorEastAsia" w:hint="eastAsia"/>
        </w:rPr>
        <w:t>讲习班的详情可参见：</w:t>
      </w:r>
      <w:hyperlink r:id="rId49"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/details.jsp?meeting_id=73869</w:t>
        </w:r>
      </w:hyperlink>
    </w:p>
  </w:footnote>
  <w:footnote w:id="98">
    <w:p w14:paraId="5F91960C" w14:textId="7F3C78B2" w:rsidR="00E726C8" w:rsidRPr="00F165A7" w:rsidRDefault="00E726C8">
      <w:pPr>
        <w:pStyle w:val="FootnoteText"/>
        <w:rPr>
          <w:rFonts w:asciiTheme="minorEastAsia" w:eastAsiaTheme="minorEastAsia" w:hAnsiTheme="minorEastAsia"/>
        </w:rPr>
      </w:pPr>
      <w:r w:rsidRPr="00F165A7">
        <w:rPr>
          <w:rStyle w:val="FootnoteReference"/>
          <w:rFonts w:asciiTheme="minorEastAsia" w:eastAsiaTheme="minorEastAsia" w:hAnsiTheme="minorEastAsia"/>
        </w:rPr>
        <w:footnoteRef/>
      </w:r>
      <w:r w:rsidRPr="00F165A7">
        <w:rPr>
          <w:rFonts w:asciiTheme="minorEastAsia" w:eastAsiaTheme="minorEastAsia" w:hAnsiTheme="minorEastAsia"/>
          <w:szCs w:val="18"/>
        </w:rPr>
        <w:tab/>
      </w:r>
      <w:r w:rsidRPr="00F165A7">
        <w:rPr>
          <w:rFonts w:asciiTheme="minorEastAsia" w:eastAsiaTheme="minorEastAsia" w:hAnsiTheme="minorEastAsia" w:hint="eastAsia"/>
        </w:rPr>
        <w:t>平台可访问：</w:t>
      </w:r>
      <w:hyperlink r:id="rId50" w:history="1">
        <w:r w:rsidRPr="00F165A7">
          <w:rPr>
            <w:rStyle w:val="Hyperlink"/>
            <w:rFonts w:asciiTheme="minorEastAsia" w:eastAsiaTheme="minorEastAsia" w:hAnsiTheme="minorEastAsia" w:hint="eastAsia"/>
          </w:rPr>
          <w:t>www.who-wipo-wto-trilateral.org/</w:t>
        </w:r>
      </w:hyperlink>
    </w:p>
  </w:footnote>
  <w:footnote w:id="99">
    <w:p w14:paraId="6F3623AC" w14:textId="77777777" w:rsidR="00E726C8" w:rsidRPr="00F165A7" w:rsidRDefault="00E726C8">
      <w:pPr>
        <w:pStyle w:val="FootnoteText"/>
        <w:rPr>
          <w:rFonts w:asciiTheme="minorEastAsia" w:eastAsiaTheme="minorEastAsia" w:hAnsiTheme="minorEastAsia"/>
        </w:rPr>
      </w:pPr>
      <w:r w:rsidRPr="00F165A7">
        <w:rPr>
          <w:rStyle w:val="FootnoteReference"/>
          <w:rFonts w:asciiTheme="minorEastAsia" w:eastAsiaTheme="minorEastAsia" w:hAnsiTheme="minorEastAsia"/>
        </w:rPr>
        <w:footnoteRef/>
      </w:r>
      <w:r w:rsidRPr="00F165A7">
        <w:rPr>
          <w:rFonts w:asciiTheme="minorEastAsia" w:eastAsiaTheme="minorEastAsia" w:hAnsiTheme="minorEastAsia"/>
          <w:szCs w:val="18"/>
        </w:rPr>
        <w:tab/>
      </w:r>
      <w:r w:rsidRPr="00F165A7">
        <w:rPr>
          <w:rFonts w:asciiTheme="minorEastAsia" w:eastAsiaTheme="minorEastAsia" w:hAnsiTheme="minorEastAsia" w:hint="eastAsia"/>
        </w:rPr>
        <w:t>大师班讨论了女企业家面临的一些挑战，包括性别陈规定型观念、获得资金的机会有限、缺乏数字和创业技能以及对知识产权注册的认识不足。</w:t>
      </w:r>
    </w:p>
  </w:footnote>
  <w:footnote w:id="100">
    <w:p w14:paraId="0B036B1C" w14:textId="4DEF338F" w:rsidR="00E726C8" w:rsidRDefault="00E726C8">
      <w:pPr>
        <w:pStyle w:val="FootnoteText"/>
      </w:pPr>
      <w:r w:rsidRPr="00F165A7">
        <w:rPr>
          <w:rStyle w:val="FootnoteReference"/>
          <w:rFonts w:asciiTheme="minorEastAsia" w:eastAsiaTheme="minorEastAsia" w:hAnsiTheme="minorEastAsia"/>
        </w:rPr>
        <w:footnoteRef/>
      </w:r>
      <w:r w:rsidRPr="00F165A7">
        <w:rPr>
          <w:rFonts w:asciiTheme="minorEastAsia" w:eastAsiaTheme="minorEastAsia" w:hAnsiTheme="minorEastAsia"/>
          <w:szCs w:val="18"/>
        </w:rPr>
        <w:tab/>
      </w:r>
      <w:r w:rsidRPr="00F165A7">
        <w:rPr>
          <w:rFonts w:asciiTheme="minorEastAsia" w:eastAsiaTheme="minorEastAsia" w:hAnsiTheme="minorEastAsia" w:hint="eastAsia"/>
        </w:rPr>
        <w:t>网页可访问：</w:t>
      </w:r>
      <w:hyperlink r:id="rId51" w:history="1">
        <w:r w:rsidRPr="000578C5">
          <w:rPr>
            <w:rStyle w:val="Hyperlink"/>
            <w:rFonts w:asciiTheme="minorEastAsia" w:eastAsiaTheme="minorEastAsia" w:hAnsiTheme="minorEastAsia" w:hint="eastAsia"/>
          </w:rPr>
          <w:t>www.wipo.int/ip-outreach/</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/ipday/2022/youth-gallery.html</w:t>
        </w:r>
      </w:hyperlink>
    </w:p>
  </w:footnote>
  <w:footnote w:id="101">
    <w:p w14:paraId="1D30BAC2" w14:textId="473E563A"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更多信息可参见：</w:t>
      </w:r>
      <w:hyperlink r:id="rId52" w:history="1">
        <w:r w:rsidRPr="003008E4">
          <w:rPr>
            <w:rStyle w:val="Hyperlink"/>
            <w:rFonts w:asciiTheme="minorEastAsia" w:eastAsiaTheme="minorEastAsia" w:hAnsiTheme="minorEastAsia" w:hint="eastAsia"/>
          </w:rPr>
          <w:t>www.wipo.int/ip-outreach/en/ipday/2022/international-youth-day-2022.html</w:t>
        </w:r>
      </w:hyperlink>
    </w:p>
  </w:footnote>
  <w:footnote w:id="102">
    <w:p w14:paraId="7179770B" w14:textId="6C99C831"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更多信息可参见：</w:t>
      </w:r>
      <w:hyperlink r:id="rId53" w:history="1">
        <w:r w:rsidRPr="003008E4">
          <w:rPr>
            <w:rStyle w:val="Hyperlink"/>
            <w:rFonts w:asciiTheme="minorEastAsia" w:eastAsiaTheme="minorEastAsia" w:hAnsiTheme="minorEastAsia" w:hint="eastAsia"/>
          </w:rPr>
          <w:t>www.wipo.int/ip-outreach/en/ipday/2022/youth-movie-night.html</w:t>
        </w:r>
      </w:hyperlink>
    </w:p>
  </w:footnote>
  <w:footnote w:id="103">
    <w:p w14:paraId="5BD8E7A4" w14:textId="62A1F86F"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更多信息可查阅：</w:t>
      </w:r>
      <w:hyperlink r:id="rId54" w:history="1">
        <w:r w:rsidRPr="003008E4">
          <w:rPr>
            <w:rStyle w:val="Hyperlink"/>
            <w:rFonts w:asciiTheme="minorEastAsia" w:eastAsiaTheme="minorEastAsia" w:hAnsiTheme="minorEastAsia" w:hint="eastAsia"/>
          </w:rPr>
          <w:t>www.wipo.int/ip-outreach/en/ipday/2022/youth-art-and-innovation-fair.html</w:t>
        </w:r>
      </w:hyperlink>
    </w:p>
  </w:footnote>
  <w:footnote w:id="104">
    <w:p w14:paraId="2B3B6827" w14:textId="7AC4A53E"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网播可查阅：</w:t>
      </w:r>
      <w:hyperlink r:id="rId55" w:history="1">
        <w:r w:rsidRPr="003008E4">
          <w:rPr>
            <w:rStyle w:val="Hyperlink"/>
            <w:rFonts w:asciiTheme="minorEastAsia" w:eastAsiaTheme="minorEastAsia" w:hAnsiTheme="minorEastAsia" w:hint="eastAsia"/>
          </w:rPr>
          <w:t>webcast.wipo.int/video/WIPO_WIPD_2022_2022-04-26_PM_115159</w:t>
        </w:r>
      </w:hyperlink>
    </w:p>
  </w:footnote>
  <w:footnote w:id="105">
    <w:p w14:paraId="21177763" w14:textId="65044371"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更多信息可查阅：</w:t>
      </w:r>
      <w:hyperlink r:id="rId56" w:history="1">
        <w:r w:rsidRPr="003008E4">
          <w:rPr>
            <w:rStyle w:val="Hyperlink"/>
            <w:rFonts w:asciiTheme="minorEastAsia" w:eastAsiaTheme="minorEastAsia" w:hAnsiTheme="minorEastAsia" w:hint="eastAsia"/>
          </w:rPr>
          <w:t>www.itu.int/net4/wsis/forum/2022/Agenda/Session/262</w:t>
        </w:r>
      </w:hyperlink>
    </w:p>
  </w:footnote>
  <w:footnote w:id="106">
    <w:p w14:paraId="1C4BD4ED" w14:textId="6F9C3312"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更多信息可查阅：</w:t>
      </w:r>
      <w:hyperlink r:id="rId57" w:history="1">
        <w:r w:rsidRPr="003008E4">
          <w:rPr>
            <w:rStyle w:val="Hyperlink"/>
            <w:rFonts w:asciiTheme="minorEastAsia" w:eastAsiaTheme="minorEastAsia" w:hAnsiTheme="minorEastAsia" w:hint="eastAsia"/>
          </w:rPr>
          <w:t>www.wto.org/english/news_e/news22_e/pf22_30sep22_e.htm</w:t>
        </w:r>
      </w:hyperlink>
    </w:p>
  </w:footnote>
  <w:footnote w:id="107">
    <w:p w14:paraId="24345846" w14:textId="56601E64"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更多信息可查阅：</w:t>
      </w:r>
      <w:hyperlink r:id="rId58" w:history="1">
        <w:r w:rsidRPr="003008E4">
          <w:rPr>
            <w:rStyle w:val="Hyperlink"/>
            <w:rFonts w:asciiTheme="minorEastAsia" w:eastAsiaTheme="minorEastAsia" w:hAnsiTheme="minorEastAsia" w:hint="eastAsia"/>
          </w:rPr>
          <w:t>unece.org/info/events/event/373517</w:t>
        </w:r>
      </w:hyperlink>
    </w:p>
  </w:footnote>
  <w:footnote w:id="108">
    <w:p w14:paraId="072B368C" w14:textId="407ACF0D"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关于WIPO GREEN合作伙伴的更多信息可查阅：</w:t>
      </w:r>
      <w:hyperlink r:id="rId59" w:history="1">
        <w:r w:rsidRPr="003008E4">
          <w:rPr>
            <w:rStyle w:val="Hyperlink"/>
            <w:rFonts w:asciiTheme="minorEastAsia" w:eastAsiaTheme="minorEastAsia" w:hAnsiTheme="minorEastAsia" w:hint="eastAsia"/>
          </w:rPr>
          <w:t>www3.wipo.int/wipogreen/en/partners/</w:t>
        </w:r>
      </w:hyperlink>
    </w:p>
  </w:footnote>
  <w:footnote w:id="109">
    <w:p w14:paraId="1FD8466B" w14:textId="77777777"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自2013年推出以来，该平台已为网络成员之间的1,000多次联系提供了便利。</w:t>
      </w:r>
    </w:p>
  </w:footnote>
  <w:footnote w:id="110">
    <w:p w14:paraId="47123B21" w14:textId="050B5E6F"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WIPO GREEN加速项目可访问：www3.</w:t>
      </w:r>
      <w:r>
        <w:rPr>
          <w:rFonts w:asciiTheme="minorEastAsia" w:eastAsiaTheme="minorEastAsia" w:hAnsiTheme="minorEastAsia" w:hint="eastAsia"/>
        </w:rPr>
        <w:t>wipo.int/wipogreen/en/projects/</w:t>
      </w:r>
    </w:p>
  </w:footnote>
  <w:footnote w:id="111">
    <w:p w14:paraId="21734D09" w14:textId="77777777"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阿根廷、巴西、智利和秘鲁的国家知识产权局和其他政府实体是该项目合作伙伴。</w:t>
      </w:r>
    </w:p>
  </w:footnote>
  <w:footnote w:id="112">
    <w:p w14:paraId="5F5F2942" w14:textId="77777777" w:rsidR="00E726C8" w:rsidRPr="003008E4" w:rsidRDefault="00E726C8">
      <w:pPr>
        <w:pStyle w:val="FootnoteText"/>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这些气候变化需求包括能源、水、污染和废物挑战，可在WIPO GREEN平台中的中国城市库中找到。</w:t>
      </w:r>
    </w:p>
  </w:footnote>
  <w:footnote w:id="113">
    <w:p w14:paraId="60BEC4C2" w14:textId="4265EEB4" w:rsidR="00E726C8" w:rsidRDefault="00E726C8">
      <w:pPr>
        <w:pStyle w:val="FootnoteText"/>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报告可查阅：</w:t>
      </w:r>
      <w:hyperlink r:id="rId60" w:history="1">
        <w:r w:rsidRPr="003008E4">
          <w:rPr>
            <w:rStyle w:val="Hyperlink"/>
            <w:rFonts w:asciiTheme="minorEastAsia" w:eastAsiaTheme="minorEastAsia" w:hAnsiTheme="minorEastAsia" w:hint="eastAsia"/>
          </w:rPr>
          <w:t>www.wipo.int/publications/en/details.jsp?id=4583</w:t>
        </w:r>
      </w:hyperlink>
    </w:p>
  </w:footnote>
  <w:footnote w:id="114">
    <w:p w14:paraId="118F2304" w14:textId="5B834615" w:rsidR="00E726C8" w:rsidRPr="003008E4" w:rsidRDefault="00E726C8" w:rsidP="003008E4">
      <w:pPr>
        <w:pStyle w:val="FootnoteText"/>
        <w:jc w:val="both"/>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该书可查阅：</w:t>
      </w:r>
      <w:hyperlink r:id="rId61" w:history="1">
        <w:r w:rsidRPr="003008E4">
          <w:rPr>
            <w:rStyle w:val="Hyperlink"/>
            <w:rFonts w:asciiTheme="minorEastAsia" w:eastAsiaTheme="minorEastAsia" w:hAnsiTheme="minorEastAsia" w:hint="eastAsia"/>
          </w:rPr>
          <w:t>www.wipo.int/en/green-technology-book/</w:t>
        </w:r>
      </w:hyperlink>
    </w:p>
  </w:footnote>
  <w:footnote w:id="115">
    <w:p w14:paraId="3B3F1071" w14:textId="56247389" w:rsidR="00E726C8" w:rsidRPr="003008E4" w:rsidRDefault="00E726C8" w:rsidP="003008E4">
      <w:pPr>
        <w:pStyle w:val="FootnoteText"/>
        <w:jc w:val="both"/>
        <w:rPr>
          <w:rStyle w:val="Hyperlink"/>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更多信息可参见：</w:t>
      </w:r>
      <w:hyperlink r:id="rId62" w:history="1">
        <w:r w:rsidRPr="003008E4">
          <w:rPr>
            <w:rStyle w:val="Hyperlink"/>
            <w:rFonts w:asciiTheme="minorEastAsia" w:eastAsiaTheme="minorEastAsia" w:hAnsiTheme="minorEastAsia" w:hint="eastAsia"/>
          </w:rPr>
          <w:t>www3.wipo.int/wipogreen/en/ipo-green/</w:t>
        </w:r>
      </w:hyperlink>
    </w:p>
  </w:footnote>
  <w:footnote w:id="116">
    <w:p w14:paraId="7D669D88" w14:textId="77777777" w:rsidR="00E726C8" w:rsidRPr="003008E4" w:rsidRDefault="00E726C8" w:rsidP="003008E4">
      <w:pPr>
        <w:pStyle w:val="FootnoteText"/>
        <w:jc w:val="both"/>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知识产权管理诊所是与产权组织知识产权和创新生态系统部门合作组织的。</w:t>
      </w:r>
    </w:p>
  </w:footnote>
  <w:footnote w:id="117">
    <w:p w14:paraId="64B66C7B" w14:textId="4F713BCA" w:rsidR="00E726C8" w:rsidRPr="003008E4" w:rsidRDefault="00E726C8" w:rsidP="003008E4">
      <w:pPr>
        <w:pStyle w:val="FootnoteText"/>
        <w:jc w:val="both"/>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见文件WIPO/ACE/12/14，可查阅：</w:t>
      </w:r>
      <w:hyperlink r:id="rId63"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/doc_details.jsp?doc_id=372936</w:t>
        </w:r>
      </w:hyperlink>
    </w:p>
  </w:footnote>
  <w:footnote w:id="118">
    <w:p w14:paraId="456C911C" w14:textId="77777777" w:rsidR="00E726C8" w:rsidRPr="003008E4" w:rsidRDefault="00E726C8" w:rsidP="003008E4">
      <w:pPr>
        <w:pStyle w:val="FootnoteText"/>
        <w:jc w:val="both"/>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非洲地区5个，亚洲及太平洋地区1个，拉丁美洲及加勒比地区1个，经济转型国家1个。</w:t>
      </w:r>
    </w:p>
  </w:footnote>
  <w:footnote w:id="119">
    <w:p w14:paraId="7107C49F" w14:textId="77777777" w:rsidR="00E726C8" w:rsidRPr="003008E4" w:rsidRDefault="00E726C8" w:rsidP="003008E4">
      <w:pPr>
        <w:pStyle w:val="FootnoteText"/>
        <w:jc w:val="both"/>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非洲地区3次，阿拉伯地区3次，亚洲及太平洋地区1次，经济转型国家1次。</w:t>
      </w:r>
    </w:p>
  </w:footnote>
  <w:footnote w:id="120">
    <w:p w14:paraId="520F05B7" w14:textId="5F767F5E" w:rsidR="00E726C8" w:rsidRPr="003008E4" w:rsidRDefault="00E726C8" w:rsidP="003008E4">
      <w:pPr>
        <w:pStyle w:val="FootnoteText"/>
        <w:jc w:val="both"/>
        <w:rPr>
          <w:rFonts w:asciiTheme="minorEastAsia" w:eastAsiaTheme="minorEastAsia" w:hAnsiTheme="minorEastAsia"/>
        </w:rPr>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见文件</w:t>
      </w:r>
      <w:hyperlink r:id="rId64" w:history="1">
        <w:r w:rsidRPr="003008E4">
          <w:rPr>
            <w:rFonts w:asciiTheme="minorEastAsia" w:eastAsiaTheme="minorEastAsia" w:hAnsiTheme="minorEastAsia" w:hint="eastAsia"/>
          </w:rPr>
          <w:t>WIPO/ACE/11/10</w:t>
        </w:r>
      </w:hyperlink>
      <w:r w:rsidRPr="003008E4">
        <w:rPr>
          <w:rFonts w:asciiTheme="minorEastAsia" w:eastAsiaTheme="minorEastAsia" w:hAnsiTheme="minorEastAsia" w:hint="eastAsia"/>
        </w:rPr>
        <w:t>，可查阅：</w:t>
      </w:r>
      <w:hyperlink r:id="rId65"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/doc_details.jsp?doc_id=340916</w:t>
        </w:r>
      </w:hyperlink>
      <w:r w:rsidRPr="003008E4">
        <w:rPr>
          <w:rFonts w:asciiTheme="minorEastAsia" w:eastAsiaTheme="minorEastAsia" w:hAnsiTheme="minorEastAsia" w:hint="eastAsia"/>
        </w:rPr>
        <w:t>，培训和宣传活动可查阅：</w:t>
      </w:r>
      <w:r w:rsidRPr="003008E4">
        <w:rPr>
          <w:rStyle w:val="Hyperlink"/>
          <w:rFonts w:asciiTheme="minorEastAsia" w:eastAsiaTheme="minorEastAsia" w:hAnsiTheme="minorEastAsia" w:hint="eastAsia"/>
          <w:szCs w:val="22"/>
        </w:rPr>
        <w:t>www.wipo.int/enforcement/en/activities/current.html</w:t>
      </w:r>
    </w:p>
  </w:footnote>
  <w:footnote w:id="121">
    <w:p w14:paraId="255B245C" w14:textId="77777777" w:rsidR="00E726C8" w:rsidRDefault="00E726C8" w:rsidP="003008E4">
      <w:pPr>
        <w:pStyle w:val="FootnoteText"/>
        <w:jc w:val="both"/>
      </w:pPr>
      <w:r w:rsidRPr="003008E4">
        <w:rPr>
          <w:rStyle w:val="FootnoteReference"/>
          <w:rFonts w:asciiTheme="minorEastAsia" w:eastAsiaTheme="minorEastAsia" w:hAnsiTheme="minorEastAsia"/>
        </w:rPr>
        <w:footnoteRef/>
      </w:r>
      <w:r w:rsidRPr="003008E4">
        <w:rPr>
          <w:rFonts w:asciiTheme="minorEastAsia" w:eastAsiaTheme="minorEastAsia" w:hAnsiTheme="minorEastAsia"/>
          <w:szCs w:val="18"/>
        </w:rPr>
        <w:tab/>
      </w:r>
      <w:r w:rsidRPr="003008E4">
        <w:rPr>
          <w:rFonts w:asciiTheme="minorEastAsia" w:eastAsiaTheme="minorEastAsia" w:hAnsiTheme="minorEastAsia" w:hint="eastAsia"/>
        </w:rPr>
        <w:t>即印度尼西亚、马来西亚、泰国、越南、菲律宾和新加坡。</w:t>
      </w:r>
    </w:p>
  </w:footnote>
  <w:footnote w:id="122">
    <w:p w14:paraId="348E9FF6" w14:textId="60011A8E" w:rsidR="00E726C8" w:rsidRPr="003A07B5" w:rsidRDefault="00E726C8" w:rsidP="003A07B5">
      <w:pPr>
        <w:pStyle w:val="FootnoteText"/>
        <w:jc w:val="both"/>
        <w:rPr>
          <w:rFonts w:asciiTheme="minorEastAsia" w:eastAsiaTheme="minorEastAsia" w:hAnsiTheme="minorEastAsia"/>
        </w:rPr>
      </w:pPr>
      <w:r w:rsidRPr="003A07B5">
        <w:rPr>
          <w:rStyle w:val="FootnoteReference"/>
          <w:rFonts w:asciiTheme="minorEastAsia" w:eastAsiaTheme="minorEastAsia" w:hAnsiTheme="minorEastAsia"/>
        </w:rPr>
        <w:footnoteRef/>
      </w:r>
      <w:r w:rsidRPr="003A07B5">
        <w:rPr>
          <w:rFonts w:asciiTheme="minorEastAsia" w:eastAsiaTheme="minorEastAsia" w:hAnsiTheme="minorEastAsia"/>
          <w:szCs w:val="18"/>
        </w:rPr>
        <w:tab/>
      </w:r>
      <w:r w:rsidRPr="003A07B5">
        <w:rPr>
          <w:rFonts w:asciiTheme="minorEastAsia" w:eastAsiaTheme="minorEastAsia" w:hAnsiTheme="minorEastAsia" w:hint="eastAsia"/>
          <w:color w:val="000000" w:themeColor="text1"/>
          <w:szCs w:val="22"/>
        </w:rPr>
        <w:t>网站可访问：</w:t>
      </w:r>
      <w:hyperlink r:id="rId66" w:history="1">
        <w:r w:rsidRPr="003A07B5">
          <w:rPr>
            <w:rStyle w:val="Hyperlink"/>
            <w:rFonts w:asciiTheme="minorEastAsia" w:eastAsiaTheme="minorEastAsia" w:hAnsiTheme="minorEastAsia" w:hint="eastAsia"/>
          </w:rPr>
          <w:t>respectforip.org/</w:t>
        </w:r>
      </w:hyperlink>
    </w:p>
  </w:footnote>
  <w:footnote w:id="123">
    <w:p w14:paraId="5E9B5F3B" w14:textId="25649886" w:rsidR="00E726C8" w:rsidRPr="003A07B5" w:rsidRDefault="00E726C8" w:rsidP="003A07B5">
      <w:pPr>
        <w:pStyle w:val="FootnoteText"/>
        <w:jc w:val="both"/>
        <w:rPr>
          <w:rFonts w:asciiTheme="minorEastAsia" w:eastAsiaTheme="minorEastAsia" w:hAnsiTheme="minorEastAsia"/>
        </w:rPr>
      </w:pPr>
      <w:r w:rsidRPr="003A07B5">
        <w:rPr>
          <w:rStyle w:val="FootnoteReference"/>
          <w:rFonts w:asciiTheme="minorEastAsia" w:eastAsiaTheme="minorEastAsia" w:hAnsiTheme="minorEastAsia"/>
        </w:rPr>
        <w:footnoteRef/>
      </w:r>
      <w:r w:rsidRPr="003A07B5">
        <w:rPr>
          <w:rFonts w:asciiTheme="minorEastAsia" w:eastAsiaTheme="minorEastAsia" w:hAnsiTheme="minorEastAsia"/>
          <w:szCs w:val="18"/>
        </w:rPr>
        <w:tab/>
      </w:r>
      <w:r w:rsidRPr="003A07B5">
        <w:rPr>
          <w:rFonts w:asciiTheme="minorEastAsia" w:eastAsiaTheme="minorEastAsia" w:hAnsiTheme="minorEastAsia" w:hint="eastAsia"/>
        </w:rPr>
        <w:t>更多信息可参见：</w:t>
      </w:r>
      <w:hyperlink r:id="rId67" w:history="1">
        <w:r w:rsidRPr="000578C5">
          <w:rPr>
            <w:rStyle w:val="Hyperlink"/>
            <w:rFonts w:asciiTheme="minorEastAsia" w:eastAsiaTheme="minorEastAsia" w:hAnsiTheme="minorEastAsia" w:hint="eastAsia"/>
          </w:rPr>
          <w:t>www.wipo.int/tk/</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/youth_prize.html</w:t>
        </w:r>
      </w:hyperlink>
    </w:p>
  </w:footnote>
  <w:footnote w:id="124">
    <w:p w14:paraId="09A1437D" w14:textId="1F3C057A" w:rsidR="00E726C8" w:rsidRPr="003A07B5" w:rsidRDefault="00E726C8" w:rsidP="003A07B5">
      <w:pPr>
        <w:pStyle w:val="FootnoteText"/>
        <w:jc w:val="both"/>
        <w:rPr>
          <w:rFonts w:asciiTheme="minorEastAsia" w:eastAsiaTheme="minorEastAsia" w:hAnsiTheme="minorEastAsia"/>
        </w:rPr>
      </w:pPr>
      <w:r w:rsidRPr="003A07B5">
        <w:rPr>
          <w:rStyle w:val="FootnoteReference"/>
          <w:rFonts w:asciiTheme="minorEastAsia" w:eastAsiaTheme="minorEastAsia" w:hAnsiTheme="minorEastAsia"/>
        </w:rPr>
        <w:footnoteRef/>
      </w:r>
      <w:r w:rsidRPr="003A07B5">
        <w:rPr>
          <w:rFonts w:asciiTheme="minorEastAsia" w:eastAsiaTheme="minorEastAsia" w:hAnsiTheme="minorEastAsia"/>
          <w:szCs w:val="18"/>
        </w:rPr>
        <w:tab/>
      </w:r>
      <w:r w:rsidRPr="003A07B5">
        <w:rPr>
          <w:rFonts w:asciiTheme="minorEastAsia" w:eastAsiaTheme="minorEastAsia" w:hAnsiTheme="minorEastAsia" w:hint="eastAsia"/>
        </w:rPr>
        <w:t>更多信息可参见：</w:t>
      </w:r>
      <w:hyperlink r:id="rId68" w:history="1">
        <w:r w:rsidRPr="003A07B5">
          <w:rPr>
            <w:rStyle w:val="Hyperlink"/>
            <w:rFonts w:asciiTheme="minorEastAsia" w:eastAsiaTheme="minorEastAsia" w:hAnsiTheme="minorEastAsia" w:hint="eastAsia"/>
          </w:rPr>
          <w:t>mailchi.mp/wipo.int/traditional-knowledge-update-192022-strengthening-the-capacity-of-community-enterprises-from-indigenous-peoples-and-local-communities</w:t>
        </w:r>
      </w:hyperlink>
    </w:p>
  </w:footnote>
  <w:footnote w:id="125">
    <w:p w14:paraId="0AA6B8DA" w14:textId="77777777" w:rsidR="00E726C8" w:rsidRPr="003A07B5" w:rsidRDefault="00E726C8" w:rsidP="003A07B5">
      <w:pPr>
        <w:pStyle w:val="FootnoteText"/>
        <w:jc w:val="both"/>
        <w:rPr>
          <w:rFonts w:asciiTheme="minorEastAsia" w:eastAsiaTheme="minorEastAsia" w:hAnsiTheme="minorEastAsia"/>
        </w:rPr>
      </w:pPr>
      <w:r w:rsidRPr="003A07B5">
        <w:rPr>
          <w:rStyle w:val="FootnoteReference"/>
          <w:rFonts w:asciiTheme="minorEastAsia" w:eastAsiaTheme="minorEastAsia" w:hAnsiTheme="minorEastAsia"/>
        </w:rPr>
        <w:footnoteRef/>
      </w:r>
      <w:r w:rsidRPr="003A07B5">
        <w:rPr>
          <w:rFonts w:asciiTheme="minorEastAsia" w:eastAsiaTheme="minorEastAsia" w:hAnsiTheme="minorEastAsia"/>
          <w:szCs w:val="18"/>
        </w:rPr>
        <w:tab/>
      </w:r>
      <w:r w:rsidRPr="003A07B5">
        <w:rPr>
          <w:rFonts w:asciiTheme="minorEastAsia" w:eastAsiaTheme="minorEastAsia" w:hAnsiTheme="minorEastAsia" w:hint="eastAsia"/>
        </w:rPr>
        <w:t>2021年10月，产权组织大会同意延长政府间委员会2022-2023两年期的任务授权，并同意政府间委员会2022-2023两年期的工作计划。</w:t>
      </w:r>
    </w:p>
  </w:footnote>
  <w:footnote w:id="126">
    <w:p w14:paraId="390E3DA4" w14:textId="5CAAE705" w:rsidR="00E726C8" w:rsidRDefault="00E726C8" w:rsidP="003A07B5">
      <w:pPr>
        <w:pStyle w:val="FootnoteText"/>
      </w:pPr>
      <w:r w:rsidRPr="003A07B5">
        <w:rPr>
          <w:rStyle w:val="FootnoteReference"/>
          <w:rFonts w:asciiTheme="minorEastAsia" w:eastAsiaTheme="minorEastAsia" w:hAnsiTheme="minorEastAsia"/>
        </w:rPr>
        <w:footnoteRef/>
      </w:r>
      <w:r w:rsidRPr="003A07B5">
        <w:rPr>
          <w:rFonts w:asciiTheme="minorEastAsia" w:eastAsiaTheme="minorEastAsia" w:hAnsiTheme="minorEastAsia"/>
          <w:szCs w:val="18"/>
        </w:rPr>
        <w:tab/>
      </w:r>
      <w:r w:rsidRPr="003A07B5">
        <w:rPr>
          <w:rFonts w:asciiTheme="minorEastAsia" w:eastAsiaTheme="minorEastAsia" w:hAnsiTheme="minorEastAsia" w:hint="eastAsia"/>
        </w:rPr>
        <w:t>国际研讨会由产权组织中国信托基金（FIT）资助。更多信息可查阅：</w:t>
      </w:r>
      <w:hyperlink r:id="rId69"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/details.jsp?meeting_id=74409</w:t>
        </w:r>
      </w:hyperlink>
    </w:p>
  </w:footnote>
  <w:footnote w:id="127">
    <w:p w14:paraId="725F8A20" w14:textId="236D9285" w:rsidR="00E726C8" w:rsidRPr="00905F05" w:rsidRDefault="00E726C8" w:rsidP="00905F05">
      <w:pPr>
        <w:pStyle w:val="FootnoteText"/>
        <w:jc w:val="both"/>
        <w:rPr>
          <w:rFonts w:asciiTheme="minorEastAsia" w:eastAsiaTheme="minorEastAsia" w:hAnsiTheme="minorEastAsia"/>
        </w:rPr>
      </w:pPr>
      <w:r w:rsidRPr="00905F05">
        <w:rPr>
          <w:rStyle w:val="FootnoteReference"/>
          <w:rFonts w:asciiTheme="minorEastAsia" w:eastAsiaTheme="minorEastAsia" w:hAnsiTheme="minorEastAsia"/>
        </w:rPr>
        <w:footnoteRef/>
      </w:r>
      <w:r w:rsidRPr="00905F05">
        <w:rPr>
          <w:rFonts w:asciiTheme="minorEastAsia" w:eastAsiaTheme="minorEastAsia" w:hAnsiTheme="minorEastAsia"/>
          <w:szCs w:val="18"/>
        </w:rPr>
        <w:tab/>
      </w:r>
      <w:r w:rsidRPr="00905F05">
        <w:rPr>
          <w:rFonts w:asciiTheme="minorEastAsia" w:eastAsiaTheme="minorEastAsia" w:hAnsiTheme="minorEastAsia" w:hint="eastAsia"/>
        </w:rPr>
        <w:t>产权组织的“知识产权与竞争政策”网页可访问：</w:t>
      </w:r>
      <w:hyperlink r:id="rId70" w:history="1">
        <w:r w:rsidRPr="000578C5">
          <w:rPr>
            <w:rStyle w:val="Hyperlink"/>
            <w:rFonts w:asciiTheme="minorEastAsia" w:eastAsiaTheme="minorEastAsia" w:hAnsiTheme="minorEastAsia" w:hint="eastAsia"/>
          </w:rPr>
          <w:t>www.wipo.int/ip-competition/</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w:t>
        </w:r>
      </w:hyperlink>
    </w:p>
  </w:footnote>
  <w:footnote w:id="128">
    <w:p w14:paraId="5642EDC0" w14:textId="3D9ABAC7" w:rsidR="00E726C8" w:rsidRPr="00905F05" w:rsidRDefault="00E726C8" w:rsidP="00905F05">
      <w:pPr>
        <w:pStyle w:val="FootnoteText"/>
        <w:jc w:val="both"/>
        <w:rPr>
          <w:rFonts w:asciiTheme="minorEastAsia" w:eastAsiaTheme="minorEastAsia" w:hAnsiTheme="minorEastAsia"/>
        </w:rPr>
      </w:pPr>
      <w:r w:rsidRPr="00905F05">
        <w:rPr>
          <w:rStyle w:val="FootnoteReference"/>
          <w:rFonts w:asciiTheme="minorEastAsia" w:eastAsiaTheme="minorEastAsia" w:hAnsiTheme="minorEastAsia"/>
        </w:rPr>
        <w:footnoteRef/>
      </w:r>
      <w:r w:rsidRPr="00905F05">
        <w:rPr>
          <w:rFonts w:asciiTheme="minorEastAsia" w:eastAsiaTheme="minorEastAsia" w:hAnsiTheme="minorEastAsia"/>
          <w:szCs w:val="18"/>
        </w:rPr>
        <w:tab/>
      </w:r>
      <w:r w:rsidRPr="00905F05">
        <w:rPr>
          <w:rFonts w:asciiTheme="minorEastAsia" w:eastAsiaTheme="minorEastAsia" w:hAnsiTheme="minorEastAsia" w:hint="eastAsia"/>
        </w:rPr>
        <w:t>2022年11月23日，举行了关于创新和竞争可持续性的网络研讨会。</w:t>
      </w:r>
      <w:r w:rsidRPr="00905F05">
        <w:rPr>
          <w:rFonts w:asciiTheme="minorEastAsia" w:eastAsiaTheme="minorEastAsia" w:hAnsiTheme="minorEastAsia" w:hint="eastAsia"/>
        </w:rPr>
        <w:t>更多详细信息可查阅：</w:t>
      </w:r>
      <w:hyperlink r:id="rId71"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/details.jsp?meeting_id=74548</w:t>
        </w:r>
      </w:hyperlink>
    </w:p>
  </w:footnote>
  <w:footnote w:id="129">
    <w:p w14:paraId="60A7CFF7" w14:textId="77777777" w:rsidR="00E726C8" w:rsidRPr="00905F05" w:rsidRDefault="00E726C8" w:rsidP="00905F05">
      <w:pPr>
        <w:pStyle w:val="FootnoteText"/>
        <w:jc w:val="both"/>
        <w:rPr>
          <w:rFonts w:asciiTheme="minorEastAsia" w:eastAsiaTheme="minorEastAsia" w:hAnsiTheme="minorEastAsia"/>
        </w:rPr>
      </w:pPr>
      <w:r w:rsidRPr="00905F05">
        <w:rPr>
          <w:rStyle w:val="FootnoteReference"/>
          <w:rFonts w:asciiTheme="minorEastAsia" w:eastAsiaTheme="minorEastAsia" w:hAnsiTheme="minorEastAsia"/>
        </w:rPr>
        <w:footnoteRef/>
      </w:r>
      <w:r w:rsidRPr="00905F05">
        <w:rPr>
          <w:rFonts w:asciiTheme="minorEastAsia" w:eastAsiaTheme="minorEastAsia" w:hAnsiTheme="minorEastAsia"/>
          <w:szCs w:val="18"/>
        </w:rPr>
        <w:tab/>
      </w:r>
      <w:r w:rsidRPr="00905F05">
        <w:rPr>
          <w:rFonts w:asciiTheme="minorEastAsia" w:eastAsiaTheme="minorEastAsia" w:hAnsiTheme="minorEastAsia" w:hint="eastAsia"/>
        </w:rPr>
        <w:t>该项目计划于2023年完成。</w:t>
      </w:r>
    </w:p>
  </w:footnote>
  <w:footnote w:id="130">
    <w:p w14:paraId="20E2222E" w14:textId="73FC428D" w:rsidR="00E726C8" w:rsidRPr="00905F05" w:rsidRDefault="00E726C8" w:rsidP="00905F05">
      <w:pPr>
        <w:pStyle w:val="FootnoteText"/>
        <w:jc w:val="both"/>
        <w:rPr>
          <w:rFonts w:asciiTheme="minorEastAsia" w:eastAsiaTheme="minorEastAsia" w:hAnsiTheme="minorEastAsia"/>
        </w:rPr>
      </w:pPr>
      <w:r w:rsidRPr="00905F05">
        <w:rPr>
          <w:rStyle w:val="FootnoteReference"/>
          <w:rFonts w:asciiTheme="minorEastAsia" w:eastAsiaTheme="minorEastAsia" w:hAnsiTheme="minorEastAsia"/>
        </w:rPr>
        <w:footnoteRef/>
      </w:r>
      <w:r w:rsidRPr="00905F05">
        <w:rPr>
          <w:rFonts w:asciiTheme="minorEastAsia" w:eastAsiaTheme="minorEastAsia" w:hAnsiTheme="minorEastAsia"/>
          <w:szCs w:val="18"/>
        </w:rPr>
        <w:tab/>
      </w:r>
      <w:r w:rsidRPr="00905F05">
        <w:rPr>
          <w:rFonts w:asciiTheme="minorEastAsia" w:eastAsiaTheme="minorEastAsia" w:hAnsiTheme="minorEastAsia" w:hint="eastAsia"/>
        </w:rPr>
        <w:t>关于产权组织知识产权诊断的更多信息可参见：</w:t>
      </w:r>
      <w:hyperlink r:id="rId72" w:history="1">
        <w:r w:rsidRPr="000578C5">
          <w:rPr>
            <w:rStyle w:val="Hyperlink"/>
            <w:rFonts w:asciiTheme="minorEastAsia" w:eastAsiaTheme="minorEastAsia" w:hAnsiTheme="minorEastAsia" w:hint="eastAsia"/>
          </w:rPr>
          <w:t>www.wipo.int/ipdiagnostics/</w:t>
        </w:r>
        <w:r w:rsidRPr="000578C5">
          <w:rPr>
            <w:rStyle w:val="Hyperlink"/>
            <w:rFonts w:asciiTheme="minorEastAsia" w:eastAsiaTheme="minorEastAsia" w:hAnsiTheme="minorEastAsia"/>
          </w:rPr>
          <w:t>zh</w:t>
        </w:r>
      </w:hyperlink>
    </w:p>
  </w:footnote>
  <w:footnote w:id="131">
    <w:p w14:paraId="1E460452" w14:textId="77777777" w:rsidR="00E726C8" w:rsidRPr="00905F05" w:rsidRDefault="00E726C8" w:rsidP="00905F05">
      <w:pPr>
        <w:pStyle w:val="FootnoteText"/>
        <w:jc w:val="both"/>
        <w:rPr>
          <w:rFonts w:asciiTheme="minorEastAsia" w:eastAsiaTheme="minorEastAsia" w:hAnsiTheme="minorEastAsia"/>
        </w:rPr>
      </w:pPr>
      <w:r w:rsidRPr="00905F05">
        <w:rPr>
          <w:rStyle w:val="FootnoteReference"/>
          <w:rFonts w:asciiTheme="minorEastAsia" w:eastAsiaTheme="minorEastAsia" w:hAnsiTheme="minorEastAsia"/>
        </w:rPr>
        <w:footnoteRef/>
      </w:r>
      <w:r w:rsidRPr="00905F05">
        <w:rPr>
          <w:rFonts w:asciiTheme="minorEastAsia" w:eastAsiaTheme="minorEastAsia" w:hAnsiTheme="minorEastAsia"/>
          <w:szCs w:val="18"/>
        </w:rPr>
        <w:tab/>
      </w:r>
      <w:r w:rsidRPr="00905F05">
        <w:rPr>
          <w:rFonts w:asciiTheme="minorEastAsia" w:eastAsiaTheme="minorEastAsia" w:hAnsiTheme="minorEastAsia" w:hint="eastAsia"/>
        </w:rPr>
        <w:t>即《发明未来》《注重外观》《创造一个商标》《创造性表达》被译为泰语，《创造性表达》同时也被译为伊拉克语和拉脱维亚语。</w:t>
      </w:r>
    </w:p>
  </w:footnote>
  <w:footnote w:id="132">
    <w:p w14:paraId="7F208DCF" w14:textId="77777777" w:rsidR="00E726C8" w:rsidRDefault="00E726C8" w:rsidP="00905F05">
      <w:pPr>
        <w:pStyle w:val="FootnoteText"/>
        <w:jc w:val="both"/>
      </w:pPr>
      <w:r w:rsidRPr="00905F05">
        <w:rPr>
          <w:rStyle w:val="FootnoteReference"/>
          <w:rFonts w:asciiTheme="minorEastAsia" w:eastAsiaTheme="minorEastAsia" w:hAnsiTheme="minorEastAsia"/>
        </w:rPr>
        <w:footnoteRef/>
      </w:r>
      <w:r w:rsidRPr="00905F05">
        <w:rPr>
          <w:rFonts w:asciiTheme="minorEastAsia" w:eastAsiaTheme="minorEastAsia" w:hAnsiTheme="minorEastAsia"/>
          <w:szCs w:val="18"/>
        </w:rPr>
        <w:tab/>
      </w:r>
      <w:r w:rsidRPr="00905F05">
        <w:rPr>
          <w:rFonts w:asciiTheme="minorEastAsia" w:eastAsiaTheme="minorEastAsia" w:hAnsiTheme="minorEastAsia" w:hint="eastAsia"/>
        </w:rPr>
        <w:t>即智利、哥伦比亚、厄瓜多尔、摩洛哥、秘鲁、菲律宾和南非。</w:t>
      </w:r>
    </w:p>
  </w:footnote>
  <w:footnote w:id="133">
    <w:p w14:paraId="1EED3E1B" w14:textId="77777777" w:rsidR="00E726C8" w:rsidRPr="00905F05" w:rsidRDefault="00E726C8">
      <w:pPr>
        <w:pStyle w:val="FootnoteText"/>
        <w:rPr>
          <w:rFonts w:asciiTheme="minorEastAsia" w:eastAsiaTheme="minorEastAsia" w:hAnsiTheme="minorEastAsia"/>
        </w:rPr>
      </w:pPr>
      <w:r w:rsidRPr="00905F05">
        <w:rPr>
          <w:rStyle w:val="FootnoteReference"/>
          <w:rFonts w:asciiTheme="minorEastAsia" w:eastAsiaTheme="minorEastAsia" w:hAnsiTheme="minorEastAsia"/>
        </w:rPr>
        <w:footnoteRef/>
      </w:r>
      <w:r w:rsidRPr="00905F05">
        <w:rPr>
          <w:rFonts w:asciiTheme="minorEastAsia" w:eastAsiaTheme="minorEastAsia" w:hAnsiTheme="minorEastAsia"/>
          <w:szCs w:val="18"/>
        </w:rPr>
        <w:tab/>
      </w:r>
      <w:r w:rsidRPr="00905F05">
        <w:rPr>
          <w:rFonts w:asciiTheme="minorEastAsia" w:eastAsiaTheme="minorEastAsia" w:hAnsiTheme="minorEastAsia" w:hint="eastAsia"/>
        </w:rPr>
        <w:t>企业家在线网络是与产权组织区域和国家发展部门联合推出的一项举措。</w:t>
      </w:r>
    </w:p>
  </w:footnote>
  <w:footnote w:id="134">
    <w:p w14:paraId="0E7447AF" w14:textId="2F920865" w:rsidR="00E726C8" w:rsidRPr="00905F05" w:rsidRDefault="00E726C8">
      <w:pPr>
        <w:pStyle w:val="FootnoteText"/>
        <w:rPr>
          <w:rFonts w:asciiTheme="minorEastAsia" w:eastAsiaTheme="minorEastAsia" w:hAnsiTheme="minorEastAsia"/>
        </w:rPr>
      </w:pPr>
      <w:r w:rsidRPr="00905F05">
        <w:rPr>
          <w:rStyle w:val="FootnoteReference"/>
          <w:rFonts w:asciiTheme="minorEastAsia" w:eastAsiaTheme="minorEastAsia" w:hAnsiTheme="minorEastAsia"/>
        </w:rPr>
        <w:footnoteRef/>
      </w:r>
      <w:r w:rsidRPr="00905F05">
        <w:rPr>
          <w:rFonts w:asciiTheme="minorEastAsia" w:eastAsiaTheme="minorEastAsia" w:hAnsiTheme="minorEastAsia"/>
          <w:szCs w:val="18"/>
        </w:rPr>
        <w:tab/>
      </w:r>
      <w:r w:rsidRPr="00905F05">
        <w:rPr>
          <w:rFonts w:asciiTheme="minorEastAsia" w:eastAsiaTheme="minorEastAsia" w:hAnsiTheme="minorEastAsia" w:hint="eastAsia"/>
        </w:rPr>
        <w:t>更多信息可参见：</w:t>
      </w:r>
      <w:hyperlink r:id="rId73"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/topic.jsp?group_id=360</w:t>
        </w:r>
      </w:hyperlink>
    </w:p>
  </w:footnote>
  <w:footnote w:id="135">
    <w:p w14:paraId="1DEECF0E" w14:textId="77777777" w:rsidR="00E726C8" w:rsidRPr="00905F05" w:rsidRDefault="00E726C8">
      <w:pPr>
        <w:pStyle w:val="FootnoteText"/>
        <w:rPr>
          <w:rFonts w:asciiTheme="minorEastAsia" w:eastAsiaTheme="minorEastAsia" w:hAnsiTheme="minorEastAsia"/>
        </w:rPr>
      </w:pPr>
      <w:r w:rsidRPr="00905F05">
        <w:rPr>
          <w:rStyle w:val="FootnoteReference"/>
          <w:rFonts w:asciiTheme="minorEastAsia" w:eastAsiaTheme="minorEastAsia" w:hAnsiTheme="minorEastAsia"/>
        </w:rPr>
        <w:footnoteRef/>
      </w:r>
      <w:r w:rsidRPr="00905F05">
        <w:rPr>
          <w:rFonts w:asciiTheme="minorEastAsia" w:eastAsiaTheme="minorEastAsia" w:hAnsiTheme="minorEastAsia"/>
          <w:szCs w:val="18"/>
        </w:rPr>
        <w:tab/>
      </w:r>
      <w:r w:rsidRPr="00905F05">
        <w:rPr>
          <w:rFonts w:asciiTheme="minorEastAsia" w:eastAsiaTheme="minorEastAsia" w:hAnsiTheme="minorEastAsia" w:hint="eastAsia"/>
        </w:rPr>
        <w:t>该工具包预计将于2023年完成。</w:t>
      </w:r>
    </w:p>
  </w:footnote>
  <w:footnote w:id="136">
    <w:p w14:paraId="6D8A14B0" w14:textId="06C078A7" w:rsidR="00E726C8" w:rsidRPr="00905F05" w:rsidRDefault="00E726C8">
      <w:pPr>
        <w:pStyle w:val="FootnoteText"/>
        <w:rPr>
          <w:rFonts w:asciiTheme="minorEastAsia" w:eastAsiaTheme="minorEastAsia" w:hAnsiTheme="minorEastAsia"/>
        </w:rPr>
      </w:pPr>
      <w:r w:rsidRPr="00905F05">
        <w:rPr>
          <w:rStyle w:val="FootnoteReference"/>
          <w:rFonts w:asciiTheme="minorEastAsia" w:eastAsiaTheme="minorEastAsia" w:hAnsiTheme="minorEastAsia"/>
        </w:rPr>
        <w:footnoteRef/>
      </w:r>
      <w:r w:rsidRPr="00905F05">
        <w:rPr>
          <w:rFonts w:asciiTheme="minorEastAsia" w:eastAsiaTheme="minorEastAsia" w:hAnsiTheme="minorEastAsia"/>
          <w:szCs w:val="18"/>
        </w:rPr>
        <w:tab/>
      </w:r>
      <w:r w:rsidRPr="00905F05">
        <w:rPr>
          <w:rFonts w:asciiTheme="minorEastAsia" w:eastAsiaTheme="minorEastAsia" w:hAnsiTheme="minorEastAsia" w:hint="eastAsia"/>
        </w:rPr>
        <w:t>该目录可查阅：</w:t>
      </w:r>
      <w:hyperlink r:id="rId74" w:history="1">
        <w:r w:rsidRPr="00905F05">
          <w:rPr>
            <w:rStyle w:val="Hyperlink"/>
            <w:rFonts w:asciiTheme="minorEastAsia" w:eastAsiaTheme="minorEastAsia" w:hAnsiTheme="minorEastAsia" w:hint="eastAsia"/>
          </w:rPr>
          <w:t>www.wipo.int/tisc/en/search/</w:t>
        </w:r>
      </w:hyperlink>
    </w:p>
  </w:footnote>
  <w:footnote w:id="137">
    <w:p w14:paraId="6548A483" w14:textId="1058D732" w:rsidR="00E726C8" w:rsidRDefault="00E726C8">
      <w:pPr>
        <w:pStyle w:val="FootnoteText"/>
      </w:pPr>
      <w:r w:rsidRPr="00905F05">
        <w:rPr>
          <w:rStyle w:val="FootnoteReference"/>
          <w:rFonts w:asciiTheme="minorEastAsia" w:eastAsiaTheme="minorEastAsia" w:hAnsiTheme="minorEastAsia"/>
        </w:rPr>
        <w:footnoteRef/>
      </w:r>
      <w:r w:rsidRPr="00905F05">
        <w:rPr>
          <w:rFonts w:asciiTheme="minorEastAsia" w:eastAsiaTheme="minorEastAsia" w:hAnsiTheme="minorEastAsia"/>
          <w:szCs w:val="18"/>
        </w:rPr>
        <w:tab/>
      </w:r>
      <w:r w:rsidRPr="00905F05">
        <w:rPr>
          <w:rFonts w:asciiTheme="minorEastAsia" w:eastAsiaTheme="minorEastAsia" w:hAnsiTheme="minorEastAsia" w:hint="eastAsia"/>
        </w:rPr>
        <w:t>关于“创新性别差距”的更多信息，可参见：</w:t>
      </w:r>
      <w:hyperlink r:id="rId75" w:history="1">
        <w:r w:rsidRPr="000578C5">
          <w:rPr>
            <w:rStyle w:val="Hyperlink"/>
            <w:rFonts w:asciiTheme="minorEastAsia" w:eastAsiaTheme="minorEastAsia" w:hAnsiTheme="minorEastAsia" w:hint="eastAsia"/>
          </w:rPr>
          <w:t>www.wipo.int/about-ip/</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/ip_innovation_economics/gender_innovation_gap/</w:t>
        </w:r>
      </w:hyperlink>
    </w:p>
  </w:footnote>
  <w:footnote w:id="138">
    <w:p w14:paraId="2EDC2A1B" w14:textId="3B445E19" w:rsidR="00E726C8" w:rsidRPr="00855D5E" w:rsidRDefault="00E726C8" w:rsidP="00855D5E">
      <w:pPr>
        <w:pStyle w:val="FootnoteText"/>
        <w:jc w:val="both"/>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关于该论坛的更多信息，可参见：</w:t>
      </w:r>
      <w:hyperlink r:id="rId76"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/2022/judgesforum2022.html</w:t>
        </w:r>
      </w:hyperlink>
    </w:p>
  </w:footnote>
  <w:footnote w:id="139">
    <w:p w14:paraId="4F481298" w14:textId="77777777" w:rsidR="00E726C8" w:rsidRPr="00855D5E" w:rsidRDefault="00E726C8" w:rsidP="00855D5E">
      <w:pPr>
        <w:pStyle w:val="FootnoteText"/>
        <w:jc w:val="both"/>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即多米尼加共和国、埃及、摩洛哥和坦桑尼亚联合共和国。</w:t>
      </w:r>
    </w:p>
  </w:footnote>
  <w:footnote w:id="140">
    <w:p w14:paraId="1AFE2152" w14:textId="48DAC31E" w:rsidR="00E726C8" w:rsidRPr="00855D5E" w:rsidRDefault="00E726C8" w:rsidP="00855D5E">
      <w:pPr>
        <w:pStyle w:val="FootnoteText"/>
        <w:jc w:val="both"/>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WIPO Lex的网站可查阅：</w:t>
      </w:r>
      <w:hyperlink r:id="rId77" w:history="1">
        <w:r w:rsidRPr="00855D5E">
          <w:rPr>
            <w:rStyle w:val="Hyperlink"/>
            <w:rFonts w:asciiTheme="minorEastAsia" w:eastAsiaTheme="minorEastAsia" w:hAnsiTheme="minorEastAsia" w:hint="eastAsia"/>
          </w:rPr>
          <w:t>www.wipo.int/wipolex</w:t>
        </w:r>
      </w:hyperlink>
    </w:p>
  </w:footnote>
  <w:footnote w:id="141">
    <w:p w14:paraId="225100F0" w14:textId="77777777" w:rsidR="00E726C8" w:rsidRPr="00855D5E" w:rsidRDefault="00E726C8" w:rsidP="00855D5E">
      <w:pPr>
        <w:pStyle w:val="FootnoteText"/>
        <w:jc w:val="both"/>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hint="eastAsia"/>
        </w:rPr>
        <w:t xml:space="preserve"> </w:t>
      </w:r>
      <w:r w:rsidRPr="00855D5E">
        <w:rPr>
          <w:rFonts w:asciiTheme="minorEastAsia" w:eastAsiaTheme="minorEastAsia" w:hAnsiTheme="minorEastAsia"/>
          <w:szCs w:val="18"/>
        </w:rPr>
        <w:tab/>
      </w:r>
      <w:r w:rsidRPr="00855D5E">
        <w:rPr>
          <w:rStyle w:val="null"/>
          <w:rFonts w:asciiTheme="minorEastAsia" w:eastAsiaTheme="minorEastAsia" w:hAnsiTheme="minorEastAsia" w:hint="eastAsia"/>
          <w:szCs w:val="22"/>
        </w:rPr>
        <w:t>阿尔巴尼亚、埃及、联合王国和坦桑尼亚联合共和国。</w:t>
      </w:r>
    </w:p>
  </w:footnote>
  <w:footnote w:id="142">
    <w:p w14:paraId="189DA8DE" w14:textId="77777777" w:rsidR="00E726C8" w:rsidRPr="00855D5E" w:rsidRDefault="00E726C8" w:rsidP="00855D5E">
      <w:pPr>
        <w:pStyle w:val="FootnoteText"/>
        <w:jc w:val="both"/>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由非洲地区知识产权组织（ARIPO）的成员国、东南亚国家联盟（东盟）和阿拉伯地区国家的网络组成。</w:t>
      </w:r>
    </w:p>
  </w:footnote>
  <w:footnote w:id="143">
    <w:p w14:paraId="73641088" w14:textId="0B7C2E2B" w:rsidR="00E726C8" w:rsidRPr="00855D5E" w:rsidRDefault="00E726C8" w:rsidP="00855D5E">
      <w:pPr>
        <w:pStyle w:val="FootnoteText"/>
        <w:jc w:val="both"/>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WIPO INSPIRE可访问：</w:t>
      </w:r>
      <w:hyperlink r:id="rId78" w:history="1">
        <w:r w:rsidRPr="00855D5E">
          <w:rPr>
            <w:rStyle w:val="Hyperlink"/>
            <w:rFonts w:asciiTheme="minorEastAsia" w:eastAsiaTheme="minorEastAsia" w:hAnsiTheme="minorEastAsia" w:hint="eastAsia"/>
          </w:rPr>
          <w:t>inspire.wipo.int</w:t>
        </w:r>
      </w:hyperlink>
    </w:p>
  </w:footnote>
  <w:footnote w:id="144">
    <w:p w14:paraId="60DB20F9" w14:textId="3603DA0C" w:rsidR="00E726C8" w:rsidRPr="00855D5E" w:rsidRDefault="00E726C8" w:rsidP="00855D5E">
      <w:pPr>
        <w:pStyle w:val="FootnoteText"/>
        <w:jc w:val="both"/>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数据库报告门户网站可查阅：</w:t>
      </w:r>
      <w:hyperlink r:id="rId79" w:history="1">
        <w:r w:rsidRPr="00855D5E">
          <w:rPr>
            <w:rStyle w:val="Hyperlink"/>
            <w:rFonts w:asciiTheme="minorEastAsia" w:eastAsiaTheme="minorEastAsia" w:hAnsiTheme="minorEastAsia" w:hint="eastAsia"/>
          </w:rPr>
          <w:t>inspire.wipo.int/wipo-inspire</w:t>
        </w:r>
      </w:hyperlink>
    </w:p>
  </w:footnote>
  <w:footnote w:id="145">
    <w:p w14:paraId="518CDC21" w14:textId="4CD0E190" w:rsidR="00E726C8" w:rsidRPr="00855D5E" w:rsidRDefault="00E726C8" w:rsidP="00855D5E">
      <w:pPr>
        <w:pStyle w:val="FootnoteText"/>
        <w:jc w:val="both"/>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技术与创新支持中心网页可查阅：</w:t>
      </w:r>
      <w:hyperlink r:id="rId80" w:history="1">
        <w:r w:rsidRPr="000578C5">
          <w:rPr>
            <w:rStyle w:val="Hyperlink"/>
            <w:rFonts w:asciiTheme="minorEastAsia" w:eastAsiaTheme="minorEastAsia" w:hAnsiTheme="minorEastAsia" w:hint="eastAsia"/>
          </w:rPr>
          <w:t>www.wipo.int/tisc/</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w:t>
        </w:r>
      </w:hyperlink>
    </w:p>
  </w:footnote>
  <w:footnote w:id="146">
    <w:p w14:paraId="23E5B881" w14:textId="046A3E0A" w:rsidR="00E726C8" w:rsidRPr="00855D5E" w:rsidRDefault="00E726C8" w:rsidP="00855D5E">
      <w:pPr>
        <w:pStyle w:val="FootnoteText"/>
        <w:jc w:val="both"/>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产权组织eTISC平台可查阅：</w:t>
      </w:r>
      <w:hyperlink r:id="rId81" w:history="1">
        <w:r w:rsidRPr="00855D5E">
          <w:rPr>
            <w:rStyle w:val="Hyperlink"/>
            <w:rFonts w:asciiTheme="minorEastAsia" w:eastAsiaTheme="minorEastAsia" w:hAnsiTheme="minorEastAsia" w:hint="eastAsia"/>
          </w:rPr>
          <w:t>etisc.wipo.int</w:t>
        </w:r>
      </w:hyperlink>
      <w:r w:rsidRPr="00855D5E">
        <w:rPr>
          <w:rFonts w:asciiTheme="minorEastAsia" w:eastAsiaTheme="minorEastAsia" w:hAnsiTheme="minorEastAsia" w:hint="eastAsia"/>
        </w:rPr>
        <w:t xml:space="preserve"> </w:t>
      </w:r>
    </w:p>
  </w:footnote>
  <w:footnote w:id="147">
    <w:p w14:paraId="3EE3F086" w14:textId="16A7CB55" w:rsidR="00E726C8" w:rsidRPr="00855D5E" w:rsidRDefault="00E726C8" w:rsidP="00855D5E">
      <w:pPr>
        <w:pStyle w:val="FootnoteText"/>
        <w:jc w:val="both"/>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最初的试点在2022年底开始。</w:t>
      </w:r>
    </w:p>
  </w:footnote>
  <w:footnote w:id="148">
    <w:p w14:paraId="498F1F58" w14:textId="7ADAA83F" w:rsidR="00E726C8" w:rsidRDefault="00E726C8" w:rsidP="00855D5E">
      <w:pPr>
        <w:pStyle w:val="FootnoteText"/>
        <w:jc w:val="both"/>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更多信息可参见：</w:t>
      </w:r>
      <w:hyperlink r:id="rId82" w:history="1">
        <w:r w:rsidRPr="00855D5E">
          <w:rPr>
            <w:rStyle w:val="Hyperlink"/>
            <w:rFonts w:asciiTheme="minorEastAsia" w:eastAsiaTheme="minorEastAsia" w:hAnsiTheme="minorEastAsia" w:hint="eastAsia"/>
          </w:rPr>
          <w:t>tppm.wipo.int</w:t>
        </w:r>
      </w:hyperlink>
    </w:p>
  </w:footnote>
  <w:footnote w:id="149">
    <w:p w14:paraId="12B24492" w14:textId="77777777" w:rsidR="00E726C8" w:rsidRPr="007C66F9" w:rsidRDefault="00E726C8" w:rsidP="007C66F9">
      <w:pPr>
        <w:pStyle w:val="FootnoteText"/>
        <w:jc w:val="both"/>
        <w:rPr>
          <w:rFonts w:asciiTheme="minorEastAsia" w:eastAsiaTheme="minorEastAsia" w:hAnsiTheme="minorEastAsia"/>
        </w:rPr>
      </w:pPr>
      <w:r w:rsidRPr="007C66F9">
        <w:rPr>
          <w:rStyle w:val="FootnoteReference"/>
          <w:rFonts w:asciiTheme="minorEastAsia" w:eastAsiaTheme="minorEastAsia" w:hAnsiTheme="minorEastAsia"/>
        </w:rPr>
        <w:footnoteRef/>
      </w:r>
      <w:r w:rsidRPr="007C66F9">
        <w:rPr>
          <w:rFonts w:asciiTheme="minorEastAsia" w:eastAsiaTheme="minorEastAsia" w:hAnsiTheme="minorEastAsia"/>
          <w:szCs w:val="18"/>
        </w:rPr>
        <w:tab/>
      </w:r>
      <w:r w:rsidRPr="007C66F9">
        <w:rPr>
          <w:rFonts w:asciiTheme="minorEastAsia" w:eastAsiaTheme="minorEastAsia" w:hAnsiTheme="minorEastAsia" w:hint="eastAsia"/>
        </w:rPr>
        <w:t>对大流行期间相关专利活动的初步了解。</w:t>
      </w:r>
    </w:p>
  </w:footnote>
  <w:footnote w:id="150">
    <w:p w14:paraId="5BFD4118" w14:textId="77777777" w:rsidR="00E726C8" w:rsidRPr="007C66F9" w:rsidRDefault="00E726C8" w:rsidP="007C66F9">
      <w:pPr>
        <w:pStyle w:val="FootnoteText"/>
        <w:jc w:val="both"/>
        <w:rPr>
          <w:rFonts w:asciiTheme="minorEastAsia" w:eastAsiaTheme="minorEastAsia" w:hAnsiTheme="minorEastAsia"/>
        </w:rPr>
      </w:pPr>
      <w:r w:rsidRPr="007C66F9">
        <w:rPr>
          <w:rStyle w:val="FootnoteReference"/>
          <w:rFonts w:asciiTheme="minorEastAsia" w:eastAsiaTheme="minorEastAsia" w:hAnsiTheme="minorEastAsia"/>
        </w:rPr>
        <w:footnoteRef/>
      </w:r>
      <w:r w:rsidRPr="007C66F9">
        <w:rPr>
          <w:rFonts w:asciiTheme="minorEastAsia" w:eastAsiaTheme="minorEastAsia" w:hAnsiTheme="minorEastAsia"/>
          <w:szCs w:val="18"/>
        </w:rPr>
        <w:tab/>
      </w:r>
      <w:r w:rsidRPr="007C66F9">
        <w:rPr>
          <w:rFonts w:asciiTheme="minorEastAsia" w:eastAsiaTheme="minorEastAsia" w:hAnsiTheme="minorEastAsia" w:hint="eastAsia"/>
        </w:rPr>
        <w:t>它让学习者有机会跟踪其学习进度，并证明他们完成了该电子教程。</w:t>
      </w:r>
    </w:p>
  </w:footnote>
  <w:footnote w:id="151">
    <w:p w14:paraId="1DB72E6E" w14:textId="317575F1" w:rsidR="00E726C8" w:rsidRPr="007C66F9" w:rsidRDefault="00E726C8" w:rsidP="007C66F9">
      <w:pPr>
        <w:pStyle w:val="FootnoteText"/>
        <w:jc w:val="both"/>
        <w:rPr>
          <w:rFonts w:asciiTheme="minorEastAsia" w:eastAsiaTheme="minorEastAsia" w:hAnsiTheme="minorEastAsia"/>
        </w:rPr>
      </w:pPr>
      <w:r w:rsidRPr="007C66F9">
        <w:rPr>
          <w:rStyle w:val="FootnoteReference"/>
          <w:rFonts w:asciiTheme="minorEastAsia" w:eastAsiaTheme="minorEastAsia" w:hAnsiTheme="minorEastAsia"/>
        </w:rPr>
        <w:footnoteRef/>
      </w:r>
      <w:r w:rsidRPr="007C66F9">
        <w:rPr>
          <w:rFonts w:asciiTheme="minorEastAsia" w:eastAsiaTheme="minorEastAsia" w:hAnsiTheme="minorEastAsia"/>
          <w:szCs w:val="18"/>
        </w:rPr>
        <w:tab/>
      </w:r>
      <w:r w:rsidRPr="007C66F9">
        <w:rPr>
          <w:rFonts w:asciiTheme="minorEastAsia" w:eastAsiaTheme="minorEastAsia" w:hAnsiTheme="minorEastAsia" w:hint="eastAsia"/>
        </w:rPr>
        <w:t>门户网站可查阅：</w:t>
      </w:r>
      <w:hyperlink r:id="rId83" w:history="1">
        <w:r w:rsidRPr="007C66F9">
          <w:rPr>
            <w:rStyle w:val="Hyperlink"/>
            <w:rFonts w:asciiTheme="minorEastAsia" w:eastAsiaTheme="minorEastAsia" w:hAnsiTheme="minorEastAsia" w:hint="eastAsia"/>
          </w:rPr>
          <w:t>inspire.wipo.int/patent-register-portal</w:t>
        </w:r>
      </w:hyperlink>
    </w:p>
  </w:footnote>
  <w:footnote w:id="152">
    <w:p w14:paraId="177CFD57" w14:textId="023A7E8A" w:rsidR="00E726C8" w:rsidRPr="007C66F9" w:rsidRDefault="00E726C8" w:rsidP="007C66F9">
      <w:pPr>
        <w:pStyle w:val="FootnoteText"/>
        <w:jc w:val="both"/>
        <w:rPr>
          <w:rFonts w:asciiTheme="minorEastAsia" w:eastAsiaTheme="minorEastAsia" w:hAnsiTheme="minorEastAsia"/>
        </w:rPr>
      </w:pPr>
      <w:r w:rsidRPr="007C66F9">
        <w:rPr>
          <w:rStyle w:val="FootnoteReference"/>
          <w:rFonts w:asciiTheme="minorEastAsia" w:eastAsiaTheme="minorEastAsia" w:hAnsiTheme="minorEastAsia"/>
        </w:rPr>
        <w:footnoteRef/>
      </w:r>
      <w:r w:rsidRPr="007C66F9">
        <w:rPr>
          <w:rFonts w:asciiTheme="minorEastAsia" w:eastAsiaTheme="minorEastAsia" w:hAnsiTheme="minorEastAsia"/>
          <w:szCs w:val="18"/>
        </w:rPr>
        <w:tab/>
      </w:r>
      <w:r w:rsidRPr="007C66F9">
        <w:rPr>
          <w:rFonts w:asciiTheme="minorEastAsia" w:eastAsiaTheme="minorEastAsia" w:hAnsiTheme="minorEastAsia" w:hint="eastAsia"/>
        </w:rPr>
        <w:t>指南可参见：</w:t>
      </w:r>
      <w:hyperlink r:id="rId84" w:history="1">
        <w:r w:rsidRPr="000578C5">
          <w:rPr>
            <w:rStyle w:val="Hyperlink"/>
            <w:rFonts w:asciiTheme="minorEastAsia" w:eastAsiaTheme="minorEastAsia" w:hAnsiTheme="minorEastAsia" w:hint="eastAsia"/>
          </w:rPr>
          <w:t>www.wipo.int/publications/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/details.jsp?id=4501</w:t>
        </w:r>
      </w:hyperlink>
    </w:p>
  </w:footnote>
  <w:footnote w:id="153">
    <w:p w14:paraId="310FC21B" w14:textId="19151B66" w:rsidR="00E726C8" w:rsidRPr="007C66F9" w:rsidRDefault="00E726C8" w:rsidP="007C66F9">
      <w:pPr>
        <w:pStyle w:val="FootnoteText"/>
        <w:jc w:val="both"/>
        <w:rPr>
          <w:rFonts w:asciiTheme="minorEastAsia" w:eastAsiaTheme="minorEastAsia" w:hAnsiTheme="minorEastAsia"/>
        </w:rPr>
      </w:pPr>
      <w:r w:rsidRPr="007C66F9">
        <w:rPr>
          <w:rStyle w:val="FootnoteReference"/>
          <w:rFonts w:asciiTheme="minorEastAsia" w:eastAsiaTheme="minorEastAsia" w:hAnsiTheme="minorEastAsia"/>
        </w:rPr>
        <w:footnoteRef/>
      </w:r>
      <w:r w:rsidRPr="007C66F9">
        <w:rPr>
          <w:rFonts w:asciiTheme="minorEastAsia" w:eastAsiaTheme="minorEastAsia" w:hAnsiTheme="minorEastAsia"/>
          <w:szCs w:val="18"/>
        </w:rPr>
        <w:tab/>
      </w:r>
      <w:r w:rsidRPr="007C66F9">
        <w:rPr>
          <w:rFonts w:asciiTheme="minorEastAsia" w:eastAsiaTheme="minorEastAsia" w:hAnsiTheme="minorEastAsia" w:hint="eastAsia"/>
        </w:rPr>
        <w:t>指南可参见：</w:t>
      </w:r>
      <w:hyperlink r:id="rId85" w:history="1">
        <w:r w:rsidRPr="000578C5">
          <w:rPr>
            <w:rStyle w:val="Hyperlink"/>
            <w:rFonts w:asciiTheme="minorEastAsia" w:eastAsiaTheme="minorEastAsia" w:hAnsiTheme="minorEastAsia" w:hint="eastAsia"/>
          </w:rPr>
          <w:t>www.wipo.int/publications/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/details.jsp?id=4502</w:t>
        </w:r>
      </w:hyperlink>
    </w:p>
  </w:footnote>
  <w:footnote w:id="154">
    <w:p w14:paraId="449654EF" w14:textId="59C8D26D" w:rsidR="00E726C8" w:rsidRPr="007C66F9" w:rsidRDefault="00E726C8" w:rsidP="007C66F9">
      <w:pPr>
        <w:pStyle w:val="FootnoteText"/>
        <w:jc w:val="both"/>
        <w:rPr>
          <w:rFonts w:asciiTheme="minorEastAsia" w:eastAsiaTheme="minorEastAsia" w:hAnsiTheme="minorEastAsia"/>
        </w:rPr>
      </w:pPr>
      <w:r w:rsidRPr="007C66F9">
        <w:rPr>
          <w:rStyle w:val="FootnoteReference"/>
          <w:rFonts w:asciiTheme="minorEastAsia" w:eastAsiaTheme="minorEastAsia" w:hAnsiTheme="minorEastAsia"/>
        </w:rPr>
        <w:footnoteRef/>
      </w:r>
      <w:r w:rsidRPr="007C66F9">
        <w:rPr>
          <w:rFonts w:asciiTheme="minorEastAsia" w:eastAsiaTheme="minorEastAsia" w:hAnsiTheme="minorEastAsia"/>
          <w:szCs w:val="18"/>
        </w:rPr>
        <w:tab/>
      </w:r>
      <w:r w:rsidRPr="007C66F9">
        <w:rPr>
          <w:rFonts w:asciiTheme="minorEastAsia" w:eastAsiaTheme="minorEastAsia" w:hAnsiTheme="minorEastAsia" w:hint="eastAsia"/>
        </w:rPr>
        <w:t>出版物可查阅：</w:t>
      </w:r>
      <w:hyperlink r:id="rId86" w:history="1">
        <w:r w:rsidRPr="000578C5">
          <w:rPr>
            <w:rStyle w:val="Hyperlink"/>
            <w:rFonts w:asciiTheme="minorEastAsia" w:eastAsiaTheme="minorEastAsia" w:hAnsiTheme="minorEastAsia" w:hint="eastAsia"/>
          </w:rPr>
          <w:t>www.wipo.int/publications/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/details.jsp?id=4586</w:t>
        </w:r>
      </w:hyperlink>
    </w:p>
  </w:footnote>
  <w:footnote w:id="155">
    <w:p w14:paraId="56452778" w14:textId="77777777" w:rsidR="00E726C8" w:rsidRDefault="00E726C8" w:rsidP="007C66F9">
      <w:pPr>
        <w:pStyle w:val="FootnoteText"/>
        <w:jc w:val="both"/>
      </w:pPr>
      <w:r w:rsidRPr="007C66F9">
        <w:rPr>
          <w:rStyle w:val="FootnoteReference"/>
          <w:rFonts w:asciiTheme="minorEastAsia" w:eastAsiaTheme="minorEastAsia" w:hAnsiTheme="minorEastAsia"/>
        </w:rPr>
        <w:footnoteRef/>
      </w:r>
      <w:r w:rsidRPr="007C66F9">
        <w:rPr>
          <w:rFonts w:asciiTheme="minorEastAsia" w:eastAsiaTheme="minorEastAsia" w:hAnsiTheme="minorEastAsia"/>
          <w:szCs w:val="18"/>
        </w:rPr>
        <w:tab/>
      </w:r>
      <w:r w:rsidRPr="007C66F9">
        <w:rPr>
          <w:rFonts w:asciiTheme="minorEastAsia" w:eastAsiaTheme="minorEastAsia" w:hAnsiTheme="minorEastAsia" w:hint="eastAsia"/>
        </w:rPr>
        <w:t>与区域和国家发展部门合作。</w:t>
      </w:r>
    </w:p>
  </w:footnote>
  <w:footnote w:id="156">
    <w:p w14:paraId="36080DD9" w14:textId="083D7D30" w:rsidR="00E726C8" w:rsidRPr="00855D5E" w:rsidRDefault="00E726C8" w:rsidP="00855D5E">
      <w:pPr>
        <w:pStyle w:val="FootnoteText"/>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该方法可查阅：</w:t>
      </w:r>
      <w:hyperlink r:id="rId87" w:history="1">
        <w:r w:rsidRPr="000578C5">
          <w:rPr>
            <w:rStyle w:val="Hyperlink"/>
            <w:rFonts w:asciiTheme="minorEastAsia" w:eastAsiaTheme="minorEastAsia" w:hAnsiTheme="minorEastAsia" w:hint="eastAsia"/>
          </w:rPr>
          <w:t>www.wipo.int/publications/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/details.jsp?id=4522</w:t>
        </w:r>
      </w:hyperlink>
    </w:p>
  </w:footnote>
  <w:footnote w:id="157">
    <w:p w14:paraId="6E07FCD8" w14:textId="39F848E5" w:rsidR="00E726C8" w:rsidRPr="00855D5E" w:rsidRDefault="00E726C8" w:rsidP="00855D5E">
      <w:pPr>
        <w:pStyle w:val="FootnoteText"/>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出版物可查阅：</w:t>
      </w:r>
      <w:hyperlink r:id="rId88" w:history="1">
        <w:r w:rsidRPr="00855D5E">
          <w:rPr>
            <w:rStyle w:val="Hyperlink"/>
            <w:rFonts w:asciiTheme="minorEastAsia" w:eastAsiaTheme="minorEastAsia" w:hAnsiTheme="minorEastAsia" w:hint="eastAsia"/>
          </w:rPr>
          <w:t>www.cambridge.org/core/books/informal-economy-in-developing-nations/C7494C6FD7EE4DC86BBADB4A7B87BCE3</w:t>
        </w:r>
      </w:hyperlink>
    </w:p>
  </w:footnote>
  <w:footnote w:id="158">
    <w:p w14:paraId="437BE174" w14:textId="77777777" w:rsidR="00E726C8" w:rsidRPr="00855D5E" w:rsidRDefault="00E726C8" w:rsidP="00855D5E">
      <w:pPr>
        <w:pStyle w:val="FootnoteText"/>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该项目由WIPO学院从2016至2018年在四个试点国家实施。在该项目于2018年12月完成之后，被纳入由产权组织司法研究所协调的继续司法教育（CJE）计划的主流。</w:t>
      </w:r>
    </w:p>
  </w:footnote>
  <w:footnote w:id="159">
    <w:p w14:paraId="02850A11" w14:textId="1AA3BD2E" w:rsidR="00E726C8" w:rsidRPr="00855D5E" w:rsidRDefault="00E726C8" w:rsidP="00855D5E">
      <w:pPr>
        <w:pStyle w:val="FootnoteText"/>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更多信息可参见：</w:t>
      </w:r>
      <w:hyperlink r:id="rId89" w:history="1">
        <w:r w:rsidRPr="00855D5E">
          <w:rPr>
            <w:rStyle w:val="Hyperlink"/>
            <w:rFonts w:asciiTheme="minorEastAsia" w:eastAsiaTheme="minorEastAsia" w:hAnsiTheme="minorEastAsia" w:hint="eastAsia"/>
          </w:rPr>
          <w:t>welc.wipo.int/jtip/?lang=</w:t>
        </w:r>
        <w:r>
          <w:rPr>
            <w:rStyle w:val="Hyperlink"/>
            <w:rFonts w:asciiTheme="minorEastAsia" w:eastAsiaTheme="minorEastAsia" w:hAnsiTheme="minorEastAsia"/>
          </w:rPr>
          <w:t>zh</w:t>
        </w:r>
      </w:hyperlink>
      <w:r>
        <w:rPr>
          <w:rStyle w:val="Hyperlink"/>
          <w:rFonts w:asciiTheme="minorEastAsia" w:eastAsiaTheme="minorEastAsia" w:hAnsiTheme="minorEastAsia" w:hint="eastAsia"/>
        </w:rPr>
        <w:t>_</w:t>
      </w:r>
      <w:r>
        <w:rPr>
          <w:rStyle w:val="Hyperlink"/>
          <w:rFonts w:asciiTheme="minorEastAsia" w:eastAsiaTheme="minorEastAsia" w:hAnsiTheme="minorEastAsia"/>
        </w:rPr>
        <w:t>CN</w:t>
      </w:r>
    </w:p>
  </w:footnote>
  <w:footnote w:id="160">
    <w:p w14:paraId="44DFE95F" w14:textId="77777777" w:rsidR="00E726C8" w:rsidRPr="00855D5E" w:rsidRDefault="00E726C8" w:rsidP="00855D5E">
      <w:pPr>
        <w:pStyle w:val="FootnoteText"/>
        <w:rPr>
          <w:rFonts w:asciiTheme="minorEastAsia" w:eastAsiaTheme="minorEastAsia" w:hAnsiTheme="minorEastAsia"/>
        </w:rPr>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即埃及、多米尼加共和国、格鲁吉亚和巴西。</w:t>
      </w:r>
    </w:p>
  </w:footnote>
  <w:footnote w:id="161">
    <w:p w14:paraId="5D08A805" w14:textId="05114459" w:rsidR="00E726C8" w:rsidRDefault="00E726C8" w:rsidP="00855D5E">
      <w:pPr>
        <w:pStyle w:val="FootnoteText"/>
      </w:pPr>
      <w:r w:rsidRPr="00855D5E">
        <w:rPr>
          <w:rStyle w:val="FootnoteReference"/>
          <w:rFonts w:asciiTheme="minorEastAsia" w:eastAsiaTheme="minorEastAsia" w:hAnsiTheme="minorEastAsia"/>
        </w:rPr>
        <w:footnoteRef/>
      </w:r>
      <w:r w:rsidRPr="00855D5E">
        <w:rPr>
          <w:rFonts w:asciiTheme="minorEastAsia" w:eastAsiaTheme="minorEastAsia" w:hAnsiTheme="minorEastAsia"/>
          <w:szCs w:val="18"/>
        </w:rPr>
        <w:tab/>
      </w:r>
      <w:r w:rsidRPr="00855D5E">
        <w:rPr>
          <w:rFonts w:asciiTheme="minorEastAsia" w:eastAsiaTheme="minorEastAsia" w:hAnsiTheme="minorEastAsia" w:hint="eastAsia"/>
        </w:rPr>
        <w:t>该项目的网站可访问：</w:t>
      </w:r>
      <w:hyperlink r:id="rId90" w:history="1">
        <w:r w:rsidRPr="000578C5">
          <w:rPr>
            <w:rStyle w:val="Hyperlink"/>
            <w:rFonts w:asciiTheme="minorEastAsia" w:eastAsiaTheme="minorEastAsia" w:hAnsiTheme="minorEastAsia" w:hint="eastAsia"/>
          </w:rPr>
          <w:t>www.wipo.int/women-inventors/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/index.html</w:t>
        </w:r>
      </w:hyperlink>
    </w:p>
  </w:footnote>
  <w:footnote w:id="162">
    <w:p w14:paraId="3022B5BD" w14:textId="548E1785" w:rsidR="00E726C8" w:rsidRPr="00182762" w:rsidRDefault="00E726C8" w:rsidP="00182762">
      <w:pPr>
        <w:pStyle w:val="FootnoteText"/>
        <w:jc w:val="both"/>
        <w:rPr>
          <w:rFonts w:asciiTheme="minorEastAsia" w:eastAsiaTheme="minorEastAsia" w:hAnsiTheme="minorEastAsia"/>
        </w:rPr>
      </w:pPr>
      <w:r w:rsidRPr="00182762">
        <w:rPr>
          <w:rStyle w:val="FootnoteReference"/>
          <w:rFonts w:asciiTheme="minorEastAsia" w:eastAsiaTheme="minorEastAsia" w:hAnsiTheme="minorEastAsia"/>
        </w:rPr>
        <w:footnoteRef/>
      </w:r>
      <w:r w:rsidRPr="00182762">
        <w:rPr>
          <w:rFonts w:asciiTheme="minorEastAsia" w:eastAsiaTheme="minorEastAsia" w:hAnsiTheme="minorEastAsia"/>
          <w:szCs w:val="18"/>
        </w:rPr>
        <w:tab/>
      </w:r>
      <w:r w:rsidRPr="00182762">
        <w:rPr>
          <w:rFonts w:asciiTheme="minorEastAsia" w:eastAsiaTheme="minorEastAsia" w:hAnsiTheme="minorEastAsia" w:hint="eastAsia"/>
        </w:rPr>
        <w:t>2022/23两年期的计划和预算将《2030年可持续发展议程》中确定的优先事项与产权组织8个部门中的6个部门所开展的工作对接起来，并将它们与相关的可持续发展目标和发展议程建议联系起来。</w:t>
      </w:r>
    </w:p>
  </w:footnote>
  <w:footnote w:id="163">
    <w:p w14:paraId="3EA2D90B" w14:textId="77777777" w:rsidR="00E726C8" w:rsidRPr="00182762" w:rsidRDefault="00E726C8" w:rsidP="00182762">
      <w:pPr>
        <w:pStyle w:val="FootnoteText"/>
        <w:jc w:val="both"/>
        <w:rPr>
          <w:rFonts w:asciiTheme="minorEastAsia" w:eastAsiaTheme="minorEastAsia" w:hAnsiTheme="minorEastAsia"/>
        </w:rPr>
      </w:pPr>
      <w:r w:rsidRPr="00182762">
        <w:rPr>
          <w:rStyle w:val="FootnoteReference"/>
          <w:rFonts w:asciiTheme="minorEastAsia" w:eastAsiaTheme="minorEastAsia" w:hAnsiTheme="minorEastAsia"/>
        </w:rPr>
        <w:footnoteRef/>
      </w:r>
      <w:r w:rsidRPr="00182762">
        <w:rPr>
          <w:rFonts w:asciiTheme="minorEastAsia" w:eastAsiaTheme="minorEastAsia" w:hAnsiTheme="minorEastAsia"/>
          <w:szCs w:val="18"/>
        </w:rPr>
        <w:tab/>
      </w:r>
      <w:r w:rsidRPr="00182762">
        <w:rPr>
          <w:rFonts w:asciiTheme="minorEastAsia" w:eastAsiaTheme="minorEastAsia" w:hAnsiTheme="minorEastAsia" w:hint="eastAsia"/>
        </w:rPr>
        <w:t>2002/23两年期的发展支出占到产权组织总预算的18.9%，比上一个两年期增加了0.7%。</w:t>
      </w:r>
    </w:p>
  </w:footnote>
  <w:footnote w:id="164">
    <w:p w14:paraId="086D5C7B" w14:textId="0277C4EE" w:rsidR="00E726C8" w:rsidRPr="00182762" w:rsidRDefault="00E726C8" w:rsidP="00182762">
      <w:pPr>
        <w:pStyle w:val="FootnoteText"/>
        <w:jc w:val="both"/>
        <w:rPr>
          <w:rFonts w:asciiTheme="minorEastAsia" w:eastAsiaTheme="minorEastAsia" w:hAnsiTheme="minorEastAsia"/>
        </w:rPr>
      </w:pPr>
      <w:r w:rsidRPr="00182762">
        <w:rPr>
          <w:rStyle w:val="FootnoteReference"/>
          <w:rFonts w:asciiTheme="minorEastAsia" w:eastAsiaTheme="minorEastAsia" w:hAnsiTheme="minorEastAsia"/>
        </w:rPr>
        <w:footnoteRef/>
      </w:r>
      <w:r w:rsidRPr="00182762">
        <w:rPr>
          <w:rFonts w:asciiTheme="minorEastAsia" w:eastAsiaTheme="minorEastAsia" w:hAnsiTheme="minorEastAsia"/>
          <w:szCs w:val="18"/>
        </w:rPr>
        <w:tab/>
      </w:r>
      <w:r w:rsidRPr="00182762">
        <w:rPr>
          <w:rFonts w:asciiTheme="minorEastAsia" w:eastAsiaTheme="minorEastAsia" w:hAnsiTheme="minorEastAsia" w:hint="eastAsia"/>
        </w:rPr>
        <w:t>关于产权组织的COVID-19相关服务和支助的更多信息可查阅：</w:t>
      </w:r>
      <w:hyperlink r:id="rId91" w:history="1">
        <w:r w:rsidRPr="000578C5">
          <w:rPr>
            <w:rStyle w:val="Hyperlink"/>
            <w:rFonts w:asciiTheme="minorEastAsia" w:eastAsiaTheme="minorEastAsia" w:hAnsiTheme="minorEastAsia" w:hint="eastAsia"/>
          </w:rPr>
          <w:t>www.wipo.int/covid-19/</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w:t>
        </w:r>
      </w:hyperlink>
    </w:p>
  </w:footnote>
  <w:footnote w:id="165">
    <w:p w14:paraId="66819A39" w14:textId="47CA9396" w:rsidR="00E726C8" w:rsidRPr="00182762" w:rsidRDefault="00E726C8" w:rsidP="00182762">
      <w:pPr>
        <w:pStyle w:val="FootnoteText"/>
        <w:jc w:val="both"/>
        <w:rPr>
          <w:rFonts w:asciiTheme="minorEastAsia" w:eastAsiaTheme="minorEastAsia" w:hAnsiTheme="minorEastAsia"/>
        </w:rPr>
      </w:pPr>
      <w:r w:rsidRPr="00182762">
        <w:rPr>
          <w:rStyle w:val="FootnoteReference"/>
          <w:rFonts w:asciiTheme="minorEastAsia" w:eastAsiaTheme="minorEastAsia" w:hAnsiTheme="minorEastAsia"/>
        </w:rPr>
        <w:footnoteRef/>
      </w:r>
      <w:r w:rsidRPr="00182762">
        <w:rPr>
          <w:rFonts w:asciiTheme="minorEastAsia" w:eastAsiaTheme="minorEastAsia" w:hAnsiTheme="minorEastAsia"/>
          <w:szCs w:val="18"/>
        </w:rPr>
        <w:tab/>
      </w:r>
      <w:r w:rsidRPr="00182762">
        <w:rPr>
          <w:rFonts w:asciiTheme="minorEastAsia" w:eastAsiaTheme="minorEastAsia" w:hAnsiTheme="minorEastAsia" w:hint="eastAsia"/>
        </w:rPr>
        <w:t>见文件CDIP/26/6，可查阅：</w:t>
      </w:r>
      <w:hyperlink r:id="rId92"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/doc_details.jsp?doc_id=537901</w:t>
        </w:r>
      </w:hyperlink>
    </w:p>
  </w:footnote>
  <w:footnote w:id="166">
    <w:p w14:paraId="150657BF" w14:textId="418CB304" w:rsidR="00E726C8" w:rsidRDefault="00E726C8" w:rsidP="00182762">
      <w:pPr>
        <w:pStyle w:val="FootnoteText"/>
        <w:jc w:val="both"/>
      </w:pPr>
      <w:r w:rsidRPr="00182762">
        <w:rPr>
          <w:rStyle w:val="FootnoteReference"/>
          <w:rFonts w:asciiTheme="minorEastAsia" w:eastAsiaTheme="minorEastAsia" w:hAnsiTheme="minorEastAsia"/>
        </w:rPr>
        <w:footnoteRef/>
      </w:r>
      <w:r w:rsidRPr="00182762">
        <w:rPr>
          <w:rFonts w:asciiTheme="minorEastAsia" w:eastAsiaTheme="minorEastAsia" w:hAnsiTheme="minorEastAsia"/>
          <w:szCs w:val="18"/>
        </w:rPr>
        <w:tab/>
      </w:r>
      <w:r w:rsidRPr="00182762">
        <w:rPr>
          <w:rFonts w:asciiTheme="minorEastAsia" w:eastAsiaTheme="minorEastAsia" w:hAnsiTheme="minorEastAsia" w:hint="eastAsia"/>
        </w:rPr>
        <w:t>见文件CDIP/29/9，可查阅：</w:t>
      </w:r>
      <w:hyperlink r:id="rId93"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/doc_details.jsp?doc_id=582427</w:t>
        </w:r>
      </w:hyperlink>
    </w:p>
  </w:footnote>
  <w:footnote w:id="167">
    <w:p w14:paraId="2F610877" w14:textId="77777777" w:rsidR="00E726C8" w:rsidRPr="00A91DBD" w:rsidRDefault="00E726C8" w:rsidP="00A91DBD">
      <w:pPr>
        <w:pStyle w:val="FootnoteText"/>
        <w:jc w:val="both"/>
        <w:rPr>
          <w:rFonts w:asciiTheme="minorEastAsia" w:eastAsiaTheme="minorEastAsia" w:hAnsiTheme="minorEastAsia"/>
        </w:rPr>
      </w:pPr>
      <w:r w:rsidRPr="00A91DBD">
        <w:rPr>
          <w:rStyle w:val="FootnoteReference"/>
          <w:rFonts w:asciiTheme="minorEastAsia" w:eastAsiaTheme="minorEastAsia" w:hAnsiTheme="minorEastAsia"/>
        </w:rPr>
        <w:footnoteRef/>
      </w:r>
      <w:r w:rsidRPr="00A91DBD">
        <w:rPr>
          <w:rFonts w:asciiTheme="minorEastAsia" w:eastAsiaTheme="minorEastAsia" w:hAnsiTheme="minorEastAsia"/>
          <w:szCs w:val="18"/>
        </w:rPr>
        <w:tab/>
      </w:r>
      <w:r w:rsidRPr="00A91DBD">
        <w:rPr>
          <w:rFonts w:asciiTheme="minorEastAsia" w:eastAsiaTheme="minorEastAsia" w:hAnsiTheme="minorEastAsia" w:hint="eastAsia"/>
        </w:rPr>
        <w:t>如礼物、外部活动、供应商关系中的道德操守问题，以及与国际公务员的独立性和公正性有关的挑战。</w:t>
      </w:r>
    </w:p>
  </w:footnote>
  <w:footnote w:id="168">
    <w:p w14:paraId="388E7B0C" w14:textId="77777777" w:rsidR="00E726C8" w:rsidRPr="00A91DBD" w:rsidRDefault="00E726C8" w:rsidP="00A91DBD">
      <w:pPr>
        <w:pStyle w:val="FootnoteText"/>
        <w:jc w:val="both"/>
        <w:rPr>
          <w:rFonts w:asciiTheme="minorEastAsia" w:eastAsiaTheme="minorEastAsia" w:hAnsiTheme="minorEastAsia"/>
        </w:rPr>
      </w:pPr>
      <w:r w:rsidRPr="00A91DBD">
        <w:rPr>
          <w:rStyle w:val="FootnoteReference"/>
          <w:rFonts w:asciiTheme="minorEastAsia" w:eastAsiaTheme="minorEastAsia" w:hAnsiTheme="minorEastAsia"/>
        </w:rPr>
        <w:footnoteRef/>
      </w:r>
      <w:r w:rsidRPr="00A91DBD">
        <w:rPr>
          <w:rFonts w:asciiTheme="minorEastAsia" w:eastAsiaTheme="minorEastAsia" w:hAnsiTheme="minorEastAsia"/>
          <w:szCs w:val="18"/>
        </w:rPr>
        <w:tab/>
      </w:r>
      <w:r w:rsidRPr="00A91DBD">
        <w:rPr>
          <w:rFonts w:asciiTheme="minorEastAsia" w:eastAsiaTheme="minorEastAsia" w:hAnsiTheme="minorEastAsia" w:hint="eastAsia"/>
        </w:rPr>
        <w:t>两者预计将在2023年完成和实施。</w:t>
      </w:r>
    </w:p>
  </w:footnote>
  <w:footnote w:id="169">
    <w:p w14:paraId="4D134F94" w14:textId="1DE32E98" w:rsidR="00E726C8" w:rsidRPr="00A91DBD" w:rsidRDefault="00E726C8" w:rsidP="00A91DBD">
      <w:pPr>
        <w:pStyle w:val="FootnoteText"/>
        <w:jc w:val="both"/>
        <w:rPr>
          <w:rFonts w:asciiTheme="minorEastAsia" w:eastAsiaTheme="minorEastAsia" w:hAnsiTheme="minorEastAsia"/>
        </w:rPr>
      </w:pPr>
      <w:r w:rsidRPr="00A91DBD">
        <w:rPr>
          <w:rStyle w:val="FootnoteReference"/>
          <w:rFonts w:asciiTheme="minorEastAsia" w:eastAsiaTheme="minorEastAsia" w:hAnsiTheme="minorEastAsia"/>
        </w:rPr>
        <w:footnoteRef/>
      </w:r>
      <w:r w:rsidRPr="00A91DBD">
        <w:rPr>
          <w:rFonts w:asciiTheme="minorEastAsia" w:eastAsiaTheme="minorEastAsia" w:hAnsiTheme="minorEastAsia"/>
          <w:szCs w:val="18"/>
        </w:rPr>
        <w:tab/>
      </w:r>
      <w:r w:rsidRPr="00A91DBD">
        <w:rPr>
          <w:rFonts w:asciiTheme="minorEastAsia" w:eastAsiaTheme="minorEastAsia" w:hAnsiTheme="minorEastAsia" w:hint="eastAsia"/>
        </w:rPr>
        <w:t>多边组织道德操守网络作为联合国系统各实体、附属国际组织和国际金融机构的道德操守职能部门的一个广泛论坛，旨在促进整个系统内就道德操守相关问题开展合作。</w:t>
      </w:r>
    </w:p>
  </w:footnote>
  <w:footnote w:id="170">
    <w:p w14:paraId="78E0C0E5" w14:textId="4DBC82E9" w:rsidR="00E726C8" w:rsidRDefault="00E726C8" w:rsidP="00A91DBD">
      <w:pPr>
        <w:pStyle w:val="FootnoteText"/>
        <w:jc w:val="both"/>
      </w:pPr>
      <w:r w:rsidRPr="00A91DBD">
        <w:rPr>
          <w:rStyle w:val="FootnoteReference"/>
          <w:rFonts w:asciiTheme="minorEastAsia" w:eastAsiaTheme="minorEastAsia" w:hAnsiTheme="minorEastAsia"/>
        </w:rPr>
        <w:footnoteRef/>
      </w:r>
      <w:r w:rsidRPr="00A91DBD">
        <w:rPr>
          <w:rFonts w:asciiTheme="minorEastAsia" w:eastAsiaTheme="minorEastAsia" w:hAnsiTheme="minorEastAsia"/>
          <w:szCs w:val="18"/>
        </w:rPr>
        <w:tab/>
      </w:r>
      <w:r w:rsidRPr="00A91DBD">
        <w:rPr>
          <w:rFonts w:asciiTheme="minorEastAsia" w:eastAsiaTheme="minorEastAsia" w:hAnsiTheme="minorEastAsia" w:hint="eastAsia"/>
        </w:rPr>
        <w:t>更多信息可参见：</w:t>
      </w:r>
      <w:hyperlink r:id="rId94" w:history="1">
        <w:r w:rsidRPr="000578C5">
          <w:rPr>
            <w:rStyle w:val="Hyperlink"/>
            <w:rFonts w:asciiTheme="minorEastAsia" w:eastAsiaTheme="minorEastAsia" w:hAnsiTheme="minorEastAsia" w:hint="eastAsia"/>
          </w:rPr>
          <w:t>www.wipo.int/jobs/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/young-experts-program.html</w:t>
        </w:r>
      </w:hyperlink>
    </w:p>
  </w:footnote>
  <w:footnote w:id="171">
    <w:p w14:paraId="6155131E" w14:textId="77777777" w:rsidR="00E726C8" w:rsidRPr="00BD740B" w:rsidRDefault="00E726C8">
      <w:pPr>
        <w:pStyle w:val="FootnoteText"/>
        <w:rPr>
          <w:rFonts w:asciiTheme="minorEastAsia" w:eastAsiaTheme="minorEastAsia" w:hAnsiTheme="minorEastAsia"/>
        </w:rPr>
      </w:pPr>
      <w:r w:rsidRPr="00BD740B">
        <w:rPr>
          <w:rStyle w:val="FootnoteReference"/>
          <w:rFonts w:asciiTheme="minorEastAsia" w:eastAsiaTheme="minorEastAsia" w:hAnsiTheme="minorEastAsia"/>
        </w:rPr>
        <w:footnoteRef/>
      </w:r>
      <w:r w:rsidRPr="00BD740B">
        <w:rPr>
          <w:rFonts w:asciiTheme="minorEastAsia" w:eastAsiaTheme="minorEastAsia" w:hAnsiTheme="minorEastAsia"/>
          <w:szCs w:val="18"/>
        </w:rPr>
        <w:tab/>
      </w:r>
      <w:r w:rsidRPr="00BD740B">
        <w:rPr>
          <w:rFonts w:asciiTheme="minorEastAsia" w:eastAsiaTheme="minorEastAsia" w:hAnsiTheme="minorEastAsia" w:hint="eastAsia"/>
        </w:rPr>
        <w:t>第二批青年专家于2023年2月加入产权组织。</w:t>
      </w:r>
    </w:p>
  </w:footnote>
  <w:footnote w:id="172">
    <w:p w14:paraId="17CB3E8B" w14:textId="0A0C5E0A" w:rsidR="00E726C8" w:rsidRPr="00EB2221" w:rsidRDefault="00E726C8">
      <w:pPr>
        <w:pStyle w:val="FootnoteText"/>
        <w:rPr>
          <w:rFonts w:asciiTheme="minorEastAsia" w:eastAsiaTheme="minorEastAsia" w:hAnsiTheme="minorEastAsia"/>
        </w:rPr>
      </w:pPr>
      <w:r w:rsidRPr="00EB2221">
        <w:rPr>
          <w:rStyle w:val="FootnoteReference"/>
          <w:rFonts w:asciiTheme="minorEastAsia" w:eastAsiaTheme="minorEastAsia" w:hAnsiTheme="minorEastAsia"/>
        </w:rPr>
        <w:footnoteRef/>
      </w:r>
      <w:r w:rsidRPr="00EB2221">
        <w:rPr>
          <w:rFonts w:asciiTheme="minorEastAsia" w:eastAsiaTheme="minorEastAsia" w:hAnsiTheme="minorEastAsia"/>
          <w:szCs w:val="18"/>
        </w:rPr>
        <w:tab/>
      </w:r>
      <w:r w:rsidRPr="00EB2221">
        <w:rPr>
          <w:rFonts w:asciiTheme="minorEastAsia" w:eastAsiaTheme="minorEastAsia" w:hAnsiTheme="minorEastAsia" w:hint="eastAsia"/>
        </w:rPr>
        <w:t>带星号的发展议程建议为2007年大会指明须予立即落实的建议。</w:t>
      </w:r>
    </w:p>
  </w:footnote>
  <w:footnote w:id="173">
    <w:p w14:paraId="6B2B0966" w14:textId="53F6F20B" w:rsidR="00E726C8" w:rsidRDefault="00E726C8">
      <w:pPr>
        <w:pStyle w:val="FootnoteText"/>
      </w:pPr>
      <w:r w:rsidRPr="00EB2221">
        <w:rPr>
          <w:rStyle w:val="FootnoteReference"/>
          <w:rFonts w:asciiTheme="minorEastAsia" w:eastAsiaTheme="minorEastAsia" w:hAnsiTheme="minorEastAsia"/>
        </w:rPr>
        <w:footnoteRef/>
      </w:r>
      <w:r w:rsidRPr="00EB2221">
        <w:rPr>
          <w:rFonts w:asciiTheme="minorEastAsia" w:eastAsiaTheme="minorEastAsia" w:hAnsiTheme="minorEastAsia"/>
          <w:szCs w:val="18"/>
        </w:rPr>
        <w:tab/>
      </w:r>
      <w:r w:rsidRPr="00EB2221">
        <w:rPr>
          <w:rFonts w:asciiTheme="minorEastAsia" w:eastAsiaTheme="minorEastAsia" w:hAnsiTheme="minorEastAsia" w:hint="eastAsia"/>
        </w:rPr>
        <w:t>产权组织《2022-2026年中期战略计划》阐述了预期成果，可查阅：</w:t>
      </w:r>
      <w:hyperlink r:id="rId95" w:history="1">
        <w:r w:rsidRPr="000578C5">
          <w:rPr>
            <w:rStyle w:val="Hyperlink"/>
            <w:rFonts w:asciiTheme="minorEastAsia" w:eastAsiaTheme="minorEastAsia" w:hAnsiTheme="minorEastAsia" w:hint="eastAsia"/>
          </w:rPr>
          <w:t>www.wipo.int/meetings/</w:t>
        </w:r>
        <w:r w:rsidRPr="000578C5">
          <w:rPr>
            <w:rStyle w:val="Hyperlink"/>
            <w:rFonts w:asciiTheme="minorEastAsia" w:eastAsiaTheme="minorEastAsia" w:hAnsiTheme="minorEastAsia"/>
          </w:rPr>
          <w:t>zh</w:t>
        </w:r>
        <w:r w:rsidRPr="000578C5">
          <w:rPr>
            <w:rStyle w:val="Hyperlink"/>
            <w:rFonts w:asciiTheme="minorEastAsia" w:eastAsiaTheme="minorEastAsia" w:hAnsiTheme="minorEastAsia" w:hint="eastAsia"/>
          </w:rPr>
          <w:t>/doc_details.jsp?doc_id=541373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CE3A5" w14:textId="77777777" w:rsidR="00C84C90" w:rsidRDefault="00C84C9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AE25" w14:textId="77777777" w:rsidR="00E726C8" w:rsidRDefault="00E726C8">
    <w:pPr>
      <w:pStyle w:val="Header"/>
      <w:jc w:val="right"/>
    </w:pPr>
    <w:r>
      <w:rPr>
        <w:noProof/>
        <w:lang w:eastAsia="en-US"/>
      </w:rPr>
      <mc:AlternateContent>
        <mc:Choice Requires="wps">
          <w:drawing>
            <wp:anchor distT="0" distB="0" distL="114300" distR="114300" simplePos="0" relativeHeight="251659264" behindDoc="0" locked="0" layoutInCell="1" allowOverlap="1" wp14:anchorId="707A45DC" wp14:editId="1DD6F6B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5C78C" w14:textId="77777777" w:rsidR="00E726C8" w:rsidRDefault="00E726C8">
                          <w:pPr>
                            <w:pStyle w:val="Header"/>
                          </w:pPr>
                          <w:r>
                            <w:rPr>
                              <w:rFonts w:hint="eastAsia"/>
                            </w:rPr>
                            <w:fldChar w:fldCharType="begin"/>
                          </w:r>
                          <w:r>
                            <w:rPr>
                              <w:rFonts w:hint="eastAsia"/>
                            </w:rPr>
                            <w:instrText xml:space="preserve"> PAGE  \* MERGEFORMAT </w:instrText>
                          </w:r>
                          <w:r>
                            <w:rPr>
                              <w:rFonts w:hint="eastAsia"/>
                            </w:rPr>
                            <w:fldChar w:fldCharType="separate"/>
                          </w:r>
                          <w:r>
                            <w:rPr>
                              <w:rFonts w:hint="eastAsia"/>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7A45DC"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14:paraId="32E5C78C" w14:textId="77777777" w:rsidR="00E726C8" w:rsidRDefault="00E726C8">
                    <w:pPr>
                      <w:pStyle w:val="Header"/>
                    </w:pPr>
                    <w:r>
                      <w:rPr>
                        <w:rFonts w:hint="eastAsia"/>
                      </w:rPr>
                      <w:fldChar w:fldCharType="begin"/>
                    </w:r>
                    <w:r>
                      <w:rPr>
                        <w:rFonts w:hint="eastAsia"/>
                      </w:rPr>
                      <w:instrText xml:space="preserve"> PAGE  \* MERGEFORMAT </w:instrText>
                    </w:r>
                    <w:r>
                      <w:rPr>
                        <w:rFonts w:hint="eastAsia"/>
                      </w:rPr>
                      <w:fldChar w:fldCharType="separate"/>
                    </w:r>
                    <w:r>
                      <w:rPr>
                        <w:rFonts w:hint="eastAsia"/>
                        <w:noProof/>
                      </w:rPr>
                      <w:t>2</w:t>
                    </w:r>
                    <w:r>
                      <w:rPr>
                        <w:rFonts w:hint="eastAsia"/>
                      </w:rPr>
                      <w:fldChar w:fldCharType="end"/>
                    </w:r>
                  </w:p>
                </w:txbxContent>
              </v:textbox>
              <w10:wrap anchorx="margin"/>
            </v:shape>
          </w:pict>
        </mc:Fallback>
      </mc:AlternateContent>
    </w:r>
    <w:r>
      <w:rPr>
        <w:rFonts w:hint="eastAsia"/>
      </w:rPr>
      <w:t>CDIP/30/2</w:t>
    </w:r>
  </w:p>
  <w:p w14:paraId="3425112A" w14:textId="77777777" w:rsidR="00E726C8" w:rsidRDefault="00E726C8">
    <w:pPr>
      <w:jc w:val="right"/>
    </w:pPr>
    <w:r>
      <w:rPr>
        <w:rFonts w:hint="eastAsia"/>
      </w:rPr>
      <w:t>附件一</w:t>
    </w:r>
  </w:p>
  <w:p w14:paraId="0D1040CB" w14:textId="77777777" w:rsidR="00E726C8" w:rsidRDefault="00E726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B400D" w14:textId="41CB0CAA" w:rsidR="00E726C8" w:rsidRPr="00CC281F" w:rsidRDefault="00E726C8">
    <w:pPr>
      <w:jc w:val="right"/>
      <w:rPr>
        <w:rFonts w:asciiTheme="minorEastAsia" w:eastAsiaTheme="minorEastAsia" w:hAnsiTheme="minorEastAsia"/>
        <w:caps/>
        <w:sz w:val="21"/>
        <w:szCs w:val="21"/>
      </w:rPr>
    </w:pPr>
    <w:r w:rsidRPr="00CC281F">
      <w:rPr>
        <w:rFonts w:asciiTheme="minorEastAsia" w:eastAsiaTheme="minorEastAsia" w:hAnsiTheme="minorEastAsia"/>
        <w:noProof/>
        <w:sz w:val="21"/>
        <w:szCs w:val="21"/>
        <w:lang w:eastAsia="en-US"/>
      </w:rPr>
      <mc:AlternateContent>
        <mc:Choice Requires="wps">
          <w:drawing>
            <wp:anchor distT="0" distB="0" distL="114300" distR="114300" simplePos="0" relativeHeight="251660288" behindDoc="0" locked="0" layoutInCell="1" allowOverlap="1" wp14:anchorId="329C105C" wp14:editId="7388D3CD">
              <wp:simplePos x="0" y="0"/>
              <wp:positionH relativeFrom="margin">
                <wp:posOffset>7388543</wp:posOffset>
              </wp:positionH>
              <wp:positionV relativeFrom="paragraph">
                <wp:posOffset>160655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EE076" w14:textId="73CA30A3" w:rsidR="00E726C8" w:rsidRDefault="00E726C8">
                          <w:pPr>
                            <w:jc w:val="right"/>
                          </w:pPr>
                          <w:r>
                            <w:rPr>
                              <w:rFonts w:hint="eastAsia"/>
                            </w:rPr>
                            <w:t>附件二第</w:t>
                          </w:r>
                          <w:r>
                            <w:t>2</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9C105C" id="_x0000_t202" coordsize="21600,21600" o:spt="202" path="m,l,21600r21600,l21600,xe">
              <v:stroke joinstyle="miter"/>
              <v:path gradientshapeok="t" o:connecttype="rect"/>
            </v:shapetype>
            <v:shape id="文本框 4" o:spid="_x0000_s1028" type="#_x0000_t202" style="position:absolute;left:0;text-align:left;margin-left:581.8pt;margin-top:12.6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" filled="f" stroked="f" strokeweight=".5pt">
              <v:textbox style="mso-fit-shape-to-text:t" inset="0,0,0,0">
                <w:txbxContent>
                  <w:p w14:paraId="31EEE076" w14:textId="73CA30A3" w:rsidR="00E726C8" w:rsidRDefault="00E726C8">
                    <w:pPr>
                      <w:jc w:val="right"/>
                    </w:pPr>
                    <w:r>
                      <w:rPr>
                        <w:rFonts w:hint="eastAsia"/>
                      </w:rPr>
                      <w:t>附件二第</w:t>
                    </w:r>
                    <w:r>
                      <w:t>2</w:t>
                    </w:r>
                    <w:r>
                      <w:rPr>
                        <w:rFonts w:hint="eastAsia"/>
                      </w:rPr>
                      <w:t>页</w:t>
                    </w:r>
                  </w:p>
                </w:txbxContent>
              </v:textbox>
              <w10:wrap anchorx="margin"/>
            </v:shape>
          </w:pict>
        </mc:Fallback>
      </mc:AlternateContent>
    </w:r>
    <w:r w:rsidRPr="00CC281F">
      <w:rPr>
        <w:rFonts w:asciiTheme="minorEastAsia" w:eastAsiaTheme="minorEastAsia" w:hAnsiTheme="minorEastAsia" w:hint="eastAsia"/>
        <w:caps/>
        <w:sz w:val="21"/>
        <w:szCs w:val="21"/>
      </w:rPr>
      <w:t>CDIP/30/2</w:t>
    </w:r>
  </w:p>
  <w:p w14:paraId="311502F9" w14:textId="0E828F95" w:rsidR="00E726C8" w:rsidRPr="00CC281F" w:rsidRDefault="00E726C8">
    <w:pPr>
      <w:jc w:val="right"/>
      <w:rPr>
        <w:rFonts w:asciiTheme="minorEastAsia" w:eastAsiaTheme="minorEastAsia" w:hAnsiTheme="minorEastAsia"/>
        <w:sz w:val="21"/>
        <w:szCs w:val="21"/>
      </w:rPr>
    </w:pPr>
  </w:p>
  <w:p w14:paraId="29D0E24B" w14:textId="77777777" w:rsidR="00E726C8" w:rsidRPr="00CC281F" w:rsidRDefault="00E726C8">
    <w:pPr>
      <w:jc w:val="right"/>
      <w:rPr>
        <w:rFonts w:asciiTheme="minorEastAsia" w:eastAsiaTheme="minorEastAsia" w:hAnsiTheme="minorEastAsia"/>
        <w:sz w:val="21"/>
        <w:szCs w:val="21"/>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FBE29" w14:textId="5665FDD8" w:rsidR="00E726C8" w:rsidRPr="00CC281F" w:rsidRDefault="00E726C8" w:rsidP="00CC281F">
    <w:pPr>
      <w:pStyle w:val="Header"/>
      <w:jc w:val="right"/>
      <w:rPr>
        <w:rFonts w:asciiTheme="minorEastAsia" w:eastAsiaTheme="minorEastAsia" w:hAnsiTheme="minorEastAsia"/>
        <w:sz w:val="21"/>
        <w:szCs w:val="21"/>
      </w:rPr>
    </w:pPr>
    <w:r w:rsidRPr="00CC281F">
      <w:rPr>
        <w:rFonts w:asciiTheme="minorEastAsia" w:eastAsiaTheme="minorEastAsia" w:hAnsiTheme="minorEastAsia" w:hint="eastAsia"/>
        <w:sz w:val="21"/>
        <w:szCs w:val="21"/>
      </w:rPr>
      <w:t>CDIP/30/2</w:t>
    </w:r>
  </w:p>
  <w:p w14:paraId="06A45128" w14:textId="77777777" w:rsidR="00E726C8" w:rsidRPr="00CC281F" w:rsidRDefault="00E726C8" w:rsidP="00CC281F">
    <w:pPr>
      <w:pStyle w:val="Header"/>
      <w:jc w:val="right"/>
      <w:rPr>
        <w:rFonts w:asciiTheme="minorEastAsia" w:eastAsiaTheme="minorEastAsia" w:hAnsiTheme="minorEastAsia"/>
        <w:sz w:val="21"/>
        <w:szCs w:val="21"/>
      </w:rPr>
    </w:pPr>
    <w:r w:rsidRPr="00CC281F">
      <w:rPr>
        <w:rFonts w:asciiTheme="minorEastAsia" w:eastAsiaTheme="minorEastAsia" w:hAnsiTheme="minorEastAsia" w:hint="eastAsia"/>
        <w:sz w:val="21"/>
        <w:szCs w:val="21"/>
      </w:rPr>
      <w:t>附件二</w:t>
    </w:r>
  </w:p>
  <w:p w14:paraId="68CA17BD" w14:textId="77777777" w:rsidR="00E726C8" w:rsidRPr="00CC281F" w:rsidRDefault="00E726C8" w:rsidP="00CC281F">
    <w:pPr>
      <w:pStyle w:val="Heade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36C7" w14:textId="77777777" w:rsidR="00E726C8" w:rsidRPr="00B01FC1" w:rsidRDefault="00E726C8">
    <w:pPr>
      <w:jc w:val="right"/>
      <w:rPr>
        <w:rFonts w:asciiTheme="minorEastAsia" w:eastAsiaTheme="minorEastAsia" w:hAnsiTheme="minorEastAsia"/>
        <w:caps/>
        <w:sz w:val="21"/>
        <w:szCs w:val="21"/>
      </w:rPr>
    </w:pPr>
    <w:bookmarkStart w:id="6" w:name="Code2"/>
    <w:bookmarkEnd w:id="6"/>
    <w:r w:rsidRPr="00B01FC1">
      <w:rPr>
        <w:rFonts w:asciiTheme="minorEastAsia" w:eastAsiaTheme="minorEastAsia" w:hAnsiTheme="minorEastAsia" w:hint="eastAsia"/>
        <w:caps/>
        <w:sz w:val="21"/>
        <w:szCs w:val="21"/>
      </w:rPr>
      <w:t>CDIP/30/2</w:t>
    </w:r>
  </w:p>
  <w:p w14:paraId="24ED548D" w14:textId="12A50385" w:rsidR="00E726C8" w:rsidRPr="00B01FC1" w:rsidRDefault="00E726C8">
    <w:pPr>
      <w:jc w:val="right"/>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第</w:t>
    </w:r>
    <w:r w:rsidRPr="00B01FC1">
      <w:rPr>
        <w:rFonts w:asciiTheme="minorEastAsia" w:eastAsiaTheme="minorEastAsia" w:hAnsiTheme="minorEastAsia"/>
        <w:sz w:val="21"/>
        <w:szCs w:val="21"/>
      </w:rPr>
      <w:fldChar w:fldCharType="begin"/>
    </w:r>
    <w:r w:rsidRPr="00B01FC1">
      <w:rPr>
        <w:rFonts w:asciiTheme="minorEastAsia" w:eastAsiaTheme="minorEastAsia" w:hAnsiTheme="minorEastAsia"/>
        <w:sz w:val="21"/>
        <w:szCs w:val="21"/>
      </w:rPr>
      <w:instrText xml:space="preserve"> PAGE  \* MERGEFORMAT </w:instrText>
    </w:r>
    <w:r w:rsidRPr="00B01FC1">
      <w:rPr>
        <w:rFonts w:asciiTheme="minorEastAsia" w:eastAsiaTheme="minorEastAsia" w:hAnsiTheme="minorEastAsia"/>
        <w:sz w:val="21"/>
        <w:szCs w:val="21"/>
      </w:rPr>
      <w:fldChar w:fldCharType="separate"/>
    </w:r>
    <w:r w:rsidR="00135509">
      <w:rPr>
        <w:rFonts w:asciiTheme="minorEastAsia" w:eastAsiaTheme="minorEastAsia" w:hAnsiTheme="minorEastAsia"/>
        <w:noProof/>
        <w:sz w:val="21"/>
        <w:szCs w:val="21"/>
      </w:rPr>
      <w:t>3</w:t>
    </w:r>
    <w:r w:rsidRPr="00B01FC1">
      <w:rPr>
        <w:rFonts w:asciiTheme="minorEastAsia" w:eastAsiaTheme="minorEastAsia" w:hAnsiTheme="minorEastAsia"/>
        <w:sz w:val="21"/>
        <w:szCs w:val="21"/>
      </w:rPr>
      <w:fldChar w:fldCharType="end"/>
    </w:r>
    <w:r w:rsidRPr="00B01FC1">
      <w:rPr>
        <w:rFonts w:asciiTheme="minorEastAsia" w:eastAsiaTheme="minorEastAsia" w:hAnsiTheme="minorEastAsia" w:hint="eastAsia"/>
        <w:sz w:val="21"/>
        <w:szCs w:val="21"/>
      </w:rPr>
      <w:t>页</w:t>
    </w:r>
  </w:p>
  <w:p w14:paraId="5D785A5F" w14:textId="77777777" w:rsidR="00E726C8" w:rsidRPr="00B01FC1" w:rsidRDefault="00E726C8">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13C4" w14:textId="77777777" w:rsidR="00C84C90" w:rsidRDefault="00C84C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B3838" w14:textId="4D11225D" w:rsidR="00135509" w:rsidRPr="00B01FC1" w:rsidRDefault="00135509" w:rsidP="00135509">
    <w:pPr>
      <w:spacing w:afterLines="100" w:after="240"/>
      <w:jc w:val="right"/>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第</w:t>
    </w:r>
    <w:r w:rsidRPr="00B01FC1">
      <w:rPr>
        <w:rFonts w:asciiTheme="minorEastAsia" w:eastAsiaTheme="minorEastAsia" w:hAnsiTheme="minorEastAsia"/>
        <w:sz w:val="21"/>
        <w:szCs w:val="21"/>
      </w:rPr>
      <w:fldChar w:fldCharType="begin"/>
    </w:r>
    <w:r w:rsidRPr="00B01FC1">
      <w:rPr>
        <w:rFonts w:asciiTheme="minorEastAsia" w:eastAsiaTheme="minorEastAsia" w:hAnsiTheme="minorEastAsia"/>
        <w:sz w:val="21"/>
        <w:szCs w:val="21"/>
      </w:rPr>
      <w:instrText xml:space="preserve"> PAGE  \* MERGEFORMAT </w:instrText>
    </w:r>
    <w:r w:rsidRPr="00B01FC1">
      <w:rPr>
        <w:rFonts w:asciiTheme="minorEastAsia" w:eastAsiaTheme="minorEastAsia" w:hAnsiTheme="minorEastAsia"/>
        <w:sz w:val="21"/>
        <w:szCs w:val="21"/>
      </w:rPr>
      <w:fldChar w:fldCharType="separate"/>
    </w:r>
    <w:r w:rsidR="000E389A">
      <w:rPr>
        <w:rFonts w:asciiTheme="minorEastAsia" w:eastAsiaTheme="minorEastAsia" w:hAnsiTheme="minorEastAsia"/>
        <w:noProof/>
        <w:sz w:val="21"/>
        <w:szCs w:val="21"/>
      </w:rPr>
      <w:t>3</w:t>
    </w:r>
    <w:r w:rsidRPr="00B01FC1">
      <w:rPr>
        <w:rFonts w:asciiTheme="minorEastAsia" w:eastAsiaTheme="minorEastAsia" w:hAnsiTheme="minorEastAsia"/>
        <w:sz w:val="21"/>
        <w:szCs w:val="21"/>
      </w:rPr>
      <w:fldChar w:fldCharType="end"/>
    </w:r>
    <w:r w:rsidRPr="00B01FC1">
      <w:rPr>
        <w:rFonts w:asciiTheme="minorEastAsia" w:eastAsiaTheme="minorEastAsia" w:hAnsiTheme="minorEastAsia"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E119D" w14:textId="33EA92B5" w:rsidR="00135509" w:rsidRPr="00B01FC1" w:rsidRDefault="00135509" w:rsidP="005E79C4">
    <w:pPr>
      <w:spacing w:afterLines="100" w:after="240"/>
      <w:jc w:val="right"/>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第</w:t>
    </w:r>
    <w:r w:rsidRPr="00B01FC1">
      <w:rPr>
        <w:rFonts w:asciiTheme="minorEastAsia" w:eastAsiaTheme="minorEastAsia" w:hAnsiTheme="minorEastAsia"/>
        <w:sz w:val="21"/>
        <w:szCs w:val="21"/>
      </w:rPr>
      <w:fldChar w:fldCharType="begin"/>
    </w:r>
    <w:r w:rsidRPr="00B01FC1">
      <w:rPr>
        <w:rFonts w:asciiTheme="minorEastAsia" w:eastAsiaTheme="minorEastAsia" w:hAnsiTheme="minorEastAsia"/>
        <w:sz w:val="21"/>
        <w:szCs w:val="21"/>
      </w:rPr>
      <w:instrText xml:space="preserve"> PAGE  \* MERGEFORMAT </w:instrText>
    </w:r>
    <w:r w:rsidRPr="00B01FC1">
      <w:rPr>
        <w:rFonts w:asciiTheme="minorEastAsia" w:eastAsiaTheme="minorEastAsia" w:hAnsiTheme="minorEastAsia"/>
        <w:sz w:val="21"/>
        <w:szCs w:val="21"/>
      </w:rPr>
      <w:fldChar w:fldCharType="separate"/>
    </w:r>
    <w:r w:rsidR="000E389A">
      <w:rPr>
        <w:rFonts w:asciiTheme="minorEastAsia" w:eastAsiaTheme="minorEastAsia" w:hAnsiTheme="minorEastAsia"/>
        <w:noProof/>
        <w:sz w:val="21"/>
        <w:szCs w:val="21"/>
      </w:rPr>
      <w:t>4</w:t>
    </w:r>
    <w:r w:rsidRPr="00B01FC1">
      <w:rPr>
        <w:rFonts w:asciiTheme="minorEastAsia" w:eastAsiaTheme="minorEastAsia" w:hAnsiTheme="minorEastAsia"/>
        <w:sz w:val="21"/>
        <w:szCs w:val="21"/>
      </w:rPr>
      <w:fldChar w:fldCharType="end"/>
    </w:r>
    <w:r w:rsidRPr="00B01FC1">
      <w:rPr>
        <w:rFonts w:asciiTheme="minorEastAsia" w:eastAsiaTheme="minorEastAsia" w:hAnsiTheme="minorEastAsia" w:hint="eastAsia"/>
        <w:sz w:val="21"/>
        <w:szCs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63355" w14:textId="77777777" w:rsidR="00135509" w:rsidRPr="00B01FC1" w:rsidRDefault="00135509">
    <w:pPr>
      <w:jc w:val="right"/>
      <w:rPr>
        <w:rFonts w:asciiTheme="minorEastAsia" w:eastAsiaTheme="minorEastAsia" w:hAnsiTheme="minorEastAsia"/>
        <w:caps/>
        <w:sz w:val="21"/>
        <w:szCs w:val="21"/>
      </w:rPr>
    </w:pPr>
    <w:r w:rsidRPr="00B01FC1">
      <w:rPr>
        <w:rFonts w:asciiTheme="minorEastAsia" w:eastAsiaTheme="minorEastAsia" w:hAnsiTheme="minorEastAsia" w:hint="eastAsia"/>
        <w:caps/>
        <w:sz w:val="21"/>
        <w:szCs w:val="21"/>
      </w:rPr>
      <w:t>CDIP/30/2</w:t>
    </w:r>
  </w:p>
  <w:p w14:paraId="4A0C31A6" w14:textId="36F578C9" w:rsidR="00135509" w:rsidRPr="00B01FC1" w:rsidRDefault="00135509">
    <w:pPr>
      <w:jc w:val="right"/>
      <w:rPr>
        <w:rFonts w:asciiTheme="minorEastAsia" w:eastAsiaTheme="minorEastAsia" w:hAnsiTheme="minorEastAsia"/>
        <w:sz w:val="21"/>
        <w:szCs w:val="21"/>
      </w:rPr>
    </w:pPr>
    <w:r w:rsidRPr="00B01FC1">
      <w:rPr>
        <w:rFonts w:asciiTheme="minorEastAsia" w:eastAsiaTheme="minorEastAsia" w:hAnsiTheme="minorEastAsia" w:hint="eastAsia"/>
        <w:sz w:val="21"/>
        <w:szCs w:val="21"/>
      </w:rPr>
      <w:t>第</w:t>
    </w:r>
    <w:r w:rsidRPr="00B01FC1">
      <w:rPr>
        <w:rFonts w:asciiTheme="minorEastAsia" w:eastAsiaTheme="minorEastAsia" w:hAnsiTheme="minorEastAsia"/>
        <w:sz w:val="21"/>
        <w:szCs w:val="21"/>
      </w:rPr>
      <w:fldChar w:fldCharType="begin"/>
    </w:r>
    <w:r w:rsidRPr="00B01FC1">
      <w:rPr>
        <w:rFonts w:asciiTheme="minorEastAsia" w:eastAsiaTheme="minorEastAsia" w:hAnsiTheme="minorEastAsia"/>
        <w:sz w:val="21"/>
        <w:szCs w:val="21"/>
      </w:rPr>
      <w:instrText xml:space="preserve"> PAGE  \* MERGEFORMAT </w:instrText>
    </w:r>
    <w:r w:rsidRPr="00B01FC1">
      <w:rPr>
        <w:rFonts w:asciiTheme="minorEastAsia" w:eastAsiaTheme="minorEastAsia" w:hAnsiTheme="minorEastAsia"/>
        <w:sz w:val="21"/>
        <w:szCs w:val="21"/>
      </w:rPr>
      <w:fldChar w:fldCharType="separate"/>
    </w:r>
    <w:r w:rsidR="000E389A">
      <w:rPr>
        <w:rFonts w:asciiTheme="minorEastAsia" w:eastAsiaTheme="minorEastAsia" w:hAnsiTheme="minorEastAsia"/>
        <w:noProof/>
        <w:sz w:val="21"/>
        <w:szCs w:val="21"/>
      </w:rPr>
      <w:t>13</w:t>
    </w:r>
    <w:r w:rsidRPr="00B01FC1">
      <w:rPr>
        <w:rFonts w:asciiTheme="minorEastAsia" w:eastAsiaTheme="minorEastAsia" w:hAnsiTheme="minorEastAsia"/>
        <w:sz w:val="21"/>
        <w:szCs w:val="21"/>
      </w:rPr>
      <w:fldChar w:fldCharType="end"/>
    </w:r>
    <w:r w:rsidRPr="00B01FC1">
      <w:rPr>
        <w:rFonts w:asciiTheme="minorEastAsia" w:eastAsiaTheme="minorEastAsia" w:hAnsiTheme="minorEastAsia" w:hint="eastAsia"/>
        <w:sz w:val="21"/>
        <w:szCs w:val="21"/>
      </w:rPr>
      <w:t>页</w:t>
    </w:r>
  </w:p>
  <w:p w14:paraId="50D98B30" w14:textId="77777777" w:rsidR="00135509" w:rsidRPr="00B01FC1" w:rsidRDefault="00135509">
    <w:pPr>
      <w:jc w:val="right"/>
      <w:rPr>
        <w:rFonts w:asciiTheme="minorEastAsia" w:eastAsiaTheme="minorEastAsia" w:hAnsiTheme="minorEastAsia"/>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E570" w14:textId="77777777" w:rsidR="00E726C8" w:rsidRPr="00EB2221" w:rsidRDefault="00E726C8" w:rsidP="00EB2221">
    <w:pPr>
      <w:jc w:val="right"/>
      <w:rPr>
        <w:rFonts w:asciiTheme="minorEastAsia" w:eastAsiaTheme="minorEastAsia" w:hAnsiTheme="minorEastAsia"/>
        <w:caps/>
        <w:sz w:val="21"/>
        <w:szCs w:val="21"/>
      </w:rPr>
    </w:pPr>
    <w:r w:rsidRPr="00EB2221">
      <w:rPr>
        <w:rFonts w:asciiTheme="minorEastAsia" w:eastAsiaTheme="minorEastAsia" w:hAnsiTheme="minorEastAsia" w:hint="eastAsia"/>
        <w:caps/>
        <w:sz w:val="21"/>
        <w:szCs w:val="21"/>
      </w:rPr>
      <w:t>CDIP/30/2</w:t>
    </w:r>
  </w:p>
  <w:sdt>
    <w:sdtPr>
      <w:rPr>
        <w:rFonts w:asciiTheme="minorEastAsia" w:eastAsiaTheme="minorEastAsia" w:hAnsiTheme="minorEastAsia"/>
        <w:sz w:val="21"/>
        <w:szCs w:val="21"/>
      </w:rPr>
      <w:id w:val="114483795"/>
      <w:docPartObj>
        <w:docPartGallery w:val="Page Numbers (Top of Page)"/>
        <w:docPartUnique/>
      </w:docPartObj>
    </w:sdtPr>
    <w:sdtEndPr>
      <w:rPr>
        <w:rFonts w:ascii="Arial" w:eastAsia="SimSun" w:hAnsi="Arial"/>
        <w:sz w:val="22"/>
        <w:szCs w:val="20"/>
      </w:rPr>
    </w:sdtEndPr>
    <w:sdtContent>
      <w:p w14:paraId="2393DE68" w14:textId="64C90AA8" w:rsidR="00E726C8" w:rsidRPr="00EB2221" w:rsidRDefault="00E726C8" w:rsidP="00EB2221">
        <w:pPr>
          <w:jc w:val="right"/>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附件一第</w:t>
        </w:r>
        <w:r w:rsidRPr="00EB2221">
          <w:rPr>
            <w:rFonts w:asciiTheme="minorEastAsia" w:eastAsiaTheme="minorEastAsia" w:hAnsiTheme="minorEastAsia"/>
            <w:sz w:val="21"/>
            <w:szCs w:val="21"/>
          </w:rPr>
          <w:fldChar w:fldCharType="begin"/>
        </w:r>
        <w:r w:rsidRPr="00EB2221">
          <w:rPr>
            <w:rFonts w:asciiTheme="minorEastAsia" w:eastAsiaTheme="minorEastAsia" w:hAnsiTheme="minorEastAsia"/>
            <w:sz w:val="21"/>
            <w:szCs w:val="21"/>
          </w:rPr>
          <w:instrText>PAGE   \* MERGEFORMAT</w:instrText>
        </w:r>
        <w:r w:rsidRPr="00EB2221">
          <w:rPr>
            <w:rFonts w:asciiTheme="minorEastAsia" w:eastAsiaTheme="minorEastAsia" w:hAnsiTheme="minorEastAsia"/>
            <w:sz w:val="21"/>
            <w:szCs w:val="21"/>
          </w:rPr>
          <w:fldChar w:fldCharType="separate"/>
        </w:r>
        <w:r w:rsidRPr="00EB2221">
          <w:rPr>
            <w:rFonts w:asciiTheme="minorEastAsia" w:eastAsiaTheme="minorEastAsia" w:hAnsiTheme="minorEastAsia"/>
            <w:noProof/>
            <w:sz w:val="21"/>
            <w:szCs w:val="21"/>
            <w:lang w:val="zh-CN"/>
          </w:rPr>
          <w:t>2</w:t>
        </w:r>
        <w:r w:rsidRPr="00EB2221">
          <w:rPr>
            <w:rFonts w:asciiTheme="minorEastAsia" w:eastAsiaTheme="minorEastAsia" w:hAnsiTheme="minorEastAsia"/>
            <w:sz w:val="21"/>
            <w:szCs w:val="21"/>
          </w:rPr>
          <w:fldChar w:fldCharType="end"/>
        </w:r>
        <w:r w:rsidRPr="00EB2221">
          <w:rPr>
            <w:rFonts w:asciiTheme="minorEastAsia" w:eastAsiaTheme="minorEastAsia" w:hAnsiTheme="minorEastAsia" w:hint="eastAsia"/>
            <w:sz w:val="21"/>
            <w:szCs w:val="21"/>
          </w:rPr>
          <w:t>页</w:t>
        </w:r>
      </w:p>
      <w:p w14:paraId="77AEF2BA" w14:textId="22AB6023" w:rsidR="00E726C8" w:rsidRDefault="000E389A">
        <w:pPr>
          <w:pStyle w:val="Header"/>
          <w:jc w:val="right"/>
        </w:pPr>
      </w:p>
    </w:sdtContent>
  </w:sdt>
  <w:p w14:paraId="1C8632CD" w14:textId="77777777" w:rsidR="00E726C8" w:rsidRPr="00EB2221" w:rsidRDefault="00E726C8">
    <w:pPr>
      <w:jc w:val="right"/>
      <w:rPr>
        <w:rFonts w:asciiTheme="minorEastAsia" w:eastAsiaTheme="minorEastAsia" w:hAnsiTheme="minorEastAsia"/>
        <w:sz w:val="21"/>
        <w:szCs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1D15A" w14:textId="77777777" w:rsidR="00E726C8" w:rsidRPr="00C217BA" w:rsidRDefault="00E726C8" w:rsidP="00C217BA">
    <w:pPr>
      <w:pStyle w:val="Header"/>
      <w:jc w:val="righ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CDIP/30/2</w:t>
    </w:r>
  </w:p>
  <w:p w14:paraId="52F93AFE" w14:textId="77777777" w:rsidR="00E726C8" w:rsidRPr="00C217BA" w:rsidRDefault="00E726C8" w:rsidP="00C217BA">
    <w:pPr>
      <w:jc w:val="right"/>
      <w:rPr>
        <w:rFonts w:asciiTheme="minorEastAsia" w:eastAsiaTheme="minorEastAsia" w:hAnsiTheme="minorEastAsia"/>
        <w:sz w:val="21"/>
        <w:szCs w:val="21"/>
      </w:rPr>
    </w:pPr>
    <w:r w:rsidRPr="00C217BA">
      <w:rPr>
        <w:rFonts w:asciiTheme="minorEastAsia" w:eastAsiaTheme="minorEastAsia" w:hAnsiTheme="minorEastAsia" w:hint="eastAsia"/>
        <w:sz w:val="21"/>
        <w:szCs w:val="21"/>
      </w:rPr>
      <w:t>附件一</w:t>
    </w:r>
  </w:p>
  <w:p w14:paraId="3E58FF2F" w14:textId="77777777" w:rsidR="00E726C8" w:rsidRPr="00C217BA" w:rsidRDefault="00E726C8" w:rsidP="00C217BA">
    <w:pPr>
      <w:pStyle w:val="Header"/>
      <w:jc w:val="right"/>
      <w:rPr>
        <w:rFonts w:asciiTheme="minorEastAsia" w:eastAsiaTheme="minorEastAsia" w:hAnsiTheme="minorEastAsia"/>
        <w:sz w:val="21"/>
        <w:szCs w:val="21"/>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EAC2" w14:textId="77777777" w:rsidR="00E726C8" w:rsidRPr="00EB2221" w:rsidRDefault="00E726C8">
    <w:pPr>
      <w:jc w:val="right"/>
      <w:rPr>
        <w:rFonts w:asciiTheme="minorEastAsia" w:eastAsiaTheme="minorEastAsia" w:hAnsiTheme="minorEastAsia"/>
        <w:caps/>
        <w:sz w:val="21"/>
        <w:szCs w:val="21"/>
      </w:rPr>
    </w:pPr>
    <w:r w:rsidRPr="00EB2221">
      <w:rPr>
        <w:rFonts w:asciiTheme="minorEastAsia" w:eastAsiaTheme="minorEastAsia" w:hAnsiTheme="minorEastAsia"/>
        <w:noProof/>
        <w:sz w:val="21"/>
        <w:szCs w:val="21"/>
        <w:lang w:eastAsia="en-US"/>
      </w:rPr>
      <mc:AlternateContent>
        <mc:Choice Requires="wps">
          <w:drawing>
            <wp:anchor distT="0" distB="0" distL="114300" distR="114300" simplePos="0" relativeHeight="251658240" behindDoc="0" locked="0" layoutInCell="1" allowOverlap="1" wp14:anchorId="282C628E" wp14:editId="49CD9FD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9F2C3" w14:textId="77777777" w:rsidR="00E726C8" w:rsidRDefault="00E726C8">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2C628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379F2C3" w14:textId="77777777" w:rsidR="00E726C8" w:rsidRDefault="00E726C8">
                    <w:pPr>
                      <w:pStyle w:val="Header"/>
                    </w:pPr>
                  </w:p>
                </w:txbxContent>
              </v:textbox>
              <w10:wrap anchorx="margin"/>
            </v:shape>
          </w:pict>
        </mc:Fallback>
      </mc:AlternateContent>
    </w:r>
    <w:r w:rsidRPr="00EB2221">
      <w:rPr>
        <w:rFonts w:asciiTheme="minorEastAsia" w:eastAsiaTheme="minorEastAsia" w:hAnsiTheme="minorEastAsia" w:hint="eastAsia"/>
        <w:caps/>
        <w:sz w:val="21"/>
        <w:szCs w:val="21"/>
      </w:rPr>
      <w:t>CDIP/30/2</w:t>
    </w:r>
  </w:p>
  <w:p w14:paraId="3862F902" w14:textId="53590212" w:rsidR="00E726C8" w:rsidRPr="00EB2221" w:rsidRDefault="00E726C8">
    <w:pPr>
      <w:jc w:val="right"/>
      <w:rPr>
        <w:rFonts w:asciiTheme="minorEastAsia" w:eastAsiaTheme="minorEastAsia" w:hAnsiTheme="minorEastAsia"/>
        <w:sz w:val="21"/>
        <w:szCs w:val="21"/>
      </w:rPr>
    </w:pPr>
    <w:r w:rsidRPr="00EB2221">
      <w:rPr>
        <w:rFonts w:asciiTheme="minorEastAsia" w:eastAsiaTheme="minorEastAsia" w:hAnsiTheme="minorEastAsia" w:hint="eastAsia"/>
        <w:sz w:val="21"/>
        <w:szCs w:val="21"/>
      </w:rPr>
      <w:t>附件一第</w:t>
    </w:r>
    <w:r w:rsidRPr="00EB2221">
      <w:rPr>
        <w:rFonts w:asciiTheme="minorEastAsia" w:eastAsiaTheme="minorEastAsia" w:hAnsiTheme="minorEastAsia" w:hint="eastAsia"/>
        <w:sz w:val="21"/>
        <w:szCs w:val="21"/>
      </w:rPr>
      <w:fldChar w:fldCharType="begin"/>
    </w:r>
    <w:r w:rsidRPr="00EB2221">
      <w:rPr>
        <w:rFonts w:asciiTheme="minorEastAsia" w:eastAsiaTheme="minorEastAsia" w:hAnsiTheme="minorEastAsia" w:hint="eastAsia"/>
        <w:sz w:val="21"/>
        <w:szCs w:val="21"/>
      </w:rPr>
      <w:instrText xml:space="preserve"> PAGE  \* MERGEFORMAT </w:instrText>
    </w:r>
    <w:r w:rsidRPr="00EB2221">
      <w:rPr>
        <w:rFonts w:asciiTheme="minorEastAsia" w:eastAsiaTheme="minorEastAsia" w:hAnsiTheme="minorEastAsia" w:hint="eastAsia"/>
        <w:sz w:val="21"/>
        <w:szCs w:val="21"/>
      </w:rPr>
      <w:fldChar w:fldCharType="separate"/>
    </w:r>
    <w:r w:rsidR="000E389A">
      <w:rPr>
        <w:rFonts w:asciiTheme="minorEastAsia" w:eastAsiaTheme="minorEastAsia" w:hAnsiTheme="minorEastAsia"/>
        <w:noProof/>
        <w:sz w:val="21"/>
        <w:szCs w:val="21"/>
      </w:rPr>
      <w:t>10</w:t>
    </w:r>
    <w:r w:rsidRPr="00EB2221">
      <w:rPr>
        <w:rFonts w:asciiTheme="minorEastAsia" w:eastAsiaTheme="minorEastAsia" w:hAnsiTheme="minorEastAsia" w:hint="eastAsia"/>
        <w:sz w:val="21"/>
        <w:szCs w:val="21"/>
      </w:rPr>
      <w:fldChar w:fldCharType="end"/>
    </w:r>
    <w:r w:rsidRPr="00EB2221">
      <w:rPr>
        <w:rFonts w:asciiTheme="minorEastAsia" w:eastAsiaTheme="minorEastAsia" w:hAnsiTheme="minorEastAsia" w:hint="eastAsia"/>
        <w:sz w:val="21"/>
        <w:szCs w:val="21"/>
      </w:rPr>
      <w:t>页</w:t>
    </w:r>
  </w:p>
  <w:p w14:paraId="007122DA" w14:textId="77777777" w:rsidR="00E726C8" w:rsidRPr="00EB2221" w:rsidRDefault="00E726C8">
    <w:pP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3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07A448B0"/>
    <w:multiLevelType w:val="multilevel"/>
    <w:tmpl w:val="07A448B0"/>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C04EA9"/>
    <w:multiLevelType w:val="hybridMultilevel"/>
    <w:tmpl w:val="D5C47D92"/>
    <w:lvl w:ilvl="0" w:tplc="4ABA302A">
      <w:start w:val="1"/>
      <w:numFmt w:val="lowerRoman"/>
      <w:lvlText w:val="(%1)"/>
      <w:lvlJc w:val="left"/>
      <w:pPr>
        <w:ind w:left="1267" w:hanging="360"/>
      </w:pPr>
      <w:rPr>
        <w:rFonts w:hint="default"/>
      </w:rPr>
    </w:lvl>
    <w:lvl w:ilvl="1" w:tplc="04090001">
      <w:start w:val="1"/>
      <w:numFmt w:val="bullet"/>
      <w:lvlText w:val=""/>
      <w:lvlJc w:val="left"/>
      <w:pPr>
        <w:ind w:left="1987" w:hanging="360"/>
      </w:pPr>
      <w:rPr>
        <w:rFonts w:ascii="Symbol" w:hAnsi="Symbol"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0D3C64EE"/>
    <w:multiLevelType w:val="multilevel"/>
    <w:tmpl w:val="E500DBF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EE09CF"/>
    <w:multiLevelType w:val="multilevel"/>
    <w:tmpl w:val="11EE09CF"/>
    <w:lvl w:ilvl="0">
      <w:start w:val="1807"/>
      <w:numFmt w:val="bullet"/>
      <w:lvlText w:val="-"/>
      <w:lvlJc w:val="left"/>
      <w:pPr>
        <w:tabs>
          <w:tab w:val="left" w:pos="1440"/>
        </w:tabs>
        <w:ind w:left="1440" w:hanging="360"/>
      </w:pPr>
      <w:rPr>
        <w:rFonts w:ascii="Times New Roman" w:eastAsia="Times New Roman" w:hAnsi="Times New Roman" w:cs="Times New Roman"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6" w15:restartNumberingAfterBreak="0">
    <w:nsid w:val="13624F00"/>
    <w:multiLevelType w:val="multilevel"/>
    <w:tmpl w:val="13624F00"/>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9" w15:restartNumberingAfterBreak="0">
    <w:nsid w:val="2D51286B"/>
    <w:multiLevelType w:val="multilevel"/>
    <w:tmpl w:val="3C946F5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B07CE9"/>
    <w:multiLevelType w:val="multilevel"/>
    <w:tmpl w:val="8B4C4D42"/>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 w15:restartNumberingAfterBreak="0">
    <w:nsid w:val="334E778A"/>
    <w:multiLevelType w:val="multilevel"/>
    <w:tmpl w:val="334E778A"/>
    <w:lvl w:ilvl="0">
      <w:start w:val="1"/>
      <w:numFmt w:val="lowerRoman"/>
      <w:lvlText w:val="(%1)"/>
      <w:lvlJc w:val="righ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734DC1"/>
    <w:multiLevelType w:val="multilevel"/>
    <w:tmpl w:val="E378220E"/>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054F88"/>
    <w:multiLevelType w:val="multilevel"/>
    <w:tmpl w:val="47054F88"/>
    <w:lvl w:ilvl="0">
      <w:start w:val="1"/>
      <w:numFmt w:val="chineseCountingThousand"/>
      <w:lvlText w:val="%1."/>
      <w:lvlJc w:val="righ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7C5B48"/>
    <w:multiLevelType w:val="multilevel"/>
    <w:tmpl w:val="86A634A6"/>
    <w:lvl w:ilvl="0">
      <w:start w:val="7"/>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297763"/>
    <w:multiLevelType w:val="multilevel"/>
    <w:tmpl w:val="50297763"/>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8E177D"/>
    <w:multiLevelType w:val="multilevel"/>
    <w:tmpl w:val="548E177D"/>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0C52C7"/>
    <w:multiLevelType w:val="multilevel"/>
    <w:tmpl w:val="5AC0E786"/>
    <w:lvl w:ilvl="0">
      <w:start w:val="1"/>
      <w:numFmt w:val="decimal"/>
      <w:lvlText w:val="%1."/>
      <w:lvlJc w:val="left"/>
      <w:pPr>
        <w:ind w:left="8724" w:hanging="360"/>
      </w:pPr>
      <w:rPr>
        <w:rFonts w:asciiTheme="minorEastAsia" w:eastAsiaTheme="minorEastAsia" w:hAnsiTheme="minorEastAsia"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4C7D57"/>
    <w:multiLevelType w:val="multilevel"/>
    <w:tmpl w:val="407E9B1C"/>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1" w15:restartNumberingAfterBreak="0">
    <w:nsid w:val="77E552B6"/>
    <w:multiLevelType w:val="multilevel"/>
    <w:tmpl w:val="77E552B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9F08FE"/>
    <w:multiLevelType w:val="hybridMultilevel"/>
    <w:tmpl w:val="66D6840E"/>
    <w:lvl w:ilvl="0" w:tplc="04090013">
      <w:start w:val="1"/>
      <w:numFmt w:val="chineseCountingThousand"/>
      <w:lvlText w:val="%1、"/>
      <w:lvlJc w:val="lef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3" w15:restartNumberingAfterBreak="0">
    <w:nsid w:val="7E6110D2"/>
    <w:multiLevelType w:val="multilevel"/>
    <w:tmpl w:val="7E6110D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8"/>
  </w:num>
  <w:num w:numId="4">
    <w:abstractNumId w:val="18"/>
  </w:num>
  <w:num w:numId="5">
    <w:abstractNumId w:val="13"/>
  </w:num>
  <w:num w:numId="6">
    <w:abstractNumId w:val="6"/>
  </w:num>
  <w:num w:numId="7">
    <w:abstractNumId w:val="2"/>
  </w:num>
  <w:num w:numId="8">
    <w:abstractNumId w:val="11"/>
  </w:num>
  <w:num w:numId="9">
    <w:abstractNumId w:val="16"/>
  </w:num>
  <w:num w:numId="10">
    <w:abstractNumId w:val="21"/>
  </w:num>
  <w:num w:numId="11">
    <w:abstractNumId w:val="17"/>
  </w:num>
  <w:num w:numId="12">
    <w:abstractNumId w:val="23"/>
  </w:num>
  <w:num w:numId="13">
    <w:abstractNumId w:val="5"/>
  </w:num>
  <w:num w:numId="14">
    <w:abstractNumId w:val="22"/>
  </w:num>
  <w:num w:numId="15">
    <w:abstractNumId w:val="7"/>
  </w:num>
  <w:num w:numId="16">
    <w:abstractNumId w:val="0"/>
  </w:num>
  <w:num w:numId="17">
    <w:abstractNumId w:val="19"/>
  </w:num>
  <w:num w:numId="18">
    <w:abstractNumId w:val="15"/>
  </w:num>
  <w:num w:numId="19">
    <w:abstractNumId w:val="12"/>
  </w:num>
  <w:num w:numId="20">
    <w:abstractNumId w:val="3"/>
  </w:num>
  <w:num w:numId="21">
    <w:abstractNumId w:val="9"/>
  </w:num>
  <w:num w:numId="22">
    <w:abstractNumId w:val="4"/>
  </w:num>
  <w:num w:numId="23">
    <w:abstractNumId w:val="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70"/>
    <w:rsid w:val="00001099"/>
    <w:rsid w:val="000038A0"/>
    <w:rsid w:val="00003980"/>
    <w:rsid w:val="00005E6D"/>
    <w:rsid w:val="00006BBC"/>
    <w:rsid w:val="00006EEE"/>
    <w:rsid w:val="0001014C"/>
    <w:rsid w:val="00014604"/>
    <w:rsid w:val="00015467"/>
    <w:rsid w:val="00022007"/>
    <w:rsid w:val="000244E4"/>
    <w:rsid w:val="00025976"/>
    <w:rsid w:val="000269C8"/>
    <w:rsid w:val="00031CD0"/>
    <w:rsid w:val="0003240E"/>
    <w:rsid w:val="00032860"/>
    <w:rsid w:val="00032F57"/>
    <w:rsid w:val="000332F7"/>
    <w:rsid w:val="0003427D"/>
    <w:rsid w:val="000355F2"/>
    <w:rsid w:val="00043CAA"/>
    <w:rsid w:val="00043FD0"/>
    <w:rsid w:val="00044C80"/>
    <w:rsid w:val="00046E16"/>
    <w:rsid w:val="00046FD1"/>
    <w:rsid w:val="000525D8"/>
    <w:rsid w:val="00056816"/>
    <w:rsid w:val="000606BB"/>
    <w:rsid w:val="0006085D"/>
    <w:rsid w:val="000627E4"/>
    <w:rsid w:val="00064546"/>
    <w:rsid w:val="000650B3"/>
    <w:rsid w:val="00066EC5"/>
    <w:rsid w:val="0007239A"/>
    <w:rsid w:val="00074176"/>
    <w:rsid w:val="00075432"/>
    <w:rsid w:val="00075D47"/>
    <w:rsid w:val="0007691A"/>
    <w:rsid w:val="0007782C"/>
    <w:rsid w:val="00077CC1"/>
    <w:rsid w:val="00081FD7"/>
    <w:rsid w:val="00083433"/>
    <w:rsid w:val="00086E71"/>
    <w:rsid w:val="0009398E"/>
    <w:rsid w:val="00095526"/>
    <w:rsid w:val="0009580C"/>
    <w:rsid w:val="000968ED"/>
    <w:rsid w:val="00097D2D"/>
    <w:rsid w:val="000A041C"/>
    <w:rsid w:val="000A0871"/>
    <w:rsid w:val="000A0DE8"/>
    <w:rsid w:val="000A1DA6"/>
    <w:rsid w:val="000A276B"/>
    <w:rsid w:val="000A3D97"/>
    <w:rsid w:val="000A5495"/>
    <w:rsid w:val="000A6A46"/>
    <w:rsid w:val="000B0235"/>
    <w:rsid w:val="000B261F"/>
    <w:rsid w:val="000B44BF"/>
    <w:rsid w:val="000B4CC9"/>
    <w:rsid w:val="000B4E3B"/>
    <w:rsid w:val="000B7D6D"/>
    <w:rsid w:val="000C374A"/>
    <w:rsid w:val="000C38AF"/>
    <w:rsid w:val="000C3E3A"/>
    <w:rsid w:val="000C4F93"/>
    <w:rsid w:val="000C65E7"/>
    <w:rsid w:val="000C6B94"/>
    <w:rsid w:val="000D0958"/>
    <w:rsid w:val="000D2313"/>
    <w:rsid w:val="000D3117"/>
    <w:rsid w:val="000D320E"/>
    <w:rsid w:val="000D4E26"/>
    <w:rsid w:val="000D79BE"/>
    <w:rsid w:val="000E163E"/>
    <w:rsid w:val="000E2550"/>
    <w:rsid w:val="000E27A3"/>
    <w:rsid w:val="000E2E30"/>
    <w:rsid w:val="000E389A"/>
    <w:rsid w:val="000E4761"/>
    <w:rsid w:val="000E6AD1"/>
    <w:rsid w:val="000F316E"/>
    <w:rsid w:val="000F3D80"/>
    <w:rsid w:val="000F534E"/>
    <w:rsid w:val="000F55FD"/>
    <w:rsid w:val="000F5E56"/>
    <w:rsid w:val="000F7545"/>
    <w:rsid w:val="0010098E"/>
    <w:rsid w:val="00101FB6"/>
    <w:rsid w:val="00102291"/>
    <w:rsid w:val="001078FA"/>
    <w:rsid w:val="0011145F"/>
    <w:rsid w:val="00112288"/>
    <w:rsid w:val="00112325"/>
    <w:rsid w:val="00112836"/>
    <w:rsid w:val="001148AF"/>
    <w:rsid w:val="0011501A"/>
    <w:rsid w:val="0011798B"/>
    <w:rsid w:val="001209F6"/>
    <w:rsid w:val="00120E16"/>
    <w:rsid w:val="00121610"/>
    <w:rsid w:val="001229A9"/>
    <w:rsid w:val="00123179"/>
    <w:rsid w:val="00123921"/>
    <w:rsid w:val="00127009"/>
    <w:rsid w:val="0012759C"/>
    <w:rsid w:val="00127BEC"/>
    <w:rsid w:val="001335CE"/>
    <w:rsid w:val="00135509"/>
    <w:rsid w:val="00135FE7"/>
    <w:rsid w:val="001362EE"/>
    <w:rsid w:val="00137472"/>
    <w:rsid w:val="00140621"/>
    <w:rsid w:val="00141942"/>
    <w:rsid w:val="0015034F"/>
    <w:rsid w:val="0015687E"/>
    <w:rsid w:val="001647D5"/>
    <w:rsid w:val="001659E1"/>
    <w:rsid w:val="00165ACB"/>
    <w:rsid w:val="00167474"/>
    <w:rsid w:val="00175541"/>
    <w:rsid w:val="001769A3"/>
    <w:rsid w:val="0017704D"/>
    <w:rsid w:val="00177A3F"/>
    <w:rsid w:val="0018090D"/>
    <w:rsid w:val="00182762"/>
    <w:rsid w:val="00182D03"/>
    <w:rsid w:val="00183284"/>
    <w:rsid w:val="001832A6"/>
    <w:rsid w:val="00183503"/>
    <w:rsid w:val="00190846"/>
    <w:rsid w:val="00191652"/>
    <w:rsid w:val="00191C32"/>
    <w:rsid w:val="0019228E"/>
    <w:rsid w:val="00193509"/>
    <w:rsid w:val="0019416F"/>
    <w:rsid w:val="001974B5"/>
    <w:rsid w:val="001A0E93"/>
    <w:rsid w:val="001A146A"/>
    <w:rsid w:val="001A6388"/>
    <w:rsid w:val="001B282A"/>
    <w:rsid w:val="001B4C6D"/>
    <w:rsid w:val="001B6345"/>
    <w:rsid w:val="001C2397"/>
    <w:rsid w:val="001C61F2"/>
    <w:rsid w:val="001C7C98"/>
    <w:rsid w:val="001D1179"/>
    <w:rsid w:val="001D1A6F"/>
    <w:rsid w:val="001D24C1"/>
    <w:rsid w:val="001D263E"/>
    <w:rsid w:val="001D4107"/>
    <w:rsid w:val="001D7847"/>
    <w:rsid w:val="001E0A44"/>
    <w:rsid w:val="001E3817"/>
    <w:rsid w:val="001E633F"/>
    <w:rsid w:val="001F01F6"/>
    <w:rsid w:val="001F1DC8"/>
    <w:rsid w:val="001F22AB"/>
    <w:rsid w:val="001F29A7"/>
    <w:rsid w:val="001F353F"/>
    <w:rsid w:val="001F5900"/>
    <w:rsid w:val="001F64BD"/>
    <w:rsid w:val="00201350"/>
    <w:rsid w:val="00202C82"/>
    <w:rsid w:val="00203D24"/>
    <w:rsid w:val="002042FB"/>
    <w:rsid w:val="00206179"/>
    <w:rsid w:val="0020618A"/>
    <w:rsid w:val="002075C9"/>
    <w:rsid w:val="00207CAA"/>
    <w:rsid w:val="002113D2"/>
    <w:rsid w:val="00212089"/>
    <w:rsid w:val="0021217E"/>
    <w:rsid w:val="00212522"/>
    <w:rsid w:val="002131A4"/>
    <w:rsid w:val="0021382E"/>
    <w:rsid w:val="00214349"/>
    <w:rsid w:val="00215045"/>
    <w:rsid w:val="002153EA"/>
    <w:rsid w:val="00215C2A"/>
    <w:rsid w:val="00216155"/>
    <w:rsid w:val="002173FA"/>
    <w:rsid w:val="0022005A"/>
    <w:rsid w:val="0022386D"/>
    <w:rsid w:val="00226C82"/>
    <w:rsid w:val="00230A40"/>
    <w:rsid w:val="00230D0F"/>
    <w:rsid w:val="00231B8E"/>
    <w:rsid w:val="002326AB"/>
    <w:rsid w:val="00233BF1"/>
    <w:rsid w:val="00233D18"/>
    <w:rsid w:val="002348F8"/>
    <w:rsid w:val="00234A11"/>
    <w:rsid w:val="002363B5"/>
    <w:rsid w:val="002374AA"/>
    <w:rsid w:val="00237579"/>
    <w:rsid w:val="00237AC0"/>
    <w:rsid w:val="00242B02"/>
    <w:rsid w:val="00243430"/>
    <w:rsid w:val="00244187"/>
    <w:rsid w:val="00252ABA"/>
    <w:rsid w:val="0025646A"/>
    <w:rsid w:val="00256A24"/>
    <w:rsid w:val="002634C4"/>
    <w:rsid w:val="00264165"/>
    <w:rsid w:val="002653D6"/>
    <w:rsid w:val="0026795F"/>
    <w:rsid w:val="002706A2"/>
    <w:rsid w:val="002711D4"/>
    <w:rsid w:val="00273875"/>
    <w:rsid w:val="00274F9A"/>
    <w:rsid w:val="00276D94"/>
    <w:rsid w:val="00280465"/>
    <w:rsid w:val="00280AA6"/>
    <w:rsid w:val="00284C97"/>
    <w:rsid w:val="00285614"/>
    <w:rsid w:val="002910F5"/>
    <w:rsid w:val="002928D3"/>
    <w:rsid w:val="00292C91"/>
    <w:rsid w:val="002932A6"/>
    <w:rsid w:val="00293ADF"/>
    <w:rsid w:val="002952B8"/>
    <w:rsid w:val="002A07F9"/>
    <w:rsid w:val="002A4653"/>
    <w:rsid w:val="002A4D06"/>
    <w:rsid w:val="002A53C8"/>
    <w:rsid w:val="002A54F5"/>
    <w:rsid w:val="002A5D5F"/>
    <w:rsid w:val="002A6D46"/>
    <w:rsid w:val="002B0233"/>
    <w:rsid w:val="002B0DDA"/>
    <w:rsid w:val="002B2FE4"/>
    <w:rsid w:val="002C7E07"/>
    <w:rsid w:val="002D5B30"/>
    <w:rsid w:val="002D5D60"/>
    <w:rsid w:val="002E01FB"/>
    <w:rsid w:val="002E0BB0"/>
    <w:rsid w:val="002E2DF5"/>
    <w:rsid w:val="002E3B35"/>
    <w:rsid w:val="002E5331"/>
    <w:rsid w:val="002E621C"/>
    <w:rsid w:val="002E63BF"/>
    <w:rsid w:val="002F121C"/>
    <w:rsid w:val="002F1FE6"/>
    <w:rsid w:val="002F4E68"/>
    <w:rsid w:val="002F5CBB"/>
    <w:rsid w:val="00300225"/>
    <w:rsid w:val="003008E4"/>
    <w:rsid w:val="00300BF0"/>
    <w:rsid w:val="00300F6D"/>
    <w:rsid w:val="00305627"/>
    <w:rsid w:val="00306487"/>
    <w:rsid w:val="00312F7F"/>
    <w:rsid w:val="00314C76"/>
    <w:rsid w:val="00322309"/>
    <w:rsid w:val="00323C00"/>
    <w:rsid w:val="00324A8D"/>
    <w:rsid w:val="003263D4"/>
    <w:rsid w:val="00327C21"/>
    <w:rsid w:val="00330877"/>
    <w:rsid w:val="00332161"/>
    <w:rsid w:val="00332FCF"/>
    <w:rsid w:val="003330CA"/>
    <w:rsid w:val="00334515"/>
    <w:rsid w:val="00335D29"/>
    <w:rsid w:val="003369C5"/>
    <w:rsid w:val="00337A82"/>
    <w:rsid w:val="00337A9A"/>
    <w:rsid w:val="00340090"/>
    <w:rsid w:val="0034165B"/>
    <w:rsid w:val="00344738"/>
    <w:rsid w:val="003468CA"/>
    <w:rsid w:val="00351828"/>
    <w:rsid w:val="00352545"/>
    <w:rsid w:val="00352681"/>
    <w:rsid w:val="00352857"/>
    <w:rsid w:val="00353566"/>
    <w:rsid w:val="0035619E"/>
    <w:rsid w:val="00356431"/>
    <w:rsid w:val="00360DC5"/>
    <w:rsid w:val="00361450"/>
    <w:rsid w:val="0036514F"/>
    <w:rsid w:val="00365DE5"/>
    <w:rsid w:val="00366005"/>
    <w:rsid w:val="0036714E"/>
    <w:rsid w:val="00367331"/>
    <w:rsid w:val="003673CF"/>
    <w:rsid w:val="00367AD2"/>
    <w:rsid w:val="00370040"/>
    <w:rsid w:val="003707C4"/>
    <w:rsid w:val="003722E0"/>
    <w:rsid w:val="00372975"/>
    <w:rsid w:val="00372E52"/>
    <w:rsid w:val="00373BDE"/>
    <w:rsid w:val="0037436B"/>
    <w:rsid w:val="00375DC3"/>
    <w:rsid w:val="00376CDE"/>
    <w:rsid w:val="00380B7E"/>
    <w:rsid w:val="003819BB"/>
    <w:rsid w:val="003845C1"/>
    <w:rsid w:val="0038619C"/>
    <w:rsid w:val="003901A4"/>
    <w:rsid w:val="00393EDA"/>
    <w:rsid w:val="003941A5"/>
    <w:rsid w:val="003955C5"/>
    <w:rsid w:val="003A0699"/>
    <w:rsid w:val="003A07B5"/>
    <w:rsid w:val="003A1DB1"/>
    <w:rsid w:val="003A3E94"/>
    <w:rsid w:val="003A6F89"/>
    <w:rsid w:val="003B38C1"/>
    <w:rsid w:val="003B4838"/>
    <w:rsid w:val="003B4B0A"/>
    <w:rsid w:val="003B7791"/>
    <w:rsid w:val="003C01AA"/>
    <w:rsid w:val="003C17FB"/>
    <w:rsid w:val="003C1894"/>
    <w:rsid w:val="003C34E9"/>
    <w:rsid w:val="003C38A3"/>
    <w:rsid w:val="003C402B"/>
    <w:rsid w:val="003C4522"/>
    <w:rsid w:val="003C54BD"/>
    <w:rsid w:val="003C5C79"/>
    <w:rsid w:val="003C692C"/>
    <w:rsid w:val="003C69D4"/>
    <w:rsid w:val="003E0B05"/>
    <w:rsid w:val="003E0D1C"/>
    <w:rsid w:val="003E51F9"/>
    <w:rsid w:val="003E5B97"/>
    <w:rsid w:val="003E5C26"/>
    <w:rsid w:val="003F07EC"/>
    <w:rsid w:val="003F249C"/>
    <w:rsid w:val="003F26A1"/>
    <w:rsid w:val="003F2E30"/>
    <w:rsid w:val="003F713C"/>
    <w:rsid w:val="003F72E9"/>
    <w:rsid w:val="003F7EB4"/>
    <w:rsid w:val="00401478"/>
    <w:rsid w:val="00401C0E"/>
    <w:rsid w:val="00405202"/>
    <w:rsid w:val="00405D71"/>
    <w:rsid w:val="00406115"/>
    <w:rsid w:val="00406D82"/>
    <w:rsid w:val="00407F20"/>
    <w:rsid w:val="0041101F"/>
    <w:rsid w:val="00411798"/>
    <w:rsid w:val="00413DAC"/>
    <w:rsid w:val="0041436E"/>
    <w:rsid w:val="004152B0"/>
    <w:rsid w:val="00415E34"/>
    <w:rsid w:val="0041617F"/>
    <w:rsid w:val="00416DBE"/>
    <w:rsid w:val="00417BDF"/>
    <w:rsid w:val="00422EDE"/>
    <w:rsid w:val="00423E3E"/>
    <w:rsid w:val="00425EE2"/>
    <w:rsid w:val="00427AF4"/>
    <w:rsid w:val="00430AC9"/>
    <w:rsid w:val="0043124D"/>
    <w:rsid w:val="00433659"/>
    <w:rsid w:val="004348F4"/>
    <w:rsid w:val="00434A14"/>
    <w:rsid w:val="00435A70"/>
    <w:rsid w:val="00437D05"/>
    <w:rsid w:val="00443044"/>
    <w:rsid w:val="00444CD4"/>
    <w:rsid w:val="00446147"/>
    <w:rsid w:val="0044622C"/>
    <w:rsid w:val="004463A0"/>
    <w:rsid w:val="00452346"/>
    <w:rsid w:val="0045429D"/>
    <w:rsid w:val="00454320"/>
    <w:rsid w:val="004603C1"/>
    <w:rsid w:val="004623C5"/>
    <w:rsid w:val="0046416E"/>
    <w:rsid w:val="004647DA"/>
    <w:rsid w:val="00466E21"/>
    <w:rsid w:val="004700AD"/>
    <w:rsid w:val="00470C76"/>
    <w:rsid w:val="00471957"/>
    <w:rsid w:val="00471F9B"/>
    <w:rsid w:val="0047356B"/>
    <w:rsid w:val="00474062"/>
    <w:rsid w:val="00474602"/>
    <w:rsid w:val="0047465C"/>
    <w:rsid w:val="004746E3"/>
    <w:rsid w:val="00475A7C"/>
    <w:rsid w:val="00477D6B"/>
    <w:rsid w:val="00481A02"/>
    <w:rsid w:val="00485A2A"/>
    <w:rsid w:val="00493C24"/>
    <w:rsid w:val="00494F4A"/>
    <w:rsid w:val="00494F6E"/>
    <w:rsid w:val="0049591F"/>
    <w:rsid w:val="00495E0E"/>
    <w:rsid w:val="004A0437"/>
    <w:rsid w:val="004A0C30"/>
    <w:rsid w:val="004A219C"/>
    <w:rsid w:val="004A3B1E"/>
    <w:rsid w:val="004A43A3"/>
    <w:rsid w:val="004A58FB"/>
    <w:rsid w:val="004A5E73"/>
    <w:rsid w:val="004A61A2"/>
    <w:rsid w:val="004A7AE5"/>
    <w:rsid w:val="004B0EA1"/>
    <w:rsid w:val="004B23DE"/>
    <w:rsid w:val="004B3FBA"/>
    <w:rsid w:val="004B578F"/>
    <w:rsid w:val="004C0008"/>
    <w:rsid w:val="004C0C49"/>
    <w:rsid w:val="004C0F9F"/>
    <w:rsid w:val="004C19C1"/>
    <w:rsid w:val="004C1CEE"/>
    <w:rsid w:val="004C2617"/>
    <w:rsid w:val="004C3BBC"/>
    <w:rsid w:val="004C3F97"/>
    <w:rsid w:val="004C431E"/>
    <w:rsid w:val="004C488B"/>
    <w:rsid w:val="004C6222"/>
    <w:rsid w:val="004D0DC1"/>
    <w:rsid w:val="004D3BDF"/>
    <w:rsid w:val="004D445B"/>
    <w:rsid w:val="004D48A7"/>
    <w:rsid w:val="004D6500"/>
    <w:rsid w:val="004D6D40"/>
    <w:rsid w:val="004E0DE4"/>
    <w:rsid w:val="004E2385"/>
    <w:rsid w:val="004E69D3"/>
    <w:rsid w:val="004E6E80"/>
    <w:rsid w:val="004E78A2"/>
    <w:rsid w:val="004F4AD5"/>
    <w:rsid w:val="004F5124"/>
    <w:rsid w:val="005013CC"/>
    <w:rsid w:val="005019FF"/>
    <w:rsid w:val="00504AFA"/>
    <w:rsid w:val="00505678"/>
    <w:rsid w:val="005059CD"/>
    <w:rsid w:val="00510A9D"/>
    <w:rsid w:val="00513AC7"/>
    <w:rsid w:val="00515819"/>
    <w:rsid w:val="00516064"/>
    <w:rsid w:val="005161A3"/>
    <w:rsid w:val="00517F13"/>
    <w:rsid w:val="005207AA"/>
    <w:rsid w:val="00525B09"/>
    <w:rsid w:val="00526EFF"/>
    <w:rsid w:val="00527336"/>
    <w:rsid w:val="0053057A"/>
    <w:rsid w:val="00531B8E"/>
    <w:rsid w:val="00533D75"/>
    <w:rsid w:val="00534307"/>
    <w:rsid w:val="00537F69"/>
    <w:rsid w:val="00544743"/>
    <w:rsid w:val="005454FA"/>
    <w:rsid w:val="00552A94"/>
    <w:rsid w:val="00556076"/>
    <w:rsid w:val="0056002C"/>
    <w:rsid w:val="00560A29"/>
    <w:rsid w:val="00561DC5"/>
    <w:rsid w:val="00562BF6"/>
    <w:rsid w:val="00564AC8"/>
    <w:rsid w:val="00565211"/>
    <w:rsid w:val="00570E7B"/>
    <w:rsid w:val="00571D59"/>
    <w:rsid w:val="0057203F"/>
    <w:rsid w:val="00575361"/>
    <w:rsid w:val="005761D1"/>
    <w:rsid w:val="00577372"/>
    <w:rsid w:val="00577775"/>
    <w:rsid w:val="00580011"/>
    <w:rsid w:val="00580C9A"/>
    <w:rsid w:val="005817FA"/>
    <w:rsid w:val="00581F48"/>
    <w:rsid w:val="00582E75"/>
    <w:rsid w:val="00584FFF"/>
    <w:rsid w:val="00587F32"/>
    <w:rsid w:val="0059101B"/>
    <w:rsid w:val="00591214"/>
    <w:rsid w:val="005928CC"/>
    <w:rsid w:val="00594054"/>
    <w:rsid w:val="00595011"/>
    <w:rsid w:val="0059586A"/>
    <w:rsid w:val="005A0130"/>
    <w:rsid w:val="005A2156"/>
    <w:rsid w:val="005A3C5C"/>
    <w:rsid w:val="005A504E"/>
    <w:rsid w:val="005A5C75"/>
    <w:rsid w:val="005A6506"/>
    <w:rsid w:val="005B2EC7"/>
    <w:rsid w:val="005B2F3D"/>
    <w:rsid w:val="005B3CBB"/>
    <w:rsid w:val="005B3D01"/>
    <w:rsid w:val="005C0B1C"/>
    <w:rsid w:val="005C4AEA"/>
    <w:rsid w:val="005C4FC1"/>
    <w:rsid w:val="005C5FF0"/>
    <w:rsid w:val="005C6649"/>
    <w:rsid w:val="005C7EE0"/>
    <w:rsid w:val="005D2021"/>
    <w:rsid w:val="005D46D0"/>
    <w:rsid w:val="005D5971"/>
    <w:rsid w:val="005D733E"/>
    <w:rsid w:val="005E03BB"/>
    <w:rsid w:val="005E0474"/>
    <w:rsid w:val="005E1290"/>
    <w:rsid w:val="005E14DD"/>
    <w:rsid w:val="005E2396"/>
    <w:rsid w:val="005E2A7A"/>
    <w:rsid w:val="005E389A"/>
    <w:rsid w:val="005E441B"/>
    <w:rsid w:val="005E56C4"/>
    <w:rsid w:val="005E71FE"/>
    <w:rsid w:val="005E79C4"/>
    <w:rsid w:val="005E7A13"/>
    <w:rsid w:val="005F0A13"/>
    <w:rsid w:val="005F1E95"/>
    <w:rsid w:val="005F3DCD"/>
    <w:rsid w:val="005F4314"/>
    <w:rsid w:val="005F61AD"/>
    <w:rsid w:val="005F6D10"/>
    <w:rsid w:val="005F781A"/>
    <w:rsid w:val="005F7DFB"/>
    <w:rsid w:val="00601F16"/>
    <w:rsid w:val="006025EC"/>
    <w:rsid w:val="00603694"/>
    <w:rsid w:val="00605144"/>
    <w:rsid w:val="00605827"/>
    <w:rsid w:val="00605BD9"/>
    <w:rsid w:val="00606202"/>
    <w:rsid w:val="00610A9D"/>
    <w:rsid w:val="006116C4"/>
    <w:rsid w:val="00613DE2"/>
    <w:rsid w:val="00622B00"/>
    <w:rsid w:val="00624936"/>
    <w:rsid w:val="006251DB"/>
    <w:rsid w:val="00625F30"/>
    <w:rsid w:val="0062632C"/>
    <w:rsid w:val="00626B5F"/>
    <w:rsid w:val="00630FED"/>
    <w:rsid w:val="0063261A"/>
    <w:rsid w:val="00635B06"/>
    <w:rsid w:val="00636203"/>
    <w:rsid w:val="006362D5"/>
    <w:rsid w:val="00640DDA"/>
    <w:rsid w:val="006417C0"/>
    <w:rsid w:val="00641B7E"/>
    <w:rsid w:val="00641DF9"/>
    <w:rsid w:val="006430C3"/>
    <w:rsid w:val="0064330F"/>
    <w:rsid w:val="006441D3"/>
    <w:rsid w:val="00645718"/>
    <w:rsid w:val="00646050"/>
    <w:rsid w:val="00651C13"/>
    <w:rsid w:val="006559CA"/>
    <w:rsid w:val="006601F5"/>
    <w:rsid w:val="00660B3C"/>
    <w:rsid w:val="00665E75"/>
    <w:rsid w:val="00670E61"/>
    <w:rsid w:val="006713CA"/>
    <w:rsid w:val="00671C1E"/>
    <w:rsid w:val="00671EFB"/>
    <w:rsid w:val="00672334"/>
    <w:rsid w:val="00674A1C"/>
    <w:rsid w:val="00675446"/>
    <w:rsid w:val="00675D8F"/>
    <w:rsid w:val="006769BE"/>
    <w:rsid w:val="00676C5C"/>
    <w:rsid w:val="006816B4"/>
    <w:rsid w:val="00682153"/>
    <w:rsid w:val="00685E97"/>
    <w:rsid w:val="0069190E"/>
    <w:rsid w:val="006941DD"/>
    <w:rsid w:val="0069435F"/>
    <w:rsid w:val="00694449"/>
    <w:rsid w:val="00696037"/>
    <w:rsid w:val="00696420"/>
    <w:rsid w:val="006A1177"/>
    <w:rsid w:val="006A1EA4"/>
    <w:rsid w:val="006A217C"/>
    <w:rsid w:val="006A47D3"/>
    <w:rsid w:val="006A6085"/>
    <w:rsid w:val="006A74E7"/>
    <w:rsid w:val="006B03ED"/>
    <w:rsid w:val="006B0778"/>
    <w:rsid w:val="006B09BA"/>
    <w:rsid w:val="006B0DB3"/>
    <w:rsid w:val="006B30DC"/>
    <w:rsid w:val="006B3419"/>
    <w:rsid w:val="006B3D84"/>
    <w:rsid w:val="006B4D1D"/>
    <w:rsid w:val="006B5461"/>
    <w:rsid w:val="006B7CD9"/>
    <w:rsid w:val="006B7E02"/>
    <w:rsid w:val="006C171C"/>
    <w:rsid w:val="006C4050"/>
    <w:rsid w:val="006C43F1"/>
    <w:rsid w:val="006C4E14"/>
    <w:rsid w:val="006C6766"/>
    <w:rsid w:val="006D20DD"/>
    <w:rsid w:val="006D5CCA"/>
    <w:rsid w:val="006E246D"/>
    <w:rsid w:val="006E3003"/>
    <w:rsid w:val="006E3465"/>
    <w:rsid w:val="006E42FB"/>
    <w:rsid w:val="006E4861"/>
    <w:rsid w:val="006E6FFA"/>
    <w:rsid w:val="006E7009"/>
    <w:rsid w:val="006E7923"/>
    <w:rsid w:val="006E7DDF"/>
    <w:rsid w:val="006F0D2C"/>
    <w:rsid w:val="006F2208"/>
    <w:rsid w:val="006F524B"/>
    <w:rsid w:val="0070055E"/>
    <w:rsid w:val="00703E3A"/>
    <w:rsid w:val="00704731"/>
    <w:rsid w:val="007052A6"/>
    <w:rsid w:val="0070699A"/>
    <w:rsid w:val="0070716F"/>
    <w:rsid w:val="00707948"/>
    <w:rsid w:val="00707980"/>
    <w:rsid w:val="00710B31"/>
    <w:rsid w:val="00711C97"/>
    <w:rsid w:val="00713FB7"/>
    <w:rsid w:val="00716835"/>
    <w:rsid w:val="00716F5E"/>
    <w:rsid w:val="00720EFD"/>
    <w:rsid w:val="00723C89"/>
    <w:rsid w:val="00724D45"/>
    <w:rsid w:val="007259C5"/>
    <w:rsid w:val="00725F2B"/>
    <w:rsid w:val="00735F5A"/>
    <w:rsid w:val="0073666E"/>
    <w:rsid w:val="00736F98"/>
    <w:rsid w:val="007429CC"/>
    <w:rsid w:val="007459DC"/>
    <w:rsid w:val="00745A39"/>
    <w:rsid w:val="00745C2C"/>
    <w:rsid w:val="007469CC"/>
    <w:rsid w:val="00746A4F"/>
    <w:rsid w:val="00751A48"/>
    <w:rsid w:val="0075321A"/>
    <w:rsid w:val="007549BE"/>
    <w:rsid w:val="00754B8E"/>
    <w:rsid w:val="00756199"/>
    <w:rsid w:val="00756BB4"/>
    <w:rsid w:val="007630F7"/>
    <w:rsid w:val="00764590"/>
    <w:rsid w:val="00766901"/>
    <w:rsid w:val="00767126"/>
    <w:rsid w:val="007675E4"/>
    <w:rsid w:val="0077071F"/>
    <w:rsid w:val="00770B7A"/>
    <w:rsid w:val="00770E96"/>
    <w:rsid w:val="00772053"/>
    <w:rsid w:val="0077361B"/>
    <w:rsid w:val="0077452F"/>
    <w:rsid w:val="007748E3"/>
    <w:rsid w:val="00776A1D"/>
    <w:rsid w:val="00781847"/>
    <w:rsid w:val="00782A20"/>
    <w:rsid w:val="00784D0B"/>
    <w:rsid w:val="007854AF"/>
    <w:rsid w:val="00787770"/>
    <w:rsid w:val="00787DFF"/>
    <w:rsid w:val="007909A0"/>
    <w:rsid w:val="00790CA7"/>
    <w:rsid w:val="00792F21"/>
    <w:rsid w:val="00793A7C"/>
    <w:rsid w:val="00793B2A"/>
    <w:rsid w:val="007954FB"/>
    <w:rsid w:val="007959F1"/>
    <w:rsid w:val="00796C5F"/>
    <w:rsid w:val="00797426"/>
    <w:rsid w:val="007A1153"/>
    <w:rsid w:val="007A3398"/>
    <w:rsid w:val="007A398A"/>
    <w:rsid w:val="007A6952"/>
    <w:rsid w:val="007A77B6"/>
    <w:rsid w:val="007B0C23"/>
    <w:rsid w:val="007B1E5D"/>
    <w:rsid w:val="007B1E8E"/>
    <w:rsid w:val="007B5559"/>
    <w:rsid w:val="007B7780"/>
    <w:rsid w:val="007C3D8A"/>
    <w:rsid w:val="007C66F9"/>
    <w:rsid w:val="007D1613"/>
    <w:rsid w:val="007D1F15"/>
    <w:rsid w:val="007D23B7"/>
    <w:rsid w:val="007D2ED1"/>
    <w:rsid w:val="007D5AA2"/>
    <w:rsid w:val="007D6682"/>
    <w:rsid w:val="007D714A"/>
    <w:rsid w:val="007D7648"/>
    <w:rsid w:val="007E042E"/>
    <w:rsid w:val="007E1C08"/>
    <w:rsid w:val="007E3972"/>
    <w:rsid w:val="007E433E"/>
    <w:rsid w:val="007E4C0E"/>
    <w:rsid w:val="007E7AF9"/>
    <w:rsid w:val="007F2AF8"/>
    <w:rsid w:val="007F5702"/>
    <w:rsid w:val="007F77ED"/>
    <w:rsid w:val="0080072C"/>
    <w:rsid w:val="008009F2"/>
    <w:rsid w:val="00801671"/>
    <w:rsid w:val="008032ED"/>
    <w:rsid w:val="008042E7"/>
    <w:rsid w:val="00812BA0"/>
    <w:rsid w:val="008139C0"/>
    <w:rsid w:val="00815C09"/>
    <w:rsid w:val="00815E41"/>
    <w:rsid w:val="008176F7"/>
    <w:rsid w:val="00820E94"/>
    <w:rsid w:val="008229CD"/>
    <w:rsid w:val="00822C29"/>
    <w:rsid w:val="00823B76"/>
    <w:rsid w:val="0082588F"/>
    <w:rsid w:val="00826024"/>
    <w:rsid w:val="0082788F"/>
    <w:rsid w:val="00831FC8"/>
    <w:rsid w:val="0083371D"/>
    <w:rsid w:val="0084079E"/>
    <w:rsid w:val="00840B2E"/>
    <w:rsid w:val="008411BC"/>
    <w:rsid w:val="00843DFF"/>
    <w:rsid w:val="00845D53"/>
    <w:rsid w:val="008460D1"/>
    <w:rsid w:val="00847190"/>
    <w:rsid w:val="00850386"/>
    <w:rsid w:val="0085084A"/>
    <w:rsid w:val="008516EE"/>
    <w:rsid w:val="008532E1"/>
    <w:rsid w:val="00855D5E"/>
    <w:rsid w:val="008567F2"/>
    <w:rsid w:val="00860F0F"/>
    <w:rsid w:val="00864DB6"/>
    <w:rsid w:val="00865B60"/>
    <w:rsid w:val="00873CB8"/>
    <w:rsid w:val="00877A18"/>
    <w:rsid w:val="00880C01"/>
    <w:rsid w:val="00883C7E"/>
    <w:rsid w:val="00884804"/>
    <w:rsid w:val="00885C2D"/>
    <w:rsid w:val="00886518"/>
    <w:rsid w:val="00890C1D"/>
    <w:rsid w:val="00890EC6"/>
    <w:rsid w:val="00891BA0"/>
    <w:rsid w:val="00891BD8"/>
    <w:rsid w:val="00891F03"/>
    <w:rsid w:val="00895CEF"/>
    <w:rsid w:val="008963B0"/>
    <w:rsid w:val="008A134B"/>
    <w:rsid w:val="008A22AF"/>
    <w:rsid w:val="008A2FA9"/>
    <w:rsid w:val="008A31E4"/>
    <w:rsid w:val="008A4FF3"/>
    <w:rsid w:val="008A6027"/>
    <w:rsid w:val="008A6DA9"/>
    <w:rsid w:val="008B2CC1"/>
    <w:rsid w:val="008B3FC9"/>
    <w:rsid w:val="008B4E9D"/>
    <w:rsid w:val="008B60B2"/>
    <w:rsid w:val="008B78EF"/>
    <w:rsid w:val="008C0563"/>
    <w:rsid w:val="008C3DA8"/>
    <w:rsid w:val="008C498D"/>
    <w:rsid w:val="008C5B81"/>
    <w:rsid w:val="008C70F4"/>
    <w:rsid w:val="008D1D63"/>
    <w:rsid w:val="008D235C"/>
    <w:rsid w:val="008D566F"/>
    <w:rsid w:val="008D5863"/>
    <w:rsid w:val="008D71E4"/>
    <w:rsid w:val="008E1A14"/>
    <w:rsid w:val="008E7349"/>
    <w:rsid w:val="008F2AA2"/>
    <w:rsid w:val="008F5749"/>
    <w:rsid w:val="008F61FA"/>
    <w:rsid w:val="0090058B"/>
    <w:rsid w:val="00900AC6"/>
    <w:rsid w:val="0090159D"/>
    <w:rsid w:val="00902418"/>
    <w:rsid w:val="009025DB"/>
    <w:rsid w:val="00902772"/>
    <w:rsid w:val="00902E1F"/>
    <w:rsid w:val="00904844"/>
    <w:rsid w:val="00905002"/>
    <w:rsid w:val="00905C38"/>
    <w:rsid w:val="00905F05"/>
    <w:rsid w:val="00907285"/>
    <w:rsid w:val="0090731E"/>
    <w:rsid w:val="00916EE2"/>
    <w:rsid w:val="00922839"/>
    <w:rsid w:val="00923A8B"/>
    <w:rsid w:val="00924258"/>
    <w:rsid w:val="00924AEA"/>
    <w:rsid w:val="00924BF6"/>
    <w:rsid w:val="009259AC"/>
    <w:rsid w:val="00927473"/>
    <w:rsid w:val="00930CB2"/>
    <w:rsid w:val="00931DFC"/>
    <w:rsid w:val="00934407"/>
    <w:rsid w:val="0093465B"/>
    <w:rsid w:val="0093684D"/>
    <w:rsid w:val="009413F8"/>
    <w:rsid w:val="009438B1"/>
    <w:rsid w:val="00951D6A"/>
    <w:rsid w:val="00953204"/>
    <w:rsid w:val="0095345A"/>
    <w:rsid w:val="009539C7"/>
    <w:rsid w:val="00960A6B"/>
    <w:rsid w:val="00962D0B"/>
    <w:rsid w:val="00962E1D"/>
    <w:rsid w:val="00962F5F"/>
    <w:rsid w:val="0096303E"/>
    <w:rsid w:val="00963FFD"/>
    <w:rsid w:val="00964BE4"/>
    <w:rsid w:val="00966A22"/>
    <w:rsid w:val="0096722F"/>
    <w:rsid w:val="00976C7E"/>
    <w:rsid w:val="00980843"/>
    <w:rsid w:val="00981679"/>
    <w:rsid w:val="00982B96"/>
    <w:rsid w:val="0098686D"/>
    <w:rsid w:val="009912A5"/>
    <w:rsid w:val="00992514"/>
    <w:rsid w:val="00992CEB"/>
    <w:rsid w:val="00995DB3"/>
    <w:rsid w:val="00996591"/>
    <w:rsid w:val="009969A3"/>
    <w:rsid w:val="009A01E5"/>
    <w:rsid w:val="009A0F0A"/>
    <w:rsid w:val="009A11F2"/>
    <w:rsid w:val="009A31E5"/>
    <w:rsid w:val="009A48E6"/>
    <w:rsid w:val="009A5A9B"/>
    <w:rsid w:val="009A6222"/>
    <w:rsid w:val="009A7750"/>
    <w:rsid w:val="009B14B4"/>
    <w:rsid w:val="009B1629"/>
    <w:rsid w:val="009B2715"/>
    <w:rsid w:val="009B56C8"/>
    <w:rsid w:val="009C0793"/>
    <w:rsid w:val="009C32C6"/>
    <w:rsid w:val="009C4927"/>
    <w:rsid w:val="009C5D48"/>
    <w:rsid w:val="009C7E8A"/>
    <w:rsid w:val="009D000C"/>
    <w:rsid w:val="009D3B75"/>
    <w:rsid w:val="009D504C"/>
    <w:rsid w:val="009E08C7"/>
    <w:rsid w:val="009E1F57"/>
    <w:rsid w:val="009E2657"/>
    <w:rsid w:val="009E2791"/>
    <w:rsid w:val="009E3F6F"/>
    <w:rsid w:val="009E483D"/>
    <w:rsid w:val="009E4F18"/>
    <w:rsid w:val="009E6035"/>
    <w:rsid w:val="009E7D4C"/>
    <w:rsid w:val="009F499F"/>
    <w:rsid w:val="00A016D1"/>
    <w:rsid w:val="00A01841"/>
    <w:rsid w:val="00A02868"/>
    <w:rsid w:val="00A02F92"/>
    <w:rsid w:val="00A033DB"/>
    <w:rsid w:val="00A038FC"/>
    <w:rsid w:val="00A04216"/>
    <w:rsid w:val="00A06429"/>
    <w:rsid w:val="00A10FE9"/>
    <w:rsid w:val="00A11E4B"/>
    <w:rsid w:val="00A13457"/>
    <w:rsid w:val="00A1493D"/>
    <w:rsid w:val="00A16628"/>
    <w:rsid w:val="00A214A8"/>
    <w:rsid w:val="00A234A2"/>
    <w:rsid w:val="00A235F3"/>
    <w:rsid w:val="00A23A4A"/>
    <w:rsid w:val="00A23C50"/>
    <w:rsid w:val="00A25B73"/>
    <w:rsid w:val="00A25BD7"/>
    <w:rsid w:val="00A264B3"/>
    <w:rsid w:val="00A26BB1"/>
    <w:rsid w:val="00A30579"/>
    <w:rsid w:val="00A36D79"/>
    <w:rsid w:val="00A37342"/>
    <w:rsid w:val="00A40444"/>
    <w:rsid w:val="00A41BA8"/>
    <w:rsid w:val="00A42DAF"/>
    <w:rsid w:val="00A446EA"/>
    <w:rsid w:val="00A447FC"/>
    <w:rsid w:val="00A45BD8"/>
    <w:rsid w:val="00A4763B"/>
    <w:rsid w:val="00A53BBB"/>
    <w:rsid w:val="00A600BB"/>
    <w:rsid w:val="00A6213B"/>
    <w:rsid w:val="00A629EF"/>
    <w:rsid w:val="00A6384E"/>
    <w:rsid w:val="00A64418"/>
    <w:rsid w:val="00A64847"/>
    <w:rsid w:val="00A64EED"/>
    <w:rsid w:val="00A6656C"/>
    <w:rsid w:val="00A76EF4"/>
    <w:rsid w:val="00A776DF"/>
    <w:rsid w:val="00A808B9"/>
    <w:rsid w:val="00A8291D"/>
    <w:rsid w:val="00A84002"/>
    <w:rsid w:val="00A8678F"/>
    <w:rsid w:val="00A869B7"/>
    <w:rsid w:val="00A90062"/>
    <w:rsid w:val="00A91DBD"/>
    <w:rsid w:val="00A962AB"/>
    <w:rsid w:val="00A96F1E"/>
    <w:rsid w:val="00A973B6"/>
    <w:rsid w:val="00A97AC0"/>
    <w:rsid w:val="00AA0A55"/>
    <w:rsid w:val="00AA1044"/>
    <w:rsid w:val="00AA105D"/>
    <w:rsid w:val="00AA2499"/>
    <w:rsid w:val="00AA3206"/>
    <w:rsid w:val="00AA45FE"/>
    <w:rsid w:val="00AA71C4"/>
    <w:rsid w:val="00AA7DB5"/>
    <w:rsid w:val="00AB01F6"/>
    <w:rsid w:val="00AB3420"/>
    <w:rsid w:val="00AB345C"/>
    <w:rsid w:val="00AB3E5D"/>
    <w:rsid w:val="00AB4384"/>
    <w:rsid w:val="00AB618A"/>
    <w:rsid w:val="00AB7DAA"/>
    <w:rsid w:val="00AC0C58"/>
    <w:rsid w:val="00AC205C"/>
    <w:rsid w:val="00AC32F3"/>
    <w:rsid w:val="00AC339B"/>
    <w:rsid w:val="00AC3FB9"/>
    <w:rsid w:val="00AC599C"/>
    <w:rsid w:val="00AD0114"/>
    <w:rsid w:val="00AD64F0"/>
    <w:rsid w:val="00AE04D0"/>
    <w:rsid w:val="00AE33C8"/>
    <w:rsid w:val="00AE6529"/>
    <w:rsid w:val="00AF0A6B"/>
    <w:rsid w:val="00AF12B1"/>
    <w:rsid w:val="00AF1F9F"/>
    <w:rsid w:val="00AF25E5"/>
    <w:rsid w:val="00AF3AAE"/>
    <w:rsid w:val="00AF43EB"/>
    <w:rsid w:val="00AF5F15"/>
    <w:rsid w:val="00AF712E"/>
    <w:rsid w:val="00B01FC1"/>
    <w:rsid w:val="00B027F7"/>
    <w:rsid w:val="00B02EBA"/>
    <w:rsid w:val="00B0497F"/>
    <w:rsid w:val="00B05A69"/>
    <w:rsid w:val="00B06873"/>
    <w:rsid w:val="00B126A0"/>
    <w:rsid w:val="00B13E5F"/>
    <w:rsid w:val="00B1586A"/>
    <w:rsid w:val="00B15C45"/>
    <w:rsid w:val="00B2060B"/>
    <w:rsid w:val="00B25532"/>
    <w:rsid w:val="00B25EF6"/>
    <w:rsid w:val="00B275BC"/>
    <w:rsid w:val="00B27FDC"/>
    <w:rsid w:val="00B319D9"/>
    <w:rsid w:val="00B32031"/>
    <w:rsid w:val="00B3381D"/>
    <w:rsid w:val="00B33BDC"/>
    <w:rsid w:val="00B35A84"/>
    <w:rsid w:val="00B42317"/>
    <w:rsid w:val="00B4279C"/>
    <w:rsid w:val="00B42C93"/>
    <w:rsid w:val="00B42E82"/>
    <w:rsid w:val="00B4327F"/>
    <w:rsid w:val="00B45265"/>
    <w:rsid w:val="00B52523"/>
    <w:rsid w:val="00B532F5"/>
    <w:rsid w:val="00B60A9B"/>
    <w:rsid w:val="00B624B9"/>
    <w:rsid w:val="00B6343D"/>
    <w:rsid w:val="00B65336"/>
    <w:rsid w:val="00B65544"/>
    <w:rsid w:val="00B65BE1"/>
    <w:rsid w:val="00B66D76"/>
    <w:rsid w:val="00B66F0D"/>
    <w:rsid w:val="00B75281"/>
    <w:rsid w:val="00B76BE6"/>
    <w:rsid w:val="00B813A3"/>
    <w:rsid w:val="00B83D9F"/>
    <w:rsid w:val="00B86606"/>
    <w:rsid w:val="00B8785C"/>
    <w:rsid w:val="00B92669"/>
    <w:rsid w:val="00B92F1F"/>
    <w:rsid w:val="00B94D30"/>
    <w:rsid w:val="00B94EF5"/>
    <w:rsid w:val="00B96C09"/>
    <w:rsid w:val="00B9734B"/>
    <w:rsid w:val="00BA099F"/>
    <w:rsid w:val="00BA0A6A"/>
    <w:rsid w:val="00BA30E2"/>
    <w:rsid w:val="00BA316F"/>
    <w:rsid w:val="00BA5D21"/>
    <w:rsid w:val="00BA61D9"/>
    <w:rsid w:val="00BA6286"/>
    <w:rsid w:val="00BA71A8"/>
    <w:rsid w:val="00BA722F"/>
    <w:rsid w:val="00BB020C"/>
    <w:rsid w:val="00BB0F9C"/>
    <w:rsid w:val="00BB152F"/>
    <w:rsid w:val="00BB53EA"/>
    <w:rsid w:val="00BB7921"/>
    <w:rsid w:val="00BB7D8F"/>
    <w:rsid w:val="00BC0A8D"/>
    <w:rsid w:val="00BC0D41"/>
    <w:rsid w:val="00BC1947"/>
    <w:rsid w:val="00BC48D2"/>
    <w:rsid w:val="00BC6B03"/>
    <w:rsid w:val="00BC787B"/>
    <w:rsid w:val="00BC7AC6"/>
    <w:rsid w:val="00BD0AF9"/>
    <w:rsid w:val="00BD108E"/>
    <w:rsid w:val="00BD154E"/>
    <w:rsid w:val="00BD3DCF"/>
    <w:rsid w:val="00BD5328"/>
    <w:rsid w:val="00BD5D2A"/>
    <w:rsid w:val="00BD740B"/>
    <w:rsid w:val="00BE0CDD"/>
    <w:rsid w:val="00BE3E85"/>
    <w:rsid w:val="00BE44C6"/>
    <w:rsid w:val="00BE451D"/>
    <w:rsid w:val="00BF106E"/>
    <w:rsid w:val="00BF1EFC"/>
    <w:rsid w:val="00BF5131"/>
    <w:rsid w:val="00C022F2"/>
    <w:rsid w:val="00C03DB5"/>
    <w:rsid w:val="00C06A04"/>
    <w:rsid w:val="00C072C6"/>
    <w:rsid w:val="00C07795"/>
    <w:rsid w:val="00C11BFE"/>
    <w:rsid w:val="00C147B2"/>
    <w:rsid w:val="00C14C39"/>
    <w:rsid w:val="00C14E02"/>
    <w:rsid w:val="00C17A63"/>
    <w:rsid w:val="00C21005"/>
    <w:rsid w:val="00C217BA"/>
    <w:rsid w:val="00C231FC"/>
    <w:rsid w:val="00C232F1"/>
    <w:rsid w:val="00C25569"/>
    <w:rsid w:val="00C27E2A"/>
    <w:rsid w:val="00C30293"/>
    <w:rsid w:val="00C32E10"/>
    <w:rsid w:val="00C402C2"/>
    <w:rsid w:val="00C403C1"/>
    <w:rsid w:val="00C414B5"/>
    <w:rsid w:val="00C41B82"/>
    <w:rsid w:val="00C41F84"/>
    <w:rsid w:val="00C47DCF"/>
    <w:rsid w:val="00C5068F"/>
    <w:rsid w:val="00C5393D"/>
    <w:rsid w:val="00C54231"/>
    <w:rsid w:val="00C545F3"/>
    <w:rsid w:val="00C55B3D"/>
    <w:rsid w:val="00C5612E"/>
    <w:rsid w:val="00C6340D"/>
    <w:rsid w:val="00C63E30"/>
    <w:rsid w:val="00C66D51"/>
    <w:rsid w:val="00C7039F"/>
    <w:rsid w:val="00C70F9C"/>
    <w:rsid w:val="00C7315E"/>
    <w:rsid w:val="00C74330"/>
    <w:rsid w:val="00C745B6"/>
    <w:rsid w:val="00C75086"/>
    <w:rsid w:val="00C758B6"/>
    <w:rsid w:val="00C84C90"/>
    <w:rsid w:val="00C86D74"/>
    <w:rsid w:val="00C877F0"/>
    <w:rsid w:val="00C8780C"/>
    <w:rsid w:val="00C91F48"/>
    <w:rsid w:val="00C9401D"/>
    <w:rsid w:val="00C9418C"/>
    <w:rsid w:val="00C943C0"/>
    <w:rsid w:val="00C95C8F"/>
    <w:rsid w:val="00C96D88"/>
    <w:rsid w:val="00CA13B7"/>
    <w:rsid w:val="00CA1F47"/>
    <w:rsid w:val="00CA2C5B"/>
    <w:rsid w:val="00CA4646"/>
    <w:rsid w:val="00CA4923"/>
    <w:rsid w:val="00CA51AF"/>
    <w:rsid w:val="00CA66AE"/>
    <w:rsid w:val="00CB0C15"/>
    <w:rsid w:val="00CB1CFF"/>
    <w:rsid w:val="00CB3081"/>
    <w:rsid w:val="00CB3941"/>
    <w:rsid w:val="00CB43DB"/>
    <w:rsid w:val="00CB6D53"/>
    <w:rsid w:val="00CC1BF5"/>
    <w:rsid w:val="00CC281F"/>
    <w:rsid w:val="00CC319F"/>
    <w:rsid w:val="00CC3514"/>
    <w:rsid w:val="00CC3D23"/>
    <w:rsid w:val="00CC46C2"/>
    <w:rsid w:val="00CC67F3"/>
    <w:rsid w:val="00CD04F1"/>
    <w:rsid w:val="00CD0D3B"/>
    <w:rsid w:val="00CD1828"/>
    <w:rsid w:val="00CD2CEC"/>
    <w:rsid w:val="00CD2E86"/>
    <w:rsid w:val="00CD3D06"/>
    <w:rsid w:val="00CE1A67"/>
    <w:rsid w:val="00CE54AE"/>
    <w:rsid w:val="00CE5DEA"/>
    <w:rsid w:val="00CE62BA"/>
    <w:rsid w:val="00CE63A9"/>
    <w:rsid w:val="00CE68D8"/>
    <w:rsid w:val="00CE785F"/>
    <w:rsid w:val="00CF059F"/>
    <w:rsid w:val="00CF185E"/>
    <w:rsid w:val="00CF2159"/>
    <w:rsid w:val="00CF2881"/>
    <w:rsid w:val="00CF29D8"/>
    <w:rsid w:val="00CF2CC0"/>
    <w:rsid w:val="00CF3C52"/>
    <w:rsid w:val="00CF478C"/>
    <w:rsid w:val="00CF4DAB"/>
    <w:rsid w:val="00CF66B6"/>
    <w:rsid w:val="00CF681A"/>
    <w:rsid w:val="00CF78EE"/>
    <w:rsid w:val="00D0034E"/>
    <w:rsid w:val="00D01B45"/>
    <w:rsid w:val="00D01E9D"/>
    <w:rsid w:val="00D03332"/>
    <w:rsid w:val="00D04569"/>
    <w:rsid w:val="00D05BF2"/>
    <w:rsid w:val="00D07316"/>
    <w:rsid w:val="00D07B50"/>
    <w:rsid w:val="00D07C78"/>
    <w:rsid w:val="00D11329"/>
    <w:rsid w:val="00D143D2"/>
    <w:rsid w:val="00D15121"/>
    <w:rsid w:val="00D15267"/>
    <w:rsid w:val="00D159D9"/>
    <w:rsid w:val="00D200EF"/>
    <w:rsid w:val="00D21538"/>
    <w:rsid w:val="00D21AEB"/>
    <w:rsid w:val="00D223D0"/>
    <w:rsid w:val="00D22F93"/>
    <w:rsid w:val="00D24B15"/>
    <w:rsid w:val="00D26A62"/>
    <w:rsid w:val="00D2758A"/>
    <w:rsid w:val="00D27692"/>
    <w:rsid w:val="00D27F9D"/>
    <w:rsid w:val="00D30A8B"/>
    <w:rsid w:val="00D30B06"/>
    <w:rsid w:val="00D3614F"/>
    <w:rsid w:val="00D36997"/>
    <w:rsid w:val="00D372CE"/>
    <w:rsid w:val="00D41AA6"/>
    <w:rsid w:val="00D4285D"/>
    <w:rsid w:val="00D45252"/>
    <w:rsid w:val="00D45A69"/>
    <w:rsid w:val="00D525CC"/>
    <w:rsid w:val="00D527BF"/>
    <w:rsid w:val="00D548CA"/>
    <w:rsid w:val="00D54A57"/>
    <w:rsid w:val="00D56197"/>
    <w:rsid w:val="00D612CE"/>
    <w:rsid w:val="00D61611"/>
    <w:rsid w:val="00D62CEF"/>
    <w:rsid w:val="00D63855"/>
    <w:rsid w:val="00D64F69"/>
    <w:rsid w:val="00D710FE"/>
    <w:rsid w:val="00D71296"/>
    <w:rsid w:val="00D71B4D"/>
    <w:rsid w:val="00D77568"/>
    <w:rsid w:val="00D77979"/>
    <w:rsid w:val="00D77F24"/>
    <w:rsid w:val="00D802E8"/>
    <w:rsid w:val="00D83CF2"/>
    <w:rsid w:val="00D8554E"/>
    <w:rsid w:val="00D93088"/>
    <w:rsid w:val="00D93D55"/>
    <w:rsid w:val="00D96C78"/>
    <w:rsid w:val="00D97929"/>
    <w:rsid w:val="00DA0555"/>
    <w:rsid w:val="00DA3A6B"/>
    <w:rsid w:val="00DA7D4F"/>
    <w:rsid w:val="00DB05C9"/>
    <w:rsid w:val="00DB1999"/>
    <w:rsid w:val="00DB29C8"/>
    <w:rsid w:val="00DB4590"/>
    <w:rsid w:val="00DB49BC"/>
    <w:rsid w:val="00DB509C"/>
    <w:rsid w:val="00DB5701"/>
    <w:rsid w:val="00DB5A73"/>
    <w:rsid w:val="00DB65FF"/>
    <w:rsid w:val="00DB69E9"/>
    <w:rsid w:val="00DC0423"/>
    <w:rsid w:val="00DC1194"/>
    <w:rsid w:val="00DC1926"/>
    <w:rsid w:val="00DC2381"/>
    <w:rsid w:val="00DC327E"/>
    <w:rsid w:val="00DC530F"/>
    <w:rsid w:val="00DC7153"/>
    <w:rsid w:val="00DD149A"/>
    <w:rsid w:val="00DD1B59"/>
    <w:rsid w:val="00DD2DC5"/>
    <w:rsid w:val="00DD31D0"/>
    <w:rsid w:val="00DD3924"/>
    <w:rsid w:val="00DD57C5"/>
    <w:rsid w:val="00DD6719"/>
    <w:rsid w:val="00DD7B7F"/>
    <w:rsid w:val="00DE0E50"/>
    <w:rsid w:val="00DE4502"/>
    <w:rsid w:val="00DE5DD2"/>
    <w:rsid w:val="00DE5DDE"/>
    <w:rsid w:val="00DE79BF"/>
    <w:rsid w:val="00DE7FFC"/>
    <w:rsid w:val="00DF1551"/>
    <w:rsid w:val="00DF1C6D"/>
    <w:rsid w:val="00DF34F7"/>
    <w:rsid w:val="00DF3DB1"/>
    <w:rsid w:val="00DF5481"/>
    <w:rsid w:val="00DF7014"/>
    <w:rsid w:val="00DF7C9D"/>
    <w:rsid w:val="00E0072F"/>
    <w:rsid w:val="00E0225E"/>
    <w:rsid w:val="00E07704"/>
    <w:rsid w:val="00E125B4"/>
    <w:rsid w:val="00E15015"/>
    <w:rsid w:val="00E168C5"/>
    <w:rsid w:val="00E20381"/>
    <w:rsid w:val="00E2051B"/>
    <w:rsid w:val="00E20892"/>
    <w:rsid w:val="00E22734"/>
    <w:rsid w:val="00E23B0D"/>
    <w:rsid w:val="00E270BB"/>
    <w:rsid w:val="00E307FF"/>
    <w:rsid w:val="00E32B14"/>
    <w:rsid w:val="00E32D4C"/>
    <w:rsid w:val="00E335FE"/>
    <w:rsid w:val="00E36FDD"/>
    <w:rsid w:val="00E42094"/>
    <w:rsid w:val="00E627B8"/>
    <w:rsid w:val="00E65328"/>
    <w:rsid w:val="00E66903"/>
    <w:rsid w:val="00E66B90"/>
    <w:rsid w:val="00E7229B"/>
    <w:rsid w:val="00E726C8"/>
    <w:rsid w:val="00E72BFB"/>
    <w:rsid w:val="00E733EF"/>
    <w:rsid w:val="00E75267"/>
    <w:rsid w:val="00E8069A"/>
    <w:rsid w:val="00E8148A"/>
    <w:rsid w:val="00E90A87"/>
    <w:rsid w:val="00E94143"/>
    <w:rsid w:val="00E94981"/>
    <w:rsid w:val="00E970FD"/>
    <w:rsid w:val="00EA0850"/>
    <w:rsid w:val="00EA0AAB"/>
    <w:rsid w:val="00EA0BE3"/>
    <w:rsid w:val="00EA2F49"/>
    <w:rsid w:val="00EA3BF1"/>
    <w:rsid w:val="00EA3DD7"/>
    <w:rsid w:val="00EA4218"/>
    <w:rsid w:val="00EA43B6"/>
    <w:rsid w:val="00EA47E0"/>
    <w:rsid w:val="00EA62EC"/>
    <w:rsid w:val="00EA75F9"/>
    <w:rsid w:val="00EA7B0D"/>
    <w:rsid w:val="00EA7D6E"/>
    <w:rsid w:val="00EB2221"/>
    <w:rsid w:val="00EB243E"/>
    <w:rsid w:val="00EB2F76"/>
    <w:rsid w:val="00EB45DF"/>
    <w:rsid w:val="00EB4E90"/>
    <w:rsid w:val="00EB4FD9"/>
    <w:rsid w:val="00EB5C8A"/>
    <w:rsid w:val="00EB78BD"/>
    <w:rsid w:val="00EC1709"/>
    <w:rsid w:val="00EC170C"/>
    <w:rsid w:val="00EC28FE"/>
    <w:rsid w:val="00EC3D28"/>
    <w:rsid w:val="00EC4E49"/>
    <w:rsid w:val="00EC720B"/>
    <w:rsid w:val="00EC73A8"/>
    <w:rsid w:val="00ED032E"/>
    <w:rsid w:val="00ED0A4A"/>
    <w:rsid w:val="00ED2243"/>
    <w:rsid w:val="00ED500B"/>
    <w:rsid w:val="00ED66FF"/>
    <w:rsid w:val="00ED77FB"/>
    <w:rsid w:val="00EE11A5"/>
    <w:rsid w:val="00EE15B2"/>
    <w:rsid w:val="00EE2A96"/>
    <w:rsid w:val="00EE3FE5"/>
    <w:rsid w:val="00EE45FA"/>
    <w:rsid w:val="00EE5775"/>
    <w:rsid w:val="00EE60BB"/>
    <w:rsid w:val="00EF0364"/>
    <w:rsid w:val="00EF1F79"/>
    <w:rsid w:val="00EF2707"/>
    <w:rsid w:val="00EF38CB"/>
    <w:rsid w:val="00EF6725"/>
    <w:rsid w:val="00F01FAB"/>
    <w:rsid w:val="00F0409C"/>
    <w:rsid w:val="00F042F1"/>
    <w:rsid w:val="00F043DE"/>
    <w:rsid w:val="00F0544D"/>
    <w:rsid w:val="00F1049B"/>
    <w:rsid w:val="00F10611"/>
    <w:rsid w:val="00F11311"/>
    <w:rsid w:val="00F12486"/>
    <w:rsid w:val="00F1353B"/>
    <w:rsid w:val="00F13A9F"/>
    <w:rsid w:val="00F1543B"/>
    <w:rsid w:val="00F165A7"/>
    <w:rsid w:val="00F1786D"/>
    <w:rsid w:val="00F23366"/>
    <w:rsid w:val="00F25006"/>
    <w:rsid w:val="00F2733C"/>
    <w:rsid w:val="00F311B1"/>
    <w:rsid w:val="00F33C38"/>
    <w:rsid w:val="00F345BB"/>
    <w:rsid w:val="00F35233"/>
    <w:rsid w:val="00F3681E"/>
    <w:rsid w:val="00F37BBC"/>
    <w:rsid w:val="00F41463"/>
    <w:rsid w:val="00F427D5"/>
    <w:rsid w:val="00F42CDC"/>
    <w:rsid w:val="00F43189"/>
    <w:rsid w:val="00F43DD7"/>
    <w:rsid w:val="00F4476D"/>
    <w:rsid w:val="00F45115"/>
    <w:rsid w:val="00F453BA"/>
    <w:rsid w:val="00F45BFB"/>
    <w:rsid w:val="00F45F47"/>
    <w:rsid w:val="00F46C01"/>
    <w:rsid w:val="00F47A06"/>
    <w:rsid w:val="00F552CB"/>
    <w:rsid w:val="00F600A3"/>
    <w:rsid w:val="00F615AC"/>
    <w:rsid w:val="00F61AB2"/>
    <w:rsid w:val="00F61C02"/>
    <w:rsid w:val="00F62ED2"/>
    <w:rsid w:val="00F63261"/>
    <w:rsid w:val="00F6391A"/>
    <w:rsid w:val="00F6456A"/>
    <w:rsid w:val="00F6460C"/>
    <w:rsid w:val="00F66152"/>
    <w:rsid w:val="00F75652"/>
    <w:rsid w:val="00F75CB0"/>
    <w:rsid w:val="00F76D75"/>
    <w:rsid w:val="00F77CB7"/>
    <w:rsid w:val="00F82203"/>
    <w:rsid w:val="00F83D9A"/>
    <w:rsid w:val="00F85ACF"/>
    <w:rsid w:val="00F85D57"/>
    <w:rsid w:val="00F86046"/>
    <w:rsid w:val="00F86F8A"/>
    <w:rsid w:val="00F9165B"/>
    <w:rsid w:val="00F965ED"/>
    <w:rsid w:val="00F96FE4"/>
    <w:rsid w:val="00F97245"/>
    <w:rsid w:val="00F97309"/>
    <w:rsid w:val="00FA0157"/>
    <w:rsid w:val="00FA0437"/>
    <w:rsid w:val="00FA1448"/>
    <w:rsid w:val="00FA4BE5"/>
    <w:rsid w:val="00FA7184"/>
    <w:rsid w:val="00FA765D"/>
    <w:rsid w:val="00FB0DD0"/>
    <w:rsid w:val="00FB0F0A"/>
    <w:rsid w:val="00FB1901"/>
    <w:rsid w:val="00FB2B6D"/>
    <w:rsid w:val="00FB35E3"/>
    <w:rsid w:val="00FB5272"/>
    <w:rsid w:val="00FB52FD"/>
    <w:rsid w:val="00FC02CE"/>
    <w:rsid w:val="00FC16AE"/>
    <w:rsid w:val="00FC2EF3"/>
    <w:rsid w:val="00FC39A6"/>
    <w:rsid w:val="00FC463F"/>
    <w:rsid w:val="00FC482F"/>
    <w:rsid w:val="00FC4908"/>
    <w:rsid w:val="00FC5B72"/>
    <w:rsid w:val="00FC60D0"/>
    <w:rsid w:val="00FC66C9"/>
    <w:rsid w:val="00FD127D"/>
    <w:rsid w:val="00FD1371"/>
    <w:rsid w:val="00FD36C3"/>
    <w:rsid w:val="00FD37F2"/>
    <w:rsid w:val="00FD680D"/>
    <w:rsid w:val="00FE18A7"/>
    <w:rsid w:val="00FE41B7"/>
    <w:rsid w:val="00FE62FA"/>
    <w:rsid w:val="16C346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5B86B"/>
  <w15:docId w15:val="{20FFB6E9-F4B8-4F0A-AC20-27A7CAEF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uiPriority="99"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qFormat="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CommentText">
    <w:name w:val="annotation text"/>
    <w:basedOn w:val="Normal"/>
    <w:link w:val="CommentTextChar"/>
    <w:uiPriority w:val="99"/>
    <w:unhideWhenUsed/>
    <w:qFormat/>
    <w:rPr>
      <w:sz w:val="20"/>
    </w:rPr>
  </w:style>
  <w:style w:type="paragraph" w:styleId="Salutation">
    <w:name w:val="Salutation"/>
    <w:basedOn w:val="Normal"/>
    <w:next w:val="Normal"/>
    <w:semiHidden/>
    <w:qFormat/>
  </w:style>
  <w:style w:type="paragraph" w:styleId="BodyText">
    <w:name w:val="Body Text"/>
    <w:basedOn w:val="Normal"/>
    <w:qFormat/>
    <w:rsid w:val="00B01FC1"/>
    <w:pPr>
      <w:overflowPunct w:val="0"/>
      <w:spacing w:afterLines="50" w:after="50" w:line="340" w:lineRule="atLeast"/>
    </w:pPr>
    <w:rPr>
      <w:sz w:val="21"/>
    </w:rPr>
  </w:style>
  <w:style w:type="paragraph" w:styleId="EndnoteText">
    <w:name w:val="endnote text"/>
    <w:basedOn w:val="Normal"/>
    <w:semiHidden/>
    <w:qFormat/>
    <w:rPr>
      <w:sz w:val="18"/>
    </w:rPr>
  </w:style>
  <w:style w:type="paragraph" w:styleId="BalloonText">
    <w:name w:val="Balloon Text"/>
    <w:basedOn w:val="Normal"/>
    <w:link w:val="BalloonTextChar"/>
    <w:semiHidden/>
    <w:unhideWhenUsed/>
    <w:qFormat/>
    <w:rPr>
      <w:rFonts w:ascii="Segoe UI" w:hAnsi="Segoe UI" w:cs="Segoe UI"/>
      <w:sz w:val="18"/>
      <w:szCs w:val="18"/>
    </w:rPr>
  </w:style>
  <w:style w:type="paragraph" w:styleId="Footer">
    <w:name w:val="footer"/>
    <w:basedOn w:val="Normal"/>
    <w:semiHidden/>
    <w:qFormat/>
    <w:pPr>
      <w:tabs>
        <w:tab w:val="center" w:pos="4320"/>
        <w:tab w:val="right" w:pos="8640"/>
      </w:tabs>
    </w:pPr>
  </w:style>
  <w:style w:type="paragraph" w:styleId="Header">
    <w:name w:val="header"/>
    <w:basedOn w:val="Normal"/>
    <w:link w:val="HeaderChar"/>
    <w:uiPriority w:val="99"/>
    <w:qFormat/>
    <w:pPr>
      <w:tabs>
        <w:tab w:val="center" w:pos="4536"/>
        <w:tab w:val="right" w:pos="9072"/>
      </w:tabs>
    </w:pPr>
  </w:style>
  <w:style w:type="paragraph" w:styleId="Signature">
    <w:name w:val="Signature"/>
    <w:basedOn w:val="Normal"/>
    <w:semiHidden/>
    <w:qFormat/>
    <w:pPr>
      <w:ind w:left="5250"/>
    </w:pPr>
  </w:style>
  <w:style w:type="paragraph" w:styleId="FootnoteText">
    <w:name w:val="footnote text"/>
    <w:basedOn w:val="Normal"/>
    <w:link w:val="FootnoteTextChar"/>
    <w:semiHidden/>
    <w:qFormat/>
    <w:rPr>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nhideWhenUsed/>
    <w:rPr>
      <w:color w:val="0563C1"/>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nhideWhenUsed/>
    <w:rPr>
      <w:vertAlign w:val="superscript"/>
    </w:rPr>
  </w:style>
  <w:style w:type="paragraph" w:customStyle="1" w:styleId="Endofdocument-Annex">
    <w:name w:val="[End of document - Annex]"/>
    <w:basedOn w:val="Normal"/>
    <w:link w:val="Endofdocument-AnnexChar"/>
    <w:qFormat/>
    <w:pPr>
      <w:ind w:left="5534"/>
    </w:pPr>
  </w:style>
  <w:style w:type="paragraph" w:customStyle="1" w:styleId="ONUME">
    <w:name w:val="ONUM E"/>
    <w:basedOn w:val="BodyText"/>
    <w:link w:val="ONUMEChar"/>
    <w:qFormat/>
    <w:pPr>
      <w:numPr>
        <w:numId w:val="2"/>
      </w:numPr>
    </w:pPr>
  </w:style>
  <w:style w:type="paragraph" w:customStyle="1" w:styleId="ONUMFS">
    <w:name w:val="ONUM FS"/>
    <w:basedOn w:val="BodyText"/>
    <w:link w:val="ONUMFSChar"/>
    <w:qFormat/>
    <w:pPr>
      <w:numPr>
        <w:numId w:val="3"/>
      </w:numPr>
    </w:p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qFormat/>
    <w:rPr>
      <w:rFonts w:ascii="Arial" w:eastAsia="SimSun" w:hAnsi="Arial" w:cs="Arial"/>
      <w:sz w:val="18"/>
      <w:lang w:val="en-US" w:eastAsia="zh-CN"/>
    </w:rPr>
  </w:style>
  <w:style w:type="character" w:customStyle="1" w:styleId="ONUMFSChar">
    <w:name w:val="ONUM FS Char"/>
    <w:basedOn w:val="DefaultParagraphFont"/>
    <w:link w:val="ONUMFS"/>
    <w:qFormat/>
    <w:rPr>
      <w:rFonts w:ascii="Arial" w:eastAsia="SimSun" w:hAnsi="Arial" w:cs="Arial"/>
      <w:sz w:val="22"/>
      <w:lang w:val="en-US" w:eastAsia="zh-CN"/>
    </w:rPr>
  </w:style>
  <w:style w:type="character" w:customStyle="1" w:styleId="null">
    <w:name w:val="null"/>
    <w:basedOn w:val="DefaultParagraphFont"/>
  </w:style>
  <w:style w:type="character" w:customStyle="1" w:styleId="CommentTextChar">
    <w:name w:val="Comment Text Char"/>
    <w:basedOn w:val="DefaultParagraphFont"/>
    <w:link w:val="CommentText"/>
    <w:qFormat/>
    <w:rPr>
      <w:rFonts w:ascii="Arial" w:eastAsia="SimSun" w:hAnsi="Arial" w:cs="Arial"/>
      <w:sz w:val="18"/>
      <w:lang w:val="en-US" w:eastAsia="zh-CN"/>
    </w:rPr>
  </w:style>
  <w:style w:type="character" w:customStyle="1" w:styleId="BalloonTextChar">
    <w:name w:val="Balloon Text Char"/>
    <w:basedOn w:val="DefaultParagraphFont"/>
    <w:link w:val="BalloonText"/>
    <w:semiHidden/>
    <w:qFormat/>
    <w:rPr>
      <w:rFonts w:ascii="Segoe UI" w:eastAsia="SimSun" w:hAnsi="Segoe UI" w:cs="Segoe UI"/>
      <w:sz w:val="18"/>
      <w:szCs w:val="18"/>
      <w:lang w:val="en-US" w:eastAsia="zh-CN"/>
    </w:rPr>
  </w:style>
  <w:style w:type="character" w:customStyle="1" w:styleId="A6">
    <w:name w:val="A6"/>
    <w:basedOn w:val="DefaultParagraphFont"/>
    <w:uiPriority w:val="99"/>
    <w:rPr>
      <w:color w:val="000000"/>
    </w:rPr>
  </w:style>
  <w:style w:type="character" w:customStyle="1" w:styleId="ONUMEChar">
    <w:name w:val="ONUM E Char"/>
    <w:basedOn w:val="DefaultParagraphFont"/>
    <w:link w:val="ONUME"/>
    <w:qFormat/>
    <w:rPr>
      <w:rFonts w:ascii="Arial" w:eastAsia="SimSun" w:hAnsi="Arial" w:cs="Arial"/>
      <w:sz w:val="22"/>
      <w:lang w:val="en-US" w:eastAsia="zh-CN"/>
    </w:rPr>
  </w:style>
  <w:style w:type="character" w:customStyle="1" w:styleId="HeaderChar">
    <w:name w:val="Header Char"/>
    <w:basedOn w:val="DefaultParagraphFont"/>
    <w:link w:val="Header"/>
    <w:uiPriority w:val="99"/>
    <w:rPr>
      <w:rFonts w:ascii="Arial" w:eastAsia="SimSun" w:hAnsi="Arial" w:cs="Arial"/>
      <w:sz w:val="22"/>
      <w:lang w:val="en-US" w:eastAsia="zh-CN"/>
    </w:rPr>
  </w:style>
  <w:style w:type="character" w:customStyle="1" w:styleId="ui-provider">
    <w:name w:val="ui-provider"/>
    <w:basedOn w:val="DefaultParagraphFont"/>
    <w:qFormat/>
  </w:style>
  <w:style w:type="paragraph" w:customStyle="1" w:styleId="paragraph">
    <w:name w:val="paragraph"/>
    <w:basedOn w:val="Normal"/>
    <w:qFormat/>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1">
    <w:name w:val="未处理的提及1"/>
    <w:basedOn w:val="DefaultParagraphFont"/>
    <w:uiPriority w:val="99"/>
    <w:semiHidden/>
    <w:unhideWhenUsed/>
    <w:qFormat/>
    <w:rPr>
      <w:color w:val="605E5C"/>
      <w:shd w:val="clear" w:color="auto" w:fill="E1DFDD"/>
    </w:rPr>
  </w:style>
  <w:style w:type="paragraph" w:styleId="CommentSubject">
    <w:name w:val="annotation subject"/>
    <w:basedOn w:val="CommentText"/>
    <w:next w:val="CommentText"/>
    <w:link w:val="CommentSubjectChar"/>
    <w:semiHidden/>
    <w:unhideWhenUsed/>
    <w:rsid w:val="005059CD"/>
    <w:rPr>
      <w:b/>
      <w:bCs/>
      <w:sz w:val="22"/>
    </w:rPr>
  </w:style>
  <w:style w:type="character" w:customStyle="1" w:styleId="CommentSubjectChar">
    <w:name w:val="Comment Subject Char"/>
    <w:basedOn w:val="CommentTextChar"/>
    <w:link w:val="CommentSubject"/>
    <w:semiHidden/>
    <w:rsid w:val="005059CD"/>
    <w:rPr>
      <w:rFonts w:ascii="Arial" w:eastAsia="SimSun" w:hAnsi="Arial" w:cs="Arial"/>
      <w:b/>
      <w:bCs/>
      <w:sz w:val="22"/>
      <w:lang w:val="en-US" w:eastAsia="zh-CN"/>
    </w:rPr>
  </w:style>
  <w:style w:type="character" w:styleId="Strong">
    <w:name w:val="Strong"/>
    <w:basedOn w:val="DefaultParagraphFont"/>
    <w:qFormat/>
    <w:rsid w:val="00E726C8"/>
    <w:rPr>
      <w:b/>
      <w:bCs/>
    </w:rPr>
  </w:style>
  <w:style w:type="character" w:customStyle="1" w:styleId="Endofdocument-AnnexChar">
    <w:name w:val="[End of document - Annex] Char"/>
    <w:link w:val="Endofdocument-Annex"/>
    <w:rsid w:val="00E726C8"/>
    <w:rPr>
      <w:rFonts w:ascii="Arial" w:hAnsi="Arial" w:cs="Arial"/>
      <w:sz w:val="22"/>
    </w:rPr>
  </w:style>
  <w:style w:type="paragraph" w:customStyle="1" w:styleId="DecisionInvitationPara">
    <w:name w:val="Decision Invitation Para."/>
    <w:basedOn w:val="Normal"/>
    <w:rsid w:val="00E726C8"/>
    <w:pPr>
      <w:ind w:left="5534"/>
    </w:pPr>
    <w:rPr>
      <w:rFonts w:eastAsia="Times New Roman" w:cs="Times New Roman"/>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wipo.int/about-wipo/zh/assemblies/2021/a_62/index.html" TargetMode="Externa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wipo.int/about-wipo/zh/assemblies/2021/a_62/index.html" TargetMode="External"/><Relationship Id="rId20" Type="http://schemas.openxmlformats.org/officeDocument/2006/relationships/header" Target="header6.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6" Type="http://schemas.openxmlformats.org/officeDocument/2006/relationships/hyperlink" Target="https://patentscope.wipo.int/search/en/search.jsf" TargetMode="External"/><Relationship Id="rId21" Type="http://schemas.openxmlformats.org/officeDocument/2006/relationships/hyperlink" Target="http://www.wipo.int/meetings/zh/doc_details.jsp?doc_id=582427" TargetMode="External"/><Relationship Id="rId42" Type="http://schemas.openxmlformats.org/officeDocument/2006/relationships/hyperlink" Target="http://www.wipo.int/meetings/zh/doc_details.jsp?doc_id=272841" TargetMode="External"/><Relationship Id="rId47" Type="http://schemas.openxmlformats.org/officeDocument/2006/relationships/hyperlink" Target="http://www.wipo.int/meetings/zh/details.jsp?meeting_id=65948" TargetMode="External"/><Relationship Id="rId63" Type="http://schemas.openxmlformats.org/officeDocument/2006/relationships/hyperlink" Target="http://www.wipo.int/meetings/zh/doc_details.jsp?doc_id=372936" TargetMode="External"/><Relationship Id="rId68" Type="http://schemas.openxmlformats.org/officeDocument/2006/relationships/hyperlink" Target="https://mailchi.mp/wipo.int/traditional-knowledge-update-192022-strengthening-the-capacity-of-community-enterprises-from-indigenous-peoples-and-local-communities" TargetMode="External"/><Relationship Id="rId84" Type="http://schemas.openxmlformats.org/officeDocument/2006/relationships/hyperlink" Target="http://www.wipo.int/publications/zh/details.jsp?id=4501" TargetMode="External"/><Relationship Id="rId89" Type="http://schemas.openxmlformats.org/officeDocument/2006/relationships/hyperlink" Target="https://welc.wipo.int/jtip/?lang=zh_CN" TargetMode="External"/><Relationship Id="rId16" Type="http://schemas.openxmlformats.org/officeDocument/2006/relationships/hyperlink" Target="http://www.wipo.int/women-and-ip/zh/news/2022/news_0006.html" TargetMode="External"/><Relationship Id="rId11" Type="http://schemas.openxmlformats.org/officeDocument/2006/relationships/hyperlink" Target="http://www.wipo.int/meetings/zh/doc_details.jsp?doc_id=568113" TargetMode="External"/><Relationship Id="rId32" Type="http://schemas.openxmlformats.org/officeDocument/2006/relationships/hyperlink" Target="http://www.wipo.int/meetings/zh/doc_details.jsp?doc_id=580516" TargetMode="External"/><Relationship Id="rId37" Type="http://schemas.openxmlformats.org/officeDocument/2006/relationships/hyperlink" Target="https://learning.daisy.org/" TargetMode="External"/><Relationship Id="rId53" Type="http://schemas.openxmlformats.org/officeDocument/2006/relationships/hyperlink" Target="http://www.wipo.int/ip-outreach/en/ipday/2022/youth-movie-night.html" TargetMode="External"/><Relationship Id="rId58" Type="http://schemas.openxmlformats.org/officeDocument/2006/relationships/hyperlink" Target="https://unece.org/info/events/event/373517" TargetMode="External"/><Relationship Id="rId74" Type="http://schemas.openxmlformats.org/officeDocument/2006/relationships/hyperlink" Target="http://www.wipo.int/tisc/en/search/" TargetMode="External"/><Relationship Id="rId79" Type="http://schemas.openxmlformats.org/officeDocument/2006/relationships/hyperlink" Target="https://inspire.wipo.int/wipo-inspire" TargetMode="External"/><Relationship Id="rId5" Type="http://schemas.openxmlformats.org/officeDocument/2006/relationships/hyperlink" Target="http://www.wipo.int/meetings/en/details.jsp?meeting_id=72351" TargetMode="External"/><Relationship Id="rId90" Type="http://schemas.openxmlformats.org/officeDocument/2006/relationships/hyperlink" Target="http://www.wipo.int/women-inventors/zh/index.html" TargetMode="External"/><Relationship Id="rId95" Type="http://schemas.openxmlformats.org/officeDocument/2006/relationships/hyperlink" Target="http://www.wipo.int/meetings/zh/doc_details.jsp?doc_id=541373" TargetMode="External"/><Relationship Id="rId22" Type="http://schemas.openxmlformats.org/officeDocument/2006/relationships/hyperlink" Target="http://www.wipo.int/meetings/zh/doc_details.jsp?doc_id=570471" TargetMode="External"/><Relationship Id="rId27" Type="http://schemas.openxmlformats.org/officeDocument/2006/relationships/hyperlink" Target="http://www.wipo.int/meetings/zh/doc_details.jsp?doc_id=583294" TargetMode="External"/><Relationship Id="rId43" Type="http://schemas.openxmlformats.org/officeDocument/2006/relationships/hyperlink" Target="http://www.wipo.int/meetings/zh/doc_details.jsp?doc_id=569511" TargetMode="External"/><Relationship Id="rId48" Type="http://schemas.openxmlformats.org/officeDocument/2006/relationships/hyperlink" Target="http://www.wipo.int/meetings/zh/details.jsp?meeting_id=69028" TargetMode="External"/><Relationship Id="rId64" Type="http://schemas.openxmlformats.org/officeDocument/2006/relationships/hyperlink" Target="https://www.wipo.int/edocs/mdocs/enforcement/en/wipo_ace_11/wipo_ace_11_10.pdf" TargetMode="External"/><Relationship Id="rId69" Type="http://schemas.openxmlformats.org/officeDocument/2006/relationships/hyperlink" Target="http://www.wipo.int/meetings/zh/details.jsp?meeting_id=74409" TargetMode="External"/><Relationship Id="rId8" Type="http://schemas.openxmlformats.org/officeDocument/2006/relationships/hyperlink" Target="http://www.un.org/ldcportal/content/wipos-graduation-support-package-ldcs" TargetMode="External"/><Relationship Id="rId51" Type="http://schemas.openxmlformats.org/officeDocument/2006/relationships/hyperlink" Target="http://www.wipo.int/ip-outreach/zh/ipday/2022/youth-gallery.html" TargetMode="External"/><Relationship Id="rId72" Type="http://schemas.openxmlformats.org/officeDocument/2006/relationships/hyperlink" Target="http://www.wipo.int/ipdiagnostics/zh" TargetMode="External"/><Relationship Id="rId80" Type="http://schemas.openxmlformats.org/officeDocument/2006/relationships/hyperlink" Target="http://www.wipo.int/tisc/zh/" TargetMode="External"/><Relationship Id="rId85" Type="http://schemas.openxmlformats.org/officeDocument/2006/relationships/hyperlink" Target="http://www.wipo.int/publications/zh/details.jsp?id=4502" TargetMode="External"/><Relationship Id="rId93" Type="http://schemas.openxmlformats.org/officeDocument/2006/relationships/hyperlink" Target="http://www.wipo.int/meetings/zh/doc_details.jsp?doc_id=582427" TargetMode="External"/><Relationship Id="rId3" Type="http://schemas.openxmlformats.org/officeDocument/2006/relationships/hyperlink" Target="http://www.wipo.int/technology-transfer/en/news/2022/news_0004.html" TargetMode="External"/><Relationship Id="rId12" Type="http://schemas.openxmlformats.org/officeDocument/2006/relationships/hyperlink" Target="http://www.wipo.int/meetings/zh/doc_details.jsp?doc_id=579081" TargetMode="External"/><Relationship Id="rId17" Type="http://schemas.openxmlformats.org/officeDocument/2006/relationships/hyperlink" Target="http://www.gswim.org/gswimwomensuccessstories" TargetMode="External"/><Relationship Id="rId25" Type="http://schemas.openxmlformats.org/officeDocument/2006/relationships/hyperlink" Target="http://www.wipo.int/meetings/zh/doc_details.jsp?doc_id=580962" TargetMode="External"/><Relationship Id="rId33" Type="http://schemas.openxmlformats.org/officeDocument/2006/relationships/hyperlink" Target="http://www.wipo.int/ipadvantage/zh/details.jsp?id=11582" TargetMode="External"/><Relationship Id="rId38" Type="http://schemas.openxmlformats.org/officeDocument/2006/relationships/hyperlink" Target="http://www.wipo.int/meetings/zh/doc_details.jsp?doc_id=568092" TargetMode="External"/><Relationship Id="rId46" Type="http://schemas.openxmlformats.org/officeDocument/2006/relationships/hyperlink" Target="http://www.wto.org/english/news_e/news22_e/igo_01feb22_e.htm" TargetMode="External"/><Relationship Id="rId59" Type="http://schemas.openxmlformats.org/officeDocument/2006/relationships/hyperlink" Target="https://www3.wipo.int/wipogreen/en/partners/" TargetMode="External"/><Relationship Id="rId67" Type="http://schemas.openxmlformats.org/officeDocument/2006/relationships/hyperlink" Target="http://www.wipo.int/tk/zh/youth_prize.html" TargetMode="External"/><Relationship Id="rId20" Type="http://schemas.openxmlformats.org/officeDocument/2006/relationships/hyperlink" Target="http://www.wipo.int/meetings/zh/doc_details.jsp?doc_id=581143" TargetMode="External"/><Relationship Id="rId41" Type="http://schemas.openxmlformats.org/officeDocument/2006/relationships/hyperlink" Target="http://www.wipo.int/meetings/zh/doc_details.jsp?doc_id=515597" TargetMode="External"/><Relationship Id="rId54" Type="http://schemas.openxmlformats.org/officeDocument/2006/relationships/hyperlink" Target="http://www.wipo.int/ip-outreach/en/ipday/2022/youth-art-and-innovation-fair.html" TargetMode="External"/><Relationship Id="rId62" Type="http://schemas.openxmlformats.org/officeDocument/2006/relationships/hyperlink" Target="https://www3.wipo.int/wipogreen/en/ipo-green/" TargetMode="External"/><Relationship Id="rId70" Type="http://schemas.openxmlformats.org/officeDocument/2006/relationships/hyperlink" Target="http://www.wipo.int/ip-competition/zh/" TargetMode="External"/><Relationship Id="rId75" Type="http://schemas.openxmlformats.org/officeDocument/2006/relationships/hyperlink" Target="http://www.wipo.int/about-ip/zh/ip_innovation_economics/gender_innovation_gap/" TargetMode="External"/><Relationship Id="rId83" Type="http://schemas.openxmlformats.org/officeDocument/2006/relationships/hyperlink" Target="https://inspire.wipo.int/patent-register-portal" TargetMode="External"/><Relationship Id="rId88" Type="http://schemas.openxmlformats.org/officeDocument/2006/relationships/hyperlink" Target="http://www.cambridge.org/core/books/informal-economy-in-developing-nations/C7494C6FD7EE4DC86BBADB4A7B87BCE3" TargetMode="External"/><Relationship Id="rId91" Type="http://schemas.openxmlformats.org/officeDocument/2006/relationships/hyperlink" Target="http://www.wipo.int/covid-19/zh/"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www.wipo.int/covid-19/en/" TargetMode="External"/><Relationship Id="rId15" Type="http://schemas.openxmlformats.org/officeDocument/2006/relationships/hyperlink" Target="https://www.wipo.int/meetings/zh/doc_details.jsp?doc_id=569442" TargetMode="External"/><Relationship Id="rId23" Type="http://schemas.openxmlformats.org/officeDocument/2006/relationships/hyperlink" Target="https://dacatalogue.wipo.int/projects/DA_01_05_01" TargetMode="External"/><Relationship Id="rId28" Type="http://schemas.openxmlformats.org/officeDocument/2006/relationships/hyperlink" Target="http://www.wipo.int/meetings/zh/doc_details.jsp?doc_id=586551" TargetMode="External"/><Relationship Id="rId36" Type="http://schemas.openxmlformats.org/officeDocument/2006/relationships/hyperlink" Target="http://www.wipo.int/global-awards/en/" TargetMode="External"/><Relationship Id="rId49" Type="http://schemas.openxmlformats.org/officeDocument/2006/relationships/hyperlink" Target="http://www.wipo.int/meetings/zh/details.jsp?meeting_id=73869" TargetMode="External"/><Relationship Id="rId57" Type="http://schemas.openxmlformats.org/officeDocument/2006/relationships/hyperlink" Target="http://www.wto.org/english/news_e/news22_e/pf22_30sep22_e.htm" TargetMode="External"/><Relationship Id="rId10" Type="http://schemas.openxmlformats.org/officeDocument/2006/relationships/hyperlink" Target="http://www.wipo.int/meetings/zh/doc_details.jsp?doc_id=589492" TargetMode="External"/><Relationship Id="rId31" Type="http://schemas.openxmlformats.org/officeDocument/2006/relationships/hyperlink" Target="http://www.wipo.int/meetings/zh/doc_details.jsp?doc_id=582418" TargetMode="External"/><Relationship Id="rId44" Type="http://schemas.openxmlformats.org/officeDocument/2006/relationships/hyperlink" Target="http://www.wipo.int/meetings/zh/doc_details.jsp?doc_id=569485" TargetMode="External"/><Relationship Id="rId52" Type="http://schemas.openxmlformats.org/officeDocument/2006/relationships/hyperlink" Target="http://www.wipo.int/ip-outreach/en/ipday/2022/international-youth-day-2022.html" TargetMode="External"/><Relationship Id="rId60" Type="http://schemas.openxmlformats.org/officeDocument/2006/relationships/hyperlink" Target="http://www.wipo.int/publications/en/details.jsp?id=4583" TargetMode="External"/><Relationship Id="rId65" Type="http://schemas.openxmlformats.org/officeDocument/2006/relationships/hyperlink" Target="http://www.wipo.int/meetings/zh/doc_details.jsp?doc_id=340916" TargetMode="External"/><Relationship Id="rId73" Type="http://schemas.openxmlformats.org/officeDocument/2006/relationships/hyperlink" Target="http://www.wipo.int/meetings/zh/topic.jsp?group_id=360" TargetMode="External"/><Relationship Id="rId78" Type="http://schemas.openxmlformats.org/officeDocument/2006/relationships/hyperlink" Target="https://inspire.wipo.int/" TargetMode="External"/><Relationship Id="rId81" Type="http://schemas.openxmlformats.org/officeDocument/2006/relationships/hyperlink" Target="https://etisc.wipo.int/" TargetMode="External"/><Relationship Id="rId86" Type="http://schemas.openxmlformats.org/officeDocument/2006/relationships/hyperlink" Target="http://www.wipo.int/publications/zh/details.jsp?id=4586" TargetMode="External"/><Relationship Id="rId94" Type="http://schemas.openxmlformats.org/officeDocument/2006/relationships/hyperlink" Target="http://www.wipo.int/jobs/zh/young-experts-program.html" TargetMode="External"/><Relationship Id="rId4" Type="http://schemas.openxmlformats.org/officeDocument/2006/relationships/hyperlink" Target="http://www.wipo.int/cooperation/en/funds_in_trust/japan_fitip_global/news/2022/news_0009.html" TargetMode="External"/><Relationship Id="rId9" Type="http://schemas.openxmlformats.org/officeDocument/2006/relationships/hyperlink" Target="http://www.wipo.int/meetings/zh/doc_details.jsp?doc_id=576651" TargetMode="External"/><Relationship Id="rId13" Type="http://schemas.openxmlformats.org/officeDocument/2006/relationships/hyperlink" Target="http://www.wipo.int/meetings/zh/doc_details.jsp?doc_id=387181" TargetMode="External"/><Relationship Id="rId18" Type="http://schemas.openxmlformats.org/officeDocument/2006/relationships/hyperlink" Target="http://www.wipo.int/meetings/zh/details.jsp?meeting_id=71368" TargetMode="External"/><Relationship Id="rId39" Type="http://schemas.openxmlformats.org/officeDocument/2006/relationships/hyperlink" Target="http://www.wipo.int/meetings/zh/doc_details.jsp?doc_id=568491" TargetMode="External"/><Relationship Id="rId34" Type="http://schemas.openxmlformats.org/officeDocument/2006/relationships/hyperlink" Target="http://www.wipo.int/collective-marks/en/index.html" TargetMode="External"/><Relationship Id="rId50" Type="http://schemas.openxmlformats.org/officeDocument/2006/relationships/hyperlink" Target="http://www.who-wipo-wto-trilateral.org/" TargetMode="External"/><Relationship Id="rId55" Type="http://schemas.openxmlformats.org/officeDocument/2006/relationships/hyperlink" Target="https://webcast.wipo.int/video/WIPO_WIPD_2022_2022-04-26_PM_115159" TargetMode="External"/><Relationship Id="rId76" Type="http://schemas.openxmlformats.org/officeDocument/2006/relationships/hyperlink" Target="http://www.wipo.int/meetings/zh/2022/judgesforum2022.html" TargetMode="External"/><Relationship Id="rId7" Type="http://schemas.openxmlformats.org/officeDocument/2006/relationships/hyperlink" Target="http://www.wipo.int/meetings/zh/doc_details.jsp?doc_id=563348" TargetMode="External"/><Relationship Id="rId71" Type="http://schemas.openxmlformats.org/officeDocument/2006/relationships/hyperlink" Target="http://www.wipo.int/meetings/zh/details.jsp?meeting_id=74548" TargetMode="External"/><Relationship Id="rId92" Type="http://schemas.openxmlformats.org/officeDocument/2006/relationships/hyperlink" Target="http://www.wipo.int/meetings/zh/doc_details.jsp?doc_id=537901" TargetMode="External"/><Relationship Id="rId2" Type="http://schemas.openxmlformats.org/officeDocument/2006/relationships/hyperlink" Target="http://www.wipo.int/tad/en/activitydetails.jsp?id=25842" TargetMode="External"/><Relationship Id="rId29" Type="http://schemas.openxmlformats.org/officeDocument/2006/relationships/hyperlink" Target="http://www.wipo.int/meetings/zh/doc_details.jsp?doc_id=583294" TargetMode="External"/><Relationship Id="rId24" Type="http://schemas.openxmlformats.org/officeDocument/2006/relationships/hyperlink" Target="http://www.wipo.int/meetings/zh/doc_details.jsp?doc_id=581111" TargetMode="External"/><Relationship Id="rId40" Type="http://schemas.openxmlformats.org/officeDocument/2006/relationships/hyperlink" Target="http://www.wipo.int/meetings/zh/doc_details.jsp?doc_id=408219" TargetMode="External"/><Relationship Id="rId45" Type="http://schemas.openxmlformats.org/officeDocument/2006/relationships/hyperlink" Target="http://www.wipo.int/global_ip/en/activities/ip_office_business_solutions/" TargetMode="External"/><Relationship Id="rId66" Type="http://schemas.openxmlformats.org/officeDocument/2006/relationships/hyperlink" Target="https://respectforip.org/" TargetMode="External"/><Relationship Id="rId87" Type="http://schemas.openxmlformats.org/officeDocument/2006/relationships/hyperlink" Target="http://www.wipo.int/publications/zh/details.jsp?id=4522" TargetMode="External"/><Relationship Id="rId61" Type="http://schemas.openxmlformats.org/officeDocument/2006/relationships/hyperlink" Target="http://www.wipo.int/en/green-technology-book/" TargetMode="External"/><Relationship Id="rId82" Type="http://schemas.openxmlformats.org/officeDocument/2006/relationships/hyperlink" Target="https://tppm.wipo.int/" TargetMode="External"/><Relationship Id="rId19" Type="http://schemas.openxmlformats.org/officeDocument/2006/relationships/hyperlink" Target="http://www.wipo.int/meetings/zh/doc_details.jsp?doc_id=582745" TargetMode="External"/><Relationship Id="rId14" Type="http://schemas.openxmlformats.org/officeDocument/2006/relationships/hyperlink" Target="http://www.wipo.int/ip-development/en/agenda/flexibilities/database.html" TargetMode="External"/><Relationship Id="rId30" Type="http://schemas.openxmlformats.org/officeDocument/2006/relationships/hyperlink" Target="http://www.wipo.int/meetings/zh/doc_details.jsp?doc_id=583294" TargetMode="External"/><Relationship Id="rId35" Type="http://schemas.openxmlformats.org/officeDocument/2006/relationships/hyperlink" Target="http://www.wipo.int/meetings/zh/topic.jsp?group_id=346" TargetMode="External"/><Relationship Id="rId56" Type="http://schemas.openxmlformats.org/officeDocument/2006/relationships/hyperlink" Target="http://www.itu.int/net4/wsis/forum/2022/Agenda/Session/262" TargetMode="External"/><Relationship Id="rId77" Type="http://schemas.openxmlformats.org/officeDocument/2006/relationships/hyperlink" Target="http://www.wipo.int/wipo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D9B1D-918B-4FC5-962B-89721B1B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52</Pages>
  <Words>48053</Words>
  <Characters>4479</Characters>
  <Application>Microsoft Office Word</Application>
  <DocSecurity>0</DocSecurity>
  <Lines>37</Lines>
  <Paragraphs>104</Paragraphs>
  <ScaleCrop>false</ScaleCrop>
  <HeadingPairs>
    <vt:vector size="2" baseType="variant">
      <vt:variant>
        <vt:lpstr>Title</vt:lpstr>
      </vt:variant>
      <vt:variant>
        <vt:i4>1</vt:i4>
      </vt:variant>
    </vt:vector>
  </HeadingPairs>
  <TitlesOfParts>
    <vt:vector size="1" baseType="lpstr">
      <vt:lpstr>WO/GA/56/9</vt:lpstr>
    </vt:vector>
  </TitlesOfParts>
  <Company>WIPO</Company>
  <LinksUpToDate>false</LinksUpToDate>
  <CharactersWithSpaces>52428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WO/GA/56/9</dc:title>
  <dc:subject>关于发展与知识产权委员会（CDIP）的报告和审查发展议程各项建议的落实情况</dc:subject>
  <dc:creator/>
  <cp:keywords>FOR OFFICIAL USE ONLY</cp:keywords>
  <cp:lastModifiedBy>HÄFLIGER Patience</cp:lastModifiedBy>
  <cp:revision>11</cp:revision>
  <cp:lastPrinted>2023-03-10T13:56:00Z</cp:lastPrinted>
  <dcterms:created xsi:type="dcterms:W3CDTF">2023-05-17T15:11:00Z</dcterms:created>
  <dcterms:modified xsi:type="dcterms:W3CDTF">2023-05-22T06:23:00Z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dd8425b6-74e1-4927-bc8d-bc046a19ae07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KSOProductBuildVer">
    <vt:lpwstr>2052-11.8.2.8411</vt:lpwstr>
  </property>
  <property fmtid="{D5CDD505-2E9C-101B-9397-08002B2CF9AE}" pid="9" name="MSIP_Label_20773ee6-353b-4fb9-a59d-0b94c8c67bea_Enabled">
    <vt:lpwstr>true</vt:lpwstr>
  </property>
  <property fmtid="{D5CDD505-2E9C-101B-9397-08002B2CF9AE}" pid="10" name="MSIP_Label_20773ee6-353b-4fb9-a59d-0b94c8c67bea_SetDate">
    <vt:lpwstr>2023-05-17T15:12:05Z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08063c0d-cb6f-44b9-ad36-1367f9034e17</vt:lpwstr>
  </property>
  <property fmtid="{D5CDD505-2E9C-101B-9397-08002B2CF9AE}" pid="15" name="MSIP_Label_20773ee6-353b-4fb9-a59d-0b94c8c67bea_ContentBits">
    <vt:lpwstr>0</vt:lpwstr>
  </property>
</Properties>
</file>