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01458" w14:textId="77777777" w:rsidR="00C70E17" w:rsidRPr="00013842" w:rsidRDefault="00C70E17" w:rsidP="00C70E17">
      <w:pPr>
        <w:jc w:val="right"/>
        <w:rPr>
          <w:caps/>
          <w:sz w:val="15"/>
        </w:rPr>
      </w:pPr>
      <w:r w:rsidRPr="00FC18A2">
        <w:rPr>
          <w:rFonts w:cs="Times New Roman"/>
          <w:noProof/>
          <w:lang w:eastAsia="en-US"/>
        </w:rPr>
        <w:drawing>
          <wp:inline distT="0" distB="0" distL="0" distR="0" wp14:anchorId="1D82594C" wp14:editId="2CA875D4">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4F9408C" w14:textId="1A442A0F" w:rsidR="00C70E17" w:rsidRPr="006E4F5F" w:rsidRDefault="00C70E17" w:rsidP="00C70E1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0" w:name="Code"/>
      <w:r>
        <w:rPr>
          <w:rFonts w:ascii="Arial Black" w:hAnsi="Arial Black"/>
          <w:b/>
          <w:caps/>
          <w:sz w:val="15"/>
        </w:rPr>
        <w:t>12</w:t>
      </w:r>
    </w:p>
    <w:bookmarkEnd w:id="0"/>
    <w:p w14:paraId="292E06C3" w14:textId="77777777" w:rsidR="00C70E17" w:rsidRPr="00E62C24" w:rsidRDefault="00C70E17" w:rsidP="00C70E1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5C640C0" w14:textId="0E9E63B8" w:rsidR="00C70E17" w:rsidRPr="00E62C24" w:rsidRDefault="00C70E17" w:rsidP="00C70E1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D76EF8">
        <w:rPr>
          <w:rFonts w:ascii="Arial Black" w:eastAsia="SimHei" w:hAnsi="Arial Black"/>
          <w:b/>
          <w:sz w:val="15"/>
          <w:szCs w:val="15"/>
          <w:lang w:val="pt-BR"/>
        </w:rPr>
        <w:t>4</w:t>
      </w:r>
      <w:r w:rsidRPr="00E62C24">
        <w:rPr>
          <w:rFonts w:ascii="SimHei" w:eastAsia="SimHei" w:hAnsi="Times New Roman" w:hint="eastAsia"/>
          <w:b/>
          <w:sz w:val="15"/>
          <w:szCs w:val="15"/>
        </w:rPr>
        <w:t>月</w:t>
      </w:r>
      <w:r w:rsidR="00D76EF8">
        <w:rPr>
          <w:rFonts w:ascii="Arial Black" w:eastAsia="SimHei" w:hAnsi="Arial Black"/>
          <w:b/>
          <w:sz w:val="15"/>
          <w:szCs w:val="15"/>
          <w:lang w:val="pt-BR"/>
        </w:rPr>
        <w:t>12</w:t>
      </w:r>
      <w:r w:rsidRPr="00E62C24">
        <w:rPr>
          <w:rFonts w:ascii="SimHei" w:eastAsia="SimHei" w:hAnsi="Times New Roman" w:hint="eastAsia"/>
          <w:b/>
          <w:sz w:val="15"/>
          <w:szCs w:val="15"/>
        </w:rPr>
        <w:t>日</w:t>
      </w:r>
    </w:p>
    <w:bookmarkEnd w:id="2"/>
    <w:p w14:paraId="01AF04C2" w14:textId="77777777" w:rsidR="00C70E17" w:rsidRPr="00D945ED" w:rsidRDefault="00C70E17" w:rsidP="00C70E17">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32563562" w14:textId="77777777" w:rsidR="00C70E17" w:rsidRPr="00D945ED" w:rsidRDefault="00C70E17" w:rsidP="00C70E17">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304ABF34" w14:textId="6ACC63F7" w:rsidR="00C70E17" w:rsidRPr="005D1032" w:rsidRDefault="00C70E17" w:rsidP="00C70E17">
      <w:pPr>
        <w:spacing w:after="360"/>
        <w:rPr>
          <w:rFonts w:ascii="KaiTi" w:eastAsia="KaiTi" w:hAnsi="KaiTi" w:cs="Times New Roman"/>
          <w:sz w:val="24"/>
          <w:szCs w:val="32"/>
        </w:rPr>
      </w:pPr>
      <w:bookmarkStart w:id="3" w:name="TitleOfDoc"/>
      <w:r w:rsidRPr="00C70E17">
        <w:rPr>
          <w:rFonts w:ascii="KaiTi" w:eastAsia="KaiTi" w:hAnsi="KaiTi" w:cs="Times New Roman" w:hint="eastAsia"/>
          <w:sz w:val="24"/>
          <w:szCs w:val="32"/>
        </w:rPr>
        <w:t>关于执法咨询委员会（ACE）的报告</w:t>
      </w:r>
    </w:p>
    <w:p w14:paraId="3E960D20" w14:textId="77777777" w:rsidR="00C70E17" w:rsidRPr="005D1032" w:rsidRDefault="00C70E17" w:rsidP="00C70E17">
      <w:pPr>
        <w:spacing w:after="960"/>
        <w:rPr>
          <w:rFonts w:ascii="KaiTi" w:eastAsia="KaiTi" w:hAnsi="STKaiti" w:cs="Times New Roman"/>
          <w:sz w:val="21"/>
          <w:szCs w:val="24"/>
        </w:rPr>
      </w:pPr>
      <w:bookmarkStart w:id="4" w:name="Prepared"/>
      <w:bookmarkEnd w:id="3"/>
      <w:r w:rsidRPr="00950003">
        <w:rPr>
          <w:rFonts w:ascii="KaiTi" w:eastAsia="KaiTi" w:hAnsi="STKaiti" w:cs="Times New Roman" w:hint="eastAsia"/>
          <w:sz w:val="21"/>
          <w:szCs w:val="24"/>
        </w:rPr>
        <w:t>秘书处编拟</w:t>
      </w:r>
    </w:p>
    <w:bookmarkEnd w:id="4"/>
    <w:p w14:paraId="55054463" w14:textId="114FF6B7" w:rsidR="002928D3" w:rsidRPr="00570290" w:rsidRDefault="002A133F" w:rsidP="00D76EF8">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在审议所涉期间，执法咨询委员会（ACE）于20</w:t>
      </w:r>
      <w:r w:rsidRPr="00570290">
        <w:rPr>
          <w:rFonts w:ascii="SimSun" w:hAnsi="SimSun"/>
          <w:sz w:val="21"/>
          <w:szCs w:val="22"/>
        </w:rPr>
        <w:t>22</w:t>
      </w:r>
      <w:r w:rsidRPr="00570290">
        <w:rPr>
          <w:rFonts w:ascii="SimSun" w:hAnsi="SimSun" w:hint="eastAsia"/>
          <w:sz w:val="21"/>
          <w:szCs w:val="22"/>
        </w:rPr>
        <w:t>年8月3</w:t>
      </w:r>
      <w:r w:rsidRPr="00570290">
        <w:rPr>
          <w:rFonts w:ascii="SimSun" w:hAnsi="SimSun"/>
          <w:sz w:val="21"/>
          <w:szCs w:val="22"/>
        </w:rPr>
        <w:t>1</w:t>
      </w:r>
      <w:r w:rsidRPr="00570290">
        <w:rPr>
          <w:rFonts w:ascii="SimSun" w:hAnsi="SimSun" w:hint="eastAsia"/>
          <w:sz w:val="21"/>
          <w:szCs w:val="22"/>
        </w:rPr>
        <w:t>日至9月2日举行了第十五届会议。来自82个成员国、</w:t>
      </w:r>
      <w:r w:rsidR="007B0AF1" w:rsidRPr="00570290">
        <w:rPr>
          <w:rFonts w:ascii="SimSun" w:hAnsi="SimSun" w:hint="eastAsia"/>
          <w:sz w:val="21"/>
          <w:szCs w:val="22"/>
        </w:rPr>
        <w:t>一</w:t>
      </w:r>
      <w:r w:rsidRPr="00570290">
        <w:rPr>
          <w:rFonts w:ascii="SimSun" w:hAnsi="SimSun" w:hint="eastAsia"/>
          <w:sz w:val="21"/>
          <w:szCs w:val="22"/>
        </w:rPr>
        <w:t>个非国家成员和24个观察员的250多名与会者注册参加了会议。作为2022年7月23日通过的“</w:t>
      </w:r>
      <w:r w:rsidR="007B0AF1" w:rsidRPr="00570290">
        <w:rPr>
          <w:rFonts w:ascii="SimSun" w:hAnsi="SimSun" w:hint="eastAsia"/>
          <w:sz w:val="21"/>
          <w:szCs w:val="22"/>
        </w:rPr>
        <w:t>产权组织各大会和产权组织成员国其他机构主席团成员的新选举周期</w:t>
      </w:r>
      <w:r w:rsidRPr="00570290">
        <w:rPr>
          <w:rFonts w:ascii="SimSun" w:hAnsi="SimSun" w:hint="eastAsia"/>
          <w:sz w:val="21"/>
          <w:szCs w:val="22"/>
        </w:rPr>
        <w:t>”</w:t>
      </w:r>
      <w:r w:rsidRPr="00570290">
        <w:rPr>
          <w:rStyle w:val="FootnoteReference"/>
          <w:rFonts w:ascii="SimSun" w:hAnsi="SimSun"/>
          <w:sz w:val="21"/>
          <w:szCs w:val="22"/>
        </w:rPr>
        <w:t xml:space="preserve"> </w:t>
      </w:r>
      <w:r w:rsidRPr="00570290">
        <w:rPr>
          <w:rStyle w:val="FootnoteReference"/>
          <w:rFonts w:ascii="SimSun" w:hAnsi="SimSun"/>
          <w:sz w:val="21"/>
          <w:szCs w:val="22"/>
        </w:rPr>
        <w:footnoteReference w:id="2"/>
      </w:r>
      <w:r w:rsidRPr="00570290">
        <w:rPr>
          <w:rFonts w:ascii="SimSun" w:hAnsi="SimSun" w:hint="eastAsia"/>
          <w:sz w:val="21"/>
          <w:szCs w:val="22"/>
        </w:rPr>
        <w:t>的一项过渡措施</w:t>
      </w:r>
      <w:r w:rsidRPr="00570290">
        <w:rPr>
          <w:rStyle w:val="FootnoteReference"/>
          <w:rFonts w:ascii="SimSun" w:hAnsi="SimSun"/>
          <w:sz w:val="21"/>
        </w:rPr>
        <w:footnoteReference w:id="3"/>
      </w:r>
      <w:r w:rsidRPr="00570290">
        <w:rPr>
          <w:rFonts w:ascii="SimSun" w:hAnsi="SimSun" w:hint="eastAsia"/>
          <w:sz w:val="21"/>
          <w:szCs w:val="22"/>
        </w:rPr>
        <w:t>，委员会选举</w:t>
      </w:r>
      <w:r w:rsidR="00D76EF8" w:rsidRPr="00570290">
        <w:rPr>
          <w:rFonts w:ascii="SimSun" w:hAnsi="SimSun" w:hint="eastAsia"/>
          <w:sz w:val="21"/>
          <w:szCs w:val="22"/>
        </w:rPr>
        <w:t>伊拉克利·卡斯拉泽先生（格鲁吉亚）</w:t>
      </w:r>
      <w:r w:rsidRPr="00570290">
        <w:rPr>
          <w:rFonts w:ascii="SimSun" w:hAnsi="SimSun" w:hint="eastAsia"/>
          <w:sz w:val="21"/>
          <w:szCs w:val="22"/>
        </w:rPr>
        <w:t>为第十五届</w:t>
      </w:r>
      <w:r w:rsidR="00D76EF8">
        <w:rPr>
          <w:rFonts w:ascii="SimSun" w:hAnsi="SimSun" w:hint="eastAsia"/>
          <w:sz w:val="21"/>
          <w:szCs w:val="22"/>
        </w:rPr>
        <w:t>会议的代理主席，还选举</w:t>
      </w:r>
      <w:r w:rsidR="00D76EF8" w:rsidRPr="00570290">
        <w:rPr>
          <w:rFonts w:ascii="SimSun" w:hAnsi="SimSun" w:hint="eastAsia"/>
          <w:sz w:val="21"/>
          <w:szCs w:val="22"/>
        </w:rPr>
        <w:t>卡斯拉泽先生</w:t>
      </w:r>
      <w:r w:rsidR="00D76EF8">
        <w:rPr>
          <w:rFonts w:ascii="SimSun" w:hAnsi="SimSun" w:hint="eastAsia"/>
          <w:sz w:val="21"/>
          <w:szCs w:val="22"/>
        </w:rPr>
        <w:t>为</w:t>
      </w:r>
      <w:r w:rsidRPr="00570290">
        <w:rPr>
          <w:rFonts w:ascii="SimSun" w:hAnsi="SimSun" w:hint="eastAsia"/>
          <w:sz w:val="21"/>
          <w:szCs w:val="22"/>
        </w:rPr>
        <w:t>第十六届会议的主席</w:t>
      </w:r>
      <w:r w:rsidR="00D76EF8">
        <w:rPr>
          <w:rFonts w:ascii="SimSun" w:hAnsi="SimSun" w:hint="eastAsia"/>
          <w:sz w:val="21"/>
          <w:szCs w:val="22"/>
        </w:rPr>
        <w:t>，</w:t>
      </w:r>
      <w:r w:rsidR="00D76EF8" w:rsidRPr="00D76EF8">
        <w:rPr>
          <w:rFonts w:ascii="SimSun" w:hAnsi="SimSun" w:hint="eastAsia"/>
          <w:sz w:val="21"/>
          <w:szCs w:val="22"/>
        </w:rPr>
        <w:t>德巴西先</w:t>
      </w:r>
      <w:r w:rsidR="00D76EF8">
        <w:rPr>
          <w:rFonts w:ascii="SimSun" w:hAnsi="SimSun" w:hint="eastAsia"/>
          <w:sz w:val="21"/>
          <w:szCs w:val="22"/>
        </w:rPr>
        <w:t>和</w:t>
      </w:r>
      <w:r w:rsidR="00D76EF8" w:rsidRPr="00D76EF8">
        <w:rPr>
          <w:rFonts w:ascii="SimSun" w:hAnsi="SimSun" w:hint="eastAsia"/>
          <w:sz w:val="21"/>
          <w:szCs w:val="22"/>
        </w:rPr>
        <w:t>洛特林根女士</w:t>
      </w:r>
      <w:r w:rsidR="00D76EF8">
        <w:rPr>
          <w:rFonts w:ascii="SimSun" w:hAnsi="SimSun" w:hint="eastAsia"/>
          <w:sz w:val="21"/>
          <w:szCs w:val="22"/>
        </w:rPr>
        <w:t>为</w:t>
      </w:r>
      <w:r w:rsidR="00D76EF8" w:rsidRPr="00570290">
        <w:rPr>
          <w:rFonts w:ascii="SimSun" w:hAnsi="SimSun" w:hint="eastAsia"/>
          <w:sz w:val="21"/>
          <w:szCs w:val="22"/>
        </w:rPr>
        <w:t>第十六届会议</w:t>
      </w:r>
      <w:r w:rsidR="00D76EF8">
        <w:rPr>
          <w:rFonts w:ascii="SimSun" w:hAnsi="SimSun" w:hint="eastAsia"/>
          <w:sz w:val="21"/>
          <w:szCs w:val="22"/>
        </w:rPr>
        <w:t>副主席</w:t>
      </w:r>
      <w:r w:rsidRPr="00570290">
        <w:rPr>
          <w:rFonts w:ascii="SimSun" w:hAnsi="SimSun" w:hint="eastAsia"/>
          <w:sz w:val="21"/>
          <w:szCs w:val="22"/>
        </w:rPr>
        <w:t>。委员会通过了主席总结，已作为文件WIPO/ACE/15</w:t>
      </w:r>
      <w:r w:rsidRPr="00570290">
        <w:rPr>
          <w:rFonts w:ascii="SimSun" w:hAnsi="SimSun"/>
          <w:sz w:val="21"/>
          <w:szCs w:val="22"/>
        </w:rPr>
        <w:t>/12</w:t>
      </w:r>
      <w:r w:rsidRPr="00570290">
        <w:rPr>
          <w:rFonts w:ascii="SimSun" w:hAnsi="SimSun" w:hint="eastAsia"/>
          <w:sz w:val="21"/>
          <w:szCs w:val="22"/>
        </w:rPr>
        <w:t>发布。</w:t>
      </w:r>
      <w:r w:rsidRPr="00570290">
        <w:rPr>
          <w:rStyle w:val="FootnoteReference"/>
          <w:rFonts w:ascii="SimSun" w:hAnsi="SimSun"/>
          <w:sz w:val="21"/>
          <w:szCs w:val="22"/>
        </w:rPr>
        <w:footnoteReference w:id="4"/>
      </w:r>
    </w:p>
    <w:p w14:paraId="461D7E2E" w14:textId="14348256" w:rsidR="00325AF6" w:rsidRPr="00570290" w:rsidRDefault="002F1730"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第十五届会议处理了以下工作计划：</w:t>
      </w:r>
    </w:p>
    <w:p w14:paraId="747E79FB" w14:textId="574D0A56" w:rsidR="0028362F" w:rsidRPr="00570290" w:rsidRDefault="00C70E17" w:rsidP="00816C05">
      <w:pPr>
        <w:pStyle w:val="ListParagraph"/>
        <w:numPr>
          <w:ilvl w:val="0"/>
          <w:numId w:val="12"/>
        </w:numPr>
        <w:overflowPunct w:val="0"/>
        <w:spacing w:afterLines="50" w:after="120" w:line="340" w:lineRule="atLeast"/>
        <w:ind w:left="1134" w:hanging="567"/>
        <w:contextualSpacing w:val="0"/>
        <w:jc w:val="both"/>
        <w:rPr>
          <w:rFonts w:ascii="SimSun" w:hAnsi="SimSun"/>
          <w:sz w:val="21"/>
          <w:szCs w:val="22"/>
        </w:rPr>
      </w:pPr>
      <w:r w:rsidRPr="00570290">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p>
    <w:p w14:paraId="331A9921" w14:textId="328DEE67" w:rsidR="0028362F" w:rsidRPr="00570290" w:rsidRDefault="00C70E17" w:rsidP="00816C05">
      <w:pPr>
        <w:pStyle w:val="ListParagraph"/>
        <w:numPr>
          <w:ilvl w:val="0"/>
          <w:numId w:val="12"/>
        </w:numPr>
        <w:overflowPunct w:val="0"/>
        <w:spacing w:afterLines="50" w:after="120" w:line="340" w:lineRule="atLeast"/>
        <w:ind w:left="1134" w:hanging="567"/>
        <w:contextualSpacing w:val="0"/>
        <w:jc w:val="both"/>
        <w:rPr>
          <w:rFonts w:ascii="SimSun" w:hAnsi="SimSun"/>
          <w:sz w:val="21"/>
          <w:szCs w:val="22"/>
        </w:rPr>
      </w:pPr>
      <w:r w:rsidRPr="00570290">
        <w:rPr>
          <w:rFonts w:ascii="SimSun" w:hAnsi="SimSun" w:hint="eastAsia"/>
          <w:sz w:val="21"/>
          <w:szCs w:val="22"/>
        </w:rPr>
        <w:lastRenderedPageBreak/>
        <w:t>就知识产权执法政策和体制等方面的制度性安排交流各国经验信息，其中包括以兼顾各方利益、全面而有效的方式解决知识产权争议的机制；</w:t>
      </w:r>
    </w:p>
    <w:p w14:paraId="1E716613" w14:textId="4ECFA41B" w:rsidR="0028362F" w:rsidRPr="00570290" w:rsidRDefault="00C70E17" w:rsidP="00816C05">
      <w:pPr>
        <w:pStyle w:val="ListParagraph"/>
        <w:numPr>
          <w:ilvl w:val="0"/>
          <w:numId w:val="12"/>
        </w:numPr>
        <w:overflowPunct w:val="0"/>
        <w:spacing w:afterLines="50" w:after="120" w:line="340" w:lineRule="atLeast"/>
        <w:ind w:left="1134" w:hanging="567"/>
        <w:contextualSpacing w:val="0"/>
        <w:jc w:val="both"/>
        <w:rPr>
          <w:rFonts w:ascii="SimSun" w:hAnsi="SimSun"/>
          <w:sz w:val="21"/>
          <w:szCs w:val="22"/>
        </w:rPr>
      </w:pPr>
      <w:r w:rsidRPr="00570290">
        <w:rPr>
          <w:rFonts w:ascii="SimSun" w:hAnsi="SimSun" w:hint="eastAsia"/>
          <w:sz w:val="21"/>
          <w:szCs w:val="22"/>
        </w:rPr>
        <w:t>就产权组织的立法援助方面交流各国经验信息，重点是起草执法方面的国内法，考虑到灵活性、发展水平、法律传统差异以及执法程序可能滥用等因素，同时牢记更大的社会利益，并符合成员国的优先事项；以及</w:t>
      </w:r>
    </w:p>
    <w:p w14:paraId="7F65ADA2" w14:textId="74EE805C" w:rsidR="0028362F" w:rsidRPr="00570290" w:rsidRDefault="00C70E17" w:rsidP="00816C05">
      <w:pPr>
        <w:pStyle w:val="ListParagraph"/>
        <w:numPr>
          <w:ilvl w:val="0"/>
          <w:numId w:val="12"/>
        </w:numPr>
        <w:overflowPunct w:val="0"/>
        <w:spacing w:afterLines="50" w:after="120" w:line="340" w:lineRule="atLeast"/>
        <w:ind w:left="1134" w:hanging="567"/>
        <w:contextualSpacing w:val="0"/>
        <w:jc w:val="both"/>
        <w:rPr>
          <w:rFonts w:ascii="SimSun" w:hAnsi="SimSun"/>
          <w:sz w:val="21"/>
        </w:rPr>
      </w:pPr>
      <w:r w:rsidRPr="00570290">
        <w:rPr>
          <w:rFonts w:ascii="SimSun" w:hAnsi="SimSun" w:hint="eastAsia"/>
          <w:sz w:val="21"/>
          <w:szCs w:val="22"/>
        </w:rPr>
        <w:t>交流产权组织在能力建设和支持方面的成功案例，这样的能力建设和支持针对的是依据相关发展议程建议和ACE的任务授权，在国家和地区层面对各机构和本国官员提供的培训活</w:t>
      </w:r>
      <w:r w:rsidR="00816C05">
        <w:rPr>
          <w:rFonts w:ascii="SimSun" w:hAnsi="SimSun"/>
          <w:sz w:val="21"/>
          <w:szCs w:val="22"/>
        </w:rPr>
        <w:t>‍</w:t>
      </w:r>
      <w:r w:rsidRPr="00570290">
        <w:rPr>
          <w:rFonts w:ascii="SimSun" w:hAnsi="SimSun" w:hint="eastAsia"/>
          <w:sz w:val="21"/>
          <w:szCs w:val="22"/>
        </w:rPr>
        <w:t>动。</w:t>
      </w:r>
    </w:p>
    <w:p w14:paraId="7AC30BAC" w14:textId="53096114" w:rsidR="0028362F" w:rsidRPr="00570290" w:rsidRDefault="002F1730"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工作计划包括3</w:t>
      </w:r>
      <w:r w:rsidRPr="00570290">
        <w:rPr>
          <w:rFonts w:ascii="SimSun" w:hAnsi="SimSun"/>
          <w:sz w:val="21"/>
          <w:szCs w:val="22"/>
        </w:rPr>
        <w:t>1</w:t>
      </w:r>
      <w:r w:rsidR="007B0AF1" w:rsidRPr="00570290">
        <w:rPr>
          <w:rFonts w:ascii="SimSun" w:hAnsi="SimSun" w:hint="eastAsia"/>
          <w:sz w:val="21"/>
          <w:szCs w:val="22"/>
        </w:rPr>
        <w:t>项</w:t>
      </w:r>
      <w:r w:rsidRPr="00570290">
        <w:rPr>
          <w:rFonts w:ascii="SimSun" w:hAnsi="SimSun" w:hint="eastAsia"/>
          <w:sz w:val="21"/>
          <w:szCs w:val="22"/>
        </w:rPr>
        <w:t>专家报告和三场小组讨论。</w:t>
      </w:r>
      <w:r w:rsidR="004329A4" w:rsidRPr="00570290">
        <w:rPr>
          <w:rStyle w:val="FootnoteReference"/>
          <w:rFonts w:ascii="SimSun" w:hAnsi="SimSun"/>
          <w:sz w:val="21"/>
          <w:szCs w:val="22"/>
        </w:rPr>
        <w:footnoteReference w:id="5"/>
      </w:r>
    </w:p>
    <w:p w14:paraId="4D576B8D" w14:textId="6AFA874A" w:rsidR="00973151" w:rsidRPr="00570290" w:rsidRDefault="002F1730"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在工作计划项目“就树立意识活动和战略宣传活动交流各国经验信息，这些活动是根据成员国的教育优先事项或其他任何优先事项，在广大公众、特别是青年人中树立尊重知识产权风尚的手段</w:t>
      </w:r>
      <w:r w:rsidRPr="00570290">
        <w:rPr>
          <w:rFonts w:asciiTheme="minorEastAsia" w:eastAsiaTheme="minorEastAsia" w:hAnsiTheme="minorEastAsia" w:hint="eastAsia"/>
          <w:sz w:val="21"/>
          <w:szCs w:val="22"/>
        </w:rPr>
        <w:t>”下，</w:t>
      </w:r>
      <w:r w:rsidR="007B0AF1" w:rsidRPr="00570290">
        <w:rPr>
          <w:rFonts w:asciiTheme="minorEastAsia" w:eastAsiaTheme="minorEastAsia" w:hAnsiTheme="minorEastAsia" w:hint="eastAsia"/>
          <w:sz w:val="21"/>
          <w:szCs w:val="22"/>
        </w:rPr>
        <w:t>八</w:t>
      </w:r>
      <w:r w:rsidR="00C70E17" w:rsidRPr="00570290">
        <w:rPr>
          <w:rFonts w:ascii="SimSun" w:hAnsi="SimSun" w:hint="eastAsia"/>
          <w:sz w:val="21"/>
          <w:szCs w:val="22"/>
        </w:rPr>
        <w:t>个成员国分享了经验。报告包括：丹麦专利商标局的“丹麦近期的反假冒意识提升活动”；日本特许厅（JPO）的“不购买、不销售也不让他人为你购买假冒产品！——日本最近一次反假冒宣传活动”；马里工业产权促进中心（CEMAPI）的“马里工业产权促进中心近期的意识提升活动”；墨西哥工业产权局</w:t>
      </w:r>
      <w:r w:rsidRPr="00570290">
        <w:rPr>
          <w:rFonts w:ascii="SimSun" w:hAnsi="SimSun" w:hint="eastAsia"/>
          <w:sz w:val="21"/>
          <w:szCs w:val="22"/>
        </w:rPr>
        <w:t>（IMPI）</w:t>
      </w:r>
      <w:r w:rsidR="00C70E17" w:rsidRPr="00570290">
        <w:rPr>
          <w:rFonts w:ascii="SimSun" w:hAnsi="SimSun" w:hint="eastAsia"/>
          <w:sz w:val="21"/>
          <w:szCs w:val="22"/>
        </w:rPr>
        <w:t>的“墨西哥工业产权局的知识产权保护和执法行动”；尼日尔国家工业产权与创新促进局（AN2PI）的“尼日尔国家工业产权与创新促进局近期的意识提升活动”；阿曼教育部的“阿曼2020/21年面向在校学生、教师、家长和当地社区的知识产权意识提升宣传活动”；菲律宾知识产权局（IPOPHL）的“菲律宾消费者态度和意识——部署产权组织消费者调查工具包的结果和经验教训”；泰国商业部知识产权厅的“泰国近期的知识产权意识活动”。</w:t>
      </w:r>
    </w:p>
    <w:p w14:paraId="2DC5DE7C" w14:textId="5AEBAAE8" w:rsidR="00ED694B"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在工作计划项</w:t>
      </w:r>
      <w:r w:rsidR="002F1730" w:rsidRPr="00570290">
        <w:rPr>
          <w:rFonts w:ascii="SimSun" w:hAnsi="SimSun" w:hint="eastAsia"/>
          <w:sz w:val="21"/>
          <w:szCs w:val="22"/>
        </w:rPr>
        <w:t>目</w:t>
      </w:r>
      <w:r w:rsidRPr="00570290">
        <w:rPr>
          <w:rFonts w:ascii="SimSun" w:hAnsi="SimSun" w:hint="eastAsia"/>
          <w:sz w:val="21"/>
          <w:szCs w:val="22"/>
        </w:rPr>
        <w:t>“就知识产权执法政策和体制等方面的制度性安排交流各国经验信息，其中包括以兼顾各方利益、全面而有效的方式解决知识产权争议的机制”下，各项报告分为5个主题。</w:t>
      </w:r>
    </w:p>
    <w:p w14:paraId="4454FAFC" w14:textId="19C5ADC2" w:rsidR="000C7F20"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在“解决在线知识产权侵权的制度安排”主题下，伦敦玛丽女王大学商法研究中心高级讲师加埃塔诺·迪米塔博士作了关于“视频游戏产业中的版权侵权</w:t>
      </w:r>
      <w:r w:rsidR="007B0AF1" w:rsidRPr="00570290">
        <w:rPr>
          <w:rFonts w:ascii="SimSun" w:hAnsi="SimSun" w:hint="eastAsia"/>
          <w:sz w:val="21"/>
          <w:szCs w:val="22"/>
        </w:rPr>
        <w:t>研究</w:t>
      </w:r>
      <w:r w:rsidRPr="00570290">
        <w:rPr>
          <w:rFonts w:ascii="SimSun" w:hAnsi="SimSun" w:hint="eastAsia"/>
          <w:sz w:val="21"/>
          <w:szCs w:val="22"/>
        </w:rPr>
        <w:t>”的报告。</w:t>
      </w:r>
      <w:r w:rsidR="002F1730" w:rsidRPr="00570290">
        <w:rPr>
          <w:rFonts w:ascii="SimSun" w:hAnsi="SimSun" w:hint="eastAsia"/>
          <w:sz w:val="21"/>
          <w:szCs w:val="22"/>
        </w:rPr>
        <w:t>此外，</w:t>
      </w:r>
      <w:r w:rsidRPr="00570290">
        <w:rPr>
          <w:rFonts w:ascii="SimSun" w:hAnsi="SimSun" w:hint="eastAsia"/>
          <w:sz w:val="21"/>
          <w:szCs w:val="22"/>
        </w:rPr>
        <w:t>两个成员国</w:t>
      </w:r>
      <w:r w:rsidR="002F1730" w:rsidRPr="00570290">
        <w:rPr>
          <w:rFonts w:ascii="SimSun" w:hAnsi="SimSun" w:hint="eastAsia"/>
          <w:sz w:val="21"/>
          <w:szCs w:val="22"/>
        </w:rPr>
        <w:t>分享了经验</w:t>
      </w:r>
      <w:r w:rsidRPr="00570290">
        <w:rPr>
          <w:rFonts w:ascii="SimSun" w:hAnsi="SimSun" w:hint="eastAsia"/>
          <w:sz w:val="21"/>
          <w:szCs w:val="22"/>
        </w:rPr>
        <w:t>：大韩民国文化体育观光部的“大韩民国的版权执法措施和在线执法近期成就”；西班牙文化和体育部知识产权分局的“西班牙打击数字环境中盗版的行政程序和自我监管”。</w:t>
      </w:r>
    </w:p>
    <w:p w14:paraId="6AA96887" w14:textId="63DD1AEE" w:rsidR="000C7F20"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在“知识产权执法协调”主题下，</w:t>
      </w:r>
      <w:r w:rsidR="00815297" w:rsidRPr="00570290">
        <w:rPr>
          <w:rFonts w:ascii="SimSun" w:hAnsi="SimSun" w:hint="eastAsia"/>
          <w:sz w:val="21"/>
          <w:szCs w:val="22"/>
        </w:rPr>
        <w:t>六</w:t>
      </w:r>
      <w:r w:rsidRPr="00570290">
        <w:rPr>
          <w:rFonts w:ascii="SimSun" w:hAnsi="SimSun" w:hint="eastAsia"/>
          <w:sz w:val="21"/>
          <w:szCs w:val="22"/>
        </w:rPr>
        <w:t>个成员国</w:t>
      </w:r>
      <w:r w:rsidR="002F1730" w:rsidRPr="00570290">
        <w:rPr>
          <w:rFonts w:ascii="SimSun" w:hAnsi="SimSun" w:hint="eastAsia"/>
          <w:sz w:val="21"/>
          <w:szCs w:val="22"/>
        </w:rPr>
        <w:t>和</w:t>
      </w:r>
      <w:r w:rsidR="00815297" w:rsidRPr="00570290">
        <w:rPr>
          <w:rFonts w:ascii="SimSun" w:hAnsi="SimSun" w:hint="eastAsia"/>
          <w:sz w:val="21"/>
          <w:szCs w:val="22"/>
        </w:rPr>
        <w:t>一</w:t>
      </w:r>
      <w:r w:rsidR="002F1730" w:rsidRPr="00570290">
        <w:rPr>
          <w:rFonts w:ascii="SimSun" w:hAnsi="SimSun" w:hint="eastAsia"/>
          <w:sz w:val="21"/>
          <w:szCs w:val="22"/>
        </w:rPr>
        <w:t>个政府间组织分享了经验</w:t>
      </w:r>
      <w:r w:rsidRPr="00570290">
        <w:rPr>
          <w:rFonts w:ascii="SimSun" w:hAnsi="SimSun" w:hint="eastAsia"/>
          <w:sz w:val="21"/>
          <w:szCs w:val="22"/>
        </w:rPr>
        <w:t>：巴西国家电影局</w:t>
      </w:r>
      <w:r w:rsidR="002F1730" w:rsidRPr="00570290">
        <w:rPr>
          <w:rFonts w:ascii="SimSun" w:hAnsi="SimSun" w:hint="eastAsia"/>
          <w:sz w:val="21"/>
          <w:szCs w:val="22"/>
        </w:rPr>
        <w:t>（</w:t>
      </w:r>
      <w:r w:rsidR="002F1730" w:rsidRPr="00570290">
        <w:rPr>
          <w:rFonts w:ascii="SimSun" w:hAnsi="SimSun"/>
          <w:sz w:val="21"/>
          <w:szCs w:val="22"/>
        </w:rPr>
        <w:t>ANCINE</w:t>
      </w:r>
      <w:r w:rsidR="002F1730" w:rsidRPr="00570290">
        <w:rPr>
          <w:rFonts w:ascii="SimSun" w:hAnsi="SimSun" w:hint="eastAsia"/>
          <w:sz w:val="21"/>
          <w:szCs w:val="22"/>
        </w:rPr>
        <w:t>）</w:t>
      </w:r>
      <w:r w:rsidRPr="00570290">
        <w:rPr>
          <w:rFonts w:ascii="SimSun" w:hAnsi="SimSun" w:hint="eastAsia"/>
          <w:sz w:val="21"/>
          <w:szCs w:val="22"/>
        </w:rPr>
        <w:t>的“巴西在打击盗版和知识产权犯罪方面的工作”；智利国家海关署的“智利国家海关署在边境措施方面的作用和经验”；哈萨克斯坦国家知识产权局的“哈萨克斯坦的政府举措，加强合作，扩展外联和提高意识活动”；韩国特许厅（KIPO）的“韩国特许厅新设技术与外观设计警察部的重大调查案件”；大韩民国司法部的“大韩民国检察机关在知识产权执法方面的作用”；沙特阿拉伯</w:t>
      </w:r>
      <w:r w:rsidR="002F1730" w:rsidRPr="00570290">
        <w:rPr>
          <w:rFonts w:ascii="SimSun" w:hAnsi="SimSun" w:hint="eastAsia"/>
          <w:sz w:val="21"/>
          <w:szCs w:val="22"/>
        </w:rPr>
        <w:t>沙特</w:t>
      </w:r>
      <w:r w:rsidRPr="00570290">
        <w:rPr>
          <w:rFonts w:ascii="SimSun" w:hAnsi="SimSun" w:hint="eastAsia"/>
          <w:sz w:val="21"/>
          <w:szCs w:val="22"/>
        </w:rPr>
        <w:t>知识产权局（SAIP）的“沙特阿拉伯的知识产权干事计划”；</w:t>
      </w:r>
      <w:r w:rsidR="002F1730" w:rsidRPr="00570290">
        <w:rPr>
          <w:rFonts w:ascii="SimSun" w:hAnsi="SimSun" w:hint="eastAsia"/>
          <w:sz w:val="21"/>
          <w:szCs w:val="22"/>
        </w:rPr>
        <w:t>联合国毒品和犯罪问题办公室–世界海关组织</w:t>
      </w:r>
      <w:r w:rsidRPr="00570290">
        <w:rPr>
          <w:rFonts w:ascii="SimSun" w:hAnsi="SimSun" w:hint="eastAsia"/>
          <w:sz w:val="21"/>
          <w:szCs w:val="22"/>
        </w:rPr>
        <w:t>集装箱管制方案的“联合国毒品和犯罪问题办公室–世界海关组织集装箱管制方案在知识产权方面的工作”。在巴拉圭国家知识产权局分管执法的局长费尔南多·哈维尔·加尔塞特·桑德尔先生的主持下</w:t>
      </w:r>
      <w:r w:rsidR="002F1730" w:rsidRPr="00570290">
        <w:rPr>
          <w:rFonts w:ascii="SimSun" w:hAnsi="SimSun" w:hint="eastAsia"/>
          <w:sz w:val="21"/>
          <w:szCs w:val="22"/>
        </w:rPr>
        <w:t>，</w:t>
      </w:r>
      <w:r w:rsidRPr="00570290">
        <w:rPr>
          <w:rFonts w:ascii="SimSun" w:hAnsi="SimSun" w:hint="eastAsia"/>
          <w:sz w:val="21"/>
          <w:szCs w:val="22"/>
        </w:rPr>
        <w:t>进行了小组讨论，巴基斯坦代表团作了发言。</w:t>
      </w:r>
    </w:p>
    <w:p w14:paraId="4D6A9CEC" w14:textId="49B17EB3" w:rsidR="00C23311"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在“中介在知识产权执法中的作用（线上和实体）”主题下，</w:t>
      </w:r>
      <w:r w:rsidR="00D76EF8" w:rsidRPr="00570290">
        <w:rPr>
          <w:rFonts w:ascii="SimSun" w:hAnsi="SimSun" w:hint="eastAsia"/>
          <w:sz w:val="21"/>
          <w:szCs w:val="22"/>
        </w:rPr>
        <w:t>美利坚合众国</w:t>
      </w:r>
      <w:r w:rsidRPr="00570290">
        <w:rPr>
          <w:rFonts w:ascii="SimSun" w:hAnsi="SimSun" w:hint="eastAsia"/>
          <w:sz w:val="21"/>
          <w:szCs w:val="22"/>
        </w:rPr>
        <w:t>网络问责制联盟律师兼名誉执行理事和法律顾问迪安·马克斯先生，和</w:t>
      </w:r>
      <w:r w:rsidR="00D76EF8">
        <w:rPr>
          <w:rFonts w:ascii="SimSun" w:hAnsi="SimSun" w:hint="eastAsia"/>
          <w:sz w:val="21"/>
          <w:szCs w:val="22"/>
        </w:rPr>
        <w:t>德国</w:t>
      </w:r>
      <w:r w:rsidRPr="00570290">
        <w:rPr>
          <w:rFonts w:ascii="SimSun" w:hAnsi="SimSun" w:hint="eastAsia"/>
          <w:sz w:val="21"/>
          <w:szCs w:val="22"/>
        </w:rPr>
        <w:t>柏林Nordemann Czychowski &amp; Partner律师事务所律师、柏林洪堡大学荣誉教授扬·贝恩德·诺德曼博士作了关于“域名系统及其运营商在网络</w:t>
      </w:r>
      <w:r w:rsidRPr="00570290">
        <w:rPr>
          <w:rFonts w:ascii="SimSun" w:hAnsi="SimSun" w:hint="eastAsia"/>
          <w:sz w:val="21"/>
          <w:szCs w:val="22"/>
        </w:rPr>
        <w:lastRenderedPageBreak/>
        <w:t>版权执法中的作用</w:t>
      </w:r>
      <w:r w:rsidR="00BB7F29" w:rsidRPr="00570290">
        <w:rPr>
          <w:rFonts w:ascii="SimSun" w:hAnsi="SimSun" w:hint="eastAsia"/>
          <w:sz w:val="21"/>
          <w:szCs w:val="22"/>
        </w:rPr>
        <w:t>研究</w:t>
      </w:r>
      <w:r w:rsidRPr="00570290">
        <w:rPr>
          <w:rFonts w:ascii="SimSun" w:hAnsi="SimSun" w:hint="eastAsia"/>
          <w:sz w:val="21"/>
          <w:szCs w:val="22"/>
        </w:rPr>
        <w:t>”</w:t>
      </w:r>
      <w:r w:rsidR="00BB7F29" w:rsidRPr="00570290">
        <w:rPr>
          <w:rFonts w:ascii="SimSun" w:hAnsi="SimSun" w:hint="eastAsia"/>
          <w:sz w:val="21"/>
          <w:szCs w:val="22"/>
        </w:rPr>
        <w:t>报告</w:t>
      </w:r>
      <w:r w:rsidRPr="00570290">
        <w:rPr>
          <w:rFonts w:ascii="SimSun" w:hAnsi="SimSun" w:hint="eastAsia"/>
          <w:sz w:val="21"/>
          <w:szCs w:val="22"/>
        </w:rPr>
        <w:t>。此外</w:t>
      </w:r>
      <w:r w:rsidR="00815297" w:rsidRPr="00570290">
        <w:rPr>
          <w:rFonts w:ascii="SimSun" w:hAnsi="SimSun" w:hint="eastAsia"/>
          <w:sz w:val="21"/>
          <w:szCs w:val="22"/>
        </w:rPr>
        <w:t>还</w:t>
      </w:r>
      <w:r w:rsidR="00BB7F29" w:rsidRPr="00570290">
        <w:rPr>
          <w:rFonts w:ascii="SimSun" w:hAnsi="SimSun" w:hint="eastAsia"/>
          <w:sz w:val="21"/>
          <w:szCs w:val="22"/>
        </w:rPr>
        <w:t>有</w:t>
      </w:r>
      <w:r w:rsidR="00815297" w:rsidRPr="00570290">
        <w:rPr>
          <w:rFonts w:ascii="SimSun" w:hAnsi="SimSun" w:hint="eastAsia"/>
          <w:sz w:val="21"/>
          <w:szCs w:val="22"/>
        </w:rPr>
        <w:t>五</w:t>
      </w:r>
      <w:r w:rsidR="00BB7F29" w:rsidRPr="00570290">
        <w:rPr>
          <w:rFonts w:ascii="SimSun" w:hAnsi="SimSun" w:hint="eastAsia"/>
          <w:sz w:val="21"/>
          <w:szCs w:val="22"/>
        </w:rPr>
        <w:t>份报告</w:t>
      </w:r>
      <w:r w:rsidRPr="00570290">
        <w:rPr>
          <w:rFonts w:ascii="SimSun" w:hAnsi="SimSun" w:hint="eastAsia"/>
          <w:sz w:val="21"/>
          <w:szCs w:val="22"/>
        </w:rPr>
        <w:t>：联合王国国家知识产权保护市场集团的“真实交易：通过合作打击联合王国市场上的知识产权犯罪”；欧洲品牌协会（AIM）的“欧洲品牌协会（AIM）对在线中介机构在打击假冒方面所发挥作用的看法”；国际唱片业协会（IFPI）的“录制音乐产业对于网络中介机构在打击网络盗版方面所发挥作用的观点”；敦豪快递的“解决快递行业的海关合规问题——敦豪快递的做法”；万事达卡国际的“万事达卡防止知识产权侵权的举措”。在欧盟委员会内部市场、工业、创业与中小企业总司</w:t>
      </w:r>
      <w:r w:rsidR="00815297" w:rsidRPr="00570290">
        <w:rPr>
          <w:rFonts w:ascii="SimSun" w:hAnsi="SimSun" w:hint="eastAsia"/>
          <w:sz w:val="21"/>
          <w:szCs w:val="22"/>
        </w:rPr>
        <w:t>（</w:t>
      </w:r>
      <w:r w:rsidR="00815297" w:rsidRPr="00570290">
        <w:rPr>
          <w:rFonts w:ascii="SimSun" w:hAnsi="SimSun"/>
          <w:sz w:val="21"/>
          <w:szCs w:val="22"/>
        </w:rPr>
        <w:t>DG GROW</w:t>
      </w:r>
      <w:r w:rsidR="00815297" w:rsidRPr="00570290">
        <w:rPr>
          <w:rFonts w:ascii="SimSun" w:hAnsi="SimSun" w:hint="eastAsia"/>
          <w:sz w:val="21"/>
          <w:szCs w:val="22"/>
        </w:rPr>
        <w:t>）</w:t>
      </w:r>
      <w:r w:rsidRPr="00570290">
        <w:rPr>
          <w:rFonts w:ascii="SimSun" w:hAnsi="SimSun" w:hint="eastAsia"/>
          <w:sz w:val="21"/>
          <w:szCs w:val="22"/>
        </w:rPr>
        <w:t>无形经济法律和政策干事蒂姆·沃纳先生（布鲁塞尔）的主持下</w:t>
      </w:r>
      <w:r w:rsidR="00BB7F29" w:rsidRPr="00570290">
        <w:rPr>
          <w:rFonts w:ascii="SimSun" w:hAnsi="SimSun" w:hint="eastAsia"/>
          <w:sz w:val="21"/>
          <w:szCs w:val="22"/>
        </w:rPr>
        <w:t>，</w:t>
      </w:r>
      <w:r w:rsidRPr="00570290">
        <w:rPr>
          <w:rFonts w:ascii="SimSun" w:hAnsi="SimSun" w:hint="eastAsia"/>
          <w:sz w:val="21"/>
          <w:szCs w:val="22"/>
        </w:rPr>
        <w:t>进行了小组讨论。</w:t>
      </w:r>
    </w:p>
    <w:p w14:paraId="0E12DB30" w14:textId="5D72CA9E" w:rsidR="00C23311"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在“知识产权执法的新技术”</w:t>
      </w:r>
      <w:r w:rsidR="00494C7D" w:rsidRPr="00570290">
        <w:rPr>
          <w:rFonts w:ascii="SimSun" w:hAnsi="SimSun" w:hint="eastAsia"/>
          <w:sz w:val="21"/>
          <w:szCs w:val="22"/>
        </w:rPr>
        <w:t>主题</w:t>
      </w:r>
      <w:r w:rsidRPr="00570290">
        <w:rPr>
          <w:rFonts w:ascii="SimSun" w:hAnsi="SimSun" w:hint="eastAsia"/>
          <w:sz w:val="21"/>
          <w:szCs w:val="22"/>
        </w:rPr>
        <w:t>下，</w:t>
      </w:r>
      <w:r w:rsidR="00F24DB9" w:rsidRPr="00570290">
        <w:rPr>
          <w:rFonts w:ascii="SimSun" w:hAnsi="SimSun" w:hint="eastAsia"/>
          <w:sz w:val="21"/>
          <w:szCs w:val="22"/>
        </w:rPr>
        <w:t>欧洲联盟</w:t>
      </w:r>
      <w:r w:rsidRPr="00570290">
        <w:rPr>
          <w:rFonts w:ascii="SimSun" w:hAnsi="SimSun" w:hint="eastAsia"/>
          <w:sz w:val="21"/>
          <w:szCs w:val="22"/>
        </w:rPr>
        <w:t>知识产权局介绍了“知识产权保护和执法的新技术机会——通过区块链技术打击假货的最新情况”，腾讯集团</w:t>
      </w:r>
      <w:r w:rsidR="00F24DB9" w:rsidRPr="00570290">
        <w:rPr>
          <w:rFonts w:ascii="SimSun" w:hAnsi="SimSun" w:hint="eastAsia"/>
          <w:sz w:val="21"/>
          <w:szCs w:val="22"/>
        </w:rPr>
        <w:t>讨论了</w:t>
      </w:r>
      <w:r w:rsidRPr="00570290">
        <w:rPr>
          <w:rFonts w:ascii="SimSun" w:hAnsi="SimSun" w:hint="eastAsia"/>
          <w:sz w:val="21"/>
          <w:szCs w:val="22"/>
        </w:rPr>
        <w:t>“技术创新助力中国版权保护”。</w:t>
      </w:r>
    </w:p>
    <w:p w14:paraId="41B355B5" w14:textId="51DB3BB7" w:rsidR="00C23311"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在“知识产权侵权案件的裁决”主题下，就以下主题作了三份报告：</w:t>
      </w:r>
      <w:r w:rsidR="00494C7D" w:rsidRPr="00570290">
        <w:rPr>
          <w:rFonts w:ascii="SimSun" w:hAnsi="SimSun" w:hint="eastAsia"/>
          <w:sz w:val="21"/>
          <w:szCs w:val="22"/>
        </w:rPr>
        <w:t>印度</w:t>
      </w:r>
      <w:r w:rsidRPr="00570290">
        <w:rPr>
          <w:rFonts w:ascii="SimSun" w:hAnsi="SimSun" w:hint="eastAsia"/>
          <w:sz w:val="21"/>
          <w:szCs w:val="22"/>
        </w:rPr>
        <w:t>德里高等法院知识产权庭普拉蒂巴·辛格法官女士的“印度的动态禁令和其他禁令救济”；国际保护知识产权协会（AIPPI）的“国际保护知识产权协会（AIPPI）最近开展的关于知识产权侵权赔偿的工作”；国际商标协会（INTA）的“国际商标协会在初步禁令立法协调方面的工作”。</w:t>
      </w:r>
      <w:r w:rsidR="00F24DB9" w:rsidRPr="00570290">
        <w:rPr>
          <w:rFonts w:ascii="SimSun" w:hAnsi="SimSun" w:hint="eastAsia"/>
          <w:sz w:val="21"/>
          <w:szCs w:val="22"/>
        </w:rPr>
        <w:t>在</w:t>
      </w:r>
      <w:r w:rsidRPr="00570290">
        <w:rPr>
          <w:rFonts w:ascii="SimSun" w:hAnsi="SimSun" w:hint="eastAsia"/>
          <w:sz w:val="21"/>
          <w:szCs w:val="22"/>
        </w:rPr>
        <w:t>埃及上诉法院前法官、</w:t>
      </w:r>
      <w:r w:rsidR="00F24DB9" w:rsidRPr="00570290">
        <w:rPr>
          <w:rFonts w:ascii="SimSun" w:hAnsi="SimSun" w:hint="eastAsia"/>
          <w:sz w:val="21"/>
          <w:szCs w:val="22"/>
        </w:rPr>
        <w:t>加拿大</w:t>
      </w:r>
      <w:r w:rsidRPr="00570290">
        <w:rPr>
          <w:rFonts w:ascii="SimSun" w:hAnsi="SimSun" w:hint="eastAsia"/>
          <w:sz w:val="21"/>
          <w:szCs w:val="22"/>
        </w:rPr>
        <w:t>西安大略大学法学院教授巴西姆·阿瓦德博士</w:t>
      </w:r>
      <w:r w:rsidR="00F24DB9" w:rsidRPr="00570290">
        <w:rPr>
          <w:rFonts w:ascii="SimSun" w:hAnsi="SimSun" w:hint="eastAsia"/>
          <w:sz w:val="21"/>
          <w:szCs w:val="22"/>
        </w:rPr>
        <w:t>的主持下，进行了小组讨论</w:t>
      </w:r>
      <w:r w:rsidRPr="00570290">
        <w:rPr>
          <w:rFonts w:ascii="SimSun" w:hAnsi="SimSun" w:hint="eastAsia"/>
          <w:sz w:val="21"/>
          <w:szCs w:val="22"/>
        </w:rPr>
        <w:t>，肯尼亚、巴基斯坦、美利坚合众国、乌兹别克斯坦代表团和AIM的代表作了发言。</w:t>
      </w:r>
    </w:p>
    <w:p w14:paraId="10C6D96C" w14:textId="6005BE47" w:rsidR="00C23311" w:rsidRPr="00570290" w:rsidRDefault="00C70E17"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在工作计划</w:t>
      </w:r>
      <w:r w:rsidR="00924201" w:rsidRPr="00570290">
        <w:rPr>
          <w:rFonts w:ascii="SimSun" w:hAnsi="SimSun" w:hint="eastAsia"/>
          <w:sz w:val="21"/>
          <w:szCs w:val="22"/>
        </w:rPr>
        <w:t>项目</w:t>
      </w:r>
      <w:r w:rsidRPr="00570290">
        <w:rPr>
          <w:rFonts w:ascii="SimSun" w:hAnsi="SimSun" w:hint="eastAsia"/>
          <w:sz w:val="21"/>
          <w:szCs w:val="22"/>
        </w:rPr>
        <w:t>“交流产权组织在能力建设和支持方面的成功案例，这样的能力建设和支持针对的是依据相关发展议程建议和ACE的任务授权，在国家和地区层面对各机构和本国官员提供的培训活动”下，</w:t>
      </w:r>
      <w:r w:rsidR="00924201" w:rsidRPr="00570290">
        <w:rPr>
          <w:rFonts w:ascii="SimSun" w:hAnsi="SimSun" w:hint="eastAsia"/>
          <w:sz w:val="21"/>
          <w:szCs w:val="22"/>
        </w:rPr>
        <w:t>阿尔巴尼亚分享了定制产权组织培训材料《调查和起诉知识产权犯罪》的经验，阿瓦德博士介绍了《产权组织阿拉伯文知识产权执法案例集》</w:t>
      </w:r>
      <w:r w:rsidRPr="00570290">
        <w:rPr>
          <w:rFonts w:ascii="SimSun" w:hAnsi="SimSun" w:hint="eastAsia"/>
          <w:sz w:val="21"/>
          <w:szCs w:val="22"/>
        </w:rPr>
        <w:t>。</w:t>
      </w:r>
    </w:p>
    <w:p w14:paraId="378FCE57" w14:textId="75E85495" w:rsidR="00C23311" w:rsidRPr="00570290" w:rsidRDefault="00924201" w:rsidP="00816C05">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570290">
        <w:rPr>
          <w:rFonts w:ascii="SimSun" w:hAnsi="SimSun" w:hint="eastAsia"/>
          <w:sz w:val="21"/>
          <w:szCs w:val="22"/>
        </w:rPr>
        <w:t>委员会注意到</w:t>
      </w:r>
      <w:r w:rsidR="00C70E17" w:rsidRPr="00570290">
        <w:rPr>
          <w:rFonts w:ascii="SimSun" w:hAnsi="SimSun" w:hint="eastAsia"/>
          <w:sz w:val="21"/>
          <w:szCs w:val="22"/>
        </w:rPr>
        <w:t>秘书处</w:t>
      </w:r>
      <w:r w:rsidRPr="00570290">
        <w:rPr>
          <w:rFonts w:ascii="SimSun" w:hAnsi="SimSun" w:hint="eastAsia"/>
          <w:sz w:val="21"/>
          <w:szCs w:val="22"/>
        </w:rPr>
        <w:t>关于</w:t>
      </w:r>
      <w:r w:rsidR="00C70E17" w:rsidRPr="00570290">
        <w:rPr>
          <w:rFonts w:ascii="SimSun" w:hAnsi="SimSun" w:hint="eastAsia"/>
          <w:sz w:val="21"/>
          <w:szCs w:val="22"/>
        </w:rPr>
        <w:t>产权组织近期在树立尊重知识产权的风尚领域</w:t>
      </w:r>
      <w:r w:rsidR="006F334A" w:rsidRPr="00570290">
        <w:rPr>
          <w:rFonts w:ascii="SimSun" w:hAnsi="SimSun" w:hint="eastAsia"/>
          <w:sz w:val="21"/>
          <w:szCs w:val="22"/>
        </w:rPr>
        <w:t>所</w:t>
      </w:r>
      <w:r w:rsidR="00C70E17" w:rsidRPr="00570290">
        <w:rPr>
          <w:rFonts w:ascii="SimSun" w:hAnsi="SimSun" w:hint="eastAsia"/>
          <w:sz w:val="21"/>
          <w:szCs w:val="22"/>
        </w:rPr>
        <w:t>开展活动</w:t>
      </w:r>
      <w:r w:rsidR="006F334A" w:rsidRPr="00570290">
        <w:rPr>
          <w:rFonts w:ascii="SimSun" w:hAnsi="SimSun" w:hint="eastAsia"/>
          <w:sz w:val="21"/>
          <w:szCs w:val="22"/>
        </w:rPr>
        <w:t>的报告</w:t>
      </w:r>
      <w:r w:rsidR="00C70E17" w:rsidRPr="00570290">
        <w:rPr>
          <w:rFonts w:ascii="SimSun" w:hAnsi="SimSun" w:hint="eastAsia"/>
          <w:sz w:val="21"/>
          <w:szCs w:val="22"/>
        </w:rPr>
        <w:t>，这些活动以2020/2021年计划和预算、2022/2023年工作计划和预算</w:t>
      </w:r>
      <w:r w:rsidR="00D20BF5" w:rsidRPr="00570290">
        <w:rPr>
          <w:rFonts w:ascii="SimSun" w:hAnsi="SimSun" w:hint="eastAsia"/>
          <w:sz w:val="21"/>
          <w:szCs w:val="22"/>
        </w:rPr>
        <w:t>及</w:t>
      </w:r>
      <w:r w:rsidR="00C70E17" w:rsidRPr="00570290">
        <w:rPr>
          <w:rFonts w:ascii="SimSun" w:hAnsi="SimSun" w:hint="eastAsia"/>
          <w:sz w:val="21"/>
          <w:szCs w:val="22"/>
        </w:rPr>
        <w:t>发展议程建议45为指导。</w:t>
      </w:r>
      <w:r w:rsidR="006F334A" w:rsidRPr="00570290">
        <w:rPr>
          <w:rStyle w:val="FootnoteReference"/>
          <w:rFonts w:ascii="SimSun" w:hAnsi="SimSun"/>
          <w:sz w:val="21"/>
          <w:szCs w:val="22"/>
        </w:rPr>
        <w:footnoteReference w:id="6"/>
      </w:r>
    </w:p>
    <w:p w14:paraId="462813C1" w14:textId="48CE87F6" w:rsidR="00C23311" w:rsidRPr="00570290" w:rsidRDefault="006F334A" w:rsidP="00816C05">
      <w:pPr>
        <w:pStyle w:val="ListParagraph"/>
        <w:numPr>
          <w:ilvl w:val="0"/>
          <w:numId w:val="14"/>
        </w:numPr>
        <w:overflowPunct w:val="0"/>
        <w:spacing w:afterLines="50" w:after="120" w:line="340" w:lineRule="atLeast"/>
        <w:ind w:left="0" w:firstLine="0"/>
        <w:contextualSpacing w:val="0"/>
        <w:jc w:val="both"/>
        <w:rPr>
          <w:rFonts w:ascii="SimSun" w:hAnsi="SimSun"/>
          <w:color w:val="212121"/>
          <w:sz w:val="21"/>
          <w:szCs w:val="22"/>
        </w:rPr>
      </w:pPr>
      <w:r w:rsidRPr="001D6D8C">
        <w:rPr>
          <w:rFonts w:ascii="SimSun" w:hAnsi="SimSun" w:cs="Microsoft YaHei" w:hint="eastAsia"/>
          <w:color w:val="212121"/>
          <w:sz w:val="21"/>
          <w:szCs w:val="22"/>
        </w:rPr>
        <w:t>关于未来工作，委员会同意，在第十六届会议上继续审议上文第</w:t>
      </w:r>
      <w:r w:rsidRPr="00570290">
        <w:rPr>
          <w:rFonts w:ascii="SimSun" w:hAnsi="SimSun" w:hint="eastAsia"/>
          <w:color w:val="212121"/>
          <w:sz w:val="21"/>
          <w:szCs w:val="22"/>
        </w:rPr>
        <w:t>2</w:t>
      </w:r>
      <w:r w:rsidRPr="001D6D8C">
        <w:rPr>
          <w:rFonts w:ascii="SimSun" w:hAnsi="SimSun" w:cs="Microsoft YaHei" w:hint="eastAsia"/>
          <w:color w:val="212121"/>
          <w:sz w:val="21"/>
          <w:szCs w:val="22"/>
        </w:rPr>
        <w:t>段中所列的现阶段工作计划。</w:t>
      </w:r>
    </w:p>
    <w:p w14:paraId="0A8A9F65" w14:textId="45AF9695" w:rsidR="00C23311" w:rsidRPr="00816C05" w:rsidRDefault="00C70E17" w:rsidP="00816C05">
      <w:pPr>
        <w:pStyle w:val="ListParagraph"/>
        <w:numPr>
          <w:ilvl w:val="0"/>
          <w:numId w:val="14"/>
        </w:numPr>
        <w:overflowPunct w:val="0"/>
        <w:spacing w:afterLines="50" w:after="120" w:line="340" w:lineRule="atLeast"/>
        <w:ind w:left="5534" w:firstLine="0"/>
        <w:contextualSpacing w:val="0"/>
        <w:jc w:val="both"/>
        <w:rPr>
          <w:rFonts w:ascii="KaiTi" w:eastAsia="KaiTi" w:hAnsi="KaiTi"/>
          <w:sz w:val="21"/>
        </w:rPr>
      </w:pPr>
      <w:r w:rsidRPr="00816C05">
        <w:rPr>
          <w:rFonts w:ascii="KaiTi" w:eastAsia="KaiTi" w:hAnsi="KaiTi" w:hint="eastAsia"/>
          <w:sz w:val="21"/>
        </w:rPr>
        <w:t>请产权组织大会注意“关于执法咨询委员会（</w:t>
      </w:r>
      <w:r w:rsidRPr="00816C05">
        <w:rPr>
          <w:rFonts w:ascii="KaiTi" w:eastAsia="KaiTi" w:hAnsi="KaiTi"/>
          <w:sz w:val="21"/>
        </w:rPr>
        <w:t>ACE</w:t>
      </w:r>
      <w:r w:rsidRPr="00816C05">
        <w:rPr>
          <w:rFonts w:ascii="KaiTi" w:eastAsia="KaiTi" w:hAnsi="KaiTi" w:hint="eastAsia"/>
          <w:sz w:val="21"/>
        </w:rPr>
        <w:t>）的报告”（文件</w:t>
      </w:r>
      <w:r w:rsidRPr="00816C05">
        <w:rPr>
          <w:rFonts w:ascii="KaiTi" w:eastAsia="KaiTi" w:hAnsi="KaiTi"/>
          <w:sz w:val="21"/>
        </w:rPr>
        <w:t>WO/</w:t>
      </w:r>
      <w:r w:rsidRPr="00816C05">
        <w:rPr>
          <w:rFonts w:ascii="MS Gothic" w:eastAsia="MS Gothic" w:hAnsi="MS Gothic" w:cs="MS Gothic" w:hint="eastAsia"/>
          <w:sz w:val="21"/>
        </w:rPr>
        <w:t>‌</w:t>
      </w:r>
      <w:r w:rsidRPr="00816C05">
        <w:rPr>
          <w:rFonts w:ascii="KaiTi" w:eastAsia="KaiTi" w:hAnsi="KaiTi"/>
          <w:sz w:val="21"/>
        </w:rPr>
        <w:t>GA/5</w:t>
      </w:r>
      <w:r w:rsidR="006F334A" w:rsidRPr="00816C05">
        <w:rPr>
          <w:rFonts w:ascii="KaiTi" w:eastAsia="KaiTi" w:hAnsi="KaiTi"/>
          <w:sz w:val="21"/>
        </w:rPr>
        <w:t>6</w:t>
      </w:r>
      <w:r w:rsidRPr="00816C05">
        <w:rPr>
          <w:rFonts w:ascii="KaiTi" w:eastAsia="KaiTi" w:hAnsi="KaiTi"/>
          <w:sz w:val="21"/>
        </w:rPr>
        <w:t>/1</w:t>
      </w:r>
      <w:r w:rsidRPr="00816C05">
        <w:rPr>
          <w:rFonts w:ascii="KaiTi" w:eastAsia="KaiTi" w:hAnsi="KaiTi" w:hint="eastAsia"/>
          <w:sz w:val="21"/>
        </w:rPr>
        <w:t>2）。</w:t>
      </w:r>
    </w:p>
    <w:p w14:paraId="031195B9" w14:textId="2AD65CEE" w:rsidR="00750E7C" w:rsidRPr="00816C05" w:rsidRDefault="00750E7C" w:rsidP="00816C05">
      <w:pPr>
        <w:overflowPunct w:val="0"/>
        <w:spacing w:before="720" w:afterLines="50" w:after="120" w:line="340" w:lineRule="atLeast"/>
        <w:ind w:left="5534"/>
        <w:rPr>
          <w:rFonts w:ascii="KaiTi" w:eastAsia="KaiTi" w:hAnsi="KaiTi"/>
          <w:sz w:val="21"/>
        </w:rPr>
      </w:pPr>
      <w:r w:rsidRPr="00816C05">
        <w:rPr>
          <w:rFonts w:ascii="KaiTi" w:eastAsia="KaiTi" w:hAnsi="KaiTi"/>
          <w:sz w:val="21"/>
          <w:szCs w:val="22"/>
        </w:rPr>
        <w:t>[</w:t>
      </w:r>
      <w:r w:rsidR="006F334A" w:rsidRPr="00816C05">
        <w:rPr>
          <w:rFonts w:ascii="KaiTi" w:eastAsia="KaiTi" w:hAnsi="KaiTi" w:hint="eastAsia"/>
          <w:sz w:val="21"/>
          <w:szCs w:val="22"/>
        </w:rPr>
        <w:t>文</w:t>
      </w:r>
      <w:bookmarkStart w:id="5" w:name="_GoBack"/>
      <w:bookmarkEnd w:id="5"/>
      <w:r w:rsidR="006F334A" w:rsidRPr="00816C05">
        <w:rPr>
          <w:rFonts w:ascii="KaiTi" w:eastAsia="KaiTi" w:hAnsi="KaiTi" w:hint="eastAsia"/>
          <w:sz w:val="21"/>
          <w:szCs w:val="22"/>
        </w:rPr>
        <w:t>件完</w:t>
      </w:r>
      <w:r w:rsidRPr="00816C05">
        <w:rPr>
          <w:rFonts w:ascii="KaiTi" w:eastAsia="KaiTi" w:hAnsi="KaiTi"/>
          <w:sz w:val="21"/>
          <w:szCs w:val="22"/>
        </w:rPr>
        <w:t>]</w:t>
      </w:r>
    </w:p>
    <w:sectPr w:rsidR="00750E7C" w:rsidRPr="00816C05" w:rsidSect="008A28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B631E" w14:textId="77777777" w:rsidR="00B35FE4" w:rsidRDefault="00B35FE4">
      <w:r>
        <w:separator/>
      </w:r>
    </w:p>
  </w:endnote>
  <w:endnote w:type="continuationSeparator" w:id="0">
    <w:p w14:paraId="746013A3" w14:textId="77777777" w:rsidR="00B35FE4" w:rsidRDefault="00B35FE4" w:rsidP="003B38C1">
      <w:r>
        <w:separator/>
      </w:r>
    </w:p>
    <w:p w14:paraId="24DE4FD9" w14:textId="77777777" w:rsidR="00B35FE4" w:rsidRPr="003B38C1" w:rsidRDefault="00B35FE4" w:rsidP="003B38C1">
      <w:pPr>
        <w:spacing w:after="60"/>
        <w:rPr>
          <w:sz w:val="17"/>
        </w:rPr>
      </w:pPr>
      <w:r>
        <w:rPr>
          <w:sz w:val="17"/>
        </w:rPr>
        <w:t>[Endnote continued from previous page]</w:t>
      </w:r>
    </w:p>
  </w:endnote>
  <w:endnote w:type="continuationNotice" w:id="1">
    <w:p w14:paraId="38CB584C" w14:textId="77777777" w:rsidR="00B35FE4" w:rsidRPr="003B38C1" w:rsidRDefault="00B35F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1848" w14:textId="77777777" w:rsidR="0032386B" w:rsidRDefault="00323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92BFF" w14:textId="77777777" w:rsidR="0032386B" w:rsidRDefault="00323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FCF1" w14:textId="77777777" w:rsidR="0032386B" w:rsidRDefault="0032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E9C3" w14:textId="77777777" w:rsidR="00B35FE4" w:rsidRDefault="00B35FE4">
      <w:r>
        <w:separator/>
      </w:r>
    </w:p>
  </w:footnote>
  <w:footnote w:type="continuationSeparator" w:id="0">
    <w:p w14:paraId="77D1E3B0" w14:textId="77777777" w:rsidR="00B35FE4" w:rsidRDefault="00B35FE4" w:rsidP="008B60B2">
      <w:r>
        <w:separator/>
      </w:r>
    </w:p>
    <w:p w14:paraId="4A18DB69" w14:textId="77777777" w:rsidR="00B35FE4" w:rsidRPr="00ED77FB" w:rsidRDefault="00B35FE4" w:rsidP="008B60B2">
      <w:pPr>
        <w:spacing w:after="60"/>
        <w:rPr>
          <w:sz w:val="17"/>
          <w:szCs w:val="17"/>
        </w:rPr>
      </w:pPr>
      <w:r w:rsidRPr="00ED77FB">
        <w:rPr>
          <w:sz w:val="17"/>
          <w:szCs w:val="17"/>
        </w:rPr>
        <w:t>[Footnote continued from previous page]</w:t>
      </w:r>
    </w:p>
  </w:footnote>
  <w:footnote w:type="continuationNotice" w:id="1">
    <w:p w14:paraId="1FB49FE9" w14:textId="77777777" w:rsidR="00B35FE4" w:rsidRPr="00ED77FB" w:rsidRDefault="00B35FE4" w:rsidP="008B60B2">
      <w:pPr>
        <w:spacing w:before="60"/>
        <w:jc w:val="right"/>
        <w:rPr>
          <w:sz w:val="17"/>
          <w:szCs w:val="17"/>
        </w:rPr>
      </w:pPr>
      <w:r w:rsidRPr="00ED77FB">
        <w:rPr>
          <w:sz w:val="17"/>
          <w:szCs w:val="17"/>
        </w:rPr>
        <w:t>[Footnote continued on next page]</w:t>
      </w:r>
    </w:p>
  </w:footnote>
  <w:footnote w:id="2">
    <w:p w14:paraId="007F7EE9" w14:textId="2F518FFB" w:rsidR="002A133F" w:rsidRPr="00570290" w:rsidRDefault="002A133F" w:rsidP="00816C05">
      <w:pPr>
        <w:pStyle w:val="FootnoteText"/>
        <w:rPr>
          <w:rFonts w:ascii="SimSun" w:hAnsi="SimSun"/>
        </w:rPr>
      </w:pPr>
      <w:r w:rsidRPr="00570290">
        <w:rPr>
          <w:rStyle w:val="FootnoteReference"/>
          <w:rFonts w:ascii="SimSun" w:hAnsi="SimSun"/>
        </w:rPr>
        <w:footnoteRef/>
      </w:r>
      <w:r w:rsidRPr="00570290">
        <w:rPr>
          <w:rFonts w:ascii="SimSun" w:hAnsi="SimSun"/>
        </w:rPr>
        <w:t xml:space="preserve"> </w:t>
      </w:r>
      <w:r w:rsidRPr="00570290">
        <w:rPr>
          <w:rFonts w:ascii="SimSun" w:hAnsi="SimSun"/>
        </w:rPr>
        <w:tab/>
      </w:r>
      <w:r w:rsidRPr="00570290">
        <w:rPr>
          <w:rFonts w:ascii="SimSun" w:hAnsi="SimSun" w:hint="eastAsia"/>
        </w:rPr>
        <w:t>文件</w:t>
      </w:r>
      <w:r w:rsidRPr="00570290">
        <w:rPr>
          <w:rFonts w:ascii="SimSun" w:hAnsi="SimSun"/>
        </w:rPr>
        <w:t>A/63/</w:t>
      </w:r>
      <w:r w:rsidR="00D76EF8">
        <w:rPr>
          <w:rFonts w:ascii="SimSun" w:hAnsi="SimSun"/>
        </w:rPr>
        <w:t>10</w:t>
      </w:r>
      <w:r w:rsidRPr="00570290">
        <w:rPr>
          <w:rFonts w:ascii="SimSun" w:hAnsi="SimSun" w:hint="eastAsia"/>
        </w:rPr>
        <w:t>，</w:t>
      </w:r>
      <w:r w:rsidR="00D76EF8">
        <w:rPr>
          <w:rFonts w:ascii="SimSun" w:hAnsi="SimSun" w:hint="eastAsia"/>
        </w:rPr>
        <w:t>第1</w:t>
      </w:r>
      <w:r w:rsidR="00D76EF8">
        <w:rPr>
          <w:rFonts w:ascii="SimSun" w:hAnsi="SimSun"/>
        </w:rPr>
        <w:t>27</w:t>
      </w:r>
      <w:r w:rsidR="00D76EF8">
        <w:rPr>
          <w:rFonts w:ascii="SimSun" w:hAnsi="SimSun" w:hint="eastAsia"/>
        </w:rPr>
        <w:t>段，</w:t>
      </w:r>
      <w:r w:rsidRPr="00570290">
        <w:rPr>
          <w:rFonts w:ascii="SimSun" w:hAnsi="SimSun" w:hint="eastAsia"/>
        </w:rPr>
        <w:t>可见：</w:t>
      </w:r>
      <w:r w:rsidR="00D76EF8" w:rsidRPr="00D76EF8">
        <w:rPr>
          <w:rFonts w:ascii="SimSun" w:hAnsi="SimSun"/>
        </w:rPr>
        <w:t>https://www.wipo.int/about-wipo/</w:t>
      </w:r>
      <w:r w:rsidR="00D76EF8">
        <w:rPr>
          <w:rFonts w:ascii="SimSun" w:hAnsi="SimSun" w:hint="eastAsia"/>
        </w:rPr>
        <w:t>z</w:t>
      </w:r>
      <w:r w:rsidR="00D76EF8">
        <w:rPr>
          <w:rFonts w:ascii="SimSun" w:hAnsi="SimSun"/>
        </w:rPr>
        <w:t>h</w:t>
      </w:r>
      <w:r w:rsidR="00D76EF8" w:rsidRPr="00D76EF8">
        <w:rPr>
          <w:rFonts w:ascii="SimSun" w:hAnsi="SimSun"/>
        </w:rPr>
        <w:t>/assemblies/2022/a-63/doc_details.jsp?doc_id=580211</w:t>
      </w:r>
      <w:r w:rsidRPr="00570290">
        <w:rPr>
          <w:rFonts w:ascii="SimSun" w:hAnsi="SimSun" w:hint="eastAsia"/>
        </w:rPr>
        <w:t>。</w:t>
      </w:r>
    </w:p>
  </w:footnote>
  <w:footnote w:id="3">
    <w:p w14:paraId="7E44A337" w14:textId="456CE11A" w:rsidR="002A133F" w:rsidRPr="00570290" w:rsidRDefault="002A133F" w:rsidP="00816C05">
      <w:pPr>
        <w:pStyle w:val="FootnoteText"/>
        <w:rPr>
          <w:rFonts w:ascii="SimSun" w:hAnsi="SimSun"/>
        </w:rPr>
      </w:pPr>
      <w:r w:rsidRPr="00570290">
        <w:rPr>
          <w:rStyle w:val="FootnoteReference"/>
          <w:rFonts w:ascii="SimSun" w:hAnsi="SimSun"/>
        </w:rPr>
        <w:footnoteRef/>
      </w:r>
      <w:r w:rsidRPr="00570290">
        <w:rPr>
          <w:rFonts w:ascii="SimSun" w:hAnsi="SimSun"/>
        </w:rPr>
        <w:t xml:space="preserve"> </w:t>
      </w:r>
      <w:r w:rsidRPr="00570290">
        <w:rPr>
          <w:rFonts w:ascii="SimSun" w:hAnsi="SimSun"/>
        </w:rPr>
        <w:tab/>
      </w:r>
      <w:r w:rsidRPr="00570290">
        <w:rPr>
          <w:rFonts w:ascii="SimSun" w:hAnsi="SimSun" w:hint="eastAsia"/>
        </w:rPr>
        <w:t>见产权组织成员国大会第六十三届系列会议简要报告第17段（文件A/63/9），可见：</w:t>
      </w:r>
      <w:r w:rsidRPr="00570290">
        <w:rPr>
          <w:rFonts w:ascii="SimSun" w:hAnsi="SimSun"/>
        </w:rPr>
        <w:t>https://www.wipo.int/about-wipo/zh/assemblies/2022/a-63/#tab3</w:t>
      </w:r>
      <w:r w:rsidRPr="00570290">
        <w:rPr>
          <w:rFonts w:ascii="SimSun" w:hAnsi="SimSun" w:hint="eastAsia"/>
        </w:rPr>
        <w:t>。</w:t>
      </w:r>
    </w:p>
  </w:footnote>
  <w:footnote w:id="4">
    <w:p w14:paraId="0C7DFFF7" w14:textId="695AE84A" w:rsidR="002A133F" w:rsidRPr="00570290" w:rsidRDefault="002A133F" w:rsidP="00816C05">
      <w:pPr>
        <w:pStyle w:val="FootnoteText"/>
        <w:jc w:val="both"/>
        <w:rPr>
          <w:rFonts w:ascii="SimSun" w:hAnsi="SimSun"/>
        </w:rPr>
      </w:pPr>
      <w:r w:rsidRPr="00570290">
        <w:rPr>
          <w:rStyle w:val="FootnoteReference"/>
          <w:rFonts w:ascii="SimSun" w:hAnsi="SimSun"/>
        </w:rPr>
        <w:footnoteRef/>
      </w:r>
      <w:r w:rsidRPr="00570290">
        <w:rPr>
          <w:rFonts w:ascii="SimSun" w:hAnsi="SimSun"/>
        </w:rPr>
        <w:t xml:space="preserve"> </w:t>
      </w:r>
      <w:r w:rsidRPr="00570290">
        <w:rPr>
          <w:rFonts w:ascii="SimSun" w:hAnsi="SimSun"/>
        </w:rPr>
        <w:tab/>
      </w:r>
      <w:r w:rsidRPr="00570290">
        <w:rPr>
          <w:rFonts w:ascii="SimSun" w:hAnsi="SimSun" w:hint="eastAsia"/>
        </w:rPr>
        <w:t>所有工作文件可见：</w:t>
      </w:r>
      <w:r w:rsidRPr="00570290">
        <w:rPr>
          <w:rFonts w:ascii="SimSun" w:hAnsi="SimSun"/>
        </w:rPr>
        <w:t>https://www.wipo.int/meetings/zh/details.jsp?meeting_id=55207</w:t>
      </w:r>
      <w:r w:rsidRPr="00570290">
        <w:rPr>
          <w:rFonts w:ascii="SimSun" w:hAnsi="SimSun" w:hint="eastAsia"/>
        </w:rPr>
        <w:t>。</w:t>
      </w:r>
    </w:p>
  </w:footnote>
  <w:footnote w:id="5">
    <w:p w14:paraId="041B2354" w14:textId="14E5CE41" w:rsidR="004329A4" w:rsidRPr="00570290" w:rsidRDefault="004329A4" w:rsidP="00816C05">
      <w:pPr>
        <w:pStyle w:val="FootnoteText"/>
        <w:jc w:val="both"/>
        <w:rPr>
          <w:rFonts w:ascii="SimSun" w:hAnsi="SimSun"/>
        </w:rPr>
      </w:pPr>
      <w:r w:rsidRPr="00570290">
        <w:rPr>
          <w:rStyle w:val="FootnoteReference"/>
          <w:rFonts w:ascii="SimSun" w:hAnsi="SimSun"/>
        </w:rPr>
        <w:footnoteRef/>
      </w:r>
      <w:r w:rsidRPr="00570290">
        <w:rPr>
          <w:rFonts w:ascii="SimSun" w:hAnsi="SimSun"/>
        </w:rPr>
        <w:t xml:space="preserve"> </w:t>
      </w:r>
      <w:r w:rsidRPr="00570290">
        <w:rPr>
          <w:rFonts w:ascii="SimSun" w:hAnsi="SimSun"/>
        </w:rPr>
        <w:tab/>
      </w:r>
      <w:r w:rsidR="002F1730" w:rsidRPr="00570290">
        <w:rPr>
          <w:rFonts w:ascii="SimSun" w:hAnsi="SimSun" w:hint="eastAsia"/>
        </w:rPr>
        <w:t>文件</w:t>
      </w:r>
      <w:r w:rsidR="00973151" w:rsidRPr="00570290">
        <w:rPr>
          <w:rFonts w:ascii="SimSun" w:hAnsi="SimSun"/>
        </w:rPr>
        <w:t>WIPO/ACE/15/3</w:t>
      </w:r>
      <w:r w:rsidR="002F1730" w:rsidRPr="00570290">
        <w:rPr>
          <w:rFonts w:ascii="SimSun" w:hAnsi="SimSun" w:hint="eastAsia"/>
        </w:rPr>
        <w:t>至</w:t>
      </w:r>
      <w:r w:rsidR="00973151" w:rsidRPr="00570290">
        <w:rPr>
          <w:rFonts w:ascii="SimSun" w:hAnsi="SimSun"/>
        </w:rPr>
        <w:t>WIPO/ACE/15/11</w:t>
      </w:r>
      <w:r w:rsidR="002F1730" w:rsidRPr="00570290">
        <w:rPr>
          <w:rFonts w:ascii="SimSun" w:hAnsi="SimSun" w:hint="eastAsia"/>
        </w:rPr>
        <w:t>。</w:t>
      </w:r>
    </w:p>
  </w:footnote>
  <w:footnote w:id="6">
    <w:p w14:paraId="695D3978" w14:textId="1B2BFCFC" w:rsidR="006F334A" w:rsidRPr="00570290" w:rsidRDefault="006F334A" w:rsidP="00816C05">
      <w:pPr>
        <w:pStyle w:val="FootnoteText"/>
        <w:jc w:val="both"/>
        <w:rPr>
          <w:rFonts w:ascii="SimSun" w:hAnsi="SimSun"/>
        </w:rPr>
      </w:pPr>
      <w:r w:rsidRPr="00570290">
        <w:rPr>
          <w:rStyle w:val="FootnoteReference"/>
          <w:rFonts w:ascii="SimSun" w:hAnsi="SimSun"/>
        </w:rPr>
        <w:footnoteRef/>
      </w:r>
      <w:r w:rsidRPr="00570290">
        <w:rPr>
          <w:rFonts w:ascii="SimSun" w:hAnsi="SimSun"/>
        </w:rPr>
        <w:t xml:space="preserve"> </w:t>
      </w:r>
      <w:r w:rsidRPr="00570290">
        <w:rPr>
          <w:rFonts w:ascii="SimSun" w:hAnsi="SimSun"/>
        </w:rPr>
        <w:tab/>
      </w:r>
      <w:r w:rsidRPr="00570290">
        <w:rPr>
          <w:rFonts w:ascii="SimSun" w:hAnsi="SimSun" w:hint="eastAsia"/>
        </w:rPr>
        <w:t>文件</w:t>
      </w:r>
      <w:r w:rsidRPr="00570290">
        <w:rPr>
          <w:rFonts w:ascii="SimSun" w:hAnsi="SimSun"/>
        </w:rPr>
        <w:t>WIPO/ACE/15/2</w:t>
      </w:r>
      <w:r w:rsidRPr="0057029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00D9" w14:textId="77777777" w:rsidR="0032386B" w:rsidRDefault="00323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6B06" w14:textId="77777777" w:rsidR="00EC4E49" w:rsidRPr="00570290" w:rsidRDefault="008A28AF" w:rsidP="00477D6B">
    <w:pPr>
      <w:jc w:val="right"/>
      <w:rPr>
        <w:rFonts w:ascii="SimSun" w:hAnsi="SimSun"/>
        <w:sz w:val="21"/>
      </w:rPr>
    </w:pPr>
    <w:bookmarkStart w:id="6" w:name="Code2"/>
    <w:bookmarkEnd w:id="6"/>
    <w:r w:rsidRPr="00570290">
      <w:rPr>
        <w:rFonts w:ascii="SimSun" w:hAnsi="SimSun"/>
        <w:sz w:val="21"/>
      </w:rPr>
      <w:t>WO/GA/56/12</w:t>
    </w:r>
  </w:p>
  <w:p w14:paraId="1D8298FE" w14:textId="6B0431C1" w:rsidR="00B50B99" w:rsidRPr="00570290" w:rsidRDefault="00816C05" w:rsidP="00816C05">
    <w:pPr>
      <w:overflowPunct w:val="0"/>
      <w:spacing w:afterLines="100" w:after="240"/>
      <w:jc w:val="right"/>
      <w:rPr>
        <w:rFonts w:ascii="SimSun" w:hAnsi="SimSun"/>
        <w:sz w:val="21"/>
      </w:rPr>
    </w:pPr>
    <w:r>
      <w:rPr>
        <w:rFonts w:ascii="SimSun" w:hAnsi="SimSun" w:hint="eastAsia"/>
        <w:sz w:val="21"/>
        <w:szCs w:val="22"/>
      </w:rPr>
      <w:t>第</w:t>
    </w:r>
    <w:r w:rsidR="00EC4E49" w:rsidRPr="00570290">
      <w:rPr>
        <w:rFonts w:ascii="SimSun" w:hAnsi="SimSun"/>
        <w:sz w:val="21"/>
      </w:rPr>
      <w:fldChar w:fldCharType="begin"/>
    </w:r>
    <w:r w:rsidR="00EC4E49" w:rsidRPr="00570290">
      <w:rPr>
        <w:rFonts w:ascii="SimSun" w:hAnsi="SimSun"/>
        <w:sz w:val="21"/>
      </w:rPr>
      <w:instrText xml:space="preserve"> PAGE  \* MERGEFORMAT </w:instrText>
    </w:r>
    <w:r w:rsidR="00EC4E49" w:rsidRPr="00570290">
      <w:rPr>
        <w:rFonts w:ascii="SimSun" w:hAnsi="SimSun"/>
        <w:sz w:val="21"/>
      </w:rPr>
      <w:fldChar w:fldCharType="separate"/>
    </w:r>
    <w:r w:rsidR="004A469C">
      <w:rPr>
        <w:rFonts w:ascii="SimSun" w:hAnsi="SimSun"/>
        <w:noProof/>
        <w:sz w:val="21"/>
      </w:rPr>
      <w:t>2</w:t>
    </w:r>
    <w:r w:rsidR="00EC4E49" w:rsidRPr="00570290">
      <w:rPr>
        <w:rFonts w:ascii="SimSun" w:hAnsi="SimSun"/>
        <w:sz w:val="21"/>
      </w:rPr>
      <w:fldChar w:fldCharType="end"/>
    </w:r>
    <w:r>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1F38" w14:textId="77777777" w:rsidR="0032386B" w:rsidRDefault="00323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9A330E"/>
    <w:multiLevelType w:val="hybridMultilevel"/>
    <w:tmpl w:val="DA34B3B8"/>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262A0"/>
    <w:multiLevelType w:val="hybridMultilevel"/>
    <w:tmpl w:val="C3D44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FE682D"/>
    <w:multiLevelType w:val="hybridMultilevel"/>
    <w:tmpl w:val="E9B2E54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BC25FF"/>
    <w:multiLevelType w:val="hybridMultilevel"/>
    <w:tmpl w:val="AADC64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516E23"/>
    <w:multiLevelType w:val="hybridMultilevel"/>
    <w:tmpl w:val="E15E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290546"/>
    <w:multiLevelType w:val="hybridMultilevel"/>
    <w:tmpl w:val="223A7990"/>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84232"/>
    <w:multiLevelType w:val="hybridMultilevel"/>
    <w:tmpl w:val="566E4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3"/>
  </w:num>
  <w:num w:numId="9">
    <w:abstractNumId w:val="4"/>
  </w:num>
  <w:num w:numId="10">
    <w:abstractNumId w:val="6"/>
  </w:num>
  <w:num w:numId="11">
    <w:abstractNumId w:val="12"/>
  </w:num>
  <w:num w:numId="12">
    <w:abstractNumId w:val="7"/>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AF"/>
    <w:rsid w:val="0001647B"/>
    <w:rsid w:val="00043CAA"/>
    <w:rsid w:val="00075432"/>
    <w:rsid w:val="000968ED"/>
    <w:rsid w:val="000C022E"/>
    <w:rsid w:val="000C7F20"/>
    <w:rsid w:val="000F5E56"/>
    <w:rsid w:val="001024FE"/>
    <w:rsid w:val="001362EE"/>
    <w:rsid w:val="00142868"/>
    <w:rsid w:val="001832A6"/>
    <w:rsid w:val="001C6808"/>
    <w:rsid w:val="001D6D8C"/>
    <w:rsid w:val="002121FA"/>
    <w:rsid w:val="00235491"/>
    <w:rsid w:val="002634C4"/>
    <w:rsid w:val="00265DEE"/>
    <w:rsid w:val="0028362F"/>
    <w:rsid w:val="002928D3"/>
    <w:rsid w:val="002A133F"/>
    <w:rsid w:val="002F1730"/>
    <w:rsid w:val="002F1FE6"/>
    <w:rsid w:val="002F4E68"/>
    <w:rsid w:val="00301974"/>
    <w:rsid w:val="0030499F"/>
    <w:rsid w:val="00312F7F"/>
    <w:rsid w:val="003228B7"/>
    <w:rsid w:val="0032386B"/>
    <w:rsid w:val="00325AF6"/>
    <w:rsid w:val="003508A3"/>
    <w:rsid w:val="00364684"/>
    <w:rsid w:val="003673CF"/>
    <w:rsid w:val="003845C1"/>
    <w:rsid w:val="003A6F89"/>
    <w:rsid w:val="003B38C1"/>
    <w:rsid w:val="00423E3E"/>
    <w:rsid w:val="00427AF4"/>
    <w:rsid w:val="004329A4"/>
    <w:rsid w:val="004400E2"/>
    <w:rsid w:val="00461632"/>
    <w:rsid w:val="004647DA"/>
    <w:rsid w:val="00474062"/>
    <w:rsid w:val="00477D6B"/>
    <w:rsid w:val="00485B19"/>
    <w:rsid w:val="00494C7D"/>
    <w:rsid w:val="004A469C"/>
    <w:rsid w:val="004D39C4"/>
    <w:rsid w:val="0053057A"/>
    <w:rsid w:val="00560A29"/>
    <w:rsid w:val="00570290"/>
    <w:rsid w:val="00594D27"/>
    <w:rsid w:val="005F0A78"/>
    <w:rsid w:val="00601760"/>
    <w:rsid w:val="00605827"/>
    <w:rsid w:val="0062702A"/>
    <w:rsid w:val="00646050"/>
    <w:rsid w:val="006713CA"/>
    <w:rsid w:val="00676C5C"/>
    <w:rsid w:val="00682F12"/>
    <w:rsid w:val="00695558"/>
    <w:rsid w:val="006B4229"/>
    <w:rsid w:val="006D5E0F"/>
    <w:rsid w:val="006F334A"/>
    <w:rsid w:val="006F4C5D"/>
    <w:rsid w:val="007058FB"/>
    <w:rsid w:val="00723B04"/>
    <w:rsid w:val="0073357D"/>
    <w:rsid w:val="00750E7C"/>
    <w:rsid w:val="007B0AF1"/>
    <w:rsid w:val="007B6A58"/>
    <w:rsid w:val="007D1613"/>
    <w:rsid w:val="007F7BD8"/>
    <w:rsid w:val="00815297"/>
    <w:rsid w:val="00816C05"/>
    <w:rsid w:val="00873EE5"/>
    <w:rsid w:val="008742E4"/>
    <w:rsid w:val="008A28AF"/>
    <w:rsid w:val="008B2CC1"/>
    <w:rsid w:val="008B4B5E"/>
    <w:rsid w:val="008B60B2"/>
    <w:rsid w:val="0090731E"/>
    <w:rsid w:val="00916EE2"/>
    <w:rsid w:val="0092413E"/>
    <w:rsid w:val="00924201"/>
    <w:rsid w:val="00934510"/>
    <w:rsid w:val="00955B33"/>
    <w:rsid w:val="00966A22"/>
    <w:rsid w:val="0096722F"/>
    <w:rsid w:val="00972C26"/>
    <w:rsid w:val="00973151"/>
    <w:rsid w:val="00980843"/>
    <w:rsid w:val="009A263F"/>
    <w:rsid w:val="009A2FBD"/>
    <w:rsid w:val="009D0DD1"/>
    <w:rsid w:val="009E02BF"/>
    <w:rsid w:val="009E2791"/>
    <w:rsid w:val="009E3F6F"/>
    <w:rsid w:val="009F3BF9"/>
    <w:rsid w:val="009F499F"/>
    <w:rsid w:val="00A42DAF"/>
    <w:rsid w:val="00A45BD8"/>
    <w:rsid w:val="00A778BF"/>
    <w:rsid w:val="00A85B8E"/>
    <w:rsid w:val="00A9118D"/>
    <w:rsid w:val="00A94574"/>
    <w:rsid w:val="00AC205C"/>
    <w:rsid w:val="00AE2577"/>
    <w:rsid w:val="00AF5C73"/>
    <w:rsid w:val="00B05A69"/>
    <w:rsid w:val="00B16E49"/>
    <w:rsid w:val="00B35FE4"/>
    <w:rsid w:val="00B40598"/>
    <w:rsid w:val="00B50B99"/>
    <w:rsid w:val="00B62CD9"/>
    <w:rsid w:val="00B9734B"/>
    <w:rsid w:val="00BB7F29"/>
    <w:rsid w:val="00BE2E5C"/>
    <w:rsid w:val="00C11BFE"/>
    <w:rsid w:val="00C173F1"/>
    <w:rsid w:val="00C23311"/>
    <w:rsid w:val="00C70E17"/>
    <w:rsid w:val="00C84636"/>
    <w:rsid w:val="00C94629"/>
    <w:rsid w:val="00CE65D4"/>
    <w:rsid w:val="00D057D9"/>
    <w:rsid w:val="00D20BF5"/>
    <w:rsid w:val="00D45252"/>
    <w:rsid w:val="00D71B4D"/>
    <w:rsid w:val="00D76EF8"/>
    <w:rsid w:val="00D93D55"/>
    <w:rsid w:val="00E14923"/>
    <w:rsid w:val="00E161A2"/>
    <w:rsid w:val="00E335FE"/>
    <w:rsid w:val="00E5021F"/>
    <w:rsid w:val="00E61A97"/>
    <w:rsid w:val="00E671A6"/>
    <w:rsid w:val="00EC4E49"/>
    <w:rsid w:val="00ED694B"/>
    <w:rsid w:val="00ED77FB"/>
    <w:rsid w:val="00F021A6"/>
    <w:rsid w:val="00F11D94"/>
    <w:rsid w:val="00F24DB9"/>
    <w:rsid w:val="00F422D1"/>
    <w:rsid w:val="00F45B69"/>
    <w:rsid w:val="00F66152"/>
    <w:rsid w:val="00F965C1"/>
    <w:rsid w:val="00FB036A"/>
    <w:rsid w:val="00FC59E0"/>
    <w:rsid w:val="00FE57F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385F49"/>
  <w15:docId w15:val="{7E77B0FA-674E-4C76-969B-1919566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E57F0"/>
    <w:pPr>
      <w:ind w:left="720"/>
      <w:contextualSpacing/>
    </w:pPr>
  </w:style>
  <w:style w:type="character" w:styleId="FootnoteReference">
    <w:name w:val="footnote reference"/>
    <w:basedOn w:val="DefaultParagraphFont"/>
    <w:semiHidden/>
    <w:unhideWhenUsed/>
    <w:rsid w:val="00325AF6"/>
    <w:rPr>
      <w:vertAlign w:val="superscript"/>
    </w:rPr>
  </w:style>
  <w:style w:type="character" w:customStyle="1" w:styleId="Heading2Char">
    <w:name w:val="Heading 2 Char"/>
    <w:basedOn w:val="DefaultParagraphFont"/>
    <w:link w:val="Heading2"/>
    <w:uiPriority w:val="9"/>
    <w:rsid w:val="008742E4"/>
    <w:rPr>
      <w:rFonts w:ascii="Arial" w:eastAsia="SimSun" w:hAnsi="Arial" w:cs="Arial"/>
      <w:bCs/>
      <w:iCs/>
      <w:caps/>
      <w:sz w:val="22"/>
      <w:szCs w:val="28"/>
      <w:lang w:val="en-US" w:eastAsia="zh-CN"/>
    </w:rPr>
  </w:style>
  <w:style w:type="table" w:styleId="TableGrid">
    <w:name w:val="Table Grid"/>
    <w:basedOn w:val="TableNormal"/>
    <w:rsid w:val="00283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94574"/>
    <w:rPr>
      <w:color w:val="0000FF" w:themeColor="hyperlink"/>
      <w:u w:val="single"/>
    </w:rPr>
  </w:style>
  <w:style w:type="character" w:styleId="CommentReference">
    <w:name w:val="annotation reference"/>
    <w:basedOn w:val="DefaultParagraphFont"/>
    <w:semiHidden/>
    <w:unhideWhenUsed/>
    <w:rsid w:val="00E61A97"/>
    <w:rPr>
      <w:sz w:val="16"/>
      <w:szCs w:val="16"/>
    </w:rPr>
  </w:style>
  <w:style w:type="paragraph" w:styleId="CommentSubject">
    <w:name w:val="annotation subject"/>
    <w:basedOn w:val="CommentText"/>
    <w:next w:val="CommentText"/>
    <w:link w:val="CommentSubjectChar"/>
    <w:semiHidden/>
    <w:unhideWhenUsed/>
    <w:rsid w:val="00E61A97"/>
    <w:rPr>
      <w:b/>
      <w:bCs/>
      <w:sz w:val="20"/>
    </w:rPr>
  </w:style>
  <w:style w:type="character" w:customStyle="1" w:styleId="CommentTextChar">
    <w:name w:val="Comment Text Char"/>
    <w:basedOn w:val="DefaultParagraphFont"/>
    <w:link w:val="CommentText"/>
    <w:semiHidden/>
    <w:rsid w:val="00E61A9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61A97"/>
    <w:rPr>
      <w:rFonts w:ascii="Arial" w:eastAsia="SimSun" w:hAnsi="Arial" w:cs="Arial"/>
      <w:b/>
      <w:bCs/>
      <w:sz w:val="18"/>
      <w:lang w:val="en-US" w:eastAsia="zh-CN"/>
    </w:rPr>
  </w:style>
  <w:style w:type="paragraph" w:styleId="Revision">
    <w:name w:val="Revision"/>
    <w:hidden/>
    <w:uiPriority w:val="99"/>
    <w:semiHidden/>
    <w:rsid w:val="00E61A97"/>
    <w:rPr>
      <w:rFonts w:ascii="Arial" w:eastAsia="SimSun" w:hAnsi="Arial" w:cs="Arial"/>
      <w:sz w:val="22"/>
      <w:lang w:val="en-US" w:eastAsia="zh-CN"/>
    </w:rPr>
  </w:style>
  <w:style w:type="paragraph" w:styleId="BalloonText">
    <w:name w:val="Balloon Text"/>
    <w:basedOn w:val="Normal"/>
    <w:link w:val="BalloonTextChar"/>
    <w:semiHidden/>
    <w:unhideWhenUsed/>
    <w:rsid w:val="00E61A97"/>
    <w:rPr>
      <w:rFonts w:ascii="Segoe UI" w:hAnsi="Segoe UI" w:cs="Segoe UI"/>
      <w:sz w:val="18"/>
      <w:szCs w:val="18"/>
    </w:rPr>
  </w:style>
  <w:style w:type="character" w:customStyle="1" w:styleId="BalloonTextChar">
    <w:name w:val="Balloon Text Char"/>
    <w:basedOn w:val="DefaultParagraphFont"/>
    <w:link w:val="BalloonText"/>
    <w:semiHidden/>
    <w:rsid w:val="00E61A9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B31D-4A1E-466D-89D3-085817DC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162</TotalTime>
  <Pages>3</Pages>
  <Words>2703</Words>
  <Characters>2902</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WO/GA/56/12</vt:lpstr>
    </vt:vector>
  </TitlesOfParts>
  <Company>WIPO</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WO/GA/56/12</dc:title>
  <dc:subject>关于执法咨询委员会（ACE）的报告</dc:subject>
  <dc:creator>WIPO</dc:creator>
  <cp:keywords>PUBLIC</cp:keywords>
  <cp:lastModifiedBy>HÄFLIGER Patience</cp:lastModifiedBy>
  <cp:revision>19</cp:revision>
  <cp:lastPrinted>2011-02-15T11:56:00Z</cp:lastPrinted>
  <dcterms:created xsi:type="dcterms:W3CDTF">2023-03-16T16:13:00Z</dcterms:created>
  <dcterms:modified xsi:type="dcterms:W3CDTF">2023-03-28T09:11:00Z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GrammarlyDocumentId">
    <vt:lpwstr>5ef0bb58-39f6-4759-80c0-3275a67dd2bf</vt:lpwstr>
  </property>
  <property fmtid="{D5CDD505-2E9C-101B-9397-08002B2CF9AE}" pid="4" name="TCSClassification">
    <vt:lpwstr>PUBLIC</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