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E7" w:rsidRPr="00123893" w:rsidRDefault="009622E7" w:rsidP="009622E7">
      <w:pPr>
        <w:widowControl w:val="0"/>
        <w:jc w:val="right"/>
        <w:rPr>
          <w:b/>
          <w:sz w:val="2"/>
          <w:szCs w:val="40"/>
        </w:rPr>
      </w:pPr>
      <w:r>
        <w:rPr>
          <w:rFonts w:hint="eastAsia"/>
          <w:b/>
          <w:sz w:val="40"/>
          <w:szCs w:val="40"/>
        </w:rPr>
        <w:t>C</w:t>
      </w:r>
    </w:p>
    <w:p w:rsidR="009622E7" w:rsidRDefault="009622E7" w:rsidP="009622E7">
      <w:pPr>
        <w:spacing w:line="360" w:lineRule="auto"/>
        <w:ind w:left="4592"/>
        <w:rPr>
          <w:rFonts w:ascii="Arial Black" w:hAnsi="Arial Black"/>
          <w:caps/>
          <w:sz w:val="15"/>
        </w:rPr>
      </w:pPr>
      <w:r>
        <w:rPr>
          <w:noProof/>
        </w:rPr>
        <w:drawing>
          <wp:inline distT="0" distB="0" distL="0" distR="0" wp14:anchorId="3E9C4040" wp14:editId="0B59B2D1">
            <wp:extent cx="867121" cy="1324800"/>
            <wp:effectExtent l="0" t="0" r="9525" b="8890"/>
            <wp:docPr id="4"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622E7" w:rsidRPr="006E4F5F" w:rsidRDefault="00E13253" w:rsidP="009622E7">
      <w:pPr>
        <w:pBdr>
          <w:top w:val="single" w:sz="4" w:space="10" w:color="auto"/>
        </w:pBdr>
        <w:spacing w:before="120"/>
        <w:jc w:val="right"/>
        <w:rPr>
          <w:rFonts w:ascii="Arial Black" w:hAnsi="Arial Black"/>
          <w:b/>
          <w:caps/>
          <w:sz w:val="15"/>
        </w:rPr>
      </w:pPr>
      <w:r>
        <w:rPr>
          <w:rFonts w:ascii="Arial Black" w:hAnsi="Arial Black" w:hint="eastAsia"/>
          <w:b/>
          <w:caps/>
          <w:sz w:val="15"/>
        </w:rPr>
        <w:t>WO/GA/50/2</w:t>
      </w:r>
    </w:p>
    <w:p w:rsidR="009622E7" w:rsidRPr="00E62C24" w:rsidRDefault="009622E7" w:rsidP="009622E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9622E7" w:rsidRPr="00E62C24" w:rsidRDefault="009622E7" w:rsidP="009622E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9622E7" w:rsidRDefault="009622E7" w:rsidP="009622E7">
      <w:pPr>
        <w:spacing w:after="720"/>
        <w:rPr>
          <w:rFonts w:ascii="SimHei" w:eastAsia="SimHei" w:hAnsi="SimHei" w:cs="Times New Roman"/>
          <w:sz w:val="28"/>
          <w:szCs w:val="22"/>
        </w:rPr>
      </w:pPr>
      <w:r w:rsidRPr="003E1386">
        <w:rPr>
          <w:rFonts w:ascii="SimHei" w:eastAsia="SimHei" w:hAnsi="SimHei" w:cs="Times New Roman" w:hint="eastAsia"/>
          <w:sz w:val="28"/>
          <w:szCs w:val="22"/>
        </w:rPr>
        <w:t>世界知识产权组织大会</w:t>
      </w:r>
    </w:p>
    <w:p w:rsidR="009622E7" w:rsidRPr="003E1386" w:rsidRDefault="009622E7" w:rsidP="009622E7">
      <w:pPr>
        <w:rPr>
          <w:rFonts w:ascii="KaiTi" w:eastAsia="KaiTi" w:hAnsi="KaiTi" w:cs="Times New Roman"/>
          <w:b/>
          <w:sz w:val="24"/>
          <w:szCs w:val="22"/>
        </w:rPr>
      </w:pPr>
      <w:r w:rsidRPr="003E1386">
        <w:rPr>
          <w:rFonts w:ascii="KaiTi" w:eastAsia="KaiTi" w:hAnsi="KaiTi" w:cs="Times New Roman" w:hint="eastAsia"/>
          <w:b/>
          <w:sz w:val="24"/>
          <w:szCs w:val="22"/>
        </w:rPr>
        <w:t>第五十届会议（第</w:t>
      </w:r>
      <w:r w:rsidRPr="003E1386">
        <w:rPr>
          <w:rFonts w:ascii="KaiTi" w:eastAsia="KaiTi" w:hAnsi="KaiTi" w:cs="Times New Roman" w:hint="eastAsia"/>
          <w:sz w:val="24"/>
          <w:szCs w:val="22"/>
        </w:rPr>
        <w:t>27</w:t>
      </w:r>
      <w:r w:rsidRPr="003E1386">
        <w:rPr>
          <w:rFonts w:ascii="KaiTi" w:eastAsia="KaiTi" w:hAnsi="KaiTi" w:cs="Times New Roman" w:hint="eastAsia"/>
          <w:b/>
          <w:sz w:val="24"/>
          <w:szCs w:val="22"/>
        </w:rPr>
        <w:t>次特别会议）</w:t>
      </w:r>
    </w:p>
    <w:p w:rsidR="009622E7" w:rsidRPr="003E1386" w:rsidRDefault="009622E7" w:rsidP="009622E7">
      <w:pPr>
        <w:spacing w:after="720"/>
        <w:rPr>
          <w:rFonts w:ascii="KaiTi" w:eastAsia="KaiTi" w:hAnsi="KaiTi" w:cs="Times New Roman"/>
          <w:sz w:val="24"/>
          <w:szCs w:val="22"/>
        </w:rPr>
      </w:pPr>
      <w:r w:rsidRPr="003E1386">
        <w:rPr>
          <w:rFonts w:ascii="KaiTi" w:eastAsia="KaiTi" w:hAnsi="KaiTi" w:cs="Times New Roman" w:hint="eastAsia"/>
          <w:sz w:val="24"/>
          <w:szCs w:val="22"/>
        </w:rPr>
        <w:t>2018</w:t>
      </w:r>
      <w:r w:rsidRPr="003E1386">
        <w:rPr>
          <w:rFonts w:ascii="KaiTi" w:eastAsia="KaiTi" w:hAnsi="KaiTi" w:cs="Times New Roman" w:hint="eastAsia"/>
          <w:b/>
          <w:sz w:val="24"/>
          <w:szCs w:val="22"/>
        </w:rPr>
        <w:t>年</w:t>
      </w:r>
      <w:r w:rsidRPr="003E1386">
        <w:rPr>
          <w:rFonts w:ascii="KaiTi" w:eastAsia="KaiTi" w:hAnsi="KaiTi" w:cs="Times New Roman" w:hint="eastAsia"/>
          <w:sz w:val="24"/>
          <w:szCs w:val="22"/>
        </w:rPr>
        <w:t>9</w:t>
      </w:r>
      <w:r w:rsidRPr="003E1386">
        <w:rPr>
          <w:rFonts w:ascii="KaiTi" w:eastAsia="KaiTi" w:hAnsi="KaiTi" w:cs="Times New Roman" w:hint="eastAsia"/>
          <w:b/>
          <w:sz w:val="24"/>
          <w:szCs w:val="22"/>
        </w:rPr>
        <w:t>月</w:t>
      </w:r>
      <w:r w:rsidRPr="003E1386">
        <w:rPr>
          <w:rFonts w:ascii="KaiTi" w:eastAsia="KaiTi" w:hAnsi="KaiTi" w:cs="Times New Roman" w:hint="eastAsia"/>
          <w:sz w:val="24"/>
          <w:szCs w:val="22"/>
        </w:rPr>
        <w:t>24</w:t>
      </w:r>
      <w:r w:rsidRPr="003E1386">
        <w:rPr>
          <w:rFonts w:ascii="KaiTi" w:eastAsia="KaiTi" w:hAnsi="KaiTi" w:cs="Times New Roman" w:hint="eastAsia"/>
          <w:b/>
          <w:sz w:val="24"/>
          <w:szCs w:val="22"/>
        </w:rPr>
        <w:t>日至</w:t>
      </w:r>
      <w:r w:rsidRPr="003E1386">
        <w:rPr>
          <w:rFonts w:ascii="KaiTi" w:eastAsia="KaiTi" w:hAnsi="KaiTi" w:cs="Times New Roman" w:hint="eastAsia"/>
          <w:sz w:val="24"/>
          <w:szCs w:val="22"/>
        </w:rPr>
        <w:t>10</w:t>
      </w:r>
      <w:r w:rsidRPr="003E1386">
        <w:rPr>
          <w:rFonts w:ascii="KaiTi" w:eastAsia="KaiTi" w:hAnsi="KaiTi" w:cs="Times New Roman" w:hint="eastAsia"/>
          <w:b/>
          <w:sz w:val="24"/>
          <w:szCs w:val="22"/>
        </w:rPr>
        <w:t>月</w:t>
      </w:r>
      <w:r w:rsidRPr="003E1386">
        <w:rPr>
          <w:rFonts w:ascii="KaiTi" w:eastAsia="KaiTi" w:hAnsi="KaiTi" w:cs="Times New Roman" w:hint="eastAsia"/>
          <w:sz w:val="24"/>
          <w:szCs w:val="22"/>
        </w:rPr>
        <w:t>2</w:t>
      </w:r>
      <w:r w:rsidRPr="003E1386">
        <w:rPr>
          <w:rFonts w:ascii="KaiTi" w:eastAsia="KaiTi" w:hAnsi="KaiTi" w:cs="Times New Roman" w:hint="eastAsia"/>
          <w:b/>
          <w:sz w:val="24"/>
          <w:szCs w:val="22"/>
        </w:rPr>
        <w:t>日，日内瓦</w:t>
      </w:r>
    </w:p>
    <w:p w:rsidR="009622E7" w:rsidRPr="000B1771" w:rsidRDefault="009622E7" w:rsidP="009622E7">
      <w:pPr>
        <w:spacing w:after="360"/>
        <w:rPr>
          <w:rFonts w:ascii="KaiTi" w:eastAsia="KaiTi" w:hAnsi="KaiTi" w:cs="Times New Roman"/>
          <w:sz w:val="24"/>
          <w:szCs w:val="22"/>
        </w:rPr>
      </w:pPr>
      <w:bookmarkStart w:id="0" w:name="TitleOfDoc"/>
      <w:bookmarkEnd w:id="0"/>
      <w:r w:rsidRPr="003F3C62">
        <w:rPr>
          <w:rFonts w:ascii="KaiTi" w:eastAsia="KaiTi" w:hAnsi="KaiTi" w:cs="Times New Roman" w:hint="eastAsia"/>
          <w:sz w:val="24"/>
          <w:szCs w:val="22"/>
        </w:rPr>
        <w:t>内部监督司</w:t>
      </w:r>
      <w:r>
        <w:rPr>
          <w:rFonts w:ascii="KaiTi" w:eastAsia="KaiTi" w:hAnsi="KaiTi" w:cs="Times New Roman" w:hint="eastAsia"/>
          <w:sz w:val="24"/>
          <w:szCs w:val="22"/>
        </w:rPr>
        <w:t>（</w:t>
      </w:r>
      <w:r w:rsidRPr="003F3C62">
        <w:rPr>
          <w:rFonts w:ascii="KaiTi" w:eastAsia="KaiTi" w:hAnsi="KaiTi" w:cs="Times New Roman" w:hint="eastAsia"/>
          <w:sz w:val="24"/>
          <w:szCs w:val="22"/>
        </w:rPr>
        <w:t>监督司</w:t>
      </w:r>
      <w:r>
        <w:rPr>
          <w:rFonts w:ascii="KaiTi" w:eastAsia="KaiTi" w:hAnsi="KaiTi" w:cs="Times New Roman" w:hint="eastAsia"/>
          <w:sz w:val="24"/>
          <w:szCs w:val="22"/>
        </w:rPr>
        <w:t>）</w:t>
      </w:r>
      <w:r w:rsidRPr="003F3C62">
        <w:rPr>
          <w:rFonts w:ascii="KaiTi" w:eastAsia="KaiTi" w:hAnsi="KaiTi" w:cs="Times New Roman" w:hint="eastAsia"/>
          <w:sz w:val="24"/>
          <w:szCs w:val="22"/>
        </w:rPr>
        <w:t>司长的年度报告</w:t>
      </w:r>
    </w:p>
    <w:p w:rsidR="009622E7" w:rsidRPr="003F3C62" w:rsidRDefault="009622E7" w:rsidP="009622E7">
      <w:pPr>
        <w:spacing w:after="960"/>
        <w:rPr>
          <w:rFonts w:ascii="KaiTi" w:eastAsia="KaiTi" w:hAnsi="KaiTi" w:cs="Times New Roman"/>
          <w:sz w:val="21"/>
          <w:szCs w:val="22"/>
        </w:rPr>
      </w:pPr>
      <w:bookmarkStart w:id="1" w:name="Prepared"/>
      <w:bookmarkEnd w:id="1"/>
      <w:r w:rsidRPr="003F3C62">
        <w:rPr>
          <w:rFonts w:ascii="KaiTi" w:eastAsia="KaiTi" w:hAnsi="KaiTi" w:cs="Times New Roman" w:hint="eastAsia"/>
          <w:sz w:val="21"/>
          <w:szCs w:val="22"/>
        </w:rPr>
        <w:t>秘书处编拟</w:t>
      </w:r>
    </w:p>
    <w:p w:rsidR="008F3230" w:rsidRPr="00AE3537" w:rsidRDefault="008F3230" w:rsidP="008F3230">
      <w:pPr>
        <w:pStyle w:val="ONUME"/>
        <w:tabs>
          <w:tab w:val="clear" w:pos="567"/>
        </w:tabs>
        <w:overflowPunct w:val="0"/>
        <w:spacing w:afterLines="50" w:after="120" w:line="340" w:lineRule="atLeast"/>
        <w:jc w:val="both"/>
        <w:rPr>
          <w:rFonts w:ascii="SimSun" w:hAnsi="SimSun"/>
          <w:sz w:val="21"/>
        </w:rPr>
      </w:pPr>
      <w:r w:rsidRPr="00AE3537">
        <w:rPr>
          <w:rFonts w:ascii="SimSun" w:hAnsi="SimSun" w:hint="eastAsia"/>
          <w:sz w:val="21"/>
        </w:rPr>
        <w:t>本文件载有内部监督司</w:t>
      </w:r>
      <w:r>
        <w:rPr>
          <w:rFonts w:ascii="SimSun" w:hAnsi="SimSun"/>
          <w:sz w:val="21"/>
        </w:rPr>
        <w:t>（</w:t>
      </w:r>
      <w:r w:rsidRPr="00AE3537">
        <w:rPr>
          <w:rFonts w:ascii="SimSun" w:hAnsi="SimSun" w:hint="eastAsia"/>
          <w:sz w:val="21"/>
        </w:rPr>
        <w:t>监督司</w:t>
      </w:r>
      <w:r>
        <w:rPr>
          <w:rFonts w:ascii="SimSun" w:hAnsi="SimSun"/>
          <w:sz w:val="21"/>
        </w:rPr>
        <w:t>）</w:t>
      </w:r>
      <w:r w:rsidRPr="00AE3537">
        <w:rPr>
          <w:rFonts w:ascii="SimSun" w:hAnsi="SimSun" w:hint="eastAsia"/>
          <w:sz w:val="21"/>
        </w:rPr>
        <w:t>司长的年度报告</w:t>
      </w:r>
      <w:r>
        <w:rPr>
          <w:rFonts w:ascii="SimSun" w:hAnsi="SimSun" w:hint="eastAsia"/>
          <w:sz w:val="21"/>
        </w:rPr>
        <w:t>（</w:t>
      </w:r>
      <w:r w:rsidRPr="00AE3537">
        <w:rPr>
          <w:rFonts w:ascii="SimSun" w:hAnsi="SimSun" w:hint="eastAsia"/>
          <w:sz w:val="21"/>
        </w:rPr>
        <w:t>文件</w:t>
      </w:r>
      <w:r>
        <w:rPr>
          <w:rFonts w:ascii="SimSun" w:hAnsi="SimSun"/>
          <w:sz w:val="21"/>
        </w:rPr>
        <w:t>WO/PBC/2</w:t>
      </w:r>
      <w:r>
        <w:rPr>
          <w:rFonts w:ascii="SimSun" w:hAnsi="SimSun" w:hint="eastAsia"/>
          <w:sz w:val="21"/>
        </w:rPr>
        <w:t>8</w:t>
      </w:r>
      <w:r w:rsidRPr="00AE3537">
        <w:rPr>
          <w:rFonts w:ascii="SimSun" w:hAnsi="SimSun"/>
          <w:sz w:val="21"/>
        </w:rPr>
        <w:t>/5</w:t>
      </w:r>
      <w:r>
        <w:rPr>
          <w:rFonts w:ascii="SimSun" w:hAnsi="SimSun"/>
          <w:sz w:val="21"/>
        </w:rPr>
        <w:t>）</w:t>
      </w:r>
      <w:r w:rsidRPr="00AE3537">
        <w:rPr>
          <w:rFonts w:ascii="SimSun" w:hAnsi="SimSun"/>
          <w:sz w:val="21"/>
        </w:rPr>
        <w:t>,</w:t>
      </w:r>
      <w:r w:rsidRPr="00AE3537">
        <w:rPr>
          <w:rFonts w:ascii="SimSun" w:hAnsi="SimSun" w:hint="eastAsia"/>
          <w:sz w:val="21"/>
        </w:rPr>
        <w:t>该报告将提交给</w:t>
      </w:r>
      <w:r>
        <w:rPr>
          <w:rFonts w:ascii="SimSun" w:hAnsi="SimSun" w:hint="eastAsia"/>
          <w:sz w:val="21"/>
        </w:rPr>
        <w:t>产权组织</w:t>
      </w:r>
      <w:r w:rsidRPr="00AE3537">
        <w:rPr>
          <w:rFonts w:ascii="SimSun" w:hAnsi="SimSun" w:hint="eastAsia"/>
          <w:sz w:val="21"/>
        </w:rPr>
        <w:t>计划和预算委员会</w:t>
      </w:r>
      <w:r>
        <w:rPr>
          <w:rFonts w:ascii="SimSun" w:hAnsi="SimSun" w:hint="eastAsia"/>
          <w:sz w:val="21"/>
        </w:rPr>
        <w:t>（</w:t>
      </w:r>
      <w:r w:rsidRPr="00AE3537">
        <w:rPr>
          <w:rFonts w:ascii="SimSun" w:hAnsi="SimSun" w:hint="eastAsia"/>
          <w:sz w:val="21"/>
        </w:rPr>
        <w:t>PBC</w:t>
      </w:r>
      <w:r>
        <w:rPr>
          <w:rFonts w:ascii="SimSun" w:hAnsi="SimSun" w:hint="eastAsia"/>
          <w:sz w:val="21"/>
        </w:rPr>
        <w:t>）第二十八</w:t>
      </w:r>
      <w:r w:rsidRPr="00AE3537">
        <w:rPr>
          <w:rFonts w:ascii="SimSun" w:hAnsi="SimSun" w:hint="eastAsia"/>
          <w:sz w:val="21"/>
        </w:rPr>
        <w:t>届会议</w:t>
      </w:r>
      <w:r>
        <w:rPr>
          <w:rFonts w:ascii="SimSun" w:hAnsi="SimSun" w:hint="eastAsia"/>
          <w:sz w:val="21"/>
        </w:rPr>
        <w:t>（2018</w:t>
      </w:r>
      <w:r w:rsidRPr="00AE3537">
        <w:rPr>
          <w:rFonts w:ascii="SimSun" w:hAnsi="SimSun" w:hint="eastAsia"/>
          <w:sz w:val="21"/>
        </w:rPr>
        <w:t>年</w:t>
      </w:r>
      <w:r>
        <w:rPr>
          <w:rFonts w:ascii="SimSun" w:hAnsi="SimSun" w:hint="eastAsia"/>
          <w:sz w:val="21"/>
        </w:rPr>
        <w:t>9</w:t>
      </w:r>
      <w:r w:rsidRPr="00AE3537">
        <w:rPr>
          <w:rFonts w:ascii="SimSun" w:hAnsi="SimSun" w:hint="eastAsia"/>
          <w:sz w:val="21"/>
        </w:rPr>
        <w:t>月</w:t>
      </w:r>
      <w:r>
        <w:rPr>
          <w:rFonts w:ascii="SimSun" w:hAnsi="SimSun" w:hint="eastAsia"/>
          <w:sz w:val="21"/>
        </w:rPr>
        <w:t>10</w:t>
      </w:r>
      <w:r w:rsidRPr="00AE3537">
        <w:rPr>
          <w:rFonts w:ascii="SimSun" w:hAnsi="SimSun" w:hint="eastAsia"/>
          <w:sz w:val="21"/>
        </w:rPr>
        <w:t>日至9月</w:t>
      </w:r>
      <w:r>
        <w:rPr>
          <w:rFonts w:ascii="SimSun" w:hAnsi="SimSun" w:hint="eastAsia"/>
          <w:sz w:val="21"/>
        </w:rPr>
        <w:t>14</w:t>
      </w:r>
      <w:r w:rsidRPr="00AE3537">
        <w:rPr>
          <w:rFonts w:ascii="SimSun" w:hAnsi="SimSun" w:hint="eastAsia"/>
          <w:sz w:val="21"/>
        </w:rPr>
        <w:t>日</w:t>
      </w:r>
      <w:r>
        <w:rPr>
          <w:rFonts w:ascii="SimSun" w:hAnsi="SimSun" w:hint="eastAsia"/>
          <w:sz w:val="21"/>
        </w:rPr>
        <w:t>）</w:t>
      </w:r>
      <w:r w:rsidRPr="00AE3537">
        <w:rPr>
          <w:rFonts w:ascii="SimSun" w:hAnsi="SimSun" w:hint="eastAsia"/>
          <w:sz w:val="21"/>
        </w:rPr>
        <w:t>。</w:t>
      </w:r>
    </w:p>
    <w:p w:rsidR="008F3230" w:rsidRPr="009622E7" w:rsidRDefault="008F3230" w:rsidP="009622E7">
      <w:pPr>
        <w:pStyle w:val="ONUME"/>
        <w:tabs>
          <w:tab w:val="clear" w:pos="567"/>
        </w:tabs>
        <w:overflowPunct w:val="0"/>
        <w:spacing w:afterLines="100" w:after="240" w:line="340" w:lineRule="atLeast"/>
        <w:jc w:val="both"/>
        <w:rPr>
          <w:rFonts w:ascii="SimSun" w:hAnsi="SimSun"/>
          <w:sz w:val="21"/>
        </w:rPr>
      </w:pPr>
      <w:r w:rsidRPr="00AE3537">
        <w:rPr>
          <w:rFonts w:ascii="SimSun" w:hAnsi="SimSun" w:hint="eastAsia"/>
          <w:sz w:val="21"/>
        </w:rPr>
        <w:t>PBC关于上述文件的任何决定将写入“计划和预算委员会第二十五届会议所作决定一览”</w:t>
      </w:r>
      <w:r>
        <w:rPr>
          <w:rFonts w:ascii="SimSun" w:hAnsi="SimSun" w:hint="eastAsia"/>
          <w:sz w:val="21"/>
        </w:rPr>
        <w:t>（</w:t>
      </w:r>
      <w:r w:rsidRPr="00AE3537">
        <w:rPr>
          <w:rFonts w:ascii="SimSun" w:hAnsi="SimSun" w:hint="eastAsia"/>
          <w:sz w:val="21"/>
        </w:rPr>
        <w:t>文件</w:t>
      </w:r>
      <w:r>
        <w:rPr>
          <w:rFonts w:ascii="SimSun" w:hAnsi="SimSun"/>
          <w:sz w:val="21"/>
        </w:rPr>
        <w:t>A/5</w:t>
      </w:r>
      <w:r>
        <w:rPr>
          <w:rFonts w:ascii="SimSun" w:hAnsi="SimSun" w:hint="eastAsia"/>
          <w:sz w:val="21"/>
        </w:rPr>
        <w:t>8</w:t>
      </w:r>
      <w:r>
        <w:rPr>
          <w:rFonts w:ascii="SimSun" w:hAnsi="SimSun"/>
          <w:sz w:val="21"/>
        </w:rPr>
        <w:t>/</w:t>
      </w:r>
      <w:r>
        <w:rPr>
          <w:rFonts w:ascii="SimSun" w:hAnsi="SimSun" w:hint="eastAsia"/>
          <w:sz w:val="21"/>
        </w:rPr>
        <w:t>6</w:t>
      </w:r>
      <w:r>
        <w:rPr>
          <w:rFonts w:ascii="SimSun" w:hAnsi="SimSun"/>
          <w:sz w:val="21"/>
        </w:rPr>
        <w:t>）</w:t>
      </w:r>
      <w:r w:rsidRPr="00B02976">
        <w:rPr>
          <w:rFonts w:ascii="SimSun" w:hAnsi="SimSun" w:hint="eastAsia"/>
          <w:sz w:val="21"/>
        </w:rPr>
        <w:t>。</w:t>
      </w:r>
    </w:p>
    <w:p w:rsidR="008F3230" w:rsidRPr="00B02976" w:rsidRDefault="008F3230" w:rsidP="009622E7">
      <w:pPr>
        <w:pStyle w:val="Endofdocument-Annex"/>
        <w:overflowPunct w:val="0"/>
        <w:spacing w:afterLines="50" w:after="120" w:line="340" w:lineRule="atLeast"/>
        <w:rPr>
          <w:rFonts w:ascii="KaiTi" w:eastAsia="KaiTi" w:hAnsi="KaiTi"/>
          <w:sz w:val="21"/>
        </w:rPr>
      </w:pPr>
      <w:r w:rsidRPr="00B02976">
        <w:rPr>
          <w:rFonts w:ascii="KaiTi" w:eastAsia="KaiTi" w:hAnsi="KaiTi"/>
          <w:sz w:val="21"/>
        </w:rPr>
        <w:t>[</w:t>
      </w:r>
      <w:r w:rsidRPr="00B02976">
        <w:rPr>
          <w:rFonts w:ascii="KaiTi" w:eastAsia="KaiTi" w:hAnsi="KaiTi" w:hint="eastAsia"/>
          <w:sz w:val="21"/>
        </w:rPr>
        <w:t>后</w:t>
      </w:r>
      <w:proofErr w:type="gramStart"/>
      <w:r w:rsidRPr="00B02976">
        <w:rPr>
          <w:rFonts w:ascii="KaiTi" w:eastAsia="KaiTi" w:hAnsi="KaiTi" w:hint="eastAsia"/>
          <w:sz w:val="21"/>
        </w:rPr>
        <w:t>接文件</w:t>
      </w:r>
      <w:proofErr w:type="gramEnd"/>
      <w:r w:rsidRPr="00B02976">
        <w:rPr>
          <w:rFonts w:ascii="KaiTi" w:eastAsia="KaiTi" w:hAnsi="KaiTi"/>
          <w:sz w:val="21"/>
        </w:rPr>
        <w:t>WO/PBC/2</w:t>
      </w:r>
      <w:r>
        <w:rPr>
          <w:rFonts w:ascii="KaiTi" w:eastAsia="KaiTi" w:hAnsi="KaiTi" w:hint="eastAsia"/>
          <w:sz w:val="21"/>
        </w:rPr>
        <w:t>8</w:t>
      </w:r>
      <w:r w:rsidRPr="00B02976">
        <w:rPr>
          <w:rFonts w:ascii="KaiTi" w:eastAsia="KaiTi" w:hAnsi="KaiTi"/>
          <w:sz w:val="21"/>
        </w:rPr>
        <w:t>/5]</w:t>
      </w:r>
    </w:p>
    <w:p w:rsidR="004B6701" w:rsidRPr="0077241D" w:rsidRDefault="004B6701" w:rsidP="008F3230">
      <w:pPr>
        <w:pStyle w:val="ONUME"/>
        <w:numPr>
          <w:ilvl w:val="0"/>
          <w:numId w:val="0"/>
        </w:numPr>
        <w:tabs>
          <w:tab w:val="left" w:pos="6096"/>
        </w:tabs>
        <w:spacing w:after="0"/>
        <w:rPr>
          <w:i/>
          <w:strike/>
        </w:rPr>
      </w:pPr>
    </w:p>
    <w:p w:rsidR="004B6701" w:rsidRPr="0077241D" w:rsidRDefault="004B6701" w:rsidP="004B6701">
      <w:pPr>
        <w:pStyle w:val="ONUME"/>
        <w:numPr>
          <w:ilvl w:val="0"/>
          <w:numId w:val="0"/>
        </w:numPr>
        <w:tabs>
          <w:tab w:val="left" w:pos="6096"/>
        </w:tabs>
        <w:spacing w:after="0"/>
        <w:ind w:left="5533"/>
        <w:rPr>
          <w:strike/>
        </w:rPr>
        <w:sectPr w:rsidR="004B6701" w:rsidRPr="0077241D" w:rsidSect="004335CF">
          <w:headerReference w:type="even" r:id="rId10"/>
          <w:headerReference w:type="default" r:id="rId11"/>
          <w:footerReference w:type="even" r:id="rId12"/>
          <w:footerReference w:type="default" r:id="rId13"/>
          <w:endnotePr>
            <w:numFmt w:val="decimal"/>
          </w:endnotePr>
          <w:pgSz w:w="11907" w:h="16840" w:code="9"/>
          <w:pgMar w:top="567" w:right="1134" w:bottom="1418" w:left="1418" w:header="510" w:footer="1021" w:gutter="0"/>
          <w:cols w:space="720"/>
          <w:titlePg/>
          <w:docGrid w:linePitch="299"/>
        </w:sectPr>
      </w:pPr>
    </w:p>
    <w:p w:rsidR="004B6701" w:rsidRPr="0077241D" w:rsidRDefault="004B6701">
      <w:pPr>
        <w:rPr>
          <w:strike/>
        </w:rPr>
        <w:sectPr w:rsidR="004B6701" w:rsidRPr="0077241D" w:rsidSect="004B670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880D28" w:rsidRPr="005800E7" w:rsidTr="00852933">
        <w:trPr>
          <w:trHeight w:val="1977"/>
        </w:trPr>
        <w:tc>
          <w:tcPr>
            <w:tcW w:w="4594" w:type="dxa"/>
            <w:tcBorders>
              <w:bottom w:val="single" w:sz="4" w:space="0" w:color="auto"/>
            </w:tcBorders>
            <w:tcMar>
              <w:bottom w:w="170" w:type="dxa"/>
            </w:tcMar>
          </w:tcPr>
          <w:p w:rsidR="00880D28" w:rsidRPr="005800E7" w:rsidRDefault="00880D28" w:rsidP="00852933">
            <w:r w:rsidRPr="005800E7">
              <w:rPr>
                <w:noProof/>
              </w:rPr>
              <w:drawing>
                <wp:anchor distT="0" distB="0" distL="114300" distR="114300" simplePos="0" relativeHeight="251661312" behindDoc="1" locked="0" layoutInCell="0" allowOverlap="1" wp14:anchorId="7CD70D12" wp14:editId="611D57C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80D28" w:rsidRPr="005800E7" w:rsidRDefault="00880D28" w:rsidP="00852933"/>
        </w:tc>
        <w:tc>
          <w:tcPr>
            <w:tcW w:w="425" w:type="dxa"/>
            <w:tcBorders>
              <w:bottom w:val="single" w:sz="4" w:space="0" w:color="auto"/>
            </w:tcBorders>
            <w:tcMar>
              <w:left w:w="0" w:type="dxa"/>
              <w:right w:w="0" w:type="dxa"/>
            </w:tcMar>
          </w:tcPr>
          <w:p w:rsidR="00880D28" w:rsidRPr="005800E7" w:rsidRDefault="00880D28" w:rsidP="00852933">
            <w:pPr>
              <w:jc w:val="right"/>
            </w:pPr>
            <w:r w:rsidRPr="005800E7">
              <w:rPr>
                <w:b/>
                <w:sz w:val="40"/>
                <w:szCs w:val="40"/>
              </w:rPr>
              <w:t>C</w:t>
            </w:r>
          </w:p>
        </w:tc>
      </w:tr>
      <w:tr w:rsidR="00880D28" w:rsidRPr="005800E7" w:rsidTr="00852933">
        <w:trPr>
          <w:trHeight w:hRule="exact" w:val="340"/>
        </w:trPr>
        <w:tc>
          <w:tcPr>
            <w:tcW w:w="9356" w:type="dxa"/>
            <w:gridSpan w:val="3"/>
            <w:tcBorders>
              <w:top w:val="single" w:sz="4" w:space="0" w:color="auto"/>
            </w:tcBorders>
            <w:tcMar>
              <w:top w:w="170" w:type="dxa"/>
              <w:left w:w="0" w:type="dxa"/>
              <w:right w:w="0" w:type="dxa"/>
            </w:tcMar>
            <w:vAlign w:val="bottom"/>
          </w:tcPr>
          <w:p w:rsidR="00880D28" w:rsidRPr="005800E7" w:rsidRDefault="00880D28" w:rsidP="00852933">
            <w:pPr>
              <w:jc w:val="right"/>
              <w:rPr>
                <w:rFonts w:ascii="Arial Black" w:hAnsi="Arial Black"/>
                <w:caps/>
                <w:sz w:val="15"/>
              </w:rPr>
            </w:pPr>
            <w:r>
              <w:rPr>
                <w:rFonts w:ascii="Arial Black" w:hAnsi="Arial Black"/>
                <w:caps/>
                <w:sz w:val="15"/>
              </w:rPr>
              <w:t>wo/pbc/2</w:t>
            </w:r>
            <w:r>
              <w:rPr>
                <w:rFonts w:ascii="Arial Black" w:hAnsi="Arial Black" w:hint="eastAsia"/>
                <w:caps/>
                <w:sz w:val="15"/>
              </w:rPr>
              <w:t>8</w:t>
            </w:r>
            <w:r w:rsidRPr="005800E7">
              <w:rPr>
                <w:rFonts w:ascii="Arial Black" w:hAnsi="Arial Black"/>
                <w:caps/>
                <w:sz w:val="15"/>
              </w:rPr>
              <w:t>/</w:t>
            </w:r>
            <w:r>
              <w:rPr>
                <w:rFonts w:ascii="Arial Black" w:hAnsi="Arial Black" w:hint="eastAsia"/>
                <w:caps/>
                <w:sz w:val="15"/>
              </w:rPr>
              <w:t>5</w:t>
            </w:r>
          </w:p>
        </w:tc>
      </w:tr>
      <w:tr w:rsidR="00880D28" w:rsidRPr="005800E7" w:rsidTr="00852933">
        <w:trPr>
          <w:trHeight w:hRule="exact" w:val="170"/>
        </w:trPr>
        <w:tc>
          <w:tcPr>
            <w:tcW w:w="9356" w:type="dxa"/>
            <w:gridSpan w:val="3"/>
            <w:noWrap/>
            <w:tcMar>
              <w:left w:w="0" w:type="dxa"/>
              <w:right w:w="0" w:type="dxa"/>
            </w:tcMar>
            <w:vAlign w:val="bottom"/>
          </w:tcPr>
          <w:p w:rsidR="00880D28" w:rsidRPr="005800E7" w:rsidRDefault="00880D28" w:rsidP="00852933">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文：英文</w:t>
            </w:r>
          </w:p>
        </w:tc>
      </w:tr>
      <w:tr w:rsidR="00880D28" w:rsidRPr="005800E7" w:rsidTr="00852933">
        <w:trPr>
          <w:trHeight w:hRule="exact" w:val="198"/>
        </w:trPr>
        <w:tc>
          <w:tcPr>
            <w:tcW w:w="9356" w:type="dxa"/>
            <w:gridSpan w:val="3"/>
            <w:tcMar>
              <w:left w:w="0" w:type="dxa"/>
              <w:right w:w="0" w:type="dxa"/>
            </w:tcMar>
            <w:vAlign w:val="bottom"/>
          </w:tcPr>
          <w:p w:rsidR="00880D28" w:rsidRPr="005800E7" w:rsidRDefault="00880D28" w:rsidP="00852933">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r>
              <w:rPr>
                <w:rFonts w:ascii="Arial Black" w:eastAsia="SimHei" w:hAnsi="Arial Black"/>
                <w:b/>
                <w:sz w:val="15"/>
                <w:szCs w:val="15"/>
              </w:rPr>
              <w:t>201</w:t>
            </w:r>
            <w:r>
              <w:rPr>
                <w:rFonts w:ascii="Arial Black" w:eastAsia="SimHei" w:hAnsi="Arial Black" w:hint="eastAsia"/>
                <w:b/>
                <w:sz w:val="15"/>
                <w:szCs w:val="15"/>
              </w:rPr>
              <w:t>8</w:t>
            </w:r>
            <w:r w:rsidRPr="005800E7">
              <w:rPr>
                <w:rFonts w:ascii="SimHei" w:eastAsia="SimHei" w:hAnsi="Times New Roman"/>
                <w:b/>
                <w:sz w:val="15"/>
                <w:szCs w:val="15"/>
              </w:rPr>
              <w:t>年</w:t>
            </w:r>
            <w:r>
              <w:rPr>
                <w:rFonts w:ascii="Arial Black" w:eastAsia="SimHei" w:hAnsi="Arial Black" w:hint="eastAsia"/>
                <w:b/>
                <w:sz w:val="15"/>
                <w:szCs w:val="15"/>
              </w:rPr>
              <w:t>7</w:t>
            </w:r>
            <w:r w:rsidRPr="005800E7">
              <w:rPr>
                <w:rFonts w:ascii="SimHei" w:eastAsia="SimHei" w:hAnsi="Times New Roman"/>
                <w:b/>
                <w:sz w:val="15"/>
                <w:szCs w:val="15"/>
              </w:rPr>
              <w:t>月</w:t>
            </w:r>
            <w:bookmarkStart w:id="11" w:name="_GoBack"/>
            <w:r w:rsidR="008C5843" w:rsidRPr="009B6790">
              <w:rPr>
                <w:rFonts w:ascii="Arial Black" w:eastAsia="SimHei" w:hAnsi="Arial Black" w:hint="eastAsia"/>
                <w:b/>
                <w:sz w:val="15"/>
                <w:szCs w:val="15"/>
                <w:lang w:val="pt-BR"/>
              </w:rPr>
              <w:t>18</w:t>
            </w:r>
            <w:bookmarkEnd w:id="11"/>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880D28" w:rsidRPr="005800E7" w:rsidRDefault="00880D28" w:rsidP="00880D28"/>
    <w:p w:rsidR="00880D28" w:rsidRPr="005800E7" w:rsidRDefault="00880D28" w:rsidP="00880D28">
      <w:pPr>
        <w:widowControl w:val="0"/>
        <w:jc w:val="both"/>
        <w:rPr>
          <w:rFonts w:cs="Times New Roman"/>
          <w:szCs w:val="22"/>
        </w:rPr>
      </w:pPr>
    </w:p>
    <w:p w:rsidR="00880D28" w:rsidRPr="005800E7" w:rsidRDefault="00880D28" w:rsidP="00880D28">
      <w:pPr>
        <w:widowControl w:val="0"/>
        <w:jc w:val="both"/>
        <w:rPr>
          <w:rFonts w:cs="Times New Roman"/>
          <w:szCs w:val="22"/>
        </w:rPr>
      </w:pPr>
    </w:p>
    <w:p w:rsidR="00880D28" w:rsidRPr="005800E7" w:rsidRDefault="00880D28" w:rsidP="00880D28">
      <w:pPr>
        <w:widowControl w:val="0"/>
        <w:jc w:val="both"/>
        <w:rPr>
          <w:rFonts w:cs="Times New Roman"/>
          <w:szCs w:val="22"/>
        </w:rPr>
      </w:pPr>
    </w:p>
    <w:p w:rsidR="00880D28" w:rsidRPr="005800E7" w:rsidRDefault="00880D28" w:rsidP="00880D28">
      <w:pPr>
        <w:widowControl w:val="0"/>
        <w:jc w:val="both"/>
        <w:rPr>
          <w:rFonts w:cs="Times New Roman"/>
          <w:szCs w:val="22"/>
        </w:rPr>
      </w:pPr>
    </w:p>
    <w:p w:rsidR="00880D28" w:rsidRPr="005800E7" w:rsidRDefault="00880D28" w:rsidP="00880D28">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9D2955" w:rsidRPr="0077241D" w:rsidRDefault="009D2955" w:rsidP="009D2955">
      <w:pPr>
        <w:rPr>
          <w:strike/>
        </w:rPr>
      </w:pPr>
    </w:p>
    <w:p w:rsidR="009D2955" w:rsidRPr="0077241D" w:rsidRDefault="009D2955" w:rsidP="009D2955">
      <w:pPr>
        <w:rPr>
          <w:strike/>
        </w:rPr>
      </w:pPr>
    </w:p>
    <w:p w:rsidR="00880D28" w:rsidRPr="005800E7" w:rsidRDefault="00880D28" w:rsidP="00880D28">
      <w:pPr>
        <w:widowControl w:val="0"/>
        <w:jc w:val="both"/>
        <w:textAlignment w:val="bottom"/>
        <w:rPr>
          <w:rFonts w:ascii="KaiTi" w:eastAsia="KaiTi" w:hAnsi="Calibri" w:cs="Times New Roman"/>
          <w:b/>
          <w:sz w:val="24"/>
          <w:szCs w:val="24"/>
        </w:rPr>
      </w:pPr>
      <w:r>
        <w:rPr>
          <w:rFonts w:ascii="KaiTi" w:eastAsia="KaiTi" w:hAnsi="Calibri" w:cs="Times New Roman"/>
          <w:b/>
          <w:sz w:val="24"/>
          <w:szCs w:val="24"/>
        </w:rPr>
        <w:t>第二十</w:t>
      </w:r>
      <w:r>
        <w:rPr>
          <w:rFonts w:ascii="KaiTi" w:eastAsia="KaiTi" w:hAnsi="Calibri" w:cs="Times New Roman" w:hint="eastAsia"/>
          <w:b/>
          <w:sz w:val="24"/>
          <w:szCs w:val="24"/>
        </w:rPr>
        <w:t>八</w:t>
      </w:r>
      <w:r w:rsidRPr="005800E7">
        <w:rPr>
          <w:rFonts w:ascii="KaiTi" w:eastAsia="KaiTi" w:hAnsi="Calibri" w:cs="Times New Roman"/>
          <w:b/>
          <w:sz w:val="24"/>
          <w:szCs w:val="24"/>
        </w:rPr>
        <w:t>届会议</w:t>
      </w:r>
    </w:p>
    <w:p w:rsidR="00880D28" w:rsidRPr="005800E7" w:rsidRDefault="00880D28" w:rsidP="00880D28">
      <w:pPr>
        <w:widowControl w:val="0"/>
        <w:jc w:val="both"/>
        <w:rPr>
          <w:rFonts w:ascii="KaiTi" w:eastAsia="KaiTi" w:hAnsi="KaiTi" w:cs="Times New Roman"/>
          <w:b/>
          <w:sz w:val="24"/>
          <w:szCs w:val="24"/>
        </w:rPr>
      </w:pPr>
      <w:r>
        <w:rPr>
          <w:rFonts w:ascii="KaiTi" w:eastAsia="KaiTi" w:hAnsi="KaiTi" w:cs="Times New Roman"/>
          <w:sz w:val="24"/>
          <w:szCs w:val="24"/>
        </w:rPr>
        <w:t>201</w:t>
      </w:r>
      <w:r>
        <w:rPr>
          <w:rFonts w:ascii="KaiTi" w:eastAsia="KaiTi" w:hAnsi="KaiTi" w:cs="Times New Roman" w:hint="eastAsia"/>
          <w:sz w:val="24"/>
          <w:szCs w:val="24"/>
        </w:rPr>
        <w:t>8</w:t>
      </w:r>
      <w:r w:rsidRPr="005800E7">
        <w:rPr>
          <w:rFonts w:ascii="KaiTi" w:eastAsia="KaiTi" w:hAnsi="KaiTi"/>
          <w:b/>
          <w:sz w:val="24"/>
          <w:szCs w:val="24"/>
        </w:rPr>
        <w:t>年</w:t>
      </w:r>
      <w:r>
        <w:rPr>
          <w:rFonts w:ascii="KaiTi" w:eastAsia="KaiTi" w:hAnsi="KaiTi" w:cs="Times New Roman" w:hint="eastAsia"/>
          <w:sz w:val="24"/>
          <w:szCs w:val="24"/>
        </w:rPr>
        <w:t>9</w:t>
      </w:r>
      <w:r w:rsidRPr="005800E7">
        <w:rPr>
          <w:rFonts w:ascii="KaiTi" w:eastAsia="KaiTi" w:hAnsi="KaiTi"/>
          <w:b/>
          <w:sz w:val="24"/>
          <w:szCs w:val="24"/>
        </w:rPr>
        <w:t>月</w:t>
      </w:r>
      <w:r>
        <w:rPr>
          <w:rFonts w:ascii="KaiTi" w:eastAsia="KaiTi" w:hAnsi="KaiTi" w:hint="eastAsia"/>
          <w:sz w:val="24"/>
          <w:szCs w:val="24"/>
        </w:rPr>
        <w:t>10</w:t>
      </w:r>
      <w:r w:rsidRPr="005800E7">
        <w:rPr>
          <w:rFonts w:ascii="KaiTi" w:eastAsia="KaiTi" w:hAnsi="KaiTi"/>
          <w:b/>
          <w:sz w:val="24"/>
          <w:szCs w:val="24"/>
        </w:rPr>
        <w:t>日至</w:t>
      </w:r>
      <w:r>
        <w:rPr>
          <w:rFonts w:ascii="KaiTi" w:eastAsia="KaiTi" w:hAnsi="KaiTi" w:cs="Times New Roman" w:hint="eastAsia"/>
          <w:sz w:val="24"/>
          <w:szCs w:val="24"/>
        </w:rPr>
        <w:t>14</w:t>
      </w:r>
      <w:r w:rsidRPr="005800E7">
        <w:rPr>
          <w:rFonts w:ascii="KaiTi" w:eastAsia="KaiTi" w:hAnsi="KaiTi"/>
          <w:b/>
          <w:sz w:val="24"/>
          <w:szCs w:val="24"/>
        </w:rPr>
        <w:t>日，日内瓦</w:t>
      </w:r>
    </w:p>
    <w:p w:rsidR="00880D28" w:rsidRPr="00880D28" w:rsidRDefault="00880D28" w:rsidP="009D2955">
      <w:pPr>
        <w:rPr>
          <w:b/>
          <w:strike/>
          <w:sz w:val="24"/>
          <w:szCs w:val="24"/>
        </w:rPr>
      </w:pPr>
    </w:p>
    <w:p w:rsidR="009D2955" w:rsidRPr="0077241D" w:rsidRDefault="009D2955" w:rsidP="009D2955">
      <w:pPr>
        <w:rPr>
          <w:strike/>
        </w:rPr>
      </w:pPr>
    </w:p>
    <w:p w:rsidR="009D2955" w:rsidRPr="0077241D" w:rsidRDefault="009D2955" w:rsidP="009D2955">
      <w:pPr>
        <w:rPr>
          <w:strike/>
        </w:rPr>
      </w:pPr>
    </w:p>
    <w:p w:rsidR="00880D28" w:rsidRPr="005800E7" w:rsidRDefault="00880D28" w:rsidP="00880D28">
      <w:pPr>
        <w:widowControl w:val="0"/>
        <w:jc w:val="both"/>
        <w:rPr>
          <w:rFonts w:ascii="KaiTi" w:eastAsia="KaiTi" w:hAnsi="KaiTi"/>
          <w:caps/>
          <w:sz w:val="24"/>
          <w:szCs w:val="24"/>
        </w:rPr>
      </w:pPr>
      <w:r w:rsidRPr="003F3C62">
        <w:rPr>
          <w:rFonts w:ascii="KaiTi" w:eastAsia="KaiTi" w:hAnsi="KaiTi" w:hint="eastAsia"/>
          <w:caps/>
          <w:sz w:val="24"/>
          <w:szCs w:val="24"/>
        </w:rPr>
        <w:t>内部监督司</w:t>
      </w:r>
      <w:r>
        <w:rPr>
          <w:rFonts w:ascii="KaiTi" w:eastAsia="KaiTi" w:hAnsi="KaiTi" w:hint="eastAsia"/>
          <w:caps/>
          <w:sz w:val="24"/>
          <w:szCs w:val="24"/>
        </w:rPr>
        <w:t>（</w:t>
      </w:r>
      <w:r w:rsidRPr="003F3C62">
        <w:rPr>
          <w:rFonts w:ascii="KaiTi" w:eastAsia="KaiTi" w:hAnsi="KaiTi" w:hint="eastAsia"/>
          <w:caps/>
          <w:sz w:val="24"/>
          <w:szCs w:val="24"/>
        </w:rPr>
        <w:t>监督司</w:t>
      </w:r>
      <w:r>
        <w:rPr>
          <w:rFonts w:ascii="KaiTi" w:eastAsia="KaiTi" w:hAnsi="KaiTi" w:hint="eastAsia"/>
          <w:caps/>
          <w:sz w:val="24"/>
          <w:szCs w:val="24"/>
        </w:rPr>
        <w:t>）</w:t>
      </w:r>
      <w:r w:rsidRPr="003F3C62">
        <w:rPr>
          <w:rFonts w:ascii="KaiTi" w:eastAsia="KaiTi" w:hAnsi="KaiTi" w:hint="eastAsia"/>
          <w:caps/>
          <w:sz w:val="24"/>
          <w:szCs w:val="24"/>
        </w:rPr>
        <w:t>司长的年度报告</w:t>
      </w:r>
    </w:p>
    <w:p w:rsidR="00880D28" w:rsidRPr="003F3C62" w:rsidRDefault="00880D28" w:rsidP="00880D28">
      <w:pPr>
        <w:widowControl w:val="0"/>
        <w:jc w:val="both"/>
        <w:rPr>
          <w:rFonts w:cs="Times New Roman"/>
          <w:szCs w:val="22"/>
        </w:rPr>
      </w:pPr>
    </w:p>
    <w:p w:rsidR="00880D28" w:rsidRPr="005800E7" w:rsidRDefault="00880D28" w:rsidP="00880D28">
      <w:pPr>
        <w:widowControl w:val="0"/>
        <w:jc w:val="both"/>
        <w:rPr>
          <w:rFonts w:ascii="KaiTi" w:eastAsia="KaiTi" w:hAnsi="KaiTi"/>
          <w:sz w:val="21"/>
          <w:szCs w:val="21"/>
        </w:rPr>
      </w:pPr>
      <w:r w:rsidRPr="003F3C62">
        <w:rPr>
          <w:rFonts w:ascii="KaiTi" w:eastAsia="KaiTi" w:hAnsi="KaiTi" w:hint="eastAsia"/>
          <w:sz w:val="21"/>
          <w:szCs w:val="21"/>
        </w:rPr>
        <w:t>秘书处编拟</w:t>
      </w:r>
    </w:p>
    <w:p w:rsidR="009D2955" w:rsidRPr="0077241D" w:rsidRDefault="009D2955" w:rsidP="009D2955">
      <w:pPr>
        <w:rPr>
          <w:strike/>
        </w:rPr>
      </w:pPr>
    </w:p>
    <w:p w:rsidR="009D2955" w:rsidRPr="0077241D" w:rsidRDefault="009D2955" w:rsidP="009D2955">
      <w:pPr>
        <w:rPr>
          <w:strike/>
        </w:rPr>
      </w:pPr>
    </w:p>
    <w:p w:rsidR="009D2955" w:rsidRDefault="009D2955" w:rsidP="009D2955">
      <w:pPr>
        <w:rPr>
          <w:strike/>
        </w:rPr>
      </w:pPr>
    </w:p>
    <w:p w:rsidR="00880D28" w:rsidRPr="0077241D" w:rsidRDefault="00880D28" w:rsidP="009D2955">
      <w:pPr>
        <w:rPr>
          <w:strike/>
        </w:rPr>
      </w:pPr>
    </w:p>
    <w:p w:rsidR="00880D28" w:rsidRPr="00B02976" w:rsidRDefault="00880D28" w:rsidP="00EC189A">
      <w:pPr>
        <w:pStyle w:val="ONUME"/>
        <w:numPr>
          <w:ilvl w:val="0"/>
          <w:numId w:val="4"/>
        </w:numPr>
        <w:tabs>
          <w:tab w:val="clear" w:pos="567"/>
        </w:tabs>
        <w:spacing w:afterLines="50" w:after="120" w:line="340" w:lineRule="atLeast"/>
        <w:jc w:val="both"/>
        <w:rPr>
          <w:sz w:val="21"/>
        </w:rPr>
      </w:pPr>
      <w:r w:rsidRPr="004C2AAE">
        <w:rPr>
          <w:rFonts w:ascii="SimSun" w:hAnsi="SimSun" w:hint="eastAsia"/>
          <w:sz w:val="21"/>
        </w:rPr>
        <w:t>根据《内部监督章程》第</w:t>
      </w:r>
      <w:r>
        <w:rPr>
          <w:rFonts w:ascii="SimSun" w:hAnsi="SimSun" w:hint="eastAsia"/>
          <w:sz w:val="21"/>
        </w:rPr>
        <w:t>44</w:t>
      </w:r>
      <w:r w:rsidRPr="004C2AAE">
        <w:rPr>
          <w:rFonts w:ascii="SimSun" w:hAnsi="SimSun" w:hint="eastAsia"/>
          <w:sz w:val="21"/>
        </w:rPr>
        <w:t>段，</w:t>
      </w:r>
      <w:r w:rsidRPr="00107AC9">
        <w:rPr>
          <w:rFonts w:ascii="SimSun" w:hAnsi="SimSun" w:hint="eastAsia"/>
          <w:sz w:val="21"/>
        </w:rPr>
        <w:t>内部监督司</w:t>
      </w:r>
      <w:r>
        <w:rPr>
          <w:rFonts w:ascii="SimSun" w:hAnsi="SimSun" w:hint="eastAsia"/>
          <w:sz w:val="21"/>
        </w:rPr>
        <w:t>（</w:t>
      </w:r>
      <w:r w:rsidRPr="00107AC9">
        <w:rPr>
          <w:rFonts w:ascii="SimSun" w:hAnsi="SimSun" w:hint="eastAsia"/>
          <w:sz w:val="21"/>
        </w:rPr>
        <w:t>监督司</w:t>
      </w:r>
      <w:r>
        <w:rPr>
          <w:rFonts w:ascii="SimSun" w:hAnsi="SimSun" w:hint="eastAsia"/>
          <w:sz w:val="21"/>
        </w:rPr>
        <w:t>）</w:t>
      </w:r>
      <w:r w:rsidRPr="00107AC9">
        <w:rPr>
          <w:rFonts w:ascii="SimSun" w:hAnsi="SimSun" w:hint="eastAsia"/>
          <w:sz w:val="21"/>
        </w:rPr>
        <w:t>司长</w:t>
      </w:r>
      <w:r>
        <w:rPr>
          <w:rFonts w:ascii="SimSun" w:hAnsi="SimSun" w:hint="eastAsia"/>
          <w:sz w:val="21"/>
        </w:rPr>
        <w:t>须每年通过</w:t>
      </w:r>
      <w:r w:rsidRPr="004C2AAE">
        <w:rPr>
          <w:rFonts w:ascii="SimSun" w:hAnsi="SimSun" w:hint="eastAsia"/>
          <w:sz w:val="21"/>
        </w:rPr>
        <w:t>计划和预算委员会</w:t>
      </w:r>
      <w:r>
        <w:rPr>
          <w:rFonts w:ascii="SimSun" w:hAnsi="SimSun" w:hint="eastAsia"/>
          <w:sz w:val="21"/>
        </w:rPr>
        <w:t>（</w:t>
      </w:r>
      <w:r w:rsidRPr="004C2AAE">
        <w:rPr>
          <w:rFonts w:ascii="SimSun" w:hAnsi="SimSun" w:hint="eastAsia"/>
          <w:sz w:val="21"/>
        </w:rPr>
        <w:t>PBC</w:t>
      </w:r>
      <w:r>
        <w:rPr>
          <w:rFonts w:ascii="SimSun" w:hAnsi="SimSun" w:hint="eastAsia"/>
          <w:sz w:val="21"/>
        </w:rPr>
        <w:t>）向产权组织大会提交总结</w:t>
      </w:r>
      <w:r w:rsidRPr="004C2AAE">
        <w:rPr>
          <w:rFonts w:ascii="SimSun" w:hAnsi="SimSun" w:hint="eastAsia"/>
          <w:sz w:val="21"/>
        </w:rPr>
        <w:t>报告。</w:t>
      </w:r>
      <w:r>
        <w:rPr>
          <w:rFonts w:ascii="SimSun" w:hAnsi="SimSun" w:hint="eastAsia"/>
          <w:sz w:val="21"/>
        </w:rPr>
        <w:t>报告应概述</w:t>
      </w:r>
      <w:r w:rsidRPr="004C2AAE">
        <w:rPr>
          <w:rFonts w:ascii="SimSun" w:hAnsi="SimSun" w:hint="eastAsia"/>
          <w:sz w:val="21"/>
        </w:rPr>
        <w:t>201</w:t>
      </w:r>
      <w:r>
        <w:rPr>
          <w:rFonts w:ascii="SimSun" w:hAnsi="SimSun" w:hint="eastAsia"/>
          <w:sz w:val="21"/>
        </w:rPr>
        <w:t>7</w:t>
      </w:r>
      <w:r w:rsidRPr="004C2AAE">
        <w:rPr>
          <w:rFonts w:ascii="SimSun" w:hAnsi="SimSun" w:hint="eastAsia"/>
          <w:sz w:val="21"/>
        </w:rPr>
        <w:t>年7月1日至201</w:t>
      </w:r>
      <w:r>
        <w:rPr>
          <w:rFonts w:ascii="SimSun" w:hAnsi="SimSun" w:hint="eastAsia"/>
          <w:sz w:val="21"/>
        </w:rPr>
        <w:t>8</w:t>
      </w:r>
      <w:r w:rsidRPr="004C2AAE">
        <w:rPr>
          <w:rFonts w:ascii="SimSun" w:hAnsi="SimSun" w:hint="eastAsia"/>
          <w:sz w:val="21"/>
        </w:rPr>
        <w:t>年6月30日</w:t>
      </w:r>
      <w:r>
        <w:rPr>
          <w:rFonts w:ascii="SimSun" w:hAnsi="SimSun" w:hint="eastAsia"/>
          <w:sz w:val="21"/>
        </w:rPr>
        <w:t>报告所涉</w:t>
      </w:r>
      <w:r w:rsidRPr="004C2AAE">
        <w:rPr>
          <w:rFonts w:ascii="SimSun" w:hAnsi="SimSun" w:hint="eastAsia"/>
          <w:sz w:val="21"/>
        </w:rPr>
        <w:t>期间</w:t>
      </w:r>
      <w:r>
        <w:rPr>
          <w:rFonts w:ascii="SimSun" w:hAnsi="SimSun" w:hint="eastAsia"/>
          <w:sz w:val="21"/>
        </w:rPr>
        <w:t>开展的内部监督</w:t>
      </w:r>
      <w:r w:rsidRPr="004C2AAE">
        <w:rPr>
          <w:rFonts w:ascii="SimSun" w:hAnsi="SimSun" w:hint="eastAsia"/>
          <w:sz w:val="21"/>
        </w:rPr>
        <w:t>活动。</w:t>
      </w:r>
    </w:p>
    <w:p w:rsidR="00880D28" w:rsidRPr="00B02976" w:rsidRDefault="00880D28" w:rsidP="00EC189A">
      <w:pPr>
        <w:pStyle w:val="ONUME"/>
        <w:numPr>
          <w:ilvl w:val="0"/>
          <w:numId w:val="4"/>
        </w:numPr>
        <w:tabs>
          <w:tab w:val="clear" w:pos="567"/>
        </w:tabs>
        <w:spacing w:afterLines="50" w:after="120" w:line="340" w:lineRule="atLeast"/>
        <w:jc w:val="both"/>
        <w:rPr>
          <w:rFonts w:ascii="KaiTi" w:eastAsia="KaiTi" w:hAnsi="KaiTi"/>
          <w:sz w:val="21"/>
        </w:rPr>
      </w:pPr>
      <w:r>
        <w:rPr>
          <w:rFonts w:ascii="SimSun" w:hAnsi="SimSun" w:hint="eastAsia"/>
          <w:sz w:val="21"/>
        </w:rPr>
        <w:t>提</w:t>
      </w:r>
      <w:r w:rsidRPr="004C2AAE">
        <w:rPr>
          <w:rFonts w:ascii="SimSun" w:hAnsi="SimSun" w:hint="eastAsia"/>
          <w:sz w:val="21"/>
        </w:rPr>
        <w:t>议决定段落措辞如下。</w:t>
      </w:r>
    </w:p>
    <w:p w:rsidR="00880D28" w:rsidRPr="00B02976" w:rsidRDefault="00880D28" w:rsidP="00880D28">
      <w:pPr>
        <w:spacing w:afterLines="50" w:after="120" w:line="340" w:lineRule="atLeast"/>
        <w:ind w:left="5534"/>
        <w:jc w:val="both"/>
        <w:rPr>
          <w:rFonts w:ascii="KaiTi" w:eastAsia="KaiTi" w:hAnsi="KaiTi"/>
          <w:sz w:val="21"/>
        </w:rPr>
      </w:pPr>
      <w:r w:rsidRPr="00B02976">
        <w:rPr>
          <w:rFonts w:ascii="KaiTi" w:eastAsia="KaiTi" w:hAnsi="KaiTi"/>
          <w:sz w:val="21"/>
        </w:rPr>
        <w:t>3.</w:t>
      </w:r>
      <w:r w:rsidRPr="00B02976">
        <w:rPr>
          <w:rFonts w:ascii="KaiTi" w:eastAsia="KaiTi" w:hAnsi="KaiTi"/>
          <w:sz w:val="21"/>
        </w:rPr>
        <w:tab/>
      </w:r>
      <w:r w:rsidRPr="00B02976">
        <w:rPr>
          <w:rFonts w:ascii="KaiTi" w:eastAsia="KaiTi" w:hAnsi="KaiTi" w:hint="eastAsia"/>
          <w:sz w:val="21"/>
        </w:rPr>
        <w:t>计划和预算委员会注意到“内部监督司</w:t>
      </w:r>
      <w:r>
        <w:rPr>
          <w:rFonts w:ascii="KaiTi" w:eastAsia="KaiTi" w:hAnsi="KaiTi" w:hint="eastAsia"/>
          <w:sz w:val="21"/>
        </w:rPr>
        <w:t>（</w:t>
      </w:r>
      <w:r w:rsidRPr="00B02976">
        <w:rPr>
          <w:rFonts w:ascii="KaiTi" w:eastAsia="KaiTi" w:hAnsi="KaiTi" w:hint="eastAsia"/>
          <w:sz w:val="21"/>
        </w:rPr>
        <w:t>监督司</w:t>
      </w:r>
      <w:r>
        <w:rPr>
          <w:rFonts w:ascii="KaiTi" w:eastAsia="KaiTi" w:hAnsi="KaiTi" w:hint="eastAsia"/>
          <w:sz w:val="21"/>
        </w:rPr>
        <w:t>）</w:t>
      </w:r>
      <w:r w:rsidRPr="00B02976">
        <w:rPr>
          <w:rFonts w:ascii="KaiTi" w:eastAsia="KaiTi" w:hAnsi="KaiTi" w:hint="eastAsia"/>
          <w:sz w:val="21"/>
        </w:rPr>
        <w:t>司长的年度报告”</w:t>
      </w:r>
      <w:r>
        <w:rPr>
          <w:rFonts w:ascii="KaiTi" w:eastAsia="KaiTi" w:hAnsi="KaiTi"/>
          <w:sz w:val="21"/>
        </w:rPr>
        <w:t>（</w:t>
      </w:r>
      <w:r w:rsidRPr="00B02976">
        <w:rPr>
          <w:rFonts w:ascii="KaiTi" w:eastAsia="KaiTi" w:hAnsi="KaiTi" w:hint="eastAsia"/>
          <w:sz w:val="21"/>
        </w:rPr>
        <w:t>文件</w:t>
      </w:r>
      <w:r w:rsidRPr="00B02976">
        <w:rPr>
          <w:rFonts w:ascii="KaiTi" w:eastAsia="KaiTi" w:hAnsi="KaiTi"/>
          <w:sz w:val="21"/>
        </w:rPr>
        <w:t>WO/PBC/2</w:t>
      </w:r>
      <w:r>
        <w:rPr>
          <w:rFonts w:ascii="KaiTi" w:eastAsia="KaiTi" w:hAnsi="KaiTi" w:hint="eastAsia"/>
          <w:sz w:val="21"/>
        </w:rPr>
        <w:t>8</w:t>
      </w:r>
      <w:r w:rsidRPr="00B02976">
        <w:rPr>
          <w:rFonts w:ascii="KaiTi" w:eastAsia="KaiTi" w:hAnsi="KaiTi"/>
          <w:sz w:val="21"/>
        </w:rPr>
        <w:t>/5</w:t>
      </w:r>
      <w:r>
        <w:rPr>
          <w:rFonts w:ascii="KaiTi" w:eastAsia="KaiTi" w:hAnsi="KaiTi"/>
          <w:sz w:val="21"/>
        </w:rPr>
        <w:t>）</w:t>
      </w:r>
      <w:r>
        <w:rPr>
          <w:rFonts w:ascii="KaiTi" w:eastAsia="KaiTi" w:hAnsi="KaiTi" w:hint="eastAsia"/>
          <w:sz w:val="21"/>
        </w:rPr>
        <w:t>。</w:t>
      </w:r>
    </w:p>
    <w:p w:rsidR="00880D28" w:rsidRDefault="00880D28" w:rsidP="00880D28">
      <w:pPr>
        <w:pStyle w:val="Endofdocument-Annex"/>
        <w:overflowPunct w:val="0"/>
        <w:spacing w:afterLines="50" w:after="120" w:line="340" w:lineRule="atLeast"/>
        <w:rPr>
          <w:rFonts w:ascii="KaiTi" w:eastAsia="KaiTi" w:hAnsi="KaiTi"/>
          <w:sz w:val="21"/>
        </w:rPr>
      </w:pPr>
    </w:p>
    <w:p w:rsidR="004B6701" w:rsidRPr="00880D28" w:rsidRDefault="00880D28" w:rsidP="00880D28">
      <w:pPr>
        <w:pStyle w:val="Endofdocument-Annex"/>
        <w:overflowPunct w:val="0"/>
        <w:spacing w:afterLines="50" w:after="120" w:line="340" w:lineRule="atLeast"/>
        <w:rPr>
          <w:rFonts w:ascii="KaiTi" w:eastAsia="KaiTi" w:hAnsi="KaiTi"/>
          <w:sz w:val="21"/>
        </w:rPr>
      </w:pPr>
      <w:r w:rsidRPr="000B1010">
        <w:rPr>
          <w:rFonts w:ascii="KaiTi" w:eastAsia="KaiTi" w:hAnsi="KaiTi"/>
          <w:sz w:val="21"/>
        </w:rPr>
        <w:t>[</w:t>
      </w:r>
      <w:r w:rsidRPr="003A528F">
        <w:rPr>
          <w:rFonts w:ascii="KaiTi" w:eastAsia="KaiTi" w:hAnsi="KaiTi" w:hint="eastAsia"/>
          <w:sz w:val="21"/>
        </w:rPr>
        <w:t>后</w:t>
      </w:r>
      <w:proofErr w:type="gramStart"/>
      <w:r w:rsidRPr="003A528F">
        <w:rPr>
          <w:rFonts w:ascii="KaiTi" w:eastAsia="KaiTi" w:hAnsi="KaiTi" w:hint="eastAsia"/>
          <w:sz w:val="21"/>
        </w:rPr>
        <w:t>接</w:t>
      </w:r>
      <w:r w:rsidRPr="00107AC9">
        <w:rPr>
          <w:rFonts w:ascii="KaiTi" w:eastAsia="KaiTi" w:hAnsi="KaiTi" w:hint="eastAsia"/>
          <w:sz w:val="21"/>
        </w:rPr>
        <w:t>监督</w:t>
      </w:r>
      <w:proofErr w:type="gramEnd"/>
      <w:r w:rsidRPr="00107AC9">
        <w:rPr>
          <w:rFonts w:ascii="KaiTi" w:eastAsia="KaiTi" w:hAnsi="KaiTi" w:hint="eastAsia"/>
          <w:sz w:val="21"/>
        </w:rPr>
        <w:t>司司长的年度报告</w:t>
      </w:r>
      <w:r w:rsidRPr="000B1010">
        <w:rPr>
          <w:rFonts w:ascii="KaiTi" w:eastAsia="KaiTi" w:hAnsi="KaiTi"/>
          <w:sz w:val="21"/>
        </w:rPr>
        <w:t>]</w:t>
      </w:r>
    </w:p>
    <w:p w:rsidR="00907F45" w:rsidRPr="0077241D" w:rsidRDefault="00907F45">
      <w:pPr>
        <w:rPr>
          <w:b/>
          <w:strike/>
        </w:rPr>
      </w:pPr>
      <w:r w:rsidRPr="0077241D">
        <w:rPr>
          <w:strike/>
        </w:rPr>
        <w:br w:type="page"/>
      </w:r>
      <w:bookmarkStart w:id="12" w:name="_Toc392160658"/>
      <w:bookmarkStart w:id="13" w:name="_Toc392160685"/>
      <w:bookmarkStart w:id="14" w:name="_Toc392160701"/>
      <w:bookmarkStart w:id="15" w:name="_Toc392160738"/>
      <w:bookmarkStart w:id="16" w:name="_Toc420931135"/>
      <w:bookmarkStart w:id="17" w:name="_Toc423530307"/>
      <w:bookmarkStart w:id="18" w:name="_Toc423533363"/>
      <w:bookmarkStart w:id="19" w:name="_Toc423533507"/>
      <w:bookmarkStart w:id="20" w:name="_Toc452648466"/>
    </w:p>
    <w:p w:rsidR="00860A7B" w:rsidRPr="007D52BF" w:rsidRDefault="00860A7B" w:rsidP="00860A7B">
      <w:pPr>
        <w:spacing w:afterLines="100" w:after="240" w:line="340" w:lineRule="atLeast"/>
        <w:jc w:val="center"/>
        <w:rPr>
          <w:rFonts w:ascii="SimHei" w:eastAsia="SimHei" w:hAnsi="SimHei"/>
          <w:sz w:val="21"/>
        </w:rPr>
      </w:pPr>
      <w:r w:rsidRPr="007D52BF">
        <w:rPr>
          <w:rFonts w:ascii="SimHei" w:eastAsia="SimHei" w:hAnsi="SimHei" w:hint="eastAsia"/>
          <w:sz w:val="21"/>
        </w:rPr>
        <w:t>内部</w:t>
      </w:r>
      <w:r w:rsidRPr="007D52BF">
        <w:rPr>
          <w:rStyle w:val="2Char"/>
          <w:rFonts w:ascii="SimHei" w:eastAsia="SimHei" w:hAnsi="SimHei" w:hint="eastAsia"/>
          <w:sz w:val="21"/>
        </w:rPr>
        <w:t>监督司司长年度报告</w:t>
      </w:r>
    </w:p>
    <w:p w:rsidR="00852933" w:rsidRPr="00B02976" w:rsidRDefault="00852933" w:rsidP="003A1765">
      <w:pPr>
        <w:keepLines/>
        <w:spacing w:afterLines="100" w:after="240" w:line="340" w:lineRule="atLeast"/>
        <w:jc w:val="center"/>
        <w:rPr>
          <w:rFonts w:ascii="SimSun" w:hAnsi="SimSun"/>
          <w:sz w:val="21"/>
        </w:rPr>
      </w:pPr>
      <w:r>
        <w:rPr>
          <w:rFonts w:ascii="SimSun" w:hAnsi="SimSun"/>
          <w:sz w:val="21"/>
        </w:rPr>
        <w:t>201</w:t>
      </w:r>
      <w:r>
        <w:rPr>
          <w:rFonts w:ascii="SimSun" w:hAnsi="SimSun" w:hint="eastAsia"/>
          <w:sz w:val="21"/>
        </w:rPr>
        <w:t>7</w:t>
      </w:r>
      <w:r w:rsidRPr="00B02976">
        <w:rPr>
          <w:rFonts w:ascii="SimSun" w:hAnsi="SimSun" w:hint="eastAsia"/>
          <w:sz w:val="21"/>
        </w:rPr>
        <w:t>年7月1日至</w:t>
      </w:r>
      <w:r>
        <w:rPr>
          <w:rFonts w:ascii="SimSun" w:hAnsi="SimSun"/>
          <w:sz w:val="21"/>
        </w:rPr>
        <w:t>201</w:t>
      </w:r>
      <w:r>
        <w:rPr>
          <w:rFonts w:ascii="SimSun" w:hAnsi="SimSun" w:hint="eastAsia"/>
          <w:sz w:val="21"/>
        </w:rPr>
        <w:t>8</w:t>
      </w:r>
      <w:r w:rsidRPr="00B02976">
        <w:rPr>
          <w:rFonts w:ascii="SimSun" w:hAnsi="SimSun" w:hint="eastAsia"/>
          <w:sz w:val="21"/>
        </w:rPr>
        <w:t>年6月30日</w:t>
      </w:r>
    </w:p>
    <w:p w:rsidR="00852933" w:rsidRPr="00B02976" w:rsidRDefault="00852933" w:rsidP="003A1765">
      <w:pPr>
        <w:spacing w:beforeLines="100" w:before="240" w:afterLines="100" w:after="240"/>
        <w:jc w:val="center"/>
        <w:rPr>
          <w:b/>
          <w:sz w:val="21"/>
        </w:rPr>
      </w:pPr>
      <w:r w:rsidRPr="00B02976">
        <w:rPr>
          <w:rFonts w:hint="eastAsia"/>
          <w:b/>
          <w:sz w:val="21"/>
        </w:rPr>
        <w:t>目</w:t>
      </w:r>
      <w:r>
        <w:rPr>
          <w:rFonts w:hint="eastAsia"/>
          <w:b/>
          <w:sz w:val="21"/>
        </w:rPr>
        <w:t xml:space="preserve">　</w:t>
      </w:r>
      <w:r w:rsidRPr="00B02976">
        <w:rPr>
          <w:rFonts w:hint="eastAsia"/>
          <w:b/>
          <w:sz w:val="21"/>
        </w:rPr>
        <w:t>录</w:t>
      </w:r>
    </w:p>
    <w:bookmarkEnd w:id="12"/>
    <w:bookmarkEnd w:id="13"/>
    <w:bookmarkEnd w:id="14"/>
    <w:bookmarkEnd w:id="15"/>
    <w:bookmarkEnd w:id="16"/>
    <w:bookmarkEnd w:id="17"/>
    <w:bookmarkEnd w:id="18"/>
    <w:bookmarkEnd w:id="19"/>
    <w:bookmarkEnd w:id="20"/>
    <w:p w:rsidR="00CF0A55" w:rsidRPr="00A176BF" w:rsidRDefault="004B6701" w:rsidP="003A1765">
      <w:pPr>
        <w:pStyle w:val="10"/>
        <w:rPr>
          <w:rFonts w:asciiTheme="minorHAnsi" w:eastAsiaTheme="minorEastAsia" w:hAnsiTheme="minorHAnsi" w:cstheme="minorBidi"/>
          <w:noProof/>
          <w:kern w:val="2"/>
        </w:rPr>
      </w:pPr>
      <w:r w:rsidRPr="0077241D">
        <w:rPr>
          <w:strike/>
        </w:rPr>
        <w:fldChar w:fldCharType="begin"/>
      </w:r>
      <w:r w:rsidRPr="0077241D">
        <w:rPr>
          <w:strike/>
        </w:rPr>
        <w:instrText xml:space="preserve"> TOC \o "1-1" \h \z \u </w:instrText>
      </w:r>
      <w:r w:rsidRPr="0077241D">
        <w:rPr>
          <w:strike/>
        </w:rPr>
        <w:fldChar w:fldCharType="separate"/>
      </w:r>
      <w:hyperlink w:anchor="_Toc519241779" w:history="1">
        <w:r w:rsidR="00CF0A55" w:rsidRPr="00A176BF">
          <w:rPr>
            <w:rStyle w:val="ad"/>
            <w:rFonts w:ascii="SimHei" w:eastAsia="SimHei" w:hAnsi="SimHei" w:hint="eastAsia"/>
            <w:noProof/>
            <w:sz w:val="21"/>
            <w:szCs w:val="21"/>
          </w:rPr>
          <w:t>缩</w:t>
        </w:r>
        <w:r w:rsidR="00CF0A55" w:rsidRPr="00A176BF">
          <w:rPr>
            <w:rStyle w:val="ad"/>
            <w:rFonts w:ascii="SimHei" w:eastAsia="SimHei" w:hAnsi="SimHei"/>
            <w:noProof/>
            <w:sz w:val="21"/>
            <w:szCs w:val="21"/>
          </w:rPr>
          <w:t xml:space="preserve"> </w:t>
        </w:r>
        <w:r w:rsidR="00CF0A55" w:rsidRPr="00A176BF">
          <w:rPr>
            <w:rStyle w:val="ad"/>
            <w:rFonts w:ascii="SimHei" w:eastAsia="SimHei" w:hAnsi="SimHei" w:hint="eastAsia"/>
            <w:noProof/>
            <w:sz w:val="21"/>
            <w:szCs w:val="21"/>
          </w:rPr>
          <w:t>略</w:t>
        </w:r>
        <w:r w:rsidR="00CF0A55" w:rsidRPr="00A176BF">
          <w:rPr>
            <w:rStyle w:val="ad"/>
            <w:rFonts w:ascii="SimHei" w:eastAsia="SimHei" w:hAnsi="SimHei"/>
            <w:noProof/>
            <w:sz w:val="21"/>
            <w:szCs w:val="21"/>
          </w:rPr>
          <w:t xml:space="preserve"> </w:t>
        </w:r>
        <w:r w:rsidR="00CF0A55" w:rsidRPr="00A176BF">
          <w:rPr>
            <w:rStyle w:val="ad"/>
            <w:rFonts w:ascii="SimHei" w:eastAsia="SimHei" w:hAnsi="SimHei" w:hint="eastAsia"/>
            <w:noProof/>
            <w:sz w:val="21"/>
            <w:szCs w:val="21"/>
          </w:rPr>
          <w:t>语</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_Toc519241779 \h </w:instrText>
        </w:r>
        <w:r w:rsidR="00CF0A55" w:rsidRPr="00A176BF">
          <w:rPr>
            <w:noProof/>
            <w:webHidden/>
          </w:rPr>
        </w:r>
        <w:r w:rsidR="00CF0A55" w:rsidRPr="00A176BF">
          <w:rPr>
            <w:noProof/>
            <w:webHidden/>
          </w:rPr>
          <w:fldChar w:fldCharType="separate"/>
        </w:r>
        <w:r w:rsidR="0001799B">
          <w:rPr>
            <w:noProof/>
            <w:webHidden/>
          </w:rPr>
          <w:t>3</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0" w:history="1">
        <w:r w:rsidR="00CF0A55" w:rsidRPr="00A176BF">
          <w:rPr>
            <w:rStyle w:val="ad"/>
            <w:rFonts w:ascii="SimHei" w:eastAsia="SimHei" w:hAnsi="SimHei" w:hint="eastAsia"/>
            <w:noProof/>
            <w:sz w:val="21"/>
            <w:szCs w:val="21"/>
          </w:rPr>
          <w:t>背　景</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_Toc519241780 \h </w:instrText>
        </w:r>
        <w:r w:rsidR="00CF0A55" w:rsidRPr="00A176BF">
          <w:rPr>
            <w:noProof/>
            <w:webHidden/>
          </w:rPr>
        </w:r>
        <w:r w:rsidR="00CF0A55" w:rsidRPr="00A176BF">
          <w:rPr>
            <w:noProof/>
            <w:webHidden/>
          </w:rPr>
          <w:fldChar w:fldCharType="separate"/>
        </w:r>
        <w:r w:rsidR="0001799B">
          <w:rPr>
            <w:noProof/>
            <w:webHidden/>
          </w:rPr>
          <w:t>4</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1" w:history="1">
        <w:r w:rsidR="00CF0A55" w:rsidRPr="00A176BF">
          <w:rPr>
            <w:rStyle w:val="ad"/>
            <w:rFonts w:ascii="SimHei" w:eastAsia="SimHei" w:hAnsi="SimHei" w:hint="eastAsia"/>
            <w:noProof/>
            <w:sz w:val="21"/>
            <w:szCs w:val="21"/>
          </w:rPr>
          <w:t>规划原则</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_Toc519241781 \h </w:instrText>
        </w:r>
        <w:r w:rsidR="00CF0A55" w:rsidRPr="00A176BF">
          <w:rPr>
            <w:noProof/>
            <w:webHidden/>
          </w:rPr>
        </w:r>
        <w:r w:rsidR="00CF0A55" w:rsidRPr="00A176BF">
          <w:rPr>
            <w:noProof/>
            <w:webHidden/>
          </w:rPr>
          <w:fldChar w:fldCharType="separate"/>
        </w:r>
        <w:r w:rsidR="0001799B">
          <w:rPr>
            <w:noProof/>
            <w:webHidden/>
          </w:rPr>
          <w:t>4</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2" w:history="1">
        <w:r w:rsidR="00CF0A55" w:rsidRPr="00A176BF">
          <w:rPr>
            <w:rStyle w:val="ad"/>
            <w:rFonts w:ascii="SimHei" w:eastAsia="SimHei" w:hAnsi="SimHei" w:hint="eastAsia"/>
            <w:noProof/>
            <w:sz w:val="21"/>
            <w:szCs w:val="21"/>
          </w:rPr>
          <w:t>专业标准</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_Toc519241782 \h </w:instrText>
        </w:r>
        <w:r w:rsidR="00CF0A55" w:rsidRPr="00A176BF">
          <w:rPr>
            <w:noProof/>
            <w:webHidden/>
          </w:rPr>
        </w:r>
        <w:r w:rsidR="00CF0A55" w:rsidRPr="00A176BF">
          <w:rPr>
            <w:noProof/>
            <w:webHidden/>
          </w:rPr>
          <w:fldChar w:fldCharType="separate"/>
        </w:r>
        <w:r w:rsidR="0001799B">
          <w:rPr>
            <w:noProof/>
            <w:webHidden/>
          </w:rPr>
          <w:t>4</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3" w:history="1">
        <w:r w:rsidR="00CF0A55" w:rsidRPr="00A176BF">
          <w:rPr>
            <w:rStyle w:val="ad"/>
            <w:rFonts w:ascii="SimHei" w:eastAsia="SimHei" w:hAnsi="SimHei" w:hint="eastAsia"/>
            <w:noProof/>
            <w:sz w:val="21"/>
            <w:szCs w:val="21"/>
          </w:rPr>
          <w:t>重要问题和高优先程度监督建议</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_Toc519241783 \h </w:instrText>
        </w:r>
        <w:r w:rsidR="00CF0A55" w:rsidRPr="00A176BF">
          <w:rPr>
            <w:noProof/>
            <w:webHidden/>
          </w:rPr>
        </w:r>
        <w:r w:rsidR="00CF0A55" w:rsidRPr="00A176BF">
          <w:rPr>
            <w:noProof/>
            <w:webHidden/>
          </w:rPr>
          <w:fldChar w:fldCharType="separate"/>
        </w:r>
        <w:r w:rsidR="0001799B">
          <w:rPr>
            <w:noProof/>
            <w:webHidden/>
          </w:rPr>
          <w:t>4</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4" w:history="1">
        <w:r w:rsidR="00CF0A55" w:rsidRPr="00A176BF">
          <w:rPr>
            <w:rStyle w:val="ad"/>
            <w:rFonts w:ascii="SimHei" w:eastAsia="SimHei" w:hAnsi="SimHei" w:hint="eastAsia"/>
            <w:noProof/>
            <w:sz w:val="21"/>
            <w:szCs w:val="21"/>
          </w:rPr>
          <w:t>调查活动</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_Toc519241784 \h </w:instrText>
        </w:r>
        <w:r w:rsidR="00CF0A55" w:rsidRPr="00A176BF">
          <w:rPr>
            <w:noProof/>
            <w:webHidden/>
          </w:rPr>
        </w:r>
        <w:r w:rsidR="00CF0A55" w:rsidRPr="00A176BF">
          <w:rPr>
            <w:noProof/>
            <w:webHidden/>
          </w:rPr>
          <w:fldChar w:fldCharType="separate"/>
        </w:r>
        <w:r w:rsidR="0001799B">
          <w:rPr>
            <w:noProof/>
            <w:webHidden/>
          </w:rPr>
          <w:t>9</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5" w:history="1">
        <w:r w:rsidR="00CF0A55" w:rsidRPr="00A176BF">
          <w:rPr>
            <w:rStyle w:val="ad"/>
            <w:rFonts w:ascii="SimHei" w:eastAsia="SimHei" w:hAnsi="SimHei" w:hint="eastAsia"/>
            <w:noProof/>
            <w:sz w:val="21"/>
            <w:szCs w:val="21"/>
          </w:rPr>
          <w:t>拒绝提供信息或配合的情况</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_Toc519241785 \h </w:instrText>
        </w:r>
        <w:r w:rsidR="00CF0A55" w:rsidRPr="00A176BF">
          <w:rPr>
            <w:noProof/>
            <w:webHidden/>
          </w:rPr>
        </w:r>
        <w:r w:rsidR="00CF0A55" w:rsidRPr="00A176BF">
          <w:rPr>
            <w:noProof/>
            <w:webHidden/>
          </w:rPr>
          <w:fldChar w:fldCharType="separate"/>
        </w:r>
        <w:r w:rsidR="0001799B">
          <w:rPr>
            <w:noProof/>
            <w:webHidden/>
          </w:rPr>
          <w:t>11</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6" w:history="1">
        <w:r w:rsidR="00CF0A55" w:rsidRPr="00A176BF">
          <w:rPr>
            <w:rStyle w:val="ad"/>
            <w:rFonts w:ascii="SimHei" w:eastAsia="SimHei" w:hAnsi="SimHei" w:hint="eastAsia"/>
            <w:noProof/>
            <w:sz w:val="21"/>
            <w:szCs w:val="21"/>
          </w:rPr>
          <w:t>监督建议的落实情况</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_Toc519241786 \h </w:instrText>
        </w:r>
        <w:r w:rsidR="00CF0A55" w:rsidRPr="00A176BF">
          <w:rPr>
            <w:noProof/>
            <w:webHidden/>
          </w:rPr>
        </w:r>
        <w:r w:rsidR="00CF0A55" w:rsidRPr="00A176BF">
          <w:rPr>
            <w:noProof/>
            <w:webHidden/>
          </w:rPr>
          <w:fldChar w:fldCharType="separate"/>
        </w:r>
        <w:r w:rsidR="0001799B">
          <w:rPr>
            <w:noProof/>
            <w:webHidden/>
          </w:rPr>
          <w:t>12</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7" w:history="1">
        <w:r w:rsidR="00CF0A55" w:rsidRPr="00A176BF">
          <w:rPr>
            <w:rStyle w:val="ad"/>
            <w:rFonts w:ascii="SimHei" w:eastAsia="SimHei" w:hAnsi="SimHei" w:hint="eastAsia"/>
            <w:noProof/>
            <w:sz w:val="21"/>
            <w:szCs w:val="21"/>
          </w:rPr>
          <w:t>咨询和建议方面的工作</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_Toc519241787 \h </w:instrText>
        </w:r>
        <w:r w:rsidR="00CF0A55" w:rsidRPr="00A176BF">
          <w:rPr>
            <w:noProof/>
            <w:webHidden/>
          </w:rPr>
        </w:r>
        <w:r w:rsidR="00CF0A55" w:rsidRPr="00A176BF">
          <w:rPr>
            <w:noProof/>
            <w:webHidden/>
          </w:rPr>
          <w:fldChar w:fldCharType="separate"/>
        </w:r>
        <w:r w:rsidR="0001799B">
          <w:rPr>
            <w:noProof/>
            <w:webHidden/>
          </w:rPr>
          <w:t>14</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8" w:history="1">
        <w:r w:rsidR="00CF0A55" w:rsidRPr="00A176BF">
          <w:rPr>
            <w:rStyle w:val="ad"/>
            <w:rFonts w:ascii="SimHei" w:eastAsia="SimHei" w:hAnsi="SimHei" w:hint="eastAsia"/>
            <w:noProof/>
            <w:sz w:val="21"/>
            <w:szCs w:val="21"/>
          </w:rPr>
          <w:t>与外部监督机构的合作</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_Toc519241788 \h </w:instrText>
        </w:r>
        <w:r w:rsidR="00CF0A55" w:rsidRPr="00A176BF">
          <w:rPr>
            <w:noProof/>
            <w:webHidden/>
          </w:rPr>
        </w:r>
        <w:r w:rsidR="00CF0A55" w:rsidRPr="00A176BF">
          <w:rPr>
            <w:noProof/>
            <w:webHidden/>
          </w:rPr>
          <w:fldChar w:fldCharType="separate"/>
        </w:r>
        <w:r w:rsidR="0001799B">
          <w:rPr>
            <w:noProof/>
            <w:webHidden/>
          </w:rPr>
          <w:t>15</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89" w:history="1">
        <w:r w:rsidR="00CF0A55" w:rsidRPr="00A176BF">
          <w:rPr>
            <w:rStyle w:val="ad"/>
            <w:rFonts w:ascii="SimHei" w:eastAsia="SimHei" w:hAnsi="SimHei" w:hint="eastAsia"/>
            <w:noProof/>
            <w:sz w:val="21"/>
            <w:szCs w:val="21"/>
          </w:rPr>
          <w:t>与监察员和道德操守办公室的合作</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_Toc519241789 \h </w:instrText>
        </w:r>
        <w:r w:rsidR="00CF0A55" w:rsidRPr="00A176BF">
          <w:rPr>
            <w:noProof/>
            <w:webHidden/>
          </w:rPr>
        </w:r>
        <w:r w:rsidR="00CF0A55" w:rsidRPr="00A176BF">
          <w:rPr>
            <w:noProof/>
            <w:webHidden/>
          </w:rPr>
          <w:fldChar w:fldCharType="separate"/>
        </w:r>
        <w:r w:rsidR="0001799B">
          <w:rPr>
            <w:noProof/>
            <w:webHidden/>
          </w:rPr>
          <w:t>15</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90" w:history="1">
        <w:r w:rsidR="00CF0A55" w:rsidRPr="00A176BF">
          <w:rPr>
            <w:rStyle w:val="ad"/>
            <w:rFonts w:ascii="SimHei" w:eastAsia="SimHei" w:hAnsi="SimHei" w:hint="eastAsia"/>
            <w:noProof/>
            <w:sz w:val="21"/>
            <w:szCs w:val="21"/>
          </w:rPr>
          <w:t>其他监督工作</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_Toc519241790 \h </w:instrText>
        </w:r>
        <w:r w:rsidR="00CF0A55" w:rsidRPr="00A176BF">
          <w:rPr>
            <w:noProof/>
            <w:webHidden/>
          </w:rPr>
        </w:r>
        <w:r w:rsidR="00CF0A55" w:rsidRPr="00A176BF">
          <w:rPr>
            <w:noProof/>
            <w:webHidden/>
          </w:rPr>
          <w:fldChar w:fldCharType="separate"/>
        </w:r>
        <w:r w:rsidR="0001799B">
          <w:rPr>
            <w:noProof/>
            <w:webHidden/>
          </w:rPr>
          <w:t>15</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91" w:history="1">
        <w:r w:rsidR="00CF0A55" w:rsidRPr="00A176BF">
          <w:rPr>
            <w:rStyle w:val="ad"/>
            <w:rFonts w:ascii="SimHei" w:eastAsia="SimHei" w:hAnsi="SimHei" w:hint="eastAsia"/>
            <w:noProof/>
            <w:sz w:val="21"/>
            <w:szCs w:val="21"/>
          </w:rPr>
          <w:t>监督司的业务独立性</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_Toc519241791 \h </w:instrText>
        </w:r>
        <w:r w:rsidR="00CF0A55" w:rsidRPr="00A176BF">
          <w:rPr>
            <w:noProof/>
            <w:webHidden/>
          </w:rPr>
        </w:r>
        <w:r w:rsidR="00CF0A55" w:rsidRPr="00A176BF">
          <w:rPr>
            <w:noProof/>
            <w:webHidden/>
          </w:rPr>
          <w:fldChar w:fldCharType="separate"/>
        </w:r>
        <w:r w:rsidR="0001799B">
          <w:rPr>
            <w:noProof/>
            <w:webHidden/>
          </w:rPr>
          <w:t>16</w:t>
        </w:r>
        <w:r w:rsidR="00CF0A55" w:rsidRPr="00A176BF">
          <w:rPr>
            <w:noProof/>
            <w:webHidden/>
          </w:rPr>
          <w:fldChar w:fldCharType="end"/>
        </w:r>
      </w:hyperlink>
    </w:p>
    <w:p w:rsidR="00CF0A55" w:rsidRPr="00A176BF" w:rsidRDefault="009B6790" w:rsidP="003A1765">
      <w:pPr>
        <w:pStyle w:val="10"/>
        <w:rPr>
          <w:rFonts w:asciiTheme="minorHAnsi" w:eastAsiaTheme="minorEastAsia" w:hAnsiTheme="minorHAnsi" w:cstheme="minorBidi"/>
          <w:noProof/>
          <w:kern w:val="2"/>
        </w:rPr>
      </w:pPr>
      <w:hyperlink w:anchor="_Toc519241792" w:history="1">
        <w:r w:rsidR="00CF0A55" w:rsidRPr="00A176BF">
          <w:rPr>
            <w:rStyle w:val="ad"/>
            <w:rFonts w:ascii="SimHei" w:eastAsia="SimHei" w:hAnsi="SimHei" w:hint="eastAsia"/>
            <w:noProof/>
            <w:sz w:val="21"/>
            <w:szCs w:val="21"/>
          </w:rPr>
          <w:t>监督资源</w:t>
        </w:r>
        <w:r w:rsidR="00CF0A55" w:rsidRPr="00A176BF">
          <w:rPr>
            <w:noProof/>
            <w:webHidden/>
          </w:rPr>
          <w:tab/>
        </w:r>
        <w:r w:rsidR="00CF0A55" w:rsidRPr="00A176BF">
          <w:rPr>
            <w:noProof/>
            <w:webHidden/>
          </w:rPr>
          <w:fldChar w:fldCharType="begin"/>
        </w:r>
        <w:r w:rsidR="00CF0A55" w:rsidRPr="00A176BF">
          <w:rPr>
            <w:noProof/>
            <w:webHidden/>
          </w:rPr>
          <w:instrText xml:space="preserve"> PAGEREF _Toc519241792 \h </w:instrText>
        </w:r>
        <w:r w:rsidR="00CF0A55" w:rsidRPr="00A176BF">
          <w:rPr>
            <w:noProof/>
            <w:webHidden/>
          </w:rPr>
        </w:r>
        <w:r w:rsidR="00CF0A55" w:rsidRPr="00A176BF">
          <w:rPr>
            <w:noProof/>
            <w:webHidden/>
          </w:rPr>
          <w:fldChar w:fldCharType="separate"/>
        </w:r>
        <w:r w:rsidR="0001799B">
          <w:rPr>
            <w:noProof/>
            <w:webHidden/>
          </w:rPr>
          <w:t>16</w:t>
        </w:r>
        <w:r w:rsidR="00CF0A55" w:rsidRPr="00A176BF">
          <w:rPr>
            <w:noProof/>
            <w:webHidden/>
          </w:rPr>
          <w:fldChar w:fldCharType="end"/>
        </w:r>
      </w:hyperlink>
    </w:p>
    <w:p w:rsidR="00852933" w:rsidRDefault="004B6701" w:rsidP="00852933">
      <w:pPr>
        <w:tabs>
          <w:tab w:val="left" w:leader="dot" w:pos="8910"/>
        </w:tabs>
        <w:spacing w:before="240" w:after="120" w:line="360" w:lineRule="auto"/>
        <w:rPr>
          <w:strike/>
        </w:rPr>
      </w:pPr>
      <w:r w:rsidRPr="0077241D">
        <w:rPr>
          <w:strike/>
        </w:rPr>
        <w:fldChar w:fldCharType="end"/>
      </w:r>
    </w:p>
    <w:p w:rsidR="00852933" w:rsidRDefault="00852933" w:rsidP="00852933">
      <w:pPr>
        <w:tabs>
          <w:tab w:val="left" w:leader="dot" w:pos="8910"/>
        </w:tabs>
        <w:spacing w:before="240" w:after="120" w:line="360" w:lineRule="auto"/>
        <w:rPr>
          <w:strike/>
        </w:rPr>
      </w:pPr>
    </w:p>
    <w:p w:rsidR="00852933" w:rsidRPr="004F2C36" w:rsidRDefault="00852933" w:rsidP="00852933">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Pr>
          <w:rFonts w:ascii="SimHei" w:eastAsia="SimHei" w:hAnsi="SimHei" w:hint="eastAsia"/>
          <w:noProof/>
          <w:sz w:val="21"/>
        </w:rPr>
        <w:t xml:space="preserve">　</w:t>
      </w:r>
      <w:r w:rsidRPr="004F2C36">
        <w:rPr>
          <w:rFonts w:ascii="SimHei" w:eastAsia="SimHei" w:hAnsi="SimHei" w:hint="eastAsia"/>
          <w:noProof/>
          <w:sz w:val="21"/>
        </w:rPr>
        <w:t>件</w:t>
      </w:r>
    </w:p>
    <w:p w:rsidR="004B6701" w:rsidRPr="004C433E" w:rsidRDefault="00C0785A" w:rsidP="004C433E">
      <w:pPr>
        <w:tabs>
          <w:tab w:val="left" w:pos="1560"/>
        </w:tabs>
        <w:rPr>
          <w:noProof/>
          <w:sz w:val="21"/>
        </w:rPr>
      </w:pPr>
      <w:r>
        <w:rPr>
          <w:rFonts w:ascii="SimSun" w:hAnsi="SimSun" w:hint="eastAsia"/>
          <w:noProof/>
          <w:sz w:val="21"/>
        </w:rPr>
        <w:t xml:space="preserve">附件一 </w:t>
      </w:r>
      <w:r w:rsidRPr="002F4BEB">
        <w:rPr>
          <w:rFonts w:ascii="SimSun" w:hAnsi="SimSun" w:hint="eastAsia"/>
          <w:noProof/>
          <w:sz w:val="21"/>
        </w:rPr>
        <w:t>–</w:t>
      </w:r>
      <w:r>
        <w:rPr>
          <w:rFonts w:ascii="SimSun" w:hAnsi="SimSun" w:hint="eastAsia"/>
          <w:noProof/>
          <w:sz w:val="21"/>
        </w:rPr>
        <w:t xml:space="preserve"> </w:t>
      </w:r>
      <w:r w:rsidR="00852933">
        <w:rPr>
          <w:rFonts w:ascii="SimSun" w:hAnsi="SimSun" w:hint="eastAsia"/>
          <w:noProof/>
          <w:sz w:val="21"/>
        </w:rPr>
        <w:t>监督司</w:t>
      </w:r>
      <w:r w:rsidR="00852933" w:rsidRPr="004C2AAE">
        <w:rPr>
          <w:rFonts w:ascii="SimSun" w:hAnsi="SimSun" w:hint="eastAsia"/>
          <w:noProof/>
          <w:sz w:val="21"/>
        </w:rPr>
        <w:t>报告一览表</w:t>
      </w:r>
    </w:p>
    <w:p w:rsidR="00907F45" w:rsidRPr="0077241D" w:rsidRDefault="00907F45">
      <w:pPr>
        <w:rPr>
          <w:b/>
          <w:bCs/>
          <w:caps/>
          <w:strike/>
          <w:kern w:val="32"/>
          <w:szCs w:val="32"/>
        </w:rPr>
      </w:pPr>
      <w:r w:rsidRPr="0077241D">
        <w:rPr>
          <w:strike/>
        </w:rPr>
        <w:br w:type="page"/>
      </w:r>
    </w:p>
    <w:p w:rsidR="00852933" w:rsidRPr="00146373" w:rsidRDefault="00852933" w:rsidP="00852933">
      <w:pPr>
        <w:pStyle w:val="1"/>
        <w:keepNext w:val="0"/>
        <w:spacing w:before="0" w:afterLines="100" w:after="240" w:line="340" w:lineRule="atLeast"/>
        <w:rPr>
          <w:rFonts w:ascii="SimHei" w:eastAsia="SimHei" w:hAnsi="SimHei"/>
          <w:b w:val="0"/>
          <w:sz w:val="21"/>
        </w:rPr>
      </w:pPr>
      <w:bookmarkStart w:id="21" w:name="_Toc456084293"/>
      <w:bookmarkStart w:id="22" w:name="_Toc519241779"/>
      <w:r w:rsidRPr="00146373">
        <w:rPr>
          <w:rFonts w:ascii="SimHei" w:eastAsia="SimHei" w:hAnsi="SimHei" w:hint="eastAsia"/>
          <w:b w:val="0"/>
          <w:sz w:val="21"/>
        </w:rPr>
        <w:t>缩</w:t>
      </w:r>
      <w:r w:rsidR="000B1486">
        <w:rPr>
          <w:rFonts w:ascii="SimHei" w:eastAsia="SimHei" w:hAnsi="SimHei" w:hint="eastAsia"/>
          <w:b w:val="0"/>
          <w:sz w:val="21"/>
        </w:rPr>
        <w:t xml:space="preserve"> </w:t>
      </w:r>
      <w:r w:rsidRPr="00146373">
        <w:rPr>
          <w:rFonts w:ascii="SimHei" w:eastAsia="SimHei" w:hAnsi="SimHei" w:hint="eastAsia"/>
          <w:b w:val="0"/>
          <w:sz w:val="21"/>
        </w:rPr>
        <w:t>略</w:t>
      </w:r>
      <w:r w:rsidR="000B1486">
        <w:rPr>
          <w:rFonts w:ascii="SimHei" w:eastAsia="SimHei" w:hAnsi="SimHei" w:hint="eastAsia"/>
          <w:b w:val="0"/>
          <w:sz w:val="21"/>
        </w:rPr>
        <w:t xml:space="preserve"> </w:t>
      </w:r>
      <w:r w:rsidRPr="00146373">
        <w:rPr>
          <w:rFonts w:ascii="SimHei" w:eastAsia="SimHei" w:hAnsi="SimHei" w:hint="eastAsia"/>
          <w:b w:val="0"/>
          <w:sz w:val="21"/>
        </w:rPr>
        <w:t>语</w:t>
      </w:r>
      <w:bookmarkEnd w:id="21"/>
      <w:bookmarkEnd w:id="22"/>
    </w:p>
    <w:tbl>
      <w:tblPr>
        <w:tblStyle w:val="ae"/>
        <w:tblW w:w="9605" w:type="dxa"/>
        <w:tblInd w:w="0" w:type="dxa"/>
        <w:tblLook w:val="01E0" w:firstRow="1" w:lastRow="1" w:firstColumn="1" w:lastColumn="1" w:noHBand="0" w:noVBand="0"/>
      </w:tblPr>
      <w:tblGrid>
        <w:gridCol w:w="1526"/>
        <w:gridCol w:w="8079"/>
      </w:tblGrid>
      <w:tr w:rsidR="009D1993" w:rsidRPr="00E13253" w:rsidTr="009D1993">
        <w:trPr>
          <w:trHeight w:val="340"/>
        </w:trPr>
        <w:tc>
          <w:tcPr>
            <w:tcW w:w="1526" w:type="dxa"/>
            <w:vAlign w:val="center"/>
          </w:tcPr>
          <w:p w:rsidR="009D1993" w:rsidRPr="00E13253" w:rsidRDefault="009D1993" w:rsidP="00D47BFB">
            <w:pPr>
              <w:ind w:hanging="737"/>
              <w:jc w:val="both"/>
              <w:rPr>
                <w:b/>
                <w:bCs/>
                <w:sz w:val="21"/>
                <w:szCs w:val="21"/>
              </w:rPr>
            </w:pPr>
            <w:r w:rsidRPr="00E13253">
              <w:rPr>
                <w:b/>
                <w:bCs/>
                <w:sz w:val="21"/>
                <w:szCs w:val="21"/>
              </w:rPr>
              <w:t>AIMS</w:t>
            </w:r>
          </w:p>
        </w:tc>
        <w:tc>
          <w:tcPr>
            <w:tcW w:w="8079" w:type="dxa"/>
            <w:vAlign w:val="center"/>
          </w:tcPr>
          <w:p w:rsidR="009D1993" w:rsidRPr="00E13253" w:rsidRDefault="00852933" w:rsidP="00D47BFB">
            <w:pPr>
              <w:tabs>
                <w:tab w:val="right" w:pos="6880"/>
              </w:tabs>
              <w:ind w:left="43"/>
              <w:rPr>
                <w:sz w:val="21"/>
                <w:szCs w:val="21"/>
              </w:rPr>
            </w:pPr>
            <w:r w:rsidRPr="00E13253">
              <w:rPr>
                <w:rFonts w:hint="eastAsia"/>
                <w:sz w:val="21"/>
                <w:szCs w:val="21"/>
              </w:rPr>
              <w:t>行政信息管理系统</w:t>
            </w:r>
          </w:p>
        </w:tc>
      </w:tr>
      <w:tr w:rsidR="00E64A92" w:rsidRPr="00E13253" w:rsidTr="009D1993">
        <w:trPr>
          <w:trHeight w:val="340"/>
        </w:trPr>
        <w:tc>
          <w:tcPr>
            <w:tcW w:w="1526" w:type="dxa"/>
            <w:vAlign w:val="center"/>
          </w:tcPr>
          <w:p w:rsidR="00E64A92" w:rsidRPr="00E13253" w:rsidRDefault="00E64A92" w:rsidP="00E613EE">
            <w:pPr>
              <w:ind w:hanging="737"/>
              <w:jc w:val="both"/>
              <w:rPr>
                <w:b/>
                <w:bCs/>
                <w:sz w:val="21"/>
                <w:szCs w:val="21"/>
              </w:rPr>
            </w:pPr>
            <w:r w:rsidRPr="00E13253">
              <w:rPr>
                <w:b/>
                <w:bCs/>
                <w:sz w:val="21"/>
                <w:szCs w:val="21"/>
              </w:rPr>
              <w:t>BI</w:t>
            </w:r>
          </w:p>
        </w:tc>
        <w:tc>
          <w:tcPr>
            <w:tcW w:w="8079" w:type="dxa"/>
            <w:vAlign w:val="center"/>
          </w:tcPr>
          <w:p w:rsidR="00E64A92" w:rsidRPr="00E13253" w:rsidRDefault="00A53BB7" w:rsidP="005D7F4E">
            <w:pPr>
              <w:tabs>
                <w:tab w:val="right" w:pos="6880"/>
              </w:tabs>
              <w:ind w:left="43"/>
              <w:rPr>
                <w:sz w:val="21"/>
                <w:szCs w:val="21"/>
              </w:rPr>
            </w:pPr>
            <w:r w:rsidRPr="00E13253">
              <w:rPr>
                <w:rFonts w:hint="eastAsia"/>
                <w:sz w:val="21"/>
                <w:szCs w:val="21"/>
              </w:rPr>
              <w:t>业务智能</w:t>
            </w:r>
          </w:p>
        </w:tc>
      </w:tr>
      <w:tr w:rsidR="00F119C5" w:rsidRPr="00E13253" w:rsidTr="009D1993">
        <w:trPr>
          <w:trHeight w:val="340"/>
        </w:trPr>
        <w:tc>
          <w:tcPr>
            <w:tcW w:w="1526" w:type="dxa"/>
            <w:vAlign w:val="center"/>
          </w:tcPr>
          <w:p w:rsidR="00F119C5" w:rsidRPr="00E13253" w:rsidRDefault="00F119C5" w:rsidP="00E613EE">
            <w:pPr>
              <w:ind w:hanging="737"/>
              <w:jc w:val="both"/>
              <w:rPr>
                <w:b/>
                <w:bCs/>
                <w:sz w:val="21"/>
                <w:szCs w:val="21"/>
              </w:rPr>
            </w:pPr>
            <w:r w:rsidRPr="00E13253">
              <w:rPr>
                <w:b/>
                <w:bCs/>
                <w:sz w:val="21"/>
                <w:szCs w:val="21"/>
              </w:rPr>
              <w:t>CDIP</w:t>
            </w:r>
          </w:p>
        </w:tc>
        <w:tc>
          <w:tcPr>
            <w:tcW w:w="8079" w:type="dxa"/>
            <w:vAlign w:val="center"/>
          </w:tcPr>
          <w:p w:rsidR="00F119C5" w:rsidRPr="00E13253" w:rsidRDefault="00852933" w:rsidP="005D7F4E">
            <w:pPr>
              <w:tabs>
                <w:tab w:val="right" w:pos="6880"/>
              </w:tabs>
              <w:ind w:left="43"/>
              <w:rPr>
                <w:sz w:val="21"/>
                <w:szCs w:val="21"/>
              </w:rPr>
            </w:pPr>
            <w:r w:rsidRPr="00E13253">
              <w:rPr>
                <w:rFonts w:hint="eastAsia"/>
                <w:sz w:val="21"/>
                <w:szCs w:val="21"/>
              </w:rPr>
              <w:t>发展与知识产权委员会</w:t>
            </w:r>
          </w:p>
        </w:tc>
      </w:tr>
      <w:tr w:rsidR="00963387" w:rsidRPr="00E13253" w:rsidTr="009D1993">
        <w:trPr>
          <w:trHeight w:val="340"/>
        </w:trPr>
        <w:tc>
          <w:tcPr>
            <w:tcW w:w="1526" w:type="dxa"/>
            <w:vAlign w:val="center"/>
          </w:tcPr>
          <w:p w:rsidR="00963387" w:rsidRPr="00E13253" w:rsidRDefault="00963387" w:rsidP="00E613EE">
            <w:pPr>
              <w:ind w:hanging="737"/>
              <w:jc w:val="both"/>
              <w:rPr>
                <w:b/>
                <w:bCs/>
                <w:sz w:val="21"/>
                <w:szCs w:val="21"/>
              </w:rPr>
            </w:pPr>
            <w:r w:rsidRPr="00E13253">
              <w:rPr>
                <w:b/>
                <w:bCs/>
                <w:sz w:val="21"/>
                <w:szCs w:val="21"/>
              </w:rPr>
              <w:t>CII</w:t>
            </w:r>
          </w:p>
        </w:tc>
        <w:tc>
          <w:tcPr>
            <w:tcW w:w="8079" w:type="dxa"/>
            <w:vAlign w:val="center"/>
          </w:tcPr>
          <w:p w:rsidR="00963387" w:rsidRPr="00E13253" w:rsidRDefault="00852933" w:rsidP="005D7F4E">
            <w:pPr>
              <w:tabs>
                <w:tab w:val="right" w:pos="6880"/>
              </w:tabs>
              <w:ind w:left="43"/>
              <w:rPr>
                <w:sz w:val="21"/>
                <w:szCs w:val="21"/>
              </w:rPr>
            </w:pPr>
            <w:r w:rsidRPr="00E13253">
              <w:rPr>
                <w:rFonts w:hint="eastAsia"/>
                <w:sz w:val="21"/>
                <w:szCs w:val="21"/>
              </w:rPr>
              <w:t>国际调查员会议</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HRMD</w:t>
            </w:r>
          </w:p>
        </w:tc>
        <w:tc>
          <w:tcPr>
            <w:tcW w:w="8079" w:type="dxa"/>
            <w:vAlign w:val="center"/>
          </w:tcPr>
          <w:p w:rsidR="00CE2815" w:rsidRPr="00E13253" w:rsidRDefault="002C5A06" w:rsidP="005D7F4E">
            <w:pPr>
              <w:ind w:left="43"/>
              <w:rPr>
                <w:sz w:val="21"/>
                <w:szCs w:val="21"/>
              </w:rPr>
            </w:pPr>
            <w:r w:rsidRPr="00E13253">
              <w:rPr>
                <w:rFonts w:hint="eastAsia"/>
                <w:sz w:val="21"/>
                <w:szCs w:val="21"/>
              </w:rPr>
              <w:t>人力资源管理部</w:t>
            </w:r>
          </w:p>
        </w:tc>
      </w:tr>
      <w:tr w:rsidR="00CF0A55" w:rsidRPr="00E13253" w:rsidTr="009D1993">
        <w:trPr>
          <w:trHeight w:val="340"/>
        </w:trPr>
        <w:tc>
          <w:tcPr>
            <w:tcW w:w="1526" w:type="dxa"/>
            <w:vAlign w:val="center"/>
          </w:tcPr>
          <w:p w:rsidR="00CF0A55" w:rsidRPr="00E13253" w:rsidRDefault="00CF0A55" w:rsidP="00E613EE">
            <w:pPr>
              <w:ind w:hanging="737"/>
              <w:jc w:val="both"/>
              <w:rPr>
                <w:b/>
                <w:bCs/>
                <w:sz w:val="21"/>
                <w:szCs w:val="21"/>
              </w:rPr>
            </w:pPr>
            <w:r w:rsidRPr="00E13253">
              <w:rPr>
                <w:rFonts w:hint="eastAsia"/>
                <w:b/>
                <w:bCs/>
                <w:sz w:val="21"/>
                <w:szCs w:val="21"/>
              </w:rPr>
              <w:t>FIT</w:t>
            </w:r>
          </w:p>
        </w:tc>
        <w:tc>
          <w:tcPr>
            <w:tcW w:w="8079" w:type="dxa"/>
            <w:vAlign w:val="center"/>
          </w:tcPr>
          <w:p w:rsidR="00CF0A55" w:rsidRPr="00E13253" w:rsidRDefault="00CF0A55" w:rsidP="005D7F4E">
            <w:pPr>
              <w:ind w:left="43"/>
              <w:rPr>
                <w:sz w:val="21"/>
                <w:szCs w:val="21"/>
              </w:rPr>
            </w:pPr>
            <w:r w:rsidRPr="00E13253">
              <w:rPr>
                <w:rFonts w:hint="eastAsia"/>
                <w:sz w:val="21"/>
                <w:szCs w:val="21"/>
              </w:rPr>
              <w:t>信托基金</w:t>
            </w:r>
          </w:p>
        </w:tc>
      </w:tr>
      <w:tr w:rsidR="00A56864" w:rsidRPr="00E13253" w:rsidTr="009D1993">
        <w:trPr>
          <w:trHeight w:val="340"/>
        </w:trPr>
        <w:tc>
          <w:tcPr>
            <w:tcW w:w="1526" w:type="dxa"/>
            <w:vAlign w:val="center"/>
          </w:tcPr>
          <w:p w:rsidR="00A56864" w:rsidRPr="00E13253" w:rsidRDefault="00A56864" w:rsidP="00E613EE">
            <w:pPr>
              <w:ind w:hanging="737"/>
              <w:jc w:val="both"/>
              <w:rPr>
                <w:b/>
                <w:bCs/>
                <w:sz w:val="21"/>
                <w:szCs w:val="21"/>
              </w:rPr>
            </w:pPr>
            <w:r w:rsidRPr="00E13253">
              <w:rPr>
                <w:b/>
                <w:bCs/>
                <w:sz w:val="21"/>
                <w:szCs w:val="21"/>
              </w:rPr>
              <w:t>IA</w:t>
            </w:r>
          </w:p>
        </w:tc>
        <w:tc>
          <w:tcPr>
            <w:tcW w:w="8079" w:type="dxa"/>
            <w:vAlign w:val="center"/>
          </w:tcPr>
          <w:p w:rsidR="00A56864" w:rsidRPr="00E13253" w:rsidRDefault="002C5A06" w:rsidP="005D7F4E">
            <w:pPr>
              <w:ind w:left="43"/>
              <w:rPr>
                <w:sz w:val="21"/>
                <w:szCs w:val="21"/>
              </w:rPr>
            </w:pPr>
            <w:r w:rsidRPr="00E13253">
              <w:rPr>
                <w:rFonts w:hint="eastAsia"/>
                <w:sz w:val="21"/>
                <w:szCs w:val="21"/>
              </w:rPr>
              <w:t>内部审计</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IAOC</w:t>
            </w:r>
          </w:p>
        </w:tc>
        <w:tc>
          <w:tcPr>
            <w:tcW w:w="8079" w:type="dxa"/>
            <w:vAlign w:val="center"/>
          </w:tcPr>
          <w:p w:rsidR="00CE2815" w:rsidRPr="00E13253" w:rsidRDefault="002C5A06" w:rsidP="005D7F4E">
            <w:pPr>
              <w:ind w:left="43"/>
              <w:rPr>
                <w:sz w:val="21"/>
                <w:szCs w:val="21"/>
              </w:rPr>
            </w:pPr>
            <w:r w:rsidRPr="00E13253">
              <w:rPr>
                <w:rFonts w:hint="eastAsia"/>
                <w:sz w:val="21"/>
                <w:szCs w:val="21"/>
              </w:rPr>
              <w:t>独立咨询监督委员会</w:t>
            </w:r>
          </w:p>
        </w:tc>
      </w:tr>
      <w:tr w:rsidR="00F119C5" w:rsidRPr="00E13253" w:rsidTr="009D1993">
        <w:tblPrEx>
          <w:tblLook w:val="04A0" w:firstRow="1" w:lastRow="0" w:firstColumn="1" w:lastColumn="0" w:noHBand="0" w:noVBand="1"/>
        </w:tblPrEx>
        <w:trPr>
          <w:trHeight w:val="340"/>
        </w:trPr>
        <w:tc>
          <w:tcPr>
            <w:tcW w:w="1526" w:type="dxa"/>
          </w:tcPr>
          <w:p w:rsidR="00F119C5" w:rsidRPr="00E13253" w:rsidRDefault="00F119C5" w:rsidP="00E613EE">
            <w:pPr>
              <w:ind w:hanging="737"/>
              <w:jc w:val="both"/>
              <w:rPr>
                <w:b/>
                <w:bCs/>
                <w:sz w:val="21"/>
                <w:szCs w:val="21"/>
              </w:rPr>
            </w:pPr>
            <w:r w:rsidRPr="00E13253">
              <w:rPr>
                <w:b/>
                <w:bCs/>
                <w:sz w:val="21"/>
                <w:szCs w:val="21"/>
              </w:rPr>
              <w:t>IIA</w:t>
            </w:r>
          </w:p>
        </w:tc>
        <w:tc>
          <w:tcPr>
            <w:tcW w:w="8079" w:type="dxa"/>
          </w:tcPr>
          <w:p w:rsidR="00F119C5" w:rsidRPr="00E13253" w:rsidRDefault="002C5A06" w:rsidP="0048012B">
            <w:pPr>
              <w:ind w:left="43"/>
              <w:rPr>
                <w:sz w:val="21"/>
                <w:szCs w:val="21"/>
              </w:rPr>
            </w:pPr>
            <w:r w:rsidRPr="00E13253">
              <w:rPr>
                <w:rFonts w:hint="eastAsia"/>
                <w:sz w:val="21"/>
                <w:szCs w:val="21"/>
              </w:rPr>
              <w:t>内部审计师协会</w:t>
            </w:r>
          </w:p>
        </w:tc>
      </w:tr>
      <w:tr w:rsidR="00F119C5" w:rsidRPr="00E13253" w:rsidTr="009D1993">
        <w:tblPrEx>
          <w:tblLook w:val="04A0" w:firstRow="1" w:lastRow="0" w:firstColumn="1" w:lastColumn="0" w:noHBand="0" w:noVBand="1"/>
        </w:tblPrEx>
        <w:trPr>
          <w:trHeight w:val="340"/>
        </w:trPr>
        <w:tc>
          <w:tcPr>
            <w:tcW w:w="1526" w:type="dxa"/>
          </w:tcPr>
          <w:p w:rsidR="00F119C5" w:rsidRPr="00E13253" w:rsidRDefault="00F119C5" w:rsidP="00E613EE">
            <w:pPr>
              <w:ind w:hanging="737"/>
              <w:jc w:val="both"/>
              <w:rPr>
                <w:b/>
                <w:bCs/>
                <w:sz w:val="21"/>
                <w:szCs w:val="21"/>
              </w:rPr>
            </w:pPr>
            <w:r w:rsidRPr="00E13253">
              <w:rPr>
                <w:b/>
                <w:bCs/>
                <w:sz w:val="21"/>
                <w:szCs w:val="21"/>
              </w:rPr>
              <w:t>IOC</w:t>
            </w:r>
          </w:p>
        </w:tc>
        <w:tc>
          <w:tcPr>
            <w:tcW w:w="8079" w:type="dxa"/>
          </w:tcPr>
          <w:p w:rsidR="00F119C5" w:rsidRPr="00E13253" w:rsidRDefault="002C5A06" w:rsidP="0048012B">
            <w:pPr>
              <w:ind w:left="43"/>
              <w:rPr>
                <w:sz w:val="21"/>
                <w:szCs w:val="21"/>
              </w:rPr>
            </w:pPr>
            <w:r w:rsidRPr="00E13253">
              <w:rPr>
                <w:rFonts w:hint="eastAsia"/>
                <w:sz w:val="21"/>
                <w:szCs w:val="21"/>
              </w:rPr>
              <w:t>《内部监督章程》</w:t>
            </w:r>
          </w:p>
        </w:tc>
      </w:tr>
      <w:tr w:rsidR="00CE2815" w:rsidRPr="00E13253" w:rsidTr="009D1993">
        <w:trPr>
          <w:trHeight w:val="340"/>
        </w:trPr>
        <w:tc>
          <w:tcPr>
            <w:tcW w:w="1526" w:type="dxa"/>
            <w:vAlign w:val="center"/>
          </w:tcPr>
          <w:p w:rsidR="00CE2815" w:rsidRPr="00E13253" w:rsidRDefault="004D6A1C" w:rsidP="00E613EE">
            <w:pPr>
              <w:ind w:hanging="737"/>
              <w:jc w:val="both"/>
              <w:rPr>
                <w:b/>
                <w:bCs/>
                <w:sz w:val="21"/>
                <w:szCs w:val="21"/>
              </w:rPr>
            </w:pPr>
            <w:r w:rsidRPr="00E13253">
              <w:rPr>
                <w:b/>
                <w:bCs/>
                <w:sz w:val="21"/>
                <w:szCs w:val="21"/>
              </w:rPr>
              <w:t>I</w:t>
            </w:r>
            <w:r w:rsidR="00CE2815" w:rsidRPr="00E13253">
              <w:rPr>
                <w:b/>
                <w:bCs/>
                <w:sz w:val="21"/>
                <w:szCs w:val="21"/>
              </w:rPr>
              <w:t>OD</w:t>
            </w:r>
          </w:p>
        </w:tc>
        <w:tc>
          <w:tcPr>
            <w:tcW w:w="8079" w:type="dxa"/>
            <w:vAlign w:val="center"/>
          </w:tcPr>
          <w:p w:rsidR="00CE2815" w:rsidRPr="00E13253" w:rsidRDefault="002C5A06" w:rsidP="004D6A1C">
            <w:pPr>
              <w:ind w:left="43"/>
              <w:rPr>
                <w:sz w:val="21"/>
                <w:szCs w:val="21"/>
              </w:rPr>
            </w:pPr>
            <w:r w:rsidRPr="00E13253">
              <w:rPr>
                <w:rFonts w:hint="eastAsia"/>
                <w:sz w:val="21"/>
                <w:szCs w:val="21"/>
              </w:rPr>
              <w:t>内部监督司</w:t>
            </w:r>
          </w:p>
        </w:tc>
      </w:tr>
      <w:tr w:rsidR="00871CAE" w:rsidRPr="00E13253" w:rsidTr="009D1993">
        <w:trPr>
          <w:trHeight w:val="340"/>
        </w:trPr>
        <w:tc>
          <w:tcPr>
            <w:tcW w:w="1526" w:type="dxa"/>
            <w:vAlign w:val="center"/>
          </w:tcPr>
          <w:p w:rsidR="00871CAE" w:rsidRPr="00E13253" w:rsidRDefault="00871CAE" w:rsidP="00E613EE">
            <w:pPr>
              <w:ind w:hanging="737"/>
              <w:jc w:val="both"/>
              <w:rPr>
                <w:b/>
                <w:bCs/>
                <w:sz w:val="21"/>
                <w:szCs w:val="21"/>
              </w:rPr>
            </w:pPr>
            <w:r w:rsidRPr="00E13253">
              <w:rPr>
                <w:b/>
                <w:bCs/>
                <w:sz w:val="21"/>
                <w:szCs w:val="21"/>
              </w:rPr>
              <w:t>IP</w:t>
            </w:r>
          </w:p>
        </w:tc>
        <w:tc>
          <w:tcPr>
            <w:tcW w:w="8079" w:type="dxa"/>
            <w:vAlign w:val="center"/>
          </w:tcPr>
          <w:p w:rsidR="00871CAE" w:rsidRPr="00E13253" w:rsidRDefault="002C5A06" w:rsidP="005D7F4E">
            <w:pPr>
              <w:ind w:left="43"/>
              <w:rPr>
                <w:sz w:val="21"/>
                <w:szCs w:val="21"/>
              </w:rPr>
            </w:pPr>
            <w:r w:rsidRPr="00E13253">
              <w:rPr>
                <w:rFonts w:hint="eastAsia"/>
                <w:sz w:val="21"/>
                <w:szCs w:val="21"/>
              </w:rPr>
              <w:t>知识产权</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IT</w:t>
            </w:r>
          </w:p>
        </w:tc>
        <w:tc>
          <w:tcPr>
            <w:tcW w:w="8079" w:type="dxa"/>
            <w:vAlign w:val="center"/>
          </w:tcPr>
          <w:p w:rsidR="00CE2815" w:rsidRPr="00E13253" w:rsidRDefault="002C5A06" w:rsidP="005D7F4E">
            <w:pPr>
              <w:ind w:left="43"/>
              <w:rPr>
                <w:sz w:val="21"/>
                <w:szCs w:val="21"/>
              </w:rPr>
            </w:pPr>
            <w:r w:rsidRPr="00E13253">
              <w:rPr>
                <w:rFonts w:hint="eastAsia"/>
                <w:sz w:val="21"/>
                <w:szCs w:val="21"/>
              </w:rPr>
              <w:t>信息技术</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JIU</w:t>
            </w:r>
          </w:p>
        </w:tc>
        <w:tc>
          <w:tcPr>
            <w:tcW w:w="8079" w:type="dxa"/>
            <w:vAlign w:val="center"/>
          </w:tcPr>
          <w:p w:rsidR="00CE2815" w:rsidRPr="00E13253" w:rsidRDefault="002C5A06" w:rsidP="005D7F4E">
            <w:pPr>
              <w:ind w:left="43"/>
              <w:rPr>
                <w:sz w:val="21"/>
                <w:szCs w:val="21"/>
              </w:rPr>
            </w:pPr>
            <w:r w:rsidRPr="00E13253">
              <w:rPr>
                <w:rFonts w:hint="eastAsia"/>
                <w:sz w:val="21"/>
                <w:szCs w:val="21"/>
              </w:rPr>
              <w:t>联合检查组</w:t>
            </w:r>
          </w:p>
        </w:tc>
      </w:tr>
      <w:tr w:rsidR="00E07818" w:rsidRPr="00E13253" w:rsidTr="009D1993">
        <w:trPr>
          <w:trHeight w:val="340"/>
        </w:trPr>
        <w:tc>
          <w:tcPr>
            <w:tcW w:w="1526" w:type="dxa"/>
            <w:vAlign w:val="center"/>
          </w:tcPr>
          <w:p w:rsidR="00E07818" w:rsidRPr="00E13253" w:rsidRDefault="00E07818" w:rsidP="00E613EE">
            <w:pPr>
              <w:ind w:hanging="737"/>
              <w:jc w:val="both"/>
              <w:rPr>
                <w:b/>
                <w:bCs/>
                <w:sz w:val="21"/>
                <w:szCs w:val="21"/>
              </w:rPr>
            </w:pPr>
            <w:r w:rsidRPr="00E13253">
              <w:rPr>
                <w:b/>
                <w:bCs/>
                <w:sz w:val="21"/>
                <w:szCs w:val="21"/>
              </w:rPr>
              <w:t>MIR</w:t>
            </w:r>
          </w:p>
        </w:tc>
        <w:tc>
          <w:tcPr>
            <w:tcW w:w="8079" w:type="dxa"/>
            <w:vAlign w:val="center"/>
          </w:tcPr>
          <w:p w:rsidR="00E07818" w:rsidRPr="00E13253" w:rsidRDefault="002C5A06" w:rsidP="00E07818">
            <w:pPr>
              <w:ind w:left="43"/>
              <w:rPr>
                <w:sz w:val="21"/>
                <w:szCs w:val="21"/>
              </w:rPr>
            </w:pPr>
            <w:r w:rsidRPr="00E13253">
              <w:rPr>
                <w:rFonts w:hint="eastAsia"/>
                <w:sz w:val="21"/>
                <w:szCs w:val="21"/>
              </w:rPr>
              <w:t>所涉管理问题报告</w:t>
            </w:r>
          </w:p>
        </w:tc>
      </w:tr>
      <w:tr w:rsidR="002333D6" w:rsidRPr="00E13253" w:rsidTr="009D1993">
        <w:trPr>
          <w:trHeight w:val="340"/>
        </w:trPr>
        <w:tc>
          <w:tcPr>
            <w:tcW w:w="1526" w:type="dxa"/>
            <w:vAlign w:val="center"/>
          </w:tcPr>
          <w:p w:rsidR="002333D6" w:rsidRPr="00E13253" w:rsidRDefault="002333D6" w:rsidP="00E613EE">
            <w:pPr>
              <w:ind w:hanging="737"/>
              <w:jc w:val="both"/>
              <w:rPr>
                <w:b/>
                <w:bCs/>
                <w:sz w:val="21"/>
                <w:szCs w:val="21"/>
              </w:rPr>
            </w:pPr>
            <w:r w:rsidRPr="00E13253">
              <w:rPr>
                <w:b/>
                <w:bCs/>
                <w:sz w:val="21"/>
                <w:szCs w:val="21"/>
              </w:rPr>
              <w:t>ODG</w:t>
            </w:r>
          </w:p>
        </w:tc>
        <w:tc>
          <w:tcPr>
            <w:tcW w:w="8079" w:type="dxa"/>
            <w:vAlign w:val="center"/>
          </w:tcPr>
          <w:p w:rsidR="002333D6" w:rsidRPr="00E13253" w:rsidRDefault="002C5A06" w:rsidP="005D7F4E">
            <w:pPr>
              <w:ind w:left="43"/>
              <w:rPr>
                <w:sz w:val="21"/>
                <w:szCs w:val="21"/>
              </w:rPr>
            </w:pPr>
            <w:r w:rsidRPr="00E13253">
              <w:rPr>
                <w:rFonts w:hint="eastAsia"/>
                <w:sz w:val="21"/>
                <w:szCs w:val="21"/>
              </w:rPr>
              <w:t>总干事办公室</w:t>
            </w:r>
          </w:p>
        </w:tc>
      </w:tr>
      <w:tr w:rsidR="00871CAE" w:rsidRPr="00E13253" w:rsidTr="009D1993">
        <w:trPr>
          <w:trHeight w:val="340"/>
        </w:trPr>
        <w:tc>
          <w:tcPr>
            <w:tcW w:w="1526" w:type="dxa"/>
            <w:vAlign w:val="center"/>
          </w:tcPr>
          <w:p w:rsidR="00871CAE" w:rsidRPr="00E13253" w:rsidRDefault="00871CAE" w:rsidP="00E613EE">
            <w:pPr>
              <w:ind w:hanging="737"/>
              <w:jc w:val="both"/>
              <w:rPr>
                <w:b/>
                <w:bCs/>
                <w:sz w:val="21"/>
                <w:szCs w:val="21"/>
              </w:rPr>
            </w:pPr>
            <w:r w:rsidRPr="00E13253">
              <w:rPr>
                <w:b/>
                <w:bCs/>
                <w:sz w:val="21"/>
                <w:szCs w:val="21"/>
              </w:rPr>
              <w:t>PBC</w:t>
            </w:r>
          </w:p>
        </w:tc>
        <w:tc>
          <w:tcPr>
            <w:tcW w:w="8079" w:type="dxa"/>
            <w:vAlign w:val="center"/>
          </w:tcPr>
          <w:p w:rsidR="00871CAE" w:rsidRPr="00E13253" w:rsidRDefault="002C5A06" w:rsidP="005D7F4E">
            <w:pPr>
              <w:ind w:left="43"/>
              <w:rPr>
                <w:sz w:val="21"/>
                <w:szCs w:val="21"/>
              </w:rPr>
            </w:pPr>
            <w:r w:rsidRPr="00E13253">
              <w:rPr>
                <w:rFonts w:hint="eastAsia"/>
                <w:sz w:val="21"/>
                <w:szCs w:val="21"/>
              </w:rPr>
              <w:t>计划和预算委员会</w:t>
            </w:r>
          </w:p>
        </w:tc>
      </w:tr>
      <w:tr w:rsidR="00BF33B9" w:rsidRPr="00E13253" w:rsidTr="009D1993">
        <w:trPr>
          <w:trHeight w:val="340"/>
        </w:trPr>
        <w:tc>
          <w:tcPr>
            <w:tcW w:w="1526" w:type="dxa"/>
            <w:vAlign w:val="center"/>
          </w:tcPr>
          <w:p w:rsidR="00BF33B9" w:rsidRPr="00E13253" w:rsidRDefault="00BF33B9" w:rsidP="00E613EE">
            <w:pPr>
              <w:ind w:hanging="737"/>
              <w:jc w:val="both"/>
              <w:rPr>
                <w:b/>
                <w:sz w:val="21"/>
                <w:szCs w:val="21"/>
              </w:rPr>
            </w:pPr>
            <w:r w:rsidRPr="00E13253">
              <w:rPr>
                <w:b/>
                <w:sz w:val="21"/>
                <w:szCs w:val="21"/>
              </w:rPr>
              <w:t>PCT</w:t>
            </w:r>
          </w:p>
        </w:tc>
        <w:tc>
          <w:tcPr>
            <w:tcW w:w="8079" w:type="dxa"/>
            <w:vAlign w:val="center"/>
          </w:tcPr>
          <w:p w:rsidR="00BF33B9" w:rsidRPr="00E13253" w:rsidRDefault="002C5A06" w:rsidP="005D7F4E">
            <w:pPr>
              <w:ind w:left="43"/>
              <w:rPr>
                <w:sz w:val="21"/>
                <w:szCs w:val="21"/>
              </w:rPr>
            </w:pPr>
            <w:r w:rsidRPr="00E13253">
              <w:rPr>
                <w:rFonts w:hint="eastAsia"/>
                <w:sz w:val="21"/>
                <w:szCs w:val="21"/>
              </w:rPr>
              <w:t>专利合作条约</w:t>
            </w:r>
          </w:p>
        </w:tc>
      </w:tr>
      <w:tr w:rsidR="00EB7C91" w:rsidRPr="00E13253" w:rsidTr="009D1993">
        <w:trPr>
          <w:trHeight w:val="340"/>
        </w:trPr>
        <w:tc>
          <w:tcPr>
            <w:tcW w:w="1526" w:type="dxa"/>
            <w:vAlign w:val="center"/>
          </w:tcPr>
          <w:p w:rsidR="00EB7C91" w:rsidRPr="00E13253" w:rsidRDefault="00EB7C91" w:rsidP="00E613EE">
            <w:pPr>
              <w:ind w:hanging="737"/>
              <w:jc w:val="both"/>
              <w:rPr>
                <w:b/>
                <w:bCs/>
                <w:sz w:val="21"/>
                <w:szCs w:val="21"/>
              </w:rPr>
            </w:pPr>
            <w:r w:rsidRPr="00E13253">
              <w:rPr>
                <w:b/>
                <w:bCs/>
                <w:sz w:val="21"/>
                <w:szCs w:val="21"/>
              </w:rPr>
              <w:t>RBM</w:t>
            </w:r>
          </w:p>
        </w:tc>
        <w:tc>
          <w:tcPr>
            <w:tcW w:w="8079" w:type="dxa"/>
            <w:vAlign w:val="center"/>
          </w:tcPr>
          <w:p w:rsidR="00EB7C91" w:rsidRPr="00E13253" w:rsidRDefault="002C5A06" w:rsidP="005D7F4E">
            <w:pPr>
              <w:ind w:left="43"/>
              <w:rPr>
                <w:sz w:val="21"/>
                <w:szCs w:val="21"/>
              </w:rPr>
            </w:pPr>
            <w:r w:rsidRPr="00E13253">
              <w:rPr>
                <w:rFonts w:hint="eastAsia"/>
                <w:sz w:val="21"/>
                <w:szCs w:val="21"/>
              </w:rPr>
              <w:t>注重成果的管理</w:t>
            </w:r>
          </w:p>
        </w:tc>
      </w:tr>
      <w:tr w:rsidR="006344B1" w:rsidRPr="00E13253" w:rsidTr="009D1993">
        <w:trPr>
          <w:trHeight w:val="340"/>
        </w:trPr>
        <w:tc>
          <w:tcPr>
            <w:tcW w:w="1526" w:type="dxa"/>
            <w:vAlign w:val="center"/>
          </w:tcPr>
          <w:p w:rsidR="006344B1" w:rsidRPr="00E13253" w:rsidRDefault="006344B1" w:rsidP="00E613EE">
            <w:pPr>
              <w:ind w:hanging="737"/>
              <w:jc w:val="both"/>
              <w:rPr>
                <w:b/>
                <w:bCs/>
                <w:sz w:val="21"/>
                <w:szCs w:val="21"/>
              </w:rPr>
            </w:pPr>
            <w:r w:rsidRPr="00E13253">
              <w:rPr>
                <w:b/>
                <w:bCs/>
                <w:sz w:val="21"/>
                <w:szCs w:val="21"/>
              </w:rPr>
              <w:t>RBLAC</w:t>
            </w:r>
          </w:p>
        </w:tc>
        <w:tc>
          <w:tcPr>
            <w:tcW w:w="8079" w:type="dxa"/>
            <w:vAlign w:val="center"/>
          </w:tcPr>
          <w:p w:rsidR="006344B1" w:rsidRPr="00E13253" w:rsidRDefault="002C5A06" w:rsidP="005D7F4E">
            <w:pPr>
              <w:ind w:left="43"/>
              <w:rPr>
                <w:sz w:val="21"/>
                <w:szCs w:val="21"/>
              </w:rPr>
            </w:pPr>
            <w:r w:rsidRPr="00E13253">
              <w:rPr>
                <w:rFonts w:hint="eastAsia"/>
                <w:sz w:val="21"/>
                <w:szCs w:val="21"/>
              </w:rPr>
              <w:t>拉丁美洲和加勒比地区局</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UN</w:t>
            </w:r>
          </w:p>
        </w:tc>
        <w:tc>
          <w:tcPr>
            <w:tcW w:w="8079" w:type="dxa"/>
            <w:vAlign w:val="center"/>
          </w:tcPr>
          <w:p w:rsidR="00CE2815" w:rsidRPr="00E13253" w:rsidRDefault="002C5A06" w:rsidP="005D7F4E">
            <w:pPr>
              <w:ind w:left="43"/>
              <w:rPr>
                <w:sz w:val="21"/>
                <w:szCs w:val="21"/>
              </w:rPr>
            </w:pPr>
            <w:r w:rsidRPr="00E13253">
              <w:rPr>
                <w:rFonts w:hint="eastAsia"/>
                <w:sz w:val="21"/>
                <w:szCs w:val="21"/>
              </w:rPr>
              <w:t>联合国</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UNEG</w:t>
            </w:r>
          </w:p>
        </w:tc>
        <w:tc>
          <w:tcPr>
            <w:tcW w:w="8079" w:type="dxa"/>
            <w:vAlign w:val="center"/>
          </w:tcPr>
          <w:p w:rsidR="00CE2815" w:rsidRPr="00E13253" w:rsidRDefault="002C5A06" w:rsidP="005D7F4E">
            <w:pPr>
              <w:ind w:left="43"/>
              <w:rPr>
                <w:sz w:val="21"/>
                <w:szCs w:val="21"/>
              </w:rPr>
            </w:pPr>
            <w:r w:rsidRPr="00E13253">
              <w:rPr>
                <w:rFonts w:hint="eastAsia"/>
                <w:sz w:val="21"/>
                <w:szCs w:val="21"/>
              </w:rPr>
              <w:t>联合国评价小组</w:t>
            </w:r>
          </w:p>
        </w:tc>
      </w:tr>
      <w:tr w:rsidR="00B252C1" w:rsidRPr="00E13253" w:rsidTr="009D1993">
        <w:trPr>
          <w:trHeight w:val="340"/>
        </w:trPr>
        <w:tc>
          <w:tcPr>
            <w:tcW w:w="1526" w:type="dxa"/>
            <w:vAlign w:val="center"/>
          </w:tcPr>
          <w:p w:rsidR="00B252C1" w:rsidRPr="00E13253" w:rsidRDefault="00B252C1" w:rsidP="00E613EE">
            <w:pPr>
              <w:ind w:hanging="737"/>
              <w:jc w:val="both"/>
              <w:rPr>
                <w:b/>
                <w:bCs/>
                <w:sz w:val="21"/>
                <w:szCs w:val="21"/>
              </w:rPr>
            </w:pPr>
            <w:r w:rsidRPr="00E13253">
              <w:rPr>
                <w:b/>
                <w:bCs/>
                <w:sz w:val="21"/>
                <w:szCs w:val="21"/>
              </w:rPr>
              <w:t>UN RIAS</w:t>
            </w:r>
          </w:p>
        </w:tc>
        <w:tc>
          <w:tcPr>
            <w:tcW w:w="8079" w:type="dxa"/>
            <w:vAlign w:val="center"/>
          </w:tcPr>
          <w:p w:rsidR="00B252C1" w:rsidRPr="00E13253" w:rsidRDefault="002C5A06" w:rsidP="005D7F4E">
            <w:pPr>
              <w:ind w:left="43"/>
              <w:rPr>
                <w:sz w:val="21"/>
                <w:szCs w:val="21"/>
              </w:rPr>
            </w:pPr>
            <w:r w:rsidRPr="00E13253">
              <w:rPr>
                <w:rFonts w:hint="eastAsia"/>
                <w:sz w:val="21"/>
                <w:szCs w:val="21"/>
              </w:rPr>
              <w:t>内部审计事务处代表</w:t>
            </w:r>
          </w:p>
        </w:tc>
      </w:tr>
      <w:tr w:rsidR="00CE2815" w:rsidRPr="00E13253" w:rsidTr="009D1993">
        <w:trPr>
          <w:trHeight w:val="340"/>
        </w:trPr>
        <w:tc>
          <w:tcPr>
            <w:tcW w:w="1526" w:type="dxa"/>
            <w:vAlign w:val="center"/>
          </w:tcPr>
          <w:p w:rsidR="00CE2815" w:rsidRPr="00E13253" w:rsidRDefault="00CE2815" w:rsidP="00E613EE">
            <w:pPr>
              <w:ind w:hanging="737"/>
              <w:jc w:val="both"/>
              <w:rPr>
                <w:b/>
                <w:bCs/>
                <w:sz w:val="21"/>
                <w:szCs w:val="21"/>
              </w:rPr>
            </w:pPr>
            <w:r w:rsidRPr="00E13253">
              <w:rPr>
                <w:b/>
                <w:bCs/>
                <w:sz w:val="21"/>
                <w:szCs w:val="21"/>
              </w:rPr>
              <w:t>UN</w:t>
            </w:r>
            <w:r w:rsidR="00B252C1" w:rsidRPr="00E13253">
              <w:rPr>
                <w:b/>
                <w:bCs/>
                <w:sz w:val="21"/>
                <w:szCs w:val="21"/>
              </w:rPr>
              <w:t xml:space="preserve"> </w:t>
            </w:r>
            <w:r w:rsidRPr="00E13253">
              <w:rPr>
                <w:b/>
                <w:bCs/>
                <w:sz w:val="21"/>
                <w:szCs w:val="21"/>
              </w:rPr>
              <w:t>RIS</w:t>
            </w:r>
          </w:p>
        </w:tc>
        <w:tc>
          <w:tcPr>
            <w:tcW w:w="8079" w:type="dxa"/>
            <w:vAlign w:val="center"/>
          </w:tcPr>
          <w:p w:rsidR="00CE2815" w:rsidRPr="00E13253" w:rsidRDefault="002C5A06" w:rsidP="005D7F4E">
            <w:pPr>
              <w:ind w:left="43"/>
              <w:rPr>
                <w:sz w:val="21"/>
                <w:szCs w:val="21"/>
              </w:rPr>
            </w:pPr>
            <w:r w:rsidRPr="00E13253">
              <w:rPr>
                <w:rFonts w:hint="eastAsia"/>
                <w:sz w:val="21"/>
                <w:szCs w:val="21"/>
              </w:rPr>
              <w:t>联合国调查事务处代表</w:t>
            </w:r>
          </w:p>
        </w:tc>
      </w:tr>
      <w:tr w:rsidR="001C1E16" w:rsidRPr="00E13253" w:rsidTr="009D1993">
        <w:trPr>
          <w:trHeight w:val="340"/>
        </w:trPr>
        <w:tc>
          <w:tcPr>
            <w:tcW w:w="1526" w:type="dxa"/>
            <w:vAlign w:val="center"/>
          </w:tcPr>
          <w:p w:rsidR="001C1E16" w:rsidRPr="00E13253" w:rsidRDefault="001C1E16" w:rsidP="00E613EE">
            <w:pPr>
              <w:ind w:hanging="737"/>
              <w:jc w:val="both"/>
              <w:rPr>
                <w:b/>
                <w:bCs/>
                <w:sz w:val="21"/>
                <w:szCs w:val="21"/>
              </w:rPr>
            </w:pPr>
            <w:r w:rsidRPr="00E13253">
              <w:rPr>
                <w:b/>
                <w:bCs/>
                <w:sz w:val="21"/>
                <w:szCs w:val="21"/>
              </w:rPr>
              <w:t>WIPO</w:t>
            </w:r>
          </w:p>
        </w:tc>
        <w:tc>
          <w:tcPr>
            <w:tcW w:w="8079" w:type="dxa"/>
            <w:vAlign w:val="center"/>
          </w:tcPr>
          <w:p w:rsidR="001C1E16" w:rsidRPr="00E13253" w:rsidRDefault="002C5A06" w:rsidP="005D7F4E">
            <w:pPr>
              <w:ind w:left="43"/>
              <w:rPr>
                <w:sz w:val="21"/>
                <w:szCs w:val="21"/>
              </w:rPr>
            </w:pPr>
            <w:r w:rsidRPr="00E13253">
              <w:rPr>
                <w:rFonts w:hint="eastAsia"/>
                <w:sz w:val="21"/>
                <w:szCs w:val="21"/>
              </w:rPr>
              <w:t>世界知识产权组织</w:t>
            </w:r>
          </w:p>
        </w:tc>
      </w:tr>
      <w:tr w:rsidR="00EB7C91" w:rsidRPr="00E13253" w:rsidTr="009D1993">
        <w:trPr>
          <w:trHeight w:val="340"/>
        </w:trPr>
        <w:tc>
          <w:tcPr>
            <w:tcW w:w="1526" w:type="dxa"/>
            <w:vAlign w:val="center"/>
          </w:tcPr>
          <w:p w:rsidR="00EB7C91" w:rsidRPr="00E13253" w:rsidRDefault="00EB7C91" w:rsidP="00E613EE">
            <w:pPr>
              <w:ind w:hanging="737"/>
              <w:jc w:val="both"/>
              <w:rPr>
                <w:b/>
                <w:bCs/>
                <w:sz w:val="21"/>
                <w:szCs w:val="21"/>
              </w:rPr>
            </w:pPr>
            <w:r w:rsidRPr="00E13253">
              <w:rPr>
                <w:b/>
                <w:bCs/>
                <w:sz w:val="21"/>
                <w:szCs w:val="21"/>
              </w:rPr>
              <w:t>WPR</w:t>
            </w:r>
          </w:p>
        </w:tc>
        <w:tc>
          <w:tcPr>
            <w:tcW w:w="8079" w:type="dxa"/>
            <w:vAlign w:val="center"/>
          </w:tcPr>
          <w:p w:rsidR="00EB7C91" w:rsidRPr="00E13253" w:rsidRDefault="002C5A06" w:rsidP="005D7F4E">
            <w:pPr>
              <w:ind w:left="43"/>
              <w:rPr>
                <w:sz w:val="21"/>
                <w:szCs w:val="21"/>
              </w:rPr>
            </w:pPr>
            <w:r w:rsidRPr="00E13253">
              <w:rPr>
                <w:rFonts w:hint="eastAsia"/>
                <w:sz w:val="21"/>
                <w:szCs w:val="21"/>
              </w:rPr>
              <w:t>产权组织绩效报告</w:t>
            </w:r>
          </w:p>
        </w:tc>
      </w:tr>
    </w:tbl>
    <w:p w:rsidR="003651AC" w:rsidRDefault="003651AC">
      <w:pPr>
        <w:rPr>
          <w:b/>
        </w:rPr>
      </w:pPr>
      <w:bookmarkStart w:id="23" w:name="_Toc392160703"/>
      <w:bookmarkStart w:id="24" w:name="_Toc392160740"/>
      <w:bookmarkStart w:id="25" w:name="_Toc423530309"/>
      <w:bookmarkStart w:id="26" w:name="_Toc423533365"/>
      <w:bookmarkStart w:id="27" w:name="_Toc423533509"/>
      <w:bookmarkStart w:id="28" w:name="_Toc452648468"/>
      <w:r>
        <w:rPr>
          <w:b/>
        </w:rPr>
        <w:br w:type="page"/>
      </w:r>
    </w:p>
    <w:p w:rsidR="00B56227" w:rsidRDefault="00B56227" w:rsidP="00B56227">
      <w:pPr>
        <w:pStyle w:val="1"/>
        <w:overflowPunct w:val="0"/>
        <w:spacing w:beforeLines="100" w:before="240" w:afterLines="50" w:after="120" w:line="340" w:lineRule="atLeast"/>
        <w:rPr>
          <w:rFonts w:ascii="SimHei" w:eastAsia="SimHei" w:hAnsi="SimHei"/>
          <w:b w:val="0"/>
          <w:sz w:val="21"/>
          <w:szCs w:val="21"/>
        </w:rPr>
      </w:pPr>
      <w:bookmarkStart w:id="29" w:name="_Toc425198825"/>
      <w:bookmarkStart w:id="30" w:name="_Toc456084294"/>
      <w:bookmarkStart w:id="31" w:name="_Toc519241780"/>
      <w:bookmarkEnd w:id="23"/>
      <w:bookmarkEnd w:id="24"/>
      <w:bookmarkEnd w:id="25"/>
      <w:bookmarkEnd w:id="26"/>
      <w:bookmarkEnd w:id="27"/>
      <w:bookmarkEnd w:id="28"/>
      <w:r w:rsidRPr="00C53502">
        <w:rPr>
          <w:rFonts w:ascii="SimHei" w:eastAsia="SimHei" w:hAnsi="SimHei" w:hint="eastAsia"/>
          <w:b w:val="0"/>
          <w:sz w:val="21"/>
          <w:szCs w:val="21"/>
        </w:rPr>
        <w:t>背　景</w:t>
      </w:r>
      <w:bookmarkEnd w:id="29"/>
      <w:bookmarkEnd w:id="30"/>
      <w:bookmarkEnd w:id="31"/>
    </w:p>
    <w:p w:rsidR="00F64F83" w:rsidRDefault="00F64F83" w:rsidP="00EC189A">
      <w:pPr>
        <w:pStyle w:val="ONUME"/>
        <w:numPr>
          <w:ilvl w:val="0"/>
          <w:numId w:val="6"/>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Pr="00F64F83">
        <w:rPr>
          <w:rFonts w:ascii="SimSun" w:hAnsi="SimSun" w:hint="eastAsia"/>
          <w:sz w:val="21"/>
          <w:szCs w:val="21"/>
        </w:rPr>
        <w:t>内部监督司（监督司）的宗旨是按照《内部监督章程》（《章程》）的规定为</w:t>
      </w:r>
      <w:r>
        <w:rPr>
          <w:rFonts w:ascii="SimSun" w:hAnsi="SimSun" w:hint="eastAsia"/>
          <w:sz w:val="21"/>
          <w:szCs w:val="21"/>
        </w:rPr>
        <w:t>产权组织</w:t>
      </w:r>
      <w:r w:rsidRPr="00F64F83">
        <w:rPr>
          <w:rFonts w:ascii="SimSun" w:hAnsi="SimSun" w:hint="eastAsia"/>
          <w:sz w:val="21"/>
          <w:szCs w:val="21"/>
        </w:rPr>
        <w:t>提供独立和有效的内部监督。</w:t>
      </w:r>
    </w:p>
    <w:p w:rsidR="00F64F83" w:rsidRPr="00F64F83" w:rsidRDefault="00F64F83" w:rsidP="00EC189A">
      <w:pPr>
        <w:pStyle w:val="ONUME"/>
        <w:numPr>
          <w:ilvl w:val="0"/>
          <w:numId w:val="6"/>
        </w:numPr>
        <w:tabs>
          <w:tab w:val="clear" w:pos="567"/>
        </w:tabs>
        <w:overflowPunct w:val="0"/>
        <w:spacing w:afterLines="50" w:after="120" w:line="340" w:lineRule="atLeast"/>
        <w:jc w:val="both"/>
        <w:rPr>
          <w:rFonts w:ascii="SimSun" w:hAnsi="SimSun"/>
          <w:sz w:val="21"/>
          <w:szCs w:val="21"/>
        </w:rPr>
      </w:pPr>
      <w:r w:rsidRPr="00F64F83">
        <w:rPr>
          <w:rFonts w:ascii="SimSun" w:hAnsi="SimSun" w:hint="eastAsia"/>
          <w:sz w:val="21"/>
          <w:szCs w:val="21"/>
        </w:rPr>
        <w:t>《章程》要求</w:t>
      </w:r>
      <w:r w:rsidRPr="00C53502">
        <w:rPr>
          <w:rStyle w:val="af"/>
          <w:rFonts w:ascii="SimSun" w:hAnsi="SimSun"/>
          <w:sz w:val="21"/>
          <w:szCs w:val="21"/>
        </w:rPr>
        <w:footnoteReference w:id="2"/>
      </w:r>
      <w:r w:rsidRPr="00F64F83">
        <w:rPr>
          <w:rFonts w:ascii="SimSun" w:hAnsi="SimSun" w:hint="eastAsia"/>
          <w:sz w:val="21"/>
          <w:szCs w:val="21"/>
        </w:rPr>
        <w:t>监督司司长每年通过计划和预算委员会（PBC）向</w:t>
      </w:r>
      <w:r>
        <w:rPr>
          <w:rFonts w:ascii="SimSun" w:hAnsi="SimSun" w:hint="eastAsia"/>
          <w:sz w:val="21"/>
          <w:szCs w:val="21"/>
        </w:rPr>
        <w:t>产权组织</w:t>
      </w:r>
      <w:r w:rsidRPr="00F64F83">
        <w:rPr>
          <w:rFonts w:ascii="SimSun" w:hAnsi="SimSun" w:hint="eastAsia"/>
          <w:sz w:val="21"/>
          <w:szCs w:val="21"/>
        </w:rPr>
        <w:t>大会提交总结报告（年度报告）。年度报告应概述报告所涉期间开展的内部监督活动，包括这些活动的范围和目标，所采用的工作计划以及落实内部监督建议的进展情况。</w:t>
      </w:r>
    </w:p>
    <w:p w:rsidR="00F64F83" w:rsidRPr="00F64F83" w:rsidRDefault="00F64F83" w:rsidP="00EC189A">
      <w:pPr>
        <w:pStyle w:val="ONUME"/>
        <w:numPr>
          <w:ilvl w:val="0"/>
          <w:numId w:val="6"/>
        </w:numPr>
        <w:tabs>
          <w:tab w:val="clear" w:pos="567"/>
        </w:tabs>
        <w:overflowPunct w:val="0"/>
        <w:spacing w:afterLines="50" w:after="120" w:line="340" w:lineRule="atLeast"/>
        <w:jc w:val="both"/>
        <w:rPr>
          <w:rFonts w:ascii="SimSun" w:hAnsi="SimSun"/>
          <w:b/>
          <w:bCs/>
          <w:caps/>
          <w:kern w:val="32"/>
          <w:sz w:val="21"/>
          <w:szCs w:val="21"/>
        </w:rPr>
      </w:pPr>
      <w:r w:rsidRPr="00F64F83">
        <w:rPr>
          <w:rFonts w:ascii="SimSun" w:hAnsi="SimSun" w:hint="eastAsia"/>
          <w:sz w:val="21"/>
          <w:szCs w:val="21"/>
        </w:rPr>
        <w:t>根据《章程》，已向总干事和独立咨询监督委员会</w:t>
      </w:r>
      <w:r w:rsidRPr="00F64F83">
        <w:rPr>
          <w:rFonts w:ascii="SimSun" w:hAnsi="SimSun"/>
          <w:sz w:val="21"/>
          <w:szCs w:val="21"/>
        </w:rPr>
        <w:t>（</w:t>
      </w:r>
      <w:proofErr w:type="gramStart"/>
      <w:r w:rsidRPr="00F64F83">
        <w:rPr>
          <w:rFonts w:ascii="SimSun" w:hAnsi="SimSun" w:hint="eastAsia"/>
          <w:sz w:val="21"/>
          <w:szCs w:val="21"/>
        </w:rPr>
        <w:t>咨</w:t>
      </w:r>
      <w:proofErr w:type="gramEnd"/>
      <w:r w:rsidRPr="00F64F83">
        <w:rPr>
          <w:rFonts w:ascii="SimSun" w:hAnsi="SimSun" w:hint="eastAsia"/>
          <w:sz w:val="21"/>
          <w:szCs w:val="21"/>
        </w:rPr>
        <w:t>监委</w:t>
      </w:r>
      <w:r w:rsidRPr="00F64F83">
        <w:rPr>
          <w:rFonts w:ascii="SimSun" w:hAnsi="SimSun"/>
          <w:sz w:val="21"/>
          <w:szCs w:val="21"/>
        </w:rPr>
        <w:t>）</w:t>
      </w:r>
      <w:r w:rsidRPr="00F64F83">
        <w:rPr>
          <w:rFonts w:ascii="SimSun" w:hAnsi="SimSun" w:hint="eastAsia"/>
          <w:sz w:val="21"/>
          <w:szCs w:val="21"/>
        </w:rPr>
        <w:t>提供了年度报告的草案以征求其意见；报告定稿时已考虑了收到的意见。</w:t>
      </w:r>
    </w:p>
    <w:p w:rsidR="00F64F83" w:rsidRDefault="00F64F83" w:rsidP="00F64F83">
      <w:pPr>
        <w:pStyle w:val="1"/>
        <w:overflowPunct w:val="0"/>
        <w:spacing w:beforeLines="100" w:before="240" w:afterLines="50" w:after="120" w:line="340" w:lineRule="atLeast"/>
        <w:rPr>
          <w:rFonts w:ascii="SimHei" w:eastAsia="SimHei" w:hAnsi="SimHei"/>
          <w:b w:val="0"/>
          <w:sz w:val="21"/>
          <w:szCs w:val="21"/>
        </w:rPr>
      </w:pPr>
      <w:bookmarkStart w:id="32" w:name="_Toc425198826"/>
      <w:bookmarkStart w:id="33" w:name="_Toc456084295"/>
      <w:bookmarkStart w:id="34" w:name="_Toc519241781"/>
      <w:bookmarkStart w:id="35" w:name="_Toc420663566"/>
      <w:bookmarkStart w:id="36" w:name="_Toc328920434"/>
      <w:r w:rsidRPr="007D52BF">
        <w:rPr>
          <w:rFonts w:ascii="SimHei" w:eastAsia="SimHei" w:hAnsi="SimHei" w:hint="eastAsia"/>
          <w:b w:val="0"/>
          <w:sz w:val="21"/>
          <w:szCs w:val="21"/>
        </w:rPr>
        <w:t>规划原则</w:t>
      </w:r>
      <w:bookmarkEnd w:id="32"/>
      <w:bookmarkEnd w:id="33"/>
      <w:bookmarkEnd w:id="34"/>
    </w:p>
    <w:p w:rsidR="00F64F83" w:rsidRPr="00CE7E1A" w:rsidRDefault="00F64F83" w:rsidP="00EC189A">
      <w:pPr>
        <w:pStyle w:val="ONUME"/>
        <w:numPr>
          <w:ilvl w:val="0"/>
          <w:numId w:val="4"/>
        </w:numPr>
        <w:tabs>
          <w:tab w:val="clear" w:pos="567"/>
        </w:tabs>
        <w:overflowPunct w:val="0"/>
        <w:spacing w:afterLines="50" w:after="120" w:line="340" w:lineRule="atLeast"/>
        <w:jc w:val="both"/>
        <w:rPr>
          <w:rFonts w:ascii="SimSun" w:hAnsi="SimSun"/>
          <w:sz w:val="21"/>
          <w:szCs w:val="21"/>
        </w:rPr>
      </w:pPr>
      <w:r w:rsidRPr="00CE7E1A">
        <w:rPr>
          <w:rFonts w:ascii="SimSun" w:hAnsi="SimSun" w:hint="eastAsia"/>
          <w:sz w:val="21"/>
          <w:szCs w:val="21"/>
        </w:rPr>
        <w:t>监督司在制定监督工作计划时考虑了一些因素，包括风险等级、相关性、国家影响、监督周期以及来自</w:t>
      </w:r>
      <w:r>
        <w:rPr>
          <w:rFonts w:ascii="SimSun" w:hAnsi="SimSun" w:hint="eastAsia"/>
          <w:sz w:val="21"/>
          <w:szCs w:val="21"/>
        </w:rPr>
        <w:t>产权组织</w:t>
      </w:r>
      <w:r w:rsidRPr="00CE7E1A">
        <w:rPr>
          <w:rFonts w:ascii="SimSun" w:hAnsi="SimSun" w:hint="eastAsia"/>
          <w:sz w:val="21"/>
          <w:szCs w:val="21"/>
        </w:rPr>
        <w:t>管理层、成员国和可用资源的反馈意见。按照《章程》第</w:t>
      </w:r>
      <w:r>
        <w:rPr>
          <w:rFonts w:ascii="SimSun" w:hAnsi="SimSun" w:hint="eastAsia"/>
          <w:sz w:val="21"/>
          <w:szCs w:val="21"/>
        </w:rPr>
        <w:t>26</w:t>
      </w:r>
      <w:r w:rsidRPr="00CE7E1A">
        <w:rPr>
          <w:rFonts w:ascii="SimSun" w:hAnsi="SimSun" w:hint="eastAsia"/>
          <w:sz w:val="21"/>
          <w:szCs w:val="21"/>
        </w:rPr>
        <w:t>段</w:t>
      </w:r>
      <w:r>
        <w:rPr>
          <w:rFonts w:ascii="SimSun" w:hAnsi="SimSun" w:hint="eastAsia"/>
          <w:sz w:val="21"/>
          <w:szCs w:val="21"/>
        </w:rPr>
        <w:t>(</w:t>
      </w:r>
      <w:r w:rsidRPr="00CE7E1A">
        <w:rPr>
          <w:rFonts w:ascii="SimSun" w:hAnsi="SimSun" w:hint="eastAsia"/>
          <w:sz w:val="21"/>
          <w:szCs w:val="21"/>
        </w:rPr>
        <w:t>a)</w:t>
      </w:r>
      <w:r>
        <w:rPr>
          <w:rFonts w:ascii="SimSun" w:hAnsi="SimSun" w:hint="eastAsia"/>
          <w:sz w:val="21"/>
          <w:szCs w:val="21"/>
        </w:rPr>
        <w:t>项</w:t>
      </w:r>
      <w:r w:rsidRPr="00CE7E1A">
        <w:rPr>
          <w:rFonts w:ascii="SimSun" w:hAnsi="SimSun" w:hint="eastAsia"/>
          <w:sz w:val="21"/>
          <w:szCs w:val="21"/>
        </w:rPr>
        <w:t>的要求，监督计划草案在最终确定前还提交给</w:t>
      </w:r>
      <w:proofErr w:type="gramStart"/>
      <w:r w:rsidRPr="00CE7E1A">
        <w:rPr>
          <w:rFonts w:ascii="SimSun" w:hAnsi="SimSun" w:hint="eastAsia"/>
          <w:sz w:val="21"/>
          <w:szCs w:val="21"/>
        </w:rPr>
        <w:t>咨</w:t>
      </w:r>
      <w:proofErr w:type="gramEnd"/>
      <w:r w:rsidRPr="00CE7E1A">
        <w:rPr>
          <w:rFonts w:ascii="SimSun" w:hAnsi="SimSun" w:hint="eastAsia"/>
          <w:sz w:val="21"/>
          <w:szCs w:val="21"/>
        </w:rPr>
        <w:t>监委，供其审查并提出建议。</w:t>
      </w:r>
    </w:p>
    <w:p w:rsidR="00F64F83" w:rsidRPr="00965C7F" w:rsidRDefault="00F64F83" w:rsidP="00EC189A">
      <w:pPr>
        <w:pStyle w:val="ONUME"/>
        <w:numPr>
          <w:ilvl w:val="0"/>
          <w:numId w:val="4"/>
        </w:numPr>
        <w:tabs>
          <w:tab w:val="clear" w:pos="567"/>
        </w:tabs>
        <w:overflowPunct w:val="0"/>
        <w:spacing w:afterLines="50" w:after="120" w:line="340" w:lineRule="atLeast"/>
        <w:jc w:val="both"/>
        <w:rPr>
          <w:rFonts w:ascii="SimSun" w:hAnsi="SimSun"/>
          <w:sz w:val="21"/>
          <w:szCs w:val="21"/>
        </w:rPr>
      </w:pPr>
      <w:r w:rsidRPr="00965C7F">
        <w:rPr>
          <w:rFonts w:ascii="SimSun" w:hAnsi="SimSun" w:hint="eastAsia"/>
          <w:sz w:val="21"/>
          <w:szCs w:val="21"/>
        </w:rPr>
        <w:t>为了在高效使用有限资源的情况下提供有效的监督范围，同时避免可能的交叉，监督司还考虑了外聘审计员和其他监督部门完成的工作，如联合检查组</w:t>
      </w:r>
      <w:r>
        <w:rPr>
          <w:rFonts w:ascii="SimSun" w:hAnsi="SimSun" w:hint="eastAsia"/>
          <w:sz w:val="21"/>
          <w:szCs w:val="21"/>
        </w:rPr>
        <w:t>（</w:t>
      </w:r>
      <w:r w:rsidRPr="00965C7F">
        <w:rPr>
          <w:rFonts w:ascii="SimSun" w:hAnsi="SimSun" w:hint="eastAsia"/>
          <w:sz w:val="21"/>
          <w:szCs w:val="21"/>
        </w:rPr>
        <w:t>联检组</w:t>
      </w:r>
      <w:r>
        <w:rPr>
          <w:rFonts w:ascii="SimSun" w:hAnsi="SimSun" w:hint="eastAsia"/>
          <w:sz w:val="21"/>
          <w:szCs w:val="21"/>
        </w:rPr>
        <w:t>）</w:t>
      </w:r>
      <w:r w:rsidRPr="00965C7F">
        <w:rPr>
          <w:rFonts w:ascii="SimSun" w:hAnsi="SimSun" w:hint="eastAsia"/>
          <w:sz w:val="21"/>
          <w:szCs w:val="21"/>
        </w:rPr>
        <w:t>以及发展与知识产权委员会</w:t>
      </w:r>
      <w:r>
        <w:rPr>
          <w:rFonts w:ascii="SimSun" w:hAnsi="SimSun" w:hint="eastAsia"/>
          <w:sz w:val="21"/>
          <w:szCs w:val="21"/>
        </w:rPr>
        <w:t>（</w:t>
      </w:r>
      <w:r w:rsidRPr="00965C7F">
        <w:rPr>
          <w:rFonts w:ascii="SimSun" w:hAnsi="SimSun" w:hint="eastAsia"/>
          <w:sz w:val="21"/>
          <w:szCs w:val="21"/>
        </w:rPr>
        <w:t>CDIP</w:t>
      </w:r>
      <w:r>
        <w:rPr>
          <w:rFonts w:ascii="SimSun" w:hAnsi="SimSun" w:hint="eastAsia"/>
          <w:sz w:val="21"/>
          <w:szCs w:val="21"/>
        </w:rPr>
        <w:t>）</w:t>
      </w:r>
      <w:r w:rsidRPr="00965C7F">
        <w:rPr>
          <w:rFonts w:ascii="SimSun" w:hAnsi="SimSun" w:hint="eastAsia"/>
          <w:sz w:val="21"/>
          <w:szCs w:val="21"/>
        </w:rPr>
        <w:t>委托开展的评价。</w:t>
      </w:r>
    </w:p>
    <w:p w:rsidR="00F64F83" w:rsidRDefault="00F64F83" w:rsidP="00EC189A">
      <w:pPr>
        <w:pStyle w:val="ONUME"/>
        <w:numPr>
          <w:ilvl w:val="0"/>
          <w:numId w:val="4"/>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2018</w:t>
      </w:r>
      <w:r w:rsidRPr="00890898">
        <w:rPr>
          <w:rFonts w:ascii="SimSun" w:hAnsi="SimSun" w:hint="eastAsia"/>
          <w:sz w:val="21"/>
          <w:szCs w:val="21"/>
        </w:rPr>
        <w:t>年的监督计划已发给所有计划管理人员，并在</w:t>
      </w:r>
      <w:r>
        <w:rPr>
          <w:rFonts w:ascii="SimSun" w:hAnsi="SimSun" w:hint="eastAsia"/>
          <w:sz w:val="21"/>
          <w:szCs w:val="21"/>
        </w:rPr>
        <w:t>产权组织</w:t>
      </w:r>
      <w:r w:rsidRPr="00890898">
        <w:rPr>
          <w:rFonts w:ascii="SimSun" w:hAnsi="SimSun" w:hint="eastAsia"/>
          <w:sz w:val="21"/>
          <w:szCs w:val="21"/>
        </w:rPr>
        <w:t>内网上与所有</w:t>
      </w:r>
      <w:r>
        <w:rPr>
          <w:rFonts w:ascii="SimSun" w:hAnsi="SimSun" w:hint="eastAsia"/>
          <w:sz w:val="21"/>
          <w:szCs w:val="21"/>
        </w:rPr>
        <w:t>产权组织</w:t>
      </w:r>
      <w:r w:rsidRPr="00890898">
        <w:rPr>
          <w:rFonts w:ascii="SimSun" w:hAnsi="SimSun" w:hint="eastAsia"/>
          <w:sz w:val="21"/>
          <w:szCs w:val="21"/>
        </w:rPr>
        <w:t>工作人员共享。</w:t>
      </w:r>
      <w:r w:rsidRPr="00890898">
        <w:rPr>
          <w:rFonts w:ascii="SimSun" w:hAnsi="SimSun"/>
          <w:sz w:val="21"/>
          <w:szCs w:val="21"/>
        </w:rPr>
        <w:t>201</w:t>
      </w:r>
      <w:r>
        <w:rPr>
          <w:rFonts w:ascii="SimSun" w:hAnsi="SimSun" w:hint="eastAsia"/>
          <w:sz w:val="21"/>
          <w:szCs w:val="21"/>
        </w:rPr>
        <w:t>7</w:t>
      </w:r>
      <w:r w:rsidRPr="00890898">
        <w:rPr>
          <w:rFonts w:ascii="SimSun" w:hAnsi="SimSun" w:hint="eastAsia"/>
          <w:sz w:val="21"/>
          <w:szCs w:val="21"/>
        </w:rPr>
        <w:t>年的监督计划在预算内按时完成。</w:t>
      </w:r>
    </w:p>
    <w:p w:rsidR="00F64F83" w:rsidRPr="007D52BF" w:rsidRDefault="00F64F83" w:rsidP="00F64F83">
      <w:pPr>
        <w:pStyle w:val="1"/>
        <w:overflowPunct w:val="0"/>
        <w:spacing w:beforeLines="100" w:before="240" w:afterLines="50" w:after="120" w:line="340" w:lineRule="atLeast"/>
        <w:rPr>
          <w:rFonts w:ascii="SimHei" w:eastAsia="SimHei" w:hAnsi="SimHei"/>
          <w:b w:val="0"/>
          <w:sz w:val="21"/>
          <w:szCs w:val="21"/>
        </w:rPr>
      </w:pPr>
      <w:bookmarkStart w:id="37" w:name="_Toc425198827"/>
      <w:bookmarkStart w:id="38" w:name="_Toc456084296"/>
      <w:bookmarkStart w:id="39" w:name="_Toc519241782"/>
      <w:r w:rsidRPr="007D52BF">
        <w:rPr>
          <w:rFonts w:ascii="SimHei" w:eastAsia="SimHei" w:hAnsi="SimHei" w:hint="eastAsia"/>
          <w:b w:val="0"/>
          <w:sz w:val="21"/>
          <w:szCs w:val="21"/>
        </w:rPr>
        <w:t>专业标准</w:t>
      </w:r>
      <w:bookmarkEnd w:id="37"/>
      <w:bookmarkEnd w:id="38"/>
      <w:bookmarkEnd w:id="39"/>
    </w:p>
    <w:p w:rsidR="00F64F83" w:rsidRPr="002958A9" w:rsidRDefault="00F64F83" w:rsidP="00EC189A">
      <w:pPr>
        <w:pStyle w:val="ONUME"/>
        <w:numPr>
          <w:ilvl w:val="0"/>
          <w:numId w:val="4"/>
        </w:numPr>
        <w:tabs>
          <w:tab w:val="clear" w:pos="567"/>
        </w:tabs>
        <w:overflowPunct w:val="0"/>
        <w:spacing w:afterLines="50" w:after="120" w:line="340" w:lineRule="atLeast"/>
        <w:jc w:val="both"/>
        <w:rPr>
          <w:rFonts w:ascii="SimSun" w:hAnsi="SimSun"/>
          <w:sz w:val="21"/>
          <w:szCs w:val="21"/>
        </w:rPr>
      </w:pPr>
      <w:r w:rsidRPr="002958A9">
        <w:rPr>
          <w:rFonts w:ascii="SimSun" w:hAnsi="SimSun" w:hint="eastAsia"/>
          <w:sz w:val="21"/>
          <w:szCs w:val="21"/>
        </w:rPr>
        <w:t>在审计活动中，监督司遵守内部审计师协会</w:t>
      </w:r>
      <w:r>
        <w:rPr>
          <w:rFonts w:ascii="SimSun" w:hAnsi="SimSun" w:hint="eastAsia"/>
          <w:sz w:val="21"/>
          <w:szCs w:val="21"/>
        </w:rPr>
        <w:t>（</w:t>
      </w:r>
      <w:r w:rsidRPr="002958A9">
        <w:rPr>
          <w:rFonts w:ascii="SimSun" w:hAnsi="SimSun" w:hint="eastAsia"/>
          <w:sz w:val="21"/>
          <w:szCs w:val="21"/>
        </w:rPr>
        <w:t>IIA</w:t>
      </w:r>
      <w:r>
        <w:rPr>
          <w:rFonts w:ascii="SimSun" w:hAnsi="SimSun" w:hint="eastAsia"/>
          <w:sz w:val="21"/>
          <w:szCs w:val="21"/>
        </w:rPr>
        <w:t>）</w:t>
      </w:r>
      <w:r w:rsidRPr="002958A9">
        <w:rPr>
          <w:rFonts w:ascii="SimSun" w:hAnsi="SimSun" w:hint="eastAsia"/>
          <w:sz w:val="21"/>
          <w:szCs w:val="21"/>
        </w:rPr>
        <w:t>颁布的“国际专业实务框架”</w:t>
      </w:r>
      <w:r>
        <w:rPr>
          <w:rFonts w:ascii="SimSun" w:hAnsi="SimSun" w:hint="eastAsia"/>
          <w:sz w:val="21"/>
          <w:szCs w:val="21"/>
        </w:rPr>
        <w:t>（</w:t>
      </w:r>
      <w:r w:rsidRPr="002958A9">
        <w:rPr>
          <w:rFonts w:ascii="SimSun" w:hAnsi="SimSun" w:hint="eastAsia"/>
          <w:sz w:val="21"/>
          <w:szCs w:val="21"/>
        </w:rPr>
        <w:t>IPPF</w:t>
      </w:r>
      <w:r>
        <w:rPr>
          <w:rFonts w:ascii="SimSun" w:hAnsi="SimSun" w:hint="eastAsia"/>
          <w:sz w:val="21"/>
          <w:szCs w:val="21"/>
        </w:rPr>
        <w:t>）</w:t>
      </w:r>
      <w:r w:rsidRPr="002958A9">
        <w:rPr>
          <w:rFonts w:ascii="SimSun" w:hAnsi="SimSun" w:hint="eastAsia"/>
          <w:sz w:val="21"/>
          <w:szCs w:val="21"/>
        </w:rPr>
        <w:t>。同样，在开展的调查工作中，监督司以国际调查员会议</w:t>
      </w:r>
      <w:r>
        <w:rPr>
          <w:rFonts w:ascii="SimSun" w:hAnsi="SimSun" w:hint="eastAsia"/>
          <w:sz w:val="21"/>
          <w:szCs w:val="21"/>
        </w:rPr>
        <w:t>（</w:t>
      </w:r>
      <w:r w:rsidRPr="002958A9">
        <w:rPr>
          <w:rFonts w:ascii="SimSun" w:hAnsi="SimSun" w:hint="eastAsia"/>
          <w:sz w:val="21"/>
          <w:szCs w:val="21"/>
        </w:rPr>
        <w:t>CII</w:t>
      </w:r>
      <w:r>
        <w:rPr>
          <w:rFonts w:ascii="SimSun" w:hAnsi="SimSun" w:hint="eastAsia"/>
          <w:sz w:val="21"/>
          <w:szCs w:val="21"/>
        </w:rPr>
        <w:t>）</w:t>
      </w:r>
      <w:r w:rsidRPr="002958A9">
        <w:rPr>
          <w:rFonts w:ascii="SimSun" w:hAnsi="SimSun" w:hint="eastAsia"/>
          <w:sz w:val="21"/>
          <w:szCs w:val="21"/>
        </w:rPr>
        <w:t>认可的《统一调查原则和准则》为指导。在评价活动中，监督司遵照联合国评价小组</w:t>
      </w:r>
      <w:r>
        <w:rPr>
          <w:rFonts w:ascii="SimSun" w:hAnsi="SimSun" w:hint="eastAsia"/>
          <w:sz w:val="21"/>
          <w:szCs w:val="21"/>
        </w:rPr>
        <w:t>（</w:t>
      </w:r>
      <w:r w:rsidRPr="002958A9">
        <w:rPr>
          <w:rFonts w:ascii="SimSun" w:hAnsi="SimSun" w:hint="eastAsia"/>
          <w:sz w:val="21"/>
          <w:szCs w:val="21"/>
        </w:rPr>
        <w:t>UNEG</w:t>
      </w:r>
      <w:r>
        <w:rPr>
          <w:rFonts w:ascii="SimSun" w:hAnsi="SimSun" w:hint="eastAsia"/>
          <w:sz w:val="21"/>
          <w:szCs w:val="21"/>
        </w:rPr>
        <w:t>）编制</w:t>
      </w:r>
      <w:r w:rsidRPr="002958A9">
        <w:rPr>
          <w:rFonts w:ascii="SimSun" w:hAnsi="SimSun" w:hint="eastAsia"/>
          <w:sz w:val="21"/>
          <w:szCs w:val="21"/>
        </w:rPr>
        <w:t>的《国际评价实务标准》。</w:t>
      </w:r>
    </w:p>
    <w:p w:rsidR="0080460C" w:rsidRPr="007D52BF" w:rsidRDefault="0080460C" w:rsidP="0080460C">
      <w:pPr>
        <w:pStyle w:val="1"/>
        <w:overflowPunct w:val="0"/>
        <w:spacing w:beforeLines="100" w:before="240" w:afterLines="50" w:after="120" w:line="340" w:lineRule="atLeast"/>
        <w:rPr>
          <w:rFonts w:ascii="SimHei" w:eastAsia="SimHei" w:hAnsi="SimHei"/>
          <w:b w:val="0"/>
          <w:sz w:val="21"/>
          <w:szCs w:val="21"/>
        </w:rPr>
      </w:pPr>
      <w:bookmarkStart w:id="40" w:name="_Toc425198828"/>
      <w:bookmarkStart w:id="41" w:name="_Toc456084297"/>
      <w:bookmarkStart w:id="42" w:name="_Toc519241783"/>
      <w:bookmarkStart w:id="43" w:name="_Toc420663568"/>
      <w:bookmarkEnd w:id="35"/>
      <w:bookmarkEnd w:id="36"/>
      <w:r w:rsidRPr="007D52BF">
        <w:rPr>
          <w:rFonts w:ascii="SimHei" w:eastAsia="SimHei" w:hAnsi="SimHei" w:hint="eastAsia"/>
          <w:b w:val="0"/>
          <w:sz w:val="21"/>
          <w:szCs w:val="21"/>
        </w:rPr>
        <w:t>重要问题和高优先程度监督建议</w:t>
      </w:r>
      <w:bookmarkEnd w:id="40"/>
      <w:bookmarkEnd w:id="41"/>
      <w:bookmarkEnd w:id="42"/>
    </w:p>
    <w:p w:rsidR="0080460C" w:rsidRPr="00353D37" w:rsidRDefault="0080460C" w:rsidP="00EC189A">
      <w:pPr>
        <w:pStyle w:val="ONUME"/>
        <w:numPr>
          <w:ilvl w:val="0"/>
          <w:numId w:val="4"/>
        </w:numPr>
        <w:tabs>
          <w:tab w:val="clear" w:pos="567"/>
        </w:tabs>
        <w:overflowPunct w:val="0"/>
        <w:spacing w:afterLines="50" w:after="120" w:line="340" w:lineRule="atLeast"/>
        <w:jc w:val="both"/>
        <w:rPr>
          <w:rFonts w:ascii="SimSun" w:hAnsi="SimSun"/>
          <w:sz w:val="21"/>
          <w:szCs w:val="21"/>
        </w:rPr>
      </w:pPr>
      <w:r w:rsidRPr="00353D37">
        <w:rPr>
          <w:rFonts w:ascii="SimSun" w:hAnsi="SimSun" w:hint="eastAsia"/>
          <w:sz w:val="21"/>
          <w:szCs w:val="21"/>
        </w:rPr>
        <w:t>这部分包括重要结果和建议方面的信息，探讨多项高度急迫的风险，这些载入了报告期间所发的内部监督报告</w:t>
      </w:r>
      <w:r>
        <w:rPr>
          <w:rFonts w:ascii="SimSun" w:hAnsi="SimSun" w:hint="eastAsia"/>
          <w:sz w:val="21"/>
          <w:szCs w:val="21"/>
        </w:rPr>
        <w:t>（</w:t>
      </w:r>
      <w:r w:rsidRPr="00353D37">
        <w:rPr>
          <w:rFonts w:ascii="SimSun" w:hAnsi="SimSun" w:hint="eastAsia"/>
          <w:sz w:val="21"/>
          <w:szCs w:val="21"/>
        </w:rPr>
        <w:t>审计、评价和所涉管理问题报告</w:t>
      </w:r>
      <w:r>
        <w:rPr>
          <w:rFonts w:ascii="SimSun" w:hAnsi="SimSun" w:hint="eastAsia"/>
          <w:sz w:val="21"/>
          <w:szCs w:val="21"/>
        </w:rPr>
        <w:t>）</w:t>
      </w:r>
      <w:r w:rsidRPr="00353D37">
        <w:rPr>
          <w:rFonts w:ascii="SimSun" w:hAnsi="SimSun" w:hint="eastAsia"/>
          <w:sz w:val="21"/>
          <w:szCs w:val="21"/>
        </w:rPr>
        <w:t>。</w:t>
      </w:r>
    </w:p>
    <w:bookmarkEnd w:id="43"/>
    <w:p w:rsidR="00391373" w:rsidRPr="00391373" w:rsidRDefault="00391373" w:rsidP="00EC189A">
      <w:pPr>
        <w:pStyle w:val="ONUME"/>
        <w:numPr>
          <w:ilvl w:val="0"/>
          <w:numId w:val="4"/>
        </w:numPr>
        <w:tabs>
          <w:tab w:val="clear" w:pos="567"/>
        </w:tabs>
        <w:overflowPunct w:val="0"/>
        <w:spacing w:afterLines="50" w:after="120" w:line="340" w:lineRule="atLeast"/>
        <w:jc w:val="both"/>
        <w:rPr>
          <w:rFonts w:asciiTheme="minorEastAsia" w:eastAsiaTheme="minorEastAsia" w:hAnsiTheme="minorEastAsia"/>
          <w:sz w:val="21"/>
          <w:szCs w:val="21"/>
        </w:rPr>
      </w:pPr>
      <w:r w:rsidRPr="00391373">
        <w:rPr>
          <w:rFonts w:asciiTheme="minorEastAsia" w:eastAsiaTheme="minorEastAsia" w:hAnsiTheme="minorEastAsia" w:hint="eastAsia"/>
          <w:sz w:val="21"/>
          <w:szCs w:val="21"/>
        </w:rPr>
        <w:t>重要结果和建议与下列报告期间所发的报告相关</w:t>
      </w:r>
      <w:r w:rsidRPr="00391373">
        <w:rPr>
          <w:rFonts w:asciiTheme="minorEastAsia" w:eastAsiaTheme="minorEastAsia" w:hAnsiTheme="minorEastAsia"/>
          <w:sz w:val="21"/>
          <w:szCs w:val="21"/>
          <w:vertAlign w:val="superscript"/>
        </w:rPr>
        <w:footnoteReference w:customMarkFollows="1" w:id="3"/>
        <w:t>2</w:t>
      </w:r>
      <w:r w:rsidRPr="00391373">
        <w:rPr>
          <w:rFonts w:asciiTheme="minorEastAsia" w:eastAsiaTheme="minorEastAsia" w:hAnsiTheme="minorEastAsia"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44" w:name="OLE_LINK139"/>
      <w:bookmarkStart w:id="45" w:name="OLE_LINK140"/>
      <w:r>
        <w:rPr>
          <w:rFonts w:ascii="SimSun" w:hAnsi="SimSun" w:hint="eastAsia"/>
          <w:sz w:val="21"/>
          <w:szCs w:val="21"/>
        </w:rPr>
        <w:t>产权组织</w:t>
      </w:r>
      <w:r w:rsidRPr="0046008B">
        <w:rPr>
          <w:rFonts w:ascii="SimSun" w:hAnsi="SimSun" w:hint="eastAsia"/>
          <w:sz w:val="21"/>
          <w:szCs w:val="21"/>
        </w:rPr>
        <w:t>组织/主办的第三方活动管理审计</w:t>
      </w:r>
      <w:bookmarkEnd w:id="44"/>
      <w:bookmarkEnd w:id="45"/>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46" w:name="OLE_LINK412"/>
      <w:bookmarkStart w:id="47" w:name="OLE_LINK413"/>
      <w:r w:rsidRPr="0046008B">
        <w:rPr>
          <w:rFonts w:ascii="SimSun" w:hAnsi="SimSun" w:hint="eastAsia"/>
          <w:sz w:val="21"/>
          <w:szCs w:val="21"/>
        </w:rPr>
        <w:t>软件资产管理审计</w:t>
      </w:r>
      <w:bookmarkEnd w:id="46"/>
      <w:bookmarkEnd w:id="47"/>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48" w:name="OLE_LINK215"/>
      <w:bookmarkStart w:id="49" w:name="OLE_LINK216"/>
      <w:bookmarkStart w:id="50" w:name="OLE_LINK414"/>
      <w:r w:rsidRPr="0046008B">
        <w:rPr>
          <w:rFonts w:ascii="SimSun" w:hAnsi="SimSun" w:hint="eastAsia"/>
          <w:sz w:val="21"/>
          <w:szCs w:val="21"/>
        </w:rPr>
        <w:t>征聘审计</w:t>
      </w:r>
      <w:bookmarkEnd w:id="48"/>
      <w:bookmarkEnd w:id="49"/>
      <w:bookmarkEnd w:id="50"/>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r w:rsidRPr="0046008B">
        <w:rPr>
          <w:rFonts w:ascii="SimSun" w:hAnsi="SimSun" w:hint="eastAsia"/>
          <w:sz w:val="21"/>
          <w:szCs w:val="21"/>
        </w:rPr>
        <w:t>语言司审计；</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51" w:name="OLE_LINK280"/>
      <w:bookmarkStart w:id="52" w:name="OLE_LINK281"/>
      <w:r w:rsidRPr="0046008B">
        <w:rPr>
          <w:rFonts w:ascii="SimSun" w:hAnsi="SimSun" w:hint="eastAsia"/>
          <w:sz w:val="21"/>
          <w:szCs w:val="21"/>
        </w:rPr>
        <w:t>差旅管理审计</w:t>
      </w:r>
      <w:bookmarkEnd w:id="51"/>
      <w:bookmarkEnd w:id="52"/>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53" w:name="OLE_LINK13"/>
      <w:bookmarkStart w:id="54" w:name="OLE_LINK14"/>
      <w:bookmarkStart w:id="55" w:name="OLE_LINK415"/>
      <w:r w:rsidRPr="0046008B">
        <w:rPr>
          <w:rFonts w:ascii="SimSun" w:hAnsi="SimSun" w:hint="eastAsia"/>
          <w:sz w:val="21"/>
          <w:szCs w:val="21"/>
        </w:rPr>
        <w:t>连续审计备忘录</w:t>
      </w:r>
      <w:bookmarkEnd w:id="53"/>
      <w:bookmarkEnd w:id="54"/>
      <w:bookmarkEnd w:id="55"/>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56" w:name="OLE_LINK49"/>
      <w:bookmarkStart w:id="57" w:name="OLE_LINK50"/>
      <w:bookmarkStart w:id="58" w:name="OLE_LINK416"/>
      <w:bookmarkStart w:id="59" w:name="OLE_LINK417"/>
      <w:bookmarkStart w:id="60" w:name="OLE_LINK427"/>
      <w:r>
        <w:rPr>
          <w:rFonts w:ascii="SimSun" w:hAnsi="SimSun" w:hint="eastAsia"/>
          <w:sz w:val="21"/>
          <w:szCs w:val="21"/>
        </w:rPr>
        <w:t>产权组织</w:t>
      </w:r>
      <w:r w:rsidRPr="0046008B">
        <w:rPr>
          <w:rFonts w:ascii="SimSun" w:hAnsi="SimSun" w:hint="eastAsia"/>
          <w:sz w:val="21"/>
          <w:szCs w:val="21"/>
        </w:rPr>
        <w:t>交流活动及其对</w:t>
      </w:r>
      <w:r>
        <w:rPr>
          <w:rFonts w:ascii="SimSun" w:hAnsi="SimSun" w:hint="eastAsia"/>
          <w:sz w:val="21"/>
          <w:szCs w:val="21"/>
        </w:rPr>
        <w:t>产权组织</w:t>
      </w:r>
      <w:r w:rsidRPr="0046008B">
        <w:rPr>
          <w:rFonts w:ascii="SimSun" w:hAnsi="SimSun" w:hint="eastAsia"/>
          <w:sz w:val="21"/>
          <w:szCs w:val="21"/>
        </w:rPr>
        <w:t>品牌和声誉的促进作用</w:t>
      </w:r>
      <w:bookmarkEnd w:id="56"/>
      <w:bookmarkEnd w:id="57"/>
      <w:r w:rsidRPr="0046008B">
        <w:rPr>
          <w:rFonts w:ascii="SimSun" w:hAnsi="SimSun" w:hint="eastAsia"/>
          <w:sz w:val="21"/>
          <w:szCs w:val="21"/>
        </w:rPr>
        <w:t>评价</w:t>
      </w:r>
      <w:bookmarkEnd w:id="58"/>
      <w:bookmarkEnd w:id="59"/>
      <w:bookmarkEnd w:id="60"/>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61" w:name="OLE_LINK85"/>
      <w:bookmarkStart w:id="62" w:name="OLE_LINK86"/>
      <w:bookmarkStart w:id="63" w:name="OLE_LINK55"/>
      <w:bookmarkStart w:id="64" w:name="OLE_LINK418"/>
      <w:bookmarkStart w:id="65" w:name="OLE_LINK419"/>
      <w:r w:rsidRPr="0046008B">
        <w:rPr>
          <w:rFonts w:ascii="SimSun" w:hAnsi="SimSun"/>
          <w:sz w:val="21"/>
          <w:szCs w:val="21"/>
        </w:rPr>
        <w:t>拉丁美洲和</w:t>
      </w:r>
      <w:r>
        <w:rPr>
          <w:rFonts w:ascii="SimSun" w:hAnsi="SimSun"/>
          <w:sz w:val="21"/>
          <w:szCs w:val="21"/>
        </w:rPr>
        <w:t>加勒比</w:t>
      </w:r>
      <w:r>
        <w:rPr>
          <w:rFonts w:ascii="SimSun" w:hAnsi="SimSun" w:hint="eastAsia"/>
          <w:sz w:val="21"/>
          <w:szCs w:val="21"/>
        </w:rPr>
        <w:t>地</w:t>
      </w:r>
      <w:r>
        <w:rPr>
          <w:rFonts w:ascii="SimSun" w:hAnsi="SimSun"/>
          <w:sz w:val="21"/>
          <w:szCs w:val="21"/>
        </w:rPr>
        <w:t>区</w:t>
      </w:r>
      <w:r w:rsidRPr="0046008B">
        <w:rPr>
          <w:rFonts w:ascii="SimSun" w:hAnsi="SimSun"/>
          <w:sz w:val="21"/>
          <w:szCs w:val="21"/>
        </w:rPr>
        <w:t>局</w:t>
      </w:r>
      <w:bookmarkEnd w:id="61"/>
      <w:bookmarkEnd w:id="62"/>
      <w:bookmarkEnd w:id="63"/>
      <w:r w:rsidRPr="0046008B">
        <w:rPr>
          <w:rFonts w:ascii="SimSun" w:hAnsi="SimSun" w:hint="eastAsia"/>
          <w:sz w:val="21"/>
          <w:szCs w:val="21"/>
        </w:rPr>
        <w:t>评价</w:t>
      </w:r>
      <w:bookmarkEnd w:id="64"/>
      <w:bookmarkEnd w:id="65"/>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66" w:name="OLE_LINK89"/>
      <w:bookmarkStart w:id="67" w:name="OLE_LINK90"/>
      <w:bookmarkStart w:id="68" w:name="OLE_LINK422"/>
      <w:r w:rsidRPr="0046008B">
        <w:rPr>
          <w:rFonts w:ascii="SimSun" w:hAnsi="SimSun" w:hint="eastAsia"/>
          <w:sz w:val="21"/>
          <w:szCs w:val="21"/>
        </w:rPr>
        <w:t>计划18：知识产权与全球挑战评价</w:t>
      </w:r>
      <w:bookmarkEnd w:id="66"/>
      <w:bookmarkEnd w:id="67"/>
      <w:bookmarkEnd w:id="68"/>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69" w:name="OLE_LINK423"/>
      <w:bookmarkStart w:id="70" w:name="OLE_LINK424"/>
      <w:bookmarkStart w:id="71" w:name="OLE_LINK449"/>
      <w:r w:rsidRPr="0046008B">
        <w:rPr>
          <w:rFonts w:ascii="SimSun" w:hAnsi="SimSun" w:hint="eastAsia"/>
          <w:sz w:val="21"/>
          <w:szCs w:val="21"/>
        </w:rPr>
        <w:t>知识产权技能的能力发展评价</w:t>
      </w:r>
      <w:bookmarkEnd w:id="69"/>
      <w:bookmarkEnd w:id="70"/>
      <w:bookmarkEnd w:id="71"/>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72" w:name="OLE_LINK425"/>
      <w:bookmarkStart w:id="73" w:name="OLE_LINK426"/>
      <w:r w:rsidRPr="0046008B">
        <w:rPr>
          <w:rFonts w:ascii="SimSun" w:hAnsi="SimSun" w:hint="eastAsia"/>
          <w:sz w:val="21"/>
          <w:szCs w:val="21"/>
        </w:rPr>
        <w:t>停车场交通规则所涉管理问题报告</w:t>
      </w:r>
      <w:bookmarkEnd w:id="72"/>
      <w:bookmarkEnd w:id="73"/>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74" w:name="OLE_LINK429"/>
      <w:bookmarkStart w:id="75" w:name="OLE_LINK430"/>
      <w:r w:rsidRPr="0046008B">
        <w:rPr>
          <w:rFonts w:ascii="SimSun" w:hAnsi="SimSun" w:hint="eastAsia"/>
          <w:sz w:val="21"/>
          <w:szCs w:val="21"/>
        </w:rPr>
        <w:t>工作人员进入和使用停车场所涉管理问题报告</w:t>
      </w:r>
      <w:bookmarkEnd w:id="74"/>
      <w:bookmarkEnd w:id="75"/>
      <w:r w:rsidRPr="0046008B">
        <w:rPr>
          <w:rFonts w:ascii="SimSun" w:hAnsi="SimSun" w:hint="eastAsia"/>
          <w:sz w:val="21"/>
          <w:szCs w:val="21"/>
        </w:rPr>
        <w:t>；</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76" w:name="OLE_LINK431"/>
      <w:bookmarkStart w:id="77" w:name="OLE_LINK432"/>
      <w:bookmarkStart w:id="78" w:name="OLE_LINK433"/>
      <w:r w:rsidRPr="0046008B">
        <w:rPr>
          <w:rFonts w:ascii="SimSun" w:hAnsi="SimSun" w:hint="eastAsia"/>
          <w:sz w:val="21"/>
          <w:szCs w:val="21"/>
        </w:rPr>
        <w:t>请购单所涉管理问题报告</w:t>
      </w:r>
      <w:bookmarkEnd w:id="76"/>
      <w:bookmarkEnd w:id="77"/>
      <w:bookmarkEnd w:id="78"/>
      <w:r w:rsidRPr="0046008B">
        <w:rPr>
          <w:rFonts w:ascii="SimSun" w:hAnsi="SimSun" w:hint="eastAsia"/>
          <w:sz w:val="21"/>
          <w:szCs w:val="21"/>
        </w:rPr>
        <w:t>；和</w:t>
      </w:r>
    </w:p>
    <w:p w:rsidR="0046008B" w:rsidRPr="0046008B" w:rsidRDefault="0046008B" w:rsidP="0046008B">
      <w:pPr>
        <w:pStyle w:val="ONUME"/>
        <w:numPr>
          <w:ilvl w:val="1"/>
          <w:numId w:val="3"/>
        </w:numPr>
        <w:overflowPunct w:val="0"/>
        <w:spacing w:afterLines="50" w:after="120" w:line="340" w:lineRule="atLeast"/>
        <w:rPr>
          <w:rFonts w:ascii="SimSun" w:hAnsi="SimSun"/>
          <w:sz w:val="21"/>
          <w:szCs w:val="21"/>
        </w:rPr>
      </w:pPr>
      <w:bookmarkStart w:id="79" w:name="OLE_LINK317"/>
      <w:bookmarkStart w:id="80" w:name="OLE_LINK318"/>
      <w:bookmarkStart w:id="81" w:name="OLE_LINK428"/>
      <w:r w:rsidRPr="0046008B">
        <w:rPr>
          <w:rFonts w:ascii="SimSun" w:hAnsi="SimSun" w:hint="eastAsia"/>
          <w:sz w:val="21"/>
          <w:szCs w:val="21"/>
        </w:rPr>
        <w:t>监督司关于2016/17年产权组织绩效报告的审定报告</w:t>
      </w:r>
      <w:bookmarkEnd w:id="79"/>
      <w:bookmarkEnd w:id="80"/>
      <w:bookmarkEnd w:id="81"/>
      <w:r w:rsidRPr="0046008B">
        <w:rPr>
          <w:rFonts w:ascii="SimSun" w:hAnsi="SimSun" w:hint="eastAsia"/>
          <w:sz w:val="21"/>
          <w:szCs w:val="21"/>
        </w:rPr>
        <w:t>。</w:t>
      </w:r>
    </w:p>
    <w:p w:rsidR="0046008B" w:rsidRPr="0046008B" w:rsidRDefault="0046008B" w:rsidP="000B1486">
      <w:pPr>
        <w:pStyle w:val="ONUME"/>
        <w:overflowPunct w:val="0"/>
        <w:spacing w:afterLines="50" w:after="120" w:line="340" w:lineRule="atLeast"/>
        <w:jc w:val="both"/>
        <w:rPr>
          <w:rFonts w:ascii="SimSun" w:hAnsi="SimSun"/>
          <w:sz w:val="21"/>
          <w:szCs w:val="21"/>
        </w:rPr>
      </w:pPr>
      <w:r w:rsidRPr="0046008B">
        <w:rPr>
          <w:rFonts w:ascii="SimSun" w:hAnsi="SimSun" w:hint="eastAsia"/>
          <w:sz w:val="21"/>
          <w:szCs w:val="21"/>
        </w:rPr>
        <w:t>监督司继续与管理层对话，以定期审查和更新未落实建议的执行情况。对于所有建议，管理层通过一项行动计划，确定建议开展的各项活动、负责人员和实施的最后期限。监督建议在TeamCentral©</w:t>
      </w:r>
      <w:r w:rsidRPr="0046008B">
        <w:rPr>
          <w:rStyle w:val="af"/>
          <w:rFonts w:ascii="SimSun" w:hAnsi="SimSun"/>
          <w:sz w:val="21"/>
          <w:szCs w:val="21"/>
        </w:rPr>
        <w:footnoteReference w:customMarkFollows="1" w:id="4"/>
        <w:t>3</w:t>
      </w:r>
      <w:r w:rsidRPr="0046008B">
        <w:rPr>
          <w:rFonts w:ascii="SimSun" w:hAnsi="SimSun" w:hint="eastAsia"/>
          <w:sz w:val="21"/>
          <w:szCs w:val="21"/>
        </w:rPr>
        <w:t>系统中进行管理，监督司、产权组织管理层和外聘审计员均可访问。</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bookmarkStart w:id="82" w:name="_Toc466452885"/>
      <w:bookmarkStart w:id="83" w:name="_Toc476745977"/>
      <w:r w:rsidRPr="0001114D">
        <w:rPr>
          <w:rFonts w:asciiTheme="minorEastAsia" w:eastAsiaTheme="minorEastAsia" w:hAnsiTheme="minorEastAsia" w:hint="eastAsia"/>
          <w:b/>
          <w:sz w:val="21"/>
          <w:szCs w:val="21"/>
        </w:rPr>
        <w:t>产权组织组织/主办的第三方活动管理审计</w:t>
      </w:r>
    </w:p>
    <w:bookmarkEnd w:id="82"/>
    <w:p w:rsidR="000B1486" w:rsidRPr="000B1486" w:rsidRDefault="000B1486" w:rsidP="000B1486">
      <w:pPr>
        <w:pStyle w:val="ONUME"/>
        <w:overflowPunct w:val="0"/>
        <w:spacing w:afterLines="50" w:after="120" w:line="340" w:lineRule="atLeast"/>
        <w:jc w:val="both"/>
        <w:rPr>
          <w:rFonts w:ascii="SimSun" w:hAnsi="SimSun"/>
          <w:sz w:val="21"/>
          <w:szCs w:val="21"/>
        </w:rPr>
      </w:pPr>
      <w:r w:rsidRPr="000B1486">
        <w:rPr>
          <w:rFonts w:ascii="SimSun" w:hAnsi="SimSun" w:hint="eastAsia"/>
          <w:sz w:val="21"/>
          <w:szCs w:val="21"/>
        </w:rPr>
        <w:t>审计发现，在程序和最新准则的支持下，以现有政策、指示和内部备忘录为基础的</w:t>
      </w:r>
      <w:r>
        <w:rPr>
          <w:rFonts w:ascii="SimSun" w:hAnsi="SimSun" w:hint="eastAsia"/>
          <w:sz w:val="21"/>
          <w:szCs w:val="21"/>
        </w:rPr>
        <w:t>产权组织</w:t>
      </w:r>
      <w:r w:rsidRPr="000B1486">
        <w:rPr>
          <w:rFonts w:ascii="SimSun" w:hAnsi="SimSun" w:hint="eastAsia"/>
          <w:sz w:val="21"/>
          <w:szCs w:val="21"/>
        </w:rPr>
        <w:t>组织/主办第三方活动的总体政策将有助于为活动提供指导，并明确责任和问责。</w:t>
      </w:r>
    </w:p>
    <w:p w:rsidR="000B1486" w:rsidRPr="000B1486" w:rsidRDefault="000B1486" w:rsidP="000B1486">
      <w:pPr>
        <w:pStyle w:val="ONUME"/>
        <w:overflowPunct w:val="0"/>
        <w:spacing w:afterLines="50" w:after="120" w:line="340" w:lineRule="atLeast"/>
        <w:jc w:val="both"/>
        <w:rPr>
          <w:rFonts w:ascii="SimSun" w:hAnsi="SimSun"/>
          <w:sz w:val="21"/>
          <w:szCs w:val="21"/>
        </w:rPr>
      </w:pPr>
      <w:r w:rsidRPr="000B1486">
        <w:rPr>
          <w:rFonts w:ascii="SimSun" w:hAnsi="SimSun" w:hint="eastAsia"/>
          <w:sz w:val="21"/>
          <w:szCs w:val="21"/>
        </w:rPr>
        <w:t>协调人力资源需求与职责、增长的第三</w:t>
      </w:r>
      <w:proofErr w:type="gramStart"/>
      <w:r w:rsidRPr="000B1486">
        <w:rPr>
          <w:rFonts w:ascii="SimSun" w:hAnsi="SimSun" w:hint="eastAsia"/>
          <w:sz w:val="21"/>
          <w:szCs w:val="21"/>
        </w:rPr>
        <w:t>方需求</w:t>
      </w:r>
      <w:proofErr w:type="gramEnd"/>
      <w:r w:rsidRPr="000B1486">
        <w:rPr>
          <w:rFonts w:ascii="SimSun" w:hAnsi="SimSun" w:hint="eastAsia"/>
          <w:sz w:val="21"/>
          <w:szCs w:val="21"/>
        </w:rPr>
        <w:t>以及参与组织和主办第三方活动的部门发现的资源缺口，将进一步支持有效交付。此外，建立汇编数据的方法，用于报告组织/举办第三方活动的人事和非人事费用，将有助于评估</w:t>
      </w:r>
      <w:r>
        <w:rPr>
          <w:rFonts w:ascii="SimSun" w:hAnsi="SimSun" w:hint="eastAsia"/>
          <w:sz w:val="21"/>
          <w:szCs w:val="21"/>
        </w:rPr>
        <w:t>产权组织</w:t>
      </w:r>
      <w:r w:rsidRPr="000B1486">
        <w:rPr>
          <w:rFonts w:ascii="SimSun" w:hAnsi="SimSun" w:hint="eastAsia"/>
          <w:sz w:val="21"/>
          <w:szCs w:val="21"/>
        </w:rPr>
        <w:t>资源的可持续性和影响。</w:t>
      </w:r>
    </w:p>
    <w:p w:rsidR="000B1486" w:rsidRPr="000B1486" w:rsidRDefault="000B1486" w:rsidP="000B1486">
      <w:pPr>
        <w:pStyle w:val="ONUME"/>
        <w:overflowPunct w:val="0"/>
        <w:spacing w:afterLines="50" w:after="120" w:line="340" w:lineRule="atLeast"/>
        <w:jc w:val="both"/>
        <w:rPr>
          <w:rFonts w:ascii="SimSun" w:hAnsi="SimSun"/>
          <w:sz w:val="21"/>
          <w:szCs w:val="21"/>
        </w:rPr>
      </w:pPr>
      <w:r w:rsidRPr="000B1486">
        <w:rPr>
          <w:rFonts w:ascii="SimSun" w:hAnsi="SimSun" w:hint="eastAsia"/>
          <w:sz w:val="21"/>
          <w:szCs w:val="21"/>
        </w:rPr>
        <w:t>虽然有关于</w:t>
      </w:r>
      <w:r>
        <w:rPr>
          <w:rFonts w:ascii="SimSun" w:hAnsi="SimSun" w:hint="eastAsia"/>
          <w:sz w:val="21"/>
          <w:szCs w:val="21"/>
        </w:rPr>
        <w:t>产权组织</w:t>
      </w:r>
      <w:r w:rsidRPr="000B1486">
        <w:rPr>
          <w:rFonts w:ascii="SimSun" w:hAnsi="SimSun" w:hint="eastAsia"/>
          <w:sz w:val="21"/>
          <w:szCs w:val="21"/>
        </w:rPr>
        <w:t xml:space="preserve">会议室租金的政策，但在2016年的十次会议室租赁中仅收取了三次租金；从而为补贴第三方活动产生了额外费用。此外，评估成本，以及设定在Arpad </w:t>
      </w:r>
      <w:proofErr w:type="spellStart"/>
      <w:r w:rsidRPr="000B1486">
        <w:rPr>
          <w:rFonts w:ascii="SimSun" w:hAnsi="SimSun" w:hint="eastAsia"/>
          <w:sz w:val="21"/>
          <w:szCs w:val="21"/>
        </w:rPr>
        <w:t>Bogsch</w:t>
      </w:r>
      <w:proofErr w:type="spellEnd"/>
      <w:r w:rsidRPr="000B1486">
        <w:rPr>
          <w:rFonts w:ascii="SimSun" w:hAnsi="SimSun" w:hint="eastAsia"/>
          <w:sz w:val="21"/>
          <w:szCs w:val="21"/>
        </w:rPr>
        <w:t>楼大厅和新楼中厅等开放空间（占此类活动所用空间的55％）举办的第三方活动的费用，将有助于进一步提高所发生费用的透明度，以及帮助</w:t>
      </w:r>
      <w:proofErr w:type="gramStart"/>
      <w:r w:rsidRPr="000B1486">
        <w:rPr>
          <w:rFonts w:ascii="SimSun" w:hAnsi="SimSun" w:hint="eastAsia"/>
          <w:sz w:val="21"/>
          <w:szCs w:val="21"/>
        </w:rPr>
        <w:t>评估此</w:t>
      </w:r>
      <w:proofErr w:type="gramEnd"/>
      <w:r w:rsidRPr="000B1486">
        <w:rPr>
          <w:rFonts w:ascii="SimSun" w:hAnsi="SimSun" w:hint="eastAsia"/>
          <w:sz w:val="21"/>
          <w:szCs w:val="21"/>
        </w:rPr>
        <w:t>活动的可持续性。</w:t>
      </w:r>
    </w:p>
    <w:p w:rsidR="000B1486" w:rsidRPr="000B1486" w:rsidRDefault="000B1486" w:rsidP="000B1486">
      <w:pPr>
        <w:pStyle w:val="ONUME"/>
        <w:overflowPunct w:val="0"/>
        <w:spacing w:afterLines="50" w:after="120" w:line="340" w:lineRule="atLeast"/>
        <w:jc w:val="both"/>
        <w:rPr>
          <w:rFonts w:ascii="SimSun" w:hAnsi="SimSun"/>
          <w:sz w:val="21"/>
          <w:szCs w:val="21"/>
        </w:rPr>
      </w:pPr>
      <w:r w:rsidRPr="000B1486">
        <w:rPr>
          <w:rFonts w:ascii="SimSun" w:hAnsi="SimSun" w:hint="eastAsia"/>
          <w:sz w:val="21"/>
          <w:szCs w:val="21"/>
        </w:rPr>
        <w:t>最后，可能将当前的手动流程纳入PeopleSoft工作流程，如此将能对此活动进行更加有效和高效的整体管理。与第三方系统性建立合同/协议或交换信函（包括非租赁情况），将更好地阐明预期和职责，并保护本组织的资产和声誉。</w:t>
      </w:r>
    </w:p>
    <w:p w:rsidR="000B1486" w:rsidRPr="000B1486" w:rsidRDefault="000B1486" w:rsidP="000B1486">
      <w:pPr>
        <w:pStyle w:val="ONUME"/>
        <w:overflowPunct w:val="0"/>
        <w:spacing w:afterLines="50" w:after="120" w:line="340" w:lineRule="atLeast"/>
        <w:jc w:val="both"/>
        <w:rPr>
          <w:rFonts w:ascii="SimSun" w:hAnsi="SimSun"/>
          <w:sz w:val="21"/>
          <w:szCs w:val="21"/>
        </w:rPr>
      </w:pPr>
      <w:r w:rsidRPr="000B1486">
        <w:rPr>
          <w:rFonts w:ascii="SimSun" w:hAnsi="SimSun" w:hint="eastAsia"/>
          <w:sz w:val="21"/>
          <w:szCs w:val="21"/>
        </w:rPr>
        <w:t>监督司提出了四项建议，这些建议应于2018年1月底之前落实；然而，这些建议至今仍未落</w:t>
      </w:r>
      <w:r>
        <w:rPr>
          <w:rFonts w:ascii="SimSun" w:hAnsi="SimSun" w:hint="cs"/>
          <w:sz w:val="21"/>
          <w:szCs w:val="21"/>
        </w:rPr>
        <w:t>‍</w:t>
      </w:r>
      <w:r w:rsidRPr="000B1486">
        <w:rPr>
          <w:rFonts w:ascii="SimSun" w:hAnsi="SimSun" w:hint="eastAsia"/>
          <w:sz w:val="21"/>
          <w:szCs w:val="21"/>
        </w:rPr>
        <w:t>实。</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bookmarkStart w:id="84" w:name="_Toc476745979"/>
      <w:bookmarkEnd w:id="83"/>
      <w:r w:rsidRPr="0001114D">
        <w:rPr>
          <w:rFonts w:asciiTheme="minorEastAsia" w:eastAsiaTheme="minorEastAsia" w:hAnsiTheme="minorEastAsia" w:hint="eastAsia"/>
          <w:b/>
          <w:sz w:val="21"/>
          <w:szCs w:val="21"/>
        </w:rPr>
        <w:t>软件资产管理审计</w:t>
      </w:r>
    </w:p>
    <w:p w:rsidR="000B1486" w:rsidRPr="00043D48" w:rsidRDefault="000B1486" w:rsidP="00043D48">
      <w:pPr>
        <w:pStyle w:val="ONUME"/>
        <w:overflowPunct w:val="0"/>
        <w:spacing w:afterLines="50" w:after="120" w:line="340" w:lineRule="atLeast"/>
        <w:jc w:val="both"/>
        <w:rPr>
          <w:rFonts w:ascii="SimSun" w:hAnsi="SimSun"/>
          <w:sz w:val="21"/>
          <w:szCs w:val="21"/>
        </w:rPr>
      </w:pPr>
      <w:r w:rsidRPr="00043D48">
        <w:rPr>
          <w:rFonts w:ascii="SimSun" w:hAnsi="SimSun" w:hint="eastAsia"/>
          <w:sz w:val="21"/>
          <w:szCs w:val="21"/>
        </w:rPr>
        <w:t>审计发现，在最新程序和指导方针的支持下，软件资产的总体政策将有助于为管理软件资产提供指导，并明确责任和问责。</w:t>
      </w:r>
    </w:p>
    <w:p w:rsidR="000B1486" w:rsidRPr="00043D48" w:rsidRDefault="000B1486" w:rsidP="00043D48">
      <w:pPr>
        <w:pStyle w:val="ONUME"/>
        <w:overflowPunct w:val="0"/>
        <w:spacing w:afterLines="50" w:after="120" w:line="340" w:lineRule="atLeast"/>
        <w:jc w:val="both"/>
        <w:rPr>
          <w:rFonts w:ascii="SimSun" w:hAnsi="SimSun"/>
          <w:sz w:val="21"/>
          <w:szCs w:val="21"/>
        </w:rPr>
      </w:pPr>
      <w:r w:rsidRPr="00043D48">
        <w:rPr>
          <w:rFonts w:ascii="SimSun" w:hAnsi="SimSun" w:hint="eastAsia"/>
          <w:sz w:val="21"/>
          <w:szCs w:val="21"/>
        </w:rPr>
        <w:t>政策还有助于：</w:t>
      </w:r>
    </w:p>
    <w:p w:rsidR="000B1486" w:rsidRPr="00043D48" w:rsidRDefault="000B1486" w:rsidP="00043D48">
      <w:pPr>
        <w:pStyle w:val="ONUME"/>
        <w:numPr>
          <w:ilvl w:val="1"/>
          <w:numId w:val="3"/>
        </w:numPr>
        <w:overflowPunct w:val="0"/>
        <w:spacing w:afterLines="50" w:after="120" w:line="340" w:lineRule="atLeast"/>
        <w:rPr>
          <w:rFonts w:ascii="SimSun" w:hAnsi="SimSun"/>
          <w:sz w:val="21"/>
          <w:szCs w:val="21"/>
        </w:rPr>
      </w:pPr>
      <w:r w:rsidRPr="00043D48">
        <w:rPr>
          <w:rFonts w:ascii="SimSun" w:hAnsi="SimSun" w:hint="eastAsia"/>
          <w:sz w:val="21"/>
          <w:szCs w:val="21"/>
        </w:rPr>
        <w:t>明确建立一个有识别度的、对其他信息技术（IT）部门具有明确职责的软件资产管理部</w:t>
      </w:r>
      <w:r w:rsidR="00043D48">
        <w:rPr>
          <w:rFonts w:ascii="SimSun" w:hAnsi="SimSun" w:hint="cs"/>
          <w:sz w:val="21"/>
          <w:szCs w:val="21"/>
        </w:rPr>
        <w:t>‍</w:t>
      </w:r>
      <w:r w:rsidRPr="00043D48">
        <w:rPr>
          <w:rFonts w:ascii="SimSun" w:hAnsi="SimSun" w:hint="eastAsia"/>
          <w:sz w:val="21"/>
          <w:szCs w:val="21"/>
        </w:rPr>
        <w:t>门；</w:t>
      </w:r>
    </w:p>
    <w:p w:rsidR="000B1486" w:rsidRPr="00043D48" w:rsidRDefault="000B1486" w:rsidP="00043D48">
      <w:pPr>
        <w:pStyle w:val="ONUME"/>
        <w:numPr>
          <w:ilvl w:val="1"/>
          <w:numId w:val="3"/>
        </w:numPr>
        <w:overflowPunct w:val="0"/>
        <w:spacing w:afterLines="50" w:after="120" w:line="340" w:lineRule="atLeast"/>
        <w:rPr>
          <w:rFonts w:ascii="SimSun" w:hAnsi="SimSun"/>
          <w:sz w:val="21"/>
          <w:szCs w:val="21"/>
        </w:rPr>
      </w:pPr>
      <w:r w:rsidRPr="00043D48">
        <w:rPr>
          <w:rFonts w:ascii="SimSun" w:hAnsi="SimSun" w:hint="eastAsia"/>
          <w:sz w:val="21"/>
          <w:szCs w:val="21"/>
        </w:rPr>
        <w:t>确定加强许可证管理的手段，并充分支持和协助合同经理；和</w:t>
      </w:r>
    </w:p>
    <w:p w:rsidR="000B1486" w:rsidRPr="00043D48" w:rsidRDefault="000B1486" w:rsidP="00043D48">
      <w:pPr>
        <w:pStyle w:val="ONUME"/>
        <w:numPr>
          <w:ilvl w:val="1"/>
          <w:numId w:val="3"/>
        </w:numPr>
        <w:overflowPunct w:val="0"/>
        <w:spacing w:afterLines="50" w:after="120" w:line="340" w:lineRule="atLeast"/>
        <w:rPr>
          <w:rFonts w:ascii="SimSun" w:hAnsi="SimSun"/>
          <w:sz w:val="21"/>
          <w:szCs w:val="21"/>
        </w:rPr>
      </w:pPr>
      <w:r w:rsidRPr="00043D48">
        <w:rPr>
          <w:rFonts w:ascii="SimSun" w:hAnsi="SimSun" w:hint="eastAsia"/>
          <w:sz w:val="21"/>
          <w:szCs w:val="21"/>
        </w:rPr>
        <w:t>确定工具、系统和程序，为软件资产清单提供单一来源，并简化产权组织财务报表中的软件资产记录。</w:t>
      </w:r>
    </w:p>
    <w:p w:rsidR="000B1486" w:rsidRPr="00043D48" w:rsidRDefault="000B1486" w:rsidP="00043D48">
      <w:pPr>
        <w:pStyle w:val="ONUME"/>
        <w:overflowPunct w:val="0"/>
        <w:spacing w:afterLines="50" w:after="120" w:line="340" w:lineRule="atLeast"/>
        <w:jc w:val="both"/>
        <w:rPr>
          <w:rFonts w:ascii="SimSun" w:hAnsi="SimSun"/>
          <w:sz w:val="21"/>
          <w:szCs w:val="21"/>
        </w:rPr>
      </w:pPr>
      <w:r w:rsidRPr="00043D48">
        <w:rPr>
          <w:rFonts w:ascii="SimSun" w:hAnsi="SimSun" w:hint="eastAsia"/>
          <w:sz w:val="21"/>
          <w:szCs w:val="21"/>
        </w:rPr>
        <w:t>作为其IT战略目标的一部分，产权组织决定将其部分平台、基础设施和软件服务迁移到云端。虽然</w:t>
      </w:r>
      <w:proofErr w:type="gramStart"/>
      <w:r w:rsidRPr="00043D48">
        <w:rPr>
          <w:rFonts w:ascii="SimSun" w:hAnsi="SimSun" w:hint="eastAsia"/>
          <w:sz w:val="21"/>
          <w:szCs w:val="21"/>
        </w:rPr>
        <w:t>云计划</w:t>
      </w:r>
      <w:proofErr w:type="gramEnd"/>
      <w:r w:rsidRPr="00043D48">
        <w:rPr>
          <w:rFonts w:ascii="SimSun" w:hAnsi="SimSun" w:hint="eastAsia"/>
          <w:sz w:val="21"/>
          <w:szCs w:val="21"/>
        </w:rPr>
        <w:t>仍处于初始阶段，但迁移到云端将需要强大的治理结构和实践；包括调整软件资产管理策略，以正确反映</w:t>
      </w:r>
      <w:proofErr w:type="gramStart"/>
      <w:r w:rsidRPr="00043D48">
        <w:rPr>
          <w:rFonts w:ascii="SimSun" w:hAnsi="SimSun" w:hint="eastAsia"/>
          <w:sz w:val="21"/>
          <w:szCs w:val="21"/>
        </w:rPr>
        <w:t>云管理</w:t>
      </w:r>
      <w:proofErr w:type="gramEnd"/>
      <w:r w:rsidRPr="00043D48">
        <w:rPr>
          <w:rFonts w:ascii="SimSun" w:hAnsi="SimSun" w:hint="eastAsia"/>
          <w:sz w:val="21"/>
          <w:szCs w:val="21"/>
        </w:rPr>
        <w:t>实践和相关风险。</w:t>
      </w:r>
    </w:p>
    <w:p w:rsidR="000B1486" w:rsidRPr="00043D48" w:rsidRDefault="000B1486" w:rsidP="00043D48">
      <w:pPr>
        <w:pStyle w:val="ONUME"/>
        <w:overflowPunct w:val="0"/>
        <w:spacing w:afterLines="50" w:after="120" w:line="340" w:lineRule="atLeast"/>
        <w:jc w:val="both"/>
        <w:rPr>
          <w:rFonts w:ascii="SimSun" w:hAnsi="SimSun"/>
          <w:sz w:val="21"/>
          <w:szCs w:val="21"/>
        </w:rPr>
      </w:pPr>
      <w:r w:rsidRPr="00043D48">
        <w:rPr>
          <w:rFonts w:ascii="SimSun" w:hAnsi="SimSun" w:hint="eastAsia"/>
          <w:sz w:val="21"/>
          <w:szCs w:val="21"/>
        </w:rPr>
        <w:t>最后，通过本组织的企业风险管理系统正式确定软件资产风险管理程序，将确保产权组织了解并积极减少可能会影响其软件资产有效和高效管理的风险。</w:t>
      </w:r>
    </w:p>
    <w:p w:rsidR="000B1486" w:rsidRPr="00043D48" w:rsidRDefault="00043D48" w:rsidP="00043D48">
      <w:pPr>
        <w:pStyle w:val="ONUME"/>
        <w:overflowPunct w:val="0"/>
        <w:spacing w:afterLines="50" w:after="120" w:line="340" w:lineRule="atLeast"/>
        <w:jc w:val="both"/>
        <w:rPr>
          <w:rFonts w:ascii="SimSun" w:hAnsi="SimSun"/>
          <w:sz w:val="21"/>
          <w:szCs w:val="21"/>
        </w:rPr>
      </w:pPr>
      <w:r>
        <w:rPr>
          <w:rFonts w:ascii="SimSun" w:hAnsi="SimSun" w:hint="eastAsia"/>
          <w:sz w:val="21"/>
          <w:szCs w:val="21"/>
        </w:rPr>
        <w:t>监督司提出了两项</w:t>
      </w:r>
      <w:r w:rsidR="000B1486" w:rsidRPr="00043D48">
        <w:rPr>
          <w:rFonts w:ascii="SimSun" w:hAnsi="SimSun" w:hint="eastAsia"/>
          <w:sz w:val="21"/>
          <w:szCs w:val="21"/>
        </w:rPr>
        <w:t>建议，将于</w:t>
      </w:r>
      <w:r w:rsidR="000B1486" w:rsidRPr="00043D48">
        <w:rPr>
          <w:rFonts w:ascii="SimSun" w:hAnsi="SimSun"/>
          <w:sz w:val="21"/>
          <w:szCs w:val="21"/>
        </w:rPr>
        <w:t>2018</w:t>
      </w:r>
      <w:r w:rsidR="000B1486" w:rsidRPr="00043D48">
        <w:rPr>
          <w:rFonts w:ascii="SimSun" w:hAnsi="SimSun" w:hint="eastAsia"/>
          <w:sz w:val="21"/>
          <w:szCs w:val="21"/>
        </w:rPr>
        <w:t>年底之前落实。</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征聘审计</w:t>
      </w:r>
    </w:p>
    <w:bookmarkEnd w:id="84"/>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审计发现，需加强产权组织的征聘政策、程序和指导方针，以确保征聘过程中决策的一致性，并应以准确、具体、可量化的方式记录和确定招聘前期指标。</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此外，需修订和更新一些政策和指导方针（例如任用委员会成员的政策和指导方针），以反映当前的流程、做法和电子招聘系统的应用。</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制定措施和控制手段，例如：核实每次竞聘中任命委员会提名工作人员的职等，确保将最新职务说明连同任命书一起发送给工作人员；审查《工作人员体检条例和细则》使其反映当前做法，将有助于确保人力资源管理部（HRMD）遵守征聘条例、细则和指导方针。</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然而有人指出，虽然2016年4月开始利用</w:t>
      </w:r>
      <w:proofErr w:type="spellStart"/>
      <w:r w:rsidRPr="008430A3">
        <w:rPr>
          <w:rFonts w:ascii="SimSun" w:hAnsi="SimSun" w:hint="eastAsia"/>
          <w:sz w:val="21"/>
          <w:szCs w:val="21"/>
        </w:rPr>
        <w:t>Taleo</w:t>
      </w:r>
      <w:proofErr w:type="spellEnd"/>
      <w:r w:rsidRPr="008430A3">
        <w:rPr>
          <w:rFonts w:ascii="SimSun" w:hAnsi="SimSun" w:hint="eastAsia"/>
          <w:sz w:val="21"/>
          <w:szCs w:val="21"/>
        </w:rPr>
        <w:t>系统提高了效率，但人力资源管理部并未充分利用该工具管理全部招聘周期。产权组织将受益于更好地利用该系统的数据分析功能以及在入</w:t>
      </w:r>
      <w:proofErr w:type="gramStart"/>
      <w:r w:rsidRPr="008430A3">
        <w:rPr>
          <w:rFonts w:ascii="SimSun" w:hAnsi="SimSun" w:hint="eastAsia"/>
          <w:sz w:val="21"/>
          <w:szCs w:val="21"/>
        </w:rPr>
        <w:t>职阶段</w:t>
      </w:r>
      <w:proofErr w:type="gramEnd"/>
      <w:r w:rsidRPr="008430A3">
        <w:rPr>
          <w:rFonts w:ascii="SimSun" w:hAnsi="SimSun" w:hint="eastAsia"/>
          <w:sz w:val="21"/>
          <w:szCs w:val="21"/>
        </w:rPr>
        <w:t>的手动流程自动化。</w:t>
      </w:r>
    </w:p>
    <w:p w:rsidR="000B1486" w:rsidRPr="008430A3" w:rsidRDefault="000B1486" w:rsidP="008430A3">
      <w:pPr>
        <w:pStyle w:val="ONUME"/>
        <w:overflowPunct w:val="0"/>
        <w:spacing w:afterLines="50" w:after="120" w:line="340" w:lineRule="atLeast"/>
        <w:jc w:val="both"/>
        <w:rPr>
          <w:rFonts w:ascii="SimSun" w:hAnsi="SimSun"/>
          <w:sz w:val="21"/>
          <w:szCs w:val="21"/>
        </w:rPr>
      </w:pPr>
      <w:bookmarkStart w:id="85" w:name="OLE_LINK174"/>
      <w:bookmarkStart w:id="86" w:name="OLE_LINK175"/>
      <w:r w:rsidRPr="008430A3">
        <w:rPr>
          <w:rFonts w:ascii="SimSun" w:hAnsi="SimSun" w:hint="eastAsia"/>
          <w:sz w:val="21"/>
          <w:szCs w:val="21"/>
        </w:rPr>
        <w:t>最后，作为本次审计的一部分，对产权组织征聘过程和入</w:t>
      </w:r>
      <w:proofErr w:type="gramStart"/>
      <w:r w:rsidRPr="008430A3">
        <w:rPr>
          <w:rFonts w:ascii="SimSun" w:hAnsi="SimSun" w:hint="eastAsia"/>
          <w:sz w:val="21"/>
          <w:szCs w:val="21"/>
        </w:rPr>
        <w:t>职进行</w:t>
      </w:r>
      <w:proofErr w:type="gramEnd"/>
      <w:r w:rsidRPr="008430A3">
        <w:rPr>
          <w:rFonts w:ascii="SimSun" w:hAnsi="SimSun" w:hint="eastAsia"/>
          <w:sz w:val="21"/>
          <w:szCs w:val="21"/>
        </w:rPr>
        <w:t>了调查，其结果支持部分上述意见，即有必要更好地遵守征聘条例、程序、指导方针和其他任命手续。</w:t>
      </w:r>
    </w:p>
    <w:bookmarkEnd w:id="85"/>
    <w:bookmarkEnd w:id="86"/>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监督司提出了五项建议，其中一项将于2018年6月底之前落实，其余四项将于2018年9月至12月期间落实。</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语言司审计</w:t>
      </w:r>
    </w:p>
    <w:p w:rsidR="000B1486" w:rsidRPr="008430A3" w:rsidRDefault="000B1486" w:rsidP="008430A3">
      <w:pPr>
        <w:pStyle w:val="ONUME"/>
        <w:overflowPunct w:val="0"/>
        <w:spacing w:afterLines="50" w:after="120" w:line="340" w:lineRule="atLeast"/>
        <w:jc w:val="both"/>
        <w:rPr>
          <w:rFonts w:ascii="SimSun" w:hAnsi="SimSun"/>
          <w:sz w:val="21"/>
          <w:szCs w:val="21"/>
        </w:rPr>
      </w:pPr>
      <w:bookmarkStart w:id="87" w:name="OLE_LINK176"/>
      <w:bookmarkStart w:id="88" w:name="OLE_LINK177"/>
      <w:r w:rsidRPr="008430A3">
        <w:rPr>
          <w:rFonts w:ascii="SimSun" w:hAnsi="SimSun" w:hint="eastAsia"/>
          <w:sz w:val="21"/>
          <w:szCs w:val="21"/>
        </w:rPr>
        <w:t>审计发现，为了有效和高效地运作，语言</w:t>
      </w:r>
      <w:proofErr w:type="gramStart"/>
      <w:r w:rsidRPr="008430A3">
        <w:rPr>
          <w:rFonts w:ascii="SimSun" w:hAnsi="SimSun" w:hint="eastAsia"/>
          <w:sz w:val="21"/>
          <w:szCs w:val="21"/>
        </w:rPr>
        <w:t>司需要</w:t>
      </w:r>
      <w:proofErr w:type="gramEnd"/>
      <w:r w:rsidRPr="008430A3">
        <w:rPr>
          <w:rFonts w:ascii="SimSun" w:hAnsi="SimSun" w:hint="eastAsia"/>
          <w:sz w:val="21"/>
          <w:szCs w:val="21"/>
        </w:rPr>
        <w:t>制定一项业务政策作为指导原则，并通过有效的指导方针、程序和办公指令予以加强，以支持其战略目标。</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总干事决定在专利合作条约（PCT）翻译司加强和集中产权组织对术语和翻译技术的支持，该部门将为此目的设立一个科，需要为该科设立一项职能任务，使其职责明确，并拥有适当技能的充足资源，以有效支持利益攸关方（语言司、PCT翻译司、品牌与外观设计部门）的工作。</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同样，由总干事担任主席的翻译协调小组决定建立一个由PCT、品牌与外观设计部门以及语言司共享的术语数据库平台，以便在产权组织网站上发布术语。这需要利益攸关方之间的有效合作与协调，以确保各术语数据库能够有效地整合到面向共同用户的平台上。</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语言司的术语数据库正在收尾，项目经理是语言司西班牙科一名即将退休的工作人员，因此，需采取有效措施，确保有序的知识转让和项目移交。</w:t>
      </w:r>
    </w:p>
    <w:p w:rsidR="000B1486" w:rsidRPr="00792C08" w:rsidRDefault="000B1486" w:rsidP="008430A3">
      <w:pPr>
        <w:pStyle w:val="ONUME"/>
        <w:overflowPunct w:val="0"/>
        <w:spacing w:afterLines="50" w:after="120" w:line="340" w:lineRule="atLeast"/>
        <w:jc w:val="both"/>
        <w:rPr>
          <w:rFonts w:asciiTheme="minorEastAsia" w:eastAsiaTheme="minorEastAsia" w:hAnsiTheme="minorEastAsia"/>
          <w:sz w:val="21"/>
          <w:szCs w:val="21"/>
        </w:rPr>
      </w:pPr>
      <w:r w:rsidRPr="00792C08">
        <w:rPr>
          <w:rFonts w:asciiTheme="minorEastAsia" w:eastAsiaTheme="minorEastAsia" w:hAnsiTheme="minorEastAsia" w:hint="eastAsia"/>
          <w:sz w:val="21"/>
          <w:szCs w:val="21"/>
        </w:rPr>
        <w:t>监督司在2013年对会务与语文服务的审查</w:t>
      </w:r>
      <w:r w:rsidRPr="00792C08">
        <w:rPr>
          <w:rFonts w:asciiTheme="minorEastAsia" w:eastAsiaTheme="minorEastAsia" w:hAnsiTheme="minorEastAsia"/>
          <w:sz w:val="21"/>
          <w:szCs w:val="21"/>
          <w:vertAlign w:val="superscript"/>
        </w:rPr>
        <w:footnoteReference w:customMarkFollows="1" w:id="5"/>
        <w:t>4</w:t>
      </w:r>
      <w:r w:rsidRPr="00792C08">
        <w:rPr>
          <w:rFonts w:asciiTheme="minorEastAsia" w:eastAsiaTheme="minorEastAsia" w:hAnsiTheme="minorEastAsia" w:hint="eastAsia"/>
          <w:sz w:val="21"/>
          <w:szCs w:val="21"/>
        </w:rPr>
        <w:t>中，强调需要开发一个综合会议管理系统，包括管理口译服务的模块。</w:t>
      </w:r>
      <w:proofErr w:type="gramStart"/>
      <w:r w:rsidRPr="00792C08">
        <w:rPr>
          <w:rFonts w:asciiTheme="minorEastAsia" w:eastAsiaTheme="minorEastAsia" w:hAnsiTheme="minorEastAsia" w:hint="eastAsia"/>
          <w:sz w:val="21"/>
          <w:szCs w:val="21"/>
        </w:rPr>
        <w:t>该需求</w:t>
      </w:r>
      <w:proofErr w:type="gramEnd"/>
      <w:r w:rsidRPr="00792C08">
        <w:rPr>
          <w:rFonts w:asciiTheme="minorEastAsia" w:eastAsiaTheme="minorEastAsia" w:hAnsiTheme="minorEastAsia" w:hint="eastAsia"/>
          <w:sz w:val="21"/>
          <w:szCs w:val="21"/>
        </w:rPr>
        <w:t>如今依然存在，到目前为止，这项建议仍然有效。最后，鉴于</w:t>
      </w:r>
      <w:proofErr w:type="gramStart"/>
      <w:r w:rsidRPr="00792C08">
        <w:rPr>
          <w:rFonts w:asciiTheme="minorEastAsia" w:eastAsiaTheme="minorEastAsia" w:hAnsiTheme="minorEastAsia" w:hint="eastAsia"/>
          <w:sz w:val="21"/>
          <w:szCs w:val="21"/>
        </w:rPr>
        <w:t>口译科</w:t>
      </w:r>
      <w:proofErr w:type="gramEnd"/>
      <w:r w:rsidRPr="00792C08">
        <w:rPr>
          <w:rFonts w:asciiTheme="minorEastAsia" w:eastAsiaTheme="minorEastAsia" w:hAnsiTheme="minorEastAsia" w:hint="eastAsia"/>
          <w:sz w:val="21"/>
          <w:szCs w:val="21"/>
        </w:rPr>
        <w:t>的工作量高峰及其目前的资源结构，对口译活动进行定期分析将有助于确定和预算灵活的人力资源需求，以更好地支持该科并维持产权组织的口译质量。</w:t>
      </w:r>
    </w:p>
    <w:p w:rsidR="000B1486" w:rsidRPr="008430A3" w:rsidRDefault="000B1486" w:rsidP="008430A3">
      <w:pPr>
        <w:pStyle w:val="ONUME"/>
        <w:overflowPunct w:val="0"/>
        <w:spacing w:afterLines="50" w:after="120" w:line="340" w:lineRule="atLeast"/>
        <w:jc w:val="both"/>
        <w:rPr>
          <w:rFonts w:ascii="SimSun" w:hAnsi="SimSun"/>
          <w:sz w:val="21"/>
          <w:szCs w:val="21"/>
        </w:rPr>
      </w:pPr>
      <w:r w:rsidRPr="008430A3">
        <w:rPr>
          <w:rFonts w:ascii="SimSun" w:hAnsi="SimSun" w:hint="eastAsia"/>
          <w:sz w:val="21"/>
          <w:szCs w:val="21"/>
        </w:rPr>
        <w:t>监督司提出了九项建议，其中三项将于2018年12月底之前落实，其余六项将于2019年12月之前落实。</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差旅管理审计</w:t>
      </w:r>
    </w:p>
    <w:p w:rsidR="000B1486" w:rsidRPr="00792C08" w:rsidRDefault="000B1486" w:rsidP="00792C08">
      <w:pPr>
        <w:pStyle w:val="ONUME"/>
        <w:overflowPunct w:val="0"/>
        <w:spacing w:afterLines="50" w:after="120" w:line="340" w:lineRule="atLeast"/>
        <w:jc w:val="both"/>
        <w:rPr>
          <w:rFonts w:ascii="SimSun" w:hAnsi="SimSun"/>
          <w:sz w:val="21"/>
          <w:szCs w:val="21"/>
        </w:rPr>
      </w:pPr>
      <w:r w:rsidRPr="00792C08">
        <w:rPr>
          <w:rFonts w:ascii="SimSun" w:hAnsi="SimSun" w:hint="eastAsia"/>
          <w:sz w:val="21"/>
          <w:szCs w:val="21"/>
        </w:rPr>
        <w:t>审计发现，两年期间提交的会议申请平均延迟率为77％，差旅核准平均延迟率为33.5％。此外，88％（1,666/1,898）的延迟差旅核准都来自10个计划，而这10个计划中77％（1,286/1,666）的延迟差旅核准来自于非工作人员/第三方差旅人员，工作人员仅占23％（380/1,286）。</w:t>
      </w:r>
    </w:p>
    <w:p w:rsidR="000B1486" w:rsidRPr="00792C08" w:rsidRDefault="000B1486" w:rsidP="00792C08">
      <w:pPr>
        <w:pStyle w:val="ONUME"/>
        <w:overflowPunct w:val="0"/>
        <w:spacing w:afterLines="50" w:after="120" w:line="340" w:lineRule="atLeast"/>
        <w:jc w:val="both"/>
        <w:rPr>
          <w:rFonts w:ascii="SimSun" w:hAnsi="SimSun"/>
          <w:sz w:val="21"/>
          <w:szCs w:val="21"/>
        </w:rPr>
      </w:pPr>
      <w:r w:rsidRPr="00792C08">
        <w:rPr>
          <w:rFonts w:ascii="SimSun" w:hAnsi="SimSun" w:hint="eastAsia"/>
          <w:sz w:val="21"/>
          <w:szCs w:val="21"/>
        </w:rPr>
        <w:t>这些延迟被认为是造成本组织购买价格较高机票的因素之一。因此，投入更多精力制定政策和程序，确保及时向计划管理人员提供第三方差旅人员的旅行证件和信息，以便及时处理其旅行安排，将会对产权组织有利。</w:t>
      </w:r>
    </w:p>
    <w:p w:rsidR="000B1486" w:rsidRPr="00792C08" w:rsidRDefault="000B1486" w:rsidP="00792C08">
      <w:pPr>
        <w:pStyle w:val="ONUME"/>
        <w:overflowPunct w:val="0"/>
        <w:spacing w:afterLines="50" w:after="120" w:line="340" w:lineRule="atLeast"/>
        <w:jc w:val="both"/>
        <w:rPr>
          <w:rFonts w:ascii="SimSun" w:hAnsi="SimSun"/>
          <w:sz w:val="21"/>
          <w:szCs w:val="21"/>
        </w:rPr>
      </w:pPr>
      <w:r w:rsidRPr="00792C08">
        <w:rPr>
          <w:rFonts w:ascii="SimSun" w:hAnsi="SimSun" w:hint="eastAsia"/>
          <w:sz w:val="21"/>
          <w:szCs w:val="21"/>
        </w:rPr>
        <w:t>产权组织将提高差旅管理的效率和有效性，并通过以下方式确保遵守相关差旅政策：（</w:t>
      </w:r>
      <w:proofErr w:type="spellStart"/>
      <w:r w:rsidRPr="00792C08">
        <w:rPr>
          <w:rFonts w:ascii="SimSun" w:hAnsi="SimSun" w:hint="eastAsia"/>
          <w:sz w:val="21"/>
          <w:szCs w:val="21"/>
        </w:rPr>
        <w:t>i</w:t>
      </w:r>
      <w:proofErr w:type="spellEnd"/>
      <w:r w:rsidRPr="00792C08">
        <w:rPr>
          <w:rFonts w:ascii="SimSun" w:hAnsi="SimSun" w:hint="eastAsia"/>
          <w:sz w:val="21"/>
          <w:szCs w:val="21"/>
        </w:rPr>
        <w:t>）在联合国（UN）共同制度内采用良好做法，规定新征聘的工作人员完成旅行安全训练课程的时间框架；（ii）估量在实地课程中承担强制性基本安全的工作人员人数，并监测所有接受培训的工作人员的进展情况；和（iii）确保所有公务旅行的工作人员都按要求完成强制性的适当安全培训。</w:t>
      </w:r>
    </w:p>
    <w:p w:rsidR="000B1486" w:rsidRPr="00792C08" w:rsidRDefault="000B1486" w:rsidP="00792C08">
      <w:pPr>
        <w:pStyle w:val="ONUME"/>
        <w:overflowPunct w:val="0"/>
        <w:spacing w:afterLines="50" w:after="120" w:line="340" w:lineRule="atLeast"/>
        <w:jc w:val="both"/>
        <w:rPr>
          <w:rFonts w:ascii="SimSun" w:hAnsi="SimSun"/>
          <w:sz w:val="21"/>
          <w:szCs w:val="21"/>
        </w:rPr>
      </w:pPr>
      <w:r w:rsidRPr="00792C08">
        <w:rPr>
          <w:rFonts w:ascii="SimSun" w:hAnsi="SimSun" w:hint="eastAsia"/>
          <w:sz w:val="21"/>
          <w:szCs w:val="21"/>
        </w:rPr>
        <w:t>最后，目前正在开发用于取代E-Works系统的旅行管理系统，如果该系统规定安全许可程序需与机票购买过程并行，并且与管理旅行安全培训证书的数据库相关联，则差旅流程将会从中受益。</w:t>
      </w:r>
    </w:p>
    <w:bookmarkEnd w:id="87"/>
    <w:bookmarkEnd w:id="88"/>
    <w:p w:rsidR="000B1486" w:rsidRPr="00792C08" w:rsidRDefault="000B1486" w:rsidP="00792C08">
      <w:pPr>
        <w:pStyle w:val="ONUME"/>
        <w:overflowPunct w:val="0"/>
        <w:spacing w:afterLines="50" w:after="120" w:line="340" w:lineRule="atLeast"/>
        <w:jc w:val="both"/>
        <w:rPr>
          <w:rFonts w:ascii="SimSun" w:hAnsi="SimSun"/>
          <w:sz w:val="21"/>
          <w:szCs w:val="21"/>
        </w:rPr>
      </w:pPr>
      <w:r w:rsidRPr="00792C08">
        <w:rPr>
          <w:rFonts w:ascii="SimSun" w:hAnsi="SimSun" w:hint="eastAsia"/>
          <w:sz w:val="21"/>
          <w:szCs w:val="21"/>
        </w:rPr>
        <w:t>监督司提出了五项建议，其中两项将于2018年底之前落实，三项将于2019年期间落实。</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其他——监督司关于2016/17年产权组织绩效报告</w:t>
      </w:r>
      <w:r w:rsidR="00CF0A55">
        <w:rPr>
          <w:rFonts w:asciiTheme="minorEastAsia" w:eastAsiaTheme="minorEastAsia" w:hAnsiTheme="minorEastAsia" w:hint="eastAsia"/>
          <w:b/>
          <w:sz w:val="21"/>
          <w:szCs w:val="21"/>
        </w:rPr>
        <w:t>（WPR）</w:t>
      </w:r>
      <w:r w:rsidRPr="0001114D">
        <w:rPr>
          <w:rFonts w:asciiTheme="minorEastAsia" w:eastAsiaTheme="minorEastAsia" w:hAnsiTheme="minorEastAsia" w:hint="eastAsia"/>
          <w:b/>
          <w:sz w:val="21"/>
          <w:szCs w:val="21"/>
        </w:rPr>
        <w:t>的审定报告</w:t>
      </w:r>
    </w:p>
    <w:p w:rsidR="000B1486" w:rsidRPr="00E07C5E" w:rsidRDefault="000B1486" w:rsidP="00E07C5E">
      <w:pPr>
        <w:pStyle w:val="ONUME"/>
        <w:overflowPunct w:val="0"/>
        <w:spacing w:afterLines="50" w:after="120" w:line="340" w:lineRule="atLeast"/>
        <w:jc w:val="both"/>
        <w:rPr>
          <w:rFonts w:ascii="SimSun" w:hAnsi="SimSun"/>
          <w:sz w:val="21"/>
          <w:szCs w:val="21"/>
        </w:rPr>
      </w:pPr>
      <w:r w:rsidRPr="00E07C5E">
        <w:rPr>
          <w:rFonts w:ascii="SimSun" w:hAnsi="SimSun" w:hint="eastAsia"/>
          <w:sz w:val="21"/>
          <w:szCs w:val="21"/>
        </w:rPr>
        <w:t>监督司在2018年4月和5月期间完成了对2016/17年产权组织绩效报告的审定。</w:t>
      </w:r>
    </w:p>
    <w:p w:rsidR="000B1486" w:rsidRPr="00E07C5E" w:rsidRDefault="000B1486" w:rsidP="00E07C5E">
      <w:pPr>
        <w:pStyle w:val="ONUME"/>
        <w:overflowPunct w:val="0"/>
        <w:spacing w:afterLines="50" w:after="120" w:line="340" w:lineRule="atLeast"/>
        <w:jc w:val="both"/>
        <w:rPr>
          <w:rFonts w:ascii="SimSun" w:hAnsi="SimSun"/>
          <w:sz w:val="21"/>
          <w:szCs w:val="21"/>
        </w:rPr>
      </w:pPr>
      <w:r w:rsidRPr="00E07C5E">
        <w:rPr>
          <w:rFonts w:ascii="SimSun" w:hAnsi="SimSun" w:hint="eastAsia"/>
          <w:sz w:val="21"/>
          <w:szCs w:val="21"/>
        </w:rPr>
        <w:t>本次审定工作的目标是：</w:t>
      </w:r>
    </w:p>
    <w:p w:rsidR="000B1486" w:rsidRPr="00E07C5E" w:rsidRDefault="000B1486" w:rsidP="00E07C5E">
      <w:pPr>
        <w:pStyle w:val="ONUME"/>
        <w:numPr>
          <w:ilvl w:val="1"/>
          <w:numId w:val="3"/>
        </w:numPr>
        <w:spacing w:afterLines="50" w:after="120" w:line="340" w:lineRule="atLeast"/>
        <w:rPr>
          <w:rFonts w:ascii="SimSun" w:hAnsi="SimSun"/>
          <w:sz w:val="21"/>
          <w:szCs w:val="21"/>
        </w:rPr>
      </w:pPr>
      <w:r w:rsidRPr="00E07C5E">
        <w:rPr>
          <w:rFonts w:ascii="SimSun" w:hAnsi="SimSun" w:hint="eastAsia"/>
          <w:sz w:val="21"/>
          <w:szCs w:val="21"/>
        </w:rPr>
        <w:t>对2016/17产权组织绩效报告所载绩效信息的可靠性和真实性提供独立验证；和</w:t>
      </w:r>
    </w:p>
    <w:p w:rsidR="000B1486" w:rsidRPr="00E07C5E" w:rsidRDefault="000B1486" w:rsidP="00E07C5E">
      <w:pPr>
        <w:pStyle w:val="ONUME"/>
        <w:numPr>
          <w:ilvl w:val="1"/>
          <w:numId w:val="3"/>
        </w:numPr>
        <w:spacing w:afterLines="50" w:after="120" w:line="340" w:lineRule="atLeast"/>
        <w:rPr>
          <w:rFonts w:ascii="SimSun" w:hAnsi="SimSun"/>
          <w:sz w:val="21"/>
          <w:szCs w:val="21"/>
        </w:rPr>
      </w:pPr>
      <w:r w:rsidRPr="00E07C5E">
        <w:rPr>
          <w:rFonts w:ascii="SimSun" w:hAnsi="SimSun" w:hint="eastAsia"/>
          <w:sz w:val="21"/>
          <w:szCs w:val="21"/>
        </w:rPr>
        <w:t>通过文件证据和其他确实证据，对上个审定报告所给出建议的落实状况进行调查跟踪。</w:t>
      </w:r>
    </w:p>
    <w:p w:rsidR="000B1486" w:rsidRPr="00E07C5E" w:rsidRDefault="000B1486" w:rsidP="00E07C5E">
      <w:pPr>
        <w:pStyle w:val="ONUME"/>
        <w:overflowPunct w:val="0"/>
        <w:spacing w:afterLines="50" w:after="120" w:line="340" w:lineRule="atLeast"/>
        <w:jc w:val="both"/>
        <w:rPr>
          <w:rFonts w:ascii="SimSun" w:hAnsi="SimSun"/>
          <w:sz w:val="21"/>
          <w:szCs w:val="21"/>
        </w:rPr>
      </w:pPr>
      <w:r w:rsidRPr="00E07C5E">
        <w:rPr>
          <w:rFonts w:ascii="SimSun" w:hAnsi="SimSun" w:hint="eastAsia"/>
          <w:sz w:val="21"/>
          <w:szCs w:val="21"/>
        </w:rPr>
        <w:t>审定范围包括在2016/17年产权组织绩效报告的每个计划中随机选择一项绩效指标，对其绩效数据进行评估，还包括审查两年期内在改进</w:t>
      </w:r>
      <w:r w:rsidR="00025567">
        <w:rPr>
          <w:rFonts w:ascii="SimSun" w:hAnsi="SimSun" w:hint="eastAsia"/>
          <w:sz w:val="21"/>
          <w:szCs w:val="21"/>
        </w:rPr>
        <w:t>注重</w:t>
      </w:r>
      <w:r w:rsidRPr="00E07C5E">
        <w:rPr>
          <w:rFonts w:ascii="SimSun" w:hAnsi="SimSun" w:hint="eastAsia"/>
          <w:sz w:val="21"/>
          <w:szCs w:val="21"/>
        </w:rPr>
        <w:t>成果</w:t>
      </w:r>
      <w:r w:rsidR="00025567">
        <w:rPr>
          <w:rFonts w:ascii="SimSun" w:hAnsi="SimSun" w:hint="eastAsia"/>
          <w:sz w:val="21"/>
          <w:szCs w:val="21"/>
        </w:rPr>
        <w:t>的管理</w:t>
      </w:r>
      <w:r w:rsidRPr="00E07C5E">
        <w:rPr>
          <w:rFonts w:ascii="SimSun" w:hAnsi="SimSun" w:hint="eastAsia"/>
          <w:sz w:val="21"/>
          <w:szCs w:val="21"/>
        </w:rPr>
        <w:t>（RBM）框架方面所取得进展的一般性结论。这是监督司进行的第五次</w:t>
      </w:r>
      <w:r w:rsidR="00CF0A55">
        <w:rPr>
          <w:rFonts w:ascii="SimSun" w:hAnsi="SimSun" w:hint="eastAsia"/>
          <w:sz w:val="21"/>
          <w:szCs w:val="21"/>
        </w:rPr>
        <w:t>产权组织</w:t>
      </w:r>
      <w:r w:rsidRPr="00E07C5E">
        <w:rPr>
          <w:rFonts w:ascii="SimSun" w:hAnsi="SimSun" w:hint="eastAsia"/>
          <w:sz w:val="21"/>
          <w:szCs w:val="21"/>
        </w:rPr>
        <w:t>绩效报告独立审定。</w:t>
      </w:r>
    </w:p>
    <w:p w:rsidR="000B1486" w:rsidRPr="00E07C5E" w:rsidRDefault="000B1486" w:rsidP="00E07C5E">
      <w:pPr>
        <w:pStyle w:val="ONUME"/>
        <w:overflowPunct w:val="0"/>
        <w:spacing w:afterLines="50" w:after="120" w:line="340" w:lineRule="atLeast"/>
        <w:jc w:val="both"/>
        <w:rPr>
          <w:rFonts w:ascii="SimSun" w:hAnsi="SimSun"/>
          <w:sz w:val="21"/>
          <w:szCs w:val="21"/>
        </w:rPr>
      </w:pPr>
      <w:r w:rsidRPr="00E07C5E">
        <w:rPr>
          <w:rFonts w:ascii="SimSun" w:hAnsi="SimSun" w:hint="eastAsia"/>
          <w:sz w:val="21"/>
          <w:szCs w:val="21"/>
        </w:rPr>
        <w:t>总体而言，此次审定活动再次确认了本组织成果管理制框架的持续改进，与上一次审定相比，符合评估标准的绩效数据有所增加。更具体而言，计划的绩效数据中，有81%充分满足审定标准，该数据在上次审定中为77%。此外，84</w:t>
      </w:r>
      <w:r w:rsidR="00025567">
        <w:rPr>
          <w:rFonts w:ascii="SimSun" w:hAnsi="SimSun" w:hint="eastAsia"/>
          <w:sz w:val="21"/>
          <w:szCs w:val="21"/>
        </w:rPr>
        <w:t>％的计划准确报告了其红绿灯状态自评评级</w:t>
      </w:r>
      <w:r w:rsidRPr="00E07C5E">
        <w:rPr>
          <w:rFonts w:ascii="SimSun" w:hAnsi="SimSun" w:hint="eastAsia"/>
          <w:sz w:val="21"/>
          <w:szCs w:val="21"/>
        </w:rPr>
        <w:t>，该数据在上次审定中为81％。</w:t>
      </w:r>
    </w:p>
    <w:p w:rsidR="000B1486" w:rsidRPr="00E07C5E" w:rsidRDefault="000B1486" w:rsidP="00E07C5E">
      <w:pPr>
        <w:pStyle w:val="ONUME"/>
        <w:overflowPunct w:val="0"/>
        <w:spacing w:afterLines="50" w:after="120" w:line="340" w:lineRule="atLeast"/>
        <w:jc w:val="both"/>
        <w:rPr>
          <w:rFonts w:ascii="SimSun" w:hAnsi="SimSun"/>
          <w:sz w:val="21"/>
          <w:szCs w:val="21"/>
        </w:rPr>
      </w:pPr>
      <w:r w:rsidRPr="00E07C5E">
        <w:rPr>
          <w:rFonts w:ascii="SimSun" w:hAnsi="SimSun" w:hint="eastAsia"/>
          <w:sz w:val="21"/>
          <w:szCs w:val="21"/>
        </w:rPr>
        <w:t>监督</w:t>
      </w:r>
      <w:proofErr w:type="gramStart"/>
      <w:r w:rsidRPr="00E07C5E">
        <w:rPr>
          <w:rFonts w:ascii="SimSun" w:hAnsi="SimSun" w:hint="eastAsia"/>
          <w:sz w:val="21"/>
          <w:szCs w:val="21"/>
        </w:rPr>
        <w:t>司鼓励</w:t>
      </w:r>
      <w:proofErr w:type="gramEnd"/>
      <w:r w:rsidRPr="00E07C5E">
        <w:rPr>
          <w:rFonts w:ascii="SimSun" w:hAnsi="SimSun" w:hint="eastAsia"/>
          <w:sz w:val="21"/>
          <w:szCs w:val="21"/>
        </w:rPr>
        <w:t>规范性领域的计划继续与计划绩效和预算司合作，进一步提高其指标的质量和</w:t>
      </w:r>
      <w:proofErr w:type="gramStart"/>
      <w:r w:rsidRPr="00E07C5E">
        <w:rPr>
          <w:rFonts w:ascii="SimSun" w:hAnsi="SimSun" w:hint="eastAsia"/>
          <w:sz w:val="21"/>
          <w:szCs w:val="21"/>
        </w:rPr>
        <w:t>可</w:t>
      </w:r>
      <w:proofErr w:type="gramEnd"/>
      <w:r w:rsidRPr="00E07C5E">
        <w:rPr>
          <w:rFonts w:ascii="SimSun" w:hAnsi="SimSun" w:hint="eastAsia"/>
          <w:sz w:val="21"/>
          <w:szCs w:val="21"/>
        </w:rPr>
        <w:t>量化性，并就以下方面提出两项建议：（</w:t>
      </w:r>
      <w:proofErr w:type="spellStart"/>
      <w:r w:rsidRPr="00E07C5E">
        <w:rPr>
          <w:rFonts w:ascii="SimSun" w:hAnsi="SimSun" w:hint="eastAsia"/>
          <w:sz w:val="21"/>
          <w:szCs w:val="21"/>
        </w:rPr>
        <w:t>i</w:t>
      </w:r>
      <w:proofErr w:type="spellEnd"/>
      <w:r w:rsidRPr="00E07C5E">
        <w:rPr>
          <w:rFonts w:ascii="SimSun" w:hAnsi="SimSun" w:hint="eastAsia"/>
          <w:sz w:val="21"/>
          <w:szCs w:val="21"/>
        </w:rPr>
        <w:t>）需评估工具和机制的有效性，以捕捉和测量三项绩效指标数据，包括在适用情况下加强各计划之间的合作和良好做法分享；以及（ii）如果两项计划需要共同采集并报告同一项指标，则需加强二者之间的合作与协调。</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其他——连续审计备忘录</w:t>
      </w:r>
    </w:p>
    <w:p w:rsidR="000B1486" w:rsidRPr="00025567" w:rsidRDefault="000B1486" w:rsidP="00025567">
      <w:pPr>
        <w:pStyle w:val="ONUME"/>
        <w:overflowPunct w:val="0"/>
        <w:spacing w:afterLines="50" w:after="120" w:line="340" w:lineRule="atLeast"/>
        <w:jc w:val="both"/>
        <w:rPr>
          <w:rFonts w:ascii="SimSun" w:hAnsi="SimSun"/>
          <w:sz w:val="21"/>
          <w:szCs w:val="21"/>
        </w:rPr>
      </w:pPr>
      <w:r w:rsidRPr="00025567">
        <w:rPr>
          <w:rFonts w:ascii="SimSun" w:hAnsi="SimSun" w:hint="eastAsia"/>
          <w:sz w:val="21"/>
          <w:szCs w:val="21"/>
        </w:rPr>
        <w:t>监督司发布了一份内部备忘录</w:t>
      </w:r>
      <w:r w:rsidRPr="00025567">
        <w:rPr>
          <w:rFonts w:ascii="SimSun" w:hAnsi="SimSun"/>
          <w:sz w:val="21"/>
          <w:szCs w:val="21"/>
        </w:rPr>
        <w:t>，总结了作为其连续定期审计工作的一部分，使用数据分析完成的工作，并与管理层分享了结果。</w:t>
      </w:r>
      <w:r w:rsidRPr="00025567">
        <w:rPr>
          <w:rFonts w:ascii="SimSun" w:hAnsi="SimSun" w:hint="eastAsia"/>
          <w:sz w:val="21"/>
          <w:szCs w:val="21"/>
        </w:rPr>
        <w:t>这份备忘录重点关注</w:t>
      </w:r>
      <w:r w:rsidR="00025567" w:rsidRPr="00852933">
        <w:rPr>
          <w:rFonts w:hint="eastAsia"/>
        </w:rPr>
        <w:t>行政信息管理系统</w:t>
      </w:r>
      <w:r w:rsidRPr="00025567">
        <w:rPr>
          <w:rFonts w:ascii="SimSun" w:hAnsi="SimSun" w:hint="eastAsia"/>
          <w:sz w:val="21"/>
          <w:szCs w:val="21"/>
        </w:rPr>
        <w:t>（AIMS）中的财务和采购管理、E-Work系统中的差旅管理，以及AIMS HR员工信息管理领域的内部控制。</w:t>
      </w:r>
    </w:p>
    <w:p w:rsidR="000B1486" w:rsidRPr="00025567" w:rsidRDefault="000B1486" w:rsidP="00025567">
      <w:pPr>
        <w:pStyle w:val="ONUME"/>
        <w:overflowPunct w:val="0"/>
        <w:spacing w:afterLines="50" w:after="120" w:line="340" w:lineRule="atLeast"/>
        <w:jc w:val="both"/>
        <w:rPr>
          <w:rFonts w:ascii="SimSun" w:hAnsi="SimSun"/>
          <w:sz w:val="21"/>
          <w:szCs w:val="21"/>
        </w:rPr>
      </w:pPr>
      <w:r w:rsidRPr="00025567">
        <w:rPr>
          <w:rFonts w:ascii="SimSun" w:hAnsi="SimSun" w:hint="eastAsia"/>
          <w:sz w:val="21"/>
          <w:szCs w:val="21"/>
        </w:rPr>
        <w:t>监督</w:t>
      </w:r>
      <w:proofErr w:type="gramStart"/>
      <w:r w:rsidRPr="00025567">
        <w:rPr>
          <w:rFonts w:ascii="SimSun" w:hAnsi="SimSun" w:hint="eastAsia"/>
          <w:sz w:val="21"/>
          <w:szCs w:val="21"/>
        </w:rPr>
        <w:t>司没有</w:t>
      </w:r>
      <w:proofErr w:type="gramEnd"/>
      <w:r w:rsidRPr="00025567">
        <w:rPr>
          <w:rFonts w:ascii="SimSun" w:hAnsi="SimSun" w:hint="eastAsia"/>
          <w:sz w:val="21"/>
          <w:szCs w:val="21"/>
        </w:rPr>
        <w:t>根据其进行的连续审计工作提出正式建议。但是，如有必要，会与行政与管理部门和人力资源管理部（人力部）的管理</w:t>
      </w:r>
      <w:proofErr w:type="gramStart"/>
      <w:r w:rsidRPr="00025567">
        <w:rPr>
          <w:rFonts w:ascii="SimSun" w:hAnsi="SimSun" w:hint="eastAsia"/>
          <w:sz w:val="21"/>
          <w:szCs w:val="21"/>
        </w:rPr>
        <w:t>层代表</w:t>
      </w:r>
      <w:proofErr w:type="gramEnd"/>
      <w:r w:rsidRPr="00025567">
        <w:rPr>
          <w:rFonts w:ascii="SimSun" w:hAnsi="SimSun" w:hint="eastAsia"/>
          <w:sz w:val="21"/>
          <w:szCs w:val="21"/>
        </w:rPr>
        <w:t>举行会议，讨论监督司提出的意见和建议。</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其他——内部审计职能的自我质量评估</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根据《内部审计手册》附件1.4：质量保证和改进程序，监督司于2017年12月对审计职能进行了自我评估，评估涵盖了其2015至2016年的活动。定期内部自我评估的目标是评估审计职能是否符合国际内部审计师协会（IIA）标准，并确定改进领域。</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自我评估发现，内部审计职能“总体上符合”IIA行为守则和内部审计的定义（“标准”）。自我评估后，提出了13项建议。</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自我评估的结果已通报</w:t>
      </w:r>
      <w:r w:rsidR="0065578F" w:rsidRPr="002C5A06">
        <w:rPr>
          <w:rFonts w:hint="eastAsia"/>
          <w:szCs w:val="22"/>
        </w:rPr>
        <w:t>独立咨询监督委员会</w:t>
      </w:r>
      <w:r w:rsidRPr="0065578F">
        <w:rPr>
          <w:rFonts w:ascii="SimSun" w:hAnsi="SimSun" w:hint="eastAsia"/>
          <w:sz w:val="21"/>
          <w:szCs w:val="21"/>
        </w:rPr>
        <w:t>（IAOC）和总干事。</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产权组织交流活动及其对产权组织品牌和声誉的促进作用评价</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本次评价旨在评估产权组织的传播职能和活动对战略调整计划和战略</w:t>
      </w:r>
      <w:proofErr w:type="gramStart"/>
      <w:r w:rsidRPr="0065578F">
        <w:rPr>
          <w:rFonts w:ascii="SimSun" w:hAnsi="SimSun" w:hint="eastAsia"/>
          <w:sz w:val="21"/>
          <w:szCs w:val="21"/>
        </w:rPr>
        <w:t>目标八</w:t>
      </w:r>
      <w:proofErr w:type="gramEnd"/>
      <w:r w:rsidRPr="0065578F">
        <w:rPr>
          <w:rFonts w:ascii="SimSun" w:hAnsi="SimSun" w:hint="eastAsia"/>
          <w:sz w:val="21"/>
          <w:szCs w:val="21"/>
        </w:rPr>
        <w:t>的促进作用，并分析治理体系和运作结构是否有助于实现中期战略计划成果。</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评价的主要结果和建议表明，有关产权组织的媒体报道99.9％是正</w:t>
      </w:r>
      <w:r w:rsidR="0065578F">
        <w:rPr>
          <w:rFonts w:ascii="SimSun" w:hAnsi="SimSun" w:hint="eastAsia"/>
          <w:sz w:val="21"/>
          <w:szCs w:val="21"/>
        </w:rPr>
        <w:t>面或中立的。传播</w:t>
      </w:r>
      <w:r w:rsidRPr="0065578F">
        <w:rPr>
          <w:rFonts w:ascii="SimSun" w:hAnsi="SimSun" w:hint="eastAsia"/>
          <w:sz w:val="21"/>
          <w:szCs w:val="21"/>
        </w:rPr>
        <w:t>司的交流活动预算在相关联合国机构的范围之内；产权组织的对外交流多数是主动的，并且注重性别问题。</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虽然结果</w:t>
      </w:r>
      <w:r w:rsidR="0065578F">
        <w:rPr>
          <w:rFonts w:ascii="SimSun" w:hAnsi="SimSun" w:hint="eastAsia"/>
          <w:sz w:val="21"/>
          <w:szCs w:val="21"/>
        </w:rPr>
        <w:t>是正面的，但评价建议总干事办公室应考虑通过完善其任务授权和将传播</w:t>
      </w:r>
      <w:r w:rsidRPr="0065578F">
        <w:rPr>
          <w:rFonts w:ascii="SimSun" w:hAnsi="SimSun" w:hint="eastAsia"/>
          <w:sz w:val="21"/>
          <w:szCs w:val="21"/>
        </w:rPr>
        <w:t>司直属于总干事办公室（ODG</w:t>
      </w:r>
      <w:r w:rsidR="0065578F">
        <w:rPr>
          <w:rFonts w:ascii="SimSun" w:hAnsi="SimSun" w:hint="eastAsia"/>
          <w:sz w:val="21"/>
          <w:szCs w:val="21"/>
        </w:rPr>
        <w:t>）来增强传播司的战略影响。传播司还应制定详细的企业传播战略，并采用基于结果的框架。最后，</w:t>
      </w:r>
      <w:proofErr w:type="gramStart"/>
      <w:r w:rsidR="0065578F">
        <w:rPr>
          <w:rFonts w:ascii="SimSun" w:hAnsi="SimSun" w:hint="eastAsia"/>
          <w:sz w:val="21"/>
          <w:szCs w:val="21"/>
        </w:rPr>
        <w:t>传播</w:t>
      </w:r>
      <w:r w:rsidRPr="0065578F">
        <w:rPr>
          <w:rFonts w:ascii="SimSun" w:hAnsi="SimSun" w:hint="eastAsia"/>
          <w:sz w:val="21"/>
          <w:szCs w:val="21"/>
        </w:rPr>
        <w:t>司应</w:t>
      </w:r>
      <w:r w:rsidR="0065578F">
        <w:rPr>
          <w:rFonts w:ascii="SimSun" w:hAnsi="SimSun" w:hint="eastAsia"/>
          <w:sz w:val="21"/>
          <w:szCs w:val="21"/>
        </w:rPr>
        <w:t>整合</w:t>
      </w:r>
      <w:proofErr w:type="gramEnd"/>
      <w:r w:rsidR="0065578F">
        <w:rPr>
          <w:rFonts w:ascii="SimSun" w:hAnsi="SimSun" w:hint="eastAsia"/>
          <w:sz w:val="21"/>
          <w:szCs w:val="21"/>
        </w:rPr>
        <w:t>更多关键能力，并鼓励各业务部门指定一个</w:t>
      </w:r>
      <w:proofErr w:type="gramStart"/>
      <w:r w:rsidR="0065578F">
        <w:rPr>
          <w:rFonts w:ascii="SimSun" w:hAnsi="SimSun" w:hint="eastAsia"/>
          <w:sz w:val="21"/>
          <w:szCs w:val="21"/>
        </w:rPr>
        <w:t>通讯联络</w:t>
      </w:r>
      <w:proofErr w:type="gramEnd"/>
      <w:r w:rsidR="0065578F">
        <w:rPr>
          <w:rFonts w:ascii="SimSun" w:hAnsi="SimSun" w:hint="eastAsia"/>
          <w:sz w:val="21"/>
          <w:szCs w:val="21"/>
        </w:rPr>
        <w:t>点，以便与传播</w:t>
      </w:r>
      <w:r w:rsidRPr="0065578F">
        <w:rPr>
          <w:rFonts w:ascii="SimSun" w:hAnsi="SimSun" w:hint="eastAsia"/>
          <w:sz w:val="21"/>
          <w:szCs w:val="21"/>
        </w:rPr>
        <w:t>司的协调员联络。</w:t>
      </w:r>
    </w:p>
    <w:p w:rsidR="000B1486" w:rsidRPr="0065578F" w:rsidRDefault="0065578F" w:rsidP="0065578F">
      <w:pPr>
        <w:pStyle w:val="ONUME"/>
        <w:overflowPunct w:val="0"/>
        <w:spacing w:afterLines="50" w:after="120" w:line="340" w:lineRule="atLeast"/>
        <w:jc w:val="both"/>
        <w:rPr>
          <w:rFonts w:ascii="SimSun" w:hAnsi="SimSun"/>
          <w:sz w:val="21"/>
          <w:szCs w:val="21"/>
        </w:rPr>
      </w:pPr>
      <w:r>
        <w:rPr>
          <w:rFonts w:ascii="SimSun" w:hAnsi="SimSun" w:hint="eastAsia"/>
          <w:sz w:val="21"/>
          <w:szCs w:val="21"/>
        </w:rPr>
        <w:t>已经落实了三项建议中的两项。根据评价报告的第一项建议，传播</w:t>
      </w:r>
      <w:r w:rsidR="000B1486" w:rsidRPr="0065578F">
        <w:rPr>
          <w:rFonts w:ascii="SimSun" w:hAnsi="SimSun" w:hint="eastAsia"/>
          <w:sz w:val="21"/>
          <w:szCs w:val="21"/>
        </w:rPr>
        <w:t>司已移至总干事办公室下。此外，计划正在最终确定企业传播战略（按照第三项建议），而第二项建议将于2018年12月前落</w:t>
      </w:r>
      <w:r>
        <w:rPr>
          <w:rFonts w:ascii="SimSun" w:hAnsi="SimSun" w:hint="cs"/>
          <w:sz w:val="21"/>
          <w:szCs w:val="21"/>
        </w:rPr>
        <w:t>‍</w:t>
      </w:r>
      <w:r w:rsidR="000B1486" w:rsidRPr="0065578F">
        <w:rPr>
          <w:rFonts w:ascii="SimSun" w:hAnsi="SimSun" w:hint="eastAsia"/>
          <w:sz w:val="21"/>
          <w:szCs w:val="21"/>
        </w:rPr>
        <w:t>实。</w:t>
      </w:r>
    </w:p>
    <w:p w:rsidR="000B1486" w:rsidRPr="0001114D" w:rsidRDefault="0065578F"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b/>
          <w:sz w:val="21"/>
          <w:szCs w:val="21"/>
        </w:rPr>
        <w:t>拉丁美洲和加勒比</w:t>
      </w:r>
      <w:r w:rsidRPr="0001114D">
        <w:rPr>
          <w:rFonts w:asciiTheme="minorEastAsia" w:eastAsiaTheme="minorEastAsia" w:hAnsiTheme="minorEastAsia" w:hint="eastAsia"/>
          <w:b/>
          <w:sz w:val="21"/>
          <w:szCs w:val="21"/>
        </w:rPr>
        <w:t>地</w:t>
      </w:r>
      <w:r w:rsidRPr="0001114D">
        <w:rPr>
          <w:rFonts w:asciiTheme="minorEastAsia" w:eastAsiaTheme="minorEastAsia" w:hAnsiTheme="minorEastAsia"/>
          <w:b/>
          <w:sz w:val="21"/>
          <w:szCs w:val="21"/>
        </w:rPr>
        <w:t>区</w:t>
      </w:r>
      <w:r w:rsidR="000B1486" w:rsidRPr="0001114D">
        <w:rPr>
          <w:rFonts w:asciiTheme="minorEastAsia" w:eastAsiaTheme="minorEastAsia" w:hAnsiTheme="minorEastAsia"/>
          <w:b/>
          <w:sz w:val="21"/>
          <w:szCs w:val="21"/>
        </w:rPr>
        <w:t>局</w:t>
      </w:r>
      <w:r w:rsidR="000B1486" w:rsidRPr="0001114D">
        <w:rPr>
          <w:rFonts w:asciiTheme="minorEastAsia" w:eastAsiaTheme="minorEastAsia" w:hAnsiTheme="minorEastAsia" w:hint="eastAsia"/>
          <w:b/>
          <w:sz w:val="21"/>
          <w:szCs w:val="21"/>
        </w:rPr>
        <w:t>评价</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评价发现，大多数利益攸关方和客户对该局提供的服务（该局参与活动的程度和答复速度）非常满意。此外，89％的受访者认为产权组织的答复对其需求有所帮助。</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以更具包容性的规划流程制定工作计划，使利益攸关方对产权组织提供的服务产生了积极看法。大多数客户和利益攸关方对区域办事处对本国和本国对口部门的了解表示满意，同样，绝大多数客户和利益攸关方对产权组织在该区域推动的经验交流也非常满意。该地区已经复制了良好的知识产权（IP）做法。服务和活动被认为是有意义的，并为其所服务的国家带来了附加值。成员国与产权组织之间的磋商进程在质量（结构）和数量方面有所改善，特别是自2016年以来。</w:t>
      </w:r>
    </w:p>
    <w:p w:rsidR="000B1486" w:rsidRPr="00221F46" w:rsidRDefault="000B1486" w:rsidP="00221F46">
      <w:pPr>
        <w:pStyle w:val="ONUME"/>
        <w:overflowPunct w:val="0"/>
        <w:spacing w:afterLines="50" w:after="120" w:line="340" w:lineRule="atLeast"/>
        <w:jc w:val="both"/>
        <w:rPr>
          <w:rFonts w:ascii="SimSun" w:hAnsi="SimSun"/>
          <w:sz w:val="21"/>
          <w:szCs w:val="21"/>
        </w:rPr>
      </w:pPr>
      <w:r w:rsidRPr="00221F46">
        <w:rPr>
          <w:rFonts w:ascii="SimSun" w:hAnsi="SimSun" w:hint="eastAsia"/>
          <w:sz w:val="21"/>
          <w:szCs w:val="21"/>
        </w:rPr>
        <w:t>根据调查结果和结论，评价建议</w:t>
      </w:r>
      <w:r w:rsidR="0065578F" w:rsidRPr="00221F46">
        <w:rPr>
          <w:rFonts w:ascii="SimSun" w:hAnsi="SimSun"/>
          <w:sz w:val="21"/>
          <w:szCs w:val="21"/>
        </w:rPr>
        <w:t>拉丁美洲和加勒比</w:t>
      </w:r>
      <w:r w:rsidR="0065578F" w:rsidRPr="00221F46">
        <w:rPr>
          <w:rFonts w:ascii="SimSun" w:hAnsi="SimSun" w:hint="eastAsia"/>
          <w:sz w:val="21"/>
          <w:szCs w:val="21"/>
        </w:rPr>
        <w:t>地</w:t>
      </w:r>
      <w:r w:rsidR="0065578F" w:rsidRPr="00221F46">
        <w:rPr>
          <w:rFonts w:ascii="SimSun" w:hAnsi="SimSun"/>
          <w:sz w:val="21"/>
          <w:szCs w:val="21"/>
        </w:rPr>
        <w:t>区</w:t>
      </w:r>
      <w:r w:rsidRPr="00221F46">
        <w:rPr>
          <w:rFonts w:ascii="SimSun" w:hAnsi="SimSun"/>
          <w:sz w:val="21"/>
          <w:szCs w:val="21"/>
        </w:rPr>
        <w:t>局</w:t>
      </w:r>
      <w:r w:rsidRPr="00221F46">
        <w:rPr>
          <w:rFonts w:ascii="SimSun" w:hAnsi="SimSun" w:hint="eastAsia"/>
          <w:sz w:val="21"/>
          <w:szCs w:val="21"/>
        </w:rPr>
        <w:t>（</w:t>
      </w:r>
      <w:r w:rsidR="0065578F" w:rsidRPr="0065578F">
        <w:rPr>
          <w:rFonts w:ascii="SimSun" w:hAnsi="SimSun"/>
          <w:sz w:val="21"/>
          <w:szCs w:val="21"/>
        </w:rPr>
        <w:t>RBLAC</w:t>
      </w:r>
      <w:r w:rsidRPr="00221F46">
        <w:rPr>
          <w:rFonts w:ascii="SimSun" w:hAnsi="SimSun" w:hint="eastAsia"/>
          <w:sz w:val="21"/>
          <w:szCs w:val="21"/>
        </w:rPr>
        <w:t>）应确保在配合产权组织性别政策设计和实施的活动中考虑到性别组成部分这一因素。此外，</w:t>
      </w:r>
      <w:r w:rsidR="0065578F" w:rsidRPr="0065578F">
        <w:rPr>
          <w:rFonts w:ascii="SimSun" w:hAnsi="SimSun"/>
          <w:sz w:val="21"/>
          <w:szCs w:val="21"/>
        </w:rPr>
        <w:t>RBLAC</w:t>
      </w:r>
      <w:r w:rsidRPr="00221F46">
        <w:rPr>
          <w:rFonts w:ascii="SimSun" w:hAnsi="SimSun" w:hint="eastAsia"/>
          <w:sz w:val="21"/>
          <w:szCs w:val="21"/>
        </w:rPr>
        <w:t>应通过设立传播和响应各国要求/请求的议定书和程序，使其反应能力制度化；</w:t>
      </w:r>
      <w:r w:rsidR="0065578F" w:rsidRPr="0065578F">
        <w:rPr>
          <w:rFonts w:ascii="SimSun" w:hAnsi="SimSun"/>
          <w:sz w:val="21"/>
          <w:szCs w:val="21"/>
        </w:rPr>
        <w:t>RBLAC</w:t>
      </w:r>
      <w:r w:rsidRPr="00221F46">
        <w:rPr>
          <w:rFonts w:ascii="SimSun" w:hAnsi="SimSun" w:hint="eastAsia"/>
          <w:sz w:val="21"/>
          <w:szCs w:val="21"/>
        </w:rPr>
        <w:t>还应系统化现有的工作规划、成果框架和监测系统，并建立明确的知识管理战略。最后，在审查信托基金的现有合同条件以确保有效利用资源时，应制</w:t>
      </w:r>
      <w:proofErr w:type="gramStart"/>
      <w:r w:rsidRPr="00221F46">
        <w:rPr>
          <w:rFonts w:ascii="SimSun" w:hAnsi="SimSun" w:hint="eastAsia"/>
          <w:sz w:val="21"/>
          <w:szCs w:val="21"/>
        </w:rPr>
        <w:t>定基本</w:t>
      </w:r>
      <w:proofErr w:type="gramEnd"/>
      <w:r w:rsidRPr="00221F46">
        <w:rPr>
          <w:rFonts w:ascii="SimSun" w:hAnsi="SimSun" w:hint="eastAsia"/>
          <w:sz w:val="21"/>
          <w:szCs w:val="21"/>
        </w:rPr>
        <w:t>的预算标准，并采用其他信托基金的良好做法。</w:t>
      </w:r>
    </w:p>
    <w:p w:rsidR="000B1486" w:rsidRPr="0065578F" w:rsidRDefault="000B1486" w:rsidP="0065578F">
      <w:pPr>
        <w:pStyle w:val="ONUME"/>
        <w:overflowPunct w:val="0"/>
        <w:spacing w:afterLines="50" w:after="120" w:line="340" w:lineRule="atLeast"/>
        <w:jc w:val="both"/>
        <w:rPr>
          <w:rFonts w:ascii="SimSun" w:hAnsi="SimSun"/>
          <w:sz w:val="21"/>
          <w:szCs w:val="21"/>
        </w:rPr>
      </w:pPr>
      <w:r w:rsidRPr="0065578F">
        <w:rPr>
          <w:rFonts w:ascii="SimSun" w:hAnsi="SimSun" w:hint="eastAsia"/>
          <w:sz w:val="21"/>
          <w:szCs w:val="21"/>
        </w:rPr>
        <w:t>本次评价的五项建议采用不同方式的内部讨论和实施程序，将于2019年12月之前完成。</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计划18：知识产权与全球挑战评价</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评价的主要结果发现，计划18为产权组织处理全球政策问题相关的知识产权这一战略目标做出了有效的关键贡献。该</w:t>
      </w:r>
      <w:proofErr w:type="gramStart"/>
      <w:r w:rsidRPr="00881C73">
        <w:rPr>
          <w:rFonts w:ascii="SimSun" w:hAnsi="SimSun" w:hint="eastAsia"/>
          <w:sz w:val="21"/>
          <w:szCs w:val="21"/>
        </w:rPr>
        <w:t>计划极</w:t>
      </w:r>
      <w:proofErr w:type="gramEnd"/>
      <w:r w:rsidRPr="00881C73">
        <w:rPr>
          <w:rFonts w:ascii="SimSun" w:hAnsi="SimSun" w:hint="eastAsia"/>
          <w:sz w:val="21"/>
          <w:szCs w:val="21"/>
        </w:rPr>
        <w:t>大地提高了产权组织在与知识产权相关的重要政策辩论中的知名度和参与度，从而有助于提高这些讨论的质量和客观性。该计划以多部门伙伴关系作为理解和解决知识产权相关问题的手段是有效的。“三方合作”常被认定为计划18最有价值的贡献。</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虽然对该计划的总体评估是正面的，但评价找出了计划工作中有待加强的一些方面。一方面，指导计划18所有活动持续发展的计划战略应辅以WIPO GREEN的五年战略，由一个专家咨询小组为该流程提供支持。此外，产权组织应改善资源部署，以缩小计划18工作人员目前与WIPO GREEN的能力差距，以支持该计划的气候变化工作，并考虑加强与世界卫生组织和世界贸易组织的三方合作模式，以深化与主要多边、国际和/或其他联合国组织的合作。产权组织还应加强对计划18催生的伙伴关系的持续协作支持和监测，以提高衡量和实现长期影响的潜力。</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本次评价的四项建议正在落实中，将于2018年12月之前完成。</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知识产权技能的能力发展评价</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评价的主要结果发现，产权组织的能力发展活动有助于实现本组织的战略目标和成员国的发展需求。此外，在评估期间调查的大多数外部利益攸关方（成员国代表和知识产权组织）确认，产权组织的能力发展干预措施对三个层面的能力发展（政策/法律、机构和个人）产生了积极影响。大部分外部利益攸关方确认，产权组织在能力发展方面的活动有助于以可持续的方式使更多人从中受益，获得能力。</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评价找出了计划工作中有待加强的一些方面。具体而言，需制定能力发展框架，以设计、实施、监测、管理和评估产权组织计划中的能力发展，并巩固汇集了现有数据库和能力开发储存库的IT架构。此外，发展部门应根据最佳做法，考虑为国家知识产权战略的制定和通过阶段提供涵盖程序性和实质性事项的指导。最后，正如产权组织的性别平等政策所建议的，正在审查的八个计划需将性别问题纳入其活动，并制定性别敏感指标，以可持续的方式处理性别观点。</w:t>
      </w:r>
    </w:p>
    <w:p w:rsidR="000B1486" w:rsidRPr="00881C73" w:rsidRDefault="000B1486" w:rsidP="00881C73">
      <w:pPr>
        <w:pStyle w:val="ONUME"/>
        <w:overflowPunct w:val="0"/>
        <w:spacing w:afterLines="50" w:after="120" w:line="340" w:lineRule="atLeast"/>
        <w:jc w:val="both"/>
        <w:rPr>
          <w:rFonts w:ascii="SimSun" w:hAnsi="SimSun"/>
          <w:sz w:val="21"/>
          <w:szCs w:val="21"/>
        </w:rPr>
      </w:pPr>
      <w:r w:rsidRPr="00881C73">
        <w:rPr>
          <w:rFonts w:ascii="SimSun" w:hAnsi="SimSun" w:hint="eastAsia"/>
          <w:sz w:val="21"/>
          <w:szCs w:val="21"/>
        </w:rPr>
        <w:t>计划在2019年6月之前落实对这项评价提出的建议。</w:t>
      </w:r>
    </w:p>
    <w:p w:rsidR="000B1486" w:rsidRPr="00881C73" w:rsidRDefault="000B1486" w:rsidP="00881C73">
      <w:pPr>
        <w:pStyle w:val="1"/>
        <w:overflowPunct w:val="0"/>
        <w:spacing w:beforeLines="100" w:before="240" w:afterLines="50" w:after="120" w:line="340" w:lineRule="atLeast"/>
        <w:rPr>
          <w:rFonts w:ascii="SimHei" w:eastAsia="SimHei" w:hAnsi="SimHei"/>
          <w:b w:val="0"/>
          <w:sz w:val="21"/>
          <w:szCs w:val="21"/>
        </w:rPr>
      </w:pPr>
      <w:bookmarkStart w:id="89" w:name="_Toc519241784"/>
      <w:bookmarkStart w:id="90" w:name="OLE_LINK101"/>
      <w:bookmarkStart w:id="91" w:name="OLE_LINK102"/>
      <w:bookmarkStart w:id="92" w:name="_Toc328920437"/>
      <w:r w:rsidRPr="00881C73">
        <w:rPr>
          <w:rFonts w:ascii="SimHei" w:eastAsia="SimHei" w:hAnsi="SimHei" w:hint="eastAsia"/>
          <w:b w:val="0"/>
          <w:sz w:val="21"/>
          <w:szCs w:val="21"/>
        </w:rPr>
        <w:t>调查活动</w:t>
      </w:r>
      <w:bookmarkEnd w:id="89"/>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案件概况</w:t>
      </w:r>
    </w:p>
    <w:p w:rsidR="000B1486" w:rsidRPr="00075877" w:rsidRDefault="000B1486" w:rsidP="00075877">
      <w:pPr>
        <w:pStyle w:val="ONUME"/>
        <w:overflowPunct w:val="0"/>
        <w:spacing w:afterLines="50" w:after="120" w:line="340" w:lineRule="atLeast"/>
        <w:jc w:val="both"/>
        <w:rPr>
          <w:rFonts w:ascii="SimSun" w:hAnsi="SimSun"/>
          <w:sz w:val="21"/>
          <w:szCs w:val="21"/>
        </w:rPr>
      </w:pPr>
      <w:r w:rsidRPr="00075877">
        <w:rPr>
          <w:rFonts w:ascii="SimSun" w:hAnsi="SimSun" w:hint="eastAsia"/>
          <w:sz w:val="21"/>
          <w:szCs w:val="21"/>
        </w:rPr>
        <w:t>在本报告所涉期间，共受理了40件案件（比上个报告期间增加了67％），审结了42件案件。截至2018年6月30日，12件案件未结，其中4件处于初步评价阶段，6件处于全面调查阶段，2件处于暂停状态，暂停原因是一名有关工作人员长期缺勤或另一实体未采取行动。未结案件中，5件于2018年受理，6件于2017年受理，1件于2016年受理。截至2017年7月1日，处理案件的平均时长为7.1个月。</w:t>
      </w:r>
      <w:bookmarkEnd w:id="90"/>
      <w:bookmarkEnd w:id="91"/>
    </w:p>
    <w:p w:rsidR="000B1486" w:rsidRPr="00CC5992" w:rsidRDefault="000B1486" w:rsidP="000B1486">
      <w:pPr>
        <w:pStyle w:val="ONUME"/>
        <w:numPr>
          <w:ilvl w:val="0"/>
          <w:numId w:val="0"/>
        </w:numPr>
        <w:jc w:val="center"/>
        <w:rPr>
          <w:rFonts w:ascii="SimSun" w:hAnsi="SimSun"/>
          <w:b/>
          <w:sz w:val="18"/>
          <w:szCs w:val="18"/>
        </w:rPr>
      </w:pPr>
      <w:r w:rsidRPr="00CC5992">
        <w:rPr>
          <w:rFonts w:ascii="SimSun" w:hAnsi="SimSun" w:hint="eastAsia"/>
          <w:b/>
          <w:sz w:val="18"/>
          <w:szCs w:val="18"/>
        </w:rPr>
        <w:t>图1</w:t>
      </w:r>
      <w:bookmarkStart w:id="93" w:name="OLE_LINK141"/>
      <w:bookmarkStart w:id="94" w:name="OLE_LINK142"/>
      <w:r w:rsidRPr="00CC5992">
        <w:rPr>
          <w:rFonts w:ascii="SimSun" w:hAnsi="SimSun" w:hint="eastAsia"/>
          <w:b/>
          <w:sz w:val="18"/>
          <w:szCs w:val="18"/>
        </w:rPr>
        <w:t xml:space="preserve"> </w:t>
      </w:r>
      <w:r w:rsidRPr="00CC5992">
        <w:rPr>
          <w:rFonts w:ascii="SimSun" w:hAnsi="SimSun"/>
          <w:b/>
          <w:sz w:val="18"/>
          <w:szCs w:val="18"/>
        </w:rPr>
        <w:t>–</w:t>
      </w:r>
      <w:r w:rsidRPr="00CC5992">
        <w:rPr>
          <w:rFonts w:ascii="SimSun" w:hAnsi="SimSun" w:hint="eastAsia"/>
          <w:b/>
          <w:sz w:val="18"/>
          <w:szCs w:val="18"/>
        </w:rPr>
        <w:t xml:space="preserve"> 2015年6月30日至2018年6月30日调查案件量比较分析</w:t>
      </w:r>
      <w:bookmarkEnd w:id="93"/>
      <w:bookmarkEnd w:id="94"/>
    </w:p>
    <w:p w:rsidR="00455935" w:rsidRDefault="007663BE" w:rsidP="008010A1">
      <w:pPr>
        <w:pStyle w:val="ONUME"/>
        <w:numPr>
          <w:ilvl w:val="0"/>
          <w:numId w:val="0"/>
        </w:numPr>
        <w:overflowPunct w:val="0"/>
        <w:spacing w:afterLines="50" w:after="120" w:line="340" w:lineRule="atLeast"/>
        <w:jc w:val="both"/>
        <w:rPr>
          <w:rFonts w:ascii="SimSun" w:hAnsi="SimSun"/>
          <w:sz w:val="21"/>
          <w:szCs w:val="21"/>
        </w:rPr>
      </w:pPr>
      <w:bookmarkStart w:id="95" w:name="OLE_LINK103"/>
      <w:bookmarkStart w:id="96" w:name="OLE_LINK104"/>
      <w:r>
        <w:rPr>
          <w:noProof/>
        </w:rPr>
        <w:drawing>
          <wp:inline distT="0" distB="0" distL="0" distR="0" wp14:anchorId="63E6A03A" wp14:editId="219DC5BC">
            <wp:extent cx="5940425" cy="3315468"/>
            <wp:effectExtent l="0" t="0" r="317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1486" w:rsidRPr="008010A1" w:rsidRDefault="000B1486" w:rsidP="00455935">
      <w:pPr>
        <w:pStyle w:val="ONUME"/>
        <w:overflowPunct w:val="0"/>
        <w:spacing w:afterLines="50" w:after="120" w:line="340" w:lineRule="atLeast"/>
        <w:jc w:val="both"/>
        <w:rPr>
          <w:rFonts w:ascii="SimSun" w:hAnsi="SimSun"/>
          <w:sz w:val="21"/>
          <w:szCs w:val="21"/>
        </w:rPr>
      </w:pPr>
      <w:r w:rsidRPr="008010A1">
        <w:rPr>
          <w:rFonts w:ascii="SimSun" w:hAnsi="SimSun" w:hint="eastAsia"/>
          <w:sz w:val="21"/>
          <w:szCs w:val="21"/>
        </w:rPr>
        <w:t>在本报告所涉期间受理的40件案件中，根据《章程》相关规定</w:t>
      </w:r>
      <w:r w:rsidRPr="008010A1">
        <w:rPr>
          <w:rFonts w:ascii="SimSun" w:hAnsi="SimSun"/>
          <w:sz w:val="21"/>
          <w:szCs w:val="21"/>
        </w:rPr>
        <w:footnoteReference w:customMarkFollows="1" w:id="6"/>
        <w:t>5</w:t>
      </w:r>
      <w:r w:rsidRPr="008010A1">
        <w:rPr>
          <w:rFonts w:ascii="SimSun" w:hAnsi="SimSun" w:hint="eastAsia"/>
          <w:sz w:val="21"/>
          <w:szCs w:val="21"/>
        </w:rPr>
        <w:t>，有12件转到</w:t>
      </w:r>
      <w:proofErr w:type="gramStart"/>
      <w:r w:rsidRPr="008010A1">
        <w:rPr>
          <w:rFonts w:ascii="SimSun" w:hAnsi="SimSun" w:hint="eastAsia"/>
          <w:sz w:val="21"/>
          <w:szCs w:val="21"/>
        </w:rPr>
        <w:t>咨</w:t>
      </w:r>
      <w:proofErr w:type="gramEnd"/>
      <w:r w:rsidRPr="008010A1">
        <w:rPr>
          <w:rFonts w:ascii="SimSun" w:hAnsi="SimSun" w:hint="eastAsia"/>
          <w:sz w:val="21"/>
          <w:szCs w:val="21"/>
        </w:rPr>
        <w:t>监委，以寻求其建议。</w:t>
      </w:r>
    </w:p>
    <w:p w:rsidR="000B1486" w:rsidRPr="0001114D" w:rsidRDefault="001B6BF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调查活动的结</w:t>
      </w:r>
      <w:r w:rsidR="000B1486" w:rsidRPr="0001114D">
        <w:rPr>
          <w:rFonts w:asciiTheme="minorEastAsia" w:eastAsiaTheme="minorEastAsia" w:hAnsiTheme="minorEastAsia" w:hint="eastAsia"/>
          <w:b/>
          <w:sz w:val="21"/>
          <w:szCs w:val="21"/>
        </w:rPr>
        <w:t>果</w:t>
      </w:r>
    </w:p>
    <w:p w:rsidR="000B1486" w:rsidRPr="001B6BF6" w:rsidRDefault="000B1486" w:rsidP="001B6BF6">
      <w:pPr>
        <w:pStyle w:val="ONUME"/>
        <w:overflowPunct w:val="0"/>
        <w:spacing w:afterLines="50" w:after="120" w:line="340" w:lineRule="atLeast"/>
        <w:jc w:val="both"/>
        <w:rPr>
          <w:rFonts w:asciiTheme="minorEastAsia" w:eastAsiaTheme="minorEastAsia" w:hAnsiTheme="minorEastAsia"/>
          <w:sz w:val="21"/>
          <w:szCs w:val="21"/>
        </w:rPr>
      </w:pPr>
      <w:r w:rsidRPr="001B6BF6">
        <w:rPr>
          <w:rFonts w:asciiTheme="minorEastAsia" w:eastAsiaTheme="minorEastAsia" w:hAnsiTheme="minorEastAsia" w:hint="eastAsia"/>
          <w:sz w:val="21"/>
          <w:szCs w:val="21"/>
        </w:rPr>
        <w:t>根据《章程》，年度报告应包括对证实属实的调查案件及其处理情况的描述。在其中 5件开展调查的案件中，监督司发现指控属实，并建议对一名工作人员启动纪律处罚程序。在这5件案件中：</w:t>
      </w:r>
    </w:p>
    <w:p w:rsidR="000B1486" w:rsidRPr="001B6BF6" w:rsidRDefault="000B1486" w:rsidP="00BD7EE8">
      <w:pPr>
        <w:pStyle w:val="ONUME"/>
        <w:numPr>
          <w:ilvl w:val="1"/>
          <w:numId w:val="3"/>
        </w:numPr>
        <w:spacing w:afterLines="50" w:after="120" w:line="340" w:lineRule="atLeast"/>
        <w:jc w:val="both"/>
        <w:rPr>
          <w:rFonts w:ascii="SimSun" w:hAnsi="SimSun"/>
          <w:sz w:val="21"/>
          <w:szCs w:val="21"/>
        </w:rPr>
      </w:pPr>
      <w:r w:rsidRPr="001B6BF6">
        <w:rPr>
          <w:rFonts w:ascii="SimSun" w:hAnsi="SimSun" w:hint="eastAsia"/>
          <w:sz w:val="21"/>
          <w:szCs w:val="21"/>
        </w:rPr>
        <w:t>2件涉及工作人员在工作时间上的失实陈述；</w:t>
      </w:r>
    </w:p>
    <w:p w:rsidR="000B1486" w:rsidRPr="001B6BF6" w:rsidRDefault="000B1486" w:rsidP="00BD7EE8">
      <w:pPr>
        <w:pStyle w:val="ONUME"/>
        <w:numPr>
          <w:ilvl w:val="1"/>
          <w:numId w:val="3"/>
        </w:numPr>
        <w:spacing w:afterLines="50" w:after="120" w:line="340" w:lineRule="atLeast"/>
        <w:jc w:val="both"/>
        <w:rPr>
          <w:rFonts w:ascii="SimSun" w:hAnsi="SimSun"/>
          <w:sz w:val="21"/>
          <w:szCs w:val="21"/>
        </w:rPr>
      </w:pPr>
      <w:r w:rsidRPr="001B6BF6">
        <w:rPr>
          <w:rFonts w:ascii="SimSun" w:hAnsi="SimSun" w:hint="eastAsia"/>
          <w:sz w:val="21"/>
          <w:szCs w:val="21"/>
        </w:rPr>
        <w:t>1件涉及工作人员滥用外交特权和豁免权以逃避个人财务义务；</w:t>
      </w:r>
    </w:p>
    <w:p w:rsidR="000B1486" w:rsidRPr="001B6BF6" w:rsidRDefault="000B1486" w:rsidP="00BD7EE8">
      <w:pPr>
        <w:pStyle w:val="ONUME"/>
        <w:numPr>
          <w:ilvl w:val="1"/>
          <w:numId w:val="3"/>
        </w:numPr>
        <w:spacing w:afterLines="50" w:after="120" w:line="340" w:lineRule="atLeast"/>
        <w:jc w:val="both"/>
        <w:rPr>
          <w:rFonts w:ascii="SimSun" w:hAnsi="SimSun"/>
          <w:sz w:val="21"/>
          <w:szCs w:val="21"/>
        </w:rPr>
      </w:pPr>
      <w:r w:rsidRPr="001B6BF6">
        <w:rPr>
          <w:rFonts w:ascii="SimSun" w:hAnsi="SimSun" w:hint="eastAsia"/>
          <w:sz w:val="21"/>
          <w:szCs w:val="21"/>
        </w:rPr>
        <w:t>1</w:t>
      </w:r>
      <w:r w:rsidR="00A53BB7">
        <w:rPr>
          <w:rFonts w:ascii="SimSun" w:hAnsi="SimSun" w:hint="eastAsia"/>
          <w:sz w:val="21"/>
          <w:szCs w:val="21"/>
        </w:rPr>
        <w:t>件涉及工作人员在工作场所的不服从</w:t>
      </w:r>
      <w:r w:rsidRPr="001B6BF6">
        <w:rPr>
          <w:rFonts w:ascii="SimSun" w:hAnsi="SimSun" w:hint="eastAsia"/>
          <w:sz w:val="21"/>
          <w:szCs w:val="21"/>
        </w:rPr>
        <w:t>和不当行为；以及</w:t>
      </w:r>
    </w:p>
    <w:p w:rsidR="000B1486" w:rsidRPr="001B6BF6" w:rsidRDefault="000B1486" w:rsidP="00BD7EE8">
      <w:pPr>
        <w:pStyle w:val="ONUME"/>
        <w:numPr>
          <w:ilvl w:val="1"/>
          <w:numId w:val="3"/>
        </w:numPr>
        <w:spacing w:afterLines="50" w:after="120" w:line="340" w:lineRule="atLeast"/>
        <w:jc w:val="both"/>
        <w:rPr>
          <w:rFonts w:ascii="SimSun" w:hAnsi="SimSun"/>
          <w:sz w:val="21"/>
          <w:szCs w:val="21"/>
        </w:rPr>
      </w:pPr>
      <w:r w:rsidRPr="001B6BF6">
        <w:rPr>
          <w:rFonts w:ascii="SimSun" w:hAnsi="SimSun" w:hint="eastAsia"/>
          <w:sz w:val="21"/>
          <w:szCs w:val="21"/>
        </w:rPr>
        <w:t>1件涉及工作人员未经授权的外部专业活动。</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提出启动纪律处罚程序的建议之后：</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hint="eastAsia"/>
          <w:sz w:val="21"/>
          <w:szCs w:val="21"/>
        </w:rPr>
        <w:t>在1件案件中，该名工作人员被本组织解雇；</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hint="eastAsia"/>
          <w:sz w:val="21"/>
          <w:szCs w:val="21"/>
        </w:rPr>
        <w:t>在1件案件中，该名工作人员被降至较低职等；</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hint="eastAsia"/>
          <w:sz w:val="21"/>
          <w:szCs w:val="21"/>
        </w:rPr>
        <w:t>在1件案件中，本组织未采纳启动纪律处罚程序的建议；以及</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hint="eastAsia"/>
          <w:sz w:val="21"/>
          <w:szCs w:val="21"/>
        </w:rPr>
        <w:t>在2件案件中，截至2018年6月30日，管理层的最终决定仍未确定。</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此外，在本报告所涉期间开展的调查活动使监督司吸取了一些教训。具体来说，发布了三份所涉管理问题报告（MIR），提出了管理建议，内容涉及：（</w:t>
      </w:r>
      <w:proofErr w:type="spellStart"/>
      <w:r w:rsidRPr="00BF5C12">
        <w:rPr>
          <w:rFonts w:asciiTheme="minorEastAsia" w:eastAsiaTheme="minorEastAsia" w:hAnsiTheme="minorEastAsia" w:hint="eastAsia"/>
          <w:sz w:val="21"/>
          <w:szCs w:val="21"/>
        </w:rPr>
        <w:t>i</w:t>
      </w:r>
      <w:proofErr w:type="spellEnd"/>
      <w:r w:rsidRPr="00BF5C12">
        <w:rPr>
          <w:rFonts w:asciiTheme="minorEastAsia" w:eastAsiaTheme="minorEastAsia" w:hAnsiTheme="minorEastAsia" w:hint="eastAsia"/>
          <w:sz w:val="21"/>
          <w:szCs w:val="21"/>
        </w:rPr>
        <w:t>）人身安全和安保执行规则；（ii）采购程序；（iii）产权组织停车场的交通规则制定与执行。</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下表是对2015年7月1日至2018年6月30日期间所受理案件的比较分析：</w:t>
      </w:r>
    </w:p>
    <w:bookmarkEnd w:id="95"/>
    <w:bookmarkEnd w:id="96"/>
    <w:p w:rsidR="000B1486" w:rsidRPr="00CC5992" w:rsidRDefault="000B1486" w:rsidP="000B1486">
      <w:pPr>
        <w:pStyle w:val="ONUME"/>
        <w:keepNext/>
        <w:numPr>
          <w:ilvl w:val="0"/>
          <w:numId w:val="0"/>
        </w:numPr>
        <w:jc w:val="center"/>
        <w:rPr>
          <w:rFonts w:ascii="SimSun" w:hAnsi="SimSun"/>
          <w:b/>
          <w:sz w:val="18"/>
          <w:szCs w:val="18"/>
        </w:rPr>
      </w:pPr>
      <w:r w:rsidRPr="00CC5992">
        <w:rPr>
          <w:rFonts w:ascii="SimSun" w:hAnsi="SimSun" w:hint="eastAsia"/>
          <w:b/>
          <w:sz w:val="18"/>
          <w:szCs w:val="18"/>
        </w:rPr>
        <w:t xml:space="preserve">表1 </w:t>
      </w:r>
      <w:r w:rsidRPr="00CC5992">
        <w:rPr>
          <w:rFonts w:ascii="SimSun" w:hAnsi="SimSun"/>
          <w:b/>
          <w:sz w:val="18"/>
          <w:szCs w:val="18"/>
        </w:rPr>
        <w:t>–</w:t>
      </w:r>
      <w:r w:rsidRPr="00CC5992">
        <w:rPr>
          <w:rFonts w:ascii="SimSun" w:hAnsi="SimSun" w:hint="eastAsia"/>
          <w:b/>
          <w:sz w:val="18"/>
          <w:szCs w:val="18"/>
        </w:rPr>
        <w:t xml:space="preserve"> 2015年7月1日至2018年6月30日受理投诉分析</w:t>
      </w:r>
    </w:p>
    <w:p w:rsidR="000B1486" w:rsidRPr="00CC5992" w:rsidRDefault="003F43E5" w:rsidP="000B1486">
      <w:pPr>
        <w:pStyle w:val="ONUME"/>
        <w:numPr>
          <w:ilvl w:val="0"/>
          <w:numId w:val="0"/>
        </w:numPr>
        <w:jc w:val="center"/>
        <w:rPr>
          <w:rFonts w:ascii="SimSun" w:hAnsi="SimSun"/>
        </w:rPr>
      </w:pPr>
      <w:r w:rsidRPr="003F43E5">
        <w:rPr>
          <w:noProof/>
        </w:rPr>
        <w:drawing>
          <wp:inline distT="0" distB="0" distL="0" distR="0" wp14:anchorId="3CB79005" wp14:editId="691CD7AC">
            <wp:extent cx="5940425" cy="2922110"/>
            <wp:effectExtent l="0" t="0" r="317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922110"/>
                    </a:xfrm>
                    <a:prstGeom prst="rect">
                      <a:avLst/>
                    </a:prstGeom>
                    <a:noFill/>
                    <a:ln>
                      <a:noFill/>
                    </a:ln>
                  </pic:spPr>
                </pic:pic>
              </a:graphicData>
            </a:graphic>
          </wp:inline>
        </w:drawing>
      </w:r>
    </w:p>
    <w:p w:rsidR="000B1486" w:rsidRPr="00CC5992" w:rsidRDefault="000B1486" w:rsidP="000B1486">
      <w:pPr>
        <w:pStyle w:val="ONUME"/>
        <w:keepNext/>
        <w:numPr>
          <w:ilvl w:val="0"/>
          <w:numId w:val="0"/>
        </w:numPr>
        <w:jc w:val="center"/>
        <w:rPr>
          <w:rFonts w:ascii="SimSun" w:hAnsi="SimSun"/>
          <w:b/>
          <w:sz w:val="18"/>
          <w:szCs w:val="18"/>
        </w:rPr>
      </w:pPr>
      <w:r w:rsidRPr="00CC5992">
        <w:rPr>
          <w:rFonts w:ascii="SimSun" w:hAnsi="SimSun" w:hint="eastAsia"/>
          <w:b/>
          <w:sz w:val="18"/>
          <w:szCs w:val="18"/>
        </w:rPr>
        <w:t xml:space="preserve">图2 </w:t>
      </w:r>
      <w:r w:rsidRPr="00CC5992">
        <w:rPr>
          <w:rFonts w:ascii="SimSun" w:hAnsi="SimSun"/>
          <w:b/>
          <w:sz w:val="18"/>
          <w:szCs w:val="18"/>
        </w:rPr>
        <w:t>–</w:t>
      </w:r>
      <w:r w:rsidRPr="00CC5992">
        <w:rPr>
          <w:rFonts w:ascii="SimSun" w:hAnsi="SimSun" w:hint="eastAsia"/>
          <w:b/>
          <w:sz w:val="18"/>
          <w:szCs w:val="18"/>
        </w:rPr>
        <w:t xml:space="preserve"> 2015年7月1日至2018年6月30日审结案件分析</w:t>
      </w:r>
    </w:p>
    <w:p w:rsidR="000B1486" w:rsidRPr="00CC5992" w:rsidRDefault="003C6934" w:rsidP="000B1486">
      <w:pPr>
        <w:jc w:val="center"/>
        <w:rPr>
          <w:rFonts w:ascii="SimSun" w:hAnsi="SimSun"/>
        </w:rPr>
      </w:pPr>
      <w:r>
        <w:rPr>
          <w:noProof/>
        </w:rPr>
        <w:drawing>
          <wp:inline distT="0" distB="0" distL="0" distR="0" wp14:anchorId="128AC2BF" wp14:editId="705DC405">
            <wp:extent cx="4572000" cy="27432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B1486" w:rsidRPr="00BF5C12" w:rsidRDefault="000B1486" w:rsidP="00BF5C12">
      <w:pPr>
        <w:pStyle w:val="1"/>
        <w:overflowPunct w:val="0"/>
        <w:spacing w:beforeLines="100" w:before="240" w:afterLines="50" w:after="120" w:line="340" w:lineRule="atLeast"/>
        <w:rPr>
          <w:rFonts w:ascii="SimHei" w:eastAsia="SimHei" w:hAnsi="SimHei"/>
          <w:b w:val="0"/>
          <w:sz w:val="21"/>
          <w:szCs w:val="21"/>
        </w:rPr>
      </w:pPr>
      <w:bookmarkStart w:id="97" w:name="_Toc519241785"/>
      <w:bookmarkStart w:id="98" w:name="OLE_LINK105"/>
      <w:bookmarkStart w:id="99" w:name="OLE_LINK106"/>
      <w:r w:rsidRPr="00BF5C12">
        <w:rPr>
          <w:rFonts w:ascii="SimHei" w:eastAsia="SimHei" w:hAnsi="SimHei" w:hint="eastAsia"/>
          <w:b w:val="0"/>
          <w:sz w:val="21"/>
          <w:szCs w:val="21"/>
        </w:rPr>
        <w:t>拒绝提供信息或配合的情况</w:t>
      </w:r>
      <w:bookmarkEnd w:id="97"/>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根据《章程》第45段(g)项，监督司司长应通报报告所涉期间，监督司在获取记录、访问人员和房舍方面受到限制的任何情况。</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监督司报告，在本报告所述期间持续进行的监督进程中，没有工作人员拒绝提供信息或配合。</w:t>
      </w:r>
    </w:p>
    <w:p w:rsidR="000B1486" w:rsidRPr="00BF5C12" w:rsidRDefault="000B1486" w:rsidP="00BF5C12">
      <w:pPr>
        <w:pStyle w:val="1"/>
        <w:overflowPunct w:val="0"/>
        <w:spacing w:beforeLines="100" w:before="240" w:afterLines="50" w:after="120" w:line="340" w:lineRule="atLeast"/>
        <w:rPr>
          <w:rFonts w:ascii="SimHei" w:eastAsia="SimHei" w:hAnsi="SimHei"/>
          <w:b w:val="0"/>
          <w:sz w:val="21"/>
          <w:szCs w:val="21"/>
        </w:rPr>
      </w:pPr>
      <w:bookmarkStart w:id="100" w:name="_Toc519241786"/>
      <w:bookmarkEnd w:id="92"/>
      <w:r w:rsidRPr="00BF5C12">
        <w:rPr>
          <w:rFonts w:ascii="SimHei" w:eastAsia="SimHei" w:hAnsi="SimHei" w:hint="eastAsia"/>
          <w:b w:val="0"/>
          <w:sz w:val="21"/>
          <w:szCs w:val="21"/>
        </w:rPr>
        <w:t>监督建议的落实情况</w:t>
      </w:r>
      <w:bookmarkEnd w:id="100"/>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总干事有责任确保监督司司长及其他监督机构提出的各项建议均能获得迅速响应，并须说明就特定报告结果和各项建议所采取的措施</w:t>
      </w:r>
      <w:r w:rsidRPr="00BF5C12">
        <w:rPr>
          <w:rFonts w:asciiTheme="minorEastAsia" w:eastAsiaTheme="minorEastAsia" w:hAnsiTheme="minorEastAsia"/>
          <w:sz w:val="21"/>
          <w:szCs w:val="21"/>
          <w:vertAlign w:val="superscript"/>
        </w:rPr>
        <w:footnoteReference w:customMarkFollows="1" w:id="7"/>
        <w:t>6</w:t>
      </w:r>
      <w:r w:rsidRPr="00BF5C12">
        <w:rPr>
          <w:rFonts w:asciiTheme="minorEastAsia" w:eastAsiaTheme="minorEastAsia" w:hAnsiTheme="minorEastAsia" w:hint="eastAsia"/>
          <w:sz w:val="21"/>
          <w:szCs w:val="21"/>
        </w:rPr>
        <w:t>。总干事通过负责本组织具体业务领域的计划管理人员履行这一职责</w:t>
      </w:r>
      <w:r w:rsidRPr="00BF5C12">
        <w:rPr>
          <w:rFonts w:asciiTheme="minorEastAsia" w:eastAsiaTheme="minorEastAsia" w:hAnsiTheme="minorEastAsia"/>
          <w:sz w:val="21"/>
          <w:szCs w:val="21"/>
          <w:vertAlign w:val="superscript"/>
        </w:rPr>
        <w:footnoteReference w:customMarkFollows="1" w:id="8"/>
        <w:t>7</w:t>
      </w:r>
      <w:r w:rsidRPr="00BF5C12">
        <w:rPr>
          <w:rFonts w:asciiTheme="minorEastAsia" w:eastAsiaTheme="minorEastAsia" w:hAnsiTheme="minorEastAsia" w:hint="eastAsia"/>
          <w:sz w:val="21"/>
          <w:szCs w:val="21"/>
        </w:rPr>
        <w:t>。计划管理人员对所有监督建议的落实情况，需要定期接受监督司的后续工作检查</w:t>
      </w:r>
      <w:r w:rsidRPr="00BF5C12">
        <w:rPr>
          <w:rFonts w:asciiTheme="minorEastAsia" w:eastAsiaTheme="minorEastAsia" w:hAnsiTheme="minorEastAsia"/>
          <w:sz w:val="21"/>
          <w:szCs w:val="21"/>
          <w:vertAlign w:val="superscript"/>
        </w:rPr>
        <w:footnoteReference w:customMarkFollows="1" w:id="9"/>
        <w:t>8</w:t>
      </w:r>
      <w:r w:rsidRPr="00BF5C12">
        <w:rPr>
          <w:rFonts w:asciiTheme="minorEastAsia" w:eastAsiaTheme="minorEastAsia" w:hAnsiTheme="minorEastAsia" w:hint="eastAsia"/>
          <w:sz w:val="21"/>
          <w:szCs w:val="21"/>
        </w:rPr>
        <w:t>。</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监督司继续使用</w:t>
      </w:r>
      <w:proofErr w:type="spellStart"/>
      <w:r w:rsidRPr="00BF5C12">
        <w:rPr>
          <w:rFonts w:asciiTheme="minorEastAsia" w:eastAsiaTheme="minorEastAsia" w:hAnsiTheme="minorEastAsia" w:hint="eastAsia"/>
          <w:sz w:val="21"/>
          <w:szCs w:val="21"/>
        </w:rPr>
        <w:t>TeamCentral</w:t>
      </w:r>
      <w:proofErr w:type="spellEnd"/>
      <w:r w:rsidRPr="00BF5C12">
        <w:rPr>
          <w:rFonts w:asciiTheme="minorEastAsia" w:eastAsiaTheme="minorEastAsia" w:hAnsiTheme="minorEastAsia" w:hint="eastAsia"/>
          <w:sz w:val="21"/>
          <w:szCs w:val="21"/>
        </w:rPr>
        <w:t>©系统管理和报告有关建议，该系统使计划管理人员能与其代表进行互动对话，以有效跟进未落实建议的实施情况。</w:t>
      </w:r>
    </w:p>
    <w:p w:rsidR="000B1486" w:rsidRPr="00BF5C12" w:rsidRDefault="000B1486" w:rsidP="00BF5C12">
      <w:pPr>
        <w:pStyle w:val="ONUME"/>
        <w:overflowPunct w:val="0"/>
        <w:spacing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监督</w:t>
      </w:r>
      <w:proofErr w:type="gramStart"/>
      <w:r w:rsidRPr="00BF5C12">
        <w:rPr>
          <w:rFonts w:asciiTheme="minorEastAsia" w:eastAsiaTheme="minorEastAsia" w:hAnsiTheme="minorEastAsia" w:hint="eastAsia"/>
          <w:sz w:val="21"/>
          <w:szCs w:val="21"/>
        </w:rPr>
        <w:t>司结束</w:t>
      </w:r>
      <w:proofErr w:type="gramEnd"/>
      <w:r w:rsidRPr="00BF5C12">
        <w:rPr>
          <w:rFonts w:asciiTheme="minorEastAsia" w:eastAsiaTheme="minorEastAsia" w:hAnsiTheme="minorEastAsia" w:hint="eastAsia"/>
          <w:sz w:val="21"/>
          <w:szCs w:val="21"/>
        </w:rPr>
        <w:t>了其业务智能（BI）项目的第一阶段，其中包括在BI仪表板中支持跟进建议。目前，</w:t>
      </w:r>
      <w:proofErr w:type="spellStart"/>
      <w:r w:rsidRPr="00BF5C12">
        <w:rPr>
          <w:rFonts w:asciiTheme="minorEastAsia" w:eastAsiaTheme="minorEastAsia" w:hAnsiTheme="minorEastAsia" w:hint="eastAsia"/>
          <w:sz w:val="21"/>
          <w:szCs w:val="21"/>
        </w:rPr>
        <w:t>TeamCentral</w:t>
      </w:r>
      <w:proofErr w:type="spellEnd"/>
      <w:r w:rsidRPr="00BF5C12">
        <w:rPr>
          <w:rFonts w:asciiTheme="minorEastAsia" w:eastAsiaTheme="minorEastAsia" w:hAnsiTheme="minorEastAsia" w:hint="eastAsia"/>
          <w:sz w:val="21"/>
          <w:szCs w:val="21"/>
        </w:rPr>
        <w:t>©系统的建议数据已与BI仪表板连接，并且已授予监督司工作人员访问权限。该项目第二阶段预计将于2018年底之前完成，其中包括根据明确定义的访问权，为管理层和其他建议利益攸关方提供访问权限。这将使管理层能够更加全面细致地了解建议的演变情况，并独立生成建议报告。</w:t>
      </w:r>
    </w:p>
    <w:p w:rsidR="000B1486" w:rsidRPr="00BF5C12" w:rsidRDefault="00CB537F" w:rsidP="00BF5C12">
      <w:pPr>
        <w:pStyle w:val="ONUME"/>
        <w:overflowPunct w:val="0"/>
        <w:spacing w:afterLines="50" w:after="120" w:line="340" w:lineRule="atLeast"/>
        <w:jc w:val="both"/>
        <w:rPr>
          <w:rFonts w:asciiTheme="minorEastAsia" w:eastAsiaTheme="minorEastAsia" w:hAnsiTheme="minorEastAsia"/>
          <w:sz w:val="21"/>
          <w:szCs w:val="21"/>
        </w:rPr>
      </w:pPr>
      <w:r>
        <w:rPr>
          <w:noProof/>
        </w:rPr>
        <w:drawing>
          <wp:anchor distT="0" distB="0" distL="114300" distR="114300" simplePos="0" relativeHeight="251662336" behindDoc="0" locked="0" layoutInCell="1" allowOverlap="1" wp14:anchorId="5835DB37" wp14:editId="2527C04C">
            <wp:simplePos x="0" y="0"/>
            <wp:positionH relativeFrom="column">
              <wp:posOffset>981075</wp:posOffset>
            </wp:positionH>
            <wp:positionV relativeFrom="paragraph">
              <wp:posOffset>855345</wp:posOffset>
            </wp:positionV>
            <wp:extent cx="4080510" cy="2282190"/>
            <wp:effectExtent l="0" t="0" r="15240" b="2286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0B1486" w:rsidRPr="00BF5C12">
        <w:rPr>
          <w:rFonts w:asciiTheme="minorEastAsia" w:eastAsiaTheme="minorEastAsia" w:hAnsiTheme="minorEastAsia" w:hint="eastAsia"/>
          <w:sz w:val="21"/>
          <w:szCs w:val="21"/>
        </w:rPr>
        <w:t>截至本报告之日，共有180项公开建议，其中包括96项高优先级建议和84项中等优先级建议。来自监督司的</w:t>
      </w:r>
      <w:proofErr w:type="gramStart"/>
      <w:r w:rsidR="000B1486" w:rsidRPr="00BF5C12">
        <w:rPr>
          <w:rFonts w:asciiTheme="minorEastAsia" w:eastAsiaTheme="minorEastAsia" w:hAnsiTheme="minorEastAsia" w:hint="eastAsia"/>
          <w:sz w:val="21"/>
          <w:szCs w:val="21"/>
        </w:rPr>
        <w:t>建议占</w:t>
      </w:r>
      <w:proofErr w:type="gramEnd"/>
      <w:r w:rsidR="000B1486" w:rsidRPr="00BF5C12">
        <w:rPr>
          <w:rFonts w:asciiTheme="minorEastAsia" w:eastAsiaTheme="minorEastAsia" w:hAnsiTheme="minorEastAsia" w:hint="eastAsia"/>
          <w:sz w:val="21"/>
          <w:szCs w:val="21"/>
        </w:rPr>
        <w:t>所有公开监督建议的74％。</w:t>
      </w:r>
    </w:p>
    <w:bookmarkEnd w:id="98"/>
    <w:bookmarkEnd w:id="99"/>
    <w:p w:rsidR="000B1486" w:rsidRPr="00CB537F" w:rsidRDefault="000B1486" w:rsidP="00CB537F">
      <w:pPr>
        <w:pStyle w:val="ONUME"/>
        <w:keepNext/>
        <w:numPr>
          <w:ilvl w:val="0"/>
          <w:numId w:val="0"/>
        </w:numPr>
        <w:jc w:val="center"/>
        <w:rPr>
          <w:rFonts w:ascii="SimSun" w:hAnsi="SimSun"/>
          <w:b/>
          <w:sz w:val="18"/>
          <w:szCs w:val="18"/>
        </w:rPr>
      </w:pPr>
      <w:r w:rsidRPr="00CC5992">
        <w:rPr>
          <w:rFonts w:ascii="SimSun" w:hAnsi="SimSun" w:hint="eastAsia"/>
          <w:b/>
          <w:sz w:val="18"/>
          <w:szCs w:val="18"/>
        </w:rPr>
        <w:t>图3</w:t>
      </w:r>
      <w:r w:rsidRPr="00CC5992">
        <w:rPr>
          <w:rFonts w:ascii="SimSun" w:hAnsi="SimSun"/>
          <w:b/>
          <w:sz w:val="18"/>
          <w:szCs w:val="18"/>
        </w:rPr>
        <w:t xml:space="preserve"> –</w:t>
      </w:r>
      <w:r w:rsidRPr="00CC5992">
        <w:rPr>
          <w:rFonts w:ascii="SimSun" w:hAnsi="SimSun" w:hint="eastAsia"/>
          <w:b/>
          <w:sz w:val="18"/>
          <w:szCs w:val="18"/>
        </w:rPr>
        <w:t xml:space="preserve"> 按优先程度分列的建议（共180项）</w:t>
      </w:r>
    </w:p>
    <w:p w:rsidR="000B1486" w:rsidRPr="00BF5C12" w:rsidRDefault="000B1486" w:rsidP="00CB537F">
      <w:pPr>
        <w:pStyle w:val="ONUME"/>
        <w:overflowPunct w:val="0"/>
        <w:spacing w:beforeLines="150" w:before="360" w:afterLines="50" w:after="120" w:line="340" w:lineRule="atLeast"/>
        <w:jc w:val="both"/>
        <w:rPr>
          <w:rFonts w:asciiTheme="minorEastAsia" w:eastAsiaTheme="minorEastAsia" w:hAnsiTheme="minorEastAsia"/>
          <w:sz w:val="21"/>
          <w:szCs w:val="21"/>
        </w:rPr>
      </w:pPr>
      <w:r w:rsidRPr="00BF5C12">
        <w:rPr>
          <w:rFonts w:asciiTheme="minorEastAsia" w:eastAsiaTheme="minorEastAsia" w:hAnsiTheme="minorEastAsia" w:hint="eastAsia"/>
          <w:sz w:val="21"/>
          <w:szCs w:val="21"/>
        </w:rPr>
        <w:t>下图显示了2017年7月1日至2018年6月30日期间按来源分列的建议的动向。</w:t>
      </w:r>
    </w:p>
    <w:p w:rsidR="000B1486" w:rsidRPr="00CC5992" w:rsidRDefault="000B1486" w:rsidP="000B1486">
      <w:pPr>
        <w:pStyle w:val="ONUME"/>
        <w:keepNext/>
        <w:numPr>
          <w:ilvl w:val="0"/>
          <w:numId w:val="0"/>
        </w:numPr>
        <w:jc w:val="center"/>
        <w:rPr>
          <w:rFonts w:ascii="SimSun" w:hAnsi="SimSun"/>
          <w:b/>
          <w:sz w:val="18"/>
          <w:szCs w:val="18"/>
        </w:rPr>
      </w:pPr>
      <w:r w:rsidRPr="00CC5992">
        <w:rPr>
          <w:rFonts w:ascii="SimSun" w:hAnsi="SimSun" w:hint="eastAsia"/>
          <w:b/>
          <w:sz w:val="18"/>
          <w:szCs w:val="18"/>
        </w:rPr>
        <w:t xml:space="preserve">表2 </w:t>
      </w:r>
      <w:r w:rsidRPr="00CC5992">
        <w:rPr>
          <w:rFonts w:ascii="SimSun" w:hAnsi="SimSun"/>
          <w:b/>
          <w:sz w:val="18"/>
          <w:szCs w:val="18"/>
        </w:rPr>
        <w:t xml:space="preserve">– </w:t>
      </w:r>
      <w:r w:rsidRPr="00CC5992">
        <w:rPr>
          <w:rFonts w:ascii="SimSun" w:hAnsi="SimSun" w:hint="eastAsia"/>
          <w:b/>
          <w:sz w:val="18"/>
          <w:szCs w:val="18"/>
        </w:rPr>
        <w:t>2017年7月1日至2018年6月30日期间建议的动向</w:t>
      </w:r>
    </w:p>
    <w:tbl>
      <w:tblPr>
        <w:tblW w:w="9366" w:type="dxa"/>
        <w:tblInd w:w="98" w:type="dxa"/>
        <w:tblLayout w:type="fixed"/>
        <w:tblLook w:val="04A0" w:firstRow="1" w:lastRow="0" w:firstColumn="1" w:lastColumn="0" w:noHBand="0" w:noVBand="1"/>
      </w:tblPr>
      <w:tblGrid>
        <w:gridCol w:w="1287"/>
        <w:gridCol w:w="2126"/>
        <w:gridCol w:w="1843"/>
        <w:gridCol w:w="1842"/>
        <w:gridCol w:w="2268"/>
      </w:tblGrid>
      <w:tr w:rsidR="000B1486" w:rsidRPr="00CC5992" w:rsidTr="00BF5C12">
        <w:trPr>
          <w:trHeight w:val="525"/>
        </w:trPr>
        <w:tc>
          <w:tcPr>
            <w:tcW w:w="1287"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rsidR="000B1486" w:rsidRPr="00CC5992" w:rsidRDefault="000B1486" w:rsidP="000B1486">
            <w:pPr>
              <w:rPr>
                <w:rFonts w:ascii="SimSun" w:hAnsi="SimSun"/>
                <w:b/>
                <w:bCs/>
                <w:color w:val="000000"/>
                <w:sz w:val="20"/>
                <w:lang w:eastAsia="en-US"/>
              </w:rPr>
            </w:pPr>
            <w:proofErr w:type="spellStart"/>
            <w:r w:rsidRPr="00CC5992">
              <w:rPr>
                <w:rFonts w:ascii="SimSun" w:hAnsi="SimSun" w:cs="Lantinghei SC Extralight"/>
                <w:b/>
                <w:bCs/>
                <w:color w:val="000000"/>
                <w:sz w:val="20"/>
                <w:lang w:eastAsia="en-US"/>
              </w:rPr>
              <w:t>来</w:t>
            </w:r>
            <w:r w:rsidRPr="00CC5992">
              <w:rPr>
                <w:rFonts w:ascii="SimSun" w:hAnsi="SimSun" w:cs="Lantinghei TC Heavy"/>
                <w:b/>
                <w:bCs/>
                <w:color w:val="000000"/>
                <w:sz w:val="20"/>
                <w:lang w:eastAsia="en-US"/>
              </w:rPr>
              <w:t>源</w:t>
            </w:r>
            <w:proofErr w:type="spellEnd"/>
          </w:p>
        </w:tc>
        <w:tc>
          <w:tcPr>
            <w:tcW w:w="2126" w:type="dxa"/>
            <w:tcBorders>
              <w:top w:val="single" w:sz="8" w:space="0" w:color="auto"/>
              <w:left w:val="nil"/>
              <w:bottom w:val="single" w:sz="8" w:space="0" w:color="auto"/>
              <w:right w:val="single" w:sz="8" w:space="0" w:color="auto"/>
            </w:tcBorders>
            <w:shd w:val="clear" w:color="000000" w:fill="D9D9D9"/>
            <w:vAlign w:val="center"/>
            <w:hideMark/>
          </w:tcPr>
          <w:p w:rsidR="000B1486" w:rsidRPr="00CC5992" w:rsidRDefault="000B1486" w:rsidP="000B1486">
            <w:pPr>
              <w:jc w:val="center"/>
              <w:rPr>
                <w:rFonts w:ascii="SimSun" w:hAnsi="SimSun"/>
                <w:b/>
                <w:bCs/>
                <w:color w:val="000000"/>
                <w:sz w:val="20"/>
              </w:rPr>
            </w:pPr>
            <w:bookmarkStart w:id="101" w:name="OLE_LINK334"/>
            <w:bookmarkStart w:id="102" w:name="OLE_LINK335"/>
            <w:r w:rsidRPr="00CC5992">
              <w:rPr>
                <w:rFonts w:ascii="SimSun" w:hAnsi="SimSun" w:cs="Lantinghei TC Heavy"/>
                <w:b/>
                <w:bCs/>
                <w:color w:val="000000"/>
                <w:sz w:val="20"/>
                <w:lang w:eastAsia="en-US"/>
              </w:rPr>
              <w:t>截至</w:t>
            </w:r>
            <w:r w:rsidRPr="00CC5992">
              <w:rPr>
                <w:rFonts w:ascii="SimSun" w:hAnsi="SimSun" w:hint="eastAsia"/>
                <w:b/>
                <w:bCs/>
                <w:color w:val="000000"/>
                <w:sz w:val="20"/>
                <w:lang w:eastAsia="en-US"/>
              </w:rPr>
              <w:t>2017</w:t>
            </w:r>
            <w:r w:rsidRPr="00CC5992">
              <w:rPr>
                <w:rFonts w:ascii="SimSun" w:hAnsi="SimSun" w:cs="Lantinghei TC Heavy"/>
                <w:b/>
                <w:bCs/>
                <w:color w:val="000000"/>
                <w:sz w:val="20"/>
                <w:lang w:eastAsia="en-US"/>
              </w:rPr>
              <w:t>年</w:t>
            </w:r>
            <w:r w:rsidRPr="00CC5992">
              <w:rPr>
                <w:rFonts w:ascii="SimSun" w:hAnsi="SimSun" w:hint="eastAsia"/>
                <w:b/>
                <w:bCs/>
                <w:color w:val="000000"/>
                <w:sz w:val="20"/>
                <w:lang w:eastAsia="en-US"/>
              </w:rPr>
              <w:t>7</w:t>
            </w:r>
            <w:r w:rsidRPr="00CC5992">
              <w:rPr>
                <w:rFonts w:ascii="SimSun" w:hAnsi="SimSun" w:cs="Lantinghei TC Heavy"/>
                <w:b/>
                <w:bCs/>
                <w:color w:val="000000"/>
                <w:sz w:val="20"/>
                <w:lang w:eastAsia="en-US"/>
              </w:rPr>
              <w:t>月</w:t>
            </w:r>
            <w:r w:rsidRPr="00CC5992">
              <w:rPr>
                <w:rFonts w:ascii="SimSun" w:hAnsi="SimSun" w:cs="Lantinghei TC Heavy" w:hint="eastAsia"/>
                <w:b/>
                <w:bCs/>
                <w:color w:val="000000"/>
                <w:sz w:val="20"/>
                <w:lang w:eastAsia="en-US"/>
              </w:rPr>
              <w:t>1日</w:t>
            </w:r>
            <w:r w:rsidRPr="00CC5992">
              <w:rPr>
                <w:rFonts w:ascii="SimSun" w:hAnsi="SimSun" w:cs="Lantinghei SC Extralight" w:hint="eastAsia"/>
                <w:b/>
                <w:bCs/>
                <w:color w:val="000000"/>
                <w:sz w:val="20"/>
                <w:lang w:eastAsia="en-US"/>
              </w:rPr>
              <w:t>未</w:t>
            </w:r>
            <w:r w:rsidRPr="00CC5992">
              <w:rPr>
                <w:rFonts w:ascii="SimSun" w:hAnsi="SimSun" w:cs="Lantinghei TC Heavy" w:hint="eastAsia"/>
                <w:b/>
                <w:bCs/>
                <w:color w:val="000000"/>
                <w:sz w:val="20"/>
                <w:lang w:eastAsia="en-US"/>
              </w:rPr>
              <w:t>落实的</w:t>
            </w:r>
            <w:bookmarkEnd w:id="101"/>
            <w:bookmarkEnd w:id="102"/>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0B1486" w:rsidRPr="00CC5992" w:rsidRDefault="000B1486" w:rsidP="000B1486">
            <w:pPr>
              <w:jc w:val="center"/>
              <w:rPr>
                <w:rFonts w:ascii="SimSun" w:hAnsi="SimSun"/>
                <w:b/>
                <w:bCs/>
                <w:color w:val="000000"/>
                <w:sz w:val="20"/>
              </w:rPr>
            </w:pPr>
            <w:proofErr w:type="spellStart"/>
            <w:r w:rsidRPr="00CC5992">
              <w:rPr>
                <w:rFonts w:ascii="SimSun" w:hAnsi="SimSun" w:cs="Lantinghei TC Heavy"/>
                <w:b/>
                <w:bCs/>
                <w:color w:val="000000"/>
                <w:sz w:val="20"/>
                <w:lang w:eastAsia="en-US"/>
              </w:rPr>
              <w:t>本年增加的</w:t>
            </w:r>
            <w:proofErr w:type="spellEnd"/>
          </w:p>
        </w:tc>
        <w:tc>
          <w:tcPr>
            <w:tcW w:w="1842" w:type="dxa"/>
            <w:tcBorders>
              <w:top w:val="single" w:sz="8" w:space="0" w:color="auto"/>
              <w:left w:val="nil"/>
              <w:bottom w:val="single" w:sz="8" w:space="0" w:color="auto"/>
              <w:right w:val="single" w:sz="8" w:space="0" w:color="auto"/>
            </w:tcBorders>
            <w:shd w:val="clear" w:color="000000" w:fill="D9D9D9"/>
            <w:vAlign w:val="center"/>
            <w:hideMark/>
          </w:tcPr>
          <w:p w:rsidR="000B1486" w:rsidRPr="00CC5992" w:rsidRDefault="000B1486" w:rsidP="000B1486">
            <w:pPr>
              <w:jc w:val="center"/>
              <w:rPr>
                <w:rFonts w:ascii="SimSun" w:hAnsi="SimSun"/>
                <w:b/>
                <w:bCs/>
                <w:color w:val="000000"/>
                <w:sz w:val="20"/>
              </w:rPr>
            </w:pPr>
            <w:proofErr w:type="spellStart"/>
            <w:r w:rsidRPr="00CC5992">
              <w:rPr>
                <w:rFonts w:ascii="SimSun" w:hAnsi="SimSun" w:cs="Lantinghei TC Heavy"/>
                <w:b/>
                <w:bCs/>
                <w:color w:val="000000"/>
                <w:sz w:val="20"/>
                <w:lang w:eastAsia="en-US"/>
              </w:rPr>
              <w:t>本年中落实的</w:t>
            </w:r>
            <w:proofErr w:type="spellEnd"/>
          </w:p>
        </w:tc>
        <w:tc>
          <w:tcPr>
            <w:tcW w:w="2268" w:type="dxa"/>
            <w:tcBorders>
              <w:top w:val="single" w:sz="8" w:space="0" w:color="auto"/>
              <w:left w:val="nil"/>
              <w:bottom w:val="single" w:sz="8" w:space="0" w:color="auto"/>
              <w:right w:val="single" w:sz="8" w:space="0" w:color="auto"/>
            </w:tcBorders>
            <w:shd w:val="clear" w:color="000000" w:fill="D9D9D9"/>
            <w:vAlign w:val="center"/>
            <w:hideMark/>
          </w:tcPr>
          <w:p w:rsidR="000B1486" w:rsidRPr="00CC5992" w:rsidRDefault="000B1486" w:rsidP="000B1486">
            <w:pPr>
              <w:jc w:val="center"/>
              <w:rPr>
                <w:rFonts w:ascii="SimSun" w:hAnsi="SimSun"/>
                <w:b/>
                <w:bCs/>
                <w:color w:val="000000"/>
                <w:sz w:val="20"/>
                <w:lang w:eastAsia="en-US"/>
              </w:rPr>
            </w:pPr>
            <w:r w:rsidRPr="00CC5992">
              <w:rPr>
                <w:rFonts w:ascii="SimSun" w:hAnsi="SimSun" w:cs="Lantinghei TC Heavy"/>
                <w:b/>
                <w:bCs/>
                <w:color w:val="000000"/>
                <w:sz w:val="20"/>
                <w:lang w:eastAsia="en-US"/>
              </w:rPr>
              <w:t>截至</w:t>
            </w:r>
            <w:r w:rsidRPr="00CC5992">
              <w:rPr>
                <w:rFonts w:ascii="SimSun" w:hAnsi="SimSun" w:hint="eastAsia"/>
                <w:b/>
                <w:bCs/>
                <w:color w:val="000000"/>
                <w:sz w:val="20"/>
                <w:lang w:eastAsia="en-US"/>
              </w:rPr>
              <w:t>2018</w:t>
            </w:r>
            <w:r w:rsidRPr="00CC5992">
              <w:rPr>
                <w:rFonts w:ascii="SimSun" w:hAnsi="SimSun" w:cs="Lantinghei TC Heavy"/>
                <w:b/>
                <w:bCs/>
                <w:color w:val="000000"/>
                <w:sz w:val="20"/>
                <w:lang w:eastAsia="en-US"/>
              </w:rPr>
              <w:t>年</w:t>
            </w:r>
            <w:r w:rsidRPr="00CC5992">
              <w:rPr>
                <w:rFonts w:ascii="SimSun" w:hAnsi="SimSun" w:hint="eastAsia"/>
                <w:b/>
                <w:bCs/>
                <w:color w:val="000000"/>
                <w:sz w:val="20"/>
                <w:lang w:eastAsia="en-US"/>
              </w:rPr>
              <w:t>6</w:t>
            </w:r>
            <w:r w:rsidRPr="00CC5992">
              <w:rPr>
                <w:rFonts w:ascii="SimSun" w:hAnsi="SimSun" w:cs="Lantinghei TC Heavy"/>
                <w:b/>
                <w:bCs/>
                <w:color w:val="000000"/>
                <w:sz w:val="20"/>
                <w:lang w:eastAsia="en-US"/>
              </w:rPr>
              <w:t>月</w:t>
            </w:r>
            <w:r w:rsidRPr="00CC5992">
              <w:rPr>
                <w:rFonts w:ascii="SimSun" w:hAnsi="SimSun" w:cs="Lantinghei TC Heavy" w:hint="eastAsia"/>
                <w:b/>
                <w:bCs/>
                <w:color w:val="000000"/>
                <w:sz w:val="20"/>
                <w:lang w:eastAsia="en-US"/>
              </w:rPr>
              <w:t>30日</w:t>
            </w:r>
            <w:r w:rsidRPr="00CC5992">
              <w:rPr>
                <w:rFonts w:ascii="SimSun" w:hAnsi="SimSun" w:cs="Lantinghei SC Extralight" w:hint="eastAsia"/>
                <w:b/>
                <w:bCs/>
                <w:color w:val="000000"/>
                <w:sz w:val="20"/>
                <w:lang w:eastAsia="en-US"/>
              </w:rPr>
              <w:t>未</w:t>
            </w:r>
            <w:r w:rsidRPr="00CC5992">
              <w:rPr>
                <w:rFonts w:ascii="SimSun" w:hAnsi="SimSun" w:cs="Lantinghei TC Heavy" w:hint="eastAsia"/>
                <w:b/>
                <w:bCs/>
                <w:color w:val="000000"/>
                <w:sz w:val="20"/>
                <w:lang w:eastAsia="en-US"/>
              </w:rPr>
              <w:t>落实的</w:t>
            </w:r>
          </w:p>
        </w:tc>
      </w:tr>
      <w:tr w:rsidR="000B1486" w:rsidRPr="00CC5992" w:rsidTr="00BF5C12">
        <w:trPr>
          <w:trHeight w:val="315"/>
        </w:trPr>
        <w:tc>
          <w:tcPr>
            <w:tcW w:w="1287" w:type="dxa"/>
            <w:tcBorders>
              <w:top w:val="nil"/>
              <w:left w:val="single" w:sz="8" w:space="0" w:color="auto"/>
              <w:bottom w:val="single" w:sz="8" w:space="0" w:color="auto"/>
              <w:right w:val="single" w:sz="8" w:space="0" w:color="auto"/>
            </w:tcBorders>
            <w:shd w:val="clear" w:color="000000" w:fill="C5D9F1"/>
            <w:noWrap/>
            <w:vAlign w:val="center"/>
            <w:hideMark/>
          </w:tcPr>
          <w:p w:rsidR="000B1486" w:rsidRPr="00CC5992" w:rsidRDefault="000B1486" w:rsidP="000B1486">
            <w:pPr>
              <w:rPr>
                <w:rFonts w:ascii="SimSun" w:hAnsi="SimSun"/>
                <w:color w:val="000000"/>
                <w:sz w:val="20"/>
                <w:lang w:eastAsia="en-US"/>
              </w:rPr>
            </w:pPr>
            <w:proofErr w:type="spellStart"/>
            <w:r w:rsidRPr="00CC5992">
              <w:rPr>
                <w:rFonts w:ascii="SimSun" w:hAnsi="SimSun" w:cs="Lantinghei SC Extralight"/>
                <w:color w:val="000000"/>
                <w:sz w:val="20"/>
                <w:lang w:eastAsia="en-US"/>
              </w:rPr>
              <w:t>监</w:t>
            </w:r>
            <w:r w:rsidRPr="00CC5992">
              <w:rPr>
                <w:rFonts w:ascii="SimSun" w:hAnsi="SimSun" w:cs="Lantinghei TC Heavy"/>
                <w:color w:val="000000"/>
                <w:sz w:val="20"/>
                <w:lang w:eastAsia="en-US"/>
              </w:rPr>
              <w:t>督司</w:t>
            </w:r>
            <w:proofErr w:type="spellEnd"/>
          </w:p>
        </w:tc>
        <w:tc>
          <w:tcPr>
            <w:tcW w:w="2126"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145</w:t>
            </w:r>
          </w:p>
        </w:tc>
        <w:tc>
          <w:tcPr>
            <w:tcW w:w="1843"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50</w:t>
            </w:r>
          </w:p>
        </w:tc>
        <w:tc>
          <w:tcPr>
            <w:tcW w:w="1842"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61</w:t>
            </w:r>
          </w:p>
        </w:tc>
        <w:tc>
          <w:tcPr>
            <w:tcW w:w="2268"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134</w:t>
            </w:r>
          </w:p>
        </w:tc>
      </w:tr>
      <w:tr w:rsidR="000B1486" w:rsidRPr="00CC5992" w:rsidTr="00BF5C12">
        <w:trPr>
          <w:trHeight w:val="315"/>
        </w:trPr>
        <w:tc>
          <w:tcPr>
            <w:tcW w:w="1287" w:type="dxa"/>
            <w:tcBorders>
              <w:top w:val="nil"/>
              <w:left w:val="single" w:sz="8" w:space="0" w:color="auto"/>
              <w:bottom w:val="single" w:sz="8" w:space="0" w:color="auto"/>
              <w:right w:val="single" w:sz="8" w:space="0" w:color="auto"/>
            </w:tcBorders>
            <w:shd w:val="clear" w:color="000000" w:fill="C5D9F1"/>
            <w:noWrap/>
            <w:vAlign w:val="center"/>
            <w:hideMark/>
          </w:tcPr>
          <w:p w:rsidR="000B1486" w:rsidRPr="00CC5992" w:rsidRDefault="000B1486" w:rsidP="000B1486">
            <w:pPr>
              <w:rPr>
                <w:rFonts w:ascii="SimSun" w:hAnsi="SimSun"/>
                <w:color w:val="000000"/>
                <w:sz w:val="20"/>
              </w:rPr>
            </w:pPr>
            <w:proofErr w:type="spellStart"/>
            <w:r w:rsidRPr="00CC5992">
              <w:rPr>
                <w:rFonts w:ascii="SimSun" w:hAnsi="SimSun" w:cs="Lantinghei TC Heavy"/>
                <w:color w:val="000000"/>
                <w:sz w:val="20"/>
                <w:lang w:eastAsia="en-US"/>
              </w:rPr>
              <w:t>外聘</w:t>
            </w:r>
            <w:r w:rsidRPr="00CC5992">
              <w:rPr>
                <w:rFonts w:ascii="SimSun" w:hAnsi="SimSun" w:cs="Lantinghei SC Extralight"/>
                <w:color w:val="000000"/>
                <w:sz w:val="20"/>
                <w:lang w:eastAsia="en-US"/>
              </w:rPr>
              <w:t>审计员</w:t>
            </w:r>
            <w:proofErr w:type="spellEnd"/>
          </w:p>
        </w:tc>
        <w:tc>
          <w:tcPr>
            <w:tcW w:w="2126"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48</w:t>
            </w:r>
          </w:p>
        </w:tc>
        <w:tc>
          <w:tcPr>
            <w:tcW w:w="1843"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26</w:t>
            </w:r>
          </w:p>
        </w:tc>
        <w:tc>
          <w:tcPr>
            <w:tcW w:w="1842"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28</w:t>
            </w:r>
          </w:p>
        </w:tc>
        <w:tc>
          <w:tcPr>
            <w:tcW w:w="2268"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46</w:t>
            </w:r>
          </w:p>
        </w:tc>
      </w:tr>
      <w:tr w:rsidR="000B1486" w:rsidRPr="00CC5992" w:rsidTr="00BF5C12">
        <w:trPr>
          <w:trHeight w:val="315"/>
        </w:trPr>
        <w:tc>
          <w:tcPr>
            <w:tcW w:w="1287" w:type="dxa"/>
            <w:tcBorders>
              <w:top w:val="nil"/>
              <w:left w:val="single" w:sz="8" w:space="0" w:color="auto"/>
              <w:bottom w:val="single" w:sz="8" w:space="0" w:color="auto"/>
              <w:right w:val="single" w:sz="8" w:space="0" w:color="auto"/>
            </w:tcBorders>
            <w:shd w:val="clear" w:color="000000" w:fill="C5D9F1"/>
            <w:noWrap/>
            <w:vAlign w:val="center"/>
            <w:hideMark/>
          </w:tcPr>
          <w:p w:rsidR="000B1486" w:rsidRPr="00CC5992" w:rsidRDefault="000B1486" w:rsidP="000B1486">
            <w:pPr>
              <w:rPr>
                <w:rFonts w:ascii="SimSun" w:hAnsi="SimSun"/>
                <w:color w:val="000000"/>
                <w:sz w:val="20"/>
              </w:rPr>
            </w:pPr>
            <w:proofErr w:type="spellStart"/>
            <w:r w:rsidRPr="00CC5992">
              <w:rPr>
                <w:rFonts w:ascii="SimSun" w:hAnsi="SimSun" w:cs="Lantinghei TC Heavy" w:hint="eastAsia"/>
                <w:color w:val="000000"/>
                <w:sz w:val="20"/>
                <w:lang w:eastAsia="en-US"/>
              </w:rPr>
              <w:t>咨</w:t>
            </w:r>
            <w:r w:rsidRPr="00CC5992">
              <w:rPr>
                <w:rFonts w:ascii="SimSun" w:hAnsi="SimSun" w:cs="Lantinghei SC Extralight"/>
                <w:color w:val="000000"/>
                <w:sz w:val="20"/>
                <w:lang w:eastAsia="en-US"/>
              </w:rPr>
              <w:t>监</w:t>
            </w:r>
            <w:r w:rsidRPr="00CC5992">
              <w:rPr>
                <w:rFonts w:ascii="SimSun" w:hAnsi="SimSun" w:cs="Lantinghei TC Heavy" w:hint="eastAsia"/>
                <w:color w:val="000000"/>
                <w:sz w:val="20"/>
                <w:lang w:eastAsia="en-US"/>
              </w:rPr>
              <w:t>委</w:t>
            </w:r>
            <w:proofErr w:type="spellEnd"/>
          </w:p>
        </w:tc>
        <w:tc>
          <w:tcPr>
            <w:tcW w:w="2126"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0</w:t>
            </w:r>
          </w:p>
        </w:tc>
        <w:tc>
          <w:tcPr>
            <w:tcW w:w="1843"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1</w:t>
            </w:r>
          </w:p>
        </w:tc>
        <w:tc>
          <w:tcPr>
            <w:tcW w:w="1842"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1</w:t>
            </w:r>
          </w:p>
        </w:tc>
        <w:tc>
          <w:tcPr>
            <w:tcW w:w="2268"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color w:val="000000"/>
                <w:sz w:val="20"/>
                <w:lang w:eastAsia="en-US"/>
              </w:rPr>
            </w:pPr>
            <w:r w:rsidRPr="00CC5992">
              <w:rPr>
                <w:rFonts w:ascii="SimSun" w:hAnsi="SimSun"/>
                <w:color w:val="000000"/>
                <w:sz w:val="20"/>
                <w:lang w:eastAsia="en-US"/>
              </w:rPr>
              <w:t>0</w:t>
            </w:r>
          </w:p>
        </w:tc>
      </w:tr>
      <w:tr w:rsidR="000B1486" w:rsidRPr="00CC5992" w:rsidTr="00BF5C12">
        <w:trPr>
          <w:trHeight w:val="315"/>
        </w:trPr>
        <w:tc>
          <w:tcPr>
            <w:tcW w:w="1287" w:type="dxa"/>
            <w:tcBorders>
              <w:top w:val="nil"/>
              <w:left w:val="single" w:sz="8" w:space="0" w:color="auto"/>
              <w:bottom w:val="single" w:sz="8" w:space="0" w:color="auto"/>
              <w:right w:val="single" w:sz="8" w:space="0" w:color="auto"/>
            </w:tcBorders>
            <w:shd w:val="clear" w:color="000000" w:fill="C5D9F1"/>
            <w:noWrap/>
            <w:vAlign w:val="center"/>
            <w:hideMark/>
          </w:tcPr>
          <w:p w:rsidR="000B1486" w:rsidRPr="00CC5992" w:rsidRDefault="000B1486" w:rsidP="000B1486">
            <w:pPr>
              <w:rPr>
                <w:rFonts w:ascii="SimSun" w:hAnsi="SimSun"/>
                <w:b/>
                <w:bCs/>
                <w:color w:val="000000"/>
                <w:sz w:val="20"/>
                <w:lang w:eastAsia="en-US"/>
              </w:rPr>
            </w:pPr>
            <w:proofErr w:type="spellStart"/>
            <w:r w:rsidRPr="00CC5992">
              <w:rPr>
                <w:rFonts w:ascii="SimSun" w:hAnsi="SimSun" w:cs="Lantinghei TC Heavy" w:hint="eastAsia"/>
                <w:b/>
                <w:bCs/>
                <w:color w:val="000000"/>
                <w:sz w:val="20"/>
                <w:lang w:eastAsia="en-US"/>
              </w:rPr>
              <w:t>总</w:t>
            </w:r>
            <w:r w:rsidRPr="00CC5992">
              <w:rPr>
                <w:rFonts w:ascii="SimSun" w:hAnsi="SimSun" w:cs="Lantinghei SC Extralight"/>
                <w:b/>
                <w:bCs/>
                <w:color w:val="000000"/>
                <w:sz w:val="20"/>
                <w:lang w:eastAsia="en-US"/>
              </w:rPr>
              <w:t>计</w:t>
            </w:r>
            <w:proofErr w:type="spellEnd"/>
          </w:p>
        </w:tc>
        <w:tc>
          <w:tcPr>
            <w:tcW w:w="2126"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b/>
                <w:bCs/>
                <w:color w:val="000000"/>
                <w:sz w:val="20"/>
                <w:lang w:eastAsia="en-US"/>
              </w:rPr>
            </w:pPr>
            <w:r w:rsidRPr="00CC5992">
              <w:rPr>
                <w:rFonts w:ascii="SimSun" w:hAnsi="SimSun"/>
                <w:b/>
                <w:bCs/>
                <w:color w:val="000000"/>
                <w:sz w:val="20"/>
                <w:lang w:eastAsia="en-US"/>
              </w:rPr>
              <w:t>193</w:t>
            </w:r>
          </w:p>
        </w:tc>
        <w:tc>
          <w:tcPr>
            <w:tcW w:w="1843"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b/>
                <w:bCs/>
                <w:color w:val="000000"/>
                <w:sz w:val="20"/>
                <w:lang w:eastAsia="en-US"/>
              </w:rPr>
            </w:pPr>
            <w:r w:rsidRPr="00CC5992">
              <w:rPr>
                <w:rFonts w:ascii="SimSun" w:hAnsi="SimSun"/>
                <w:b/>
                <w:bCs/>
                <w:color w:val="000000"/>
                <w:sz w:val="20"/>
                <w:lang w:eastAsia="en-US"/>
              </w:rPr>
              <w:t>77</w:t>
            </w:r>
          </w:p>
        </w:tc>
        <w:tc>
          <w:tcPr>
            <w:tcW w:w="1842"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b/>
                <w:bCs/>
                <w:color w:val="000000"/>
                <w:sz w:val="20"/>
                <w:lang w:eastAsia="en-US"/>
              </w:rPr>
            </w:pPr>
            <w:r w:rsidRPr="00CC5992">
              <w:rPr>
                <w:rFonts w:ascii="SimSun" w:hAnsi="SimSun"/>
                <w:b/>
                <w:bCs/>
                <w:color w:val="000000"/>
                <w:sz w:val="20"/>
                <w:lang w:eastAsia="en-US"/>
              </w:rPr>
              <w:t>90</w:t>
            </w:r>
          </w:p>
        </w:tc>
        <w:tc>
          <w:tcPr>
            <w:tcW w:w="2268" w:type="dxa"/>
            <w:tcBorders>
              <w:top w:val="nil"/>
              <w:left w:val="nil"/>
              <w:bottom w:val="single" w:sz="8" w:space="0" w:color="auto"/>
              <w:right w:val="single" w:sz="8" w:space="0" w:color="auto"/>
            </w:tcBorders>
            <w:shd w:val="clear" w:color="auto" w:fill="auto"/>
            <w:noWrap/>
            <w:vAlign w:val="center"/>
            <w:hideMark/>
          </w:tcPr>
          <w:p w:rsidR="000B1486" w:rsidRPr="00CC5992" w:rsidRDefault="000B1486" w:rsidP="000B1486">
            <w:pPr>
              <w:jc w:val="center"/>
              <w:rPr>
                <w:rFonts w:ascii="SimSun" w:hAnsi="SimSun"/>
                <w:b/>
                <w:bCs/>
                <w:color w:val="000000"/>
                <w:sz w:val="20"/>
                <w:lang w:eastAsia="en-US"/>
              </w:rPr>
            </w:pPr>
            <w:r w:rsidRPr="00CC5992">
              <w:rPr>
                <w:rFonts w:ascii="SimSun" w:hAnsi="SimSun"/>
                <w:b/>
                <w:bCs/>
                <w:color w:val="000000"/>
                <w:sz w:val="20"/>
                <w:lang w:eastAsia="en-US"/>
              </w:rPr>
              <w:t>180</w:t>
            </w:r>
          </w:p>
        </w:tc>
      </w:tr>
    </w:tbl>
    <w:p w:rsidR="000B1486" w:rsidRPr="00CC5992" w:rsidRDefault="000B1486" w:rsidP="0001799B">
      <w:pPr>
        <w:pStyle w:val="ONUME"/>
        <w:keepNext/>
        <w:overflowPunct w:val="0"/>
        <w:spacing w:afterLines="50" w:after="120" w:line="340" w:lineRule="atLeast"/>
        <w:jc w:val="both"/>
        <w:rPr>
          <w:rFonts w:ascii="SimSun" w:hAnsi="SimSun"/>
        </w:rPr>
      </w:pPr>
      <w:bookmarkStart w:id="103" w:name="OLE_LINK107"/>
      <w:bookmarkStart w:id="104" w:name="OLE_LINK108"/>
      <w:r w:rsidRPr="00BF5C12">
        <w:rPr>
          <w:rFonts w:asciiTheme="minorEastAsia" w:eastAsiaTheme="minorEastAsia" w:hAnsiTheme="minorEastAsia" w:hint="eastAsia"/>
          <w:sz w:val="21"/>
          <w:szCs w:val="21"/>
        </w:rPr>
        <w:t>在本报告所述期间，2项建议未落实即被终止，管理</w:t>
      </w:r>
      <w:proofErr w:type="gramStart"/>
      <w:r w:rsidRPr="00BF5C12">
        <w:rPr>
          <w:rFonts w:asciiTheme="minorEastAsia" w:eastAsiaTheme="minorEastAsia" w:hAnsiTheme="minorEastAsia" w:hint="eastAsia"/>
          <w:sz w:val="21"/>
          <w:szCs w:val="21"/>
        </w:rPr>
        <w:t>层接受</w:t>
      </w:r>
      <w:proofErr w:type="gramEnd"/>
      <w:r w:rsidRPr="00BF5C12">
        <w:rPr>
          <w:rFonts w:asciiTheme="minorEastAsia" w:eastAsiaTheme="minorEastAsia" w:hAnsiTheme="minorEastAsia" w:hint="eastAsia"/>
          <w:sz w:val="21"/>
          <w:szCs w:val="21"/>
        </w:rPr>
        <w:t>相关风险：</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sz w:val="21"/>
          <w:szCs w:val="21"/>
        </w:rPr>
        <w:t>WO/CC/74/7</w:t>
      </w:r>
      <w:r w:rsidRPr="00BF5C12">
        <w:rPr>
          <w:rFonts w:ascii="SimSun" w:hAnsi="SimSun"/>
          <w:b/>
          <w:sz w:val="21"/>
          <w:szCs w:val="21"/>
        </w:rPr>
        <w:t>–</w:t>
      </w:r>
      <w:proofErr w:type="gramStart"/>
      <w:r w:rsidR="00BF5C12">
        <w:rPr>
          <w:rFonts w:ascii="SimSun" w:hAnsi="SimSun" w:hint="eastAsia"/>
          <w:sz w:val="21"/>
          <w:szCs w:val="21"/>
        </w:rPr>
        <w:t>咨</w:t>
      </w:r>
      <w:proofErr w:type="gramEnd"/>
      <w:r w:rsidR="00BF5C12">
        <w:rPr>
          <w:rFonts w:ascii="SimSun" w:hAnsi="SimSun" w:hint="eastAsia"/>
          <w:sz w:val="21"/>
          <w:szCs w:val="21"/>
        </w:rPr>
        <w:t>监委提出的《</w:t>
      </w:r>
      <w:r w:rsidRPr="00BF5C12">
        <w:rPr>
          <w:rFonts w:ascii="SimSun" w:hAnsi="SimSun" w:hint="eastAsia"/>
          <w:sz w:val="21"/>
          <w:szCs w:val="21"/>
        </w:rPr>
        <w:t>员</w:t>
      </w:r>
      <w:r w:rsidR="00BF5C12">
        <w:rPr>
          <w:rFonts w:ascii="SimSun" w:hAnsi="SimSun" w:hint="eastAsia"/>
          <w:sz w:val="21"/>
          <w:szCs w:val="21"/>
        </w:rPr>
        <w:t>工</w:t>
      </w:r>
      <w:r w:rsidRPr="00BF5C12">
        <w:rPr>
          <w:rFonts w:ascii="SimSun" w:hAnsi="SimSun" w:hint="eastAsia"/>
          <w:sz w:val="21"/>
          <w:szCs w:val="21"/>
        </w:rPr>
        <w:t>条例》修正案：建议考虑将调查视作启动纪律程序的前</w:t>
      </w:r>
      <w:r w:rsidR="00BF5C12">
        <w:rPr>
          <w:rFonts w:ascii="SimSun" w:hAnsi="SimSun" w:hint="cs"/>
          <w:sz w:val="21"/>
          <w:szCs w:val="21"/>
        </w:rPr>
        <w:t>‍</w:t>
      </w:r>
      <w:r w:rsidRPr="00BF5C12">
        <w:rPr>
          <w:rFonts w:ascii="SimSun" w:hAnsi="SimSun" w:hint="eastAsia"/>
          <w:sz w:val="21"/>
          <w:szCs w:val="21"/>
        </w:rPr>
        <w:t>提。</w:t>
      </w:r>
    </w:p>
    <w:p w:rsidR="000B1486" w:rsidRPr="00BF5C12" w:rsidRDefault="000B1486" w:rsidP="00BD7EE8">
      <w:pPr>
        <w:pStyle w:val="ONUME"/>
        <w:numPr>
          <w:ilvl w:val="1"/>
          <w:numId w:val="3"/>
        </w:numPr>
        <w:spacing w:afterLines="50" w:after="120" w:line="340" w:lineRule="atLeast"/>
        <w:jc w:val="both"/>
        <w:rPr>
          <w:rFonts w:ascii="SimSun" w:hAnsi="SimSun"/>
          <w:sz w:val="21"/>
          <w:szCs w:val="21"/>
        </w:rPr>
      </w:pPr>
      <w:r w:rsidRPr="00BF5C12">
        <w:rPr>
          <w:rFonts w:ascii="SimSun" w:hAnsi="SimSun" w:hint="eastAsia"/>
          <w:sz w:val="21"/>
          <w:szCs w:val="21"/>
        </w:rPr>
        <w:t>工作人员离职管理审计（IA 2013-03）</w:t>
      </w:r>
      <w:r w:rsidRPr="00BF5C12">
        <w:rPr>
          <w:rFonts w:ascii="SimSun" w:hAnsi="SimSun"/>
          <w:b/>
          <w:sz w:val="21"/>
          <w:szCs w:val="21"/>
        </w:rPr>
        <w:t>–</w:t>
      </w:r>
      <w:r w:rsidRPr="00BF5C12">
        <w:rPr>
          <w:rFonts w:ascii="SimSun" w:hAnsi="SimSun" w:hint="eastAsia"/>
          <w:sz w:val="21"/>
          <w:szCs w:val="21"/>
        </w:rPr>
        <w:t>关于员工离职流程自动化需要的建议五。结论是，由于离职率较低，落实建议的成本将会高于收益。监督司同意这一结论。</w:t>
      </w:r>
    </w:p>
    <w:p w:rsidR="000B1486" w:rsidRPr="00CC5992" w:rsidRDefault="000B1486" w:rsidP="00017F8B">
      <w:pPr>
        <w:pStyle w:val="ONUME"/>
        <w:overflowPunct w:val="0"/>
        <w:spacing w:afterLines="50" w:after="120" w:line="340" w:lineRule="atLeast"/>
        <w:jc w:val="both"/>
        <w:rPr>
          <w:rFonts w:ascii="SimSun" w:hAnsi="SimSun"/>
        </w:rPr>
      </w:pPr>
      <w:r w:rsidRPr="00017F8B">
        <w:rPr>
          <w:rFonts w:asciiTheme="minorEastAsia" w:eastAsiaTheme="minorEastAsia" w:hAnsiTheme="minorEastAsia" w:hint="eastAsia"/>
          <w:sz w:val="21"/>
          <w:szCs w:val="21"/>
        </w:rPr>
        <w:t>下图显示了截至2018年6月30日未落实建议的来源。</w:t>
      </w:r>
    </w:p>
    <w:bookmarkEnd w:id="103"/>
    <w:bookmarkEnd w:id="104"/>
    <w:p w:rsidR="000B1486" w:rsidRPr="00CC5992" w:rsidRDefault="000B1486" w:rsidP="00CB537F">
      <w:pPr>
        <w:pStyle w:val="ONUME"/>
        <w:keepNext/>
        <w:numPr>
          <w:ilvl w:val="0"/>
          <w:numId w:val="0"/>
        </w:numPr>
        <w:spacing w:afterLines="50" w:after="120"/>
        <w:jc w:val="center"/>
        <w:rPr>
          <w:rFonts w:ascii="SimSun" w:hAnsi="SimSun"/>
          <w:b/>
          <w:sz w:val="18"/>
          <w:szCs w:val="18"/>
        </w:rPr>
      </w:pPr>
      <w:r w:rsidRPr="00CC5992">
        <w:rPr>
          <w:rFonts w:ascii="SimSun" w:hAnsi="SimSun" w:hint="eastAsia"/>
          <w:b/>
          <w:sz w:val="18"/>
          <w:szCs w:val="18"/>
        </w:rPr>
        <w:t>图4</w:t>
      </w:r>
      <w:r w:rsidRPr="00CC5992">
        <w:rPr>
          <w:rFonts w:ascii="SimSun" w:hAnsi="SimSun"/>
          <w:b/>
          <w:sz w:val="18"/>
          <w:szCs w:val="18"/>
        </w:rPr>
        <w:t xml:space="preserve"> </w:t>
      </w:r>
      <w:bookmarkStart w:id="105" w:name="OLE_LINK470"/>
      <w:bookmarkStart w:id="106" w:name="OLE_LINK471"/>
      <w:r w:rsidRPr="00CC5992">
        <w:rPr>
          <w:rFonts w:ascii="SimSun" w:hAnsi="SimSun"/>
          <w:b/>
          <w:sz w:val="18"/>
          <w:szCs w:val="18"/>
        </w:rPr>
        <w:t>–</w:t>
      </w:r>
      <w:bookmarkEnd w:id="105"/>
      <w:bookmarkEnd w:id="106"/>
      <w:r w:rsidRPr="00CC5992">
        <w:rPr>
          <w:rFonts w:ascii="SimSun" w:hAnsi="SimSun" w:hint="eastAsia"/>
          <w:b/>
          <w:sz w:val="18"/>
          <w:szCs w:val="18"/>
        </w:rPr>
        <w:t xml:space="preserve"> 按来源分列的未落实监督建议（共180项）</w:t>
      </w:r>
    </w:p>
    <w:p w:rsidR="000B1486" w:rsidRPr="00CC5992" w:rsidRDefault="00CB537F" w:rsidP="000B1486">
      <w:pPr>
        <w:pStyle w:val="ONUME"/>
        <w:keepLines/>
        <w:numPr>
          <w:ilvl w:val="0"/>
          <w:numId w:val="0"/>
        </w:numPr>
        <w:spacing w:after="0"/>
        <w:jc w:val="center"/>
        <w:rPr>
          <w:rFonts w:ascii="SimSun" w:hAnsi="SimSun"/>
        </w:rPr>
      </w:pPr>
      <w:r>
        <w:rPr>
          <w:noProof/>
        </w:rPr>
        <w:drawing>
          <wp:inline distT="0" distB="0" distL="0" distR="0" wp14:anchorId="32291110" wp14:editId="1148E8B8">
            <wp:extent cx="3166393" cy="1927041"/>
            <wp:effectExtent l="0" t="0" r="1524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B1486" w:rsidRPr="000D4F76" w:rsidRDefault="000B1486" w:rsidP="003714A1">
      <w:pPr>
        <w:pStyle w:val="ONUME"/>
        <w:overflowPunct w:val="0"/>
        <w:spacing w:beforeLines="50" w:before="120"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sz w:val="21"/>
          <w:szCs w:val="21"/>
        </w:rPr>
        <w:t>下图显示了截至</w:t>
      </w:r>
      <w:r w:rsidRPr="000D4F76">
        <w:rPr>
          <w:rFonts w:asciiTheme="minorEastAsia" w:eastAsiaTheme="minorEastAsia" w:hAnsiTheme="minorEastAsia" w:hint="eastAsia"/>
          <w:sz w:val="21"/>
          <w:szCs w:val="21"/>
        </w:rPr>
        <w:t>2018年6月30日</w:t>
      </w:r>
      <w:r w:rsidRPr="000D4F76">
        <w:rPr>
          <w:rFonts w:asciiTheme="minorEastAsia" w:eastAsiaTheme="minorEastAsia" w:hAnsiTheme="minorEastAsia"/>
          <w:sz w:val="21"/>
          <w:szCs w:val="21"/>
        </w:rPr>
        <w:t>未落实建议的落实进展。</w:t>
      </w:r>
    </w:p>
    <w:p w:rsidR="000B1486" w:rsidRPr="00CC5992" w:rsidRDefault="000B1486" w:rsidP="003714A1">
      <w:pPr>
        <w:pStyle w:val="ONUME"/>
        <w:keepNext/>
        <w:numPr>
          <w:ilvl w:val="0"/>
          <w:numId w:val="0"/>
        </w:numPr>
        <w:spacing w:afterLines="50" w:after="120"/>
        <w:jc w:val="center"/>
        <w:rPr>
          <w:rFonts w:ascii="SimSun" w:hAnsi="SimSun"/>
          <w:b/>
          <w:sz w:val="18"/>
          <w:szCs w:val="18"/>
        </w:rPr>
      </w:pPr>
      <w:r w:rsidRPr="00CC5992">
        <w:rPr>
          <w:rFonts w:ascii="SimSun" w:hAnsi="SimSun" w:hint="eastAsia"/>
          <w:b/>
          <w:sz w:val="18"/>
          <w:szCs w:val="18"/>
        </w:rPr>
        <w:t>图5</w:t>
      </w:r>
      <w:r w:rsidRPr="00CC5992">
        <w:rPr>
          <w:rFonts w:ascii="SimSun" w:hAnsi="SimSun"/>
          <w:b/>
          <w:sz w:val="18"/>
          <w:szCs w:val="18"/>
        </w:rPr>
        <w:t xml:space="preserve"> –</w:t>
      </w:r>
      <w:r w:rsidRPr="00CC5992">
        <w:rPr>
          <w:rFonts w:ascii="SimSun" w:hAnsi="SimSun" w:hint="eastAsia"/>
          <w:b/>
          <w:sz w:val="18"/>
          <w:szCs w:val="18"/>
        </w:rPr>
        <w:t xml:space="preserve"> 按优先程度分列的未落实监督建议的落实进展（共180项）</w:t>
      </w:r>
    </w:p>
    <w:p w:rsidR="000B1486" w:rsidRPr="00CC5992" w:rsidRDefault="00CB537F" w:rsidP="000B1486">
      <w:pPr>
        <w:pStyle w:val="ONUME"/>
        <w:keepLines/>
        <w:numPr>
          <w:ilvl w:val="0"/>
          <w:numId w:val="0"/>
        </w:numPr>
        <w:spacing w:before="240"/>
        <w:jc w:val="center"/>
        <w:rPr>
          <w:rFonts w:ascii="SimSun" w:hAnsi="SimSun"/>
        </w:rPr>
      </w:pPr>
      <w:r>
        <w:rPr>
          <w:noProof/>
        </w:rPr>
        <w:drawing>
          <wp:inline distT="0" distB="0" distL="0" distR="0" wp14:anchorId="7A702E4A" wp14:editId="4E1C0187">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B1486" w:rsidRPr="000D4F76" w:rsidRDefault="000B1486" w:rsidP="00BC78B3">
      <w:pPr>
        <w:pStyle w:val="ONUME"/>
        <w:keepNext/>
        <w:overflowPunct w:val="0"/>
        <w:spacing w:afterLines="50" w:after="120" w:line="340" w:lineRule="atLeast"/>
        <w:jc w:val="both"/>
        <w:rPr>
          <w:rFonts w:asciiTheme="minorEastAsia" w:eastAsiaTheme="minorEastAsia" w:hAnsiTheme="minorEastAsia"/>
          <w:sz w:val="21"/>
          <w:szCs w:val="21"/>
        </w:rPr>
      </w:pPr>
      <w:bookmarkStart w:id="107" w:name="OLE_LINK111"/>
      <w:bookmarkStart w:id="108" w:name="OLE_LINK112"/>
      <w:r w:rsidRPr="000D4F76">
        <w:rPr>
          <w:rFonts w:asciiTheme="minorEastAsia" w:eastAsiaTheme="minorEastAsia" w:hAnsiTheme="minorEastAsia" w:hint="eastAsia"/>
          <w:sz w:val="21"/>
          <w:szCs w:val="21"/>
        </w:rPr>
        <w:t>一项高优先级</w:t>
      </w:r>
      <w:proofErr w:type="gramStart"/>
      <w:r w:rsidRPr="000D4F76">
        <w:rPr>
          <w:rFonts w:asciiTheme="minorEastAsia" w:eastAsiaTheme="minorEastAsia" w:hAnsiTheme="minorEastAsia" w:hint="eastAsia"/>
          <w:sz w:val="21"/>
          <w:szCs w:val="21"/>
        </w:rPr>
        <w:t>建议自</w:t>
      </w:r>
      <w:proofErr w:type="gramEnd"/>
      <w:r w:rsidRPr="000D4F76">
        <w:rPr>
          <w:rFonts w:asciiTheme="minorEastAsia" w:eastAsiaTheme="minorEastAsia" w:hAnsiTheme="minorEastAsia" w:hint="eastAsia"/>
          <w:sz w:val="21"/>
          <w:szCs w:val="21"/>
        </w:rPr>
        <w:t>2011年起一直未落实，2011至2014年</w:t>
      </w:r>
      <w:proofErr w:type="gramStart"/>
      <w:r w:rsidRPr="000D4F76">
        <w:rPr>
          <w:rFonts w:asciiTheme="minorEastAsia" w:eastAsiaTheme="minorEastAsia" w:hAnsiTheme="minorEastAsia" w:hint="eastAsia"/>
          <w:sz w:val="21"/>
          <w:szCs w:val="21"/>
        </w:rPr>
        <w:t>间提出</w:t>
      </w:r>
      <w:proofErr w:type="gramEnd"/>
      <w:r w:rsidRPr="000D4F76">
        <w:rPr>
          <w:rFonts w:asciiTheme="minorEastAsia" w:eastAsiaTheme="minorEastAsia" w:hAnsiTheme="minorEastAsia" w:hint="eastAsia"/>
          <w:sz w:val="21"/>
          <w:szCs w:val="21"/>
        </w:rPr>
        <w:t>的建议中共有24项至今未落</w:t>
      </w:r>
      <w:r w:rsidR="000D4F76">
        <w:rPr>
          <w:rFonts w:asciiTheme="minorEastAsia" w:eastAsiaTheme="minorEastAsia" w:hAnsiTheme="minorEastAsia" w:hint="cs"/>
          <w:sz w:val="21"/>
          <w:szCs w:val="21"/>
        </w:rPr>
        <w:t>‍</w:t>
      </w:r>
      <w:r w:rsidRPr="000D4F76">
        <w:rPr>
          <w:rFonts w:asciiTheme="minorEastAsia" w:eastAsiaTheme="minorEastAsia" w:hAnsiTheme="minorEastAsia" w:hint="eastAsia"/>
          <w:sz w:val="21"/>
          <w:szCs w:val="21"/>
        </w:rPr>
        <w:t>实。</w:t>
      </w:r>
      <w:bookmarkEnd w:id="107"/>
      <w:bookmarkEnd w:id="108"/>
    </w:p>
    <w:p w:rsidR="000B1486" w:rsidRPr="000D4F76" w:rsidRDefault="000B1486" w:rsidP="00BC78B3">
      <w:pPr>
        <w:pStyle w:val="ONUME"/>
        <w:keepNext/>
        <w:overflowPunct w:val="0"/>
        <w:spacing w:afterLines="50" w:after="120" w:line="340" w:lineRule="atLeast"/>
        <w:jc w:val="both"/>
        <w:rPr>
          <w:rFonts w:asciiTheme="minorEastAsia" w:eastAsiaTheme="minorEastAsia" w:hAnsiTheme="minorEastAsia"/>
          <w:sz w:val="21"/>
          <w:szCs w:val="21"/>
        </w:rPr>
      </w:pPr>
      <w:bookmarkStart w:id="109" w:name="OLE_LINK113"/>
      <w:bookmarkStart w:id="110" w:name="OLE_LINK114"/>
      <w:r w:rsidRPr="000D4F76">
        <w:rPr>
          <w:rFonts w:asciiTheme="minorEastAsia" w:eastAsiaTheme="minorEastAsia" w:hAnsiTheme="minorEastAsia" w:hint="eastAsia"/>
          <w:sz w:val="21"/>
          <w:szCs w:val="21"/>
        </w:rPr>
        <w:t>截至2018年6月30日，按产权组织计划</w:t>
      </w:r>
      <w:r w:rsidRPr="000D4F76">
        <w:rPr>
          <w:rFonts w:asciiTheme="minorEastAsia" w:eastAsiaTheme="minorEastAsia" w:hAnsiTheme="minorEastAsia"/>
          <w:sz w:val="21"/>
          <w:szCs w:val="21"/>
        </w:rPr>
        <w:footnoteReference w:customMarkFollows="1" w:id="10"/>
        <w:t>9</w:t>
      </w:r>
      <w:r w:rsidRPr="000D4F76">
        <w:rPr>
          <w:rFonts w:asciiTheme="minorEastAsia" w:eastAsiaTheme="minorEastAsia" w:hAnsiTheme="minorEastAsia" w:hint="eastAsia"/>
          <w:sz w:val="21"/>
          <w:szCs w:val="21"/>
        </w:rPr>
        <w:t>和按优先程度分列的建议数量如下：</w:t>
      </w:r>
      <w:bookmarkEnd w:id="109"/>
      <w:bookmarkEnd w:id="110"/>
    </w:p>
    <w:p w:rsidR="000B1486" w:rsidRPr="00CC5992" w:rsidRDefault="000B1486" w:rsidP="000D4F76">
      <w:pPr>
        <w:pStyle w:val="ONUME"/>
        <w:keepNext/>
        <w:numPr>
          <w:ilvl w:val="0"/>
          <w:numId w:val="0"/>
        </w:numPr>
        <w:jc w:val="center"/>
        <w:rPr>
          <w:rFonts w:ascii="SimSun" w:hAnsi="SimSun"/>
          <w:szCs w:val="22"/>
        </w:rPr>
      </w:pPr>
      <w:r w:rsidRPr="00CC5992">
        <w:rPr>
          <w:rFonts w:ascii="SimSun" w:hAnsi="SimSun" w:hint="eastAsia"/>
          <w:b/>
          <w:sz w:val="18"/>
          <w:szCs w:val="18"/>
        </w:rPr>
        <w:t xml:space="preserve">图6 </w:t>
      </w:r>
      <w:r w:rsidRPr="00CC5992">
        <w:rPr>
          <w:rFonts w:ascii="SimSun" w:hAnsi="SimSun"/>
          <w:b/>
          <w:sz w:val="18"/>
          <w:szCs w:val="18"/>
        </w:rPr>
        <w:t>–</w:t>
      </w:r>
      <w:r w:rsidRPr="00CC5992">
        <w:rPr>
          <w:rFonts w:ascii="SimSun" w:hAnsi="SimSun" w:hint="eastAsia"/>
          <w:b/>
          <w:sz w:val="18"/>
          <w:szCs w:val="18"/>
        </w:rPr>
        <w:t xml:space="preserve"> 按计划和优先程度分列的建议（共180项）</w:t>
      </w:r>
    </w:p>
    <w:p w:rsidR="000B1486" w:rsidRPr="00CC5992" w:rsidRDefault="00CB537F" w:rsidP="000B1486">
      <w:pPr>
        <w:pStyle w:val="ONUME"/>
        <w:keepLines/>
        <w:numPr>
          <w:ilvl w:val="0"/>
          <w:numId w:val="0"/>
        </w:numPr>
        <w:spacing w:after="360"/>
        <w:jc w:val="center"/>
        <w:rPr>
          <w:rFonts w:ascii="SimSun" w:hAnsi="SimSun"/>
        </w:rPr>
      </w:pPr>
      <w:r w:rsidRPr="00CB537F">
        <w:rPr>
          <w:noProof/>
        </w:rPr>
        <w:drawing>
          <wp:inline distT="0" distB="0" distL="0" distR="0" wp14:anchorId="1AD39E6C" wp14:editId="43714377">
            <wp:extent cx="5940425" cy="4077066"/>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0425" cy="4077066"/>
                    </a:xfrm>
                    <a:prstGeom prst="rect">
                      <a:avLst/>
                    </a:prstGeom>
                    <a:noFill/>
                    <a:ln>
                      <a:noFill/>
                    </a:ln>
                  </pic:spPr>
                </pic:pic>
              </a:graphicData>
            </a:graphic>
          </wp:inline>
        </w:drawing>
      </w:r>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96项高优先级建议中的58％是关于5项计划的，未落实高优先级建议数量最多的是“一般性支助服务”（方案24）、“人力资源管理与开发”（计划23），以及“非洲、阿拉伯、亚洲和太平洋、拉丁美洲和加勒比国家、最不发达国家”（计划9）。</w:t>
      </w:r>
    </w:p>
    <w:p w:rsidR="000B1486" w:rsidRPr="000D4F76" w:rsidRDefault="000B1486" w:rsidP="000D4F76">
      <w:pPr>
        <w:pStyle w:val="1"/>
        <w:overflowPunct w:val="0"/>
        <w:spacing w:beforeLines="100" w:before="240" w:afterLines="50" w:after="120" w:line="340" w:lineRule="atLeast"/>
        <w:rPr>
          <w:rFonts w:ascii="SimHei" w:eastAsia="SimHei" w:hAnsi="SimHei"/>
          <w:b w:val="0"/>
          <w:sz w:val="21"/>
          <w:szCs w:val="21"/>
        </w:rPr>
      </w:pPr>
      <w:bookmarkStart w:id="111" w:name="_Toc519241787"/>
      <w:r w:rsidRPr="000D4F76">
        <w:rPr>
          <w:rFonts w:ascii="SimHei" w:eastAsia="SimHei" w:hAnsi="SimHei" w:hint="eastAsia"/>
          <w:b w:val="0"/>
          <w:sz w:val="21"/>
          <w:szCs w:val="21"/>
        </w:rPr>
        <w:t>咨询和建议方面的工作</w:t>
      </w:r>
      <w:bookmarkEnd w:id="111"/>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bookmarkStart w:id="112" w:name="OLE_LINK117"/>
      <w:bookmarkStart w:id="113" w:name="OLE_LINK118"/>
      <w:r w:rsidRPr="000D4F76">
        <w:rPr>
          <w:rFonts w:asciiTheme="minorEastAsia" w:eastAsiaTheme="minorEastAsia" w:hAnsiTheme="minorEastAsia" w:hint="eastAsia"/>
          <w:sz w:val="21"/>
          <w:szCs w:val="21"/>
        </w:rPr>
        <w:t>除所规划的监督工作外，监督司继续提供组织政策和程序、风险管理以及内部控制方面的专业建议。</w:t>
      </w:r>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监督司还与计划编制和财务部</w:t>
      </w:r>
      <w:r w:rsidR="00CF0A55">
        <w:rPr>
          <w:rFonts w:asciiTheme="minorEastAsia" w:eastAsiaTheme="minorEastAsia" w:hAnsiTheme="minorEastAsia" w:hint="eastAsia"/>
          <w:sz w:val="21"/>
          <w:szCs w:val="21"/>
        </w:rPr>
        <w:t>的财务主任办公室</w:t>
      </w:r>
      <w:r w:rsidRPr="000D4F76">
        <w:rPr>
          <w:rFonts w:asciiTheme="minorEastAsia" w:eastAsiaTheme="minorEastAsia" w:hAnsiTheme="minorEastAsia" w:hint="eastAsia"/>
          <w:sz w:val="21"/>
          <w:szCs w:val="21"/>
        </w:rPr>
        <w:t>一同参与了欺诈风险预防活动。具体来说：</w:t>
      </w:r>
    </w:p>
    <w:p w:rsidR="000B1486" w:rsidRPr="00CC5992" w:rsidRDefault="000B1486" w:rsidP="00BD7EE8">
      <w:pPr>
        <w:pStyle w:val="ONUME"/>
        <w:numPr>
          <w:ilvl w:val="1"/>
          <w:numId w:val="3"/>
        </w:numPr>
        <w:spacing w:afterLines="50" w:after="120" w:line="340" w:lineRule="atLeast"/>
        <w:jc w:val="both"/>
        <w:rPr>
          <w:rFonts w:ascii="SimSun" w:hAnsi="SimSun"/>
        </w:rPr>
      </w:pPr>
      <w:r w:rsidRPr="00CC5992">
        <w:rPr>
          <w:rFonts w:ascii="SimSun" w:hAnsi="SimSun" w:hint="eastAsia"/>
        </w:rPr>
        <w:t>已制定“产权组织避免欺诈与滥用”在线培训，并将于2018年下半年提供给</w:t>
      </w:r>
      <w:r>
        <w:rPr>
          <w:rFonts w:ascii="SimSun" w:hAnsi="SimSun" w:hint="eastAsia"/>
        </w:rPr>
        <w:t>产权组织</w:t>
      </w:r>
      <w:r w:rsidRPr="00CC5992">
        <w:rPr>
          <w:rFonts w:ascii="SimSun" w:hAnsi="SimSun" w:hint="eastAsia"/>
        </w:rPr>
        <w:t>工作人员；并且</w:t>
      </w:r>
    </w:p>
    <w:p w:rsidR="000B1486" w:rsidRPr="00CC5992" w:rsidRDefault="000B1486" w:rsidP="00BD7EE8">
      <w:pPr>
        <w:pStyle w:val="ONUME"/>
        <w:numPr>
          <w:ilvl w:val="1"/>
          <w:numId w:val="3"/>
        </w:numPr>
        <w:spacing w:afterLines="50" w:after="120" w:line="340" w:lineRule="atLeast"/>
        <w:jc w:val="both"/>
        <w:rPr>
          <w:rFonts w:ascii="SimSun" w:hAnsi="SimSun"/>
        </w:rPr>
      </w:pPr>
      <w:r w:rsidRPr="00CC5992">
        <w:rPr>
          <w:rFonts w:ascii="SimSun" w:hAnsi="SimSun" w:hint="eastAsia"/>
        </w:rPr>
        <w:t>已启动欺诈风险评估工作，为此聘请了专业咨询公司，并将于2018年下半年开展实地活动。</w:t>
      </w:r>
    </w:p>
    <w:p w:rsidR="000B1486" w:rsidRPr="000D4F76" w:rsidRDefault="000B1486" w:rsidP="000D4F76">
      <w:pPr>
        <w:pStyle w:val="1"/>
        <w:overflowPunct w:val="0"/>
        <w:spacing w:beforeLines="100" w:before="240" w:afterLines="50" w:after="120" w:line="340" w:lineRule="atLeast"/>
        <w:rPr>
          <w:rFonts w:ascii="SimHei" w:eastAsia="SimHei" w:hAnsi="SimHei"/>
          <w:b w:val="0"/>
          <w:sz w:val="21"/>
          <w:szCs w:val="21"/>
        </w:rPr>
      </w:pPr>
      <w:bookmarkStart w:id="114" w:name="_Toc519241788"/>
      <w:r w:rsidRPr="000D4F76">
        <w:rPr>
          <w:rFonts w:ascii="SimHei" w:eastAsia="SimHei" w:hAnsi="SimHei" w:hint="eastAsia"/>
          <w:b w:val="0"/>
          <w:sz w:val="21"/>
          <w:szCs w:val="21"/>
        </w:rPr>
        <w:t>与外部监督机构的合作</w:t>
      </w:r>
      <w:bookmarkEnd w:id="114"/>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独立咨询监督委员会（</w:t>
      </w:r>
      <w:proofErr w:type="gramStart"/>
      <w:r w:rsidRPr="0001114D">
        <w:rPr>
          <w:rFonts w:asciiTheme="minorEastAsia" w:eastAsiaTheme="minorEastAsia" w:hAnsiTheme="minorEastAsia" w:hint="eastAsia"/>
          <w:b/>
          <w:sz w:val="21"/>
          <w:szCs w:val="21"/>
        </w:rPr>
        <w:t>咨</w:t>
      </w:r>
      <w:proofErr w:type="gramEnd"/>
      <w:r w:rsidRPr="0001114D">
        <w:rPr>
          <w:rFonts w:asciiTheme="minorEastAsia" w:eastAsiaTheme="minorEastAsia" w:hAnsiTheme="minorEastAsia" w:hint="eastAsia"/>
          <w:b/>
          <w:sz w:val="21"/>
          <w:szCs w:val="21"/>
        </w:rPr>
        <w:t>监委）</w:t>
      </w:r>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监督司定期参加</w:t>
      </w:r>
      <w:proofErr w:type="gramStart"/>
      <w:r w:rsidRPr="000D4F76">
        <w:rPr>
          <w:rFonts w:asciiTheme="minorEastAsia" w:eastAsiaTheme="minorEastAsia" w:hAnsiTheme="minorEastAsia" w:hint="eastAsia"/>
          <w:sz w:val="21"/>
          <w:szCs w:val="21"/>
        </w:rPr>
        <w:t>咨</w:t>
      </w:r>
      <w:proofErr w:type="gramEnd"/>
      <w:r w:rsidRPr="000D4F76">
        <w:rPr>
          <w:rFonts w:asciiTheme="minorEastAsia" w:eastAsiaTheme="minorEastAsia" w:hAnsiTheme="minorEastAsia" w:hint="eastAsia"/>
          <w:sz w:val="21"/>
          <w:szCs w:val="21"/>
        </w:rPr>
        <w:t>监委的会议，报告外部监督计划的落实情况、讨论监督结果和有关该司工作和职能的其他方面，并向</w:t>
      </w:r>
      <w:proofErr w:type="gramStart"/>
      <w:r w:rsidRPr="000D4F76">
        <w:rPr>
          <w:rFonts w:asciiTheme="minorEastAsia" w:eastAsiaTheme="minorEastAsia" w:hAnsiTheme="minorEastAsia" w:hint="eastAsia"/>
          <w:sz w:val="21"/>
          <w:szCs w:val="21"/>
        </w:rPr>
        <w:t>咨</w:t>
      </w:r>
      <w:proofErr w:type="gramEnd"/>
      <w:r w:rsidRPr="000D4F76">
        <w:rPr>
          <w:rFonts w:asciiTheme="minorEastAsia" w:eastAsiaTheme="minorEastAsia" w:hAnsiTheme="minorEastAsia" w:hint="eastAsia"/>
          <w:sz w:val="21"/>
          <w:szCs w:val="21"/>
        </w:rPr>
        <w:t>监委寻求建议。在本报告所涉期间，</w:t>
      </w:r>
      <w:proofErr w:type="gramStart"/>
      <w:r w:rsidRPr="000D4F76">
        <w:rPr>
          <w:rFonts w:asciiTheme="minorEastAsia" w:eastAsiaTheme="minorEastAsia" w:hAnsiTheme="minorEastAsia" w:hint="eastAsia"/>
          <w:sz w:val="21"/>
          <w:szCs w:val="21"/>
        </w:rPr>
        <w:t>咨</w:t>
      </w:r>
      <w:proofErr w:type="gramEnd"/>
      <w:r w:rsidRPr="000D4F76">
        <w:rPr>
          <w:rFonts w:asciiTheme="minorEastAsia" w:eastAsiaTheme="minorEastAsia" w:hAnsiTheme="minorEastAsia" w:hint="eastAsia"/>
          <w:sz w:val="21"/>
          <w:szCs w:val="21"/>
        </w:rPr>
        <w:t>监委举行了第四十五届至第四十八届会议。</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外聘审计员</w:t>
      </w:r>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w:t>
      </w:r>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监督司于2018年5月与即将上任的联合王国国家审计署外聘审计员举行了会议，并分享了年度工作计划、内部监督章程、内部审计（内审）战略，以及内</w:t>
      </w:r>
      <w:proofErr w:type="gramStart"/>
      <w:r w:rsidRPr="000D4F76">
        <w:rPr>
          <w:rFonts w:asciiTheme="minorEastAsia" w:eastAsiaTheme="minorEastAsia" w:hAnsiTheme="minorEastAsia" w:hint="eastAsia"/>
          <w:sz w:val="21"/>
          <w:szCs w:val="21"/>
        </w:rPr>
        <w:t>审连续</w:t>
      </w:r>
      <w:proofErr w:type="gramEnd"/>
      <w:r w:rsidRPr="000D4F76">
        <w:rPr>
          <w:rFonts w:asciiTheme="minorEastAsia" w:eastAsiaTheme="minorEastAsia" w:hAnsiTheme="minorEastAsia" w:hint="eastAsia"/>
          <w:sz w:val="21"/>
          <w:szCs w:val="21"/>
        </w:rPr>
        <w:t>审计工作备忘录等。</w:t>
      </w:r>
    </w:p>
    <w:p w:rsidR="000B1486" w:rsidRPr="000D4F76" w:rsidRDefault="000B1486" w:rsidP="000D4F76">
      <w:pPr>
        <w:pStyle w:val="1"/>
        <w:overflowPunct w:val="0"/>
        <w:spacing w:beforeLines="100" w:before="240" w:afterLines="50" w:after="120" w:line="340" w:lineRule="atLeast"/>
        <w:rPr>
          <w:rFonts w:ascii="SimHei" w:eastAsia="SimHei" w:hAnsi="SimHei"/>
          <w:b w:val="0"/>
          <w:sz w:val="21"/>
          <w:szCs w:val="21"/>
        </w:rPr>
      </w:pPr>
      <w:bookmarkStart w:id="115" w:name="_Toc519241789"/>
      <w:r w:rsidRPr="000D4F76">
        <w:rPr>
          <w:rFonts w:ascii="SimHei" w:eastAsia="SimHei" w:hAnsi="SimHei" w:hint="eastAsia"/>
          <w:b w:val="0"/>
          <w:sz w:val="21"/>
          <w:szCs w:val="21"/>
        </w:rPr>
        <w:t>与监察员和道德操守办公室的合作</w:t>
      </w:r>
      <w:bookmarkEnd w:id="115"/>
    </w:p>
    <w:p w:rsidR="000B1486" w:rsidRPr="000D4F76" w:rsidRDefault="000B1486" w:rsidP="000D4F76">
      <w:pPr>
        <w:pStyle w:val="ONUME"/>
        <w:overflowPunct w:val="0"/>
        <w:spacing w:afterLines="50" w:after="120" w:line="340" w:lineRule="atLeast"/>
        <w:jc w:val="both"/>
        <w:rPr>
          <w:rFonts w:asciiTheme="minorEastAsia" w:eastAsiaTheme="minorEastAsia" w:hAnsiTheme="minorEastAsia"/>
          <w:sz w:val="21"/>
          <w:szCs w:val="21"/>
        </w:rPr>
      </w:pPr>
      <w:r w:rsidRPr="000D4F76">
        <w:rPr>
          <w:rFonts w:asciiTheme="minorEastAsia" w:eastAsiaTheme="minorEastAsia" w:hAnsiTheme="minorEastAsia" w:hint="eastAsia"/>
          <w:sz w:val="21"/>
          <w:szCs w:val="21"/>
        </w:rPr>
        <w:t>在报告所涉期间，监督司司长定期与监察员和首席道德</w:t>
      </w:r>
      <w:r w:rsidR="000D4F76">
        <w:rPr>
          <w:rFonts w:asciiTheme="minorEastAsia" w:eastAsiaTheme="minorEastAsia" w:hAnsiTheme="minorEastAsia" w:hint="eastAsia"/>
          <w:sz w:val="21"/>
          <w:szCs w:val="21"/>
        </w:rPr>
        <w:t>操守</w:t>
      </w:r>
      <w:proofErr w:type="gramStart"/>
      <w:r w:rsidRPr="000D4F76">
        <w:rPr>
          <w:rFonts w:asciiTheme="minorEastAsia" w:eastAsiaTheme="minorEastAsia" w:hAnsiTheme="minorEastAsia" w:hint="eastAsia"/>
          <w:sz w:val="21"/>
          <w:szCs w:val="21"/>
        </w:rPr>
        <w:t>官举行</w:t>
      </w:r>
      <w:proofErr w:type="gramEnd"/>
      <w:r w:rsidRPr="000D4F76">
        <w:rPr>
          <w:rFonts w:asciiTheme="minorEastAsia" w:eastAsiaTheme="minorEastAsia" w:hAnsiTheme="minorEastAsia" w:hint="eastAsia"/>
          <w:sz w:val="21"/>
          <w:szCs w:val="21"/>
        </w:rPr>
        <w:t>会议，确保联络畅通，相互支</w:t>
      </w:r>
      <w:r w:rsidR="000D4F76">
        <w:rPr>
          <w:rFonts w:asciiTheme="minorEastAsia" w:eastAsiaTheme="minorEastAsia" w:hAnsiTheme="minorEastAsia" w:hint="cs"/>
          <w:sz w:val="21"/>
          <w:szCs w:val="21"/>
        </w:rPr>
        <w:t>‍</w:t>
      </w:r>
      <w:r w:rsidRPr="000D4F76">
        <w:rPr>
          <w:rFonts w:asciiTheme="minorEastAsia" w:eastAsiaTheme="minorEastAsia" w:hAnsiTheme="minorEastAsia" w:hint="eastAsia"/>
          <w:sz w:val="21"/>
          <w:szCs w:val="21"/>
        </w:rPr>
        <w:t>持。</w:t>
      </w:r>
    </w:p>
    <w:p w:rsidR="000B1486" w:rsidRPr="007E3F5C" w:rsidRDefault="000B1486" w:rsidP="007E3F5C">
      <w:pPr>
        <w:pStyle w:val="1"/>
        <w:overflowPunct w:val="0"/>
        <w:spacing w:beforeLines="100" w:before="240" w:afterLines="50" w:after="120" w:line="340" w:lineRule="atLeast"/>
        <w:rPr>
          <w:rFonts w:ascii="SimHei" w:eastAsia="SimHei" w:hAnsi="SimHei"/>
          <w:b w:val="0"/>
          <w:sz w:val="21"/>
          <w:szCs w:val="21"/>
        </w:rPr>
      </w:pPr>
      <w:bookmarkStart w:id="116" w:name="_Toc519241790"/>
      <w:r w:rsidRPr="007E3F5C">
        <w:rPr>
          <w:rFonts w:ascii="SimHei" w:eastAsia="SimHei" w:hAnsi="SimHei" w:hint="eastAsia"/>
          <w:b w:val="0"/>
          <w:sz w:val="21"/>
          <w:szCs w:val="21"/>
        </w:rPr>
        <w:t>其他监督工作</w:t>
      </w:r>
      <w:bookmarkEnd w:id="116"/>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本组织内的宣传活动</w:t>
      </w:r>
    </w:p>
    <w:p w:rsidR="000B1486" w:rsidRPr="007E3F5C" w:rsidRDefault="000B1486" w:rsidP="007E3F5C">
      <w:pPr>
        <w:pStyle w:val="ONUME"/>
        <w:overflowPunct w:val="0"/>
        <w:spacing w:afterLines="50" w:after="120" w:line="340" w:lineRule="atLeast"/>
        <w:jc w:val="both"/>
        <w:rPr>
          <w:rFonts w:asciiTheme="minorEastAsia" w:eastAsiaTheme="minorEastAsia" w:hAnsiTheme="minorEastAsia"/>
          <w:sz w:val="21"/>
          <w:szCs w:val="21"/>
        </w:rPr>
      </w:pPr>
      <w:r w:rsidRPr="007E3F5C">
        <w:rPr>
          <w:rFonts w:asciiTheme="minorEastAsia" w:eastAsiaTheme="minorEastAsia" w:hAnsiTheme="minorEastAsia" w:hint="eastAsia"/>
          <w:sz w:val="21"/>
          <w:szCs w:val="21"/>
        </w:rPr>
        <w:t>为了更好地解释和支持内部监督职能，作为正在开展的努力的一部分，监督司继续通过在新工作人员入门培训时作介绍、监督司通讯、监督司控制面板以及应要求面向司长和高级管理人员进行介绍等，接触产权组织内的同事。</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满意度调查</w:t>
      </w:r>
    </w:p>
    <w:p w:rsidR="000B1486" w:rsidRPr="007E3F5C" w:rsidRDefault="000B1486" w:rsidP="007E3F5C">
      <w:pPr>
        <w:pStyle w:val="ONUME"/>
        <w:overflowPunct w:val="0"/>
        <w:spacing w:afterLines="50" w:after="120" w:line="340" w:lineRule="atLeast"/>
        <w:jc w:val="both"/>
        <w:rPr>
          <w:rFonts w:asciiTheme="minorEastAsia" w:eastAsiaTheme="minorEastAsia" w:hAnsiTheme="minorEastAsia"/>
          <w:sz w:val="21"/>
          <w:szCs w:val="21"/>
        </w:rPr>
      </w:pPr>
      <w:r w:rsidRPr="007E3F5C">
        <w:rPr>
          <w:rFonts w:asciiTheme="minorEastAsia" w:eastAsiaTheme="minorEastAsia" w:hAnsiTheme="minorEastAsia" w:hint="eastAsia"/>
          <w:sz w:val="21"/>
          <w:szCs w:val="21"/>
        </w:rPr>
        <w:t>监督</w:t>
      </w:r>
      <w:proofErr w:type="gramStart"/>
      <w:r w:rsidRPr="007E3F5C">
        <w:rPr>
          <w:rFonts w:asciiTheme="minorEastAsia" w:eastAsiaTheme="minorEastAsia" w:hAnsiTheme="minorEastAsia" w:hint="eastAsia"/>
          <w:sz w:val="21"/>
          <w:szCs w:val="21"/>
        </w:rPr>
        <w:t>司通过</w:t>
      </w:r>
      <w:proofErr w:type="gramEnd"/>
      <w:r w:rsidRPr="007E3F5C">
        <w:rPr>
          <w:rFonts w:asciiTheme="minorEastAsia" w:eastAsiaTheme="minorEastAsia" w:hAnsiTheme="minorEastAsia" w:hint="eastAsia"/>
          <w:sz w:val="21"/>
          <w:szCs w:val="21"/>
        </w:rPr>
        <w:t>每次任务后进行客户满意度调查，继续寻求被审计/被评价的产权组织部门同事的反馈意见。该项工作旨在有效获取并分析同事们对于监督工作的反馈意见。对调查结果的综合分析显示满意度为85%。</w:t>
      </w:r>
    </w:p>
    <w:p w:rsidR="000B1486" w:rsidRPr="007E3F5C" w:rsidRDefault="000B1486" w:rsidP="007E3F5C">
      <w:pPr>
        <w:pStyle w:val="ONUME"/>
        <w:overflowPunct w:val="0"/>
        <w:spacing w:afterLines="50" w:after="120" w:line="340" w:lineRule="atLeast"/>
        <w:jc w:val="both"/>
        <w:rPr>
          <w:rFonts w:asciiTheme="minorEastAsia" w:eastAsiaTheme="minorEastAsia" w:hAnsiTheme="minorEastAsia"/>
          <w:sz w:val="21"/>
          <w:szCs w:val="21"/>
        </w:rPr>
      </w:pPr>
      <w:r w:rsidRPr="007E3F5C">
        <w:rPr>
          <w:rFonts w:asciiTheme="minorEastAsia" w:eastAsiaTheme="minorEastAsia" w:hAnsiTheme="minorEastAsia" w:hint="eastAsia"/>
          <w:sz w:val="21"/>
          <w:szCs w:val="21"/>
        </w:rPr>
        <w:t>在有关任务完成一年后进行调查的结果被用来评估监督工作的影响，该结果显示，平均满意度为76%。监督司将基于所收到的同事反馈意见，努力进一步提升其监督工作的影响。</w:t>
      </w:r>
    </w:p>
    <w:p w:rsidR="000B1486" w:rsidRPr="007E3F5C" w:rsidRDefault="000B1486" w:rsidP="007E3F5C">
      <w:pPr>
        <w:pStyle w:val="ONUME"/>
        <w:overflowPunct w:val="0"/>
        <w:spacing w:afterLines="50" w:after="120" w:line="340" w:lineRule="atLeast"/>
        <w:jc w:val="both"/>
        <w:rPr>
          <w:rFonts w:asciiTheme="minorEastAsia" w:eastAsiaTheme="minorEastAsia" w:hAnsiTheme="minorEastAsia"/>
          <w:sz w:val="21"/>
          <w:szCs w:val="21"/>
        </w:rPr>
      </w:pPr>
      <w:r w:rsidRPr="007E3F5C">
        <w:rPr>
          <w:rFonts w:asciiTheme="minorEastAsia" w:eastAsiaTheme="minorEastAsia" w:hAnsiTheme="minorEastAsia" w:hint="eastAsia"/>
          <w:sz w:val="21"/>
          <w:szCs w:val="21"/>
        </w:rPr>
        <w:t>被审计/被评价的部门通过调查发出的其他评论意见，帮助监督司找出不足并采取纠正措施。</w:t>
      </w:r>
    </w:p>
    <w:p w:rsidR="000B1486" w:rsidRPr="0001114D" w:rsidRDefault="000B1486" w:rsidP="0001114D">
      <w:pPr>
        <w:pStyle w:val="2"/>
        <w:spacing w:before="0" w:afterLines="50" w:after="120" w:line="340" w:lineRule="atLeast"/>
        <w:rPr>
          <w:rFonts w:asciiTheme="minorEastAsia" w:eastAsiaTheme="minorEastAsia" w:hAnsiTheme="minorEastAsia"/>
          <w:b/>
          <w:sz w:val="21"/>
          <w:szCs w:val="21"/>
        </w:rPr>
      </w:pPr>
      <w:r w:rsidRPr="0001114D">
        <w:rPr>
          <w:rFonts w:asciiTheme="minorEastAsia" w:eastAsiaTheme="minorEastAsia" w:hAnsiTheme="minorEastAsia" w:hint="eastAsia"/>
          <w:b/>
          <w:sz w:val="21"/>
          <w:szCs w:val="21"/>
        </w:rPr>
        <w:t>与其他监督职能发展网络关系</w:t>
      </w:r>
    </w:p>
    <w:p w:rsidR="000B1486" w:rsidRPr="007E3F5C" w:rsidRDefault="000B1486" w:rsidP="007E3F5C">
      <w:pPr>
        <w:pStyle w:val="ONUME"/>
        <w:overflowPunct w:val="0"/>
        <w:spacing w:afterLines="50" w:after="120" w:line="340" w:lineRule="atLeast"/>
        <w:jc w:val="both"/>
        <w:rPr>
          <w:rFonts w:asciiTheme="minorEastAsia" w:eastAsiaTheme="minorEastAsia" w:hAnsiTheme="minorEastAsia"/>
          <w:sz w:val="21"/>
          <w:szCs w:val="21"/>
        </w:rPr>
      </w:pPr>
      <w:r w:rsidRPr="007E3F5C">
        <w:rPr>
          <w:rFonts w:asciiTheme="minorEastAsia" w:eastAsiaTheme="minorEastAsia" w:hAnsiTheme="minorEastAsia" w:hint="eastAsia"/>
          <w:sz w:val="21"/>
          <w:szCs w:val="21"/>
        </w:rPr>
        <w:t>《</w:t>
      </w:r>
      <w:r w:rsidR="00BD7EE8">
        <w:rPr>
          <w:rFonts w:asciiTheme="minorEastAsia" w:eastAsiaTheme="minorEastAsia" w:hAnsiTheme="minorEastAsia" w:hint="eastAsia"/>
          <w:sz w:val="21"/>
          <w:szCs w:val="21"/>
        </w:rPr>
        <w:t>内部监督</w:t>
      </w:r>
      <w:r w:rsidRPr="007E3F5C">
        <w:rPr>
          <w:rFonts w:asciiTheme="minorEastAsia" w:eastAsiaTheme="minorEastAsia" w:hAnsiTheme="minorEastAsia" w:hint="eastAsia"/>
          <w:sz w:val="21"/>
          <w:szCs w:val="21"/>
        </w:rPr>
        <w:t>章程》纳入了有关与联合国系统其他组织和多边金融机构的内部监督服务处进行联络和合作的具体规定</w:t>
      </w:r>
      <w:r w:rsidRPr="00BD7EE8">
        <w:rPr>
          <w:rFonts w:asciiTheme="minorEastAsia" w:eastAsiaTheme="minorEastAsia" w:hAnsiTheme="minorEastAsia"/>
          <w:sz w:val="21"/>
          <w:szCs w:val="21"/>
          <w:vertAlign w:val="superscript"/>
        </w:rPr>
        <w:footnoteReference w:customMarkFollows="1" w:id="11"/>
        <w:t>10</w:t>
      </w:r>
      <w:r w:rsidRPr="007E3F5C">
        <w:rPr>
          <w:rFonts w:asciiTheme="minorEastAsia" w:eastAsiaTheme="minorEastAsia" w:hAnsiTheme="minorEastAsia" w:hint="eastAsia"/>
          <w:sz w:val="21"/>
          <w:szCs w:val="21"/>
        </w:rPr>
        <w:t>。监督</w:t>
      </w:r>
      <w:proofErr w:type="gramStart"/>
      <w:r w:rsidRPr="007E3F5C">
        <w:rPr>
          <w:rFonts w:asciiTheme="minorEastAsia" w:eastAsiaTheme="minorEastAsia" w:hAnsiTheme="minorEastAsia" w:hint="eastAsia"/>
          <w:sz w:val="21"/>
          <w:szCs w:val="21"/>
        </w:rPr>
        <w:t>司认识</w:t>
      </w:r>
      <w:proofErr w:type="gramEnd"/>
      <w:r w:rsidRPr="007E3F5C">
        <w:rPr>
          <w:rFonts w:asciiTheme="minorEastAsia" w:eastAsiaTheme="minorEastAsia" w:hAnsiTheme="minorEastAsia" w:hint="eastAsia"/>
          <w:sz w:val="21"/>
          <w:szCs w:val="21"/>
        </w:rPr>
        <w:t>到与同类职能部门发展关系的价值和重要性。在报告所涉期间，监督司继续与其他联合国系统组织和实体开展活跃和有用的协作与网络联系。具体而言，监督</w:t>
      </w:r>
      <w:proofErr w:type="gramStart"/>
      <w:r w:rsidRPr="007E3F5C">
        <w:rPr>
          <w:rFonts w:asciiTheme="minorEastAsia" w:eastAsiaTheme="minorEastAsia" w:hAnsiTheme="minorEastAsia" w:hint="eastAsia"/>
          <w:sz w:val="21"/>
          <w:szCs w:val="21"/>
        </w:rPr>
        <w:t>司积极</w:t>
      </w:r>
      <w:proofErr w:type="gramEnd"/>
      <w:r w:rsidRPr="007E3F5C">
        <w:rPr>
          <w:rFonts w:asciiTheme="minorEastAsia" w:eastAsiaTheme="minorEastAsia" w:hAnsiTheme="minorEastAsia" w:hint="eastAsia"/>
          <w:sz w:val="21"/>
          <w:szCs w:val="21"/>
        </w:rPr>
        <w:t>参与了下述活动：</w:t>
      </w:r>
    </w:p>
    <w:p w:rsidR="000B1486" w:rsidRPr="00BD7EE8" w:rsidRDefault="000B1486" w:rsidP="00EC189A">
      <w:pPr>
        <w:pStyle w:val="ONUME"/>
        <w:numPr>
          <w:ilvl w:val="1"/>
          <w:numId w:val="5"/>
        </w:numPr>
        <w:spacing w:afterLines="50" w:after="120" w:line="340" w:lineRule="atLeast"/>
        <w:jc w:val="both"/>
        <w:rPr>
          <w:rFonts w:ascii="SimSun" w:hAnsi="SimSun"/>
          <w:sz w:val="21"/>
          <w:szCs w:val="21"/>
        </w:rPr>
      </w:pPr>
      <w:r w:rsidRPr="00BD7EE8">
        <w:rPr>
          <w:rFonts w:ascii="SimSun" w:hAnsi="SimSun" w:hint="eastAsia"/>
          <w:sz w:val="21"/>
          <w:szCs w:val="21"/>
        </w:rPr>
        <w:t>2017年8月28日至31日在荷兰海牙举行的联合国内部审计处代表（UN RIAS）年会；</w:t>
      </w:r>
    </w:p>
    <w:p w:rsidR="000B1486" w:rsidRPr="00BD7EE8" w:rsidRDefault="000B1486" w:rsidP="00EC189A">
      <w:pPr>
        <w:pStyle w:val="ONUME"/>
        <w:numPr>
          <w:ilvl w:val="1"/>
          <w:numId w:val="5"/>
        </w:numPr>
        <w:spacing w:afterLines="50" w:after="120" w:line="340" w:lineRule="atLeast"/>
        <w:jc w:val="both"/>
        <w:rPr>
          <w:rFonts w:ascii="SimSun" w:hAnsi="SimSun"/>
          <w:sz w:val="21"/>
          <w:szCs w:val="21"/>
        </w:rPr>
      </w:pPr>
      <w:r w:rsidRPr="00BD7EE8">
        <w:rPr>
          <w:rFonts w:ascii="SimSun" w:hAnsi="SimSun" w:hint="eastAsia"/>
          <w:sz w:val="21"/>
          <w:szCs w:val="21"/>
        </w:rPr>
        <w:t>2017年10月10日至13日在美利坚合众国纽约举行的联合国调查处代表（UN RIS）年会；</w:t>
      </w:r>
    </w:p>
    <w:p w:rsidR="000B1486" w:rsidRPr="00BD7EE8" w:rsidRDefault="000B1486" w:rsidP="00EC189A">
      <w:pPr>
        <w:pStyle w:val="ONUME"/>
        <w:numPr>
          <w:ilvl w:val="1"/>
          <w:numId w:val="5"/>
        </w:numPr>
        <w:spacing w:afterLines="50" w:after="120" w:line="340" w:lineRule="atLeast"/>
        <w:jc w:val="both"/>
        <w:rPr>
          <w:rFonts w:ascii="SimSun" w:hAnsi="SimSun"/>
          <w:sz w:val="21"/>
          <w:szCs w:val="21"/>
        </w:rPr>
      </w:pPr>
      <w:r w:rsidRPr="00BD7EE8">
        <w:rPr>
          <w:rFonts w:ascii="SimSun" w:hAnsi="SimSun" w:hint="eastAsia"/>
          <w:sz w:val="21"/>
          <w:szCs w:val="21"/>
        </w:rPr>
        <w:t>2018年4月18日至20日由欧盟委员会在比利时布鲁塞尔主办的欧洲各国际机构内部审计事务领导人年会（HOIA）；以及</w:t>
      </w:r>
    </w:p>
    <w:p w:rsidR="000B1486" w:rsidRPr="00BD7EE8" w:rsidRDefault="000B1486" w:rsidP="00EC189A">
      <w:pPr>
        <w:pStyle w:val="ONUME"/>
        <w:numPr>
          <w:ilvl w:val="1"/>
          <w:numId w:val="5"/>
        </w:numPr>
        <w:spacing w:afterLines="50" w:after="120" w:line="340" w:lineRule="atLeast"/>
        <w:jc w:val="both"/>
        <w:rPr>
          <w:rFonts w:ascii="SimSun" w:hAnsi="SimSun"/>
          <w:sz w:val="21"/>
          <w:szCs w:val="21"/>
        </w:rPr>
      </w:pPr>
      <w:r w:rsidRPr="00BD7EE8">
        <w:rPr>
          <w:rFonts w:ascii="SimSun" w:hAnsi="SimSun"/>
          <w:sz w:val="21"/>
          <w:szCs w:val="21"/>
        </w:rPr>
        <w:t>产权组织参加了2018</w:t>
      </w:r>
      <w:r w:rsidRPr="00BD7EE8">
        <w:rPr>
          <w:rFonts w:ascii="SimSun" w:hAnsi="SimSun" w:hint="eastAsia"/>
          <w:sz w:val="21"/>
          <w:szCs w:val="21"/>
        </w:rPr>
        <w:t>年</w:t>
      </w:r>
      <w:r w:rsidRPr="00BD7EE8">
        <w:rPr>
          <w:rFonts w:ascii="SimSun" w:hAnsi="SimSun"/>
          <w:sz w:val="21"/>
          <w:szCs w:val="21"/>
        </w:rPr>
        <w:t>5</w:t>
      </w:r>
      <w:r w:rsidRPr="00BD7EE8">
        <w:rPr>
          <w:rFonts w:ascii="SimSun" w:hAnsi="SimSun" w:hint="eastAsia"/>
          <w:sz w:val="21"/>
          <w:szCs w:val="21"/>
        </w:rPr>
        <w:t>月</w:t>
      </w:r>
      <w:r w:rsidRPr="00BD7EE8">
        <w:rPr>
          <w:rFonts w:ascii="SimSun" w:hAnsi="SimSun"/>
          <w:sz w:val="21"/>
          <w:szCs w:val="21"/>
        </w:rPr>
        <w:t>7</w:t>
      </w:r>
      <w:r w:rsidRPr="00BD7EE8">
        <w:rPr>
          <w:rFonts w:ascii="SimSun" w:hAnsi="SimSun" w:hint="eastAsia"/>
          <w:sz w:val="21"/>
          <w:szCs w:val="21"/>
        </w:rPr>
        <w:t>日至</w:t>
      </w:r>
      <w:r w:rsidRPr="00BD7EE8">
        <w:rPr>
          <w:rFonts w:ascii="SimSun" w:hAnsi="SimSun"/>
          <w:sz w:val="21"/>
          <w:szCs w:val="21"/>
        </w:rPr>
        <w:t>10</w:t>
      </w:r>
      <w:r w:rsidRPr="00BD7EE8">
        <w:rPr>
          <w:rFonts w:ascii="SimSun" w:hAnsi="SimSun" w:hint="eastAsia"/>
          <w:sz w:val="21"/>
          <w:szCs w:val="21"/>
        </w:rPr>
        <w:t>日在意大利罗马举行的</w:t>
      </w:r>
      <w:r w:rsidRPr="00BD7EE8">
        <w:rPr>
          <w:rFonts w:ascii="SimSun" w:hAnsi="SimSun"/>
          <w:sz w:val="21"/>
          <w:szCs w:val="21"/>
        </w:rPr>
        <w:t>联合国评价小组（UNEG）评价周。</w:t>
      </w:r>
    </w:p>
    <w:p w:rsidR="000B1486" w:rsidRPr="00BD7EE8" w:rsidRDefault="000B1486" w:rsidP="00BD7EE8">
      <w:pPr>
        <w:pStyle w:val="1"/>
        <w:overflowPunct w:val="0"/>
        <w:spacing w:beforeLines="100" w:before="240" w:afterLines="50" w:after="120" w:line="340" w:lineRule="atLeast"/>
        <w:rPr>
          <w:rFonts w:ascii="SimHei" w:eastAsia="SimHei" w:hAnsi="SimHei"/>
          <w:b w:val="0"/>
          <w:sz w:val="21"/>
          <w:szCs w:val="21"/>
        </w:rPr>
      </w:pPr>
      <w:bookmarkStart w:id="117" w:name="_Toc519241791"/>
      <w:r w:rsidRPr="00BD7EE8">
        <w:rPr>
          <w:rFonts w:ascii="SimHei" w:eastAsia="SimHei" w:hAnsi="SimHei" w:hint="eastAsia"/>
          <w:b w:val="0"/>
          <w:sz w:val="21"/>
          <w:szCs w:val="21"/>
        </w:rPr>
        <w:t>监督司的业务独立性</w:t>
      </w:r>
      <w:bookmarkEnd w:id="117"/>
    </w:p>
    <w:p w:rsidR="000B1486" w:rsidRPr="00BD7EE8" w:rsidRDefault="000B1486" w:rsidP="00BD7EE8">
      <w:pPr>
        <w:pStyle w:val="ONUME"/>
        <w:overflowPunct w:val="0"/>
        <w:spacing w:afterLines="50" w:after="120" w:line="340" w:lineRule="atLeast"/>
        <w:jc w:val="both"/>
        <w:rPr>
          <w:rFonts w:asciiTheme="minorEastAsia" w:eastAsiaTheme="minorEastAsia" w:hAnsiTheme="minorEastAsia"/>
          <w:sz w:val="21"/>
          <w:szCs w:val="21"/>
        </w:rPr>
      </w:pPr>
      <w:r w:rsidRPr="00BD7EE8">
        <w:rPr>
          <w:rFonts w:asciiTheme="minorEastAsia" w:eastAsiaTheme="minorEastAsia" w:hAnsiTheme="minorEastAsia" w:hint="eastAsia"/>
          <w:sz w:val="21"/>
          <w:szCs w:val="21"/>
        </w:rPr>
        <w:t>《</w:t>
      </w:r>
      <w:r w:rsidR="00BD7EE8">
        <w:rPr>
          <w:rFonts w:asciiTheme="minorEastAsia" w:eastAsiaTheme="minorEastAsia" w:hAnsiTheme="minorEastAsia" w:hint="eastAsia"/>
          <w:sz w:val="21"/>
          <w:szCs w:val="21"/>
        </w:rPr>
        <w:t>内部</w:t>
      </w:r>
      <w:r w:rsidRPr="00BD7EE8">
        <w:rPr>
          <w:rFonts w:asciiTheme="minorEastAsia" w:eastAsiaTheme="minorEastAsia" w:hAnsiTheme="minorEastAsia" w:hint="eastAsia"/>
          <w:sz w:val="21"/>
          <w:szCs w:val="21"/>
        </w:rPr>
        <w:t>监督章程》要求</w:t>
      </w:r>
      <w:r w:rsidRPr="00BD7EE8">
        <w:rPr>
          <w:rFonts w:asciiTheme="minorEastAsia" w:eastAsiaTheme="minorEastAsia" w:hAnsiTheme="minorEastAsia"/>
          <w:sz w:val="21"/>
          <w:szCs w:val="21"/>
          <w:vertAlign w:val="superscript"/>
        </w:rPr>
        <w:footnoteReference w:customMarkFollows="1" w:id="12"/>
        <w:t>11</w:t>
      </w:r>
      <w:r w:rsidRPr="00BD7EE8">
        <w:rPr>
          <w:rFonts w:asciiTheme="minorEastAsia" w:eastAsiaTheme="minorEastAsia" w:hAnsiTheme="minorEastAsia" w:hint="eastAsia"/>
          <w:sz w:val="21"/>
          <w:szCs w:val="21"/>
        </w:rPr>
        <w:t>监督司司长确定其业务独立性，并就其活动范围以及分配给内部监督职能的资源是否充分</w:t>
      </w:r>
      <w:proofErr w:type="gramStart"/>
      <w:r w:rsidRPr="00BD7EE8">
        <w:rPr>
          <w:rFonts w:asciiTheme="minorEastAsia" w:eastAsiaTheme="minorEastAsia" w:hAnsiTheme="minorEastAsia" w:hint="eastAsia"/>
          <w:sz w:val="21"/>
          <w:szCs w:val="21"/>
        </w:rPr>
        <w:t>作出</w:t>
      </w:r>
      <w:proofErr w:type="gramEnd"/>
      <w:r w:rsidRPr="00BD7EE8">
        <w:rPr>
          <w:rFonts w:asciiTheme="minorEastAsia" w:eastAsiaTheme="minorEastAsia" w:hAnsiTheme="minorEastAsia" w:hint="eastAsia"/>
          <w:sz w:val="21"/>
          <w:szCs w:val="21"/>
        </w:rPr>
        <w:t>评论意见。</w:t>
      </w:r>
    </w:p>
    <w:p w:rsidR="000B1486" w:rsidRPr="00BD7EE8" w:rsidRDefault="000B1486" w:rsidP="00BD7EE8">
      <w:pPr>
        <w:pStyle w:val="ONUME"/>
        <w:overflowPunct w:val="0"/>
        <w:spacing w:afterLines="50" w:after="120" w:line="340" w:lineRule="atLeast"/>
        <w:jc w:val="both"/>
        <w:rPr>
          <w:rFonts w:asciiTheme="minorEastAsia" w:eastAsiaTheme="minorEastAsia" w:hAnsiTheme="minorEastAsia"/>
          <w:sz w:val="21"/>
          <w:szCs w:val="21"/>
        </w:rPr>
      </w:pPr>
      <w:bookmarkStart w:id="118" w:name="_Toc420663573"/>
      <w:r w:rsidRPr="00BD7EE8">
        <w:rPr>
          <w:rFonts w:asciiTheme="minorEastAsia" w:eastAsiaTheme="minorEastAsia" w:hAnsiTheme="minorEastAsia" w:hint="eastAsia"/>
          <w:sz w:val="21"/>
          <w:szCs w:val="21"/>
        </w:rPr>
        <w:t>在报告所涉期间，没有出现可视为损害监督司业务独立性的事件/活动。监督活动的范围由监督司在收到产权组织管理层、</w:t>
      </w:r>
      <w:proofErr w:type="gramStart"/>
      <w:r w:rsidRPr="00BD7EE8">
        <w:rPr>
          <w:rFonts w:asciiTheme="minorEastAsia" w:eastAsiaTheme="minorEastAsia" w:hAnsiTheme="minorEastAsia" w:hint="eastAsia"/>
          <w:sz w:val="21"/>
          <w:szCs w:val="21"/>
        </w:rPr>
        <w:t>咨</w:t>
      </w:r>
      <w:proofErr w:type="gramEnd"/>
      <w:r w:rsidRPr="00BD7EE8">
        <w:rPr>
          <w:rFonts w:asciiTheme="minorEastAsia" w:eastAsiaTheme="minorEastAsia" w:hAnsiTheme="minorEastAsia" w:hint="eastAsia"/>
          <w:sz w:val="21"/>
          <w:szCs w:val="21"/>
        </w:rPr>
        <w:t>监委和成员国评论和反馈意见时，根据风险评估酌情决定。</w:t>
      </w:r>
      <w:bookmarkStart w:id="119" w:name="OLE_LINK119"/>
      <w:bookmarkStart w:id="120" w:name="OLE_LINK122"/>
      <w:bookmarkEnd w:id="118"/>
    </w:p>
    <w:p w:rsidR="000B1486" w:rsidRPr="00BD7EE8" w:rsidRDefault="000B1486" w:rsidP="00BD7EE8">
      <w:pPr>
        <w:pStyle w:val="1"/>
        <w:overflowPunct w:val="0"/>
        <w:spacing w:beforeLines="100" w:before="240" w:afterLines="50" w:after="120" w:line="340" w:lineRule="atLeast"/>
        <w:rPr>
          <w:rFonts w:ascii="SimHei" w:eastAsia="SimHei" w:hAnsi="SimHei"/>
          <w:b w:val="0"/>
          <w:sz w:val="21"/>
          <w:szCs w:val="21"/>
        </w:rPr>
      </w:pPr>
      <w:bookmarkStart w:id="121" w:name="_Toc519241792"/>
      <w:r w:rsidRPr="00BD7EE8">
        <w:rPr>
          <w:rFonts w:ascii="SimHei" w:eastAsia="SimHei" w:hAnsi="SimHei" w:hint="eastAsia"/>
          <w:b w:val="0"/>
          <w:sz w:val="21"/>
          <w:szCs w:val="21"/>
        </w:rPr>
        <w:t>监督资源</w:t>
      </w:r>
      <w:bookmarkEnd w:id="121"/>
    </w:p>
    <w:p w:rsidR="000B1486" w:rsidRPr="00BD7EE8" w:rsidRDefault="000B1486" w:rsidP="0001114D">
      <w:pPr>
        <w:pStyle w:val="2"/>
        <w:spacing w:before="0" w:afterLines="50" w:after="120" w:line="340" w:lineRule="atLeast"/>
        <w:rPr>
          <w:rFonts w:asciiTheme="minorEastAsia" w:eastAsiaTheme="minorEastAsia" w:hAnsiTheme="minorEastAsia"/>
          <w:b/>
          <w:sz w:val="21"/>
          <w:szCs w:val="21"/>
        </w:rPr>
      </w:pPr>
      <w:r w:rsidRPr="00BD7EE8">
        <w:rPr>
          <w:rFonts w:asciiTheme="minorEastAsia" w:eastAsiaTheme="minorEastAsia" w:hAnsiTheme="minorEastAsia" w:hint="eastAsia"/>
          <w:b/>
          <w:sz w:val="21"/>
          <w:szCs w:val="21"/>
        </w:rPr>
        <w:t>预算和工作人员</w:t>
      </w:r>
    </w:p>
    <w:p w:rsidR="000B1486" w:rsidRPr="009C413B" w:rsidRDefault="000B1486" w:rsidP="000B1486">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为履行其任务，监督司已获得516.3</w:t>
      </w:r>
      <w:proofErr w:type="gramStart"/>
      <w:r w:rsidRPr="009C413B">
        <w:rPr>
          <w:rFonts w:asciiTheme="minorEastAsia" w:eastAsiaTheme="minorEastAsia" w:hAnsiTheme="minorEastAsia" w:hint="eastAsia"/>
          <w:sz w:val="21"/>
          <w:szCs w:val="21"/>
        </w:rPr>
        <w:t>万瑞</w:t>
      </w:r>
      <w:proofErr w:type="gramEnd"/>
      <w:r w:rsidRPr="009C413B">
        <w:rPr>
          <w:rFonts w:asciiTheme="minorEastAsia" w:eastAsiaTheme="minorEastAsia" w:hAnsiTheme="minorEastAsia" w:hint="eastAsia"/>
          <w:sz w:val="21"/>
          <w:szCs w:val="21"/>
        </w:rPr>
        <w:t>郎的预算，占产权组织2016/2017两年期预算的0.73%</w:t>
      </w:r>
      <w:r w:rsidRPr="009C413B">
        <w:rPr>
          <w:rFonts w:asciiTheme="minorEastAsia" w:eastAsiaTheme="minorEastAsia" w:hAnsiTheme="minorEastAsia"/>
          <w:sz w:val="21"/>
          <w:szCs w:val="21"/>
          <w:vertAlign w:val="superscript"/>
        </w:rPr>
        <w:footnoteReference w:customMarkFollows="1" w:id="13"/>
        <w:t>12</w:t>
      </w:r>
      <w:r w:rsidRPr="009C413B">
        <w:rPr>
          <w:rFonts w:asciiTheme="minorEastAsia" w:eastAsiaTheme="minorEastAsia" w:hAnsiTheme="minorEastAsia" w:hint="eastAsia"/>
          <w:sz w:val="21"/>
          <w:szCs w:val="21"/>
        </w:rPr>
        <w:t>。整体上看，目前的人力和财务资源水平已经足以使监督</w:t>
      </w:r>
      <w:proofErr w:type="gramStart"/>
      <w:r w:rsidRPr="009C413B">
        <w:rPr>
          <w:rFonts w:asciiTheme="minorEastAsia" w:eastAsiaTheme="minorEastAsia" w:hAnsiTheme="minorEastAsia" w:hint="eastAsia"/>
          <w:sz w:val="21"/>
          <w:szCs w:val="21"/>
        </w:rPr>
        <w:t>司有效</w:t>
      </w:r>
      <w:proofErr w:type="gramEnd"/>
      <w:r w:rsidRPr="009C413B">
        <w:rPr>
          <w:rFonts w:asciiTheme="minorEastAsia" w:eastAsiaTheme="minorEastAsia" w:hAnsiTheme="minorEastAsia" w:hint="eastAsia"/>
          <w:sz w:val="21"/>
          <w:szCs w:val="21"/>
        </w:rPr>
        <w:t>覆盖其工作计划中确认为高优先程度的领域。与外聘审计员就监督计划的交流和就监督活动的持续协调以及对信息技术（IT）工具的有效使用，也有助于实现更高的效率和更有效的风险范围覆盖。</w:t>
      </w:r>
    </w:p>
    <w:p w:rsidR="000B1486" w:rsidRPr="009C413B" w:rsidRDefault="000B1486" w:rsidP="009C413B">
      <w:pPr>
        <w:pStyle w:val="af6"/>
        <w:keepNext/>
        <w:keepLines/>
        <w:spacing w:before="0" w:beforeAutospacing="0" w:afterLines="50" w:after="120" w:afterAutospacing="0"/>
        <w:jc w:val="center"/>
        <w:rPr>
          <w:rFonts w:ascii="SimSun" w:eastAsia="SimSun" w:hAnsi="SimSun"/>
          <w:b/>
          <w:bCs/>
          <w:lang w:eastAsia="zh-CN"/>
        </w:rPr>
      </w:pPr>
      <w:r w:rsidRPr="00CC5992">
        <w:rPr>
          <w:rFonts w:ascii="SimSun" w:eastAsia="SimSun" w:hAnsi="SimSun" w:cs="Lantinghei TC Heavy"/>
          <w:b/>
          <w:bCs/>
          <w:lang w:eastAsia="zh-CN"/>
        </w:rPr>
        <w:t>表</w:t>
      </w:r>
      <w:r w:rsidRPr="00CC5992">
        <w:rPr>
          <w:rFonts w:ascii="SimSun" w:eastAsia="SimSun" w:hAnsi="SimSun" w:hint="eastAsia"/>
          <w:b/>
          <w:bCs/>
          <w:lang w:eastAsia="zh-CN"/>
        </w:rPr>
        <w:t>3</w:t>
      </w:r>
      <w:bookmarkStart w:id="122" w:name="OLE_LINK482"/>
      <w:r w:rsidRPr="00CC5992">
        <w:rPr>
          <w:rFonts w:ascii="SimSun" w:eastAsia="SimSun" w:hAnsi="SimSun" w:hint="eastAsia"/>
          <w:b/>
          <w:bCs/>
          <w:lang w:eastAsia="zh-CN"/>
        </w:rPr>
        <w:t xml:space="preserve"> </w:t>
      </w:r>
      <w:r w:rsidRPr="00CC5992">
        <w:rPr>
          <w:rFonts w:ascii="SimSun" w:eastAsia="SimSun" w:hAnsi="SimSun"/>
          <w:b/>
          <w:lang w:eastAsia="zh-CN"/>
        </w:rPr>
        <w:t>–</w:t>
      </w:r>
      <w:bookmarkEnd w:id="122"/>
      <w:r w:rsidRPr="00CC5992">
        <w:rPr>
          <w:rFonts w:ascii="SimSun" w:eastAsia="SimSun" w:hAnsi="SimSun" w:hint="eastAsia"/>
          <w:b/>
          <w:lang w:eastAsia="zh-CN"/>
        </w:rPr>
        <w:t xml:space="preserve"> </w:t>
      </w:r>
      <w:r w:rsidRPr="00CC5992">
        <w:rPr>
          <w:rFonts w:ascii="SimSun" w:eastAsia="SimSun" w:hAnsi="SimSun" w:cs="Lantinghei TC Heavy" w:hint="eastAsia"/>
          <w:b/>
          <w:bCs/>
          <w:lang w:eastAsia="zh-CN"/>
        </w:rPr>
        <w:t>2016/2017年</w:t>
      </w:r>
      <w:r w:rsidRPr="00CC5992">
        <w:rPr>
          <w:rFonts w:ascii="SimSun" w:eastAsia="SimSun" w:hAnsi="SimSun" w:cs="Lantinghei SC Extralight"/>
          <w:b/>
          <w:bCs/>
          <w:lang w:eastAsia="zh-CN"/>
        </w:rPr>
        <w:t>监</w:t>
      </w:r>
      <w:r w:rsidRPr="00CC5992">
        <w:rPr>
          <w:rFonts w:ascii="SimSun" w:eastAsia="SimSun" w:hAnsi="SimSun" w:cs="Lantinghei TC Heavy" w:hint="eastAsia"/>
          <w:b/>
          <w:bCs/>
          <w:lang w:eastAsia="zh-CN"/>
        </w:rPr>
        <w:t>督司的</w:t>
      </w:r>
      <w:r w:rsidRPr="00CC5992">
        <w:rPr>
          <w:rFonts w:ascii="SimSun" w:eastAsia="SimSun" w:hAnsi="SimSun" w:cs="Lantinghei SC Extralight"/>
          <w:b/>
          <w:bCs/>
          <w:lang w:eastAsia="zh-CN"/>
        </w:rPr>
        <w:t>预</w:t>
      </w:r>
      <w:r w:rsidRPr="00CC5992">
        <w:rPr>
          <w:rFonts w:ascii="SimSun" w:eastAsia="SimSun" w:hAnsi="SimSun" w:cs="Lantinghei TC Heavy" w:hint="eastAsia"/>
          <w:b/>
          <w:bCs/>
          <w:lang w:eastAsia="zh-CN"/>
        </w:rPr>
        <w:t>算和支出</w:t>
      </w:r>
      <w:r w:rsidRPr="00CC5992">
        <w:rPr>
          <w:rStyle w:val="af"/>
          <w:rFonts w:ascii="SimSun" w:eastAsia="SimSun" w:hAnsi="SimSun"/>
          <w:b/>
          <w:bCs/>
          <w:lang w:eastAsia="zh-CN"/>
        </w:rPr>
        <w:footnoteReference w:customMarkFollows="1" w:id="14"/>
        <w:t>13</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38"/>
        <w:gridCol w:w="1438"/>
        <w:gridCol w:w="1438"/>
        <w:gridCol w:w="1438"/>
      </w:tblGrid>
      <w:tr w:rsidR="000B1486" w:rsidRPr="00CC5992" w:rsidTr="000B1486">
        <w:trPr>
          <w:trHeight w:val="720"/>
          <w:jc w:val="center"/>
        </w:trPr>
        <w:tc>
          <w:tcPr>
            <w:tcW w:w="2470" w:type="dxa"/>
            <w:shd w:val="clear" w:color="000000" w:fill="CCFFFF"/>
            <w:noWrap/>
            <w:vAlign w:val="center"/>
            <w:hideMark/>
          </w:tcPr>
          <w:p w:rsidR="000B1486" w:rsidRPr="00CC5992" w:rsidRDefault="000B1486" w:rsidP="000B1486">
            <w:pPr>
              <w:rPr>
                <w:rFonts w:ascii="SimSun" w:hAnsi="SimSun"/>
                <w:color w:val="000000"/>
                <w:sz w:val="16"/>
                <w:szCs w:val="16"/>
              </w:rPr>
            </w:pPr>
          </w:p>
        </w:tc>
        <w:tc>
          <w:tcPr>
            <w:tcW w:w="1438" w:type="dxa"/>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2016/17</w:t>
            </w:r>
            <w:r w:rsidRPr="00CC5992">
              <w:rPr>
                <w:rFonts w:ascii="SimSun" w:hAnsi="SimSun" w:hint="eastAsia"/>
                <w:b/>
                <w:bCs/>
                <w:color w:val="000000"/>
                <w:sz w:val="16"/>
                <w:szCs w:val="16"/>
              </w:rPr>
              <w:t>年</w:t>
            </w:r>
          </w:p>
          <w:p w:rsidR="000B1486" w:rsidRPr="00CC5992" w:rsidRDefault="000B1486" w:rsidP="000B1486">
            <w:pPr>
              <w:jc w:val="center"/>
              <w:rPr>
                <w:rFonts w:ascii="SimSun" w:hAnsi="SimSun"/>
                <w:b/>
                <w:bCs/>
                <w:color w:val="000000"/>
                <w:sz w:val="16"/>
                <w:szCs w:val="16"/>
              </w:rPr>
            </w:pPr>
            <w:r w:rsidRPr="00CC5992">
              <w:rPr>
                <w:rFonts w:ascii="SimSun" w:hAnsi="SimSun" w:hint="eastAsia"/>
                <w:b/>
                <w:bCs/>
                <w:color w:val="000000"/>
                <w:sz w:val="16"/>
                <w:szCs w:val="16"/>
              </w:rPr>
              <w:t>核定预算</w:t>
            </w:r>
          </w:p>
        </w:tc>
        <w:tc>
          <w:tcPr>
            <w:tcW w:w="1438" w:type="dxa"/>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2016</w:t>
            </w:r>
            <w:r w:rsidRPr="00CC5992">
              <w:rPr>
                <w:rFonts w:ascii="SimSun" w:hAnsi="SimSun" w:hint="eastAsia"/>
                <w:b/>
                <w:bCs/>
                <w:color w:val="000000"/>
                <w:sz w:val="16"/>
                <w:szCs w:val="16"/>
              </w:rPr>
              <w:t>/</w:t>
            </w:r>
            <w:r w:rsidRPr="00CC5992">
              <w:rPr>
                <w:rFonts w:ascii="SimSun" w:hAnsi="SimSun"/>
                <w:b/>
                <w:bCs/>
                <w:color w:val="000000"/>
                <w:sz w:val="16"/>
                <w:szCs w:val="16"/>
              </w:rPr>
              <w:t>17</w:t>
            </w:r>
            <w:r w:rsidRPr="00CC5992">
              <w:rPr>
                <w:rFonts w:ascii="SimSun" w:hAnsi="SimSun" w:hint="eastAsia"/>
                <w:b/>
                <w:bCs/>
                <w:color w:val="000000"/>
                <w:sz w:val="16"/>
                <w:szCs w:val="16"/>
              </w:rPr>
              <w:t>年</w:t>
            </w:r>
          </w:p>
          <w:p w:rsidR="000B1486" w:rsidRPr="00CC5992" w:rsidRDefault="000B1486" w:rsidP="000B1486">
            <w:pPr>
              <w:jc w:val="center"/>
              <w:rPr>
                <w:rFonts w:ascii="SimSun" w:hAnsi="SimSun"/>
                <w:b/>
                <w:bCs/>
                <w:color w:val="000000"/>
                <w:sz w:val="16"/>
                <w:szCs w:val="16"/>
              </w:rPr>
            </w:pPr>
            <w:r w:rsidRPr="00CC5992">
              <w:rPr>
                <w:rFonts w:ascii="SimSun" w:hAnsi="SimSun" w:hint="eastAsia"/>
                <w:b/>
                <w:bCs/>
                <w:color w:val="000000"/>
                <w:sz w:val="16"/>
                <w:szCs w:val="16"/>
              </w:rPr>
              <w:t>调剂使用</w:t>
            </w:r>
            <w:proofErr w:type="gramStart"/>
            <w:r w:rsidRPr="00CC5992">
              <w:rPr>
                <w:rFonts w:ascii="SimSun" w:hAnsi="SimSun" w:hint="eastAsia"/>
                <w:b/>
                <w:bCs/>
                <w:color w:val="000000"/>
                <w:sz w:val="16"/>
                <w:szCs w:val="16"/>
              </w:rPr>
              <w:t>后预算</w:t>
            </w:r>
            <w:proofErr w:type="gramEnd"/>
          </w:p>
        </w:tc>
        <w:tc>
          <w:tcPr>
            <w:tcW w:w="1438" w:type="dxa"/>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2016/17</w:t>
            </w:r>
            <w:r w:rsidRPr="00CC5992">
              <w:rPr>
                <w:rFonts w:ascii="SimSun" w:hAnsi="SimSun" w:hint="eastAsia"/>
                <w:b/>
                <w:bCs/>
                <w:color w:val="000000"/>
                <w:sz w:val="16"/>
                <w:szCs w:val="16"/>
              </w:rPr>
              <w:t>年支出</w:t>
            </w:r>
            <w:r w:rsidRPr="00CC5992">
              <w:rPr>
                <w:rFonts w:ascii="SimSun" w:hAnsi="SimSun"/>
                <w:b/>
                <w:bCs/>
                <w:color w:val="000000"/>
                <w:sz w:val="16"/>
                <w:szCs w:val="16"/>
              </w:rPr>
              <w:t>*</w:t>
            </w:r>
          </w:p>
        </w:tc>
        <w:tc>
          <w:tcPr>
            <w:tcW w:w="1438" w:type="dxa"/>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hint="eastAsia"/>
                <w:b/>
                <w:bCs/>
                <w:color w:val="000000"/>
                <w:sz w:val="16"/>
                <w:szCs w:val="16"/>
              </w:rPr>
              <w:t>使用率</w:t>
            </w:r>
            <w:r w:rsidRPr="00CC5992">
              <w:rPr>
                <w:rFonts w:ascii="SimSun" w:hAnsi="SimSun"/>
                <w:b/>
                <w:bCs/>
                <w:color w:val="000000"/>
                <w:sz w:val="16"/>
                <w:szCs w:val="16"/>
              </w:rPr>
              <w:t>(%)</w:t>
            </w:r>
          </w:p>
        </w:tc>
      </w:tr>
      <w:tr w:rsidR="000B1486" w:rsidRPr="00CC5992" w:rsidTr="000B1486">
        <w:trPr>
          <w:trHeight w:val="315"/>
          <w:jc w:val="center"/>
        </w:trPr>
        <w:tc>
          <w:tcPr>
            <w:tcW w:w="2470" w:type="dxa"/>
            <w:shd w:val="clear" w:color="auto" w:fill="auto"/>
            <w:noWrap/>
            <w:vAlign w:val="center"/>
            <w:hideMark/>
          </w:tcPr>
          <w:p w:rsidR="000B1486" w:rsidRPr="00CC5992" w:rsidRDefault="000B1486" w:rsidP="000B1486">
            <w:pPr>
              <w:rPr>
                <w:rFonts w:ascii="SimSun" w:hAnsi="SimSun"/>
                <w:color w:val="000000"/>
                <w:sz w:val="16"/>
                <w:szCs w:val="16"/>
              </w:rPr>
            </w:pPr>
            <w:r w:rsidRPr="00CC5992">
              <w:rPr>
                <w:rFonts w:ascii="SimSun" w:hAnsi="SimSun" w:hint="eastAsia"/>
                <w:color w:val="000000"/>
                <w:sz w:val="16"/>
                <w:szCs w:val="16"/>
              </w:rPr>
              <w:t>人事费</w:t>
            </w:r>
          </w:p>
        </w:tc>
        <w:tc>
          <w:tcPr>
            <w:tcW w:w="1438" w:type="dxa"/>
            <w:shd w:val="clear" w:color="auto" w:fill="auto"/>
            <w:vAlign w:val="center"/>
            <w:hideMark/>
          </w:tcPr>
          <w:p w:rsidR="000B1486" w:rsidRPr="00CC5992" w:rsidRDefault="009C413B" w:rsidP="000B1486">
            <w:pPr>
              <w:jc w:val="center"/>
              <w:rPr>
                <w:rFonts w:ascii="SimSun" w:hAnsi="SimSun"/>
                <w:color w:val="000000"/>
                <w:sz w:val="16"/>
                <w:szCs w:val="16"/>
              </w:rPr>
            </w:pPr>
            <w:r>
              <w:rPr>
                <w:rFonts w:ascii="SimSun" w:hAnsi="SimSun"/>
                <w:color w:val="000000"/>
                <w:sz w:val="16"/>
                <w:szCs w:val="16"/>
              </w:rPr>
              <w:t>4,658</w:t>
            </w:r>
          </w:p>
        </w:tc>
        <w:tc>
          <w:tcPr>
            <w:tcW w:w="1438" w:type="dxa"/>
            <w:shd w:val="clear" w:color="auto" w:fill="auto"/>
            <w:vAlign w:val="center"/>
            <w:hideMark/>
          </w:tcPr>
          <w:p w:rsidR="000B1486" w:rsidRPr="00CC5992" w:rsidRDefault="009C413B" w:rsidP="000B1486">
            <w:pPr>
              <w:jc w:val="center"/>
              <w:rPr>
                <w:rFonts w:ascii="SimSun" w:hAnsi="SimSun"/>
                <w:color w:val="000000"/>
                <w:sz w:val="16"/>
                <w:szCs w:val="16"/>
              </w:rPr>
            </w:pPr>
            <w:r>
              <w:rPr>
                <w:rFonts w:ascii="SimSun" w:hAnsi="SimSun"/>
                <w:color w:val="000000"/>
                <w:sz w:val="16"/>
                <w:szCs w:val="16"/>
              </w:rPr>
              <w:t>4,429</w:t>
            </w:r>
          </w:p>
        </w:tc>
        <w:tc>
          <w:tcPr>
            <w:tcW w:w="1438" w:type="dxa"/>
            <w:shd w:val="clear" w:color="auto" w:fill="auto"/>
            <w:vAlign w:val="center"/>
            <w:hideMark/>
          </w:tcPr>
          <w:p w:rsidR="000B1486" w:rsidRPr="00CC5992" w:rsidRDefault="000B1486" w:rsidP="000B1486">
            <w:pPr>
              <w:jc w:val="center"/>
              <w:rPr>
                <w:rFonts w:ascii="SimSun" w:hAnsi="SimSun"/>
                <w:color w:val="000000"/>
                <w:sz w:val="16"/>
                <w:szCs w:val="16"/>
              </w:rPr>
            </w:pPr>
            <w:r w:rsidRPr="00CC5992">
              <w:rPr>
                <w:rFonts w:ascii="SimSun" w:hAnsi="SimSun"/>
                <w:color w:val="000000"/>
                <w:sz w:val="16"/>
                <w:szCs w:val="16"/>
              </w:rPr>
              <w:t>4,239</w:t>
            </w:r>
          </w:p>
        </w:tc>
        <w:tc>
          <w:tcPr>
            <w:tcW w:w="1438" w:type="dxa"/>
            <w:shd w:val="clear" w:color="auto" w:fill="auto"/>
            <w:vAlign w:val="center"/>
            <w:hideMark/>
          </w:tcPr>
          <w:p w:rsidR="000B1486" w:rsidRPr="00CC5992" w:rsidRDefault="000B1486" w:rsidP="000B1486">
            <w:pPr>
              <w:jc w:val="center"/>
              <w:rPr>
                <w:rFonts w:ascii="SimSun" w:hAnsi="SimSun"/>
                <w:color w:val="000000"/>
                <w:sz w:val="16"/>
                <w:szCs w:val="16"/>
              </w:rPr>
            </w:pPr>
            <w:r w:rsidRPr="00CC5992">
              <w:rPr>
                <w:rFonts w:ascii="SimSun" w:hAnsi="SimSun"/>
                <w:color w:val="000000"/>
                <w:sz w:val="16"/>
                <w:szCs w:val="16"/>
              </w:rPr>
              <w:t>96%</w:t>
            </w:r>
          </w:p>
        </w:tc>
      </w:tr>
      <w:tr w:rsidR="000B1486" w:rsidRPr="00CC5992" w:rsidTr="000B1486">
        <w:trPr>
          <w:trHeight w:val="315"/>
          <w:jc w:val="center"/>
        </w:trPr>
        <w:tc>
          <w:tcPr>
            <w:tcW w:w="2470" w:type="dxa"/>
            <w:tcBorders>
              <w:bottom w:val="single" w:sz="4" w:space="0" w:color="auto"/>
            </w:tcBorders>
            <w:shd w:val="clear" w:color="auto" w:fill="auto"/>
            <w:noWrap/>
            <w:vAlign w:val="center"/>
            <w:hideMark/>
          </w:tcPr>
          <w:p w:rsidR="000B1486" w:rsidRPr="00CC5992" w:rsidRDefault="000B1486" w:rsidP="000B1486">
            <w:pPr>
              <w:rPr>
                <w:rFonts w:ascii="SimSun" w:hAnsi="SimSun"/>
                <w:color w:val="000000"/>
                <w:sz w:val="16"/>
                <w:szCs w:val="16"/>
              </w:rPr>
            </w:pPr>
            <w:r w:rsidRPr="00CC5992">
              <w:rPr>
                <w:rFonts w:ascii="SimSun" w:hAnsi="SimSun" w:hint="eastAsia"/>
                <w:color w:val="000000"/>
                <w:sz w:val="16"/>
                <w:szCs w:val="16"/>
              </w:rPr>
              <w:t>非人事费</w:t>
            </w:r>
          </w:p>
        </w:tc>
        <w:tc>
          <w:tcPr>
            <w:tcW w:w="1438" w:type="dxa"/>
            <w:tcBorders>
              <w:bottom w:val="single" w:sz="4" w:space="0" w:color="auto"/>
            </w:tcBorders>
            <w:shd w:val="clear" w:color="auto" w:fill="auto"/>
            <w:vAlign w:val="center"/>
            <w:hideMark/>
          </w:tcPr>
          <w:p w:rsidR="000B1486" w:rsidRPr="00CC5992" w:rsidRDefault="009C413B" w:rsidP="000B1486">
            <w:pPr>
              <w:jc w:val="center"/>
              <w:rPr>
                <w:rFonts w:ascii="SimSun" w:hAnsi="SimSun"/>
                <w:color w:val="000000"/>
                <w:sz w:val="16"/>
                <w:szCs w:val="16"/>
              </w:rPr>
            </w:pPr>
            <w:r>
              <w:rPr>
                <w:rFonts w:ascii="SimSun" w:hAnsi="SimSun"/>
                <w:color w:val="000000"/>
                <w:sz w:val="16"/>
                <w:szCs w:val="16"/>
              </w:rPr>
              <w:t>700</w:t>
            </w:r>
          </w:p>
        </w:tc>
        <w:tc>
          <w:tcPr>
            <w:tcW w:w="1438" w:type="dxa"/>
            <w:tcBorders>
              <w:bottom w:val="single" w:sz="4" w:space="0" w:color="auto"/>
            </w:tcBorders>
            <w:shd w:val="clear" w:color="auto" w:fill="auto"/>
            <w:vAlign w:val="center"/>
            <w:hideMark/>
          </w:tcPr>
          <w:p w:rsidR="000B1486" w:rsidRPr="00CC5992" w:rsidRDefault="000B1486" w:rsidP="000B1486">
            <w:pPr>
              <w:jc w:val="center"/>
              <w:rPr>
                <w:rFonts w:ascii="SimSun" w:hAnsi="SimSun"/>
                <w:color w:val="000000"/>
                <w:sz w:val="16"/>
                <w:szCs w:val="16"/>
              </w:rPr>
            </w:pPr>
            <w:r w:rsidRPr="00CC5992">
              <w:rPr>
                <w:rFonts w:ascii="SimSun" w:hAnsi="SimSun"/>
                <w:color w:val="000000"/>
                <w:sz w:val="16"/>
                <w:szCs w:val="16"/>
              </w:rPr>
              <w:t>734</w:t>
            </w:r>
          </w:p>
        </w:tc>
        <w:tc>
          <w:tcPr>
            <w:tcW w:w="1438" w:type="dxa"/>
            <w:tcBorders>
              <w:bottom w:val="single" w:sz="4" w:space="0" w:color="auto"/>
            </w:tcBorders>
            <w:shd w:val="clear" w:color="auto" w:fill="auto"/>
            <w:vAlign w:val="center"/>
            <w:hideMark/>
          </w:tcPr>
          <w:p w:rsidR="000B1486" w:rsidRPr="00CC5992" w:rsidRDefault="000B1486" w:rsidP="000B1486">
            <w:pPr>
              <w:jc w:val="center"/>
              <w:rPr>
                <w:rFonts w:ascii="SimSun" w:hAnsi="SimSun"/>
                <w:color w:val="000000"/>
                <w:sz w:val="16"/>
                <w:szCs w:val="16"/>
              </w:rPr>
            </w:pPr>
            <w:r w:rsidRPr="00CC5992">
              <w:rPr>
                <w:rFonts w:ascii="SimSun" w:hAnsi="SimSun"/>
                <w:color w:val="000000"/>
                <w:sz w:val="16"/>
                <w:szCs w:val="16"/>
              </w:rPr>
              <w:t>543</w:t>
            </w:r>
          </w:p>
        </w:tc>
        <w:tc>
          <w:tcPr>
            <w:tcW w:w="1438" w:type="dxa"/>
            <w:tcBorders>
              <w:bottom w:val="single" w:sz="4" w:space="0" w:color="auto"/>
            </w:tcBorders>
            <w:shd w:val="clear" w:color="auto" w:fill="auto"/>
            <w:vAlign w:val="center"/>
            <w:hideMark/>
          </w:tcPr>
          <w:p w:rsidR="000B1486" w:rsidRPr="00CC5992" w:rsidRDefault="000B1486" w:rsidP="000B1486">
            <w:pPr>
              <w:jc w:val="center"/>
              <w:rPr>
                <w:rFonts w:ascii="SimSun" w:hAnsi="SimSun"/>
                <w:color w:val="000000"/>
                <w:sz w:val="16"/>
                <w:szCs w:val="16"/>
              </w:rPr>
            </w:pPr>
            <w:r w:rsidRPr="00CC5992">
              <w:rPr>
                <w:rFonts w:ascii="SimSun" w:hAnsi="SimSun"/>
                <w:color w:val="000000"/>
                <w:sz w:val="16"/>
                <w:szCs w:val="16"/>
              </w:rPr>
              <w:t>74%</w:t>
            </w:r>
          </w:p>
        </w:tc>
      </w:tr>
      <w:tr w:rsidR="000B1486" w:rsidRPr="00CC5992" w:rsidTr="000B1486">
        <w:trPr>
          <w:trHeight w:val="225"/>
          <w:jc w:val="center"/>
        </w:trPr>
        <w:tc>
          <w:tcPr>
            <w:tcW w:w="2470" w:type="dxa"/>
            <w:tcBorders>
              <w:bottom w:val="single" w:sz="4" w:space="0" w:color="auto"/>
            </w:tcBorders>
            <w:shd w:val="clear" w:color="000000" w:fill="CCFFFF"/>
            <w:noWrap/>
            <w:vAlign w:val="center"/>
            <w:hideMark/>
          </w:tcPr>
          <w:p w:rsidR="000B1486" w:rsidRPr="00CC5992" w:rsidRDefault="000B1486" w:rsidP="000B1486">
            <w:pPr>
              <w:jc w:val="right"/>
              <w:rPr>
                <w:rFonts w:ascii="SimSun" w:hAnsi="SimSun"/>
                <w:b/>
                <w:bCs/>
                <w:color w:val="000000"/>
                <w:sz w:val="16"/>
                <w:szCs w:val="16"/>
              </w:rPr>
            </w:pPr>
            <w:r w:rsidRPr="00CC5992">
              <w:rPr>
                <w:rFonts w:ascii="SimSun" w:hAnsi="SimSun"/>
                <w:b/>
                <w:bCs/>
                <w:color w:val="000000"/>
                <w:sz w:val="16"/>
                <w:szCs w:val="16"/>
              </w:rPr>
              <w:t xml:space="preserve"> </w:t>
            </w:r>
            <w:r w:rsidRPr="00CC5992">
              <w:rPr>
                <w:rFonts w:ascii="SimSun" w:hAnsi="SimSun" w:hint="eastAsia"/>
                <w:b/>
                <w:bCs/>
                <w:color w:val="000000"/>
                <w:sz w:val="16"/>
                <w:szCs w:val="16"/>
              </w:rPr>
              <w:t>总计</w:t>
            </w:r>
            <w:r w:rsidRPr="00CC5992">
              <w:rPr>
                <w:rFonts w:ascii="SimSun" w:hAnsi="SimSun"/>
                <w:b/>
                <w:bCs/>
                <w:color w:val="000000"/>
                <w:sz w:val="16"/>
                <w:szCs w:val="16"/>
              </w:rPr>
              <w:t xml:space="preserve"> </w:t>
            </w:r>
          </w:p>
        </w:tc>
        <w:tc>
          <w:tcPr>
            <w:tcW w:w="1438" w:type="dxa"/>
            <w:tcBorders>
              <w:bottom w:val="single" w:sz="4" w:space="0" w:color="auto"/>
            </w:tcBorders>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 xml:space="preserve">5,358 </w:t>
            </w:r>
          </w:p>
        </w:tc>
        <w:tc>
          <w:tcPr>
            <w:tcW w:w="1438" w:type="dxa"/>
            <w:tcBorders>
              <w:bottom w:val="single" w:sz="4" w:space="0" w:color="auto"/>
            </w:tcBorders>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5,163</w:t>
            </w:r>
          </w:p>
        </w:tc>
        <w:tc>
          <w:tcPr>
            <w:tcW w:w="1438" w:type="dxa"/>
            <w:tcBorders>
              <w:bottom w:val="single" w:sz="4" w:space="0" w:color="auto"/>
            </w:tcBorders>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 xml:space="preserve">4,781 </w:t>
            </w:r>
          </w:p>
        </w:tc>
        <w:tc>
          <w:tcPr>
            <w:tcW w:w="1438" w:type="dxa"/>
            <w:tcBorders>
              <w:bottom w:val="single" w:sz="4" w:space="0" w:color="auto"/>
            </w:tcBorders>
            <w:shd w:val="clear" w:color="000000" w:fill="CCFFFF"/>
            <w:vAlign w:val="center"/>
            <w:hideMark/>
          </w:tcPr>
          <w:p w:rsidR="000B1486" w:rsidRPr="00CC5992" w:rsidRDefault="000B1486" w:rsidP="000B1486">
            <w:pPr>
              <w:jc w:val="center"/>
              <w:rPr>
                <w:rFonts w:ascii="SimSun" w:hAnsi="SimSun"/>
                <w:b/>
                <w:bCs/>
                <w:color w:val="000000"/>
                <w:sz w:val="16"/>
                <w:szCs w:val="16"/>
              </w:rPr>
            </w:pPr>
            <w:r w:rsidRPr="00CC5992">
              <w:rPr>
                <w:rFonts w:ascii="SimSun" w:hAnsi="SimSun"/>
                <w:b/>
                <w:bCs/>
                <w:color w:val="000000"/>
                <w:sz w:val="16"/>
                <w:szCs w:val="16"/>
              </w:rPr>
              <w:t>93%</w:t>
            </w:r>
          </w:p>
        </w:tc>
      </w:tr>
    </w:tbl>
    <w:p w:rsidR="000B1486" w:rsidRPr="009C413B" w:rsidRDefault="000B1486" w:rsidP="009C413B">
      <w:pPr>
        <w:pStyle w:val="ONUME"/>
        <w:overflowPunct w:val="0"/>
        <w:spacing w:beforeLines="50" w:before="120" w:afterLines="50" w:after="120" w:line="340" w:lineRule="atLeast"/>
        <w:jc w:val="both"/>
        <w:rPr>
          <w:rFonts w:asciiTheme="minorEastAsia" w:eastAsiaTheme="minorEastAsia" w:hAnsiTheme="minorEastAsia"/>
          <w:sz w:val="21"/>
          <w:szCs w:val="21"/>
        </w:rPr>
      </w:pPr>
      <w:proofErr w:type="gramStart"/>
      <w:r w:rsidRPr="009C413B">
        <w:rPr>
          <w:rFonts w:asciiTheme="minorEastAsia" w:eastAsiaTheme="minorEastAsia" w:hAnsiTheme="minorEastAsia" w:hint="eastAsia"/>
          <w:sz w:val="21"/>
          <w:szCs w:val="21"/>
        </w:rPr>
        <w:t>评价科</w:t>
      </w:r>
      <w:proofErr w:type="gramEnd"/>
      <w:r w:rsidRPr="009C413B">
        <w:rPr>
          <w:rFonts w:asciiTheme="minorEastAsia" w:eastAsiaTheme="minorEastAsia" w:hAnsiTheme="minorEastAsia" w:hint="eastAsia"/>
          <w:sz w:val="21"/>
          <w:szCs w:val="21"/>
        </w:rPr>
        <w:t>科长的征聘工作已经完成，选定人员于2017年9月1日就职。</w:t>
      </w:r>
    </w:p>
    <w:p w:rsidR="000B1486" w:rsidRPr="009C413B" w:rsidRDefault="000B1486" w:rsidP="009C413B">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P5级内部审计科科长的征聘工作仍在进行中。</w:t>
      </w:r>
    </w:p>
    <w:p w:rsidR="000B1486" w:rsidRPr="009C413B" w:rsidRDefault="000B1486" w:rsidP="009C413B">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P3级临时调查员的选拔工作已经完成，获选人于2018年4月1日加入了监督司。</w:t>
      </w:r>
    </w:p>
    <w:p w:rsidR="000B1486" w:rsidRPr="009C413B" w:rsidRDefault="000B1486" w:rsidP="009C413B">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正在进行P4级高级调查员职位的征聘工作。</w:t>
      </w:r>
    </w:p>
    <w:p w:rsidR="000B1486" w:rsidRPr="009C413B" w:rsidRDefault="000B1486" w:rsidP="009C413B">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正在征聘一名P3级临时评价干事，以取代2018年5月合同到期的前任岗位人员，目前征聘程序正处于初级阶段。</w:t>
      </w:r>
    </w:p>
    <w:p w:rsidR="000B1486" w:rsidRPr="009C413B" w:rsidRDefault="000B1486" w:rsidP="009C413B">
      <w:pPr>
        <w:pStyle w:val="2"/>
        <w:spacing w:before="0" w:afterLines="50" w:after="120" w:line="340" w:lineRule="atLeast"/>
        <w:rPr>
          <w:rFonts w:asciiTheme="minorEastAsia" w:eastAsiaTheme="minorEastAsia" w:hAnsiTheme="minorEastAsia"/>
          <w:b/>
          <w:sz w:val="21"/>
          <w:szCs w:val="21"/>
        </w:rPr>
      </w:pPr>
      <w:r w:rsidRPr="009C413B">
        <w:rPr>
          <w:rFonts w:asciiTheme="minorEastAsia" w:eastAsiaTheme="minorEastAsia" w:hAnsiTheme="minorEastAsia" w:hint="eastAsia"/>
          <w:b/>
          <w:sz w:val="21"/>
          <w:szCs w:val="21"/>
        </w:rPr>
        <w:t>培</w:t>
      </w:r>
      <w:r w:rsidR="009C413B">
        <w:rPr>
          <w:rFonts w:asciiTheme="minorEastAsia" w:eastAsiaTheme="minorEastAsia" w:hAnsiTheme="minorEastAsia" w:hint="eastAsia"/>
          <w:b/>
          <w:sz w:val="21"/>
          <w:szCs w:val="21"/>
        </w:rPr>
        <w:t xml:space="preserve">　</w:t>
      </w:r>
      <w:r w:rsidRPr="009C413B">
        <w:rPr>
          <w:rFonts w:asciiTheme="minorEastAsia" w:eastAsiaTheme="minorEastAsia" w:hAnsiTheme="minorEastAsia" w:hint="eastAsia"/>
          <w:b/>
          <w:sz w:val="21"/>
          <w:szCs w:val="21"/>
        </w:rPr>
        <w:t>训</w:t>
      </w:r>
    </w:p>
    <w:p w:rsidR="000B1486" w:rsidRPr="009C413B" w:rsidRDefault="000B1486" w:rsidP="009C413B">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作为工作人员持续实现职业发展的必要，并且根据产权组织的培训政策，监督司工作人员参加各种培训活动，以获得新的知识、技术技能和其他能力，从而提高监督</w:t>
      </w:r>
      <w:proofErr w:type="gramStart"/>
      <w:r w:rsidRPr="009C413B">
        <w:rPr>
          <w:rFonts w:asciiTheme="minorEastAsia" w:eastAsiaTheme="minorEastAsia" w:hAnsiTheme="minorEastAsia" w:hint="eastAsia"/>
          <w:sz w:val="21"/>
          <w:szCs w:val="21"/>
        </w:rPr>
        <w:t>司开展</w:t>
      </w:r>
      <w:proofErr w:type="gramEnd"/>
      <w:r w:rsidRPr="009C413B">
        <w:rPr>
          <w:rFonts w:asciiTheme="minorEastAsia" w:eastAsiaTheme="minorEastAsia" w:hAnsiTheme="minorEastAsia" w:hint="eastAsia"/>
          <w:sz w:val="21"/>
          <w:szCs w:val="21"/>
        </w:rPr>
        <w:t>监督工作的业务效力和效率。</w:t>
      </w:r>
    </w:p>
    <w:p w:rsidR="006B3946" w:rsidRDefault="000B1486" w:rsidP="00BC1221">
      <w:pPr>
        <w:pStyle w:val="ONUME"/>
        <w:overflowPunct w:val="0"/>
        <w:spacing w:afterLines="50" w:after="120" w:line="340" w:lineRule="atLeast"/>
        <w:jc w:val="both"/>
        <w:rPr>
          <w:rFonts w:asciiTheme="minorEastAsia" w:eastAsiaTheme="minorEastAsia" w:hAnsiTheme="minorEastAsia"/>
          <w:sz w:val="21"/>
          <w:szCs w:val="21"/>
        </w:rPr>
      </w:pPr>
      <w:r w:rsidRPr="009C413B">
        <w:rPr>
          <w:rFonts w:asciiTheme="minorEastAsia" w:eastAsiaTheme="minorEastAsia" w:hAnsiTheme="minorEastAsia" w:hint="eastAsia"/>
          <w:sz w:val="21"/>
          <w:szCs w:val="21"/>
        </w:rPr>
        <w:t>监督司工作人员平均每人参加10天培训，包括：欺诈预防和检测、调查性研究技巧、数据分析、</w:t>
      </w:r>
      <w:proofErr w:type="spellStart"/>
      <w:r w:rsidRPr="009C413B">
        <w:rPr>
          <w:rFonts w:asciiTheme="minorEastAsia" w:eastAsiaTheme="minorEastAsia" w:hAnsiTheme="minorEastAsia" w:hint="eastAsia"/>
          <w:sz w:val="21"/>
          <w:szCs w:val="21"/>
        </w:rPr>
        <w:t>Tableau</w:t>
      </w:r>
      <w:r w:rsidRPr="009C413B">
        <w:rPr>
          <w:rFonts w:asciiTheme="minorEastAsia" w:eastAsiaTheme="minorEastAsia" w:hAnsiTheme="minorEastAsia"/>
          <w:sz w:val="21"/>
          <w:szCs w:val="21"/>
        </w:rPr>
        <w:t>TM</w:t>
      </w:r>
      <w:proofErr w:type="spellEnd"/>
      <w:r w:rsidRPr="009C413B">
        <w:rPr>
          <w:rFonts w:asciiTheme="minorEastAsia" w:eastAsiaTheme="minorEastAsia" w:hAnsiTheme="minorEastAsia" w:hint="eastAsia"/>
          <w:sz w:val="21"/>
          <w:szCs w:val="21"/>
        </w:rPr>
        <w:t>可视化应用、数字数据采集、网络安全、冲突管理、科学和创新政策评估、人员管理、内部审计质量评估、审计采购，以及合同和外包。</w:t>
      </w:r>
      <w:bookmarkEnd w:id="112"/>
      <w:bookmarkEnd w:id="113"/>
      <w:bookmarkEnd w:id="119"/>
      <w:bookmarkEnd w:id="120"/>
    </w:p>
    <w:p w:rsidR="00BC1221" w:rsidRPr="00BC1221" w:rsidRDefault="00BC1221" w:rsidP="00BC1221">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p>
    <w:p w:rsidR="000B1486" w:rsidRPr="009C413B" w:rsidRDefault="000B1486" w:rsidP="00BC1221">
      <w:pPr>
        <w:tabs>
          <w:tab w:val="left" w:pos="5529"/>
        </w:tabs>
        <w:overflowPunct w:val="0"/>
        <w:spacing w:afterLines="50" w:after="120" w:line="340" w:lineRule="atLeast"/>
        <w:ind w:left="5534"/>
        <w:rPr>
          <w:rFonts w:ascii="KaiTi" w:eastAsia="KaiTi" w:hAnsi="KaiTi"/>
          <w:sz w:val="21"/>
          <w:szCs w:val="21"/>
        </w:rPr>
      </w:pPr>
      <w:r w:rsidRPr="009C413B">
        <w:rPr>
          <w:rFonts w:ascii="KaiTi" w:eastAsia="KaiTi" w:hAnsi="KaiTi"/>
          <w:sz w:val="21"/>
          <w:szCs w:val="21"/>
        </w:rPr>
        <w:t>[</w:t>
      </w:r>
      <w:r w:rsidR="00BC1221">
        <w:rPr>
          <w:rFonts w:ascii="KaiTi" w:eastAsia="KaiTi" w:hAnsi="KaiTi" w:hint="eastAsia"/>
          <w:sz w:val="21"/>
          <w:szCs w:val="21"/>
        </w:rPr>
        <w:t>后接附件</w:t>
      </w:r>
      <w:r w:rsidRPr="009C413B">
        <w:rPr>
          <w:rFonts w:ascii="KaiTi" w:eastAsia="KaiTi" w:hAnsi="KaiTi"/>
          <w:sz w:val="21"/>
          <w:szCs w:val="21"/>
        </w:rPr>
        <w:t>]</w:t>
      </w:r>
    </w:p>
    <w:p w:rsidR="000B1486" w:rsidRPr="00CC5992" w:rsidRDefault="000B1486" w:rsidP="000B1486">
      <w:pPr>
        <w:pStyle w:val="ONUME"/>
        <w:keepLines/>
        <w:numPr>
          <w:ilvl w:val="0"/>
          <w:numId w:val="0"/>
        </w:numPr>
        <w:jc w:val="right"/>
        <w:rPr>
          <w:rFonts w:ascii="SimSun" w:hAnsi="SimSun"/>
        </w:rPr>
        <w:sectPr w:rsidR="000B1486" w:rsidRPr="00CC5992" w:rsidSect="005C1F3E">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1305" w:right="1134" w:bottom="1418" w:left="1418" w:header="510" w:footer="1021" w:gutter="0"/>
          <w:pgNumType w:start="1"/>
          <w:cols w:space="720"/>
          <w:titlePg/>
          <w:docGrid w:linePitch="299"/>
        </w:sectPr>
      </w:pPr>
    </w:p>
    <w:p w:rsidR="000B1486" w:rsidRPr="00544D12" w:rsidRDefault="000B1486" w:rsidP="00951F4F">
      <w:pPr>
        <w:keepLines/>
        <w:spacing w:afterLines="100" w:after="312"/>
        <w:jc w:val="center"/>
        <w:rPr>
          <w:rFonts w:ascii="SimHei" w:eastAsia="SimHei" w:hAnsi="SimHei"/>
          <w:bCs/>
          <w:sz w:val="21"/>
          <w:szCs w:val="21"/>
        </w:rPr>
      </w:pPr>
      <w:r w:rsidRPr="00544D12">
        <w:rPr>
          <w:rFonts w:ascii="SimHei" w:eastAsia="SimHei" w:hAnsi="SimHei" w:hint="eastAsia"/>
          <w:bCs/>
          <w:sz w:val="21"/>
          <w:szCs w:val="21"/>
        </w:rPr>
        <w:t>监督</w:t>
      </w:r>
      <w:proofErr w:type="gramStart"/>
      <w:r w:rsidRPr="00544D12">
        <w:rPr>
          <w:rFonts w:ascii="SimHei" w:eastAsia="SimHei" w:hAnsi="SimHei" w:hint="eastAsia"/>
          <w:bCs/>
          <w:sz w:val="21"/>
          <w:szCs w:val="21"/>
        </w:rPr>
        <w:t>司报告</w:t>
      </w:r>
      <w:proofErr w:type="gramEnd"/>
      <w:r w:rsidRPr="00544D12">
        <w:rPr>
          <w:rFonts w:ascii="SimHei" w:eastAsia="SimHei" w:hAnsi="SimHei" w:hint="eastAsia"/>
          <w:bCs/>
          <w:sz w:val="21"/>
          <w:szCs w:val="21"/>
        </w:rPr>
        <w:t>一览表</w:t>
      </w:r>
      <w:r w:rsidRPr="00544D12">
        <w:rPr>
          <w:rFonts w:ascii="SimHei" w:eastAsia="SimHei" w:hAnsi="SimHei"/>
          <w:bCs/>
          <w:sz w:val="21"/>
          <w:szCs w:val="21"/>
        </w:rPr>
        <w:br/>
      </w:r>
      <w:r w:rsidRPr="00544D12">
        <w:rPr>
          <w:rFonts w:ascii="SimHei" w:eastAsia="SimHei" w:hAnsi="SimHei" w:hint="eastAsia"/>
          <w:bCs/>
          <w:sz w:val="21"/>
          <w:szCs w:val="21"/>
        </w:rPr>
        <w:t>2017年7月1日至2018年6月30日</w:t>
      </w:r>
    </w:p>
    <w:tbl>
      <w:tblPr>
        <w:tblStyle w:val="ae"/>
        <w:tblW w:w="9639" w:type="dxa"/>
        <w:tblLook w:val="04A0" w:firstRow="1" w:lastRow="0" w:firstColumn="1" w:lastColumn="0" w:noHBand="0" w:noVBand="1"/>
      </w:tblPr>
      <w:tblGrid>
        <w:gridCol w:w="7655"/>
        <w:gridCol w:w="1984"/>
      </w:tblGrid>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产权组织组织</w:t>
            </w:r>
            <w:r w:rsidRPr="002E6912">
              <w:rPr>
                <w:rFonts w:ascii="SimSun" w:hAnsi="SimSun"/>
                <w:sz w:val="21"/>
                <w:szCs w:val="21"/>
              </w:rPr>
              <w:t>/</w:t>
            </w:r>
            <w:r w:rsidRPr="002E6912">
              <w:rPr>
                <w:rFonts w:ascii="SimSun" w:hAnsi="SimSun" w:hint="eastAsia"/>
                <w:sz w:val="21"/>
                <w:szCs w:val="21"/>
              </w:rPr>
              <w:t>主办的第三方活动管理审计</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IA 2017-02</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软件资产管理审计</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IA 2017-03</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征聘审计</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IA 2017-04</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差旅管理审计</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IA 2018-01</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语言司审计</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IA 2018-02</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连续审计备忘录</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CA 2017-02</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产权组织交流活动及其对产权组织品牌和声誉的促进作用评价</w:t>
            </w:r>
          </w:p>
        </w:tc>
        <w:tc>
          <w:tcPr>
            <w:tcW w:w="1984" w:type="dxa"/>
            <w:vAlign w:val="center"/>
          </w:tcPr>
          <w:p w:rsidR="000B1486" w:rsidRPr="002E6912" w:rsidRDefault="000B1486" w:rsidP="00544D12">
            <w:pPr>
              <w:pStyle w:val="ONUME"/>
              <w:numPr>
                <w:ilvl w:val="0"/>
                <w:numId w:val="0"/>
              </w:numPr>
              <w:ind w:left="34"/>
              <w:jc w:val="both"/>
              <w:rPr>
                <w:rFonts w:ascii="SimSun" w:hAnsi="SimSun"/>
                <w:sz w:val="21"/>
                <w:szCs w:val="21"/>
              </w:rPr>
            </w:pPr>
            <w:r w:rsidRPr="002E6912">
              <w:rPr>
                <w:rFonts w:ascii="SimSun" w:hAnsi="SimSun"/>
                <w:color w:val="000000"/>
                <w:sz w:val="21"/>
                <w:szCs w:val="21"/>
                <w:lang w:eastAsia="en-US"/>
              </w:rPr>
              <w:t>EVAL 17-01</w:t>
            </w:r>
          </w:p>
        </w:tc>
      </w:tr>
      <w:tr w:rsidR="000B1486" w:rsidRPr="00CC5992" w:rsidTr="00544D12">
        <w:tc>
          <w:tcPr>
            <w:tcW w:w="7655" w:type="dxa"/>
            <w:vAlign w:val="center"/>
          </w:tcPr>
          <w:p w:rsidR="000B1486" w:rsidRPr="002E6912" w:rsidRDefault="00544D12" w:rsidP="00544D12">
            <w:pPr>
              <w:pStyle w:val="ONUME"/>
              <w:numPr>
                <w:ilvl w:val="0"/>
                <w:numId w:val="0"/>
              </w:numPr>
              <w:jc w:val="both"/>
              <w:rPr>
                <w:rFonts w:ascii="SimSun" w:hAnsi="SimSun"/>
                <w:sz w:val="21"/>
                <w:szCs w:val="21"/>
              </w:rPr>
            </w:pPr>
            <w:r w:rsidRPr="002E6912">
              <w:rPr>
                <w:rFonts w:ascii="SimSun" w:hAnsi="SimSun"/>
                <w:sz w:val="21"/>
                <w:szCs w:val="21"/>
              </w:rPr>
              <w:t>拉丁美洲和加勒比</w:t>
            </w:r>
            <w:r w:rsidRPr="002E6912">
              <w:rPr>
                <w:rFonts w:ascii="SimSun" w:hAnsi="SimSun" w:hint="eastAsia"/>
                <w:sz w:val="21"/>
                <w:szCs w:val="21"/>
              </w:rPr>
              <w:t>地</w:t>
            </w:r>
            <w:r w:rsidRPr="002E6912">
              <w:rPr>
                <w:rFonts w:ascii="SimSun" w:hAnsi="SimSun"/>
                <w:sz w:val="21"/>
                <w:szCs w:val="21"/>
              </w:rPr>
              <w:t>区</w:t>
            </w:r>
            <w:r w:rsidR="000B1486" w:rsidRPr="002E6912">
              <w:rPr>
                <w:rFonts w:ascii="SimSun" w:hAnsi="SimSun"/>
                <w:sz w:val="21"/>
                <w:szCs w:val="21"/>
              </w:rPr>
              <w:t>局</w:t>
            </w:r>
            <w:r w:rsidR="000B1486" w:rsidRPr="002E6912">
              <w:rPr>
                <w:rFonts w:ascii="SimSun" w:hAnsi="SimSun" w:hint="eastAsia"/>
                <w:sz w:val="21"/>
                <w:szCs w:val="21"/>
              </w:rPr>
              <w:t>评价</w:t>
            </w:r>
          </w:p>
        </w:tc>
        <w:tc>
          <w:tcPr>
            <w:tcW w:w="1984" w:type="dxa"/>
            <w:vAlign w:val="center"/>
          </w:tcPr>
          <w:p w:rsidR="000B1486" w:rsidRPr="002E6912" w:rsidRDefault="000B1486" w:rsidP="00544D12">
            <w:pPr>
              <w:keepLines/>
              <w:ind w:left="34"/>
              <w:jc w:val="both"/>
              <w:rPr>
                <w:rFonts w:ascii="SimSun" w:hAnsi="SimSun"/>
                <w:sz w:val="21"/>
                <w:szCs w:val="21"/>
              </w:rPr>
            </w:pPr>
            <w:r w:rsidRPr="002E6912">
              <w:rPr>
                <w:rFonts w:ascii="SimSun" w:hAnsi="SimSun"/>
                <w:color w:val="000000"/>
                <w:sz w:val="21"/>
                <w:szCs w:val="21"/>
                <w:lang w:eastAsia="en-US"/>
              </w:rPr>
              <w:t>EVAL 17-04</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计划18：知识产权与全球挑战评价</w:t>
            </w:r>
          </w:p>
        </w:tc>
        <w:tc>
          <w:tcPr>
            <w:tcW w:w="1984" w:type="dxa"/>
            <w:vAlign w:val="center"/>
          </w:tcPr>
          <w:p w:rsidR="000B1486" w:rsidRPr="002E6912" w:rsidRDefault="000B1486" w:rsidP="00544D12">
            <w:pPr>
              <w:keepLines/>
              <w:ind w:left="34"/>
              <w:jc w:val="both"/>
              <w:rPr>
                <w:rFonts w:ascii="SimSun" w:hAnsi="SimSun"/>
                <w:sz w:val="21"/>
                <w:szCs w:val="21"/>
              </w:rPr>
            </w:pPr>
            <w:r w:rsidRPr="002E6912">
              <w:rPr>
                <w:rFonts w:ascii="SimSun" w:hAnsi="SimSun"/>
                <w:color w:val="000000"/>
                <w:sz w:val="21"/>
                <w:szCs w:val="21"/>
                <w:lang w:eastAsia="en-US"/>
              </w:rPr>
              <w:t>EVAL 17-03</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知识产权技能的能力发展评价</w:t>
            </w:r>
          </w:p>
        </w:tc>
        <w:tc>
          <w:tcPr>
            <w:tcW w:w="1984" w:type="dxa"/>
            <w:vAlign w:val="center"/>
          </w:tcPr>
          <w:p w:rsidR="000B1486" w:rsidRPr="002E6912" w:rsidRDefault="000B1486" w:rsidP="00544D12">
            <w:pPr>
              <w:keepLines/>
              <w:ind w:left="34"/>
              <w:jc w:val="both"/>
              <w:rPr>
                <w:rFonts w:ascii="SimSun" w:hAnsi="SimSun"/>
                <w:sz w:val="21"/>
                <w:szCs w:val="21"/>
              </w:rPr>
            </w:pPr>
            <w:r w:rsidRPr="002E6912">
              <w:rPr>
                <w:rFonts w:ascii="SimSun" w:hAnsi="SimSun"/>
                <w:color w:val="000000"/>
                <w:sz w:val="21"/>
                <w:szCs w:val="21"/>
                <w:lang w:eastAsia="en-US"/>
              </w:rPr>
              <w:t>EVAL 17-05</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监督司关于2016/17年产权组织绩效报告的审定报告</w:t>
            </w:r>
          </w:p>
        </w:tc>
        <w:tc>
          <w:tcPr>
            <w:tcW w:w="1984" w:type="dxa"/>
            <w:vAlign w:val="center"/>
          </w:tcPr>
          <w:p w:rsidR="000B1486" w:rsidRPr="002E6912" w:rsidRDefault="000B1486" w:rsidP="00544D12">
            <w:pPr>
              <w:keepLines/>
              <w:ind w:left="34"/>
              <w:jc w:val="both"/>
              <w:rPr>
                <w:rFonts w:ascii="SimSun" w:hAnsi="SimSun"/>
                <w:color w:val="000000"/>
                <w:sz w:val="21"/>
                <w:szCs w:val="21"/>
                <w:lang w:eastAsia="en-US"/>
              </w:rPr>
            </w:pPr>
            <w:r w:rsidRPr="002E6912">
              <w:rPr>
                <w:rFonts w:ascii="SimSun" w:hAnsi="SimSun"/>
                <w:color w:val="000000"/>
                <w:sz w:val="21"/>
                <w:szCs w:val="21"/>
                <w:lang w:eastAsia="en-US"/>
              </w:rPr>
              <w:t>VALID 2018-01</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停车场交通规则所涉管理问题报告</w:t>
            </w:r>
          </w:p>
        </w:tc>
        <w:tc>
          <w:tcPr>
            <w:tcW w:w="1984" w:type="dxa"/>
            <w:vAlign w:val="center"/>
          </w:tcPr>
          <w:p w:rsidR="000B1486" w:rsidRPr="002E6912" w:rsidRDefault="000B1486" w:rsidP="00544D12">
            <w:pPr>
              <w:keepLines/>
              <w:ind w:left="34"/>
              <w:jc w:val="both"/>
              <w:rPr>
                <w:rFonts w:ascii="SimSun" w:hAnsi="SimSun"/>
                <w:sz w:val="21"/>
                <w:szCs w:val="21"/>
              </w:rPr>
            </w:pPr>
            <w:r w:rsidRPr="002E6912">
              <w:rPr>
                <w:rFonts w:ascii="SimSun" w:hAnsi="SimSun"/>
                <w:color w:val="000000"/>
                <w:sz w:val="21"/>
                <w:szCs w:val="21"/>
                <w:lang w:eastAsia="en-US"/>
              </w:rPr>
              <w:t>MIR 2017-11</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工作人员进入和使用停车场所涉管理问题报告</w:t>
            </w:r>
          </w:p>
        </w:tc>
        <w:tc>
          <w:tcPr>
            <w:tcW w:w="1984" w:type="dxa"/>
            <w:vAlign w:val="center"/>
          </w:tcPr>
          <w:p w:rsidR="000B1486" w:rsidRPr="002E6912" w:rsidRDefault="000B1486" w:rsidP="00544D12">
            <w:pPr>
              <w:keepLines/>
              <w:ind w:left="34"/>
              <w:jc w:val="both"/>
              <w:rPr>
                <w:rFonts w:ascii="SimSun" w:hAnsi="SimSun"/>
                <w:sz w:val="21"/>
                <w:szCs w:val="21"/>
              </w:rPr>
            </w:pPr>
            <w:r w:rsidRPr="002E6912">
              <w:rPr>
                <w:rFonts w:ascii="SimSun" w:hAnsi="SimSun"/>
                <w:color w:val="000000"/>
                <w:sz w:val="21"/>
                <w:szCs w:val="21"/>
                <w:lang w:eastAsia="en-US"/>
              </w:rPr>
              <w:t>MIR 2018-01</w:t>
            </w:r>
          </w:p>
        </w:tc>
      </w:tr>
      <w:tr w:rsidR="000B1486" w:rsidRPr="00CC5992" w:rsidTr="00544D12">
        <w:tc>
          <w:tcPr>
            <w:tcW w:w="7655" w:type="dxa"/>
            <w:vAlign w:val="center"/>
          </w:tcPr>
          <w:p w:rsidR="000B1486" w:rsidRPr="002E6912" w:rsidRDefault="000B1486" w:rsidP="00544D12">
            <w:pPr>
              <w:pStyle w:val="ONUME"/>
              <w:numPr>
                <w:ilvl w:val="0"/>
                <w:numId w:val="0"/>
              </w:numPr>
              <w:jc w:val="both"/>
              <w:rPr>
                <w:rFonts w:ascii="SimSun" w:hAnsi="SimSun"/>
                <w:sz w:val="21"/>
                <w:szCs w:val="21"/>
              </w:rPr>
            </w:pPr>
            <w:r w:rsidRPr="002E6912">
              <w:rPr>
                <w:rFonts w:ascii="SimSun" w:hAnsi="SimSun" w:hint="eastAsia"/>
                <w:sz w:val="21"/>
                <w:szCs w:val="21"/>
              </w:rPr>
              <w:t>请购单所涉管理问题报告</w:t>
            </w:r>
          </w:p>
        </w:tc>
        <w:tc>
          <w:tcPr>
            <w:tcW w:w="1984" w:type="dxa"/>
            <w:vAlign w:val="center"/>
          </w:tcPr>
          <w:p w:rsidR="000B1486" w:rsidRPr="002E6912" w:rsidRDefault="000B1486" w:rsidP="00544D12">
            <w:pPr>
              <w:keepLines/>
              <w:ind w:left="34"/>
              <w:jc w:val="both"/>
              <w:rPr>
                <w:rFonts w:ascii="SimSun" w:hAnsi="SimSun"/>
                <w:color w:val="000000"/>
                <w:sz w:val="21"/>
                <w:szCs w:val="21"/>
                <w:lang w:eastAsia="en-US"/>
              </w:rPr>
            </w:pPr>
            <w:r w:rsidRPr="002E6912">
              <w:rPr>
                <w:rFonts w:ascii="SimSun" w:hAnsi="SimSun"/>
                <w:color w:val="000000"/>
                <w:sz w:val="21"/>
                <w:szCs w:val="21"/>
                <w:lang w:eastAsia="en-US"/>
              </w:rPr>
              <w:t>MIR 2017-35</w:t>
            </w:r>
          </w:p>
        </w:tc>
      </w:tr>
    </w:tbl>
    <w:p w:rsidR="000B1486" w:rsidRPr="00CC5992" w:rsidRDefault="000B1486" w:rsidP="00544D12">
      <w:pPr>
        <w:rPr>
          <w:rFonts w:ascii="SimSun" w:hAnsi="SimSun"/>
        </w:rPr>
      </w:pPr>
    </w:p>
    <w:p w:rsidR="00E412BD" w:rsidRPr="00544D12" w:rsidRDefault="000B1486" w:rsidP="00951F4F">
      <w:pPr>
        <w:pStyle w:val="Endofdocument-Annex"/>
        <w:overflowPunct w:val="0"/>
        <w:spacing w:afterLines="50" w:after="156" w:line="340" w:lineRule="atLeast"/>
        <w:rPr>
          <w:rFonts w:ascii="KaiTi" w:eastAsia="KaiTi" w:hAnsi="KaiTi"/>
          <w:sz w:val="21"/>
        </w:rPr>
      </w:pPr>
      <w:r w:rsidRPr="00544D12">
        <w:rPr>
          <w:rFonts w:ascii="KaiTi" w:eastAsia="KaiTi" w:hAnsi="KaiTi"/>
          <w:sz w:val="21"/>
        </w:rPr>
        <w:t>[</w:t>
      </w:r>
      <w:r w:rsidRPr="00544D12">
        <w:rPr>
          <w:rFonts w:ascii="KaiTi" w:eastAsia="KaiTi" w:hAnsi="KaiTi" w:hint="eastAsia"/>
          <w:sz w:val="21"/>
        </w:rPr>
        <w:t>附件和文件完</w:t>
      </w:r>
      <w:r w:rsidRPr="00544D12">
        <w:rPr>
          <w:rFonts w:ascii="KaiTi" w:eastAsia="KaiTi" w:hAnsi="KaiTi"/>
          <w:sz w:val="21"/>
        </w:rPr>
        <w:t>]</w:t>
      </w:r>
    </w:p>
    <w:sectPr w:rsidR="00E412BD" w:rsidRPr="00544D12" w:rsidSect="00BC122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510" w:footer="1020"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D32C7" w15:done="0"/>
  <w15:commentEx w15:paraId="6541E26B" w15:done="0"/>
  <w15:commentEx w15:paraId="2B9812D1" w15:done="0"/>
  <w15:commentEx w15:paraId="04169DA4" w15:done="0"/>
  <w15:commentEx w15:paraId="0C85C6F9" w15:done="0"/>
  <w15:commentEx w15:paraId="032F0737" w15:done="0"/>
  <w15:commentEx w15:paraId="3E348AC5" w15:done="0"/>
  <w15:commentEx w15:paraId="00BC6D7B" w15:done="0"/>
  <w15:commentEx w15:paraId="57C0BDDB" w15:done="0"/>
  <w15:commentEx w15:paraId="19DC558F" w15:done="0"/>
  <w15:commentEx w15:paraId="034B4EEE" w15:done="0"/>
  <w15:commentEx w15:paraId="615F5E9E" w15:done="0"/>
  <w15:commentEx w15:paraId="184060EA" w15:done="0"/>
  <w15:commentEx w15:paraId="78D2B497" w15:done="0"/>
  <w15:commentEx w15:paraId="4666FEEA" w15:done="0"/>
  <w15:commentEx w15:paraId="784E2CCC" w15:done="0"/>
  <w15:commentEx w15:paraId="6A198D7C" w15:done="0"/>
  <w15:commentEx w15:paraId="7155C627" w15:done="0"/>
  <w15:commentEx w15:paraId="47841115" w15:done="0"/>
  <w15:commentEx w15:paraId="7B60F774" w15:paraIdParent="47841115" w15:done="0"/>
  <w15:commentEx w15:paraId="30902CB2" w15:done="0"/>
  <w15:commentEx w15:paraId="3BA9C510" w15:done="0"/>
  <w15:commentEx w15:paraId="7AF9C6FC" w15:done="0"/>
  <w15:commentEx w15:paraId="5B539906" w15:done="0"/>
  <w15:commentEx w15:paraId="31224F2D" w15:done="0"/>
  <w15:commentEx w15:paraId="0C443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34" w:rsidRDefault="003C6934">
      <w:r>
        <w:separator/>
      </w:r>
    </w:p>
  </w:endnote>
  <w:endnote w:type="continuationSeparator" w:id="0">
    <w:p w:rsidR="003C6934" w:rsidRDefault="003C6934" w:rsidP="003B38C1">
      <w:r>
        <w:separator/>
      </w:r>
    </w:p>
    <w:p w:rsidR="003C6934" w:rsidRPr="003B38C1" w:rsidRDefault="003C6934" w:rsidP="003B38C1">
      <w:pPr>
        <w:spacing w:after="60"/>
        <w:rPr>
          <w:sz w:val="17"/>
        </w:rPr>
      </w:pPr>
      <w:r>
        <w:rPr>
          <w:sz w:val="17"/>
        </w:rPr>
        <w:t>[Endnote continued from previous page]</w:t>
      </w:r>
    </w:p>
  </w:endnote>
  <w:endnote w:type="continuationNotice" w:id="1">
    <w:p w:rsidR="003C6934" w:rsidRPr="003B38C1" w:rsidRDefault="003C69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Lantinghei SC Extralight">
    <w:charset w:val="00"/>
    <w:family w:val="auto"/>
    <w:pitch w:val="variable"/>
    <w:sig w:usb0="00000003" w:usb1="08000000" w:usb2="00000000" w:usb3="00000000" w:csb0="00040001" w:csb1="00000000"/>
  </w:font>
  <w:font w:name="Lantinghei TC Heavy">
    <w:charset w:val="00"/>
    <w:family w:val="auto"/>
    <w:pitch w:val="variable"/>
    <w:sig w:usb0="00000003" w:usb1="080E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TITUS1FooterEvenPages"/>
  <w:p w:rsidR="003C6934" w:rsidRDefault="003C6934" w:rsidP="00D95F12">
    <w:pPr>
      <w:pStyle w:val="a8"/>
      <w:jc w:val="center"/>
      <w:rPr>
        <w:color w:val="000000"/>
        <w:sz w:val="17"/>
      </w:rPr>
    </w:pPr>
    <w:r>
      <w:rPr>
        <w:noProof/>
        <w:color w:val="000000"/>
        <w:sz w:val="17"/>
      </w:rPr>
      <mc:AlternateContent>
        <mc:Choice Requires="wps">
          <w:drawing>
            <wp:anchor distT="558800" distB="0" distL="114300" distR="114300" simplePos="0" relativeHeight="251661312" behindDoc="0" locked="0" layoutInCell="0" allowOverlap="1" wp14:anchorId="00F5985A" wp14:editId="68E25CC8">
              <wp:simplePos x="0" y="0"/>
              <wp:positionH relativeFrom="margin">
                <wp:align>center</wp:align>
              </wp:positionH>
              <wp:positionV relativeFrom="bottomMargin">
                <wp:posOffset>558800</wp:posOffset>
              </wp:positionV>
              <wp:extent cx="1826895" cy="221615"/>
              <wp:effectExtent l="0" t="0" r="0" b="6985"/>
              <wp:wrapNone/>
              <wp:docPr id="6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143.85pt;height:17.45pt;z-index:251661312;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bookmarkEnd w:id="5"/>
  <w:p w:rsidR="003C6934" w:rsidRDefault="003C6934">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5" w:name="TITUS5FooterPrimary"/>
  <w:p w:rsidR="003C6934" w:rsidRDefault="003C6934">
    <w:pPr>
      <w:pStyle w:val="a8"/>
      <w:jc w:val="center"/>
      <w:rPr>
        <w:color w:val="000000"/>
        <w:sz w:val="17"/>
      </w:rPr>
    </w:pPr>
    <w:r>
      <w:rPr>
        <w:noProof/>
        <w:color w:val="000000"/>
        <w:sz w:val="17"/>
      </w:rPr>
      <mc:AlternateContent>
        <mc:Choice Requires="wps">
          <w:drawing>
            <wp:anchor distT="558800" distB="0" distL="114300" distR="114300" simplePos="0" relativeHeight="251669504" behindDoc="0" locked="0" layoutInCell="0" allowOverlap="1" wp14:anchorId="11CAEE9A" wp14:editId="31303E79">
              <wp:simplePos x="0" y="0"/>
              <wp:positionH relativeFrom="margin">
                <wp:align>center</wp:align>
              </wp:positionH>
              <wp:positionV relativeFrom="bottomMargin">
                <wp:posOffset>558800</wp:posOffset>
              </wp:positionV>
              <wp:extent cx="1826895" cy="221615"/>
              <wp:effectExtent l="0" t="0" r="0" b="6985"/>
              <wp:wrapNone/>
              <wp:docPr id="74"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4footer" o:spid="_x0000_s1030" type="#_x0000_t202" style="position:absolute;left:0;text-align:left;margin-left:0;margin-top:44pt;width:143.85pt;height:17.45pt;z-index:251669504;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p w:rsidR="003C6934" w:rsidRDefault="003C6934" w:rsidP="00D95F12">
    <w:pPr>
      <w:pStyle w:val="a8"/>
      <w:jc w:val="center"/>
      <w:rPr>
        <w:color w:val="000000"/>
        <w:sz w:val="17"/>
      </w:rPr>
    </w:pPr>
    <w:bookmarkStart w:id="126" w:name="TITUS4FooterPrimary"/>
    <w:bookmarkEnd w:id="125"/>
    <w:r>
      <w:rPr>
        <w:color w:val="000000"/>
        <w:sz w:val="17"/>
      </w:rPr>
      <w:t xml:space="preserve"> </w:t>
    </w:r>
  </w:p>
  <w:bookmarkEnd w:id="126"/>
  <w:p w:rsidR="003C6934" w:rsidRDefault="003C6934" w:rsidP="00966994">
    <w:pPr>
      <w:pStyle w:val="a8"/>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AB374B" w:rsidRDefault="003C6934" w:rsidP="00AB374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TITUS1FooterPrimary"/>
  <w:p w:rsidR="003C6934" w:rsidRDefault="003C6934" w:rsidP="00D95F12">
    <w:pPr>
      <w:pStyle w:val="a8"/>
      <w:jc w:val="center"/>
      <w:rPr>
        <w:color w:val="000000"/>
        <w:sz w:val="17"/>
      </w:rPr>
    </w:pPr>
    <w:r>
      <w:rPr>
        <w:noProof/>
        <w:color w:val="000000"/>
        <w:sz w:val="17"/>
      </w:rPr>
      <mc:AlternateContent>
        <mc:Choice Requires="wps">
          <w:drawing>
            <wp:anchor distT="558800" distB="0" distL="114300" distR="114300" simplePos="0" relativeHeight="251660288" behindDoc="0" locked="0" layoutInCell="0" allowOverlap="1" wp14:anchorId="4F0E4550" wp14:editId="7185FF80">
              <wp:simplePos x="0" y="0"/>
              <wp:positionH relativeFrom="margin">
                <wp:align>center</wp:align>
              </wp:positionH>
              <wp:positionV relativeFrom="bottomMargin">
                <wp:posOffset>558800</wp:posOffset>
              </wp:positionV>
              <wp:extent cx="1826895" cy="221615"/>
              <wp:effectExtent l="0" t="0" r="0" b="6985"/>
              <wp:wrapNone/>
              <wp:docPr id="6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143.85pt;height:17.45pt;z-index:251660288;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bookmarkEnd w:id="6"/>
  <w:p w:rsidR="003C6934" w:rsidRDefault="003C693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TITUS2FooterEvenPages"/>
  <w:p w:rsidR="003C6934" w:rsidRDefault="003C6934" w:rsidP="00D95F12">
    <w:pPr>
      <w:pStyle w:val="a8"/>
      <w:jc w:val="center"/>
      <w:rPr>
        <w:color w:val="000000"/>
        <w:sz w:val="17"/>
      </w:rPr>
    </w:pPr>
    <w:r>
      <w:rPr>
        <w:noProof/>
        <w:color w:val="000000"/>
        <w:sz w:val="17"/>
      </w:rPr>
      <mc:AlternateContent>
        <mc:Choice Requires="wps">
          <w:drawing>
            <wp:anchor distT="558800" distB="0" distL="114300" distR="114300" simplePos="0" relativeHeight="251664384" behindDoc="0" locked="0" layoutInCell="0" allowOverlap="1" wp14:anchorId="3CA7D1DA" wp14:editId="0D2A77E2">
              <wp:simplePos x="0" y="0"/>
              <wp:positionH relativeFrom="margin">
                <wp:align>center</wp:align>
              </wp:positionH>
              <wp:positionV relativeFrom="bottomMargin">
                <wp:posOffset>558800</wp:posOffset>
              </wp:positionV>
              <wp:extent cx="1826895" cy="221615"/>
              <wp:effectExtent l="0" t="0" r="0" b="6985"/>
              <wp:wrapNone/>
              <wp:docPr id="6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8" type="#_x0000_t202" style="position:absolute;left:0;text-align:left;margin-left:0;margin-top:44pt;width:143.85pt;height:17.45pt;z-index:251664384;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bookmarkEnd w:id="9"/>
  <w:p w:rsidR="003C6934" w:rsidRDefault="003C6934" w:rsidP="007A7D74">
    <w:pPr>
      <w:pStyle w:val="a8"/>
      <w:jc w:val="center"/>
      <w:rPr>
        <w:color w:val="000000"/>
        <w:sz w:val="17"/>
      </w:rPr>
    </w:pPr>
  </w:p>
  <w:p w:rsidR="003C6934" w:rsidRDefault="003C6934" w:rsidP="007A7D74">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TITUS2FooterPrimary"/>
  <w:p w:rsidR="003C6934" w:rsidRDefault="003C6934" w:rsidP="00D95F12">
    <w:pPr>
      <w:pStyle w:val="a8"/>
      <w:jc w:val="center"/>
      <w:rPr>
        <w:color w:val="000000"/>
        <w:sz w:val="17"/>
      </w:rPr>
    </w:pPr>
    <w:r>
      <w:rPr>
        <w:noProof/>
        <w:color w:val="000000"/>
        <w:sz w:val="17"/>
      </w:rPr>
      <mc:AlternateContent>
        <mc:Choice Requires="wps">
          <w:drawing>
            <wp:anchor distT="558800" distB="0" distL="114300" distR="114300" simplePos="0" relativeHeight="251663360" behindDoc="0" locked="0" layoutInCell="0" allowOverlap="1" wp14:anchorId="3145CADB" wp14:editId="5D83FE69">
              <wp:simplePos x="0" y="0"/>
              <wp:positionH relativeFrom="margin">
                <wp:align>center</wp:align>
              </wp:positionH>
              <wp:positionV relativeFrom="bottomMargin">
                <wp:posOffset>558800</wp:posOffset>
              </wp:positionV>
              <wp:extent cx="1826895" cy="221615"/>
              <wp:effectExtent l="0" t="0" r="0" b="6985"/>
              <wp:wrapNone/>
              <wp:docPr id="68"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9" type="#_x0000_t202" style="position:absolute;left:0;text-align:left;margin-left:0;margin-top:44pt;width:143.85pt;height:17.45pt;z-index:251663360;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bookmarkEnd w:id="10"/>
  <w:p w:rsidR="003C6934" w:rsidRDefault="003C6934" w:rsidP="00966994">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B202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34" w:rsidRDefault="003C6934">
      <w:r>
        <w:separator/>
      </w:r>
    </w:p>
  </w:footnote>
  <w:footnote w:type="continuationSeparator" w:id="0">
    <w:p w:rsidR="003C6934" w:rsidRDefault="003C6934" w:rsidP="008B60B2">
      <w:r>
        <w:separator/>
      </w:r>
    </w:p>
    <w:p w:rsidR="003C6934" w:rsidRPr="00ED77FB" w:rsidRDefault="003C6934" w:rsidP="008B60B2">
      <w:pPr>
        <w:spacing w:after="60"/>
        <w:rPr>
          <w:sz w:val="17"/>
          <w:szCs w:val="17"/>
        </w:rPr>
      </w:pPr>
      <w:r w:rsidRPr="00ED77FB">
        <w:rPr>
          <w:sz w:val="17"/>
          <w:szCs w:val="17"/>
        </w:rPr>
        <w:t>[Footnote continued from previous page]</w:t>
      </w:r>
    </w:p>
  </w:footnote>
  <w:footnote w:type="continuationNotice" w:id="1">
    <w:p w:rsidR="003C6934" w:rsidRPr="00ED77FB" w:rsidRDefault="003C6934" w:rsidP="008B60B2">
      <w:pPr>
        <w:spacing w:before="60"/>
        <w:jc w:val="right"/>
        <w:rPr>
          <w:sz w:val="17"/>
          <w:szCs w:val="17"/>
        </w:rPr>
      </w:pPr>
      <w:r w:rsidRPr="00ED77FB">
        <w:rPr>
          <w:sz w:val="17"/>
          <w:szCs w:val="17"/>
        </w:rPr>
        <w:t>[Footnote continued on next page]</w:t>
      </w:r>
    </w:p>
  </w:footnote>
  <w:footnote w:id="2">
    <w:p w:rsidR="003C6934" w:rsidRPr="00001401" w:rsidRDefault="003C6934" w:rsidP="00391373">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Pr="00001401">
        <w:rPr>
          <w:rFonts w:ascii="SimSun" w:hAnsi="SimSun" w:hint="eastAsia"/>
          <w:szCs w:val="18"/>
        </w:rPr>
        <w:t>参见《章程》第</w:t>
      </w:r>
      <w:r>
        <w:rPr>
          <w:rFonts w:ascii="SimSun" w:hAnsi="SimSun" w:hint="eastAsia"/>
          <w:szCs w:val="18"/>
        </w:rPr>
        <w:t>44</w:t>
      </w:r>
      <w:r w:rsidRPr="00001401">
        <w:rPr>
          <w:rFonts w:ascii="SimSun" w:hAnsi="SimSun" w:hint="eastAsia"/>
          <w:szCs w:val="18"/>
        </w:rPr>
        <w:t>和</w:t>
      </w:r>
      <w:r>
        <w:rPr>
          <w:rFonts w:ascii="SimSun" w:hAnsi="SimSun" w:hint="eastAsia"/>
          <w:szCs w:val="18"/>
        </w:rPr>
        <w:t>45</w:t>
      </w:r>
      <w:r w:rsidRPr="00001401">
        <w:rPr>
          <w:rFonts w:ascii="SimSun" w:hAnsi="SimSun" w:hint="eastAsia"/>
          <w:szCs w:val="18"/>
        </w:rPr>
        <w:t>段。</w:t>
      </w:r>
    </w:p>
  </w:footnote>
  <w:footnote w:id="3">
    <w:p w:rsidR="003C6934" w:rsidRPr="00D84F59" w:rsidRDefault="003C6934" w:rsidP="00391373">
      <w:pPr>
        <w:pStyle w:val="a9"/>
        <w:jc w:val="both"/>
        <w:rPr>
          <w:rFonts w:ascii="SimSun" w:hAnsi="SimSun"/>
        </w:rPr>
      </w:pPr>
      <w:r w:rsidRPr="00D84F59">
        <w:rPr>
          <w:rStyle w:val="af"/>
          <w:rFonts w:ascii="SimSun" w:hAnsi="SimSun"/>
        </w:rPr>
        <w:t>2</w:t>
      </w:r>
      <w:r w:rsidRPr="00D84F59">
        <w:rPr>
          <w:rFonts w:ascii="SimSun" w:hAnsi="SimSun"/>
        </w:rPr>
        <w:t xml:space="preserve"> </w:t>
      </w:r>
      <w:r w:rsidRPr="00D84F59">
        <w:rPr>
          <w:rFonts w:ascii="SimSun" w:hAnsi="SimSun" w:hint="eastAsia"/>
        </w:rPr>
        <w:t>报告一览表见附件一。</w:t>
      </w:r>
    </w:p>
  </w:footnote>
  <w:footnote w:id="4">
    <w:p w:rsidR="003C6934" w:rsidRPr="00D84F59" w:rsidRDefault="003C6934" w:rsidP="000B1486">
      <w:pPr>
        <w:pStyle w:val="a9"/>
        <w:jc w:val="both"/>
        <w:rPr>
          <w:rFonts w:ascii="SimSun" w:hAnsi="SimSun"/>
        </w:rPr>
      </w:pPr>
      <w:r w:rsidRPr="00D84F59">
        <w:rPr>
          <w:rStyle w:val="af"/>
          <w:rFonts w:ascii="SimSun" w:hAnsi="SimSun"/>
        </w:rPr>
        <w:t>3</w:t>
      </w:r>
      <w:r w:rsidRPr="00D84F59">
        <w:rPr>
          <w:rFonts w:ascii="SimSun" w:hAnsi="SimSun"/>
        </w:rPr>
        <w:t xml:space="preserve"> </w:t>
      </w:r>
      <w:proofErr w:type="spellStart"/>
      <w:r w:rsidRPr="00D84F59">
        <w:rPr>
          <w:rFonts w:ascii="SimSun" w:hAnsi="SimSun" w:hint="eastAsia"/>
          <w:szCs w:val="18"/>
        </w:rPr>
        <w:t>TeamCentral</w:t>
      </w:r>
      <w:proofErr w:type="spellEnd"/>
      <w:r w:rsidR="004775EA" w:rsidRPr="004B2173">
        <w:t>©</w:t>
      </w:r>
      <w:r w:rsidRPr="00D84F59">
        <w:rPr>
          <w:rFonts w:ascii="SimSun" w:hAnsi="SimSun" w:hint="eastAsia"/>
          <w:szCs w:val="18"/>
        </w:rPr>
        <w:t>是</w:t>
      </w:r>
      <w:proofErr w:type="spellStart"/>
      <w:r w:rsidRPr="00D84F59">
        <w:rPr>
          <w:rFonts w:ascii="SimSun" w:hAnsi="SimSun" w:hint="eastAsia"/>
          <w:szCs w:val="18"/>
        </w:rPr>
        <w:t>TeamMate</w:t>
      </w:r>
      <w:proofErr w:type="spellEnd"/>
      <w:r w:rsidRPr="00D84F59">
        <w:rPr>
          <w:rFonts w:ascii="SimSun" w:hAnsi="SimSun" w:hint="eastAsia"/>
          <w:szCs w:val="18"/>
        </w:rPr>
        <w:t>的一个模块，后者是执行审计任务的专用软件，包含多个模块，如电子工作文件；建议、风险评估和时间安排的跟进。</w:t>
      </w:r>
    </w:p>
  </w:footnote>
  <w:footnote w:id="5">
    <w:p w:rsidR="003C6934" w:rsidRPr="00D84F59" w:rsidRDefault="003C6934" w:rsidP="00D34451">
      <w:pPr>
        <w:pStyle w:val="a9"/>
        <w:jc w:val="both"/>
        <w:rPr>
          <w:rFonts w:ascii="SimSun" w:hAnsi="SimSun"/>
        </w:rPr>
      </w:pPr>
      <w:r w:rsidRPr="00D84F59">
        <w:rPr>
          <w:rStyle w:val="af"/>
          <w:rFonts w:ascii="SimSun" w:hAnsi="SimSun"/>
        </w:rPr>
        <w:t>4</w:t>
      </w:r>
      <w:r w:rsidRPr="00D84F59">
        <w:rPr>
          <w:rFonts w:ascii="SimSun" w:hAnsi="SimSun"/>
        </w:rPr>
        <w:t xml:space="preserve"> </w:t>
      </w:r>
      <w:r w:rsidRPr="00D84F59">
        <w:rPr>
          <w:rFonts w:ascii="SimSun" w:hAnsi="SimSun"/>
          <w:lang w:val="pt-PT"/>
        </w:rPr>
        <w:t>IA 2012-02</w:t>
      </w:r>
    </w:p>
  </w:footnote>
  <w:footnote w:id="6">
    <w:p w:rsidR="003C6934" w:rsidRPr="00D84F59" w:rsidRDefault="003C6934" w:rsidP="00075877">
      <w:pPr>
        <w:pStyle w:val="a9"/>
        <w:jc w:val="both"/>
        <w:rPr>
          <w:rFonts w:ascii="SimSun" w:hAnsi="SimSun"/>
        </w:rPr>
      </w:pPr>
      <w:r w:rsidRPr="00D84F59">
        <w:rPr>
          <w:rStyle w:val="af"/>
          <w:rFonts w:ascii="SimSun" w:hAnsi="SimSun"/>
        </w:rPr>
        <w:t>5</w:t>
      </w:r>
      <w:r w:rsidRPr="00D84F59">
        <w:rPr>
          <w:rFonts w:ascii="SimSun" w:hAnsi="SimSun"/>
        </w:rPr>
        <w:t xml:space="preserve"> </w:t>
      </w:r>
      <w:r w:rsidRPr="00D84F59">
        <w:rPr>
          <w:rFonts w:ascii="SimSun" w:hAnsi="SimSun" w:hint="eastAsia"/>
        </w:rPr>
        <w:t>《</w:t>
      </w:r>
      <w:r w:rsidRPr="00D84F59">
        <w:rPr>
          <w:rFonts w:ascii="SimSun" w:hAnsi="SimSun" w:hint="eastAsia"/>
          <w:lang w:val="pt-PT"/>
        </w:rPr>
        <w:t>章程》第18、19、21、22、23段。</w:t>
      </w:r>
    </w:p>
  </w:footnote>
  <w:footnote w:id="7">
    <w:p w:rsidR="003C6934" w:rsidRPr="00D84F59" w:rsidRDefault="003C6934" w:rsidP="000B1486">
      <w:pPr>
        <w:pStyle w:val="a9"/>
        <w:rPr>
          <w:rFonts w:ascii="SimSun" w:hAnsi="SimSun"/>
        </w:rPr>
      </w:pPr>
      <w:r w:rsidRPr="00D84F59">
        <w:rPr>
          <w:rStyle w:val="af"/>
          <w:rFonts w:ascii="SimSun" w:hAnsi="SimSun"/>
        </w:rPr>
        <w:t>6</w:t>
      </w:r>
      <w:r w:rsidRPr="00D84F59">
        <w:rPr>
          <w:rFonts w:ascii="SimSun" w:hAnsi="SimSun"/>
        </w:rPr>
        <w:t xml:space="preserve"> </w:t>
      </w:r>
      <w:r w:rsidRPr="00D84F59">
        <w:rPr>
          <w:rFonts w:ascii="SimSun" w:hAnsi="SimSun" w:hint="eastAsia"/>
        </w:rPr>
        <w:t>《章程》第42段。</w:t>
      </w:r>
    </w:p>
  </w:footnote>
  <w:footnote w:id="8">
    <w:p w:rsidR="003C6934" w:rsidRPr="00D84F59" w:rsidRDefault="003C6934" w:rsidP="000B1486">
      <w:pPr>
        <w:pStyle w:val="a9"/>
        <w:rPr>
          <w:rFonts w:ascii="SimSun" w:hAnsi="SimSun"/>
        </w:rPr>
      </w:pPr>
      <w:r w:rsidRPr="00D84F59">
        <w:rPr>
          <w:rStyle w:val="af"/>
          <w:rFonts w:ascii="SimSun" w:hAnsi="SimSun"/>
        </w:rPr>
        <w:t>7</w:t>
      </w:r>
      <w:r w:rsidRPr="00D84F59">
        <w:rPr>
          <w:rFonts w:ascii="SimSun" w:hAnsi="SimSun" w:hint="eastAsia"/>
        </w:rPr>
        <w:t xml:space="preserve"> OI </w:t>
      </w:r>
      <w:r w:rsidRPr="00D84F59">
        <w:rPr>
          <w:rFonts w:ascii="SimSun" w:hAnsi="SimSun"/>
          <w:szCs w:val="18"/>
          <w:lang w:val="pt-PT"/>
        </w:rPr>
        <w:t>16/2010</w:t>
      </w:r>
      <w:r w:rsidRPr="00D84F59">
        <w:rPr>
          <w:rFonts w:ascii="SimSun" w:hAnsi="SimSun" w:hint="eastAsia"/>
          <w:szCs w:val="18"/>
          <w:lang w:val="pt-PT"/>
        </w:rPr>
        <w:t>，第7段。</w:t>
      </w:r>
    </w:p>
  </w:footnote>
  <w:footnote w:id="9">
    <w:p w:rsidR="003C6934" w:rsidRPr="00D84F59" w:rsidRDefault="003C6934" w:rsidP="000B1486">
      <w:pPr>
        <w:pStyle w:val="a9"/>
        <w:rPr>
          <w:rFonts w:ascii="SimSun" w:hAnsi="SimSun"/>
        </w:rPr>
      </w:pPr>
      <w:r w:rsidRPr="00D84F59">
        <w:rPr>
          <w:rStyle w:val="af"/>
          <w:rFonts w:ascii="SimSun" w:hAnsi="SimSun"/>
        </w:rPr>
        <w:t>8</w:t>
      </w:r>
      <w:r w:rsidRPr="00D84F59">
        <w:rPr>
          <w:rFonts w:ascii="SimSun" w:hAnsi="SimSun" w:hint="eastAsia"/>
        </w:rPr>
        <w:t xml:space="preserve"> OI </w:t>
      </w:r>
      <w:r w:rsidRPr="00D84F59">
        <w:rPr>
          <w:rFonts w:ascii="SimSun" w:hAnsi="SimSun"/>
          <w:szCs w:val="18"/>
          <w:lang w:val="pt-PT"/>
        </w:rPr>
        <w:t>16/2010</w:t>
      </w:r>
      <w:r w:rsidRPr="00D84F59">
        <w:rPr>
          <w:rFonts w:ascii="SimSun" w:hAnsi="SimSun" w:hint="eastAsia"/>
          <w:szCs w:val="18"/>
          <w:lang w:val="pt-PT"/>
        </w:rPr>
        <w:t>，第8段。</w:t>
      </w:r>
    </w:p>
  </w:footnote>
  <w:footnote w:id="10">
    <w:p w:rsidR="003C6934" w:rsidRPr="00BC78B3" w:rsidRDefault="003C6934" w:rsidP="00BC78B3">
      <w:pPr>
        <w:jc w:val="both"/>
        <w:rPr>
          <w:rFonts w:ascii="SimSun" w:hAnsi="SimSun"/>
          <w:sz w:val="18"/>
          <w:szCs w:val="18"/>
        </w:rPr>
      </w:pPr>
      <w:r w:rsidRPr="000D4F76">
        <w:rPr>
          <w:rStyle w:val="af"/>
          <w:rFonts w:ascii="SimSun" w:hAnsi="SimSun"/>
          <w:sz w:val="18"/>
          <w:szCs w:val="18"/>
        </w:rPr>
        <w:t>9</w:t>
      </w:r>
      <w:r>
        <w:rPr>
          <w:rFonts w:ascii="SimSun" w:hAnsi="SimSun" w:hint="eastAsia"/>
          <w:sz w:val="18"/>
          <w:szCs w:val="18"/>
        </w:rPr>
        <w:t xml:space="preserve"> </w:t>
      </w:r>
      <w:r w:rsidRPr="000D4F76">
        <w:rPr>
          <w:rFonts w:ascii="SimSun" w:hAnsi="SimSun"/>
          <w:b/>
          <w:sz w:val="18"/>
          <w:szCs w:val="18"/>
        </w:rPr>
        <w:t>计划1</w:t>
      </w:r>
      <w:r w:rsidRPr="000D4F76">
        <w:rPr>
          <w:rFonts w:ascii="SimSun" w:hAnsi="SimSun" w:hint="eastAsia"/>
          <w:sz w:val="18"/>
          <w:szCs w:val="18"/>
        </w:rPr>
        <w:t>-</w:t>
      </w:r>
      <w:r w:rsidRPr="000D4F76">
        <w:rPr>
          <w:rFonts w:ascii="SimSun" w:hAnsi="SimSun"/>
          <w:sz w:val="18"/>
          <w:szCs w:val="18"/>
        </w:rPr>
        <w:t>专利法</w:t>
      </w:r>
      <w:r w:rsidRPr="000D4F76">
        <w:rPr>
          <w:rFonts w:ascii="SimSun" w:hAnsi="SimSun" w:hint="eastAsia"/>
          <w:sz w:val="18"/>
          <w:szCs w:val="18"/>
        </w:rPr>
        <w:t>；</w:t>
      </w:r>
      <w:r w:rsidRPr="000D4F76">
        <w:rPr>
          <w:rFonts w:ascii="SimSun" w:hAnsi="SimSun" w:hint="eastAsia"/>
          <w:b/>
          <w:sz w:val="18"/>
          <w:szCs w:val="18"/>
        </w:rPr>
        <w:t>计划2</w:t>
      </w:r>
      <w:r w:rsidRPr="000D4F76">
        <w:rPr>
          <w:rFonts w:ascii="SimSun" w:hAnsi="SimSun" w:hint="eastAsia"/>
          <w:sz w:val="18"/>
          <w:szCs w:val="18"/>
        </w:rPr>
        <w:t>-</w:t>
      </w:r>
      <w:r w:rsidRPr="000D4F76">
        <w:rPr>
          <w:rFonts w:ascii="SimSun" w:hAnsi="SimSun"/>
          <w:sz w:val="18"/>
          <w:szCs w:val="18"/>
        </w:rPr>
        <w:t>商标、工业品外观设计和地理标志</w:t>
      </w:r>
      <w:r w:rsidRPr="000D4F76">
        <w:rPr>
          <w:rFonts w:ascii="SimSun" w:hAnsi="SimSun" w:hint="eastAsia"/>
          <w:sz w:val="18"/>
          <w:szCs w:val="18"/>
        </w:rPr>
        <w:t>；</w:t>
      </w:r>
      <w:r w:rsidRPr="000D4F76">
        <w:rPr>
          <w:rFonts w:ascii="SimSun" w:hAnsi="SimSun"/>
          <w:b/>
          <w:sz w:val="18"/>
          <w:szCs w:val="18"/>
        </w:rPr>
        <w:t>计划3</w:t>
      </w:r>
      <w:r w:rsidRPr="000D4F76">
        <w:rPr>
          <w:rFonts w:ascii="SimSun" w:hAnsi="SimSun" w:hint="eastAsia"/>
          <w:sz w:val="18"/>
          <w:szCs w:val="18"/>
        </w:rPr>
        <w:t>-</w:t>
      </w:r>
      <w:r w:rsidRPr="000D4F76">
        <w:rPr>
          <w:rFonts w:ascii="SimSun" w:hAnsi="SimSun"/>
          <w:sz w:val="18"/>
          <w:szCs w:val="18"/>
        </w:rPr>
        <w:t>版权及相关权</w:t>
      </w:r>
      <w:r w:rsidRPr="000D4F76">
        <w:rPr>
          <w:rFonts w:ascii="SimSun" w:hAnsi="SimSun" w:hint="eastAsia"/>
          <w:sz w:val="18"/>
          <w:szCs w:val="18"/>
        </w:rPr>
        <w:t>；</w:t>
      </w:r>
      <w:r w:rsidRPr="000D4F76">
        <w:rPr>
          <w:rFonts w:ascii="SimSun" w:hAnsi="SimSun" w:hint="eastAsia"/>
          <w:b/>
          <w:sz w:val="18"/>
          <w:szCs w:val="18"/>
        </w:rPr>
        <w:t>计划4</w:t>
      </w:r>
      <w:r w:rsidRPr="000D4F76">
        <w:rPr>
          <w:rFonts w:ascii="SimSun" w:hAnsi="SimSun" w:hint="eastAsia"/>
          <w:sz w:val="18"/>
          <w:szCs w:val="18"/>
        </w:rPr>
        <w:t>-</w:t>
      </w:r>
      <w:r w:rsidRPr="000D4F76">
        <w:rPr>
          <w:rFonts w:ascii="SimSun" w:hAnsi="SimSun"/>
          <w:sz w:val="18"/>
          <w:szCs w:val="18"/>
        </w:rPr>
        <w:t>传统知识、传统文化表现形式和遗传资源</w:t>
      </w:r>
      <w:r w:rsidRPr="000D4F76">
        <w:rPr>
          <w:rFonts w:ascii="SimSun" w:hAnsi="SimSun" w:hint="eastAsia"/>
          <w:sz w:val="18"/>
          <w:szCs w:val="18"/>
        </w:rPr>
        <w:t>；</w:t>
      </w:r>
      <w:r w:rsidRPr="000D4F76">
        <w:rPr>
          <w:rFonts w:ascii="SimSun" w:hAnsi="SimSun" w:hint="eastAsia"/>
          <w:b/>
          <w:sz w:val="18"/>
          <w:szCs w:val="18"/>
        </w:rPr>
        <w:t>计划</w:t>
      </w:r>
      <w:r w:rsidRPr="000D4F76">
        <w:rPr>
          <w:rFonts w:ascii="SimSun" w:hAnsi="SimSun"/>
          <w:b/>
          <w:sz w:val="18"/>
          <w:szCs w:val="18"/>
        </w:rPr>
        <w:t>5</w:t>
      </w:r>
      <w:r w:rsidRPr="000D4F76">
        <w:rPr>
          <w:rFonts w:ascii="SimSun" w:hAnsi="SimSun" w:hint="eastAsia"/>
          <w:sz w:val="18"/>
          <w:szCs w:val="18"/>
        </w:rPr>
        <w:t>-</w:t>
      </w:r>
      <w:r w:rsidRPr="000D4F76">
        <w:rPr>
          <w:rFonts w:ascii="SimSun" w:hAnsi="SimSun"/>
          <w:sz w:val="18"/>
          <w:szCs w:val="18"/>
        </w:rPr>
        <w:t>PCT体系</w:t>
      </w:r>
      <w:r w:rsidRPr="000D4F76">
        <w:rPr>
          <w:rFonts w:ascii="SimSun" w:hAnsi="SimSun" w:hint="eastAsia"/>
          <w:sz w:val="18"/>
          <w:szCs w:val="18"/>
        </w:rPr>
        <w:t>；</w:t>
      </w:r>
      <w:r w:rsidRPr="000D4F76">
        <w:rPr>
          <w:rFonts w:ascii="SimSun" w:hAnsi="SimSun"/>
          <w:b/>
          <w:sz w:val="18"/>
          <w:szCs w:val="18"/>
        </w:rPr>
        <w:t>计划6</w:t>
      </w:r>
      <w:r w:rsidRPr="000D4F76">
        <w:rPr>
          <w:rFonts w:ascii="SimSun" w:hAnsi="SimSun" w:hint="eastAsia"/>
          <w:sz w:val="18"/>
          <w:szCs w:val="18"/>
        </w:rPr>
        <w:t>-</w:t>
      </w:r>
      <w:r w:rsidRPr="000D4F76">
        <w:rPr>
          <w:rFonts w:ascii="SimSun" w:hAnsi="SimSun"/>
          <w:sz w:val="18"/>
          <w:szCs w:val="18"/>
        </w:rPr>
        <w:t>马德里体系</w:t>
      </w:r>
      <w:r w:rsidRPr="000D4F76">
        <w:rPr>
          <w:rFonts w:ascii="SimSun" w:hAnsi="SimSun" w:hint="eastAsia"/>
          <w:sz w:val="18"/>
          <w:szCs w:val="18"/>
        </w:rPr>
        <w:t>；</w:t>
      </w:r>
      <w:r w:rsidRPr="000D4F76">
        <w:rPr>
          <w:rFonts w:ascii="SimSun" w:hAnsi="SimSun"/>
          <w:b/>
          <w:sz w:val="18"/>
          <w:szCs w:val="18"/>
        </w:rPr>
        <w:t>计划7</w:t>
      </w:r>
      <w:r w:rsidRPr="000D4F76">
        <w:rPr>
          <w:rFonts w:ascii="SimSun" w:hAnsi="SimSun" w:hint="eastAsia"/>
          <w:sz w:val="18"/>
          <w:szCs w:val="18"/>
        </w:rPr>
        <w:t>-</w:t>
      </w:r>
      <w:r w:rsidRPr="000D4F76">
        <w:rPr>
          <w:rFonts w:ascii="SimSun" w:hAnsi="SimSun"/>
          <w:sz w:val="18"/>
          <w:szCs w:val="18"/>
        </w:rPr>
        <w:t>产权组织仲裁与调解中心</w:t>
      </w:r>
      <w:r w:rsidRPr="000D4F76">
        <w:rPr>
          <w:rFonts w:ascii="SimSun" w:hAnsi="SimSun" w:hint="eastAsia"/>
          <w:sz w:val="18"/>
          <w:szCs w:val="18"/>
        </w:rPr>
        <w:t>；</w:t>
      </w:r>
      <w:r w:rsidRPr="000D4F76">
        <w:rPr>
          <w:rFonts w:ascii="SimSun" w:hAnsi="SimSun" w:hint="eastAsia"/>
          <w:b/>
          <w:sz w:val="18"/>
          <w:szCs w:val="18"/>
        </w:rPr>
        <w:t>计划8</w:t>
      </w:r>
      <w:r w:rsidRPr="000D4F76">
        <w:rPr>
          <w:rFonts w:ascii="SimSun" w:hAnsi="SimSun" w:hint="eastAsia"/>
          <w:sz w:val="18"/>
          <w:szCs w:val="18"/>
        </w:rPr>
        <w:t>-发展议程协调；</w:t>
      </w:r>
      <w:r w:rsidRPr="000D4F76">
        <w:rPr>
          <w:rFonts w:ascii="SimSun" w:hAnsi="SimSun"/>
          <w:b/>
          <w:sz w:val="18"/>
          <w:szCs w:val="18"/>
        </w:rPr>
        <w:t>计划9</w:t>
      </w:r>
      <w:r w:rsidRPr="000D4F76">
        <w:rPr>
          <w:rFonts w:ascii="SimSun" w:hAnsi="SimSun" w:hint="eastAsia"/>
          <w:sz w:val="18"/>
          <w:szCs w:val="18"/>
        </w:rPr>
        <w:t>-</w:t>
      </w:r>
      <w:r w:rsidRPr="000D4F76">
        <w:rPr>
          <w:rFonts w:ascii="SimSun" w:hAnsi="SimSun"/>
          <w:sz w:val="18"/>
          <w:szCs w:val="18"/>
        </w:rPr>
        <w:t>非洲、阿拉伯、亚洲和太平洋、拉丁美洲和加勒比国家、最不发达国家</w:t>
      </w:r>
      <w:r w:rsidRPr="000D4F76">
        <w:rPr>
          <w:rFonts w:ascii="SimSun" w:hAnsi="SimSun" w:hint="eastAsia"/>
          <w:sz w:val="18"/>
          <w:szCs w:val="18"/>
        </w:rPr>
        <w:t>；</w:t>
      </w:r>
      <w:r w:rsidRPr="000D4F76">
        <w:rPr>
          <w:rFonts w:ascii="SimSun" w:hAnsi="SimSun" w:hint="eastAsia"/>
          <w:b/>
          <w:sz w:val="18"/>
          <w:szCs w:val="18"/>
        </w:rPr>
        <w:t>计划10</w:t>
      </w:r>
      <w:r w:rsidRPr="000D4F76">
        <w:rPr>
          <w:rFonts w:ascii="SimSun" w:hAnsi="SimSun" w:hint="eastAsia"/>
          <w:sz w:val="18"/>
          <w:szCs w:val="18"/>
        </w:rPr>
        <w:t>-转型国家和发达国家；</w:t>
      </w:r>
      <w:r w:rsidRPr="000D4F76">
        <w:rPr>
          <w:rFonts w:ascii="SimSun" w:hAnsi="SimSun"/>
          <w:b/>
          <w:sz w:val="18"/>
          <w:szCs w:val="18"/>
        </w:rPr>
        <w:t>计划11</w:t>
      </w:r>
      <w:r w:rsidRPr="000D4F76">
        <w:rPr>
          <w:rFonts w:ascii="SimSun" w:hAnsi="SimSun" w:hint="eastAsia"/>
          <w:sz w:val="18"/>
          <w:szCs w:val="18"/>
        </w:rPr>
        <w:t>-</w:t>
      </w:r>
      <w:r w:rsidRPr="000D4F76">
        <w:rPr>
          <w:rFonts w:ascii="SimSun" w:hAnsi="SimSun"/>
          <w:sz w:val="18"/>
          <w:szCs w:val="18"/>
        </w:rPr>
        <w:t>WIPO学院</w:t>
      </w:r>
      <w:r w:rsidRPr="000D4F76">
        <w:rPr>
          <w:rFonts w:ascii="SimSun" w:hAnsi="SimSun" w:hint="eastAsia"/>
          <w:sz w:val="18"/>
          <w:szCs w:val="18"/>
        </w:rPr>
        <w:t>；</w:t>
      </w:r>
      <w:r w:rsidRPr="000D4F76">
        <w:rPr>
          <w:rFonts w:ascii="SimSun" w:hAnsi="SimSun" w:hint="eastAsia"/>
          <w:b/>
          <w:sz w:val="18"/>
          <w:szCs w:val="18"/>
        </w:rPr>
        <w:t>计划12</w:t>
      </w:r>
      <w:r w:rsidRPr="000D4F76">
        <w:rPr>
          <w:rFonts w:ascii="SimSun" w:hAnsi="SimSun" w:hint="eastAsia"/>
          <w:sz w:val="18"/>
          <w:szCs w:val="18"/>
        </w:rPr>
        <w:t>-国际分类与标准；</w:t>
      </w:r>
      <w:r w:rsidRPr="000D4F76">
        <w:rPr>
          <w:rFonts w:ascii="SimSun" w:hAnsi="SimSun"/>
          <w:b/>
          <w:sz w:val="18"/>
          <w:szCs w:val="18"/>
        </w:rPr>
        <w:t>计划1</w:t>
      </w:r>
      <w:r w:rsidRPr="000D4F76">
        <w:rPr>
          <w:rFonts w:ascii="SimSun" w:hAnsi="SimSun" w:hint="eastAsia"/>
          <w:b/>
          <w:sz w:val="18"/>
          <w:szCs w:val="18"/>
        </w:rPr>
        <w:t>3</w:t>
      </w:r>
      <w:r w:rsidRPr="000D4F76">
        <w:rPr>
          <w:rFonts w:ascii="SimSun" w:hAnsi="SimSun" w:hint="eastAsia"/>
          <w:sz w:val="18"/>
          <w:szCs w:val="18"/>
        </w:rPr>
        <w:t>-</w:t>
      </w:r>
      <w:r w:rsidRPr="000D4F76">
        <w:rPr>
          <w:rFonts w:ascii="SimSun" w:hAnsi="SimSun"/>
          <w:sz w:val="18"/>
          <w:szCs w:val="18"/>
        </w:rPr>
        <w:t>全球数据库服务</w:t>
      </w:r>
      <w:r w:rsidRPr="000D4F76">
        <w:rPr>
          <w:rFonts w:ascii="SimSun" w:hAnsi="SimSun" w:hint="eastAsia"/>
          <w:sz w:val="18"/>
          <w:szCs w:val="18"/>
        </w:rPr>
        <w:t>；</w:t>
      </w:r>
      <w:r w:rsidRPr="000D4F76">
        <w:rPr>
          <w:rFonts w:ascii="SimSun" w:hAnsi="SimSun" w:hint="eastAsia"/>
          <w:b/>
          <w:sz w:val="18"/>
          <w:szCs w:val="18"/>
        </w:rPr>
        <w:t>计划14</w:t>
      </w:r>
      <w:r w:rsidRPr="000D4F76">
        <w:rPr>
          <w:rFonts w:ascii="SimSun" w:hAnsi="SimSun" w:hint="eastAsia"/>
          <w:sz w:val="18"/>
          <w:szCs w:val="18"/>
        </w:rPr>
        <w:t>-信息和知识获取服务；</w:t>
      </w:r>
      <w:r w:rsidRPr="000D4F76">
        <w:rPr>
          <w:rFonts w:ascii="SimSun" w:hAnsi="SimSun"/>
          <w:b/>
          <w:sz w:val="18"/>
          <w:szCs w:val="18"/>
        </w:rPr>
        <w:t>计划15</w:t>
      </w:r>
      <w:r w:rsidRPr="000D4F76">
        <w:rPr>
          <w:rFonts w:ascii="SimSun" w:hAnsi="SimSun" w:hint="eastAsia"/>
          <w:sz w:val="18"/>
          <w:szCs w:val="18"/>
        </w:rPr>
        <w:t>-</w:t>
      </w:r>
      <w:r w:rsidRPr="000D4F76">
        <w:rPr>
          <w:rFonts w:ascii="SimSun" w:hAnsi="SimSun"/>
          <w:sz w:val="18"/>
          <w:szCs w:val="18"/>
        </w:rPr>
        <w:t>知识产权局业务解决方案</w:t>
      </w:r>
      <w:r w:rsidRPr="000D4F76">
        <w:rPr>
          <w:rFonts w:ascii="SimSun" w:hAnsi="SimSun" w:hint="eastAsia"/>
          <w:sz w:val="18"/>
          <w:szCs w:val="18"/>
        </w:rPr>
        <w:t>；</w:t>
      </w:r>
      <w:r w:rsidRPr="000D4F76">
        <w:rPr>
          <w:rFonts w:ascii="SimSun" w:hAnsi="SimSun" w:hint="eastAsia"/>
          <w:b/>
          <w:sz w:val="18"/>
          <w:szCs w:val="18"/>
        </w:rPr>
        <w:t>计划16</w:t>
      </w:r>
      <w:r w:rsidRPr="000D4F76">
        <w:rPr>
          <w:rFonts w:ascii="SimSun" w:hAnsi="SimSun" w:hint="eastAsia"/>
          <w:sz w:val="18"/>
          <w:szCs w:val="18"/>
        </w:rPr>
        <w:t>-经济学与统计；</w:t>
      </w:r>
      <w:r w:rsidRPr="000D4F76">
        <w:rPr>
          <w:rFonts w:ascii="SimSun" w:hAnsi="SimSun" w:hint="eastAsia"/>
          <w:b/>
          <w:sz w:val="18"/>
          <w:szCs w:val="18"/>
        </w:rPr>
        <w:t>计划17</w:t>
      </w:r>
      <w:r w:rsidRPr="000D4F76">
        <w:rPr>
          <w:rFonts w:ascii="SimSun" w:hAnsi="SimSun" w:hint="eastAsia"/>
          <w:sz w:val="18"/>
          <w:szCs w:val="18"/>
        </w:rPr>
        <w:t>-树立尊重知识产权的风尚；</w:t>
      </w:r>
      <w:r w:rsidRPr="000D4F76">
        <w:rPr>
          <w:rFonts w:ascii="SimSun" w:hAnsi="SimSun" w:hint="eastAsia"/>
          <w:b/>
          <w:sz w:val="18"/>
          <w:szCs w:val="18"/>
        </w:rPr>
        <w:t>计划18</w:t>
      </w:r>
      <w:r w:rsidRPr="000D4F76">
        <w:rPr>
          <w:rFonts w:ascii="SimSun" w:hAnsi="SimSun" w:hint="eastAsia"/>
          <w:sz w:val="18"/>
          <w:szCs w:val="18"/>
        </w:rPr>
        <w:t>-知识产权与全球挑战；</w:t>
      </w:r>
      <w:r w:rsidRPr="000D4F76">
        <w:rPr>
          <w:rFonts w:ascii="SimSun" w:hAnsi="SimSun"/>
          <w:b/>
          <w:sz w:val="18"/>
          <w:szCs w:val="18"/>
        </w:rPr>
        <w:t>计划19</w:t>
      </w:r>
      <w:r w:rsidRPr="000D4F76">
        <w:rPr>
          <w:rFonts w:ascii="SimSun" w:hAnsi="SimSun" w:hint="eastAsia"/>
          <w:sz w:val="18"/>
          <w:szCs w:val="18"/>
        </w:rPr>
        <w:t>-</w:t>
      </w:r>
      <w:r w:rsidRPr="000D4F76">
        <w:rPr>
          <w:rFonts w:ascii="SimSun" w:hAnsi="SimSun"/>
          <w:sz w:val="18"/>
          <w:szCs w:val="18"/>
        </w:rPr>
        <w:t>传播</w:t>
      </w:r>
      <w:r w:rsidRPr="000D4F76">
        <w:rPr>
          <w:rFonts w:ascii="SimSun" w:hAnsi="SimSun" w:hint="eastAsia"/>
          <w:sz w:val="18"/>
          <w:szCs w:val="18"/>
        </w:rPr>
        <w:t>；</w:t>
      </w:r>
      <w:r w:rsidRPr="000D4F76">
        <w:rPr>
          <w:rFonts w:ascii="SimSun" w:hAnsi="SimSun"/>
          <w:b/>
          <w:sz w:val="18"/>
          <w:szCs w:val="18"/>
        </w:rPr>
        <w:t>计划2</w:t>
      </w:r>
      <w:r w:rsidRPr="000D4F76">
        <w:rPr>
          <w:rFonts w:ascii="SimSun" w:hAnsi="SimSun" w:hint="eastAsia"/>
          <w:b/>
          <w:sz w:val="18"/>
          <w:szCs w:val="18"/>
        </w:rPr>
        <w:t>0</w:t>
      </w:r>
      <w:r w:rsidRPr="000D4F76">
        <w:rPr>
          <w:rFonts w:ascii="SimSun" w:hAnsi="SimSun" w:hint="eastAsia"/>
          <w:sz w:val="18"/>
          <w:szCs w:val="18"/>
        </w:rPr>
        <w:t>-对外联系、合作伙伴关系和驻外办事处；</w:t>
      </w:r>
      <w:r w:rsidRPr="000D4F76">
        <w:rPr>
          <w:rFonts w:ascii="SimSun" w:hAnsi="SimSun" w:hint="eastAsia"/>
          <w:b/>
          <w:sz w:val="18"/>
          <w:szCs w:val="18"/>
        </w:rPr>
        <w:t>计划2</w:t>
      </w:r>
      <w:r w:rsidRPr="000D4F76">
        <w:rPr>
          <w:rFonts w:ascii="SimSun" w:hAnsi="SimSun"/>
          <w:b/>
          <w:sz w:val="18"/>
          <w:szCs w:val="18"/>
        </w:rPr>
        <w:t>1</w:t>
      </w:r>
      <w:r w:rsidRPr="000D4F76">
        <w:rPr>
          <w:rFonts w:ascii="SimSun" w:hAnsi="SimSun" w:hint="eastAsia"/>
          <w:sz w:val="18"/>
          <w:szCs w:val="18"/>
        </w:rPr>
        <w:t>-</w:t>
      </w:r>
      <w:r w:rsidRPr="000D4F76">
        <w:rPr>
          <w:rFonts w:ascii="SimSun" w:hAnsi="SimSun"/>
          <w:sz w:val="18"/>
          <w:szCs w:val="18"/>
        </w:rPr>
        <w:t>执行管理</w:t>
      </w:r>
      <w:r w:rsidRPr="000D4F76">
        <w:rPr>
          <w:rFonts w:ascii="SimSun" w:hAnsi="SimSun" w:hint="eastAsia"/>
          <w:sz w:val="18"/>
          <w:szCs w:val="18"/>
        </w:rPr>
        <w:t>；</w:t>
      </w:r>
      <w:r w:rsidRPr="000D4F76">
        <w:rPr>
          <w:rFonts w:ascii="SimSun" w:hAnsi="SimSun"/>
          <w:b/>
          <w:sz w:val="18"/>
          <w:szCs w:val="18"/>
        </w:rPr>
        <w:t>计划22</w:t>
      </w:r>
      <w:r w:rsidRPr="000D4F76">
        <w:rPr>
          <w:rFonts w:ascii="SimSun" w:hAnsi="SimSun" w:hint="eastAsia"/>
          <w:sz w:val="18"/>
          <w:szCs w:val="18"/>
        </w:rPr>
        <w:t>-</w:t>
      </w:r>
      <w:r w:rsidRPr="000D4F76">
        <w:rPr>
          <w:rFonts w:ascii="SimSun" w:hAnsi="SimSun"/>
          <w:sz w:val="18"/>
          <w:szCs w:val="18"/>
        </w:rPr>
        <w:t>计划与资源管理</w:t>
      </w:r>
      <w:r w:rsidRPr="000D4F76">
        <w:rPr>
          <w:rFonts w:ascii="SimSun" w:hAnsi="SimSun" w:hint="eastAsia"/>
          <w:sz w:val="18"/>
          <w:szCs w:val="18"/>
        </w:rPr>
        <w:t>；</w:t>
      </w:r>
      <w:r w:rsidRPr="000D4F76">
        <w:rPr>
          <w:rFonts w:ascii="SimSun" w:hAnsi="SimSun"/>
          <w:b/>
          <w:sz w:val="18"/>
          <w:szCs w:val="18"/>
        </w:rPr>
        <w:t>计划23</w:t>
      </w:r>
      <w:r w:rsidRPr="000D4F76">
        <w:rPr>
          <w:rFonts w:ascii="SimSun" w:hAnsi="SimSun" w:hint="eastAsia"/>
          <w:sz w:val="18"/>
          <w:szCs w:val="18"/>
        </w:rPr>
        <w:t>-</w:t>
      </w:r>
      <w:r w:rsidRPr="000D4F76">
        <w:rPr>
          <w:rFonts w:ascii="SimSun" w:hAnsi="SimSun"/>
          <w:sz w:val="18"/>
          <w:szCs w:val="18"/>
        </w:rPr>
        <w:t>人力资源管理与开发</w:t>
      </w:r>
      <w:r w:rsidRPr="000D4F76">
        <w:rPr>
          <w:rFonts w:ascii="SimSun" w:hAnsi="SimSun" w:hint="eastAsia"/>
          <w:sz w:val="18"/>
          <w:szCs w:val="18"/>
        </w:rPr>
        <w:t>；</w:t>
      </w:r>
      <w:r w:rsidRPr="000D4F76">
        <w:rPr>
          <w:rFonts w:ascii="SimSun" w:hAnsi="SimSun"/>
          <w:b/>
          <w:sz w:val="18"/>
          <w:szCs w:val="18"/>
        </w:rPr>
        <w:t>计划24</w:t>
      </w:r>
      <w:r w:rsidRPr="000D4F76">
        <w:rPr>
          <w:rFonts w:ascii="SimSun" w:hAnsi="SimSun" w:hint="eastAsia"/>
          <w:sz w:val="18"/>
          <w:szCs w:val="18"/>
        </w:rPr>
        <w:t>-</w:t>
      </w:r>
      <w:r w:rsidRPr="000D4F76">
        <w:rPr>
          <w:rFonts w:ascii="SimSun" w:hAnsi="SimSun"/>
          <w:sz w:val="18"/>
          <w:szCs w:val="18"/>
        </w:rPr>
        <w:t>一般性支助服务</w:t>
      </w:r>
      <w:r w:rsidRPr="000D4F76">
        <w:rPr>
          <w:rFonts w:ascii="SimSun" w:hAnsi="SimSun" w:hint="eastAsia"/>
          <w:sz w:val="18"/>
          <w:szCs w:val="18"/>
        </w:rPr>
        <w:t>；</w:t>
      </w:r>
      <w:r w:rsidRPr="000D4F76">
        <w:rPr>
          <w:rFonts w:ascii="SimSun" w:hAnsi="SimSun"/>
          <w:b/>
          <w:sz w:val="18"/>
          <w:szCs w:val="18"/>
        </w:rPr>
        <w:t>计划25</w:t>
      </w:r>
      <w:r w:rsidRPr="000D4F76">
        <w:rPr>
          <w:rFonts w:ascii="SimSun" w:hAnsi="SimSun" w:hint="eastAsia"/>
          <w:sz w:val="18"/>
          <w:szCs w:val="18"/>
        </w:rPr>
        <w:t>-</w:t>
      </w:r>
      <w:r w:rsidRPr="000D4F76">
        <w:rPr>
          <w:rFonts w:ascii="SimSun" w:hAnsi="SimSun"/>
          <w:sz w:val="18"/>
          <w:szCs w:val="18"/>
        </w:rPr>
        <w:t>信息与通信技术</w:t>
      </w:r>
      <w:r w:rsidRPr="000D4F76">
        <w:rPr>
          <w:rFonts w:ascii="SimSun" w:hAnsi="SimSun" w:hint="eastAsia"/>
          <w:sz w:val="18"/>
          <w:szCs w:val="18"/>
        </w:rPr>
        <w:t>；</w:t>
      </w:r>
      <w:r w:rsidRPr="000D4F76">
        <w:rPr>
          <w:rFonts w:ascii="SimSun" w:hAnsi="SimSun" w:hint="eastAsia"/>
          <w:b/>
          <w:sz w:val="18"/>
          <w:szCs w:val="18"/>
        </w:rPr>
        <w:t>计划26</w:t>
      </w:r>
      <w:r w:rsidRPr="000D4F76">
        <w:rPr>
          <w:rFonts w:ascii="SimSun" w:hAnsi="SimSun" w:hint="eastAsia"/>
          <w:sz w:val="18"/>
          <w:szCs w:val="18"/>
        </w:rPr>
        <w:t>-内部监督司；</w:t>
      </w:r>
      <w:r w:rsidRPr="000D4F76">
        <w:rPr>
          <w:rFonts w:ascii="SimSun" w:hAnsi="SimSun"/>
          <w:b/>
          <w:sz w:val="18"/>
          <w:szCs w:val="18"/>
        </w:rPr>
        <w:t>计划27</w:t>
      </w:r>
      <w:r w:rsidRPr="000D4F76">
        <w:rPr>
          <w:rFonts w:ascii="SimSun" w:hAnsi="SimSun" w:hint="eastAsia"/>
          <w:sz w:val="18"/>
          <w:szCs w:val="18"/>
        </w:rPr>
        <w:t>-</w:t>
      </w:r>
      <w:r w:rsidRPr="000D4F76">
        <w:rPr>
          <w:rFonts w:ascii="SimSun" w:hAnsi="SimSun"/>
          <w:sz w:val="18"/>
          <w:szCs w:val="18"/>
        </w:rPr>
        <w:t>会务与语文服务</w:t>
      </w:r>
      <w:r w:rsidRPr="000D4F76">
        <w:rPr>
          <w:rFonts w:ascii="SimSun" w:hAnsi="SimSun" w:hint="eastAsia"/>
          <w:sz w:val="18"/>
          <w:szCs w:val="18"/>
        </w:rPr>
        <w:t>；</w:t>
      </w:r>
      <w:r w:rsidRPr="000D4F76">
        <w:rPr>
          <w:rFonts w:ascii="SimSun" w:hAnsi="SimSun"/>
          <w:b/>
          <w:sz w:val="18"/>
          <w:szCs w:val="18"/>
        </w:rPr>
        <w:t>计划28</w:t>
      </w:r>
      <w:r w:rsidRPr="000D4F76">
        <w:rPr>
          <w:rFonts w:ascii="SimSun" w:hAnsi="SimSun" w:hint="eastAsia"/>
          <w:sz w:val="18"/>
          <w:szCs w:val="18"/>
        </w:rPr>
        <w:t>-</w:t>
      </w:r>
      <w:r w:rsidRPr="000D4F76">
        <w:rPr>
          <w:rFonts w:ascii="SimSun" w:hAnsi="SimSun"/>
          <w:sz w:val="18"/>
          <w:szCs w:val="18"/>
        </w:rPr>
        <w:t>信息安全保障、安全与安保</w:t>
      </w:r>
      <w:r w:rsidRPr="000D4F76">
        <w:rPr>
          <w:rFonts w:ascii="SimSun" w:hAnsi="SimSun" w:hint="eastAsia"/>
          <w:sz w:val="18"/>
          <w:szCs w:val="18"/>
        </w:rPr>
        <w:t>；</w:t>
      </w:r>
      <w:r w:rsidRPr="000D4F76">
        <w:rPr>
          <w:rFonts w:ascii="SimSun" w:hAnsi="SimSun"/>
          <w:b/>
          <w:sz w:val="18"/>
          <w:szCs w:val="18"/>
        </w:rPr>
        <w:t>计划30</w:t>
      </w:r>
      <w:r w:rsidRPr="000D4F76">
        <w:rPr>
          <w:rFonts w:ascii="SimSun" w:hAnsi="SimSun" w:hint="eastAsia"/>
          <w:sz w:val="18"/>
          <w:szCs w:val="18"/>
        </w:rPr>
        <w:t>-</w:t>
      </w:r>
      <w:r w:rsidRPr="000D4F76">
        <w:rPr>
          <w:rFonts w:ascii="SimSun" w:hAnsi="SimSun"/>
          <w:sz w:val="18"/>
          <w:szCs w:val="18"/>
        </w:rPr>
        <w:t>中小企业与</w:t>
      </w:r>
      <w:r w:rsidRPr="000D4F76">
        <w:rPr>
          <w:rFonts w:ascii="SimSun" w:hAnsi="SimSun" w:hint="eastAsia"/>
          <w:sz w:val="18"/>
          <w:szCs w:val="18"/>
        </w:rPr>
        <w:t>创业支助；</w:t>
      </w:r>
      <w:r w:rsidRPr="000D4F76">
        <w:rPr>
          <w:rFonts w:ascii="SimSun" w:hAnsi="SimSun"/>
          <w:b/>
          <w:sz w:val="18"/>
          <w:szCs w:val="18"/>
        </w:rPr>
        <w:t>计划31</w:t>
      </w:r>
      <w:r w:rsidRPr="000D4F76">
        <w:rPr>
          <w:rFonts w:ascii="SimSun" w:hAnsi="SimSun" w:hint="eastAsia"/>
          <w:sz w:val="18"/>
          <w:szCs w:val="18"/>
        </w:rPr>
        <w:t>-</w:t>
      </w:r>
      <w:r w:rsidRPr="000D4F76">
        <w:rPr>
          <w:rFonts w:ascii="SimSun" w:hAnsi="SimSun"/>
          <w:sz w:val="18"/>
          <w:szCs w:val="18"/>
        </w:rPr>
        <w:t>海牙体系</w:t>
      </w:r>
      <w:r w:rsidRPr="000D4F76">
        <w:rPr>
          <w:rFonts w:ascii="SimSun" w:hAnsi="SimSun" w:hint="eastAsia"/>
          <w:sz w:val="18"/>
          <w:szCs w:val="18"/>
        </w:rPr>
        <w:t>；</w:t>
      </w:r>
      <w:r w:rsidRPr="000D4F76">
        <w:rPr>
          <w:rFonts w:ascii="SimSun" w:hAnsi="SimSun" w:hint="eastAsia"/>
          <w:b/>
          <w:sz w:val="18"/>
          <w:szCs w:val="18"/>
        </w:rPr>
        <w:t>计划32</w:t>
      </w:r>
      <w:r w:rsidRPr="000D4F76">
        <w:rPr>
          <w:rFonts w:ascii="SimSun" w:hAnsi="SimSun" w:hint="eastAsia"/>
          <w:sz w:val="18"/>
          <w:szCs w:val="18"/>
        </w:rPr>
        <w:t>-里斯本体系</w:t>
      </w:r>
      <w:r w:rsidRPr="000D4F76">
        <w:rPr>
          <w:rFonts w:ascii="SimSun" w:hAnsi="SimSun"/>
          <w:sz w:val="18"/>
          <w:szCs w:val="18"/>
        </w:rPr>
        <w:t>。</w:t>
      </w:r>
    </w:p>
  </w:footnote>
  <w:footnote w:id="11">
    <w:p w:rsidR="003C6934" w:rsidRPr="00D84F59" w:rsidRDefault="003C6934" w:rsidP="000B1486">
      <w:pPr>
        <w:pStyle w:val="a9"/>
        <w:rPr>
          <w:rFonts w:ascii="SimSun" w:hAnsi="SimSun"/>
        </w:rPr>
      </w:pPr>
      <w:r w:rsidRPr="00D84F59">
        <w:rPr>
          <w:rStyle w:val="af"/>
          <w:rFonts w:ascii="SimSun" w:hAnsi="SimSun"/>
        </w:rPr>
        <w:t>10</w:t>
      </w:r>
      <w:r w:rsidRPr="00D84F59">
        <w:rPr>
          <w:rFonts w:ascii="SimSun" w:hAnsi="SimSun"/>
        </w:rPr>
        <w:t xml:space="preserve"> </w:t>
      </w:r>
      <w:r w:rsidRPr="00D84F59">
        <w:rPr>
          <w:rFonts w:ascii="SimSun" w:hAnsi="SimSun" w:hint="eastAsia"/>
        </w:rPr>
        <w:t>《章程》第26段（g）项。</w:t>
      </w:r>
    </w:p>
  </w:footnote>
  <w:footnote w:id="12">
    <w:p w:rsidR="003C6934" w:rsidRPr="00D84F59" w:rsidRDefault="003C6934" w:rsidP="009C413B">
      <w:pPr>
        <w:pStyle w:val="a9"/>
        <w:jc w:val="both"/>
        <w:rPr>
          <w:rFonts w:ascii="SimSun" w:hAnsi="SimSun"/>
        </w:rPr>
      </w:pPr>
      <w:r w:rsidRPr="00D84F59">
        <w:rPr>
          <w:rStyle w:val="af"/>
          <w:rFonts w:ascii="SimSun" w:hAnsi="SimSun"/>
        </w:rPr>
        <w:t>11</w:t>
      </w:r>
      <w:r w:rsidRPr="00D84F59">
        <w:rPr>
          <w:rFonts w:ascii="SimSun" w:hAnsi="SimSun"/>
        </w:rPr>
        <w:t xml:space="preserve"> </w:t>
      </w:r>
      <w:r w:rsidRPr="00D84F59">
        <w:rPr>
          <w:rFonts w:ascii="SimSun" w:hAnsi="SimSun" w:hint="eastAsia"/>
        </w:rPr>
        <w:t>《</w:t>
      </w:r>
      <w:r>
        <w:rPr>
          <w:rFonts w:ascii="SimSun" w:hAnsi="SimSun" w:hint="eastAsia"/>
        </w:rPr>
        <w:t>内部监督</w:t>
      </w:r>
      <w:r w:rsidRPr="00D84F59">
        <w:rPr>
          <w:rFonts w:ascii="SimSun" w:hAnsi="SimSun" w:hint="eastAsia"/>
        </w:rPr>
        <w:t>章程》第45段（</w:t>
      </w:r>
      <w:proofErr w:type="spellStart"/>
      <w:r w:rsidRPr="00D84F59">
        <w:rPr>
          <w:rFonts w:ascii="SimSun" w:hAnsi="SimSun" w:hint="eastAsia"/>
        </w:rPr>
        <w:t>i</w:t>
      </w:r>
      <w:proofErr w:type="spellEnd"/>
      <w:r w:rsidRPr="00D84F59">
        <w:rPr>
          <w:rFonts w:ascii="SimSun" w:hAnsi="SimSun" w:hint="eastAsia"/>
        </w:rPr>
        <w:t>）项。</w:t>
      </w:r>
    </w:p>
  </w:footnote>
  <w:footnote w:id="13">
    <w:p w:rsidR="003C6934" w:rsidRPr="00D84F59" w:rsidRDefault="003C6934" w:rsidP="009C413B">
      <w:pPr>
        <w:pStyle w:val="a9"/>
        <w:jc w:val="both"/>
        <w:rPr>
          <w:rFonts w:ascii="SimSun" w:hAnsi="SimSun"/>
        </w:rPr>
      </w:pPr>
      <w:r w:rsidRPr="00D84F59">
        <w:rPr>
          <w:rStyle w:val="af"/>
          <w:rFonts w:ascii="SimSun" w:hAnsi="SimSun"/>
        </w:rPr>
        <w:t>12</w:t>
      </w:r>
      <w:r w:rsidRPr="00D84F59">
        <w:rPr>
          <w:rFonts w:ascii="SimSun" w:hAnsi="SimSun" w:hint="eastAsia"/>
        </w:rPr>
        <w:t xml:space="preserve"> 该比例是根据监督司调剂使用后的预算得出的。</w:t>
      </w:r>
    </w:p>
  </w:footnote>
  <w:footnote w:id="14">
    <w:p w:rsidR="003C6934" w:rsidRPr="00C53DD9" w:rsidRDefault="003C6934" w:rsidP="009C413B">
      <w:pPr>
        <w:pStyle w:val="a9"/>
        <w:jc w:val="both"/>
        <w:rPr>
          <w:rFonts w:ascii="SimSun" w:hAnsi="SimSun"/>
        </w:rPr>
      </w:pPr>
      <w:r w:rsidRPr="00C53DD9">
        <w:rPr>
          <w:rStyle w:val="af"/>
          <w:rFonts w:ascii="SimSun" w:hAnsi="SimSun"/>
        </w:rPr>
        <w:t>13</w:t>
      </w:r>
      <w:r w:rsidRPr="00C53DD9">
        <w:rPr>
          <w:rFonts w:ascii="SimSun" w:hAnsi="SimSun"/>
        </w:rPr>
        <w:t xml:space="preserve"> </w:t>
      </w:r>
      <w:r w:rsidRPr="00C53DD9">
        <w:rPr>
          <w:rFonts w:ascii="SimSun" w:hAnsi="SimSun" w:hint="eastAsia"/>
        </w:rPr>
        <w:t>单位：</w:t>
      </w:r>
      <w:proofErr w:type="gramStart"/>
      <w:r w:rsidRPr="00C53DD9">
        <w:rPr>
          <w:rFonts w:ascii="SimSun" w:hAnsi="SimSun" w:hint="eastAsia"/>
        </w:rPr>
        <w:t>千瑞郎</w:t>
      </w:r>
      <w:proofErr w:type="gramEnd"/>
      <w:r w:rsidRPr="00C53DD9">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D95F12">
    <w:pPr>
      <w:jc w:val="center"/>
      <w:rPr>
        <w:color w:val="000000"/>
        <w:sz w:val="17"/>
      </w:rPr>
    </w:pPr>
    <w:bookmarkStart w:id="2" w:name="TITUS1HeaderEvenPages"/>
    <w:r>
      <w:rPr>
        <w:color w:val="000000"/>
        <w:sz w:val="17"/>
      </w:rPr>
      <w:t xml:space="preserve"> </w:t>
    </w:r>
  </w:p>
  <w:bookmarkEnd w:id="2"/>
  <w:p w:rsidR="003C6934" w:rsidRDefault="003C6934" w:rsidP="00477D6B">
    <w:pPr>
      <w:jc w:val="right"/>
    </w:pPr>
    <w:r>
      <w:t>WO/GA/46/</w:t>
    </w:r>
  </w:p>
  <w:p w:rsidR="003C6934" w:rsidRDefault="003C6934" w:rsidP="00477D6B">
    <w:pPr>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fldChar w:fldCharType="end"/>
    </w:r>
  </w:p>
  <w:p w:rsidR="003C6934" w:rsidRDefault="003C6934"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pPr>
      <w:jc w:val="center"/>
      <w:rPr>
        <w:color w:val="000000"/>
        <w:sz w:val="17"/>
      </w:rPr>
    </w:pPr>
    <w:bookmarkStart w:id="123" w:name="TITUS5HeaderPrimary"/>
    <w:r>
      <w:rPr>
        <w:color w:val="000000"/>
        <w:sz w:val="17"/>
      </w:rPr>
      <w:t xml:space="preserve"> </w:t>
    </w:r>
  </w:p>
  <w:p w:rsidR="003C6934" w:rsidRDefault="003C6934">
    <w:pPr>
      <w:jc w:val="center"/>
      <w:rPr>
        <w:color w:val="000000"/>
        <w:sz w:val="17"/>
      </w:rPr>
    </w:pPr>
  </w:p>
  <w:p w:rsidR="003C6934" w:rsidRDefault="003C6934" w:rsidP="00D95F12">
    <w:pPr>
      <w:jc w:val="center"/>
      <w:rPr>
        <w:color w:val="000000"/>
        <w:sz w:val="17"/>
      </w:rPr>
    </w:pPr>
    <w:bookmarkStart w:id="124" w:name="TITUS4HeaderPrimary"/>
    <w:bookmarkEnd w:id="123"/>
    <w:r>
      <w:rPr>
        <w:color w:val="000000"/>
        <w:sz w:val="17"/>
      </w:rPr>
      <w:t xml:space="preserve"> </w:t>
    </w:r>
  </w:p>
  <w:bookmarkEnd w:id="124"/>
  <w:p w:rsidR="003C6934" w:rsidRPr="00F87303" w:rsidRDefault="003C6934" w:rsidP="00E365E6">
    <w:pPr>
      <w:jc w:val="right"/>
    </w:pPr>
    <w:r>
      <w:t>WO/PBC/28</w:t>
    </w:r>
    <w:r w:rsidRPr="00E204EC">
      <w:t>/</w:t>
    </w:r>
    <w:r>
      <w:t>5</w:t>
    </w:r>
  </w:p>
  <w:p w:rsidR="003C6934" w:rsidRPr="00E365E6" w:rsidRDefault="003C6934" w:rsidP="001B5644">
    <w:pPr>
      <w:pStyle w:val="aa"/>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6B3946" w:rsidRDefault="003C6934" w:rsidP="001E2D32">
    <w:pPr>
      <w:jc w:val="right"/>
      <w:rPr>
        <w:rFonts w:asciiTheme="minorEastAsia" w:eastAsiaTheme="minorEastAsia" w:hAnsiTheme="minorEastAsia"/>
        <w:sz w:val="21"/>
        <w:szCs w:val="21"/>
        <w:lang w:val="fr-FR"/>
      </w:rPr>
    </w:pPr>
    <w:r w:rsidRPr="006B3946">
      <w:rPr>
        <w:rFonts w:asciiTheme="minorEastAsia" w:eastAsiaTheme="minorEastAsia" w:hAnsiTheme="minorEastAsia"/>
        <w:sz w:val="21"/>
        <w:szCs w:val="21"/>
        <w:lang w:val="fr-FR"/>
      </w:rPr>
      <w:t>WO/PBC/28/5</w:t>
    </w:r>
  </w:p>
  <w:p w:rsidR="003C6934" w:rsidRPr="006B3946" w:rsidRDefault="003C6934" w:rsidP="001E2D32">
    <w:pPr>
      <w:pStyle w:val="aa"/>
      <w:jc w:val="right"/>
      <w:rPr>
        <w:rFonts w:asciiTheme="minorEastAsia" w:eastAsiaTheme="minorEastAsia" w:hAnsiTheme="minorEastAsia"/>
        <w:sz w:val="21"/>
        <w:szCs w:val="21"/>
        <w:lang w:val="fr-FR"/>
      </w:rPr>
    </w:pPr>
    <w:r>
      <w:rPr>
        <w:rFonts w:asciiTheme="minorEastAsia" w:eastAsiaTheme="minorEastAsia" w:hAnsiTheme="minorEastAsia" w:hint="eastAsia"/>
        <w:sz w:val="21"/>
        <w:szCs w:val="21"/>
        <w:lang w:val="fr-FR"/>
      </w:rPr>
      <w:t>附　件</w:t>
    </w:r>
  </w:p>
  <w:p w:rsidR="003C6934" w:rsidRPr="00524915" w:rsidRDefault="003C6934" w:rsidP="006B3946">
    <w:pPr>
      <w:pStyle w:val="aa"/>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477D6B">
    <w:pPr>
      <w:jc w:val="right"/>
    </w:pPr>
    <w:bookmarkStart w:id="3" w:name="Code2"/>
    <w:bookmarkEnd w:id="3"/>
    <w:r>
      <w:t>WO/GA/46/</w:t>
    </w:r>
  </w:p>
  <w:p w:rsidR="003C6934" w:rsidRDefault="003C6934" w:rsidP="00D95F12">
    <w:pPr>
      <w:jc w:val="center"/>
      <w:rPr>
        <w:color w:val="000000"/>
        <w:sz w:val="17"/>
      </w:rPr>
    </w:pPr>
    <w:bookmarkStart w:id="4" w:name="TITUS1HeaderPrimary"/>
    <w:r>
      <w:rPr>
        <w:color w:val="000000"/>
        <w:sz w:val="17"/>
      </w:rPr>
      <w:t xml:space="preserve"> </w:t>
    </w:r>
  </w:p>
  <w:bookmarkEnd w:id="4"/>
  <w:p w:rsidR="003C6934" w:rsidRDefault="003C6934" w:rsidP="00477D6B">
    <w:pPr>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fldChar w:fldCharType="end"/>
    </w:r>
  </w:p>
  <w:p w:rsidR="003C6934" w:rsidRDefault="003C693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D95F12">
    <w:pPr>
      <w:jc w:val="center"/>
      <w:rPr>
        <w:color w:val="000000"/>
        <w:sz w:val="17"/>
      </w:rPr>
    </w:pPr>
    <w:bookmarkStart w:id="7" w:name="TITUS2HeaderEvenPages"/>
    <w:r>
      <w:rPr>
        <w:color w:val="000000"/>
        <w:sz w:val="17"/>
      </w:rPr>
      <w:t xml:space="preserve"> </w:t>
    </w:r>
  </w:p>
  <w:bookmarkEnd w:id="7"/>
  <w:p w:rsidR="003C6934" w:rsidRDefault="003C6934" w:rsidP="00477D6B">
    <w:pPr>
      <w:jc w:val="right"/>
    </w:pPr>
    <w:r>
      <w:t>WO/GA/46/</w:t>
    </w:r>
  </w:p>
  <w:p w:rsidR="003C6934" w:rsidRDefault="003C6934" w:rsidP="00477D6B">
    <w:pPr>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fldChar w:fldCharType="end"/>
    </w:r>
  </w:p>
  <w:p w:rsidR="003C6934" w:rsidRDefault="003C6934"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D95F12">
    <w:pPr>
      <w:jc w:val="center"/>
      <w:rPr>
        <w:color w:val="000000"/>
        <w:sz w:val="17"/>
      </w:rPr>
    </w:pPr>
    <w:bookmarkStart w:id="8" w:name="TITUS2HeaderPrimary"/>
    <w:r>
      <w:rPr>
        <w:color w:val="000000"/>
        <w:sz w:val="17"/>
      </w:rPr>
      <w:t xml:space="preserve"> </w:t>
    </w:r>
  </w:p>
  <w:bookmarkEnd w:id="8"/>
  <w:p w:rsidR="003C6934" w:rsidRDefault="003C6934" w:rsidP="00477D6B">
    <w:pPr>
      <w:jc w:val="right"/>
    </w:pPr>
    <w:r>
      <w:t>WO/GA/46/</w:t>
    </w:r>
  </w:p>
  <w:p w:rsidR="003C6934" w:rsidRDefault="003C6934" w:rsidP="00477D6B">
    <w:pPr>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fldChar w:fldCharType="end"/>
    </w:r>
  </w:p>
  <w:p w:rsidR="003C6934" w:rsidRDefault="003C693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B429F9" w:rsidRDefault="003C6934" w:rsidP="00E365E6">
    <w:pPr>
      <w:jc w:val="right"/>
      <w:rPr>
        <w:rFonts w:asciiTheme="minorEastAsia" w:eastAsiaTheme="minorEastAsia" w:hAnsiTheme="minorEastAsia"/>
        <w:sz w:val="21"/>
        <w:szCs w:val="21"/>
      </w:rPr>
    </w:pPr>
    <w:r w:rsidRPr="00B429F9">
      <w:rPr>
        <w:rFonts w:asciiTheme="minorEastAsia" w:eastAsiaTheme="minorEastAsia" w:hAnsiTheme="minorEastAsia"/>
        <w:sz w:val="21"/>
        <w:szCs w:val="21"/>
      </w:rPr>
      <w:t>WO/PBC/28/5</w:t>
    </w:r>
  </w:p>
  <w:p w:rsidR="003C6934" w:rsidRPr="00B429F9" w:rsidRDefault="003C6934" w:rsidP="001B5644">
    <w:pPr>
      <w:pStyle w:val="aa"/>
      <w:jc w:val="right"/>
      <w:rPr>
        <w:rFonts w:asciiTheme="minorEastAsia" w:eastAsiaTheme="minorEastAsia" w:hAnsiTheme="minorEastAsia"/>
        <w:sz w:val="21"/>
        <w:szCs w:val="21"/>
      </w:rPr>
    </w:pPr>
    <w:r w:rsidRPr="00B429F9">
      <w:rPr>
        <w:rFonts w:asciiTheme="minorEastAsia" w:eastAsiaTheme="minorEastAsia" w:hAnsiTheme="minorEastAsia" w:hint="eastAsia"/>
        <w:sz w:val="21"/>
        <w:szCs w:val="21"/>
      </w:rPr>
      <w:t>第</w:t>
    </w:r>
    <w:r w:rsidRPr="00B429F9">
      <w:rPr>
        <w:rFonts w:asciiTheme="minorEastAsia" w:eastAsiaTheme="minorEastAsia" w:hAnsiTheme="minorEastAsia"/>
        <w:sz w:val="21"/>
        <w:szCs w:val="21"/>
      </w:rPr>
      <w:fldChar w:fldCharType="begin"/>
    </w:r>
    <w:r w:rsidRPr="00B429F9">
      <w:rPr>
        <w:rFonts w:asciiTheme="minorEastAsia" w:eastAsiaTheme="minorEastAsia" w:hAnsiTheme="minorEastAsia"/>
        <w:sz w:val="21"/>
        <w:szCs w:val="21"/>
      </w:rPr>
      <w:instrText xml:space="preserve"> PAGE   \* MERGEFORMAT </w:instrText>
    </w:r>
    <w:r w:rsidRPr="00B429F9">
      <w:rPr>
        <w:rFonts w:asciiTheme="minorEastAsia" w:eastAsiaTheme="minorEastAsia" w:hAnsiTheme="minorEastAsia"/>
        <w:sz w:val="21"/>
        <w:szCs w:val="21"/>
      </w:rPr>
      <w:fldChar w:fldCharType="separate"/>
    </w:r>
    <w:r w:rsidR="009B6790">
      <w:rPr>
        <w:rFonts w:asciiTheme="minorEastAsia" w:eastAsiaTheme="minorEastAsia" w:hAnsiTheme="minorEastAsia"/>
        <w:noProof/>
        <w:sz w:val="21"/>
        <w:szCs w:val="21"/>
      </w:rPr>
      <w:t>2</w:t>
    </w:r>
    <w:r w:rsidRPr="00B429F9">
      <w:rPr>
        <w:rFonts w:asciiTheme="minorEastAsia" w:eastAsiaTheme="minorEastAsia" w:hAnsiTheme="minorEastAsia"/>
        <w:noProof/>
        <w:sz w:val="21"/>
        <w:szCs w:val="21"/>
      </w:rPr>
      <w:fldChar w:fldCharType="end"/>
    </w:r>
    <w:r w:rsidRPr="00B429F9">
      <w:rPr>
        <w:rFonts w:asciiTheme="minorEastAsia" w:eastAsiaTheme="minorEastAsia" w:hAnsiTheme="minorEastAsia" w:hint="eastAsia"/>
        <w:noProof/>
        <w:sz w:val="21"/>
        <w:szCs w:val="21"/>
      </w:rPr>
      <w:t>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792C08" w:rsidRDefault="003C6934" w:rsidP="00E365E6">
    <w:pPr>
      <w:jc w:val="right"/>
      <w:rPr>
        <w:rFonts w:asciiTheme="minorEastAsia" w:eastAsiaTheme="minorEastAsia" w:hAnsiTheme="minorEastAsia"/>
        <w:sz w:val="21"/>
        <w:szCs w:val="21"/>
      </w:rPr>
    </w:pPr>
    <w:r w:rsidRPr="00792C08">
      <w:rPr>
        <w:rFonts w:asciiTheme="minorEastAsia" w:eastAsiaTheme="minorEastAsia" w:hAnsiTheme="minorEastAsia"/>
        <w:sz w:val="21"/>
        <w:szCs w:val="21"/>
      </w:rPr>
      <w:t>WO/PBC/28/5</w:t>
    </w:r>
  </w:p>
  <w:p w:rsidR="003C6934" w:rsidRDefault="003C6934" w:rsidP="001B5644">
    <w:pPr>
      <w:pStyle w:val="aa"/>
      <w:jc w:val="right"/>
      <w:rPr>
        <w:rFonts w:asciiTheme="minorEastAsia" w:eastAsiaTheme="minorEastAsia" w:hAnsiTheme="minorEastAsia"/>
        <w:noProof/>
        <w:sz w:val="21"/>
        <w:szCs w:val="21"/>
      </w:rPr>
    </w:pPr>
    <w:r w:rsidRPr="00792C08">
      <w:rPr>
        <w:rFonts w:asciiTheme="minorEastAsia" w:eastAsiaTheme="minorEastAsia" w:hAnsiTheme="minorEastAsia" w:hint="eastAsia"/>
        <w:sz w:val="21"/>
        <w:szCs w:val="21"/>
      </w:rPr>
      <w:t>第</w:t>
    </w:r>
    <w:r w:rsidRPr="00792C08">
      <w:rPr>
        <w:rFonts w:asciiTheme="minorEastAsia" w:eastAsiaTheme="minorEastAsia" w:hAnsiTheme="minorEastAsia"/>
        <w:sz w:val="21"/>
        <w:szCs w:val="21"/>
      </w:rPr>
      <w:fldChar w:fldCharType="begin"/>
    </w:r>
    <w:r w:rsidRPr="00792C08">
      <w:rPr>
        <w:rFonts w:asciiTheme="minorEastAsia" w:eastAsiaTheme="minorEastAsia" w:hAnsiTheme="minorEastAsia"/>
        <w:sz w:val="21"/>
        <w:szCs w:val="21"/>
      </w:rPr>
      <w:instrText xml:space="preserve"> PAGE   \* MERGEFORMAT </w:instrText>
    </w:r>
    <w:r w:rsidRPr="00792C08">
      <w:rPr>
        <w:rFonts w:asciiTheme="minorEastAsia" w:eastAsiaTheme="minorEastAsia" w:hAnsiTheme="minorEastAsia"/>
        <w:sz w:val="21"/>
        <w:szCs w:val="21"/>
      </w:rPr>
      <w:fldChar w:fldCharType="separate"/>
    </w:r>
    <w:r w:rsidR="009B6790">
      <w:rPr>
        <w:rFonts w:asciiTheme="minorEastAsia" w:eastAsiaTheme="minorEastAsia" w:hAnsiTheme="minorEastAsia"/>
        <w:noProof/>
        <w:sz w:val="21"/>
        <w:szCs w:val="21"/>
      </w:rPr>
      <w:t>17</w:t>
    </w:r>
    <w:r w:rsidRPr="00792C08">
      <w:rPr>
        <w:rFonts w:asciiTheme="minorEastAsia" w:eastAsiaTheme="minorEastAsia" w:hAnsiTheme="minorEastAsia"/>
        <w:noProof/>
        <w:sz w:val="21"/>
        <w:szCs w:val="21"/>
      </w:rPr>
      <w:fldChar w:fldCharType="end"/>
    </w:r>
    <w:r w:rsidRPr="00792C08">
      <w:rPr>
        <w:rFonts w:asciiTheme="minorEastAsia" w:eastAsiaTheme="minorEastAsia" w:hAnsiTheme="minorEastAsia" w:hint="eastAsia"/>
        <w:noProof/>
        <w:sz w:val="21"/>
        <w:szCs w:val="21"/>
      </w:rPr>
      <w:t>页</w:t>
    </w:r>
  </w:p>
  <w:p w:rsidR="003C6934" w:rsidRPr="00792C08" w:rsidRDefault="003C6934" w:rsidP="001B5644">
    <w:pPr>
      <w:pStyle w:val="aa"/>
      <w:jc w:val="right"/>
      <w:rPr>
        <w:rFonts w:asciiTheme="minorEastAsia" w:eastAsiaTheme="minorEastAsia" w:hAnsiTheme="minorEastAsia"/>
        <w:noProof/>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49376E" w:rsidRDefault="003C6934" w:rsidP="0049376E">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BC1221" w:rsidRDefault="003C6934" w:rsidP="00BC1221">
    <w:pPr>
      <w:ind w:right="53"/>
      <w:jc w:val="right"/>
      <w:rPr>
        <w:rFonts w:asciiTheme="minorEastAsia" w:eastAsiaTheme="minorEastAsia" w:hAnsiTheme="minorEastAsia"/>
        <w:sz w:val="21"/>
        <w:szCs w:val="21"/>
      </w:rPr>
    </w:pPr>
    <w:r w:rsidRPr="00BC1221">
      <w:rPr>
        <w:rFonts w:asciiTheme="minorEastAsia" w:eastAsiaTheme="minorEastAsia" w:hAnsiTheme="minorEastAsia"/>
        <w:sz w:val="21"/>
        <w:szCs w:val="21"/>
      </w:rPr>
      <w:t>WO/PBC/28/5</w:t>
    </w:r>
  </w:p>
  <w:p w:rsidR="003C6934" w:rsidRPr="00BC1221" w:rsidRDefault="00BC1221" w:rsidP="00BC1221">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DB0FF2"/>
    <w:multiLevelType w:val="multilevel"/>
    <w:tmpl w:val="8DA2E47E"/>
    <w:lvl w:ilvl="0">
      <w:start w:val="1"/>
      <w:numFmt w:val="decimal"/>
      <w:lvlRestart w:val="0"/>
      <w:pStyle w:val="ONUME"/>
      <w:lvlText w:val="%1."/>
      <w:lvlJc w:val="left"/>
      <w:pPr>
        <w:tabs>
          <w:tab w:val="num" w:pos="567"/>
        </w:tabs>
        <w:ind w:left="0" w:firstLine="0"/>
      </w:pPr>
      <w:rPr>
        <w:rFonts w:asciiTheme="minorEastAsia" w:eastAsiaTheme="minorEastAsia" w:hAnsiTheme="minorEastAsia"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Theme="minorEastAsia" w:eastAsiaTheme="minorEastAsia" w:hAnsiTheme="minorEastAsia" w:hint="default"/>
        <w:sz w:val="21"/>
        <w:szCs w:val="21"/>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rawingGridVerticalSpacing w:val="156"/>
  <w:displayHorizontalDrawingGridEvery w:val="0"/>
  <w:displayVerticalDrawingGridEvery w:val="0"/>
  <w:noPunctuationKerning/>
  <w:characterSpacingControl w:val="doNotCompress"/>
  <w:savePreviewPicture/>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0539"/>
    <w:rsid w:val="000056C0"/>
    <w:rsid w:val="0001114D"/>
    <w:rsid w:val="00011470"/>
    <w:rsid w:val="0001328D"/>
    <w:rsid w:val="00013805"/>
    <w:rsid w:val="0001799B"/>
    <w:rsid w:val="00017F8B"/>
    <w:rsid w:val="0002296B"/>
    <w:rsid w:val="00023B92"/>
    <w:rsid w:val="00025567"/>
    <w:rsid w:val="00027B5D"/>
    <w:rsid w:val="000307E4"/>
    <w:rsid w:val="00031392"/>
    <w:rsid w:val="000348C4"/>
    <w:rsid w:val="00034D49"/>
    <w:rsid w:val="00037502"/>
    <w:rsid w:val="00042215"/>
    <w:rsid w:val="00042A50"/>
    <w:rsid w:val="00043795"/>
    <w:rsid w:val="00043CAA"/>
    <w:rsid w:val="00043D48"/>
    <w:rsid w:val="00051643"/>
    <w:rsid w:val="00051B6D"/>
    <w:rsid w:val="00051EDA"/>
    <w:rsid w:val="000526EA"/>
    <w:rsid w:val="0005323C"/>
    <w:rsid w:val="00054C7F"/>
    <w:rsid w:val="00055010"/>
    <w:rsid w:val="00055F5A"/>
    <w:rsid w:val="000573E8"/>
    <w:rsid w:val="00072495"/>
    <w:rsid w:val="00074C9A"/>
    <w:rsid w:val="00075432"/>
    <w:rsid w:val="00075877"/>
    <w:rsid w:val="000802B5"/>
    <w:rsid w:val="00085B45"/>
    <w:rsid w:val="00091C15"/>
    <w:rsid w:val="0009210D"/>
    <w:rsid w:val="000921A9"/>
    <w:rsid w:val="00096403"/>
    <w:rsid w:val="0009671F"/>
    <w:rsid w:val="000968ED"/>
    <w:rsid w:val="000A00F5"/>
    <w:rsid w:val="000A1951"/>
    <w:rsid w:val="000A2FB8"/>
    <w:rsid w:val="000A5417"/>
    <w:rsid w:val="000A646E"/>
    <w:rsid w:val="000B0098"/>
    <w:rsid w:val="000B0A9C"/>
    <w:rsid w:val="000B1486"/>
    <w:rsid w:val="000B6352"/>
    <w:rsid w:val="000C4448"/>
    <w:rsid w:val="000D0188"/>
    <w:rsid w:val="000D4F76"/>
    <w:rsid w:val="000E150E"/>
    <w:rsid w:val="000E2FC8"/>
    <w:rsid w:val="000E713C"/>
    <w:rsid w:val="000E787F"/>
    <w:rsid w:val="000F04D4"/>
    <w:rsid w:val="000F14DE"/>
    <w:rsid w:val="000F3F26"/>
    <w:rsid w:val="000F5A9D"/>
    <w:rsid w:val="000F5E56"/>
    <w:rsid w:val="001040AF"/>
    <w:rsid w:val="00104E43"/>
    <w:rsid w:val="0011018F"/>
    <w:rsid w:val="001118B4"/>
    <w:rsid w:val="00113834"/>
    <w:rsid w:val="00113C89"/>
    <w:rsid w:val="0011516C"/>
    <w:rsid w:val="00116BBB"/>
    <w:rsid w:val="00124878"/>
    <w:rsid w:val="00124918"/>
    <w:rsid w:val="0012688E"/>
    <w:rsid w:val="00126C5A"/>
    <w:rsid w:val="0013256A"/>
    <w:rsid w:val="00133544"/>
    <w:rsid w:val="0013389F"/>
    <w:rsid w:val="001362EE"/>
    <w:rsid w:val="00137082"/>
    <w:rsid w:val="00140A13"/>
    <w:rsid w:val="00141877"/>
    <w:rsid w:val="001428AC"/>
    <w:rsid w:val="0014516E"/>
    <w:rsid w:val="00154A6C"/>
    <w:rsid w:val="001625B3"/>
    <w:rsid w:val="00163813"/>
    <w:rsid w:val="0016490F"/>
    <w:rsid w:val="00164C2D"/>
    <w:rsid w:val="00164F85"/>
    <w:rsid w:val="0016503D"/>
    <w:rsid w:val="00167E7A"/>
    <w:rsid w:val="00170578"/>
    <w:rsid w:val="00173108"/>
    <w:rsid w:val="0017311D"/>
    <w:rsid w:val="001733CC"/>
    <w:rsid w:val="00174A63"/>
    <w:rsid w:val="00176141"/>
    <w:rsid w:val="001811CF"/>
    <w:rsid w:val="001832A6"/>
    <w:rsid w:val="0018495B"/>
    <w:rsid w:val="001858C9"/>
    <w:rsid w:val="00187F3E"/>
    <w:rsid w:val="0019115C"/>
    <w:rsid w:val="001933D6"/>
    <w:rsid w:val="0019399A"/>
    <w:rsid w:val="00194341"/>
    <w:rsid w:val="00194920"/>
    <w:rsid w:val="001962C0"/>
    <w:rsid w:val="00196956"/>
    <w:rsid w:val="001A00E9"/>
    <w:rsid w:val="001A12DA"/>
    <w:rsid w:val="001A141A"/>
    <w:rsid w:val="001A149F"/>
    <w:rsid w:val="001A243B"/>
    <w:rsid w:val="001A39ED"/>
    <w:rsid w:val="001A56A8"/>
    <w:rsid w:val="001B314B"/>
    <w:rsid w:val="001B5644"/>
    <w:rsid w:val="001B6BF6"/>
    <w:rsid w:val="001B7B59"/>
    <w:rsid w:val="001C0542"/>
    <w:rsid w:val="001C1E16"/>
    <w:rsid w:val="001C3690"/>
    <w:rsid w:val="001C3954"/>
    <w:rsid w:val="001C3C72"/>
    <w:rsid w:val="001C4B61"/>
    <w:rsid w:val="001C673F"/>
    <w:rsid w:val="001D1C20"/>
    <w:rsid w:val="001D2703"/>
    <w:rsid w:val="001D28C2"/>
    <w:rsid w:val="001D59E5"/>
    <w:rsid w:val="001E109C"/>
    <w:rsid w:val="001E2D32"/>
    <w:rsid w:val="001E3E19"/>
    <w:rsid w:val="001E429A"/>
    <w:rsid w:val="001E7990"/>
    <w:rsid w:val="001F25F0"/>
    <w:rsid w:val="001F77FB"/>
    <w:rsid w:val="00202EAB"/>
    <w:rsid w:val="00214569"/>
    <w:rsid w:val="002172DD"/>
    <w:rsid w:val="00221F46"/>
    <w:rsid w:val="002222ED"/>
    <w:rsid w:val="00222EE0"/>
    <w:rsid w:val="0022315B"/>
    <w:rsid w:val="002278BC"/>
    <w:rsid w:val="002333D6"/>
    <w:rsid w:val="0023557C"/>
    <w:rsid w:val="002355F5"/>
    <w:rsid w:val="00236B57"/>
    <w:rsid w:val="00240678"/>
    <w:rsid w:val="00241F25"/>
    <w:rsid w:val="00246761"/>
    <w:rsid w:val="00246BD1"/>
    <w:rsid w:val="00247862"/>
    <w:rsid w:val="002527CE"/>
    <w:rsid w:val="0025317E"/>
    <w:rsid w:val="002539F1"/>
    <w:rsid w:val="00261946"/>
    <w:rsid w:val="00263055"/>
    <w:rsid w:val="002634C4"/>
    <w:rsid w:val="00272E85"/>
    <w:rsid w:val="00273442"/>
    <w:rsid w:val="00274518"/>
    <w:rsid w:val="00274898"/>
    <w:rsid w:val="00277318"/>
    <w:rsid w:val="00277898"/>
    <w:rsid w:val="00280C9A"/>
    <w:rsid w:val="002813D0"/>
    <w:rsid w:val="00283187"/>
    <w:rsid w:val="00283D9B"/>
    <w:rsid w:val="002861F4"/>
    <w:rsid w:val="00286D46"/>
    <w:rsid w:val="00287160"/>
    <w:rsid w:val="00287BB3"/>
    <w:rsid w:val="002918FE"/>
    <w:rsid w:val="002928D3"/>
    <w:rsid w:val="00294093"/>
    <w:rsid w:val="00294DD2"/>
    <w:rsid w:val="00294F58"/>
    <w:rsid w:val="00296563"/>
    <w:rsid w:val="002A3468"/>
    <w:rsid w:val="002A5FC3"/>
    <w:rsid w:val="002A6CA2"/>
    <w:rsid w:val="002A77D9"/>
    <w:rsid w:val="002B05D3"/>
    <w:rsid w:val="002B0C17"/>
    <w:rsid w:val="002B105E"/>
    <w:rsid w:val="002B1D11"/>
    <w:rsid w:val="002B6C16"/>
    <w:rsid w:val="002C0F66"/>
    <w:rsid w:val="002C313A"/>
    <w:rsid w:val="002C535F"/>
    <w:rsid w:val="002C5A06"/>
    <w:rsid w:val="002C740D"/>
    <w:rsid w:val="002D3262"/>
    <w:rsid w:val="002D78A6"/>
    <w:rsid w:val="002E3B12"/>
    <w:rsid w:val="002E3C6D"/>
    <w:rsid w:val="002E6912"/>
    <w:rsid w:val="002E7AED"/>
    <w:rsid w:val="002F1551"/>
    <w:rsid w:val="002F1FE6"/>
    <w:rsid w:val="002F33DE"/>
    <w:rsid w:val="002F4E68"/>
    <w:rsid w:val="002F79EC"/>
    <w:rsid w:val="00303667"/>
    <w:rsid w:val="0030388E"/>
    <w:rsid w:val="00311117"/>
    <w:rsid w:val="00311A89"/>
    <w:rsid w:val="00312F7F"/>
    <w:rsid w:val="00314A3D"/>
    <w:rsid w:val="00317621"/>
    <w:rsid w:val="00320389"/>
    <w:rsid w:val="003228B7"/>
    <w:rsid w:val="00323440"/>
    <w:rsid w:val="0033099D"/>
    <w:rsid w:val="003363F4"/>
    <w:rsid w:val="0034349C"/>
    <w:rsid w:val="0034511F"/>
    <w:rsid w:val="00345A77"/>
    <w:rsid w:val="00345ACB"/>
    <w:rsid w:val="00352817"/>
    <w:rsid w:val="00353977"/>
    <w:rsid w:val="00356B4A"/>
    <w:rsid w:val="00356D2C"/>
    <w:rsid w:val="0036105F"/>
    <w:rsid w:val="00361369"/>
    <w:rsid w:val="00364DFA"/>
    <w:rsid w:val="003651AC"/>
    <w:rsid w:val="003655A0"/>
    <w:rsid w:val="003673CF"/>
    <w:rsid w:val="003714A1"/>
    <w:rsid w:val="00372E88"/>
    <w:rsid w:val="00373364"/>
    <w:rsid w:val="003754B4"/>
    <w:rsid w:val="00382453"/>
    <w:rsid w:val="003825EE"/>
    <w:rsid w:val="00383328"/>
    <w:rsid w:val="003845C1"/>
    <w:rsid w:val="003864F0"/>
    <w:rsid w:val="00390583"/>
    <w:rsid w:val="00391373"/>
    <w:rsid w:val="00392212"/>
    <w:rsid w:val="00392CD6"/>
    <w:rsid w:val="003A0F03"/>
    <w:rsid w:val="003A1765"/>
    <w:rsid w:val="003A18B5"/>
    <w:rsid w:val="003A38B8"/>
    <w:rsid w:val="003A4009"/>
    <w:rsid w:val="003A6F89"/>
    <w:rsid w:val="003B1DC0"/>
    <w:rsid w:val="003B3180"/>
    <w:rsid w:val="003B38C1"/>
    <w:rsid w:val="003B3A6F"/>
    <w:rsid w:val="003B5424"/>
    <w:rsid w:val="003B75C2"/>
    <w:rsid w:val="003C0543"/>
    <w:rsid w:val="003C08B2"/>
    <w:rsid w:val="003C1B55"/>
    <w:rsid w:val="003C6934"/>
    <w:rsid w:val="003D2A8A"/>
    <w:rsid w:val="003D2D3F"/>
    <w:rsid w:val="003D3C87"/>
    <w:rsid w:val="003D48BB"/>
    <w:rsid w:val="003D6176"/>
    <w:rsid w:val="003D7121"/>
    <w:rsid w:val="003E2852"/>
    <w:rsid w:val="003E3840"/>
    <w:rsid w:val="003E41FA"/>
    <w:rsid w:val="003F279E"/>
    <w:rsid w:val="003F2B38"/>
    <w:rsid w:val="003F43E5"/>
    <w:rsid w:val="003F6191"/>
    <w:rsid w:val="003F79A6"/>
    <w:rsid w:val="00400A50"/>
    <w:rsid w:val="00403514"/>
    <w:rsid w:val="00403DEE"/>
    <w:rsid w:val="00411FE7"/>
    <w:rsid w:val="004122BC"/>
    <w:rsid w:val="00412F4F"/>
    <w:rsid w:val="0041396A"/>
    <w:rsid w:val="004173BE"/>
    <w:rsid w:val="00420796"/>
    <w:rsid w:val="0042259D"/>
    <w:rsid w:val="00422BE0"/>
    <w:rsid w:val="00423E3E"/>
    <w:rsid w:val="00427AF4"/>
    <w:rsid w:val="00427FB1"/>
    <w:rsid w:val="00432034"/>
    <w:rsid w:val="0043332A"/>
    <w:rsid w:val="004335CF"/>
    <w:rsid w:val="00435704"/>
    <w:rsid w:val="004400E2"/>
    <w:rsid w:val="00440582"/>
    <w:rsid w:val="00442DAA"/>
    <w:rsid w:val="0044397C"/>
    <w:rsid w:val="00444503"/>
    <w:rsid w:val="00447F00"/>
    <w:rsid w:val="00450E42"/>
    <w:rsid w:val="00451660"/>
    <w:rsid w:val="0045401C"/>
    <w:rsid w:val="00455935"/>
    <w:rsid w:val="0045744D"/>
    <w:rsid w:val="00457615"/>
    <w:rsid w:val="0046008B"/>
    <w:rsid w:val="004647DA"/>
    <w:rsid w:val="00464E49"/>
    <w:rsid w:val="00470AE4"/>
    <w:rsid w:val="00472FB0"/>
    <w:rsid w:val="00473C02"/>
    <w:rsid w:val="00473D0B"/>
    <w:rsid w:val="00474062"/>
    <w:rsid w:val="004744AC"/>
    <w:rsid w:val="004775EA"/>
    <w:rsid w:val="00477D6B"/>
    <w:rsid w:val="0048012B"/>
    <w:rsid w:val="00480D6E"/>
    <w:rsid w:val="004826DB"/>
    <w:rsid w:val="00482E6D"/>
    <w:rsid w:val="00486BDE"/>
    <w:rsid w:val="0048750A"/>
    <w:rsid w:val="00491337"/>
    <w:rsid w:val="00491DF6"/>
    <w:rsid w:val="004934E6"/>
    <w:rsid w:val="0049376E"/>
    <w:rsid w:val="00494D02"/>
    <w:rsid w:val="004974F2"/>
    <w:rsid w:val="004975A1"/>
    <w:rsid w:val="004A0CBF"/>
    <w:rsid w:val="004A0DF7"/>
    <w:rsid w:val="004A1DF9"/>
    <w:rsid w:val="004A2D88"/>
    <w:rsid w:val="004A40CC"/>
    <w:rsid w:val="004B2173"/>
    <w:rsid w:val="004B5ABF"/>
    <w:rsid w:val="004B5E7B"/>
    <w:rsid w:val="004B6701"/>
    <w:rsid w:val="004C18BD"/>
    <w:rsid w:val="004C21B1"/>
    <w:rsid w:val="004C3B1D"/>
    <w:rsid w:val="004C433E"/>
    <w:rsid w:val="004C43F9"/>
    <w:rsid w:val="004C58F9"/>
    <w:rsid w:val="004C6AFB"/>
    <w:rsid w:val="004D040E"/>
    <w:rsid w:val="004D2A92"/>
    <w:rsid w:val="004D2C55"/>
    <w:rsid w:val="004D4463"/>
    <w:rsid w:val="004D51EE"/>
    <w:rsid w:val="004D61CD"/>
    <w:rsid w:val="004D66A2"/>
    <w:rsid w:val="004D6A1C"/>
    <w:rsid w:val="004D7376"/>
    <w:rsid w:val="004E146D"/>
    <w:rsid w:val="004E6D94"/>
    <w:rsid w:val="004F2207"/>
    <w:rsid w:val="004F4929"/>
    <w:rsid w:val="004F7D58"/>
    <w:rsid w:val="00503543"/>
    <w:rsid w:val="00503788"/>
    <w:rsid w:val="00505E51"/>
    <w:rsid w:val="00507279"/>
    <w:rsid w:val="00520B9C"/>
    <w:rsid w:val="00521A52"/>
    <w:rsid w:val="00521F24"/>
    <w:rsid w:val="005242EE"/>
    <w:rsid w:val="0052439C"/>
    <w:rsid w:val="005243EF"/>
    <w:rsid w:val="0053057A"/>
    <w:rsid w:val="00537B8D"/>
    <w:rsid w:val="005402FC"/>
    <w:rsid w:val="00543F36"/>
    <w:rsid w:val="00543FB7"/>
    <w:rsid w:val="00544A7D"/>
    <w:rsid w:val="00544D12"/>
    <w:rsid w:val="005455F1"/>
    <w:rsid w:val="00545AE6"/>
    <w:rsid w:val="005503F1"/>
    <w:rsid w:val="005525E8"/>
    <w:rsid w:val="00553DFF"/>
    <w:rsid w:val="00554024"/>
    <w:rsid w:val="00554E76"/>
    <w:rsid w:val="00556F0B"/>
    <w:rsid w:val="00560A29"/>
    <w:rsid w:val="0056383E"/>
    <w:rsid w:val="00565EAF"/>
    <w:rsid w:val="00565F1D"/>
    <w:rsid w:val="00565F7A"/>
    <w:rsid w:val="005737F8"/>
    <w:rsid w:val="0057775C"/>
    <w:rsid w:val="00580EE4"/>
    <w:rsid w:val="00581412"/>
    <w:rsid w:val="0058548F"/>
    <w:rsid w:val="00586A98"/>
    <w:rsid w:val="005A5131"/>
    <w:rsid w:val="005A5FB1"/>
    <w:rsid w:val="005B1EB4"/>
    <w:rsid w:val="005B5683"/>
    <w:rsid w:val="005B76E1"/>
    <w:rsid w:val="005C1F3E"/>
    <w:rsid w:val="005C2D6D"/>
    <w:rsid w:val="005D08C1"/>
    <w:rsid w:val="005D5305"/>
    <w:rsid w:val="005D65F4"/>
    <w:rsid w:val="005D7088"/>
    <w:rsid w:val="005D7F4E"/>
    <w:rsid w:val="005E23AC"/>
    <w:rsid w:val="005E6584"/>
    <w:rsid w:val="005F4F3A"/>
    <w:rsid w:val="005F794E"/>
    <w:rsid w:val="00604F9D"/>
    <w:rsid w:val="00605540"/>
    <w:rsid w:val="00605827"/>
    <w:rsid w:val="0061246C"/>
    <w:rsid w:val="00613920"/>
    <w:rsid w:val="00615416"/>
    <w:rsid w:val="006177CA"/>
    <w:rsid w:val="00621AB2"/>
    <w:rsid w:val="00621D9A"/>
    <w:rsid w:val="006220DA"/>
    <w:rsid w:val="00624B29"/>
    <w:rsid w:val="00627867"/>
    <w:rsid w:val="006303BE"/>
    <w:rsid w:val="006312EC"/>
    <w:rsid w:val="006344B1"/>
    <w:rsid w:val="006355AD"/>
    <w:rsid w:val="00637708"/>
    <w:rsid w:val="0064277F"/>
    <w:rsid w:val="0064294B"/>
    <w:rsid w:val="00646050"/>
    <w:rsid w:val="0065578F"/>
    <w:rsid w:val="00660925"/>
    <w:rsid w:val="006636E1"/>
    <w:rsid w:val="00664407"/>
    <w:rsid w:val="00671015"/>
    <w:rsid w:val="006713CA"/>
    <w:rsid w:val="00674A65"/>
    <w:rsid w:val="00676C5C"/>
    <w:rsid w:val="00677F67"/>
    <w:rsid w:val="00681361"/>
    <w:rsid w:val="006850DA"/>
    <w:rsid w:val="00685DC4"/>
    <w:rsid w:val="006873F1"/>
    <w:rsid w:val="006923BC"/>
    <w:rsid w:val="006923C8"/>
    <w:rsid w:val="00692AF2"/>
    <w:rsid w:val="00694CBF"/>
    <w:rsid w:val="00697C6E"/>
    <w:rsid w:val="00697E35"/>
    <w:rsid w:val="006A0D3F"/>
    <w:rsid w:val="006A6EDF"/>
    <w:rsid w:val="006B1D7D"/>
    <w:rsid w:val="006B2AFA"/>
    <w:rsid w:val="006B3363"/>
    <w:rsid w:val="006B3946"/>
    <w:rsid w:val="006C20B7"/>
    <w:rsid w:val="006C25ED"/>
    <w:rsid w:val="006C33EA"/>
    <w:rsid w:val="006C4276"/>
    <w:rsid w:val="006D08AA"/>
    <w:rsid w:val="006D6866"/>
    <w:rsid w:val="006E1A95"/>
    <w:rsid w:val="006E53D3"/>
    <w:rsid w:val="006E5C22"/>
    <w:rsid w:val="006E5D14"/>
    <w:rsid w:val="006E6DAD"/>
    <w:rsid w:val="006E7669"/>
    <w:rsid w:val="006F0553"/>
    <w:rsid w:val="006F2073"/>
    <w:rsid w:val="006F23BA"/>
    <w:rsid w:val="006F3E2D"/>
    <w:rsid w:val="006F4A00"/>
    <w:rsid w:val="006F4C15"/>
    <w:rsid w:val="006F517F"/>
    <w:rsid w:val="006F6B4A"/>
    <w:rsid w:val="006F7363"/>
    <w:rsid w:val="007058FB"/>
    <w:rsid w:val="00710DBD"/>
    <w:rsid w:val="007168AC"/>
    <w:rsid w:val="00722A93"/>
    <w:rsid w:val="00723B24"/>
    <w:rsid w:val="00730971"/>
    <w:rsid w:val="00733766"/>
    <w:rsid w:val="00745A6E"/>
    <w:rsid w:val="00750446"/>
    <w:rsid w:val="00752430"/>
    <w:rsid w:val="00753BCC"/>
    <w:rsid w:val="0075596C"/>
    <w:rsid w:val="00755DDD"/>
    <w:rsid w:val="00757E8E"/>
    <w:rsid w:val="00760E95"/>
    <w:rsid w:val="007656AE"/>
    <w:rsid w:val="007663BE"/>
    <w:rsid w:val="00767B72"/>
    <w:rsid w:val="00770E2E"/>
    <w:rsid w:val="0077241D"/>
    <w:rsid w:val="00777C41"/>
    <w:rsid w:val="007830CB"/>
    <w:rsid w:val="00785724"/>
    <w:rsid w:val="007874B0"/>
    <w:rsid w:val="007875E8"/>
    <w:rsid w:val="00787E03"/>
    <w:rsid w:val="00791391"/>
    <w:rsid w:val="007914D1"/>
    <w:rsid w:val="00792C08"/>
    <w:rsid w:val="00795104"/>
    <w:rsid w:val="0079590B"/>
    <w:rsid w:val="0079662D"/>
    <w:rsid w:val="007A32C5"/>
    <w:rsid w:val="007A4088"/>
    <w:rsid w:val="007A446A"/>
    <w:rsid w:val="007A4AEC"/>
    <w:rsid w:val="007A70D9"/>
    <w:rsid w:val="007A7D74"/>
    <w:rsid w:val="007B0574"/>
    <w:rsid w:val="007B19BA"/>
    <w:rsid w:val="007B2EFB"/>
    <w:rsid w:val="007B38D4"/>
    <w:rsid w:val="007B6A58"/>
    <w:rsid w:val="007C20E0"/>
    <w:rsid w:val="007C234D"/>
    <w:rsid w:val="007C30B5"/>
    <w:rsid w:val="007C5559"/>
    <w:rsid w:val="007C6C2E"/>
    <w:rsid w:val="007D1613"/>
    <w:rsid w:val="007D1669"/>
    <w:rsid w:val="007D2421"/>
    <w:rsid w:val="007D5A9A"/>
    <w:rsid w:val="007D6836"/>
    <w:rsid w:val="007D6A22"/>
    <w:rsid w:val="007D6FF0"/>
    <w:rsid w:val="007D746C"/>
    <w:rsid w:val="007E009F"/>
    <w:rsid w:val="007E1F14"/>
    <w:rsid w:val="007E3F5C"/>
    <w:rsid w:val="007E687F"/>
    <w:rsid w:val="007E70D8"/>
    <w:rsid w:val="007F16F9"/>
    <w:rsid w:val="007F4181"/>
    <w:rsid w:val="00800194"/>
    <w:rsid w:val="008010A1"/>
    <w:rsid w:val="00801AB1"/>
    <w:rsid w:val="008022F1"/>
    <w:rsid w:val="0080460C"/>
    <w:rsid w:val="008052E6"/>
    <w:rsid w:val="0081363B"/>
    <w:rsid w:val="00817B79"/>
    <w:rsid w:val="00817DBF"/>
    <w:rsid w:val="00824916"/>
    <w:rsid w:val="008314A3"/>
    <w:rsid w:val="00831FBA"/>
    <w:rsid w:val="00833F5F"/>
    <w:rsid w:val="008400D1"/>
    <w:rsid w:val="008404B7"/>
    <w:rsid w:val="00840A87"/>
    <w:rsid w:val="008414E9"/>
    <w:rsid w:val="008430A3"/>
    <w:rsid w:val="00846A49"/>
    <w:rsid w:val="00847021"/>
    <w:rsid w:val="008478F6"/>
    <w:rsid w:val="00851762"/>
    <w:rsid w:val="00852933"/>
    <w:rsid w:val="00853C67"/>
    <w:rsid w:val="00854077"/>
    <w:rsid w:val="0085532A"/>
    <w:rsid w:val="00855DB7"/>
    <w:rsid w:val="00860A7B"/>
    <w:rsid w:val="00862FFA"/>
    <w:rsid w:val="0086629C"/>
    <w:rsid w:val="008672D6"/>
    <w:rsid w:val="008676BD"/>
    <w:rsid w:val="0087184D"/>
    <w:rsid w:val="00871CAE"/>
    <w:rsid w:val="00880153"/>
    <w:rsid w:val="00880D28"/>
    <w:rsid w:val="00881C5C"/>
    <w:rsid w:val="00881C73"/>
    <w:rsid w:val="00882C1D"/>
    <w:rsid w:val="00893464"/>
    <w:rsid w:val="008954E3"/>
    <w:rsid w:val="008A0FBE"/>
    <w:rsid w:val="008A6406"/>
    <w:rsid w:val="008A7961"/>
    <w:rsid w:val="008A7E67"/>
    <w:rsid w:val="008B2CC1"/>
    <w:rsid w:val="008B60B2"/>
    <w:rsid w:val="008C3DED"/>
    <w:rsid w:val="008C5147"/>
    <w:rsid w:val="008C5843"/>
    <w:rsid w:val="008C74E8"/>
    <w:rsid w:val="008C7722"/>
    <w:rsid w:val="008D26CB"/>
    <w:rsid w:val="008D3C31"/>
    <w:rsid w:val="008D54B9"/>
    <w:rsid w:val="008D55B2"/>
    <w:rsid w:val="008D5C16"/>
    <w:rsid w:val="008D7D70"/>
    <w:rsid w:val="008E3D48"/>
    <w:rsid w:val="008E435C"/>
    <w:rsid w:val="008E643B"/>
    <w:rsid w:val="008E6EC8"/>
    <w:rsid w:val="008E7480"/>
    <w:rsid w:val="008F00DC"/>
    <w:rsid w:val="008F3230"/>
    <w:rsid w:val="008F3B49"/>
    <w:rsid w:val="008F59CC"/>
    <w:rsid w:val="008F7EBD"/>
    <w:rsid w:val="009031E7"/>
    <w:rsid w:val="009071A9"/>
    <w:rsid w:val="0090731E"/>
    <w:rsid w:val="00907451"/>
    <w:rsid w:val="00907F45"/>
    <w:rsid w:val="00907F8E"/>
    <w:rsid w:val="00910E73"/>
    <w:rsid w:val="00913903"/>
    <w:rsid w:val="00914A26"/>
    <w:rsid w:val="00916269"/>
    <w:rsid w:val="00916A9B"/>
    <w:rsid w:val="00916EE2"/>
    <w:rsid w:val="00920E74"/>
    <w:rsid w:val="00923496"/>
    <w:rsid w:val="00924E1D"/>
    <w:rsid w:val="009302B6"/>
    <w:rsid w:val="00935C1C"/>
    <w:rsid w:val="00940311"/>
    <w:rsid w:val="00942C01"/>
    <w:rsid w:val="00947A63"/>
    <w:rsid w:val="00951F4F"/>
    <w:rsid w:val="00953FF5"/>
    <w:rsid w:val="009622E7"/>
    <w:rsid w:val="00962758"/>
    <w:rsid w:val="00963387"/>
    <w:rsid w:val="0096577B"/>
    <w:rsid w:val="00966994"/>
    <w:rsid w:val="00966A22"/>
    <w:rsid w:val="0096722F"/>
    <w:rsid w:val="00970D6D"/>
    <w:rsid w:val="00976B2B"/>
    <w:rsid w:val="009802E1"/>
    <w:rsid w:val="00980843"/>
    <w:rsid w:val="009819BE"/>
    <w:rsid w:val="00981D2A"/>
    <w:rsid w:val="00987739"/>
    <w:rsid w:val="009910F7"/>
    <w:rsid w:val="00995A2D"/>
    <w:rsid w:val="00996F90"/>
    <w:rsid w:val="009A12FE"/>
    <w:rsid w:val="009B0935"/>
    <w:rsid w:val="009B13E1"/>
    <w:rsid w:val="009B182D"/>
    <w:rsid w:val="009B5E66"/>
    <w:rsid w:val="009B6790"/>
    <w:rsid w:val="009C37FB"/>
    <w:rsid w:val="009C3BD4"/>
    <w:rsid w:val="009C413B"/>
    <w:rsid w:val="009C6F7D"/>
    <w:rsid w:val="009D08EF"/>
    <w:rsid w:val="009D15E7"/>
    <w:rsid w:val="009D1993"/>
    <w:rsid w:val="009D2955"/>
    <w:rsid w:val="009D4121"/>
    <w:rsid w:val="009D59E5"/>
    <w:rsid w:val="009D6149"/>
    <w:rsid w:val="009E0EA2"/>
    <w:rsid w:val="009E2791"/>
    <w:rsid w:val="009E3F6F"/>
    <w:rsid w:val="009E56F9"/>
    <w:rsid w:val="009F0C09"/>
    <w:rsid w:val="009F499F"/>
    <w:rsid w:val="00A00E8D"/>
    <w:rsid w:val="00A010A4"/>
    <w:rsid w:val="00A01236"/>
    <w:rsid w:val="00A029DD"/>
    <w:rsid w:val="00A070CA"/>
    <w:rsid w:val="00A077C3"/>
    <w:rsid w:val="00A10659"/>
    <w:rsid w:val="00A122D2"/>
    <w:rsid w:val="00A12BF4"/>
    <w:rsid w:val="00A14055"/>
    <w:rsid w:val="00A14D8F"/>
    <w:rsid w:val="00A176BF"/>
    <w:rsid w:val="00A24569"/>
    <w:rsid w:val="00A2657B"/>
    <w:rsid w:val="00A26877"/>
    <w:rsid w:val="00A26B19"/>
    <w:rsid w:val="00A30B9C"/>
    <w:rsid w:val="00A35CE7"/>
    <w:rsid w:val="00A35D8F"/>
    <w:rsid w:val="00A35E3C"/>
    <w:rsid w:val="00A36303"/>
    <w:rsid w:val="00A36E63"/>
    <w:rsid w:val="00A41DD8"/>
    <w:rsid w:val="00A42DAF"/>
    <w:rsid w:val="00A45BD8"/>
    <w:rsid w:val="00A50C12"/>
    <w:rsid w:val="00A50EE0"/>
    <w:rsid w:val="00A51ED7"/>
    <w:rsid w:val="00A52D34"/>
    <w:rsid w:val="00A53BB7"/>
    <w:rsid w:val="00A53C88"/>
    <w:rsid w:val="00A56864"/>
    <w:rsid w:val="00A57AE4"/>
    <w:rsid w:val="00A613D8"/>
    <w:rsid w:val="00A61FE3"/>
    <w:rsid w:val="00A63F7A"/>
    <w:rsid w:val="00A6502F"/>
    <w:rsid w:val="00A66E51"/>
    <w:rsid w:val="00A70C50"/>
    <w:rsid w:val="00A74323"/>
    <w:rsid w:val="00A7488C"/>
    <w:rsid w:val="00A75E8D"/>
    <w:rsid w:val="00A76884"/>
    <w:rsid w:val="00A77BA6"/>
    <w:rsid w:val="00A8346E"/>
    <w:rsid w:val="00A84B73"/>
    <w:rsid w:val="00A85B8E"/>
    <w:rsid w:val="00A87220"/>
    <w:rsid w:val="00A87CA6"/>
    <w:rsid w:val="00AA228C"/>
    <w:rsid w:val="00AA321B"/>
    <w:rsid w:val="00AA57A9"/>
    <w:rsid w:val="00AA62B8"/>
    <w:rsid w:val="00AA6DE6"/>
    <w:rsid w:val="00AB2B50"/>
    <w:rsid w:val="00AB3585"/>
    <w:rsid w:val="00AB374B"/>
    <w:rsid w:val="00AB7EB2"/>
    <w:rsid w:val="00AC0349"/>
    <w:rsid w:val="00AC0825"/>
    <w:rsid w:val="00AC205C"/>
    <w:rsid w:val="00AC514F"/>
    <w:rsid w:val="00AC5DA6"/>
    <w:rsid w:val="00AD3A61"/>
    <w:rsid w:val="00AD6512"/>
    <w:rsid w:val="00AE00DB"/>
    <w:rsid w:val="00AE5ACD"/>
    <w:rsid w:val="00AE7BE4"/>
    <w:rsid w:val="00AF0A47"/>
    <w:rsid w:val="00AF3F18"/>
    <w:rsid w:val="00AF4A4E"/>
    <w:rsid w:val="00AF61EE"/>
    <w:rsid w:val="00B038AF"/>
    <w:rsid w:val="00B05A69"/>
    <w:rsid w:val="00B10E74"/>
    <w:rsid w:val="00B14DE4"/>
    <w:rsid w:val="00B15787"/>
    <w:rsid w:val="00B162E5"/>
    <w:rsid w:val="00B1779C"/>
    <w:rsid w:val="00B2028D"/>
    <w:rsid w:val="00B2126A"/>
    <w:rsid w:val="00B21ACA"/>
    <w:rsid w:val="00B23382"/>
    <w:rsid w:val="00B23BAA"/>
    <w:rsid w:val="00B252C1"/>
    <w:rsid w:val="00B277A4"/>
    <w:rsid w:val="00B311E6"/>
    <w:rsid w:val="00B324A9"/>
    <w:rsid w:val="00B33F00"/>
    <w:rsid w:val="00B34E17"/>
    <w:rsid w:val="00B35165"/>
    <w:rsid w:val="00B36A98"/>
    <w:rsid w:val="00B40999"/>
    <w:rsid w:val="00B429F9"/>
    <w:rsid w:val="00B44123"/>
    <w:rsid w:val="00B47BF4"/>
    <w:rsid w:val="00B50A74"/>
    <w:rsid w:val="00B51A1E"/>
    <w:rsid w:val="00B532CB"/>
    <w:rsid w:val="00B55F8F"/>
    <w:rsid w:val="00B56227"/>
    <w:rsid w:val="00B56438"/>
    <w:rsid w:val="00B570D2"/>
    <w:rsid w:val="00B57232"/>
    <w:rsid w:val="00B57DD5"/>
    <w:rsid w:val="00B64202"/>
    <w:rsid w:val="00B66F63"/>
    <w:rsid w:val="00B70D87"/>
    <w:rsid w:val="00B73D73"/>
    <w:rsid w:val="00B74E9E"/>
    <w:rsid w:val="00B77ADE"/>
    <w:rsid w:val="00B92B50"/>
    <w:rsid w:val="00B93272"/>
    <w:rsid w:val="00B952A5"/>
    <w:rsid w:val="00B95ADC"/>
    <w:rsid w:val="00B96DD9"/>
    <w:rsid w:val="00B9734B"/>
    <w:rsid w:val="00BA43CF"/>
    <w:rsid w:val="00BA45A3"/>
    <w:rsid w:val="00BA6EA5"/>
    <w:rsid w:val="00BB08EC"/>
    <w:rsid w:val="00BB22C4"/>
    <w:rsid w:val="00BB29B9"/>
    <w:rsid w:val="00BB6D15"/>
    <w:rsid w:val="00BC1167"/>
    <w:rsid w:val="00BC1221"/>
    <w:rsid w:val="00BC209B"/>
    <w:rsid w:val="00BC39C3"/>
    <w:rsid w:val="00BC5DBD"/>
    <w:rsid w:val="00BC7865"/>
    <w:rsid w:val="00BC78B3"/>
    <w:rsid w:val="00BD2E40"/>
    <w:rsid w:val="00BD52CD"/>
    <w:rsid w:val="00BD6396"/>
    <w:rsid w:val="00BD7EE8"/>
    <w:rsid w:val="00BE4D05"/>
    <w:rsid w:val="00BE55B5"/>
    <w:rsid w:val="00BE57CA"/>
    <w:rsid w:val="00BE6712"/>
    <w:rsid w:val="00BF0144"/>
    <w:rsid w:val="00BF10AA"/>
    <w:rsid w:val="00BF1C77"/>
    <w:rsid w:val="00BF33B9"/>
    <w:rsid w:val="00BF5C12"/>
    <w:rsid w:val="00C01174"/>
    <w:rsid w:val="00C01496"/>
    <w:rsid w:val="00C01CAF"/>
    <w:rsid w:val="00C03AE5"/>
    <w:rsid w:val="00C0785A"/>
    <w:rsid w:val="00C07AD6"/>
    <w:rsid w:val="00C101FD"/>
    <w:rsid w:val="00C11BFE"/>
    <w:rsid w:val="00C1232B"/>
    <w:rsid w:val="00C15F00"/>
    <w:rsid w:val="00C17856"/>
    <w:rsid w:val="00C248F8"/>
    <w:rsid w:val="00C27FB0"/>
    <w:rsid w:val="00C31832"/>
    <w:rsid w:val="00C32551"/>
    <w:rsid w:val="00C37A90"/>
    <w:rsid w:val="00C4212C"/>
    <w:rsid w:val="00C42A85"/>
    <w:rsid w:val="00C46641"/>
    <w:rsid w:val="00C519A8"/>
    <w:rsid w:val="00C5214B"/>
    <w:rsid w:val="00C529CB"/>
    <w:rsid w:val="00C535B2"/>
    <w:rsid w:val="00C555B4"/>
    <w:rsid w:val="00C55A7B"/>
    <w:rsid w:val="00C5679F"/>
    <w:rsid w:val="00C606E6"/>
    <w:rsid w:val="00C620A2"/>
    <w:rsid w:val="00C622AD"/>
    <w:rsid w:val="00C63BDA"/>
    <w:rsid w:val="00C640F7"/>
    <w:rsid w:val="00C64139"/>
    <w:rsid w:val="00C66FD6"/>
    <w:rsid w:val="00C71859"/>
    <w:rsid w:val="00C71B45"/>
    <w:rsid w:val="00C72F9D"/>
    <w:rsid w:val="00C73263"/>
    <w:rsid w:val="00C735B2"/>
    <w:rsid w:val="00C744B3"/>
    <w:rsid w:val="00C765F0"/>
    <w:rsid w:val="00C76638"/>
    <w:rsid w:val="00C76D8B"/>
    <w:rsid w:val="00C77961"/>
    <w:rsid w:val="00C84D40"/>
    <w:rsid w:val="00C86064"/>
    <w:rsid w:val="00C86B27"/>
    <w:rsid w:val="00C86C3E"/>
    <w:rsid w:val="00C916F9"/>
    <w:rsid w:val="00C94629"/>
    <w:rsid w:val="00C9704E"/>
    <w:rsid w:val="00CA0611"/>
    <w:rsid w:val="00CA0EC1"/>
    <w:rsid w:val="00CA196F"/>
    <w:rsid w:val="00CA2986"/>
    <w:rsid w:val="00CB3F81"/>
    <w:rsid w:val="00CB537F"/>
    <w:rsid w:val="00CB556C"/>
    <w:rsid w:val="00CB6AED"/>
    <w:rsid w:val="00CC11C5"/>
    <w:rsid w:val="00CC2A95"/>
    <w:rsid w:val="00CC3861"/>
    <w:rsid w:val="00CD65BE"/>
    <w:rsid w:val="00CD66D6"/>
    <w:rsid w:val="00CD7B8E"/>
    <w:rsid w:val="00CE033F"/>
    <w:rsid w:val="00CE0AF5"/>
    <w:rsid w:val="00CE2815"/>
    <w:rsid w:val="00CE4629"/>
    <w:rsid w:val="00CE51F7"/>
    <w:rsid w:val="00CE52C9"/>
    <w:rsid w:val="00CF0A55"/>
    <w:rsid w:val="00CF1116"/>
    <w:rsid w:val="00CF1A6B"/>
    <w:rsid w:val="00CF1CBF"/>
    <w:rsid w:val="00CF286F"/>
    <w:rsid w:val="00CF3B66"/>
    <w:rsid w:val="00CF494F"/>
    <w:rsid w:val="00D03CA3"/>
    <w:rsid w:val="00D05F94"/>
    <w:rsid w:val="00D067C8"/>
    <w:rsid w:val="00D12A8F"/>
    <w:rsid w:val="00D14130"/>
    <w:rsid w:val="00D14B75"/>
    <w:rsid w:val="00D16DD9"/>
    <w:rsid w:val="00D17BB4"/>
    <w:rsid w:val="00D20104"/>
    <w:rsid w:val="00D2056B"/>
    <w:rsid w:val="00D27037"/>
    <w:rsid w:val="00D27695"/>
    <w:rsid w:val="00D304AD"/>
    <w:rsid w:val="00D34451"/>
    <w:rsid w:val="00D43B70"/>
    <w:rsid w:val="00D45252"/>
    <w:rsid w:val="00D457B3"/>
    <w:rsid w:val="00D47BFB"/>
    <w:rsid w:val="00D510AC"/>
    <w:rsid w:val="00D516E7"/>
    <w:rsid w:val="00D52C86"/>
    <w:rsid w:val="00D5305E"/>
    <w:rsid w:val="00D54476"/>
    <w:rsid w:val="00D555A2"/>
    <w:rsid w:val="00D575A5"/>
    <w:rsid w:val="00D60657"/>
    <w:rsid w:val="00D64007"/>
    <w:rsid w:val="00D646CA"/>
    <w:rsid w:val="00D65E5F"/>
    <w:rsid w:val="00D66B9A"/>
    <w:rsid w:val="00D7038A"/>
    <w:rsid w:val="00D71B4D"/>
    <w:rsid w:val="00D71C4B"/>
    <w:rsid w:val="00D741E5"/>
    <w:rsid w:val="00D7508D"/>
    <w:rsid w:val="00D751FA"/>
    <w:rsid w:val="00D7575C"/>
    <w:rsid w:val="00D80BB7"/>
    <w:rsid w:val="00D82B01"/>
    <w:rsid w:val="00D830F1"/>
    <w:rsid w:val="00D8524D"/>
    <w:rsid w:val="00D90C6D"/>
    <w:rsid w:val="00D93D55"/>
    <w:rsid w:val="00D95F12"/>
    <w:rsid w:val="00DA6ADF"/>
    <w:rsid w:val="00DA6B07"/>
    <w:rsid w:val="00DA77DB"/>
    <w:rsid w:val="00DB0525"/>
    <w:rsid w:val="00DB09C2"/>
    <w:rsid w:val="00DB1108"/>
    <w:rsid w:val="00DB76B2"/>
    <w:rsid w:val="00DC0040"/>
    <w:rsid w:val="00DC48E2"/>
    <w:rsid w:val="00DC6195"/>
    <w:rsid w:val="00DC6B8F"/>
    <w:rsid w:val="00DD130E"/>
    <w:rsid w:val="00DD5845"/>
    <w:rsid w:val="00DD5EA8"/>
    <w:rsid w:val="00DD60F0"/>
    <w:rsid w:val="00DD68E0"/>
    <w:rsid w:val="00DE390D"/>
    <w:rsid w:val="00DE4AA9"/>
    <w:rsid w:val="00DE54E6"/>
    <w:rsid w:val="00DF27E3"/>
    <w:rsid w:val="00DF7C4C"/>
    <w:rsid w:val="00E00443"/>
    <w:rsid w:val="00E019B0"/>
    <w:rsid w:val="00E03036"/>
    <w:rsid w:val="00E03902"/>
    <w:rsid w:val="00E0398F"/>
    <w:rsid w:val="00E04B15"/>
    <w:rsid w:val="00E070A5"/>
    <w:rsid w:val="00E07818"/>
    <w:rsid w:val="00E07C5E"/>
    <w:rsid w:val="00E13253"/>
    <w:rsid w:val="00E14B47"/>
    <w:rsid w:val="00E14DBF"/>
    <w:rsid w:val="00E151AB"/>
    <w:rsid w:val="00E16E2A"/>
    <w:rsid w:val="00E1764A"/>
    <w:rsid w:val="00E204EC"/>
    <w:rsid w:val="00E21298"/>
    <w:rsid w:val="00E218C9"/>
    <w:rsid w:val="00E2310A"/>
    <w:rsid w:val="00E2402A"/>
    <w:rsid w:val="00E2643D"/>
    <w:rsid w:val="00E26E3E"/>
    <w:rsid w:val="00E32ADE"/>
    <w:rsid w:val="00E32C97"/>
    <w:rsid w:val="00E335FE"/>
    <w:rsid w:val="00E365E6"/>
    <w:rsid w:val="00E40F81"/>
    <w:rsid w:val="00E412BD"/>
    <w:rsid w:val="00E4156D"/>
    <w:rsid w:val="00E5021F"/>
    <w:rsid w:val="00E51EAE"/>
    <w:rsid w:val="00E534BA"/>
    <w:rsid w:val="00E54B0B"/>
    <w:rsid w:val="00E54C7E"/>
    <w:rsid w:val="00E613EE"/>
    <w:rsid w:val="00E6391F"/>
    <w:rsid w:val="00E647AC"/>
    <w:rsid w:val="00E64A92"/>
    <w:rsid w:val="00E65EF4"/>
    <w:rsid w:val="00E67302"/>
    <w:rsid w:val="00E71E89"/>
    <w:rsid w:val="00E73A17"/>
    <w:rsid w:val="00E73E24"/>
    <w:rsid w:val="00E740BE"/>
    <w:rsid w:val="00E763B9"/>
    <w:rsid w:val="00E819C8"/>
    <w:rsid w:val="00E83AAA"/>
    <w:rsid w:val="00E871AA"/>
    <w:rsid w:val="00E87B71"/>
    <w:rsid w:val="00E9204A"/>
    <w:rsid w:val="00E925A6"/>
    <w:rsid w:val="00E9606C"/>
    <w:rsid w:val="00E975E7"/>
    <w:rsid w:val="00EA2EF2"/>
    <w:rsid w:val="00EA3FC9"/>
    <w:rsid w:val="00EA4F60"/>
    <w:rsid w:val="00EA5E97"/>
    <w:rsid w:val="00EB06DD"/>
    <w:rsid w:val="00EB3B20"/>
    <w:rsid w:val="00EB7C91"/>
    <w:rsid w:val="00EC02FD"/>
    <w:rsid w:val="00EC0EAE"/>
    <w:rsid w:val="00EC189A"/>
    <w:rsid w:val="00EC291B"/>
    <w:rsid w:val="00EC2D3E"/>
    <w:rsid w:val="00EC3D5D"/>
    <w:rsid w:val="00EC4E49"/>
    <w:rsid w:val="00ED1829"/>
    <w:rsid w:val="00ED1AFE"/>
    <w:rsid w:val="00ED25C9"/>
    <w:rsid w:val="00ED2D59"/>
    <w:rsid w:val="00ED77FB"/>
    <w:rsid w:val="00EE1950"/>
    <w:rsid w:val="00EE2819"/>
    <w:rsid w:val="00EE5737"/>
    <w:rsid w:val="00EE7BCE"/>
    <w:rsid w:val="00EF17CB"/>
    <w:rsid w:val="00EF1D46"/>
    <w:rsid w:val="00EF524D"/>
    <w:rsid w:val="00EF631C"/>
    <w:rsid w:val="00EF72F8"/>
    <w:rsid w:val="00F021A6"/>
    <w:rsid w:val="00F028B6"/>
    <w:rsid w:val="00F102B3"/>
    <w:rsid w:val="00F119C5"/>
    <w:rsid w:val="00F13049"/>
    <w:rsid w:val="00F154F9"/>
    <w:rsid w:val="00F15737"/>
    <w:rsid w:val="00F21A32"/>
    <w:rsid w:val="00F321BB"/>
    <w:rsid w:val="00F3226B"/>
    <w:rsid w:val="00F35450"/>
    <w:rsid w:val="00F37F3C"/>
    <w:rsid w:val="00F410AE"/>
    <w:rsid w:val="00F415B1"/>
    <w:rsid w:val="00F426D1"/>
    <w:rsid w:val="00F45986"/>
    <w:rsid w:val="00F505DD"/>
    <w:rsid w:val="00F5085B"/>
    <w:rsid w:val="00F50E35"/>
    <w:rsid w:val="00F51FE5"/>
    <w:rsid w:val="00F54756"/>
    <w:rsid w:val="00F55836"/>
    <w:rsid w:val="00F563BB"/>
    <w:rsid w:val="00F57BF6"/>
    <w:rsid w:val="00F608E6"/>
    <w:rsid w:val="00F64205"/>
    <w:rsid w:val="00F64B45"/>
    <w:rsid w:val="00F64F83"/>
    <w:rsid w:val="00F66152"/>
    <w:rsid w:val="00F70DAF"/>
    <w:rsid w:val="00F72029"/>
    <w:rsid w:val="00F737AB"/>
    <w:rsid w:val="00F73A5E"/>
    <w:rsid w:val="00F7489E"/>
    <w:rsid w:val="00F76F40"/>
    <w:rsid w:val="00F812A1"/>
    <w:rsid w:val="00F82B5B"/>
    <w:rsid w:val="00F9030B"/>
    <w:rsid w:val="00F920A2"/>
    <w:rsid w:val="00FA1093"/>
    <w:rsid w:val="00FA2D59"/>
    <w:rsid w:val="00FB11DF"/>
    <w:rsid w:val="00FB238F"/>
    <w:rsid w:val="00FB6A25"/>
    <w:rsid w:val="00FB70C5"/>
    <w:rsid w:val="00FC01D8"/>
    <w:rsid w:val="00FC07BE"/>
    <w:rsid w:val="00FC42F8"/>
    <w:rsid w:val="00FC5484"/>
    <w:rsid w:val="00FC7965"/>
    <w:rsid w:val="00FD2537"/>
    <w:rsid w:val="00FD525E"/>
    <w:rsid w:val="00FD5B85"/>
    <w:rsid w:val="00FD7E68"/>
    <w:rsid w:val="00FE07CA"/>
    <w:rsid w:val="00FE199D"/>
    <w:rsid w:val="00FE1F9A"/>
    <w:rsid w:val="00FE2EAA"/>
    <w:rsid w:val="00FE4CE5"/>
    <w:rsid w:val="00FE591A"/>
    <w:rsid w:val="00FF11B9"/>
    <w:rsid w:val="00FF3CCF"/>
    <w:rsid w:val="00FF43B6"/>
    <w:rsid w:val="00FF6721"/>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3A1765"/>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uiPriority w:val="9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link w:val="Char7"/>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8"/>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8">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Char7">
    <w:name w:val="列出段落 Char"/>
    <w:basedOn w:val="a1"/>
    <w:link w:val="af2"/>
    <w:uiPriority w:val="34"/>
    <w:rsid w:val="00D60657"/>
    <w:rPr>
      <w:rFonts w:ascii="Arial" w:eastAsia="SimSun" w:hAnsi="Arial" w:cs="Arial"/>
      <w:sz w:val="22"/>
      <w:lang w:eastAsia="zh-CN"/>
    </w:rPr>
  </w:style>
  <w:style w:type="character" w:styleId="af8">
    <w:name w:val="FollowedHyperlink"/>
    <w:basedOn w:val="a1"/>
    <w:semiHidden/>
    <w:unhideWhenUsed/>
    <w:rsid w:val="00DD68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3A1765"/>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uiPriority w:val="9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link w:val="Char7"/>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8"/>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8">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Char7">
    <w:name w:val="列出段落 Char"/>
    <w:basedOn w:val="a1"/>
    <w:link w:val="af2"/>
    <w:uiPriority w:val="34"/>
    <w:rsid w:val="00D60657"/>
    <w:rPr>
      <w:rFonts w:ascii="Arial" w:eastAsia="SimSun" w:hAnsi="Arial" w:cs="Arial"/>
      <w:sz w:val="22"/>
      <w:lang w:eastAsia="zh-CN"/>
    </w:rPr>
  </w:style>
  <w:style w:type="character" w:styleId="af8">
    <w:name w:val="FollowedHyperlink"/>
    <w:basedOn w:val="a1"/>
    <w:semiHidden/>
    <w:unhideWhenUsed/>
    <w:rsid w:val="00DD6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21951396">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654453286">
      <w:bodyDiv w:val="1"/>
      <w:marLeft w:val="0"/>
      <w:marRight w:val="0"/>
      <w:marTop w:val="0"/>
      <w:marBottom w:val="0"/>
      <w:divBdr>
        <w:top w:val="none" w:sz="0" w:space="0" w:color="auto"/>
        <w:left w:val="none" w:sz="0" w:space="0" w:color="auto"/>
        <w:bottom w:val="none" w:sz="0" w:space="0" w:color="auto"/>
        <w:right w:val="none" w:sz="0" w:space="0" w:color="auto"/>
      </w:divBdr>
    </w:div>
    <w:div w:id="702751507">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823475740">
      <w:bodyDiv w:val="1"/>
      <w:marLeft w:val="0"/>
      <w:marRight w:val="0"/>
      <w:marTop w:val="0"/>
      <w:marBottom w:val="0"/>
      <w:divBdr>
        <w:top w:val="none" w:sz="0" w:space="0" w:color="auto"/>
        <w:left w:val="none" w:sz="0" w:space="0" w:color="auto"/>
        <w:bottom w:val="none" w:sz="0" w:space="0" w:color="auto"/>
        <w:right w:val="none" w:sz="0" w:space="0" w:color="auto"/>
      </w:divBdr>
    </w:div>
    <w:div w:id="827406160">
      <w:bodyDiv w:val="1"/>
      <w:marLeft w:val="0"/>
      <w:marRight w:val="0"/>
      <w:marTop w:val="0"/>
      <w:marBottom w:val="0"/>
      <w:divBdr>
        <w:top w:val="none" w:sz="0" w:space="0" w:color="auto"/>
        <w:left w:val="none" w:sz="0" w:space="0" w:color="auto"/>
        <w:bottom w:val="none" w:sz="0" w:space="0" w:color="auto"/>
        <w:right w:val="none" w:sz="0" w:space="0" w:color="auto"/>
      </w:divBdr>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089541615">
      <w:bodyDiv w:val="1"/>
      <w:marLeft w:val="0"/>
      <w:marRight w:val="0"/>
      <w:marTop w:val="0"/>
      <w:marBottom w:val="0"/>
      <w:divBdr>
        <w:top w:val="none" w:sz="0" w:space="0" w:color="auto"/>
        <w:left w:val="none" w:sz="0" w:space="0" w:color="auto"/>
        <w:bottom w:val="none" w:sz="0" w:space="0" w:color="auto"/>
        <w:right w:val="none" w:sz="0" w:space="0" w:color="auto"/>
      </w:divBdr>
    </w:div>
    <w:div w:id="1167599902">
      <w:bodyDiv w:val="1"/>
      <w:marLeft w:val="0"/>
      <w:marRight w:val="0"/>
      <w:marTop w:val="0"/>
      <w:marBottom w:val="0"/>
      <w:divBdr>
        <w:top w:val="none" w:sz="0" w:space="0" w:color="auto"/>
        <w:left w:val="none" w:sz="0" w:space="0" w:color="auto"/>
        <w:bottom w:val="none" w:sz="0" w:space="0" w:color="auto"/>
        <w:right w:val="none" w:sz="0" w:space="0" w:color="auto"/>
      </w:divBdr>
    </w:div>
    <w:div w:id="1202324259">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48944220">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577205136">
      <w:bodyDiv w:val="1"/>
      <w:marLeft w:val="0"/>
      <w:marRight w:val="0"/>
      <w:marTop w:val="0"/>
      <w:marBottom w:val="0"/>
      <w:divBdr>
        <w:top w:val="none" w:sz="0" w:space="0" w:color="auto"/>
        <w:left w:val="none" w:sz="0" w:space="0" w:color="auto"/>
        <w:bottom w:val="none" w:sz="0" w:space="0" w:color="auto"/>
        <w:right w:val="none" w:sz="0" w:space="0" w:color="auto"/>
      </w:divBdr>
    </w:div>
    <w:div w:id="1607078228">
      <w:bodyDiv w:val="1"/>
      <w:marLeft w:val="0"/>
      <w:marRight w:val="0"/>
      <w:marTop w:val="0"/>
      <w:marBottom w:val="0"/>
      <w:divBdr>
        <w:top w:val="none" w:sz="0" w:space="0" w:color="auto"/>
        <w:left w:val="none" w:sz="0" w:space="0" w:color="auto"/>
        <w:bottom w:val="none" w:sz="0" w:space="0" w:color="auto"/>
        <w:right w:val="none" w:sz="0" w:space="0" w:color="auto"/>
      </w:divBdr>
    </w:div>
    <w:div w:id="182041457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 w:id="2063283256">
      <w:bodyDiv w:val="1"/>
      <w:marLeft w:val="0"/>
      <w:marRight w:val="0"/>
      <w:marTop w:val="0"/>
      <w:marBottom w:val="0"/>
      <w:divBdr>
        <w:top w:val="none" w:sz="0" w:space="0" w:color="auto"/>
        <w:left w:val="none" w:sz="0" w:space="0" w:color="auto"/>
        <w:bottom w:val="none" w:sz="0" w:space="0" w:color="auto"/>
        <w:right w:val="none" w:sz="0" w:space="0" w:color="auto"/>
      </w:divBdr>
    </w:div>
    <w:div w:id="20963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3.emf"/><Relationship Id="rId39" Type="http://schemas.openxmlformats.org/officeDocument/2006/relationships/fontTable" Target="fontTable.xm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hart" Target="charts/chart5.xml"/><Relationship Id="rId33" Type="http://schemas.openxmlformats.org/officeDocument/2006/relationships/header" Target="head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4.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3.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chart" Target="charts/chart2.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footer" Target="footer9.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2\ORGLAN\SHARED\LANC\ALL\Meetings\WGA\Wga50\wo_ga_50_2_wo_pbc_28_5\chart1.xls"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2978153850171716E-2"/>
          <c:y val="2.9606719160104988E-2"/>
          <c:w val="0.87017220764071157"/>
          <c:h val="0.74782339289994093"/>
        </c:manualLayout>
      </c:layout>
      <c:barChart>
        <c:barDir val="col"/>
        <c:grouping val="clustered"/>
        <c:varyColors val="0"/>
        <c:ser>
          <c:idx val="0"/>
          <c:order val="0"/>
          <c:tx>
            <c:strRef>
              <c:f>'AR1'!$A$7</c:f>
              <c:strCache>
                <c:ptCount val="1"/>
                <c:pt idx="0">
                  <c:v>新受理案件</c:v>
                </c:pt>
              </c:strCache>
            </c:strRef>
          </c:tx>
          <c:invertIfNegative val="0"/>
          <c:dLbls>
            <c:spPr>
              <a:noFill/>
              <a:ln w="25400">
                <a:noFill/>
              </a:ln>
            </c:spPr>
            <c:txPr>
              <a:bodyPr/>
              <a:lstStyle/>
              <a:p>
                <a:pPr>
                  <a:defRPr sz="1000" b="0" i="0" u="none" strike="noStrike" baseline="0">
                    <a:solidFill>
                      <a:srgbClr val="666699"/>
                    </a:solidFill>
                    <a:latin typeface="Calibri"/>
                    <a:ea typeface="Calibri"/>
                    <a:cs typeface="Calibri"/>
                  </a:defRPr>
                </a:pPr>
                <a:endParaRPr lang="zh-CN"/>
              </a:p>
            </c:txPr>
            <c:showLegendKey val="0"/>
            <c:showVal val="1"/>
            <c:showCatName val="0"/>
            <c:showSerName val="0"/>
            <c:showPercent val="0"/>
            <c:showBubbleSize val="0"/>
            <c:showLeaderLines val="0"/>
          </c:dLbls>
          <c:cat>
            <c:strRef>
              <c:f>'AR1'!$B$6:$H$6</c:f>
              <c:strCache>
                <c:ptCount val="7"/>
                <c:pt idx="0">
                  <c:v>2015年6月30日</c:v>
                </c:pt>
                <c:pt idx="1">
                  <c:v>2015-2016年</c:v>
                </c:pt>
                <c:pt idx="2">
                  <c:v>2016年6月30日</c:v>
                </c:pt>
                <c:pt idx="3">
                  <c:v>2016-2017年</c:v>
                </c:pt>
                <c:pt idx="4">
                  <c:v>2017年6月30日</c:v>
                </c:pt>
                <c:pt idx="5">
                  <c:v>2017-2018年</c:v>
                </c:pt>
                <c:pt idx="6">
                  <c:v>2018年6月30日</c:v>
                </c:pt>
              </c:strCache>
            </c:strRef>
          </c:cat>
          <c:val>
            <c:numRef>
              <c:f>'AR1'!$B$7:$H$7</c:f>
              <c:numCache>
                <c:formatCode>General</c:formatCode>
                <c:ptCount val="7"/>
                <c:pt idx="1">
                  <c:v>31</c:v>
                </c:pt>
                <c:pt idx="3">
                  <c:v>24</c:v>
                </c:pt>
                <c:pt idx="5">
                  <c:v>40</c:v>
                </c:pt>
              </c:numCache>
            </c:numRef>
          </c:val>
        </c:ser>
        <c:ser>
          <c:idx val="1"/>
          <c:order val="1"/>
          <c:tx>
            <c:strRef>
              <c:f>'AR1'!$A$8</c:f>
              <c:strCache>
                <c:ptCount val="1"/>
                <c:pt idx="0">
                  <c:v>审结案件</c:v>
                </c:pt>
              </c:strCache>
            </c:strRef>
          </c:tx>
          <c:spPr>
            <a:solidFill>
              <a:srgbClr val="00B050"/>
            </a:solidFill>
          </c:spPr>
          <c:invertIfNegative val="0"/>
          <c:dLbls>
            <c:spPr>
              <a:noFill/>
              <a:ln w="25400">
                <a:noFill/>
              </a:ln>
            </c:spPr>
            <c:txPr>
              <a:bodyPr/>
              <a:lstStyle/>
              <a:p>
                <a:pPr>
                  <a:defRPr sz="1000" b="0" i="0" u="none" strike="noStrike" baseline="0">
                    <a:solidFill>
                      <a:srgbClr val="339966"/>
                    </a:solidFill>
                    <a:latin typeface="Calibri"/>
                    <a:ea typeface="Calibri"/>
                    <a:cs typeface="Calibri"/>
                  </a:defRPr>
                </a:pPr>
                <a:endParaRPr lang="zh-CN"/>
              </a:p>
            </c:txPr>
            <c:showLegendKey val="0"/>
            <c:showVal val="1"/>
            <c:showCatName val="0"/>
            <c:showSerName val="0"/>
            <c:showPercent val="0"/>
            <c:showBubbleSize val="0"/>
            <c:showLeaderLines val="0"/>
          </c:dLbls>
          <c:cat>
            <c:strRef>
              <c:f>'AR1'!$B$6:$H$6</c:f>
              <c:strCache>
                <c:ptCount val="7"/>
                <c:pt idx="0">
                  <c:v>2015年6月30日</c:v>
                </c:pt>
                <c:pt idx="1">
                  <c:v>2015-2016年</c:v>
                </c:pt>
                <c:pt idx="2">
                  <c:v>2016年6月30日</c:v>
                </c:pt>
                <c:pt idx="3">
                  <c:v>2016-2017年</c:v>
                </c:pt>
                <c:pt idx="4">
                  <c:v>2017年6月30日</c:v>
                </c:pt>
                <c:pt idx="5">
                  <c:v>2017-2018年</c:v>
                </c:pt>
                <c:pt idx="6">
                  <c:v>2018年6月30日</c:v>
                </c:pt>
              </c:strCache>
            </c:strRef>
          </c:cat>
          <c:val>
            <c:numRef>
              <c:f>'AR1'!$B$8:$H$8</c:f>
              <c:numCache>
                <c:formatCode>General</c:formatCode>
                <c:ptCount val="7"/>
                <c:pt idx="1">
                  <c:v>32</c:v>
                </c:pt>
                <c:pt idx="3">
                  <c:v>27</c:v>
                </c:pt>
                <c:pt idx="5">
                  <c:v>42</c:v>
                </c:pt>
              </c:numCache>
            </c:numRef>
          </c:val>
        </c:ser>
        <c:dLbls>
          <c:showLegendKey val="0"/>
          <c:showVal val="0"/>
          <c:showCatName val="0"/>
          <c:showSerName val="0"/>
          <c:showPercent val="0"/>
          <c:showBubbleSize val="0"/>
        </c:dLbls>
        <c:gapWidth val="150"/>
        <c:overlap val="-66"/>
        <c:axId val="864343168"/>
        <c:axId val="864995584"/>
      </c:barChart>
      <c:lineChart>
        <c:grouping val="standard"/>
        <c:varyColors val="0"/>
        <c:ser>
          <c:idx val="2"/>
          <c:order val="2"/>
          <c:tx>
            <c:strRef>
              <c:f>'AR1'!$A$9</c:f>
              <c:strCache>
                <c:ptCount val="1"/>
                <c:pt idx="0">
                  <c:v>待审案件</c:v>
                </c:pt>
              </c:strCache>
            </c:strRef>
          </c:tx>
          <c:spPr>
            <a:ln>
              <a:solidFill>
                <a:srgbClr val="FF0000"/>
              </a:solidFill>
              <a:prstDash val="sysDot"/>
            </a:ln>
          </c:spPr>
          <c:marker>
            <c:symbol val="none"/>
          </c:marker>
          <c:dLbls>
            <c:dLbl>
              <c:idx val="1"/>
              <c:delete val="1"/>
            </c:dLbl>
            <c:dLbl>
              <c:idx val="3"/>
              <c:delete val="1"/>
            </c:dLbl>
            <c:dLbl>
              <c:idx val="5"/>
              <c:delete val="1"/>
            </c:dLbl>
            <c:dLbl>
              <c:idx val="7"/>
              <c:delete val="1"/>
            </c:dLbl>
            <c:spPr>
              <a:solidFill>
                <a:srgbClr val="FF0000"/>
              </a:solidFill>
              <a:ln>
                <a:noFill/>
              </a:ln>
            </c:spPr>
            <c:txPr>
              <a:bodyPr/>
              <a:lstStyle/>
              <a:p>
                <a:pPr>
                  <a:defRPr sz="1000" b="1" i="0" u="none" strike="noStrike" baseline="0">
                    <a:solidFill>
                      <a:srgbClr val="FFFFFF"/>
                    </a:solidFill>
                    <a:latin typeface="Calibri"/>
                    <a:ea typeface="Calibri"/>
                    <a:cs typeface="Calibri"/>
                  </a:defRPr>
                </a:pPr>
                <a:endParaRPr lang="zh-CN"/>
              </a:p>
            </c:txPr>
            <c:dLblPos val="ctr"/>
            <c:showLegendKey val="0"/>
            <c:showVal val="1"/>
            <c:showCatName val="0"/>
            <c:showSerName val="0"/>
            <c:showPercent val="0"/>
            <c:showBubbleSize val="0"/>
            <c:showLeaderLines val="0"/>
          </c:dLbls>
          <c:cat>
            <c:strRef>
              <c:f>'AR1'!$B$6:$H$6</c:f>
              <c:strCache>
                <c:ptCount val="7"/>
                <c:pt idx="0">
                  <c:v>2015年6月30日</c:v>
                </c:pt>
                <c:pt idx="1">
                  <c:v>2015-2016年</c:v>
                </c:pt>
                <c:pt idx="2">
                  <c:v>2016年6月30日</c:v>
                </c:pt>
                <c:pt idx="3">
                  <c:v>2016-2017年</c:v>
                </c:pt>
                <c:pt idx="4">
                  <c:v>2017年6月30日</c:v>
                </c:pt>
                <c:pt idx="5">
                  <c:v>2017-2018年</c:v>
                </c:pt>
                <c:pt idx="6">
                  <c:v>2018年6月30日</c:v>
                </c:pt>
              </c:strCache>
            </c:strRef>
          </c:cat>
          <c:val>
            <c:numRef>
              <c:f>'AR1'!$B$9:$H$9</c:f>
              <c:numCache>
                <c:formatCode>General</c:formatCode>
                <c:ptCount val="7"/>
                <c:pt idx="0">
                  <c:v>18</c:v>
                </c:pt>
                <c:pt idx="1">
                  <c:v>17.5</c:v>
                </c:pt>
                <c:pt idx="2">
                  <c:v>17</c:v>
                </c:pt>
                <c:pt idx="3">
                  <c:v>15.5</c:v>
                </c:pt>
                <c:pt idx="4">
                  <c:v>14</c:v>
                </c:pt>
                <c:pt idx="5">
                  <c:v>13</c:v>
                </c:pt>
                <c:pt idx="6">
                  <c:v>12</c:v>
                </c:pt>
              </c:numCache>
            </c:numRef>
          </c:val>
          <c:smooth val="0"/>
        </c:ser>
        <c:dLbls>
          <c:showLegendKey val="0"/>
          <c:showVal val="0"/>
          <c:showCatName val="0"/>
          <c:showSerName val="0"/>
          <c:showPercent val="0"/>
          <c:showBubbleSize val="0"/>
        </c:dLbls>
        <c:marker val="1"/>
        <c:smooth val="0"/>
        <c:axId val="864343168"/>
        <c:axId val="864995584"/>
      </c:lineChart>
      <c:catAx>
        <c:axId val="86434316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zh-CN"/>
          </a:p>
        </c:txPr>
        <c:crossAx val="864995584"/>
        <c:crosses val="autoZero"/>
        <c:auto val="1"/>
        <c:lblAlgn val="ctr"/>
        <c:lblOffset val="100"/>
        <c:noMultiLvlLbl val="0"/>
      </c:catAx>
      <c:valAx>
        <c:axId val="8649955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zh-CN"/>
          </a:p>
        </c:txPr>
        <c:crossAx val="864343168"/>
        <c:crosses val="autoZero"/>
        <c:crossBetween val="between"/>
      </c:valAx>
    </c:plotArea>
    <c:legend>
      <c:legendPos val="r"/>
      <c:layout>
        <c:manualLayout>
          <c:xMode val="edge"/>
          <c:yMode val="edge"/>
          <c:x val="0.16696453219527077"/>
          <c:y val="0.85227350704873228"/>
          <c:w val="0.56495878751634765"/>
          <c:h val="0.10011981492004218"/>
        </c:manualLayout>
      </c:layout>
      <c:overlay val="0"/>
      <c:txPr>
        <a:bodyPr/>
        <a:lstStyle/>
        <a:p>
          <a:pPr>
            <a:defRPr sz="1010" b="0" i="0" u="none" strike="noStrike" baseline="0">
              <a:solidFill>
                <a:srgbClr val="000000"/>
              </a:solidFill>
              <a:latin typeface="Calibri"/>
              <a:ea typeface="Calibri"/>
              <a:cs typeface="Calibri"/>
            </a:defRPr>
          </a:pPr>
          <a:endParaRPr lang="zh-CN"/>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zh-CN"/>
    </a:p>
  </c:tx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'AR3'!$B$1</c:f>
              <c:strCache>
                <c:ptCount val="1"/>
                <c:pt idx="0">
                  <c:v>指控不属实</c:v>
                </c:pt>
              </c:strCache>
            </c:strRef>
          </c:tx>
          <c:invertIfNegative val="0"/>
          <c:dLbls>
            <c:txPr>
              <a:bodyPr/>
              <a:lstStyle/>
              <a:p>
                <a:pPr>
                  <a:defRPr sz="1000" b="0" i="0" u="none" strike="noStrike" baseline="0">
                    <a:solidFill>
                      <a:srgbClr val="000000"/>
                    </a:solidFill>
                    <a:latin typeface="Calibri"/>
                    <a:ea typeface="Calibri"/>
                    <a:cs typeface="Calibri"/>
                  </a:defRPr>
                </a:pPr>
                <a:endParaRPr lang="zh-CN"/>
              </a:p>
            </c:txPr>
            <c:showLegendKey val="0"/>
            <c:showVal val="1"/>
            <c:showCatName val="0"/>
            <c:showSerName val="0"/>
            <c:showPercent val="0"/>
            <c:showBubbleSize val="0"/>
            <c:showLeaderLines val="0"/>
          </c:dLbls>
          <c:cat>
            <c:strRef>
              <c:f>'AR3'!$A$2:$A$4</c:f>
              <c:strCache>
                <c:ptCount val="3"/>
                <c:pt idx="0">
                  <c:v>2015-2016年</c:v>
                </c:pt>
                <c:pt idx="1">
                  <c:v>2016-2017年</c:v>
                </c:pt>
                <c:pt idx="2">
                  <c:v>2017-2018年</c:v>
                </c:pt>
              </c:strCache>
            </c:strRef>
          </c:cat>
          <c:val>
            <c:numRef>
              <c:f>'AR3'!$B$2:$B$4</c:f>
              <c:numCache>
                <c:formatCode>General</c:formatCode>
                <c:ptCount val="3"/>
                <c:pt idx="0">
                  <c:v>25</c:v>
                </c:pt>
                <c:pt idx="1">
                  <c:v>22</c:v>
                </c:pt>
                <c:pt idx="2">
                  <c:v>36</c:v>
                </c:pt>
              </c:numCache>
            </c:numRef>
          </c:val>
        </c:ser>
        <c:ser>
          <c:idx val="1"/>
          <c:order val="1"/>
          <c:tx>
            <c:strRef>
              <c:f>'AR3'!$C$1</c:f>
              <c:strCache>
                <c:ptCount val="1"/>
                <c:pt idx="0">
                  <c:v>指控属实</c:v>
                </c:pt>
              </c:strCache>
            </c:strRef>
          </c:tx>
          <c:invertIfNegative val="0"/>
          <c:dLbls>
            <c:txPr>
              <a:bodyPr/>
              <a:lstStyle/>
              <a:p>
                <a:pPr>
                  <a:defRPr sz="1000" b="0" i="0" u="none" strike="noStrike" baseline="0">
                    <a:solidFill>
                      <a:srgbClr val="000000"/>
                    </a:solidFill>
                    <a:latin typeface="Calibri"/>
                    <a:ea typeface="Calibri"/>
                    <a:cs typeface="Calibri"/>
                  </a:defRPr>
                </a:pPr>
                <a:endParaRPr lang="zh-CN"/>
              </a:p>
            </c:txPr>
            <c:showLegendKey val="0"/>
            <c:showVal val="1"/>
            <c:showCatName val="0"/>
            <c:showSerName val="0"/>
            <c:showPercent val="0"/>
            <c:showBubbleSize val="0"/>
            <c:showLeaderLines val="0"/>
          </c:dLbls>
          <c:cat>
            <c:strRef>
              <c:f>'AR3'!$A$2:$A$4</c:f>
              <c:strCache>
                <c:ptCount val="3"/>
                <c:pt idx="0">
                  <c:v>2015-2016年</c:v>
                </c:pt>
                <c:pt idx="1">
                  <c:v>2016-2017年</c:v>
                </c:pt>
                <c:pt idx="2">
                  <c:v>2017-2018年</c:v>
                </c:pt>
              </c:strCache>
            </c:strRef>
          </c:cat>
          <c:val>
            <c:numRef>
              <c:f>'AR3'!$C$2:$C$4</c:f>
              <c:numCache>
                <c:formatCode>General</c:formatCode>
                <c:ptCount val="3"/>
                <c:pt idx="0">
                  <c:v>7</c:v>
                </c:pt>
                <c:pt idx="1">
                  <c:v>5</c:v>
                </c:pt>
                <c:pt idx="2">
                  <c:v>5</c:v>
                </c:pt>
              </c:numCache>
            </c:numRef>
          </c:val>
        </c:ser>
        <c:dLbls>
          <c:showLegendKey val="0"/>
          <c:showVal val="0"/>
          <c:showCatName val="0"/>
          <c:showSerName val="0"/>
          <c:showPercent val="0"/>
          <c:showBubbleSize val="0"/>
        </c:dLbls>
        <c:gapWidth val="150"/>
        <c:overlap val="100"/>
        <c:axId val="880155648"/>
        <c:axId val="898568960"/>
      </c:barChart>
      <c:catAx>
        <c:axId val="88015564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zh-CN"/>
          </a:p>
        </c:txPr>
        <c:crossAx val="898568960"/>
        <c:crosses val="autoZero"/>
        <c:auto val="1"/>
        <c:lblAlgn val="ctr"/>
        <c:lblOffset val="100"/>
        <c:noMultiLvlLbl val="0"/>
      </c:catAx>
      <c:valAx>
        <c:axId val="8985689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zh-CN"/>
          </a:p>
        </c:txPr>
        <c:crossAx val="880155648"/>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zh-CN"/>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0"/>
            <c:invertIfNegative val="0"/>
            <c:bubble3D val="0"/>
            <c:spPr>
              <a:solidFill>
                <a:schemeClr val="accent2"/>
              </a:solidFill>
            </c:spPr>
          </c:dPt>
          <c:dLbls>
            <c:dLbl>
              <c:idx val="0"/>
              <c:layout>
                <c:manualLayout>
                  <c:x val="3.0555555555555555E-2"/>
                  <c:y val="-0.42592592592592593"/>
                </c:manualLayout>
              </c:layout>
              <c:showLegendKey val="0"/>
              <c:showVal val="1"/>
              <c:showCatName val="0"/>
              <c:showSerName val="0"/>
              <c:showPercent val="0"/>
              <c:showBubbleSize val="0"/>
            </c:dLbl>
            <c:dLbl>
              <c:idx val="1"/>
              <c:layout>
                <c:manualLayout>
                  <c:x val="4.1666666666666664E-2"/>
                  <c:y val="-0.2407407407407407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chart3_chart4!$A$23:$A$24</c:f>
              <c:strCache>
                <c:ptCount val="2"/>
                <c:pt idx="0">
                  <c:v>高</c:v>
                </c:pt>
                <c:pt idx="1">
                  <c:v>中</c:v>
                </c:pt>
              </c:strCache>
            </c:strRef>
          </c:cat>
          <c:val>
            <c:numRef>
              <c:f>chart3_chart4!$B$23:$B$24</c:f>
              <c:numCache>
                <c:formatCode>General</c:formatCode>
                <c:ptCount val="2"/>
                <c:pt idx="0">
                  <c:v>96</c:v>
                </c:pt>
                <c:pt idx="1">
                  <c:v>84</c:v>
                </c:pt>
              </c:numCache>
            </c:numRef>
          </c:val>
        </c:ser>
        <c:dLbls>
          <c:showLegendKey val="0"/>
          <c:showVal val="1"/>
          <c:showCatName val="0"/>
          <c:showSerName val="0"/>
          <c:showPercent val="0"/>
          <c:showBubbleSize val="0"/>
        </c:dLbls>
        <c:gapWidth val="150"/>
        <c:shape val="box"/>
        <c:axId val="934985088"/>
        <c:axId val="934983168"/>
        <c:axId val="0"/>
      </c:bar3DChart>
      <c:catAx>
        <c:axId val="934985088"/>
        <c:scaling>
          <c:orientation val="minMax"/>
        </c:scaling>
        <c:delete val="0"/>
        <c:axPos val="b"/>
        <c:majorTickMark val="out"/>
        <c:minorTickMark val="none"/>
        <c:tickLblPos val="nextTo"/>
        <c:crossAx val="934983168"/>
        <c:crosses val="autoZero"/>
        <c:auto val="1"/>
        <c:lblAlgn val="ctr"/>
        <c:lblOffset val="100"/>
        <c:noMultiLvlLbl val="0"/>
      </c:catAx>
      <c:valAx>
        <c:axId val="934983168"/>
        <c:scaling>
          <c:orientation val="minMax"/>
        </c:scaling>
        <c:delete val="0"/>
        <c:axPos val="l"/>
        <c:numFmt formatCode="General" sourceLinked="1"/>
        <c:majorTickMark val="out"/>
        <c:minorTickMark val="none"/>
        <c:tickLblPos val="nextTo"/>
        <c:crossAx val="93498508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howLegendKey val="0"/>
            <c:showVal val="1"/>
            <c:showCatName val="1"/>
            <c:showSerName val="0"/>
            <c:showPercent val="0"/>
            <c:showBubbleSize val="0"/>
            <c:showLeaderLines val="1"/>
          </c:dLbls>
          <c:cat>
            <c:strRef>
              <c:f>chart3_chart4!$A$6:$A$7</c:f>
              <c:strCache>
                <c:ptCount val="2"/>
                <c:pt idx="0">
                  <c:v>外部审计</c:v>
                </c:pt>
                <c:pt idx="1">
                  <c:v>监督司</c:v>
                </c:pt>
              </c:strCache>
            </c:strRef>
          </c:cat>
          <c:val>
            <c:numRef>
              <c:f>chart3_chart4!$B$6:$B$7</c:f>
              <c:numCache>
                <c:formatCode>General</c:formatCode>
                <c:ptCount val="2"/>
                <c:pt idx="0">
                  <c:v>46</c:v>
                </c:pt>
                <c:pt idx="1">
                  <c:v>134</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5_aging'!$B$9</c:f>
              <c:strCache>
                <c:ptCount val="1"/>
                <c:pt idx="0">
                  <c:v>高</c:v>
                </c:pt>
              </c:strCache>
            </c:strRef>
          </c:tx>
          <c:spPr>
            <a:solidFill>
              <a:schemeClr val="accent2"/>
            </a:solidFill>
          </c:spPr>
          <c:invertIfNegative val="0"/>
          <c:cat>
            <c:strRef>
              <c:f>'chart 5_aging'!$A$10:$A$16</c:f>
              <c:strCache>
                <c:ptCount val="7"/>
                <c:pt idx="0">
                  <c:v>2011年</c:v>
                </c:pt>
                <c:pt idx="1">
                  <c:v>2013年</c:v>
                </c:pt>
                <c:pt idx="2">
                  <c:v>2014年</c:v>
                </c:pt>
                <c:pt idx="3">
                  <c:v>2015年</c:v>
                </c:pt>
                <c:pt idx="4">
                  <c:v>2016年</c:v>
                </c:pt>
                <c:pt idx="5">
                  <c:v>2017年</c:v>
                </c:pt>
                <c:pt idx="6">
                  <c:v>2018年</c:v>
                </c:pt>
              </c:strCache>
            </c:strRef>
          </c:cat>
          <c:val>
            <c:numRef>
              <c:f>'chart 5_aging'!$B$10:$B$16</c:f>
              <c:numCache>
                <c:formatCode>General</c:formatCode>
                <c:ptCount val="7"/>
                <c:pt idx="0">
                  <c:v>1</c:v>
                </c:pt>
                <c:pt idx="1">
                  <c:v>6</c:v>
                </c:pt>
                <c:pt idx="2">
                  <c:v>12</c:v>
                </c:pt>
                <c:pt idx="3">
                  <c:v>18</c:v>
                </c:pt>
                <c:pt idx="4">
                  <c:v>12</c:v>
                </c:pt>
                <c:pt idx="5">
                  <c:v>20</c:v>
                </c:pt>
                <c:pt idx="6">
                  <c:v>27</c:v>
                </c:pt>
              </c:numCache>
            </c:numRef>
          </c:val>
        </c:ser>
        <c:ser>
          <c:idx val="1"/>
          <c:order val="1"/>
          <c:tx>
            <c:strRef>
              <c:f>'chart 5_aging'!$C$9</c:f>
              <c:strCache>
                <c:ptCount val="1"/>
                <c:pt idx="0">
                  <c:v>中</c:v>
                </c:pt>
              </c:strCache>
            </c:strRef>
          </c:tx>
          <c:spPr>
            <a:solidFill>
              <a:schemeClr val="accent1"/>
            </a:solidFill>
          </c:spPr>
          <c:invertIfNegative val="0"/>
          <c:dLbls>
            <c:dLbl>
              <c:idx val="1"/>
              <c:layout>
                <c:manualLayout>
                  <c:x val="1.3888888888888888E-2"/>
                  <c:y val="0"/>
                </c:manualLayout>
              </c:layout>
              <c:showLegendKey val="0"/>
              <c:showVal val="1"/>
              <c:showCatName val="0"/>
              <c:showSerName val="0"/>
              <c:showPercent val="0"/>
              <c:showBubbleSize val="0"/>
            </c:dLbl>
            <c:dLbl>
              <c:idx val="6"/>
              <c:layout>
                <c:manualLayout>
                  <c:x val="1.1111111111111112E-2"/>
                  <c:y val="1.060944534001666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'chart 5_aging'!$A$10:$A$16</c:f>
              <c:strCache>
                <c:ptCount val="7"/>
                <c:pt idx="0">
                  <c:v>2011年</c:v>
                </c:pt>
                <c:pt idx="1">
                  <c:v>2013年</c:v>
                </c:pt>
                <c:pt idx="2">
                  <c:v>2014年</c:v>
                </c:pt>
                <c:pt idx="3">
                  <c:v>2015年</c:v>
                </c:pt>
                <c:pt idx="4">
                  <c:v>2016年</c:v>
                </c:pt>
                <c:pt idx="5">
                  <c:v>2017年</c:v>
                </c:pt>
                <c:pt idx="6">
                  <c:v>2018年</c:v>
                </c:pt>
              </c:strCache>
            </c:strRef>
          </c:cat>
          <c:val>
            <c:numRef>
              <c:f>'chart 5_aging'!$C$10:$C$16</c:f>
              <c:numCache>
                <c:formatCode>General</c:formatCode>
                <c:ptCount val="7"/>
                <c:pt idx="1">
                  <c:v>1</c:v>
                </c:pt>
                <c:pt idx="2">
                  <c:v>4</c:v>
                </c:pt>
                <c:pt idx="3">
                  <c:v>10</c:v>
                </c:pt>
                <c:pt idx="4">
                  <c:v>15</c:v>
                </c:pt>
                <c:pt idx="5">
                  <c:v>22</c:v>
                </c:pt>
                <c:pt idx="6">
                  <c:v>32</c:v>
                </c:pt>
              </c:numCache>
            </c:numRef>
          </c:val>
        </c:ser>
        <c:dLbls>
          <c:showLegendKey val="0"/>
          <c:showVal val="1"/>
          <c:showCatName val="0"/>
          <c:showSerName val="0"/>
          <c:showPercent val="0"/>
          <c:showBubbleSize val="0"/>
        </c:dLbls>
        <c:gapWidth val="150"/>
        <c:shape val="box"/>
        <c:axId val="724165760"/>
        <c:axId val="724169856"/>
        <c:axId val="0"/>
      </c:bar3DChart>
      <c:catAx>
        <c:axId val="724165760"/>
        <c:scaling>
          <c:orientation val="minMax"/>
        </c:scaling>
        <c:delete val="0"/>
        <c:axPos val="b"/>
        <c:numFmt formatCode="General" sourceLinked="1"/>
        <c:majorTickMark val="out"/>
        <c:minorTickMark val="none"/>
        <c:tickLblPos val="nextTo"/>
        <c:crossAx val="724169856"/>
        <c:crosses val="autoZero"/>
        <c:auto val="1"/>
        <c:lblAlgn val="ctr"/>
        <c:lblOffset val="100"/>
        <c:noMultiLvlLbl val="0"/>
      </c:catAx>
      <c:valAx>
        <c:axId val="724169856"/>
        <c:scaling>
          <c:orientation val="minMax"/>
        </c:scaling>
        <c:delete val="0"/>
        <c:axPos val="l"/>
        <c:majorGridlines/>
        <c:numFmt formatCode="General" sourceLinked="1"/>
        <c:majorTickMark val="out"/>
        <c:minorTickMark val="none"/>
        <c:tickLblPos val="nextTo"/>
        <c:crossAx val="7241657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3887-E1F8-4184-95C9-2360A0D2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10981</Words>
  <Characters>2237</Characters>
  <Application>Microsoft Office Word</Application>
  <DocSecurity>0</DocSecurity>
  <Lines>101</Lines>
  <Paragraphs>377</Paragraphs>
  <ScaleCrop>false</ScaleCrop>
  <HeadingPairs>
    <vt:vector size="8" baseType="variant">
      <vt:variant>
        <vt:lpstr>Title</vt:lpstr>
      </vt:variant>
      <vt:variant>
        <vt:i4>1</vt:i4>
      </vt:variant>
      <vt:variant>
        <vt:lpstr>标题</vt:lpstr>
      </vt:variant>
      <vt:variant>
        <vt:i4>35</vt:i4>
      </vt:variant>
      <vt:variant>
        <vt:lpstr>Titre</vt:lpstr>
      </vt:variant>
      <vt:variant>
        <vt:i4>1</vt:i4>
      </vt:variant>
      <vt:variant>
        <vt:lpstr>Titel</vt:lpstr>
      </vt:variant>
      <vt:variant>
        <vt:i4>1</vt:i4>
      </vt:variant>
    </vt:vector>
  </HeadingPairs>
  <TitlesOfParts>
    <vt:vector size="38" baseType="lpstr">
      <vt:lpstr>WO/GA/46/</vt:lpstr>
      <vt:lpstr>缩 略 语</vt:lpstr>
      <vt:lpstr>背　景</vt:lpstr>
      <vt:lpstr>规划原则</vt:lpstr>
      <vt:lpstr>专业标准</vt:lpstr>
      <vt:lpstr>重要问题和高优先程度监督建议</vt:lpstr>
      <vt:lpstr>    产权组织组织/主办的第三方活动管理审计</vt:lpstr>
      <vt:lpstr>    软件资产管理审计</vt:lpstr>
      <vt:lpstr>    征聘审计</vt:lpstr>
      <vt:lpstr>    语言司审计</vt:lpstr>
      <vt:lpstr>    差旅管理审计</vt:lpstr>
      <vt:lpstr>    其他——监督司关于2016/17年产权组织绩效报告（WPR）的审定报告</vt:lpstr>
      <vt:lpstr>    其他——连续审计备忘录</vt:lpstr>
      <vt:lpstr>    其他——内部审计职能的自我质量评估</vt:lpstr>
      <vt:lpstr>    产权组织交流活动及其对产权组织品牌和声誉的促进作用评价</vt:lpstr>
      <vt:lpstr>    拉丁美洲和加勒比地区局评价</vt:lpstr>
      <vt:lpstr>    计划18：知识产权与全球挑战评价</vt:lpstr>
      <vt:lpstr>    知识产权技能的能力发展评价</vt:lpstr>
      <vt:lpstr>调查活动</vt:lpstr>
      <vt:lpstr>    案件概况</vt:lpstr>
      <vt:lpstr>    调查活动的结果</vt:lpstr>
      <vt:lpstr>拒绝提供信息或配合的情况</vt:lpstr>
      <vt:lpstr>监督建议的落实情况</vt:lpstr>
      <vt:lpstr>咨询和建议方面的工作</vt:lpstr>
      <vt:lpstr>与外部监督机构的合作</vt:lpstr>
      <vt:lpstr>    独立咨询监督委员会（咨监委）</vt:lpstr>
      <vt:lpstr>    外聘审计员</vt:lpstr>
      <vt:lpstr>与监察员和道德操守办公室的合作</vt:lpstr>
      <vt:lpstr>其他监督工作</vt:lpstr>
      <vt:lpstr>    本组织内的宣传活动</vt:lpstr>
      <vt:lpstr>    满意度调查</vt:lpstr>
      <vt:lpstr>    与其他监督职能发展网络关系</vt:lpstr>
      <vt:lpstr>监督司的业务独立性</vt:lpstr>
      <vt:lpstr>监督资源</vt:lpstr>
      <vt:lpstr>    预算和工作人员</vt:lpstr>
      <vt:lpstr>    培　训</vt:lpstr>
      <vt:lpstr>WO/GA/46/</vt:lpstr>
      <vt:lpstr>WO/GA/46/</vt:lpstr>
    </vt:vector>
  </TitlesOfParts>
  <Company>WIPO</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WO/GA/50/7</dc:title>
  <dc:subject>内部监督司（监督司）司长的年度报告</dc:subject>
  <dc:creator>SONG Qiao</dc:creator>
  <cp:keywords>FOUO</cp:keywords>
  <cp:lastModifiedBy>SONG Qiao</cp:lastModifiedBy>
  <cp:revision>9</cp:revision>
  <cp:lastPrinted>2018-07-13T14:51:00Z</cp:lastPrinted>
  <dcterms:created xsi:type="dcterms:W3CDTF">2018-07-13T09:05:00Z</dcterms:created>
  <dcterms:modified xsi:type="dcterms:W3CDTF">2018-07-18T08:09:00Z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a157265b-363c-44ef-a816-56ef2969d08d</vt:lpwstr>
  </property>
  <property fmtid="{D5CDD505-2E9C-101B-9397-08002B2CF9AE}" pid="3" name="Classification">
    <vt:lpwstr>FOUO</vt:lpwstr>
  </property>
  <property fmtid="{D5CDD505-2E9C-101B-9397-08002B2CF9AE}" pid="4" name="VisualMarkings">
    <vt:lpwstr>Footer</vt:lpwstr>
  </property>
</Properties>
</file>