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686FBD" w:rsidRPr="009D40B4" w:rsidTr="00823ACD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686FBD" w:rsidRPr="009D40B4" w:rsidRDefault="00686FBD" w:rsidP="00823ACD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9D40B4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4A6F609C" wp14:editId="2DDA216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6FBD" w:rsidRPr="009D40B4" w:rsidRDefault="00686FBD" w:rsidP="00823ACD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6FBD" w:rsidRPr="009D40B4" w:rsidRDefault="00686FBD" w:rsidP="00823ACD">
            <w:pPr>
              <w:jc w:val="right"/>
            </w:pPr>
            <w:r w:rsidRPr="009D40B4">
              <w:rPr>
                <w:b/>
                <w:sz w:val="40"/>
                <w:szCs w:val="40"/>
              </w:rPr>
              <w:t>C</w:t>
            </w:r>
          </w:p>
        </w:tc>
      </w:tr>
      <w:tr w:rsidR="00686FBD" w:rsidRPr="009D40B4" w:rsidTr="00823ACD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86FBD" w:rsidRPr="009D40B4" w:rsidRDefault="00686FBD" w:rsidP="00686FBD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9D40B4">
              <w:rPr>
                <w:rFonts w:ascii="Arial Black" w:hAnsi="Arial Black"/>
                <w:caps/>
                <w:sz w:val="15"/>
              </w:rPr>
              <w:t>WO/</w:t>
            </w:r>
            <w:r w:rsidRPr="009D40B4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9D40B4">
              <w:rPr>
                <w:rFonts w:ascii="Arial Black" w:hAnsi="Arial Black"/>
                <w:caps/>
                <w:sz w:val="15"/>
              </w:rPr>
              <w:t>/4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9D40B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10</w:t>
            </w:r>
          </w:p>
        </w:tc>
      </w:tr>
      <w:tr w:rsidR="00686FBD" w:rsidRPr="009D40B4" w:rsidTr="00823ACD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86FBD" w:rsidRPr="009D40B4" w:rsidRDefault="00686FBD" w:rsidP="00823ACD">
            <w:pPr>
              <w:jc w:val="right"/>
              <w:rPr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9D40B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D40B4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686FBD" w:rsidRPr="009D40B4" w:rsidTr="00823ACD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86FBD" w:rsidRPr="009D40B4" w:rsidRDefault="00686FBD" w:rsidP="00823ACD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D40B4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3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ascii="SimHei" w:eastAsia="SimHei" w:hAnsi="SimHei" w:cs="Times New Roman"/>
          <w:sz w:val="28"/>
          <w:szCs w:val="22"/>
        </w:rPr>
      </w:pPr>
      <w:r w:rsidRPr="009D40B4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ascii="KaiTi" w:eastAsia="KaiTi" w:hAnsi="KaiTi" w:cs="Times New Roman"/>
          <w:b/>
          <w:sz w:val="24"/>
          <w:szCs w:val="22"/>
        </w:rPr>
      </w:pPr>
      <w:r w:rsidRPr="009D40B4">
        <w:rPr>
          <w:rFonts w:ascii="KaiTi" w:eastAsia="KaiTi" w:hAnsi="KaiTi" w:cs="Times New Roman" w:hint="eastAsia"/>
          <w:b/>
          <w:sz w:val="24"/>
          <w:szCs w:val="22"/>
        </w:rPr>
        <w:t>第四十</w:t>
      </w:r>
      <w:r>
        <w:rPr>
          <w:rFonts w:ascii="KaiTi" w:eastAsia="KaiTi" w:hAnsi="KaiTi" w:cs="Times New Roman" w:hint="eastAsia"/>
          <w:b/>
          <w:sz w:val="24"/>
          <w:szCs w:val="22"/>
        </w:rPr>
        <w:t>九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届会议</w:t>
      </w:r>
      <w:r>
        <w:rPr>
          <w:rFonts w:ascii="KaiTi" w:eastAsia="KaiTi" w:hAnsi="KaiTi" w:cs="Times New Roman" w:hint="eastAsia"/>
          <w:b/>
          <w:sz w:val="24"/>
          <w:szCs w:val="22"/>
        </w:rPr>
        <w:t>（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第</w:t>
      </w:r>
      <w:r w:rsidRPr="009D40B4"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 w:hint="eastAsia"/>
          <w:sz w:val="24"/>
          <w:szCs w:val="22"/>
        </w:rPr>
        <w:t>3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次</w:t>
      </w:r>
      <w:r>
        <w:rPr>
          <w:rFonts w:ascii="KaiTi" w:eastAsia="KaiTi" w:hAnsi="KaiTi" w:cs="Times New Roman" w:hint="eastAsia"/>
          <w:b/>
          <w:sz w:val="24"/>
          <w:szCs w:val="22"/>
        </w:rPr>
        <w:t>例会）</w:t>
      </w:r>
    </w:p>
    <w:p w:rsidR="00686FBD" w:rsidRPr="009D40B4" w:rsidRDefault="00686FBD" w:rsidP="00686FBD">
      <w:pPr>
        <w:rPr>
          <w:rFonts w:ascii="KaiTi" w:eastAsia="KaiTi" w:hAnsi="KaiTi" w:cs="Times New Roman"/>
          <w:sz w:val="24"/>
          <w:szCs w:val="22"/>
        </w:rPr>
      </w:pPr>
      <w:r w:rsidRPr="009D40B4">
        <w:rPr>
          <w:rFonts w:ascii="KaiTi" w:eastAsia="KaiTi" w:hAnsi="KaiTi" w:cs="Times New Roman" w:hint="eastAsia"/>
          <w:sz w:val="24"/>
          <w:szCs w:val="22"/>
        </w:rPr>
        <w:t>201</w:t>
      </w:r>
      <w:r>
        <w:rPr>
          <w:rFonts w:ascii="KaiTi" w:eastAsia="KaiTi" w:hAnsi="KaiTi" w:cs="Times New Roman" w:hint="eastAsia"/>
          <w:sz w:val="24"/>
          <w:szCs w:val="22"/>
        </w:rPr>
        <w:t>7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9D40B4">
        <w:rPr>
          <w:rFonts w:ascii="KaiTi" w:eastAsia="KaiTi" w:hAnsi="KaiTi" w:cs="Times New Roman" w:hint="eastAsia"/>
          <w:sz w:val="24"/>
          <w:szCs w:val="22"/>
        </w:rPr>
        <w:t>10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 w:hint="eastAsia"/>
          <w:sz w:val="24"/>
          <w:szCs w:val="22"/>
        </w:rPr>
        <w:t>2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9D40B4">
        <w:rPr>
          <w:rFonts w:ascii="KaiTi" w:eastAsia="KaiTi" w:hAnsi="KaiTi" w:cs="Times New Roman" w:hint="eastAsia"/>
          <w:sz w:val="24"/>
          <w:szCs w:val="22"/>
        </w:rPr>
        <w:t>1</w:t>
      </w:r>
      <w:r>
        <w:rPr>
          <w:rFonts w:ascii="KaiTi" w:eastAsia="KaiTi" w:hAnsi="KaiTi" w:cs="Times New Roman" w:hint="eastAsia"/>
          <w:sz w:val="24"/>
          <w:szCs w:val="22"/>
        </w:rPr>
        <w:t>1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474EDE">
      <w:pPr>
        <w:overflowPunct w:val="0"/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686FBD">
        <w:rPr>
          <w:rFonts w:ascii="KaiTi" w:eastAsia="KaiTi" w:hAnsi="KaiTi" w:cs="Times New Roman" w:hint="eastAsia"/>
          <w:sz w:val="24"/>
          <w:szCs w:val="22"/>
        </w:rPr>
        <w:t>关于发展与知识产</w:t>
      </w:r>
      <w:r w:rsidR="00474EDE">
        <w:rPr>
          <w:rFonts w:ascii="KaiTi" w:eastAsia="KaiTi" w:hAnsi="KaiTi" w:cs="Times New Roman" w:hint="eastAsia"/>
          <w:sz w:val="24"/>
          <w:szCs w:val="22"/>
        </w:rPr>
        <w:t>权</w:t>
      </w:r>
      <w:r w:rsidRPr="00686FBD">
        <w:rPr>
          <w:rFonts w:ascii="KaiTi" w:eastAsia="KaiTi" w:hAnsi="KaiTi" w:cs="Times New Roman" w:hint="eastAsia"/>
          <w:sz w:val="24"/>
          <w:szCs w:val="22"/>
        </w:rPr>
        <w:t>委员会（CDIP）相关事项的决定</w:t>
      </w: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474EDE">
      <w:pPr>
        <w:overflowPunct w:val="0"/>
        <w:rPr>
          <w:rFonts w:ascii="KaiTi" w:eastAsia="KaiTi" w:hAnsi="KaiTi" w:cs="Times New Roman"/>
          <w:sz w:val="21"/>
          <w:szCs w:val="22"/>
        </w:rPr>
      </w:pPr>
      <w:bookmarkStart w:id="4" w:name="Prepared"/>
      <w:bookmarkEnd w:id="4"/>
      <w:r>
        <w:rPr>
          <w:rFonts w:ascii="KaiTi" w:eastAsia="KaiTi" w:hAnsi="KaiTi" w:cs="Times New Roman" w:hint="eastAsia"/>
          <w:sz w:val="21"/>
          <w:szCs w:val="22"/>
        </w:rPr>
        <w:t>秘书处编拟的文件</w:t>
      </w: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686FBD" w:rsidRPr="009D40B4" w:rsidRDefault="00686FBD" w:rsidP="00686FBD">
      <w:pPr>
        <w:rPr>
          <w:rFonts w:cs="Times New Roman"/>
          <w:szCs w:val="22"/>
        </w:rPr>
      </w:pPr>
    </w:p>
    <w:p w:rsidR="00B3641A" w:rsidRPr="00A85CB0" w:rsidRDefault="00B3641A" w:rsidP="00A85CB0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color w:val="auto"/>
          <w:sz w:val="21"/>
          <w:szCs w:val="21"/>
          <w:lang w:eastAsia="zh-CN"/>
        </w:rPr>
      </w:pPr>
      <w:r w:rsidRPr="00A85CB0">
        <w:rPr>
          <w:rFonts w:ascii="SimSun" w:eastAsia="SimSun" w:hAnsi="SimSun"/>
          <w:sz w:val="21"/>
          <w:szCs w:val="21"/>
        </w:rPr>
        <w:fldChar w:fldCharType="begin"/>
      </w:r>
      <w:r w:rsidRPr="00A85CB0">
        <w:rPr>
          <w:rFonts w:ascii="SimSun" w:eastAsia="SimSun" w:hAnsi="SimSun"/>
          <w:color w:val="auto"/>
          <w:sz w:val="21"/>
          <w:szCs w:val="21"/>
          <w:lang w:eastAsia="zh-CN"/>
        </w:rPr>
        <w:instrText xml:space="preserve"> AUTONUM  </w:instrText>
      </w:r>
      <w:r w:rsidRPr="00A85CB0">
        <w:rPr>
          <w:rFonts w:ascii="SimSun" w:eastAsia="SimSun" w:hAnsi="SimSun"/>
          <w:sz w:val="21"/>
          <w:szCs w:val="21"/>
        </w:rPr>
        <w:fldChar w:fldCharType="end"/>
      </w:r>
      <w:r w:rsidR="00A85CB0">
        <w:rPr>
          <w:rFonts w:ascii="SimSun" w:eastAsia="SimSun" w:hAnsi="SimSun" w:hint="eastAsia"/>
          <w:sz w:val="21"/>
          <w:szCs w:val="21"/>
          <w:lang w:eastAsia="zh-CN"/>
        </w:rPr>
        <w:t>.</w:t>
      </w:r>
      <w:r w:rsidRPr="00A85CB0">
        <w:rPr>
          <w:rFonts w:ascii="SimSun" w:eastAsia="SimSun" w:hAnsi="SimSun"/>
          <w:color w:val="auto"/>
          <w:sz w:val="21"/>
          <w:szCs w:val="21"/>
          <w:lang w:eastAsia="zh-CN"/>
        </w:rPr>
        <w:tab/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世界知识产权组织（</w:t>
      </w:r>
      <w:r w:rsidR="00A85CB0">
        <w:rPr>
          <w:rFonts w:ascii="SimSun" w:eastAsia="SimSun" w:hAnsi="SimSun" w:hint="eastAsia"/>
          <w:sz w:val="21"/>
          <w:szCs w:val="21"/>
          <w:lang w:eastAsia="zh-CN"/>
        </w:rPr>
        <w:t>产权组织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）大会在2013年9月23日至10月2日举行的第四十三届会议上，要求发展与知识产权委员会（CDIP）在其第十二届和第十三届会议上对“落实CDIP任务规定”和“落实协调机制”进行讨论，并就这两个事项向</w:t>
      </w:r>
      <w:r w:rsidR="001F7976" w:rsidRPr="00A85CB0">
        <w:rPr>
          <w:rFonts w:ascii="SimSun" w:eastAsia="SimSun" w:hAnsi="SimSun" w:hint="eastAsia"/>
          <w:sz w:val="21"/>
          <w:szCs w:val="21"/>
          <w:lang w:eastAsia="zh-CN"/>
        </w:rPr>
        <w:t>2014年</w:t>
      </w:r>
      <w:r w:rsidR="00474EDE">
        <w:rPr>
          <w:rFonts w:ascii="SimSun" w:eastAsia="SimSun" w:hAnsi="SimSun" w:hint="eastAsia"/>
          <w:sz w:val="21"/>
          <w:szCs w:val="21"/>
          <w:lang w:eastAsia="zh-CN"/>
        </w:rPr>
        <w:t>产权组织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大会作出汇报和提出建议（文件WO/GA/43/22）。</w:t>
      </w:r>
    </w:p>
    <w:p w:rsidR="00B3641A" w:rsidRPr="00A85CB0" w:rsidRDefault="00B3641A" w:rsidP="00A85CB0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A85CB0">
        <w:rPr>
          <w:rFonts w:ascii="SimSun" w:eastAsia="SimSun" w:hAnsi="SimSun"/>
          <w:sz w:val="21"/>
          <w:szCs w:val="21"/>
        </w:rPr>
        <w:fldChar w:fldCharType="begin"/>
      </w:r>
      <w:r w:rsidRPr="00A85CB0">
        <w:rPr>
          <w:rFonts w:ascii="SimSun" w:eastAsia="SimSun" w:hAnsi="SimSun"/>
          <w:sz w:val="21"/>
          <w:szCs w:val="21"/>
          <w:lang w:eastAsia="zh-CN"/>
        </w:rPr>
        <w:instrText xml:space="preserve"> AUTONUM  </w:instrText>
      </w:r>
      <w:r w:rsidRPr="00A85CB0">
        <w:rPr>
          <w:rFonts w:ascii="SimSun" w:eastAsia="SimSun" w:hAnsi="SimSun"/>
          <w:sz w:val="21"/>
          <w:szCs w:val="21"/>
        </w:rPr>
        <w:fldChar w:fldCharType="end"/>
      </w:r>
      <w:r w:rsidR="00A85CB0">
        <w:rPr>
          <w:rFonts w:ascii="SimSun" w:hAnsi="SimSun" w:hint="eastAsia"/>
          <w:sz w:val="21"/>
          <w:szCs w:val="21"/>
          <w:lang w:eastAsia="zh-CN"/>
        </w:rPr>
        <w:t>.</w:t>
      </w:r>
      <w:r w:rsidRPr="00A85CB0">
        <w:rPr>
          <w:rFonts w:ascii="SimSun" w:eastAsia="SimSun" w:hAnsi="SimSun"/>
          <w:sz w:val="21"/>
          <w:szCs w:val="21"/>
          <w:lang w:eastAsia="zh-CN"/>
        </w:rPr>
        <w:tab/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在第四十六届、第四十七届和第四十八届会议上，</w:t>
      </w:r>
      <w:r w:rsidR="00A85CB0">
        <w:rPr>
          <w:rFonts w:ascii="SimSun" w:eastAsia="SimSun" w:hAnsi="SimSun" w:hint="eastAsia"/>
          <w:sz w:val="21"/>
          <w:szCs w:val="21"/>
          <w:lang w:eastAsia="zh-CN"/>
        </w:rPr>
        <w:t>产权组织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大会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批准了CDIP关于继续讨论这两个事项的请求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，这一情况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分别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反映在文件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WO/GA/46/12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60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(c)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项、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WO/GA/47/19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151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(b)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项和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WO/GA/48/17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第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167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A85CB0" w:rsidRPr="00A85CB0">
        <w:rPr>
          <w:rFonts w:ascii="SimSun" w:eastAsia="SimSun" w:hAnsi="SimSun"/>
          <w:sz w:val="21"/>
          <w:szCs w:val="21"/>
          <w:lang w:eastAsia="zh-CN"/>
        </w:rPr>
        <w:t>(b)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项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中。</w:t>
      </w:r>
    </w:p>
    <w:p w:rsidR="00B3641A" w:rsidRPr="00A85CB0" w:rsidRDefault="00B3641A" w:rsidP="00A85CB0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A85CB0">
        <w:rPr>
          <w:rFonts w:ascii="SimSun" w:eastAsia="SimSun" w:hAnsi="SimSun"/>
          <w:sz w:val="21"/>
          <w:szCs w:val="21"/>
        </w:rPr>
        <w:fldChar w:fldCharType="begin"/>
      </w:r>
      <w:r w:rsidRPr="00A85CB0">
        <w:rPr>
          <w:rFonts w:ascii="SimSun" w:eastAsia="SimSun" w:hAnsi="SimSun"/>
          <w:sz w:val="21"/>
          <w:szCs w:val="21"/>
          <w:lang w:eastAsia="zh-CN"/>
        </w:rPr>
        <w:instrText xml:space="preserve"> AUTONUM  </w:instrText>
      </w:r>
      <w:r w:rsidRPr="00A85CB0">
        <w:rPr>
          <w:rFonts w:ascii="SimSun" w:eastAsia="SimSun" w:hAnsi="SimSun"/>
          <w:sz w:val="21"/>
          <w:szCs w:val="21"/>
        </w:rPr>
        <w:fldChar w:fldCharType="end"/>
      </w:r>
      <w:r w:rsidR="00A85CB0">
        <w:rPr>
          <w:rFonts w:ascii="SimSun" w:hAnsi="SimSun" w:hint="eastAsia"/>
          <w:sz w:val="21"/>
          <w:szCs w:val="21"/>
          <w:lang w:eastAsia="zh-CN"/>
        </w:rPr>
        <w:t>.</w:t>
      </w:r>
      <w:r w:rsidRPr="00A85CB0">
        <w:rPr>
          <w:rFonts w:ascii="SimSun" w:eastAsia="SimSun" w:hAnsi="SimSun"/>
          <w:sz w:val="21"/>
          <w:szCs w:val="21"/>
          <w:lang w:eastAsia="zh-CN"/>
        </w:rPr>
        <w:tab/>
      </w:r>
      <w:r w:rsidR="00686FBD" w:rsidRPr="00A85CB0">
        <w:rPr>
          <w:rFonts w:ascii="SimSun" w:eastAsia="SimSun" w:hAnsi="SimSun" w:hint="eastAsia"/>
          <w:color w:val="auto"/>
          <w:sz w:val="21"/>
          <w:szCs w:val="21"/>
          <w:lang w:eastAsia="zh-CN"/>
        </w:rPr>
        <w:t>C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DIP在其第十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九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届会议上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，同意将主席总结附录中所</w:t>
      </w:r>
      <w:r w:rsidR="001F7976">
        <w:rPr>
          <w:rFonts w:ascii="SimSun" w:eastAsia="SimSun" w:hAnsi="SimSun" w:hint="eastAsia"/>
          <w:sz w:val="21"/>
          <w:szCs w:val="21"/>
          <w:lang w:eastAsia="zh-CN"/>
        </w:rPr>
        <w:t>载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的下列决定案文提交</w:t>
      </w:r>
      <w:r w:rsidR="00A85CB0">
        <w:rPr>
          <w:rFonts w:ascii="SimSun" w:eastAsia="SimSun" w:hAnsi="SimSun" w:hint="eastAsia"/>
          <w:sz w:val="21"/>
          <w:szCs w:val="21"/>
          <w:lang w:eastAsia="zh-CN"/>
        </w:rPr>
        <w:t>产权组织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大会审</w:t>
      </w:r>
      <w:r w:rsidR="001F7976">
        <w:rPr>
          <w:rFonts w:ascii="SimSun" w:eastAsia="SimSun" w:hAnsi="SimSun"/>
          <w:sz w:val="21"/>
          <w:szCs w:val="21"/>
          <w:lang w:eastAsia="zh-CN"/>
        </w:rPr>
        <w:t>‍</w:t>
      </w:r>
      <w:r w:rsidR="00A85CB0" w:rsidRPr="00A85CB0">
        <w:rPr>
          <w:rFonts w:ascii="SimSun" w:eastAsia="SimSun" w:hAnsi="SimSun" w:hint="eastAsia"/>
          <w:sz w:val="21"/>
          <w:szCs w:val="21"/>
          <w:lang w:eastAsia="zh-CN"/>
        </w:rPr>
        <w:t>议</w:t>
      </w:r>
      <w:r w:rsidR="00686FBD" w:rsidRPr="00A85CB0">
        <w:rPr>
          <w:rFonts w:ascii="SimSun" w:eastAsia="SimSun" w:hAnsi="SimSun" w:hint="eastAsia"/>
          <w:sz w:val="21"/>
          <w:szCs w:val="21"/>
          <w:lang w:eastAsia="zh-CN"/>
        </w:rPr>
        <w:t>：</w:t>
      </w:r>
    </w:p>
    <w:p w:rsidR="00686FBD" w:rsidRPr="00A85CB0" w:rsidRDefault="00A85CB0" w:rsidP="00A85CB0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 w:hint="eastAsia"/>
          <w:sz w:val="21"/>
          <w:szCs w:val="21"/>
        </w:rPr>
        <w:t>“</w:t>
      </w:r>
      <w:r>
        <w:rPr>
          <w:rFonts w:ascii="SimSun" w:hAnsi="SimSun" w:hint="eastAsia"/>
          <w:sz w:val="21"/>
          <w:szCs w:val="21"/>
        </w:rPr>
        <w:t>产权组织</w:t>
      </w:r>
      <w:r w:rsidR="00686FBD" w:rsidRPr="00A85CB0">
        <w:rPr>
          <w:rFonts w:ascii="SimSun" w:hAnsi="SimSun" w:hint="eastAsia"/>
          <w:sz w:val="21"/>
          <w:szCs w:val="21"/>
        </w:rPr>
        <w:t>大会：</w:t>
      </w:r>
    </w:p>
    <w:p w:rsidR="00686FBD" w:rsidRPr="00A85CB0" w:rsidRDefault="00686FBD" w:rsidP="00A85CB0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/>
          <w:sz w:val="21"/>
          <w:szCs w:val="21"/>
        </w:rPr>
        <w:t>(i)</w:t>
      </w:r>
      <w:r w:rsidRPr="00A85CB0">
        <w:rPr>
          <w:rFonts w:ascii="SimSun" w:hAnsi="SimSun"/>
          <w:sz w:val="21"/>
          <w:szCs w:val="21"/>
        </w:rPr>
        <w:tab/>
      </w:r>
      <w:r w:rsidRPr="00A85CB0">
        <w:rPr>
          <w:rFonts w:ascii="SimSun" w:hAnsi="SimSun" w:hint="eastAsia"/>
          <w:sz w:val="21"/>
          <w:szCs w:val="21"/>
        </w:rPr>
        <w:t>回顾文件A/43/13 Rev.中所载的其2007关于建立发展与知识产权委员会的决定，及文件WO/GA/39/7中所载的其关于‘协调机制以及监测、评估和报告模式'的决定，重申致力于使这些决定得到全面落实；</w:t>
      </w:r>
    </w:p>
    <w:p w:rsidR="00686FBD" w:rsidRPr="00A85CB0" w:rsidRDefault="00686FBD" w:rsidP="00A85CB0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/>
          <w:sz w:val="21"/>
          <w:szCs w:val="21"/>
        </w:rPr>
        <w:t>(ii)</w:t>
      </w:r>
      <w:r w:rsidRPr="00A85CB0">
        <w:rPr>
          <w:rFonts w:ascii="SimSun" w:hAnsi="SimSun"/>
          <w:sz w:val="21"/>
          <w:szCs w:val="21"/>
        </w:rPr>
        <w:tab/>
      </w:r>
      <w:r w:rsidRPr="00A85CB0">
        <w:rPr>
          <w:rFonts w:ascii="SimSun" w:hAnsi="SimSun" w:hint="eastAsia"/>
          <w:sz w:val="21"/>
          <w:szCs w:val="21"/>
        </w:rPr>
        <w:t>重申文件WO/GA/39/7附件二中所载的各项原则；</w:t>
      </w:r>
    </w:p>
    <w:p w:rsidR="00686FBD" w:rsidRPr="00A85CB0" w:rsidRDefault="00686FBD" w:rsidP="00A85CB0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/>
          <w:sz w:val="21"/>
          <w:szCs w:val="21"/>
        </w:rPr>
        <w:t>(iii)</w:t>
      </w:r>
      <w:r w:rsidRPr="00A85CB0">
        <w:rPr>
          <w:rFonts w:ascii="SimSun" w:hAnsi="SimSun"/>
          <w:sz w:val="21"/>
          <w:szCs w:val="21"/>
        </w:rPr>
        <w:tab/>
      </w:r>
      <w:r w:rsidRPr="00A85CB0">
        <w:rPr>
          <w:rFonts w:ascii="SimSun" w:hAnsi="SimSun" w:hint="eastAsia"/>
          <w:sz w:val="21"/>
          <w:szCs w:val="21"/>
        </w:rPr>
        <w:t>重申每个成员国有权在所有</w:t>
      </w:r>
      <w:r w:rsidR="00A85CB0">
        <w:rPr>
          <w:rFonts w:ascii="SimSun" w:hAnsi="SimSun" w:hint="eastAsia"/>
          <w:sz w:val="21"/>
          <w:szCs w:val="21"/>
        </w:rPr>
        <w:t>产权组织</w:t>
      </w:r>
      <w:r w:rsidRPr="00A85CB0">
        <w:rPr>
          <w:rFonts w:ascii="SimSun" w:hAnsi="SimSun" w:hint="eastAsia"/>
          <w:sz w:val="21"/>
          <w:szCs w:val="21"/>
        </w:rPr>
        <w:t>委员会中发表自己的观点；</w:t>
      </w:r>
    </w:p>
    <w:p w:rsidR="00686FBD" w:rsidRPr="00A85CB0" w:rsidRDefault="00686FBD" w:rsidP="00A85CB0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/>
          <w:sz w:val="21"/>
          <w:szCs w:val="21"/>
        </w:rPr>
        <w:t>(iv)</w:t>
      </w:r>
      <w:r w:rsidRPr="00A85CB0">
        <w:rPr>
          <w:rFonts w:ascii="SimSun" w:hAnsi="SimSun"/>
          <w:sz w:val="21"/>
          <w:szCs w:val="21"/>
        </w:rPr>
        <w:tab/>
      </w:r>
      <w:r w:rsidRPr="00A85CB0">
        <w:rPr>
          <w:rFonts w:ascii="SimSun" w:hAnsi="SimSun" w:hint="eastAsia"/>
          <w:sz w:val="21"/>
          <w:szCs w:val="21"/>
        </w:rPr>
        <w:t>注意到就文件</w:t>
      </w:r>
      <w:r w:rsidRPr="00A85CB0">
        <w:rPr>
          <w:rFonts w:ascii="SimSun" w:hAnsi="SimSun"/>
          <w:sz w:val="21"/>
          <w:szCs w:val="21"/>
        </w:rPr>
        <w:t>CDIP/18/10</w:t>
      </w:r>
      <w:r w:rsidRPr="00A85CB0">
        <w:rPr>
          <w:rFonts w:ascii="SimSun" w:hAnsi="SimSun" w:hint="eastAsia"/>
          <w:sz w:val="21"/>
          <w:szCs w:val="21"/>
        </w:rPr>
        <w:t>中所载的各项议题进行的辩论的结论；并</w:t>
      </w:r>
    </w:p>
    <w:p w:rsidR="00686FBD" w:rsidRPr="00A85CB0" w:rsidRDefault="00686FBD" w:rsidP="006D6FDD">
      <w:p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A85CB0">
        <w:rPr>
          <w:rFonts w:ascii="SimSun" w:hAnsi="SimSun"/>
          <w:sz w:val="21"/>
          <w:szCs w:val="21"/>
        </w:rPr>
        <w:lastRenderedPageBreak/>
        <w:t>(v)</w:t>
      </w:r>
      <w:r w:rsidRPr="00A85CB0">
        <w:rPr>
          <w:rFonts w:ascii="SimSun" w:hAnsi="SimSun"/>
          <w:sz w:val="21"/>
          <w:szCs w:val="21"/>
        </w:rPr>
        <w:tab/>
      </w:r>
      <w:r w:rsidRPr="00A85CB0">
        <w:rPr>
          <w:rFonts w:ascii="SimSun" w:hAnsi="SimSun" w:hint="eastAsia"/>
          <w:sz w:val="21"/>
          <w:szCs w:val="21"/>
        </w:rPr>
        <w:t>决定在CDIP议程中增加一个新的议程项目，题为‘</w:t>
      </w:r>
      <w:r w:rsidRPr="00474EDE">
        <w:rPr>
          <w:rFonts w:ascii="KaiTi" w:eastAsia="KaiTi" w:hAnsi="KaiTi" w:hint="eastAsia"/>
          <w:sz w:val="21"/>
          <w:szCs w:val="21"/>
        </w:rPr>
        <w:t>知识产权与发展</w:t>
      </w:r>
      <w:r w:rsidRPr="00A85CB0">
        <w:rPr>
          <w:rFonts w:ascii="SimSun" w:hAnsi="SimSun" w:hint="eastAsia"/>
          <w:sz w:val="21"/>
          <w:szCs w:val="21"/>
        </w:rPr>
        <w:t>’，以便按委员会的商定以及大会的决定讨论知识产权和发展相关议题。</w:t>
      </w:r>
      <w:bookmarkStart w:id="5" w:name="_GoBack"/>
      <w:bookmarkEnd w:id="5"/>
      <w:r w:rsidR="003322FD">
        <w:rPr>
          <w:rFonts w:ascii="SimSun" w:hAnsi="SimSun" w:hint="eastAsia"/>
          <w:sz w:val="21"/>
          <w:szCs w:val="21"/>
        </w:rPr>
        <w:t>”</w:t>
      </w:r>
    </w:p>
    <w:p w:rsidR="00B3641A" w:rsidRPr="00A85CB0" w:rsidRDefault="00B3641A" w:rsidP="006D6FDD">
      <w:pPr>
        <w:pStyle w:val="Default"/>
        <w:overflowPunct w:val="0"/>
        <w:autoSpaceDE/>
        <w:autoSpaceDN/>
        <w:adjustRightInd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 w:rsidRPr="00A85CB0">
        <w:rPr>
          <w:rFonts w:ascii="KaiTi" w:eastAsia="KaiTi" w:hAnsi="KaiTi"/>
          <w:sz w:val="21"/>
          <w:szCs w:val="21"/>
        </w:rPr>
        <w:fldChar w:fldCharType="begin"/>
      </w:r>
      <w:r w:rsidRPr="00A85CB0">
        <w:rPr>
          <w:rFonts w:ascii="KaiTi" w:eastAsia="KaiTi" w:hAnsi="KaiTi"/>
          <w:sz w:val="21"/>
          <w:szCs w:val="21"/>
          <w:lang w:eastAsia="zh-CN"/>
        </w:rPr>
        <w:instrText xml:space="preserve"> AUTONUM  </w:instrText>
      </w:r>
      <w:r w:rsidRPr="00A85CB0">
        <w:rPr>
          <w:rFonts w:ascii="KaiTi" w:eastAsia="KaiTi" w:hAnsi="KaiTi"/>
          <w:sz w:val="21"/>
          <w:szCs w:val="21"/>
        </w:rPr>
        <w:fldChar w:fldCharType="end"/>
      </w:r>
      <w:r w:rsidR="00A85CB0" w:rsidRPr="00A85CB0">
        <w:rPr>
          <w:rFonts w:ascii="KaiTi" w:eastAsia="KaiTi" w:hAnsi="KaiTi" w:hint="eastAsia"/>
          <w:sz w:val="21"/>
          <w:szCs w:val="21"/>
          <w:lang w:eastAsia="zh-CN"/>
        </w:rPr>
        <w:t>.</w:t>
      </w:r>
      <w:r w:rsidRPr="00A85CB0">
        <w:rPr>
          <w:rFonts w:ascii="KaiTi" w:eastAsia="KaiTi" w:hAnsi="KaiTi"/>
          <w:sz w:val="21"/>
          <w:szCs w:val="21"/>
          <w:lang w:eastAsia="zh-CN"/>
        </w:rPr>
        <w:tab/>
      </w:r>
      <w:r w:rsidR="00A85CB0" w:rsidRPr="00A85CB0">
        <w:rPr>
          <w:rFonts w:ascii="KaiTi" w:eastAsia="KaiTi" w:hAnsi="KaiTi" w:hint="eastAsia"/>
          <w:sz w:val="21"/>
          <w:szCs w:val="21"/>
          <w:lang w:eastAsia="zh-CN"/>
        </w:rPr>
        <w:t>请</w:t>
      </w:r>
      <w:r w:rsidR="00A85CB0">
        <w:rPr>
          <w:rFonts w:ascii="KaiTi" w:eastAsia="KaiTi" w:hAnsi="KaiTi" w:hint="eastAsia"/>
          <w:sz w:val="21"/>
          <w:szCs w:val="21"/>
          <w:lang w:eastAsia="zh-CN"/>
        </w:rPr>
        <w:t>产权组织</w:t>
      </w:r>
      <w:r w:rsidR="00A85CB0" w:rsidRPr="00A85CB0">
        <w:rPr>
          <w:rFonts w:ascii="KaiTi" w:eastAsia="KaiTi" w:hAnsi="KaiTi" w:hint="eastAsia"/>
          <w:sz w:val="21"/>
          <w:szCs w:val="21"/>
          <w:lang w:eastAsia="zh-CN"/>
        </w:rPr>
        <w:t>大会审议上述决定案</w:t>
      </w:r>
      <w:r w:rsidR="001F7976">
        <w:rPr>
          <w:rFonts w:ascii="MS Mincho" w:eastAsia="MS Mincho" w:hAnsi="MS Mincho" w:cs="MS Mincho" w:hint="eastAsia"/>
          <w:sz w:val="21"/>
          <w:szCs w:val="21"/>
          <w:lang w:eastAsia="zh-CN"/>
        </w:rPr>
        <w:t>‍</w:t>
      </w:r>
      <w:r w:rsidR="00A85CB0" w:rsidRPr="00A85CB0">
        <w:rPr>
          <w:rFonts w:ascii="KaiTi" w:eastAsia="KaiTi" w:hAnsi="KaiTi" w:hint="eastAsia"/>
          <w:sz w:val="21"/>
          <w:szCs w:val="21"/>
          <w:lang w:eastAsia="zh-CN"/>
        </w:rPr>
        <w:t>文。</w:t>
      </w:r>
    </w:p>
    <w:p w:rsidR="00A85CB0" w:rsidRDefault="00A85CB0" w:rsidP="006D6FDD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</w:p>
    <w:p w:rsidR="002928D3" w:rsidRPr="00A85CB0" w:rsidRDefault="00B3641A" w:rsidP="006D6FDD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A85CB0">
        <w:rPr>
          <w:rFonts w:ascii="KaiTi" w:eastAsia="KaiTi" w:hAnsi="KaiTi"/>
          <w:sz w:val="21"/>
          <w:szCs w:val="21"/>
        </w:rPr>
        <w:t>[</w:t>
      </w:r>
      <w:r w:rsidR="00A85CB0" w:rsidRPr="00A85CB0">
        <w:rPr>
          <w:rFonts w:ascii="KaiTi" w:eastAsia="KaiTi" w:hAnsi="KaiTi" w:hint="eastAsia"/>
          <w:sz w:val="21"/>
          <w:szCs w:val="21"/>
        </w:rPr>
        <w:t>文件完</w:t>
      </w:r>
      <w:r w:rsidRPr="00A85CB0">
        <w:rPr>
          <w:rFonts w:ascii="KaiTi" w:eastAsia="KaiTi" w:hAnsi="KaiTi"/>
          <w:sz w:val="21"/>
          <w:szCs w:val="21"/>
        </w:rPr>
        <w:t>]</w:t>
      </w:r>
    </w:p>
    <w:sectPr w:rsidR="002928D3" w:rsidRPr="00A85CB0" w:rsidSect="00B3641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A" w:rsidRDefault="00B3641A">
      <w:r>
        <w:separator/>
      </w:r>
    </w:p>
  </w:endnote>
  <w:endnote w:type="continuationSeparator" w:id="0">
    <w:p w:rsidR="00B3641A" w:rsidRDefault="00B3641A" w:rsidP="003B38C1">
      <w:r>
        <w:separator/>
      </w:r>
    </w:p>
    <w:p w:rsidR="00B3641A" w:rsidRPr="003B38C1" w:rsidRDefault="00B364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641A" w:rsidRPr="003B38C1" w:rsidRDefault="00B364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A" w:rsidRDefault="00B3641A">
      <w:r>
        <w:separator/>
      </w:r>
    </w:p>
  </w:footnote>
  <w:footnote w:type="continuationSeparator" w:id="0">
    <w:p w:rsidR="00B3641A" w:rsidRDefault="00B3641A" w:rsidP="008B60B2">
      <w:r>
        <w:separator/>
      </w:r>
    </w:p>
    <w:p w:rsidR="00B3641A" w:rsidRPr="00ED77FB" w:rsidRDefault="00B364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641A" w:rsidRPr="00ED77FB" w:rsidRDefault="00B364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85CB0" w:rsidRDefault="00B3641A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85CB0">
      <w:rPr>
        <w:rFonts w:ascii="SimSun" w:hAnsi="SimSun"/>
        <w:sz w:val="21"/>
      </w:rPr>
      <w:t>WO/GA/49/10</w:t>
    </w:r>
  </w:p>
  <w:p w:rsidR="00EC4E49" w:rsidRPr="00A85CB0" w:rsidRDefault="00A85CB0" w:rsidP="00477D6B">
    <w:pPr>
      <w:jc w:val="right"/>
      <w:rPr>
        <w:rFonts w:ascii="SimSun" w:hAnsi="SimSun"/>
        <w:sz w:val="21"/>
      </w:rPr>
    </w:pPr>
    <w:r w:rsidRPr="00A85CB0">
      <w:rPr>
        <w:rFonts w:ascii="SimSun" w:hAnsi="SimSun" w:hint="eastAsia"/>
        <w:sz w:val="21"/>
      </w:rPr>
      <w:t>第</w:t>
    </w:r>
    <w:r w:rsidR="00EC4E49" w:rsidRPr="00A85CB0">
      <w:rPr>
        <w:rFonts w:ascii="SimSun" w:hAnsi="SimSun"/>
        <w:sz w:val="21"/>
      </w:rPr>
      <w:fldChar w:fldCharType="begin"/>
    </w:r>
    <w:r w:rsidR="00EC4E49" w:rsidRPr="00A85CB0">
      <w:rPr>
        <w:rFonts w:ascii="SimSun" w:hAnsi="SimSun"/>
        <w:sz w:val="21"/>
      </w:rPr>
      <w:instrText xml:space="preserve"> PAGE  \* MERGEFORMAT </w:instrText>
    </w:r>
    <w:r w:rsidR="00EC4E49" w:rsidRPr="00A85CB0">
      <w:rPr>
        <w:rFonts w:ascii="SimSun" w:hAnsi="SimSun"/>
        <w:sz w:val="21"/>
      </w:rPr>
      <w:fldChar w:fldCharType="separate"/>
    </w:r>
    <w:r w:rsidR="003322FD">
      <w:rPr>
        <w:rFonts w:ascii="SimSun" w:hAnsi="SimSun"/>
        <w:noProof/>
        <w:sz w:val="21"/>
      </w:rPr>
      <w:t>2</w:t>
    </w:r>
    <w:r w:rsidR="00EC4E49" w:rsidRPr="00A85CB0">
      <w:rPr>
        <w:rFonts w:ascii="SimSun" w:hAnsi="SimSun"/>
        <w:sz w:val="21"/>
      </w:rPr>
      <w:fldChar w:fldCharType="end"/>
    </w:r>
    <w:r w:rsidRPr="00A85CB0">
      <w:rPr>
        <w:rFonts w:ascii="SimSun" w:hAnsi="SimSun" w:hint="eastAsia"/>
        <w:sz w:val="21"/>
      </w:rPr>
      <w:t>页</w:t>
    </w:r>
  </w:p>
  <w:p w:rsidR="008A134B" w:rsidRPr="00A85CB0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A"/>
    <w:rsid w:val="00043CAA"/>
    <w:rsid w:val="00075432"/>
    <w:rsid w:val="000968ED"/>
    <w:rsid w:val="000D630D"/>
    <w:rsid w:val="000F5E56"/>
    <w:rsid w:val="001362EE"/>
    <w:rsid w:val="00136CC9"/>
    <w:rsid w:val="0013768B"/>
    <w:rsid w:val="001647D5"/>
    <w:rsid w:val="001832A6"/>
    <w:rsid w:val="001877BE"/>
    <w:rsid w:val="001912C0"/>
    <w:rsid w:val="001F7976"/>
    <w:rsid w:val="0021217E"/>
    <w:rsid w:val="002634C4"/>
    <w:rsid w:val="002928D3"/>
    <w:rsid w:val="002F1FE6"/>
    <w:rsid w:val="002F4E68"/>
    <w:rsid w:val="00312F7F"/>
    <w:rsid w:val="003322FD"/>
    <w:rsid w:val="00344C42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4EDE"/>
    <w:rsid w:val="00477D6B"/>
    <w:rsid w:val="005019FF"/>
    <w:rsid w:val="005160FA"/>
    <w:rsid w:val="0053057A"/>
    <w:rsid w:val="005455BF"/>
    <w:rsid w:val="005551B5"/>
    <w:rsid w:val="00560A29"/>
    <w:rsid w:val="005C6649"/>
    <w:rsid w:val="00605827"/>
    <w:rsid w:val="00646050"/>
    <w:rsid w:val="006713CA"/>
    <w:rsid w:val="00676C5C"/>
    <w:rsid w:val="00686FBD"/>
    <w:rsid w:val="006D6FDD"/>
    <w:rsid w:val="007C5329"/>
    <w:rsid w:val="007C5867"/>
    <w:rsid w:val="007D1613"/>
    <w:rsid w:val="007D7FEE"/>
    <w:rsid w:val="007E4C0E"/>
    <w:rsid w:val="008702EA"/>
    <w:rsid w:val="008A134B"/>
    <w:rsid w:val="008B2CC1"/>
    <w:rsid w:val="008B60B2"/>
    <w:rsid w:val="0090731E"/>
    <w:rsid w:val="00916EE2"/>
    <w:rsid w:val="00966A22"/>
    <w:rsid w:val="0096722F"/>
    <w:rsid w:val="00967EEA"/>
    <w:rsid w:val="00980843"/>
    <w:rsid w:val="009E2791"/>
    <w:rsid w:val="009E3F6F"/>
    <w:rsid w:val="009F499F"/>
    <w:rsid w:val="00A42DAF"/>
    <w:rsid w:val="00A45BD8"/>
    <w:rsid w:val="00A85CB0"/>
    <w:rsid w:val="00A869B7"/>
    <w:rsid w:val="00AC205C"/>
    <w:rsid w:val="00AF0A6B"/>
    <w:rsid w:val="00B05A69"/>
    <w:rsid w:val="00B3641A"/>
    <w:rsid w:val="00B37842"/>
    <w:rsid w:val="00B65611"/>
    <w:rsid w:val="00B9734B"/>
    <w:rsid w:val="00BA30E2"/>
    <w:rsid w:val="00BB397B"/>
    <w:rsid w:val="00C11BFE"/>
    <w:rsid w:val="00C5068F"/>
    <w:rsid w:val="00C86D74"/>
    <w:rsid w:val="00C93090"/>
    <w:rsid w:val="00CA5DC5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1703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B3641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B3641A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B3641A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B3641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37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WO/GA/49/10</dc:title>
  <dc:subject>关于发展与知识产权委员会（CDIP）相关事项的决定</dc:subject>
  <dc:creator/>
  <cp:lastModifiedBy>SONG Qiao</cp:lastModifiedBy>
  <cp:revision>10</cp:revision>
  <cp:lastPrinted>2017-06-16T15:19:00Z</cp:lastPrinted>
  <dcterms:created xsi:type="dcterms:W3CDTF">2017-06-19T13:32:00Z</dcterms:created>
  <dcterms:modified xsi:type="dcterms:W3CDTF">2017-06-20T13:41:00Z</dcterms:modified>
</cp:coreProperties>
</file>