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AD6DDB" w:rsidRPr="00DE3F2B" w:rsidTr="00FC2A22">
        <w:trPr>
          <w:trHeight w:val="1977"/>
        </w:trPr>
        <w:tc>
          <w:tcPr>
            <w:tcW w:w="4596" w:type="dxa"/>
            <w:tcBorders>
              <w:top w:val="nil"/>
              <w:left w:val="nil"/>
              <w:bottom w:val="single" w:sz="4" w:space="0" w:color="auto"/>
              <w:right w:val="nil"/>
            </w:tcBorders>
            <w:tcMar>
              <w:top w:w="0" w:type="dxa"/>
              <w:left w:w="108" w:type="dxa"/>
              <w:bottom w:w="170" w:type="dxa"/>
              <w:right w:w="108" w:type="dxa"/>
            </w:tcMar>
            <w:hideMark/>
          </w:tcPr>
          <w:p w:rsidR="00AD6DDB" w:rsidRPr="00DE3F2B" w:rsidRDefault="00AD6DDB" w:rsidP="00FC2A22">
            <w:pPr>
              <w:widowControl w:val="0"/>
              <w:spacing w:after="0" w:line="240" w:lineRule="auto"/>
              <w:jc w:val="both"/>
              <w:rPr>
                <w:rFonts w:ascii="Arial" w:hAnsi="Arial" w:cs="Arial"/>
                <w:kern w:val="2"/>
                <w:sz w:val="21"/>
                <w:lang w:eastAsia="zh-CN"/>
              </w:rPr>
            </w:pPr>
            <w:bookmarkStart w:id="0" w:name="TitleOfDoc"/>
            <w:bookmarkEnd w:id="0"/>
            <w:r w:rsidRPr="00DE3F2B">
              <w:rPr>
                <w:rFonts w:ascii="Arial" w:hAnsi="Arial" w:cs="Arial" w:hint="eastAsia"/>
                <w:noProof/>
                <w:kern w:val="2"/>
                <w:sz w:val="21"/>
                <w:lang w:eastAsia="zh-CN"/>
              </w:rPr>
              <w:drawing>
                <wp:anchor distT="0" distB="0" distL="114300" distR="114300" simplePos="0" relativeHeight="251659264" behindDoc="1" locked="0" layoutInCell="0" allowOverlap="1" wp14:anchorId="3DB0299F" wp14:editId="2A398E42">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9" w:type="dxa"/>
            <w:tcBorders>
              <w:top w:val="nil"/>
              <w:left w:val="nil"/>
              <w:bottom w:val="single" w:sz="4" w:space="0" w:color="auto"/>
              <w:right w:val="nil"/>
            </w:tcBorders>
            <w:tcMar>
              <w:top w:w="0" w:type="dxa"/>
              <w:left w:w="0" w:type="dxa"/>
              <w:bottom w:w="0" w:type="dxa"/>
              <w:right w:w="0" w:type="dxa"/>
            </w:tcMar>
          </w:tcPr>
          <w:p w:rsidR="00AD6DDB" w:rsidRPr="00DE3F2B" w:rsidRDefault="00AD6DDB" w:rsidP="00FC2A22">
            <w:pPr>
              <w:spacing w:after="0" w:line="240" w:lineRule="auto"/>
              <w:rPr>
                <w:rFonts w:ascii="Arial" w:hAnsi="Arial" w:cs="Arial"/>
                <w:szCs w:val="20"/>
                <w:lang w:eastAsia="zh-CN"/>
              </w:rPr>
            </w:pPr>
          </w:p>
        </w:tc>
        <w:tc>
          <w:tcPr>
            <w:tcW w:w="425" w:type="dxa"/>
            <w:tcBorders>
              <w:top w:val="nil"/>
              <w:left w:val="nil"/>
              <w:bottom w:val="single" w:sz="4" w:space="0" w:color="auto"/>
              <w:right w:val="nil"/>
            </w:tcBorders>
            <w:tcMar>
              <w:top w:w="0" w:type="dxa"/>
              <w:left w:w="0" w:type="dxa"/>
              <w:bottom w:w="0" w:type="dxa"/>
              <w:right w:w="0" w:type="dxa"/>
            </w:tcMar>
            <w:hideMark/>
          </w:tcPr>
          <w:p w:rsidR="00AD6DDB" w:rsidRPr="00DE3F2B" w:rsidRDefault="00AD6DDB" w:rsidP="00FC2A22">
            <w:pPr>
              <w:spacing w:after="0" w:line="240" w:lineRule="auto"/>
              <w:jc w:val="right"/>
              <w:rPr>
                <w:rFonts w:ascii="Arial" w:hAnsi="Arial" w:cs="Arial"/>
                <w:szCs w:val="20"/>
                <w:lang w:eastAsia="zh-CN"/>
              </w:rPr>
            </w:pPr>
            <w:r w:rsidRPr="00DE3F2B">
              <w:rPr>
                <w:rFonts w:ascii="Arial" w:hAnsi="Arial" w:cs="Arial" w:hint="eastAsia"/>
                <w:b/>
                <w:sz w:val="40"/>
                <w:szCs w:val="40"/>
                <w:lang w:eastAsia="zh-CN"/>
              </w:rPr>
              <w:t>C</w:t>
            </w:r>
          </w:p>
        </w:tc>
      </w:tr>
      <w:tr w:rsidR="00AD6DDB" w:rsidRPr="00DE3F2B" w:rsidTr="00FC2A22">
        <w:trPr>
          <w:trHeight w:hRule="exact" w:val="340"/>
        </w:trPr>
        <w:tc>
          <w:tcPr>
            <w:tcW w:w="9360" w:type="dxa"/>
            <w:gridSpan w:val="3"/>
            <w:tcBorders>
              <w:top w:val="single" w:sz="4" w:space="0" w:color="auto"/>
              <w:left w:val="nil"/>
              <w:bottom w:val="nil"/>
              <w:right w:val="nil"/>
            </w:tcBorders>
            <w:tcMar>
              <w:top w:w="170" w:type="dxa"/>
              <w:left w:w="0" w:type="dxa"/>
              <w:bottom w:w="0" w:type="dxa"/>
              <w:right w:w="0" w:type="dxa"/>
            </w:tcMar>
            <w:vAlign w:val="bottom"/>
            <w:hideMark/>
          </w:tcPr>
          <w:p w:rsidR="00AD6DDB" w:rsidRPr="00DE3F2B" w:rsidRDefault="00AD6DDB" w:rsidP="00534565">
            <w:pPr>
              <w:widowControl w:val="0"/>
              <w:wordWrap w:val="0"/>
              <w:spacing w:after="0" w:line="240" w:lineRule="auto"/>
              <w:jc w:val="right"/>
              <w:rPr>
                <w:rFonts w:ascii="Arial Black" w:hAnsi="Arial Black" w:cs="Arial"/>
                <w:caps/>
                <w:sz w:val="15"/>
                <w:szCs w:val="20"/>
                <w:lang w:eastAsia="zh-CN"/>
              </w:rPr>
            </w:pPr>
            <w:r w:rsidRPr="00DE3F2B">
              <w:rPr>
                <w:rFonts w:ascii="Arial Black" w:hAnsi="Arial Black" w:cs="Arial" w:hint="eastAsia"/>
                <w:caps/>
                <w:sz w:val="15"/>
                <w:szCs w:val="20"/>
                <w:lang w:eastAsia="zh-CN"/>
              </w:rPr>
              <w:t>WO/</w:t>
            </w:r>
            <w:r w:rsidRPr="00DE3F2B">
              <w:rPr>
                <w:rFonts w:ascii="Arial Black" w:eastAsia="SimHei" w:hAnsi="Arial Black" w:cstheme="minorBidi" w:hint="eastAsia"/>
                <w:caps/>
                <w:kern w:val="2"/>
                <w:sz w:val="15"/>
                <w:lang w:eastAsia="zh-CN"/>
              </w:rPr>
              <w:t>GA</w:t>
            </w:r>
            <w:r w:rsidRPr="00DE3F2B">
              <w:rPr>
                <w:rFonts w:ascii="Arial Black" w:hAnsi="Arial Black" w:cs="Arial" w:hint="eastAsia"/>
                <w:caps/>
                <w:sz w:val="15"/>
                <w:szCs w:val="20"/>
                <w:lang w:eastAsia="zh-CN"/>
              </w:rPr>
              <w:t>/47/1</w:t>
            </w:r>
            <w:bookmarkStart w:id="1" w:name="Code"/>
            <w:bookmarkEnd w:id="1"/>
            <w:r w:rsidR="00534565">
              <w:rPr>
                <w:rFonts w:ascii="Arial Black" w:hAnsi="Arial Black" w:cs="Arial" w:hint="eastAsia"/>
                <w:caps/>
                <w:sz w:val="15"/>
                <w:szCs w:val="20"/>
                <w:lang w:eastAsia="zh-CN"/>
              </w:rPr>
              <w:t>5</w:t>
            </w:r>
          </w:p>
        </w:tc>
      </w:tr>
      <w:tr w:rsidR="00AD6DDB" w:rsidRPr="00DE3F2B" w:rsidTr="00FC2A22">
        <w:trPr>
          <w:trHeight w:hRule="exact" w:val="170"/>
        </w:trPr>
        <w:tc>
          <w:tcPr>
            <w:tcW w:w="9360" w:type="dxa"/>
            <w:gridSpan w:val="3"/>
            <w:noWrap/>
            <w:tcMar>
              <w:top w:w="0" w:type="dxa"/>
              <w:left w:w="0" w:type="dxa"/>
              <w:bottom w:w="0" w:type="dxa"/>
              <w:right w:w="0" w:type="dxa"/>
            </w:tcMar>
            <w:vAlign w:val="bottom"/>
            <w:hideMark/>
          </w:tcPr>
          <w:p w:rsidR="00AD6DDB" w:rsidRPr="00DE3F2B" w:rsidRDefault="00AD6DDB" w:rsidP="00FC2A22">
            <w:pPr>
              <w:spacing w:after="0" w:line="240" w:lineRule="auto"/>
              <w:jc w:val="right"/>
              <w:rPr>
                <w:rFonts w:ascii="Arial" w:hAnsi="Arial" w:cs="Arial"/>
                <w:b/>
                <w:caps/>
                <w:sz w:val="15"/>
                <w:szCs w:val="15"/>
                <w:lang w:eastAsia="zh-CN"/>
              </w:rPr>
            </w:pPr>
            <w:r w:rsidRPr="00DE3F2B">
              <w:rPr>
                <w:rFonts w:ascii="Arial" w:eastAsia="SimHei" w:hAnsi="Arial" w:cs="Arial" w:hint="eastAsia"/>
                <w:b/>
                <w:sz w:val="15"/>
                <w:szCs w:val="15"/>
                <w:lang w:eastAsia="zh-CN"/>
              </w:rPr>
              <w:t>原</w:t>
            </w:r>
            <w:r w:rsidRPr="00DE3F2B">
              <w:rPr>
                <w:rFonts w:ascii="Arial" w:eastAsia="SimHei" w:hAnsi="Arial" w:cs="Arial" w:hint="eastAsia"/>
                <w:b/>
                <w:sz w:val="15"/>
                <w:szCs w:val="15"/>
                <w:lang w:val="pt-BR" w:eastAsia="zh-CN"/>
              </w:rPr>
              <w:t xml:space="preserve"> </w:t>
            </w:r>
            <w:r w:rsidRPr="00DE3F2B">
              <w:rPr>
                <w:rFonts w:ascii="Arial" w:eastAsia="SimHei" w:hAnsi="Arial" w:cs="Arial" w:hint="eastAsia"/>
                <w:b/>
                <w:sz w:val="15"/>
                <w:szCs w:val="15"/>
                <w:lang w:eastAsia="zh-CN"/>
              </w:rPr>
              <w:t>文</w:t>
            </w:r>
            <w:r w:rsidRPr="00DE3F2B">
              <w:rPr>
                <w:rFonts w:ascii="Arial" w:eastAsia="SimHei" w:hAnsi="Arial" w:cs="Arial" w:hint="eastAsia"/>
                <w:b/>
                <w:sz w:val="15"/>
                <w:szCs w:val="15"/>
                <w:lang w:val="pt-BR" w:eastAsia="zh-CN"/>
              </w:rPr>
              <w:t>：</w:t>
            </w:r>
            <w:r w:rsidRPr="00DE3F2B">
              <w:rPr>
                <w:rFonts w:ascii="Arial" w:eastAsia="SimHei" w:hAnsi="Arial" w:cs="Arial" w:hint="eastAsia"/>
                <w:b/>
                <w:sz w:val="15"/>
                <w:szCs w:val="15"/>
                <w:lang w:eastAsia="zh-CN"/>
              </w:rPr>
              <w:t>英文</w:t>
            </w:r>
          </w:p>
        </w:tc>
      </w:tr>
      <w:tr w:rsidR="00AD6DDB" w:rsidRPr="00DE3F2B" w:rsidTr="00FC2A22">
        <w:trPr>
          <w:trHeight w:hRule="exact" w:val="198"/>
        </w:trPr>
        <w:tc>
          <w:tcPr>
            <w:tcW w:w="9360" w:type="dxa"/>
            <w:gridSpan w:val="3"/>
            <w:tcMar>
              <w:top w:w="0" w:type="dxa"/>
              <w:left w:w="0" w:type="dxa"/>
              <w:bottom w:w="0" w:type="dxa"/>
              <w:right w:w="0" w:type="dxa"/>
            </w:tcMar>
            <w:vAlign w:val="bottom"/>
            <w:hideMark/>
          </w:tcPr>
          <w:p w:rsidR="00AD6DDB" w:rsidRPr="00DE3F2B" w:rsidRDefault="00AD6DDB" w:rsidP="000E7E07">
            <w:pPr>
              <w:spacing w:after="0" w:line="240" w:lineRule="auto"/>
              <w:jc w:val="right"/>
              <w:rPr>
                <w:rFonts w:ascii="Arial" w:eastAsia="SimHei" w:hAnsi="Arial" w:cs="Arial"/>
                <w:b/>
                <w:caps/>
                <w:sz w:val="15"/>
                <w:szCs w:val="15"/>
                <w:lang w:eastAsia="zh-CN"/>
              </w:rPr>
            </w:pPr>
            <w:r w:rsidRPr="00DE3F2B">
              <w:rPr>
                <w:rFonts w:ascii="Arial" w:eastAsia="SimHei" w:hAnsi="Arial" w:cs="Arial" w:hint="eastAsia"/>
                <w:b/>
                <w:sz w:val="15"/>
                <w:szCs w:val="15"/>
                <w:lang w:eastAsia="zh-CN"/>
              </w:rPr>
              <w:t>日</w:t>
            </w:r>
            <w:r w:rsidRPr="00DE3F2B">
              <w:rPr>
                <w:rFonts w:ascii="Arial" w:eastAsia="SimHei" w:hAnsi="Arial" w:cs="Arial" w:hint="eastAsia"/>
                <w:b/>
                <w:sz w:val="15"/>
                <w:szCs w:val="15"/>
                <w:lang w:val="pt-BR" w:eastAsia="zh-CN"/>
              </w:rPr>
              <w:t xml:space="preserve"> </w:t>
            </w:r>
            <w:r w:rsidRPr="00DE3F2B">
              <w:rPr>
                <w:rFonts w:ascii="Arial" w:eastAsia="SimHei" w:hAnsi="Arial" w:cs="Arial" w:hint="eastAsia"/>
                <w:b/>
                <w:sz w:val="15"/>
                <w:szCs w:val="15"/>
                <w:lang w:eastAsia="zh-CN"/>
              </w:rPr>
              <w:t>期</w:t>
            </w:r>
            <w:r w:rsidRPr="00DE3F2B">
              <w:rPr>
                <w:rFonts w:ascii="Arial" w:eastAsia="SimHei" w:hAnsi="Arial" w:cs="Arial" w:hint="eastAsia"/>
                <w:b/>
                <w:sz w:val="15"/>
                <w:szCs w:val="15"/>
                <w:lang w:val="pt-BR" w:eastAsia="zh-CN"/>
              </w:rPr>
              <w:t>：</w:t>
            </w:r>
            <w:r w:rsidRPr="00DE3F2B">
              <w:rPr>
                <w:rFonts w:ascii="Arial Black" w:eastAsia="SimHei" w:hAnsi="Arial Black" w:cs="Arial" w:hint="eastAsia"/>
                <w:sz w:val="15"/>
                <w:szCs w:val="15"/>
                <w:lang w:val="pt-BR" w:eastAsia="zh-CN"/>
              </w:rPr>
              <w:t>2015</w:t>
            </w:r>
            <w:r w:rsidRPr="00DE3F2B">
              <w:rPr>
                <w:rFonts w:ascii="Arial" w:eastAsia="SimHei" w:hAnsi="Arial" w:cs="Arial" w:hint="eastAsia"/>
                <w:b/>
                <w:sz w:val="15"/>
                <w:szCs w:val="15"/>
                <w:lang w:eastAsia="zh-CN"/>
              </w:rPr>
              <w:t>年</w:t>
            </w:r>
            <w:r w:rsidR="000E7E07">
              <w:rPr>
                <w:rFonts w:ascii="Arial Black" w:eastAsia="SimHei" w:hAnsi="Arial Black" w:cs="Arial" w:hint="eastAsia"/>
                <w:sz w:val="15"/>
                <w:szCs w:val="15"/>
                <w:lang w:val="pt-BR" w:eastAsia="zh-CN"/>
              </w:rPr>
              <w:t>7</w:t>
            </w:r>
            <w:r w:rsidRPr="00DE3F2B">
              <w:rPr>
                <w:rFonts w:ascii="Arial" w:eastAsia="SimHei" w:hAnsi="Arial" w:cs="Arial" w:hint="eastAsia"/>
                <w:b/>
                <w:sz w:val="15"/>
                <w:szCs w:val="15"/>
                <w:lang w:eastAsia="zh-CN"/>
              </w:rPr>
              <w:t>月</w:t>
            </w:r>
            <w:r w:rsidR="000E7E07">
              <w:rPr>
                <w:rFonts w:ascii="Arial Black" w:eastAsia="SimHei" w:hAnsi="Arial Black" w:cs="Arial" w:hint="eastAsia"/>
                <w:sz w:val="15"/>
                <w:szCs w:val="15"/>
                <w:lang w:eastAsia="zh-CN"/>
              </w:rPr>
              <w:t>7</w:t>
            </w:r>
            <w:r w:rsidRPr="00DE3F2B">
              <w:rPr>
                <w:rFonts w:ascii="Arial" w:eastAsia="SimHei" w:hAnsi="Arial" w:cs="Arial" w:hint="eastAsia"/>
                <w:b/>
                <w:sz w:val="15"/>
                <w:szCs w:val="15"/>
                <w:lang w:eastAsia="zh-CN"/>
              </w:rPr>
              <w:t>日</w:t>
            </w:r>
            <w:r w:rsidRPr="00DE3F2B">
              <w:rPr>
                <w:rFonts w:ascii="Arial" w:eastAsia="SimHei" w:hAnsi="Arial" w:cs="Arial" w:hint="eastAsia"/>
                <w:b/>
                <w:caps/>
                <w:sz w:val="15"/>
                <w:szCs w:val="15"/>
                <w:lang w:eastAsia="zh-CN"/>
              </w:rPr>
              <w:t xml:space="preserve">  </w:t>
            </w:r>
            <w:bookmarkStart w:id="2" w:name="Date"/>
            <w:bookmarkEnd w:id="2"/>
          </w:p>
        </w:tc>
      </w:tr>
    </w:tbl>
    <w:p w:rsidR="00AD6DDB" w:rsidRPr="00DE3F2B" w:rsidRDefault="00AD6DDB" w:rsidP="00AD6DDB">
      <w:pPr>
        <w:spacing w:after="0" w:line="240" w:lineRule="auto"/>
        <w:rPr>
          <w:rFonts w:ascii="Arial" w:hAnsi="Arial"/>
          <w:lang w:eastAsia="zh-CN"/>
        </w:rPr>
      </w:pPr>
    </w:p>
    <w:p w:rsidR="00AD6DDB" w:rsidRPr="00DE3F2B" w:rsidRDefault="00AD6DDB" w:rsidP="00AD6DDB">
      <w:pPr>
        <w:spacing w:after="0" w:line="240" w:lineRule="auto"/>
        <w:rPr>
          <w:rFonts w:ascii="Arial" w:hAnsi="Arial"/>
          <w:lang w:eastAsia="zh-CN"/>
        </w:rPr>
      </w:pPr>
    </w:p>
    <w:p w:rsidR="00AD6DDB" w:rsidRPr="00DE3F2B" w:rsidRDefault="00AD6DDB" w:rsidP="00AD6DDB">
      <w:pPr>
        <w:spacing w:after="0" w:line="240" w:lineRule="auto"/>
        <w:rPr>
          <w:rFonts w:ascii="Arial" w:hAnsi="Arial"/>
          <w:lang w:eastAsia="zh-CN"/>
        </w:rPr>
      </w:pPr>
    </w:p>
    <w:p w:rsidR="00AD6DDB" w:rsidRPr="00DE3F2B" w:rsidRDefault="00AD6DDB" w:rsidP="00AD6DDB">
      <w:pPr>
        <w:spacing w:after="0" w:line="240" w:lineRule="auto"/>
        <w:rPr>
          <w:rFonts w:ascii="Arial" w:hAnsi="Arial"/>
          <w:lang w:eastAsia="zh-CN"/>
        </w:rPr>
      </w:pPr>
    </w:p>
    <w:p w:rsidR="00AD6DDB" w:rsidRPr="00DE3F2B" w:rsidRDefault="00AD6DDB" w:rsidP="00AD6DDB">
      <w:pPr>
        <w:spacing w:after="0" w:line="240" w:lineRule="auto"/>
        <w:rPr>
          <w:rFonts w:ascii="Arial" w:hAnsi="Arial"/>
          <w:lang w:eastAsia="zh-CN"/>
        </w:rPr>
      </w:pPr>
    </w:p>
    <w:p w:rsidR="00AD6DDB" w:rsidRPr="0030048A" w:rsidRDefault="00AD6DDB" w:rsidP="00AD6DDB">
      <w:pPr>
        <w:spacing w:after="0" w:line="240" w:lineRule="auto"/>
        <w:rPr>
          <w:rFonts w:ascii="SimHei" w:eastAsia="SimHei" w:hAnsi="SimHei"/>
          <w:sz w:val="28"/>
          <w:lang w:eastAsia="zh-CN"/>
        </w:rPr>
      </w:pPr>
      <w:r w:rsidRPr="0030048A">
        <w:rPr>
          <w:rFonts w:ascii="SimHei" w:eastAsia="SimHei" w:hAnsi="SimHei" w:hint="eastAsia"/>
          <w:sz w:val="28"/>
          <w:lang w:eastAsia="zh-CN"/>
        </w:rPr>
        <w:t>世界知识产权组织</w:t>
      </w:r>
      <w:r>
        <w:rPr>
          <w:rFonts w:ascii="SimHei" w:eastAsia="SimHei" w:hAnsi="SimHei" w:hint="eastAsia"/>
          <w:sz w:val="28"/>
          <w:lang w:eastAsia="zh-CN"/>
        </w:rPr>
        <w:t>大会</w:t>
      </w:r>
    </w:p>
    <w:p w:rsidR="00AD6DDB" w:rsidRPr="00DE3F2B" w:rsidRDefault="00AD6DDB" w:rsidP="00AD6DDB">
      <w:pPr>
        <w:spacing w:after="0" w:line="240" w:lineRule="auto"/>
        <w:rPr>
          <w:rFonts w:ascii="Arial" w:hAnsi="Arial"/>
          <w:lang w:eastAsia="zh-CN"/>
        </w:rPr>
      </w:pPr>
    </w:p>
    <w:p w:rsidR="00AD6DDB" w:rsidRPr="00DE3F2B" w:rsidRDefault="00AD6DDB" w:rsidP="00AD6DDB">
      <w:pPr>
        <w:spacing w:after="0" w:line="240" w:lineRule="auto"/>
        <w:rPr>
          <w:rFonts w:ascii="Arial" w:hAnsi="Arial"/>
          <w:lang w:eastAsia="zh-CN"/>
        </w:rPr>
      </w:pPr>
    </w:p>
    <w:p w:rsidR="00AD6DDB" w:rsidRPr="0030048A" w:rsidRDefault="00AD6DDB" w:rsidP="00AD6DDB">
      <w:pPr>
        <w:spacing w:after="0" w:line="240" w:lineRule="auto"/>
        <w:rPr>
          <w:rFonts w:ascii="KaiTi" w:eastAsia="KaiTi" w:hAnsi="KaiTi"/>
          <w:b/>
          <w:sz w:val="24"/>
          <w:lang w:eastAsia="zh-CN"/>
        </w:rPr>
      </w:pPr>
      <w:r w:rsidRPr="0030048A">
        <w:rPr>
          <w:rFonts w:ascii="KaiTi" w:eastAsia="KaiTi" w:hAnsi="KaiTi" w:hint="eastAsia"/>
          <w:b/>
          <w:sz w:val="24"/>
          <w:lang w:eastAsia="zh-CN"/>
        </w:rPr>
        <w:t>第四十</w:t>
      </w:r>
      <w:r w:rsidR="00DE3F2B">
        <w:rPr>
          <w:rFonts w:ascii="KaiTi" w:eastAsia="KaiTi" w:hAnsi="KaiTi" w:hint="eastAsia"/>
          <w:b/>
          <w:sz w:val="24"/>
          <w:lang w:eastAsia="zh-CN"/>
        </w:rPr>
        <w:t>七</w:t>
      </w:r>
      <w:r w:rsidRPr="0030048A">
        <w:rPr>
          <w:rFonts w:ascii="KaiTi" w:eastAsia="KaiTi" w:hAnsi="KaiTi" w:hint="eastAsia"/>
          <w:b/>
          <w:sz w:val="24"/>
          <w:lang w:eastAsia="zh-CN"/>
        </w:rPr>
        <w:t>届会议</w:t>
      </w:r>
      <w:r>
        <w:rPr>
          <w:rFonts w:ascii="KaiTi" w:eastAsia="KaiTi" w:hAnsi="KaiTi" w:hint="eastAsia"/>
          <w:b/>
          <w:sz w:val="24"/>
          <w:lang w:eastAsia="zh-CN"/>
        </w:rPr>
        <w:t>(</w:t>
      </w:r>
      <w:r w:rsidRPr="0030048A">
        <w:rPr>
          <w:rFonts w:ascii="KaiTi" w:eastAsia="KaiTi" w:hAnsi="KaiTi" w:hint="eastAsia"/>
          <w:b/>
          <w:sz w:val="24"/>
          <w:lang w:eastAsia="zh-CN"/>
        </w:rPr>
        <w:t>第</w:t>
      </w:r>
      <w:r w:rsidRPr="0030048A">
        <w:rPr>
          <w:rFonts w:ascii="KaiTi" w:eastAsia="KaiTi" w:hAnsi="KaiTi" w:hint="eastAsia"/>
          <w:sz w:val="24"/>
          <w:lang w:eastAsia="zh-CN"/>
        </w:rPr>
        <w:t>2</w:t>
      </w:r>
      <w:r w:rsidR="00DE3F2B">
        <w:rPr>
          <w:rFonts w:ascii="KaiTi" w:eastAsia="KaiTi" w:hAnsi="KaiTi" w:hint="eastAsia"/>
          <w:sz w:val="24"/>
          <w:lang w:eastAsia="zh-CN"/>
        </w:rPr>
        <w:t>2</w:t>
      </w:r>
      <w:r w:rsidRPr="00DC5F54">
        <w:rPr>
          <w:rFonts w:ascii="KaiTi" w:eastAsia="KaiTi" w:hAnsi="KaiTi" w:hint="eastAsia"/>
          <w:b/>
          <w:sz w:val="24"/>
          <w:lang w:eastAsia="zh-CN"/>
        </w:rPr>
        <w:t>次</w:t>
      </w:r>
      <w:r w:rsidR="00DE3F2B">
        <w:rPr>
          <w:rFonts w:ascii="KaiTi" w:eastAsia="KaiTi" w:hAnsi="KaiTi" w:hint="eastAsia"/>
          <w:b/>
          <w:sz w:val="24"/>
          <w:lang w:eastAsia="zh-CN"/>
        </w:rPr>
        <w:t>例会</w:t>
      </w:r>
      <w:r>
        <w:rPr>
          <w:rFonts w:ascii="KaiTi" w:eastAsia="KaiTi" w:hAnsi="KaiTi" w:hint="eastAsia"/>
          <w:b/>
          <w:sz w:val="24"/>
          <w:lang w:eastAsia="zh-CN"/>
        </w:rPr>
        <w:t>)</w:t>
      </w:r>
    </w:p>
    <w:p w:rsidR="00AD6DDB" w:rsidRPr="0030048A" w:rsidRDefault="00AD6DDB" w:rsidP="00AD6DDB">
      <w:pPr>
        <w:spacing w:after="0" w:line="240" w:lineRule="auto"/>
        <w:rPr>
          <w:rFonts w:ascii="KaiTi" w:eastAsia="KaiTi" w:hAnsi="KaiTi"/>
          <w:sz w:val="24"/>
          <w:lang w:eastAsia="zh-CN"/>
        </w:rPr>
      </w:pPr>
      <w:r w:rsidRPr="0030048A">
        <w:rPr>
          <w:rFonts w:ascii="KaiTi" w:eastAsia="KaiTi" w:hAnsi="KaiTi" w:hint="eastAsia"/>
          <w:sz w:val="24"/>
          <w:lang w:eastAsia="zh-CN"/>
        </w:rPr>
        <w:t>201</w:t>
      </w:r>
      <w:r w:rsidR="00DE3F2B">
        <w:rPr>
          <w:rFonts w:ascii="KaiTi" w:eastAsia="KaiTi" w:hAnsi="KaiTi" w:hint="eastAsia"/>
          <w:sz w:val="24"/>
          <w:lang w:eastAsia="zh-CN"/>
        </w:rPr>
        <w:t>5</w:t>
      </w:r>
      <w:r w:rsidRPr="0030048A">
        <w:rPr>
          <w:rFonts w:ascii="KaiTi" w:eastAsia="KaiTi" w:hAnsi="KaiTi" w:hint="eastAsia"/>
          <w:b/>
          <w:sz w:val="24"/>
          <w:lang w:eastAsia="zh-CN"/>
        </w:rPr>
        <w:t>年</w:t>
      </w:r>
      <w:r w:rsidR="00DE3F2B">
        <w:rPr>
          <w:rFonts w:ascii="KaiTi" w:eastAsia="KaiTi" w:hAnsi="KaiTi" w:hint="eastAsia"/>
          <w:sz w:val="24"/>
          <w:lang w:eastAsia="zh-CN"/>
        </w:rPr>
        <w:t>10</w:t>
      </w:r>
      <w:r w:rsidRPr="0030048A">
        <w:rPr>
          <w:rFonts w:ascii="KaiTi" w:eastAsia="KaiTi" w:hAnsi="KaiTi" w:hint="eastAsia"/>
          <w:b/>
          <w:sz w:val="24"/>
          <w:lang w:eastAsia="zh-CN"/>
        </w:rPr>
        <w:t>月</w:t>
      </w:r>
      <w:r w:rsidR="00DE3F2B">
        <w:rPr>
          <w:rFonts w:ascii="KaiTi" w:eastAsia="KaiTi" w:hAnsi="KaiTi" w:hint="eastAsia"/>
          <w:sz w:val="24"/>
          <w:lang w:eastAsia="zh-CN"/>
        </w:rPr>
        <w:t>5</w:t>
      </w:r>
      <w:r w:rsidRPr="0030048A">
        <w:rPr>
          <w:rFonts w:ascii="KaiTi" w:eastAsia="KaiTi" w:hAnsi="KaiTi" w:hint="eastAsia"/>
          <w:b/>
          <w:sz w:val="24"/>
          <w:lang w:eastAsia="zh-CN"/>
        </w:rPr>
        <w:t>日</w:t>
      </w:r>
      <w:r>
        <w:rPr>
          <w:rFonts w:ascii="KaiTi" w:eastAsia="KaiTi" w:hAnsi="KaiTi" w:hint="eastAsia"/>
          <w:b/>
          <w:sz w:val="24"/>
          <w:lang w:eastAsia="zh-CN"/>
        </w:rPr>
        <w:t>至</w:t>
      </w:r>
      <w:r w:rsidR="00DE3F2B">
        <w:rPr>
          <w:rFonts w:ascii="KaiTi" w:eastAsia="KaiTi" w:hAnsi="KaiTi" w:hint="eastAsia"/>
          <w:sz w:val="24"/>
          <w:lang w:eastAsia="zh-CN"/>
        </w:rPr>
        <w:t>14</w:t>
      </w:r>
      <w:r w:rsidRPr="0030048A">
        <w:rPr>
          <w:rFonts w:ascii="KaiTi" w:eastAsia="KaiTi" w:hAnsi="KaiTi" w:hint="eastAsia"/>
          <w:b/>
          <w:sz w:val="24"/>
          <w:lang w:eastAsia="zh-CN"/>
        </w:rPr>
        <w:t>日</w:t>
      </w:r>
      <w:r>
        <w:rPr>
          <w:rFonts w:ascii="KaiTi" w:eastAsia="KaiTi" w:hAnsi="KaiTi" w:hint="eastAsia"/>
          <w:b/>
          <w:sz w:val="24"/>
          <w:lang w:eastAsia="zh-CN"/>
        </w:rPr>
        <w:t>，日内瓦</w:t>
      </w:r>
    </w:p>
    <w:p w:rsidR="00AD6DDB" w:rsidRPr="00DE3F2B" w:rsidRDefault="00AD6DDB" w:rsidP="00AD6DDB">
      <w:pPr>
        <w:spacing w:after="0" w:line="240" w:lineRule="auto"/>
        <w:rPr>
          <w:rFonts w:ascii="Arial" w:hAnsi="Arial"/>
          <w:lang w:eastAsia="zh-CN"/>
        </w:rPr>
      </w:pPr>
    </w:p>
    <w:p w:rsidR="00AD6DDB" w:rsidRPr="00DE3F2B" w:rsidRDefault="00AD6DDB" w:rsidP="00AD6DDB">
      <w:pPr>
        <w:spacing w:after="0" w:line="240" w:lineRule="auto"/>
        <w:rPr>
          <w:rFonts w:ascii="Arial" w:hAnsi="Arial"/>
          <w:lang w:eastAsia="zh-CN"/>
        </w:rPr>
      </w:pPr>
    </w:p>
    <w:p w:rsidR="00AD6DDB" w:rsidRPr="00DE3F2B" w:rsidRDefault="00AD6DDB" w:rsidP="00AD6DDB">
      <w:pPr>
        <w:spacing w:after="0" w:line="240" w:lineRule="auto"/>
        <w:rPr>
          <w:rFonts w:ascii="Arial" w:hAnsi="Arial"/>
          <w:lang w:eastAsia="zh-CN"/>
        </w:rPr>
      </w:pPr>
    </w:p>
    <w:p w:rsidR="00AD6DDB" w:rsidRPr="0030048A" w:rsidRDefault="00534565" w:rsidP="00AD6DDB">
      <w:pPr>
        <w:spacing w:after="0" w:line="240" w:lineRule="auto"/>
        <w:rPr>
          <w:rFonts w:ascii="KaiTi" w:eastAsia="KaiTi" w:hAnsi="KaiTi"/>
          <w:sz w:val="24"/>
          <w:lang w:eastAsia="zh-CN"/>
        </w:rPr>
      </w:pPr>
      <w:r w:rsidRPr="00534565">
        <w:rPr>
          <w:rFonts w:ascii="KaiTi" w:eastAsia="KaiTi" w:hAnsi="KaiTi" w:hint="eastAsia"/>
          <w:sz w:val="24"/>
          <w:lang w:eastAsia="zh-CN"/>
        </w:rPr>
        <w:t>根据《〈专利法条约〉(PLT)外交会议议定声明》开展的合作</w:t>
      </w:r>
    </w:p>
    <w:p w:rsidR="00AD6DDB" w:rsidRPr="00DE3F2B" w:rsidRDefault="00AD6DDB" w:rsidP="00AD6DDB">
      <w:pPr>
        <w:spacing w:after="0" w:line="240" w:lineRule="auto"/>
        <w:rPr>
          <w:rFonts w:ascii="Arial" w:hAnsi="Arial"/>
          <w:lang w:eastAsia="zh-CN"/>
        </w:rPr>
      </w:pPr>
    </w:p>
    <w:p w:rsidR="00AD6DDB" w:rsidRPr="0030048A" w:rsidRDefault="00AD6DDB" w:rsidP="00AD6DDB">
      <w:pPr>
        <w:spacing w:after="0" w:line="240" w:lineRule="auto"/>
        <w:rPr>
          <w:rFonts w:ascii="KaiTi" w:eastAsia="KaiTi" w:hAnsi="KaiTi"/>
          <w:i/>
          <w:sz w:val="21"/>
          <w:lang w:eastAsia="zh-CN"/>
        </w:rPr>
      </w:pPr>
      <w:r w:rsidRPr="0030048A">
        <w:rPr>
          <w:rFonts w:ascii="KaiTi" w:eastAsia="KaiTi" w:hAnsi="KaiTi" w:hint="eastAsia"/>
          <w:i/>
          <w:sz w:val="21"/>
          <w:lang w:eastAsia="zh-CN"/>
        </w:rPr>
        <w:t>秘书处编拟</w:t>
      </w:r>
      <w:r>
        <w:rPr>
          <w:rFonts w:ascii="KaiTi" w:eastAsia="KaiTi" w:hAnsi="KaiTi" w:hint="eastAsia"/>
          <w:i/>
          <w:sz w:val="21"/>
          <w:lang w:eastAsia="zh-CN"/>
        </w:rPr>
        <w:t>的文件</w:t>
      </w:r>
    </w:p>
    <w:p w:rsidR="00AD6DDB" w:rsidRPr="00DE3F2B" w:rsidRDefault="00AD6DDB" w:rsidP="00AD6DDB">
      <w:pPr>
        <w:spacing w:after="0" w:line="240" w:lineRule="auto"/>
        <w:rPr>
          <w:rFonts w:ascii="Arial" w:hAnsi="Arial"/>
          <w:lang w:eastAsia="zh-CN"/>
        </w:rPr>
      </w:pPr>
    </w:p>
    <w:p w:rsidR="00AD6DDB" w:rsidRPr="00DE3F2B" w:rsidRDefault="00AD6DDB" w:rsidP="00AD6DDB">
      <w:pPr>
        <w:spacing w:after="0" w:line="240" w:lineRule="auto"/>
        <w:rPr>
          <w:rFonts w:ascii="Arial" w:hAnsi="Arial"/>
          <w:lang w:eastAsia="zh-CN"/>
        </w:rPr>
      </w:pPr>
    </w:p>
    <w:p w:rsidR="00AD6DDB" w:rsidRPr="00DE3F2B" w:rsidRDefault="00AD6DDB" w:rsidP="00AD6DDB">
      <w:pPr>
        <w:spacing w:after="0" w:line="240" w:lineRule="auto"/>
        <w:rPr>
          <w:rFonts w:ascii="Arial" w:hAnsi="Arial"/>
          <w:lang w:eastAsia="zh-CN"/>
        </w:rPr>
      </w:pPr>
    </w:p>
    <w:p w:rsidR="00AD6DDB" w:rsidRDefault="00AD6DDB" w:rsidP="00AD6DDB">
      <w:pPr>
        <w:spacing w:after="0" w:line="240" w:lineRule="auto"/>
        <w:rPr>
          <w:rFonts w:ascii="Arial" w:hAnsi="Arial"/>
          <w:lang w:eastAsia="zh-CN"/>
        </w:rPr>
      </w:pPr>
    </w:p>
    <w:p w:rsidR="00534565" w:rsidRPr="00E3521A" w:rsidRDefault="00534565" w:rsidP="00E3521A">
      <w:pPr>
        <w:keepNext/>
        <w:overflowPunct w:val="0"/>
        <w:spacing w:beforeLines="100" w:before="240" w:afterLines="50" w:after="120" w:line="340" w:lineRule="atLeast"/>
        <w:rPr>
          <w:rFonts w:ascii="SimSun" w:hAnsi="SimSun"/>
          <w:sz w:val="20"/>
          <w:lang w:eastAsia="zh-CN"/>
        </w:rPr>
      </w:pPr>
      <w:r w:rsidRPr="00E3521A">
        <w:rPr>
          <w:rFonts w:ascii="SimHei" w:eastAsia="SimHei" w:hAnsi="SimHei" w:hint="eastAsia"/>
          <w:sz w:val="21"/>
          <w:szCs w:val="24"/>
          <w:lang w:eastAsia="zh-CN"/>
        </w:rPr>
        <w:t>一、导　言</w:t>
      </w:r>
    </w:p>
    <w:p w:rsidR="00DE3F2B" w:rsidRPr="00002D88" w:rsidRDefault="00002D88" w:rsidP="00DE3F2B">
      <w:pPr>
        <w:pStyle w:val="a3"/>
        <w:numPr>
          <w:ilvl w:val="0"/>
          <w:numId w:val="2"/>
        </w:numPr>
        <w:overflowPunct w:val="0"/>
        <w:spacing w:afterLines="50" w:after="120" w:line="340" w:lineRule="atLeast"/>
        <w:ind w:left="0" w:firstLine="0"/>
        <w:contextualSpacing w:val="0"/>
        <w:jc w:val="both"/>
        <w:rPr>
          <w:rFonts w:ascii="SimSun" w:hAnsi="SimSun"/>
          <w:sz w:val="21"/>
          <w:lang w:eastAsia="zh-CN"/>
        </w:rPr>
      </w:pPr>
      <w:r w:rsidRPr="005D4C59">
        <w:rPr>
          <w:rFonts w:ascii="SimSun" w:hint="eastAsia"/>
          <w:sz w:val="21"/>
          <w:lang w:eastAsia="zh-CN"/>
        </w:rPr>
        <w:t>2000年6月1日在通过《专利法条约》(PLT)的外交会议上通过的议定声明(“议定声明”)第4项内容如下</w:t>
      </w:r>
      <w:r>
        <w:rPr>
          <w:rFonts w:ascii="SimSun" w:hint="eastAsia"/>
          <w:sz w:val="21"/>
          <w:lang w:eastAsia="zh-CN"/>
        </w:rPr>
        <w:t>：</w:t>
      </w:r>
    </w:p>
    <w:p w:rsidR="00002D88" w:rsidRPr="00002D88" w:rsidRDefault="00002D88" w:rsidP="00E3521A">
      <w:pPr>
        <w:pStyle w:val="a3"/>
        <w:overflowPunct w:val="0"/>
        <w:spacing w:afterLines="50" w:after="120" w:line="340" w:lineRule="atLeast"/>
        <w:ind w:left="567"/>
        <w:contextualSpacing w:val="0"/>
        <w:jc w:val="both"/>
        <w:rPr>
          <w:rFonts w:ascii="SimSun" w:hAnsi="SimSun"/>
          <w:sz w:val="21"/>
          <w:lang w:eastAsia="zh-CN"/>
        </w:rPr>
      </w:pPr>
      <w:r w:rsidRPr="00002D88">
        <w:rPr>
          <w:rFonts w:ascii="SimSun" w:hAnsi="SimSun" w:hint="eastAsia"/>
          <w:sz w:val="21"/>
          <w:lang w:eastAsia="zh-CN"/>
        </w:rPr>
        <w:t>“4.</w:t>
      </w:r>
      <w:r w:rsidR="007F52F5">
        <w:rPr>
          <w:rFonts w:ascii="SimSun" w:hAnsi="SimSun" w:hint="eastAsia"/>
          <w:sz w:val="21"/>
          <w:lang w:eastAsia="zh-CN"/>
        </w:rPr>
        <w:tab/>
      </w:r>
      <w:r w:rsidRPr="00002D88">
        <w:rPr>
          <w:rFonts w:ascii="SimSun" w:hAnsi="SimSun" w:hint="eastAsia"/>
          <w:sz w:val="21"/>
          <w:lang w:eastAsia="zh-CN"/>
        </w:rPr>
        <w:t>为促进本条约细则第8条第(1)款(a)项的实施，外交会议请世界知识产权组织(WIPO)大会和各缔约方，在本条约生效前即向发展中国家和最不发达国家以及转型期国家提供进一步的技术援助，协助其履行本条约为其规定的义务。”</w:t>
      </w:r>
    </w:p>
    <w:p w:rsidR="00002D88" w:rsidRPr="00002D88" w:rsidRDefault="00002D88" w:rsidP="00E3521A">
      <w:pPr>
        <w:pStyle w:val="a3"/>
        <w:overflowPunct w:val="0"/>
        <w:spacing w:afterLines="50" w:after="120" w:line="340" w:lineRule="atLeast"/>
        <w:ind w:left="567"/>
        <w:contextualSpacing w:val="0"/>
        <w:jc w:val="both"/>
        <w:rPr>
          <w:rFonts w:ascii="SimSun" w:hAnsi="SimSun"/>
          <w:sz w:val="21"/>
          <w:lang w:eastAsia="zh-CN"/>
        </w:rPr>
      </w:pPr>
      <w:r w:rsidRPr="00002D88">
        <w:rPr>
          <w:rFonts w:ascii="SimSun" w:hAnsi="SimSun" w:hint="eastAsia"/>
          <w:sz w:val="21"/>
          <w:lang w:eastAsia="zh-CN"/>
        </w:rPr>
        <w:t>“外交会议进一步敦促工业化市场经济国家，根据请求并以共同商定的条款与条件，开展有利于发展中国家和最不发达国家以及转型期国家的技术和财务合作。”</w:t>
      </w:r>
    </w:p>
    <w:p w:rsidR="00002D88" w:rsidRPr="00DE3F2B" w:rsidRDefault="00002D88" w:rsidP="00E3521A">
      <w:pPr>
        <w:pStyle w:val="a3"/>
        <w:overflowPunct w:val="0"/>
        <w:spacing w:afterLines="50" w:after="120" w:line="340" w:lineRule="atLeast"/>
        <w:ind w:left="567"/>
        <w:contextualSpacing w:val="0"/>
        <w:jc w:val="both"/>
        <w:rPr>
          <w:rFonts w:ascii="SimSun" w:hAnsi="SimSun"/>
          <w:sz w:val="21"/>
          <w:lang w:eastAsia="zh-CN"/>
        </w:rPr>
      </w:pPr>
      <w:r w:rsidRPr="00002D88">
        <w:rPr>
          <w:rFonts w:ascii="SimSun" w:hAnsi="SimSun" w:hint="eastAsia"/>
          <w:sz w:val="21"/>
          <w:lang w:eastAsia="zh-CN"/>
        </w:rPr>
        <w:t>“外交会议请世界知识产权组织大会在本条约生效后，在每一届例会上监督和评估这一合作的进</w:t>
      </w:r>
      <w:r w:rsidR="008677A8">
        <w:rPr>
          <w:rFonts w:ascii="SimSun" w:hAnsi="SimSun"/>
          <w:sz w:val="21"/>
          <w:lang w:eastAsia="zh-CN"/>
        </w:rPr>
        <w:t>‍</w:t>
      </w:r>
      <w:r w:rsidRPr="00002D88">
        <w:rPr>
          <w:rFonts w:ascii="SimSun" w:hAnsi="SimSun" w:hint="eastAsia"/>
          <w:sz w:val="21"/>
          <w:lang w:eastAsia="zh-CN"/>
        </w:rPr>
        <w:t>展。”</w:t>
      </w:r>
    </w:p>
    <w:p w:rsidR="00002D88" w:rsidRPr="00002D88" w:rsidRDefault="00002D88" w:rsidP="00DE3F2B">
      <w:pPr>
        <w:pStyle w:val="a3"/>
        <w:numPr>
          <w:ilvl w:val="0"/>
          <w:numId w:val="2"/>
        </w:numPr>
        <w:overflowPunct w:val="0"/>
        <w:spacing w:afterLines="50" w:after="120" w:line="340" w:lineRule="atLeast"/>
        <w:ind w:left="0" w:firstLine="0"/>
        <w:contextualSpacing w:val="0"/>
        <w:jc w:val="both"/>
        <w:rPr>
          <w:rFonts w:ascii="SimSun" w:hAnsi="SimSun"/>
          <w:sz w:val="21"/>
          <w:lang w:eastAsia="zh-CN"/>
        </w:rPr>
      </w:pPr>
      <w:r w:rsidRPr="005D4C59">
        <w:rPr>
          <w:rFonts w:ascii="SimSun" w:hint="eastAsia"/>
          <w:sz w:val="21"/>
          <w:lang w:eastAsia="zh-CN"/>
        </w:rPr>
        <w:t>根据议定声明第4项中的第三段内容，要求WIPO大会监督和评估在提供技术和财务合作、帮助发展中国家和最不发达国家以及转型期国家以电子形式提交文函方面所取得的进展。</w:t>
      </w:r>
    </w:p>
    <w:p w:rsidR="00DE3F2B" w:rsidRDefault="00002D88" w:rsidP="00DE3F2B">
      <w:pPr>
        <w:pStyle w:val="a3"/>
        <w:numPr>
          <w:ilvl w:val="0"/>
          <w:numId w:val="2"/>
        </w:numPr>
        <w:overflowPunct w:val="0"/>
        <w:spacing w:afterLines="50" w:after="120" w:line="340" w:lineRule="atLeast"/>
        <w:ind w:left="0" w:firstLine="0"/>
        <w:contextualSpacing w:val="0"/>
        <w:jc w:val="both"/>
        <w:rPr>
          <w:rFonts w:ascii="SimSun" w:hAnsi="SimSun"/>
          <w:sz w:val="21"/>
          <w:lang w:eastAsia="zh-CN"/>
        </w:rPr>
      </w:pPr>
      <w:r w:rsidRPr="005D4C59">
        <w:rPr>
          <w:rFonts w:ascii="SimSun" w:hint="eastAsia"/>
          <w:sz w:val="21"/>
          <w:lang w:eastAsia="zh-CN"/>
        </w:rPr>
        <w:t>在此背景下，请上述议定声明第4项中所指的工业化市场经济国家，向大会</w:t>
      </w:r>
      <w:r>
        <w:rPr>
          <w:rFonts w:ascii="SimSun" w:hint="eastAsia"/>
          <w:sz w:val="21"/>
          <w:lang w:eastAsia="zh-CN"/>
        </w:rPr>
        <w:t>第四十七届会议(第22次例会)</w:t>
      </w:r>
      <w:r w:rsidRPr="005D4C59">
        <w:rPr>
          <w:rFonts w:ascii="SimSun" w:hint="eastAsia"/>
          <w:sz w:val="21"/>
          <w:lang w:eastAsia="zh-CN"/>
        </w:rPr>
        <w:t>提供议定声明</w:t>
      </w:r>
      <w:r>
        <w:rPr>
          <w:rFonts w:ascii="SimSun" w:hint="eastAsia"/>
          <w:sz w:val="21"/>
          <w:lang w:eastAsia="zh-CN"/>
        </w:rPr>
        <w:t>所</w:t>
      </w:r>
      <w:r w:rsidRPr="005D4C59">
        <w:rPr>
          <w:rFonts w:ascii="SimSun" w:hint="eastAsia"/>
          <w:sz w:val="21"/>
          <w:lang w:eastAsia="zh-CN"/>
        </w:rPr>
        <w:t>规定</w:t>
      </w:r>
      <w:r>
        <w:rPr>
          <w:rFonts w:ascii="SimSun" w:hint="eastAsia"/>
          <w:sz w:val="21"/>
          <w:lang w:eastAsia="zh-CN"/>
        </w:rPr>
        <w:t>的</w:t>
      </w:r>
      <w:r w:rsidRPr="005D4C59">
        <w:rPr>
          <w:rFonts w:ascii="SimSun" w:hint="eastAsia"/>
          <w:sz w:val="21"/>
          <w:lang w:eastAsia="zh-CN"/>
        </w:rPr>
        <w:t>信息</w:t>
      </w:r>
      <w:r>
        <w:rPr>
          <w:rFonts w:ascii="SimSun" w:hint="eastAsia"/>
          <w:sz w:val="21"/>
          <w:lang w:eastAsia="zh-CN"/>
        </w:rPr>
        <w:t>，以便</w:t>
      </w:r>
      <w:r w:rsidR="00077A76">
        <w:rPr>
          <w:rFonts w:ascii="SimSun" w:hint="eastAsia"/>
          <w:sz w:val="21"/>
          <w:lang w:eastAsia="zh-CN"/>
        </w:rPr>
        <w:t>会议监督和评估合作的进展</w:t>
      </w:r>
      <w:r w:rsidR="00DE3F2B" w:rsidRPr="00DE3F2B">
        <w:rPr>
          <w:rFonts w:ascii="SimSun" w:hAnsi="SimSun" w:hint="eastAsia"/>
          <w:sz w:val="21"/>
          <w:lang w:eastAsia="zh-CN"/>
        </w:rPr>
        <w:t>。</w:t>
      </w:r>
    </w:p>
    <w:p w:rsidR="00077A76" w:rsidRPr="00E3521A" w:rsidRDefault="00077A76" w:rsidP="00E3521A">
      <w:pPr>
        <w:keepNext/>
        <w:overflowPunct w:val="0"/>
        <w:spacing w:beforeLines="100" w:before="240" w:afterLines="50" w:after="120" w:line="340" w:lineRule="atLeast"/>
        <w:rPr>
          <w:rFonts w:ascii="SimHei" w:eastAsia="SimHei" w:hAnsi="SimHei"/>
          <w:sz w:val="21"/>
          <w:szCs w:val="24"/>
          <w:lang w:eastAsia="zh-CN"/>
        </w:rPr>
      </w:pPr>
      <w:r w:rsidRPr="00E3521A">
        <w:rPr>
          <w:rFonts w:ascii="SimHei" w:eastAsia="SimHei" w:hAnsi="SimHei" w:hint="eastAsia"/>
          <w:sz w:val="21"/>
          <w:szCs w:val="24"/>
          <w:lang w:eastAsia="zh-CN"/>
        </w:rPr>
        <w:lastRenderedPageBreak/>
        <w:t>二、WIPO的活动</w:t>
      </w:r>
    </w:p>
    <w:p w:rsidR="00077A76" w:rsidRPr="00002D88" w:rsidRDefault="00077A76" w:rsidP="00077A76">
      <w:pPr>
        <w:pStyle w:val="a3"/>
        <w:numPr>
          <w:ilvl w:val="0"/>
          <w:numId w:val="2"/>
        </w:numPr>
        <w:overflowPunct w:val="0"/>
        <w:spacing w:afterLines="50" w:after="120" w:line="340" w:lineRule="atLeast"/>
        <w:ind w:left="0" w:firstLine="0"/>
        <w:contextualSpacing w:val="0"/>
        <w:jc w:val="both"/>
        <w:rPr>
          <w:rFonts w:ascii="SimSun" w:hAnsi="SimSun"/>
          <w:sz w:val="21"/>
          <w:lang w:eastAsia="zh-CN"/>
        </w:rPr>
      </w:pPr>
      <w:r w:rsidRPr="005D4C59">
        <w:rPr>
          <w:rFonts w:ascii="SimSun" w:hint="eastAsia"/>
          <w:sz w:val="21"/>
          <w:lang w:eastAsia="zh-CN"/>
        </w:rPr>
        <w:t>就</w:t>
      </w:r>
      <w:r w:rsidRPr="00EA4C76">
        <w:rPr>
          <w:rFonts w:ascii="SimSun" w:hint="eastAsia"/>
          <w:sz w:val="21"/>
          <w:lang w:eastAsia="zh-CN"/>
        </w:rPr>
        <w:t>WIPO开展的相关活动而言，在通过PLT的外交会议上，通过PLT实施细则第8条时，WIPO总干事表示，WIPO将继续承诺执行其技术合作计划，而且将进一步落实细则第8条所规定的内容，为发展中国家和转型期国家开展有意义的能力建设工作</w:t>
      </w:r>
      <w:r w:rsidRPr="00E3521A">
        <w:rPr>
          <w:rStyle w:val="a8"/>
          <w:rFonts w:ascii="SimSun" w:hint="eastAsia"/>
          <w:sz w:val="21"/>
          <w:lang w:eastAsia="zh-CN"/>
        </w:rPr>
        <w:footnoteReference w:id="1"/>
      </w:r>
      <w:r w:rsidR="008677A8">
        <w:rPr>
          <w:rFonts w:ascii="SimSun" w:hint="eastAsia"/>
          <w:sz w:val="21"/>
          <w:lang w:eastAsia="zh-CN"/>
        </w:rPr>
        <w:t>。</w:t>
      </w:r>
    </w:p>
    <w:p w:rsidR="00DE3F2B" w:rsidRPr="00077A76" w:rsidRDefault="00077A76" w:rsidP="00DE3F2B">
      <w:pPr>
        <w:pStyle w:val="a3"/>
        <w:numPr>
          <w:ilvl w:val="0"/>
          <w:numId w:val="2"/>
        </w:numPr>
        <w:overflowPunct w:val="0"/>
        <w:spacing w:afterLines="50" w:after="120" w:line="340" w:lineRule="atLeast"/>
        <w:ind w:left="0" w:firstLine="0"/>
        <w:contextualSpacing w:val="0"/>
        <w:jc w:val="both"/>
        <w:rPr>
          <w:rFonts w:ascii="SimSun" w:hAnsi="SimSun"/>
          <w:sz w:val="21"/>
          <w:lang w:eastAsia="zh-CN"/>
        </w:rPr>
      </w:pPr>
      <w:r w:rsidRPr="00EA4C76">
        <w:rPr>
          <w:rFonts w:ascii="SimSun" w:hint="eastAsia"/>
          <w:sz w:val="21"/>
          <w:lang w:eastAsia="zh-CN"/>
        </w:rPr>
        <w:t>此外，WIPO发展议程多项建议提到了发展与完善基础设施和其他设施，其中包括信息与通信技术(ICT)相关设施。特别是下列建议明显与此有关</w:t>
      </w:r>
      <w:r>
        <w:rPr>
          <w:rFonts w:ascii="SimSun" w:hint="eastAsia"/>
          <w:sz w:val="21"/>
          <w:lang w:eastAsia="zh-CN"/>
        </w:rPr>
        <w:t>：</w:t>
      </w:r>
    </w:p>
    <w:p w:rsidR="00077A76" w:rsidRPr="00077A76" w:rsidRDefault="00077A76" w:rsidP="00E3521A">
      <w:pPr>
        <w:pStyle w:val="a3"/>
        <w:overflowPunct w:val="0"/>
        <w:spacing w:afterLines="50" w:after="120" w:line="340" w:lineRule="atLeast"/>
        <w:ind w:left="567"/>
        <w:contextualSpacing w:val="0"/>
        <w:jc w:val="both"/>
        <w:rPr>
          <w:rFonts w:ascii="SimSun"/>
          <w:sz w:val="21"/>
          <w:lang w:eastAsia="zh-CN"/>
        </w:rPr>
      </w:pPr>
      <w:r w:rsidRPr="00077A76">
        <w:rPr>
          <w:rFonts w:ascii="SimSun" w:hint="eastAsia"/>
          <w:sz w:val="21"/>
          <w:lang w:eastAsia="zh-CN"/>
        </w:rPr>
        <w:t>“10.</w:t>
      </w:r>
      <w:r w:rsidR="007F52F5">
        <w:rPr>
          <w:rFonts w:ascii="SimSun" w:hint="eastAsia"/>
          <w:sz w:val="21"/>
          <w:lang w:eastAsia="zh-CN"/>
        </w:rPr>
        <w:tab/>
      </w:r>
      <w:r w:rsidRPr="00077A76">
        <w:rPr>
          <w:rFonts w:ascii="SimSun" w:hint="eastAsia"/>
          <w:sz w:val="21"/>
          <w:lang w:eastAsia="zh-CN"/>
        </w:rPr>
        <w:t>帮助成员国通过进一步发展基础设施及其他设施，发展并提高国家知识产权机构的能力，争取提高国家知识产权</w:t>
      </w:r>
      <w:r w:rsidRPr="00E3521A">
        <w:rPr>
          <w:rFonts w:ascii="SimSun" w:hAnsi="SimSun" w:hint="eastAsia"/>
          <w:sz w:val="21"/>
          <w:lang w:eastAsia="zh-CN"/>
        </w:rPr>
        <w:t>机构</w:t>
      </w:r>
      <w:r w:rsidRPr="00077A76">
        <w:rPr>
          <w:rFonts w:ascii="SimSun" w:hint="eastAsia"/>
          <w:sz w:val="21"/>
          <w:lang w:eastAsia="zh-CN"/>
        </w:rPr>
        <w:t>的效率，并促进知识产权保护与公共利益之间实行公平的平衡。此项技术援助亦应延及处理知识产权事务的分区域和区域组织。”</w:t>
      </w:r>
    </w:p>
    <w:p w:rsidR="00077A76" w:rsidRPr="00077A76" w:rsidRDefault="00077A76" w:rsidP="00E3521A">
      <w:pPr>
        <w:pStyle w:val="a3"/>
        <w:overflowPunct w:val="0"/>
        <w:spacing w:afterLines="50" w:after="120" w:line="340" w:lineRule="atLeast"/>
        <w:ind w:left="567"/>
        <w:contextualSpacing w:val="0"/>
        <w:jc w:val="both"/>
        <w:rPr>
          <w:rFonts w:ascii="SimSun"/>
          <w:sz w:val="21"/>
          <w:lang w:eastAsia="zh-CN"/>
        </w:rPr>
      </w:pPr>
      <w:r w:rsidRPr="00077A76">
        <w:rPr>
          <w:rFonts w:ascii="SimSun" w:hint="eastAsia"/>
          <w:sz w:val="21"/>
          <w:lang w:eastAsia="zh-CN"/>
        </w:rPr>
        <w:t>“24.</w:t>
      </w:r>
      <w:r w:rsidR="007F52F5">
        <w:rPr>
          <w:rFonts w:ascii="SimSun" w:hint="eastAsia"/>
          <w:sz w:val="21"/>
          <w:lang w:eastAsia="zh-CN"/>
        </w:rPr>
        <w:tab/>
      </w:r>
      <w:r w:rsidRPr="00077A76">
        <w:rPr>
          <w:rFonts w:ascii="SimSun" w:hint="eastAsia"/>
          <w:sz w:val="21"/>
          <w:lang w:eastAsia="zh-CN"/>
        </w:rPr>
        <w:t>请WIPO在不超出其权限的情况下，扩大活动范围，争取根据信息社会世界峰会(WSIS)的成果，并考虑数字团结基金(DSF)的重要意义，缩小数字鸿沟。”</w:t>
      </w:r>
    </w:p>
    <w:p w:rsidR="00DE4CE3" w:rsidRPr="00DE4CE3" w:rsidRDefault="00077A76" w:rsidP="00DE4CE3">
      <w:pPr>
        <w:pStyle w:val="a3"/>
        <w:numPr>
          <w:ilvl w:val="0"/>
          <w:numId w:val="2"/>
        </w:numPr>
        <w:overflowPunct w:val="0"/>
        <w:spacing w:afterLines="50" w:after="120" w:line="340" w:lineRule="atLeast"/>
        <w:ind w:left="0" w:firstLine="0"/>
        <w:contextualSpacing w:val="0"/>
        <w:jc w:val="both"/>
        <w:rPr>
          <w:rFonts w:ascii="SimSun" w:hAnsi="SimSun"/>
          <w:sz w:val="21"/>
          <w:lang w:eastAsia="zh-CN"/>
        </w:rPr>
      </w:pPr>
      <w:r w:rsidRPr="00EA4C76">
        <w:rPr>
          <w:rFonts w:ascii="SimSun" w:hint="eastAsia"/>
          <w:sz w:val="21"/>
          <w:lang w:eastAsia="zh-CN"/>
        </w:rPr>
        <w:t>具体而言，鉴于《专利合作条约》(PCT)与PLT之间关系密切，应注意20</w:t>
      </w:r>
      <w:r>
        <w:rPr>
          <w:rFonts w:ascii="SimSun" w:hint="eastAsia"/>
          <w:sz w:val="21"/>
          <w:lang w:eastAsia="zh-CN"/>
        </w:rPr>
        <w:t>13</w:t>
      </w:r>
      <w:r w:rsidRPr="00EA4C76">
        <w:rPr>
          <w:rFonts w:ascii="SimSun" w:hint="eastAsia"/>
          <w:sz w:val="21"/>
          <w:lang w:eastAsia="zh-CN"/>
        </w:rPr>
        <w:t>年WIPO</w:t>
      </w:r>
      <w:r>
        <w:rPr>
          <w:rFonts w:ascii="SimSun" w:hint="eastAsia"/>
          <w:sz w:val="21"/>
          <w:lang w:eastAsia="zh-CN"/>
        </w:rPr>
        <w:t>大会上届例会与</w:t>
      </w:r>
      <w:r w:rsidRPr="00EA4C76">
        <w:rPr>
          <w:rFonts w:ascii="SimSun" w:hint="eastAsia"/>
          <w:sz w:val="21"/>
          <w:lang w:eastAsia="zh-CN"/>
        </w:rPr>
        <w:t>201</w:t>
      </w:r>
      <w:r>
        <w:rPr>
          <w:rFonts w:ascii="SimSun" w:hint="eastAsia"/>
          <w:sz w:val="21"/>
          <w:lang w:eastAsia="zh-CN"/>
        </w:rPr>
        <w:t>5</w:t>
      </w:r>
      <w:r w:rsidRPr="00EA4C76">
        <w:rPr>
          <w:rFonts w:ascii="SimSun" w:hint="eastAsia"/>
          <w:sz w:val="21"/>
          <w:lang w:eastAsia="zh-CN"/>
        </w:rPr>
        <w:t>年5月底之间PCT</w:t>
      </w:r>
      <w:r>
        <w:rPr>
          <w:rFonts w:ascii="SimSun" w:hint="eastAsia"/>
          <w:sz w:val="21"/>
          <w:lang w:eastAsia="zh-CN"/>
        </w:rPr>
        <w:t>方面的</w:t>
      </w:r>
      <w:r w:rsidR="005A6449">
        <w:rPr>
          <w:rFonts w:ascii="SimSun" w:hint="eastAsia"/>
          <w:sz w:val="21"/>
          <w:lang w:eastAsia="zh-CN"/>
        </w:rPr>
        <w:t>下述</w:t>
      </w:r>
      <w:r w:rsidRPr="00EA4C76">
        <w:rPr>
          <w:rFonts w:ascii="SimSun" w:hint="eastAsia"/>
          <w:sz w:val="21"/>
          <w:lang w:eastAsia="zh-CN"/>
        </w:rPr>
        <w:t>进展。由于这些活动已在PCT的框架</w:t>
      </w:r>
      <w:r w:rsidR="00AF1C06">
        <w:rPr>
          <w:rFonts w:ascii="SimSun" w:hint="eastAsia"/>
          <w:sz w:val="21"/>
          <w:lang w:eastAsia="zh-CN"/>
        </w:rPr>
        <w:t>内开展，可能对PLT背景下的适用具有</w:t>
      </w:r>
      <w:r w:rsidRPr="00EA4C76">
        <w:rPr>
          <w:rFonts w:ascii="SimSun" w:hint="eastAsia"/>
          <w:sz w:val="21"/>
          <w:lang w:eastAsia="zh-CN"/>
        </w:rPr>
        <w:t>中期和长期</w:t>
      </w:r>
      <w:r w:rsidR="00AF1C06">
        <w:rPr>
          <w:rFonts w:ascii="SimSun" w:hint="eastAsia"/>
          <w:sz w:val="21"/>
          <w:lang w:eastAsia="zh-CN"/>
        </w:rPr>
        <w:t>的</w:t>
      </w:r>
      <w:r w:rsidRPr="00EA4C76">
        <w:rPr>
          <w:rFonts w:ascii="SimSun" w:hint="eastAsia"/>
          <w:sz w:val="21"/>
          <w:lang w:eastAsia="zh-CN"/>
        </w:rPr>
        <w:t>潜在</w:t>
      </w:r>
      <w:r w:rsidR="00AF1C06">
        <w:rPr>
          <w:rFonts w:ascii="SimSun" w:hint="eastAsia"/>
          <w:sz w:val="21"/>
          <w:lang w:eastAsia="zh-CN"/>
        </w:rPr>
        <w:t>影响</w:t>
      </w:r>
      <w:r w:rsidR="00DE4CE3">
        <w:rPr>
          <w:rFonts w:ascii="SimSun" w:hint="eastAsia"/>
          <w:sz w:val="21"/>
          <w:lang w:eastAsia="zh-CN"/>
        </w:rPr>
        <w:t>。</w:t>
      </w:r>
    </w:p>
    <w:p w:rsidR="00DE4CE3" w:rsidRPr="00DE4CE3" w:rsidRDefault="00DE4CE3" w:rsidP="00DE4CE3">
      <w:pPr>
        <w:pStyle w:val="a3"/>
        <w:numPr>
          <w:ilvl w:val="0"/>
          <w:numId w:val="2"/>
        </w:numPr>
        <w:overflowPunct w:val="0"/>
        <w:spacing w:afterLines="50" w:after="120" w:line="340" w:lineRule="atLeast"/>
        <w:ind w:left="0" w:firstLine="0"/>
        <w:contextualSpacing w:val="0"/>
        <w:jc w:val="both"/>
        <w:rPr>
          <w:rFonts w:ascii="SimSun" w:hAnsi="SimSun"/>
          <w:sz w:val="21"/>
          <w:lang w:eastAsia="zh-CN"/>
        </w:rPr>
      </w:pPr>
      <w:proofErr w:type="spellStart"/>
      <w:r>
        <w:rPr>
          <w:rFonts w:ascii="SimSun" w:hint="eastAsia"/>
          <w:sz w:val="21"/>
          <w:lang w:eastAsia="zh-CN"/>
        </w:rPr>
        <w:t>ePCT</w:t>
      </w:r>
      <w:proofErr w:type="spellEnd"/>
      <w:r>
        <w:rPr>
          <w:rFonts w:ascii="SimSun" w:hint="eastAsia"/>
          <w:sz w:val="21"/>
          <w:lang w:eastAsia="zh-CN"/>
        </w:rPr>
        <w:t>：</w:t>
      </w:r>
      <w:r w:rsidR="00AF1C06">
        <w:rPr>
          <w:rFonts w:ascii="SimSun" w:hint="eastAsia"/>
          <w:sz w:val="21"/>
          <w:lang w:eastAsia="zh-CN"/>
        </w:rPr>
        <w:t>国际局</w:t>
      </w:r>
      <w:r w:rsidR="001C6D06">
        <w:rPr>
          <w:rFonts w:ascii="SimSun" w:hint="eastAsia"/>
          <w:sz w:val="21"/>
          <w:lang w:eastAsia="zh-CN"/>
        </w:rPr>
        <w:t>继续开发和部署</w:t>
      </w:r>
      <w:proofErr w:type="spellStart"/>
      <w:r w:rsidR="001C6D06">
        <w:rPr>
          <w:rFonts w:ascii="SimSun" w:hint="eastAsia"/>
          <w:sz w:val="21"/>
          <w:lang w:eastAsia="zh-CN"/>
        </w:rPr>
        <w:t>ePCT</w:t>
      </w:r>
      <w:proofErr w:type="spellEnd"/>
      <w:r w:rsidR="001C6D06">
        <w:rPr>
          <w:rFonts w:ascii="SimSun" w:hint="eastAsia"/>
          <w:sz w:val="21"/>
          <w:lang w:eastAsia="zh-CN"/>
        </w:rPr>
        <w:t>系统。</w:t>
      </w:r>
      <w:proofErr w:type="gramStart"/>
      <w:r w:rsidR="001C6D06">
        <w:rPr>
          <w:rFonts w:ascii="SimSun" w:hint="eastAsia"/>
          <w:sz w:val="21"/>
          <w:lang w:eastAsia="zh-CN"/>
        </w:rPr>
        <w:t>继试点</w:t>
      </w:r>
      <w:proofErr w:type="gramEnd"/>
      <w:r w:rsidR="001C6D06">
        <w:rPr>
          <w:rFonts w:ascii="SimSun" w:hint="eastAsia"/>
          <w:sz w:val="21"/>
          <w:lang w:eastAsia="zh-CN"/>
        </w:rPr>
        <w:t>阶段后，现有一百多个不同国家逾两万</w:t>
      </w:r>
      <w:r w:rsidR="005A6449">
        <w:rPr>
          <w:rFonts w:ascii="SimSun" w:hint="eastAsia"/>
          <w:sz w:val="21"/>
          <w:lang w:eastAsia="zh-CN"/>
        </w:rPr>
        <w:t>名</w:t>
      </w:r>
      <w:r w:rsidR="001C6D06">
        <w:rPr>
          <w:rFonts w:ascii="SimSun" w:hint="eastAsia"/>
          <w:sz w:val="21"/>
          <w:lang w:eastAsia="zh-CN"/>
        </w:rPr>
        <w:t>注册用户正在使用</w:t>
      </w:r>
      <w:proofErr w:type="spellStart"/>
      <w:r w:rsidR="001C6D06">
        <w:rPr>
          <w:rFonts w:ascii="SimSun" w:hint="eastAsia"/>
          <w:sz w:val="21"/>
          <w:lang w:eastAsia="zh-CN"/>
        </w:rPr>
        <w:t>ePCT</w:t>
      </w:r>
      <w:proofErr w:type="spellEnd"/>
      <w:r w:rsidR="001C6D06">
        <w:rPr>
          <w:rFonts w:ascii="SimSun" w:hint="eastAsia"/>
          <w:sz w:val="21"/>
          <w:lang w:eastAsia="zh-CN"/>
        </w:rPr>
        <w:t>提交国际申请并/或进行后续的管理。该系统还向各国家/地区局开放，这些局现在可按其作为受理局(RO)、国际检索单位(ISA)和国际初步审查单位(IPEA)以及指定局(DO)的角色访问相应服务。截至目前，下列国家和地区专利组织的局已经开始使用这些</w:t>
      </w:r>
      <w:r w:rsidR="005A6449">
        <w:rPr>
          <w:rFonts w:ascii="SimSun" w:hint="eastAsia"/>
          <w:sz w:val="21"/>
          <w:lang w:eastAsia="zh-CN"/>
        </w:rPr>
        <w:t>附加</w:t>
      </w:r>
      <w:r w:rsidR="001C6D06">
        <w:rPr>
          <w:rFonts w:ascii="SimSun" w:hint="eastAsia"/>
          <w:sz w:val="21"/>
          <w:lang w:eastAsia="zh-CN"/>
        </w:rPr>
        <w:t>服务项目：阿尔及利亚、澳大利亚、奥地利、比利时、巴西、保加利亚、加拿大、智利、中国、哥伦比亚、古巴、捷克共和国、丹麦、埃及、爱沙尼亚、</w:t>
      </w:r>
      <w:r w:rsidR="00975436">
        <w:rPr>
          <w:rFonts w:ascii="SimSun" w:hint="eastAsia"/>
          <w:sz w:val="21"/>
          <w:lang w:eastAsia="zh-CN"/>
        </w:rPr>
        <w:t>欧亚专利局、欧洲专利局、芬兰、法国、德国、匈牙利、冰岛、印度、以色列、意大利、日本、肯尼亚、拉脱维亚、马来西亚、墨西哥、摩洛哥、荷兰、新西兰、尼加拉瓜、北欧专利局、挪威、菲律宾、波兰、葡萄牙、大韩民国、俄罗斯联邦、沙特阿拉伯、新加坡、南非、西班牙、瑞典、瑞士、泰国、土耳其、乌克兰、联合王国、美利坚合众国。此外，已经开发了</w:t>
      </w:r>
      <w:r w:rsidR="008677A8">
        <w:rPr>
          <w:rFonts w:ascii="SimSun" w:hint="eastAsia"/>
          <w:sz w:val="21"/>
          <w:lang w:eastAsia="zh-CN"/>
        </w:rPr>
        <w:t>Web</w:t>
      </w:r>
      <w:r w:rsidR="00975436">
        <w:rPr>
          <w:rFonts w:ascii="SimSun" w:hint="eastAsia"/>
          <w:sz w:val="21"/>
          <w:lang w:eastAsia="zh-CN"/>
        </w:rPr>
        <w:t>申请解决方案</w:t>
      </w:r>
      <w:proofErr w:type="spellStart"/>
      <w:r w:rsidR="00975436">
        <w:rPr>
          <w:rFonts w:ascii="SimSun" w:hint="eastAsia"/>
          <w:sz w:val="21"/>
          <w:lang w:eastAsia="zh-CN"/>
        </w:rPr>
        <w:t>ePCT</w:t>
      </w:r>
      <w:proofErr w:type="spellEnd"/>
      <w:r w:rsidR="00975436">
        <w:rPr>
          <w:rFonts w:ascii="SimSun" w:hint="eastAsia"/>
          <w:sz w:val="21"/>
          <w:lang w:eastAsia="zh-CN"/>
        </w:rPr>
        <w:t>-Filing，它旨在取代PCT-SAFE并</w:t>
      </w:r>
      <w:r w:rsidR="002F1346">
        <w:rPr>
          <w:rFonts w:ascii="SimSun" w:hint="eastAsia"/>
          <w:sz w:val="21"/>
          <w:lang w:eastAsia="zh-CN"/>
        </w:rPr>
        <w:t>让所有局有能力向申请人提供电子</w:t>
      </w:r>
      <w:r w:rsidR="005A6449">
        <w:rPr>
          <w:rFonts w:ascii="SimSun" w:hint="eastAsia"/>
          <w:sz w:val="21"/>
          <w:lang w:eastAsia="zh-CN"/>
        </w:rPr>
        <w:t>申请</w:t>
      </w:r>
      <w:r w:rsidR="002F1346">
        <w:rPr>
          <w:rFonts w:ascii="SimSun" w:hint="eastAsia"/>
          <w:sz w:val="21"/>
          <w:lang w:eastAsia="zh-CN"/>
        </w:rPr>
        <w:t>解决方案。在仅限于英</w:t>
      </w:r>
      <w:r w:rsidR="008677A8">
        <w:rPr>
          <w:rFonts w:ascii="SimSun" w:hint="eastAsia"/>
          <w:sz w:val="21"/>
          <w:lang w:eastAsia="zh-CN"/>
        </w:rPr>
        <w:t>文</w:t>
      </w:r>
      <w:r w:rsidR="002F1346">
        <w:rPr>
          <w:rFonts w:ascii="SimSun" w:hint="eastAsia"/>
          <w:sz w:val="21"/>
          <w:lang w:eastAsia="zh-CN"/>
        </w:rPr>
        <w:t>的初步试点阶段后，</w:t>
      </w:r>
      <w:proofErr w:type="spellStart"/>
      <w:r w:rsidR="002F1346">
        <w:rPr>
          <w:rFonts w:ascii="SimSun" w:hint="eastAsia"/>
          <w:sz w:val="21"/>
          <w:lang w:eastAsia="zh-CN"/>
        </w:rPr>
        <w:t>ePCT</w:t>
      </w:r>
      <w:proofErr w:type="spellEnd"/>
      <w:r w:rsidR="002F1346">
        <w:rPr>
          <w:rFonts w:ascii="SimSun" w:hint="eastAsia"/>
          <w:sz w:val="21"/>
          <w:lang w:eastAsia="zh-CN"/>
        </w:rPr>
        <w:t>用户界面于2015年4月起开始以PCT国际申请的其他</w:t>
      </w:r>
      <w:r w:rsidR="008677A8">
        <w:rPr>
          <w:rFonts w:ascii="SimSun" w:hint="eastAsia"/>
          <w:sz w:val="21"/>
          <w:lang w:eastAsia="zh-CN"/>
        </w:rPr>
        <w:t>九</w:t>
      </w:r>
      <w:r w:rsidR="002F1346">
        <w:rPr>
          <w:rFonts w:ascii="SimSun" w:hint="eastAsia"/>
          <w:sz w:val="21"/>
          <w:lang w:eastAsia="zh-CN"/>
        </w:rPr>
        <w:t>种语</w:t>
      </w:r>
      <w:r w:rsidR="00750A3E">
        <w:rPr>
          <w:rFonts w:ascii="SimSun" w:hint="eastAsia"/>
          <w:sz w:val="21"/>
          <w:lang w:eastAsia="zh-CN"/>
        </w:rPr>
        <w:t>言</w:t>
      </w:r>
      <w:r w:rsidR="002F1346">
        <w:rPr>
          <w:rFonts w:ascii="SimSun" w:hint="eastAsia"/>
          <w:sz w:val="21"/>
          <w:lang w:eastAsia="zh-CN"/>
        </w:rPr>
        <w:t>提供：阿拉伯文、中文、法文、德文、日文、韩文、葡萄牙文、俄文和西班牙文。</w:t>
      </w:r>
    </w:p>
    <w:p w:rsidR="00DE4CE3" w:rsidRDefault="002F1346" w:rsidP="00DE4CE3">
      <w:pPr>
        <w:pStyle w:val="a3"/>
        <w:numPr>
          <w:ilvl w:val="0"/>
          <w:numId w:val="2"/>
        </w:numPr>
        <w:overflowPunct w:val="0"/>
        <w:spacing w:afterLines="50" w:after="120" w:line="340" w:lineRule="atLeast"/>
        <w:ind w:left="0" w:firstLine="0"/>
        <w:contextualSpacing w:val="0"/>
        <w:jc w:val="both"/>
        <w:rPr>
          <w:rFonts w:ascii="SimSun" w:hAnsi="SimSun"/>
          <w:sz w:val="21"/>
          <w:lang w:eastAsia="zh-CN"/>
        </w:rPr>
      </w:pPr>
      <w:proofErr w:type="spellStart"/>
      <w:r>
        <w:rPr>
          <w:rFonts w:ascii="SimSun" w:hAnsi="SimSun" w:hint="eastAsia"/>
          <w:sz w:val="21"/>
          <w:lang w:eastAsia="zh-CN"/>
        </w:rPr>
        <w:t>ePCT</w:t>
      </w:r>
      <w:proofErr w:type="spellEnd"/>
      <w:r w:rsidR="005A6449">
        <w:rPr>
          <w:rFonts w:ascii="SimSun" w:hAnsi="SimSun" w:hint="eastAsia"/>
          <w:sz w:val="21"/>
          <w:lang w:eastAsia="zh-CN"/>
        </w:rPr>
        <w:t>申请</w:t>
      </w:r>
      <w:r>
        <w:rPr>
          <w:rFonts w:ascii="SimSun" w:hAnsi="SimSun" w:hint="eastAsia"/>
          <w:sz w:val="21"/>
          <w:lang w:eastAsia="zh-CN"/>
        </w:rPr>
        <w:t>托管</w:t>
      </w:r>
      <w:r w:rsidR="00DE4CE3">
        <w:rPr>
          <w:rFonts w:ascii="SimSun" w:hAnsi="SimSun" w:hint="eastAsia"/>
          <w:sz w:val="21"/>
          <w:lang w:eastAsia="zh-CN"/>
        </w:rPr>
        <w:t>：</w:t>
      </w:r>
      <w:r>
        <w:rPr>
          <w:rFonts w:ascii="SimSun" w:hAnsi="SimSun" w:hint="eastAsia"/>
          <w:sz w:val="21"/>
          <w:lang w:eastAsia="zh-CN"/>
        </w:rPr>
        <w:t>国际局现在提供</w:t>
      </w:r>
      <w:r w:rsidR="005A6449">
        <w:rPr>
          <w:rFonts w:ascii="SimSun" w:hAnsi="SimSun" w:hint="eastAsia"/>
          <w:sz w:val="21"/>
          <w:lang w:eastAsia="zh-CN"/>
        </w:rPr>
        <w:t>全面托管</w:t>
      </w:r>
      <w:r w:rsidR="00750A3E">
        <w:rPr>
          <w:rFonts w:ascii="SimSun" w:hAnsi="SimSun" w:hint="eastAsia"/>
          <w:sz w:val="21"/>
          <w:lang w:eastAsia="zh-CN"/>
        </w:rPr>
        <w:t>的</w:t>
      </w:r>
      <w:proofErr w:type="spellStart"/>
      <w:r>
        <w:rPr>
          <w:rFonts w:ascii="SimSun" w:hAnsi="SimSun" w:hint="eastAsia"/>
          <w:sz w:val="21"/>
          <w:lang w:eastAsia="zh-CN"/>
        </w:rPr>
        <w:t>ePCT</w:t>
      </w:r>
      <w:proofErr w:type="spellEnd"/>
      <w:r>
        <w:rPr>
          <w:rFonts w:ascii="SimSun" w:hAnsi="SimSun" w:hint="eastAsia"/>
          <w:sz w:val="21"/>
          <w:lang w:eastAsia="zh-CN"/>
        </w:rPr>
        <w:t>受理局</w:t>
      </w:r>
      <w:r w:rsidR="005A6449">
        <w:rPr>
          <w:rFonts w:ascii="SimSun" w:hAnsi="SimSun" w:hint="eastAsia"/>
          <w:sz w:val="21"/>
          <w:lang w:eastAsia="zh-CN"/>
        </w:rPr>
        <w:t>业务</w:t>
      </w:r>
      <w:r>
        <w:rPr>
          <w:rFonts w:ascii="SimSun" w:hAnsi="SimSun" w:hint="eastAsia"/>
          <w:sz w:val="21"/>
          <w:lang w:eastAsia="zh-CN"/>
        </w:rPr>
        <w:t>，它与</w:t>
      </w:r>
      <w:proofErr w:type="spellStart"/>
      <w:r>
        <w:rPr>
          <w:rFonts w:ascii="SimSun" w:hAnsi="SimSun" w:hint="eastAsia"/>
          <w:sz w:val="21"/>
          <w:lang w:eastAsia="zh-CN"/>
        </w:rPr>
        <w:t>ePCT</w:t>
      </w:r>
      <w:proofErr w:type="spellEnd"/>
      <w:r>
        <w:rPr>
          <w:rFonts w:ascii="SimSun" w:hAnsi="SimSun" w:hint="eastAsia"/>
          <w:sz w:val="21"/>
          <w:lang w:eastAsia="zh-CN"/>
        </w:rPr>
        <w:t>-Filing</w:t>
      </w:r>
      <w:r w:rsidR="008677A8">
        <w:rPr>
          <w:rFonts w:ascii="SimSun" w:hAnsi="SimSun" w:hint="eastAsia"/>
          <w:sz w:val="21"/>
          <w:lang w:eastAsia="zh-CN"/>
        </w:rPr>
        <w:t xml:space="preserve"> Web</w:t>
      </w:r>
      <w:r w:rsidR="005A6449">
        <w:rPr>
          <w:rFonts w:ascii="SimSun" w:hAnsi="SimSun" w:hint="eastAsia"/>
          <w:sz w:val="21"/>
          <w:lang w:eastAsia="zh-CN"/>
        </w:rPr>
        <w:t>申请</w:t>
      </w:r>
      <w:r>
        <w:rPr>
          <w:rFonts w:ascii="SimSun" w:hAnsi="SimSun" w:hint="eastAsia"/>
          <w:sz w:val="21"/>
          <w:lang w:eastAsia="zh-CN"/>
        </w:rPr>
        <w:t>解决方案兼容。这些服务向所有成员国的局</w:t>
      </w:r>
      <w:r w:rsidR="0063398B">
        <w:rPr>
          <w:rFonts w:ascii="SimSun" w:hAnsi="SimSun" w:hint="eastAsia"/>
          <w:sz w:val="21"/>
          <w:lang w:eastAsia="zh-CN"/>
        </w:rPr>
        <w:t>开放，如果有的局没有能力或意愿为受理局业务开发、运行和维护本地的信息技术(IT)基础设施，这些服务可使</w:t>
      </w:r>
      <w:r w:rsidR="008677A8">
        <w:rPr>
          <w:rFonts w:ascii="SimSun" w:hAnsi="SimSun" w:hint="eastAsia"/>
          <w:sz w:val="21"/>
          <w:lang w:eastAsia="zh-CN"/>
        </w:rPr>
        <w:t>它</w:t>
      </w:r>
      <w:r w:rsidR="0063398B">
        <w:rPr>
          <w:rFonts w:ascii="SimSun" w:hAnsi="SimSun" w:hint="eastAsia"/>
          <w:sz w:val="21"/>
          <w:lang w:eastAsia="zh-CN"/>
        </w:rPr>
        <w:t>们为申请人提供与在自动化程度很高的局所享受的同等水平的服务。</w:t>
      </w:r>
      <w:proofErr w:type="gramStart"/>
      <w:r w:rsidR="0063398B">
        <w:rPr>
          <w:rFonts w:ascii="SimSun" w:hAnsi="SimSun" w:hint="eastAsia"/>
          <w:sz w:val="21"/>
          <w:lang w:eastAsia="zh-CN"/>
        </w:rPr>
        <w:t>加入局</w:t>
      </w:r>
      <w:proofErr w:type="gramEnd"/>
      <w:r w:rsidR="0063398B">
        <w:rPr>
          <w:rFonts w:ascii="SimSun" w:hAnsi="SimSun" w:hint="eastAsia"/>
          <w:sz w:val="21"/>
          <w:lang w:eastAsia="zh-CN"/>
        </w:rPr>
        <w:t>只要求具备标准的</w:t>
      </w:r>
      <w:r w:rsidR="008677A8">
        <w:rPr>
          <w:rFonts w:ascii="SimSun" w:hAnsi="SimSun" w:hint="eastAsia"/>
          <w:sz w:val="21"/>
          <w:lang w:eastAsia="zh-CN"/>
        </w:rPr>
        <w:t>Web</w:t>
      </w:r>
      <w:r w:rsidR="0063398B">
        <w:rPr>
          <w:rFonts w:ascii="SimSun" w:hAnsi="SimSun" w:hint="eastAsia"/>
          <w:sz w:val="21"/>
          <w:lang w:eastAsia="zh-CN"/>
        </w:rPr>
        <w:t>浏览器和</w:t>
      </w:r>
      <w:r w:rsidR="008677A8">
        <w:rPr>
          <w:rFonts w:ascii="SimSun" w:hAnsi="SimSun" w:hint="eastAsia"/>
          <w:sz w:val="21"/>
          <w:lang w:eastAsia="zh-CN"/>
        </w:rPr>
        <w:t>互联</w:t>
      </w:r>
      <w:r w:rsidR="0063398B">
        <w:rPr>
          <w:rFonts w:ascii="SimSun" w:hAnsi="SimSun" w:hint="eastAsia"/>
          <w:sz w:val="21"/>
          <w:lang w:eastAsia="zh-CN"/>
        </w:rPr>
        <w:t>网连接(加上处理纸件提交的文件的扫描仪)。国际局目前为若干受理局托管</w:t>
      </w:r>
      <w:proofErr w:type="spellStart"/>
      <w:r w:rsidR="0063398B">
        <w:rPr>
          <w:rFonts w:ascii="SimSun" w:hAnsi="SimSun" w:hint="eastAsia"/>
          <w:sz w:val="21"/>
          <w:lang w:eastAsia="zh-CN"/>
        </w:rPr>
        <w:t>ePCT</w:t>
      </w:r>
      <w:proofErr w:type="spellEnd"/>
      <w:r w:rsidR="0063398B">
        <w:rPr>
          <w:rFonts w:ascii="SimSun" w:hAnsi="SimSun" w:hint="eastAsia"/>
          <w:sz w:val="21"/>
          <w:lang w:eastAsia="zh-CN"/>
        </w:rPr>
        <w:t>服务器，这些局是澳大利亚、巴西、智利、爱沙尼亚、印度、拉脱维亚、马来西亚、新西兰、沙特阿拉伯和新加坡的主管局以及欧亚专利局。</w:t>
      </w:r>
    </w:p>
    <w:p w:rsidR="00DE4CE3" w:rsidRPr="00DE4CE3" w:rsidRDefault="008677A8" w:rsidP="00750A3E">
      <w:pPr>
        <w:pStyle w:val="a3"/>
        <w:numPr>
          <w:ilvl w:val="0"/>
          <w:numId w:val="2"/>
        </w:numPr>
        <w:overflowPunct w:val="0"/>
        <w:spacing w:afterLines="50" w:after="120" w:line="340" w:lineRule="atLeast"/>
        <w:ind w:left="0" w:firstLine="0"/>
        <w:contextualSpacing w:val="0"/>
        <w:jc w:val="both"/>
        <w:rPr>
          <w:rFonts w:ascii="SimSun" w:hAnsi="SimSun"/>
          <w:sz w:val="21"/>
          <w:lang w:eastAsia="zh-CN"/>
        </w:rPr>
      </w:pPr>
      <w:r w:rsidRPr="008677A8">
        <w:rPr>
          <w:rFonts w:ascii="SimSun" w:hint="eastAsia"/>
          <w:sz w:val="21"/>
          <w:lang w:eastAsia="zh-CN"/>
        </w:rPr>
        <w:t>除了</w:t>
      </w:r>
      <w:r w:rsidR="009A2D8D" w:rsidRPr="009A2D8D">
        <w:rPr>
          <w:rFonts w:ascii="SimSun" w:hint="eastAsia"/>
          <w:sz w:val="21"/>
          <w:lang w:eastAsia="zh-CN"/>
        </w:rPr>
        <w:t>上述所列服务，</w:t>
      </w:r>
      <w:r w:rsidRPr="008677A8">
        <w:rPr>
          <w:rFonts w:ascii="SimSun" w:hint="eastAsia"/>
          <w:sz w:val="21"/>
          <w:lang w:eastAsia="zh-CN"/>
        </w:rPr>
        <w:t>WIPO还</w:t>
      </w:r>
      <w:r w:rsidR="009A2D8D" w:rsidRPr="009A2D8D">
        <w:rPr>
          <w:rFonts w:ascii="SimSun" w:hint="eastAsia"/>
          <w:sz w:val="21"/>
          <w:lang w:eastAsia="zh-CN"/>
        </w:rPr>
        <w:t>在各局为</w:t>
      </w:r>
      <w:proofErr w:type="spellStart"/>
      <w:r w:rsidR="009A2D8D" w:rsidRPr="009A2D8D">
        <w:rPr>
          <w:rFonts w:ascii="SimSun" w:hint="eastAsia"/>
          <w:sz w:val="21"/>
          <w:lang w:eastAsia="zh-CN"/>
        </w:rPr>
        <w:t>ePCT</w:t>
      </w:r>
      <w:proofErr w:type="spellEnd"/>
      <w:r w:rsidR="009A2D8D" w:rsidRPr="009A2D8D">
        <w:rPr>
          <w:rFonts w:ascii="SimSun" w:hint="eastAsia"/>
          <w:sz w:val="21"/>
          <w:lang w:eastAsia="zh-CN"/>
        </w:rPr>
        <w:t>服务生效的筹备工作中向其</w:t>
      </w:r>
      <w:r w:rsidRPr="008677A8">
        <w:rPr>
          <w:rFonts w:ascii="SimSun" w:hint="eastAsia"/>
          <w:sz w:val="21"/>
          <w:lang w:eastAsia="zh-CN"/>
        </w:rPr>
        <w:t>提供援助。这些援助既包括技术援助(例如：为</w:t>
      </w:r>
      <w:bookmarkStart w:id="3" w:name="_GoBack"/>
      <w:bookmarkEnd w:id="3"/>
      <w:r w:rsidRPr="008677A8">
        <w:rPr>
          <w:rFonts w:ascii="SimSun" w:hint="eastAsia"/>
          <w:sz w:val="21"/>
          <w:lang w:eastAsia="zh-CN"/>
        </w:rPr>
        <w:t>测试端对</w:t>
      </w:r>
      <w:proofErr w:type="gramStart"/>
      <w:r w:rsidRPr="008677A8">
        <w:rPr>
          <w:rFonts w:ascii="SimSun" w:hint="eastAsia"/>
          <w:sz w:val="21"/>
          <w:lang w:eastAsia="zh-CN"/>
        </w:rPr>
        <w:t>端申请</w:t>
      </w:r>
      <w:proofErr w:type="gramEnd"/>
      <w:r w:rsidRPr="008677A8">
        <w:rPr>
          <w:rFonts w:ascii="SimSun" w:hint="eastAsia"/>
          <w:sz w:val="21"/>
          <w:lang w:eastAsia="zh-CN"/>
        </w:rPr>
        <w:t>流程，向受理局提供测试</w:t>
      </w:r>
      <w:r w:rsidR="009A2D8D">
        <w:rPr>
          <w:rFonts w:ascii="SimSun" w:hint="eastAsia"/>
          <w:sz w:val="21"/>
          <w:lang w:eastAsia="zh-CN"/>
        </w:rPr>
        <w:t>环境</w:t>
      </w:r>
      <w:r w:rsidRPr="008677A8">
        <w:rPr>
          <w:rFonts w:ascii="SimSun" w:hint="eastAsia"/>
          <w:sz w:val="21"/>
          <w:lang w:eastAsia="zh-CN"/>
        </w:rPr>
        <w:t>，颁发受理局在向国际局传送之前在登记本数据包上签名所需的数字证书)，也包括法律和程序方面的援助。另外，颁发和管理数字证书的WIPO证书颁发</w:t>
      </w:r>
      <w:r w:rsidR="009A2D8D">
        <w:rPr>
          <w:rFonts w:ascii="SimSun" w:hint="eastAsia"/>
          <w:sz w:val="21"/>
          <w:lang w:eastAsia="zh-CN"/>
        </w:rPr>
        <w:t>机构</w:t>
      </w:r>
      <w:r w:rsidRPr="008677A8">
        <w:rPr>
          <w:rFonts w:ascii="SimSun" w:hint="eastAsia"/>
          <w:sz w:val="21"/>
          <w:lang w:eastAsia="zh-CN"/>
        </w:rPr>
        <w:t>(CA)继续运作。一个颁发</w:t>
      </w:r>
      <w:r w:rsidR="009A2D8D">
        <w:rPr>
          <w:rFonts w:ascii="SimSun" w:hint="eastAsia"/>
          <w:sz w:val="21"/>
          <w:lang w:eastAsia="zh-CN"/>
        </w:rPr>
        <w:t>机构</w:t>
      </w:r>
      <w:r w:rsidRPr="008677A8">
        <w:rPr>
          <w:rFonts w:ascii="SimSun" w:hint="eastAsia"/>
          <w:sz w:val="21"/>
          <w:lang w:eastAsia="zh-CN"/>
        </w:rPr>
        <w:t>供申请人使用，另一个</w:t>
      </w:r>
      <w:proofErr w:type="gramStart"/>
      <w:r w:rsidRPr="008677A8">
        <w:rPr>
          <w:rFonts w:ascii="SimSun" w:hint="eastAsia"/>
          <w:sz w:val="21"/>
          <w:lang w:eastAsia="zh-CN"/>
        </w:rPr>
        <w:t>供主管</w:t>
      </w:r>
      <w:proofErr w:type="gramEnd"/>
      <w:r w:rsidRPr="008677A8">
        <w:rPr>
          <w:rFonts w:ascii="SimSun" w:hint="eastAsia"/>
          <w:sz w:val="21"/>
          <w:lang w:eastAsia="zh-CN"/>
        </w:rPr>
        <w:t>局用于对它们所处理的专利数据进行安全匹配。</w:t>
      </w:r>
    </w:p>
    <w:p w:rsidR="00DE4CE3" w:rsidRDefault="006E5B70" w:rsidP="00DE4CE3">
      <w:pPr>
        <w:pStyle w:val="a3"/>
        <w:numPr>
          <w:ilvl w:val="0"/>
          <w:numId w:val="2"/>
        </w:numPr>
        <w:overflowPunct w:val="0"/>
        <w:spacing w:afterLines="50" w:after="120" w:line="340" w:lineRule="atLeast"/>
        <w:ind w:left="0" w:firstLine="0"/>
        <w:contextualSpacing w:val="0"/>
        <w:jc w:val="both"/>
        <w:rPr>
          <w:rFonts w:ascii="SimSun" w:hAnsi="SimSun"/>
          <w:sz w:val="21"/>
          <w:lang w:eastAsia="zh-CN"/>
        </w:rPr>
      </w:pPr>
      <w:r>
        <w:rPr>
          <w:rFonts w:ascii="SimSun" w:hAnsi="SimSun" w:hint="eastAsia"/>
          <w:sz w:val="21"/>
          <w:lang w:eastAsia="zh-CN"/>
        </w:rPr>
        <w:t>从传统业务</w:t>
      </w:r>
      <w:r w:rsidRPr="00E3521A">
        <w:rPr>
          <w:rFonts w:ascii="SimSun" w:hint="eastAsia"/>
          <w:sz w:val="21"/>
          <w:lang w:eastAsia="zh-CN"/>
        </w:rPr>
        <w:t>转型</w:t>
      </w:r>
      <w:r>
        <w:rPr>
          <w:rFonts w:ascii="SimSun" w:hAnsi="SimSun" w:hint="eastAsia"/>
          <w:sz w:val="21"/>
          <w:lang w:eastAsia="zh-CN"/>
        </w:rPr>
        <w:t>：在出现更高效、更易</w:t>
      </w:r>
      <w:r w:rsidR="008677A8">
        <w:rPr>
          <w:rFonts w:ascii="SimSun" w:hAnsi="SimSun" w:hint="eastAsia"/>
          <w:sz w:val="21"/>
          <w:lang w:eastAsia="zh-CN"/>
        </w:rPr>
        <w:t>用</w:t>
      </w:r>
      <w:r>
        <w:rPr>
          <w:rFonts w:ascii="SimSun" w:hAnsi="SimSun" w:hint="eastAsia"/>
          <w:sz w:val="21"/>
          <w:lang w:eastAsia="zh-CN"/>
        </w:rPr>
        <w:t>的其他选择后，应注意以下三项传统业务的转型</w:t>
      </w:r>
      <w:r w:rsidR="008677A8">
        <w:rPr>
          <w:rFonts w:ascii="SimSun" w:hAnsi="SimSun" w:hint="eastAsia"/>
          <w:sz w:val="21"/>
          <w:lang w:eastAsia="zh-CN"/>
        </w:rPr>
        <w:t>活动</w:t>
      </w:r>
      <w:r>
        <w:rPr>
          <w:rFonts w:ascii="SimSun" w:hAnsi="SimSun" w:hint="eastAsia"/>
          <w:sz w:val="21"/>
          <w:lang w:eastAsia="zh-CN"/>
        </w:rPr>
        <w:t>，文件WO/GA/43/15中已作报告：</w:t>
      </w:r>
    </w:p>
    <w:p w:rsidR="006E5B70" w:rsidRDefault="006E5B70" w:rsidP="00E3521A">
      <w:pPr>
        <w:pStyle w:val="a3"/>
        <w:overflowPunct w:val="0"/>
        <w:spacing w:afterLines="50" w:after="120" w:line="340" w:lineRule="atLeast"/>
        <w:ind w:left="567"/>
        <w:contextualSpacing w:val="0"/>
        <w:jc w:val="both"/>
        <w:rPr>
          <w:rFonts w:ascii="SimSun" w:hAnsi="SimSun"/>
          <w:sz w:val="21"/>
          <w:lang w:eastAsia="zh-CN"/>
        </w:rPr>
      </w:pPr>
      <w:r>
        <w:rPr>
          <w:rFonts w:ascii="SimSun" w:hAnsi="SimSun" w:hint="eastAsia"/>
          <w:sz w:val="21"/>
          <w:lang w:eastAsia="zh-CN"/>
        </w:rPr>
        <w:t>(a)</w:t>
      </w:r>
      <w:r w:rsidR="00E3521A">
        <w:rPr>
          <w:rFonts w:ascii="SimSun" w:hAnsi="SimSun" w:hint="eastAsia"/>
          <w:sz w:val="21"/>
          <w:lang w:eastAsia="zh-CN"/>
        </w:rPr>
        <w:tab/>
      </w:r>
      <w:r>
        <w:rPr>
          <w:rFonts w:ascii="SimSun" w:hAnsi="SimSun" w:hint="eastAsia"/>
          <w:sz w:val="21"/>
          <w:lang w:eastAsia="zh-CN"/>
        </w:rPr>
        <w:t>PCT-SAFE：随着</w:t>
      </w:r>
      <w:proofErr w:type="spellStart"/>
      <w:r>
        <w:rPr>
          <w:rFonts w:ascii="SimSun" w:hAnsi="SimSun" w:hint="eastAsia"/>
          <w:sz w:val="21"/>
          <w:lang w:eastAsia="zh-CN"/>
        </w:rPr>
        <w:t>ePCT</w:t>
      </w:r>
      <w:proofErr w:type="spellEnd"/>
      <w:r>
        <w:rPr>
          <w:rFonts w:ascii="SimSun" w:hAnsi="SimSun" w:hint="eastAsia"/>
          <w:sz w:val="21"/>
          <w:lang w:eastAsia="zh-CN"/>
        </w:rPr>
        <w:t>取代PCT-SAFE作为国际局用于PCT电子申请的解决方案，接受使用PCT-SAFE提交的PCT电子申请的受理局</w:t>
      </w:r>
      <w:r w:rsidR="0089034E">
        <w:rPr>
          <w:rFonts w:ascii="SimSun" w:hAnsi="SimSun" w:hint="eastAsia"/>
          <w:sz w:val="21"/>
          <w:lang w:eastAsia="zh-CN"/>
        </w:rPr>
        <w:t>数量</w:t>
      </w:r>
      <w:r>
        <w:rPr>
          <w:rFonts w:ascii="SimSun" w:hAnsi="SimSun" w:hint="eastAsia"/>
          <w:sz w:val="21"/>
          <w:lang w:eastAsia="zh-CN"/>
        </w:rPr>
        <w:t>从2013年的27个</w:t>
      </w:r>
      <w:r w:rsidR="0089034E">
        <w:rPr>
          <w:rFonts w:ascii="SimSun" w:hAnsi="SimSun" w:hint="eastAsia"/>
          <w:sz w:val="21"/>
          <w:lang w:eastAsia="zh-CN"/>
        </w:rPr>
        <w:t>减</w:t>
      </w:r>
      <w:r>
        <w:rPr>
          <w:rFonts w:ascii="SimSun" w:hAnsi="SimSun" w:hint="eastAsia"/>
          <w:sz w:val="21"/>
          <w:lang w:eastAsia="zh-CN"/>
        </w:rPr>
        <w:t>为26个。但是，</w:t>
      </w:r>
      <w:r w:rsidR="00953D3A">
        <w:rPr>
          <w:rFonts w:ascii="SimSun" w:hAnsi="SimSun" w:hint="eastAsia"/>
          <w:sz w:val="21"/>
          <w:lang w:eastAsia="zh-CN"/>
        </w:rPr>
        <w:t>依然按时发布了</w:t>
      </w:r>
      <w:r>
        <w:rPr>
          <w:rFonts w:ascii="SimSun" w:hAnsi="SimSun" w:hint="eastAsia"/>
          <w:sz w:val="21"/>
          <w:lang w:eastAsia="zh-CN"/>
        </w:rPr>
        <w:t>新版的PCT-SAFE</w:t>
      </w:r>
      <w:r w:rsidR="00953D3A">
        <w:rPr>
          <w:rFonts w:ascii="SimSun" w:hAnsi="SimSun" w:hint="eastAsia"/>
          <w:sz w:val="21"/>
          <w:lang w:eastAsia="zh-CN"/>
        </w:rPr>
        <w:t>软件，以支持PCT法律和程序框架正在发生的转变，如PCT细则</w:t>
      </w:r>
      <w:r w:rsidR="0089034E">
        <w:rPr>
          <w:rFonts w:ascii="SimSun" w:hAnsi="SimSun" w:hint="eastAsia"/>
          <w:sz w:val="21"/>
          <w:lang w:eastAsia="zh-CN"/>
        </w:rPr>
        <w:t>的</w:t>
      </w:r>
      <w:r w:rsidR="00953D3A">
        <w:rPr>
          <w:rFonts w:ascii="SimSun" w:hAnsi="SimSun" w:hint="eastAsia"/>
          <w:sz w:val="21"/>
          <w:lang w:eastAsia="zh-CN"/>
        </w:rPr>
        <w:t>多处变动。</w:t>
      </w:r>
    </w:p>
    <w:p w:rsidR="006E5B70" w:rsidRDefault="006E5B70" w:rsidP="00E3521A">
      <w:pPr>
        <w:pStyle w:val="a3"/>
        <w:overflowPunct w:val="0"/>
        <w:spacing w:afterLines="50" w:after="120" w:line="340" w:lineRule="atLeast"/>
        <w:ind w:left="567"/>
        <w:contextualSpacing w:val="0"/>
        <w:jc w:val="both"/>
        <w:rPr>
          <w:rFonts w:ascii="SimSun" w:hAnsi="SimSun"/>
          <w:sz w:val="21"/>
          <w:lang w:eastAsia="zh-CN"/>
        </w:rPr>
      </w:pPr>
      <w:r>
        <w:rPr>
          <w:rFonts w:ascii="SimSun" w:hAnsi="SimSun" w:hint="eastAsia"/>
          <w:sz w:val="21"/>
          <w:lang w:eastAsia="zh-CN"/>
        </w:rPr>
        <w:t>(b)</w:t>
      </w:r>
      <w:r w:rsidR="00E3521A">
        <w:rPr>
          <w:rFonts w:ascii="SimSun" w:hAnsi="SimSun" w:hint="eastAsia"/>
          <w:sz w:val="21"/>
          <w:lang w:eastAsia="zh-CN"/>
        </w:rPr>
        <w:tab/>
      </w:r>
      <w:r>
        <w:rPr>
          <w:rFonts w:ascii="SimSun" w:hAnsi="SimSun" w:hint="eastAsia"/>
          <w:sz w:val="21"/>
          <w:lang w:eastAsia="zh-CN"/>
        </w:rPr>
        <w:t>PCT-EASY：</w:t>
      </w:r>
      <w:r w:rsidR="00953D3A">
        <w:rPr>
          <w:rFonts w:ascii="SimSun" w:hAnsi="SimSun" w:hint="eastAsia"/>
          <w:sz w:val="21"/>
          <w:lang w:eastAsia="zh-CN"/>
        </w:rPr>
        <w:t>在国际局与成员国进行磋商后，商定现已被全电子申请和</w:t>
      </w:r>
      <w:proofErr w:type="spellStart"/>
      <w:r w:rsidR="00953D3A">
        <w:rPr>
          <w:rFonts w:ascii="SimSun" w:hAnsi="SimSun" w:hint="eastAsia"/>
          <w:sz w:val="21"/>
          <w:lang w:eastAsia="zh-CN"/>
        </w:rPr>
        <w:t>ePCT</w:t>
      </w:r>
      <w:proofErr w:type="spellEnd"/>
      <w:r w:rsidR="00953D3A">
        <w:rPr>
          <w:rFonts w:ascii="SimSun" w:hAnsi="SimSun" w:hint="eastAsia"/>
          <w:sz w:val="21"/>
          <w:lang w:eastAsia="zh-CN"/>
        </w:rPr>
        <w:t>申请服务取代的PCT-EASY申请办法，将自2015年7月1日起终止运作。</w:t>
      </w:r>
    </w:p>
    <w:p w:rsidR="006E5B70" w:rsidRDefault="006E5B70" w:rsidP="00E3521A">
      <w:pPr>
        <w:pStyle w:val="a3"/>
        <w:overflowPunct w:val="0"/>
        <w:spacing w:afterLines="50" w:after="120" w:line="340" w:lineRule="atLeast"/>
        <w:ind w:left="567"/>
        <w:contextualSpacing w:val="0"/>
        <w:jc w:val="both"/>
        <w:rPr>
          <w:rFonts w:ascii="SimSun" w:hAnsi="SimSun"/>
          <w:sz w:val="21"/>
          <w:lang w:eastAsia="zh-CN"/>
        </w:rPr>
      </w:pPr>
      <w:r>
        <w:rPr>
          <w:rFonts w:ascii="SimSun" w:hAnsi="SimSun" w:hint="eastAsia"/>
          <w:sz w:val="21"/>
          <w:lang w:eastAsia="zh-CN"/>
        </w:rPr>
        <w:t>(c)</w:t>
      </w:r>
      <w:r w:rsidR="00E3521A">
        <w:rPr>
          <w:rFonts w:ascii="SimSun" w:hAnsi="SimSun" w:hint="eastAsia"/>
          <w:sz w:val="21"/>
          <w:lang w:eastAsia="zh-CN"/>
        </w:rPr>
        <w:tab/>
      </w:r>
      <w:r>
        <w:rPr>
          <w:rFonts w:ascii="SimSun" w:hAnsi="SimSun" w:hint="eastAsia"/>
          <w:sz w:val="21"/>
          <w:lang w:eastAsia="zh-CN"/>
        </w:rPr>
        <w:t>PCT</w:t>
      </w:r>
      <w:r w:rsidR="00953D3A">
        <w:rPr>
          <w:rFonts w:ascii="SimSun" w:hAnsi="SimSun" w:hint="eastAsia"/>
          <w:sz w:val="21"/>
          <w:lang w:eastAsia="zh-CN"/>
        </w:rPr>
        <w:t>自动化文件索要系统(PADOS)：</w:t>
      </w:r>
      <w:r w:rsidR="00425663">
        <w:rPr>
          <w:rFonts w:ascii="SimSun" w:hAnsi="SimSun" w:hint="eastAsia"/>
          <w:sz w:val="21"/>
          <w:lang w:eastAsia="zh-CN"/>
        </w:rPr>
        <w:t>国际局已经要求最后两个使用该系统的局(韩国特许厅和日本特许厅)向PATENTSCOPE</w:t>
      </w:r>
      <w:r w:rsidR="008677A8">
        <w:rPr>
          <w:rFonts w:ascii="SimSun" w:hAnsi="SimSun" w:hint="eastAsia"/>
          <w:sz w:val="21"/>
          <w:lang w:eastAsia="zh-CN"/>
        </w:rPr>
        <w:t xml:space="preserve"> Web</w:t>
      </w:r>
      <w:r w:rsidR="00425663">
        <w:rPr>
          <w:rFonts w:ascii="SimSun" w:hAnsi="SimSun" w:hint="eastAsia"/>
          <w:sz w:val="21"/>
          <w:lang w:eastAsia="zh-CN"/>
        </w:rPr>
        <w:t>服务转型。</w:t>
      </w:r>
    </w:p>
    <w:p w:rsidR="00934194" w:rsidRPr="00934194" w:rsidRDefault="00934194" w:rsidP="00DE4CE3">
      <w:pPr>
        <w:pStyle w:val="a3"/>
        <w:numPr>
          <w:ilvl w:val="0"/>
          <w:numId w:val="2"/>
        </w:numPr>
        <w:overflowPunct w:val="0"/>
        <w:spacing w:afterLines="50" w:after="120" w:line="340" w:lineRule="atLeast"/>
        <w:ind w:left="0" w:firstLine="0"/>
        <w:contextualSpacing w:val="0"/>
        <w:jc w:val="both"/>
        <w:rPr>
          <w:rFonts w:ascii="SimSun" w:hAnsi="SimSun"/>
          <w:sz w:val="21"/>
          <w:lang w:eastAsia="zh-CN"/>
        </w:rPr>
      </w:pPr>
      <w:r w:rsidRPr="005D4C59">
        <w:rPr>
          <w:rFonts w:ascii="SimSun" w:hint="eastAsia"/>
          <w:sz w:val="21"/>
          <w:lang w:eastAsia="zh-CN"/>
        </w:rPr>
        <w:t>关于WIPO的一般技术援助活动，知识产权局的业务解决方案计划所提供的援助，侧重于提高知识产权机构知识产权注册活动的效率，并完善它们向利益有关方提供的服务</w:t>
      </w:r>
      <w:r>
        <w:rPr>
          <w:rFonts w:ascii="SimSun" w:hint="eastAsia"/>
          <w:sz w:val="21"/>
          <w:lang w:eastAsia="zh-CN"/>
        </w:rPr>
        <w:t>。</w:t>
      </w:r>
    </w:p>
    <w:p w:rsidR="00934194" w:rsidRPr="00750A3E" w:rsidRDefault="00750A3E" w:rsidP="00750A3E">
      <w:pPr>
        <w:pStyle w:val="a3"/>
        <w:numPr>
          <w:ilvl w:val="0"/>
          <w:numId w:val="2"/>
        </w:numPr>
        <w:overflowPunct w:val="0"/>
        <w:spacing w:afterLines="50" w:after="120" w:line="340" w:lineRule="atLeast"/>
        <w:ind w:left="0" w:firstLine="0"/>
        <w:contextualSpacing w:val="0"/>
        <w:jc w:val="both"/>
        <w:rPr>
          <w:rFonts w:ascii="SimSun" w:hAnsi="SimSun"/>
          <w:sz w:val="21"/>
          <w:lang w:eastAsia="zh-CN"/>
        </w:rPr>
      </w:pPr>
      <w:r w:rsidRPr="00750A3E">
        <w:rPr>
          <w:rFonts w:ascii="SimSun" w:hint="eastAsia"/>
          <w:sz w:val="21"/>
          <w:lang w:eastAsia="zh-CN"/>
        </w:rPr>
        <w:t>现在向68个知识产权局提供</w:t>
      </w:r>
      <w:r w:rsidR="00934194" w:rsidRPr="00750A3E">
        <w:rPr>
          <w:rFonts w:ascii="SimSun" w:hint="eastAsia"/>
          <w:sz w:val="21"/>
          <w:lang w:eastAsia="zh-CN"/>
        </w:rPr>
        <w:t>定制的自动化解决方案，主要是发展中国家的局，由此改善了知识产权权利和有关记录的管理，通过增加</w:t>
      </w:r>
      <w:r w:rsidR="0063398B" w:rsidRPr="00750A3E">
        <w:rPr>
          <w:rFonts w:ascii="SimSun" w:hint="eastAsia"/>
          <w:sz w:val="21"/>
          <w:lang w:eastAsia="zh-CN"/>
        </w:rPr>
        <w:t>IT使用</w:t>
      </w:r>
      <w:r w:rsidR="00934194" w:rsidRPr="00750A3E">
        <w:rPr>
          <w:rFonts w:ascii="SimSun" w:hint="eastAsia"/>
          <w:sz w:val="21"/>
          <w:lang w:eastAsia="zh-CN"/>
        </w:rPr>
        <w:t>提高了业务处理的效率</w:t>
      </w:r>
      <w:r w:rsidRPr="00750A3E">
        <w:rPr>
          <w:rFonts w:ascii="SimSun" w:hint="eastAsia"/>
          <w:sz w:val="21"/>
          <w:lang w:eastAsia="zh-CN"/>
        </w:rPr>
        <w:t>，并</w:t>
      </w:r>
      <w:r w:rsidRPr="00750A3E">
        <w:rPr>
          <w:rFonts w:ascii="SimSun" w:hint="eastAsia"/>
          <w:sz w:val="21"/>
          <w:lang w:eastAsia="zh-CN"/>
        </w:rPr>
        <w:t>创建</w:t>
      </w:r>
      <w:r w:rsidRPr="00750A3E">
        <w:rPr>
          <w:rFonts w:ascii="SimSun" w:hint="eastAsia"/>
          <w:sz w:val="21"/>
          <w:lang w:eastAsia="zh-CN"/>
        </w:rPr>
        <w:t>了多个</w:t>
      </w:r>
      <w:r w:rsidRPr="00750A3E">
        <w:rPr>
          <w:rFonts w:ascii="SimSun" w:hint="eastAsia"/>
          <w:sz w:val="21"/>
          <w:lang w:eastAsia="zh-CN"/>
        </w:rPr>
        <w:t>国家知识产权数据库</w:t>
      </w:r>
      <w:r w:rsidR="00934194" w:rsidRPr="00750A3E">
        <w:rPr>
          <w:rFonts w:ascii="SimSun" w:hint="eastAsia"/>
          <w:sz w:val="21"/>
          <w:lang w:eastAsia="zh-CN"/>
        </w:rPr>
        <w:t>。</w:t>
      </w:r>
      <w:r w:rsidR="00FF4245" w:rsidRPr="00750A3E">
        <w:rPr>
          <w:rFonts w:ascii="SimSun" w:hint="eastAsia"/>
          <w:sz w:val="21"/>
          <w:lang w:eastAsia="zh-CN"/>
        </w:rPr>
        <w:t>工作以能力建设为重点，</w:t>
      </w:r>
      <w:r w:rsidR="00934194" w:rsidRPr="00750A3E">
        <w:rPr>
          <w:rFonts w:ascii="SimSun" w:hint="eastAsia"/>
          <w:sz w:val="21"/>
          <w:lang w:eastAsia="zh-CN"/>
        </w:rPr>
        <w:t>通过</w:t>
      </w:r>
      <w:r w:rsidR="00FF4245" w:rsidRPr="00750A3E">
        <w:rPr>
          <w:rFonts w:ascii="SimSun" w:hint="eastAsia"/>
          <w:sz w:val="21"/>
          <w:lang w:eastAsia="zh-CN"/>
        </w:rPr>
        <w:t>对</w:t>
      </w:r>
      <w:r w:rsidR="00934194" w:rsidRPr="00750A3E">
        <w:rPr>
          <w:rFonts w:ascii="SimSun" w:hint="eastAsia"/>
          <w:sz w:val="21"/>
          <w:lang w:eastAsia="zh-CN"/>
        </w:rPr>
        <w:t>知识产权</w:t>
      </w:r>
      <w:r w:rsidR="00FF4245" w:rsidRPr="00750A3E">
        <w:rPr>
          <w:rFonts w:ascii="SimSun" w:hint="eastAsia"/>
          <w:sz w:val="21"/>
          <w:lang w:eastAsia="zh-CN"/>
        </w:rPr>
        <w:t>局</w:t>
      </w:r>
      <w:r w:rsidR="00934194" w:rsidRPr="00750A3E">
        <w:rPr>
          <w:rFonts w:ascii="SimSun" w:hint="eastAsia"/>
          <w:sz w:val="21"/>
          <w:lang w:eastAsia="zh-CN"/>
        </w:rPr>
        <w:t>系统</w:t>
      </w:r>
      <w:r w:rsidR="00FF4245" w:rsidRPr="00750A3E">
        <w:rPr>
          <w:rFonts w:ascii="SimSun" w:hint="eastAsia"/>
          <w:sz w:val="21"/>
          <w:lang w:eastAsia="zh-CN"/>
        </w:rPr>
        <w:t>的</w:t>
      </w:r>
      <w:r w:rsidR="00934194" w:rsidRPr="00750A3E">
        <w:rPr>
          <w:rFonts w:ascii="SimSun" w:hint="eastAsia"/>
          <w:sz w:val="21"/>
          <w:lang w:eastAsia="zh-CN"/>
        </w:rPr>
        <w:t>管理</w:t>
      </w:r>
      <w:r w:rsidR="00FF4245" w:rsidRPr="00750A3E">
        <w:rPr>
          <w:rFonts w:ascii="SimSun" w:hint="eastAsia"/>
          <w:sz w:val="21"/>
          <w:lang w:eastAsia="zh-CN"/>
        </w:rPr>
        <w:t>人</w:t>
      </w:r>
      <w:r w:rsidR="00934194" w:rsidRPr="00750A3E">
        <w:rPr>
          <w:rFonts w:ascii="SimSun" w:hint="eastAsia"/>
          <w:sz w:val="21"/>
          <w:lang w:eastAsia="zh-CN"/>
        </w:rPr>
        <w:t>员</w:t>
      </w:r>
      <w:r w:rsidR="00FF4245" w:rsidRPr="00750A3E">
        <w:rPr>
          <w:rFonts w:ascii="SimSun" w:hint="eastAsia"/>
          <w:sz w:val="21"/>
          <w:lang w:eastAsia="zh-CN"/>
        </w:rPr>
        <w:t>进行软件方面的密集培训和</w:t>
      </w:r>
      <w:r w:rsidR="00934194" w:rsidRPr="00750A3E">
        <w:rPr>
          <w:rFonts w:ascii="SimSun" w:hint="eastAsia"/>
          <w:sz w:val="21"/>
          <w:lang w:eastAsia="zh-CN"/>
        </w:rPr>
        <w:t>知识</w:t>
      </w:r>
      <w:r w:rsidR="00FF4245" w:rsidRPr="00750A3E">
        <w:rPr>
          <w:rFonts w:ascii="SimSun" w:hint="eastAsia"/>
          <w:sz w:val="21"/>
          <w:lang w:eastAsia="zh-CN"/>
        </w:rPr>
        <w:t>传播</w:t>
      </w:r>
      <w:r w:rsidR="00934194" w:rsidRPr="00750A3E">
        <w:rPr>
          <w:rFonts w:ascii="SimSun" w:hint="eastAsia"/>
          <w:sz w:val="21"/>
          <w:lang w:eastAsia="zh-CN"/>
        </w:rPr>
        <w:t>，</w:t>
      </w:r>
      <w:r w:rsidR="00FF4245" w:rsidRPr="00750A3E">
        <w:rPr>
          <w:rFonts w:ascii="SimSun" w:hint="eastAsia"/>
          <w:sz w:val="21"/>
          <w:lang w:eastAsia="zh-CN"/>
        </w:rPr>
        <w:t>实现更好的管理和</w:t>
      </w:r>
      <w:r w:rsidRPr="00750A3E">
        <w:rPr>
          <w:rFonts w:ascii="SimSun" w:hint="eastAsia"/>
          <w:sz w:val="21"/>
          <w:lang w:eastAsia="zh-CN"/>
        </w:rPr>
        <w:t>一级</w:t>
      </w:r>
      <w:r w:rsidR="00FF4245" w:rsidRPr="00750A3E">
        <w:rPr>
          <w:rFonts w:ascii="SimSun" w:hint="eastAsia"/>
          <w:sz w:val="21"/>
          <w:lang w:eastAsia="zh-CN"/>
        </w:rPr>
        <w:t>技术支持，并通过向工作人员提供针对性更强的用户培训，</w:t>
      </w:r>
      <w:r w:rsidR="0089034E" w:rsidRPr="00750A3E">
        <w:rPr>
          <w:rFonts w:ascii="SimSun" w:hint="eastAsia"/>
          <w:sz w:val="21"/>
          <w:lang w:eastAsia="zh-CN"/>
        </w:rPr>
        <w:t>以</w:t>
      </w:r>
      <w:r w:rsidR="00FF4245" w:rsidRPr="00750A3E">
        <w:rPr>
          <w:rFonts w:ascii="SimSun" w:hint="eastAsia"/>
          <w:sz w:val="21"/>
          <w:lang w:eastAsia="zh-CN"/>
        </w:rPr>
        <w:t>实现</w:t>
      </w:r>
      <w:r w:rsidR="00934194" w:rsidRPr="00750A3E">
        <w:rPr>
          <w:rFonts w:ascii="SimSun" w:hint="eastAsia"/>
          <w:sz w:val="21"/>
          <w:lang w:eastAsia="zh-CN"/>
        </w:rPr>
        <w:t>系统</w:t>
      </w:r>
      <w:r w:rsidR="00FF4245" w:rsidRPr="00750A3E">
        <w:rPr>
          <w:rFonts w:ascii="SimSun" w:hint="eastAsia"/>
          <w:sz w:val="21"/>
          <w:lang w:eastAsia="zh-CN"/>
        </w:rPr>
        <w:t>的有效使用</w:t>
      </w:r>
      <w:r w:rsidR="0089034E" w:rsidRPr="00750A3E">
        <w:rPr>
          <w:rFonts w:ascii="SimSun" w:hint="eastAsia"/>
          <w:sz w:val="21"/>
          <w:lang w:eastAsia="zh-CN"/>
        </w:rPr>
        <w:t>，并</w:t>
      </w:r>
      <w:r w:rsidR="00934194" w:rsidRPr="00750A3E">
        <w:rPr>
          <w:rFonts w:ascii="SimSun" w:hint="eastAsia"/>
          <w:sz w:val="21"/>
          <w:lang w:eastAsia="zh-CN"/>
        </w:rPr>
        <w:t>确保</w:t>
      </w:r>
      <w:r w:rsidR="00FF4245" w:rsidRPr="00750A3E">
        <w:rPr>
          <w:rFonts w:ascii="SimSun" w:hint="eastAsia"/>
          <w:sz w:val="21"/>
          <w:lang w:eastAsia="zh-CN"/>
        </w:rPr>
        <w:t>项目的成功交付和</w:t>
      </w:r>
      <w:proofErr w:type="gramStart"/>
      <w:r w:rsidR="00934194" w:rsidRPr="00750A3E">
        <w:rPr>
          <w:rFonts w:ascii="SimSun" w:hint="eastAsia"/>
          <w:sz w:val="21"/>
          <w:lang w:eastAsia="zh-CN"/>
        </w:rPr>
        <w:t>可</w:t>
      </w:r>
      <w:proofErr w:type="gramEnd"/>
      <w:r w:rsidR="00934194" w:rsidRPr="00750A3E">
        <w:rPr>
          <w:rFonts w:ascii="SimSun" w:hint="eastAsia"/>
          <w:sz w:val="21"/>
          <w:lang w:eastAsia="zh-CN"/>
        </w:rPr>
        <w:t>持续性。所提供的服务具体如下</w:t>
      </w:r>
      <w:r w:rsidR="00FF4245" w:rsidRPr="00750A3E">
        <w:rPr>
          <w:rFonts w:ascii="SimSun" w:hint="eastAsia"/>
          <w:sz w:val="21"/>
          <w:lang w:eastAsia="zh-CN"/>
        </w:rPr>
        <w:t>：</w:t>
      </w:r>
    </w:p>
    <w:p w:rsidR="00FF4245" w:rsidRDefault="00FF4245" w:rsidP="00FF4245">
      <w:pPr>
        <w:pStyle w:val="a3"/>
        <w:overflowPunct w:val="0"/>
        <w:spacing w:afterLines="50" w:after="120" w:line="340" w:lineRule="atLeast"/>
        <w:ind w:left="568"/>
        <w:contextualSpacing w:val="0"/>
        <w:jc w:val="both"/>
        <w:rPr>
          <w:rFonts w:ascii="SimSun"/>
          <w:sz w:val="21"/>
          <w:lang w:eastAsia="zh-CN"/>
        </w:rPr>
      </w:pPr>
      <w:r>
        <w:rPr>
          <w:rFonts w:ascii="SimSun" w:hint="eastAsia"/>
          <w:sz w:val="21"/>
          <w:lang w:eastAsia="zh-CN"/>
        </w:rPr>
        <w:t>(a)</w:t>
      </w:r>
      <w:r w:rsidR="00E3521A">
        <w:rPr>
          <w:rFonts w:ascii="SimSun" w:hint="eastAsia"/>
          <w:sz w:val="21"/>
          <w:lang w:eastAsia="zh-CN"/>
        </w:rPr>
        <w:tab/>
      </w:r>
      <w:r w:rsidR="0015761B" w:rsidRPr="00C63501">
        <w:rPr>
          <w:rFonts w:ascii="SimSun" w:hint="eastAsia"/>
          <w:sz w:val="21"/>
          <w:lang w:eastAsia="zh-CN"/>
        </w:rPr>
        <w:t>截至201</w:t>
      </w:r>
      <w:r w:rsidR="0015761B">
        <w:rPr>
          <w:rFonts w:ascii="SimSun" w:hint="eastAsia"/>
          <w:sz w:val="21"/>
          <w:lang w:eastAsia="zh-CN"/>
        </w:rPr>
        <w:t>4</w:t>
      </w:r>
      <w:r w:rsidR="0015761B" w:rsidRPr="00C63501">
        <w:rPr>
          <w:rFonts w:ascii="SimSun" w:hint="eastAsia"/>
          <w:sz w:val="21"/>
          <w:lang w:eastAsia="zh-CN"/>
        </w:rPr>
        <w:t>年底，工业产权行政管理系统(IPAS)已在所有地区发展中国家(</w:t>
      </w:r>
      <w:r w:rsidR="0015761B">
        <w:rPr>
          <w:rFonts w:ascii="SimSun" w:hint="eastAsia"/>
          <w:sz w:val="21"/>
          <w:lang w:eastAsia="zh-CN"/>
        </w:rPr>
        <w:t>含17个</w:t>
      </w:r>
      <w:r w:rsidR="0015761B" w:rsidRPr="00C63501">
        <w:rPr>
          <w:rFonts w:ascii="SimSun" w:hint="eastAsia"/>
          <w:sz w:val="21"/>
          <w:lang w:eastAsia="zh-CN"/>
        </w:rPr>
        <w:t>最不发达国家)的6</w:t>
      </w:r>
      <w:r w:rsidR="0015761B">
        <w:rPr>
          <w:rFonts w:ascii="SimSun" w:hint="eastAsia"/>
          <w:sz w:val="21"/>
          <w:lang w:eastAsia="zh-CN"/>
        </w:rPr>
        <w:t>8</w:t>
      </w:r>
      <w:r w:rsidR="0015761B" w:rsidRPr="00C63501">
        <w:rPr>
          <w:rFonts w:ascii="SimSun" w:hint="eastAsia"/>
          <w:sz w:val="21"/>
          <w:lang w:eastAsia="zh-CN"/>
        </w:rPr>
        <w:t>个知识产权局投入使用。其中，</w:t>
      </w:r>
      <w:r w:rsidR="0015761B">
        <w:rPr>
          <w:rFonts w:ascii="SimSun" w:hint="eastAsia"/>
          <w:sz w:val="21"/>
          <w:lang w:eastAsia="zh-CN"/>
        </w:rPr>
        <w:t>46</w:t>
      </w:r>
      <w:r w:rsidR="0015761B" w:rsidRPr="00C63501">
        <w:rPr>
          <w:rFonts w:ascii="SimSun" w:hint="eastAsia"/>
          <w:sz w:val="21"/>
          <w:lang w:eastAsia="zh-CN"/>
        </w:rPr>
        <w:t>个主管局正在利用该系统接收、审查、授予和公布专利申请</w:t>
      </w:r>
      <w:r w:rsidR="0015761B">
        <w:rPr>
          <w:rFonts w:ascii="SimSun" w:hint="eastAsia"/>
          <w:sz w:val="21"/>
          <w:lang w:eastAsia="zh-CN"/>
        </w:rPr>
        <w:t>。</w:t>
      </w:r>
    </w:p>
    <w:p w:rsidR="00075559" w:rsidRPr="00DE4CE3" w:rsidRDefault="00FF4245" w:rsidP="0015761B">
      <w:pPr>
        <w:pStyle w:val="a3"/>
        <w:overflowPunct w:val="0"/>
        <w:spacing w:afterLines="50" w:after="120" w:line="340" w:lineRule="atLeast"/>
        <w:ind w:left="568"/>
        <w:contextualSpacing w:val="0"/>
        <w:jc w:val="both"/>
        <w:rPr>
          <w:rFonts w:ascii="SimSun" w:hAnsi="SimSun"/>
          <w:sz w:val="21"/>
          <w:lang w:eastAsia="zh-CN"/>
        </w:rPr>
      </w:pPr>
      <w:r>
        <w:rPr>
          <w:rFonts w:ascii="SimSun" w:hint="eastAsia"/>
          <w:sz w:val="21"/>
          <w:lang w:eastAsia="zh-CN"/>
        </w:rPr>
        <w:t>(b)</w:t>
      </w:r>
      <w:r w:rsidR="00E3521A">
        <w:rPr>
          <w:rFonts w:ascii="SimSun" w:hint="eastAsia"/>
          <w:sz w:val="21"/>
          <w:lang w:eastAsia="zh-CN"/>
        </w:rPr>
        <w:tab/>
      </w:r>
      <w:r w:rsidR="0015761B" w:rsidRPr="00C63501">
        <w:rPr>
          <w:rFonts w:ascii="SimSun" w:hint="eastAsia"/>
          <w:sz w:val="21"/>
          <w:lang w:eastAsia="zh-CN"/>
        </w:rPr>
        <w:t>知识产权局业务解决方案计划还为许多知识产权局提供援助，</w:t>
      </w:r>
      <w:r w:rsidR="0015761B">
        <w:rPr>
          <w:rFonts w:ascii="SimSun" w:hint="eastAsia"/>
          <w:sz w:val="21"/>
          <w:lang w:eastAsia="zh-CN"/>
        </w:rPr>
        <w:t>帮助</w:t>
      </w:r>
      <w:r w:rsidR="008677A8">
        <w:rPr>
          <w:rFonts w:ascii="SimSun" w:hint="eastAsia"/>
          <w:sz w:val="21"/>
          <w:lang w:eastAsia="zh-CN"/>
        </w:rPr>
        <w:t>它</w:t>
      </w:r>
      <w:r w:rsidR="0015761B" w:rsidRPr="00C63501">
        <w:rPr>
          <w:rFonts w:ascii="SimSun" w:hint="eastAsia"/>
          <w:sz w:val="21"/>
          <w:lang w:eastAsia="zh-CN"/>
        </w:rPr>
        <w:t>们</w:t>
      </w:r>
      <w:r w:rsidR="0015761B">
        <w:rPr>
          <w:rFonts w:ascii="SimSun" w:hint="eastAsia"/>
          <w:sz w:val="21"/>
          <w:lang w:eastAsia="zh-CN"/>
        </w:rPr>
        <w:t>提供在线服务，如在线申请、在线公布以及与</w:t>
      </w:r>
      <w:r w:rsidR="0015761B" w:rsidRPr="00C63501">
        <w:rPr>
          <w:rFonts w:ascii="SimSun" w:hint="eastAsia"/>
          <w:sz w:val="21"/>
          <w:lang w:eastAsia="zh-CN"/>
        </w:rPr>
        <w:t>国际数据库</w:t>
      </w:r>
      <w:r w:rsidR="0089034E">
        <w:rPr>
          <w:rFonts w:ascii="SimSun" w:hint="eastAsia"/>
          <w:sz w:val="21"/>
          <w:lang w:eastAsia="zh-CN"/>
        </w:rPr>
        <w:t>进行</w:t>
      </w:r>
      <w:r w:rsidR="0015761B">
        <w:rPr>
          <w:rFonts w:ascii="SimSun" w:hint="eastAsia"/>
          <w:sz w:val="21"/>
          <w:lang w:eastAsia="zh-CN"/>
        </w:rPr>
        <w:t>数据交换。</w:t>
      </w:r>
    </w:p>
    <w:p w:rsidR="00DE3F2B" w:rsidRPr="00075559" w:rsidRDefault="00DE3F2B" w:rsidP="00E3521A">
      <w:pPr>
        <w:pStyle w:val="a3"/>
        <w:numPr>
          <w:ilvl w:val="0"/>
          <w:numId w:val="2"/>
        </w:numPr>
        <w:overflowPunct w:val="0"/>
        <w:spacing w:afterLines="50" w:after="120" w:line="340" w:lineRule="atLeast"/>
        <w:ind w:left="5534" w:firstLine="0"/>
        <w:contextualSpacing w:val="0"/>
        <w:jc w:val="both"/>
        <w:rPr>
          <w:rFonts w:ascii="KaiTi" w:eastAsia="KaiTi" w:hAnsi="KaiTi"/>
          <w:i/>
          <w:sz w:val="21"/>
          <w:lang w:eastAsia="zh-CN"/>
        </w:rPr>
      </w:pPr>
      <w:r w:rsidRPr="00075559">
        <w:rPr>
          <w:rFonts w:ascii="KaiTi" w:eastAsia="KaiTi" w:hAnsi="KaiTi" w:hint="eastAsia"/>
          <w:i/>
          <w:sz w:val="21"/>
          <w:lang w:eastAsia="zh-CN"/>
        </w:rPr>
        <w:t>请</w:t>
      </w:r>
      <w:r w:rsidR="00075559" w:rsidRPr="00075559">
        <w:rPr>
          <w:rFonts w:ascii="KaiTi" w:eastAsia="KaiTi" w:hAnsi="KaiTi" w:hint="eastAsia"/>
          <w:i/>
          <w:sz w:val="21"/>
          <w:lang w:eastAsia="zh-CN"/>
        </w:rPr>
        <w:t>WIPO</w:t>
      </w:r>
      <w:r w:rsidRPr="00075559">
        <w:rPr>
          <w:rFonts w:ascii="KaiTi" w:eastAsia="KaiTi" w:hAnsi="KaiTi" w:hint="eastAsia"/>
          <w:i/>
          <w:sz w:val="21"/>
          <w:lang w:eastAsia="zh-CN"/>
        </w:rPr>
        <w:t>大会</w:t>
      </w:r>
      <w:r w:rsidR="007B26F1" w:rsidRPr="00C63501">
        <w:rPr>
          <w:rFonts w:ascii="KaiTi" w:eastAsia="KaiTi" w:hAnsi="KaiTi" w:hint="eastAsia"/>
          <w:i/>
          <w:sz w:val="21"/>
          <w:lang w:eastAsia="zh-CN"/>
        </w:rPr>
        <w:t>注意</w:t>
      </w:r>
      <w:r w:rsidR="007B26F1">
        <w:rPr>
          <w:rFonts w:ascii="KaiTi" w:eastAsia="KaiTi" w:hAnsi="KaiTi" w:hint="eastAsia"/>
          <w:i/>
          <w:sz w:val="21"/>
          <w:lang w:eastAsia="zh-CN"/>
        </w:rPr>
        <w:t>“根据《〈专利法条约〉外交会议议定声明》开展的合作”(</w:t>
      </w:r>
      <w:r w:rsidR="007B26F1" w:rsidRPr="00C63501">
        <w:rPr>
          <w:rFonts w:ascii="KaiTi" w:eastAsia="KaiTi" w:hAnsi="KaiTi" w:hint="eastAsia"/>
          <w:i/>
          <w:sz w:val="21"/>
          <w:lang w:eastAsia="zh-CN"/>
        </w:rPr>
        <w:t>文件</w:t>
      </w:r>
      <w:r w:rsidR="007B26F1">
        <w:rPr>
          <w:rFonts w:ascii="KaiTi" w:eastAsia="KaiTi" w:hAnsi="KaiTi" w:hint="eastAsia"/>
          <w:i/>
          <w:sz w:val="21"/>
          <w:lang w:eastAsia="zh-CN"/>
        </w:rPr>
        <w:t>WO/GA/47/15)</w:t>
      </w:r>
      <w:r w:rsidRPr="00075559">
        <w:rPr>
          <w:rFonts w:ascii="KaiTi" w:eastAsia="KaiTi" w:hAnsi="KaiTi" w:hint="eastAsia"/>
          <w:i/>
          <w:sz w:val="21"/>
          <w:lang w:eastAsia="zh-CN"/>
        </w:rPr>
        <w:t>。</w:t>
      </w:r>
    </w:p>
    <w:p w:rsidR="00075559" w:rsidRDefault="00075559" w:rsidP="00075559">
      <w:pPr>
        <w:overflowPunct w:val="0"/>
        <w:spacing w:afterLines="50" w:after="120" w:line="340" w:lineRule="atLeast"/>
        <w:ind w:left="5534"/>
        <w:jc w:val="both"/>
        <w:rPr>
          <w:rFonts w:ascii="KaiTi" w:eastAsia="KaiTi" w:hAnsi="KaiTi"/>
          <w:sz w:val="21"/>
          <w:lang w:eastAsia="zh-CN"/>
        </w:rPr>
      </w:pPr>
    </w:p>
    <w:p w:rsidR="0094419E" w:rsidRPr="00075559" w:rsidRDefault="00DE3F2B" w:rsidP="00075559">
      <w:pPr>
        <w:overflowPunct w:val="0"/>
        <w:spacing w:afterLines="50" w:after="120" w:line="340" w:lineRule="atLeast"/>
        <w:ind w:left="5534"/>
        <w:jc w:val="both"/>
        <w:rPr>
          <w:rFonts w:ascii="KaiTi" w:eastAsia="KaiTi" w:hAnsi="KaiTi"/>
          <w:sz w:val="21"/>
          <w:lang w:eastAsia="zh-CN"/>
        </w:rPr>
      </w:pPr>
      <w:r w:rsidRPr="00075559">
        <w:rPr>
          <w:rFonts w:ascii="KaiTi" w:eastAsia="KaiTi" w:hAnsi="KaiTi" w:hint="eastAsia"/>
          <w:sz w:val="21"/>
          <w:lang w:eastAsia="zh-CN"/>
        </w:rPr>
        <w:t>[文件完]</w:t>
      </w:r>
    </w:p>
    <w:sectPr w:rsidR="0094419E" w:rsidRPr="00075559" w:rsidSect="00AD6DDB">
      <w:headerReference w:type="default" r:id="rId9"/>
      <w:pgSz w:w="11906" w:h="16838" w:code="9"/>
      <w:pgMar w:top="567" w:right="1134" w:bottom="1418" w:left="1418" w:header="510" w:footer="1021"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DDB" w:rsidRDefault="00AD6DDB" w:rsidP="00AD6DDB">
      <w:pPr>
        <w:spacing w:after="0" w:line="240" w:lineRule="auto"/>
      </w:pPr>
      <w:r>
        <w:separator/>
      </w:r>
    </w:p>
  </w:endnote>
  <w:endnote w:type="continuationSeparator" w:id="0">
    <w:p w:rsidR="00AD6DDB" w:rsidRDefault="00AD6DDB" w:rsidP="00AD6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DDB" w:rsidRDefault="00AD6DDB" w:rsidP="00AD6DDB">
      <w:pPr>
        <w:spacing w:after="0" w:line="240" w:lineRule="auto"/>
      </w:pPr>
      <w:r>
        <w:separator/>
      </w:r>
    </w:p>
  </w:footnote>
  <w:footnote w:type="continuationSeparator" w:id="0">
    <w:p w:rsidR="00AD6DDB" w:rsidRDefault="00AD6DDB" w:rsidP="00AD6DDB">
      <w:pPr>
        <w:spacing w:after="0" w:line="240" w:lineRule="auto"/>
      </w:pPr>
      <w:r>
        <w:continuationSeparator/>
      </w:r>
    </w:p>
  </w:footnote>
  <w:footnote w:id="1">
    <w:p w:rsidR="00077A76" w:rsidRPr="00B51411" w:rsidRDefault="00077A76" w:rsidP="00E2748D">
      <w:pPr>
        <w:pStyle w:val="a7"/>
        <w:jc w:val="both"/>
        <w:rPr>
          <w:rFonts w:ascii="SimSun"/>
        </w:rPr>
      </w:pPr>
      <w:r w:rsidRPr="00E3521A">
        <w:rPr>
          <w:rStyle w:val="a8"/>
          <w:rFonts w:ascii="SimSun" w:hAnsi="SimSun"/>
        </w:rPr>
        <w:footnoteRef/>
      </w:r>
      <w:r w:rsidRPr="00E3521A">
        <w:rPr>
          <w:rFonts w:ascii="SimSun" w:hAnsi="SimSun"/>
        </w:rPr>
        <w:t xml:space="preserve"> </w:t>
      </w:r>
      <w:r w:rsidRPr="00E3521A">
        <w:rPr>
          <w:rFonts w:ascii="SimSun" w:hAnsi="SimSun"/>
        </w:rPr>
        <w:tab/>
      </w:r>
      <w:r w:rsidRPr="00B51411">
        <w:rPr>
          <w:rFonts w:ascii="SimSun" w:hint="eastAsia"/>
          <w:color w:val="000000"/>
        </w:rPr>
        <w:t>参见《通过〈专利法条约〉的外交会议记录》(WIPO第327号出版物)中所载的第一主要委员会的《简要记录》第2556和2563段。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559" w:rsidRPr="00075559" w:rsidRDefault="00075559" w:rsidP="00075559">
    <w:pPr>
      <w:pStyle w:val="a4"/>
      <w:pBdr>
        <w:bottom w:val="none" w:sz="0" w:space="0" w:color="auto"/>
      </w:pBdr>
      <w:tabs>
        <w:tab w:val="clear" w:pos="4513"/>
        <w:tab w:val="clear" w:pos="9026"/>
      </w:tabs>
      <w:spacing w:after="0"/>
      <w:jc w:val="right"/>
      <w:rPr>
        <w:rFonts w:ascii="SimSun" w:hAnsi="SimSun"/>
        <w:sz w:val="21"/>
        <w:lang w:eastAsia="zh-CN"/>
      </w:rPr>
    </w:pPr>
    <w:r w:rsidRPr="00075559">
      <w:rPr>
        <w:rFonts w:ascii="SimSun" w:hAnsi="SimSun" w:hint="eastAsia"/>
        <w:sz w:val="21"/>
        <w:lang w:eastAsia="zh-CN"/>
      </w:rPr>
      <w:t>WO/GA/47/1</w:t>
    </w:r>
    <w:r w:rsidR="007B26F1">
      <w:rPr>
        <w:rFonts w:ascii="SimSun" w:hAnsi="SimSun" w:hint="eastAsia"/>
        <w:sz w:val="21"/>
        <w:lang w:eastAsia="zh-CN"/>
      </w:rPr>
      <w:t>5</w:t>
    </w:r>
  </w:p>
  <w:p w:rsidR="00075559" w:rsidRDefault="00075559" w:rsidP="00075559">
    <w:pPr>
      <w:pStyle w:val="a4"/>
      <w:pBdr>
        <w:bottom w:val="none" w:sz="0" w:space="0" w:color="auto"/>
      </w:pBdr>
      <w:tabs>
        <w:tab w:val="clear" w:pos="4513"/>
        <w:tab w:val="clear" w:pos="9026"/>
      </w:tabs>
      <w:spacing w:after="0"/>
      <w:jc w:val="right"/>
      <w:rPr>
        <w:rFonts w:ascii="SimSun" w:hAnsi="SimSun"/>
        <w:sz w:val="21"/>
        <w:lang w:eastAsia="zh-CN"/>
      </w:rPr>
    </w:pPr>
    <w:r w:rsidRPr="00075559">
      <w:rPr>
        <w:rFonts w:ascii="SimSun" w:hAnsi="SimSun" w:hint="eastAsia"/>
        <w:sz w:val="21"/>
        <w:lang w:eastAsia="zh-CN"/>
      </w:rPr>
      <w:t>第</w:t>
    </w:r>
    <w:r w:rsidRPr="00075559">
      <w:rPr>
        <w:rFonts w:ascii="SimSun" w:hAnsi="SimSun"/>
        <w:sz w:val="21"/>
        <w:lang w:eastAsia="zh-CN"/>
      </w:rPr>
      <w:fldChar w:fldCharType="begin"/>
    </w:r>
    <w:r w:rsidRPr="00075559">
      <w:rPr>
        <w:rFonts w:ascii="SimSun" w:hAnsi="SimSun"/>
        <w:sz w:val="21"/>
        <w:lang w:eastAsia="zh-CN"/>
      </w:rPr>
      <w:instrText>PAGE   \* MERGEFORMAT</w:instrText>
    </w:r>
    <w:r w:rsidRPr="00075559">
      <w:rPr>
        <w:rFonts w:ascii="SimSun" w:hAnsi="SimSun"/>
        <w:sz w:val="21"/>
        <w:lang w:eastAsia="zh-CN"/>
      </w:rPr>
      <w:fldChar w:fldCharType="separate"/>
    </w:r>
    <w:r w:rsidR="00750A3E" w:rsidRPr="00750A3E">
      <w:rPr>
        <w:rFonts w:ascii="SimSun" w:hAnsi="SimSun"/>
        <w:noProof/>
        <w:sz w:val="21"/>
        <w:lang w:val="zh-CN" w:eastAsia="zh-CN"/>
      </w:rPr>
      <w:t>2</w:t>
    </w:r>
    <w:r w:rsidRPr="00075559">
      <w:rPr>
        <w:rFonts w:ascii="SimSun" w:hAnsi="SimSun"/>
        <w:sz w:val="21"/>
        <w:lang w:eastAsia="zh-CN"/>
      </w:rPr>
      <w:fldChar w:fldCharType="end"/>
    </w:r>
    <w:r w:rsidRPr="00075559">
      <w:rPr>
        <w:rFonts w:ascii="SimSun" w:hAnsi="SimSun" w:hint="eastAsia"/>
        <w:sz w:val="21"/>
        <w:lang w:eastAsia="zh-CN"/>
      </w:rPr>
      <w:t>页</w:t>
    </w:r>
  </w:p>
  <w:p w:rsidR="00075559" w:rsidRDefault="00075559" w:rsidP="00075559">
    <w:pPr>
      <w:pStyle w:val="a4"/>
      <w:pBdr>
        <w:bottom w:val="none" w:sz="0" w:space="0" w:color="auto"/>
      </w:pBdr>
      <w:tabs>
        <w:tab w:val="clear" w:pos="4513"/>
        <w:tab w:val="clear" w:pos="9026"/>
      </w:tabs>
      <w:spacing w:after="0"/>
      <w:jc w:val="right"/>
      <w:rPr>
        <w:rFonts w:ascii="SimSun" w:hAnsi="SimSun"/>
        <w:sz w:val="21"/>
        <w:lang w:eastAsia="zh-CN"/>
      </w:rPr>
    </w:pPr>
  </w:p>
  <w:p w:rsidR="00075559" w:rsidRPr="00075559" w:rsidRDefault="00075559" w:rsidP="00075559">
    <w:pPr>
      <w:pStyle w:val="a4"/>
      <w:pBdr>
        <w:bottom w:val="none" w:sz="0" w:space="0" w:color="auto"/>
      </w:pBdr>
      <w:tabs>
        <w:tab w:val="clear" w:pos="4513"/>
        <w:tab w:val="clear" w:pos="9026"/>
      </w:tabs>
      <w:spacing w:after="0"/>
      <w:jc w:val="right"/>
      <w:rPr>
        <w:rFonts w:ascii="SimSun" w:hAnsi="SimSun"/>
        <w:sz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3D6562"/>
    <w:multiLevelType w:val="hybridMultilevel"/>
    <w:tmpl w:val="4EAEBF6A"/>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A893E14"/>
    <w:multiLevelType w:val="hybridMultilevel"/>
    <w:tmpl w:val="6D6092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568"/>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400"/>
    <w:rsid w:val="00002D88"/>
    <w:rsid w:val="00075559"/>
    <w:rsid w:val="00077A76"/>
    <w:rsid w:val="000921C6"/>
    <w:rsid w:val="000E7E07"/>
    <w:rsid w:val="0015761B"/>
    <w:rsid w:val="001C6D06"/>
    <w:rsid w:val="002F1346"/>
    <w:rsid w:val="00393AB7"/>
    <w:rsid w:val="00425663"/>
    <w:rsid w:val="00442ECE"/>
    <w:rsid w:val="00534400"/>
    <w:rsid w:val="00534565"/>
    <w:rsid w:val="00557384"/>
    <w:rsid w:val="005A6449"/>
    <w:rsid w:val="00627E13"/>
    <w:rsid w:val="0063398B"/>
    <w:rsid w:val="006E5B70"/>
    <w:rsid w:val="00750A3E"/>
    <w:rsid w:val="00766BAB"/>
    <w:rsid w:val="007B26F1"/>
    <w:rsid w:val="007F52F5"/>
    <w:rsid w:val="008470FA"/>
    <w:rsid w:val="008677A8"/>
    <w:rsid w:val="0089034E"/>
    <w:rsid w:val="008D6C2D"/>
    <w:rsid w:val="00934194"/>
    <w:rsid w:val="00953D3A"/>
    <w:rsid w:val="00957C44"/>
    <w:rsid w:val="00975436"/>
    <w:rsid w:val="00982153"/>
    <w:rsid w:val="009A2D8D"/>
    <w:rsid w:val="00A863B8"/>
    <w:rsid w:val="00AD6DDB"/>
    <w:rsid w:val="00AF1C06"/>
    <w:rsid w:val="00AF72BF"/>
    <w:rsid w:val="00AF7FD9"/>
    <w:rsid w:val="00BC0FA5"/>
    <w:rsid w:val="00DE3F2B"/>
    <w:rsid w:val="00DE4CE3"/>
    <w:rsid w:val="00E2748D"/>
    <w:rsid w:val="00E3521A"/>
    <w:rsid w:val="00E62D05"/>
    <w:rsid w:val="00F540D2"/>
    <w:rsid w:val="00FF4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iPriority w:val="99"/>
    <w:unhideWhenUsed/>
    <w:rsid w:val="00AD6DDB"/>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0"/>
    <w:link w:val="a4"/>
    <w:uiPriority w:val="99"/>
    <w:rsid w:val="00AD6DDB"/>
    <w:rPr>
      <w:sz w:val="18"/>
      <w:szCs w:val="18"/>
      <w:lang w:eastAsia="en-US"/>
    </w:rPr>
  </w:style>
  <w:style w:type="paragraph" w:styleId="a5">
    <w:name w:val="footer"/>
    <w:basedOn w:val="a"/>
    <w:link w:val="Char0"/>
    <w:uiPriority w:val="99"/>
    <w:unhideWhenUsed/>
    <w:rsid w:val="00AD6DDB"/>
    <w:pPr>
      <w:tabs>
        <w:tab w:val="center" w:pos="4513"/>
        <w:tab w:val="right" w:pos="9026"/>
      </w:tabs>
      <w:snapToGrid w:val="0"/>
      <w:spacing w:line="240" w:lineRule="auto"/>
    </w:pPr>
    <w:rPr>
      <w:sz w:val="18"/>
      <w:szCs w:val="18"/>
    </w:rPr>
  </w:style>
  <w:style w:type="character" w:customStyle="1" w:styleId="Char0">
    <w:name w:val="页脚 Char"/>
    <w:basedOn w:val="a0"/>
    <w:link w:val="a5"/>
    <w:uiPriority w:val="99"/>
    <w:rsid w:val="00AD6DDB"/>
    <w:rPr>
      <w:sz w:val="18"/>
      <w:szCs w:val="18"/>
      <w:lang w:eastAsia="en-US"/>
    </w:rPr>
  </w:style>
  <w:style w:type="paragraph" w:customStyle="1" w:styleId="Default">
    <w:name w:val="Default"/>
    <w:rsid w:val="00075559"/>
    <w:pPr>
      <w:widowControl w:val="0"/>
      <w:autoSpaceDE w:val="0"/>
      <w:autoSpaceDN w:val="0"/>
      <w:adjustRightInd w:val="0"/>
    </w:pPr>
    <w:rPr>
      <w:rFonts w:ascii="SimSun" w:cs="SimSun"/>
      <w:color w:val="000000"/>
      <w:sz w:val="24"/>
      <w:szCs w:val="24"/>
    </w:rPr>
  </w:style>
  <w:style w:type="paragraph" w:styleId="a6">
    <w:name w:val="Balloon Text"/>
    <w:basedOn w:val="a"/>
    <w:link w:val="Char1"/>
    <w:uiPriority w:val="99"/>
    <w:semiHidden/>
    <w:unhideWhenUsed/>
    <w:rsid w:val="00075559"/>
    <w:pPr>
      <w:spacing w:after="0" w:line="240" w:lineRule="auto"/>
    </w:pPr>
    <w:rPr>
      <w:sz w:val="18"/>
      <w:szCs w:val="18"/>
    </w:rPr>
  </w:style>
  <w:style w:type="character" w:customStyle="1" w:styleId="Char1">
    <w:name w:val="批注框文本 Char"/>
    <w:basedOn w:val="a0"/>
    <w:link w:val="a6"/>
    <w:uiPriority w:val="99"/>
    <w:semiHidden/>
    <w:rsid w:val="00075559"/>
    <w:rPr>
      <w:sz w:val="18"/>
      <w:szCs w:val="18"/>
      <w:lang w:eastAsia="en-US"/>
    </w:rPr>
  </w:style>
  <w:style w:type="paragraph" w:styleId="a7">
    <w:name w:val="footnote text"/>
    <w:basedOn w:val="a"/>
    <w:link w:val="Char2"/>
    <w:semiHidden/>
    <w:rsid w:val="00077A76"/>
    <w:pPr>
      <w:spacing w:after="0" w:line="240" w:lineRule="auto"/>
    </w:pPr>
    <w:rPr>
      <w:rFonts w:ascii="Arial" w:hAnsi="Arial" w:cs="Arial"/>
      <w:sz w:val="18"/>
      <w:szCs w:val="20"/>
      <w:lang w:eastAsia="zh-CN"/>
    </w:rPr>
  </w:style>
  <w:style w:type="character" w:customStyle="1" w:styleId="Char2">
    <w:name w:val="脚注文本 Char"/>
    <w:basedOn w:val="a0"/>
    <w:link w:val="a7"/>
    <w:semiHidden/>
    <w:rsid w:val="00077A76"/>
    <w:rPr>
      <w:rFonts w:ascii="Arial" w:hAnsi="Arial" w:cs="Arial"/>
      <w:sz w:val="18"/>
    </w:rPr>
  </w:style>
  <w:style w:type="character" w:styleId="a8">
    <w:name w:val="footnote reference"/>
    <w:rsid w:val="00077A7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2B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F72BF"/>
    <w:pPr>
      <w:ind w:left="720"/>
      <w:contextualSpacing/>
    </w:pPr>
  </w:style>
  <w:style w:type="paragraph" w:styleId="a4">
    <w:name w:val="header"/>
    <w:basedOn w:val="a"/>
    <w:link w:val="Char"/>
    <w:uiPriority w:val="99"/>
    <w:unhideWhenUsed/>
    <w:rsid w:val="00AD6DDB"/>
    <w:pPr>
      <w:pBdr>
        <w:bottom w:val="single" w:sz="6" w:space="1" w:color="auto"/>
      </w:pBdr>
      <w:tabs>
        <w:tab w:val="center" w:pos="4513"/>
        <w:tab w:val="right" w:pos="9026"/>
      </w:tabs>
      <w:snapToGrid w:val="0"/>
      <w:spacing w:line="240" w:lineRule="auto"/>
      <w:jc w:val="center"/>
    </w:pPr>
    <w:rPr>
      <w:sz w:val="18"/>
      <w:szCs w:val="18"/>
    </w:rPr>
  </w:style>
  <w:style w:type="character" w:customStyle="1" w:styleId="Char">
    <w:name w:val="页眉 Char"/>
    <w:basedOn w:val="a0"/>
    <w:link w:val="a4"/>
    <w:uiPriority w:val="99"/>
    <w:rsid w:val="00AD6DDB"/>
    <w:rPr>
      <w:sz w:val="18"/>
      <w:szCs w:val="18"/>
      <w:lang w:eastAsia="en-US"/>
    </w:rPr>
  </w:style>
  <w:style w:type="paragraph" w:styleId="a5">
    <w:name w:val="footer"/>
    <w:basedOn w:val="a"/>
    <w:link w:val="Char0"/>
    <w:uiPriority w:val="99"/>
    <w:unhideWhenUsed/>
    <w:rsid w:val="00AD6DDB"/>
    <w:pPr>
      <w:tabs>
        <w:tab w:val="center" w:pos="4513"/>
        <w:tab w:val="right" w:pos="9026"/>
      </w:tabs>
      <w:snapToGrid w:val="0"/>
      <w:spacing w:line="240" w:lineRule="auto"/>
    </w:pPr>
    <w:rPr>
      <w:sz w:val="18"/>
      <w:szCs w:val="18"/>
    </w:rPr>
  </w:style>
  <w:style w:type="character" w:customStyle="1" w:styleId="Char0">
    <w:name w:val="页脚 Char"/>
    <w:basedOn w:val="a0"/>
    <w:link w:val="a5"/>
    <w:uiPriority w:val="99"/>
    <w:rsid w:val="00AD6DDB"/>
    <w:rPr>
      <w:sz w:val="18"/>
      <w:szCs w:val="18"/>
      <w:lang w:eastAsia="en-US"/>
    </w:rPr>
  </w:style>
  <w:style w:type="paragraph" w:customStyle="1" w:styleId="Default">
    <w:name w:val="Default"/>
    <w:rsid w:val="00075559"/>
    <w:pPr>
      <w:widowControl w:val="0"/>
      <w:autoSpaceDE w:val="0"/>
      <w:autoSpaceDN w:val="0"/>
      <w:adjustRightInd w:val="0"/>
    </w:pPr>
    <w:rPr>
      <w:rFonts w:ascii="SimSun" w:cs="SimSun"/>
      <w:color w:val="000000"/>
      <w:sz w:val="24"/>
      <w:szCs w:val="24"/>
    </w:rPr>
  </w:style>
  <w:style w:type="paragraph" w:styleId="a6">
    <w:name w:val="Balloon Text"/>
    <w:basedOn w:val="a"/>
    <w:link w:val="Char1"/>
    <w:uiPriority w:val="99"/>
    <w:semiHidden/>
    <w:unhideWhenUsed/>
    <w:rsid w:val="00075559"/>
    <w:pPr>
      <w:spacing w:after="0" w:line="240" w:lineRule="auto"/>
    </w:pPr>
    <w:rPr>
      <w:sz w:val="18"/>
      <w:szCs w:val="18"/>
    </w:rPr>
  </w:style>
  <w:style w:type="character" w:customStyle="1" w:styleId="Char1">
    <w:name w:val="批注框文本 Char"/>
    <w:basedOn w:val="a0"/>
    <w:link w:val="a6"/>
    <w:uiPriority w:val="99"/>
    <w:semiHidden/>
    <w:rsid w:val="00075559"/>
    <w:rPr>
      <w:sz w:val="18"/>
      <w:szCs w:val="18"/>
      <w:lang w:eastAsia="en-US"/>
    </w:rPr>
  </w:style>
  <w:style w:type="paragraph" w:styleId="a7">
    <w:name w:val="footnote text"/>
    <w:basedOn w:val="a"/>
    <w:link w:val="Char2"/>
    <w:semiHidden/>
    <w:rsid w:val="00077A76"/>
    <w:pPr>
      <w:spacing w:after="0" w:line="240" w:lineRule="auto"/>
    </w:pPr>
    <w:rPr>
      <w:rFonts w:ascii="Arial" w:hAnsi="Arial" w:cs="Arial"/>
      <w:sz w:val="18"/>
      <w:szCs w:val="20"/>
      <w:lang w:eastAsia="zh-CN"/>
    </w:rPr>
  </w:style>
  <w:style w:type="character" w:customStyle="1" w:styleId="Char2">
    <w:name w:val="脚注文本 Char"/>
    <w:basedOn w:val="a0"/>
    <w:link w:val="a7"/>
    <w:semiHidden/>
    <w:rsid w:val="00077A76"/>
    <w:rPr>
      <w:rFonts w:ascii="Arial" w:hAnsi="Arial" w:cs="Arial"/>
      <w:sz w:val="18"/>
    </w:rPr>
  </w:style>
  <w:style w:type="character" w:styleId="a8">
    <w:name w:val="footnote reference"/>
    <w:rsid w:val="00077A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3</Pages>
  <Words>447</Words>
  <Characters>2551</Characters>
  <Application>Microsoft Office Word</Application>
  <DocSecurity>0</DocSecurity>
  <Lines>21</Lines>
  <Paragraphs>5</Paragraphs>
  <ScaleCrop>false</ScaleCrop>
  <Company>World Intellectual Property Organization</Company>
  <LinksUpToDate>false</LinksUpToDate>
  <CharactersWithSpaces>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WO/GA/47/15</dc:title>
  <dc:subject>根据《〈专利法条约〉(PLT)外交会议议定声明》开展的合作</dc:subject>
  <dc:creator/>
  <cp:lastModifiedBy>MA Weihai</cp:lastModifiedBy>
  <cp:revision>11</cp:revision>
  <cp:lastPrinted>2015-06-09T15:45:00Z</cp:lastPrinted>
  <dcterms:created xsi:type="dcterms:W3CDTF">2015-06-04T07:52:00Z</dcterms:created>
  <dcterms:modified xsi:type="dcterms:W3CDTF">2015-06-09T16:08:00Z</dcterms:modified>
</cp:coreProperties>
</file>