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C466" w14:textId="77777777" w:rsidR="0074565F" w:rsidRDefault="0074565F" w:rsidP="0074565F">
      <w:pPr>
        <w:jc w:val="right"/>
        <w:rPr>
          <w:rFonts w:ascii="Arial Black" w:hAnsi="Arial Black"/>
          <w:caps/>
          <w:sz w:val="15"/>
        </w:rPr>
      </w:pPr>
      <w:r w:rsidRPr="006149FF">
        <w:rPr>
          <w:rFonts w:cs="Times New Roman"/>
          <w:noProof/>
        </w:rPr>
        <w:drawing>
          <wp:inline distT="0" distB="0" distL="0" distR="0" wp14:anchorId="567CFC69" wp14:editId="13EC2B8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3EF68E1" w14:textId="37DAE418" w:rsidR="0074565F" w:rsidRPr="006E4F5F" w:rsidRDefault="0074565F" w:rsidP="0074565F">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Pr>
          <w:rFonts w:ascii="Arial Black" w:hAnsi="Arial Black"/>
          <w:b/>
          <w:caps/>
          <w:sz w:val="15"/>
        </w:rPr>
        <w:t>5</w:t>
      </w:r>
      <w:r>
        <w:rPr>
          <w:rFonts w:ascii="Arial Black" w:hAnsi="Arial Black" w:hint="eastAsia"/>
          <w:b/>
          <w:caps/>
          <w:sz w:val="15"/>
        </w:rPr>
        <w:t>/</w:t>
      </w:r>
      <w:bookmarkStart w:id="0" w:name="Code"/>
      <w:r>
        <w:rPr>
          <w:rFonts w:ascii="Arial Black" w:hAnsi="Arial Black"/>
          <w:b/>
          <w:caps/>
          <w:sz w:val="15"/>
        </w:rPr>
        <w:t>4</w:t>
      </w:r>
    </w:p>
    <w:bookmarkEnd w:id="0"/>
    <w:p w14:paraId="129741D4" w14:textId="77777777" w:rsidR="0074565F" w:rsidRPr="00E62C24" w:rsidRDefault="0074565F" w:rsidP="0074565F">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14:paraId="4FC51D6F" w14:textId="4741F937" w:rsidR="0074565F" w:rsidRPr="00E62C24" w:rsidRDefault="0074565F" w:rsidP="0074565F">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sidR="00C74119">
        <w:rPr>
          <w:rFonts w:ascii="Arial Black" w:eastAsia="SimHei" w:hAnsi="Arial Black"/>
          <w:b/>
          <w:sz w:val="15"/>
          <w:szCs w:val="15"/>
          <w:lang w:val="pt-BR"/>
        </w:rPr>
        <w:t>9</w:t>
      </w:r>
      <w:r w:rsidRPr="00E62C24">
        <w:rPr>
          <w:rFonts w:ascii="SimHei" w:eastAsia="SimHei" w:hAnsi="Times New Roman" w:hint="eastAsia"/>
          <w:b/>
          <w:sz w:val="15"/>
          <w:szCs w:val="15"/>
        </w:rPr>
        <w:t>月</w:t>
      </w:r>
      <w:r w:rsidR="00C74119">
        <w:rPr>
          <w:rFonts w:ascii="Arial Black" w:eastAsia="SimHei" w:hAnsi="Arial Black"/>
          <w:b/>
          <w:sz w:val="15"/>
          <w:szCs w:val="15"/>
          <w:lang w:val="pt-BR"/>
        </w:rPr>
        <w:t>22</w:t>
      </w:r>
      <w:r w:rsidRPr="00E62C24">
        <w:rPr>
          <w:rFonts w:ascii="SimHei" w:eastAsia="SimHei" w:hAnsi="Times New Roman" w:hint="eastAsia"/>
          <w:b/>
          <w:sz w:val="15"/>
          <w:szCs w:val="15"/>
        </w:rPr>
        <w:t>日</w:t>
      </w:r>
      <w:bookmarkEnd w:id="2"/>
    </w:p>
    <w:p w14:paraId="580706BC" w14:textId="77777777" w:rsidR="0074565F" w:rsidRDefault="0074565F" w:rsidP="0074565F">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14:paraId="209A4B37" w14:textId="77777777" w:rsidR="0074565F" w:rsidRPr="006817EC" w:rsidRDefault="0074565F" w:rsidP="0074565F">
      <w:pPr>
        <w:spacing w:after="600"/>
        <w:rPr>
          <w:rFonts w:ascii="SimHei" w:eastAsia="SimHei"/>
          <w:sz w:val="28"/>
          <w:szCs w:val="28"/>
        </w:rPr>
      </w:pPr>
      <w:r w:rsidRPr="002C3C65">
        <w:rPr>
          <w:rFonts w:ascii="SimHei" w:eastAsia="SimHei" w:hint="eastAsia"/>
          <w:sz w:val="28"/>
          <w:szCs w:val="28"/>
        </w:rPr>
        <w:t>大　会</w:t>
      </w:r>
    </w:p>
    <w:p w14:paraId="5A444C8E" w14:textId="77777777" w:rsidR="0074565F" w:rsidRPr="00C23019" w:rsidRDefault="0074565F" w:rsidP="0074565F">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五</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sz w:val="24"/>
          <w:szCs w:val="24"/>
        </w:rPr>
        <w:t>4</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w:t>
      </w:r>
      <w:r>
        <w:rPr>
          <w:rFonts w:ascii="KaiTi" w:eastAsia="KaiTi" w:hAnsi="KaiTi" w:cs="Times New Roman" w:hint="eastAsia"/>
          <w:sz w:val="24"/>
          <w:szCs w:val="24"/>
          <w:lang w:val="fr-FR"/>
        </w:rPr>
        <w:t>2</w:t>
      </w:r>
      <w:r>
        <w:rPr>
          <w:rFonts w:ascii="KaiTi" w:eastAsia="KaiTi" w:hAnsi="KaiTi" w:cs="Times New Roman"/>
          <w:sz w:val="24"/>
          <w:szCs w:val="24"/>
          <w:lang w:val="fr-FR"/>
        </w:rPr>
        <w:t>3</w:t>
      </w:r>
      <w:r w:rsidRPr="002C3C65">
        <w:rPr>
          <w:rFonts w:ascii="KaiTi" w:eastAsia="KaiTi" w:hAnsi="KaiTi" w:hint="eastAsia"/>
          <w:b/>
          <w:sz w:val="24"/>
          <w:szCs w:val="24"/>
          <w:lang w:val="fr-FR" w:eastAsia="ja-JP"/>
        </w:rPr>
        <w:t>年</w:t>
      </w:r>
      <w:r>
        <w:rPr>
          <w:rFonts w:ascii="KaiTi" w:eastAsia="KaiTi" w:hAnsi="KaiTi"/>
          <w:sz w:val="24"/>
          <w:szCs w:val="24"/>
          <w:lang w:val="fr-FR"/>
        </w:rPr>
        <w:t>7</w:t>
      </w:r>
      <w:r w:rsidRPr="002C3C65">
        <w:rPr>
          <w:rFonts w:ascii="KaiTi" w:eastAsia="KaiTi" w:hAnsi="KaiTi" w:hint="eastAsia"/>
          <w:b/>
          <w:sz w:val="24"/>
          <w:szCs w:val="24"/>
          <w:lang w:val="fr-FR" w:eastAsia="ja-JP"/>
        </w:rPr>
        <w:t>月</w:t>
      </w:r>
      <w:r>
        <w:rPr>
          <w:rFonts w:ascii="KaiTi" w:eastAsia="KaiTi" w:hAnsi="KaiTi" w:cs="Times New Roman"/>
          <w:sz w:val="24"/>
          <w:szCs w:val="24"/>
          <w:lang w:val="fr-FR"/>
        </w:rPr>
        <w:t>6</w:t>
      </w:r>
      <w:r w:rsidRPr="002C3C65">
        <w:rPr>
          <w:rFonts w:ascii="KaiTi" w:eastAsia="KaiTi" w:hAnsi="KaiTi" w:hint="eastAsia"/>
          <w:b/>
          <w:sz w:val="24"/>
          <w:szCs w:val="24"/>
          <w:lang w:val="fr-FR" w:eastAsia="ja-JP"/>
        </w:rPr>
        <w:t>日至</w:t>
      </w:r>
      <w:r>
        <w:rPr>
          <w:rFonts w:ascii="KaiTi" w:eastAsia="KaiTi" w:hAnsi="KaiTi" w:cs="Times New Roman"/>
          <w:sz w:val="24"/>
          <w:szCs w:val="24"/>
          <w:lang w:val="fr-FR"/>
        </w:rPr>
        <w:t>14</w:t>
      </w:r>
      <w:r w:rsidRPr="002C3C65">
        <w:rPr>
          <w:rFonts w:ascii="KaiTi" w:eastAsia="KaiTi" w:hAnsi="KaiTi" w:hint="eastAsia"/>
          <w:b/>
          <w:sz w:val="24"/>
          <w:szCs w:val="24"/>
          <w:lang w:val="fr-FR" w:eastAsia="ja-JP"/>
        </w:rPr>
        <w:t>日，日内瓦</w:t>
      </w:r>
    </w:p>
    <w:p w14:paraId="0939B9AF" w14:textId="1E0BE575" w:rsidR="0074565F" w:rsidRPr="00C23019" w:rsidRDefault="0074565F" w:rsidP="0074565F">
      <w:pPr>
        <w:spacing w:after="360"/>
        <w:rPr>
          <w:rFonts w:ascii="KaiTi" w:eastAsia="KaiTi" w:hAnsi="KaiTi" w:cs="Times New Roman"/>
          <w:kern w:val="2"/>
          <w:sz w:val="24"/>
          <w:szCs w:val="32"/>
        </w:rPr>
      </w:pPr>
      <w:bookmarkStart w:id="3" w:name="TitleOfDoc"/>
      <w:r>
        <w:rPr>
          <w:rFonts w:ascii="KaiTi" w:eastAsia="KaiTi" w:hAnsi="KaiTi" w:cs="Times New Roman" w:hint="eastAsia"/>
          <w:kern w:val="2"/>
          <w:sz w:val="24"/>
          <w:szCs w:val="32"/>
        </w:rPr>
        <w:t>报</w:t>
      </w:r>
      <w:r w:rsidR="00C74119">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14:paraId="069516BD" w14:textId="579757F7" w:rsidR="0074565F" w:rsidRPr="00C20CD1" w:rsidRDefault="00C74119" w:rsidP="0074565F">
      <w:pPr>
        <w:overflowPunct w:val="0"/>
        <w:spacing w:after="960"/>
        <w:rPr>
          <w:rFonts w:ascii="SimSun" w:hAnsi="SimSun" w:cs="Times New Roman"/>
          <w:noProof/>
          <w:kern w:val="2"/>
          <w:sz w:val="21"/>
          <w:szCs w:val="21"/>
        </w:rPr>
      </w:pPr>
      <w:bookmarkStart w:id="4" w:name="Prepared"/>
      <w:bookmarkEnd w:id="3"/>
      <w:r>
        <w:rPr>
          <w:rFonts w:ascii="KaiTi" w:eastAsia="KaiTi" w:hAnsi="KaiTi" w:hint="eastAsia"/>
          <w:sz w:val="21"/>
          <w:szCs w:val="21"/>
        </w:rPr>
        <w:t>经大会通过</w:t>
      </w:r>
    </w:p>
    <w:bookmarkEnd w:id="4"/>
    <w:p w14:paraId="209611ED" w14:textId="77777777" w:rsidR="002928D3" w:rsidRPr="00255033" w:rsidRDefault="008C218C" w:rsidP="00FE0182">
      <w:pPr>
        <w:pStyle w:val="ONUME"/>
        <w:tabs>
          <w:tab w:val="clear" w:pos="567"/>
        </w:tabs>
        <w:overflowPunct w:val="0"/>
        <w:spacing w:afterLines="50" w:after="120" w:line="340" w:lineRule="atLeast"/>
        <w:jc w:val="both"/>
        <w:rPr>
          <w:rFonts w:ascii="SimSun" w:hAnsi="SimSun"/>
          <w:sz w:val="21"/>
        </w:rPr>
      </w:pPr>
      <w:proofErr w:type="gramStart"/>
      <w:r w:rsidRPr="00255033">
        <w:rPr>
          <w:rFonts w:ascii="SimSun" w:hAnsi="SimSun" w:hint="eastAsia"/>
          <w:sz w:val="21"/>
        </w:rPr>
        <w:t>本大会</w:t>
      </w:r>
      <w:proofErr w:type="gramEnd"/>
      <w:r w:rsidRPr="00255033">
        <w:rPr>
          <w:rFonts w:ascii="SimSun" w:hAnsi="SimSun" w:hint="eastAsia"/>
          <w:sz w:val="21"/>
        </w:rPr>
        <w:t>涉及统一编排议程（文件A/6</w:t>
      </w:r>
      <w:r w:rsidRPr="00255033">
        <w:rPr>
          <w:rFonts w:ascii="SimSun" w:hAnsi="SimSun"/>
          <w:sz w:val="21"/>
        </w:rPr>
        <w:t>4</w:t>
      </w:r>
      <w:r w:rsidRPr="00255033">
        <w:rPr>
          <w:rFonts w:ascii="SimSun" w:hAnsi="SimSun" w:hint="eastAsia"/>
          <w:sz w:val="21"/>
        </w:rPr>
        <w:t>/1）的下列项目：第</w:t>
      </w:r>
      <w:r w:rsidR="00322E63" w:rsidRPr="00255033">
        <w:rPr>
          <w:rFonts w:ascii="SimSun" w:hAnsi="SimSun"/>
          <w:sz w:val="21"/>
        </w:rPr>
        <w:t>1</w:t>
      </w:r>
      <w:r w:rsidRPr="00255033">
        <w:rPr>
          <w:rFonts w:ascii="SimSun" w:hAnsi="SimSun" w:hint="eastAsia"/>
          <w:sz w:val="21"/>
        </w:rPr>
        <w:t>至</w:t>
      </w:r>
      <w:r w:rsidR="00322E63" w:rsidRPr="00255033">
        <w:rPr>
          <w:rFonts w:ascii="SimSun" w:hAnsi="SimSun"/>
          <w:sz w:val="21"/>
        </w:rPr>
        <w:t>6</w:t>
      </w:r>
      <w:r w:rsidRPr="00255033">
        <w:rPr>
          <w:rFonts w:ascii="SimSun" w:hAnsi="SimSun" w:hint="eastAsia"/>
          <w:sz w:val="21"/>
        </w:rPr>
        <w:t>、</w:t>
      </w:r>
      <w:r w:rsidR="00322E63" w:rsidRPr="00255033">
        <w:rPr>
          <w:rFonts w:ascii="SimSun" w:hAnsi="SimSun"/>
          <w:sz w:val="21"/>
        </w:rPr>
        <w:t>9</w:t>
      </w:r>
      <w:r w:rsidRPr="00255033">
        <w:rPr>
          <w:rFonts w:ascii="SimSun" w:hAnsi="SimSun" w:hint="eastAsia"/>
          <w:sz w:val="21"/>
        </w:rPr>
        <w:t>、</w:t>
      </w:r>
      <w:r w:rsidR="00322E63" w:rsidRPr="00255033">
        <w:rPr>
          <w:rFonts w:ascii="SimSun" w:hAnsi="SimSun"/>
          <w:sz w:val="21"/>
        </w:rPr>
        <w:t>10(ii)</w:t>
      </w:r>
      <w:r w:rsidRPr="00255033">
        <w:rPr>
          <w:rFonts w:ascii="SimSun" w:hAnsi="SimSun" w:hint="eastAsia"/>
          <w:sz w:val="21"/>
        </w:rPr>
        <w:t>、</w:t>
      </w:r>
      <w:r w:rsidR="00322E63" w:rsidRPr="00255033">
        <w:rPr>
          <w:rFonts w:ascii="SimSun" w:hAnsi="SimSun"/>
          <w:sz w:val="21"/>
        </w:rPr>
        <w:t>12</w:t>
      </w:r>
      <w:r w:rsidRPr="00255033">
        <w:rPr>
          <w:rFonts w:ascii="SimSun" w:hAnsi="SimSun" w:hint="eastAsia"/>
          <w:sz w:val="21"/>
        </w:rPr>
        <w:t>、</w:t>
      </w:r>
      <w:r w:rsidR="00322E63" w:rsidRPr="00255033">
        <w:rPr>
          <w:rFonts w:ascii="SimSun" w:hAnsi="SimSun"/>
          <w:sz w:val="21"/>
        </w:rPr>
        <w:t>14</w:t>
      </w:r>
      <w:r w:rsidRPr="00255033">
        <w:rPr>
          <w:rFonts w:ascii="SimSun" w:hAnsi="SimSun" w:hint="eastAsia"/>
          <w:sz w:val="21"/>
        </w:rPr>
        <w:t>、</w:t>
      </w:r>
      <w:r w:rsidR="00322E63" w:rsidRPr="00255033">
        <w:rPr>
          <w:rFonts w:ascii="SimSun" w:hAnsi="SimSun"/>
          <w:sz w:val="21"/>
        </w:rPr>
        <w:t>21</w:t>
      </w:r>
      <w:r w:rsidRPr="00255033">
        <w:rPr>
          <w:rFonts w:ascii="SimSun" w:hAnsi="SimSun" w:hint="eastAsia"/>
          <w:sz w:val="21"/>
        </w:rPr>
        <w:t>、</w:t>
      </w:r>
      <w:r w:rsidR="00322E63" w:rsidRPr="00255033">
        <w:rPr>
          <w:rFonts w:ascii="SimSun" w:hAnsi="SimSun"/>
          <w:sz w:val="21"/>
        </w:rPr>
        <w:t>2</w:t>
      </w:r>
      <w:r w:rsidR="00F30A15">
        <w:rPr>
          <w:rFonts w:ascii="SimSun" w:hAnsi="SimSun"/>
          <w:sz w:val="21"/>
        </w:rPr>
        <w:t>6</w:t>
      </w:r>
      <w:r w:rsidRPr="00255033">
        <w:rPr>
          <w:rFonts w:ascii="SimSun" w:hAnsi="SimSun" w:hint="eastAsia"/>
          <w:sz w:val="21"/>
        </w:rPr>
        <w:t>和</w:t>
      </w:r>
      <w:r w:rsidR="00322E63" w:rsidRPr="00255033">
        <w:rPr>
          <w:rFonts w:ascii="SimSun" w:hAnsi="SimSun"/>
          <w:sz w:val="21"/>
        </w:rPr>
        <w:t>2</w:t>
      </w:r>
      <w:r w:rsidR="00F30A15">
        <w:rPr>
          <w:rFonts w:ascii="SimSun" w:hAnsi="SimSun"/>
          <w:sz w:val="21"/>
        </w:rPr>
        <w:t>7</w:t>
      </w:r>
      <w:r w:rsidRPr="00255033">
        <w:rPr>
          <w:rFonts w:ascii="SimSun" w:hAnsi="SimSun" w:hint="eastAsia"/>
          <w:sz w:val="21"/>
        </w:rPr>
        <w:t>项。</w:t>
      </w:r>
    </w:p>
    <w:p w14:paraId="383A6C97" w14:textId="19635742" w:rsidR="00322E63" w:rsidRPr="00255033" w:rsidRDefault="008C218C"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除第1</w:t>
      </w:r>
      <w:r w:rsidRPr="00255033">
        <w:rPr>
          <w:rFonts w:ascii="SimSun" w:hAnsi="SimSun"/>
          <w:sz w:val="21"/>
        </w:rPr>
        <w:t>4</w:t>
      </w:r>
      <w:r w:rsidRPr="00255033">
        <w:rPr>
          <w:rFonts w:ascii="SimSun" w:hAnsi="SimSun" w:hint="eastAsia"/>
          <w:sz w:val="21"/>
        </w:rPr>
        <w:t>项外，关于上述各项的报告均载于总报告（文件A/6</w:t>
      </w:r>
      <w:r w:rsidRPr="00255033">
        <w:rPr>
          <w:rFonts w:ascii="SimSun" w:hAnsi="SimSun"/>
          <w:sz w:val="21"/>
        </w:rPr>
        <w:t>4</w:t>
      </w:r>
      <w:r w:rsidRPr="00255033">
        <w:rPr>
          <w:rFonts w:ascii="SimSun" w:hAnsi="SimSun" w:hint="eastAsia"/>
          <w:sz w:val="21"/>
        </w:rPr>
        <w:t>/1</w:t>
      </w:r>
      <w:r w:rsidRPr="00255033">
        <w:rPr>
          <w:rFonts w:ascii="SimSun" w:hAnsi="SimSun"/>
          <w:sz w:val="21"/>
        </w:rPr>
        <w:t>4</w:t>
      </w:r>
      <w:r w:rsidRPr="00255033">
        <w:rPr>
          <w:rFonts w:ascii="SimSun" w:hAnsi="SimSun" w:hint="eastAsia"/>
          <w:sz w:val="21"/>
        </w:rPr>
        <w:t>）。</w:t>
      </w:r>
    </w:p>
    <w:p w14:paraId="3464BF3D" w14:textId="77777777" w:rsidR="00322E63" w:rsidRPr="00255033" w:rsidRDefault="008C218C"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关于第1</w:t>
      </w:r>
      <w:r w:rsidRPr="00255033">
        <w:rPr>
          <w:rFonts w:ascii="SimSun" w:hAnsi="SimSun"/>
          <w:sz w:val="21"/>
        </w:rPr>
        <w:t>4</w:t>
      </w:r>
      <w:r w:rsidRPr="00255033">
        <w:rPr>
          <w:rFonts w:ascii="SimSun" w:hAnsi="SimSun" w:hint="eastAsia"/>
          <w:sz w:val="21"/>
        </w:rPr>
        <w:t>项的报告载于本文件。</w:t>
      </w:r>
    </w:p>
    <w:p w14:paraId="18094D98" w14:textId="77777777" w:rsidR="00322E63" w:rsidRPr="00255033" w:rsidRDefault="008C218C" w:rsidP="00FE0182">
      <w:pPr>
        <w:pStyle w:val="ONUME"/>
        <w:tabs>
          <w:tab w:val="clear" w:pos="567"/>
        </w:tabs>
        <w:overflowPunct w:val="0"/>
        <w:spacing w:afterLines="50" w:after="120" w:line="340" w:lineRule="atLeast"/>
        <w:jc w:val="both"/>
        <w:rPr>
          <w:rFonts w:ascii="SimSun" w:hAnsi="SimSun"/>
          <w:sz w:val="21"/>
        </w:rPr>
      </w:pPr>
      <w:r w:rsidRPr="008C218C">
        <w:rPr>
          <w:rFonts w:ascii="SimSun" w:hAnsi="SimSun" w:hint="eastAsia"/>
          <w:sz w:val="21"/>
        </w:rPr>
        <w:t>玛丽亚·洛雷托·布雷斯基女士（智利）主持了会议。阿卜杜勒阿齐兹·贾巴尔先生</w:t>
      </w:r>
      <w:r w:rsidRPr="00255033">
        <w:rPr>
          <w:rFonts w:ascii="SimSun" w:hAnsi="SimSun" w:hint="eastAsia"/>
          <w:sz w:val="21"/>
        </w:rPr>
        <w:t>（沙特阿拉伯）当选大会主席；</w:t>
      </w:r>
      <w:r w:rsidRPr="008C218C">
        <w:rPr>
          <w:rFonts w:ascii="SimSun" w:hAnsi="SimSun" w:hint="eastAsia"/>
          <w:sz w:val="21"/>
        </w:rPr>
        <w:t>申长雨先生（中国）和康斯坦丁诺斯·耶奥加拉斯先生（加拿大）</w:t>
      </w:r>
      <w:r w:rsidRPr="00255033">
        <w:rPr>
          <w:rFonts w:ascii="SimSun" w:hAnsi="SimSun" w:hint="eastAsia"/>
          <w:sz w:val="21"/>
        </w:rPr>
        <w:t>当选大会副主席。</w:t>
      </w:r>
    </w:p>
    <w:p w14:paraId="37F2902B" w14:textId="77777777" w:rsidR="001C6E75" w:rsidRPr="00255033" w:rsidRDefault="001C6E75">
      <w:pPr>
        <w:rPr>
          <w:rFonts w:ascii="SimSun" w:hAnsi="SimSun"/>
          <w:bCs/>
          <w:iCs/>
          <w:caps/>
          <w:sz w:val="21"/>
          <w:szCs w:val="28"/>
        </w:rPr>
      </w:pPr>
      <w:r w:rsidRPr="00255033">
        <w:rPr>
          <w:rFonts w:ascii="SimSun" w:hAnsi="SimSun"/>
          <w:sz w:val="21"/>
        </w:rPr>
        <w:br w:type="page"/>
      </w:r>
    </w:p>
    <w:p w14:paraId="6F919431" w14:textId="77777777" w:rsidR="00322E63" w:rsidRPr="00F953A9" w:rsidRDefault="008C218C" w:rsidP="00F953A9">
      <w:pPr>
        <w:keepNext/>
        <w:spacing w:beforeLines="100" w:before="240" w:line="340" w:lineRule="atLeast"/>
        <w:jc w:val="both"/>
        <w:rPr>
          <w:rFonts w:ascii="KaiTi" w:eastAsia="KaiTi" w:hAnsi="KaiTi" w:cs="SimSun"/>
          <w:sz w:val="21"/>
          <w:szCs w:val="21"/>
        </w:rPr>
      </w:pPr>
      <w:r w:rsidRPr="00F953A9">
        <w:rPr>
          <w:rFonts w:ascii="KaiTi" w:eastAsia="KaiTi" w:hAnsi="KaiTi" w:cs="SimSun" w:hint="eastAsia"/>
          <w:sz w:val="21"/>
          <w:szCs w:val="21"/>
        </w:rPr>
        <w:lastRenderedPageBreak/>
        <w:t>统一编排议程第14项</w:t>
      </w:r>
    </w:p>
    <w:p w14:paraId="3EEEFC16" w14:textId="77777777" w:rsidR="00322E63" w:rsidRPr="00F953A9" w:rsidRDefault="00322E63" w:rsidP="00F953A9">
      <w:pPr>
        <w:keepNext/>
        <w:spacing w:afterLines="50" w:after="120" w:line="340" w:lineRule="atLeast"/>
        <w:jc w:val="both"/>
        <w:rPr>
          <w:rFonts w:ascii="SimHei" w:eastAsia="SimHei"/>
          <w:sz w:val="21"/>
          <w:szCs w:val="21"/>
        </w:rPr>
      </w:pPr>
      <w:r w:rsidRPr="00F953A9">
        <w:rPr>
          <w:rFonts w:ascii="SimHei" w:eastAsia="SimHei"/>
          <w:sz w:val="21"/>
          <w:szCs w:val="21"/>
        </w:rPr>
        <w:t>PCT</w:t>
      </w:r>
      <w:r w:rsidR="008C218C" w:rsidRPr="00F953A9">
        <w:rPr>
          <w:rFonts w:ascii="SimHei" w:eastAsia="SimHei" w:hint="eastAsia"/>
          <w:sz w:val="21"/>
          <w:szCs w:val="21"/>
        </w:rPr>
        <w:t>体系</w:t>
      </w:r>
    </w:p>
    <w:p w14:paraId="71499B33" w14:textId="77777777" w:rsidR="00346512" w:rsidRPr="00255033" w:rsidRDefault="007067CE"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主席对出席大会的所有代表团表示欢迎，特别是最近加入《专利合作条约》（PCT）的国家，即2021年加入的牙买加，以及2022年加入的伊拉克、佛得角和毛里求斯，使缔约国数量达到157个。</w:t>
      </w:r>
    </w:p>
    <w:p w14:paraId="2FD3F11C" w14:textId="77777777" w:rsidR="00322E63" w:rsidRPr="00255033" w:rsidRDefault="008C218C" w:rsidP="00F953A9">
      <w:pPr>
        <w:pStyle w:val="Heading3"/>
        <w:overflowPunct w:val="0"/>
        <w:spacing w:before="0" w:afterLines="50" w:after="120" w:line="340" w:lineRule="atLeast"/>
        <w:rPr>
          <w:rFonts w:ascii="SimSun" w:hAnsi="SimSun"/>
          <w:sz w:val="21"/>
        </w:rPr>
      </w:pPr>
      <w:r w:rsidRPr="00255033">
        <w:rPr>
          <w:rFonts w:ascii="SimSun" w:hAnsi="SimSun" w:hint="eastAsia"/>
          <w:sz w:val="21"/>
        </w:rPr>
        <w:t>指定沙特知识产权局为PCT国际检索和初步审查单位</w:t>
      </w:r>
    </w:p>
    <w:p w14:paraId="70D58321" w14:textId="29A32D6F" w:rsidR="00322E63" w:rsidRPr="00255033" w:rsidRDefault="007067CE"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sz w:val="21"/>
        </w:rPr>
        <w:t>讨论依据文件</w:t>
      </w:r>
      <w:r w:rsidR="00C74119">
        <w:rPr>
          <w:rFonts w:ascii="SimSun" w:hAnsi="SimSun"/>
          <w:sz w:val="21"/>
        </w:rPr>
        <w:fldChar w:fldCharType="begin"/>
      </w:r>
      <w:r w:rsidR="00C74119">
        <w:rPr>
          <w:rFonts w:ascii="SimSun" w:hAnsi="SimSun"/>
          <w:sz w:val="21"/>
        </w:rPr>
        <w:instrText xml:space="preserve"> HYPERLINK "https://www.wipo.int/about-wipo/zh/assemblies/2023/a-64/doc_details.jsp?doc_id=604697" </w:instrText>
      </w:r>
      <w:r w:rsidR="00C74119">
        <w:rPr>
          <w:rFonts w:ascii="SimSun" w:hAnsi="SimSun"/>
          <w:sz w:val="21"/>
        </w:rPr>
      </w:r>
      <w:r w:rsidR="00C74119">
        <w:rPr>
          <w:rFonts w:ascii="SimSun" w:hAnsi="SimSun"/>
          <w:sz w:val="21"/>
        </w:rPr>
        <w:fldChar w:fldCharType="separate"/>
      </w:r>
      <w:r w:rsidR="00F0079A" w:rsidRPr="00C74119">
        <w:rPr>
          <w:rStyle w:val="Hyperlink"/>
          <w:rFonts w:ascii="SimSun" w:hAnsi="SimSun"/>
          <w:sz w:val="21"/>
        </w:rPr>
        <w:t>PCT/A/55/1</w:t>
      </w:r>
      <w:r w:rsidR="00C74119">
        <w:rPr>
          <w:rFonts w:ascii="SimSun" w:hAnsi="SimSun"/>
          <w:sz w:val="21"/>
        </w:rPr>
        <w:fldChar w:fldCharType="end"/>
      </w:r>
      <w:r w:rsidRPr="00255033">
        <w:rPr>
          <w:rFonts w:ascii="SimSun" w:hAnsi="SimSun" w:hint="eastAsia"/>
          <w:sz w:val="21"/>
        </w:rPr>
        <w:t>进行。</w:t>
      </w:r>
    </w:p>
    <w:p w14:paraId="4A147F86" w14:textId="77777777" w:rsidR="00F0079A" w:rsidRPr="00255033" w:rsidRDefault="004F0E57"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秘书处介绍文件，解释说，技术合作委员会于202</w:t>
      </w:r>
      <w:r w:rsidRPr="00255033">
        <w:rPr>
          <w:rFonts w:ascii="SimSun" w:hAnsi="SimSun"/>
          <w:sz w:val="21"/>
        </w:rPr>
        <w:t>2</w:t>
      </w:r>
      <w:r w:rsidRPr="00255033">
        <w:rPr>
          <w:rFonts w:ascii="SimSun" w:hAnsi="SimSun" w:hint="eastAsia"/>
          <w:sz w:val="21"/>
        </w:rPr>
        <w:t>年10月举行会议，审议指定沙特知识产权局（SAIP）为PCT国际检索和初步审查单位的申请。委员会审查了该申请，一致同意向大会推荐该指定。委员会提出意见后，条约第16条第(3)款(b)项和第32条第(3)款要求大会首先听取沙特知识产权局代表的意见，然后就指定该局</w:t>
      </w:r>
      <w:proofErr w:type="gramStart"/>
      <w:r w:rsidRPr="00255033">
        <w:rPr>
          <w:rFonts w:ascii="SimSun" w:hAnsi="SimSun" w:hint="eastAsia"/>
          <w:sz w:val="21"/>
        </w:rPr>
        <w:t>作出</w:t>
      </w:r>
      <w:proofErr w:type="gramEnd"/>
      <w:r w:rsidRPr="00255033">
        <w:rPr>
          <w:rFonts w:ascii="SimSun" w:hAnsi="SimSun" w:hint="eastAsia"/>
          <w:sz w:val="21"/>
        </w:rPr>
        <w:t>决定，并批准文件</w:t>
      </w:r>
      <w:r w:rsidRPr="00255033">
        <w:rPr>
          <w:rFonts w:ascii="SimSun" w:hAnsi="SimSun"/>
          <w:sz w:val="21"/>
        </w:rPr>
        <w:t>PCT/A/55/1</w:t>
      </w:r>
      <w:r w:rsidRPr="00255033">
        <w:rPr>
          <w:rFonts w:ascii="SimSun" w:hAnsi="SimSun" w:hint="eastAsia"/>
          <w:sz w:val="21"/>
        </w:rPr>
        <w:t>附件中所列的沙特知识产权局与国际局之间的协议草案案文。关于该协议，拟议的草案采用了与现有国际单位签订的协议相同的形式，有效期将持续到2027年12月31日，与其他协议的审查和延期相一致。</w:t>
      </w:r>
    </w:p>
    <w:p w14:paraId="0F6D1F4F" w14:textId="77777777" w:rsidR="00C702E4"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沙特阿拉伯代表团解释说，沙特阿拉伯王国在其英明领导的指示下，通过王国的</w:t>
      </w:r>
      <w:r w:rsidR="005E5386" w:rsidRPr="00255033">
        <w:rPr>
          <w:rFonts w:ascii="SimSun" w:hAnsi="SimSun" w:hint="eastAsia"/>
          <w:sz w:val="21"/>
        </w:rPr>
        <w:t>“</w:t>
      </w:r>
      <w:r w:rsidRPr="00255033">
        <w:rPr>
          <w:rFonts w:ascii="SimSun" w:hAnsi="SimSun" w:hint="eastAsia"/>
          <w:sz w:val="21"/>
        </w:rPr>
        <w:t>2030年</w:t>
      </w:r>
      <w:r w:rsidR="005E5386" w:rsidRPr="00255033">
        <w:rPr>
          <w:rFonts w:ascii="SimSun" w:hAnsi="SimSun" w:hint="eastAsia"/>
          <w:sz w:val="21"/>
        </w:rPr>
        <w:t>愿景”</w:t>
      </w:r>
      <w:r w:rsidRPr="00255033">
        <w:rPr>
          <w:rFonts w:ascii="SimSun" w:hAnsi="SimSun" w:hint="eastAsia"/>
          <w:sz w:val="21"/>
        </w:rPr>
        <w:t>，绘制了国家全面综合发展的路线图。</w:t>
      </w:r>
      <w:r w:rsidR="005E5386" w:rsidRPr="00255033">
        <w:rPr>
          <w:rFonts w:ascii="SimSun" w:hAnsi="SimSun" w:hint="eastAsia"/>
          <w:sz w:val="21"/>
        </w:rPr>
        <w:t>“</w:t>
      </w:r>
      <w:r w:rsidRPr="00255033">
        <w:rPr>
          <w:rFonts w:ascii="SimSun" w:hAnsi="SimSun" w:hint="eastAsia"/>
          <w:sz w:val="21"/>
        </w:rPr>
        <w:t>愿景</w:t>
      </w:r>
      <w:r w:rsidR="005E5386" w:rsidRPr="00255033">
        <w:rPr>
          <w:rFonts w:ascii="SimSun" w:hAnsi="SimSun" w:hint="eastAsia"/>
          <w:sz w:val="21"/>
        </w:rPr>
        <w:t>”</w:t>
      </w:r>
      <w:r w:rsidRPr="00255033">
        <w:rPr>
          <w:rFonts w:ascii="SimSun" w:hAnsi="SimSun" w:hint="eastAsia"/>
          <w:sz w:val="21"/>
        </w:rPr>
        <w:t>被细化为各项战略目标，其中最主要的是支持经济并使之多样化，创造有吸引力的竞争环境，以及促进和支持创新和创业文化。因此成立了</w:t>
      </w:r>
      <w:r w:rsidR="006D405D" w:rsidRPr="00255033">
        <w:rPr>
          <w:rFonts w:ascii="SimSun" w:hAnsi="SimSun" w:hint="eastAsia"/>
          <w:sz w:val="21"/>
        </w:rPr>
        <w:t>沙特知识产权局</w:t>
      </w:r>
      <w:r w:rsidRPr="00255033">
        <w:rPr>
          <w:rFonts w:ascii="SimSun" w:hAnsi="SimSun" w:hint="eastAsia"/>
          <w:sz w:val="21"/>
        </w:rPr>
        <w:t>，</w:t>
      </w:r>
      <w:r w:rsidR="00B3599B" w:rsidRPr="00255033">
        <w:rPr>
          <w:rFonts w:ascii="SimSun" w:hAnsi="SimSun" w:hint="eastAsia"/>
          <w:sz w:val="21"/>
        </w:rPr>
        <w:t>作为</w:t>
      </w:r>
      <w:r w:rsidRPr="00255033">
        <w:rPr>
          <w:rFonts w:ascii="SimSun" w:hAnsi="SimSun" w:hint="eastAsia"/>
          <w:sz w:val="21"/>
        </w:rPr>
        <w:t>管理王国所有知识产权领域</w:t>
      </w:r>
      <w:r w:rsidR="00B3599B" w:rsidRPr="00255033">
        <w:rPr>
          <w:rFonts w:ascii="SimSun" w:hAnsi="SimSun" w:hint="eastAsia"/>
          <w:sz w:val="21"/>
        </w:rPr>
        <w:t>的当局</w:t>
      </w:r>
      <w:r w:rsidRPr="00255033">
        <w:rPr>
          <w:rFonts w:ascii="SimSun" w:hAnsi="SimSun" w:hint="eastAsia"/>
          <w:sz w:val="21"/>
        </w:rPr>
        <w:t>，并根据国际最佳做法支持、发展、保护、执行和提升知识产权。去年，首相殿下宣布了《国家知识产权战略》。王国还致力于制定与知识产权有关的法律法规，此外还致力于权利</w:t>
      </w:r>
      <w:r w:rsidR="00B3599B" w:rsidRPr="00255033">
        <w:rPr>
          <w:rFonts w:ascii="SimSun" w:hAnsi="SimSun" w:hint="eastAsia"/>
          <w:sz w:val="21"/>
        </w:rPr>
        <w:t>注册</w:t>
      </w:r>
      <w:r w:rsidRPr="00255033">
        <w:rPr>
          <w:rFonts w:ascii="SimSun" w:hAnsi="SimSun" w:hint="eastAsia"/>
          <w:sz w:val="21"/>
        </w:rPr>
        <w:t>和保护，提供与知识产权有关的信息并向公众开放，以及在提高知识产权意识方面发挥有效作用。沙特阿拉伯对知识产权的关注始于82年前。</w:t>
      </w:r>
      <w:r w:rsidR="00B3599B" w:rsidRPr="00255033">
        <w:rPr>
          <w:rFonts w:ascii="SimSun" w:hAnsi="SimSun" w:hint="eastAsia"/>
          <w:sz w:val="21"/>
        </w:rPr>
        <w:t>第一个知识产权制度于1939年出台，沙特阿拉伯于1982年加入世界知识产权组织。随后，开始制定知识产权保护各领域的法律法规。沙特阿拉伯于2003年加入《巴黎公约》和《伯尔尼公约》，2005年加入世界贸易组织</w:t>
      </w:r>
      <w:r w:rsidR="00F30A15">
        <w:rPr>
          <w:rFonts w:ascii="SimSun" w:hAnsi="SimSun" w:hint="eastAsia"/>
          <w:sz w:val="21"/>
        </w:rPr>
        <w:t>（世贸组织）</w:t>
      </w:r>
      <w:r w:rsidR="00B3599B" w:rsidRPr="00255033">
        <w:rPr>
          <w:rFonts w:ascii="SimSun" w:hAnsi="SimSun" w:hint="eastAsia"/>
          <w:sz w:val="21"/>
        </w:rPr>
        <w:t>，目前是产权组织管理的13项条约的缔约国。沙特阿拉伯于2013年加入PCT，并于2015年初作为受理局收到了第一份国际申请。沙特知识产权局也被认为是首批使用</w:t>
      </w:r>
      <w:proofErr w:type="spellStart"/>
      <w:r w:rsidR="00B3599B" w:rsidRPr="00255033">
        <w:rPr>
          <w:rFonts w:ascii="SimSun" w:hAnsi="SimSun" w:hint="eastAsia"/>
          <w:sz w:val="21"/>
        </w:rPr>
        <w:t>ePCT</w:t>
      </w:r>
      <w:proofErr w:type="spellEnd"/>
      <w:r w:rsidR="00B3599B" w:rsidRPr="00255033">
        <w:rPr>
          <w:rFonts w:ascii="SimSun" w:hAnsi="SimSun" w:hint="eastAsia"/>
          <w:sz w:val="21"/>
        </w:rPr>
        <w:t>系统处理国际申请的知识产权局之一。指定沙特知识产权局为国际检索和初步审查</w:t>
      </w:r>
      <w:r w:rsidR="00D17617" w:rsidRPr="00255033">
        <w:rPr>
          <w:rFonts w:ascii="SimSun" w:hAnsi="SimSun" w:hint="eastAsia"/>
          <w:sz w:val="21"/>
        </w:rPr>
        <w:t>单位</w:t>
      </w:r>
      <w:r w:rsidR="00B3599B" w:rsidRPr="00255033">
        <w:rPr>
          <w:rFonts w:ascii="SimSun" w:hAnsi="SimSun" w:hint="eastAsia"/>
          <w:sz w:val="21"/>
        </w:rPr>
        <w:t>的准备工作经历了许多重要阶段，以满足最低要求。第一项标准是找到具有足够技术资格的高素质员工来开展检索和审查工作，沙特知识产权局在这方面制定了适当的招聘和培训计划，使沙特知识产权局能够拥有100多名合格的审查员，按照国际条约和协定规定的标准开展工作。</w:t>
      </w:r>
      <w:r w:rsidR="00D57BDF" w:rsidRPr="00255033">
        <w:rPr>
          <w:rFonts w:ascii="SimSun" w:hAnsi="SimSun" w:hint="eastAsia"/>
          <w:sz w:val="21"/>
        </w:rPr>
        <w:t>审查员根据</w:t>
      </w:r>
      <w:r w:rsidR="00F30A15">
        <w:rPr>
          <w:rFonts w:ascii="SimSun" w:hAnsi="SimSun" w:hint="eastAsia"/>
          <w:sz w:val="21"/>
        </w:rPr>
        <w:t>其</w:t>
      </w:r>
      <w:r w:rsidR="00D57BDF" w:rsidRPr="00255033">
        <w:rPr>
          <w:rFonts w:ascii="SimSun" w:hAnsi="SimSun" w:hint="eastAsia"/>
          <w:sz w:val="21"/>
        </w:rPr>
        <w:t>技术背景</w:t>
      </w:r>
      <w:r w:rsidR="00F30A15">
        <w:rPr>
          <w:rFonts w:ascii="SimSun" w:hAnsi="SimSun" w:hint="eastAsia"/>
          <w:sz w:val="21"/>
        </w:rPr>
        <w:t>按</w:t>
      </w:r>
      <w:r w:rsidR="00F30A15" w:rsidRPr="00255033">
        <w:rPr>
          <w:rFonts w:ascii="SimSun" w:hAnsi="SimSun" w:hint="eastAsia"/>
          <w:sz w:val="21"/>
        </w:rPr>
        <w:t>国际专利分类</w:t>
      </w:r>
      <w:r w:rsidR="00D57BDF" w:rsidRPr="00255033">
        <w:rPr>
          <w:rFonts w:ascii="SimSun" w:hAnsi="SimSun" w:hint="eastAsia"/>
          <w:sz w:val="21"/>
        </w:rPr>
        <w:t>分布在五个专业领域，并具备适当的语言技能和所需的经验，所有审查员的平均工作年限为12.9年。所有审查员都能访问最重要的全球数据库，使</w:t>
      </w:r>
      <w:r w:rsidR="007003B2" w:rsidRPr="00255033">
        <w:rPr>
          <w:rFonts w:ascii="SimSun" w:hAnsi="SimSun" w:hint="eastAsia"/>
          <w:sz w:val="21"/>
        </w:rPr>
        <w:t>他/她们</w:t>
      </w:r>
      <w:r w:rsidR="00D57BDF" w:rsidRPr="00255033">
        <w:rPr>
          <w:rFonts w:ascii="SimSun" w:hAnsi="SimSun" w:hint="eastAsia"/>
          <w:sz w:val="21"/>
        </w:rPr>
        <w:t>能够按照《PCT实施细则》规定的标准，及时、高质量地完成任务。沙特知识产权局定期审查所使用的数据库，以确保其适用性和效率，并考虑新资源的重要性和适当性。沙特知识产权局还拥有一个系统的综合质量管理体系，对所有程序进行监督，确保其绩效符合最高标准。沙特知识产权局还致力于不断提高工作质量，定期发布业务质量报告。沙特知识产权局的质量管理体系符合《PCT国际检索和初步审查指南》第21章的要求，去年沙特知识产权局的操作流程获得了ISO 9001认证。该地区和全世界的专利申请数量持续增长，其中包括以阿拉伯语提交的申请，这增加了拥有更多阿拉伯语国际检索和初步审查单位的重要性，以加强合作并强化PCT的作用。作为国际检索和初步审查单位，沙特知识产权局希望其在</w:t>
      </w:r>
      <w:r w:rsidR="008624F1" w:rsidRPr="00255033">
        <w:rPr>
          <w:rFonts w:ascii="SimSun" w:hAnsi="SimSun" w:hint="eastAsia"/>
          <w:sz w:val="21"/>
        </w:rPr>
        <w:t>推广</w:t>
      </w:r>
      <w:r w:rsidR="00D57BDF" w:rsidRPr="00255033">
        <w:rPr>
          <w:rFonts w:ascii="SimSun" w:hAnsi="SimSun" w:hint="eastAsia"/>
          <w:sz w:val="21"/>
        </w:rPr>
        <w:t>PCT及其为受益人提供各种服务方面发挥有影响力的突出作用。代表团感谢韩国</w:t>
      </w:r>
      <w:r w:rsidR="008624F1" w:rsidRPr="00255033">
        <w:rPr>
          <w:rFonts w:ascii="SimSun" w:hAnsi="SimSun" w:hint="eastAsia"/>
          <w:sz w:val="21"/>
        </w:rPr>
        <w:t>特许厅</w:t>
      </w:r>
      <w:r w:rsidR="00D57BDF" w:rsidRPr="00255033">
        <w:rPr>
          <w:rFonts w:ascii="SimSun" w:hAnsi="SimSun" w:hint="eastAsia"/>
          <w:sz w:val="21"/>
        </w:rPr>
        <w:t>在过去一年中为确保沙特知识产权局满足指定的所有最低要求而提供的支持。韩国</w:t>
      </w:r>
      <w:r w:rsidR="008624F1" w:rsidRPr="00255033">
        <w:rPr>
          <w:rFonts w:ascii="SimSun" w:hAnsi="SimSun" w:hint="eastAsia"/>
          <w:sz w:val="21"/>
        </w:rPr>
        <w:t>特许厅</w:t>
      </w:r>
      <w:r w:rsidR="00D57BDF" w:rsidRPr="00255033">
        <w:rPr>
          <w:rFonts w:ascii="SimSun" w:hAnsi="SimSun" w:hint="eastAsia"/>
          <w:sz w:val="21"/>
        </w:rPr>
        <w:t>以准确和透明的方式审查了标准，提出了有助于提高业务工作质量的建议，并就包括业务质量体系、现有技术体系和风险管理在内的突出特点提出了建议。沙特知识产权</w:t>
      </w:r>
      <w:r w:rsidR="00D57BDF" w:rsidRPr="00255033">
        <w:rPr>
          <w:rFonts w:ascii="SimSun" w:hAnsi="SimSun" w:hint="eastAsia"/>
          <w:sz w:val="21"/>
        </w:rPr>
        <w:lastRenderedPageBreak/>
        <w:t>局为得到最大的知识产权局之一的认可而感到自豪。代表团还对在2022年10月PCT技术合作委员会第三十二届会议上表示支持指定沙特知识产权局的所有国家表示感谢。最后，代表团期待</w:t>
      </w:r>
      <w:r w:rsidR="00F30A15">
        <w:rPr>
          <w:rFonts w:ascii="SimSun" w:hAnsi="SimSun" w:hint="eastAsia"/>
          <w:sz w:val="21"/>
        </w:rPr>
        <w:t>正式</w:t>
      </w:r>
      <w:r w:rsidR="00D57BDF" w:rsidRPr="00255033">
        <w:rPr>
          <w:rFonts w:ascii="SimSun" w:hAnsi="SimSun" w:hint="eastAsia"/>
          <w:sz w:val="21"/>
        </w:rPr>
        <w:t>指定沙特知识产权局为国际检索和初步审查单位，并保证该单位已为执行国际检索和初步审查的业务任务做好充分准备。这一指定将有助于促进PCT的发展，满足该地区和世界专利申请的快速增长，增加阿拉伯语申请的数量，并在沙特阿拉伯和地区一级发展技术投资。</w:t>
      </w:r>
    </w:p>
    <w:p w14:paraId="6856D531" w14:textId="77777777" w:rsidR="00DA770B"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大韩民国代表团指出，韩国</w:t>
      </w:r>
      <w:r w:rsidR="00F30A15">
        <w:rPr>
          <w:rFonts w:ascii="SimSun" w:hAnsi="SimSun" w:hint="eastAsia"/>
          <w:sz w:val="21"/>
        </w:rPr>
        <w:t>特许厅</w:t>
      </w:r>
      <w:r w:rsidRPr="00255033">
        <w:rPr>
          <w:rFonts w:ascii="SimSun" w:hAnsi="SimSun" w:hint="eastAsia"/>
          <w:sz w:val="21"/>
        </w:rPr>
        <w:t>通过现场访问和在线讨论，评估了</w:t>
      </w:r>
      <w:r w:rsidR="006D405D" w:rsidRPr="00255033">
        <w:rPr>
          <w:rFonts w:ascii="SimSun" w:hAnsi="SimSun" w:hint="eastAsia"/>
          <w:sz w:val="21"/>
        </w:rPr>
        <w:t>沙特知识产权局</w:t>
      </w:r>
      <w:r w:rsidRPr="00255033">
        <w:rPr>
          <w:rFonts w:ascii="SimSun" w:hAnsi="SimSun" w:hint="eastAsia"/>
          <w:sz w:val="21"/>
        </w:rPr>
        <w:t>被指定为国际检索和初步审查</w:t>
      </w:r>
      <w:r w:rsidR="00D17617" w:rsidRPr="00255033">
        <w:rPr>
          <w:rFonts w:ascii="SimSun" w:hAnsi="SimSun" w:hint="eastAsia"/>
          <w:sz w:val="21"/>
        </w:rPr>
        <w:t>单位</w:t>
      </w:r>
      <w:r w:rsidRPr="00255033">
        <w:rPr>
          <w:rFonts w:ascii="SimSun" w:hAnsi="SimSun" w:hint="eastAsia"/>
          <w:sz w:val="21"/>
        </w:rPr>
        <w:t>的能力。代表团承认，</w:t>
      </w:r>
      <w:r w:rsidR="006D405D" w:rsidRPr="00255033">
        <w:rPr>
          <w:rFonts w:ascii="SimSun" w:hAnsi="SimSun" w:hint="eastAsia"/>
          <w:sz w:val="21"/>
        </w:rPr>
        <w:t>沙特知识产权局</w:t>
      </w:r>
      <w:r w:rsidRPr="00255033">
        <w:rPr>
          <w:rFonts w:ascii="SimSun" w:hAnsi="SimSun" w:hint="eastAsia"/>
          <w:sz w:val="21"/>
        </w:rPr>
        <w:t>符合</w:t>
      </w:r>
      <w:r w:rsidR="00B3599B" w:rsidRPr="00255033">
        <w:rPr>
          <w:rFonts w:ascii="SimSun" w:hAnsi="SimSun" w:hint="eastAsia"/>
          <w:sz w:val="21"/>
        </w:rPr>
        <w:t>指定</w:t>
      </w:r>
      <w:r w:rsidRPr="00255033">
        <w:rPr>
          <w:rFonts w:ascii="SimSun" w:hAnsi="SimSun" w:hint="eastAsia"/>
          <w:sz w:val="21"/>
        </w:rPr>
        <w:t>的所有最低要求，因此支持</w:t>
      </w:r>
      <w:r w:rsidR="00B3599B" w:rsidRPr="00255033">
        <w:rPr>
          <w:rFonts w:ascii="SimSun" w:hAnsi="SimSun" w:hint="eastAsia"/>
          <w:sz w:val="21"/>
        </w:rPr>
        <w:t>指定</w:t>
      </w:r>
      <w:r w:rsidR="00F30A15">
        <w:rPr>
          <w:rFonts w:ascii="SimSun" w:hAnsi="SimSun" w:hint="eastAsia"/>
          <w:sz w:val="21"/>
        </w:rPr>
        <w:t>其</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。考虑到沙特阿拉伯的研发能力、全球经济地位</w:t>
      </w:r>
      <w:proofErr w:type="gramStart"/>
      <w:r w:rsidRPr="00255033">
        <w:rPr>
          <w:rFonts w:ascii="SimSun" w:hAnsi="SimSun" w:hint="eastAsia"/>
          <w:sz w:val="21"/>
        </w:rPr>
        <w:t>及其到</w:t>
      </w:r>
      <w:proofErr w:type="gramEnd"/>
      <w:r w:rsidRPr="00255033">
        <w:rPr>
          <w:rFonts w:ascii="SimSun" w:hAnsi="SimSun" w:hint="eastAsia"/>
          <w:sz w:val="21"/>
        </w:rPr>
        <w:t>2030年成为地区知识产权枢纽的愿景，代表团相信这一</w:t>
      </w:r>
      <w:r w:rsidR="00B3599B" w:rsidRPr="00255033">
        <w:rPr>
          <w:rFonts w:ascii="SimSun" w:hAnsi="SimSun" w:hint="eastAsia"/>
          <w:sz w:val="21"/>
        </w:rPr>
        <w:t>指定</w:t>
      </w:r>
      <w:r w:rsidRPr="00255033">
        <w:rPr>
          <w:rFonts w:ascii="SimSun" w:hAnsi="SimSun" w:hint="eastAsia"/>
          <w:sz w:val="21"/>
        </w:rPr>
        <w:t>将加强PCT体系。代表团表示，大韩民国将继续致力于与成员国合作，进一步发展PCT体系，并欢迎</w:t>
      </w:r>
      <w:r w:rsidR="006D405D" w:rsidRPr="00255033">
        <w:rPr>
          <w:rFonts w:ascii="SimSun" w:hAnsi="SimSun" w:hint="eastAsia"/>
          <w:sz w:val="21"/>
        </w:rPr>
        <w:t>沙特知识产权局</w:t>
      </w:r>
      <w:r w:rsidRPr="00255033">
        <w:rPr>
          <w:rFonts w:ascii="SimSun" w:hAnsi="SimSun" w:hint="eastAsia"/>
          <w:sz w:val="21"/>
        </w:rPr>
        <w:t>为这一努力</w:t>
      </w:r>
      <w:proofErr w:type="gramStart"/>
      <w:r w:rsidR="00620FFC">
        <w:rPr>
          <w:rFonts w:ascii="SimSun" w:hAnsi="SimSun" w:hint="eastAsia"/>
          <w:sz w:val="21"/>
        </w:rPr>
        <w:t>作出</w:t>
      </w:r>
      <w:proofErr w:type="gramEnd"/>
      <w:r w:rsidRPr="00255033">
        <w:rPr>
          <w:rFonts w:ascii="SimSun" w:hAnsi="SimSun" w:hint="eastAsia"/>
          <w:sz w:val="21"/>
        </w:rPr>
        <w:t>贡献。</w:t>
      </w:r>
    </w:p>
    <w:p w14:paraId="663D9B2E" w14:textId="77777777" w:rsidR="00F0079A"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中国代表团忆及PCT技术合作委员会的意见，即</w:t>
      </w:r>
      <w:r w:rsidR="006D405D" w:rsidRPr="00255033">
        <w:rPr>
          <w:rFonts w:ascii="SimSun" w:hAnsi="SimSun" w:hint="eastAsia"/>
          <w:sz w:val="21"/>
        </w:rPr>
        <w:t>沙特知识产权局</w:t>
      </w:r>
      <w:r w:rsidRPr="00255033">
        <w:rPr>
          <w:rFonts w:ascii="SimSun" w:hAnsi="SimSun" w:hint="eastAsia"/>
          <w:sz w:val="21"/>
        </w:rPr>
        <w:t>已满足</w:t>
      </w:r>
      <w:r w:rsidR="008624F1" w:rsidRPr="00255033">
        <w:rPr>
          <w:rFonts w:ascii="SimSun" w:hAnsi="SimSun" w:hint="eastAsia"/>
          <w:sz w:val="21"/>
        </w:rPr>
        <w:t>被</w:t>
      </w:r>
      <w:r w:rsidR="00B3599B" w:rsidRPr="00255033">
        <w:rPr>
          <w:rFonts w:ascii="SimSun" w:hAnsi="SimSun" w:hint="eastAsia"/>
          <w:sz w:val="21"/>
        </w:rPr>
        <w:t>指定</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的所有要求。代表团支持批准这一</w:t>
      </w:r>
      <w:r w:rsidR="00B3599B" w:rsidRPr="00255033">
        <w:rPr>
          <w:rFonts w:ascii="SimSun" w:hAnsi="SimSun" w:hint="eastAsia"/>
          <w:sz w:val="21"/>
        </w:rPr>
        <w:t>指定</w:t>
      </w:r>
      <w:r w:rsidRPr="00255033">
        <w:rPr>
          <w:rFonts w:ascii="SimSun" w:hAnsi="SimSun" w:hint="eastAsia"/>
          <w:sz w:val="21"/>
        </w:rPr>
        <w:t>，祝愿</w:t>
      </w:r>
      <w:r w:rsidR="006D405D" w:rsidRPr="00255033">
        <w:rPr>
          <w:rFonts w:ascii="SimSun" w:hAnsi="SimSun" w:hint="eastAsia"/>
          <w:sz w:val="21"/>
        </w:rPr>
        <w:t>沙特知识产权局</w:t>
      </w:r>
      <w:r w:rsidRPr="00255033">
        <w:rPr>
          <w:rFonts w:ascii="SimSun" w:hAnsi="SimSun" w:hint="eastAsia"/>
          <w:sz w:val="21"/>
        </w:rPr>
        <w:t>在今后的工作中取得成</w:t>
      </w:r>
      <w:r w:rsidR="000C012E">
        <w:rPr>
          <w:rFonts w:ascii="SimSun" w:hAnsi="SimSun"/>
          <w:sz w:val="21"/>
        </w:rPr>
        <w:t>‍</w:t>
      </w:r>
      <w:r w:rsidRPr="00255033">
        <w:rPr>
          <w:rFonts w:ascii="SimSun" w:hAnsi="SimSun" w:hint="eastAsia"/>
          <w:sz w:val="21"/>
        </w:rPr>
        <w:t>功。</w:t>
      </w:r>
    </w:p>
    <w:p w14:paraId="64772081" w14:textId="77777777" w:rsidR="00A04BEE"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俄罗斯联邦代表团支持指定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，并补充说，指定</w:t>
      </w:r>
      <w:r w:rsidR="006D405D" w:rsidRPr="00255033">
        <w:rPr>
          <w:rFonts w:ascii="SimSun" w:hAnsi="SimSun" w:hint="eastAsia"/>
          <w:sz w:val="21"/>
        </w:rPr>
        <w:t>沙特知识产权局</w:t>
      </w:r>
      <w:r w:rsidRPr="00255033">
        <w:rPr>
          <w:rFonts w:ascii="SimSun" w:hAnsi="SimSun" w:hint="eastAsia"/>
          <w:sz w:val="21"/>
        </w:rPr>
        <w:t>将</w:t>
      </w:r>
      <w:r w:rsidR="00F30A15" w:rsidRPr="00255033">
        <w:rPr>
          <w:rFonts w:ascii="SimSun" w:hAnsi="SimSun" w:hint="eastAsia"/>
          <w:sz w:val="21"/>
        </w:rPr>
        <w:t>提高专门知识</w:t>
      </w:r>
      <w:r w:rsidR="00F30A15">
        <w:rPr>
          <w:rFonts w:ascii="SimSun" w:hAnsi="SimSun" w:hint="eastAsia"/>
          <w:sz w:val="21"/>
        </w:rPr>
        <w:t>和检索</w:t>
      </w:r>
      <w:r w:rsidR="00F30A15" w:rsidRPr="00255033">
        <w:rPr>
          <w:rFonts w:ascii="SimSun" w:hAnsi="SimSun" w:hint="eastAsia"/>
          <w:sz w:val="21"/>
        </w:rPr>
        <w:t>的质量</w:t>
      </w:r>
      <w:r w:rsidR="00F30A15">
        <w:rPr>
          <w:rFonts w:ascii="SimSun" w:hAnsi="SimSun" w:hint="eastAsia"/>
          <w:sz w:val="21"/>
        </w:rPr>
        <w:t>，从而</w:t>
      </w:r>
      <w:r w:rsidRPr="00255033">
        <w:rPr>
          <w:rFonts w:ascii="SimSun" w:hAnsi="SimSun" w:hint="eastAsia"/>
          <w:sz w:val="21"/>
        </w:rPr>
        <w:t>扩大机会，特别是阿拉伯用户的机会。</w:t>
      </w:r>
    </w:p>
    <w:p w14:paraId="4926EB2D" w14:textId="77777777" w:rsidR="00F009E0"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日本代表团支持指定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，并欢迎</w:t>
      </w:r>
      <w:r w:rsidR="006D405D" w:rsidRPr="00255033">
        <w:rPr>
          <w:rFonts w:ascii="SimSun" w:hAnsi="SimSun" w:hint="eastAsia"/>
          <w:sz w:val="21"/>
        </w:rPr>
        <w:t>沙特知识产权局</w:t>
      </w:r>
      <w:r w:rsidRPr="00255033">
        <w:rPr>
          <w:rFonts w:ascii="SimSun" w:hAnsi="SimSun" w:hint="eastAsia"/>
          <w:sz w:val="21"/>
        </w:rPr>
        <w:t>为加强PCT体系所做的任何努力。自2019年与</w:t>
      </w:r>
      <w:r w:rsidR="006D405D" w:rsidRPr="00255033">
        <w:rPr>
          <w:rFonts w:ascii="SimSun" w:hAnsi="SimSun" w:hint="eastAsia"/>
          <w:sz w:val="21"/>
        </w:rPr>
        <w:t>沙特知识产权局</w:t>
      </w:r>
      <w:r w:rsidRPr="00255033">
        <w:rPr>
          <w:rFonts w:ascii="SimSun" w:hAnsi="SimSun" w:hint="eastAsia"/>
          <w:sz w:val="21"/>
        </w:rPr>
        <w:t>签署合作备忘录以来，日本</w:t>
      </w:r>
      <w:r w:rsidR="008624F1" w:rsidRPr="00255033">
        <w:rPr>
          <w:rFonts w:ascii="SimSun" w:hAnsi="SimSun" w:hint="eastAsia"/>
          <w:sz w:val="21"/>
        </w:rPr>
        <w:t>特许厅</w:t>
      </w:r>
      <w:r w:rsidRPr="00255033">
        <w:rPr>
          <w:rFonts w:ascii="SimSun" w:hAnsi="SimSun" w:hint="eastAsia"/>
          <w:sz w:val="21"/>
        </w:rPr>
        <w:t>已根据备忘录制定了年度工作计划，在数据交换和人力资源开发等领域开展合作。与以往的合作一样，代表团表示愿意分享日本特许厅的知识，帮助</w:t>
      </w:r>
      <w:r w:rsidR="006D405D" w:rsidRPr="00255033">
        <w:rPr>
          <w:rFonts w:ascii="SimSun" w:hAnsi="SimSun" w:hint="eastAsia"/>
          <w:sz w:val="21"/>
        </w:rPr>
        <w:t>沙特知识产权局</w:t>
      </w:r>
      <w:r w:rsidR="008624F1" w:rsidRPr="00255033">
        <w:rPr>
          <w:rFonts w:ascii="SimSun" w:hAnsi="SimSun" w:hint="eastAsia"/>
          <w:sz w:val="21"/>
        </w:rPr>
        <w:t>未来作为</w:t>
      </w:r>
      <w:r w:rsidRPr="00255033">
        <w:rPr>
          <w:rFonts w:ascii="SimSun" w:hAnsi="SimSun" w:hint="eastAsia"/>
          <w:sz w:val="21"/>
        </w:rPr>
        <w:t>国际检索和初步审查</w:t>
      </w:r>
      <w:r w:rsidR="00D17617" w:rsidRPr="00255033">
        <w:rPr>
          <w:rFonts w:ascii="SimSun" w:hAnsi="SimSun" w:hint="eastAsia"/>
          <w:sz w:val="21"/>
        </w:rPr>
        <w:t>单位</w:t>
      </w:r>
      <w:r w:rsidR="008624F1" w:rsidRPr="00255033">
        <w:rPr>
          <w:rFonts w:ascii="SimSun" w:hAnsi="SimSun" w:hint="eastAsia"/>
          <w:sz w:val="21"/>
        </w:rPr>
        <w:t>成长</w:t>
      </w:r>
      <w:r w:rsidRPr="00255033">
        <w:rPr>
          <w:rFonts w:ascii="SimSun" w:hAnsi="SimSun" w:hint="eastAsia"/>
          <w:sz w:val="21"/>
        </w:rPr>
        <w:t>。最后，代表团表示期待</w:t>
      </w:r>
      <w:r w:rsidR="006D405D" w:rsidRPr="00255033">
        <w:rPr>
          <w:rFonts w:ascii="SimSun" w:hAnsi="SimSun" w:hint="eastAsia"/>
          <w:sz w:val="21"/>
        </w:rPr>
        <w:t>沙特知识产权局</w:t>
      </w:r>
      <w:r w:rsidRPr="00255033">
        <w:rPr>
          <w:rFonts w:ascii="SimSun" w:hAnsi="SimSun" w:hint="eastAsia"/>
          <w:sz w:val="21"/>
        </w:rPr>
        <w:t>在PCT体系的发展中发挥重要作用。</w:t>
      </w:r>
    </w:p>
    <w:p w14:paraId="7518EFEA" w14:textId="77777777" w:rsidR="00DA4F48"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突尼斯代表团表示支持指定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w:t>
      </w:r>
    </w:p>
    <w:p w14:paraId="58B8EAA7" w14:textId="77777777" w:rsidR="00B21AC0"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卡塔尔代表团支持</w:t>
      </w:r>
      <w:r w:rsidR="00B3599B" w:rsidRPr="00255033">
        <w:rPr>
          <w:rFonts w:ascii="SimSun" w:hAnsi="SimSun" w:hint="eastAsia"/>
          <w:sz w:val="21"/>
        </w:rPr>
        <w:t>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，祝愿</w:t>
      </w:r>
      <w:r w:rsidR="006D405D" w:rsidRPr="00255033">
        <w:rPr>
          <w:rFonts w:ascii="SimSun" w:hAnsi="SimSun" w:hint="eastAsia"/>
          <w:sz w:val="21"/>
        </w:rPr>
        <w:t>沙特知识产权局</w:t>
      </w:r>
      <w:r w:rsidRPr="00255033">
        <w:rPr>
          <w:rFonts w:ascii="SimSun" w:hAnsi="SimSun" w:hint="eastAsia"/>
          <w:sz w:val="21"/>
        </w:rPr>
        <w:t>在履行新职能时一切顺利。</w:t>
      </w:r>
    </w:p>
    <w:p w14:paraId="490EF23E" w14:textId="77777777" w:rsidR="00B21AC0"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伊拉克代表团支持指定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。这一</w:t>
      </w:r>
      <w:r w:rsidR="00B3599B" w:rsidRPr="00255033">
        <w:rPr>
          <w:rFonts w:ascii="SimSun" w:hAnsi="SimSun" w:hint="eastAsia"/>
          <w:sz w:val="21"/>
        </w:rPr>
        <w:t>指定</w:t>
      </w:r>
      <w:r w:rsidRPr="00255033">
        <w:rPr>
          <w:rFonts w:ascii="SimSun" w:hAnsi="SimSun" w:hint="eastAsia"/>
          <w:sz w:val="21"/>
        </w:rPr>
        <w:t>将有助于促进该地区的专利制度，</w:t>
      </w:r>
      <w:r w:rsidR="006D405D" w:rsidRPr="00255033">
        <w:rPr>
          <w:rFonts w:ascii="SimSun" w:hAnsi="SimSun" w:hint="eastAsia"/>
          <w:sz w:val="21"/>
        </w:rPr>
        <w:t>沙特知识产权局</w:t>
      </w:r>
      <w:r w:rsidRPr="00255033">
        <w:rPr>
          <w:rFonts w:ascii="SimSun" w:hAnsi="SimSun" w:hint="eastAsia"/>
          <w:sz w:val="21"/>
        </w:rPr>
        <w:t>可以依靠</w:t>
      </w:r>
      <w:r w:rsidR="00F30A15">
        <w:rPr>
          <w:rFonts w:ascii="SimSun" w:hAnsi="SimSun" w:hint="eastAsia"/>
          <w:sz w:val="21"/>
        </w:rPr>
        <w:t>伊拉克</w:t>
      </w:r>
      <w:r w:rsidRPr="00255033">
        <w:rPr>
          <w:rFonts w:ascii="SimSun" w:hAnsi="SimSun" w:hint="eastAsia"/>
          <w:sz w:val="21"/>
        </w:rPr>
        <w:t>国家知识产权</w:t>
      </w:r>
      <w:r w:rsidR="008624F1" w:rsidRPr="00255033">
        <w:rPr>
          <w:rFonts w:ascii="SimSun" w:hAnsi="SimSun" w:hint="eastAsia"/>
          <w:sz w:val="21"/>
        </w:rPr>
        <w:t>局</w:t>
      </w:r>
      <w:r w:rsidRPr="00255033">
        <w:rPr>
          <w:rFonts w:ascii="SimSun" w:hAnsi="SimSun" w:hint="eastAsia"/>
          <w:sz w:val="21"/>
        </w:rPr>
        <w:t>的协助。</w:t>
      </w:r>
    </w:p>
    <w:p w14:paraId="5D700BBD" w14:textId="77777777" w:rsidR="00B21AC0"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伊朗伊斯兰共和国代表团祝贺</w:t>
      </w:r>
      <w:r w:rsidR="006D405D" w:rsidRPr="00255033">
        <w:rPr>
          <w:rFonts w:ascii="SimSun" w:hAnsi="SimSun" w:hint="eastAsia"/>
          <w:sz w:val="21"/>
        </w:rPr>
        <w:t>沙特知识产权局</w:t>
      </w:r>
      <w:r w:rsidRPr="00255033">
        <w:rPr>
          <w:rFonts w:ascii="SimSun" w:hAnsi="SimSun" w:hint="eastAsia"/>
          <w:sz w:val="21"/>
        </w:rPr>
        <w:t>达到了被</w:t>
      </w:r>
      <w:r w:rsidR="00B3599B" w:rsidRPr="00255033">
        <w:rPr>
          <w:rFonts w:ascii="SimSun" w:hAnsi="SimSun" w:hint="eastAsia"/>
          <w:sz w:val="21"/>
        </w:rPr>
        <w:t>指定</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的标准，祝愿</w:t>
      </w:r>
      <w:r w:rsidR="006D405D" w:rsidRPr="00255033">
        <w:rPr>
          <w:rFonts w:ascii="SimSun" w:hAnsi="SimSun" w:hint="eastAsia"/>
          <w:sz w:val="21"/>
        </w:rPr>
        <w:t>沙特知识产权局</w:t>
      </w:r>
      <w:r w:rsidRPr="00255033">
        <w:rPr>
          <w:rFonts w:ascii="SimSun" w:hAnsi="SimSun" w:hint="eastAsia"/>
          <w:sz w:val="21"/>
        </w:rPr>
        <w:t>在今后的工作中一切顺利。</w:t>
      </w:r>
    </w:p>
    <w:p w14:paraId="2E7F3BFC" w14:textId="77777777" w:rsidR="00B21AC0"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科威特代表团支持指定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，这将在短期内对该地区产生积极影响。</w:t>
      </w:r>
    </w:p>
    <w:p w14:paraId="622D02B8" w14:textId="77777777" w:rsidR="001E394B"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利比亚代表团支持</w:t>
      </w:r>
      <w:r w:rsidR="00B3599B" w:rsidRPr="00255033">
        <w:rPr>
          <w:rFonts w:ascii="SimSun" w:hAnsi="SimSun" w:hint="eastAsia"/>
          <w:sz w:val="21"/>
        </w:rPr>
        <w:t>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，祝愿</w:t>
      </w:r>
      <w:r w:rsidR="006D405D" w:rsidRPr="00255033">
        <w:rPr>
          <w:rFonts w:ascii="SimSun" w:hAnsi="SimSun" w:hint="eastAsia"/>
          <w:sz w:val="21"/>
        </w:rPr>
        <w:t>沙特知识产权局</w:t>
      </w:r>
      <w:r w:rsidRPr="00255033">
        <w:rPr>
          <w:rFonts w:ascii="SimSun" w:hAnsi="SimSun" w:hint="eastAsia"/>
          <w:sz w:val="21"/>
        </w:rPr>
        <w:t>取得成功。</w:t>
      </w:r>
    </w:p>
    <w:p w14:paraId="73CE3451" w14:textId="77777777" w:rsidR="00B21AC0"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毛里塔尼亚代表团支持</w:t>
      </w:r>
      <w:r w:rsidR="00B3599B" w:rsidRPr="00255033">
        <w:rPr>
          <w:rFonts w:ascii="SimSun" w:hAnsi="SimSun" w:hint="eastAsia"/>
          <w:sz w:val="21"/>
        </w:rPr>
        <w:t>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，相信</w:t>
      </w:r>
      <w:r w:rsidR="006D405D" w:rsidRPr="00255033">
        <w:rPr>
          <w:rFonts w:ascii="SimSun" w:hAnsi="SimSun" w:hint="eastAsia"/>
          <w:sz w:val="21"/>
        </w:rPr>
        <w:t>沙特知识产权局</w:t>
      </w:r>
      <w:r w:rsidRPr="00255033">
        <w:rPr>
          <w:rFonts w:ascii="SimSun" w:hAnsi="SimSun" w:hint="eastAsia"/>
          <w:sz w:val="21"/>
        </w:rPr>
        <w:t>能够发挥这一重要作用。</w:t>
      </w:r>
    </w:p>
    <w:p w14:paraId="48BA01B5" w14:textId="77777777" w:rsidR="00CD46BD"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埃及代表团支持</w:t>
      </w:r>
      <w:r w:rsidR="00B3599B" w:rsidRPr="00255033">
        <w:rPr>
          <w:rFonts w:ascii="SimSun" w:hAnsi="SimSun" w:hint="eastAsia"/>
          <w:sz w:val="21"/>
        </w:rPr>
        <w:t>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，祝愿沙特阿拉伯的同行们工作顺利。</w:t>
      </w:r>
    </w:p>
    <w:p w14:paraId="22E06761" w14:textId="77777777" w:rsidR="00B21AC0"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lastRenderedPageBreak/>
        <w:t>阿尔及利亚代表团支持指定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，祝愿</w:t>
      </w:r>
      <w:r w:rsidR="006D405D" w:rsidRPr="00255033">
        <w:rPr>
          <w:rFonts w:ascii="SimSun" w:hAnsi="SimSun" w:hint="eastAsia"/>
          <w:sz w:val="21"/>
        </w:rPr>
        <w:t>沙特知识产权局</w:t>
      </w:r>
      <w:r w:rsidRPr="00255033">
        <w:rPr>
          <w:rFonts w:ascii="SimSun" w:hAnsi="SimSun" w:hint="eastAsia"/>
          <w:sz w:val="21"/>
        </w:rPr>
        <w:t>取得圆满成功。</w:t>
      </w:r>
    </w:p>
    <w:p w14:paraId="15EAB9ED" w14:textId="77777777" w:rsidR="00CD46BD"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阿拉伯叙利亚共和国代表团支持</w:t>
      </w:r>
      <w:r w:rsidR="00B3599B" w:rsidRPr="00255033">
        <w:rPr>
          <w:rFonts w:ascii="SimSun" w:hAnsi="SimSun" w:hint="eastAsia"/>
          <w:sz w:val="21"/>
        </w:rPr>
        <w:t>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，祝愿</w:t>
      </w:r>
      <w:r w:rsidR="006D405D" w:rsidRPr="00255033">
        <w:rPr>
          <w:rFonts w:ascii="SimSun" w:hAnsi="SimSun" w:hint="eastAsia"/>
          <w:sz w:val="21"/>
        </w:rPr>
        <w:t>沙特知识产权局</w:t>
      </w:r>
      <w:r w:rsidRPr="00255033">
        <w:rPr>
          <w:rFonts w:ascii="SimSun" w:hAnsi="SimSun" w:hint="eastAsia"/>
          <w:sz w:val="21"/>
        </w:rPr>
        <w:t>取得圆满成功。</w:t>
      </w:r>
    </w:p>
    <w:p w14:paraId="68EB69B9" w14:textId="77777777" w:rsidR="00F0079A" w:rsidRPr="00255033" w:rsidRDefault="008C218C" w:rsidP="00914AEA">
      <w:pPr>
        <w:pStyle w:val="ONUME"/>
        <w:tabs>
          <w:tab w:val="clear" w:pos="567"/>
        </w:tabs>
        <w:overflowPunct w:val="0"/>
        <w:spacing w:afterLines="50" w:after="120" w:line="340" w:lineRule="atLeast"/>
        <w:ind w:left="567"/>
        <w:jc w:val="both"/>
        <w:rPr>
          <w:rFonts w:ascii="SimSun" w:hAnsi="SimSun"/>
          <w:sz w:val="21"/>
        </w:rPr>
      </w:pPr>
      <w:r w:rsidRPr="00255033">
        <w:rPr>
          <w:rFonts w:ascii="SimSun" w:hAnsi="SimSun" w:hint="eastAsia"/>
          <w:sz w:val="21"/>
        </w:rPr>
        <w:t>PCT联盟大会依照PCT第16条第(3)款和第32条第(3)款：</w:t>
      </w:r>
    </w:p>
    <w:p w14:paraId="2A43D9FD" w14:textId="77777777" w:rsidR="00F0079A" w:rsidRPr="00255033" w:rsidRDefault="008C218C" w:rsidP="00914AEA">
      <w:pPr>
        <w:pStyle w:val="ONUME"/>
        <w:numPr>
          <w:ilvl w:val="2"/>
          <w:numId w:val="2"/>
        </w:numPr>
        <w:tabs>
          <w:tab w:val="clear" w:pos="1701"/>
        </w:tabs>
        <w:overflowPunct w:val="0"/>
        <w:spacing w:afterLines="50" w:after="120" w:line="340" w:lineRule="atLeast"/>
        <w:jc w:val="both"/>
        <w:rPr>
          <w:rFonts w:ascii="SimSun" w:hAnsi="SimSun"/>
          <w:sz w:val="21"/>
        </w:rPr>
      </w:pPr>
      <w:r w:rsidRPr="00255033">
        <w:rPr>
          <w:rFonts w:ascii="SimSun" w:hAnsi="SimSun" w:hint="eastAsia"/>
          <w:sz w:val="21"/>
        </w:rPr>
        <w:t>批准</w:t>
      </w:r>
      <w:r w:rsidR="00807F75" w:rsidRPr="00255033">
        <w:rPr>
          <w:rFonts w:ascii="SimSun" w:hAnsi="SimSun" w:hint="eastAsia"/>
          <w:sz w:val="21"/>
        </w:rPr>
        <w:t>了</w:t>
      </w:r>
      <w:r w:rsidRPr="00255033">
        <w:rPr>
          <w:rFonts w:ascii="SimSun" w:hAnsi="SimSun" w:hint="eastAsia"/>
          <w:sz w:val="21"/>
        </w:rPr>
        <w:t>文件PCT/A/55/1附件中所载的沙特知识产权局和国际局的协议草案案文；并</w:t>
      </w:r>
    </w:p>
    <w:p w14:paraId="080E9B73" w14:textId="77777777" w:rsidR="00F0079A" w:rsidRPr="00255033" w:rsidRDefault="008C218C" w:rsidP="00914AEA">
      <w:pPr>
        <w:pStyle w:val="ONUME"/>
        <w:numPr>
          <w:ilvl w:val="2"/>
          <w:numId w:val="2"/>
        </w:numPr>
        <w:tabs>
          <w:tab w:val="clear" w:pos="1701"/>
        </w:tabs>
        <w:overflowPunct w:val="0"/>
        <w:spacing w:afterLines="50" w:after="120" w:line="340" w:lineRule="atLeast"/>
        <w:jc w:val="both"/>
        <w:rPr>
          <w:rFonts w:ascii="SimSun" w:hAnsi="SimSun"/>
          <w:sz w:val="21"/>
        </w:rPr>
      </w:pPr>
      <w:r w:rsidRPr="00255033">
        <w:rPr>
          <w:rFonts w:ascii="SimSun" w:hAnsi="SimSun" w:hint="eastAsia"/>
          <w:sz w:val="21"/>
        </w:rPr>
        <w:t>指定沙特知识产权局为国际检索单位和国际初步审查单位，有效期为从协议生效日期开始至2027年12月31日。</w:t>
      </w:r>
    </w:p>
    <w:p w14:paraId="336E4AC4" w14:textId="77777777" w:rsidR="00F0079A"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秘书处祝贺</w:t>
      </w:r>
      <w:r w:rsidR="006D405D" w:rsidRPr="00255033">
        <w:rPr>
          <w:rFonts w:ascii="SimSun" w:hAnsi="SimSun" w:hint="eastAsia"/>
          <w:sz w:val="21"/>
        </w:rPr>
        <w:t>沙特知识产权局</w:t>
      </w:r>
      <w:r w:rsidRPr="00255033">
        <w:rPr>
          <w:rFonts w:ascii="SimSun" w:hAnsi="SimSun" w:hint="eastAsia"/>
          <w:sz w:val="21"/>
        </w:rPr>
        <w:t>被</w:t>
      </w:r>
      <w:r w:rsidR="00B3599B" w:rsidRPr="00255033">
        <w:rPr>
          <w:rFonts w:ascii="SimSun" w:hAnsi="SimSun" w:hint="eastAsia"/>
          <w:sz w:val="21"/>
        </w:rPr>
        <w:t>指定</w:t>
      </w:r>
      <w:r w:rsidRPr="00255033">
        <w:rPr>
          <w:rFonts w:ascii="SimSun" w:hAnsi="SimSun" w:hint="eastAsia"/>
          <w:sz w:val="21"/>
        </w:rPr>
        <w:t>为PCT国际检索</w:t>
      </w:r>
      <w:r w:rsidR="00D17617" w:rsidRPr="00255033">
        <w:rPr>
          <w:rFonts w:ascii="SimSun" w:hAnsi="SimSun" w:hint="eastAsia"/>
          <w:sz w:val="21"/>
        </w:rPr>
        <w:t>单位</w:t>
      </w:r>
      <w:r w:rsidRPr="00255033">
        <w:rPr>
          <w:rFonts w:ascii="SimSun" w:hAnsi="SimSun" w:hint="eastAsia"/>
          <w:sz w:val="21"/>
        </w:rPr>
        <w:t>和国际初步审查</w:t>
      </w:r>
      <w:r w:rsidR="00D17617" w:rsidRPr="00255033">
        <w:rPr>
          <w:rFonts w:ascii="SimSun" w:hAnsi="SimSun" w:hint="eastAsia"/>
          <w:sz w:val="21"/>
        </w:rPr>
        <w:t>单位</w:t>
      </w:r>
      <w:r w:rsidRPr="00255033">
        <w:rPr>
          <w:rFonts w:ascii="SimSun" w:hAnsi="SimSun" w:hint="eastAsia"/>
          <w:sz w:val="21"/>
        </w:rPr>
        <w:t>。沙特阿拉伯加入巴黎联盟</w:t>
      </w:r>
      <w:r w:rsidR="00F30A15" w:rsidRPr="00255033">
        <w:rPr>
          <w:rFonts w:ascii="SimSun" w:hAnsi="SimSun" w:hint="eastAsia"/>
          <w:sz w:val="21"/>
        </w:rPr>
        <w:t>不到20年</w:t>
      </w:r>
      <w:r w:rsidRPr="00255033">
        <w:rPr>
          <w:rFonts w:ascii="SimSun" w:hAnsi="SimSun" w:hint="eastAsia"/>
          <w:sz w:val="21"/>
        </w:rPr>
        <w:t>，并于2013年成为PCT缔约国，在加入PCT又10年之后，在提供国际检索和初步审查方面达到了一个新的里程碑。秘书处祝愿</w:t>
      </w:r>
      <w:r w:rsidR="006D405D" w:rsidRPr="00255033">
        <w:rPr>
          <w:rFonts w:ascii="SimSun" w:hAnsi="SimSun" w:hint="eastAsia"/>
          <w:sz w:val="21"/>
        </w:rPr>
        <w:t>沙特知识产权局</w:t>
      </w:r>
      <w:r w:rsidRPr="00255033">
        <w:rPr>
          <w:rFonts w:ascii="SimSun" w:hAnsi="SimSun" w:hint="eastAsia"/>
          <w:sz w:val="21"/>
        </w:rPr>
        <w:t>在新的征程中一切顺利，期待国际局与</w:t>
      </w:r>
      <w:r w:rsidR="006D405D" w:rsidRPr="00255033">
        <w:rPr>
          <w:rFonts w:ascii="SimSun" w:hAnsi="SimSun" w:hint="eastAsia"/>
          <w:sz w:val="21"/>
        </w:rPr>
        <w:t>沙特知识产权局</w:t>
      </w:r>
      <w:r w:rsidRPr="00255033">
        <w:rPr>
          <w:rFonts w:ascii="SimSun" w:hAnsi="SimSun" w:hint="eastAsia"/>
          <w:sz w:val="21"/>
        </w:rPr>
        <w:t>在未来几年加强合作。</w:t>
      </w:r>
    </w:p>
    <w:p w14:paraId="29371FB0" w14:textId="77777777" w:rsidR="00B735FB"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沙特阿拉伯代表团感谢所有代表团支持</w:t>
      </w:r>
      <w:r w:rsidR="00B3599B" w:rsidRPr="00255033">
        <w:rPr>
          <w:rFonts w:ascii="SimSun" w:hAnsi="SimSun" w:hint="eastAsia"/>
          <w:sz w:val="21"/>
        </w:rPr>
        <w:t>指定</w:t>
      </w:r>
      <w:r w:rsidR="006D405D" w:rsidRPr="00255033">
        <w:rPr>
          <w:rFonts w:ascii="SimSun" w:hAnsi="SimSun" w:hint="eastAsia"/>
          <w:sz w:val="21"/>
        </w:rPr>
        <w:t>沙特知识产权局</w:t>
      </w:r>
      <w:r w:rsidRPr="00255033">
        <w:rPr>
          <w:rFonts w:ascii="SimSun" w:hAnsi="SimSun" w:hint="eastAsia"/>
          <w:sz w:val="21"/>
        </w:rPr>
        <w:t>为PCT国际检索和初步审查</w:t>
      </w:r>
      <w:r w:rsidR="00D17617" w:rsidRPr="00255033">
        <w:rPr>
          <w:rFonts w:ascii="SimSun" w:hAnsi="SimSun" w:hint="eastAsia"/>
          <w:sz w:val="21"/>
        </w:rPr>
        <w:t>单位</w:t>
      </w:r>
      <w:r w:rsidRPr="00255033">
        <w:rPr>
          <w:rFonts w:ascii="SimSun" w:hAnsi="SimSun" w:hint="eastAsia"/>
          <w:sz w:val="21"/>
        </w:rPr>
        <w:t>，并感谢</w:t>
      </w:r>
      <w:r w:rsidR="008624F1" w:rsidRPr="00255033">
        <w:rPr>
          <w:rFonts w:ascii="SimSun" w:hAnsi="SimSun" w:hint="eastAsia"/>
          <w:sz w:val="21"/>
        </w:rPr>
        <w:t>产权组织</w:t>
      </w:r>
      <w:r w:rsidRPr="00255033">
        <w:rPr>
          <w:rFonts w:ascii="SimSun" w:hAnsi="SimSun" w:hint="eastAsia"/>
          <w:sz w:val="21"/>
        </w:rPr>
        <w:t>各技术委员会在评估过程中协助</w:t>
      </w:r>
      <w:r w:rsidR="006D405D" w:rsidRPr="00255033">
        <w:rPr>
          <w:rFonts w:ascii="SimSun" w:hAnsi="SimSun" w:hint="eastAsia"/>
          <w:sz w:val="21"/>
        </w:rPr>
        <w:t>沙特知识产权局</w:t>
      </w:r>
      <w:r w:rsidRPr="00255033">
        <w:rPr>
          <w:rFonts w:ascii="SimSun" w:hAnsi="SimSun" w:hint="eastAsia"/>
          <w:sz w:val="21"/>
        </w:rPr>
        <w:t>取得这一成果。这是</w:t>
      </w:r>
      <w:r w:rsidR="006D405D" w:rsidRPr="00255033">
        <w:rPr>
          <w:rFonts w:ascii="SimSun" w:hAnsi="SimSun" w:hint="eastAsia"/>
          <w:sz w:val="21"/>
        </w:rPr>
        <w:t>沙特知识产权局</w:t>
      </w:r>
      <w:r w:rsidRPr="00255033">
        <w:rPr>
          <w:rFonts w:ascii="SimSun" w:hAnsi="SimSun" w:hint="eastAsia"/>
          <w:sz w:val="21"/>
        </w:rPr>
        <w:t>希望实现的目标之一，代表团承诺</w:t>
      </w:r>
      <w:r w:rsidR="006D405D" w:rsidRPr="00255033">
        <w:rPr>
          <w:rFonts w:ascii="SimSun" w:hAnsi="SimSun" w:hint="eastAsia"/>
          <w:sz w:val="21"/>
        </w:rPr>
        <w:t>沙特知识产权局</w:t>
      </w:r>
      <w:r w:rsidRPr="00255033">
        <w:rPr>
          <w:rFonts w:ascii="SimSun" w:hAnsi="SimSun" w:hint="eastAsia"/>
          <w:sz w:val="21"/>
        </w:rPr>
        <w:t>将提供更多服务，并</w:t>
      </w:r>
      <w:r w:rsidR="008624F1" w:rsidRPr="00255033">
        <w:rPr>
          <w:rFonts w:ascii="SimSun" w:hAnsi="SimSun" w:hint="eastAsia"/>
          <w:sz w:val="21"/>
        </w:rPr>
        <w:t>在工作中</w:t>
      </w:r>
      <w:r w:rsidRPr="00255033">
        <w:rPr>
          <w:rFonts w:ascii="SimSun" w:hAnsi="SimSun" w:hint="eastAsia"/>
          <w:sz w:val="21"/>
        </w:rPr>
        <w:t>成为最杰出的</w:t>
      </w:r>
      <w:r w:rsidR="00D17617" w:rsidRPr="00255033">
        <w:rPr>
          <w:rFonts w:ascii="SimSun" w:hAnsi="SimSun" w:hint="eastAsia"/>
          <w:sz w:val="21"/>
        </w:rPr>
        <w:t>单位</w:t>
      </w:r>
      <w:r w:rsidRPr="00255033">
        <w:rPr>
          <w:rFonts w:ascii="SimSun" w:hAnsi="SimSun" w:hint="eastAsia"/>
          <w:sz w:val="21"/>
        </w:rPr>
        <w:t>之</w:t>
      </w:r>
      <w:r w:rsidR="000C012E">
        <w:rPr>
          <w:rFonts w:ascii="MS Gothic" w:eastAsia="MS Gothic" w:hAnsi="MS Gothic" w:cs="MS Gothic" w:hint="eastAsia"/>
          <w:sz w:val="21"/>
        </w:rPr>
        <w:t>‍</w:t>
      </w:r>
      <w:proofErr w:type="gramStart"/>
      <w:r w:rsidRPr="00255033">
        <w:rPr>
          <w:rFonts w:ascii="SimSun" w:hAnsi="SimSun" w:hint="eastAsia"/>
          <w:sz w:val="21"/>
        </w:rPr>
        <w:t>一</w:t>
      </w:r>
      <w:proofErr w:type="gramEnd"/>
      <w:r w:rsidRPr="00255033">
        <w:rPr>
          <w:rFonts w:ascii="SimSun" w:hAnsi="SimSun" w:hint="eastAsia"/>
          <w:sz w:val="21"/>
        </w:rPr>
        <w:t>。</w:t>
      </w:r>
    </w:p>
    <w:p w14:paraId="42C77EA6" w14:textId="77777777" w:rsidR="00F072CB" w:rsidRPr="00255033" w:rsidRDefault="00F009E0"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海湾阿拉伯国家合作委员会专利局（海合会专利局）</w:t>
      </w:r>
      <w:r w:rsidR="008624F1" w:rsidRPr="00255033">
        <w:rPr>
          <w:rFonts w:ascii="SimSun" w:hAnsi="SimSun" w:hint="eastAsia"/>
          <w:sz w:val="21"/>
        </w:rPr>
        <w:t>的</w:t>
      </w:r>
      <w:r w:rsidRPr="00255033">
        <w:rPr>
          <w:rFonts w:ascii="SimSun" w:hAnsi="SimSun" w:hint="eastAsia"/>
          <w:sz w:val="21"/>
        </w:rPr>
        <w:t>代表</w:t>
      </w:r>
      <w:r w:rsidR="008624F1" w:rsidRPr="00255033">
        <w:rPr>
          <w:rFonts w:ascii="SimSun" w:hAnsi="SimSun" w:hint="eastAsia"/>
          <w:sz w:val="21"/>
        </w:rPr>
        <w:t>就</w:t>
      </w:r>
      <w:r w:rsidRPr="00255033">
        <w:rPr>
          <w:rFonts w:ascii="SimSun" w:hAnsi="SimSun" w:hint="eastAsia"/>
          <w:sz w:val="21"/>
        </w:rPr>
        <w:t>沙特知识产权局</w:t>
      </w:r>
      <w:r w:rsidR="008624F1" w:rsidRPr="00255033">
        <w:rPr>
          <w:rFonts w:ascii="SimSun" w:hAnsi="SimSun" w:hint="eastAsia"/>
          <w:sz w:val="21"/>
        </w:rPr>
        <w:t>被指定</w:t>
      </w:r>
      <w:r w:rsidRPr="00255033">
        <w:rPr>
          <w:rFonts w:ascii="SimSun" w:hAnsi="SimSun" w:hint="eastAsia"/>
          <w:sz w:val="21"/>
        </w:rPr>
        <w:t>为PCT国际检索和初步审查</w:t>
      </w:r>
      <w:r w:rsidR="00D17617" w:rsidRPr="00255033">
        <w:rPr>
          <w:rFonts w:ascii="SimSun" w:hAnsi="SimSun" w:hint="eastAsia"/>
          <w:sz w:val="21"/>
        </w:rPr>
        <w:t>单位</w:t>
      </w:r>
      <w:r w:rsidR="008624F1" w:rsidRPr="00255033">
        <w:rPr>
          <w:rFonts w:ascii="SimSun" w:hAnsi="SimSun" w:hint="eastAsia"/>
          <w:sz w:val="21"/>
        </w:rPr>
        <w:t>向沙特阿拉伯代表团表示祝贺</w:t>
      </w:r>
      <w:r w:rsidRPr="00255033">
        <w:rPr>
          <w:rFonts w:ascii="SimSun" w:hAnsi="SimSun" w:hint="eastAsia"/>
          <w:sz w:val="21"/>
        </w:rPr>
        <w:t>。作为海合会国家中第一个被指定为国际检索和初步审查</w:t>
      </w:r>
      <w:r w:rsidR="00D17617" w:rsidRPr="00255033">
        <w:rPr>
          <w:rFonts w:ascii="SimSun" w:hAnsi="SimSun" w:hint="eastAsia"/>
          <w:sz w:val="21"/>
        </w:rPr>
        <w:t>单位</w:t>
      </w:r>
      <w:r w:rsidRPr="00255033">
        <w:rPr>
          <w:rFonts w:ascii="SimSun" w:hAnsi="SimSun" w:hint="eastAsia"/>
          <w:sz w:val="21"/>
        </w:rPr>
        <w:t>的知识产权局，</w:t>
      </w:r>
      <w:r w:rsidR="006D405D" w:rsidRPr="00255033">
        <w:rPr>
          <w:rFonts w:ascii="SimSun" w:hAnsi="SimSun" w:hint="eastAsia"/>
          <w:sz w:val="21"/>
        </w:rPr>
        <w:t>沙特知识产权局</w:t>
      </w:r>
      <w:r w:rsidRPr="00255033">
        <w:rPr>
          <w:rFonts w:ascii="SimSun" w:hAnsi="SimSun" w:hint="eastAsia"/>
          <w:sz w:val="21"/>
        </w:rPr>
        <w:t>的成就</w:t>
      </w:r>
      <w:r w:rsidR="00F30A15">
        <w:rPr>
          <w:rFonts w:ascii="SimSun" w:hAnsi="SimSun" w:hint="eastAsia"/>
          <w:sz w:val="21"/>
        </w:rPr>
        <w:t>反映了</w:t>
      </w:r>
      <w:r w:rsidRPr="00255033">
        <w:rPr>
          <w:rFonts w:ascii="SimSun" w:hAnsi="SimSun" w:hint="eastAsia"/>
          <w:sz w:val="21"/>
        </w:rPr>
        <w:t>沙特阿拉伯和海合会其他国家知识产权的全面发展。在与产权组织国际局签订的协议中，将阿拉伯语作为</w:t>
      </w:r>
      <w:r w:rsidR="006D405D" w:rsidRPr="00255033">
        <w:rPr>
          <w:rFonts w:ascii="SimSun" w:hAnsi="SimSun" w:hint="eastAsia"/>
          <w:sz w:val="21"/>
        </w:rPr>
        <w:t>沙特知识产权局</w:t>
      </w:r>
      <w:r w:rsidRPr="00255033">
        <w:rPr>
          <w:rFonts w:ascii="SimSun" w:hAnsi="SimSun" w:hint="eastAsia"/>
          <w:sz w:val="21"/>
        </w:rPr>
        <w:t>接受的语言之一，将为讲阿拉伯语的人在使用PCT时提供额外的价值，并将加强阿拉伯语在</w:t>
      </w:r>
      <w:proofErr w:type="gramStart"/>
      <w:r w:rsidRPr="00255033">
        <w:rPr>
          <w:rFonts w:ascii="SimSun" w:hAnsi="SimSun" w:hint="eastAsia"/>
          <w:sz w:val="21"/>
        </w:rPr>
        <w:t>各个技术</w:t>
      </w:r>
      <w:proofErr w:type="gramEnd"/>
      <w:r w:rsidRPr="00255033">
        <w:rPr>
          <w:rFonts w:ascii="SimSun" w:hAnsi="SimSun" w:hint="eastAsia"/>
          <w:sz w:val="21"/>
        </w:rPr>
        <w:t>领域的知识基础。海合会专利局祝愿</w:t>
      </w:r>
      <w:r w:rsidR="006D405D" w:rsidRPr="00255033">
        <w:rPr>
          <w:rFonts w:ascii="SimSun" w:hAnsi="SimSun" w:hint="eastAsia"/>
          <w:sz w:val="21"/>
        </w:rPr>
        <w:t>沙特知识产权局</w:t>
      </w:r>
      <w:r w:rsidRPr="00255033">
        <w:rPr>
          <w:rFonts w:ascii="SimSun" w:hAnsi="SimSun" w:hint="eastAsia"/>
          <w:sz w:val="21"/>
        </w:rPr>
        <w:t>在履行新职能时一切顺利。</w:t>
      </w:r>
    </w:p>
    <w:p w14:paraId="7A528CBA" w14:textId="77777777" w:rsidR="00F0079A" w:rsidRPr="00255033" w:rsidRDefault="008C218C" w:rsidP="00F953A9">
      <w:pPr>
        <w:pStyle w:val="Heading3"/>
        <w:overflowPunct w:val="0"/>
        <w:spacing w:before="0" w:afterLines="50" w:after="120" w:line="340" w:lineRule="atLeast"/>
        <w:rPr>
          <w:rFonts w:ascii="SimSun" w:hAnsi="SimSun"/>
          <w:sz w:val="21"/>
        </w:rPr>
      </w:pPr>
      <w:r w:rsidRPr="00255033">
        <w:rPr>
          <w:rFonts w:ascii="SimSun" w:hAnsi="SimSun" w:hint="eastAsia"/>
          <w:sz w:val="21"/>
        </w:rPr>
        <w:t>《PCT实施细则》拟议修正案</w:t>
      </w:r>
    </w:p>
    <w:p w14:paraId="4BEDC763" w14:textId="6FED86F9" w:rsidR="00F0079A" w:rsidRPr="00255033" w:rsidRDefault="007067CE"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sz w:val="21"/>
        </w:rPr>
        <w:t>讨论依据文件</w:t>
      </w:r>
      <w:hyperlink r:id="rId9" w:history="1">
        <w:r w:rsidR="00F0079A" w:rsidRPr="00C74119">
          <w:rPr>
            <w:rStyle w:val="Hyperlink"/>
            <w:rFonts w:ascii="SimSun" w:hAnsi="SimSun"/>
            <w:sz w:val="21"/>
          </w:rPr>
          <w:t>PCT/A/55/2</w:t>
        </w:r>
      </w:hyperlink>
      <w:r w:rsidRPr="00255033">
        <w:rPr>
          <w:rFonts w:ascii="SimSun" w:hAnsi="SimSun" w:hint="eastAsia"/>
          <w:sz w:val="21"/>
        </w:rPr>
        <w:t>进行。</w:t>
      </w:r>
    </w:p>
    <w:p w14:paraId="7C06F8B4" w14:textId="77777777" w:rsidR="002C0A29" w:rsidRPr="00255033" w:rsidRDefault="00796C8A"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秘书处介绍文件，其中提出了对《PCT实施细则》的两套拟议修正案和对《</w:t>
      </w:r>
      <w:r w:rsidR="00DB6A7F" w:rsidRPr="00255033">
        <w:rPr>
          <w:rFonts w:ascii="SimSun" w:hAnsi="SimSun" w:hint="eastAsia"/>
          <w:sz w:val="21"/>
        </w:rPr>
        <w:t>实施细则</w:t>
      </w:r>
      <w:r w:rsidRPr="00255033">
        <w:rPr>
          <w:rFonts w:ascii="SimSun" w:hAnsi="SimSun" w:hint="eastAsia"/>
          <w:sz w:val="21"/>
        </w:rPr>
        <w:t>》</w:t>
      </w:r>
      <w:r w:rsidR="00620FFC" w:rsidRPr="00255033">
        <w:rPr>
          <w:rFonts w:ascii="SimSun" w:hAnsi="SimSun" w:hint="eastAsia"/>
          <w:sz w:val="21"/>
        </w:rPr>
        <w:t>细则</w:t>
      </w:r>
      <w:r w:rsidRPr="00255033">
        <w:rPr>
          <w:rFonts w:ascii="SimSun" w:hAnsi="SimSun" w:hint="eastAsia"/>
          <w:sz w:val="21"/>
        </w:rPr>
        <w:t>82之四</w:t>
      </w:r>
      <w:r w:rsidR="00DB6A7F" w:rsidRPr="00255033">
        <w:rPr>
          <w:rFonts w:ascii="SimSun" w:hAnsi="SimSun" w:hint="eastAsia"/>
          <w:sz w:val="21"/>
        </w:rPr>
        <w:t>.</w:t>
      </w:r>
      <w:r w:rsidRPr="00255033">
        <w:rPr>
          <w:rFonts w:ascii="SimSun" w:hAnsi="SimSun" w:hint="eastAsia"/>
          <w:sz w:val="21"/>
        </w:rPr>
        <w:t>3法文本的修正案。文件第7段列出了每项修正案的拟议生效日期。文件附件一中提出的修正案规定了国际申请包含不同语言部分且所有这些语言均被主管受理局接受的程序。文件附件二中提出的</w:t>
      </w:r>
      <w:r w:rsidR="00DB6A7F" w:rsidRPr="00255033">
        <w:rPr>
          <w:rFonts w:ascii="SimSun" w:hAnsi="SimSun" w:hint="eastAsia"/>
          <w:sz w:val="21"/>
        </w:rPr>
        <w:t>拟议修正案</w:t>
      </w:r>
      <w:r w:rsidRPr="00255033">
        <w:rPr>
          <w:rFonts w:ascii="SimSun" w:hAnsi="SimSun" w:hint="eastAsia"/>
          <w:sz w:val="21"/>
        </w:rPr>
        <w:t>对国际检索</w:t>
      </w:r>
      <w:r w:rsidR="00D17617" w:rsidRPr="00255033">
        <w:rPr>
          <w:rFonts w:ascii="SimSun" w:hAnsi="SimSun" w:hint="eastAsia"/>
          <w:sz w:val="21"/>
        </w:rPr>
        <w:t>单位</w:t>
      </w:r>
      <w:r w:rsidRPr="00255033">
        <w:rPr>
          <w:rFonts w:ascii="SimSun" w:hAnsi="SimSun" w:hint="eastAsia"/>
          <w:sz w:val="21"/>
        </w:rPr>
        <w:t>在国际检索期间需要查阅的最低限度</w:t>
      </w:r>
      <w:r w:rsidR="00DB6A7F" w:rsidRPr="00255033">
        <w:rPr>
          <w:rFonts w:ascii="SimSun" w:hAnsi="SimSun" w:hint="eastAsia"/>
          <w:sz w:val="21"/>
        </w:rPr>
        <w:t>文献</w:t>
      </w:r>
      <w:r w:rsidRPr="00255033">
        <w:rPr>
          <w:rFonts w:ascii="SimSun" w:hAnsi="SimSun" w:hint="eastAsia"/>
          <w:sz w:val="21"/>
        </w:rPr>
        <w:t>的定义进行了修订，同时对国际检索</w:t>
      </w:r>
      <w:r w:rsidR="00D17617" w:rsidRPr="00255033">
        <w:rPr>
          <w:rFonts w:ascii="SimSun" w:hAnsi="SimSun" w:hint="eastAsia"/>
          <w:sz w:val="21"/>
        </w:rPr>
        <w:t>单位</w:t>
      </w:r>
      <w:r w:rsidRPr="00255033">
        <w:rPr>
          <w:rFonts w:ascii="SimSun" w:hAnsi="SimSun" w:hint="eastAsia"/>
          <w:sz w:val="21"/>
        </w:rPr>
        <w:t>和国际初审</w:t>
      </w:r>
      <w:r w:rsidR="00D17617" w:rsidRPr="00255033">
        <w:rPr>
          <w:rFonts w:ascii="SimSun" w:hAnsi="SimSun" w:hint="eastAsia"/>
          <w:sz w:val="21"/>
        </w:rPr>
        <w:t>单位</w:t>
      </w:r>
      <w:r w:rsidRPr="00255033">
        <w:rPr>
          <w:rFonts w:ascii="SimSun" w:hAnsi="SimSun" w:hint="eastAsia"/>
          <w:sz w:val="21"/>
        </w:rPr>
        <w:t>在被指定之前需要满足的最低限度要求以及在被指定期间需要继续满足的最低限度要求进行了修改。关于附件</w:t>
      </w:r>
      <w:r w:rsidR="00DB6A7F" w:rsidRPr="00255033">
        <w:rPr>
          <w:rFonts w:ascii="SimSun" w:hAnsi="SimSun" w:hint="eastAsia"/>
          <w:sz w:val="21"/>
        </w:rPr>
        <w:t>二</w:t>
      </w:r>
      <w:r w:rsidRPr="00255033">
        <w:rPr>
          <w:rFonts w:ascii="SimSun" w:hAnsi="SimSun" w:hint="eastAsia"/>
          <w:sz w:val="21"/>
        </w:rPr>
        <w:t>中的修正案，文件第8段建议大会通过一项谅解，</w:t>
      </w:r>
      <w:r w:rsidR="00DB6A7F" w:rsidRPr="00255033">
        <w:rPr>
          <w:rFonts w:ascii="SimSun" w:hAnsi="SimSun" w:hint="eastAsia"/>
          <w:sz w:val="21"/>
        </w:rPr>
        <w:t>对于</w:t>
      </w:r>
      <w:r w:rsidRPr="00255033">
        <w:rPr>
          <w:rFonts w:ascii="SimSun" w:hAnsi="SimSun" w:hint="eastAsia"/>
          <w:sz w:val="21"/>
        </w:rPr>
        <w:t>为代表国家主管局之间的合作而建立的政府间组织，但该组织本身不颁发专利或公布专利申请</w:t>
      </w:r>
      <w:r w:rsidR="00DB6A7F" w:rsidRPr="00255033">
        <w:rPr>
          <w:rFonts w:ascii="SimSun" w:hAnsi="SimSun" w:hint="eastAsia"/>
          <w:sz w:val="21"/>
        </w:rPr>
        <w:t>的情况，解释一项</w:t>
      </w:r>
      <w:r w:rsidRPr="00255033">
        <w:rPr>
          <w:rFonts w:ascii="SimSun" w:hAnsi="SimSun" w:hint="eastAsia"/>
          <w:sz w:val="21"/>
        </w:rPr>
        <w:t>最低要求。附件中的两套提案</w:t>
      </w:r>
      <w:r w:rsidR="00DB6A7F" w:rsidRPr="00255033">
        <w:rPr>
          <w:rFonts w:ascii="SimSun" w:hAnsi="SimSun" w:hint="eastAsia"/>
          <w:sz w:val="21"/>
        </w:rPr>
        <w:t>和《谅解》</w:t>
      </w:r>
      <w:r w:rsidRPr="00255033">
        <w:rPr>
          <w:rFonts w:ascii="SimSun" w:hAnsi="SimSun" w:hint="eastAsia"/>
          <w:sz w:val="21"/>
        </w:rPr>
        <w:t>均已得到PCT工作组的审查和批准。最后，文件第6段中关于修改细则82之四</w:t>
      </w:r>
      <w:r w:rsidR="00DB6A7F" w:rsidRPr="00255033">
        <w:rPr>
          <w:rFonts w:ascii="SimSun" w:hAnsi="SimSun" w:hint="eastAsia"/>
          <w:sz w:val="21"/>
        </w:rPr>
        <w:t>.</w:t>
      </w:r>
      <w:r w:rsidRPr="00255033">
        <w:rPr>
          <w:rFonts w:ascii="SimSun" w:hAnsi="SimSun" w:hint="eastAsia"/>
          <w:sz w:val="21"/>
        </w:rPr>
        <w:t>3(c)项法文本的建议，旨在解决大会2021年通过的该细则英文本与法文本之间的不一致问题，使法文本符合该细则的预期效果。</w:t>
      </w:r>
    </w:p>
    <w:p w14:paraId="32800621" w14:textId="77777777" w:rsidR="00C44679" w:rsidRPr="00255033" w:rsidRDefault="00796C8A"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俄罗斯联邦代表团欢迎关于扩大PCT体系所使用语言的建议，并希望在PCT框架下进一步促进多语言的使用。具体而言，代表团欢迎国际局在PCT工作组中提出的倡议，扩大申请人和国家局与国际局沟通时使用的语言数量，争取使用全部10种PCT公布语言，其中一种是俄语。这一举措符合</w:t>
      </w:r>
      <w:r w:rsidR="006424A6" w:rsidRPr="00255033">
        <w:rPr>
          <w:rFonts w:ascii="SimSun" w:hAnsi="SimSun" w:hint="eastAsia"/>
          <w:sz w:val="21"/>
        </w:rPr>
        <w:t>产权组</w:t>
      </w:r>
      <w:r w:rsidR="006424A6" w:rsidRPr="00255033">
        <w:rPr>
          <w:rFonts w:ascii="SimSun" w:hAnsi="SimSun" w:hint="eastAsia"/>
          <w:sz w:val="21"/>
        </w:rPr>
        <w:lastRenderedPageBreak/>
        <w:t>织</w:t>
      </w:r>
      <w:r w:rsidRPr="00255033">
        <w:rPr>
          <w:rFonts w:ascii="SimSun" w:hAnsi="SimSun" w:hint="eastAsia"/>
          <w:sz w:val="21"/>
        </w:rPr>
        <w:t>促进多语言使用的政策，也符合本组织经修订的语言计划，包括2022</w:t>
      </w:r>
      <w:r w:rsidR="006424A6" w:rsidRPr="00255033">
        <w:rPr>
          <w:rFonts w:ascii="SimSun" w:hAnsi="SimSun"/>
          <w:sz w:val="21"/>
        </w:rPr>
        <w:t>-</w:t>
      </w:r>
      <w:r w:rsidRPr="00255033">
        <w:rPr>
          <w:rFonts w:ascii="SimSun" w:hAnsi="SimSun" w:hint="eastAsia"/>
          <w:sz w:val="21"/>
        </w:rPr>
        <w:t>2026年中期战略计划在内的许多文件都涵盖了这一计划。代表团认为，这一举措将提高服务质量，方便PCT体系的使用，</w:t>
      </w:r>
      <w:r w:rsidR="006424A6" w:rsidRPr="00255033">
        <w:rPr>
          <w:rFonts w:ascii="SimSun" w:hAnsi="SimSun" w:hint="eastAsia"/>
          <w:sz w:val="21"/>
        </w:rPr>
        <w:t>为</w:t>
      </w:r>
      <w:r w:rsidRPr="00255033">
        <w:rPr>
          <w:rFonts w:ascii="SimSun" w:hAnsi="SimSun" w:hint="eastAsia"/>
          <w:sz w:val="21"/>
        </w:rPr>
        <w:t>申请人和主管</w:t>
      </w:r>
      <w:proofErr w:type="gramStart"/>
      <w:r w:rsidRPr="00255033">
        <w:rPr>
          <w:rFonts w:ascii="SimSun" w:hAnsi="SimSun" w:hint="eastAsia"/>
          <w:sz w:val="21"/>
        </w:rPr>
        <w:t>局</w:t>
      </w:r>
      <w:r w:rsidR="006424A6" w:rsidRPr="00255033">
        <w:rPr>
          <w:rFonts w:ascii="SimSun" w:hAnsi="SimSun" w:hint="eastAsia"/>
          <w:sz w:val="21"/>
        </w:rPr>
        <w:t>增加</w:t>
      </w:r>
      <w:proofErr w:type="gramEnd"/>
      <w:r w:rsidRPr="00255033">
        <w:rPr>
          <w:rFonts w:ascii="SimSun" w:hAnsi="SimSun" w:hint="eastAsia"/>
          <w:sz w:val="21"/>
        </w:rPr>
        <w:t>语言数量。这也将有助于确保申请人获得PCT服务。代表团认为，增加语种将对整个PCT体系产生积极影响，提高其对用户的便利性和吸引力。俄罗斯联邦与欧亚专利局正在继续开展模板翻译工作，并改进PCT的机器翻译工具。代表团希望在PCT工作组下届会议上就通信语言问题进行建设性对话，以便在这一问题上达成妥协。</w:t>
      </w:r>
    </w:p>
    <w:p w14:paraId="7477F9D3" w14:textId="77777777" w:rsidR="00C44679" w:rsidRPr="000C012E" w:rsidRDefault="00796C8A" w:rsidP="000C012E">
      <w:pPr>
        <w:pStyle w:val="ONUME"/>
        <w:tabs>
          <w:tab w:val="clear" w:pos="567"/>
        </w:tabs>
        <w:overflowPunct w:val="0"/>
        <w:spacing w:afterLines="50" w:after="120" w:line="340" w:lineRule="atLeast"/>
        <w:jc w:val="both"/>
        <w:rPr>
          <w:rFonts w:ascii="SimSun" w:hAnsi="SimSun"/>
          <w:sz w:val="21"/>
          <w:szCs w:val="21"/>
        </w:rPr>
      </w:pPr>
      <w:r w:rsidRPr="000C012E">
        <w:rPr>
          <w:rFonts w:ascii="SimSun" w:hAnsi="SimSun" w:hint="eastAsia"/>
          <w:sz w:val="21"/>
          <w:szCs w:val="21"/>
        </w:rPr>
        <w:t>欧亚专利组织（EAPO）</w:t>
      </w:r>
      <w:r w:rsidR="006424A6" w:rsidRPr="000C012E">
        <w:rPr>
          <w:rFonts w:ascii="SimSun" w:hAnsi="SimSun" w:hint="eastAsia"/>
          <w:sz w:val="21"/>
          <w:szCs w:val="21"/>
        </w:rPr>
        <w:t>的</w:t>
      </w:r>
      <w:r w:rsidRPr="000C012E">
        <w:rPr>
          <w:rFonts w:ascii="SimSun" w:hAnsi="SimSun" w:hint="eastAsia"/>
          <w:sz w:val="21"/>
          <w:szCs w:val="21"/>
        </w:rPr>
        <w:t>代表对指定</w:t>
      </w:r>
      <w:r w:rsidR="006424A6" w:rsidRPr="000C012E">
        <w:rPr>
          <w:rFonts w:ascii="SimSun" w:hAnsi="SimSun" w:hint="eastAsia"/>
          <w:sz w:val="21"/>
          <w:szCs w:val="21"/>
        </w:rPr>
        <w:t>沙特知识产权局</w:t>
      </w:r>
      <w:r w:rsidRPr="000C012E">
        <w:rPr>
          <w:rFonts w:ascii="SimSun" w:hAnsi="SimSun" w:hint="eastAsia"/>
          <w:sz w:val="21"/>
          <w:szCs w:val="21"/>
        </w:rPr>
        <w:t>为PCT国际检索和初步审查</w:t>
      </w:r>
      <w:r w:rsidR="00D17617" w:rsidRPr="000C012E">
        <w:rPr>
          <w:rFonts w:ascii="SimSun" w:hAnsi="SimSun" w:hint="eastAsia"/>
          <w:sz w:val="21"/>
          <w:szCs w:val="21"/>
        </w:rPr>
        <w:t>单位</w:t>
      </w:r>
      <w:r w:rsidRPr="000C012E">
        <w:rPr>
          <w:rFonts w:ascii="SimSun" w:hAnsi="SimSun" w:hint="eastAsia"/>
          <w:sz w:val="21"/>
          <w:szCs w:val="21"/>
        </w:rPr>
        <w:t>表示</w:t>
      </w:r>
      <w:r w:rsidR="000C012E" w:rsidRPr="000C012E">
        <w:rPr>
          <w:rFonts w:ascii="SimSun" w:hAnsi="SimSun" w:hint="eastAsia"/>
          <w:sz w:val="21"/>
          <w:szCs w:val="21"/>
        </w:rPr>
        <w:t>祝贺和</w:t>
      </w:r>
      <w:r w:rsidRPr="000C012E">
        <w:rPr>
          <w:rFonts w:ascii="SimSun" w:hAnsi="SimSun" w:hint="eastAsia"/>
          <w:sz w:val="21"/>
          <w:szCs w:val="21"/>
        </w:rPr>
        <w:t>欢迎</w:t>
      </w:r>
      <w:r w:rsidR="000C012E" w:rsidRPr="000C012E">
        <w:rPr>
          <w:rFonts w:ascii="SimSun" w:hAnsi="SimSun" w:hint="eastAsia"/>
          <w:sz w:val="21"/>
          <w:szCs w:val="21"/>
        </w:rPr>
        <w:t>，并祝愿它在新地位上取得成功</w:t>
      </w:r>
      <w:r w:rsidRPr="000C012E">
        <w:rPr>
          <w:rFonts w:ascii="SimSun" w:hAnsi="SimSun" w:hint="eastAsia"/>
          <w:sz w:val="21"/>
          <w:szCs w:val="21"/>
        </w:rPr>
        <w:t>。</w:t>
      </w:r>
      <w:r w:rsidR="00937B4C" w:rsidRPr="000C012E">
        <w:rPr>
          <w:rFonts w:ascii="SimSun" w:hAnsi="SimSun" w:hint="eastAsia"/>
          <w:sz w:val="21"/>
          <w:szCs w:val="21"/>
        </w:rPr>
        <w:t>该</w:t>
      </w:r>
      <w:r w:rsidRPr="000C012E">
        <w:rPr>
          <w:rFonts w:ascii="SimSun" w:hAnsi="SimSun" w:hint="eastAsia"/>
          <w:sz w:val="21"/>
          <w:szCs w:val="21"/>
        </w:rPr>
        <w:t>代表对申请人，尤其是讲阿拉伯语的申请人，在选择国际检索</w:t>
      </w:r>
      <w:r w:rsidR="00D17617" w:rsidRPr="000C012E">
        <w:rPr>
          <w:rFonts w:ascii="SimSun" w:hAnsi="SimSun" w:hint="eastAsia"/>
          <w:sz w:val="21"/>
          <w:szCs w:val="21"/>
        </w:rPr>
        <w:t>单位</w:t>
      </w:r>
      <w:r w:rsidRPr="000C012E">
        <w:rPr>
          <w:rFonts w:ascii="SimSun" w:hAnsi="SimSun" w:hint="eastAsia"/>
          <w:sz w:val="21"/>
          <w:szCs w:val="21"/>
        </w:rPr>
        <w:t>方面有了更多的选择，以及PCT体系中的语言使用范围得到了扩大表示</w:t>
      </w:r>
      <w:r w:rsidR="000C012E">
        <w:rPr>
          <w:rFonts w:ascii="SimSun" w:hAnsi="SimSun" w:hint="eastAsia"/>
          <w:sz w:val="21"/>
          <w:szCs w:val="21"/>
        </w:rPr>
        <w:t>感谢</w:t>
      </w:r>
      <w:r w:rsidRPr="000C012E">
        <w:rPr>
          <w:rFonts w:ascii="SimSun" w:hAnsi="SimSun" w:hint="eastAsia"/>
          <w:sz w:val="21"/>
          <w:szCs w:val="21"/>
        </w:rPr>
        <w:t>。</w:t>
      </w:r>
      <w:r w:rsidR="00937B4C" w:rsidRPr="000C012E">
        <w:rPr>
          <w:rFonts w:ascii="SimSun" w:hAnsi="SimSun" w:hint="eastAsia"/>
          <w:sz w:val="21"/>
          <w:szCs w:val="21"/>
        </w:rPr>
        <w:t>该</w:t>
      </w:r>
      <w:r w:rsidRPr="000C012E">
        <w:rPr>
          <w:rFonts w:ascii="SimSun" w:hAnsi="SimSun" w:hint="eastAsia"/>
          <w:sz w:val="21"/>
          <w:szCs w:val="21"/>
        </w:rPr>
        <w:t>代表还指出，欧</w:t>
      </w:r>
      <w:r w:rsidR="00937B4C" w:rsidRPr="000C012E">
        <w:rPr>
          <w:rFonts w:ascii="SimSun" w:hAnsi="SimSun" w:hint="eastAsia"/>
          <w:sz w:val="21"/>
          <w:szCs w:val="21"/>
        </w:rPr>
        <w:t>亚</w:t>
      </w:r>
      <w:r w:rsidRPr="000C012E">
        <w:rPr>
          <w:rFonts w:ascii="SimSun" w:hAnsi="SimSun" w:hint="eastAsia"/>
          <w:sz w:val="21"/>
          <w:szCs w:val="21"/>
        </w:rPr>
        <w:t>专利组织支持文件中关于更新PCT最低限度文献定义的拟议修正案。欧</w:t>
      </w:r>
      <w:r w:rsidR="00937B4C" w:rsidRPr="000C012E">
        <w:rPr>
          <w:rFonts w:ascii="SimSun" w:hAnsi="SimSun" w:hint="eastAsia"/>
          <w:sz w:val="21"/>
          <w:szCs w:val="21"/>
        </w:rPr>
        <w:t>亚</w:t>
      </w:r>
      <w:r w:rsidRPr="000C012E">
        <w:rPr>
          <w:rFonts w:ascii="SimSun" w:hAnsi="SimSun" w:hint="eastAsia"/>
          <w:sz w:val="21"/>
          <w:szCs w:val="21"/>
        </w:rPr>
        <w:t>专利组织认为，国际局应作为提供专利数据的单一协调</w:t>
      </w:r>
      <w:r w:rsidR="00D17617" w:rsidRPr="000C012E">
        <w:rPr>
          <w:rFonts w:ascii="SimSun" w:hAnsi="SimSun" w:hint="eastAsia"/>
          <w:sz w:val="21"/>
          <w:szCs w:val="21"/>
        </w:rPr>
        <w:t>单位</w:t>
      </w:r>
      <w:r w:rsidRPr="000C012E">
        <w:rPr>
          <w:rFonts w:ascii="SimSun" w:hAnsi="SimSun" w:hint="eastAsia"/>
          <w:sz w:val="21"/>
          <w:szCs w:val="21"/>
        </w:rPr>
        <w:t>，这一点非常重要，而为这些数据建立一个中央存储库将是实现这一目标的最简单、最有效的解决方案。</w:t>
      </w:r>
      <w:r w:rsidR="00937B4C" w:rsidRPr="000C012E">
        <w:rPr>
          <w:rFonts w:ascii="SimSun" w:hAnsi="SimSun" w:hint="eastAsia"/>
          <w:sz w:val="21"/>
          <w:szCs w:val="21"/>
        </w:rPr>
        <w:t>该</w:t>
      </w:r>
      <w:r w:rsidRPr="000C012E">
        <w:rPr>
          <w:rFonts w:ascii="SimSun" w:hAnsi="SimSun" w:hint="eastAsia"/>
          <w:sz w:val="21"/>
          <w:szCs w:val="21"/>
        </w:rPr>
        <w:t>代表还感谢国际局在PCT工作组上讨论的关于增加与申请人和国家局通信的语言数量的建议。在国际申请中使用包括俄文在内的10种PCT公布语言中的任何一种进行通信的建议，符合</w:t>
      </w:r>
      <w:r w:rsidR="00937B4C" w:rsidRPr="000C012E">
        <w:rPr>
          <w:rFonts w:ascii="SimSun" w:hAnsi="SimSun" w:hint="eastAsia"/>
          <w:sz w:val="21"/>
          <w:szCs w:val="21"/>
        </w:rPr>
        <w:t>产权组织</w:t>
      </w:r>
      <w:r w:rsidRPr="000C012E">
        <w:rPr>
          <w:rFonts w:ascii="SimSun" w:hAnsi="SimSun" w:hint="eastAsia"/>
          <w:sz w:val="21"/>
          <w:szCs w:val="21"/>
        </w:rPr>
        <w:t>促进使用多种语言的语言政策。</w:t>
      </w:r>
      <w:r w:rsidR="00937B4C" w:rsidRPr="000C012E">
        <w:rPr>
          <w:rFonts w:ascii="SimSun" w:hAnsi="SimSun" w:hint="eastAsia"/>
          <w:sz w:val="21"/>
          <w:szCs w:val="21"/>
        </w:rPr>
        <w:t>该</w:t>
      </w:r>
      <w:r w:rsidRPr="000C012E">
        <w:rPr>
          <w:rFonts w:ascii="SimSun" w:hAnsi="SimSun" w:hint="eastAsia"/>
          <w:sz w:val="21"/>
          <w:szCs w:val="21"/>
        </w:rPr>
        <w:t>代表认为，促进与俄语用户的交流十分重要，因为俄语在《欧亚专利公约》缔约国中得到广泛使用，也是欧</w:t>
      </w:r>
      <w:r w:rsidR="00937B4C" w:rsidRPr="000C012E">
        <w:rPr>
          <w:rFonts w:ascii="SimSun" w:hAnsi="SimSun" w:hint="eastAsia"/>
          <w:sz w:val="21"/>
          <w:szCs w:val="21"/>
        </w:rPr>
        <w:t>亚</w:t>
      </w:r>
      <w:r w:rsidRPr="000C012E">
        <w:rPr>
          <w:rFonts w:ascii="SimSun" w:hAnsi="SimSun" w:hint="eastAsia"/>
          <w:sz w:val="21"/>
          <w:szCs w:val="21"/>
        </w:rPr>
        <w:t>专利组织的官方语言。</w:t>
      </w:r>
      <w:r w:rsidR="00937B4C" w:rsidRPr="000C012E">
        <w:rPr>
          <w:rFonts w:ascii="SimSun" w:hAnsi="SimSun" w:hint="eastAsia"/>
          <w:sz w:val="21"/>
          <w:szCs w:val="21"/>
        </w:rPr>
        <w:t>该</w:t>
      </w:r>
      <w:r w:rsidRPr="000C012E">
        <w:rPr>
          <w:rFonts w:ascii="SimSun" w:hAnsi="SimSun" w:hint="eastAsia"/>
          <w:sz w:val="21"/>
          <w:szCs w:val="21"/>
        </w:rPr>
        <w:t>代表重申，欧亚专利局愿意在俄文翻译方面与国际局合作。</w:t>
      </w:r>
    </w:p>
    <w:p w14:paraId="39B80BB0" w14:textId="77777777" w:rsidR="00E91F7A" w:rsidRPr="00255033" w:rsidRDefault="00796C8A"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拉丁美洲知识产权学院（ELAPI）的代表支持拟议的修正案，特别是关于语言标准的修正案，因为这将提高申请检索和审查的效率，避免不必要的翻译或更正，增加国家阶段处理的成本。该代表还支持有关专利局提供信息的修正案。这不仅应改善审查员可获得的信息，而且也应为</w:t>
      </w:r>
      <w:r w:rsidR="00937B4C" w:rsidRPr="00255033">
        <w:rPr>
          <w:rFonts w:ascii="SimSun" w:hAnsi="SimSun" w:hint="eastAsia"/>
          <w:sz w:val="21"/>
        </w:rPr>
        <w:t>产权组织</w:t>
      </w:r>
      <w:r w:rsidRPr="00255033">
        <w:rPr>
          <w:rFonts w:ascii="SimSun" w:hAnsi="SimSun" w:hint="eastAsia"/>
          <w:sz w:val="21"/>
        </w:rPr>
        <w:t>公共数据库提供信息。这将有助于PCT体系信息的</w:t>
      </w:r>
      <w:r w:rsidR="00937B4C" w:rsidRPr="00255033">
        <w:rPr>
          <w:rFonts w:ascii="SimSun" w:hAnsi="SimSun" w:hint="eastAsia"/>
          <w:sz w:val="21"/>
        </w:rPr>
        <w:t>日常</w:t>
      </w:r>
      <w:r w:rsidRPr="00255033">
        <w:rPr>
          <w:rFonts w:ascii="SimSun" w:hAnsi="SimSun" w:hint="eastAsia"/>
          <w:sz w:val="21"/>
        </w:rPr>
        <w:t>民主化和传播，使科学家、学者、创新者和学生能够了解新技术的发展。ELAPI已做好充分准备，以其专业知识为任何PCT缔约国和大会提供支持。</w:t>
      </w:r>
    </w:p>
    <w:p w14:paraId="64A5387A" w14:textId="77777777" w:rsidR="000909FD" w:rsidRPr="00255033" w:rsidRDefault="008C218C" w:rsidP="00914AEA">
      <w:pPr>
        <w:pStyle w:val="ONUME"/>
        <w:tabs>
          <w:tab w:val="clear" w:pos="567"/>
        </w:tabs>
        <w:overflowPunct w:val="0"/>
        <w:spacing w:afterLines="50" w:after="120" w:line="340" w:lineRule="atLeast"/>
        <w:ind w:left="567"/>
        <w:jc w:val="both"/>
        <w:rPr>
          <w:rFonts w:ascii="SimSun" w:hAnsi="SimSun"/>
          <w:sz w:val="21"/>
        </w:rPr>
      </w:pPr>
      <w:r w:rsidRPr="00255033">
        <w:rPr>
          <w:rFonts w:ascii="SimSun" w:hAnsi="SimSun" w:hint="eastAsia"/>
          <w:sz w:val="21"/>
        </w:rPr>
        <w:t>PCT联盟大会：</w:t>
      </w:r>
    </w:p>
    <w:p w14:paraId="31747C7C" w14:textId="77777777" w:rsidR="000909FD" w:rsidRPr="00255033" w:rsidRDefault="008C218C" w:rsidP="00914AEA">
      <w:pPr>
        <w:pStyle w:val="ONUME"/>
        <w:numPr>
          <w:ilvl w:val="2"/>
          <w:numId w:val="2"/>
        </w:numPr>
        <w:tabs>
          <w:tab w:val="clear" w:pos="1701"/>
        </w:tabs>
        <w:overflowPunct w:val="0"/>
        <w:spacing w:afterLines="50" w:after="120" w:line="340" w:lineRule="atLeast"/>
        <w:jc w:val="both"/>
        <w:rPr>
          <w:rFonts w:ascii="SimSun" w:hAnsi="SimSun"/>
          <w:sz w:val="21"/>
        </w:rPr>
      </w:pPr>
      <w:r w:rsidRPr="00255033">
        <w:rPr>
          <w:rFonts w:ascii="SimSun" w:hAnsi="SimSun" w:hint="eastAsia"/>
          <w:sz w:val="21"/>
        </w:rPr>
        <w:t>通过了文件PCT/A/55/2附件一和二以及第6段中所列的《PCT实施细则》拟议修正案，并通过了同一文件第7段中所列的生效和过渡性安排；并</w:t>
      </w:r>
    </w:p>
    <w:p w14:paraId="5CD8648E" w14:textId="77777777" w:rsidR="000909FD" w:rsidRPr="00255033" w:rsidRDefault="008C218C" w:rsidP="00914AEA">
      <w:pPr>
        <w:pStyle w:val="ONUME"/>
        <w:numPr>
          <w:ilvl w:val="2"/>
          <w:numId w:val="2"/>
        </w:numPr>
        <w:tabs>
          <w:tab w:val="clear" w:pos="1701"/>
        </w:tabs>
        <w:overflowPunct w:val="0"/>
        <w:spacing w:afterLines="50" w:after="120" w:line="340" w:lineRule="atLeast"/>
        <w:jc w:val="both"/>
        <w:rPr>
          <w:rFonts w:ascii="SimSun" w:hAnsi="SimSun"/>
          <w:sz w:val="21"/>
        </w:rPr>
      </w:pPr>
      <w:r w:rsidRPr="00255033">
        <w:rPr>
          <w:rFonts w:ascii="SimSun" w:hAnsi="SimSun" w:hint="eastAsia"/>
          <w:sz w:val="21"/>
        </w:rPr>
        <w:t>通过了文件PCT/A/55/2第8段中所列的谅解。</w:t>
      </w:r>
    </w:p>
    <w:p w14:paraId="74968EAC" w14:textId="77777777" w:rsidR="00F0079A" w:rsidRPr="00255033" w:rsidRDefault="008C218C" w:rsidP="00F953A9">
      <w:pPr>
        <w:pStyle w:val="Heading3"/>
        <w:overflowPunct w:val="0"/>
        <w:spacing w:before="0" w:afterLines="50" w:after="120" w:line="340" w:lineRule="atLeast"/>
        <w:rPr>
          <w:rFonts w:ascii="SimSun" w:hAnsi="SimSun"/>
          <w:sz w:val="21"/>
        </w:rPr>
      </w:pPr>
      <w:r w:rsidRPr="00255033">
        <w:rPr>
          <w:rFonts w:ascii="SimSun" w:hAnsi="SimSun" w:hint="eastAsia"/>
          <w:sz w:val="21"/>
        </w:rPr>
        <w:t>关于乌克兰知识产权局的PCT国际检索单位和初步审查单位职能的协议修订案</w:t>
      </w:r>
    </w:p>
    <w:p w14:paraId="4EEC5CB0" w14:textId="366B48F3" w:rsidR="000909FD" w:rsidRPr="00255033" w:rsidRDefault="007067CE"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sz w:val="21"/>
        </w:rPr>
        <w:t>讨论依据文件</w:t>
      </w:r>
      <w:hyperlink r:id="rId10" w:history="1">
        <w:r w:rsidR="000909FD" w:rsidRPr="00C74119">
          <w:rPr>
            <w:rStyle w:val="Hyperlink"/>
            <w:rFonts w:ascii="SimSun" w:hAnsi="SimSun"/>
            <w:sz w:val="21"/>
          </w:rPr>
          <w:t>PCT/A/55/3</w:t>
        </w:r>
      </w:hyperlink>
      <w:r w:rsidRPr="00255033">
        <w:rPr>
          <w:rFonts w:ascii="SimSun" w:hAnsi="SimSun" w:hint="eastAsia"/>
          <w:sz w:val="21"/>
        </w:rPr>
        <w:t>进行。</w:t>
      </w:r>
    </w:p>
    <w:p w14:paraId="5CAC9DAF" w14:textId="77777777" w:rsidR="00AE0770" w:rsidRPr="00255033" w:rsidRDefault="00796C8A"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秘书处介绍该文件，其中提出了对《</w:t>
      </w:r>
      <w:r w:rsidR="00543E58" w:rsidRPr="00255033">
        <w:rPr>
          <w:rFonts w:ascii="SimSun" w:hAnsi="SimSun" w:hint="eastAsia"/>
          <w:sz w:val="21"/>
        </w:rPr>
        <w:t>乌克兰经济发展与贸易部和国际局关于乌克兰知识产权局担任PCT国际检索单位和国际初步审查单位的协议》</w:t>
      </w:r>
      <w:r w:rsidRPr="00255033">
        <w:rPr>
          <w:rFonts w:ascii="SimSun" w:hAnsi="SimSun" w:hint="eastAsia"/>
          <w:sz w:val="21"/>
        </w:rPr>
        <w:t>的修正案。2022年11月8日起，</w:t>
      </w:r>
      <w:r w:rsidR="00543E58" w:rsidRPr="00255033">
        <w:rPr>
          <w:rFonts w:ascii="SimSun" w:hAnsi="SimSun" w:hint="eastAsia"/>
          <w:sz w:val="21"/>
        </w:rPr>
        <w:t>国家机构“乌克兰国家知识产权和创新局”</w:t>
      </w:r>
      <w:r w:rsidRPr="00255033">
        <w:rPr>
          <w:rFonts w:ascii="SimSun" w:hAnsi="SimSun" w:hint="eastAsia"/>
          <w:sz w:val="21"/>
        </w:rPr>
        <w:t>从</w:t>
      </w:r>
      <w:r w:rsidR="00543E58" w:rsidRPr="00255033">
        <w:rPr>
          <w:rFonts w:ascii="SimSun" w:hAnsi="SimSun" w:hint="eastAsia"/>
          <w:sz w:val="21"/>
        </w:rPr>
        <w:t>“</w:t>
      </w:r>
      <w:r w:rsidRPr="00255033">
        <w:rPr>
          <w:rFonts w:ascii="SimSun" w:hAnsi="SimSun" w:hint="eastAsia"/>
          <w:sz w:val="21"/>
        </w:rPr>
        <w:t>乌克兰知识产权局</w:t>
      </w:r>
      <w:r w:rsidR="00543E58" w:rsidRPr="00255033">
        <w:rPr>
          <w:rFonts w:ascii="SimSun" w:hAnsi="SimSun" w:hint="eastAsia"/>
          <w:sz w:val="21"/>
        </w:rPr>
        <w:t>”</w:t>
      </w:r>
      <w:r w:rsidRPr="00255033">
        <w:rPr>
          <w:rFonts w:ascii="SimSun" w:hAnsi="SimSun" w:hint="eastAsia"/>
          <w:sz w:val="21"/>
        </w:rPr>
        <w:t>接管了专利处理职责，包括其作为受理局、国际检索</w:t>
      </w:r>
      <w:r w:rsidR="00543E58" w:rsidRPr="00255033">
        <w:rPr>
          <w:rFonts w:ascii="SimSun" w:hAnsi="SimSun" w:hint="eastAsia"/>
          <w:sz w:val="21"/>
        </w:rPr>
        <w:t>单位</w:t>
      </w:r>
      <w:r w:rsidRPr="00255033">
        <w:rPr>
          <w:rFonts w:ascii="SimSun" w:hAnsi="SimSun" w:hint="eastAsia"/>
          <w:sz w:val="21"/>
        </w:rPr>
        <w:t>和国际初步审查</w:t>
      </w:r>
      <w:r w:rsidR="00543E58" w:rsidRPr="00255033">
        <w:rPr>
          <w:rFonts w:ascii="SimSun" w:hAnsi="SimSun" w:hint="eastAsia"/>
          <w:sz w:val="21"/>
        </w:rPr>
        <w:t>单位</w:t>
      </w:r>
      <w:r w:rsidRPr="00255033">
        <w:rPr>
          <w:rFonts w:ascii="SimSun" w:hAnsi="SimSun" w:hint="eastAsia"/>
          <w:sz w:val="21"/>
        </w:rPr>
        <w:t>的职责，同时保留乌克兰知识产权局的审查员、检索设施、IT系统和其他专门知识。文件建议修</w:t>
      </w:r>
      <w:r w:rsidR="007003B2" w:rsidRPr="00255033">
        <w:rPr>
          <w:rFonts w:ascii="SimSun" w:hAnsi="SimSun" w:hint="eastAsia"/>
          <w:sz w:val="21"/>
        </w:rPr>
        <w:t>正</w:t>
      </w:r>
      <w:r w:rsidRPr="00255033">
        <w:rPr>
          <w:rFonts w:ascii="SimSun" w:hAnsi="SimSun" w:hint="eastAsia"/>
          <w:sz w:val="21"/>
        </w:rPr>
        <w:t>《</w:t>
      </w:r>
      <w:r w:rsidR="007003B2" w:rsidRPr="00255033">
        <w:rPr>
          <w:rFonts w:ascii="SimSun" w:hAnsi="SimSun" w:hint="eastAsia"/>
          <w:sz w:val="21"/>
        </w:rPr>
        <w:t>协议</w:t>
      </w:r>
      <w:r w:rsidRPr="00255033">
        <w:rPr>
          <w:rFonts w:ascii="SimSun" w:hAnsi="SimSun" w:hint="eastAsia"/>
          <w:sz w:val="21"/>
        </w:rPr>
        <w:t>》，以</w:t>
      </w:r>
      <w:r w:rsidR="000C012E">
        <w:rPr>
          <w:rFonts w:ascii="SimSun" w:hAnsi="SimSun" w:hint="eastAsia"/>
          <w:sz w:val="21"/>
        </w:rPr>
        <w:t>分别</w:t>
      </w:r>
      <w:r w:rsidRPr="00255033">
        <w:rPr>
          <w:rFonts w:ascii="SimSun" w:hAnsi="SimSun" w:hint="eastAsia"/>
          <w:sz w:val="21"/>
        </w:rPr>
        <w:t>反映该部（现为</w:t>
      </w:r>
      <w:r w:rsidR="007003B2" w:rsidRPr="00255033">
        <w:rPr>
          <w:rFonts w:ascii="SimSun" w:hAnsi="SimSun" w:hint="eastAsia"/>
          <w:sz w:val="21"/>
        </w:rPr>
        <w:t>“</w:t>
      </w:r>
      <w:r w:rsidRPr="00255033">
        <w:rPr>
          <w:rFonts w:ascii="SimSun" w:hAnsi="SimSun" w:hint="eastAsia"/>
          <w:sz w:val="21"/>
        </w:rPr>
        <w:t>乌克兰经济部</w:t>
      </w:r>
      <w:r w:rsidR="007003B2" w:rsidRPr="00255033">
        <w:rPr>
          <w:rFonts w:ascii="SimSun" w:hAnsi="SimSun" w:hint="eastAsia"/>
          <w:sz w:val="21"/>
        </w:rPr>
        <w:t>”</w:t>
      </w:r>
      <w:r w:rsidRPr="00255033">
        <w:rPr>
          <w:rFonts w:ascii="SimSun" w:hAnsi="SimSun" w:hint="eastAsia"/>
          <w:sz w:val="21"/>
        </w:rPr>
        <w:t>）和该局目前的名</w:t>
      </w:r>
      <w:r w:rsidR="000C012E">
        <w:rPr>
          <w:rFonts w:ascii="MS Gothic" w:eastAsia="MS Gothic" w:hAnsi="MS Gothic" w:cs="MS Gothic" w:hint="eastAsia"/>
          <w:sz w:val="21"/>
        </w:rPr>
        <w:t>‍</w:t>
      </w:r>
      <w:r w:rsidRPr="00255033">
        <w:rPr>
          <w:rFonts w:ascii="SimSun" w:hAnsi="SimSun" w:hint="eastAsia"/>
          <w:sz w:val="21"/>
        </w:rPr>
        <w:t>称。</w:t>
      </w:r>
    </w:p>
    <w:p w14:paraId="652A22EE" w14:textId="77777777" w:rsidR="000909FD" w:rsidRPr="00255033" w:rsidRDefault="00796C8A"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瑞士代表团代表B</w:t>
      </w:r>
      <w:r w:rsidR="007003B2" w:rsidRPr="00255033">
        <w:rPr>
          <w:rFonts w:ascii="SimSun" w:hAnsi="SimSun" w:hint="eastAsia"/>
          <w:sz w:val="21"/>
        </w:rPr>
        <w:t>集团</w:t>
      </w:r>
      <w:r w:rsidRPr="00255033">
        <w:rPr>
          <w:rFonts w:ascii="SimSun" w:hAnsi="SimSun" w:hint="eastAsia"/>
          <w:sz w:val="21"/>
        </w:rPr>
        <w:t>发言，支持文件附件所载的《乌克兰经济发展</w:t>
      </w:r>
      <w:r w:rsidR="007003B2" w:rsidRPr="00255033">
        <w:rPr>
          <w:rFonts w:ascii="SimSun" w:hAnsi="SimSun" w:hint="eastAsia"/>
          <w:sz w:val="21"/>
        </w:rPr>
        <w:t>与</w:t>
      </w:r>
      <w:r w:rsidRPr="00255033">
        <w:rPr>
          <w:rFonts w:ascii="SimSun" w:hAnsi="SimSun" w:hint="eastAsia"/>
          <w:sz w:val="21"/>
        </w:rPr>
        <w:t>贸易部</w:t>
      </w:r>
      <w:r w:rsidR="007003B2" w:rsidRPr="00255033">
        <w:rPr>
          <w:rFonts w:ascii="SimSun" w:hAnsi="SimSun" w:hint="eastAsia"/>
          <w:sz w:val="21"/>
        </w:rPr>
        <w:t>和</w:t>
      </w:r>
      <w:r w:rsidRPr="00255033">
        <w:rPr>
          <w:rFonts w:ascii="SimSun" w:hAnsi="SimSun" w:hint="eastAsia"/>
          <w:sz w:val="21"/>
        </w:rPr>
        <w:t>国际局的</w:t>
      </w:r>
      <w:r w:rsidR="007003B2" w:rsidRPr="00255033">
        <w:rPr>
          <w:rFonts w:ascii="SimSun" w:hAnsi="SimSun" w:hint="eastAsia"/>
          <w:sz w:val="21"/>
        </w:rPr>
        <w:t>协议</w:t>
      </w:r>
      <w:r w:rsidRPr="00255033">
        <w:rPr>
          <w:rFonts w:ascii="SimSun" w:hAnsi="SimSun" w:hint="eastAsia"/>
          <w:sz w:val="21"/>
        </w:rPr>
        <w:t>》</w:t>
      </w:r>
      <w:r w:rsidR="007003B2" w:rsidRPr="00255033">
        <w:rPr>
          <w:rFonts w:ascii="SimSun" w:hAnsi="SimSun" w:hint="eastAsia"/>
          <w:sz w:val="21"/>
        </w:rPr>
        <w:t>的</w:t>
      </w:r>
      <w:r w:rsidRPr="00255033">
        <w:rPr>
          <w:rFonts w:ascii="SimSun" w:hAnsi="SimSun" w:hint="eastAsia"/>
          <w:sz w:val="21"/>
        </w:rPr>
        <w:t>拟议修正案。大会于2017年批准了该</w:t>
      </w:r>
      <w:r w:rsidR="007003B2" w:rsidRPr="00255033">
        <w:rPr>
          <w:rFonts w:ascii="SimSun" w:hAnsi="SimSun" w:hint="eastAsia"/>
          <w:sz w:val="21"/>
        </w:rPr>
        <w:t>协议</w:t>
      </w:r>
      <w:r w:rsidRPr="00255033">
        <w:rPr>
          <w:rFonts w:ascii="SimSun" w:hAnsi="SimSun" w:hint="eastAsia"/>
          <w:sz w:val="21"/>
        </w:rPr>
        <w:t>，B</w:t>
      </w:r>
      <w:r w:rsidR="007003B2" w:rsidRPr="00255033">
        <w:rPr>
          <w:rFonts w:ascii="SimSun" w:hAnsi="SimSun" w:hint="eastAsia"/>
          <w:sz w:val="21"/>
        </w:rPr>
        <w:t>集团</w:t>
      </w:r>
      <w:r w:rsidRPr="00255033">
        <w:rPr>
          <w:rFonts w:ascii="SimSun" w:hAnsi="SimSun" w:hint="eastAsia"/>
          <w:sz w:val="21"/>
        </w:rPr>
        <w:t>同意拟议的更新。</w:t>
      </w:r>
    </w:p>
    <w:p w14:paraId="1C8AF4EE" w14:textId="77777777" w:rsidR="00766AC0" w:rsidRPr="00255033" w:rsidRDefault="00796C8A"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波兰代表团代表中欧和波罗的海国家（CEBS）</w:t>
      </w:r>
      <w:r w:rsidR="007003B2" w:rsidRPr="00255033">
        <w:rPr>
          <w:rFonts w:ascii="SimSun" w:hAnsi="SimSun" w:hint="eastAsia"/>
          <w:sz w:val="21"/>
        </w:rPr>
        <w:t>集团</w:t>
      </w:r>
      <w:r w:rsidRPr="00255033">
        <w:rPr>
          <w:rFonts w:ascii="SimSun" w:hAnsi="SimSun" w:hint="eastAsia"/>
          <w:sz w:val="21"/>
        </w:rPr>
        <w:t>发言，支持拟议修正案。</w:t>
      </w:r>
      <w:r w:rsidR="007003B2" w:rsidRPr="00255033">
        <w:rPr>
          <w:rFonts w:ascii="SimSun" w:hAnsi="SimSun" w:hint="eastAsia"/>
          <w:sz w:val="21"/>
        </w:rPr>
        <w:t>CEBS</w:t>
      </w:r>
      <w:r w:rsidRPr="00255033">
        <w:rPr>
          <w:rFonts w:ascii="SimSun" w:hAnsi="SimSun" w:hint="eastAsia"/>
          <w:sz w:val="21"/>
        </w:rPr>
        <w:t>集团认为，拟议修正案属于技术和形式性质，反映了乌克兰知识产权监管体制结构的变化。文件</w:t>
      </w:r>
      <w:r w:rsidR="000C012E">
        <w:rPr>
          <w:rFonts w:ascii="SimSun" w:hAnsi="SimSun" w:hint="eastAsia"/>
          <w:sz w:val="21"/>
        </w:rPr>
        <w:t>在</w:t>
      </w:r>
      <w:r w:rsidRPr="00255033">
        <w:rPr>
          <w:rFonts w:ascii="SimSun" w:hAnsi="SimSun" w:hint="eastAsia"/>
          <w:sz w:val="21"/>
        </w:rPr>
        <w:t>国际检索和初步审查</w:t>
      </w:r>
      <w:r w:rsidR="00D17617" w:rsidRPr="00255033">
        <w:rPr>
          <w:rFonts w:ascii="SimSun" w:hAnsi="SimSun" w:hint="eastAsia"/>
          <w:sz w:val="21"/>
        </w:rPr>
        <w:t>单位</w:t>
      </w:r>
      <w:r w:rsidRPr="00255033">
        <w:rPr>
          <w:rFonts w:ascii="SimSun" w:hAnsi="SimSun" w:hint="eastAsia"/>
          <w:sz w:val="21"/>
        </w:rPr>
        <w:t>所需的所有技术和形式标准方面，</w:t>
      </w:r>
      <w:r w:rsidR="000C012E">
        <w:rPr>
          <w:rFonts w:ascii="SimSun" w:hAnsi="SimSun" w:hint="eastAsia"/>
          <w:sz w:val="21"/>
        </w:rPr>
        <w:t>与现行协议相比没有</w:t>
      </w:r>
      <w:r w:rsidR="000C012E" w:rsidRPr="00255033">
        <w:rPr>
          <w:rFonts w:ascii="SimSun" w:hAnsi="SimSun" w:hint="eastAsia"/>
          <w:sz w:val="21"/>
        </w:rPr>
        <w:t>反映</w:t>
      </w:r>
      <w:r w:rsidRPr="00255033">
        <w:rPr>
          <w:rFonts w:ascii="SimSun" w:hAnsi="SimSun" w:hint="eastAsia"/>
          <w:sz w:val="21"/>
        </w:rPr>
        <w:t>任何变化。因此，</w:t>
      </w:r>
      <w:r w:rsidR="007003B2" w:rsidRPr="00255033">
        <w:rPr>
          <w:rFonts w:ascii="SimSun" w:hAnsi="SimSun" w:hint="eastAsia"/>
          <w:sz w:val="21"/>
        </w:rPr>
        <w:t>CEBS集团</w:t>
      </w:r>
      <w:r w:rsidRPr="00255033">
        <w:rPr>
          <w:rFonts w:ascii="SimSun" w:hAnsi="SimSun" w:hint="eastAsia"/>
          <w:sz w:val="21"/>
        </w:rPr>
        <w:t>认为</w:t>
      </w:r>
      <w:r w:rsidRPr="00255033">
        <w:rPr>
          <w:rFonts w:ascii="SimSun" w:hAnsi="SimSun" w:hint="eastAsia"/>
          <w:sz w:val="21"/>
        </w:rPr>
        <w:lastRenderedPageBreak/>
        <w:t>大会没有理由反对批准修正案。代表团重申有必要最终</w:t>
      </w:r>
      <w:r w:rsidR="007003B2" w:rsidRPr="00255033">
        <w:rPr>
          <w:rFonts w:ascii="SimSun" w:hAnsi="SimSun" w:hint="eastAsia"/>
          <w:sz w:val="21"/>
        </w:rPr>
        <w:t>完成</w:t>
      </w:r>
      <w:r w:rsidRPr="00255033">
        <w:rPr>
          <w:rFonts w:ascii="SimSun" w:hAnsi="SimSun" w:hint="eastAsia"/>
          <w:sz w:val="21"/>
        </w:rPr>
        <w:t>这一程序性事项，这对于成员国遵守PCT联盟内现有的法律和程序秩序十分重要。</w:t>
      </w:r>
    </w:p>
    <w:p w14:paraId="19E31A97" w14:textId="77777777" w:rsidR="000909FD" w:rsidRPr="00255033" w:rsidRDefault="008C218C" w:rsidP="00914AEA">
      <w:pPr>
        <w:pStyle w:val="ONUME"/>
        <w:tabs>
          <w:tab w:val="clear" w:pos="567"/>
        </w:tabs>
        <w:overflowPunct w:val="0"/>
        <w:spacing w:afterLines="50" w:after="120" w:line="340" w:lineRule="atLeast"/>
        <w:ind w:left="567"/>
        <w:jc w:val="both"/>
        <w:rPr>
          <w:rFonts w:ascii="SimSun" w:hAnsi="SimSun"/>
          <w:sz w:val="21"/>
        </w:rPr>
      </w:pPr>
      <w:r w:rsidRPr="00255033">
        <w:rPr>
          <w:rFonts w:ascii="SimSun" w:hAnsi="SimSun" w:hint="eastAsia"/>
          <w:sz w:val="21"/>
        </w:rPr>
        <w:t>PCT联盟大会：</w:t>
      </w:r>
    </w:p>
    <w:p w14:paraId="387FDB50" w14:textId="77777777" w:rsidR="000909FD" w:rsidRPr="00255033" w:rsidRDefault="008C218C" w:rsidP="00914AEA">
      <w:pPr>
        <w:pStyle w:val="ONUME"/>
        <w:numPr>
          <w:ilvl w:val="2"/>
          <w:numId w:val="2"/>
        </w:numPr>
        <w:tabs>
          <w:tab w:val="clear" w:pos="1701"/>
        </w:tabs>
        <w:overflowPunct w:val="0"/>
        <w:spacing w:afterLines="50" w:after="120" w:line="340" w:lineRule="atLeast"/>
        <w:jc w:val="both"/>
        <w:rPr>
          <w:rFonts w:ascii="SimSun" w:hAnsi="SimSun"/>
          <w:sz w:val="21"/>
        </w:rPr>
      </w:pPr>
      <w:r w:rsidRPr="00255033">
        <w:rPr>
          <w:rFonts w:ascii="SimSun" w:hAnsi="SimSun" w:hint="eastAsia"/>
          <w:sz w:val="21"/>
        </w:rPr>
        <w:t>注意到文件PCT/A/55/3的内容；并</w:t>
      </w:r>
    </w:p>
    <w:p w14:paraId="1C0D5858" w14:textId="77777777" w:rsidR="000909FD" w:rsidRPr="00255033" w:rsidRDefault="008C218C" w:rsidP="00914AEA">
      <w:pPr>
        <w:pStyle w:val="ONUME"/>
        <w:numPr>
          <w:ilvl w:val="2"/>
          <w:numId w:val="2"/>
        </w:numPr>
        <w:tabs>
          <w:tab w:val="clear" w:pos="1701"/>
        </w:tabs>
        <w:overflowPunct w:val="0"/>
        <w:spacing w:afterLines="50" w:after="120" w:line="340" w:lineRule="atLeast"/>
        <w:jc w:val="both"/>
        <w:rPr>
          <w:rFonts w:ascii="SimSun" w:hAnsi="SimSun"/>
          <w:sz w:val="21"/>
        </w:rPr>
      </w:pPr>
      <w:r w:rsidRPr="00255033">
        <w:rPr>
          <w:rFonts w:ascii="SimSun" w:hAnsi="SimSun" w:hint="eastAsia"/>
          <w:sz w:val="21"/>
        </w:rPr>
        <w:t>批准</w:t>
      </w:r>
      <w:r w:rsidR="00807F75" w:rsidRPr="00255033">
        <w:rPr>
          <w:rFonts w:ascii="SimSun" w:hAnsi="SimSun" w:hint="eastAsia"/>
          <w:sz w:val="21"/>
        </w:rPr>
        <w:t>了</w:t>
      </w:r>
      <w:r w:rsidRPr="00255033">
        <w:rPr>
          <w:rFonts w:ascii="SimSun" w:hAnsi="SimSun" w:hint="eastAsia"/>
          <w:sz w:val="21"/>
        </w:rPr>
        <w:t>文件PCT/A/55/3附件中所载的乌克兰经济发展与贸易部和国际局的协议修订案。</w:t>
      </w:r>
    </w:p>
    <w:p w14:paraId="4702D7FF" w14:textId="77777777" w:rsidR="00A42FB7" w:rsidRPr="00255033" w:rsidRDefault="00796C8A" w:rsidP="00FE0182">
      <w:pPr>
        <w:pStyle w:val="ONUME"/>
        <w:tabs>
          <w:tab w:val="clear" w:pos="567"/>
        </w:tabs>
        <w:overflowPunct w:val="0"/>
        <w:spacing w:afterLines="50" w:after="120" w:line="340" w:lineRule="atLeast"/>
        <w:jc w:val="both"/>
        <w:rPr>
          <w:rFonts w:ascii="SimSun" w:hAnsi="SimSun"/>
          <w:sz w:val="21"/>
        </w:rPr>
      </w:pPr>
      <w:r w:rsidRPr="00255033">
        <w:rPr>
          <w:rFonts w:ascii="SimSun" w:hAnsi="SimSun" w:hint="eastAsia"/>
          <w:sz w:val="21"/>
        </w:rPr>
        <w:t>乌克兰代表团感谢瑞士代表团和波兰代表团分别代表B</w:t>
      </w:r>
      <w:r w:rsidR="007003B2" w:rsidRPr="00255033">
        <w:rPr>
          <w:rFonts w:ascii="SimSun" w:hAnsi="SimSun" w:hint="eastAsia"/>
          <w:sz w:val="21"/>
        </w:rPr>
        <w:t>集团</w:t>
      </w:r>
      <w:r w:rsidRPr="00255033">
        <w:rPr>
          <w:rFonts w:ascii="SimSun" w:hAnsi="SimSun" w:hint="eastAsia"/>
          <w:sz w:val="21"/>
        </w:rPr>
        <w:t>和</w:t>
      </w:r>
      <w:r w:rsidR="007003B2" w:rsidRPr="00255033">
        <w:rPr>
          <w:rFonts w:ascii="SimSun" w:hAnsi="SimSun" w:hint="eastAsia"/>
          <w:sz w:val="21"/>
        </w:rPr>
        <w:t>CEBS</w:t>
      </w:r>
      <w:r w:rsidRPr="00255033">
        <w:rPr>
          <w:rFonts w:ascii="SimSun" w:hAnsi="SimSun" w:hint="eastAsia"/>
          <w:sz w:val="21"/>
        </w:rPr>
        <w:t>集团所作的支持性发言。代表团感谢</w:t>
      </w:r>
      <w:r w:rsidR="007003B2" w:rsidRPr="00255033">
        <w:rPr>
          <w:rFonts w:ascii="SimSun" w:hAnsi="SimSun" w:hint="eastAsia"/>
          <w:sz w:val="21"/>
        </w:rPr>
        <w:t>它</w:t>
      </w:r>
      <w:r w:rsidRPr="00255033">
        <w:rPr>
          <w:rFonts w:ascii="SimSun" w:hAnsi="SimSun" w:hint="eastAsia"/>
          <w:sz w:val="21"/>
        </w:rPr>
        <w:t>们的支持，并</w:t>
      </w:r>
      <w:r w:rsidR="007003B2" w:rsidRPr="00255033">
        <w:rPr>
          <w:rFonts w:ascii="SimSun" w:hAnsi="SimSun" w:hint="eastAsia"/>
          <w:sz w:val="21"/>
        </w:rPr>
        <w:t>为该</w:t>
      </w:r>
      <w:proofErr w:type="gramStart"/>
      <w:r w:rsidR="007003B2" w:rsidRPr="00255033">
        <w:rPr>
          <w:rFonts w:ascii="SimSun" w:hAnsi="SimSun" w:hint="eastAsia"/>
          <w:sz w:val="21"/>
        </w:rPr>
        <w:t>决定</w:t>
      </w:r>
      <w:r w:rsidRPr="00255033">
        <w:rPr>
          <w:rFonts w:ascii="SimSun" w:hAnsi="SimSun" w:hint="eastAsia"/>
          <w:sz w:val="21"/>
        </w:rPr>
        <w:t>感谢</w:t>
      </w:r>
      <w:proofErr w:type="gramEnd"/>
      <w:r w:rsidRPr="00255033">
        <w:rPr>
          <w:rFonts w:ascii="SimSun" w:hAnsi="SimSun" w:hint="eastAsia"/>
          <w:sz w:val="21"/>
        </w:rPr>
        <w:t>所有代表团，这对乌克兰政府和国家知识产权</w:t>
      </w:r>
      <w:r w:rsidR="007003B2" w:rsidRPr="00255033">
        <w:rPr>
          <w:rFonts w:ascii="SimSun" w:hAnsi="SimSun" w:hint="eastAsia"/>
          <w:sz w:val="21"/>
        </w:rPr>
        <w:t>机构</w:t>
      </w:r>
      <w:r w:rsidRPr="00255033">
        <w:rPr>
          <w:rFonts w:ascii="SimSun" w:hAnsi="SimSun" w:hint="eastAsia"/>
          <w:sz w:val="21"/>
        </w:rPr>
        <w:t>非常重要。</w:t>
      </w:r>
    </w:p>
    <w:p w14:paraId="53253C09" w14:textId="77777777" w:rsidR="00F0079A" w:rsidRPr="00914AEA" w:rsidRDefault="000909FD" w:rsidP="00914AEA">
      <w:pPr>
        <w:pStyle w:val="Endofdocument-Annex"/>
        <w:overflowPunct w:val="0"/>
        <w:spacing w:before="720" w:afterLines="50" w:after="120" w:line="340" w:lineRule="atLeast"/>
        <w:rPr>
          <w:rFonts w:ascii="KaiTi" w:eastAsia="KaiTi" w:hAnsi="KaiTi"/>
          <w:sz w:val="21"/>
        </w:rPr>
      </w:pPr>
      <w:r w:rsidRPr="00914AEA">
        <w:rPr>
          <w:rFonts w:ascii="KaiTi" w:eastAsia="KaiTi" w:hAnsi="KaiTi"/>
          <w:sz w:val="21"/>
        </w:rPr>
        <w:t>[</w:t>
      </w:r>
      <w:r w:rsidR="00796C8A" w:rsidRPr="00914AEA">
        <w:rPr>
          <w:rFonts w:ascii="KaiTi" w:eastAsia="KaiTi" w:hAnsi="KaiTi" w:hint="eastAsia"/>
          <w:sz w:val="21"/>
        </w:rPr>
        <w:t>文件完</w:t>
      </w:r>
      <w:r w:rsidRPr="00914AEA">
        <w:rPr>
          <w:rFonts w:ascii="KaiTi" w:eastAsia="KaiTi" w:hAnsi="KaiTi"/>
          <w:sz w:val="21"/>
        </w:rPr>
        <w:t>]</w:t>
      </w:r>
    </w:p>
    <w:sectPr w:rsidR="00F0079A" w:rsidRPr="00914AEA" w:rsidSect="00021B26">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AC43D" w14:textId="77777777" w:rsidR="00DE5055" w:rsidRDefault="00DE5055">
      <w:r>
        <w:separator/>
      </w:r>
    </w:p>
  </w:endnote>
  <w:endnote w:type="continuationSeparator" w:id="0">
    <w:p w14:paraId="7293430F" w14:textId="77777777" w:rsidR="00DE5055" w:rsidRDefault="00DE5055" w:rsidP="003B38C1">
      <w:r>
        <w:separator/>
      </w:r>
    </w:p>
    <w:p w14:paraId="16807B61" w14:textId="77777777" w:rsidR="00DE5055" w:rsidRPr="003B38C1" w:rsidRDefault="00DE5055" w:rsidP="003B38C1">
      <w:pPr>
        <w:spacing w:after="60"/>
        <w:rPr>
          <w:sz w:val="17"/>
        </w:rPr>
      </w:pPr>
      <w:r>
        <w:rPr>
          <w:sz w:val="17"/>
        </w:rPr>
        <w:t>[Endnote continued from previous page]</w:t>
      </w:r>
    </w:p>
  </w:endnote>
  <w:endnote w:type="continuationNotice" w:id="1">
    <w:p w14:paraId="4D8170AA" w14:textId="77777777" w:rsidR="00DE5055" w:rsidRPr="003B38C1" w:rsidRDefault="00DE50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A1CB" w14:textId="77777777" w:rsidR="00DE5055" w:rsidRDefault="00DE5055">
      <w:r>
        <w:separator/>
      </w:r>
    </w:p>
  </w:footnote>
  <w:footnote w:type="continuationSeparator" w:id="0">
    <w:p w14:paraId="29E68F46" w14:textId="77777777" w:rsidR="00DE5055" w:rsidRDefault="00DE5055" w:rsidP="008B60B2">
      <w:r>
        <w:separator/>
      </w:r>
    </w:p>
    <w:p w14:paraId="0D13494C" w14:textId="77777777" w:rsidR="00DE5055" w:rsidRPr="00ED77FB" w:rsidRDefault="00DE5055" w:rsidP="008B60B2">
      <w:pPr>
        <w:spacing w:after="60"/>
        <w:rPr>
          <w:sz w:val="17"/>
          <w:szCs w:val="17"/>
        </w:rPr>
      </w:pPr>
      <w:r w:rsidRPr="00ED77FB">
        <w:rPr>
          <w:sz w:val="17"/>
          <w:szCs w:val="17"/>
        </w:rPr>
        <w:t>[Footnote continued from previous page]</w:t>
      </w:r>
    </w:p>
  </w:footnote>
  <w:footnote w:type="continuationNotice" w:id="1">
    <w:p w14:paraId="00B66D7A" w14:textId="77777777" w:rsidR="00DE5055" w:rsidRPr="00ED77FB" w:rsidRDefault="00DE505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693EE" w14:textId="7F80C7C3" w:rsidR="00EC4E49" w:rsidRPr="00255033" w:rsidRDefault="00021B26" w:rsidP="00477D6B">
    <w:pPr>
      <w:jc w:val="right"/>
      <w:rPr>
        <w:rFonts w:ascii="SimSun" w:hAnsi="SimSun"/>
        <w:sz w:val="21"/>
      </w:rPr>
    </w:pPr>
    <w:bookmarkStart w:id="5" w:name="Code2"/>
    <w:bookmarkEnd w:id="5"/>
    <w:r w:rsidRPr="00255033">
      <w:rPr>
        <w:rFonts w:ascii="SimSun" w:hAnsi="SimSun"/>
        <w:sz w:val="21"/>
      </w:rPr>
      <w:t>PCT/A/55/4</w:t>
    </w:r>
  </w:p>
  <w:p w14:paraId="02C5C70A" w14:textId="77777777" w:rsidR="00B50B99" w:rsidRPr="00255033" w:rsidRDefault="00EF4D70" w:rsidP="00914AEA">
    <w:pPr>
      <w:spacing w:afterLines="100" w:after="240"/>
      <w:jc w:val="right"/>
      <w:rPr>
        <w:rFonts w:ascii="SimSun" w:hAnsi="SimSun"/>
        <w:sz w:val="21"/>
      </w:rPr>
    </w:pPr>
    <w:r w:rsidRPr="00255033">
      <w:rPr>
        <w:rFonts w:ascii="SimSun" w:hAnsi="SimSun" w:hint="eastAsia"/>
        <w:sz w:val="21"/>
      </w:rPr>
      <w:t>第</w:t>
    </w:r>
    <w:r w:rsidR="00EC4E49" w:rsidRPr="00255033">
      <w:rPr>
        <w:rFonts w:ascii="SimSun" w:hAnsi="SimSun"/>
        <w:sz w:val="21"/>
      </w:rPr>
      <w:fldChar w:fldCharType="begin"/>
    </w:r>
    <w:r w:rsidR="00EC4E49" w:rsidRPr="00255033">
      <w:rPr>
        <w:rFonts w:ascii="SimSun" w:hAnsi="SimSun"/>
        <w:sz w:val="21"/>
      </w:rPr>
      <w:instrText xml:space="preserve"> PAGE  \* MERGEFORMAT </w:instrText>
    </w:r>
    <w:r w:rsidR="00EC4E49" w:rsidRPr="00255033">
      <w:rPr>
        <w:rFonts w:ascii="SimSun" w:hAnsi="SimSun"/>
        <w:sz w:val="21"/>
      </w:rPr>
      <w:fldChar w:fldCharType="separate"/>
    </w:r>
    <w:r w:rsidR="000C012E">
      <w:rPr>
        <w:rFonts w:ascii="SimSun" w:hAnsi="SimSun"/>
        <w:noProof/>
        <w:sz w:val="21"/>
      </w:rPr>
      <w:t>6</w:t>
    </w:r>
    <w:r w:rsidR="00EC4E49" w:rsidRPr="00255033">
      <w:rPr>
        <w:rFonts w:ascii="SimSun" w:hAnsi="SimSun"/>
        <w:sz w:val="21"/>
      </w:rPr>
      <w:fldChar w:fldCharType="end"/>
    </w:r>
    <w:r w:rsidRPr="0025503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7866338">
    <w:abstractNumId w:val="2"/>
  </w:num>
  <w:num w:numId="2" w16cid:durableId="1467116119">
    <w:abstractNumId w:val="0"/>
  </w:num>
  <w:num w:numId="3" w16cid:durableId="1295020662">
    <w:abstractNumId w:val="1"/>
  </w:num>
  <w:num w:numId="4" w16cid:durableId="283387519">
    <w:abstractNumId w:val="0"/>
  </w:num>
  <w:num w:numId="5" w16cid:durableId="740834107">
    <w:abstractNumId w:val="0"/>
  </w:num>
  <w:num w:numId="6" w16cid:durableId="1319965044">
    <w:abstractNumId w:val="0"/>
  </w:num>
  <w:num w:numId="7" w16cid:durableId="913393629">
    <w:abstractNumId w:val="0"/>
  </w:num>
  <w:num w:numId="8" w16cid:durableId="69691721">
    <w:abstractNumId w:val="0"/>
  </w:num>
  <w:num w:numId="9" w16cid:durableId="1570069483">
    <w:abstractNumId w:val="0"/>
  </w:num>
  <w:num w:numId="10" w16cid:durableId="255142029">
    <w:abstractNumId w:val="0"/>
  </w:num>
  <w:num w:numId="11" w16cid:durableId="139331112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26"/>
    <w:rsid w:val="0001647B"/>
    <w:rsid w:val="00021B26"/>
    <w:rsid w:val="00043CAA"/>
    <w:rsid w:val="000709C2"/>
    <w:rsid w:val="00075432"/>
    <w:rsid w:val="000909FD"/>
    <w:rsid w:val="000917D7"/>
    <w:rsid w:val="000968ED"/>
    <w:rsid w:val="000A41DC"/>
    <w:rsid w:val="000A77E7"/>
    <w:rsid w:val="000C012E"/>
    <w:rsid w:val="000F5E56"/>
    <w:rsid w:val="001024FE"/>
    <w:rsid w:val="00107B79"/>
    <w:rsid w:val="001116A5"/>
    <w:rsid w:val="00121A08"/>
    <w:rsid w:val="001362EE"/>
    <w:rsid w:val="00142868"/>
    <w:rsid w:val="001832A6"/>
    <w:rsid w:val="001C6808"/>
    <w:rsid w:val="001C6E75"/>
    <w:rsid w:val="001E394B"/>
    <w:rsid w:val="00201F16"/>
    <w:rsid w:val="002121FA"/>
    <w:rsid w:val="00255033"/>
    <w:rsid w:val="002634C4"/>
    <w:rsid w:val="002928D3"/>
    <w:rsid w:val="002C0A29"/>
    <w:rsid w:val="002E73D8"/>
    <w:rsid w:val="002F108E"/>
    <w:rsid w:val="002F1FE6"/>
    <w:rsid w:val="002F4E68"/>
    <w:rsid w:val="003012E7"/>
    <w:rsid w:val="00312F7F"/>
    <w:rsid w:val="003228B7"/>
    <w:rsid w:val="00322E63"/>
    <w:rsid w:val="00346512"/>
    <w:rsid w:val="003508A3"/>
    <w:rsid w:val="003673CF"/>
    <w:rsid w:val="0038297F"/>
    <w:rsid w:val="003845C1"/>
    <w:rsid w:val="003A3E0F"/>
    <w:rsid w:val="003A6F89"/>
    <w:rsid w:val="003B38C1"/>
    <w:rsid w:val="003C40B7"/>
    <w:rsid w:val="003D352A"/>
    <w:rsid w:val="003E25A8"/>
    <w:rsid w:val="003F3A4F"/>
    <w:rsid w:val="003F7E27"/>
    <w:rsid w:val="00416539"/>
    <w:rsid w:val="00423E3E"/>
    <w:rsid w:val="00427AF4"/>
    <w:rsid w:val="004400E2"/>
    <w:rsid w:val="00461632"/>
    <w:rsid w:val="004647DA"/>
    <w:rsid w:val="00474062"/>
    <w:rsid w:val="00477D6B"/>
    <w:rsid w:val="004818C8"/>
    <w:rsid w:val="004D39C4"/>
    <w:rsid w:val="004F0E57"/>
    <w:rsid w:val="0050228C"/>
    <w:rsid w:val="0053057A"/>
    <w:rsid w:val="00536BDE"/>
    <w:rsid w:val="0054254E"/>
    <w:rsid w:val="00543E58"/>
    <w:rsid w:val="00560A29"/>
    <w:rsid w:val="00594D27"/>
    <w:rsid w:val="0059646C"/>
    <w:rsid w:val="005A75A2"/>
    <w:rsid w:val="005B4F8E"/>
    <w:rsid w:val="005E5386"/>
    <w:rsid w:val="00601760"/>
    <w:rsid w:val="00605827"/>
    <w:rsid w:val="00620FFC"/>
    <w:rsid w:val="006355C1"/>
    <w:rsid w:val="006424A6"/>
    <w:rsid w:val="00646050"/>
    <w:rsid w:val="006713CA"/>
    <w:rsid w:val="00676C5C"/>
    <w:rsid w:val="00695558"/>
    <w:rsid w:val="00697E2C"/>
    <w:rsid w:val="006D405D"/>
    <w:rsid w:val="006D5E0F"/>
    <w:rsid w:val="007003B2"/>
    <w:rsid w:val="007058FB"/>
    <w:rsid w:val="007067CE"/>
    <w:rsid w:val="007204C4"/>
    <w:rsid w:val="00721FB2"/>
    <w:rsid w:val="0074565F"/>
    <w:rsid w:val="00766AC0"/>
    <w:rsid w:val="00796C8A"/>
    <w:rsid w:val="007B6A58"/>
    <w:rsid w:val="007C3EFA"/>
    <w:rsid w:val="007D1613"/>
    <w:rsid w:val="00807F75"/>
    <w:rsid w:val="008624F1"/>
    <w:rsid w:val="00870618"/>
    <w:rsid w:val="00873EE5"/>
    <w:rsid w:val="00876793"/>
    <w:rsid w:val="008B2CC1"/>
    <w:rsid w:val="008B4B5E"/>
    <w:rsid w:val="008B60B2"/>
    <w:rsid w:val="008C218C"/>
    <w:rsid w:val="008E49CF"/>
    <w:rsid w:val="0090731E"/>
    <w:rsid w:val="00910CB8"/>
    <w:rsid w:val="00914AEA"/>
    <w:rsid w:val="00916EE2"/>
    <w:rsid w:val="00937B4C"/>
    <w:rsid w:val="00945EBC"/>
    <w:rsid w:val="00966A22"/>
    <w:rsid w:val="0096722F"/>
    <w:rsid w:val="00980843"/>
    <w:rsid w:val="009E2791"/>
    <w:rsid w:val="009E3F6F"/>
    <w:rsid w:val="009F3BF9"/>
    <w:rsid w:val="009F499F"/>
    <w:rsid w:val="00A019AE"/>
    <w:rsid w:val="00A04BEE"/>
    <w:rsid w:val="00A05972"/>
    <w:rsid w:val="00A40455"/>
    <w:rsid w:val="00A42DAF"/>
    <w:rsid w:val="00A42FB7"/>
    <w:rsid w:val="00A45BD8"/>
    <w:rsid w:val="00A70217"/>
    <w:rsid w:val="00A7051D"/>
    <w:rsid w:val="00A778BF"/>
    <w:rsid w:val="00A85B8E"/>
    <w:rsid w:val="00AC205C"/>
    <w:rsid w:val="00AE0770"/>
    <w:rsid w:val="00AF5C73"/>
    <w:rsid w:val="00B05A69"/>
    <w:rsid w:val="00B21AC0"/>
    <w:rsid w:val="00B3599B"/>
    <w:rsid w:val="00B40598"/>
    <w:rsid w:val="00B50B99"/>
    <w:rsid w:val="00B52E9B"/>
    <w:rsid w:val="00B62CD9"/>
    <w:rsid w:val="00B735FB"/>
    <w:rsid w:val="00B9734B"/>
    <w:rsid w:val="00BA7CEE"/>
    <w:rsid w:val="00BB2D15"/>
    <w:rsid w:val="00C055A6"/>
    <w:rsid w:val="00C11BFE"/>
    <w:rsid w:val="00C20F6A"/>
    <w:rsid w:val="00C44679"/>
    <w:rsid w:val="00C6046C"/>
    <w:rsid w:val="00C656A0"/>
    <w:rsid w:val="00C702E4"/>
    <w:rsid w:val="00C74119"/>
    <w:rsid w:val="00C94629"/>
    <w:rsid w:val="00CD46BD"/>
    <w:rsid w:val="00CE65D4"/>
    <w:rsid w:val="00CF196A"/>
    <w:rsid w:val="00D17617"/>
    <w:rsid w:val="00D24DDC"/>
    <w:rsid w:val="00D302A7"/>
    <w:rsid w:val="00D342E5"/>
    <w:rsid w:val="00D40505"/>
    <w:rsid w:val="00D45252"/>
    <w:rsid w:val="00D57BDF"/>
    <w:rsid w:val="00D67401"/>
    <w:rsid w:val="00D7110B"/>
    <w:rsid w:val="00D71B4D"/>
    <w:rsid w:val="00D93D55"/>
    <w:rsid w:val="00DA4F48"/>
    <w:rsid w:val="00DA770B"/>
    <w:rsid w:val="00DB6A7F"/>
    <w:rsid w:val="00DE5055"/>
    <w:rsid w:val="00E07857"/>
    <w:rsid w:val="00E161A2"/>
    <w:rsid w:val="00E335FE"/>
    <w:rsid w:val="00E5021F"/>
    <w:rsid w:val="00E671A6"/>
    <w:rsid w:val="00E91F7A"/>
    <w:rsid w:val="00EC4E49"/>
    <w:rsid w:val="00ED77FB"/>
    <w:rsid w:val="00EE2F92"/>
    <w:rsid w:val="00EF4D70"/>
    <w:rsid w:val="00F0079A"/>
    <w:rsid w:val="00F009E0"/>
    <w:rsid w:val="00F021A6"/>
    <w:rsid w:val="00F072CB"/>
    <w:rsid w:val="00F10DD5"/>
    <w:rsid w:val="00F11D94"/>
    <w:rsid w:val="00F30A15"/>
    <w:rsid w:val="00F57118"/>
    <w:rsid w:val="00F66152"/>
    <w:rsid w:val="00F72EF0"/>
    <w:rsid w:val="00F953A9"/>
    <w:rsid w:val="00FA5031"/>
    <w:rsid w:val="00FA720D"/>
    <w:rsid w:val="00FE018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10AD44"/>
  <w15:docId w15:val="{8252E522-30E3-416B-8C51-64FBC29B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F0079A"/>
    <w:pPr>
      <w:ind w:left="720"/>
      <w:contextualSpacing/>
    </w:pPr>
  </w:style>
  <w:style w:type="character" w:customStyle="1" w:styleId="ONUMEChar">
    <w:name w:val="ONUM E Char"/>
    <w:basedOn w:val="DefaultParagraphFont"/>
    <w:link w:val="ONUME"/>
    <w:locked/>
    <w:rsid w:val="000909FD"/>
    <w:rPr>
      <w:rFonts w:ascii="Arial" w:hAnsi="Arial" w:cs="Arial"/>
      <w:sz w:val="22"/>
      <w:lang w:val="en-US" w:eastAsia="zh-CN"/>
    </w:rPr>
  </w:style>
  <w:style w:type="paragraph" w:styleId="BalloonText">
    <w:name w:val="Balloon Text"/>
    <w:basedOn w:val="Normal"/>
    <w:link w:val="BalloonTextChar"/>
    <w:semiHidden/>
    <w:unhideWhenUsed/>
    <w:rsid w:val="0038297F"/>
    <w:rPr>
      <w:rFonts w:ascii="Segoe UI" w:hAnsi="Segoe UI" w:cs="Segoe UI"/>
      <w:sz w:val="18"/>
      <w:szCs w:val="18"/>
    </w:rPr>
  </w:style>
  <w:style w:type="character" w:customStyle="1" w:styleId="BalloonTextChar">
    <w:name w:val="Balloon Text Char"/>
    <w:basedOn w:val="DefaultParagraphFont"/>
    <w:link w:val="BalloonText"/>
    <w:semiHidden/>
    <w:rsid w:val="0038297F"/>
    <w:rPr>
      <w:rFonts w:ascii="Segoe UI" w:eastAsia="SimSun" w:hAnsi="Segoe UI" w:cs="Segoe UI"/>
      <w:sz w:val="18"/>
      <w:szCs w:val="18"/>
      <w:lang w:val="en-US" w:eastAsia="zh-CN"/>
    </w:rPr>
  </w:style>
  <w:style w:type="character" w:styleId="Hyperlink">
    <w:name w:val="Hyperlink"/>
    <w:basedOn w:val="DefaultParagraphFont"/>
    <w:unhideWhenUsed/>
    <w:rsid w:val="00C74119"/>
    <w:rPr>
      <w:color w:val="0000FF" w:themeColor="hyperlink"/>
      <w:u w:val="single"/>
    </w:rPr>
  </w:style>
  <w:style w:type="character" w:styleId="UnresolvedMention">
    <w:name w:val="Unresolved Mention"/>
    <w:basedOn w:val="DefaultParagraphFont"/>
    <w:uiPriority w:val="99"/>
    <w:semiHidden/>
    <w:unhideWhenUsed/>
    <w:rsid w:val="00C74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0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about-wipo/zh/assemblies/2023/a-64/doc_details.jsp?doc_id=610091" TargetMode="External"/><Relationship Id="rId4" Type="http://schemas.openxmlformats.org/officeDocument/2006/relationships/settings" Target="settings.xml"/><Relationship Id="rId9" Type="http://schemas.openxmlformats.org/officeDocument/2006/relationships/hyperlink" Target="https://www.wipo.int/about-wipo/zh/assemblies/2023/a-64/doc_details.jsp?doc_id=6046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A114D-4C13-45A9-8801-6FC03F16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5861</Words>
  <Characters>727</Characters>
  <Application>Microsoft Office Word</Application>
  <DocSecurity>0</DocSecurity>
  <Lines>6</Lines>
  <Paragraphs>13</Paragraphs>
  <ScaleCrop>false</ScaleCrop>
  <HeadingPairs>
    <vt:vector size="2" baseType="variant">
      <vt:variant>
        <vt:lpstr>Title</vt:lpstr>
      </vt:variant>
      <vt:variant>
        <vt:i4>1</vt:i4>
      </vt:variant>
    </vt:vector>
  </HeadingPairs>
  <TitlesOfParts>
    <vt:vector size="1" baseType="lpstr">
      <vt:lpstr>PCT/A/55/4 Prov.</vt:lpstr>
    </vt:vector>
  </TitlesOfParts>
  <Company>WIPO</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PCT/A/55/4</dc:title>
  <dc:subject>报告</dc:subject>
  <dc:creator>MARLOW Thomas</dc:creator>
  <cp:keywords/>
  <cp:lastModifiedBy>MA Weihai</cp:lastModifiedBy>
  <cp:revision>3</cp:revision>
  <cp:lastPrinted>2023-07-10T17:30:00Z</cp:lastPrinted>
  <dcterms:created xsi:type="dcterms:W3CDTF">2023-09-19T08:29:00Z</dcterms:created>
  <dcterms:modified xsi:type="dcterms:W3CDTF">2023-09-19T08:34:00Z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2023-07-27T07:32:41Z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d8115e70-cdbc-4b6b-95a6-7e16cec016dc</vt:lpwstr>
  </property>
  <property fmtid="{D5CDD505-2E9C-101B-9397-08002B2CF9AE}" pid="14" name="MSIP_Label_20773ee6-353b-4fb9-a59d-0b94c8c67bea_ContentBits">
    <vt:lpwstr>0</vt:lpwstr>
  </property>
</Properties>
</file>