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309A" w:rsidRPr="004E5AC7" w:rsidTr="006C3627">
        <w:trPr>
          <w:trHeight w:val="1977"/>
        </w:trPr>
        <w:tc>
          <w:tcPr>
            <w:tcW w:w="4594" w:type="dxa"/>
            <w:tcBorders>
              <w:bottom w:val="single" w:sz="4" w:space="0" w:color="auto"/>
            </w:tcBorders>
            <w:tcMar>
              <w:bottom w:w="170" w:type="dxa"/>
            </w:tcMar>
          </w:tcPr>
          <w:p w:rsidR="00A4309A" w:rsidRPr="004E5AC7" w:rsidRDefault="00A4309A" w:rsidP="006C3627">
            <w:pPr>
              <w:jc w:val="both"/>
            </w:pPr>
            <w:r>
              <w:rPr>
                <w:noProof/>
              </w:rPr>
              <w:drawing>
                <wp:anchor distT="0" distB="0" distL="114300" distR="114300" simplePos="0" relativeHeight="251663360" behindDoc="1" locked="0" layoutInCell="0" allowOverlap="1" wp14:anchorId="53BD703C" wp14:editId="25878B62">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309A" w:rsidRPr="004E5AC7" w:rsidRDefault="00A4309A" w:rsidP="006C3627"/>
        </w:tc>
        <w:tc>
          <w:tcPr>
            <w:tcW w:w="425" w:type="dxa"/>
            <w:tcBorders>
              <w:bottom w:val="single" w:sz="4" w:space="0" w:color="auto"/>
            </w:tcBorders>
            <w:tcMar>
              <w:left w:w="0" w:type="dxa"/>
              <w:right w:w="0" w:type="dxa"/>
            </w:tcMar>
          </w:tcPr>
          <w:p w:rsidR="00A4309A" w:rsidRPr="004E5AC7" w:rsidRDefault="00A4309A" w:rsidP="006C3627">
            <w:pPr>
              <w:jc w:val="right"/>
            </w:pPr>
            <w:r w:rsidRPr="004E5AC7">
              <w:rPr>
                <w:b/>
                <w:sz w:val="40"/>
                <w:szCs w:val="40"/>
              </w:rPr>
              <w:t>C</w:t>
            </w:r>
          </w:p>
        </w:tc>
      </w:tr>
      <w:tr w:rsidR="00A4309A" w:rsidRPr="004E5AC7" w:rsidTr="006C3627">
        <w:trPr>
          <w:trHeight w:hRule="exact" w:val="340"/>
        </w:trPr>
        <w:tc>
          <w:tcPr>
            <w:tcW w:w="9356" w:type="dxa"/>
            <w:gridSpan w:val="3"/>
            <w:tcBorders>
              <w:top w:val="single" w:sz="4" w:space="0" w:color="auto"/>
            </w:tcBorders>
            <w:tcMar>
              <w:top w:w="170" w:type="dxa"/>
              <w:left w:w="0" w:type="dxa"/>
              <w:right w:w="0" w:type="dxa"/>
            </w:tcMar>
            <w:vAlign w:val="bottom"/>
          </w:tcPr>
          <w:p w:rsidR="00A4309A" w:rsidRPr="004E5AC7" w:rsidRDefault="00A4309A" w:rsidP="00CE6C87">
            <w:pPr>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sidR="00CE6C87">
              <w:rPr>
                <w:rFonts w:ascii="Arial Black" w:hAnsi="Arial Black" w:hint="eastAsia"/>
                <w:caps/>
                <w:sz w:val="15"/>
              </w:rPr>
              <w:t>3</w:t>
            </w:r>
          </w:p>
        </w:tc>
      </w:tr>
      <w:tr w:rsidR="00A4309A" w:rsidRPr="004E5AC7" w:rsidTr="006C3627">
        <w:trPr>
          <w:trHeight w:hRule="exact" w:val="170"/>
        </w:trPr>
        <w:tc>
          <w:tcPr>
            <w:tcW w:w="9356" w:type="dxa"/>
            <w:gridSpan w:val="3"/>
            <w:noWrap/>
            <w:tcMar>
              <w:left w:w="0" w:type="dxa"/>
              <w:right w:w="0" w:type="dxa"/>
            </w:tcMar>
            <w:vAlign w:val="bottom"/>
          </w:tcPr>
          <w:p w:rsidR="00A4309A" w:rsidRPr="004E5AC7" w:rsidRDefault="00A4309A" w:rsidP="006C3627">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A4309A" w:rsidRPr="004E5AC7" w:rsidTr="006C3627">
        <w:trPr>
          <w:trHeight w:hRule="exact" w:val="198"/>
        </w:trPr>
        <w:tc>
          <w:tcPr>
            <w:tcW w:w="9356" w:type="dxa"/>
            <w:gridSpan w:val="3"/>
            <w:tcMar>
              <w:left w:w="0" w:type="dxa"/>
              <w:right w:w="0" w:type="dxa"/>
            </w:tcMar>
            <w:vAlign w:val="bottom"/>
          </w:tcPr>
          <w:p w:rsidR="00A4309A" w:rsidRPr="004E5AC7" w:rsidRDefault="00A4309A" w:rsidP="00CE6C8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sidR="00CE6C87">
              <w:rPr>
                <w:rFonts w:ascii="Arial Black" w:eastAsia="SimHei" w:hAnsi="Arial Black" w:hint="eastAsia"/>
                <w:b/>
                <w:sz w:val="15"/>
                <w:szCs w:val="15"/>
                <w:lang w:val="pt-BR"/>
              </w:rPr>
              <w:t>8</w:t>
            </w:r>
            <w:r w:rsidRPr="004E5AC7">
              <w:rPr>
                <w:rFonts w:ascii="SimHei" w:eastAsia="SimHei" w:hAnsi="Times New Roman" w:hint="eastAsia"/>
                <w:b/>
                <w:sz w:val="15"/>
                <w:szCs w:val="15"/>
              </w:rPr>
              <w:t>月</w:t>
            </w:r>
            <w:r w:rsidR="00CE6C87">
              <w:rPr>
                <w:rFonts w:ascii="Arial Black" w:eastAsia="SimHei" w:hAnsi="Arial Black" w:hint="eastAsia"/>
                <w:b/>
                <w:sz w:val="15"/>
                <w:szCs w:val="15"/>
                <w:lang w:val="pt-BR"/>
              </w:rPr>
              <w:t>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A4309A" w:rsidRPr="004E5AC7" w:rsidRDefault="00A4309A" w:rsidP="006C3627"/>
    <w:p w:rsidR="00A4309A" w:rsidRPr="004E5AC7" w:rsidRDefault="00A4309A" w:rsidP="006C3627"/>
    <w:p w:rsidR="00A4309A" w:rsidRPr="004E5AC7" w:rsidRDefault="00A4309A" w:rsidP="006C3627"/>
    <w:p w:rsidR="00A4309A" w:rsidRPr="004E5AC7" w:rsidRDefault="00A4309A" w:rsidP="006C3627"/>
    <w:p w:rsidR="00A4309A" w:rsidRPr="004E5AC7" w:rsidRDefault="00A4309A" w:rsidP="006C3627"/>
    <w:p w:rsidR="00A4309A" w:rsidRPr="00C23019" w:rsidRDefault="00A4309A" w:rsidP="006C3627">
      <w:pPr>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A4309A" w:rsidRPr="00A17E7B" w:rsidRDefault="00A4309A" w:rsidP="006C3627"/>
    <w:p w:rsidR="00A4309A" w:rsidRPr="00A17E7B" w:rsidRDefault="00A4309A" w:rsidP="006C3627"/>
    <w:p w:rsidR="00A4309A" w:rsidRDefault="00A4309A" w:rsidP="006C3627">
      <w:pPr>
        <w:textAlignment w:val="bottom"/>
        <w:rPr>
          <w:rFonts w:ascii="KaiTi" w:eastAsia="KaiTi"/>
          <w:b/>
          <w:sz w:val="24"/>
          <w:szCs w:val="24"/>
        </w:rPr>
      </w:pPr>
      <w:r w:rsidRPr="002C3C65">
        <w:rPr>
          <w:rFonts w:ascii="SimHei" w:eastAsia="SimHei" w:hint="eastAsia"/>
          <w:sz w:val="28"/>
          <w:szCs w:val="28"/>
          <w:lang w:eastAsia="ja-JP"/>
        </w:rPr>
        <w:t>大　会</w:t>
      </w:r>
    </w:p>
    <w:p w:rsidR="00A4309A" w:rsidRPr="00A17E7B" w:rsidRDefault="00A4309A" w:rsidP="006C3627"/>
    <w:p w:rsidR="00A4309A" w:rsidRPr="00A17E7B" w:rsidRDefault="00A4309A" w:rsidP="006C3627"/>
    <w:p w:rsidR="00A4309A" w:rsidRPr="002C3C65" w:rsidRDefault="00A4309A" w:rsidP="006C3627">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A4309A" w:rsidRPr="00C23019" w:rsidRDefault="00A4309A" w:rsidP="006C3627">
      <w:pPr>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A4309A" w:rsidRPr="00A17E7B" w:rsidRDefault="00A4309A" w:rsidP="006C3627"/>
    <w:p w:rsidR="00A4309A" w:rsidRPr="00A17E7B" w:rsidRDefault="00A4309A" w:rsidP="006C3627"/>
    <w:p w:rsidR="00A4309A" w:rsidRPr="00A17E7B" w:rsidRDefault="00A4309A" w:rsidP="006C3627"/>
    <w:p w:rsidR="00A4309A" w:rsidRPr="00C23019" w:rsidRDefault="00A4309A" w:rsidP="006C3627">
      <w:pPr>
        <w:rPr>
          <w:rFonts w:ascii="KaiTi" w:eastAsia="KaiTi" w:hAnsi="KaiTi" w:cs="Times New Roman"/>
          <w:kern w:val="2"/>
          <w:sz w:val="24"/>
          <w:szCs w:val="32"/>
        </w:rPr>
      </w:pPr>
      <w:bookmarkStart w:id="3" w:name="TitleOfDoc"/>
      <w:bookmarkEnd w:id="3"/>
      <w:r w:rsidRPr="004258FD">
        <w:rPr>
          <w:rFonts w:ascii="KaiTi" w:eastAsia="KaiTi" w:hAnsi="KaiTi" w:cs="Times New Roman" w:hint="eastAsia"/>
          <w:kern w:val="2"/>
          <w:sz w:val="24"/>
          <w:szCs w:val="32"/>
        </w:rPr>
        <w:t>指定菲律宾知识产权局为PCT国际检索和初步审查单位</w:t>
      </w:r>
    </w:p>
    <w:p w:rsidR="00A4309A" w:rsidRPr="00A17E7B" w:rsidRDefault="00A4309A" w:rsidP="006C3627"/>
    <w:p w:rsidR="00A4309A" w:rsidRPr="00AF24A4" w:rsidRDefault="00A4309A" w:rsidP="006C3627">
      <w:pPr>
        <w:rPr>
          <w:rFonts w:ascii="KaiTi" w:eastAsia="KaiTi" w:hAnsi="STKaiti" w:cs="Times New Roman"/>
          <w:kern w:val="2"/>
          <w:sz w:val="21"/>
          <w:szCs w:val="24"/>
        </w:rPr>
      </w:pPr>
      <w:bookmarkStart w:id="4" w:name="Prepared"/>
      <w:bookmarkEnd w:id="4"/>
      <w:r w:rsidRPr="005B1A70">
        <w:rPr>
          <w:rFonts w:ascii="KaiTi" w:eastAsia="KaiTi" w:hAnsi="STKaiti" w:cs="Times New Roman" w:hint="eastAsia"/>
          <w:kern w:val="2"/>
          <w:sz w:val="21"/>
          <w:szCs w:val="24"/>
        </w:rPr>
        <w:t>国际局编拟</w:t>
      </w:r>
      <w:r>
        <w:rPr>
          <w:rFonts w:ascii="KaiTi" w:eastAsia="KaiTi" w:hAnsi="STKaiti" w:cs="Times New Roman" w:hint="eastAsia"/>
          <w:kern w:val="2"/>
          <w:sz w:val="21"/>
          <w:szCs w:val="24"/>
        </w:rPr>
        <w:t>的文件</w:t>
      </w:r>
    </w:p>
    <w:p w:rsidR="00A4309A" w:rsidRPr="00A17E7B" w:rsidRDefault="00A4309A" w:rsidP="006C3627"/>
    <w:p w:rsidR="00A4309A" w:rsidRPr="00A17E7B" w:rsidRDefault="00A4309A" w:rsidP="006C3627"/>
    <w:p w:rsidR="00A4309A" w:rsidRPr="00A17E7B" w:rsidRDefault="00A4309A" w:rsidP="006C3627"/>
    <w:p w:rsidR="00A4309A" w:rsidRPr="00A17E7B" w:rsidRDefault="00A4309A" w:rsidP="006C3627"/>
    <w:p w:rsidR="00A4309A" w:rsidRPr="006C3627" w:rsidRDefault="00A4309A" w:rsidP="006C3627">
      <w:pPr>
        <w:pStyle w:val="1"/>
        <w:overflowPunct w:val="0"/>
        <w:spacing w:beforeLines="100" w:before="240" w:afterLines="50" w:after="120" w:line="340" w:lineRule="atLeast"/>
        <w:rPr>
          <w:rFonts w:ascii="SimHei" w:eastAsia="SimHei" w:hAnsi="SimHei"/>
          <w:b w:val="0"/>
          <w:sz w:val="21"/>
        </w:rPr>
      </w:pPr>
      <w:r w:rsidRPr="006C3627">
        <w:rPr>
          <w:rFonts w:ascii="SimHei" w:eastAsia="SimHei" w:hAnsi="SimHei" w:hint="eastAsia"/>
          <w:b w:val="0"/>
          <w:sz w:val="21"/>
        </w:rPr>
        <w:t>概</w:t>
      </w:r>
      <w:r w:rsidR="006C3627">
        <w:rPr>
          <w:rFonts w:ascii="SimHei" w:eastAsia="SimHei" w:hAnsi="SimHei" w:hint="eastAsia"/>
          <w:b w:val="0"/>
          <w:sz w:val="21"/>
        </w:rPr>
        <w:t xml:space="preserve">　</w:t>
      </w:r>
      <w:r w:rsidRPr="006C3627">
        <w:rPr>
          <w:rFonts w:ascii="SimHei" w:eastAsia="SimHei" w:hAnsi="SimHei" w:hint="eastAsia"/>
          <w:b w:val="0"/>
          <w:sz w:val="21"/>
        </w:rPr>
        <w:t>述</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本文件请大会考虑PCT技术合作委员会的意见，就指定菲律宾知识产权局为《专利合作条约》（PCT）国际检索和初步审查单位一事</w:t>
      </w:r>
      <w:proofErr w:type="gramStart"/>
      <w:r w:rsidRPr="004F55B9">
        <w:rPr>
          <w:rFonts w:ascii="SimSun" w:hAnsi="SimSun" w:hint="eastAsia"/>
          <w:sz w:val="21"/>
        </w:rPr>
        <w:t>作出</w:t>
      </w:r>
      <w:proofErr w:type="gramEnd"/>
      <w:r w:rsidRPr="004F55B9">
        <w:rPr>
          <w:rFonts w:ascii="SimSun" w:hAnsi="SimSun" w:hint="eastAsia"/>
          <w:sz w:val="21"/>
        </w:rPr>
        <w:t>决定。PCT技术合作委员会一致同意向大会建议指定菲律宾知识产权局。还请大会批准关于菲律宾知识产权局担任国际检索和初步审查单位的协议草案案文。</w:t>
      </w:r>
    </w:p>
    <w:p w:rsidR="00A4309A" w:rsidRPr="006C3627" w:rsidRDefault="00A4309A" w:rsidP="006C3627">
      <w:pPr>
        <w:pStyle w:val="1"/>
        <w:overflowPunct w:val="0"/>
        <w:spacing w:beforeLines="100" w:before="240" w:afterLines="50" w:after="120" w:line="340" w:lineRule="atLeast"/>
        <w:rPr>
          <w:rFonts w:ascii="SimHei" w:eastAsia="SimHei" w:hAnsi="SimHei"/>
          <w:b w:val="0"/>
          <w:sz w:val="21"/>
        </w:rPr>
      </w:pPr>
      <w:r w:rsidRPr="006C3627">
        <w:rPr>
          <w:rFonts w:ascii="SimHei" w:eastAsia="SimHei" w:hAnsi="SimHei" w:hint="eastAsia"/>
          <w:b w:val="0"/>
          <w:sz w:val="21"/>
        </w:rPr>
        <w:t>背</w:t>
      </w:r>
      <w:r w:rsidR="006C3627">
        <w:rPr>
          <w:rFonts w:ascii="SimHei" w:eastAsia="SimHei" w:hAnsi="SimHei" w:hint="eastAsia"/>
          <w:b w:val="0"/>
          <w:sz w:val="21"/>
        </w:rPr>
        <w:t xml:space="preserve">　</w:t>
      </w:r>
      <w:r w:rsidRPr="006C3627">
        <w:rPr>
          <w:rFonts w:ascii="SimHei" w:eastAsia="SimHei" w:hAnsi="SimHei" w:hint="eastAsia"/>
          <w:b w:val="0"/>
          <w:sz w:val="21"/>
        </w:rPr>
        <w:t>景</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《专利合作条约》（PCT）国际检索单位（ISA）和国际初步审查单位（IPEA）由大会指定，依据是PCT第16条第(3)款和第32条第(3)款。根据《PCT实施细则》第36.1条第(iv)项和</w:t>
      </w:r>
      <w:bookmarkStart w:id="5" w:name="_GoBack"/>
      <w:bookmarkEnd w:id="5"/>
      <w:r w:rsidRPr="004F55B9">
        <w:rPr>
          <w:rFonts w:ascii="SimSun" w:hAnsi="SimSun" w:hint="eastAsia"/>
          <w:sz w:val="21"/>
        </w:rPr>
        <w:t>第63.1条第(iv)项，任何指定都将同时为ISA和IPEA。</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2016年9月2日，依照PCT大会第四十六届会议通过的谅解中所述程序（文件</w:t>
      </w:r>
      <w:r w:rsidRPr="004F55B9">
        <w:rPr>
          <w:rFonts w:ascii="SimSun" w:hAnsi="SimSun"/>
          <w:sz w:val="21"/>
        </w:rPr>
        <w:t>PCT/A/46/6</w:t>
      </w:r>
      <w:r w:rsidRPr="004F55B9">
        <w:rPr>
          <w:rFonts w:ascii="SimSun" w:hAnsi="SimSun" w:hint="eastAsia"/>
          <w:sz w:val="21"/>
        </w:rPr>
        <w:t>第25段）的(c)项，菲律宾知识产权局表明希望请求PCT大会指定其为ISA和IPEA。2017年3月8日，依照程序的(e)项，菲律宾知识产权局提交了支持其申请的文件。上述文件转录于文件</w:t>
      </w:r>
      <w:r w:rsidRPr="004F55B9">
        <w:rPr>
          <w:rFonts w:ascii="SimSun" w:hAnsi="SimSun"/>
          <w:sz w:val="21"/>
        </w:rPr>
        <w:t>PCT/CTC/30/2 Rev</w:t>
      </w:r>
      <w:r w:rsidR="00295AEC">
        <w:rPr>
          <w:rFonts w:ascii="SimSun" w:hAnsi="SimSun" w:hint="eastAsia"/>
          <w:sz w:val="21"/>
        </w:rPr>
        <w:t>.</w:t>
      </w:r>
      <w:r w:rsidRPr="004F55B9">
        <w:rPr>
          <w:rFonts w:ascii="SimSun" w:hAnsi="SimSun" w:hint="eastAsia"/>
          <w:sz w:val="21"/>
        </w:rPr>
        <w:t>的附件中，并附于本文件。</w:t>
      </w:r>
    </w:p>
    <w:p w:rsidR="00A4309A" w:rsidRPr="006C3627" w:rsidRDefault="00A4309A" w:rsidP="006C3627">
      <w:pPr>
        <w:pStyle w:val="1"/>
        <w:overflowPunct w:val="0"/>
        <w:spacing w:beforeLines="100" w:before="240" w:afterLines="50" w:after="120" w:line="340" w:lineRule="atLeast"/>
        <w:rPr>
          <w:rFonts w:ascii="SimHei" w:eastAsia="SimHei" w:hAnsi="SimHei"/>
          <w:b w:val="0"/>
          <w:sz w:val="21"/>
        </w:rPr>
      </w:pPr>
      <w:r w:rsidRPr="006C3627">
        <w:rPr>
          <w:rFonts w:ascii="SimHei" w:eastAsia="SimHei" w:hAnsi="SimHei" w:hint="eastAsia"/>
          <w:b w:val="0"/>
          <w:sz w:val="21"/>
        </w:rPr>
        <w:lastRenderedPageBreak/>
        <w:t>pct技术合作委员会的意见</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依照PCT第16条第(3)款(e)项及第32条第(3)款，PCT技术合作委员会在于2017年5月8日至12日在日内瓦召开的第三十届会议上，就指定菲律宾知识产权局为ISA和IPEA给出了意见。文件</w:t>
      </w:r>
      <w:r w:rsidRPr="004F55B9">
        <w:rPr>
          <w:rFonts w:ascii="SimSun" w:hAnsi="SimSun"/>
          <w:sz w:val="21"/>
        </w:rPr>
        <w:t>PCT/CTC/30/26</w:t>
      </w:r>
      <w:r w:rsidRPr="004F55B9">
        <w:rPr>
          <w:rFonts w:ascii="SimSun" w:hAnsi="SimSun" w:hint="eastAsia"/>
          <w:sz w:val="21"/>
        </w:rPr>
        <w:t>（附于本文件）第10段总结了委员会的如下意见：</w:t>
      </w:r>
    </w:p>
    <w:p w:rsidR="00A4309A" w:rsidRPr="004F55B9" w:rsidRDefault="00A4309A" w:rsidP="006C3627">
      <w:pPr>
        <w:pStyle w:val="ONUME"/>
        <w:numPr>
          <w:ilvl w:val="0"/>
          <w:numId w:val="0"/>
        </w:numPr>
        <w:overflowPunct w:val="0"/>
        <w:spacing w:afterLines="50" w:after="120" w:line="340" w:lineRule="atLeast"/>
        <w:ind w:left="567"/>
        <w:jc w:val="both"/>
        <w:rPr>
          <w:rFonts w:ascii="SimSun" w:hAnsi="SimSun"/>
          <w:sz w:val="21"/>
        </w:rPr>
      </w:pPr>
      <w:r w:rsidRPr="004F55B9">
        <w:rPr>
          <w:rFonts w:ascii="SimSun" w:hAnsi="SimSun" w:hint="eastAsia"/>
          <w:sz w:val="21"/>
        </w:rPr>
        <w:t>“</w:t>
      </w:r>
      <w:r w:rsidRPr="004F55B9">
        <w:rPr>
          <w:rFonts w:ascii="SimSun" w:hAnsi="SimSun"/>
          <w:sz w:val="21"/>
        </w:rPr>
        <w:t>8.</w:t>
      </w:r>
      <w:r w:rsidRPr="004F55B9">
        <w:rPr>
          <w:rFonts w:ascii="SimSun" w:hAnsi="SimSun"/>
          <w:sz w:val="21"/>
        </w:rPr>
        <w:tab/>
      </w:r>
      <w:r w:rsidRPr="004F55B9">
        <w:rPr>
          <w:rFonts w:ascii="SimSun" w:hAnsi="SimSun" w:hint="eastAsia"/>
          <w:sz w:val="21"/>
        </w:rPr>
        <w:t>委员会一致同意向PCT联盟大会建议指定菲律宾知识产权局为PCT国际检索和初步审查单</w:t>
      </w:r>
      <w:r w:rsidR="00295AEC">
        <w:rPr>
          <w:rFonts w:ascii="SimSun" w:hAnsi="SimSun"/>
          <w:sz w:val="21"/>
        </w:rPr>
        <w:t>‍</w:t>
      </w:r>
      <w:r w:rsidRPr="004F55B9">
        <w:rPr>
          <w:rFonts w:ascii="SimSun" w:hAnsi="SimSun" w:hint="eastAsia"/>
          <w:sz w:val="21"/>
        </w:rPr>
        <w:t>位。”</w:t>
      </w:r>
    </w:p>
    <w:p w:rsidR="00A4309A" w:rsidRPr="006C3627" w:rsidRDefault="00A4309A" w:rsidP="006C3627">
      <w:pPr>
        <w:pStyle w:val="1"/>
        <w:overflowPunct w:val="0"/>
        <w:spacing w:beforeLines="100" w:before="240" w:afterLines="50" w:after="120" w:line="340" w:lineRule="atLeast"/>
        <w:rPr>
          <w:rFonts w:ascii="SimHei" w:eastAsia="SimHei" w:hAnsi="SimHei"/>
          <w:b w:val="0"/>
          <w:sz w:val="21"/>
        </w:rPr>
      </w:pPr>
      <w:r w:rsidRPr="006C3627">
        <w:rPr>
          <w:rFonts w:ascii="SimHei" w:eastAsia="SimHei" w:hAnsi="SimHei" w:hint="eastAsia"/>
          <w:b w:val="0"/>
          <w:sz w:val="21"/>
        </w:rPr>
        <w:t>关于菲律宾知识产权局担任国际检索和初步审查单位的协议草案</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根据PCT第16条第(3)款(b)项和第32条第(3)款，指定ISA和IPEA的条件是有关局或组织与国际局签订协议，该协议须经大会批准。菲律宾知识产权局和国际局的协议草案案文载于本文件的附件。除生效日期未确定外，草案中的各条与文件</w:t>
      </w:r>
      <w:r w:rsidRPr="004F55B9">
        <w:rPr>
          <w:rFonts w:ascii="SimSun" w:hAnsi="SimSun"/>
          <w:sz w:val="21"/>
        </w:rPr>
        <w:t>PCT/A/49/2</w:t>
      </w:r>
      <w:r w:rsidRPr="004F55B9">
        <w:rPr>
          <w:rFonts w:ascii="SimSun" w:hAnsi="SimSun" w:hint="eastAsia"/>
          <w:sz w:val="21"/>
        </w:rPr>
        <w:t>所载的关于延长现有国际检索和初步审查单位的指定的协议草案相应条款相同。</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如果大会同意指定，指定将在菲律宾知识产权局和国际局的协议生效时生效。协议将在菲律宾知识产权局准备就绪作为国际单位开始运作时生效。大会在2014年9月22日至30日召开的第四十六届会议（第27次特别会议）上通过了关于国际单位指定程序的谅解，其中(d)项提供了关于此时间的如下详细信息：</w:t>
      </w:r>
    </w:p>
    <w:p w:rsidR="00A4309A" w:rsidRPr="004F55B9" w:rsidRDefault="00A4309A" w:rsidP="006C3627">
      <w:pPr>
        <w:pStyle w:val="ONUME"/>
        <w:numPr>
          <w:ilvl w:val="0"/>
          <w:numId w:val="0"/>
        </w:numPr>
        <w:overflowPunct w:val="0"/>
        <w:spacing w:afterLines="50" w:after="120" w:line="340" w:lineRule="atLeast"/>
        <w:ind w:left="567"/>
        <w:jc w:val="both"/>
        <w:rPr>
          <w:rFonts w:ascii="SimSun" w:hAnsi="SimSun"/>
          <w:sz w:val="21"/>
        </w:rPr>
      </w:pPr>
      <w:r w:rsidRPr="004F55B9">
        <w:rPr>
          <w:rFonts w:ascii="SimSun" w:hAnsi="SimSun" w:hint="eastAsia"/>
          <w:sz w:val="21"/>
        </w:rPr>
        <w:t>“</w:t>
      </w:r>
      <w:r w:rsidRPr="004F55B9">
        <w:rPr>
          <w:rFonts w:ascii="SimSun" w:hAnsi="SimSun"/>
          <w:sz w:val="21"/>
        </w:rPr>
        <w:t>(d)</w:t>
      </w:r>
      <w:r w:rsidRPr="004F55B9">
        <w:rPr>
          <w:rFonts w:ascii="SimSun" w:hAnsi="SimSun"/>
          <w:sz w:val="21"/>
        </w:rPr>
        <w:tab/>
      </w:r>
      <w:r w:rsidRPr="004F55B9">
        <w:rPr>
          <w:rFonts w:ascii="SimSun" w:hAnsi="SimSun" w:hint="eastAsia"/>
          <w:sz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A4309A" w:rsidRPr="004F55B9" w:rsidRDefault="00A4309A" w:rsidP="006C3627">
      <w:pPr>
        <w:pStyle w:val="ONUME"/>
        <w:tabs>
          <w:tab w:val="clear" w:pos="567"/>
        </w:tabs>
        <w:overflowPunct w:val="0"/>
        <w:spacing w:afterLines="50" w:after="120" w:line="340" w:lineRule="atLeast"/>
        <w:jc w:val="both"/>
        <w:rPr>
          <w:rFonts w:ascii="SimSun" w:hAnsi="SimSun"/>
          <w:sz w:val="21"/>
        </w:rPr>
      </w:pPr>
      <w:r w:rsidRPr="004F55B9">
        <w:rPr>
          <w:rFonts w:ascii="SimSun" w:hAnsi="SimSun" w:hint="eastAsia"/>
          <w:sz w:val="21"/>
        </w:rPr>
        <w:t>根据协议草案第十条，协议的有效期于20</w:t>
      </w:r>
      <w:r w:rsidR="00295AEC">
        <w:rPr>
          <w:rFonts w:ascii="SimSun" w:hAnsi="SimSun" w:hint="eastAsia"/>
          <w:sz w:val="21"/>
        </w:rPr>
        <w:t>2</w:t>
      </w:r>
      <w:r w:rsidRPr="004F55B9">
        <w:rPr>
          <w:rFonts w:ascii="SimSun" w:hAnsi="SimSun" w:hint="eastAsia"/>
          <w:sz w:val="21"/>
        </w:rPr>
        <w:t>7年12月31日截止，与文件</w:t>
      </w:r>
      <w:r w:rsidRPr="004F55B9">
        <w:rPr>
          <w:rFonts w:ascii="SimSun" w:hAnsi="SimSun"/>
          <w:sz w:val="21"/>
        </w:rPr>
        <w:t>PCT/A/49/2</w:t>
      </w:r>
      <w:r w:rsidRPr="004F55B9">
        <w:rPr>
          <w:rFonts w:ascii="SimSun" w:hAnsi="SimSun" w:hint="eastAsia"/>
          <w:sz w:val="21"/>
        </w:rPr>
        <w:t>所载的关于延长现有国际检索和初步审查单位的指定的协议所述的日期相同。</w:t>
      </w:r>
    </w:p>
    <w:p w:rsidR="00A4309A" w:rsidRPr="006C3627" w:rsidRDefault="00A4309A" w:rsidP="006C3627">
      <w:pPr>
        <w:pStyle w:val="ONUME"/>
        <w:tabs>
          <w:tab w:val="clear" w:pos="567"/>
        </w:tabs>
        <w:overflowPunct w:val="0"/>
        <w:spacing w:afterLines="50" w:after="120" w:line="340" w:lineRule="atLeast"/>
        <w:ind w:left="5534"/>
        <w:jc w:val="both"/>
        <w:rPr>
          <w:rFonts w:ascii="KaiTi" w:eastAsia="KaiTi" w:hAnsi="KaiTi"/>
          <w:sz w:val="21"/>
        </w:rPr>
      </w:pPr>
      <w:r w:rsidRPr="006C3627">
        <w:rPr>
          <w:rFonts w:ascii="KaiTi" w:eastAsia="KaiTi" w:hAnsi="KaiTi" w:hint="eastAsia"/>
          <w:sz w:val="21"/>
        </w:rPr>
        <w:t>请PCT联盟大会依照PCT第16条第(3)款和第32条第(3)款：</w:t>
      </w:r>
    </w:p>
    <w:p w:rsidR="00A4309A" w:rsidRPr="006C3627" w:rsidRDefault="00A4309A" w:rsidP="006C3627">
      <w:pPr>
        <w:pStyle w:val="ONUME"/>
        <w:numPr>
          <w:ilvl w:val="0"/>
          <w:numId w:val="0"/>
        </w:numPr>
        <w:overflowPunct w:val="0"/>
        <w:spacing w:afterLines="50" w:after="120" w:line="340" w:lineRule="atLeast"/>
        <w:ind w:left="6237"/>
        <w:jc w:val="both"/>
        <w:rPr>
          <w:rFonts w:ascii="KaiTi" w:eastAsia="KaiTi" w:hAnsi="KaiTi"/>
          <w:sz w:val="21"/>
        </w:rPr>
      </w:pPr>
      <w:r w:rsidRPr="006C3627">
        <w:rPr>
          <w:rFonts w:ascii="KaiTi" w:eastAsia="KaiTi" w:hAnsi="KaiTi"/>
          <w:sz w:val="21"/>
        </w:rPr>
        <w:t>(</w:t>
      </w:r>
      <w:proofErr w:type="spellStart"/>
      <w:r w:rsidRPr="006C3627">
        <w:rPr>
          <w:rFonts w:ascii="KaiTi" w:eastAsia="KaiTi" w:hAnsi="KaiTi"/>
          <w:sz w:val="21"/>
        </w:rPr>
        <w:t>i</w:t>
      </w:r>
      <w:proofErr w:type="spellEnd"/>
      <w:r w:rsidRPr="006C3627">
        <w:rPr>
          <w:rFonts w:ascii="KaiTi" w:eastAsia="KaiTi" w:hAnsi="KaiTi"/>
          <w:sz w:val="21"/>
        </w:rPr>
        <w:t>)</w:t>
      </w:r>
      <w:r w:rsidRPr="006C3627">
        <w:rPr>
          <w:rFonts w:ascii="KaiTi" w:eastAsia="KaiTi" w:hAnsi="KaiTi"/>
          <w:sz w:val="21"/>
        </w:rPr>
        <w:tab/>
      </w:r>
      <w:r w:rsidRPr="006C3627">
        <w:rPr>
          <w:rFonts w:ascii="KaiTi" w:eastAsia="KaiTi" w:hAnsi="KaiTi" w:hint="eastAsia"/>
          <w:sz w:val="21"/>
        </w:rPr>
        <w:t>听取菲律宾知识产权局代表的意见，并考虑文件</w:t>
      </w:r>
      <w:r w:rsidRPr="006C3627">
        <w:rPr>
          <w:rFonts w:ascii="KaiTi" w:eastAsia="KaiTi" w:hAnsi="KaiTi"/>
          <w:sz w:val="21"/>
        </w:rPr>
        <w:t>PCT/A/49/3</w:t>
      </w:r>
      <w:r w:rsidRPr="006C3627">
        <w:rPr>
          <w:rFonts w:ascii="KaiTi" w:eastAsia="KaiTi" w:hAnsi="KaiTi" w:hint="eastAsia"/>
          <w:sz w:val="21"/>
        </w:rPr>
        <w:t>第4段所载的PCT技术合作委员会的意见；</w:t>
      </w:r>
    </w:p>
    <w:p w:rsidR="00A4309A" w:rsidRPr="006C3627" w:rsidRDefault="00A4309A" w:rsidP="006C3627">
      <w:pPr>
        <w:pStyle w:val="ONUME"/>
        <w:numPr>
          <w:ilvl w:val="0"/>
          <w:numId w:val="0"/>
        </w:numPr>
        <w:overflowPunct w:val="0"/>
        <w:spacing w:afterLines="50" w:after="120" w:line="340" w:lineRule="atLeast"/>
        <w:ind w:left="6237"/>
        <w:jc w:val="both"/>
        <w:rPr>
          <w:rFonts w:ascii="KaiTi" w:eastAsia="KaiTi" w:hAnsi="KaiTi"/>
          <w:sz w:val="21"/>
        </w:rPr>
      </w:pPr>
      <w:r w:rsidRPr="006C3627">
        <w:rPr>
          <w:rFonts w:ascii="KaiTi" w:eastAsia="KaiTi" w:hAnsi="KaiTi"/>
          <w:sz w:val="21"/>
        </w:rPr>
        <w:t>(ii)</w:t>
      </w:r>
      <w:r w:rsidRPr="006C3627">
        <w:rPr>
          <w:rFonts w:ascii="KaiTi" w:eastAsia="KaiTi" w:hAnsi="KaiTi"/>
          <w:sz w:val="21"/>
        </w:rPr>
        <w:tab/>
      </w:r>
      <w:r w:rsidRPr="006C3627">
        <w:rPr>
          <w:rFonts w:ascii="KaiTi" w:eastAsia="KaiTi" w:hAnsi="KaiTi" w:hint="eastAsia"/>
          <w:sz w:val="21"/>
        </w:rPr>
        <w:t>批准文件</w:t>
      </w:r>
      <w:r w:rsidRPr="006C3627">
        <w:rPr>
          <w:rFonts w:ascii="KaiTi" w:eastAsia="KaiTi" w:hAnsi="KaiTi"/>
          <w:sz w:val="21"/>
        </w:rPr>
        <w:t>PCT/A/49/3</w:t>
      </w:r>
      <w:r w:rsidRPr="006C3627">
        <w:rPr>
          <w:rFonts w:ascii="KaiTi" w:eastAsia="KaiTi" w:hAnsi="KaiTi" w:hint="eastAsia"/>
          <w:sz w:val="21"/>
        </w:rPr>
        <w:t>附件中所载的菲律宾知识产权局和国际局的协议草案案文；并</w:t>
      </w:r>
    </w:p>
    <w:p w:rsidR="00A4309A" w:rsidRPr="006C3627" w:rsidRDefault="00A4309A" w:rsidP="00295AEC">
      <w:pPr>
        <w:pStyle w:val="ONUME"/>
        <w:keepNext/>
        <w:numPr>
          <w:ilvl w:val="0"/>
          <w:numId w:val="0"/>
        </w:numPr>
        <w:overflowPunct w:val="0"/>
        <w:spacing w:afterLines="50" w:after="120" w:line="340" w:lineRule="atLeast"/>
        <w:ind w:left="6237"/>
        <w:jc w:val="both"/>
        <w:rPr>
          <w:rFonts w:ascii="KaiTi" w:eastAsia="KaiTi" w:hAnsi="KaiTi"/>
          <w:sz w:val="21"/>
        </w:rPr>
      </w:pPr>
      <w:r w:rsidRPr="006C3627">
        <w:rPr>
          <w:rFonts w:ascii="KaiTi" w:eastAsia="KaiTi" w:hAnsi="KaiTi"/>
          <w:sz w:val="21"/>
        </w:rPr>
        <w:lastRenderedPageBreak/>
        <w:t>(iii)</w:t>
      </w:r>
      <w:r w:rsidRPr="006C3627">
        <w:rPr>
          <w:rFonts w:ascii="KaiTi" w:eastAsia="KaiTi" w:hAnsi="KaiTi"/>
          <w:sz w:val="21"/>
        </w:rPr>
        <w:tab/>
      </w:r>
      <w:r w:rsidRPr="006C3627">
        <w:rPr>
          <w:rFonts w:ascii="KaiTi" w:eastAsia="KaiTi" w:hAnsi="KaiTi" w:hint="eastAsia"/>
          <w:sz w:val="21"/>
        </w:rPr>
        <w:t>指定菲律宾知识产权局为国际检索单位和国际初步审查单位，有效期为从协议生效日期开始至2027年12月31日。</w:t>
      </w:r>
    </w:p>
    <w:p w:rsidR="00295AEC" w:rsidRDefault="00295AEC" w:rsidP="00295AEC">
      <w:pPr>
        <w:pStyle w:val="ONUME"/>
        <w:keepNext/>
        <w:numPr>
          <w:ilvl w:val="0"/>
          <w:numId w:val="0"/>
        </w:numPr>
        <w:overflowPunct w:val="0"/>
        <w:spacing w:afterLines="50" w:after="120" w:line="340" w:lineRule="atLeast"/>
        <w:ind w:left="5534"/>
        <w:rPr>
          <w:rFonts w:ascii="KaiTi" w:eastAsia="KaiTi" w:hAnsi="KaiTi"/>
          <w:sz w:val="21"/>
        </w:rPr>
      </w:pPr>
    </w:p>
    <w:p w:rsidR="00A4309A" w:rsidRPr="006C3627" w:rsidRDefault="00A4309A" w:rsidP="00295AEC">
      <w:pPr>
        <w:pStyle w:val="ONUME"/>
        <w:numPr>
          <w:ilvl w:val="0"/>
          <w:numId w:val="0"/>
        </w:numPr>
        <w:overflowPunct w:val="0"/>
        <w:spacing w:afterLines="50" w:after="120" w:line="340" w:lineRule="atLeast"/>
        <w:ind w:left="5534"/>
        <w:rPr>
          <w:rFonts w:ascii="KaiTi" w:eastAsia="KaiTi" w:hAnsi="KaiTi"/>
          <w:sz w:val="21"/>
        </w:rPr>
      </w:pPr>
      <w:r w:rsidRPr="006C3627">
        <w:rPr>
          <w:rFonts w:ascii="KaiTi" w:eastAsia="KaiTi" w:hAnsi="KaiTi"/>
          <w:sz w:val="21"/>
        </w:rPr>
        <w:t>[</w:t>
      </w:r>
      <w:r w:rsidRPr="006C3627">
        <w:rPr>
          <w:rFonts w:ascii="KaiTi" w:eastAsia="KaiTi" w:hAnsi="KaiTi" w:hint="eastAsia"/>
          <w:sz w:val="21"/>
        </w:rPr>
        <w:t>后接附件与文件</w:t>
      </w:r>
      <w:r w:rsidRPr="006C3627">
        <w:rPr>
          <w:rFonts w:ascii="KaiTi" w:eastAsia="KaiTi" w:hAnsi="KaiTi"/>
          <w:sz w:val="21"/>
        </w:rPr>
        <w:t>PCT/CTC/30/2</w:t>
      </w:r>
      <w:r w:rsidR="00295AEC">
        <w:rPr>
          <w:rFonts w:ascii="SimSun" w:hAnsi="SimSun" w:cs="SimSun" w:hint="eastAsia"/>
          <w:sz w:val="21"/>
        </w:rPr>
        <w:t xml:space="preserve"> </w:t>
      </w:r>
      <w:r w:rsidRPr="006C3627">
        <w:rPr>
          <w:rFonts w:ascii="KaiTi" w:eastAsia="KaiTi" w:hAnsi="KaiTi"/>
          <w:sz w:val="21"/>
        </w:rPr>
        <w:t>Rev.</w:t>
      </w:r>
      <w:r w:rsidRPr="006C3627">
        <w:rPr>
          <w:rFonts w:ascii="KaiTi" w:eastAsia="KaiTi" w:hAnsi="KaiTi" w:hint="eastAsia"/>
          <w:sz w:val="21"/>
        </w:rPr>
        <w:t>和</w:t>
      </w:r>
      <w:r w:rsidRPr="006C3627">
        <w:rPr>
          <w:rFonts w:ascii="KaiTi" w:eastAsia="KaiTi" w:hAnsi="KaiTi"/>
          <w:sz w:val="21"/>
        </w:rPr>
        <w:t>PCT/CTC/30/26]</w:t>
      </w:r>
    </w:p>
    <w:p w:rsidR="006C3627" w:rsidRDefault="006C3627" w:rsidP="006C3627">
      <w:pPr>
        <w:pStyle w:val="ONUME"/>
        <w:numPr>
          <w:ilvl w:val="0"/>
          <w:numId w:val="0"/>
        </w:numPr>
        <w:ind w:left="5533"/>
        <w:rPr>
          <w:rFonts w:ascii="SimSun" w:hAnsi="SimSun"/>
          <w:sz w:val="21"/>
        </w:rPr>
      </w:pPr>
    </w:p>
    <w:p w:rsidR="006C3627" w:rsidRPr="004F55B9" w:rsidRDefault="006C3627" w:rsidP="006C3627">
      <w:pPr>
        <w:pStyle w:val="ONUME"/>
        <w:numPr>
          <w:ilvl w:val="0"/>
          <w:numId w:val="0"/>
        </w:numPr>
        <w:ind w:left="5533"/>
        <w:rPr>
          <w:rFonts w:ascii="SimSun" w:hAnsi="SimSun"/>
          <w:sz w:val="21"/>
        </w:rPr>
        <w:sectPr w:rsidR="006C3627" w:rsidRPr="004F55B9" w:rsidSect="006C3627">
          <w:headerReference w:type="default" r:id="rId10"/>
          <w:endnotePr>
            <w:numFmt w:val="decimal"/>
          </w:endnotePr>
          <w:pgSz w:w="11907" w:h="16840" w:code="9"/>
          <w:pgMar w:top="567" w:right="1134" w:bottom="1418" w:left="1418" w:header="510" w:footer="1021" w:gutter="0"/>
          <w:cols w:space="720"/>
          <w:titlePg/>
          <w:docGrid w:linePitch="299"/>
        </w:sectPr>
      </w:pPr>
    </w:p>
    <w:p w:rsidR="00A4309A" w:rsidRPr="004258FD" w:rsidRDefault="00A4309A" w:rsidP="006C3627">
      <w:pPr>
        <w:overflowPunct w:val="0"/>
        <w:spacing w:after="120"/>
        <w:jc w:val="center"/>
        <w:rPr>
          <w:rFonts w:ascii="SimHei" w:eastAsia="SimHei" w:hAnsi="SimHei" w:cs="Times New Roman"/>
          <w:noProof/>
          <w:kern w:val="2"/>
          <w:sz w:val="21"/>
          <w:szCs w:val="21"/>
        </w:rPr>
      </w:pPr>
      <w:r w:rsidRPr="004258FD">
        <w:rPr>
          <w:rFonts w:ascii="SimHei" w:hAnsi="SimHei" w:cs="Times New Roman" w:hint="eastAsia"/>
          <w:noProof/>
          <w:kern w:val="2"/>
          <w:sz w:val="21"/>
          <w:szCs w:val="21"/>
        </w:rPr>
        <w:lastRenderedPageBreak/>
        <w:t>菲律宾知识产权局</w:t>
      </w:r>
    </w:p>
    <w:p w:rsidR="00A4309A" w:rsidRPr="004258FD" w:rsidRDefault="00A4309A" w:rsidP="006C3627">
      <w:pPr>
        <w:overflowPunct w:val="0"/>
        <w:spacing w:after="120"/>
        <w:jc w:val="center"/>
        <w:rPr>
          <w:rFonts w:ascii="SimSun" w:hAnsi="SimSun" w:cs="Times New Roman"/>
          <w:noProof/>
          <w:kern w:val="2"/>
          <w:sz w:val="21"/>
          <w:szCs w:val="21"/>
        </w:rPr>
      </w:pPr>
      <w:r w:rsidRPr="004258FD">
        <w:rPr>
          <w:rFonts w:ascii="SimSun" w:hAnsi="SimSun" w:cs="Times New Roman" w:hint="eastAsia"/>
          <w:noProof/>
          <w:kern w:val="2"/>
          <w:sz w:val="21"/>
          <w:szCs w:val="21"/>
        </w:rPr>
        <w:t>和</w:t>
      </w:r>
    </w:p>
    <w:p w:rsidR="00A4309A" w:rsidRPr="004258FD" w:rsidRDefault="00A4309A" w:rsidP="006C3627">
      <w:pPr>
        <w:overflowPunct w:val="0"/>
        <w:spacing w:after="120"/>
        <w:jc w:val="center"/>
        <w:rPr>
          <w:rFonts w:ascii="SimSun" w:hAnsi="SimSun" w:cs="Times New Roman"/>
          <w:noProof/>
          <w:kern w:val="2"/>
          <w:sz w:val="21"/>
          <w:szCs w:val="21"/>
        </w:rPr>
      </w:pPr>
      <w:r w:rsidRPr="004258FD">
        <w:rPr>
          <w:rFonts w:ascii="SimSun" w:hAnsi="SimSun" w:cs="Times New Roman" w:hint="eastAsia"/>
          <w:noProof/>
          <w:kern w:val="2"/>
          <w:sz w:val="21"/>
          <w:szCs w:val="21"/>
        </w:rPr>
        <w:t>世界知识产权组织国际局</w:t>
      </w:r>
    </w:p>
    <w:p w:rsidR="00A4309A" w:rsidRPr="004258FD" w:rsidRDefault="00A4309A" w:rsidP="006C3627">
      <w:pPr>
        <w:overflowPunct w:val="0"/>
        <w:spacing w:after="120"/>
        <w:jc w:val="center"/>
        <w:rPr>
          <w:rFonts w:ascii="SimSun" w:hAnsi="SimSun" w:cs="Times New Roman"/>
          <w:noProof/>
          <w:kern w:val="2"/>
          <w:sz w:val="21"/>
          <w:szCs w:val="21"/>
        </w:rPr>
      </w:pPr>
      <w:r w:rsidRPr="004258FD">
        <w:rPr>
          <w:rFonts w:ascii="SimSun" w:hAnsi="SimSun" w:cs="Times New Roman" w:hint="eastAsia"/>
          <w:noProof/>
          <w:kern w:val="2"/>
          <w:sz w:val="21"/>
          <w:szCs w:val="21"/>
        </w:rPr>
        <w:t>关于</w:t>
      </w:r>
      <w:r w:rsidRPr="004258FD">
        <w:rPr>
          <w:rFonts w:ascii="SimHei" w:hAnsi="SimHei" w:cs="Times New Roman" w:hint="eastAsia"/>
          <w:noProof/>
          <w:kern w:val="2"/>
          <w:sz w:val="21"/>
          <w:szCs w:val="21"/>
        </w:rPr>
        <w:t>菲律宾知识产权局</w:t>
      </w:r>
      <w:r w:rsidRPr="004258FD">
        <w:rPr>
          <w:rFonts w:ascii="SimSun" w:hAnsi="SimSun" w:cs="Times New Roman" w:hint="eastAsia"/>
          <w:noProof/>
          <w:kern w:val="2"/>
          <w:sz w:val="21"/>
          <w:szCs w:val="21"/>
        </w:rPr>
        <w:t>担任</w:t>
      </w:r>
    </w:p>
    <w:p w:rsidR="00A4309A" w:rsidRPr="004258FD" w:rsidRDefault="00A4309A" w:rsidP="006C3627">
      <w:pPr>
        <w:overflowPunct w:val="0"/>
        <w:spacing w:after="120"/>
        <w:jc w:val="center"/>
        <w:rPr>
          <w:rFonts w:ascii="SimSun" w:hAnsi="SimSun" w:cs="Times New Roman"/>
          <w:noProof/>
          <w:kern w:val="2"/>
          <w:sz w:val="21"/>
          <w:szCs w:val="21"/>
        </w:rPr>
      </w:pPr>
      <w:r w:rsidRPr="004258FD">
        <w:rPr>
          <w:rFonts w:ascii="SimSun" w:hAnsi="SimSun" w:cs="Times New Roman" w:hint="eastAsia"/>
          <w:noProof/>
          <w:kern w:val="2"/>
          <w:sz w:val="21"/>
          <w:szCs w:val="21"/>
        </w:rPr>
        <w:t>《专利合作条约》的国际检索单位和国际初步审查单位的</w:t>
      </w:r>
    </w:p>
    <w:p w:rsidR="00A4309A" w:rsidRPr="004258FD" w:rsidRDefault="00A4309A" w:rsidP="006C3627">
      <w:pPr>
        <w:overflowPunct w:val="0"/>
        <w:spacing w:after="240"/>
        <w:jc w:val="center"/>
        <w:rPr>
          <w:rFonts w:ascii="SimSun" w:hAnsi="SimSun" w:cs="Times New Roman"/>
          <w:noProof/>
          <w:kern w:val="2"/>
          <w:sz w:val="21"/>
          <w:szCs w:val="21"/>
        </w:rPr>
      </w:pPr>
      <w:r w:rsidRPr="004258FD">
        <w:rPr>
          <w:rFonts w:ascii="SimSun" w:hAnsi="SimSun" w:cs="Times New Roman" w:hint="eastAsia"/>
          <w:noProof/>
          <w:kern w:val="2"/>
          <w:sz w:val="21"/>
          <w:szCs w:val="21"/>
        </w:rPr>
        <w:t>协议草案</w:t>
      </w:r>
    </w:p>
    <w:p w:rsidR="00A4309A" w:rsidRPr="004258FD" w:rsidRDefault="00A4309A" w:rsidP="006C3627">
      <w:pPr>
        <w:keepNext/>
        <w:keepLines/>
        <w:overflowPunct w:val="0"/>
        <w:spacing w:beforeLines="200" w:before="480" w:afterLines="100" w:after="240" w:line="340" w:lineRule="atLeast"/>
        <w:jc w:val="center"/>
        <w:rPr>
          <w:rFonts w:ascii="SimSun" w:hAnsi="SimSun"/>
          <w:sz w:val="21"/>
          <w:szCs w:val="22"/>
        </w:rPr>
      </w:pPr>
      <w:r w:rsidRPr="004258FD">
        <w:rPr>
          <w:rFonts w:ascii="KaiTi" w:eastAsia="KaiTi" w:hAnsi="KaiTi" w:cs="Times New Roman" w:hint="eastAsia"/>
          <w:noProof/>
          <w:sz w:val="21"/>
          <w:szCs w:val="21"/>
        </w:rPr>
        <w:t>序　言</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r>
      <w:r w:rsidRPr="004258FD">
        <w:rPr>
          <w:rFonts w:ascii="SimHei" w:hAnsi="SimHei" w:cs="Times New Roman" w:hint="eastAsia"/>
          <w:noProof/>
          <w:sz w:val="21"/>
          <w:szCs w:val="21"/>
        </w:rPr>
        <w:t>菲律宾知识产权局</w:t>
      </w:r>
      <w:r w:rsidRPr="004258FD">
        <w:rPr>
          <w:rFonts w:ascii="Times New Roman" w:hAnsi="Times New Roman" w:cs="Times New Roman" w:hint="eastAsia"/>
          <w:noProof/>
          <w:sz w:val="21"/>
          <w:szCs w:val="21"/>
        </w:rPr>
        <w:t>和世界知识产权组织国际局，</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r>
      <w:r w:rsidRPr="004258FD">
        <w:rPr>
          <w:rFonts w:ascii="KaiTi" w:eastAsia="KaiTi" w:hAnsi="KaiTi" w:cs="Times New Roman" w:hint="eastAsia"/>
          <w:noProof/>
          <w:sz w:val="21"/>
          <w:szCs w:val="21"/>
        </w:rPr>
        <w:t>考虑到</w:t>
      </w:r>
      <w:r w:rsidRPr="004258FD">
        <w:rPr>
          <w:rFonts w:ascii="SimSun" w:hAnsi="SimSun" w:cs="Times New Roman" w:hint="eastAsia"/>
          <w:noProof/>
          <w:sz w:val="21"/>
          <w:szCs w:val="21"/>
        </w:rPr>
        <w:t>《专利合作条约》（PCT）大会听取了《专利合作条约》技术合作委员会的建议，根据《专利合作条约》第十六条第</w:t>
      </w:r>
      <w:r w:rsidRPr="004258FD">
        <w:rPr>
          <w:rFonts w:ascii="SimSun" w:hAnsi="SimSun" w:cs="Times New Roman"/>
          <w:noProof/>
          <w:sz w:val="21"/>
          <w:szCs w:val="21"/>
        </w:rPr>
        <w:t>3款和第三十二条第3款</w:t>
      </w:r>
      <w:r w:rsidRPr="004258FD">
        <w:rPr>
          <w:rFonts w:ascii="SimSun" w:hAnsi="SimSun" w:cs="Times New Roman" w:hint="eastAsia"/>
          <w:noProof/>
          <w:sz w:val="21"/>
          <w:szCs w:val="21"/>
        </w:rPr>
        <w:t>，任命</w:t>
      </w:r>
      <w:r w:rsidRPr="004258FD">
        <w:rPr>
          <w:rFonts w:ascii="SimHei" w:hAnsi="SimHei" w:cs="Times New Roman" w:hint="eastAsia"/>
          <w:noProof/>
          <w:sz w:val="21"/>
          <w:szCs w:val="21"/>
        </w:rPr>
        <w:t>菲律宾知识产权局</w:t>
      </w:r>
      <w:r w:rsidRPr="004258FD">
        <w:rPr>
          <w:rFonts w:ascii="SimSun" w:hAnsi="SimSun" w:cs="Times New Roman" w:hint="eastAsia"/>
          <w:noProof/>
          <w:sz w:val="21"/>
          <w:szCs w:val="21"/>
        </w:rPr>
        <w:t>为《专利合作条约》的国际检索单位和国际初步审查单位，并通过了本协议，</w:t>
      </w:r>
    </w:p>
    <w:p w:rsidR="00A4309A" w:rsidRPr="004258FD" w:rsidRDefault="00A4309A" w:rsidP="006C3627">
      <w:pPr>
        <w:overflowPunct w:val="0"/>
        <w:spacing w:afterLines="100" w:after="240" w:line="340" w:lineRule="atLeast"/>
        <w:jc w:val="both"/>
        <w:rPr>
          <w:rFonts w:ascii="KaiTi" w:eastAsia="KaiTi" w:hAnsi="KaiTi"/>
          <w:sz w:val="21"/>
          <w:szCs w:val="22"/>
        </w:rPr>
      </w:pPr>
      <w:r w:rsidRPr="004258FD">
        <w:rPr>
          <w:rFonts w:ascii="KaiTi" w:eastAsia="KaiTi" w:hAnsi="KaiTi"/>
          <w:sz w:val="21"/>
          <w:szCs w:val="22"/>
        </w:rPr>
        <w:tab/>
      </w:r>
      <w:r w:rsidRPr="004258FD">
        <w:rPr>
          <w:rFonts w:ascii="KaiTi" w:eastAsia="KaiTi" w:hAnsi="KaiTi" w:cs="Times New Roman" w:hint="eastAsia"/>
          <w:noProof/>
          <w:sz w:val="21"/>
          <w:szCs w:val="21"/>
        </w:rPr>
        <w:t>兹协议如下：</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第一条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本协议中使用的词语</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w:t>
      </w:r>
      <w:r w:rsidRPr="004258FD">
        <w:rPr>
          <w:rFonts w:ascii="SimSun" w:hAnsi="SimSun" w:cs="Times New Roman"/>
          <w:noProof/>
          <w:kern w:val="2"/>
          <w:sz w:val="21"/>
          <w:szCs w:val="21"/>
        </w:rPr>
        <w:t>1</w:t>
      </w:r>
      <w:r w:rsidRPr="004258FD">
        <w:rPr>
          <w:rFonts w:ascii="SimSun" w:hAnsi="SimSun" w:cs="Times New Roman" w:hint="eastAsia"/>
          <w:noProof/>
          <w:kern w:val="2"/>
          <w:sz w:val="21"/>
          <w:szCs w:val="21"/>
        </w:rPr>
        <w:t>)</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就本协议而言：</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t>(</w:t>
      </w:r>
      <w:r w:rsidRPr="004258FD">
        <w:rPr>
          <w:rFonts w:ascii="SimSun" w:hAnsi="SimSun" w:cs="Times New Roman"/>
          <w:noProof/>
          <w:kern w:val="2"/>
          <w:sz w:val="21"/>
          <w:szCs w:val="21"/>
        </w:rPr>
        <w:t>a</w:t>
      </w:r>
      <w:r w:rsidRPr="004258FD">
        <w:rPr>
          <w:rFonts w:ascii="SimSun" w:hAnsi="SimSun" w:cs="Times New Roman" w:hint="eastAsia"/>
          <w:noProof/>
          <w:kern w:val="2"/>
          <w:sz w:val="21"/>
          <w:szCs w:val="21"/>
        </w:rPr>
        <w:t>)</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“条约”是指《专利合作条约》；</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t>(</w:t>
      </w:r>
      <w:r w:rsidRPr="004258FD">
        <w:rPr>
          <w:rFonts w:ascii="SimSun" w:hAnsi="SimSun" w:cs="Times New Roman"/>
          <w:noProof/>
          <w:kern w:val="2"/>
          <w:sz w:val="21"/>
          <w:szCs w:val="21"/>
        </w:rPr>
        <w:t>b</w:t>
      </w:r>
      <w:r w:rsidRPr="004258FD">
        <w:rPr>
          <w:rFonts w:ascii="SimSun" w:hAnsi="SimSun" w:cs="Times New Roman" w:hint="eastAsia"/>
          <w:noProof/>
          <w:kern w:val="2"/>
          <w:sz w:val="21"/>
          <w:szCs w:val="21"/>
        </w:rPr>
        <w:t>)</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“实施细则”是指条约的实施细则；</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t>(</w:t>
      </w:r>
      <w:r w:rsidRPr="004258FD">
        <w:rPr>
          <w:rFonts w:ascii="SimSun" w:hAnsi="SimSun" w:cs="Times New Roman"/>
          <w:noProof/>
          <w:kern w:val="2"/>
          <w:sz w:val="21"/>
          <w:szCs w:val="21"/>
        </w:rPr>
        <w:t>c</w:t>
      </w:r>
      <w:r w:rsidRPr="004258FD">
        <w:rPr>
          <w:rFonts w:ascii="SimSun" w:hAnsi="SimSun" w:cs="Times New Roman" w:hint="eastAsia"/>
          <w:noProof/>
          <w:kern w:val="2"/>
          <w:sz w:val="21"/>
          <w:szCs w:val="21"/>
        </w:rPr>
        <w:t>)</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“行政规程”是指条约的行政规程；</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r>
      <w:r w:rsidRPr="004258FD">
        <w:rPr>
          <w:rFonts w:ascii="SimSun" w:hAnsi="SimSun" w:cs="Times New Roman"/>
          <w:noProof/>
          <w:kern w:val="2"/>
          <w:sz w:val="21"/>
          <w:szCs w:val="21"/>
        </w:rPr>
        <w:t>(d)</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“条约第……条”是指条约的某条（具体提及本协议某条时除外）；</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r>
      <w:r w:rsidRPr="004258FD">
        <w:rPr>
          <w:rFonts w:ascii="SimSun" w:hAnsi="SimSun" w:cs="Times New Roman"/>
          <w:noProof/>
          <w:kern w:val="2"/>
          <w:sz w:val="21"/>
          <w:szCs w:val="21"/>
        </w:rPr>
        <w:t>(e)</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“细则第……条”是指实施细则的某条；</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r>
      <w:r w:rsidRPr="004258FD">
        <w:rPr>
          <w:rFonts w:ascii="SimSun" w:hAnsi="SimSun" w:cs="Times New Roman"/>
          <w:noProof/>
          <w:kern w:val="2"/>
          <w:sz w:val="21"/>
          <w:szCs w:val="21"/>
        </w:rPr>
        <w:t>(f)</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“缔约国”是指条约的某成员国；</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r>
      <w:r w:rsidRPr="004258FD">
        <w:rPr>
          <w:rFonts w:ascii="SimSun" w:hAnsi="SimSun" w:cs="Times New Roman"/>
          <w:noProof/>
          <w:kern w:val="2"/>
          <w:sz w:val="21"/>
          <w:szCs w:val="21"/>
        </w:rPr>
        <w:t>(g)</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“国际单位”是指</w:t>
      </w:r>
      <w:r w:rsidRPr="004258FD">
        <w:rPr>
          <w:rFonts w:ascii="SimHei" w:hAnsi="SimHei" w:cs="Times New Roman" w:hint="eastAsia"/>
          <w:noProof/>
          <w:kern w:val="2"/>
          <w:sz w:val="21"/>
          <w:szCs w:val="21"/>
        </w:rPr>
        <w:t>菲律宾知识产权局</w:t>
      </w:r>
      <w:r w:rsidRPr="004258FD">
        <w:rPr>
          <w:rFonts w:ascii="SimSun" w:hAnsi="SimSun" w:cs="Times New Roman" w:hint="eastAsia"/>
          <w:noProof/>
          <w:kern w:val="2"/>
          <w:sz w:val="21"/>
          <w:szCs w:val="21"/>
        </w:rPr>
        <w:t>；</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ab/>
      </w:r>
      <w:r w:rsidRPr="004258FD">
        <w:rPr>
          <w:rFonts w:ascii="SimSun" w:hAnsi="SimSun" w:cs="Times New Roman"/>
          <w:noProof/>
          <w:kern w:val="2"/>
          <w:sz w:val="21"/>
          <w:szCs w:val="21"/>
        </w:rPr>
        <w:t>(h)</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“国际局”是指世界知识产权组织国际局。</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t>(2)</w:t>
      </w:r>
      <w:r w:rsidRPr="004258FD">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lastRenderedPageBreak/>
        <w:t>第二条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基本义务</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t>(1)</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t>(2)</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t>(3)</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国际单位应根据PCT国际检索和初步审查指南所规定的要求，设立质量管理体系。</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t>(4)</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第三条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国际单位的权限</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(1)</w:t>
      </w:r>
      <w:r w:rsidRPr="004258FD">
        <w:rPr>
          <w:rFonts w:ascii="SimSun" w:hAnsi="SimSun" w:cs="Times New Roman"/>
          <w:kern w:val="2"/>
          <w:sz w:val="21"/>
          <w:szCs w:val="22"/>
        </w:rPr>
        <w:tab/>
      </w:r>
      <w:r w:rsidRPr="004258FD">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(2)</w:t>
      </w:r>
      <w:r w:rsidRPr="004258FD">
        <w:rPr>
          <w:rFonts w:ascii="SimSun" w:hAnsi="SimSun" w:cs="Times New Roman"/>
          <w:kern w:val="2"/>
          <w:sz w:val="21"/>
          <w:szCs w:val="22"/>
        </w:rPr>
        <w:tab/>
      </w:r>
      <w:r w:rsidRPr="004258FD">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(3)</w:t>
      </w:r>
      <w:r w:rsidRPr="004258FD">
        <w:rPr>
          <w:rFonts w:ascii="SimSun" w:hAnsi="SimSun" w:cs="Times New Roman"/>
          <w:kern w:val="2"/>
          <w:sz w:val="21"/>
          <w:szCs w:val="22"/>
        </w:rPr>
        <w:tab/>
      </w:r>
      <w:r w:rsidRPr="004258FD">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A4309A" w:rsidRPr="004258FD" w:rsidRDefault="00A4309A" w:rsidP="006C3627">
      <w:pPr>
        <w:overflowPunct w:val="0"/>
        <w:spacing w:afterLines="100" w:after="240" w:line="340" w:lineRule="atLeast"/>
        <w:jc w:val="both"/>
        <w:rPr>
          <w:rFonts w:ascii="SimSun" w:hAnsi="SimSun"/>
          <w:kern w:val="2"/>
          <w:sz w:val="21"/>
          <w:szCs w:val="22"/>
        </w:rPr>
      </w:pPr>
      <w:r w:rsidRPr="004258FD">
        <w:rPr>
          <w:rFonts w:ascii="SimSun" w:hAnsi="SimSun" w:cs="Times New Roman"/>
          <w:kern w:val="2"/>
          <w:sz w:val="21"/>
          <w:szCs w:val="22"/>
        </w:rPr>
        <w:tab/>
      </w:r>
      <w:r w:rsidRPr="004258FD">
        <w:rPr>
          <w:rFonts w:ascii="SimSun" w:hAnsi="SimSun"/>
          <w:kern w:val="2"/>
          <w:sz w:val="21"/>
          <w:szCs w:val="22"/>
        </w:rPr>
        <w:t>(4)</w:t>
      </w:r>
      <w:r w:rsidRPr="004258FD">
        <w:rPr>
          <w:rFonts w:ascii="SimSun" w:hAnsi="SimSun"/>
          <w:kern w:val="2"/>
          <w:sz w:val="21"/>
          <w:szCs w:val="22"/>
        </w:rPr>
        <w:tab/>
      </w:r>
      <w:r w:rsidRPr="004258FD">
        <w:rPr>
          <w:rFonts w:ascii="SimSun" w:hAnsi="SimSun" w:cs="Times New Roman" w:hint="eastAsia"/>
          <w:noProof/>
          <w:kern w:val="2"/>
          <w:sz w:val="21"/>
          <w:szCs w:val="21"/>
        </w:rPr>
        <w:t>国际单位应按本协议附录B所述，自行决定其根据细则第四十五条之二进行补充国际检索的程度。</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第四条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不要求检索或审查的主题</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lastRenderedPageBreak/>
        <w:t>第五条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费　用</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t>(1)</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t>(2)</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根据本协议附录D述明的条件和程度，国际单位应：</w:t>
      </w:r>
    </w:p>
    <w:p w:rsidR="00A4309A" w:rsidRPr="004258FD" w:rsidRDefault="00A4309A" w:rsidP="006C3627">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4258FD">
        <w:rPr>
          <w:rFonts w:ascii="SimSun" w:hAnsi="SimSun" w:cs="Times New Roman"/>
          <w:noProof/>
          <w:kern w:val="2"/>
          <w:sz w:val="21"/>
          <w:szCs w:val="21"/>
        </w:rPr>
        <w:tab/>
        <w:t>(i)</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A4309A" w:rsidRPr="004258FD" w:rsidRDefault="00A4309A" w:rsidP="006C3627">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4258FD">
        <w:rPr>
          <w:rFonts w:ascii="SimSun" w:hAnsi="SimSun" w:cs="Times New Roman"/>
          <w:noProof/>
          <w:kern w:val="2"/>
          <w:sz w:val="21"/>
          <w:szCs w:val="21"/>
        </w:rPr>
        <w:tab/>
        <w:t>(ii)</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如国际检索开始之前国际申请已被撤回或视为撤回，退还检索费。</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t>(3)</w:t>
      </w: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第六条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分　类</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第七条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国际单位使用的通信语言</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第八条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国际式检索</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Times New Roman" w:cs="Times New Roman"/>
          <w:noProof/>
          <w:kern w:val="2"/>
          <w:sz w:val="21"/>
          <w:szCs w:val="21"/>
        </w:rPr>
        <w:tab/>
      </w:r>
      <w:r w:rsidRPr="004258FD">
        <w:rPr>
          <w:rFonts w:ascii="SimSun" w:hAnsi="Times New Roman" w:cs="Times New Roman" w:hint="eastAsia"/>
          <w:noProof/>
          <w:kern w:val="2"/>
          <w:sz w:val="21"/>
          <w:szCs w:val="21"/>
        </w:rPr>
        <w:t>国际单位应</w:t>
      </w:r>
      <w:r w:rsidRPr="004258FD">
        <w:rPr>
          <w:rFonts w:ascii="SimSun" w:hAnsi="SimSun" w:cs="Times New Roman" w:hint="eastAsia"/>
          <w:noProof/>
          <w:kern w:val="2"/>
          <w:sz w:val="21"/>
          <w:szCs w:val="21"/>
        </w:rPr>
        <w:t>按本协议附录G所述，</w:t>
      </w:r>
      <w:r w:rsidRPr="004258FD">
        <w:rPr>
          <w:rFonts w:ascii="SimSun" w:hAnsi="Times New Roman" w:cs="Times New Roman" w:hint="eastAsia"/>
          <w:noProof/>
          <w:kern w:val="2"/>
          <w:sz w:val="21"/>
          <w:szCs w:val="21"/>
        </w:rPr>
        <w:t>自行决定其进行</w:t>
      </w:r>
      <w:r w:rsidRPr="004258FD">
        <w:rPr>
          <w:rFonts w:ascii="SimSun" w:hAnsi="SimSun" w:cs="Times New Roman" w:hint="eastAsia"/>
          <w:noProof/>
          <w:kern w:val="2"/>
          <w:sz w:val="21"/>
          <w:szCs w:val="21"/>
        </w:rPr>
        <w:t>国际式</w:t>
      </w:r>
      <w:r w:rsidRPr="004258FD">
        <w:rPr>
          <w:rFonts w:ascii="SimSun" w:hAnsi="Times New Roman" w:cs="Times New Roman" w:hint="eastAsia"/>
          <w:noProof/>
          <w:kern w:val="2"/>
          <w:sz w:val="21"/>
          <w:szCs w:val="21"/>
        </w:rPr>
        <w:t>检索的程度。</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第九条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协议的生效</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r>
      <w:r w:rsidRPr="004258FD">
        <w:rPr>
          <w:rFonts w:ascii="SimSun" w:hAnsi="SimSun" w:cs="Times New Roman" w:hint="eastAsia"/>
          <w:kern w:val="2"/>
          <w:sz w:val="21"/>
          <w:szCs w:val="22"/>
        </w:rPr>
        <w:t>本协议应于国际单位在给总干事的通知中指定的日期生效，但该日期应是自通知之日起至少一个月以后。</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lastRenderedPageBreak/>
        <w:t>第十条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有效期和续签</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noProof/>
          <w:kern w:val="2"/>
          <w:sz w:val="21"/>
          <w:szCs w:val="21"/>
        </w:rPr>
        <w:tab/>
      </w:r>
      <w:r w:rsidRPr="004258FD">
        <w:rPr>
          <w:rFonts w:ascii="SimSun" w:hAnsi="SimSun" w:cs="Times New Roman" w:hint="eastAsia"/>
          <w:noProof/>
          <w:kern w:val="2"/>
          <w:sz w:val="21"/>
          <w:szCs w:val="21"/>
        </w:rPr>
        <w:t>本协议的有效期于2027年12月31日截止，本协议各方应在不晚于2026年7月开始谈判协议的续签问题。</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第十一条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修　订</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(1)</w:t>
      </w:r>
      <w:r w:rsidRPr="004258FD">
        <w:rPr>
          <w:rFonts w:ascii="SimSun" w:hAnsi="SimSun" w:cs="Times New Roman"/>
          <w:kern w:val="2"/>
          <w:sz w:val="21"/>
          <w:szCs w:val="22"/>
        </w:rPr>
        <w:tab/>
      </w:r>
      <w:r w:rsidRPr="004258FD">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rsidR="00A4309A" w:rsidRPr="004258FD" w:rsidRDefault="00A4309A" w:rsidP="006C3627">
      <w:pPr>
        <w:overflowPunct w:val="0"/>
        <w:spacing w:afterLines="100" w:after="240" w:line="340" w:lineRule="atLeast"/>
        <w:jc w:val="both"/>
        <w:rPr>
          <w:rFonts w:ascii="SimSun" w:hAnsi="SimSun" w:cs="Times New Roman"/>
          <w:kern w:val="2"/>
          <w:sz w:val="21"/>
          <w:szCs w:val="22"/>
          <w:highlight w:val="yellow"/>
        </w:rPr>
      </w:pPr>
      <w:r w:rsidRPr="004258FD">
        <w:rPr>
          <w:rFonts w:ascii="SimSun" w:hAnsi="SimSun" w:cs="Times New Roman"/>
          <w:kern w:val="2"/>
          <w:sz w:val="21"/>
          <w:szCs w:val="22"/>
        </w:rPr>
        <w:tab/>
        <w:t>(2)</w:t>
      </w:r>
      <w:r w:rsidRPr="004258FD">
        <w:rPr>
          <w:rFonts w:ascii="SimSun" w:hAnsi="SimSun" w:cs="Times New Roman"/>
          <w:kern w:val="2"/>
          <w:sz w:val="21"/>
          <w:szCs w:val="22"/>
        </w:rPr>
        <w:tab/>
      </w:r>
      <w:r w:rsidRPr="004258FD">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(3)</w:t>
      </w:r>
      <w:r w:rsidRPr="004258FD">
        <w:rPr>
          <w:rFonts w:ascii="SimSun" w:hAnsi="SimSun" w:cs="Times New Roman"/>
          <w:kern w:val="2"/>
          <w:sz w:val="21"/>
          <w:szCs w:val="22"/>
        </w:rPr>
        <w:tab/>
      </w:r>
      <w:r w:rsidRPr="004258FD">
        <w:rPr>
          <w:rFonts w:ascii="SimSun" w:hAnsi="SimSun" w:cs="Times New Roman" w:hint="eastAsia"/>
          <w:noProof/>
          <w:kern w:val="2"/>
          <w:sz w:val="21"/>
          <w:szCs w:val="21"/>
        </w:rPr>
        <w:t>通过致世界知识产权组织总干事的通知，国际单位可以：</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sz w:val="21"/>
          <w:szCs w:val="22"/>
        </w:rPr>
        <w:tab/>
        <w:t>(</w:t>
      </w:r>
      <w:proofErr w:type="spellStart"/>
      <w:r w:rsidRPr="004258FD">
        <w:rPr>
          <w:rFonts w:ascii="SimSun" w:hAnsi="SimSun"/>
          <w:sz w:val="21"/>
          <w:szCs w:val="22"/>
        </w:rPr>
        <w:t>i</w:t>
      </w:r>
      <w:proofErr w:type="spellEnd"/>
      <w:r w:rsidRPr="004258FD">
        <w:rPr>
          <w:rFonts w:ascii="SimSun" w:hAnsi="SimSun"/>
          <w:sz w:val="21"/>
          <w:szCs w:val="22"/>
        </w:rPr>
        <w:t>)</w:t>
      </w:r>
      <w:r w:rsidRPr="004258FD">
        <w:rPr>
          <w:rFonts w:ascii="SimSun" w:hAnsi="SimSun"/>
          <w:sz w:val="21"/>
          <w:szCs w:val="22"/>
        </w:rPr>
        <w:tab/>
      </w:r>
      <w:r w:rsidRPr="004258FD">
        <w:rPr>
          <w:rFonts w:ascii="SimSun" w:hAnsi="SimSun" w:cs="Times New Roman" w:hint="eastAsia"/>
          <w:noProof/>
          <w:sz w:val="21"/>
          <w:szCs w:val="21"/>
        </w:rPr>
        <w:t>增加本协议附录A所指明的国家和语言；</w:t>
      </w:r>
    </w:p>
    <w:p w:rsidR="00A4309A" w:rsidRPr="004258FD" w:rsidRDefault="00A4309A" w:rsidP="006C3627">
      <w:pPr>
        <w:tabs>
          <w:tab w:val="right" w:pos="1276"/>
          <w:tab w:val="left" w:pos="1418"/>
        </w:tabs>
        <w:overflowPunct w:val="0"/>
        <w:spacing w:afterLines="100" w:after="240" w:line="340" w:lineRule="atLeast"/>
        <w:jc w:val="both"/>
        <w:rPr>
          <w:rFonts w:ascii="SimSun" w:hAnsi="SimSun" w:cs="Times New Roman"/>
          <w:sz w:val="21"/>
          <w:szCs w:val="24"/>
        </w:rPr>
      </w:pPr>
      <w:r w:rsidRPr="004258FD">
        <w:rPr>
          <w:rFonts w:ascii="SimSun" w:hAnsi="SimSun"/>
          <w:sz w:val="21"/>
          <w:szCs w:val="22"/>
        </w:rPr>
        <w:tab/>
      </w:r>
      <w:r w:rsidRPr="004258FD">
        <w:rPr>
          <w:rFonts w:ascii="SimSun" w:hAnsi="SimSun" w:cs="Times New Roman"/>
          <w:sz w:val="21"/>
          <w:szCs w:val="24"/>
        </w:rPr>
        <w:t>(i</w:t>
      </w:r>
      <w:r w:rsidRPr="004258FD">
        <w:rPr>
          <w:rFonts w:ascii="SimSun" w:hAnsi="SimSun"/>
          <w:sz w:val="21"/>
          <w:szCs w:val="22"/>
        </w:rPr>
        <w:t>i</w:t>
      </w:r>
      <w:r w:rsidRPr="004258FD">
        <w:rPr>
          <w:rFonts w:ascii="SimSun" w:hAnsi="SimSun" w:cs="Times New Roman"/>
          <w:sz w:val="21"/>
          <w:szCs w:val="24"/>
        </w:rPr>
        <w:t>)</w:t>
      </w:r>
      <w:r w:rsidRPr="004258FD">
        <w:rPr>
          <w:rFonts w:ascii="SimSun" w:hAnsi="SimSun" w:cs="Times New Roman"/>
          <w:sz w:val="21"/>
          <w:szCs w:val="24"/>
        </w:rPr>
        <w:tab/>
      </w:r>
      <w:r w:rsidRPr="004258FD">
        <w:rPr>
          <w:rFonts w:ascii="SimSun" w:hAnsi="SimSun" w:cs="Times New Roman" w:hint="eastAsia"/>
          <w:noProof/>
          <w:sz w:val="21"/>
          <w:szCs w:val="21"/>
        </w:rPr>
        <w:t>修</w:t>
      </w:r>
      <w:r w:rsidRPr="004258FD">
        <w:rPr>
          <w:rFonts w:ascii="SimSun" w:hAnsi="SimSun" w:cs="SimSun" w:hint="eastAsia"/>
          <w:sz w:val="21"/>
          <w:szCs w:val="22"/>
        </w:rPr>
        <w:t>订</w:t>
      </w:r>
      <w:r w:rsidRPr="004258FD">
        <w:rPr>
          <w:rFonts w:ascii="SimSun" w:hAnsi="SimSun" w:cs="Times New Roman" w:hint="eastAsia"/>
          <w:noProof/>
          <w:sz w:val="21"/>
          <w:szCs w:val="21"/>
        </w:rPr>
        <w:t>本协议附录B所包含的关于补充国际检索的说明。</w:t>
      </w:r>
    </w:p>
    <w:p w:rsidR="00A4309A" w:rsidRPr="004258FD" w:rsidRDefault="00A4309A" w:rsidP="006C3627">
      <w:pPr>
        <w:tabs>
          <w:tab w:val="right" w:pos="1276"/>
          <w:tab w:val="left" w:pos="1418"/>
        </w:tabs>
        <w:overflowPunct w:val="0"/>
        <w:spacing w:afterLines="100" w:after="240" w:line="340" w:lineRule="atLeast"/>
        <w:jc w:val="both"/>
        <w:rPr>
          <w:rFonts w:ascii="SimSun" w:hAnsi="SimSun" w:cs="Times New Roman"/>
          <w:noProof/>
          <w:sz w:val="21"/>
          <w:szCs w:val="21"/>
        </w:rPr>
      </w:pPr>
      <w:r w:rsidRPr="004258FD">
        <w:rPr>
          <w:rFonts w:ascii="SimSun" w:hAnsi="SimSun"/>
          <w:sz w:val="21"/>
          <w:szCs w:val="22"/>
        </w:rPr>
        <w:tab/>
        <w:t>(iii)</w:t>
      </w:r>
      <w:r w:rsidRPr="004258FD">
        <w:rPr>
          <w:rFonts w:ascii="SimSun" w:hAnsi="SimSun"/>
          <w:sz w:val="21"/>
          <w:szCs w:val="22"/>
        </w:rPr>
        <w:tab/>
      </w:r>
      <w:r w:rsidRPr="004258FD">
        <w:rPr>
          <w:rFonts w:ascii="SimSun" w:hAnsi="SimSun" w:cs="Times New Roman" w:hint="eastAsia"/>
          <w:noProof/>
          <w:sz w:val="21"/>
          <w:szCs w:val="21"/>
        </w:rPr>
        <w:t>修订本协议附录D所包含的费用表；</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cs="Times New Roman"/>
          <w:sz w:val="21"/>
          <w:szCs w:val="24"/>
        </w:rPr>
        <w:tab/>
      </w:r>
      <w:r w:rsidRPr="004258FD">
        <w:rPr>
          <w:rFonts w:ascii="SimSun" w:hAnsi="SimSun"/>
          <w:sz w:val="21"/>
          <w:szCs w:val="22"/>
        </w:rPr>
        <w:t>(iv)</w:t>
      </w:r>
      <w:r w:rsidRPr="004258FD">
        <w:rPr>
          <w:rFonts w:ascii="SimSun" w:hAnsi="SimSun"/>
          <w:sz w:val="21"/>
          <w:szCs w:val="22"/>
        </w:rPr>
        <w:tab/>
      </w:r>
      <w:r w:rsidRPr="004258FD">
        <w:rPr>
          <w:rFonts w:ascii="SimSun" w:hAnsi="SimSun" w:cs="SimSun" w:hint="eastAsia"/>
          <w:sz w:val="21"/>
          <w:szCs w:val="22"/>
        </w:rPr>
        <w:t>修订本协议附录</w:t>
      </w:r>
      <w:r w:rsidRPr="004258FD">
        <w:rPr>
          <w:rFonts w:ascii="SimSun" w:hAnsi="SimSun" w:hint="eastAsia"/>
          <w:sz w:val="21"/>
          <w:szCs w:val="22"/>
        </w:rPr>
        <w:t>E</w:t>
      </w:r>
      <w:r w:rsidRPr="004258FD">
        <w:rPr>
          <w:rFonts w:ascii="SimSun" w:hAnsi="SimSun" w:cs="SimSun" w:hint="eastAsia"/>
          <w:sz w:val="21"/>
          <w:szCs w:val="22"/>
        </w:rPr>
        <w:t>所包含的关于专利分类体系的说明；</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cs="Times New Roman"/>
          <w:sz w:val="21"/>
          <w:szCs w:val="24"/>
        </w:rPr>
        <w:tab/>
        <w:t>(</w:t>
      </w:r>
      <w:r w:rsidRPr="004258FD">
        <w:rPr>
          <w:rFonts w:ascii="SimSun" w:hAnsi="SimSun"/>
          <w:sz w:val="21"/>
          <w:szCs w:val="22"/>
        </w:rPr>
        <w:t>v</w:t>
      </w:r>
      <w:r w:rsidRPr="004258FD">
        <w:rPr>
          <w:rFonts w:ascii="SimSun" w:hAnsi="SimSun" w:cs="Times New Roman"/>
          <w:sz w:val="21"/>
          <w:szCs w:val="24"/>
        </w:rPr>
        <w:t>)</w:t>
      </w:r>
      <w:r w:rsidRPr="004258FD">
        <w:rPr>
          <w:rFonts w:ascii="SimSun" w:hAnsi="SimSun" w:cs="Times New Roman"/>
          <w:sz w:val="21"/>
          <w:szCs w:val="24"/>
        </w:rPr>
        <w:tab/>
      </w:r>
      <w:r w:rsidRPr="004258FD">
        <w:rPr>
          <w:rFonts w:ascii="SimSun" w:hAnsi="SimSun" w:cs="Times New Roman" w:hint="eastAsia"/>
          <w:noProof/>
          <w:sz w:val="21"/>
          <w:szCs w:val="21"/>
        </w:rPr>
        <w:t>修</w:t>
      </w:r>
      <w:r w:rsidRPr="004258FD">
        <w:rPr>
          <w:rFonts w:ascii="SimSun" w:hAnsi="SimSun" w:cs="SimSun" w:hint="eastAsia"/>
          <w:sz w:val="21"/>
          <w:szCs w:val="22"/>
        </w:rPr>
        <w:t>订</w:t>
      </w:r>
      <w:r w:rsidRPr="004258FD">
        <w:rPr>
          <w:rFonts w:ascii="SimSun" w:hAnsi="SimSun" w:cs="Times New Roman" w:hint="eastAsia"/>
          <w:noProof/>
          <w:sz w:val="21"/>
          <w:szCs w:val="21"/>
        </w:rPr>
        <w:t>本协议附录F所指明的通信语言；</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sz w:val="21"/>
          <w:szCs w:val="22"/>
        </w:rPr>
        <w:tab/>
        <w:t>(vi)</w:t>
      </w:r>
      <w:r w:rsidRPr="004258FD">
        <w:rPr>
          <w:rFonts w:ascii="SimSun" w:hAnsi="SimSun"/>
          <w:sz w:val="21"/>
          <w:szCs w:val="22"/>
        </w:rPr>
        <w:tab/>
      </w:r>
      <w:r w:rsidRPr="004258FD">
        <w:rPr>
          <w:rFonts w:ascii="SimSun" w:hAnsi="SimSun" w:cs="SimSun" w:hint="eastAsia"/>
          <w:sz w:val="21"/>
          <w:szCs w:val="22"/>
        </w:rPr>
        <w:t>修订本协议附录G所包含的关于国际式检索的说明</w:t>
      </w:r>
      <w:r w:rsidRPr="004258FD">
        <w:rPr>
          <w:rFonts w:ascii="SimSun" w:hAnsi="SimSun" w:hint="eastAsia"/>
          <w:sz w:val="21"/>
          <w:szCs w:val="22"/>
        </w:rPr>
        <w:t>。</w:t>
      </w:r>
    </w:p>
    <w:p w:rsidR="00A4309A" w:rsidRPr="004258FD" w:rsidRDefault="00A4309A" w:rsidP="006C3627">
      <w:pPr>
        <w:overflowPunct w:val="0"/>
        <w:spacing w:afterLines="100" w:after="240" w:line="340" w:lineRule="atLeast"/>
        <w:jc w:val="both"/>
        <w:rPr>
          <w:rFonts w:ascii="SimSun" w:hAnsi="SimSun"/>
          <w:kern w:val="2"/>
          <w:sz w:val="21"/>
          <w:szCs w:val="22"/>
        </w:rPr>
      </w:pPr>
      <w:r w:rsidRPr="004258FD">
        <w:rPr>
          <w:rFonts w:ascii="SimSun" w:hAnsi="SimSun" w:cs="Times New Roman"/>
          <w:kern w:val="2"/>
          <w:sz w:val="21"/>
          <w:szCs w:val="22"/>
        </w:rPr>
        <w:tab/>
        <w:t>(4)</w:t>
      </w:r>
      <w:r w:rsidRPr="004258FD">
        <w:rPr>
          <w:rFonts w:ascii="SimSun" w:hAnsi="SimSun" w:cs="Times New Roman"/>
          <w:kern w:val="2"/>
          <w:sz w:val="21"/>
          <w:szCs w:val="22"/>
        </w:rPr>
        <w:tab/>
      </w:r>
      <w:r w:rsidRPr="004258FD">
        <w:rPr>
          <w:rFonts w:ascii="SimSun" w:hAnsi="SimSun" w:cs="Times New Roman" w:hint="eastAsia"/>
          <w:noProof/>
          <w:kern w:val="2"/>
          <w:sz w:val="21"/>
          <w:szCs w:val="21"/>
        </w:rPr>
        <w:t>根据本条第(3)款通知的修订应于通知中指定的日期生效，但：</w:t>
      </w:r>
    </w:p>
    <w:p w:rsidR="00A4309A" w:rsidRPr="004258FD" w:rsidRDefault="00A4309A" w:rsidP="006C3627">
      <w:pPr>
        <w:tabs>
          <w:tab w:val="left" w:pos="1276"/>
        </w:tabs>
        <w:overflowPunct w:val="0"/>
        <w:spacing w:afterLines="50" w:after="120" w:line="340" w:lineRule="atLeast"/>
        <w:jc w:val="both"/>
        <w:rPr>
          <w:rFonts w:ascii="SimSun" w:hAnsi="SimSun"/>
          <w:sz w:val="21"/>
          <w:szCs w:val="22"/>
        </w:rPr>
      </w:pPr>
      <w:r w:rsidRPr="004258FD">
        <w:rPr>
          <w:rFonts w:ascii="SimSun" w:hAnsi="SimSun" w:cs="Times New Roman"/>
          <w:sz w:val="21"/>
          <w:szCs w:val="24"/>
        </w:rPr>
        <w:tab/>
      </w:r>
      <w:r w:rsidRPr="004258FD">
        <w:rPr>
          <w:rFonts w:ascii="SimSun" w:hAnsi="SimSun"/>
          <w:sz w:val="21"/>
          <w:szCs w:val="22"/>
        </w:rPr>
        <w:t>(</w:t>
      </w:r>
      <w:proofErr w:type="spellStart"/>
      <w:r w:rsidRPr="004258FD">
        <w:rPr>
          <w:rFonts w:ascii="SimSun" w:hAnsi="SimSun"/>
          <w:sz w:val="21"/>
          <w:szCs w:val="22"/>
        </w:rPr>
        <w:t>i</w:t>
      </w:r>
      <w:proofErr w:type="spellEnd"/>
      <w:r w:rsidRPr="004258FD">
        <w:rPr>
          <w:rFonts w:ascii="SimSun" w:hAnsi="SimSun"/>
          <w:sz w:val="21"/>
          <w:szCs w:val="22"/>
        </w:rPr>
        <w:t>)</w:t>
      </w:r>
      <w:r w:rsidRPr="004258FD">
        <w:rPr>
          <w:rFonts w:ascii="SimSun" w:hAnsi="SimSun"/>
          <w:sz w:val="21"/>
          <w:szCs w:val="22"/>
        </w:rPr>
        <w:tab/>
      </w:r>
      <w:r w:rsidRPr="004258FD">
        <w:rPr>
          <w:rFonts w:ascii="SimSun" w:hAnsi="SimSun" w:hint="eastAsia"/>
          <w:sz w:val="21"/>
          <w:szCs w:val="22"/>
        </w:rPr>
        <w:t>对于附录B的修订，规定国际单位不再进行补充国际检索的，生效的日期应是自国际局收到通知之日起至少六个月以后；并且</w:t>
      </w:r>
    </w:p>
    <w:p w:rsidR="00A4309A" w:rsidRPr="004258FD" w:rsidRDefault="00A4309A" w:rsidP="006C3627">
      <w:pPr>
        <w:tabs>
          <w:tab w:val="left" w:pos="1276"/>
        </w:tabs>
        <w:overflowPunct w:val="0"/>
        <w:spacing w:afterLines="50" w:after="120" w:line="340" w:lineRule="atLeast"/>
        <w:jc w:val="both"/>
        <w:rPr>
          <w:rFonts w:ascii="SimSun" w:hAnsi="SimSun"/>
          <w:sz w:val="21"/>
          <w:szCs w:val="22"/>
        </w:rPr>
      </w:pPr>
      <w:r w:rsidRPr="004258FD">
        <w:rPr>
          <w:rFonts w:ascii="SimSun" w:hAnsi="SimSun"/>
          <w:sz w:val="21"/>
          <w:szCs w:val="22"/>
        </w:rPr>
        <w:tab/>
        <w:t>(ii)</w:t>
      </w:r>
      <w:r w:rsidRPr="004258FD">
        <w:rPr>
          <w:rFonts w:ascii="SimSun" w:hAnsi="SimSun"/>
          <w:sz w:val="21"/>
          <w:szCs w:val="22"/>
        </w:rPr>
        <w:tab/>
      </w:r>
      <w:r w:rsidRPr="004258FD">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A4309A" w:rsidRPr="004258FD" w:rsidRDefault="00A4309A" w:rsidP="006C3627">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4258FD">
        <w:rPr>
          <w:rFonts w:ascii="SimHei" w:eastAsia="SimHei" w:hAnsi="SimHei" w:cs="Times New Roman" w:hint="eastAsia"/>
          <w:noProof/>
          <w:kern w:val="2"/>
          <w:sz w:val="21"/>
          <w:szCs w:val="21"/>
        </w:rPr>
        <w:t>第十二条</w:t>
      </w:r>
      <w:r w:rsidRPr="004258FD">
        <w:rPr>
          <w:rFonts w:ascii="SimHei" w:eastAsia="SimHei" w:hAnsi="SimHei" w:cs="Times New Roman"/>
          <w:noProof/>
          <w:kern w:val="2"/>
          <w:sz w:val="21"/>
          <w:szCs w:val="21"/>
        </w:rPr>
        <w:br/>
      </w:r>
      <w:r w:rsidRPr="004258FD">
        <w:rPr>
          <w:rFonts w:ascii="SimHei" w:eastAsia="SimHei" w:hAnsi="SimHei" w:cs="Times New Roman" w:hint="eastAsia"/>
          <w:noProof/>
          <w:kern w:val="2"/>
          <w:sz w:val="21"/>
          <w:szCs w:val="21"/>
        </w:rPr>
        <w:t>终　止</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tab/>
        <w:t>(1)</w:t>
      </w:r>
      <w:r w:rsidRPr="004258FD">
        <w:rPr>
          <w:rFonts w:ascii="SimSun" w:hAnsi="SimSun" w:cs="Times New Roman"/>
          <w:kern w:val="2"/>
          <w:sz w:val="21"/>
          <w:szCs w:val="22"/>
        </w:rPr>
        <w:tab/>
      </w:r>
      <w:r w:rsidRPr="004258FD">
        <w:rPr>
          <w:rFonts w:ascii="SimSun" w:hAnsi="SimSun" w:cs="Times New Roman" w:hint="eastAsia"/>
          <w:noProof/>
          <w:kern w:val="2"/>
          <w:sz w:val="21"/>
          <w:szCs w:val="21"/>
        </w:rPr>
        <w:t>在下列情况下本协议应于2027年12月31日以前终止：</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sz w:val="21"/>
          <w:szCs w:val="22"/>
        </w:rPr>
        <w:tab/>
        <w:t>(</w:t>
      </w:r>
      <w:proofErr w:type="spellStart"/>
      <w:r w:rsidRPr="004258FD">
        <w:rPr>
          <w:rFonts w:ascii="SimSun" w:hAnsi="SimSun"/>
          <w:sz w:val="21"/>
          <w:szCs w:val="22"/>
        </w:rPr>
        <w:t>i</w:t>
      </w:r>
      <w:proofErr w:type="spellEnd"/>
      <w:r w:rsidRPr="004258FD">
        <w:rPr>
          <w:rFonts w:ascii="SimSun" w:hAnsi="SimSun"/>
          <w:sz w:val="21"/>
          <w:szCs w:val="22"/>
        </w:rPr>
        <w:t>)</w:t>
      </w:r>
      <w:r w:rsidRPr="004258FD">
        <w:rPr>
          <w:rFonts w:ascii="SimSun" w:hAnsi="SimSun"/>
          <w:sz w:val="21"/>
          <w:szCs w:val="22"/>
        </w:rPr>
        <w:tab/>
      </w:r>
      <w:r w:rsidRPr="004258FD">
        <w:rPr>
          <w:rFonts w:ascii="SimHei" w:hAnsi="SimHei" w:hint="eastAsia"/>
          <w:sz w:val="21"/>
          <w:szCs w:val="22"/>
        </w:rPr>
        <w:t>菲律宾知识产权局</w:t>
      </w:r>
      <w:r w:rsidRPr="004258FD">
        <w:rPr>
          <w:rFonts w:ascii="SimSun" w:hAnsi="SimSun" w:cs="Times New Roman" w:hint="eastAsia"/>
          <w:sz w:val="21"/>
          <w:szCs w:val="24"/>
        </w:rPr>
        <w:t>给世界知识产权组织总干事以书面通知终止本协议；或者</w:t>
      </w:r>
    </w:p>
    <w:p w:rsidR="00A4309A" w:rsidRPr="004258FD" w:rsidRDefault="00A4309A" w:rsidP="006C3627">
      <w:pPr>
        <w:tabs>
          <w:tab w:val="right" w:pos="1276"/>
          <w:tab w:val="left" w:pos="1418"/>
        </w:tabs>
        <w:overflowPunct w:val="0"/>
        <w:spacing w:afterLines="100" w:after="240" w:line="340" w:lineRule="atLeast"/>
        <w:jc w:val="both"/>
        <w:rPr>
          <w:rFonts w:ascii="SimSun" w:hAnsi="SimSun"/>
          <w:sz w:val="21"/>
          <w:szCs w:val="22"/>
        </w:rPr>
      </w:pPr>
      <w:r w:rsidRPr="004258FD">
        <w:rPr>
          <w:rFonts w:ascii="SimSun" w:hAnsi="SimSun"/>
          <w:sz w:val="21"/>
          <w:szCs w:val="22"/>
        </w:rPr>
        <w:tab/>
        <w:t>(ii)</w:t>
      </w:r>
      <w:r w:rsidRPr="004258FD">
        <w:rPr>
          <w:rFonts w:ascii="SimSun" w:hAnsi="SimSun"/>
          <w:sz w:val="21"/>
          <w:szCs w:val="22"/>
        </w:rPr>
        <w:tab/>
      </w:r>
      <w:r w:rsidRPr="004258FD">
        <w:rPr>
          <w:rFonts w:ascii="SimSun" w:hAnsi="SimSun" w:cs="Times New Roman" w:hint="eastAsia"/>
          <w:sz w:val="21"/>
          <w:szCs w:val="24"/>
        </w:rPr>
        <w:t>世界知识产权组织总干事给</w:t>
      </w:r>
      <w:r w:rsidRPr="004258FD">
        <w:rPr>
          <w:rFonts w:ascii="SimHei" w:hAnsi="SimHei" w:hint="eastAsia"/>
          <w:sz w:val="21"/>
          <w:szCs w:val="22"/>
        </w:rPr>
        <w:t>菲律宾知识产权局</w:t>
      </w:r>
      <w:r w:rsidRPr="004258FD">
        <w:rPr>
          <w:rFonts w:ascii="SimSun" w:hAnsi="SimSun" w:cs="Times New Roman" w:hint="eastAsia"/>
          <w:sz w:val="21"/>
          <w:szCs w:val="24"/>
        </w:rPr>
        <w:t>以书面通知终止本协议。</w:t>
      </w:r>
    </w:p>
    <w:p w:rsidR="00A4309A" w:rsidRPr="004258FD" w:rsidRDefault="00A4309A" w:rsidP="006C3627">
      <w:pPr>
        <w:overflowPunct w:val="0"/>
        <w:spacing w:afterLines="100" w:after="240" w:line="340" w:lineRule="atLeast"/>
        <w:jc w:val="both"/>
        <w:rPr>
          <w:rFonts w:ascii="SimSun" w:hAnsi="SimSun" w:cs="Times New Roman"/>
          <w:kern w:val="2"/>
          <w:sz w:val="21"/>
          <w:szCs w:val="22"/>
        </w:rPr>
      </w:pPr>
      <w:r w:rsidRPr="004258FD">
        <w:rPr>
          <w:rFonts w:ascii="SimSun" w:hAnsi="SimSun" w:cs="Times New Roman"/>
          <w:kern w:val="2"/>
          <w:sz w:val="21"/>
          <w:szCs w:val="22"/>
        </w:rPr>
        <w:lastRenderedPageBreak/>
        <w:tab/>
        <w:t>(2)</w:t>
      </w:r>
      <w:r w:rsidRPr="004258FD">
        <w:rPr>
          <w:rFonts w:ascii="SimSun" w:hAnsi="SimSun" w:cs="Times New Roman"/>
          <w:kern w:val="2"/>
          <w:sz w:val="21"/>
          <w:szCs w:val="22"/>
        </w:rPr>
        <w:tab/>
      </w:r>
      <w:r w:rsidRPr="004258FD">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A4309A" w:rsidRPr="004258FD" w:rsidRDefault="00A4309A" w:rsidP="006C3627">
      <w:pPr>
        <w:overflowPunct w:val="0"/>
        <w:spacing w:after="240"/>
        <w:jc w:val="both"/>
        <w:rPr>
          <w:rFonts w:ascii="SimSun" w:hAnsi="SimSun"/>
          <w:sz w:val="21"/>
          <w:szCs w:val="22"/>
        </w:rPr>
      </w:pP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KaiTi" w:eastAsia="KaiTi" w:hAnsi="KaiTi" w:cs="Times New Roman" w:hint="eastAsia"/>
          <w:noProof/>
          <w:kern w:val="2"/>
          <w:sz w:val="21"/>
          <w:szCs w:val="21"/>
        </w:rPr>
        <w:tab/>
        <w:t>兹证明</w:t>
      </w:r>
      <w:r w:rsidRPr="004258FD">
        <w:rPr>
          <w:rFonts w:ascii="SimSun" w:hAnsi="SimSun" w:cs="Times New Roman" w:hint="eastAsia"/>
          <w:noProof/>
          <w:kern w:val="2"/>
          <w:sz w:val="21"/>
          <w:szCs w:val="21"/>
        </w:rPr>
        <w:t>本协议已由双方签订。</w:t>
      </w:r>
    </w:p>
    <w:p w:rsidR="00A4309A" w:rsidRPr="004258FD" w:rsidRDefault="00A4309A" w:rsidP="006C3627">
      <w:pPr>
        <w:overflowPunct w:val="0"/>
        <w:spacing w:afterLines="100" w:after="240" w:line="340" w:lineRule="atLeast"/>
        <w:jc w:val="both"/>
        <w:rPr>
          <w:rFonts w:ascii="SimSun" w:hAnsi="SimSun" w:cs="Times New Roman"/>
          <w:noProof/>
          <w:kern w:val="2"/>
          <w:sz w:val="21"/>
          <w:szCs w:val="21"/>
        </w:rPr>
      </w:pPr>
      <w:r w:rsidRPr="004258FD">
        <w:rPr>
          <w:rFonts w:ascii="SimSun" w:hAnsi="SimSun" w:cs="Times New Roman" w:hint="eastAsia"/>
          <w:noProof/>
          <w:kern w:val="2"/>
          <w:sz w:val="21"/>
          <w:szCs w:val="21"/>
        </w:rPr>
        <w:tab/>
        <w:t>本协议于</w:t>
      </w:r>
      <w:r w:rsidRPr="004258FD">
        <w:rPr>
          <w:rFonts w:ascii="KaiTi" w:eastAsia="KaiTi" w:hAnsi="KaiTi" w:cs="Times New Roman" w:hint="eastAsia"/>
          <w:noProof/>
          <w:kern w:val="2"/>
          <w:sz w:val="21"/>
          <w:szCs w:val="21"/>
          <w:u w:val="single"/>
        </w:rPr>
        <w:t xml:space="preserve">    </w:t>
      </w:r>
      <w:r w:rsidRPr="004258FD">
        <w:rPr>
          <w:rFonts w:ascii="SimSun" w:hAnsi="SimSun" w:cs="Times New Roman" w:hint="eastAsia"/>
          <w:noProof/>
          <w:kern w:val="2"/>
          <w:sz w:val="21"/>
          <w:szCs w:val="21"/>
        </w:rPr>
        <w:t>年</w:t>
      </w:r>
      <w:r w:rsidRPr="004258FD">
        <w:rPr>
          <w:rFonts w:ascii="KaiTi" w:eastAsia="KaiTi" w:hAnsi="KaiTi" w:cs="Times New Roman" w:hint="eastAsia"/>
          <w:noProof/>
          <w:kern w:val="2"/>
          <w:sz w:val="21"/>
          <w:szCs w:val="21"/>
          <w:u w:val="single"/>
        </w:rPr>
        <w:t xml:space="preserve">  </w:t>
      </w:r>
      <w:r w:rsidRPr="004258FD">
        <w:rPr>
          <w:rFonts w:ascii="SimSun" w:hAnsi="SimSun" w:cs="Times New Roman" w:hint="eastAsia"/>
          <w:noProof/>
          <w:kern w:val="2"/>
          <w:sz w:val="21"/>
          <w:szCs w:val="21"/>
        </w:rPr>
        <w:t>月</w:t>
      </w:r>
      <w:r w:rsidRPr="004258FD">
        <w:rPr>
          <w:rFonts w:ascii="KaiTi" w:eastAsia="KaiTi" w:hAnsi="KaiTi" w:cs="Times New Roman" w:hint="eastAsia"/>
          <w:noProof/>
          <w:kern w:val="2"/>
          <w:sz w:val="21"/>
          <w:szCs w:val="21"/>
          <w:u w:val="single"/>
        </w:rPr>
        <w:t xml:space="preserve">  </w:t>
      </w:r>
      <w:r w:rsidRPr="004258FD">
        <w:rPr>
          <w:rFonts w:ascii="SimSun" w:hAnsi="SimSun" w:cs="Times New Roman" w:hint="eastAsia"/>
          <w:noProof/>
          <w:kern w:val="2"/>
          <w:sz w:val="21"/>
          <w:szCs w:val="21"/>
        </w:rPr>
        <w:t>日在</w:t>
      </w:r>
      <w:r w:rsidRPr="004258FD">
        <w:rPr>
          <w:rFonts w:ascii="SimSun" w:hAnsi="SimSun" w:cs="SimSun"/>
          <w:noProof/>
          <w:kern w:val="2"/>
          <w:sz w:val="21"/>
          <w:szCs w:val="22"/>
        </w:rPr>
        <w:t>[</w:t>
      </w:r>
      <w:r w:rsidRPr="004258FD">
        <w:rPr>
          <w:rFonts w:ascii="KaiTi" w:eastAsia="KaiTi" w:hAnsi="KaiTi" w:cs="KaiTi" w:hint="eastAsia"/>
          <w:noProof/>
          <w:kern w:val="2"/>
          <w:sz w:val="21"/>
          <w:szCs w:val="22"/>
        </w:rPr>
        <w:t>城市</w:t>
      </w:r>
      <w:r w:rsidRPr="004258FD">
        <w:rPr>
          <w:rFonts w:ascii="SimSun" w:hAnsi="SimSun" w:cs="SimSun"/>
          <w:noProof/>
          <w:kern w:val="2"/>
          <w:sz w:val="21"/>
          <w:szCs w:val="22"/>
        </w:rPr>
        <w:t>]</w:t>
      </w:r>
      <w:r w:rsidRPr="004258FD">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4258FD">
        <w:rPr>
          <w:rFonts w:ascii="SimSun" w:hAnsi="SimSun" w:cs="Times New Roman" w:hint="eastAsia"/>
          <w:noProof/>
          <w:kern w:val="2"/>
          <w:sz w:val="21"/>
          <w:szCs w:val="21"/>
        </w:rPr>
        <w:t>份，用</w:t>
      </w:r>
      <w:r>
        <w:rPr>
          <w:rFonts w:ascii="SimSun" w:hAnsi="SimSun" w:cs="Times New Roman" w:hint="eastAsia"/>
          <w:noProof/>
          <w:kern w:val="2"/>
          <w:sz w:val="21"/>
          <w:szCs w:val="21"/>
        </w:rPr>
        <w:t>英</w:t>
      </w:r>
      <w:r w:rsidRPr="004258FD">
        <w:rPr>
          <w:rFonts w:ascii="SimSun" w:hAnsi="SimSun" w:cs="Times New Roman" w:hint="eastAsia"/>
          <w:noProof/>
          <w:kern w:val="2"/>
          <w:sz w:val="21"/>
          <w:szCs w:val="21"/>
        </w:rPr>
        <w:t>文写成</w:t>
      </w:r>
      <w:r w:rsidRPr="004258FD">
        <w:rPr>
          <w:rFonts w:ascii="SimSun" w:hAnsi="SimSun" w:cs="SimSun" w:hint="eastAsia"/>
          <w:noProof/>
          <w:kern w:val="2"/>
          <w:sz w:val="21"/>
          <w:szCs w:val="22"/>
        </w:rPr>
        <w:t>。</w:t>
      </w:r>
    </w:p>
    <w:p w:rsidR="00A4309A" w:rsidRPr="004258FD" w:rsidRDefault="00A4309A" w:rsidP="006C3627">
      <w:pPr>
        <w:overflowPunct w:val="0"/>
        <w:spacing w:after="240"/>
        <w:rPr>
          <w:rFonts w:ascii="SimSun" w:hAnsi="SimSun"/>
          <w:sz w:val="21"/>
          <w:szCs w:val="22"/>
        </w:rPr>
      </w:pPr>
    </w:p>
    <w:p w:rsidR="00A4309A" w:rsidRPr="004258FD" w:rsidRDefault="00A4309A" w:rsidP="006C3627">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A4309A" w:rsidRPr="004F55B9" w:rsidTr="006C3627">
        <w:tc>
          <w:tcPr>
            <w:tcW w:w="4643" w:type="dxa"/>
          </w:tcPr>
          <w:p w:rsidR="00A4309A" w:rsidRPr="004F55B9" w:rsidRDefault="00A4309A" w:rsidP="006C3627">
            <w:pPr>
              <w:tabs>
                <w:tab w:val="left" w:pos="4536"/>
              </w:tabs>
              <w:overflowPunct w:val="0"/>
              <w:spacing w:after="240"/>
              <w:rPr>
                <w:rFonts w:ascii="SimSun" w:hAnsi="SimSun"/>
                <w:sz w:val="21"/>
                <w:szCs w:val="22"/>
              </w:rPr>
            </w:pPr>
            <w:r w:rsidRPr="004F55B9">
              <w:rPr>
                <w:rFonts w:ascii="SimSun" w:hAnsi="SimSun" w:hint="eastAsia"/>
                <w:sz w:val="21"/>
                <w:szCs w:val="22"/>
              </w:rPr>
              <w:t>菲律宾知识产权局</w:t>
            </w:r>
            <w:r w:rsidRPr="004F55B9">
              <w:rPr>
                <w:rFonts w:ascii="SimSun" w:hAnsi="SimSun" w:cs="Times New Roman" w:hint="eastAsia"/>
                <w:sz w:val="21"/>
                <w:szCs w:val="24"/>
              </w:rPr>
              <w:t>代表：</w:t>
            </w:r>
          </w:p>
        </w:tc>
        <w:tc>
          <w:tcPr>
            <w:tcW w:w="4643" w:type="dxa"/>
          </w:tcPr>
          <w:p w:rsidR="00A4309A" w:rsidRPr="004F55B9" w:rsidRDefault="00A4309A" w:rsidP="006C3627">
            <w:pPr>
              <w:tabs>
                <w:tab w:val="left" w:pos="4536"/>
              </w:tabs>
              <w:overflowPunct w:val="0"/>
              <w:spacing w:after="240"/>
              <w:rPr>
                <w:rFonts w:ascii="SimSun" w:hAnsi="SimSun"/>
                <w:sz w:val="21"/>
                <w:szCs w:val="22"/>
              </w:rPr>
            </w:pPr>
            <w:r w:rsidRPr="004F55B9">
              <w:rPr>
                <w:rFonts w:ascii="SimSun" w:hAnsi="SimSun" w:cs="Times New Roman" w:hint="eastAsia"/>
                <w:noProof/>
                <w:sz w:val="21"/>
                <w:szCs w:val="21"/>
              </w:rPr>
              <w:t>世界知识产权组织国际局代表：</w:t>
            </w:r>
          </w:p>
        </w:tc>
      </w:tr>
    </w:tbl>
    <w:p w:rsidR="00A4309A" w:rsidRPr="004258FD" w:rsidRDefault="00A4309A" w:rsidP="006C3627">
      <w:pPr>
        <w:overflowPunct w:val="0"/>
        <w:jc w:val="both"/>
        <w:rPr>
          <w:rFonts w:ascii="SimSun" w:hAnsi="SimSun" w:cs="Times New Roman"/>
          <w:bCs/>
          <w:kern w:val="2"/>
          <w:sz w:val="21"/>
          <w:szCs w:val="24"/>
        </w:rPr>
      </w:pPr>
      <w:r w:rsidRPr="004258FD">
        <w:rPr>
          <w:rFonts w:ascii="SimSun" w:hAnsi="SimSun" w:cs="Times New Roman"/>
          <w:kern w:val="2"/>
          <w:sz w:val="21"/>
          <w:szCs w:val="22"/>
        </w:rPr>
        <w:br w:type="page"/>
      </w:r>
    </w:p>
    <w:p w:rsidR="00A4309A" w:rsidRPr="004258FD" w:rsidRDefault="00A4309A" w:rsidP="006C3627">
      <w:pPr>
        <w:keepNext/>
        <w:keepLines/>
        <w:overflowPunct w:val="0"/>
        <w:spacing w:beforeLines="200" w:before="480" w:afterLines="100" w:after="240" w:line="340" w:lineRule="atLeast"/>
        <w:jc w:val="center"/>
        <w:rPr>
          <w:rFonts w:ascii="SimSun" w:hAnsi="SimSun"/>
          <w:bCs/>
          <w:sz w:val="21"/>
          <w:szCs w:val="22"/>
        </w:rPr>
      </w:pPr>
      <w:r w:rsidRPr="004258FD">
        <w:rPr>
          <w:rFonts w:ascii="SimSun" w:hAnsi="SimSun" w:hint="eastAsia"/>
          <w:bCs/>
          <w:sz w:val="21"/>
          <w:szCs w:val="22"/>
        </w:rPr>
        <w:lastRenderedPageBreak/>
        <w:t>附录</w:t>
      </w:r>
      <w:r w:rsidRPr="004258FD">
        <w:rPr>
          <w:rFonts w:ascii="SimSun" w:hAnsi="SimSun"/>
          <w:bCs/>
          <w:sz w:val="21"/>
          <w:szCs w:val="22"/>
        </w:rPr>
        <w:t>A</w:t>
      </w:r>
      <w:r w:rsidRPr="004258FD">
        <w:rPr>
          <w:rFonts w:ascii="SimSun" w:hAnsi="SimSun"/>
          <w:bCs/>
          <w:sz w:val="21"/>
          <w:szCs w:val="22"/>
        </w:rPr>
        <w:br/>
      </w:r>
      <w:r w:rsidRPr="004258FD">
        <w:rPr>
          <w:rFonts w:ascii="SimSun" w:hAnsi="SimSun" w:hint="eastAsia"/>
          <w:bCs/>
          <w:sz w:val="21"/>
          <w:szCs w:val="22"/>
        </w:rPr>
        <w:t>国家与语言</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cs="Times New Roman" w:hint="eastAsia"/>
          <w:sz w:val="21"/>
          <w:szCs w:val="24"/>
        </w:rPr>
        <w:t>国际单位依照本协议第三条的规定指定：</w:t>
      </w:r>
    </w:p>
    <w:p w:rsidR="00A4309A" w:rsidRPr="004258FD" w:rsidRDefault="00A4309A" w:rsidP="006C3627">
      <w:pPr>
        <w:tabs>
          <w:tab w:val="right" w:pos="1134"/>
          <w:tab w:val="left" w:pos="1418"/>
        </w:tabs>
        <w:overflowPunct w:val="0"/>
        <w:spacing w:afterLines="100" w:after="240" w:line="340" w:lineRule="atLeast"/>
        <w:ind w:left="1134"/>
        <w:rPr>
          <w:rFonts w:ascii="SimSun" w:hAnsi="SimSun" w:cs="Times New Roman"/>
          <w:sz w:val="21"/>
          <w:szCs w:val="24"/>
        </w:rPr>
      </w:pPr>
      <w:r w:rsidRPr="004258FD">
        <w:rPr>
          <w:rFonts w:ascii="SimSun" w:hAnsi="SimSun"/>
          <w:sz w:val="21"/>
          <w:szCs w:val="22"/>
        </w:rPr>
        <w:t>(</w:t>
      </w:r>
      <w:proofErr w:type="spellStart"/>
      <w:r w:rsidRPr="004258FD">
        <w:rPr>
          <w:rFonts w:ascii="SimSun" w:hAnsi="SimSun"/>
          <w:sz w:val="21"/>
          <w:szCs w:val="22"/>
        </w:rPr>
        <w:t>i</w:t>
      </w:r>
      <w:proofErr w:type="spellEnd"/>
      <w:r w:rsidRPr="004258FD">
        <w:rPr>
          <w:rFonts w:ascii="SimSun" w:hAnsi="SimSun"/>
          <w:sz w:val="21"/>
          <w:szCs w:val="22"/>
        </w:rPr>
        <w:t>)</w:t>
      </w:r>
      <w:r w:rsidRPr="004258FD">
        <w:rPr>
          <w:rFonts w:ascii="SimSun" w:hAnsi="SimSun"/>
          <w:sz w:val="21"/>
          <w:szCs w:val="22"/>
        </w:rPr>
        <w:tab/>
      </w:r>
      <w:r w:rsidRPr="004258FD">
        <w:rPr>
          <w:rFonts w:ascii="SimSun" w:hAnsi="SimSun" w:cs="Times New Roman" w:hint="eastAsia"/>
          <w:sz w:val="21"/>
          <w:szCs w:val="24"/>
        </w:rPr>
        <w:t>为下列国家行使相应职责：</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cs="Times New Roman"/>
          <w:sz w:val="21"/>
          <w:szCs w:val="24"/>
        </w:rPr>
      </w:pPr>
      <w:r w:rsidRPr="004258FD">
        <w:rPr>
          <w:rFonts w:ascii="SimSun" w:hAnsi="SimSun" w:cs="Times New Roman" w:hint="eastAsia"/>
          <w:sz w:val="21"/>
          <w:szCs w:val="24"/>
        </w:rPr>
        <w:t>就本协议第三条第(1)款而言：</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cs="Times New Roman"/>
          <w:sz w:val="21"/>
          <w:szCs w:val="24"/>
        </w:rPr>
      </w:pPr>
      <w:r>
        <w:rPr>
          <w:rFonts w:ascii="SimSun" w:hAnsi="SimSun" w:hint="eastAsia"/>
          <w:sz w:val="21"/>
          <w:szCs w:val="22"/>
        </w:rPr>
        <w:t>任何缔约国；</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cs="Times New Roman"/>
          <w:sz w:val="21"/>
          <w:szCs w:val="24"/>
        </w:rPr>
      </w:pPr>
      <w:r w:rsidRPr="004258FD">
        <w:rPr>
          <w:rFonts w:ascii="SimSun" w:hAnsi="SimSun" w:cs="Times New Roman" w:hint="eastAsia"/>
          <w:sz w:val="21"/>
          <w:szCs w:val="24"/>
        </w:rPr>
        <w:t>就本协议第三条第(2)款而言：</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任何缔约国。</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sz w:val="21"/>
          <w:szCs w:val="22"/>
        </w:rPr>
      </w:pPr>
      <w:r w:rsidRPr="004258FD">
        <w:rPr>
          <w:rFonts w:ascii="SimSun" w:hAnsi="SimSun" w:cs="Times New Roman" w:hint="eastAsia"/>
          <w:sz w:val="21"/>
          <w:szCs w:val="22"/>
        </w:rPr>
        <w:t>受理局根据本协议第三条第(1)款和第(2)款指定国际单位的，对于提交到该受理局的国际申请，国际单位应自受理局和国际单位同意并通知国际局的日期开始具备主管资格。</w:t>
      </w:r>
    </w:p>
    <w:p w:rsidR="00A4309A" w:rsidRPr="004258FD" w:rsidRDefault="00A4309A" w:rsidP="006C3627">
      <w:pPr>
        <w:tabs>
          <w:tab w:val="right" w:pos="1134"/>
          <w:tab w:val="left" w:pos="1418"/>
        </w:tabs>
        <w:overflowPunct w:val="0"/>
        <w:spacing w:afterLines="100" w:after="240" w:line="340" w:lineRule="atLeast"/>
        <w:ind w:left="1134"/>
        <w:rPr>
          <w:rFonts w:ascii="SimSun" w:hAnsi="SimSun"/>
          <w:sz w:val="21"/>
          <w:szCs w:val="22"/>
        </w:rPr>
      </w:pPr>
      <w:r w:rsidRPr="004258FD">
        <w:rPr>
          <w:rFonts w:ascii="SimSun" w:hAnsi="SimSun"/>
          <w:sz w:val="21"/>
          <w:szCs w:val="22"/>
        </w:rPr>
        <w:t>(ii)</w:t>
      </w:r>
      <w:r w:rsidRPr="004258FD">
        <w:rPr>
          <w:rFonts w:ascii="SimSun" w:hAnsi="SimSun"/>
          <w:sz w:val="21"/>
          <w:szCs w:val="22"/>
        </w:rPr>
        <w:tab/>
      </w:r>
      <w:r w:rsidRPr="004258FD">
        <w:rPr>
          <w:rFonts w:ascii="SimSun" w:hAnsi="SimSun" w:hint="eastAsia"/>
          <w:sz w:val="21"/>
          <w:szCs w:val="22"/>
        </w:rPr>
        <w:t>可接受</w:t>
      </w:r>
      <w:r w:rsidRPr="004258FD">
        <w:rPr>
          <w:rFonts w:ascii="SimSun" w:hAnsi="SimSun" w:cs="Times New Roman" w:hint="eastAsia"/>
          <w:sz w:val="21"/>
          <w:szCs w:val="24"/>
        </w:rPr>
        <w:t>下列语言：</w:t>
      </w:r>
    </w:p>
    <w:p w:rsidR="00A4309A" w:rsidRPr="004258FD" w:rsidRDefault="00A4309A" w:rsidP="006C3627">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英文。</w:t>
      </w:r>
    </w:p>
    <w:p w:rsidR="00A4309A" w:rsidRPr="004258FD" w:rsidRDefault="00A4309A" w:rsidP="006C3627">
      <w:pPr>
        <w:keepNext/>
        <w:keepLines/>
        <w:overflowPunct w:val="0"/>
        <w:spacing w:beforeLines="200" w:before="480" w:afterLines="100" w:after="240" w:line="340" w:lineRule="atLeast"/>
        <w:jc w:val="center"/>
        <w:rPr>
          <w:rFonts w:ascii="SimSun" w:hAnsi="SimSun" w:cs="Times New Roman"/>
          <w:bCs/>
          <w:noProof/>
          <w:sz w:val="21"/>
          <w:szCs w:val="21"/>
        </w:rPr>
      </w:pPr>
      <w:r w:rsidRPr="004258FD">
        <w:rPr>
          <w:rFonts w:ascii="SimSun" w:hAnsi="SimSun" w:cs="Times New Roman" w:hint="eastAsia"/>
          <w:bCs/>
          <w:noProof/>
          <w:sz w:val="21"/>
          <w:szCs w:val="21"/>
        </w:rPr>
        <w:t>附录B</w:t>
      </w:r>
      <w:r w:rsidRPr="004258FD">
        <w:rPr>
          <w:rFonts w:ascii="SimSun" w:hAnsi="SimSun" w:cs="Times New Roman"/>
          <w:bCs/>
          <w:noProof/>
          <w:sz w:val="21"/>
          <w:szCs w:val="21"/>
        </w:rPr>
        <w:br/>
      </w:r>
      <w:r w:rsidRPr="004258FD">
        <w:rPr>
          <w:rFonts w:ascii="SimSun" w:hAnsi="SimSun" w:cs="Times New Roman" w:hint="eastAsia"/>
          <w:bCs/>
          <w:noProof/>
          <w:sz w:val="21"/>
          <w:szCs w:val="21"/>
        </w:rPr>
        <w:t>补充</w:t>
      </w:r>
      <w:r w:rsidRPr="004258FD">
        <w:rPr>
          <w:rFonts w:ascii="SimSun" w:hAnsi="SimSun" w:hint="eastAsia"/>
          <w:bCs/>
          <w:sz w:val="21"/>
          <w:szCs w:val="22"/>
        </w:rPr>
        <w:t>国际</w:t>
      </w:r>
      <w:r w:rsidRPr="004258FD">
        <w:rPr>
          <w:rFonts w:ascii="SimSun" w:hAnsi="SimSun" w:cs="Times New Roman" w:hint="eastAsia"/>
          <w:bCs/>
          <w:noProof/>
          <w:sz w:val="21"/>
          <w:szCs w:val="21"/>
        </w:rPr>
        <w:t>检索：</w:t>
      </w:r>
      <w:r w:rsidRPr="004258FD">
        <w:rPr>
          <w:rFonts w:ascii="SimSun" w:hAnsi="SimSun" w:cs="Times New Roman"/>
          <w:bCs/>
          <w:noProof/>
          <w:sz w:val="21"/>
          <w:szCs w:val="21"/>
        </w:rPr>
        <w:br/>
      </w:r>
      <w:r w:rsidRPr="004258FD">
        <w:rPr>
          <w:rFonts w:ascii="SimSun" w:hAnsi="SimSun" w:cs="Times New Roman" w:hint="eastAsia"/>
          <w:bCs/>
          <w:noProof/>
          <w:sz w:val="21"/>
          <w:szCs w:val="21"/>
        </w:rPr>
        <w:t>覆盖的文献；限制和条件</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hint="eastAsia"/>
          <w:sz w:val="21"/>
          <w:szCs w:val="22"/>
        </w:rPr>
        <w:t>国际单位不进行补充国际检索。</w:t>
      </w:r>
    </w:p>
    <w:p w:rsidR="00A4309A" w:rsidRPr="004258FD" w:rsidRDefault="00A4309A" w:rsidP="006C3627">
      <w:pPr>
        <w:keepNext/>
        <w:keepLines/>
        <w:overflowPunct w:val="0"/>
        <w:spacing w:beforeLines="200" w:before="480" w:afterLines="100" w:after="240" w:line="340" w:lineRule="atLeast"/>
        <w:jc w:val="center"/>
        <w:rPr>
          <w:rFonts w:ascii="SimSun" w:hAnsi="SimSun" w:cs="Times New Roman"/>
          <w:bCs/>
          <w:noProof/>
          <w:sz w:val="21"/>
          <w:szCs w:val="21"/>
        </w:rPr>
      </w:pPr>
      <w:r w:rsidRPr="004258FD">
        <w:rPr>
          <w:rFonts w:ascii="SimSun" w:hAnsi="SimSun" w:cs="Times New Roman" w:hint="eastAsia"/>
          <w:bCs/>
          <w:noProof/>
          <w:sz w:val="21"/>
          <w:szCs w:val="21"/>
        </w:rPr>
        <w:t>附录C</w:t>
      </w:r>
      <w:r w:rsidRPr="004258FD">
        <w:rPr>
          <w:rFonts w:ascii="SimSun" w:hAnsi="SimSun" w:cs="Times New Roman"/>
          <w:bCs/>
          <w:noProof/>
          <w:sz w:val="21"/>
          <w:szCs w:val="21"/>
        </w:rPr>
        <w:br/>
      </w:r>
      <w:r w:rsidRPr="004258FD">
        <w:rPr>
          <w:rFonts w:ascii="SimSun" w:hAnsi="SimSun" w:cs="Times New Roman" w:hint="eastAsia"/>
          <w:bCs/>
          <w:noProof/>
          <w:sz w:val="21"/>
          <w:szCs w:val="21"/>
        </w:rPr>
        <w:t>不排除进行检索和审查的主题</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cs="Times New Roman" w:hint="eastAsia"/>
          <w:noProof/>
          <w:sz w:val="21"/>
          <w:szCs w:val="21"/>
        </w:rPr>
        <w:t>细则第三十九条第1款或细则第六十七条第1款所列主题中，根据本协议第四条不排除进行检索或审查的如下：</w:t>
      </w:r>
    </w:p>
    <w:p w:rsidR="00A4309A" w:rsidRPr="004258FD" w:rsidRDefault="00A4309A" w:rsidP="006C3627">
      <w:pPr>
        <w:overflowPunct w:val="0"/>
        <w:spacing w:afterLines="100" w:after="240" w:line="340" w:lineRule="atLeast"/>
        <w:ind w:left="567"/>
        <w:jc w:val="both"/>
        <w:rPr>
          <w:rFonts w:ascii="SimSun" w:hAnsi="SimSun"/>
          <w:sz w:val="21"/>
          <w:szCs w:val="22"/>
        </w:rPr>
      </w:pPr>
      <w:r w:rsidRPr="004258FD">
        <w:rPr>
          <w:rFonts w:ascii="SimSun" w:hAnsi="SimSun" w:cs="SimSun" w:hint="eastAsia"/>
          <w:sz w:val="21"/>
          <w:szCs w:val="22"/>
        </w:rPr>
        <w:t>依照</w:t>
      </w:r>
      <w:r>
        <w:rPr>
          <w:rFonts w:ascii="SimSun" w:hAnsi="SimSun" w:cs="SimSun" w:hint="eastAsia"/>
          <w:sz w:val="21"/>
          <w:szCs w:val="22"/>
        </w:rPr>
        <w:t>菲律宾</w:t>
      </w:r>
      <w:r w:rsidRPr="004258FD">
        <w:rPr>
          <w:rFonts w:ascii="SimSun" w:hAnsi="SimSun" w:cs="SimSun" w:hint="eastAsia"/>
          <w:sz w:val="21"/>
          <w:szCs w:val="22"/>
        </w:rPr>
        <w:t>国家专利法的规定，专利授权程序要进行检索或审查的任何主题。</w:t>
      </w:r>
    </w:p>
    <w:p w:rsidR="00A4309A" w:rsidRPr="004258FD" w:rsidRDefault="00A4309A" w:rsidP="006C3627">
      <w:pPr>
        <w:keepNext/>
        <w:keepLines/>
        <w:overflowPunct w:val="0"/>
        <w:spacing w:beforeLines="200" w:before="480" w:afterLines="100" w:after="240" w:line="340" w:lineRule="atLeast"/>
        <w:jc w:val="center"/>
        <w:rPr>
          <w:rFonts w:ascii="SimSun" w:hAnsi="SimSun" w:cs="Times New Roman"/>
          <w:bCs/>
          <w:noProof/>
          <w:sz w:val="21"/>
          <w:szCs w:val="21"/>
        </w:rPr>
      </w:pPr>
      <w:r w:rsidRPr="004258FD">
        <w:rPr>
          <w:rFonts w:ascii="SimSun" w:hAnsi="SimSun" w:cs="Times New Roman" w:hint="eastAsia"/>
          <w:bCs/>
          <w:noProof/>
          <w:sz w:val="21"/>
          <w:szCs w:val="21"/>
        </w:rPr>
        <w:lastRenderedPageBreak/>
        <w:t>附录D</w:t>
      </w:r>
      <w:r w:rsidRPr="004258FD">
        <w:rPr>
          <w:rFonts w:ascii="SimSun" w:hAnsi="SimSun" w:cs="Times New Roman" w:hint="eastAsia"/>
          <w:bCs/>
          <w:noProof/>
          <w:sz w:val="21"/>
          <w:szCs w:val="21"/>
        </w:rPr>
        <w:br/>
        <w:t>费　用</w:t>
      </w:r>
    </w:p>
    <w:p w:rsidR="00A4309A" w:rsidRPr="004258FD" w:rsidRDefault="00A4309A" w:rsidP="006C3627">
      <w:pPr>
        <w:keepNext/>
        <w:overflowPunct w:val="0"/>
        <w:spacing w:after="567" w:line="340" w:lineRule="atLeast"/>
        <w:jc w:val="both"/>
        <w:rPr>
          <w:rFonts w:ascii="KaiTi" w:eastAsia="KaiTi" w:hAnsi="KaiTi" w:cs="Times New Roman"/>
          <w:b/>
          <w:noProof/>
          <w:kern w:val="2"/>
          <w:sz w:val="21"/>
          <w:szCs w:val="21"/>
        </w:rPr>
      </w:pPr>
      <w:r w:rsidRPr="004258FD">
        <w:rPr>
          <w:rFonts w:ascii="KaiTi" w:eastAsia="KaiTi" w:hAnsi="KaiTi" w:cs="Times New Roman" w:hint="eastAsia"/>
          <w:b/>
          <w:noProof/>
          <w:kern w:val="2"/>
          <w:sz w:val="21"/>
          <w:szCs w:val="21"/>
        </w:rPr>
        <w:t>第一部分：费用表</w:t>
      </w:r>
    </w:p>
    <w:p w:rsidR="00A4309A" w:rsidRPr="004258FD" w:rsidRDefault="00A4309A" w:rsidP="006C3627">
      <w:pPr>
        <w:tabs>
          <w:tab w:val="left" w:pos="567"/>
          <w:tab w:val="center" w:pos="7656"/>
        </w:tabs>
        <w:overflowPunct w:val="0"/>
        <w:spacing w:afterLines="100" w:after="240" w:line="340" w:lineRule="atLeast"/>
        <w:ind w:left="567"/>
        <w:rPr>
          <w:rFonts w:ascii="SimSun" w:hAnsi="SimSun"/>
          <w:b/>
          <w:sz w:val="21"/>
        </w:rPr>
      </w:pPr>
      <w:r w:rsidRPr="004258FD">
        <w:rPr>
          <w:rFonts w:ascii="SimSun" w:hAnsi="SimSun" w:cs="Times New Roman" w:hint="eastAsia"/>
          <w:b/>
          <w:noProof/>
          <w:sz w:val="21"/>
          <w:szCs w:val="21"/>
          <w:u w:val="single"/>
        </w:rPr>
        <w:t>费用的类别</w:t>
      </w:r>
      <w:r w:rsidRPr="004258FD">
        <w:rPr>
          <w:rFonts w:ascii="SimSun" w:hAnsi="SimSun" w:cs="Times New Roman"/>
          <w:b/>
          <w:noProof/>
          <w:sz w:val="21"/>
          <w:szCs w:val="21"/>
        </w:rPr>
        <w:tab/>
      </w:r>
      <w:r w:rsidRPr="004258FD">
        <w:rPr>
          <w:rFonts w:ascii="SimSun" w:hAnsi="SimSun" w:cs="Times New Roman" w:hint="eastAsia"/>
          <w:b/>
          <w:noProof/>
          <w:sz w:val="21"/>
          <w:szCs w:val="21"/>
          <w:u w:val="single"/>
        </w:rPr>
        <w:t>金</w:t>
      </w:r>
      <w:r>
        <w:rPr>
          <w:rFonts w:ascii="SimSun" w:hAnsi="SimSun" w:cs="Times New Roman" w:hint="eastAsia"/>
          <w:b/>
          <w:noProof/>
          <w:sz w:val="21"/>
          <w:szCs w:val="21"/>
          <w:u w:val="single"/>
        </w:rPr>
        <w:t xml:space="preserve">　</w:t>
      </w:r>
      <w:r w:rsidRPr="004258FD">
        <w:rPr>
          <w:rFonts w:ascii="SimSun" w:hAnsi="SimSun" w:cs="Times New Roman" w:hint="eastAsia"/>
          <w:b/>
          <w:noProof/>
          <w:sz w:val="21"/>
          <w:szCs w:val="21"/>
          <w:u w:val="single"/>
        </w:rPr>
        <w:t>额</w:t>
      </w:r>
      <w:r w:rsidRPr="004258FD">
        <w:rPr>
          <w:rFonts w:ascii="SimSun" w:hAnsi="SimSun" w:cs="Times New Roman"/>
          <w:b/>
          <w:noProof/>
          <w:sz w:val="21"/>
          <w:szCs w:val="21"/>
        </w:rPr>
        <w:br/>
      </w:r>
      <w:r w:rsidRPr="004258FD">
        <w:rPr>
          <w:rFonts w:ascii="SimSun" w:hAnsi="SimSun" w:hint="eastAsia"/>
          <w:b/>
          <w:sz w:val="21"/>
        </w:rPr>
        <w:tab/>
        <w:t>（</w:t>
      </w:r>
      <w:r>
        <w:rPr>
          <w:rFonts w:ascii="SimSun" w:hAnsi="SimSun" w:hint="eastAsia"/>
          <w:b/>
          <w:sz w:val="21"/>
        </w:rPr>
        <w:t>美　元</w:t>
      </w:r>
      <w:r w:rsidRPr="004258FD">
        <w:rPr>
          <w:rFonts w:ascii="SimSun" w:hAnsi="SimSun" w:hint="eastAsia"/>
          <w:b/>
          <w:sz w:val="21"/>
        </w:rPr>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Times New Roman" w:hint="eastAsia"/>
          <w:noProof/>
          <w:sz w:val="21"/>
          <w:szCs w:val="21"/>
        </w:rPr>
        <w:t>检索费</w:t>
      </w:r>
      <w:r w:rsidRPr="004258FD">
        <w:rPr>
          <w:rFonts w:ascii="SimSun" w:hAnsi="SimSun" w:cs="Times New Roman"/>
          <w:noProof/>
          <w:sz w:val="21"/>
          <w:szCs w:val="21"/>
        </w:rPr>
        <w:t>（</w:t>
      </w:r>
      <w:r w:rsidRPr="004258FD">
        <w:rPr>
          <w:rFonts w:ascii="SimSun" w:hAnsi="SimSun" w:cs="Times New Roman" w:hint="eastAsia"/>
          <w:noProof/>
          <w:sz w:val="21"/>
          <w:szCs w:val="21"/>
        </w:rPr>
        <w:t>细则第十六条第1款(a)项</w:t>
      </w:r>
      <w:r w:rsidRPr="004258FD">
        <w:rPr>
          <w:rFonts w:ascii="SimSun" w:hAnsi="SimSun" w:cs="Times New Roman"/>
          <w:noProof/>
          <w:sz w:val="21"/>
          <w:szCs w:val="21"/>
        </w:rPr>
        <w:t>）</w:t>
      </w:r>
      <w:r w:rsidRPr="004258FD">
        <w:rPr>
          <w:rFonts w:ascii="SimSun" w:hAnsi="SimSun"/>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Times New Roman" w:hint="eastAsia"/>
          <w:noProof/>
          <w:sz w:val="21"/>
          <w:szCs w:val="21"/>
        </w:rPr>
        <w:t>附加费</w:t>
      </w:r>
      <w:r w:rsidRPr="004258FD">
        <w:rPr>
          <w:rFonts w:ascii="SimSun" w:hAnsi="SimSun" w:cs="Times New Roman"/>
          <w:noProof/>
          <w:sz w:val="21"/>
          <w:szCs w:val="21"/>
        </w:rPr>
        <w:t>（</w:t>
      </w:r>
      <w:r w:rsidRPr="00CB2E5C">
        <w:rPr>
          <w:rFonts w:ascii="SimSun" w:hAnsi="SimSun" w:hint="eastAsia"/>
          <w:sz w:val="21"/>
          <w:szCs w:val="22"/>
        </w:rPr>
        <w:t>细则</w:t>
      </w:r>
      <w:r w:rsidRPr="004258FD">
        <w:rPr>
          <w:rFonts w:ascii="SimSun" w:hAnsi="SimSun" w:cs="Times New Roman" w:hint="eastAsia"/>
          <w:noProof/>
          <w:sz w:val="21"/>
          <w:szCs w:val="21"/>
        </w:rPr>
        <w:t>第四十条第2款(a)项</w:t>
      </w:r>
      <w:r w:rsidRPr="004258FD">
        <w:rPr>
          <w:rFonts w:ascii="SimSun" w:hAnsi="SimSun" w:cs="Times New Roman"/>
          <w:noProof/>
          <w:sz w:val="21"/>
          <w:szCs w:val="21"/>
        </w:rPr>
        <w:t>）</w:t>
      </w:r>
      <w:r w:rsidRPr="004258FD">
        <w:rPr>
          <w:rFonts w:ascii="SimSun" w:hAnsi="SimSun"/>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Times New Roman" w:hint="eastAsia"/>
          <w:noProof/>
          <w:sz w:val="21"/>
          <w:szCs w:val="21"/>
        </w:rPr>
        <w:t>初步审查费</w:t>
      </w:r>
      <w:r w:rsidRPr="004258FD">
        <w:rPr>
          <w:rFonts w:ascii="SimSun" w:hAnsi="SimSun" w:cs="Times New Roman"/>
          <w:noProof/>
          <w:sz w:val="21"/>
          <w:szCs w:val="21"/>
        </w:rPr>
        <w:t>（</w:t>
      </w:r>
      <w:r w:rsidRPr="004258FD">
        <w:rPr>
          <w:rFonts w:ascii="SimSun" w:hAnsi="SimSun" w:cs="Times New Roman" w:hint="eastAsia"/>
          <w:noProof/>
          <w:sz w:val="21"/>
          <w:szCs w:val="21"/>
        </w:rPr>
        <w:t>细则第五十八条第1款</w:t>
      </w:r>
      <w:r w:rsidRPr="004258FD">
        <w:rPr>
          <w:rFonts w:ascii="SimSun" w:hAnsi="SimSun" w:cs="Times New Roman"/>
          <w:noProof/>
          <w:sz w:val="21"/>
          <w:szCs w:val="21"/>
        </w:rPr>
        <w:t>(b)</w:t>
      </w:r>
      <w:r w:rsidRPr="004258FD">
        <w:rPr>
          <w:rFonts w:ascii="SimSun" w:hAnsi="SimSun" w:cs="Times New Roman" w:hint="eastAsia"/>
          <w:noProof/>
          <w:sz w:val="21"/>
          <w:szCs w:val="21"/>
        </w:rPr>
        <w:t>项</w:t>
      </w:r>
      <w:r w:rsidRPr="004258FD">
        <w:rPr>
          <w:rFonts w:ascii="SimSun" w:hAnsi="SimSun" w:cs="Times New Roman"/>
          <w:noProof/>
          <w:sz w:val="21"/>
          <w:szCs w:val="21"/>
        </w:rPr>
        <w:t>）</w:t>
      </w:r>
      <w:r w:rsidRPr="004258FD">
        <w:rPr>
          <w:rFonts w:ascii="SimSun" w:hAnsi="SimSun"/>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SimSun" w:hint="eastAsia"/>
          <w:sz w:val="21"/>
          <w:szCs w:val="22"/>
        </w:rPr>
        <w:t>初步审查滞纳金</w:t>
      </w:r>
      <w:r w:rsidRPr="004258FD">
        <w:rPr>
          <w:rFonts w:ascii="SimSun" w:hAnsi="SimSun"/>
          <w:sz w:val="21"/>
          <w:szCs w:val="22"/>
        </w:rPr>
        <w:tab/>
      </w:r>
      <w:r w:rsidRPr="004258FD">
        <w:rPr>
          <w:rFonts w:ascii="SimSun" w:hAnsi="SimSun" w:cs="SimSun" w:hint="eastAsia"/>
          <w:sz w:val="21"/>
          <w:szCs w:val="22"/>
        </w:rPr>
        <w:t>细则第五十八条之二</w:t>
      </w:r>
      <w:r w:rsidRPr="004258FD">
        <w:rPr>
          <w:rFonts w:ascii="SimSun" w:hAnsi="SimSun" w:cs="SimSun"/>
          <w:sz w:val="21"/>
          <w:szCs w:val="22"/>
        </w:rPr>
        <w:br/>
      </w:r>
      <w:r w:rsidRPr="004258FD">
        <w:rPr>
          <w:rFonts w:ascii="SimSun" w:hAnsi="SimSun" w:cs="SimSun" w:hint="eastAsia"/>
          <w:sz w:val="21"/>
          <w:szCs w:val="22"/>
        </w:rPr>
        <w:tab/>
        <w:t>第</w:t>
      </w:r>
      <w:r w:rsidRPr="004258FD">
        <w:rPr>
          <w:rFonts w:ascii="SimSun" w:hAnsi="SimSun" w:hint="eastAsia"/>
          <w:sz w:val="21"/>
          <w:szCs w:val="22"/>
        </w:rPr>
        <w:t>2</w:t>
      </w:r>
      <w:r w:rsidRPr="004258FD">
        <w:rPr>
          <w:rFonts w:ascii="SimSun" w:hAnsi="SimSun" w:cs="SimSun" w:hint="eastAsia"/>
          <w:sz w:val="21"/>
          <w:szCs w:val="22"/>
        </w:rPr>
        <w:t>款规定的金额</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Times New Roman" w:hint="eastAsia"/>
          <w:noProof/>
          <w:sz w:val="21"/>
          <w:szCs w:val="21"/>
        </w:rPr>
        <w:t>附加费</w:t>
      </w:r>
      <w:r w:rsidRPr="004258FD">
        <w:rPr>
          <w:rFonts w:ascii="SimSun" w:hAnsi="SimSun" w:cs="Times New Roman"/>
          <w:noProof/>
          <w:sz w:val="21"/>
          <w:szCs w:val="21"/>
        </w:rPr>
        <w:t>（</w:t>
      </w:r>
      <w:r w:rsidRPr="00CB2E5C">
        <w:rPr>
          <w:rFonts w:ascii="SimSun" w:hAnsi="SimSun" w:hint="eastAsia"/>
          <w:sz w:val="21"/>
          <w:szCs w:val="22"/>
        </w:rPr>
        <w:t>细则</w:t>
      </w:r>
      <w:r w:rsidRPr="004258FD">
        <w:rPr>
          <w:rFonts w:ascii="SimSun" w:hAnsi="SimSun" w:cs="Times New Roman" w:hint="eastAsia"/>
          <w:noProof/>
          <w:sz w:val="21"/>
          <w:szCs w:val="21"/>
        </w:rPr>
        <w:t>第六十八条第3款</w:t>
      </w:r>
      <w:r w:rsidRPr="004258FD">
        <w:rPr>
          <w:rFonts w:ascii="SimSun" w:hAnsi="SimSun" w:cs="Times New Roman"/>
          <w:noProof/>
          <w:sz w:val="21"/>
          <w:szCs w:val="21"/>
        </w:rPr>
        <w:t>(a)</w:t>
      </w:r>
      <w:r w:rsidRPr="004258FD">
        <w:rPr>
          <w:rFonts w:ascii="SimSun" w:hAnsi="SimSun" w:cs="Times New Roman" w:hint="eastAsia"/>
          <w:noProof/>
          <w:sz w:val="21"/>
          <w:szCs w:val="21"/>
        </w:rPr>
        <w:t>项</w:t>
      </w:r>
      <w:r w:rsidRPr="004258FD">
        <w:rPr>
          <w:rFonts w:ascii="SimSun" w:hAnsi="SimSun" w:cs="Times New Roman"/>
          <w:noProof/>
          <w:sz w:val="21"/>
          <w:szCs w:val="21"/>
        </w:rPr>
        <w:t>）</w:t>
      </w:r>
      <w:r w:rsidRPr="004258FD">
        <w:rPr>
          <w:rFonts w:ascii="SimSun" w:hAnsi="SimSun"/>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4258FD">
        <w:rPr>
          <w:rFonts w:ascii="SimSun" w:hAnsi="SimSun" w:cs="Times New Roman" w:hint="eastAsia"/>
          <w:noProof/>
          <w:kern w:val="2"/>
          <w:sz w:val="21"/>
          <w:szCs w:val="21"/>
        </w:rPr>
        <w:t>异议费</w:t>
      </w:r>
      <w:r w:rsidRPr="004258FD">
        <w:rPr>
          <w:rFonts w:ascii="SimSun" w:hAnsi="SimSun" w:cs="Times New Roman"/>
          <w:noProof/>
          <w:kern w:val="2"/>
          <w:sz w:val="21"/>
          <w:szCs w:val="21"/>
        </w:rPr>
        <w:t>（</w:t>
      </w:r>
      <w:r w:rsidRPr="004258FD">
        <w:rPr>
          <w:rFonts w:ascii="SimSun" w:hAnsi="SimSun" w:cs="Times New Roman" w:hint="eastAsia"/>
          <w:noProof/>
          <w:kern w:val="2"/>
          <w:sz w:val="21"/>
          <w:szCs w:val="21"/>
        </w:rPr>
        <w:t>细则第四十条第2款</w:t>
      </w:r>
      <w:r w:rsidRPr="004258FD">
        <w:rPr>
          <w:rFonts w:ascii="SimSun" w:hAnsi="SimSun" w:cs="Times New Roman"/>
          <w:noProof/>
          <w:kern w:val="2"/>
          <w:sz w:val="21"/>
          <w:szCs w:val="21"/>
        </w:rPr>
        <w:t>(e)</w:t>
      </w:r>
      <w:r w:rsidRPr="004258FD">
        <w:rPr>
          <w:rFonts w:ascii="SimSun" w:hAnsi="SimSun" w:cs="Times New Roman" w:hint="eastAsia"/>
          <w:noProof/>
          <w:kern w:val="2"/>
          <w:sz w:val="21"/>
          <w:szCs w:val="21"/>
        </w:rPr>
        <w:t>项和</w:t>
      </w:r>
      <w:r w:rsidRPr="004258FD">
        <w:rPr>
          <w:rFonts w:ascii="SimSun" w:hAnsi="SimSun" w:cs="Times New Roman"/>
          <w:noProof/>
          <w:kern w:val="2"/>
          <w:sz w:val="21"/>
          <w:szCs w:val="21"/>
        </w:rPr>
        <w:br/>
      </w:r>
      <w:r w:rsidRPr="004258FD">
        <w:rPr>
          <w:rFonts w:ascii="SimSun" w:hAnsi="SimSun" w:cs="Times New Roman" w:hint="eastAsia"/>
          <w:noProof/>
          <w:kern w:val="2"/>
          <w:sz w:val="21"/>
          <w:szCs w:val="21"/>
        </w:rPr>
        <w:t>细则第六十八条第3款</w:t>
      </w:r>
      <w:r w:rsidRPr="004258FD">
        <w:rPr>
          <w:rFonts w:ascii="SimSun" w:hAnsi="SimSun" w:cs="Times New Roman"/>
          <w:noProof/>
          <w:kern w:val="2"/>
          <w:sz w:val="21"/>
          <w:szCs w:val="21"/>
        </w:rPr>
        <w:t>(e)</w:t>
      </w:r>
      <w:r w:rsidRPr="004258FD">
        <w:rPr>
          <w:rFonts w:ascii="SimSun" w:hAnsi="SimSun" w:cs="Times New Roman" w:hint="eastAsia"/>
          <w:noProof/>
          <w:kern w:val="2"/>
          <w:sz w:val="21"/>
          <w:szCs w:val="21"/>
        </w:rPr>
        <w:t>项</w:t>
      </w:r>
      <w:r w:rsidRPr="004258FD">
        <w:rPr>
          <w:rFonts w:ascii="SimSun" w:hAnsi="SimSun" w:cs="Times New Roman"/>
          <w:noProof/>
          <w:kern w:val="2"/>
          <w:sz w:val="21"/>
          <w:szCs w:val="21"/>
        </w:rPr>
        <w:t>）</w:t>
      </w:r>
      <w:r w:rsidRPr="004258FD">
        <w:rPr>
          <w:rFonts w:ascii="SimSun" w:hAnsi="SimSun" w:cs="Times New Roman"/>
          <w:kern w:val="2"/>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4258FD">
        <w:rPr>
          <w:rFonts w:ascii="SimSun" w:hAnsi="SimSun" w:cs="SimSun" w:hint="eastAsia"/>
          <w:sz w:val="21"/>
          <w:szCs w:val="22"/>
        </w:rPr>
        <w:t>序列表后提交费</w:t>
      </w:r>
      <w:r w:rsidRPr="004258FD">
        <w:rPr>
          <w:rFonts w:ascii="SimSun" w:hAnsi="SimSun" w:hint="eastAsia"/>
          <w:sz w:val="21"/>
          <w:szCs w:val="22"/>
        </w:rPr>
        <w:t>（</w:t>
      </w:r>
      <w:r w:rsidRPr="004258FD">
        <w:rPr>
          <w:rFonts w:ascii="SimSun" w:hAnsi="SimSun" w:cs="SimSun" w:hint="eastAsia"/>
          <w:sz w:val="21"/>
          <w:szCs w:val="22"/>
        </w:rPr>
        <w:t>细则第十三条之三第</w:t>
      </w:r>
      <w:r w:rsidRPr="004258FD">
        <w:rPr>
          <w:rFonts w:ascii="SimSun" w:hAnsi="SimSun" w:hint="eastAsia"/>
          <w:sz w:val="21"/>
          <w:szCs w:val="22"/>
        </w:rPr>
        <w:t>1</w:t>
      </w:r>
      <w:r w:rsidRPr="004258FD">
        <w:rPr>
          <w:rFonts w:ascii="SimSun" w:hAnsi="SimSun" w:cs="SimSun" w:hint="eastAsia"/>
          <w:sz w:val="21"/>
          <w:szCs w:val="22"/>
        </w:rPr>
        <w:t>款</w:t>
      </w:r>
      <w:r w:rsidRPr="004258FD">
        <w:rPr>
          <w:rFonts w:ascii="SimSun" w:hAnsi="SimSun" w:hint="eastAsia"/>
          <w:sz w:val="21"/>
          <w:szCs w:val="22"/>
        </w:rPr>
        <w:t>(c)</w:t>
      </w:r>
      <w:r w:rsidRPr="004258FD">
        <w:rPr>
          <w:rFonts w:ascii="SimSun" w:hAnsi="SimSun" w:cs="SimSun" w:hint="eastAsia"/>
          <w:sz w:val="21"/>
          <w:szCs w:val="22"/>
        </w:rPr>
        <w:t>项和</w:t>
      </w:r>
      <w:r w:rsidRPr="004258FD">
        <w:rPr>
          <w:rFonts w:ascii="SimSun" w:hAnsi="SimSun" w:cs="SimSun"/>
          <w:sz w:val="21"/>
          <w:szCs w:val="22"/>
        </w:rPr>
        <w:br/>
      </w:r>
      <w:r w:rsidRPr="004258FD">
        <w:rPr>
          <w:rFonts w:ascii="SimSun" w:hAnsi="SimSun" w:cs="SimSun" w:hint="eastAsia"/>
          <w:sz w:val="21"/>
          <w:szCs w:val="22"/>
        </w:rPr>
        <w:t>第十三条之三第2款</w:t>
      </w:r>
      <w:r w:rsidRPr="004258FD">
        <w:rPr>
          <w:rFonts w:ascii="SimSun" w:hAnsi="SimSun" w:hint="eastAsia"/>
          <w:sz w:val="21"/>
          <w:szCs w:val="22"/>
        </w:rPr>
        <w:t>）</w:t>
      </w:r>
      <w:r w:rsidRPr="004258FD">
        <w:rPr>
          <w:rFonts w:ascii="SimSun" w:hAnsi="SimSun"/>
          <w:sz w:val="21"/>
          <w:szCs w:val="22"/>
        </w:rPr>
        <w:tab/>
        <w:t>…</w:t>
      </w:r>
    </w:p>
    <w:p w:rsidR="00A4309A" w:rsidRPr="004258FD" w:rsidRDefault="00A4309A" w:rsidP="006C3627">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4258FD">
        <w:rPr>
          <w:rFonts w:ascii="SimSun" w:hAnsi="SimSun" w:cs="Times New Roman" w:hint="eastAsia"/>
          <w:noProof/>
          <w:kern w:val="2"/>
          <w:sz w:val="21"/>
          <w:szCs w:val="21"/>
        </w:rPr>
        <w:t>副本复制费</w:t>
      </w:r>
      <w:r w:rsidRPr="004258FD">
        <w:rPr>
          <w:rFonts w:ascii="SimSun" w:hAnsi="SimSun" w:cs="Times New Roman"/>
          <w:noProof/>
          <w:kern w:val="2"/>
          <w:sz w:val="21"/>
          <w:szCs w:val="21"/>
        </w:rPr>
        <w:t>（</w:t>
      </w:r>
      <w:r w:rsidRPr="004258FD">
        <w:rPr>
          <w:rFonts w:ascii="SimSun" w:hAnsi="SimSun" w:cs="Times New Roman" w:hint="eastAsia"/>
          <w:noProof/>
          <w:kern w:val="2"/>
          <w:sz w:val="21"/>
          <w:szCs w:val="21"/>
        </w:rPr>
        <w:t>细则第四十四条第3款</w:t>
      </w:r>
      <w:r w:rsidRPr="004258FD">
        <w:rPr>
          <w:rFonts w:ascii="SimSun" w:hAnsi="SimSun" w:cs="Times New Roman"/>
          <w:noProof/>
          <w:kern w:val="2"/>
          <w:sz w:val="21"/>
          <w:szCs w:val="21"/>
        </w:rPr>
        <w:t>(b)</w:t>
      </w:r>
      <w:r w:rsidRPr="004258FD">
        <w:rPr>
          <w:rFonts w:ascii="SimSun" w:hAnsi="SimSun" w:cs="Times New Roman" w:hint="eastAsia"/>
          <w:noProof/>
          <w:kern w:val="2"/>
          <w:sz w:val="21"/>
          <w:szCs w:val="21"/>
        </w:rPr>
        <w:t>项、</w:t>
      </w:r>
      <w:r w:rsidRPr="004258FD">
        <w:rPr>
          <w:rFonts w:ascii="SimSun" w:hAnsi="SimSun" w:cs="Times New Roman"/>
          <w:noProof/>
          <w:kern w:val="2"/>
          <w:sz w:val="21"/>
          <w:szCs w:val="21"/>
        </w:rPr>
        <w:br/>
      </w:r>
      <w:r w:rsidRPr="004258FD">
        <w:rPr>
          <w:rFonts w:ascii="SimSun" w:hAnsi="SimSun" w:cs="Times New Roman" w:hint="eastAsia"/>
          <w:noProof/>
          <w:kern w:val="2"/>
          <w:sz w:val="21"/>
          <w:szCs w:val="21"/>
        </w:rPr>
        <w:t>细则第七十一条第2款</w:t>
      </w:r>
      <w:r w:rsidRPr="004258FD">
        <w:rPr>
          <w:rFonts w:ascii="SimSun" w:hAnsi="SimSun" w:cs="Times New Roman"/>
          <w:noProof/>
          <w:kern w:val="2"/>
          <w:sz w:val="21"/>
          <w:szCs w:val="21"/>
        </w:rPr>
        <w:t>(b)</w:t>
      </w:r>
      <w:r w:rsidRPr="004258FD">
        <w:rPr>
          <w:rFonts w:ascii="SimSun" w:hAnsi="SimSun" w:cs="Times New Roman" w:hint="eastAsia"/>
          <w:noProof/>
          <w:kern w:val="2"/>
          <w:sz w:val="21"/>
          <w:szCs w:val="21"/>
        </w:rPr>
        <w:t>项和</w:t>
      </w:r>
      <w:r w:rsidRPr="004258FD">
        <w:rPr>
          <w:rFonts w:ascii="SimSun" w:hAnsi="SimSun" w:cs="Times New Roman"/>
          <w:noProof/>
          <w:kern w:val="2"/>
          <w:sz w:val="21"/>
          <w:szCs w:val="21"/>
        </w:rPr>
        <w:br/>
      </w:r>
      <w:r w:rsidRPr="004258FD">
        <w:rPr>
          <w:rFonts w:ascii="SimSun" w:hAnsi="SimSun" w:cs="Times New Roman" w:hint="eastAsia"/>
          <w:noProof/>
          <w:kern w:val="2"/>
          <w:sz w:val="21"/>
          <w:szCs w:val="21"/>
        </w:rPr>
        <w:t>细则第九十四条第2款</w:t>
      </w:r>
      <w:r w:rsidRPr="004258FD">
        <w:rPr>
          <w:rFonts w:ascii="SimSun" w:hAnsi="SimSun" w:cs="Times New Roman"/>
          <w:noProof/>
          <w:kern w:val="2"/>
          <w:sz w:val="21"/>
          <w:szCs w:val="21"/>
        </w:rPr>
        <w:t>）</w:t>
      </w:r>
      <w:r w:rsidRPr="004258FD">
        <w:rPr>
          <w:rFonts w:ascii="SimSun" w:hAnsi="SimSun" w:cs="Times New Roman"/>
          <w:kern w:val="2"/>
          <w:sz w:val="21"/>
          <w:szCs w:val="22"/>
        </w:rPr>
        <w:tab/>
        <w:t>…</w:t>
      </w:r>
    </w:p>
    <w:p w:rsidR="00A4309A" w:rsidRPr="004258FD" w:rsidRDefault="00A4309A" w:rsidP="006C3627">
      <w:pPr>
        <w:keepNext/>
        <w:overflowPunct w:val="0"/>
        <w:spacing w:beforeLines="100" w:before="240" w:after="120" w:line="340" w:lineRule="atLeast"/>
        <w:jc w:val="both"/>
        <w:rPr>
          <w:rFonts w:ascii="KaiTi" w:eastAsia="KaiTi" w:hAnsi="KaiTi" w:cs="Times New Roman"/>
          <w:b/>
          <w:noProof/>
          <w:kern w:val="2"/>
          <w:sz w:val="21"/>
          <w:szCs w:val="21"/>
        </w:rPr>
      </w:pPr>
      <w:r w:rsidRPr="004258FD">
        <w:rPr>
          <w:rFonts w:ascii="KaiTi" w:eastAsia="KaiTi" w:hAnsi="KaiTi" w:cs="Times New Roman" w:hint="eastAsia"/>
          <w:b/>
          <w:noProof/>
          <w:kern w:val="2"/>
          <w:sz w:val="21"/>
          <w:szCs w:val="21"/>
        </w:rPr>
        <w:t>第二部分：退还或减少费用的条件和程度</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t>(1)</w:t>
      </w:r>
      <w:r w:rsidRPr="004258FD">
        <w:rPr>
          <w:rFonts w:ascii="SimSun" w:hAnsi="SimSun"/>
          <w:sz w:val="21"/>
          <w:szCs w:val="22"/>
        </w:rPr>
        <w:tab/>
      </w:r>
      <w:r w:rsidRPr="004258FD">
        <w:rPr>
          <w:rFonts w:ascii="SimSun" w:hAnsi="Times New Roman" w:cs="Times New Roman" w:hint="eastAsia"/>
          <w:noProof/>
          <w:sz w:val="21"/>
          <w:szCs w:val="21"/>
        </w:rPr>
        <w:t>对于第一部分指定的费用，任何无故错支付的金额或超过应支付金额的部分均应予以退</w:t>
      </w:r>
      <w:r w:rsidRPr="004258FD">
        <w:rPr>
          <w:rFonts w:ascii="MS Mincho" w:eastAsia="MS Mincho" w:hAnsi="MS Mincho" w:cs="MS Mincho" w:hint="eastAsia"/>
          <w:sz w:val="21"/>
          <w:szCs w:val="22"/>
        </w:rPr>
        <w:t>‍</w:t>
      </w:r>
      <w:r w:rsidRPr="004258FD">
        <w:rPr>
          <w:rFonts w:ascii="SimSun" w:hAnsi="Times New Roman" w:cs="Times New Roman" w:hint="eastAsia"/>
          <w:noProof/>
          <w:sz w:val="21"/>
          <w:szCs w:val="21"/>
        </w:rPr>
        <w:t>还。</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t>(2)</w:t>
      </w:r>
      <w:r w:rsidRPr="004258FD">
        <w:rPr>
          <w:rFonts w:ascii="SimSun" w:hAnsi="SimSun"/>
          <w:sz w:val="21"/>
          <w:szCs w:val="22"/>
        </w:rPr>
        <w:tab/>
      </w:r>
      <w:r w:rsidRPr="004258FD">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t>(3)</w:t>
      </w:r>
      <w:r w:rsidRPr="004258FD">
        <w:rPr>
          <w:rFonts w:ascii="SimSun" w:hAnsi="SimSun"/>
          <w:sz w:val="21"/>
          <w:szCs w:val="22"/>
        </w:rPr>
        <w:tab/>
      </w:r>
      <w:r w:rsidRPr="004258FD">
        <w:rPr>
          <w:rFonts w:ascii="SimSun" w:hAnsi="Times New Roman" w:cs="Times New Roman" w:hint="eastAsia"/>
          <w:noProof/>
          <w:sz w:val="21"/>
          <w:szCs w:val="21"/>
        </w:rPr>
        <w:t>国际单位利用已由国际单位对国际申请要求其优先权的一项申请进行的</w:t>
      </w:r>
      <w:r w:rsidRPr="004258FD">
        <w:rPr>
          <w:rFonts w:ascii="SimSun" w:hAnsi="SimSun" w:cs="SimSun" w:hint="eastAsia"/>
          <w:noProof/>
          <w:sz w:val="21"/>
          <w:szCs w:val="21"/>
        </w:rPr>
        <w:t>在先</w:t>
      </w:r>
      <w:r w:rsidRPr="004258FD">
        <w:rPr>
          <w:rFonts w:ascii="SimSun" w:hAnsi="Times New Roman" w:cs="Times New Roman" w:hint="eastAsia"/>
          <w:noProof/>
          <w:sz w:val="21"/>
          <w:szCs w:val="21"/>
        </w:rPr>
        <w:t>检索的结果的，根据国际单位利用该</w:t>
      </w:r>
      <w:r w:rsidRPr="004258FD">
        <w:rPr>
          <w:rFonts w:ascii="SimSun" w:hAnsi="SimSun" w:cs="SimSun" w:hint="eastAsia"/>
          <w:noProof/>
          <w:sz w:val="21"/>
          <w:szCs w:val="21"/>
        </w:rPr>
        <w:t>在先</w:t>
      </w:r>
      <w:r w:rsidRPr="004258FD">
        <w:rPr>
          <w:rFonts w:ascii="SimSun" w:hAnsi="Times New Roman" w:cs="Times New Roman" w:hint="eastAsia"/>
          <w:noProof/>
          <w:sz w:val="21"/>
          <w:szCs w:val="21"/>
        </w:rPr>
        <w:t>检索的程度，应申请人要求，应退还已支付的检索费</w:t>
      </w:r>
      <w:r>
        <w:rPr>
          <w:rFonts w:ascii="SimSun" w:hAnsi="Times New Roman" w:cs="Times New Roman" w:hint="eastAsia"/>
          <w:noProof/>
          <w:sz w:val="21"/>
          <w:szCs w:val="21"/>
        </w:rPr>
        <w:t>50</w:t>
      </w:r>
      <w:r w:rsidRPr="004258FD">
        <w:rPr>
          <w:rFonts w:ascii="SimSun" w:hAnsi="Times New Roman" w:cs="Times New Roman" w:hint="eastAsia"/>
          <w:noProof/>
          <w:sz w:val="21"/>
          <w:szCs w:val="21"/>
        </w:rPr>
        <w:t>%。</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t>(4)</w:t>
      </w:r>
      <w:r w:rsidRPr="004258FD">
        <w:rPr>
          <w:rFonts w:ascii="SimSun" w:hAnsi="SimSun"/>
          <w:sz w:val="21"/>
          <w:szCs w:val="22"/>
        </w:rPr>
        <w:tab/>
      </w:r>
      <w:r w:rsidRPr="004258FD">
        <w:rPr>
          <w:rFonts w:ascii="SimSun" w:hAnsi="Times New Roman" w:cs="Times New Roman" w:hint="eastAsia"/>
          <w:noProof/>
          <w:sz w:val="21"/>
          <w:szCs w:val="21"/>
        </w:rPr>
        <w:t>符合细则第五十八条第3款规定的情况的，应全部退还已支付的初步审查费的金额。</w:t>
      </w:r>
    </w:p>
    <w:p w:rsidR="00A4309A" w:rsidRPr="004258FD" w:rsidRDefault="00A4309A" w:rsidP="006C3627">
      <w:pPr>
        <w:overflowPunct w:val="0"/>
        <w:spacing w:afterLines="100" w:after="240" w:line="340" w:lineRule="atLeast"/>
        <w:jc w:val="both"/>
        <w:rPr>
          <w:rFonts w:ascii="SimSun" w:hAnsi="SimSun"/>
          <w:sz w:val="21"/>
          <w:szCs w:val="22"/>
        </w:rPr>
      </w:pPr>
      <w:r w:rsidRPr="004258FD">
        <w:rPr>
          <w:rFonts w:ascii="SimSun" w:hAnsi="SimSun"/>
          <w:sz w:val="21"/>
          <w:szCs w:val="22"/>
        </w:rPr>
        <w:tab/>
        <w:t>(5)</w:t>
      </w:r>
      <w:r w:rsidRPr="004258FD">
        <w:rPr>
          <w:rFonts w:ascii="SimSun" w:hAnsi="SimSun"/>
          <w:sz w:val="21"/>
          <w:szCs w:val="22"/>
        </w:rPr>
        <w:tab/>
      </w:r>
      <w:r w:rsidRPr="004258FD">
        <w:rPr>
          <w:rFonts w:ascii="SimSun" w:hAnsi="Times New Roman" w:cs="Times New Roman" w:hint="eastAsia"/>
          <w:noProof/>
          <w:sz w:val="21"/>
          <w:szCs w:val="21"/>
        </w:rPr>
        <w:t>在国际初步审查开始之前，国际申请或要求书被撤回的，应全部退还已支付的初步审查费的金额。</w:t>
      </w:r>
    </w:p>
    <w:p w:rsidR="00A4309A" w:rsidRPr="004258FD" w:rsidRDefault="00A4309A" w:rsidP="006C3627">
      <w:pPr>
        <w:keepNext/>
        <w:keepLines/>
        <w:overflowPunct w:val="0"/>
        <w:spacing w:beforeLines="200" w:before="480" w:afterLines="100" w:after="240" w:line="340" w:lineRule="atLeast"/>
        <w:jc w:val="center"/>
        <w:rPr>
          <w:rFonts w:ascii="SimSun" w:hAnsi="SimSun"/>
          <w:bCs/>
          <w:sz w:val="21"/>
          <w:szCs w:val="22"/>
        </w:rPr>
      </w:pPr>
      <w:r w:rsidRPr="004258FD">
        <w:rPr>
          <w:rFonts w:ascii="SimSun" w:hAnsi="SimSun" w:hint="eastAsia"/>
          <w:bCs/>
          <w:sz w:val="21"/>
          <w:szCs w:val="22"/>
        </w:rPr>
        <w:t>附录E</w:t>
      </w:r>
      <w:r w:rsidRPr="004258FD">
        <w:rPr>
          <w:rFonts w:ascii="SimSun" w:hAnsi="SimSun"/>
          <w:bCs/>
          <w:sz w:val="21"/>
          <w:szCs w:val="22"/>
        </w:rPr>
        <w:br/>
      </w:r>
      <w:r w:rsidRPr="004F55B9">
        <w:rPr>
          <w:rFonts w:ascii="SimSun" w:hAnsi="SimSun" w:hint="eastAsia"/>
          <w:bCs/>
          <w:sz w:val="21"/>
          <w:szCs w:val="22"/>
        </w:rPr>
        <w:t>分　类</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hint="eastAsia"/>
          <w:sz w:val="21"/>
          <w:szCs w:val="22"/>
        </w:rPr>
        <w:t>根据本协议第六条，除国际专利分类外，国际单位指定下列分类体系：无。</w:t>
      </w:r>
    </w:p>
    <w:p w:rsidR="00A4309A" w:rsidRPr="004258FD" w:rsidRDefault="00A4309A" w:rsidP="006C3627">
      <w:pPr>
        <w:keepNext/>
        <w:keepLines/>
        <w:overflowPunct w:val="0"/>
        <w:spacing w:beforeLines="200" w:before="480" w:afterLines="100" w:after="240" w:line="340" w:lineRule="atLeast"/>
        <w:jc w:val="center"/>
        <w:rPr>
          <w:rFonts w:ascii="SimSun" w:hAnsi="SimSun" w:cs="Times New Roman"/>
          <w:bCs/>
          <w:noProof/>
          <w:sz w:val="21"/>
          <w:szCs w:val="21"/>
        </w:rPr>
      </w:pPr>
      <w:r w:rsidRPr="004258FD">
        <w:rPr>
          <w:rFonts w:ascii="SimSun" w:hAnsi="SimSun" w:cs="Times New Roman" w:hint="eastAsia"/>
          <w:bCs/>
          <w:noProof/>
          <w:sz w:val="21"/>
          <w:szCs w:val="21"/>
        </w:rPr>
        <w:lastRenderedPageBreak/>
        <w:t>附录F</w:t>
      </w:r>
      <w:r w:rsidRPr="004258FD">
        <w:rPr>
          <w:rFonts w:ascii="SimSun" w:hAnsi="SimSun" w:cs="Times New Roman"/>
          <w:bCs/>
          <w:noProof/>
          <w:sz w:val="21"/>
          <w:szCs w:val="21"/>
        </w:rPr>
        <w:br/>
      </w:r>
      <w:r w:rsidRPr="004258FD">
        <w:rPr>
          <w:rFonts w:ascii="SimSun" w:hAnsi="SimSun" w:cs="Times New Roman" w:hint="eastAsia"/>
          <w:bCs/>
          <w:noProof/>
          <w:sz w:val="21"/>
          <w:szCs w:val="21"/>
        </w:rPr>
        <w:t>通信语言</w:t>
      </w:r>
    </w:p>
    <w:p w:rsidR="00A4309A" w:rsidRPr="004258FD" w:rsidRDefault="00A4309A" w:rsidP="006C3627">
      <w:pPr>
        <w:overflowPunct w:val="0"/>
        <w:spacing w:afterLines="100" w:after="240" w:line="340" w:lineRule="atLeast"/>
        <w:ind w:firstLine="567"/>
        <w:jc w:val="both"/>
        <w:rPr>
          <w:rFonts w:ascii="SimSun" w:hAnsi="SimSun" w:cs="Times New Roman"/>
          <w:sz w:val="21"/>
          <w:szCs w:val="24"/>
        </w:rPr>
      </w:pPr>
      <w:r w:rsidRPr="004258FD">
        <w:rPr>
          <w:rFonts w:ascii="SimSun" w:hAnsi="SimSun" w:cs="Times New Roman" w:hint="eastAsia"/>
          <w:noProof/>
          <w:sz w:val="21"/>
          <w:szCs w:val="21"/>
        </w:rPr>
        <w:t>根据本协议第七条的规定，国际单位指定下列语言：</w:t>
      </w:r>
    </w:p>
    <w:p w:rsidR="00A4309A" w:rsidRPr="004258FD" w:rsidRDefault="00A4309A" w:rsidP="006C3627">
      <w:pPr>
        <w:overflowPunct w:val="0"/>
        <w:spacing w:afterLines="100" w:after="240" w:line="340" w:lineRule="atLeast"/>
        <w:ind w:firstLine="567"/>
        <w:jc w:val="both"/>
        <w:rPr>
          <w:rFonts w:ascii="SimSun" w:hAnsi="SimSun"/>
          <w:sz w:val="21"/>
          <w:szCs w:val="22"/>
        </w:rPr>
      </w:pPr>
      <w:r>
        <w:rPr>
          <w:rFonts w:ascii="SimSun" w:hAnsi="SimSun" w:hint="eastAsia"/>
          <w:sz w:val="21"/>
          <w:szCs w:val="22"/>
        </w:rPr>
        <w:t>英文。</w:t>
      </w:r>
    </w:p>
    <w:p w:rsidR="00A4309A" w:rsidRPr="004258FD" w:rsidRDefault="00A4309A" w:rsidP="006C3627">
      <w:pPr>
        <w:keepNext/>
        <w:keepLines/>
        <w:overflowPunct w:val="0"/>
        <w:spacing w:beforeLines="200" w:before="480" w:afterLines="100" w:after="240" w:line="340" w:lineRule="atLeast"/>
        <w:jc w:val="center"/>
        <w:rPr>
          <w:rFonts w:ascii="SimSun" w:hAnsi="SimSun"/>
          <w:bCs/>
          <w:sz w:val="21"/>
          <w:szCs w:val="22"/>
        </w:rPr>
      </w:pPr>
      <w:r w:rsidRPr="004258FD">
        <w:rPr>
          <w:rFonts w:ascii="SimSun" w:hAnsi="SimSun" w:hint="eastAsia"/>
          <w:bCs/>
          <w:sz w:val="21"/>
          <w:szCs w:val="22"/>
        </w:rPr>
        <w:t>附录G</w:t>
      </w:r>
      <w:r w:rsidRPr="004258FD">
        <w:rPr>
          <w:rFonts w:ascii="SimSun" w:hAnsi="SimSun"/>
          <w:bCs/>
          <w:sz w:val="21"/>
          <w:szCs w:val="22"/>
        </w:rPr>
        <w:br/>
      </w:r>
      <w:r w:rsidRPr="004258FD">
        <w:rPr>
          <w:rFonts w:ascii="SimSun" w:hAnsi="SimSun" w:hint="eastAsia"/>
          <w:bCs/>
          <w:sz w:val="21"/>
          <w:szCs w:val="22"/>
        </w:rPr>
        <w:t>国际式检索</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cs="SimSun" w:hint="eastAsia"/>
          <w:sz w:val="21"/>
          <w:szCs w:val="22"/>
        </w:rPr>
        <w:t>根据本协议第八条的规定，国际单位明确其开展国际式检索的情况如下：</w:t>
      </w:r>
    </w:p>
    <w:p w:rsidR="00A4309A" w:rsidRPr="004258FD" w:rsidRDefault="00A4309A" w:rsidP="006C3627">
      <w:pPr>
        <w:overflowPunct w:val="0"/>
        <w:spacing w:afterLines="100" w:after="240" w:line="340" w:lineRule="atLeast"/>
        <w:ind w:firstLine="567"/>
        <w:jc w:val="both"/>
        <w:rPr>
          <w:rFonts w:ascii="SimSun" w:hAnsi="SimSun"/>
          <w:sz w:val="21"/>
          <w:szCs w:val="22"/>
        </w:rPr>
      </w:pPr>
      <w:r w:rsidRPr="004258FD">
        <w:rPr>
          <w:rFonts w:ascii="SimSun" w:hAnsi="SimSun" w:hint="eastAsia"/>
          <w:sz w:val="21"/>
          <w:szCs w:val="22"/>
        </w:rPr>
        <w:t>国际单位不进行国际式检索。</w:t>
      </w:r>
    </w:p>
    <w:p w:rsidR="00A4309A" w:rsidRPr="00295AEC" w:rsidRDefault="00A4309A" w:rsidP="00295AEC">
      <w:pPr>
        <w:overflowPunct w:val="0"/>
        <w:spacing w:afterLines="50" w:after="120" w:line="340" w:lineRule="atLeast"/>
        <w:ind w:left="5534"/>
        <w:rPr>
          <w:rFonts w:ascii="KaiTi" w:eastAsia="KaiTi" w:hAnsi="KaiTi"/>
          <w:sz w:val="21"/>
        </w:rPr>
      </w:pPr>
    </w:p>
    <w:p w:rsidR="00A4309A" w:rsidRPr="00295AEC" w:rsidRDefault="00A4309A" w:rsidP="00295AEC">
      <w:pPr>
        <w:overflowPunct w:val="0"/>
        <w:spacing w:afterLines="50" w:after="120" w:line="340" w:lineRule="atLeast"/>
        <w:ind w:left="5534"/>
        <w:rPr>
          <w:rFonts w:ascii="KaiTi" w:eastAsia="KaiTi" w:hAnsi="KaiTi"/>
          <w:sz w:val="21"/>
        </w:rPr>
      </w:pPr>
      <w:r w:rsidRPr="00295AEC">
        <w:rPr>
          <w:rFonts w:ascii="KaiTi" w:eastAsia="KaiTi" w:hAnsi="KaiTi"/>
          <w:sz w:val="21"/>
        </w:rPr>
        <w:t>[</w:t>
      </w:r>
      <w:r w:rsidRPr="00295AEC">
        <w:rPr>
          <w:rFonts w:ascii="KaiTi" w:eastAsia="KaiTi" w:hAnsi="KaiTi" w:hint="eastAsia"/>
          <w:sz w:val="21"/>
        </w:rPr>
        <w:t>后接文件</w:t>
      </w:r>
      <w:r w:rsidRPr="00295AEC">
        <w:rPr>
          <w:rFonts w:ascii="KaiTi" w:eastAsia="KaiTi" w:hAnsi="KaiTi"/>
          <w:sz w:val="21"/>
        </w:rPr>
        <w:t>PCT/CTC/30/2</w:t>
      </w:r>
      <w:r w:rsidRPr="00295AEC">
        <w:rPr>
          <w:rFonts w:ascii="SimSun" w:hAnsi="SimSun" w:cs="SimSun" w:hint="eastAsia"/>
          <w:sz w:val="21"/>
        </w:rPr>
        <w:t> </w:t>
      </w:r>
      <w:r w:rsidRPr="00295AEC">
        <w:rPr>
          <w:rFonts w:ascii="KaiTi" w:eastAsia="KaiTi" w:hAnsi="KaiTi"/>
          <w:sz w:val="21"/>
        </w:rPr>
        <w:t>Rev.</w:t>
      </w:r>
      <w:r w:rsidRPr="00295AEC">
        <w:rPr>
          <w:rFonts w:ascii="KaiTi" w:eastAsia="KaiTi" w:hAnsi="KaiTi" w:hint="eastAsia"/>
          <w:sz w:val="21"/>
        </w:rPr>
        <w:t>和</w:t>
      </w:r>
      <w:r w:rsidRPr="00295AEC">
        <w:rPr>
          <w:rFonts w:ascii="KaiTi" w:eastAsia="KaiTi" w:hAnsi="KaiTi"/>
          <w:sz w:val="21"/>
        </w:rPr>
        <w:t>PCT/30/26]</w:t>
      </w:r>
    </w:p>
    <w:p w:rsidR="00A4309A" w:rsidRPr="00CB2E5C" w:rsidRDefault="00A4309A" w:rsidP="006C3627">
      <w:pPr>
        <w:overflowPunct w:val="0"/>
        <w:spacing w:line="340" w:lineRule="atLeast"/>
        <w:jc w:val="both"/>
        <w:rPr>
          <w:rFonts w:ascii="Calibri" w:hAnsi="Calibri" w:cs="Times New Roman"/>
          <w:kern w:val="2"/>
          <w:sz w:val="21"/>
          <w:szCs w:val="22"/>
        </w:rPr>
      </w:pPr>
    </w:p>
    <w:p w:rsidR="00A4309A" w:rsidRPr="004F55B9" w:rsidRDefault="00A4309A" w:rsidP="006C3627">
      <w:pPr>
        <w:rPr>
          <w:rFonts w:ascii="SimSun" w:hAnsi="SimSun"/>
          <w:noProof/>
          <w:sz w:val="24"/>
        </w:rPr>
        <w:sectPr w:rsidR="00A4309A" w:rsidRPr="004F55B9" w:rsidSect="00295AE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A4309A" w:rsidRPr="00A23B02" w:rsidTr="006C3627">
        <w:trPr>
          <w:trHeight w:val="1977"/>
        </w:trPr>
        <w:tc>
          <w:tcPr>
            <w:tcW w:w="4594" w:type="dxa"/>
            <w:tcBorders>
              <w:bottom w:val="single" w:sz="4" w:space="0" w:color="auto"/>
            </w:tcBorders>
            <w:tcMar>
              <w:bottom w:w="170" w:type="dxa"/>
            </w:tcMar>
          </w:tcPr>
          <w:p w:rsidR="00A4309A" w:rsidRPr="00A23B02" w:rsidRDefault="00A4309A" w:rsidP="006C3627">
            <w:pPr>
              <w:rPr>
                <w:noProof/>
                <w:sz w:val="24"/>
              </w:rPr>
            </w:pPr>
            <w:r w:rsidRPr="00A23B02">
              <w:rPr>
                <w:rFonts w:hint="eastAsia"/>
                <w:noProof/>
              </w:rPr>
              <w:lastRenderedPageBreak/>
              <w:drawing>
                <wp:anchor distT="0" distB="0" distL="114300" distR="114300" simplePos="0" relativeHeight="251661312" behindDoc="1" locked="0" layoutInCell="0" allowOverlap="1" wp14:anchorId="1C747F2D" wp14:editId="3C3F9F8A">
                  <wp:simplePos x="0" y="0"/>
                  <wp:positionH relativeFrom="page">
                    <wp:posOffset>3834130</wp:posOffset>
                  </wp:positionH>
                  <wp:positionV relativeFrom="margin">
                    <wp:posOffset>0</wp:posOffset>
                  </wp:positionV>
                  <wp:extent cx="866775" cy="1323975"/>
                  <wp:effectExtent l="0" t="0" r="9525" b="9525"/>
                  <wp:wrapNone/>
                  <wp:docPr id="7"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A4309A" w:rsidRPr="00A23B02" w:rsidRDefault="00A4309A" w:rsidP="006C3627">
            <w:pPr>
              <w:rPr>
                <w:noProof/>
                <w:sz w:val="24"/>
              </w:rPr>
            </w:pPr>
          </w:p>
        </w:tc>
        <w:tc>
          <w:tcPr>
            <w:tcW w:w="425" w:type="dxa"/>
            <w:tcBorders>
              <w:bottom w:val="single" w:sz="4" w:space="0" w:color="auto"/>
            </w:tcBorders>
            <w:tcMar>
              <w:bottom w:w="170" w:type="dxa"/>
            </w:tcMar>
          </w:tcPr>
          <w:p w:rsidR="00A4309A" w:rsidRPr="00A23B02" w:rsidRDefault="00A4309A" w:rsidP="006C3627">
            <w:pPr>
              <w:jc w:val="right"/>
              <w:rPr>
                <w:noProof/>
                <w:sz w:val="24"/>
              </w:rPr>
            </w:pPr>
            <w:r w:rsidRPr="00A23B02">
              <w:rPr>
                <w:rFonts w:hint="eastAsia"/>
                <w:b/>
                <w:noProof/>
                <w:sz w:val="40"/>
                <w:szCs w:val="40"/>
              </w:rPr>
              <w:t>C</w:t>
            </w:r>
          </w:p>
        </w:tc>
      </w:tr>
      <w:tr w:rsidR="00A4309A" w:rsidRPr="00A23B02" w:rsidTr="006C3627">
        <w:trPr>
          <w:trHeight w:hRule="exact" w:val="340"/>
        </w:trPr>
        <w:tc>
          <w:tcPr>
            <w:tcW w:w="9356" w:type="dxa"/>
            <w:gridSpan w:val="3"/>
            <w:tcBorders>
              <w:top w:val="single" w:sz="4" w:space="0" w:color="auto"/>
            </w:tcBorders>
            <w:tcMar>
              <w:top w:w="170" w:type="dxa"/>
              <w:left w:w="0" w:type="dxa"/>
              <w:right w:w="0" w:type="dxa"/>
            </w:tcMar>
            <w:vAlign w:val="bottom"/>
          </w:tcPr>
          <w:p w:rsidR="00A4309A" w:rsidRPr="00A23B02" w:rsidRDefault="00A4309A" w:rsidP="006C3627">
            <w:pPr>
              <w:jc w:val="right"/>
              <w:rPr>
                <w:rFonts w:ascii="Arial Black" w:hAnsi="Arial Black"/>
                <w:caps/>
                <w:noProof/>
                <w:sz w:val="15"/>
              </w:rPr>
            </w:pPr>
            <w:r w:rsidRPr="00A23B02">
              <w:rPr>
                <w:rFonts w:ascii="Arial Black" w:hAnsi="Arial Black" w:hint="eastAsia"/>
                <w:caps/>
                <w:noProof/>
                <w:sz w:val="15"/>
              </w:rPr>
              <w:t>PCT/CTC/30/</w:t>
            </w:r>
            <w:r>
              <w:rPr>
                <w:rFonts w:ascii="Arial Black" w:hAnsi="Arial Black" w:hint="eastAsia"/>
                <w:caps/>
                <w:noProof/>
                <w:sz w:val="15"/>
              </w:rPr>
              <w:t>2 rev.</w:t>
            </w:r>
          </w:p>
        </w:tc>
      </w:tr>
      <w:tr w:rsidR="00A4309A" w:rsidRPr="00A23B02" w:rsidTr="006C3627">
        <w:trPr>
          <w:trHeight w:hRule="exact" w:val="170"/>
        </w:trPr>
        <w:tc>
          <w:tcPr>
            <w:tcW w:w="9356" w:type="dxa"/>
            <w:gridSpan w:val="3"/>
            <w:noWrap/>
            <w:tcMar>
              <w:left w:w="0" w:type="dxa"/>
              <w:right w:w="0" w:type="dxa"/>
            </w:tcMar>
            <w:vAlign w:val="bottom"/>
          </w:tcPr>
          <w:p w:rsidR="00A4309A" w:rsidRPr="00A23B02" w:rsidRDefault="00A4309A" w:rsidP="006C3627">
            <w:pPr>
              <w:jc w:val="right"/>
              <w:rPr>
                <w:rFonts w:eastAsia="SimHei"/>
                <w:b/>
                <w:caps/>
                <w:noProof/>
                <w:sz w:val="15"/>
                <w:szCs w:val="15"/>
              </w:rPr>
            </w:pPr>
            <w:r w:rsidRPr="00A23B02">
              <w:rPr>
                <w:rFonts w:eastAsia="SimHei" w:hint="eastAsia"/>
                <w:b/>
                <w:noProof/>
                <w:sz w:val="15"/>
                <w:szCs w:val="15"/>
              </w:rPr>
              <w:t>原</w:t>
            </w:r>
            <w:r w:rsidRPr="00A23B02">
              <w:rPr>
                <w:rFonts w:eastAsia="SimHei" w:hint="eastAsia"/>
                <w:b/>
                <w:noProof/>
                <w:sz w:val="15"/>
                <w:szCs w:val="15"/>
                <w:lang w:val="pt-BR"/>
              </w:rPr>
              <w:t xml:space="preserve"> </w:t>
            </w:r>
            <w:r w:rsidRPr="00A23B02">
              <w:rPr>
                <w:rFonts w:eastAsia="SimHei" w:hint="eastAsia"/>
                <w:b/>
                <w:noProof/>
                <w:sz w:val="15"/>
                <w:szCs w:val="15"/>
              </w:rPr>
              <w:t>文</w:t>
            </w:r>
            <w:r w:rsidRPr="00A23B02">
              <w:rPr>
                <w:rFonts w:eastAsia="SimHei" w:hint="eastAsia"/>
                <w:b/>
                <w:noProof/>
                <w:sz w:val="15"/>
                <w:szCs w:val="15"/>
                <w:lang w:val="pt-BR"/>
              </w:rPr>
              <w:t>：</w:t>
            </w:r>
            <w:r w:rsidRPr="00A23B02">
              <w:rPr>
                <w:rFonts w:eastAsia="SimHei" w:hint="eastAsia"/>
                <w:b/>
                <w:noProof/>
                <w:sz w:val="15"/>
                <w:szCs w:val="15"/>
              </w:rPr>
              <w:t>英文</w:t>
            </w:r>
          </w:p>
        </w:tc>
      </w:tr>
      <w:tr w:rsidR="00A4309A" w:rsidRPr="00A23B02" w:rsidTr="006C3627">
        <w:trPr>
          <w:trHeight w:hRule="exact" w:val="198"/>
        </w:trPr>
        <w:tc>
          <w:tcPr>
            <w:tcW w:w="9356" w:type="dxa"/>
            <w:gridSpan w:val="3"/>
            <w:tcMar>
              <w:left w:w="0" w:type="dxa"/>
              <w:right w:w="0" w:type="dxa"/>
            </w:tcMar>
            <w:vAlign w:val="bottom"/>
          </w:tcPr>
          <w:p w:rsidR="00A4309A" w:rsidRPr="00A23B02" w:rsidRDefault="00A4309A" w:rsidP="006C3627">
            <w:pPr>
              <w:jc w:val="right"/>
              <w:rPr>
                <w:rFonts w:eastAsia="Times New Roman"/>
                <w:b/>
                <w:caps/>
                <w:noProof/>
                <w:sz w:val="15"/>
                <w:szCs w:val="15"/>
              </w:rPr>
            </w:pPr>
            <w:r w:rsidRPr="00A23B02">
              <w:rPr>
                <w:rFonts w:eastAsia="SimHei" w:cs="SimSun" w:hint="eastAsia"/>
                <w:b/>
                <w:noProof/>
                <w:sz w:val="15"/>
                <w:szCs w:val="15"/>
              </w:rPr>
              <w:t>日</w:t>
            </w:r>
            <w:r w:rsidRPr="00A23B02">
              <w:rPr>
                <w:rFonts w:eastAsia="SimHei" w:hint="eastAsia"/>
                <w:b/>
                <w:noProof/>
                <w:sz w:val="15"/>
                <w:szCs w:val="15"/>
                <w:lang w:val="pt-BR"/>
              </w:rPr>
              <w:t xml:space="preserve"> </w:t>
            </w:r>
            <w:r w:rsidRPr="00A23B02">
              <w:rPr>
                <w:rFonts w:eastAsia="SimHei" w:cs="SimSun" w:hint="eastAsia"/>
                <w:b/>
                <w:noProof/>
                <w:sz w:val="15"/>
                <w:szCs w:val="15"/>
              </w:rPr>
              <w:t>期</w:t>
            </w:r>
            <w:r w:rsidRPr="00A23B02">
              <w:rPr>
                <w:rFonts w:eastAsia="SimHei" w:cs="SimSun" w:hint="eastAsia"/>
                <w:b/>
                <w:noProof/>
                <w:sz w:val="15"/>
                <w:szCs w:val="15"/>
                <w:lang w:val="pt-BR"/>
              </w:rPr>
              <w:t>：</w:t>
            </w:r>
            <w:r w:rsidRPr="00A23B02">
              <w:rPr>
                <w:rFonts w:ascii="Arial Black" w:hAnsi="Arial Black" w:hint="eastAsia"/>
                <w:caps/>
                <w:noProof/>
                <w:sz w:val="15"/>
              </w:rPr>
              <w:t>2017</w:t>
            </w:r>
            <w:r w:rsidRPr="00A23B02">
              <w:rPr>
                <w:rFonts w:eastAsia="SimHei" w:cs="SimSun" w:hint="eastAsia"/>
                <w:b/>
                <w:noProof/>
                <w:sz w:val="15"/>
                <w:szCs w:val="15"/>
              </w:rPr>
              <w:t>年</w:t>
            </w:r>
            <w:r w:rsidRPr="00A23B02">
              <w:rPr>
                <w:rFonts w:ascii="Arial Black" w:hAnsi="Arial Black" w:hint="eastAsia"/>
                <w:caps/>
                <w:noProof/>
                <w:sz w:val="15"/>
              </w:rPr>
              <w:t>3</w:t>
            </w:r>
            <w:r w:rsidRPr="00A23B02">
              <w:rPr>
                <w:rFonts w:eastAsia="SimHei" w:cs="SimSun" w:hint="eastAsia"/>
                <w:b/>
                <w:noProof/>
                <w:sz w:val="15"/>
                <w:szCs w:val="15"/>
              </w:rPr>
              <w:t>月</w:t>
            </w:r>
            <w:r w:rsidRPr="00A23B02">
              <w:rPr>
                <w:rFonts w:ascii="Arial Black" w:hAnsi="Arial Black" w:hint="eastAsia"/>
                <w:caps/>
                <w:noProof/>
                <w:sz w:val="15"/>
              </w:rPr>
              <w:t>1</w:t>
            </w:r>
            <w:r>
              <w:rPr>
                <w:rFonts w:ascii="Arial Black" w:hAnsi="Arial Black" w:hint="eastAsia"/>
                <w:caps/>
                <w:noProof/>
                <w:sz w:val="15"/>
              </w:rPr>
              <w:t>7</w:t>
            </w:r>
            <w:r w:rsidRPr="00A23B02">
              <w:rPr>
                <w:rFonts w:eastAsia="SimHei" w:cs="SimSun" w:hint="eastAsia"/>
                <w:b/>
                <w:noProof/>
                <w:sz w:val="15"/>
                <w:szCs w:val="15"/>
              </w:rPr>
              <w:t>日</w:t>
            </w:r>
            <w:r w:rsidRPr="00A23B02">
              <w:rPr>
                <w:rFonts w:eastAsia="Times New Roman" w:hint="eastAsia"/>
                <w:b/>
                <w:caps/>
                <w:noProof/>
                <w:sz w:val="15"/>
                <w:szCs w:val="15"/>
              </w:rPr>
              <w:t xml:space="preserve">  </w:t>
            </w:r>
          </w:p>
        </w:tc>
      </w:tr>
    </w:tbl>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rFonts w:ascii="SimHei" w:eastAsia="SimHei" w:hAnsi="SimHei"/>
          <w:noProof/>
          <w:sz w:val="28"/>
          <w:szCs w:val="24"/>
        </w:rPr>
      </w:pPr>
      <w:r w:rsidRPr="00A23B02">
        <w:rPr>
          <w:rFonts w:ascii="SimHei" w:eastAsia="SimHei" w:hAnsi="SimHei" w:hint="eastAsia"/>
          <w:noProof/>
          <w:sz w:val="28"/>
          <w:szCs w:val="24"/>
        </w:rPr>
        <w:t>专利合作条约（PCT）</w:t>
      </w:r>
      <w:r w:rsidRPr="00A23B02">
        <w:rPr>
          <w:rFonts w:ascii="SimHei" w:eastAsia="SimHei" w:hAnsi="SimHei" w:hint="eastAsia"/>
          <w:noProof/>
          <w:sz w:val="28"/>
          <w:szCs w:val="24"/>
        </w:rPr>
        <w:br/>
        <w:t>技术合作委员会</w:t>
      </w: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autoSpaceDE w:val="0"/>
        <w:autoSpaceDN w:val="0"/>
        <w:textAlignment w:val="bottom"/>
        <w:rPr>
          <w:rFonts w:ascii="KaiTi" w:eastAsia="KaiTi"/>
          <w:b/>
          <w:noProof/>
          <w:sz w:val="24"/>
          <w:szCs w:val="24"/>
        </w:rPr>
      </w:pPr>
      <w:r w:rsidRPr="00A23B02">
        <w:rPr>
          <w:rFonts w:ascii="KaiTi" w:eastAsia="KaiTi" w:hint="eastAsia"/>
          <w:b/>
          <w:noProof/>
          <w:sz w:val="24"/>
          <w:szCs w:val="24"/>
        </w:rPr>
        <w:t>第三十届会议</w:t>
      </w:r>
    </w:p>
    <w:p w:rsidR="00A4309A" w:rsidRPr="00A23B02" w:rsidRDefault="00A4309A" w:rsidP="006C3627">
      <w:pPr>
        <w:rPr>
          <w:rFonts w:ascii="KaiTi" w:eastAsia="KaiTi" w:hAnsi="SimSun"/>
          <w:b/>
          <w:noProof/>
          <w:sz w:val="24"/>
          <w:szCs w:val="24"/>
        </w:rPr>
      </w:pPr>
      <w:r w:rsidRPr="00A23B02">
        <w:rPr>
          <w:rFonts w:ascii="KaiTi" w:eastAsia="KaiTi" w:hint="eastAsia"/>
          <w:noProof/>
          <w:sz w:val="24"/>
          <w:szCs w:val="24"/>
        </w:rPr>
        <w:t>2017</w:t>
      </w:r>
      <w:r w:rsidRPr="00A23B02">
        <w:rPr>
          <w:rFonts w:ascii="KaiTi" w:eastAsia="KaiTi" w:hAnsi="SimSun" w:hint="eastAsia"/>
          <w:b/>
          <w:noProof/>
          <w:sz w:val="24"/>
          <w:szCs w:val="24"/>
        </w:rPr>
        <w:t>年</w:t>
      </w:r>
      <w:r w:rsidRPr="00A23B02">
        <w:rPr>
          <w:rFonts w:ascii="KaiTi" w:eastAsia="KaiTi" w:hint="eastAsia"/>
          <w:noProof/>
          <w:sz w:val="24"/>
          <w:szCs w:val="24"/>
        </w:rPr>
        <w:t>5</w:t>
      </w:r>
      <w:r w:rsidRPr="00A23B02">
        <w:rPr>
          <w:rFonts w:ascii="KaiTi" w:eastAsia="KaiTi" w:hAnsi="SimSun" w:hint="eastAsia"/>
          <w:b/>
          <w:noProof/>
          <w:sz w:val="24"/>
          <w:szCs w:val="24"/>
        </w:rPr>
        <w:t>月</w:t>
      </w:r>
      <w:r w:rsidRPr="00A23B02">
        <w:rPr>
          <w:rFonts w:ascii="KaiTi" w:eastAsia="KaiTi" w:hint="eastAsia"/>
          <w:noProof/>
          <w:sz w:val="24"/>
          <w:szCs w:val="24"/>
        </w:rPr>
        <w:t>8</w:t>
      </w:r>
      <w:r w:rsidRPr="00A23B02">
        <w:rPr>
          <w:rFonts w:ascii="KaiTi" w:eastAsia="KaiTi" w:hAnsi="SimSun" w:hint="eastAsia"/>
          <w:b/>
          <w:noProof/>
          <w:sz w:val="24"/>
          <w:szCs w:val="24"/>
        </w:rPr>
        <w:t>日至</w:t>
      </w:r>
      <w:r w:rsidRPr="00A23B02">
        <w:rPr>
          <w:rFonts w:ascii="KaiTi" w:eastAsia="KaiTi" w:hint="eastAsia"/>
          <w:noProof/>
          <w:sz w:val="24"/>
          <w:szCs w:val="24"/>
        </w:rPr>
        <w:t>12</w:t>
      </w:r>
      <w:r w:rsidRPr="00A23B02">
        <w:rPr>
          <w:rFonts w:ascii="KaiTi" w:eastAsia="KaiTi" w:hAnsi="SimSun" w:hint="eastAsia"/>
          <w:b/>
          <w:noProof/>
          <w:sz w:val="24"/>
          <w:szCs w:val="24"/>
        </w:rPr>
        <w:t>日，日内瓦</w:t>
      </w: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noProof/>
          <w:szCs w:val="22"/>
        </w:rPr>
      </w:pPr>
    </w:p>
    <w:p w:rsidR="00A4309A" w:rsidRPr="00A23B02" w:rsidRDefault="00A4309A" w:rsidP="006C3627">
      <w:pPr>
        <w:rPr>
          <w:rFonts w:ascii="KaiTi" w:eastAsia="KaiTi" w:hAnsi="KaiTi"/>
          <w:noProof/>
          <w:sz w:val="24"/>
          <w:szCs w:val="24"/>
        </w:rPr>
      </w:pPr>
      <w:r w:rsidRPr="00A23B02">
        <w:rPr>
          <w:rFonts w:ascii="KaiTi" w:eastAsia="KaiTi" w:hAnsi="KaiTi" w:hint="eastAsia"/>
          <w:noProof/>
          <w:sz w:val="24"/>
          <w:szCs w:val="32"/>
        </w:rPr>
        <w:t>指定菲律宾知识产权局为PCT国际检索和初步审查单位</w:t>
      </w:r>
    </w:p>
    <w:p w:rsidR="00A4309A" w:rsidRPr="00A23B02" w:rsidRDefault="00A4309A" w:rsidP="006C3627">
      <w:pPr>
        <w:rPr>
          <w:noProof/>
          <w:szCs w:val="22"/>
        </w:rPr>
      </w:pPr>
    </w:p>
    <w:p w:rsidR="00A4309A" w:rsidRPr="00941C46" w:rsidRDefault="00A4309A" w:rsidP="006C3627">
      <w:pPr>
        <w:autoSpaceDE w:val="0"/>
        <w:autoSpaceDN w:val="0"/>
        <w:textAlignment w:val="bottom"/>
        <w:rPr>
          <w:rFonts w:ascii="KaiTi" w:eastAsia="KaiTi" w:hAnsi="KaiTi"/>
          <w:noProof/>
          <w:sz w:val="21"/>
          <w:szCs w:val="24"/>
        </w:rPr>
      </w:pPr>
      <w:r w:rsidRPr="00941C46">
        <w:rPr>
          <w:rFonts w:ascii="KaiTi" w:eastAsia="KaiTi" w:hAnsi="KaiTi" w:hint="eastAsia"/>
          <w:noProof/>
          <w:sz w:val="21"/>
          <w:szCs w:val="24"/>
        </w:rPr>
        <w:t>国际局编拟的文件</w:t>
      </w:r>
    </w:p>
    <w:p w:rsidR="00A4309A" w:rsidRPr="00A23B02" w:rsidRDefault="00A4309A" w:rsidP="006C3627">
      <w:pPr>
        <w:rPr>
          <w:noProof/>
        </w:rPr>
      </w:pPr>
    </w:p>
    <w:p w:rsidR="00A4309A" w:rsidRPr="00A23B02" w:rsidRDefault="00A4309A" w:rsidP="006C3627">
      <w:pPr>
        <w:rPr>
          <w:noProof/>
        </w:rPr>
      </w:pPr>
    </w:p>
    <w:p w:rsidR="00A4309A" w:rsidRPr="00A23B02" w:rsidRDefault="00A4309A" w:rsidP="006C3627">
      <w:pPr>
        <w:rPr>
          <w:noProof/>
        </w:rPr>
      </w:pPr>
    </w:p>
    <w:p w:rsidR="00A4309A" w:rsidRPr="00A23B02" w:rsidRDefault="00A4309A" w:rsidP="006C3627">
      <w:pPr>
        <w:rPr>
          <w:noProof/>
        </w:rPr>
      </w:pPr>
    </w:p>
    <w:p w:rsidR="00A4309A" w:rsidRPr="00941C46" w:rsidRDefault="00A4309A" w:rsidP="006C3627">
      <w:pPr>
        <w:overflowPunct w:val="0"/>
        <w:spacing w:afterLines="50" w:after="120" w:line="340" w:lineRule="atLeast"/>
        <w:rPr>
          <w:rFonts w:ascii="KaiTi" w:eastAsia="KaiTi" w:hAnsi="KaiTi" w:cs="KaiTi"/>
          <w:iCs/>
          <w:noProof/>
          <w:sz w:val="21"/>
        </w:rPr>
      </w:pPr>
      <w:r w:rsidRPr="00941C46">
        <w:rPr>
          <w:rFonts w:ascii="KaiTi" w:eastAsia="KaiTi" w:hAnsi="KaiTi" w:cs="KaiTi" w:hint="eastAsia"/>
          <w:iCs/>
          <w:noProof/>
          <w:sz w:val="21"/>
        </w:rPr>
        <w:t>[该文件替代</w:t>
      </w:r>
      <w:smartTag w:uri="urn:schemas-microsoft-com:office:smarttags" w:element="chsdate">
        <w:smartTagPr>
          <w:attr w:name="IsROCDate" w:val="False"/>
          <w:attr w:name="IsLunarDate" w:val="False"/>
          <w:attr w:name="Day" w:val="16"/>
          <w:attr w:name="Month" w:val="3"/>
          <w:attr w:name="Year" w:val="2017"/>
        </w:smartTagPr>
        <w:r w:rsidRPr="00941C46">
          <w:rPr>
            <w:rFonts w:ascii="KaiTi" w:eastAsia="KaiTi" w:hAnsi="KaiTi" w:cs="KaiTi" w:hint="eastAsia"/>
            <w:iCs/>
            <w:noProof/>
            <w:sz w:val="21"/>
          </w:rPr>
          <w:t>2017年3月16日</w:t>
        </w:r>
      </w:smartTag>
      <w:r w:rsidRPr="00941C46">
        <w:rPr>
          <w:rFonts w:ascii="KaiTi" w:eastAsia="KaiTi" w:hAnsi="KaiTi" w:cs="KaiTi" w:hint="eastAsia"/>
          <w:iCs/>
          <w:noProof/>
          <w:sz w:val="21"/>
        </w:rPr>
        <w:t>公布的版本，后者附件附录三中的报告并非最终版本。这仅影响英文版本。]</w:t>
      </w:r>
    </w:p>
    <w:p w:rsidR="00A4309A" w:rsidRPr="00A23B02" w:rsidRDefault="00A4309A" w:rsidP="006C3627">
      <w:pPr>
        <w:rPr>
          <w:rFonts w:ascii="SimSun" w:hAnsi="SimSun"/>
          <w:noProof/>
          <w:szCs w:val="22"/>
        </w:rPr>
      </w:pPr>
    </w:p>
    <w:p w:rsidR="00A4309A" w:rsidRPr="000C415A" w:rsidRDefault="00A4309A" w:rsidP="00A4309A">
      <w:pPr>
        <w:pStyle w:val="10"/>
        <w:numPr>
          <w:ilvl w:val="0"/>
          <w:numId w:val="26"/>
        </w:numPr>
        <w:overflowPunct w:val="0"/>
        <w:spacing w:afterLines="50" w:after="120" w:line="340" w:lineRule="atLeast"/>
        <w:ind w:left="0" w:firstLine="0"/>
        <w:jc w:val="both"/>
        <w:rPr>
          <w:rFonts w:ascii="SimSun" w:hAnsi="SimSun" w:cs="SimSun"/>
          <w:noProof/>
          <w:sz w:val="21"/>
          <w:szCs w:val="21"/>
          <w:lang w:eastAsia="zh-CN"/>
        </w:rPr>
      </w:pPr>
      <w:smartTag w:uri="urn:schemas-microsoft-com:office:smarttags" w:element="chsdate">
        <w:smartTagPr>
          <w:attr w:name="IsROCDate" w:val="False"/>
          <w:attr w:name="IsLunarDate" w:val="False"/>
          <w:attr w:name="Day" w:val="2"/>
          <w:attr w:name="Month" w:val="9"/>
          <w:attr w:name="Year" w:val="2016"/>
        </w:smartTagPr>
        <w:r>
          <w:rPr>
            <w:rFonts w:ascii="SimSun" w:hAnsi="SimSun" w:cs="SimSun" w:hint="eastAsia"/>
            <w:noProof/>
            <w:sz w:val="21"/>
            <w:szCs w:val="21"/>
            <w:lang w:eastAsia="zh-CN"/>
          </w:rPr>
          <w:t>2016年9月2日</w:t>
        </w:r>
      </w:smartTag>
      <w:r>
        <w:rPr>
          <w:rFonts w:ascii="SimSun" w:hAnsi="SimSun" w:cs="SimSun" w:hint="eastAsia"/>
          <w:noProof/>
          <w:sz w:val="21"/>
          <w:szCs w:val="21"/>
          <w:lang w:eastAsia="zh-CN"/>
        </w:rPr>
        <w:t>，根据</w:t>
      </w:r>
      <w:r w:rsidRPr="00890010">
        <w:rPr>
          <w:rFonts w:ascii="SimSun" w:hAnsi="SimSun" w:hint="eastAsia"/>
          <w:noProof/>
          <w:sz w:val="21"/>
          <w:szCs w:val="21"/>
          <w:lang w:eastAsia="zh-CN"/>
        </w:rPr>
        <w:t>PCT大会第四十六届会议通过的谅解</w:t>
      </w:r>
      <w:r>
        <w:rPr>
          <w:rFonts w:ascii="SimSun" w:hAnsi="SimSun" w:hint="eastAsia"/>
          <w:noProof/>
          <w:sz w:val="21"/>
          <w:szCs w:val="21"/>
          <w:lang w:eastAsia="zh-CN"/>
        </w:rPr>
        <w:t>所确定的程序(c)段，菲律宾知识产权局（</w:t>
      </w:r>
      <w:r w:rsidRPr="00A23B02">
        <w:rPr>
          <w:rFonts w:ascii="SimSun" w:hAnsi="SimSun" w:hint="eastAsia"/>
          <w:noProof/>
          <w:sz w:val="21"/>
          <w:szCs w:val="21"/>
          <w:lang w:eastAsia="zh-CN"/>
        </w:rPr>
        <w:t>IPOPHL</w:t>
      </w:r>
      <w:r>
        <w:rPr>
          <w:rFonts w:ascii="SimSun" w:hAnsi="SimSun" w:hint="eastAsia"/>
          <w:noProof/>
          <w:sz w:val="21"/>
          <w:szCs w:val="21"/>
          <w:lang w:eastAsia="zh-CN"/>
        </w:rPr>
        <w:t>）表示其希望在2017年被</w:t>
      </w:r>
      <w:r w:rsidRPr="00A23B02">
        <w:rPr>
          <w:rFonts w:ascii="SimSun" w:hAnsi="SimSun" w:hint="eastAsia"/>
          <w:noProof/>
          <w:sz w:val="21"/>
          <w:szCs w:val="21"/>
          <w:lang w:eastAsia="zh-CN"/>
        </w:rPr>
        <w:t>PCT</w:t>
      </w:r>
      <w:r>
        <w:rPr>
          <w:rFonts w:ascii="SimSun" w:hAnsi="SimSun" w:hint="eastAsia"/>
          <w:noProof/>
          <w:sz w:val="21"/>
          <w:szCs w:val="21"/>
          <w:lang w:eastAsia="zh-CN"/>
        </w:rPr>
        <w:t>大会指定为PCT国际检索和初步审查单位，并为此召开</w:t>
      </w:r>
      <w:r w:rsidRPr="00A23B02">
        <w:rPr>
          <w:rFonts w:ascii="SimSun" w:hAnsi="SimSun" w:hint="eastAsia"/>
          <w:noProof/>
          <w:sz w:val="21"/>
          <w:szCs w:val="21"/>
          <w:lang w:eastAsia="zh-CN"/>
        </w:rPr>
        <w:t>PCT/CTC会议</w:t>
      </w:r>
      <w:r w:rsidRPr="00C12ADD">
        <w:rPr>
          <w:rFonts w:ascii="SimSun" w:hAnsi="SimSun" w:cs="SimSun" w:hint="eastAsia"/>
          <w:noProof/>
          <w:sz w:val="21"/>
          <w:szCs w:val="21"/>
          <w:lang w:eastAsia="zh-CN"/>
        </w:rPr>
        <w:t>。</w:t>
      </w:r>
      <w:smartTag w:uri="urn:schemas-microsoft-com:office:smarttags" w:element="chsdate">
        <w:smartTagPr>
          <w:attr w:name="IsROCDate" w:val="False"/>
          <w:attr w:name="IsLunarDate" w:val="False"/>
          <w:attr w:name="Day" w:val="8"/>
          <w:attr w:name="Month" w:val="3"/>
          <w:attr w:name="Year" w:val="2017"/>
        </w:smartTagPr>
        <w:r>
          <w:rPr>
            <w:rFonts w:ascii="SimSun" w:hAnsi="SimSun" w:cs="SimSun" w:hint="eastAsia"/>
            <w:noProof/>
            <w:sz w:val="21"/>
            <w:szCs w:val="21"/>
            <w:lang w:eastAsia="zh-CN"/>
          </w:rPr>
          <w:t>2017年3月8日</w:t>
        </w:r>
      </w:smartTag>
      <w:r>
        <w:rPr>
          <w:rFonts w:ascii="SimSun" w:hAnsi="SimSun" w:cs="SimSun" w:hint="eastAsia"/>
          <w:noProof/>
          <w:sz w:val="21"/>
          <w:szCs w:val="21"/>
          <w:lang w:eastAsia="zh-CN"/>
        </w:rPr>
        <w:t>，根据所述程序(e)段，</w:t>
      </w:r>
      <w:r w:rsidRPr="00A23B02">
        <w:rPr>
          <w:rFonts w:ascii="SimSun" w:hAnsi="SimSun" w:hint="eastAsia"/>
          <w:noProof/>
          <w:sz w:val="21"/>
          <w:szCs w:val="21"/>
          <w:lang w:eastAsia="zh-CN"/>
        </w:rPr>
        <w:t>IPOPHL</w:t>
      </w:r>
      <w:r>
        <w:rPr>
          <w:rFonts w:ascii="SimSun" w:hAnsi="SimSun" w:hint="eastAsia"/>
          <w:noProof/>
          <w:sz w:val="21"/>
          <w:szCs w:val="21"/>
          <w:lang w:eastAsia="zh-CN"/>
        </w:rPr>
        <w:t>提交了支持其申请的文件，现将其转录于本文件的附件。</w:t>
      </w:r>
    </w:p>
    <w:p w:rsidR="00A4309A" w:rsidRPr="00C12ADD" w:rsidRDefault="00A4309A" w:rsidP="00A4309A">
      <w:pPr>
        <w:pStyle w:val="10"/>
        <w:numPr>
          <w:ilvl w:val="0"/>
          <w:numId w:val="26"/>
        </w:numPr>
        <w:overflowPunct w:val="0"/>
        <w:spacing w:afterLines="50" w:after="120" w:line="340" w:lineRule="atLeast"/>
        <w:ind w:left="0" w:firstLine="0"/>
        <w:jc w:val="both"/>
        <w:rPr>
          <w:rFonts w:ascii="SimSun" w:hAnsi="SimSun" w:cs="SimSun"/>
          <w:noProof/>
          <w:sz w:val="21"/>
          <w:szCs w:val="21"/>
          <w:lang w:eastAsia="zh-CN"/>
        </w:rPr>
      </w:pPr>
      <w:r>
        <w:rPr>
          <w:rFonts w:ascii="SimSun" w:hAnsi="SimSun" w:cs="SimSun" w:hint="eastAsia"/>
          <w:noProof/>
          <w:sz w:val="21"/>
          <w:szCs w:val="21"/>
          <w:lang w:eastAsia="zh-CN"/>
        </w:rPr>
        <w:t>2017年10月，</w:t>
      </w:r>
      <w:r w:rsidRPr="00A23B02">
        <w:rPr>
          <w:rFonts w:ascii="SimSun" w:hAnsi="SimSun" w:hint="eastAsia"/>
          <w:noProof/>
          <w:sz w:val="21"/>
          <w:szCs w:val="21"/>
          <w:lang w:eastAsia="zh-CN"/>
        </w:rPr>
        <w:t>PCT</w:t>
      </w:r>
      <w:r>
        <w:rPr>
          <w:rFonts w:ascii="SimSun" w:hAnsi="SimSun" w:cs="SimSun" w:hint="eastAsia"/>
          <w:noProof/>
          <w:sz w:val="21"/>
          <w:szCs w:val="21"/>
          <w:lang w:eastAsia="zh-CN"/>
        </w:rPr>
        <w:t>大会将被要求在</w:t>
      </w:r>
      <w:r w:rsidRPr="00890010">
        <w:rPr>
          <w:rFonts w:ascii="SimSun" w:hAnsi="SimSun" w:hint="eastAsia"/>
          <w:noProof/>
          <w:sz w:val="21"/>
          <w:szCs w:val="21"/>
          <w:lang w:eastAsia="zh-CN"/>
        </w:rPr>
        <w:t>征求</w:t>
      </w:r>
      <w:r>
        <w:rPr>
          <w:rFonts w:ascii="SimSun" w:hAnsi="SimSun" w:hint="eastAsia"/>
          <w:noProof/>
          <w:sz w:val="21"/>
          <w:szCs w:val="21"/>
          <w:lang w:eastAsia="zh-CN"/>
        </w:rPr>
        <w:t>本</w:t>
      </w:r>
      <w:r w:rsidRPr="00890010">
        <w:rPr>
          <w:rFonts w:ascii="SimSun" w:hAnsi="SimSun" w:hint="eastAsia"/>
          <w:noProof/>
          <w:sz w:val="21"/>
          <w:szCs w:val="21"/>
          <w:lang w:eastAsia="zh-CN"/>
        </w:rPr>
        <w:t>委员会的意见</w:t>
      </w:r>
      <w:r>
        <w:rPr>
          <w:rFonts w:ascii="SimSun" w:hAnsi="SimSun" w:hint="eastAsia"/>
          <w:noProof/>
          <w:sz w:val="21"/>
          <w:szCs w:val="21"/>
          <w:lang w:eastAsia="zh-CN"/>
        </w:rPr>
        <w:t>后，</w:t>
      </w:r>
      <w:r>
        <w:rPr>
          <w:rFonts w:ascii="SimSun" w:hAnsi="SimSun" w:cs="SimSun" w:hint="eastAsia"/>
          <w:noProof/>
          <w:sz w:val="21"/>
          <w:szCs w:val="21"/>
          <w:lang w:eastAsia="zh-CN"/>
        </w:rPr>
        <w:t>就该指定作出决定（参见</w:t>
      </w:r>
      <w:r w:rsidRPr="00A23B02">
        <w:rPr>
          <w:rFonts w:ascii="SimSun" w:hAnsi="SimSun" w:hint="eastAsia"/>
          <w:noProof/>
          <w:sz w:val="21"/>
          <w:szCs w:val="21"/>
          <w:lang w:eastAsia="zh-CN"/>
        </w:rPr>
        <w:t>PCT</w:t>
      </w:r>
      <w:r>
        <w:rPr>
          <w:rFonts w:ascii="SimSun" w:hAnsi="SimSun" w:cs="SimSun" w:hint="eastAsia"/>
          <w:noProof/>
          <w:sz w:val="21"/>
          <w:szCs w:val="21"/>
          <w:lang w:eastAsia="zh-CN"/>
        </w:rPr>
        <w:t>第16条第(3)款(e)项</w:t>
      </w:r>
      <w:r w:rsidRPr="00890010">
        <w:rPr>
          <w:rFonts w:ascii="SimSun" w:hAnsi="SimSun" w:hint="eastAsia"/>
          <w:noProof/>
          <w:sz w:val="21"/>
          <w:szCs w:val="21"/>
          <w:lang w:eastAsia="zh-CN"/>
        </w:rPr>
        <w:t>及第32条第</w:t>
      </w:r>
      <w:r>
        <w:rPr>
          <w:rFonts w:ascii="SimSun" w:hAnsi="SimSun" w:hint="eastAsia"/>
          <w:noProof/>
          <w:sz w:val="21"/>
          <w:szCs w:val="21"/>
          <w:lang w:eastAsia="zh-CN"/>
        </w:rPr>
        <w:t>(3)</w:t>
      </w:r>
      <w:r w:rsidRPr="00890010">
        <w:rPr>
          <w:rFonts w:ascii="SimSun" w:hAnsi="SimSun" w:hint="eastAsia"/>
          <w:noProof/>
          <w:sz w:val="21"/>
          <w:szCs w:val="21"/>
          <w:lang w:eastAsia="zh-CN"/>
        </w:rPr>
        <w:t>款</w:t>
      </w:r>
      <w:r>
        <w:rPr>
          <w:rFonts w:ascii="SimSun" w:hAnsi="SimSun" w:cs="SimSun" w:hint="eastAsia"/>
          <w:noProof/>
          <w:sz w:val="21"/>
          <w:szCs w:val="21"/>
          <w:lang w:eastAsia="zh-CN"/>
        </w:rPr>
        <w:t>）。关于该程序的信息和</w:t>
      </w:r>
      <w:r>
        <w:rPr>
          <w:rFonts w:ascii="SimSun" w:hAnsi="SimSun" w:hint="eastAsia"/>
          <w:noProof/>
          <w:sz w:val="21"/>
          <w:szCs w:val="21"/>
          <w:lang w:eastAsia="zh-CN"/>
        </w:rPr>
        <w:t>本</w:t>
      </w:r>
      <w:r w:rsidRPr="00890010">
        <w:rPr>
          <w:rFonts w:ascii="SimSun" w:hAnsi="SimSun" w:hint="eastAsia"/>
          <w:noProof/>
          <w:sz w:val="21"/>
          <w:szCs w:val="21"/>
          <w:lang w:eastAsia="zh-CN"/>
        </w:rPr>
        <w:t>委员会的</w:t>
      </w:r>
      <w:r>
        <w:rPr>
          <w:rFonts w:ascii="SimSun" w:hAnsi="SimSun" w:hint="eastAsia"/>
          <w:noProof/>
          <w:sz w:val="21"/>
          <w:szCs w:val="21"/>
          <w:lang w:eastAsia="zh-CN"/>
        </w:rPr>
        <w:t>作用，见文件</w:t>
      </w:r>
      <w:r w:rsidRPr="00A23B02">
        <w:rPr>
          <w:rFonts w:ascii="SimSun" w:hAnsi="SimSun" w:hint="eastAsia"/>
          <w:noProof/>
          <w:sz w:val="21"/>
          <w:szCs w:val="21"/>
          <w:lang w:eastAsia="zh-CN"/>
        </w:rPr>
        <w:t>PCT/CTC/30/INF/1</w:t>
      </w:r>
      <w:r>
        <w:rPr>
          <w:rFonts w:ascii="SimSun" w:hAnsi="SimSun" w:hint="eastAsia"/>
          <w:noProof/>
          <w:sz w:val="21"/>
          <w:szCs w:val="21"/>
          <w:lang w:eastAsia="zh-CN"/>
        </w:rPr>
        <w:t>。</w:t>
      </w:r>
    </w:p>
    <w:p w:rsidR="00A4309A" w:rsidRPr="00C31E0F" w:rsidRDefault="00A4309A" w:rsidP="00A4309A">
      <w:pPr>
        <w:pStyle w:val="10"/>
        <w:numPr>
          <w:ilvl w:val="0"/>
          <w:numId w:val="26"/>
        </w:numPr>
        <w:overflowPunct w:val="0"/>
        <w:spacing w:afterLines="50" w:after="120" w:line="340" w:lineRule="atLeast"/>
        <w:ind w:left="5534" w:firstLine="0"/>
        <w:jc w:val="both"/>
        <w:rPr>
          <w:rFonts w:ascii="KaiTi" w:eastAsia="KaiTi" w:hAnsi="KaiTi"/>
          <w:iCs/>
          <w:noProof/>
          <w:sz w:val="21"/>
          <w:szCs w:val="21"/>
          <w:lang w:eastAsia="zh-CN"/>
        </w:rPr>
      </w:pPr>
      <w:r w:rsidRPr="00C31E0F">
        <w:rPr>
          <w:rFonts w:ascii="KaiTi" w:eastAsia="KaiTi" w:hAnsi="KaiTi" w:cs="KaiTi" w:hint="eastAsia"/>
          <w:iCs/>
          <w:noProof/>
          <w:sz w:val="21"/>
          <w:szCs w:val="21"/>
          <w:lang w:eastAsia="zh-CN"/>
        </w:rPr>
        <w:t>请委员会就此事项提出意见。</w:t>
      </w:r>
    </w:p>
    <w:p w:rsidR="00A4309A" w:rsidRPr="00C31E0F" w:rsidRDefault="00A4309A" w:rsidP="006C3627">
      <w:pPr>
        <w:pStyle w:val="10"/>
        <w:overflowPunct w:val="0"/>
        <w:spacing w:afterLines="50" w:after="120" w:line="340" w:lineRule="atLeast"/>
        <w:ind w:left="5534"/>
        <w:jc w:val="both"/>
        <w:rPr>
          <w:rFonts w:ascii="KaiTi" w:eastAsia="KaiTi" w:hAnsi="KaiTi"/>
          <w:iCs/>
          <w:noProof/>
          <w:sz w:val="21"/>
          <w:szCs w:val="21"/>
          <w:lang w:eastAsia="zh-CN"/>
        </w:rPr>
      </w:pPr>
    </w:p>
    <w:p w:rsidR="00A4309A" w:rsidRPr="00941C46" w:rsidRDefault="00A4309A" w:rsidP="006C3627">
      <w:pPr>
        <w:overflowPunct w:val="0"/>
        <w:spacing w:afterLines="50" w:after="120" w:line="340" w:lineRule="atLeast"/>
        <w:ind w:left="5534"/>
        <w:rPr>
          <w:rFonts w:ascii="KaiTi" w:eastAsia="KaiTi" w:hAnsi="KaiTi" w:cs="KaiTi"/>
          <w:noProof/>
          <w:sz w:val="21"/>
        </w:rPr>
      </w:pPr>
      <w:r w:rsidRPr="00941C46">
        <w:rPr>
          <w:rFonts w:ascii="KaiTi" w:eastAsia="KaiTi" w:hAnsi="KaiTi" w:cs="KaiTi" w:hint="eastAsia"/>
          <w:noProof/>
          <w:sz w:val="21"/>
        </w:rPr>
        <w:t>[后接附件]</w:t>
      </w:r>
    </w:p>
    <w:p w:rsidR="00A4309A" w:rsidRPr="00941C46" w:rsidRDefault="00A4309A" w:rsidP="00941C46">
      <w:pPr>
        <w:ind w:firstLineChars="3000" w:firstLine="6300"/>
        <w:rPr>
          <w:rFonts w:ascii="SimSun" w:hAnsi="SimSun" w:cs="SimSun"/>
          <w:noProof/>
          <w:sz w:val="21"/>
        </w:rPr>
      </w:pPr>
    </w:p>
    <w:p w:rsidR="00A4309A" w:rsidRPr="00941C46" w:rsidRDefault="00A4309A" w:rsidP="006C3627">
      <w:pPr>
        <w:rPr>
          <w:rFonts w:ascii="SimSun" w:hAnsi="SimSun" w:cs="SimSun"/>
          <w:noProof/>
          <w:sz w:val="21"/>
        </w:rPr>
        <w:sectPr w:rsidR="00A4309A" w:rsidRPr="00941C46" w:rsidSect="006C3627">
          <w:headerReference w:type="first" r:id="rId13"/>
          <w:endnotePr>
            <w:numFmt w:val="decimal"/>
          </w:endnotePr>
          <w:pgSz w:w="11907" w:h="16840" w:code="9"/>
          <w:pgMar w:top="567" w:right="1134" w:bottom="1418" w:left="1418" w:header="510" w:footer="1021" w:gutter="0"/>
          <w:cols w:space="720"/>
          <w:titlePg/>
          <w:docGrid w:linePitch="299"/>
        </w:sectPr>
      </w:pPr>
    </w:p>
    <w:p w:rsidR="00A4309A" w:rsidRPr="00591F17" w:rsidRDefault="00A4309A" w:rsidP="006C3627">
      <w:pPr>
        <w:pStyle w:val="ONUME"/>
        <w:numPr>
          <w:ilvl w:val="0"/>
          <w:numId w:val="0"/>
        </w:numPr>
        <w:spacing w:beforeLines="100" w:before="240" w:afterLines="200" w:after="480" w:line="340" w:lineRule="atLeast"/>
        <w:jc w:val="center"/>
        <w:rPr>
          <w:rFonts w:ascii="SimHei" w:eastAsia="SimHei" w:hAnsi="SimHei"/>
          <w:noProof/>
          <w:sz w:val="21"/>
          <w:szCs w:val="21"/>
        </w:rPr>
      </w:pPr>
      <w:r w:rsidRPr="00591F17">
        <w:rPr>
          <w:rFonts w:ascii="SimHei" w:eastAsia="SimHei" w:hAnsi="SimHei" w:cs="SimSun" w:hint="eastAsia"/>
          <w:noProof/>
          <w:sz w:val="21"/>
          <w:szCs w:val="21"/>
        </w:rPr>
        <w:lastRenderedPageBreak/>
        <w:t>指定菲律宾知识产权局为</w:t>
      </w:r>
      <w:r w:rsidRPr="00591F17">
        <w:rPr>
          <w:rFonts w:ascii="SimHei" w:eastAsia="SimHei" w:hAnsi="SimHei" w:hint="eastAsia"/>
          <w:noProof/>
          <w:sz w:val="21"/>
          <w:szCs w:val="21"/>
        </w:rPr>
        <w:t>PCT</w:t>
      </w:r>
      <w:r w:rsidRPr="00591F17">
        <w:rPr>
          <w:rFonts w:ascii="SimHei" w:eastAsia="SimHei" w:hAnsi="SimHei" w:cs="SimSun" w:hint="eastAsia"/>
          <w:noProof/>
          <w:sz w:val="21"/>
          <w:szCs w:val="21"/>
        </w:rPr>
        <w:t>国际检索和初步审查单位的申请</w:t>
      </w:r>
    </w:p>
    <w:p w:rsidR="00A4309A" w:rsidRPr="00C12ADD" w:rsidRDefault="00A4309A" w:rsidP="006C3627">
      <w:pPr>
        <w:pStyle w:val="ONUME"/>
        <w:numPr>
          <w:ilvl w:val="0"/>
          <w:numId w:val="0"/>
        </w:numPr>
        <w:overflowPunct w:val="0"/>
        <w:spacing w:afterLines="50" w:after="120" w:line="340" w:lineRule="atLeast"/>
        <w:ind w:firstLine="567"/>
        <w:jc w:val="both"/>
        <w:rPr>
          <w:rFonts w:ascii="SimSun" w:eastAsia="Times New Roman" w:hAnsi="SimSun"/>
          <w:noProof/>
          <w:sz w:val="21"/>
          <w:szCs w:val="21"/>
        </w:rPr>
      </w:pPr>
      <w:r>
        <w:rPr>
          <w:rFonts w:ascii="SimSun" w:hAnsi="SimSun" w:hint="eastAsia"/>
          <w:noProof/>
          <w:sz w:val="21"/>
          <w:szCs w:val="21"/>
        </w:rPr>
        <w:t>菲律宾知识产权局（</w:t>
      </w:r>
      <w:r w:rsidRPr="00A23B02">
        <w:rPr>
          <w:rFonts w:ascii="SimSun" w:hAnsi="SimSun" w:hint="eastAsia"/>
          <w:noProof/>
          <w:sz w:val="21"/>
          <w:szCs w:val="21"/>
        </w:rPr>
        <w:t>IPOPHL</w:t>
      </w:r>
      <w:r>
        <w:rPr>
          <w:rFonts w:ascii="SimSun" w:hAnsi="SimSun" w:hint="eastAsia"/>
          <w:noProof/>
          <w:sz w:val="21"/>
          <w:szCs w:val="21"/>
        </w:rPr>
        <w:t>）</w:t>
      </w:r>
      <w:r w:rsidRPr="00C12ADD">
        <w:rPr>
          <w:rFonts w:ascii="SimSun" w:hAnsi="SimSun" w:cs="SimSun" w:hint="eastAsia"/>
          <w:noProof/>
          <w:sz w:val="21"/>
          <w:szCs w:val="21"/>
        </w:rPr>
        <w:t>申请</w:t>
      </w:r>
      <w:r>
        <w:rPr>
          <w:rFonts w:ascii="SimSun" w:hAnsi="SimSun" w:cs="SimSun" w:hint="eastAsia"/>
          <w:noProof/>
          <w:sz w:val="21"/>
          <w:szCs w:val="21"/>
        </w:rPr>
        <w:t>被</w:t>
      </w:r>
      <w:r w:rsidRPr="00C12ADD">
        <w:rPr>
          <w:rFonts w:ascii="SimSun" w:hAnsi="SimSun" w:cs="SimSun" w:hint="eastAsia"/>
          <w:noProof/>
          <w:sz w:val="21"/>
          <w:szCs w:val="21"/>
        </w:rPr>
        <w:t>指定为</w:t>
      </w:r>
      <w:r w:rsidRPr="00C12ADD">
        <w:rPr>
          <w:rFonts w:ascii="SimSun" w:eastAsia="Times New Roman" w:hAnsi="SimSun" w:hint="eastAsia"/>
          <w:noProof/>
          <w:sz w:val="21"/>
          <w:szCs w:val="21"/>
        </w:rPr>
        <w:t>PCT</w:t>
      </w:r>
      <w:r w:rsidRPr="00C12ADD">
        <w:rPr>
          <w:rFonts w:ascii="SimSun" w:hAnsi="SimSun" w:cs="SimSun" w:hint="eastAsia"/>
          <w:noProof/>
          <w:sz w:val="21"/>
          <w:szCs w:val="21"/>
        </w:rPr>
        <w:t>国际检索和初步审查单位</w:t>
      </w:r>
      <w:r>
        <w:rPr>
          <w:rFonts w:ascii="SimSun" w:hAnsi="SimSun" w:cs="SimSun" w:hint="eastAsia"/>
          <w:noProof/>
          <w:sz w:val="21"/>
          <w:szCs w:val="21"/>
        </w:rPr>
        <w:t>（“国际单位”）</w:t>
      </w:r>
      <w:r w:rsidRPr="00C12ADD">
        <w:rPr>
          <w:rFonts w:ascii="SimSun" w:hAnsi="SimSun" w:cs="SimSun" w:hint="eastAsia"/>
          <w:noProof/>
          <w:sz w:val="21"/>
          <w:szCs w:val="21"/>
        </w:rPr>
        <w:t>。如果</w:t>
      </w:r>
      <w:r>
        <w:rPr>
          <w:rFonts w:ascii="SimSun" w:hAnsi="SimSun" w:cs="SimSun" w:hint="eastAsia"/>
          <w:noProof/>
          <w:sz w:val="21"/>
          <w:szCs w:val="21"/>
        </w:rPr>
        <w:t>在</w:t>
      </w:r>
      <w:r w:rsidRPr="00C12ADD">
        <w:rPr>
          <w:rFonts w:ascii="SimSun" w:hAnsi="SimSun" w:cs="SimSun" w:hint="eastAsia"/>
          <w:noProof/>
          <w:sz w:val="21"/>
          <w:szCs w:val="21"/>
        </w:rPr>
        <w:t>国际专利合作联盟大会第四十</w:t>
      </w:r>
      <w:r>
        <w:rPr>
          <w:rFonts w:ascii="SimSun" w:hAnsi="SimSun" w:cs="SimSun" w:hint="eastAsia"/>
          <w:noProof/>
          <w:sz w:val="21"/>
          <w:szCs w:val="21"/>
        </w:rPr>
        <w:t>九</w:t>
      </w:r>
      <w:r w:rsidRPr="00C12ADD">
        <w:rPr>
          <w:rFonts w:ascii="SimSun" w:hAnsi="SimSun" w:cs="SimSun" w:hint="eastAsia"/>
          <w:noProof/>
          <w:sz w:val="21"/>
          <w:szCs w:val="21"/>
        </w:rPr>
        <w:t>届会议获得指定，</w:t>
      </w:r>
      <w:r w:rsidRPr="00A23B02">
        <w:rPr>
          <w:rFonts w:ascii="SimSun" w:hAnsi="SimSun" w:hint="eastAsia"/>
          <w:noProof/>
          <w:sz w:val="21"/>
          <w:szCs w:val="21"/>
        </w:rPr>
        <w:t>IPOPHL</w:t>
      </w:r>
      <w:r w:rsidRPr="00C12ADD">
        <w:rPr>
          <w:rFonts w:ascii="SimSun" w:hAnsi="SimSun" w:cs="SimSun" w:hint="eastAsia"/>
          <w:noProof/>
          <w:sz w:val="21"/>
          <w:szCs w:val="21"/>
        </w:rPr>
        <w:t>拟于</w:t>
      </w:r>
      <w:r w:rsidRPr="00A23B02">
        <w:rPr>
          <w:rFonts w:ascii="SimSun" w:hAnsi="SimSun" w:hint="eastAsia"/>
          <w:noProof/>
          <w:sz w:val="21"/>
          <w:szCs w:val="21"/>
        </w:rPr>
        <w:t>2018年10</w:t>
      </w:r>
      <w:r w:rsidRPr="00C12ADD">
        <w:rPr>
          <w:rFonts w:ascii="SimSun" w:hAnsi="SimSun" w:cs="SimSun" w:hint="eastAsia"/>
          <w:noProof/>
          <w:sz w:val="21"/>
          <w:szCs w:val="21"/>
        </w:rPr>
        <w:t>月开始作为国际单位履职。</w:t>
      </w:r>
    </w:p>
    <w:p w:rsidR="00A4309A" w:rsidRPr="00C12ADD" w:rsidRDefault="00A4309A" w:rsidP="006C3627">
      <w:pPr>
        <w:pStyle w:val="ONUME"/>
        <w:numPr>
          <w:ilvl w:val="0"/>
          <w:numId w:val="0"/>
        </w:numPr>
        <w:overflowPunct w:val="0"/>
        <w:spacing w:afterLines="50" w:after="120" w:line="340" w:lineRule="atLeast"/>
        <w:ind w:firstLine="567"/>
        <w:jc w:val="both"/>
        <w:rPr>
          <w:rFonts w:ascii="SimSun" w:eastAsia="Times New Roman" w:hAnsi="SimSun"/>
          <w:noProof/>
          <w:sz w:val="21"/>
          <w:szCs w:val="21"/>
        </w:rPr>
      </w:pPr>
      <w:r w:rsidRPr="00A23B02">
        <w:rPr>
          <w:rFonts w:ascii="SimSun" w:hAnsi="SimSun" w:hint="eastAsia"/>
          <w:noProof/>
          <w:sz w:val="21"/>
          <w:szCs w:val="21"/>
        </w:rPr>
        <w:t>IPOPHL</w:t>
      </w:r>
      <w:r w:rsidRPr="00C12ADD">
        <w:rPr>
          <w:rFonts w:ascii="SimSun" w:hAnsi="SimSun" w:cs="SimSun" w:hint="eastAsia"/>
          <w:noProof/>
          <w:sz w:val="21"/>
          <w:szCs w:val="21"/>
        </w:rPr>
        <w:t>达到了被指定为国际单位的最低要求。</w:t>
      </w:r>
      <w:r>
        <w:rPr>
          <w:rFonts w:ascii="SimSun" w:hAnsi="SimSun" w:cs="SimSun" w:hint="eastAsia"/>
          <w:noProof/>
          <w:sz w:val="21"/>
          <w:szCs w:val="21"/>
        </w:rPr>
        <w:t>日本</w:t>
      </w:r>
      <w:r w:rsidRPr="00A23B02">
        <w:rPr>
          <w:rFonts w:ascii="SimSun" w:hAnsi="SimSun" w:cs="SimSun" w:hint="eastAsia"/>
          <w:noProof/>
          <w:sz w:val="21"/>
        </w:rPr>
        <w:t>特许厅（</w:t>
      </w:r>
      <w:r w:rsidRPr="00A23B02">
        <w:rPr>
          <w:rFonts w:ascii="SimSun" w:hAnsi="SimSun" w:hint="eastAsia"/>
          <w:noProof/>
          <w:sz w:val="21"/>
          <w:szCs w:val="21"/>
        </w:rPr>
        <w:t>JPO</w:t>
      </w:r>
      <w:r>
        <w:rPr>
          <w:rFonts w:ascii="SimSun" w:hAnsi="SimSun" w:hint="eastAsia"/>
          <w:noProof/>
          <w:sz w:val="21"/>
          <w:szCs w:val="21"/>
        </w:rPr>
        <w:t>）</w:t>
      </w:r>
      <w:r w:rsidRPr="00C12ADD">
        <w:rPr>
          <w:rFonts w:ascii="SimSun" w:hAnsi="SimSun" w:cs="SimSun" w:hint="eastAsia"/>
          <w:noProof/>
          <w:sz w:val="21"/>
          <w:szCs w:val="21"/>
        </w:rPr>
        <w:t>和</w:t>
      </w:r>
      <w:r>
        <w:rPr>
          <w:rFonts w:ascii="SimSun" w:hAnsi="SimSun" w:cs="SimSun" w:hint="eastAsia"/>
          <w:noProof/>
          <w:sz w:val="21"/>
          <w:szCs w:val="21"/>
        </w:rPr>
        <w:t>澳大利亚知识产权局</w:t>
      </w:r>
      <w:r w:rsidRPr="00C12ADD">
        <w:rPr>
          <w:rFonts w:ascii="SimSun" w:hAnsi="SimSun" w:cs="SimSun" w:hint="eastAsia"/>
          <w:noProof/>
          <w:sz w:val="21"/>
          <w:szCs w:val="21"/>
        </w:rPr>
        <w:t>评估了</w:t>
      </w:r>
      <w:r w:rsidRPr="00A23B02">
        <w:rPr>
          <w:rFonts w:ascii="SimSun" w:hAnsi="SimSun" w:hint="eastAsia"/>
          <w:noProof/>
          <w:sz w:val="21"/>
          <w:szCs w:val="21"/>
        </w:rPr>
        <w:t>IPOPHL</w:t>
      </w:r>
      <w:r w:rsidRPr="00C12ADD">
        <w:rPr>
          <w:rFonts w:ascii="SimSun" w:hAnsi="SimSun" w:cs="SimSun" w:hint="eastAsia"/>
          <w:noProof/>
          <w:sz w:val="21"/>
          <w:szCs w:val="21"/>
        </w:rPr>
        <w:t>满足</w:t>
      </w:r>
      <w:r>
        <w:rPr>
          <w:rFonts w:ascii="SimSun" w:hAnsi="SimSun" w:cs="SimSun" w:hint="eastAsia"/>
          <w:noProof/>
          <w:sz w:val="21"/>
          <w:szCs w:val="21"/>
        </w:rPr>
        <w:t>被</w:t>
      </w:r>
      <w:r w:rsidRPr="00C12ADD">
        <w:rPr>
          <w:rFonts w:ascii="SimSun" w:hAnsi="SimSun" w:cs="SimSun" w:hint="eastAsia"/>
          <w:noProof/>
          <w:sz w:val="21"/>
          <w:szCs w:val="21"/>
        </w:rPr>
        <w:t>指定</w:t>
      </w:r>
      <w:r>
        <w:rPr>
          <w:rFonts w:ascii="SimSun" w:hAnsi="SimSun" w:cs="SimSun" w:hint="eastAsia"/>
          <w:noProof/>
          <w:sz w:val="21"/>
          <w:szCs w:val="21"/>
        </w:rPr>
        <w:t>为</w:t>
      </w:r>
      <w:r w:rsidRPr="00C12ADD">
        <w:rPr>
          <w:rFonts w:ascii="SimSun" w:hAnsi="SimSun" w:cs="SimSun" w:hint="eastAsia"/>
          <w:noProof/>
          <w:sz w:val="21"/>
          <w:szCs w:val="21"/>
        </w:rPr>
        <w:t>国际单位的</w:t>
      </w:r>
      <w:r>
        <w:rPr>
          <w:rFonts w:ascii="SimSun" w:hAnsi="SimSun" w:cs="SimSun" w:hint="eastAsia"/>
          <w:noProof/>
          <w:sz w:val="21"/>
          <w:szCs w:val="21"/>
        </w:rPr>
        <w:t>最低要求情况，并且都认为</w:t>
      </w:r>
      <w:r w:rsidRPr="00A23B02">
        <w:rPr>
          <w:rFonts w:ascii="SimSun" w:hAnsi="SimSun" w:hint="eastAsia"/>
          <w:noProof/>
          <w:sz w:val="21"/>
          <w:szCs w:val="21"/>
        </w:rPr>
        <w:t>IPOPHL</w:t>
      </w:r>
      <w:r>
        <w:rPr>
          <w:rFonts w:ascii="SimSun" w:hAnsi="SimSun" w:hint="eastAsia"/>
          <w:noProof/>
          <w:sz w:val="21"/>
          <w:szCs w:val="21"/>
        </w:rPr>
        <w:t>将会在大会召开之时满足</w:t>
      </w:r>
      <w:r w:rsidRPr="00A23B02">
        <w:rPr>
          <w:rFonts w:ascii="SimSun" w:hAnsi="SimSun" w:hint="eastAsia"/>
          <w:noProof/>
          <w:sz w:val="21"/>
          <w:szCs w:val="21"/>
        </w:rPr>
        <w:t>PCT实施</w:t>
      </w:r>
      <w:r>
        <w:rPr>
          <w:rFonts w:ascii="SimSun" w:hAnsi="SimSun" w:hint="eastAsia"/>
          <w:noProof/>
          <w:sz w:val="21"/>
          <w:szCs w:val="21"/>
        </w:rPr>
        <w:t>细则第36条和第63条的要求</w:t>
      </w:r>
      <w:r w:rsidRPr="00C12ADD">
        <w:rPr>
          <w:rFonts w:ascii="SimSun" w:hAnsi="SimSun" w:cs="SimSun" w:hint="eastAsia"/>
          <w:noProof/>
          <w:sz w:val="21"/>
          <w:szCs w:val="21"/>
        </w:rPr>
        <w:t>。</w:t>
      </w:r>
    </w:p>
    <w:p w:rsidR="00A4309A" w:rsidRDefault="00A4309A" w:rsidP="006C3627">
      <w:pPr>
        <w:pStyle w:val="ONUME"/>
        <w:numPr>
          <w:ilvl w:val="0"/>
          <w:numId w:val="0"/>
        </w:numPr>
        <w:overflowPunct w:val="0"/>
        <w:spacing w:afterLines="50" w:after="120" w:line="340" w:lineRule="atLeast"/>
        <w:ind w:firstLine="567"/>
        <w:jc w:val="both"/>
        <w:rPr>
          <w:rFonts w:ascii="SimSun" w:eastAsia="Times New Roman" w:hAnsi="SimSun"/>
          <w:noProof/>
          <w:sz w:val="21"/>
          <w:szCs w:val="21"/>
        </w:rPr>
      </w:pPr>
      <w:r>
        <w:rPr>
          <w:rFonts w:ascii="SimSun" w:hAnsi="SimSun" w:cs="SimSun" w:hint="eastAsia"/>
          <w:noProof/>
          <w:sz w:val="21"/>
          <w:szCs w:val="21"/>
        </w:rPr>
        <w:t>请</w:t>
      </w:r>
      <w:r w:rsidRPr="00C12ADD">
        <w:rPr>
          <w:rFonts w:ascii="SimSun" w:hAnsi="SimSun" w:cs="SimSun" w:hint="eastAsia"/>
          <w:noProof/>
          <w:sz w:val="21"/>
          <w:szCs w:val="21"/>
        </w:rPr>
        <w:t>委员会</w:t>
      </w:r>
      <w:r>
        <w:rPr>
          <w:rFonts w:ascii="SimSun" w:hAnsi="SimSun" w:cs="SimSun" w:hint="eastAsia"/>
          <w:noProof/>
          <w:sz w:val="21"/>
          <w:szCs w:val="21"/>
        </w:rPr>
        <w:t>考虑/同意在</w:t>
      </w:r>
      <w:r>
        <w:rPr>
          <w:rFonts w:ascii="SimSun" w:hAnsi="SimSun" w:hint="eastAsia"/>
          <w:noProof/>
          <w:sz w:val="21"/>
          <w:szCs w:val="21"/>
        </w:rPr>
        <w:t>PCT大会</w:t>
      </w:r>
      <w:r>
        <w:rPr>
          <w:rFonts w:ascii="SimSun" w:hAnsi="SimSun" w:cs="SimSun" w:hint="eastAsia"/>
          <w:noProof/>
          <w:sz w:val="21"/>
          <w:szCs w:val="21"/>
        </w:rPr>
        <w:t>上指定</w:t>
      </w:r>
      <w:r w:rsidRPr="00A23B02">
        <w:rPr>
          <w:rFonts w:ascii="SimSun" w:hAnsi="SimSun" w:hint="eastAsia"/>
          <w:noProof/>
          <w:sz w:val="21"/>
          <w:szCs w:val="21"/>
        </w:rPr>
        <w:t>IPOPHL</w:t>
      </w:r>
      <w:r>
        <w:rPr>
          <w:rFonts w:ascii="SimSun" w:hAnsi="SimSun" w:hint="eastAsia"/>
          <w:noProof/>
          <w:sz w:val="21"/>
          <w:szCs w:val="21"/>
        </w:rPr>
        <w:t>为</w:t>
      </w:r>
      <w:r w:rsidRPr="00C12ADD">
        <w:rPr>
          <w:rFonts w:ascii="SimSun" w:hAnsi="SimSun" w:cs="SimSun" w:hint="eastAsia"/>
          <w:noProof/>
          <w:sz w:val="21"/>
          <w:szCs w:val="21"/>
        </w:rPr>
        <w:t>国际单位</w:t>
      </w:r>
      <w:r>
        <w:rPr>
          <w:rFonts w:ascii="SimSun" w:hAnsi="SimSun" w:cs="SimSun" w:hint="eastAsia"/>
          <w:noProof/>
          <w:sz w:val="21"/>
          <w:szCs w:val="21"/>
        </w:rPr>
        <w:t>的提议</w:t>
      </w:r>
      <w:r w:rsidRPr="00C12ADD">
        <w:rPr>
          <w:rFonts w:ascii="SimSun" w:hAnsi="SimSun" w:cs="SimSun" w:hint="eastAsia"/>
          <w:noProof/>
          <w:sz w:val="21"/>
          <w:szCs w:val="21"/>
        </w:rPr>
        <w:t>。</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一、菲律宾知识产权局（IPOPHL）</w:t>
      </w:r>
    </w:p>
    <w:p w:rsidR="00A4309A" w:rsidRPr="00295AEC" w:rsidRDefault="00A4309A" w:rsidP="00295AEC">
      <w:pPr>
        <w:pStyle w:val="ONUME"/>
        <w:numPr>
          <w:ilvl w:val="0"/>
          <w:numId w:val="43"/>
        </w:numPr>
        <w:tabs>
          <w:tab w:val="clear" w:pos="567"/>
        </w:tabs>
        <w:overflowPunct w:val="0"/>
        <w:spacing w:afterLines="50" w:after="120" w:line="340" w:lineRule="atLeast"/>
        <w:jc w:val="both"/>
        <w:rPr>
          <w:rFonts w:ascii="SimSun" w:hAnsi="SimSun"/>
          <w:noProof/>
          <w:sz w:val="21"/>
          <w:szCs w:val="21"/>
        </w:rPr>
      </w:pPr>
      <w:r w:rsidRPr="00295AEC">
        <w:rPr>
          <w:rFonts w:ascii="SimSun" w:hAnsi="SimSun" w:hint="eastAsia"/>
          <w:noProof/>
          <w:sz w:val="21"/>
        </w:rPr>
        <w:t>菲律宾发展规划（PDP）2017–2022是国家中期发展框架，为实现包容性增长、高度信任的社会和具有全球竞争力的知识经济奠定了坚实基础。PDP中强调了科学技术在实现这一愿景中的关键作用。</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PDP的主要内容之一是将一个横跨国家和地方发展议程的主流科技和创新平台，重点是加强和改进以科学技术为基础的创新。知识产权（IPR）保护至关重要，知识产权制度必须确保促进知识流动，确保网络和市场的发展能够有效地创造、流通和传播知识。同样重要的是对控制与创新相关的风险和促进技术可持续发展的政策和监管环境加强管理。</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知识产权的重要性在菲律宾已经深入人心，</w:t>
      </w:r>
      <w:r>
        <w:rPr>
          <w:rFonts w:ascii="SimSun" w:hAnsi="SimSun" w:hint="eastAsia"/>
          <w:noProof/>
          <w:sz w:val="21"/>
        </w:rPr>
        <w:t>《</w:t>
      </w:r>
      <w:r w:rsidRPr="00A23B02">
        <w:rPr>
          <w:rFonts w:ascii="SimSun" w:hAnsi="SimSun" w:hint="eastAsia"/>
          <w:noProof/>
          <w:sz w:val="21"/>
        </w:rPr>
        <w:t>1987年菲律宾宪法</w:t>
      </w:r>
      <w:r>
        <w:rPr>
          <w:rFonts w:ascii="SimSun" w:hAnsi="SimSun" w:hint="eastAsia"/>
          <w:noProof/>
          <w:sz w:val="21"/>
        </w:rPr>
        <w:t>》</w:t>
      </w:r>
      <w:r w:rsidRPr="00A23B02">
        <w:rPr>
          <w:rFonts w:ascii="SimSun" w:hAnsi="SimSun" w:hint="eastAsia"/>
          <w:noProof/>
          <w:sz w:val="21"/>
        </w:rPr>
        <w:t>就承认了科学技术在国家发展和进步中的重要作用。它规定国家应当将研发、发明、创新及其运用以及科技教育、培训和服务放在优先位置。应支持发展自主的、适当的、自力更生的科技能力，并将其应用于国家生产和国民生活。</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此外，菲律宾认识到，有效的知识和工业产权制度对于国内创新活动至关重要，将促进技术转让，吸引外国投资，并确保菲律宾产品的市场可及性。它应保护和保障科学家、发明家、艺术家和其他有创造力的公民对自身的知识产权和创造的专有权利，特别是在对人类有益的情况下。</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知识产权局（IPOPHL）是为管理和实施有关的知识产权国家政策而设立的。IPOPHL不仅作为监管和行政机关，而且还对学术界、产业界、其他政府机构、知识产权从业人员和其他利益相关者发挥建设性的作用。IPOPHL是一个以知识为导向的政府组织，其“通过沟通，实现和确保知识产权制度在社会各个层面的有效运用，以创造，保护，运用和实施知识产权，对经济、技术和社会文化建设发挥作用”。</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二、PCT体系中的IPOPHL</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菲律宾是国际专利体系中值得信赖的合作伙伴。菲律宾独立的专利制度于1947年确立，自那时起IPOPHL在检索和实质审查方面已拥有近70年的丰富经验。这使得IPOPHL在本地区有明显优势。</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菲律宾经济在过去五年中平均每年以6</w:t>
      </w:r>
      <w:r>
        <w:rPr>
          <w:rFonts w:ascii="SimSun" w:hAnsi="SimSun" w:hint="eastAsia"/>
          <w:noProof/>
          <w:sz w:val="21"/>
        </w:rPr>
        <w:t>%</w:t>
      </w:r>
      <w:r w:rsidRPr="00A23B02">
        <w:rPr>
          <w:rFonts w:ascii="SimSun" w:hAnsi="SimSun" w:hint="eastAsia"/>
          <w:noProof/>
          <w:sz w:val="21"/>
        </w:rPr>
        <w:t>的速度稳步增长。2016年，菲律宾是东盟地区增长最快的经济体之一，增长率为6.8</w:t>
      </w:r>
      <w:r>
        <w:rPr>
          <w:rFonts w:ascii="SimSun" w:hAnsi="SimSun" w:hint="eastAsia"/>
          <w:noProof/>
          <w:sz w:val="21"/>
        </w:rPr>
        <w:t>%</w:t>
      </w:r>
      <w:r w:rsidRPr="00A23B02">
        <w:rPr>
          <w:rFonts w:ascii="SimSun" w:hAnsi="SimSun" w:hint="eastAsia"/>
          <w:noProof/>
          <w:sz w:val="21"/>
        </w:rPr>
        <w:t>。2018年之前，菲律宾经济预计增长6</w:t>
      </w:r>
      <w:r>
        <w:rPr>
          <w:rFonts w:ascii="SimSun" w:hAnsi="SimSun" w:hint="eastAsia"/>
          <w:noProof/>
          <w:sz w:val="21"/>
        </w:rPr>
        <w:t>%</w:t>
      </w:r>
      <w:r w:rsidRPr="00A23B02">
        <w:rPr>
          <w:rFonts w:ascii="SimSun" w:hAnsi="SimSun" w:hint="eastAsia"/>
          <w:noProof/>
          <w:sz w:val="21"/>
        </w:rPr>
        <w:t>以上，是该地区增长最快的国家之一。</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在1.04亿菲律宾人中，约有92</w:t>
      </w:r>
      <w:r>
        <w:rPr>
          <w:rFonts w:ascii="SimSun" w:hAnsi="SimSun" w:hint="eastAsia"/>
          <w:noProof/>
          <w:sz w:val="21"/>
        </w:rPr>
        <w:t>%</w:t>
      </w:r>
      <w:r w:rsidRPr="00A23B02">
        <w:rPr>
          <w:rFonts w:ascii="SimSun" w:hAnsi="SimSun" w:hint="eastAsia"/>
          <w:noProof/>
          <w:sz w:val="21"/>
        </w:rPr>
        <w:t>能够说英语，70</w:t>
      </w:r>
      <w:r>
        <w:rPr>
          <w:rFonts w:ascii="SimSun" w:hAnsi="SimSun" w:hint="eastAsia"/>
          <w:noProof/>
          <w:sz w:val="21"/>
        </w:rPr>
        <w:t>%</w:t>
      </w:r>
      <w:r w:rsidRPr="00A23B02">
        <w:rPr>
          <w:rFonts w:ascii="SimSun" w:hAnsi="SimSun" w:hint="eastAsia"/>
          <w:noProof/>
          <w:sz w:val="21"/>
        </w:rPr>
        <w:t>精通英语，在该地区是比例最高的国家之一。英语在商业和政府事务中使用。鉴于2015年东南亚地区95</w:t>
      </w:r>
      <w:r>
        <w:rPr>
          <w:rFonts w:ascii="SimSun" w:hAnsi="SimSun" w:hint="eastAsia"/>
          <w:noProof/>
          <w:sz w:val="21"/>
        </w:rPr>
        <w:t>%</w:t>
      </w:r>
      <w:r w:rsidRPr="00A23B02">
        <w:rPr>
          <w:rFonts w:ascii="SimSun" w:hAnsi="SimSun" w:hint="eastAsia"/>
          <w:noProof/>
          <w:sz w:val="21"/>
        </w:rPr>
        <w:t>的PCT申请以英文提交，对于菲律宾开展国际工作非常有利。</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自2010年至2015年，菲律宾的PCT申请量以5.85</w:t>
      </w:r>
      <w:r>
        <w:rPr>
          <w:rFonts w:ascii="SimSun" w:hAnsi="SimSun" w:hint="eastAsia"/>
          <w:noProof/>
          <w:sz w:val="21"/>
        </w:rPr>
        <w:t>%</w:t>
      </w:r>
      <w:r w:rsidRPr="00A23B02">
        <w:rPr>
          <w:rFonts w:ascii="SimSun" w:hAnsi="SimSun" w:hint="eastAsia"/>
          <w:noProof/>
          <w:sz w:val="21"/>
        </w:rPr>
        <w:t>的年均增长率上升。在2014年所有214,500件PCT申请中，约有110,054件或51.6</w:t>
      </w:r>
      <w:r>
        <w:rPr>
          <w:rFonts w:ascii="SimSun" w:hAnsi="SimSun" w:hint="eastAsia"/>
          <w:noProof/>
          <w:sz w:val="21"/>
        </w:rPr>
        <w:t>%</w:t>
      </w:r>
      <w:r w:rsidRPr="00A23B02">
        <w:rPr>
          <w:rFonts w:ascii="SimSun" w:hAnsi="SimSun" w:hint="eastAsia"/>
          <w:noProof/>
          <w:sz w:val="21"/>
        </w:rPr>
        <w:t>以英文提交。因此，对国际工作的需求明显增加，IPOPHL具有明显的优势，可以在国际检索和审查方面为PCT体系提供帮助。</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在2015年，亚洲是PCT体系中最大的用户，占申请总量的43.5</w:t>
      </w:r>
      <w:r>
        <w:rPr>
          <w:rFonts w:ascii="SimSun" w:hAnsi="SimSun" w:hint="eastAsia"/>
          <w:noProof/>
          <w:sz w:val="21"/>
        </w:rPr>
        <w:t>%</w:t>
      </w:r>
      <w:r w:rsidRPr="00A23B02">
        <w:rPr>
          <w:rFonts w:ascii="SimSun" w:hAnsi="SimSun" w:hint="eastAsia"/>
          <w:noProof/>
          <w:sz w:val="21"/>
        </w:rPr>
        <w:t>。国际和地区PCT申请表明，多年来亚洲和东南亚地区的申请量大幅增加，并持续增长，对国际工作的需求量大增。IPOPHL被指定为东南亚地区的第二个国际单位，将会具有协同效应，特别是在东南亚国家联盟（ASEAN）经济一体化的背景下，将促进该地区的发展和创新活动。此外，这也将在东盟专利审查合作（ASPEC）项目之下，激励东盟成员国提高地区工作共享平台的检索审查效率和质量。</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人口超过1.04亿，拥有约2180所高等院校。IPOPHL认识到发展知识经济是国家发展的关键，力求通过创新和技术支持局（ITSO）计划发展研究与创新文化。ITSO与世界知识产权组织（WIPO）合作，创建了涵盖大约85所大学、高等教育机构（HEI）的网络，大多数是公认的优秀的高等教育和研究机构。该计划旨在加强当地的机构获取专利信息用于研究、教育、创意和普通商业发展的能力。此外，ITSO设想为当地社区的专利服务提供者，不仅进行专利检索，还为产业界、政府机构和其他实体撰写专利申请，担任诉讼代表，提供咨询，培训和知识产权整体管理服务。来自ITSO网络的PCT申请前景非常看好。IPOPHL被指定为国际单位将有助于菲律宾使用PCT体系。</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许多全球性公司在菲律宾有商业和工业业务。不断扩大的学术、商业、工业和贸易活动形成了一个充满活力的研发环境，推动了大量知识产权的产生，从而使得国际工作的国际需求增长潜力巨大，这要求相当熟悉PCT体系并且具有足够的检索和审查经历。</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自2001年菲律宾成为PCT第112个缔约国以来，IPOPHL担任PCT申请的受理局（RO）。因此，IPOPHL对PCT工作有充分了解，加上全面的检索和实质审查经验，IPOPHL有信心在PCT体系中作为ISA和IPEA发挥更积极的作用。</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IPOPHL是通过ISO 9001：2008认证的机构，其对专利检索和审查以及商标注册的核心流程已经建立了质量管理体系（QMS）。IPOPHL于2013年1月获得了ISO 9001：2008认证，并于2016年1月获得了第二次认证。IPOPHL根据国家政府的政策确保所有机构持续改进所提供的公共服务、增加组织效率和效能、提高员工的敬业精神和更强的工作承诺，从而通过了ISO 9001：2000认证。IPOPHL正在准备从ISO 9001：2008到ISO 9001：2015标准的过渡，以进一步加强组织领导能力，保持业务效率，并制定有效的风险管理策略。</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来自菲律宾的PCT申请有很大的增长潜力。在一个充满活力的区域内经济水平日益提高，基于强大的国家创新和研究议程，拥有全面的检索和审查经验，对PCT工作的了解和QMS体系，以及日益增长的国际工作需求，菲律宾为成为国际单位做好了准备。</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lastRenderedPageBreak/>
        <w:t>三、背　景</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国家概况</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菲律宾在战略上位于亚太地区。菲律宾通过与邻国建立牢固的经济与和平外交关系，充分利用了其对于亚洲大陆的岛屿位置优势。由于这一地理位置，它已经成为亚太地区贸易和投资的重要渠道。</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菲律宾人口相对年轻，其中15岁到54岁之间的人口占57</w:t>
      </w:r>
      <w:r>
        <w:rPr>
          <w:rFonts w:ascii="SimSun" w:hAnsi="SimSun" w:hint="eastAsia"/>
          <w:noProof/>
          <w:sz w:val="21"/>
        </w:rPr>
        <w:t>%</w:t>
      </w:r>
      <w:r w:rsidRPr="00A23B02">
        <w:rPr>
          <w:rFonts w:ascii="SimSun" w:hAnsi="SimSun" w:hint="eastAsia"/>
          <w:noProof/>
          <w:sz w:val="21"/>
        </w:rPr>
        <w:t>。这一人口结构方面的利好有望加速菲律宾的经济增长，到2020年年龄在25至34岁的菲律宾年轻人预计将贡献国内生产总值的25</w:t>
      </w:r>
      <w:r>
        <w:rPr>
          <w:rFonts w:ascii="SimSun" w:hAnsi="SimSun" w:hint="eastAsia"/>
          <w:noProof/>
          <w:sz w:val="21"/>
        </w:rPr>
        <w:t>%</w:t>
      </w:r>
      <w:r w:rsidRPr="00A23B02">
        <w:rPr>
          <w:rFonts w:ascii="SimSun" w:hAnsi="SimSun" w:hint="eastAsia"/>
          <w:noProof/>
          <w:sz w:val="21"/>
        </w:rPr>
        <w:t>。此外，菲律宾的识字率高达95</w:t>
      </w:r>
      <w:r>
        <w:rPr>
          <w:rFonts w:ascii="SimSun" w:hAnsi="SimSun" w:hint="eastAsia"/>
          <w:noProof/>
          <w:sz w:val="21"/>
        </w:rPr>
        <w:t>%</w:t>
      </w:r>
      <w:r w:rsidRPr="00A23B02">
        <w:rPr>
          <w:rFonts w:ascii="SimSun" w:hAnsi="SimSun" w:hint="eastAsia"/>
          <w:noProof/>
          <w:sz w:val="21"/>
        </w:rPr>
        <w:t>以上。认识到其丰富的人力资源激发创新和研究的潜力，菲律宾政府一直为教育、科技预留了大量预算。</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菲律宾强劲的经济是由不断增长的工业、制造业、服务业和农业部门推动的。菲律宾是主要和发达经济体的积极贸易伙伴。</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菲律宾的知识产权制度</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菲律宾是东南亚具有最长的专利审查实践历史的国家之一。菲律宾独立的专利制度是根据</w:t>
      </w:r>
      <w:smartTag w:uri="urn:schemas-microsoft-com:office:smarttags" w:element="chsdate">
        <w:smartTagPr>
          <w:attr w:name="IsROCDate" w:val="False"/>
          <w:attr w:name="IsLunarDate" w:val="False"/>
          <w:attr w:name="Day" w:val="20"/>
          <w:attr w:name="Month" w:val="6"/>
          <w:attr w:name="Year" w:val="1947"/>
        </w:smartTagPr>
        <w:r w:rsidRPr="00A23B02">
          <w:rPr>
            <w:rFonts w:ascii="SimSun" w:hAnsi="SimSun" w:hint="eastAsia"/>
            <w:noProof/>
            <w:sz w:val="21"/>
          </w:rPr>
          <w:t>1947年6月20日</w:t>
        </w:r>
      </w:smartTag>
      <w:r w:rsidRPr="00A23B02">
        <w:rPr>
          <w:rFonts w:ascii="SimSun" w:hAnsi="SimSun" w:hint="eastAsia"/>
          <w:noProof/>
          <w:sz w:val="21"/>
        </w:rPr>
        <w:t>颁布的题为“创立专利局，规定其权力和责任，规范其专利授权和拨款法案”共和国法令第165号的实施而确立。自1947年以来，菲律宾专利局一直在审查和授予专利。</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随着菲律宾在1995年加入世界贸易组织和与贸易有关的知识产权协定（TRIPS协定），通过共和国法令第8293号（R.A.8293）或者称为“菲律宾知识产权法典”（IP Code），确立了关于知识产权制度的全面和综合性的立法。上述知识产权法典创建了IPOPHL，来管理一个高效的知识产权系统，涵盖发明、实用新型、工业品外观设计、商标、版权、集成电路布图设计等保护对象。</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菲律宾于</w:t>
      </w:r>
      <w:smartTag w:uri="urn:schemas-microsoft-com:office:smarttags" w:element="chsdate">
        <w:smartTagPr>
          <w:attr w:name="IsROCDate" w:val="False"/>
          <w:attr w:name="IsLunarDate" w:val="False"/>
          <w:attr w:name="Day" w:val="12"/>
          <w:attr w:name="Month" w:val="8"/>
          <w:attr w:name="Year" w:val="1965"/>
        </w:smartTagPr>
        <w:r w:rsidRPr="00A23B02">
          <w:rPr>
            <w:rFonts w:ascii="SimSun" w:hAnsi="SimSun" w:hint="eastAsia"/>
            <w:noProof/>
            <w:sz w:val="21"/>
          </w:rPr>
          <w:t>1965年8月12日</w:t>
        </w:r>
      </w:smartTag>
      <w:r w:rsidRPr="00A23B02">
        <w:rPr>
          <w:rFonts w:ascii="SimSun" w:hAnsi="SimSun" w:hint="eastAsia"/>
          <w:noProof/>
          <w:sz w:val="21"/>
        </w:rPr>
        <w:t>成为《保护工业产权巴黎公约》的缔约国，1980年成为WIPO成员国，1981年加入布达佩斯条约。</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菲律宾还是WIPO管理的其他条约和协定的签署国，如《伯尔尼公约》《马德里议定书》《录音制品公约》《罗马公约》《WIPO版权条约》和《WIPO表演和录音制品条约》。</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菲律宾在知识产权领域拥有强大的法律、制度和运营基础，表明其对加强国家竞争力、鼓励创新和技术发展的庄严承诺。</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菲律宾的发展和创新战略</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随着菲律宾迈向知识经济，它依靠创新和研究战略获得发展：</w:t>
      </w: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sidRPr="00A23B02">
        <w:rPr>
          <w:rFonts w:ascii="SimSun" w:hAnsi="SimSun" w:hint="eastAsia"/>
          <w:noProof/>
          <w:sz w:val="21"/>
        </w:rPr>
        <w:t>具有竞争力和多领域的劳动力，能够提供全球标准的增值知识型服务；</w:t>
      </w: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sidRPr="00A23B02">
        <w:rPr>
          <w:rFonts w:ascii="SimSun" w:hAnsi="SimSun" w:hint="eastAsia"/>
          <w:noProof/>
          <w:sz w:val="21"/>
        </w:rPr>
        <w:t>通过不断增加的研发带来的持续创新而驱动或培育的具有竞争力的本地企业；和</w:t>
      </w: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sidRPr="00A23B02">
        <w:rPr>
          <w:rFonts w:ascii="SimSun" w:hAnsi="SimSun" w:hint="eastAsia"/>
          <w:noProof/>
          <w:sz w:val="21"/>
        </w:rPr>
        <w:t>公共政策环境，其不仅通过行政、立法和司法措施，而且通过地方政府项目确保持续创新。</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通过有针对性地发展国内和国外投资者创新能力的有效且高效的措施，国家研究和发展计划得到了提升。菲律宾制定了统一的国家研究和发展议程（HNRDA），旨在推动国家在技术上自力更生。在HNRDA下，公共研究机构、中介机构、国立大学以及私营部门进行的研究和发展活动都是基于政府的优先顺序来协调。HNRDA由研究财团和理事会在五个部门实施，这五个部门是国家联合基础研究部，卫生部，农业、水产和自然资源部，工业、能源和新兴科技部以及减灾和气候变化应对部门。</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IPOPHL在支持知识产权创造上已有一些举措。其中最重要的是IPOPHL领导的适应PDP的ITSO项目，并且指定IPOPHL作为ISA/IPEA是国家整体创新和研究战略的一部分。ITSO成员受到WIPO技术和创新支持中心（TISC）项目的支持。TISC旨在为发展中国家的创新者提供基于本地的、高质量的技术信息服务和其他相关的服务。作为补充，IPOPHL已经实行专利保护激励计划（PPIP），旨在发展本国的创新文化。它为将要向PCT体系提交申请的发明提供一个激励计划。其目的是在未来几年增加PCT体系中的菲律宾申请。菲律宾是发明人援助计划（IAP）的试点国家之一。WIPO</w:t>
      </w:r>
      <w:r>
        <w:rPr>
          <w:rFonts w:ascii="SimSun" w:hAnsi="SimSun" w:hint="eastAsia"/>
          <w:noProof/>
          <w:sz w:val="21"/>
        </w:rPr>
        <w:t>–</w:t>
      </w:r>
      <w:r w:rsidRPr="00A23B02">
        <w:rPr>
          <w:rFonts w:ascii="SimSun" w:hAnsi="SimSun" w:hint="eastAsia"/>
          <w:noProof/>
          <w:sz w:val="21"/>
        </w:rPr>
        <w:t>世界经济论坛（WEF）项目的联合项目旨在帮助“资源不足”的发明人获得在其他司法管辖区内的知识产权保护。该项目包括通过志愿专利代理人或律师，向那些在菲律宾和在该国以外的司法管辖区寻求专利保护而没有经济能力支付法律服务人员费用的发明人，提供无偿服务。</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积极支持知识产权商业化。它已经开发了知识产权库，这是为知识产权拥有者提供的一个数字平台（一个网站），以提高他们的知识产权资产潜在的商业化机会。它的建立为拥有发明专利、注册商标、版权和外观设计的人们提供一条向世界展示（许可或出售）他们的知识产权资产的途径。此外，IPOPHL与美国国际开发署（USAID）STRIDE项目也有合作关系，旨在通过将大学、研究机构与产业界相关联来促进知识产权市场化。</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菲律宾在东南亚提供了重要的机会。它经常被列为主要的创新中心，主要是因为人口、经济稳定和积极的创新生态体系。</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四、指定国际检索单位和国际初步审查单位的要求</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bookmarkStart w:id="6" w:name="_Ref392718360"/>
      <w:r w:rsidRPr="00A23B02">
        <w:rPr>
          <w:rFonts w:ascii="SimSun" w:hAnsi="SimSun" w:hint="eastAsia"/>
          <w:noProof/>
          <w:sz w:val="21"/>
        </w:rPr>
        <w:t>PCT实施细则36.1规定了被指定为国际检索单位的最低条件如下：</w:t>
      </w:r>
    </w:p>
    <w:bookmarkEnd w:id="6"/>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(a)</w:t>
      </w:r>
      <w:r>
        <w:rPr>
          <w:rFonts w:ascii="SimSun" w:hAnsi="SimSun" w:hint="eastAsia"/>
          <w:noProof/>
          <w:sz w:val="21"/>
        </w:rPr>
        <w:tab/>
      </w:r>
      <w:r w:rsidRPr="00A23B02">
        <w:rPr>
          <w:rFonts w:ascii="SimSun" w:hAnsi="SimSun" w:hint="eastAsia"/>
          <w:noProof/>
          <w:sz w:val="21"/>
        </w:rPr>
        <w:t>至少100名具有足以胜任检索和审查工作的技术资格的专职人员；</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(b)</w:t>
      </w:r>
      <w:r>
        <w:rPr>
          <w:rFonts w:ascii="SimSun" w:hAnsi="SimSun" w:hint="eastAsia"/>
          <w:noProof/>
          <w:sz w:val="21"/>
        </w:rPr>
        <w:tab/>
      </w:r>
      <w:r w:rsidRPr="00A23B02">
        <w:rPr>
          <w:rFonts w:ascii="SimSun" w:hAnsi="SimSun" w:hint="eastAsia"/>
          <w:noProof/>
          <w:sz w:val="21"/>
        </w:rPr>
        <w:t>拥有或能够利用本细则第34条所述的最低限度文献，并且为检索和审查目的而妥善整理，载于纸件、微缩品或存储在电子媒介上；</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(c)</w:t>
      </w:r>
      <w:r>
        <w:rPr>
          <w:rFonts w:ascii="SimSun" w:hAnsi="SimSun" w:hint="eastAsia"/>
          <w:noProof/>
          <w:sz w:val="21"/>
        </w:rPr>
        <w:tab/>
      </w:r>
      <w:r w:rsidRPr="00A23B02">
        <w:rPr>
          <w:rFonts w:ascii="SimSun" w:hAnsi="SimSun" w:hint="eastAsia"/>
          <w:noProof/>
          <w:sz w:val="21"/>
        </w:rPr>
        <w:t>一批工作人员，能够对所要求的技术领域进行检索和审查，并拥有能够理解至少用来撰写或者翻译本细则第34条规定的最低限度文献的语言的语言能力；以及</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(d)</w:t>
      </w:r>
      <w:r>
        <w:rPr>
          <w:rFonts w:ascii="SimSun" w:hAnsi="SimSun" w:hint="eastAsia"/>
          <w:noProof/>
          <w:sz w:val="21"/>
        </w:rPr>
        <w:tab/>
      </w:r>
      <w:r w:rsidRPr="00A23B02">
        <w:rPr>
          <w:rFonts w:ascii="SimSun" w:hAnsi="SimSun" w:hint="eastAsia"/>
          <w:noProof/>
          <w:sz w:val="21"/>
        </w:rPr>
        <w:t>根据国际检索和初步审查共同规则的质量管理体系和内部复查措施（由PCT国际检索和初步审查指南第21章定义）。</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检索和审查能力</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IPOPHL能够担任国际单位的角色。特别是IPOPHL</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sidRPr="00A23B02">
        <w:rPr>
          <w:rFonts w:ascii="SimSun" w:hAnsi="SimSun" w:hint="eastAsia"/>
          <w:noProof/>
          <w:sz w:val="21"/>
        </w:rPr>
        <w:t>(a)</w:t>
      </w:r>
      <w:r>
        <w:rPr>
          <w:rFonts w:ascii="SimSun" w:hAnsi="SimSun" w:hint="eastAsia"/>
          <w:noProof/>
          <w:sz w:val="21"/>
        </w:rPr>
        <w:tab/>
      </w:r>
      <w:r w:rsidRPr="00A23B02">
        <w:rPr>
          <w:rFonts w:ascii="SimSun" w:hAnsi="SimSun" w:hint="eastAsia"/>
          <w:noProof/>
          <w:sz w:val="21"/>
        </w:rPr>
        <w:t>具备所需审查员的资格和能力（满足29段</w:t>
      </w: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sidRPr="00A23B02">
        <w:rPr>
          <w:rFonts w:ascii="SimSun" w:hAnsi="SimSun" w:hint="eastAsia"/>
          <w:noProof/>
          <w:sz w:val="21"/>
        </w:rPr>
        <w:t>及</w:t>
      </w: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sidRPr="00A23B02">
        <w:rPr>
          <w:rFonts w:ascii="SimSun" w:hAnsi="SimSun" w:hint="eastAsia"/>
          <w:noProof/>
          <w:sz w:val="21"/>
        </w:rPr>
        <w:t>的要求）；</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拥有可以利用的用于检索和审查目的的文献（满足29段</w:t>
      </w: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sidRPr="00A23B02">
        <w:rPr>
          <w:rFonts w:ascii="SimSun" w:hAnsi="SimSun" w:hint="eastAsia"/>
          <w:noProof/>
          <w:sz w:val="21"/>
        </w:rPr>
        <w:t>的要求）；以及</w:t>
      </w:r>
    </w:p>
    <w:p w:rsidR="00A4309A" w:rsidRPr="00941C46"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sidRPr="00941C46">
        <w:rPr>
          <w:rFonts w:ascii="SimSun" w:hAnsi="SimSun" w:hint="eastAsia"/>
          <w:noProof/>
          <w:sz w:val="21"/>
        </w:rPr>
        <w:t>(c)</w:t>
      </w:r>
      <w:r w:rsidRPr="00941C46">
        <w:rPr>
          <w:rFonts w:ascii="SimSun" w:hAnsi="SimSun" w:hint="eastAsia"/>
          <w:noProof/>
          <w:sz w:val="21"/>
        </w:rPr>
        <w:tab/>
      </w:r>
      <w:r w:rsidRPr="00DF31C1">
        <w:rPr>
          <w:rFonts w:ascii="SimSun" w:hAnsi="SimSun" w:hint="eastAsia"/>
          <w:noProof/>
          <w:sz w:val="21"/>
        </w:rPr>
        <w:t>拥有质量管理体系和内部复查措施</w:t>
      </w:r>
      <w:r w:rsidRPr="00941C46">
        <w:rPr>
          <w:rFonts w:ascii="SimSun" w:hAnsi="SimSun" w:hint="eastAsia"/>
          <w:noProof/>
          <w:sz w:val="21"/>
        </w:rPr>
        <w:t>（满足29段(d)的要求）。</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审查员</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在具有足以胜任检索和审查工作的技术资格的专职审查员的数量方面，IPOPHL满足指定的标准。2017年2月21</w:t>
      </w:r>
      <w:r>
        <w:rPr>
          <w:rFonts w:ascii="SimSun" w:hAnsi="SimSun" w:hint="eastAsia"/>
          <w:noProof/>
          <w:sz w:val="21"/>
        </w:rPr>
        <w:t>–</w:t>
      </w:r>
      <w:r w:rsidRPr="00A23B02">
        <w:rPr>
          <w:rFonts w:ascii="SimSun" w:hAnsi="SimSun" w:hint="eastAsia"/>
          <w:noProof/>
          <w:sz w:val="21"/>
        </w:rPr>
        <w:t>22日和2017年2月22</w:t>
      </w:r>
      <w:r>
        <w:rPr>
          <w:rFonts w:ascii="SimSun" w:hAnsi="SimSun" w:hint="eastAsia"/>
          <w:noProof/>
          <w:sz w:val="21"/>
        </w:rPr>
        <w:t>–</w:t>
      </w:r>
      <w:r w:rsidRPr="00A23B02">
        <w:rPr>
          <w:rFonts w:ascii="SimSun" w:hAnsi="SimSun" w:hint="eastAsia"/>
          <w:noProof/>
          <w:sz w:val="21"/>
        </w:rPr>
        <w:t>28日，在日本特许厅（JPO）和澳大利亚知识产权局分别进行评估时，IPOPHL有87名具有检索和审查工作能力的专职专利审查员。在提交请求时，IPOPHL拥有102名专利审查员，其中包括在3月第1周聘用的15名审查员。到2017年3月末IPOPHL还将聘</w:t>
      </w:r>
      <w:r w:rsidRPr="00A23B02">
        <w:rPr>
          <w:rFonts w:ascii="SimSun" w:hAnsi="SimSun" w:hint="eastAsia"/>
          <w:noProof/>
          <w:sz w:val="21"/>
        </w:rPr>
        <w:lastRenderedPageBreak/>
        <w:t>用10名以上的审查员。这25名审查员将接受严格的新专利审查员培训（NPET），希望到2017年6/7月完成第一阶段的培训，使得他们具有进行检索和审查的能力。因此，到</w:t>
      </w:r>
      <w:r>
        <w:rPr>
          <w:rFonts w:ascii="SimSun" w:hAnsi="SimSun" w:hint="eastAsia"/>
          <w:noProof/>
          <w:sz w:val="21"/>
        </w:rPr>
        <w:t>PCT大会</w:t>
      </w:r>
      <w:r w:rsidRPr="00A23B02">
        <w:rPr>
          <w:rFonts w:ascii="SimSun" w:hAnsi="SimSun" w:hint="eastAsia"/>
          <w:noProof/>
          <w:sz w:val="21"/>
        </w:rPr>
        <w:t>之时，将有112名具有足以胜任检索和审查工作的技术资格的专职专利审查员。必须指出的是，为了确保招聘到合格的人员，IPOPHL对所有的审查员采用了4轮招聘和选拔程序。它业已建立一个全面和基于能力的培训计划。所有审查员不断接受内部和外部的培训，其重点是进一步提高检索和审查技能。</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审查员概况</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为满足菲律宾公务员委员会（CSC）的要求，IPOPHL的审查员拥有工程学、自然科学、医学和其它类似科学的学位。他们也必须通过由专业监督委员会（PRC）规定的必需的专业资格考试和由CSC规定的专业人员职业服务考试。</w:t>
      </w:r>
    </w:p>
    <w:p w:rsidR="00A4309A" w:rsidRPr="005810F7" w:rsidRDefault="00A4309A" w:rsidP="006C3627">
      <w:pPr>
        <w:pStyle w:val="ONUME"/>
        <w:tabs>
          <w:tab w:val="clear" w:pos="567"/>
        </w:tabs>
        <w:overflowPunct w:val="0"/>
        <w:spacing w:afterLines="50" w:after="120" w:line="340" w:lineRule="atLeast"/>
        <w:jc w:val="both"/>
        <w:rPr>
          <w:rFonts w:ascii="SimSun" w:hAnsi="SimSun"/>
          <w:noProof/>
          <w:sz w:val="21"/>
        </w:rPr>
      </w:pPr>
      <w:r w:rsidRPr="005810F7">
        <w:rPr>
          <w:rFonts w:ascii="SimSun" w:hAnsi="SimSun" w:hint="eastAsia"/>
          <w:noProof/>
          <w:sz w:val="21"/>
        </w:rPr>
        <w:t>许多审查员拥有高级学位，或正在进一步深造。IPOPHL为所有审查员寻求得到更高级别的教育提供支持。目前，IPOPHL也与国内首屈一指的科学与工程研究院——</w:t>
      </w:r>
      <w:r w:rsidRPr="00941C46">
        <w:rPr>
          <w:rFonts w:ascii="SimSun" w:hAnsi="SimSun"/>
          <w:noProof/>
          <w:sz w:val="21"/>
        </w:rPr>
        <w:t>玛布亚科技学院</w:t>
      </w:r>
      <w:r w:rsidRPr="005810F7">
        <w:rPr>
          <w:rFonts w:ascii="SimSun" w:hAnsi="SimSun" w:hint="eastAsia"/>
          <w:noProof/>
          <w:sz w:val="21"/>
        </w:rPr>
        <w:t>（MIT）合作，为那些负责高度细化技术领域内专利申请审查的审查员准备定制的研究生学位项目。目前一些IPOPHL的研究员和审查员正就读于基于上述伙伴关系开展的生物工程学硕士学位项目。</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60名审查员具有4年至39年的检索和审查经验，占审查员人数的一半以上。所有新审查员都要经过结构化、综合性和基于能力的培训项目，该项目使他们具备进行检索和审查时所需级别的能力。此外，所有审查员不断接受内部和外部的培训，其重点是进一步提高检索和审查技能。这些内容在后面的培训项目和能力建设中会进一步详细讨论。</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所有的IPOPHL审查员都会由经验丰富的主管来指导，主管会对所有的检索和审查报告进行两级过程中的质量评价。所有审查部门的主管拥有技术和管理的研究生学位，并且具有15年到38年的检索和审查经验。所有主管不断接受内部和国外培训，以更新和提高他们的专利质量评价能力，以及在训练和指导审查员方面的能力。</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熟练掌握的语言</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所有审查员都熟练掌握菲律宾语和英语的口语和写作。一些审查员还能够掌握其他外语，例如日语、中文、德语、西班牙语和法语。</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根据PCT实施细则36.1</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及63.1</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规定的熟练掌握语言的要求，即要求审查员拥有能够理解至少用来撰写或者翻译本细则第34条规定的最低限度文献的语言的语言能力，IPOPHL的审查员拥有对英语语言的良好技能和理解能力，而英语正是PCT申请中使用最广泛的语言。</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招聘与选拔</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IPOPHL对于专利审查员有4轮招聘和选拔程序：</w:t>
      </w: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sidRPr="00A23B02">
        <w:rPr>
          <w:rFonts w:ascii="SimSun" w:hAnsi="SimSun" w:hint="eastAsia"/>
          <w:noProof/>
          <w:sz w:val="21"/>
        </w:rPr>
        <w:t>所有的申请者必须满足申请的最低要求；</w:t>
      </w: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sidRPr="00A23B02">
        <w:rPr>
          <w:rFonts w:ascii="SimSun" w:hAnsi="SimSun" w:hint="eastAsia"/>
          <w:noProof/>
          <w:sz w:val="21"/>
        </w:rPr>
        <w:t>所有申请者必须接受并通过小组筛选和面试；</w:t>
      </w: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sidRPr="00A23B02">
        <w:rPr>
          <w:rFonts w:ascii="SimSun" w:hAnsi="SimSun" w:hint="eastAsia"/>
          <w:noProof/>
          <w:sz w:val="21"/>
        </w:rPr>
        <w:t>所有申请者必须通过心理测试；和</w:t>
      </w:r>
      <w:r>
        <w:rPr>
          <w:rFonts w:ascii="SimSun" w:hAnsi="SimSun" w:hint="eastAsia"/>
          <w:noProof/>
          <w:sz w:val="21"/>
        </w:rPr>
        <w:t>(</w:t>
      </w:r>
      <w:r w:rsidRPr="00A23B02">
        <w:rPr>
          <w:rFonts w:ascii="SimSun" w:hAnsi="SimSun" w:hint="eastAsia"/>
          <w:noProof/>
          <w:sz w:val="21"/>
        </w:rPr>
        <w:t>d</w:t>
      </w:r>
      <w:r>
        <w:rPr>
          <w:rFonts w:ascii="SimSun" w:hAnsi="SimSun" w:hint="eastAsia"/>
          <w:noProof/>
          <w:sz w:val="21"/>
        </w:rPr>
        <w:t>)</w:t>
      </w:r>
      <w:r w:rsidRPr="00A23B02">
        <w:rPr>
          <w:rFonts w:ascii="SimSun" w:hAnsi="SimSun" w:hint="eastAsia"/>
          <w:noProof/>
          <w:sz w:val="21"/>
        </w:rPr>
        <w:t>所有入围的候选人必须接受并顺利通过结构化、综合性和基于能力的新审查员培训项目。</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所有申请者必须满足申请的下列最低要求：</w:t>
      </w: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sidRPr="00A23B02">
        <w:rPr>
          <w:rFonts w:ascii="SimSun" w:hAnsi="SimSun" w:hint="eastAsia"/>
          <w:noProof/>
          <w:sz w:val="21"/>
        </w:rPr>
        <w:t>至少是工程、自然科学、医学和其他相关科学的学士学位，最好是硕士学位；</w:t>
      </w: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sidRPr="00A23B02">
        <w:rPr>
          <w:rFonts w:ascii="SimSun" w:hAnsi="SimSun" w:hint="eastAsia"/>
          <w:noProof/>
          <w:sz w:val="21"/>
        </w:rPr>
        <w:t>PRC规定的工程、化学或其他领域的职业证书；</w:t>
      </w: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sidRPr="00A23B02">
        <w:rPr>
          <w:rFonts w:ascii="SimSun" w:hAnsi="SimSun" w:hint="eastAsia"/>
          <w:noProof/>
          <w:sz w:val="21"/>
        </w:rPr>
        <w:t>通过CSC专业人员职业服务考试；和</w:t>
      </w:r>
      <w:r>
        <w:rPr>
          <w:rFonts w:ascii="SimSun" w:hAnsi="SimSun" w:hint="eastAsia"/>
          <w:noProof/>
          <w:sz w:val="21"/>
        </w:rPr>
        <w:t>(</w:t>
      </w:r>
      <w:r w:rsidRPr="00A23B02">
        <w:rPr>
          <w:rFonts w:ascii="SimSun" w:hAnsi="SimSun" w:hint="eastAsia"/>
          <w:noProof/>
          <w:sz w:val="21"/>
        </w:rPr>
        <w:t>d</w:t>
      </w:r>
      <w:r>
        <w:rPr>
          <w:rFonts w:ascii="SimSun" w:hAnsi="SimSun" w:hint="eastAsia"/>
          <w:noProof/>
          <w:sz w:val="21"/>
        </w:rPr>
        <w:t>)</w:t>
      </w:r>
      <w:r w:rsidRPr="00A23B02">
        <w:rPr>
          <w:rFonts w:ascii="SimSun" w:hAnsi="SimSun" w:hint="eastAsia"/>
          <w:noProof/>
          <w:sz w:val="21"/>
        </w:rPr>
        <w:t>菲律宾和英语必须都流利。</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所有满足最低要求的入围申请者将需要经过第二轮的招聘和选拔程序，即由专利局管理委员会进行的小组筛选和面试。此后，入围的申请者将被要求参加由人力资源部或IPOPHL认可的其他机构进行的心理测试。</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通过前三轮选拔的候选人将被录用为审查员。他们必须接受并成功完成所要求的培训，该培训由三个阶段组成，平均为期一年。</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培训计划和能力建设</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为了确保检索和审查质量，IPOPHL对专利审查员进行基于能力的培训和能力建设项目。它采用两级能力建设方式：</w:t>
      </w:r>
      <w:r>
        <w:rPr>
          <w:rFonts w:ascii="SimSun" w:hAnsi="SimSun" w:hint="eastAsia"/>
          <w:noProof/>
          <w:sz w:val="21"/>
        </w:rPr>
        <w:t>(</w:t>
      </w:r>
      <w:r w:rsidRPr="00A23B02">
        <w:rPr>
          <w:rFonts w:ascii="SimSun" w:hAnsi="SimSun" w:hint="eastAsia"/>
          <w:noProof/>
          <w:sz w:val="21"/>
        </w:rPr>
        <w:t>1</w:t>
      </w:r>
      <w:r>
        <w:rPr>
          <w:rFonts w:ascii="SimSun" w:hAnsi="SimSun" w:hint="eastAsia"/>
          <w:noProof/>
          <w:sz w:val="21"/>
        </w:rPr>
        <w:t>)</w:t>
      </w:r>
      <w:r w:rsidRPr="00A23B02">
        <w:rPr>
          <w:rFonts w:ascii="SimSun" w:hAnsi="SimSun" w:hint="eastAsia"/>
          <w:noProof/>
          <w:sz w:val="21"/>
        </w:rPr>
        <w:t>新审查员培训（NPET）；和</w:t>
      </w:r>
      <w:r>
        <w:rPr>
          <w:rFonts w:ascii="SimSun" w:hAnsi="SimSun" w:hint="eastAsia"/>
          <w:noProof/>
          <w:sz w:val="21"/>
        </w:rPr>
        <w:t>(</w:t>
      </w:r>
      <w:r w:rsidRPr="00A23B02">
        <w:rPr>
          <w:rFonts w:ascii="SimSun" w:hAnsi="SimSun" w:hint="eastAsia"/>
          <w:noProof/>
          <w:sz w:val="21"/>
        </w:rPr>
        <w:t>2</w:t>
      </w:r>
      <w:r>
        <w:rPr>
          <w:rFonts w:ascii="SimSun" w:hAnsi="SimSun" w:hint="eastAsia"/>
          <w:noProof/>
          <w:sz w:val="21"/>
        </w:rPr>
        <w:t>)</w:t>
      </w:r>
      <w:r w:rsidRPr="00A23B02">
        <w:rPr>
          <w:rFonts w:ascii="SimSun" w:hAnsi="SimSun" w:hint="eastAsia"/>
          <w:noProof/>
          <w:sz w:val="21"/>
        </w:rPr>
        <w:t>继续培训项目（CTP）。由IPOPHL开发的NPET是一个高度结构化和全面的培训项目，其中结合了美国专利商标局（USPTO）、澳大利亚知识产权局和欧洲专利局（EPO）培训项目的相关内容。NPET由3个阶段组成。第一阶段包括专利检索和审查的基本概念、实践和程序、法律规定、自动化以及个人和职业发展。第二阶段是专业技术的培训。新审查员被指定到审查部门，在那里他们处理实际申请，并将所学付诸实践。在这个阶段，他们由资深审查员指导和监督。在对之前阶段进行评估的基础上，第三阶段包括在审查、检索和其他必要的知识产权相关事务方面的补充培训。在NPET中会使用各种方法保证学习效果，例如讲座、团队工作、报告、测验和练习、研讨会。NPET每一阶段之后都会进行评估。</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下表包含了NPET的内容：</w:t>
      </w:r>
    </w:p>
    <w:p w:rsidR="00A4309A" w:rsidRPr="00941C46" w:rsidRDefault="00A4309A" w:rsidP="006C3627">
      <w:pPr>
        <w:spacing w:afterLines="50" w:after="120" w:line="340" w:lineRule="atLeast"/>
        <w:rPr>
          <w:rFonts w:ascii="KaiTi" w:eastAsia="KaiTi" w:hAnsi="KaiTi"/>
          <w:noProof/>
          <w:sz w:val="21"/>
          <w:szCs w:val="22"/>
          <w:lang w:val="x-none"/>
        </w:rPr>
      </w:pPr>
      <w:r w:rsidRPr="00941C46">
        <w:rPr>
          <w:rFonts w:ascii="KaiTi" w:eastAsia="KaiTi" w:hAnsi="KaiTi" w:hint="eastAsia"/>
          <w:noProof/>
          <w:sz w:val="21"/>
          <w:szCs w:val="22"/>
          <w:lang w:val="x-none"/>
        </w:rPr>
        <w:t>表1：新专利审查员培训（NPET）项目</w:t>
      </w:r>
    </w:p>
    <w:tbl>
      <w:tblPr>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2120"/>
        <w:gridCol w:w="6340"/>
      </w:tblGrid>
      <w:tr w:rsidR="00A4309A">
        <w:tc>
          <w:tcPr>
            <w:tcW w:w="1260" w:type="dxa"/>
            <w:shd w:val="clear" w:color="auto" w:fill="auto"/>
          </w:tcPr>
          <w:p w:rsidR="00A4309A" w:rsidRPr="00DF31C1" w:rsidRDefault="00A4309A" w:rsidP="006C3627">
            <w:pPr>
              <w:pStyle w:val="TableContents"/>
              <w:snapToGrid w:val="0"/>
              <w:spacing w:line="340" w:lineRule="atLeast"/>
              <w:rPr>
                <w:rFonts w:ascii="SimHei" w:eastAsia="SimHei" w:hAnsi="SimHei" w:cs="Times New Roman"/>
                <w:noProof/>
                <w:kern w:val="0"/>
                <w:sz w:val="21"/>
                <w:szCs w:val="22"/>
                <w:lang w:val="x-none" w:bidi="ar-SA"/>
              </w:rPr>
            </w:pPr>
          </w:p>
        </w:tc>
        <w:tc>
          <w:tcPr>
            <w:tcW w:w="2120" w:type="dxa"/>
            <w:shd w:val="clear" w:color="auto" w:fill="auto"/>
          </w:tcPr>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p>
        </w:tc>
        <w:tc>
          <w:tcPr>
            <w:tcW w:w="6340" w:type="dxa"/>
            <w:shd w:val="clear" w:color="auto" w:fill="auto"/>
          </w:tcPr>
          <w:p w:rsidR="00A4309A" w:rsidRPr="00A23B02" w:rsidRDefault="00A4309A" w:rsidP="006C3627">
            <w:pPr>
              <w:pStyle w:val="TableContents"/>
              <w:snapToGrid w:val="0"/>
              <w:spacing w:line="340" w:lineRule="atLeast"/>
              <w:jc w:val="center"/>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主题</w:t>
            </w:r>
          </w:p>
        </w:tc>
      </w:tr>
      <w:tr w:rsidR="00A4309A">
        <w:tc>
          <w:tcPr>
            <w:tcW w:w="1260" w:type="dxa"/>
            <w:shd w:val="clear" w:color="auto" w:fill="auto"/>
          </w:tcPr>
          <w:p w:rsidR="00A4309A" w:rsidRPr="00DF31C1" w:rsidRDefault="00A4309A" w:rsidP="006C3627">
            <w:pPr>
              <w:pStyle w:val="TableContents"/>
              <w:spacing w:line="340" w:lineRule="atLeast"/>
              <w:rPr>
                <w:rFonts w:ascii="SimHei" w:eastAsia="SimHei" w:hAnsi="SimHei" w:cs="Times New Roman"/>
                <w:noProof/>
                <w:kern w:val="0"/>
                <w:sz w:val="21"/>
                <w:szCs w:val="22"/>
                <w:lang w:val="x-none" w:bidi="ar-SA"/>
              </w:rPr>
            </w:pPr>
            <w:r w:rsidRPr="00DF31C1">
              <w:rPr>
                <w:rFonts w:ascii="SimHei" w:eastAsia="SimHei" w:hAnsi="SimHei" w:cs="Times New Roman" w:hint="eastAsia"/>
                <w:noProof/>
                <w:kern w:val="0"/>
                <w:sz w:val="21"/>
                <w:szCs w:val="22"/>
                <w:lang w:val="x-none" w:bidi="ar-SA"/>
              </w:rPr>
              <w:t>第一阶段</w:t>
            </w:r>
          </w:p>
        </w:tc>
        <w:tc>
          <w:tcPr>
            <w:tcW w:w="2120" w:type="dxa"/>
            <w:shd w:val="clear" w:color="auto" w:fill="auto"/>
          </w:tcPr>
          <w:p w:rsidR="00A4309A" w:rsidRPr="00DF31C1" w:rsidRDefault="00A4309A" w:rsidP="006C3627">
            <w:pPr>
              <w:pStyle w:val="TableContents"/>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基本概念和应用知识</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3</w:t>
            </w:r>
            <w:r>
              <w:rPr>
                <w:rFonts w:ascii="SimSun" w:hAnsi="SimSun" w:cs="Times New Roman" w:hint="eastAsia"/>
                <w:noProof/>
                <w:kern w:val="0"/>
                <w:sz w:val="21"/>
                <w:szCs w:val="22"/>
                <w:lang w:val="x-none" w:bidi="ar-SA"/>
              </w:rPr>
              <w:t>–</w:t>
            </w:r>
            <w:r w:rsidRPr="00A23B02">
              <w:rPr>
                <w:rFonts w:ascii="SimSun" w:hAnsi="SimSun" w:cs="Times New Roman" w:hint="eastAsia"/>
                <w:noProof/>
                <w:kern w:val="0"/>
                <w:sz w:val="21"/>
                <w:szCs w:val="22"/>
                <w:lang w:val="x-none" w:bidi="ar-SA"/>
              </w:rPr>
              <w:t>4个月</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2周</w:t>
            </w:r>
          </w:p>
        </w:tc>
        <w:tc>
          <w:tcPr>
            <w:tcW w:w="6340" w:type="dxa"/>
            <w:shd w:val="clear" w:color="auto" w:fill="auto"/>
          </w:tcPr>
          <w:p w:rsidR="00A4309A" w:rsidRPr="00DF31C1" w:rsidRDefault="00A4309A" w:rsidP="00A4309A">
            <w:pPr>
              <w:pStyle w:val="TableContents"/>
              <w:numPr>
                <w:ilvl w:val="0"/>
                <w:numId w:val="33"/>
              </w:numPr>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知识产权基础</w:t>
            </w:r>
          </w:p>
          <w:p w:rsidR="00A4309A" w:rsidRPr="00A23B02" w:rsidRDefault="00A4309A" w:rsidP="00A4309A">
            <w:pPr>
              <w:pStyle w:val="TableContents"/>
              <w:numPr>
                <w:ilvl w:val="0"/>
                <w:numId w:val="27"/>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知识产权介绍</w:t>
            </w:r>
          </w:p>
          <w:p w:rsidR="00A4309A" w:rsidRPr="00A23B02" w:rsidRDefault="00A4309A" w:rsidP="00A4309A">
            <w:pPr>
              <w:pStyle w:val="TableContents"/>
              <w:numPr>
                <w:ilvl w:val="0"/>
                <w:numId w:val="27"/>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菲律宾的知识产权制度</w:t>
            </w:r>
          </w:p>
          <w:p w:rsidR="00A4309A" w:rsidRPr="00A23B02" w:rsidRDefault="00A4309A" w:rsidP="00A4309A">
            <w:pPr>
              <w:pStyle w:val="TableContents"/>
              <w:numPr>
                <w:ilvl w:val="0"/>
                <w:numId w:val="27"/>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菲律宾知识产权保护方面的法律、法院和机构</w:t>
            </w:r>
          </w:p>
          <w:p w:rsidR="00A4309A" w:rsidRPr="00A23B02" w:rsidRDefault="00A4309A" w:rsidP="00A4309A">
            <w:pPr>
              <w:pStyle w:val="TableContents"/>
              <w:numPr>
                <w:ilvl w:val="0"/>
                <w:numId w:val="27"/>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专利合作条约（PCT）体系</w:t>
            </w:r>
          </w:p>
          <w:p w:rsidR="00A4309A" w:rsidRPr="00A23B02" w:rsidRDefault="00A4309A" w:rsidP="00A4309A">
            <w:pPr>
              <w:pStyle w:val="TableContents"/>
              <w:numPr>
                <w:ilvl w:val="0"/>
                <w:numId w:val="27"/>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自动化系统</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评价/评估：笔试和口试、测验、练习和作业单</w:t>
            </w:r>
          </w:p>
        </w:tc>
      </w:tr>
      <w:tr w:rsidR="00A4309A">
        <w:tc>
          <w:tcPr>
            <w:tcW w:w="1260" w:type="dxa"/>
            <w:shd w:val="clear" w:color="auto" w:fill="auto"/>
          </w:tcPr>
          <w:p w:rsidR="00A4309A" w:rsidRPr="00DF31C1" w:rsidRDefault="00A4309A" w:rsidP="006C3627">
            <w:pPr>
              <w:pStyle w:val="TableContents"/>
              <w:snapToGrid w:val="0"/>
              <w:spacing w:line="340" w:lineRule="atLeast"/>
              <w:rPr>
                <w:rFonts w:ascii="SimHei" w:eastAsia="SimHei" w:hAnsi="SimHei" w:cs="Times New Roman"/>
                <w:noProof/>
                <w:kern w:val="0"/>
                <w:sz w:val="21"/>
                <w:szCs w:val="22"/>
                <w:lang w:val="x-none" w:bidi="ar-SA"/>
              </w:rPr>
            </w:pPr>
          </w:p>
        </w:tc>
        <w:tc>
          <w:tcPr>
            <w:tcW w:w="2120" w:type="dxa"/>
            <w:shd w:val="clear" w:color="auto" w:fill="auto"/>
          </w:tcPr>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1周</w:t>
            </w:r>
          </w:p>
        </w:tc>
        <w:tc>
          <w:tcPr>
            <w:tcW w:w="6340" w:type="dxa"/>
            <w:shd w:val="clear" w:color="auto" w:fill="auto"/>
          </w:tcPr>
          <w:p w:rsidR="00A4309A" w:rsidRPr="00DF31C1" w:rsidRDefault="00A4309A" w:rsidP="00A4309A">
            <w:pPr>
              <w:pStyle w:val="TableContents"/>
              <w:numPr>
                <w:ilvl w:val="0"/>
                <w:numId w:val="33"/>
              </w:numPr>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专利要点</w:t>
            </w:r>
          </w:p>
          <w:p w:rsidR="00A4309A" w:rsidRPr="00A23B02" w:rsidRDefault="00A4309A" w:rsidP="00A4309A">
            <w:pPr>
              <w:pStyle w:val="TableContents"/>
              <w:numPr>
                <w:ilvl w:val="0"/>
                <w:numId w:val="28"/>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菲律宾专利申请</w:t>
            </w:r>
          </w:p>
          <w:p w:rsidR="00A4309A" w:rsidRPr="00A23B02" w:rsidRDefault="00A4309A" w:rsidP="00A4309A">
            <w:pPr>
              <w:pStyle w:val="TableContents"/>
              <w:numPr>
                <w:ilvl w:val="0"/>
                <w:numId w:val="28"/>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权利要求的基础知识</w:t>
            </w:r>
          </w:p>
          <w:p w:rsidR="00A4309A" w:rsidRPr="00A23B02" w:rsidRDefault="00A4309A" w:rsidP="00A4309A">
            <w:pPr>
              <w:pStyle w:val="TableContents"/>
              <w:numPr>
                <w:ilvl w:val="0"/>
                <w:numId w:val="28"/>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专利审查程序</w:t>
            </w:r>
          </w:p>
          <w:p w:rsidR="00A4309A" w:rsidRPr="00A23B02" w:rsidRDefault="00A4309A" w:rsidP="00A4309A">
            <w:pPr>
              <w:pStyle w:val="TableContents"/>
              <w:numPr>
                <w:ilvl w:val="0"/>
                <w:numId w:val="28"/>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驳回和异议的基础知识</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评价/评估：笔试和口试、测验、练习和作业单</w:t>
            </w:r>
          </w:p>
        </w:tc>
      </w:tr>
      <w:tr w:rsidR="00A4309A">
        <w:tc>
          <w:tcPr>
            <w:tcW w:w="1260" w:type="dxa"/>
            <w:shd w:val="clear" w:color="auto" w:fill="auto"/>
          </w:tcPr>
          <w:p w:rsidR="00A4309A" w:rsidRPr="00DF31C1" w:rsidRDefault="00A4309A" w:rsidP="006C3627">
            <w:pPr>
              <w:pStyle w:val="TableContents"/>
              <w:snapToGrid w:val="0"/>
              <w:spacing w:line="340" w:lineRule="atLeast"/>
              <w:rPr>
                <w:rFonts w:ascii="SimHei" w:eastAsia="SimHei" w:hAnsi="SimHei" w:cs="Times New Roman"/>
                <w:noProof/>
                <w:kern w:val="0"/>
                <w:sz w:val="21"/>
                <w:szCs w:val="22"/>
                <w:lang w:val="x-none" w:bidi="ar-SA"/>
              </w:rPr>
            </w:pPr>
          </w:p>
        </w:tc>
        <w:tc>
          <w:tcPr>
            <w:tcW w:w="2120" w:type="dxa"/>
            <w:shd w:val="clear" w:color="auto" w:fill="auto"/>
          </w:tcPr>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11周</w:t>
            </w:r>
          </w:p>
        </w:tc>
        <w:tc>
          <w:tcPr>
            <w:tcW w:w="6340" w:type="dxa"/>
            <w:shd w:val="clear" w:color="auto" w:fill="auto"/>
          </w:tcPr>
          <w:p w:rsidR="00A4309A" w:rsidRPr="00DF31C1" w:rsidRDefault="00A4309A" w:rsidP="00A4309A">
            <w:pPr>
              <w:pStyle w:val="TableContents"/>
              <w:numPr>
                <w:ilvl w:val="0"/>
                <w:numId w:val="33"/>
              </w:numPr>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专利申请审查</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形式要求</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优先权</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充分公开、能够实现和支持的要求</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权利要求的清楚和解释</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发明的单一性：事前和事后</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lastRenderedPageBreak/>
              <w:t>检索、搜索数据库和建立有效的检索策略</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文献的相关类型</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新颖性、创造性、工业实用性</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检索报告和书面意见</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专利申请的公布</w:t>
            </w:r>
          </w:p>
          <w:p w:rsidR="00A4309A" w:rsidRPr="00A23B02" w:rsidRDefault="00A4309A" w:rsidP="00A4309A">
            <w:pPr>
              <w:pStyle w:val="TableContents"/>
              <w:numPr>
                <w:ilvl w:val="0"/>
                <w:numId w:val="29"/>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实质审查：撰写审查报告</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评价/评估：笔试和口试、案例研究、测验和练习</w:t>
            </w:r>
          </w:p>
        </w:tc>
      </w:tr>
      <w:tr w:rsidR="00A4309A">
        <w:tc>
          <w:tcPr>
            <w:tcW w:w="1260" w:type="dxa"/>
            <w:shd w:val="clear" w:color="auto" w:fill="auto"/>
          </w:tcPr>
          <w:p w:rsidR="00A4309A" w:rsidRPr="00DF31C1" w:rsidRDefault="00A4309A" w:rsidP="006C3627">
            <w:pPr>
              <w:pStyle w:val="TableContents"/>
              <w:snapToGrid w:val="0"/>
              <w:spacing w:line="340" w:lineRule="atLeast"/>
              <w:rPr>
                <w:rFonts w:ascii="SimHei" w:eastAsia="SimHei" w:hAnsi="SimHei" w:cs="Times New Roman"/>
                <w:noProof/>
                <w:kern w:val="0"/>
                <w:sz w:val="21"/>
                <w:szCs w:val="22"/>
                <w:lang w:val="x-none" w:bidi="ar-SA"/>
              </w:rPr>
            </w:pPr>
          </w:p>
        </w:tc>
        <w:tc>
          <w:tcPr>
            <w:tcW w:w="2120" w:type="dxa"/>
            <w:shd w:val="clear" w:color="auto" w:fill="auto"/>
          </w:tcPr>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napToGrid w:val="0"/>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2周</w:t>
            </w:r>
          </w:p>
        </w:tc>
        <w:tc>
          <w:tcPr>
            <w:tcW w:w="6340" w:type="dxa"/>
            <w:shd w:val="clear" w:color="auto" w:fill="auto"/>
          </w:tcPr>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4.</w:t>
            </w:r>
            <w:r w:rsidRPr="00DF31C1">
              <w:rPr>
                <w:rFonts w:ascii="SimSun" w:hAnsi="SimSun" w:cs="Times New Roman" w:hint="eastAsia"/>
                <w:b/>
                <w:noProof/>
                <w:kern w:val="0"/>
                <w:sz w:val="21"/>
                <w:szCs w:val="22"/>
                <w:lang w:val="x-none" w:bidi="ar-SA"/>
              </w:rPr>
              <w:t>其他相关主题</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案例法</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实用新型和工业品外观设计</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商标</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商业秘密</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版权</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植物品种法</w:t>
            </w:r>
          </w:p>
          <w:p w:rsidR="00A4309A" w:rsidRPr="00A23B02" w:rsidRDefault="00A4309A" w:rsidP="00A4309A">
            <w:pPr>
              <w:pStyle w:val="TableContents"/>
              <w:numPr>
                <w:ilvl w:val="0"/>
                <w:numId w:val="30"/>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侵权</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评价/评估：笔试、测验、作业单和练习</w:t>
            </w:r>
          </w:p>
        </w:tc>
      </w:tr>
      <w:tr w:rsidR="00A4309A">
        <w:tc>
          <w:tcPr>
            <w:tcW w:w="1260" w:type="dxa"/>
            <w:shd w:val="clear" w:color="auto" w:fill="auto"/>
          </w:tcPr>
          <w:p w:rsidR="00A4309A" w:rsidRPr="00DF31C1" w:rsidRDefault="00A4309A" w:rsidP="006C3627">
            <w:pPr>
              <w:pStyle w:val="TableContents"/>
              <w:spacing w:line="340" w:lineRule="atLeast"/>
              <w:rPr>
                <w:rFonts w:ascii="SimHei" w:eastAsia="SimHei" w:hAnsi="SimHei" w:cs="Times New Roman"/>
                <w:noProof/>
                <w:kern w:val="0"/>
                <w:sz w:val="21"/>
                <w:szCs w:val="22"/>
                <w:lang w:val="x-none" w:bidi="ar-SA"/>
              </w:rPr>
            </w:pPr>
            <w:r w:rsidRPr="00DF31C1">
              <w:rPr>
                <w:rFonts w:ascii="SimHei" w:eastAsia="SimHei" w:hAnsi="SimHei" w:cs="Times New Roman" w:hint="eastAsia"/>
                <w:noProof/>
                <w:kern w:val="0"/>
                <w:sz w:val="21"/>
                <w:szCs w:val="22"/>
                <w:lang w:val="x-none" w:bidi="ar-SA"/>
              </w:rPr>
              <w:t>第二阶段</w:t>
            </w:r>
          </w:p>
        </w:tc>
        <w:tc>
          <w:tcPr>
            <w:tcW w:w="2120" w:type="dxa"/>
            <w:shd w:val="clear" w:color="auto" w:fill="auto"/>
          </w:tcPr>
          <w:p w:rsidR="00A4309A" w:rsidRPr="00DF31C1" w:rsidRDefault="00A4309A" w:rsidP="006C3627">
            <w:pPr>
              <w:pStyle w:val="TableContents"/>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专业技术培训</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4</w:t>
            </w:r>
            <w:r>
              <w:rPr>
                <w:rFonts w:ascii="SimSun" w:hAnsi="SimSun" w:cs="Times New Roman" w:hint="eastAsia"/>
                <w:noProof/>
                <w:kern w:val="0"/>
                <w:sz w:val="21"/>
                <w:szCs w:val="22"/>
                <w:lang w:val="x-none" w:bidi="ar-SA"/>
              </w:rPr>
              <w:t>–</w:t>
            </w:r>
            <w:r w:rsidRPr="00A23B02">
              <w:rPr>
                <w:rFonts w:ascii="SimSun" w:hAnsi="SimSun" w:cs="Times New Roman" w:hint="eastAsia"/>
                <w:noProof/>
                <w:kern w:val="0"/>
                <w:sz w:val="21"/>
                <w:szCs w:val="22"/>
                <w:lang w:val="x-none" w:bidi="ar-SA"/>
              </w:rPr>
              <w:t>6个月</w:t>
            </w:r>
          </w:p>
        </w:tc>
        <w:tc>
          <w:tcPr>
            <w:tcW w:w="6340" w:type="dxa"/>
            <w:shd w:val="clear" w:color="auto" w:fill="auto"/>
          </w:tcPr>
          <w:p w:rsidR="00A4309A" w:rsidRPr="00DF31C1" w:rsidRDefault="00A4309A" w:rsidP="006C3627">
            <w:pPr>
              <w:pStyle w:val="TableContents"/>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根据专业技术领域分配到指定部门</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在先学习的认定</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清楚</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发明单一性</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特定技术特征</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事先和事后</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新颖性、现有技术和新颖性表格</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创造性（显而易见性和问题解决法）</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检索策略的建立和记录</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报告撰写（外国审查报告）</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修改和允许的修改</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质量管理体系（QMS）</w:t>
            </w:r>
          </w:p>
          <w:p w:rsidR="00A4309A" w:rsidRPr="00A23B02" w:rsidRDefault="00A4309A" w:rsidP="00A4309A">
            <w:pPr>
              <w:pStyle w:val="TableContents"/>
              <w:numPr>
                <w:ilvl w:val="0"/>
                <w:numId w:val="31"/>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个别指导、案例研究和检索、审查和撰写</w:t>
            </w:r>
          </w:p>
          <w:p w:rsidR="00A4309A" w:rsidRPr="00A23B02" w:rsidRDefault="00A4309A" w:rsidP="006C3627">
            <w:pPr>
              <w:pStyle w:val="TableContents"/>
              <w:keepLine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评价/评估：分别成功完成6件专利申请的6份检索和实质审查报告，且符合专利质量评价体系（PQRS）的标准。</w:t>
            </w:r>
          </w:p>
        </w:tc>
      </w:tr>
      <w:tr w:rsidR="00A4309A">
        <w:tc>
          <w:tcPr>
            <w:tcW w:w="1260" w:type="dxa"/>
            <w:shd w:val="clear" w:color="auto" w:fill="auto"/>
          </w:tcPr>
          <w:p w:rsidR="00A4309A" w:rsidRPr="00DF31C1" w:rsidRDefault="00A4309A" w:rsidP="006C3627">
            <w:pPr>
              <w:pStyle w:val="TableContents"/>
              <w:spacing w:line="340" w:lineRule="atLeast"/>
              <w:rPr>
                <w:rFonts w:ascii="SimHei" w:eastAsia="SimHei" w:hAnsi="SimHei" w:cs="Times New Roman"/>
                <w:noProof/>
                <w:kern w:val="0"/>
                <w:sz w:val="21"/>
                <w:szCs w:val="22"/>
                <w:lang w:val="x-none" w:bidi="ar-SA"/>
              </w:rPr>
            </w:pPr>
            <w:r w:rsidRPr="00DF31C1">
              <w:rPr>
                <w:rFonts w:ascii="SimHei" w:eastAsia="SimHei" w:hAnsi="SimHei" w:cs="Times New Roman" w:hint="eastAsia"/>
                <w:noProof/>
                <w:kern w:val="0"/>
                <w:sz w:val="21"/>
                <w:szCs w:val="22"/>
                <w:lang w:val="x-none" w:bidi="ar-SA"/>
              </w:rPr>
              <w:t>第三阶段</w:t>
            </w:r>
          </w:p>
        </w:tc>
        <w:tc>
          <w:tcPr>
            <w:tcW w:w="2120" w:type="dxa"/>
            <w:shd w:val="clear" w:color="auto" w:fill="auto"/>
          </w:tcPr>
          <w:p w:rsidR="00A4309A" w:rsidRPr="00DF31C1" w:rsidRDefault="00A4309A" w:rsidP="006C3627">
            <w:pPr>
              <w:pStyle w:val="TableContents"/>
              <w:spacing w:line="340" w:lineRule="atLeast"/>
              <w:rPr>
                <w:rFonts w:ascii="SimSun" w:hAnsi="SimSun" w:cs="Times New Roman"/>
                <w:b/>
                <w:noProof/>
                <w:kern w:val="0"/>
                <w:sz w:val="21"/>
                <w:szCs w:val="22"/>
                <w:lang w:val="x-none" w:bidi="ar-SA"/>
              </w:rPr>
            </w:pPr>
            <w:r w:rsidRPr="00DF31C1">
              <w:rPr>
                <w:rFonts w:ascii="SimSun" w:hAnsi="SimSun" w:cs="Times New Roman" w:hint="eastAsia"/>
                <w:b/>
                <w:noProof/>
                <w:kern w:val="0"/>
                <w:sz w:val="21"/>
                <w:szCs w:val="22"/>
                <w:lang w:val="x-none" w:bidi="ar-SA"/>
              </w:rPr>
              <w:t>补充培训（根据需要）</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历时：</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1个月</w:t>
            </w:r>
          </w:p>
        </w:tc>
        <w:tc>
          <w:tcPr>
            <w:tcW w:w="6340" w:type="dxa"/>
            <w:shd w:val="clear" w:color="auto" w:fill="auto"/>
          </w:tcPr>
          <w:p w:rsidR="00A4309A" w:rsidRPr="00A23B02" w:rsidRDefault="00A4309A" w:rsidP="00A4309A">
            <w:pPr>
              <w:pStyle w:val="TableContents"/>
              <w:numPr>
                <w:ilvl w:val="0"/>
                <w:numId w:val="32"/>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更新与专利有关的法规、实践和程序</w:t>
            </w:r>
          </w:p>
          <w:p w:rsidR="00A4309A" w:rsidRPr="00A23B02" w:rsidRDefault="00A4309A" w:rsidP="00A4309A">
            <w:pPr>
              <w:pStyle w:val="TableContents"/>
              <w:numPr>
                <w:ilvl w:val="0"/>
                <w:numId w:val="32"/>
              </w:numPr>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审查和检索方面的补充培训</w:t>
            </w:r>
          </w:p>
          <w:p w:rsidR="00A4309A" w:rsidRPr="00A23B02" w:rsidRDefault="00A4309A" w:rsidP="006C3627">
            <w:pPr>
              <w:pStyle w:val="TableContents"/>
              <w:spacing w:line="340" w:lineRule="atLeast"/>
              <w:rPr>
                <w:rFonts w:ascii="SimSun" w:hAnsi="SimSun" w:cs="Times New Roman"/>
                <w:noProof/>
                <w:kern w:val="0"/>
                <w:sz w:val="21"/>
                <w:szCs w:val="22"/>
                <w:lang w:val="x-none" w:bidi="ar-SA"/>
              </w:rPr>
            </w:pPr>
            <w:r w:rsidRPr="00A23B02">
              <w:rPr>
                <w:rFonts w:ascii="SimSun" w:hAnsi="SimSun" w:cs="Times New Roman" w:hint="eastAsia"/>
                <w:noProof/>
                <w:kern w:val="0"/>
                <w:sz w:val="21"/>
                <w:szCs w:val="22"/>
                <w:lang w:val="x-none" w:bidi="ar-SA"/>
              </w:rPr>
              <w:t>评价/评估：完成月度目标，按时提交报告，报告符合专利质量体系规定的质量标准</w:t>
            </w:r>
          </w:p>
        </w:tc>
      </w:tr>
    </w:tbl>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为了进一步提高现有审查员的能力和素质，IPOPHL进行了继续培训项目。该项目包括在各技术领域以及新的和新兴的技术方面进行专利检索和审查的提高培训、研讨会和学术会议，更新与专利有关的立法、实践和程序，并参观采用先进技术的工厂。自2011以来，IPOPHL是科技部（DOST）返乡科学家（归国科学家）项目的合作伙伴，该项目计划通过不同新知识和专业技能的转移，增强国家科</w:t>
      </w:r>
      <w:r w:rsidRPr="00A23B02">
        <w:rPr>
          <w:rFonts w:ascii="SimSun" w:hAnsi="SimSun" w:hint="eastAsia"/>
          <w:noProof/>
          <w:sz w:val="21"/>
        </w:rPr>
        <w:lastRenderedPageBreak/>
        <w:t>技和技术人力资源。在这一项目中，在国外从事研究的DOST的博士学者为专业技术领域的专利审查员进行讲座和培训。</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已通过与其他知识产权局/国际局（例如USPTO、EPO、JPO以及WIPO）的合作，来加强检索和审查方面的能力建设。此外，专利审查员还接受了WIPO、欧洲专利学院和其他外国知识产权局提供的远程学习课程。另外，IPOPHL继续与WIPO PCT部门合作为审查员和管理人员提供有关PCT体系的培训和知识更新。</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为保持持续发展和维持胜任、充满活力的员工队伍，IPOPHL正为适合IPOPHL审查员技术需要而定制的生物工程硕士提供奖学金计划。这是与MIT合作的项目，MIT是国内首屈一指的工程学校，也是被高等教育委员会认可的优秀工程教育中心和工程与技术认证委员会（ABET）认证的机构。另外，正在为机械领域的审查员开发类似的项目。</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检索和审查资源与工具</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IPOPHL可以完全访问PCT实施细则第34条规定的最低限度文献。能够访问综合商业数据库、审查员精通检索和审查，这些对于确保优质的工作结果至关重要。</w:t>
      </w:r>
    </w:p>
    <w:p w:rsidR="00A4309A"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IPOPHL审查员可以访问以下的专利和非专利数据库：</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涵盖德温特世界专利索引（DWPI）的Thomson Innovation商业检索平台；</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WIPS全球数据库，其中包含美国、欧洲、日本、韩国、中国的全文授权专利和专利申请，以及包括公布的PCT申请的其他资源；</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公开提供的数据库，例如：</w:t>
      </w:r>
      <w:r>
        <w:rPr>
          <w:rFonts w:ascii="SimSun" w:hAnsi="SimSun" w:hint="eastAsia"/>
          <w:noProof/>
          <w:sz w:val="21"/>
        </w:rPr>
        <w:t>(</w:t>
      </w:r>
      <w:r w:rsidRPr="00A23B02">
        <w:rPr>
          <w:rFonts w:ascii="SimSun" w:hAnsi="SimSun" w:hint="eastAsia"/>
          <w:noProof/>
          <w:sz w:val="21"/>
        </w:rPr>
        <w:t>i</w:t>
      </w:r>
      <w:r>
        <w:rPr>
          <w:rFonts w:ascii="SimSun" w:hAnsi="SimSun" w:hint="eastAsia"/>
          <w:noProof/>
          <w:sz w:val="21"/>
        </w:rPr>
        <w:t>)</w:t>
      </w:r>
      <w:r w:rsidRPr="00A23B02">
        <w:rPr>
          <w:rFonts w:ascii="SimSun" w:hAnsi="SimSun" w:hint="eastAsia"/>
          <w:noProof/>
          <w:sz w:val="21"/>
        </w:rPr>
        <w:t>OPSIN（以系统性IUAPAC命名的开放解析器）；</w:t>
      </w: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sidRPr="00A23B02">
        <w:rPr>
          <w:rFonts w:ascii="SimSun" w:hAnsi="SimSun" w:hint="eastAsia"/>
          <w:noProof/>
          <w:sz w:val="21"/>
        </w:rPr>
        <w:t>NCBI（美国国家生物技术信息中心）；</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用于序列表检索的EMBL</w:t>
      </w:r>
      <w:r>
        <w:rPr>
          <w:rFonts w:ascii="SimSun" w:hAnsi="SimSun" w:hint="eastAsia"/>
          <w:noProof/>
          <w:sz w:val="21"/>
        </w:rPr>
        <w:t>–</w:t>
      </w:r>
      <w:r w:rsidRPr="00A23B02">
        <w:rPr>
          <w:rFonts w:ascii="SimSun" w:hAnsi="SimSun" w:hint="eastAsia"/>
          <w:noProof/>
          <w:sz w:val="21"/>
        </w:rPr>
        <w:t>EBI（欧洲分子生物学实验室</w:t>
      </w:r>
      <w:r>
        <w:rPr>
          <w:rFonts w:ascii="SimSun" w:hAnsi="SimSun" w:hint="eastAsia"/>
          <w:noProof/>
          <w:sz w:val="21"/>
        </w:rPr>
        <w:t>–</w:t>
      </w:r>
      <w:r w:rsidRPr="00A23B02">
        <w:rPr>
          <w:rFonts w:ascii="SimSun" w:hAnsi="SimSun" w:hint="eastAsia"/>
          <w:noProof/>
          <w:sz w:val="21"/>
        </w:rPr>
        <w:t>欧洲生物信息学研究所）；</w:t>
      </w:r>
      <w:r>
        <w:rPr>
          <w:rFonts w:ascii="SimSun" w:hAnsi="SimSun" w:hint="eastAsia"/>
          <w:noProof/>
          <w:sz w:val="21"/>
        </w:rPr>
        <w:t>(</w:t>
      </w:r>
      <w:r w:rsidRPr="00A23B02">
        <w:rPr>
          <w:rFonts w:ascii="SimSun" w:hAnsi="SimSun" w:hint="eastAsia"/>
          <w:noProof/>
          <w:sz w:val="21"/>
        </w:rPr>
        <w:t>iv</w:t>
      </w:r>
      <w:r>
        <w:rPr>
          <w:rFonts w:ascii="SimSun" w:hAnsi="SimSun" w:hint="eastAsia"/>
          <w:noProof/>
          <w:sz w:val="21"/>
        </w:rPr>
        <w:t>)</w:t>
      </w:r>
      <w:r w:rsidRPr="00A23B02">
        <w:rPr>
          <w:rFonts w:ascii="SimSun" w:hAnsi="SimSun" w:hint="eastAsia"/>
          <w:noProof/>
          <w:sz w:val="21"/>
        </w:rPr>
        <w:t>3GPP（电信技术）；</w:t>
      </w: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sidRPr="00A23B02">
        <w:rPr>
          <w:rFonts w:ascii="SimSun" w:hAnsi="SimSun" w:hint="eastAsia"/>
          <w:noProof/>
          <w:sz w:val="21"/>
        </w:rPr>
        <w:t>WIPO Case</w:t>
      </w:r>
      <w:r>
        <w:rPr>
          <w:rFonts w:ascii="SimSun" w:hAnsi="SimSun" w:hint="eastAsia"/>
          <w:noProof/>
          <w:sz w:val="21"/>
        </w:rPr>
        <w:t>；</w:t>
      </w:r>
      <w:r w:rsidRPr="00A23B02">
        <w:rPr>
          <w:rFonts w:ascii="SimSun" w:hAnsi="SimSun" w:hint="eastAsia"/>
          <w:noProof/>
          <w:sz w:val="21"/>
        </w:rPr>
        <w:t>和</w:t>
      </w:r>
      <w:r>
        <w:rPr>
          <w:rFonts w:ascii="SimSun" w:hAnsi="SimSun" w:hint="eastAsia"/>
          <w:noProof/>
          <w:sz w:val="21"/>
        </w:rPr>
        <w:t>(</w:t>
      </w:r>
      <w:r w:rsidRPr="00A23B02">
        <w:rPr>
          <w:rFonts w:ascii="SimSun" w:hAnsi="SimSun" w:hint="eastAsia"/>
          <w:noProof/>
          <w:sz w:val="21"/>
        </w:rPr>
        <w:t>vi</w:t>
      </w:r>
      <w:r>
        <w:rPr>
          <w:rFonts w:ascii="SimSun" w:hAnsi="SimSun" w:hint="eastAsia"/>
          <w:noProof/>
          <w:sz w:val="21"/>
        </w:rPr>
        <w:t>)</w:t>
      </w:r>
      <w:r w:rsidRPr="00A23B02">
        <w:rPr>
          <w:rFonts w:ascii="SimSun" w:hAnsi="SimSun" w:hint="eastAsia"/>
          <w:noProof/>
          <w:sz w:val="21"/>
        </w:rPr>
        <w:t>PatentScope；</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d</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PubMed等为化学、分子生物学和其他临床科学领域提供非专利文献的数据库，以及用于全面DNA和蛋白质序列检索的The Lens数据库；</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e</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IPOPHL IPDL（工业产权数字图书馆）和IPOPHL内部的数据库IPAS（工业产权自动化系统）；和</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f</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其他知识产权局的国家专利数据库，如USPTO，J</w:t>
      </w:r>
      <w:r>
        <w:rPr>
          <w:rFonts w:ascii="SimSun" w:hAnsi="SimSun" w:hint="eastAsia"/>
          <w:noProof/>
          <w:sz w:val="21"/>
        </w:rPr>
        <w:t>–</w:t>
      </w:r>
      <w:r w:rsidRPr="00A23B02">
        <w:rPr>
          <w:rFonts w:ascii="SimSun" w:hAnsi="SimSun" w:hint="eastAsia"/>
          <w:noProof/>
          <w:sz w:val="21"/>
        </w:rPr>
        <w:t>PATPLAT，AUSPAT，Espacenet和AIPN。</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虽然已经符合最低文献要求，但IPOPHL的检索选择和范围将很快通过访问STN和IEEE Digital Explore得到进一步扩展，并且IPOPHL正在讨论访问EPOQUENet。</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IT系统</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IPOPHL使用专门为IPOPHL处理工作流程配置的WIPO IPAS。IPAS与包括在线申请和支付系统在内的其他内部开发的系统进行集成，以实现发明、工业品外观设计、实用新型和商标申请的端到端处理。</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IPAS提供了在检索和审查过程的各个方面发挥核心作用的多个模块：</w:t>
      </w:r>
      <w:r>
        <w:rPr>
          <w:rFonts w:ascii="SimSun" w:hAnsi="SimSun" w:hint="eastAsia"/>
          <w:noProof/>
          <w:sz w:val="21"/>
        </w:rPr>
        <w:t>(</w:t>
      </w:r>
      <w:r w:rsidRPr="00A23B02">
        <w:rPr>
          <w:rFonts w:ascii="SimSun" w:hAnsi="SimSun" w:hint="eastAsia"/>
          <w:noProof/>
          <w:sz w:val="21"/>
        </w:rPr>
        <w:t>1</w:t>
      </w:r>
      <w:r>
        <w:rPr>
          <w:rFonts w:ascii="SimSun" w:hAnsi="SimSun" w:hint="eastAsia"/>
          <w:noProof/>
          <w:sz w:val="21"/>
        </w:rPr>
        <w:t>)</w:t>
      </w:r>
      <w:r w:rsidRPr="00A23B02">
        <w:rPr>
          <w:rFonts w:ascii="SimSun" w:hAnsi="SimSun" w:hint="eastAsia"/>
          <w:noProof/>
          <w:sz w:val="21"/>
        </w:rPr>
        <w:t>待办事项列表模块——跟踪审查过程的每个阶段，提供所有申请状态的实时细节；</w:t>
      </w:r>
      <w:r>
        <w:rPr>
          <w:rFonts w:ascii="SimSun" w:hAnsi="SimSun" w:hint="eastAsia"/>
          <w:noProof/>
          <w:sz w:val="21"/>
        </w:rPr>
        <w:t>(</w:t>
      </w:r>
      <w:r w:rsidRPr="00A23B02">
        <w:rPr>
          <w:rFonts w:ascii="SimSun" w:hAnsi="SimSun" w:hint="eastAsia"/>
          <w:noProof/>
          <w:sz w:val="21"/>
        </w:rPr>
        <w:t>2</w:t>
      </w:r>
      <w:r>
        <w:rPr>
          <w:rFonts w:ascii="SimSun" w:hAnsi="SimSun" w:hint="eastAsia"/>
          <w:noProof/>
          <w:sz w:val="21"/>
        </w:rPr>
        <w:t>)</w:t>
      </w:r>
      <w:r w:rsidRPr="00A23B02">
        <w:rPr>
          <w:rFonts w:ascii="SimSun" w:hAnsi="SimSun" w:hint="eastAsia"/>
          <w:noProof/>
          <w:sz w:val="21"/>
        </w:rPr>
        <w:t>工作流程模块——用作电子文件打包器，显示与申请有关的处理的即时信息；</w:t>
      </w:r>
      <w:r>
        <w:rPr>
          <w:rFonts w:ascii="SimSun" w:hAnsi="SimSun" w:hint="eastAsia"/>
          <w:noProof/>
          <w:sz w:val="21"/>
        </w:rPr>
        <w:t>(</w:t>
      </w:r>
      <w:r w:rsidRPr="00A23B02">
        <w:rPr>
          <w:rFonts w:ascii="SimSun" w:hAnsi="SimSun" w:hint="eastAsia"/>
          <w:noProof/>
          <w:sz w:val="21"/>
        </w:rPr>
        <w:t>3</w:t>
      </w:r>
      <w:r>
        <w:rPr>
          <w:rFonts w:ascii="SimSun" w:hAnsi="SimSun" w:hint="eastAsia"/>
          <w:noProof/>
          <w:sz w:val="21"/>
        </w:rPr>
        <w:t>)</w:t>
      </w:r>
      <w:r w:rsidRPr="00A23B02">
        <w:rPr>
          <w:rFonts w:ascii="SimSun" w:hAnsi="SimSun" w:hint="eastAsia"/>
          <w:noProof/>
          <w:sz w:val="21"/>
        </w:rPr>
        <w:t>通知书模块——通过提供标准化的通知书模板以及对下一</w:t>
      </w:r>
      <w:r w:rsidRPr="00A23B02">
        <w:rPr>
          <w:rFonts w:ascii="SimSun" w:hAnsi="SimSun" w:hint="eastAsia"/>
          <w:noProof/>
          <w:sz w:val="21"/>
        </w:rPr>
        <w:lastRenderedPageBreak/>
        <w:t>次通知书的指引，协助审查员起草审查意见报告；</w:t>
      </w:r>
      <w:r>
        <w:rPr>
          <w:rFonts w:ascii="SimSun" w:hAnsi="SimSun" w:hint="eastAsia"/>
          <w:noProof/>
          <w:sz w:val="21"/>
        </w:rPr>
        <w:t>(</w:t>
      </w:r>
      <w:r w:rsidRPr="00A23B02">
        <w:rPr>
          <w:rFonts w:ascii="SimSun" w:hAnsi="SimSun" w:hint="eastAsia"/>
          <w:noProof/>
          <w:sz w:val="21"/>
        </w:rPr>
        <w:t>4</w:t>
      </w:r>
      <w:r>
        <w:rPr>
          <w:rFonts w:ascii="SimSun" w:hAnsi="SimSun" w:hint="eastAsia"/>
          <w:noProof/>
          <w:sz w:val="21"/>
        </w:rPr>
        <w:t>)</w:t>
      </w:r>
      <w:r w:rsidRPr="00A23B02">
        <w:rPr>
          <w:rFonts w:ascii="SimSun" w:hAnsi="SimSun" w:hint="eastAsia"/>
          <w:noProof/>
          <w:sz w:val="21"/>
        </w:rPr>
        <w:t>检索模块——使审查员能够访问本地提交的已公布和未公布的工业设计、实用新型和专利申请；和</w:t>
      </w:r>
      <w:r>
        <w:rPr>
          <w:rFonts w:ascii="SimSun" w:hAnsi="SimSun" w:hint="eastAsia"/>
          <w:noProof/>
          <w:sz w:val="21"/>
        </w:rPr>
        <w:t>(</w:t>
      </w:r>
      <w:r w:rsidRPr="00A23B02">
        <w:rPr>
          <w:rFonts w:ascii="SimSun" w:hAnsi="SimSun" w:hint="eastAsia"/>
          <w:noProof/>
          <w:sz w:val="21"/>
        </w:rPr>
        <w:t>5</w:t>
      </w:r>
      <w:r>
        <w:rPr>
          <w:rFonts w:ascii="SimSun" w:hAnsi="SimSun" w:hint="eastAsia"/>
          <w:noProof/>
          <w:sz w:val="21"/>
        </w:rPr>
        <w:t>)</w:t>
      </w:r>
      <w:r w:rsidRPr="00A23B02">
        <w:rPr>
          <w:rFonts w:ascii="SimSun" w:hAnsi="SimSun" w:hint="eastAsia"/>
          <w:noProof/>
          <w:sz w:val="21"/>
        </w:rPr>
        <w:t>电子文件管理系统——提供对申请人提交信件电子副本的访问。</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IPOPHL目前正在努力优化业务流程并提高效率，特别是在检索和审查过程中的关键领域，包括用于在线通信、质量评价、实时通知和专利检索的平台。</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关于网络基础设施，IPOPHL已经实施了一个全面的、集成的安全解决方案，从安全防火墙设备开始，附带具有防病毒、反木马和反垃圾邮件功能的入侵防御系统以及能够确保站点到站点安全连接的IPSec虚拟专用网络。核心网络交换机由具有足够带宽的两个有源因特网节点供电以服务于整个网络，并且具有在其中一个节点发生故障情况下的故障切换能力。实现了服务器虚拟化，可以更快速地提供申请系统的准备和应用，同时确保更高的可用性和正常运行时间。IPOPHL已经签约了基于云的数据备份服务，并定期执行数据备份和测试程序。</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质量管理体系</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IPOPHL致力于不断提高业务流程的工作质量和效率，确保工作结果和运行与其他知识产权局相当。</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有三种质量检查机制：</w:t>
      </w: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sidRPr="00A23B02">
        <w:rPr>
          <w:rFonts w:ascii="SimSun" w:hAnsi="SimSun" w:hint="eastAsia"/>
          <w:noProof/>
          <w:sz w:val="21"/>
        </w:rPr>
        <w:t>过程中；</w:t>
      </w: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sidRPr="00A23B02">
        <w:rPr>
          <w:rFonts w:ascii="SimSun" w:hAnsi="SimSun" w:hint="eastAsia"/>
          <w:noProof/>
          <w:sz w:val="21"/>
        </w:rPr>
        <w:t>ISO质量管理体系；和</w:t>
      </w: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sidRPr="00A23B02">
        <w:rPr>
          <w:rFonts w:ascii="SimSun" w:hAnsi="SimSun" w:hint="eastAsia"/>
          <w:noProof/>
          <w:sz w:val="21"/>
        </w:rPr>
        <w:t>专利质量评价体系（PQRS）。</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对于过程中的检查，审查员的所有工作结果，如检索和实质审查报告及其他通知书，均需通过助理主管和主管完成的两级过程中的质量检查，以确保质量并符合审查指南和程序的要求。</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关于ISO 9001：2008质量管理体系，IPOPHL于2013年1月获得了认证，并于2016年1月获得了第二次认证。该认证涵盖了专利、实用新型、工业品外观设计和商标注册的流程。质量管理体系将管理业务流程的系统方案的结构、机制和标准制度化。同样，它也规定了内部质量审核。目前，IPOPHL正在准备将ISO认证转换为9001：2015标准，使其能够保持业务效率，制定有效的风险管理策略并提高客户满意度。</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PQRS是一个制度化的过程，确保工作结果的质量和一致性，如手续、检索和实质审查报告。PQRS由对审查员的工作结果进行评价和检查的质量管理部门（QMD）管理。</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对于PCT国际检索和审查指南第21章的质量管理体系的初步报告，使用“质量管理体系报告”模板进行了详细描述，并附在本文件后作为</w:t>
      </w:r>
      <w:r>
        <w:rPr>
          <w:rFonts w:ascii="SimSun" w:hAnsi="SimSun" w:hint="eastAsia"/>
          <w:noProof/>
          <w:sz w:val="21"/>
        </w:rPr>
        <w:t>附录</w:t>
      </w:r>
      <w:r w:rsidRPr="00A23B02">
        <w:rPr>
          <w:rFonts w:ascii="SimSun" w:hAnsi="SimSun" w:hint="eastAsia"/>
          <w:noProof/>
          <w:sz w:val="21"/>
        </w:rPr>
        <w:t>1。</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五、其他机构的评估</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根据PCT大会第46届会议通过的国际单位指定程序，IPOPHL已经寻求JPO和澳大利亚知识产权局的协助，以评估IPOPHL在多大程度上满足指定为国际单位的最低要求。两局都得出结论：IPOPHL将在成员国大会召开时满足要求。澳大利亚知识产权局和JPO的评估报告分别作为附</w:t>
      </w:r>
      <w:r>
        <w:rPr>
          <w:rFonts w:ascii="SimSun" w:hAnsi="SimSun" w:hint="eastAsia"/>
          <w:noProof/>
          <w:sz w:val="21"/>
        </w:rPr>
        <w:t>录</w:t>
      </w:r>
      <w:r w:rsidRPr="00A23B02">
        <w:rPr>
          <w:rFonts w:ascii="SimSun" w:hAnsi="SimSun" w:hint="eastAsia"/>
          <w:noProof/>
          <w:sz w:val="21"/>
        </w:rPr>
        <w:t>2和附</w:t>
      </w:r>
      <w:r>
        <w:rPr>
          <w:rFonts w:ascii="SimSun" w:hAnsi="SimSun" w:hint="eastAsia"/>
          <w:noProof/>
          <w:sz w:val="21"/>
        </w:rPr>
        <w:t>录</w:t>
      </w:r>
      <w:r w:rsidRPr="00A23B02">
        <w:rPr>
          <w:rFonts w:ascii="SimSun" w:hAnsi="SimSun" w:hint="eastAsia"/>
          <w:noProof/>
          <w:sz w:val="21"/>
        </w:rPr>
        <w:t>3。</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六、知识产权</w:t>
      </w:r>
      <w:r>
        <w:rPr>
          <w:rFonts w:ascii="SimHei" w:eastAsia="SimHei" w:hAnsi="SimHei" w:hint="eastAsia"/>
          <w:b w:val="0"/>
          <w:noProof/>
          <w:sz w:val="21"/>
          <w:szCs w:val="21"/>
        </w:rPr>
        <w:t>行政</w:t>
      </w:r>
      <w:r w:rsidRPr="00591F17">
        <w:rPr>
          <w:rFonts w:ascii="SimHei" w:eastAsia="SimHei" w:hAnsi="SimHei" w:hint="eastAsia"/>
          <w:b w:val="0"/>
          <w:noProof/>
          <w:sz w:val="21"/>
          <w:szCs w:val="21"/>
        </w:rPr>
        <w:t>管理</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专利行政管理</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2010</w:t>
      </w:r>
      <w:r>
        <w:rPr>
          <w:rFonts w:ascii="SimSun" w:hAnsi="SimSun" w:hint="eastAsia"/>
          <w:noProof/>
          <w:sz w:val="21"/>
        </w:rPr>
        <w:t>–</w:t>
      </w:r>
      <w:r w:rsidRPr="00A23B02">
        <w:rPr>
          <w:rFonts w:ascii="SimSun" w:hAnsi="SimSun" w:hint="eastAsia"/>
          <w:noProof/>
          <w:sz w:val="21"/>
        </w:rPr>
        <w:t>2016年，IPOPHL平均每年收到来自本国居民和非本国居民的3,193份申请。非本国居民申请仍高于本国居民申请。2013</w:t>
      </w:r>
      <w:r>
        <w:rPr>
          <w:rFonts w:ascii="SimSun" w:hAnsi="SimSun" w:hint="eastAsia"/>
          <w:noProof/>
          <w:sz w:val="21"/>
        </w:rPr>
        <w:t>–</w:t>
      </w:r>
      <w:r w:rsidRPr="00A23B02">
        <w:rPr>
          <w:rFonts w:ascii="SimSun" w:hAnsi="SimSun" w:hint="eastAsia"/>
          <w:noProof/>
          <w:sz w:val="21"/>
        </w:rPr>
        <w:t>2016年，本国居民的申请比2010</w:t>
      </w:r>
      <w:r>
        <w:rPr>
          <w:rFonts w:ascii="SimSun" w:hAnsi="SimSun" w:hint="eastAsia"/>
          <w:noProof/>
          <w:sz w:val="21"/>
        </w:rPr>
        <w:t>–</w:t>
      </w:r>
      <w:r w:rsidRPr="00A23B02">
        <w:rPr>
          <w:rFonts w:ascii="SimSun" w:hAnsi="SimSun" w:hint="eastAsia"/>
          <w:noProof/>
          <w:sz w:val="21"/>
        </w:rPr>
        <w:t>2012年受理的本国居民的申请平均增长了48</w:t>
      </w:r>
      <w:r>
        <w:rPr>
          <w:rFonts w:ascii="SimSun" w:hAnsi="SimSun" w:hint="eastAsia"/>
          <w:noProof/>
          <w:sz w:val="21"/>
        </w:rPr>
        <w:t>%</w:t>
      </w:r>
      <w:r w:rsidRPr="00A23B02">
        <w:rPr>
          <w:rFonts w:ascii="SimSun" w:hAnsi="SimSun" w:hint="eastAsia"/>
          <w:noProof/>
          <w:sz w:val="21"/>
        </w:rPr>
        <w:t>。</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因此，IPOPHL的专利授权量与专利申请量具有相似的统计情况，授予非本国居民的专利比例很大。2013</w:t>
      </w:r>
      <w:r>
        <w:rPr>
          <w:rFonts w:ascii="SimSun" w:hAnsi="SimSun" w:hint="eastAsia"/>
          <w:noProof/>
          <w:sz w:val="21"/>
        </w:rPr>
        <w:t>–</w:t>
      </w:r>
      <w:r w:rsidRPr="00A23B02">
        <w:rPr>
          <w:rFonts w:ascii="SimSun" w:hAnsi="SimSun" w:hint="eastAsia"/>
          <w:noProof/>
          <w:sz w:val="21"/>
        </w:rPr>
        <w:t>2016年，每年平均有2,028件授权专利，比2010</w:t>
      </w:r>
      <w:r>
        <w:rPr>
          <w:rFonts w:ascii="SimSun" w:hAnsi="SimSun" w:hint="eastAsia"/>
          <w:noProof/>
          <w:sz w:val="21"/>
        </w:rPr>
        <w:t>–</w:t>
      </w:r>
      <w:r w:rsidRPr="00A23B02">
        <w:rPr>
          <w:rFonts w:ascii="SimSun" w:hAnsi="SimSun" w:hint="eastAsia"/>
          <w:noProof/>
          <w:sz w:val="21"/>
        </w:rPr>
        <w:t>2012年1,213件的平均授权量增长了40</w:t>
      </w:r>
      <w:r>
        <w:rPr>
          <w:rFonts w:ascii="SimSun" w:hAnsi="SimSun" w:hint="eastAsia"/>
          <w:noProof/>
          <w:sz w:val="21"/>
        </w:rPr>
        <w:t>%</w:t>
      </w:r>
      <w:r w:rsidRPr="00A23B02">
        <w:rPr>
          <w:rFonts w:ascii="SimSun" w:hAnsi="SimSun" w:hint="eastAsia"/>
          <w:noProof/>
          <w:sz w:val="21"/>
        </w:rPr>
        <w:t>。</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IPOPHL通过流水线式的程序和提高运行效率来不断改进流程，使得专利处理周期大幅减少。从2013年到2016年，IPOPHL从申请日起包括18个月保密期在内的处理时间保持在50个月以下。</w:t>
      </w:r>
    </w:p>
    <w:p w:rsidR="00A4309A" w:rsidRPr="007261EC" w:rsidRDefault="00A4309A" w:rsidP="006C3627">
      <w:pPr>
        <w:pStyle w:val="3"/>
        <w:overflowPunct w:val="0"/>
        <w:spacing w:beforeLines="100" w:afterLines="50" w:after="120" w:line="340" w:lineRule="atLeast"/>
        <w:rPr>
          <w:rFonts w:ascii="SimSun" w:hAnsi="SimSun"/>
          <w:b/>
          <w:bCs w:val="0"/>
          <w:noProof/>
          <w:sz w:val="21"/>
          <w:szCs w:val="22"/>
          <w:lang w:val="x-none"/>
        </w:rPr>
      </w:pPr>
      <w:r w:rsidRPr="007261EC">
        <w:rPr>
          <w:rFonts w:ascii="SimSun" w:hAnsi="SimSun" w:hint="eastAsia"/>
          <w:bCs w:val="0"/>
          <w:noProof/>
          <w:sz w:val="21"/>
          <w:szCs w:val="22"/>
          <w:lang w:val="x-none"/>
        </w:rPr>
        <w:t>国际合作</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当前，IPOPHL与其他知识产权局，如JPO、USPTO、EPO、韩国特许厅（KIPO）、欧盟知识产权局（EUIPO）、塔吉克斯坦专利和信息中心、</w:t>
      </w:r>
      <w:r>
        <w:rPr>
          <w:rFonts w:ascii="SimSun" w:hAnsi="SimSun" w:hint="eastAsia"/>
          <w:noProof/>
          <w:sz w:val="21"/>
        </w:rPr>
        <w:t>联合王国</w:t>
      </w:r>
      <w:r w:rsidRPr="00A23B02">
        <w:rPr>
          <w:rFonts w:ascii="SimSun" w:hAnsi="SimSun" w:hint="eastAsia"/>
          <w:noProof/>
          <w:sz w:val="21"/>
        </w:rPr>
        <w:t>知识产权局（UKIPO）、墨西哥工业产权局（IMPI）和法国国家工业产权局（INPI）等开展了双边合作。</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IPOPHL是东盟知识产权保护工作组（AWGIPC）的正式成员，也是2016</w:t>
      </w:r>
      <w:r>
        <w:rPr>
          <w:rFonts w:ascii="SimSun" w:hAnsi="SimSun" w:hint="eastAsia"/>
          <w:noProof/>
          <w:sz w:val="21"/>
        </w:rPr>
        <w:t>–</w:t>
      </w:r>
      <w:r w:rsidRPr="00A23B02">
        <w:rPr>
          <w:rFonts w:ascii="SimSun" w:hAnsi="SimSun" w:hint="eastAsia"/>
          <w:noProof/>
          <w:sz w:val="21"/>
        </w:rPr>
        <w:t>2025年知识产权行动计划的12个发起国之一。</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是由IP5（EPO、USPTO、SIPO、JPO和KIPO）、澳大利亚、加拿大、以色列、墨西哥和新加坡等组成的专利审查高速路（PPH）网络的成员。PPH是专利局之间的工作共享架构，旨在加快审查过程，最大限度地利用资源并提高审查质量。</w:t>
      </w:r>
    </w:p>
    <w:p w:rsidR="00A4309A" w:rsidRPr="00591F17" w:rsidRDefault="00A4309A" w:rsidP="00A4309A">
      <w:pPr>
        <w:pStyle w:val="1"/>
        <w:spacing w:beforeLines="100" w:before="240" w:afterLines="50" w:after="120" w:line="340" w:lineRule="atLeast"/>
        <w:rPr>
          <w:rFonts w:ascii="SimHei" w:eastAsia="SimHei" w:hAnsi="SimHei"/>
          <w:b w:val="0"/>
          <w:noProof/>
          <w:sz w:val="21"/>
          <w:szCs w:val="21"/>
        </w:rPr>
      </w:pPr>
      <w:r w:rsidRPr="00591F17">
        <w:rPr>
          <w:rFonts w:ascii="SimHei" w:eastAsia="SimHei" w:hAnsi="SimHei" w:hint="eastAsia"/>
          <w:b w:val="0"/>
          <w:noProof/>
          <w:sz w:val="21"/>
          <w:szCs w:val="21"/>
        </w:rPr>
        <w:t>七、结</w:t>
      </w:r>
      <w:r>
        <w:rPr>
          <w:rFonts w:ascii="SimHei" w:eastAsia="SimHei" w:hAnsi="SimHei" w:hint="eastAsia"/>
          <w:b w:val="0"/>
          <w:noProof/>
          <w:sz w:val="21"/>
          <w:szCs w:val="21"/>
        </w:rPr>
        <w:t xml:space="preserve">　语</w:t>
      </w:r>
    </w:p>
    <w:p w:rsidR="00A4309A" w:rsidRPr="00A218E5" w:rsidRDefault="00A4309A" w:rsidP="006C3627">
      <w:pPr>
        <w:pStyle w:val="ONUME"/>
        <w:tabs>
          <w:tab w:val="clear" w:pos="567"/>
        </w:tabs>
        <w:overflowPunct w:val="0"/>
        <w:spacing w:afterLines="50" w:after="120" w:line="340" w:lineRule="atLeast"/>
        <w:jc w:val="both"/>
        <w:rPr>
          <w:rFonts w:ascii="SimSun" w:hAnsi="SimSun"/>
          <w:noProof/>
          <w:sz w:val="21"/>
          <w:u w:val="single"/>
        </w:rPr>
      </w:pPr>
      <w:r w:rsidRPr="00A23B02">
        <w:rPr>
          <w:rFonts w:ascii="SimSun" w:hAnsi="SimSun" w:hint="eastAsia"/>
          <w:noProof/>
          <w:sz w:val="21"/>
        </w:rPr>
        <w:t>IPOPHL符合被指定为国际单位的最低要求：</w:t>
      </w:r>
    </w:p>
    <w:p w:rsidR="00A4309A" w:rsidRPr="007261EC" w:rsidRDefault="00A4309A" w:rsidP="006C3627">
      <w:pPr>
        <w:pStyle w:val="ONUME"/>
        <w:numPr>
          <w:ilvl w:val="0"/>
          <w:numId w:val="0"/>
        </w:numPr>
        <w:overflowPunct w:val="0"/>
        <w:spacing w:afterLines="50" w:after="120" w:line="340" w:lineRule="atLeast"/>
        <w:ind w:left="567"/>
        <w:jc w:val="both"/>
        <w:rPr>
          <w:rFonts w:ascii="SimSun" w:hAnsi="SimSun"/>
          <w:noProof/>
          <w:sz w:val="21"/>
          <w:u w:val="single"/>
        </w:rPr>
      </w:pPr>
      <w:r w:rsidRPr="007261EC">
        <w:rPr>
          <w:rFonts w:ascii="SimSun" w:hAnsi="SimSun" w:hint="eastAsia"/>
          <w:noProof/>
          <w:sz w:val="21"/>
          <w:u w:val="single"/>
        </w:rPr>
        <w:t>审查员</w:t>
      </w:r>
    </w:p>
    <w:p w:rsidR="00A4309A"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在提交本报告时，共有102名专职审查员，在技术合作委员会和</w:t>
      </w:r>
      <w:r>
        <w:rPr>
          <w:rFonts w:ascii="SimSun" w:hAnsi="SimSun" w:hint="eastAsia"/>
          <w:noProof/>
          <w:sz w:val="21"/>
        </w:rPr>
        <w:t>PCT大会</w:t>
      </w:r>
      <w:r w:rsidRPr="00A23B02">
        <w:rPr>
          <w:rFonts w:ascii="SimSun" w:hAnsi="SimSun" w:hint="eastAsia"/>
          <w:noProof/>
          <w:sz w:val="21"/>
        </w:rPr>
        <w:t>召开时，将有112名具有足够技术资格的专职专利审查员进行检索和审查；</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审查员有能力在所需的技术领域检索和审查，并拥有能够理解至少用来撰写或者翻译PCT实施细则第34条规定的最低限度文献的语言的语言能力；</w:t>
      </w:r>
    </w:p>
    <w:p w:rsidR="00A4309A" w:rsidRPr="007261EC" w:rsidRDefault="00A4309A" w:rsidP="006C3627">
      <w:pPr>
        <w:pStyle w:val="ONUME"/>
        <w:numPr>
          <w:ilvl w:val="0"/>
          <w:numId w:val="0"/>
        </w:numPr>
        <w:overflowPunct w:val="0"/>
        <w:spacing w:afterLines="50" w:after="120" w:line="340" w:lineRule="atLeast"/>
        <w:ind w:left="567"/>
        <w:jc w:val="both"/>
        <w:rPr>
          <w:rFonts w:ascii="SimSun" w:hAnsi="SimSun"/>
          <w:b/>
          <w:bCs/>
          <w:noProof/>
          <w:sz w:val="21"/>
          <w:u w:val="single"/>
        </w:rPr>
      </w:pPr>
      <w:r w:rsidRPr="00A218E5">
        <w:rPr>
          <w:rFonts w:ascii="SimSun" w:hAnsi="SimSun" w:hint="eastAsia"/>
          <w:noProof/>
          <w:sz w:val="21"/>
          <w:u w:val="single"/>
        </w:rPr>
        <w:t>访问最低限度文献</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c</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可以访问涵盖德温特世界专利索引（DWPI）的Thomson Innovation、多个非专利科学和工程数据库、WIPS全球数据库以及许多可公开访问的非专利数据库进行现有技术检索，其中覆盖PCT最低限度文献且要更多；和</w:t>
      </w:r>
    </w:p>
    <w:p w:rsidR="00A4309A" w:rsidRPr="007261EC" w:rsidRDefault="00A4309A" w:rsidP="006C3627">
      <w:pPr>
        <w:pStyle w:val="ONUME"/>
        <w:numPr>
          <w:ilvl w:val="0"/>
          <w:numId w:val="0"/>
        </w:numPr>
        <w:overflowPunct w:val="0"/>
        <w:spacing w:afterLines="50" w:after="120" w:line="340" w:lineRule="atLeast"/>
        <w:ind w:left="567"/>
        <w:jc w:val="both"/>
        <w:rPr>
          <w:rFonts w:ascii="SimSun" w:hAnsi="SimSun"/>
          <w:b/>
          <w:bCs/>
          <w:noProof/>
          <w:sz w:val="21"/>
          <w:u w:val="single"/>
        </w:rPr>
      </w:pPr>
      <w:r w:rsidRPr="00A218E5">
        <w:rPr>
          <w:rFonts w:ascii="SimSun" w:hAnsi="SimSun" w:hint="eastAsia"/>
          <w:noProof/>
          <w:sz w:val="21"/>
          <w:u w:val="single"/>
        </w:rPr>
        <w:t>质量管理体系</w:t>
      </w:r>
    </w:p>
    <w:p w:rsidR="00A4309A" w:rsidRPr="00A23B02" w:rsidRDefault="00A4309A" w:rsidP="006C3627">
      <w:pPr>
        <w:pStyle w:val="ONUME"/>
        <w:numPr>
          <w:ilvl w:val="0"/>
          <w:numId w:val="0"/>
        </w:numPr>
        <w:overflowPunct w:val="0"/>
        <w:spacing w:afterLines="50" w:after="120" w:line="340" w:lineRule="atLeast"/>
        <w:ind w:left="567"/>
        <w:jc w:val="both"/>
        <w:rPr>
          <w:rFonts w:ascii="SimSun" w:hAnsi="SimSun"/>
          <w:noProof/>
          <w:sz w:val="21"/>
        </w:rPr>
      </w:pPr>
      <w:r>
        <w:rPr>
          <w:rFonts w:ascii="SimSun" w:hAnsi="SimSun" w:hint="eastAsia"/>
          <w:noProof/>
          <w:sz w:val="21"/>
        </w:rPr>
        <w:t>(</w:t>
      </w:r>
      <w:r w:rsidRPr="00A23B02">
        <w:rPr>
          <w:rFonts w:ascii="SimSun" w:hAnsi="SimSun" w:hint="eastAsia"/>
          <w:noProof/>
          <w:sz w:val="21"/>
        </w:rPr>
        <w:t>d</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全面和多层次的质量管理体系（过程质量检查、ISO QMS 9001：2008和PQRS）以及超出国际检索和初步审查一般规则（由《PCT国际检索和初步检索指南》第21章定义）的内部评价机制。</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IPOPHL符合指定为国际单位的最低要求。现有国际单位，特别是JPO和澳大利亚知识产权局已经得出结论：据其评估IPOPHL将在联盟大会召开时符合要求。</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t>我们拥有可靠和安全的IT基础设施，可以充分支持国内和国际业务。</w:t>
      </w:r>
    </w:p>
    <w:p w:rsidR="00A4309A" w:rsidRPr="00A23B02" w:rsidRDefault="00A4309A" w:rsidP="006C3627">
      <w:pPr>
        <w:pStyle w:val="ONUME"/>
        <w:tabs>
          <w:tab w:val="clear" w:pos="567"/>
        </w:tabs>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PCT体系面临着国际工作日益增长的需求，鉴于IPOPHL拥有广泛的检索和审查经验、语言能力、全面的质量管理体系和可访问的值得信赖的数据库，IPOPHL可以帮助PCT体系及时、优质地进行国际检索和审查。</w:t>
      </w:r>
    </w:p>
    <w:p w:rsidR="00A4309A" w:rsidRDefault="00A4309A" w:rsidP="006C3627">
      <w:pPr>
        <w:pStyle w:val="Endofdocument-Annex"/>
        <w:spacing w:afterLines="50" w:after="120" w:line="340" w:lineRule="atLeast"/>
        <w:rPr>
          <w:rFonts w:ascii="KaiTi" w:eastAsia="KaiTi" w:hAnsi="KaiTi" w:cs="Times New Roman"/>
          <w:noProof/>
          <w:sz w:val="21"/>
          <w:lang w:val="x-none"/>
        </w:rPr>
      </w:pPr>
    </w:p>
    <w:p w:rsidR="00A4309A" w:rsidRPr="00A218E5" w:rsidRDefault="00A4309A" w:rsidP="006C3627">
      <w:pPr>
        <w:pStyle w:val="Endofdocument-Annex"/>
        <w:spacing w:afterLines="50" w:after="120" w:line="340" w:lineRule="atLeast"/>
        <w:rPr>
          <w:rFonts w:ascii="KaiTi" w:eastAsia="KaiTi" w:hAnsi="KaiTi" w:cs="Times New Roman"/>
          <w:noProof/>
          <w:sz w:val="21"/>
          <w:lang w:val="x-none"/>
        </w:rPr>
      </w:pPr>
      <w:r w:rsidRPr="00A218E5">
        <w:rPr>
          <w:rFonts w:ascii="KaiTi" w:eastAsia="KaiTi" w:hAnsi="KaiTi" w:cs="Times New Roman" w:hint="eastAsia"/>
          <w:noProof/>
          <w:sz w:val="21"/>
          <w:lang w:val="x-none"/>
        </w:rPr>
        <w:t>[后接附录]</w:t>
      </w:r>
    </w:p>
    <w:p w:rsidR="00A4309A" w:rsidRPr="00941C46" w:rsidRDefault="00A4309A" w:rsidP="006C3627">
      <w:pPr>
        <w:jc w:val="center"/>
        <w:rPr>
          <w:rFonts w:ascii="SimSun" w:hAnsi="SimSun"/>
          <w:noProof/>
          <w:sz w:val="21"/>
          <w:szCs w:val="22"/>
          <w:lang w:val="x-none"/>
        </w:rPr>
        <w:sectPr w:rsidR="00A4309A" w:rsidRPr="00941C46" w:rsidSect="006C3627">
          <w:headerReference w:type="default" r:id="rId14"/>
          <w:headerReference w:type="first" r:id="rId15"/>
          <w:endnotePr>
            <w:numFmt w:val="decimal"/>
          </w:endnotePr>
          <w:pgSz w:w="11907" w:h="16840" w:code="9"/>
          <w:pgMar w:top="567" w:right="1134" w:bottom="1418" w:left="1418" w:header="510" w:footer="1021" w:gutter="0"/>
          <w:pgNumType w:start="1"/>
          <w:cols w:space="708"/>
          <w:titlePg/>
          <w:docGrid w:linePitch="299"/>
        </w:sectPr>
      </w:pPr>
    </w:p>
    <w:p w:rsidR="00A4309A" w:rsidRPr="00941C46" w:rsidRDefault="00A4309A" w:rsidP="006C3627">
      <w:pPr>
        <w:spacing w:beforeLines="100" w:before="240"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lastRenderedPageBreak/>
        <w:t>附录1</w:t>
      </w:r>
    </w:p>
    <w:p w:rsidR="00A4309A" w:rsidRPr="00941C46" w:rsidRDefault="00A4309A" w:rsidP="006C3627">
      <w:pPr>
        <w:spacing w:afterLines="100" w:after="240" w:line="340" w:lineRule="atLeast"/>
        <w:rPr>
          <w:rFonts w:ascii="SimSun" w:hAnsi="SimSun"/>
          <w:b/>
          <w:noProof/>
          <w:sz w:val="21"/>
          <w:szCs w:val="22"/>
          <w:lang w:val="x-none"/>
        </w:rPr>
      </w:pPr>
      <w:r w:rsidRPr="00941C46">
        <w:rPr>
          <w:rFonts w:ascii="SimSun" w:hAnsi="SimSun" w:hint="eastAsia"/>
          <w:b/>
          <w:noProof/>
          <w:sz w:val="21"/>
          <w:szCs w:val="22"/>
          <w:lang w:val="x-none"/>
        </w:rPr>
        <w:t>关于质量管理体系的初步报告</w:t>
      </w:r>
    </w:p>
    <w:p w:rsidR="00A4309A" w:rsidRPr="00941C46" w:rsidRDefault="00A4309A" w:rsidP="006C3627">
      <w:pPr>
        <w:autoSpaceDE w:val="0"/>
        <w:autoSpaceDN w:val="0"/>
        <w:spacing w:beforeLines="100" w:before="240" w:afterLines="100" w:after="240" w:line="340" w:lineRule="atLeast"/>
        <w:textAlignment w:val="bottom"/>
        <w:rPr>
          <w:rFonts w:ascii="KaiTi" w:eastAsia="KaiTi" w:hAnsi="KaiTi"/>
          <w:noProof/>
          <w:sz w:val="21"/>
          <w:szCs w:val="22"/>
          <w:lang w:val="x-none"/>
        </w:rPr>
      </w:pPr>
      <w:r w:rsidRPr="00941C46">
        <w:rPr>
          <w:rFonts w:ascii="KaiTi" w:eastAsia="KaiTi" w:hAnsi="KaiTi" w:hint="eastAsia"/>
          <w:noProof/>
          <w:sz w:val="21"/>
          <w:szCs w:val="22"/>
          <w:lang w:val="x-none"/>
        </w:rPr>
        <w:t>菲律宾知识产权局（IPOPHL）编拟</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该单位应当提供与本模板中记载的质量管理体系（QMS）相关的总背景信息。</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本模板的每个主要标题下的描述应当被认为是每个标题下应包含信息的类型和设置的样例。各单位可以根据需要提供超出本模板设定以外的信息。</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引　言（第21.01–21.03段）</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如果适用，该单位可以在标题“QMS的参考标准”下注明除第21章以外的，任何经过认证的质量管理体系的参考标准或者基础，例如ISO 9001。</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例如：“用于QMS的参考标准：ISO 9001，EQS（欧洲质量体系）”</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各单位应当至少提供下列标题下描述框中指定的信息</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设立菲律宾知识产权局（IPOPHL）</w:t>
      </w:r>
      <w:r>
        <w:rPr>
          <w:rFonts w:ascii="SimSun" w:hAnsi="SimSun" w:hint="eastAsia"/>
          <w:noProof/>
          <w:sz w:val="21"/>
        </w:rPr>
        <w:t>是为了</w:t>
      </w:r>
      <w:r w:rsidRPr="00A23B02">
        <w:rPr>
          <w:rFonts w:ascii="SimSun" w:hAnsi="SimSun" w:hint="eastAsia"/>
          <w:noProof/>
          <w:sz w:val="21"/>
        </w:rPr>
        <w:t>管理和执行国家有关</w:t>
      </w:r>
      <w:r>
        <w:rPr>
          <w:rFonts w:ascii="SimSun" w:hAnsi="SimSun" w:hint="eastAsia"/>
          <w:noProof/>
          <w:sz w:val="21"/>
        </w:rPr>
        <w:t>的</w:t>
      </w:r>
      <w:r w:rsidRPr="00A23B02">
        <w:rPr>
          <w:rFonts w:ascii="SimSun" w:hAnsi="SimSun" w:hint="eastAsia"/>
          <w:noProof/>
          <w:sz w:val="21"/>
        </w:rPr>
        <w:t>知识产权政策。</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菲律宾政府要求所有机构不断提升公共服务的供给，增加组织的生产力和效率，并提升雇员的专业性和更强的工作承诺。进一步，菲律宾政府要求政府机构将组织结构、运行机制和标准制度化，以实施政府的质量管理项目。IPOPHL支持国家政府实施质量管理体系的项目，以将组织结构、运行机制和标准制度化，以系统化的方法管理政府事务流程。</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作为IPOPHL质量政策的部分，IPOPHL致力于促进知识产权的创造和保护，并支持有胜任能力的员工队伍，旨在向利益相关者提供高质量的服务。该支持中最主要的是，IPOPHL承诺通过对工作和事务流程的定期评价和评估持续改进其流程，从而有效地确定差距，实施新的方法或加强既有标准。</w:t>
      </w:r>
    </w:p>
    <w:p w:rsidR="00A4309A" w:rsidRPr="00941C46"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941C46">
        <w:rPr>
          <w:rFonts w:ascii="SimSun" w:hAnsi="SimSun" w:hint="eastAsia"/>
          <w:noProof/>
          <w:sz w:val="21"/>
        </w:rPr>
        <w:t>2012年，IPOPHL制定了一本质量手册，</w:t>
      </w:r>
      <w:r w:rsidRPr="00A218E5">
        <w:rPr>
          <w:rFonts w:ascii="SimSun" w:hAnsi="SimSun" w:hint="eastAsia"/>
          <w:noProof/>
          <w:sz w:val="21"/>
        </w:rPr>
        <w:t>以保证完整性并改进其工作流程</w:t>
      </w:r>
      <w:r w:rsidRPr="00941C46">
        <w:rPr>
          <w:rFonts w:ascii="SimSun" w:hAnsi="SimSun" w:hint="eastAsia"/>
          <w:noProof/>
          <w:sz w:val="21"/>
        </w:rPr>
        <w:t>。2013年，专利局启动专利质量评价系统（PQRS）的开发，以保证手续、检索和实质审查报告等工作成果的质量和一致性。</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参照标准：IPOPHL的ISO 9001:2008认证（质量管理体系）</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IPOPHL是通过ISO 9001：2008认证的机构，其对专利检索和审查以及商标注册的核心流程已经执行了质量管理体系（QMS）。QMS使得组织结构、运行机制和标准制度化，以系统化方法管理业务流程。同时，还提供了内部质量审核。目前，IPOPHL正在准备从ISO 9001：2008到ISO 9001：2015标准的过渡，以进一步加强组织领导能力，保持业务效率，并制定有效的风险管理策略，并提升客户的满意度。</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1.领导和政策</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21.04</w:t>
      </w:r>
      <w:r w:rsidRPr="006C06B3">
        <w:rPr>
          <w:rFonts w:ascii="KaiTi" w:eastAsia="KaiTi" w:hAnsi="KaiTi" w:cs="Times New Roman" w:hint="eastAsia"/>
          <w:i w:val="0"/>
          <w:iCs w:val="0"/>
          <w:noProof/>
          <w:szCs w:val="22"/>
          <w:lang w:val="x-none" w:eastAsia="zh-CN"/>
        </w:rPr>
        <w:tab/>
        <w:t>确认以下内容得到明确记载，并且该记载可内部获得：</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该质量政策由最高管理层确立。</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负责QMS的机构和人员的角色和名称由最高管理层授权。</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组织结构图显示负责QMS的所有这些机构和个人。</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Pr>
          <w:rFonts w:ascii="SimSun" w:hAnsi="SimSun" w:hint="eastAsia"/>
          <w:noProof/>
          <w:sz w:val="21"/>
        </w:rPr>
        <w:t>(</w:t>
      </w:r>
      <w:r w:rsidRPr="00A23B02">
        <w:rPr>
          <w:rFonts w:ascii="SimSun" w:hAnsi="SimSun" w:hint="eastAsia"/>
          <w:noProof/>
          <w:sz w:val="21"/>
        </w:rPr>
        <w:t>a</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IPOPHL认识到理解、满足和加强用户需求和要求的重要性。因此，最高管理层建立了以下质量政策措施：</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lastRenderedPageBreak/>
        <w:t>–</w:t>
      </w:r>
      <w:r>
        <w:rPr>
          <w:rFonts w:ascii="SimSun" w:hAnsi="SimSun" w:hint="eastAsia"/>
          <w:noProof/>
          <w:sz w:val="21"/>
        </w:rPr>
        <w:tab/>
      </w:r>
      <w:r w:rsidRPr="00A23B02">
        <w:rPr>
          <w:rFonts w:ascii="SimSun" w:hAnsi="SimSun" w:hint="eastAsia"/>
          <w:noProof/>
          <w:sz w:val="21"/>
        </w:rPr>
        <w:t>我们致力于培养知识产权创造、保护、运用和实施的环境。</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我们支持建立一支有积极性、有胜任能力和团结的员工队伍，承诺提供专业、透明、负责任和完整的服务。</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我们承诺持续完善质量管理体系，为利益相关者提供最满意的服务。</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为支持IPOPHL的目标，专利局作出以下质量承诺：</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1.</w:t>
      </w:r>
      <w:r>
        <w:rPr>
          <w:rFonts w:ascii="SimSun" w:hAnsi="SimSun" w:hint="eastAsia"/>
          <w:noProof/>
          <w:sz w:val="21"/>
        </w:rPr>
        <w:tab/>
      </w:r>
      <w:r w:rsidRPr="00A23B02">
        <w:rPr>
          <w:rFonts w:ascii="SimSun" w:hAnsi="SimSun" w:hint="eastAsia"/>
          <w:noProof/>
          <w:sz w:val="21"/>
        </w:rPr>
        <w:t>我们致力于建立一个公平、透明和一致的专利保护环境。</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2.</w:t>
      </w:r>
      <w:r>
        <w:rPr>
          <w:rFonts w:ascii="SimSun" w:hAnsi="SimSun" w:hint="eastAsia"/>
          <w:noProof/>
          <w:sz w:val="21"/>
        </w:rPr>
        <w:tab/>
      </w:r>
      <w:r w:rsidRPr="00A23B02">
        <w:rPr>
          <w:rFonts w:ascii="SimSun" w:hAnsi="SimSun" w:hint="eastAsia"/>
          <w:noProof/>
          <w:sz w:val="21"/>
        </w:rPr>
        <w:t>我们向我们的员工提供知识和技能，以增强胜任能力。</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3.</w:t>
      </w:r>
      <w:r>
        <w:rPr>
          <w:rFonts w:ascii="SimSun" w:hAnsi="SimSun" w:hint="eastAsia"/>
          <w:noProof/>
          <w:sz w:val="21"/>
        </w:rPr>
        <w:tab/>
      </w:r>
      <w:r w:rsidRPr="00A23B02">
        <w:rPr>
          <w:rFonts w:ascii="SimSun" w:hAnsi="SimSun" w:hint="eastAsia"/>
          <w:noProof/>
          <w:sz w:val="21"/>
        </w:rPr>
        <w:t>我们致力于不断地增强我们的专利质量审查标准，从而向利益相关者提供最满意的服务。</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IPOPHL的最高管理层认识到对于更进一步提升质量、效率和客户满意度的持续需求。因此，IPOPHL实施ISO 9001:2008的认证程序。</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Pr>
          <w:rFonts w:ascii="SimSun" w:hAnsi="SimSun" w:hint="eastAsia"/>
          <w:noProof/>
          <w:sz w:val="21"/>
        </w:rPr>
        <w:t>(</w:t>
      </w:r>
      <w:r w:rsidRPr="00A23B02">
        <w:rPr>
          <w:rFonts w:ascii="SimSun" w:hAnsi="SimSun" w:hint="eastAsia"/>
          <w:noProof/>
          <w:sz w:val="21"/>
        </w:rPr>
        <w:t>b</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负责QMS实施的团队和个人的角色和名字如下：</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质量管理代表（QMR）保证既有的QMS的有效实施和维持。</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内部质量审核团队（IQA团队）负责既有QMS的维持和监控合规性的需求。该团队管理内部审核，监控并维护对审核发现的不合格之处的纠正和预防措施的记录。</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质量管理部门（QMD）对全部国内和ISA/IPEA处理申请的检索和审查质量进行评估。该部门保证手续、检索和审查报告符合既有质量标准；指出审查或者质量评价过程中可能出现的关注点或问题；发现并建议专利审查员的培训需求；确定质量评价体系的差距和建议的解决方案以及确定质量评价过程的有效性。</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质量评价员（QR）保密和审慎地对所有工作成果进行质量评价，包括了审查员每月</w:t>
      </w:r>
      <w:r>
        <w:rPr>
          <w:rFonts w:ascii="SimSun" w:hAnsi="SimSun" w:hint="eastAsia"/>
          <w:noProof/>
          <w:sz w:val="21"/>
        </w:rPr>
        <w:t>作</w:t>
      </w:r>
      <w:r w:rsidRPr="00A23B02">
        <w:rPr>
          <w:rFonts w:ascii="SimSun" w:hAnsi="SimSun" w:hint="eastAsia"/>
          <w:noProof/>
          <w:sz w:val="21"/>
        </w:rPr>
        <w:t>出的检索和审查报告。质量评价员的任务是复核检索或审查报告相关的申请，填写PQRS检查单，并准备PQRS报告表格。</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在向相关部门发送前，质量评价员主管（QRS）对质量评价员提交的PQRS报告进行评估和复核。</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质量管理部门领导（QMD领导）管理QMD的活动，向局长提供PQRS结果的月度报告。该报告着重体现合格和不合格审查结果的数量，针对不合格审查结果的特别问题确认需要立即关注并建议采取适当措施。</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质量管理委员会（QMC）由主管（部门负责人）、QMD领导、质量评价员主管、局长或助理局长组成。该委员会负责政策的规划和PQRS的修改，并评估QMD对PQRS事务的建议。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外部审核员（EA）是第三方审核员，负责对IPOPHL是否符合</w:t>
      </w:r>
      <w:r>
        <w:rPr>
          <w:rFonts w:ascii="SimSun" w:hAnsi="SimSun" w:hint="eastAsia"/>
          <w:noProof/>
          <w:sz w:val="21"/>
        </w:rPr>
        <w:t>I</w:t>
      </w:r>
      <w:r w:rsidRPr="00A23B02">
        <w:rPr>
          <w:rFonts w:ascii="SimSun" w:hAnsi="SimSun" w:hint="eastAsia"/>
          <w:noProof/>
          <w:sz w:val="21"/>
        </w:rPr>
        <w:t>SO 9001:2008质量管理体系进行审核。</w:t>
      </w:r>
    </w:p>
    <w:p w:rsidR="00A4309A" w:rsidRPr="00A23B02" w:rsidRDefault="00A4309A" w:rsidP="006C3627">
      <w:pPr>
        <w:pStyle w:val="ONUME"/>
        <w:keepNext/>
        <w:numPr>
          <w:ilvl w:val="0"/>
          <w:numId w:val="0"/>
        </w:numPr>
        <w:overflowPunct w:val="0"/>
        <w:spacing w:afterLines="50" w:after="120" w:line="340" w:lineRule="atLeast"/>
        <w:jc w:val="both"/>
        <w:rPr>
          <w:rFonts w:ascii="SimSun" w:hAnsi="SimSun"/>
          <w:noProof/>
          <w:sz w:val="21"/>
        </w:rPr>
      </w:pPr>
      <w:r>
        <w:rPr>
          <w:rFonts w:ascii="SimSun" w:hAnsi="SimSun" w:hint="eastAsia"/>
          <w:noProof/>
          <w:sz w:val="21"/>
        </w:rPr>
        <w:lastRenderedPageBreak/>
        <w:t>(</w:t>
      </w:r>
      <w:r w:rsidRPr="00A23B02">
        <w:rPr>
          <w:rFonts w:ascii="SimSun" w:hAnsi="SimSun" w:hint="eastAsia"/>
          <w:noProof/>
          <w:sz w:val="21"/>
        </w:rPr>
        <w:t>c</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QMS组织结构</w:t>
      </w:r>
    </w:p>
    <w:p w:rsidR="00A4309A" w:rsidRPr="004F3CB2" w:rsidRDefault="00A4309A" w:rsidP="006C3627">
      <w:pPr>
        <w:pStyle w:val="ONUME"/>
        <w:keepNext/>
        <w:numPr>
          <w:ilvl w:val="0"/>
          <w:numId w:val="0"/>
        </w:numPr>
        <w:spacing w:beforeLines="100" w:before="240" w:afterLines="50" w:after="120" w:line="340" w:lineRule="atLeast"/>
        <w:jc w:val="center"/>
        <w:rPr>
          <w:rFonts w:ascii="KaiTi" w:eastAsia="KaiTi" w:hAnsi="KaiTi"/>
          <w:noProof/>
          <w:sz w:val="21"/>
        </w:rPr>
      </w:pPr>
      <w:r w:rsidRPr="004F3CB2">
        <w:rPr>
          <w:rFonts w:ascii="KaiTi" w:eastAsia="KaiTi" w:hAnsi="KaiTi" w:hint="eastAsia"/>
          <w:noProof/>
          <w:sz w:val="21"/>
        </w:rPr>
        <w:t>图1</w:t>
      </w:r>
    </w:p>
    <w:p w:rsidR="00A4309A" w:rsidRPr="00941C46" w:rsidRDefault="00A4309A" w:rsidP="006C3627">
      <w:pPr>
        <w:keepNext/>
        <w:shd w:val="clear" w:color="auto" w:fill="53C862" w:themeFill="background1" w:themeFillShade="A6"/>
        <w:jc w:val="center"/>
        <w:rPr>
          <w:rFonts w:ascii="SimSun" w:hAnsi="SimSun"/>
          <w:noProof/>
          <w:sz w:val="21"/>
          <w:szCs w:val="22"/>
          <w:lang w:val="x-none"/>
        </w:rPr>
      </w:pPr>
      <w:r w:rsidRPr="00941C46">
        <w:rPr>
          <w:rFonts w:ascii="SimSun" w:hAnsi="SimSun" w:hint="eastAsia"/>
          <w:noProof/>
          <w:sz w:val="21"/>
          <w:szCs w:val="22"/>
          <w:lang w:val="x-none"/>
        </w:rPr>
        <w:t>QMS组织结构</w:t>
      </w:r>
    </w:p>
    <w:p w:rsidR="00A4309A" w:rsidRPr="00941C46" w:rsidRDefault="00A4309A" w:rsidP="006C3627">
      <w:pPr>
        <w:jc w:val="center"/>
        <w:rPr>
          <w:rFonts w:ascii="SimSun" w:hAnsi="SimSun"/>
          <w:noProof/>
          <w:sz w:val="21"/>
          <w:szCs w:val="22"/>
          <w:lang w:val="x-none"/>
        </w:rPr>
      </w:pPr>
      <w:r w:rsidRPr="00941C46">
        <w:rPr>
          <w:rFonts w:ascii="SimSun" w:hAnsi="SimSun" w:hint="eastAsia"/>
          <w:noProof/>
          <w:sz w:val="21"/>
          <w:szCs w:val="22"/>
        </w:rPr>
        <w:drawing>
          <wp:inline distT="0" distB="0" distL="0" distR="0" wp14:anchorId="146730DF" wp14:editId="55CAA1F8">
            <wp:extent cx="5718810" cy="3599180"/>
            <wp:effectExtent l="0" t="0" r="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11060"/>
                    <a:stretch>
                      <a:fillRect/>
                    </a:stretch>
                  </pic:blipFill>
                  <pic:spPr bwMode="auto">
                    <a:xfrm>
                      <a:off x="0" y="0"/>
                      <a:ext cx="5718810" cy="3599180"/>
                    </a:xfrm>
                    <a:prstGeom prst="rect">
                      <a:avLst/>
                    </a:prstGeom>
                    <a:noFill/>
                    <a:ln>
                      <a:noFill/>
                    </a:ln>
                  </pic:spPr>
                </pic:pic>
              </a:graphicData>
            </a:graphic>
          </wp:inline>
        </w:drawing>
      </w:r>
    </w:p>
    <w:p w:rsidR="00A4309A" w:rsidRPr="004F3CB2" w:rsidRDefault="00A4309A" w:rsidP="006C3627">
      <w:pPr>
        <w:pStyle w:val="ONUME"/>
        <w:keepNext/>
        <w:numPr>
          <w:ilvl w:val="0"/>
          <w:numId w:val="0"/>
        </w:numPr>
        <w:spacing w:beforeLines="100" w:before="240" w:afterLines="50" w:after="120" w:line="340" w:lineRule="atLeast"/>
        <w:jc w:val="center"/>
        <w:rPr>
          <w:rFonts w:ascii="KaiTi" w:eastAsia="KaiTi" w:hAnsi="KaiTi"/>
          <w:noProof/>
          <w:sz w:val="21"/>
        </w:rPr>
      </w:pPr>
      <w:r w:rsidRPr="004F3CB2">
        <w:rPr>
          <w:rFonts w:ascii="KaiTi" w:eastAsia="KaiTi" w:hAnsi="KaiTi" w:hint="eastAsia"/>
          <w:noProof/>
          <w:sz w:val="21"/>
        </w:rPr>
        <w:t>图2</w:t>
      </w:r>
    </w:p>
    <w:p w:rsidR="00A4309A" w:rsidRPr="00941C46" w:rsidRDefault="00A4309A" w:rsidP="006C3627">
      <w:pPr>
        <w:keepNext/>
        <w:shd w:val="clear" w:color="auto" w:fill="53C862" w:themeFill="background1" w:themeFillShade="A6"/>
        <w:spacing w:after="200" w:line="276" w:lineRule="auto"/>
        <w:jc w:val="center"/>
        <w:rPr>
          <w:rFonts w:ascii="SimSun" w:hAnsi="SimSun"/>
          <w:noProof/>
          <w:sz w:val="21"/>
          <w:szCs w:val="22"/>
          <w:lang w:val="x-none"/>
        </w:rPr>
      </w:pPr>
      <w:r w:rsidRPr="00941C46">
        <w:rPr>
          <w:rFonts w:ascii="SimSun" w:hAnsi="SimSun" w:hint="eastAsia"/>
          <w:noProof/>
          <w:sz w:val="21"/>
          <w:szCs w:val="22"/>
          <w:lang w:val="x-none"/>
        </w:rPr>
        <w:t>QMD的内部组织图</w:t>
      </w:r>
    </w:p>
    <w:p w:rsidR="00A4309A" w:rsidRPr="00941C46" w:rsidRDefault="00A4309A" w:rsidP="006C3627">
      <w:pPr>
        <w:tabs>
          <w:tab w:val="left" w:pos="3555"/>
        </w:tabs>
        <w:spacing w:after="200" w:line="276" w:lineRule="auto"/>
        <w:jc w:val="center"/>
        <w:rPr>
          <w:rFonts w:ascii="SimSun" w:hAnsi="SimSun"/>
          <w:noProof/>
          <w:sz w:val="21"/>
          <w:szCs w:val="22"/>
          <w:lang w:val="x-none"/>
        </w:rPr>
      </w:pPr>
      <w:r w:rsidRPr="00941C46">
        <w:rPr>
          <w:rFonts w:ascii="SimSun" w:hAnsi="SimSun" w:hint="eastAsia"/>
          <w:noProof/>
          <w:sz w:val="21"/>
          <w:szCs w:val="22"/>
        </w:rPr>
        <w:drawing>
          <wp:inline distT="0" distB="0" distL="0" distR="0" wp14:anchorId="68FC20C2" wp14:editId="2B81A9B0">
            <wp:extent cx="3192780" cy="2536825"/>
            <wp:effectExtent l="0" t="0" r="762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2780" cy="2536825"/>
                    </a:xfrm>
                    <a:prstGeom prst="rect">
                      <a:avLst/>
                    </a:prstGeom>
                    <a:noFill/>
                    <a:ln>
                      <a:noFill/>
                    </a:ln>
                  </pic:spPr>
                </pic:pic>
              </a:graphicData>
            </a:graphic>
          </wp:inline>
        </w:drawing>
      </w:r>
    </w:p>
    <w:p w:rsidR="00A4309A" w:rsidRPr="00941C46" w:rsidRDefault="00A4309A" w:rsidP="00941C46">
      <w:pPr>
        <w:ind w:firstLineChars="1450" w:firstLine="3045"/>
        <w:rPr>
          <w:rFonts w:ascii="SimSun" w:hAnsi="SimSun"/>
          <w:noProof/>
          <w:sz w:val="21"/>
          <w:szCs w:val="22"/>
          <w:lang w:val="x-none"/>
        </w:rPr>
      </w:pPr>
    </w:p>
    <w:p w:rsidR="00A4309A" w:rsidRPr="006C06B3" w:rsidRDefault="00A4309A" w:rsidP="006C3627">
      <w:pPr>
        <w:pStyle w:val="Guidance"/>
        <w:keepNext/>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21.05</w:t>
      </w:r>
      <w:r w:rsidRPr="006C06B3">
        <w:rPr>
          <w:rFonts w:ascii="KaiTi" w:eastAsia="KaiTi" w:hAnsi="KaiTi" w:cs="Times New Roman" w:hint="eastAsia"/>
          <w:i w:val="0"/>
          <w:iCs w:val="0"/>
          <w:noProof/>
          <w:szCs w:val="22"/>
          <w:lang w:val="x-none" w:eastAsia="zh-CN"/>
        </w:rPr>
        <w:tab/>
        <w:t>指示（例如，通过表格）该单位的QMS和国际检索和初步审查指南第21章的要求之间的相容程度。或者，表明该单位尚未符合这些要求。）</w:t>
      </w:r>
    </w:p>
    <w:p w:rsidR="00A4309A" w:rsidRPr="00941C46" w:rsidRDefault="00A4309A" w:rsidP="006C3627">
      <w:pPr>
        <w:keepNext/>
        <w:spacing w:beforeLines="100" w:before="240" w:afterLines="50" w:after="120" w:line="360" w:lineRule="atLeast"/>
        <w:rPr>
          <w:rFonts w:ascii="KaiTi" w:eastAsia="KaiTi" w:hAnsi="KaiTi"/>
          <w:noProof/>
          <w:sz w:val="21"/>
          <w:szCs w:val="22"/>
          <w:lang w:val="x-none"/>
        </w:rPr>
      </w:pPr>
      <w:r w:rsidRPr="00941C46">
        <w:rPr>
          <w:rFonts w:ascii="KaiTi" w:eastAsia="KaiTi" w:hAnsi="KaiTi" w:hint="eastAsia"/>
          <w:noProof/>
          <w:sz w:val="21"/>
          <w:szCs w:val="22"/>
          <w:lang w:val="x-none"/>
        </w:rPr>
        <w:t>表1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3"/>
        <w:gridCol w:w="740"/>
        <w:gridCol w:w="790"/>
        <w:gridCol w:w="5694"/>
        <w:gridCol w:w="400"/>
        <w:gridCol w:w="400"/>
        <w:gridCol w:w="401"/>
      </w:tblGrid>
      <w:tr w:rsidR="00A4309A" w:rsidRPr="00941C46">
        <w:trPr>
          <w:cantSplit/>
          <w:trHeight w:val="357"/>
          <w:tblHeader/>
        </w:trPr>
        <w:tc>
          <w:tcPr>
            <w:tcW w:w="8267" w:type="dxa"/>
            <w:gridSpan w:val="4"/>
            <w:vMerge w:val="restart"/>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第21章的要求</w:t>
            </w:r>
          </w:p>
        </w:tc>
        <w:tc>
          <w:tcPr>
            <w:tcW w:w="1201" w:type="dxa"/>
            <w:gridSpan w:val="3"/>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符合程度</w:t>
            </w:r>
          </w:p>
        </w:tc>
      </w:tr>
      <w:tr w:rsidR="00A4309A" w:rsidRPr="00941C46">
        <w:trPr>
          <w:cantSplit/>
          <w:tblHeader/>
        </w:trPr>
        <w:tc>
          <w:tcPr>
            <w:tcW w:w="8267" w:type="dxa"/>
            <w:gridSpan w:val="4"/>
            <w:vMerge/>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完全符合</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部分符合</w:t>
            </w: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不符合</w:t>
            </w:r>
          </w:p>
        </w:tc>
      </w:tr>
      <w:tr w:rsidR="00A4309A" w:rsidRPr="00941C46">
        <w:trPr>
          <w:cantSplit/>
          <w:trHeight w:val="311"/>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21.04</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质量政策的有效性</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为QMS责任确定的角色和名称</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可得到的组织架构图</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21.05</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建立了第21章与QMS的相容性</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21.06</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确保QMS有效性的机制</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持续改进流程的控制</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21.07</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管理层与员工之间关于本标准的沟通</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PCT指南和该单位QMS之间的一致性</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21.08</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进行管理复核</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质量目标的复核</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在整个单位内的质量目标沟通</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21.09</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QMS年度内部复核表现</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(i)第21章基础上确定QMS的范围</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(ii)确定检索和审查遵循PCT指南的程度</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客观和透明的方式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(d)</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使用包含基于第21.24段信息的输入信息</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(e)</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记录结果</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21.10</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保证监控并适应实际工作量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确保工作人员的数量的适当基础设施</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足以应对工作流入</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在所有技术领域，维持检索和审查的资格</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维持根据细则第34条需要理解的语言的相关工具</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提供一定数量熟练管理人员的基础设施</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在一定程度上支持技具有技术资格的员工</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为了文档记录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确保适当的设备来进行检索和审查（自动化硬件和软件）</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(iv)</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确保根据细则第34条规定的文档记录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用以帮助员工理解和执行基于质量准则和标准的说明</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准确的遵照工作流程并保持最新的工作手册</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确保并维持检索和审查必要技能的培训和发展程序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确保员工遵守质量准则和标准意识的培训和发展程序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处理需求所需的资源监控系统</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遵守检索和审查中质量标准所需的资源监控系统</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21.11</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确保及时发出检索和审查报告的控制机制</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关于需求和积压波动的控制机制</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21.12</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用于自我评估的内部质量保证体系</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为符合检索和审查指南</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为员工提供反馈</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数据测量系统及持续改进报告</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验证通知书有效性的系统，用于校正有缺陷的检索和审查工作</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21.14</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帮助确定各单位间最佳实践的联系人</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促进持续改进的联系人</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为与其他单位有效通信以进行反馈和评估的联系人</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21.15</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适当的投诉处理系统</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适当的采取预防/纠正措施的系统</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适当的给用户提供反馈的系统</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用于监测用户满意度和感知的程序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确保其合法需求和期望得到满足的程序</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为用户提供检索和审查流程的清晰、简明的指南</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(iv)</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指示该单位在何处以及如何使其质量目标可公开获知</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21.16</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与WIPO及指定局和选定局建立通信</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21.18</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组成质量手册的文件已经被编制并分发</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(b)</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可用于支持质量手册的媒介</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(c)</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采取的文件控制措施</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21.19</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单位的质量政策及对QMS的承诺</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QMS的适用范围</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组织结构和职责</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在该单位开展的记录的流程</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可用于执行流程的资源</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流程和QMS程序之间的相互作用的描述</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21.20</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哪些文件被保存及保存在何处的记录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管理审视结果的记录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关于工作人员培训、技能和经验的记录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流程一致性的证据</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产品相关需求的审视结果</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对每个申请实施检索和审查流程的记录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允许对单个工作进行跟踪的数据记录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QMS的审核记录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(ix)</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对不合格产品再次采取措施的记录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(x)</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对校正措施再次采取措施的记录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(xi)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对预防措施再次采取措施的记录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(xii)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关于检索过程性文档的记录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21.21</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(a)</w:t>
            </w: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检索过程被记录用于内部目的，记录应当包括：</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检索过程中查阅过的数据库的记录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检索过程中的关键词、词和截词符组合的记录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检索过程中使用语言的记录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检索过程中查阅的分类及其组合记录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数据库检索过程中所有检索式列表的记录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与检索相关的其他信息的记录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关于检索的局限性及其理由的记录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(viii)</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关于权利要求不清楚的记录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(ix)</w:t>
            </w: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关于缺乏单一性的记录</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Height w:val="285"/>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lastRenderedPageBreak/>
              <w:t>21.22</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关于其自身内部审视过程的报告</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21.23–</w:t>
            </w:r>
          </w:p>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21.25</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关于进一步输入到其内部审视的其他信息</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r w:rsidR="00A4309A" w:rsidRPr="00941C46">
        <w:trPr>
          <w:cantSplit/>
        </w:trPr>
        <w:tc>
          <w:tcPr>
            <w:tcW w:w="1043"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21.26</w:t>
            </w:r>
          </w:p>
        </w:tc>
        <w:tc>
          <w:tcPr>
            <w:tcW w:w="74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79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c>
          <w:tcPr>
            <w:tcW w:w="5694"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t>第21.26段要求的初步报告</w:t>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r w:rsidRPr="00941C46">
              <w:rPr>
                <w:rFonts w:ascii="SimSun" w:hAnsi="SimSun" w:hint="eastAsia"/>
                <w:noProof/>
                <w:sz w:val="21"/>
                <w:szCs w:val="22"/>
                <w:lang w:val="x-none"/>
              </w:rPr>
              <w:sym w:font="Wingdings" w:char="F0FC"/>
            </w:r>
          </w:p>
        </w:tc>
        <w:tc>
          <w:tcPr>
            <w:tcW w:w="400"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rPr>
                <w:rFonts w:ascii="SimSun" w:hAnsi="SimSun"/>
                <w:noProof/>
                <w:sz w:val="21"/>
                <w:szCs w:val="22"/>
                <w:lang w:val="x-none"/>
              </w:rPr>
            </w:pPr>
          </w:p>
        </w:tc>
        <w:tc>
          <w:tcPr>
            <w:tcW w:w="401" w:type="dxa"/>
            <w:tcBorders>
              <w:top w:val="single" w:sz="4" w:space="0" w:color="auto"/>
              <w:left w:val="single" w:sz="4" w:space="0" w:color="auto"/>
              <w:bottom w:val="single" w:sz="4" w:space="0" w:color="auto"/>
              <w:right w:val="single" w:sz="4" w:space="0" w:color="auto"/>
            </w:tcBorders>
          </w:tcPr>
          <w:p w:rsidR="00A4309A" w:rsidRPr="00941C46" w:rsidRDefault="00A4309A" w:rsidP="006C3627">
            <w:pPr>
              <w:spacing w:line="260" w:lineRule="atLeast"/>
              <w:rPr>
                <w:rFonts w:ascii="SimSun" w:hAnsi="SimSun"/>
                <w:noProof/>
                <w:sz w:val="21"/>
                <w:szCs w:val="22"/>
                <w:lang w:val="x-none"/>
              </w:rPr>
            </w:pPr>
          </w:p>
        </w:tc>
      </w:tr>
    </w:tbl>
    <w:p w:rsidR="00A4309A" w:rsidRPr="00A23B02" w:rsidRDefault="00A4309A" w:rsidP="006C3627">
      <w:pPr>
        <w:pStyle w:val="Guidance"/>
        <w:pBdr>
          <w:top w:val="none" w:sz="0" w:space="0" w:color="auto"/>
          <w:left w:val="none" w:sz="0" w:space="0" w:color="auto"/>
          <w:bottom w:val="none" w:sz="0" w:space="0" w:color="auto"/>
          <w:right w:val="none" w:sz="0" w:space="0" w:color="auto"/>
        </w:pBdr>
        <w:shd w:val="clear" w:color="auto" w:fill="auto"/>
        <w:rPr>
          <w:rFonts w:ascii="SimSun" w:hAnsi="SimSun" w:cs="Times New Roman"/>
          <w:i w:val="0"/>
          <w:iCs w:val="0"/>
          <w:noProof/>
          <w:sz w:val="21"/>
          <w:szCs w:val="22"/>
          <w:lang w:val="x-none" w:eastAsia="zh-CN"/>
        </w:rPr>
      </w:pP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21.06</w:t>
      </w:r>
      <w:r w:rsidRPr="006C06B3">
        <w:rPr>
          <w:rFonts w:ascii="KaiTi" w:eastAsia="KaiTi" w:hAnsi="KaiTi" w:cs="Times New Roman" w:hint="eastAsia"/>
          <w:i w:val="0"/>
          <w:iCs w:val="0"/>
          <w:noProof/>
          <w:szCs w:val="22"/>
          <w:lang w:val="x-none" w:eastAsia="zh-CN"/>
        </w:rPr>
        <w:tab/>
        <w:t>参照组织结构图，表明这些机构和管理机制用于确保：</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QMS的有效性；以及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持续改进的过程。</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根据图1，管理任务按照以下流程运行，以保证QMS的有效性并持续改进的流程：</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QMR保证了IPOPHL遵守既有的QMS，并确定需要改进的领域。QMR还确保提升对在核心流程内满足客户要求以及对IPOPHL QMS相关支持流程的认识。QMR向局长汇报。</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QA团队一年进行两次审核（实际和复查），在管理评价期间向IPOPHL最高管理层提供调查结果。审核调查结果包含了在审核过程中发现的合格与不合格情形、原因分析，以及包括完成和后续审核日期的纠正和预防措施。IQA团队向QMR进行汇报。</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QMD在专利局内实施PQRS，并评估其有效性。每六个月对体系进行评估，包括对检索和审查的质量评价流程，质量评价的审查和程序问题，以及从申请人或审查员那里得到的评论或建议。评估之后，关于纠正和预防措施、PQRS标准的修改或政策建议将提供给QMC审议。QMD领导向专利局局长汇报。</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此外，对IPOPHL的ISO 9001标准认证的外部审核每三年进行一次，但每年进行监督审核。</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21.07</w:t>
      </w:r>
      <w:r w:rsidRPr="006C06B3">
        <w:rPr>
          <w:rFonts w:ascii="KaiTi" w:eastAsia="KaiTi" w:hAnsi="KaiTi" w:cs="Times New Roman" w:hint="eastAsia"/>
          <w:i w:val="0"/>
          <w:iCs w:val="0"/>
          <w:noProof/>
          <w:szCs w:val="22"/>
          <w:lang w:val="x-none" w:eastAsia="zh-CN"/>
        </w:rPr>
        <w:tab/>
        <w:t>表明该单位的管理层如何与其工作人员沟通，使其知晓符合条约和相关规定的重要性，规定包括：</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本标准中涉及的内容；以及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履行本单位的QMS的内容。</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IPOPHL的战略目标之一是确保及时交付高质量的专利。通过以下几种方法来体现满足条约和实施细则要求的重要性</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QMS程序中，IPOPHL传达符合QMS要求的重要性，通过内部质量审核团队（IQA团队），进行实际和复核审核，验证IPOPHL的活动是否符合对利益相关者预先的承诺，是否符合法律法规，确定质量管理体系有效性。在管理复核期间，审核结果传达给IPOPHL最高管理层，并通过局管理委员会会议和部门每月例会向各自的局、处、室的负责人和负责审核工作的工作人员进行传达。局/处负责人对审核中发现的缺陷进行及时的纠正和预防。后续审核活动的进行，也是为验证和记录执行情况以及采取的纠正措施的有效性。</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局、部门和审查员个人履行质量、及时性和处理申请量承诺的情况，会反映到局/部门/个人的绩效和承诺评价中。对所述绩效和承诺一年进行两次评估，以确保符合所作的承诺。</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21.08</w:t>
      </w:r>
      <w:r w:rsidRPr="006C06B3">
        <w:rPr>
          <w:rFonts w:ascii="KaiTi" w:eastAsia="KaiTi" w:hAnsi="KaiTi" w:cs="Times New Roman" w:hint="eastAsia"/>
          <w:i w:val="0"/>
          <w:iCs w:val="0"/>
          <w:noProof/>
          <w:szCs w:val="22"/>
          <w:lang w:val="x-none" w:eastAsia="zh-CN"/>
        </w:rPr>
        <w:tab/>
        <w:t>表明单位最高管理层或者其他委派人员如何以及何时：</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进行管理层审视，并确保适当的资源的可用性；</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ab/>
        <w:t>(b)</w:t>
      </w:r>
      <w:r w:rsidRPr="006C06B3">
        <w:rPr>
          <w:rFonts w:ascii="KaiTi" w:eastAsia="KaiTi" w:hAnsi="KaiTi" w:cs="Times New Roman" w:hint="eastAsia"/>
          <w:i w:val="0"/>
          <w:iCs w:val="0"/>
          <w:noProof/>
          <w:szCs w:val="22"/>
          <w:lang w:val="x-none" w:eastAsia="zh-CN"/>
        </w:rPr>
        <w:tab/>
        <w:t>审视质量目标；以及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确保质量目标的沟通和理解贯穿各个单位。</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对IPOPHL既定QMS的评价每年至少进行一次，或每当局长认为必要时或者根据QMR的建议进行，以确保系统的持续适应性和有效性，满足客户和利益相关者的要求。评价的结果被提交给IPOPHL最高管理层讨论。</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除了定期的管理复核，执行委员会还举行月度会议。会议议程包括：</w:t>
      </w:r>
      <w:r>
        <w:rPr>
          <w:rFonts w:ascii="SimSun" w:hAnsi="SimSun" w:hint="eastAsia"/>
          <w:noProof/>
          <w:sz w:val="21"/>
        </w:rPr>
        <w:t>(</w:t>
      </w:r>
      <w:r w:rsidRPr="00A23B02">
        <w:rPr>
          <w:rFonts w:ascii="SimSun" w:hAnsi="SimSun" w:hint="eastAsia"/>
          <w:noProof/>
          <w:sz w:val="21"/>
        </w:rPr>
        <w:t>i</w:t>
      </w:r>
      <w:r>
        <w:rPr>
          <w:rFonts w:ascii="SimSun" w:hAnsi="SimSun" w:hint="eastAsia"/>
          <w:noProof/>
          <w:sz w:val="21"/>
        </w:rPr>
        <w:t>)</w:t>
      </w:r>
      <w:r w:rsidRPr="00A23B02">
        <w:rPr>
          <w:rFonts w:ascii="SimSun" w:hAnsi="SimSun" w:hint="eastAsia"/>
          <w:noProof/>
          <w:sz w:val="21"/>
        </w:rPr>
        <w:t>关于目标、指标和方案的计划；</w:t>
      </w: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sidRPr="00A23B02">
        <w:rPr>
          <w:rFonts w:ascii="SimSun" w:hAnsi="SimSun" w:hint="eastAsia"/>
          <w:noProof/>
          <w:sz w:val="21"/>
        </w:rPr>
        <w:t>对目标、指标和方案的评价/评估；</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分配任务的跟进；</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下个月的活动讨论；</w:t>
      </w:r>
      <w:r>
        <w:rPr>
          <w:rFonts w:ascii="SimSun" w:hAnsi="SimSun" w:hint="eastAsia"/>
          <w:noProof/>
          <w:sz w:val="21"/>
        </w:rPr>
        <w:t>(</w:t>
      </w:r>
      <w:r w:rsidRPr="00A23B02">
        <w:rPr>
          <w:rFonts w:ascii="SimSun" w:hAnsi="SimSun" w:hint="eastAsia"/>
          <w:noProof/>
          <w:sz w:val="21"/>
        </w:rPr>
        <w:t>iv</w:t>
      </w:r>
      <w:r>
        <w:rPr>
          <w:rFonts w:ascii="SimSun" w:hAnsi="SimSun" w:hint="eastAsia"/>
          <w:noProof/>
          <w:sz w:val="21"/>
        </w:rPr>
        <w:t>)</w:t>
      </w:r>
      <w:r w:rsidRPr="00A23B02">
        <w:rPr>
          <w:rFonts w:ascii="SimSun" w:hAnsi="SimSun" w:hint="eastAsia"/>
          <w:noProof/>
          <w:sz w:val="21"/>
        </w:rPr>
        <w:t>利益相关者的反馈；以及</w:t>
      </w: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sidRPr="00A23B02">
        <w:rPr>
          <w:rFonts w:ascii="SimSun" w:hAnsi="SimSun" w:hint="eastAsia"/>
          <w:noProof/>
          <w:sz w:val="21"/>
        </w:rPr>
        <w:t>其他需要IPOPHL执行委员会立即注意的事项。</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评价的结果传达给每个局的管理委员会并通过部门月度会议以及电子邮件或备忘录的方式传达给工作人员。</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对于专利局而言，QMC处理评价的结果，并举行月度会议对审查实践进行讨论，从人力资源或IT基础设施的角度确定需求，如有必要将更新或修改质量目标。任何更新或者修改将会通过部门会议、研讨会、培训、备忘录或者电子邮件的方式传达给审查员和工作人员。</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21.09</w:t>
      </w:r>
      <w:r w:rsidRPr="006C06B3">
        <w:rPr>
          <w:rFonts w:ascii="KaiTi" w:eastAsia="KaiTi" w:hAnsi="KaiTi" w:cs="Times New Roman" w:hint="eastAsia"/>
          <w:i w:val="0"/>
          <w:iCs w:val="0"/>
          <w:noProof/>
          <w:szCs w:val="22"/>
          <w:lang w:val="x-none" w:eastAsia="zh-CN"/>
        </w:rPr>
        <w:tab/>
        <w:t>单位的最高管理层或其委派人员是否按照21.22</w:t>
      </w:r>
      <w:r>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21.25段执行QMS的内部审视：</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至少每年一次（见第21.22段）；</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按照第8节设定的这样的审视的最小范围进行，即：</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基于第21章（参见第21.22、21.24(i)段）确定QMS的范围；</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确定检索和审查工作符合PCT指南（参见第21.22、21.24(i)段）的范围；</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以客观和透明的方式进行（参见第21.22段）；</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(d)</w:t>
      </w:r>
      <w:r w:rsidRPr="006C06B3">
        <w:rPr>
          <w:rFonts w:ascii="KaiTi" w:eastAsia="KaiTi" w:hAnsi="KaiTi" w:cs="Times New Roman" w:hint="eastAsia"/>
          <w:i w:val="0"/>
          <w:iCs w:val="0"/>
          <w:noProof/>
          <w:szCs w:val="22"/>
          <w:lang w:val="x-none" w:eastAsia="zh-CN"/>
        </w:rPr>
        <w:tab/>
        <w:t>使用包括根据第21.24(ii)</w:t>
      </w:r>
      <w:r>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(vi)段落的输入信息；</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(e)</w:t>
      </w:r>
      <w:r w:rsidRPr="006C06B3">
        <w:rPr>
          <w:rFonts w:ascii="KaiTi" w:eastAsia="KaiTi" w:hAnsi="KaiTi" w:cs="Times New Roman" w:hint="eastAsia"/>
          <w:i w:val="0"/>
          <w:iCs w:val="0"/>
          <w:noProof/>
          <w:szCs w:val="22"/>
          <w:lang w:val="x-none" w:eastAsia="zh-CN"/>
        </w:rPr>
        <w:tab/>
        <w:t>记录该结果（参见第21.25段）。</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IQA一年进行两次内部审核（实际和复核），以符合ISO标准对包括过程中的质量检查和PQRS在内的所有工作流程的要求。在用于评估的管理评价期间，审核的结果将送交IPOPHL的最高管理层。</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局级层面，QMD准备PQRS结果的月度报告，在专利局月度管理会议期间展示，并根据年度内部和外部的审核情况形成报告文件的部分内容。该报告包含包括通过PQRS随机抽样的检索和审查报告在内的所有工作产品的质量评价结果。还包括对差距的确定和其他检索和审查过程的关注点/问题，以及解决所述差距的建议。</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2.资　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21.10</w:t>
      </w:r>
      <w:r w:rsidRPr="006C06B3">
        <w:rPr>
          <w:rFonts w:ascii="KaiTi" w:eastAsia="KaiTi" w:hAnsi="KaiTi" w:cs="Times New Roman" w:hint="eastAsia"/>
          <w:i w:val="0"/>
          <w:iCs w:val="0"/>
          <w:noProof/>
          <w:szCs w:val="22"/>
          <w:lang w:val="x-none" w:eastAsia="zh-CN"/>
        </w:rPr>
        <w:tab/>
        <w:t>注释：授予ISA/IPEA资格表示该单位已证明其具有支持检索和审查流程的基础设施和资源。第21章要求确保该单位适应工作量的变化并满足QMS要求时能够持续支持这一进程。以下回答应当提供这种保证：</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人力资源：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提供适当的基础设施信息，确保一定数量的工作人员：</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足以应对工作的涌入；</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维持所需技术领域检索和审查的技术资格；以及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维持语言工具，以至少理解细则第34条中最低限度文献及其译文所使用的语言。得以维持并适应工作量的变化。</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描述适当的基础设施，用以确保维持合适训练/技能的行政人员的数量，以适应工作量的变化：</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在一定水平上支持具有技术资质的工作人员以促进检索和审查程序；</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Pr>
          <w:rFonts w:ascii="KaiTi" w:eastAsia="KaiTi" w:hAnsi="KaiTi" w:cs="Times New Roman" w:hint="eastAsia"/>
          <w:i w:val="0"/>
          <w:iCs w:val="0"/>
          <w:noProof/>
          <w:szCs w:val="22"/>
          <w:lang w:val="x-none" w:eastAsia="zh-CN"/>
        </w:rPr>
        <w:lastRenderedPageBreak/>
        <w:tab/>
      </w:r>
      <w:r w:rsidRPr="006C06B3">
        <w:rPr>
          <w:rFonts w:ascii="KaiTi" w:eastAsia="KaiTi" w:hAnsi="KaiTi" w:cs="Times New Roman" w:hint="eastAsia"/>
          <w:i w:val="0"/>
          <w:iCs w:val="0"/>
          <w:noProof/>
          <w:szCs w:val="22"/>
          <w:lang w:val="x-none" w:eastAsia="zh-CN"/>
        </w:rPr>
        <w:t>进行文档记录。</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w:t>
      </w:r>
      <w:r w:rsidRPr="00A23B02">
        <w:rPr>
          <w:rFonts w:ascii="SimSun" w:hAnsi="SimSun" w:hint="eastAsia"/>
          <w:noProof/>
          <w:sz w:val="21"/>
        </w:rPr>
        <w:tab/>
        <w:t>IPOPHL满足任命所要求的具有足够技术资格以进行检索和审查的专职雇员的数量标准。IPOPHL有102名具有工程和科学学位并且在专利检索和审查方面相当有经验的审查员。为了确保雇佣能够胜任工作的职工，IPOPHL对于所有审查员采用4轮招募和选拔机制。IPOPHL具有结构化的、综合的以及基于能力的培训项目。除此之外，所有审查员持续接受着重于进一步提升检索和审查技能的内部和外部培训。</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如菲律宾公民服务委员会（CSC）所要求的，IPOPHL的审查员具有工程、自然科学、医学和其他相关科学的学位。他们必须已经通过所要求的由职业管理委员会（PRC）举办的职业执照考试以及CSC为专业人员举办的职业服务考试。</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许多审查员拥有高级学位，或正在进一步深造。IPOPHL为所有审查员寻求得到更高级别的教育提供支持。目前，IPOPHL与该国首屈一指的科学与工程学院——</w:t>
      </w:r>
      <w:r w:rsidRPr="005810F7">
        <w:rPr>
          <w:rFonts w:ascii="SimSun" w:hAnsi="SimSun" w:hint="eastAsia"/>
          <w:noProof/>
          <w:sz w:val="21"/>
        </w:rPr>
        <w:t>玛布亚科技学院</w:t>
      </w:r>
      <w:r>
        <w:rPr>
          <w:rFonts w:ascii="SimSun" w:hAnsi="SimSun" w:hint="eastAsia"/>
          <w:noProof/>
          <w:sz w:val="21"/>
        </w:rPr>
        <w:t>（</w:t>
      </w:r>
      <w:r w:rsidRPr="00A23B02">
        <w:rPr>
          <w:rFonts w:ascii="SimSun" w:hAnsi="SimSun" w:hint="eastAsia"/>
          <w:noProof/>
          <w:sz w:val="21"/>
        </w:rPr>
        <w:t>MIT</w:t>
      </w:r>
      <w:r>
        <w:rPr>
          <w:rFonts w:ascii="SimSun" w:hAnsi="SimSun" w:hint="eastAsia"/>
          <w:noProof/>
          <w:sz w:val="21"/>
        </w:rPr>
        <w:t>）</w:t>
      </w:r>
      <w:r w:rsidRPr="00A23B02">
        <w:rPr>
          <w:rFonts w:ascii="SimSun" w:hAnsi="SimSun" w:hint="eastAsia"/>
          <w:noProof/>
          <w:sz w:val="21"/>
        </w:rPr>
        <w:t>建立合作关系，为那些负责高度专业化技术领域内专利申请审查的审查员准备定制的研究生学位项目。机械领域的类似项目正在开发中。</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值得注意的是，有60名审查员具有4年至39年的检索和审查经验，占审查员人数的一半以上。所有新审查员都要经过结构化、综合性和基于能力的培训项目，该项目使他们具备进行检索和审查时所需级别的能力。</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所有的IPOPHL审查员都会由经验丰富的主管来指导，主管会对所有的检索和审查报告进行两级过程中的质量评价。所有审查部门的主管拥有技术和管理的研究生学位，并且具有至少15年的检索和审查经验。所有主管不断接受内部和国外培训，以更新和提高他们的专利质量评价能力，以及在训练和指导审查员方面的能力。</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关于PCT第36.1(iii)和63.1(iii)条要求审查员具有至少能够理解用来撰写或者翻译细则34条中所述最低限度文献的语言的语言能力，IPOPHL的审查员对于广泛使用的英语具有很高的技能和理解力。</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所有审查员都熟练掌握菲律宾语和英语的口语和写作。一些审查员还能够掌握其他外语，例如日语、中文、德语、西班牙语和法语。</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(ii)</w:t>
      </w:r>
      <w:r w:rsidRPr="00A23B02">
        <w:rPr>
          <w:rFonts w:ascii="SimSun" w:hAnsi="SimSun" w:hint="eastAsia"/>
          <w:noProof/>
          <w:sz w:val="21"/>
        </w:rPr>
        <w:tab/>
        <w:t>新审查员在被指派到各自审查部门之前会参加紧张的培训课程以使他们具有必要的能力、技能和合适的视野。这一课程特别深入地研究了菲律宾的法律和规则，课程和实践练习着重于进一步提升检索和审查技能。</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对于高级审查员，IPOPHL通过讲座、研讨会，或者由在海外获得博士学位的菲律宾科学家、回国的高校教授以及不同国家知识产权局提供的培训以提供持续的学习。IPOPHL还向审查员提供持续的教育，例如硕士学位的机会。</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物质资源：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描述适当的基础设施以确保提供并维持适当的设备和工具，例如IT硬件和软件，以支持检索和审查流程；</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(iv)描述适当的基础设施以确保至少在细则第34条中所指的最低限度文献为检索和审查目的是可用的、可访问的、妥善布置和维护的，无论数据是在纸面上，在微缩品中或存储在电子媒介里。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描述工作手册如何：</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帮助员工了解并遵守质量准则和标准；以及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ab/>
        <w:t>准确一致地遵循工作程序。</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被记录在案，并将最新的必要时适用的版本提供给工作人员。</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(iii)</w:t>
      </w:r>
      <w:r>
        <w:rPr>
          <w:rFonts w:ascii="SimSun" w:hAnsi="SimSun" w:hint="eastAsia"/>
          <w:noProof/>
          <w:sz w:val="21"/>
        </w:rPr>
        <w:tab/>
      </w:r>
      <w:r w:rsidRPr="00A23B02">
        <w:rPr>
          <w:rFonts w:ascii="SimSun" w:hAnsi="SimSun" w:hint="eastAsia"/>
          <w:noProof/>
          <w:sz w:val="21"/>
        </w:rPr>
        <w:t>IPOPHL致力于跟上IT技术方面最新的发展以支持其审查员开展检索和审查工作，例如高级服务器和网络构架。除此之外，定制化计算机软件同样地被应用于有效开展检索和审查工作。</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使用专门为IPOPHL处理工作流程配置的WIPO的工业产权自动化系统（IPAS）。IPAS与包括在线申请和支付系统在内的其他内部开发的系统进行集成，以实现发明、工业品外观设计、实用新型和商标申请的端到端处理。</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IPAS提供了在检索和审查过程的各个方面发挥核心作用的多个模块：</w:t>
      </w:r>
      <w:r>
        <w:rPr>
          <w:rFonts w:ascii="SimSun" w:hAnsi="SimSun" w:hint="eastAsia"/>
          <w:noProof/>
          <w:sz w:val="21"/>
        </w:rPr>
        <w:t>(</w:t>
      </w:r>
      <w:r w:rsidRPr="00A23B02">
        <w:rPr>
          <w:rFonts w:ascii="SimSun" w:hAnsi="SimSun" w:hint="eastAsia"/>
          <w:noProof/>
          <w:sz w:val="21"/>
        </w:rPr>
        <w:t>1</w:t>
      </w:r>
      <w:r>
        <w:rPr>
          <w:rFonts w:ascii="SimSun" w:hAnsi="SimSun" w:hint="eastAsia"/>
          <w:noProof/>
          <w:sz w:val="21"/>
        </w:rPr>
        <w:t>)</w:t>
      </w:r>
      <w:r w:rsidRPr="00A23B02">
        <w:rPr>
          <w:rFonts w:ascii="SimSun" w:hAnsi="SimSun" w:hint="eastAsia"/>
          <w:noProof/>
          <w:sz w:val="21"/>
        </w:rPr>
        <w:t>待办事项列表模块——跟踪审查过程的每个阶段，提供所有申请状态的实时细节；</w:t>
      </w:r>
      <w:r>
        <w:rPr>
          <w:rFonts w:ascii="SimSun" w:hAnsi="SimSun" w:hint="eastAsia"/>
          <w:noProof/>
          <w:sz w:val="21"/>
        </w:rPr>
        <w:t>(</w:t>
      </w:r>
      <w:r w:rsidRPr="00A23B02">
        <w:rPr>
          <w:rFonts w:ascii="SimSun" w:hAnsi="SimSun" w:hint="eastAsia"/>
          <w:noProof/>
          <w:sz w:val="21"/>
        </w:rPr>
        <w:t>2</w:t>
      </w:r>
      <w:r>
        <w:rPr>
          <w:rFonts w:ascii="SimSun" w:hAnsi="SimSun" w:hint="eastAsia"/>
          <w:noProof/>
          <w:sz w:val="21"/>
        </w:rPr>
        <w:t>)</w:t>
      </w:r>
      <w:r w:rsidRPr="00A23B02">
        <w:rPr>
          <w:rFonts w:ascii="SimSun" w:hAnsi="SimSun" w:hint="eastAsia"/>
          <w:noProof/>
          <w:sz w:val="21"/>
        </w:rPr>
        <w:t>工作流程模块——用作电子文件打包器，显示与申请有关的处理的即时信息；</w:t>
      </w:r>
      <w:r>
        <w:rPr>
          <w:rFonts w:ascii="SimSun" w:hAnsi="SimSun" w:hint="eastAsia"/>
          <w:noProof/>
          <w:sz w:val="21"/>
        </w:rPr>
        <w:t>(</w:t>
      </w:r>
      <w:r w:rsidRPr="00A23B02">
        <w:rPr>
          <w:rFonts w:ascii="SimSun" w:hAnsi="SimSun" w:hint="eastAsia"/>
          <w:noProof/>
          <w:sz w:val="21"/>
        </w:rPr>
        <w:t>3</w:t>
      </w:r>
      <w:r>
        <w:rPr>
          <w:rFonts w:ascii="SimSun" w:hAnsi="SimSun" w:hint="eastAsia"/>
          <w:noProof/>
          <w:sz w:val="21"/>
        </w:rPr>
        <w:t>)</w:t>
      </w:r>
      <w:r w:rsidRPr="00A23B02">
        <w:rPr>
          <w:rFonts w:ascii="SimSun" w:hAnsi="SimSun" w:hint="eastAsia"/>
          <w:noProof/>
          <w:sz w:val="21"/>
        </w:rPr>
        <w:t>通知书模块——通过提供标准化的通知书模板以及对下一次通知书的指引，协助审查员起草审查意见报告；</w:t>
      </w:r>
      <w:r>
        <w:rPr>
          <w:rFonts w:ascii="SimSun" w:hAnsi="SimSun" w:hint="eastAsia"/>
          <w:noProof/>
          <w:sz w:val="21"/>
        </w:rPr>
        <w:t>(</w:t>
      </w:r>
      <w:r w:rsidRPr="00A23B02">
        <w:rPr>
          <w:rFonts w:ascii="SimSun" w:hAnsi="SimSun" w:hint="eastAsia"/>
          <w:noProof/>
          <w:sz w:val="21"/>
        </w:rPr>
        <w:t>4</w:t>
      </w:r>
      <w:r>
        <w:rPr>
          <w:rFonts w:ascii="SimSun" w:hAnsi="SimSun" w:hint="eastAsia"/>
          <w:noProof/>
          <w:sz w:val="21"/>
        </w:rPr>
        <w:t>)</w:t>
      </w:r>
      <w:r w:rsidRPr="00A23B02">
        <w:rPr>
          <w:rFonts w:ascii="SimSun" w:hAnsi="SimSun" w:hint="eastAsia"/>
          <w:noProof/>
          <w:sz w:val="21"/>
        </w:rPr>
        <w:t>检索模块——使审查员能够访问本地提交的已公布和未公布的工业设计、实用新型和专利申请；和</w:t>
      </w:r>
      <w:r>
        <w:rPr>
          <w:rFonts w:ascii="SimSun" w:hAnsi="SimSun" w:hint="eastAsia"/>
          <w:noProof/>
          <w:sz w:val="21"/>
        </w:rPr>
        <w:t>(</w:t>
      </w:r>
      <w:r w:rsidRPr="00A23B02">
        <w:rPr>
          <w:rFonts w:ascii="SimSun" w:hAnsi="SimSun" w:hint="eastAsia"/>
          <w:noProof/>
          <w:sz w:val="21"/>
        </w:rPr>
        <w:t>5</w:t>
      </w:r>
      <w:r>
        <w:rPr>
          <w:rFonts w:ascii="SimSun" w:hAnsi="SimSun" w:hint="eastAsia"/>
          <w:noProof/>
          <w:sz w:val="21"/>
        </w:rPr>
        <w:t>)</w:t>
      </w:r>
      <w:r w:rsidRPr="00A23B02">
        <w:rPr>
          <w:rFonts w:ascii="SimSun" w:hAnsi="SimSun" w:hint="eastAsia"/>
          <w:noProof/>
          <w:sz w:val="21"/>
        </w:rPr>
        <w:t>电子文件管理系统——提供对申请人提交信件电子副本的访问。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IPOPHL目前正在努力优化业务流程并提高效率，特别是在检索和审查过程的关键领域，包括用于在线通信、质量评价、实时通知和专利检索的平台。</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关于网络基础设施，IPOPHL已经实施了一个全面的、集成的安全解决方案，从安全防火墙设备开始，附带具有防病毒、反木马和反垃圾邮件功能的入侵防御系统以及能够确保站点到站点安全连接的IPSec虚拟专用网络。核心网络交换机由具有足够带宽的两个有源因特网节点供电以服务于整个网络，并且具有在其中一个节点发生故障情况下的故障切换能力。实现了服务器虚拟化，可以更快速地实现申请系统的配置和部署，同时确保更高的可用性和正常运行时间。IPOPHL已经签约了基于云的数据备份服务，并定期执行数据备份和测试程序。</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(iv)</w:t>
      </w:r>
      <w:r>
        <w:rPr>
          <w:rFonts w:ascii="SimSun" w:hAnsi="SimSun" w:hint="eastAsia"/>
          <w:noProof/>
          <w:sz w:val="21"/>
        </w:rPr>
        <w:tab/>
      </w:r>
      <w:r w:rsidRPr="00A23B02">
        <w:rPr>
          <w:rFonts w:ascii="SimSun" w:hAnsi="SimSun" w:hint="eastAsia"/>
          <w:noProof/>
          <w:sz w:val="21"/>
        </w:rPr>
        <w:t>IPOPHL审查员可以访问以下的专利和非专利数据库：</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a.</w:t>
      </w:r>
      <w:r w:rsidRPr="00A23B02">
        <w:rPr>
          <w:rFonts w:ascii="SimSun" w:hAnsi="SimSun" w:hint="eastAsia"/>
          <w:noProof/>
          <w:sz w:val="21"/>
        </w:rPr>
        <w:tab/>
        <w:t>涵盖德温特世界专利索引（DWPI）的Thomson Innovation商业检索平台；</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b.</w:t>
      </w:r>
      <w:r w:rsidRPr="00A23B02">
        <w:rPr>
          <w:rFonts w:ascii="SimSun" w:hAnsi="SimSun" w:hint="eastAsia"/>
          <w:noProof/>
          <w:sz w:val="21"/>
        </w:rPr>
        <w:tab/>
        <w:t>WIPS全球数据库，其中包含美国、欧洲、日本、韩国、中国的全文授权专利和专利申请，以及包括公布的PCT申请的其他资源；</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c.</w:t>
      </w:r>
      <w:r w:rsidRPr="00A23B02">
        <w:rPr>
          <w:rFonts w:ascii="SimSun" w:hAnsi="SimSun" w:hint="eastAsia"/>
          <w:noProof/>
          <w:sz w:val="21"/>
        </w:rPr>
        <w:tab/>
        <w:t>公开提供的数据库，例如：</w:t>
      </w:r>
      <w:r>
        <w:rPr>
          <w:rFonts w:ascii="SimSun" w:hAnsi="SimSun" w:hint="eastAsia"/>
          <w:noProof/>
          <w:sz w:val="21"/>
        </w:rPr>
        <w:t>(</w:t>
      </w:r>
      <w:r w:rsidRPr="00A23B02">
        <w:rPr>
          <w:rFonts w:ascii="SimSun" w:hAnsi="SimSun" w:hint="eastAsia"/>
          <w:noProof/>
          <w:sz w:val="21"/>
        </w:rPr>
        <w:t>i</w:t>
      </w:r>
      <w:r>
        <w:rPr>
          <w:rFonts w:ascii="SimSun" w:hAnsi="SimSun" w:hint="eastAsia"/>
          <w:noProof/>
          <w:sz w:val="21"/>
        </w:rPr>
        <w:t>)</w:t>
      </w:r>
      <w:r w:rsidRPr="00A23B02">
        <w:rPr>
          <w:rFonts w:ascii="SimSun" w:hAnsi="SimSun" w:hint="eastAsia"/>
          <w:noProof/>
          <w:sz w:val="21"/>
        </w:rPr>
        <w:t>OPSIN（以系统性IUAPAC命名的开放解析器）；</w:t>
      </w: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sidRPr="00A23B02">
        <w:rPr>
          <w:rFonts w:ascii="SimSun" w:hAnsi="SimSun" w:hint="eastAsia"/>
          <w:noProof/>
          <w:sz w:val="21"/>
        </w:rPr>
        <w:t>NCBI（美国国家生物技术信息中心）；</w:t>
      </w: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sidRPr="00A23B02">
        <w:rPr>
          <w:rFonts w:ascii="SimSun" w:hAnsi="SimSun" w:hint="eastAsia"/>
          <w:noProof/>
          <w:sz w:val="21"/>
        </w:rPr>
        <w:t>用于序列表检索的EMBL</w:t>
      </w:r>
      <w:r>
        <w:rPr>
          <w:rFonts w:ascii="SimSun" w:hAnsi="SimSun" w:hint="eastAsia"/>
          <w:noProof/>
          <w:sz w:val="21"/>
        </w:rPr>
        <w:t>–</w:t>
      </w:r>
      <w:r w:rsidRPr="00A23B02">
        <w:rPr>
          <w:rFonts w:ascii="SimSun" w:hAnsi="SimSun" w:hint="eastAsia"/>
          <w:noProof/>
          <w:sz w:val="21"/>
        </w:rPr>
        <w:t>EBI（欧洲分子生物学实验室</w:t>
      </w:r>
      <w:r>
        <w:rPr>
          <w:rFonts w:ascii="SimSun" w:hAnsi="SimSun" w:hint="eastAsia"/>
          <w:noProof/>
          <w:sz w:val="21"/>
        </w:rPr>
        <w:t>–</w:t>
      </w:r>
      <w:r w:rsidRPr="00A23B02">
        <w:rPr>
          <w:rFonts w:ascii="SimSun" w:hAnsi="SimSun" w:hint="eastAsia"/>
          <w:noProof/>
          <w:sz w:val="21"/>
        </w:rPr>
        <w:t>欧洲生物信息学研究所）；</w:t>
      </w:r>
      <w:r>
        <w:rPr>
          <w:rFonts w:ascii="SimSun" w:hAnsi="SimSun" w:hint="eastAsia"/>
          <w:noProof/>
          <w:sz w:val="21"/>
        </w:rPr>
        <w:t>(</w:t>
      </w:r>
      <w:r w:rsidRPr="00A23B02">
        <w:rPr>
          <w:rFonts w:ascii="SimSun" w:hAnsi="SimSun" w:hint="eastAsia"/>
          <w:noProof/>
          <w:sz w:val="21"/>
        </w:rPr>
        <w:t>iv</w:t>
      </w:r>
      <w:r>
        <w:rPr>
          <w:rFonts w:ascii="SimSun" w:hAnsi="SimSun" w:hint="eastAsia"/>
          <w:noProof/>
          <w:sz w:val="21"/>
        </w:rPr>
        <w:t>)</w:t>
      </w:r>
      <w:r w:rsidRPr="00A23B02">
        <w:rPr>
          <w:rFonts w:ascii="SimSun" w:hAnsi="SimSun" w:hint="eastAsia"/>
          <w:noProof/>
          <w:sz w:val="21"/>
        </w:rPr>
        <w:t>3GPP（电信技术）；</w:t>
      </w: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sidRPr="00A23B02">
        <w:rPr>
          <w:rFonts w:ascii="SimSun" w:hAnsi="SimSun" w:hint="eastAsia"/>
          <w:noProof/>
          <w:sz w:val="21"/>
        </w:rPr>
        <w:t>WIPO Case</w:t>
      </w:r>
      <w:r>
        <w:rPr>
          <w:rFonts w:ascii="SimSun" w:hAnsi="SimSun" w:hint="eastAsia"/>
          <w:noProof/>
          <w:sz w:val="21"/>
        </w:rPr>
        <w:t>；</w:t>
      </w:r>
      <w:r w:rsidRPr="00A23B02">
        <w:rPr>
          <w:rFonts w:ascii="SimSun" w:hAnsi="SimSun" w:hint="eastAsia"/>
          <w:noProof/>
          <w:sz w:val="21"/>
        </w:rPr>
        <w:t>和</w:t>
      </w:r>
      <w:r>
        <w:rPr>
          <w:rFonts w:ascii="SimSun" w:hAnsi="SimSun" w:hint="eastAsia"/>
          <w:noProof/>
          <w:sz w:val="21"/>
        </w:rPr>
        <w:t>(</w:t>
      </w:r>
      <w:r w:rsidRPr="00A23B02">
        <w:rPr>
          <w:rFonts w:ascii="SimSun" w:hAnsi="SimSun" w:hint="eastAsia"/>
          <w:noProof/>
          <w:sz w:val="21"/>
        </w:rPr>
        <w:t>vi</w:t>
      </w:r>
      <w:r>
        <w:rPr>
          <w:rFonts w:ascii="SimSun" w:hAnsi="SimSun" w:hint="eastAsia"/>
          <w:noProof/>
          <w:sz w:val="21"/>
        </w:rPr>
        <w:t>)</w:t>
      </w:r>
      <w:r w:rsidRPr="00A23B02">
        <w:rPr>
          <w:rFonts w:ascii="SimSun" w:hAnsi="SimSun" w:hint="eastAsia"/>
          <w:noProof/>
          <w:sz w:val="21"/>
        </w:rPr>
        <w:t>PatentScope；</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d.</w:t>
      </w:r>
      <w:r w:rsidRPr="00A23B02">
        <w:rPr>
          <w:rFonts w:ascii="SimSun" w:hAnsi="SimSun" w:hint="eastAsia"/>
          <w:noProof/>
          <w:sz w:val="21"/>
        </w:rPr>
        <w:tab/>
        <w:t>PubMed等在化学、分子生物学和其他临床科学中提供非专利文献的数据库，以及用于全面DNA和蛋白质序列检索的镜头的The Lens数据库；</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e.</w:t>
      </w:r>
      <w:r w:rsidRPr="00A23B02">
        <w:rPr>
          <w:rFonts w:ascii="SimSun" w:hAnsi="SimSun" w:hint="eastAsia"/>
          <w:noProof/>
          <w:sz w:val="21"/>
        </w:rPr>
        <w:tab/>
        <w:t>IPOPHL IPDL（工业产权数字图书馆）和IPOPHL内部的数据库IPAS（工业产权自动化系统）；和</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f.</w:t>
      </w:r>
      <w:r w:rsidRPr="00A23B02">
        <w:rPr>
          <w:rFonts w:ascii="SimSun" w:hAnsi="SimSun" w:hint="eastAsia"/>
          <w:noProof/>
          <w:sz w:val="21"/>
        </w:rPr>
        <w:tab/>
        <w:t>其他知识产权局的国家专利数据库，如USPTO，J</w:t>
      </w:r>
      <w:r>
        <w:rPr>
          <w:rFonts w:ascii="SimSun" w:hAnsi="SimSun" w:hint="eastAsia"/>
          <w:noProof/>
          <w:sz w:val="21"/>
        </w:rPr>
        <w:t>–</w:t>
      </w:r>
      <w:r w:rsidRPr="00A23B02">
        <w:rPr>
          <w:rFonts w:ascii="SimSun" w:hAnsi="SimSun" w:hint="eastAsia"/>
          <w:noProof/>
          <w:sz w:val="21"/>
        </w:rPr>
        <w:t>PATPLAT，AUSPAT，Espacene和AIPN。</w:t>
      </w:r>
    </w:p>
    <w:p w:rsidR="00A4309A" w:rsidRPr="00941C46"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941C46">
        <w:rPr>
          <w:rFonts w:ascii="SimSun" w:hAnsi="SimSun" w:hint="eastAsia"/>
          <w:noProof/>
          <w:sz w:val="21"/>
        </w:rPr>
        <w:lastRenderedPageBreak/>
        <w:t>虽然已经符合最低文献要求，但IPOPHL的检索选择和范围将很快通过访问STN和IEEE Digital Explore得到进一步增强，并且IPOPHL正在讨论访问EPOQUENet。</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有关工作程序、指南和知识产权法典、实施细则和规章、专利审查实践指南等所有必要信息可通过IPOPHL的网站获得。与PQRS相关的质量指南、刊物、备忘录/局令可以通过IPOPHL内网访问。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任何更新或说明通过专利局（BOP）全体大会、BOP管理会议、月度部门会议或者必要的特殊会议进行告知。</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培训资源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(vi)描述培训和发展的基础设施和计划，确保参与到检索和审查中的所有工作人员：</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取得和保持必要的经验和技能；以及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充分认识遵守质量准则和标准的重要。</w:t>
      </w:r>
    </w:p>
    <w:p w:rsidR="00A4309A" w:rsidRPr="004F3CB2" w:rsidRDefault="00A4309A" w:rsidP="006C3627">
      <w:pPr>
        <w:pStyle w:val="ONUME"/>
        <w:keepNext/>
        <w:numPr>
          <w:ilvl w:val="0"/>
          <w:numId w:val="0"/>
        </w:numPr>
        <w:spacing w:beforeLines="100" w:before="240" w:afterLines="50" w:after="120" w:line="340" w:lineRule="atLeast"/>
        <w:jc w:val="both"/>
        <w:rPr>
          <w:rFonts w:ascii="KaiTi" w:eastAsia="KaiTi" w:hAnsi="KaiTi"/>
          <w:noProof/>
          <w:sz w:val="21"/>
        </w:rPr>
      </w:pPr>
      <w:r w:rsidRPr="004F3CB2">
        <w:rPr>
          <w:rFonts w:ascii="KaiTi" w:eastAsia="KaiTi" w:hAnsi="KaiTi" w:hint="eastAsia"/>
          <w:noProof/>
          <w:sz w:val="21"/>
        </w:rPr>
        <w:t>对于新专利审查员的培训项目：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在被指定为国际单位时，新审查员已经具备专利审查技能并且能够独立进行检索和实质审查。</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IPOPHL面向审查员采用基于能力的培训和能力建设项目以确保检索和审查质量。其采用两级能力建设方法：</w:t>
      </w:r>
      <w:r>
        <w:rPr>
          <w:rFonts w:ascii="SimSun" w:hAnsi="SimSun" w:hint="eastAsia"/>
          <w:noProof/>
          <w:sz w:val="21"/>
        </w:rPr>
        <w:t>(</w:t>
      </w:r>
      <w:r w:rsidRPr="00A23B02">
        <w:rPr>
          <w:rFonts w:ascii="SimSun" w:hAnsi="SimSun" w:hint="eastAsia"/>
          <w:noProof/>
          <w:sz w:val="21"/>
        </w:rPr>
        <w:t>1</w:t>
      </w:r>
      <w:r>
        <w:rPr>
          <w:rFonts w:ascii="SimSun" w:hAnsi="SimSun" w:hint="eastAsia"/>
          <w:noProof/>
          <w:sz w:val="21"/>
        </w:rPr>
        <w:t>)</w:t>
      </w:r>
      <w:r w:rsidRPr="00A23B02">
        <w:rPr>
          <w:rFonts w:ascii="SimSun" w:hAnsi="SimSun" w:hint="eastAsia"/>
          <w:noProof/>
          <w:sz w:val="21"/>
        </w:rPr>
        <w:t>新专利审查员培训</w:t>
      </w:r>
      <w:r>
        <w:rPr>
          <w:rFonts w:ascii="SimSun" w:hAnsi="SimSun" w:hint="eastAsia"/>
          <w:noProof/>
          <w:sz w:val="21"/>
        </w:rPr>
        <w:t>（</w:t>
      </w:r>
      <w:r w:rsidRPr="00A23B02">
        <w:rPr>
          <w:rFonts w:ascii="SimSun" w:hAnsi="SimSun" w:hint="eastAsia"/>
          <w:noProof/>
          <w:sz w:val="21"/>
        </w:rPr>
        <w:t>NPET</w:t>
      </w:r>
      <w:r>
        <w:rPr>
          <w:rFonts w:ascii="SimSun" w:hAnsi="SimSun" w:hint="eastAsia"/>
          <w:noProof/>
          <w:sz w:val="21"/>
        </w:rPr>
        <w:t>）</w:t>
      </w:r>
      <w:r w:rsidRPr="00A23B02">
        <w:rPr>
          <w:rFonts w:ascii="SimSun" w:hAnsi="SimSun" w:hint="eastAsia"/>
          <w:noProof/>
          <w:sz w:val="21"/>
        </w:rPr>
        <w:t>；以及</w:t>
      </w:r>
      <w:r>
        <w:rPr>
          <w:rFonts w:ascii="SimSun" w:hAnsi="SimSun" w:hint="eastAsia"/>
          <w:noProof/>
          <w:sz w:val="21"/>
        </w:rPr>
        <w:t>(</w:t>
      </w:r>
      <w:r w:rsidRPr="00A23B02">
        <w:rPr>
          <w:rFonts w:ascii="SimSun" w:hAnsi="SimSun" w:hint="eastAsia"/>
          <w:noProof/>
          <w:sz w:val="21"/>
        </w:rPr>
        <w:t>2</w:t>
      </w:r>
      <w:r>
        <w:rPr>
          <w:rFonts w:ascii="SimSun" w:hAnsi="SimSun" w:hint="eastAsia"/>
          <w:noProof/>
          <w:sz w:val="21"/>
        </w:rPr>
        <w:t>)</w:t>
      </w:r>
      <w:r w:rsidRPr="00A23B02">
        <w:rPr>
          <w:rFonts w:ascii="SimSun" w:hAnsi="SimSun" w:hint="eastAsia"/>
          <w:noProof/>
          <w:sz w:val="21"/>
        </w:rPr>
        <w:t>持续培训项目</w:t>
      </w:r>
      <w:r>
        <w:rPr>
          <w:rFonts w:ascii="SimSun" w:hAnsi="SimSun" w:hint="eastAsia"/>
          <w:noProof/>
          <w:sz w:val="21"/>
        </w:rPr>
        <w:t>（</w:t>
      </w:r>
      <w:r w:rsidRPr="00A23B02">
        <w:rPr>
          <w:rFonts w:ascii="SimSun" w:hAnsi="SimSun" w:hint="eastAsia"/>
          <w:noProof/>
          <w:sz w:val="21"/>
        </w:rPr>
        <w:t>CTP</w:t>
      </w:r>
      <w:r>
        <w:rPr>
          <w:rFonts w:ascii="SimSun" w:hAnsi="SimSun" w:hint="eastAsia"/>
          <w:noProof/>
          <w:sz w:val="21"/>
        </w:rPr>
        <w:t>）</w:t>
      </w:r>
      <w:r w:rsidRPr="00A23B02">
        <w:rPr>
          <w:rFonts w:ascii="SimSun" w:hAnsi="SimSun" w:hint="eastAsia"/>
          <w:noProof/>
          <w:sz w:val="21"/>
        </w:rPr>
        <w:t>。通过IPOPHL的开发，NPET成为了一个高度结构化和全面的培训项目，其中结合了美国专利商标局（USPTO）、澳大利亚知识产权局和欧洲专利局（EPO）培训项目的相关内容。NPET由3个阶段组成。NPET包括三个阶段：</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第一阶段包括有关专利检索和审查、实施和流程、法律的限制性条款、自动化以及个人和职业发展的基本概念。</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第二阶段是专业技术的培训。新审查员被指定到审查部门，在那里他们处理实际申请，并将所学付诸实践。在这个阶段，他们由资深审查员指导和监督。</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对之前阶段进行评估的基础上，第三阶段包括在审查、检索和其他必要的知识产权相关事务方面的补充培训。在NPET中会使用各种方法保证学习效果，例如讲座、团队工作、报告、测验和练习、研讨会。NPET每一阶段之后都会进行评估。</w:t>
      </w:r>
    </w:p>
    <w:p w:rsidR="00A4309A" w:rsidRPr="004F3CB2" w:rsidRDefault="00A4309A" w:rsidP="006C3627">
      <w:pPr>
        <w:pStyle w:val="ONUME"/>
        <w:keepNext/>
        <w:numPr>
          <w:ilvl w:val="0"/>
          <w:numId w:val="0"/>
        </w:numPr>
        <w:spacing w:beforeLines="100" w:before="240" w:afterLines="50" w:after="120" w:line="340" w:lineRule="atLeast"/>
        <w:jc w:val="both"/>
        <w:rPr>
          <w:rFonts w:ascii="KaiTi" w:eastAsia="KaiTi" w:hAnsi="KaiTi"/>
          <w:noProof/>
          <w:sz w:val="21"/>
        </w:rPr>
      </w:pPr>
      <w:r w:rsidRPr="004F3CB2">
        <w:rPr>
          <w:rFonts w:ascii="KaiTi" w:eastAsia="KaiTi" w:hAnsi="KaiTi" w:hint="eastAsia"/>
          <w:noProof/>
          <w:sz w:val="21"/>
        </w:rPr>
        <w:t>能力评估</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对于新专利审查员，在NPET的每个阶段之后将进行评估。在第一阶段之后没能展示所期待的检索和审查技能的参培人员将不允许进入到第二阶段或者特殊技术培训。在第二阶段期间，助理主管和主管提供针对参培人员胜任能力的反馈意见。</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对于第二阶段，参培人员必须完成6个连续的且没有错误的审查报告。在专利质量评价体系的既定标准1和2部分（检索、可专利性和权利要求清楚）中参培人员做的每个出现错误的案件将导致额外的6个新案件，直到他/她满足6个连续没有错误的报告为止。申请的数量可能一直增加到所需要的最高值，如果超出了导师的自由裁量权，参培人员仍需要就某一主题进行更进一步的实践。</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所有专利审查员的工作成果将经过由助理主管（助理部门主管）和主管（部门主管）负责的两级流程内质量检查。</w:t>
      </w:r>
    </w:p>
    <w:p w:rsidR="00A4309A" w:rsidRPr="004F3CB2" w:rsidRDefault="00A4309A" w:rsidP="006C3627">
      <w:pPr>
        <w:pStyle w:val="ONUME"/>
        <w:keepNext/>
        <w:numPr>
          <w:ilvl w:val="0"/>
          <w:numId w:val="0"/>
        </w:numPr>
        <w:spacing w:beforeLines="100" w:before="240" w:afterLines="50" w:after="120" w:line="340" w:lineRule="atLeast"/>
        <w:jc w:val="both"/>
        <w:rPr>
          <w:rFonts w:ascii="KaiTi" w:eastAsia="KaiTi" w:hAnsi="KaiTi"/>
          <w:noProof/>
          <w:sz w:val="21"/>
        </w:rPr>
      </w:pPr>
      <w:r w:rsidRPr="004F3CB2">
        <w:rPr>
          <w:rFonts w:ascii="KaiTi" w:eastAsia="KaiTi" w:hAnsi="KaiTi" w:hint="eastAsia"/>
          <w:noProof/>
          <w:sz w:val="21"/>
        </w:rPr>
        <w:lastRenderedPageBreak/>
        <w:t>持续培训项目（CTP）</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为了进一步提高现有审查员的能力和素质，IPOPHL进行了继续培训项目。该项目包括在各技术领域以及新的和新兴的技术方面进行专利检索和审查的提高培训、研讨会和学术会议，更新与专利有关的立法、实践和程序，并参观采用先进技术的工厂。自2011以来，IPOPHL是科技部（DOST）返乡科学家（归国科学家）项目的合作伙伴，该项目计划通过不同新知识和专业技能的转移，增强国家科技和技术人力资源。在这一项目中，在国外从事研究的DOST的博士学者为专业技术领域的专利审查员进行讲座和培训。</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已通过与其他知识产权局/国际局（例如USPTO、EPO、JPO以及WIPO）的合作，来加强检索和审查方面的能力建设。此外，专利审查员还接受了WIPO、欧洲专利学院和其他外国知识产权局提供的远程学习课程。另外，IPOPHL继续与WIPO PCT部门合作为审查员和管理人员提供有关PCT体系的培训和知识更新。</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为保持持续发展和维持胜任、充满活力的员工队伍，IPOPHL正为适合IPOPHL审查员技术需要而定制的生物工程硕士提供奖学金计划。这是与MIT合作的项目，MIT是国内首屈一指的工程学校，也是被高等教育委员会认可的优秀工程教育中心和工程与技术认证委员会（ABET）认证的机构。另外，正在为机械领域的审查员开发类似的项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IPOPHL还针对PCT实践、流程和更新以及质量管理体系向所有专利审查员和行政官员提供培训。</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资源的监督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(vii)</w:t>
      </w:r>
      <w:r w:rsidRPr="006C06B3">
        <w:rPr>
          <w:rFonts w:ascii="KaiTi" w:eastAsia="KaiTi" w:hAnsi="KaiTi" w:cs="Times New Roman" w:hint="eastAsia"/>
          <w:i w:val="0"/>
          <w:iCs w:val="0"/>
          <w:noProof/>
          <w:szCs w:val="22"/>
          <w:lang w:val="x-none" w:eastAsia="zh-CN"/>
        </w:rPr>
        <w:tab/>
        <w:t>描述建立连续监测并识别所需资源的适当系统：</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Pr>
          <w:rFonts w:ascii="KaiTi" w:eastAsia="KaiTi" w:hAnsi="KaiTi" w:cs="Times New Roman" w:hint="eastAsia"/>
          <w:i w:val="0"/>
          <w:iCs w:val="0"/>
          <w:noProof/>
          <w:szCs w:val="22"/>
          <w:lang w:val="x-none" w:eastAsia="zh-CN"/>
        </w:rPr>
        <w:tab/>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满足需求；以及</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符合检索和审查的质量标准。</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通过IPAS对于工作量和工作分配进行自动监控。记录管理单元（RMU）生成有关分配专利申请和由不同部门的专利审查员完成的所有工作成果的月报。基于这个报告，BOP管理层确定是否需要雇佣额外的专利审查员或者是否需要在适当情况下，从一个技术领域向另一个技术领域重新指派审查员以处理增长的需求。</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随着持续监控和确定遵守质量标准所需要的资源，QMD提供针对审查员工作成果的质量评价结果。该报告包含质量评价结果，该结果包括合格和不合格以及建议是否需要指定额外的质量评价人员，或者确定其他所需资源。该报告将提交给BOP管理层供他们批准/考虑。</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3.行政工作量的管理</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21.11</w:t>
      </w:r>
      <w:r w:rsidRPr="006C06B3">
        <w:rPr>
          <w:rFonts w:ascii="KaiTi" w:eastAsia="KaiTi" w:hAnsi="KaiTi" w:cs="Times New Roman" w:hint="eastAsia"/>
          <w:i w:val="0"/>
          <w:iCs w:val="0"/>
          <w:noProof/>
          <w:szCs w:val="22"/>
          <w:lang w:val="x-none" w:eastAsia="zh-CN"/>
        </w:rPr>
        <w:tab/>
        <w:t>指出下面用于处理检索和审查请求并执行相关功能（例如数据录入和分类）的实践和程序是如何进行的：</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关于检索和审查报告及时公布的有效控制机制到各个单位设立的质量标准；和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关于需求波动和积压管理的合适控制机制。</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w:t>
      </w:r>
      <w:r>
        <w:rPr>
          <w:rFonts w:ascii="SimSun" w:hAnsi="SimSun" w:hint="eastAsia"/>
          <w:noProof/>
          <w:sz w:val="21"/>
        </w:rPr>
        <w:tab/>
      </w:r>
      <w:r w:rsidRPr="00A23B02">
        <w:rPr>
          <w:rFonts w:ascii="SimSun" w:hAnsi="SimSun" w:hint="eastAsia"/>
          <w:noProof/>
          <w:sz w:val="21"/>
        </w:rPr>
        <w:t>IPAS系统获取申请从提交到授权后的处理过程。申请提交后，数据输入由系统的接收部分完成，覆盖已上传的著录项目数据。为了确定哪个部门将处理相应申请，RMU给出一个初始的基本分类。申请被分配后，审查员会给予申请一个具体的分类。</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记录管理单元（RMU）监控带有相应检索报告的申请及时公布，并在截止日期前通知审查员。主管（部门主管）/助理主管（部门助理主管）和审查员也能够使用IPAS监控工作量和不同的到期日。</w:t>
      </w:r>
      <w:r w:rsidRPr="00A23B02">
        <w:rPr>
          <w:rFonts w:ascii="SimSun" w:hAnsi="SimSun" w:hint="eastAsia"/>
          <w:noProof/>
          <w:sz w:val="21"/>
        </w:rPr>
        <w:lastRenderedPageBreak/>
        <w:t>该系统旨在跟踪每个专利申请从申请到授权期间的状态。该系统跟踪工作流程，事件和状态、发布检索报告、公开和审查报告的法定周期和截止期限。</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BOP管理层定期监控发布检索报告、处理申请和公开申请的及时性。</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(ii)</w:t>
      </w:r>
      <w:r>
        <w:rPr>
          <w:rFonts w:ascii="SimSun" w:hAnsi="SimSun" w:hint="eastAsia"/>
          <w:noProof/>
          <w:sz w:val="21"/>
        </w:rPr>
        <w:tab/>
      </w:r>
      <w:r w:rsidRPr="00A23B02">
        <w:rPr>
          <w:rFonts w:ascii="SimSun" w:hAnsi="SimSun" w:hint="eastAsia"/>
          <w:noProof/>
          <w:sz w:val="21"/>
        </w:rPr>
        <w:t>IPOPHL通过缩短处理时间（从申请到授权），并通过减少积压、及时公布申请、适当重新分配案件给其他相关部门以平衡工作量等各种措施灵活处理需求波动，持续提高工作效率。</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BOP提出每年消除积压的承诺，并及时处理现有申请，这反映在部门和个人的承诺中。</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4.质量保证</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21.12</w:t>
      </w:r>
      <w:r w:rsidRPr="006C06B3">
        <w:rPr>
          <w:rFonts w:ascii="KaiTi" w:eastAsia="KaiTi" w:hAnsi="KaiTi" w:cs="Times New Roman" w:hint="eastAsia"/>
          <w:i w:val="0"/>
          <w:iCs w:val="0"/>
          <w:noProof/>
          <w:szCs w:val="22"/>
          <w:lang w:val="x-none" w:eastAsia="zh-CN"/>
        </w:rPr>
        <w:tab/>
        <w:t>下文是要求的质量保证措施，用于及时发出根据《指南》的质量标准的检索和审查报告。指出下文是如何执行的，包括报告发出之前确认报告的问题清单或者报告发出之后监测质量指标的清单：</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(i)用于自我评估的内部质量保证体系，包括检索和审查工作的验证、确认和监测：</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用于遵守这些《检索和审查指南》；</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用于将反馈提供给工作人员。</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(ii)数据和报告的测量和收集体系。表明单位如何利用该体系确保建立的流程持续得到改进。</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(iii)验证采取的行动有效性的体系，用于纠正有缺陷的检索和审查工作，排除原因，防止问题复发。</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为了发布及时的且高质量的检索和审查报告，IPOPHL设置了两级专利质量保证体系。对于第一级（或过程中）的质量保证，所有工作结果（包括检索和审查报告）在邮寄给申请人之前由助理主管（部门助理主管）和主管（部门主管）进行检查。如果审查报告有任何修正，报告将交还给审查员进行适应修改。经修改后的报告由助理主管和主管再次核对，若无需进一步更正，报告会被批准并发给申请人。</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此外，IPOPHL使用3人小组进行检索。处理被检索申请的主审查员咨询或者召集两名同事协助进行检索。每个审查员独立设计策略并进行检索，然后在3名审查员之间讨论其检索结果，以核实相对该申请最佳或最相关的现有技术。此过程确保进行彻底的检索，并且所有策略和数据库都已进行过检索。</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在第二级质量保证（或PQRS）中，按照QMD制定的质量标准随机选择并评价检索和审查报告。质量评价每月进行一次，每年所有发布的检索报告中大约有7</w:t>
      </w:r>
      <w:r>
        <w:rPr>
          <w:rFonts w:ascii="SimSun" w:hAnsi="SimSun" w:hint="eastAsia"/>
          <w:noProof/>
          <w:sz w:val="21"/>
        </w:rPr>
        <w:t>%</w:t>
      </w:r>
      <w:r w:rsidRPr="00A23B02">
        <w:rPr>
          <w:rFonts w:ascii="SimSun" w:hAnsi="SimSun" w:hint="eastAsia"/>
          <w:noProof/>
          <w:sz w:val="21"/>
        </w:rPr>
        <w:t>由QMD进行质量评价。质量评价结果会被记录在案并每月报告。</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当确定为不合格时，立即启动纠正和预防机制。根据不合格的性质，可以发布后续检索报告或重新审查。为了防止不合格的情况再次发生，特别是关于可专利性问题时，QMC应讨论这个问题并制定新的政策或者修改政策，以便在局内实施。当同一位审查员重复不合格时，建议将其替换或再培训。</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5.通　信</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单位内部通信：</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注释：每个单位应当提供与其他单位的有效通信。</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（注：该点是非正式的。模板无需对第21.13段作出响应）</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21.14</w:t>
      </w:r>
      <w:r w:rsidRPr="006C06B3">
        <w:rPr>
          <w:rFonts w:ascii="KaiTi" w:eastAsia="KaiTi" w:hAnsi="KaiTi" w:cs="Times New Roman" w:hint="eastAsia"/>
          <w:i w:val="0"/>
          <w:iCs w:val="0"/>
          <w:noProof/>
          <w:szCs w:val="22"/>
          <w:lang w:val="x-none" w:eastAsia="zh-CN"/>
        </w:rPr>
        <w:tab/>
        <w:t>提供单位指定的质量联系人的姓名、工作职务和联系详情，该人将负责：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帮助确定和宣传单位中的最佳实践；</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促进持续的改进；和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lastRenderedPageBreak/>
        <w:tab/>
        <w:t>(c)</w:t>
      </w:r>
      <w:r w:rsidRPr="006C06B3">
        <w:rPr>
          <w:rFonts w:ascii="KaiTi" w:eastAsia="KaiTi" w:hAnsi="KaiTi" w:cs="Times New Roman" w:hint="eastAsia"/>
          <w:i w:val="0"/>
          <w:iCs w:val="0"/>
          <w:noProof/>
          <w:szCs w:val="22"/>
          <w:lang w:val="x-none" w:eastAsia="zh-CN"/>
        </w:rPr>
        <w:tab/>
        <w:t>提供与其他单位的有效通信，以允许来自它们的迅速反馈，从而可以评估和处理潜在的系统问题。</w:t>
      </w:r>
    </w:p>
    <w:p w:rsidR="00A4309A" w:rsidRPr="00D63D84" w:rsidRDefault="00A4309A" w:rsidP="006C3627">
      <w:pPr>
        <w:pStyle w:val="ONUME"/>
        <w:keepNext/>
        <w:numPr>
          <w:ilvl w:val="0"/>
          <w:numId w:val="0"/>
        </w:numPr>
        <w:spacing w:beforeLines="100" w:before="240" w:afterLines="50" w:after="120" w:line="340" w:lineRule="atLeast"/>
        <w:jc w:val="both"/>
        <w:rPr>
          <w:rFonts w:ascii="KaiTi" w:eastAsia="KaiTi" w:hAnsi="KaiTi"/>
          <w:noProof/>
          <w:sz w:val="21"/>
        </w:rPr>
      </w:pPr>
      <w:r w:rsidRPr="00D63D84">
        <w:rPr>
          <w:rFonts w:ascii="KaiTi" w:eastAsia="KaiTi" w:hAnsi="KaiTi" w:hint="eastAsia"/>
          <w:noProof/>
          <w:sz w:val="21"/>
        </w:rPr>
        <w:t>质量联系人：</w:t>
      </w:r>
    </w:p>
    <w:p w:rsidR="00A4309A" w:rsidRPr="00A23B02" w:rsidRDefault="00A4309A" w:rsidP="006C3627">
      <w:pPr>
        <w:pStyle w:val="ONUME"/>
        <w:numPr>
          <w:ilvl w:val="0"/>
          <w:numId w:val="0"/>
        </w:numPr>
        <w:spacing w:afterLines="50" w:after="120" w:line="340" w:lineRule="atLeast"/>
        <w:jc w:val="both"/>
        <w:rPr>
          <w:rFonts w:ascii="SimSun" w:hAnsi="SimSun"/>
          <w:noProof/>
          <w:sz w:val="21"/>
        </w:rPr>
      </w:pPr>
      <w:r w:rsidRPr="00A23B02">
        <w:rPr>
          <w:rFonts w:ascii="SimSun" w:hAnsi="SimSun" w:hint="eastAsia"/>
          <w:noProof/>
          <w:sz w:val="21"/>
        </w:rPr>
        <w:t>Merito J. Carag</w:t>
      </w:r>
      <w:r>
        <w:rPr>
          <w:rFonts w:ascii="SimSun" w:hAnsi="SimSun" w:hint="eastAsia"/>
          <w:noProof/>
          <w:sz w:val="21"/>
        </w:rPr>
        <w:t>工程师，</w:t>
      </w:r>
      <w:r w:rsidRPr="00A23B02">
        <w:rPr>
          <w:rFonts w:ascii="SimSun" w:hAnsi="SimSun" w:hint="eastAsia"/>
          <w:noProof/>
          <w:sz w:val="21"/>
        </w:rPr>
        <w:t>质量管理部门负责人（merito.carag@ipophil.gov.ph）</w:t>
      </w:r>
    </w:p>
    <w:p w:rsidR="00A4309A" w:rsidRPr="00A23B02" w:rsidRDefault="00A4309A" w:rsidP="006C3627">
      <w:pPr>
        <w:pStyle w:val="ONUME"/>
        <w:numPr>
          <w:ilvl w:val="0"/>
          <w:numId w:val="0"/>
        </w:numPr>
        <w:spacing w:afterLines="50" w:after="120" w:line="340" w:lineRule="atLeast"/>
        <w:jc w:val="both"/>
        <w:rPr>
          <w:rFonts w:ascii="SimSun" w:hAnsi="SimSun"/>
          <w:noProof/>
          <w:sz w:val="21"/>
        </w:rPr>
      </w:pPr>
      <w:r w:rsidRPr="00A23B02">
        <w:rPr>
          <w:rFonts w:ascii="SimSun" w:hAnsi="SimSun" w:hint="eastAsia"/>
          <w:noProof/>
          <w:sz w:val="21"/>
        </w:rPr>
        <w:t>RonilEmmavi J. Remoquillo女士</w:t>
      </w:r>
      <w:r>
        <w:rPr>
          <w:rFonts w:ascii="SimSun" w:hAnsi="SimSun" w:hint="eastAsia"/>
          <w:noProof/>
          <w:sz w:val="21"/>
        </w:rPr>
        <w:t>，</w:t>
      </w:r>
      <w:r w:rsidRPr="00A23B02">
        <w:rPr>
          <w:rFonts w:ascii="SimSun" w:hAnsi="SimSun" w:hint="eastAsia"/>
          <w:noProof/>
          <w:sz w:val="21"/>
        </w:rPr>
        <w:t>QMD质量评价主管（ronilemmavi.remoquillo@ipophil.gov.ph）</w:t>
      </w:r>
    </w:p>
    <w:p w:rsidR="00A4309A" w:rsidRPr="006C06B3" w:rsidRDefault="00A4309A" w:rsidP="006C3627">
      <w:pPr>
        <w:pStyle w:val="Guidance"/>
        <w:keepNext/>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21.15通信和用户指南：</w:t>
      </w:r>
    </w:p>
    <w:p w:rsidR="00A4309A" w:rsidRPr="006C06B3" w:rsidRDefault="00A4309A" w:rsidP="006C3627">
      <w:pPr>
        <w:pStyle w:val="Guidance"/>
        <w:keepNext/>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描述用于监测和使用用户反馈的体系，包括至少如下内容：</w:t>
      </w:r>
    </w:p>
    <w:p w:rsidR="00A4309A" w:rsidRPr="006C06B3" w:rsidRDefault="00A4309A" w:rsidP="006C3627">
      <w:pPr>
        <w:pStyle w:val="Guidance"/>
        <w:keepNext/>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合适的体系，用于</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处理投诉和进行校正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适当时采取校正和/或预防行动；和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将反馈提供给用户.</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程序，用于</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监测用户满意度和感受；和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确保他们的合法需求和期望得以满足。</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用于用户（尤其是没有代理的申请人）的关于检索和审查程序的清楚、简要和综合的指南和信息，提供哪里能够找到它的具体方式，例如单位网站的链接、指导小册子。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关于单位在哪里和如何使其质量目标为用户可公开获得的指示。</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IPOPHL使用以下反馈机制：</w:t>
      </w:r>
    </w:p>
    <w:p w:rsidR="00A4309A" w:rsidRPr="00941C46" w:rsidRDefault="00A4309A" w:rsidP="006C3627">
      <w:pPr>
        <w:keepNext/>
        <w:keepLines/>
        <w:spacing w:beforeLines="100" w:before="240" w:afterLines="50" w:after="120" w:line="340" w:lineRule="atLeast"/>
        <w:jc w:val="center"/>
        <w:rPr>
          <w:rFonts w:ascii="KaiTi" w:eastAsia="KaiTi" w:hAnsi="KaiTi"/>
          <w:noProof/>
          <w:sz w:val="21"/>
          <w:szCs w:val="22"/>
          <w:lang w:val="x-none"/>
        </w:rPr>
      </w:pPr>
      <w:r w:rsidRPr="00941C46">
        <w:rPr>
          <w:rFonts w:ascii="KaiTi" w:eastAsia="KaiTi" w:hAnsi="KaiTi" w:hint="eastAsia"/>
          <w:noProof/>
          <w:sz w:val="21"/>
          <w:szCs w:val="22"/>
          <w:lang w:val="x-none"/>
        </w:rPr>
        <w:t>图3</w:t>
      </w:r>
    </w:p>
    <w:p w:rsidR="00A4309A" w:rsidRPr="00941C46" w:rsidRDefault="00A4309A" w:rsidP="006C3627">
      <w:pPr>
        <w:keepNext/>
        <w:keepLines/>
        <w:shd w:val="clear" w:color="auto" w:fill="BFBFBF"/>
        <w:jc w:val="center"/>
        <w:rPr>
          <w:rFonts w:ascii="SimSun" w:hAnsi="SimSun"/>
          <w:noProof/>
          <w:sz w:val="21"/>
          <w:szCs w:val="22"/>
          <w:lang w:val="x-none"/>
        </w:rPr>
      </w:pPr>
      <w:r w:rsidRPr="00941C46">
        <w:rPr>
          <w:rFonts w:ascii="SimSun" w:hAnsi="SimSun" w:hint="eastAsia"/>
          <w:noProof/>
          <w:sz w:val="21"/>
          <w:szCs w:val="22"/>
          <w:lang w:val="x-none"/>
        </w:rPr>
        <w:t>PQRS反馈工作流程</w:t>
      </w:r>
    </w:p>
    <w:p w:rsidR="00A4309A" w:rsidRPr="00941C46" w:rsidRDefault="00A4309A" w:rsidP="006C3627">
      <w:pPr>
        <w:rPr>
          <w:rFonts w:ascii="SimSun" w:hAnsi="SimSun"/>
          <w:noProof/>
          <w:sz w:val="21"/>
          <w:szCs w:val="22"/>
          <w:lang w:val="x-none"/>
        </w:rPr>
      </w:pPr>
      <w:r w:rsidRPr="00941C46">
        <w:rPr>
          <w:rFonts w:ascii="SimSun" w:hAnsi="SimSun" w:hint="eastAsia"/>
          <w:noProof/>
          <w:sz w:val="21"/>
          <w:szCs w:val="22"/>
        </w:rPr>
        <w:drawing>
          <wp:inline distT="0" distB="0" distL="0" distR="0" wp14:anchorId="7FBBDA65" wp14:editId="64B66154">
            <wp:extent cx="5872480" cy="40011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2480" cy="4001135"/>
                    </a:xfrm>
                    <a:prstGeom prst="rect">
                      <a:avLst/>
                    </a:prstGeom>
                    <a:noFill/>
                    <a:ln>
                      <a:noFill/>
                    </a:ln>
                  </pic:spPr>
                </pic:pic>
              </a:graphicData>
            </a:graphic>
          </wp:inline>
        </w:drawing>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lastRenderedPageBreak/>
        <w:t>(i)</w:t>
      </w:r>
      <w:r>
        <w:rPr>
          <w:rFonts w:ascii="SimSun" w:hAnsi="SimSun" w:hint="eastAsia"/>
          <w:noProof/>
          <w:sz w:val="21"/>
        </w:rPr>
        <w:tab/>
      </w:r>
      <w:r w:rsidRPr="00A23B02">
        <w:rPr>
          <w:rFonts w:ascii="SimSun" w:hAnsi="SimSun" w:hint="eastAsia"/>
          <w:noProof/>
          <w:sz w:val="21"/>
        </w:rPr>
        <w:t>政策管理办公室（OSM）的任务是通过客户反馈表、电子邮件、邮政信函、电话和IPOPHL意见箱接收客户反馈和投诉。投诉和反馈将转交各局/部门负责人采取适当行动。有关审查的反馈或问题将转交QMD进行适当的评估并采取纠正措施。评估和纠正措施的结果将告知客户/投诉人。</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(ii)</w:t>
      </w:r>
      <w:r>
        <w:rPr>
          <w:rFonts w:ascii="SimSun" w:hAnsi="SimSun" w:hint="eastAsia"/>
          <w:noProof/>
          <w:sz w:val="21"/>
        </w:rPr>
        <w:tab/>
      </w:r>
      <w:r w:rsidRPr="00A23B02">
        <w:rPr>
          <w:rFonts w:ascii="SimSun" w:hAnsi="SimSun" w:hint="eastAsia"/>
          <w:noProof/>
          <w:sz w:val="21"/>
        </w:rPr>
        <w:t>IPOPHL通过OSM进行客户满意度反馈调查。这项调查对于帮助专利局改进服务非常重要。OSM准备客户反馈表，并将其通过传真、电子邮件、邮政信函、警卫站（直接来访）和IPOPHL信箱进行分发。通过类似方式反馈回复，并且对于直接来访的人员通过位于IPOPHL办公室的邮箱反馈表格。调查表的跟进也可以通过电子邮件和电话进行。对回复意见进行收集，整理和制表。OSM根据结果准备了客户满意度调查报告，其中包含统计分析，评论和建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专利局还举办与利益相关方年度会议，讨论与检索和审查实践有关的问题和事项。</w:t>
      </w:r>
    </w:p>
    <w:p w:rsidR="00A4309A" w:rsidRPr="00A23B02" w:rsidRDefault="00A4309A" w:rsidP="006C3627">
      <w:pPr>
        <w:pStyle w:val="ONUME"/>
        <w:numPr>
          <w:ilvl w:val="0"/>
          <w:numId w:val="0"/>
        </w:numPr>
        <w:overflowPunct w:val="0"/>
        <w:spacing w:afterLines="50" w:after="120" w:line="340" w:lineRule="atLeast"/>
        <w:jc w:val="both"/>
        <w:rPr>
          <w:rFonts w:ascii="SimSun" w:hAnsi="SimSun"/>
          <w:noProof/>
          <w:sz w:val="21"/>
        </w:rPr>
      </w:pPr>
      <w:r w:rsidRPr="00A23B02">
        <w:rPr>
          <w:rFonts w:ascii="SimSun" w:hAnsi="SimSun" w:hint="eastAsia"/>
          <w:noProof/>
          <w:sz w:val="21"/>
        </w:rPr>
        <w:t>(iii)和(iv)IPOPHL公布了知识产权法及其实施细则和规章（IRR），专利审查实践指南（MPEP），2008年通用可获取便宜和优质药品法（QUAMA）及其指南，实用新型、工业品外观设计、专利和PCT申请的申请程序及费用表。这些也可以在IPOPHL网站上获得。</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公众可以通过IPOPHL网站获得IPOPHL的质量目标。</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21.16</w:t>
      </w:r>
      <w:r w:rsidRPr="006C06B3">
        <w:rPr>
          <w:rFonts w:ascii="KaiTi" w:eastAsia="KaiTi" w:hAnsi="KaiTi" w:cs="Times New Roman" w:hint="eastAsia"/>
          <w:i w:val="0"/>
          <w:iCs w:val="0"/>
          <w:noProof/>
          <w:szCs w:val="22"/>
          <w:lang w:val="x-none" w:eastAsia="zh-CN"/>
        </w:rPr>
        <w:tab/>
        <w:t>与WIPO、指定局和选定局的通信</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描述单位如何提供与WIPO、指定局和选定局的有效通信。特别描述单位如何确保WIPO的反馈得到迅速评估和处理。</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在获得指定时，IPOPHL指定专利局局长作为与WIPO国际局、指定局和选定局进行通信的联系人。</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6.文　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21.17</w:t>
      </w:r>
      <w:r w:rsidRPr="006C06B3">
        <w:rPr>
          <w:rFonts w:ascii="KaiTi" w:eastAsia="KaiTi" w:hAnsi="KaiTi" w:cs="Times New Roman" w:hint="eastAsia"/>
          <w:i w:val="0"/>
          <w:iCs w:val="0"/>
          <w:noProof/>
          <w:szCs w:val="22"/>
          <w:lang w:val="x-none" w:eastAsia="zh-CN"/>
        </w:rPr>
        <w:tab/>
        <w:t>注释：单位的QMS需要清楚地描述和执行，从而使得单位中的所有程序及其产品和服务的遵守情况能够得到监测、控制和检查。这在构成单位质量手册的文档中进行（参见段落21.18）。</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（注：该点是非正式的。模板无需对第21.17段作出响应）</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21.18</w:t>
      </w:r>
      <w:r w:rsidRPr="006C06B3">
        <w:rPr>
          <w:rFonts w:ascii="KaiTi" w:eastAsia="KaiTi" w:hAnsi="KaiTi" w:cs="Times New Roman" w:hint="eastAsia"/>
          <w:i w:val="0"/>
          <w:iCs w:val="0"/>
          <w:noProof/>
          <w:szCs w:val="22"/>
          <w:lang w:val="x-none" w:eastAsia="zh-CN"/>
        </w:rPr>
        <w:tab/>
        <w:t>构成质量手册的文档用于将影响工作质量的程序和处理编程文件，例如分类、检索、审查和相关行政工作。特别地，质量手册指示何处找到关于需要遵守的程序的指导。</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为本报告目的，指出：</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已经准备和发布的构成质量手册的文档；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其支持的媒介（例如内部公布、因特网、内联网）；和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采取的文档控制措施，例如版本计数、对最新版本的访问。</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组成质量手册的文件已经准备好并分发给工作人员。采取版本编号、内部公布最新版本等文档控制措施。所有文件可通过内网（IPOPHL内部通信系统）获得。</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21.19</w:t>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指示构成质量手册的文档包括以下内容：</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单位的质量政策，包括对来自上层管理人员的QMS承诺的清楚陈述；</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QMS的范围，包括细节及对任何排除的辩解；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单位的组织结构和其每个部门的职责；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单位开展的文档处理，例如接收进来的申请、分类、分配、检索、审查、公布和支持程序，和为QMS建立的程序，或对它们的参考；</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进行处理和实行程序可获得的资源；和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(vi)</w:t>
      </w:r>
      <w:r w:rsidRPr="006C06B3">
        <w:rPr>
          <w:rFonts w:ascii="KaiTi" w:eastAsia="KaiTi" w:hAnsi="KaiTi" w:cs="Times New Roman" w:hint="eastAsia"/>
          <w:i w:val="0"/>
          <w:iCs w:val="0"/>
          <w:noProof/>
          <w:szCs w:val="22"/>
          <w:lang w:val="x-none" w:eastAsia="zh-CN"/>
        </w:rPr>
        <w:tab/>
        <w:t>QMS处理和程序之间相互作用的描述。</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lastRenderedPageBreak/>
        <w:t>质量手册包括以下内容：</w:t>
      </w:r>
    </w:p>
    <w:p w:rsidR="00A4309A" w:rsidRPr="00A23B02" w:rsidRDefault="00A4309A" w:rsidP="00295AEC">
      <w:pPr>
        <w:pStyle w:val="ONUME"/>
        <w:numPr>
          <w:ilvl w:val="0"/>
          <w:numId w:val="0"/>
        </w:numPr>
        <w:spacing w:afterLines="50" w:after="120" w:line="340" w:lineRule="atLeast"/>
        <w:ind w:left="1134"/>
        <w:rPr>
          <w:rFonts w:ascii="SimSun" w:hAnsi="SimSun"/>
          <w:noProof/>
          <w:sz w:val="21"/>
        </w:rPr>
      </w:pPr>
      <w:r w:rsidRPr="00A23B02">
        <w:rPr>
          <w:rFonts w:ascii="SimSun" w:hAnsi="SimSun" w:hint="eastAsia"/>
          <w:noProof/>
          <w:sz w:val="21"/>
        </w:rPr>
        <w:t>1.质量政策</w:t>
      </w:r>
      <w:r>
        <w:rPr>
          <w:rFonts w:ascii="SimSun" w:hAnsi="SimSun" w:hint="eastAsia"/>
          <w:noProof/>
          <w:sz w:val="21"/>
        </w:rPr>
        <w:t>；</w:t>
      </w:r>
      <w:r w:rsidRPr="00A23B02">
        <w:rPr>
          <w:rFonts w:ascii="SimSun" w:hAnsi="SimSun" w:hint="eastAsia"/>
          <w:noProof/>
          <w:sz w:val="21"/>
        </w:rPr>
        <w:br/>
        <w:t>2.质量管理体系的范围</w:t>
      </w:r>
      <w:r>
        <w:rPr>
          <w:rFonts w:ascii="SimSun" w:hAnsi="SimSun" w:hint="eastAsia"/>
          <w:noProof/>
          <w:sz w:val="21"/>
        </w:rPr>
        <w:t>；</w:t>
      </w:r>
      <w:r w:rsidRPr="00A23B02">
        <w:rPr>
          <w:rFonts w:ascii="SimSun" w:hAnsi="SimSun" w:hint="eastAsia"/>
          <w:noProof/>
          <w:sz w:val="21"/>
        </w:rPr>
        <w:br/>
        <w:t>3.组织结构</w:t>
      </w:r>
      <w:r>
        <w:rPr>
          <w:rFonts w:ascii="SimSun" w:hAnsi="SimSun" w:hint="eastAsia"/>
          <w:noProof/>
          <w:sz w:val="21"/>
        </w:rPr>
        <w:t>；</w:t>
      </w:r>
      <w:r w:rsidRPr="00A23B02">
        <w:rPr>
          <w:rFonts w:ascii="SimSun" w:hAnsi="SimSun" w:hint="eastAsia"/>
          <w:noProof/>
          <w:sz w:val="21"/>
        </w:rPr>
        <w:br/>
        <w:t>4.其他从IPOPHL开始的申请到授权的归档程序</w:t>
      </w:r>
      <w:r>
        <w:rPr>
          <w:rFonts w:ascii="SimSun" w:hAnsi="SimSun" w:hint="eastAsia"/>
          <w:noProof/>
          <w:sz w:val="21"/>
        </w:rPr>
        <w:t>；</w:t>
      </w:r>
      <w:r w:rsidRPr="00A23B02">
        <w:rPr>
          <w:rFonts w:ascii="SimSun" w:hAnsi="SimSun" w:hint="eastAsia"/>
          <w:noProof/>
          <w:sz w:val="21"/>
        </w:rPr>
        <w:br/>
        <w:t>5.执行程序所需的资源</w:t>
      </w:r>
      <w:r>
        <w:rPr>
          <w:rFonts w:ascii="SimSun" w:hAnsi="SimSun" w:hint="eastAsia"/>
          <w:noProof/>
          <w:sz w:val="21"/>
        </w:rPr>
        <w:t>；</w:t>
      </w:r>
      <w:r w:rsidRPr="00A23B02">
        <w:rPr>
          <w:rFonts w:ascii="SimSun" w:hAnsi="SimSun" w:hint="eastAsia"/>
          <w:noProof/>
          <w:sz w:val="21"/>
        </w:rPr>
        <w:t>和</w:t>
      </w:r>
      <w:r w:rsidRPr="00A23B02">
        <w:rPr>
          <w:rFonts w:ascii="SimSun" w:hAnsi="SimSun" w:hint="eastAsia"/>
          <w:noProof/>
          <w:sz w:val="21"/>
        </w:rPr>
        <w:br/>
        <w:t>6.程序之间的交互。</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21.20</w:t>
      </w:r>
      <w:r w:rsidRPr="006C06B3">
        <w:rPr>
          <w:rFonts w:ascii="KaiTi" w:eastAsia="KaiTi" w:hAnsi="KaiTi" w:cs="Times New Roman" w:hint="eastAsia"/>
          <w:i w:val="0"/>
          <w:iCs w:val="0"/>
          <w:noProof/>
          <w:szCs w:val="22"/>
          <w:lang w:val="x-none" w:eastAsia="zh-CN"/>
        </w:rPr>
        <w:tab/>
        <w:t>指示单位维护何种类型的记录，例如：</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关于保存什么文件和保存在哪里的定义；</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管理人员复查的结果；</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人员培训、技能和经验；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处理一致性证明，关于质量标准的最终产品和服务；</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涉及产品的要求的复查结果；</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(vi)</w:t>
      </w:r>
      <w:r w:rsidRPr="006C06B3">
        <w:rPr>
          <w:rFonts w:ascii="KaiTi" w:eastAsia="KaiTi" w:hAnsi="KaiTi" w:cs="Times New Roman" w:hint="eastAsia"/>
          <w:i w:val="0"/>
          <w:iCs w:val="0"/>
          <w:noProof/>
          <w:szCs w:val="22"/>
          <w:lang w:val="x-none" w:eastAsia="zh-CN"/>
        </w:rPr>
        <w:tab/>
        <w:t>在每件申请上开展的检索和审查处理；</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(vii)</w:t>
      </w:r>
      <w:r w:rsidRPr="006C06B3">
        <w:rPr>
          <w:rFonts w:ascii="KaiTi" w:eastAsia="KaiTi" w:hAnsi="KaiTi" w:cs="Times New Roman" w:hint="eastAsia"/>
          <w:i w:val="0"/>
          <w:iCs w:val="0"/>
          <w:noProof/>
          <w:szCs w:val="22"/>
          <w:lang w:val="x-none" w:eastAsia="zh-CN"/>
        </w:rPr>
        <w:tab/>
        <w:t>允许单独的工作得到跟踪和追踪的数据；</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(viii)</w:t>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QMS审核记录；</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(ix)</w:t>
      </w:r>
      <w:r w:rsidRPr="006C06B3">
        <w:rPr>
          <w:rFonts w:ascii="KaiTi" w:eastAsia="KaiTi" w:hAnsi="KaiTi" w:cs="Times New Roman" w:hint="eastAsia"/>
          <w:i w:val="0"/>
          <w:iCs w:val="0"/>
          <w:noProof/>
          <w:szCs w:val="22"/>
          <w:lang w:val="x-none" w:eastAsia="zh-CN"/>
        </w:rPr>
        <w:tab/>
        <w:t>对不一致的产品重新采取的行动，例如校正的例子；</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(x)</w:t>
      </w:r>
      <w:r w:rsidRPr="006C06B3">
        <w:rPr>
          <w:rFonts w:ascii="KaiTi" w:eastAsia="KaiTi" w:hAnsi="KaiTi" w:cs="Times New Roman" w:hint="eastAsia"/>
          <w:i w:val="0"/>
          <w:iCs w:val="0"/>
          <w:noProof/>
          <w:szCs w:val="22"/>
          <w:lang w:val="x-none" w:eastAsia="zh-CN"/>
        </w:rPr>
        <w:tab/>
        <w:t>对校正行为重新采取的行动；</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(xi)</w:t>
      </w:r>
      <w:r w:rsidRPr="006C06B3">
        <w:rPr>
          <w:rFonts w:ascii="KaiTi" w:eastAsia="KaiTi" w:hAnsi="KaiTi" w:cs="Times New Roman" w:hint="eastAsia"/>
          <w:i w:val="0"/>
          <w:iCs w:val="0"/>
          <w:noProof/>
          <w:szCs w:val="22"/>
          <w:lang w:val="x-none" w:eastAsia="zh-CN"/>
        </w:rPr>
        <w:tab/>
        <w:t>对预防性行动重新采取的行动；</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(xii)</w:t>
      </w:r>
      <w:r w:rsidRPr="006C06B3">
        <w:rPr>
          <w:rFonts w:ascii="KaiTi" w:eastAsia="KaiTi" w:hAnsi="KaiTi" w:cs="Times New Roman" w:hint="eastAsia"/>
          <w:i w:val="0"/>
          <w:iCs w:val="0"/>
          <w:noProof/>
          <w:szCs w:val="22"/>
          <w:lang w:val="x-none" w:eastAsia="zh-CN"/>
        </w:rPr>
        <w:tab/>
        <w:t>如第7部分规定的检索过程文档。</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在IPOPHL，根据ISO 9001:2008要求，文件和记录管理人员（DRC）负责收集、保存、保护和处理每一个局/部门的记录，诸如：</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界定保存哪些文件及其保存在哪里</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管理评价结果</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从质量标准的角度，程序、最终产品和服务的合格证明</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iv</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与产品有关的要求的评价结果</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质量管理体系审核记录</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对不合格产品采取的行动，例如更正示例；</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有关纠正措施行动；和</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viii</w:t>
      </w:r>
      <w:r>
        <w:rPr>
          <w:rFonts w:ascii="SimSun" w:hAnsi="SimSun" w:hint="eastAsia"/>
          <w:noProof/>
          <w:sz w:val="21"/>
        </w:rPr>
        <w:t>)</w:t>
      </w:r>
      <w:r w:rsidRPr="00A23B02">
        <w:rPr>
          <w:rFonts w:ascii="SimSun" w:hAnsi="SimSun" w:hint="eastAsia"/>
          <w:noProof/>
          <w:sz w:val="21"/>
        </w:rPr>
        <w:t>有关预防措施的行动。</w:t>
      </w:r>
    </w:p>
    <w:p w:rsidR="00A4309A" w:rsidRPr="00A23B02" w:rsidRDefault="00A4309A" w:rsidP="006C3627">
      <w:pPr>
        <w:pStyle w:val="ONUME"/>
        <w:numPr>
          <w:ilvl w:val="0"/>
          <w:numId w:val="0"/>
        </w:numPr>
        <w:spacing w:afterLines="50" w:after="120" w:line="340" w:lineRule="atLeast"/>
        <w:jc w:val="both"/>
        <w:rPr>
          <w:rFonts w:ascii="SimSun" w:hAnsi="SimSun"/>
          <w:noProof/>
          <w:sz w:val="21"/>
        </w:rPr>
      </w:pPr>
      <w:r w:rsidRPr="00A23B02">
        <w:rPr>
          <w:rFonts w:ascii="SimSun" w:hAnsi="SimSun" w:hint="eastAsia"/>
          <w:noProof/>
          <w:sz w:val="21"/>
        </w:rPr>
        <w:t>所有记录都保存在DRC办公室。</w:t>
      </w:r>
    </w:p>
    <w:p w:rsidR="00A4309A" w:rsidRPr="00A23B02" w:rsidRDefault="00A4309A" w:rsidP="006C3627">
      <w:pPr>
        <w:pStyle w:val="ONUME"/>
        <w:numPr>
          <w:ilvl w:val="0"/>
          <w:numId w:val="0"/>
        </w:numPr>
        <w:spacing w:afterLines="50" w:after="120" w:line="340" w:lineRule="atLeast"/>
        <w:jc w:val="both"/>
        <w:rPr>
          <w:rFonts w:ascii="SimSun" w:hAnsi="SimSun"/>
          <w:noProof/>
          <w:sz w:val="21"/>
        </w:rPr>
      </w:pPr>
      <w:r w:rsidRPr="00A23B02">
        <w:rPr>
          <w:rFonts w:ascii="SimSun" w:hAnsi="SimSun" w:hint="eastAsia"/>
          <w:noProof/>
          <w:sz w:val="21"/>
        </w:rPr>
        <w:t>在专利局，RMU负责维护以下记录：</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ix</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对每个申请进行的检索和审查程序</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x</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允许跟踪和追踪个人工作数据</w:t>
      </w:r>
      <w:r>
        <w:rPr>
          <w:rFonts w:ascii="SimSun" w:hAnsi="SimSun" w:hint="eastAsia"/>
          <w:noProof/>
          <w:sz w:val="21"/>
        </w:rPr>
        <w:t>；</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xi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检索过程文件，如第7节所述。</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lastRenderedPageBreak/>
        <w:t>所有文件都以电子版保存在IPAS中。</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此外，人力资源开发部门（HRDD）负责形成以下记录：</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(xii)</w:t>
      </w:r>
      <w:r>
        <w:rPr>
          <w:rFonts w:ascii="SimSun" w:hAnsi="SimSun" w:hint="eastAsia"/>
          <w:noProof/>
          <w:sz w:val="21"/>
        </w:rPr>
        <w:tab/>
      </w:r>
      <w:r w:rsidRPr="00A23B02">
        <w:rPr>
          <w:rFonts w:ascii="SimSun" w:hAnsi="SimSun" w:hint="eastAsia"/>
          <w:noProof/>
          <w:sz w:val="21"/>
        </w:rPr>
        <w:t>人员的培训，技能和经历。</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所有记录都保存在人力资源开发部门的办公室。</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7.检索过程文档</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21.21</w:t>
      </w:r>
      <w:r w:rsidRPr="006C06B3">
        <w:rPr>
          <w:rFonts w:ascii="KaiTi" w:eastAsia="KaiTi" w:hAnsi="KaiTi" w:cs="Times New Roman" w:hint="eastAsia"/>
          <w:i w:val="0"/>
          <w:iCs w:val="0"/>
          <w:noProof/>
          <w:szCs w:val="22"/>
          <w:lang w:val="x-none" w:eastAsia="zh-CN"/>
        </w:rPr>
        <w:tab/>
        <w:t>为了内部目的，单位应记录其检索过程。</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单位应当指出</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(a)</w:t>
      </w:r>
      <w:r w:rsidRPr="006C06B3">
        <w:rPr>
          <w:rFonts w:ascii="KaiTi" w:eastAsia="KaiTi" w:hAnsi="KaiTi" w:cs="Times New Roman" w:hint="eastAsia"/>
          <w:i w:val="0"/>
          <w:iCs w:val="0"/>
          <w:noProof/>
          <w:szCs w:val="22"/>
          <w:lang w:val="x-none" w:eastAsia="zh-CN"/>
        </w:rPr>
        <w:tab/>
        <w:t>下面那些包含在该记录中：</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w:t>
      </w:r>
      <w:r w:rsidRPr="006C06B3">
        <w:rPr>
          <w:rFonts w:ascii="KaiTi" w:eastAsia="KaiTi" w:hAnsi="KaiTi" w:cs="Times New Roman" w:hint="eastAsia"/>
          <w:i w:val="0"/>
          <w:iCs w:val="0"/>
          <w:noProof/>
          <w:szCs w:val="22"/>
          <w:lang w:val="x-none" w:eastAsia="zh-CN"/>
        </w:rPr>
        <w:tab/>
        <w:t>检索的数据库（专利和非专利文献）；</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(ii)</w:t>
      </w:r>
      <w:r w:rsidRPr="006C06B3">
        <w:rPr>
          <w:rFonts w:ascii="KaiTi" w:eastAsia="KaiTi" w:hAnsi="KaiTi" w:cs="Times New Roman" w:hint="eastAsia"/>
          <w:i w:val="0"/>
          <w:iCs w:val="0"/>
          <w:noProof/>
          <w:szCs w:val="22"/>
          <w:lang w:val="x-none" w:eastAsia="zh-CN"/>
        </w:rPr>
        <w:tab/>
        <w:t>使用的关键词、词和截词符的组合；</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(iii)</w:t>
      </w:r>
      <w:r w:rsidRPr="006C06B3">
        <w:rPr>
          <w:rFonts w:ascii="KaiTi" w:eastAsia="KaiTi" w:hAnsi="KaiTi" w:cs="Times New Roman" w:hint="eastAsia"/>
          <w:i w:val="0"/>
          <w:iCs w:val="0"/>
          <w:noProof/>
          <w:szCs w:val="22"/>
          <w:lang w:val="x-none" w:eastAsia="zh-CN"/>
        </w:rPr>
        <w:tab/>
        <w:t>进行检索的语言；</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(iv)</w:t>
      </w:r>
      <w:r w:rsidRPr="006C06B3">
        <w:rPr>
          <w:rFonts w:ascii="KaiTi" w:eastAsia="KaiTi" w:hAnsi="KaiTi" w:cs="Times New Roman" w:hint="eastAsia"/>
          <w:i w:val="0"/>
          <w:iCs w:val="0"/>
          <w:noProof/>
          <w:szCs w:val="22"/>
          <w:lang w:val="x-none" w:eastAsia="zh-CN"/>
        </w:rPr>
        <w:tab/>
        <w:t>检索的分类号和分类号组合，至少根据IPC或等同的分类；</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w:t>
      </w:r>
      <w:r w:rsidRPr="006C06B3">
        <w:rPr>
          <w:rFonts w:ascii="KaiTi" w:eastAsia="KaiTi" w:hAnsi="KaiTi" w:cs="Times New Roman" w:hint="eastAsia"/>
          <w:i w:val="0"/>
          <w:iCs w:val="0"/>
          <w:noProof/>
          <w:szCs w:val="22"/>
          <w:lang w:val="x-none" w:eastAsia="zh-CN"/>
        </w:rPr>
        <w:tab/>
        <w:t>在数据库中检索所用的所有检索式列表。</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(b)</w:t>
      </w:r>
      <w:r w:rsidRPr="006C06B3">
        <w:rPr>
          <w:rFonts w:ascii="KaiTi" w:eastAsia="KaiTi" w:hAnsi="KaiTi" w:cs="Times New Roman" w:hint="eastAsia"/>
          <w:i w:val="0"/>
          <w:iCs w:val="0"/>
          <w:noProof/>
          <w:szCs w:val="22"/>
          <w:lang w:val="x-none" w:eastAsia="zh-CN"/>
        </w:rPr>
        <w:tab/>
        <w:t>该记录中包括了与检索本身相关的什么其他信息，例如检索主题的陈述、特别与因特网检索相关的细节；浏览过的文档记录；在线文库，同义词或概念数据库等。</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（注释：IA被要求列出其他信息，其可以收集用于监测和改进检索过程）</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t>(c)</w:t>
      </w:r>
      <w:r w:rsidRPr="006C06B3">
        <w:rPr>
          <w:rFonts w:ascii="KaiTi" w:eastAsia="KaiTi" w:hAnsi="KaiTi" w:cs="Times New Roman" w:hint="eastAsia"/>
          <w:i w:val="0"/>
          <w:iCs w:val="0"/>
          <w:noProof/>
          <w:szCs w:val="22"/>
          <w:lang w:val="x-none" w:eastAsia="zh-CN"/>
        </w:rPr>
        <w:tab/>
        <w:t>那些专门的情形被编成文档以及记录是否得以保留，指示任何：</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w:t>
      </w:r>
      <w:r w:rsidRPr="006C06B3">
        <w:rPr>
          <w:rFonts w:ascii="KaiTi" w:eastAsia="KaiTi" w:hAnsi="KaiTi" w:cs="Times New Roman" w:hint="eastAsia"/>
          <w:i w:val="0"/>
          <w:iCs w:val="0"/>
          <w:noProof/>
          <w:szCs w:val="22"/>
          <w:lang w:val="x-none" w:eastAsia="zh-CN"/>
        </w:rPr>
        <w:tab/>
        <w:t>检索的限制及其理由</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(vii)</w:t>
      </w:r>
      <w:r w:rsidRPr="006C06B3">
        <w:rPr>
          <w:rFonts w:ascii="KaiTi" w:eastAsia="KaiTi" w:hAnsi="KaiTi" w:cs="Times New Roman" w:hint="eastAsia"/>
          <w:i w:val="0"/>
          <w:iCs w:val="0"/>
          <w:noProof/>
          <w:szCs w:val="22"/>
          <w:lang w:val="x-none" w:eastAsia="zh-CN"/>
        </w:rPr>
        <w:tab/>
        <w:t>权利要求不清楚；和</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ab/>
        <w:t>(viii)</w:t>
      </w:r>
      <w:r w:rsidRPr="006C06B3">
        <w:rPr>
          <w:rFonts w:ascii="KaiTi" w:eastAsia="KaiTi" w:hAnsi="KaiTi" w:cs="Times New Roman" w:hint="eastAsia"/>
          <w:i w:val="0"/>
          <w:iCs w:val="0"/>
          <w:noProof/>
          <w:szCs w:val="22"/>
          <w:lang w:val="x-none" w:eastAsia="zh-CN"/>
        </w:rPr>
        <w:tab/>
        <w:t>不符合单一性。</w:t>
      </w:r>
    </w:p>
    <w:p w:rsidR="00A4309A"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IPAS包含所有工作产品的标准模板，包括检索和审查报告。</w:t>
      </w:r>
    </w:p>
    <w:p w:rsidR="00A4309A"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记录有关检索报告发布的以下信息：</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申请数据：申请号，申请日期，名称，最早优先权日</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国际专利分类（IPC）</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检索的数据库</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iv</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使用的关键词</w:t>
      </w:r>
    </w:p>
    <w:p w:rsidR="00A4309A" w:rsidRPr="00A23B02"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有关段落被考虑的引用文件</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sidRPr="00A23B02">
        <w:rPr>
          <w:rFonts w:ascii="SimSun" w:hAnsi="SimSun" w:hint="eastAsia"/>
          <w:noProof/>
          <w:sz w:val="21"/>
        </w:rPr>
        <w:t>(vi)</w:t>
      </w:r>
      <w:r>
        <w:rPr>
          <w:rFonts w:ascii="SimSun" w:hAnsi="SimSun" w:hint="eastAsia"/>
          <w:noProof/>
          <w:sz w:val="21"/>
        </w:rPr>
        <w:tab/>
      </w:r>
      <w:r w:rsidRPr="00A23B02">
        <w:rPr>
          <w:rFonts w:ascii="SimSun" w:hAnsi="SimSun" w:hint="eastAsia"/>
          <w:noProof/>
          <w:sz w:val="21"/>
        </w:rPr>
        <w:t>同族：专利同族和出版日期</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vii</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检索策略：检索字符串，检索字段，检索数据库，命中数和已浏览的文件数</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viii</w:t>
      </w:r>
      <w:r>
        <w:rPr>
          <w:rFonts w:ascii="SimSun" w:hAnsi="SimSun" w:hint="eastAsia"/>
          <w:noProof/>
          <w:sz w:val="21"/>
        </w:rPr>
        <w:t>)</w:t>
      </w:r>
      <w:r w:rsidRPr="00A23B02">
        <w:rPr>
          <w:rFonts w:ascii="SimSun" w:hAnsi="SimSun" w:hint="eastAsia"/>
          <w:noProof/>
          <w:sz w:val="21"/>
        </w:rPr>
        <w:t>根据检索报告就可专利性给出的书面意见</w:t>
      </w:r>
    </w:p>
    <w:p w:rsidR="00A4309A" w:rsidRDefault="00A4309A" w:rsidP="006C3627">
      <w:pPr>
        <w:pStyle w:val="ONUME"/>
        <w:numPr>
          <w:ilvl w:val="0"/>
          <w:numId w:val="0"/>
        </w:numPr>
        <w:overflowPunct w:val="0"/>
        <w:spacing w:afterLines="50" w:after="120" w:line="340" w:lineRule="atLeast"/>
        <w:ind w:left="1134" w:hanging="567"/>
        <w:jc w:val="both"/>
        <w:rPr>
          <w:rFonts w:ascii="SimSun" w:hAnsi="SimSun"/>
          <w:noProof/>
          <w:sz w:val="21"/>
        </w:rPr>
      </w:pPr>
      <w:r>
        <w:rPr>
          <w:rFonts w:ascii="SimSun" w:hAnsi="SimSun" w:hint="eastAsia"/>
          <w:noProof/>
          <w:sz w:val="21"/>
        </w:rPr>
        <w:t>(</w:t>
      </w:r>
      <w:r w:rsidRPr="00A23B02">
        <w:rPr>
          <w:rFonts w:ascii="SimSun" w:hAnsi="SimSun" w:hint="eastAsia"/>
          <w:noProof/>
          <w:sz w:val="21"/>
        </w:rPr>
        <w:t>ix</w:t>
      </w:r>
      <w:r>
        <w:rPr>
          <w:rFonts w:ascii="SimSun" w:hAnsi="SimSun" w:hint="eastAsia"/>
          <w:noProof/>
          <w:sz w:val="21"/>
        </w:rPr>
        <w:t>)</w:t>
      </w:r>
      <w:r>
        <w:rPr>
          <w:rFonts w:ascii="SimSun" w:hAnsi="SimSun" w:hint="eastAsia"/>
          <w:noProof/>
          <w:sz w:val="21"/>
        </w:rPr>
        <w:tab/>
      </w:r>
      <w:r w:rsidRPr="00A23B02">
        <w:rPr>
          <w:rFonts w:ascii="SimSun" w:hAnsi="SimSun" w:hint="eastAsia"/>
          <w:noProof/>
          <w:sz w:val="21"/>
        </w:rPr>
        <w:t>审查员名字及完成日期</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检索过程中当出现缺乏单一性、不清楚或不支持的情况下，这些问题在形式审查过程中进行沟通。</w:t>
      </w:r>
    </w:p>
    <w:p w:rsidR="00A4309A" w:rsidRPr="00941C46" w:rsidRDefault="00A4309A" w:rsidP="006C3627">
      <w:pPr>
        <w:keepNext/>
        <w:spacing w:beforeLines="100" w:before="240" w:afterLines="50" w:after="120" w:line="340" w:lineRule="atLeast"/>
        <w:jc w:val="center"/>
        <w:rPr>
          <w:rFonts w:ascii="KaiTi" w:eastAsia="KaiTi" w:hAnsi="KaiTi"/>
          <w:noProof/>
          <w:sz w:val="21"/>
          <w:szCs w:val="22"/>
          <w:lang w:val="x-none"/>
        </w:rPr>
      </w:pPr>
      <w:r w:rsidRPr="00941C46">
        <w:rPr>
          <w:rFonts w:ascii="KaiTi" w:eastAsia="KaiTi" w:hAnsi="KaiTi" w:hint="eastAsia"/>
          <w:noProof/>
          <w:sz w:val="21"/>
          <w:szCs w:val="22"/>
          <w:lang w:val="x-none"/>
        </w:rPr>
        <w:lastRenderedPageBreak/>
        <w:t>图4</w:t>
      </w:r>
    </w:p>
    <w:p w:rsidR="00A4309A" w:rsidRPr="00941C46" w:rsidRDefault="00A4309A" w:rsidP="006C3627">
      <w:pPr>
        <w:keepNext/>
        <w:shd w:val="clear" w:color="auto" w:fill="D9D9D9"/>
        <w:jc w:val="center"/>
        <w:rPr>
          <w:rFonts w:ascii="SimSun" w:hAnsi="SimSun"/>
          <w:noProof/>
          <w:sz w:val="21"/>
          <w:szCs w:val="22"/>
          <w:lang w:val="x-none"/>
        </w:rPr>
      </w:pPr>
      <w:r w:rsidRPr="00941C46">
        <w:rPr>
          <w:rFonts w:ascii="SimSun" w:hAnsi="SimSun" w:hint="eastAsia"/>
          <w:noProof/>
          <w:sz w:val="21"/>
          <w:szCs w:val="22"/>
          <w:lang w:val="x-none"/>
        </w:rPr>
        <w:t>IPAS工作流界面的屏幕截屏</w:t>
      </w:r>
    </w:p>
    <w:p w:rsidR="00A4309A" w:rsidRPr="00941C46" w:rsidRDefault="00A4309A" w:rsidP="006C3627">
      <w:pPr>
        <w:jc w:val="center"/>
        <w:rPr>
          <w:rFonts w:ascii="SimSun" w:hAnsi="SimSun"/>
          <w:noProof/>
          <w:sz w:val="21"/>
          <w:szCs w:val="22"/>
          <w:lang w:val="x-none"/>
        </w:rPr>
      </w:pPr>
      <w:r w:rsidRPr="00941C46">
        <w:rPr>
          <w:rFonts w:ascii="SimSun" w:hAnsi="SimSun" w:hint="eastAsia"/>
          <w:noProof/>
          <w:sz w:val="21"/>
          <w:szCs w:val="22"/>
        </w:rPr>
        <w:drawing>
          <wp:inline distT="0" distB="0" distL="0" distR="0" wp14:anchorId="556F3F27" wp14:editId="27D6B095">
            <wp:extent cx="5920105" cy="4117340"/>
            <wp:effectExtent l="19050" t="19050" r="23495"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0105" cy="4117340"/>
                    </a:xfrm>
                    <a:prstGeom prst="rect">
                      <a:avLst/>
                    </a:prstGeom>
                    <a:noFill/>
                    <a:ln w="9525" cmpd="sng">
                      <a:solidFill>
                        <a:srgbClr val="000000"/>
                      </a:solidFill>
                      <a:miter lim="800000"/>
                      <a:headEnd/>
                      <a:tailEnd/>
                    </a:ln>
                    <a:effectLst/>
                  </pic:spPr>
                </pic:pic>
              </a:graphicData>
            </a:graphic>
          </wp:inline>
        </w:drawing>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8.内部复查</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21.22</w:t>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注释：单位应报告其内部复查机制。这些复查决定其基于第21章的模型建立QMS的程度和其遵守QMS要求及检索和审查指南的程度。复查应当客观和透明，以证明这些要求和指南是否一致和有效地得到遵守，并应当至少每年进行一次。参考模板的21.08点，如果其希望，单位可以提供该部分下关于其内部复查机制的其他信息。</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21.23</w:t>
      </w:r>
      <w:r>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21.25</w:t>
      </w:r>
      <w:r>
        <w:rPr>
          <w:rFonts w:ascii="KaiTi" w:eastAsia="KaiTi" w:hAnsi="KaiTi" w:cs="Times New Roman" w:hint="eastAsia"/>
          <w:i w:val="0"/>
          <w:iCs w:val="0"/>
          <w:noProof/>
          <w:szCs w:val="22"/>
          <w:lang w:val="x-none" w:eastAsia="zh-CN"/>
        </w:rPr>
        <w:tab/>
      </w:r>
      <w:r w:rsidRPr="006C06B3">
        <w:rPr>
          <w:rFonts w:ascii="KaiTi" w:eastAsia="KaiTi" w:hAnsi="KaiTi" w:cs="Times New Roman" w:hint="eastAsia"/>
          <w:i w:val="0"/>
          <w:iCs w:val="0"/>
          <w:noProof/>
          <w:szCs w:val="22"/>
          <w:lang w:val="x-none" w:eastAsia="zh-CN"/>
        </w:rPr>
        <w:t>这些机制根据上面部分1中第21.04</w:t>
      </w:r>
      <w:r>
        <w:rPr>
          <w:rFonts w:ascii="KaiTi" w:eastAsia="KaiTi" w:hAnsi="KaiTi" w:cs="Times New Roman" w:hint="eastAsia"/>
          <w:i w:val="0"/>
          <w:iCs w:val="0"/>
          <w:noProof/>
          <w:szCs w:val="22"/>
          <w:lang w:val="x-none" w:eastAsia="zh-CN"/>
        </w:rPr>
        <w:t>–</w:t>
      </w:r>
      <w:r w:rsidRPr="006C06B3">
        <w:rPr>
          <w:rFonts w:ascii="KaiTi" w:eastAsia="KaiTi" w:hAnsi="KaiTi" w:cs="Times New Roman" w:hint="eastAsia"/>
          <w:i w:val="0"/>
          <w:iCs w:val="0"/>
          <w:noProof/>
          <w:szCs w:val="22"/>
          <w:lang w:val="x-none" w:eastAsia="zh-CN"/>
        </w:rPr>
        <w:t>21.09段的模板而报告。如果其希望，单位可以提供其他信息，所述信息涉及其在该部分下内部复查的其他输入。</w:t>
      </w:r>
    </w:p>
    <w:p w:rsidR="00A4309A"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根据ISO 9001：2008的要求，每年进行两次内部质量审核（实际和复核）。</w:t>
      </w:r>
    </w:p>
    <w:p w:rsidR="00A4309A" w:rsidRPr="00A23B02"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此外，专利局的PQRS还需要对所有检索和审查报告每月进行质量检查，以确保符合既定的检索和审查标准。</w:t>
      </w:r>
    </w:p>
    <w:p w:rsidR="00A4309A" w:rsidRPr="00941C46" w:rsidRDefault="00A4309A" w:rsidP="006C3627">
      <w:pPr>
        <w:keepNext/>
        <w:spacing w:beforeLines="100" w:before="240" w:afterLines="50" w:after="120" w:line="340" w:lineRule="atLeast"/>
        <w:rPr>
          <w:rFonts w:ascii="SimHei" w:eastAsia="SimHei" w:hAnsi="SimHei"/>
          <w:noProof/>
          <w:sz w:val="21"/>
          <w:szCs w:val="22"/>
          <w:lang w:val="x-none"/>
        </w:rPr>
      </w:pPr>
      <w:r w:rsidRPr="00941C46">
        <w:rPr>
          <w:rFonts w:ascii="SimHei" w:eastAsia="SimHei" w:hAnsi="SimHei" w:hint="eastAsia"/>
          <w:noProof/>
          <w:sz w:val="21"/>
          <w:szCs w:val="22"/>
          <w:lang w:val="x-none"/>
        </w:rPr>
        <w:t>9.国际单位向MIA报告的安排</w:t>
      </w:r>
    </w:p>
    <w:p w:rsidR="00A4309A" w:rsidRPr="006C06B3" w:rsidRDefault="00A4309A" w:rsidP="006C3627">
      <w:pPr>
        <w:pStyle w:val="Guidance"/>
        <w:spacing w:afterLines="50" w:line="240" w:lineRule="auto"/>
        <w:jc w:val="both"/>
        <w:rPr>
          <w:rFonts w:ascii="KaiTi" w:eastAsia="KaiTi" w:hAnsi="KaiTi" w:cs="Times New Roman"/>
          <w:i w:val="0"/>
          <w:iCs w:val="0"/>
          <w:noProof/>
          <w:szCs w:val="22"/>
          <w:lang w:val="x-none" w:eastAsia="zh-CN"/>
        </w:rPr>
      </w:pPr>
      <w:r w:rsidRPr="006C06B3">
        <w:rPr>
          <w:rFonts w:ascii="KaiTi" w:eastAsia="KaiTi" w:hAnsi="KaiTi" w:cs="Times New Roman" w:hint="eastAsia"/>
          <w:i w:val="0"/>
          <w:iCs w:val="0"/>
          <w:noProof/>
          <w:szCs w:val="22"/>
          <w:lang w:val="x-none" w:eastAsia="zh-CN"/>
        </w:rPr>
        <w:t>21.26</w:t>
      </w:r>
      <w:r w:rsidRPr="006C06B3">
        <w:rPr>
          <w:rFonts w:ascii="KaiTi" w:eastAsia="KaiTi" w:hAnsi="KaiTi" w:cs="Times New Roman" w:hint="eastAsia"/>
          <w:i w:val="0"/>
          <w:iCs w:val="0"/>
          <w:noProof/>
          <w:szCs w:val="22"/>
          <w:lang w:val="x-none" w:eastAsia="zh-CN"/>
        </w:rPr>
        <w:tab/>
        <w:t>在第21章概述的报告安排中有两个阶段：根据第21.29段的初始报告和根据第21.30段的补充年度报告。在</w:t>
      </w:r>
      <w:smartTag w:uri="urn:schemas-microsoft-com:office:smarttags" w:element="chsdate">
        <w:smartTagPr>
          <w:attr w:name="IsROCDate" w:val="False"/>
          <w:attr w:name="IsLunarDate" w:val="False"/>
          <w:attr w:name="Day" w:val="6"/>
          <w:attr w:name="Month" w:val="2"/>
          <w:attr w:name="Year" w:val="2012"/>
        </w:smartTagPr>
        <w:r w:rsidRPr="006C06B3">
          <w:rPr>
            <w:rFonts w:ascii="KaiTi" w:eastAsia="KaiTi" w:hAnsi="KaiTi" w:cs="Times New Roman" w:hint="eastAsia"/>
            <w:i w:val="0"/>
            <w:iCs w:val="0"/>
            <w:noProof/>
            <w:szCs w:val="22"/>
            <w:lang w:val="x-none" w:eastAsia="zh-CN"/>
          </w:rPr>
          <w:t>2012年2月6日</w:t>
        </w:r>
      </w:smartTag>
      <w:r w:rsidRPr="006C06B3">
        <w:rPr>
          <w:rFonts w:ascii="KaiTi" w:eastAsia="KaiTi" w:hAnsi="KaiTi" w:cs="Times New Roman" w:hint="eastAsia"/>
          <w:i w:val="0"/>
          <w:iCs w:val="0"/>
          <w:noProof/>
          <w:szCs w:val="22"/>
          <w:lang w:val="x-none" w:eastAsia="zh-CN"/>
        </w:rPr>
        <w:t>和7日于堪培拉召开的质量小组第二次非正式会议上，小组建议，代替每五年提交完整报告和在这些年中累积的更新，单位提交的每个报告应当是完整报告的形式，并明确与前一年报告之间的差异，例如采用“跟踪变化”或其他高亮形式。用于补充年度报告的模板因此不再使用。</w:t>
      </w:r>
    </w:p>
    <w:p w:rsidR="00A4309A" w:rsidRDefault="00A4309A" w:rsidP="006C3627">
      <w:pPr>
        <w:pStyle w:val="ONUME"/>
        <w:numPr>
          <w:ilvl w:val="0"/>
          <w:numId w:val="0"/>
        </w:numPr>
        <w:overflowPunct w:val="0"/>
        <w:spacing w:afterLines="50" w:after="120" w:line="340" w:lineRule="atLeast"/>
        <w:ind w:firstLine="567"/>
        <w:jc w:val="both"/>
        <w:rPr>
          <w:rFonts w:ascii="SimSun" w:hAnsi="SimSun"/>
          <w:noProof/>
          <w:sz w:val="21"/>
        </w:rPr>
      </w:pPr>
      <w:r w:rsidRPr="00A23B02">
        <w:rPr>
          <w:rFonts w:ascii="SimSun" w:hAnsi="SimSun" w:hint="eastAsia"/>
          <w:noProof/>
          <w:sz w:val="21"/>
        </w:rPr>
        <w:t>IPOPHL将按照规定的格式及时提交第21章所要求的报告。</w:t>
      </w:r>
    </w:p>
    <w:p w:rsidR="00A4309A" w:rsidRDefault="00A4309A" w:rsidP="006C3627">
      <w:pPr>
        <w:pStyle w:val="ONUME"/>
        <w:numPr>
          <w:ilvl w:val="0"/>
          <w:numId w:val="0"/>
        </w:numPr>
        <w:overflowPunct w:val="0"/>
        <w:spacing w:afterLines="50" w:after="120" w:line="340" w:lineRule="atLeast"/>
        <w:ind w:left="5534"/>
        <w:jc w:val="both"/>
        <w:rPr>
          <w:rFonts w:ascii="KaiTi" w:eastAsia="KaiTi" w:hAnsi="KaiTi"/>
          <w:noProof/>
          <w:sz w:val="21"/>
        </w:rPr>
      </w:pPr>
    </w:p>
    <w:p w:rsidR="00A4309A" w:rsidRPr="00A23B02" w:rsidRDefault="00A4309A" w:rsidP="006C3627">
      <w:pPr>
        <w:pStyle w:val="ONUME"/>
        <w:numPr>
          <w:ilvl w:val="0"/>
          <w:numId w:val="0"/>
        </w:numPr>
        <w:overflowPunct w:val="0"/>
        <w:spacing w:afterLines="50" w:after="120" w:line="340" w:lineRule="atLeast"/>
        <w:ind w:left="5534"/>
        <w:jc w:val="both"/>
        <w:rPr>
          <w:rFonts w:ascii="SimSun" w:hAnsi="SimSun"/>
          <w:noProof/>
          <w:sz w:val="21"/>
        </w:rPr>
      </w:pPr>
      <w:r w:rsidRPr="00420401">
        <w:rPr>
          <w:rFonts w:ascii="KaiTi" w:eastAsia="KaiTi" w:hAnsi="KaiTi" w:hint="eastAsia"/>
          <w:noProof/>
          <w:sz w:val="21"/>
        </w:rPr>
        <w:t>[后接附录2]</w:t>
      </w:r>
    </w:p>
    <w:p w:rsidR="00A4309A" w:rsidRPr="00A23B02" w:rsidRDefault="00A4309A" w:rsidP="006C3627">
      <w:pPr>
        <w:pStyle w:val="Endofdocument-Annex"/>
        <w:ind w:left="0"/>
        <w:rPr>
          <w:rFonts w:ascii="SimSun" w:hAnsi="SimSun" w:cs="Times New Roman"/>
          <w:noProof/>
          <w:sz w:val="21"/>
          <w:lang w:val="x-none"/>
        </w:rPr>
        <w:sectPr w:rsidR="00A4309A" w:rsidRPr="00A23B02" w:rsidSect="006C3627">
          <w:headerReference w:type="default" r:id="rId20"/>
          <w:headerReference w:type="first" r:id="rId21"/>
          <w:endnotePr>
            <w:numFmt w:val="decimal"/>
          </w:endnotePr>
          <w:pgSz w:w="11906" w:h="16838" w:code="9"/>
          <w:pgMar w:top="567" w:right="1134" w:bottom="1418" w:left="1418" w:header="510" w:footer="1021" w:gutter="0"/>
          <w:cols w:space="708"/>
          <w:formProt w:val="0"/>
          <w:titlePg/>
          <w:docGrid w:linePitch="312"/>
        </w:sectPr>
      </w:pPr>
    </w:p>
    <w:p w:rsidR="00A4309A" w:rsidRPr="00941C46" w:rsidRDefault="00A4309A" w:rsidP="006C3627">
      <w:pPr>
        <w:spacing w:beforeLines="100" w:before="240"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lastRenderedPageBreak/>
        <w:t>附录2</w:t>
      </w:r>
    </w:p>
    <w:p w:rsidR="00A4309A" w:rsidRPr="00941C46" w:rsidRDefault="00A4309A" w:rsidP="006C3627">
      <w:pPr>
        <w:spacing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t>澳大利亚知识产权局关于菲律宾知识产权局的报告</w:t>
      </w:r>
    </w:p>
    <w:p w:rsidR="00A4309A" w:rsidRPr="00941C46" w:rsidRDefault="00A4309A" w:rsidP="006C3627">
      <w:pPr>
        <w:spacing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t>国际检索和审查能力的评估</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背景情况</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2015年，菲律宾知识产权局（IPOPHL）请求澳大利亚知识产权局协助其申请成为PCT国际检索和初步审查单位。澳大利亚知识产权局随后同意作为其中一个称职的国际单位就IPOPHL成为国际检索和初步审查单位的适当性进行评估。</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作为上述流程的一部分，IPOPHL于2016年12月派代表团访问了位于澳大利亚堪培拉的澳大利亚知识产权局，并就国际检索单位的运行举办了研讨会。讨论的问题包括各专利局对其审查架构、IT系统和质量体系进行概述。经过这些讨论以及对IPOPHL的申请进行初步考虑之后，两名澳大利亚知识产权局的官员于</w:t>
      </w:r>
      <w:smartTag w:uri="urn:schemas-microsoft-com:office:smarttags" w:element="chsdate">
        <w:smartTagPr>
          <w:attr w:name="IsROCDate" w:val="False"/>
          <w:attr w:name="IsLunarDate" w:val="False"/>
          <w:attr w:name="Day" w:val="27"/>
          <w:attr w:name="Month" w:val="2"/>
          <w:attr w:name="Year" w:val="2017"/>
        </w:smartTagPr>
        <w:r w:rsidRPr="00A23B02">
          <w:rPr>
            <w:rFonts w:ascii="SimSun" w:hAnsi="SimSun" w:cs="Times New Roman" w:hint="eastAsia"/>
            <w:noProof/>
            <w:sz w:val="21"/>
            <w:lang w:val="x-none" w:eastAsia="zh-CN"/>
          </w:rPr>
          <w:t>2017年2月27日</w:t>
        </w:r>
      </w:smartTag>
      <w:r w:rsidRPr="00A23B02">
        <w:rPr>
          <w:rFonts w:ascii="SimSun" w:hAnsi="SimSun" w:cs="Times New Roman" w:hint="eastAsia"/>
          <w:noProof/>
          <w:sz w:val="21"/>
          <w:lang w:val="x-none" w:eastAsia="zh-CN"/>
        </w:rPr>
        <w:t>和28日访问了IPOPHL，对其目前的运行和下一步的能力进行了现场评价。</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评估和访问的结果报告如下。</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关于IPOPHL的基本信息</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坐落于马尼拉的博尼法西奥全球城市。IPOPHL下设7个局，其中包括专利局，专利局又根据不同技术领域分为10个审查部门。除了位于马尼拉的办公地点，IPOPHL还有遍布于菲律宾全境的13个卫星局，以提高公众意识以及为申请人提供技术和咨询服务。</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2016年，IPOPHL共收到3098份申请，其中92%为国外申请（非居民申请）。在过去三年内，IPOPHL作为受理局平均每年受理18件PCT申请。IPOPHL和菲律宾政府一直致力于提升知识产权，为鼓励用户使用PCT体系提供激励。IPOPHL认为这些发展政策，以及被指定为PCT单位，将帮助培育和促进菲律宾的创新，并最终提升菲律宾居民的PCT申请量。</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IPOPHL的IT运作主要基于世界知识产权组织开发的知识产权自动化系统</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IPAS</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。IPOPHL的大部分行政和工作流程的运作都是围绕IPAS开发的。IPOPHL已经对工业品外观设计和实用新型施行电子申请，经建议，对于专利的电子申请系统正在设计中。</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根据PCT实施细则第36.1的最低要求进行的评估</w:t>
      </w:r>
    </w:p>
    <w:p w:rsidR="00A4309A" w:rsidRPr="00941C46" w:rsidRDefault="00A4309A" w:rsidP="006C3627">
      <w:pPr>
        <w:keepNext/>
        <w:overflowPunct w:val="0"/>
        <w:spacing w:beforeLines="100" w:before="240" w:afterLines="50" w:after="120" w:line="340" w:lineRule="atLeast"/>
        <w:rPr>
          <w:rFonts w:ascii="SimSun" w:hAnsi="SimSun"/>
          <w:b/>
          <w:noProof/>
          <w:sz w:val="21"/>
          <w:szCs w:val="22"/>
          <w:lang w:val="x-none"/>
        </w:rPr>
      </w:pPr>
      <w:r w:rsidRPr="00941C46">
        <w:rPr>
          <w:rFonts w:ascii="SimSun" w:hAnsi="SimSun" w:hint="eastAsia"/>
          <w:b/>
          <w:noProof/>
          <w:sz w:val="21"/>
          <w:szCs w:val="22"/>
          <w:lang w:val="x-none"/>
        </w:rPr>
        <w:t>(i)</w:t>
      </w:r>
      <w:r w:rsidRPr="00941C46">
        <w:rPr>
          <w:rFonts w:ascii="SimSun" w:hAnsi="SimSun" w:hint="eastAsia"/>
          <w:b/>
          <w:noProof/>
          <w:sz w:val="21"/>
          <w:szCs w:val="22"/>
          <w:lang w:val="x-none"/>
        </w:rPr>
        <w:tab/>
        <w:t>国家局或政府间组织至少必须拥有100名具有足以胜任检索工作的技术资格的专职人员；</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在我们访问期间，IPOPHL拥有87名具有足以胜任检索工作的技术资格的雇员，并将于</w:t>
      </w:r>
      <w:smartTag w:uri="urn:schemas-microsoft-com:office:smarttags" w:element="chsdate">
        <w:smartTagPr>
          <w:attr w:name="IsROCDate" w:val="False"/>
          <w:attr w:name="IsLunarDate" w:val="False"/>
          <w:attr w:name="Day" w:val="2"/>
          <w:attr w:name="Month" w:val="3"/>
          <w:attr w:name="Year" w:val="2017"/>
        </w:smartTagPr>
        <w:r w:rsidRPr="00A23B02">
          <w:rPr>
            <w:rFonts w:ascii="SimSun" w:hAnsi="SimSun" w:cs="Times New Roman" w:hint="eastAsia"/>
            <w:noProof/>
            <w:sz w:val="21"/>
            <w:lang w:val="x-none" w:eastAsia="zh-CN"/>
          </w:rPr>
          <w:t>2017年3月2日</w:t>
        </w:r>
      </w:smartTag>
      <w:r w:rsidRPr="00A23B02">
        <w:rPr>
          <w:rFonts w:ascii="SimSun" w:hAnsi="SimSun" w:cs="Times New Roman" w:hint="eastAsia"/>
          <w:noProof/>
          <w:sz w:val="21"/>
          <w:lang w:val="x-none" w:eastAsia="zh-CN"/>
        </w:rPr>
        <w:t>再入职13名，还计划在2017年3月底前再招募12名，最终将拥有112名。</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IPOPHL有着结构化的培训项目，开始培训后的所有工作受到监督。最后一批审查员将在2017年6月前完成第一阶段的培训，届时这些审查员将可以在恰当的监督下开展检索和审查。</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该培训体系得到严格的招募程序的支持，以保证被任命者的素质。IPOPHL称，每招录一批，平均就有两名新招募者没有通过培训后的评估被解雇。这也说明了被任命的候选人成为审查员需要一个相对高的标准。</w:t>
      </w:r>
    </w:p>
    <w:p w:rsidR="00A4309A" w:rsidRPr="00941C46" w:rsidRDefault="00A4309A" w:rsidP="006C3627">
      <w:pPr>
        <w:keepNext/>
        <w:overflowPunct w:val="0"/>
        <w:spacing w:beforeLines="100" w:before="240" w:afterLines="50" w:after="120" w:line="340" w:lineRule="atLeast"/>
        <w:rPr>
          <w:rFonts w:ascii="SimSun" w:hAnsi="SimSun"/>
          <w:b/>
          <w:noProof/>
          <w:sz w:val="21"/>
          <w:szCs w:val="22"/>
          <w:lang w:val="x-none"/>
        </w:rPr>
      </w:pPr>
      <w:r w:rsidRPr="00941C46">
        <w:rPr>
          <w:rFonts w:ascii="SimSun" w:hAnsi="SimSun" w:hint="eastAsia"/>
          <w:b/>
          <w:noProof/>
          <w:sz w:val="21"/>
          <w:szCs w:val="22"/>
          <w:lang w:val="x-none"/>
        </w:rPr>
        <w:lastRenderedPageBreak/>
        <w:t>(ii)</w:t>
      </w:r>
      <w:r w:rsidRPr="00941C46">
        <w:rPr>
          <w:rFonts w:ascii="SimSun" w:hAnsi="SimSun" w:hint="eastAsia"/>
          <w:b/>
          <w:noProof/>
          <w:sz w:val="21"/>
          <w:szCs w:val="22"/>
          <w:lang w:val="x-none"/>
        </w:rPr>
        <w:tab/>
        <w:t>该局或者该组织至少必须拥有或能够利用本细则34所述的最低限度文献，并且为检索目的而妥善整理地载于纸件、微缩品或储存在电子媒介上；</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IPOPHL的审查员使用专有的检索工具，例如Thomson Innovation和WIPS Global，此外还有公众可以使用的数据库，例如USPTO、J</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PLATPLA、AUSPAT、Espacenet、Google Patents、OPSIN、NCBI、EMBLEB、LENS和PATENTSCOPE。</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目前其对文献数据库的订阅已经满足了最低限度文献要求。此外，他们还计划最近订阅EPOQUENet、STN和IEEE，必要技术培训将于今年晚些时候进行。这些数据库的订阅将为IPOPHL提供一些被推崇的检索数据库入口，而这进一步增加其检索的范围和质量。</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在我们访问之前，IPOPHL发给我们八个覆盖了一些技术领域的检索样本。这些检索样本清楚地提供了详细的检索策略记录，包括IPC和关键词，显示其使用了上述检索工具或数据库。在我们访问期间，IPOPHL的审查员为我们展示了其在机械和化学技术领域的检索。IPOPHL还采取了每个检索使用三人的检索团队的方式以扩展检索策略。这有利于减少不正确或不准确检索策略的风险，也能使审查员进行分享学习。据我们的讨论和对其工作质量的评估，我们认为IPOPHL的审查员具备了国际检索和审查所需的技能和知识。</w:t>
      </w:r>
    </w:p>
    <w:p w:rsidR="00A4309A" w:rsidRPr="00941C46" w:rsidRDefault="00A4309A" w:rsidP="006C3627">
      <w:pPr>
        <w:keepNext/>
        <w:overflowPunct w:val="0"/>
        <w:spacing w:beforeLines="100" w:before="240" w:afterLines="50" w:after="120" w:line="340" w:lineRule="atLeast"/>
        <w:rPr>
          <w:rFonts w:ascii="SimSun" w:hAnsi="SimSun"/>
          <w:b/>
          <w:noProof/>
          <w:sz w:val="21"/>
          <w:szCs w:val="22"/>
          <w:lang w:val="x-none"/>
        </w:rPr>
      </w:pPr>
      <w:r w:rsidRPr="00941C46">
        <w:rPr>
          <w:rFonts w:ascii="SimSun" w:hAnsi="SimSun" w:hint="eastAsia"/>
          <w:b/>
          <w:noProof/>
          <w:sz w:val="21"/>
          <w:szCs w:val="22"/>
          <w:lang w:val="x-none"/>
        </w:rPr>
        <w:t>(iii)该局或者该组织必须拥有一批工作人员，能够对所要求的技术领域进行检索，并且具有至少能够理解用来撰写或者翻译细则第34条所述最低限度文献的语言的语言能力；</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通过在招聘时要求其审查员满足一定的要求来确保技术和语言技能。审查员必须至少持有相关技术领域的工程或理学学士学位，并且通过由公务员委员会举办的职业服务考试。由于所有大学的课程均是英语的，所以所有的审查员英语都很流利。一些审查员也能掌握其他相关语言。</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我们注意到一些IPOPHL的员工参与了澳大利亚知识产权局的区域专利审查培训项目（RPET）,该项目聚焦PCT标准的检索和审查。几个该项目的毕业生建立了专门培训菲律宾审查员的结构化培训项目，该项目的培训结构与RPET类似。</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我们认为该三阶段的培训项目涵盖了审查的所有方面。审查员技能的进一步提高有赖于支持其研究生教育。IPOPHL针对资深审查员开展了一项内部的生物工程学硕士教育。</w:t>
      </w:r>
    </w:p>
    <w:p w:rsidR="00A4309A" w:rsidRPr="00941C46" w:rsidRDefault="00A4309A" w:rsidP="006C3627">
      <w:pPr>
        <w:keepNext/>
        <w:overflowPunct w:val="0"/>
        <w:spacing w:beforeLines="100" w:before="240" w:afterLines="50" w:after="120" w:line="340" w:lineRule="atLeast"/>
        <w:rPr>
          <w:rFonts w:ascii="SimSun" w:hAnsi="SimSun"/>
          <w:b/>
          <w:noProof/>
          <w:sz w:val="21"/>
          <w:szCs w:val="22"/>
          <w:lang w:val="x-none"/>
        </w:rPr>
      </w:pPr>
      <w:r w:rsidRPr="00941C46">
        <w:rPr>
          <w:rFonts w:ascii="SimSun" w:hAnsi="SimSun" w:hint="eastAsia"/>
          <w:b/>
          <w:noProof/>
          <w:sz w:val="21"/>
          <w:szCs w:val="22"/>
          <w:lang w:val="x-none"/>
        </w:rPr>
        <w:t>(iv)</w:t>
      </w:r>
      <w:r w:rsidRPr="00941C46">
        <w:rPr>
          <w:rFonts w:ascii="SimSun" w:hAnsi="SimSun" w:hint="eastAsia"/>
          <w:b/>
          <w:noProof/>
          <w:sz w:val="21"/>
          <w:szCs w:val="22"/>
          <w:lang w:val="x-none"/>
        </w:rPr>
        <w:tab/>
        <w:t>该局或者该组织必须根据国际检索共同规则，设置质量管理系统和内部复查措施；</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IPOPHL目前拥有覆盖专利、实用新型、工业品外观设计授权过程的ISO 9001:2008体系认证，并且准备过渡至ISO 9001:2015体系。</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在我们的访问期间，我们可以评估IPOPHL的质量管理系统。IPOPHL就每个审查产品的评估开发了一套质量标准。所有审查员的工作均得到其主管的质量评价。其他外部评价也在开展。IPOPHL实施独立质量评价体系，其可以随机地对审查员的工作进行抽取和评价。每个审查员被抽取的工作将由质检员评估。</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我们认为IPOPHL的质量管理系统与国际检索的共同规则一致，因此也满足这项要求。</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结</w:t>
      </w:r>
      <w:r>
        <w:rPr>
          <w:rFonts w:ascii="SimHei" w:eastAsia="SimHei" w:hAnsi="SimHei" w:cs="Times New Roman" w:hint="eastAsia"/>
          <w:b w:val="0"/>
          <w:bCs w:val="0"/>
          <w:caps w:val="0"/>
          <w:noProof/>
          <w:kern w:val="0"/>
          <w:sz w:val="21"/>
          <w:lang w:val="x-none"/>
        </w:rPr>
        <w:t xml:space="preserve">　</w:t>
      </w:r>
      <w:r w:rsidRPr="00420401">
        <w:rPr>
          <w:rFonts w:ascii="SimHei" w:eastAsia="SimHei" w:hAnsi="SimHei" w:cs="Times New Roman" w:hint="eastAsia"/>
          <w:b w:val="0"/>
          <w:bCs w:val="0"/>
          <w:caps w:val="0"/>
          <w:noProof/>
          <w:kern w:val="0"/>
          <w:sz w:val="21"/>
          <w:lang w:val="x-none"/>
        </w:rPr>
        <w:t>论</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澳大利亚知识产权局的结论是基于观察以及评估当时所能得到的信息。</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lastRenderedPageBreak/>
        <w:t>我们认为IPOPHL达到了PCT实施细则第36条和第63条中关于最低限度文献、拥有技术和语言技能的雇员和质量管理系统的最低要求。</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我们注意到IPOPHL目前正在招募审查员，预计于2017年3月底前达到审查员数量的要求。</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基于此，我们认为IPOPHL达到了被指定为国际检索和初步审查单位的要求。</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我们也注意到，IPOPHL申请成为国际检索和初步审查单位，是菲律宾提升创新和繁荣的政策基石。这反过来会提升东盟地区国际专利体系的使用度，并为目前的检索和初审单位网络增加潜在价值。</w:t>
      </w:r>
    </w:p>
    <w:p w:rsidR="00A4309A" w:rsidRPr="00A23B02" w:rsidRDefault="00A4309A" w:rsidP="00A4309A">
      <w:pPr>
        <w:pStyle w:val="10"/>
        <w:numPr>
          <w:ilvl w:val="0"/>
          <w:numId w:val="34"/>
        </w:numPr>
        <w:tabs>
          <w:tab w:val="clear" w:pos="0"/>
        </w:tabs>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作为我们长期合作关系的一部分，如果IPOPHL申请成功，澳大利亚知识产权局愿意为其成为国际检索和初步审查单位后投入运作前的过渡提供进一步支持。</w:t>
      </w:r>
    </w:p>
    <w:p w:rsidR="00A4309A" w:rsidRDefault="00A4309A" w:rsidP="006C3627">
      <w:pPr>
        <w:pStyle w:val="ONUME"/>
        <w:numPr>
          <w:ilvl w:val="0"/>
          <w:numId w:val="0"/>
        </w:numPr>
        <w:overflowPunct w:val="0"/>
        <w:spacing w:afterLines="50" w:after="120" w:line="340" w:lineRule="atLeast"/>
        <w:ind w:left="5534"/>
        <w:jc w:val="both"/>
        <w:rPr>
          <w:rFonts w:ascii="KaiTi" w:eastAsia="KaiTi" w:hAnsi="KaiTi"/>
          <w:noProof/>
          <w:sz w:val="21"/>
        </w:rPr>
      </w:pPr>
    </w:p>
    <w:p w:rsidR="00A4309A" w:rsidRPr="00420401" w:rsidRDefault="00A4309A" w:rsidP="006C3627">
      <w:pPr>
        <w:pStyle w:val="ONUME"/>
        <w:numPr>
          <w:ilvl w:val="0"/>
          <w:numId w:val="0"/>
        </w:numPr>
        <w:overflowPunct w:val="0"/>
        <w:spacing w:afterLines="50" w:after="120" w:line="340" w:lineRule="atLeast"/>
        <w:ind w:left="5534"/>
        <w:jc w:val="both"/>
        <w:rPr>
          <w:rFonts w:ascii="KaiTi" w:eastAsia="KaiTi" w:hAnsi="KaiTi"/>
          <w:noProof/>
          <w:sz w:val="21"/>
        </w:rPr>
      </w:pPr>
      <w:r w:rsidRPr="00420401">
        <w:rPr>
          <w:rFonts w:ascii="KaiTi" w:eastAsia="KaiTi" w:hAnsi="KaiTi" w:hint="eastAsia"/>
          <w:noProof/>
          <w:sz w:val="21"/>
        </w:rPr>
        <w:t>[后接附录3]</w:t>
      </w:r>
    </w:p>
    <w:p w:rsidR="00A4309A" w:rsidRPr="00941C46" w:rsidRDefault="00A4309A" w:rsidP="00941C46">
      <w:pPr>
        <w:ind w:firstLineChars="3100" w:firstLine="6510"/>
        <w:rPr>
          <w:rFonts w:ascii="SimSun" w:hAnsi="SimSun"/>
          <w:noProof/>
          <w:sz w:val="21"/>
          <w:szCs w:val="22"/>
          <w:lang w:val="x-none"/>
        </w:rPr>
        <w:sectPr w:rsidR="00A4309A" w:rsidRPr="00941C46" w:rsidSect="006C3627">
          <w:headerReference w:type="default" r:id="rId22"/>
          <w:headerReference w:type="first" r:id="rId23"/>
          <w:endnotePr>
            <w:numFmt w:val="decimal"/>
          </w:endnotePr>
          <w:pgSz w:w="11906" w:h="16838" w:code="9"/>
          <w:pgMar w:top="567" w:right="1134" w:bottom="1418" w:left="1418" w:header="510" w:footer="1021" w:gutter="0"/>
          <w:cols w:space="708"/>
          <w:formProt w:val="0"/>
          <w:titlePg/>
          <w:docGrid w:linePitch="312"/>
        </w:sectPr>
      </w:pPr>
    </w:p>
    <w:p w:rsidR="00A4309A" w:rsidRPr="00941C46" w:rsidRDefault="00A4309A" w:rsidP="006C3627">
      <w:pPr>
        <w:spacing w:beforeLines="100" w:before="240"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lastRenderedPageBreak/>
        <w:t>附录3</w:t>
      </w:r>
    </w:p>
    <w:p w:rsidR="00A4309A" w:rsidRPr="00941C46" w:rsidRDefault="00A4309A" w:rsidP="006C3627">
      <w:pPr>
        <w:spacing w:afterLines="100" w:after="240" w:line="340" w:lineRule="atLeast"/>
        <w:jc w:val="center"/>
        <w:rPr>
          <w:rFonts w:ascii="SimSun" w:hAnsi="SimSun"/>
          <w:b/>
          <w:noProof/>
          <w:sz w:val="21"/>
          <w:szCs w:val="22"/>
          <w:lang w:val="x-none"/>
        </w:rPr>
      </w:pPr>
      <w:r w:rsidRPr="00941C46">
        <w:rPr>
          <w:rFonts w:ascii="SimSun" w:hAnsi="SimSun" w:hint="eastAsia"/>
          <w:b/>
          <w:noProof/>
          <w:sz w:val="21"/>
          <w:szCs w:val="22"/>
          <w:lang w:val="x-none"/>
        </w:rPr>
        <w:t>日本特许厅（JPO）的报告</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Pr>
          <w:rFonts w:ascii="SimHei" w:eastAsia="SimHei" w:hAnsi="SimHei" w:cs="Times New Roman" w:hint="eastAsia"/>
          <w:b w:val="0"/>
          <w:bCs w:val="0"/>
          <w:caps w:val="0"/>
          <w:noProof/>
          <w:kern w:val="0"/>
          <w:sz w:val="21"/>
          <w:lang w:val="x-none"/>
        </w:rPr>
        <w:t>一、</w:t>
      </w:r>
      <w:r w:rsidRPr="00420401">
        <w:rPr>
          <w:rFonts w:ascii="SimHei" w:eastAsia="SimHei" w:hAnsi="SimHei" w:cs="Times New Roman" w:hint="eastAsia"/>
          <w:b w:val="0"/>
          <w:bCs w:val="0"/>
          <w:caps w:val="0"/>
          <w:noProof/>
          <w:kern w:val="0"/>
          <w:sz w:val="21"/>
          <w:lang w:val="x-none"/>
        </w:rPr>
        <w:t>引</w:t>
      </w:r>
      <w:r>
        <w:rPr>
          <w:rFonts w:ascii="SimHei" w:eastAsia="SimHei" w:hAnsi="SimHei" w:cs="Times New Roman" w:hint="eastAsia"/>
          <w:b w:val="0"/>
          <w:bCs w:val="0"/>
          <w:caps w:val="0"/>
          <w:noProof/>
          <w:kern w:val="0"/>
          <w:sz w:val="21"/>
          <w:lang w:val="x-none"/>
        </w:rPr>
        <w:t xml:space="preserve">　</w:t>
      </w:r>
      <w:r w:rsidRPr="00420401">
        <w:rPr>
          <w:rFonts w:ascii="SimHei" w:eastAsia="SimHei" w:hAnsi="SimHei" w:cs="Times New Roman" w:hint="eastAsia"/>
          <w:b w:val="0"/>
          <w:bCs w:val="0"/>
          <w:caps w:val="0"/>
          <w:noProof/>
          <w:kern w:val="0"/>
          <w:sz w:val="21"/>
          <w:lang w:val="x-none"/>
        </w:rPr>
        <w:t>言</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smartTag w:uri="urn:schemas-microsoft-com:office:smarttags" w:element="chsdate">
        <w:smartTagPr>
          <w:attr w:name="IsROCDate" w:val="False"/>
          <w:attr w:name="IsLunarDate" w:val="False"/>
          <w:attr w:name="Day" w:val="22"/>
          <w:attr w:name="Month" w:val="9"/>
          <w:attr w:name="Year" w:val="2014"/>
        </w:smartTagPr>
        <w:r w:rsidRPr="00A23B02">
          <w:rPr>
            <w:rFonts w:ascii="SimSun" w:hAnsi="SimSun" w:cs="Times New Roman" w:hint="eastAsia"/>
            <w:noProof/>
            <w:sz w:val="21"/>
            <w:lang w:val="x-none" w:eastAsia="zh-CN"/>
          </w:rPr>
          <w:t>2014年9月22日</w:t>
        </w:r>
      </w:smartTag>
      <w:r w:rsidRPr="00A23B02">
        <w:rPr>
          <w:rFonts w:ascii="SimSun" w:hAnsi="SimSun" w:cs="Times New Roman" w:hint="eastAsia"/>
          <w:noProof/>
          <w:sz w:val="21"/>
          <w:lang w:val="x-none" w:eastAsia="zh-CN"/>
        </w:rPr>
        <w:t>至</w:t>
      </w:r>
      <w:smartTag w:uri="urn:schemas-microsoft-com:office:smarttags" w:element="chsdate">
        <w:smartTagPr>
          <w:attr w:name="IsROCDate" w:val="False"/>
          <w:attr w:name="IsLunarDate" w:val="False"/>
          <w:attr w:name="Day" w:val="30"/>
          <w:attr w:name="Month" w:val="9"/>
          <w:attr w:name="Year" w:val="2017"/>
        </w:smartTagPr>
        <w:r w:rsidRPr="00A23B02">
          <w:rPr>
            <w:rFonts w:ascii="SimSun" w:hAnsi="SimSun" w:cs="Times New Roman" w:hint="eastAsia"/>
            <w:noProof/>
            <w:sz w:val="21"/>
            <w:lang w:val="x-none" w:eastAsia="zh-CN"/>
          </w:rPr>
          <w:t>9月30日</w:t>
        </w:r>
      </w:smartTag>
      <w:r w:rsidRPr="00A23B02">
        <w:rPr>
          <w:rFonts w:ascii="SimSun" w:hAnsi="SimSun" w:cs="Times New Roman" w:hint="eastAsia"/>
          <w:noProof/>
          <w:sz w:val="21"/>
          <w:lang w:val="x-none" w:eastAsia="zh-CN"/>
        </w:rPr>
        <w:t>召开的</w:t>
      </w:r>
      <w:r>
        <w:rPr>
          <w:rFonts w:ascii="SimSun" w:hAnsi="SimSun" w:cs="Times New Roman" w:hint="eastAsia"/>
          <w:noProof/>
          <w:sz w:val="21"/>
          <w:lang w:val="x-none" w:eastAsia="zh-CN"/>
        </w:rPr>
        <w:t>PCT大会</w:t>
      </w:r>
      <w:r w:rsidRPr="00A23B02">
        <w:rPr>
          <w:rFonts w:ascii="SimSun" w:hAnsi="SimSun" w:cs="Times New Roman" w:hint="eastAsia"/>
          <w:noProof/>
          <w:sz w:val="21"/>
          <w:lang w:val="x-none" w:eastAsia="zh-CN"/>
        </w:rPr>
        <w:t>第46</w:t>
      </w:r>
      <w:r>
        <w:rPr>
          <w:rFonts w:ascii="SimSun" w:hAnsi="SimSun" w:cs="Times New Roman" w:hint="eastAsia"/>
          <w:noProof/>
          <w:sz w:val="21"/>
          <w:lang w:val="x-none" w:eastAsia="zh-CN"/>
        </w:rPr>
        <w:t>届</w:t>
      </w:r>
      <w:r w:rsidRPr="00A23B02">
        <w:rPr>
          <w:rFonts w:ascii="SimSun" w:hAnsi="SimSun" w:cs="Times New Roman" w:hint="eastAsia"/>
          <w:noProof/>
          <w:sz w:val="21"/>
          <w:lang w:val="x-none" w:eastAsia="zh-CN"/>
        </w:rPr>
        <w:t>会议（第27次特别会议）通过了如下谅解，即“强烈建议寻求指定的国家局或政府间组织在提交申请前先获得一个或多个现有国际单位的协助，帮助评估满足标准的程度”。</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根据日本特许厅（JPO）与菲律宾知识产权局（IPOPHL）之间知识产权领域的合作谅解备忘录（MOC），在2016年双边合作的年度工作计划中，双方确认，JPO将支持菲律宾知识产权局所开展的被指定为国际检索单位（ISA）和国际初步审查单位（IPEA）的准备工作。</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JPO根据相关的PCT规定评估了IPOPHL为被指定为ISA/IPEA所做的准备。</w:t>
      </w:r>
      <w:smartTag w:uri="urn:schemas-microsoft-com:office:smarttags" w:element="chsdate">
        <w:smartTagPr>
          <w:attr w:name="IsROCDate" w:val="False"/>
          <w:attr w:name="IsLunarDate" w:val="False"/>
          <w:attr w:name="Day" w:val="21"/>
          <w:attr w:name="Month" w:val="2"/>
          <w:attr w:name="Year" w:val="2017"/>
        </w:smartTagPr>
        <w:r w:rsidRPr="00A23B02">
          <w:rPr>
            <w:rFonts w:ascii="SimSun" w:hAnsi="SimSun" w:cs="Times New Roman" w:hint="eastAsia"/>
            <w:noProof/>
            <w:sz w:val="21"/>
            <w:lang w:val="x-none" w:eastAsia="zh-CN"/>
          </w:rPr>
          <w:t>2017年2月21日</w:t>
        </w:r>
      </w:smartTag>
      <w:r w:rsidRPr="00A23B02">
        <w:rPr>
          <w:rFonts w:ascii="SimSun" w:hAnsi="SimSun" w:cs="Times New Roman" w:hint="eastAsia"/>
          <w:noProof/>
          <w:sz w:val="21"/>
          <w:lang w:val="x-none" w:eastAsia="zh-CN"/>
        </w:rPr>
        <w:t>和22日，JPO的两位官员接受了IPOPHL的一项任务，更好地了解IPOPHL是否已为成为ISA/IPEA做好准备。下面总结互动结果及其任务。</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Pr>
          <w:rFonts w:ascii="SimHei" w:eastAsia="SimHei" w:hAnsi="SimHei" w:cs="Times New Roman" w:hint="eastAsia"/>
          <w:b w:val="0"/>
          <w:bCs w:val="0"/>
          <w:caps w:val="0"/>
          <w:noProof/>
          <w:kern w:val="0"/>
          <w:sz w:val="21"/>
          <w:lang w:val="x-none"/>
        </w:rPr>
        <w:t>二、</w:t>
      </w:r>
      <w:r w:rsidRPr="00420401">
        <w:rPr>
          <w:rFonts w:ascii="SimHei" w:eastAsia="SimHei" w:hAnsi="SimHei" w:cs="Times New Roman" w:hint="eastAsia"/>
          <w:b w:val="0"/>
          <w:bCs w:val="0"/>
          <w:caps w:val="0"/>
          <w:noProof/>
          <w:kern w:val="0"/>
          <w:sz w:val="21"/>
          <w:lang w:val="x-none"/>
        </w:rPr>
        <w:t>实施细则36.1(i)(iii)和63.1(i)(iii)</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开展评估任务的过程中，IPOPHL雇用了87位能够开展检索和审查工作的专利审查员。之后，IPOPHL告知，其在2017年3月的第一周会再雇用了13名审查员，3月底将再雇用12名审查员，而且一旦录用这些审查员就会立即对其开展培训。</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IPOPHL审查员的资历水平由其部分解释如下：</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“根据菲律宾公务员委员会（CSC）的要求，审查员必须持有工程学、自然科学、医学和其他相关科学的学位；如果对学位有规定，审查员必须通过专业监管委员会规定的专业执照考试。</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“所有进行专利检索和审查的审查员都有其所在行业的理学或工学学位，或者同时拥有两个学位，使其具备开展检索和审查，以及撰写准确可靠的符合国际标准的报告所需的技能和分析能力。</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为提供优质的服务，IPOPHL会尽力雇用受过更高教育的审查员。目前，54%的审查员都拥有硕士学位或者正在攻读硕士学位。IPOPHL也和一流学科与工程学院合作，针对大量涉及高度细分技术领域的专利申请而专门设置硕士学位课程。当前，15名科学家和工程师报名参加了上述合作学院的生物工程理学硕士学位课程。</w:t>
      </w:r>
      <w:r>
        <w:rPr>
          <w:rFonts w:ascii="SimSun" w:hAnsi="SimSun" w:cs="Times New Roman" w:hint="eastAsia"/>
          <w:noProof/>
          <w:sz w:val="21"/>
          <w:lang w:val="x-none" w:eastAsia="zh-CN"/>
        </w:rPr>
        <w:t>”</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IPOPHL为其专利审查员提供了几项培训课程。针对新聘用审查员的培训课程涵盖了与其专利检索和实质审查相关的各个科目。这些课程分三个阶段完成：</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基本概念和应用型学习（4个月），</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专业技术培训（6个月），以及</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III</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补充培训（各个技术领域）。在这三个阶段结束时都会对学员进行最后评估，那些技能和能力不足的学员不得进入下一阶段的培训。</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告知，第一阶段结束后，“学员应掌握关于专利法、法规、审查实践和程序的基本知识，具备专利审查技能，而且能够对实际案件展开检索和实质审查。”对于2017年3月新雇佣的25名职员，将于2017年7月末完成第一阶段培训。</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lastRenderedPageBreak/>
        <w:t>关于后续对专利审查员制定的培训课程，有好几种形式的培训活动，包括：讲习班、研讨会、远程教育和参观工厂。这些活动中涉及的主题包括专利检索和审查、专利立法、实践和程序的更新，以及质量管理。包括JPO在内的双边合作伙伴也在为该局提供进行能力建设的机会。</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关于语言水平问题，IPOPHL目前所有的审查员主要用英文进行检索和审查。此外，他们也能够用菲律宾文进行检索和审查。IPOPHL的审查员不仅都能非常流利地使用英文和菲律宾文，其中一些专利审查员还对日语、中文、德语、西班牙语和法语等其它语言有一些基本的了解。</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为了协助他们理解和检索其它语言书就的现有技术，IPOPHL为其审查员提供了在线翻译资源。</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Pr>
          <w:rFonts w:ascii="SimHei" w:eastAsia="SimHei" w:hAnsi="SimHei" w:cs="Times New Roman" w:hint="eastAsia"/>
          <w:b w:val="0"/>
          <w:bCs w:val="0"/>
          <w:caps w:val="0"/>
          <w:noProof/>
          <w:kern w:val="0"/>
          <w:sz w:val="21"/>
          <w:lang w:val="x-none"/>
        </w:rPr>
        <w:t>三、</w:t>
      </w:r>
      <w:r w:rsidRPr="00420401">
        <w:rPr>
          <w:rFonts w:ascii="SimHei" w:eastAsia="SimHei" w:hAnsi="SimHei" w:cs="Times New Roman" w:hint="eastAsia"/>
          <w:b w:val="0"/>
          <w:bCs w:val="0"/>
          <w:caps w:val="0"/>
          <w:noProof/>
          <w:kern w:val="0"/>
          <w:sz w:val="21"/>
          <w:lang w:val="x-none"/>
        </w:rPr>
        <w:t>实施细则36.1(ii)和63.1(ii)</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目前，IPOPHL的审查员可以使用如下数据库：</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a</w:t>
      </w:r>
      <w:r>
        <w:rPr>
          <w:rFonts w:ascii="SimSun" w:hAnsi="SimSun" w:cs="Times New Roman" w:hint="eastAsia"/>
          <w:noProof/>
          <w:sz w:val="21"/>
          <w:lang w:val="x-none" w:eastAsia="zh-CN"/>
        </w:rPr>
        <w:t>)</w:t>
      </w:r>
      <w:r>
        <w:rPr>
          <w:rFonts w:ascii="SimSun" w:hAnsi="SimSun" w:cs="Times New Roman" w:hint="eastAsia"/>
          <w:noProof/>
          <w:sz w:val="21"/>
          <w:lang w:val="x-none" w:eastAsia="zh-CN"/>
        </w:rPr>
        <w:tab/>
      </w:r>
      <w:r w:rsidRPr="00A23B02">
        <w:rPr>
          <w:rFonts w:ascii="SimSun" w:hAnsi="SimSun" w:cs="Times New Roman" w:hint="eastAsia"/>
          <w:noProof/>
          <w:sz w:val="21"/>
          <w:lang w:val="x-none" w:eastAsia="zh-CN"/>
        </w:rPr>
        <w:t>Thomson Innovation和WIPS Global等商业数据库</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b</w:t>
      </w:r>
      <w:r>
        <w:rPr>
          <w:rFonts w:ascii="SimSun" w:hAnsi="SimSun" w:cs="Times New Roman" w:hint="eastAsia"/>
          <w:noProof/>
          <w:sz w:val="21"/>
          <w:lang w:val="x-none" w:eastAsia="zh-CN"/>
        </w:rPr>
        <w:t>)</w:t>
      </w:r>
      <w:r>
        <w:rPr>
          <w:rFonts w:ascii="SimSun" w:hAnsi="SimSun" w:cs="Times New Roman" w:hint="eastAsia"/>
          <w:noProof/>
          <w:sz w:val="21"/>
          <w:lang w:val="x-none" w:eastAsia="zh-CN"/>
        </w:rPr>
        <w:tab/>
      </w:r>
      <w:r w:rsidRPr="00A23B02">
        <w:rPr>
          <w:rFonts w:ascii="SimSun" w:hAnsi="SimSun" w:cs="Times New Roman" w:hint="eastAsia"/>
          <w:noProof/>
          <w:sz w:val="21"/>
          <w:lang w:val="x-none" w:eastAsia="zh-CN"/>
        </w:rPr>
        <w:t>知识产权数字图书馆（IPDL）和工业产权自动化系统（IPAS）等内部数据库</w:t>
      </w:r>
    </w:p>
    <w:p w:rsidR="00A4309A" w:rsidRPr="00A23B02" w:rsidRDefault="00A4309A" w:rsidP="006C3627">
      <w:pPr>
        <w:pStyle w:val="10"/>
        <w:overflowPunct w:val="0"/>
        <w:spacing w:afterLines="50" w:after="120" w:line="340" w:lineRule="atLeast"/>
        <w:ind w:left="567"/>
        <w:jc w:val="both"/>
        <w:rPr>
          <w:rFonts w:ascii="SimSun" w:hAnsi="SimSun" w:cs="Times New Roman"/>
          <w:noProof/>
          <w:sz w:val="21"/>
          <w:lang w:val="x-none" w:eastAsia="zh-CN"/>
        </w:rPr>
      </w:pP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c</w:t>
      </w:r>
      <w:r>
        <w:rPr>
          <w:rFonts w:ascii="SimSun" w:hAnsi="SimSun" w:cs="Times New Roman" w:hint="eastAsia"/>
          <w:noProof/>
          <w:sz w:val="21"/>
          <w:lang w:val="x-none" w:eastAsia="zh-CN"/>
        </w:rPr>
        <w:t>)</w:t>
      </w:r>
      <w:r>
        <w:rPr>
          <w:rFonts w:ascii="SimSun" w:hAnsi="SimSun" w:cs="Times New Roman" w:hint="eastAsia"/>
          <w:noProof/>
          <w:sz w:val="21"/>
          <w:lang w:val="x-none" w:eastAsia="zh-CN"/>
        </w:rPr>
        <w:tab/>
      </w:r>
      <w:r w:rsidRPr="00A23B02">
        <w:rPr>
          <w:rFonts w:ascii="SimSun" w:hAnsi="SimSun" w:cs="Times New Roman" w:hint="eastAsia"/>
          <w:noProof/>
          <w:sz w:val="21"/>
          <w:lang w:val="x-none" w:eastAsia="zh-CN"/>
        </w:rPr>
        <w:t>USPTO数据库、Espacenet、Patent Lens</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TheLens</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、PubMed、PubChem、MedLinePlus、3GPP、Patentscope、JPlatPat、WIPO Case和AIPN等可公开查阅的数据库以及其它知识产权局的专利数据库</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评估之时，IPOPHL正努力获得对EpoqueNet的使用。IPOPHL告知JPO员工，其审查员于2017年第三季度就能使用EpoqueNet以及IEEE和STN等商业数据库，通过这些安排，届时IPOPHL就能够使用实施细则36.1</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和63.1</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ii</w:t>
      </w:r>
      <w:r>
        <w:rPr>
          <w:rFonts w:ascii="SimSun" w:hAnsi="SimSun" w:cs="Times New Roman" w:hint="eastAsia"/>
          <w:noProof/>
          <w:sz w:val="21"/>
          <w:lang w:val="x-none" w:eastAsia="zh-CN"/>
        </w:rPr>
        <w:t>)</w:t>
      </w:r>
      <w:r w:rsidRPr="00A23B02">
        <w:rPr>
          <w:rFonts w:ascii="SimSun" w:hAnsi="SimSun" w:cs="Times New Roman" w:hint="eastAsia"/>
          <w:noProof/>
          <w:sz w:val="21"/>
          <w:lang w:val="x-none" w:eastAsia="zh-CN"/>
        </w:rPr>
        <w:t>规定的最低限度文献。</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IPOPHL的IT系统由工业产权自动化系统（IPAS）和其它内部系统构成；其中自动化系统是在与WIPO的合作中为其使用而定制的，涵盖了专利申请内部处理的主要部分，包括国内专利文件的检索和审查。</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四</w:t>
      </w:r>
      <w:r>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细则36.1(iv)和63.1(iv)</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IPOPHL已针对国家检索和审查工作建立了系统性的质量管理体系（QMS），这个体系基本符合《PCT国际检索和初步审查指南》第21章的规定，其中强调了时效性问题。该局还维持着ISO 9001:2008认证。</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[领导力与政策]IPOPHL已建立质量管理部门，以促进其质量管理体系。其质量政策已经形成并下发到相关职员。</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[资源]参见上述第4至13段。</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[行政管理工作量管理]审查积压已通过自2014年以来开展的“减少积压方案”得到解决。因此，积压已稳定减少。关于时效性，IPOPHL将确保本地申请自申请日起6个月内出具检索报告。</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[质量保证]各部门主管和助理部门主管正核查审查报告。此外，质检员还进行随机评估。作为改进质量的途径，基于质量评价结果的反馈通过质量管理委员会和部门主管提供给主审员。</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[沟通]IPOPHL开展用户满意度反馈调查，以提高服务质量。调查反馈编撰成报告，该报告包括分析和改进建议。</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lastRenderedPageBreak/>
        <w:t>[文档]质量手册，其中概括了该局质量管理体系的基本原则，已经制定并下发给相关职员。文件和记录管理员、专利局记录管理单位和人力资源开发部对记录进行维护，例如质量管理体系审计、对每件申请开展的检索和审查过程。</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[检索流程文档]主审员的检索结果以报告形式适当地存储在内部数据库中，包括审查员选择的关键词和其他要素、所用数据库的名称、点击数量以及被浏览的文件数目。</w:t>
      </w:r>
    </w:p>
    <w:p w:rsidR="00A4309A" w:rsidRPr="00A23B02" w:rsidRDefault="00A4309A" w:rsidP="00A4309A">
      <w:pPr>
        <w:pStyle w:val="10"/>
        <w:numPr>
          <w:ilvl w:val="0"/>
          <w:numId w:val="35"/>
        </w:numPr>
        <w:overflowPunct w:val="0"/>
        <w:spacing w:afterLines="50" w:after="120" w:line="340" w:lineRule="atLeast"/>
        <w:ind w:left="0" w:firstLine="0"/>
        <w:jc w:val="both"/>
        <w:rPr>
          <w:rFonts w:ascii="SimSun" w:hAnsi="SimSun" w:cs="Times New Roman"/>
          <w:noProof/>
          <w:sz w:val="21"/>
          <w:lang w:val="x-none" w:eastAsia="zh-CN"/>
        </w:rPr>
      </w:pPr>
      <w:r w:rsidRPr="00A23B02">
        <w:rPr>
          <w:rFonts w:ascii="SimSun" w:hAnsi="SimSun" w:cs="Times New Roman" w:hint="eastAsia"/>
          <w:noProof/>
          <w:sz w:val="21"/>
          <w:lang w:val="x-none" w:eastAsia="zh-CN"/>
        </w:rPr>
        <w:t>[内部评价]每年都开展内部质量审计，其中包括内部质量管理体系审计。</w:t>
      </w:r>
    </w:p>
    <w:p w:rsidR="00A4309A" w:rsidRPr="00420401" w:rsidRDefault="00A4309A" w:rsidP="00A4309A">
      <w:pPr>
        <w:pStyle w:val="1"/>
        <w:spacing w:beforeLines="100" w:before="240" w:afterLines="50" w:after="120" w:line="340" w:lineRule="atLeast"/>
        <w:rPr>
          <w:rFonts w:ascii="SimHei" w:eastAsia="SimHei" w:hAnsi="SimHei" w:cs="Times New Roman"/>
          <w:b w:val="0"/>
          <w:bCs w:val="0"/>
          <w:caps w:val="0"/>
          <w:noProof/>
          <w:kern w:val="0"/>
          <w:sz w:val="21"/>
          <w:lang w:val="x-none"/>
        </w:rPr>
      </w:pPr>
      <w:r w:rsidRPr="00420401">
        <w:rPr>
          <w:rFonts w:ascii="SimHei" w:eastAsia="SimHei" w:hAnsi="SimHei" w:cs="Times New Roman" w:hint="eastAsia"/>
          <w:b w:val="0"/>
          <w:bCs w:val="0"/>
          <w:caps w:val="0"/>
          <w:noProof/>
          <w:kern w:val="0"/>
          <w:sz w:val="21"/>
          <w:lang w:val="x-none"/>
        </w:rPr>
        <w:t>五</w:t>
      </w:r>
      <w:r>
        <w:rPr>
          <w:rFonts w:ascii="SimHei" w:eastAsia="SimHei" w:hAnsi="SimHei" w:cs="Times New Roman" w:hint="eastAsia"/>
          <w:b w:val="0"/>
          <w:bCs w:val="0"/>
          <w:caps w:val="0"/>
          <w:noProof/>
          <w:kern w:val="0"/>
          <w:sz w:val="21"/>
          <w:lang w:val="x-none"/>
        </w:rPr>
        <w:t>、</w:t>
      </w:r>
      <w:r w:rsidRPr="00420401">
        <w:rPr>
          <w:rFonts w:ascii="SimHei" w:eastAsia="SimHei" w:hAnsi="SimHei" w:cs="Times New Roman" w:hint="eastAsia"/>
          <w:b w:val="0"/>
          <w:bCs w:val="0"/>
          <w:caps w:val="0"/>
          <w:noProof/>
          <w:kern w:val="0"/>
          <w:sz w:val="21"/>
          <w:lang w:val="x-none"/>
        </w:rPr>
        <w:t>结</w:t>
      </w:r>
      <w:r>
        <w:rPr>
          <w:rFonts w:ascii="SimHei" w:eastAsia="SimHei" w:hAnsi="SimHei" w:cs="Times New Roman" w:hint="eastAsia"/>
          <w:b w:val="0"/>
          <w:bCs w:val="0"/>
          <w:caps w:val="0"/>
          <w:noProof/>
          <w:kern w:val="0"/>
          <w:sz w:val="21"/>
          <w:lang w:val="x-none"/>
        </w:rPr>
        <w:t xml:space="preserve">　</w:t>
      </w:r>
      <w:r w:rsidRPr="00420401">
        <w:rPr>
          <w:rFonts w:ascii="SimHei" w:eastAsia="SimHei" w:hAnsi="SimHei" w:cs="Times New Roman" w:hint="eastAsia"/>
          <w:b w:val="0"/>
          <w:bCs w:val="0"/>
          <w:caps w:val="0"/>
          <w:noProof/>
          <w:kern w:val="0"/>
          <w:sz w:val="21"/>
          <w:lang w:val="x-none"/>
        </w:rPr>
        <w:t>论</w:t>
      </w:r>
    </w:p>
    <w:p w:rsidR="00A4309A" w:rsidRPr="00257000" w:rsidRDefault="00A4309A" w:rsidP="00A4309A">
      <w:pPr>
        <w:pStyle w:val="10"/>
        <w:numPr>
          <w:ilvl w:val="0"/>
          <w:numId w:val="35"/>
        </w:numPr>
        <w:overflowPunct w:val="0"/>
        <w:spacing w:afterLines="50" w:after="120" w:line="340" w:lineRule="atLeast"/>
        <w:ind w:left="0" w:firstLine="0"/>
        <w:jc w:val="both"/>
        <w:rPr>
          <w:rFonts w:ascii="SimSun" w:hAnsi="SimSun" w:cs="SimSun"/>
          <w:noProof/>
          <w:sz w:val="21"/>
          <w:szCs w:val="21"/>
          <w:lang w:eastAsia="zh-CN"/>
        </w:rPr>
      </w:pPr>
      <w:r w:rsidRPr="00A23B02">
        <w:rPr>
          <w:rFonts w:ascii="SimSun" w:hAnsi="SimSun" w:cs="Times New Roman" w:hint="eastAsia"/>
          <w:noProof/>
          <w:sz w:val="21"/>
          <w:lang w:val="x-none" w:eastAsia="zh-CN"/>
        </w:rPr>
        <w:t>基于IPOPHL提供的信息以及开展该局所派任务期间在现场所观察到的情况，JPO认为IPOPHL将能够符合实施细则36.1和63.1条规定的所有要求，从而在即将于2017年10月召开的</w:t>
      </w:r>
      <w:r>
        <w:rPr>
          <w:rFonts w:ascii="SimSun" w:hAnsi="SimSun" w:cs="Times New Roman" w:hint="eastAsia"/>
          <w:noProof/>
          <w:sz w:val="21"/>
          <w:lang w:val="x-none" w:eastAsia="zh-CN"/>
        </w:rPr>
        <w:t>PCT大会</w:t>
      </w:r>
      <w:r w:rsidRPr="00A23B02">
        <w:rPr>
          <w:rFonts w:ascii="SimSun" w:hAnsi="SimSun" w:cs="Times New Roman" w:hint="eastAsia"/>
          <w:noProof/>
          <w:sz w:val="21"/>
          <w:lang w:val="x-none" w:eastAsia="zh-CN"/>
        </w:rPr>
        <w:t>会议上被指定为ISA/IPEA。这一结论的前提是，如第7段所述，IPOPHL将于2017年3月雇用的审查员将有足够强的检索能力，且如第12条所述，该局将订购当前计划表上必要的非专利文献数据库。</w:t>
      </w:r>
    </w:p>
    <w:p w:rsidR="00A4309A" w:rsidRDefault="00A4309A" w:rsidP="006C3627">
      <w:pPr>
        <w:pStyle w:val="ONUME"/>
        <w:numPr>
          <w:ilvl w:val="0"/>
          <w:numId w:val="0"/>
        </w:numPr>
        <w:overflowPunct w:val="0"/>
        <w:spacing w:afterLines="50" w:after="120" w:line="340" w:lineRule="atLeast"/>
        <w:ind w:left="5534"/>
        <w:jc w:val="both"/>
        <w:rPr>
          <w:rFonts w:ascii="KaiTi" w:eastAsia="KaiTi" w:hAnsi="KaiTi"/>
          <w:noProof/>
          <w:sz w:val="21"/>
        </w:rPr>
      </w:pPr>
    </w:p>
    <w:p w:rsidR="00A4309A" w:rsidRPr="00A23B02" w:rsidRDefault="00A4309A" w:rsidP="006C3627">
      <w:pPr>
        <w:pStyle w:val="ONUME"/>
        <w:numPr>
          <w:ilvl w:val="0"/>
          <w:numId w:val="0"/>
        </w:numPr>
        <w:overflowPunct w:val="0"/>
        <w:spacing w:afterLines="50" w:after="120" w:line="340" w:lineRule="atLeast"/>
        <w:ind w:left="5534"/>
        <w:jc w:val="both"/>
        <w:rPr>
          <w:rFonts w:ascii="SimSun" w:hAnsi="SimSun"/>
          <w:noProof/>
          <w:sz w:val="21"/>
        </w:rPr>
      </w:pPr>
      <w:r w:rsidRPr="00420401">
        <w:rPr>
          <w:rFonts w:ascii="KaiTi" w:eastAsia="KaiTi" w:hAnsi="KaiTi" w:hint="eastAsia"/>
          <w:noProof/>
          <w:sz w:val="21"/>
        </w:rPr>
        <w:t>[</w:t>
      </w:r>
      <w:r w:rsidR="00295AEC">
        <w:rPr>
          <w:rFonts w:ascii="KaiTi" w:eastAsia="KaiTi" w:hAnsi="KaiTi" w:hint="eastAsia"/>
          <w:noProof/>
          <w:sz w:val="21"/>
        </w:rPr>
        <w:t>后接文件</w:t>
      </w:r>
      <w:r w:rsidR="00295AEC" w:rsidRPr="00295AEC">
        <w:rPr>
          <w:rFonts w:ascii="KaiTi" w:eastAsia="KaiTi" w:hAnsi="KaiTi"/>
          <w:noProof/>
          <w:sz w:val="21"/>
        </w:rPr>
        <w:t>PCT/CTC/30/26</w:t>
      </w:r>
      <w:r w:rsidRPr="00420401">
        <w:rPr>
          <w:rFonts w:ascii="KaiTi" w:eastAsia="KaiTi" w:hAnsi="KaiTi" w:hint="eastAsia"/>
          <w:noProof/>
          <w:sz w:val="21"/>
        </w:rPr>
        <w:t>]</w:t>
      </w:r>
    </w:p>
    <w:p w:rsidR="00A4309A" w:rsidRPr="004F55B9" w:rsidRDefault="00A4309A" w:rsidP="006C3627">
      <w:pPr>
        <w:rPr>
          <w:rFonts w:ascii="SimSun" w:hAnsi="SimSun"/>
          <w:sz w:val="24"/>
        </w:rPr>
        <w:sectPr w:rsidR="00A4309A" w:rsidRPr="004F55B9" w:rsidSect="00DA5DF8">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DA5DF8" w:rsidRPr="00EB0B4A" w:rsidTr="006C3627">
        <w:trPr>
          <w:trHeight w:val="1977"/>
        </w:trPr>
        <w:tc>
          <w:tcPr>
            <w:tcW w:w="4594" w:type="dxa"/>
            <w:tcBorders>
              <w:bottom w:val="single" w:sz="4" w:space="0" w:color="auto"/>
            </w:tcBorders>
            <w:tcMar>
              <w:bottom w:w="170" w:type="dxa"/>
            </w:tcMar>
          </w:tcPr>
          <w:p w:rsidR="00DA5DF8" w:rsidRPr="00EB0B4A" w:rsidRDefault="00DA5DF8" w:rsidP="006C3627">
            <w:pPr>
              <w:rPr>
                <w:sz w:val="24"/>
              </w:rPr>
            </w:pPr>
            <w:r w:rsidRPr="00EB0B4A">
              <w:rPr>
                <w:noProof/>
              </w:rPr>
              <w:lastRenderedPageBreak/>
              <w:drawing>
                <wp:anchor distT="0" distB="0" distL="114300" distR="114300" simplePos="0" relativeHeight="251659264" behindDoc="1" locked="0" layoutInCell="0" allowOverlap="1" wp14:anchorId="61574BE6" wp14:editId="6D079F87">
                  <wp:simplePos x="0" y="0"/>
                  <wp:positionH relativeFrom="page">
                    <wp:posOffset>3834130</wp:posOffset>
                  </wp:positionH>
                  <wp:positionV relativeFrom="margin">
                    <wp:posOffset>0</wp:posOffset>
                  </wp:positionV>
                  <wp:extent cx="866775" cy="1323975"/>
                  <wp:effectExtent l="0" t="0" r="9525" b="9525"/>
                  <wp:wrapNone/>
                  <wp:docPr id="6"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anchor>
              </w:drawing>
            </w:r>
          </w:p>
        </w:tc>
        <w:tc>
          <w:tcPr>
            <w:tcW w:w="4337" w:type="dxa"/>
            <w:tcBorders>
              <w:bottom w:val="single" w:sz="4" w:space="0" w:color="auto"/>
            </w:tcBorders>
            <w:tcMar>
              <w:left w:w="0" w:type="dxa"/>
              <w:bottom w:w="170" w:type="dxa"/>
              <w:right w:w="0" w:type="dxa"/>
            </w:tcMar>
          </w:tcPr>
          <w:p w:rsidR="00DA5DF8" w:rsidRPr="00EB0B4A" w:rsidRDefault="00DA5DF8" w:rsidP="006C3627">
            <w:pPr>
              <w:rPr>
                <w:sz w:val="24"/>
              </w:rPr>
            </w:pPr>
          </w:p>
        </w:tc>
        <w:tc>
          <w:tcPr>
            <w:tcW w:w="425" w:type="dxa"/>
            <w:tcBorders>
              <w:bottom w:val="single" w:sz="4" w:space="0" w:color="auto"/>
            </w:tcBorders>
            <w:tcMar>
              <w:bottom w:w="170" w:type="dxa"/>
            </w:tcMar>
          </w:tcPr>
          <w:p w:rsidR="00DA5DF8" w:rsidRPr="00EB0B4A" w:rsidRDefault="00DA5DF8" w:rsidP="006C3627">
            <w:pPr>
              <w:jc w:val="right"/>
              <w:rPr>
                <w:sz w:val="24"/>
              </w:rPr>
            </w:pPr>
            <w:r w:rsidRPr="00EB0B4A">
              <w:rPr>
                <w:b/>
                <w:sz w:val="40"/>
                <w:szCs w:val="40"/>
              </w:rPr>
              <w:t>C</w:t>
            </w:r>
          </w:p>
        </w:tc>
      </w:tr>
      <w:tr w:rsidR="00DA5DF8" w:rsidRPr="00EB0B4A" w:rsidTr="006C3627">
        <w:trPr>
          <w:trHeight w:hRule="exact" w:val="340"/>
        </w:trPr>
        <w:tc>
          <w:tcPr>
            <w:tcW w:w="9356" w:type="dxa"/>
            <w:gridSpan w:val="3"/>
            <w:tcBorders>
              <w:top w:val="single" w:sz="4" w:space="0" w:color="auto"/>
            </w:tcBorders>
            <w:tcMar>
              <w:top w:w="170" w:type="dxa"/>
              <w:left w:w="0" w:type="dxa"/>
              <w:right w:w="0" w:type="dxa"/>
            </w:tcMar>
            <w:vAlign w:val="bottom"/>
          </w:tcPr>
          <w:p w:rsidR="00DA5DF8" w:rsidRPr="00EB0B4A" w:rsidRDefault="00DA5DF8" w:rsidP="00C67BC3">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r>
              <w:rPr>
                <w:rFonts w:ascii="Arial Black" w:hAnsi="Arial Black" w:hint="eastAsia"/>
                <w:caps/>
                <w:sz w:val="15"/>
              </w:rPr>
              <w:t>26</w:t>
            </w:r>
          </w:p>
        </w:tc>
      </w:tr>
      <w:tr w:rsidR="00DA5DF8" w:rsidRPr="00EB0B4A" w:rsidTr="006C3627">
        <w:trPr>
          <w:trHeight w:hRule="exact" w:val="170"/>
        </w:trPr>
        <w:tc>
          <w:tcPr>
            <w:tcW w:w="9356" w:type="dxa"/>
            <w:gridSpan w:val="3"/>
            <w:noWrap/>
            <w:tcMar>
              <w:left w:w="0" w:type="dxa"/>
              <w:right w:w="0" w:type="dxa"/>
            </w:tcMar>
            <w:vAlign w:val="bottom"/>
          </w:tcPr>
          <w:p w:rsidR="00DA5DF8" w:rsidRPr="00EB0B4A" w:rsidRDefault="00DA5DF8" w:rsidP="006C3627">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r w:rsidRPr="00EB0B4A">
              <w:rPr>
                <w:rFonts w:eastAsia="SimHei"/>
                <w:b/>
                <w:sz w:val="15"/>
                <w:szCs w:val="15"/>
              </w:rPr>
              <w:t>英文</w:t>
            </w:r>
          </w:p>
        </w:tc>
      </w:tr>
      <w:tr w:rsidR="00DA5DF8" w:rsidRPr="00EB0B4A" w:rsidTr="006C3627">
        <w:trPr>
          <w:trHeight w:hRule="exact" w:val="198"/>
        </w:trPr>
        <w:tc>
          <w:tcPr>
            <w:tcW w:w="9356" w:type="dxa"/>
            <w:gridSpan w:val="3"/>
            <w:tcMar>
              <w:left w:w="0" w:type="dxa"/>
              <w:right w:w="0" w:type="dxa"/>
            </w:tcMar>
            <w:vAlign w:val="bottom"/>
          </w:tcPr>
          <w:p w:rsidR="00DA5DF8" w:rsidRPr="00EB0B4A" w:rsidRDefault="00DA5DF8" w:rsidP="00DA5DF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5</w:t>
            </w:r>
            <w:r w:rsidRPr="00EB0B4A">
              <w:rPr>
                <w:rFonts w:eastAsia="SimHei" w:cs="SimSun" w:hint="eastAsia"/>
                <w:b/>
                <w:sz w:val="15"/>
                <w:szCs w:val="15"/>
              </w:rPr>
              <w:t>月</w:t>
            </w:r>
            <w:r>
              <w:rPr>
                <w:rFonts w:ascii="Arial Black" w:hAnsi="Arial Black" w:hint="eastAsia"/>
                <w:caps/>
                <w:sz w:val="15"/>
              </w:rPr>
              <w:t>11</w:t>
            </w:r>
            <w:r w:rsidRPr="00EB0B4A">
              <w:rPr>
                <w:rFonts w:eastAsia="SimHei" w:cs="SimSun" w:hint="eastAsia"/>
                <w:b/>
                <w:sz w:val="15"/>
                <w:szCs w:val="15"/>
              </w:rPr>
              <w:t>日</w:t>
            </w:r>
            <w:r w:rsidRPr="00EB0B4A">
              <w:rPr>
                <w:rFonts w:eastAsia="Times New Roman"/>
                <w:b/>
                <w:caps/>
                <w:sz w:val="15"/>
                <w:szCs w:val="15"/>
              </w:rPr>
              <w:t xml:space="preserve">  </w:t>
            </w:r>
          </w:p>
        </w:tc>
      </w:tr>
    </w:tbl>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DA5DF8" w:rsidRPr="00EB0B4A" w:rsidRDefault="00DA5DF8" w:rsidP="00DA5DF8">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Default="00DA5DF8" w:rsidP="00DA5DF8">
      <w:pPr>
        <w:rPr>
          <w:rFonts w:ascii="KaiTi" w:eastAsia="KaiTi" w:hAnsi="KaiTi"/>
          <w:sz w:val="24"/>
          <w:szCs w:val="32"/>
        </w:rPr>
      </w:pPr>
      <w:r w:rsidRPr="00DA5DF8">
        <w:rPr>
          <w:rFonts w:ascii="KaiTi" w:eastAsia="KaiTi" w:hAnsi="KaiTi" w:hint="eastAsia"/>
          <w:sz w:val="24"/>
          <w:szCs w:val="32"/>
        </w:rPr>
        <w:t>主席总结</w:t>
      </w:r>
    </w:p>
    <w:p w:rsidR="00DA5DF8" w:rsidRPr="00572563" w:rsidRDefault="00DA5DF8" w:rsidP="00DA5DF8"/>
    <w:p w:rsidR="00DA5DF8" w:rsidRPr="00D771BF" w:rsidRDefault="00DA5DF8" w:rsidP="00DA5DF8">
      <w:pPr>
        <w:autoSpaceDE w:val="0"/>
        <w:autoSpaceDN w:val="0"/>
        <w:textAlignment w:val="bottom"/>
        <w:rPr>
          <w:rFonts w:ascii="KaiTi" w:eastAsia="KaiTi" w:hAnsi="KaiTi"/>
          <w:sz w:val="21"/>
          <w:szCs w:val="24"/>
        </w:rPr>
      </w:pPr>
    </w:p>
    <w:p w:rsidR="00DA5DF8" w:rsidRDefault="00DA5DF8" w:rsidP="00DA5DF8"/>
    <w:p w:rsidR="00DA5DF8" w:rsidRDefault="00DA5DF8" w:rsidP="00DA5DF8"/>
    <w:p w:rsidR="00DA5DF8" w:rsidRDefault="00DA5DF8" w:rsidP="00DA5DF8"/>
    <w:p w:rsidR="00DA5DF8" w:rsidRDefault="00DA5DF8" w:rsidP="00DA5DF8"/>
    <w:p w:rsidR="002928D3" w:rsidRPr="00DA5DF8" w:rsidRDefault="000358C9"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0083418C" w:rsidRPr="00DA5DF8">
        <w:rPr>
          <w:rFonts w:ascii="SimHei" w:eastAsia="SimHei" w:hAnsi="SimHei"/>
          <w:b w:val="0"/>
          <w:sz w:val="21"/>
        </w:rPr>
        <w:t>1</w:t>
      </w:r>
      <w:r w:rsidR="00DA5DF8" w:rsidRPr="00DA5DF8">
        <w:rPr>
          <w:rFonts w:ascii="SimHei" w:eastAsia="SimHei" w:hAnsi="SimHei" w:hint="eastAsia"/>
          <w:b w:val="0"/>
          <w:sz w:val="21"/>
        </w:rPr>
        <w:t>项</w:t>
      </w:r>
      <w:r w:rsidR="0083418C" w:rsidRPr="00DA5DF8">
        <w:rPr>
          <w:rFonts w:ascii="SimHei" w:eastAsia="SimHei" w:hAnsi="SimHei"/>
          <w:b w:val="0"/>
          <w:sz w:val="21"/>
        </w:rPr>
        <w:t>：会议开幕</w:t>
      </w:r>
    </w:p>
    <w:p w:rsidR="0083418C" w:rsidRPr="00295AEC" w:rsidRDefault="0083418C" w:rsidP="00295AEC">
      <w:pPr>
        <w:pStyle w:val="ONUME"/>
        <w:numPr>
          <w:ilvl w:val="0"/>
          <w:numId w:val="44"/>
        </w:numPr>
        <w:tabs>
          <w:tab w:val="clear" w:pos="567"/>
        </w:tabs>
        <w:overflowPunct w:val="0"/>
        <w:spacing w:afterLines="50" w:after="120" w:line="340" w:lineRule="atLeast"/>
        <w:jc w:val="both"/>
        <w:rPr>
          <w:rFonts w:ascii="SimSun" w:hAnsi="SimSun"/>
          <w:sz w:val="21"/>
        </w:rPr>
      </w:pPr>
      <w:r w:rsidRPr="00295AEC">
        <w:rPr>
          <w:rFonts w:ascii="SimSun" w:hAnsi="SimSun"/>
          <w:sz w:val="21"/>
        </w:rPr>
        <w:t>副总干事约翰</w:t>
      </w:r>
      <w:r w:rsidR="000358C9" w:rsidRPr="00295AEC">
        <w:rPr>
          <w:rFonts w:ascii="SimSun" w:hAnsi="SimSun" w:hint="eastAsia"/>
          <w:sz w:val="21"/>
        </w:rPr>
        <w:t>·</w:t>
      </w:r>
      <w:r w:rsidRPr="00295AEC">
        <w:rPr>
          <w:rFonts w:ascii="SimSun" w:hAnsi="SimSun"/>
          <w:sz w:val="21"/>
        </w:rPr>
        <w:t>桑德奇先生代表总干事宣布会议开幕，并对与会人员表示欢迎。</w:t>
      </w:r>
      <w:r w:rsidR="00DA5DF8" w:rsidRPr="00295AEC">
        <w:rPr>
          <w:rFonts w:ascii="SimSun" w:hAnsi="SimSun" w:hint="eastAsia"/>
          <w:sz w:val="21"/>
        </w:rPr>
        <w:t>迈克尔·理查森</w:t>
      </w:r>
      <w:r w:rsidRPr="00295AEC">
        <w:rPr>
          <w:rFonts w:ascii="SimSun" w:hAnsi="SimSun"/>
          <w:sz w:val="21"/>
        </w:rPr>
        <w:t>先生（WIPO）担任委员会秘书。</w:t>
      </w:r>
    </w:p>
    <w:p w:rsidR="0083418C" w:rsidRPr="00DA5DF8" w:rsidRDefault="00904748"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0083418C" w:rsidRPr="00DA5DF8">
        <w:rPr>
          <w:rFonts w:ascii="SimHei" w:eastAsia="SimHei" w:hAnsi="SimHei"/>
          <w:b w:val="0"/>
          <w:sz w:val="21"/>
        </w:rPr>
        <w:t>2</w:t>
      </w:r>
      <w:r w:rsidR="00DA5DF8" w:rsidRPr="00DA5DF8">
        <w:rPr>
          <w:rFonts w:ascii="SimHei" w:eastAsia="SimHei" w:hAnsi="SimHei" w:hint="eastAsia"/>
          <w:b w:val="0"/>
          <w:sz w:val="21"/>
        </w:rPr>
        <w:t>项</w:t>
      </w:r>
      <w:r w:rsidR="0083418C" w:rsidRPr="00DA5DF8">
        <w:rPr>
          <w:rFonts w:ascii="SimHei" w:eastAsia="SimHei" w:hAnsi="SimHei"/>
          <w:b w:val="0"/>
          <w:sz w:val="21"/>
        </w:rPr>
        <w:t>：选举主席和两名副主席</w:t>
      </w:r>
    </w:p>
    <w:p w:rsidR="006B4D04" w:rsidRPr="00DA5DF8" w:rsidRDefault="004C5D58" w:rsidP="00DA5DF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委员会</w:t>
      </w:r>
      <w:r w:rsidR="006B4D04" w:rsidRPr="00DA5DF8">
        <w:rPr>
          <w:rFonts w:ascii="SimSun" w:hAnsi="SimSun"/>
          <w:sz w:val="21"/>
        </w:rPr>
        <w:t>一致选举</w:t>
      </w:r>
      <w:r w:rsidR="00DA5DF8" w:rsidRPr="00DA5DF8">
        <w:rPr>
          <w:rFonts w:ascii="SimSun" w:hAnsi="SimSun" w:hint="eastAsia"/>
          <w:sz w:val="21"/>
        </w:rPr>
        <w:t>马可西米利亚诺·圣克鲁斯</w:t>
      </w:r>
      <w:r w:rsidR="006B4D04" w:rsidRPr="00DA5DF8">
        <w:rPr>
          <w:rFonts w:ascii="SimSun" w:hAnsi="SimSun"/>
          <w:sz w:val="21"/>
        </w:rPr>
        <w:t>先生（智利）担任会议主席，选举</w:t>
      </w:r>
      <w:r w:rsidR="00DA5DF8" w:rsidRPr="00DA5DF8">
        <w:rPr>
          <w:rFonts w:ascii="SimSun" w:hAnsi="SimSun" w:hint="eastAsia"/>
          <w:sz w:val="21"/>
        </w:rPr>
        <w:t>维克托·波尔泰利</w:t>
      </w:r>
      <w:r w:rsidR="00DA5DF8">
        <w:rPr>
          <w:rFonts w:ascii="SimSun" w:hAnsi="SimSun" w:hint="eastAsia"/>
          <w:sz w:val="21"/>
        </w:rPr>
        <w:t>先生</w:t>
      </w:r>
      <w:r w:rsidR="006B4D04" w:rsidRPr="00DA5DF8">
        <w:rPr>
          <w:rFonts w:ascii="SimSun" w:hAnsi="SimSun"/>
          <w:sz w:val="21"/>
        </w:rPr>
        <w:t>（澳大利亚）担任副主席。未提名第二副主席人选。</w:t>
      </w:r>
    </w:p>
    <w:p w:rsidR="0083418C" w:rsidRPr="00DA5DF8" w:rsidRDefault="0083418C"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3</w:t>
      </w:r>
      <w:r w:rsidR="00DA5DF8" w:rsidRPr="00DA5DF8">
        <w:rPr>
          <w:rFonts w:ascii="SimHei" w:eastAsia="SimHei" w:hAnsi="SimHei" w:hint="eastAsia"/>
          <w:b w:val="0"/>
          <w:sz w:val="21"/>
        </w:rPr>
        <w:t>项</w:t>
      </w:r>
      <w:r w:rsidRPr="00DA5DF8">
        <w:rPr>
          <w:rFonts w:ascii="SimHei" w:eastAsia="SimHei" w:hAnsi="SimHei"/>
          <w:b w:val="0"/>
          <w:sz w:val="21"/>
        </w:rPr>
        <w:t>：通过议程</w:t>
      </w:r>
    </w:p>
    <w:p w:rsidR="0083418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委员会通过了文件</w:t>
      </w:r>
      <w:r w:rsidR="00C605FE" w:rsidRPr="00DA5DF8">
        <w:rPr>
          <w:rFonts w:ascii="SimSun" w:hAnsi="SimSun"/>
          <w:sz w:val="21"/>
        </w:rPr>
        <w:t>PCT/CTC/30/1</w:t>
      </w:r>
      <w:r w:rsidR="00B664B3">
        <w:rPr>
          <w:rFonts w:ascii="SimSun" w:hAnsi="SimSun" w:hint="eastAsia"/>
          <w:sz w:val="21"/>
        </w:rPr>
        <w:t xml:space="preserve"> </w:t>
      </w:r>
      <w:r w:rsidRPr="00DA5DF8">
        <w:rPr>
          <w:rFonts w:ascii="SimSun" w:hAnsi="SimSun"/>
          <w:sz w:val="21"/>
        </w:rPr>
        <w:t>Prov.2中所拟议的议程。</w:t>
      </w:r>
    </w:p>
    <w:p w:rsidR="0083418C" w:rsidRPr="00DA5DF8" w:rsidRDefault="0083418C"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4</w:t>
      </w:r>
      <w:r w:rsidR="00DA5DF8" w:rsidRPr="00DA5DF8">
        <w:rPr>
          <w:rFonts w:ascii="SimHei" w:eastAsia="SimHei" w:hAnsi="SimHei" w:hint="eastAsia"/>
          <w:b w:val="0"/>
          <w:sz w:val="21"/>
        </w:rPr>
        <w:t>项</w:t>
      </w:r>
      <w:r w:rsidR="00AE0A9F" w:rsidRPr="00DA5DF8">
        <w:rPr>
          <w:rFonts w:ascii="SimHei" w:eastAsia="SimHei" w:hAnsi="SimHei"/>
          <w:b w:val="0"/>
          <w:sz w:val="21"/>
        </w:rPr>
        <w:t>：就</w:t>
      </w:r>
      <w:r w:rsidR="00885B22" w:rsidRPr="00DA5DF8">
        <w:rPr>
          <w:rFonts w:ascii="SimHei" w:eastAsia="SimHei" w:hAnsi="SimHei" w:hint="eastAsia"/>
          <w:b w:val="0"/>
          <w:sz w:val="21"/>
        </w:rPr>
        <w:t>拟</w:t>
      </w:r>
      <w:r w:rsidR="00885B22" w:rsidRPr="00DA5DF8">
        <w:rPr>
          <w:rFonts w:ascii="SimHei" w:eastAsia="SimHei" w:hAnsi="SimHei"/>
          <w:b w:val="0"/>
          <w:sz w:val="21"/>
        </w:rPr>
        <w:t>指定菲律宾知识产权局</w:t>
      </w:r>
      <w:r w:rsidR="00DA5DF8" w:rsidRPr="00DA5DF8">
        <w:rPr>
          <w:rFonts w:ascii="SimHei" w:eastAsia="SimHei" w:hAnsi="SimHei" w:hint="eastAsia"/>
          <w:b w:val="0"/>
          <w:sz w:val="21"/>
        </w:rPr>
        <w:t>担任</w:t>
      </w:r>
      <w:r w:rsidRPr="00DA5DF8">
        <w:rPr>
          <w:rFonts w:ascii="SimHei" w:eastAsia="SimHei" w:hAnsi="SimHei"/>
          <w:b w:val="0"/>
          <w:sz w:val="21"/>
        </w:rPr>
        <w:t>PCT国际检索和初步审查单位向PCT联盟</w:t>
      </w:r>
      <w:r w:rsidR="00885B22" w:rsidRPr="00DA5DF8">
        <w:rPr>
          <w:rFonts w:ascii="SimHei" w:eastAsia="SimHei" w:hAnsi="SimHei"/>
          <w:b w:val="0"/>
          <w:sz w:val="21"/>
        </w:rPr>
        <w:t>大会</w:t>
      </w:r>
      <w:r w:rsidR="00885B22" w:rsidRPr="00DA5DF8">
        <w:rPr>
          <w:rFonts w:ascii="SimHei" w:eastAsia="SimHei" w:hAnsi="SimHei" w:hint="eastAsia"/>
          <w:b w:val="0"/>
          <w:sz w:val="21"/>
        </w:rPr>
        <w:t>提</w:t>
      </w:r>
      <w:r w:rsidR="00DA5DF8" w:rsidRPr="00DA5DF8">
        <w:rPr>
          <w:rFonts w:ascii="SimHei" w:eastAsia="SimHei" w:hAnsi="SimHei" w:hint="eastAsia"/>
          <w:b w:val="0"/>
          <w:sz w:val="21"/>
        </w:rPr>
        <w:t>供咨询意见</w:t>
      </w:r>
    </w:p>
    <w:p w:rsidR="0083418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讨论依据文件PCT/CTC/30/2 Rev.进行。</w:t>
      </w:r>
    </w:p>
    <w:p w:rsidR="00BB395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菲律宾代表团介绍了指定菲律宾知识产权局</w:t>
      </w:r>
      <w:r w:rsidR="00885B22" w:rsidRPr="00DA5DF8">
        <w:rPr>
          <w:rFonts w:ascii="SimSun" w:hAnsi="SimSun" w:hint="eastAsia"/>
          <w:sz w:val="21"/>
        </w:rPr>
        <w:t>（</w:t>
      </w:r>
      <w:r w:rsidRPr="00DA5DF8">
        <w:rPr>
          <w:rFonts w:ascii="SimSun" w:hAnsi="SimSun"/>
          <w:sz w:val="21"/>
        </w:rPr>
        <w:t>IPOPHL</w:t>
      </w:r>
      <w:r w:rsidR="00885B22" w:rsidRPr="00DA5DF8">
        <w:rPr>
          <w:rFonts w:ascii="SimSun" w:hAnsi="SimSun" w:hint="eastAsia"/>
          <w:sz w:val="21"/>
        </w:rPr>
        <w:t>）</w:t>
      </w:r>
      <w:r w:rsidRPr="00DA5DF8">
        <w:rPr>
          <w:rFonts w:ascii="SimSun" w:hAnsi="SimSun"/>
          <w:sz w:val="21"/>
        </w:rPr>
        <w:t>为PCT国际检索和初步审查单位的请</w:t>
      </w:r>
      <w:r w:rsidR="000035C3">
        <w:rPr>
          <w:rFonts w:ascii="SimSun" w:hAnsi="SimSun"/>
          <w:sz w:val="21"/>
        </w:rPr>
        <w:t>‍</w:t>
      </w:r>
      <w:r w:rsidRPr="00DA5DF8">
        <w:rPr>
          <w:rFonts w:ascii="SimSun" w:hAnsi="SimSun"/>
          <w:sz w:val="21"/>
        </w:rPr>
        <w:t>求。</w:t>
      </w:r>
    </w:p>
    <w:p w:rsidR="0083418C" w:rsidRDefault="00BB395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lastRenderedPageBreak/>
        <w:t>澳大利亚</w:t>
      </w:r>
      <w:r w:rsidR="00EC3AE1" w:rsidRPr="00DA5DF8">
        <w:rPr>
          <w:rFonts w:ascii="SimSun" w:hAnsi="SimSun"/>
          <w:sz w:val="21"/>
        </w:rPr>
        <w:t>代表团</w:t>
      </w:r>
      <w:r w:rsidRPr="00DA5DF8">
        <w:rPr>
          <w:rFonts w:ascii="SimSun" w:hAnsi="SimSun"/>
          <w:sz w:val="21"/>
        </w:rPr>
        <w:t>和日本代表团分别介绍了澳大利亚知识产权局和日本特许厅的评估报告，</w:t>
      </w:r>
      <w:r w:rsidR="00EC3AE1">
        <w:rPr>
          <w:rFonts w:ascii="SimSun" w:hAnsi="SimSun" w:hint="eastAsia"/>
          <w:sz w:val="21"/>
        </w:rPr>
        <w:t>这些</w:t>
      </w:r>
      <w:r w:rsidR="004046CA" w:rsidRPr="00DA5DF8">
        <w:rPr>
          <w:rFonts w:ascii="SimSun" w:hAnsi="SimSun" w:hint="eastAsia"/>
          <w:sz w:val="21"/>
        </w:rPr>
        <w:t>报告</w:t>
      </w:r>
      <w:r w:rsidRPr="00DA5DF8">
        <w:rPr>
          <w:rFonts w:ascii="SimSun" w:hAnsi="SimSun"/>
          <w:sz w:val="21"/>
        </w:rPr>
        <w:t>载于文件PCT/CTC/30/2附件的附录</w:t>
      </w:r>
      <w:r w:rsidR="00EC3AE1">
        <w:rPr>
          <w:rFonts w:ascii="SimSun" w:hAnsi="SimSun" w:hint="eastAsia"/>
          <w:sz w:val="21"/>
        </w:rPr>
        <w:t>二</w:t>
      </w:r>
      <w:r w:rsidRPr="00DA5DF8">
        <w:rPr>
          <w:rFonts w:ascii="SimSun" w:hAnsi="SimSun"/>
          <w:sz w:val="21"/>
        </w:rPr>
        <w:t>和</w:t>
      </w:r>
      <w:r w:rsidR="00EC3AE1">
        <w:rPr>
          <w:rFonts w:ascii="SimSun" w:hAnsi="SimSun" w:hint="eastAsia"/>
          <w:sz w:val="21"/>
        </w:rPr>
        <w:t>三</w:t>
      </w:r>
      <w:r w:rsidR="004046CA" w:rsidRPr="00DA5DF8">
        <w:rPr>
          <w:rFonts w:ascii="SimSun" w:hAnsi="SimSun"/>
          <w:sz w:val="21"/>
        </w:rPr>
        <w:t>，</w:t>
      </w:r>
      <w:r w:rsidR="00A43F27" w:rsidRPr="00DA5DF8">
        <w:rPr>
          <w:rFonts w:ascii="SimSun" w:hAnsi="SimSun" w:hint="eastAsia"/>
          <w:sz w:val="21"/>
        </w:rPr>
        <w:t>是</w:t>
      </w:r>
      <w:r w:rsidR="004046CA" w:rsidRPr="00DA5DF8">
        <w:rPr>
          <w:rFonts w:ascii="SimSun" w:hAnsi="SimSun" w:hint="eastAsia"/>
          <w:sz w:val="21"/>
        </w:rPr>
        <w:t>依据</w:t>
      </w:r>
      <w:r w:rsidRPr="00DA5DF8">
        <w:rPr>
          <w:rFonts w:ascii="SimSun" w:hAnsi="SimSun"/>
          <w:sz w:val="21"/>
        </w:rPr>
        <w:t>2014年PCT大会通过的谅解中的建议，</w:t>
      </w:r>
      <w:r w:rsidR="004046CA" w:rsidRPr="00DA5DF8">
        <w:rPr>
          <w:rFonts w:ascii="SimSun" w:hAnsi="SimSun" w:hint="eastAsia"/>
          <w:sz w:val="21"/>
        </w:rPr>
        <w:t>“</w:t>
      </w:r>
      <w:r w:rsidRPr="00DA5DF8">
        <w:rPr>
          <w:rFonts w:ascii="SimSun" w:hAnsi="SimSun"/>
          <w:sz w:val="21"/>
        </w:rPr>
        <w:t>获得一个或多个现有国际单位的协助，以在提交申请前帮助评估其满足标准的程度</w:t>
      </w:r>
      <w:r w:rsidR="004046CA" w:rsidRPr="00DA5DF8">
        <w:rPr>
          <w:rFonts w:ascii="SimSun" w:hAnsi="SimSun" w:hint="eastAsia"/>
          <w:sz w:val="21"/>
        </w:rPr>
        <w:t>”</w:t>
      </w:r>
      <w:r w:rsidR="002164F6" w:rsidRPr="00DA5DF8">
        <w:rPr>
          <w:rFonts w:ascii="SimSun" w:hAnsi="SimSun" w:hint="eastAsia"/>
          <w:sz w:val="21"/>
        </w:rPr>
        <w:t>撰写</w:t>
      </w:r>
      <w:r w:rsidR="00A43F27" w:rsidRPr="00DA5DF8">
        <w:rPr>
          <w:rFonts w:ascii="SimSun" w:hAnsi="SimSun" w:hint="eastAsia"/>
          <w:sz w:val="21"/>
        </w:rPr>
        <w:t>的</w:t>
      </w:r>
      <w:r w:rsidRPr="00DA5DF8">
        <w:rPr>
          <w:rFonts w:ascii="SimSun" w:hAnsi="SimSun"/>
          <w:sz w:val="21"/>
        </w:rPr>
        <w:t>。</w:t>
      </w:r>
    </w:p>
    <w:p w:rsidR="00C67BC3" w:rsidRPr="000035C3" w:rsidRDefault="00C67BC3" w:rsidP="000035C3">
      <w:pPr>
        <w:pStyle w:val="ONUME"/>
        <w:tabs>
          <w:tab w:val="clear" w:pos="567"/>
        </w:tabs>
        <w:overflowPunct w:val="0"/>
        <w:spacing w:afterLines="50" w:after="120" w:line="340" w:lineRule="atLeast"/>
        <w:jc w:val="both"/>
        <w:rPr>
          <w:rFonts w:ascii="SimSun" w:hAnsi="SimSun"/>
          <w:sz w:val="21"/>
        </w:rPr>
      </w:pPr>
      <w:r w:rsidRPr="000035C3">
        <w:rPr>
          <w:rFonts w:ascii="SimSun" w:hAnsi="SimSun" w:hint="eastAsia"/>
          <w:sz w:val="21"/>
        </w:rPr>
        <w:t>欧洲专利局（欧专局）代表团确认，欧专局已就</w:t>
      </w:r>
      <w:r w:rsidRPr="000035C3">
        <w:rPr>
          <w:rFonts w:ascii="SimSun" w:hAnsi="SimSun"/>
          <w:sz w:val="21"/>
        </w:rPr>
        <w:t>IPOPHL</w:t>
      </w:r>
      <w:r w:rsidRPr="000035C3">
        <w:rPr>
          <w:rFonts w:ascii="SimSun" w:hAnsi="SimSun" w:hint="eastAsia"/>
          <w:sz w:val="21"/>
        </w:rPr>
        <w:t>取得</w:t>
      </w:r>
      <w:proofErr w:type="spellStart"/>
      <w:r w:rsidRPr="00C67BC3">
        <w:rPr>
          <w:rFonts w:ascii="SimSun" w:hAnsi="SimSun"/>
          <w:sz w:val="21"/>
        </w:rPr>
        <w:t>EPOQUENet</w:t>
      </w:r>
      <w:proofErr w:type="spellEnd"/>
      <w:r>
        <w:rPr>
          <w:rFonts w:ascii="SimSun" w:hAnsi="SimSun" w:hint="eastAsia"/>
          <w:sz w:val="21"/>
        </w:rPr>
        <w:t>访问权与该局进行了讨论。对</w:t>
      </w:r>
      <w:proofErr w:type="spellStart"/>
      <w:r w:rsidRPr="000035C3">
        <w:rPr>
          <w:rFonts w:ascii="SimSun" w:hAnsi="SimSun"/>
          <w:sz w:val="21"/>
        </w:rPr>
        <w:t>EPOQUENet</w:t>
      </w:r>
      <w:proofErr w:type="spellEnd"/>
      <w:r w:rsidRPr="000035C3">
        <w:rPr>
          <w:rFonts w:ascii="SimSun" w:hAnsi="SimSun" w:hint="eastAsia"/>
          <w:sz w:val="21"/>
        </w:rPr>
        <w:t>的访问权已于2017年5月3日授予，今后几</w:t>
      </w:r>
      <w:r w:rsidR="000035C3">
        <w:rPr>
          <w:rFonts w:ascii="SimSun" w:hAnsi="SimSun" w:hint="eastAsia"/>
          <w:sz w:val="21"/>
        </w:rPr>
        <w:t>个</w:t>
      </w:r>
      <w:r w:rsidRPr="000035C3">
        <w:rPr>
          <w:rFonts w:ascii="SimSun" w:hAnsi="SimSun" w:hint="eastAsia"/>
          <w:sz w:val="21"/>
        </w:rPr>
        <w:t>月将进行培训。代表团还澄清，它已同意在今后几个月内实施一项专利审查高速路（PPH）协议。</w:t>
      </w:r>
    </w:p>
    <w:p w:rsidR="0083418C" w:rsidRPr="00DA5DF8" w:rsidRDefault="0083418C"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委员会一致同意向PCT联盟大会建议指定菲律宾知识产权局为PCT国际检索和初步审查单</w:t>
      </w:r>
      <w:r w:rsidR="000035C3">
        <w:rPr>
          <w:rFonts w:ascii="SimSun" w:hAnsi="SimSun"/>
          <w:sz w:val="21"/>
        </w:rPr>
        <w:t>‍</w:t>
      </w:r>
      <w:r w:rsidRPr="00DA5DF8">
        <w:rPr>
          <w:rFonts w:ascii="SimSun" w:hAnsi="SimSun"/>
          <w:sz w:val="21"/>
        </w:rPr>
        <w:t>位。</w:t>
      </w:r>
    </w:p>
    <w:p w:rsidR="00BC09D8" w:rsidRPr="00DA5DF8" w:rsidRDefault="00BC09D8"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5</w:t>
      </w:r>
      <w:r w:rsidR="00DA5DF8" w:rsidRPr="00DA5DF8">
        <w:rPr>
          <w:rFonts w:ascii="SimHei" w:eastAsia="SimHei" w:hAnsi="SimHei" w:hint="eastAsia"/>
          <w:b w:val="0"/>
          <w:sz w:val="21"/>
        </w:rPr>
        <w:t>项</w:t>
      </w:r>
      <w:r w:rsidR="00E80A9D" w:rsidRPr="00DA5DF8">
        <w:rPr>
          <w:rFonts w:ascii="SimHei" w:eastAsia="SimHei" w:hAnsi="SimHei"/>
          <w:b w:val="0"/>
          <w:sz w:val="21"/>
        </w:rPr>
        <w:t>：</w:t>
      </w:r>
      <w:r w:rsidR="00DA5DF8" w:rsidRPr="00DA5DF8">
        <w:rPr>
          <w:rFonts w:ascii="SimHei" w:eastAsia="SimHei" w:hAnsi="SimHei" w:hint="eastAsia"/>
          <w:b w:val="0"/>
          <w:sz w:val="21"/>
        </w:rPr>
        <w:t>就拟延长PCT国际检索和初步审查单位的指定向PCT联盟大会提出意见</w:t>
      </w:r>
    </w:p>
    <w:p w:rsidR="00BC09D8" w:rsidRPr="00DA5DF8" w:rsidRDefault="00BC09D8"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讨论依据文件PCT/CTC/30/3至24进行。</w:t>
      </w:r>
    </w:p>
    <w:p w:rsidR="00BC09D8" w:rsidRPr="00DA5DF8" w:rsidRDefault="00BC09D8"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委员会一致同意向PCT联盟大会建议</w:t>
      </w:r>
      <w:r w:rsidR="00C23B09" w:rsidRPr="00DA5DF8">
        <w:rPr>
          <w:rFonts w:ascii="SimSun" w:hAnsi="SimSun" w:hint="eastAsia"/>
          <w:sz w:val="21"/>
        </w:rPr>
        <w:t>，</w:t>
      </w:r>
      <w:r w:rsidRPr="00DA5DF8">
        <w:rPr>
          <w:rFonts w:ascii="SimSun" w:hAnsi="SimSun"/>
          <w:sz w:val="21"/>
        </w:rPr>
        <w:t>延长对目前所有国家主管局和政府间组织作为PCT</w:t>
      </w:r>
      <w:r w:rsidR="002164F6" w:rsidRPr="00DA5DF8">
        <w:rPr>
          <w:rFonts w:ascii="SimSun" w:hAnsi="SimSun"/>
          <w:sz w:val="21"/>
        </w:rPr>
        <w:t>国际检索</w:t>
      </w:r>
      <w:r w:rsidRPr="00DA5DF8">
        <w:rPr>
          <w:rFonts w:ascii="SimSun" w:hAnsi="SimSun"/>
          <w:sz w:val="21"/>
        </w:rPr>
        <w:t>和初步审查单位的指定。</w:t>
      </w:r>
    </w:p>
    <w:p w:rsidR="00633AFE" w:rsidRPr="00DA5DF8" w:rsidRDefault="00C23B09"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6</w:t>
      </w:r>
      <w:r w:rsidR="00DA5DF8" w:rsidRPr="00DA5DF8">
        <w:rPr>
          <w:rFonts w:ascii="SimHei" w:eastAsia="SimHei" w:hAnsi="SimHei" w:hint="eastAsia"/>
          <w:b w:val="0"/>
          <w:sz w:val="21"/>
        </w:rPr>
        <w:t>项</w:t>
      </w:r>
      <w:r w:rsidR="00347E84" w:rsidRPr="00DA5DF8">
        <w:rPr>
          <w:rFonts w:ascii="SimHei" w:eastAsia="SimHei" w:hAnsi="SimHei"/>
          <w:b w:val="0"/>
          <w:sz w:val="21"/>
        </w:rPr>
        <w:t>：</w:t>
      </w:r>
      <w:r w:rsidR="00DA5DF8" w:rsidRPr="00DA5DF8">
        <w:rPr>
          <w:rFonts w:ascii="SimHei" w:eastAsia="SimHei" w:hAnsi="SimHei" w:hint="eastAsia"/>
          <w:b w:val="0"/>
          <w:sz w:val="21"/>
        </w:rPr>
        <w:t>主管局和国际局关于主管</w:t>
      </w:r>
      <w:proofErr w:type="gramStart"/>
      <w:r w:rsidR="00DA5DF8" w:rsidRPr="00DA5DF8">
        <w:rPr>
          <w:rFonts w:ascii="SimHei" w:eastAsia="SimHei" w:hAnsi="SimHei" w:hint="eastAsia"/>
          <w:b w:val="0"/>
          <w:sz w:val="21"/>
        </w:rPr>
        <w:t>局担任</w:t>
      </w:r>
      <w:proofErr w:type="gramEnd"/>
      <w:r w:rsidR="00DA5DF8" w:rsidRPr="00DA5DF8">
        <w:rPr>
          <w:rFonts w:ascii="SimHei" w:eastAsia="SimHei" w:hAnsi="SimHei" w:hint="eastAsia"/>
          <w:b w:val="0"/>
          <w:sz w:val="21"/>
        </w:rPr>
        <w:t>国际检索和初步审查单位的协议范本</w:t>
      </w:r>
    </w:p>
    <w:p w:rsidR="00633AFE" w:rsidRPr="00DA5DF8" w:rsidRDefault="00633AFE"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讨论依据文件PCT/CTC/30/25进行。</w:t>
      </w:r>
    </w:p>
    <w:p w:rsidR="00633AFE" w:rsidRPr="00DA5DF8" w:rsidRDefault="00633AFE"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委员会批准了载于文件PCT/CTC/30/25</w:t>
      </w:r>
      <w:r w:rsidR="00C97F54" w:rsidRPr="00DA5DF8">
        <w:rPr>
          <w:rFonts w:ascii="SimSun" w:hAnsi="SimSun"/>
          <w:sz w:val="21"/>
        </w:rPr>
        <w:t>附件的</w:t>
      </w:r>
      <w:r w:rsidR="0015752D" w:rsidRPr="00DA5DF8">
        <w:rPr>
          <w:rFonts w:ascii="SimSun" w:hAnsi="SimSun"/>
          <w:sz w:val="21"/>
        </w:rPr>
        <w:t>协议</w:t>
      </w:r>
      <w:r w:rsidR="00C97F54" w:rsidRPr="00DA5DF8">
        <w:rPr>
          <w:rFonts w:ascii="SimSun" w:hAnsi="SimSun" w:hint="eastAsia"/>
          <w:sz w:val="21"/>
        </w:rPr>
        <w:t>范本</w:t>
      </w:r>
      <w:r w:rsidR="002164F6" w:rsidRPr="00DA5DF8">
        <w:rPr>
          <w:rFonts w:ascii="SimSun" w:hAnsi="SimSun"/>
          <w:sz w:val="21"/>
        </w:rPr>
        <w:t>修订草案，</w:t>
      </w:r>
      <w:r w:rsidR="00C97F54" w:rsidRPr="00DA5DF8">
        <w:rPr>
          <w:rFonts w:ascii="SimSun" w:hAnsi="SimSun" w:hint="eastAsia"/>
          <w:sz w:val="21"/>
        </w:rPr>
        <w:t>该范本</w:t>
      </w:r>
      <w:r w:rsidR="007505EF" w:rsidRPr="00DA5DF8">
        <w:rPr>
          <w:rFonts w:ascii="SimSun" w:hAnsi="SimSun" w:hint="eastAsia"/>
          <w:sz w:val="21"/>
        </w:rPr>
        <w:t>将</w:t>
      </w:r>
      <w:r w:rsidRPr="00DA5DF8">
        <w:rPr>
          <w:rFonts w:ascii="SimSun" w:hAnsi="SimSun"/>
          <w:sz w:val="21"/>
        </w:rPr>
        <w:t>被用作依据第16条第(3)款和第32条第(3)</w:t>
      </w:r>
      <w:r w:rsidR="00EC3AE1" w:rsidRPr="00DA5DF8">
        <w:rPr>
          <w:rFonts w:ascii="SimSun" w:hAnsi="SimSun"/>
          <w:sz w:val="21"/>
        </w:rPr>
        <w:t>款</w:t>
      </w:r>
      <w:r w:rsidR="002164F6" w:rsidRPr="00DA5DF8">
        <w:rPr>
          <w:rFonts w:ascii="SimSun" w:hAnsi="SimSun" w:hint="eastAsia"/>
          <w:sz w:val="21"/>
        </w:rPr>
        <w:t>编写</w:t>
      </w:r>
      <w:r w:rsidR="00C97F54" w:rsidRPr="00DA5DF8">
        <w:rPr>
          <w:rFonts w:ascii="SimSun" w:hAnsi="SimSun"/>
          <w:sz w:val="21"/>
        </w:rPr>
        <w:t>有关主管局或组织</w:t>
      </w:r>
      <w:r w:rsidR="00C97F54" w:rsidRPr="00DA5DF8">
        <w:rPr>
          <w:rFonts w:ascii="SimSun" w:hAnsi="SimSun" w:hint="eastAsia"/>
          <w:sz w:val="21"/>
        </w:rPr>
        <w:t>担任</w:t>
      </w:r>
      <w:r w:rsidR="002164F6" w:rsidRPr="00DA5DF8">
        <w:rPr>
          <w:rFonts w:ascii="SimSun" w:hAnsi="SimSun"/>
          <w:sz w:val="21"/>
        </w:rPr>
        <w:t>国际检索</w:t>
      </w:r>
      <w:r w:rsidR="002164F6" w:rsidRPr="00DA5DF8">
        <w:rPr>
          <w:rFonts w:ascii="SimSun" w:hAnsi="SimSun" w:hint="eastAsia"/>
          <w:sz w:val="21"/>
        </w:rPr>
        <w:t>单位</w:t>
      </w:r>
      <w:r w:rsidRPr="00DA5DF8">
        <w:rPr>
          <w:rFonts w:ascii="SimSun" w:hAnsi="SimSun"/>
          <w:sz w:val="21"/>
        </w:rPr>
        <w:t>和国际初步审查单位</w:t>
      </w:r>
      <w:r w:rsidR="002164F6" w:rsidRPr="00DA5DF8">
        <w:rPr>
          <w:rFonts w:ascii="SimSun" w:hAnsi="SimSun" w:hint="eastAsia"/>
          <w:sz w:val="21"/>
        </w:rPr>
        <w:t>的</w:t>
      </w:r>
      <w:r w:rsidR="00C97F54" w:rsidRPr="00DA5DF8">
        <w:rPr>
          <w:rFonts w:ascii="SimSun" w:hAnsi="SimSun" w:hint="eastAsia"/>
          <w:sz w:val="21"/>
        </w:rPr>
        <w:t>单独</w:t>
      </w:r>
      <w:r w:rsidR="002164F6" w:rsidRPr="00DA5DF8">
        <w:rPr>
          <w:rFonts w:ascii="SimSun" w:hAnsi="SimSun" w:hint="eastAsia"/>
          <w:sz w:val="21"/>
        </w:rPr>
        <w:t>协议</w:t>
      </w:r>
      <w:r w:rsidR="007505EF" w:rsidRPr="00DA5DF8">
        <w:rPr>
          <w:rFonts w:ascii="SimSun" w:hAnsi="SimSun" w:hint="eastAsia"/>
          <w:sz w:val="21"/>
        </w:rPr>
        <w:t>的基础，于2018年1月1日生效。</w:t>
      </w:r>
    </w:p>
    <w:p w:rsidR="00347E84" w:rsidRPr="00DA5DF8" w:rsidRDefault="00347E84"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议程第7项：主席总结</w:t>
      </w:r>
    </w:p>
    <w:p w:rsidR="00347E84" w:rsidRPr="00DA5DF8" w:rsidRDefault="00347E84"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委员会注意到，</w:t>
      </w:r>
      <w:proofErr w:type="gramStart"/>
      <w:r w:rsidRPr="00DA5DF8">
        <w:rPr>
          <w:rFonts w:ascii="SimSun" w:hAnsi="SimSun"/>
          <w:sz w:val="21"/>
        </w:rPr>
        <w:t>本总结</w:t>
      </w:r>
      <w:proofErr w:type="gramEnd"/>
      <w:r w:rsidRPr="00DA5DF8">
        <w:rPr>
          <w:rFonts w:ascii="SimSun" w:hAnsi="SimSun"/>
          <w:sz w:val="21"/>
        </w:rPr>
        <w:t>是在主席的职责下撰写的，并同意向PCT联盟大会提供该总结，作为议程</w:t>
      </w:r>
      <w:r w:rsidR="00EC3AE1">
        <w:rPr>
          <w:rFonts w:ascii="SimSun" w:hAnsi="SimSun" w:hint="eastAsia"/>
          <w:sz w:val="21"/>
        </w:rPr>
        <w:t>第</w:t>
      </w:r>
      <w:r w:rsidRPr="00DA5DF8">
        <w:rPr>
          <w:rFonts w:ascii="SimSun" w:hAnsi="SimSun"/>
          <w:sz w:val="21"/>
        </w:rPr>
        <w:t>4</w:t>
      </w:r>
      <w:r w:rsidR="00EC3AE1">
        <w:rPr>
          <w:rFonts w:ascii="SimSun" w:hAnsi="SimSun" w:hint="eastAsia"/>
          <w:sz w:val="21"/>
        </w:rPr>
        <w:t>项</w:t>
      </w:r>
      <w:r w:rsidRPr="00DA5DF8">
        <w:rPr>
          <w:rFonts w:ascii="SimSun" w:hAnsi="SimSun"/>
          <w:sz w:val="21"/>
        </w:rPr>
        <w:t>和</w:t>
      </w:r>
      <w:r w:rsidR="00EC3AE1">
        <w:rPr>
          <w:rFonts w:ascii="SimSun" w:hAnsi="SimSun" w:hint="eastAsia"/>
          <w:sz w:val="21"/>
        </w:rPr>
        <w:t>第</w:t>
      </w:r>
      <w:r w:rsidRPr="00DA5DF8">
        <w:rPr>
          <w:rFonts w:ascii="SimSun" w:hAnsi="SimSun"/>
          <w:sz w:val="21"/>
        </w:rPr>
        <w:t>5</w:t>
      </w:r>
      <w:r w:rsidR="00EC3AE1">
        <w:rPr>
          <w:rFonts w:ascii="SimSun" w:hAnsi="SimSun" w:hint="eastAsia"/>
          <w:sz w:val="21"/>
        </w:rPr>
        <w:t>项</w:t>
      </w:r>
      <w:r w:rsidR="00FB3F05" w:rsidRPr="00DA5DF8">
        <w:rPr>
          <w:rFonts w:ascii="SimSun" w:hAnsi="SimSun"/>
          <w:sz w:val="21"/>
        </w:rPr>
        <w:t>下所提</w:t>
      </w:r>
      <w:r w:rsidR="00EC3AE1">
        <w:rPr>
          <w:rFonts w:ascii="SimSun" w:hAnsi="SimSun" w:hint="eastAsia"/>
          <w:sz w:val="21"/>
        </w:rPr>
        <w:t>意见</w:t>
      </w:r>
      <w:r w:rsidRPr="00DA5DF8">
        <w:rPr>
          <w:rFonts w:ascii="SimSun" w:hAnsi="SimSun"/>
          <w:sz w:val="21"/>
        </w:rPr>
        <w:t>的记录。</w:t>
      </w:r>
    </w:p>
    <w:p w:rsidR="00347E84" w:rsidRPr="00DA5DF8" w:rsidRDefault="00347E84"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议程第8项：会议闭幕</w:t>
      </w:r>
    </w:p>
    <w:p w:rsidR="00347E84" w:rsidRPr="00DA5DF8" w:rsidRDefault="00347E84"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主席于2017年5月11日宣布会议闭幕。</w:t>
      </w:r>
    </w:p>
    <w:p w:rsidR="00EC3AE1" w:rsidRDefault="00EC3AE1" w:rsidP="00EC3AE1">
      <w:pPr>
        <w:pStyle w:val="Endofdocument-Annex"/>
        <w:overflowPunct w:val="0"/>
        <w:spacing w:afterLines="50" w:after="120" w:line="340" w:lineRule="atLeast"/>
        <w:rPr>
          <w:rFonts w:ascii="KaiTi" w:eastAsia="KaiTi" w:hAnsi="KaiTi"/>
          <w:sz w:val="21"/>
        </w:rPr>
      </w:pPr>
    </w:p>
    <w:p w:rsidR="00347E84" w:rsidRPr="00EC3AE1" w:rsidRDefault="00347E84" w:rsidP="00EC3AE1">
      <w:pPr>
        <w:pStyle w:val="Endofdocument-Annex"/>
        <w:overflowPunct w:val="0"/>
        <w:spacing w:afterLines="50" w:after="120" w:line="340" w:lineRule="atLeast"/>
        <w:rPr>
          <w:rFonts w:ascii="KaiTi" w:eastAsia="KaiTi" w:hAnsi="KaiTi"/>
          <w:sz w:val="21"/>
        </w:rPr>
      </w:pPr>
      <w:r w:rsidRPr="00EC3AE1">
        <w:rPr>
          <w:rFonts w:ascii="KaiTi" w:eastAsia="KaiTi" w:hAnsi="KaiTi"/>
          <w:sz w:val="21"/>
        </w:rPr>
        <w:t>[文件完]</w:t>
      </w:r>
    </w:p>
    <w:sectPr w:rsidR="00347E84" w:rsidRPr="00EC3AE1" w:rsidSect="00295AEC">
      <w:headerReference w:type="default" r:id="rId26"/>
      <w:head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05" w:rsidRDefault="00DC2705">
      <w:r>
        <w:separator/>
      </w:r>
    </w:p>
  </w:endnote>
  <w:endnote w:type="continuationSeparator" w:id="0">
    <w:p w:rsidR="00DC2705" w:rsidRDefault="00DC2705" w:rsidP="003B38C1">
      <w:r>
        <w:separator/>
      </w:r>
    </w:p>
    <w:p w:rsidR="00DC2705" w:rsidRPr="003B38C1" w:rsidRDefault="00DC2705" w:rsidP="003B38C1">
      <w:pPr>
        <w:spacing w:after="60"/>
        <w:rPr>
          <w:sz w:val="17"/>
        </w:rPr>
      </w:pPr>
      <w:r>
        <w:rPr>
          <w:sz w:val="17"/>
        </w:rPr>
        <w:t xml:space="preserve">C   </w:t>
      </w:r>
      <w:r>
        <w:rPr>
          <w:sz w:val="17"/>
        </w:rPr>
        <w:t>原</w:t>
      </w:r>
      <w:r>
        <w:rPr>
          <w:sz w:val="17"/>
        </w:rPr>
        <w:t xml:space="preserve"> </w:t>
      </w:r>
      <w:r>
        <w:rPr>
          <w:sz w:val="17"/>
        </w:rPr>
        <w:t>文：英文</w:t>
      </w:r>
    </w:p>
  </w:endnote>
  <w:endnote w:type="continuationNotice" w:id="1">
    <w:p w:rsidR="00DC2705" w:rsidRPr="003B38C1" w:rsidRDefault="00DC2705" w:rsidP="003B38C1">
      <w:pPr>
        <w:spacing w:before="60"/>
        <w:jc w:val="right"/>
        <w:rPr>
          <w:sz w:val="17"/>
          <w:szCs w:val="17"/>
        </w:rPr>
      </w:pPr>
      <w:r w:rsidRPr="003B38C1">
        <w:rPr>
          <w:sz w:val="17"/>
          <w:szCs w:val="17"/>
        </w:rPr>
        <w:t>[</w:t>
      </w:r>
      <w:r w:rsidRPr="003B38C1">
        <w:rPr>
          <w:sz w:val="17"/>
          <w:szCs w:val="17"/>
        </w:rPr>
        <w:t>后接附件</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05" w:rsidRDefault="00DC2705">
      <w:r>
        <w:separator/>
      </w:r>
    </w:p>
  </w:footnote>
  <w:footnote w:type="continuationSeparator" w:id="0">
    <w:p w:rsidR="00DC2705" w:rsidRDefault="00DC2705" w:rsidP="008B60B2">
      <w:r>
        <w:separator/>
      </w:r>
    </w:p>
    <w:p w:rsidR="00DC2705" w:rsidRPr="00ED77FB" w:rsidRDefault="00DC2705" w:rsidP="008B60B2">
      <w:pPr>
        <w:spacing w:after="60"/>
        <w:rPr>
          <w:sz w:val="17"/>
          <w:szCs w:val="17"/>
        </w:rPr>
      </w:pPr>
      <w:r w:rsidRPr="00ED77FB">
        <w:rPr>
          <w:sz w:val="17"/>
          <w:szCs w:val="17"/>
        </w:rPr>
        <w:t xml:space="preserve">***  </w:t>
      </w:r>
      <w:r w:rsidRPr="00ED77FB">
        <w:rPr>
          <w:sz w:val="17"/>
          <w:szCs w:val="17"/>
        </w:rPr>
        <w:t>即续展基本费的</w:t>
      </w:r>
      <w:r w:rsidRPr="00ED77FB">
        <w:rPr>
          <w:sz w:val="17"/>
          <w:szCs w:val="17"/>
        </w:rPr>
        <w:t>50%</w:t>
      </w:r>
      <w:r w:rsidRPr="00ED77FB">
        <w:rPr>
          <w:sz w:val="17"/>
          <w:szCs w:val="17"/>
        </w:rPr>
        <w:t>。</w:t>
      </w:r>
    </w:p>
  </w:footnote>
  <w:footnote w:type="continuationNotice" w:id="1">
    <w:p w:rsidR="00DC2705" w:rsidRPr="00ED77FB" w:rsidRDefault="00DC27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4F55B9" w:rsidRDefault="00DC2705" w:rsidP="00477D6B">
    <w:pPr>
      <w:jc w:val="right"/>
      <w:rPr>
        <w:rFonts w:ascii="SimSun" w:hAnsi="SimSun"/>
        <w:sz w:val="21"/>
      </w:rPr>
    </w:pPr>
    <w:r w:rsidRPr="004F55B9">
      <w:rPr>
        <w:rFonts w:ascii="SimSun" w:hAnsi="SimSun"/>
        <w:sz w:val="21"/>
      </w:rPr>
      <w:t>PCT/A/49/3</w:t>
    </w:r>
  </w:p>
  <w:p w:rsidR="00DC2705" w:rsidRDefault="00DC2705" w:rsidP="006C3627">
    <w:pPr>
      <w:jc w:val="right"/>
      <w:rPr>
        <w:rFonts w:ascii="SimSun" w:hAnsi="SimSun"/>
        <w:sz w:val="21"/>
      </w:rPr>
    </w:pPr>
    <w:r>
      <w:rPr>
        <w:rFonts w:ascii="SimSun" w:hAnsi="SimSun" w:hint="eastAsia"/>
        <w:sz w:val="21"/>
      </w:rPr>
      <w:t>第</w:t>
    </w:r>
    <w:r w:rsidRPr="004F55B9">
      <w:rPr>
        <w:rFonts w:ascii="SimSun" w:hAnsi="SimSun"/>
        <w:sz w:val="21"/>
      </w:rPr>
      <w:fldChar w:fldCharType="begin"/>
    </w:r>
    <w:r w:rsidRPr="004F55B9">
      <w:rPr>
        <w:rFonts w:ascii="SimSun" w:hAnsi="SimSun"/>
        <w:sz w:val="21"/>
      </w:rPr>
      <w:instrText xml:space="preserve"> PAGE  \* MERGEFORMAT </w:instrText>
    </w:r>
    <w:r w:rsidRPr="004F55B9">
      <w:rPr>
        <w:rFonts w:ascii="SimSun" w:hAnsi="SimSun"/>
        <w:sz w:val="21"/>
      </w:rPr>
      <w:fldChar w:fldCharType="separate"/>
    </w:r>
    <w:r w:rsidR="00AD20F9">
      <w:rPr>
        <w:rFonts w:ascii="SimSun" w:hAnsi="SimSun"/>
        <w:noProof/>
        <w:sz w:val="21"/>
      </w:rPr>
      <w:t>2</w:t>
    </w:r>
    <w:r w:rsidRPr="004F55B9">
      <w:rPr>
        <w:rFonts w:ascii="SimSun" w:hAnsi="SimSun"/>
        <w:sz w:val="21"/>
      </w:rPr>
      <w:fldChar w:fldCharType="end"/>
    </w:r>
    <w:r>
      <w:rPr>
        <w:rFonts w:ascii="SimSun" w:hAnsi="SimSun" w:hint="eastAsia"/>
        <w:sz w:val="21"/>
      </w:rPr>
      <w:t>页</w:t>
    </w:r>
  </w:p>
  <w:p w:rsidR="00DC2705" w:rsidRPr="004F55B9" w:rsidRDefault="00DC2705" w:rsidP="006C3627">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rPr>
    </w:pPr>
    <w:r w:rsidRPr="00941C46">
      <w:rPr>
        <w:rFonts w:ascii="SimSun" w:hAnsi="SimSun" w:cs="SimSun"/>
        <w:sz w:val="21"/>
      </w:rPr>
      <w:t>PCT/CTC/</w:t>
    </w:r>
    <w:r w:rsidRPr="00941C46">
      <w:rPr>
        <w:rFonts w:ascii="SimSun" w:hAnsi="SimSun" w:cs="SimSun" w:hint="eastAsia"/>
        <w:sz w:val="21"/>
      </w:rPr>
      <w:t>30</w:t>
    </w:r>
    <w:r w:rsidRPr="00941C46">
      <w:rPr>
        <w:rFonts w:ascii="SimSun" w:hAnsi="SimSun" w:cs="SimSun"/>
        <w:sz w:val="21"/>
      </w:rPr>
      <w:t>/2</w:t>
    </w:r>
    <w:r w:rsidRPr="00941C46">
      <w:rPr>
        <w:rFonts w:ascii="SimSun" w:hAnsi="SimSun" w:cs="SimSun" w:hint="eastAsia"/>
        <w:sz w:val="21"/>
      </w:rPr>
      <w:t xml:space="preserve"> Rev.</w:t>
    </w:r>
  </w:p>
  <w:p w:rsidR="00DC2705" w:rsidRPr="00941C46" w:rsidRDefault="00DC2705" w:rsidP="006C3627">
    <w:pPr>
      <w:wordWrap w:val="0"/>
      <w:jc w:val="right"/>
      <w:rPr>
        <w:rFonts w:ascii="SimSun" w:hAnsi="SimSun" w:cs="SimSun"/>
        <w:sz w:val="21"/>
        <w:lang w:val="fr-FR"/>
      </w:rPr>
    </w:pPr>
    <w:r w:rsidRPr="00941C46">
      <w:rPr>
        <w:rFonts w:ascii="SimSun" w:hAnsi="SimSun" w:cs="SimSun" w:hint="eastAsia"/>
        <w:sz w:val="21"/>
        <w:lang w:val="fr-FR"/>
      </w:rPr>
      <w:t>附件第</w:t>
    </w:r>
    <w:r w:rsidRPr="00941C46">
      <w:rPr>
        <w:rFonts w:ascii="SimSun" w:hAnsi="SimSun" w:cs="SimSun"/>
        <w:sz w:val="21"/>
        <w:lang w:val="fr-FR"/>
      </w:rPr>
      <w:fldChar w:fldCharType="begin"/>
    </w:r>
    <w:r w:rsidRPr="00941C46">
      <w:rPr>
        <w:rFonts w:ascii="SimSun" w:hAnsi="SimSun" w:cs="SimSun"/>
        <w:sz w:val="21"/>
        <w:lang w:val="fr-FR"/>
      </w:rPr>
      <w:instrText xml:space="preserve"> PAGE </w:instrText>
    </w:r>
    <w:r w:rsidRPr="00941C46">
      <w:rPr>
        <w:rFonts w:ascii="SimSun" w:hAnsi="SimSun" w:cs="SimSun"/>
        <w:sz w:val="21"/>
        <w:lang w:val="fr-FR"/>
      </w:rPr>
      <w:fldChar w:fldCharType="separate"/>
    </w:r>
    <w:r w:rsidR="00AD20F9">
      <w:rPr>
        <w:rFonts w:ascii="SimSun" w:hAnsi="SimSun" w:cs="SimSun"/>
        <w:noProof/>
        <w:sz w:val="21"/>
        <w:lang w:val="fr-FR"/>
      </w:rPr>
      <w:t>29</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941C46" w:rsidRDefault="00DC2705" w:rsidP="006C3627">
    <w:pPr>
      <w:wordWrap w:val="0"/>
      <w:jc w:val="right"/>
      <w:rPr>
        <w:rFonts w:ascii="SimSun" w:hAnsi="SimSun" w:cs="SimSun"/>
        <w:sz w:val="21"/>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DA5DF8" w:rsidRDefault="00DC2705" w:rsidP="00477D6B">
    <w:pPr>
      <w:jc w:val="right"/>
      <w:rPr>
        <w:rFonts w:ascii="SimSun" w:hAnsi="SimSun"/>
        <w:sz w:val="21"/>
      </w:rPr>
    </w:pPr>
    <w:bookmarkStart w:id="7" w:name="Code2"/>
    <w:bookmarkEnd w:id="7"/>
    <w:r w:rsidRPr="00DA5DF8">
      <w:rPr>
        <w:rFonts w:ascii="SimSun" w:hAnsi="SimSun"/>
        <w:sz w:val="21"/>
      </w:rPr>
      <w:t>PCT/CTC/30/26</w:t>
    </w:r>
  </w:p>
  <w:p w:rsidR="00DC2705" w:rsidRPr="00DA5DF8" w:rsidRDefault="00DC2705" w:rsidP="00477D6B">
    <w:pPr>
      <w:jc w:val="right"/>
      <w:rPr>
        <w:rFonts w:ascii="SimSun" w:hAnsi="SimSun"/>
        <w:sz w:val="21"/>
      </w:rPr>
    </w:pPr>
    <w:r>
      <w:rPr>
        <w:rFonts w:ascii="SimSun" w:hAnsi="SimSun" w:hint="eastAsia"/>
        <w:sz w:val="21"/>
      </w:rPr>
      <w:t>第</w:t>
    </w:r>
    <w:r w:rsidRPr="00DA5DF8">
      <w:rPr>
        <w:rFonts w:ascii="SimSun" w:hAnsi="SimSun"/>
        <w:sz w:val="21"/>
      </w:rPr>
      <w:fldChar w:fldCharType="begin"/>
    </w:r>
    <w:r w:rsidRPr="00DA5DF8">
      <w:rPr>
        <w:rFonts w:ascii="SimSun" w:hAnsi="SimSun"/>
        <w:sz w:val="21"/>
      </w:rPr>
      <w:instrText xml:space="preserve"> PAGE  \* MERGEFORMAT </w:instrText>
    </w:r>
    <w:r w:rsidRPr="00DA5DF8">
      <w:rPr>
        <w:rFonts w:ascii="SimSun" w:hAnsi="SimSun"/>
        <w:sz w:val="21"/>
      </w:rPr>
      <w:fldChar w:fldCharType="separate"/>
    </w:r>
    <w:r w:rsidR="00AD20F9">
      <w:rPr>
        <w:rFonts w:ascii="SimSun" w:hAnsi="SimSun"/>
        <w:noProof/>
        <w:sz w:val="21"/>
      </w:rPr>
      <w:t>34</w:t>
    </w:r>
    <w:r w:rsidRPr="00DA5DF8">
      <w:rPr>
        <w:rFonts w:ascii="SimSun" w:hAnsi="SimSun"/>
        <w:noProof/>
        <w:sz w:val="21"/>
      </w:rPr>
      <w:fldChar w:fldCharType="end"/>
    </w:r>
    <w:r>
      <w:rPr>
        <w:rFonts w:ascii="SimSun" w:hAnsi="SimSun" w:hint="eastAsia"/>
        <w:noProof/>
        <w:sz w:val="21"/>
      </w:rPr>
      <w:t>页</w:t>
    </w:r>
  </w:p>
  <w:p w:rsidR="00DC2705" w:rsidRPr="00DA5DF8" w:rsidRDefault="00DC2705" w:rsidP="00477D6B">
    <w:pPr>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rPr>
    </w:pPr>
    <w:r w:rsidRPr="00941C46">
      <w:rPr>
        <w:rFonts w:ascii="SimSun" w:hAnsi="SimSun" w:cs="SimSun"/>
        <w:sz w:val="21"/>
      </w:rPr>
      <w:t>PCT/CTC/</w:t>
    </w:r>
    <w:r w:rsidRPr="00941C46">
      <w:rPr>
        <w:rFonts w:ascii="SimSun" w:hAnsi="SimSun" w:cs="SimSun" w:hint="eastAsia"/>
        <w:sz w:val="21"/>
      </w:rPr>
      <w:t>30</w:t>
    </w:r>
    <w:r w:rsidRPr="00941C46">
      <w:rPr>
        <w:rFonts w:ascii="SimSun" w:hAnsi="SimSun" w:cs="SimSun"/>
        <w:sz w:val="21"/>
      </w:rPr>
      <w:t>/2</w:t>
    </w:r>
    <w:r w:rsidRPr="00941C46">
      <w:rPr>
        <w:rFonts w:ascii="SimSun" w:hAnsi="SimSun" w:cs="SimSun" w:hint="eastAsia"/>
        <w:sz w:val="21"/>
      </w:rPr>
      <w:t xml:space="preserve"> Rev.</w:t>
    </w:r>
  </w:p>
  <w:p w:rsidR="00DC2705" w:rsidRPr="00941C46" w:rsidRDefault="00DC2705" w:rsidP="006C3627">
    <w:pPr>
      <w:wordWrap w:val="0"/>
      <w:jc w:val="right"/>
      <w:rPr>
        <w:rFonts w:ascii="SimSun" w:hAnsi="SimSun" w:cs="SimSun"/>
        <w:sz w:val="21"/>
        <w:lang w:val="fr-FR"/>
      </w:rPr>
    </w:pPr>
    <w:proofErr w:type="gramStart"/>
    <w:r w:rsidRPr="00941C46">
      <w:rPr>
        <w:rFonts w:ascii="SimSun" w:hAnsi="SimSun" w:cs="SimSun" w:hint="eastAsia"/>
        <w:sz w:val="21"/>
        <w:lang w:val="fr-FR"/>
      </w:rPr>
      <w:t>附件第</w:t>
    </w:r>
    <w:proofErr w:type="gramEnd"/>
    <w:r w:rsidRPr="00941C46">
      <w:rPr>
        <w:rFonts w:ascii="SimSun" w:hAnsi="SimSun" w:cs="SimSun"/>
        <w:sz w:val="21"/>
        <w:lang w:val="fr-FR"/>
      </w:rPr>
      <w:fldChar w:fldCharType="begin"/>
    </w:r>
    <w:r w:rsidRPr="00941C46">
      <w:rPr>
        <w:rFonts w:ascii="SimSun" w:hAnsi="SimSun" w:cs="SimSun"/>
        <w:sz w:val="21"/>
        <w:lang w:val="fr-FR"/>
      </w:rPr>
      <w:instrText xml:space="preserve"> PAGE </w:instrText>
    </w:r>
    <w:r w:rsidRPr="00941C46">
      <w:rPr>
        <w:rFonts w:ascii="SimSun" w:hAnsi="SimSun" w:cs="SimSun"/>
        <w:sz w:val="21"/>
        <w:lang w:val="fr-FR"/>
      </w:rPr>
      <w:fldChar w:fldCharType="separate"/>
    </w:r>
    <w:r w:rsidR="00AD20F9">
      <w:rPr>
        <w:rFonts w:ascii="SimSun" w:hAnsi="SimSun" w:cs="SimSun"/>
        <w:noProof/>
        <w:sz w:val="21"/>
        <w:lang w:val="fr-FR"/>
      </w:rPr>
      <w:t>32</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941C46" w:rsidRDefault="00DC2705" w:rsidP="006C3627">
    <w:pPr>
      <w:wordWrap w:val="0"/>
      <w:jc w:val="right"/>
      <w:rPr>
        <w:rFonts w:ascii="SimSun" w:hAnsi="SimSun" w:cs="SimSun"/>
        <w:sz w:val="21"/>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DA5DF8" w:rsidRDefault="00DC2705" w:rsidP="00477D6B">
    <w:pPr>
      <w:jc w:val="right"/>
      <w:rPr>
        <w:rFonts w:ascii="SimSun" w:hAnsi="SimSun"/>
        <w:sz w:val="21"/>
      </w:rPr>
    </w:pPr>
    <w:r w:rsidRPr="00DA5DF8">
      <w:rPr>
        <w:rFonts w:ascii="SimSun" w:hAnsi="SimSun"/>
        <w:sz w:val="21"/>
      </w:rPr>
      <w:t>PCT/CTC/30/26</w:t>
    </w:r>
  </w:p>
  <w:p w:rsidR="00DC2705" w:rsidRPr="00DA5DF8" w:rsidRDefault="00DC2705" w:rsidP="00477D6B">
    <w:pPr>
      <w:jc w:val="right"/>
      <w:rPr>
        <w:rFonts w:ascii="SimSun" w:hAnsi="SimSun"/>
        <w:sz w:val="21"/>
      </w:rPr>
    </w:pPr>
    <w:r>
      <w:rPr>
        <w:rFonts w:ascii="SimSun" w:hAnsi="SimSun" w:hint="eastAsia"/>
        <w:sz w:val="21"/>
      </w:rPr>
      <w:t>第</w:t>
    </w:r>
    <w:r w:rsidRPr="00DA5DF8">
      <w:rPr>
        <w:rFonts w:ascii="SimSun" w:hAnsi="SimSun"/>
        <w:sz w:val="21"/>
      </w:rPr>
      <w:fldChar w:fldCharType="begin"/>
    </w:r>
    <w:r w:rsidRPr="00DA5DF8">
      <w:rPr>
        <w:rFonts w:ascii="SimSun" w:hAnsi="SimSun"/>
        <w:sz w:val="21"/>
      </w:rPr>
      <w:instrText xml:space="preserve"> PAGE  \* MERGEFORMAT </w:instrText>
    </w:r>
    <w:r w:rsidRPr="00DA5DF8">
      <w:rPr>
        <w:rFonts w:ascii="SimSun" w:hAnsi="SimSun"/>
        <w:sz w:val="21"/>
      </w:rPr>
      <w:fldChar w:fldCharType="separate"/>
    </w:r>
    <w:r w:rsidR="00AD20F9">
      <w:rPr>
        <w:rFonts w:ascii="SimSun" w:hAnsi="SimSun"/>
        <w:noProof/>
        <w:sz w:val="21"/>
      </w:rPr>
      <w:t>2</w:t>
    </w:r>
    <w:r w:rsidRPr="00DA5DF8">
      <w:rPr>
        <w:rFonts w:ascii="SimSun" w:hAnsi="SimSun"/>
        <w:noProof/>
        <w:sz w:val="21"/>
      </w:rPr>
      <w:fldChar w:fldCharType="end"/>
    </w:r>
    <w:r>
      <w:rPr>
        <w:rFonts w:ascii="SimSun" w:hAnsi="SimSun" w:hint="eastAsia"/>
        <w:noProof/>
        <w:sz w:val="21"/>
      </w:rPr>
      <w:t>页</w:t>
    </w:r>
  </w:p>
  <w:p w:rsidR="00DC2705" w:rsidRPr="00DA5DF8" w:rsidRDefault="00DC2705" w:rsidP="00477D6B">
    <w:pPr>
      <w:jc w:val="right"/>
      <w:rPr>
        <w:rFonts w:ascii="SimSun" w:hAnsi="SimSun"/>
        <w:sz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295AEC" w:rsidRDefault="00DC2705" w:rsidP="00295AE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295AEC" w:rsidRDefault="00DC2705" w:rsidP="00295AEC">
    <w:pPr>
      <w:jc w:val="right"/>
      <w:rPr>
        <w:rFonts w:ascii="SimSun" w:hAnsi="SimSun"/>
        <w:sz w:val="21"/>
        <w:szCs w:val="21"/>
      </w:rPr>
    </w:pPr>
    <w:r w:rsidRPr="00295AEC">
      <w:rPr>
        <w:rFonts w:ascii="SimSun" w:hAnsi="SimSun"/>
        <w:sz w:val="21"/>
        <w:szCs w:val="21"/>
      </w:rPr>
      <w:t>PCT/A/49/3</w:t>
    </w:r>
  </w:p>
  <w:p w:rsidR="00DC2705" w:rsidRPr="00941C46" w:rsidRDefault="00DC2705" w:rsidP="00295AEC">
    <w:pPr>
      <w:pStyle w:val="aa"/>
      <w:jc w:val="right"/>
      <w:rPr>
        <w:rFonts w:ascii="SimSun" w:hAnsi="SimSun" w:cs="SimSun"/>
        <w:sz w:val="21"/>
        <w:lang w:val="fr-FR"/>
      </w:rPr>
    </w:pPr>
    <w:proofErr w:type="gramStart"/>
    <w:r w:rsidRPr="00295AEC">
      <w:rPr>
        <w:rFonts w:hint="eastAsia"/>
        <w:sz w:val="21"/>
        <w:szCs w:val="21"/>
      </w:rPr>
      <w:t>附件</w:t>
    </w:r>
    <w:r w:rsidRPr="00941C46">
      <w:rPr>
        <w:rFonts w:ascii="SimSun" w:hAnsi="SimSun" w:cs="SimSun" w:hint="eastAsia"/>
        <w:sz w:val="21"/>
        <w:lang w:val="fr-FR"/>
      </w:rPr>
      <w:t>第</w:t>
    </w:r>
    <w:proofErr w:type="gramEnd"/>
    <w:r w:rsidRPr="00941C46">
      <w:rPr>
        <w:rFonts w:ascii="SimSun" w:hAnsi="SimSun" w:cs="SimSun"/>
        <w:sz w:val="21"/>
        <w:lang w:val="fr-FR"/>
      </w:rPr>
      <w:fldChar w:fldCharType="begin"/>
    </w:r>
    <w:r w:rsidRPr="00941C46">
      <w:rPr>
        <w:rFonts w:ascii="SimSun" w:hAnsi="SimSun" w:cs="SimSun"/>
        <w:sz w:val="21"/>
        <w:lang w:val="fr-FR"/>
      </w:rPr>
      <w:instrText xml:space="preserve"> PAGE   \* MERGEFORMAT </w:instrText>
    </w:r>
    <w:r w:rsidRPr="00941C46">
      <w:rPr>
        <w:rFonts w:ascii="SimSun" w:hAnsi="SimSun" w:cs="SimSun"/>
        <w:sz w:val="21"/>
        <w:lang w:val="fr-FR"/>
      </w:rPr>
      <w:fldChar w:fldCharType="separate"/>
    </w:r>
    <w:r w:rsidR="00AD20F9">
      <w:rPr>
        <w:rFonts w:ascii="SimSun" w:hAnsi="SimSun" w:cs="SimSun"/>
        <w:noProof/>
        <w:sz w:val="21"/>
        <w:lang w:val="fr-FR"/>
      </w:rPr>
      <w:t>2</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B66487" w:rsidRDefault="00DC2705" w:rsidP="006C3627">
    <w:pPr>
      <w:jc w:val="right"/>
      <w:rPr>
        <w:rFonts w:ascii="SimSun" w:hAnsi="SimSun" w:cs="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295AEC" w:rsidRDefault="00DC2705" w:rsidP="00295AEC">
    <w:pPr>
      <w:jc w:val="right"/>
      <w:rPr>
        <w:rFonts w:ascii="SimSun" w:hAnsi="SimSun"/>
        <w:sz w:val="21"/>
        <w:szCs w:val="21"/>
      </w:rPr>
    </w:pPr>
    <w:r w:rsidRPr="00295AEC">
      <w:rPr>
        <w:rFonts w:ascii="SimSun" w:hAnsi="SimSun"/>
        <w:sz w:val="21"/>
        <w:szCs w:val="21"/>
      </w:rPr>
      <w:t>PCT/A/49/3</w:t>
    </w:r>
  </w:p>
  <w:p w:rsidR="00DC2705" w:rsidRDefault="00DC2705" w:rsidP="00295AEC">
    <w:pPr>
      <w:pStyle w:val="aa"/>
      <w:jc w:val="right"/>
      <w:rPr>
        <w:sz w:val="21"/>
        <w:szCs w:val="21"/>
      </w:rPr>
    </w:pPr>
    <w:r w:rsidRPr="00295AEC">
      <w:rPr>
        <w:rFonts w:hint="eastAsia"/>
        <w:sz w:val="21"/>
        <w:szCs w:val="21"/>
      </w:rPr>
      <w:t>附　件</w:t>
    </w:r>
  </w:p>
  <w:p w:rsidR="00DC2705" w:rsidRPr="00295AEC" w:rsidRDefault="00DC2705" w:rsidP="00295AEC">
    <w:pPr>
      <w:pStyle w:val="aa"/>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Default="00DC2705">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rPr>
    </w:pPr>
    <w:r w:rsidRPr="00941C46">
      <w:rPr>
        <w:rFonts w:ascii="SimSun" w:hAnsi="SimSun" w:cs="SimSun"/>
        <w:sz w:val="21"/>
      </w:rPr>
      <w:t>PCT/CTC/</w:t>
    </w:r>
    <w:r w:rsidRPr="00941C46">
      <w:rPr>
        <w:rFonts w:ascii="SimSun" w:hAnsi="SimSun" w:cs="SimSun" w:hint="eastAsia"/>
        <w:sz w:val="21"/>
      </w:rPr>
      <w:t>30</w:t>
    </w:r>
    <w:r w:rsidRPr="00941C46">
      <w:rPr>
        <w:rFonts w:ascii="SimSun" w:hAnsi="SimSun" w:cs="SimSun"/>
        <w:sz w:val="21"/>
      </w:rPr>
      <w:t>/2</w:t>
    </w:r>
    <w:r w:rsidRPr="00941C46">
      <w:rPr>
        <w:rFonts w:ascii="SimSun" w:hAnsi="SimSun" w:cs="SimSun" w:hint="eastAsia"/>
        <w:sz w:val="21"/>
      </w:rPr>
      <w:t xml:space="preserve"> Rev.</w:t>
    </w:r>
  </w:p>
  <w:p w:rsidR="00DC2705" w:rsidRPr="00941C46" w:rsidRDefault="00DC2705" w:rsidP="006C3627">
    <w:pPr>
      <w:wordWrap w:val="0"/>
      <w:jc w:val="right"/>
      <w:rPr>
        <w:rFonts w:ascii="SimSun" w:hAnsi="SimSun" w:cs="SimSun"/>
        <w:sz w:val="21"/>
        <w:lang w:val="fr-FR"/>
      </w:rPr>
    </w:pPr>
    <w:r w:rsidRPr="00941C46">
      <w:rPr>
        <w:rFonts w:ascii="SimSun" w:hAnsi="SimSun" w:cs="SimSun" w:hint="eastAsia"/>
        <w:sz w:val="21"/>
        <w:lang w:val="fr-FR"/>
      </w:rPr>
      <w:t>附件第</w:t>
    </w:r>
    <w:r w:rsidRPr="00941C46">
      <w:rPr>
        <w:rFonts w:ascii="SimSun" w:hAnsi="SimSun" w:cs="SimSun"/>
        <w:sz w:val="21"/>
        <w:lang w:val="fr-FR"/>
      </w:rPr>
      <w:fldChar w:fldCharType="begin"/>
    </w:r>
    <w:r w:rsidRPr="00941C46">
      <w:rPr>
        <w:rFonts w:ascii="SimSun" w:hAnsi="SimSun" w:cs="SimSun"/>
        <w:sz w:val="21"/>
        <w:lang w:val="fr-FR"/>
      </w:rPr>
      <w:instrText xml:space="preserve"> PAGE </w:instrText>
    </w:r>
    <w:r w:rsidRPr="00941C46">
      <w:rPr>
        <w:rFonts w:ascii="SimSun" w:hAnsi="SimSun" w:cs="SimSun"/>
        <w:sz w:val="21"/>
        <w:lang w:val="fr-FR"/>
      </w:rPr>
      <w:fldChar w:fldCharType="separate"/>
    </w:r>
    <w:r w:rsidR="00AD20F9">
      <w:rPr>
        <w:rFonts w:ascii="SimSun" w:hAnsi="SimSun" w:cs="SimSun"/>
        <w:noProof/>
        <w:sz w:val="21"/>
        <w:lang w:val="fr-FR"/>
      </w:rPr>
      <w:t>2</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Default="00DC2705" w:rsidP="006C3627">
    <w:pPr>
      <w:wordWrap w:val="0"/>
      <w:jc w:val="right"/>
      <w:rPr>
        <w:rFonts w:ascii="SimSun" w:hAnsi="SimSun" w:cs="SimSun"/>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rPr>
    </w:pPr>
    <w:r w:rsidRPr="00941C46">
      <w:rPr>
        <w:rFonts w:ascii="SimSun" w:hAnsi="SimSun" w:cs="SimSun"/>
        <w:sz w:val="21"/>
      </w:rPr>
      <w:t>PCT/CTC/</w:t>
    </w:r>
    <w:r w:rsidRPr="00941C46">
      <w:rPr>
        <w:rFonts w:ascii="SimSun" w:hAnsi="SimSun" w:cs="SimSun" w:hint="eastAsia"/>
        <w:sz w:val="21"/>
      </w:rPr>
      <w:t>30</w:t>
    </w:r>
    <w:r w:rsidRPr="00941C46">
      <w:rPr>
        <w:rFonts w:ascii="SimSun" w:hAnsi="SimSun" w:cs="SimSun"/>
        <w:sz w:val="21"/>
      </w:rPr>
      <w:t>/2</w:t>
    </w:r>
    <w:r w:rsidRPr="00941C46">
      <w:rPr>
        <w:rFonts w:ascii="SimSun" w:hAnsi="SimSun" w:cs="SimSun" w:hint="eastAsia"/>
        <w:sz w:val="21"/>
      </w:rPr>
      <w:t xml:space="preserve"> Rev.</w:t>
    </w:r>
  </w:p>
  <w:p w:rsidR="00DC2705" w:rsidRPr="0017378D" w:rsidRDefault="00DC2705" w:rsidP="006C3627">
    <w:pPr>
      <w:pStyle w:val="aa"/>
      <w:jc w:val="right"/>
      <w:rPr>
        <w:rFonts w:ascii="SimSun" w:hAnsi="SimSun" w:cs="SimSun"/>
        <w:sz w:val="21"/>
        <w:szCs w:val="21"/>
      </w:rPr>
    </w:pPr>
    <w:r w:rsidRPr="00C31E0F">
      <w:rPr>
        <w:rFonts w:ascii="SimSun" w:hAnsi="SimSun" w:cs="SimSun" w:hint="eastAsia"/>
        <w:sz w:val="21"/>
        <w:szCs w:val="21"/>
        <w:lang w:val="fr-FR"/>
      </w:rPr>
      <w:t>附</w:t>
    </w:r>
    <w:r>
      <w:rPr>
        <w:rFonts w:ascii="SimSun" w:hAnsi="SimSun" w:cs="SimSun" w:hint="eastAsia"/>
        <w:sz w:val="21"/>
        <w:szCs w:val="21"/>
        <w:lang w:val="fr-FR"/>
      </w:rPr>
      <w:t xml:space="preserve">　</w:t>
    </w:r>
    <w:r w:rsidRPr="00C31E0F">
      <w:rPr>
        <w:rFonts w:ascii="SimSun" w:hAnsi="SimSun" w:cs="SimSun" w:hint="eastAsia"/>
        <w:sz w:val="21"/>
        <w:szCs w:val="21"/>
        <w:lang w:val="fr-FR"/>
      </w:rPr>
      <w:t>件</w:t>
    </w:r>
  </w:p>
  <w:p w:rsidR="00DC2705" w:rsidRPr="004F55B9" w:rsidRDefault="00DC2705" w:rsidP="006C3627">
    <w:pPr>
      <w:pStyle w:val="aa"/>
      <w:jc w:val="right"/>
      <w:rPr>
        <w:rFonts w:ascii="SimSun" w:hAnsi="SimSun"/>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lang w:val="fr-FR"/>
      </w:rPr>
    </w:pPr>
    <w:r w:rsidRPr="00941C46">
      <w:rPr>
        <w:rFonts w:ascii="SimSun" w:hAnsi="SimSun" w:cs="SimSun"/>
        <w:sz w:val="21"/>
        <w:lang w:val="fr-FR"/>
      </w:rPr>
      <w:t>PCT/CTC/</w:t>
    </w:r>
    <w:r w:rsidRPr="00941C46">
      <w:rPr>
        <w:rFonts w:ascii="SimSun" w:hAnsi="SimSun" w:cs="SimSun" w:hint="eastAsia"/>
        <w:sz w:val="21"/>
        <w:lang w:val="fr-FR"/>
      </w:rPr>
      <w:t>30</w:t>
    </w:r>
    <w:r w:rsidRPr="00941C46">
      <w:rPr>
        <w:rFonts w:ascii="SimSun" w:hAnsi="SimSun" w:cs="SimSun"/>
        <w:sz w:val="21"/>
        <w:lang w:val="fr-FR"/>
      </w:rPr>
      <w:t>/2</w:t>
    </w:r>
    <w:r w:rsidRPr="00941C46">
      <w:rPr>
        <w:rFonts w:ascii="SimSun" w:hAnsi="SimSun" w:cs="SimSun" w:hint="eastAsia"/>
        <w:sz w:val="21"/>
        <w:lang w:val="fr-FR"/>
      </w:rPr>
      <w:t xml:space="preserve"> </w:t>
    </w:r>
    <w:proofErr w:type="spellStart"/>
    <w:r w:rsidRPr="00941C46">
      <w:rPr>
        <w:rFonts w:ascii="SimSun" w:hAnsi="SimSun" w:cs="SimSun" w:hint="eastAsia"/>
        <w:sz w:val="21"/>
        <w:lang w:val="fr-FR"/>
      </w:rPr>
      <w:t>Rev</w:t>
    </w:r>
    <w:proofErr w:type="spellEnd"/>
    <w:r w:rsidRPr="00941C46">
      <w:rPr>
        <w:rFonts w:ascii="SimSun" w:hAnsi="SimSun" w:cs="SimSun" w:hint="eastAsia"/>
        <w:sz w:val="21"/>
        <w:lang w:val="fr-FR"/>
      </w:rPr>
      <w:t>.</w:t>
    </w:r>
  </w:p>
  <w:p w:rsidR="00DC2705" w:rsidRPr="00941C46" w:rsidRDefault="00DC2705" w:rsidP="006C3627">
    <w:pPr>
      <w:wordWrap w:val="0"/>
      <w:jc w:val="right"/>
      <w:rPr>
        <w:rFonts w:ascii="SimSun" w:hAnsi="SimSun" w:cs="SimSun"/>
        <w:sz w:val="21"/>
        <w:lang w:val="fr-FR"/>
      </w:rPr>
    </w:pPr>
    <w:r w:rsidRPr="00941C46">
      <w:rPr>
        <w:rFonts w:ascii="SimSun" w:hAnsi="SimSun" w:cs="SimSun" w:hint="eastAsia"/>
        <w:sz w:val="21"/>
        <w:lang w:val="fr-FR"/>
      </w:rPr>
      <w:t>附件第</w:t>
    </w:r>
    <w:r w:rsidRPr="00941C46">
      <w:rPr>
        <w:rFonts w:ascii="SimSun" w:hAnsi="SimSun" w:cs="SimSun"/>
        <w:sz w:val="21"/>
        <w:lang w:val="fr-FR"/>
      </w:rPr>
      <w:fldChar w:fldCharType="begin"/>
    </w:r>
    <w:r w:rsidRPr="00941C46">
      <w:rPr>
        <w:rFonts w:ascii="SimSun" w:hAnsi="SimSun" w:cs="SimSun"/>
        <w:sz w:val="21"/>
        <w:lang w:val="fr-FR"/>
      </w:rPr>
      <w:instrText xml:space="preserve"> PAGE   \* MERGEFORMAT </w:instrText>
    </w:r>
    <w:r w:rsidRPr="00941C46">
      <w:rPr>
        <w:rFonts w:ascii="SimSun" w:hAnsi="SimSun" w:cs="SimSun"/>
        <w:sz w:val="21"/>
        <w:lang w:val="fr-FR"/>
      </w:rPr>
      <w:fldChar w:fldCharType="separate"/>
    </w:r>
    <w:r w:rsidR="00AD20F9">
      <w:rPr>
        <w:rFonts w:ascii="SimSun" w:hAnsi="SimSun" w:cs="SimSun"/>
        <w:noProof/>
        <w:sz w:val="21"/>
        <w:lang w:val="fr-FR"/>
      </w:rPr>
      <w:t>28</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941C46" w:rsidRDefault="00DC2705" w:rsidP="006C3627">
    <w:pPr>
      <w:wordWrap w:val="0"/>
      <w:jc w:val="right"/>
      <w:rPr>
        <w:rFonts w:ascii="SimSun" w:hAnsi="SimSun" w:cs="SimSun"/>
        <w:sz w:val="21"/>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rPr>
    </w:pPr>
    <w:r w:rsidRPr="00941C46">
      <w:rPr>
        <w:rFonts w:ascii="SimSun" w:hAnsi="SimSun" w:cs="SimSun"/>
        <w:sz w:val="21"/>
      </w:rPr>
      <w:t>PCT/CTC/</w:t>
    </w:r>
    <w:r w:rsidRPr="00941C46">
      <w:rPr>
        <w:rFonts w:ascii="SimSun" w:hAnsi="SimSun" w:cs="SimSun" w:hint="eastAsia"/>
        <w:sz w:val="21"/>
      </w:rPr>
      <w:t>30</w:t>
    </w:r>
    <w:r w:rsidRPr="00941C46">
      <w:rPr>
        <w:rFonts w:ascii="SimSun" w:hAnsi="SimSun" w:cs="SimSun"/>
        <w:sz w:val="21"/>
      </w:rPr>
      <w:t>/2</w:t>
    </w:r>
    <w:r w:rsidRPr="00941C46">
      <w:rPr>
        <w:rFonts w:ascii="SimSun" w:hAnsi="SimSun" w:cs="SimSun" w:hint="eastAsia"/>
        <w:sz w:val="21"/>
      </w:rPr>
      <w:t xml:space="preserve"> Rev.</w:t>
    </w:r>
  </w:p>
  <w:p w:rsidR="00DC2705" w:rsidRPr="00941C46" w:rsidRDefault="00DC2705" w:rsidP="006C3627">
    <w:pPr>
      <w:wordWrap w:val="0"/>
      <w:jc w:val="right"/>
      <w:rPr>
        <w:rFonts w:ascii="SimSun" w:hAnsi="SimSun" w:cs="SimSun"/>
        <w:sz w:val="21"/>
        <w:lang w:val="fr-FR"/>
      </w:rPr>
    </w:pPr>
    <w:r w:rsidRPr="00941C46">
      <w:rPr>
        <w:rFonts w:ascii="SimSun" w:hAnsi="SimSun" w:cs="SimSun" w:hint="eastAsia"/>
        <w:sz w:val="21"/>
        <w:lang w:val="fr-FR"/>
      </w:rPr>
      <w:t>附件第</w:t>
    </w:r>
    <w:r w:rsidRPr="00941C46">
      <w:rPr>
        <w:rFonts w:ascii="SimSun" w:hAnsi="SimSun" w:cs="SimSun"/>
        <w:sz w:val="21"/>
        <w:lang w:val="fr-FR"/>
      </w:rPr>
      <w:fldChar w:fldCharType="begin"/>
    </w:r>
    <w:r w:rsidRPr="00941C46">
      <w:rPr>
        <w:rFonts w:ascii="SimSun" w:hAnsi="SimSun" w:cs="SimSun"/>
        <w:sz w:val="21"/>
        <w:lang w:val="fr-FR"/>
      </w:rPr>
      <w:instrText xml:space="preserve"> PAGE </w:instrText>
    </w:r>
    <w:r w:rsidRPr="00941C46">
      <w:rPr>
        <w:rFonts w:ascii="SimSun" w:hAnsi="SimSun" w:cs="SimSun"/>
        <w:sz w:val="21"/>
        <w:lang w:val="fr-FR"/>
      </w:rPr>
      <w:fldChar w:fldCharType="separate"/>
    </w:r>
    <w:r w:rsidR="00AD20F9">
      <w:rPr>
        <w:rFonts w:ascii="SimSun" w:hAnsi="SimSun" w:cs="SimSun"/>
        <w:noProof/>
        <w:sz w:val="21"/>
        <w:lang w:val="fr-FR"/>
      </w:rPr>
      <w:t>12</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941C46" w:rsidRDefault="00DC2705" w:rsidP="006C3627">
    <w:pPr>
      <w:wordWrap w:val="0"/>
      <w:jc w:val="right"/>
      <w:rPr>
        <w:rFonts w:ascii="SimSun" w:hAnsi="SimSun" w:cs="SimSun"/>
        <w:sz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05" w:rsidRPr="00941C46" w:rsidRDefault="00DC2705" w:rsidP="006C3627">
    <w:pPr>
      <w:wordWrap w:val="0"/>
      <w:jc w:val="right"/>
      <w:rPr>
        <w:rFonts w:ascii="SimSun" w:hAnsi="SimSun" w:cs="SimSun"/>
        <w:sz w:val="21"/>
        <w:lang w:val="fr-FR"/>
      </w:rPr>
    </w:pPr>
    <w:r w:rsidRPr="00941C46">
      <w:rPr>
        <w:rFonts w:ascii="SimSun" w:hAnsi="SimSun" w:cs="SimSun"/>
        <w:sz w:val="21"/>
        <w:lang w:val="fr-FR"/>
      </w:rPr>
      <w:t>PCT/CTC/</w:t>
    </w:r>
    <w:r w:rsidRPr="00941C46">
      <w:rPr>
        <w:rFonts w:ascii="SimSun" w:hAnsi="SimSun" w:cs="SimSun" w:hint="eastAsia"/>
        <w:sz w:val="21"/>
        <w:lang w:val="fr-FR"/>
      </w:rPr>
      <w:t>30</w:t>
    </w:r>
    <w:r w:rsidRPr="00941C46">
      <w:rPr>
        <w:rFonts w:ascii="SimSun" w:hAnsi="SimSun" w:cs="SimSun"/>
        <w:sz w:val="21"/>
        <w:lang w:val="fr-FR"/>
      </w:rPr>
      <w:t>/2</w:t>
    </w:r>
    <w:r w:rsidRPr="00941C46">
      <w:rPr>
        <w:rFonts w:ascii="SimSun" w:hAnsi="SimSun" w:cs="SimSun" w:hint="eastAsia"/>
        <w:sz w:val="21"/>
        <w:lang w:val="fr-FR"/>
      </w:rPr>
      <w:t xml:space="preserve"> </w:t>
    </w:r>
    <w:proofErr w:type="spellStart"/>
    <w:r w:rsidRPr="00941C46">
      <w:rPr>
        <w:rFonts w:ascii="SimSun" w:hAnsi="SimSun" w:cs="SimSun" w:hint="eastAsia"/>
        <w:sz w:val="21"/>
        <w:lang w:val="fr-FR"/>
      </w:rPr>
      <w:t>Rev</w:t>
    </w:r>
    <w:proofErr w:type="spellEnd"/>
    <w:r w:rsidRPr="00941C46">
      <w:rPr>
        <w:rFonts w:ascii="SimSun" w:hAnsi="SimSun" w:cs="SimSun" w:hint="eastAsia"/>
        <w:sz w:val="21"/>
        <w:lang w:val="fr-FR"/>
      </w:rPr>
      <w:t>.</w:t>
    </w:r>
  </w:p>
  <w:p w:rsidR="00DC2705" w:rsidRPr="00941C46" w:rsidRDefault="00DC2705" w:rsidP="006C3627">
    <w:pPr>
      <w:wordWrap w:val="0"/>
      <w:jc w:val="right"/>
      <w:rPr>
        <w:rFonts w:ascii="SimSun" w:hAnsi="SimSun" w:cs="SimSun"/>
        <w:sz w:val="21"/>
        <w:lang w:val="fr-FR"/>
      </w:rPr>
    </w:pPr>
    <w:r w:rsidRPr="00941C46">
      <w:rPr>
        <w:rFonts w:ascii="SimSun" w:hAnsi="SimSun" w:cs="SimSun" w:hint="eastAsia"/>
        <w:sz w:val="21"/>
        <w:lang w:val="fr-FR"/>
      </w:rPr>
      <w:t>附件第</w:t>
    </w:r>
    <w:r w:rsidRPr="00941C46">
      <w:rPr>
        <w:rFonts w:ascii="SimSun" w:hAnsi="SimSun" w:cs="SimSun"/>
        <w:sz w:val="21"/>
        <w:lang w:val="fr-FR"/>
      </w:rPr>
      <w:fldChar w:fldCharType="begin"/>
    </w:r>
    <w:r w:rsidRPr="00941C46">
      <w:rPr>
        <w:rFonts w:ascii="SimSun" w:hAnsi="SimSun" w:cs="SimSun"/>
        <w:sz w:val="21"/>
        <w:lang w:val="fr-FR"/>
      </w:rPr>
      <w:instrText xml:space="preserve"> PAGE   \* MERGEFORMAT </w:instrText>
    </w:r>
    <w:r w:rsidRPr="00941C46">
      <w:rPr>
        <w:rFonts w:ascii="SimSun" w:hAnsi="SimSun" w:cs="SimSun"/>
        <w:sz w:val="21"/>
        <w:lang w:val="fr-FR"/>
      </w:rPr>
      <w:fldChar w:fldCharType="separate"/>
    </w:r>
    <w:r w:rsidR="00AD20F9">
      <w:rPr>
        <w:rFonts w:ascii="SimSun" w:hAnsi="SimSun" w:cs="SimSun"/>
        <w:noProof/>
        <w:sz w:val="21"/>
        <w:lang w:val="fr-FR"/>
      </w:rPr>
      <w:t>31</w:t>
    </w:r>
    <w:r w:rsidRPr="00941C46">
      <w:rPr>
        <w:rFonts w:ascii="SimSun" w:hAnsi="SimSun" w:cs="SimSun"/>
        <w:sz w:val="21"/>
        <w:lang w:val="fr-FR"/>
      </w:rPr>
      <w:fldChar w:fldCharType="end"/>
    </w:r>
    <w:r w:rsidRPr="00941C46">
      <w:rPr>
        <w:rFonts w:ascii="SimSun" w:hAnsi="SimSun" w:cs="SimSun" w:hint="eastAsia"/>
        <w:sz w:val="21"/>
        <w:lang w:val="fr-FR"/>
      </w:rPr>
      <w:t>页</w:t>
    </w:r>
  </w:p>
  <w:p w:rsidR="00DC2705" w:rsidRPr="00941C46" w:rsidRDefault="00DC2705" w:rsidP="006C3627">
    <w:pPr>
      <w:wordWrap w:val="0"/>
      <w:jc w:val="right"/>
      <w:rPr>
        <w:rFonts w:ascii="SimSun" w:hAnsi="SimSun" w:cs="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Courier New" w:hAnsi="Courier New"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Courier New" w:hAnsi="Courier New"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Courier New" w:hAnsi="Courier New" w:cs="Courier New"/>
      </w:rPr>
    </w:lvl>
  </w:abstractNum>
  <w:abstractNum w:abstractNumId="7">
    <w:nsid w:val="06CD29E3"/>
    <w:multiLevelType w:val="multilevel"/>
    <w:tmpl w:val="CF1AD1A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0DD96520"/>
    <w:multiLevelType w:val="hybridMultilevel"/>
    <w:tmpl w:val="9770137C"/>
    <w:lvl w:ilvl="0" w:tplc="6A4C6DEA">
      <w:start w:val="1"/>
      <w:numFmt w:val="decimal"/>
      <w:lvlText w:val="%1."/>
      <w:lvlJc w:val="left"/>
      <w:pPr>
        <w:tabs>
          <w:tab w:val="num" w:pos="0"/>
        </w:tabs>
        <w:ind w:left="630" w:hanging="63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475836"/>
    <w:multiLevelType w:val="hybridMultilevel"/>
    <w:tmpl w:val="D66476FA"/>
    <w:lvl w:ilvl="0" w:tplc="0F2A36B0">
      <w:start w:val="1"/>
      <w:numFmt w:val="decimal"/>
      <w:lvlText w:val="%1."/>
      <w:lvlJc w:val="left"/>
      <w:pPr>
        <w:tabs>
          <w:tab w:val="num" w:pos="0"/>
        </w:tabs>
        <w:ind w:left="630" w:hanging="63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8A5189"/>
    <w:multiLevelType w:val="hybridMultilevel"/>
    <w:tmpl w:val="064AA972"/>
    <w:lvl w:ilvl="0" w:tplc="7B68A68E">
      <w:start w:val="1"/>
      <w:numFmt w:val="decimal"/>
      <w:lvlText w:val="%1."/>
      <w:lvlJc w:val="left"/>
      <w:pPr>
        <w:ind w:left="390" w:hanging="39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626641"/>
    <w:multiLevelType w:val="hybridMultilevel"/>
    <w:tmpl w:val="CF42D310"/>
    <w:lvl w:ilvl="0" w:tplc="A176DC38">
      <w:start w:val="1"/>
      <w:numFmt w:val="decimal"/>
      <w:lvlText w:val="%1."/>
      <w:lvlJc w:val="left"/>
      <w:pPr>
        <w:ind w:left="630" w:hanging="630"/>
      </w:pPr>
      <w:rPr>
        <w:rFonts w:hint="default"/>
      </w:rPr>
    </w:lvl>
    <w:lvl w:ilvl="1" w:tplc="041F0019">
      <w:start w:val="1"/>
      <w:numFmt w:val="lowerLetter"/>
      <w:lvlText w:val="%2)"/>
      <w:lvlJc w:val="left"/>
      <w:pPr>
        <w:ind w:left="840" w:hanging="420"/>
      </w:pPr>
    </w:lvl>
    <w:lvl w:ilvl="2" w:tplc="041F001B">
      <w:start w:val="1"/>
      <w:numFmt w:val="lowerRoman"/>
      <w:lvlText w:val="%3."/>
      <w:lvlJc w:val="right"/>
      <w:pPr>
        <w:ind w:left="1260" w:hanging="420"/>
      </w:pPr>
    </w:lvl>
    <w:lvl w:ilvl="3" w:tplc="041F000F">
      <w:start w:val="1"/>
      <w:numFmt w:val="decimal"/>
      <w:lvlText w:val="%4."/>
      <w:lvlJc w:val="left"/>
      <w:pPr>
        <w:ind w:left="1680" w:hanging="420"/>
      </w:pPr>
    </w:lvl>
    <w:lvl w:ilvl="4" w:tplc="041F0019">
      <w:start w:val="1"/>
      <w:numFmt w:val="lowerLetter"/>
      <w:lvlText w:val="%5)"/>
      <w:lvlJc w:val="left"/>
      <w:pPr>
        <w:ind w:left="2100" w:hanging="420"/>
      </w:pPr>
    </w:lvl>
    <w:lvl w:ilvl="5" w:tplc="041F001B">
      <w:start w:val="1"/>
      <w:numFmt w:val="lowerRoman"/>
      <w:lvlText w:val="%6."/>
      <w:lvlJc w:val="right"/>
      <w:pPr>
        <w:ind w:left="2520" w:hanging="420"/>
      </w:pPr>
    </w:lvl>
    <w:lvl w:ilvl="6" w:tplc="041F000F">
      <w:start w:val="1"/>
      <w:numFmt w:val="decimal"/>
      <w:lvlText w:val="%7."/>
      <w:lvlJc w:val="left"/>
      <w:pPr>
        <w:ind w:left="2940" w:hanging="420"/>
      </w:pPr>
    </w:lvl>
    <w:lvl w:ilvl="7" w:tplc="041F0019">
      <w:start w:val="1"/>
      <w:numFmt w:val="lowerLetter"/>
      <w:lvlText w:val="%8)"/>
      <w:lvlJc w:val="left"/>
      <w:pPr>
        <w:ind w:left="3360" w:hanging="420"/>
      </w:pPr>
    </w:lvl>
    <w:lvl w:ilvl="8" w:tplc="041F001B">
      <w:start w:val="1"/>
      <w:numFmt w:val="lowerRoman"/>
      <w:lvlText w:val="%9."/>
      <w:lvlJc w:val="right"/>
      <w:pPr>
        <w:ind w:left="3780" w:hanging="420"/>
      </w:pPr>
    </w:lvl>
  </w:abstractNum>
  <w:num w:numId="1">
    <w:abstractNumId w:val="9"/>
  </w:num>
  <w:num w:numId="2">
    <w:abstractNumId w:val="13"/>
  </w:num>
  <w:num w:numId="3">
    <w:abstractNumId w:val="0"/>
  </w:num>
  <w:num w:numId="4">
    <w:abstractNumId w:val="14"/>
  </w:num>
  <w:num w:numId="5">
    <w:abstractNumId w:val="7"/>
  </w:num>
  <w:num w:numId="6">
    <w:abstractNumId w:val="11"/>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5"/>
  </w:num>
  <w:num w:numId="27">
    <w:abstractNumId w:val="1"/>
  </w:num>
  <w:num w:numId="28">
    <w:abstractNumId w:val="2"/>
  </w:num>
  <w:num w:numId="29">
    <w:abstractNumId w:val="3"/>
  </w:num>
  <w:num w:numId="30">
    <w:abstractNumId w:val="4"/>
  </w:num>
  <w:num w:numId="31">
    <w:abstractNumId w:val="5"/>
  </w:num>
  <w:num w:numId="32">
    <w:abstractNumId w:val="6"/>
  </w:num>
  <w:num w:numId="33">
    <w:abstractNumId w:val="12"/>
  </w:num>
  <w:num w:numId="34">
    <w:abstractNumId w:val="10"/>
  </w:num>
  <w:num w:numId="35">
    <w:abstractNumId w:val="8"/>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84"/>
    <w:rsid w:val="000035C3"/>
    <w:rsid w:val="000358C9"/>
    <w:rsid w:val="00043CAA"/>
    <w:rsid w:val="00075432"/>
    <w:rsid w:val="000968ED"/>
    <w:rsid w:val="000B7084"/>
    <w:rsid w:val="000F5E56"/>
    <w:rsid w:val="001362EE"/>
    <w:rsid w:val="0015752D"/>
    <w:rsid w:val="001832A6"/>
    <w:rsid w:val="001F0111"/>
    <w:rsid w:val="0021217E"/>
    <w:rsid w:val="002164F6"/>
    <w:rsid w:val="002634C4"/>
    <w:rsid w:val="002928D3"/>
    <w:rsid w:val="00295AEC"/>
    <w:rsid w:val="00297BEE"/>
    <w:rsid w:val="002A44CA"/>
    <w:rsid w:val="002F1FE6"/>
    <w:rsid w:val="002F4E68"/>
    <w:rsid w:val="00312F7F"/>
    <w:rsid w:val="00347E84"/>
    <w:rsid w:val="00355135"/>
    <w:rsid w:val="00361450"/>
    <w:rsid w:val="003673CF"/>
    <w:rsid w:val="003845C1"/>
    <w:rsid w:val="003A6F89"/>
    <w:rsid w:val="003B38C1"/>
    <w:rsid w:val="003C3023"/>
    <w:rsid w:val="003D74D3"/>
    <w:rsid w:val="004046CA"/>
    <w:rsid w:val="00423E3E"/>
    <w:rsid w:val="00427AF4"/>
    <w:rsid w:val="00427FDC"/>
    <w:rsid w:val="004647DA"/>
    <w:rsid w:val="00474062"/>
    <w:rsid w:val="00477D6B"/>
    <w:rsid w:val="004C5D58"/>
    <w:rsid w:val="004F55B9"/>
    <w:rsid w:val="005019FF"/>
    <w:rsid w:val="0053057A"/>
    <w:rsid w:val="00560A29"/>
    <w:rsid w:val="005B2FBF"/>
    <w:rsid w:val="005C6649"/>
    <w:rsid w:val="00605827"/>
    <w:rsid w:val="00633AFE"/>
    <w:rsid w:val="00646050"/>
    <w:rsid w:val="006713CA"/>
    <w:rsid w:val="00675A63"/>
    <w:rsid w:val="00676C5C"/>
    <w:rsid w:val="00685D28"/>
    <w:rsid w:val="006B4D04"/>
    <w:rsid w:val="006C3627"/>
    <w:rsid w:val="007505EF"/>
    <w:rsid w:val="00751603"/>
    <w:rsid w:val="00760934"/>
    <w:rsid w:val="007D1613"/>
    <w:rsid w:val="007E4C0E"/>
    <w:rsid w:val="007E62A2"/>
    <w:rsid w:val="0083418C"/>
    <w:rsid w:val="00885B22"/>
    <w:rsid w:val="008B2CC1"/>
    <w:rsid w:val="008B60B2"/>
    <w:rsid w:val="008C264E"/>
    <w:rsid w:val="008C7AC2"/>
    <w:rsid w:val="00904748"/>
    <w:rsid w:val="0090579C"/>
    <w:rsid w:val="0090731E"/>
    <w:rsid w:val="00916EE2"/>
    <w:rsid w:val="00941C46"/>
    <w:rsid w:val="00966A22"/>
    <w:rsid w:val="0096722F"/>
    <w:rsid w:val="00980843"/>
    <w:rsid w:val="009844DC"/>
    <w:rsid w:val="009A51D2"/>
    <w:rsid w:val="009A74BA"/>
    <w:rsid w:val="009D3D60"/>
    <w:rsid w:val="009E2791"/>
    <w:rsid w:val="009E3F6F"/>
    <w:rsid w:val="009F35E2"/>
    <w:rsid w:val="009F499F"/>
    <w:rsid w:val="00A42DAF"/>
    <w:rsid w:val="00A4309A"/>
    <w:rsid w:val="00A43F27"/>
    <w:rsid w:val="00A45BD8"/>
    <w:rsid w:val="00A869B7"/>
    <w:rsid w:val="00A87335"/>
    <w:rsid w:val="00AC205C"/>
    <w:rsid w:val="00AD20F9"/>
    <w:rsid w:val="00AE0A9F"/>
    <w:rsid w:val="00AF0A6B"/>
    <w:rsid w:val="00B05A69"/>
    <w:rsid w:val="00B30C10"/>
    <w:rsid w:val="00B664B3"/>
    <w:rsid w:val="00B9734B"/>
    <w:rsid w:val="00BA30E2"/>
    <w:rsid w:val="00BB395C"/>
    <w:rsid w:val="00BC09D8"/>
    <w:rsid w:val="00BD078D"/>
    <w:rsid w:val="00C065D8"/>
    <w:rsid w:val="00C11BFE"/>
    <w:rsid w:val="00C23B09"/>
    <w:rsid w:val="00C33E76"/>
    <w:rsid w:val="00C44FBE"/>
    <w:rsid w:val="00C5068F"/>
    <w:rsid w:val="00C605FE"/>
    <w:rsid w:val="00C63BB9"/>
    <w:rsid w:val="00C67BC3"/>
    <w:rsid w:val="00C97F54"/>
    <w:rsid w:val="00CC2338"/>
    <w:rsid w:val="00CD04F1"/>
    <w:rsid w:val="00CE05AA"/>
    <w:rsid w:val="00CE6C87"/>
    <w:rsid w:val="00D45252"/>
    <w:rsid w:val="00D71B4D"/>
    <w:rsid w:val="00D93D55"/>
    <w:rsid w:val="00DA5DF8"/>
    <w:rsid w:val="00DB5960"/>
    <w:rsid w:val="00DC2705"/>
    <w:rsid w:val="00E15015"/>
    <w:rsid w:val="00E335FE"/>
    <w:rsid w:val="00E80A9D"/>
    <w:rsid w:val="00EA2CB1"/>
    <w:rsid w:val="00EC3AE1"/>
    <w:rsid w:val="00EC4E49"/>
    <w:rsid w:val="00ED77FB"/>
    <w:rsid w:val="00EE45FA"/>
    <w:rsid w:val="00F66152"/>
    <w:rsid w:val="00FB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Title" w:qFormat="1"/>
    <w:lsdException w:name="Signature" w:uiPriority="99"/>
    <w:lsdException w:name="Body Text" w:uiPriority="99"/>
    <w:lsdException w:name="Subtitle" w:qFormat="1"/>
    <w:lsdException w:name="Salutation" w:uiPriority="99"/>
    <w:lsdException w:name="Date" w:uiPriority="99"/>
    <w:lsdException w:name="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B4D04"/>
    <w:pPr>
      <w:keepNext/>
      <w:spacing w:before="360" w:after="18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uiPriority w:val="99"/>
    <w:qFormat/>
    <w:rsid w:val="00676C5C"/>
    <w:rPr>
      <w:b/>
      <w:bCs/>
      <w:sz w:val="18"/>
    </w:rPr>
  </w:style>
  <w:style w:type="paragraph" w:styleId="a6">
    <w:name w:val="annotation text"/>
    <w:basedOn w:val="a0"/>
    <w:link w:val="Char1"/>
    <w:uiPriority w:val="99"/>
    <w:semiHidden/>
    <w:rsid w:val="00676C5C"/>
    <w:rPr>
      <w:sz w:val="18"/>
    </w:rPr>
  </w:style>
  <w:style w:type="paragraph" w:styleId="a7">
    <w:name w:val="endnote text"/>
    <w:basedOn w:val="a0"/>
    <w:link w:val="Char0"/>
    <w:uiPriority w:val="99"/>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uiPriority w:val="99"/>
    <w:rsid w:val="00676C5C"/>
    <w:pPr>
      <w:numPr>
        <w:numId w:val="6"/>
      </w:numPr>
    </w:pPr>
  </w:style>
  <w:style w:type="paragraph" w:styleId="ab">
    <w:name w:val="Salutation"/>
    <w:basedOn w:val="a0"/>
    <w:next w:val="a0"/>
    <w:link w:val="Char5"/>
    <w:uiPriority w:val="99"/>
    <w:semiHidden/>
    <w:rsid w:val="00676C5C"/>
  </w:style>
  <w:style w:type="paragraph" w:styleId="ac">
    <w:name w:val="Signature"/>
    <w:basedOn w:val="a0"/>
    <w:link w:val="Char6"/>
    <w:uiPriority w:val="99"/>
    <w:semiHidden/>
    <w:rsid w:val="00676C5C"/>
    <w:pPr>
      <w:ind w:left="5250"/>
    </w:pPr>
  </w:style>
  <w:style w:type="paragraph" w:styleId="ad">
    <w:name w:val="Balloon Text"/>
    <w:basedOn w:val="a0"/>
    <w:link w:val="Char7"/>
    <w:uiPriority w:val="99"/>
    <w:rsid w:val="000B7084"/>
    <w:rPr>
      <w:rFonts w:ascii="Tahoma" w:hAnsi="Tahoma" w:cs="Tahoma"/>
      <w:sz w:val="16"/>
      <w:szCs w:val="16"/>
    </w:rPr>
  </w:style>
  <w:style w:type="character" w:customStyle="1" w:styleId="Char7">
    <w:name w:val="批注框文本 Char"/>
    <w:basedOn w:val="a1"/>
    <w:link w:val="ad"/>
    <w:uiPriority w:val="99"/>
    <w:rsid w:val="000B7084"/>
    <w:rPr>
      <w:rFonts w:ascii="Tahoma" w:eastAsia="SimSun" w:hAnsi="Tahoma" w:cs="Tahoma"/>
      <w:sz w:val="16"/>
      <w:szCs w:val="16"/>
      <w:lang w:eastAsia="zh-CN"/>
    </w:rPr>
  </w:style>
  <w:style w:type="character" w:customStyle="1" w:styleId="1Char">
    <w:name w:val="标题 1 Char"/>
    <w:link w:val="1"/>
    <w:uiPriority w:val="99"/>
    <w:locked/>
    <w:rsid w:val="00A4309A"/>
    <w:rPr>
      <w:rFonts w:ascii="Arial" w:eastAsia="SimSun" w:hAnsi="Arial" w:cs="Arial"/>
      <w:b/>
      <w:bCs/>
      <w:caps/>
      <w:kern w:val="32"/>
      <w:sz w:val="22"/>
      <w:szCs w:val="32"/>
      <w:lang w:eastAsia="zh-CN"/>
    </w:rPr>
  </w:style>
  <w:style w:type="character" w:customStyle="1" w:styleId="2Char">
    <w:name w:val="标题 2 Char"/>
    <w:link w:val="2"/>
    <w:uiPriority w:val="99"/>
    <w:locked/>
    <w:rsid w:val="00A4309A"/>
    <w:rPr>
      <w:rFonts w:ascii="Arial" w:eastAsia="SimSun" w:hAnsi="Arial" w:cs="Arial"/>
      <w:bCs/>
      <w:iCs/>
      <w:caps/>
      <w:sz w:val="22"/>
      <w:szCs w:val="28"/>
      <w:lang w:eastAsia="zh-CN"/>
    </w:rPr>
  </w:style>
  <w:style w:type="character" w:customStyle="1" w:styleId="3Char">
    <w:name w:val="标题 3 Char"/>
    <w:link w:val="3"/>
    <w:uiPriority w:val="99"/>
    <w:locked/>
    <w:rsid w:val="00A4309A"/>
    <w:rPr>
      <w:rFonts w:ascii="Arial" w:eastAsia="SimSun" w:hAnsi="Arial" w:cs="Arial"/>
      <w:bCs/>
      <w:sz w:val="22"/>
      <w:szCs w:val="26"/>
      <w:u w:val="single"/>
      <w:lang w:eastAsia="zh-CN"/>
    </w:rPr>
  </w:style>
  <w:style w:type="character" w:customStyle="1" w:styleId="4Char">
    <w:name w:val="标题 4 Char"/>
    <w:link w:val="4"/>
    <w:uiPriority w:val="99"/>
    <w:locked/>
    <w:rsid w:val="00A4309A"/>
    <w:rPr>
      <w:rFonts w:ascii="Arial" w:eastAsia="SimSun" w:hAnsi="Arial" w:cs="Arial"/>
      <w:bCs/>
      <w:i/>
      <w:sz w:val="22"/>
      <w:szCs w:val="28"/>
      <w:lang w:eastAsia="zh-CN"/>
    </w:rPr>
  </w:style>
  <w:style w:type="paragraph" w:customStyle="1" w:styleId="Default">
    <w:name w:val="Default"/>
    <w:uiPriority w:val="99"/>
    <w:rsid w:val="00A4309A"/>
    <w:pPr>
      <w:widowControl w:val="0"/>
      <w:autoSpaceDE w:val="0"/>
      <w:autoSpaceDN w:val="0"/>
      <w:adjustRightInd w:val="0"/>
    </w:pPr>
    <w:rPr>
      <w:rFonts w:ascii="SimSun" w:eastAsia="SimSun" w:cs="SimSun"/>
      <w:color w:val="000000"/>
      <w:sz w:val="24"/>
      <w:szCs w:val="24"/>
      <w:lang w:eastAsia="zh-CN"/>
    </w:rPr>
  </w:style>
  <w:style w:type="paragraph" w:styleId="ae">
    <w:name w:val="Date"/>
    <w:basedOn w:val="a0"/>
    <w:next w:val="a0"/>
    <w:link w:val="Char8"/>
    <w:uiPriority w:val="99"/>
    <w:rsid w:val="00A4309A"/>
    <w:pPr>
      <w:widowControl w:val="0"/>
      <w:ind w:leftChars="2500" w:left="100"/>
      <w:jc w:val="both"/>
    </w:pPr>
    <w:rPr>
      <w:rFonts w:ascii="Times New Roman" w:hAnsi="Times New Roman" w:cs="Times New Roman"/>
      <w:kern w:val="2"/>
      <w:sz w:val="21"/>
      <w:szCs w:val="21"/>
    </w:rPr>
  </w:style>
  <w:style w:type="character" w:customStyle="1" w:styleId="Char8">
    <w:name w:val="日期 Char"/>
    <w:basedOn w:val="a1"/>
    <w:link w:val="ae"/>
    <w:uiPriority w:val="99"/>
    <w:rsid w:val="00A4309A"/>
    <w:rPr>
      <w:rFonts w:eastAsia="SimSun"/>
      <w:kern w:val="2"/>
      <w:sz w:val="21"/>
      <w:szCs w:val="21"/>
      <w:lang w:eastAsia="zh-CN"/>
    </w:rPr>
  </w:style>
  <w:style w:type="character" w:customStyle="1" w:styleId="Char4">
    <w:name w:val="页眉 Char"/>
    <w:link w:val="aa"/>
    <w:uiPriority w:val="99"/>
    <w:locked/>
    <w:rsid w:val="00A4309A"/>
    <w:rPr>
      <w:rFonts w:ascii="Arial" w:eastAsia="SimSun" w:hAnsi="Arial" w:cs="Arial"/>
      <w:sz w:val="22"/>
      <w:lang w:eastAsia="zh-CN"/>
    </w:rPr>
  </w:style>
  <w:style w:type="character" w:customStyle="1" w:styleId="Char2">
    <w:name w:val="页脚 Char"/>
    <w:link w:val="a8"/>
    <w:uiPriority w:val="99"/>
    <w:locked/>
    <w:rsid w:val="00A4309A"/>
    <w:rPr>
      <w:rFonts w:ascii="Arial" w:eastAsia="SimSun" w:hAnsi="Arial" w:cs="Arial"/>
      <w:sz w:val="22"/>
      <w:lang w:eastAsia="zh-CN"/>
    </w:rPr>
  </w:style>
  <w:style w:type="paragraph" w:styleId="af">
    <w:name w:val="Document Map"/>
    <w:basedOn w:val="a0"/>
    <w:link w:val="Char9"/>
    <w:uiPriority w:val="99"/>
    <w:rsid w:val="00A4309A"/>
    <w:pPr>
      <w:widowControl w:val="0"/>
      <w:shd w:val="clear" w:color="auto" w:fill="000080"/>
      <w:jc w:val="both"/>
    </w:pPr>
    <w:rPr>
      <w:rFonts w:ascii="Times New Roman" w:hAnsi="Times New Roman" w:cs="Times New Roman"/>
      <w:kern w:val="2"/>
      <w:sz w:val="21"/>
      <w:szCs w:val="21"/>
    </w:rPr>
  </w:style>
  <w:style w:type="character" w:customStyle="1" w:styleId="Char9">
    <w:name w:val="文档结构图 Char"/>
    <w:basedOn w:val="a1"/>
    <w:link w:val="af"/>
    <w:uiPriority w:val="99"/>
    <w:rsid w:val="00A4309A"/>
    <w:rPr>
      <w:rFonts w:eastAsia="SimSun"/>
      <w:kern w:val="2"/>
      <w:sz w:val="21"/>
      <w:szCs w:val="21"/>
      <w:shd w:val="clear" w:color="auto" w:fill="000080"/>
      <w:lang w:eastAsia="zh-CN"/>
    </w:rPr>
  </w:style>
  <w:style w:type="character" w:customStyle="1" w:styleId="Char">
    <w:name w:val="正文文本 Char"/>
    <w:link w:val="a4"/>
    <w:uiPriority w:val="99"/>
    <w:locked/>
    <w:rsid w:val="00A4309A"/>
    <w:rPr>
      <w:rFonts w:ascii="Arial" w:eastAsia="SimSun" w:hAnsi="Arial" w:cs="Arial"/>
      <w:sz w:val="22"/>
      <w:lang w:eastAsia="zh-CN"/>
    </w:rPr>
  </w:style>
  <w:style w:type="character" w:customStyle="1" w:styleId="ONUMEChar">
    <w:name w:val="ONUM E Char"/>
    <w:link w:val="ONUME"/>
    <w:locked/>
    <w:rsid w:val="00A4309A"/>
    <w:rPr>
      <w:rFonts w:ascii="Arial" w:eastAsia="SimSun" w:hAnsi="Arial" w:cs="Arial"/>
      <w:sz w:val="22"/>
      <w:lang w:eastAsia="zh-CN"/>
    </w:rPr>
  </w:style>
  <w:style w:type="paragraph" w:customStyle="1" w:styleId="10">
    <w:name w:val="列出段落1"/>
    <w:basedOn w:val="a0"/>
    <w:uiPriority w:val="99"/>
    <w:qFormat/>
    <w:rsid w:val="00A4309A"/>
    <w:pPr>
      <w:ind w:left="720"/>
    </w:pPr>
    <w:rPr>
      <w:szCs w:val="22"/>
      <w:lang w:eastAsia="en-US"/>
    </w:rPr>
  </w:style>
  <w:style w:type="character" w:customStyle="1" w:styleId="CharChar14">
    <w:name w:val="Char Char14"/>
    <w:uiPriority w:val="99"/>
    <w:locked/>
    <w:rsid w:val="00A4309A"/>
    <w:rPr>
      <w:rFonts w:ascii="Arial" w:eastAsia="Times New Roman" w:hAnsi="Arial" w:cs="Arial"/>
      <w:b/>
      <w:bCs/>
      <w:caps/>
      <w:kern w:val="32"/>
      <w:sz w:val="22"/>
      <w:szCs w:val="22"/>
      <w:lang w:val="en-US" w:eastAsia="zh-CN"/>
    </w:rPr>
  </w:style>
  <w:style w:type="paragraph" w:customStyle="1" w:styleId="Guidance">
    <w:name w:val="Guidance"/>
    <w:basedOn w:val="a0"/>
    <w:uiPriority w:val="99"/>
    <w:rsid w:val="00A4309A"/>
    <w:pPr>
      <w:pBdr>
        <w:top w:val="single" w:sz="4" w:space="1" w:color="auto"/>
        <w:left w:val="single" w:sz="4" w:space="4" w:color="auto"/>
        <w:bottom w:val="single" w:sz="4" w:space="1" w:color="auto"/>
        <w:right w:val="single" w:sz="4" w:space="4" w:color="auto"/>
      </w:pBdr>
      <w:shd w:val="clear" w:color="auto" w:fill="FFFF99"/>
      <w:spacing w:after="120" w:line="240" w:lineRule="atLeast"/>
    </w:pPr>
    <w:rPr>
      <w:i/>
      <w:iCs/>
      <w:sz w:val="18"/>
      <w:szCs w:val="18"/>
      <w:lang w:eastAsia="en-US"/>
    </w:rPr>
  </w:style>
  <w:style w:type="character" w:customStyle="1" w:styleId="Chara">
    <w:name w:val="批注文字 Char"/>
    <w:uiPriority w:val="99"/>
    <w:semiHidden/>
    <w:locked/>
    <w:rsid w:val="00A4309A"/>
    <w:rPr>
      <w:rFonts w:ascii="Arial" w:eastAsia="Times New Roman" w:hAnsi="Arial" w:cs="Arial"/>
      <w:sz w:val="18"/>
      <w:szCs w:val="18"/>
      <w:lang w:val="en-US" w:eastAsia="zh-CN"/>
    </w:rPr>
  </w:style>
  <w:style w:type="character" w:customStyle="1" w:styleId="Char0">
    <w:name w:val="尾注文本 Char"/>
    <w:link w:val="a7"/>
    <w:uiPriority w:val="99"/>
    <w:semiHidden/>
    <w:locked/>
    <w:rsid w:val="00A4309A"/>
    <w:rPr>
      <w:rFonts w:ascii="Arial" w:eastAsia="SimSun" w:hAnsi="Arial" w:cs="Arial"/>
      <w:sz w:val="18"/>
      <w:lang w:eastAsia="zh-CN"/>
    </w:rPr>
  </w:style>
  <w:style w:type="character" w:customStyle="1" w:styleId="CharChar7">
    <w:name w:val="Char Char7"/>
    <w:uiPriority w:val="99"/>
    <w:locked/>
    <w:rsid w:val="00A4309A"/>
    <w:rPr>
      <w:rFonts w:ascii="Arial" w:eastAsia="Times New Roman" w:hAnsi="Arial" w:cs="Arial"/>
      <w:sz w:val="22"/>
      <w:szCs w:val="22"/>
      <w:lang w:val="en-US" w:eastAsia="zh-CN"/>
    </w:rPr>
  </w:style>
  <w:style w:type="character" w:customStyle="1" w:styleId="Char3">
    <w:name w:val="脚注文本 Char"/>
    <w:link w:val="a9"/>
    <w:uiPriority w:val="99"/>
    <w:semiHidden/>
    <w:locked/>
    <w:rsid w:val="00A4309A"/>
    <w:rPr>
      <w:rFonts w:ascii="Arial" w:eastAsia="SimSun" w:hAnsi="Arial" w:cs="Arial"/>
      <w:sz w:val="18"/>
      <w:lang w:eastAsia="zh-CN"/>
    </w:rPr>
  </w:style>
  <w:style w:type="character" w:customStyle="1" w:styleId="CharChar5">
    <w:name w:val="Char Char5"/>
    <w:uiPriority w:val="99"/>
    <w:locked/>
    <w:rsid w:val="00A4309A"/>
    <w:rPr>
      <w:rFonts w:ascii="Arial" w:eastAsia="Times New Roman" w:hAnsi="Arial" w:cs="Arial"/>
      <w:sz w:val="22"/>
      <w:szCs w:val="22"/>
      <w:lang w:val="en-US" w:eastAsia="zh-CN"/>
    </w:rPr>
  </w:style>
  <w:style w:type="character" w:customStyle="1" w:styleId="Char5">
    <w:name w:val="称呼 Char"/>
    <w:link w:val="ab"/>
    <w:uiPriority w:val="99"/>
    <w:semiHidden/>
    <w:locked/>
    <w:rsid w:val="00A4309A"/>
    <w:rPr>
      <w:rFonts w:ascii="Arial" w:eastAsia="SimSun" w:hAnsi="Arial" w:cs="Arial"/>
      <w:sz w:val="22"/>
      <w:lang w:eastAsia="zh-CN"/>
    </w:rPr>
  </w:style>
  <w:style w:type="character" w:customStyle="1" w:styleId="Char6">
    <w:name w:val="签名 Char"/>
    <w:link w:val="ac"/>
    <w:uiPriority w:val="99"/>
    <w:semiHidden/>
    <w:locked/>
    <w:rsid w:val="00A4309A"/>
    <w:rPr>
      <w:rFonts w:ascii="Arial" w:eastAsia="SimSun" w:hAnsi="Arial" w:cs="Arial"/>
      <w:sz w:val="22"/>
      <w:lang w:eastAsia="zh-CN"/>
    </w:rPr>
  </w:style>
  <w:style w:type="character" w:styleId="af0">
    <w:name w:val="page number"/>
    <w:basedOn w:val="a1"/>
    <w:uiPriority w:val="99"/>
    <w:rsid w:val="00A4309A"/>
  </w:style>
  <w:style w:type="paragraph" w:customStyle="1" w:styleId="GuidanceNumbered">
    <w:name w:val="Guidance Numbered"/>
    <w:basedOn w:val="Guidance"/>
    <w:uiPriority w:val="99"/>
    <w:rsid w:val="00A4309A"/>
    <w:pPr>
      <w:keepNext/>
      <w:keepLines/>
      <w:ind w:left="567" w:hanging="567"/>
    </w:pPr>
  </w:style>
  <w:style w:type="paragraph" w:customStyle="1" w:styleId="GuidanceNumbereda">
    <w:name w:val="Guidance Numbered (a)"/>
    <w:basedOn w:val="GuidanceNumbered"/>
    <w:uiPriority w:val="99"/>
    <w:rsid w:val="00A4309A"/>
    <w:pPr>
      <w:tabs>
        <w:tab w:val="left" w:pos="567"/>
      </w:tabs>
      <w:ind w:left="1134" w:hanging="1134"/>
    </w:pPr>
  </w:style>
  <w:style w:type="paragraph" w:customStyle="1" w:styleId="GuidanceNumberedai">
    <w:name w:val="Guidance Numbered (a)(i)"/>
    <w:basedOn w:val="GuidanceNumbereda"/>
    <w:uiPriority w:val="99"/>
    <w:rsid w:val="00A4309A"/>
    <w:pPr>
      <w:tabs>
        <w:tab w:val="clear" w:pos="567"/>
        <w:tab w:val="left" w:pos="1134"/>
      </w:tabs>
      <w:ind w:left="1701" w:hanging="1701"/>
    </w:pPr>
  </w:style>
  <w:style w:type="character" w:styleId="af1">
    <w:name w:val="footnote reference"/>
    <w:uiPriority w:val="99"/>
    <w:rsid w:val="00A4309A"/>
    <w:rPr>
      <w:vertAlign w:val="superscript"/>
    </w:rPr>
  </w:style>
  <w:style w:type="character" w:styleId="af2">
    <w:name w:val="Hyperlink"/>
    <w:uiPriority w:val="99"/>
    <w:rsid w:val="00A4309A"/>
    <w:rPr>
      <w:color w:val="0000FF"/>
      <w:u w:val="single"/>
    </w:rPr>
  </w:style>
  <w:style w:type="paragraph" w:styleId="af3">
    <w:name w:val="annotation subject"/>
    <w:basedOn w:val="a6"/>
    <w:next w:val="a6"/>
    <w:link w:val="Charb"/>
    <w:uiPriority w:val="99"/>
    <w:rsid w:val="00A4309A"/>
    <w:rPr>
      <w:b/>
      <w:bCs/>
      <w:sz w:val="20"/>
    </w:rPr>
  </w:style>
  <w:style w:type="character" w:customStyle="1" w:styleId="Char1">
    <w:name w:val="批注文字 Char1"/>
    <w:basedOn w:val="a1"/>
    <w:link w:val="a6"/>
    <w:uiPriority w:val="99"/>
    <w:semiHidden/>
    <w:rsid w:val="00A4309A"/>
    <w:rPr>
      <w:rFonts w:ascii="Arial" w:eastAsia="SimSun" w:hAnsi="Arial" w:cs="Arial"/>
      <w:sz w:val="18"/>
      <w:lang w:eastAsia="zh-CN"/>
    </w:rPr>
  </w:style>
  <w:style w:type="character" w:customStyle="1" w:styleId="Charb">
    <w:name w:val="批注主题 Char"/>
    <w:basedOn w:val="Char1"/>
    <w:link w:val="af3"/>
    <w:uiPriority w:val="99"/>
    <w:rsid w:val="00A4309A"/>
    <w:rPr>
      <w:rFonts w:ascii="Arial" w:eastAsia="SimSun" w:hAnsi="Arial" w:cs="Arial"/>
      <w:b/>
      <w:bCs/>
      <w:sz w:val="18"/>
      <w:lang w:eastAsia="zh-CN"/>
    </w:rPr>
  </w:style>
  <w:style w:type="paragraph" w:styleId="af4">
    <w:name w:val="Normal (Web)"/>
    <w:basedOn w:val="a0"/>
    <w:uiPriority w:val="99"/>
    <w:rsid w:val="00A4309A"/>
    <w:pPr>
      <w:spacing w:before="100" w:beforeAutospacing="1" w:after="100" w:afterAutospacing="1"/>
    </w:pPr>
    <w:rPr>
      <w:rFonts w:ascii="Times New Roman" w:hAnsi="Times New Roman" w:cs="Times New Roman"/>
      <w:sz w:val="24"/>
      <w:szCs w:val="24"/>
      <w:lang w:val="tr-TR" w:eastAsia="tr-TR"/>
    </w:rPr>
  </w:style>
  <w:style w:type="character" w:styleId="af5">
    <w:name w:val="annotation reference"/>
    <w:uiPriority w:val="99"/>
    <w:rsid w:val="00A4309A"/>
    <w:rPr>
      <w:sz w:val="16"/>
      <w:szCs w:val="16"/>
    </w:rPr>
  </w:style>
  <w:style w:type="paragraph" w:customStyle="1" w:styleId="TableContents">
    <w:name w:val="Table Contents"/>
    <w:basedOn w:val="a0"/>
    <w:rsid w:val="00A4309A"/>
    <w:pPr>
      <w:widowControl w:val="0"/>
      <w:suppressLineNumbers/>
      <w:suppressAutoHyphens/>
    </w:pPr>
    <w:rPr>
      <w:rFonts w:cs="Mangal"/>
      <w:kern w:val="1"/>
      <w:szCs w:val="24"/>
      <w:lang w:bidi="hi-IN"/>
    </w:rPr>
  </w:style>
  <w:style w:type="character" w:customStyle="1" w:styleId="shorttext">
    <w:name w:val="short_text"/>
    <w:basedOn w:val="a1"/>
    <w:rsid w:val="00A43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Title" w:qFormat="1"/>
    <w:lsdException w:name="Signature" w:uiPriority="99"/>
    <w:lsdException w:name="Body Text" w:uiPriority="99"/>
    <w:lsdException w:name="Subtitle" w:qFormat="1"/>
    <w:lsdException w:name="Salutation" w:uiPriority="99"/>
    <w:lsdException w:name="Date" w:uiPriority="99"/>
    <w:lsdException w:name="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B4D04"/>
    <w:pPr>
      <w:keepNext/>
      <w:spacing w:before="360" w:after="18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paragraph" w:styleId="a5">
    <w:name w:val="caption"/>
    <w:basedOn w:val="a0"/>
    <w:next w:val="a0"/>
    <w:uiPriority w:val="99"/>
    <w:qFormat/>
    <w:rsid w:val="00676C5C"/>
    <w:rPr>
      <w:b/>
      <w:bCs/>
      <w:sz w:val="18"/>
    </w:rPr>
  </w:style>
  <w:style w:type="paragraph" w:styleId="a6">
    <w:name w:val="annotation text"/>
    <w:basedOn w:val="a0"/>
    <w:link w:val="Char1"/>
    <w:uiPriority w:val="99"/>
    <w:semiHidden/>
    <w:rsid w:val="00676C5C"/>
    <w:rPr>
      <w:sz w:val="18"/>
    </w:rPr>
  </w:style>
  <w:style w:type="paragraph" w:styleId="a7">
    <w:name w:val="endnote text"/>
    <w:basedOn w:val="a0"/>
    <w:link w:val="Char0"/>
    <w:uiPriority w:val="99"/>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uiPriority w:val="99"/>
    <w:rsid w:val="00676C5C"/>
    <w:pPr>
      <w:numPr>
        <w:numId w:val="6"/>
      </w:numPr>
    </w:pPr>
  </w:style>
  <w:style w:type="paragraph" w:styleId="ab">
    <w:name w:val="Salutation"/>
    <w:basedOn w:val="a0"/>
    <w:next w:val="a0"/>
    <w:link w:val="Char5"/>
    <w:uiPriority w:val="99"/>
    <w:semiHidden/>
    <w:rsid w:val="00676C5C"/>
  </w:style>
  <w:style w:type="paragraph" w:styleId="ac">
    <w:name w:val="Signature"/>
    <w:basedOn w:val="a0"/>
    <w:link w:val="Char6"/>
    <w:uiPriority w:val="99"/>
    <w:semiHidden/>
    <w:rsid w:val="00676C5C"/>
    <w:pPr>
      <w:ind w:left="5250"/>
    </w:pPr>
  </w:style>
  <w:style w:type="paragraph" w:styleId="ad">
    <w:name w:val="Balloon Text"/>
    <w:basedOn w:val="a0"/>
    <w:link w:val="Char7"/>
    <w:uiPriority w:val="99"/>
    <w:rsid w:val="000B7084"/>
    <w:rPr>
      <w:rFonts w:ascii="Tahoma" w:hAnsi="Tahoma" w:cs="Tahoma"/>
      <w:sz w:val="16"/>
      <w:szCs w:val="16"/>
    </w:rPr>
  </w:style>
  <w:style w:type="character" w:customStyle="1" w:styleId="Char7">
    <w:name w:val="批注框文本 Char"/>
    <w:basedOn w:val="a1"/>
    <w:link w:val="ad"/>
    <w:uiPriority w:val="99"/>
    <w:rsid w:val="000B7084"/>
    <w:rPr>
      <w:rFonts w:ascii="Tahoma" w:eastAsia="SimSun" w:hAnsi="Tahoma" w:cs="Tahoma"/>
      <w:sz w:val="16"/>
      <w:szCs w:val="16"/>
      <w:lang w:eastAsia="zh-CN"/>
    </w:rPr>
  </w:style>
  <w:style w:type="character" w:customStyle="1" w:styleId="1Char">
    <w:name w:val="标题 1 Char"/>
    <w:link w:val="1"/>
    <w:uiPriority w:val="99"/>
    <w:locked/>
    <w:rsid w:val="00A4309A"/>
    <w:rPr>
      <w:rFonts w:ascii="Arial" w:eastAsia="SimSun" w:hAnsi="Arial" w:cs="Arial"/>
      <w:b/>
      <w:bCs/>
      <w:caps/>
      <w:kern w:val="32"/>
      <w:sz w:val="22"/>
      <w:szCs w:val="32"/>
      <w:lang w:eastAsia="zh-CN"/>
    </w:rPr>
  </w:style>
  <w:style w:type="character" w:customStyle="1" w:styleId="2Char">
    <w:name w:val="标题 2 Char"/>
    <w:link w:val="2"/>
    <w:uiPriority w:val="99"/>
    <w:locked/>
    <w:rsid w:val="00A4309A"/>
    <w:rPr>
      <w:rFonts w:ascii="Arial" w:eastAsia="SimSun" w:hAnsi="Arial" w:cs="Arial"/>
      <w:bCs/>
      <w:iCs/>
      <w:caps/>
      <w:sz w:val="22"/>
      <w:szCs w:val="28"/>
      <w:lang w:eastAsia="zh-CN"/>
    </w:rPr>
  </w:style>
  <w:style w:type="character" w:customStyle="1" w:styleId="3Char">
    <w:name w:val="标题 3 Char"/>
    <w:link w:val="3"/>
    <w:uiPriority w:val="99"/>
    <w:locked/>
    <w:rsid w:val="00A4309A"/>
    <w:rPr>
      <w:rFonts w:ascii="Arial" w:eastAsia="SimSun" w:hAnsi="Arial" w:cs="Arial"/>
      <w:bCs/>
      <w:sz w:val="22"/>
      <w:szCs w:val="26"/>
      <w:u w:val="single"/>
      <w:lang w:eastAsia="zh-CN"/>
    </w:rPr>
  </w:style>
  <w:style w:type="character" w:customStyle="1" w:styleId="4Char">
    <w:name w:val="标题 4 Char"/>
    <w:link w:val="4"/>
    <w:uiPriority w:val="99"/>
    <w:locked/>
    <w:rsid w:val="00A4309A"/>
    <w:rPr>
      <w:rFonts w:ascii="Arial" w:eastAsia="SimSun" w:hAnsi="Arial" w:cs="Arial"/>
      <w:bCs/>
      <w:i/>
      <w:sz w:val="22"/>
      <w:szCs w:val="28"/>
      <w:lang w:eastAsia="zh-CN"/>
    </w:rPr>
  </w:style>
  <w:style w:type="paragraph" w:customStyle="1" w:styleId="Default">
    <w:name w:val="Default"/>
    <w:uiPriority w:val="99"/>
    <w:rsid w:val="00A4309A"/>
    <w:pPr>
      <w:widowControl w:val="0"/>
      <w:autoSpaceDE w:val="0"/>
      <w:autoSpaceDN w:val="0"/>
      <w:adjustRightInd w:val="0"/>
    </w:pPr>
    <w:rPr>
      <w:rFonts w:ascii="SimSun" w:eastAsia="SimSun" w:cs="SimSun"/>
      <w:color w:val="000000"/>
      <w:sz w:val="24"/>
      <w:szCs w:val="24"/>
      <w:lang w:eastAsia="zh-CN"/>
    </w:rPr>
  </w:style>
  <w:style w:type="paragraph" w:styleId="ae">
    <w:name w:val="Date"/>
    <w:basedOn w:val="a0"/>
    <w:next w:val="a0"/>
    <w:link w:val="Char8"/>
    <w:uiPriority w:val="99"/>
    <w:rsid w:val="00A4309A"/>
    <w:pPr>
      <w:widowControl w:val="0"/>
      <w:ind w:leftChars="2500" w:left="100"/>
      <w:jc w:val="both"/>
    </w:pPr>
    <w:rPr>
      <w:rFonts w:ascii="Times New Roman" w:hAnsi="Times New Roman" w:cs="Times New Roman"/>
      <w:kern w:val="2"/>
      <w:sz w:val="21"/>
      <w:szCs w:val="21"/>
    </w:rPr>
  </w:style>
  <w:style w:type="character" w:customStyle="1" w:styleId="Char8">
    <w:name w:val="日期 Char"/>
    <w:basedOn w:val="a1"/>
    <w:link w:val="ae"/>
    <w:uiPriority w:val="99"/>
    <w:rsid w:val="00A4309A"/>
    <w:rPr>
      <w:rFonts w:eastAsia="SimSun"/>
      <w:kern w:val="2"/>
      <w:sz w:val="21"/>
      <w:szCs w:val="21"/>
      <w:lang w:eastAsia="zh-CN"/>
    </w:rPr>
  </w:style>
  <w:style w:type="character" w:customStyle="1" w:styleId="Char4">
    <w:name w:val="页眉 Char"/>
    <w:link w:val="aa"/>
    <w:uiPriority w:val="99"/>
    <w:locked/>
    <w:rsid w:val="00A4309A"/>
    <w:rPr>
      <w:rFonts w:ascii="Arial" w:eastAsia="SimSun" w:hAnsi="Arial" w:cs="Arial"/>
      <w:sz w:val="22"/>
      <w:lang w:eastAsia="zh-CN"/>
    </w:rPr>
  </w:style>
  <w:style w:type="character" w:customStyle="1" w:styleId="Char2">
    <w:name w:val="页脚 Char"/>
    <w:link w:val="a8"/>
    <w:uiPriority w:val="99"/>
    <w:locked/>
    <w:rsid w:val="00A4309A"/>
    <w:rPr>
      <w:rFonts w:ascii="Arial" w:eastAsia="SimSun" w:hAnsi="Arial" w:cs="Arial"/>
      <w:sz w:val="22"/>
      <w:lang w:eastAsia="zh-CN"/>
    </w:rPr>
  </w:style>
  <w:style w:type="paragraph" w:styleId="af">
    <w:name w:val="Document Map"/>
    <w:basedOn w:val="a0"/>
    <w:link w:val="Char9"/>
    <w:uiPriority w:val="99"/>
    <w:rsid w:val="00A4309A"/>
    <w:pPr>
      <w:widowControl w:val="0"/>
      <w:shd w:val="clear" w:color="auto" w:fill="000080"/>
      <w:jc w:val="both"/>
    </w:pPr>
    <w:rPr>
      <w:rFonts w:ascii="Times New Roman" w:hAnsi="Times New Roman" w:cs="Times New Roman"/>
      <w:kern w:val="2"/>
      <w:sz w:val="21"/>
      <w:szCs w:val="21"/>
    </w:rPr>
  </w:style>
  <w:style w:type="character" w:customStyle="1" w:styleId="Char9">
    <w:name w:val="文档结构图 Char"/>
    <w:basedOn w:val="a1"/>
    <w:link w:val="af"/>
    <w:uiPriority w:val="99"/>
    <w:rsid w:val="00A4309A"/>
    <w:rPr>
      <w:rFonts w:eastAsia="SimSun"/>
      <w:kern w:val="2"/>
      <w:sz w:val="21"/>
      <w:szCs w:val="21"/>
      <w:shd w:val="clear" w:color="auto" w:fill="000080"/>
      <w:lang w:eastAsia="zh-CN"/>
    </w:rPr>
  </w:style>
  <w:style w:type="character" w:customStyle="1" w:styleId="Char">
    <w:name w:val="正文文本 Char"/>
    <w:link w:val="a4"/>
    <w:uiPriority w:val="99"/>
    <w:locked/>
    <w:rsid w:val="00A4309A"/>
    <w:rPr>
      <w:rFonts w:ascii="Arial" w:eastAsia="SimSun" w:hAnsi="Arial" w:cs="Arial"/>
      <w:sz w:val="22"/>
      <w:lang w:eastAsia="zh-CN"/>
    </w:rPr>
  </w:style>
  <w:style w:type="character" w:customStyle="1" w:styleId="ONUMEChar">
    <w:name w:val="ONUM E Char"/>
    <w:link w:val="ONUME"/>
    <w:locked/>
    <w:rsid w:val="00A4309A"/>
    <w:rPr>
      <w:rFonts w:ascii="Arial" w:eastAsia="SimSun" w:hAnsi="Arial" w:cs="Arial"/>
      <w:sz w:val="22"/>
      <w:lang w:eastAsia="zh-CN"/>
    </w:rPr>
  </w:style>
  <w:style w:type="paragraph" w:customStyle="1" w:styleId="10">
    <w:name w:val="列出段落1"/>
    <w:basedOn w:val="a0"/>
    <w:uiPriority w:val="99"/>
    <w:qFormat/>
    <w:rsid w:val="00A4309A"/>
    <w:pPr>
      <w:ind w:left="720"/>
    </w:pPr>
    <w:rPr>
      <w:szCs w:val="22"/>
      <w:lang w:eastAsia="en-US"/>
    </w:rPr>
  </w:style>
  <w:style w:type="character" w:customStyle="1" w:styleId="CharChar14">
    <w:name w:val="Char Char14"/>
    <w:uiPriority w:val="99"/>
    <w:locked/>
    <w:rsid w:val="00A4309A"/>
    <w:rPr>
      <w:rFonts w:ascii="Arial" w:eastAsia="Times New Roman" w:hAnsi="Arial" w:cs="Arial"/>
      <w:b/>
      <w:bCs/>
      <w:caps/>
      <w:kern w:val="32"/>
      <w:sz w:val="22"/>
      <w:szCs w:val="22"/>
      <w:lang w:val="en-US" w:eastAsia="zh-CN"/>
    </w:rPr>
  </w:style>
  <w:style w:type="paragraph" w:customStyle="1" w:styleId="Guidance">
    <w:name w:val="Guidance"/>
    <w:basedOn w:val="a0"/>
    <w:uiPriority w:val="99"/>
    <w:rsid w:val="00A4309A"/>
    <w:pPr>
      <w:pBdr>
        <w:top w:val="single" w:sz="4" w:space="1" w:color="auto"/>
        <w:left w:val="single" w:sz="4" w:space="4" w:color="auto"/>
        <w:bottom w:val="single" w:sz="4" w:space="1" w:color="auto"/>
        <w:right w:val="single" w:sz="4" w:space="4" w:color="auto"/>
      </w:pBdr>
      <w:shd w:val="clear" w:color="auto" w:fill="FFFF99"/>
      <w:spacing w:after="120" w:line="240" w:lineRule="atLeast"/>
    </w:pPr>
    <w:rPr>
      <w:i/>
      <w:iCs/>
      <w:sz w:val="18"/>
      <w:szCs w:val="18"/>
      <w:lang w:eastAsia="en-US"/>
    </w:rPr>
  </w:style>
  <w:style w:type="character" w:customStyle="1" w:styleId="Chara">
    <w:name w:val="批注文字 Char"/>
    <w:uiPriority w:val="99"/>
    <w:semiHidden/>
    <w:locked/>
    <w:rsid w:val="00A4309A"/>
    <w:rPr>
      <w:rFonts w:ascii="Arial" w:eastAsia="Times New Roman" w:hAnsi="Arial" w:cs="Arial"/>
      <w:sz w:val="18"/>
      <w:szCs w:val="18"/>
      <w:lang w:val="en-US" w:eastAsia="zh-CN"/>
    </w:rPr>
  </w:style>
  <w:style w:type="character" w:customStyle="1" w:styleId="Char0">
    <w:name w:val="尾注文本 Char"/>
    <w:link w:val="a7"/>
    <w:uiPriority w:val="99"/>
    <w:semiHidden/>
    <w:locked/>
    <w:rsid w:val="00A4309A"/>
    <w:rPr>
      <w:rFonts w:ascii="Arial" w:eastAsia="SimSun" w:hAnsi="Arial" w:cs="Arial"/>
      <w:sz w:val="18"/>
      <w:lang w:eastAsia="zh-CN"/>
    </w:rPr>
  </w:style>
  <w:style w:type="character" w:customStyle="1" w:styleId="CharChar7">
    <w:name w:val="Char Char7"/>
    <w:uiPriority w:val="99"/>
    <w:locked/>
    <w:rsid w:val="00A4309A"/>
    <w:rPr>
      <w:rFonts w:ascii="Arial" w:eastAsia="Times New Roman" w:hAnsi="Arial" w:cs="Arial"/>
      <w:sz w:val="22"/>
      <w:szCs w:val="22"/>
      <w:lang w:val="en-US" w:eastAsia="zh-CN"/>
    </w:rPr>
  </w:style>
  <w:style w:type="character" w:customStyle="1" w:styleId="Char3">
    <w:name w:val="脚注文本 Char"/>
    <w:link w:val="a9"/>
    <w:uiPriority w:val="99"/>
    <w:semiHidden/>
    <w:locked/>
    <w:rsid w:val="00A4309A"/>
    <w:rPr>
      <w:rFonts w:ascii="Arial" w:eastAsia="SimSun" w:hAnsi="Arial" w:cs="Arial"/>
      <w:sz w:val="18"/>
      <w:lang w:eastAsia="zh-CN"/>
    </w:rPr>
  </w:style>
  <w:style w:type="character" w:customStyle="1" w:styleId="CharChar5">
    <w:name w:val="Char Char5"/>
    <w:uiPriority w:val="99"/>
    <w:locked/>
    <w:rsid w:val="00A4309A"/>
    <w:rPr>
      <w:rFonts w:ascii="Arial" w:eastAsia="Times New Roman" w:hAnsi="Arial" w:cs="Arial"/>
      <w:sz w:val="22"/>
      <w:szCs w:val="22"/>
      <w:lang w:val="en-US" w:eastAsia="zh-CN"/>
    </w:rPr>
  </w:style>
  <w:style w:type="character" w:customStyle="1" w:styleId="Char5">
    <w:name w:val="称呼 Char"/>
    <w:link w:val="ab"/>
    <w:uiPriority w:val="99"/>
    <w:semiHidden/>
    <w:locked/>
    <w:rsid w:val="00A4309A"/>
    <w:rPr>
      <w:rFonts w:ascii="Arial" w:eastAsia="SimSun" w:hAnsi="Arial" w:cs="Arial"/>
      <w:sz w:val="22"/>
      <w:lang w:eastAsia="zh-CN"/>
    </w:rPr>
  </w:style>
  <w:style w:type="character" w:customStyle="1" w:styleId="Char6">
    <w:name w:val="签名 Char"/>
    <w:link w:val="ac"/>
    <w:uiPriority w:val="99"/>
    <w:semiHidden/>
    <w:locked/>
    <w:rsid w:val="00A4309A"/>
    <w:rPr>
      <w:rFonts w:ascii="Arial" w:eastAsia="SimSun" w:hAnsi="Arial" w:cs="Arial"/>
      <w:sz w:val="22"/>
      <w:lang w:eastAsia="zh-CN"/>
    </w:rPr>
  </w:style>
  <w:style w:type="character" w:styleId="af0">
    <w:name w:val="page number"/>
    <w:basedOn w:val="a1"/>
    <w:uiPriority w:val="99"/>
    <w:rsid w:val="00A4309A"/>
  </w:style>
  <w:style w:type="paragraph" w:customStyle="1" w:styleId="GuidanceNumbered">
    <w:name w:val="Guidance Numbered"/>
    <w:basedOn w:val="Guidance"/>
    <w:uiPriority w:val="99"/>
    <w:rsid w:val="00A4309A"/>
    <w:pPr>
      <w:keepNext/>
      <w:keepLines/>
      <w:ind w:left="567" w:hanging="567"/>
    </w:pPr>
  </w:style>
  <w:style w:type="paragraph" w:customStyle="1" w:styleId="GuidanceNumbereda">
    <w:name w:val="Guidance Numbered (a)"/>
    <w:basedOn w:val="GuidanceNumbered"/>
    <w:uiPriority w:val="99"/>
    <w:rsid w:val="00A4309A"/>
    <w:pPr>
      <w:tabs>
        <w:tab w:val="left" w:pos="567"/>
      </w:tabs>
      <w:ind w:left="1134" w:hanging="1134"/>
    </w:pPr>
  </w:style>
  <w:style w:type="paragraph" w:customStyle="1" w:styleId="GuidanceNumberedai">
    <w:name w:val="Guidance Numbered (a)(i)"/>
    <w:basedOn w:val="GuidanceNumbereda"/>
    <w:uiPriority w:val="99"/>
    <w:rsid w:val="00A4309A"/>
    <w:pPr>
      <w:tabs>
        <w:tab w:val="clear" w:pos="567"/>
        <w:tab w:val="left" w:pos="1134"/>
      </w:tabs>
      <w:ind w:left="1701" w:hanging="1701"/>
    </w:pPr>
  </w:style>
  <w:style w:type="character" w:styleId="af1">
    <w:name w:val="footnote reference"/>
    <w:uiPriority w:val="99"/>
    <w:rsid w:val="00A4309A"/>
    <w:rPr>
      <w:vertAlign w:val="superscript"/>
    </w:rPr>
  </w:style>
  <w:style w:type="character" w:styleId="af2">
    <w:name w:val="Hyperlink"/>
    <w:uiPriority w:val="99"/>
    <w:rsid w:val="00A4309A"/>
    <w:rPr>
      <w:color w:val="0000FF"/>
      <w:u w:val="single"/>
    </w:rPr>
  </w:style>
  <w:style w:type="paragraph" w:styleId="af3">
    <w:name w:val="annotation subject"/>
    <w:basedOn w:val="a6"/>
    <w:next w:val="a6"/>
    <w:link w:val="Charb"/>
    <w:uiPriority w:val="99"/>
    <w:rsid w:val="00A4309A"/>
    <w:rPr>
      <w:b/>
      <w:bCs/>
      <w:sz w:val="20"/>
    </w:rPr>
  </w:style>
  <w:style w:type="character" w:customStyle="1" w:styleId="Char1">
    <w:name w:val="批注文字 Char1"/>
    <w:basedOn w:val="a1"/>
    <w:link w:val="a6"/>
    <w:uiPriority w:val="99"/>
    <w:semiHidden/>
    <w:rsid w:val="00A4309A"/>
    <w:rPr>
      <w:rFonts w:ascii="Arial" w:eastAsia="SimSun" w:hAnsi="Arial" w:cs="Arial"/>
      <w:sz w:val="18"/>
      <w:lang w:eastAsia="zh-CN"/>
    </w:rPr>
  </w:style>
  <w:style w:type="character" w:customStyle="1" w:styleId="Charb">
    <w:name w:val="批注主题 Char"/>
    <w:basedOn w:val="Char1"/>
    <w:link w:val="af3"/>
    <w:uiPriority w:val="99"/>
    <w:rsid w:val="00A4309A"/>
    <w:rPr>
      <w:rFonts w:ascii="Arial" w:eastAsia="SimSun" w:hAnsi="Arial" w:cs="Arial"/>
      <w:b/>
      <w:bCs/>
      <w:sz w:val="18"/>
      <w:lang w:eastAsia="zh-CN"/>
    </w:rPr>
  </w:style>
  <w:style w:type="paragraph" w:styleId="af4">
    <w:name w:val="Normal (Web)"/>
    <w:basedOn w:val="a0"/>
    <w:uiPriority w:val="99"/>
    <w:rsid w:val="00A4309A"/>
    <w:pPr>
      <w:spacing w:before="100" w:beforeAutospacing="1" w:after="100" w:afterAutospacing="1"/>
    </w:pPr>
    <w:rPr>
      <w:rFonts w:ascii="Times New Roman" w:hAnsi="Times New Roman" w:cs="Times New Roman"/>
      <w:sz w:val="24"/>
      <w:szCs w:val="24"/>
      <w:lang w:val="tr-TR" w:eastAsia="tr-TR"/>
    </w:rPr>
  </w:style>
  <w:style w:type="character" w:styleId="af5">
    <w:name w:val="annotation reference"/>
    <w:uiPriority w:val="99"/>
    <w:rsid w:val="00A4309A"/>
    <w:rPr>
      <w:sz w:val="16"/>
      <w:szCs w:val="16"/>
    </w:rPr>
  </w:style>
  <w:style w:type="paragraph" w:customStyle="1" w:styleId="TableContents">
    <w:name w:val="Table Contents"/>
    <w:basedOn w:val="a0"/>
    <w:rsid w:val="00A4309A"/>
    <w:pPr>
      <w:widowControl w:val="0"/>
      <w:suppressLineNumbers/>
      <w:suppressAutoHyphens/>
    </w:pPr>
    <w:rPr>
      <w:rFonts w:cs="Mangal"/>
      <w:kern w:val="1"/>
      <w:szCs w:val="24"/>
      <w:lang w:bidi="hi-IN"/>
    </w:rPr>
  </w:style>
  <w:style w:type="character" w:customStyle="1" w:styleId="shorttext">
    <w:name w:val="short_text"/>
    <w:basedOn w:val="a1"/>
    <w:rsid w:val="00A4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9D15-7B93-4F1C-9EFF-333FCAB5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150</TotalTime>
  <Pages>48</Pages>
  <Words>20005</Words>
  <Characters>21407</Characters>
  <Application>Microsoft Office Word</Application>
  <DocSecurity>0</DocSecurity>
  <Lines>764</Lines>
  <Paragraphs>387</Paragraphs>
  <ScaleCrop>false</ScaleCrop>
  <HeadingPairs>
    <vt:vector size="2" baseType="variant">
      <vt:variant>
        <vt:lpstr>Title</vt:lpstr>
      </vt:variant>
      <vt:variant>
        <vt:i4>1</vt:i4>
      </vt:variant>
    </vt:vector>
  </HeadingPairs>
  <TitlesOfParts>
    <vt:vector size="1" baseType="lpstr">
      <vt:lpstr>PCT/CTC/30/26 Prov.</vt:lpstr>
    </vt:vector>
  </TitlesOfParts>
  <Company>WIPO</Company>
  <LinksUpToDate>false</LinksUpToDate>
  <CharactersWithSpaces>41025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PCT/A/49/3</dc:title>
  <dc:subject>指定菲律宾知识产权局为PCT国际检索和初步审查单位</dc:subject>
  <dc:creator/>
  <cp:lastModifiedBy>SONG Qiao</cp:lastModifiedBy>
  <cp:revision>11</cp:revision>
  <cp:lastPrinted>2011-02-15T11:56:00Z</cp:lastPrinted>
  <dcterms:created xsi:type="dcterms:W3CDTF">2017-07-25T08:10:00Z</dcterms:created>
  <dcterms:modified xsi:type="dcterms:W3CDTF">2017-07-26T11:59:00Z</dcterms:modified>
</cp:coreProperties>
</file>